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6A6B" w14:textId="77777777" w:rsidR="006D7E8D" w:rsidRPr="00775545" w:rsidRDefault="00775545" w:rsidP="00F65084">
      <w:pPr>
        <w:rPr>
          <w:rFonts w:ascii="Comic Sans MS" w:hAnsi="Comic Sans MS"/>
          <w:sz w:val="28"/>
          <w:szCs w:val="28"/>
          <w:lang w:val="en-US"/>
        </w:rPr>
      </w:pPr>
      <w:r>
        <w:rPr>
          <w:rFonts w:ascii="Comic Sans MS" w:hAnsi="Comic Sans MS"/>
          <w:sz w:val="28"/>
          <w:szCs w:val="28"/>
          <w:lang w:val="en-US"/>
        </w:rPr>
        <w:t xml:space="preserve"> </w:t>
      </w:r>
    </w:p>
    <w:p w14:paraId="464A85AE" w14:textId="77777777" w:rsidR="00FC5EAF" w:rsidRPr="00FC5EAF" w:rsidRDefault="00000000" w:rsidP="00FF01C8">
      <w:pPr>
        <w:rPr>
          <w:rFonts w:ascii="Comic Sans MS" w:hAnsi="Comic Sans MS"/>
          <w:b/>
          <w:color w:val="BD0B24"/>
          <w:sz w:val="28"/>
          <w:szCs w:val="28"/>
          <w:lang w:val="bg-BG"/>
        </w:rPr>
      </w:pPr>
      <w:sdt>
        <w:sdtPr>
          <w:rPr>
            <w:b/>
            <w:color w:val="FF0000"/>
            <w:sz w:val="28"/>
            <w:szCs w:val="28"/>
          </w:rPr>
          <w:id w:val="-835765423"/>
          <w:docPartObj>
            <w:docPartGallery w:val="Cover Pages"/>
            <w:docPartUnique/>
          </w:docPartObj>
        </w:sdtPr>
        <w:sdtContent>
          <w:r w:rsidR="00250696" w:rsidRPr="00250696">
            <w:rPr>
              <w:rFonts w:ascii="Comic Sans MS" w:hAnsi="Comic Sans MS"/>
              <w:b/>
              <w:noProof/>
              <w:color w:val="FF0000"/>
              <w:sz w:val="28"/>
              <w:szCs w:val="28"/>
            </w:rPr>
            <mc:AlternateContent>
              <mc:Choice Requires="wpg">
                <w:drawing>
                  <wp:anchor distT="0" distB="0" distL="114300" distR="114300" simplePos="0" relativeHeight="251705344" behindDoc="0" locked="0" layoutInCell="1" allowOverlap="1" wp14:anchorId="2962C271" wp14:editId="4CCA291D">
                    <wp:simplePos x="0" y="0"/>
                    <wp:positionH relativeFrom="column">
                      <wp:posOffset>-893445</wp:posOffset>
                    </wp:positionH>
                    <wp:positionV relativeFrom="paragraph">
                      <wp:posOffset>-899795</wp:posOffset>
                    </wp:positionV>
                    <wp:extent cx="7553960" cy="10690860"/>
                    <wp:effectExtent l="6350" t="0" r="2540" b="0"/>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0690860"/>
                              <a:chOff x="10" y="0"/>
                              <a:chExt cx="11896" cy="16836"/>
                            </a:xfrm>
                          </wpg:grpSpPr>
                          <wpg:grpSp>
                            <wpg:cNvPr id="2" name="Group 37"/>
                            <wpg:cNvGrpSpPr>
                              <a:grpSpLocks/>
                            </wpg:cNvGrpSpPr>
                            <wpg:grpSpPr bwMode="auto">
                              <a:xfrm>
                                <a:off x="7147" y="0"/>
                                <a:ext cx="4759" cy="16836"/>
                                <a:chOff x="7560" y="0"/>
                                <a:chExt cx="4700" cy="15840"/>
                              </a:xfrm>
                            </wpg:grpSpPr>
                            <wps:wsp>
                              <wps:cNvPr id="13" name="Rectangle 38"/>
                              <wps:cNvSpPr>
                                <a:spLocks noChangeArrowheads="1"/>
                              </wps:cNvSpPr>
                              <wps:spPr bwMode="auto">
                                <a:xfrm>
                                  <a:off x="7755" y="0"/>
                                  <a:ext cx="4505" cy="15840"/>
                                </a:xfrm>
                                <a:prstGeom prst="rect">
                                  <a:avLst/>
                                </a:prstGeom>
                                <a:solidFill>
                                  <a:srgbClr val="9BBB59">
                                    <a:lumMod val="100000"/>
                                    <a:lumOff val="0"/>
                                  </a:srgb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5" name="Rectangle 39" descr="Light vertical"/>
                              <wps:cNvSpPr>
                                <a:spLocks noChangeArrowheads="1"/>
                              </wps:cNvSpPr>
                              <wps:spPr bwMode="auto">
                                <a:xfrm>
                                  <a:off x="7560" y="8"/>
                                  <a:ext cx="195" cy="15825"/>
                                </a:xfrm>
                                <a:prstGeom prst="rect">
                                  <a:avLst/>
                                </a:prstGeom>
                                <a:pattFill prst="ltVert">
                                  <a:fgClr>
                                    <a:srgbClr val="9BBB59">
                                      <a:lumMod val="100000"/>
                                      <a:lumOff val="0"/>
                                      <a:alpha val="79999"/>
                                    </a:srgb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6" name="Rectangle 40"/>
                            <wps:cNvSpPr>
                              <a:spLocks noChangeArrowheads="1"/>
                            </wps:cNvSpPr>
                            <wps:spPr bwMode="auto">
                              <a:xfrm>
                                <a:off x="7144" y="0"/>
                                <a:ext cx="4762" cy="421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7016BEBD" w:rsidR="00455587" w:rsidRPr="00015B3F" w:rsidRDefault="00455587"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МАЙ</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25</w:t>
                                      </w:r>
                                    </w:p>
                                  </w:sdtContent>
                                </w:sdt>
                              </w:txbxContent>
                            </wps:txbx>
                            <wps:bodyPr rot="0" vert="horz" wrap="square" lIns="223200" tIns="182880" rIns="182880" bIns="182880" anchor="b" anchorCtr="0" upright="1">
                              <a:noAutofit/>
                            </wps:bodyPr>
                          </wps:wsp>
                          <wps:wsp>
                            <wps:cNvPr id="17" name="Rectangle 41"/>
                            <wps:cNvSpPr>
                              <a:spLocks noChangeArrowheads="1"/>
                            </wps:cNvSpPr>
                            <wps:spPr bwMode="auto">
                              <a:xfrm>
                                <a:off x="7144" y="5040"/>
                                <a:ext cx="4762" cy="108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455587" w:rsidRPr="00015B3F" w:rsidRDefault="00455587"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455587" w:rsidRPr="00015B3F" w:rsidRDefault="00455587" w:rsidP="00250696">
                                  <w:pPr>
                                    <w:pStyle w:val="NoSpacing"/>
                                    <w:spacing w:line="360" w:lineRule="auto"/>
                                    <w:rPr>
                                      <w:color w:val="FFFFFF" w:themeColor="background1"/>
                                      <w:sz w:val="28"/>
                                      <w:szCs w:val="28"/>
                                    </w:rPr>
                                  </w:pPr>
                                </w:p>
                                <w:p w14:paraId="4BDAA620" w14:textId="77777777" w:rsidR="00455587" w:rsidRPr="00015B3F" w:rsidRDefault="00455587" w:rsidP="00250696">
                                  <w:pPr>
                                    <w:pStyle w:val="NoSpacing"/>
                                    <w:spacing w:line="360" w:lineRule="auto"/>
                                    <w:rPr>
                                      <w:color w:val="FFFFFF" w:themeColor="background1"/>
                                      <w:sz w:val="28"/>
                                      <w:szCs w:val="28"/>
                                    </w:rPr>
                                  </w:pPr>
                                </w:p>
                              </w:txbxContent>
                            </wps:txbx>
                            <wps:bodyPr rot="0" vert="horz" wrap="square" lIns="223200" tIns="182880" rIns="0" bIns="182880" anchor="b" anchorCtr="0" upright="1">
                              <a:noAutofit/>
                            </wps:bodyPr>
                          </wps:wsp>
                          <wps:wsp>
                            <wps:cNvPr id="18" name="Rectangle 42"/>
                            <wps:cNvSpPr>
                              <a:spLocks noChangeArrowheads="1"/>
                            </wps:cNvSpPr>
                            <wps:spPr bwMode="auto">
                              <a:xfrm>
                                <a:off x="10" y="4223"/>
                                <a:ext cx="10695" cy="774"/>
                              </a:xfrm>
                              <a:prstGeom prst="rect">
                                <a:avLst/>
                              </a:prstGeom>
                              <a:solidFill>
                                <a:srgbClr val="C0504D">
                                  <a:lumMod val="100000"/>
                                  <a:lumOff val="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455587" w:rsidRPr="00D00941" w:rsidRDefault="00455587"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wps:txbx>
                            <wps:bodyPr rot="0" vert="horz" wrap="square" lIns="182880" tIns="45720" rIns="182880" bIns="45720" anchor="ctr"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962C271" id="Group 44" o:spid="_x0000_s1026" style="position:absolute;margin-left:-70.35pt;margin-top:-70.85pt;width:594.8pt;height:841.8pt;z-index:251705344" coordorigin="10" coordsize="11896,1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">
                    <v:group id="Group 37" o:spid="_x0000_s1027" style="position:absolute;left:7147;width:4759;height:16836"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8"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" fillcolor="#9bbb59" stroked="f" strokecolor="#d8d8d8 [2732]"/>
                      <v:rect id="Rectangle 39"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" fillcolor="#9bbb59" stroked="f" strokecolor="white [3212]" strokeweight="1pt">
                        <v:fill r:id="rId12" o:title="" opacity="52428f" o:opacity2="52428f" type="pattern"/>
                        <v:shadow color="#d8d8d8 [2732]" offset="3pt,3pt"/>
                      </v:rect>
                    </v:group>
                    <v:rect id="Rectangle 40" o:spid="_x0000_s1030" style="position:absolute;left:7144;width:4762;height:421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" filled="f" fillcolor="white [3212]" stroked="f" strokecolor="white [3212]" strokeweight="1pt">
                      <v:fill opacity="52428f"/>
                      <v:textbox inset="6.2mm,14.4pt,14.4pt,14.4pt">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7016BEBD" w:rsidR="00455587" w:rsidRPr="00015B3F" w:rsidRDefault="00455587"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МАЙ</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25</w:t>
                                </w:r>
                              </w:p>
                            </w:sdtContent>
                          </w:sdt>
                        </w:txbxContent>
                      </v:textbox>
                    </v:rect>
                    <v:rect id="Rectangle 41" o:spid="_x0000_s1031" style="position:absolute;left:7144;top:5040;width:4762;height:108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" filled="f" fillcolor="white [3212]" stroked="f" strokecolor="white [3212]" strokeweight="1pt">
                      <v:fill opacity="52428f"/>
                      <v:textbox inset="6.2mm,14.4pt,0,14.4pt">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455587" w:rsidRPr="00015B3F" w:rsidRDefault="00455587"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455587" w:rsidRPr="00015B3F" w:rsidRDefault="00455587" w:rsidP="00250696">
                            <w:pPr>
                              <w:pStyle w:val="NoSpacing"/>
                              <w:spacing w:line="360" w:lineRule="auto"/>
                              <w:rPr>
                                <w:color w:val="FFFFFF" w:themeColor="background1"/>
                                <w:sz w:val="28"/>
                                <w:szCs w:val="28"/>
                              </w:rPr>
                            </w:pPr>
                          </w:p>
                          <w:p w14:paraId="4BDAA620" w14:textId="77777777" w:rsidR="00455587" w:rsidRPr="00015B3F" w:rsidRDefault="00455587" w:rsidP="00250696">
                            <w:pPr>
                              <w:pStyle w:val="NoSpacing"/>
                              <w:spacing w:line="360" w:lineRule="auto"/>
                              <w:rPr>
                                <w:color w:val="FFFFFF" w:themeColor="background1"/>
                                <w:sz w:val="28"/>
                                <w:szCs w:val="28"/>
                              </w:rPr>
                            </w:pPr>
                          </w:p>
                        </w:txbxContent>
                      </v:textbox>
                    </v:rect>
                    <v:rect id="Rectangle 42" o:spid="_x0000_s1032" style="position:absolute;left:10;top:4223;width:10695;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" fillcolor="#c0504d" strokecolor="white" strokeweight="1pt">
                      <v:shadow color="#d8d8d8 [2732]" offset="3pt,3pt"/>
                      <v:textbox style="mso-fit-shape-to-text:t" inset="14.4pt,,14.4pt">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455587" w:rsidRPr="00D00941" w:rsidRDefault="00455587"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v:textbox>
                    </v:rect>
                  </v:group>
                </w:pict>
              </mc:Fallback>
            </mc:AlternateContent>
          </w:r>
        </w:sdtContent>
      </w:sdt>
    </w:p>
    <w:p w14:paraId="33F732E3" w14:textId="77777777" w:rsidR="006D7E8D" w:rsidRPr="006F7E8A" w:rsidRDefault="0020297A" w:rsidP="0020297A">
      <w:pPr>
        <w:rPr>
          <w:rFonts w:ascii="Comic Sans MS" w:hAnsi="Comic Sans MS"/>
          <w:b/>
          <w:color w:val="FF0000"/>
        </w:rPr>
      </w:pPr>
      <w:r w:rsidRPr="0020297A">
        <w:rPr>
          <w:b/>
          <w:color w:val="FF0000"/>
          <w:sz w:val="28"/>
          <w:szCs w:val="28"/>
        </w:rPr>
        <w:t xml:space="preserve">  </w:t>
      </w:r>
    </w:p>
    <w:p w14:paraId="57C7EBA4" w14:textId="77777777" w:rsidR="00FC6B77" w:rsidRPr="00FC6B77" w:rsidRDefault="00FC6B77" w:rsidP="00FC6B77">
      <w:pPr>
        <w:rPr>
          <w:sz w:val="28"/>
          <w:szCs w:val="28"/>
        </w:rPr>
      </w:pPr>
    </w:p>
    <w:p w14:paraId="2BA7D855" w14:textId="77777777" w:rsidR="00FC6B77" w:rsidRPr="00FC6B77" w:rsidRDefault="00FC6B77" w:rsidP="00FC6B77">
      <w:pPr>
        <w:rPr>
          <w:sz w:val="28"/>
          <w:szCs w:val="28"/>
        </w:rPr>
      </w:pPr>
    </w:p>
    <w:p w14:paraId="612301FA" w14:textId="77777777" w:rsidR="00FC6B77" w:rsidRPr="00FC6B77" w:rsidRDefault="00FC6B77" w:rsidP="00FC6B77">
      <w:pPr>
        <w:rPr>
          <w:sz w:val="28"/>
          <w:szCs w:val="28"/>
        </w:rPr>
      </w:pPr>
    </w:p>
    <w:p w14:paraId="170FD081" w14:textId="77777777" w:rsidR="00FC6B77" w:rsidRPr="00382F7D" w:rsidRDefault="00FC6B77" w:rsidP="00FC6B77">
      <w:pPr>
        <w:rPr>
          <w:sz w:val="28"/>
          <w:szCs w:val="28"/>
          <w:lang w:val="bg-BG"/>
        </w:rPr>
      </w:pPr>
    </w:p>
    <w:p w14:paraId="54BEA1EE" w14:textId="77777777" w:rsidR="00FC6B77" w:rsidRPr="00FC6B77" w:rsidRDefault="00FC6B77" w:rsidP="00FC6B77">
      <w:pPr>
        <w:rPr>
          <w:sz w:val="28"/>
          <w:szCs w:val="28"/>
        </w:rPr>
      </w:pPr>
    </w:p>
    <w:p w14:paraId="305702BA" w14:textId="77777777" w:rsidR="00FC6B77" w:rsidRPr="006927C2" w:rsidRDefault="00FC6B77" w:rsidP="00FC6B77">
      <w:pPr>
        <w:rPr>
          <w:sz w:val="28"/>
          <w:szCs w:val="28"/>
          <w:lang w:val="en-US"/>
        </w:rPr>
      </w:pPr>
    </w:p>
    <w:p w14:paraId="15105631" w14:textId="77777777" w:rsidR="00FC6B77" w:rsidRPr="00FC6B77" w:rsidRDefault="00FC6B77" w:rsidP="00FC6B77">
      <w:pPr>
        <w:rPr>
          <w:sz w:val="28"/>
          <w:szCs w:val="28"/>
        </w:rPr>
      </w:pPr>
    </w:p>
    <w:p w14:paraId="2EC74741" w14:textId="77777777" w:rsidR="00FC6B77" w:rsidRPr="004F6E83" w:rsidRDefault="00FC6B77" w:rsidP="00FC6B77">
      <w:pPr>
        <w:rPr>
          <w:sz w:val="28"/>
          <w:szCs w:val="28"/>
          <w:lang w:val="bg-BG"/>
        </w:rPr>
      </w:pPr>
    </w:p>
    <w:p w14:paraId="2E055DF5" w14:textId="77777777" w:rsidR="00FC6B77" w:rsidRPr="00274396" w:rsidRDefault="00FC6B77" w:rsidP="00FC6B77">
      <w:pPr>
        <w:rPr>
          <w:sz w:val="28"/>
          <w:szCs w:val="28"/>
          <w:lang w:val="bg-BG"/>
        </w:rPr>
      </w:pPr>
    </w:p>
    <w:p w14:paraId="1EF25593" w14:textId="77777777" w:rsidR="00FC6B77" w:rsidRPr="004B7BFE" w:rsidRDefault="005A143A" w:rsidP="00FC6B77">
      <w:pPr>
        <w:rPr>
          <w:sz w:val="28"/>
          <w:szCs w:val="28"/>
          <w:lang w:val="en-US"/>
        </w:rPr>
      </w:pPr>
      <w:r>
        <w:rPr>
          <w:sz w:val="28"/>
          <w:szCs w:val="28"/>
        </w:rPr>
        <w:t xml:space="preserve"> </w:t>
      </w:r>
    </w:p>
    <w:p w14:paraId="51C9AC83" w14:textId="40A76E0D" w:rsidR="00FC6B77" w:rsidRPr="00FC6B77" w:rsidRDefault="00FC6B77" w:rsidP="00FC6B77">
      <w:pPr>
        <w:rPr>
          <w:sz w:val="28"/>
          <w:szCs w:val="28"/>
        </w:rPr>
      </w:pPr>
    </w:p>
    <w:p w14:paraId="40EBFBB3" w14:textId="5E51D863" w:rsidR="00FC6B77" w:rsidRDefault="00FC6B77" w:rsidP="00FC6B77">
      <w:pPr>
        <w:tabs>
          <w:tab w:val="left" w:pos="3276"/>
        </w:tabs>
        <w:rPr>
          <w:sz w:val="28"/>
          <w:szCs w:val="28"/>
        </w:rPr>
      </w:pPr>
      <w:r>
        <w:rPr>
          <w:sz w:val="28"/>
          <w:szCs w:val="28"/>
        </w:rPr>
        <w:tab/>
      </w:r>
    </w:p>
    <w:p w14:paraId="73459371" w14:textId="3A5AC826" w:rsidR="008D4A76" w:rsidRPr="008D4A76" w:rsidRDefault="00FC6B77" w:rsidP="008D4A76">
      <w:pPr>
        <w:pStyle w:val="NormalWeb"/>
        <w:rPr>
          <w:color w:val="auto"/>
          <w:lang w:eastAsia="en-GB"/>
        </w:rPr>
      </w:pPr>
      <w:r>
        <w:rPr>
          <w:sz w:val="28"/>
          <w:szCs w:val="28"/>
        </w:rPr>
        <w:tab/>
      </w:r>
    </w:p>
    <w:p w14:paraId="3823E143" w14:textId="03643A3C" w:rsidR="006D7E8D" w:rsidRPr="00727CBB" w:rsidRDefault="00EA2767" w:rsidP="00FC6B77">
      <w:pPr>
        <w:tabs>
          <w:tab w:val="left" w:pos="3276"/>
        </w:tabs>
        <w:rPr>
          <w:sz w:val="28"/>
          <w:szCs w:val="28"/>
          <w:lang w:val="en-US"/>
        </w:rPr>
        <w:sectPr w:rsidR="006D7E8D" w:rsidRPr="00727CBB" w:rsidSect="00460469">
          <w:footerReference w:type="default" r:id="rId13"/>
          <w:footerReference w:type="first" r:id="rId14"/>
          <w:pgSz w:w="11906" w:h="16838"/>
          <w:pgMar w:top="1417" w:right="1417" w:bottom="1417" w:left="1417" w:header="708" w:footer="708" w:gutter="0"/>
          <w:cols w:space="708"/>
          <w:titlePg/>
          <w:docGrid w:linePitch="360"/>
        </w:sectPr>
      </w:pPr>
      <w:r>
        <w:rPr>
          <w:sz w:val="28"/>
          <w:szCs w:val="28"/>
          <w:lang w:val="bg-BG"/>
        </w:rPr>
        <w:t xml:space="preserve"> </w:t>
      </w:r>
    </w:p>
    <w:sdt>
      <w:sdtPr>
        <w:rPr>
          <w:rFonts w:ascii="Times New Roman" w:eastAsiaTheme="minorHAnsi" w:hAnsi="Times New Roman" w:cstheme="minorBidi"/>
          <w:b w:val="0"/>
          <w:bCs w:val="0"/>
          <w:color w:val="auto"/>
          <w:sz w:val="22"/>
          <w:szCs w:val="22"/>
          <w:lang w:val="bg-BG"/>
        </w:rPr>
        <w:id w:val="25732477"/>
        <w:docPartObj>
          <w:docPartGallery w:val="Table of Contents"/>
          <w:docPartUnique/>
        </w:docPartObj>
      </w:sdtPr>
      <w:sdtEndPr>
        <w:rPr>
          <w:rFonts w:eastAsia="Times New Roman" w:cs="Times New Roman"/>
          <w:sz w:val="24"/>
          <w:szCs w:val="24"/>
          <w:lang w:val="en-GB"/>
        </w:rPr>
      </w:sdtEndPr>
      <w:sdtContent>
        <w:p w14:paraId="53859C02" w14:textId="77777777" w:rsidR="006B19B3" w:rsidRPr="00585624" w:rsidRDefault="006B19B3">
          <w:pPr>
            <w:pStyle w:val="TOCHeading"/>
            <w:rPr>
              <w:color w:val="C0504D" w:themeColor="accent2"/>
              <w:lang w:val="ru-RU"/>
            </w:rPr>
          </w:pPr>
          <w:r w:rsidRPr="006B19B3">
            <w:rPr>
              <w:color w:val="C0504D" w:themeColor="accent2"/>
              <w:lang w:val="bg-BG"/>
            </w:rPr>
            <w:t>СЪДЪРЖАНИЕ</w:t>
          </w:r>
        </w:p>
        <w:p w14:paraId="1D5D5200" w14:textId="640F57C1" w:rsidR="00167A57" w:rsidRDefault="00704518">
          <w:pPr>
            <w:pStyle w:val="TOC1"/>
            <w:tabs>
              <w:tab w:val="right" w:leader="dot" w:pos="9062"/>
            </w:tabs>
            <w:rPr>
              <w:rFonts w:asciiTheme="minorHAnsi" w:eastAsiaTheme="minorEastAsia" w:hAnsiTheme="minorHAnsi" w:cstheme="minorBidi"/>
              <w:noProof/>
              <w:sz w:val="22"/>
              <w:szCs w:val="22"/>
            </w:rPr>
          </w:pPr>
          <w:r>
            <w:fldChar w:fldCharType="begin"/>
          </w:r>
          <w:r w:rsidR="006B19B3">
            <w:instrText xml:space="preserve"> TOC \o "1-3" \h \z \u </w:instrText>
          </w:r>
          <w:r>
            <w:fldChar w:fldCharType="separate"/>
          </w:r>
          <w:hyperlink w:anchor="_Toc197365365" w:history="1">
            <w:r w:rsidR="00167A57" w:rsidRPr="001B7960">
              <w:rPr>
                <w:rStyle w:val="Hyperlink"/>
                <w:noProof/>
              </w:rPr>
              <w:t>КОНКУРСИ, СТИПЕНДИИ, СТАЖОВЕ</w:t>
            </w:r>
            <w:r w:rsidR="00167A57">
              <w:rPr>
                <w:noProof/>
                <w:webHidden/>
              </w:rPr>
              <w:tab/>
            </w:r>
            <w:r w:rsidR="00167A57">
              <w:rPr>
                <w:noProof/>
                <w:webHidden/>
              </w:rPr>
              <w:fldChar w:fldCharType="begin"/>
            </w:r>
            <w:r w:rsidR="00167A57">
              <w:rPr>
                <w:noProof/>
                <w:webHidden/>
              </w:rPr>
              <w:instrText xml:space="preserve"> PAGEREF _Toc197365365 \h </w:instrText>
            </w:r>
            <w:r w:rsidR="00167A57">
              <w:rPr>
                <w:noProof/>
                <w:webHidden/>
              </w:rPr>
            </w:r>
            <w:r w:rsidR="00167A57">
              <w:rPr>
                <w:noProof/>
                <w:webHidden/>
              </w:rPr>
              <w:fldChar w:fldCharType="separate"/>
            </w:r>
            <w:r w:rsidR="00167A57">
              <w:rPr>
                <w:noProof/>
                <w:webHidden/>
              </w:rPr>
              <w:t>4</w:t>
            </w:r>
            <w:r w:rsidR="00167A57">
              <w:rPr>
                <w:noProof/>
                <w:webHidden/>
              </w:rPr>
              <w:fldChar w:fldCharType="end"/>
            </w:r>
          </w:hyperlink>
        </w:p>
        <w:p w14:paraId="201F9CDF" w14:textId="4CDEEB6E"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66" w:history="1">
            <w:r w:rsidRPr="001B7960">
              <w:rPr>
                <w:rStyle w:val="Hyperlink"/>
                <w:rFonts w:ascii="Wingdings" w:hAnsi="Wingdings"/>
                <w:noProof/>
              </w:rPr>
              <w:t></w:t>
            </w:r>
            <w:r>
              <w:rPr>
                <w:rFonts w:asciiTheme="minorHAnsi" w:eastAsiaTheme="minorEastAsia" w:hAnsiTheme="minorHAnsi" w:cstheme="minorBidi"/>
                <w:noProof/>
                <w:sz w:val="22"/>
                <w:szCs w:val="22"/>
              </w:rPr>
              <w:tab/>
            </w:r>
            <w:r w:rsidRPr="001B7960">
              <w:rPr>
                <w:rStyle w:val="Hyperlink"/>
                <w:noProof/>
              </w:rPr>
              <w:t>Стипендия Schwarzman Scholars 2026 - магистратура и лидерска програма в Китай</w:t>
            </w:r>
            <w:r>
              <w:rPr>
                <w:noProof/>
                <w:webHidden/>
              </w:rPr>
              <w:tab/>
            </w:r>
            <w:r>
              <w:rPr>
                <w:noProof/>
                <w:webHidden/>
              </w:rPr>
              <w:fldChar w:fldCharType="begin"/>
            </w:r>
            <w:r>
              <w:rPr>
                <w:noProof/>
                <w:webHidden/>
              </w:rPr>
              <w:instrText xml:space="preserve"> PAGEREF _Toc197365366 \h </w:instrText>
            </w:r>
            <w:r>
              <w:rPr>
                <w:noProof/>
                <w:webHidden/>
              </w:rPr>
            </w:r>
            <w:r>
              <w:rPr>
                <w:noProof/>
                <w:webHidden/>
              </w:rPr>
              <w:fldChar w:fldCharType="separate"/>
            </w:r>
            <w:r>
              <w:rPr>
                <w:noProof/>
                <w:webHidden/>
              </w:rPr>
              <w:t>4</w:t>
            </w:r>
            <w:r>
              <w:rPr>
                <w:noProof/>
                <w:webHidden/>
              </w:rPr>
              <w:fldChar w:fldCharType="end"/>
            </w:r>
          </w:hyperlink>
        </w:p>
        <w:p w14:paraId="77D1ECCD" w14:textId="2B689EE2"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67" w:history="1">
            <w:r w:rsidRPr="001B7960">
              <w:rPr>
                <w:rStyle w:val="Hyperlink"/>
                <w:rFonts w:ascii="Wingdings" w:hAnsi="Wingdings"/>
                <w:noProof/>
              </w:rPr>
              <w:t></w:t>
            </w:r>
            <w:r>
              <w:rPr>
                <w:rFonts w:asciiTheme="minorHAnsi" w:eastAsiaTheme="minorEastAsia" w:hAnsiTheme="minorHAnsi" w:cstheme="minorBidi"/>
                <w:noProof/>
                <w:sz w:val="22"/>
                <w:szCs w:val="22"/>
              </w:rPr>
              <w:tab/>
            </w:r>
            <w:r w:rsidRPr="001B7960">
              <w:rPr>
                <w:rStyle w:val="Hyperlink"/>
                <w:noProof/>
              </w:rPr>
              <w:t>Undergraduate in STEM Scholarship</w:t>
            </w:r>
            <w:r>
              <w:rPr>
                <w:noProof/>
                <w:webHidden/>
              </w:rPr>
              <w:tab/>
            </w:r>
            <w:r>
              <w:rPr>
                <w:noProof/>
                <w:webHidden/>
              </w:rPr>
              <w:fldChar w:fldCharType="begin"/>
            </w:r>
            <w:r>
              <w:rPr>
                <w:noProof/>
                <w:webHidden/>
              </w:rPr>
              <w:instrText xml:space="preserve"> PAGEREF _Toc197365367 \h </w:instrText>
            </w:r>
            <w:r>
              <w:rPr>
                <w:noProof/>
                <w:webHidden/>
              </w:rPr>
            </w:r>
            <w:r>
              <w:rPr>
                <w:noProof/>
                <w:webHidden/>
              </w:rPr>
              <w:fldChar w:fldCharType="separate"/>
            </w:r>
            <w:r>
              <w:rPr>
                <w:noProof/>
                <w:webHidden/>
              </w:rPr>
              <w:t>4</w:t>
            </w:r>
            <w:r>
              <w:rPr>
                <w:noProof/>
                <w:webHidden/>
              </w:rPr>
              <w:fldChar w:fldCharType="end"/>
            </w:r>
          </w:hyperlink>
        </w:p>
        <w:p w14:paraId="4B7673DA" w14:textId="7D0594D9"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68" w:history="1">
            <w:r w:rsidRPr="001B7960">
              <w:rPr>
                <w:rStyle w:val="Hyperlink"/>
                <w:rFonts w:ascii="Wingdings" w:hAnsi="Wingdings"/>
                <w:noProof/>
                <w:lang w:val="en-US"/>
              </w:rPr>
              <w:t></w:t>
            </w:r>
            <w:r>
              <w:rPr>
                <w:rFonts w:asciiTheme="minorHAnsi" w:eastAsiaTheme="minorEastAsia" w:hAnsiTheme="minorHAnsi" w:cstheme="minorBidi"/>
                <w:noProof/>
                <w:sz w:val="22"/>
                <w:szCs w:val="22"/>
              </w:rPr>
              <w:tab/>
            </w:r>
            <w:r w:rsidRPr="001B7960">
              <w:rPr>
                <w:rStyle w:val="Hyperlink"/>
                <w:noProof/>
                <w:lang w:val="en-US"/>
              </w:rPr>
              <w:t>Women Scholarship for International Students</w:t>
            </w:r>
            <w:r>
              <w:rPr>
                <w:noProof/>
                <w:webHidden/>
              </w:rPr>
              <w:tab/>
            </w:r>
            <w:r>
              <w:rPr>
                <w:noProof/>
                <w:webHidden/>
              </w:rPr>
              <w:fldChar w:fldCharType="begin"/>
            </w:r>
            <w:r>
              <w:rPr>
                <w:noProof/>
                <w:webHidden/>
              </w:rPr>
              <w:instrText xml:space="preserve"> PAGEREF _Toc197365368 \h </w:instrText>
            </w:r>
            <w:r>
              <w:rPr>
                <w:noProof/>
                <w:webHidden/>
              </w:rPr>
            </w:r>
            <w:r>
              <w:rPr>
                <w:noProof/>
                <w:webHidden/>
              </w:rPr>
              <w:fldChar w:fldCharType="separate"/>
            </w:r>
            <w:r>
              <w:rPr>
                <w:noProof/>
                <w:webHidden/>
              </w:rPr>
              <w:t>5</w:t>
            </w:r>
            <w:r>
              <w:rPr>
                <w:noProof/>
                <w:webHidden/>
              </w:rPr>
              <w:fldChar w:fldCharType="end"/>
            </w:r>
          </w:hyperlink>
        </w:p>
        <w:p w14:paraId="1A4743F2" w14:textId="0D21616B"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69" w:history="1">
            <w:r w:rsidRPr="001B7960">
              <w:rPr>
                <w:rStyle w:val="Hyperlink"/>
                <w:rFonts w:ascii="Wingdings" w:hAnsi="Wingdings"/>
                <w:noProof/>
              </w:rPr>
              <w:t></w:t>
            </w:r>
            <w:r>
              <w:rPr>
                <w:rFonts w:asciiTheme="minorHAnsi" w:eastAsiaTheme="minorEastAsia" w:hAnsiTheme="minorHAnsi" w:cstheme="minorBidi"/>
                <w:noProof/>
                <w:sz w:val="22"/>
                <w:szCs w:val="22"/>
              </w:rPr>
              <w:tab/>
            </w:r>
            <w:r w:rsidRPr="001B7960">
              <w:rPr>
                <w:rStyle w:val="Hyperlink"/>
                <w:noProof/>
              </w:rPr>
              <w:t>One Young World – Leading Scholarship 2025</w:t>
            </w:r>
            <w:r>
              <w:rPr>
                <w:noProof/>
                <w:webHidden/>
              </w:rPr>
              <w:tab/>
            </w:r>
            <w:r>
              <w:rPr>
                <w:noProof/>
                <w:webHidden/>
              </w:rPr>
              <w:fldChar w:fldCharType="begin"/>
            </w:r>
            <w:r>
              <w:rPr>
                <w:noProof/>
                <w:webHidden/>
              </w:rPr>
              <w:instrText xml:space="preserve"> PAGEREF _Toc197365369 \h </w:instrText>
            </w:r>
            <w:r>
              <w:rPr>
                <w:noProof/>
                <w:webHidden/>
              </w:rPr>
            </w:r>
            <w:r>
              <w:rPr>
                <w:noProof/>
                <w:webHidden/>
              </w:rPr>
              <w:fldChar w:fldCharType="separate"/>
            </w:r>
            <w:r>
              <w:rPr>
                <w:noProof/>
                <w:webHidden/>
              </w:rPr>
              <w:t>5</w:t>
            </w:r>
            <w:r>
              <w:rPr>
                <w:noProof/>
                <w:webHidden/>
              </w:rPr>
              <w:fldChar w:fldCharType="end"/>
            </w:r>
          </w:hyperlink>
        </w:p>
        <w:p w14:paraId="3B0654E9" w14:textId="7A73188D"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70" w:history="1">
            <w:r w:rsidRPr="001B7960">
              <w:rPr>
                <w:rStyle w:val="Hyperlink"/>
                <w:rFonts w:ascii="Wingdings" w:hAnsi="Wingdings"/>
                <w:noProof/>
              </w:rPr>
              <w:t></w:t>
            </w:r>
            <w:r>
              <w:rPr>
                <w:rFonts w:asciiTheme="minorHAnsi" w:eastAsiaTheme="minorEastAsia" w:hAnsiTheme="minorHAnsi" w:cstheme="minorBidi"/>
                <w:noProof/>
                <w:sz w:val="22"/>
                <w:szCs w:val="22"/>
              </w:rPr>
              <w:tab/>
            </w:r>
            <w:r w:rsidRPr="001B7960">
              <w:rPr>
                <w:rStyle w:val="Hyperlink"/>
                <w:noProof/>
              </w:rPr>
              <w:t>INSAIT PhD fellowships</w:t>
            </w:r>
            <w:r>
              <w:rPr>
                <w:noProof/>
                <w:webHidden/>
              </w:rPr>
              <w:tab/>
            </w:r>
            <w:r>
              <w:rPr>
                <w:noProof/>
                <w:webHidden/>
              </w:rPr>
              <w:fldChar w:fldCharType="begin"/>
            </w:r>
            <w:r>
              <w:rPr>
                <w:noProof/>
                <w:webHidden/>
              </w:rPr>
              <w:instrText xml:space="preserve"> PAGEREF _Toc197365370 \h </w:instrText>
            </w:r>
            <w:r>
              <w:rPr>
                <w:noProof/>
                <w:webHidden/>
              </w:rPr>
            </w:r>
            <w:r>
              <w:rPr>
                <w:noProof/>
                <w:webHidden/>
              </w:rPr>
              <w:fldChar w:fldCharType="separate"/>
            </w:r>
            <w:r>
              <w:rPr>
                <w:noProof/>
                <w:webHidden/>
              </w:rPr>
              <w:t>5</w:t>
            </w:r>
            <w:r>
              <w:rPr>
                <w:noProof/>
                <w:webHidden/>
              </w:rPr>
              <w:fldChar w:fldCharType="end"/>
            </w:r>
          </w:hyperlink>
        </w:p>
        <w:p w14:paraId="7CF438BF" w14:textId="0889C471"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71" w:history="1">
            <w:r w:rsidRPr="001B7960">
              <w:rPr>
                <w:rStyle w:val="Hyperlink"/>
                <w:rFonts w:ascii="Wingdings" w:hAnsi="Wingdings"/>
                <w:noProof/>
                <w:lang w:val="bg-BG"/>
              </w:rPr>
              <w:t></w:t>
            </w:r>
            <w:r>
              <w:rPr>
                <w:rFonts w:asciiTheme="minorHAnsi" w:eastAsiaTheme="minorEastAsia" w:hAnsiTheme="minorHAnsi" w:cstheme="minorBidi"/>
                <w:noProof/>
                <w:sz w:val="22"/>
                <w:szCs w:val="22"/>
              </w:rPr>
              <w:tab/>
            </w:r>
            <w:r w:rsidRPr="001B7960">
              <w:rPr>
                <w:rStyle w:val="Hyperlink"/>
                <w:noProof/>
                <w:lang w:val="bg-BG"/>
              </w:rPr>
              <w:t>Стипендии на Колежа за отбрана на НАТО</w:t>
            </w:r>
            <w:r>
              <w:rPr>
                <w:noProof/>
                <w:webHidden/>
              </w:rPr>
              <w:tab/>
            </w:r>
            <w:r>
              <w:rPr>
                <w:noProof/>
                <w:webHidden/>
              </w:rPr>
              <w:fldChar w:fldCharType="begin"/>
            </w:r>
            <w:r>
              <w:rPr>
                <w:noProof/>
                <w:webHidden/>
              </w:rPr>
              <w:instrText xml:space="preserve"> PAGEREF _Toc197365371 \h </w:instrText>
            </w:r>
            <w:r>
              <w:rPr>
                <w:noProof/>
                <w:webHidden/>
              </w:rPr>
            </w:r>
            <w:r>
              <w:rPr>
                <w:noProof/>
                <w:webHidden/>
              </w:rPr>
              <w:fldChar w:fldCharType="separate"/>
            </w:r>
            <w:r>
              <w:rPr>
                <w:noProof/>
                <w:webHidden/>
              </w:rPr>
              <w:t>7</w:t>
            </w:r>
            <w:r>
              <w:rPr>
                <w:noProof/>
                <w:webHidden/>
              </w:rPr>
              <w:fldChar w:fldCharType="end"/>
            </w:r>
          </w:hyperlink>
        </w:p>
        <w:p w14:paraId="4031E9E1" w14:textId="70EB924E"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72" w:history="1">
            <w:r w:rsidRPr="001B7960">
              <w:rPr>
                <w:rStyle w:val="Hyperlink"/>
                <w:rFonts w:ascii="Wingdings" w:hAnsi="Wingdings"/>
                <w:noProof/>
                <w:lang w:val="bg-BG"/>
              </w:rPr>
              <w:t></w:t>
            </w:r>
            <w:r>
              <w:rPr>
                <w:rFonts w:asciiTheme="minorHAnsi" w:eastAsiaTheme="minorEastAsia" w:hAnsiTheme="minorHAnsi" w:cstheme="minorBidi"/>
                <w:noProof/>
                <w:sz w:val="22"/>
                <w:szCs w:val="22"/>
              </w:rPr>
              <w:tab/>
            </w:r>
            <w:r w:rsidRPr="001B7960">
              <w:rPr>
                <w:rStyle w:val="Hyperlink"/>
                <w:noProof/>
                <w:lang w:val="bg-BG"/>
              </w:rPr>
              <w:t>Стаж в Европейския парламент</w:t>
            </w:r>
            <w:r>
              <w:rPr>
                <w:noProof/>
                <w:webHidden/>
              </w:rPr>
              <w:tab/>
            </w:r>
            <w:r>
              <w:rPr>
                <w:noProof/>
                <w:webHidden/>
              </w:rPr>
              <w:fldChar w:fldCharType="begin"/>
            </w:r>
            <w:r>
              <w:rPr>
                <w:noProof/>
                <w:webHidden/>
              </w:rPr>
              <w:instrText xml:space="preserve"> PAGEREF _Toc197365372 \h </w:instrText>
            </w:r>
            <w:r>
              <w:rPr>
                <w:noProof/>
                <w:webHidden/>
              </w:rPr>
            </w:r>
            <w:r>
              <w:rPr>
                <w:noProof/>
                <w:webHidden/>
              </w:rPr>
              <w:fldChar w:fldCharType="separate"/>
            </w:r>
            <w:r>
              <w:rPr>
                <w:noProof/>
                <w:webHidden/>
              </w:rPr>
              <w:t>7</w:t>
            </w:r>
            <w:r>
              <w:rPr>
                <w:noProof/>
                <w:webHidden/>
              </w:rPr>
              <w:fldChar w:fldCharType="end"/>
            </w:r>
          </w:hyperlink>
        </w:p>
        <w:p w14:paraId="55E62531" w14:textId="2E599339"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73" w:history="1">
            <w:r w:rsidRPr="001B7960">
              <w:rPr>
                <w:rStyle w:val="Hyperlink"/>
                <w:rFonts w:ascii="Wingdings" w:hAnsi="Wingdings"/>
                <w:noProof/>
              </w:rPr>
              <w:t></w:t>
            </w:r>
            <w:r>
              <w:rPr>
                <w:rFonts w:asciiTheme="minorHAnsi" w:eastAsiaTheme="minorEastAsia" w:hAnsiTheme="minorHAnsi" w:cstheme="minorBidi"/>
                <w:noProof/>
                <w:sz w:val="22"/>
                <w:szCs w:val="22"/>
              </w:rPr>
              <w:tab/>
            </w:r>
            <w:r w:rsidRPr="001B7960">
              <w:rPr>
                <w:rStyle w:val="Hyperlink"/>
                <w:noProof/>
                <w:lang w:val="bg-BG"/>
              </w:rPr>
              <w:t xml:space="preserve">Стажант „Човешки ресурси“ в </w:t>
            </w:r>
            <w:r w:rsidRPr="001B7960">
              <w:rPr>
                <w:rStyle w:val="Hyperlink"/>
                <w:noProof/>
              </w:rPr>
              <w:t>MacGregor</w:t>
            </w:r>
            <w:r>
              <w:rPr>
                <w:noProof/>
                <w:webHidden/>
              </w:rPr>
              <w:tab/>
            </w:r>
            <w:r>
              <w:rPr>
                <w:noProof/>
                <w:webHidden/>
              </w:rPr>
              <w:fldChar w:fldCharType="begin"/>
            </w:r>
            <w:r>
              <w:rPr>
                <w:noProof/>
                <w:webHidden/>
              </w:rPr>
              <w:instrText xml:space="preserve"> PAGEREF _Toc197365373 \h </w:instrText>
            </w:r>
            <w:r>
              <w:rPr>
                <w:noProof/>
                <w:webHidden/>
              </w:rPr>
            </w:r>
            <w:r>
              <w:rPr>
                <w:noProof/>
                <w:webHidden/>
              </w:rPr>
              <w:fldChar w:fldCharType="separate"/>
            </w:r>
            <w:r>
              <w:rPr>
                <w:noProof/>
                <w:webHidden/>
              </w:rPr>
              <w:t>8</w:t>
            </w:r>
            <w:r>
              <w:rPr>
                <w:noProof/>
                <w:webHidden/>
              </w:rPr>
              <w:fldChar w:fldCharType="end"/>
            </w:r>
          </w:hyperlink>
        </w:p>
        <w:p w14:paraId="792DBB70" w14:textId="371558C3"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74" w:history="1">
            <w:r w:rsidRPr="001B7960">
              <w:rPr>
                <w:rStyle w:val="Hyperlink"/>
                <w:rFonts w:ascii="Wingdings" w:hAnsi="Wingdings"/>
                <w:noProof/>
              </w:rPr>
              <w:t></w:t>
            </w:r>
            <w:r>
              <w:rPr>
                <w:rFonts w:asciiTheme="minorHAnsi" w:eastAsiaTheme="minorEastAsia" w:hAnsiTheme="minorHAnsi" w:cstheme="minorBidi"/>
                <w:noProof/>
                <w:sz w:val="22"/>
                <w:szCs w:val="22"/>
              </w:rPr>
              <w:tab/>
            </w:r>
            <w:r w:rsidRPr="001B7960">
              <w:rPr>
                <w:rStyle w:val="Hyperlink"/>
                <w:noProof/>
                <w:lang w:val="bg-BG"/>
              </w:rPr>
              <w:t>Стаж в к</w:t>
            </w:r>
            <w:r w:rsidRPr="001B7960">
              <w:rPr>
                <w:rStyle w:val="Hyperlink"/>
                <w:noProof/>
              </w:rPr>
              <w:t>омпания Coca-Cola Hellenic</w:t>
            </w:r>
            <w:r>
              <w:rPr>
                <w:noProof/>
                <w:webHidden/>
              </w:rPr>
              <w:tab/>
            </w:r>
            <w:r>
              <w:rPr>
                <w:noProof/>
                <w:webHidden/>
              </w:rPr>
              <w:fldChar w:fldCharType="begin"/>
            </w:r>
            <w:r>
              <w:rPr>
                <w:noProof/>
                <w:webHidden/>
              </w:rPr>
              <w:instrText xml:space="preserve"> PAGEREF _Toc197365374 \h </w:instrText>
            </w:r>
            <w:r>
              <w:rPr>
                <w:noProof/>
                <w:webHidden/>
              </w:rPr>
            </w:r>
            <w:r>
              <w:rPr>
                <w:noProof/>
                <w:webHidden/>
              </w:rPr>
              <w:fldChar w:fldCharType="separate"/>
            </w:r>
            <w:r>
              <w:rPr>
                <w:noProof/>
                <w:webHidden/>
              </w:rPr>
              <w:t>8</w:t>
            </w:r>
            <w:r>
              <w:rPr>
                <w:noProof/>
                <w:webHidden/>
              </w:rPr>
              <w:fldChar w:fldCharType="end"/>
            </w:r>
          </w:hyperlink>
        </w:p>
        <w:p w14:paraId="6A7CB471" w14:textId="3411AA8A"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75" w:history="1">
            <w:r w:rsidRPr="001B7960">
              <w:rPr>
                <w:rStyle w:val="Hyperlink"/>
                <w:rFonts w:ascii="Wingdings" w:hAnsi="Wingdings"/>
                <w:noProof/>
              </w:rPr>
              <w:t></w:t>
            </w:r>
            <w:r>
              <w:rPr>
                <w:rFonts w:asciiTheme="minorHAnsi" w:eastAsiaTheme="minorEastAsia" w:hAnsiTheme="minorHAnsi" w:cstheme="minorBidi"/>
                <w:noProof/>
                <w:sz w:val="22"/>
                <w:szCs w:val="22"/>
              </w:rPr>
              <w:tab/>
            </w:r>
            <w:r w:rsidRPr="001B7960">
              <w:rPr>
                <w:rStyle w:val="Hyperlink"/>
                <w:noProof/>
              </w:rPr>
              <w:t>Стажант еколог</w:t>
            </w:r>
            <w:r w:rsidRPr="001B7960">
              <w:rPr>
                <w:rStyle w:val="Hyperlink"/>
                <w:noProof/>
                <w:lang w:val="bg-BG"/>
              </w:rPr>
              <w:t xml:space="preserve"> в </w:t>
            </w:r>
            <w:r w:rsidRPr="001B7960">
              <w:rPr>
                <w:rStyle w:val="Hyperlink"/>
                <w:noProof/>
              </w:rPr>
              <w:t>CERATIZIT Bulgaria</w:t>
            </w:r>
            <w:r>
              <w:rPr>
                <w:noProof/>
                <w:webHidden/>
              </w:rPr>
              <w:tab/>
            </w:r>
            <w:r>
              <w:rPr>
                <w:noProof/>
                <w:webHidden/>
              </w:rPr>
              <w:fldChar w:fldCharType="begin"/>
            </w:r>
            <w:r>
              <w:rPr>
                <w:noProof/>
                <w:webHidden/>
              </w:rPr>
              <w:instrText xml:space="preserve"> PAGEREF _Toc197365375 \h </w:instrText>
            </w:r>
            <w:r>
              <w:rPr>
                <w:noProof/>
                <w:webHidden/>
              </w:rPr>
            </w:r>
            <w:r>
              <w:rPr>
                <w:noProof/>
                <w:webHidden/>
              </w:rPr>
              <w:fldChar w:fldCharType="separate"/>
            </w:r>
            <w:r>
              <w:rPr>
                <w:noProof/>
                <w:webHidden/>
              </w:rPr>
              <w:t>9</w:t>
            </w:r>
            <w:r>
              <w:rPr>
                <w:noProof/>
                <w:webHidden/>
              </w:rPr>
              <w:fldChar w:fldCharType="end"/>
            </w:r>
          </w:hyperlink>
        </w:p>
        <w:p w14:paraId="4D233D86" w14:textId="0C4EB409"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76" w:history="1">
            <w:r w:rsidRPr="001B7960">
              <w:rPr>
                <w:rStyle w:val="Hyperlink"/>
                <w:rFonts w:ascii="Wingdings" w:hAnsi="Wingdings"/>
                <w:noProof/>
                <w:lang w:val="bg-BG"/>
              </w:rPr>
              <w:t></w:t>
            </w:r>
            <w:r>
              <w:rPr>
                <w:rFonts w:asciiTheme="minorHAnsi" w:eastAsiaTheme="minorEastAsia" w:hAnsiTheme="minorHAnsi" w:cstheme="minorBidi"/>
                <w:noProof/>
                <w:sz w:val="22"/>
                <w:szCs w:val="22"/>
              </w:rPr>
              <w:tab/>
            </w:r>
            <w:r w:rsidRPr="001B7960">
              <w:rPr>
                <w:rStyle w:val="Hyperlink"/>
                <w:noProof/>
                <w:lang w:val="bg-BG"/>
              </w:rPr>
              <w:t>Стаж по маркетинг в социалните медии</w:t>
            </w:r>
            <w:r>
              <w:rPr>
                <w:noProof/>
                <w:webHidden/>
              </w:rPr>
              <w:tab/>
            </w:r>
            <w:r>
              <w:rPr>
                <w:noProof/>
                <w:webHidden/>
              </w:rPr>
              <w:fldChar w:fldCharType="begin"/>
            </w:r>
            <w:r>
              <w:rPr>
                <w:noProof/>
                <w:webHidden/>
              </w:rPr>
              <w:instrText xml:space="preserve"> PAGEREF _Toc197365376 \h </w:instrText>
            </w:r>
            <w:r>
              <w:rPr>
                <w:noProof/>
                <w:webHidden/>
              </w:rPr>
            </w:r>
            <w:r>
              <w:rPr>
                <w:noProof/>
                <w:webHidden/>
              </w:rPr>
              <w:fldChar w:fldCharType="separate"/>
            </w:r>
            <w:r>
              <w:rPr>
                <w:noProof/>
                <w:webHidden/>
              </w:rPr>
              <w:t>9</w:t>
            </w:r>
            <w:r>
              <w:rPr>
                <w:noProof/>
                <w:webHidden/>
              </w:rPr>
              <w:fldChar w:fldCharType="end"/>
            </w:r>
          </w:hyperlink>
        </w:p>
        <w:p w14:paraId="5BFC1BCA" w14:textId="14B5DEE0"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77" w:history="1">
            <w:r w:rsidRPr="001B7960">
              <w:rPr>
                <w:rStyle w:val="Hyperlink"/>
                <w:rFonts w:ascii="Wingdings" w:hAnsi="Wingdings"/>
                <w:noProof/>
              </w:rPr>
              <w:t></w:t>
            </w:r>
            <w:r>
              <w:rPr>
                <w:rFonts w:asciiTheme="minorHAnsi" w:eastAsiaTheme="minorEastAsia" w:hAnsiTheme="minorHAnsi" w:cstheme="minorBidi"/>
                <w:noProof/>
                <w:sz w:val="22"/>
                <w:szCs w:val="22"/>
              </w:rPr>
              <w:tab/>
            </w:r>
            <w:r w:rsidRPr="001B7960">
              <w:rPr>
                <w:rStyle w:val="Hyperlink"/>
                <w:noProof/>
              </w:rPr>
              <w:t>Лятна стажантска програма</w:t>
            </w:r>
            <w:r w:rsidRPr="001B7960">
              <w:rPr>
                <w:rStyle w:val="Hyperlink"/>
                <w:noProof/>
                <w:lang w:val="bg-BG"/>
              </w:rPr>
              <w:t xml:space="preserve"> на </w:t>
            </w:r>
            <w:r w:rsidRPr="001B7960">
              <w:rPr>
                <w:rStyle w:val="Hyperlink"/>
                <w:noProof/>
              </w:rPr>
              <w:t>"Мото-Пфое"</w:t>
            </w:r>
            <w:r>
              <w:rPr>
                <w:noProof/>
                <w:webHidden/>
              </w:rPr>
              <w:tab/>
            </w:r>
            <w:r>
              <w:rPr>
                <w:noProof/>
                <w:webHidden/>
              </w:rPr>
              <w:fldChar w:fldCharType="begin"/>
            </w:r>
            <w:r>
              <w:rPr>
                <w:noProof/>
                <w:webHidden/>
              </w:rPr>
              <w:instrText xml:space="preserve"> PAGEREF _Toc197365377 \h </w:instrText>
            </w:r>
            <w:r>
              <w:rPr>
                <w:noProof/>
                <w:webHidden/>
              </w:rPr>
            </w:r>
            <w:r>
              <w:rPr>
                <w:noProof/>
                <w:webHidden/>
              </w:rPr>
              <w:fldChar w:fldCharType="separate"/>
            </w:r>
            <w:r>
              <w:rPr>
                <w:noProof/>
                <w:webHidden/>
              </w:rPr>
              <w:t>10</w:t>
            </w:r>
            <w:r>
              <w:rPr>
                <w:noProof/>
                <w:webHidden/>
              </w:rPr>
              <w:fldChar w:fldCharType="end"/>
            </w:r>
          </w:hyperlink>
        </w:p>
        <w:p w14:paraId="71C2F39D" w14:textId="165B33D3"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78" w:history="1">
            <w:r w:rsidRPr="001B7960">
              <w:rPr>
                <w:rStyle w:val="Hyperlink"/>
                <w:rFonts w:ascii="Wingdings" w:hAnsi="Wingdings"/>
                <w:noProof/>
                <w:lang w:val="bg-BG"/>
              </w:rPr>
              <w:t></w:t>
            </w:r>
            <w:r>
              <w:rPr>
                <w:rFonts w:asciiTheme="minorHAnsi" w:eastAsiaTheme="minorEastAsia" w:hAnsiTheme="minorHAnsi" w:cstheme="minorBidi"/>
                <w:noProof/>
                <w:sz w:val="22"/>
                <w:szCs w:val="22"/>
              </w:rPr>
              <w:tab/>
            </w:r>
            <w:r w:rsidRPr="001B7960">
              <w:rPr>
                <w:rStyle w:val="Hyperlink"/>
                <w:noProof/>
                <w:lang w:val="bg-BG"/>
              </w:rPr>
              <w:t>Стаж в м</w:t>
            </w:r>
            <w:r w:rsidRPr="001B7960">
              <w:rPr>
                <w:rStyle w:val="Hyperlink"/>
                <w:noProof/>
              </w:rPr>
              <w:t>еждународната компания Onsites</w:t>
            </w:r>
            <w:r>
              <w:rPr>
                <w:noProof/>
                <w:webHidden/>
              </w:rPr>
              <w:tab/>
            </w:r>
            <w:r>
              <w:rPr>
                <w:noProof/>
                <w:webHidden/>
              </w:rPr>
              <w:fldChar w:fldCharType="begin"/>
            </w:r>
            <w:r>
              <w:rPr>
                <w:noProof/>
                <w:webHidden/>
              </w:rPr>
              <w:instrText xml:space="preserve"> PAGEREF _Toc197365378 \h </w:instrText>
            </w:r>
            <w:r>
              <w:rPr>
                <w:noProof/>
                <w:webHidden/>
              </w:rPr>
            </w:r>
            <w:r>
              <w:rPr>
                <w:noProof/>
                <w:webHidden/>
              </w:rPr>
              <w:fldChar w:fldCharType="separate"/>
            </w:r>
            <w:r>
              <w:rPr>
                <w:noProof/>
                <w:webHidden/>
              </w:rPr>
              <w:t>10</w:t>
            </w:r>
            <w:r>
              <w:rPr>
                <w:noProof/>
                <w:webHidden/>
              </w:rPr>
              <w:fldChar w:fldCharType="end"/>
            </w:r>
          </w:hyperlink>
        </w:p>
        <w:p w14:paraId="5F08C911" w14:textId="06490B22"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79" w:history="1">
            <w:r w:rsidRPr="001B7960">
              <w:rPr>
                <w:rStyle w:val="Hyperlink"/>
                <w:rFonts w:ascii="Wingdings" w:hAnsi="Wingdings"/>
                <w:noProof/>
                <w:lang w:val="bg-BG"/>
              </w:rPr>
              <w:t></w:t>
            </w:r>
            <w:r>
              <w:rPr>
                <w:rFonts w:asciiTheme="minorHAnsi" w:eastAsiaTheme="minorEastAsia" w:hAnsiTheme="minorHAnsi" w:cstheme="minorBidi"/>
                <w:noProof/>
                <w:sz w:val="22"/>
                <w:szCs w:val="22"/>
              </w:rPr>
              <w:tab/>
            </w:r>
            <w:r w:rsidRPr="001B7960">
              <w:rPr>
                <w:rStyle w:val="Hyperlink"/>
                <w:noProof/>
                <w:lang w:val="bg-BG"/>
              </w:rPr>
              <w:t>Стаж в Пощенска банка</w:t>
            </w:r>
            <w:r>
              <w:rPr>
                <w:noProof/>
                <w:webHidden/>
              </w:rPr>
              <w:tab/>
            </w:r>
            <w:r>
              <w:rPr>
                <w:noProof/>
                <w:webHidden/>
              </w:rPr>
              <w:fldChar w:fldCharType="begin"/>
            </w:r>
            <w:r>
              <w:rPr>
                <w:noProof/>
                <w:webHidden/>
              </w:rPr>
              <w:instrText xml:space="preserve"> PAGEREF _Toc197365379 \h </w:instrText>
            </w:r>
            <w:r>
              <w:rPr>
                <w:noProof/>
                <w:webHidden/>
              </w:rPr>
            </w:r>
            <w:r>
              <w:rPr>
                <w:noProof/>
                <w:webHidden/>
              </w:rPr>
              <w:fldChar w:fldCharType="separate"/>
            </w:r>
            <w:r>
              <w:rPr>
                <w:noProof/>
                <w:webHidden/>
              </w:rPr>
              <w:t>11</w:t>
            </w:r>
            <w:r>
              <w:rPr>
                <w:noProof/>
                <w:webHidden/>
              </w:rPr>
              <w:fldChar w:fldCharType="end"/>
            </w:r>
          </w:hyperlink>
        </w:p>
        <w:p w14:paraId="6F1674E7" w14:textId="3C556EAD"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80" w:history="1">
            <w:r w:rsidRPr="001B7960">
              <w:rPr>
                <w:rStyle w:val="Hyperlink"/>
                <w:rFonts w:ascii="Wingdings" w:hAnsi="Wingdings"/>
                <w:noProof/>
                <w:lang w:val="bg-BG"/>
              </w:rPr>
              <w:t></w:t>
            </w:r>
            <w:r>
              <w:rPr>
                <w:rFonts w:asciiTheme="minorHAnsi" w:eastAsiaTheme="minorEastAsia" w:hAnsiTheme="minorHAnsi" w:cstheme="minorBidi"/>
                <w:noProof/>
                <w:sz w:val="22"/>
                <w:szCs w:val="22"/>
              </w:rPr>
              <w:tab/>
            </w:r>
            <w:r w:rsidRPr="001B7960">
              <w:rPr>
                <w:rStyle w:val="Hyperlink"/>
                <w:noProof/>
                <w:lang w:val="bg-BG"/>
              </w:rPr>
              <w:t>Стажантска програма на банка ДСК</w:t>
            </w:r>
            <w:r>
              <w:rPr>
                <w:noProof/>
                <w:webHidden/>
              </w:rPr>
              <w:tab/>
            </w:r>
            <w:r>
              <w:rPr>
                <w:noProof/>
                <w:webHidden/>
              </w:rPr>
              <w:fldChar w:fldCharType="begin"/>
            </w:r>
            <w:r>
              <w:rPr>
                <w:noProof/>
                <w:webHidden/>
              </w:rPr>
              <w:instrText xml:space="preserve"> PAGEREF _Toc197365380 \h </w:instrText>
            </w:r>
            <w:r>
              <w:rPr>
                <w:noProof/>
                <w:webHidden/>
              </w:rPr>
            </w:r>
            <w:r>
              <w:rPr>
                <w:noProof/>
                <w:webHidden/>
              </w:rPr>
              <w:fldChar w:fldCharType="separate"/>
            </w:r>
            <w:r>
              <w:rPr>
                <w:noProof/>
                <w:webHidden/>
              </w:rPr>
              <w:t>11</w:t>
            </w:r>
            <w:r>
              <w:rPr>
                <w:noProof/>
                <w:webHidden/>
              </w:rPr>
              <w:fldChar w:fldCharType="end"/>
            </w:r>
          </w:hyperlink>
        </w:p>
        <w:p w14:paraId="4B8FB90E" w14:textId="66682568"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81" w:history="1">
            <w:r w:rsidRPr="001B7960">
              <w:rPr>
                <w:rStyle w:val="Hyperlink"/>
                <w:rFonts w:ascii="Wingdings" w:hAnsi="Wingdings"/>
                <w:noProof/>
                <w:lang w:val="bg-BG"/>
              </w:rPr>
              <w:t></w:t>
            </w:r>
            <w:r>
              <w:rPr>
                <w:rFonts w:asciiTheme="minorHAnsi" w:eastAsiaTheme="minorEastAsia" w:hAnsiTheme="minorHAnsi" w:cstheme="minorBidi"/>
                <w:noProof/>
                <w:sz w:val="22"/>
                <w:szCs w:val="22"/>
              </w:rPr>
              <w:tab/>
            </w:r>
            <w:r w:rsidRPr="001B7960">
              <w:rPr>
                <w:rStyle w:val="Hyperlink"/>
                <w:noProof/>
                <w:lang w:val="bg-BG"/>
              </w:rPr>
              <w:t>Обучение и стаж за програмисти</w:t>
            </w:r>
            <w:r>
              <w:rPr>
                <w:noProof/>
                <w:webHidden/>
              </w:rPr>
              <w:tab/>
            </w:r>
            <w:r>
              <w:rPr>
                <w:noProof/>
                <w:webHidden/>
              </w:rPr>
              <w:fldChar w:fldCharType="begin"/>
            </w:r>
            <w:r>
              <w:rPr>
                <w:noProof/>
                <w:webHidden/>
              </w:rPr>
              <w:instrText xml:space="preserve"> PAGEREF _Toc197365381 \h </w:instrText>
            </w:r>
            <w:r>
              <w:rPr>
                <w:noProof/>
                <w:webHidden/>
              </w:rPr>
            </w:r>
            <w:r>
              <w:rPr>
                <w:noProof/>
                <w:webHidden/>
              </w:rPr>
              <w:fldChar w:fldCharType="separate"/>
            </w:r>
            <w:r>
              <w:rPr>
                <w:noProof/>
                <w:webHidden/>
              </w:rPr>
              <w:t>11</w:t>
            </w:r>
            <w:r>
              <w:rPr>
                <w:noProof/>
                <w:webHidden/>
              </w:rPr>
              <w:fldChar w:fldCharType="end"/>
            </w:r>
          </w:hyperlink>
        </w:p>
        <w:p w14:paraId="63BB20BB" w14:textId="36FCDBD8"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82" w:history="1">
            <w:r w:rsidRPr="001B7960">
              <w:rPr>
                <w:rStyle w:val="Hyperlink"/>
                <w:rFonts w:ascii="Wingdings" w:hAnsi="Wingdings"/>
                <w:noProof/>
                <w:lang w:val="bg-BG"/>
              </w:rPr>
              <w:t></w:t>
            </w:r>
            <w:r>
              <w:rPr>
                <w:rFonts w:asciiTheme="minorHAnsi" w:eastAsiaTheme="minorEastAsia" w:hAnsiTheme="minorHAnsi" w:cstheme="minorBidi"/>
                <w:noProof/>
                <w:sz w:val="22"/>
                <w:szCs w:val="22"/>
              </w:rPr>
              <w:tab/>
            </w:r>
            <w:r w:rsidRPr="001B7960">
              <w:rPr>
                <w:rStyle w:val="Hyperlink"/>
                <w:noProof/>
                <w:lang w:val="bg-BG"/>
              </w:rPr>
              <w:t xml:space="preserve">Стаж в </w:t>
            </w:r>
            <w:r w:rsidRPr="001B7960">
              <w:rPr>
                <w:rStyle w:val="Hyperlink"/>
                <w:noProof/>
              </w:rPr>
              <w:t>„Уникредит Булбанк“</w:t>
            </w:r>
            <w:r>
              <w:rPr>
                <w:noProof/>
                <w:webHidden/>
              </w:rPr>
              <w:tab/>
            </w:r>
            <w:r>
              <w:rPr>
                <w:noProof/>
                <w:webHidden/>
              </w:rPr>
              <w:fldChar w:fldCharType="begin"/>
            </w:r>
            <w:r>
              <w:rPr>
                <w:noProof/>
                <w:webHidden/>
              </w:rPr>
              <w:instrText xml:space="preserve"> PAGEREF _Toc197365382 \h </w:instrText>
            </w:r>
            <w:r>
              <w:rPr>
                <w:noProof/>
                <w:webHidden/>
              </w:rPr>
            </w:r>
            <w:r>
              <w:rPr>
                <w:noProof/>
                <w:webHidden/>
              </w:rPr>
              <w:fldChar w:fldCharType="separate"/>
            </w:r>
            <w:r>
              <w:rPr>
                <w:noProof/>
                <w:webHidden/>
              </w:rPr>
              <w:t>12</w:t>
            </w:r>
            <w:r>
              <w:rPr>
                <w:noProof/>
                <w:webHidden/>
              </w:rPr>
              <w:fldChar w:fldCharType="end"/>
            </w:r>
          </w:hyperlink>
        </w:p>
        <w:p w14:paraId="1CE38D30" w14:textId="5A5F412B"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83" w:history="1">
            <w:r w:rsidRPr="001B7960">
              <w:rPr>
                <w:rStyle w:val="Hyperlink"/>
                <w:rFonts w:ascii="Wingdings" w:hAnsi="Wingdings"/>
                <w:noProof/>
              </w:rPr>
              <w:t></w:t>
            </w:r>
            <w:r>
              <w:rPr>
                <w:rFonts w:asciiTheme="minorHAnsi" w:eastAsiaTheme="minorEastAsia" w:hAnsiTheme="minorHAnsi" w:cstheme="minorBidi"/>
                <w:noProof/>
                <w:sz w:val="22"/>
                <w:szCs w:val="22"/>
              </w:rPr>
              <w:tab/>
            </w:r>
            <w:r w:rsidRPr="001B7960">
              <w:rPr>
                <w:rStyle w:val="Hyperlink"/>
                <w:noProof/>
              </w:rPr>
              <w:t>Преддипломен стаж за фармацевти</w:t>
            </w:r>
            <w:r>
              <w:rPr>
                <w:noProof/>
                <w:webHidden/>
              </w:rPr>
              <w:tab/>
            </w:r>
            <w:r>
              <w:rPr>
                <w:noProof/>
                <w:webHidden/>
              </w:rPr>
              <w:fldChar w:fldCharType="begin"/>
            </w:r>
            <w:r>
              <w:rPr>
                <w:noProof/>
                <w:webHidden/>
              </w:rPr>
              <w:instrText xml:space="preserve"> PAGEREF _Toc197365383 \h </w:instrText>
            </w:r>
            <w:r>
              <w:rPr>
                <w:noProof/>
                <w:webHidden/>
              </w:rPr>
            </w:r>
            <w:r>
              <w:rPr>
                <w:noProof/>
                <w:webHidden/>
              </w:rPr>
              <w:fldChar w:fldCharType="separate"/>
            </w:r>
            <w:r>
              <w:rPr>
                <w:noProof/>
                <w:webHidden/>
              </w:rPr>
              <w:t>12</w:t>
            </w:r>
            <w:r>
              <w:rPr>
                <w:noProof/>
                <w:webHidden/>
              </w:rPr>
              <w:fldChar w:fldCharType="end"/>
            </w:r>
          </w:hyperlink>
        </w:p>
        <w:p w14:paraId="60AC2973" w14:textId="1F818551"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84" w:history="1">
            <w:r w:rsidRPr="001B7960">
              <w:rPr>
                <w:rStyle w:val="Hyperlink"/>
                <w:rFonts w:ascii="Wingdings" w:hAnsi="Wingdings"/>
                <w:noProof/>
              </w:rPr>
              <w:t></w:t>
            </w:r>
            <w:r>
              <w:rPr>
                <w:rFonts w:asciiTheme="minorHAnsi" w:eastAsiaTheme="minorEastAsia" w:hAnsiTheme="minorHAnsi" w:cstheme="minorBidi"/>
                <w:noProof/>
                <w:sz w:val="22"/>
                <w:szCs w:val="22"/>
              </w:rPr>
              <w:tab/>
            </w:r>
            <w:r w:rsidRPr="001B7960">
              <w:rPr>
                <w:rStyle w:val="Hyperlink"/>
                <w:noProof/>
              </w:rPr>
              <w:t>Стажантска програма</w:t>
            </w:r>
            <w:r w:rsidRPr="001B7960">
              <w:rPr>
                <w:rStyle w:val="Hyperlink"/>
                <w:noProof/>
                <w:lang w:val="bg-BG"/>
              </w:rPr>
              <w:t xml:space="preserve"> на </w:t>
            </w:r>
            <w:r w:rsidRPr="001B7960">
              <w:rPr>
                <w:rStyle w:val="Hyperlink"/>
                <w:noProof/>
              </w:rPr>
              <w:t>Българска</w:t>
            </w:r>
            <w:r w:rsidRPr="001B7960">
              <w:rPr>
                <w:rStyle w:val="Hyperlink"/>
                <w:noProof/>
                <w:lang w:val="bg-BG"/>
              </w:rPr>
              <w:t>та</w:t>
            </w:r>
            <w:r w:rsidRPr="001B7960">
              <w:rPr>
                <w:rStyle w:val="Hyperlink"/>
                <w:noProof/>
              </w:rPr>
              <w:t xml:space="preserve"> телеграфна агенция</w:t>
            </w:r>
            <w:r>
              <w:rPr>
                <w:noProof/>
                <w:webHidden/>
              </w:rPr>
              <w:tab/>
            </w:r>
            <w:r>
              <w:rPr>
                <w:noProof/>
                <w:webHidden/>
              </w:rPr>
              <w:fldChar w:fldCharType="begin"/>
            </w:r>
            <w:r>
              <w:rPr>
                <w:noProof/>
                <w:webHidden/>
              </w:rPr>
              <w:instrText xml:space="preserve"> PAGEREF _Toc197365384 \h </w:instrText>
            </w:r>
            <w:r>
              <w:rPr>
                <w:noProof/>
                <w:webHidden/>
              </w:rPr>
            </w:r>
            <w:r>
              <w:rPr>
                <w:noProof/>
                <w:webHidden/>
              </w:rPr>
              <w:fldChar w:fldCharType="separate"/>
            </w:r>
            <w:r>
              <w:rPr>
                <w:noProof/>
                <w:webHidden/>
              </w:rPr>
              <w:t>13</w:t>
            </w:r>
            <w:r>
              <w:rPr>
                <w:noProof/>
                <w:webHidden/>
              </w:rPr>
              <w:fldChar w:fldCharType="end"/>
            </w:r>
          </w:hyperlink>
        </w:p>
        <w:p w14:paraId="47BF17C3" w14:textId="615796B6"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85" w:history="1">
            <w:r w:rsidRPr="001B7960">
              <w:rPr>
                <w:rStyle w:val="Hyperlink"/>
                <w:rFonts w:ascii="Wingdings" w:hAnsi="Wingdings"/>
                <w:noProof/>
              </w:rPr>
              <w:t></w:t>
            </w:r>
            <w:r>
              <w:rPr>
                <w:rFonts w:asciiTheme="minorHAnsi" w:eastAsiaTheme="minorEastAsia" w:hAnsiTheme="minorHAnsi" w:cstheme="minorBidi"/>
                <w:noProof/>
                <w:sz w:val="22"/>
                <w:szCs w:val="22"/>
              </w:rPr>
              <w:tab/>
            </w:r>
            <w:r w:rsidRPr="001B7960">
              <w:rPr>
                <w:rStyle w:val="Hyperlink"/>
                <w:noProof/>
              </w:rPr>
              <w:t>Digital Expert</w:t>
            </w:r>
            <w:r w:rsidRPr="001B7960">
              <w:rPr>
                <w:rStyle w:val="Hyperlink"/>
                <w:noProof/>
                <w:lang w:val="bg-BG"/>
              </w:rPr>
              <w:t xml:space="preserve"> предлага стаж за </w:t>
            </w:r>
            <w:r w:rsidRPr="001B7960">
              <w:rPr>
                <w:rStyle w:val="Hyperlink"/>
                <w:noProof/>
              </w:rPr>
              <w:t>дигитален маркетинг</w:t>
            </w:r>
            <w:r>
              <w:rPr>
                <w:noProof/>
                <w:webHidden/>
              </w:rPr>
              <w:tab/>
            </w:r>
            <w:r>
              <w:rPr>
                <w:noProof/>
                <w:webHidden/>
              </w:rPr>
              <w:fldChar w:fldCharType="begin"/>
            </w:r>
            <w:r>
              <w:rPr>
                <w:noProof/>
                <w:webHidden/>
              </w:rPr>
              <w:instrText xml:space="preserve"> PAGEREF _Toc197365385 \h </w:instrText>
            </w:r>
            <w:r>
              <w:rPr>
                <w:noProof/>
                <w:webHidden/>
              </w:rPr>
            </w:r>
            <w:r>
              <w:rPr>
                <w:noProof/>
                <w:webHidden/>
              </w:rPr>
              <w:fldChar w:fldCharType="separate"/>
            </w:r>
            <w:r>
              <w:rPr>
                <w:noProof/>
                <w:webHidden/>
              </w:rPr>
              <w:t>13</w:t>
            </w:r>
            <w:r>
              <w:rPr>
                <w:noProof/>
                <w:webHidden/>
              </w:rPr>
              <w:fldChar w:fldCharType="end"/>
            </w:r>
          </w:hyperlink>
        </w:p>
        <w:p w14:paraId="08FF7EC4" w14:textId="2C013121"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86" w:history="1">
            <w:r w:rsidRPr="001B7960">
              <w:rPr>
                <w:rStyle w:val="Hyperlink"/>
                <w:rFonts w:ascii="Wingdings" w:hAnsi="Wingdings"/>
                <w:noProof/>
                <w:lang w:val="en-US"/>
              </w:rPr>
              <w:t></w:t>
            </w:r>
            <w:r>
              <w:rPr>
                <w:rFonts w:asciiTheme="minorHAnsi" w:eastAsiaTheme="minorEastAsia" w:hAnsiTheme="minorHAnsi" w:cstheme="minorBidi"/>
                <w:noProof/>
                <w:sz w:val="22"/>
                <w:szCs w:val="22"/>
              </w:rPr>
              <w:tab/>
            </w:r>
            <w:r w:rsidRPr="001B7960">
              <w:rPr>
                <w:rStyle w:val="Hyperlink"/>
                <w:noProof/>
                <w:lang w:val="en-US"/>
              </w:rPr>
              <w:t xml:space="preserve">Стаж </w:t>
            </w:r>
            <w:r w:rsidRPr="001B7960">
              <w:rPr>
                <w:rStyle w:val="Hyperlink"/>
                <w:noProof/>
                <w:lang w:val="bg-BG"/>
              </w:rPr>
              <w:t>в застрахователна компания „Групама“</w:t>
            </w:r>
            <w:r>
              <w:rPr>
                <w:noProof/>
                <w:webHidden/>
              </w:rPr>
              <w:tab/>
            </w:r>
            <w:r>
              <w:rPr>
                <w:noProof/>
                <w:webHidden/>
              </w:rPr>
              <w:fldChar w:fldCharType="begin"/>
            </w:r>
            <w:r>
              <w:rPr>
                <w:noProof/>
                <w:webHidden/>
              </w:rPr>
              <w:instrText xml:space="preserve"> PAGEREF _Toc197365386 \h </w:instrText>
            </w:r>
            <w:r>
              <w:rPr>
                <w:noProof/>
                <w:webHidden/>
              </w:rPr>
            </w:r>
            <w:r>
              <w:rPr>
                <w:noProof/>
                <w:webHidden/>
              </w:rPr>
              <w:fldChar w:fldCharType="separate"/>
            </w:r>
            <w:r>
              <w:rPr>
                <w:noProof/>
                <w:webHidden/>
              </w:rPr>
              <w:t>14</w:t>
            </w:r>
            <w:r>
              <w:rPr>
                <w:noProof/>
                <w:webHidden/>
              </w:rPr>
              <w:fldChar w:fldCharType="end"/>
            </w:r>
          </w:hyperlink>
        </w:p>
        <w:p w14:paraId="4CAEE065" w14:textId="73D0FA52"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87" w:history="1">
            <w:r w:rsidRPr="001B7960">
              <w:rPr>
                <w:rStyle w:val="Hyperlink"/>
                <w:rFonts w:ascii="Wingdings" w:hAnsi="Wingdings"/>
                <w:noProof/>
                <w:lang w:val="bg-BG"/>
              </w:rPr>
              <w:t></w:t>
            </w:r>
            <w:r>
              <w:rPr>
                <w:rFonts w:asciiTheme="minorHAnsi" w:eastAsiaTheme="minorEastAsia" w:hAnsiTheme="minorHAnsi" w:cstheme="minorBidi"/>
                <w:noProof/>
                <w:sz w:val="22"/>
                <w:szCs w:val="22"/>
              </w:rPr>
              <w:tab/>
            </w:r>
            <w:r w:rsidRPr="001B7960">
              <w:rPr>
                <w:rStyle w:val="Hyperlink"/>
                <w:noProof/>
                <w:lang w:val="bg-BG"/>
              </w:rPr>
              <w:t>Конкурс „Млад предприемач в науката“ - 2025</w:t>
            </w:r>
            <w:r>
              <w:rPr>
                <w:noProof/>
                <w:webHidden/>
              </w:rPr>
              <w:tab/>
            </w:r>
            <w:r>
              <w:rPr>
                <w:noProof/>
                <w:webHidden/>
              </w:rPr>
              <w:fldChar w:fldCharType="begin"/>
            </w:r>
            <w:r>
              <w:rPr>
                <w:noProof/>
                <w:webHidden/>
              </w:rPr>
              <w:instrText xml:space="preserve"> PAGEREF _Toc197365387 \h </w:instrText>
            </w:r>
            <w:r>
              <w:rPr>
                <w:noProof/>
                <w:webHidden/>
              </w:rPr>
            </w:r>
            <w:r>
              <w:rPr>
                <w:noProof/>
                <w:webHidden/>
              </w:rPr>
              <w:fldChar w:fldCharType="separate"/>
            </w:r>
            <w:r>
              <w:rPr>
                <w:noProof/>
                <w:webHidden/>
              </w:rPr>
              <w:t>15</w:t>
            </w:r>
            <w:r>
              <w:rPr>
                <w:noProof/>
                <w:webHidden/>
              </w:rPr>
              <w:fldChar w:fldCharType="end"/>
            </w:r>
          </w:hyperlink>
        </w:p>
        <w:p w14:paraId="6BE36F8F" w14:textId="5527BC19" w:rsidR="00167A57" w:rsidRDefault="00167A57">
          <w:pPr>
            <w:pStyle w:val="TOC1"/>
            <w:tabs>
              <w:tab w:val="right" w:leader="dot" w:pos="9062"/>
            </w:tabs>
            <w:rPr>
              <w:rFonts w:asciiTheme="minorHAnsi" w:eastAsiaTheme="minorEastAsia" w:hAnsiTheme="minorHAnsi" w:cstheme="minorBidi"/>
              <w:noProof/>
              <w:sz w:val="22"/>
              <w:szCs w:val="22"/>
            </w:rPr>
          </w:pPr>
          <w:hyperlink w:anchor="_Toc197365388" w:history="1">
            <w:r w:rsidRPr="001B7960">
              <w:rPr>
                <w:rStyle w:val="Hyperlink"/>
                <w:noProof/>
              </w:rPr>
              <w:t>ПРОГРАМИ</w:t>
            </w:r>
            <w:r>
              <w:rPr>
                <w:noProof/>
                <w:webHidden/>
              </w:rPr>
              <w:tab/>
            </w:r>
            <w:r>
              <w:rPr>
                <w:noProof/>
                <w:webHidden/>
              </w:rPr>
              <w:fldChar w:fldCharType="begin"/>
            </w:r>
            <w:r>
              <w:rPr>
                <w:noProof/>
                <w:webHidden/>
              </w:rPr>
              <w:instrText xml:space="preserve"> PAGEREF _Toc197365388 \h </w:instrText>
            </w:r>
            <w:r>
              <w:rPr>
                <w:noProof/>
                <w:webHidden/>
              </w:rPr>
            </w:r>
            <w:r>
              <w:rPr>
                <w:noProof/>
                <w:webHidden/>
              </w:rPr>
              <w:fldChar w:fldCharType="separate"/>
            </w:r>
            <w:r>
              <w:rPr>
                <w:noProof/>
                <w:webHidden/>
              </w:rPr>
              <w:t>17</w:t>
            </w:r>
            <w:r>
              <w:rPr>
                <w:noProof/>
                <w:webHidden/>
              </w:rPr>
              <w:fldChar w:fldCharType="end"/>
            </w:r>
          </w:hyperlink>
        </w:p>
        <w:p w14:paraId="0F3BBE3C" w14:textId="3D1A845A"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89" w:history="1">
            <w:r w:rsidRPr="001B7960">
              <w:rPr>
                <w:rStyle w:val="Hyperlink"/>
                <w:rFonts w:ascii="Wingdings" w:hAnsi="Wingdings"/>
                <w:noProof/>
                <w:lang w:val="en-US" w:eastAsia="en-US"/>
              </w:rPr>
              <w:t></w:t>
            </w:r>
            <w:r>
              <w:rPr>
                <w:rFonts w:asciiTheme="minorHAnsi" w:eastAsiaTheme="minorEastAsia" w:hAnsiTheme="minorHAnsi" w:cstheme="minorBidi"/>
                <w:noProof/>
                <w:sz w:val="22"/>
                <w:szCs w:val="22"/>
              </w:rPr>
              <w:tab/>
            </w:r>
            <w:r w:rsidRPr="001B7960">
              <w:rPr>
                <w:rStyle w:val="Hyperlink"/>
                <w:noProof/>
                <w:lang w:val="bg-BG" w:eastAsia="en-US"/>
              </w:rPr>
              <w:t>К</w:t>
            </w:r>
            <w:r w:rsidRPr="001B7960">
              <w:rPr>
                <w:rStyle w:val="Hyperlink"/>
                <w:noProof/>
                <w:lang w:val="en-US" w:eastAsia="en-US"/>
              </w:rPr>
              <w:t xml:space="preserve">онкурс за подкрепа на научни проекти </w:t>
            </w:r>
            <w:r w:rsidRPr="001B7960">
              <w:rPr>
                <w:rStyle w:val="Hyperlink"/>
                <w:noProof/>
                <w:lang w:val="bg-BG" w:eastAsia="en-US"/>
              </w:rPr>
              <w:t>на Ф</w:t>
            </w:r>
            <w:r w:rsidRPr="001B7960">
              <w:rPr>
                <w:rStyle w:val="Hyperlink"/>
                <w:noProof/>
                <w:lang w:val="en-US" w:eastAsia="en-US"/>
              </w:rPr>
              <w:t>ренският институт в България</w:t>
            </w:r>
            <w:r>
              <w:rPr>
                <w:noProof/>
                <w:webHidden/>
              </w:rPr>
              <w:tab/>
            </w:r>
            <w:r>
              <w:rPr>
                <w:noProof/>
                <w:webHidden/>
              </w:rPr>
              <w:fldChar w:fldCharType="begin"/>
            </w:r>
            <w:r>
              <w:rPr>
                <w:noProof/>
                <w:webHidden/>
              </w:rPr>
              <w:instrText xml:space="preserve"> PAGEREF _Toc197365389 \h </w:instrText>
            </w:r>
            <w:r>
              <w:rPr>
                <w:noProof/>
                <w:webHidden/>
              </w:rPr>
            </w:r>
            <w:r>
              <w:rPr>
                <w:noProof/>
                <w:webHidden/>
              </w:rPr>
              <w:fldChar w:fldCharType="separate"/>
            </w:r>
            <w:r>
              <w:rPr>
                <w:noProof/>
                <w:webHidden/>
              </w:rPr>
              <w:t>17</w:t>
            </w:r>
            <w:r>
              <w:rPr>
                <w:noProof/>
                <w:webHidden/>
              </w:rPr>
              <w:fldChar w:fldCharType="end"/>
            </w:r>
          </w:hyperlink>
        </w:p>
        <w:p w14:paraId="01FDABE3" w14:textId="3D29C9E9"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90" w:history="1">
            <w:r w:rsidRPr="001B7960">
              <w:rPr>
                <w:rStyle w:val="Hyperlink"/>
                <w:rFonts w:ascii="Wingdings" w:hAnsi="Wingdings"/>
                <w:noProof/>
                <w:lang w:val="en-US" w:eastAsia="en-US"/>
              </w:rPr>
              <w:t></w:t>
            </w:r>
            <w:r>
              <w:rPr>
                <w:rFonts w:asciiTheme="minorHAnsi" w:eastAsiaTheme="minorEastAsia" w:hAnsiTheme="minorHAnsi" w:cstheme="minorBidi"/>
                <w:noProof/>
                <w:sz w:val="22"/>
                <w:szCs w:val="22"/>
              </w:rPr>
              <w:tab/>
            </w:r>
            <w:r w:rsidRPr="001B7960">
              <w:rPr>
                <w:rStyle w:val="Hyperlink"/>
                <w:noProof/>
                <w:lang w:val="bg-BG" w:eastAsia="en-US"/>
              </w:rPr>
              <w:t>П</w:t>
            </w:r>
            <w:r w:rsidRPr="001B7960">
              <w:rPr>
                <w:rStyle w:val="Hyperlink"/>
                <w:noProof/>
                <w:lang w:val="en-US" w:eastAsia="en-US"/>
              </w:rPr>
              <w:t>окана за проектни предложения към Фонда за сътрудничество на Централноевропейската инициатива (CEI)</w:t>
            </w:r>
            <w:r>
              <w:rPr>
                <w:noProof/>
                <w:webHidden/>
              </w:rPr>
              <w:tab/>
            </w:r>
            <w:r>
              <w:rPr>
                <w:noProof/>
                <w:webHidden/>
              </w:rPr>
              <w:fldChar w:fldCharType="begin"/>
            </w:r>
            <w:r>
              <w:rPr>
                <w:noProof/>
                <w:webHidden/>
              </w:rPr>
              <w:instrText xml:space="preserve"> PAGEREF _Toc197365390 \h </w:instrText>
            </w:r>
            <w:r>
              <w:rPr>
                <w:noProof/>
                <w:webHidden/>
              </w:rPr>
            </w:r>
            <w:r>
              <w:rPr>
                <w:noProof/>
                <w:webHidden/>
              </w:rPr>
              <w:fldChar w:fldCharType="separate"/>
            </w:r>
            <w:r>
              <w:rPr>
                <w:noProof/>
                <w:webHidden/>
              </w:rPr>
              <w:t>18</w:t>
            </w:r>
            <w:r>
              <w:rPr>
                <w:noProof/>
                <w:webHidden/>
              </w:rPr>
              <w:fldChar w:fldCharType="end"/>
            </w:r>
          </w:hyperlink>
        </w:p>
        <w:p w14:paraId="7BB7DDC1" w14:textId="3025F5FB"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91" w:history="1">
            <w:r w:rsidRPr="001B7960">
              <w:rPr>
                <w:rStyle w:val="Hyperlink"/>
                <w:rFonts w:ascii="Wingdings" w:hAnsi="Wingdings"/>
                <w:noProof/>
              </w:rPr>
              <w:t></w:t>
            </w:r>
            <w:r>
              <w:rPr>
                <w:rFonts w:asciiTheme="minorHAnsi" w:eastAsiaTheme="minorEastAsia" w:hAnsiTheme="minorHAnsi" w:cstheme="minorBidi"/>
                <w:noProof/>
                <w:sz w:val="22"/>
                <w:szCs w:val="22"/>
              </w:rPr>
              <w:tab/>
            </w:r>
            <w:r w:rsidRPr="001B7960">
              <w:rPr>
                <w:rStyle w:val="Hyperlink"/>
                <w:noProof/>
              </w:rPr>
              <w:t>Marie Skłodowska-Curie Actions</w:t>
            </w:r>
            <w:r>
              <w:rPr>
                <w:noProof/>
                <w:webHidden/>
              </w:rPr>
              <w:tab/>
            </w:r>
            <w:r>
              <w:rPr>
                <w:noProof/>
                <w:webHidden/>
              </w:rPr>
              <w:fldChar w:fldCharType="begin"/>
            </w:r>
            <w:r>
              <w:rPr>
                <w:noProof/>
                <w:webHidden/>
              </w:rPr>
              <w:instrText xml:space="preserve"> PAGEREF _Toc197365391 \h </w:instrText>
            </w:r>
            <w:r>
              <w:rPr>
                <w:noProof/>
                <w:webHidden/>
              </w:rPr>
            </w:r>
            <w:r>
              <w:rPr>
                <w:noProof/>
                <w:webHidden/>
              </w:rPr>
              <w:fldChar w:fldCharType="separate"/>
            </w:r>
            <w:r>
              <w:rPr>
                <w:noProof/>
                <w:webHidden/>
              </w:rPr>
              <w:t>18</w:t>
            </w:r>
            <w:r>
              <w:rPr>
                <w:noProof/>
                <w:webHidden/>
              </w:rPr>
              <w:fldChar w:fldCharType="end"/>
            </w:r>
          </w:hyperlink>
        </w:p>
        <w:p w14:paraId="57C34175" w14:textId="347EF26C"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92" w:history="1">
            <w:r w:rsidRPr="001B7960">
              <w:rPr>
                <w:rStyle w:val="Hyperlink"/>
                <w:rFonts w:ascii="Wingdings" w:hAnsi="Wingdings"/>
                <w:noProof/>
                <w:lang w:val="en-US"/>
              </w:rPr>
              <w:t></w:t>
            </w:r>
            <w:r>
              <w:rPr>
                <w:rFonts w:asciiTheme="minorHAnsi" w:eastAsiaTheme="minorEastAsia" w:hAnsiTheme="minorHAnsi" w:cstheme="minorBidi"/>
                <w:noProof/>
                <w:sz w:val="22"/>
                <w:szCs w:val="22"/>
              </w:rPr>
              <w:tab/>
            </w:r>
            <w:r w:rsidRPr="001B7960">
              <w:rPr>
                <w:rStyle w:val="Hyperlink"/>
                <w:noProof/>
                <w:lang w:val="en-US"/>
              </w:rPr>
              <w:t>Open Call for New COST Actions</w:t>
            </w:r>
            <w:r>
              <w:rPr>
                <w:noProof/>
                <w:webHidden/>
              </w:rPr>
              <w:tab/>
            </w:r>
            <w:r>
              <w:rPr>
                <w:noProof/>
                <w:webHidden/>
              </w:rPr>
              <w:fldChar w:fldCharType="begin"/>
            </w:r>
            <w:r>
              <w:rPr>
                <w:noProof/>
                <w:webHidden/>
              </w:rPr>
              <w:instrText xml:space="preserve"> PAGEREF _Toc197365392 \h </w:instrText>
            </w:r>
            <w:r>
              <w:rPr>
                <w:noProof/>
                <w:webHidden/>
              </w:rPr>
            </w:r>
            <w:r>
              <w:rPr>
                <w:noProof/>
                <w:webHidden/>
              </w:rPr>
              <w:fldChar w:fldCharType="separate"/>
            </w:r>
            <w:r>
              <w:rPr>
                <w:noProof/>
                <w:webHidden/>
              </w:rPr>
              <w:t>20</w:t>
            </w:r>
            <w:r>
              <w:rPr>
                <w:noProof/>
                <w:webHidden/>
              </w:rPr>
              <w:fldChar w:fldCharType="end"/>
            </w:r>
          </w:hyperlink>
        </w:p>
        <w:p w14:paraId="78B2F826" w14:textId="513CD2A7"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93" w:history="1">
            <w:r w:rsidRPr="001B7960">
              <w:rPr>
                <w:rStyle w:val="Hyperlink"/>
                <w:rFonts w:ascii="Wingdings" w:hAnsi="Wingdings"/>
                <w:noProof/>
                <w:lang w:val="en-US" w:eastAsia="en-US"/>
              </w:rPr>
              <w:t></w:t>
            </w:r>
            <w:r>
              <w:rPr>
                <w:rFonts w:asciiTheme="minorHAnsi" w:eastAsiaTheme="minorEastAsia" w:hAnsiTheme="minorHAnsi" w:cstheme="minorBidi"/>
                <w:noProof/>
                <w:sz w:val="22"/>
                <w:szCs w:val="22"/>
              </w:rPr>
              <w:tab/>
            </w:r>
            <w:r w:rsidRPr="001B7960">
              <w:rPr>
                <w:rStyle w:val="Hyperlink"/>
                <w:noProof/>
                <w:lang w:val="bg-BG" w:eastAsia="en-US"/>
              </w:rPr>
              <w:t>П</w:t>
            </w:r>
            <w:r w:rsidRPr="001B7960">
              <w:rPr>
                <w:rStyle w:val="Hyperlink"/>
                <w:noProof/>
                <w:lang w:val="en-US" w:eastAsia="en-US"/>
              </w:rPr>
              <w:t>роцедура за подкрепа на международни научни форуми,</w:t>
            </w:r>
            <w:r w:rsidRPr="001B7960">
              <w:rPr>
                <w:rStyle w:val="Hyperlink"/>
                <w:noProof/>
                <w:lang w:val="bg-BG" w:eastAsia="en-US"/>
              </w:rPr>
              <w:t xml:space="preserve"> п</w:t>
            </w:r>
            <w:r w:rsidRPr="001B7960">
              <w:rPr>
                <w:rStyle w:val="Hyperlink"/>
                <w:noProof/>
                <w:lang w:val="en-US" w:eastAsia="en-US"/>
              </w:rPr>
              <w:t xml:space="preserve">ровеждани в </w:t>
            </w:r>
            <w:r w:rsidRPr="001B7960">
              <w:rPr>
                <w:rStyle w:val="Hyperlink"/>
                <w:noProof/>
                <w:lang w:val="bg-BG" w:eastAsia="en-US"/>
              </w:rPr>
              <w:t>Р</w:t>
            </w:r>
            <w:r w:rsidRPr="001B7960">
              <w:rPr>
                <w:rStyle w:val="Hyperlink"/>
                <w:noProof/>
                <w:lang w:val="en-US" w:eastAsia="en-US"/>
              </w:rPr>
              <w:t xml:space="preserve">епублика </w:t>
            </w:r>
            <w:r w:rsidRPr="001B7960">
              <w:rPr>
                <w:rStyle w:val="Hyperlink"/>
                <w:noProof/>
                <w:lang w:val="bg-BG" w:eastAsia="en-US"/>
              </w:rPr>
              <w:t>Б</w:t>
            </w:r>
            <w:r w:rsidRPr="001B7960">
              <w:rPr>
                <w:rStyle w:val="Hyperlink"/>
                <w:noProof/>
                <w:lang w:val="en-US" w:eastAsia="en-US"/>
              </w:rPr>
              <w:t>ългария</w:t>
            </w:r>
            <w:r>
              <w:rPr>
                <w:noProof/>
                <w:webHidden/>
              </w:rPr>
              <w:tab/>
            </w:r>
            <w:r>
              <w:rPr>
                <w:noProof/>
                <w:webHidden/>
              </w:rPr>
              <w:fldChar w:fldCharType="begin"/>
            </w:r>
            <w:r>
              <w:rPr>
                <w:noProof/>
                <w:webHidden/>
              </w:rPr>
              <w:instrText xml:space="preserve"> PAGEREF _Toc197365393 \h </w:instrText>
            </w:r>
            <w:r>
              <w:rPr>
                <w:noProof/>
                <w:webHidden/>
              </w:rPr>
            </w:r>
            <w:r>
              <w:rPr>
                <w:noProof/>
                <w:webHidden/>
              </w:rPr>
              <w:fldChar w:fldCharType="separate"/>
            </w:r>
            <w:r>
              <w:rPr>
                <w:noProof/>
                <w:webHidden/>
              </w:rPr>
              <w:t>21</w:t>
            </w:r>
            <w:r>
              <w:rPr>
                <w:noProof/>
                <w:webHidden/>
              </w:rPr>
              <w:fldChar w:fldCharType="end"/>
            </w:r>
          </w:hyperlink>
        </w:p>
        <w:p w14:paraId="04E6B10F" w14:textId="71FC3A28"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94" w:history="1">
            <w:r w:rsidRPr="001B7960">
              <w:rPr>
                <w:rStyle w:val="Hyperlink"/>
                <w:rFonts w:ascii="Wingdings" w:hAnsi="Wingdings"/>
                <w:noProof/>
                <w:lang w:eastAsia="bg-BG"/>
              </w:rPr>
              <w:t></w:t>
            </w:r>
            <w:r>
              <w:rPr>
                <w:rFonts w:asciiTheme="minorHAnsi" w:eastAsiaTheme="minorEastAsia" w:hAnsiTheme="minorHAnsi" w:cstheme="minorBidi"/>
                <w:noProof/>
                <w:sz w:val="22"/>
                <w:szCs w:val="22"/>
              </w:rPr>
              <w:tab/>
            </w:r>
            <w:r w:rsidRPr="001B7960">
              <w:rPr>
                <w:rStyle w:val="Hyperlink"/>
                <w:noProof/>
                <w:lang w:eastAsia="bg-BG"/>
              </w:rPr>
              <w:t xml:space="preserve">Национално съфинансиране за участие на български колективи в утвърдени </w:t>
            </w:r>
            <w:r w:rsidRPr="001B7960">
              <w:rPr>
                <w:rStyle w:val="Hyperlink"/>
                <w:noProof/>
              </w:rPr>
              <w:t>акции</w:t>
            </w:r>
            <w:r w:rsidRPr="001B7960">
              <w:rPr>
                <w:rStyle w:val="Hyperlink"/>
                <w:noProof/>
                <w:lang w:eastAsia="bg-BG"/>
              </w:rPr>
              <w:t xml:space="preserve"> по COST</w:t>
            </w:r>
            <w:r>
              <w:rPr>
                <w:noProof/>
                <w:webHidden/>
              </w:rPr>
              <w:tab/>
            </w:r>
            <w:r>
              <w:rPr>
                <w:noProof/>
                <w:webHidden/>
              </w:rPr>
              <w:fldChar w:fldCharType="begin"/>
            </w:r>
            <w:r>
              <w:rPr>
                <w:noProof/>
                <w:webHidden/>
              </w:rPr>
              <w:instrText xml:space="preserve"> PAGEREF _Toc197365394 \h </w:instrText>
            </w:r>
            <w:r>
              <w:rPr>
                <w:noProof/>
                <w:webHidden/>
              </w:rPr>
            </w:r>
            <w:r>
              <w:rPr>
                <w:noProof/>
                <w:webHidden/>
              </w:rPr>
              <w:fldChar w:fldCharType="separate"/>
            </w:r>
            <w:r>
              <w:rPr>
                <w:noProof/>
                <w:webHidden/>
              </w:rPr>
              <w:t>24</w:t>
            </w:r>
            <w:r>
              <w:rPr>
                <w:noProof/>
                <w:webHidden/>
              </w:rPr>
              <w:fldChar w:fldCharType="end"/>
            </w:r>
          </w:hyperlink>
        </w:p>
        <w:p w14:paraId="21234B9E" w14:textId="2FDB5231" w:rsidR="00167A57" w:rsidRDefault="00167A57">
          <w:pPr>
            <w:pStyle w:val="TOC1"/>
            <w:tabs>
              <w:tab w:val="right" w:leader="dot" w:pos="9062"/>
            </w:tabs>
            <w:rPr>
              <w:rFonts w:asciiTheme="minorHAnsi" w:eastAsiaTheme="minorEastAsia" w:hAnsiTheme="minorHAnsi" w:cstheme="minorBidi"/>
              <w:noProof/>
              <w:sz w:val="22"/>
              <w:szCs w:val="22"/>
            </w:rPr>
          </w:pPr>
          <w:hyperlink w:anchor="_Toc197365395" w:history="1">
            <w:r w:rsidRPr="001B7960">
              <w:rPr>
                <w:rStyle w:val="Hyperlink"/>
                <w:noProof/>
              </w:rPr>
              <w:t>СЪБИТИЯ</w:t>
            </w:r>
            <w:r>
              <w:rPr>
                <w:noProof/>
                <w:webHidden/>
              </w:rPr>
              <w:tab/>
            </w:r>
            <w:r>
              <w:rPr>
                <w:noProof/>
                <w:webHidden/>
              </w:rPr>
              <w:fldChar w:fldCharType="begin"/>
            </w:r>
            <w:r>
              <w:rPr>
                <w:noProof/>
                <w:webHidden/>
              </w:rPr>
              <w:instrText xml:space="preserve"> PAGEREF _Toc197365395 \h </w:instrText>
            </w:r>
            <w:r>
              <w:rPr>
                <w:noProof/>
                <w:webHidden/>
              </w:rPr>
            </w:r>
            <w:r>
              <w:rPr>
                <w:noProof/>
                <w:webHidden/>
              </w:rPr>
              <w:fldChar w:fldCharType="separate"/>
            </w:r>
            <w:r>
              <w:rPr>
                <w:noProof/>
                <w:webHidden/>
              </w:rPr>
              <w:t>28</w:t>
            </w:r>
            <w:r>
              <w:rPr>
                <w:noProof/>
                <w:webHidden/>
              </w:rPr>
              <w:fldChar w:fldCharType="end"/>
            </w:r>
          </w:hyperlink>
        </w:p>
        <w:p w14:paraId="6218A498" w14:textId="6EAC1429" w:rsidR="00167A57" w:rsidRDefault="00167A57">
          <w:pPr>
            <w:pStyle w:val="TOC1"/>
            <w:tabs>
              <w:tab w:val="right" w:leader="dot" w:pos="9062"/>
            </w:tabs>
            <w:rPr>
              <w:rFonts w:asciiTheme="minorHAnsi" w:eastAsiaTheme="minorEastAsia" w:hAnsiTheme="minorHAnsi" w:cstheme="minorBidi"/>
              <w:noProof/>
              <w:sz w:val="22"/>
              <w:szCs w:val="22"/>
            </w:rPr>
          </w:pPr>
          <w:hyperlink w:anchor="_Toc197365396" w:history="1">
            <w:r w:rsidRPr="001B7960">
              <w:rPr>
                <w:rStyle w:val="Hyperlink"/>
                <w:noProof/>
              </w:rPr>
              <w:t>ПУБЛИКАЦИИ</w:t>
            </w:r>
            <w:r>
              <w:rPr>
                <w:noProof/>
                <w:webHidden/>
              </w:rPr>
              <w:tab/>
            </w:r>
            <w:r>
              <w:rPr>
                <w:noProof/>
                <w:webHidden/>
              </w:rPr>
              <w:fldChar w:fldCharType="begin"/>
            </w:r>
            <w:r>
              <w:rPr>
                <w:noProof/>
                <w:webHidden/>
              </w:rPr>
              <w:instrText xml:space="preserve"> PAGEREF _Toc197365396 \h </w:instrText>
            </w:r>
            <w:r>
              <w:rPr>
                <w:noProof/>
                <w:webHidden/>
              </w:rPr>
            </w:r>
            <w:r>
              <w:rPr>
                <w:noProof/>
                <w:webHidden/>
              </w:rPr>
              <w:fldChar w:fldCharType="separate"/>
            </w:r>
            <w:r>
              <w:rPr>
                <w:noProof/>
                <w:webHidden/>
              </w:rPr>
              <w:t>32</w:t>
            </w:r>
            <w:r>
              <w:rPr>
                <w:noProof/>
                <w:webHidden/>
              </w:rPr>
              <w:fldChar w:fldCharType="end"/>
            </w:r>
          </w:hyperlink>
        </w:p>
        <w:p w14:paraId="666F3DE6" w14:textId="00AB8E33"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97" w:history="1">
            <w:r w:rsidRPr="001B7960">
              <w:rPr>
                <w:rStyle w:val="Hyperlink"/>
                <w:rFonts w:ascii="Wingdings" w:hAnsi="Wingdings"/>
                <w:noProof/>
                <w:lang w:val="en-US"/>
              </w:rPr>
              <w:t></w:t>
            </w:r>
            <w:r>
              <w:rPr>
                <w:rFonts w:asciiTheme="minorHAnsi" w:eastAsiaTheme="minorEastAsia" w:hAnsiTheme="minorHAnsi" w:cstheme="minorBidi"/>
                <w:noProof/>
                <w:sz w:val="22"/>
                <w:szCs w:val="22"/>
              </w:rPr>
              <w:tab/>
            </w:r>
            <w:r w:rsidRPr="001B7960">
              <w:rPr>
                <w:rStyle w:val="Hyperlink"/>
                <w:noProof/>
                <w:lang w:val="en-US"/>
              </w:rPr>
              <w:t>Staff development in learning and teaching at European universities</w:t>
            </w:r>
            <w:r>
              <w:rPr>
                <w:noProof/>
                <w:webHidden/>
              </w:rPr>
              <w:tab/>
            </w:r>
            <w:r>
              <w:rPr>
                <w:noProof/>
                <w:webHidden/>
              </w:rPr>
              <w:fldChar w:fldCharType="begin"/>
            </w:r>
            <w:r>
              <w:rPr>
                <w:noProof/>
                <w:webHidden/>
              </w:rPr>
              <w:instrText xml:space="preserve"> PAGEREF _Toc197365397 \h </w:instrText>
            </w:r>
            <w:r>
              <w:rPr>
                <w:noProof/>
                <w:webHidden/>
              </w:rPr>
            </w:r>
            <w:r>
              <w:rPr>
                <w:noProof/>
                <w:webHidden/>
              </w:rPr>
              <w:fldChar w:fldCharType="separate"/>
            </w:r>
            <w:r>
              <w:rPr>
                <w:noProof/>
                <w:webHidden/>
              </w:rPr>
              <w:t>32</w:t>
            </w:r>
            <w:r>
              <w:rPr>
                <w:noProof/>
                <w:webHidden/>
              </w:rPr>
              <w:fldChar w:fldCharType="end"/>
            </w:r>
          </w:hyperlink>
        </w:p>
        <w:p w14:paraId="54A682DC" w14:textId="6DD74A9C"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98" w:history="1">
            <w:r w:rsidRPr="001B7960">
              <w:rPr>
                <w:rStyle w:val="Hyperlink"/>
                <w:rFonts w:ascii="Wingdings" w:hAnsi="Wingdings"/>
                <w:noProof/>
                <w:lang w:val="en-US"/>
              </w:rPr>
              <w:t></w:t>
            </w:r>
            <w:r>
              <w:rPr>
                <w:rFonts w:asciiTheme="minorHAnsi" w:eastAsiaTheme="minorEastAsia" w:hAnsiTheme="minorHAnsi" w:cstheme="minorBidi"/>
                <w:noProof/>
                <w:sz w:val="22"/>
                <w:szCs w:val="22"/>
              </w:rPr>
              <w:tab/>
            </w:r>
            <w:r w:rsidRPr="001B7960">
              <w:rPr>
                <w:rStyle w:val="Hyperlink"/>
                <w:noProof/>
                <w:lang w:val="en-US"/>
              </w:rPr>
              <w:t>Developing common learning opportunities through interoperability</w:t>
            </w:r>
            <w:r>
              <w:rPr>
                <w:noProof/>
                <w:webHidden/>
              </w:rPr>
              <w:tab/>
            </w:r>
            <w:r>
              <w:rPr>
                <w:noProof/>
                <w:webHidden/>
              </w:rPr>
              <w:fldChar w:fldCharType="begin"/>
            </w:r>
            <w:r>
              <w:rPr>
                <w:noProof/>
                <w:webHidden/>
              </w:rPr>
              <w:instrText xml:space="preserve"> PAGEREF _Toc197365398 \h </w:instrText>
            </w:r>
            <w:r>
              <w:rPr>
                <w:noProof/>
                <w:webHidden/>
              </w:rPr>
            </w:r>
            <w:r>
              <w:rPr>
                <w:noProof/>
                <w:webHidden/>
              </w:rPr>
              <w:fldChar w:fldCharType="separate"/>
            </w:r>
            <w:r>
              <w:rPr>
                <w:noProof/>
                <w:webHidden/>
              </w:rPr>
              <w:t>32</w:t>
            </w:r>
            <w:r>
              <w:rPr>
                <w:noProof/>
                <w:webHidden/>
              </w:rPr>
              <w:fldChar w:fldCharType="end"/>
            </w:r>
          </w:hyperlink>
        </w:p>
        <w:p w14:paraId="12F717C1" w14:textId="20E14C15"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399" w:history="1">
            <w:r w:rsidRPr="001B7960">
              <w:rPr>
                <w:rStyle w:val="Hyperlink"/>
                <w:rFonts w:ascii="Wingdings" w:hAnsi="Wingdings"/>
                <w:noProof/>
              </w:rPr>
              <w:t></w:t>
            </w:r>
            <w:r>
              <w:rPr>
                <w:rFonts w:asciiTheme="minorHAnsi" w:eastAsiaTheme="minorEastAsia" w:hAnsiTheme="minorHAnsi" w:cstheme="minorBidi"/>
                <w:noProof/>
                <w:sz w:val="22"/>
                <w:szCs w:val="22"/>
              </w:rPr>
              <w:tab/>
            </w:r>
            <w:r w:rsidRPr="001B7960">
              <w:rPr>
                <w:rStyle w:val="Hyperlink"/>
                <w:noProof/>
              </w:rPr>
              <w:t>CERN Courier</w:t>
            </w:r>
            <w:r>
              <w:rPr>
                <w:noProof/>
                <w:webHidden/>
              </w:rPr>
              <w:tab/>
            </w:r>
            <w:r>
              <w:rPr>
                <w:noProof/>
                <w:webHidden/>
              </w:rPr>
              <w:fldChar w:fldCharType="begin"/>
            </w:r>
            <w:r>
              <w:rPr>
                <w:noProof/>
                <w:webHidden/>
              </w:rPr>
              <w:instrText xml:space="preserve"> PAGEREF _Toc197365399 \h </w:instrText>
            </w:r>
            <w:r>
              <w:rPr>
                <w:noProof/>
                <w:webHidden/>
              </w:rPr>
            </w:r>
            <w:r>
              <w:rPr>
                <w:noProof/>
                <w:webHidden/>
              </w:rPr>
              <w:fldChar w:fldCharType="separate"/>
            </w:r>
            <w:r>
              <w:rPr>
                <w:noProof/>
                <w:webHidden/>
              </w:rPr>
              <w:t>33</w:t>
            </w:r>
            <w:r>
              <w:rPr>
                <w:noProof/>
                <w:webHidden/>
              </w:rPr>
              <w:fldChar w:fldCharType="end"/>
            </w:r>
          </w:hyperlink>
        </w:p>
        <w:p w14:paraId="2C56F4D2" w14:textId="2FF85499"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400" w:history="1">
            <w:r w:rsidRPr="001B7960">
              <w:rPr>
                <w:rStyle w:val="Hyperlink"/>
                <w:rFonts w:ascii="Wingdings" w:hAnsi="Wingdings"/>
                <w:noProof/>
              </w:rPr>
              <w:t></w:t>
            </w:r>
            <w:r>
              <w:rPr>
                <w:rFonts w:asciiTheme="minorHAnsi" w:eastAsiaTheme="minorEastAsia" w:hAnsiTheme="minorHAnsi" w:cstheme="minorBidi"/>
                <w:noProof/>
                <w:sz w:val="22"/>
                <w:szCs w:val="22"/>
              </w:rPr>
              <w:tab/>
            </w:r>
            <w:r w:rsidRPr="001B7960">
              <w:rPr>
                <w:rStyle w:val="Hyperlink"/>
                <w:noProof/>
                <w:lang w:eastAsia="bg-BG"/>
              </w:rPr>
              <w:t>The EUA Innovation Agenda 2026</w:t>
            </w:r>
            <w:r>
              <w:rPr>
                <w:noProof/>
                <w:webHidden/>
              </w:rPr>
              <w:tab/>
            </w:r>
            <w:r>
              <w:rPr>
                <w:noProof/>
                <w:webHidden/>
              </w:rPr>
              <w:fldChar w:fldCharType="begin"/>
            </w:r>
            <w:r>
              <w:rPr>
                <w:noProof/>
                <w:webHidden/>
              </w:rPr>
              <w:instrText xml:space="preserve"> PAGEREF _Toc197365400 \h </w:instrText>
            </w:r>
            <w:r>
              <w:rPr>
                <w:noProof/>
                <w:webHidden/>
              </w:rPr>
            </w:r>
            <w:r>
              <w:rPr>
                <w:noProof/>
                <w:webHidden/>
              </w:rPr>
              <w:fldChar w:fldCharType="separate"/>
            </w:r>
            <w:r>
              <w:rPr>
                <w:noProof/>
                <w:webHidden/>
              </w:rPr>
              <w:t>33</w:t>
            </w:r>
            <w:r>
              <w:rPr>
                <w:noProof/>
                <w:webHidden/>
              </w:rPr>
              <w:fldChar w:fldCharType="end"/>
            </w:r>
          </w:hyperlink>
        </w:p>
        <w:p w14:paraId="1EFAEE7D" w14:textId="462BAE6E"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401" w:history="1">
            <w:r w:rsidRPr="001B7960">
              <w:rPr>
                <w:rStyle w:val="Hyperlink"/>
                <w:rFonts w:ascii="Wingdings" w:hAnsi="Wingdings"/>
                <w:noProof/>
                <w:lang w:val="en-US"/>
              </w:rPr>
              <w:t></w:t>
            </w:r>
            <w:r>
              <w:rPr>
                <w:rFonts w:asciiTheme="minorHAnsi" w:eastAsiaTheme="minorEastAsia" w:hAnsiTheme="minorHAnsi" w:cstheme="minorBidi"/>
                <w:noProof/>
                <w:sz w:val="22"/>
                <w:szCs w:val="22"/>
              </w:rPr>
              <w:tab/>
            </w:r>
            <w:r w:rsidRPr="001B7960">
              <w:rPr>
                <w:rStyle w:val="Hyperlink"/>
                <w:noProof/>
                <w:lang w:val="en-US"/>
              </w:rPr>
              <w:t>Paving the way for impactful European R&amp;I</w:t>
            </w:r>
            <w:r>
              <w:rPr>
                <w:noProof/>
                <w:webHidden/>
              </w:rPr>
              <w:tab/>
            </w:r>
            <w:r>
              <w:rPr>
                <w:noProof/>
                <w:webHidden/>
              </w:rPr>
              <w:fldChar w:fldCharType="begin"/>
            </w:r>
            <w:r>
              <w:rPr>
                <w:noProof/>
                <w:webHidden/>
              </w:rPr>
              <w:instrText xml:space="preserve"> PAGEREF _Toc197365401 \h </w:instrText>
            </w:r>
            <w:r>
              <w:rPr>
                <w:noProof/>
                <w:webHidden/>
              </w:rPr>
            </w:r>
            <w:r>
              <w:rPr>
                <w:noProof/>
                <w:webHidden/>
              </w:rPr>
              <w:fldChar w:fldCharType="separate"/>
            </w:r>
            <w:r>
              <w:rPr>
                <w:noProof/>
                <w:webHidden/>
              </w:rPr>
              <w:t>34</w:t>
            </w:r>
            <w:r>
              <w:rPr>
                <w:noProof/>
                <w:webHidden/>
              </w:rPr>
              <w:fldChar w:fldCharType="end"/>
            </w:r>
          </w:hyperlink>
        </w:p>
        <w:p w14:paraId="1B9BEEDB" w14:textId="13F3931A"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402" w:history="1">
            <w:r w:rsidRPr="001B7960">
              <w:rPr>
                <w:rStyle w:val="Hyperlink"/>
                <w:rFonts w:ascii="Wingdings" w:hAnsi="Wingdings"/>
                <w:noProof/>
              </w:rPr>
              <w:t></w:t>
            </w:r>
            <w:r>
              <w:rPr>
                <w:rFonts w:asciiTheme="minorHAnsi" w:eastAsiaTheme="minorEastAsia" w:hAnsiTheme="minorHAnsi" w:cstheme="minorBidi"/>
                <w:noProof/>
                <w:sz w:val="22"/>
                <w:szCs w:val="22"/>
              </w:rPr>
              <w:tab/>
            </w:r>
            <w:r w:rsidRPr="001B7960">
              <w:rPr>
                <w:rStyle w:val="Hyperlink"/>
                <w:noProof/>
              </w:rPr>
              <w:t>A Green Deal roadmap for universities</w:t>
            </w:r>
            <w:r>
              <w:rPr>
                <w:noProof/>
                <w:webHidden/>
              </w:rPr>
              <w:tab/>
            </w:r>
            <w:r>
              <w:rPr>
                <w:noProof/>
                <w:webHidden/>
              </w:rPr>
              <w:fldChar w:fldCharType="begin"/>
            </w:r>
            <w:r>
              <w:rPr>
                <w:noProof/>
                <w:webHidden/>
              </w:rPr>
              <w:instrText xml:space="preserve"> PAGEREF _Toc197365402 \h </w:instrText>
            </w:r>
            <w:r>
              <w:rPr>
                <w:noProof/>
                <w:webHidden/>
              </w:rPr>
            </w:r>
            <w:r>
              <w:rPr>
                <w:noProof/>
                <w:webHidden/>
              </w:rPr>
              <w:fldChar w:fldCharType="separate"/>
            </w:r>
            <w:r>
              <w:rPr>
                <w:noProof/>
                <w:webHidden/>
              </w:rPr>
              <w:t>34</w:t>
            </w:r>
            <w:r>
              <w:rPr>
                <w:noProof/>
                <w:webHidden/>
              </w:rPr>
              <w:fldChar w:fldCharType="end"/>
            </w:r>
          </w:hyperlink>
        </w:p>
        <w:p w14:paraId="4826F8F0" w14:textId="0792B6F6"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403" w:history="1">
            <w:r w:rsidRPr="001B7960">
              <w:rPr>
                <w:rStyle w:val="Hyperlink"/>
                <w:rFonts w:ascii="Wingdings" w:hAnsi="Wingdings"/>
                <w:noProof/>
                <w:lang w:val="en-US"/>
              </w:rPr>
              <w:t></w:t>
            </w:r>
            <w:r>
              <w:rPr>
                <w:rFonts w:asciiTheme="minorHAnsi" w:eastAsiaTheme="minorEastAsia" w:hAnsiTheme="minorHAnsi" w:cstheme="minorBidi"/>
                <w:noProof/>
                <w:sz w:val="22"/>
                <w:szCs w:val="22"/>
              </w:rPr>
              <w:tab/>
            </w:r>
            <w:r w:rsidRPr="001B7960">
              <w:rPr>
                <w:rStyle w:val="Hyperlink"/>
                <w:noProof/>
                <w:lang w:val="en-US"/>
              </w:rPr>
              <w:t>Development and strategic benefits of learning and teaching centres</w:t>
            </w:r>
            <w:r>
              <w:rPr>
                <w:noProof/>
                <w:webHidden/>
              </w:rPr>
              <w:tab/>
            </w:r>
            <w:r>
              <w:rPr>
                <w:noProof/>
                <w:webHidden/>
              </w:rPr>
              <w:fldChar w:fldCharType="begin"/>
            </w:r>
            <w:r>
              <w:rPr>
                <w:noProof/>
                <w:webHidden/>
              </w:rPr>
              <w:instrText xml:space="preserve"> PAGEREF _Toc197365403 \h </w:instrText>
            </w:r>
            <w:r>
              <w:rPr>
                <w:noProof/>
                <w:webHidden/>
              </w:rPr>
            </w:r>
            <w:r>
              <w:rPr>
                <w:noProof/>
                <w:webHidden/>
              </w:rPr>
              <w:fldChar w:fldCharType="separate"/>
            </w:r>
            <w:r>
              <w:rPr>
                <w:noProof/>
                <w:webHidden/>
              </w:rPr>
              <w:t>35</w:t>
            </w:r>
            <w:r>
              <w:rPr>
                <w:noProof/>
                <w:webHidden/>
              </w:rPr>
              <w:fldChar w:fldCharType="end"/>
            </w:r>
          </w:hyperlink>
        </w:p>
        <w:p w14:paraId="1A28DD91" w14:textId="7408E816"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404" w:history="1">
            <w:r w:rsidRPr="001B7960">
              <w:rPr>
                <w:rStyle w:val="Hyperlink"/>
                <w:rFonts w:ascii="Wingdings" w:hAnsi="Wingdings"/>
                <w:noProof/>
              </w:rPr>
              <w:t></w:t>
            </w:r>
            <w:r>
              <w:rPr>
                <w:rFonts w:asciiTheme="minorHAnsi" w:eastAsiaTheme="minorEastAsia" w:hAnsiTheme="minorHAnsi" w:cstheme="minorBidi"/>
                <w:noProof/>
                <w:sz w:val="22"/>
                <w:szCs w:val="22"/>
              </w:rPr>
              <w:tab/>
            </w:r>
            <w:r w:rsidRPr="001B7960">
              <w:rPr>
                <w:rStyle w:val="Hyperlink"/>
                <w:noProof/>
                <w:lang w:eastAsia="bg-BG"/>
              </w:rPr>
              <w:t>Artificial intelligence tools and their responsible use in higher education learning and teaching</w:t>
            </w:r>
            <w:r>
              <w:rPr>
                <w:noProof/>
                <w:webHidden/>
              </w:rPr>
              <w:tab/>
            </w:r>
            <w:r>
              <w:rPr>
                <w:noProof/>
                <w:webHidden/>
              </w:rPr>
              <w:fldChar w:fldCharType="begin"/>
            </w:r>
            <w:r>
              <w:rPr>
                <w:noProof/>
                <w:webHidden/>
              </w:rPr>
              <w:instrText xml:space="preserve"> PAGEREF _Toc197365404 \h </w:instrText>
            </w:r>
            <w:r>
              <w:rPr>
                <w:noProof/>
                <w:webHidden/>
              </w:rPr>
            </w:r>
            <w:r>
              <w:rPr>
                <w:noProof/>
                <w:webHidden/>
              </w:rPr>
              <w:fldChar w:fldCharType="separate"/>
            </w:r>
            <w:r>
              <w:rPr>
                <w:noProof/>
                <w:webHidden/>
              </w:rPr>
              <w:t>35</w:t>
            </w:r>
            <w:r>
              <w:rPr>
                <w:noProof/>
                <w:webHidden/>
              </w:rPr>
              <w:fldChar w:fldCharType="end"/>
            </w:r>
          </w:hyperlink>
        </w:p>
        <w:p w14:paraId="2CC8B701" w14:textId="776883A4" w:rsidR="00167A57" w:rsidRDefault="00167A57">
          <w:pPr>
            <w:pStyle w:val="TOC2"/>
            <w:tabs>
              <w:tab w:val="left" w:pos="660"/>
              <w:tab w:val="right" w:leader="dot" w:pos="9062"/>
            </w:tabs>
            <w:rPr>
              <w:rFonts w:asciiTheme="minorHAnsi" w:eastAsiaTheme="minorEastAsia" w:hAnsiTheme="minorHAnsi" w:cstheme="minorBidi"/>
              <w:noProof/>
              <w:sz w:val="22"/>
              <w:szCs w:val="22"/>
            </w:rPr>
          </w:pPr>
          <w:hyperlink w:anchor="_Toc197365405" w:history="1">
            <w:r w:rsidRPr="001B7960">
              <w:rPr>
                <w:rStyle w:val="Hyperlink"/>
                <w:rFonts w:ascii="Wingdings" w:hAnsi="Wingdings"/>
                <w:noProof/>
                <w:lang w:val="en-US"/>
              </w:rPr>
              <w:t></w:t>
            </w:r>
            <w:r>
              <w:rPr>
                <w:rFonts w:asciiTheme="minorHAnsi" w:eastAsiaTheme="minorEastAsia" w:hAnsiTheme="minorHAnsi" w:cstheme="minorBidi"/>
                <w:noProof/>
                <w:sz w:val="22"/>
                <w:szCs w:val="22"/>
              </w:rPr>
              <w:tab/>
            </w:r>
            <w:r w:rsidRPr="001B7960">
              <w:rPr>
                <w:rStyle w:val="Hyperlink"/>
                <w:noProof/>
                <w:lang w:val="en-US"/>
              </w:rPr>
              <w:t>Learning and teaching to empower students</w:t>
            </w:r>
            <w:r>
              <w:rPr>
                <w:noProof/>
                <w:webHidden/>
              </w:rPr>
              <w:tab/>
            </w:r>
            <w:r>
              <w:rPr>
                <w:noProof/>
                <w:webHidden/>
              </w:rPr>
              <w:fldChar w:fldCharType="begin"/>
            </w:r>
            <w:r>
              <w:rPr>
                <w:noProof/>
                <w:webHidden/>
              </w:rPr>
              <w:instrText xml:space="preserve"> PAGEREF _Toc197365405 \h </w:instrText>
            </w:r>
            <w:r>
              <w:rPr>
                <w:noProof/>
                <w:webHidden/>
              </w:rPr>
            </w:r>
            <w:r>
              <w:rPr>
                <w:noProof/>
                <w:webHidden/>
              </w:rPr>
              <w:fldChar w:fldCharType="separate"/>
            </w:r>
            <w:r>
              <w:rPr>
                <w:noProof/>
                <w:webHidden/>
              </w:rPr>
              <w:t>35</w:t>
            </w:r>
            <w:r>
              <w:rPr>
                <w:noProof/>
                <w:webHidden/>
              </w:rPr>
              <w:fldChar w:fldCharType="end"/>
            </w:r>
          </w:hyperlink>
        </w:p>
        <w:p w14:paraId="745D7BDE" w14:textId="32BAEEC3" w:rsidR="00912146" w:rsidRPr="003272CE" w:rsidRDefault="00704518" w:rsidP="006B19B3">
          <w:pPr>
            <w:sectPr w:rsidR="00912146" w:rsidRPr="003272CE" w:rsidSect="002852EF">
              <w:pgSz w:w="11906" w:h="16838"/>
              <w:pgMar w:top="1417" w:right="1417" w:bottom="1417" w:left="1417" w:header="708" w:footer="708" w:gutter="0"/>
              <w:cols w:space="708"/>
              <w:docGrid w:linePitch="360"/>
            </w:sectPr>
          </w:pPr>
          <w:r>
            <w:fldChar w:fldCharType="end"/>
          </w:r>
        </w:p>
      </w:sdtContent>
    </w:sdt>
    <w:p w14:paraId="2AEEEE48" w14:textId="77777777" w:rsidR="00061E79" w:rsidRPr="00E3073C" w:rsidRDefault="00061E79" w:rsidP="00061E79">
      <w:pPr>
        <w:pStyle w:val="Master-scholarship-internship"/>
        <w:tabs>
          <w:tab w:val="right" w:pos="9356"/>
        </w:tabs>
        <w:rPr>
          <w:rFonts w:ascii="Times New Roman" w:hAnsi="Times New Roman" w:cs="Times New Roman"/>
        </w:rPr>
      </w:pPr>
      <w:bookmarkStart w:id="0" w:name="_Toc197365365"/>
      <w:r>
        <w:rPr>
          <w:rFonts w:ascii="Times New Roman" w:hAnsi="Times New Roman" w:cs="Times New Roman"/>
        </w:rPr>
        <w:t>КОНКУРСИ</w:t>
      </w:r>
      <w:r w:rsidRPr="0098044C">
        <w:rPr>
          <w:rFonts w:ascii="Times New Roman" w:hAnsi="Times New Roman" w:cs="Times New Roman"/>
        </w:rPr>
        <w:t>, СТИПЕНДИИ, СТАЖОВЕ</w:t>
      </w:r>
      <w:bookmarkEnd w:id="0"/>
      <w:r>
        <w:rPr>
          <w:rFonts w:ascii="Times New Roman" w:hAnsi="Times New Roman" w:cs="Times New Roman"/>
        </w:rPr>
        <w:tab/>
      </w:r>
    </w:p>
    <w:p w14:paraId="2352F265" w14:textId="77777777" w:rsidR="0087240F" w:rsidRDefault="00B05CF2" w:rsidP="0087240F">
      <w:pPr>
        <w:pStyle w:val="Heading2"/>
        <w:ind w:left="426"/>
      </w:pPr>
      <w:bookmarkStart w:id="1" w:name="_Toc197365366"/>
      <w:r>
        <w:t>Стипендия Schwarzman Scholars 2026 - магистратура и лидерска програма в Китай</w:t>
      </w:r>
      <w:bookmarkEnd w:id="1"/>
      <w:r>
        <w:t xml:space="preserve"> </w:t>
      </w:r>
    </w:p>
    <w:p w14:paraId="6F7CEB5F" w14:textId="77777777" w:rsidR="0087240F" w:rsidRDefault="00B05CF2" w:rsidP="0087240F">
      <w:pPr>
        <w:spacing w:before="120" w:after="120" w:line="276" w:lineRule="auto"/>
        <w:jc w:val="both"/>
      </w:pPr>
      <w:r>
        <w:t xml:space="preserve">Schwarzman Scholars е </w:t>
      </w:r>
      <w:proofErr w:type="spellStart"/>
      <w:r>
        <w:t>престижна</w:t>
      </w:r>
      <w:proofErr w:type="spellEnd"/>
      <w:r>
        <w:t xml:space="preserve">, </w:t>
      </w:r>
      <w:proofErr w:type="spellStart"/>
      <w:r>
        <w:t>напълно</w:t>
      </w:r>
      <w:proofErr w:type="spellEnd"/>
      <w:r>
        <w:t xml:space="preserve"> </w:t>
      </w:r>
      <w:proofErr w:type="spellStart"/>
      <w:r>
        <w:t>финансирана</w:t>
      </w:r>
      <w:proofErr w:type="spellEnd"/>
      <w:r>
        <w:t xml:space="preserve"> </w:t>
      </w:r>
      <w:proofErr w:type="spellStart"/>
      <w:r>
        <w:t>едногодишна</w:t>
      </w:r>
      <w:proofErr w:type="spellEnd"/>
      <w:r>
        <w:t xml:space="preserve"> </w:t>
      </w:r>
      <w:proofErr w:type="spellStart"/>
      <w:r>
        <w:t>магистърска</w:t>
      </w:r>
      <w:proofErr w:type="spellEnd"/>
      <w:r>
        <w:t xml:space="preserve"> </w:t>
      </w:r>
      <w:proofErr w:type="spellStart"/>
      <w:r>
        <w:t>програма</w:t>
      </w:r>
      <w:proofErr w:type="spellEnd"/>
      <w:r>
        <w:t xml:space="preserve"> в </w:t>
      </w:r>
      <w:proofErr w:type="spellStart"/>
      <w:r w:rsidR="0087240F">
        <w:t>университет</w:t>
      </w:r>
      <w:proofErr w:type="spellEnd"/>
      <w:r w:rsidR="0087240F">
        <w:rPr>
          <w:lang w:val="bg-BG"/>
        </w:rPr>
        <w:t>а</w:t>
      </w:r>
      <w:r w:rsidR="0087240F">
        <w:t xml:space="preserve"> </w:t>
      </w:r>
      <w:proofErr w:type="spellStart"/>
      <w:r>
        <w:t>Цинхуа</w:t>
      </w:r>
      <w:proofErr w:type="spellEnd"/>
      <w:r>
        <w:t xml:space="preserve">, </w:t>
      </w:r>
      <w:proofErr w:type="spellStart"/>
      <w:r>
        <w:t>водещ</w:t>
      </w:r>
      <w:proofErr w:type="spellEnd"/>
      <w:r>
        <w:t xml:space="preserve"> </w:t>
      </w:r>
      <w:proofErr w:type="spellStart"/>
      <w:r>
        <w:t>академичен</w:t>
      </w:r>
      <w:proofErr w:type="spellEnd"/>
      <w:r>
        <w:t xml:space="preserve"> </w:t>
      </w:r>
      <w:proofErr w:type="spellStart"/>
      <w:r>
        <w:t>център</w:t>
      </w:r>
      <w:proofErr w:type="spellEnd"/>
      <w:r>
        <w:t xml:space="preserve"> в </w:t>
      </w:r>
      <w:proofErr w:type="spellStart"/>
      <w:r>
        <w:t>Азия</w:t>
      </w:r>
      <w:proofErr w:type="spellEnd"/>
      <w:r>
        <w:t xml:space="preserve">. </w:t>
      </w:r>
      <w:proofErr w:type="spellStart"/>
      <w:r>
        <w:t>Програмата</w:t>
      </w:r>
      <w:proofErr w:type="spellEnd"/>
      <w:r>
        <w:t xml:space="preserve"> е </w:t>
      </w:r>
      <w:proofErr w:type="spellStart"/>
      <w:r>
        <w:t>създадена</w:t>
      </w:r>
      <w:proofErr w:type="spellEnd"/>
      <w:r>
        <w:t xml:space="preserve"> по </w:t>
      </w:r>
      <w:proofErr w:type="spellStart"/>
      <w:r>
        <w:t>модел</w:t>
      </w:r>
      <w:proofErr w:type="spellEnd"/>
      <w:r>
        <w:t xml:space="preserve"> </w:t>
      </w:r>
      <w:proofErr w:type="spellStart"/>
      <w:r>
        <w:t>на</w:t>
      </w:r>
      <w:proofErr w:type="spellEnd"/>
      <w:r>
        <w:t xml:space="preserve"> </w:t>
      </w:r>
      <w:proofErr w:type="spellStart"/>
      <w:r>
        <w:t>стипендията</w:t>
      </w:r>
      <w:proofErr w:type="spellEnd"/>
      <w:r>
        <w:t xml:space="preserve"> "Rhodes" и </w:t>
      </w:r>
      <w:proofErr w:type="spellStart"/>
      <w:r>
        <w:t>цели</w:t>
      </w:r>
      <w:proofErr w:type="spellEnd"/>
      <w:r>
        <w:t xml:space="preserve"> </w:t>
      </w:r>
      <w:proofErr w:type="spellStart"/>
      <w:r>
        <w:t>да</w:t>
      </w:r>
      <w:proofErr w:type="spellEnd"/>
      <w:r>
        <w:t xml:space="preserve"> </w:t>
      </w:r>
      <w:proofErr w:type="spellStart"/>
      <w:r>
        <w:t>подготви</w:t>
      </w:r>
      <w:proofErr w:type="spellEnd"/>
      <w:r>
        <w:t xml:space="preserve"> </w:t>
      </w:r>
      <w:proofErr w:type="spellStart"/>
      <w:r>
        <w:t>следващото</w:t>
      </w:r>
      <w:proofErr w:type="spellEnd"/>
      <w:r>
        <w:t xml:space="preserve"> </w:t>
      </w:r>
      <w:proofErr w:type="spellStart"/>
      <w:r>
        <w:t>поколение</w:t>
      </w:r>
      <w:proofErr w:type="spellEnd"/>
      <w:r>
        <w:t xml:space="preserve"> </w:t>
      </w:r>
      <w:proofErr w:type="spellStart"/>
      <w:r>
        <w:t>глобални</w:t>
      </w:r>
      <w:proofErr w:type="spellEnd"/>
      <w:r>
        <w:t xml:space="preserve"> </w:t>
      </w:r>
      <w:proofErr w:type="spellStart"/>
      <w:r>
        <w:t>лидери</w:t>
      </w:r>
      <w:proofErr w:type="spellEnd"/>
      <w:r>
        <w:t xml:space="preserve">, </w:t>
      </w:r>
      <w:proofErr w:type="spellStart"/>
      <w:r>
        <w:t>чрез</w:t>
      </w:r>
      <w:proofErr w:type="spellEnd"/>
      <w:r>
        <w:t xml:space="preserve"> </w:t>
      </w:r>
      <w:proofErr w:type="spellStart"/>
      <w:r>
        <w:t>обучение</w:t>
      </w:r>
      <w:proofErr w:type="spellEnd"/>
      <w:r>
        <w:t xml:space="preserve">, </w:t>
      </w:r>
      <w:proofErr w:type="spellStart"/>
      <w:r>
        <w:t>културно</w:t>
      </w:r>
      <w:proofErr w:type="spellEnd"/>
      <w:r>
        <w:t xml:space="preserve"> </w:t>
      </w:r>
      <w:proofErr w:type="spellStart"/>
      <w:r>
        <w:t>потапяне</w:t>
      </w:r>
      <w:proofErr w:type="spellEnd"/>
      <w:r>
        <w:t xml:space="preserve"> и </w:t>
      </w:r>
      <w:proofErr w:type="spellStart"/>
      <w:r>
        <w:t>разбиране</w:t>
      </w:r>
      <w:proofErr w:type="spellEnd"/>
      <w:r>
        <w:t xml:space="preserve"> </w:t>
      </w:r>
      <w:proofErr w:type="spellStart"/>
      <w:r>
        <w:t>на</w:t>
      </w:r>
      <w:proofErr w:type="spellEnd"/>
      <w:r>
        <w:t xml:space="preserve"> </w:t>
      </w:r>
      <w:proofErr w:type="spellStart"/>
      <w:r>
        <w:t>съвременен</w:t>
      </w:r>
      <w:proofErr w:type="spellEnd"/>
      <w:r>
        <w:t xml:space="preserve"> </w:t>
      </w:r>
      <w:proofErr w:type="spellStart"/>
      <w:r>
        <w:t>Китай</w:t>
      </w:r>
      <w:proofErr w:type="spellEnd"/>
      <w:r>
        <w:t xml:space="preserve">. </w:t>
      </w:r>
      <w:proofErr w:type="spellStart"/>
      <w:r>
        <w:t>Началото</w:t>
      </w:r>
      <w:proofErr w:type="spellEnd"/>
      <w:r>
        <w:t xml:space="preserve"> </w:t>
      </w:r>
      <w:proofErr w:type="spellStart"/>
      <w:r>
        <w:t>на</w:t>
      </w:r>
      <w:proofErr w:type="spellEnd"/>
      <w:r>
        <w:t xml:space="preserve"> </w:t>
      </w:r>
      <w:proofErr w:type="spellStart"/>
      <w:r>
        <w:t>програмата</w:t>
      </w:r>
      <w:proofErr w:type="spellEnd"/>
      <w:r>
        <w:t xml:space="preserve"> е </w:t>
      </w:r>
      <w:proofErr w:type="spellStart"/>
      <w:r>
        <w:t>през</w:t>
      </w:r>
      <w:proofErr w:type="spellEnd"/>
      <w:r>
        <w:t xml:space="preserve"> </w:t>
      </w:r>
      <w:proofErr w:type="spellStart"/>
      <w:r>
        <w:t>август</w:t>
      </w:r>
      <w:proofErr w:type="spellEnd"/>
      <w:r>
        <w:t xml:space="preserve"> 2026 г. и </w:t>
      </w:r>
      <w:proofErr w:type="spellStart"/>
      <w:r>
        <w:t>продължава</w:t>
      </w:r>
      <w:proofErr w:type="spellEnd"/>
      <w:r>
        <w:t xml:space="preserve"> </w:t>
      </w:r>
      <w:proofErr w:type="spellStart"/>
      <w:r>
        <w:t>до</w:t>
      </w:r>
      <w:proofErr w:type="spellEnd"/>
      <w:r>
        <w:t xml:space="preserve"> </w:t>
      </w:r>
      <w:proofErr w:type="spellStart"/>
      <w:r>
        <w:t>юли</w:t>
      </w:r>
      <w:proofErr w:type="spellEnd"/>
      <w:r>
        <w:t xml:space="preserve"> 2027 г.</w:t>
      </w:r>
      <w:r w:rsidRPr="00B05CF2">
        <w:t xml:space="preserve"> </w:t>
      </w:r>
    </w:p>
    <w:p w14:paraId="12A1D5C2" w14:textId="77777777" w:rsidR="0087240F" w:rsidRDefault="00B05CF2" w:rsidP="0087240F">
      <w:pPr>
        <w:spacing w:before="120" w:after="120" w:line="276" w:lineRule="auto"/>
        <w:jc w:val="both"/>
        <w:rPr>
          <w:lang w:val="bg-BG"/>
        </w:rPr>
      </w:pPr>
      <w:proofErr w:type="spellStart"/>
      <w:r>
        <w:t>Могат</w:t>
      </w:r>
      <w:proofErr w:type="spellEnd"/>
      <w:r>
        <w:t xml:space="preserve"> </w:t>
      </w:r>
      <w:proofErr w:type="spellStart"/>
      <w:r>
        <w:t>да</w:t>
      </w:r>
      <w:proofErr w:type="spellEnd"/>
      <w:r>
        <w:t xml:space="preserve"> </w:t>
      </w:r>
      <w:proofErr w:type="spellStart"/>
      <w:r>
        <w:t>кандидатстват</w:t>
      </w:r>
      <w:proofErr w:type="spellEnd"/>
      <w:r w:rsidR="0087240F">
        <w:rPr>
          <w:lang w:val="bg-BG"/>
        </w:rPr>
        <w:t>:</w:t>
      </w:r>
    </w:p>
    <w:p w14:paraId="6A0C6C40" w14:textId="77777777" w:rsidR="0087240F" w:rsidRPr="00FA4F1B" w:rsidRDefault="0087240F" w:rsidP="002E2DAC">
      <w:pPr>
        <w:pStyle w:val="ListParagraph"/>
        <w:numPr>
          <w:ilvl w:val="0"/>
          <w:numId w:val="38"/>
        </w:numPr>
        <w:spacing w:before="120" w:after="600" w:line="276" w:lineRule="auto"/>
        <w:ind w:left="426"/>
        <w:jc w:val="both"/>
        <w:rPr>
          <w:lang w:val="bg-BG"/>
        </w:rPr>
      </w:pPr>
      <w:r>
        <w:rPr>
          <w:lang w:val="bg-BG"/>
        </w:rPr>
        <w:t>М</w:t>
      </w:r>
      <w:r w:rsidR="00B05CF2" w:rsidRPr="00FA4F1B">
        <w:rPr>
          <w:lang w:val="bg-BG"/>
        </w:rPr>
        <w:t>лади лидери от цял свят на възраст между 18 и 28 години (до 1 август 2026 г.) със завършено висше образование (или в процес на завършване до август 2026)</w:t>
      </w:r>
      <w:r w:rsidRPr="0087240F">
        <w:rPr>
          <w:lang w:val="bg-BG"/>
        </w:rPr>
        <w:t xml:space="preserve">. </w:t>
      </w:r>
    </w:p>
    <w:p w14:paraId="7B52A140" w14:textId="77777777" w:rsidR="002E2DAC" w:rsidRPr="00FA4F1B" w:rsidRDefault="00B05CF2" w:rsidP="00455587">
      <w:pPr>
        <w:pStyle w:val="ListParagraph"/>
        <w:numPr>
          <w:ilvl w:val="0"/>
          <w:numId w:val="38"/>
        </w:numPr>
        <w:spacing w:before="120" w:after="120" w:line="276" w:lineRule="auto"/>
        <w:ind w:left="425" w:hanging="357"/>
        <w:jc w:val="both"/>
        <w:rPr>
          <w:lang w:val="bg-BG"/>
        </w:rPr>
      </w:pPr>
      <w:r w:rsidRPr="00FA4F1B">
        <w:rPr>
          <w:lang w:val="bg-BG"/>
        </w:rPr>
        <w:t>Отличен английски език (</w:t>
      </w:r>
      <w:r>
        <w:t>TOEFL</w:t>
      </w:r>
      <w:r w:rsidRPr="00FA4F1B">
        <w:rPr>
          <w:lang w:val="bg-BG"/>
        </w:rPr>
        <w:t xml:space="preserve">, </w:t>
      </w:r>
      <w:r>
        <w:t>IELTS</w:t>
      </w:r>
      <w:r w:rsidRPr="00FA4F1B">
        <w:rPr>
          <w:lang w:val="bg-BG"/>
        </w:rPr>
        <w:t xml:space="preserve">, </w:t>
      </w:r>
      <w:r>
        <w:t>Cambridge</w:t>
      </w:r>
      <w:r w:rsidRPr="00FA4F1B">
        <w:rPr>
          <w:lang w:val="bg-BG"/>
        </w:rPr>
        <w:t xml:space="preserve"> или минимум 2 години обучение на английски). </w:t>
      </w:r>
    </w:p>
    <w:p w14:paraId="6187FC65" w14:textId="483D8636" w:rsidR="0087240F" w:rsidRPr="00FA4F1B" w:rsidRDefault="00B05CF2" w:rsidP="00455587">
      <w:pPr>
        <w:pStyle w:val="ListParagraph"/>
        <w:numPr>
          <w:ilvl w:val="0"/>
          <w:numId w:val="38"/>
        </w:numPr>
        <w:spacing w:before="120" w:after="120" w:line="276" w:lineRule="auto"/>
        <w:ind w:left="425" w:hanging="357"/>
        <w:jc w:val="both"/>
        <w:rPr>
          <w:lang w:val="bg-BG"/>
        </w:rPr>
      </w:pPr>
      <w:r w:rsidRPr="00FA4F1B">
        <w:rPr>
          <w:lang w:val="bg-BG"/>
        </w:rPr>
        <w:t>Силни лидерски качества, академични постижения и междукултурна осъзнатост.</w:t>
      </w:r>
    </w:p>
    <w:p w14:paraId="68057EC8" w14:textId="77777777" w:rsidR="0087240F" w:rsidRPr="00FA4F1B" w:rsidRDefault="00B05CF2" w:rsidP="0087240F">
      <w:pPr>
        <w:spacing w:before="120" w:after="120" w:line="276" w:lineRule="auto"/>
        <w:jc w:val="both"/>
        <w:rPr>
          <w:lang w:val="bg-BG"/>
        </w:rPr>
      </w:pPr>
      <w:r w:rsidRPr="00FA4F1B">
        <w:rPr>
          <w:lang w:val="bg-BG"/>
        </w:rPr>
        <w:t xml:space="preserve">Размер на финансирането: Стипендията покрива таксата за обучение, настаняване в </w:t>
      </w:r>
      <w:r>
        <w:t>Schwarzman</w:t>
      </w:r>
      <w:r w:rsidRPr="00FA4F1B">
        <w:rPr>
          <w:lang w:val="bg-BG"/>
        </w:rPr>
        <w:t xml:space="preserve"> </w:t>
      </w:r>
      <w:r>
        <w:t>College</w:t>
      </w:r>
      <w:r w:rsidRPr="00FA4F1B">
        <w:rPr>
          <w:lang w:val="bg-BG"/>
        </w:rPr>
        <w:t xml:space="preserve">, самолетни билети до/от Китай, вътрешни образователни пътувания, учебни материали и лаптоп </w:t>
      </w:r>
      <w:r>
        <w:t>Lenovo</w:t>
      </w:r>
      <w:r w:rsidRPr="00FA4F1B">
        <w:rPr>
          <w:lang w:val="bg-BG"/>
        </w:rPr>
        <w:t xml:space="preserve">, медицинска застраховка, стипендия от около 4000 </w:t>
      </w:r>
      <w:r>
        <w:t>USD</w:t>
      </w:r>
      <w:r w:rsidRPr="00FA4F1B">
        <w:rPr>
          <w:lang w:val="bg-BG"/>
        </w:rPr>
        <w:t xml:space="preserve"> за лични разходи, безплатно кандидатстване и покрити разходи за интервюто. </w:t>
      </w:r>
    </w:p>
    <w:p w14:paraId="57E40E3F" w14:textId="77777777" w:rsidR="0087240F" w:rsidRDefault="00B05CF2" w:rsidP="0087240F">
      <w:pPr>
        <w:spacing w:before="120" w:after="120" w:line="276" w:lineRule="auto"/>
        <w:jc w:val="both"/>
      </w:pPr>
      <w:r w:rsidRPr="00FA4F1B">
        <w:rPr>
          <w:lang w:val="bg-BG"/>
        </w:rPr>
        <w:t xml:space="preserve">За да кандидатствате е нужно да подготвите: </w:t>
      </w:r>
      <w:r>
        <w:t>CV</w:t>
      </w:r>
      <w:r w:rsidRPr="00FA4F1B">
        <w:rPr>
          <w:lang w:val="bg-BG"/>
        </w:rPr>
        <w:t xml:space="preserve"> (до 2 стр.); лидерско есе (750 думи); мотивационно писмо (500 думи); академични транскрипти; три препоръки; видео представяне (до 1 минута); английски сертификат (ако е приложимо). </w:t>
      </w:r>
      <w:proofErr w:type="spellStart"/>
      <w:r w:rsidR="0087240F">
        <w:t>Може</w:t>
      </w:r>
      <w:proofErr w:type="spellEnd"/>
      <w:r w:rsidR="0087240F">
        <w:t xml:space="preserve"> </w:t>
      </w:r>
      <w:proofErr w:type="spellStart"/>
      <w:r w:rsidR="0087240F">
        <w:t>да</w:t>
      </w:r>
      <w:proofErr w:type="spellEnd"/>
      <w:r w:rsidR="0087240F">
        <w:t xml:space="preserve"> </w:t>
      </w:r>
      <w:proofErr w:type="spellStart"/>
      <w:r w:rsidR="0087240F">
        <w:t>кандидатствате</w:t>
      </w:r>
      <w:proofErr w:type="spellEnd"/>
      <w:r w:rsidR="0087240F">
        <w:t xml:space="preserve"> </w:t>
      </w:r>
      <w:proofErr w:type="spellStart"/>
      <w:r w:rsidR="0087240F">
        <w:t>през</w:t>
      </w:r>
      <w:proofErr w:type="spellEnd"/>
      <w:r w:rsidR="0087240F">
        <w:t xml:space="preserve"> </w:t>
      </w:r>
      <w:hyperlink r:id="rId15" w:history="1">
        <w:proofErr w:type="spellStart"/>
        <w:r w:rsidR="0087240F" w:rsidRPr="00B05CF2">
          <w:rPr>
            <w:rStyle w:val="Hyperlink"/>
          </w:rPr>
          <w:t>сайта</w:t>
        </w:r>
        <w:proofErr w:type="spellEnd"/>
        <w:r w:rsidR="0087240F" w:rsidRPr="00B05CF2">
          <w:rPr>
            <w:rStyle w:val="Hyperlink"/>
          </w:rPr>
          <w:t>.</w:t>
        </w:r>
      </w:hyperlink>
    </w:p>
    <w:p w14:paraId="5BA6D148" w14:textId="06DBA1BA" w:rsidR="00B05CF2" w:rsidRPr="00255C05" w:rsidRDefault="00B05CF2" w:rsidP="0087240F">
      <w:pPr>
        <w:spacing w:before="120" w:after="600" w:line="276" w:lineRule="auto"/>
        <w:jc w:val="both"/>
        <w:rPr>
          <w:b/>
        </w:rPr>
      </w:pPr>
      <w:proofErr w:type="spellStart"/>
      <w:r w:rsidRPr="00255C05">
        <w:rPr>
          <w:b/>
        </w:rPr>
        <w:t>Кра</w:t>
      </w:r>
      <w:r w:rsidR="0087240F" w:rsidRPr="00255C05">
        <w:rPr>
          <w:b/>
          <w:lang w:val="bg-BG"/>
        </w:rPr>
        <w:t>ен</w:t>
      </w:r>
      <w:proofErr w:type="spellEnd"/>
      <w:r w:rsidRPr="00255C05">
        <w:rPr>
          <w:b/>
        </w:rPr>
        <w:t xml:space="preserve"> </w:t>
      </w:r>
      <w:proofErr w:type="spellStart"/>
      <w:r w:rsidRPr="00255C05">
        <w:rPr>
          <w:b/>
        </w:rPr>
        <w:t>срок</w:t>
      </w:r>
      <w:proofErr w:type="spellEnd"/>
      <w:r w:rsidR="0087240F" w:rsidRPr="00255C05">
        <w:rPr>
          <w:b/>
          <w:lang w:val="bg-BG"/>
        </w:rPr>
        <w:t xml:space="preserve">: </w:t>
      </w:r>
      <w:r w:rsidRPr="00255C05">
        <w:rPr>
          <w:b/>
        </w:rPr>
        <w:t xml:space="preserve">10 </w:t>
      </w:r>
      <w:proofErr w:type="spellStart"/>
      <w:r w:rsidRPr="00255C05">
        <w:rPr>
          <w:b/>
        </w:rPr>
        <w:t>септември</w:t>
      </w:r>
      <w:proofErr w:type="spellEnd"/>
      <w:r w:rsidRPr="00255C05">
        <w:rPr>
          <w:b/>
        </w:rPr>
        <w:t xml:space="preserve"> 2025 г. </w:t>
      </w:r>
    </w:p>
    <w:p w14:paraId="46BEAEC1" w14:textId="77777777" w:rsidR="00E65AC5" w:rsidRPr="00E65AC5" w:rsidRDefault="00E65AC5" w:rsidP="00372CCE">
      <w:pPr>
        <w:pStyle w:val="Heading2"/>
        <w:ind w:left="284"/>
      </w:pPr>
      <w:bookmarkStart w:id="2" w:name="_Toc197365367"/>
      <w:r w:rsidRPr="00E65AC5">
        <w:t>Undergraduate in STEM Scholarship</w:t>
      </w:r>
      <w:bookmarkEnd w:id="2"/>
    </w:p>
    <w:p w14:paraId="1C42FCEE" w14:textId="77777777" w:rsidR="00E65AC5" w:rsidRPr="00E65AC5" w:rsidRDefault="00E65AC5" w:rsidP="00372CCE">
      <w:pPr>
        <w:shd w:val="clear" w:color="auto" w:fill="FFFFFF"/>
        <w:spacing w:after="15" w:line="276" w:lineRule="auto"/>
        <w:jc w:val="both"/>
      </w:pPr>
      <w:r w:rsidRPr="00372CCE">
        <w:rPr>
          <w:bCs/>
        </w:rPr>
        <w:t>Educations.com offers scholarships for students beginning their STEM studies in the Fall 2025 semester abroad.</w:t>
      </w:r>
    </w:p>
    <w:p w14:paraId="530EE408" w14:textId="77777777" w:rsidR="00E65AC5" w:rsidRPr="00E65AC5" w:rsidRDefault="00E65AC5" w:rsidP="00372CCE">
      <w:pPr>
        <w:shd w:val="clear" w:color="auto" w:fill="FFFFFF"/>
        <w:spacing w:after="15" w:line="276" w:lineRule="auto"/>
        <w:jc w:val="both"/>
      </w:pPr>
      <w:r w:rsidRPr="00E65AC5">
        <w:rPr>
          <w:b/>
          <w:bCs/>
        </w:rPr>
        <w:t>Who can apply</w:t>
      </w:r>
    </w:p>
    <w:p w14:paraId="7D4EDA00" w14:textId="77777777" w:rsidR="00E65AC5" w:rsidRPr="00E65AC5" w:rsidRDefault="00E65AC5" w:rsidP="00372CCE">
      <w:pPr>
        <w:shd w:val="clear" w:color="auto" w:fill="FFFFFF"/>
        <w:spacing w:after="15" w:line="276" w:lineRule="auto"/>
        <w:jc w:val="both"/>
      </w:pPr>
      <w:r w:rsidRPr="00E65AC5">
        <w:t>International students from any country enrolled at any undergraduate STEM degree</w:t>
      </w:r>
    </w:p>
    <w:p w14:paraId="550E1CB2" w14:textId="77777777" w:rsidR="00E65AC5" w:rsidRPr="00E65AC5" w:rsidRDefault="00E65AC5" w:rsidP="00372CCE">
      <w:pPr>
        <w:shd w:val="clear" w:color="auto" w:fill="FFFFFF"/>
        <w:spacing w:after="15" w:line="276" w:lineRule="auto"/>
        <w:jc w:val="both"/>
      </w:pPr>
      <w:r w:rsidRPr="00E65AC5">
        <w:t>program (e.g. Bachelor of Science, Technology, Engineering, or Mathematics) where they’re not permanent residents.</w:t>
      </w:r>
    </w:p>
    <w:p w14:paraId="70E5A514" w14:textId="77777777" w:rsidR="00E65AC5" w:rsidRPr="00E65AC5" w:rsidRDefault="00E65AC5" w:rsidP="00372CCE">
      <w:pPr>
        <w:shd w:val="clear" w:color="auto" w:fill="FFFFFF"/>
        <w:spacing w:after="15" w:line="276" w:lineRule="auto"/>
        <w:jc w:val="both"/>
      </w:pPr>
      <w:r w:rsidRPr="00E65AC5">
        <w:rPr>
          <w:b/>
          <w:bCs/>
        </w:rPr>
        <w:t>Funding</w:t>
      </w:r>
    </w:p>
    <w:p w14:paraId="34FAEC6C" w14:textId="77777777" w:rsidR="00E65AC5" w:rsidRPr="00E65AC5" w:rsidRDefault="00E65AC5" w:rsidP="00372CCE">
      <w:pPr>
        <w:shd w:val="clear" w:color="auto" w:fill="FFFFFF"/>
        <w:spacing w:after="15" w:line="276" w:lineRule="auto"/>
        <w:jc w:val="both"/>
      </w:pPr>
      <w:r w:rsidRPr="00E65AC5">
        <w:t>Up to $5,000</w:t>
      </w:r>
    </w:p>
    <w:p w14:paraId="31147CDE" w14:textId="77777777" w:rsidR="00E65AC5" w:rsidRPr="00E65AC5" w:rsidRDefault="00E65AC5" w:rsidP="00372CCE">
      <w:pPr>
        <w:shd w:val="clear" w:color="auto" w:fill="FFFFFF"/>
        <w:spacing w:after="15" w:line="276" w:lineRule="auto"/>
        <w:jc w:val="both"/>
      </w:pPr>
      <w:r w:rsidRPr="00E65AC5">
        <w:rPr>
          <w:b/>
          <w:bCs/>
        </w:rPr>
        <w:t>How to apply</w:t>
      </w:r>
    </w:p>
    <w:p w14:paraId="7A072CE2" w14:textId="77777777" w:rsidR="00E65AC5" w:rsidRPr="00E65AC5" w:rsidRDefault="00E65AC5" w:rsidP="00372CCE">
      <w:pPr>
        <w:shd w:val="clear" w:color="auto" w:fill="FFFFFF"/>
        <w:spacing w:after="15" w:line="276" w:lineRule="auto"/>
        <w:jc w:val="both"/>
      </w:pPr>
      <w:r w:rsidRPr="00E65AC5">
        <w:t>Fill out a short form in English </w:t>
      </w:r>
      <w:hyperlink r:id="rId16" w:tgtFrame="_blank" w:history="1">
        <w:r w:rsidRPr="00E65AC5">
          <w:rPr>
            <w:u w:val="single"/>
          </w:rPr>
          <w:t>here</w:t>
        </w:r>
      </w:hyperlink>
      <w:r w:rsidRPr="00E65AC5">
        <w:t>.</w:t>
      </w:r>
    </w:p>
    <w:p w14:paraId="0051CAF3" w14:textId="77777777" w:rsidR="00E65AC5" w:rsidRPr="00E65AC5" w:rsidRDefault="00E65AC5" w:rsidP="00372CCE">
      <w:pPr>
        <w:shd w:val="clear" w:color="auto" w:fill="FFFFFF"/>
        <w:spacing w:after="120" w:line="276" w:lineRule="auto"/>
        <w:jc w:val="both"/>
      </w:pPr>
      <w:r w:rsidRPr="00E65AC5">
        <w:t>Provide a brief introduction and highlight your biggest achievement in high school.</w:t>
      </w:r>
    </w:p>
    <w:p w14:paraId="1C197E47" w14:textId="77777777" w:rsidR="00E65AC5" w:rsidRPr="00E65AC5" w:rsidRDefault="00E65AC5" w:rsidP="00372CCE">
      <w:pPr>
        <w:shd w:val="clear" w:color="auto" w:fill="FFFFFF"/>
        <w:spacing w:after="600" w:line="276" w:lineRule="auto"/>
        <w:jc w:val="both"/>
        <w:rPr>
          <w:b/>
        </w:rPr>
      </w:pPr>
      <w:r w:rsidRPr="00E65AC5">
        <w:rPr>
          <w:b/>
          <w:bCs/>
        </w:rPr>
        <w:t>Deadline</w:t>
      </w:r>
      <w:r w:rsidRPr="00E65AC5">
        <w:t xml:space="preserve">: </w:t>
      </w:r>
      <w:r w:rsidRPr="00E65AC5">
        <w:rPr>
          <w:b/>
        </w:rPr>
        <w:t>19 October 2025, 12.00 CEST</w:t>
      </w:r>
    </w:p>
    <w:p w14:paraId="730FE0D3" w14:textId="77777777" w:rsidR="00086C32" w:rsidRPr="00086C32" w:rsidRDefault="00086C32" w:rsidP="00C95CB8">
      <w:pPr>
        <w:pStyle w:val="Heading2"/>
        <w:ind w:left="426"/>
        <w:rPr>
          <w:lang w:val="en-US"/>
        </w:rPr>
      </w:pPr>
      <w:bookmarkStart w:id="3" w:name="_Toc197365368"/>
      <w:r w:rsidRPr="00086C32">
        <w:rPr>
          <w:lang w:val="en-US"/>
        </w:rPr>
        <w:t>Women Scholarship for International Students</w:t>
      </w:r>
      <w:bookmarkEnd w:id="3"/>
    </w:p>
    <w:p w14:paraId="4330E947" w14:textId="77777777" w:rsidR="00086C32" w:rsidRPr="00086C32" w:rsidRDefault="00086C32" w:rsidP="00086C32">
      <w:pPr>
        <w:spacing w:before="120" w:after="120" w:line="276" w:lineRule="auto"/>
        <w:jc w:val="both"/>
        <w:rPr>
          <w:lang w:val="en-US"/>
        </w:rPr>
      </w:pPr>
      <w:r w:rsidRPr="00086C32">
        <w:rPr>
          <w:bCs/>
          <w:lang w:val="en-US"/>
        </w:rPr>
        <w:t>Educations.com offers scholarships for international female students beginning their undergraduate, graduate, or post-graduate studies abroad in the Fall 2025 semester or after.</w:t>
      </w:r>
    </w:p>
    <w:p w14:paraId="20A5152F" w14:textId="77777777" w:rsidR="00086C32" w:rsidRPr="00421AA6" w:rsidRDefault="00086C32" w:rsidP="00421AA6">
      <w:pPr>
        <w:spacing w:line="276" w:lineRule="auto"/>
        <w:jc w:val="both"/>
        <w:rPr>
          <w:b/>
          <w:lang w:val="en-US"/>
        </w:rPr>
      </w:pPr>
      <w:r w:rsidRPr="00421AA6">
        <w:rPr>
          <w:b/>
          <w:bCs/>
          <w:lang w:val="en-US"/>
        </w:rPr>
        <w:t>Who can apply</w:t>
      </w:r>
    </w:p>
    <w:p w14:paraId="782A7D5E" w14:textId="77777777" w:rsidR="00086C32" w:rsidRPr="00086C32" w:rsidRDefault="00086C32" w:rsidP="00421AA6">
      <w:pPr>
        <w:spacing w:line="276" w:lineRule="auto"/>
        <w:jc w:val="both"/>
        <w:rPr>
          <w:lang w:val="en-US"/>
        </w:rPr>
      </w:pPr>
      <w:r w:rsidRPr="00086C32">
        <w:rPr>
          <w:lang w:val="en-US"/>
        </w:rPr>
        <w:t>Women international students from any country enrolled in any undergraduate, graduate, or post-graduate (doctoral-level) degree program at a college, university, or institute of higher education where they’re not permanent residents.</w:t>
      </w:r>
    </w:p>
    <w:p w14:paraId="74504C10" w14:textId="77777777" w:rsidR="00086C32" w:rsidRPr="00421AA6" w:rsidRDefault="00086C32" w:rsidP="00421AA6">
      <w:pPr>
        <w:spacing w:line="276" w:lineRule="auto"/>
        <w:jc w:val="both"/>
        <w:rPr>
          <w:b/>
          <w:lang w:val="en-US"/>
        </w:rPr>
      </w:pPr>
      <w:r w:rsidRPr="00421AA6">
        <w:rPr>
          <w:b/>
          <w:bCs/>
          <w:lang w:val="en-US"/>
        </w:rPr>
        <w:t>Funding</w:t>
      </w:r>
    </w:p>
    <w:p w14:paraId="4782F20E" w14:textId="77777777" w:rsidR="00086C32" w:rsidRPr="00086C32" w:rsidRDefault="00086C32" w:rsidP="00421AA6">
      <w:pPr>
        <w:spacing w:line="276" w:lineRule="auto"/>
        <w:jc w:val="both"/>
        <w:rPr>
          <w:lang w:val="en-US"/>
        </w:rPr>
      </w:pPr>
      <w:r w:rsidRPr="00086C32">
        <w:rPr>
          <w:lang w:val="en-US"/>
        </w:rPr>
        <w:t>Up to $5,000 that can be used to cover tuition fees.</w:t>
      </w:r>
    </w:p>
    <w:p w14:paraId="0899BB0C" w14:textId="77777777" w:rsidR="00086C32" w:rsidRPr="00421AA6" w:rsidRDefault="00086C32" w:rsidP="00421AA6">
      <w:pPr>
        <w:spacing w:line="276" w:lineRule="auto"/>
        <w:jc w:val="both"/>
        <w:rPr>
          <w:b/>
          <w:lang w:val="en-US"/>
        </w:rPr>
      </w:pPr>
      <w:r w:rsidRPr="00421AA6">
        <w:rPr>
          <w:b/>
          <w:bCs/>
          <w:lang w:val="en-US"/>
        </w:rPr>
        <w:t>How to apply</w:t>
      </w:r>
    </w:p>
    <w:p w14:paraId="0CA97E46" w14:textId="77777777" w:rsidR="00086C32" w:rsidRPr="00086C32" w:rsidRDefault="00086C32" w:rsidP="00421AA6">
      <w:pPr>
        <w:spacing w:line="276" w:lineRule="auto"/>
        <w:jc w:val="both"/>
        <w:rPr>
          <w:lang w:val="en-US"/>
        </w:rPr>
      </w:pPr>
      <w:r w:rsidRPr="00086C32">
        <w:rPr>
          <w:lang w:val="en-US"/>
        </w:rPr>
        <w:t>Fill out a short form in English </w:t>
      </w:r>
      <w:hyperlink r:id="rId17" w:tgtFrame="_blank" w:history="1">
        <w:r w:rsidRPr="00086C32">
          <w:rPr>
            <w:rStyle w:val="Hyperlink"/>
            <w:lang w:val="en-US"/>
          </w:rPr>
          <w:t>here</w:t>
        </w:r>
      </w:hyperlink>
      <w:r w:rsidRPr="00086C32">
        <w:rPr>
          <w:lang w:val="en-US"/>
        </w:rPr>
        <w:t>.</w:t>
      </w:r>
    </w:p>
    <w:p w14:paraId="583FC96A" w14:textId="77777777" w:rsidR="00C95CB8" w:rsidRPr="00086C32" w:rsidRDefault="00C95CB8" w:rsidP="00421AA6">
      <w:pPr>
        <w:spacing w:line="276" w:lineRule="auto"/>
        <w:jc w:val="both"/>
        <w:rPr>
          <w:lang w:val="en-US"/>
        </w:rPr>
      </w:pPr>
      <w:r w:rsidRPr="00086C32">
        <w:rPr>
          <w:bCs/>
          <w:lang w:val="en-US"/>
        </w:rPr>
        <w:t>Read more</w:t>
      </w:r>
      <w:r w:rsidRPr="00086C32">
        <w:rPr>
          <w:lang w:val="en-US"/>
        </w:rPr>
        <w:t> </w:t>
      </w:r>
      <w:hyperlink r:id="rId18" w:tgtFrame="_blank" w:history="1">
        <w:r w:rsidRPr="00086C32">
          <w:rPr>
            <w:rStyle w:val="Hyperlink"/>
            <w:lang w:val="en-US"/>
          </w:rPr>
          <w:t>here</w:t>
        </w:r>
      </w:hyperlink>
      <w:r w:rsidRPr="00086C32">
        <w:rPr>
          <w:lang w:val="en-US"/>
        </w:rPr>
        <w:t>.</w:t>
      </w:r>
    </w:p>
    <w:p w14:paraId="7A03C65F" w14:textId="16CDEBA6" w:rsidR="00086C32" w:rsidRDefault="00086C32" w:rsidP="00C95CB8">
      <w:pPr>
        <w:spacing w:before="120" w:after="600" w:line="276" w:lineRule="auto"/>
        <w:jc w:val="both"/>
        <w:rPr>
          <w:b/>
          <w:lang w:val="en-US"/>
        </w:rPr>
      </w:pPr>
      <w:r w:rsidRPr="00C95CB8">
        <w:rPr>
          <w:b/>
          <w:bCs/>
          <w:lang w:val="en-US"/>
        </w:rPr>
        <w:t>Deadline</w:t>
      </w:r>
      <w:r w:rsidRPr="00C95CB8">
        <w:rPr>
          <w:b/>
          <w:lang w:val="en-US"/>
        </w:rPr>
        <w:t>: 25 August 2025, 12:00 CEST.</w:t>
      </w:r>
    </w:p>
    <w:p w14:paraId="2699DFA8" w14:textId="77777777" w:rsidR="00FB7E37" w:rsidRDefault="00FB7E37" w:rsidP="00FB7E37">
      <w:pPr>
        <w:pStyle w:val="Heading2"/>
        <w:ind w:left="426"/>
      </w:pPr>
      <w:bookmarkStart w:id="4" w:name="_Toc197365369"/>
      <w:r>
        <w:t>One Young World – Leading Scholarship 2025</w:t>
      </w:r>
      <w:bookmarkEnd w:id="4"/>
      <w:r>
        <w:t xml:space="preserve"> </w:t>
      </w:r>
    </w:p>
    <w:p w14:paraId="7825F171" w14:textId="77777777" w:rsidR="00FB7E37" w:rsidRDefault="00FB7E37" w:rsidP="00FB7E37">
      <w:pPr>
        <w:spacing w:before="120" w:after="120" w:line="276" w:lineRule="auto"/>
        <w:jc w:val="both"/>
      </w:pPr>
      <w:proofErr w:type="spellStart"/>
      <w:r>
        <w:t>Стипендията</w:t>
      </w:r>
      <w:proofErr w:type="spellEnd"/>
      <w:r>
        <w:t xml:space="preserve"> е </w:t>
      </w:r>
      <w:proofErr w:type="spellStart"/>
      <w:r>
        <w:t>предназначена</w:t>
      </w:r>
      <w:proofErr w:type="spellEnd"/>
      <w:r>
        <w:t xml:space="preserve"> </w:t>
      </w:r>
      <w:proofErr w:type="spellStart"/>
      <w:r>
        <w:t>за</w:t>
      </w:r>
      <w:proofErr w:type="spellEnd"/>
      <w:r>
        <w:t xml:space="preserve"> </w:t>
      </w:r>
      <w:proofErr w:type="spellStart"/>
      <w:r>
        <w:t>млади</w:t>
      </w:r>
      <w:proofErr w:type="spellEnd"/>
      <w:r>
        <w:t xml:space="preserve"> </w:t>
      </w:r>
      <w:proofErr w:type="spellStart"/>
      <w:r>
        <w:t>лидери</w:t>
      </w:r>
      <w:proofErr w:type="spellEnd"/>
      <w:r>
        <w:t xml:space="preserve">, </w:t>
      </w:r>
      <w:proofErr w:type="spellStart"/>
      <w:r>
        <w:t>които</w:t>
      </w:r>
      <w:proofErr w:type="spellEnd"/>
      <w:r>
        <w:t xml:space="preserve"> </w:t>
      </w:r>
      <w:proofErr w:type="spellStart"/>
      <w:r>
        <w:t>разработват</w:t>
      </w:r>
      <w:proofErr w:type="spellEnd"/>
      <w:r>
        <w:t xml:space="preserve"> </w:t>
      </w:r>
      <w:proofErr w:type="spellStart"/>
      <w:r>
        <w:t>стратегии</w:t>
      </w:r>
      <w:proofErr w:type="spellEnd"/>
      <w:r>
        <w:t xml:space="preserve"> </w:t>
      </w:r>
      <w:proofErr w:type="spellStart"/>
      <w:r>
        <w:t>за</w:t>
      </w:r>
      <w:proofErr w:type="spellEnd"/>
      <w:r>
        <w:t xml:space="preserve"> </w:t>
      </w:r>
      <w:proofErr w:type="spellStart"/>
      <w:r>
        <w:t>изграждане</w:t>
      </w:r>
      <w:proofErr w:type="spellEnd"/>
      <w:r>
        <w:t xml:space="preserve"> </w:t>
      </w:r>
      <w:proofErr w:type="spellStart"/>
      <w:r>
        <w:t>на</w:t>
      </w:r>
      <w:proofErr w:type="spellEnd"/>
      <w:r>
        <w:t xml:space="preserve"> по-</w:t>
      </w:r>
      <w:proofErr w:type="spellStart"/>
      <w:r>
        <w:t>устойчив</w:t>
      </w:r>
      <w:proofErr w:type="spellEnd"/>
      <w:r>
        <w:t xml:space="preserve"> </w:t>
      </w:r>
      <w:proofErr w:type="spellStart"/>
      <w:r>
        <w:t>свят</w:t>
      </w:r>
      <w:proofErr w:type="spellEnd"/>
      <w:r>
        <w:t xml:space="preserve">. </w:t>
      </w:r>
      <w:proofErr w:type="spellStart"/>
      <w:r>
        <w:t>Участниците</w:t>
      </w:r>
      <w:proofErr w:type="spellEnd"/>
      <w:r>
        <w:t xml:space="preserve"> </w:t>
      </w:r>
      <w:proofErr w:type="spellStart"/>
      <w:r>
        <w:t>ще</w:t>
      </w:r>
      <w:proofErr w:type="spellEnd"/>
      <w:r>
        <w:t xml:space="preserve"> </w:t>
      </w:r>
      <w:proofErr w:type="spellStart"/>
      <w:r>
        <w:t>имат</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глобална</w:t>
      </w:r>
      <w:proofErr w:type="spellEnd"/>
      <w:r>
        <w:t xml:space="preserve"> </w:t>
      </w:r>
      <w:proofErr w:type="spellStart"/>
      <w:r>
        <w:t>мрежа</w:t>
      </w:r>
      <w:proofErr w:type="spellEnd"/>
      <w:r>
        <w:t xml:space="preserve"> </w:t>
      </w:r>
      <w:proofErr w:type="spellStart"/>
      <w:r>
        <w:t>от</w:t>
      </w:r>
      <w:proofErr w:type="spellEnd"/>
      <w:r>
        <w:t xml:space="preserve"> </w:t>
      </w:r>
      <w:proofErr w:type="spellStart"/>
      <w:r>
        <w:t>над</w:t>
      </w:r>
      <w:proofErr w:type="spellEnd"/>
      <w:r>
        <w:t xml:space="preserve"> 15,500 </w:t>
      </w:r>
      <w:proofErr w:type="spellStart"/>
      <w:r>
        <w:t>млади</w:t>
      </w:r>
      <w:proofErr w:type="spellEnd"/>
      <w:r>
        <w:t xml:space="preserve"> </w:t>
      </w:r>
      <w:proofErr w:type="spellStart"/>
      <w:r>
        <w:t>лидери</w:t>
      </w:r>
      <w:proofErr w:type="spellEnd"/>
      <w:r>
        <w:t xml:space="preserve"> и </w:t>
      </w:r>
      <w:proofErr w:type="spellStart"/>
      <w:r>
        <w:t>ще</w:t>
      </w:r>
      <w:proofErr w:type="spellEnd"/>
      <w:r>
        <w:t xml:space="preserve"> </w:t>
      </w:r>
      <w:proofErr w:type="spellStart"/>
      <w:r>
        <w:t>получат</w:t>
      </w:r>
      <w:proofErr w:type="spellEnd"/>
      <w:r>
        <w:t xml:space="preserve"> </w:t>
      </w:r>
      <w:proofErr w:type="spellStart"/>
      <w:r>
        <w:t>вдъхновение</w:t>
      </w:r>
      <w:proofErr w:type="spellEnd"/>
      <w:r>
        <w:t xml:space="preserve"> </w:t>
      </w:r>
      <w:proofErr w:type="spellStart"/>
      <w:r>
        <w:t>от</w:t>
      </w:r>
      <w:proofErr w:type="spellEnd"/>
      <w:r>
        <w:t xml:space="preserve"> </w:t>
      </w:r>
      <w:proofErr w:type="spellStart"/>
      <w:r>
        <w:t>влиятелни</w:t>
      </w:r>
      <w:proofErr w:type="spellEnd"/>
      <w:r>
        <w:t xml:space="preserve"> </w:t>
      </w:r>
      <w:proofErr w:type="spellStart"/>
      <w:r>
        <w:t>фигури</w:t>
      </w:r>
      <w:proofErr w:type="spellEnd"/>
      <w:r>
        <w:t xml:space="preserve"> </w:t>
      </w:r>
      <w:proofErr w:type="spellStart"/>
      <w:r>
        <w:t>като</w:t>
      </w:r>
      <w:proofErr w:type="spellEnd"/>
      <w:r>
        <w:t xml:space="preserve"> </w:t>
      </w:r>
      <w:proofErr w:type="spellStart"/>
      <w:r>
        <w:t>Джъстин</w:t>
      </w:r>
      <w:proofErr w:type="spellEnd"/>
      <w:r>
        <w:t xml:space="preserve"> </w:t>
      </w:r>
      <w:proofErr w:type="spellStart"/>
      <w:r>
        <w:t>Трюдо</w:t>
      </w:r>
      <w:proofErr w:type="spellEnd"/>
      <w:r>
        <w:t xml:space="preserve">, </w:t>
      </w:r>
      <w:proofErr w:type="spellStart"/>
      <w:r>
        <w:t>Пол</w:t>
      </w:r>
      <w:proofErr w:type="spellEnd"/>
      <w:r>
        <w:t xml:space="preserve"> </w:t>
      </w:r>
      <w:proofErr w:type="spellStart"/>
      <w:r>
        <w:t>Полман</w:t>
      </w:r>
      <w:proofErr w:type="spellEnd"/>
      <w:r>
        <w:t xml:space="preserve"> и </w:t>
      </w:r>
      <w:proofErr w:type="spellStart"/>
      <w:r>
        <w:t>Мери</w:t>
      </w:r>
      <w:proofErr w:type="spellEnd"/>
      <w:r>
        <w:t xml:space="preserve"> </w:t>
      </w:r>
      <w:proofErr w:type="spellStart"/>
      <w:r>
        <w:t>Робинсън</w:t>
      </w:r>
      <w:proofErr w:type="spellEnd"/>
      <w:r>
        <w:t>.</w:t>
      </w:r>
    </w:p>
    <w:p w14:paraId="62AC6BD8" w14:textId="77777777" w:rsidR="00FB7E37" w:rsidRDefault="00FB7E37" w:rsidP="00FB7E37">
      <w:pPr>
        <w:spacing w:before="120" w:after="120" w:line="276" w:lineRule="auto"/>
        <w:jc w:val="both"/>
      </w:pPr>
      <w:proofErr w:type="spellStart"/>
      <w:r w:rsidRPr="00421AA6">
        <w:rPr>
          <w:b/>
        </w:rPr>
        <w:t>Изисквания</w:t>
      </w:r>
      <w:proofErr w:type="spellEnd"/>
      <w:r w:rsidRPr="00421AA6">
        <w:rPr>
          <w:b/>
        </w:rPr>
        <w:t>:</w:t>
      </w:r>
      <w:r>
        <w:t xml:space="preserve"> </w:t>
      </w:r>
      <w:proofErr w:type="spellStart"/>
      <w:r>
        <w:t>Възраст</w:t>
      </w:r>
      <w:proofErr w:type="spellEnd"/>
      <w:r>
        <w:t xml:space="preserve"> </w:t>
      </w:r>
      <w:proofErr w:type="spellStart"/>
      <w:r>
        <w:t>между</w:t>
      </w:r>
      <w:proofErr w:type="spellEnd"/>
      <w:r>
        <w:t xml:space="preserve"> 18 и 30 </w:t>
      </w:r>
      <w:proofErr w:type="spellStart"/>
      <w:r>
        <w:t>години</w:t>
      </w:r>
      <w:proofErr w:type="spellEnd"/>
      <w:r>
        <w:t xml:space="preserve"> (</w:t>
      </w:r>
      <w:proofErr w:type="spellStart"/>
      <w:r>
        <w:t>възможни</w:t>
      </w:r>
      <w:proofErr w:type="spellEnd"/>
      <w:r>
        <w:t xml:space="preserve"> </w:t>
      </w:r>
      <w:proofErr w:type="spellStart"/>
      <w:r>
        <w:t>изключения</w:t>
      </w:r>
      <w:proofErr w:type="spellEnd"/>
      <w:r>
        <w:t xml:space="preserve">); </w:t>
      </w:r>
      <w:proofErr w:type="spellStart"/>
      <w:r>
        <w:t>доказан</w:t>
      </w:r>
      <w:proofErr w:type="spellEnd"/>
      <w:r>
        <w:t xml:space="preserve"> </w:t>
      </w:r>
      <w:proofErr w:type="spellStart"/>
      <w:r>
        <w:t>ангажимент</w:t>
      </w:r>
      <w:proofErr w:type="spellEnd"/>
      <w:r>
        <w:t xml:space="preserve"> </w:t>
      </w:r>
      <w:proofErr w:type="spellStart"/>
      <w:r>
        <w:t>за</w:t>
      </w:r>
      <w:proofErr w:type="spellEnd"/>
      <w:r>
        <w:t xml:space="preserve"> </w:t>
      </w:r>
      <w:proofErr w:type="spellStart"/>
      <w:r>
        <w:t>положителна</w:t>
      </w:r>
      <w:proofErr w:type="spellEnd"/>
      <w:r>
        <w:t xml:space="preserve"> </w:t>
      </w:r>
      <w:proofErr w:type="spellStart"/>
      <w:r>
        <w:t>промяна</w:t>
      </w:r>
      <w:proofErr w:type="spellEnd"/>
      <w:r>
        <w:t xml:space="preserve">; </w:t>
      </w:r>
      <w:proofErr w:type="spellStart"/>
      <w:r>
        <w:t>лидерски</w:t>
      </w:r>
      <w:proofErr w:type="spellEnd"/>
      <w:r>
        <w:t xml:space="preserve"> </w:t>
      </w:r>
      <w:proofErr w:type="spellStart"/>
      <w:r>
        <w:t>умения</w:t>
      </w:r>
      <w:proofErr w:type="spellEnd"/>
      <w:r>
        <w:t xml:space="preserve"> и </w:t>
      </w:r>
      <w:proofErr w:type="spellStart"/>
      <w:r>
        <w:t>иновативно</w:t>
      </w:r>
      <w:proofErr w:type="spellEnd"/>
      <w:r>
        <w:t xml:space="preserve"> </w:t>
      </w:r>
      <w:proofErr w:type="spellStart"/>
      <w:r>
        <w:t>мислене</w:t>
      </w:r>
      <w:proofErr w:type="spellEnd"/>
      <w:r>
        <w:t xml:space="preserve">; </w:t>
      </w:r>
      <w:proofErr w:type="spellStart"/>
      <w:r>
        <w:t>активност</w:t>
      </w:r>
      <w:proofErr w:type="spellEnd"/>
      <w:r>
        <w:t xml:space="preserve"> в </w:t>
      </w:r>
      <w:proofErr w:type="spellStart"/>
      <w:r>
        <w:t>решаването</w:t>
      </w:r>
      <w:proofErr w:type="spellEnd"/>
      <w:r>
        <w:t xml:space="preserve"> </w:t>
      </w:r>
      <w:proofErr w:type="spellStart"/>
      <w:r>
        <w:t>на</w:t>
      </w:r>
      <w:proofErr w:type="spellEnd"/>
      <w:r>
        <w:t xml:space="preserve"> </w:t>
      </w:r>
      <w:proofErr w:type="spellStart"/>
      <w:r>
        <w:t>местни</w:t>
      </w:r>
      <w:proofErr w:type="spellEnd"/>
      <w:r>
        <w:t xml:space="preserve"> и/</w:t>
      </w:r>
      <w:proofErr w:type="spellStart"/>
      <w:r>
        <w:t>или</w:t>
      </w:r>
      <w:proofErr w:type="spellEnd"/>
      <w:r>
        <w:t xml:space="preserve"> </w:t>
      </w:r>
      <w:proofErr w:type="spellStart"/>
      <w:r>
        <w:t>глобални</w:t>
      </w:r>
      <w:proofErr w:type="spellEnd"/>
      <w:r>
        <w:t xml:space="preserve"> </w:t>
      </w:r>
      <w:proofErr w:type="spellStart"/>
      <w:r>
        <w:t>предизвикателства</w:t>
      </w:r>
      <w:proofErr w:type="spellEnd"/>
      <w:r>
        <w:t xml:space="preserve">. </w:t>
      </w:r>
    </w:p>
    <w:p w14:paraId="0BB2179C" w14:textId="77777777" w:rsidR="00FB7E37" w:rsidRDefault="00FB7E37" w:rsidP="00FB7E37">
      <w:pPr>
        <w:spacing w:before="120" w:after="120" w:line="276" w:lineRule="auto"/>
        <w:jc w:val="both"/>
      </w:pPr>
      <w:proofErr w:type="spellStart"/>
      <w:r w:rsidRPr="00421AA6">
        <w:rPr>
          <w:b/>
        </w:rPr>
        <w:t>Размер</w:t>
      </w:r>
      <w:proofErr w:type="spellEnd"/>
      <w:r w:rsidRPr="00421AA6">
        <w:rPr>
          <w:b/>
        </w:rPr>
        <w:t xml:space="preserve"> </w:t>
      </w:r>
      <w:proofErr w:type="spellStart"/>
      <w:r w:rsidRPr="00421AA6">
        <w:rPr>
          <w:b/>
        </w:rPr>
        <w:t>на</w:t>
      </w:r>
      <w:proofErr w:type="spellEnd"/>
      <w:r w:rsidRPr="00421AA6">
        <w:rPr>
          <w:b/>
        </w:rPr>
        <w:t xml:space="preserve"> </w:t>
      </w:r>
      <w:proofErr w:type="spellStart"/>
      <w:r w:rsidRPr="00421AA6">
        <w:rPr>
          <w:b/>
        </w:rPr>
        <w:t>финансирането</w:t>
      </w:r>
      <w:proofErr w:type="spellEnd"/>
      <w:r>
        <w:t xml:space="preserve">: </w:t>
      </w:r>
      <w:proofErr w:type="spellStart"/>
      <w:r>
        <w:t>Пълен</w:t>
      </w:r>
      <w:proofErr w:type="spellEnd"/>
      <w:r>
        <w:t xml:space="preserve"> </w:t>
      </w:r>
      <w:proofErr w:type="spellStart"/>
      <w:r>
        <w:t>достъп</w:t>
      </w:r>
      <w:proofErr w:type="spellEnd"/>
      <w:r>
        <w:t xml:space="preserve"> </w:t>
      </w:r>
      <w:proofErr w:type="spellStart"/>
      <w:r>
        <w:t>до</w:t>
      </w:r>
      <w:proofErr w:type="spellEnd"/>
      <w:r>
        <w:t xml:space="preserve"> One Young World Summit 2025; </w:t>
      </w:r>
      <w:proofErr w:type="spellStart"/>
      <w:r>
        <w:t>безплатно</w:t>
      </w:r>
      <w:proofErr w:type="spellEnd"/>
      <w:r>
        <w:t xml:space="preserve"> </w:t>
      </w:r>
      <w:proofErr w:type="spellStart"/>
      <w:r>
        <w:t>настаняване</w:t>
      </w:r>
      <w:proofErr w:type="spellEnd"/>
      <w:r>
        <w:t xml:space="preserve"> (2-6 </w:t>
      </w:r>
      <w:proofErr w:type="spellStart"/>
      <w:r>
        <w:t>ноември</w:t>
      </w:r>
      <w:proofErr w:type="spellEnd"/>
      <w:r>
        <w:t xml:space="preserve"> 2025); </w:t>
      </w:r>
      <w:proofErr w:type="spellStart"/>
      <w:r>
        <w:t>осигурено</w:t>
      </w:r>
      <w:proofErr w:type="spellEnd"/>
      <w:r>
        <w:t xml:space="preserve"> </w:t>
      </w:r>
      <w:proofErr w:type="spellStart"/>
      <w:r>
        <w:t>хранене</w:t>
      </w:r>
      <w:proofErr w:type="spellEnd"/>
      <w:r>
        <w:t xml:space="preserve"> (</w:t>
      </w:r>
      <w:proofErr w:type="spellStart"/>
      <w:r>
        <w:t>закуска</w:t>
      </w:r>
      <w:proofErr w:type="spellEnd"/>
      <w:r>
        <w:t xml:space="preserve">, </w:t>
      </w:r>
      <w:proofErr w:type="spellStart"/>
      <w:r>
        <w:t>обяд</w:t>
      </w:r>
      <w:proofErr w:type="spellEnd"/>
      <w:r>
        <w:t xml:space="preserve">, </w:t>
      </w:r>
      <w:proofErr w:type="spellStart"/>
      <w:r>
        <w:t>вечеря</w:t>
      </w:r>
      <w:proofErr w:type="spellEnd"/>
      <w:r>
        <w:t xml:space="preserve">); </w:t>
      </w:r>
      <w:proofErr w:type="spellStart"/>
      <w:r>
        <w:t>покрити</w:t>
      </w:r>
      <w:proofErr w:type="spellEnd"/>
      <w:r>
        <w:t xml:space="preserve"> </w:t>
      </w:r>
      <w:proofErr w:type="spellStart"/>
      <w:r>
        <w:t>пътни</w:t>
      </w:r>
      <w:proofErr w:type="spellEnd"/>
      <w:r>
        <w:t xml:space="preserve"> </w:t>
      </w:r>
      <w:proofErr w:type="spellStart"/>
      <w:r>
        <w:t>разходи</w:t>
      </w:r>
      <w:proofErr w:type="spellEnd"/>
      <w:r>
        <w:t xml:space="preserve"> (</w:t>
      </w:r>
      <w:proofErr w:type="spellStart"/>
      <w:r>
        <w:t>до</w:t>
      </w:r>
      <w:proofErr w:type="spellEnd"/>
      <w:r>
        <w:t>/</w:t>
      </w:r>
      <w:proofErr w:type="spellStart"/>
      <w:r>
        <w:t>от</w:t>
      </w:r>
      <w:proofErr w:type="spellEnd"/>
      <w:r>
        <w:t xml:space="preserve"> </w:t>
      </w:r>
      <w:proofErr w:type="spellStart"/>
      <w:r>
        <w:t>международно</w:t>
      </w:r>
      <w:proofErr w:type="spellEnd"/>
      <w:r>
        <w:t xml:space="preserve"> </w:t>
      </w:r>
      <w:proofErr w:type="spellStart"/>
      <w:r>
        <w:t>летище</w:t>
      </w:r>
      <w:proofErr w:type="spellEnd"/>
      <w:r>
        <w:t>).</w:t>
      </w:r>
    </w:p>
    <w:p w14:paraId="4A4082DA" w14:textId="77777777" w:rsidR="00FB7E37" w:rsidRDefault="00FB7E37" w:rsidP="00FB7E37">
      <w:pPr>
        <w:spacing w:before="120" w:after="120" w:line="276" w:lineRule="auto"/>
        <w:jc w:val="both"/>
      </w:pPr>
      <w:proofErr w:type="spellStart"/>
      <w:r>
        <w:t>Може</w:t>
      </w:r>
      <w:proofErr w:type="spellEnd"/>
      <w:r>
        <w:t xml:space="preserve"> </w:t>
      </w:r>
      <w:proofErr w:type="spellStart"/>
      <w:r>
        <w:t>да</w:t>
      </w:r>
      <w:proofErr w:type="spellEnd"/>
      <w:r>
        <w:t xml:space="preserve"> </w:t>
      </w:r>
      <w:proofErr w:type="spellStart"/>
      <w:r>
        <w:t>подадете</w:t>
      </w:r>
      <w:proofErr w:type="spellEnd"/>
      <w:r>
        <w:t xml:space="preserve"> </w:t>
      </w:r>
      <w:proofErr w:type="spellStart"/>
      <w:r>
        <w:t>документи</w:t>
      </w:r>
      <w:proofErr w:type="spellEnd"/>
      <w:r>
        <w:t xml:space="preserve"> </w:t>
      </w:r>
      <w:proofErr w:type="spellStart"/>
      <w:r>
        <w:t>през</w:t>
      </w:r>
      <w:proofErr w:type="spellEnd"/>
      <w:r>
        <w:t xml:space="preserve"> </w:t>
      </w:r>
      <w:hyperlink r:id="rId19" w:history="1">
        <w:proofErr w:type="spellStart"/>
        <w:r w:rsidRPr="00036F9F">
          <w:rPr>
            <w:rStyle w:val="Hyperlink"/>
          </w:rPr>
          <w:t>страницата</w:t>
        </w:r>
        <w:proofErr w:type="spellEnd"/>
        <w:r w:rsidRPr="00036F9F">
          <w:rPr>
            <w:rStyle w:val="Hyperlink"/>
          </w:rPr>
          <w:t>.</w:t>
        </w:r>
      </w:hyperlink>
      <w:r w:rsidRPr="00421AA6">
        <w:t xml:space="preserve"> </w:t>
      </w:r>
    </w:p>
    <w:p w14:paraId="27E8D477" w14:textId="77777777" w:rsidR="00FB7E37" w:rsidRPr="00421AA6" w:rsidRDefault="00FB7E37" w:rsidP="00FB7E37">
      <w:pPr>
        <w:spacing w:before="120" w:after="600" w:line="276" w:lineRule="auto"/>
        <w:jc w:val="both"/>
        <w:rPr>
          <w:b/>
        </w:rPr>
      </w:pPr>
      <w:proofErr w:type="spellStart"/>
      <w:r w:rsidRPr="00421AA6">
        <w:rPr>
          <w:b/>
        </w:rPr>
        <w:t>Краен</w:t>
      </w:r>
      <w:proofErr w:type="spellEnd"/>
      <w:r w:rsidRPr="00421AA6">
        <w:rPr>
          <w:b/>
        </w:rPr>
        <w:t xml:space="preserve"> </w:t>
      </w:r>
      <w:proofErr w:type="spellStart"/>
      <w:r w:rsidRPr="00421AA6">
        <w:rPr>
          <w:b/>
        </w:rPr>
        <w:t>срок</w:t>
      </w:r>
      <w:proofErr w:type="spellEnd"/>
      <w:r w:rsidRPr="00421AA6">
        <w:rPr>
          <w:b/>
        </w:rPr>
        <w:t xml:space="preserve">: 7 </w:t>
      </w:r>
      <w:proofErr w:type="spellStart"/>
      <w:r w:rsidRPr="00421AA6">
        <w:rPr>
          <w:b/>
        </w:rPr>
        <w:t>юли</w:t>
      </w:r>
      <w:proofErr w:type="spellEnd"/>
      <w:r w:rsidRPr="00421AA6">
        <w:rPr>
          <w:b/>
        </w:rPr>
        <w:t xml:space="preserve"> 2025 г.</w:t>
      </w:r>
    </w:p>
    <w:p w14:paraId="7FC7C487" w14:textId="77777777" w:rsidR="000C35AA" w:rsidRDefault="003F0A77" w:rsidP="00FF1CB3">
      <w:pPr>
        <w:pStyle w:val="Heading2"/>
        <w:ind w:left="284"/>
      </w:pPr>
      <w:r w:rsidRPr="003F0A77">
        <w:rPr>
          <w:rFonts w:cstheme="minorHAnsi"/>
          <w:color w:val="0E112A"/>
        </w:rPr>
        <w:t> </w:t>
      </w:r>
      <w:bookmarkStart w:id="5" w:name="_Toc197365370"/>
      <w:r w:rsidR="000C35AA">
        <w:t>INSAIT PhD fellowships</w:t>
      </w:r>
      <w:bookmarkEnd w:id="5"/>
    </w:p>
    <w:p w14:paraId="2DCB6D4C" w14:textId="77777777" w:rsidR="000C35AA" w:rsidRPr="000C35AA" w:rsidRDefault="000C35AA" w:rsidP="000C35AA">
      <w:pPr>
        <w:spacing w:before="120" w:after="120" w:line="276" w:lineRule="auto"/>
        <w:jc w:val="both"/>
      </w:pPr>
      <w:r>
        <w:t xml:space="preserve">The Institute for Computer Science, Artificial Intelligence and Technology (INSAIT) </w:t>
      </w:r>
      <w:r w:rsidRPr="000C35AA">
        <w:t>provides talented individuals the unique opportunity to engage in world-class research with the goal of becoming independent scientists and technology leaders.</w:t>
      </w:r>
    </w:p>
    <w:p w14:paraId="702CD8FE" w14:textId="77777777" w:rsidR="000C35AA" w:rsidRPr="000C35AA" w:rsidRDefault="000C35AA" w:rsidP="000C35AA">
      <w:pPr>
        <w:spacing w:before="120" w:after="120" w:line="276" w:lineRule="auto"/>
        <w:jc w:val="both"/>
      </w:pPr>
      <w:r w:rsidRPr="000C35AA">
        <w:t>Students receive full 5-year PhD fellowships at 36,000 € per year and are mentored by </w:t>
      </w:r>
      <w:hyperlink r:id="rId20" w:history="1">
        <w:r w:rsidRPr="000C35AA">
          <w:rPr>
            <w:rStyle w:val="Hyperlink"/>
            <w:b/>
            <w:bCs/>
          </w:rPr>
          <w:t>world-class professors.</w:t>
        </w:r>
      </w:hyperlink>
    </w:p>
    <w:p w14:paraId="038D870E" w14:textId="77777777" w:rsidR="000C35AA" w:rsidRPr="000C35AA" w:rsidRDefault="000C35AA" w:rsidP="000C35AA">
      <w:pPr>
        <w:spacing w:before="120" w:after="120" w:line="276" w:lineRule="auto"/>
        <w:jc w:val="both"/>
        <w:rPr>
          <w:b/>
          <w:bCs/>
        </w:rPr>
      </w:pPr>
      <w:r w:rsidRPr="000C35AA">
        <w:rPr>
          <w:b/>
          <w:bCs/>
        </w:rPr>
        <w:t>Who can apply?</w:t>
      </w:r>
    </w:p>
    <w:p w14:paraId="6782E472" w14:textId="77777777" w:rsidR="000C35AA" w:rsidRPr="000C35AA" w:rsidRDefault="000C35AA" w:rsidP="000C35AA">
      <w:pPr>
        <w:spacing w:before="120" w:after="120" w:line="276" w:lineRule="auto"/>
        <w:jc w:val="both"/>
      </w:pPr>
      <w:r w:rsidRPr="000C35AA">
        <w:t>INSAIT will consider students who have obtained a B.Sc. or an M.Sc. degree by the time they start in INSAIT’s doctoral program. Thus, students who are currently completing or have completed these degrees (e.g., last year B.Sc. or M.Sc. graduates) are eligible to be considered for the INSAIT doctoral program. INSAIT is generally interested in students who are enrolled or have completed B.Sc./M.Sc. degrees in the areas of computer science, data science, mathematics, physics, statistics, or electrical engineering.</w:t>
      </w:r>
    </w:p>
    <w:p w14:paraId="2382EABE" w14:textId="77777777" w:rsidR="000C35AA" w:rsidRPr="000C35AA" w:rsidRDefault="000C35AA" w:rsidP="000C35AA">
      <w:pPr>
        <w:spacing w:before="120" w:after="120" w:line="276" w:lineRule="auto"/>
        <w:jc w:val="both"/>
        <w:rPr>
          <w:b/>
          <w:bCs/>
        </w:rPr>
      </w:pPr>
      <w:r w:rsidRPr="000C35AA">
        <w:rPr>
          <w:b/>
          <w:bCs/>
        </w:rPr>
        <w:t>How to apply?</w:t>
      </w:r>
    </w:p>
    <w:p w14:paraId="70744221" w14:textId="77777777" w:rsidR="000C35AA" w:rsidRPr="000C35AA" w:rsidRDefault="000C35AA" w:rsidP="000C35AA">
      <w:pPr>
        <w:spacing w:before="120" w:after="120" w:line="276" w:lineRule="auto"/>
        <w:jc w:val="both"/>
      </w:pPr>
      <w:r w:rsidRPr="000C35AA">
        <w:t xml:space="preserve">Please submit your application at the </w:t>
      </w:r>
      <w:proofErr w:type="spellStart"/>
      <w:r w:rsidRPr="000C35AA">
        <w:t>recruitee</w:t>
      </w:r>
      <w:proofErr w:type="spellEnd"/>
      <w:r w:rsidRPr="000C35AA">
        <w:t xml:space="preserve"> link. You will need to prepare the following documents (please note all documents must be either issued or translated in English):</w:t>
      </w:r>
    </w:p>
    <w:p w14:paraId="3719D44A" w14:textId="77777777" w:rsidR="000C35AA" w:rsidRPr="000C35AA" w:rsidRDefault="000C35AA" w:rsidP="002E7C3F">
      <w:pPr>
        <w:numPr>
          <w:ilvl w:val="0"/>
          <w:numId w:val="2"/>
        </w:numPr>
        <w:spacing w:before="120" w:after="120" w:line="276" w:lineRule="auto"/>
        <w:jc w:val="both"/>
      </w:pPr>
      <w:r w:rsidRPr="000C35AA">
        <w:rPr>
          <w:b/>
          <w:bCs/>
        </w:rPr>
        <w:t>Curriculum Vitae (CV)</w:t>
      </w:r>
      <w:r w:rsidRPr="000C35AA">
        <w:t> – you must present a CV with the universities you attended, acquired professional experience and achievements.</w:t>
      </w:r>
    </w:p>
    <w:p w14:paraId="74F1EEBA" w14:textId="77777777" w:rsidR="000C35AA" w:rsidRPr="000C35AA" w:rsidRDefault="000C35AA" w:rsidP="002E7C3F">
      <w:pPr>
        <w:numPr>
          <w:ilvl w:val="0"/>
          <w:numId w:val="2"/>
        </w:numPr>
        <w:spacing w:before="120" w:after="120" w:line="276" w:lineRule="auto"/>
        <w:jc w:val="both"/>
      </w:pPr>
      <w:r w:rsidRPr="000C35AA">
        <w:rPr>
          <w:b/>
          <w:bCs/>
        </w:rPr>
        <w:t>Degree certificates</w:t>
      </w:r>
      <w:r w:rsidRPr="000C35AA">
        <w:t> – official copies of your diplomas (Bachelors, Masters), if you have graduated.</w:t>
      </w:r>
    </w:p>
    <w:p w14:paraId="0060393B" w14:textId="77777777" w:rsidR="000C35AA" w:rsidRPr="000C35AA" w:rsidRDefault="000C35AA" w:rsidP="002E7C3F">
      <w:pPr>
        <w:numPr>
          <w:ilvl w:val="0"/>
          <w:numId w:val="2"/>
        </w:numPr>
        <w:spacing w:before="120" w:after="120" w:line="276" w:lineRule="auto"/>
        <w:jc w:val="both"/>
      </w:pPr>
      <w:r w:rsidRPr="000C35AA">
        <w:rPr>
          <w:b/>
          <w:bCs/>
        </w:rPr>
        <w:t>University transcripts</w:t>
      </w:r>
      <w:r w:rsidRPr="000C35AA">
        <w:t> – official copies of your university transcripts (Bachelors, Masters), listing all course work, academic hours and grades.</w:t>
      </w:r>
    </w:p>
    <w:p w14:paraId="06803007" w14:textId="77777777" w:rsidR="000C35AA" w:rsidRPr="000C35AA" w:rsidRDefault="000C35AA" w:rsidP="002E7C3F">
      <w:pPr>
        <w:numPr>
          <w:ilvl w:val="0"/>
          <w:numId w:val="2"/>
        </w:numPr>
        <w:spacing w:before="120" w:after="120" w:line="276" w:lineRule="auto"/>
        <w:jc w:val="both"/>
      </w:pPr>
      <w:r w:rsidRPr="000C35AA">
        <w:rPr>
          <w:b/>
          <w:bCs/>
        </w:rPr>
        <w:t>Recommendation letters</w:t>
      </w:r>
      <w:r w:rsidRPr="000C35AA">
        <w:t> (optional) – submit two letters of recommendation attesting to your academic and scientific achievements relevant to your doctorate application. Your letters should contain the full contact details of the recommender.</w:t>
      </w:r>
    </w:p>
    <w:p w14:paraId="7EBF3ABB" w14:textId="77777777" w:rsidR="000C35AA" w:rsidRPr="000C35AA" w:rsidRDefault="000C35AA" w:rsidP="002E7C3F">
      <w:pPr>
        <w:numPr>
          <w:ilvl w:val="0"/>
          <w:numId w:val="2"/>
        </w:numPr>
        <w:spacing w:before="120" w:after="120" w:line="276" w:lineRule="auto"/>
        <w:jc w:val="both"/>
      </w:pPr>
      <w:r w:rsidRPr="000C35AA">
        <w:rPr>
          <w:b/>
          <w:bCs/>
        </w:rPr>
        <w:t>Passport or ID</w:t>
      </w:r>
      <w:r w:rsidRPr="000C35AA">
        <w:t> – copies of your passport or ID with your personal details should be attached.</w:t>
      </w:r>
    </w:p>
    <w:p w14:paraId="093D1D5F" w14:textId="77777777" w:rsidR="000C35AA" w:rsidRPr="000C35AA" w:rsidRDefault="000C35AA" w:rsidP="002E7C3F">
      <w:pPr>
        <w:numPr>
          <w:ilvl w:val="0"/>
          <w:numId w:val="2"/>
        </w:numPr>
        <w:spacing w:before="120" w:after="120" w:line="276" w:lineRule="auto"/>
        <w:jc w:val="both"/>
      </w:pPr>
      <w:r w:rsidRPr="000C35AA">
        <w:rPr>
          <w:b/>
          <w:bCs/>
        </w:rPr>
        <w:t>Motivation Letter</w:t>
      </w:r>
      <w:r w:rsidRPr="000C35AA">
        <w:t> – the candidate should clearly articulate why they would like to pursue a PhD at INSAIT.</w:t>
      </w:r>
    </w:p>
    <w:p w14:paraId="089C7565" w14:textId="77777777" w:rsidR="000C35AA" w:rsidRPr="000C35AA" w:rsidRDefault="000C35AA" w:rsidP="002E7C3F">
      <w:pPr>
        <w:numPr>
          <w:ilvl w:val="0"/>
          <w:numId w:val="2"/>
        </w:numPr>
        <w:spacing w:before="120" w:after="120" w:line="276" w:lineRule="auto"/>
        <w:jc w:val="both"/>
      </w:pPr>
      <w:r w:rsidRPr="000C35AA">
        <w:rPr>
          <w:b/>
          <w:bCs/>
        </w:rPr>
        <w:t>English Language Proficiency</w:t>
      </w:r>
      <w:r w:rsidRPr="000C35AA">
        <w:t> – the applicant is expected to have a strong command of the English language. If available, a copy of the formal certificate (TOEFL, Cambridge, IELTS, etc.) should be provided.</w:t>
      </w:r>
    </w:p>
    <w:p w14:paraId="755059C9" w14:textId="77777777" w:rsidR="000C35AA" w:rsidRPr="000C35AA" w:rsidRDefault="000C35AA" w:rsidP="000C35AA">
      <w:pPr>
        <w:spacing w:before="120" w:after="120" w:line="276" w:lineRule="auto"/>
        <w:jc w:val="both"/>
        <w:rPr>
          <w:b/>
          <w:bCs/>
        </w:rPr>
      </w:pPr>
      <w:r w:rsidRPr="000C35AA">
        <w:rPr>
          <w:b/>
          <w:bCs/>
        </w:rPr>
        <w:t xml:space="preserve">How will </w:t>
      </w:r>
      <w:r>
        <w:rPr>
          <w:b/>
          <w:bCs/>
        </w:rPr>
        <w:t xml:space="preserve">the </w:t>
      </w:r>
      <w:r w:rsidRPr="000C35AA">
        <w:rPr>
          <w:b/>
          <w:bCs/>
        </w:rPr>
        <w:t>application be assessed?</w:t>
      </w:r>
    </w:p>
    <w:p w14:paraId="269179C5" w14:textId="77777777" w:rsidR="000C35AA" w:rsidRPr="000C35AA" w:rsidRDefault="000C35AA" w:rsidP="000C35AA">
      <w:pPr>
        <w:spacing w:before="120" w:after="120" w:line="276" w:lineRule="auto"/>
        <w:jc w:val="both"/>
      </w:pPr>
      <w:r w:rsidRPr="000C35AA">
        <w:t>The main criteria in evaluating incoming applicants are the relevant qualifications as presented in the application process – quality of the course work and respective grades, extra-curricular achievements, motivation, recommendations, etc.</w:t>
      </w:r>
    </w:p>
    <w:p w14:paraId="35F936E2" w14:textId="77777777" w:rsidR="000C35AA" w:rsidRPr="000C35AA" w:rsidRDefault="000C35AA" w:rsidP="000C35AA">
      <w:pPr>
        <w:spacing w:before="120" w:after="120" w:line="276" w:lineRule="auto"/>
        <w:jc w:val="both"/>
      </w:pPr>
      <w:r w:rsidRPr="000C35AA">
        <w:t>Successful candidates will be invited for a technical interview conducted by the particular faculty (or several faculty) interested in the candidate. Once admitted, candidates can expect to start in the doctoral program as soon as possible. Please note that possible visa applications and issuing of work permits may cause delays in certain cases.</w:t>
      </w:r>
    </w:p>
    <w:p w14:paraId="34BB5E69" w14:textId="77777777" w:rsidR="000C35AA" w:rsidRPr="000C35AA" w:rsidRDefault="000C35AA" w:rsidP="000C35AA">
      <w:pPr>
        <w:spacing w:before="120" w:after="120" w:line="276" w:lineRule="auto"/>
        <w:jc w:val="both"/>
        <w:rPr>
          <w:b/>
          <w:bCs/>
        </w:rPr>
      </w:pPr>
      <w:r w:rsidRPr="000C35AA">
        <w:t xml:space="preserve">All admitted candidates will receive a full doctoral fellowship. The fellowship amounts </w:t>
      </w:r>
      <w:proofErr w:type="gramStart"/>
      <w:r w:rsidRPr="000C35AA">
        <w:t>to  36,000</w:t>
      </w:r>
      <w:proofErr w:type="gramEnd"/>
      <w:r w:rsidRPr="000C35AA">
        <w:t xml:space="preserve"> EUR / year with a flat income tax of 10%. The goal of this competitive fellowship is to empower a doctoral student to fully engage in world-class research. Doctoral fellowships are also available from big-tech companies such as DeepMind and Amazon Web Services.</w:t>
      </w:r>
    </w:p>
    <w:p w14:paraId="1321A19D" w14:textId="77777777" w:rsidR="000C35AA" w:rsidRDefault="000C35AA" w:rsidP="000C35AA">
      <w:pPr>
        <w:spacing w:before="120" w:after="120" w:line="276" w:lineRule="auto"/>
        <w:jc w:val="both"/>
      </w:pPr>
      <w:r>
        <w:t xml:space="preserve">More information and application </w:t>
      </w:r>
      <w:hyperlink r:id="rId21" w:history="1">
        <w:r w:rsidRPr="000C35AA">
          <w:rPr>
            <w:rStyle w:val="Hyperlink"/>
          </w:rPr>
          <w:t>HERE</w:t>
        </w:r>
      </w:hyperlink>
    </w:p>
    <w:p w14:paraId="433F9ED4" w14:textId="22874C89" w:rsidR="0084197B" w:rsidRDefault="000C35AA" w:rsidP="00471ACE">
      <w:pPr>
        <w:spacing w:before="120" w:after="600" w:line="276" w:lineRule="auto"/>
        <w:jc w:val="both"/>
        <w:rPr>
          <w:b/>
        </w:rPr>
      </w:pPr>
      <w:r w:rsidRPr="000C35AA">
        <w:rPr>
          <w:b/>
        </w:rPr>
        <w:t xml:space="preserve">Deadline for application: all year round </w:t>
      </w:r>
    </w:p>
    <w:p w14:paraId="3B8FF5D1" w14:textId="5CF5517E" w:rsidR="009D6E4C" w:rsidRPr="009D6E4C" w:rsidRDefault="009D6E4C" w:rsidP="009D6E4C">
      <w:pPr>
        <w:pStyle w:val="Heading2"/>
        <w:ind w:left="426"/>
        <w:rPr>
          <w:lang w:val="bg-BG"/>
        </w:rPr>
      </w:pPr>
      <w:bookmarkStart w:id="6" w:name="_Toc197365371"/>
      <w:r w:rsidRPr="009D6E4C">
        <w:rPr>
          <w:lang w:val="bg-BG"/>
        </w:rPr>
        <w:t>Стипендии на Колежа за отбрана на НАТО</w:t>
      </w:r>
      <w:bookmarkEnd w:id="6"/>
    </w:p>
    <w:p w14:paraId="78369E3C" w14:textId="3341676F" w:rsidR="00053CFC" w:rsidRPr="00FA4F1B" w:rsidRDefault="00053CFC" w:rsidP="00C47601">
      <w:pPr>
        <w:spacing w:before="120" w:after="120" w:line="276" w:lineRule="auto"/>
        <w:jc w:val="both"/>
        <w:rPr>
          <w:b/>
          <w:lang w:val="bg-BG"/>
        </w:rPr>
      </w:pPr>
      <w:r w:rsidRPr="00FA4F1B">
        <w:rPr>
          <w:lang w:val="bg-BG"/>
        </w:rPr>
        <w:t>Изследователското звено на Колежа за отбрана на НАТО (</w:t>
      </w:r>
      <w:r>
        <w:t>NDC</w:t>
      </w:r>
      <w:r w:rsidRPr="00FA4F1B">
        <w:rPr>
          <w:lang w:val="bg-BG"/>
        </w:rPr>
        <w:t>) предлага ежегодно осем изследователски стипендии за млади и утвърдени учени от държави членки и партньори на НАТО. Стажантите ще трябва да напишат изследователски есе</w:t>
      </w:r>
      <w:r w:rsidR="009D6E4C">
        <w:rPr>
          <w:lang w:val="bg-BG"/>
        </w:rPr>
        <w:t>та</w:t>
      </w:r>
      <w:r w:rsidRPr="00FA4F1B">
        <w:rPr>
          <w:lang w:val="bg-BG"/>
        </w:rPr>
        <w:t xml:space="preserve"> за публикуване от колежа, да представят проекта си преди края на стипендията, да бъдат ментори на старшия курс на колежа и да съобразят работата си с общата изследователска програма на институцията. В замяна, те получават достъп до вътрешна информация, ценна експертиза, менторство от топ експерти и възможност да станат част от международна мрежа от над 130 бивши стипендианти.</w:t>
      </w:r>
    </w:p>
    <w:p w14:paraId="33236420" w14:textId="77777777" w:rsidR="009D6E4C" w:rsidRDefault="00053CFC" w:rsidP="003A5A70">
      <w:pPr>
        <w:spacing w:before="120" w:after="120" w:line="276" w:lineRule="auto"/>
        <w:jc w:val="both"/>
      </w:pPr>
      <w:r w:rsidRPr="00FA4F1B">
        <w:rPr>
          <w:lang w:val="bg-BG"/>
        </w:rPr>
        <w:t>Изисквания: Четирите стипендии "</w:t>
      </w:r>
      <w:r>
        <w:t>Eisenhower</w:t>
      </w:r>
      <w:r w:rsidRPr="00FA4F1B">
        <w:rPr>
          <w:lang w:val="bg-BG"/>
        </w:rPr>
        <w:t>" (</w:t>
      </w:r>
      <w:r>
        <w:t>EIS</w:t>
      </w:r>
      <w:r w:rsidRPr="00FA4F1B">
        <w:rPr>
          <w:lang w:val="bg-BG"/>
        </w:rPr>
        <w:t xml:space="preserve">) са предназначени за изследователи и анализатори с гражданство на една от страните членки на НАТО. </w:t>
      </w:r>
      <w:proofErr w:type="spellStart"/>
      <w:r>
        <w:t>Трите</w:t>
      </w:r>
      <w:proofErr w:type="spellEnd"/>
      <w:r>
        <w:t xml:space="preserve"> </w:t>
      </w:r>
      <w:proofErr w:type="spellStart"/>
      <w:r>
        <w:t>подпрограми</w:t>
      </w:r>
      <w:proofErr w:type="spellEnd"/>
      <w:r>
        <w:t xml:space="preserve"> </w:t>
      </w:r>
      <w:proofErr w:type="spellStart"/>
      <w:r>
        <w:t>са</w:t>
      </w:r>
      <w:proofErr w:type="spellEnd"/>
      <w:r>
        <w:t xml:space="preserve"> </w:t>
      </w:r>
      <w:proofErr w:type="spellStart"/>
      <w:r>
        <w:t>насочени</w:t>
      </w:r>
      <w:proofErr w:type="spellEnd"/>
      <w:r>
        <w:t xml:space="preserve"> </w:t>
      </w:r>
      <w:proofErr w:type="spellStart"/>
      <w:r>
        <w:t>към</w:t>
      </w:r>
      <w:proofErr w:type="spellEnd"/>
      <w:r>
        <w:t xml:space="preserve">: </w:t>
      </w:r>
    </w:p>
    <w:p w14:paraId="2A4364DA" w14:textId="77777777" w:rsidR="009D6E4C" w:rsidRDefault="009D6E4C" w:rsidP="009D6E4C">
      <w:pPr>
        <w:pStyle w:val="ListParagraph"/>
        <w:numPr>
          <w:ilvl w:val="0"/>
          <w:numId w:val="39"/>
        </w:numPr>
        <w:spacing w:before="120" w:after="600" w:line="276" w:lineRule="auto"/>
        <w:jc w:val="both"/>
      </w:pPr>
      <w:r>
        <w:rPr>
          <w:lang w:val="bg-BG"/>
        </w:rPr>
        <w:t xml:space="preserve">Утвърдени </w:t>
      </w:r>
      <w:proofErr w:type="spellStart"/>
      <w:r w:rsidR="00053CFC">
        <w:t>учени</w:t>
      </w:r>
      <w:proofErr w:type="spellEnd"/>
      <w:r w:rsidR="00053CFC">
        <w:t xml:space="preserve">: </w:t>
      </w:r>
      <w:r>
        <w:rPr>
          <w:lang w:val="bg-BG"/>
        </w:rPr>
        <w:t>К</w:t>
      </w:r>
      <w:proofErr w:type="spellStart"/>
      <w:r w:rsidR="00053CFC">
        <w:t>олежът</w:t>
      </w:r>
      <w:proofErr w:type="spellEnd"/>
      <w:r w:rsidR="00053CFC">
        <w:t xml:space="preserve"> </w:t>
      </w:r>
      <w:proofErr w:type="spellStart"/>
      <w:r w:rsidR="00053CFC">
        <w:t>предлага</w:t>
      </w:r>
      <w:proofErr w:type="spellEnd"/>
      <w:r w:rsidR="00053CFC">
        <w:t xml:space="preserve"> </w:t>
      </w:r>
      <w:proofErr w:type="spellStart"/>
      <w:r w:rsidR="00053CFC">
        <w:t>една</w:t>
      </w:r>
      <w:proofErr w:type="spellEnd"/>
      <w:r w:rsidR="00053CFC">
        <w:t xml:space="preserve"> </w:t>
      </w:r>
      <w:proofErr w:type="spellStart"/>
      <w:r w:rsidR="00053CFC">
        <w:t>стипендия</w:t>
      </w:r>
      <w:proofErr w:type="spellEnd"/>
      <w:r w:rsidR="00053CFC">
        <w:t xml:space="preserve"> с </w:t>
      </w:r>
      <w:proofErr w:type="spellStart"/>
      <w:r w:rsidR="00053CFC">
        <w:t>продължителност</w:t>
      </w:r>
      <w:proofErr w:type="spellEnd"/>
      <w:r w:rsidR="00053CFC">
        <w:t xml:space="preserve"> 5 </w:t>
      </w:r>
      <w:proofErr w:type="spellStart"/>
      <w:r w:rsidR="00053CFC">
        <w:t>месеца</w:t>
      </w:r>
      <w:proofErr w:type="spellEnd"/>
      <w:r w:rsidR="00053CFC">
        <w:t xml:space="preserve"> </w:t>
      </w:r>
      <w:proofErr w:type="spellStart"/>
      <w:r w:rsidR="00053CFC">
        <w:t>годишно</w:t>
      </w:r>
      <w:proofErr w:type="spellEnd"/>
      <w:r w:rsidR="00053CFC">
        <w:t xml:space="preserve"> в </w:t>
      </w:r>
      <w:proofErr w:type="spellStart"/>
      <w:r w:rsidR="00053CFC">
        <w:t>тази</w:t>
      </w:r>
      <w:proofErr w:type="spellEnd"/>
      <w:r w:rsidR="00053CFC">
        <w:t xml:space="preserve"> </w:t>
      </w:r>
      <w:proofErr w:type="spellStart"/>
      <w:r w:rsidR="00053CFC">
        <w:t>категория</w:t>
      </w:r>
      <w:proofErr w:type="spellEnd"/>
      <w:r w:rsidR="00053CFC">
        <w:t xml:space="preserve">. </w:t>
      </w:r>
      <w:proofErr w:type="spellStart"/>
      <w:r w:rsidR="00053CFC">
        <w:t>Кандидатите</w:t>
      </w:r>
      <w:proofErr w:type="spellEnd"/>
      <w:r w:rsidR="00053CFC">
        <w:t xml:space="preserve"> </w:t>
      </w:r>
      <w:proofErr w:type="spellStart"/>
      <w:r w:rsidR="00053CFC">
        <w:t>трябва</w:t>
      </w:r>
      <w:proofErr w:type="spellEnd"/>
      <w:r w:rsidR="00053CFC">
        <w:t xml:space="preserve"> </w:t>
      </w:r>
      <w:proofErr w:type="spellStart"/>
      <w:r w:rsidR="00053CFC">
        <w:t>да</w:t>
      </w:r>
      <w:proofErr w:type="spellEnd"/>
      <w:r w:rsidR="00053CFC">
        <w:t xml:space="preserve"> </w:t>
      </w:r>
      <w:proofErr w:type="spellStart"/>
      <w:r w:rsidR="00053CFC">
        <w:t>притежават</w:t>
      </w:r>
      <w:proofErr w:type="spellEnd"/>
      <w:r w:rsidR="00053CFC">
        <w:t xml:space="preserve"> </w:t>
      </w:r>
      <w:proofErr w:type="spellStart"/>
      <w:r w:rsidR="00053CFC">
        <w:t>докторска</w:t>
      </w:r>
      <w:proofErr w:type="spellEnd"/>
      <w:r w:rsidR="00053CFC">
        <w:t xml:space="preserve"> </w:t>
      </w:r>
      <w:proofErr w:type="spellStart"/>
      <w:r w:rsidR="00053CFC">
        <w:t>степен</w:t>
      </w:r>
      <w:proofErr w:type="spellEnd"/>
      <w:r w:rsidR="00053CFC">
        <w:t xml:space="preserve"> в </w:t>
      </w:r>
      <w:proofErr w:type="spellStart"/>
      <w:r w:rsidR="00053CFC">
        <w:t>съответна</w:t>
      </w:r>
      <w:proofErr w:type="spellEnd"/>
      <w:r w:rsidR="00053CFC">
        <w:t xml:space="preserve"> </w:t>
      </w:r>
      <w:proofErr w:type="spellStart"/>
      <w:r w:rsidR="00053CFC">
        <w:t>област</w:t>
      </w:r>
      <w:proofErr w:type="spellEnd"/>
      <w:r w:rsidR="00053CFC">
        <w:t xml:space="preserve">, </w:t>
      </w:r>
      <w:proofErr w:type="spellStart"/>
      <w:r w:rsidR="00053CFC">
        <w:t>минимум</w:t>
      </w:r>
      <w:proofErr w:type="spellEnd"/>
      <w:r w:rsidR="00053CFC">
        <w:t xml:space="preserve"> </w:t>
      </w:r>
      <w:proofErr w:type="spellStart"/>
      <w:r w:rsidR="00053CFC">
        <w:t>четири</w:t>
      </w:r>
      <w:proofErr w:type="spellEnd"/>
      <w:r w:rsidR="00053CFC">
        <w:t xml:space="preserve"> </w:t>
      </w:r>
      <w:proofErr w:type="spellStart"/>
      <w:r w:rsidR="00053CFC">
        <w:t>години</w:t>
      </w:r>
      <w:proofErr w:type="spellEnd"/>
      <w:r w:rsidR="00053CFC">
        <w:t xml:space="preserve"> </w:t>
      </w:r>
      <w:proofErr w:type="spellStart"/>
      <w:r w:rsidR="00053CFC">
        <w:t>професионален</w:t>
      </w:r>
      <w:proofErr w:type="spellEnd"/>
      <w:r w:rsidR="00053CFC">
        <w:t xml:space="preserve"> </w:t>
      </w:r>
      <w:proofErr w:type="spellStart"/>
      <w:r w:rsidR="00053CFC">
        <w:t>опит</w:t>
      </w:r>
      <w:proofErr w:type="spellEnd"/>
      <w:r w:rsidR="00053CFC">
        <w:t xml:space="preserve"> </w:t>
      </w:r>
      <w:proofErr w:type="spellStart"/>
      <w:r w:rsidR="00053CFC">
        <w:t>след</w:t>
      </w:r>
      <w:proofErr w:type="spellEnd"/>
      <w:r w:rsidR="00053CFC">
        <w:t xml:space="preserve"> </w:t>
      </w:r>
      <w:proofErr w:type="spellStart"/>
      <w:r w:rsidR="00053CFC">
        <w:t>получаването</w:t>
      </w:r>
      <w:proofErr w:type="spellEnd"/>
      <w:r w:rsidR="00053CFC">
        <w:t xml:space="preserve"> ѝ и </w:t>
      </w:r>
      <w:proofErr w:type="spellStart"/>
      <w:r w:rsidR="00053CFC">
        <w:t>солидна</w:t>
      </w:r>
      <w:proofErr w:type="spellEnd"/>
      <w:r w:rsidR="00053CFC">
        <w:t xml:space="preserve"> </w:t>
      </w:r>
      <w:proofErr w:type="spellStart"/>
      <w:r w:rsidR="00053CFC">
        <w:t>публикационна</w:t>
      </w:r>
      <w:proofErr w:type="spellEnd"/>
      <w:r w:rsidR="00053CFC">
        <w:t xml:space="preserve"> </w:t>
      </w:r>
      <w:proofErr w:type="spellStart"/>
      <w:r w:rsidR="00053CFC">
        <w:t>дейност</w:t>
      </w:r>
      <w:proofErr w:type="spellEnd"/>
      <w:r w:rsidR="00053CFC">
        <w:t xml:space="preserve"> по </w:t>
      </w:r>
      <w:proofErr w:type="spellStart"/>
      <w:r w:rsidR="00053CFC">
        <w:t>теми</w:t>
      </w:r>
      <w:proofErr w:type="spellEnd"/>
      <w:r w:rsidR="00053CFC">
        <w:t xml:space="preserve">, </w:t>
      </w:r>
      <w:proofErr w:type="spellStart"/>
      <w:r w:rsidR="00053CFC">
        <w:t>свързани</w:t>
      </w:r>
      <w:proofErr w:type="spellEnd"/>
      <w:r w:rsidR="00053CFC">
        <w:t xml:space="preserve"> с </w:t>
      </w:r>
      <w:proofErr w:type="spellStart"/>
      <w:r w:rsidR="00053CFC">
        <w:t>международната</w:t>
      </w:r>
      <w:proofErr w:type="spellEnd"/>
      <w:r w:rsidR="00053CFC">
        <w:t xml:space="preserve"> </w:t>
      </w:r>
      <w:proofErr w:type="spellStart"/>
      <w:r w:rsidR="00053CFC">
        <w:t>сигурност</w:t>
      </w:r>
      <w:proofErr w:type="spellEnd"/>
      <w:r w:rsidR="00053CFC">
        <w:t>;</w:t>
      </w:r>
    </w:p>
    <w:p w14:paraId="63318AF5" w14:textId="77777777" w:rsidR="009D6E4C" w:rsidRDefault="009D6E4C" w:rsidP="009D6E4C">
      <w:pPr>
        <w:pStyle w:val="ListParagraph"/>
        <w:numPr>
          <w:ilvl w:val="0"/>
          <w:numId w:val="39"/>
        </w:numPr>
        <w:spacing w:before="120" w:after="600" w:line="276" w:lineRule="auto"/>
        <w:jc w:val="both"/>
      </w:pPr>
      <w:r>
        <w:rPr>
          <w:lang w:val="bg-BG"/>
        </w:rPr>
        <w:t>М</w:t>
      </w:r>
      <w:proofErr w:type="spellStart"/>
      <w:r w:rsidR="00053CFC">
        <w:t>лади</w:t>
      </w:r>
      <w:proofErr w:type="spellEnd"/>
      <w:r w:rsidR="00053CFC">
        <w:t xml:space="preserve"> </w:t>
      </w:r>
      <w:proofErr w:type="spellStart"/>
      <w:r w:rsidR="00053CFC">
        <w:t>учени</w:t>
      </w:r>
      <w:proofErr w:type="spellEnd"/>
      <w:r w:rsidR="00053CFC">
        <w:t xml:space="preserve">: </w:t>
      </w:r>
      <w:proofErr w:type="spellStart"/>
      <w:r w:rsidR="00053CFC">
        <w:t>кандидатите</w:t>
      </w:r>
      <w:proofErr w:type="spellEnd"/>
      <w:r w:rsidR="00053CFC">
        <w:t xml:space="preserve"> </w:t>
      </w:r>
      <w:proofErr w:type="spellStart"/>
      <w:r w:rsidR="00053CFC">
        <w:t>трябва</w:t>
      </w:r>
      <w:proofErr w:type="spellEnd"/>
      <w:r w:rsidR="00053CFC">
        <w:t xml:space="preserve"> </w:t>
      </w:r>
      <w:proofErr w:type="spellStart"/>
      <w:r w:rsidR="00053CFC">
        <w:t>да</w:t>
      </w:r>
      <w:proofErr w:type="spellEnd"/>
      <w:r w:rsidR="00053CFC">
        <w:t xml:space="preserve"> </w:t>
      </w:r>
      <w:proofErr w:type="spellStart"/>
      <w:r w:rsidR="00053CFC">
        <w:t>имат</w:t>
      </w:r>
      <w:proofErr w:type="spellEnd"/>
      <w:r>
        <w:rPr>
          <w:lang w:val="bg-BG"/>
        </w:rPr>
        <w:t xml:space="preserve"> </w:t>
      </w:r>
      <w:proofErr w:type="spellStart"/>
      <w:r w:rsidR="00053CFC" w:rsidRPr="00053CFC">
        <w:t>докторска</w:t>
      </w:r>
      <w:proofErr w:type="spellEnd"/>
      <w:r w:rsidR="00053CFC" w:rsidRPr="00053CFC">
        <w:t xml:space="preserve"> </w:t>
      </w:r>
      <w:proofErr w:type="spellStart"/>
      <w:r w:rsidR="00053CFC" w:rsidRPr="00053CFC">
        <w:t>степен</w:t>
      </w:r>
      <w:proofErr w:type="spellEnd"/>
      <w:r w:rsidR="00053CFC" w:rsidRPr="00053CFC">
        <w:t xml:space="preserve"> в </w:t>
      </w:r>
      <w:r>
        <w:rPr>
          <w:lang w:val="bg-BG"/>
        </w:rPr>
        <w:t>подходяща</w:t>
      </w:r>
      <w:r w:rsidR="00053CFC" w:rsidRPr="00053CFC">
        <w:t xml:space="preserve"> </w:t>
      </w:r>
      <w:proofErr w:type="spellStart"/>
      <w:r w:rsidR="00053CFC" w:rsidRPr="00053CFC">
        <w:t>дисциплина</w:t>
      </w:r>
      <w:proofErr w:type="spellEnd"/>
      <w:r w:rsidR="00053CFC" w:rsidRPr="00053CFC">
        <w:t xml:space="preserve"> и </w:t>
      </w:r>
      <w:proofErr w:type="spellStart"/>
      <w:r w:rsidR="00053CFC" w:rsidRPr="00053CFC">
        <w:t>публикации</w:t>
      </w:r>
      <w:proofErr w:type="spellEnd"/>
      <w:r w:rsidR="00053CFC" w:rsidRPr="00053CFC">
        <w:t xml:space="preserve"> в </w:t>
      </w:r>
      <w:proofErr w:type="spellStart"/>
      <w:r w:rsidR="00053CFC" w:rsidRPr="00053CFC">
        <w:t>областта</w:t>
      </w:r>
      <w:proofErr w:type="spellEnd"/>
      <w:r w:rsidR="00053CFC" w:rsidRPr="00053CFC">
        <w:t xml:space="preserve"> </w:t>
      </w:r>
      <w:proofErr w:type="spellStart"/>
      <w:r w:rsidR="00053CFC" w:rsidRPr="00053CFC">
        <w:t>на</w:t>
      </w:r>
      <w:proofErr w:type="spellEnd"/>
      <w:r w:rsidR="00053CFC" w:rsidRPr="00053CFC">
        <w:t xml:space="preserve"> </w:t>
      </w:r>
      <w:proofErr w:type="spellStart"/>
      <w:r w:rsidR="00053CFC" w:rsidRPr="00053CFC">
        <w:t>международната</w:t>
      </w:r>
      <w:proofErr w:type="spellEnd"/>
      <w:r w:rsidR="00053CFC" w:rsidRPr="00053CFC">
        <w:t xml:space="preserve"> </w:t>
      </w:r>
      <w:proofErr w:type="spellStart"/>
      <w:r w:rsidR="00053CFC" w:rsidRPr="00053CFC">
        <w:t>сигурност</w:t>
      </w:r>
      <w:proofErr w:type="spellEnd"/>
      <w:r w:rsidR="00053CFC" w:rsidRPr="00053CFC">
        <w:t xml:space="preserve">. </w:t>
      </w:r>
      <w:proofErr w:type="spellStart"/>
      <w:r w:rsidR="00053CFC" w:rsidRPr="00053CFC">
        <w:t>Колежът</w:t>
      </w:r>
      <w:proofErr w:type="spellEnd"/>
      <w:r w:rsidR="00053CFC" w:rsidRPr="00053CFC">
        <w:t xml:space="preserve"> </w:t>
      </w:r>
      <w:proofErr w:type="spellStart"/>
      <w:r w:rsidR="00053CFC" w:rsidRPr="00053CFC">
        <w:t>предлага</w:t>
      </w:r>
      <w:proofErr w:type="spellEnd"/>
      <w:r w:rsidR="00053CFC" w:rsidRPr="00053CFC">
        <w:t xml:space="preserve"> </w:t>
      </w:r>
      <w:proofErr w:type="spellStart"/>
      <w:r w:rsidR="00053CFC" w:rsidRPr="00053CFC">
        <w:t>една</w:t>
      </w:r>
      <w:proofErr w:type="spellEnd"/>
      <w:r w:rsidR="00053CFC" w:rsidRPr="00053CFC">
        <w:t xml:space="preserve"> 5-месечна </w:t>
      </w:r>
      <w:proofErr w:type="spellStart"/>
      <w:r w:rsidR="00053CFC" w:rsidRPr="00053CFC">
        <w:t>стипендия</w:t>
      </w:r>
      <w:proofErr w:type="spellEnd"/>
      <w:r w:rsidR="00053CFC" w:rsidRPr="00053CFC">
        <w:t xml:space="preserve"> </w:t>
      </w:r>
      <w:proofErr w:type="spellStart"/>
      <w:r w:rsidR="00053CFC" w:rsidRPr="00053CFC">
        <w:t>годишно</w:t>
      </w:r>
      <w:proofErr w:type="spellEnd"/>
      <w:r w:rsidR="00053CFC" w:rsidRPr="00053CFC">
        <w:t xml:space="preserve"> в </w:t>
      </w:r>
      <w:proofErr w:type="spellStart"/>
      <w:r w:rsidR="00053CFC" w:rsidRPr="00053CFC">
        <w:t>тази</w:t>
      </w:r>
      <w:proofErr w:type="spellEnd"/>
      <w:r w:rsidR="00053CFC" w:rsidRPr="00053CFC">
        <w:t xml:space="preserve"> </w:t>
      </w:r>
      <w:proofErr w:type="spellStart"/>
      <w:r w:rsidR="00053CFC" w:rsidRPr="00053CFC">
        <w:t>категория</w:t>
      </w:r>
      <w:proofErr w:type="spellEnd"/>
      <w:r w:rsidR="00053CFC" w:rsidRPr="00053CFC">
        <w:t xml:space="preserve">; </w:t>
      </w:r>
    </w:p>
    <w:p w14:paraId="75FE8885" w14:textId="77777777" w:rsidR="009D6E4C" w:rsidRDefault="009D6E4C" w:rsidP="009D6E4C">
      <w:pPr>
        <w:pStyle w:val="ListParagraph"/>
        <w:numPr>
          <w:ilvl w:val="0"/>
          <w:numId w:val="39"/>
        </w:numPr>
        <w:spacing w:before="120" w:after="120" w:line="276" w:lineRule="auto"/>
        <w:ind w:left="714" w:hanging="357"/>
        <w:jc w:val="both"/>
      </w:pPr>
      <w:r>
        <w:rPr>
          <w:lang w:val="bg-BG"/>
        </w:rPr>
        <w:t>Д</w:t>
      </w:r>
      <w:proofErr w:type="spellStart"/>
      <w:r w:rsidR="00053CFC" w:rsidRPr="00053CFC">
        <w:t>окторанти</w:t>
      </w:r>
      <w:proofErr w:type="spellEnd"/>
      <w:r w:rsidR="00053CFC" w:rsidRPr="00053CFC">
        <w:t xml:space="preserve">: </w:t>
      </w:r>
      <w:proofErr w:type="spellStart"/>
      <w:r w:rsidR="00053CFC" w:rsidRPr="00053CFC">
        <w:t>колежът</w:t>
      </w:r>
      <w:proofErr w:type="spellEnd"/>
      <w:r w:rsidR="00053CFC" w:rsidRPr="00053CFC">
        <w:t xml:space="preserve"> </w:t>
      </w:r>
      <w:proofErr w:type="spellStart"/>
      <w:r w:rsidR="00053CFC" w:rsidRPr="00053CFC">
        <w:t>предлага</w:t>
      </w:r>
      <w:proofErr w:type="spellEnd"/>
      <w:r w:rsidR="00053CFC" w:rsidRPr="00053CFC">
        <w:t xml:space="preserve"> </w:t>
      </w:r>
      <w:proofErr w:type="spellStart"/>
      <w:r w:rsidR="00053CFC" w:rsidRPr="00053CFC">
        <w:t>две</w:t>
      </w:r>
      <w:proofErr w:type="spellEnd"/>
      <w:r w:rsidR="00053CFC" w:rsidRPr="00053CFC">
        <w:t xml:space="preserve"> 5-месечни </w:t>
      </w:r>
      <w:proofErr w:type="spellStart"/>
      <w:r w:rsidR="00053CFC" w:rsidRPr="00053CFC">
        <w:t>стипендии</w:t>
      </w:r>
      <w:proofErr w:type="spellEnd"/>
      <w:r w:rsidR="00053CFC" w:rsidRPr="00053CFC">
        <w:t xml:space="preserve"> </w:t>
      </w:r>
      <w:proofErr w:type="spellStart"/>
      <w:r w:rsidR="00053CFC" w:rsidRPr="00053CFC">
        <w:t>годишно</w:t>
      </w:r>
      <w:proofErr w:type="spellEnd"/>
      <w:r w:rsidR="00053CFC" w:rsidRPr="00053CFC">
        <w:t xml:space="preserve"> в </w:t>
      </w:r>
      <w:proofErr w:type="spellStart"/>
      <w:r w:rsidR="00053CFC" w:rsidRPr="00053CFC">
        <w:t>тази</w:t>
      </w:r>
      <w:proofErr w:type="spellEnd"/>
      <w:r w:rsidR="00053CFC" w:rsidRPr="00053CFC">
        <w:t xml:space="preserve"> </w:t>
      </w:r>
      <w:proofErr w:type="spellStart"/>
      <w:r w:rsidR="00053CFC" w:rsidRPr="00053CFC">
        <w:t>категория</w:t>
      </w:r>
      <w:proofErr w:type="spellEnd"/>
      <w:r w:rsidR="00053CFC" w:rsidRPr="00053CFC">
        <w:t xml:space="preserve">. </w:t>
      </w:r>
      <w:proofErr w:type="spellStart"/>
      <w:r w:rsidR="00053CFC" w:rsidRPr="00053CFC">
        <w:t>Кандидатите</w:t>
      </w:r>
      <w:proofErr w:type="spellEnd"/>
      <w:r w:rsidR="00053CFC" w:rsidRPr="00053CFC">
        <w:t xml:space="preserve"> </w:t>
      </w:r>
      <w:proofErr w:type="spellStart"/>
      <w:r w:rsidR="00053CFC" w:rsidRPr="00053CFC">
        <w:t>трябва</w:t>
      </w:r>
      <w:proofErr w:type="spellEnd"/>
      <w:r w:rsidR="00053CFC" w:rsidRPr="00053CFC">
        <w:t xml:space="preserve"> </w:t>
      </w:r>
      <w:proofErr w:type="spellStart"/>
      <w:r w:rsidR="00053CFC" w:rsidRPr="00053CFC">
        <w:t>да</w:t>
      </w:r>
      <w:proofErr w:type="spellEnd"/>
      <w:r w:rsidR="00053CFC" w:rsidRPr="00053CFC">
        <w:t xml:space="preserve"> </w:t>
      </w:r>
      <w:proofErr w:type="spellStart"/>
      <w:r w:rsidR="00053CFC" w:rsidRPr="00053CFC">
        <w:t>са</w:t>
      </w:r>
      <w:proofErr w:type="spellEnd"/>
      <w:r w:rsidR="00053CFC" w:rsidRPr="00053CFC">
        <w:t xml:space="preserve"> </w:t>
      </w:r>
      <w:proofErr w:type="spellStart"/>
      <w:r w:rsidR="00053CFC" w:rsidRPr="00053CFC">
        <w:t>записани</w:t>
      </w:r>
      <w:proofErr w:type="spellEnd"/>
      <w:r w:rsidR="00053CFC" w:rsidRPr="00053CFC">
        <w:t xml:space="preserve"> в </w:t>
      </w:r>
      <w:proofErr w:type="spellStart"/>
      <w:r w:rsidR="00053CFC" w:rsidRPr="00053CFC">
        <w:t>докторска</w:t>
      </w:r>
      <w:proofErr w:type="spellEnd"/>
      <w:r w:rsidR="00053CFC" w:rsidRPr="00053CFC">
        <w:t xml:space="preserve"> </w:t>
      </w:r>
      <w:proofErr w:type="spellStart"/>
      <w:r w:rsidR="00053CFC" w:rsidRPr="00053CFC">
        <w:t>програма</w:t>
      </w:r>
      <w:proofErr w:type="spellEnd"/>
      <w:r w:rsidR="00053CFC" w:rsidRPr="00053CFC">
        <w:t xml:space="preserve"> в </w:t>
      </w:r>
      <w:proofErr w:type="spellStart"/>
      <w:r w:rsidR="00053CFC" w:rsidRPr="00053CFC">
        <w:t>университет</w:t>
      </w:r>
      <w:proofErr w:type="spellEnd"/>
      <w:r w:rsidR="00053CFC" w:rsidRPr="00053CFC">
        <w:t xml:space="preserve"> и </w:t>
      </w:r>
      <w:proofErr w:type="spellStart"/>
      <w:r w:rsidR="00053CFC" w:rsidRPr="00053CFC">
        <w:t>темата</w:t>
      </w:r>
      <w:proofErr w:type="spellEnd"/>
      <w:r w:rsidR="00053CFC" w:rsidRPr="00053CFC">
        <w:t xml:space="preserve"> </w:t>
      </w:r>
      <w:proofErr w:type="spellStart"/>
      <w:r w:rsidR="00053CFC" w:rsidRPr="00053CFC">
        <w:t>на</w:t>
      </w:r>
      <w:proofErr w:type="spellEnd"/>
      <w:r w:rsidR="00053CFC" w:rsidRPr="00053CFC">
        <w:t xml:space="preserve"> </w:t>
      </w:r>
      <w:proofErr w:type="spellStart"/>
      <w:r w:rsidR="00053CFC" w:rsidRPr="00053CFC">
        <w:t>дисертацията</w:t>
      </w:r>
      <w:proofErr w:type="spellEnd"/>
      <w:r w:rsidR="00053CFC" w:rsidRPr="00053CFC">
        <w:t xml:space="preserve"> </w:t>
      </w:r>
      <w:proofErr w:type="spellStart"/>
      <w:r w:rsidR="00053CFC" w:rsidRPr="00053CFC">
        <w:t>им</w:t>
      </w:r>
      <w:proofErr w:type="spellEnd"/>
      <w:r w:rsidR="00053CFC" w:rsidRPr="00053CFC">
        <w:t xml:space="preserve"> </w:t>
      </w:r>
      <w:proofErr w:type="spellStart"/>
      <w:r w:rsidR="00053CFC" w:rsidRPr="00053CFC">
        <w:t>да</w:t>
      </w:r>
      <w:proofErr w:type="spellEnd"/>
      <w:r w:rsidR="00053CFC" w:rsidRPr="00053CFC">
        <w:t xml:space="preserve"> е </w:t>
      </w:r>
      <w:proofErr w:type="spellStart"/>
      <w:r w:rsidR="00053CFC" w:rsidRPr="00053CFC">
        <w:t>директно</w:t>
      </w:r>
      <w:proofErr w:type="spellEnd"/>
      <w:r w:rsidR="00053CFC" w:rsidRPr="00053CFC">
        <w:t xml:space="preserve"> </w:t>
      </w:r>
      <w:proofErr w:type="spellStart"/>
      <w:r w:rsidR="00053CFC" w:rsidRPr="00053CFC">
        <w:t>свързана</w:t>
      </w:r>
      <w:proofErr w:type="spellEnd"/>
      <w:r w:rsidR="00053CFC" w:rsidRPr="00053CFC">
        <w:t xml:space="preserve"> с </w:t>
      </w:r>
      <w:proofErr w:type="spellStart"/>
      <w:r w:rsidR="00053CFC" w:rsidRPr="00053CFC">
        <w:t>политиките</w:t>
      </w:r>
      <w:proofErr w:type="spellEnd"/>
      <w:r w:rsidR="00053CFC" w:rsidRPr="00053CFC">
        <w:t xml:space="preserve"> </w:t>
      </w:r>
      <w:proofErr w:type="spellStart"/>
      <w:r w:rsidR="00053CFC" w:rsidRPr="00053CFC">
        <w:t>на</w:t>
      </w:r>
      <w:proofErr w:type="spellEnd"/>
      <w:r w:rsidR="00053CFC" w:rsidRPr="00053CFC">
        <w:t xml:space="preserve"> НАТО. </w:t>
      </w:r>
      <w:proofErr w:type="spellStart"/>
      <w:r w:rsidR="00053CFC" w:rsidRPr="00053CFC">
        <w:t>Те</w:t>
      </w:r>
      <w:proofErr w:type="spellEnd"/>
      <w:r w:rsidR="00053CFC" w:rsidRPr="00053CFC">
        <w:t xml:space="preserve"> </w:t>
      </w:r>
      <w:proofErr w:type="spellStart"/>
      <w:r w:rsidR="00053CFC" w:rsidRPr="00053CFC">
        <w:t>трябва</w:t>
      </w:r>
      <w:proofErr w:type="spellEnd"/>
      <w:r w:rsidR="00053CFC" w:rsidRPr="00053CFC">
        <w:t xml:space="preserve"> </w:t>
      </w:r>
      <w:proofErr w:type="spellStart"/>
      <w:r w:rsidR="00053CFC" w:rsidRPr="00053CFC">
        <w:t>да</w:t>
      </w:r>
      <w:proofErr w:type="spellEnd"/>
      <w:r w:rsidR="00053CFC" w:rsidRPr="00053CFC">
        <w:t xml:space="preserve"> </w:t>
      </w:r>
      <w:proofErr w:type="spellStart"/>
      <w:r w:rsidR="00053CFC" w:rsidRPr="00053CFC">
        <w:t>са</w:t>
      </w:r>
      <w:proofErr w:type="spellEnd"/>
      <w:r w:rsidR="00053CFC" w:rsidRPr="00053CFC">
        <w:t xml:space="preserve"> в </w:t>
      </w:r>
      <w:proofErr w:type="spellStart"/>
      <w:r w:rsidR="00053CFC" w:rsidRPr="00053CFC">
        <w:t>напреднал</w:t>
      </w:r>
      <w:proofErr w:type="spellEnd"/>
      <w:r w:rsidR="00053CFC" w:rsidRPr="00053CFC">
        <w:t xml:space="preserve"> </w:t>
      </w:r>
      <w:proofErr w:type="spellStart"/>
      <w:r w:rsidR="00053CFC" w:rsidRPr="00053CFC">
        <w:t>етап</w:t>
      </w:r>
      <w:proofErr w:type="spellEnd"/>
      <w:r w:rsidR="00053CFC" w:rsidRPr="00053CFC">
        <w:t xml:space="preserve"> </w:t>
      </w:r>
      <w:proofErr w:type="spellStart"/>
      <w:r w:rsidR="00053CFC" w:rsidRPr="00053CFC">
        <w:t>от</w:t>
      </w:r>
      <w:proofErr w:type="spellEnd"/>
      <w:r w:rsidR="00053CFC" w:rsidRPr="00053CFC">
        <w:t xml:space="preserve"> </w:t>
      </w:r>
      <w:proofErr w:type="spellStart"/>
      <w:r w:rsidR="00053CFC" w:rsidRPr="00053CFC">
        <w:t>своята</w:t>
      </w:r>
      <w:proofErr w:type="spellEnd"/>
      <w:r w:rsidR="00053CFC" w:rsidRPr="00053CFC">
        <w:t xml:space="preserve"> </w:t>
      </w:r>
      <w:proofErr w:type="spellStart"/>
      <w:r w:rsidR="00053CFC" w:rsidRPr="00053CFC">
        <w:t>изследователска</w:t>
      </w:r>
      <w:proofErr w:type="spellEnd"/>
      <w:r w:rsidR="00053CFC" w:rsidRPr="00053CFC">
        <w:t xml:space="preserve"> </w:t>
      </w:r>
      <w:proofErr w:type="spellStart"/>
      <w:r w:rsidR="00053CFC" w:rsidRPr="00053CFC">
        <w:t>работа</w:t>
      </w:r>
      <w:proofErr w:type="spellEnd"/>
      <w:r w:rsidR="00053CFC" w:rsidRPr="00053CFC">
        <w:t xml:space="preserve"> и </w:t>
      </w:r>
      <w:proofErr w:type="spellStart"/>
      <w:r w:rsidR="00053CFC" w:rsidRPr="00053CFC">
        <w:t>да</w:t>
      </w:r>
      <w:proofErr w:type="spellEnd"/>
      <w:r w:rsidR="00053CFC" w:rsidRPr="00053CFC">
        <w:t xml:space="preserve"> </w:t>
      </w:r>
      <w:proofErr w:type="spellStart"/>
      <w:r w:rsidR="00053CFC" w:rsidRPr="00053CFC">
        <w:t>предоставят</w:t>
      </w:r>
      <w:proofErr w:type="spellEnd"/>
      <w:r w:rsidR="00053CFC" w:rsidRPr="00053CFC">
        <w:t xml:space="preserve"> </w:t>
      </w:r>
      <w:proofErr w:type="spellStart"/>
      <w:r w:rsidR="00053CFC" w:rsidRPr="00053CFC">
        <w:t>доказателства</w:t>
      </w:r>
      <w:proofErr w:type="spellEnd"/>
      <w:r w:rsidR="00053CFC" w:rsidRPr="00053CFC">
        <w:t xml:space="preserve"> </w:t>
      </w:r>
      <w:proofErr w:type="spellStart"/>
      <w:r w:rsidR="00053CFC" w:rsidRPr="00053CFC">
        <w:t>за</w:t>
      </w:r>
      <w:proofErr w:type="spellEnd"/>
      <w:r w:rsidR="00053CFC" w:rsidRPr="00053CFC">
        <w:t xml:space="preserve"> </w:t>
      </w:r>
      <w:proofErr w:type="spellStart"/>
      <w:r w:rsidR="00053CFC" w:rsidRPr="00053CFC">
        <w:t>това</w:t>
      </w:r>
      <w:proofErr w:type="spellEnd"/>
      <w:r w:rsidR="00053CFC" w:rsidRPr="00053CFC">
        <w:t xml:space="preserve">. </w:t>
      </w:r>
    </w:p>
    <w:p w14:paraId="5C1B6558" w14:textId="77777777" w:rsidR="00DA2BD1" w:rsidRDefault="00053CFC" w:rsidP="00DA2BD1">
      <w:pPr>
        <w:spacing w:before="120" w:after="120" w:line="276" w:lineRule="auto"/>
        <w:jc w:val="both"/>
      </w:pPr>
      <w:proofErr w:type="spellStart"/>
      <w:r w:rsidRPr="00053CFC">
        <w:t>Размер</w:t>
      </w:r>
      <w:proofErr w:type="spellEnd"/>
      <w:r w:rsidRPr="00053CFC">
        <w:t xml:space="preserve"> </w:t>
      </w:r>
      <w:proofErr w:type="spellStart"/>
      <w:r w:rsidRPr="00053CFC">
        <w:t>на</w:t>
      </w:r>
      <w:proofErr w:type="spellEnd"/>
      <w:r w:rsidRPr="00053CFC">
        <w:t xml:space="preserve"> </w:t>
      </w:r>
      <w:proofErr w:type="spellStart"/>
      <w:r w:rsidRPr="00053CFC">
        <w:t>финансирането</w:t>
      </w:r>
      <w:proofErr w:type="spellEnd"/>
      <w:r w:rsidRPr="00053CFC">
        <w:t xml:space="preserve">: </w:t>
      </w:r>
      <w:proofErr w:type="spellStart"/>
      <w:r w:rsidRPr="00053CFC">
        <w:t>Всички</w:t>
      </w:r>
      <w:proofErr w:type="spellEnd"/>
      <w:r w:rsidRPr="00053CFC">
        <w:t xml:space="preserve"> </w:t>
      </w:r>
      <w:proofErr w:type="spellStart"/>
      <w:r w:rsidRPr="00053CFC">
        <w:t>стипендии</w:t>
      </w:r>
      <w:proofErr w:type="spellEnd"/>
      <w:r w:rsidRPr="00053CFC">
        <w:t xml:space="preserve"> </w:t>
      </w:r>
      <w:proofErr w:type="spellStart"/>
      <w:r w:rsidRPr="00053CFC">
        <w:t>са</w:t>
      </w:r>
      <w:proofErr w:type="spellEnd"/>
      <w:r w:rsidRPr="00053CFC">
        <w:t xml:space="preserve"> с </w:t>
      </w:r>
      <w:proofErr w:type="spellStart"/>
      <w:r w:rsidRPr="00053CFC">
        <w:t>продължителност</w:t>
      </w:r>
      <w:proofErr w:type="spellEnd"/>
      <w:r w:rsidRPr="00053CFC">
        <w:t xml:space="preserve"> </w:t>
      </w:r>
      <w:proofErr w:type="spellStart"/>
      <w:r w:rsidRPr="00053CFC">
        <w:t>от</w:t>
      </w:r>
      <w:proofErr w:type="spellEnd"/>
      <w:r w:rsidRPr="00053CFC">
        <w:t xml:space="preserve"> </w:t>
      </w:r>
      <w:proofErr w:type="spellStart"/>
      <w:r w:rsidRPr="00053CFC">
        <w:t>пет</w:t>
      </w:r>
      <w:proofErr w:type="spellEnd"/>
      <w:r w:rsidRPr="00053CFC">
        <w:t xml:space="preserve"> </w:t>
      </w:r>
      <w:proofErr w:type="spellStart"/>
      <w:r w:rsidRPr="00053CFC">
        <w:t>месеца</w:t>
      </w:r>
      <w:proofErr w:type="spellEnd"/>
      <w:r w:rsidRPr="00053CFC">
        <w:t xml:space="preserve">. </w:t>
      </w:r>
      <w:proofErr w:type="spellStart"/>
      <w:r w:rsidRPr="00053CFC">
        <w:t>Няма</w:t>
      </w:r>
      <w:proofErr w:type="spellEnd"/>
      <w:r w:rsidRPr="00053CFC">
        <w:t xml:space="preserve"> </w:t>
      </w:r>
      <w:proofErr w:type="spellStart"/>
      <w:r w:rsidRPr="00053CFC">
        <w:t>посочено</w:t>
      </w:r>
      <w:proofErr w:type="spellEnd"/>
      <w:r w:rsidRPr="00053CFC">
        <w:t xml:space="preserve"> </w:t>
      </w:r>
      <w:proofErr w:type="spellStart"/>
      <w:r w:rsidRPr="00053CFC">
        <w:t>конкретно</w:t>
      </w:r>
      <w:proofErr w:type="spellEnd"/>
      <w:r w:rsidRPr="00053CFC">
        <w:t xml:space="preserve"> </w:t>
      </w:r>
      <w:proofErr w:type="spellStart"/>
      <w:r w:rsidRPr="00053CFC">
        <w:t>възнаграждение</w:t>
      </w:r>
      <w:proofErr w:type="spellEnd"/>
      <w:r w:rsidRPr="00053CFC">
        <w:t xml:space="preserve">, </w:t>
      </w:r>
      <w:proofErr w:type="spellStart"/>
      <w:r w:rsidRPr="00053CFC">
        <w:t>но</w:t>
      </w:r>
      <w:proofErr w:type="spellEnd"/>
      <w:r w:rsidRPr="00053CFC">
        <w:t xml:space="preserve"> </w:t>
      </w:r>
      <w:proofErr w:type="spellStart"/>
      <w:r w:rsidRPr="00053CFC">
        <w:t>участниците</w:t>
      </w:r>
      <w:proofErr w:type="spellEnd"/>
      <w:r w:rsidRPr="00053CFC">
        <w:t xml:space="preserve"> </w:t>
      </w:r>
      <w:proofErr w:type="spellStart"/>
      <w:r w:rsidRPr="00053CFC">
        <w:t>получават</w:t>
      </w:r>
      <w:proofErr w:type="spellEnd"/>
      <w:r w:rsidRPr="00053CFC">
        <w:t xml:space="preserve"> </w:t>
      </w:r>
      <w:proofErr w:type="spellStart"/>
      <w:r w:rsidRPr="00053CFC">
        <w:t>финансирана</w:t>
      </w:r>
      <w:proofErr w:type="spellEnd"/>
      <w:r w:rsidRPr="00053CFC">
        <w:t xml:space="preserve"> </w:t>
      </w:r>
      <w:proofErr w:type="spellStart"/>
      <w:r w:rsidRPr="00053CFC">
        <w:t>възможност</w:t>
      </w:r>
      <w:proofErr w:type="spellEnd"/>
      <w:r w:rsidRPr="00053CFC">
        <w:t xml:space="preserve"> </w:t>
      </w:r>
      <w:proofErr w:type="spellStart"/>
      <w:r w:rsidRPr="00053CFC">
        <w:t>за</w:t>
      </w:r>
      <w:proofErr w:type="spellEnd"/>
      <w:r w:rsidRPr="00053CFC">
        <w:t xml:space="preserve"> </w:t>
      </w:r>
      <w:proofErr w:type="spellStart"/>
      <w:r w:rsidRPr="00053CFC">
        <w:t>престой</w:t>
      </w:r>
      <w:proofErr w:type="spellEnd"/>
      <w:r w:rsidRPr="00053CFC">
        <w:t xml:space="preserve"> в </w:t>
      </w:r>
      <w:proofErr w:type="spellStart"/>
      <w:r w:rsidRPr="00053CFC">
        <w:t>Рим</w:t>
      </w:r>
      <w:proofErr w:type="spellEnd"/>
      <w:r w:rsidRPr="00053CFC">
        <w:t xml:space="preserve">, </w:t>
      </w:r>
      <w:proofErr w:type="spellStart"/>
      <w:r w:rsidRPr="00053CFC">
        <w:t>достъп</w:t>
      </w:r>
      <w:proofErr w:type="spellEnd"/>
      <w:r w:rsidRPr="00053CFC">
        <w:t xml:space="preserve"> </w:t>
      </w:r>
      <w:proofErr w:type="spellStart"/>
      <w:r w:rsidRPr="00053CFC">
        <w:t>до</w:t>
      </w:r>
      <w:proofErr w:type="spellEnd"/>
      <w:r w:rsidRPr="00053CFC">
        <w:t xml:space="preserve"> </w:t>
      </w:r>
      <w:proofErr w:type="spellStart"/>
      <w:r w:rsidRPr="00053CFC">
        <w:t>ресурси</w:t>
      </w:r>
      <w:proofErr w:type="spellEnd"/>
      <w:r w:rsidRPr="00053CFC">
        <w:t xml:space="preserve"> и </w:t>
      </w:r>
      <w:proofErr w:type="spellStart"/>
      <w:r w:rsidRPr="00053CFC">
        <w:t>експерти</w:t>
      </w:r>
      <w:proofErr w:type="spellEnd"/>
      <w:r w:rsidRPr="00053CFC">
        <w:t xml:space="preserve"> </w:t>
      </w:r>
      <w:proofErr w:type="spellStart"/>
      <w:r w:rsidRPr="00053CFC">
        <w:t>на</w:t>
      </w:r>
      <w:proofErr w:type="spellEnd"/>
      <w:r w:rsidRPr="00053CFC">
        <w:t xml:space="preserve"> НАТО. </w:t>
      </w:r>
    </w:p>
    <w:p w14:paraId="4EC7546B" w14:textId="49FB5872" w:rsidR="00053CFC" w:rsidRDefault="00053CFC" w:rsidP="003A5A70">
      <w:pPr>
        <w:spacing w:before="120" w:after="600" w:line="276" w:lineRule="auto"/>
        <w:jc w:val="both"/>
      </w:pPr>
      <w:proofErr w:type="spellStart"/>
      <w:r w:rsidRPr="009D6E4C">
        <w:rPr>
          <w:b/>
        </w:rPr>
        <w:t>Крайният</w:t>
      </w:r>
      <w:proofErr w:type="spellEnd"/>
      <w:r w:rsidRPr="009D6E4C">
        <w:rPr>
          <w:b/>
        </w:rPr>
        <w:t xml:space="preserve"> </w:t>
      </w:r>
      <w:proofErr w:type="spellStart"/>
      <w:r w:rsidRPr="009D6E4C">
        <w:rPr>
          <w:b/>
        </w:rPr>
        <w:t>срок</w:t>
      </w:r>
      <w:proofErr w:type="spellEnd"/>
      <w:r w:rsidRPr="009D6E4C">
        <w:rPr>
          <w:b/>
        </w:rPr>
        <w:t xml:space="preserve"> </w:t>
      </w:r>
      <w:proofErr w:type="spellStart"/>
      <w:r w:rsidRPr="009D6E4C">
        <w:rPr>
          <w:b/>
        </w:rPr>
        <w:t>за</w:t>
      </w:r>
      <w:proofErr w:type="spellEnd"/>
      <w:r w:rsidRPr="009D6E4C">
        <w:rPr>
          <w:b/>
        </w:rPr>
        <w:t xml:space="preserve"> </w:t>
      </w:r>
      <w:proofErr w:type="spellStart"/>
      <w:r w:rsidRPr="009D6E4C">
        <w:rPr>
          <w:b/>
        </w:rPr>
        <w:t>кандидатстване</w:t>
      </w:r>
      <w:proofErr w:type="spellEnd"/>
      <w:r w:rsidRPr="009D6E4C">
        <w:rPr>
          <w:b/>
        </w:rPr>
        <w:t xml:space="preserve"> е 17 </w:t>
      </w:r>
      <w:proofErr w:type="spellStart"/>
      <w:r w:rsidRPr="009D6E4C">
        <w:rPr>
          <w:b/>
        </w:rPr>
        <w:t>май</w:t>
      </w:r>
      <w:proofErr w:type="spellEnd"/>
      <w:r w:rsidRPr="009D6E4C">
        <w:rPr>
          <w:b/>
        </w:rPr>
        <w:t xml:space="preserve"> 2025 г. (23:59 ч. CET),</w:t>
      </w:r>
      <w:r w:rsidRPr="00053CFC">
        <w:t xml:space="preserve"> а </w:t>
      </w:r>
      <w:proofErr w:type="spellStart"/>
      <w:r w:rsidRPr="00053CFC">
        <w:t>одобрените</w:t>
      </w:r>
      <w:proofErr w:type="spellEnd"/>
      <w:r w:rsidRPr="00053CFC">
        <w:t xml:space="preserve"> </w:t>
      </w:r>
      <w:proofErr w:type="spellStart"/>
      <w:r w:rsidRPr="00053CFC">
        <w:t>кандидати</w:t>
      </w:r>
      <w:proofErr w:type="spellEnd"/>
      <w:r w:rsidRPr="00053CFC">
        <w:t xml:space="preserve"> </w:t>
      </w:r>
      <w:proofErr w:type="spellStart"/>
      <w:r w:rsidRPr="00053CFC">
        <w:t>ще</w:t>
      </w:r>
      <w:proofErr w:type="spellEnd"/>
      <w:r w:rsidRPr="00053CFC">
        <w:t xml:space="preserve"> </w:t>
      </w:r>
      <w:proofErr w:type="spellStart"/>
      <w:r w:rsidRPr="00053CFC">
        <w:t>бъдат</w:t>
      </w:r>
      <w:proofErr w:type="spellEnd"/>
      <w:r w:rsidRPr="00053CFC">
        <w:t xml:space="preserve"> </w:t>
      </w:r>
      <w:proofErr w:type="spellStart"/>
      <w:r w:rsidRPr="00053CFC">
        <w:t>уведомени</w:t>
      </w:r>
      <w:proofErr w:type="spellEnd"/>
      <w:r w:rsidRPr="00053CFC">
        <w:t xml:space="preserve"> </w:t>
      </w:r>
      <w:proofErr w:type="spellStart"/>
      <w:r w:rsidRPr="00053CFC">
        <w:t>до</w:t>
      </w:r>
      <w:proofErr w:type="spellEnd"/>
      <w:r w:rsidRPr="00053CFC">
        <w:t xml:space="preserve"> 30 </w:t>
      </w:r>
      <w:proofErr w:type="spellStart"/>
      <w:r w:rsidRPr="00053CFC">
        <w:t>септември</w:t>
      </w:r>
      <w:proofErr w:type="spellEnd"/>
      <w:r w:rsidRPr="00053CFC">
        <w:t xml:space="preserve"> 2025 г. </w:t>
      </w:r>
      <w:proofErr w:type="spellStart"/>
      <w:r w:rsidRPr="00053CFC">
        <w:t>Може</w:t>
      </w:r>
      <w:proofErr w:type="spellEnd"/>
      <w:r w:rsidRPr="00053CFC">
        <w:t xml:space="preserve"> </w:t>
      </w:r>
      <w:proofErr w:type="spellStart"/>
      <w:r w:rsidRPr="00053CFC">
        <w:t>да</w:t>
      </w:r>
      <w:proofErr w:type="spellEnd"/>
      <w:r w:rsidRPr="00053CFC">
        <w:t xml:space="preserve"> </w:t>
      </w:r>
      <w:proofErr w:type="spellStart"/>
      <w:r w:rsidRPr="00053CFC">
        <w:t>кандидатствате</w:t>
      </w:r>
      <w:proofErr w:type="spellEnd"/>
      <w:r w:rsidRPr="00053CFC">
        <w:t xml:space="preserve"> </w:t>
      </w:r>
      <w:proofErr w:type="spellStart"/>
      <w:r w:rsidRPr="00053CFC">
        <w:t>през</w:t>
      </w:r>
      <w:proofErr w:type="spellEnd"/>
      <w:r w:rsidRPr="00053CFC">
        <w:t xml:space="preserve"> </w:t>
      </w:r>
      <w:hyperlink r:id="rId22" w:history="1">
        <w:proofErr w:type="spellStart"/>
        <w:r w:rsidRPr="00053CFC">
          <w:rPr>
            <w:rStyle w:val="Hyperlink"/>
          </w:rPr>
          <w:t>сайта</w:t>
        </w:r>
        <w:proofErr w:type="spellEnd"/>
      </w:hyperlink>
      <w:r w:rsidRPr="00053CFC">
        <w:t>.</w:t>
      </w:r>
    </w:p>
    <w:p w14:paraId="4A7CD711" w14:textId="6412BE87" w:rsidR="003A5A70" w:rsidRDefault="003A5A70" w:rsidP="00E34706">
      <w:pPr>
        <w:pStyle w:val="Heading2"/>
        <w:ind w:left="426"/>
        <w:rPr>
          <w:lang w:val="bg-BG"/>
        </w:rPr>
      </w:pPr>
      <w:bookmarkStart w:id="7" w:name="_Toc197365372"/>
      <w:r>
        <w:rPr>
          <w:lang w:val="bg-BG"/>
        </w:rPr>
        <w:t>Стаж в Европейския парламент</w:t>
      </w:r>
      <w:bookmarkEnd w:id="7"/>
    </w:p>
    <w:p w14:paraId="29119AE2" w14:textId="77777777" w:rsidR="00E34706" w:rsidRPr="00FA4F1B" w:rsidRDefault="003A5A70" w:rsidP="00E34706">
      <w:pPr>
        <w:spacing w:before="120" w:after="120" w:line="276" w:lineRule="auto"/>
        <w:jc w:val="both"/>
        <w:rPr>
          <w:lang w:val="bg-BG"/>
        </w:rPr>
      </w:pPr>
      <w:r w:rsidRPr="00FA4F1B">
        <w:rPr>
          <w:lang w:val="bg-BG"/>
        </w:rPr>
        <w:t xml:space="preserve">Програмата </w:t>
      </w:r>
      <w:r>
        <w:t>Schuman</w:t>
      </w:r>
      <w:r w:rsidRPr="00FA4F1B">
        <w:rPr>
          <w:lang w:val="bg-BG"/>
        </w:rPr>
        <w:t xml:space="preserve"> </w:t>
      </w:r>
      <w:r>
        <w:t>Traineeship</w:t>
      </w:r>
      <w:r>
        <w:rPr>
          <w:lang w:val="bg-BG"/>
        </w:rPr>
        <w:t xml:space="preserve"> </w:t>
      </w:r>
      <w:r w:rsidRPr="00FA4F1B">
        <w:rPr>
          <w:lang w:val="bg-BG"/>
        </w:rPr>
        <w:t xml:space="preserve">предоставя възможност за работа в различни направления в Европейския парламент – вътрешни и външни политики на ЕС, финанси, право, лингвистика, администрация, логистика, комуникация, </w:t>
      </w:r>
      <w:r w:rsidRPr="003A5A70">
        <w:t>IT</w:t>
      </w:r>
      <w:r w:rsidRPr="00FA4F1B">
        <w:rPr>
          <w:lang w:val="bg-BG"/>
        </w:rPr>
        <w:t xml:space="preserve"> и др. Участниците придобиват реален практически опит в работата на институциите на ЕС, с възможност за допълнително включване в инициативи като програмата в памет на журналиста Ян Куцяк. Стажовете се провеждат в Брюксел, Люксембург, Страсбург или в представителствата</w:t>
      </w:r>
      <w:r w:rsidR="00E34706" w:rsidRPr="00FA4F1B">
        <w:rPr>
          <w:lang w:val="bg-BG"/>
        </w:rPr>
        <w:t xml:space="preserve"> в страните членки. </w:t>
      </w:r>
      <w:r w:rsidRPr="00FA4F1B">
        <w:rPr>
          <w:lang w:val="bg-BG"/>
        </w:rPr>
        <w:t>Кандидатите трябва да са навършили 18 години, да са граждани на страна от ЕС или страна кандидат, да имат завършено висше образование и отлично владеене на един официален език на ЕС и много добро владеене на втори. Не се допускат кандидати, които вече са работили или били на стаж в институция на ЕС за повече от 2</w:t>
      </w:r>
      <w:r w:rsidR="00E34706">
        <w:rPr>
          <w:lang w:val="bg-BG"/>
        </w:rPr>
        <w:t xml:space="preserve"> </w:t>
      </w:r>
      <w:r w:rsidRPr="00FA4F1B">
        <w:rPr>
          <w:lang w:val="bg-BG"/>
        </w:rPr>
        <w:t>последователни месеца, или са извършвали учебно посещение в Европейския парламент в последните 6 месеца. Има специална схема за кандидати с трайни увреждания.</w:t>
      </w:r>
    </w:p>
    <w:p w14:paraId="3E2428AB" w14:textId="75254E01" w:rsidR="003A5A70" w:rsidRPr="00FA4F1B" w:rsidRDefault="003A5A70" w:rsidP="00E34706">
      <w:pPr>
        <w:spacing w:before="120" w:after="120" w:line="276" w:lineRule="auto"/>
        <w:jc w:val="both"/>
        <w:rPr>
          <w:lang w:val="bg-BG"/>
        </w:rPr>
      </w:pPr>
      <w:r w:rsidRPr="00FA4F1B">
        <w:rPr>
          <w:lang w:val="bg-BG"/>
        </w:rPr>
        <w:t>Стажовете са платени и продължават 5 месеца. Има два периода на провеждане: от началото на октомври до края на февруари (</w:t>
      </w:r>
      <w:r w:rsidRPr="00FA4F1B">
        <w:rPr>
          <w:b/>
          <w:lang w:val="bg-BG"/>
        </w:rPr>
        <w:t>кандидатстване до 31 май</w:t>
      </w:r>
      <w:r w:rsidRPr="00FA4F1B">
        <w:rPr>
          <w:lang w:val="bg-BG"/>
        </w:rPr>
        <w:t>) и от началото на март до края на юли (</w:t>
      </w:r>
      <w:r w:rsidRPr="00FA4F1B">
        <w:rPr>
          <w:b/>
          <w:lang w:val="bg-BG"/>
        </w:rPr>
        <w:t>кандидатстване през октомври</w:t>
      </w:r>
      <w:r w:rsidRPr="00FA4F1B">
        <w:rPr>
          <w:lang w:val="bg-BG"/>
        </w:rPr>
        <w:t>). Стажантите получават мес</w:t>
      </w:r>
      <w:r w:rsidR="00E34706" w:rsidRPr="00FA4F1B">
        <w:rPr>
          <w:lang w:val="bg-BG"/>
        </w:rPr>
        <w:t xml:space="preserve">ечна стипендия. </w:t>
      </w:r>
      <w:r w:rsidRPr="00FA4F1B">
        <w:rPr>
          <w:lang w:val="bg-BG"/>
        </w:rPr>
        <w:t xml:space="preserve">Може да изберете подходяща за вас позиция през </w:t>
      </w:r>
      <w:r>
        <w:fldChar w:fldCharType="begin"/>
      </w:r>
      <w:r>
        <w:instrText>HYPERLINK</w:instrText>
      </w:r>
      <w:r w:rsidRPr="00FA4F1B">
        <w:rPr>
          <w:lang w:val="bg-BG"/>
        </w:rPr>
        <w:instrText xml:space="preserve"> "</w:instrText>
      </w:r>
      <w:r>
        <w:instrText>https</w:instrText>
      </w:r>
      <w:r w:rsidRPr="00FA4F1B">
        <w:rPr>
          <w:lang w:val="bg-BG"/>
        </w:rPr>
        <w:instrText>://</w:instrText>
      </w:r>
      <w:r>
        <w:instrText>ep</w:instrText>
      </w:r>
      <w:r w:rsidRPr="00FA4F1B">
        <w:rPr>
          <w:lang w:val="bg-BG"/>
        </w:rPr>
        <w:instrText>-</w:instrText>
      </w:r>
      <w:r>
        <w:instrText>stages</w:instrText>
      </w:r>
      <w:r w:rsidRPr="00FA4F1B">
        <w:rPr>
          <w:lang w:val="bg-BG"/>
        </w:rPr>
        <w:instrText>.</w:instrText>
      </w:r>
      <w:r>
        <w:instrText>gestmax</w:instrText>
      </w:r>
      <w:r w:rsidRPr="00FA4F1B">
        <w:rPr>
          <w:lang w:val="bg-BG"/>
        </w:rPr>
        <w:instrText>.</w:instrText>
      </w:r>
      <w:r>
        <w:instrText>eu</w:instrText>
      </w:r>
      <w:r w:rsidRPr="00FA4F1B">
        <w:rPr>
          <w:lang w:val="bg-BG"/>
        </w:rPr>
        <w:instrText>/</w:instrText>
      </w:r>
      <w:r>
        <w:instrText>search</w:instrText>
      </w:r>
      <w:r w:rsidRPr="00FA4F1B">
        <w:rPr>
          <w:lang w:val="bg-BG"/>
        </w:rPr>
        <w:instrText>"</w:instrText>
      </w:r>
      <w:r>
        <w:fldChar w:fldCharType="separate"/>
      </w:r>
      <w:r w:rsidRPr="00FA4F1B">
        <w:rPr>
          <w:rStyle w:val="Hyperlink"/>
          <w:lang w:val="bg-BG"/>
        </w:rPr>
        <w:t>сайта на Европейския парламент</w:t>
      </w:r>
      <w:r>
        <w:fldChar w:fldCharType="end"/>
      </w:r>
      <w:r w:rsidRPr="00FA4F1B">
        <w:rPr>
          <w:lang w:val="bg-BG"/>
        </w:rPr>
        <w:t xml:space="preserve"> и да кандидатствате.</w:t>
      </w:r>
    </w:p>
    <w:p w14:paraId="2E7E2650" w14:textId="77777777" w:rsidR="009D6E4C" w:rsidRDefault="009D6E4C" w:rsidP="009D6E4C">
      <w:pPr>
        <w:pStyle w:val="Heading2"/>
        <w:ind w:left="426"/>
      </w:pPr>
      <w:bookmarkStart w:id="8" w:name="_Toc197365373"/>
      <w:r>
        <w:rPr>
          <w:lang w:val="bg-BG"/>
        </w:rPr>
        <w:t xml:space="preserve">Стажант „Човешки ресурси“ в </w:t>
      </w:r>
      <w:r w:rsidR="006931A1">
        <w:t>MacGregor</w:t>
      </w:r>
      <w:bookmarkEnd w:id="8"/>
    </w:p>
    <w:p w14:paraId="02715C58" w14:textId="77777777" w:rsidR="009D6E4C" w:rsidRDefault="006931A1" w:rsidP="009D6E4C">
      <w:pPr>
        <w:spacing w:before="120" w:after="120" w:line="276" w:lineRule="auto"/>
        <w:jc w:val="both"/>
      </w:pPr>
      <w:proofErr w:type="spellStart"/>
      <w:r>
        <w:t>Стажантът</w:t>
      </w:r>
      <w:proofErr w:type="spellEnd"/>
      <w:r>
        <w:t xml:space="preserve"> </w:t>
      </w:r>
      <w:proofErr w:type="spellStart"/>
      <w:r>
        <w:t>ще</w:t>
      </w:r>
      <w:proofErr w:type="spellEnd"/>
      <w:r>
        <w:t xml:space="preserve"> </w:t>
      </w:r>
      <w:proofErr w:type="spellStart"/>
      <w:r>
        <w:t>изпълнява</w:t>
      </w:r>
      <w:proofErr w:type="spellEnd"/>
      <w:r>
        <w:t xml:space="preserve"> </w:t>
      </w:r>
      <w:r w:rsidR="009D6E4C">
        <w:rPr>
          <w:lang w:val="bg-BG"/>
        </w:rPr>
        <w:t>дейности</w:t>
      </w:r>
      <w:r>
        <w:t xml:space="preserve">, </w:t>
      </w:r>
      <w:proofErr w:type="spellStart"/>
      <w:r>
        <w:t>свързани</w:t>
      </w:r>
      <w:proofErr w:type="spellEnd"/>
      <w:r>
        <w:t xml:space="preserve"> с </w:t>
      </w:r>
      <w:proofErr w:type="spellStart"/>
      <w:r>
        <w:t>администриране</w:t>
      </w:r>
      <w:proofErr w:type="spellEnd"/>
      <w:r>
        <w:t xml:space="preserve"> </w:t>
      </w:r>
      <w:proofErr w:type="spellStart"/>
      <w:r>
        <w:t>на</w:t>
      </w:r>
      <w:proofErr w:type="spellEnd"/>
      <w:r>
        <w:t xml:space="preserve"> </w:t>
      </w:r>
      <w:proofErr w:type="spellStart"/>
      <w:r>
        <w:t>данни</w:t>
      </w:r>
      <w:proofErr w:type="spellEnd"/>
      <w:r>
        <w:t xml:space="preserve">, </w:t>
      </w:r>
      <w:proofErr w:type="spellStart"/>
      <w:r>
        <w:t>като</w:t>
      </w:r>
      <w:proofErr w:type="spellEnd"/>
      <w:r>
        <w:t xml:space="preserve"> </w:t>
      </w:r>
      <w:proofErr w:type="spellStart"/>
      <w:r>
        <w:t>гарантира</w:t>
      </w:r>
      <w:proofErr w:type="spellEnd"/>
      <w:r>
        <w:t xml:space="preserve"> </w:t>
      </w:r>
      <w:proofErr w:type="spellStart"/>
      <w:r>
        <w:t>последователност</w:t>
      </w:r>
      <w:proofErr w:type="spellEnd"/>
      <w:r>
        <w:t xml:space="preserve"> и </w:t>
      </w:r>
      <w:proofErr w:type="spellStart"/>
      <w:r>
        <w:t>ефективност</w:t>
      </w:r>
      <w:proofErr w:type="spellEnd"/>
      <w:r>
        <w:t xml:space="preserve">. </w:t>
      </w:r>
      <w:proofErr w:type="spellStart"/>
      <w:r>
        <w:t>Той</w:t>
      </w:r>
      <w:proofErr w:type="spellEnd"/>
      <w:r>
        <w:t xml:space="preserve"> </w:t>
      </w:r>
      <w:proofErr w:type="spellStart"/>
      <w:r>
        <w:t>ще</w:t>
      </w:r>
      <w:proofErr w:type="spellEnd"/>
      <w:r>
        <w:t xml:space="preserve"> </w:t>
      </w:r>
      <w:proofErr w:type="spellStart"/>
      <w:r>
        <w:t>поддържа</w:t>
      </w:r>
      <w:proofErr w:type="spellEnd"/>
      <w:r>
        <w:t xml:space="preserve"> </w:t>
      </w:r>
      <w:proofErr w:type="spellStart"/>
      <w:r>
        <w:t>добри</w:t>
      </w:r>
      <w:proofErr w:type="spellEnd"/>
      <w:r>
        <w:t xml:space="preserve"> </w:t>
      </w:r>
      <w:proofErr w:type="spellStart"/>
      <w:r>
        <w:t>работни</w:t>
      </w:r>
      <w:proofErr w:type="spellEnd"/>
      <w:r>
        <w:t xml:space="preserve"> </w:t>
      </w:r>
      <w:proofErr w:type="spellStart"/>
      <w:r>
        <w:t>отношения</w:t>
      </w:r>
      <w:proofErr w:type="spellEnd"/>
      <w:r>
        <w:t xml:space="preserve"> с </w:t>
      </w:r>
      <w:proofErr w:type="spellStart"/>
      <w:r>
        <w:t>останалите</w:t>
      </w:r>
      <w:proofErr w:type="spellEnd"/>
      <w:r>
        <w:t xml:space="preserve"> </w:t>
      </w:r>
      <w:proofErr w:type="spellStart"/>
      <w:r>
        <w:t>екипи</w:t>
      </w:r>
      <w:proofErr w:type="spellEnd"/>
      <w:r>
        <w:t xml:space="preserve">, </w:t>
      </w:r>
      <w:proofErr w:type="spellStart"/>
      <w:r>
        <w:t>ще</w:t>
      </w:r>
      <w:proofErr w:type="spellEnd"/>
      <w:r>
        <w:t xml:space="preserve"> </w:t>
      </w:r>
      <w:proofErr w:type="spellStart"/>
      <w:r>
        <w:t>разпознава</w:t>
      </w:r>
      <w:proofErr w:type="spellEnd"/>
      <w:r>
        <w:t xml:space="preserve"> </w:t>
      </w:r>
      <w:proofErr w:type="spellStart"/>
      <w:r>
        <w:t>необичайни</w:t>
      </w:r>
      <w:proofErr w:type="spellEnd"/>
      <w:r>
        <w:t xml:space="preserve"> </w:t>
      </w:r>
      <w:proofErr w:type="spellStart"/>
      <w:r>
        <w:t>случаи</w:t>
      </w:r>
      <w:proofErr w:type="spellEnd"/>
      <w:r>
        <w:t xml:space="preserve"> и </w:t>
      </w:r>
      <w:proofErr w:type="spellStart"/>
      <w:r>
        <w:t>ще</w:t>
      </w:r>
      <w:proofErr w:type="spellEnd"/>
      <w:r>
        <w:t xml:space="preserve"> </w:t>
      </w:r>
      <w:proofErr w:type="spellStart"/>
      <w:r>
        <w:t>докладва</w:t>
      </w:r>
      <w:proofErr w:type="spellEnd"/>
      <w:r>
        <w:t xml:space="preserve"> </w:t>
      </w:r>
      <w:proofErr w:type="spellStart"/>
      <w:r>
        <w:t>на</w:t>
      </w:r>
      <w:proofErr w:type="spellEnd"/>
      <w:r>
        <w:t xml:space="preserve"> </w:t>
      </w:r>
      <w:proofErr w:type="spellStart"/>
      <w:r>
        <w:t>ментор</w:t>
      </w:r>
      <w:proofErr w:type="spellEnd"/>
      <w:r>
        <w:t xml:space="preserve"> в </w:t>
      </w:r>
      <w:proofErr w:type="spellStart"/>
      <w:r>
        <w:t>екипа</w:t>
      </w:r>
      <w:proofErr w:type="spellEnd"/>
      <w:r>
        <w:t xml:space="preserve">. </w:t>
      </w:r>
      <w:proofErr w:type="spellStart"/>
      <w:r>
        <w:t>Задълженията</w:t>
      </w:r>
      <w:proofErr w:type="spellEnd"/>
      <w:r>
        <w:t xml:space="preserve"> </w:t>
      </w:r>
      <w:proofErr w:type="spellStart"/>
      <w:r>
        <w:t>включват</w:t>
      </w:r>
      <w:proofErr w:type="spellEnd"/>
      <w:r>
        <w:t xml:space="preserve"> </w:t>
      </w:r>
      <w:proofErr w:type="spellStart"/>
      <w:r>
        <w:t>също</w:t>
      </w:r>
      <w:proofErr w:type="spellEnd"/>
      <w:r>
        <w:t xml:space="preserve"> </w:t>
      </w:r>
      <w:proofErr w:type="spellStart"/>
      <w:r>
        <w:t>актуализиране</w:t>
      </w:r>
      <w:proofErr w:type="spellEnd"/>
      <w:r>
        <w:t xml:space="preserve"> </w:t>
      </w:r>
      <w:proofErr w:type="spellStart"/>
      <w:r>
        <w:t>на</w:t>
      </w:r>
      <w:proofErr w:type="spellEnd"/>
      <w:r>
        <w:t xml:space="preserve"> </w:t>
      </w:r>
      <w:proofErr w:type="spellStart"/>
      <w:r>
        <w:t>документацията</w:t>
      </w:r>
      <w:proofErr w:type="spellEnd"/>
      <w:r>
        <w:t xml:space="preserve"> в </w:t>
      </w:r>
      <w:proofErr w:type="spellStart"/>
      <w:r>
        <w:t>системите</w:t>
      </w:r>
      <w:proofErr w:type="spellEnd"/>
      <w:r>
        <w:t xml:space="preserve"> </w:t>
      </w:r>
      <w:proofErr w:type="spellStart"/>
      <w:r>
        <w:t>на</w:t>
      </w:r>
      <w:proofErr w:type="spellEnd"/>
      <w:r>
        <w:t xml:space="preserve"> </w:t>
      </w:r>
      <w:proofErr w:type="spellStart"/>
      <w:r>
        <w:t>компанията</w:t>
      </w:r>
      <w:proofErr w:type="spellEnd"/>
      <w:r>
        <w:t xml:space="preserve">, </w:t>
      </w:r>
      <w:proofErr w:type="spellStart"/>
      <w:r>
        <w:t>осигуряване</w:t>
      </w:r>
      <w:proofErr w:type="spellEnd"/>
      <w:r>
        <w:t xml:space="preserve"> </w:t>
      </w:r>
      <w:proofErr w:type="spellStart"/>
      <w:r>
        <w:t>на</w:t>
      </w:r>
      <w:proofErr w:type="spellEnd"/>
      <w:r>
        <w:t xml:space="preserve"> </w:t>
      </w:r>
      <w:proofErr w:type="spellStart"/>
      <w:r>
        <w:t>удовлетвореността</w:t>
      </w:r>
      <w:proofErr w:type="spellEnd"/>
      <w:r>
        <w:t xml:space="preserve"> </w:t>
      </w:r>
      <w:proofErr w:type="spellStart"/>
      <w:r>
        <w:t>на</w:t>
      </w:r>
      <w:proofErr w:type="spellEnd"/>
      <w:r>
        <w:t xml:space="preserve"> </w:t>
      </w:r>
      <w:proofErr w:type="spellStart"/>
      <w:r>
        <w:t>вътрешните</w:t>
      </w:r>
      <w:proofErr w:type="spellEnd"/>
      <w:r>
        <w:t xml:space="preserve"> </w:t>
      </w:r>
      <w:proofErr w:type="spellStart"/>
      <w:r>
        <w:t>заинтересовани</w:t>
      </w:r>
      <w:proofErr w:type="spellEnd"/>
      <w:r>
        <w:t xml:space="preserve"> </w:t>
      </w:r>
      <w:proofErr w:type="spellStart"/>
      <w:r>
        <w:t>страни</w:t>
      </w:r>
      <w:proofErr w:type="spellEnd"/>
      <w:r>
        <w:t xml:space="preserve"> и </w:t>
      </w:r>
      <w:proofErr w:type="spellStart"/>
      <w:r>
        <w:t>съдействие</w:t>
      </w:r>
      <w:proofErr w:type="spellEnd"/>
      <w:r>
        <w:t xml:space="preserve"> </w:t>
      </w:r>
      <w:proofErr w:type="spellStart"/>
      <w:r>
        <w:t>за</w:t>
      </w:r>
      <w:proofErr w:type="spellEnd"/>
      <w:r>
        <w:t xml:space="preserve"> </w:t>
      </w:r>
      <w:proofErr w:type="spellStart"/>
      <w:r>
        <w:t>изграждането</w:t>
      </w:r>
      <w:proofErr w:type="spellEnd"/>
      <w:r>
        <w:t xml:space="preserve"> </w:t>
      </w:r>
      <w:proofErr w:type="spellStart"/>
      <w:r>
        <w:t>на</w:t>
      </w:r>
      <w:proofErr w:type="spellEnd"/>
      <w:r>
        <w:t xml:space="preserve"> </w:t>
      </w:r>
      <w:proofErr w:type="spellStart"/>
      <w:r>
        <w:t>отдела</w:t>
      </w:r>
      <w:proofErr w:type="spellEnd"/>
      <w:r w:rsidR="009D6E4C">
        <w:rPr>
          <w:lang w:val="bg-BG"/>
        </w:rPr>
        <w:t xml:space="preserve"> „Човешки </w:t>
      </w:r>
      <w:proofErr w:type="gramStart"/>
      <w:r w:rsidR="009D6E4C">
        <w:rPr>
          <w:lang w:val="bg-BG"/>
        </w:rPr>
        <w:t>ресурси“</w:t>
      </w:r>
      <w:r>
        <w:t xml:space="preserve"> в</w:t>
      </w:r>
      <w:proofErr w:type="gramEnd"/>
      <w:r>
        <w:t xml:space="preserve"> </w:t>
      </w:r>
      <w:proofErr w:type="spellStart"/>
      <w:r>
        <w:t>рамките</w:t>
      </w:r>
      <w:proofErr w:type="spellEnd"/>
      <w:r>
        <w:t xml:space="preserve"> </w:t>
      </w:r>
      <w:proofErr w:type="spellStart"/>
      <w:r>
        <w:t>на</w:t>
      </w:r>
      <w:proofErr w:type="spellEnd"/>
      <w:r>
        <w:t xml:space="preserve"> MacGregor Business Services (MBS). </w:t>
      </w:r>
      <w:proofErr w:type="spellStart"/>
      <w:r>
        <w:t>Възможно</w:t>
      </w:r>
      <w:proofErr w:type="spellEnd"/>
      <w:r>
        <w:t xml:space="preserve"> е </w:t>
      </w:r>
      <w:proofErr w:type="spellStart"/>
      <w:r>
        <w:t>да</w:t>
      </w:r>
      <w:proofErr w:type="spellEnd"/>
      <w:r>
        <w:t xml:space="preserve"> </w:t>
      </w:r>
      <w:proofErr w:type="spellStart"/>
      <w:r>
        <w:t>се</w:t>
      </w:r>
      <w:proofErr w:type="spellEnd"/>
      <w:r>
        <w:t xml:space="preserve"> </w:t>
      </w:r>
      <w:proofErr w:type="spellStart"/>
      <w:r>
        <w:t>възлагат</w:t>
      </w:r>
      <w:proofErr w:type="spellEnd"/>
      <w:r>
        <w:t xml:space="preserve"> и </w:t>
      </w:r>
      <w:proofErr w:type="spellStart"/>
      <w:r>
        <w:t>други</w:t>
      </w:r>
      <w:proofErr w:type="spellEnd"/>
      <w:r>
        <w:t xml:space="preserve"> </w:t>
      </w:r>
      <w:proofErr w:type="spellStart"/>
      <w:r>
        <w:t>задачи</w:t>
      </w:r>
      <w:proofErr w:type="spellEnd"/>
      <w:r>
        <w:t xml:space="preserve">, </w:t>
      </w:r>
      <w:proofErr w:type="spellStart"/>
      <w:r>
        <w:t>свързани</w:t>
      </w:r>
      <w:proofErr w:type="spellEnd"/>
      <w:r>
        <w:t xml:space="preserve"> с </w:t>
      </w:r>
      <w:proofErr w:type="spellStart"/>
      <w:r>
        <w:t>областите</w:t>
      </w:r>
      <w:proofErr w:type="spellEnd"/>
      <w:r>
        <w:t xml:space="preserve"> </w:t>
      </w:r>
      <w:proofErr w:type="spellStart"/>
      <w:r>
        <w:t>на</w:t>
      </w:r>
      <w:proofErr w:type="spellEnd"/>
      <w:r>
        <w:t xml:space="preserve"> </w:t>
      </w:r>
      <w:proofErr w:type="spellStart"/>
      <w:r>
        <w:t>отговорност</w:t>
      </w:r>
      <w:proofErr w:type="spellEnd"/>
      <w:r>
        <w:t xml:space="preserve">, по </w:t>
      </w:r>
      <w:proofErr w:type="spellStart"/>
      <w:r>
        <w:t>преценка</w:t>
      </w:r>
      <w:proofErr w:type="spellEnd"/>
      <w:r>
        <w:t xml:space="preserve"> </w:t>
      </w:r>
      <w:proofErr w:type="spellStart"/>
      <w:r>
        <w:t>на</w:t>
      </w:r>
      <w:proofErr w:type="spellEnd"/>
      <w:r>
        <w:t xml:space="preserve"> </w:t>
      </w:r>
      <w:proofErr w:type="spellStart"/>
      <w:r>
        <w:t>прекия</w:t>
      </w:r>
      <w:proofErr w:type="spellEnd"/>
      <w:r>
        <w:t xml:space="preserve"> </w:t>
      </w:r>
      <w:proofErr w:type="spellStart"/>
      <w:r>
        <w:t>ръководител</w:t>
      </w:r>
      <w:proofErr w:type="spellEnd"/>
      <w:r>
        <w:t xml:space="preserve">. </w:t>
      </w:r>
    </w:p>
    <w:p w14:paraId="27ED7A4D" w14:textId="77777777" w:rsidR="009D6E4C" w:rsidRDefault="006931A1" w:rsidP="009D6E4C">
      <w:pPr>
        <w:spacing w:before="120" w:after="120" w:line="276" w:lineRule="auto"/>
        <w:jc w:val="both"/>
      </w:pPr>
      <w:proofErr w:type="spellStart"/>
      <w:r>
        <w:t>Кандидатите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са</w:t>
      </w:r>
      <w:proofErr w:type="spellEnd"/>
      <w:r>
        <w:t xml:space="preserve"> </w:t>
      </w:r>
      <w:proofErr w:type="spellStart"/>
      <w:r>
        <w:t>бакалаври</w:t>
      </w:r>
      <w:proofErr w:type="spellEnd"/>
      <w:r>
        <w:t xml:space="preserve"> по „</w:t>
      </w:r>
      <w:proofErr w:type="spellStart"/>
      <w:r>
        <w:t>Човешки</w:t>
      </w:r>
      <w:proofErr w:type="spellEnd"/>
      <w:r>
        <w:t xml:space="preserve"> </w:t>
      </w:r>
      <w:proofErr w:type="spellStart"/>
      <w:proofErr w:type="gramStart"/>
      <w:r>
        <w:t>ресурси</w:t>
      </w:r>
      <w:proofErr w:type="spellEnd"/>
      <w:r>
        <w:t xml:space="preserve">“ </w:t>
      </w:r>
      <w:proofErr w:type="spellStart"/>
      <w:r>
        <w:t>или</w:t>
      </w:r>
      <w:proofErr w:type="spellEnd"/>
      <w:proofErr w:type="gramEnd"/>
      <w:r>
        <w:t xml:space="preserve"> </w:t>
      </w:r>
      <w:proofErr w:type="spellStart"/>
      <w:r>
        <w:t>да</w:t>
      </w:r>
      <w:proofErr w:type="spellEnd"/>
      <w:r>
        <w:t xml:space="preserve"> </w:t>
      </w:r>
      <w:proofErr w:type="spellStart"/>
      <w:r>
        <w:t>са</w:t>
      </w:r>
      <w:proofErr w:type="spellEnd"/>
      <w:r>
        <w:t xml:space="preserve"> в </w:t>
      </w:r>
      <w:proofErr w:type="spellStart"/>
      <w:r>
        <w:t>последните</w:t>
      </w:r>
      <w:proofErr w:type="spellEnd"/>
      <w:r>
        <w:t xml:space="preserve"> </w:t>
      </w:r>
      <w:proofErr w:type="spellStart"/>
      <w:r>
        <w:t>години</w:t>
      </w:r>
      <w:proofErr w:type="spellEnd"/>
      <w:r>
        <w:t xml:space="preserve"> </w:t>
      </w:r>
      <w:proofErr w:type="spellStart"/>
      <w:r>
        <w:t>на</w:t>
      </w:r>
      <w:proofErr w:type="spellEnd"/>
      <w:r>
        <w:t xml:space="preserve"> </w:t>
      </w:r>
      <w:proofErr w:type="spellStart"/>
      <w:r>
        <w:t>своето</w:t>
      </w:r>
      <w:proofErr w:type="spellEnd"/>
      <w:r>
        <w:t xml:space="preserve"> </w:t>
      </w:r>
      <w:proofErr w:type="spellStart"/>
      <w:r>
        <w:t>обучение</w:t>
      </w:r>
      <w:proofErr w:type="spellEnd"/>
      <w:r>
        <w:t xml:space="preserve">. </w:t>
      </w:r>
      <w:proofErr w:type="spellStart"/>
      <w:r>
        <w:t>Необходими</w:t>
      </w:r>
      <w:proofErr w:type="spellEnd"/>
      <w:r>
        <w:t xml:space="preserve"> </w:t>
      </w:r>
      <w:proofErr w:type="spellStart"/>
      <w:r>
        <w:t>са</w:t>
      </w:r>
      <w:proofErr w:type="spellEnd"/>
      <w:r>
        <w:t xml:space="preserve"> </w:t>
      </w:r>
      <w:proofErr w:type="spellStart"/>
      <w:r>
        <w:t>силна</w:t>
      </w:r>
      <w:proofErr w:type="spellEnd"/>
      <w:r>
        <w:t xml:space="preserve"> </w:t>
      </w:r>
      <w:proofErr w:type="spellStart"/>
      <w:r>
        <w:t>ориентация</w:t>
      </w:r>
      <w:proofErr w:type="spellEnd"/>
      <w:r>
        <w:t xml:space="preserve"> </w:t>
      </w:r>
      <w:proofErr w:type="spellStart"/>
      <w:r>
        <w:t>към</w:t>
      </w:r>
      <w:proofErr w:type="spellEnd"/>
      <w:r>
        <w:t xml:space="preserve"> </w:t>
      </w:r>
      <w:proofErr w:type="spellStart"/>
      <w:r>
        <w:t>обслужване</w:t>
      </w:r>
      <w:proofErr w:type="spellEnd"/>
      <w:r>
        <w:t xml:space="preserve"> </w:t>
      </w:r>
      <w:proofErr w:type="spellStart"/>
      <w:r>
        <w:t>на</w:t>
      </w:r>
      <w:proofErr w:type="spellEnd"/>
      <w:r>
        <w:t xml:space="preserve"> </w:t>
      </w:r>
      <w:proofErr w:type="spellStart"/>
      <w:r>
        <w:t>клиенти</w:t>
      </w:r>
      <w:proofErr w:type="spellEnd"/>
      <w:r>
        <w:t xml:space="preserve">, </w:t>
      </w:r>
      <w:proofErr w:type="spellStart"/>
      <w:r>
        <w:t>междуличностни</w:t>
      </w:r>
      <w:proofErr w:type="spellEnd"/>
      <w:r>
        <w:t xml:space="preserve"> </w:t>
      </w:r>
      <w:proofErr w:type="spellStart"/>
      <w:r>
        <w:t>умения</w:t>
      </w:r>
      <w:proofErr w:type="spellEnd"/>
      <w:r>
        <w:t xml:space="preserve">, </w:t>
      </w:r>
      <w:proofErr w:type="spellStart"/>
      <w:r>
        <w:t>аналитичност</w:t>
      </w:r>
      <w:proofErr w:type="spellEnd"/>
      <w:r>
        <w:t xml:space="preserve">, </w:t>
      </w:r>
      <w:proofErr w:type="spellStart"/>
      <w:r>
        <w:t>организираност</w:t>
      </w:r>
      <w:proofErr w:type="spellEnd"/>
      <w:r>
        <w:t xml:space="preserve"> и </w:t>
      </w:r>
      <w:proofErr w:type="spellStart"/>
      <w:r>
        <w:t>способност</w:t>
      </w:r>
      <w:proofErr w:type="spellEnd"/>
      <w:r>
        <w:t xml:space="preserve"> </w:t>
      </w:r>
      <w:proofErr w:type="spellStart"/>
      <w:r>
        <w:t>за</w:t>
      </w:r>
      <w:proofErr w:type="spellEnd"/>
      <w:r>
        <w:t xml:space="preserve"> </w:t>
      </w:r>
      <w:proofErr w:type="spellStart"/>
      <w:r>
        <w:t>решаване</w:t>
      </w:r>
      <w:proofErr w:type="spellEnd"/>
      <w:r>
        <w:t xml:space="preserve"> </w:t>
      </w:r>
      <w:proofErr w:type="spellStart"/>
      <w:r>
        <w:t>на</w:t>
      </w:r>
      <w:proofErr w:type="spellEnd"/>
      <w:r>
        <w:t xml:space="preserve"> </w:t>
      </w:r>
      <w:proofErr w:type="spellStart"/>
      <w:r>
        <w:t>проблеми</w:t>
      </w:r>
      <w:proofErr w:type="spellEnd"/>
      <w:r>
        <w:t xml:space="preserve">. </w:t>
      </w:r>
      <w:proofErr w:type="spellStart"/>
      <w:r>
        <w:t>Умение</w:t>
      </w:r>
      <w:proofErr w:type="spellEnd"/>
      <w:r>
        <w:t xml:space="preserve"> </w:t>
      </w:r>
      <w:proofErr w:type="spellStart"/>
      <w:r>
        <w:t>за</w:t>
      </w:r>
      <w:proofErr w:type="spellEnd"/>
      <w:r>
        <w:t xml:space="preserve"> </w:t>
      </w:r>
      <w:proofErr w:type="spellStart"/>
      <w:r>
        <w:t>работа</w:t>
      </w:r>
      <w:proofErr w:type="spellEnd"/>
      <w:r>
        <w:t xml:space="preserve"> </w:t>
      </w:r>
      <w:proofErr w:type="spellStart"/>
      <w:r>
        <w:t>под</w:t>
      </w:r>
      <w:proofErr w:type="spellEnd"/>
      <w:r>
        <w:t xml:space="preserve"> </w:t>
      </w:r>
      <w:proofErr w:type="spellStart"/>
      <w:r>
        <w:t>напрежение</w:t>
      </w:r>
      <w:proofErr w:type="spellEnd"/>
      <w:r>
        <w:t xml:space="preserve"> и </w:t>
      </w:r>
      <w:proofErr w:type="spellStart"/>
      <w:r>
        <w:t>спазване</w:t>
      </w:r>
      <w:proofErr w:type="spellEnd"/>
      <w:r>
        <w:t xml:space="preserve"> </w:t>
      </w:r>
      <w:proofErr w:type="spellStart"/>
      <w:r>
        <w:t>на</w:t>
      </w:r>
      <w:proofErr w:type="spellEnd"/>
      <w:r>
        <w:t xml:space="preserve"> </w:t>
      </w:r>
      <w:proofErr w:type="spellStart"/>
      <w:r>
        <w:t>стриктни</w:t>
      </w:r>
      <w:proofErr w:type="spellEnd"/>
      <w:r>
        <w:t xml:space="preserve"> </w:t>
      </w:r>
      <w:proofErr w:type="spellStart"/>
      <w:r>
        <w:t>срокове</w:t>
      </w:r>
      <w:proofErr w:type="spellEnd"/>
      <w:r>
        <w:t xml:space="preserve"> е </w:t>
      </w:r>
      <w:proofErr w:type="spellStart"/>
      <w:r>
        <w:t>задължително</w:t>
      </w:r>
      <w:proofErr w:type="spellEnd"/>
      <w:r>
        <w:t xml:space="preserve">, </w:t>
      </w:r>
      <w:proofErr w:type="spellStart"/>
      <w:r>
        <w:t>както</w:t>
      </w:r>
      <w:proofErr w:type="spellEnd"/>
      <w:r>
        <w:t xml:space="preserve"> и </w:t>
      </w:r>
      <w:proofErr w:type="spellStart"/>
      <w:r>
        <w:t>внимание</w:t>
      </w:r>
      <w:proofErr w:type="spellEnd"/>
      <w:r>
        <w:t xml:space="preserve"> </w:t>
      </w:r>
      <w:proofErr w:type="spellStart"/>
      <w:r>
        <w:t>към</w:t>
      </w:r>
      <w:proofErr w:type="spellEnd"/>
      <w:r>
        <w:t xml:space="preserve"> </w:t>
      </w:r>
      <w:proofErr w:type="spellStart"/>
      <w:r>
        <w:t>детайла</w:t>
      </w:r>
      <w:proofErr w:type="spellEnd"/>
      <w:r>
        <w:t xml:space="preserve"> и </w:t>
      </w:r>
      <w:proofErr w:type="spellStart"/>
      <w:r>
        <w:t>способност</w:t>
      </w:r>
      <w:proofErr w:type="spellEnd"/>
      <w:r>
        <w:t xml:space="preserve"> </w:t>
      </w:r>
      <w:proofErr w:type="spellStart"/>
      <w:r>
        <w:t>за</w:t>
      </w:r>
      <w:proofErr w:type="spellEnd"/>
      <w:r>
        <w:t xml:space="preserve"> </w:t>
      </w:r>
      <w:proofErr w:type="spellStart"/>
      <w:r>
        <w:t>проверка</w:t>
      </w:r>
      <w:proofErr w:type="spellEnd"/>
      <w:r>
        <w:t xml:space="preserve"> </w:t>
      </w:r>
      <w:proofErr w:type="spellStart"/>
      <w:r>
        <w:t>на</w:t>
      </w:r>
      <w:proofErr w:type="spellEnd"/>
      <w:r>
        <w:t xml:space="preserve"> </w:t>
      </w:r>
      <w:proofErr w:type="spellStart"/>
      <w:r>
        <w:t>собствената</w:t>
      </w:r>
      <w:proofErr w:type="spellEnd"/>
      <w:r>
        <w:t xml:space="preserve"> </w:t>
      </w:r>
      <w:proofErr w:type="spellStart"/>
      <w:r>
        <w:t>работа</w:t>
      </w:r>
      <w:proofErr w:type="spellEnd"/>
      <w:r>
        <w:t xml:space="preserve">. </w:t>
      </w:r>
      <w:proofErr w:type="spellStart"/>
      <w:r>
        <w:t>Изисква</w:t>
      </w:r>
      <w:proofErr w:type="spellEnd"/>
      <w:r>
        <w:t xml:space="preserve"> </w:t>
      </w:r>
      <w:proofErr w:type="spellStart"/>
      <w:r>
        <w:t>се</w:t>
      </w:r>
      <w:proofErr w:type="spellEnd"/>
      <w:r>
        <w:t xml:space="preserve"> </w:t>
      </w:r>
      <w:proofErr w:type="spellStart"/>
      <w:r>
        <w:t>владеене</w:t>
      </w:r>
      <w:proofErr w:type="spellEnd"/>
      <w:r>
        <w:t xml:space="preserve"> </w:t>
      </w:r>
      <w:proofErr w:type="spellStart"/>
      <w:r>
        <w:t>на</w:t>
      </w:r>
      <w:proofErr w:type="spellEnd"/>
      <w:r>
        <w:t xml:space="preserve"> </w:t>
      </w:r>
      <w:proofErr w:type="spellStart"/>
      <w:r>
        <w:t>английски</w:t>
      </w:r>
      <w:proofErr w:type="spellEnd"/>
      <w:r>
        <w:t xml:space="preserve"> </w:t>
      </w:r>
      <w:proofErr w:type="spellStart"/>
      <w:r>
        <w:t>език</w:t>
      </w:r>
      <w:proofErr w:type="spellEnd"/>
      <w:r>
        <w:t xml:space="preserve"> – </w:t>
      </w:r>
      <w:proofErr w:type="spellStart"/>
      <w:r>
        <w:t>писмено</w:t>
      </w:r>
      <w:proofErr w:type="spellEnd"/>
      <w:r>
        <w:t xml:space="preserve"> и </w:t>
      </w:r>
      <w:proofErr w:type="spellStart"/>
      <w:r>
        <w:t>говоримо</w:t>
      </w:r>
      <w:proofErr w:type="spellEnd"/>
      <w:r>
        <w:t xml:space="preserve">. </w:t>
      </w:r>
      <w:proofErr w:type="spellStart"/>
      <w:r>
        <w:t>Кандидатът</w:t>
      </w:r>
      <w:proofErr w:type="spellEnd"/>
      <w:r>
        <w:t xml:space="preserve"> </w:t>
      </w:r>
      <w:proofErr w:type="spellStart"/>
      <w:r>
        <w:t>трябва</w:t>
      </w:r>
      <w:proofErr w:type="spellEnd"/>
      <w:r>
        <w:t xml:space="preserve"> </w:t>
      </w:r>
      <w:proofErr w:type="spellStart"/>
      <w:r>
        <w:t>да</w:t>
      </w:r>
      <w:proofErr w:type="spellEnd"/>
      <w:r>
        <w:t xml:space="preserve"> е </w:t>
      </w:r>
      <w:proofErr w:type="spellStart"/>
      <w:r>
        <w:t>отборен</w:t>
      </w:r>
      <w:proofErr w:type="spellEnd"/>
      <w:r>
        <w:t xml:space="preserve"> </w:t>
      </w:r>
      <w:proofErr w:type="spellStart"/>
      <w:r>
        <w:t>играч</w:t>
      </w:r>
      <w:proofErr w:type="spellEnd"/>
      <w:r>
        <w:t>.</w:t>
      </w:r>
    </w:p>
    <w:p w14:paraId="630F54B2" w14:textId="6510E012" w:rsidR="006931A1" w:rsidRDefault="006931A1" w:rsidP="009D6E4C">
      <w:pPr>
        <w:spacing w:before="120" w:after="120" w:line="276" w:lineRule="auto"/>
        <w:jc w:val="both"/>
        <w:rPr>
          <w:lang w:val="bg-BG"/>
        </w:rPr>
      </w:pPr>
      <w:proofErr w:type="spellStart"/>
      <w:r>
        <w:t>Стажът</w:t>
      </w:r>
      <w:proofErr w:type="spellEnd"/>
      <w:r>
        <w:t xml:space="preserve"> е с </w:t>
      </w:r>
      <w:proofErr w:type="spellStart"/>
      <w:r>
        <w:t>продължителност</w:t>
      </w:r>
      <w:proofErr w:type="spellEnd"/>
      <w:r>
        <w:t xml:space="preserve"> </w:t>
      </w:r>
      <w:proofErr w:type="spellStart"/>
      <w:r>
        <w:t>до</w:t>
      </w:r>
      <w:proofErr w:type="spellEnd"/>
      <w:r>
        <w:t xml:space="preserve"> 6 </w:t>
      </w:r>
      <w:proofErr w:type="spellStart"/>
      <w:r>
        <w:t>месеца</w:t>
      </w:r>
      <w:proofErr w:type="spellEnd"/>
      <w:r>
        <w:t xml:space="preserve">, с </w:t>
      </w:r>
      <w:proofErr w:type="spellStart"/>
      <w:r>
        <w:t>възможност</w:t>
      </w:r>
      <w:proofErr w:type="spellEnd"/>
      <w:r>
        <w:t xml:space="preserve"> </w:t>
      </w:r>
      <w:proofErr w:type="spellStart"/>
      <w:r>
        <w:t>за</w:t>
      </w:r>
      <w:proofErr w:type="spellEnd"/>
      <w:r>
        <w:t xml:space="preserve"> </w:t>
      </w:r>
      <w:proofErr w:type="spellStart"/>
      <w:r>
        <w:t>удължаване</w:t>
      </w:r>
      <w:proofErr w:type="spellEnd"/>
      <w:r>
        <w:t xml:space="preserve"> </w:t>
      </w:r>
      <w:proofErr w:type="spellStart"/>
      <w:r>
        <w:t>при</w:t>
      </w:r>
      <w:proofErr w:type="spellEnd"/>
      <w:r>
        <w:t xml:space="preserve"> </w:t>
      </w:r>
      <w:proofErr w:type="spellStart"/>
      <w:r>
        <w:t>успешно</w:t>
      </w:r>
      <w:proofErr w:type="spellEnd"/>
      <w:r>
        <w:t xml:space="preserve"> </w:t>
      </w:r>
      <w:proofErr w:type="spellStart"/>
      <w:r>
        <w:t>представяне</w:t>
      </w:r>
      <w:proofErr w:type="spellEnd"/>
      <w:r>
        <w:t xml:space="preserve">. </w:t>
      </w:r>
      <w:proofErr w:type="spellStart"/>
      <w:r>
        <w:t>Стажантът</w:t>
      </w:r>
      <w:proofErr w:type="spellEnd"/>
      <w:r>
        <w:t xml:space="preserve"> </w:t>
      </w:r>
      <w:proofErr w:type="spellStart"/>
      <w:r>
        <w:t>ще</w:t>
      </w:r>
      <w:proofErr w:type="spellEnd"/>
      <w:r>
        <w:t xml:space="preserve"> </w:t>
      </w:r>
      <w:proofErr w:type="spellStart"/>
      <w:r>
        <w:t>получава</w:t>
      </w:r>
      <w:proofErr w:type="spellEnd"/>
      <w:r>
        <w:t xml:space="preserve"> </w:t>
      </w:r>
      <w:proofErr w:type="spellStart"/>
      <w:r>
        <w:t>фиксирано</w:t>
      </w:r>
      <w:proofErr w:type="spellEnd"/>
      <w:r>
        <w:t xml:space="preserve"> </w:t>
      </w:r>
      <w:proofErr w:type="spellStart"/>
      <w:r>
        <w:t>месечно</w:t>
      </w:r>
      <w:proofErr w:type="spellEnd"/>
      <w:r>
        <w:t xml:space="preserve"> </w:t>
      </w:r>
      <w:proofErr w:type="spellStart"/>
      <w:r>
        <w:t>възнаграждение</w:t>
      </w:r>
      <w:proofErr w:type="spellEnd"/>
      <w:r>
        <w:t>.</w:t>
      </w:r>
      <w:r w:rsidR="009D6E4C">
        <w:rPr>
          <w:lang w:val="bg-BG"/>
        </w:rPr>
        <w:t xml:space="preserve"> </w:t>
      </w:r>
      <w:proofErr w:type="spellStart"/>
      <w:r>
        <w:t>Може</w:t>
      </w:r>
      <w:proofErr w:type="spellEnd"/>
      <w:r>
        <w:t xml:space="preserve"> </w:t>
      </w:r>
      <w:proofErr w:type="spellStart"/>
      <w:r>
        <w:t>да</w:t>
      </w:r>
      <w:proofErr w:type="spellEnd"/>
      <w:r>
        <w:t xml:space="preserve"> </w:t>
      </w:r>
      <w:proofErr w:type="spellStart"/>
      <w:r>
        <w:t>кандидатствате</w:t>
      </w:r>
      <w:proofErr w:type="spellEnd"/>
      <w:r>
        <w:t xml:space="preserve"> </w:t>
      </w:r>
      <w:proofErr w:type="spellStart"/>
      <w:r>
        <w:t>през</w:t>
      </w:r>
      <w:proofErr w:type="spellEnd"/>
      <w:r>
        <w:t xml:space="preserve"> </w:t>
      </w:r>
      <w:hyperlink r:id="rId23" w:history="1">
        <w:proofErr w:type="spellStart"/>
        <w:r w:rsidRPr="007027AE">
          <w:rPr>
            <w:rStyle w:val="Hyperlink"/>
          </w:rPr>
          <w:t>сайта</w:t>
        </w:r>
        <w:proofErr w:type="spellEnd"/>
        <w:r w:rsidRPr="007027AE">
          <w:rPr>
            <w:rStyle w:val="Hyperlink"/>
          </w:rPr>
          <w:t>.</w:t>
        </w:r>
      </w:hyperlink>
    </w:p>
    <w:p w14:paraId="64B5D72F" w14:textId="1D9BBAC5" w:rsidR="007027AE" w:rsidRDefault="007027AE" w:rsidP="00471ACE">
      <w:pPr>
        <w:spacing w:before="120" w:after="600" w:line="276" w:lineRule="auto"/>
        <w:jc w:val="both"/>
        <w:rPr>
          <w:b/>
          <w:lang w:val="bg-BG"/>
        </w:rPr>
      </w:pPr>
      <w:r>
        <w:rPr>
          <w:b/>
          <w:lang w:val="bg-BG"/>
        </w:rPr>
        <w:t>Краен срок: не е посочен</w:t>
      </w:r>
    </w:p>
    <w:p w14:paraId="1D9D23CF" w14:textId="53DD24AA" w:rsidR="006931A1" w:rsidRDefault="00F81A36" w:rsidP="00AD4389">
      <w:pPr>
        <w:pStyle w:val="Heading2"/>
        <w:ind w:left="426"/>
      </w:pPr>
      <w:bookmarkStart w:id="9" w:name="_Toc197365374"/>
      <w:r>
        <w:rPr>
          <w:lang w:val="bg-BG"/>
        </w:rPr>
        <w:t>Стаж в к</w:t>
      </w:r>
      <w:r w:rsidR="009651FD">
        <w:t>омпания Coca-Cola Hellenic</w:t>
      </w:r>
      <w:bookmarkEnd w:id="9"/>
      <w:r w:rsidR="009651FD">
        <w:t xml:space="preserve"> </w:t>
      </w:r>
    </w:p>
    <w:p w14:paraId="37C8EE6A" w14:textId="77777777" w:rsidR="00AD4389" w:rsidRDefault="00ED5BEF" w:rsidP="00AD4389">
      <w:pPr>
        <w:spacing w:before="120" w:after="120" w:line="276" w:lineRule="auto"/>
        <w:jc w:val="both"/>
      </w:pPr>
      <w:proofErr w:type="spellStart"/>
      <w:r>
        <w:t>Стажантската</w:t>
      </w:r>
      <w:proofErr w:type="spellEnd"/>
      <w:r>
        <w:t xml:space="preserve"> </w:t>
      </w:r>
      <w:proofErr w:type="spellStart"/>
      <w:r>
        <w:t>програма</w:t>
      </w:r>
      <w:proofErr w:type="spellEnd"/>
      <w:r>
        <w:t xml:space="preserve"> </w:t>
      </w:r>
      <w:proofErr w:type="spellStart"/>
      <w:r>
        <w:t>на</w:t>
      </w:r>
      <w:proofErr w:type="spellEnd"/>
      <w:r>
        <w:t xml:space="preserve"> Coca-Cola Hellenic е </w:t>
      </w:r>
      <w:proofErr w:type="spellStart"/>
      <w:r>
        <w:t>насочена</w:t>
      </w:r>
      <w:proofErr w:type="spellEnd"/>
      <w:r>
        <w:t xml:space="preserve"> </w:t>
      </w:r>
      <w:proofErr w:type="spellStart"/>
      <w:r>
        <w:t>към</w:t>
      </w:r>
      <w:proofErr w:type="spellEnd"/>
      <w:r>
        <w:t xml:space="preserve"> </w:t>
      </w:r>
      <w:proofErr w:type="spellStart"/>
      <w:r>
        <w:t>амбициозни</w:t>
      </w:r>
      <w:proofErr w:type="spellEnd"/>
      <w:r>
        <w:t xml:space="preserve"> </w:t>
      </w:r>
      <w:proofErr w:type="spellStart"/>
      <w:r>
        <w:t>млади</w:t>
      </w:r>
      <w:proofErr w:type="spellEnd"/>
      <w:r>
        <w:t xml:space="preserve"> </w:t>
      </w:r>
      <w:proofErr w:type="spellStart"/>
      <w:r>
        <w:t>хора</w:t>
      </w:r>
      <w:proofErr w:type="spellEnd"/>
      <w:r>
        <w:t xml:space="preserve"> в </w:t>
      </w:r>
      <w:proofErr w:type="spellStart"/>
      <w:r>
        <w:t>началото</w:t>
      </w:r>
      <w:proofErr w:type="spellEnd"/>
      <w:r>
        <w:t xml:space="preserve"> </w:t>
      </w:r>
      <w:proofErr w:type="spellStart"/>
      <w:r>
        <w:t>на</w:t>
      </w:r>
      <w:proofErr w:type="spellEnd"/>
      <w:r>
        <w:t xml:space="preserve"> </w:t>
      </w:r>
      <w:proofErr w:type="spellStart"/>
      <w:r>
        <w:t>своята</w:t>
      </w:r>
      <w:proofErr w:type="spellEnd"/>
      <w:r>
        <w:t xml:space="preserve"> </w:t>
      </w:r>
      <w:proofErr w:type="spellStart"/>
      <w:r>
        <w:t>кариерна</w:t>
      </w:r>
      <w:proofErr w:type="spellEnd"/>
      <w:r>
        <w:t xml:space="preserve"> </w:t>
      </w:r>
      <w:proofErr w:type="spellStart"/>
      <w:r>
        <w:t>реализация</w:t>
      </w:r>
      <w:proofErr w:type="spellEnd"/>
      <w:r>
        <w:t xml:space="preserve">. </w:t>
      </w:r>
      <w:proofErr w:type="spellStart"/>
      <w:r>
        <w:t>Програмата</w:t>
      </w:r>
      <w:proofErr w:type="spellEnd"/>
      <w:r>
        <w:t xml:space="preserve"> </w:t>
      </w:r>
      <w:proofErr w:type="spellStart"/>
      <w:r>
        <w:t>предлага</w:t>
      </w:r>
      <w:proofErr w:type="spellEnd"/>
      <w:r>
        <w:t xml:space="preserve"> </w:t>
      </w:r>
      <w:r w:rsidR="00AD4389">
        <w:rPr>
          <w:lang w:val="bg-BG"/>
        </w:rPr>
        <w:t xml:space="preserve">придобиване на </w:t>
      </w:r>
      <w:proofErr w:type="spellStart"/>
      <w:r>
        <w:t>практически</w:t>
      </w:r>
      <w:proofErr w:type="spellEnd"/>
      <w:r>
        <w:t xml:space="preserve"> </w:t>
      </w:r>
      <w:proofErr w:type="spellStart"/>
      <w:r>
        <w:t>опит</w:t>
      </w:r>
      <w:proofErr w:type="spellEnd"/>
      <w:r>
        <w:t xml:space="preserve"> в </w:t>
      </w:r>
      <w:proofErr w:type="spellStart"/>
      <w:r>
        <w:t>бизнес</w:t>
      </w:r>
      <w:proofErr w:type="spellEnd"/>
      <w:r>
        <w:t xml:space="preserve"> </w:t>
      </w:r>
      <w:proofErr w:type="spellStart"/>
      <w:r>
        <w:t>среда</w:t>
      </w:r>
      <w:proofErr w:type="spellEnd"/>
      <w:r>
        <w:t xml:space="preserve">, </w:t>
      </w:r>
      <w:r w:rsidR="00AD4389">
        <w:rPr>
          <w:lang w:val="bg-BG"/>
        </w:rPr>
        <w:t>с помощта на</w:t>
      </w:r>
      <w:r>
        <w:t xml:space="preserve"> </w:t>
      </w:r>
      <w:proofErr w:type="spellStart"/>
      <w:r>
        <w:t>ментор</w:t>
      </w:r>
      <w:proofErr w:type="spellEnd"/>
      <w:r>
        <w:t xml:space="preserve">, </w:t>
      </w:r>
      <w:proofErr w:type="spellStart"/>
      <w:r>
        <w:t>който</w:t>
      </w:r>
      <w:proofErr w:type="spellEnd"/>
      <w:r>
        <w:t xml:space="preserve"> </w:t>
      </w:r>
      <w:proofErr w:type="spellStart"/>
      <w:r>
        <w:t>насочва</w:t>
      </w:r>
      <w:proofErr w:type="spellEnd"/>
      <w:r>
        <w:t xml:space="preserve"> и </w:t>
      </w:r>
      <w:proofErr w:type="spellStart"/>
      <w:r>
        <w:t>подкрепя</w:t>
      </w:r>
      <w:proofErr w:type="spellEnd"/>
      <w:r>
        <w:t xml:space="preserve"> </w:t>
      </w:r>
      <w:proofErr w:type="spellStart"/>
      <w:r>
        <w:t>професионалното</w:t>
      </w:r>
      <w:proofErr w:type="spellEnd"/>
      <w:r>
        <w:t xml:space="preserve"> </w:t>
      </w:r>
      <w:proofErr w:type="spellStart"/>
      <w:r>
        <w:t>развитие</w:t>
      </w:r>
      <w:proofErr w:type="spellEnd"/>
      <w:r>
        <w:t xml:space="preserve"> </w:t>
      </w:r>
      <w:proofErr w:type="spellStart"/>
      <w:r>
        <w:t>на</w:t>
      </w:r>
      <w:proofErr w:type="spellEnd"/>
      <w:r>
        <w:t xml:space="preserve"> </w:t>
      </w:r>
      <w:proofErr w:type="spellStart"/>
      <w:r>
        <w:t>стажанта</w:t>
      </w:r>
      <w:proofErr w:type="spellEnd"/>
      <w:r>
        <w:t xml:space="preserve">. В </w:t>
      </w:r>
      <w:proofErr w:type="spellStart"/>
      <w:r>
        <w:t>продължение</w:t>
      </w:r>
      <w:proofErr w:type="spellEnd"/>
      <w:r>
        <w:t xml:space="preserve"> </w:t>
      </w:r>
      <w:proofErr w:type="spellStart"/>
      <w:r>
        <w:t>на</w:t>
      </w:r>
      <w:proofErr w:type="spellEnd"/>
      <w:r>
        <w:t xml:space="preserve"> </w:t>
      </w:r>
      <w:proofErr w:type="spellStart"/>
      <w:r>
        <w:t>три</w:t>
      </w:r>
      <w:proofErr w:type="spellEnd"/>
      <w:r>
        <w:t xml:space="preserve"> </w:t>
      </w:r>
      <w:proofErr w:type="spellStart"/>
      <w:r>
        <w:t>месеца</w:t>
      </w:r>
      <w:proofErr w:type="spellEnd"/>
      <w:r>
        <w:t xml:space="preserve"> (</w:t>
      </w:r>
      <w:proofErr w:type="spellStart"/>
      <w:r>
        <w:t>от</w:t>
      </w:r>
      <w:proofErr w:type="spellEnd"/>
      <w:r>
        <w:t xml:space="preserve"> </w:t>
      </w:r>
      <w:proofErr w:type="spellStart"/>
      <w:r>
        <w:t>юни</w:t>
      </w:r>
      <w:proofErr w:type="spellEnd"/>
      <w:r>
        <w:t xml:space="preserve">), </w:t>
      </w:r>
      <w:proofErr w:type="spellStart"/>
      <w:r>
        <w:t>участниците</w:t>
      </w:r>
      <w:proofErr w:type="spellEnd"/>
      <w:r>
        <w:t xml:space="preserve"> </w:t>
      </w:r>
      <w:proofErr w:type="spellStart"/>
      <w:r>
        <w:t>ще</w:t>
      </w:r>
      <w:proofErr w:type="spellEnd"/>
      <w:r>
        <w:t xml:space="preserve"> </w:t>
      </w:r>
      <w:proofErr w:type="spellStart"/>
      <w:r>
        <w:t>се</w:t>
      </w:r>
      <w:proofErr w:type="spellEnd"/>
      <w:r>
        <w:t xml:space="preserve"> </w:t>
      </w:r>
      <w:proofErr w:type="spellStart"/>
      <w:r>
        <w:t>запознаят</w:t>
      </w:r>
      <w:proofErr w:type="spellEnd"/>
      <w:r>
        <w:t xml:space="preserve"> с </w:t>
      </w:r>
      <w:proofErr w:type="spellStart"/>
      <w:r>
        <w:t>процесите</w:t>
      </w:r>
      <w:proofErr w:type="spellEnd"/>
      <w:r>
        <w:t xml:space="preserve"> по </w:t>
      </w:r>
      <w:proofErr w:type="spellStart"/>
      <w:r>
        <w:t>снабдяване</w:t>
      </w:r>
      <w:proofErr w:type="spellEnd"/>
      <w:r>
        <w:t xml:space="preserve">, </w:t>
      </w:r>
      <w:proofErr w:type="spellStart"/>
      <w:r>
        <w:t>вътрешни</w:t>
      </w:r>
      <w:proofErr w:type="spellEnd"/>
      <w:r>
        <w:t xml:space="preserve"> </w:t>
      </w:r>
      <w:proofErr w:type="spellStart"/>
      <w:r>
        <w:t>оптимизации</w:t>
      </w:r>
      <w:proofErr w:type="spellEnd"/>
      <w:r>
        <w:t xml:space="preserve">, </w:t>
      </w:r>
      <w:proofErr w:type="spellStart"/>
      <w:r>
        <w:t>корпоративни</w:t>
      </w:r>
      <w:proofErr w:type="spellEnd"/>
      <w:r>
        <w:t xml:space="preserve"> </w:t>
      </w:r>
      <w:proofErr w:type="spellStart"/>
      <w:r>
        <w:t>проекти</w:t>
      </w:r>
      <w:proofErr w:type="spellEnd"/>
      <w:r>
        <w:t xml:space="preserve">, </w:t>
      </w:r>
      <w:proofErr w:type="spellStart"/>
      <w:r>
        <w:t>търгове</w:t>
      </w:r>
      <w:proofErr w:type="spellEnd"/>
      <w:r>
        <w:t xml:space="preserve">, </w:t>
      </w:r>
      <w:proofErr w:type="spellStart"/>
      <w:r>
        <w:t>преговори</w:t>
      </w:r>
      <w:proofErr w:type="spellEnd"/>
      <w:r>
        <w:t xml:space="preserve"> и </w:t>
      </w:r>
      <w:proofErr w:type="spellStart"/>
      <w:r>
        <w:t>междуфункционално</w:t>
      </w:r>
      <w:proofErr w:type="spellEnd"/>
      <w:r>
        <w:t xml:space="preserve"> </w:t>
      </w:r>
      <w:proofErr w:type="spellStart"/>
      <w:r>
        <w:t>сътрудничество</w:t>
      </w:r>
      <w:proofErr w:type="spellEnd"/>
      <w:r>
        <w:t xml:space="preserve">. </w:t>
      </w:r>
      <w:proofErr w:type="spellStart"/>
      <w:r>
        <w:t>Те</w:t>
      </w:r>
      <w:proofErr w:type="spellEnd"/>
      <w:r>
        <w:t xml:space="preserve"> </w:t>
      </w:r>
      <w:proofErr w:type="spellStart"/>
      <w:r>
        <w:t>ще</w:t>
      </w:r>
      <w:proofErr w:type="spellEnd"/>
      <w:r>
        <w:t xml:space="preserve"> </w:t>
      </w:r>
      <w:proofErr w:type="spellStart"/>
      <w:r>
        <w:t>придобият</w:t>
      </w:r>
      <w:proofErr w:type="spellEnd"/>
      <w:r>
        <w:t xml:space="preserve"> </w:t>
      </w:r>
      <w:proofErr w:type="spellStart"/>
      <w:r>
        <w:t>опит</w:t>
      </w:r>
      <w:proofErr w:type="spellEnd"/>
      <w:r>
        <w:t xml:space="preserve"> в </w:t>
      </w:r>
      <w:proofErr w:type="spellStart"/>
      <w:r>
        <w:t>работата</w:t>
      </w:r>
      <w:proofErr w:type="spellEnd"/>
      <w:r>
        <w:t xml:space="preserve"> </w:t>
      </w:r>
      <w:proofErr w:type="spellStart"/>
      <w:r>
        <w:t>със</w:t>
      </w:r>
      <w:proofErr w:type="spellEnd"/>
      <w:r>
        <w:t xml:space="preserve"> </w:t>
      </w:r>
      <w:proofErr w:type="spellStart"/>
      <w:r>
        <w:t>системи</w:t>
      </w:r>
      <w:proofErr w:type="spellEnd"/>
      <w:r>
        <w:t xml:space="preserve"> и </w:t>
      </w:r>
      <w:proofErr w:type="spellStart"/>
      <w:r>
        <w:t>ще</w:t>
      </w:r>
      <w:proofErr w:type="spellEnd"/>
      <w:r>
        <w:t xml:space="preserve"> </w:t>
      </w:r>
      <w:proofErr w:type="spellStart"/>
      <w:r>
        <w:t>научат</w:t>
      </w:r>
      <w:proofErr w:type="spellEnd"/>
      <w:r>
        <w:t xml:space="preserve"> </w:t>
      </w:r>
      <w:proofErr w:type="spellStart"/>
      <w:r>
        <w:t>защо</w:t>
      </w:r>
      <w:proofErr w:type="spellEnd"/>
      <w:r>
        <w:t xml:space="preserve"> </w:t>
      </w:r>
      <w:proofErr w:type="spellStart"/>
      <w:r>
        <w:t>комуникацията</w:t>
      </w:r>
      <w:proofErr w:type="spellEnd"/>
      <w:r>
        <w:t xml:space="preserve"> е </w:t>
      </w:r>
      <w:proofErr w:type="spellStart"/>
      <w:r>
        <w:t>ключова</w:t>
      </w:r>
      <w:proofErr w:type="spellEnd"/>
      <w:r>
        <w:t xml:space="preserve"> в </w:t>
      </w:r>
      <w:proofErr w:type="spellStart"/>
      <w:r>
        <w:t>корпоративна</w:t>
      </w:r>
      <w:proofErr w:type="spellEnd"/>
      <w:r>
        <w:t xml:space="preserve"> </w:t>
      </w:r>
      <w:proofErr w:type="spellStart"/>
      <w:r>
        <w:t>среда</w:t>
      </w:r>
      <w:proofErr w:type="spellEnd"/>
      <w:r>
        <w:t>.</w:t>
      </w:r>
    </w:p>
    <w:p w14:paraId="6A77A675" w14:textId="77777777" w:rsidR="00AD4389" w:rsidRDefault="00ED5BEF" w:rsidP="00AD4389">
      <w:pPr>
        <w:spacing w:before="120" w:after="120" w:line="276" w:lineRule="auto"/>
        <w:jc w:val="both"/>
      </w:pPr>
      <w:proofErr w:type="spellStart"/>
      <w:r>
        <w:t>Кандидатите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са</w:t>
      </w:r>
      <w:proofErr w:type="spellEnd"/>
      <w:r>
        <w:t xml:space="preserve"> </w:t>
      </w:r>
      <w:proofErr w:type="spellStart"/>
      <w:r>
        <w:t>завършили</w:t>
      </w:r>
      <w:proofErr w:type="spellEnd"/>
      <w:r>
        <w:t xml:space="preserve"> </w:t>
      </w:r>
      <w:proofErr w:type="spellStart"/>
      <w:r>
        <w:t>поне</w:t>
      </w:r>
      <w:proofErr w:type="spellEnd"/>
      <w:r>
        <w:t xml:space="preserve"> </w:t>
      </w:r>
      <w:proofErr w:type="spellStart"/>
      <w:r>
        <w:t>трети</w:t>
      </w:r>
      <w:proofErr w:type="spellEnd"/>
      <w:r>
        <w:t xml:space="preserve"> </w:t>
      </w:r>
      <w:proofErr w:type="spellStart"/>
      <w:r>
        <w:t>курс</w:t>
      </w:r>
      <w:proofErr w:type="spellEnd"/>
      <w:r>
        <w:t xml:space="preserve"> </w:t>
      </w:r>
      <w:proofErr w:type="spellStart"/>
      <w:r>
        <w:t>във</w:t>
      </w:r>
      <w:proofErr w:type="spellEnd"/>
      <w:r>
        <w:t xml:space="preserve"> </w:t>
      </w:r>
      <w:proofErr w:type="spellStart"/>
      <w:r>
        <w:t>висше</w:t>
      </w:r>
      <w:proofErr w:type="spellEnd"/>
      <w:r>
        <w:t xml:space="preserve"> </w:t>
      </w:r>
      <w:proofErr w:type="spellStart"/>
      <w:r>
        <w:t>учебно</w:t>
      </w:r>
      <w:proofErr w:type="spellEnd"/>
      <w:r>
        <w:t xml:space="preserve"> </w:t>
      </w:r>
      <w:proofErr w:type="spellStart"/>
      <w:r>
        <w:t>заведение</w:t>
      </w:r>
      <w:proofErr w:type="spellEnd"/>
      <w:r>
        <w:t xml:space="preserve"> (</w:t>
      </w:r>
      <w:proofErr w:type="spellStart"/>
      <w:r>
        <w:t>икономическа</w:t>
      </w:r>
      <w:proofErr w:type="spellEnd"/>
      <w:r>
        <w:t xml:space="preserve"> </w:t>
      </w:r>
      <w:proofErr w:type="spellStart"/>
      <w:r>
        <w:t>или</w:t>
      </w:r>
      <w:proofErr w:type="spellEnd"/>
      <w:r>
        <w:t xml:space="preserve"> </w:t>
      </w:r>
      <w:proofErr w:type="spellStart"/>
      <w:r>
        <w:t>друга</w:t>
      </w:r>
      <w:proofErr w:type="spellEnd"/>
      <w:r>
        <w:t xml:space="preserve"> </w:t>
      </w:r>
      <w:r w:rsidR="00AD4389">
        <w:rPr>
          <w:lang w:val="bg-BG"/>
        </w:rPr>
        <w:t>подходяща спец</w:t>
      </w:r>
      <w:proofErr w:type="spellStart"/>
      <w:r>
        <w:t>иалност</w:t>
      </w:r>
      <w:proofErr w:type="spellEnd"/>
      <w:r>
        <w:t xml:space="preserve"> е </w:t>
      </w:r>
      <w:proofErr w:type="spellStart"/>
      <w:r>
        <w:t>предимство</w:t>
      </w:r>
      <w:proofErr w:type="spellEnd"/>
      <w:r>
        <w:t xml:space="preserve">), </w:t>
      </w:r>
      <w:proofErr w:type="spellStart"/>
      <w:r>
        <w:t>да</w:t>
      </w:r>
      <w:proofErr w:type="spellEnd"/>
      <w:r>
        <w:t xml:space="preserve"> </w:t>
      </w:r>
      <w:proofErr w:type="spellStart"/>
      <w:r>
        <w:t>владеят</w:t>
      </w:r>
      <w:proofErr w:type="spellEnd"/>
      <w:r>
        <w:t xml:space="preserve"> </w:t>
      </w:r>
      <w:proofErr w:type="spellStart"/>
      <w:r>
        <w:t>английски</w:t>
      </w:r>
      <w:proofErr w:type="spellEnd"/>
      <w:r>
        <w:t xml:space="preserve"> </w:t>
      </w:r>
      <w:proofErr w:type="spellStart"/>
      <w:r>
        <w:t>език</w:t>
      </w:r>
      <w:proofErr w:type="spellEnd"/>
      <w:r>
        <w:t xml:space="preserve"> </w:t>
      </w:r>
      <w:proofErr w:type="spellStart"/>
      <w:r>
        <w:t>на</w:t>
      </w:r>
      <w:proofErr w:type="spellEnd"/>
      <w:r>
        <w:t xml:space="preserve"> </w:t>
      </w:r>
      <w:proofErr w:type="spellStart"/>
      <w:r>
        <w:t>добро</w:t>
      </w:r>
      <w:proofErr w:type="spellEnd"/>
      <w:r>
        <w:t xml:space="preserve"> </w:t>
      </w:r>
      <w:proofErr w:type="spellStart"/>
      <w:r>
        <w:t>работно</w:t>
      </w:r>
      <w:proofErr w:type="spellEnd"/>
      <w:r>
        <w:t xml:space="preserve"> </w:t>
      </w:r>
      <w:proofErr w:type="spellStart"/>
      <w:r>
        <w:t>ниво</w:t>
      </w:r>
      <w:proofErr w:type="spellEnd"/>
      <w:r>
        <w:t xml:space="preserve">, </w:t>
      </w:r>
      <w:proofErr w:type="spellStart"/>
      <w:r>
        <w:t>да</w:t>
      </w:r>
      <w:proofErr w:type="spellEnd"/>
      <w:r>
        <w:t xml:space="preserve"> </w:t>
      </w:r>
      <w:proofErr w:type="spellStart"/>
      <w:r>
        <w:t>имат</w:t>
      </w:r>
      <w:proofErr w:type="spellEnd"/>
      <w:r>
        <w:t xml:space="preserve"> </w:t>
      </w:r>
      <w:proofErr w:type="spellStart"/>
      <w:r>
        <w:t>умения</w:t>
      </w:r>
      <w:proofErr w:type="spellEnd"/>
      <w:r>
        <w:t xml:space="preserve"> </w:t>
      </w:r>
      <w:proofErr w:type="spellStart"/>
      <w:r>
        <w:t>за</w:t>
      </w:r>
      <w:proofErr w:type="spellEnd"/>
      <w:r>
        <w:t xml:space="preserve"> </w:t>
      </w:r>
      <w:proofErr w:type="spellStart"/>
      <w:r>
        <w:t>анализ</w:t>
      </w:r>
      <w:proofErr w:type="spellEnd"/>
      <w:r>
        <w:t xml:space="preserve">, </w:t>
      </w:r>
      <w:proofErr w:type="spellStart"/>
      <w:r>
        <w:t>обобщение</w:t>
      </w:r>
      <w:proofErr w:type="spellEnd"/>
      <w:r>
        <w:t xml:space="preserve"> и </w:t>
      </w:r>
      <w:proofErr w:type="spellStart"/>
      <w:r>
        <w:t>визуализация</w:t>
      </w:r>
      <w:proofErr w:type="spellEnd"/>
      <w:r>
        <w:t xml:space="preserve"> </w:t>
      </w:r>
      <w:proofErr w:type="spellStart"/>
      <w:r>
        <w:t>на</w:t>
      </w:r>
      <w:proofErr w:type="spellEnd"/>
      <w:r>
        <w:t xml:space="preserve"> </w:t>
      </w:r>
      <w:proofErr w:type="spellStart"/>
      <w:r>
        <w:t>данни</w:t>
      </w:r>
      <w:proofErr w:type="spellEnd"/>
      <w:r w:rsidRPr="00ED5BEF">
        <w:t xml:space="preserve"> </w:t>
      </w:r>
      <w:proofErr w:type="spellStart"/>
      <w:r>
        <w:t>чрез</w:t>
      </w:r>
      <w:proofErr w:type="spellEnd"/>
      <w:r>
        <w:t xml:space="preserve"> </w:t>
      </w:r>
      <w:proofErr w:type="spellStart"/>
      <w:r>
        <w:t>графики</w:t>
      </w:r>
      <w:proofErr w:type="spellEnd"/>
      <w:r>
        <w:t xml:space="preserve"> и </w:t>
      </w:r>
      <w:proofErr w:type="spellStart"/>
      <w:r>
        <w:t>презентации</w:t>
      </w:r>
      <w:proofErr w:type="spellEnd"/>
      <w:r>
        <w:t xml:space="preserve">. </w:t>
      </w:r>
      <w:proofErr w:type="spellStart"/>
      <w:r>
        <w:t>Очаква</w:t>
      </w:r>
      <w:proofErr w:type="spellEnd"/>
      <w:r>
        <w:t xml:space="preserve"> </w:t>
      </w:r>
      <w:proofErr w:type="spellStart"/>
      <w:r>
        <w:t>се</w:t>
      </w:r>
      <w:proofErr w:type="spellEnd"/>
      <w:r>
        <w:t xml:space="preserve"> </w:t>
      </w:r>
      <w:proofErr w:type="spellStart"/>
      <w:r>
        <w:t>да</w:t>
      </w:r>
      <w:proofErr w:type="spellEnd"/>
      <w:r>
        <w:t xml:space="preserve"> </w:t>
      </w:r>
      <w:proofErr w:type="spellStart"/>
      <w:r>
        <w:t>работят</w:t>
      </w:r>
      <w:proofErr w:type="spellEnd"/>
      <w:r>
        <w:t xml:space="preserve"> с MS Office (Word, Excel, PowerPoint, Outlook) и </w:t>
      </w:r>
      <w:proofErr w:type="spellStart"/>
      <w:r>
        <w:t>да</w:t>
      </w:r>
      <w:proofErr w:type="spellEnd"/>
      <w:r>
        <w:t xml:space="preserve"> </w:t>
      </w:r>
      <w:proofErr w:type="spellStart"/>
      <w:r>
        <w:t>бъдат</w:t>
      </w:r>
      <w:proofErr w:type="spellEnd"/>
      <w:r>
        <w:t xml:space="preserve"> </w:t>
      </w:r>
      <w:proofErr w:type="spellStart"/>
      <w:r>
        <w:t>мотивирани</w:t>
      </w:r>
      <w:proofErr w:type="spellEnd"/>
      <w:r>
        <w:t xml:space="preserve"> </w:t>
      </w:r>
      <w:proofErr w:type="spellStart"/>
      <w:r>
        <w:t>да</w:t>
      </w:r>
      <w:proofErr w:type="spellEnd"/>
      <w:r>
        <w:t xml:space="preserve"> </w:t>
      </w:r>
      <w:proofErr w:type="spellStart"/>
      <w:r>
        <w:t>развиват</w:t>
      </w:r>
      <w:proofErr w:type="spellEnd"/>
      <w:r>
        <w:t xml:space="preserve"> </w:t>
      </w:r>
      <w:proofErr w:type="spellStart"/>
      <w:r>
        <w:t>своите</w:t>
      </w:r>
      <w:proofErr w:type="spellEnd"/>
      <w:r>
        <w:t xml:space="preserve"> </w:t>
      </w:r>
      <w:proofErr w:type="spellStart"/>
      <w:r>
        <w:t>дигитални</w:t>
      </w:r>
      <w:proofErr w:type="spellEnd"/>
      <w:r>
        <w:t xml:space="preserve"> </w:t>
      </w:r>
      <w:proofErr w:type="spellStart"/>
      <w:r>
        <w:t>умения</w:t>
      </w:r>
      <w:proofErr w:type="spellEnd"/>
      <w:r>
        <w:t>.</w:t>
      </w:r>
    </w:p>
    <w:p w14:paraId="2566691F" w14:textId="6C191770" w:rsidR="00ED5BEF" w:rsidRDefault="00ED5BEF" w:rsidP="00AD4389">
      <w:pPr>
        <w:spacing w:before="120" w:after="120" w:line="276" w:lineRule="auto"/>
        <w:jc w:val="both"/>
      </w:pPr>
      <w:proofErr w:type="spellStart"/>
      <w:r>
        <w:t>Програмата</w:t>
      </w:r>
      <w:proofErr w:type="spellEnd"/>
      <w:r>
        <w:t xml:space="preserve"> е </w:t>
      </w:r>
      <w:proofErr w:type="spellStart"/>
      <w:r>
        <w:t>платена</w:t>
      </w:r>
      <w:proofErr w:type="spellEnd"/>
      <w:r>
        <w:t xml:space="preserve">, с </w:t>
      </w:r>
      <w:proofErr w:type="spellStart"/>
      <w:r>
        <w:t>фиксирано</w:t>
      </w:r>
      <w:proofErr w:type="spellEnd"/>
      <w:r>
        <w:t xml:space="preserve"> </w:t>
      </w:r>
      <w:proofErr w:type="spellStart"/>
      <w:r>
        <w:t>месечно</w:t>
      </w:r>
      <w:proofErr w:type="spellEnd"/>
      <w:r>
        <w:t xml:space="preserve"> </w:t>
      </w:r>
      <w:proofErr w:type="spellStart"/>
      <w:r>
        <w:t>възнаграждение</w:t>
      </w:r>
      <w:proofErr w:type="spellEnd"/>
      <w:r>
        <w:t xml:space="preserve"> и </w:t>
      </w:r>
      <w:proofErr w:type="spellStart"/>
      <w:r>
        <w:t>продължава</w:t>
      </w:r>
      <w:proofErr w:type="spellEnd"/>
      <w:r>
        <w:t xml:space="preserve"> </w:t>
      </w:r>
      <w:proofErr w:type="spellStart"/>
      <w:r>
        <w:t>три</w:t>
      </w:r>
      <w:proofErr w:type="spellEnd"/>
      <w:r>
        <w:t xml:space="preserve"> </w:t>
      </w:r>
      <w:proofErr w:type="spellStart"/>
      <w:r>
        <w:t>месеца</w:t>
      </w:r>
      <w:proofErr w:type="spellEnd"/>
      <w:r>
        <w:t xml:space="preserve"> (</w:t>
      </w:r>
      <w:proofErr w:type="spellStart"/>
      <w:r>
        <w:t>от</w:t>
      </w:r>
      <w:proofErr w:type="spellEnd"/>
      <w:r>
        <w:t xml:space="preserve"> </w:t>
      </w:r>
      <w:proofErr w:type="spellStart"/>
      <w:r>
        <w:t>юни</w:t>
      </w:r>
      <w:proofErr w:type="spellEnd"/>
      <w:r>
        <w:t xml:space="preserve">). </w:t>
      </w:r>
      <w:proofErr w:type="spellStart"/>
      <w:r>
        <w:t>Включва</w:t>
      </w:r>
      <w:proofErr w:type="spellEnd"/>
      <w:r>
        <w:t xml:space="preserve"> </w:t>
      </w:r>
      <w:proofErr w:type="spellStart"/>
      <w:r>
        <w:t>ясно</w:t>
      </w:r>
      <w:proofErr w:type="spellEnd"/>
      <w:r>
        <w:t xml:space="preserve"> </w:t>
      </w:r>
      <w:proofErr w:type="spellStart"/>
      <w:r>
        <w:t>структурирана</w:t>
      </w:r>
      <w:proofErr w:type="spellEnd"/>
      <w:r>
        <w:t xml:space="preserve"> </w:t>
      </w:r>
      <w:proofErr w:type="spellStart"/>
      <w:r>
        <w:t>програма</w:t>
      </w:r>
      <w:proofErr w:type="spellEnd"/>
      <w:r>
        <w:t xml:space="preserve"> и </w:t>
      </w:r>
      <w:proofErr w:type="spellStart"/>
      <w:r>
        <w:t>целенасочено</w:t>
      </w:r>
      <w:proofErr w:type="spellEnd"/>
      <w:r>
        <w:t xml:space="preserve"> </w:t>
      </w:r>
      <w:proofErr w:type="spellStart"/>
      <w:r>
        <w:t>обучение</w:t>
      </w:r>
      <w:proofErr w:type="spellEnd"/>
      <w:r>
        <w:t xml:space="preserve">, </w:t>
      </w:r>
      <w:proofErr w:type="spellStart"/>
      <w:r>
        <w:t>менторска</w:t>
      </w:r>
      <w:proofErr w:type="spellEnd"/>
      <w:r>
        <w:t xml:space="preserve"> </w:t>
      </w:r>
      <w:proofErr w:type="spellStart"/>
      <w:r>
        <w:t>подкрепа</w:t>
      </w:r>
      <w:proofErr w:type="spellEnd"/>
      <w:r>
        <w:t xml:space="preserve">, </w:t>
      </w:r>
      <w:proofErr w:type="spellStart"/>
      <w:r>
        <w:t>редовна</w:t>
      </w:r>
      <w:proofErr w:type="spellEnd"/>
      <w:r>
        <w:t xml:space="preserve"> </w:t>
      </w:r>
      <w:proofErr w:type="spellStart"/>
      <w:r>
        <w:t>обратна</w:t>
      </w:r>
      <w:proofErr w:type="spellEnd"/>
      <w:r>
        <w:t xml:space="preserve"> </w:t>
      </w:r>
      <w:proofErr w:type="spellStart"/>
      <w:r>
        <w:t>връзка</w:t>
      </w:r>
      <w:proofErr w:type="spellEnd"/>
      <w:r>
        <w:t xml:space="preserve"> и </w:t>
      </w:r>
      <w:proofErr w:type="spellStart"/>
      <w:r>
        <w:t>оценка</w:t>
      </w:r>
      <w:proofErr w:type="spellEnd"/>
      <w:r>
        <w:t xml:space="preserve"> </w:t>
      </w:r>
      <w:proofErr w:type="spellStart"/>
      <w:r>
        <w:t>на</w:t>
      </w:r>
      <w:proofErr w:type="spellEnd"/>
      <w:r>
        <w:t xml:space="preserve"> </w:t>
      </w:r>
      <w:proofErr w:type="spellStart"/>
      <w:r>
        <w:t>представянето</w:t>
      </w:r>
      <w:proofErr w:type="spellEnd"/>
      <w:r>
        <w:t xml:space="preserve">, </w:t>
      </w:r>
      <w:proofErr w:type="spellStart"/>
      <w:r>
        <w:t>както</w:t>
      </w:r>
      <w:proofErr w:type="spellEnd"/>
      <w:r>
        <w:t xml:space="preserve"> и </w:t>
      </w:r>
      <w:proofErr w:type="spellStart"/>
      <w:r>
        <w:t>препоръки</w:t>
      </w:r>
      <w:proofErr w:type="spellEnd"/>
      <w:r>
        <w:t xml:space="preserve"> </w:t>
      </w:r>
      <w:proofErr w:type="spellStart"/>
      <w:r>
        <w:t>за</w:t>
      </w:r>
      <w:proofErr w:type="spellEnd"/>
      <w:r>
        <w:t xml:space="preserve"> </w:t>
      </w:r>
      <w:proofErr w:type="spellStart"/>
      <w:r>
        <w:t>бъдещо</w:t>
      </w:r>
      <w:proofErr w:type="spellEnd"/>
      <w:r>
        <w:t xml:space="preserve"> </w:t>
      </w:r>
      <w:proofErr w:type="spellStart"/>
      <w:r>
        <w:t>професионално</w:t>
      </w:r>
      <w:proofErr w:type="spellEnd"/>
      <w:r>
        <w:t xml:space="preserve"> </w:t>
      </w:r>
      <w:proofErr w:type="spellStart"/>
      <w:r>
        <w:t>развитие</w:t>
      </w:r>
      <w:proofErr w:type="spellEnd"/>
      <w:r>
        <w:t xml:space="preserve">. </w:t>
      </w:r>
      <w:proofErr w:type="spellStart"/>
      <w:r>
        <w:t>Кандидатствайте</w:t>
      </w:r>
      <w:proofErr w:type="spellEnd"/>
      <w:r>
        <w:t xml:space="preserve"> </w:t>
      </w:r>
      <w:proofErr w:type="spellStart"/>
      <w:r>
        <w:t>през</w:t>
      </w:r>
      <w:proofErr w:type="spellEnd"/>
      <w:r>
        <w:t xml:space="preserve"> </w:t>
      </w:r>
      <w:hyperlink r:id="rId24" w:history="1">
        <w:proofErr w:type="spellStart"/>
        <w:r w:rsidRPr="00ED5BEF">
          <w:rPr>
            <w:rStyle w:val="Hyperlink"/>
          </w:rPr>
          <w:t>линка</w:t>
        </w:r>
        <w:proofErr w:type="spellEnd"/>
        <w:r w:rsidRPr="00ED5BEF">
          <w:rPr>
            <w:rStyle w:val="Hyperlink"/>
          </w:rPr>
          <w:t>.</w:t>
        </w:r>
      </w:hyperlink>
    </w:p>
    <w:p w14:paraId="19A514FB" w14:textId="1835828F" w:rsidR="00AD4389" w:rsidRDefault="00AD4389" w:rsidP="00AD4389">
      <w:pPr>
        <w:spacing w:before="120" w:after="600" w:line="276" w:lineRule="auto"/>
        <w:jc w:val="both"/>
        <w:rPr>
          <w:b/>
          <w:lang w:val="bg-BG"/>
        </w:rPr>
      </w:pPr>
      <w:r>
        <w:rPr>
          <w:b/>
          <w:lang w:val="bg-BG"/>
        </w:rPr>
        <w:t>Краен срок: не е посочен</w:t>
      </w:r>
    </w:p>
    <w:p w14:paraId="17293685" w14:textId="77777777" w:rsidR="001700AA" w:rsidRDefault="001700AA" w:rsidP="003B0379">
      <w:pPr>
        <w:pStyle w:val="Heading2"/>
        <w:ind w:left="426"/>
      </w:pPr>
      <w:bookmarkStart w:id="10" w:name="_Toc197365375"/>
      <w:r>
        <w:t>Стажант еколог</w:t>
      </w:r>
      <w:r>
        <w:rPr>
          <w:lang w:val="bg-BG"/>
        </w:rPr>
        <w:t xml:space="preserve"> в </w:t>
      </w:r>
      <w:r w:rsidR="00285A5A">
        <w:t>CERATIZIT Bulgaria</w:t>
      </w:r>
      <w:bookmarkEnd w:id="10"/>
      <w:r w:rsidR="00285A5A">
        <w:t xml:space="preserve"> </w:t>
      </w:r>
    </w:p>
    <w:p w14:paraId="1612950E" w14:textId="77777777" w:rsidR="004F0EDF" w:rsidRDefault="00285A5A" w:rsidP="004F0EDF">
      <w:pPr>
        <w:spacing w:before="120" w:after="120" w:line="276" w:lineRule="auto"/>
        <w:jc w:val="both"/>
      </w:pPr>
      <w:proofErr w:type="spellStart"/>
      <w:r>
        <w:t>Като</w:t>
      </w:r>
      <w:proofErr w:type="spellEnd"/>
      <w:r>
        <w:t xml:space="preserve"> </w:t>
      </w:r>
      <w:proofErr w:type="spellStart"/>
      <w:r>
        <w:t>част</w:t>
      </w:r>
      <w:proofErr w:type="spellEnd"/>
      <w:r>
        <w:t xml:space="preserve"> </w:t>
      </w:r>
      <w:proofErr w:type="spellStart"/>
      <w:r>
        <w:t>от</w:t>
      </w:r>
      <w:proofErr w:type="spellEnd"/>
      <w:r>
        <w:t xml:space="preserve"> </w:t>
      </w:r>
      <w:proofErr w:type="spellStart"/>
      <w:r>
        <w:t>програмата</w:t>
      </w:r>
      <w:proofErr w:type="spellEnd"/>
      <w:r>
        <w:t xml:space="preserve"> </w:t>
      </w:r>
      <w:proofErr w:type="spellStart"/>
      <w:r>
        <w:t>за</w:t>
      </w:r>
      <w:proofErr w:type="spellEnd"/>
      <w:r>
        <w:t xml:space="preserve"> </w:t>
      </w:r>
      <w:proofErr w:type="spellStart"/>
      <w:r>
        <w:t>развитие</w:t>
      </w:r>
      <w:proofErr w:type="spellEnd"/>
      <w:r>
        <w:t xml:space="preserve"> </w:t>
      </w:r>
      <w:proofErr w:type="spellStart"/>
      <w:r>
        <w:t>на</w:t>
      </w:r>
      <w:proofErr w:type="spellEnd"/>
      <w:r>
        <w:t xml:space="preserve"> </w:t>
      </w:r>
      <w:proofErr w:type="spellStart"/>
      <w:r>
        <w:t>млади</w:t>
      </w:r>
      <w:proofErr w:type="spellEnd"/>
      <w:r>
        <w:t xml:space="preserve"> </w:t>
      </w:r>
      <w:proofErr w:type="spellStart"/>
      <w:r>
        <w:t>таланти</w:t>
      </w:r>
      <w:proofErr w:type="spellEnd"/>
      <w:r>
        <w:t xml:space="preserve">, </w:t>
      </w:r>
      <w:proofErr w:type="spellStart"/>
      <w:r>
        <w:t>стажантът</w:t>
      </w:r>
      <w:proofErr w:type="spellEnd"/>
      <w:r>
        <w:t xml:space="preserve"> </w:t>
      </w:r>
      <w:proofErr w:type="spellStart"/>
      <w:r>
        <w:t>ще</w:t>
      </w:r>
      <w:proofErr w:type="spellEnd"/>
      <w:r>
        <w:t xml:space="preserve"> </w:t>
      </w:r>
      <w:proofErr w:type="spellStart"/>
      <w:r>
        <w:t>развие</w:t>
      </w:r>
      <w:proofErr w:type="spellEnd"/>
      <w:r>
        <w:t xml:space="preserve"> </w:t>
      </w:r>
      <w:proofErr w:type="spellStart"/>
      <w:r>
        <w:t>ключови</w:t>
      </w:r>
      <w:proofErr w:type="spellEnd"/>
      <w:r>
        <w:t xml:space="preserve"> </w:t>
      </w:r>
      <w:proofErr w:type="spellStart"/>
      <w:r>
        <w:t>умения</w:t>
      </w:r>
      <w:proofErr w:type="spellEnd"/>
      <w:r>
        <w:t xml:space="preserve"> и </w:t>
      </w:r>
      <w:proofErr w:type="spellStart"/>
      <w:r>
        <w:t>ще</w:t>
      </w:r>
      <w:proofErr w:type="spellEnd"/>
      <w:r>
        <w:t xml:space="preserve"> </w:t>
      </w:r>
      <w:proofErr w:type="spellStart"/>
      <w:r>
        <w:t>бъде</w:t>
      </w:r>
      <w:proofErr w:type="spellEnd"/>
      <w:r>
        <w:t xml:space="preserve"> </w:t>
      </w:r>
      <w:proofErr w:type="spellStart"/>
      <w:r>
        <w:t>подготвен</w:t>
      </w:r>
      <w:proofErr w:type="spellEnd"/>
      <w:r>
        <w:t xml:space="preserve"> </w:t>
      </w:r>
      <w:proofErr w:type="spellStart"/>
      <w:r>
        <w:t>за</w:t>
      </w:r>
      <w:proofErr w:type="spellEnd"/>
      <w:r>
        <w:t xml:space="preserve"> </w:t>
      </w:r>
      <w:proofErr w:type="spellStart"/>
      <w:r>
        <w:t>бъдеща</w:t>
      </w:r>
      <w:proofErr w:type="spellEnd"/>
      <w:r>
        <w:t xml:space="preserve"> </w:t>
      </w:r>
      <w:proofErr w:type="spellStart"/>
      <w:r>
        <w:t>кариера</w:t>
      </w:r>
      <w:proofErr w:type="spellEnd"/>
      <w:r>
        <w:t xml:space="preserve"> в </w:t>
      </w:r>
      <w:proofErr w:type="spellStart"/>
      <w:r>
        <w:t>глобална</w:t>
      </w:r>
      <w:proofErr w:type="spellEnd"/>
      <w:r>
        <w:t xml:space="preserve"> </w:t>
      </w:r>
      <w:proofErr w:type="spellStart"/>
      <w:r>
        <w:t>индустриална</w:t>
      </w:r>
      <w:proofErr w:type="spellEnd"/>
      <w:r>
        <w:t xml:space="preserve"> </w:t>
      </w:r>
      <w:proofErr w:type="spellStart"/>
      <w:r>
        <w:t>компания</w:t>
      </w:r>
      <w:proofErr w:type="spellEnd"/>
      <w:r>
        <w:t xml:space="preserve">. </w:t>
      </w:r>
      <w:proofErr w:type="spellStart"/>
      <w:r>
        <w:t>Участието</w:t>
      </w:r>
      <w:proofErr w:type="spellEnd"/>
      <w:r>
        <w:t xml:space="preserve"> </w:t>
      </w:r>
      <w:proofErr w:type="spellStart"/>
      <w:r>
        <w:t>включва</w:t>
      </w:r>
      <w:proofErr w:type="spellEnd"/>
      <w:r>
        <w:t xml:space="preserve"> </w:t>
      </w:r>
      <w:proofErr w:type="spellStart"/>
      <w:r>
        <w:t>подобряване</w:t>
      </w:r>
      <w:proofErr w:type="spellEnd"/>
      <w:r>
        <w:t xml:space="preserve"> </w:t>
      </w:r>
      <w:proofErr w:type="spellStart"/>
      <w:r>
        <w:t>на</w:t>
      </w:r>
      <w:proofErr w:type="spellEnd"/>
      <w:r>
        <w:t xml:space="preserve"> </w:t>
      </w:r>
      <w:proofErr w:type="spellStart"/>
      <w:r>
        <w:t>съществуващи</w:t>
      </w:r>
      <w:proofErr w:type="spellEnd"/>
      <w:r>
        <w:t xml:space="preserve"> </w:t>
      </w:r>
      <w:proofErr w:type="spellStart"/>
      <w:r>
        <w:t>силни</w:t>
      </w:r>
      <w:proofErr w:type="spellEnd"/>
      <w:r>
        <w:t xml:space="preserve"> </w:t>
      </w:r>
      <w:proofErr w:type="spellStart"/>
      <w:r>
        <w:t>страни</w:t>
      </w:r>
      <w:proofErr w:type="spellEnd"/>
      <w:r>
        <w:t xml:space="preserve"> </w:t>
      </w:r>
      <w:proofErr w:type="spellStart"/>
      <w:r>
        <w:t>чрез</w:t>
      </w:r>
      <w:proofErr w:type="spellEnd"/>
      <w:r>
        <w:t xml:space="preserve"> </w:t>
      </w:r>
      <w:proofErr w:type="spellStart"/>
      <w:r>
        <w:t>работа</w:t>
      </w:r>
      <w:proofErr w:type="spellEnd"/>
      <w:r>
        <w:t xml:space="preserve"> по </w:t>
      </w:r>
      <w:proofErr w:type="spellStart"/>
      <w:r>
        <w:t>екипна</w:t>
      </w:r>
      <w:proofErr w:type="spellEnd"/>
      <w:r>
        <w:t xml:space="preserve"> </w:t>
      </w:r>
      <w:proofErr w:type="spellStart"/>
      <w:r>
        <w:t>динамика</w:t>
      </w:r>
      <w:proofErr w:type="spellEnd"/>
      <w:r>
        <w:t xml:space="preserve">, </w:t>
      </w:r>
      <w:proofErr w:type="spellStart"/>
      <w:r>
        <w:t>комуникация</w:t>
      </w:r>
      <w:proofErr w:type="spellEnd"/>
      <w:r>
        <w:t xml:space="preserve">, </w:t>
      </w:r>
      <w:proofErr w:type="spellStart"/>
      <w:r>
        <w:t>решаване</w:t>
      </w:r>
      <w:proofErr w:type="spellEnd"/>
      <w:r>
        <w:t xml:space="preserve"> </w:t>
      </w:r>
      <w:proofErr w:type="spellStart"/>
      <w:r>
        <w:t>на</w:t>
      </w:r>
      <w:proofErr w:type="spellEnd"/>
      <w:r>
        <w:t xml:space="preserve"> </w:t>
      </w:r>
      <w:proofErr w:type="spellStart"/>
      <w:r>
        <w:t>проблеми</w:t>
      </w:r>
      <w:proofErr w:type="spellEnd"/>
      <w:r>
        <w:t xml:space="preserve"> и </w:t>
      </w:r>
      <w:proofErr w:type="spellStart"/>
      <w:r>
        <w:t>управление</w:t>
      </w:r>
      <w:proofErr w:type="spellEnd"/>
      <w:r>
        <w:t xml:space="preserve"> </w:t>
      </w:r>
      <w:proofErr w:type="spellStart"/>
      <w:r>
        <w:t>на</w:t>
      </w:r>
      <w:proofErr w:type="spellEnd"/>
      <w:r>
        <w:t xml:space="preserve"> </w:t>
      </w:r>
      <w:proofErr w:type="spellStart"/>
      <w:r>
        <w:t>проекти</w:t>
      </w:r>
      <w:proofErr w:type="spellEnd"/>
      <w:r>
        <w:t xml:space="preserve">. </w:t>
      </w:r>
      <w:proofErr w:type="spellStart"/>
      <w:r>
        <w:t>Ще</w:t>
      </w:r>
      <w:proofErr w:type="spellEnd"/>
      <w:r>
        <w:t xml:space="preserve"> </w:t>
      </w:r>
      <w:proofErr w:type="spellStart"/>
      <w:r>
        <w:t>се</w:t>
      </w:r>
      <w:proofErr w:type="spellEnd"/>
      <w:r>
        <w:t xml:space="preserve"> </w:t>
      </w:r>
      <w:proofErr w:type="spellStart"/>
      <w:r>
        <w:t>следва</w:t>
      </w:r>
      <w:proofErr w:type="spellEnd"/>
      <w:r>
        <w:t xml:space="preserve"> </w:t>
      </w:r>
      <w:proofErr w:type="spellStart"/>
      <w:r>
        <w:t>индивидуална</w:t>
      </w:r>
      <w:proofErr w:type="spellEnd"/>
      <w:r>
        <w:t xml:space="preserve"> </w:t>
      </w:r>
      <w:proofErr w:type="spellStart"/>
      <w:r>
        <w:t>програма</w:t>
      </w:r>
      <w:proofErr w:type="spellEnd"/>
      <w:r>
        <w:t xml:space="preserve"> </w:t>
      </w:r>
      <w:proofErr w:type="spellStart"/>
      <w:r>
        <w:t>за</w:t>
      </w:r>
      <w:proofErr w:type="spellEnd"/>
      <w:r>
        <w:t xml:space="preserve"> </w:t>
      </w:r>
      <w:proofErr w:type="spellStart"/>
      <w:r>
        <w:t>обучение</w:t>
      </w:r>
      <w:proofErr w:type="spellEnd"/>
      <w:r>
        <w:t xml:space="preserve"> и </w:t>
      </w:r>
      <w:proofErr w:type="spellStart"/>
      <w:r>
        <w:t>ще</w:t>
      </w:r>
      <w:proofErr w:type="spellEnd"/>
      <w:r>
        <w:t xml:space="preserve"> </w:t>
      </w:r>
      <w:proofErr w:type="spellStart"/>
      <w:r>
        <w:t>се</w:t>
      </w:r>
      <w:proofErr w:type="spellEnd"/>
      <w:r>
        <w:t xml:space="preserve"> </w:t>
      </w:r>
      <w:proofErr w:type="spellStart"/>
      <w:r>
        <w:t>работи</w:t>
      </w:r>
      <w:proofErr w:type="spellEnd"/>
      <w:r>
        <w:t xml:space="preserve"> по </w:t>
      </w:r>
      <w:proofErr w:type="spellStart"/>
      <w:r>
        <w:t>проект</w:t>
      </w:r>
      <w:proofErr w:type="spellEnd"/>
      <w:r>
        <w:t xml:space="preserve">, </w:t>
      </w:r>
      <w:proofErr w:type="spellStart"/>
      <w:r>
        <w:t>свързан</w:t>
      </w:r>
      <w:proofErr w:type="spellEnd"/>
      <w:r>
        <w:t xml:space="preserve"> с </w:t>
      </w:r>
      <w:proofErr w:type="spellStart"/>
      <w:r>
        <w:t>проучване</w:t>
      </w:r>
      <w:proofErr w:type="spellEnd"/>
      <w:r>
        <w:t xml:space="preserve">, </w:t>
      </w:r>
      <w:proofErr w:type="spellStart"/>
      <w:r>
        <w:t>развитие</w:t>
      </w:r>
      <w:proofErr w:type="spellEnd"/>
      <w:r>
        <w:t xml:space="preserve"> и </w:t>
      </w:r>
      <w:proofErr w:type="spellStart"/>
      <w:r>
        <w:t>подобряване</w:t>
      </w:r>
      <w:proofErr w:type="spellEnd"/>
      <w:r>
        <w:t xml:space="preserve"> </w:t>
      </w:r>
      <w:proofErr w:type="spellStart"/>
      <w:r>
        <w:t>на</w:t>
      </w:r>
      <w:proofErr w:type="spellEnd"/>
      <w:r>
        <w:t xml:space="preserve"> </w:t>
      </w:r>
      <w:proofErr w:type="spellStart"/>
      <w:r>
        <w:t>околната</w:t>
      </w:r>
      <w:proofErr w:type="spellEnd"/>
      <w:r>
        <w:t xml:space="preserve"> </w:t>
      </w:r>
      <w:proofErr w:type="spellStart"/>
      <w:r>
        <w:t>среда</w:t>
      </w:r>
      <w:proofErr w:type="spellEnd"/>
      <w:r>
        <w:t xml:space="preserve">. </w:t>
      </w:r>
      <w:proofErr w:type="spellStart"/>
      <w:r>
        <w:t>Задачите</w:t>
      </w:r>
      <w:proofErr w:type="spellEnd"/>
      <w:r>
        <w:t xml:space="preserve"> </w:t>
      </w:r>
      <w:proofErr w:type="spellStart"/>
      <w:r>
        <w:t>включват</w:t>
      </w:r>
      <w:proofErr w:type="spellEnd"/>
      <w:r>
        <w:t xml:space="preserve"> </w:t>
      </w:r>
      <w:proofErr w:type="spellStart"/>
      <w:r>
        <w:t>извършване</w:t>
      </w:r>
      <w:proofErr w:type="spellEnd"/>
      <w:r>
        <w:t xml:space="preserve"> </w:t>
      </w:r>
      <w:proofErr w:type="spellStart"/>
      <w:r>
        <w:t>на</w:t>
      </w:r>
      <w:proofErr w:type="spellEnd"/>
      <w:r>
        <w:t xml:space="preserve"> </w:t>
      </w:r>
      <w:proofErr w:type="spellStart"/>
      <w:r>
        <w:t>проучвания</w:t>
      </w:r>
      <w:proofErr w:type="spellEnd"/>
      <w:r>
        <w:t xml:space="preserve"> по </w:t>
      </w:r>
      <w:proofErr w:type="spellStart"/>
      <w:r>
        <w:t>ключови</w:t>
      </w:r>
      <w:proofErr w:type="spellEnd"/>
      <w:r>
        <w:t xml:space="preserve"> </w:t>
      </w:r>
      <w:proofErr w:type="spellStart"/>
      <w:r>
        <w:t>екологични</w:t>
      </w:r>
      <w:proofErr w:type="spellEnd"/>
      <w:r>
        <w:t xml:space="preserve"> </w:t>
      </w:r>
      <w:proofErr w:type="spellStart"/>
      <w:r>
        <w:t>индикатори</w:t>
      </w:r>
      <w:proofErr w:type="spellEnd"/>
      <w:r>
        <w:t xml:space="preserve">, </w:t>
      </w:r>
      <w:proofErr w:type="spellStart"/>
      <w:r>
        <w:t>придобиване</w:t>
      </w:r>
      <w:proofErr w:type="spellEnd"/>
      <w:r>
        <w:t xml:space="preserve"> </w:t>
      </w:r>
      <w:proofErr w:type="spellStart"/>
      <w:r>
        <w:t>на</w:t>
      </w:r>
      <w:proofErr w:type="spellEnd"/>
      <w:r>
        <w:t xml:space="preserve"> </w:t>
      </w:r>
      <w:proofErr w:type="spellStart"/>
      <w:r>
        <w:t>знания</w:t>
      </w:r>
      <w:proofErr w:type="spellEnd"/>
      <w:r>
        <w:t xml:space="preserve"> </w:t>
      </w:r>
      <w:proofErr w:type="spellStart"/>
      <w:r>
        <w:t>за</w:t>
      </w:r>
      <w:proofErr w:type="spellEnd"/>
      <w:r>
        <w:t xml:space="preserve"> </w:t>
      </w:r>
      <w:proofErr w:type="spellStart"/>
      <w:r>
        <w:t>добри</w:t>
      </w:r>
      <w:proofErr w:type="spellEnd"/>
      <w:r w:rsidR="00D51A13" w:rsidRPr="00D51A13">
        <w:t xml:space="preserve"> </w:t>
      </w:r>
      <w:proofErr w:type="spellStart"/>
      <w:r w:rsidR="00D51A13" w:rsidRPr="00D51A13">
        <w:t>екологични</w:t>
      </w:r>
      <w:proofErr w:type="spellEnd"/>
      <w:r w:rsidR="00D51A13" w:rsidRPr="00D51A13">
        <w:t xml:space="preserve"> </w:t>
      </w:r>
      <w:proofErr w:type="spellStart"/>
      <w:r w:rsidR="00D51A13" w:rsidRPr="00D51A13">
        <w:t>практики</w:t>
      </w:r>
      <w:proofErr w:type="spellEnd"/>
      <w:r w:rsidR="00D51A13" w:rsidRPr="00D51A13">
        <w:t xml:space="preserve"> </w:t>
      </w:r>
      <w:proofErr w:type="spellStart"/>
      <w:r w:rsidR="00D51A13" w:rsidRPr="00D51A13">
        <w:t>като</w:t>
      </w:r>
      <w:proofErr w:type="spellEnd"/>
      <w:r w:rsidR="00D51A13" w:rsidRPr="00D51A13">
        <w:t xml:space="preserve"> </w:t>
      </w:r>
      <w:proofErr w:type="spellStart"/>
      <w:r w:rsidR="00D51A13" w:rsidRPr="00D51A13">
        <w:t>оценка</w:t>
      </w:r>
      <w:proofErr w:type="spellEnd"/>
      <w:r w:rsidR="00D51A13" w:rsidRPr="00D51A13">
        <w:t xml:space="preserve"> </w:t>
      </w:r>
      <w:proofErr w:type="spellStart"/>
      <w:r w:rsidR="00D51A13" w:rsidRPr="00D51A13">
        <w:t>на</w:t>
      </w:r>
      <w:proofErr w:type="spellEnd"/>
      <w:r w:rsidR="00D51A13" w:rsidRPr="00D51A13">
        <w:t xml:space="preserve"> </w:t>
      </w:r>
      <w:proofErr w:type="spellStart"/>
      <w:r w:rsidR="00D51A13" w:rsidRPr="00D51A13">
        <w:t>жизнения</w:t>
      </w:r>
      <w:proofErr w:type="spellEnd"/>
      <w:r w:rsidR="00D51A13" w:rsidRPr="00D51A13">
        <w:t xml:space="preserve"> </w:t>
      </w:r>
      <w:proofErr w:type="spellStart"/>
      <w:r w:rsidR="00D51A13" w:rsidRPr="00D51A13">
        <w:t>цикъл</w:t>
      </w:r>
      <w:proofErr w:type="spellEnd"/>
      <w:r w:rsidR="00D51A13" w:rsidRPr="00D51A13">
        <w:t xml:space="preserve">, </w:t>
      </w:r>
      <w:proofErr w:type="spellStart"/>
      <w:r w:rsidR="00D51A13" w:rsidRPr="00D51A13">
        <w:t>оценка</w:t>
      </w:r>
      <w:proofErr w:type="spellEnd"/>
      <w:r w:rsidR="00D51A13" w:rsidRPr="00D51A13">
        <w:t xml:space="preserve"> </w:t>
      </w:r>
      <w:proofErr w:type="spellStart"/>
      <w:r w:rsidR="00D51A13" w:rsidRPr="00D51A13">
        <w:t>на</w:t>
      </w:r>
      <w:proofErr w:type="spellEnd"/>
      <w:r w:rsidR="00D51A13" w:rsidRPr="00D51A13">
        <w:t xml:space="preserve"> </w:t>
      </w:r>
      <w:proofErr w:type="spellStart"/>
      <w:r w:rsidR="00D51A13" w:rsidRPr="00D51A13">
        <w:t>риска</w:t>
      </w:r>
      <w:proofErr w:type="spellEnd"/>
      <w:r w:rsidR="00D51A13" w:rsidRPr="00D51A13">
        <w:t xml:space="preserve"> и </w:t>
      </w:r>
      <w:proofErr w:type="spellStart"/>
      <w:r w:rsidR="00D51A13" w:rsidRPr="00D51A13">
        <w:t>зелена</w:t>
      </w:r>
      <w:proofErr w:type="spellEnd"/>
      <w:r w:rsidR="00D51A13" w:rsidRPr="00D51A13">
        <w:t xml:space="preserve"> </w:t>
      </w:r>
      <w:proofErr w:type="spellStart"/>
      <w:r w:rsidR="00D51A13" w:rsidRPr="00D51A13">
        <w:t>верига</w:t>
      </w:r>
      <w:proofErr w:type="spellEnd"/>
      <w:r w:rsidR="00D51A13" w:rsidRPr="00D51A13">
        <w:t xml:space="preserve"> </w:t>
      </w:r>
      <w:proofErr w:type="spellStart"/>
      <w:r w:rsidR="00D51A13" w:rsidRPr="00D51A13">
        <w:t>на</w:t>
      </w:r>
      <w:proofErr w:type="spellEnd"/>
      <w:r w:rsidR="00D51A13" w:rsidRPr="00D51A13">
        <w:t xml:space="preserve"> </w:t>
      </w:r>
      <w:proofErr w:type="spellStart"/>
      <w:r w:rsidR="00D51A13" w:rsidRPr="00D51A13">
        <w:t>доставки</w:t>
      </w:r>
      <w:proofErr w:type="spellEnd"/>
      <w:r w:rsidR="00D51A13" w:rsidRPr="00D51A13">
        <w:t xml:space="preserve">, </w:t>
      </w:r>
      <w:proofErr w:type="spellStart"/>
      <w:r w:rsidR="00D51A13" w:rsidRPr="00D51A13">
        <w:t>както</w:t>
      </w:r>
      <w:proofErr w:type="spellEnd"/>
      <w:r w:rsidR="00D51A13" w:rsidRPr="00D51A13">
        <w:t xml:space="preserve"> и </w:t>
      </w:r>
      <w:proofErr w:type="spellStart"/>
      <w:r w:rsidR="00D51A13" w:rsidRPr="00D51A13">
        <w:t>изготвяне</w:t>
      </w:r>
      <w:proofErr w:type="spellEnd"/>
      <w:r w:rsidR="00D51A13" w:rsidRPr="00D51A13">
        <w:t xml:space="preserve"> </w:t>
      </w:r>
      <w:proofErr w:type="spellStart"/>
      <w:r w:rsidR="00D51A13" w:rsidRPr="00D51A13">
        <w:t>на</w:t>
      </w:r>
      <w:proofErr w:type="spellEnd"/>
      <w:r w:rsidR="00D51A13" w:rsidRPr="00D51A13">
        <w:t xml:space="preserve"> </w:t>
      </w:r>
      <w:proofErr w:type="spellStart"/>
      <w:r w:rsidR="00D51A13" w:rsidRPr="00D51A13">
        <w:t>доклади</w:t>
      </w:r>
      <w:proofErr w:type="spellEnd"/>
      <w:r w:rsidR="00D51A13" w:rsidRPr="00D51A13">
        <w:t xml:space="preserve"> и </w:t>
      </w:r>
      <w:proofErr w:type="spellStart"/>
      <w:r w:rsidR="00D51A13" w:rsidRPr="00D51A13">
        <w:t>справки</w:t>
      </w:r>
      <w:proofErr w:type="spellEnd"/>
      <w:r w:rsidR="00D51A13" w:rsidRPr="00D51A13">
        <w:t xml:space="preserve"> </w:t>
      </w:r>
      <w:proofErr w:type="spellStart"/>
      <w:r w:rsidR="00D51A13" w:rsidRPr="00D51A13">
        <w:t>за</w:t>
      </w:r>
      <w:proofErr w:type="spellEnd"/>
      <w:r w:rsidR="00D51A13" w:rsidRPr="00D51A13">
        <w:t xml:space="preserve"> </w:t>
      </w:r>
      <w:proofErr w:type="spellStart"/>
      <w:r w:rsidR="00D51A13" w:rsidRPr="00D51A13">
        <w:t>държавни</w:t>
      </w:r>
      <w:proofErr w:type="spellEnd"/>
      <w:r w:rsidR="00D51A13" w:rsidRPr="00D51A13">
        <w:t xml:space="preserve"> </w:t>
      </w:r>
      <w:proofErr w:type="spellStart"/>
      <w:r w:rsidR="00D51A13" w:rsidRPr="00D51A13">
        <w:t>контролиращи</w:t>
      </w:r>
      <w:proofErr w:type="spellEnd"/>
      <w:r w:rsidR="00D51A13" w:rsidRPr="00D51A13">
        <w:t xml:space="preserve"> </w:t>
      </w:r>
      <w:proofErr w:type="spellStart"/>
      <w:r w:rsidR="00D51A13" w:rsidRPr="00D51A13">
        <w:t>органи</w:t>
      </w:r>
      <w:proofErr w:type="spellEnd"/>
      <w:r w:rsidR="00D51A13" w:rsidRPr="00D51A13">
        <w:t xml:space="preserve">. </w:t>
      </w:r>
    </w:p>
    <w:p w14:paraId="4A8002D2" w14:textId="71894617" w:rsidR="00285A5A" w:rsidRDefault="00D51A13" w:rsidP="004F0EDF">
      <w:pPr>
        <w:spacing w:before="120" w:after="120" w:line="276" w:lineRule="auto"/>
        <w:jc w:val="both"/>
      </w:pPr>
      <w:proofErr w:type="spellStart"/>
      <w:r w:rsidRPr="00D51A13">
        <w:t>Кандидатите</w:t>
      </w:r>
      <w:proofErr w:type="spellEnd"/>
      <w:r w:rsidRPr="00D51A13">
        <w:t xml:space="preserve"> </w:t>
      </w:r>
      <w:proofErr w:type="spellStart"/>
      <w:r w:rsidRPr="00D51A13">
        <w:t>трябва</w:t>
      </w:r>
      <w:proofErr w:type="spellEnd"/>
      <w:r w:rsidRPr="00D51A13">
        <w:t xml:space="preserve"> </w:t>
      </w:r>
      <w:proofErr w:type="spellStart"/>
      <w:r w:rsidRPr="00D51A13">
        <w:t>да</w:t>
      </w:r>
      <w:proofErr w:type="spellEnd"/>
      <w:r w:rsidRPr="00D51A13">
        <w:t xml:space="preserve"> </w:t>
      </w:r>
      <w:proofErr w:type="spellStart"/>
      <w:r w:rsidRPr="00D51A13">
        <w:t>бъдат</w:t>
      </w:r>
      <w:proofErr w:type="spellEnd"/>
      <w:r w:rsidRPr="00D51A13">
        <w:t xml:space="preserve"> </w:t>
      </w:r>
      <w:proofErr w:type="spellStart"/>
      <w:r w:rsidRPr="00D51A13">
        <w:t>студенти</w:t>
      </w:r>
      <w:proofErr w:type="spellEnd"/>
      <w:r w:rsidRPr="00D51A13">
        <w:t xml:space="preserve"> в </w:t>
      </w:r>
      <w:proofErr w:type="spellStart"/>
      <w:r w:rsidRPr="00D51A13">
        <w:t>трети</w:t>
      </w:r>
      <w:proofErr w:type="spellEnd"/>
      <w:r w:rsidRPr="00D51A13">
        <w:t xml:space="preserve"> </w:t>
      </w:r>
      <w:proofErr w:type="spellStart"/>
      <w:r w:rsidRPr="00D51A13">
        <w:t>или</w:t>
      </w:r>
      <w:proofErr w:type="spellEnd"/>
      <w:r w:rsidRPr="00D51A13">
        <w:t xml:space="preserve"> </w:t>
      </w:r>
      <w:proofErr w:type="spellStart"/>
      <w:r w:rsidRPr="00D51A13">
        <w:t>четвърти</w:t>
      </w:r>
      <w:proofErr w:type="spellEnd"/>
      <w:r w:rsidRPr="00D51A13">
        <w:t xml:space="preserve"> </w:t>
      </w:r>
      <w:proofErr w:type="spellStart"/>
      <w:r w:rsidRPr="00D51A13">
        <w:t>курс</w:t>
      </w:r>
      <w:proofErr w:type="spellEnd"/>
      <w:r w:rsidRPr="00D51A13">
        <w:t xml:space="preserve">, </w:t>
      </w:r>
      <w:proofErr w:type="spellStart"/>
      <w:r w:rsidRPr="00D51A13">
        <w:t>магистри</w:t>
      </w:r>
      <w:proofErr w:type="spellEnd"/>
      <w:r w:rsidRPr="00D51A13">
        <w:t xml:space="preserve"> </w:t>
      </w:r>
      <w:proofErr w:type="spellStart"/>
      <w:r w:rsidRPr="00D51A13">
        <w:t>или</w:t>
      </w:r>
      <w:proofErr w:type="spellEnd"/>
      <w:r w:rsidRPr="00D51A13">
        <w:t xml:space="preserve"> </w:t>
      </w:r>
      <w:proofErr w:type="spellStart"/>
      <w:r w:rsidRPr="00D51A13">
        <w:t>докторанти</w:t>
      </w:r>
      <w:proofErr w:type="spellEnd"/>
      <w:r w:rsidRPr="00D51A13">
        <w:t xml:space="preserve"> в </w:t>
      </w:r>
      <w:proofErr w:type="spellStart"/>
      <w:r w:rsidRPr="00D51A13">
        <w:t>специалности</w:t>
      </w:r>
      <w:proofErr w:type="spellEnd"/>
      <w:r w:rsidRPr="00D51A13">
        <w:t xml:space="preserve"> </w:t>
      </w:r>
      <w:proofErr w:type="spellStart"/>
      <w:r w:rsidRPr="00D51A13">
        <w:t>като</w:t>
      </w:r>
      <w:proofErr w:type="spellEnd"/>
      <w:r w:rsidRPr="00D51A13">
        <w:t xml:space="preserve"> </w:t>
      </w:r>
      <w:proofErr w:type="spellStart"/>
      <w:r w:rsidRPr="00D51A13">
        <w:t>Екология</w:t>
      </w:r>
      <w:proofErr w:type="spellEnd"/>
      <w:r w:rsidRPr="00D51A13">
        <w:t xml:space="preserve"> и </w:t>
      </w:r>
      <w:proofErr w:type="spellStart"/>
      <w:r w:rsidRPr="00D51A13">
        <w:t>опазване</w:t>
      </w:r>
      <w:proofErr w:type="spellEnd"/>
      <w:r w:rsidRPr="00D51A13">
        <w:t xml:space="preserve"> </w:t>
      </w:r>
      <w:proofErr w:type="spellStart"/>
      <w:r w:rsidRPr="00D51A13">
        <w:t>на</w:t>
      </w:r>
      <w:proofErr w:type="spellEnd"/>
      <w:r w:rsidRPr="00D51A13">
        <w:t xml:space="preserve"> </w:t>
      </w:r>
      <w:proofErr w:type="spellStart"/>
      <w:r w:rsidRPr="00D51A13">
        <w:t>околната</w:t>
      </w:r>
      <w:proofErr w:type="spellEnd"/>
      <w:r w:rsidRPr="00D51A13">
        <w:t xml:space="preserve"> </w:t>
      </w:r>
      <w:proofErr w:type="spellStart"/>
      <w:r w:rsidRPr="00D51A13">
        <w:t>среда</w:t>
      </w:r>
      <w:proofErr w:type="spellEnd"/>
      <w:r w:rsidRPr="00D51A13">
        <w:t xml:space="preserve">, </w:t>
      </w:r>
      <w:proofErr w:type="spellStart"/>
      <w:r w:rsidRPr="00D51A13">
        <w:t>Здраве</w:t>
      </w:r>
      <w:proofErr w:type="spellEnd"/>
      <w:r w:rsidRPr="00D51A13">
        <w:t xml:space="preserve"> и </w:t>
      </w:r>
      <w:proofErr w:type="spellStart"/>
      <w:r w:rsidRPr="00D51A13">
        <w:t>безопасност</w:t>
      </w:r>
      <w:proofErr w:type="spellEnd"/>
      <w:r w:rsidRPr="00D51A13">
        <w:t xml:space="preserve">, </w:t>
      </w:r>
      <w:proofErr w:type="spellStart"/>
      <w:r w:rsidRPr="00D51A13">
        <w:t>Инженерна</w:t>
      </w:r>
      <w:proofErr w:type="spellEnd"/>
      <w:r w:rsidRPr="00D51A13">
        <w:t xml:space="preserve"> </w:t>
      </w:r>
      <w:proofErr w:type="spellStart"/>
      <w:r w:rsidRPr="00D51A13">
        <w:t>екология</w:t>
      </w:r>
      <w:proofErr w:type="spellEnd"/>
      <w:r w:rsidRPr="00D51A13">
        <w:t xml:space="preserve"> </w:t>
      </w:r>
      <w:proofErr w:type="spellStart"/>
      <w:r w:rsidRPr="00D51A13">
        <w:t>или</w:t>
      </w:r>
      <w:proofErr w:type="spellEnd"/>
      <w:r w:rsidRPr="00D51A13">
        <w:t xml:space="preserve"> </w:t>
      </w:r>
      <w:proofErr w:type="spellStart"/>
      <w:r w:rsidRPr="00D51A13">
        <w:t>сходни</w:t>
      </w:r>
      <w:proofErr w:type="spellEnd"/>
      <w:r w:rsidRPr="00D51A13">
        <w:t xml:space="preserve">. </w:t>
      </w:r>
      <w:proofErr w:type="spellStart"/>
      <w:r w:rsidRPr="00D51A13">
        <w:t>Необходимо</w:t>
      </w:r>
      <w:proofErr w:type="spellEnd"/>
      <w:r w:rsidRPr="00D51A13">
        <w:t xml:space="preserve"> е </w:t>
      </w:r>
      <w:proofErr w:type="spellStart"/>
      <w:r w:rsidRPr="00D51A13">
        <w:t>добро</w:t>
      </w:r>
      <w:proofErr w:type="spellEnd"/>
      <w:r w:rsidRPr="00D51A13">
        <w:t xml:space="preserve"> </w:t>
      </w:r>
      <w:proofErr w:type="spellStart"/>
      <w:r w:rsidRPr="00D51A13">
        <w:t>владеене</w:t>
      </w:r>
      <w:proofErr w:type="spellEnd"/>
      <w:r w:rsidRPr="00D51A13">
        <w:t xml:space="preserve"> </w:t>
      </w:r>
      <w:proofErr w:type="spellStart"/>
      <w:r w:rsidRPr="00D51A13">
        <w:t>на</w:t>
      </w:r>
      <w:proofErr w:type="spellEnd"/>
      <w:r w:rsidRPr="00D51A13">
        <w:t xml:space="preserve"> </w:t>
      </w:r>
      <w:proofErr w:type="spellStart"/>
      <w:r w:rsidRPr="00D51A13">
        <w:t>английски</w:t>
      </w:r>
      <w:proofErr w:type="spellEnd"/>
      <w:r w:rsidRPr="00D51A13">
        <w:t xml:space="preserve"> </w:t>
      </w:r>
      <w:proofErr w:type="spellStart"/>
      <w:r w:rsidRPr="00D51A13">
        <w:t>език</w:t>
      </w:r>
      <w:proofErr w:type="spellEnd"/>
      <w:r w:rsidRPr="00D51A13">
        <w:t xml:space="preserve"> и </w:t>
      </w:r>
      <w:proofErr w:type="spellStart"/>
      <w:r w:rsidRPr="00D51A13">
        <w:t>на</w:t>
      </w:r>
      <w:proofErr w:type="spellEnd"/>
      <w:r w:rsidRPr="00D51A13">
        <w:t xml:space="preserve"> MS Office (</w:t>
      </w:r>
      <w:proofErr w:type="spellStart"/>
      <w:r w:rsidRPr="00D51A13">
        <w:t>особено</w:t>
      </w:r>
      <w:proofErr w:type="spellEnd"/>
      <w:r w:rsidRPr="00D51A13">
        <w:t xml:space="preserve"> Word и Excel). </w:t>
      </w:r>
      <w:proofErr w:type="spellStart"/>
      <w:r w:rsidRPr="00D51A13">
        <w:t>Търсят</w:t>
      </w:r>
      <w:proofErr w:type="spellEnd"/>
      <w:r w:rsidRPr="00D51A13">
        <w:t xml:space="preserve"> </w:t>
      </w:r>
      <w:proofErr w:type="spellStart"/>
      <w:r w:rsidRPr="00D51A13">
        <w:t>се</w:t>
      </w:r>
      <w:proofErr w:type="spellEnd"/>
      <w:r w:rsidRPr="00D51A13">
        <w:t xml:space="preserve"> </w:t>
      </w:r>
      <w:proofErr w:type="spellStart"/>
      <w:r w:rsidRPr="00D51A13">
        <w:t>кандидати</w:t>
      </w:r>
      <w:proofErr w:type="spellEnd"/>
      <w:r w:rsidRPr="00D51A13">
        <w:t xml:space="preserve"> с </w:t>
      </w:r>
      <w:proofErr w:type="spellStart"/>
      <w:r w:rsidRPr="00D51A13">
        <w:t>аналитично</w:t>
      </w:r>
      <w:proofErr w:type="spellEnd"/>
      <w:r w:rsidRPr="00D51A13">
        <w:t xml:space="preserve"> </w:t>
      </w:r>
      <w:proofErr w:type="spellStart"/>
      <w:r w:rsidRPr="00D51A13">
        <w:t>мислене</w:t>
      </w:r>
      <w:proofErr w:type="spellEnd"/>
      <w:r w:rsidRPr="00D51A13">
        <w:t xml:space="preserve">, </w:t>
      </w:r>
      <w:proofErr w:type="spellStart"/>
      <w:r w:rsidRPr="00D51A13">
        <w:t>инициативност</w:t>
      </w:r>
      <w:proofErr w:type="spellEnd"/>
      <w:r w:rsidRPr="00D51A13">
        <w:t xml:space="preserve">, </w:t>
      </w:r>
      <w:proofErr w:type="spellStart"/>
      <w:r w:rsidRPr="00D51A13">
        <w:t>предприемчивост</w:t>
      </w:r>
      <w:proofErr w:type="spellEnd"/>
      <w:r w:rsidRPr="00D51A13">
        <w:t xml:space="preserve">, </w:t>
      </w:r>
      <w:proofErr w:type="spellStart"/>
      <w:r w:rsidRPr="00D51A13">
        <w:t>гъвкавост</w:t>
      </w:r>
      <w:proofErr w:type="spellEnd"/>
      <w:r w:rsidRPr="00D51A13">
        <w:t xml:space="preserve">, </w:t>
      </w:r>
      <w:proofErr w:type="spellStart"/>
      <w:r w:rsidRPr="00D51A13">
        <w:t>силна</w:t>
      </w:r>
      <w:proofErr w:type="spellEnd"/>
      <w:r w:rsidRPr="00D51A13">
        <w:t xml:space="preserve"> </w:t>
      </w:r>
      <w:proofErr w:type="spellStart"/>
      <w:r w:rsidRPr="00D51A13">
        <w:t>мотивация</w:t>
      </w:r>
      <w:proofErr w:type="spellEnd"/>
      <w:r w:rsidRPr="00D51A13">
        <w:t xml:space="preserve"> </w:t>
      </w:r>
      <w:proofErr w:type="spellStart"/>
      <w:r w:rsidRPr="00D51A13">
        <w:t>за</w:t>
      </w:r>
      <w:proofErr w:type="spellEnd"/>
      <w:r w:rsidRPr="00D51A13">
        <w:t xml:space="preserve"> </w:t>
      </w:r>
      <w:proofErr w:type="spellStart"/>
      <w:r w:rsidRPr="00D51A13">
        <w:t>учене</w:t>
      </w:r>
      <w:proofErr w:type="spellEnd"/>
      <w:r w:rsidRPr="00D51A13">
        <w:t xml:space="preserve"> и </w:t>
      </w:r>
      <w:proofErr w:type="spellStart"/>
      <w:r w:rsidRPr="00D51A13">
        <w:t>умения</w:t>
      </w:r>
      <w:proofErr w:type="spellEnd"/>
      <w:r w:rsidRPr="00D51A13">
        <w:t xml:space="preserve"> </w:t>
      </w:r>
      <w:proofErr w:type="spellStart"/>
      <w:r w:rsidRPr="00D51A13">
        <w:t>за</w:t>
      </w:r>
      <w:proofErr w:type="spellEnd"/>
      <w:r w:rsidRPr="00D51A13">
        <w:t xml:space="preserve"> </w:t>
      </w:r>
      <w:proofErr w:type="spellStart"/>
      <w:r w:rsidRPr="00D51A13">
        <w:t>работа</w:t>
      </w:r>
      <w:proofErr w:type="spellEnd"/>
      <w:r w:rsidRPr="00D51A13">
        <w:t xml:space="preserve"> в </w:t>
      </w:r>
      <w:proofErr w:type="spellStart"/>
      <w:r w:rsidRPr="00D51A13">
        <w:t>екип</w:t>
      </w:r>
      <w:proofErr w:type="spellEnd"/>
      <w:r w:rsidRPr="00D51A13">
        <w:t xml:space="preserve">. </w:t>
      </w:r>
      <w:proofErr w:type="spellStart"/>
      <w:r w:rsidRPr="00D51A13">
        <w:t>Организираност</w:t>
      </w:r>
      <w:proofErr w:type="spellEnd"/>
      <w:r w:rsidRPr="00D51A13">
        <w:t xml:space="preserve"> и </w:t>
      </w:r>
      <w:proofErr w:type="spellStart"/>
      <w:r w:rsidRPr="00D51A13">
        <w:t>отговорност</w:t>
      </w:r>
      <w:proofErr w:type="spellEnd"/>
      <w:r w:rsidRPr="00D51A13">
        <w:t xml:space="preserve"> </w:t>
      </w:r>
      <w:proofErr w:type="spellStart"/>
      <w:r w:rsidRPr="00D51A13">
        <w:t>към</w:t>
      </w:r>
      <w:proofErr w:type="spellEnd"/>
      <w:r w:rsidRPr="00D51A13">
        <w:t xml:space="preserve"> </w:t>
      </w:r>
      <w:proofErr w:type="spellStart"/>
      <w:r w:rsidRPr="00D51A13">
        <w:t>поставените</w:t>
      </w:r>
      <w:proofErr w:type="spellEnd"/>
      <w:r w:rsidRPr="00D51A13">
        <w:t xml:space="preserve"> </w:t>
      </w:r>
      <w:proofErr w:type="spellStart"/>
      <w:r w:rsidRPr="00D51A13">
        <w:t>задачи</w:t>
      </w:r>
      <w:proofErr w:type="spellEnd"/>
      <w:r w:rsidRPr="00D51A13">
        <w:t xml:space="preserve"> </w:t>
      </w:r>
      <w:proofErr w:type="spellStart"/>
      <w:r w:rsidRPr="00D51A13">
        <w:t>също</w:t>
      </w:r>
      <w:proofErr w:type="spellEnd"/>
      <w:r w:rsidRPr="00D51A13">
        <w:t xml:space="preserve"> </w:t>
      </w:r>
      <w:proofErr w:type="spellStart"/>
      <w:r w:rsidRPr="00D51A13">
        <w:t>са</w:t>
      </w:r>
      <w:proofErr w:type="spellEnd"/>
      <w:r w:rsidRPr="00D51A13">
        <w:t xml:space="preserve"> </w:t>
      </w:r>
      <w:proofErr w:type="spellStart"/>
      <w:r w:rsidRPr="00D51A13">
        <w:t>ключови</w:t>
      </w:r>
      <w:proofErr w:type="spellEnd"/>
      <w:r w:rsidRPr="00D51A13">
        <w:t xml:space="preserve"> </w:t>
      </w:r>
      <w:proofErr w:type="spellStart"/>
      <w:r w:rsidRPr="00D51A13">
        <w:t>качества</w:t>
      </w:r>
      <w:proofErr w:type="spellEnd"/>
      <w:r w:rsidRPr="00D51A13">
        <w:t xml:space="preserve">. </w:t>
      </w:r>
      <w:proofErr w:type="spellStart"/>
      <w:r w:rsidRPr="00D51A13">
        <w:t>Компанията</w:t>
      </w:r>
      <w:proofErr w:type="spellEnd"/>
      <w:r w:rsidRPr="00D51A13">
        <w:t xml:space="preserve"> </w:t>
      </w:r>
      <w:proofErr w:type="spellStart"/>
      <w:r w:rsidRPr="00D51A13">
        <w:t>предлага</w:t>
      </w:r>
      <w:proofErr w:type="spellEnd"/>
      <w:r w:rsidRPr="00D51A13">
        <w:t xml:space="preserve"> </w:t>
      </w:r>
      <w:proofErr w:type="spellStart"/>
      <w:r w:rsidRPr="00D51A13">
        <w:t>сигурна</w:t>
      </w:r>
      <w:proofErr w:type="spellEnd"/>
      <w:r w:rsidRPr="00D51A13">
        <w:t xml:space="preserve"> </w:t>
      </w:r>
      <w:proofErr w:type="spellStart"/>
      <w:r w:rsidRPr="00D51A13">
        <w:t>работа</w:t>
      </w:r>
      <w:proofErr w:type="spellEnd"/>
      <w:r w:rsidRPr="00D51A13">
        <w:t xml:space="preserve"> в </w:t>
      </w:r>
      <w:proofErr w:type="spellStart"/>
      <w:r w:rsidRPr="00D51A13">
        <w:t>международна</w:t>
      </w:r>
      <w:proofErr w:type="spellEnd"/>
      <w:r w:rsidRPr="00D51A13">
        <w:t xml:space="preserve"> </w:t>
      </w:r>
      <w:proofErr w:type="spellStart"/>
      <w:r w:rsidRPr="00D51A13">
        <w:t>среда</w:t>
      </w:r>
      <w:proofErr w:type="spellEnd"/>
      <w:r w:rsidRPr="00D51A13">
        <w:t xml:space="preserve">, </w:t>
      </w:r>
      <w:proofErr w:type="spellStart"/>
      <w:r w:rsidRPr="00D51A13">
        <w:t>динамичен</w:t>
      </w:r>
      <w:proofErr w:type="spellEnd"/>
      <w:r w:rsidRPr="00D51A13">
        <w:t xml:space="preserve"> и </w:t>
      </w:r>
      <w:proofErr w:type="spellStart"/>
      <w:r w:rsidRPr="00D51A13">
        <w:t>мотивиран</w:t>
      </w:r>
      <w:proofErr w:type="spellEnd"/>
      <w:r w:rsidRPr="00D51A13">
        <w:t xml:space="preserve"> </w:t>
      </w:r>
      <w:proofErr w:type="spellStart"/>
      <w:r w:rsidRPr="00D51A13">
        <w:t>екип</w:t>
      </w:r>
      <w:proofErr w:type="spellEnd"/>
      <w:r w:rsidRPr="00D51A13">
        <w:t xml:space="preserve">, </w:t>
      </w:r>
      <w:proofErr w:type="spellStart"/>
      <w:r w:rsidRPr="00D51A13">
        <w:t>атрактивен</w:t>
      </w:r>
      <w:proofErr w:type="spellEnd"/>
      <w:r w:rsidRPr="00D51A13">
        <w:t xml:space="preserve"> </w:t>
      </w:r>
      <w:proofErr w:type="spellStart"/>
      <w:r w:rsidRPr="00D51A13">
        <w:t>пакет</w:t>
      </w:r>
      <w:proofErr w:type="spellEnd"/>
      <w:r w:rsidRPr="00D51A13">
        <w:t xml:space="preserve"> </w:t>
      </w:r>
      <w:proofErr w:type="spellStart"/>
      <w:r w:rsidRPr="00D51A13">
        <w:t>от</w:t>
      </w:r>
      <w:proofErr w:type="spellEnd"/>
      <w:r w:rsidRPr="00D51A13">
        <w:t xml:space="preserve"> </w:t>
      </w:r>
      <w:proofErr w:type="spellStart"/>
      <w:r w:rsidRPr="00D51A13">
        <w:t>възнаграждения</w:t>
      </w:r>
      <w:proofErr w:type="spellEnd"/>
      <w:r w:rsidRPr="00D51A13">
        <w:t xml:space="preserve">. </w:t>
      </w:r>
      <w:proofErr w:type="spellStart"/>
      <w:r w:rsidRPr="00D51A13">
        <w:t>Може</w:t>
      </w:r>
      <w:proofErr w:type="spellEnd"/>
      <w:r w:rsidRPr="00D51A13">
        <w:t xml:space="preserve"> </w:t>
      </w:r>
      <w:proofErr w:type="spellStart"/>
      <w:r w:rsidRPr="00D51A13">
        <w:t>да</w:t>
      </w:r>
      <w:proofErr w:type="spellEnd"/>
      <w:r w:rsidRPr="00D51A13">
        <w:t xml:space="preserve"> </w:t>
      </w:r>
      <w:proofErr w:type="spellStart"/>
      <w:r w:rsidRPr="00D51A13">
        <w:t>подадете</w:t>
      </w:r>
      <w:proofErr w:type="spellEnd"/>
      <w:r w:rsidRPr="00D51A13">
        <w:t xml:space="preserve"> </w:t>
      </w:r>
      <w:proofErr w:type="spellStart"/>
      <w:r w:rsidRPr="00D51A13">
        <w:t>документи</w:t>
      </w:r>
      <w:proofErr w:type="spellEnd"/>
      <w:r w:rsidRPr="00D51A13">
        <w:t xml:space="preserve"> </w:t>
      </w:r>
      <w:proofErr w:type="spellStart"/>
      <w:r w:rsidRPr="00D51A13">
        <w:t>през</w:t>
      </w:r>
      <w:proofErr w:type="spellEnd"/>
      <w:r w:rsidRPr="00D51A13">
        <w:t xml:space="preserve"> </w:t>
      </w:r>
      <w:hyperlink r:id="rId25" w:history="1">
        <w:proofErr w:type="spellStart"/>
        <w:r w:rsidRPr="00D51A13">
          <w:rPr>
            <w:rStyle w:val="Hyperlink"/>
          </w:rPr>
          <w:t>страницата</w:t>
        </w:r>
        <w:proofErr w:type="spellEnd"/>
        <w:r w:rsidRPr="00D51A13">
          <w:rPr>
            <w:rStyle w:val="Hyperlink"/>
          </w:rPr>
          <w:t>.</w:t>
        </w:r>
      </w:hyperlink>
    </w:p>
    <w:p w14:paraId="3A52C91B" w14:textId="7B6A370C" w:rsidR="004F0EDF" w:rsidRPr="004F0EDF" w:rsidRDefault="004F0EDF" w:rsidP="00DA2BD1">
      <w:pPr>
        <w:spacing w:before="120" w:after="600" w:line="276" w:lineRule="auto"/>
        <w:jc w:val="both"/>
        <w:rPr>
          <w:b/>
          <w:lang w:val="bg-BG"/>
        </w:rPr>
      </w:pPr>
      <w:r w:rsidRPr="004F0EDF">
        <w:rPr>
          <w:b/>
          <w:lang w:val="bg-BG"/>
        </w:rPr>
        <w:t>Краен срок: не е посочен</w:t>
      </w:r>
    </w:p>
    <w:p w14:paraId="3AFCD591" w14:textId="77777777" w:rsidR="00410D7A" w:rsidRDefault="004F0EDF" w:rsidP="00410D7A">
      <w:pPr>
        <w:pStyle w:val="Heading2"/>
        <w:ind w:left="284"/>
        <w:rPr>
          <w:lang w:val="bg-BG"/>
        </w:rPr>
      </w:pPr>
      <w:bookmarkStart w:id="11" w:name="_Toc197365376"/>
      <w:r>
        <w:rPr>
          <w:lang w:val="bg-BG"/>
        </w:rPr>
        <w:t>Стаж по маркетинг в социалните медии</w:t>
      </w:r>
      <w:bookmarkEnd w:id="11"/>
      <w:r>
        <w:rPr>
          <w:lang w:val="bg-BG"/>
        </w:rPr>
        <w:t xml:space="preserve"> </w:t>
      </w:r>
    </w:p>
    <w:p w14:paraId="3A53BD85" w14:textId="77777777" w:rsidR="00410D7A" w:rsidRDefault="00EC48CD" w:rsidP="00410D7A">
      <w:pPr>
        <w:spacing w:before="120" w:after="120" w:line="276" w:lineRule="auto"/>
        <w:jc w:val="both"/>
        <w:rPr>
          <w:lang w:val="bg-BG"/>
        </w:rPr>
      </w:pPr>
      <w:r>
        <w:t>AMCO</w:t>
      </w:r>
      <w:r w:rsidRPr="00FA4F1B">
        <w:rPr>
          <w:lang w:val="bg-BG"/>
        </w:rPr>
        <w:t xml:space="preserve"> </w:t>
      </w:r>
      <w:r>
        <w:t>Bulgaria</w:t>
      </w:r>
      <w:r w:rsidRPr="00FA4F1B">
        <w:rPr>
          <w:lang w:val="bg-BG"/>
        </w:rPr>
        <w:t xml:space="preserve"> </w:t>
      </w:r>
      <w:r w:rsidR="00410D7A">
        <w:rPr>
          <w:lang w:val="bg-BG"/>
        </w:rPr>
        <w:t xml:space="preserve">предлага стаж по маркетинг в социалните медии. </w:t>
      </w:r>
      <w:r w:rsidRPr="00FA4F1B">
        <w:rPr>
          <w:lang w:val="bg-BG"/>
        </w:rPr>
        <w:t xml:space="preserve">Стажантът ще бъде ключова част от маркетинг екипа на </w:t>
      </w:r>
      <w:r>
        <w:t>AMCO</w:t>
      </w:r>
      <w:r w:rsidRPr="00FA4F1B">
        <w:rPr>
          <w:lang w:val="bg-BG"/>
        </w:rPr>
        <w:t xml:space="preserve"> и ще има възможност да създава видео съдържание за </w:t>
      </w:r>
      <w:r>
        <w:t>TikTok</w:t>
      </w:r>
      <w:r w:rsidRPr="00FA4F1B">
        <w:rPr>
          <w:lang w:val="bg-BG"/>
        </w:rPr>
        <w:t xml:space="preserve">, </w:t>
      </w:r>
      <w:r>
        <w:t>Instagram</w:t>
      </w:r>
      <w:r w:rsidRPr="00FA4F1B">
        <w:rPr>
          <w:lang w:val="bg-BG"/>
        </w:rPr>
        <w:t xml:space="preserve"> и </w:t>
      </w:r>
      <w:r>
        <w:t>LinkedIn</w:t>
      </w:r>
      <w:r w:rsidRPr="00FA4F1B">
        <w:rPr>
          <w:lang w:val="bg-BG"/>
        </w:rPr>
        <w:t xml:space="preserve">, да развива социалните мрежи с креативни идеи, да участва в брандирани кампании и промоции, да помага в създаването на дизайни, постове и текстове, както и (по желание) да се включва в платени реклами, </w:t>
      </w:r>
      <w:r>
        <w:t>SEO</w:t>
      </w:r>
      <w:r w:rsidRPr="00FA4F1B">
        <w:rPr>
          <w:lang w:val="bg-BG"/>
        </w:rPr>
        <w:t xml:space="preserve"> и имейл маркетинг. Ще работи пряко с маркетинг, бранд и продуктов мениджър и ще допринася за изграждането на имиджа на </w:t>
      </w:r>
      <w:r>
        <w:t>AMCO</w:t>
      </w:r>
      <w:r w:rsidRPr="00FA4F1B">
        <w:rPr>
          <w:lang w:val="bg-BG"/>
        </w:rPr>
        <w:t xml:space="preserve"> като модерен и близък до хората бранд</w:t>
      </w:r>
      <w:r w:rsidR="00410D7A">
        <w:rPr>
          <w:lang w:val="bg-BG"/>
        </w:rPr>
        <w:t>.</w:t>
      </w:r>
    </w:p>
    <w:p w14:paraId="7874E869" w14:textId="5AD3BB49" w:rsidR="00D51A13" w:rsidRDefault="00CD4CA6" w:rsidP="00410D7A">
      <w:pPr>
        <w:spacing w:before="120" w:after="120" w:line="276" w:lineRule="auto"/>
        <w:jc w:val="both"/>
      </w:pPr>
      <w:r w:rsidRPr="00FA4F1B">
        <w:rPr>
          <w:lang w:val="bg-BG"/>
        </w:rPr>
        <w:t xml:space="preserve">Ролята е перфектна за креативна личност с афинитет към видео съдържание, дизайн и социалните мрежи. Нужно е кандидатите да проявяват интерес към социалните медии, трендове, стратегии и </w:t>
      </w:r>
      <w:r>
        <w:t>storytelling</w:t>
      </w:r>
      <w:r w:rsidRPr="00FA4F1B">
        <w:rPr>
          <w:lang w:val="bg-BG"/>
        </w:rPr>
        <w:t xml:space="preserve">, имат естествено присъствие пред камера и желание да снимат забавни видеа, скечове или ревюта и умеят да създават ангажиращи видеа, имат афинитет към дизайна и око за красива визия; </w:t>
      </w:r>
      <w:r>
        <w:t>Canva</w:t>
      </w:r>
      <w:r w:rsidRPr="00FA4F1B">
        <w:rPr>
          <w:lang w:val="bg-BG"/>
        </w:rPr>
        <w:t xml:space="preserve"> е плюс, показват амбиция и проактивност – искат да се учат в реална работна среда, имат базови познания по видеообработка (</w:t>
      </w:r>
      <w:proofErr w:type="spellStart"/>
      <w:r>
        <w:t>CapCut</w:t>
      </w:r>
      <w:proofErr w:type="spellEnd"/>
      <w:r w:rsidRPr="00FA4F1B">
        <w:rPr>
          <w:lang w:val="bg-BG"/>
        </w:rPr>
        <w:t xml:space="preserve"> / </w:t>
      </w:r>
      <w:r>
        <w:t>Reels</w:t>
      </w:r>
      <w:r w:rsidRPr="00FA4F1B">
        <w:rPr>
          <w:lang w:val="bg-BG"/>
        </w:rPr>
        <w:t xml:space="preserve"> / </w:t>
      </w:r>
      <w:r>
        <w:t>TikTok</w:t>
      </w:r>
      <w:r w:rsidRPr="00FA4F1B">
        <w:rPr>
          <w:lang w:val="bg-BG"/>
        </w:rPr>
        <w:t xml:space="preserve"> </w:t>
      </w:r>
      <w:r>
        <w:t>Editor</w:t>
      </w:r>
      <w:r w:rsidRPr="00FA4F1B">
        <w:rPr>
          <w:lang w:val="bg-BG"/>
        </w:rPr>
        <w:t xml:space="preserve">), умеят да пишат ангажиращо и оригинално копи, са комуникативни, работят добре в екип и предлагат свежи идеи, притежават силно изразена креативност и чувство за хумор, не е нужно да имат предишен опит – важно е позитивното отношение и желанието за развитие. </w:t>
      </w:r>
      <w:r w:rsidR="00410D7A">
        <w:rPr>
          <w:lang w:val="bg-BG"/>
        </w:rPr>
        <w:t>Стажът е п</w:t>
      </w:r>
      <w:r w:rsidRPr="00FA4F1B">
        <w:rPr>
          <w:lang w:val="bg-BG"/>
        </w:rPr>
        <w:t>латен</w:t>
      </w:r>
      <w:r w:rsidR="00410D7A">
        <w:rPr>
          <w:lang w:val="bg-BG"/>
        </w:rPr>
        <w:t>,</w:t>
      </w:r>
      <w:r w:rsidRPr="00FA4F1B">
        <w:rPr>
          <w:lang w:val="bg-BG"/>
        </w:rPr>
        <w:t xml:space="preserve"> 6-месечен</w:t>
      </w:r>
      <w:r w:rsidR="00410D7A">
        <w:rPr>
          <w:lang w:val="bg-BG"/>
        </w:rPr>
        <w:t xml:space="preserve">, на </w:t>
      </w:r>
      <w:r w:rsidRPr="00FA4F1B">
        <w:rPr>
          <w:lang w:val="bg-BG"/>
        </w:rPr>
        <w:t xml:space="preserve">4-часов работен ден с гъвкаво работно време. </w:t>
      </w:r>
      <w:proofErr w:type="spellStart"/>
      <w:r>
        <w:t>Може</w:t>
      </w:r>
      <w:proofErr w:type="spellEnd"/>
      <w:r>
        <w:t xml:space="preserve"> </w:t>
      </w:r>
      <w:proofErr w:type="spellStart"/>
      <w:r>
        <w:t>да</w:t>
      </w:r>
      <w:proofErr w:type="spellEnd"/>
      <w:r>
        <w:t xml:space="preserve"> </w:t>
      </w:r>
      <w:proofErr w:type="spellStart"/>
      <w:r>
        <w:t>кандидатствате</w:t>
      </w:r>
      <w:proofErr w:type="spellEnd"/>
      <w:r>
        <w:t xml:space="preserve"> </w:t>
      </w:r>
      <w:proofErr w:type="spellStart"/>
      <w:r>
        <w:t>през</w:t>
      </w:r>
      <w:proofErr w:type="spellEnd"/>
      <w:r>
        <w:t xml:space="preserve"> </w:t>
      </w:r>
      <w:hyperlink r:id="rId26" w:history="1">
        <w:proofErr w:type="spellStart"/>
        <w:r w:rsidRPr="00CD4CA6">
          <w:rPr>
            <w:rStyle w:val="Hyperlink"/>
          </w:rPr>
          <w:t>сайта</w:t>
        </w:r>
        <w:proofErr w:type="spellEnd"/>
        <w:r w:rsidRPr="00CD4CA6">
          <w:rPr>
            <w:rStyle w:val="Hyperlink"/>
          </w:rPr>
          <w:t>.</w:t>
        </w:r>
      </w:hyperlink>
    </w:p>
    <w:p w14:paraId="1F6EFBB0" w14:textId="44E78983" w:rsidR="006931A1" w:rsidRDefault="00410D7A" w:rsidP="00471ACE">
      <w:pPr>
        <w:spacing w:before="120" w:after="600" w:line="276" w:lineRule="auto"/>
        <w:jc w:val="both"/>
        <w:rPr>
          <w:b/>
        </w:rPr>
      </w:pPr>
      <w:r w:rsidRPr="00410D7A">
        <w:rPr>
          <w:b/>
          <w:lang w:val="bg-BG"/>
        </w:rPr>
        <w:t>Краен срок: не е посочен</w:t>
      </w:r>
    </w:p>
    <w:p w14:paraId="447481B5" w14:textId="77777777" w:rsidR="0084197B" w:rsidRDefault="0084197B" w:rsidP="00E37D05">
      <w:pPr>
        <w:pStyle w:val="Heading2"/>
        <w:ind w:left="426"/>
      </w:pPr>
      <w:bookmarkStart w:id="12" w:name="_Toc197365377"/>
      <w:r w:rsidRPr="0074070F">
        <w:t>Лятна стажантска програма</w:t>
      </w:r>
      <w:r>
        <w:rPr>
          <w:lang w:val="bg-BG"/>
        </w:rPr>
        <w:t xml:space="preserve"> на </w:t>
      </w:r>
      <w:r w:rsidR="0074070F" w:rsidRPr="0074070F">
        <w:t>"Мото-Пфое"</w:t>
      </w:r>
      <w:bookmarkEnd w:id="12"/>
      <w:r w:rsidR="0074070F" w:rsidRPr="0074070F">
        <w:t xml:space="preserve"> </w:t>
      </w:r>
    </w:p>
    <w:p w14:paraId="66BD38A3" w14:textId="77777777" w:rsidR="00E37D05" w:rsidRPr="00FA4F1B" w:rsidRDefault="0074070F" w:rsidP="00E37D05">
      <w:pPr>
        <w:spacing w:before="120" w:after="120" w:line="276" w:lineRule="auto"/>
        <w:jc w:val="both"/>
        <w:rPr>
          <w:lang w:val="bg-BG"/>
        </w:rPr>
      </w:pPr>
      <w:r w:rsidRPr="0074070F">
        <w:t>"</w:t>
      </w:r>
      <w:proofErr w:type="spellStart"/>
      <w:r w:rsidRPr="0074070F">
        <w:t>МотоПфое</w:t>
      </w:r>
      <w:proofErr w:type="spellEnd"/>
      <w:r w:rsidRPr="0074070F">
        <w:t>"</w:t>
      </w:r>
      <w:r w:rsidR="00E37D05">
        <w:rPr>
          <w:lang w:val="bg-BG"/>
        </w:rPr>
        <w:t>,</w:t>
      </w:r>
      <w:r w:rsidRPr="0074070F">
        <w:t xml:space="preserve"> </w:t>
      </w:r>
      <w:proofErr w:type="spellStart"/>
      <w:r w:rsidRPr="0074070F">
        <w:t>една</w:t>
      </w:r>
      <w:proofErr w:type="spellEnd"/>
      <w:r w:rsidRPr="0074070F">
        <w:t xml:space="preserve"> </w:t>
      </w:r>
      <w:proofErr w:type="spellStart"/>
      <w:r w:rsidRPr="0074070F">
        <w:t>от</w:t>
      </w:r>
      <w:proofErr w:type="spellEnd"/>
      <w:r w:rsidRPr="0074070F">
        <w:t xml:space="preserve"> </w:t>
      </w:r>
      <w:proofErr w:type="spellStart"/>
      <w:r w:rsidRPr="0074070F">
        <w:t>първите</w:t>
      </w:r>
      <w:proofErr w:type="spellEnd"/>
      <w:r w:rsidRPr="0074070F">
        <w:t xml:space="preserve"> </w:t>
      </w:r>
      <w:proofErr w:type="spellStart"/>
      <w:r w:rsidRPr="0074070F">
        <w:t>частни</w:t>
      </w:r>
      <w:proofErr w:type="spellEnd"/>
      <w:r w:rsidRPr="0074070F">
        <w:t xml:space="preserve"> </w:t>
      </w:r>
      <w:proofErr w:type="spellStart"/>
      <w:r w:rsidRPr="0074070F">
        <w:t>автомобилни</w:t>
      </w:r>
      <w:proofErr w:type="spellEnd"/>
      <w:r w:rsidRPr="0074070F">
        <w:t xml:space="preserve"> </w:t>
      </w:r>
      <w:proofErr w:type="spellStart"/>
      <w:r w:rsidRPr="0074070F">
        <w:t>компании</w:t>
      </w:r>
      <w:proofErr w:type="spellEnd"/>
      <w:r w:rsidRPr="0074070F">
        <w:t xml:space="preserve"> в </w:t>
      </w:r>
      <w:proofErr w:type="gramStart"/>
      <w:r w:rsidRPr="0074070F">
        <w:t>България</w:t>
      </w:r>
      <w:r w:rsidR="00E37D05">
        <w:rPr>
          <w:lang w:val="bg-BG"/>
        </w:rPr>
        <w:t xml:space="preserve">, </w:t>
      </w:r>
      <w:r w:rsidRPr="0074070F">
        <w:t xml:space="preserve"> </w:t>
      </w:r>
      <w:proofErr w:type="spellStart"/>
      <w:r w:rsidRPr="0074070F">
        <w:t>официален</w:t>
      </w:r>
      <w:proofErr w:type="spellEnd"/>
      <w:proofErr w:type="gramEnd"/>
      <w:r w:rsidRPr="0074070F">
        <w:t xml:space="preserve"> </w:t>
      </w:r>
      <w:proofErr w:type="spellStart"/>
      <w:r w:rsidRPr="0074070F">
        <w:t>дилър</w:t>
      </w:r>
      <w:proofErr w:type="spellEnd"/>
      <w:r w:rsidRPr="0074070F">
        <w:t xml:space="preserve"> </w:t>
      </w:r>
      <w:proofErr w:type="spellStart"/>
      <w:r w:rsidRPr="0074070F">
        <w:t>на</w:t>
      </w:r>
      <w:proofErr w:type="spellEnd"/>
      <w:r w:rsidRPr="0074070F">
        <w:t xml:space="preserve"> </w:t>
      </w:r>
      <w:proofErr w:type="spellStart"/>
      <w:r w:rsidRPr="0074070F">
        <w:t>марките</w:t>
      </w:r>
      <w:proofErr w:type="spellEnd"/>
      <w:r w:rsidRPr="0074070F">
        <w:t xml:space="preserve"> Ford, Volvo, Jaguar и Land Rover</w:t>
      </w:r>
      <w:r w:rsidR="00E37D05">
        <w:rPr>
          <w:lang w:val="bg-BG"/>
        </w:rPr>
        <w:t>, открива стажантската си програма. Компанията и</w:t>
      </w:r>
      <w:r w:rsidRPr="00FA4F1B">
        <w:rPr>
          <w:lang w:val="bg-BG"/>
        </w:rPr>
        <w:t xml:space="preserve">ма представителства в градовете София, Пловдив, Варна, Бургас, Русе, Плевен и Стара Загора. Портфолиото на дейността на "Мото-Пфое" включва продажба и сервизиране на нови и употребявани автомобили, краткосрочни и дългосрочни наеми, сервиз, застраховки, резервни части, аксесоари, финансиране на автомобилни сделки. </w:t>
      </w:r>
    </w:p>
    <w:p w14:paraId="29B8087A" w14:textId="77777777" w:rsidR="00E37D05" w:rsidRPr="00FA4F1B" w:rsidRDefault="0074070F" w:rsidP="00E37D05">
      <w:pPr>
        <w:spacing w:before="120" w:after="120" w:line="276" w:lineRule="auto"/>
        <w:jc w:val="both"/>
        <w:rPr>
          <w:lang w:val="bg-BG"/>
        </w:rPr>
      </w:pPr>
      <w:r w:rsidRPr="00FA4F1B">
        <w:rPr>
          <w:lang w:val="bg-BG"/>
        </w:rPr>
        <w:t xml:space="preserve">Направленията с възможност за стаж са: Инженерни науки, Икономика, Връзки с обществеността, Маркетинг, Човешки ресурси, Счетоводство и контрол, Доставки и логистика, Финанси, Информационни технологии. </w:t>
      </w:r>
    </w:p>
    <w:p w14:paraId="47F0399A" w14:textId="77777777" w:rsidR="00E37D05" w:rsidRPr="00FA4F1B" w:rsidRDefault="0074070F" w:rsidP="00E37D05">
      <w:pPr>
        <w:spacing w:before="120" w:after="120" w:line="276" w:lineRule="auto"/>
        <w:jc w:val="both"/>
        <w:rPr>
          <w:lang w:val="bg-BG"/>
        </w:rPr>
      </w:pPr>
      <w:r w:rsidRPr="00FA4F1B">
        <w:rPr>
          <w:lang w:val="bg-BG"/>
        </w:rPr>
        <w:t xml:space="preserve">Изисквания: Студенти, завършили 2-ри курс на обучение в съответната специалност. Желание, отговорност и мотивация за получаване на нови знания. </w:t>
      </w:r>
    </w:p>
    <w:p w14:paraId="156C729D" w14:textId="22E6A5DF" w:rsidR="0074070F" w:rsidRPr="00FA4F1B" w:rsidRDefault="0074070F" w:rsidP="00E37D05">
      <w:pPr>
        <w:spacing w:before="120" w:after="120" w:line="276" w:lineRule="auto"/>
        <w:jc w:val="both"/>
        <w:rPr>
          <w:lang w:val="bg-BG"/>
        </w:rPr>
      </w:pPr>
      <w:r w:rsidRPr="00FA4F1B">
        <w:rPr>
          <w:lang w:val="bg-BG"/>
        </w:rPr>
        <w:t xml:space="preserve">Заплащане и период: Срочен договор за платен стаж. Може да кандидатствате, като подадете </w:t>
      </w:r>
      <w:r w:rsidRPr="0074070F">
        <w:t>CV</w:t>
      </w:r>
      <w:r w:rsidRPr="00FA4F1B">
        <w:rPr>
          <w:lang w:val="bg-BG"/>
        </w:rPr>
        <w:t xml:space="preserve"> на имейл </w:t>
      </w:r>
      <w:r w:rsidR="00E37D05">
        <w:fldChar w:fldCharType="begin"/>
      </w:r>
      <w:r w:rsidR="00E37D05">
        <w:instrText>HYPERLINK</w:instrText>
      </w:r>
      <w:r w:rsidR="00E37D05" w:rsidRPr="00FA4F1B">
        <w:rPr>
          <w:lang w:val="bg-BG"/>
        </w:rPr>
        <w:instrText xml:space="preserve"> "</w:instrText>
      </w:r>
      <w:r w:rsidR="00E37D05">
        <w:instrText>mailto</w:instrText>
      </w:r>
      <w:r w:rsidR="00E37D05" w:rsidRPr="00FA4F1B">
        <w:rPr>
          <w:lang w:val="bg-BG"/>
        </w:rPr>
        <w:instrText>:</w:instrText>
      </w:r>
      <w:r w:rsidR="00E37D05">
        <w:instrText>HR</w:instrText>
      </w:r>
      <w:r w:rsidR="00E37D05" w:rsidRPr="00FA4F1B">
        <w:rPr>
          <w:lang w:val="bg-BG"/>
        </w:rPr>
        <w:instrText>@</w:instrText>
      </w:r>
      <w:r w:rsidR="00E37D05">
        <w:instrText>motopfohe</w:instrText>
      </w:r>
      <w:r w:rsidR="00E37D05" w:rsidRPr="00FA4F1B">
        <w:rPr>
          <w:lang w:val="bg-BG"/>
        </w:rPr>
        <w:instrText>.</w:instrText>
      </w:r>
      <w:r w:rsidR="00E37D05">
        <w:instrText>bg</w:instrText>
      </w:r>
      <w:r w:rsidR="00E37D05" w:rsidRPr="00FA4F1B">
        <w:rPr>
          <w:lang w:val="bg-BG"/>
        </w:rPr>
        <w:instrText>"</w:instrText>
      </w:r>
      <w:r w:rsidR="00E37D05">
        <w:fldChar w:fldCharType="separate"/>
      </w:r>
      <w:r w:rsidR="00E37D05" w:rsidRPr="00A05563">
        <w:rPr>
          <w:rStyle w:val="Hyperlink"/>
        </w:rPr>
        <w:t>HR</w:t>
      </w:r>
      <w:r w:rsidR="00E37D05" w:rsidRPr="00FA4F1B">
        <w:rPr>
          <w:rStyle w:val="Hyperlink"/>
          <w:lang w:val="bg-BG"/>
        </w:rPr>
        <w:t>@</w:t>
      </w:r>
      <w:proofErr w:type="spellStart"/>
      <w:r w:rsidR="00E37D05" w:rsidRPr="00A05563">
        <w:rPr>
          <w:rStyle w:val="Hyperlink"/>
        </w:rPr>
        <w:t>motopfohe</w:t>
      </w:r>
      <w:proofErr w:type="spellEnd"/>
      <w:r w:rsidR="00E37D05" w:rsidRPr="00FA4F1B">
        <w:rPr>
          <w:rStyle w:val="Hyperlink"/>
          <w:lang w:val="bg-BG"/>
        </w:rPr>
        <w:t>.</w:t>
      </w:r>
      <w:proofErr w:type="spellStart"/>
      <w:r w:rsidR="00E37D05" w:rsidRPr="00A05563">
        <w:rPr>
          <w:rStyle w:val="Hyperlink"/>
        </w:rPr>
        <w:t>bg</w:t>
      </w:r>
      <w:proofErr w:type="spellEnd"/>
      <w:r w:rsidR="00E37D05">
        <w:fldChar w:fldCharType="end"/>
      </w:r>
    </w:p>
    <w:p w14:paraId="229D7315" w14:textId="66C48828" w:rsidR="00E37D05" w:rsidRPr="00E37D05" w:rsidRDefault="00E37D05" w:rsidP="00471ACE">
      <w:pPr>
        <w:spacing w:before="120" w:after="600" w:line="276" w:lineRule="auto"/>
        <w:jc w:val="both"/>
        <w:rPr>
          <w:b/>
          <w:lang w:val="bg-BG"/>
        </w:rPr>
      </w:pPr>
      <w:r w:rsidRPr="00E37D05">
        <w:rPr>
          <w:b/>
          <w:lang w:val="bg-BG"/>
        </w:rPr>
        <w:t>Краен срок: не е посочен</w:t>
      </w:r>
    </w:p>
    <w:p w14:paraId="419501E3" w14:textId="77777777" w:rsidR="0099041D" w:rsidRPr="005A5126" w:rsidRDefault="005A5126" w:rsidP="005A5126">
      <w:pPr>
        <w:pStyle w:val="Heading2"/>
        <w:ind w:left="426"/>
        <w:rPr>
          <w:lang w:val="bg-BG"/>
        </w:rPr>
      </w:pPr>
      <w:bookmarkStart w:id="13" w:name="_Toc197365378"/>
      <w:r>
        <w:rPr>
          <w:lang w:val="bg-BG"/>
        </w:rPr>
        <w:t>Стаж в м</w:t>
      </w:r>
      <w:r w:rsidRPr="0099041D">
        <w:t>еждународната компания Onsites</w:t>
      </w:r>
      <w:bookmarkEnd w:id="13"/>
    </w:p>
    <w:p w14:paraId="0C764832" w14:textId="297BB4ED" w:rsidR="005A5126" w:rsidRPr="00FA4F1B" w:rsidRDefault="0099041D" w:rsidP="0099041D">
      <w:pPr>
        <w:spacing w:before="120" w:after="120" w:line="276" w:lineRule="auto"/>
        <w:jc w:val="both"/>
        <w:rPr>
          <w:bCs/>
          <w:lang w:val="bg-BG"/>
        </w:rPr>
      </w:pPr>
      <w:r w:rsidRPr="00FA4F1B">
        <w:rPr>
          <w:bCs/>
          <w:lang w:val="bg-BG"/>
        </w:rPr>
        <w:t>Международната компания</w:t>
      </w:r>
      <w:r w:rsidRPr="0099041D">
        <w:rPr>
          <w:bCs/>
        </w:rPr>
        <w:t> </w:t>
      </w:r>
      <w:proofErr w:type="spellStart"/>
      <w:r w:rsidRPr="0099041D">
        <w:rPr>
          <w:bCs/>
        </w:rPr>
        <w:t>Onsites</w:t>
      </w:r>
      <w:proofErr w:type="spellEnd"/>
      <w:r w:rsidRPr="00FA4F1B">
        <w:rPr>
          <w:bCs/>
          <w:lang w:val="bg-BG"/>
        </w:rPr>
        <w:t>, свързана с предлагането на решения в уеб пространството, търси стажант „Маркетинг на съдържанието“</w:t>
      </w:r>
      <w:r w:rsidR="003A1DA7">
        <w:rPr>
          <w:bCs/>
          <w:lang w:val="bg-BG"/>
        </w:rPr>
        <w:t xml:space="preserve">. </w:t>
      </w:r>
      <w:r w:rsidR="003A1DA7" w:rsidRPr="00FA4F1B">
        <w:rPr>
          <w:bCs/>
          <w:lang w:val="bg-BG"/>
        </w:rPr>
        <w:t xml:space="preserve">Стажантът ще създава висококачествено съдържание за уеб порталите на компанията, ще пише статии, ще проучва нови теми и разработки в различни области, ще управлява съдържание. </w:t>
      </w:r>
      <w:r w:rsidR="003A1DA7">
        <w:rPr>
          <w:bCs/>
          <w:lang w:val="bg-BG"/>
        </w:rPr>
        <w:t>Обявени са и други свободни стажантски позиции в отдел „Маркетинг“</w:t>
      </w:r>
      <w:r w:rsidRPr="00FA4F1B">
        <w:rPr>
          <w:bCs/>
          <w:lang w:val="bg-BG"/>
        </w:rPr>
        <w:t>.</w:t>
      </w:r>
      <w:r w:rsidRPr="0099041D">
        <w:rPr>
          <w:bCs/>
        </w:rPr>
        <w:t> </w:t>
      </w:r>
      <w:r w:rsidRPr="00FA4F1B">
        <w:rPr>
          <w:bCs/>
          <w:lang w:val="bg-BG"/>
        </w:rPr>
        <w:t xml:space="preserve"> </w:t>
      </w:r>
    </w:p>
    <w:p w14:paraId="30BC5AC4" w14:textId="5E3F8372" w:rsidR="0099041D" w:rsidRDefault="0099041D" w:rsidP="0099041D">
      <w:pPr>
        <w:spacing w:before="120" w:after="120" w:line="276" w:lineRule="auto"/>
        <w:jc w:val="both"/>
        <w:rPr>
          <w:bCs/>
        </w:rPr>
      </w:pPr>
      <w:r w:rsidRPr="00FA4F1B">
        <w:rPr>
          <w:bCs/>
          <w:lang w:val="bg-BG"/>
        </w:rPr>
        <w:t>Програмата е платена, като стажант</w:t>
      </w:r>
      <w:r w:rsidR="003A1DA7">
        <w:rPr>
          <w:bCs/>
          <w:lang w:val="bg-BG"/>
        </w:rPr>
        <w:t>ите</w:t>
      </w:r>
      <w:r w:rsidRPr="00FA4F1B">
        <w:rPr>
          <w:bCs/>
          <w:lang w:val="bg-BG"/>
        </w:rPr>
        <w:t xml:space="preserve"> може да се възползва</w:t>
      </w:r>
      <w:r w:rsidR="003A1DA7">
        <w:rPr>
          <w:bCs/>
          <w:lang w:val="bg-BG"/>
        </w:rPr>
        <w:t>т</w:t>
      </w:r>
      <w:r w:rsidRPr="00FA4F1B">
        <w:rPr>
          <w:bCs/>
          <w:lang w:val="bg-BG"/>
        </w:rPr>
        <w:t xml:space="preserve"> от хибридна форма на работа. Нужно е кандидатите да са на възраст под 25 години, да са в трета или четвърта година на бакалавърско обучение или да учат магистърска степен, да владеят отлично английски език, да работят добре в екип. </w:t>
      </w:r>
      <w:proofErr w:type="spellStart"/>
      <w:r w:rsidRPr="0099041D">
        <w:rPr>
          <w:bCs/>
        </w:rPr>
        <w:t>Кандидатствайте</w:t>
      </w:r>
      <w:proofErr w:type="spellEnd"/>
      <w:r w:rsidRPr="0099041D">
        <w:rPr>
          <w:bCs/>
        </w:rPr>
        <w:t> </w:t>
      </w:r>
      <w:proofErr w:type="spellStart"/>
      <w:r>
        <w:fldChar w:fldCharType="begin"/>
      </w:r>
      <w:r>
        <w:instrText>HYPERLINK "https://onsites.com/en/career"</w:instrText>
      </w:r>
      <w:r>
        <w:fldChar w:fldCharType="separate"/>
      </w:r>
      <w:r w:rsidRPr="000E7E9F">
        <w:rPr>
          <w:rStyle w:val="Hyperlink"/>
          <w:bCs/>
        </w:rPr>
        <w:t>тук</w:t>
      </w:r>
      <w:proofErr w:type="spellEnd"/>
      <w:r w:rsidRPr="000E7E9F">
        <w:rPr>
          <w:rStyle w:val="Hyperlink"/>
          <w:bCs/>
        </w:rPr>
        <w:t>.</w:t>
      </w:r>
      <w:r>
        <w:fldChar w:fldCharType="end"/>
      </w:r>
    </w:p>
    <w:p w14:paraId="44F2D84F" w14:textId="7E32C7A7" w:rsidR="0099041D" w:rsidRDefault="0099041D" w:rsidP="001B0E58">
      <w:pPr>
        <w:spacing w:before="120" w:after="480" w:line="276" w:lineRule="auto"/>
        <w:jc w:val="both"/>
        <w:rPr>
          <w:b/>
          <w:bCs/>
          <w:lang w:val="bg-BG"/>
        </w:rPr>
      </w:pPr>
      <w:bookmarkStart w:id="14" w:name="_Hlk187073466"/>
      <w:r w:rsidRPr="005A5126">
        <w:rPr>
          <w:b/>
          <w:bCs/>
          <w:lang w:val="bg-BG"/>
        </w:rPr>
        <w:t>Краен срок: не е посочен</w:t>
      </w:r>
    </w:p>
    <w:p w14:paraId="07E5A4DA" w14:textId="0061E6E8" w:rsidR="003A1DA7" w:rsidRPr="003A1DA7" w:rsidRDefault="003A1DA7" w:rsidP="005354EA">
      <w:pPr>
        <w:pStyle w:val="Heading2"/>
        <w:ind w:left="426"/>
        <w:rPr>
          <w:lang w:val="bg-BG"/>
        </w:rPr>
      </w:pPr>
      <w:bookmarkStart w:id="15" w:name="_Toc197365379"/>
      <w:bookmarkEnd w:id="14"/>
      <w:r>
        <w:rPr>
          <w:lang w:val="bg-BG"/>
        </w:rPr>
        <w:t>Стаж в Пощенска банка</w:t>
      </w:r>
      <w:bookmarkEnd w:id="15"/>
    </w:p>
    <w:p w14:paraId="071F5DAC" w14:textId="77777777" w:rsidR="00DE37E8" w:rsidRPr="00FA4F1B" w:rsidRDefault="00367F64" w:rsidP="00DE37E8">
      <w:pPr>
        <w:spacing w:before="120" w:after="120" w:line="276" w:lineRule="auto"/>
        <w:jc w:val="both"/>
        <w:rPr>
          <w:bCs/>
          <w:lang w:val="bg-BG"/>
        </w:rPr>
      </w:pPr>
      <w:r w:rsidRPr="00FA4F1B">
        <w:rPr>
          <w:bCs/>
          <w:lang w:val="bg-BG"/>
        </w:rPr>
        <w:t>Пощенска банка</w:t>
      </w:r>
      <w:r w:rsidR="003A1DA7">
        <w:rPr>
          <w:bCs/>
          <w:lang w:val="bg-BG"/>
        </w:rPr>
        <w:t xml:space="preserve"> обяви свободна п</w:t>
      </w:r>
      <w:r w:rsidRPr="00FA4F1B">
        <w:rPr>
          <w:bCs/>
          <w:lang w:val="bg-BG"/>
        </w:rPr>
        <w:t>озиция</w:t>
      </w:r>
      <w:r w:rsidR="003A1DA7">
        <w:rPr>
          <w:bCs/>
          <w:lang w:val="bg-BG"/>
        </w:rPr>
        <w:t xml:space="preserve"> за с</w:t>
      </w:r>
      <w:r w:rsidRPr="00FA4F1B">
        <w:rPr>
          <w:bCs/>
          <w:lang w:val="bg-BG"/>
        </w:rPr>
        <w:t xml:space="preserve">тажант в </w:t>
      </w:r>
      <w:r w:rsidR="003A1DA7">
        <w:rPr>
          <w:bCs/>
          <w:lang w:val="bg-BG"/>
        </w:rPr>
        <w:t>у</w:t>
      </w:r>
      <w:r w:rsidRPr="00FA4F1B">
        <w:rPr>
          <w:bCs/>
          <w:lang w:val="bg-BG"/>
        </w:rPr>
        <w:t>правление „Корпоративни комуникации и маркетинг"</w:t>
      </w:r>
      <w:r w:rsidR="003A1DA7">
        <w:rPr>
          <w:bCs/>
          <w:lang w:val="bg-BG"/>
        </w:rPr>
        <w:t xml:space="preserve">. </w:t>
      </w:r>
      <w:r w:rsidRPr="00FA4F1B">
        <w:rPr>
          <w:bCs/>
          <w:lang w:val="bg-BG"/>
        </w:rPr>
        <w:t>Стажантът ще получи разширено обучение за придобиване на практически умения в корпоративната комуникация и маркетинга, както и банковата сфера; консултация от специалисти за бъдещата професионална реализация; ценен опит от работ</w:t>
      </w:r>
      <w:r w:rsidR="00DE37E8">
        <w:rPr>
          <w:bCs/>
          <w:lang w:val="bg-BG"/>
        </w:rPr>
        <w:t>а</w:t>
      </w:r>
      <w:r w:rsidRPr="00FA4F1B">
        <w:rPr>
          <w:bCs/>
          <w:lang w:val="bg-BG"/>
        </w:rPr>
        <w:t xml:space="preserve"> в динамичен екип от специалисти; участие в интересни актуални проекти на банката. Успешно приключилите стажантската програма получават сертификат за преминат стаж и могат да бъдат поканени да започнат професионалната си кариера в Пощенска банка. </w:t>
      </w:r>
    </w:p>
    <w:p w14:paraId="7CB74D65" w14:textId="444838A4" w:rsidR="00DE37E8" w:rsidRPr="00FA4F1B" w:rsidRDefault="00DE37E8" w:rsidP="00DE37E8">
      <w:pPr>
        <w:spacing w:before="120" w:after="120" w:line="276" w:lineRule="auto"/>
        <w:jc w:val="both"/>
        <w:rPr>
          <w:bCs/>
          <w:lang w:val="bg-BG"/>
        </w:rPr>
      </w:pPr>
      <w:r>
        <w:rPr>
          <w:bCs/>
          <w:lang w:val="bg-BG"/>
        </w:rPr>
        <w:t xml:space="preserve">Кандидатите трябва да са </w:t>
      </w:r>
      <w:r w:rsidR="00367F64" w:rsidRPr="00FA4F1B">
        <w:rPr>
          <w:bCs/>
          <w:lang w:val="bg-BG"/>
        </w:rPr>
        <w:t>студент</w:t>
      </w:r>
      <w:r>
        <w:rPr>
          <w:bCs/>
          <w:lang w:val="bg-BG"/>
        </w:rPr>
        <w:t>и</w:t>
      </w:r>
      <w:r w:rsidR="00367F64" w:rsidRPr="00FA4F1B">
        <w:rPr>
          <w:bCs/>
          <w:lang w:val="bg-BG"/>
        </w:rPr>
        <w:t xml:space="preserve"> в някоя от следните области: </w:t>
      </w:r>
      <w:r>
        <w:rPr>
          <w:bCs/>
          <w:lang w:val="bg-BG"/>
        </w:rPr>
        <w:t>и</w:t>
      </w:r>
      <w:r w:rsidR="00367F64" w:rsidRPr="00FA4F1B">
        <w:rPr>
          <w:bCs/>
          <w:lang w:val="bg-BG"/>
        </w:rPr>
        <w:t xml:space="preserve">кономика, специалност „Връзки с </w:t>
      </w:r>
      <w:proofErr w:type="spellStart"/>
      <w:r w:rsidR="00367F64" w:rsidRPr="00FA4F1B">
        <w:rPr>
          <w:bCs/>
          <w:lang w:val="bg-BG"/>
        </w:rPr>
        <w:t>обществеността“</w:t>
      </w:r>
      <w:r>
        <w:rPr>
          <w:bCs/>
          <w:lang w:val="bg-BG"/>
        </w:rPr>
        <w:t>,</w:t>
      </w:r>
      <w:r w:rsidR="00367F64" w:rsidRPr="00FA4F1B">
        <w:rPr>
          <w:bCs/>
          <w:lang w:val="bg-BG"/>
        </w:rPr>
        <w:t>„Маркетинг</w:t>
      </w:r>
      <w:proofErr w:type="spellEnd"/>
      <w:r w:rsidR="00367F64" w:rsidRPr="00FA4F1B">
        <w:rPr>
          <w:bCs/>
          <w:lang w:val="bg-BG"/>
        </w:rPr>
        <w:t>“, „Маркетинг, реклама и ПР“, „Дигитални медии и ПР“; да има</w:t>
      </w:r>
      <w:r>
        <w:rPr>
          <w:bCs/>
          <w:lang w:val="bg-BG"/>
        </w:rPr>
        <w:t>т</w:t>
      </w:r>
      <w:r w:rsidR="00367F64" w:rsidRPr="00FA4F1B">
        <w:rPr>
          <w:bCs/>
          <w:lang w:val="bg-BG"/>
        </w:rPr>
        <w:t xml:space="preserve"> отлични комуникативни умения; да има</w:t>
      </w:r>
      <w:r>
        <w:rPr>
          <w:bCs/>
          <w:lang w:val="bg-BG"/>
        </w:rPr>
        <w:t>т</w:t>
      </w:r>
      <w:r w:rsidR="00367F64" w:rsidRPr="00FA4F1B">
        <w:rPr>
          <w:bCs/>
          <w:lang w:val="bg-BG"/>
        </w:rPr>
        <w:t xml:space="preserve"> отлични организационни умения; да притежава</w:t>
      </w:r>
      <w:r>
        <w:rPr>
          <w:bCs/>
          <w:lang w:val="bg-BG"/>
        </w:rPr>
        <w:t>т</w:t>
      </w:r>
      <w:r w:rsidR="00367F64" w:rsidRPr="00FA4F1B">
        <w:rPr>
          <w:bCs/>
          <w:lang w:val="bg-BG"/>
        </w:rPr>
        <w:t xml:space="preserve"> добри аналитични умения и инициативност; да уме</w:t>
      </w:r>
      <w:r>
        <w:rPr>
          <w:bCs/>
          <w:lang w:val="bg-BG"/>
        </w:rPr>
        <w:t>ят</w:t>
      </w:r>
      <w:r w:rsidR="00367F64" w:rsidRPr="00FA4F1B">
        <w:rPr>
          <w:bCs/>
          <w:lang w:val="bg-BG"/>
        </w:rPr>
        <w:t xml:space="preserve"> да работ</w:t>
      </w:r>
      <w:r>
        <w:rPr>
          <w:bCs/>
          <w:lang w:val="bg-BG"/>
        </w:rPr>
        <w:t>ят</w:t>
      </w:r>
      <w:r w:rsidR="00367F64" w:rsidRPr="00FA4F1B">
        <w:rPr>
          <w:bCs/>
          <w:lang w:val="bg-BG"/>
        </w:rPr>
        <w:t xml:space="preserve"> в екип; владеенето на английски език е предимство. </w:t>
      </w:r>
    </w:p>
    <w:p w14:paraId="57A67E59" w14:textId="37965BD3" w:rsidR="00367F64" w:rsidRDefault="00367F64" w:rsidP="00DE37E8">
      <w:pPr>
        <w:spacing w:before="120" w:after="120" w:line="276" w:lineRule="auto"/>
        <w:jc w:val="both"/>
        <w:rPr>
          <w:rStyle w:val="Hyperlink"/>
          <w:bCs/>
        </w:rPr>
      </w:pPr>
      <w:r w:rsidRPr="00FA4F1B">
        <w:rPr>
          <w:bCs/>
          <w:lang w:val="bg-BG"/>
        </w:rPr>
        <w:t xml:space="preserve">Продължителността </w:t>
      </w:r>
      <w:r w:rsidR="00DE37E8">
        <w:rPr>
          <w:bCs/>
          <w:lang w:val="bg-BG"/>
        </w:rPr>
        <w:t xml:space="preserve">на стажа </w:t>
      </w:r>
      <w:r w:rsidRPr="00FA4F1B">
        <w:rPr>
          <w:bCs/>
          <w:lang w:val="bg-BG"/>
        </w:rPr>
        <w:t xml:space="preserve">е от 3 до 6 месеца, по 8 часа на ден. Програмата е платена и се провежда в централата на банката. </w:t>
      </w:r>
      <w:proofErr w:type="spellStart"/>
      <w:r w:rsidRPr="00367F64">
        <w:rPr>
          <w:bCs/>
        </w:rPr>
        <w:t>Кандидатства</w:t>
      </w:r>
      <w:proofErr w:type="spellEnd"/>
      <w:r w:rsidR="00DE37E8">
        <w:rPr>
          <w:bCs/>
          <w:lang w:val="bg-BG"/>
        </w:rPr>
        <w:t xml:space="preserve"> се </w:t>
      </w:r>
      <w:hyperlink r:id="rId27" w:history="1">
        <w:proofErr w:type="spellStart"/>
        <w:r w:rsidRPr="00367F64">
          <w:rPr>
            <w:rStyle w:val="Hyperlink"/>
            <w:bCs/>
          </w:rPr>
          <w:t>на</w:t>
        </w:r>
        <w:proofErr w:type="spellEnd"/>
        <w:r w:rsidRPr="00367F64">
          <w:rPr>
            <w:rStyle w:val="Hyperlink"/>
            <w:bCs/>
          </w:rPr>
          <w:t xml:space="preserve"> </w:t>
        </w:r>
        <w:proofErr w:type="spellStart"/>
        <w:r w:rsidRPr="00367F64">
          <w:rPr>
            <w:rStyle w:val="Hyperlink"/>
            <w:bCs/>
          </w:rPr>
          <w:t>сайта</w:t>
        </w:r>
        <w:proofErr w:type="spellEnd"/>
        <w:r w:rsidRPr="00367F64">
          <w:rPr>
            <w:rStyle w:val="Hyperlink"/>
            <w:bCs/>
          </w:rPr>
          <w:t>.</w:t>
        </w:r>
      </w:hyperlink>
    </w:p>
    <w:p w14:paraId="1E4D871E" w14:textId="37888297" w:rsidR="00DE37E8" w:rsidRPr="00DE37E8" w:rsidRDefault="00DE37E8" w:rsidP="001B0E58">
      <w:pPr>
        <w:spacing w:before="120" w:after="480" w:line="276" w:lineRule="auto"/>
        <w:jc w:val="both"/>
        <w:rPr>
          <w:b/>
          <w:bCs/>
          <w:lang w:val="bg-BG"/>
        </w:rPr>
      </w:pPr>
      <w:r w:rsidRPr="00DE37E8">
        <w:rPr>
          <w:b/>
          <w:bCs/>
          <w:lang w:val="bg-BG"/>
        </w:rPr>
        <w:t>Краен срок: не е посочен</w:t>
      </w:r>
    </w:p>
    <w:p w14:paraId="33613700" w14:textId="77777777" w:rsidR="00B14CBF" w:rsidRPr="00B14CBF" w:rsidRDefault="00B14CBF" w:rsidP="00B14CBF">
      <w:pPr>
        <w:pStyle w:val="Heading2"/>
        <w:ind w:left="426"/>
        <w:rPr>
          <w:lang w:val="bg-BG"/>
        </w:rPr>
      </w:pPr>
      <w:bookmarkStart w:id="16" w:name="_Toc197365380"/>
      <w:r>
        <w:rPr>
          <w:lang w:val="bg-BG"/>
        </w:rPr>
        <w:t>Стажантска програма на банка ДСК</w:t>
      </w:r>
      <w:bookmarkEnd w:id="16"/>
    </w:p>
    <w:p w14:paraId="3387CED9" w14:textId="77777777" w:rsidR="00B14CBF" w:rsidRDefault="00505DCA" w:rsidP="00E21EC2">
      <w:pPr>
        <w:spacing w:before="120" w:line="276" w:lineRule="auto"/>
        <w:jc w:val="both"/>
      </w:pPr>
      <w:r w:rsidRPr="00FA4F1B">
        <w:rPr>
          <w:bCs/>
          <w:lang w:val="bg-BG"/>
        </w:rPr>
        <w:t>Банка ДСК обява своята стажантска програма „Старт в кариерата“.</w:t>
      </w:r>
      <w:r w:rsidRPr="00505DCA">
        <w:rPr>
          <w:bCs/>
        </w:rPr>
        <w:t> </w:t>
      </w:r>
      <w:proofErr w:type="spellStart"/>
      <w:r w:rsidRPr="00505DCA">
        <w:t>Стажът</w:t>
      </w:r>
      <w:proofErr w:type="spellEnd"/>
      <w:r w:rsidRPr="00505DCA">
        <w:t xml:space="preserve"> е </w:t>
      </w:r>
      <w:proofErr w:type="spellStart"/>
      <w:r w:rsidRPr="00505DCA">
        <w:t>платен</w:t>
      </w:r>
      <w:proofErr w:type="spellEnd"/>
      <w:r w:rsidRPr="00505DCA">
        <w:t xml:space="preserve"> </w:t>
      </w:r>
      <w:proofErr w:type="spellStart"/>
      <w:r w:rsidRPr="00505DCA">
        <w:t>за</w:t>
      </w:r>
      <w:proofErr w:type="spellEnd"/>
      <w:r w:rsidRPr="00505DCA">
        <w:t xml:space="preserve"> </w:t>
      </w:r>
      <w:proofErr w:type="spellStart"/>
      <w:r w:rsidRPr="00505DCA">
        <w:t>студенти</w:t>
      </w:r>
      <w:proofErr w:type="spellEnd"/>
      <w:r w:rsidRPr="00505DCA">
        <w:t xml:space="preserve"> </w:t>
      </w:r>
      <w:proofErr w:type="spellStart"/>
      <w:r w:rsidRPr="00505DCA">
        <w:t>до</w:t>
      </w:r>
      <w:proofErr w:type="spellEnd"/>
      <w:r w:rsidRPr="00505DCA">
        <w:t xml:space="preserve"> 6 </w:t>
      </w:r>
      <w:proofErr w:type="spellStart"/>
      <w:r w:rsidRPr="00505DCA">
        <w:t>месеца</w:t>
      </w:r>
      <w:proofErr w:type="spellEnd"/>
      <w:r w:rsidRPr="00505DCA">
        <w:t xml:space="preserve">, </w:t>
      </w:r>
      <w:proofErr w:type="spellStart"/>
      <w:r w:rsidRPr="00505DCA">
        <w:t>независимо</w:t>
      </w:r>
      <w:proofErr w:type="spellEnd"/>
      <w:r w:rsidRPr="00505DCA">
        <w:t xml:space="preserve"> </w:t>
      </w:r>
      <w:proofErr w:type="spellStart"/>
      <w:r w:rsidRPr="00505DCA">
        <w:t>от</w:t>
      </w:r>
      <w:proofErr w:type="spellEnd"/>
      <w:r w:rsidRPr="00505DCA">
        <w:t xml:space="preserve"> </w:t>
      </w:r>
      <w:proofErr w:type="spellStart"/>
      <w:r w:rsidRPr="00505DCA">
        <w:t>формата</w:t>
      </w:r>
      <w:proofErr w:type="spellEnd"/>
      <w:r w:rsidRPr="00505DCA">
        <w:t xml:space="preserve"> </w:t>
      </w:r>
      <w:proofErr w:type="spellStart"/>
      <w:r w:rsidRPr="00505DCA">
        <w:t>им</w:t>
      </w:r>
      <w:proofErr w:type="spellEnd"/>
      <w:r w:rsidRPr="00505DCA">
        <w:t xml:space="preserve"> </w:t>
      </w:r>
      <w:proofErr w:type="spellStart"/>
      <w:r w:rsidRPr="00505DCA">
        <w:t>на</w:t>
      </w:r>
      <w:proofErr w:type="spellEnd"/>
      <w:r w:rsidRPr="00505DCA">
        <w:t xml:space="preserve"> </w:t>
      </w:r>
      <w:proofErr w:type="spellStart"/>
      <w:r w:rsidRPr="00505DCA">
        <w:t>обучение</w:t>
      </w:r>
      <w:proofErr w:type="spellEnd"/>
      <w:r w:rsidRPr="00505DCA">
        <w:t xml:space="preserve">. В </w:t>
      </w:r>
      <w:proofErr w:type="spellStart"/>
      <w:r w:rsidRPr="00505DCA">
        <w:t>това</w:t>
      </w:r>
      <w:proofErr w:type="spellEnd"/>
      <w:r w:rsidRPr="00505DCA">
        <w:t xml:space="preserve"> </w:t>
      </w:r>
      <w:proofErr w:type="spellStart"/>
      <w:r w:rsidRPr="00505DCA">
        <w:t>число</w:t>
      </w:r>
      <w:proofErr w:type="spellEnd"/>
      <w:r w:rsidRPr="00505DCA">
        <w:t xml:space="preserve"> </w:t>
      </w:r>
      <w:proofErr w:type="spellStart"/>
      <w:r w:rsidRPr="00505DCA">
        <w:t>учащи</w:t>
      </w:r>
      <w:proofErr w:type="spellEnd"/>
      <w:r w:rsidRPr="00505DCA">
        <w:t xml:space="preserve"> </w:t>
      </w:r>
      <w:proofErr w:type="spellStart"/>
      <w:r w:rsidRPr="00505DCA">
        <w:t>във</w:t>
      </w:r>
      <w:proofErr w:type="spellEnd"/>
      <w:r w:rsidRPr="00505DCA">
        <w:t xml:space="preserve"> </w:t>
      </w:r>
      <w:proofErr w:type="spellStart"/>
      <w:r w:rsidRPr="00505DCA">
        <w:t>висши</w:t>
      </w:r>
      <w:proofErr w:type="spellEnd"/>
      <w:r w:rsidRPr="00505DCA">
        <w:t xml:space="preserve"> </w:t>
      </w:r>
      <w:proofErr w:type="spellStart"/>
      <w:r w:rsidRPr="00505DCA">
        <w:t>учебни</w:t>
      </w:r>
      <w:proofErr w:type="spellEnd"/>
      <w:r w:rsidRPr="00505DCA">
        <w:t xml:space="preserve"> </w:t>
      </w:r>
      <w:proofErr w:type="spellStart"/>
      <w:r w:rsidRPr="00505DCA">
        <w:t>заведения</w:t>
      </w:r>
      <w:proofErr w:type="spellEnd"/>
      <w:r w:rsidRPr="00505DCA">
        <w:t xml:space="preserve"> в </w:t>
      </w:r>
      <w:proofErr w:type="spellStart"/>
      <w:r w:rsidRPr="00505DCA">
        <w:t>чужбина</w:t>
      </w:r>
      <w:proofErr w:type="spellEnd"/>
      <w:r w:rsidRPr="00505DCA">
        <w:t xml:space="preserve">, </w:t>
      </w:r>
      <w:proofErr w:type="spellStart"/>
      <w:r w:rsidRPr="00505DCA">
        <w:t>студенти</w:t>
      </w:r>
      <w:proofErr w:type="spellEnd"/>
      <w:r w:rsidRPr="00505DCA">
        <w:t xml:space="preserve"> </w:t>
      </w:r>
      <w:proofErr w:type="spellStart"/>
      <w:r w:rsidRPr="00505DCA">
        <w:t>трети</w:t>
      </w:r>
      <w:proofErr w:type="spellEnd"/>
      <w:r w:rsidRPr="00505DCA">
        <w:t xml:space="preserve"> и </w:t>
      </w:r>
      <w:proofErr w:type="spellStart"/>
      <w:r w:rsidRPr="00505DCA">
        <w:t>четвърти</w:t>
      </w:r>
      <w:proofErr w:type="spellEnd"/>
      <w:r w:rsidRPr="00505DCA">
        <w:t xml:space="preserve"> </w:t>
      </w:r>
      <w:proofErr w:type="spellStart"/>
      <w:r w:rsidRPr="00505DCA">
        <w:t>курс</w:t>
      </w:r>
      <w:proofErr w:type="spellEnd"/>
      <w:r w:rsidRPr="00505DCA">
        <w:t xml:space="preserve"> </w:t>
      </w:r>
      <w:proofErr w:type="spellStart"/>
      <w:r w:rsidRPr="00505DCA">
        <w:t>от</w:t>
      </w:r>
      <w:proofErr w:type="spellEnd"/>
      <w:r w:rsidRPr="00505DCA">
        <w:t xml:space="preserve"> </w:t>
      </w:r>
      <w:proofErr w:type="spellStart"/>
      <w:r w:rsidRPr="00505DCA">
        <w:t>бакалавърската</w:t>
      </w:r>
      <w:proofErr w:type="spellEnd"/>
      <w:r w:rsidRPr="00505DCA">
        <w:t xml:space="preserve"> </w:t>
      </w:r>
      <w:proofErr w:type="spellStart"/>
      <w:r w:rsidRPr="00505DCA">
        <w:t>си</w:t>
      </w:r>
      <w:proofErr w:type="spellEnd"/>
      <w:r w:rsidRPr="00505DCA">
        <w:t xml:space="preserve"> </w:t>
      </w:r>
      <w:proofErr w:type="spellStart"/>
      <w:r w:rsidRPr="00505DCA">
        <w:t>степен</w:t>
      </w:r>
      <w:proofErr w:type="spellEnd"/>
      <w:r w:rsidRPr="00505DCA">
        <w:t xml:space="preserve"> </w:t>
      </w:r>
      <w:proofErr w:type="spellStart"/>
      <w:r w:rsidRPr="00505DCA">
        <w:t>на</w:t>
      </w:r>
      <w:proofErr w:type="spellEnd"/>
      <w:r w:rsidRPr="00505DCA">
        <w:t xml:space="preserve"> </w:t>
      </w:r>
      <w:proofErr w:type="spellStart"/>
      <w:r w:rsidRPr="00505DCA">
        <w:t>образование</w:t>
      </w:r>
      <w:proofErr w:type="spellEnd"/>
      <w:r w:rsidRPr="00505DCA">
        <w:t xml:space="preserve">, </w:t>
      </w:r>
      <w:proofErr w:type="spellStart"/>
      <w:r w:rsidRPr="00505DCA">
        <w:t>студенти</w:t>
      </w:r>
      <w:proofErr w:type="spellEnd"/>
      <w:r w:rsidRPr="00505DCA">
        <w:t xml:space="preserve"> в </w:t>
      </w:r>
      <w:proofErr w:type="spellStart"/>
      <w:r w:rsidRPr="00505DCA">
        <w:t>процес</w:t>
      </w:r>
      <w:proofErr w:type="spellEnd"/>
      <w:r w:rsidRPr="00505DCA">
        <w:t xml:space="preserve"> </w:t>
      </w:r>
      <w:proofErr w:type="spellStart"/>
      <w:r w:rsidRPr="00505DCA">
        <w:t>на</w:t>
      </w:r>
      <w:proofErr w:type="spellEnd"/>
      <w:r w:rsidRPr="00505DCA">
        <w:t xml:space="preserve"> </w:t>
      </w:r>
      <w:proofErr w:type="spellStart"/>
      <w:r w:rsidRPr="00505DCA">
        <w:t>придобиване</w:t>
      </w:r>
      <w:proofErr w:type="spellEnd"/>
      <w:r w:rsidRPr="00505DCA">
        <w:t xml:space="preserve"> </w:t>
      </w:r>
      <w:proofErr w:type="spellStart"/>
      <w:r w:rsidRPr="00505DCA">
        <w:t>на</w:t>
      </w:r>
      <w:proofErr w:type="spellEnd"/>
      <w:r w:rsidRPr="00505DCA">
        <w:t xml:space="preserve"> </w:t>
      </w:r>
      <w:proofErr w:type="spellStart"/>
      <w:r w:rsidRPr="00505DCA">
        <w:t>магистърска</w:t>
      </w:r>
      <w:proofErr w:type="spellEnd"/>
      <w:r w:rsidRPr="00505DCA">
        <w:t xml:space="preserve"> </w:t>
      </w:r>
      <w:proofErr w:type="spellStart"/>
      <w:r w:rsidRPr="00505DCA">
        <w:t>степен</w:t>
      </w:r>
      <w:proofErr w:type="spellEnd"/>
      <w:r w:rsidRPr="00505DCA">
        <w:t xml:space="preserve">, </w:t>
      </w:r>
      <w:proofErr w:type="spellStart"/>
      <w:r w:rsidRPr="00505DCA">
        <w:t>студенти</w:t>
      </w:r>
      <w:proofErr w:type="spellEnd"/>
      <w:r w:rsidRPr="00505DCA">
        <w:t xml:space="preserve">, </w:t>
      </w:r>
      <w:proofErr w:type="spellStart"/>
      <w:r w:rsidRPr="00505DCA">
        <w:t>които</w:t>
      </w:r>
      <w:proofErr w:type="spellEnd"/>
      <w:r w:rsidRPr="00505DCA">
        <w:t xml:space="preserve"> </w:t>
      </w:r>
      <w:proofErr w:type="spellStart"/>
      <w:r w:rsidRPr="00505DCA">
        <w:t>са</w:t>
      </w:r>
      <w:proofErr w:type="spellEnd"/>
      <w:r w:rsidRPr="00505DCA">
        <w:t xml:space="preserve"> </w:t>
      </w:r>
      <w:proofErr w:type="spellStart"/>
      <w:r w:rsidRPr="00505DCA">
        <w:t>се</w:t>
      </w:r>
      <w:proofErr w:type="spellEnd"/>
      <w:r w:rsidRPr="00505DCA">
        <w:t xml:space="preserve"> </w:t>
      </w:r>
      <w:proofErr w:type="spellStart"/>
      <w:r w:rsidRPr="00505DCA">
        <w:t>дипломирали</w:t>
      </w:r>
      <w:proofErr w:type="spellEnd"/>
      <w:r w:rsidRPr="00505DCA">
        <w:t xml:space="preserve"> в </w:t>
      </w:r>
      <w:proofErr w:type="spellStart"/>
      <w:r w:rsidRPr="00505DCA">
        <w:t>същата</w:t>
      </w:r>
      <w:proofErr w:type="spellEnd"/>
      <w:r w:rsidRPr="00505DCA">
        <w:t xml:space="preserve"> </w:t>
      </w:r>
      <w:proofErr w:type="spellStart"/>
      <w:r w:rsidRPr="00505DCA">
        <w:t>година</w:t>
      </w:r>
      <w:proofErr w:type="spellEnd"/>
      <w:r w:rsidRPr="00505DCA">
        <w:t xml:space="preserve">. </w:t>
      </w:r>
      <w:r w:rsidR="00B14CBF">
        <w:rPr>
          <w:lang w:val="bg-BG"/>
        </w:rPr>
        <w:t xml:space="preserve">Освен в областта на </w:t>
      </w:r>
      <w:proofErr w:type="spellStart"/>
      <w:r w:rsidRPr="00505DCA">
        <w:t>финанси</w:t>
      </w:r>
      <w:proofErr w:type="spellEnd"/>
      <w:r w:rsidR="00B14CBF">
        <w:rPr>
          <w:lang w:val="bg-BG"/>
        </w:rPr>
        <w:t>те</w:t>
      </w:r>
      <w:r w:rsidRPr="00505DCA">
        <w:t xml:space="preserve"> и </w:t>
      </w:r>
      <w:proofErr w:type="spellStart"/>
      <w:r w:rsidRPr="00505DCA">
        <w:t>банкови</w:t>
      </w:r>
      <w:proofErr w:type="spellEnd"/>
      <w:r w:rsidR="00B14CBF">
        <w:rPr>
          <w:lang w:val="bg-BG"/>
        </w:rPr>
        <w:t>те</w:t>
      </w:r>
      <w:r w:rsidRPr="00505DCA">
        <w:t xml:space="preserve"> </w:t>
      </w:r>
      <w:proofErr w:type="spellStart"/>
      <w:r w:rsidRPr="00505DCA">
        <w:t>операции</w:t>
      </w:r>
      <w:proofErr w:type="spellEnd"/>
      <w:r w:rsidRPr="00505DCA">
        <w:t xml:space="preserve">, ДСК </w:t>
      </w:r>
      <w:proofErr w:type="spellStart"/>
      <w:r w:rsidRPr="00505DCA">
        <w:t>дава</w:t>
      </w:r>
      <w:proofErr w:type="spellEnd"/>
      <w:r w:rsidRPr="00505DCA">
        <w:t xml:space="preserve"> </w:t>
      </w:r>
      <w:proofErr w:type="spellStart"/>
      <w:r w:rsidRPr="00505DCA">
        <w:t>възможност</w:t>
      </w:r>
      <w:proofErr w:type="spellEnd"/>
      <w:r w:rsidRPr="00505DCA">
        <w:t xml:space="preserve"> </w:t>
      </w:r>
      <w:proofErr w:type="spellStart"/>
      <w:r w:rsidRPr="00505DCA">
        <w:t>за</w:t>
      </w:r>
      <w:proofErr w:type="spellEnd"/>
      <w:r w:rsidRPr="00505DCA">
        <w:t xml:space="preserve"> </w:t>
      </w:r>
      <w:proofErr w:type="spellStart"/>
      <w:r w:rsidRPr="00505DCA">
        <w:t>развитие</w:t>
      </w:r>
      <w:proofErr w:type="spellEnd"/>
      <w:r w:rsidRPr="00505DCA">
        <w:t xml:space="preserve"> </w:t>
      </w:r>
      <w:proofErr w:type="spellStart"/>
      <w:r w:rsidRPr="00505DCA">
        <w:t>на</w:t>
      </w:r>
      <w:proofErr w:type="spellEnd"/>
      <w:r w:rsidRPr="00505DCA">
        <w:t xml:space="preserve"> </w:t>
      </w:r>
      <w:proofErr w:type="spellStart"/>
      <w:r w:rsidRPr="00505DCA">
        <w:t>кадри</w:t>
      </w:r>
      <w:proofErr w:type="spellEnd"/>
      <w:r w:rsidRPr="00505DCA">
        <w:t xml:space="preserve"> в </w:t>
      </w:r>
      <w:proofErr w:type="spellStart"/>
      <w:r w:rsidRPr="00505DCA">
        <w:t>областта</w:t>
      </w:r>
      <w:proofErr w:type="spellEnd"/>
      <w:r w:rsidRPr="00505DCA">
        <w:t xml:space="preserve"> </w:t>
      </w:r>
      <w:proofErr w:type="spellStart"/>
      <w:r w:rsidRPr="00505DCA">
        <w:t>на</w:t>
      </w:r>
      <w:proofErr w:type="spellEnd"/>
      <w:r w:rsidRPr="00505DCA">
        <w:t xml:space="preserve"> ИТ, </w:t>
      </w:r>
      <w:proofErr w:type="spellStart"/>
      <w:r w:rsidRPr="00505DCA">
        <w:t>право</w:t>
      </w:r>
      <w:proofErr w:type="spellEnd"/>
      <w:r w:rsidRPr="00505DCA">
        <w:t xml:space="preserve">, </w:t>
      </w:r>
      <w:proofErr w:type="spellStart"/>
      <w:r w:rsidRPr="00505DCA">
        <w:t>маркетинг</w:t>
      </w:r>
      <w:proofErr w:type="spellEnd"/>
      <w:r w:rsidRPr="00505DCA">
        <w:t xml:space="preserve">, </w:t>
      </w:r>
      <w:proofErr w:type="spellStart"/>
      <w:r w:rsidRPr="00505DCA">
        <w:t>човешки</w:t>
      </w:r>
      <w:proofErr w:type="spellEnd"/>
      <w:r w:rsidRPr="00505DCA">
        <w:t xml:space="preserve"> </w:t>
      </w:r>
      <w:proofErr w:type="spellStart"/>
      <w:r w:rsidRPr="00505DCA">
        <w:t>ресурси</w:t>
      </w:r>
      <w:proofErr w:type="spellEnd"/>
      <w:r w:rsidRPr="00505DCA">
        <w:t xml:space="preserve">, и </w:t>
      </w:r>
      <w:proofErr w:type="spellStart"/>
      <w:r w:rsidRPr="00505DCA">
        <w:t>други</w:t>
      </w:r>
      <w:proofErr w:type="spellEnd"/>
      <w:r w:rsidRPr="00505DCA">
        <w:t xml:space="preserve">. </w:t>
      </w:r>
    </w:p>
    <w:p w14:paraId="7C17181F" w14:textId="77777777" w:rsidR="00505DCA" w:rsidRDefault="00505DCA" w:rsidP="00E21EC2">
      <w:pPr>
        <w:spacing w:line="276" w:lineRule="auto"/>
        <w:jc w:val="both"/>
      </w:pPr>
      <w:proofErr w:type="spellStart"/>
      <w:r w:rsidRPr="00505DCA">
        <w:t>Пълна</w:t>
      </w:r>
      <w:proofErr w:type="spellEnd"/>
      <w:r w:rsidRPr="00505DCA">
        <w:t xml:space="preserve"> </w:t>
      </w:r>
      <w:proofErr w:type="spellStart"/>
      <w:r w:rsidRPr="00505DCA">
        <w:t>информация</w:t>
      </w:r>
      <w:proofErr w:type="spellEnd"/>
      <w:r w:rsidRPr="00505DCA">
        <w:t xml:space="preserve"> и </w:t>
      </w:r>
      <w:proofErr w:type="spellStart"/>
      <w:r w:rsidRPr="00505DCA">
        <w:t>свободните</w:t>
      </w:r>
      <w:proofErr w:type="spellEnd"/>
      <w:r w:rsidRPr="00505DCA">
        <w:t xml:space="preserve"> </w:t>
      </w:r>
      <w:proofErr w:type="spellStart"/>
      <w:r w:rsidRPr="00505DCA">
        <w:t>позиции</w:t>
      </w:r>
      <w:proofErr w:type="spellEnd"/>
      <w:r w:rsidRPr="00505DCA">
        <w:t xml:space="preserve"> </w:t>
      </w:r>
      <w:proofErr w:type="spellStart"/>
      <w:r w:rsidRPr="00505DCA">
        <w:t>може</w:t>
      </w:r>
      <w:proofErr w:type="spellEnd"/>
      <w:r w:rsidRPr="00505DCA">
        <w:t xml:space="preserve"> </w:t>
      </w:r>
      <w:proofErr w:type="spellStart"/>
      <w:r w:rsidRPr="00505DCA">
        <w:t>да</w:t>
      </w:r>
      <w:proofErr w:type="spellEnd"/>
      <w:r w:rsidRPr="00505DCA">
        <w:t xml:space="preserve"> </w:t>
      </w:r>
      <w:proofErr w:type="spellStart"/>
      <w:r w:rsidRPr="00505DCA">
        <w:t>видите</w:t>
      </w:r>
      <w:proofErr w:type="spellEnd"/>
      <w:r w:rsidRPr="00505DCA">
        <w:t> </w:t>
      </w:r>
      <w:proofErr w:type="spellStart"/>
      <w:r>
        <w:fldChar w:fldCharType="begin"/>
      </w:r>
      <w:r>
        <w:instrText>HYPERLINK "https://dskbank.bg/%D0%BA%D0%B0%D1%80%D0%B8%D0%B5%D1%80%D0%B8/%D0%B4%D1%81%D0%BA-%D1%81%D1%82%D0%B0%D1%80%D1%82-%D0%B2-%D0%BA%D0%B0%D1%80%D0%B8%D0%B5%D1%80%D0%B0%D1%82%D0%B0"</w:instrText>
      </w:r>
      <w:r>
        <w:fldChar w:fldCharType="separate"/>
      </w:r>
      <w:r w:rsidRPr="00505DCA">
        <w:rPr>
          <w:rStyle w:val="Hyperlink"/>
        </w:rPr>
        <w:t>тук</w:t>
      </w:r>
      <w:proofErr w:type="spellEnd"/>
      <w:r>
        <w:fldChar w:fldCharType="end"/>
      </w:r>
      <w:r w:rsidRPr="00505DCA">
        <w:t>.</w:t>
      </w:r>
    </w:p>
    <w:p w14:paraId="1D054D6F" w14:textId="77777777" w:rsidR="00B14CBF" w:rsidRDefault="00B14CBF" w:rsidP="00DD08D8">
      <w:pPr>
        <w:spacing w:before="120" w:after="600" w:line="276" w:lineRule="auto"/>
        <w:jc w:val="both"/>
        <w:rPr>
          <w:b/>
          <w:lang w:val="bg-BG"/>
        </w:rPr>
      </w:pPr>
      <w:r>
        <w:rPr>
          <w:b/>
          <w:lang w:val="bg-BG"/>
        </w:rPr>
        <w:t xml:space="preserve">Краен срок: не е посочен </w:t>
      </w:r>
    </w:p>
    <w:p w14:paraId="6F784BA7" w14:textId="77777777" w:rsidR="00EE53C5" w:rsidRPr="00EE53C5" w:rsidRDefault="00EE53C5" w:rsidP="00EE53C5">
      <w:pPr>
        <w:pStyle w:val="Heading2"/>
        <w:ind w:left="284"/>
        <w:rPr>
          <w:lang w:val="bg-BG"/>
        </w:rPr>
      </w:pPr>
      <w:bookmarkStart w:id="17" w:name="_Toc197365381"/>
      <w:r w:rsidRPr="00EE53C5">
        <w:rPr>
          <w:lang w:val="bg-BG"/>
        </w:rPr>
        <w:t>Обучение и стаж за програмисти</w:t>
      </w:r>
      <w:bookmarkEnd w:id="17"/>
    </w:p>
    <w:p w14:paraId="74FB2593" w14:textId="77777777" w:rsidR="00EE53C5" w:rsidRDefault="00B163EE" w:rsidP="00EE53C5">
      <w:pPr>
        <w:spacing w:before="120" w:after="120" w:line="276" w:lineRule="auto"/>
        <w:jc w:val="both"/>
      </w:pPr>
      <w:r w:rsidRPr="00FA4F1B">
        <w:rPr>
          <w:bCs/>
          <w:lang w:val="bg-BG"/>
        </w:rPr>
        <w:t>Българската софтуерна фирма</w:t>
      </w:r>
      <w:r w:rsidRPr="00B163EE">
        <w:rPr>
          <w:bCs/>
        </w:rPr>
        <w:t> </w:t>
      </w:r>
      <w:proofErr w:type="spellStart"/>
      <w:r w:rsidRPr="00B163EE">
        <w:rPr>
          <w:bCs/>
        </w:rPr>
        <w:t>TelebidPro</w:t>
      </w:r>
      <w:proofErr w:type="spellEnd"/>
      <w:r w:rsidRPr="00B163EE">
        <w:rPr>
          <w:bCs/>
        </w:rPr>
        <w:t> </w:t>
      </w:r>
      <w:r w:rsidRPr="00FA4F1B">
        <w:rPr>
          <w:bCs/>
          <w:lang w:val="bg-BG"/>
        </w:rPr>
        <w:t xml:space="preserve">предлага </w:t>
      </w:r>
      <w:r w:rsidR="00EE53C5">
        <w:rPr>
          <w:bCs/>
          <w:lang w:val="bg-BG"/>
        </w:rPr>
        <w:t>обучение</w:t>
      </w:r>
      <w:r w:rsidRPr="00FA4F1B">
        <w:rPr>
          <w:bCs/>
          <w:lang w:val="bg-BG"/>
        </w:rPr>
        <w:t xml:space="preserve"> и</w:t>
      </w:r>
      <w:r w:rsidRPr="00B163EE">
        <w:rPr>
          <w:bCs/>
        </w:rPr>
        <w:t> </w:t>
      </w:r>
      <w:r w:rsidRPr="00FA4F1B">
        <w:rPr>
          <w:bCs/>
          <w:lang w:val="bg-BG"/>
        </w:rPr>
        <w:t>стаж</w:t>
      </w:r>
      <w:r w:rsidRPr="00B163EE">
        <w:rPr>
          <w:bCs/>
        </w:rPr>
        <w:t> </w:t>
      </w:r>
      <w:r w:rsidRPr="00FA4F1B">
        <w:rPr>
          <w:bCs/>
          <w:lang w:val="bg-BG"/>
        </w:rPr>
        <w:t>за</w:t>
      </w:r>
      <w:r w:rsidRPr="00B163EE">
        <w:rPr>
          <w:bCs/>
        </w:rPr>
        <w:t> </w:t>
      </w:r>
      <w:r w:rsidRPr="00FA4F1B">
        <w:rPr>
          <w:bCs/>
          <w:lang w:val="bg-BG"/>
        </w:rPr>
        <w:t>програмисти.</w:t>
      </w:r>
      <w:r w:rsidRPr="00B163EE">
        <w:rPr>
          <w:bCs/>
        </w:rPr>
        <w:t> </w:t>
      </w:r>
      <w:proofErr w:type="spellStart"/>
      <w:r w:rsidRPr="00B163EE">
        <w:t>Ако</w:t>
      </w:r>
      <w:proofErr w:type="spellEnd"/>
      <w:r w:rsidRPr="00B163EE">
        <w:t xml:space="preserve"> </w:t>
      </w:r>
      <w:proofErr w:type="spellStart"/>
      <w:r w:rsidRPr="00B163EE">
        <w:t>сте</w:t>
      </w:r>
      <w:proofErr w:type="spellEnd"/>
      <w:r w:rsidRPr="00B163EE">
        <w:t> </w:t>
      </w:r>
      <w:proofErr w:type="spellStart"/>
      <w:r w:rsidRPr="00B163EE">
        <w:t>мотивирани</w:t>
      </w:r>
      <w:proofErr w:type="spellEnd"/>
      <w:r w:rsidRPr="00B163EE">
        <w:t> </w:t>
      </w:r>
      <w:proofErr w:type="spellStart"/>
      <w:r w:rsidRPr="00B163EE">
        <w:t>да</w:t>
      </w:r>
      <w:proofErr w:type="spellEnd"/>
      <w:r w:rsidRPr="00B163EE">
        <w:t xml:space="preserve"> </w:t>
      </w:r>
      <w:proofErr w:type="spellStart"/>
      <w:r w:rsidRPr="00B163EE">
        <w:t>се</w:t>
      </w:r>
      <w:proofErr w:type="spellEnd"/>
      <w:r w:rsidRPr="00B163EE">
        <w:t xml:space="preserve"> </w:t>
      </w:r>
      <w:proofErr w:type="spellStart"/>
      <w:r w:rsidRPr="00B163EE">
        <w:t>учите</w:t>
      </w:r>
      <w:proofErr w:type="spellEnd"/>
      <w:r w:rsidRPr="00B163EE">
        <w:t xml:space="preserve">, </w:t>
      </w:r>
      <w:proofErr w:type="spellStart"/>
      <w:r w:rsidRPr="00B163EE">
        <w:t>ако</w:t>
      </w:r>
      <w:proofErr w:type="spellEnd"/>
      <w:r w:rsidRPr="00B163EE">
        <w:t xml:space="preserve"> </w:t>
      </w:r>
      <w:proofErr w:type="spellStart"/>
      <w:r w:rsidRPr="00B163EE">
        <w:t>се</w:t>
      </w:r>
      <w:proofErr w:type="spellEnd"/>
      <w:r w:rsidRPr="00B163EE">
        <w:t xml:space="preserve"> </w:t>
      </w:r>
      <w:proofErr w:type="spellStart"/>
      <w:r w:rsidRPr="00B163EE">
        <w:t>интересувате</w:t>
      </w:r>
      <w:proofErr w:type="spellEnd"/>
      <w:r w:rsidRPr="00B163EE">
        <w:t> </w:t>
      </w:r>
      <w:proofErr w:type="spellStart"/>
      <w:r w:rsidRPr="00B163EE">
        <w:t>от</w:t>
      </w:r>
      <w:proofErr w:type="spellEnd"/>
      <w:r w:rsidRPr="00B163EE">
        <w:t xml:space="preserve"> </w:t>
      </w:r>
      <w:proofErr w:type="spellStart"/>
      <w:r w:rsidRPr="00B163EE">
        <w:t>технологиите</w:t>
      </w:r>
      <w:proofErr w:type="spellEnd"/>
      <w:r w:rsidRPr="00B163EE">
        <w:t xml:space="preserve"> Python, JavaScript, Node.js, PostgreSQL, Redis, Perl, HTML5, Linux, AWS и </w:t>
      </w:r>
      <w:proofErr w:type="spellStart"/>
      <w:r w:rsidRPr="00B163EE">
        <w:t>имате</w:t>
      </w:r>
      <w:proofErr w:type="spellEnd"/>
      <w:r w:rsidRPr="00B163EE">
        <w:t> </w:t>
      </w:r>
      <w:proofErr w:type="spellStart"/>
      <w:r w:rsidRPr="00B163EE">
        <w:t>желание</w:t>
      </w:r>
      <w:proofErr w:type="spellEnd"/>
      <w:r w:rsidRPr="00B163EE">
        <w:t xml:space="preserve"> </w:t>
      </w:r>
      <w:proofErr w:type="spellStart"/>
      <w:r w:rsidRPr="00B163EE">
        <w:t>да</w:t>
      </w:r>
      <w:proofErr w:type="spellEnd"/>
      <w:r w:rsidRPr="00B163EE">
        <w:t xml:space="preserve"> </w:t>
      </w:r>
      <w:proofErr w:type="spellStart"/>
      <w:r w:rsidRPr="00B163EE">
        <w:t>се</w:t>
      </w:r>
      <w:proofErr w:type="spellEnd"/>
      <w:r w:rsidRPr="00B163EE">
        <w:t xml:space="preserve"> </w:t>
      </w:r>
      <w:proofErr w:type="spellStart"/>
      <w:r w:rsidRPr="00B163EE">
        <w:t>развивате</w:t>
      </w:r>
      <w:proofErr w:type="spellEnd"/>
      <w:r w:rsidRPr="00B163EE">
        <w:t> </w:t>
      </w:r>
      <w:proofErr w:type="spellStart"/>
      <w:r w:rsidRPr="00B163EE">
        <w:t>като</w:t>
      </w:r>
      <w:proofErr w:type="spellEnd"/>
      <w:r w:rsidRPr="00B163EE">
        <w:t xml:space="preserve"> </w:t>
      </w:r>
      <w:proofErr w:type="spellStart"/>
      <w:r w:rsidRPr="00B163EE">
        <w:t>програмист</w:t>
      </w:r>
      <w:proofErr w:type="spellEnd"/>
      <w:r w:rsidRPr="00B163EE">
        <w:t>, </w:t>
      </w:r>
      <w:proofErr w:type="spellStart"/>
      <w:r w:rsidRPr="00B163EE">
        <w:t>компанията</w:t>
      </w:r>
      <w:proofErr w:type="spellEnd"/>
      <w:r w:rsidRPr="00B163EE">
        <w:t> </w:t>
      </w:r>
      <w:proofErr w:type="spellStart"/>
      <w:r w:rsidRPr="00B163EE">
        <w:t>предлага</w:t>
      </w:r>
      <w:proofErr w:type="spellEnd"/>
      <w:r w:rsidRPr="00B163EE">
        <w:t xml:space="preserve"> </w:t>
      </w:r>
      <w:proofErr w:type="spellStart"/>
      <w:r w:rsidRPr="00B163EE">
        <w:t>възможности</w:t>
      </w:r>
      <w:proofErr w:type="spellEnd"/>
      <w:r w:rsidRPr="00B163EE">
        <w:t xml:space="preserve"> </w:t>
      </w:r>
      <w:proofErr w:type="spellStart"/>
      <w:r w:rsidRPr="00B163EE">
        <w:t>за</w:t>
      </w:r>
      <w:proofErr w:type="spellEnd"/>
      <w:r w:rsidRPr="00B163EE">
        <w:t xml:space="preserve"> </w:t>
      </w:r>
      <w:proofErr w:type="spellStart"/>
      <w:r w:rsidRPr="00B163EE">
        <w:t>тренинг</w:t>
      </w:r>
      <w:proofErr w:type="spellEnd"/>
      <w:r w:rsidRPr="00B163EE">
        <w:t xml:space="preserve">, </w:t>
      </w:r>
      <w:proofErr w:type="spellStart"/>
      <w:r w:rsidRPr="00B163EE">
        <w:t>платен</w:t>
      </w:r>
      <w:proofErr w:type="spellEnd"/>
      <w:r w:rsidRPr="00B163EE">
        <w:t xml:space="preserve"> </w:t>
      </w:r>
      <w:proofErr w:type="spellStart"/>
      <w:r w:rsidRPr="00B163EE">
        <w:t>стаж</w:t>
      </w:r>
      <w:proofErr w:type="spellEnd"/>
      <w:r w:rsidRPr="00B163EE">
        <w:t xml:space="preserve"> и </w:t>
      </w:r>
      <w:proofErr w:type="spellStart"/>
      <w:r w:rsidRPr="00B163EE">
        <w:t>работа</w:t>
      </w:r>
      <w:proofErr w:type="spellEnd"/>
      <w:r w:rsidRPr="00B163EE">
        <w:t xml:space="preserve"> с </w:t>
      </w:r>
      <w:proofErr w:type="spellStart"/>
      <w:r w:rsidRPr="00B163EE">
        <w:t>гъвкаво</w:t>
      </w:r>
      <w:proofErr w:type="spellEnd"/>
      <w:r w:rsidRPr="00B163EE">
        <w:t xml:space="preserve"> </w:t>
      </w:r>
      <w:proofErr w:type="spellStart"/>
      <w:r w:rsidRPr="00B163EE">
        <w:t>работно</w:t>
      </w:r>
      <w:proofErr w:type="spellEnd"/>
      <w:r w:rsidRPr="00B163EE">
        <w:t xml:space="preserve"> </w:t>
      </w:r>
      <w:proofErr w:type="spellStart"/>
      <w:r w:rsidRPr="00B163EE">
        <w:t>време</w:t>
      </w:r>
      <w:proofErr w:type="spellEnd"/>
      <w:r w:rsidRPr="00B163EE">
        <w:t xml:space="preserve"> – 4, 6 </w:t>
      </w:r>
      <w:proofErr w:type="spellStart"/>
      <w:r w:rsidRPr="00B163EE">
        <w:t>или</w:t>
      </w:r>
      <w:proofErr w:type="spellEnd"/>
      <w:r w:rsidRPr="00B163EE">
        <w:t xml:space="preserve"> 8 </w:t>
      </w:r>
      <w:proofErr w:type="spellStart"/>
      <w:r w:rsidRPr="00B163EE">
        <w:t>часа</w:t>
      </w:r>
      <w:proofErr w:type="spellEnd"/>
      <w:r w:rsidRPr="00B163EE">
        <w:t xml:space="preserve">, </w:t>
      </w:r>
      <w:proofErr w:type="spellStart"/>
      <w:r w:rsidRPr="00B163EE">
        <w:t>като</w:t>
      </w:r>
      <w:proofErr w:type="spellEnd"/>
      <w:r w:rsidRPr="00B163EE">
        <w:t xml:space="preserve"> </w:t>
      </w:r>
      <w:proofErr w:type="spellStart"/>
      <w:r w:rsidRPr="00B163EE">
        <w:t>за</w:t>
      </w:r>
      <w:proofErr w:type="spellEnd"/>
      <w:r w:rsidRPr="00B163EE">
        <w:t xml:space="preserve"> </w:t>
      </w:r>
      <w:proofErr w:type="spellStart"/>
      <w:r w:rsidRPr="00B163EE">
        <w:t>студенти</w:t>
      </w:r>
      <w:proofErr w:type="spellEnd"/>
      <w:r w:rsidRPr="00B163EE">
        <w:t xml:space="preserve"> </w:t>
      </w:r>
      <w:proofErr w:type="spellStart"/>
      <w:r w:rsidRPr="00B163EE">
        <w:t>това</w:t>
      </w:r>
      <w:proofErr w:type="spellEnd"/>
      <w:r w:rsidRPr="00B163EE">
        <w:t xml:space="preserve"> е </w:t>
      </w:r>
      <w:proofErr w:type="spellStart"/>
      <w:r w:rsidRPr="00B163EE">
        <w:t>изцяло</w:t>
      </w:r>
      <w:proofErr w:type="spellEnd"/>
      <w:r w:rsidRPr="00B163EE">
        <w:t xml:space="preserve"> </w:t>
      </w:r>
      <w:proofErr w:type="spellStart"/>
      <w:r w:rsidRPr="00B163EE">
        <w:t>съобразено</w:t>
      </w:r>
      <w:proofErr w:type="spellEnd"/>
      <w:r w:rsidRPr="00B163EE">
        <w:t xml:space="preserve"> и с </w:t>
      </w:r>
      <w:proofErr w:type="spellStart"/>
      <w:r w:rsidRPr="00B163EE">
        <w:t>програмата</w:t>
      </w:r>
      <w:proofErr w:type="spellEnd"/>
      <w:r w:rsidRPr="00B163EE">
        <w:t xml:space="preserve"> в </w:t>
      </w:r>
      <w:proofErr w:type="spellStart"/>
      <w:r w:rsidRPr="00B163EE">
        <w:t>университета</w:t>
      </w:r>
      <w:proofErr w:type="spellEnd"/>
      <w:r w:rsidRPr="00B163EE">
        <w:t>. </w:t>
      </w:r>
    </w:p>
    <w:p w14:paraId="61DD656C" w14:textId="77777777" w:rsidR="00B163EE" w:rsidRDefault="00B163EE" w:rsidP="00D85A0B">
      <w:pPr>
        <w:spacing w:before="120" w:after="120" w:line="276" w:lineRule="auto"/>
        <w:jc w:val="both"/>
      </w:pPr>
      <w:proofErr w:type="spellStart"/>
      <w:r w:rsidRPr="00B163EE">
        <w:t>За</w:t>
      </w:r>
      <w:proofErr w:type="spellEnd"/>
      <w:r w:rsidRPr="00B163EE">
        <w:t xml:space="preserve"> </w:t>
      </w:r>
      <w:proofErr w:type="spellStart"/>
      <w:r w:rsidRPr="00B163EE">
        <w:t>да</w:t>
      </w:r>
      <w:proofErr w:type="spellEnd"/>
      <w:r w:rsidRPr="00B163EE">
        <w:t xml:space="preserve"> </w:t>
      </w:r>
      <w:proofErr w:type="spellStart"/>
      <w:r w:rsidRPr="00B163EE">
        <w:t>станете</w:t>
      </w:r>
      <w:proofErr w:type="spellEnd"/>
      <w:r w:rsidRPr="00B163EE">
        <w:t xml:space="preserve"> </w:t>
      </w:r>
      <w:proofErr w:type="spellStart"/>
      <w:r w:rsidRPr="00B163EE">
        <w:t>стажант</w:t>
      </w:r>
      <w:proofErr w:type="spellEnd"/>
      <w:r w:rsidRPr="00B163EE">
        <w:t xml:space="preserve"> е </w:t>
      </w:r>
      <w:proofErr w:type="spellStart"/>
      <w:r w:rsidRPr="00B163EE">
        <w:t>необходимо</w:t>
      </w:r>
      <w:proofErr w:type="spellEnd"/>
      <w:r w:rsidRPr="00B163EE">
        <w:t xml:space="preserve"> </w:t>
      </w:r>
      <w:proofErr w:type="spellStart"/>
      <w:r w:rsidRPr="00B163EE">
        <w:t>да</w:t>
      </w:r>
      <w:proofErr w:type="spellEnd"/>
      <w:r w:rsidRPr="00B163EE">
        <w:t xml:space="preserve"> </w:t>
      </w:r>
      <w:proofErr w:type="spellStart"/>
      <w:r w:rsidRPr="00B163EE">
        <w:t>сте</w:t>
      </w:r>
      <w:proofErr w:type="spellEnd"/>
      <w:r w:rsidRPr="00B163EE">
        <w:t xml:space="preserve"> </w:t>
      </w:r>
      <w:proofErr w:type="spellStart"/>
      <w:r w:rsidRPr="00B163EE">
        <w:t>първа</w:t>
      </w:r>
      <w:proofErr w:type="spellEnd"/>
      <w:r w:rsidRPr="00B163EE">
        <w:t xml:space="preserve"> </w:t>
      </w:r>
      <w:proofErr w:type="spellStart"/>
      <w:r w:rsidRPr="00B163EE">
        <w:t>или</w:t>
      </w:r>
      <w:proofErr w:type="spellEnd"/>
      <w:r w:rsidRPr="00B163EE">
        <w:t xml:space="preserve"> </w:t>
      </w:r>
      <w:proofErr w:type="spellStart"/>
      <w:r w:rsidRPr="00B163EE">
        <w:t>втора</w:t>
      </w:r>
      <w:proofErr w:type="spellEnd"/>
      <w:r w:rsidRPr="00B163EE">
        <w:t xml:space="preserve"> </w:t>
      </w:r>
      <w:proofErr w:type="spellStart"/>
      <w:r w:rsidRPr="00B163EE">
        <w:t>година</w:t>
      </w:r>
      <w:proofErr w:type="spellEnd"/>
      <w:r w:rsidRPr="00B163EE">
        <w:t xml:space="preserve"> в </w:t>
      </w:r>
      <w:proofErr w:type="spellStart"/>
      <w:r w:rsidRPr="00B163EE">
        <w:t>университета</w:t>
      </w:r>
      <w:proofErr w:type="spellEnd"/>
      <w:r w:rsidRPr="00B163EE">
        <w:t xml:space="preserve">, </w:t>
      </w:r>
      <w:proofErr w:type="spellStart"/>
      <w:r w:rsidRPr="00B163EE">
        <w:t>за</w:t>
      </w:r>
      <w:proofErr w:type="spellEnd"/>
      <w:r w:rsidRPr="00B163EE">
        <w:t xml:space="preserve"> </w:t>
      </w:r>
      <w:proofErr w:type="spellStart"/>
      <w:r w:rsidRPr="00B163EE">
        <w:t>предпочи</w:t>
      </w:r>
      <w:r w:rsidR="00EE53C5">
        <w:t>тане</w:t>
      </w:r>
      <w:proofErr w:type="spellEnd"/>
      <w:r w:rsidR="00EE53C5">
        <w:t xml:space="preserve"> </w:t>
      </w:r>
      <w:proofErr w:type="spellStart"/>
      <w:r w:rsidR="00EE53C5">
        <w:t>да</w:t>
      </w:r>
      <w:proofErr w:type="spellEnd"/>
      <w:r w:rsidR="00EE53C5">
        <w:t xml:space="preserve"> </w:t>
      </w:r>
      <w:proofErr w:type="spellStart"/>
      <w:r w:rsidR="00EE53C5">
        <w:t>следвате</w:t>
      </w:r>
      <w:proofErr w:type="spellEnd"/>
      <w:r w:rsidR="00EE53C5">
        <w:t xml:space="preserve"> в </w:t>
      </w:r>
      <w:proofErr w:type="spellStart"/>
      <w:r w:rsidR="00EE53C5">
        <w:t>областта</w:t>
      </w:r>
      <w:proofErr w:type="spellEnd"/>
      <w:r w:rsidR="00EE53C5">
        <w:t xml:space="preserve"> </w:t>
      </w:r>
      <w:proofErr w:type="spellStart"/>
      <w:r w:rsidR="00EE53C5">
        <w:t>на</w:t>
      </w:r>
      <w:proofErr w:type="spellEnd"/>
      <w:r w:rsidR="00EE53C5">
        <w:t xml:space="preserve"> </w:t>
      </w:r>
      <w:proofErr w:type="spellStart"/>
      <w:r w:rsidR="00EE53C5">
        <w:t>к</w:t>
      </w:r>
      <w:r w:rsidRPr="00B163EE">
        <w:t>омпютърните</w:t>
      </w:r>
      <w:proofErr w:type="spellEnd"/>
      <w:r w:rsidRPr="00B163EE">
        <w:t xml:space="preserve"> </w:t>
      </w:r>
      <w:proofErr w:type="spellStart"/>
      <w:r w:rsidRPr="00B163EE">
        <w:t>науки</w:t>
      </w:r>
      <w:proofErr w:type="spellEnd"/>
      <w:r w:rsidRPr="00B163EE">
        <w:t xml:space="preserve"> </w:t>
      </w:r>
      <w:proofErr w:type="spellStart"/>
      <w:r w:rsidRPr="00B163EE">
        <w:t>или</w:t>
      </w:r>
      <w:proofErr w:type="spellEnd"/>
      <w:r w:rsidRPr="00B163EE">
        <w:t xml:space="preserve"> </w:t>
      </w:r>
      <w:r w:rsidR="00EE53C5">
        <w:rPr>
          <w:lang w:val="bg-BG"/>
        </w:rPr>
        <w:t>свързано с тях</w:t>
      </w:r>
      <w:r w:rsidRPr="00B163EE">
        <w:t xml:space="preserve"> </w:t>
      </w:r>
      <w:proofErr w:type="spellStart"/>
      <w:r w:rsidRPr="00B163EE">
        <w:t>образование</w:t>
      </w:r>
      <w:proofErr w:type="spellEnd"/>
      <w:r w:rsidRPr="00B163EE">
        <w:t xml:space="preserve">, </w:t>
      </w:r>
      <w:proofErr w:type="spellStart"/>
      <w:r w:rsidRPr="00B163EE">
        <w:t>познаване</w:t>
      </w:r>
      <w:proofErr w:type="spellEnd"/>
      <w:r w:rsidRPr="00B163EE">
        <w:t xml:space="preserve"> </w:t>
      </w:r>
      <w:proofErr w:type="spellStart"/>
      <w:r w:rsidRPr="00B163EE">
        <w:t>на</w:t>
      </w:r>
      <w:proofErr w:type="spellEnd"/>
      <w:r w:rsidRPr="00B163EE">
        <w:t xml:space="preserve"> </w:t>
      </w:r>
      <w:proofErr w:type="spellStart"/>
      <w:r w:rsidRPr="00B163EE">
        <w:t>основните</w:t>
      </w:r>
      <w:proofErr w:type="spellEnd"/>
      <w:r w:rsidRPr="00B163EE">
        <w:t xml:space="preserve"> </w:t>
      </w:r>
      <w:proofErr w:type="spellStart"/>
      <w:r w:rsidRPr="00B163EE">
        <w:t>принципи</w:t>
      </w:r>
      <w:proofErr w:type="spellEnd"/>
      <w:r w:rsidRPr="00B163EE">
        <w:t xml:space="preserve"> в </w:t>
      </w:r>
      <w:proofErr w:type="spellStart"/>
      <w:r w:rsidRPr="00B163EE">
        <w:t>програмирането</w:t>
      </w:r>
      <w:proofErr w:type="spellEnd"/>
      <w:r w:rsidRPr="00B163EE">
        <w:t>, </w:t>
      </w:r>
      <w:proofErr w:type="spellStart"/>
      <w:r w:rsidRPr="00B163EE">
        <w:t>английски</w:t>
      </w:r>
      <w:proofErr w:type="spellEnd"/>
      <w:r w:rsidRPr="00B163EE">
        <w:t xml:space="preserve"> </w:t>
      </w:r>
      <w:proofErr w:type="spellStart"/>
      <w:r w:rsidRPr="00B163EE">
        <w:t>език</w:t>
      </w:r>
      <w:proofErr w:type="spellEnd"/>
      <w:r w:rsidRPr="00B163EE">
        <w:t xml:space="preserve"> </w:t>
      </w:r>
      <w:proofErr w:type="spellStart"/>
      <w:r w:rsidRPr="00B163EE">
        <w:t>на</w:t>
      </w:r>
      <w:proofErr w:type="spellEnd"/>
      <w:r w:rsidRPr="00B163EE">
        <w:t xml:space="preserve"> </w:t>
      </w:r>
      <w:proofErr w:type="spellStart"/>
      <w:r w:rsidRPr="00B163EE">
        <w:t>работно</w:t>
      </w:r>
      <w:proofErr w:type="spellEnd"/>
      <w:r w:rsidRPr="00B163EE">
        <w:t xml:space="preserve"> </w:t>
      </w:r>
      <w:proofErr w:type="spellStart"/>
      <w:r w:rsidRPr="00B163EE">
        <w:t>ниво</w:t>
      </w:r>
      <w:proofErr w:type="spellEnd"/>
      <w:r w:rsidRPr="00B163EE">
        <w:t>, </w:t>
      </w:r>
      <w:proofErr w:type="spellStart"/>
      <w:r w:rsidRPr="00B163EE">
        <w:t>желание</w:t>
      </w:r>
      <w:proofErr w:type="spellEnd"/>
      <w:r w:rsidRPr="00B163EE">
        <w:t xml:space="preserve"> </w:t>
      </w:r>
      <w:proofErr w:type="spellStart"/>
      <w:r w:rsidRPr="00B163EE">
        <w:t>за</w:t>
      </w:r>
      <w:proofErr w:type="spellEnd"/>
      <w:r w:rsidRPr="00B163EE">
        <w:t xml:space="preserve"> </w:t>
      </w:r>
      <w:proofErr w:type="spellStart"/>
      <w:r w:rsidRPr="00B163EE">
        <w:t>учене</w:t>
      </w:r>
      <w:proofErr w:type="spellEnd"/>
      <w:r w:rsidRPr="00B163EE">
        <w:t xml:space="preserve"> и </w:t>
      </w:r>
      <w:proofErr w:type="spellStart"/>
      <w:r w:rsidRPr="00B163EE">
        <w:t>развитие</w:t>
      </w:r>
      <w:proofErr w:type="spellEnd"/>
      <w:r w:rsidRPr="00B163EE">
        <w:t>. </w:t>
      </w:r>
      <w:proofErr w:type="spellStart"/>
      <w:r w:rsidRPr="00B163EE">
        <w:t>За</w:t>
      </w:r>
      <w:proofErr w:type="spellEnd"/>
      <w:r w:rsidRPr="00B163EE">
        <w:t xml:space="preserve"> </w:t>
      </w:r>
      <w:proofErr w:type="spellStart"/>
      <w:r w:rsidRPr="00B163EE">
        <w:t>предимства</w:t>
      </w:r>
      <w:proofErr w:type="spellEnd"/>
      <w:r w:rsidRPr="00B163EE">
        <w:t> </w:t>
      </w:r>
      <w:proofErr w:type="spellStart"/>
      <w:r w:rsidRPr="00B163EE">
        <w:t>се</w:t>
      </w:r>
      <w:proofErr w:type="spellEnd"/>
      <w:r w:rsidRPr="00B163EE">
        <w:t xml:space="preserve"> </w:t>
      </w:r>
      <w:proofErr w:type="spellStart"/>
      <w:r w:rsidRPr="00B163EE">
        <w:t>считат</w:t>
      </w:r>
      <w:proofErr w:type="spellEnd"/>
      <w:r w:rsidRPr="00B163EE">
        <w:t xml:space="preserve"> </w:t>
      </w:r>
      <w:proofErr w:type="spellStart"/>
      <w:r w:rsidRPr="00B163EE">
        <w:t>познаване</w:t>
      </w:r>
      <w:proofErr w:type="spellEnd"/>
      <w:r w:rsidRPr="00B163EE">
        <w:t xml:space="preserve"> </w:t>
      </w:r>
      <w:proofErr w:type="spellStart"/>
      <w:r w:rsidRPr="00B163EE">
        <w:t>на</w:t>
      </w:r>
      <w:proofErr w:type="spellEnd"/>
      <w:r w:rsidRPr="00B163EE">
        <w:t xml:space="preserve"> MySQL </w:t>
      </w:r>
      <w:proofErr w:type="spellStart"/>
      <w:r w:rsidRPr="00B163EE">
        <w:t>или</w:t>
      </w:r>
      <w:proofErr w:type="spellEnd"/>
      <w:r w:rsidRPr="00B163EE">
        <w:t xml:space="preserve"> PostgreSQL, </w:t>
      </w:r>
      <w:proofErr w:type="spellStart"/>
      <w:r w:rsidRPr="00B163EE">
        <w:t>работа</w:t>
      </w:r>
      <w:proofErr w:type="spellEnd"/>
      <w:r w:rsidRPr="00B163EE">
        <w:t xml:space="preserve"> </w:t>
      </w:r>
      <w:proofErr w:type="spellStart"/>
      <w:r w:rsidRPr="00B163EE">
        <w:t>под</w:t>
      </w:r>
      <w:proofErr w:type="spellEnd"/>
      <w:r w:rsidRPr="00B163EE">
        <w:t xml:space="preserve"> Linux и </w:t>
      </w:r>
      <w:proofErr w:type="spellStart"/>
      <w:r w:rsidRPr="00B163EE">
        <w:t>познаване</w:t>
      </w:r>
      <w:proofErr w:type="spellEnd"/>
      <w:r w:rsidRPr="00B163EE">
        <w:t xml:space="preserve"> </w:t>
      </w:r>
      <w:proofErr w:type="spellStart"/>
      <w:r w:rsidRPr="00B163EE">
        <w:t>на</w:t>
      </w:r>
      <w:proofErr w:type="spellEnd"/>
      <w:r w:rsidRPr="00B163EE">
        <w:t xml:space="preserve"> HTML, CSS. </w:t>
      </w:r>
      <w:proofErr w:type="spellStart"/>
      <w:r w:rsidRPr="00B163EE">
        <w:t>Компанията</w:t>
      </w:r>
      <w:proofErr w:type="spellEnd"/>
      <w:r w:rsidRPr="00B163EE">
        <w:t> </w:t>
      </w:r>
      <w:proofErr w:type="spellStart"/>
      <w:r w:rsidRPr="00B163EE">
        <w:t>предлага</w:t>
      </w:r>
      <w:proofErr w:type="spellEnd"/>
      <w:r w:rsidRPr="00B163EE">
        <w:t> </w:t>
      </w:r>
      <w:proofErr w:type="spellStart"/>
      <w:r w:rsidRPr="00B163EE">
        <w:t>обучение</w:t>
      </w:r>
      <w:proofErr w:type="spellEnd"/>
      <w:r w:rsidRPr="00B163EE">
        <w:t xml:space="preserve">, </w:t>
      </w:r>
      <w:proofErr w:type="spellStart"/>
      <w:r w:rsidRPr="00B163EE">
        <w:t>стаж</w:t>
      </w:r>
      <w:proofErr w:type="spellEnd"/>
      <w:r w:rsidRPr="00B163EE">
        <w:t xml:space="preserve"> и </w:t>
      </w:r>
      <w:proofErr w:type="spellStart"/>
      <w:r w:rsidRPr="00B163EE">
        <w:t>възможност</w:t>
      </w:r>
      <w:proofErr w:type="spellEnd"/>
      <w:r w:rsidRPr="00B163EE">
        <w:t xml:space="preserve"> </w:t>
      </w:r>
      <w:proofErr w:type="spellStart"/>
      <w:r w:rsidRPr="00B163EE">
        <w:t>за</w:t>
      </w:r>
      <w:proofErr w:type="spellEnd"/>
      <w:r w:rsidRPr="00B163EE">
        <w:t xml:space="preserve"> </w:t>
      </w:r>
      <w:proofErr w:type="spellStart"/>
      <w:r w:rsidRPr="00B163EE">
        <w:t>работа</w:t>
      </w:r>
      <w:proofErr w:type="spellEnd"/>
      <w:r w:rsidRPr="00B163EE">
        <w:t xml:space="preserve"> </w:t>
      </w:r>
      <w:proofErr w:type="spellStart"/>
      <w:r w:rsidRPr="00B163EE">
        <w:t>на</w:t>
      </w:r>
      <w:proofErr w:type="spellEnd"/>
      <w:r w:rsidRPr="00B163EE">
        <w:t xml:space="preserve"> </w:t>
      </w:r>
      <w:proofErr w:type="spellStart"/>
      <w:r w:rsidRPr="00B163EE">
        <w:t>половин</w:t>
      </w:r>
      <w:proofErr w:type="spellEnd"/>
      <w:r w:rsidRPr="00B163EE">
        <w:t xml:space="preserve"> </w:t>
      </w:r>
      <w:proofErr w:type="spellStart"/>
      <w:r w:rsidRPr="00B163EE">
        <w:t>или</w:t>
      </w:r>
      <w:proofErr w:type="spellEnd"/>
      <w:r w:rsidRPr="00B163EE">
        <w:t xml:space="preserve"> </w:t>
      </w:r>
      <w:proofErr w:type="spellStart"/>
      <w:r w:rsidRPr="00B163EE">
        <w:t>пълен</w:t>
      </w:r>
      <w:proofErr w:type="spellEnd"/>
      <w:r w:rsidRPr="00B163EE">
        <w:t xml:space="preserve"> </w:t>
      </w:r>
      <w:proofErr w:type="spellStart"/>
      <w:r w:rsidRPr="00B163EE">
        <w:t>работен</w:t>
      </w:r>
      <w:proofErr w:type="spellEnd"/>
      <w:r w:rsidRPr="00B163EE">
        <w:t xml:space="preserve"> </w:t>
      </w:r>
      <w:proofErr w:type="spellStart"/>
      <w:r w:rsidRPr="00B163EE">
        <w:t>ден</w:t>
      </w:r>
      <w:proofErr w:type="spellEnd"/>
      <w:r w:rsidRPr="00B163EE">
        <w:t xml:space="preserve"> </w:t>
      </w:r>
      <w:proofErr w:type="spellStart"/>
      <w:r w:rsidRPr="00B163EE">
        <w:t>след</w:t>
      </w:r>
      <w:proofErr w:type="spellEnd"/>
      <w:r w:rsidRPr="00B163EE">
        <w:t xml:space="preserve"> </w:t>
      </w:r>
      <w:proofErr w:type="spellStart"/>
      <w:r w:rsidRPr="00B163EE">
        <w:t>края</w:t>
      </w:r>
      <w:proofErr w:type="spellEnd"/>
      <w:r w:rsidRPr="00B163EE">
        <w:t xml:space="preserve"> </w:t>
      </w:r>
      <w:proofErr w:type="spellStart"/>
      <w:r w:rsidRPr="00B163EE">
        <w:t>на</w:t>
      </w:r>
      <w:proofErr w:type="spellEnd"/>
      <w:r w:rsidRPr="00B163EE">
        <w:t xml:space="preserve"> </w:t>
      </w:r>
      <w:proofErr w:type="spellStart"/>
      <w:r w:rsidRPr="00B163EE">
        <w:t>стажа</w:t>
      </w:r>
      <w:proofErr w:type="spellEnd"/>
      <w:r w:rsidRPr="00B163EE">
        <w:t>, </w:t>
      </w:r>
      <w:proofErr w:type="spellStart"/>
      <w:r w:rsidRPr="00B163EE">
        <w:t>приятна</w:t>
      </w:r>
      <w:proofErr w:type="spellEnd"/>
      <w:r w:rsidRPr="00B163EE">
        <w:t xml:space="preserve"> и </w:t>
      </w:r>
      <w:proofErr w:type="spellStart"/>
      <w:r w:rsidRPr="00B163EE">
        <w:t>приятелска</w:t>
      </w:r>
      <w:proofErr w:type="spellEnd"/>
      <w:r w:rsidRPr="00B163EE">
        <w:t xml:space="preserve"> </w:t>
      </w:r>
      <w:proofErr w:type="spellStart"/>
      <w:r w:rsidRPr="00B163EE">
        <w:t>работна</w:t>
      </w:r>
      <w:proofErr w:type="spellEnd"/>
      <w:r w:rsidRPr="00B163EE">
        <w:t xml:space="preserve"> </w:t>
      </w:r>
      <w:proofErr w:type="spellStart"/>
      <w:r w:rsidRPr="00B163EE">
        <w:t>среда</w:t>
      </w:r>
      <w:proofErr w:type="spellEnd"/>
      <w:r w:rsidRPr="00B163EE">
        <w:t xml:space="preserve"> в </w:t>
      </w:r>
      <w:proofErr w:type="spellStart"/>
      <w:r w:rsidRPr="00B163EE">
        <w:t>екип</w:t>
      </w:r>
      <w:proofErr w:type="spellEnd"/>
      <w:r w:rsidRPr="00B163EE">
        <w:t xml:space="preserve"> </w:t>
      </w:r>
      <w:proofErr w:type="spellStart"/>
      <w:r w:rsidRPr="00B163EE">
        <w:t>от</w:t>
      </w:r>
      <w:proofErr w:type="spellEnd"/>
      <w:r w:rsidRPr="00B163EE">
        <w:t xml:space="preserve"> </w:t>
      </w:r>
      <w:proofErr w:type="spellStart"/>
      <w:r w:rsidRPr="00B163EE">
        <w:t>млади</w:t>
      </w:r>
      <w:proofErr w:type="spellEnd"/>
      <w:r w:rsidRPr="00B163EE">
        <w:t xml:space="preserve"> </w:t>
      </w:r>
      <w:proofErr w:type="spellStart"/>
      <w:r w:rsidRPr="00B163EE">
        <w:t>професионалисти</w:t>
      </w:r>
      <w:proofErr w:type="spellEnd"/>
      <w:r w:rsidRPr="00B163EE">
        <w:t>, </w:t>
      </w:r>
      <w:proofErr w:type="spellStart"/>
      <w:r w:rsidRPr="00B163EE">
        <w:t>работно</w:t>
      </w:r>
      <w:proofErr w:type="spellEnd"/>
      <w:r w:rsidRPr="00B163EE">
        <w:t xml:space="preserve"> </w:t>
      </w:r>
      <w:proofErr w:type="spellStart"/>
      <w:r w:rsidRPr="00B163EE">
        <w:t>време</w:t>
      </w:r>
      <w:proofErr w:type="spellEnd"/>
      <w:r w:rsidRPr="00B163EE">
        <w:t xml:space="preserve"> </w:t>
      </w:r>
      <w:proofErr w:type="spellStart"/>
      <w:r w:rsidRPr="00B163EE">
        <w:t>съобразено</w:t>
      </w:r>
      <w:proofErr w:type="spellEnd"/>
      <w:r w:rsidRPr="00B163EE">
        <w:t xml:space="preserve"> с </w:t>
      </w:r>
      <w:proofErr w:type="spellStart"/>
      <w:r w:rsidRPr="00B163EE">
        <w:t>часове</w:t>
      </w:r>
      <w:proofErr w:type="spellEnd"/>
      <w:r w:rsidRPr="00B163EE">
        <w:t xml:space="preserve">, </w:t>
      </w:r>
      <w:proofErr w:type="spellStart"/>
      <w:r w:rsidRPr="00B163EE">
        <w:t>лекции</w:t>
      </w:r>
      <w:proofErr w:type="spellEnd"/>
      <w:r w:rsidRPr="00B163EE">
        <w:t xml:space="preserve"> и </w:t>
      </w:r>
      <w:proofErr w:type="spellStart"/>
      <w:r w:rsidRPr="00B163EE">
        <w:t>упражнения</w:t>
      </w:r>
      <w:proofErr w:type="spellEnd"/>
      <w:r w:rsidRPr="00B163EE">
        <w:t>. </w:t>
      </w:r>
      <w:proofErr w:type="spellStart"/>
      <w:r w:rsidRPr="00B163EE">
        <w:t>Фирмата</w:t>
      </w:r>
      <w:proofErr w:type="spellEnd"/>
      <w:r w:rsidRPr="00B163EE">
        <w:t xml:space="preserve"> </w:t>
      </w:r>
      <w:proofErr w:type="spellStart"/>
      <w:r w:rsidRPr="00B163EE">
        <w:t>ще</w:t>
      </w:r>
      <w:proofErr w:type="spellEnd"/>
      <w:r w:rsidRPr="00B163EE">
        <w:t xml:space="preserve"> </w:t>
      </w:r>
      <w:proofErr w:type="spellStart"/>
      <w:r w:rsidRPr="00B163EE">
        <w:t>се</w:t>
      </w:r>
      <w:proofErr w:type="spellEnd"/>
      <w:r w:rsidRPr="00B163EE">
        <w:t> </w:t>
      </w:r>
      <w:proofErr w:type="spellStart"/>
      <w:r w:rsidRPr="00B163EE">
        <w:t>свърже</w:t>
      </w:r>
      <w:proofErr w:type="spellEnd"/>
      <w:r w:rsidRPr="00B163EE">
        <w:t xml:space="preserve"> </w:t>
      </w:r>
      <w:proofErr w:type="spellStart"/>
      <w:r w:rsidRPr="00B163EE">
        <w:t>само</w:t>
      </w:r>
      <w:proofErr w:type="spellEnd"/>
      <w:r w:rsidRPr="00B163EE">
        <w:t xml:space="preserve"> с </w:t>
      </w:r>
      <w:proofErr w:type="spellStart"/>
      <w:r w:rsidRPr="00B163EE">
        <w:t>предварително</w:t>
      </w:r>
      <w:proofErr w:type="spellEnd"/>
      <w:r w:rsidRPr="00B163EE">
        <w:t xml:space="preserve"> </w:t>
      </w:r>
      <w:proofErr w:type="spellStart"/>
      <w:r w:rsidRPr="00B163EE">
        <w:t>одобрените</w:t>
      </w:r>
      <w:proofErr w:type="spellEnd"/>
      <w:r w:rsidRPr="00B163EE">
        <w:t xml:space="preserve"> </w:t>
      </w:r>
      <w:proofErr w:type="spellStart"/>
      <w:r w:rsidRPr="00B163EE">
        <w:t>кандидати</w:t>
      </w:r>
      <w:proofErr w:type="spellEnd"/>
      <w:r w:rsidRPr="00B163EE">
        <w:t>. </w:t>
      </w:r>
      <w:proofErr w:type="spellStart"/>
      <w:r w:rsidRPr="00B163EE">
        <w:t>Може</w:t>
      </w:r>
      <w:proofErr w:type="spellEnd"/>
      <w:r w:rsidRPr="00B163EE">
        <w:t xml:space="preserve"> </w:t>
      </w:r>
      <w:proofErr w:type="spellStart"/>
      <w:r w:rsidRPr="00B163EE">
        <w:t>да</w:t>
      </w:r>
      <w:proofErr w:type="spellEnd"/>
      <w:r w:rsidRPr="00B163EE">
        <w:t xml:space="preserve"> </w:t>
      </w:r>
      <w:proofErr w:type="spellStart"/>
      <w:r w:rsidRPr="00B163EE">
        <w:t>кандидатствате</w:t>
      </w:r>
      <w:proofErr w:type="spellEnd"/>
      <w:r w:rsidRPr="00B163EE">
        <w:t> </w:t>
      </w:r>
      <w:proofErr w:type="spellStart"/>
      <w:r>
        <w:fldChar w:fldCharType="begin"/>
      </w:r>
      <w:r>
        <w:instrText>HYPERLINK "https://telebid-pro.com/careers/"</w:instrText>
      </w:r>
      <w:r>
        <w:fldChar w:fldCharType="separate"/>
      </w:r>
      <w:r w:rsidRPr="00B163EE">
        <w:rPr>
          <w:rStyle w:val="Hyperlink"/>
        </w:rPr>
        <w:t>оттук</w:t>
      </w:r>
      <w:proofErr w:type="spellEnd"/>
      <w:r>
        <w:fldChar w:fldCharType="end"/>
      </w:r>
      <w:r w:rsidRPr="00B163EE">
        <w:t>.</w:t>
      </w:r>
    </w:p>
    <w:p w14:paraId="0588C52B" w14:textId="77777777" w:rsidR="00D85A0B" w:rsidRDefault="00D85A0B" w:rsidP="004E69B3">
      <w:pPr>
        <w:spacing w:before="120" w:after="600" w:line="276" w:lineRule="auto"/>
        <w:jc w:val="both"/>
        <w:rPr>
          <w:b/>
          <w:lang w:val="bg-BG"/>
        </w:rPr>
      </w:pPr>
      <w:r w:rsidRPr="00D85A0B">
        <w:rPr>
          <w:b/>
          <w:lang w:val="bg-BG"/>
        </w:rPr>
        <w:t>Краен срок: не е посочен</w:t>
      </w:r>
    </w:p>
    <w:p w14:paraId="6B00A96F" w14:textId="77777777" w:rsidR="00A24857" w:rsidRPr="00A24857" w:rsidRDefault="00A24857" w:rsidP="00A24857">
      <w:pPr>
        <w:pStyle w:val="Heading2"/>
        <w:ind w:left="284"/>
        <w:rPr>
          <w:lang w:val="bg-BG"/>
        </w:rPr>
      </w:pPr>
      <w:bookmarkStart w:id="18" w:name="_Toc197365382"/>
      <w:r w:rsidRPr="00A24857">
        <w:rPr>
          <w:lang w:val="bg-BG"/>
        </w:rPr>
        <w:t xml:space="preserve">Стаж в </w:t>
      </w:r>
      <w:r w:rsidRPr="00A24857">
        <w:t>„Уникредит Булбанк“</w:t>
      </w:r>
      <w:bookmarkEnd w:id="18"/>
    </w:p>
    <w:p w14:paraId="1370E49D" w14:textId="77777777" w:rsidR="00A24857" w:rsidRPr="00FA4F1B" w:rsidRDefault="00BC06FB" w:rsidP="00DA06D4">
      <w:pPr>
        <w:spacing w:before="120" w:line="276" w:lineRule="auto"/>
        <w:jc w:val="both"/>
        <w:rPr>
          <w:lang w:val="bg-BG"/>
        </w:rPr>
      </w:pPr>
      <w:r w:rsidRPr="00FA4F1B">
        <w:rPr>
          <w:lang w:val="bg-BG"/>
        </w:rPr>
        <w:t>Стажантската програма</w:t>
      </w:r>
      <w:r w:rsidR="00A57F85">
        <w:rPr>
          <w:lang w:val="bg-BG"/>
        </w:rPr>
        <w:t xml:space="preserve"> на </w:t>
      </w:r>
      <w:r w:rsidR="00A57F85" w:rsidRPr="00FA4F1B">
        <w:rPr>
          <w:lang w:val="bg-BG"/>
        </w:rPr>
        <w:t>„</w:t>
      </w:r>
      <w:r w:rsidR="00A57F85" w:rsidRPr="00FA4F1B">
        <w:rPr>
          <w:bCs/>
          <w:lang w:val="bg-BG"/>
        </w:rPr>
        <w:t xml:space="preserve">Уникредит Булбанк“ </w:t>
      </w:r>
      <w:r w:rsidRPr="00FA4F1B">
        <w:rPr>
          <w:lang w:val="bg-BG"/>
        </w:rPr>
        <w:t xml:space="preserve"> има за цел да подаде ръка на студентите и наскоро завършилите специалисти, като ги запознае с основните дейности от работата в банковата сфера и съчетае обучението с реалните работни предизвикателства в екипа на водеща финансова институция. </w:t>
      </w:r>
    </w:p>
    <w:p w14:paraId="6CFF140E" w14:textId="77777777" w:rsidR="00A24857" w:rsidRPr="00FA4F1B" w:rsidRDefault="00BC06FB" w:rsidP="00DA06D4">
      <w:pPr>
        <w:spacing w:line="276" w:lineRule="auto"/>
        <w:jc w:val="both"/>
        <w:rPr>
          <w:lang w:val="bg-BG"/>
        </w:rPr>
      </w:pPr>
      <w:r w:rsidRPr="00FA4F1B">
        <w:rPr>
          <w:lang w:val="bg-BG"/>
        </w:rPr>
        <w:t>Стажант</w:t>
      </w:r>
      <w:r w:rsidR="00A57F85">
        <w:rPr>
          <w:lang w:val="bg-BG"/>
        </w:rPr>
        <w:t>ите</w:t>
      </w:r>
      <w:r w:rsidRPr="00FA4F1B">
        <w:rPr>
          <w:lang w:val="bg-BG"/>
        </w:rPr>
        <w:t xml:space="preserve"> ще </w:t>
      </w:r>
      <w:r w:rsidR="00A57F85">
        <w:rPr>
          <w:lang w:val="bg-BG"/>
        </w:rPr>
        <w:t>участват в</w:t>
      </w:r>
      <w:r w:rsidRPr="00FA4F1B">
        <w:rPr>
          <w:lang w:val="bg-BG"/>
        </w:rPr>
        <w:t xml:space="preserve"> извършването на продажби и обслужването на клиенти, ще подпомага</w:t>
      </w:r>
      <w:r w:rsidR="00A57F85">
        <w:rPr>
          <w:lang w:val="bg-BG"/>
        </w:rPr>
        <w:t>т</w:t>
      </w:r>
      <w:r w:rsidRPr="00FA4F1B">
        <w:rPr>
          <w:lang w:val="bg-BG"/>
        </w:rPr>
        <w:t xml:space="preserve"> стимулирането на клиентския интерес към продукти</w:t>
      </w:r>
      <w:r w:rsidR="00A57F85">
        <w:rPr>
          <w:lang w:val="bg-BG"/>
        </w:rPr>
        <w:t>те</w:t>
      </w:r>
      <w:r w:rsidRPr="00FA4F1B">
        <w:rPr>
          <w:lang w:val="bg-BG"/>
        </w:rPr>
        <w:t xml:space="preserve"> и услугите на банката, ще </w:t>
      </w:r>
      <w:r w:rsidR="00A57F85">
        <w:rPr>
          <w:lang w:val="bg-BG"/>
        </w:rPr>
        <w:t xml:space="preserve">се </w:t>
      </w:r>
      <w:r w:rsidR="00A57F85" w:rsidRPr="00FA4F1B">
        <w:rPr>
          <w:lang w:val="bg-BG"/>
        </w:rPr>
        <w:t>научат</w:t>
      </w:r>
      <w:r w:rsidRPr="00FA4F1B">
        <w:rPr>
          <w:lang w:val="bg-BG"/>
        </w:rPr>
        <w:t xml:space="preserve"> да работ</w:t>
      </w:r>
      <w:r w:rsidR="00A57F85">
        <w:rPr>
          <w:lang w:val="bg-BG"/>
        </w:rPr>
        <w:t>ят</w:t>
      </w:r>
      <w:r w:rsidRPr="00FA4F1B">
        <w:rPr>
          <w:lang w:val="bg-BG"/>
        </w:rPr>
        <w:t xml:space="preserve"> с клиенти, как </w:t>
      </w:r>
      <w:r w:rsidR="00A57F85">
        <w:rPr>
          <w:lang w:val="bg-BG"/>
        </w:rPr>
        <w:t xml:space="preserve">да </w:t>
      </w:r>
      <w:r w:rsidRPr="00FA4F1B">
        <w:rPr>
          <w:lang w:val="bg-BG"/>
        </w:rPr>
        <w:t xml:space="preserve">водят преговори с клиенти - на живо и по телефон и други. </w:t>
      </w:r>
    </w:p>
    <w:p w14:paraId="10B13FB2" w14:textId="77777777" w:rsidR="00A24857" w:rsidRPr="00FA4F1B" w:rsidRDefault="00BC06FB" w:rsidP="00DA06D4">
      <w:pPr>
        <w:spacing w:before="120" w:line="276" w:lineRule="auto"/>
        <w:jc w:val="both"/>
        <w:rPr>
          <w:lang w:val="bg-BG"/>
        </w:rPr>
      </w:pPr>
      <w:r w:rsidRPr="00FA4F1B">
        <w:rPr>
          <w:lang w:val="bg-BG"/>
        </w:rPr>
        <w:t xml:space="preserve">Нужно е кандидатите да са завършили или в процес на завършване на висше образование; </w:t>
      </w:r>
      <w:r w:rsidR="00A57F85">
        <w:rPr>
          <w:lang w:val="bg-BG"/>
        </w:rPr>
        <w:t xml:space="preserve">да </w:t>
      </w:r>
      <w:r w:rsidRPr="00FA4F1B">
        <w:rPr>
          <w:lang w:val="bg-BG"/>
        </w:rPr>
        <w:t>желаят да съчетаят теоретичното си обучение с реалните предизвикателства, които поднася работата;</w:t>
      </w:r>
      <w:r w:rsidR="00A57F85">
        <w:rPr>
          <w:lang w:val="bg-BG"/>
        </w:rPr>
        <w:t xml:space="preserve"> да </w:t>
      </w:r>
      <w:r w:rsidRPr="00FA4F1B">
        <w:rPr>
          <w:lang w:val="bg-BG"/>
        </w:rPr>
        <w:t xml:space="preserve">владеят английски език; </w:t>
      </w:r>
      <w:r w:rsidR="00A57F85">
        <w:rPr>
          <w:lang w:val="bg-BG"/>
        </w:rPr>
        <w:t>да притежават</w:t>
      </w:r>
      <w:r w:rsidRPr="00FA4F1B">
        <w:rPr>
          <w:lang w:val="bg-BG"/>
        </w:rPr>
        <w:t xml:space="preserve"> отлична компютърна грамотност – </w:t>
      </w:r>
      <w:r w:rsidRPr="00BC06FB">
        <w:t>MS</w:t>
      </w:r>
      <w:r w:rsidRPr="00FA4F1B">
        <w:rPr>
          <w:lang w:val="bg-BG"/>
        </w:rPr>
        <w:t xml:space="preserve"> </w:t>
      </w:r>
      <w:r w:rsidRPr="00BC06FB">
        <w:t>Office</w:t>
      </w:r>
      <w:r w:rsidRPr="00FA4F1B">
        <w:rPr>
          <w:lang w:val="bg-BG"/>
        </w:rPr>
        <w:t xml:space="preserve"> - </w:t>
      </w:r>
      <w:r w:rsidRPr="00BC06FB">
        <w:t>Word</w:t>
      </w:r>
      <w:r w:rsidRPr="00FA4F1B">
        <w:rPr>
          <w:lang w:val="bg-BG"/>
        </w:rPr>
        <w:t xml:space="preserve">, </w:t>
      </w:r>
      <w:r w:rsidRPr="00BC06FB">
        <w:t>Excel</w:t>
      </w:r>
      <w:r w:rsidRPr="00FA4F1B">
        <w:rPr>
          <w:lang w:val="bg-BG"/>
        </w:rPr>
        <w:t xml:space="preserve">, </w:t>
      </w:r>
      <w:r w:rsidRPr="00BC06FB">
        <w:t>PowerPoint</w:t>
      </w:r>
      <w:r w:rsidRPr="00FA4F1B">
        <w:rPr>
          <w:lang w:val="bg-BG"/>
        </w:rPr>
        <w:t xml:space="preserve">; </w:t>
      </w:r>
      <w:r w:rsidR="00A57F85">
        <w:rPr>
          <w:lang w:val="bg-BG"/>
        </w:rPr>
        <w:t xml:space="preserve">както и </w:t>
      </w:r>
      <w:r w:rsidRPr="00FA4F1B">
        <w:rPr>
          <w:lang w:val="bg-BG"/>
        </w:rPr>
        <w:t>динамична, инициативна и организирана личност; с много добри комуникативни и организационни умения.</w:t>
      </w:r>
    </w:p>
    <w:p w14:paraId="7AE544A3" w14:textId="77777777" w:rsidR="00585B05" w:rsidRPr="00A57F85" w:rsidRDefault="00BC06FB" w:rsidP="00DA06D4">
      <w:pPr>
        <w:spacing w:after="120" w:line="276" w:lineRule="auto"/>
        <w:jc w:val="both"/>
        <w:rPr>
          <w:lang w:val="bg-BG"/>
        </w:rPr>
      </w:pPr>
      <w:r w:rsidRPr="00FA4F1B">
        <w:rPr>
          <w:lang w:val="bg-BG"/>
        </w:rPr>
        <w:t>Ако намирате стажантската програма за предизвикателна и отговаряща на вашето образование и амбиции, изпратете информация, като отбележите предпочитана област за стаж. Може да кандидатствате през</w:t>
      </w:r>
      <w:r w:rsidRPr="00BC06FB">
        <w:t> </w:t>
      </w:r>
      <w:r>
        <w:fldChar w:fldCharType="begin"/>
      </w:r>
      <w:r>
        <w:instrText>HYPERLINK</w:instrText>
      </w:r>
      <w:r w:rsidRPr="00FA4F1B">
        <w:rPr>
          <w:lang w:val="bg-BG"/>
        </w:rPr>
        <w:instrText xml:space="preserve"> "</w:instrText>
      </w:r>
      <w:r>
        <w:instrText>https</w:instrText>
      </w:r>
      <w:r w:rsidRPr="00FA4F1B">
        <w:rPr>
          <w:lang w:val="bg-BG"/>
        </w:rPr>
        <w:instrText>://</w:instrText>
      </w:r>
      <w:r>
        <w:instrText>www</w:instrText>
      </w:r>
      <w:r w:rsidRPr="00FA4F1B">
        <w:rPr>
          <w:lang w:val="bg-BG"/>
        </w:rPr>
        <w:instrText>.</w:instrText>
      </w:r>
      <w:r>
        <w:instrText>unicreditbulbank</w:instrText>
      </w:r>
      <w:r w:rsidRPr="00FA4F1B">
        <w:rPr>
          <w:lang w:val="bg-BG"/>
        </w:rPr>
        <w:instrText>.</w:instrText>
      </w:r>
      <w:r>
        <w:instrText>bg</w:instrText>
      </w:r>
      <w:r w:rsidRPr="00FA4F1B">
        <w:rPr>
          <w:lang w:val="bg-BG"/>
        </w:rPr>
        <w:instrText>/</w:instrText>
      </w:r>
      <w:r>
        <w:instrText>bg</w:instrText>
      </w:r>
      <w:r w:rsidRPr="00FA4F1B">
        <w:rPr>
          <w:lang w:val="bg-BG"/>
        </w:rPr>
        <w:instrText>/</w:instrText>
      </w:r>
      <w:r>
        <w:instrText>za</w:instrText>
      </w:r>
      <w:r w:rsidRPr="00FA4F1B">
        <w:rPr>
          <w:lang w:val="bg-BG"/>
        </w:rPr>
        <w:instrText>-</w:instrText>
      </w:r>
      <w:r>
        <w:instrText>nas</w:instrText>
      </w:r>
      <w:r w:rsidRPr="00FA4F1B">
        <w:rPr>
          <w:lang w:val="bg-BG"/>
        </w:rPr>
        <w:instrText>/</w:instrText>
      </w:r>
      <w:r>
        <w:instrText>karieri</w:instrText>
      </w:r>
      <w:r w:rsidRPr="00FA4F1B">
        <w:rPr>
          <w:lang w:val="bg-BG"/>
        </w:rPr>
        <w:instrText>/</w:instrText>
      </w:r>
      <w:r>
        <w:instrText>kandidatstvane</w:instrText>
      </w:r>
      <w:r w:rsidRPr="00FA4F1B">
        <w:rPr>
          <w:lang w:val="bg-BG"/>
        </w:rPr>
        <w:instrText>/"</w:instrText>
      </w:r>
      <w:r>
        <w:fldChar w:fldCharType="separate"/>
      </w:r>
      <w:r w:rsidRPr="00FA4F1B">
        <w:rPr>
          <w:rStyle w:val="Hyperlink"/>
          <w:lang w:val="bg-BG"/>
        </w:rPr>
        <w:t>сайта на организацията</w:t>
      </w:r>
      <w:r>
        <w:fldChar w:fldCharType="end"/>
      </w:r>
      <w:r w:rsidR="00A57F85">
        <w:rPr>
          <w:rStyle w:val="Hyperlink"/>
          <w:lang w:val="bg-BG"/>
        </w:rPr>
        <w:t>.</w:t>
      </w:r>
    </w:p>
    <w:p w14:paraId="48870B2A" w14:textId="77777777" w:rsidR="00A24857" w:rsidRDefault="00A24857" w:rsidP="00A24857">
      <w:pPr>
        <w:spacing w:before="120" w:after="600" w:line="276" w:lineRule="auto"/>
        <w:jc w:val="both"/>
        <w:rPr>
          <w:b/>
          <w:lang w:val="bg-BG"/>
        </w:rPr>
      </w:pPr>
      <w:r w:rsidRPr="00A24857">
        <w:rPr>
          <w:b/>
          <w:lang w:val="bg-BG"/>
        </w:rPr>
        <w:t>Краен срок: не е посочен</w:t>
      </w:r>
    </w:p>
    <w:p w14:paraId="75FD279B" w14:textId="77777777" w:rsidR="00037A3E" w:rsidRPr="007B79FC" w:rsidRDefault="00037A3E" w:rsidP="005936CC">
      <w:pPr>
        <w:pStyle w:val="Heading2"/>
        <w:ind w:left="426"/>
      </w:pPr>
      <w:bookmarkStart w:id="19" w:name="_Toc197365383"/>
      <w:r w:rsidRPr="007B79FC">
        <w:t>Преддипломен стаж за фармацевти</w:t>
      </w:r>
      <w:bookmarkEnd w:id="19"/>
    </w:p>
    <w:p w14:paraId="0BE55C86" w14:textId="77777777" w:rsidR="007B79FC" w:rsidRDefault="00037A3E" w:rsidP="007B79FC">
      <w:pPr>
        <w:spacing w:before="120" w:after="120" w:line="276" w:lineRule="auto"/>
        <w:jc w:val="both"/>
        <w:rPr>
          <w:bCs/>
        </w:rPr>
      </w:pPr>
      <w:proofErr w:type="spellStart"/>
      <w:r w:rsidRPr="007B79FC">
        <w:rPr>
          <w:bCs/>
        </w:rPr>
        <w:t>SOpharmacy</w:t>
      </w:r>
      <w:proofErr w:type="spellEnd"/>
      <w:r w:rsidRPr="007B79FC">
        <w:rPr>
          <w:bCs/>
        </w:rPr>
        <w:t xml:space="preserve"> </w:t>
      </w:r>
      <w:r w:rsidRPr="007B79FC">
        <w:rPr>
          <w:bCs/>
          <w:lang w:val="bg-BG"/>
        </w:rPr>
        <w:t>дава в</w:t>
      </w:r>
      <w:proofErr w:type="spellStart"/>
      <w:r w:rsidRPr="007B79FC">
        <w:rPr>
          <w:bCs/>
        </w:rPr>
        <w:t>ъзможност</w:t>
      </w:r>
      <w:proofErr w:type="spellEnd"/>
      <w:r w:rsidRPr="007B79FC">
        <w:rPr>
          <w:bCs/>
        </w:rPr>
        <w:t xml:space="preserve"> </w:t>
      </w:r>
      <w:proofErr w:type="spellStart"/>
      <w:r w:rsidRPr="007B79FC">
        <w:rPr>
          <w:bCs/>
        </w:rPr>
        <w:t>на</w:t>
      </w:r>
      <w:proofErr w:type="spellEnd"/>
      <w:r w:rsidRPr="007B79FC">
        <w:rPr>
          <w:bCs/>
        </w:rPr>
        <w:t xml:space="preserve"> </w:t>
      </w:r>
      <w:proofErr w:type="spellStart"/>
      <w:r w:rsidRPr="007B79FC">
        <w:rPr>
          <w:bCs/>
        </w:rPr>
        <w:t>студенти</w:t>
      </w:r>
      <w:proofErr w:type="spellEnd"/>
      <w:r w:rsidRPr="007B79FC">
        <w:rPr>
          <w:bCs/>
        </w:rPr>
        <w:t xml:space="preserve"> в </w:t>
      </w:r>
      <w:proofErr w:type="spellStart"/>
      <w:r w:rsidRPr="007B79FC">
        <w:rPr>
          <w:bCs/>
        </w:rPr>
        <w:t>специалност</w:t>
      </w:r>
      <w:proofErr w:type="spellEnd"/>
      <w:r w:rsidRPr="007B79FC">
        <w:rPr>
          <w:bCs/>
        </w:rPr>
        <w:t xml:space="preserve"> „</w:t>
      </w:r>
      <w:proofErr w:type="spellStart"/>
      <w:proofErr w:type="gramStart"/>
      <w:r w:rsidRPr="007B79FC">
        <w:rPr>
          <w:bCs/>
        </w:rPr>
        <w:t>Фармация</w:t>
      </w:r>
      <w:proofErr w:type="spellEnd"/>
      <w:r w:rsidRPr="007B79FC">
        <w:rPr>
          <w:bCs/>
        </w:rPr>
        <w:t xml:space="preserve">“ </w:t>
      </w:r>
      <w:proofErr w:type="spellStart"/>
      <w:r w:rsidRPr="007B79FC">
        <w:rPr>
          <w:bCs/>
        </w:rPr>
        <w:t>да</w:t>
      </w:r>
      <w:proofErr w:type="spellEnd"/>
      <w:proofErr w:type="gramEnd"/>
      <w:r w:rsidRPr="007B79FC">
        <w:rPr>
          <w:bCs/>
        </w:rPr>
        <w:t xml:space="preserve"> </w:t>
      </w:r>
      <w:proofErr w:type="spellStart"/>
      <w:r w:rsidRPr="007B79FC">
        <w:rPr>
          <w:bCs/>
        </w:rPr>
        <w:t>проведат</w:t>
      </w:r>
      <w:proofErr w:type="spellEnd"/>
      <w:r w:rsidRPr="007B79FC">
        <w:rPr>
          <w:bCs/>
        </w:rPr>
        <w:t xml:space="preserve"> </w:t>
      </w:r>
      <w:proofErr w:type="spellStart"/>
      <w:r w:rsidRPr="007B79FC">
        <w:rPr>
          <w:bCs/>
        </w:rPr>
        <w:t>задължителния</w:t>
      </w:r>
      <w:proofErr w:type="spellEnd"/>
      <w:r w:rsidRPr="007B79FC">
        <w:rPr>
          <w:bCs/>
        </w:rPr>
        <w:t xml:space="preserve"> </w:t>
      </w:r>
      <w:proofErr w:type="spellStart"/>
      <w:r w:rsidRPr="007B79FC">
        <w:rPr>
          <w:bCs/>
        </w:rPr>
        <w:t>си</w:t>
      </w:r>
      <w:proofErr w:type="spellEnd"/>
      <w:r w:rsidRPr="007B79FC">
        <w:rPr>
          <w:bCs/>
        </w:rPr>
        <w:t xml:space="preserve"> </w:t>
      </w:r>
      <w:proofErr w:type="spellStart"/>
      <w:r w:rsidRPr="007B79FC">
        <w:rPr>
          <w:bCs/>
        </w:rPr>
        <w:t>преддипломен</w:t>
      </w:r>
      <w:proofErr w:type="spellEnd"/>
      <w:r w:rsidRPr="007B79FC">
        <w:rPr>
          <w:bCs/>
        </w:rPr>
        <w:t xml:space="preserve"> </w:t>
      </w:r>
      <w:proofErr w:type="spellStart"/>
      <w:r w:rsidRPr="007B79FC">
        <w:rPr>
          <w:bCs/>
        </w:rPr>
        <w:t>стаж</w:t>
      </w:r>
      <w:proofErr w:type="spellEnd"/>
      <w:r w:rsidRPr="007B79FC">
        <w:rPr>
          <w:bCs/>
        </w:rPr>
        <w:t xml:space="preserve">. По </w:t>
      </w:r>
      <w:proofErr w:type="spellStart"/>
      <w:r w:rsidRPr="007B79FC">
        <w:rPr>
          <w:bCs/>
        </w:rPr>
        <w:t>време</w:t>
      </w:r>
      <w:proofErr w:type="spellEnd"/>
      <w:r w:rsidRPr="007B79FC">
        <w:rPr>
          <w:bCs/>
        </w:rPr>
        <w:t xml:space="preserve"> </w:t>
      </w:r>
      <w:proofErr w:type="spellStart"/>
      <w:r w:rsidRPr="007B79FC">
        <w:rPr>
          <w:bCs/>
        </w:rPr>
        <w:t>на</w:t>
      </w:r>
      <w:proofErr w:type="spellEnd"/>
      <w:r w:rsidRPr="007B79FC">
        <w:rPr>
          <w:bCs/>
        </w:rPr>
        <w:t xml:space="preserve"> </w:t>
      </w:r>
      <w:proofErr w:type="spellStart"/>
      <w:r w:rsidRPr="007B79FC">
        <w:rPr>
          <w:bCs/>
        </w:rPr>
        <w:t>стажа</w:t>
      </w:r>
      <w:proofErr w:type="spellEnd"/>
      <w:r w:rsidRPr="007B79FC">
        <w:rPr>
          <w:bCs/>
        </w:rPr>
        <w:t xml:space="preserve">, </w:t>
      </w:r>
      <w:proofErr w:type="spellStart"/>
      <w:r w:rsidRPr="007B79FC">
        <w:rPr>
          <w:bCs/>
        </w:rPr>
        <w:t>съвместно</w:t>
      </w:r>
      <w:proofErr w:type="spellEnd"/>
      <w:r w:rsidRPr="007B79FC">
        <w:rPr>
          <w:bCs/>
        </w:rPr>
        <w:t xml:space="preserve"> с </w:t>
      </w:r>
      <w:proofErr w:type="spellStart"/>
      <w:r w:rsidRPr="007B79FC">
        <w:rPr>
          <w:bCs/>
        </w:rPr>
        <w:t>квалифициран</w:t>
      </w:r>
      <w:proofErr w:type="spellEnd"/>
      <w:r w:rsidRPr="007B79FC">
        <w:rPr>
          <w:bCs/>
        </w:rPr>
        <w:t xml:space="preserve"> </w:t>
      </w:r>
      <w:proofErr w:type="spellStart"/>
      <w:r w:rsidRPr="007B79FC">
        <w:rPr>
          <w:bCs/>
        </w:rPr>
        <w:t>магистър-фармацевт</w:t>
      </w:r>
      <w:proofErr w:type="spellEnd"/>
      <w:r w:rsidRPr="007B79FC">
        <w:rPr>
          <w:bCs/>
        </w:rPr>
        <w:t xml:space="preserve">, </w:t>
      </w:r>
      <w:proofErr w:type="spellStart"/>
      <w:r w:rsidRPr="007B79FC">
        <w:rPr>
          <w:bCs/>
        </w:rPr>
        <w:t>стажантът</w:t>
      </w:r>
      <w:proofErr w:type="spellEnd"/>
      <w:r w:rsidRPr="007B79FC">
        <w:rPr>
          <w:bCs/>
        </w:rPr>
        <w:t xml:space="preserve"> </w:t>
      </w:r>
      <w:proofErr w:type="spellStart"/>
      <w:r w:rsidRPr="007B79FC">
        <w:rPr>
          <w:bCs/>
        </w:rPr>
        <w:t>има</w:t>
      </w:r>
      <w:proofErr w:type="spellEnd"/>
      <w:r w:rsidRPr="007B79FC">
        <w:rPr>
          <w:bCs/>
        </w:rPr>
        <w:t xml:space="preserve"> </w:t>
      </w:r>
      <w:proofErr w:type="spellStart"/>
      <w:r w:rsidRPr="007B79FC">
        <w:rPr>
          <w:bCs/>
        </w:rPr>
        <w:t>възможност</w:t>
      </w:r>
      <w:proofErr w:type="spellEnd"/>
      <w:r w:rsidRPr="007B79FC">
        <w:rPr>
          <w:bCs/>
        </w:rPr>
        <w:t xml:space="preserve"> </w:t>
      </w:r>
      <w:proofErr w:type="spellStart"/>
      <w:r w:rsidRPr="007B79FC">
        <w:rPr>
          <w:bCs/>
        </w:rPr>
        <w:t>да</w:t>
      </w:r>
      <w:proofErr w:type="spellEnd"/>
      <w:r w:rsidRPr="007B79FC">
        <w:rPr>
          <w:bCs/>
        </w:rPr>
        <w:t xml:space="preserve"> </w:t>
      </w:r>
      <w:proofErr w:type="spellStart"/>
      <w:r w:rsidRPr="007B79FC">
        <w:rPr>
          <w:bCs/>
        </w:rPr>
        <w:t>консултира</w:t>
      </w:r>
      <w:proofErr w:type="spellEnd"/>
      <w:r w:rsidRPr="007B79FC">
        <w:rPr>
          <w:bCs/>
        </w:rPr>
        <w:t xml:space="preserve"> </w:t>
      </w:r>
      <w:proofErr w:type="spellStart"/>
      <w:r w:rsidRPr="007B79FC">
        <w:rPr>
          <w:bCs/>
        </w:rPr>
        <w:t>клиентите</w:t>
      </w:r>
      <w:proofErr w:type="spellEnd"/>
      <w:r w:rsidRPr="007B79FC">
        <w:rPr>
          <w:bCs/>
        </w:rPr>
        <w:t xml:space="preserve"> </w:t>
      </w:r>
      <w:proofErr w:type="spellStart"/>
      <w:r w:rsidRPr="007B79FC">
        <w:rPr>
          <w:bCs/>
        </w:rPr>
        <w:t>спрямо</w:t>
      </w:r>
      <w:proofErr w:type="spellEnd"/>
      <w:r w:rsidRPr="007B79FC">
        <w:rPr>
          <w:bCs/>
        </w:rPr>
        <w:t xml:space="preserve"> </w:t>
      </w:r>
      <w:proofErr w:type="spellStart"/>
      <w:r w:rsidRPr="007B79FC">
        <w:rPr>
          <w:bCs/>
        </w:rPr>
        <w:t>техните</w:t>
      </w:r>
      <w:proofErr w:type="spellEnd"/>
      <w:r w:rsidRPr="007B79FC">
        <w:rPr>
          <w:bCs/>
        </w:rPr>
        <w:t xml:space="preserve"> </w:t>
      </w:r>
      <w:proofErr w:type="spellStart"/>
      <w:r w:rsidRPr="007B79FC">
        <w:rPr>
          <w:bCs/>
        </w:rPr>
        <w:t>индивидуални</w:t>
      </w:r>
      <w:proofErr w:type="spellEnd"/>
      <w:r w:rsidRPr="007B79FC">
        <w:rPr>
          <w:bCs/>
        </w:rPr>
        <w:t xml:space="preserve"> </w:t>
      </w:r>
      <w:proofErr w:type="spellStart"/>
      <w:r w:rsidRPr="007B79FC">
        <w:rPr>
          <w:bCs/>
        </w:rPr>
        <w:t>нужди</w:t>
      </w:r>
      <w:proofErr w:type="spellEnd"/>
      <w:r w:rsidRPr="007B79FC">
        <w:rPr>
          <w:bCs/>
        </w:rPr>
        <w:t xml:space="preserve">, </w:t>
      </w:r>
      <w:proofErr w:type="spellStart"/>
      <w:r w:rsidRPr="007B79FC">
        <w:rPr>
          <w:bCs/>
        </w:rPr>
        <w:t>спазвайки</w:t>
      </w:r>
      <w:proofErr w:type="spellEnd"/>
      <w:r w:rsidRPr="007B79FC">
        <w:rPr>
          <w:bCs/>
        </w:rPr>
        <w:t xml:space="preserve"> </w:t>
      </w:r>
      <w:proofErr w:type="spellStart"/>
      <w:r w:rsidRPr="007B79FC">
        <w:rPr>
          <w:bCs/>
        </w:rPr>
        <w:t>законовите</w:t>
      </w:r>
      <w:proofErr w:type="spellEnd"/>
      <w:r w:rsidRPr="007B79FC">
        <w:rPr>
          <w:bCs/>
        </w:rPr>
        <w:t xml:space="preserve"> </w:t>
      </w:r>
      <w:proofErr w:type="spellStart"/>
      <w:r w:rsidRPr="007B79FC">
        <w:rPr>
          <w:bCs/>
        </w:rPr>
        <w:t>разпоредби</w:t>
      </w:r>
      <w:proofErr w:type="spellEnd"/>
      <w:r w:rsidRPr="007B79FC">
        <w:rPr>
          <w:bCs/>
        </w:rPr>
        <w:t xml:space="preserve">, </w:t>
      </w:r>
      <w:proofErr w:type="spellStart"/>
      <w:r w:rsidRPr="007B79FC">
        <w:rPr>
          <w:bCs/>
        </w:rPr>
        <w:t>политиката</w:t>
      </w:r>
      <w:proofErr w:type="spellEnd"/>
      <w:r w:rsidRPr="007B79FC">
        <w:rPr>
          <w:bCs/>
        </w:rPr>
        <w:t xml:space="preserve"> </w:t>
      </w:r>
      <w:proofErr w:type="spellStart"/>
      <w:r w:rsidRPr="007B79FC">
        <w:rPr>
          <w:bCs/>
        </w:rPr>
        <w:t>на</w:t>
      </w:r>
      <w:proofErr w:type="spellEnd"/>
      <w:r w:rsidRPr="007B79FC">
        <w:rPr>
          <w:bCs/>
        </w:rPr>
        <w:t xml:space="preserve"> </w:t>
      </w:r>
      <w:proofErr w:type="spellStart"/>
      <w:r w:rsidRPr="007B79FC">
        <w:rPr>
          <w:bCs/>
        </w:rPr>
        <w:t>компанията</w:t>
      </w:r>
      <w:proofErr w:type="spellEnd"/>
      <w:r w:rsidRPr="007B79FC">
        <w:rPr>
          <w:bCs/>
        </w:rPr>
        <w:t xml:space="preserve"> и </w:t>
      </w:r>
      <w:proofErr w:type="spellStart"/>
      <w:r w:rsidRPr="007B79FC">
        <w:rPr>
          <w:bCs/>
        </w:rPr>
        <w:t>ценностите</w:t>
      </w:r>
      <w:proofErr w:type="spellEnd"/>
      <w:r w:rsidRPr="007B79FC">
        <w:rPr>
          <w:bCs/>
        </w:rPr>
        <w:t xml:space="preserve"> </w:t>
      </w:r>
      <w:proofErr w:type="spellStart"/>
      <w:r w:rsidRPr="007B79FC">
        <w:rPr>
          <w:bCs/>
        </w:rPr>
        <w:t>на</w:t>
      </w:r>
      <w:proofErr w:type="spellEnd"/>
      <w:r w:rsidRPr="007B79FC">
        <w:rPr>
          <w:bCs/>
        </w:rPr>
        <w:t xml:space="preserve"> </w:t>
      </w:r>
      <w:proofErr w:type="spellStart"/>
      <w:r w:rsidRPr="007B79FC">
        <w:rPr>
          <w:bCs/>
        </w:rPr>
        <w:t>работодателя</w:t>
      </w:r>
      <w:proofErr w:type="spellEnd"/>
      <w:r w:rsidRPr="007B79FC">
        <w:rPr>
          <w:bCs/>
        </w:rPr>
        <w:t xml:space="preserve">, </w:t>
      </w:r>
      <w:proofErr w:type="spellStart"/>
      <w:r w:rsidRPr="007B79FC">
        <w:rPr>
          <w:bCs/>
        </w:rPr>
        <w:t>работи</w:t>
      </w:r>
      <w:proofErr w:type="spellEnd"/>
      <w:r w:rsidRPr="007B79FC">
        <w:rPr>
          <w:bCs/>
        </w:rPr>
        <w:t xml:space="preserve"> с </w:t>
      </w:r>
      <w:proofErr w:type="spellStart"/>
      <w:r w:rsidRPr="007B79FC">
        <w:rPr>
          <w:bCs/>
        </w:rPr>
        <w:t>рецепти</w:t>
      </w:r>
      <w:proofErr w:type="spellEnd"/>
      <w:r w:rsidRPr="007B79FC">
        <w:rPr>
          <w:bCs/>
        </w:rPr>
        <w:t xml:space="preserve"> и </w:t>
      </w:r>
      <w:proofErr w:type="spellStart"/>
      <w:r w:rsidRPr="007B79FC">
        <w:rPr>
          <w:bCs/>
        </w:rPr>
        <w:t>да</w:t>
      </w:r>
      <w:proofErr w:type="spellEnd"/>
      <w:r w:rsidRPr="007B79FC">
        <w:rPr>
          <w:bCs/>
        </w:rPr>
        <w:t xml:space="preserve"> </w:t>
      </w:r>
      <w:proofErr w:type="spellStart"/>
      <w:r w:rsidRPr="007B79FC">
        <w:rPr>
          <w:bCs/>
        </w:rPr>
        <w:t>придобие</w:t>
      </w:r>
      <w:proofErr w:type="spellEnd"/>
      <w:r w:rsidRPr="007B79FC">
        <w:rPr>
          <w:bCs/>
        </w:rPr>
        <w:t xml:space="preserve"> </w:t>
      </w:r>
      <w:proofErr w:type="spellStart"/>
      <w:r w:rsidRPr="007B79FC">
        <w:rPr>
          <w:bCs/>
        </w:rPr>
        <w:t>нужните</w:t>
      </w:r>
      <w:proofErr w:type="spellEnd"/>
      <w:r w:rsidRPr="007B79FC">
        <w:rPr>
          <w:bCs/>
        </w:rPr>
        <w:t xml:space="preserve"> </w:t>
      </w:r>
      <w:proofErr w:type="spellStart"/>
      <w:r w:rsidRPr="007B79FC">
        <w:rPr>
          <w:bCs/>
        </w:rPr>
        <w:t>умения</w:t>
      </w:r>
      <w:proofErr w:type="spellEnd"/>
      <w:r w:rsidRPr="007B79FC">
        <w:rPr>
          <w:bCs/>
        </w:rPr>
        <w:t xml:space="preserve"> </w:t>
      </w:r>
      <w:proofErr w:type="spellStart"/>
      <w:r w:rsidRPr="007B79FC">
        <w:rPr>
          <w:bCs/>
        </w:rPr>
        <w:t>да</w:t>
      </w:r>
      <w:proofErr w:type="spellEnd"/>
      <w:r w:rsidRPr="007B79FC">
        <w:rPr>
          <w:bCs/>
        </w:rPr>
        <w:t xml:space="preserve"> </w:t>
      </w:r>
      <w:proofErr w:type="spellStart"/>
      <w:r w:rsidRPr="007B79FC">
        <w:rPr>
          <w:bCs/>
        </w:rPr>
        <w:t>разчита</w:t>
      </w:r>
      <w:proofErr w:type="spellEnd"/>
      <w:r w:rsidRPr="007B79FC">
        <w:rPr>
          <w:bCs/>
        </w:rPr>
        <w:t xml:space="preserve"> </w:t>
      </w:r>
      <w:proofErr w:type="spellStart"/>
      <w:r w:rsidRPr="007B79FC">
        <w:rPr>
          <w:bCs/>
        </w:rPr>
        <w:t>правилно</w:t>
      </w:r>
      <w:proofErr w:type="spellEnd"/>
      <w:r w:rsidRPr="007B79FC">
        <w:rPr>
          <w:bCs/>
        </w:rPr>
        <w:t xml:space="preserve"> </w:t>
      </w:r>
      <w:proofErr w:type="spellStart"/>
      <w:r w:rsidRPr="007B79FC">
        <w:rPr>
          <w:bCs/>
        </w:rPr>
        <w:t>предписаните</w:t>
      </w:r>
      <w:proofErr w:type="spellEnd"/>
      <w:r w:rsidRPr="007B79FC">
        <w:rPr>
          <w:bCs/>
        </w:rPr>
        <w:t xml:space="preserve"> </w:t>
      </w:r>
      <w:proofErr w:type="spellStart"/>
      <w:r w:rsidRPr="007B79FC">
        <w:rPr>
          <w:bCs/>
        </w:rPr>
        <w:t>лекарствени</w:t>
      </w:r>
      <w:proofErr w:type="spellEnd"/>
      <w:r w:rsidRPr="007B79FC">
        <w:rPr>
          <w:bCs/>
        </w:rPr>
        <w:t xml:space="preserve"> </w:t>
      </w:r>
      <w:proofErr w:type="spellStart"/>
      <w:r w:rsidRPr="007B79FC">
        <w:rPr>
          <w:bCs/>
        </w:rPr>
        <w:t>продукти</w:t>
      </w:r>
      <w:proofErr w:type="spellEnd"/>
      <w:r w:rsidRPr="007B79FC">
        <w:rPr>
          <w:bCs/>
        </w:rPr>
        <w:t xml:space="preserve"> и </w:t>
      </w:r>
      <w:proofErr w:type="spellStart"/>
      <w:r w:rsidRPr="007B79FC">
        <w:rPr>
          <w:bCs/>
        </w:rPr>
        <w:t>да</w:t>
      </w:r>
      <w:proofErr w:type="spellEnd"/>
      <w:r w:rsidRPr="007B79FC">
        <w:rPr>
          <w:bCs/>
        </w:rPr>
        <w:t xml:space="preserve"> </w:t>
      </w:r>
      <w:proofErr w:type="spellStart"/>
      <w:r w:rsidRPr="007B79FC">
        <w:rPr>
          <w:bCs/>
        </w:rPr>
        <w:t>проконтролира</w:t>
      </w:r>
      <w:proofErr w:type="spellEnd"/>
      <w:r w:rsidRPr="007B79FC">
        <w:rPr>
          <w:bCs/>
        </w:rPr>
        <w:t xml:space="preserve"> </w:t>
      </w:r>
      <w:proofErr w:type="spellStart"/>
      <w:r w:rsidRPr="007B79FC">
        <w:rPr>
          <w:bCs/>
        </w:rPr>
        <w:t>предписаната</w:t>
      </w:r>
      <w:proofErr w:type="spellEnd"/>
      <w:r w:rsidRPr="007B79FC">
        <w:rPr>
          <w:bCs/>
        </w:rPr>
        <w:t xml:space="preserve"> </w:t>
      </w:r>
      <w:proofErr w:type="spellStart"/>
      <w:r w:rsidRPr="007B79FC">
        <w:rPr>
          <w:bCs/>
        </w:rPr>
        <w:t>дозировка</w:t>
      </w:r>
      <w:proofErr w:type="spellEnd"/>
      <w:r w:rsidRPr="007B79FC">
        <w:rPr>
          <w:bCs/>
        </w:rPr>
        <w:t xml:space="preserve">, </w:t>
      </w:r>
      <w:proofErr w:type="spellStart"/>
      <w:r w:rsidRPr="007B79FC">
        <w:rPr>
          <w:bCs/>
        </w:rPr>
        <w:t>запознава</w:t>
      </w:r>
      <w:proofErr w:type="spellEnd"/>
      <w:r w:rsidRPr="007B79FC">
        <w:rPr>
          <w:bCs/>
        </w:rPr>
        <w:t xml:space="preserve"> </w:t>
      </w:r>
      <w:proofErr w:type="spellStart"/>
      <w:r w:rsidRPr="007B79FC">
        <w:rPr>
          <w:bCs/>
        </w:rPr>
        <w:t>се</w:t>
      </w:r>
      <w:proofErr w:type="spellEnd"/>
      <w:r w:rsidRPr="007B79FC">
        <w:rPr>
          <w:bCs/>
        </w:rPr>
        <w:t xml:space="preserve"> с </w:t>
      </w:r>
      <w:proofErr w:type="spellStart"/>
      <w:r w:rsidRPr="007B79FC">
        <w:rPr>
          <w:bCs/>
        </w:rPr>
        <w:t>иновативни</w:t>
      </w:r>
      <w:proofErr w:type="spellEnd"/>
      <w:r w:rsidRPr="007B79FC">
        <w:rPr>
          <w:bCs/>
        </w:rPr>
        <w:t xml:space="preserve"> </w:t>
      </w:r>
      <w:proofErr w:type="spellStart"/>
      <w:r w:rsidRPr="007B79FC">
        <w:rPr>
          <w:bCs/>
        </w:rPr>
        <w:t>за</w:t>
      </w:r>
      <w:proofErr w:type="spellEnd"/>
      <w:r w:rsidRPr="007B79FC">
        <w:rPr>
          <w:bCs/>
        </w:rPr>
        <w:t xml:space="preserve"> </w:t>
      </w:r>
      <w:proofErr w:type="spellStart"/>
      <w:r w:rsidRPr="007B79FC">
        <w:rPr>
          <w:bCs/>
        </w:rPr>
        <w:t>българския</w:t>
      </w:r>
      <w:proofErr w:type="spellEnd"/>
      <w:r w:rsidRPr="007B79FC">
        <w:rPr>
          <w:bCs/>
        </w:rPr>
        <w:t xml:space="preserve"> </w:t>
      </w:r>
      <w:proofErr w:type="spellStart"/>
      <w:r w:rsidRPr="007B79FC">
        <w:rPr>
          <w:bCs/>
        </w:rPr>
        <w:t>пазар</w:t>
      </w:r>
      <w:proofErr w:type="spellEnd"/>
      <w:r w:rsidRPr="007B79FC">
        <w:rPr>
          <w:bCs/>
        </w:rPr>
        <w:t xml:space="preserve"> </w:t>
      </w:r>
      <w:proofErr w:type="spellStart"/>
      <w:r w:rsidRPr="007B79FC">
        <w:rPr>
          <w:bCs/>
        </w:rPr>
        <w:t>подредба</w:t>
      </w:r>
      <w:proofErr w:type="spellEnd"/>
      <w:r w:rsidRPr="007B79FC">
        <w:rPr>
          <w:bCs/>
        </w:rPr>
        <w:t xml:space="preserve"> по </w:t>
      </w:r>
      <w:proofErr w:type="spellStart"/>
      <w:r w:rsidRPr="007B79FC">
        <w:rPr>
          <w:bCs/>
        </w:rPr>
        <w:t>категории</w:t>
      </w:r>
      <w:proofErr w:type="spellEnd"/>
      <w:r w:rsidRPr="007B79FC">
        <w:rPr>
          <w:bCs/>
        </w:rPr>
        <w:t xml:space="preserve">, </w:t>
      </w:r>
      <w:proofErr w:type="spellStart"/>
      <w:r w:rsidRPr="007B79FC">
        <w:rPr>
          <w:bCs/>
        </w:rPr>
        <w:t>предлагаща</w:t>
      </w:r>
      <w:proofErr w:type="spellEnd"/>
      <w:r w:rsidRPr="007B79FC">
        <w:rPr>
          <w:bCs/>
        </w:rPr>
        <w:t xml:space="preserve"> </w:t>
      </w:r>
      <w:proofErr w:type="spellStart"/>
      <w:r w:rsidRPr="007B79FC">
        <w:rPr>
          <w:bCs/>
        </w:rPr>
        <w:t>лесна</w:t>
      </w:r>
      <w:proofErr w:type="spellEnd"/>
      <w:r w:rsidRPr="007B79FC">
        <w:rPr>
          <w:bCs/>
        </w:rPr>
        <w:t xml:space="preserve"> </w:t>
      </w:r>
      <w:proofErr w:type="spellStart"/>
      <w:r w:rsidRPr="007B79FC">
        <w:rPr>
          <w:bCs/>
        </w:rPr>
        <w:t>ориентация</w:t>
      </w:r>
      <w:proofErr w:type="spellEnd"/>
      <w:r w:rsidRPr="007B79FC">
        <w:rPr>
          <w:bCs/>
        </w:rPr>
        <w:t xml:space="preserve"> и </w:t>
      </w:r>
      <w:proofErr w:type="spellStart"/>
      <w:r w:rsidRPr="007B79FC">
        <w:rPr>
          <w:bCs/>
        </w:rPr>
        <w:t>комфорт</w:t>
      </w:r>
      <w:proofErr w:type="spellEnd"/>
      <w:r w:rsidRPr="007B79FC">
        <w:rPr>
          <w:bCs/>
        </w:rPr>
        <w:t xml:space="preserve"> </w:t>
      </w:r>
      <w:proofErr w:type="spellStart"/>
      <w:r w:rsidRPr="007B79FC">
        <w:rPr>
          <w:bCs/>
        </w:rPr>
        <w:t>на</w:t>
      </w:r>
      <w:proofErr w:type="spellEnd"/>
      <w:r w:rsidRPr="007B79FC">
        <w:rPr>
          <w:bCs/>
        </w:rPr>
        <w:t xml:space="preserve"> </w:t>
      </w:r>
      <w:proofErr w:type="spellStart"/>
      <w:r w:rsidRPr="007B79FC">
        <w:rPr>
          <w:bCs/>
        </w:rPr>
        <w:t>клиентите</w:t>
      </w:r>
      <w:proofErr w:type="spellEnd"/>
      <w:r w:rsidRPr="007B79FC">
        <w:rPr>
          <w:bCs/>
        </w:rPr>
        <w:t xml:space="preserve"> по </w:t>
      </w:r>
      <w:proofErr w:type="spellStart"/>
      <w:r w:rsidRPr="007B79FC">
        <w:rPr>
          <w:bCs/>
        </w:rPr>
        <w:t>време</w:t>
      </w:r>
      <w:proofErr w:type="spellEnd"/>
      <w:r w:rsidRPr="007B79FC">
        <w:rPr>
          <w:bCs/>
        </w:rPr>
        <w:t xml:space="preserve"> </w:t>
      </w:r>
      <w:proofErr w:type="spellStart"/>
      <w:r w:rsidRPr="007B79FC">
        <w:rPr>
          <w:bCs/>
        </w:rPr>
        <w:t>на</w:t>
      </w:r>
      <w:proofErr w:type="spellEnd"/>
      <w:r w:rsidRPr="007B79FC">
        <w:rPr>
          <w:bCs/>
        </w:rPr>
        <w:t xml:space="preserve"> </w:t>
      </w:r>
      <w:proofErr w:type="spellStart"/>
      <w:r w:rsidRPr="007B79FC">
        <w:rPr>
          <w:bCs/>
        </w:rPr>
        <w:t>престоя</w:t>
      </w:r>
      <w:proofErr w:type="spellEnd"/>
      <w:r w:rsidRPr="007B79FC">
        <w:rPr>
          <w:bCs/>
        </w:rPr>
        <w:t xml:space="preserve"> </w:t>
      </w:r>
      <w:proofErr w:type="spellStart"/>
      <w:r w:rsidRPr="007B79FC">
        <w:rPr>
          <w:bCs/>
        </w:rPr>
        <w:t>им</w:t>
      </w:r>
      <w:proofErr w:type="spellEnd"/>
      <w:r w:rsidRPr="007B79FC">
        <w:rPr>
          <w:bCs/>
        </w:rPr>
        <w:t xml:space="preserve"> в </w:t>
      </w:r>
      <w:proofErr w:type="spellStart"/>
      <w:r w:rsidRPr="007B79FC">
        <w:rPr>
          <w:bCs/>
        </w:rPr>
        <w:t>аптеката</w:t>
      </w:r>
      <w:proofErr w:type="spellEnd"/>
      <w:r w:rsidRPr="007B79FC">
        <w:rPr>
          <w:bCs/>
        </w:rPr>
        <w:t xml:space="preserve">, </w:t>
      </w:r>
      <w:proofErr w:type="spellStart"/>
      <w:r w:rsidRPr="007B79FC">
        <w:rPr>
          <w:bCs/>
        </w:rPr>
        <w:t>запознава</w:t>
      </w:r>
      <w:proofErr w:type="spellEnd"/>
      <w:r w:rsidRPr="007B79FC">
        <w:rPr>
          <w:bCs/>
        </w:rPr>
        <w:t xml:space="preserve"> </w:t>
      </w:r>
      <w:proofErr w:type="spellStart"/>
      <w:r w:rsidRPr="007B79FC">
        <w:rPr>
          <w:bCs/>
        </w:rPr>
        <w:t>се</w:t>
      </w:r>
      <w:proofErr w:type="spellEnd"/>
      <w:r w:rsidRPr="007B79FC">
        <w:rPr>
          <w:bCs/>
        </w:rPr>
        <w:t xml:space="preserve"> с </w:t>
      </w:r>
      <w:proofErr w:type="spellStart"/>
      <w:r w:rsidRPr="007B79FC">
        <w:rPr>
          <w:bCs/>
        </w:rPr>
        <w:t>иновативен</w:t>
      </w:r>
      <w:proofErr w:type="spellEnd"/>
      <w:r w:rsidRPr="007B79FC">
        <w:rPr>
          <w:bCs/>
        </w:rPr>
        <w:t xml:space="preserve"> </w:t>
      </w:r>
      <w:proofErr w:type="spellStart"/>
      <w:r w:rsidRPr="007B79FC">
        <w:rPr>
          <w:bCs/>
        </w:rPr>
        <w:t>начин</w:t>
      </w:r>
      <w:proofErr w:type="spellEnd"/>
      <w:r w:rsidRPr="007B79FC">
        <w:rPr>
          <w:bCs/>
        </w:rPr>
        <w:t xml:space="preserve"> </w:t>
      </w:r>
      <w:proofErr w:type="spellStart"/>
      <w:r w:rsidRPr="007B79FC">
        <w:rPr>
          <w:bCs/>
        </w:rPr>
        <w:t>на</w:t>
      </w:r>
      <w:proofErr w:type="spellEnd"/>
      <w:r w:rsidRPr="007B79FC">
        <w:rPr>
          <w:bCs/>
        </w:rPr>
        <w:t xml:space="preserve"> </w:t>
      </w:r>
      <w:proofErr w:type="spellStart"/>
      <w:r w:rsidRPr="007B79FC">
        <w:rPr>
          <w:bCs/>
        </w:rPr>
        <w:t>извършване</w:t>
      </w:r>
      <w:proofErr w:type="spellEnd"/>
      <w:r w:rsidRPr="007B79FC">
        <w:rPr>
          <w:bCs/>
        </w:rPr>
        <w:t xml:space="preserve"> </w:t>
      </w:r>
      <w:proofErr w:type="spellStart"/>
      <w:r w:rsidRPr="007B79FC">
        <w:rPr>
          <w:bCs/>
        </w:rPr>
        <w:t>на</w:t>
      </w:r>
      <w:proofErr w:type="spellEnd"/>
      <w:r w:rsidRPr="007B79FC">
        <w:rPr>
          <w:bCs/>
        </w:rPr>
        <w:t xml:space="preserve"> </w:t>
      </w:r>
      <w:proofErr w:type="spellStart"/>
      <w:r w:rsidRPr="007B79FC">
        <w:rPr>
          <w:bCs/>
        </w:rPr>
        <w:t>професионалната</w:t>
      </w:r>
      <w:proofErr w:type="spellEnd"/>
      <w:r w:rsidRPr="007B79FC">
        <w:rPr>
          <w:bCs/>
        </w:rPr>
        <w:t xml:space="preserve"> </w:t>
      </w:r>
      <w:proofErr w:type="spellStart"/>
      <w:r w:rsidRPr="007B79FC">
        <w:rPr>
          <w:bCs/>
        </w:rPr>
        <w:t>консултация</w:t>
      </w:r>
      <w:proofErr w:type="spellEnd"/>
      <w:r w:rsidRPr="007B79FC">
        <w:rPr>
          <w:bCs/>
        </w:rPr>
        <w:t xml:space="preserve"> </w:t>
      </w:r>
      <w:proofErr w:type="spellStart"/>
      <w:r w:rsidRPr="007B79FC">
        <w:rPr>
          <w:bCs/>
        </w:rPr>
        <w:t>на</w:t>
      </w:r>
      <w:proofErr w:type="spellEnd"/>
      <w:r w:rsidRPr="007B79FC">
        <w:rPr>
          <w:bCs/>
        </w:rPr>
        <w:t xml:space="preserve"> </w:t>
      </w:r>
      <w:proofErr w:type="spellStart"/>
      <w:r w:rsidRPr="007B79FC">
        <w:rPr>
          <w:bCs/>
        </w:rPr>
        <w:t>предназначено</w:t>
      </w:r>
      <w:proofErr w:type="spellEnd"/>
      <w:r w:rsidRPr="007B79FC">
        <w:rPr>
          <w:bCs/>
        </w:rPr>
        <w:t xml:space="preserve"> </w:t>
      </w:r>
      <w:proofErr w:type="spellStart"/>
      <w:r w:rsidRPr="007B79FC">
        <w:rPr>
          <w:bCs/>
        </w:rPr>
        <w:t>за</w:t>
      </w:r>
      <w:proofErr w:type="spellEnd"/>
      <w:r w:rsidRPr="007B79FC">
        <w:rPr>
          <w:bCs/>
        </w:rPr>
        <w:t xml:space="preserve"> </w:t>
      </w:r>
      <w:proofErr w:type="spellStart"/>
      <w:r w:rsidRPr="007B79FC">
        <w:rPr>
          <w:bCs/>
        </w:rPr>
        <w:t>целта</w:t>
      </w:r>
      <w:proofErr w:type="spellEnd"/>
      <w:r w:rsidRPr="007B79FC">
        <w:rPr>
          <w:bCs/>
        </w:rPr>
        <w:t xml:space="preserve"> </w:t>
      </w:r>
      <w:proofErr w:type="spellStart"/>
      <w:r w:rsidRPr="007B79FC">
        <w:rPr>
          <w:bCs/>
        </w:rPr>
        <w:t>място</w:t>
      </w:r>
      <w:proofErr w:type="spellEnd"/>
      <w:r w:rsidRPr="007B79FC">
        <w:rPr>
          <w:bCs/>
        </w:rPr>
        <w:t xml:space="preserve">, </w:t>
      </w:r>
      <w:proofErr w:type="spellStart"/>
      <w:r w:rsidRPr="007B79FC">
        <w:rPr>
          <w:bCs/>
        </w:rPr>
        <w:t>предлагащо</w:t>
      </w:r>
      <w:proofErr w:type="spellEnd"/>
      <w:r w:rsidRPr="007B79FC">
        <w:rPr>
          <w:bCs/>
        </w:rPr>
        <w:t xml:space="preserve"> </w:t>
      </w:r>
      <w:proofErr w:type="spellStart"/>
      <w:r w:rsidRPr="007B79FC">
        <w:rPr>
          <w:bCs/>
        </w:rPr>
        <w:t>комфорт</w:t>
      </w:r>
      <w:proofErr w:type="spellEnd"/>
      <w:r w:rsidRPr="007B79FC">
        <w:rPr>
          <w:bCs/>
        </w:rPr>
        <w:t xml:space="preserve"> и </w:t>
      </w:r>
      <w:proofErr w:type="spellStart"/>
      <w:r w:rsidRPr="007B79FC">
        <w:rPr>
          <w:bCs/>
        </w:rPr>
        <w:t>дружелюбна</w:t>
      </w:r>
      <w:proofErr w:type="spellEnd"/>
      <w:r w:rsidRPr="007B79FC">
        <w:rPr>
          <w:bCs/>
        </w:rPr>
        <w:t xml:space="preserve"> </w:t>
      </w:r>
      <w:proofErr w:type="spellStart"/>
      <w:r w:rsidRPr="007B79FC">
        <w:rPr>
          <w:bCs/>
        </w:rPr>
        <w:t>среда</w:t>
      </w:r>
      <w:proofErr w:type="spellEnd"/>
      <w:r w:rsidRPr="007B79FC">
        <w:rPr>
          <w:bCs/>
        </w:rPr>
        <w:t xml:space="preserve">, </w:t>
      </w:r>
      <w:proofErr w:type="spellStart"/>
      <w:r w:rsidRPr="007B79FC">
        <w:rPr>
          <w:bCs/>
        </w:rPr>
        <w:t>участва</w:t>
      </w:r>
      <w:proofErr w:type="spellEnd"/>
      <w:r w:rsidRPr="007B79FC">
        <w:rPr>
          <w:bCs/>
        </w:rPr>
        <w:t xml:space="preserve"> в </w:t>
      </w:r>
      <w:proofErr w:type="spellStart"/>
      <w:r w:rsidRPr="007B79FC">
        <w:rPr>
          <w:bCs/>
        </w:rPr>
        <w:t>представянето</w:t>
      </w:r>
      <w:proofErr w:type="spellEnd"/>
      <w:r w:rsidRPr="007B79FC">
        <w:rPr>
          <w:bCs/>
        </w:rPr>
        <w:t xml:space="preserve"> </w:t>
      </w:r>
      <w:proofErr w:type="spellStart"/>
      <w:r w:rsidRPr="007B79FC">
        <w:rPr>
          <w:bCs/>
        </w:rPr>
        <w:t>на</w:t>
      </w:r>
      <w:proofErr w:type="spellEnd"/>
      <w:r w:rsidRPr="007B79FC">
        <w:rPr>
          <w:bCs/>
        </w:rPr>
        <w:t xml:space="preserve"> </w:t>
      </w:r>
      <w:proofErr w:type="spellStart"/>
      <w:r w:rsidRPr="007B79FC">
        <w:rPr>
          <w:bCs/>
        </w:rPr>
        <w:t>маркетингови</w:t>
      </w:r>
      <w:proofErr w:type="spellEnd"/>
      <w:r w:rsidRPr="007B79FC">
        <w:rPr>
          <w:bCs/>
        </w:rPr>
        <w:t xml:space="preserve"> </w:t>
      </w:r>
      <w:r w:rsidR="007B79FC">
        <w:rPr>
          <w:bCs/>
          <w:lang w:val="bg-BG"/>
        </w:rPr>
        <w:t>дейности</w:t>
      </w:r>
      <w:r w:rsidRPr="007B79FC">
        <w:rPr>
          <w:bCs/>
        </w:rPr>
        <w:t xml:space="preserve">, </w:t>
      </w:r>
      <w:proofErr w:type="spellStart"/>
      <w:r w:rsidRPr="007B79FC">
        <w:rPr>
          <w:bCs/>
        </w:rPr>
        <w:t>промоционални</w:t>
      </w:r>
      <w:proofErr w:type="spellEnd"/>
      <w:r w:rsidRPr="007B79FC">
        <w:rPr>
          <w:bCs/>
        </w:rPr>
        <w:t xml:space="preserve"> </w:t>
      </w:r>
      <w:proofErr w:type="spellStart"/>
      <w:r w:rsidRPr="007B79FC">
        <w:rPr>
          <w:bCs/>
        </w:rPr>
        <w:t>кампании</w:t>
      </w:r>
      <w:proofErr w:type="spellEnd"/>
      <w:r w:rsidRPr="007B79FC">
        <w:rPr>
          <w:bCs/>
        </w:rPr>
        <w:t xml:space="preserve">, </w:t>
      </w:r>
      <w:proofErr w:type="spellStart"/>
      <w:r w:rsidRPr="007B79FC">
        <w:rPr>
          <w:bCs/>
        </w:rPr>
        <w:t>програми</w:t>
      </w:r>
      <w:proofErr w:type="spellEnd"/>
      <w:r w:rsidRPr="007B79FC">
        <w:rPr>
          <w:bCs/>
        </w:rPr>
        <w:t xml:space="preserve"> </w:t>
      </w:r>
      <w:proofErr w:type="spellStart"/>
      <w:r w:rsidRPr="007B79FC">
        <w:rPr>
          <w:bCs/>
        </w:rPr>
        <w:t>за</w:t>
      </w:r>
      <w:proofErr w:type="spellEnd"/>
      <w:r w:rsidRPr="007B79FC">
        <w:rPr>
          <w:bCs/>
        </w:rPr>
        <w:t xml:space="preserve"> </w:t>
      </w:r>
      <w:proofErr w:type="spellStart"/>
      <w:r w:rsidRPr="007B79FC">
        <w:rPr>
          <w:bCs/>
        </w:rPr>
        <w:t>лоялни</w:t>
      </w:r>
      <w:proofErr w:type="spellEnd"/>
      <w:r w:rsidRPr="007B79FC">
        <w:rPr>
          <w:bCs/>
        </w:rPr>
        <w:t xml:space="preserve"> </w:t>
      </w:r>
      <w:proofErr w:type="spellStart"/>
      <w:r w:rsidRPr="007B79FC">
        <w:rPr>
          <w:bCs/>
        </w:rPr>
        <w:t>клиенти</w:t>
      </w:r>
      <w:proofErr w:type="spellEnd"/>
      <w:r w:rsidRPr="007B79FC">
        <w:rPr>
          <w:bCs/>
        </w:rPr>
        <w:t xml:space="preserve"> и </w:t>
      </w:r>
      <w:proofErr w:type="spellStart"/>
      <w:r w:rsidRPr="007B79FC">
        <w:rPr>
          <w:bCs/>
        </w:rPr>
        <w:t>други</w:t>
      </w:r>
      <w:proofErr w:type="spellEnd"/>
      <w:r w:rsidRPr="007B79FC">
        <w:rPr>
          <w:bCs/>
        </w:rPr>
        <w:t xml:space="preserve"> </w:t>
      </w:r>
      <w:proofErr w:type="spellStart"/>
      <w:r w:rsidRPr="007B79FC">
        <w:rPr>
          <w:bCs/>
        </w:rPr>
        <w:t>инструменти</w:t>
      </w:r>
      <w:proofErr w:type="spellEnd"/>
      <w:r w:rsidRPr="007B79FC">
        <w:rPr>
          <w:bCs/>
        </w:rPr>
        <w:t xml:space="preserve">. </w:t>
      </w:r>
      <w:proofErr w:type="spellStart"/>
      <w:r w:rsidRPr="007B79FC">
        <w:rPr>
          <w:bCs/>
        </w:rPr>
        <w:t>Компанията</w:t>
      </w:r>
      <w:proofErr w:type="spellEnd"/>
      <w:r w:rsidRPr="007B79FC">
        <w:rPr>
          <w:bCs/>
        </w:rPr>
        <w:t xml:space="preserve"> </w:t>
      </w:r>
      <w:proofErr w:type="spellStart"/>
      <w:r w:rsidRPr="007B79FC">
        <w:rPr>
          <w:bCs/>
        </w:rPr>
        <w:t>предлага</w:t>
      </w:r>
      <w:proofErr w:type="spellEnd"/>
      <w:r w:rsidRPr="007B79FC">
        <w:rPr>
          <w:bCs/>
        </w:rPr>
        <w:t xml:space="preserve"> </w:t>
      </w:r>
      <w:proofErr w:type="spellStart"/>
      <w:r w:rsidRPr="007B79FC">
        <w:rPr>
          <w:bCs/>
        </w:rPr>
        <w:t>възнаграждение</w:t>
      </w:r>
      <w:proofErr w:type="spellEnd"/>
      <w:r w:rsidRPr="007B79FC">
        <w:rPr>
          <w:bCs/>
        </w:rPr>
        <w:t xml:space="preserve">, </w:t>
      </w:r>
      <w:proofErr w:type="spellStart"/>
      <w:r w:rsidRPr="007B79FC">
        <w:rPr>
          <w:bCs/>
        </w:rPr>
        <w:t>съответстващо</w:t>
      </w:r>
      <w:proofErr w:type="spellEnd"/>
      <w:r w:rsidRPr="007B79FC">
        <w:rPr>
          <w:bCs/>
        </w:rPr>
        <w:t xml:space="preserve"> </w:t>
      </w:r>
      <w:proofErr w:type="spellStart"/>
      <w:r w:rsidRPr="007B79FC">
        <w:rPr>
          <w:bCs/>
        </w:rPr>
        <w:t>на</w:t>
      </w:r>
      <w:proofErr w:type="spellEnd"/>
      <w:r w:rsidRPr="007B79FC">
        <w:rPr>
          <w:bCs/>
        </w:rPr>
        <w:t xml:space="preserve"> </w:t>
      </w:r>
      <w:proofErr w:type="spellStart"/>
      <w:r w:rsidRPr="007B79FC">
        <w:rPr>
          <w:bCs/>
        </w:rPr>
        <w:t>отговорностите</w:t>
      </w:r>
      <w:proofErr w:type="spellEnd"/>
      <w:r w:rsidRPr="007B79FC">
        <w:rPr>
          <w:bCs/>
        </w:rPr>
        <w:t xml:space="preserve"> и </w:t>
      </w:r>
      <w:proofErr w:type="spellStart"/>
      <w:r w:rsidRPr="007B79FC">
        <w:rPr>
          <w:bCs/>
        </w:rPr>
        <w:t>задълженията</w:t>
      </w:r>
      <w:proofErr w:type="spellEnd"/>
      <w:r w:rsidRPr="007B79FC">
        <w:rPr>
          <w:bCs/>
        </w:rPr>
        <w:t xml:space="preserve">, </w:t>
      </w:r>
      <w:proofErr w:type="spellStart"/>
      <w:r w:rsidRPr="007B79FC">
        <w:rPr>
          <w:bCs/>
        </w:rPr>
        <w:t>допълнително</w:t>
      </w:r>
      <w:proofErr w:type="spellEnd"/>
      <w:r w:rsidRPr="007B79FC">
        <w:rPr>
          <w:bCs/>
        </w:rPr>
        <w:t xml:space="preserve"> </w:t>
      </w:r>
      <w:proofErr w:type="spellStart"/>
      <w:r w:rsidRPr="007B79FC">
        <w:rPr>
          <w:bCs/>
        </w:rPr>
        <w:t>здравно</w:t>
      </w:r>
      <w:proofErr w:type="spellEnd"/>
      <w:r w:rsidRPr="007B79FC">
        <w:rPr>
          <w:bCs/>
        </w:rPr>
        <w:t xml:space="preserve"> </w:t>
      </w:r>
      <w:proofErr w:type="spellStart"/>
      <w:r w:rsidRPr="007B79FC">
        <w:rPr>
          <w:bCs/>
        </w:rPr>
        <w:t>осигуряване</w:t>
      </w:r>
      <w:proofErr w:type="spellEnd"/>
      <w:r w:rsidRPr="007B79FC">
        <w:rPr>
          <w:bCs/>
        </w:rPr>
        <w:t xml:space="preserve">, </w:t>
      </w:r>
      <w:proofErr w:type="spellStart"/>
      <w:r w:rsidRPr="007B79FC">
        <w:rPr>
          <w:bCs/>
        </w:rPr>
        <w:t>стабилна</w:t>
      </w:r>
      <w:proofErr w:type="spellEnd"/>
      <w:r w:rsidRPr="007B79FC">
        <w:rPr>
          <w:bCs/>
        </w:rPr>
        <w:t xml:space="preserve">, </w:t>
      </w:r>
      <w:proofErr w:type="spellStart"/>
      <w:r w:rsidRPr="007B79FC">
        <w:rPr>
          <w:bCs/>
        </w:rPr>
        <w:t>сигурна</w:t>
      </w:r>
      <w:proofErr w:type="spellEnd"/>
      <w:r w:rsidRPr="007B79FC">
        <w:rPr>
          <w:bCs/>
        </w:rPr>
        <w:t xml:space="preserve"> и </w:t>
      </w:r>
      <w:proofErr w:type="spellStart"/>
      <w:r w:rsidRPr="007B79FC">
        <w:rPr>
          <w:bCs/>
        </w:rPr>
        <w:t>динамична</w:t>
      </w:r>
      <w:proofErr w:type="spellEnd"/>
      <w:r w:rsidRPr="007B79FC">
        <w:rPr>
          <w:bCs/>
        </w:rPr>
        <w:t xml:space="preserve"> </w:t>
      </w:r>
      <w:proofErr w:type="spellStart"/>
      <w:r w:rsidRPr="007B79FC">
        <w:rPr>
          <w:bCs/>
        </w:rPr>
        <w:t>работна</w:t>
      </w:r>
      <w:proofErr w:type="spellEnd"/>
      <w:r w:rsidRPr="007B79FC">
        <w:rPr>
          <w:bCs/>
        </w:rPr>
        <w:t xml:space="preserve"> </w:t>
      </w:r>
      <w:proofErr w:type="spellStart"/>
      <w:r w:rsidRPr="007B79FC">
        <w:rPr>
          <w:bCs/>
        </w:rPr>
        <w:t>среда</w:t>
      </w:r>
      <w:proofErr w:type="spellEnd"/>
      <w:r w:rsidRPr="007B79FC">
        <w:rPr>
          <w:bCs/>
        </w:rPr>
        <w:t>.</w:t>
      </w:r>
    </w:p>
    <w:p w14:paraId="791B33DA" w14:textId="77777777" w:rsidR="00037A3E" w:rsidRPr="00BF0555" w:rsidRDefault="00037A3E" w:rsidP="007B79FC">
      <w:pPr>
        <w:spacing w:before="120" w:after="120" w:line="276" w:lineRule="auto"/>
        <w:jc w:val="both"/>
        <w:rPr>
          <w:bCs/>
          <w:lang w:val="bg-BG"/>
        </w:rPr>
      </w:pPr>
      <w:proofErr w:type="spellStart"/>
      <w:r w:rsidRPr="007B79FC">
        <w:rPr>
          <w:bCs/>
        </w:rPr>
        <w:t>Нужно</w:t>
      </w:r>
      <w:proofErr w:type="spellEnd"/>
      <w:r w:rsidRPr="007B79FC">
        <w:rPr>
          <w:bCs/>
        </w:rPr>
        <w:t xml:space="preserve"> е </w:t>
      </w:r>
      <w:proofErr w:type="spellStart"/>
      <w:r w:rsidRPr="007B79FC">
        <w:rPr>
          <w:bCs/>
        </w:rPr>
        <w:t>кандидатите</w:t>
      </w:r>
      <w:proofErr w:type="spellEnd"/>
      <w:r w:rsidRPr="007B79FC">
        <w:rPr>
          <w:bCs/>
        </w:rPr>
        <w:t xml:space="preserve"> </w:t>
      </w:r>
      <w:proofErr w:type="spellStart"/>
      <w:r w:rsidRPr="007B79FC">
        <w:rPr>
          <w:bCs/>
        </w:rPr>
        <w:t>да</w:t>
      </w:r>
      <w:proofErr w:type="spellEnd"/>
      <w:r w:rsidRPr="007B79FC">
        <w:rPr>
          <w:bCs/>
        </w:rPr>
        <w:t xml:space="preserve"> </w:t>
      </w:r>
      <w:proofErr w:type="spellStart"/>
      <w:r w:rsidRPr="007B79FC">
        <w:rPr>
          <w:bCs/>
        </w:rPr>
        <w:t>са</w:t>
      </w:r>
      <w:proofErr w:type="spellEnd"/>
      <w:r w:rsidRPr="007B79FC">
        <w:rPr>
          <w:bCs/>
        </w:rPr>
        <w:t xml:space="preserve"> </w:t>
      </w:r>
      <w:proofErr w:type="spellStart"/>
      <w:r w:rsidRPr="007B79FC">
        <w:rPr>
          <w:bCs/>
        </w:rPr>
        <w:t>последен</w:t>
      </w:r>
      <w:proofErr w:type="spellEnd"/>
      <w:r w:rsidRPr="007B79FC">
        <w:rPr>
          <w:bCs/>
        </w:rPr>
        <w:t xml:space="preserve"> </w:t>
      </w:r>
      <w:proofErr w:type="spellStart"/>
      <w:r w:rsidRPr="007B79FC">
        <w:rPr>
          <w:bCs/>
        </w:rPr>
        <w:t>курс</w:t>
      </w:r>
      <w:proofErr w:type="spellEnd"/>
      <w:r w:rsidRPr="007B79FC">
        <w:rPr>
          <w:bCs/>
        </w:rPr>
        <w:t xml:space="preserve"> </w:t>
      </w:r>
      <w:proofErr w:type="spellStart"/>
      <w:r w:rsidRPr="007B79FC">
        <w:rPr>
          <w:bCs/>
        </w:rPr>
        <w:t>специалност</w:t>
      </w:r>
      <w:proofErr w:type="spellEnd"/>
      <w:r w:rsidRPr="007B79FC">
        <w:rPr>
          <w:bCs/>
        </w:rPr>
        <w:t xml:space="preserve"> „</w:t>
      </w:r>
      <w:proofErr w:type="spellStart"/>
      <w:proofErr w:type="gramStart"/>
      <w:r w:rsidRPr="007B79FC">
        <w:rPr>
          <w:bCs/>
        </w:rPr>
        <w:t>Фармация</w:t>
      </w:r>
      <w:proofErr w:type="spellEnd"/>
      <w:r w:rsidRPr="007B79FC">
        <w:rPr>
          <w:bCs/>
        </w:rPr>
        <w:t>“</w:t>
      </w:r>
      <w:proofErr w:type="gramEnd"/>
      <w:r w:rsidRPr="007B79FC">
        <w:rPr>
          <w:bCs/>
        </w:rPr>
        <w:t>.</w:t>
      </w:r>
      <w:r w:rsidR="007B79FC">
        <w:rPr>
          <w:bCs/>
          <w:lang w:val="bg-BG"/>
        </w:rPr>
        <w:t xml:space="preserve"> Стажът е платен, като </w:t>
      </w:r>
      <w:r w:rsidRPr="00FA4F1B">
        <w:rPr>
          <w:b/>
          <w:bCs/>
          <w:lang w:val="bg-BG"/>
        </w:rPr>
        <w:t xml:space="preserve"> </w:t>
      </w:r>
      <w:r w:rsidRPr="00FA4F1B">
        <w:rPr>
          <w:bCs/>
          <w:lang w:val="bg-BG"/>
        </w:rPr>
        <w:t>възнаграждение</w:t>
      </w:r>
      <w:r w:rsidR="007B79FC" w:rsidRPr="00BF0555">
        <w:rPr>
          <w:bCs/>
          <w:lang w:val="bg-BG"/>
        </w:rPr>
        <w:t xml:space="preserve">то съответства </w:t>
      </w:r>
      <w:r w:rsidRPr="00FA4F1B">
        <w:rPr>
          <w:bCs/>
          <w:lang w:val="bg-BG"/>
        </w:rPr>
        <w:t>на отговорностите и задълженията</w:t>
      </w:r>
      <w:r w:rsidR="007B79FC" w:rsidRPr="00BF0555">
        <w:rPr>
          <w:bCs/>
          <w:lang w:val="bg-BG"/>
        </w:rPr>
        <w:t>.</w:t>
      </w:r>
    </w:p>
    <w:p w14:paraId="23A134B9" w14:textId="77777777" w:rsidR="00037A3E" w:rsidRPr="00FA4F1B" w:rsidRDefault="00037A3E" w:rsidP="007B79FC">
      <w:pPr>
        <w:spacing w:before="120" w:after="120" w:line="276" w:lineRule="auto"/>
        <w:jc w:val="both"/>
        <w:rPr>
          <w:bCs/>
          <w:lang w:val="bg-BG"/>
        </w:rPr>
      </w:pPr>
      <w:r w:rsidRPr="00FA4F1B">
        <w:rPr>
          <w:bCs/>
          <w:lang w:val="bg-BG"/>
        </w:rPr>
        <w:t xml:space="preserve">Желаещите могат да изпратят своята автобиография на </w:t>
      </w:r>
      <w:r w:rsidRPr="007B79FC">
        <w:rPr>
          <w:bCs/>
        </w:rPr>
        <w:t>e</w:t>
      </w:r>
      <w:r w:rsidRPr="00FA4F1B">
        <w:rPr>
          <w:bCs/>
          <w:lang w:val="bg-BG"/>
        </w:rPr>
        <w:t>-</w:t>
      </w:r>
      <w:r w:rsidRPr="007B79FC">
        <w:rPr>
          <w:bCs/>
        </w:rPr>
        <w:t>mail</w:t>
      </w:r>
      <w:r w:rsidRPr="00FA4F1B">
        <w:rPr>
          <w:bCs/>
          <w:lang w:val="bg-BG"/>
        </w:rPr>
        <w:t xml:space="preserve"> адрес</w:t>
      </w:r>
      <w:r w:rsidRPr="007B79FC">
        <w:rPr>
          <w:bCs/>
        </w:rPr>
        <w:t> </w:t>
      </w:r>
      <w:r>
        <w:fldChar w:fldCharType="begin"/>
      </w:r>
      <w:r>
        <w:instrText>HYPERLINK</w:instrText>
      </w:r>
      <w:r w:rsidRPr="00FA4F1B">
        <w:rPr>
          <w:lang w:val="bg-BG"/>
        </w:rPr>
        <w:instrText xml:space="preserve"> "</w:instrText>
      </w:r>
      <w:r>
        <w:instrText>mailto</w:instrText>
      </w:r>
      <w:r w:rsidRPr="00FA4F1B">
        <w:rPr>
          <w:lang w:val="bg-BG"/>
        </w:rPr>
        <w:instrText>:</w:instrText>
      </w:r>
      <w:r>
        <w:instrText>hr</w:instrText>
      </w:r>
      <w:r w:rsidRPr="00FA4F1B">
        <w:rPr>
          <w:lang w:val="bg-BG"/>
        </w:rPr>
        <w:instrText>@</w:instrText>
      </w:r>
      <w:r>
        <w:instrText>sopharmacy</w:instrText>
      </w:r>
      <w:r w:rsidRPr="00FA4F1B">
        <w:rPr>
          <w:lang w:val="bg-BG"/>
        </w:rPr>
        <w:instrText>.</w:instrText>
      </w:r>
      <w:r>
        <w:instrText>bg</w:instrText>
      </w:r>
      <w:r w:rsidRPr="00FA4F1B">
        <w:rPr>
          <w:lang w:val="bg-BG"/>
        </w:rPr>
        <w:instrText>"</w:instrText>
      </w:r>
      <w:r>
        <w:fldChar w:fldCharType="separate"/>
      </w:r>
      <w:r w:rsidRPr="007B79FC">
        <w:rPr>
          <w:rStyle w:val="Hyperlink"/>
          <w:bCs/>
        </w:rPr>
        <w:t>hr</w:t>
      </w:r>
      <w:r w:rsidRPr="00FA4F1B">
        <w:rPr>
          <w:rStyle w:val="Hyperlink"/>
          <w:bCs/>
          <w:lang w:val="bg-BG"/>
        </w:rPr>
        <w:t>@</w:t>
      </w:r>
      <w:proofErr w:type="spellStart"/>
      <w:r w:rsidRPr="007B79FC">
        <w:rPr>
          <w:rStyle w:val="Hyperlink"/>
          <w:bCs/>
        </w:rPr>
        <w:t>sopharmacy</w:t>
      </w:r>
      <w:proofErr w:type="spellEnd"/>
      <w:r w:rsidRPr="00FA4F1B">
        <w:rPr>
          <w:rStyle w:val="Hyperlink"/>
          <w:bCs/>
          <w:lang w:val="bg-BG"/>
        </w:rPr>
        <w:t>.</w:t>
      </w:r>
      <w:proofErr w:type="spellStart"/>
      <w:r w:rsidRPr="007B79FC">
        <w:rPr>
          <w:rStyle w:val="Hyperlink"/>
          <w:bCs/>
        </w:rPr>
        <w:t>bg</w:t>
      </w:r>
      <w:proofErr w:type="spellEnd"/>
      <w:r>
        <w:fldChar w:fldCharType="end"/>
      </w:r>
      <w:r w:rsidRPr="00FA4F1B">
        <w:rPr>
          <w:bCs/>
          <w:lang w:val="bg-BG"/>
        </w:rPr>
        <w:t>. Пълна информация за стажа вижте</w:t>
      </w:r>
      <w:r w:rsidRPr="007B79FC">
        <w:rPr>
          <w:bCs/>
        </w:rPr>
        <w:t> </w:t>
      </w:r>
      <w:r>
        <w:fldChar w:fldCharType="begin"/>
      </w:r>
      <w:r>
        <w:instrText>HYPERLINK</w:instrText>
      </w:r>
      <w:r w:rsidRPr="00FA4F1B">
        <w:rPr>
          <w:lang w:val="bg-BG"/>
        </w:rPr>
        <w:instrText xml:space="preserve"> "</w:instrText>
      </w:r>
      <w:r>
        <w:instrText>https</w:instrText>
      </w:r>
      <w:r w:rsidRPr="00FA4F1B">
        <w:rPr>
          <w:lang w:val="bg-BG"/>
        </w:rPr>
        <w:instrText>://</w:instrText>
      </w:r>
      <w:r>
        <w:instrText>sopharmacy</w:instrText>
      </w:r>
      <w:r w:rsidRPr="00FA4F1B">
        <w:rPr>
          <w:lang w:val="bg-BG"/>
        </w:rPr>
        <w:instrText>.</w:instrText>
      </w:r>
      <w:r>
        <w:instrText>bg</w:instrText>
      </w:r>
      <w:r w:rsidRPr="00FA4F1B">
        <w:rPr>
          <w:lang w:val="bg-BG"/>
        </w:rPr>
        <w:instrText>/</w:instrText>
      </w:r>
      <w:r>
        <w:instrText>bg</w:instrText>
      </w:r>
      <w:r w:rsidRPr="00FA4F1B">
        <w:rPr>
          <w:lang w:val="bg-BG"/>
        </w:rPr>
        <w:instrText>/</w:instrText>
      </w:r>
      <w:r>
        <w:instrText>careersItem</w:instrText>
      </w:r>
      <w:r w:rsidRPr="00FA4F1B">
        <w:rPr>
          <w:lang w:val="bg-BG"/>
        </w:rPr>
        <w:instrText>23" \</w:instrText>
      </w:r>
      <w:r>
        <w:instrText>t</w:instrText>
      </w:r>
      <w:r w:rsidRPr="00FA4F1B">
        <w:rPr>
          <w:lang w:val="bg-BG"/>
        </w:rPr>
        <w:instrText xml:space="preserve"> "_</w:instrText>
      </w:r>
      <w:r>
        <w:instrText>blank</w:instrText>
      </w:r>
      <w:r w:rsidRPr="00FA4F1B">
        <w:rPr>
          <w:lang w:val="bg-BG"/>
        </w:rPr>
        <w:instrText>"</w:instrText>
      </w:r>
      <w:r>
        <w:fldChar w:fldCharType="separate"/>
      </w:r>
      <w:r w:rsidRPr="00FA4F1B">
        <w:rPr>
          <w:rStyle w:val="Hyperlink"/>
          <w:bCs/>
          <w:lang w:val="bg-BG"/>
        </w:rPr>
        <w:t>тук</w:t>
      </w:r>
      <w:r>
        <w:fldChar w:fldCharType="end"/>
      </w:r>
      <w:r w:rsidRPr="00FA4F1B">
        <w:rPr>
          <w:bCs/>
          <w:lang w:val="bg-BG"/>
        </w:rPr>
        <w:t>.</w:t>
      </w:r>
    </w:p>
    <w:p w14:paraId="7A7060DD" w14:textId="77777777" w:rsidR="007B79FC" w:rsidRDefault="007B79FC" w:rsidP="00037A3E">
      <w:pPr>
        <w:spacing w:before="120" w:after="600" w:line="276" w:lineRule="auto"/>
        <w:jc w:val="both"/>
        <w:rPr>
          <w:b/>
          <w:bCs/>
          <w:lang w:val="bg-BG"/>
        </w:rPr>
      </w:pPr>
      <w:r>
        <w:rPr>
          <w:b/>
          <w:bCs/>
          <w:lang w:val="bg-BG"/>
        </w:rPr>
        <w:t>Краен срок: не е посочен</w:t>
      </w:r>
    </w:p>
    <w:p w14:paraId="4440FF50" w14:textId="77777777" w:rsidR="00621C88" w:rsidRPr="00FA4F1B" w:rsidRDefault="004622C2" w:rsidP="004622C2">
      <w:pPr>
        <w:pStyle w:val="Heading2"/>
        <w:ind w:left="426"/>
        <w:rPr>
          <w:lang w:val="bg-BG"/>
        </w:rPr>
      </w:pPr>
      <w:bookmarkStart w:id="20" w:name="_Toc197365384"/>
      <w:r w:rsidRPr="00FA4F1B">
        <w:rPr>
          <w:lang w:val="bg-BG"/>
        </w:rPr>
        <w:t>Стажантска програма</w:t>
      </w:r>
      <w:r w:rsidRPr="004622C2">
        <w:rPr>
          <w:lang w:val="bg-BG"/>
        </w:rPr>
        <w:t xml:space="preserve"> на </w:t>
      </w:r>
      <w:r w:rsidR="00621C88" w:rsidRPr="00FA4F1B">
        <w:rPr>
          <w:lang w:val="bg-BG"/>
        </w:rPr>
        <w:t>Българска</w:t>
      </w:r>
      <w:r w:rsidRPr="004622C2">
        <w:rPr>
          <w:lang w:val="bg-BG"/>
        </w:rPr>
        <w:t>та</w:t>
      </w:r>
      <w:r w:rsidR="00621C88" w:rsidRPr="00FA4F1B">
        <w:rPr>
          <w:lang w:val="bg-BG"/>
        </w:rPr>
        <w:t xml:space="preserve"> телеграфна агенция</w:t>
      </w:r>
      <w:bookmarkEnd w:id="20"/>
    </w:p>
    <w:p w14:paraId="0C8F71D0" w14:textId="77777777" w:rsidR="00621C88" w:rsidRPr="00FA4F1B" w:rsidRDefault="00621C88" w:rsidP="004622C2">
      <w:pPr>
        <w:spacing w:before="120" w:after="120" w:line="276" w:lineRule="auto"/>
        <w:jc w:val="both"/>
        <w:rPr>
          <w:lang w:val="bg-BG"/>
        </w:rPr>
      </w:pPr>
      <w:r w:rsidRPr="00FA4F1B">
        <w:rPr>
          <w:lang w:val="bg-BG"/>
        </w:rPr>
        <w:t>От 2021 г. Българска телеграфна агенция (БТА) изгражда мащабна програма за подкрепа на науката и образованието в България. За развитие, практическо обучение и реализация на будните и мислещи млади хора. За тяхната ангажираност и активност в обществото. За достъпност на науката в медиите. За надграждане на компетентностите на работещите в БТА и приобщаване на новите служители към каузата на агенцията за медийна грамотност, етика и професионализъм.</w:t>
      </w:r>
    </w:p>
    <w:p w14:paraId="760DF28E" w14:textId="77777777" w:rsidR="00E637B6" w:rsidRPr="00FA4F1B" w:rsidRDefault="00621C88" w:rsidP="006E718D">
      <w:pPr>
        <w:spacing w:before="120" w:after="120" w:line="276" w:lineRule="auto"/>
        <w:jc w:val="both"/>
        <w:rPr>
          <w:lang w:val="bg-BG"/>
        </w:rPr>
      </w:pPr>
      <w:r w:rsidRPr="00FA4F1B">
        <w:rPr>
          <w:lang w:val="bg-BG"/>
        </w:rPr>
        <w:t>Стажът е подходящ за студенти с познания по журналистика. Изисква се добро владеене на поне един чужд език. За него могат да кандидатстват български студенти, които се обучават в български или в чуждестранни висши училища, както и чуждестранни студенти, които се обучават в български висши училища. Кандидатите трябва да са с непрекъснати студентски права.</w:t>
      </w:r>
      <w:r w:rsidRPr="004622C2">
        <w:t> </w:t>
      </w:r>
      <w:r w:rsidRPr="00FA4F1B">
        <w:rPr>
          <w:lang w:val="bg-BG"/>
        </w:rPr>
        <w:t xml:space="preserve"> </w:t>
      </w:r>
    </w:p>
    <w:p w14:paraId="101F220E" w14:textId="77777777" w:rsidR="00621C88" w:rsidRPr="00FA4F1B" w:rsidRDefault="00621C88" w:rsidP="006E718D">
      <w:pPr>
        <w:spacing w:before="120" w:after="120" w:line="276" w:lineRule="auto"/>
        <w:jc w:val="both"/>
        <w:rPr>
          <w:lang w:val="bg-BG"/>
        </w:rPr>
      </w:pPr>
      <w:r w:rsidRPr="00FA4F1B">
        <w:rPr>
          <w:lang w:val="bg-BG"/>
        </w:rPr>
        <w:t>П</w:t>
      </w:r>
      <w:r w:rsidR="00A175DB" w:rsidRPr="00FA4F1B">
        <w:rPr>
          <w:lang w:val="bg-BG"/>
        </w:rPr>
        <w:t xml:space="preserve">родължителност: </w:t>
      </w:r>
      <w:r w:rsidRPr="00FA4F1B">
        <w:rPr>
          <w:lang w:val="bg-BG"/>
        </w:rPr>
        <w:t>от 120 до 240 астрономични часа. Стажът преминава под ръководството на ментор.</w:t>
      </w:r>
    </w:p>
    <w:p w14:paraId="156A3F4A" w14:textId="77777777" w:rsidR="00621C88" w:rsidRPr="004622C2" w:rsidRDefault="00621C88" w:rsidP="006E718D">
      <w:pPr>
        <w:spacing w:before="120" w:after="120" w:line="276" w:lineRule="auto"/>
        <w:jc w:val="both"/>
        <w:rPr>
          <w:lang w:val="bg-BG"/>
        </w:rPr>
      </w:pPr>
      <w:r w:rsidRPr="00FA4F1B">
        <w:rPr>
          <w:bCs/>
          <w:lang w:val="bg-BG"/>
        </w:rPr>
        <w:t>Кандидатстване</w:t>
      </w:r>
      <w:r w:rsidRPr="00FA4F1B">
        <w:rPr>
          <w:lang w:val="bg-BG"/>
        </w:rPr>
        <w:t>: Вижте актуалните позиции на</w:t>
      </w:r>
      <w:r w:rsidRPr="004622C2">
        <w:t> </w:t>
      </w:r>
      <w:r>
        <w:fldChar w:fldCharType="begin"/>
      </w:r>
      <w:r>
        <w:instrText>HYPERLINK</w:instrText>
      </w:r>
      <w:r w:rsidRPr="00FA4F1B">
        <w:rPr>
          <w:lang w:val="bg-BG"/>
        </w:rPr>
        <w:instrText xml:space="preserve"> "</w:instrText>
      </w:r>
      <w:r>
        <w:instrText>https</w:instrText>
      </w:r>
      <w:r w:rsidRPr="00FA4F1B">
        <w:rPr>
          <w:lang w:val="bg-BG"/>
        </w:rPr>
        <w:instrText>://</w:instrText>
      </w:r>
      <w:r>
        <w:instrText>www</w:instrText>
      </w:r>
      <w:r w:rsidRPr="00FA4F1B">
        <w:rPr>
          <w:lang w:val="bg-BG"/>
        </w:rPr>
        <w:instrText>.</w:instrText>
      </w:r>
      <w:r>
        <w:instrText>bta</w:instrText>
      </w:r>
      <w:r w:rsidRPr="00FA4F1B">
        <w:rPr>
          <w:lang w:val="bg-BG"/>
        </w:rPr>
        <w:instrText>.</w:instrText>
      </w:r>
      <w:r>
        <w:instrText>bg</w:instrText>
      </w:r>
      <w:r w:rsidRPr="00FA4F1B">
        <w:rPr>
          <w:lang w:val="bg-BG"/>
        </w:rPr>
        <w:instrText>/</w:instrText>
      </w:r>
      <w:r>
        <w:instrText>bg</w:instrText>
      </w:r>
      <w:r w:rsidRPr="00FA4F1B">
        <w:rPr>
          <w:lang w:val="bg-BG"/>
        </w:rPr>
        <w:instrText>/</w:instrText>
      </w:r>
      <w:r>
        <w:instrText>bta</w:instrText>
      </w:r>
      <w:r w:rsidRPr="00FA4F1B">
        <w:rPr>
          <w:lang w:val="bg-BG"/>
        </w:rPr>
        <w:instrText>-</w:instrText>
      </w:r>
      <w:r>
        <w:instrText>academy</w:instrText>
      </w:r>
      <w:r w:rsidRPr="00FA4F1B">
        <w:rPr>
          <w:lang w:val="bg-BG"/>
        </w:rPr>
        <w:instrText>/</w:instrText>
      </w:r>
      <w:r>
        <w:instrText>internship</w:instrText>
      </w:r>
      <w:r w:rsidRPr="00FA4F1B">
        <w:rPr>
          <w:lang w:val="bg-BG"/>
        </w:rPr>
        <w:instrText>/?</w:instrText>
      </w:r>
      <w:r>
        <w:instrText>fbclid</w:instrText>
      </w:r>
      <w:r w:rsidRPr="00FA4F1B">
        <w:rPr>
          <w:lang w:val="bg-BG"/>
        </w:rPr>
        <w:instrText>=</w:instrText>
      </w:r>
      <w:r>
        <w:instrText>IwAR</w:instrText>
      </w:r>
      <w:r w:rsidRPr="00FA4F1B">
        <w:rPr>
          <w:lang w:val="bg-BG"/>
        </w:rPr>
        <w:instrText>0</w:instrText>
      </w:r>
      <w:r>
        <w:instrText>L</w:instrText>
      </w:r>
      <w:r w:rsidRPr="00FA4F1B">
        <w:rPr>
          <w:lang w:val="bg-BG"/>
        </w:rPr>
        <w:instrText>3</w:instrText>
      </w:r>
      <w:r>
        <w:instrText>DyugM</w:instrText>
      </w:r>
      <w:r w:rsidRPr="00FA4F1B">
        <w:rPr>
          <w:lang w:val="bg-BG"/>
        </w:rPr>
        <w:instrText>-</w:instrText>
      </w:r>
      <w:r>
        <w:instrText>CRa</w:instrText>
      </w:r>
      <w:r w:rsidRPr="00FA4F1B">
        <w:rPr>
          <w:lang w:val="bg-BG"/>
        </w:rPr>
        <w:instrText>2</w:instrText>
      </w:r>
      <w:r>
        <w:instrText>Pmdi</w:instrText>
      </w:r>
      <w:r w:rsidRPr="00FA4F1B">
        <w:rPr>
          <w:lang w:val="bg-BG"/>
        </w:rPr>
        <w:instrText>4</w:instrText>
      </w:r>
      <w:r>
        <w:instrText>EMUOxFEw</w:instrText>
      </w:r>
      <w:r w:rsidRPr="00FA4F1B">
        <w:rPr>
          <w:lang w:val="bg-BG"/>
        </w:rPr>
        <w:instrText>6</w:instrText>
      </w:r>
      <w:r>
        <w:instrText>WJW</w:instrText>
      </w:r>
      <w:r w:rsidRPr="00FA4F1B">
        <w:rPr>
          <w:lang w:val="bg-BG"/>
        </w:rPr>
        <w:instrText>16</w:instrText>
      </w:r>
      <w:r>
        <w:instrText>N</w:instrText>
      </w:r>
      <w:r w:rsidRPr="00FA4F1B">
        <w:rPr>
          <w:lang w:val="bg-BG"/>
        </w:rPr>
        <w:instrText>_8</w:instrText>
      </w:r>
      <w:r>
        <w:instrText>LeQ</w:instrText>
      </w:r>
      <w:r w:rsidRPr="00FA4F1B">
        <w:rPr>
          <w:lang w:val="bg-BG"/>
        </w:rPr>
        <w:instrText>0</w:instrText>
      </w:r>
      <w:r>
        <w:instrText>XW</w:instrText>
      </w:r>
      <w:r w:rsidRPr="00FA4F1B">
        <w:rPr>
          <w:lang w:val="bg-BG"/>
        </w:rPr>
        <w:instrText>-4</w:instrText>
      </w:r>
      <w:r>
        <w:instrText>nSo</w:instrText>
      </w:r>
      <w:r w:rsidRPr="00FA4F1B">
        <w:rPr>
          <w:lang w:val="bg-BG"/>
        </w:rPr>
        <w:instrText>_</w:instrText>
      </w:r>
      <w:r>
        <w:instrText>dDRKAogE</w:instrText>
      </w:r>
      <w:r w:rsidRPr="00FA4F1B">
        <w:rPr>
          <w:lang w:val="bg-BG"/>
        </w:rPr>
        <w:instrText>9</w:instrText>
      </w:r>
      <w:r>
        <w:instrText>w</w:instrText>
      </w:r>
      <w:r w:rsidRPr="00FA4F1B">
        <w:rPr>
          <w:lang w:val="bg-BG"/>
        </w:rPr>
        <w:instrText>" \</w:instrText>
      </w:r>
      <w:r>
        <w:instrText>t</w:instrText>
      </w:r>
      <w:r w:rsidRPr="00FA4F1B">
        <w:rPr>
          <w:lang w:val="bg-BG"/>
        </w:rPr>
        <w:instrText xml:space="preserve"> "_</w:instrText>
      </w:r>
      <w:r>
        <w:instrText>blank</w:instrText>
      </w:r>
      <w:r w:rsidRPr="00FA4F1B">
        <w:rPr>
          <w:lang w:val="bg-BG"/>
        </w:rPr>
        <w:instrText>"</w:instrText>
      </w:r>
      <w:r>
        <w:fldChar w:fldCharType="separate"/>
      </w:r>
      <w:r w:rsidRPr="00FA4F1B">
        <w:rPr>
          <w:rStyle w:val="Hyperlink"/>
          <w:lang w:val="bg-BG"/>
        </w:rPr>
        <w:t>сайта</w:t>
      </w:r>
      <w:r>
        <w:fldChar w:fldCharType="end"/>
      </w:r>
      <w:r w:rsidRPr="00FA4F1B">
        <w:rPr>
          <w:lang w:val="bg-BG"/>
        </w:rPr>
        <w:t>.</w:t>
      </w:r>
    </w:p>
    <w:p w14:paraId="280AC94F" w14:textId="5300AA93" w:rsidR="00621C88" w:rsidRDefault="00621C88" w:rsidP="00D565CE">
      <w:pPr>
        <w:spacing w:before="120" w:after="600" w:line="276" w:lineRule="auto"/>
        <w:rPr>
          <w:b/>
          <w:lang w:val="bg-BG"/>
        </w:rPr>
      </w:pPr>
      <w:r w:rsidRPr="00E637B6">
        <w:rPr>
          <w:b/>
          <w:lang w:val="bg-BG"/>
        </w:rPr>
        <w:t>Краен срок: не е посочен</w:t>
      </w:r>
    </w:p>
    <w:p w14:paraId="6609F99A" w14:textId="77777777" w:rsidR="00714645" w:rsidRPr="00FA4F1B" w:rsidRDefault="00714645" w:rsidP="00AF6B82">
      <w:pPr>
        <w:pStyle w:val="Heading2"/>
        <w:ind w:left="426"/>
        <w:rPr>
          <w:lang w:val="bg-BG"/>
        </w:rPr>
      </w:pPr>
      <w:bookmarkStart w:id="21" w:name="_Toc197365385"/>
      <w:r w:rsidRPr="00714645">
        <w:t>Digital</w:t>
      </w:r>
      <w:r w:rsidRPr="00FA4F1B">
        <w:rPr>
          <w:lang w:val="bg-BG"/>
        </w:rPr>
        <w:t xml:space="preserve"> </w:t>
      </w:r>
      <w:r w:rsidRPr="00714645">
        <w:t>Expert</w:t>
      </w:r>
      <w:r w:rsidR="00AF6B82">
        <w:rPr>
          <w:lang w:val="bg-BG"/>
        </w:rPr>
        <w:t xml:space="preserve"> предлага стаж за </w:t>
      </w:r>
      <w:r w:rsidRPr="00FA4F1B">
        <w:rPr>
          <w:lang w:val="bg-BG"/>
        </w:rPr>
        <w:t>дигитален маркетинг</w:t>
      </w:r>
      <w:bookmarkEnd w:id="21"/>
    </w:p>
    <w:p w14:paraId="27B9785E" w14:textId="77777777" w:rsidR="00714645" w:rsidRPr="00FA4F1B" w:rsidRDefault="00AF6B82" w:rsidP="00AF6B82">
      <w:pPr>
        <w:spacing w:after="200" w:line="276" w:lineRule="auto"/>
        <w:jc w:val="both"/>
        <w:rPr>
          <w:lang w:val="bg-BG"/>
        </w:rPr>
      </w:pPr>
      <w:r w:rsidRPr="00AF6B82">
        <w:rPr>
          <w:bCs/>
          <w:lang w:val="bg-BG"/>
        </w:rPr>
        <w:t>Предлага се д</w:t>
      </w:r>
      <w:r w:rsidR="00714645" w:rsidRPr="00FA4F1B">
        <w:rPr>
          <w:lang w:val="bg-BG"/>
        </w:rPr>
        <w:t xml:space="preserve">обре структурирана обучителна програма, </w:t>
      </w:r>
      <w:r>
        <w:rPr>
          <w:lang w:val="bg-BG"/>
        </w:rPr>
        <w:t xml:space="preserve">в </w:t>
      </w:r>
      <w:r w:rsidR="00714645" w:rsidRPr="00FA4F1B">
        <w:rPr>
          <w:lang w:val="bg-BG"/>
        </w:rPr>
        <w:t xml:space="preserve">която стажантът ще натрупа умения като акаунт мениджър на дигитална агенция, както и познания за разработване, изпълнение и управление на рекламни кампании във </w:t>
      </w:r>
      <w:r w:rsidR="00714645" w:rsidRPr="00714645">
        <w:t>Facebook</w:t>
      </w:r>
      <w:r w:rsidR="00714645" w:rsidRPr="00FA4F1B">
        <w:rPr>
          <w:lang w:val="bg-BG"/>
        </w:rPr>
        <w:t xml:space="preserve"> и </w:t>
      </w:r>
      <w:r w:rsidR="00714645" w:rsidRPr="00714645">
        <w:t>Instagram</w:t>
      </w:r>
      <w:r w:rsidR="00714645" w:rsidRPr="00FA4F1B">
        <w:rPr>
          <w:lang w:val="bg-BG"/>
        </w:rPr>
        <w:t xml:space="preserve">, </w:t>
      </w:r>
      <w:r w:rsidR="00714645" w:rsidRPr="00714645">
        <w:t>Google</w:t>
      </w:r>
      <w:r w:rsidR="00714645" w:rsidRPr="00FA4F1B">
        <w:rPr>
          <w:lang w:val="bg-BG"/>
        </w:rPr>
        <w:t xml:space="preserve"> </w:t>
      </w:r>
      <w:r w:rsidR="00714645" w:rsidRPr="00714645">
        <w:t>Search</w:t>
      </w:r>
      <w:r w:rsidR="00714645" w:rsidRPr="00FA4F1B">
        <w:rPr>
          <w:lang w:val="bg-BG"/>
        </w:rPr>
        <w:t xml:space="preserve"> &amp; </w:t>
      </w:r>
      <w:r w:rsidR="00714645" w:rsidRPr="00714645">
        <w:t>Display</w:t>
      </w:r>
      <w:r w:rsidR="00714645" w:rsidRPr="00FA4F1B">
        <w:rPr>
          <w:lang w:val="bg-BG"/>
        </w:rPr>
        <w:t xml:space="preserve">, </w:t>
      </w:r>
      <w:r w:rsidR="00714645" w:rsidRPr="00714645">
        <w:t>E</w:t>
      </w:r>
      <w:r w:rsidR="00714645" w:rsidRPr="00FA4F1B">
        <w:rPr>
          <w:lang w:val="bg-BG"/>
        </w:rPr>
        <w:t>-</w:t>
      </w:r>
      <w:r w:rsidR="00714645" w:rsidRPr="00714645">
        <w:t>commerce</w:t>
      </w:r>
      <w:r w:rsidR="00714645" w:rsidRPr="00FA4F1B">
        <w:rPr>
          <w:lang w:val="bg-BG"/>
        </w:rPr>
        <w:t xml:space="preserve"> и оптимизация на уеб сайтове. </w:t>
      </w:r>
      <w:r>
        <w:rPr>
          <w:lang w:val="bg-BG"/>
        </w:rPr>
        <w:t>Дава се и в</w:t>
      </w:r>
      <w:r w:rsidR="00714645" w:rsidRPr="00FA4F1B">
        <w:rPr>
          <w:lang w:val="bg-BG"/>
        </w:rPr>
        <w:t>ъзможност за развитие и кариерно израстване в структурата на бързо развиваща се и амбициозна компания.</w:t>
      </w:r>
    </w:p>
    <w:p w14:paraId="114B6573" w14:textId="77777777" w:rsidR="00714645" w:rsidRPr="00FA4F1B" w:rsidRDefault="00714645" w:rsidP="006E718D">
      <w:pPr>
        <w:spacing w:after="120" w:line="276" w:lineRule="auto"/>
        <w:jc w:val="both"/>
        <w:rPr>
          <w:lang w:val="bg-BG"/>
        </w:rPr>
      </w:pPr>
      <w:r w:rsidRPr="00FA4F1B">
        <w:rPr>
          <w:bCs/>
          <w:lang w:val="bg-BG"/>
        </w:rPr>
        <w:t>Изисквания</w:t>
      </w:r>
      <w:r w:rsidR="00AF6B82" w:rsidRPr="00AF6B82">
        <w:rPr>
          <w:bCs/>
          <w:lang w:val="bg-BG"/>
        </w:rPr>
        <w:t>та са</w:t>
      </w:r>
      <w:r w:rsidRPr="00FA4F1B">
        <w:rPr>
          <w:lang w:val="bg-BG"/>
        </w:rPr>
        <w:t xml:space="preserve">: теоретични маркетингови познания в платформите </w:t>
      </w:r>
      <w:r w:rsidRPr="00714645">
        <w:t>Facebook</w:t>
      </w:r>
      <w:r w:rsidRPr="00FA4F1B">
        <w:rPr>
          <w:lang w:val="bg-BG"/>
        </w:rPr>
        <w:t xml:space="preserve"> и/или </w:t>
      </w:r>
      <w:r w:rsidRPr="00714645">
        <w:t>Google</w:t>
      </w:r>
      <w:r w:rsidRPr="00FA4F1B">
        <w:rPr>
          <w:lang w:val="bg-BG"/>
        </w:rPr>
        <w:t xml:space="preserve">; добра техническа грамотност – </w:t>
      </w:r>
      <w:r w:rsidRPr="00714645">
        <w:t>Microsoft</w:t>
      </w:r>
      <w:r w:rsidRPr="00FA4F1B">
        <w:rPr>
          <w:lang w:val="bg-BG"/>
        </w:rPr>
        <w:t xml:space="preserve"> </w:t>
      </w:r>
      <w:r w:rsidRPr="00714645">
        <w:t>Office</w:t>
      </w:r>
      <w:r w:rsidRPr="00FA4F1B">
        <w:rPr>
          <w:lang w:val="bg-BG"/>
        </w:rPr>
        <w:t xml:space="preserve">, </w:t>
      </w:r>
      <w:r w:rsidRPr="00714645">
        <w:t>Google</w:t>
      </w:r>
      <w:r w:rsidRPr="00FA4F1B">
        <w:rPr>
          <w:lang w:val="bg-BG"/>
        </w:rPr>
        <w:t xml:space="preserve"> </w:t>
      </w:r>
      <w:r w:rsidRPr="00714645">
        <w:t>Drive</w:t>
      </w:r>
      <w:r w:rsidRPr="00FA4F1B">
        <w:rPr>
          <w:lang w:val="bg-BG"/>
        </w:rPr>
        <w:t xml:space="preserve">, </w:t>
      </w:r>
      <w:r w:rsidRPr="00714645">
        <w:t>Gmail</w:t>
      </w:r>
      <w:r w:rsidRPr="00FA4F1B">
        <w:rPr>
          <w:lang w:val="bg-BG"/>
        </w:rPr>
        <w:t xml:space="preserve"> и др.; умение да учиш бързо и ефективно; интерес към дизайна и създаването на съдържание за реклами; отлична писмена култура; стремеж към усъвършенстване и развитие; креативно мислене; висока отговорност към работните задължения и умение за спазване на поставени срокове; маркетингов опит във </w:t>
      </w:r>
      <w:r w:rsidRPr="00714645">
        <w:t>Facebook</w:t>
      </w:r>
      <w:r w:rsidRPr="00FA4F1B">
        <w:rPr>
          <w:lang w:val="bg-BG"/>
        </w:rPr>
        <w:t xml:space="preserve"> и </w:t>
      </w:r>
      <w:r w:rsidRPr="00714645">
        <w:t>Google</w:t>
      </w:r>
      <w:r w:rsidRPr="00FA4F1B">
        <w:rPr>
          <w:lang w:val="bg-BG"/>
        </w:rPr>
        <w:t xml:space="preserve"> </w:t>
      </w:r>
      <w:r w:rsidRPr="00714645">
        <w:t>ads</w:t>
      </w:r>
      <w:r w:rsidRPr="00FA4F1B">
        <w:rPr>
          <w:lang w:val="bg-BG"/>
        </w:rPr>
        <w:t xml:space="preserve"> е сериозно предимство.</w:t>
      </w:r>
    </w:p>
    <w:p w14:paraId="7F7E6BEB" w14:textId="6638C8D9" w:rsidR="00714645" w:rsidRDefault="00AF6B82" w:rsidP="00533155">
      <w:pPr>
        <w:spacing w:after="120" w:line="276" w:lineRule="auto"/>
        <w:jc w:val="both"/>
      </w:pPr>
      <w:r>
        <w:rPr>
          <w:lang w:val="bg-BG"/>
        </w:rPr>
        <w:t>Стажът е п</w:t>
      </w:r>
      <w:r w:rsidR="00714645" w:rsidRPr="00FA4F1B">
        <w:rPr>
          <w:lang w:val="bg-BG"/>
        </w:rPr>
        <w:t>латен след първия обучителен месец, който е изцяло дистанционен, с гъвкав 8 часов рабо</w:t>
      </w:r>
      <w:r w:rsidRPr="00FA4F1B">
        <w:rPr>
          <w:lang w:val="bg-BG"/>
        </w:rPr>
        <w:t>тен ден от понеделник до петък.</w:t>
      </w:r>
      <w:r w:rsidR="00533155" w:rsidRPr="00FA4F1B">
        <w:rPr>
          <w:lang w:val="bg-BG"/>
        </w:rPr>
        <w:t xml:space="preserve"> </w:t>
      </w:r>
      <w:r w:rsidR="006B798F">
        <w:rPr>
          <w:lang w:val="bg-BG"/>
        </w:rPr>
        <w:t xml:space="preserve"> </w:t>
      </w:r>
      <w:proofErr w:type="spellStart"/>
      <w:r w:rsidR="00714645" w:rsidRPr="00714645">
        <w:t>Кандидатствайте</w:t>
      </w:r>
      <w:proofErr w:type="spellEnd"/>
      <w:r w:rsidR="00714645" w:rsidRPr="00714645">
        <w:t xml:space="preserve"> </w:t>
      </w:r>
      <w:proofErr w:type="spellStart"/>
      <w:r w:rsidR="00714645" w:rsidRPr="00714645">
        <w:t>на</w:t>
      </w:r>
      <w:proofErr w:type="spellEnd"/>
      <w:r w:rsidR="00714645" w:rsidRPr="00714645">
        <w:t> </w:t>
      </w:r>
      <w:proofErr w:type="spellStart"/>
      <w:r w:rsidR="00714645">
        <w:fldChar w:fldCharType="begin"/>
      </w:r>
      <w:r w:rsidR="00714645">
        <w:instrText>HYPERLINK "https://digitalexpert.bg/karieri/stazhant-digitalen-marketing/" \t "_blank"</w:instrText>
      </w:r>
      <w:r w:rsidR="00714645">
        <w:fldChar w:fldCharType="separate"/>
      </w:r>
      <w:r w:rsidR="00714645" w:rsidRPr="00714645">
        <w:rPr>
          <w:rStyle w:val="Hyperlink"/>
        </w:rPr>
        <w:t>страницата</w:t>
      </w:r>
      <w:proofErr w:type="spellEnd"/>
      <w:r w:rsidR="00714645">
        <w:fldChar w:fldCharType="end"/>
      </w:r>
      <w:r w:rsidR="00714645" w:rsidRPr="00714645">
        <w:t>.</w:t>
      </w:r>
    </w:p>
    <w:p w14:paraId="27FC054A" w14:textId="2D3E3B21" w:rsidR="00533155" w:rsidRDefault="00533155" w:rsidP="00533155">
      <w:pPr>
        <w:spacing w:after="600" w:line="276" w:lineRule="auto"/>
        <w:jc w:val="both"/>
        <w:rPr>
          <w:b/>
        </w:rPr>
      </w:pPr>
      <w:proofErr w:type="spellStart"/>
      <w:r w:rsidRPr="00533155">
        <w:rPr>
          <w:b/>
        </w:rPr>
        <w:t>Краен</w:t>
      </w:r>
      <w:proofErr w:type="spellEnd"/>
      <w:r w:rsidRPr="00533155">
        <w:rPr>
          <w:b/>
        </w:rPr>
        <w:t xml:space="preserve"> </w:t>
      </w:r>
      <w:proofErr w:type="spellStart"/>
      <w:r w:rsidRPr="00533155">
        <w:rPr>
          <w:b/>
        </w:rPr>
        <w:t>срок</w:t>
      </w:r>
      <w:proofErr w:type="spellEnd"/>
      <w:r w:rsidRPr="00533155">
        <w:rPr>
          <w:b/>
        </w:rPr>
        <w:t xml:space="preserve">: </w:t>
      </w:r>
      <w:proofErr w:type="spellStart"/>
      <w:r w:rsidRPr="00533155">
        <w:rPr>
          <w:b/>
        </w:rPr>
        <w:t>не</w:t>
      </w:r>
      <w:proofErr w:type="spellEnd"/>
      <w:r w:rsidRPr="00533155">
        <w:rPr>
          <w:b/>
        </w:rPr>
        <w:t xml:space="preserve"> е </w:t>
      </w:r>
      <w:proofErr w:type="spellStart"/>
      <w:r w:rsidRPr="00533155">
        <w:rPr>
          <w:b/>
        </w:rPr>
        <w:t>посочен</w:t>
      </w:r>
      <w:proofErr w:type="spellEnd"/>
    </w:p>
    <w:p w14:paraId="3EE596AA" w14:textId="4EDBAC99" w:rsidR="00B07538" w:rsidRPr="00B07538" w:rsidRDefault="00B07538" w:rsidP="00752280">
      <w:pPr>
        <w:pStyle w:val="Heading2"/>
        <w:ind w:left="284"/>
        <w:rPr>
          <w:lang w:val="en-US"/>
        </w:rPr>
      </w:pPr>
      <w:bookmarkStart w:id="22" w:name="_Toc197365386"/>
      <w:r w:rsidRPr="00B07538">
        <w:rPr>
          <w:lang w:val="en-US"/>
        </w:rPr>
        <w:t>Стаж</w:t>
      </w:r>
      <w:r w:rsidR="00752280">
        <w:rPr>
          <w:lang w:val="en-US"/>
        </w:rPr>
        <w:t xml:space="preserve"> </w:t>
      </w:r>
      <w:r w:rsidR="00752280">
        <w:rPr>
          <w:lang w:val="bg-BG"/>
        </w:rPr>
        <w:t>в застрахователна компания „</w:t>
      </w:r>
      <w:proofErr w:type="gramStart"/>
      <w:r w:rsidR="00752280">
        <w:rPr>
          <w:lang w:val="bg-BG"/>
        </w:rPr>
        <w:t>Групама“</w:t>
      </w:r>
      <w:bookmarkEnd w:id="22"/>
      <w:proofErr w:type="gramEnd"/>
    </w:p>
    <w:p w14:paraId="7306DBE6" w14:textId="77777777" w:rsidR="00B07538" w:rsidRPr="00B07538" w:rsidRDefault="00B07538" w:rsidP="00752280">
      <w:pPr>
        <w:spacing w:before="120" w:line="276" w:lineRule="auto"/>
        <w:jc w:val="both"/>
        <w:rPr>
          <w:lang w:val="en-US"/>
        </w:rPr>
      </w:pPr>
      <w:proofErr w:type="spellStart"/>
      <w:r w:rsidRPr="00752280">
        <w:rPr>
          <w:bCs/>
          <w:lang w:val="en-US"/>
        </w:rPr>
        <w:t>Групама</w:t>
      </w:r>
      <w:proofErr w:type="spellEnd"/>
      <w:r w:rsidRPr="00752280">
        <w:rPr>
          <w:bCs/>
          <w:lang w:val="en-US"/>
        </w:rPr>
        <w:t xml:space="preserve"> в България</w:t>
      </w:r>
      <w:r w:rsidRPr="00B07538">
        <w:rPr>
          <w:lang w:val="en-US"/>
        </w:rPr>
        <w:t xml:space="preserve"> е </w:t>
      </w:r>
      <w:proofErr w:type="spellStart"/>
      <w:r w:rsidRPr="00B07538">
        <w:rPr>
          <w:lang w:val="en-US"/>
        </w:rPr>
        <w:t>застрахователно</w:t>
      </w:r>
      <w:proofErr w:type="spellEnd"/>
      <w:r w:rsidRPr="00B07538">
        <w:rPr>
          <w:lang w:val="en-US"/>
        </w:rPr>
        <w:t xml:space="preserve"> </w:t>
      </w:r>
      <w:proofErr w:type="spellStart"/>
      <w:r w:rsidRPr="00B07538">
        <w:rPr>
          <w:lang w:val="en-US"/>
        </w:rPr>
        <w:t>дружество</w:t>
      </w:r>
      <w:proofErr w:type="spellEnd"/>
      <w:r w:rsidRPr="00B07538">
        <w:rPr>
          <w:lang w:val="en-US"/>
        </w:rPr>
        <w:t xml:space="preserve">, </w:t>
      </w:r>
      <w:proofErr w:type="spellStart"/>
      <w:r w:rsidRPr="00B07538">
        <w:rPr>
          <w:lang w:val="en-US"/>
        </w:rPr>
        <w:t>част</w:t>
      </w:r>
      <w:proofErr w:type="spellEnd"/>
      <w:r w:rsidRPr="00B07538">
        <w:rPr>
          <w:lang w:val="en-US"/>
        </w:rPr>
        <w:t xml:space="preserve"> </w:t>
      </w:r>
      <w:proofErr w:type="spellStart"/>
      <w:r w:rsidRPr="00B07538">
        <w:rPr>
          <w:lang w:val="en-US"/>
        </w:rPr>
        <w:t>от</w:t>
      </w:r>
      <w:proofErr w:type="spellEnd"/>
      <w:r w:rsidRPr="00B07538">
        <w:rPr>
          <w:lang w:val="en-US"/>
        </w:rPr>
        <w:t xml:space="preserve"> Groupama Assurances </w:t>
      </w:r>
      <w:proofErr w:type="spellStart"/>
      <w:r w:rsidRPr="00B07538">
        <w:rPr>
          <w:lang w:val="en-US"/>
        </w:rPr>
        <w:t>Mutuelles</w:t>
      </w:r>
      <w:proofErr w:type="spellEnd"/>
      <w:r w:rsidRPr="00B07538">
        <w:rPr>
          <w:lang w:val="en-US"/>
        </w:rPr>
        <w:t>:</w:t>
      </w:r>
    </w:p>
    <w:p w14:paraId="52677A00" w14:textId="77777777" w:rsidR="00B07538" w:rsidRPr="00B07538" w:rsidRDefault="00B07538" w:rsidP="00752280">
      <w:pPr>
        <w:spacing w:before="120" w:line="276" w:lineRule="auto"/>
        <w:jc w:val="both"/>
        <w:rPr>
          <w:lang w:val="en-US"/>
        </w:rPr>
      </w:pPr>
      <w:proofErr w:type="spellStart"/>
      <w:r w:rsidRPr="00B07538">
        <w:rPr>
          <w:lang w:val="en-US"/>
        </w:rPr>
        <w:t>Обслужвайки</w:t>
      </w:r>
      <w:proofErr w:type="spellEnd"/>
      <w:r w:rsidRPr="00B07538">
        <w:rPr>
          <w:lang w:val="en-US"/>
        </w:rPr>
        <w:t xml:space="preserve"> </w:t>
      </w:r>
      <w:proofErr w:type="spellStart"/>
      <w:r w:rsidRPr="00B07538">
        <w:rPr>
          <w:lang w:val="en-US"/>
        </w:rPr>
        <w:t>множество</w:t>
      </w:r>
      <w:proofErr w:type="spellEnd"/>
      <w:r w:rsidRPr="00B07538">
        <w:rPr>
          <w:lang w:val="en-US"/>
        </w:rPr>
        <w:t xml:space="preserve"> </w:t>
      </w:r>
      <w:proofErr w:type="spellStart"/>
      <w:r w:rsidRPr="00B07538">
        <w:rPr>
          <w:lang w:val="en-US"/>
        </w:rPr>
        <w:t>канали</w:t>
      </w:r>
      <w:proofErr w:type="spellEnd"/>
      <w:r w:rsidRPr="00B07538">
        <w:rPr>
          <w:lang w:val="en-US"/>
        </w:rPr>
        <w:t xml:space="preserve"> </w:t>
      </w:r>
      <w:proofErr w:type="spellStart"/>
      <w:r w:rsidRPr="00B07538">
        <w:rPr>
          <w:lang w:val="en-US"/>
        </w:rPr>
        <w:t>за</w:t>
      </w:r>
      <w:proofErr w:type="spellEnd"/>
      <w:r w:rsidRPr="00B07538">
        <w:rPr>
          <w:lang w:val="en-US"/>
        </w:rPr>
        <w:t xml:space="preserve"> </w:t>
      </w:r>
      <w:proofErr w:type="spellStart"/>
      <w:r w:rsidRPr="00B07538">
        <w:rPr>
          <w:lang w:val="en-US"/>
        </w:rPr>
        <w:t>дистрибуция</w:t>
      </w:r>
      <w:proofErr w:type="spellEnd"/>
      <w:r w:rsidRPr="00B07538">
        <w:rPr>
          <w:lang w:val="en-US"/>
        </w:rPr>
        <w:t xml:space="preserve">, </w:t>
      </w:r>
      <w:proofErr w:type="spellStart"/>
      <w:r w:rsidRPr="00B07538">
        <w:rPr>
          <w:lang w:val="en-US"/>
        </w:rPr>
        <w:t>Групама</w:t>
      </w:r>
      <w:proofErr w:type="spellEnd"/>
      <w:r w:rsidRPr="00B07538">
        <w:rPr>
          <w:lang w:val="en-US"/>
        </w:rPr>
        <w:t xml:space="preserve"> е и </w:t>
      </w:r>
      <w:proofErr w:type="spellStart"/>
      <w:r w:rsidRPr="00B07538">
        <w:rPr>
          <w:lang w:val="en-US"/>
        </w:rPr>
        <w:t>изключителен</w:t>
      </w:r>
      <w:proofErr w:type="spellEnd"/>
      <w:r w:rsidRPr="00B07538">
        <w:rPr>
          <w:lang w:val="en-US"/>
        </w:rPr>
        <w:t xml:space="preserve"> </w:t>
      </w:r>
      <w:proofErr w:type="spellStart"/>
      <w:r w:rsidRPr="00B07538">
        <w:rPr>
          <w:lang w:val="en-US"/>
        </w:rPr>
        <w:t>партньор</w:t>
      </w:r>
      <w:proofErr w:type="spellEnd"/>
      <w:r w:rsidRPr="00B07538">
        <w:rPr>
          <w:lang w:val="en-US"/>
        </w:rPr>
        <w:t xml:space="preserve"> </w:t>
      </w:r>
      <w:proofErr w:type="spellStart"/>
      <w:r w:rsidRPr="00B07538">
        <w:rPr>
          <w:lang w:val="en-US"/>
        </w:rPr>
        <w:t>на</w:t>
      </w:r>
      <w:proofErr w:type="spellEnd"/>
      <w:r w:rsidRPr="00B07538">
        <w:rPr>
          <w:lang w:val="en-US"/>
        </w:rPr>
        <w:t xml:space="preserve"> </w:t>
      </w:r>
      <w:proofErr w:type="spellStart"/>
      <w:r w:rsidRPr="00B07538">
        <w:rPr>
          <w:lang w:val="en-US"/>
        </w:rPr>
        <w:t>Банка</w:t>
      </w:r>
      <w:proofErr w:type="spellEnd"/>
      <w:r w:rsidRPr="00B07538">
        <w:rPr>
          <w:lang w:val="en-US"/>
        </w:rPr>
        <w:t xml:space="preserve"> ДСК.</w:t>
      </w:r>
    </w:p>
    <w:p w14:paraId="66C02F0F" w14:textId="40DF6EBC" w:rsidR="00B07538" w:rsidRPr="00B07538" w:rsidRDefault="00B07538" w:rsidP="00752280">
      <w:pPr>
        <w:spacing w:before="120" w:line="276" w:lineRule="auto"/>
        <w:jc w:val="both"/>
        <w:rPr>
          <w:lang w:val="en-US"/>
        </w:rPr>
      </w:pPr>
      <w:r w:rsidRPr="00B07538">
        <w:rPr>
          <w:lang w:val="en-US"/>
        </w:rPr>
        <w:t xml:space="preserve">В </w:t>
      </w:r>
      <w:r w:rsidR="00752280">
        <w:rPr>
          <w:lang w:val="bg-BG"/>
        </w:rPr>
        <w:t xml:space="preserve">стремежа си </w:t>
      </w:r>
      <w:proofErr w:type="spellStart"/>
      <w:r w:rsidRPr="00B07538">
        <w:rPr>
          <w:lang w:val="en-US"/>
        </w:rPr>
        <w:t>за</w:t>
      </w:r>
      <w:proofErr w:type="spellEnd"/>
      <w:r w:rsidRPr="00B07538">
        <w:rPr>
          <w:lang w:val="en-US"/>
        </w:rPr>
        <w:t xml:space="preserve"> </w:t>
      </w:r>
      <w:proofErr w:type="spellStart"/>
      <w:r w:rsidRPr="00B07538">
        <w:rPr>
          <w:lang w:val="en-US"/>
        </w:rPr>
        <w:t>постоянно</w:t>
      </w:r>
      <w:proofErr w:type="spellEnd"/>
      <w:r w:rsidRPr="00B07538">
        <w:rPr>
          <w:lang w:val="en-US"/>
        </w:rPr>
        <w:t xml:space="preserve"> </w:t>
      </w:r>
      <w:proofErr w:type="spellStart"/>
      <w:r w:rsidRPr="00B07538">
        <w:rPr>
          <w:lang w:val="en-US"/>
        </w:rPr>
        <w:t>развитие</w:t>
      </w:r>
      <w:proofErr w:type="spellEnd"/>
      <w:r w:rsidRPr="00B07538">
        <w:rPr>
          <w:lang w:val="en-US"/>
        </w:rPr>
        <w:t xml:space="preserve"> и </w:t>
      </w:r>
      <w:proofErr w:type="spellStart"/>
      <w:r w:rsidRPr="00B07538">
        <w:rPr>
          <w:lang w:val="en-US"/>
        </w:rPr>
        <w:t>напредък</w:t>
      </w:r>
      <w:proofErr w:type="spellEnd"/>
      <w:r w:rsidRPr="00B07538">
        <w:rPr>
          <w:lang w:val="en-US"/>
        </w:rPr>
        <w:t xml:space="preserve">, </w:t>
      </w:r>
      <w:r w:rsidR="00752280">
        <w:rPr>
          <w:lang w:val="bg-BG"/>
        </w:rPr>
        <w:t xml:space="preserve">компанията </w:t>
      </w:r>
      <w:proofErr w:type="spellStart"/>
      <w:r w:rsidRPr="00B07538">
        <w:rPr>
          <w:lang w:val="en-US"/>
        </w:rPr>
        <w:t>търси</w:t>
      </w:r>
      <w:proofErr w:type="spellEnd"/>
      <w:r w:rsidRPr="00B07538">
        <w:rPr>
          <w:lang w:val="en-US"/>
        </w:rPr>
        <w:t xml:space="preserve"> </w:t>
      </w:r>
      <w:proofErr w:type="spellStart"/>
      <w:r w:rsidRPr="00B07538">
        <w:rPr>
          <w:lang w:val="en-US"/>
        </w:rPr>
        <w:t>отговорен</w:t>
      </w:r>
      <w:proofErr w:type="spellEnd"/>
      <w:r w:rsidRPr="00B07538">
        <w:rPr>
          <w:lang w:val="en-US"/>
        </w:rPr>
        <w:t xml:space="preserve"> и </w:t>
      </w:r>
      <w:proofErr w:type="spellStart"/>
      <w:r w:rsidRPr="00B07538">
        <w:rPr>
          <w:lang w:val="en-US"/>
        </w:rPr>
        <w:t>мотивиран</w:t>
      </w:r>
      <w:proofErr w:type="spellEnd"/>
      <w:r w:rsidRPr="00B07538">
        <w:rPr>
          <w:lang w:val="en-US"/>
        </w:rPr>
        <w:t xml:space="preserve"> </w:t>
      </w:r>
      <w:proofErr w:type="spellStart"/>
      <w:r w:rsidRPr="00B07538">
        <w:rPr>
          <w:lang w:val="en-US"/>
        </w:rPr>
        <w:t>стажант</w:t>
      </w:r>
      <w:proofErr w:type="spellEnd"/>
      <w:r w:rsidRPr="00B07538">
        <w:rPr>
          <w:lang w:val="en-US"/>
        </w:rPr>
        <w:t xml:space="preserve"> </w:t>
      </w:r>
      <w:proofErr w:type="spellStart"/>
      <w:r w:rsidRPr="00B07538">
        <w:rPr>
          <w:lang w:val="en-US"/>
        </w:rPr>
        <w:t>за</w:t>
      </w:r>
      <w:proofErr w:type="spellEnd"/>
      <w:r w:rsidRPr="00B07538">
        <w:rPr>
          <w:lang w:val="en-US"/>
        </w:rPr>
        <w:t xml:space="preserve"> отдел „</w:t>
      </w:r>
      <w:proofErr w:type="spellStart"/>
      <w:r w:rsidRPr="00B07538">
        <w:rPr>
          <w:lang w:val="en-US"/>
        </w:rPr>
        <w:t>Офис</w:t>
      </w:r>
      <w:proofErr w:type="spellEnd"/>
      <w:r w:rsidRPr="00B07538">
        <w:rPr>
          <w:lang w:val="en-US"/>
        </w:rPr>
        <w:t xml:space="preserve"> </w:t>
      </w:r>
      <w:proofErr w:type="spellStart"/>
      <w:proofErr w:type="gramStart"/>
      <w:r w:rsidRPr="00B07538">
        <w:rPr>
          <w:lang w:val="en-US"/>
        </w:rPr>
        <w:t>Мениджмънт</w:t>
      </w:r>
      <w:proofErr w:type="spellEnd"/>
      <w:r w:rsidRPr="00B07538">
        <w:rPr>
          <w:lang w:val="en-US"/>
        </w:rPr>
        <w:t>“</w:t>
      </w:r>
      <w:proofErr w:type="gramEnd"/>
      <w:r w:rsidRPr="00B07538">
        <w:rPr>
          <w:lang w:val="en-US"/>
        </w:rPr>
        <w:t xml:space="preserve">. </w:t>
      </w:r>
      <w:r w:rsidR="00752280">
        <w:rPr>
          <w:lang w:val="bg-BG"/>
        </w:rPr>
        <w:t xml:space="preserve">Това е </w:t>
      </w:r>
      <w:proofErr w:type="spellStart"/>
      <w:r w:rsidRPr="00B07538">
        <w:rPr>
          <w:lang w:val="en-US"/>
        </w:rPr>
        <w:t>възможност</w:t>
      </w:r>
      <w:proofErr w:type="spellEnd"/>
      <w:r w:rsidRPr="00B07538">
        <w:rPr>
          <w:lang w:val="en-US"/>
        </w:rPr>
        <w:t xml:space="preserve"> </w:t>
      </w:r>
      <w:proofErr w:type="spellStart"/>
      <w:r w:rsidRPr="00B07538">
        <w:rPr>
          <w:lang w:val="en-US"/>
        </w:rPr>
        <w:t>за</w:t>
      </w:r>
      <w:proofErr w:type="spellEnd"/>
      <w:r w:rsidRPr="00B07538">
        <w:rPr>
          <w:lang w:val="en-US"/>
        </w:rPr>
        <w:t xml:space="preserve"> </w:t>
      </w:r>
      <w:proofErr w:type="spellStart"/>
      <w:r w:rsidRPr="00B07538">
        <w:rPr>
          <w:lang w:val="en-US"/>
        </w:rPr>
        <w:t>тези</w:t>
      </w:r>
      <w:proofErr w:type="spellEnd"/>
      <w:r w:rsidRPr="00B07538">
        <w:rPr>
          <w:lang w:val="en-US"/>
        </w:rPr>
        <w:t xml:space="preserve">, </w:t>
      </w:r>
      <w:proofErr w:type="spellStart"/>
      <w:r w:rsidRPr="00B07538">
        <w:rPr>
          <w:lang w:val="en-US"/>
        </w:rPr>
        <w:t>които</w:t>
      </w:r>
      <w:proofErr w:type="spellEnd"/>
      <w:r w:rsidRPr="00B07538">
        <w:rPr>
          <w:lang w:val="en-US"/>
        </w:rPr>
        <w:t xml:space="preserve"> </w:t>
      </w:r>
      <w:proofErr w:type="spellStart"/>
      <w:r w:rsidRPr="00B07538">
        <w:rPr>
          <w:lang w:val="en-US"/>
        </w:rPr>
        <w:t>искат</w:t>
      </w:r>
      <w:proofErr w:type="spellEnd"/>
      <w:r w:rsidRPr="00B07538">
        <w:rPr>
          <w:lang w:val="en-US"/>
        </w:rPr>
        <w:t xml:space="preserve"> </w:t>
      </w:r>
      <w:proofErr w:type="spellStart"/>
      <w:r w:rsidRPr="00B07538">
        <w:rPr>
          <w:lang w:val="en-US"/>
        </w:rPr>
        <w:t>да</w:t>
      </w:r>
      <w:proofErr w:type="spellEnd"/>
      <w:r w:rsidRPr="00B07538">
        <w:rPr>
          <w:lang w:val="en-US"/>
        </w:rPr>
        <w:t xml:space="preserve"> </w:t>
      </w:r>
      <w:proofErr w:type="spellStart"/>
      <w:r w:rsidRPr="00B07538">
        <w:rPr>
          <w:lang w:val="en-US"/>
        </w:rPr>
        <w:t>развият</w:t>
      </w:r>
      <w:proofErr w:type="spellEnd"/>
      <w:r w:rsidRPr="00B07538">
        <w:rPr>
          <w:lang w:val="en-US"/>
        </w:rPr>
        <w:t xml:space="preserve"> </w:t>
      </w:r>
      <w:proofErr w:type="spellStart"/>
      <w:r w:rsidRPr="00B07538">
        <w:rPr>
          <w:lang w:val="en-US"/>
        </w:rPr>
        <w:t>организационни</w:t>
      </w:r>
      <w:proofErr w:type="spellEnd"/>
      <w:r w:rsidRPr="00B07538">
        <w:rPr>
          <w:lang w:val="en-US"/>
        </w:rPr>
        <w:t xml:space="preserve"> и </w:t>
      </w:r>
      <w:proofErr w:type="spellStart"/>
      <w:r w:rsidRPr="00B07538">
        <w:rPr>
          <w:lang w:val="en-US"/>
        </w:rPr>
        <w:t>комуникационни</w:t>
      </w:r>
      <w:proofErr w:type="spellEnd"/>
      <w:r w:rsidRPr="00B07538">
        <w:rPr>
          <w:lang w:val="en-US"/>
        </w:rPr>
        <w:t xml:space="preserve"> </w:t>
      </w:r>
      <w:proofErr w:type="spellStart"/>
      <w:r w:rsidRPr="00B07538">
        <w:rPr>
          <w:lang w:val="en-US"/>
        </w:rPr>
        <w:t>умения</w:t>
      </w:r>
      <w:proofErr w:type="spellEnd"/>
      <w:r w:rsidR="00752280">
        <w:rPr>
          <w:lang w:val="bg-BG"/>
        </w:rPr>
        <w:t>,</w:t>
      </w:r>
      <w:r w:rsidRPr="00B07538">
        <w:rPr>
          <w:lang w:val="en-US"/>
        </w:rPr>
        <w:t xml:space="preserve"> и </w:t>
      </w:r>
      <w:proofErr w:type="spellStart"/>
      <w:r w:rsidRPr="00B07538">
        <w:rPr>
          <w:lang w:val="en-US"/>
        </w:rPr>
        <w:t>да</w:t>
      </w:r>
      <w:proofErr w:type="spellEnd"/>
      <w:r w:rsidRPr="00B07538">
        <w:rPr>
          <w:lang w:val="en-US"/>
        </w:rPr>
        <w:t xml:space="preserve"> </w:t>
      </w:r>
      <w:proofErr w:type="spellStart"/>
      <w:r w:rsidRPr="00B07538">
        <w:rPr>
          <w:lang w:val="en-US"/>
        </w:rPr>
        <w:t>се</w:t>
      </w:r>
      <w:proofErr w:type="spellEnd"/>
      <w:r w:rsidRPr="00B07538">
        <w:rPr>
          <w:lang w:val="en-US"/>
        </w:rPr>
        <w:t xml:space="preserve"> </w:t>
      </w:r>
      <w:proofErr w:type="spellStart"/>
      <w:r w:rsidRPr="00B07538">
        <w:rPr>
          <w:lang w:val="en-US"/>
        </w:rPr>
        <w:t>запознаят</w:t>
      </w:r>
      <w:proofErr w:type="spellEnd"/>
      <w:r w:rsidRPr="00B07538">
        <w:rPr>
          <w:lang w:val="en-US"/>
        </w:rPr>
        <w:t xml:space="preserve"> </w:t>
      </w:r>
      <w:proofErr w:type="spellStart"/>
      <w:r w:rsidRPr="00B07538">
        <w:rPr>
          <w:lang w:val="en-US"/>
        </w:rPr>
        <w:t>отблизо</w:t>
      </w:r>
      <w:proofErr w:type="spellEnd"/>
      <w:r w:rsidRPr="00B07538">
        <w:rPr>
          <w:lang w:val="en-US"/>
        </w:rPr>
        <w:t xml:space="preserve"> с </w:t>
      </w:r>
      <w:proofErr w:type="spellStart"/>
      <w:r w:rsidRPr="00B07538">
        <w:rPr>
          <w:lang w:val="en-US"/>
        </w:rPr>
        <w:t>работата</w:t>
      </w:r>
      <w:proofErr w:type="spellEnd"/>
      <w:r w:rsidRPr="00B07538">
        <w:rPr>
          <w:lang w:val="en-US"/>
        </w:rPr>
        <w:t xml:space="preserve"> в </w:t>
      </w:r>
      <w:proofErr w:type="spellStart"/>
      <w:r w:rsidRPr="00B07538">
        <w:rPr>
          <w:lang w:val="en-US"/>
        </w:rPr>
        <w:t>застрахователната</w:t>
      </w:r>
      <w:proofErr w:type="spellEnd"/>
      <w:r w:rsidRPr="00B07538">
        <w:rPr>
          <w:lang w:val="en-US"/>
        </w:rPr>
        <w:t xml:space="preserve"> </w:t>
      </w:r>
      <w:proofErr w:type="spellStart"/>
      <w:r w:rsidRPr="00B07538">
        <w:rPr>
          <w:lang w:val="en-US"/>
        </w:rPr>
        <w:t>индустрия</w:t>
      </w:r>
      <w:proofErr w:type="spellEnd"/>
      <w:r w:rsidRPr="00B07538">
        <w:rPr>
          <w:lang w:val="en-US"/>
        </w:rPr>
        <w:t>.</w:t>
      </w:r>
    </w:p>
    <w:p w14:paraId="75DA4337" w14:textId="77777777" w:rsidR="00B07538" w:rsidRPr="00752280" w:rsidRDefault="00B07538" w:rsidP="00752280">
      <w:pPr>
        <w:spacing w:line="276" w:lineRule="auto"/>
        <w:jc w:val="both"/>
        <w:rPr>
          <w:lang w:val="en-US"/>
        </w:rPr>
      </w:pPr>
      <w:proofErr w:type="spellStart"/>
      <w:r w:rsidRPr="00752280">
        <w:rPr>
          <w:bCs/>
          <w:lang w:val="en-US"/>
        </w:rPr>
        <w:t>Основните</w:t>
      </w:r>
      <w:proofErr w:type="spellEnd"/>
      <w:r w:rsidRPr="00752280">
        <w:rPr>
          <w:bCs/>
          <w:lang w:val="en-US"/>
        </w:rPr>
        <w:t xml:space="preserve"> </w:t>
      </w:r>
      <w:proofErr w:type="spellStart"/>
      <w:r w:rsidRPr="00752280">
        <w:rPr>
          <w:bCs/>
          <w:lang w:val="en-US"/>
        </w:rPr>
        <w:t>дейности</w:t>
      </w:r>
      <w:proofErr w:type="spellEnd"/>
      <w:r w:rsidRPr="00752280">
        <w:rPr>
          <w:bCs/>
          <w:lang w:val="en-US"/>
        </w:rPr>
        <w:t xml:space="preserve"> и </w:t>
      </w:r>
      <w:proofErr w:type="spellStart"/>
      <w:r w:rsidRPr="00752280">
        <w:rPr>
          <w:bCs/>
          <w:lang w:val="en-US"/>
        </w:rPr>
        <w:t>задължения</w:t>
      </w:r>
      <w:proofErr w:type="spellEnd"/>
      <w:r w:rsidRPr="00752280">
        <w:rPr>
          <w:bCs/>
          <w:lang w:val="en-US"/>
        </w:rPr>
        <w:t xml:space="preserve"> </w:t>
      </w:r>
      <w:proofErr w:type="spellStart"/>
      <w:r w:rsidRPr="00752280">
        <w:rPr>
          <w:bCs/>
          <w:lang w:val="en-US"/>
        </w:rPr>
        <w:t>на</w:t>
      </w:r>
      <w:proofErr w:type="spellEnd"/>
      <w:r w:rsidRPr="00752280">
        <w:rPr>
          <w:bCs/>
          <w:lang w:val="en-US"/>
        </w:rPr>
        <w:t xml:space="preserve"> </w:t>
      </w:r>
      <w:proofErr w:type="spellStart"/>
      <w:r w:rsidRPr="00752280">
        <w:rPr>
          <w:bCs/>
          <w:lang w:val="en-US"/>
        </w:rPr>
        <w:t>стажанта</w:t>
      </w:r>
      <w:proofErr w:type="spellEnd"/>
      <w:r w:rsidRPr="00752280">
        <w:rPr>
          <w:bCs/>
          <w:lang w:val="en-US"/>
        </w:rPr>
        <w:t xml:space="preserve"> в отдел „</w:t>
      </w:r>
      <w:proofErr w:type="spellStart"/>
      <w:r w:rsidRPr="00752280">
        <w:rPr>
          <w:bCs/>
          <w:lang w:val="en-US"/>
        </w:rPr>
        <w:t>Офис</w:t>
      </w:r>
      <w:proofErr w:type="spellEnd"/>
      <w:r w:rsidRPr="00752280">
        <w:rPr>
          <w:bCs/>
          <w:lang w:val="en-US"/>
        </w:rPr>
        <w:t xml:space="preserve"> </w:t>
      </w:r>
      <w:proofErr w:type="spellStart"/>
      <w:proofErr w:type="gramStart"/>
      <w:r w:rsidRPr="00752280">
        <w:rPr>
          <w:bCs/>
          <w:lang w:val="en-US"/>
        </w:rPr>
        <w:t>Мениджмънт</w:t>
      </w:r>
      <w:proofErr w:type="spellEnd"/>
      <w:r w:rsidRPr="00752280">
        <w:rPr>
          <w:bCs/>
          <w:lang w:val="en-US"/>
        </w:rPr>
        <w:t xml:space="preserve">“ </w:t>
      </w:r>
      <w:proofErr w:type="spellStart"/>
      <w:r w:rsidRPr="00752280">
        <w:rPr>
          <w:bCs/>
          <w:lang w:val="en-US"/>
        </w:rPr>
        <w:t>са</w:t>
      </w:r>
      <w:proofErr w:type="spellEnd"/>
      <w:proofErr w:type="gramEnd"/>
      <w:r w:rsidRPr="00752280">
        <w:rPr>
          <w:bCs/>
          <w:lang w:val="en-US"/>
        </w:rPr>
        <w:t xml:space="preserve"> </w:t>
      </w:r>
      <w:proofErr w:type="spellStart"/>
      <w:r w:rsidRPr="00752280">
        <w:rPr>
          <w:bCs/>
          <w:lang w:val="en-US"/>
        </w:rPr>
        <w:t>свързани</w:t>
      </w:r>
      <w:proofErr w:type="spellEnd"/>
      <w:r w:rsidRPr="00752280">
        <w:rPr>
          <w:bCs/>
          <w:lang w:val="en-US"/>
        </w:rPr>
        <w:t xml:space="preserve"> с:</w:t>
      </w:r>
    </w:p>
    <w:p w14:paraId="51517CFB" w14:textId="77777777" w:rsidR="00B07538" w:rsidRPr="00B07538" w:rsidRDefault="00B07538" w:rsidP="005D1D65">
      <w:pPr>
        <w:numPr>
          <w:ilvl w:val="0"/>
          <w:numId w:val="3"/>
        </w:numPr>
        <w:spacing w:line="276" w:lineRule="auto"/>
        <w:jc w:val="both"/>
        <w:rPr>
          <w:lang w:val="en-US"/>
        </w:rPr>
      </w:pPr>
      <w:proofErr w:type="spellStart"/>
      <w:r w:rsidRPr="00B07538">
        <w:rPr>
          <w:lang w:val="en-US"/>
        </w:rPr>
        <w:t>Посрещане</w:t>
      </w:r>
      <w:proofErr w:type="spellEnd"/>
      <w:r w:rsidRPr="00B07538">
        <w:rPr>
          <w:lang w:val="en-US"/>
        </w:rPr>
        <w:t xml:space="preserve"> и </w:t>
      </w:r>
      <w:proofErr w:type="spellStart"/>
      <w:r w:rsidRPr="00B07538">
        <w:rPr>
          <w:lang w:val="en-US"/>
        </w:rPr>
        <w:t>насочване</w:t>
      </w:r>
      <w:proofErr w:type="spellEnd"/>
      <w:r w:rsidRPr="00B07538">
        <w:rPr>
          <w:lang w:val="en-US"/>
        </w:rPr>
        <w:t xml:space="preserve"> </w:t>
      </w:r>
      <w:proofErr w:type="spellStart"/>
      <w:r w:rsidRPr="00B07538">
        <w:rPr>
          <w:lang w:val="en-US"/>
        </w:rPr>
        <w:t>клиенти</w:t>
      </w:r>
      <w:proofErr w:type="spellEnd"/>
      <w:r w:rsidRPr="00B07538">
        <w:rPr>
          <w:lang w:val="en-US"/>
        </w:rPr>
        <w:t xml:space="preserve">, </w:t>
      </w:r>
      <w:proofErr w:type="spellStart"/>
      <w:r w:rsidRPr="00B07538">
        <w:rPr>
          <w:lang w:val="en-US"/>
        </w:rPr>
        <w:t>външни</w:t>
      </w:r>
      <w:proofErr w:type="spellEnd"/>
      <w:r w:rsidRPr="00B07538">
        <w:rPr>
          <w:lang w:val="en-US"/>
        </w:rPr>
        <w:t xml:space="preserve"> </w:t>
      </w:r>
      <w:proofErr w:type="spellStart"/>
      <w:r w:rsidRPr="00B07538">
        <w:rPr>
          <w:lang w:val="en-US"/>
        </w:rPr>
        <w:t>посетители</w:t>
      </w:r>
      <w:proofErr w:type="spellEnd"/>
      <w:r w:rsidRPr="00B07538">
        <w:rPr>
          <w:lang w:val="en-US"/>
        </w:rPr>
        <w:t xml:space="preserve"> и </w:t>
      </w:r>
      <w:proofErr w:type="spellStart"/>
      <w:r w:rsidRPr="00B07538">
        <w:rPr>
          <w:lang w:val="en-US"/>
        </w:rPr>
        <w:t>гости</w:t>
      </w:r>
      <w:proofErr w:type="spellEnd"/>
      <w:r w:rsidRPr="00B07538">
        <w:rPr>
          <w:lang w:val="en-US"/>
        </w:rPr>
        <w:t xml:space="preserve"> </w:t>
      </w:r>
      <w:proofErr w:type="spellStart"/>
      <w:r w:rsidRPr="00B07538">
        <w:rPr>
          <w:lang w:val="en-US"/>
        </w:rPr>
        <w:t>на</w:t>
      </w:r>
      <w:proofErr w:type="spellEnd"/>
      <w:r w:rsidRPr="00B07538">
        <w:rPr>
          <w:lang w:val="en-US"/>
        </w:rPr>
        <w:t xml:space="preserve"> </w:t>
      </w:r>
      <w:proofErr w:type="spellStart"/>
      <w:r w:rsidRPr="00B07538">
        <w:rPr>
          <w:lang w:val="en-US"/>
        </w:rPr>
        <w:t>компанията</w:t>
      </w:r>
      <w:proofErr w:type="spellEnd"/>
      <w:r w:rsidRPr="00B07538">
        <w:rPr>
          <w:lang w:val="en-US"/>
        </w:rPr>
        <w:t>,</w:t>
      </w:r>
    </w:p>
    <w:p w14:paraId="3E348785" w14:textId="77777777" w:rsidR="00B07538" w:rsidRPr="00B07538" w:rsidRDefault="00B07538" w:rsidP="005D1D65">
      <w:pPr>
        <w:numPr>
          <w:ilvl w:val="0"/>
          <w:numId w:val="3"/>
        </w:numPr>
        <w:spacing w:line="276" w:lineRule="auto"/>
        <w:jc w:val="both"/>
        <w:rPr>
          <w:lang w:val="en-US"/>
        </w:rPr>
      </w:pPr>
      <w:proofErr w:type="spellStart"/>
      <w:r w:rsidRPr="00B07538">
        <w:rPr>
          <w:lang w:val="en-US"/>
        </w:rPr>
        <w:t>Приемане</w:t>
      </w:r>
      <w:proofErr w:type="spellEnd"/>
      <w:r w:rsidRPr="00B07538">
        <w:rPr>
          <w:lang w:val="en-US"/>
        </w:rPr>
        <w:t xml:space="preserve">, </w:t>
      </w:r>
      <w:proofErr w:type="spellStart"/>
      <w:r w:rsidRPr="00B07538">
        <w:rPr>
          <w:lang w:val="en-US"/>
        </w:rPr>
        <w:t>изпращане</w:t>
      </w:r>
      <w:proofErr w:type="spellEnd"/>
      <w:r w:rsidRPr="00B07538">
        <w:rPr>
          <w:lang w:val="en-US"/>
        </w:rPr>
        <w:t xml:space="preserve"> и </w:t>
      </w:r>
      <w:proofErr w:type="spellStart"/>
      <w:r w:rsidRPr="00B07538">
        <w:rPr>
          <w:lang w:val="en-US"/>
        </w:rPr>
        <w:t>разпределяне</w:t>
      </w:r>
      <w:proofErr w:type="spellEnd"/>
      <w:r w:rsidRPr="00B07538">
        <w:rPr>
          <w:lang w:val="en-US"/>
        </w:rPr>
        <w:t xml:space="preserve"> </w:t>
      </w:r>
      <w:proofErr w:type="spellStart"/>
      <w:r w:rsidRPr="00B07538">
        <w:rPr>
          <w:lang w:val="en-US"/>
        </w:rPr>
        <w:t>на</w:t>
      </w:r>
      <w:proofErr w:type="spellEnd"/>
      <w:r w:rsidRPr="00B07538">
        <w:rPr>
          <w:lang w:val="en-US"/>
        </w:rPr>
        <w:t xml:space="preserve"> </w:t>
      </w:r>
      <w:proofErr w:type="spellStart"/>
      <w:r w:rsidRPr="00B07538">
        <w:rPr>
          <w:lang w:val="en-US"/>
        </w:rPr>
        <w:t>пратки</w:t>
      </w:r>
      <w:proofErr w:type="spellEnd"/>
      <w:r w:rsidRPr="00B07538">
        <w:rPr>
          <w:lang w:val="en-US"/>
        </w:rPr>
        <w:t xml:space="preserve"> и </w:t>
      </w:r>
      <w:proofErr w:type="spellStart"/>
      <w:r w:rsidRPr="00B07538">
        <w:rPr>
          <w:lang w:val="en-US"/>
        </w:rPr>
        <w:t>документи</w:t>
      </w:r>
      <w:proofErr w:type="spellEnd"/>
      <w:r w:rsidRPr="00B07538">
        <w:rPr>
          <w:lang w:val="en-US"/>
        </w:rPr>
        <w:t>,</w:t>
      </w:r>
    </w:p>
    <w:p w14:paraId="003FC719" w14:textId="77777777" w:rsidR="00B07538" w:rsidRPr="00B07538" w:rsidRDefault="00B07538" w:rsidP="005D1D65">
      <w:pPr>
        <w:numPr>
          <w:ilvl w:val="0"/>
          <w:numId w:val="3"/>
        </w:numPr>
        <w:spacing w:line="276" w:lineRule="auto"/>
        <w:jc w:val="both"/>
        <w:rPr>
          <w:lang w:val="en-US"/>
        </w:rPr>
      </w:pPr>
      <w:proofErr w:type="spellStart"/>
      <w:r w:rsidRPr="00B07538">
        <w:rPr>
          <w:lang w:val="en-US"/>
        </w:rPr>
        <w:t>Съдействие</w:t>
      </w:r>
      <w:proofErr w:type="spellEnd"/>
      <w:r w:rsidRPr="00B07538">
        <w:rPr>
          <w:lang w:val="en-US"/>
        </w:rPr>
        <w:t xml:space="preserve"> </w:t>
      </w:r>
      <w:proofErr w:type="spellStart"/>
      <w:r w:rsidRPr="00B07538">
        <w:rPr>
          <w:lang w:val="en-US"/>
        </w:rPr>
        <w:t>при</w:t>
      </w:r>
      <w:proofErr w:type="spellEnd"/>
      <w:r w:rsidRPr="00B07538">
        <w:rPr>
          <w:lang w:val="en-US"/>
        </w:rPr>
        <w:t xml:space="preserve"> </w:t>
      </w:r>
      <w:proofErr w:type="spellStart"/>
      <w:r w:rsidRPr="00B07538">
        <w:rPr>
          <w:lang w:val="en-US"/>
        </w:rPr>
        <w:t>работа</w:t>
      </w:r>
      <w:proofErr w:type="spellEnd"/>
      <w:r w:rsidRPr="00B07538">
        <w:rPr>
          <w:lang w:val="en-US"/>
        </w:rPr>
        <w:t xml:space="preserve"> с </w:t>
      </w:r>
      <w:proofErr w:type="spellStart"/>
      <w:r w:rsidRPr="00B07538">
        <w:rPr>
          <w:lang w:val="en-US"/>
        </w:rPr>
        <w:t>документи</w:t>
      </w:r>
      <w:proofErr w:type="spellEnd"/>
      <w:r w:rsidRPr="00B07538">
        <w:rPr>
          <w:lang w:val="en-US"/>
        </w:rPr>
        <w:t xml:space="preserve"> – </w:t>
      </w:r>
      <w:proofErr w:type="spellStart"/>
      <w:r w:rsidRPr="00B07538">
        <w:rPr>
          <w:lang w:val="en-US"/>
        </w:rPr>
        <w:t>сканиране</w:t>
      </w:r>
      <w:proofErr w:type="spellEnd"/>
      <w:r w:rsidRPr="00B07538">
        <w:rPr>
          <w:lang w:val="en-US"/>
        </w:rPr>
        <w:t xml:space="preserve">, </w:t>
      </w:r>
      <w:proofErr w:type="spellStart"/>
      <w:r w:rsidRPr="00B07538">
        <w:rPr>
          <w:lang w:val="en-US"/>
        </w:rPr>
        <w:t>съхранение</w:t>
      </w:r>
      <w:proofErr w:type="spellEnd"/>
      <w:r w:rsidRPr="00B07538">
        <w:rPr>
          <w:lang w:val="en-US"/>
        </w:rPr>
        <w:t xml:space="preserve"> и </w:t>
      </w:r>
      <w:proofErr w:type="spellStart"/>
      <w:r w:rsidRPr="00B07538">
        <w:rPr>
          <w:lang w:val="en-US"/>
        </w:rPr>
        <w:t>архивиране</w:t>
      </w:r>
      <w:proofErr w:type="spellEnd"/>
      <w:r w:rsidRPr="00B07538">
        <w:rPr>
          <w:lang w:val="en-US"/>
        </w:rPr>
        <w:t>,</w:t>
      </w:r>
    </w:p>
    <w:p w14:paraId="29C5AC07" w14:textId="77777777" w:rsidR="00B07538" w:rsidRPr="00B07538" w:rsidRDefault="00B07538" w:rsidP="005D1D65">
      <w:pPr>
        <w:numPr>
          <w:ilvl w:val="0"/>
          <w:numId w:val="3"/>
        </w:numPr>
        <w:spacing w:line="276" w:lineRule="auto"/>
        <w:jc w:val="both"/>
        <w:rPr>
          <w:lang w:val="en-US"/>
        </w:rPr>
      </w:pPr>
      <w:proofErr w:type="spellStart"/>
      <w:r w:rsidRPr="00B07538">
        <w:rPr>
          <w:lang w:val="en-US"/>
        </w:rPr>
        <w:t>Запазване</w:t>
      </w:r>
      <w:proofErr w:type="spellEnd"/>
      <w:r w:rsidRPr="00B07538">
        <w:rPr>
          <w:lang w:val="en-US"/>
        </w:rPr>
        <w:t xml:space="preserve"> </w:t>
      </w:r>
      <w:proofErr w:type="spellStart"/>
      <w:r w:rsidRPr="00B07538">
        <w:rPr>
          <w:lang w:val="en-US"/>
        </w:rPr>
        <w:t>на</w:t>
      </w:r>
      <w:proofErr w:type="spellEnd"/>
      <w:r w:rsidRPr="00B07538">
        <w:rPr>
          <w:lang w:val="en-US"/>
        </w:rPr>
        <w:t xml:space="preserve"> </w:t>
      </w:r>
      <w:proofErr w:type="spellStart"/>
      <w:r w:rsidRPr="00B07538">
        <w:rPr>
          <w:lang w:val="en-US"/>
        </w:rPr>
        <w:t>зали</w:t>
      </w:r>
      <w:proofErr w:type="spellEnd"/>
      <w:r w:rsidRPr="00B07538">
        <w:rPr>
          <w:lang w:val="en-US"/>
        </w:rPr>
        <w:t xml:space="preserve"> </w:t>
      </w:r>
      <w:proofErr w:type="spellStart"/>
      <w:r w:rsidRPr="00B07538">
        <w:rPr>
          <w:lang w:val="en-US"/>
        </w:rPr>
        <w:t>за</w:t>
      </w:r>
      <w:proofErr w:type="spellEnd"/>
      <w:r w:rsidRPr="00B07538">
        <w:rPr>
          <w:lang w:val="en-US"/>
        </w:rPr>
        <w:t xml:space="preserve"> </w:t>
      </w:r>
      <w:proofErr w:type="spellStart"/>
      <w:r w:rsidRPr="00B07538">
        <w:rPr>
          <w:lang w:val="en-US"/>
        </w:rPr>
        <w:t>срещи</w:t>
      </w:r>
      <w:proofErr w:type="spellEnd"/>
      <w:r w:rsidRPr="00B07538">
        <w:rPr>
          <w:lang w:val="en-US"/>
        </w:rPr>
        <w:t>,</w:t>
      </w:r>
    </w:p>
    <w:p w14:paraId="1F6546E3" w14:textId="77777777" w:rsidR="00B07538" w:rsidRPr="00B07538" w:rsidRDefault="00B07538" w:rsidP="005D1D65">
      <w:pPr>
        <w:numPr>
          <w:ilvl w:val="0"/>
          <w:numId w:val="3"/>
        </w:numPr>
        <w:spacing w:line="276" w:lineRule="auto"/>
        <w:jc w:val="both"/>
        <w:rPr>
          <w:lang w:val="en-US"/>
        </w:rPr>
      </w:pPr>
      <w:proofErr w:type="spellStart"/>
      <w:r w:rsidRPr="00B07538">
        <w:rPr>
          <w:lang w:val="en-US"/>
        </w:rPr>
        <w:t>Оказване</w:t>
      </w:r>
      <w:proofErr w:type="spellEnd"/>
      <w:r w:rsidRPr="00B07538">
        <w:rPr>
          <w:lang w:val="en-US"/>
        </w:rPr>
        <w:t xml:space="preserve"> </w:t>
      </w:r>
      <w:proofErr w:type="spellStart"/>
      <w:r w:rsidRPr="00B07538">
        <w:rPr>
          <w:lang w:val="en-US"/>
        </w:rPr>
        <w:t>на</w:t>
      </w:r>
      <w:proofErr w:type="spellEnd"/>
      <w:r w:rsidRPr="00B07538">
        <w:rPr>
          <w:lang w:val="en-US"/>
        </w:rPr>
        <w:t xml:space="preserve"> </w:t>
      </w:r>
      <w:proofErr w:type="spellStart"/>
      <w:r w:rsidRPr="00B07538">
        <w:rPr>
          <w:lang w:val="en-US"/>
        </w:rPr>
        <w:t>съдействие</w:t>
      </w:r>
      <w:proofErr w:type="spellEnd"/>
      <w:r w:rsidRPr="00B07538">
        <w:rPr>
          <w:lang w:val="en-US"/>
        </w:rPr>
        <w:t xml:space="preserve"> </w:t>
      </w:r>
      <w:proofErr w:type="spellStart"/>
      <w:r w:rsidRPr="00B07538">
        <w:rPr>
          <w:lang w:val="en-US"/>
        </w:rPr>
        <w:t>при</w:t>
      </w:r>
      <w:proofErr w:type="spellEnd"/>
      <w:r w:rsidRPr="00B07538">
        <w:rPr>
          <w:lang w:val="en-US"/>
        </w:rPr>
        <w:t xml:space="preserve"> </w:t>
      </w:r>
      <w:proofErr w:type="spellStart"/>
      <w:r w:rsidRPr="00B07538">
        <w:rPr>
          <w:lang w:val="en-US"/>
        </w:rPr>
        <w:t>управлението</w:t>
      </w:r>
      <w:proofErr w:type="spellEnd"/>
      <w:r w:rsidRPr="00B07538">
        <w:rPr>
          <w:lang w:val="en-US"/>
        </w:rPr>
        <w:t xml:space="preserve"> </w:t>
      </w:r>
      <w:proofErr w:type="spellStart"/>
      <w:r w:rsidRPr="00B07538">
        <w:rPr>
          <w:lang w:val="en-US"/>
        </w:rPr>
        <w:t>на</w:t>
      </w:r>
      <w:proofErr w:type="spellEnd"/>
      <w:r w:rsidRPr="00B07538">
        <w:rPr>
          <w:lang w:val="en-US"/>
        </w:rPr>
        <w:t xml:space="preserve"> </w:t>
      </w:r>
      <w:proofErr w:type="spellStart"/>
      <w:r w:rsidRPr="00B07538">
        <w:rPr>
          <w:lang w:val="en-US"/>
        </w:rPr>
        <w:t>офис</w:t>
      </w:r>
      <w:proofErr w:type="spellEnd"/>
      <w:r w:rsidRPr="00B07538">
        <w:rPr>
          <w:lang w:val="en-US"/>
        </w:rPr>
        <w:t xml:space="preserve"> </w:t>
      </w:r>
      <w:proofErr w:type="spellStart"/>
      <w:r w:rsidRPr="00B07538">
        <w:rPr>
          <w:lang w:val="en-US"/>
        </w:rPr>
        <w:t>консумативите</w:t>
      </w:r>
      <w:proofErr w:type="spellEnd"/>
      <w:r w:rsidRPr="00B07538">
        <w:rPr>
          <w:lang w:val="en-US"/>
        </w:rPr>
        <w:t xml:space="preserve"> и </w:t>
      </w:r>
      <w:proofErr w:type="spellStart"/>
      <w:r w:rsidRPr="00B07538">
        <w:rPr>
          <w:lang w:val="en-US"/>
        </w:rPr>
        <w:t>поддържане</w:t>
      </w:r>
      <w:proofErr w:type="spellEnd"/>
      <w:r w:rsidRPr="00B07538">
        <w:rPr>
          <w:lang w:val="en-US"/>
        </w:rPr>
        <w:t xml:space="preserve"> </w:t>
      </w:r>
      <w:proofErr w:type="spellStart"/>
      <w:r w:rsidRPr="00B07538">
        <w:rPr>
          <w:lang w:val="en-US"/>
        </w:rPr>
        <w:t>на</w:t>
      </w:r>
      <w:proofErr w:type="spellEnd"/>
      <w:r w:rsidRPr="00B07538">
        <w:rPr>
          <w:lang w:val="en-US"/>
        </w:rPr>
        <w:t xml:space="preserve"> </w:t>
      </w:r>
      <w:proofErr w:type="spellStart"/>
      <w:r w:rsidRPr="00B07538">
        <w:rPr>
          <w:lang w:val="en-US"/>
        </w:rPr>
        <w:t>офис</w:t>
      </w:r>
      <w:proofErr w:type="spellEnd"/>
      <w:r w:rsidRPr="00B07538">
        <w:rPr>
          <w:lang w:val="en-US"/>
        </w:rPr>
        <w:t xml:space="preserve"> </w:t>
      </w:r>
      <w:proofErr w:type="spellStart"/>
      <w:r w:rsidRPr="00B07538">
        <w:rPr>
          <w:lang w:val="en-US"/>
        </w:rPr>
        <w:t>пространството</w:t>
      </w:r>
      <w:proofErr w:type="spellEnd"/>
      <w:r w:rsidRPr="00B07538">
        <w:rPr>
          <w:lang w:val="en-US"/>
        </w:rPr>
        <w:t>,</w:t>
      </w:r>
    </w:p>
    <w:p w14:paraId="0B5D3920" w14:textId="77777777" w:rsidR="00B07538" w:rsidRPr="00B07538" w:rsidRDefault="00B07538" w:rsidP="005D1D65">
      <w:pPr>
        <w:numPr>
          <w:ilvl w:val="0"/>
          <w:numId w:val="3"/>
        </w:numPr>
        <w:spacing w:line="276" w:lineRule="auto"/>
        <w:jc w:val="both"/>
        <w:rPr>
          <w:lang w:val="en-US"/>
        </w:rPr>
      </w:pPr>
      <w:proofErr w:type="spellStart"/>
      <w:r w:rsidRPr="00B07538">
        <w:rPr>
          <w:lang w:val="en-US"/>
        </w:rPr>
        <w:t>Подпомагане</w:t>
      </w:r>
      <w:proofErr w:type="spellEnd"/>
      <w:r w:rsidRPr="00B07538">
        <w:rPr>
          <w:lang w:val="en-US"/>
        </w:rPr>
        <w:t xml:space="preserve"> </w:t>
      </w:r>
      <w:proofErr w:type="spellStart"/>
      <w:r w:rsidRPr="00B07538">
        <w:rPr>
          <w:lang w:val="en-US"/>
        </w:rPr>
        <w:t>на</w:t>
      </w:r>
      <w:proofErr w:type="spellEnd"/>
      <w:r w:rsidRPr="00B07538">
        <w:rPr>
          <w:lang w:val="en-US"/>
        </w:rPr>
        <w:t xml:space="preserve"> </w:t>
      </w:r>
      <w:proofErr w:type="spellStart"/>
      <w:r w:rsidRPr="00B07538">
        <w:rPr>
          <w:lang w:val="en-US"/>
        </w:rPr>
        <w:t>екипа</w:t>
      </w:r>
      <w:proofErr w:type="spellEnd"/>
      <w:r w:rsidRPr="00B07538">
        <w:rPr>
          <w:lang w:val="en-US"/>
        </w:rPr>
        <w:t xml:space="preserve"> с </w:t>
      </w:r>
      <w:proofErr w:type="spellStart"/>
      <w:r w:rsidRPr="00B07538">
        <w:rPr>
          <w:lang w:val="en-US"/>
        </w:rPr>
        <w:t>ежедневни</w:t>
      </w:r>
      <w:proofErr w:type="spellEnd"/>
      <w:r w:rsidRPr="00B07538">
        <w:rPr>
          <w:lang w:val="en-US"/>
        </w:rPr>
        <w:t xml:space="preserve"> </w:t>
      </w:r>
      <w:proofErr w:type="spellStart"/>
      <w:r w:rsidRPr="00B07538">
        <w:rPr>
          <w:lang w:val="en-US"/>
        </w:rPr>
        <w:t>административни</w:t>
      </w:r>
      <w:proofErr w:type="spellEnd"/>
      <w:r w:rsidRPr="00B07538">
        <w:rPr>
          <w:lang w:val="en-US"/>
        </w:rPr>
        <w:t xml:space="preserve"> </w:t>
      </w:r>
      <w:proofErr w:type="spellStart"/>
      <w:r w:rsidRPr="00B07538">
        <w:rPr>
          <w:lang w:val="en-US"/>
        </w:rPr>
        <w:t>дейности</w:t>
      </w:r>
      <w:proofErr w:type="spellEnd"/>
      <w:r w:rsidRPr="00B07538">
        <w:rPr>
          <w:lang w:val="en-US"/>
        </w:rPr>
        <w:t>.</w:t>
      </w:r>
    </w:p>
    <w:p w14:paraId="12653F1E" w14:textId="77777777" w:rsidR="00B07538" w:rsidRPr="00B07538" w:rsidRDefault="00B07538" w:rsidP="00752280">
      <w:pPr>
        <w:spacing w:line="276" w:lineRule="auto"/>
        <w:jc w:val="both"/>
        <w:rPr>
          <w:lang w:val="en-US"/>
        </w:rPr>
      </w:pPr>
      <w:proofErr w:type="spellStart"/>
      <w:r w:rsidRPr="00B07538">
        <w:rPr>
          <w:b/>
          <w:bCs/>
          <w:lang w:val="en-US"/>
        </w:rPr>
        <w:t>Изисквания</w:t>
      </w:r>
      <w:proofErr w:type="spellEnd"/>
      <w:r w:rsidRPr="00B07538">
        <w:rPr>
          <w:b/>
          <w:bCs/>
          <w:lang w:val="en-US"/>
        </w:rPr>
        <w:t>:</w:t>
      </w:r>
    </w:p>
    <w:p w14:paraId="5133281B" w14:textId="77777777" w:rsidR="00B07538" w:rsidRPr="00B07538" w:rsidRDefault="00B07538" w:rsidP="005D1D65">
      <w:pPr>
        <w:numPr>
          <w:ilvl w:val="0"/>
          <w:numId w:val="4"/>
        </w:numPr>
        <w:spacing w:line="276" w:lineRule="auto"/>
        <w:jc w:val="both"/>
        <w:rPr>
          <w:lang w:val="en-US"/>
        </w:rPr>
      </w:pPr>
      <w:proofErr w:type="spellStart"/>
      <w:r w:rsidRPr="00B07538">
        <w:rPr>
          <w:lang w:val="en-US"/>
        </w:rPr>
        <w:t>Студенти</w:t>
      </w:r>
      <w:proofErr w:type="spellEnd"/>
      <w:r w:rsidRPr="00B07538">
        <w:rPr>
          <w:lang w:val="en-US"/>
        </w:rPr>
        <w:t xml:space="preserve"> в </w:t>
      </w:r>
      <w:proofErr w:type="spellStart"/>
      <w:r w:rsidRPr="00B07538">
        <w:rPr>
          <w:lang w:val="en-US"/>
        </w:rPr>
        <w:t>редовна</w:t>
      </w:r>
      <w:proofErr w:type="spellEnd"/>
      <w:r w:rsidRPr="00B07538">
        <w:rPr>
          <w:lang w:val="en-US"/>
        </w:rPr>
        <w:t>/</w:t>
      </w:r>
      <w:proofErr w:type="spellStart"/>
      <w:r w:rsidRPr="00B07538">
        <w:rPr>
          <w:lang w:val="en-US"/>
        </w:rPr>
        <w:t>задочна</w:t>
      </w:r>
      <w:proofErr w:type="spellEnd"/>
      <w:r w:rsidRPr="00B07538">
        <w:rPr>
          <w:lang w:val="en-US"/>
        </w:rPr>
        <w:t xml:space="preserve"> </w:t>
      </w:r>
      <w:proofErr w:type="spellStart"/>
      <w:r w:rsidRPr="00B07538">
        <w:rPr>
          <w:lang w:val="en-US"/>
        </w:rPr>
        <w:t>форма</w:t>
      </w:r>
      <w:proofErr w:type="spellEnd"/>
      <w:r w:rsidRPr="00B07538">
        <w:rPr>
          <w:lang w:val="en-US"/>
        </w:rPr>
        <w:t xml:space="preserve"> </w:t>
      </w:r>
      <w:proofErr w:type="spellStart"/>
      <w:r w:rsidRPr="00B07538">
        <w:rPr>
          <w:lang w:val="en-US"/>
        </w:rPr>
        <w:t>на</w:t>
      </w:r>
      <w:proofErr w:type="spellEnd"/>
      <w:r w:rsidRPr="00B07538">
        <w:rPr>
          <w:lang w:val="en-US"/>
        </w:rPr>
        <w:t xml:space="preserve"> </w:t>
      </w:r>
      <w:proofErr w:type="spellStart"/>
      <w:r w:rsidRPr="00B07538">
        <w:rPr>
          <w:lang w:val="en-US"/>
        </w:rPr>
        <w:t>обучение</w:t>
      </w:r>
      <w:proofErr w:type="spellEnd"/>
      <w:r w:rsidRPr="00B07538">
        <w:rPr>
          <w:lang w:val="en-US"/>
        </w:rPr>
        <w:t xml:space="preserve">, </w:t>
      </w:r>
      <w:proofErr w:type="spellStart"/>
      <w:r w:rsidRPr="00B07538">
        <w:rPr>
          <w:lang w:val="en-US"/>
        </w:rPr>
        <w:t>или</w:t>
      </w:r>
      <w:proofErr w:type="spellEnd"/>
      <w:r w:rsidRPr="00B07538">
        <w:rPr>
          <w:lang w:val="en-US"/>
        </w:rPr>
        <w:t xml:space="preserve"> </w:t>
      </w:r>
      <w:proofErr w:type="spellStart"/>
      <w:r w:rsidRPr="00B07538">
        <w:rPr>
          <w:lang w:val="en-US"/>
        </w:rPr>
        <w:t>току-що</w:t>
      </w:r>
      <w:proofErr w:type="spellEnd"/>
      <w:r w:rsidRPr="00B07538">
        <w:rPr>
          <w:lang w:val="en-US"/>
        </w:rPr>
        <w:t xml:space="preserve"> </w:t>
      </w:r>
      <w:proofErr w:type="spellStart"/>
      <w:r w:rsidRPr="00B07538">
        <w:rPr>
          <w:lang w:val="en-US"/>
        </w:rPr>
        <w:t>завършили</w:t>
      </w:r>
      <w:proofErr w:type="spellEnd"/>
      <w:r w:rsidRPr="00B07538">
        <w:rPr>
          <w:lang w:val="en-US"/>
        </w:rPr>
        <w:t xml:space="preserve"> </w:t>
      </w:r>
      <w:proofErr w:type="spellStart"/>
      <w:r w:rsidRPr="00B07538">
        <w:rPr>
          <w:lang w:val="en-US"/>
        </w:rPr>
        <w:t>образованието</w:t>
      </w:r>
      <w:proofErr w:type="spellEnd"/>
      <w:r w:rsidRPr="00B07538">
        <w:rPr>
          <w:lang w:val="en-US"/>
        </w:rPr>
        <w:t xml:space="preserve"> </w:t>
      </w:r>
      <w:proofErr w:type="spellStart"/>
      <w:r w:rsidRPr="00B07538">
        <w:rPr>
          <w:lang w:val="en-US"/>
        </w:rPr>
        <w:t>си</w:t>
      </w:r>
      <w:proofErr w:type="spellEnd"/>
      <w:r w:rsidRPr="00B07538">
        <w:rPr>
          <w:lang w:val="en-US"/>
        </w:rPr>
        <w:t>,</w:t>
      </w:r>
    </w:p>
    <w:p w14:paraId="32967537" w14:textId="77777777" w:rsidR="00B07538" w:rsidRPr="00B07538" w:rsidRDefault="00B07538" w:rsidP="005D1D65">
      <w:pPr>
        <w:numPr>
          <w:ilvl w:val="0"/>
          <w:numId w:val="4"/>
        </w:numPr>
        <w:spacing w:line="276" w:lineRule="auto"/>
        <w:jc w:val="both"/>
        <w:rPr>
          <w:lang w:val="en-US"/>
        </w:rPr>
      </w:pPr>
      <w:proofErr w:type="spellStart"/>
      <w:r w:rsidRPr="00B07538">
        <w:rPr>
          <w:lang w:val="en-US"/>
        </w:rPr>
        <w:t>Комуникационни</w:t>
      </w:r>
      <w:proofErr w:type="spellEnd"/>
      <w:r w:rsidRPr="00B07538">
        <w:rPr>
          <w:lang w:val="en-US"/>
        </w:rPr>
        <w:t xml:space="preserve"> </w:t>
      </w:r>
      <w:proofErr w:type="spellStart"/>
      <w:r w:rsidRPr="00B07538">
        <w:rPr>
          <w:lang w:val="en-US"/>
        </w:rPr>
        <w:t>умения</w:t>
      </w:r>
      <w:proofErr w:type="spellEnd"/>
      <w:r w:rsidRPr="00B07538">
        <w:rPr>
          <w:lang w:val="en-US"/>
        </w:rPr>
        <w:t xml:space="preserve">, </w:t>
      </w:r>
      <w:proofErr w:type="spellStart"/>
      <w:r w:rsidRPr="00B07538">
        <w:rPr>
          <w:lang w:val="en-US"/>
        </w:rPr>
        <w:t>ентусиазъм</w:t>
      </w:r>
      <w:proofErr w:type="spellEnd"/>
      <w:r w:rsidRPr="00B07538">
        <w:rPr>
          <w:lang w:val="en-US"/>
        </w:rPr>
        <w:t xml:space="preserve"> и </w:t>
      </w:r>
      <w:proofErr w:type="spellStart"/>
      <w:r w:rsidRPr="00B07538">
        <w:rPr>
          <w:lang w:val="en-US"/>
        </w:rPr>
        <w:t>желание</w:t>
      </w:r>
      <w:proofErr w:type="spellEnd"/>
      <w:r w:rsidRPr="00B07538">
        <w:rPr>
          <w:lang w:val="en-US"/>
        </w:rPr>
        <w:t xml:space="preserve"> </w:t>
      </w:r>
      <w:proofErr w:type="spellStart"/>
      <w:r w:rsidRPr="00B07538">
        <w:rPr>
          <w:lang w:val="en-US"/>
        </w:rPr>
        <w:t>за</w:t>
      </w:r>
      <w:proofErr w:type="spellEnd"/>
      <w:r w:rsidRPr="00B07538">
        <w:rPr>
          <w:lang w:val="en-US"/>
        </w:rPr>
        <w:t xml:space="preserve"> </w:t>
      </w:r>
      <w:proofErr w:type="spellStart"/>
      <w:r w:rsidRPr="00B07538">
        <w:rPr>
          <w:lang w:val="en-US"/>
        </w:rPr>
        <w:t>работа</w:t>
      </w:r>
      <w:proofErr w:type="spellEnd"/>
      <w:r w:rsidRPr="00B07538">
        <w:rPr>
          <w:lang w:val="en-US"/>
        </w:rPr>
        <w:t>,</w:t>
      </w:r>
    </w:p>
    <w:p w14:paraId="511B9DEA" w14:textId="77777777" w:rsidR="00B07538" w:rsidRPr="00B07538" w:rsidRDefault="00B07538" w:rsidP="005D1D65">
      <w:pPr>
        <w:numPr>
          <w:ilvl w:val="0"/>
          <w:numId w:val="4"/>
        </w:numPr>
        <w:spacing w:line="276" w:lineRule="auto"/>
        <w:jc w:val="both"/>
        <w:rPr>
          <w:lang w:val="en-US"/>
        </w:rPr>
      </w:pPr>
      <w:proofErr w:type="spellStart"/>
      <w:r w:rsidRPr="00B07538">
        <w:rPr>
          <w:lang w:val="en-US"/>
        </w:rPr>
        <w:t>Отговорност</w:t>
      </w:r>
      <w:proofErr w:type="spellEnd"/>
      <w:r w:rsidRPr="00B07538">
        <w:rPr>
          <w:lang w:val="en-US"/>
        </w:rPr>
        <w:t xml:space="preserve"> и </w:t>
      </w:r>
      <w:proofErr w:type="spellStart"/>
      <w:r w:rsidRPr="00B07538">
        <w:rPr>
          <w:lang w:val="en-US"/>
        </w:rPr>
        <w:t>мотивация</w:t>
      </w:r>
      <w:proofErr w:type="spellEnd"/>
      <w:r w:rsidRPr="00B07538">
        <w:rPr>
          <w:lang w:val="en-US"/>
        </w:rPr>
        <w:t>,</w:t>
      </w:r>
    </w:p>
    <w:p w14:paraId="2B85F92B" w14:textId="77777777" w:rsidR="00B07538" w:rsidRPr="00B07538" w:rsidRDefault="00B07538" w:rsidP="005D1D65">
      <w:pPr>
        <w:numPr>
          <w:ilvl w:val="0"/>
          <w:numId w:val="4"/>
        </w:numPr>
        <w:spacing w:line="276" w:lineRule="auto"/>
        <w:jc w:val="both"/>
        <w:rPr>
          <w:lang w:val="en-US"/>
        </w:rPr>
      </w:pPr>
      <w:proofErr w:type="spellStart"/>
      <w:r w:rsidRPr="00B07538">
        <w:rPr>
          <w:lang w:val="en-US"/>
        </w:rPr>
        <w:t>Адаптивност</w:t>
      </w:r>
      <w:proofErr w:type="spellEnd"/>
      <w:r w:rsidRPr="00B07538">
        <w:rPr>
          <w:lang w:val="en-US"/>
        </w:rPr>
        <w:t xml:space="preserve"> и </w:t>
      </w:r>
      <w:proofErr w:type="spellStart"/>
      <w:r w:rsidRPr="00B07538">
        <w:rPr>
          <w:lang w:val="en-US"/>
        </w:rPr>
        <w:t>ангажираност</w:t>
      </w:r>
      <w:proofErr w:type="spellEnd"/>
      <w:r w:rsidRPr="00B07538">
        <w:rPr>
          <w:lang w:val="en-US"/>
        </w:rPr>
        <w:t xml:space="preserve"> в </w:t>
      </w:r>
      <w:proofErr w:type="spellStart"/>
      <w:r w:rsidRPr="00B07538">
        <w:rPr>
          <w:lang w:val="en-US"/>
        </w:rPr>
        <w:t>работния</w:t>
      </w:r>
      <w:proofErr w:type="spellEnd"/>
      <w:r w:rsidRPr="00B07538">
        <w:rPr>
          <w:lang w:val="en-US"/>
        </w:rPr>
        <w:t xml:space="preserve"> </w:t>
      </w:r>
      <w:proofErr w:type="spellStart"/>
      <w:r w:rsidRPr="00B07538">
        <w:rPr>
          <w:lang w:val="en-US"/>
        </w:rPr>
        <w:t>процес</w:t>
      </w:r>
      <w:proofErr w:type="spellEnd"/>
      <w:r w:rsidRPr="00B07538">
        <w:rPr>
          <w:lang w:val="en-US"/>
        </w:rPr>
        <w:t>,</w:t>
      </w:r>
    </w:p>
    <w:p w14:paraId="4DB4B452" w14:textId="77777777" w:rsidR="00B07538" w:rsidRPr="00B07538" w:rsidRDefault="00B07538" w:rsidP="005D1D65">
      <w:pPr>
        <w:numPr>
          <w:ilvl w:val="0"/>
          <w:numId w:val="4"/>
        </w:numPr>
        <w:spacing w:line="276" w:lineRule="auto"/>
        <w:jc w:val="both"/>
        <w:rPr>
          <w:lang w:val="en-US"/>
        </w:rPr>
      </w:pPr>
      <w:proofErr w:type="spellStart"/>
      <w:r w:rsidRPr="00B07538">
        <w:rPr>
          <w:lang w:val="en-US"/>
        </w:rPr>
        <w:t>Умения</w:t>
      </w:r>
      <w:proofErr w:type="spellEnd"/>
      <w:r w:rsidRPr="00B07538">
        <w:rPr>
          <w:lang w:val="en-US"/>
        </w:rPr>
        <w:t xml:space="preserve"> </w:t>
      </w:r>
      <w:proofErr w:type="spellStart"/>
      <w:r w:rsidRPr="00B07538">
        <w:rPr>
          <w:lang w:val="en-US"/>
        </w:rPr>
        <w:t>за</w:t>
      </w:r>
      <w:proofErr w:type="spellEnd"/>
      <w:r w:rsidRPr="00B07538">
        <w:rPr>
          <w:lang w:val="en-US"/>
        </w:rPr>
        <w:t xml:space="preserve"> </w:t>
      </w:r>
      <w:proofErr w:type="spellStart"/>
      <w:r w:rsidRPr="00B07538">
        <w:rPr>
          <w:lang w:val="en-US"/>
        </w:rPr>
        <w:t>работа</w:t>
      </w:r>
      <w:proofErr w:type="spellEnd"/>
      <w:r w:rsidRPr="00B07538">
        <w:rPr>
          <w:lang w:val="en-US"/>
        </w:rPr>
        <w:t xml:space="preserve"> с MS Office (Word, Excel, PowerPoint),</w:t>
      </w:r>
    </w:p>
    <w:p w14:paraId="2876957E" w14:textId="77777777" w:rsidR="00B07538" w:rsidRPr="00B07538" w:rsidRDefault="00B07538" w:rsidP="005D1D65">
      <w:pPr>
        <w:numPr>
          <w:ilvl w:val="0"/>
          <w:numId w:val="4"/>
        </w:numPr>
        <w:spacing w:line="276" w:lineRule="auto"/>
        <w:jc w:val="both"/>
        <w:rPr>
          <w:lang w:val="en-US"/>
        </w:rPr>
      </w:pPr>
      <w:proofErr w:type="spellStart"/>
      <w:r w:rsidRPr="00B07538">
        <w:rPr>
          <w:lang w:val="en-US"/>
        </w:rPr>
        <w:t>Владеенето</w:t>
      </w:r>
      <w:proofErr w:type="spellEnd"/>
      <w:r w:rsidRPr="00B07538">
        <w:rPr>
          <w:lang w:val="en-US"/>
        </w:rPr>
        <w:t xml:space="preserve"> </w:t>
      </w:r>
      <w:proofErr w:type="spellStart"/>
      <w:r w:rsidRPr="00B07538">
        <w:rPr>
          <w:lang w:val="en-US"/>
        </w:rPr>
        <w:t>на</w:t>
      </w:r>
      <w:proofErr w:type="spellEnd"/>
      <w:r w:rsidRPr="00B07538">
        <w:rPr>
          <w:lang w:val="en-US"/>
        </w:rPr>
        <w:t xml:space="preserve"> </w:t>
      </w:r>
      <w:proofErr w:type="spellStart"/>
      <w:r w:rsidRPr="00B07538">
        <w:rPr>
          <w:lang w:val="en-US"/>
        </w:rPr>
        <w:t>английски</w:t>
      </w:r>
      <w:proofErr w:type="spellEnd"/>
      <w:r w:rsidRPr="00B07538">
        <w:rPr>
          <w:lang w:val="en-US"/>
        </w:rPr>
        <w:t xml:space="preserve"> </w:t>
      </w:r>
      <w:proofErr w:type="spellStart"/>
      <w:r w:rsidRPr="00B07538">
        <w:rPr>
          <w:lang w:val="en-US"/>
        </w:rPr>
        <w:t>или</w:t>
      </w:r>
      <w:proofErr w:type="spellEnd"/>
      <w:r w:rsidRPr="00B07538">
        <w:rPr>
          <w:lang w:val="en-US"/>
        </w:rPr>
        <w:t xml:space="preserve"> </w:t>
      </w:r>
      <w:proofErr w:type="spellStart"/>
      <w:r w:rsidRPr="00B07538">
        <w:rPr>
          <w:lang w:val="en-US"/>
        </w:rPr>
        <w:t>френски</w:t>
      </w:r>
      <w:proofErr w:type="spellEnd"/>
      <w:r w:rsidRPr="00B07538">
        <w:rPr>
          <w:lang w:val="en-US"/>
        </w:rPr>
        <w:t xml:space="preserve"> е </w:t>
      </w:r>
      <w:proofErr w:type="spellStart"/>
      <w:r w:rsidRPr="00B07538">
        <w:rPr>
          <w:lang w:val="en-US"/>
        </w:rPr>
        <w:t>предимство</w:t>
      </w:r>
      <w:proofErr w:type="spellEnd"/>
      <w:r w:rsidRPr="00B07538">
        <w:rPr>
          <w:lang w:val="en-US"/>
        </w:rPr>
        <w:t>.</w:t>
      </w:r>
    </w:p>
    <w:p w14:paraId="6851C53C" w14:textId="74AD0716" w:rsidR="00B07538" w:rsidRPr="00B07538" w:rsidRDefault="00752280" w:rsidP="00752280">
      <w:pPr>
        <w:spacing w:line="276" w:lineRule="auto"/>
        <w:jc w:val="both"/>
        <w:rPr>
          <w:lang w:val="en-US"/>
        </w:rPr>
      </w:pPr>
      <w:r>
        <w:rPr>
          <w:b/>
          <w:bCs/>
          <w:lang w:val="bg-BG"/>
        </w:rPr>
        <w:t xml:space="preserve">Компанията </w:t>
      </w:r>
      <w:proofErr w:type="spellStart"/>
      <w:r w:rsidR="00B07538" w:rsidRPr="00B07538">
        <w:rPr>
          <w:b/>
          <w:bCs/>
          <w:lang w:val="en-US"/>
        </w:rPr>
        <w:t>предлага</w:t>
      </w:r>
      <w:proofErr w:type="spellEnd"/>
      <w:r w:rsidR="00B07538" w:rsidRPr="00B07538">
        <w:rPr>
          <w:b/>
          <w:bCs/>
          <w:lang w:val="en-US"/>
        </w:rPr>
        <w:t>:</w:t>
      </w:r>
    </w:p>
    <w:p w14:paraId="24086D0F" w14:textId="77777777" w:rsidR="00B07538" w:rsidRPr="00B07538" w:rsidRDefault="00B07538" w:rsidP="005D1D65">
      <w:pPr>
        <w:numPr>
          <w:ilvl w:val="0"/>
          <w:numId w:val="5"/>
        </w:numPr>
        <w:spacing w:line="276" w:lineRule="auto"/>
        <w:jc w:val="both"/>
        <w:rPr>
          <w:lang w:val="en-US"/>
        </w:rPr>
      </w:pPr>
      <w:proofErr w:type="spellStart"/>
      <w:r w:rsidRPr="00B07538">
        <w:rPr>
          <w:lang w:val="en-US"/>
        </w:rPr>
        <w:t>Граждански</w:t>
      </w:r>
      <w:proofErr w:type="spellEnd"/>
      <w:r w:rsidRPr="00B07538">
        <w:rPr>
          <w:lang w:val="en-US"/>
        </w:rPr>
        <w:t xml:space="preserve"> </w:t>
      </w:r>
      <w:proofErr w:type="spellStart"/>
      <w:r w:rsidRPr="00B07538">
        <w:rPr>
          <w:lang w:val="en-US"/>
        </w:rPr>
        <w:t>договор</w:t>
      </w:r>
      <w:proofErr w:type="spellEnd"/>
      <w:r w:rsidRPr="00B07538">
        <w:rPr>
          <w:lang w:val="en-US"/>
        </w:rPr>
        <w:t>,</w:t>
      </w:r>
    </w:p>
    <w:p w14:paraId="724C9F41" w14:textId="77777777" w:rsidR="00B07538" w:rsidRPr="00B07538" w:rsidRDefault="00B07538" w:rsidP="005D1D65">
      <w:pPr>
        <w:numPr>
          <w:ilvl w:val="0"/>
          <w:numId w:val="5"/>
        </w:numPr>
        <w:spacing w:line="276" w:lineRule="auto"/>
        <w:jc w:val="both"/>
        <w:rPr>
          <w:lang w:val="en-US"/>
        </w:rPr>
      </w:pPr>
      <w:proofErr w:type="spellStart"/>
      <w:r w:rsidRPr="00B07538">
        <w:rPr>
          <w:lang w:val="en-US"/>
        </w:rPr>
        <w:t>Фирмено</w:t>
      </w:r>
      <w:proofErr w:type="spellEnd"/>
      <w:r w:rsidRPr="00B07538">
        <w:rPr>
          <w:lang w:val="en-US"/>
        </w:rPr>
        <w:t xml:space="preserve"> </w:t>
      </w:r>
      <w:proofErr w:type="spellStart"/>
      <w:r w:rsidRPr="00B07538">
        <w:rPr>
          <w:lang w:val="en-US"/>
        </w:rPr>
        <w:t>обучение</w:t>
      </w:r>
      <w:proofErr w:type="spellEnd"/>
      <w:r w:rsidRPr="00B07538">
        <w:rPr>
          <w:lang w:val="en-US"/>
        </w:rPr>
        <w:t xml:space="preserve"> и </w:t>
      </w:r>
      <w:proofErr w:type="spellStart"/>
      <w:r w:rsidRPr="00B07538">
        <w:rPr>
          <w:lang w:val="en-US"/>
        </w:rPr>
        <w:t>подкрепа</w:t>
      </w:r>
      <w:proofErr w:type="spellEnd"/>
      <w:r w:rsidRPr="00B07538">
        <w:rPr>
          <w:lang w:val="en-US"/>
        </w:rPr>
        <w:t xml:space="preserve"> </w:t>
      </w:r>
      <w:proofErr w:type="spellStart"/>
      <w:r w:rsidRPr="00B07538">
        <w:rPr>
          <w:lang w:val="en-US"/>
        </w:rPr>
        <w:t>от</w:t>
      </w:r>
      <w:proofErr w:type="spellEnd"/>
      <w:r w:rsidRPr="00B07538">
        <w:rPr>
          <w:lang w:val="en-US"/>
        </w:rPr>
        <w:t xml:space="preserve"> </w:t>
      </w:r>
      <w:proofErr w:type="spellStart"/>
      <w:r w:rsidRPr="00B07538">
        <w:rPr>
          <w:lang w:val="en-US"/>
        </w:rPr>
        <w:t>опитен</w:t>
      </w:r>
      <w:proofErr w:type="spellEnd"/>
      <w:r w:rsidRPr="00B07538">
        <w:rPr>
          <w:lang w:val="en-US"/>
        </w:rPr>
        <w:t xml:space="preserve"> </w:t>
      </w:r>
      <w:proofErr w:type="spellStart"/>
      <w:r w:rsidRPr="00B07538">
        <w:rPr>
          <w:lang w:val="en-US"/>
        </w:rPr>
        <w:t>екип</w:t>
      </w:r>
      <w:proofErr w:type="spellEnd"/>
      <w:r w:rsidRPr="00B07538">
        <w:rPr>
          <w:lang w:val="en-US"/>
        </w:rPr>
        <w:t xml:space="preserve"> и </w:t>
      </w:r>
      <w:proofErr w:type="spellStart"/>
      <w:r w:rsidRPr="00B07538">
        <w:rPr>
          <w:lang w:val="en-US"/>
        </w:rPr>
        <w:t>ментор</w:t>
      </w:r>
      <w:proofErr w:type="spellEnd"/>
      <w:r w:rsidRPr="00B07538">
        <w:rPr>
          <w:lang w:val="en-US"/>
        </w:rPr>
        <w:t xml:space="preserve"> по </w:t>
      </w:r>
      <w:proofErr w:type="spellStart"/>
      <w:r w:rsidRPr="00B07538">
        <w:rPr>
          <w:lang w:val="en-US"/>
        </w:rPr>
        <w:t>време</w:t>
      </w:r>
      <w:proofErr w:type="spellEnd"/>
      <w:r w:rsidRPr="00B07538">
        <w:rPr>
          <w:lang w:val="en-US"/>
        </w:rPr>
        <w:t xml:space="preserve"> </w:t>
      </w:r>
      <w:proofErr w:type="spellStart"/>
      <w:r w:rsidRPr="00B07538">
        <w:rPr>
          <w:lang w:val="en-US"/>
        </w:rPr>
        <w:t>на</w:t>
      </w:r>
      <w:proofErr w:type="spellEnd"/>
      <w:r w:rsidRPr="00B07538">
        <w:rPr>
          <w:lang w:val="en-US"/>
        </w:rPr>
        <w:t xml:space="preserve"> </w:t>
      </w:r>
      <w:proofErr w:type="spellStart"/>
      <w:r w:rsidRPr="00B07538">
        <w:rPr>
          <w:lang w:val="en-US"/>
        </w:rPr>
        <w:t>стажа</w:t>
      </w:r>
      <w:proofErr w:type="spellEnd"/>
      <w:r w:rsidRPr="00B07538">
        <w:rPr>
          <w:lang w:val="en-US"/>
        </w:rPr>
        <w:t>,</w:t>
      </w:r>
    </w:p>
    <w:p w14:paraId="00867368" w14:textId="77777777" w:rsidR="00B07538" w:rsidRPr="00B07538" w:rsidRDefault="00B07538" w:rsidP="005D1D65">
      <w:pPr>
        <w:numPr>
          <w:ilvl w:val="0"/>
          <w:numId w:val="5"/>
        </w:numPr>
        <w:spacing w:line="276" w:lineRule="auto"/>
        <w:jc w:val="both"/>
        <w:rPr>
          <w:lang w:val="en-US"/>
        </w:rPr>
      </w:pPr>
      <w:proofErr w:type="spellStart"/>
      <w:r w:rsidRPr="00B07538">
        <w:rPr>
          <w:lang w:val="en-US"/>
        </w:rPr>
        <w:t>Практически</w:t>
      </w:r>
      <w:proofErr w:type="spellEnd"/>
      <w:r w:rsidRPr="00B07538">
        <w:rPr>
          <w:lang w:val="en-US"/>
        </w:rPr>
        <w:t xml:space="preserve"> </w:t>
      </w:r>
      <w:proofErr w:type="spellStart"/>
      <w:r w:rsidRPr="00B07538">
        <w:rPr>
          <w:lang w:val="en-US"/>
        </w:rPr>
        <w:t>опит</w:t>
      </w:r>
      <w:proofErr w:type="spellEnd"/>
      <w:r w:rsidRPr="00B07538">
        <w:rPr>
          <w:lang w:val="en-US"/>
        </w:rPr>
        <w:t xml:space="preserve"> в </w:t>
      </w:r>
      <w:proofErr w:type="spellStart"/>
      <w:r w:rsidRPr="00B07538">
        <w:rPr>
          <w:lang w:val="en-US"/>
        </w:rPr>
        <w:t>стабилна</w:t>
      </w:r>
      <w:proofErr w:type="spellEnd"/>
      <w:r w:rsidRPr="00B07538">
        <w:rPr>
          <w:lang w:val="en-US"/>
        </w:rPr>
        <w:t xml:space="preserve"> </w:t>
      </w:r>
      <w:proofErr w:type="spellStart"/>
      <w:r w:rsidRPr="00B07538">
        <w:rPr>
          <w:lang w:val="en-US"/>
        </w:rPr>
        <w:t>корпоративна</w:t>
      </w:r>
      <w:proofErr w:type="spellEnd"/>
      <w:r w:rsidRPr="00B07538">
        <w:rPr>
          <w:lang w:val="en-US"/>
        </w:rPr>
        <w:t xml:space="preserve"> </w:t>
      </w:r>
      <w:proofErr w:type="spellStart"/>
      <w:r w:rsidRPr="00B07538">
        <w:rPr>
          <w:lang w:val="en-US"/>
        </w:rPr>
        <w:t>среда</w:t>
      </w:r>
      <w:proofErr w:type="spellEnd"/>
      <w:r w:rsidRPr="00B07538">
        <w:rPr>
          <w:lang w:val="en-US"/>
        </w:rPr>
        <w:t xml:space="preserve"> и </w:t>
      </w:r>
      <w:proofErr w:type="spellStart"/>
      <w:r w:rsidRPr="00B07538">
        <w:rPr>
          <w:lang w:val="en-US"/>
        </w:rPr>
        <w:t>възможност</w:t>
      </w:r>
      <w:proofErr w:type="spellEnd"/>
      <w:r w:rsidRPr="00B07538">
        <w:rPr>
          <w:lang w:val="en-US"/>
        </w:rPr>
        <w:t xml:space="preserve"> </w:t>
      </w:r>
      <w:proofErr w:type="spellStart"/>
      <w:r w:rsidRPr="00B07538">
        <w:rPr>
          <w:lang w:val="en-US"/>
        </w:rPr>
        <w:t>за</w:t>
      </w:r>
      <w:proofErr w:type="spellEnd"/>
      <w:r w:rsidRPr="00B07538">
        <w:rPr>
          <w:lang w:val="en-US"/>
        </w:rPr>
        <w:t xml:space="preserve"> </w:t>
      </w:r>
      <w:proofErr w:type="spellStart"/>
      <w:r w:rsidRPr="00B07538">
        <w:rPr>
          <w:lang w:val="en-US"/>
        </w:rPr>
        <w:t>развитие</w:t>
      </w:r>
      <w:proofErr w:type="spellEnd"/>
      <w:r w:rsidRPr="00B07538">
        <w:rPr>
          <w:lang w:val="en-US"/>
        </w:rPr>
        <w:t>,</w:t>
      </w:r>
    </w:p>
    <w:p w14:paraId="41061ABF" w14:textId="77777777" w:rsidR="00B07538" w:rsidRPr="00B07538" w:rsidRDefault="00B07538" w:rsidP="005D1D65">
      <w:pPr>
        <w:numPr>
          <w:ilvl w:val="0"/>
          <w:numId w:val="5"/>
        </w:numPr>
        <w:spacing w:line="276" w:lineRule="auto"/>
        <w:jc w:val="both"/>
        <w:rPr>
          <w:lang w:val="en-US"/>
        </w:rPr>
      </w:pPr>
      <w:proofErr w:type="spellStart"/>
      <w:r w:rsidRPr="00B07538">
        <w:rPr>
          <w:lang w:val="en-US"/>
        </w:rPr>
        <w:t>Гъвкаво</w:t>
      </w:r>
      <w:proofErr w:type="spellEnd"/>
      <w:r w:rsidRPr="00B07538">
        <w:rPr>
          <w:lang w:val="en-US"/>
        </w:rPr>
        <w:t xml:space="preserve"> </w:t>
      </w:r>
      <w:proofErr w:type="spellStart"/>
      <w:r w:rsidRPr="00B07538">
        <w:rPr>
          <w:lang w:val="en-US"/>
        </w:rPr>
        <w:t>работно</w:t>
      </w:r>
      <w:proofErr w:type="spellEnd"/>
      <w:r w:rsidRPr="00B07538">
        <w:rPr>
          <w:lang w:val="en-US"/>
        </w:rPr>
        <w:t xml:space="preserve"> </w:t>
      </w:r>
      <w:proofErr w:type="spellStart"/>
      <w:r w:rsidRPr="00B07538">
        <w:rPr>
          <w:lang w:val="en-US"/>
        </w:rPr>
        <w:t>време</w:t>
      </w:r>
      <w:proofErr w:type="spellEnd"/>
      <w:r w:rsidRPr="00B07538">
        <w:rPr>
          <w:lang w:val="en-US"/>
        </w:rPr>
        <w:t xml:space="preserve"> – 4 </w:t>
      </w:r>
      <w:proofErr w:type="spellStart"/>
      <w:r w:rsidRPr="00B07538">
        <w:rPr>
          <w:lang w:val="en-US"/>
        </w:rPr>
        <w:t>часа</w:t>
      </w:r>
      <w:proofErr w:type="spellEnd"/>
      <w:r w:rsidRPr="00B07538">
        <w:rPr>
          <w:lang w:val="en-US"/>
        </w:rPr>
        <w:t xml:space="preserve"> </w:t>
      </w:r>
      <w:proofErr w:type="spellStart"/>
      <w:r w:rsidRPr="00B07538">
        <w:rPr>
          <w:lang w:val="en-US"/>
        </w:rPr>
        <w:t>на</w:t>
      </w:r>
      <w:proofErr w:type="spellEnd"/>
      <w:r w:rsidRPr="00B07538">
        <w:rPr>
          <w:lang w:val="en-US"/>
        </w:rPr>
        <w:t xml:space="preserve"> </w:t>
      </w:r>
      <w:proofErr w:type="spellStart"/>
      <w:r w:rsidRPr="00B07538">
        <w:rPr>
          <w:lang w:val="en-US"/>
        </w:rPr>
        <w:t>ден</w:t>
      </w:r>
      <w:proofErr w:type="spellEnd"/>
      <w:r w:rsidRPr="00B07538">
        <w:rPr>
          <w:lang w:val="en-US"/>
        </w:rPr>
        <w:t>,</w:t>
      </w:r>
    </w:p>
    <w:p w14:paraId="223CF38C" w14:textId="77777777" w:rsidR="00B07538" w:rsidRPr="00B07538" w:rsidRDefault="00B07538" w:rsidP="005D1D65">
      <w:pPr>
        <w:numPr>
          <w:ilvl w:val="0"/>
          <w:numId w:val="5"/>
        </w:numPr>
        <w:spacing w:line="276" w:lineRule="auto"/>
        <w:jc w:val="both"/>
        <w:rPr>
          <w:lang w:val="en-US"/>
        </w:rPr>
      </w:pPr>
      <w:proofErr w:type="spellStart"/>
      <w:r w:rsidRPr="00B07538">
        <w:rPr>
          <w:lang w:val="en-US"/>
        </w:rPr>
        <w:t>Кооперативен</w:t>
      </w:r>
      <w:proofErr w:type="spellEnd"/>
      <w:r w:rsidRPr="00B07538">
        <w:rPr>
          <w:lang w:val="en-US"/>
        </w:rPr>
        <w:t xml:space="preserve"> и </w:t>
      </w:r>
      <w:proofErr w:type="spellStart"/>
      <w:r w:rsidRPr="00B07538">
        <w:rPr>
          <w:lang w:val="en-US"/>
        </w:rPr>
        <w:t>приятелски</w:t>
      </w:r>
      <w:proofErr w:type="spellEnd"/>
      <w:r w:rsidRPr="00B07538">
        <w:rPr>
          <w:lang w:val="en-US"/>
        </w:rPr>
        <w:t xml:space="preserve"> </w:t>
      </w:r>
      <w:proofErr w:type="spellStart"/>
      <w:r w:rsidRPr="00B07538">
        <w:rPr>
          <w:lang w:val="en-US"/>
        </w:rPr>
        <w:t>екип</w:t>
      </w:r>
      <w:proofErr w:type="spellEnd"/>
      <w:r w:rsidRPr="00B07538">
        <w:rPr>
          <w:lang w:val="en-US"/>
        </w:rPr>
        <w:t xml:space="preserve"> </w:t>
      </w:r>
      <w:proofErr w:type="spellStart"/>
      <w:r w:rsidRPr="00B07538">
        <w:rPr>
          <w:lang w:val="en-US"/>
        </w:rPr>
        <w:t>от</w:t>
      </w:r>
      <w:proofErr w:type="spellEnd"/>
      <w:r w:rsidRPr="00B07538">
        <w:rPr>
          <w:lang w:val="en-US"/>
        </w:rPr>
        <w:t xml:space="preserve"> </w:t>
      </w:r>
      <w:proofErr w:type="spellStart"/>
      <w:r w:rsidRPr="00B07538">
        <w:rPr>
          <w:lang w:val="en-US"/>
        </w:rPr>
        <w:t>професионалисти</w:t>
      </w:r>
      <w:proofErr w:type="spellEnd"/>
      <w:r w:rsidRPr="00B07538">
        <w:rPr>
          <w:lang w:val="en-US"/>
        </w:rPr>
        <w:t>,</w:t>
      </w:r>
    </w:p>
    <w:p w14:paraId="1757FEDB" w14:textId="77777777" w:rsidR="00B07538" w:rsidRPr="00B07538" w:rsidRDefault="00B07538" w:rsidP="005D1D65">
      <w:pPr>
        <w:numPr>
          <w:ilvl w:val="0"/>
          <w:numId w:val="5"/>
        </w:numPr>
        <w:spacing w:line="276" w:lineRule="auto"/>
        <w:jc w:val="both"/>
        <w:rPr>
          <w:lang w:val="en-US"/>
        </w:rPr>
      </w:pPr>
      <w:proofErr w:type="spellStart"/>
      <w:r w:rsidRPr="00B07538">
        <w:rPr>
          <w:lang w:val="en-US"/>
        </w:rPr>
        <w:t>Тийм</w:t>
      </w:r>
      <w:proofErr w:type="spellEnd"/>
      <w:r w:rsidRPr="00B07538">
        <w:rPr>
          <w:lang w:val="en-US"/>
        </w:rPr>
        <w:t xml:space="preserve"> </w:t>
      </w:r>
      <w:proofErr w:type="spellStart"/>
      <w:r w:rsidRPr="00B07538">
        <w:rPr>
          <w:lang w:val="en-US"/>
        </w:rPr>
        <w:t>билдинг</w:t>
      </w:r>
      <w:proofErr w:type="spellEnd"/>
      <w:r w:rsidRPr="00B07538">
        <w:rPr>
          <w:lang w:val="en-US"/>
        </w:rPr>
        <w:t xml:space="preserve"> </w:t>
      </w:r>
      <w:proofErr w:type="spellStart"/>
      <w:r w:rsidRPr="00B07538">
        <w:rPr>
          <w:lang w:val="en-US"/>
        </w:rPr>
        <w:t>програми</w:t>
      </w:r>
      <w:proofErr w:type="spellEnd"/>
      <w:r w:rsidRPr="00B07538">
        <w:rPr>
          <w:lang w:val="en-US"/>
        </w:rPr>
        <w:t>,</w:t>
      </w:r>
    </w:p>
    <w:p w14:paraId="25D8C57E" w14:textId="77777777" w:rsidR="00B07538" w:rsidRPr="00B07538" w:rsidRDefault="00B07538" w:rsidP="005D1D65">
      <w:pPr>
        <w:numPr>
          <w:ilvl w:val="0"/>
          <w:numId w:val="5"/>
        </w:numPr>
        <w:spacing w:line="276" w:lineRule="auto"/>
        <w:jc w:val="both"/>
        <w:rPr>
          <w:lang w:val="en-US"/>
        </w:rPr>
      </w:pPr>
      <w:proofErr w:type="spellStart"/>
      <w:r w:rsidRPr="00B07538">
        <w:rPr>
          <w:lang w:val="en-US"/>
        </w:rPr>
        <w:t>Приятна</w:t>
      </w:r>
      <w:proofErr w:type="spellEnd"/>
      <w:r w:rsidRPr="00B07538">
        <w:rPr>
          <w:lang w:val="en-US"/>
        </w:rPr>
        <w:t xml:space="preserve"> </w:t>
      </w:r>
      <w:proofErr w:type="spellStart"/>
      <w:r w:rsidRPr="00B07538">
        <w:rPr>
          <w:lang w:val="en-US"/>
        </w:rPr>
        <w:t>работна</w:t>
      </w:r>
      <w:proofErr w:type="spellEnd"/>
      <w:r w:rsidRPr="00B07538">
        <w:rPr>
          <w:lang w:val="en-US"/>
        </w:rPr>
        <w:t xml:space="preserve"> </w:t>
      </w:r>
      <w:proofErr w:type="spellStart"/>
      <w:r w:rsidRPr="00B07538">
        <w:rPr>
          <w:lang w:val="en-US"/>
        </w:rPr>
        <w:t>атмосфера</w:t>
      </w:r>
      <w:proofErr w:type="spellEnd"/>
      <w:r w:rsidRPr="00B07538">
        <w:rPr>
          <w:lang w:val="en-US"/>
        </w:rPr>
        <w:t xml:space="preserve">, </w:t>
      </w:r>
      <w:proofErr w:type="spellStart"/>
      <w:r w:rsidRPr="00B07538">
        <w:rPr>
          <w:lang w:val="en-US"/>
        </w:rPr>
        <w:t>отговаряща</w:t>
      </w:r>
      <w:proofErr w:type="spellEnd"/>
      <w:r w:rsidRPr="00B07538">
        <w:rPr>
          <w:lang w:val="en-US"/>
        </w:rPr>
        <w:t xml:space="preserve"> </w:t>
      </w:r>
      <w:proofErr w:type="spellStart"/>
      <w:r w:rsidRPr="00B07538">
        <w:rPr>
          <w:lang w:val="en-US"/>
        </w:rPr>
        <w:t>на</w:t>
      </w:r>
      <w:proofErr w:type="spellEnd"/>
      <w:r w:rsidRPr="00B07538">
        <w:rPr>
          <w:lang w:val="en-US"/>
        </w:rPr>
        <w:t xml:space="preserve"> </w:t>
      </w:r>
      <w:proofErr w:type="spellStart"/>
      <w:r w:rsidRPr="00B07538">
        <w:rPr>
          <w:lang w:val="en-US"/>
        </w:rPr>
        <w:t>международни</w:t>
      </w:r>
      <w:proofErr w:type="spellEnd"/>
      <w:r w:rsidRPr="00B07538">
        <w:rPr>
          <w:lang w:val="en-US"/>
        </w:rPr>
        <w:t xml:space="preserve"> </w:t>
      </w:r>
      <w:proofErr w:type="spellStart"/>
      <w:r w:rsidRPr="00B07538">
        <w:rPr>
          <w:lang w:val="en-US"/>
        </w:rPr>
        <w:t>стандарти</w:t>
      </w:r>
      <w:proofErr w:type="spellEnd"/>
      <w:r w:rsidRPr="00B07538">
        <w:rPr>
          <w:lang w:val="en-US"/>
        </w:rPr>
        <w:t>.</w:t>
      </w:r>
    </w:p>
    <w:p w14:paraId="081D3384" w14:textId="77777777" w:rsidR="00B07538" w:rsidRPr="00B07538" w:rsidRDefault="00B07538" w:rsidP="00752280">
      <w:pPr>
        <w:spacing w:line="276" w:lineRule="auto"/>
        <w:jc w:val="both"/>
        <w:rPr>
          <w:lang w:val="en-US"/>
        </w:rPr>
      </w:pPr>
      <w:proofErr w:type="spellStart"/>
      <w:r w:rsidRPr="00B07538">
        <w:rPr>
          <w:b/>
          <w:bCs/>
          <w:lang w:val="en-US"/>
        </w:rPr>
        <w:t>Продължителност</w:t>
      </w:r>
      <w:proofErr w:type="spellEnd"/>
      <w:r w:rsidRPr="00B07538">
        <w:rPr>
          <w:b/>
          <w:bCs/>
          <w:lang w:val="en-US"/>
        </w:rPr>
        <w:t xml:space="preserve"> </w:t>
      </w:r>
      <w:proofErr w:type="spellStart"/>
      <w:r w:rsidRPr="00B07538">
        <w:rPr>
          <w:b/>
          <w:bCs/>
          <w:lang w:val="en-US"/>
        </w:rPr>
        <w:t>на</w:t>
      </w:r>
      <w:proofErr w:type="spellEnd"/>
      <w:r w:rsidRPr="00B07538">
        <w:rPr>
          <w:b/>
          <w:bCs/>
          <w:lang w:val="en-US"/>
        </w:rPr>
        <w:t xml:space="preserve"> </w:t>
      </w:r>
      <w:proofErr w:type="spellStart"/>
      <w:r w:rsidRPr="00B07538">
        <w:rPr>
          <w:b/>
          <w:bCs/>
          <w:lang w:val="en-US"/>
        </w:rPr>
        <w:t>стажа</w:t>
      </w:r>
      <w:proofErr w:type="spellEnd"/>
      <w:r w:rsidRPr="00B07538">
        <w:rPr>
          <w:b/>
          <w:bCs/>
          <w:lang w:val="en-US"/>
        </w:rPr>
        <w:t>:</w:t>
      </w:r>
      <w:r w:rsidRPr="00B07538">
        <w:rPr>
          <w:lang w:val="en-US"/>
        </w:rPr>
        <w:t xml:space="preserve"> 6 </w:t>
      </w:r>
      <w:proofErr w:type="spellStart"/>
      <w:r w:rsidRPr="00B07538">
        <w:rPr>
          <w:lang w:val="en-US"/>
        </w:rPr>
        <w:t>месеца</w:t>
      </w:r>
      <w:proofErr w:type="spellEnd"/>
      <w:r w:rsidRPr="00B07538">
        <w:rPr>
          <w:lang w:val="en-US"/>
        </w:rPr>
        <w:t xml:space="preserve"> с </w:t>
      </w:r>
      <w:proofErr w:type="spellStart"/>
      <w:r w:rsidRPr="00B07538">
        <w:rPr>
          <w:lang w:val="en-US"/>
        </w:rPr>
        <w:t>възможност</w:t>
      </w:r>
      <w:proofErr w:type="spellEnd"/>
      <w:r w:rsidRPr="00B07538">
        <w:rPr>
          <w:lang w:val="en-US"/>
        </w:rPr>
        <w:t xml:space="preserve"> </w:t>
      </w:r>
      <w:proofErr w:type="spellStart"/>
      <w:r w:rsidRPr="00B07538">
        <w:rPr>
          <w:lang w:val="en-US"/>
        </w:rPr>
        <w:t>за</w:t>
      </w:r>
      <w:proofErr w:type="spellEnd"/>
      <w:r w:rsidRPr="00B07538">
        <w:rPr>
          <w:lang w:val="en-US"/>
        </w:rPr>
        <w:t xml:space="preserve"> </w:t>
      </w:r>
      <w:proofErr w:type="spellStart"/>
      <w:r w:rsidRPr="00B07538">
        <w:rPr>
          <w:lang w:val="en-US"/>
        </w:rPr>
        <w:t>продължаване</w:t>
      </w:r>
      <w:proofErr w:type="spellEnd"/>
      <w:r w:rsidRPr="00B07538">
        <w:rPr>
          <w:lang w:val="en-US"/>
        </w:rPr>
        <w:t>.</w:t>
      </w:r>
    </w:p>
    <w:p w14:paraId="634E0008" w14:textId="0C0E3F5A" w:rsidR="00B07538" w:rsidRPr="00B07538" w:rsidRDefault="00B07538" w:rsidP="00752280">
      <w:pPr>
        <w:spacing w:line="276" w:lineRule="auto"/>
        <w:jc w:val="both"/>
        <w:rPr>
          <w:lang w:val="en-US"/>
        </w:rPr>
      </w:pPr>
      <w:proofErr w:type="spellStart"/>
      <w:r w:rsidRPr="00B07538">
        <w:rPr>
          <w:lang w:val="en-US"/>
        </w:rPr>
        <w:t>Не</w:t>
      </w:r>
      <w:proofErr w:type="spellEnd"/>
      <w:r w:rsidRPr="00B07538">
        <w:rPr>
          <w:lang w:val="en-US"/>
        </w:rPr>
        <w:t xml:space="preserve"> </w:t>
      </w:r>
      <w:proofErr w:type="spellStart"/>
      <w:r w:rsidRPr="00B07538">
        <w:rPr>
          <w:lang w:val="en-US"/>
        </w:rPr>
        <w:t>се</w:t>
      </w:r>
      <w:proofErr w:type="spellEnd"/>
      <w:r w:rsidRPr="00B07538">
        <w:rPr>
          <w:lang w:val="en-US"/>
        </w:rPr>
        <w:t xml:space="preserve"> </w:t>
      </w:r>
      <w:proofErr w:type="spellStart"/>
      <w:r w:rsidRPr="00B07538">
        <w:rPr>
          <w:lang w:val="en-US"/>
        </w:rPr>
        <w:t>изисква</w:t>
      </w:r>
      <w:proofErr w:type="spellEnd"/>
      <w:r w:rsidRPr="00B07538">
        <w:rPr>
          <w:lang w:val="en-US"/>
        </w:rPr>
        <w:t xml:space="preserve"> </w:t>
      </w:r>
      <w:proofErr w:type="spellStart"/>
      <w:r w:rsidRPr="00B07538">
        <w:rPr>
          <w:lang w:val="en-US"/>
        </w:rPr>
        <w:t>предишен</w:t>
      </w:r>
      <w:proofErr w:type="spellEnd"/>
      <w:r w:rsidRPr="00B07538">
        <w:rPr>
          <w:lang w:val="en-US"/>
        </w:rPr>
        <w:t xml:space="preserve"> </w:t>
      </w:r>
      <w:proofErr w:type="spellStart"/>
      <w:r w:rsidRPr="00B07538">
        <w:rPr>
          <w:lang w:val="en-US"/>
        </w:rPr>
        <w:t>опит</w:t>
      </w:r>
      <w:proofErr w:type="spellEnd"/>
      <w:r w:rsidRPr="00B07538">
        <w:rPr>
          <w:lang w:val="en-US"/>
        </w:rPr>
        <w:t xml:space="preserve">. </w:t>
      </w:r>
      <w:proofErr w:type="spellStart"/>
      <w:r w:rsidRPr="00B07538">
        <w:rPr>
          <w:lang w:val="en-US"/>
        </w:rPr>
        <w:t>Ако</w:t>
      </w:r>
      <w:proofErr w:type="spellEnd"/>
      <w:r w:rsidRPr="00B07538">
        <w:rPr>
          <w:lang w:val="en-US"/>
        </w:rPr>
        <w:t xml:space="preserve"> </w:t>
      </w:r>
      <w:proofErr w:type="spellStart"/>
      <w:r w:rsidRPr="00B07538">
        <w:rPr>
          <w:lang w:val="en-US"/>
        </w:rPr>
        <w:t>търсите</w:t>
      </w:r>
      <w:proofErr w:type="spellEnd"/>
      <w:r w:rsidRPr="00B07538">
        <w:rPr>
          <w:lang w:val="en-US"/>
        </w:rPr>
        <w:t xml:space="preserve"> </w:t>
      </w:r>
      <w:proofErr w:type="spellStart"/>
      <w:r w:rsidRPr="00B07538">
        <w:rPr>
          <w:lang w:val="en-US"/>
        </w:rPr>
        <w:t>кариерно</w:t>
      </w:r>
      <w:proofErr w:type="spellEnd"/>
      <w:r w:rsidRPr="00B07538">
        <w:rPr>
          <w:lang w:val="en-US"/>
        </w:rPr>
        <w:t xml:space="preserve"> </w:t>
      </w:r>
      <w:proofErr w:type="spellStart"/>
      <w:r w:rsidRPr="00B07538">
        <w:rPr>
          <w:lang w:val="en-US"/>
        </w:rPr>
        <w:t>развитие</w:t>
      </w:r>
      <w:proofErr w:type="spellEnd"/>
      <w:r w:rsidRPr="00B07538">
        <w:rPr>
          <w:lang w:val="en-US"/>
        </w:rPr>
        <w:t xml:space="preserve"> и </w:t>
      </w:r>
      <w:proofErr w:type="spellStart"/>
      <w:r w:rsidRPr="00B07538">
        <w:rPr>
          <w:lang w:val="en-US"/>
        </w:rPr>
        <w:t>искате</w:t>
      </w:r>
      <w:proofErr w:type="spellEnd"/>
      <w:r w:rsidRPr="00B07538">
        <w:rPr>
          <w:lang w:val="en-US"/>
        </w:rPr>
        <w:t xml:space="preserve"> </w:t>
      </w:r>
      <w:proofErr w:type="spellStart"/>
      <w:r w:rsidRPr="00B07538">
        <w:rPr>
          <w:lang w:val="en-US"/>
        </w:rPr>
        <w:t>да</w:t>
      </w:r>
      <w:proofErr w:type="spellEnd"/>
      <w:r w:rsidRPr="00B07538">
        <w:rPr>
          <w:lang w:val="en-US"/>
        </w:rPr>
        <w:t xml:space="preserve"> </w:t>
      </w:r>
      <w:proofErr w:type="spellStart"/>
      <w:r w:rsidRPr="00B07538">
        <w:rPr>
          <w:lang w:val="en-US"/>
        </w:rPr>
        <w:t>придобиете</w:t>
      </w:r>
      <w:proofErr w:type="spellEnd"/>
      <w:r w:rsidRPr="00B07538">
        <w:rPr>
          <w:lang w:val="en-US"/>
        </w:rPr>
        <w:t xml:space="preserve"> </w:t>
      </w:r>
      <w:proofErr w:type="spellStart"/>
      <w:r w:rsidRPr="00B07538">
        <w:rPr>
          <w:lang w:val="en-US"/>
        </w:rPr>
        <w:t>практически</w:t>
      </w:r>
      <w:proofErr w:type="spellEnd"/>
      <w:r w:rsidRPr="00B07538">
        <w:rPr>
          <w:lang w:val="en-US"/>
        </w:rPr>
        <w:t xml:space="preserve"> </w:t>
      </w:r>
      <w:proofErr w:type="spellStart"/>
      <w:r w:rsidRPr="00B07538">
        <w:rPr>
          <w:lang w:val="en-US"/>
        </w:rPr>
        <w:t>умения</w:t>
      </w:r>
      <w:proofErr w:type="spellEnd"/>
      <w:r w:rsidRPr="00B07538">
        <w:rPr>
          <w:lang w:val="en-US"/>
        </w:rPr>
        <w:t xml:space="preserve"> в </w:t>
      </w:r>
      <w:proofErr w:type="spellStart"/>
      <w:r w:rsidRPr="00B07538">
        <w:rPr>
          <w:lang w:val="en-US"/>
        </w:rPr>
        <w:t>офис</w:t>
      </w:r>
      <w:proofErr w:type="spellEnd"/>
      <w:r w:rsidRPr="00B07538">
        <w:rPr>
          <w:lang w:val="en-US"/>
        </w:rPr>
        <w:t xml:space="preserve"> </w:t>
      </w:r>
      <w:proofErr w:type="spellStart"/>
      <w:r w:rsidRPr="00B07538">
        <w:rPr>
          <w:lang w:val="en-US"/>
        </w:rPr>
        <w:t>мениджмънта</w:t>
      </w:r>
      <w:proofErr w:type="spellEnd"/>
      <w:r w:rsidRPr="00B07538">
        <w:rPr>
          <w:lang w:val="en-US"/>
        </w:rPr>
        <w:t xml:space="preserve"> и </w:t>
      </w:r>
      <w:proofErr w:type="spellStart"/>
      <w:r w:rsidRPr="00B07538">
        <w:rPr>
          <w:lang w:val="en-US"/>
        </w:rPr>
        <w:t>административната</w:t>
      </w:r>
      <w:proofErr w:type="spellEnd"/>
      <w:r w:rsidRPr="00B07538">
        <w:rPr>
          <w:lang w:val="en-US"/>
        </w:rPr>
        <w:t xml:space="preserve"> </w:t>
      </w:r>
      <w:proofErr w:type="spellStart"/>
      <w:r w:rsidRPr="00B07538">
        <w:rPr>
          <w:lang w:val="en-US"/>
        </w:rPr>
        <w:t>работа</w:t>
      </w:r>
      <w:proofErr w:type="spellEnd"/>
      <w:r w:rsidRPr="00B07538">
        <w:rPr>
          <w:lang w:val="en-US"/>
        </w:rPr>
        <w:t xml:space="preserve">, </w:t>
      </w:r>
      <w:proofErr w:type="spellStart"/>
      <w:r w:rsidRPr="00B07538">
        <w:rPr>
          <w:lang w:val="en-US"/>
        </w:rPr>
        <w:t>изпрат</w:t>
      </w:r>
      <w:r w:rsidR="00752280">
        <w:rPr>
          <w:lang w:val="bg-BG"/>
        </w:rPr>
        <w:t>ете</w:t>
      </w:r>
      <w:proofErr w:type="spellEnd"/>
      <w:r w:rsidRPr="00B07538">
        <w:rPr>
          <w:lang w:val="en-US"/>
        </w:rPr>
        <w:t xml:space="preserve"> </w:t>
      </w:r>
      <w:proofErr w:type="spellStart"/>
      <w:r w:rsidRPr="00B07538">
        <w:rPr>
          <w:lang w:val="en-US"/>
        </w:rPr>
        <w:t>своето</w:t>
      </w:r>
      <w:proofErr w:type="spellEnd"/>
      <w:r w:rsidRPr="00B07538">
        <w:rPr>
          <w:lang w:val="en-US"/>
        </w:rPr>
        <w:t xml:space="preserve"> CV. </w:t>
      </w:r>
    </w:p>
    <w:p w14:paraId="42640BC5" w14:textId="476E7FCA" w:rsidR="00B07538" w:rsidRDefault="00B07538" w:rsidP="00752280">
      <w:pPr>
        <w:spacing w:line="276" w:lineRule="auto"/>
        <w:jc w:val="both"/>
        <w:rPr>
          <w:lang w:val="en-US"/>
        </w:rPr>
      </w:pPr>
      <w:proofErr w:type="spellStart"/>
      <w:r w:rsidRPr="00B07538">
        <w:rPr>
          <w:lang w:val="en-US"/>
        </w:rPr>
        <w:t>Всички</w:t>
      </w:r>
      <w:proofErr w:type="spellEnd"/>
      <w:r w:rsidRPr="00B07538">
        <w:rPr>
          <w:lang w:val="en-US"/>
        </w:rPr>
        <w:t xml:space="preserve"> </w:t>
      </w:r>
      <w:proofErr w:type="spellStart"/>
      <w:r w:rsidRPr="00B07538">
        <w:rPr>
          <w:lang w:val="en-US"/>
        </w:rPr>
        <w:t>кандидатури</w:t>
      </w:r>
      <w:proofErr w:type="spellEnd"/>
      <w:r w:rsidRPr="00B07538">
        <w:rPr>
          <w:lang w:val="en-US"/>
        </w:rPr>
        <w:t xml:space="preserve"> </w:t>
      </w:r>
      <w:proofErr w:type="spellStart"/>
      <w:r w:rsidRPr="00B07538">
        <w:rPr>
          <w:lang w:val="en-US"/>
        </w:rPr>
        <w:t>се</w:t>
      </w:r>
      <w:proofErr w:type="spellEnd"/>
      <w:r w:rsidRPr="00B07538">
        <w:rPr>
          <w:lang w:val="en-US"/>
        </w:rPr>
        <w:t xml:space="preserve"> </w:t>
      </w:r>
      <w:proofErr w:type="spellStart"/>
      <w:r w:rsidRPr="00B07538">
        <w:rPr>
          <w:lang w:val="en-US"/>
        </w:rPr>
        <w:t>разглеждат</w:t>
      </w:r>
      <w:proofErr w:type="spellEnd"/>
      <w:r w:rsidRPr="00B07538">
        <w:rPr>
          <w:lang w:val="en-US"/>
        </w:rPr>
        <w:t xml:space="preserve"> </w:t>
      </w:r>
      <w:proofErr w:type="spellStart"/>
      <w:r w:rsidRPr="00B07538">
        <w:rPr>
          <w:lang w:val="en-US"/>
        </w:rPr>
        <w:t>при</w:t>
      </w:r>
      <w:proofErr w:type="spellEnd"/>
      <w:r w:rsidRPr="00B07538">
        <w:rPr>
          <w:lang w:val="en-US"/>
        </w:rPr>
        <w:t xml:space="preserve"> </w:t>
      </w:r>
      <w:proofErr w:type="spellStart"/>
      <w:r w:rsidRPr="00B07538">
        <w:rPr>
          <w:lang w:val="en-US"/>
        </w:rPr>
        <w:t>стриктна</w:t>
      </w:r>
      <w:proofErr w:type="spellEnd"/>
      <w:r w:rsidRPr="00B07538">
        <w:rPr>
          <w:lang w:val="en-US"/>
        </w:rPr>
        <w:t xml:space="preserve"> </w:t>
      </w:r>
      <w:proofErr w:type="spellStart"/>
      <w:r w:rsidRPr="00B07538">
        <w:rPr>
          <w:lang w:val="en-US"/>
        </w:rPr>
        <w:t>конфиденциалност</w:t>
      </w:r>
      <w:proofErr w:type="spellEnd"/>
      <w:r w:rsidRPr="00B07538">
        <w:rPr>
          <w:lang w:val="en-US"/>
        </w:rPr>
        <w:t xml:space="preserve"> по </w:t>
      </w:r>
      <w:proofErr w:type="spellStart"/>
      <w:r w:rsidRPr="00B07538">
        <w:rPr>
          <w:lang w:val="en-US"/>
        </w:rPr>
        <w:t>смисъла</w:t>
      </w:r>
      <w:proofErr w:type="spellEnd"/>
      <w:r w:rsidRPr="00B07538">
        <w:rPr>
          <w:lang w:val="en-US"/>
        </w:rPr>
        <w:t xml:space="preserve"> </w:t>
      </w:r>
      <w:proofErr w:type="spellStart"/>
      <w:r w:rsidRPr="00B07538">
        <w:rPr>
          <w:lang w:val="en-US"/>
        </w:rPr>
        <w:t>на</w:t>
      </w:r>
      <w:proofErr w:type="spellEnd"/>
      <w:r w:rsidRPr="00B07538">
        <w:rPr>
          <w:lang w:val="en-US"/>
        </w:rPr>
        <w:t xml:space="preserve"> ЗЗЛД.</w:t>
      </w:r>
    </w:p>
    <w:p w14:paraId="752930C3" w14:textId="2B2AB015" w:rsidR="002160F8" w:rsidRPr="002160F8" w:rsidRDefault="002160F8" w:rsidP="00752280">
      <w:pPr>
        <w:spacing w:line="276" w:lineRule="auto"/>
        <w:jc w:val="both"/>
        <w:rPr>
          <w:lang w:val="bg-BG"/>
        </w:rPr>
      </w:pPr>
      <w:r>
        <w:rPr>
          <w:lang w:val="bg-BG"/>
        </w:rPr>
        <w:t xml:space="preserve">Можете </w:t>
      </w:r>
      <w:proofErr w:type="spellStart"/>
      <w:r>
        <w:rPr>
          <w:lang w:val="bg-BG"/>
        </w:rPr>
        <w:t>сда</w:t>
      </w:r>
      <w:proofErr w:type="spellEnd"/>
      <w:r>
        <w:rPr>
          <w:lang w:val="bg-BG"/>
        </w:rPr>
        <w:t xml:space="preserve"> кандидатствате през </w:t>
      </w:r>
      <w:hyperlink r:id="rId28" w:history="1">
        <w:r w:rsidRPr="008A76D7">
          <w:rPr>
            <w:rStyle w:val="Hyperlink"/>
            <w:lang w:val="bg-BG"/>
          </w:rPr>
          <w:t>сайта</w:t>
        </w:r>
      </w:hyperlink>
      <w:r w:rsidR="008A76D7">
        <w:rPr>
          <w:lang w:val="bg-BG"/>
        </w:rPr>
        <w:t>.</w:t>
      </w:r>
    </w:p>
    <w:p w14:paraId="2A6A1BC0" w14:textId="077D57EB" w:rsidR="00752280" w:rsidRPr="00752280" w:rsidRDefault="00752280" w:rsidP="00C541A2">
      <w:pPr>
        <w:spacing w:after="600" w:line="276" w:lineRule="auto"/>
        <w:jc w:val="both"/>
        <w:rPr>
          <w:b/>
          <w:lang w:val="bg-BG"/>
        </w:rPr>
      </w:pPr>
      <w:r w:rsidRPr="00752280">
        <w:rPr>
          <w:b/>
          <w:lang w:val="bg-BG"/>
        </w:rPr>
        <w:t>Краен срок: не е посочен</w:t>
      </w:r>
    </w:p>
    <w:p w14:paraId="7EFB97FE" w14:textId="77777777" w:rsidR="006623A3" w:rsidRPr="006623A3" w:rsidRDefault="006623A3" w:rsidP="00D47F41">
      <w:pPr>
        <w:pStyle w:val="Heading2"/>
        <w:ind w:left="426"/>
        <w:rPr>
          <w:lang w:val="bg-BG"/>
        </w:rPr>
      </w:pPr>
      <w:bookmarkStart w:id="23" w:name="_Toc197365387"/>
      <w:r w:rsidRPr="006623A3">
        <w:rPr>
          <w:lang w:val="bg-BG"/>
        </w:rPr>
        <w:t>Конкурс „Млад предприемач в науката“ - 2025</w:t>
      </w:r>
      <w:bookmarkEnd w:id="23"/>
    </w:p>
    <w:p w14:paraId="16F7693E" w14:textId="77777777" w:rsidR="006623A3" w:rsidRPr="006623A3" w:rsidRDefault="006623A3" w:rsidP="006623A3">
      <w:pPr>
        <w:spacing w:before="120" w:after="120" w:line="276" w:lineRule="auto"/>
        <w:jc w:val="both"/>
        <w:rPr>
          <w:lang w:val="bg-BG"/>
        </w:rPr>
      </w:pPr>
      <w:r w:rsidRPr="006623A3">
        <w:rPr>
          <w:lang w:val="bg-BG"/>
        </w:rPr>
        <w:t>Центърът за трансфер на технологии (ЦТТ) към Научноизследователския сектор (НИС) на СУ „Св. Климент Охридски“ организира конкурс „Млад предприемач в науката“.</w:t>
      </w:r>
      <w:r w:rsidRPr="00FA4F1B">
        <w:rPr>
          <w:lang w:val="bg-BG"/>
        </w:rPr>
        <w:t xml:space="preserve"> </w:t>
      </w:r>
      <w:r w:rsidRPr="006623A3">
        <w:rPr>
          <w:lang w:val="bg-BG"/>
        </w:rPr>
        <w:t>През 2025 година той ще се проведе за четвърти пореден път.</w:t>
      </w:r>
    </w:p>
    <w:p w14:paraId="2C8D2AA5" w14:textId="77777777" w:rsidR="006623A3" w:rsidRPr="006623A3" w:rsidRDefault="006623A3" w:rsidP="006623A3">
      <w:pPr>
        <w:spacing w:before="120" w:after="120" w:line="276" w:lineRule="auto"/>
        <w:jc w:val="both"/>
        <w:rPr>
          <w:lang w:val="bg-BG"/>
        </w:rPr>
      </w:pPr>
      <w:r w:rsidRPr="006623A3">
        <w:rPr>
          <w:lang w:val="bg-BG"/>
        </w:rPr>
        <w:t xml:space="preserve">За втора поредна година конкурсът ще се проведе съвместно със Стопански факултет на СУ “Св. Климент Охридски“. </w:t>
      </w:r>
    </w:p>
    <w:p w14:paraId="3EA9BB7B" w14:textId="77777777" w:rsidR="006623A3" w:rsidRPr="006623A3" w:rsidRDefault="006623A3" w:rsidP="006623A3">
      <w:pPr>
        <w:spacing w:before="120" w:after="120" w:line="276" w:lineRule="auto"/>
        <w:jc w:val="both"/>
        <w:rPr>
          <w:lang w:val="bg-BG"/>
        </w:rPr>
      </w:pPr>
      <w:r w:rsidRPr="006623A3">
        <w:rPr>
          <w:lang w:val="bg-BG"/>
        </w:rPr>
        <w:t>Мисията на конкурса е да вдъхнови и подкрепи младите предприемачи от Софийски университет като предлага уникалната възможност да  получат менторство от Стопански факултет на СУ „Св. Климент Охридски“.</w:t>
      </w:r>
    </w:p>
    <w:p w14:paraId="108A38BA" w14:textId="77777777" w:rsidR="006623A3" w:rsidRPr="006623A3" w:rsidRDefault="006623A3" w:rsidP="006623A3">
      <w:pPr>
        <w:spacing w:before="120" w:after="120" w:line="276" w:lineRule="auto"/>
        <w:jc w:val="both"/>
        <w:rPr>
          <w:lang w:val="bg-BG"/>
        </w:rPr>
      </w:pPr>
      <w:r w:rsidRPr="006623A3">
        <w:rPr>
          <w:lang w:val="bg-BG"/>
        </w:rPr>
        <w:t>Целта на конкурса е да подпомогне развитието на студентското и младежкото предприемачество в СУ „Св. Климент Охридски“, да стимулира студентите и младите изследователи да започнат собствена стопанска дейност.</w:t>
      </w:r>
    </w:p>
    <w:p w14:paraId="21AEDF49" w14:textId="24160AF4" w:rsidR="006623A3" w:rsidRPr="006623A3" w:rsidRDefault="006623A3" w:rsidP="006623A3">
      <w:pPr>
        <w:spacing w:before="120" w:after="120" w:line="276" w:lineRule="auto"/>
        <w:jc w:val="both"/>
        <w:rPr>
          <w:lang w:val="bg-BG"/>
        </w:rPr>
      </w:pPr>
      <w:r w:rsidRPr="006623A3">
        <w:rPr>
          <w:lang w:val="bg-BG"/>
        </w:rPr>
        <w:t>До участие в конкурса се допускат само студенти, докторанти,  изследователи и колективи /екипи/, съставени от изследователи на възраст до 35 години от Софийския университет „Св. Климент Охрид</w:t>
      </w:r>
      <w:r w:rsidR="00676A0F">
        <w:rPr>
          <w:lang w:val="bg-BG"/>
        </w:rPr>
        <w:t>ски“, с разработена бизнес идея</w:t>
      </w:r>
      <w:r w:rsidRPr="006623A3">
        <w:rPr>
          <w:lang w:val="bg-BG"/>
        </w:rPr>
        <w:t>, научен продукт, услуга или технология. При  участие</w:t>
      </w:r>
      <w:r w:rsidRPr="00FA4F1B">
        <w:rPr>
          <w:lang w:val="bg-BG"/>
        </w:rPr>
        <w:t xml:space="preserve"> </w:t>
      </w:r>
      <w:r w:rsidRPr="006623A3">
        <w:rPr>
          <w:lang w:val="bg-BG"/>
        </w:rPr>
        <w:t xml:space="preserve">на екипи  е достатъчно само един от членовете да бъде  до 35 години, но задължително да е студент, докторант или изследовател от Софийския университет „Св. Климент Охридски“ . </w:t>
      </w:r>
    </w:p>
    <w:p w14:paraId="4CB8B156" w14:textId="77777777" w:rsidR="006623A3" w:rsidRPr="006623A3" w:rsidRDefault="006623A3" w:rsidP="006623A3">
      <w:pPr>
        <w:spacing w:before="120" w:after="120" w:line="276" w:lineRule="auto"/>
        <w:jc w:val="both"/>
        <w:rPr>
          <w:lang w:val="bg-BG"/>
        </w:rPr>
      </w:pPr>
      <w:r w:rsidRPr="006623A3">
        <w:rPr>
          <w:lang w:val="bg-BG"/>
        </w:rPr>
        <w:t xml:space="preserve">За втора поредна година  участниците в конкурса ще имат възможност да кандидатстват на два етапа. </w:t>
      </w:r>
    </w:p>
    <w:p w14:paraId="64780476" w14:textId="77777777" w:rsidR="006623A3" w:rsidRPr="006623A3" w:rsidRDefault="006623A3" w:rsidP="005D1D65">
      <w:pPr>
        <w:numPr>
          <w:ilvl w:val="0"/>
          <w:numId w:val="34"/>
        </w:numPr>
        <w:spacing w:before="120" w:after="120" w:line="276" w:lineRule="auto"/>
        <w:jc w:val="both"/>
        <w:rPr>
          <w:lang w:val="bg-BG"/>
        </w:rPr>
      </w:pPr>
      <w:r w:rsidRPr="006623A3">
        <w:rPr>
          <w:lang w:val="bg-BG"/>
        </w:rPr>
        <w:t>Първият етап на конкурса приключва на  04 април 2025 г. Участниците, подали заявка за участие до тази дата, ще имат възможност да работят заедно с ментори от Стопански факултет на СУ за подобряване на своите проекти през месеците април и май 2025 г.</w:t>
      </w:r>
      <w:r w:rsidRPr="00FA4F1B">
        <w:rPr>
          <w:lang w:val="bg-BG"/>
        </w:rPr>
        <w:t xml:space="preserve"> </w:t>
      </w:r>
    </w:p>
    <w:p w14:paraId="6B5002FF" w14:textId="77777777" w:rsidR="006623A3" w:rsidRPr="006623A3" w:rsidRDefault="006623A3" w:rsidP="005D1D65">
      <w:pPr>
        <w:numPr>
          <w:ilvl w:val="0"/>
          <w:numId w:val="34"/>
        </w:numPr>
        <w:spacing w:before="120" w:after="120" w:line="276" w:lineRule="auto"/>
        <w:jc w:val="both"/>
        <w:rPr>
          <w:lang w:val="bg-BG"/>
        </w:rPr>
      </w:pPr>
      <w:r w:rsidRPr="006623A3">
        <w:rPr>
          <w:lang w:val="bg-BG"/>
        </w:rPr>
        <w:t>Вторият етап на конкурса приключва на 10 октомври 2025г .  Това е крайният срок за подаване на заявка за участие. Участниците, подали заявка за участие до тази дата ще се включат директно в надпреварата, но няма да имат възможност да работят с ментор от Стопански факултет на СУ за подобряване на своите проекти.</w:t>
      </w:r>
    </w:p>
    <w:p w14:paraId="778FF28F" w14:textId="335A714B" w:rsidR="006623A3" w:rsidRPr="006623A3" w:rsidRDefault="006623A3" w:rsidP="006623A3">
      <w:pPr>
        <w:spacing w:before="120" w:after="120" w:line="276" w:lineRule="auto"/>
        <w:jc w:val="both"/>
        <w:rPr>
          <w:lang w:val="bg-BG"/>
        </w:rPr>
      </w:pPr>
      <w:r w:rsidRPr="006623A3">
        <w:rPr>
          <w:lang w:val="bg-BG"/>
        </w:rPr>
        <w:t xml:space="preserve">Задължително условие за участие в конкурса е кандидатите да представят разработена бизнес идея, описание на научен продукт, услуга или технология с посочена степен на технологична зрялост и </w:t>
      </w:r>
      <w:r w:rsidRPr="004A15D5">
        <w:rPr>
          <w:b/>
          <w:lang w:val="bg-BG"/>
        </w:rPr>
        <w:t>да изпратят попълнена заявка</w:t>
      </w:r>
      <w:r w:rsidRPr="00FA4F1B">
        <w:rPr>
          <w:b/>
          <w:lang w:val="bg-BG"/>
        </w:rPr>
        <w:t xml:space="preserve"> </w:t>
      </w:r>
      <w:r w:rsidRPr="004A15D5">
        <w:rPr>
          <w:b/>
          <w:lang w:val="bg-BG"/>
        </w:rPr>
        <w:t xml:space="preserve"> за участие </w:t>
      </w:r>
      <w:r w:rsidR="008A3EF7">
        <w:rPr>
          <w:b/>
          <w:lang w:val="bg-BG"/>
        </w:rPr>
        <w:t xml:space="preserve">до </w:t>
      </w:r>
      <w:r w:rsidRPr="004A15D5">
        <w:rPr>
          <w:b/>
          <w:lang w:val="bg-BG"/>
        </w:rPr>
        <w:t>10 октомври 2025 г</w:t>
      </w:r>
      <w:r w:rsidRPr="006623A3">
        <w:rPr>
          <w:lang w:val="bg-BG"/>
        </w:rPr>
        <w:t>.</w:t>
      </w:r>
    </w:p>
    <w:p w14:paraId="4669A3FC" w14:textId="77777777" w:rsidR="006623A3" w:rsidRPr="006623A3" w:rsidRDefault="006623A3" w:rsidP="00663076">
      <w:pPr>
        <w:spacing w:before="120" w:after="120" w:line="276" w:lineRule="auto"/>
        <w:jc w:val="both"/>
        <w:rPr>
          <w:lang w:val="bg-BG"/>
        </w:rPr>
      </w:pPr>
      <w:r w:rsidRPr="006623A3">
        <w:rPr>
          <w:lang w:val="bg-BG"/>
        </w:rPr>
        <w:t xml:space="preserve">Подаването на заявки за участие в първия етап на конкурса не е задължително условие за участие в него! </w:t>
      </w:r>
    </w:p>
    <w:p w14:paraId="5DC4D01D" w14:textId="77777777" w:rsidR="006623A3" w:rsidRPr="006623A3" w:rsidRDefault="006623A3" w:rsidP="00663076">
      <w:pPr>
        <w:spacing w:before="120" w:after="120" w:line="276" w:lineRule="auto"/>
        <w:jc w:val="both"/>
        <w:rPr>
          <w:lang w:val="bg-BG"/>
        </w:rPr>
      </w:pPr>
      <w:r w:rsidRPr="006623A3">
        <w:rPr>
          <w:lang w:val="bg-BG"/>
        </w:rPr>
        <w:t>Менторите няма да бъдат членове на експертното жури!</w:t>
      </w:r>
    </w:p>
    <w:p w14:paraId="6270D302" w14:textId="31077225" w:rsidR="006623A3" w:rsidRPr="00FA4F1B" w:rsidRDefault="006623A3" w:rsidP="00663076">
      <w:pPr>
        <w:spacing w:before="120" w:after="120" w:line="276" w:lineRule="auto"/>
        <w:jc w:val="both"/>
        <w:rPr>
          <w:lang w:val="bg-BG"/>
        </w:rPr>
      </w:pPr>
      <w:r w:rsidRPr="006623A3">
        <w:rPr>
          <w:lang w:val="bg-BG"/>
        </w:rPr>
        <w:t>Участието в този конкурс не ограничава кандидатите за участие в други конкурси</w:t>
      </w:r>
      <w:r w:rsidRPr="00FA4F1B">
        <w:rPr>
          <w:lang w:val="bg-BG"/>
        </w:rPr>
        <w:t>!</w:t>
      </w:r>
    </w:p>
    <w:p w14:paraId="05B2C9BD" w14:textId="60E653A3" w:rsidR="006623A3" w:rsidRDefault="006623A3" w:rsidP="00663076">
      <w:pPr>
        <w:spacing w:before="120" w:after="120" w:line="276" w:lineRule="auto"/>
        <w:jc w:val="both"/>
        <w:rPr>
          <w:lang w:val="bg-BG"/>
        </w:rPr>
      </w:pPr>
      <w:r>
        <w:rPr>
          <w:lang w:val="bg-BG"/>
        </w:rPr>
        <w:t xml:space="preserve">Още информация и формуляр-заявка за участие в конкурса можете да намерите </w:t>
      </w:r>
      <w:r>
        <w:fldChar w:fldCharType="begin"/>
      </w:r>
      <w:r>
        <w:instrText>HYPERLINK</w:instrText>
      </w:r>
      <w:r w:rsidRPr="00FA4F1B">
        <w:rPr>
          <w:lang w:val="bg-BG"/>
        </w:rPr>
        <w:instrText xml:space="preserve"> "</w:instrText>
      </w:r>
      <w:r>
        <w:instrText>http</w:instrText>
      </w:r>
      <w:r w:rsidRPr="00FA4F1B">
        <w:rPr>
          <w:lang w:val="bg-BG"/>
        </w:rPr>
        <w:instrText>://</w:instrText>
      </w:r>
      <w:r>
        <w:instrText>nis</w:instrText>
      </w:r>
      <w:r w:rsidRPr="00FA4F1B">
        <w:rPr>
          <w:lang w:val="bg-BG"/>
        </w:rPr>
        <w:instrText>-</w:instrText>
      </w:r>
      <w:r>
        <w:instrText>su</w:instrText>
      </w:r>
      <w:r w:rsidRPr="00FA4F1B">
        <w:rPr>
          <w:lang w:val="bg-BG"/>
        </w:rPr>
        <w:instrText>.</w:instrText>
      </w:r>
      <w:r>
        <w:instrText>eu</w:instrText>
      </w:r>
      <w:r w:rsidRPr="00FA4F1B">
        <w:rPr>
          <w:lang w:val="bg-BG"/>
        </w:rPr>
        <w:instrText>/</w:instrText>
      </w:r>
      <w:r>
        <w:instrText>News</w:instrText>
      </w:r>
      <w:r w:rsidRPr="00FA4F1B">
        <w:rPr>
          <w:lang w:val="bg-BG"/>
        </w:rPr>
        <w:instrText>.</w:instrText>
      </w:r>
      <w:r>
        <w:instrText>aspx</w:instrText>
      </w:r>
      <w:r w:rsidRPr="00FA4F1B">
        <w:rPr>
          <w:lang w:val="bg-BG"/>
        </w:rPr>
        <w:instrText>" \</w:instrText>
      </w:r>
      <w:r>
        <w:instrText>l</w:instrText>
      </w:r>
      <w:r w:rsidRPr="00FA4F1B">
        <w:rPr>
          <w:lang w:val="bg-BG"/>
        </w:rPr>
        <w:instrText xml:space="preserve"> "2024-02-16"</w:instrText>
      </w:r>
      <w:r>
        <w:fldChar w:fldCharType="separate"/>
      </w:r>
      <w:r w:rsidRPr="00417BCC">
        <w:rPr>
          <w:rStyle w:val="Hyperlink"/>
          <w:lang w:val="bg-BG"/>
        </w:rPr>
        <w:t>ТУК</w:t>
      </w:r>
      <w:r>
        <w:fldChar w:fldCharType="end"/>
      </w:r>
      <w:r>
        <w:rPr>
          <w:lang w:val="bg-BG"/>
        </w:rPr>
        <w:t>.</w:t>
      </w:r>
    </w:p>
    <w:p w14:paraId="7F2376BE" w14:textId="29CF13F8" w:rsidR="00676A0F" w:rsidRDefault="00676A0F" w:rsidP="006774B7">
      <w:pPr>
        <w:spacing w:before="120" w:after="120" w:line="276" w:lineRule="auto"/>
        <w:jc w:val="both"/>
        <w:rPr>
          <w:lang w:val="bg-BG"/>
        </w:rPr>
      </w:pPr>
      <w:r>
        <w:rPr>
          <w:lang w:val="bg-BG"/>
        </w:rPr>
        <w:t xml:space="preserve">Краен срок: </w:t>
      </w:r>
      <w:r w:rsidR="006774B7" w:rsidRPr="004A15D5">
        <w:rPr>
          <w:b/>
          <w:lang w:val="bg-BG"/>
        </w:rPr>
        <w:t>10 октомври 2025</w:t>
      </w:r>
      <w:r w:rsidR="006774B7">
        <w:rPr>
          <w:b/>
          <w:lang w:val="bg-BG"/>
        </w:rPr>
        <w:t xml:space="preserve"> г.</w:t>
      </w:r>
    </w:p>
    <w:p w14:paraId="77DDD113" w14:textId="1F53585D" w:rsidR="00455587" w:rsidRDefault="00455587" w:rsidP="00663076">
      <w:pPr>
        <w:spacing w:before="120" w:after="120" w:line="276" w:lineRule="auto"/>
        <w:jc w:val="both"/>
        <w:rPr>
          <w:lang w:val="bg-BG"/>
        </w:rPr>
      </w:pPr>
    </w:p>
    <w:p w14:paraId="5B71B6AF" w14:textId="2766B2C9" w:rsidR="00455587" w:rsidRDefault="00455587" w:rsidP="00663076">
      <w:pPr>
        <w:spacing w:before="120" w:after="120" w:line="276" w:lineRule="auto"/>
        <w:jc w:val="both"/>
        <w:rPr>
          <w:lang w:val="bg-BG"/>
        </w:rPr>
      </w:pPr>
      <w:r>
        <w:rPr>
          <w:lang w:val="bg-BG"/>
        </w:rPr>
        <w:br w:type="page"/>
      </w:r>
    </w:p>
    <w:p w14:paraId="440B75BC" w14:textId="77777777" w:rsidR="00455587" w:rsidRDefault="00455587" w:rsidP="00663076">
      <w:pPr>
        <w:spacing w:before="120" w:after="120" w:line="276" w:lineRule="auto"/>
        <w:jc w:val="both"/>
        <w:rPr>
          <w:lang w:val="bg-BG"/>
        </w:rPr>
        <w:sectPr w:rsidR="00455587" w:rsidSect="004850B7">
          <w:pgSz w:w="11906" w:h="16838"/>
          <w:pgMar w:top="1417" w:right="1133" w:bottom="1417" w:left="1417" w:header="708" w:footer="708" w:gutter="0"/>
          <w:cols w:space="708"/>
          <w:docGrid w:linePitch="360"/>
        </w:sectPr>
      </w:pPr>
    </w:p>
    <w:p w14:paraId="37624E5B" w14:textId="77777777" w:rsidR="00D00941" w:rsidRDefault="00912146" w:rsidP="00BB3B78">
      <w:pPr>
        <w:pStyle w:val="Programs"/>
        <w:tabs>
          <w:tab w:val="left" w:pos="1134"/>
        </w:tabs>
      </w:pPr>
      <w:bookmarkStart w:id="24" w:name="_Toc197365388"/>
      <w:r>
        <w:t>ПРОГРАМИ</w:t>
      </w:r>
      <w:bookmarkEnd w:id="24"/>
    </w:p>
    <w:p w14:paraId="4104071A" w14:textId="704D8AEC" w:rsidR="0058064B" w:rsidRPr="0058064B" w:rsidRDefault="001D1CDB" w:rsidP="001D1CDB">
      <w:pPr>
        <w:pStyle w:val="Heading2"/>
        <w:ind w:left="426"/>
        <w:rPr>
          <w:lang w:val="en-US" w:eastAsia="en-US"/>
        </w:rPr>
      </w:pPr>
      <w:bookmarkStart w:id="25" w:name="_Toc197365389"/>
      <w:bookmarkStart w:id="26" w:name="_Toc503363226"/>
      <w:r>
        <w:rPr>
          <w:lang w:val="bg-BG" w:eastAsia="en-US"/>
        </w:rPr>
        <w:t>К</w:t>
      </w:r>
      <w:r w:rsidR="0058064B" w:rsidRPr="0058064B">
        <w:rPr>
          <w:lang w:val="en-US" w:eastAsia="en-US"/>
        </w:rPr>
        <w:t xml:space="preserve">онкурс за подкрепа на научни проекти </w:t>
      </w:r>
      <w:r>
        <w:rPr>
          <w:lang w:val="bg-BG" w:eastAsia="en-US"/>
        </w:rPr>
        <w:t>на Ф</w:t>
      </w:r>
      <w:r w:rsidRPr="0058064B">
        <w:rPr>
          <w:lang w:val="en-US" w:eastAsia="en-US"/>
        </w:rPr>
        <w:t>ренският институт в България</w:t>
      </w:r>
      <w:bookmarkEnd w:id="25"/>
    </w:p>
    <w:p w14:paraId="240F5CFB" w14:textId="77777777" w:rsidR="006D3F02" w:rsidRPr="0058064B" w:rsidRDefault="006D3F02" w:rsidP="0058064B">
      <w:pPr>
        <w:spacing w:before="120" w:after="120" w:line="276" w:lineRule="auto"/>
        <w:jc w:val="both"/>
        <w:rPr>
          <w:lang w:val="en-US" w:eastAsia="en-US"/>
        </w:rPr>
      </w:pPr>
      <w:proofErr w:type="spellStart"/>
      <w:r w:rsidRPr="0058064B">
        <w:rPr>
          <w:lang w:val="en-US" w:eastAsia="en-US"/>
        </w:rPr>
        <w:t>Конкурсът</w:t>
      </w:r>
      <w:proofErr w:type="spellEnd"/>
      <w:r w:rsidRPr="0058064B">
        <w:rPr>
          <w:lang w:val="en-US" w:eastAsia="en-US"/>
        </w:rPr>
        <w:t xml:space="preserve"> е </w:t>
      </w:r>
      <w:proofErr w:type="spellStart"/>
      <w:r w:rsidRPr="0058064B">
        <w:rPr>
          <w:lang w:val="en-US" w:eastAsia="en-US"/>
        </w:rPr>
        <w:t>насочен</w:t>
      </w:r>
      <w:proofErr w:type="spellEnd"/>
      <w:r w:rsidRPr="0058064B">
        <w:rPr>
          <w:lang w:val="en-US" w:eastAsia="en-US"/>
        </w:rPr>
        <w:t xml:space="preserve"> </w:t>
      </w:r>
      <w:proofErr w:type="spellStart"/>
      <w:r w:rsidRPr="0058064B">
        <w:rPr>
          <w:lang w:val="en-US" w:eastAsia="en-US"/>
        </w:rPr>
        <w:t>към</w:t>
      </w:r>
      <w:proofErr w:type="spellEnd"/>
      <w:r w:rsidRPr="0058064B">
        <w:rPr>
          <w:lang w:val="en-US" w:eastAsia="en-US"/>
        </w:rPr>
        <w:t xml:space="preserve"> </w:t>
      </w:r>
      <w:proofErr w:type="spellStart"/>
      <w:r w:rsidRPr="0058064B">
        <w:rPr>
          <w:lang w:val="en-US" w:eastAsia="en-US"/>
        </w:rPr>
        <w:t>екипи-изследователи</w:t>
      </w:r>
      <w:proofErr w:type="spellEnd"/>
      <w:r w:rsidRPr="0058064B">
        <w:rPr>
          <w:lang w:val="en-US" w:eastAsia="en-US"/>
        </w:rPr>
        <w:t xml:space="preserve"> </w:t>
      </w:r>
      <w:proofErr w:type="spellStart"/>
      <w:r w:rsidRPr="0058064B">
        <w:rPr>
          <w:lang w:val="en-US" w:eastAsia="en-US"/>
        </w:rPr>
        <w:t>от</w:t>
      </w:r>
      <w:proofErr w:type="spellEnd"/>
      <w:r w:rsidRPr="0058064B">
        <w:rPr>
          <w:lang w:val="en-US" w:eastAsia="en-US"/>
        </w:rPr>
        <w:t xml:space="preserve"> </w:t>
      </w:r>
      <w:proofErr w:type="spellStart"/>
      <w:r w:rsidRPr="0058064B">
        <w:rPr>
          <w:lang w:val="en-US" w:eastAsia="en-US"/>
        </w:rPr>
        <w:t>български</w:t>
      </w:r>
      <w:proofErr w:type="spellEnd"/>
      <w:r w:rsidRPr="0058064B">
        <w:rPr>
          <w:lang w:val="en-US" w:eastAsia="en-US"/>
        </w:rPr>
        <w:t xml:space="preserve"> </w:t>
      </w:r>
      <w:proofErr w:type="spellStart"/>
      <w:r w:rsidRPr="0058064B">
        <w:rPr>
          <w:lang w:val="en-US" w:eastAsia="en-US"/>
        </w:rPr>
        <w:t>научни</w:t>
      </w:r>
      <w:proofErr w:type="spellEnd"/>
      <w:r w:rsidRPr="0058064B">
        <w:rPr>
          <w:lang w:val="en-US" w:eastAsia="en-US"/>
        </w:rPr>
        <w:t xml:space="preserve"> </w:t>
      </w:r>
      <w:proofErr w:type="spellStart"/>
      <w:r w:rsidRPr="0058064B">
        <w:rPr>
          <w:lang w:val="en-US" w:eastAsia="en-US"/>
        </w:rPr>
        <w:t>организации</w:t>
      </w:r>
      <w:proofErr w:type="spellEnd"/>
      <w:r w:rsidRPr="0058064B">
        <w:rPr>
          <w:lang w:val="en-US" w:eastAsia="en-US"/>
        </w:rPr>
        <w:t xml:space="preserve"> и </w:t>
      </w:r>
      <w:proofErr w:type="spellStart"/>
      <w:r w:rsidRPr="0058064B">
        <w:rPr>
          <w:lang w:val="en-US" w:eastAsia="en-US"/>
        </w:rPr>
        <w:t>университети</w:t>
      </w:r>
      <w:proofErr w:type="spellEnd"/>
      <w:r w:rsidRPr="0058064B">
        <w:rPr>
          <w:lang w:val="en-US" w:eastAsia="en-US"/>
        </w:rPr>
        <w:t xml:space="preserve"> с </w:t>
      </w:r>
      <w:proofErr w:type="spellStart"/>
      <w:r w:rsidRPr="0058064B">
        <w:rPr>
          <w:lang w:val="en-US" w:eastAsia="en-US"/>
        </w:rPr>
        <w:t>цел</w:t>
      </w:r>
      <w:proofErr w:type="spellEnd"/>
      <w:r w:rsidRPr="0058064B">
        <w:rPr>
          <w:lang w:val="en-US" w:eastAsia="en-US"/>
        </w:rPr>
        <w:t xml:space="preserve"> </w:t>
      </w:r>
      <w:proofErr w:type="spellStart"/>
      <w:r w:rsidRPr="0058064B">
        <w:rPr>
          <w:lang w:val="en-US" w:eastAsia="en-US"/>
        </w:rPr>
        <w:t>подпомагане</w:t>
      </w:r>
      <w:proofErr w:type="spellEnd"/>
      <w:r w:rsidRPr="0058064B">
        <w:rPr>
          <w:lang w:val="en-US" w:eastAsia="en-US"/>
        </w:rPr>
        <w:t xml:space="preserve">, </w:t>
      </w:r>
      <w:proofErr w:type="spellStart"/>
      <w:r w:rsidRPr="0058064B">
        <w:rPr>
          <w:lang w:val="en-US" w:eastAsia="en-US"/>
        </w:rPr>
        <w:t>създаване</w:t>
      </w:r>
      <w:proofErr w:type="spellEnd"/>
      <w:r w:rsidRPr="0058064B">
        <w:rPr>
          <w:lang w:val="en-US" w:eastAsia="en-US"/>
        </w:rPr>
        <w:t xml:space="preserve"> и </w:t>
      </w:r>
      <w:proofErr w:type="spellStart"/>
      <w:r w:rsidRPr="0058064B">
        <w:rPr>
          <w:lang w:val="en-US" w:eastAsia="en-US"/>
        </w:rPr>
        <w:t>развитие</w:t>
      </w:r>
      <w:proofErr w:type="spellEnd"/>
      <w:r w:rsidRPr="0058064B">
        <w:rPr>
          <w:lang w:val="en-US" w:eastAsia="en-US"/>
        </w:rPr>
        <w:t xml:space="preserve"> </w:t>
      </w:r>
      <w:proofErr w:type="spellStart"/>
      <w:r w:rsidRPr="0058064B">
        <w:rPr>
          <w:lang w:val="en-US" w:eastAsia="en-US"/>
        </w:rPr>
        <w:t>на</w:t>
      </w:r>
      <w:proofErr w:type="spellEnd"/>
      <w:r w:rsidRPr="0058064B">
        <w:rPr>
          <w:lang w:val="en-US" w:eastAsia="en-US"/>
        </w:rPr>
        <w:t xml:space="preserve"> </w:t>
      </w:r>
      <w:proofErr w:type="spellStart"/>
      <w:r w:rsidRPr="0058064B">
        <w:rPr>
          <w:lang w:val="en-US" w:eastAsia="en-US"/>
        </w:rPr>
        <w:t>сътрудничества</w:t>
      </w:r>
      <w:proofErr w:type="spellEnd"/>
      <w:r w:rsidRPr="0058064B">
        <w:rPr>
          <w:lang w:val="en-US" w:eastAsia="en-US"/>
        </w:rPr>
        <w:t xml:space="preserve"> </w:t>
      </w:r>
      <w:proofErr w:type="spellStart"/>
      <w:r w:rsidRPr="0058064B">
        <w:rPr>
          <w:lang w:val="en-US" w:eastAsia="en-US"/>
        </w:rPr>
        <w:t>за</w:t>
      </w:r>
      <w:proofErr w:type="spellEnd"/>
      <w:r w:rsidRPr="0058064B">
        <w:rPr>
          <w:lang w:val="en-US" w:eastAsia="en-US"/>
        </w:rPr>
        <w:t xml:space="preserve"> </w:t>
      </w:r>
      <w:proofErr w:type="spellStart"/>
      <w:r w:rsidRPr="0058064B">
        <w:rPr>
          <w:lang w:val="en-US" w:eastAsia="en-US"/>
        </w:rPr>
        <w:t>съвместна</w:t>
      </w:r>
      <w:proofErr w:type="spellEnd"/>
      <w:r w:rsidRPr="0058064B">
        <w:rPr>
          <w:lang w:val="en-US" w:eastAsia="en-US"/>
        </w:rPr>
        <w:t xml:space="preserve"> </w:t>
      </w:r>
      <w:proofErr w:type="spellStart"/>
      <w:r w:rsidRPr="0058064B">
        <w:rPr>
          <w:lang w:val="en-US" w:eastAsia="en-US"/>
        </w:rPr>
        <w:t>дейност</w:t>
      </w:r>
      <w:proofErr w:type="spellEnd"/>
      <w:r w:rsidRPr="0058064B">
        <w:rPr>
          <w:lang w:val="en-US" w:eastAsia="en-US"/>
        </w:rPr>
        <w:t xml:space="preserve"> с </w:t>
      </w:r>
      <w:proofErr w:type="spellStart"/>
      <w:r w:rsidRPr="0058064B">
        <w:rPr>
          <w:lang w:val="en-US" w:eastAsia="en-US"/>
        </w:rPr>
        <w:t>френски</w:t>
      </w:r>
      <w:proofErr w:type="spellEnd"/>
      <w:r w:rsidRPr="0058064B">
        <w:rPr>
          <w:lang w:val="en-US" w:eastAsia="en-US"/>
        </w:rPr>
        <w:t xml:space="preserve"> </w:t>
      </w:r>
      <w:proofErr w:type="spellStart"/>
      <w:r w:rsidRPr="0058064B">
        <w:rPr>
          <w:lang w:val="en-US" w:eastAsia="en-US"/>
        </w:rPr>
        <w:t>научни</w:t>
      </w:r>
      <w:proofErr w:type="spellEnd"/>
      <w:r w:rsidRPr="0058064B">
        <w:rPr>
          <w:lang w:val="en-US" w:eastAsia="en-US"/>
        </w:rPr>
        <w:t xml:space="preserve"> </w:t>
      </w:r>
      <w:proofErr w:type="spellStart"/>
      <w:r w:rsidRPr="0058064B">
        <w:rPr>
          <w:lang w:val="en-US" w:eastAsia="en-US"/>
        </w:rPr>
        <w:t>екипи</w:t>
      </w:r>
      <w:proofErr w:type="spellEnd"/>
      <w:r w:rsidRPr="0058064B">
        <w:rPr>
          <w:lang w:val="en-US" w:eastAsia="en-US"/>
        </w:rPr>
        <w:t xml:space="preserve">. </w:t>
      </w:r>
      <w:proofErr w:type="spellStart"/>
      <w:r w:rsidRPr="0058064B">
        <w:rPr>
          <w:lang w:val="en-US" w:eastAsia="en-US"/>
        </w:rPr>
        <w:t>Важно</w:t>
      </w:r>
      <w:proofErr w:type="spellEnd"/>
      <w:r w:rsidRPr="0058064B">
        <w:rPr>
          <w:lang w:val="en-US" w:eastAsia="en-US"/>
        </w:rPr>
        <w:t xml:space="preserve"> е </w:t>
      </w:r>
      <w:proofErr w:type="spellStart"/>
      <w:r w:rsidRPr="0058064B">
        <w:rPr>
          <w:lang w:val="en-US" w:eastAsia="en-US"/>
        </w:rPr>
        <w:t>участието</w:t>
      </w:r>
      <w:proofErr w:type="spellEnd"/>
      <w:r w:rsidRPr="0058064B">
        <w:rPr>
          <w:lang w:val="en-US" w:eastAsia="en-US"/>
        </w:rPr>
        <w:t xml:space="preserve"> </w:t>
      </w:r>
      <w:proofErr w:type="spellStart"/>
      <w:r w:rsidRPr="0058064B">
        <w:rPr>
          <w:lang w:val="en-US" w:eastAsia="en-US"/>
        </w:rPr>
        <w:t>както</w:t>
      </w:r>
      <w:proofErr w:type="spellEnd"/>
      <w:r w:rsidRPr="0058064B">
        <w:rPr>
          <w:lang w:val="en-US" w:eastAsia="en-US"/>
        </w:rPr>
        <w:t xml:space="preserve"> </w:t>
      </w:r>
      <w:proofErr w:type="spellStart"/>
      <w:r w:rsidRPr="0058064B">
        <w:rPr>
          <w:lang w:val="en-US" w:eastAsia="en-US"/>
        </w:rPr>
        <w:t>на</w:t>
      </w:r>
      <w:proofErr w:type="spellEnd"/>
      <w:r w:rsidRPr="0058064B">
        <w:rPr>
          <w:lang w:val="en-US" w:eastAsia="en-US"/>
        </w:rPr>
        <w:t xml:space="preserve"> </w:t>
      </w:r>
      <w:proofErr w:type="spellStart"/>
      <w:r w:rsidRPr="0058064B">
        <w:rPr>
          <w:lang w:val="en-US" w:eastAsia="en-US"/>
        </w:rPr>
        <w:t>млади</w:t>
      </w:r>
      <w:proofErr w:type="spellEnd"/>
      <w:r w:rsidRPr="0058064B">
        <w:rPr>
          <w:lang w:val="en-US" w:eastAsia="en-US"/>
        </w:rPr>
        <w:t xml:space="preserve"> </w:t>
      </w:r>
      <w:proofErr w:type="spellStart"/>
      <w:r w:rsidRPr="0058064B">
        <w:rPr>
          <w:lang w:val="en-US" w:eastAsia="en-US"/>
        </w:rPr>
        <w:t>изследователи</w:t>
      </w:r>
      <w:proofErr w:type="spellEnd"/>
      <w:r w:rsidRPr="0058064B">
        <w:rPr>
          <w:lang w:val="en-US" w:eastAsia="en-US"/>
        </w:rPr>
        <w:t xml:space="preserve"> (</w:t>
      </w:r>
      <w:proofErr w:type="spellStart"/>
      <w:r w:rsidRPr="0058064B">
        <w:rPr>
          <w:lang w:val="en-US" w:eastAsia="en-US"/>
        </w:rPr>
        <w:t>докторанти</w:t>
      </w:r>
      <w:proofErr w:type="spellEnd"/>
      <w:r w:rsidRPr="0058064B">
        <w:rPr>
          <w:lang w:val="en-US" w:eastAsia="en-US"/>
        </w:rPr>
        <w:t xml:space="preserve">), </w:t>
      </w:r>
      <w:proofErr w:type="spellStart"/>
      <w:r w:rsidRPr="0058064B">
        <w:rPr>
          <w:lang w:val="en-US" w:eastAsia="en-US"/>
        </w:rPr>
        <w:t>така</w:t>
      </w:r>
      <w:proofErr w:type="spellEnd"/>
      <w:r w:rsidRPr="0058064B">
        <w:rPr>
          <w:lang w:val="en-US" w:eastAsia="en-US"/>
        </w:rPr>
        <w:t xml:space="preserve"> и </w:t>
      </w:r>
      <w:proofErr w:type="spellStart"/>
      <w:r w:rsidRPr="0058064B">
        <w:rPr>
          <w:lang w:val="en-US" w:eastAsia="en-US"/>
        </w:rPr>
        <w:t>на</w:t>
      </w:r>
      <w:proofErr w:type="spellEnd"/>
      <w:r w:rsidRPr="0058064B">
        <w:rPr>
          <w:lang w:val="en-US" w:eastAsia="en-US"/>
        </w:rPr>
        <w:t xml:space="preserve"> </w:t>
      </w:r>
      <w:proofErr w:type="spellStart"/>
      <w:r w:rsidRPr="0058064B">
        <w:rPr>
          <w:lang w:val="en-US" w:eastAsia="en-US"/>
        </w:rPr>
        <w:t>утвърдени</w:t>
      </w:r>
      <w:proofErr w:type="spellEnd"/>
      <w:r w:rsidRPr="0058064B">
        <w:rPr>
          <w:lang w:val="en-US" w:eastAsia="en-US"/>
        </w:rPr>
        <w:t xml:space="preserve"> </w:t>
      </w:r>
      <w:proofErr w:type="spellStart"/>
      <w:r w:rsidRPr="0058064B">
        <w:rPr>
          <w:lang w:val="en-US" w:eastAsia="en-US"/>
        </w:rPr>
        <w:t>изследователи</w:t>
      </w:r>
      <w:proofErr w:type="spellEnd"/>
      <w:r w:rsidRPr="0058064B">
        <w:rPr>
          <w:lang w:val="en-US" w:eastAsia="en-US"/>
        </w:rPr>
        <w:t xml:space="preserve">. </w:t>
      </w:r>
      <w:proofErr w:type="spellStart"/>
      <w:r w:rsidRPr="0058064B">
        <w:rPr>
          <w:lang w:val="en-US" w:eastAsia="en-US"/>
        </w:rPr>
        <w:t>Кандидатурите</w:t>
      </w:r>
      <w:proofErr w:type="spellEnd"/>
      <w:r w:rsidRPr="0058064B">
        <w:rPr>
          <w:lang w:val="en-US" w:eastAsia="en-US"/>
        </w:rPr>
        <w:t xml:space="preserve"> </w:t>
      </w:r>
      <w:proofErr w:type="spellStart"/>
      <w:r w:rsidRPr="0058064B">
        <w:rPr>
          <w:lang w:val="en-US" w:eastAsia="en-US"/>
        </w:rPr>
        <w:t>могат</w:t>
      </w:r>
      <w:proofErr w:type="spellEnd"/>
      <w:r w:rsidRPr="0058064B">
        <w:rPr>
          <w:lang w:val="en-US" w:eastAsia="en-US"/>
        </w:rPr>
        <w:t xml:space="preserve"> </w:t>
      </w:r>
      <w:proofErr w:type="spellStart"/>
      <w:r w:rsidRPr="0058064B">
        <w:rPr>
          <w:lang w:val="en-US" w:eastAsia="en-US"/>
        </w:rPr>
        <w:t>да</w:t>
      </w:r>
      <w:proofErr w:type="spellEnd"/>
      <w:r w:rsidRPr="0058064B">
        <w:rPr>
          <w:lang w:val="en-US" w:eastAsia="en-US"/>
        </w:rPr>
        <w:t xml:space="preserve"> </w:t>
      </w:r>
      <w:proofErr w:type="spellStart"/>
      <w:r w:rsidRPr="0058064B">
        <w:rPr>
          <w:lang w:val="en-US" w:eastAsia="en-US"/>
        </w:rPr>
        <w:t>бъдат</w:t>
      </w:r>
      <w:proofErr w:type="spellEnd"/>
      <w:r w:rsidRPr="0058064B">
        <w:rPr>
          <w:lang w:val="en-US" w:eastAsia="en-US"/>
        </w:rPr>
        <w:t xml:space="preserve"> </w:t>
      </w:r>
      <w:proofErr w:type="spellStart"/>
      <w:r w:rsidRPr="0058064B">
        <w:rPr>
          <w:lang w:val="en-US" w:eastAsia="en-US"/>
        </w:rPr>
        <w:t>на</w:t>
      </w:r>
      <w:proofErr w:type="spellEnd"/>
      <w:r w:rsidRPr="0058064B">
        <w:rPr>
          <w:lang w:val="en-US" w:eastAsia="en-US"/>
        </w:rPr>
        <w:t xml:space="preserve"> </w:t>
      </w:r>
      <w:proofErr w:type="spellStart"/>
      <w:r w:rsidRPr="0058064B">
        <w:rPr>
          <w:lang w:val="en-US" w:eastAsia="en-US"/>
        </w:rPr>
        <w:t>френски</w:t>
      </w:r>
      <w:proofErr w:type="spellEnd"/>
      <w:r w:rsidRPr="0058064B">
        <w:rPr>
          <w:lang w:val="en-US" w:eastAsia="en-US"/>
        </w:rPr>
        <w:t xml:space="preserve"> </w:t>
      </w:r>
      <w:proofErr w:type="spellStart"/>
      <w:r w:rsidRPr="0058064B">
        <w:rPr>
          <w:lang w:val="en-US" w:eastAsia="en-US"/>
        </w:rPr>
        <w:t>или</w:t>
      </w:r>
      <w:proofErr w:type="spellEnd"/>
      <w:r w:rsidRPr="0058064B">
        <w:rPr>
          <w:lang w:val="en-US" w:eastAsia="en-US"/>
        </w:rPr>
        <w:t xml:space="preserve"> </w:t>
      </w:r>
      <w:proofErr w:type="spellStart"/>
      <w:r w:rsidRPr="0058064B">
        <w:rPr>
          <w:lang w:val="en-US" w:eastAsia="en-US"/>
        </w:rPr>
        <w:t>на</w:t>
      </w:r>
      <w:proofErr w:type="spellEnd"/>
      <w:r w:rsidRPr="0058064B">
        <w:rPr>
          <w:lang w:val="en-US" w:eastAsia="en-US"/>
        </w:rPr>
        <w:t xml:space="preserve"> </w:t>
      </w:r>
      <w:proofErr w:type="spellStart"/>
      <w:r w:rsidRPr="0058064B">
        <w:rPr>
          <w:lang w:val="en-US" w:eastAsia="en-US"/>
        </w:rPr>
        <w:t>английски</w:t>
      </w:r>
      <w:proofErr w:type="spellEnd"/>
      <w:r w:rsidRPr="0058064B">
        <w:rPr>
          <w:lang w:val="en-US" w:eastAsia="en-US"/>
        </w:rPr>
        <w:t xml:space="preserve"> </w:t>
      </w:r>
      <w:proofErr w:type="spellStart"/>
      <w:r w:rsidRPr="0058064B">
        <w:rPr>
          <w:lang w:val="en-US" w:eastAsia="en-US"/>
        </w:rPr>
        <w:t>език</w:t>
      </w:r>
      <w:proofErr w:type="spellEnd"/>
      <w:r w:rsidRPr="0058064B">
        <w:rPr>
          <w:lang w:val="en-US" w:eastAsia="en-US"/>
        </w:rPr>
        <w:t xml:space="preserve">. </w:t>
      </w:r>
      <w:proofErr w:type="spellStart"/>
      <w:r w:rsidRPr="0058064B">
        <w:rPr>
          <w:lang w:val="en-US" w:eastAsia="en-US"/>
        </w:rPr>
        <w:t>Максималният</w:t>
      </w:r>
      <w:proofErr w:type="spellEnd"/>
      <w:r w:rsidRPr="0058064B">
        <w:rPr>
          <w:lang w:val="en-US" w:eastAsia="en-US"/>
        </w:rPr>
        <w:t xml:space="preserve"> </w:t>
      </w:r>
      <w:proofErr w:type="spellStart"/>
      <w:r w:rsidRPr="0058064B">
        <w:rPr>
          <w:lang w:val="en-US" w:eastAsia="en-US"/>
        </w:rPr>
        <w:t>размер</w:t>
      </w:r>
      <w:proofErr w:type="spellEnd"/>
      <w:r w:rsidRPr="0058064B">
        <w:rPr>
          <w:lang w:val="en-US" w:eastAsia="en-US"/>
        </w:rPr>
        <w:t xml:space="preserve"> </w:t>
      </w:r>
      <w:proofErr w:type="spellStart"/>
      <w:r w:rsidRPr="0058064B">
        <w:rPr>
          <w:lang w:val="en-US" w:eastAsia="en-US"/>
        </w:rPr>
        <w:t>на</w:t>
      </w:r>
      <w:proofErr w:type="spellEnd"/>
      <w:r w:rsidRPr="0058064B">
        <w:rPr>
          <w:lang w:val="en-US" w:eastAsia="en-US"/>
        </w:rPr>
        <w:t xml:space="preserve"> </w:t>
      </w:r>
      <w:proofErr w:type="spellStart"/>
      <w:r w:rsidRPr="0058064B">
        <w:rPr>
          <w:lang w:val="en-US" w:eastAsia="en-US"/>
        </w:rPr>
        <w:t>предоставените</w:t>
      </w:r>
      <w:proofErr w:type="spellEnd"/>
      <w:r w:rsidRPr="0058064B">
        <w:rPr>
          <w:lang w:val="en-US" w:eastAsia="en-US"/>
        </w:rPr>
        <w:t xml:space="preserve"> </w:t>
      </w:r>
      <w:proofErr w:type="spellStart"/>
      <w:r w:rsidRPr="0058064B">
        <w:rPr>
          <w:lang w:val="en-US" w:eastAsia="en-US"/>
        </w:rPr>
        <w:t>субсидии</w:t>
      </w:r>
      <w:proofErr w:type="spellEnd"/>
      <w:r w:rsidRPr="0058064B">
        <w:rPr>
          <w:lang w:val="en-US" w:eastAsia="en-US"/>
        </w:rPr>
        <w:t xml:space="preserve"> е </w:t>
      </w:r>
      <w:proofErr w:type="spellStart"/>
      <w:r w:rsidRPr="0058064B">
        <w:rPr>
          <w:lang w:val="en-US" w:eastAsia="en-US"/>
        </w:rPr>
        <w:t>на</w:t>
      </w:r>
      <w:proofErr w:type="spellEnd"/>
      <w:r w:rsidRPr="0058064B">
        <w:rPr>
          <w:lang w:val="en-US" w:eastAsia="en-US"/>
        </w:rPr>
        <w:t xml:space="preserve"> </w:t>
      </w:r>
      <w:proofErr w:type="spellStart"/>
      <w:r w:rsidRPr="0058064B">
        <w:rPr>
          <w:lang w:val="en-US" w:eastAsia="en-US"/>
        </w:rPr>
        <w:t>стойност</w:t>
      </w:r>
      <w:proofErr w:type="spellEnd"/>
      <w:r w:rsidRPr="0058064B">
        <w:rPr>
          <w:lang w:val="en-US" w:eastAsia="en-US"/>
        </w:rPr>
        <w:t xml:space="preserve"> 2000 </w:t>
      </w:r>
      <w:proofErr w:type="spellStart"/>
      <w:r w:rsidRPr="0058064B">
        <w:rPr>
          <w:lang w:val="en-US" w:eastAsia="en-US"/>
        </w:rPr>
        <w:t>евро</w:t>
      </w:r>
      <w:proofErr w:type="spellEnd"/>
      <w:r w:rsidRPr="0058064B">
        <w:rPr>
          <w:lang w:val="en-US" w:eastAsia="en-US"/>
        </w:rPr>
        <w:t>.</w:t>
      </w:r>
    </w:p>
    <w:p w14:paraId="7C6EBEC1" w14:textId="77777777" w:rsidR="006D3F02" w:rsidRPr="0058064B" w:rsidRDefault="006D3F02" w:rsidP="0058064B">
      <w:pPr>
        <w:spacing w:before="120" w:after="120" w:line="276" w:lineRule="auto"/>
        <w:jc w:val="both"/>
        <w:rPr>
          <w:lang w:val="en-US" w:eastAsia="en-US"/>
        </w:rPr>
      </w:pPr>
      <w:proofErr w:type="spellStart"/>
      <w:r w:rsidRPr="0058064B">
        <w:rPr>
          <w:bCs/>
          <w:lang w:val="en-US" w:eastAsia="en-US"/>
        </w:rPr>
        <w:t>Условия</w:t>
      </w:r>
      <w:proofErr w:type="spellEnd"/>
      <w:r w:rsidRPr="0058064B">
        <w:rPr>
          <w:bCs/>
          <w:lang w:val="en-US" w:eastAsia="en-US"/>
        </w:rPr>
        <w:t xml:space="preserve"> </w:t>
      </w:r>
      <w:proofErr w:type="spellStart"/>
      <w:r w:rsidRPr="0058064B">
        <w:rPr>
          <w:bCs/>
          <w:lang w:val="en-US" w:eastAsia="en-US"/>
        </w:rPr>
        <w:t>за</w:t>
      </w:r>
      <w:proofErr w:type="spellEnd"/>
      <w:r w:rsidRPr="0058064B">
        <w:rPr>
          <w:bCs/>
          <w:lang w:val="en-US" w:eastAsia="en-US"/>
        </w:rPr>
        <w:t xml:space="preserve"> </w:t>
      </w:r>
      <w:proofErr w:type="spellStart"/>
      <w:r w:rsidRPr="0058064B">
        <w:rPr>
          <w:bCs/>
          <w:lang w:val="en-US" w:eastAsia="en-US"/>
        </w:rPr>
        <w:t>кандидатстване</w:t>
      </w:r>
      <w:proofErr w:type="spellEnd"/>
      <w:r w:rsidRPr="0058064B">
        <w:rPr>
          <w:bCs/>
          <w:lang w:val="en-US" w:eastAsia="en-US"/>
        </w:rPr>
        <w:t>:</w:t>
      </w:r>
    </w:p>
    <w:p w14:paraId="3F98ED72" w14:textId="77777777" w:rsidR="006D3F02" w:rsidRPr="0058064B" w:rsidRDefault="006D3F02" w:rsidP="0058064B">
      <w:pPr>
        <w:spacing w:before="120" w:after="120" w:line="276" w:lineRule="auto"/>
        <w:jc w:val="both"/>
        <w:rPr>
          <w:lang w:val="en-US" w:eastAsia="en-US"/>
        </w:rPr>
      </w:pPr>
      <w:proofErr w:type="spellStart"/>
      <w:r w:rsidRPr="0058064B">
        <w:rPr>
          <w:lang w:val="en-US" w:eastAsia="en-US"/>
        </w:rPr>
        <w:t>Проектите</w:t>
      </w:r>
      <w:proofErr w:type="spellEnd"/>
      <w:r w:rsidRPr="0058064B">
        <w:rPr>
          <w:lang w:val="en-US" w:eastAsia="en-US"/>
        </w:rPr>
        <w:t xml:space="preserve"> </w:t>
      </w:r>
      <w:proofErr w:type="spellStart"/>
      <w:r w:rsidRPr="0058064B">
        <w:rPr>
          <w:lang w:val="en-US" w:eastAsia="en-US"/>
        </w:rPr>
        <w:t>трябва</w:t>
      </w:r>
      <w:proofErr w:type="spellEnd"/>
      <w:r w:rsidRPr="0058064B">
        <w:rPr>
          <w:lang w:val="en-US" w:eastAsia="en-US"/>
        </w:rPr>
        <w:t xml:space="preserve"> </w:t>
      </w:r>
      <w:proofErr w:type="spellStart"/>
      <w:r w:rsidRPr="0058064B">
        <w:rPr>
          <w:lang w:val="en-US" w:eastAsia="en-US"/>
        </w:rPr>
        <w:t>да</w:t>
      </w:r>
      <w:proofErr w:type="spellEnd"/>
      <w:r w:rsidRPr="0058064B">
        <w:rPr>
          <w:lang w:val="en-US" w:eastAsia="en-US"/>
        </w:rPr>
        <w:t xml:space="preserve"> </w:t>
      </w:r>
      <w:proofErr w:type="spellStart"/>
      <w:r w:rsidRPr="0058064B">
        <w:rPr>
          <w:lang w:val="en-US" w:eastAsia="en-US"/>
        </w:rPr>
        <w:t>предвиждат</w:t>
      </w:r>
      <w:proofErr w:type="spellEnd"/>
      <w:r w:rsidRPr="0058064B">
        <w:rPr>
          <w:lang w:val="en-US" w:eastAsia="en-US"/>
        </w:rPr>
        <w:t xml:space="preserve"> </w:t>
      </w:r>
      <w:proofErr w:type="spellStart"/>
      <w:r w:rsidRPr="0058064B">
        <w:rPr>
          <w:lang w:val="en-US" w:eastAsia="en-US"/>
        </w:rPr>
        <w:t>участието</w:t>
      </w:r>
      <w:proofErr w:type="spellEnd"/>
      <w:r w:rsidRPr="0058064B">
        <w:rPr>
          <w:lang w:val="en-US" w:eastAsia="en-US"/>
        </w:rPr>
        <w:t xml:space="preserve"> </w:t>
      </w:r>
      <w:proofErr w:type="spellStart"/>
      <w:r w:rsidRPr="0058064B">
        <w:rPr>
          <w:lang w:val="en-US" w:eastAsia="en-US"/>
        </w:rPr>
        <w:t>на</w:t>
      </w:r>
      <w:proofErr w:type="spellEnd"/>
      <w:r w:rsidRPr="0058064B">
        <w:rPr>
          <w:lang w:val="en-US" w:eastAsia="en-US"/>
        </w:rPr>
        <w:t xml:space="preserve"> </w:t>
      </w:r>
      <w:proofErr w:type="spellStart"/>
      <w:r w:rsidRPr="0058064B">
        <w:rPr>
          <w:lang w:val="en-US" w:eastAsia="en-US"/>
        </w:rPr>
        <w:t>поне</w:t>
      </w:r>
      <w:proofErr w:type="spellEnd"/>
      <w:r w:rsidRPr="0058064B">
        <w:rPr>
          <w:lang w:val="en-US" w:eastAsia="en-US"/>
        </w:rPr>
        <w:t xml:space="preserve"> </w:t>
      </w:r>
      <w:proofErr w:type="spellStart"/>
      <w:r w:rsidRPr="0058064B">
        <w:rPr>
          <w:lang w:val="en-US" w:eastAsia="en-US"/>
        </w:rPr>
        <w:t>един</w:t>
      </w:r>
      <w:proofErr w:type="spellEnd"/>
      <w:r w:rsidRPr="0058064B">
        <w:rPr>
          <w:lang w:val="en-US" w:eastAsia="en-US"/>
        </w:rPr>
        <w:t xml:space="preserve"> </w:t>
      </w:r>
      <w:proofErr w:type="spellStart"/>
      <w:r w:rsidRPr="0058064B">
        <w:rPr>
          <w:lang w:val="en-US" w:eastAsia="en-US"/>
        </w:rPr>
        <w:t>изследовател</w:t>
      </w:r>
      <w:proofErr w:type="spellEnd"/>
      <w:r w:rsidRPr="0058064B">
        <w:rPr>
          <w:lang w:val="en-US" w:eastAsia="en-US"/>
        </w:rPr>
        <w:t xml:space="preserve"> </w:t>
      </w:r>
      <w:proofErr w:type="spellStart"/>
      <w:r w:rsidRPr="0058064B">
        <w:rPr>
          <w:lang w:val="en-US" w:eastAsia="en-US"/>
        </w:rPr>
        <w:t>от</w:t>
      </w:r>
      <w:proofErr w:type="spellEnd"/>
      <w:r w:rsidRPr="0058064B">
        <w:rPr>
          <w:lang w:val="en-US" w:eastAsia="en-US"/>
        </w:rPr>
        <w:t xml:space="preserve"> </w:t>
      </w:r>
      <w:proofErr w:type="spellStart"/>
      <w:r w:rsidRPr="0058064B">
        <w:rPr>
          <w:lang w:val="en-US" w:eastAsia="en-US"/>
        </w:rPr>
        <w:t>Франция</w:t>
      </w:r>
      <w:proofErr w:type="spellEnd"/>
      <w:r w:rsidRPr="0058064B">
        <w:rPr>
          <w:lang w:val="en-US" w:eastAsia="en-US"/>
        </w:rPr>
        <w:t xml:space="preserve"> и </w:t>
      </w:r>
      <w:proofErr w:type="spellStart"/>
      <w:r w:rsidRPr="0058064B">
        <w:rPr>
          <w:lang w:val="en-US" w:eastAsia="en-US"/>
        </w:rPr>
        <w:t>от</w:t>
      </w:r>
      <w:proofErr w:type="spellEnd"/>
      <w:r w:rsidRPr="0058064B">
        <w:rPr>
          <w:lang w:val="en-US" w:eastAsia="en-US"/>
        </w:rPr>
        <w:t xml:space="preserve"> България. </w:t>
      </w:r>
      <w:proofErr w:type="spellStart"/>
      <w:r w:rsidRPr="0058064B">
        <w:rPr>
          <w:lang w:val="en-US" w:eastAsia="en-US"/>
        </w:rPr>
        <w:t>Исканата</w:t>
      </w:r>
      <w:proofErr w:type="spellEnd"/>
      <w:r w:rsidRPr="0058064B">
        <w:rPr>
          <w:lang w:val="en-US" w:eastAsia="en-US"/>
        </w:rPr>
        <w:t xml:space="preserve"> </w:t>
      </w:r>
      <w:proofErr w:type="spellStart"/>
      <w:r w:rsidRPr="0058064B">
        <w:rPr>
          <w:lang w:val="en-US" w:eastAsia="en-US"/>
        </w:rPr>
        <w:t>субсидия</w:t>
      </w:r>
      <w:proofErr w:type="spellEnd"/>
      <w:r w:rsidRPr="0058064B">
        <w:rPr>
          <w:lang w:val="en-US" w:eastAsia="en-US"/>
        </w:rPr>
        <w:t xml:space="preserve"> </w:t>
      </w:r>
      <w:proofErr w:type="spellStart"/>
      <w:r w:rsidRPr="0058064B">
        <w:rPr>
          <w:lang w:val="en-US" w:eastAsia="en-US"/>
        </w:rPr>
        <w:t>представлява</w:t>
      </w:r>
      <w:proofErr w:type="spellEnd"/>
      <w:r w:rsidRPr="0058064B">
        <w:rPr>
          <w:lang w:val="en-US" w:eastAsia="en-US"/>
        </w:rPr>
        <w:t xml:space="preserve"> </w:t>
      </w:r>
      <w:proofErr w:type="spellStart"/>
      <w:r w:rsidRPr="0058064B">
        <w:rPr>
          <w:lang w:val="en-US" w:eastAsia="en-US"/>
        </w:rPr>
        <w:t>частично</w:t>
      </w:r>
      <w:proofErr w:type="spellEnd"/>
      <w:r w:rsidRPr="0058064B">
        <w:rPr>
          <w:lang w:val="en-US" w:eastAsia="en-US"/>
        </w:rPr>
        <w:t xml:space="preserve"> </w:t>
      </w:r>
      <w:proofErr w:type="spellStart"/>
      <w:r w:rsidRPr="0058064B">
        <w:rPr>
          <w:lang w:val="en-US" w:eastAsia="en-US"/>
        </w:rPr>
        <w:t>финансиране</w:t>
      </w:r>
      <w:proofErr w:type="spellEnd"/>
      <w:r w:rsidRPr="0058064B">
        <w:rPr>
          <w:lang w:val="en-US" w:eastAsia="en-US"/>
        </w:rPr>
        <w:t xml:space="preserve"> и </w:t>
      </w:r>
      <w:proofErr w:type="spellStart"/>
      <w:r w:rsidRPr="0058064B">
        <w:rPr>
          <w:lang w:val="en-US" w:eastAsia="en-US"/>
        </w:rPr>
        <w:t>не</w:t>
      </w:r>
      <w:proofErr w:type="spellEnd"/>
      <w:r w:rsidRPr="0058064B">
        <w:rPr>
          <w:lang w:val="en-US" w:eastAsia="en-US"/>
        </w:rPr>
        <w:t xml:space="preserve"> </w:t>
      </w:r>
      <w:proofErr w:type="spellStart"/>
      <w:r w:rsidRPr="0058064B">
        <w:rPr>
          <w:lang w:val="en-US" w:eastAsia="en-US"/>
        </w:rPr>
        <w:t>трябва</w:t>
      </w:r>
      <w:proofErr w:type="spellEnd"/>
      <w:r w:rsidRPr="0058064B">
        <w:rPr>
          <w:lang w:val="en-US" w:eastAsia="en-US"/>
        </w:rPr>
        <w:t xml:space="preserve"> </w:t>
      </w:r>
      <w:proofErr w:type="spellStart"/>
      <w:r w:rsidRPr="0058064B">
        <w:rPr>
          <w:lang w:val="en-US" w:eastAsia="en-US"/>
        </w:rPr>
        <w:t>да</w:t>
      </w:r>
      <w:proofErr w:type="spellEnd"/>
      <w:r w:rsidRPr="0058064B">
        <w:rPr>
          <w:lang w:val="en-US" w:eastAsia="en-US"/>
        </w:rPr>
        <w:t xml:space="preserve"> </w:t>
      </w:r>
      <w:proofErr w:type="spellStart"/>
      <w:r w:rsidRPr="0058064B">
        <w:rPr>
          <w:lang w:val="en-US" w:eastAsia="en-US"/>
        </w:rPr>
        <w:t>надвишава</w:t>
      </w:r>
      <w:proofErr w:type="spellEnd"/>
      <w:r w:rsidRPr="0058064B">
        <w:rPr>
          <w:lang w:val="en-US" w:eastAsia="en-US"/>
        </w:rPr>
        <w:t xml:space="preserve"> 33 % </w:t>
      </w:r>
      <w:proofErr w:type="spellStart"/>
      <w:r w:rsidRPr="0058064B">
        <w:rPr>
          <w:lang w:val="en-US" w:eastAsia="en-US"/>
        </w:rPr>
        <w:t>от</w:t>
      </w:r>
      <w:proofErr w:type="spellEnd"/>
      <w:r w:rsidRPr="0058064B">
        <w:rPr>
          <w:lang w:val="en-US" w:eastAsia="en-US"/>
        </w:rPr>
        <w:t xml:space="preserve"> </w:t>
      </w:r>
      <w:proofErr w:type="spellStart"/>
      <w:r w:rsidRPr="0058064B">
        <w:rPr>
          <w:lang w:val="en-US" w:eastAsia="en-US"/>
        </w:rPr>
        <w:t>предвидения</w:t>
      </w:r>
      <w:proofErr w:type="spellEnd"/>
      <w:r w:rsidRPr="0058064B">
        <w:rPr>
          <w:lang w:val="en-US" w:eastAsia="en-US"/>
        </w:rPr>
        <w:t xml:space="preserve"> </w:t>
      </w:r>
      <w:proofErr w:type="spellStart"/>
      <w:r w:rsidRPr="0058064B">
        <w:rPr>
          <w:lang w:val="en-US" w:eastAsia="en-US"/>
        </w:rPr>
        <w:t>бюджет</w:t>
      </w:r>
      <w:proofErr w:type="spellEnd"/>
      <w:r w:rsidRPr="0058064B">
        <w:rPr>
          <w:lang w:val="en-US" w:eastAsia="en-US"/>
        </w:rPr>
        <w:t xml:space="preserve"> по </w:t>
      </w:r>
      <w:proofErr w:type="spellStart"/>
      <w:r w:rsidRPr="0058064B">
        <w:rPr>
          <w:lang w:val="en-US" w:eastAsia="en-US"/>
        </w:rPr>
        <w:t>проекта</w:t>
      </w:r>
      <w:proofErr w:type="spellEnd"/>
      <w:r w:rsidRPr="0058064B">
        <w:rPr>
          <w:lang w:val="en-US" w:eastAsia="en-US"/>
        </w:rPr>
        <w:t xml:space="preserve">. </w:t>
      </w:r>
      <w:proofErr w:type="spellStart"/>
      <w:r w:rsidRPr="0058064B">
        <w:rPr>
          <w:lang w:val="en-US" w:eastAsia="en-US"/>
        </w:rPr>
        <w:t>Използването</w:t>
      </w:r>
      <w:proofErr w:type="spellEnd"/>
      <w:r w:rsidRPr="0058064B">
        <w:rPr>
          <w:lang w:val="en-US" w:eastAsia="en-US"/>
        </w:rPr>
        <w:t xml:space="preserve"> </w:t>
      </w:r>
      <w:proofErr w:type="spellStart"/>
      <w:r w:rsidRPr="0058064B">
        <w:rPr>
          <w:lang w:val="en-US" w:eastAsia="en-US"/>
        </w:rPr>
        <w:t>на</w:t>
      </w:r>
      <w:proofErr w:type="spellEnd"/>
      <w:r w:rsidRPr="0058064B">
        <w:rPr>
          <w:lang w:val="en-US" w:eastAsia="en-US"/>
        </w:rPr>
        <w:t xml:space="preserve"> </w:t>
      </w:r>
      <w:proofErr w:type="spellStart"/>
      <w:r w:rsidRPr="0058064B">
        <w:rPr>
          <w:lang w:val="en-US" w:eastAsia="en-US"/>
        </w:rPr>
        <w:t>средствата</w:t>
      </w:r>
      <w:proofErr w:type="spellEnd"/>
      <w:r w:rsidRPr="0058064B">
        <w:rPr>
          <w:lang w:val="en-US" w:eastAsia="en-US"/>
        </w:rPr>
        <w:t xml:space="preserve"> е </w:t>
      </w:r>
      <w:proofErr w:type="spellStart"/>
      <w:r w:rsidRPr="0058064B">
        <w:rPr>
          <w:lang w:val="en-US" w:eastAsia="en-US"/>
        </w:rPr>
        <w:t>целево</w:t>
      </w:r>
      <w:proofErr w:type="spellEnd"/>
      <w:r w:rsidRPr="0058064B">
        <w:rPr>
          <w:lang w:val="en-US" w:eastAsia="en-US"/>
        </w:rPr>
        <w:t xml:space="preserve">, по </w:t>
      </w:r>
      <w:proofErr w:type="spellStart"/>
      <w:r w:rsidRPr="0058064B">
        <w:rPr>
          <w:lang w:val="en-US" w:eastAsia="en-US"/>
        </w:rPr>
        <w:t>предварително</w:t>
      </w:r>
      <w:proofErr w:type="spellEnd"/>
      <w:r w:rsidRPr="0058064B">
        <w:rPr>
          <w:lang w:val="en-US" w:eastAsia="en-US"/>
        </w:rPr>
        <w:t xml:space="preserve"> </w:t>
      </w:r>
      <w:proofErr w:type="spellStart"/>
      <w:r w:rsidRPr="0058064B">
        <w:rPr>
          <w:lang w:val="en-US" w:eastAsia="en-US"/>
        </w:rPr>
        <w:t>определени</w:t>
      </w:r>
      <w:proofErr w:type="spellEnd"/>
      <w:r w:rsidRPr="0058064B">
        <w:rPr>
          <w:lang w:val="en-US" w:eastAsia="en-US"/>
        </w:rPr>
        <w:t xml:space="preserve"> </w:t>
      </w:r>
      <w:proofErr w:type="spellStart"/>
      <w:r w:rsidRPr="0058064B">
        <w:rPr>
          <w:lang w:val="en-US" w:eastAsia="en-US"/>
        </w:rPr>
        <w:t>разходни</w:t>
      </w:r>
      <w:proofErr w:type="spellEnd"/>
      <w:r w:rsidRPr="0058064B">
        <w:rPr>
          <w:lang w:val="en-US" w:eastAsia="en-US"/>
        </w:rPr>
        <w:t xml:space="preserve"> </w:t>
      </w:r>
      <w:proofErr w:type="spellStart"/>
      <w:r w:rsidRPr="0058064B">
        <w:rPr>
          <w:lang w:val="en-US" w:eastAsia="en-US"/>
        </w:rPr>
        <w:t>пера</w:t>
      </w:r>
      <w:proofErr w:type="spellEnd"/>
      <w:r w:rsidRPr="0058064B">
        <w:rPr>
          <w:lang w:val="en-US" w:eastAsia="en-US"/>
        </w:rPr>
        <w:t xml:space="preserve">. </w:t>
      </w:r>
      <w:proofErr w:type="spellStart"/>
      <w:r w:rsidRPr="0058064B">
        <w:rPr>
          <w:lang w:val="en-US" w:eastAsia="en-US"/>
        </w:rPr>
        <w:t>Могат</w:t>
      </w:r>
      <w:proofErr w:type="spellEnd"/>
      <w:r w:rsidRPr="0058064B">
        <w:rPr>
          <w:lang w:val="en-US" w:eastAsia="en-US"/>
        </w:rPr>
        <w:t xml:space="preserve"> </w:t>
      </w:r>
      <w:proofErr w:type="spellStart"/>
      <w:r w:rsidRPr="0058064B">
        <w:rPr>
          <w:lang w:val="en-US" w:eastAsia="en-US"/>
        </w:rPr>
        <w:t>да</w:t>
      </w:r>
      <w:proofErr w:type="spellEnd"/>
      <w:r w:rsidRPr="0058064B">
        <w:rPr>
          <w:lang w:val="en-US" w:eastAsia="en-US"/>
        </w:rPr>
        <w:t xml:space="preserve"> </w:t>
      </w:r>
      <w:proofErr w:type="spellStart"/>
      <w:r w:rsidRPr="0058064B">
        <w:rPr>
          <w:lang w:val="en-US" w:eastAsia="en-US"/>
        </w:rPr>
        <w:t>бъдат</w:t>
      </w:r>
      <w:proofErr w:type="spellEnd"/>
      <w:r w:rsidRPr="0058064B">
        <w:rPr>
          <w:lang w:val="en-US" w:eastAsia="en-US"/>
        </w:rPr>
        <w:t xml:space="preserve"> </w:t>
      </w:r>
      <w:proofErr w:type="spellStart"/>
      <w:r w:rsidRPr="0058064B">
        <w:rPr>
          <w:lang w:val="en-US" w:eastAsia="en-US"/>
        </w:rPr>
        <w:t>финансирани</w:t>
      </w:r>
      <w:proofErr w:type="spellEnd"/>
      <w:r w:rsidRPr="0058064B">
        <w:rPr>
          <w:lang w:val="en-US" w:eastAsia="en-US"/>
        </w:rPr>
        <w:t xml:space="preserve"> </w:t>
      </w:r>
      <w:proofErr w:type="spellStart"/>
      <w:r w:rsidRPr="0058064B">
        <w:rPr>
          <w:lang w:val="en-US" w:eastAsia="en-US"/>
        </w:rPr>
        <w:t>подготовка</w:t>
      </w:r>
      <w:proofErr w:type="spellEnd"/>
      <w:r w:rsidRPr="0058064B">
        <w:rPr>
          <w:lang w:val="en-US" w:eastAsia="en-US"/>
        </w:rPr>
        <w:t xml:space="preserve"> и </w:t>
      </w:r>
      <w:proofErr w:type="spellStart"/>
      <w:r w:rsidRPr="0058064B">
        <w:rPr>
          <w:lang w:val="en-US" w:eastAsia="en-US"/>
        </w:rPr>
        <w:t>извършване</w:t>
      </w:r>
      <w:proofErr w:type="spellEnd"/>
      <w:r w:rsidRPr="0058064B">
        <w:rPr>
          <w:lang w:val="en-US" w:eastAsia="en-US"/>
        </w:rPr>
        <w:t xml:space="preserve"> </w:t>
      </w:r>
      <w:proofErr w:type="spellStart"/>
      <w:r w:rsidRPr="0058064B">
        <w:rPr>
          <w:lang w:val="en-US" w:eastAsia="en-US"/>
        </w:rPr>
        <w:t>на</w:t>
      </w:r>
      <w:proofErr w:type="spellEnd"/>
      <w:r w:rsidRPr="0058064B">
        <w:rPr>
          <w:lang w:val="en-US" w:eastAsia="en-US"/>
        </w:rPr>
        <w:t xml:space="preserve"> </w:t>
      </w:r>
      <w:proofErr w:type="spellStart"/>
      <w:r w:rsidRPr="0058064B">
        <w:rPr>
          <w:lang w:val="en-US" w:eastAsia="en-US"/>
        </w:rPr>
        <w:t>научни</w:t>
      </w:r>
      <w:proofErr w:type="spellEnd"/>
      <w:r w:rsidRPr="0058064B">
        <w:rPr>
          <w:lang w:val="en-US" w:eastAsia="en-US"/>
        </w:rPr>
        <w:t xml:space="preserve"> </w:t>
      </w:r>
      <w:proofErr w:type="spellStart"/>
      <w:r w:rsidRPr="0058064B">
        <w:rPr>
          <w:lang w:val="en-US" w:eastAsia="en-US"/>
        </w:rPr>
        <w:t>изследвания</w:t>
      </w:r>
      <w:proofErr w:type="spellEnd"/>
      <w:r w:rsidRPr="0058064B">
        <w:rPr>
          <w:lang w:val="en-US" w:eastAsia="en-US"/>
        </w:rPr>
        <w:t xml:space="preserve">, </w:t>
      </w:r>
      <w:proofErr w:type="spellStart"/>
      <w:r w:rsidRPr="0058064B">
        <w:rPr>
          <w:lang w:val="en-US" w:eastAsia="en-US"/>
        </w:rPr>
        <w:t>консумативи</w:t>
      </w:r>
      <w:proofErr w:type="spellEnd"/>
      <w:r w:rsidRPr="0058064B">
        <w:rPr>
          <w:lang w:val="en-US" w:eastAsia="en-US"/>
        </w:rPr>
        <w:t xml:space="preserve">, </w:t>
      </w:r>
      <w:proofErr w:type="spellStart"/>
      <w:r w:rsidRPr="0058064B">
        <w:rPr>
          <w:lang w:val="en-US" w:eastAsia="en-US"/>
        </w:rPr>
        <w:t>преводи</w:t>
      </w:r>
      <w:proofErr w:type="spellEnd"/>
      <w:r w:rsidRPr="0058064B">
        <w:rPr>
          <w:lang w:val="en-US" w:eastAsia="en-US"/>
        </w:rPr>
        <w:t xml:space="preserve">, </w:t>
      </w:r>
      <w:proofErr w:type="spellStart"/>
      <w:r w:rsidRPr="0058064B">
        <w:rPr>
          <w:lang w:val="en-US" w:eastAsia="en-US"/>
        </w:rPr>
        <w:t>публикации</w:t>
      </w:r>
      <w:proofErr w:type="spellEnd"/>
      <w:r w:rsidRPr="0058064B">
        <w:rPr>
          <w:lang w:val="en-US" w:eastAsia="en-US"/>
        </w:rPr>
        <w:t xml:space="preserve"> </w:t>
      </w:r>
      <w:proofErr w:type="spellStart"/>
      <w:r w:rsidRPr="0058064B">
        <w:rPr>
          <w:lang w:val="en-US" w:eastAsia="en-US"/>
        </w:rPr>
        <w:t>или</w:t>
      </w:r>
      <w:proofErr w:type="spellEnd"/>
      <w:r w:rsidRPr="0058064B">
        <w:rPr>
          <w:lang w:val="en-US" w:eastAsia="en-US"/>
        </w:rPr>
        <w:t xml:space="preserve"> </w:t>
      </w:r>
      <w:proofErr w:type="spellStart"/>
      <w:r w:rsidRPr="0058064B">
        <w:rPr>
          <w:lang w:val="en-US" w:eastAsia="en-US"/>
        </w:rPr>
        <w:t>научни</w:t>
      </w:r>
      <w:proofErr w:type="spellEnd"/>
      <w:r w:rsidRPr="0058064B">
        <w:rPr>
          <w:lang w:val="en-US" w:eastAsia="en-US"/>
        </w:rPr>
        <w:t xml:space="preserve"> </w:t>
      </w:r>
      <w:proofErr w:type="spellStart"/>
      <w:r w:rsidRPr="0058064B">
        <w:rPr>
          <w:lang w:val="en-US" w:eastAsia="en-US"/>
        </w:rPr>
        <w:t>събития</w:t>
      </w:r>
      <w:proofErr w:type="spellEnd"/>
      <w:r w:rsidRPr="0058064B">
        <w:rPr>
          <w:lang w:val="en-US" w:eastAsia="en-US"/>
        </w:rPr>
        <w:t xml:space="preserve"> в </w:t>
      </w:r>
      <w:proofErr w:type="spellStart"/>
      <w:r w:rsidRPr="0058064B">
        <w:rPr>
          <w:lang w:val="en-US" w:eastAsia="en-US"/>
        </w:rPr>
        <w:t>частта</w:t>
      </w:r>
      <w:proofErr w:type="spellEnd"/>
      <w:r w:rsidRPr="0058064B">
        <w:rPr>
          <w:lang w:val="en-US" w:eastAsia="en-US"/>
        </w:rPr>
        <w:t xml:space="preserve"> </w:t>
      </w:r>
      <w:proofErr w:type="spellStart"/>
      <w:r w:rsidRPr="0058064B">
        <w:rPr>
          <w:lang w:val="en-US" w:eastAsia="en-US"/>
        </w:rPr>
        <w:t>им</w:t>
      </w:r>
      <w:proofErr w:type="spellEnd"/>
      <w:r w:rsidRPr="0058064B">
        <w:rPr>
          <w:lang w:val="en-US" w:eastAsia="en-US"/>
        </w:rPr>
        <w:t xml:space="preserve"> </w:t>
      </w:r>
      <w:proofErr w:type="spellStart"/>
      <w:r w:rsidRPr="0058064B">
        <w:rPr>
          <w:lang w:val="en-US" w:eastAsia="en-US"/>
        </w:rPr>
        <w:t>френско-българско</w:t>
      </w:r>
      <w:proofErr w:type="spellEnd"/>
      <w:r w:rsidRPr="0058064B">
        <w:rPr>
          <w:lang w:val="en-US" w:eastAsia="en-US"/>
        </w:rPr>
        <w:t xml:space="preserve"> </w:t>
      </w:r>
      <w:proofErr w:type="spellStart"/>
      <w:r w:rsidRPr="0058064B">
        <w:rPr>
          <w:lang w:val="en-US" w:eastAsia="en-US"/>
        </w:rPr>
        <w:t>сътрудничество</w:t>
      </w:r>
      <w:proofErr w:type="spellEnd"/>
      <w:r w:rsidRPr="0058064B">
        <w:rPr>
          <w:lang w:val="en-US" w:eastAsia="en-US"/>
        </w:rPr>
        <w:t xml:space="preserve"> (</w:t>
      </w:r>
      <w:proofErr w:type="spellStart"/>
      <w:r w:rsidRPr="0058064B">
        <w:rPr>
          <w:lang w:val="en-US" w:eastAsia="en-US"/>
        </w:rPr>
        <w:t>конференции</w:t>
      </w:r>
      <w:proofErr w:type="spellEnd"/>
      <w:r w:rsidRPr="0058064B">
        <w:rPr>
          <w:lang w:val="en-US" w:eastAsia="en-US"/>
        </w:rPr>
        <w:t xml:space="preserve">, </w:t>
      </w:r>
      <w:proofErr w:type="spellStart"/>
      <w:r w:rsidRPr="0058064B">
        <w:rPr>
          <w:lang w:val="en-US" w:eastAsia="en-US"/>
        </w:rPr>
        <w:t>лекции</w:t>
      </w:r>
      <w:proofErr w:type="spellEnd"/>
      <w:r w:rsidRPr="0058064B">
        <w:rPr>
          <w:lang w:val="en-US" w:eastAsia="en-US"/>
        </w:rPr>
        <w:t xml:space="preserve">, </w:t>
      </w:r>
      <w:proofErr w:type="spellStart"/>
      <w:r w:rsidRPr="0058064B">
        <w:rPr>
          <w:lang w:val="en-US" w:eastAsia="en-US"/>
        </w:rPr>
        <w:t>уъркшоп</w:t>
      </w:r>
      <w:proofErr w:type="spellEnd"/>
      <w:r w:rsidRPr="0058064B">
        <w:rPr>
          <w:lang w:val="en-US" w:eastAsia="en-US"/>
        </w:rPr>
        <w:t xml:space="preserve"> и </w:t>
      </w:r>
      <w:proofErr w:type="spellStart"/>
      <w:r w:rsidRPr="0058064B">
        <w:rPr>
          <w:lang w:val="en-US" w:eastAsia="en-US"/>
        </w:rPr>
        <w:t>други</w:t>
      </w:r>
      <w:proofErr w:type="spellEnd"/>
      <w:r w:rsidRPr="0058064B">
        <w:rPr>
          <w:lang w:val="en-US" w:eastAsia="en-US"/>
        </w:rPr>
        <w:t xml:space="preserve">). </w:t>
      </w:r>
      <w:proofErr w:type="spellStart"/>
      <w:r w:rsidRPr="0058064B">
        <w:rPr>
          <w:lang w:val="en-US" w:eastAsia="en-US"/>
        </w:rPr>
        <w:t>От</w:t>
      </w:r>
      <w:proofErr w:type="spellEnd"/>
      <w:r w:rsidRPr="0058064B">
        <w:rPr>
          <w:lang w:val="en-US" w:eastAsia="en-US"/>
        </w:rPr>
        <w:t xml:space="preserve"> </w:t>
      </w:r>
      <w:proofErr w:type="spellStart"/>
      <w:r w:rsidRPr="0058064B">
        <w:rPr>
          <w:lang w:val="en-US" w:eastAsia="en-US"/>
        </w:rPr>
        <w:t>друга</w:t>
      </w:r>
      <w:proofErr w:type="spellEnd"/>
      <w:r w:rsidRPr="0058064B">
        <w:rPr>
          <w:lang w:val="en-US" w:eastAsia="en-US"/>
        </w:rPr>
        <w:t xml:space="preserve"> </w:t>
      </w:r>
      <w:proofErr w:type="spellStart"/>
      <w:r w:rsidRPr="0058064B">
        <w:rPr>
          <w:lang w:val="en-US" w:eastAsia="en-US"/>
        </w:rPr>
        <w:t>страна</w:t>
      </w:r>
      <w:proofErr w:type="spellEnd"/>
      <w:r w:rsidRPr="0058064B">
        <w:rPr>
          <w:lang w:val="en-US" w:eastAsia="en-US"/>
        </w:rPr>
        <w:t xml:space="preserve">, </w:t>
      </w:r>
      <w:proofErr w:type="spellStart"/>
      <w:r w:rsidRPr="0058064B">
        <w:rPr>
          <w:lang w:val="en-US" w:eastAsia="en-US"/>
        </w:rPr>
        <w:t>субсидията</w:t>
      </w:r>
      <w:proofErr w:type="spellEnd"/>
      <w:r w:rsidRPr="0058064B">
        <w:rPr>
          <w:lang w:val="en-US" w:eastAsia="en-US"/>
        </w:rPr>
        <w:t xml:space="preserve"> </w:t>
      </w:r>
      <w:proofErr w:type="spellStart"/>
      <w:r w:rsidRPr="0058064B">
        <w:rPr>
          <w:lang w:val="en-US" w:eastAsia="en-US"/>
        </w:rPr>
        <w:t>не</w:t>
      </w:r>
      <w:proofErr w:type="spellEnd"/>
      <w:r w:rsidRPr="0058064B">
        <w:rPr>
          <w:lang w:val="en-US" w:eastAsia="en-US"/>
        </w:rPr>
        <w:t xml:space="preserve"> </w:t>
      </w:r>
      <w:proofErr w:type="spellStart"/>
      <w:r w:rsidRPr="0058064B">
        <w:rPr>
          <w:lang w:val="en-US" w:eastAsia="en-US"/>
        </w:rPr>
        <w:t>може</w:t>
      </w:r>
      <w:proofErr w:type="spellEnd"/>
      <w:r w:rsidRPr="0058064B">
        <w:rPr>
          <w:lang w:val="en-US" w:eastAsia="en-US"/>
        </w:rPr>
        <w:t xml:space="preserve"> </w:t>
      </w:r>
      <w:proofErr w:type="spellStart"/>
      <w:r w:rsidRPr="0058064B">
        <w:rPr>
          <w:lang w:val="en-US" w:eastAsia="en-US"/>
        </w:rPr>
        <w:t>да</w:t>
      </w:r>
      <w:proofErr w:type="spellEnd"/>
      <w:r w:rsidRPr="0058064B">
        <w:rPr>
          <w:lang w:val="en-US" w:eastAsia="en-US"/>
        </w:rPr>
        <w:t xml:space="preserve"> </w:t>
      </w:r>
      <w:proofErr w:type="spellStart"/>
      <w:r w:rsidRPr="0058064B">
        <w:rPr>
          <w:lang w:val="en-US" w:eastAsia="en-US"/>
        </w:rPr>
        <w:t>се</w:t>
      </w:r>
      <w:proofErr w:type="spellEnd"/>
      <w:r w:rsidRPr="0058064B">
        <w:rPr>
          <w:lang w:val="en-US" w:eastAsia="en-US"/>
        </w:rPr>
        <w:t xml:space="preserve"> </w:t>
      </w:r>
      <w:proofErr w:type="spellStart"/>
      <w:r w:rsidRPr="0058064B">
        <w:rPr>
          <w:lang w:val="en-US" w:eastAsia="en-US"/>
        </w:rPr>
        <w:t>използва</w:t>
      </w:r>
      <w:proofErr w:type="spellEnd"/>
      <w:r w:rsidRPr="0058064B">
        <w:rPr>
          <w:lang w:val="en-US" w:eastAsia="en-US"/>
        </w:rPr>
        <w:t xml:space="preserve"> </w:t>
      </w:r>
      <w:proofErr w:type="spellStart"/>
      <w:r w:rsidRPr="0058064B">
        <w:rPr>
          <w:lang w:val="en-US" w:eastAsia="en-US"/>
        </w:rPr>
        <w:t>за</w:t>
      </w:r>
      <w:proofErr w:type="spellEnd"/>
      <w:r w:rsidRPr="0058064B">
        <w:rPr>
          <w:lang w:val="en-US" w:eastAsia="en-US"/>
        </w:rPr>
        <w:t xml:space="preserve"> </w:t>
      </w:r>
      <w:proofErr w:type="spellStart"/>
      <w:r w:rsidRPr="0058064B">
        <w:rPr>
          <w:lang w:val="en-US" w:eastAsia="en-US"/>
        </w:rPr>
        <w:t>заплащане</w:t>
      </w:r>
      <w:proofErr w:type="spellEnd"/>
      <w:r w:rsidRPr="0058064B">
        <w:rPr>
          <w:lang w:val="en-US" w:eastAsia="en-US"/>
        </w:rPr>
        <w:t xml:space="preserve"> </w:t>
      </w:r>
      <w:proofErr w:type="spellStart"/>
      <w:r w:rsidRPr="0058064B">
        <w:rPr>
          <w:lang w:val="en-US" w:eastAsia="en-US"/>
        </w:rPr>
        <w:t>на</w:t>
      </w:r>
      <w:proofErr w:type="spellEnd"/>
      <w:r w:rsidRPr="0058064B">
        <w:rPr>
          <w:lang w:val="en-US" w:eastAsia="en-US"/>
        </w:rPr>
        <w:t xml:space="preserve"> </w:t>
      </w:r>
      <w:proofErr w:type="spellStart"/>
      <w:r w:rsidRPr="0058064B">
        <w:rPr>
          <w:lang w:val="en-US" w:eastAsia="en-US"/>
        </w:rPr>
        <w:t>заплати</w:t>
      </w:r>
      <w:proofErr w:type="spellEnd"/>
      <w:r w:rsidRPr="0058064B">
        <w:rPr>
          <w:lang w:val="en-US" w:eastAsia="en-US"/>
        </w:rPr>
        <w:t xml:space="preserve"> и </w:t>
      </w:r>
      <w:proofErr w:type="spellStart"/>
      <w:r w:rsidRPr="0058064B">
        <w:rPr>
          <w:lang w:val="en-US" w:eastAsia="en-US"/>
        </w:rPr>
        <w:t>възнаграждения</w:t>
      </w:r>
      <w:proofErr w:type="spellEnd"/>
      <w:r w:rsidRPr="0058064B">
        <w:rPr>
          <w:lang w:val="en-US" w:eastAsia="en-US"/>
        </w:rPr>
        <w:t xml:space="preserve"> </w:t>
      </w:r>
      <w:proofErr w:type="spellStart"/>
      <w:r w:rsidRPr="0058064B">
        <w:rPr>
          <w:lang w:val="en-US" w:eastAsia="en-US"/>
        </w:rPr>
        <w:t>на</w:t>
      </w:r>
      <w:proofErr w:type="spellEnd"/>
      <w:r w:rsidRPr="0058064B">
        <w:rPr>
          <w:lang w:val="en-US" w:eastAsia="en-US"/>
        </w:rPr>
        <w:t xml:space="preserve"> </w:t>
      </w:r>
      <w:proofErr w:type="spellStart"/>
      <w:r w:rsidRPr="0058064B">
        <w:rPr>
          <w:lang w:val="en-US" w:eastAsia="en-US"/>
        </w:rPr>
        <w:t>изследователи</w:t>
      </w:r>
      <w:proofErr w:type="spellEnd"/>
      <w:r w:rsidRPr="0058064B">
        <w:rPr>
          <w:lang w:val="en-US" w:eastAsia="en-US"/>
        </w:rPr>
        <w:t xml:space="preserve">, </w:t>
      </w:r>
      <w:proofErr w:type="spellStart"/>
      <w:r w:rsidRPr="0058064B">
        <w:rPr>
          <w:lang w:val="en-US" w:eastAsia="en-US"/>
        </w:rPr>
        <w:t>нито</w:t>
      </w:r>
      <w:proofErr w:type="spellEnd"/>
      <w:r w:rsidRPr="0058064B">
        <w:rPr>
          <w:lang w:val="en-US" w:eastAsia="en-US"/>
        </w:rPr>
        <w:t xml:space="preserve"> </w:t>
      </w:r>
      <w:proofErr w:type="spellStart"/>
      <w:r w:rsidRPr="0058064B">
        <w:rPr>
          <w:lang w:val="en-US" w:eastAsia="en-US"/>
        </w:rPr>
        <w:t>за</w:t>
      </w:r>
      <w:proofErr w:type="spellEnd"/>
      <w:r w:rsidRPr="0058064B">
        <w:rPr>
          <w:lang w:val="en-US" w:eastAsia="en-US"/>
        </w:rPr>
        <w:t xml:space="preserve"> </w:t>
      </w:r>
      <w:proofErr w:type="spellStart"/>
      <w:r w:rsidRPr="0058064B">
        <w:rPr>
          <w:lang w:val="en-US" w:eastAsia="en-US"/>
        </w:rPr>
        <w:t>представителни</w:t>
      </w:r>
      <w:proofErr w:type="spellEnd"/>
      <w:r w:rsidRPr="0058064B">
        <w:rPr>
          <w:lang w:val="en-US" w:eastAsia="en-US"/>
        </w:rPr>
        <w:t xml:space="preserve"> </w:t>
      </w:r>
      <w:proofErr w:type="spellStart"/>
      <w:r w:rsidRPr="0058064B">
        <w:rPr>
          <w:lang w:val="en-US" w:eastAsia="en-US"/>
        </w:rPr>
        <w:t>разходи</w:t>
      </w:r>
      <w:proofErr w:type="spellEnd"/>
      <w:r w:rsidRPr="0058064B">
        <w:rPr>
          <w:lang w:val="en-US" w:eastAsia="en-US"/>
        </w:rPr>
        <w:t xml:space="preserve"> </w:t>
      </w:r>
      <w:proofErr w:type="spellStart"/>
      <w:r w:rsidRPr="0058064B">
        <w:rPr>
          <w:lang w:val="en-US" w:eastAsia="en-US"/>
        </w:rPr>
        <w:t>за</w:t>
      </w:r>
      <w:proofErr w:type="spellEnd"/>
      <w:r w:rsidRPr="0058064B">
        <w:rPr>
          <w:lang w:val="en-US" w:eastAsia="en-US"/>
        </w:rPr>
        <w:t xml:space="preserve"> </w:t>
      </w:r>
      <w:proofErr w:type="spellStart"/>
      <w:r w:rsidRPr="0058064B">
        <w:rPr>
          <w:lang w:val="en-US" w:eastAsia="en-US"/>
        </w:rPr>
        <w:t>храна</w:t>
      </w:r>
      <w:proofErr w:type="spellEnd"/>
      <w:r w:rsidRPr="0058064B">
        <w:rPr>
          <w:lang w:val="en-US" w:eastAsia="en-US"/>
        </w:rPr>
        <w:t xml:space="preserve"> </w:t>
      </w:r>
      <w:proofErr w:type="spellStart"/>
      <w:r w:rsidRPr="0058064B">
        <w:rPr>
          <w:lang w:val="en-US" w:eastAsia="en-US"/>
        </w:rPr>
        <w:t>или</w:t>
      </w:r>
      <w:proofErr w:type="spellEnd"/>
      <w:r w:rsidRPr="0058064B">
        <w:rPr>
          <w:lang w:val="en-US" w:eastAsia="en-US"/>
        </w:rPr>
        <w:t xml:space="preserve"> </w:t>
      </w:r>
      <w:proofErr w:type="spellStart"/>
      <w:r w:rsidRPr="0058064B">
        <w:rPr>
          <w:lang w:val="en-US" w:eastAsia="en-US"/>
        </w:rPr>
        <w:t>приеми</w:t>
      </w:r>
      <w:proofErr w:type="spellEnd"/>
      <w:r w:rsidRPr="0058064B">
        <w:rPr>
          <w:lang w:val="en-US" w:eastAsia="en-US"/>
        </w:rPr>
        <w:t>.</w:t>
      </w:r>
    </w:p>
    <w:p w14:paraId="68DA07A7" w14:textId="77777777" w:rsidR="006D3F02" w:rsidRPr="0058064B" w:rsidRDefault="006D3F02" w:rsidP="0058064B">
      <w:pPr>
        <w:spacing w:before="120" w:after="120" w:line="276" w:lineRule="auto"/>
        <w:jc w:val="both"/>
        <w:rPr>
          <w:lang w:val="en-US" w:eastAsia="en-US"/>
        </w:rPr>
      </w:pPr>
      <w:proofErr w:type="spellStart"/>
      <w:r w:rsidRPr="0058064B">
        <w:rPr>
          <w:bCs/>
          <w:lang w:val="en-US" w:eastAsia="en-US"/>
        </w:rPr>
        <w:t>Приоритетни</w:t>
      </w:r>
      <w:proofErr w:type="spellEnd"/>
      <w:r w:rsidRPr="0058064B">
        <w:rPr>
          <w:bCs/>
          <w:lang w:val="en-US" w:eastAsia="en-US"/>
        </w:rPr>
        <w:t xml:space="preserve"> </w:t>
      </w:r>
      <w:proofErr w:type="spellStart"/>
      <w:r w:rsidRPr="0058064B">
        <w:rPr>
          <w:bCs/>
          <w:lang w:val="en-US" w:eastAsia="en-US"/>
        </w:rPr>
        <w:t>теми</w:t>
      </w:r>
      <w:proofErr w:type="spellEnd"/>
      <w:r w:rsidRPr="0058064B">
        <w:rPr>
          <w:bCs/>
          <w:lang w:val="en-US" w:eastAsia="en-US"/>
        </w:rPr>
        <w:t xml:space="preserve"> и </w:t>
      </w:r>
      <w:proofErr w:type="spellStart"/>
      <w:r w:rsidRPr="0058064B">
        <w:rPr>
          <w:bCs/>
          <w:lang w:val="en-US" w:eastAsia="en-US"/>
        </w:rPr>
        <w:t>критерии</w:t>
      </w:r>
      <w:proofErr w:type="spellEnd"/>
      <w:r w:rsidRPr="0058064B">
        <w:rPr>
          <w:bCs/>
          <w:lang w:val="en-US" w:eastAsia="en-US"/>
        </w:rPr>
        <w:t xml:space="preserve"> </w:t>
      </w:r>
      <w:proofErr w:type="spellStart"/>
      <w:r w:rsidRPr="0058064B">
        <w:rPr>
          <w:bCs/>
          <w:lang w:val="en-US" w:eastAsia="en-US"/>
        </w:rPr>
        <w:t>за</w:t>
      </w:r>
      <w:proofErr w:type="spellEnd"/>
      <w:r w:rsidRPr="0058064B">
        <w:rPr>
          <w:bCs/>
          <w:lang w:val="en-US" w:eastAsia="en-US"/>
        </w:rPr>
        <w:t xml:space="preserve"> </w:t>
      </w:r>
      <w:proofErr w:type="spellStart"/>
      <w:r w:rsidRPr="0058064B">
        <w:rPr>
          <w:bCs/>
          <w:lang w:val="en-US" w:eastAsia="en-US"/>
        </w:rPr>
        <w:t>избор</w:t>
      </w:r>
      <w:proofErr w:type="spellEnd"/>
      <w:r w:rsidRPr="0058064B">
        <w:rPr>
          <w:bCs/>
          <w:lang w:val="en-US" w:eastAsia="en-US"/>
        </w:rPr>
        <w:t>:</w:t>
      </w:r>
      <w:r w:rsidRPr="0058064B">
        <w:rPr>
          <w:lang w:val="en-US" w:eastAsia="en-US"/>
        </w:rPr>
        <w:t> </w:t>
      </w:r>
      <w:proofErr w:type="spellStart"/>
      <w:r w:rsidRPr="0058064B">
        <w:rPr>
          <w:lang w:val="en-US" w:eastAsia="en-US"/>
        </w:rPr>
        <w:t>Този</w:t>
      </w:r>
      <w:proofErr w:type="spellEnd"/>
      <w:r w:rsidRPr="0058064B">
        <w:rPr>
          <w:lang w:val="en-US" w:eastAsia="en-US"/>
        </w:rPr>
        <w:t xml:space="preserve"> </w:t>
      </w:r>
      <w:proofErr w:type="spellStart"/>
      <w:r w:rsidRPr="0058064B">
        <w:rPr>
          <w:lang w:val="en-US" w:eastAsia="en-US"/>
        </w:rPr>
        <w:t>конкурс</w:t>
      </w:r>
      <w:proofErr w:type="spellEnd"/>
      <w:r w:rsidRPr="0058064B">
        <w:rPr>
          <w:lang w:val="en-US" w:eastAsia="en-US"/>
        </w:rPr>
        <w:t xml:space="preserve"> е </w:t>
      </w:r>
      <w:proofErr w:type="spellStart"/>
      <w:r w:rsidRPr="0058064B">
        <w:rPr>
          <w:lang w:val="en-US" w:eastAsia="en-US"/>
        </w:rPr>
        <w:t>отворен</w:t>
      </w:r>
      <w:proofErr w:type="spellEnd"/>
      <w:r w:rsidRPr="0058064B">
        <w:rPr>
          <w:lang w:val="en-US" w:eastAsia="en-US"/>
        </w:rPr>
        <w:t xml:space="preserve"> </w:t>
      </w:r>
      <w:proofErr w:type="spellStart"/>
      <w:r w:rsidRPr="0058064B">
        <w:rPr>
          <w:lang w:val="en-US" w:eastAsia="en-US"/>
        </w:rPr>
        <w:t>за</w:t>
      </w:r>
      <w:proofErr w:type="spellEnd"/>
      <w:r w:rsidRPr="0058064B">
        <w:rPr>
          <w:lang w:val="en-US" w:eastAsia="en-US"/>
        </w:rPr>
        <w:t xml:space="preserve"> </w:t>
      </w:r>
      <w:proofErr w:type="spellStart"/>
      <w:r w:rsidRPr="0058064B">
        <w:rPr>
          <w:lang w:val="en-US" w:eastAsia="en-US"/>
        </w:rPr>
        <w:t>всички</w:t>
      </w:r>
      <w:proofErr w:type="spellEnd"/>
      <w:r w:rsidRPr="0058064B">
        <w:rPr>
          <w:lang w:val="en-US" w:eastAsia="en-US"/>
        </w:rPr>
        <w:t xml:space="preserve"> </w:t>
      </w:r>
      <w:proofErr w:type="spellStart"/>
      <w:r w:rsidRPr="0058064B">
        <w:rPr>
          <w:lang w:val="en-US" w:eastAsia="en-US"/>
        </w:rPr>
        <w:t>области</w:t>
      </w:r>
      <w:proofErr w:type="spellEnd"/>
      <w:r w:rsidRPr="0058064B">
        <w:rPr>
          <w:lang w:val="en-US" w:eastAsia="en-US"/>
        </w:rPr>
        <w:t xml:space="preserve"> </w:t>
      </w:r>
      <w:proofErr w:type="spellStart"/>
      <w:r w:rsidRPr="0058064B">
        <w:rPr>
          <w:lang w:val="en-US" w:eastAsia="en-US"/>
        </w:rPr>
        <w:t>на</w:t>
      </w:r>
      <w:proofErr w:type="spellEnd"/>
      <w:r w:rsidRPr="0058064B">
        <w:rPr>
          <w:lang w:val="en-US" w:eastAsia="en-US"/>
        </w:rPr>
        <w:t xml:space="preserve"> </w:t>
      </w:r>
      <w:proofErr w:type="spellStart"/>
      <w:r w:rsidRPr="0058064B">
        <w:rPr>
          <w:lang w:val="en-US" w:eastAsia="en-US"/>
        </w:rPr>
        <w:t>научните</w:t>
      </w:r>
      <w:proofErr w:type="spellEnd"/>
      <w:r w:rsidRPr="0058064B">
        <w:rPr>
          <w:lang w:val="en-US" w:eastAsia="en-US"/>
        </w:rPr>
        <w:t xml:space="preserve"> </w:t>
      </w:r>
      <w:proofErr w:type="spellStart"/>
      <w:r w:rsidRPr="0058064B">
        <w:rPr>
          <w:lang w:val="en-US" w:eastAsia="en-US"/>
        </w:rPr>
        <w:t>проучвания</w:t>
      </w:r>
      <w:proofErr w:type="spellEnd"/>
      <w:r w:rsidRPr="0058064B">
        <w:rPr>
          <w:lang w:val="en-US" w:eastAsia="en-US"/>
        </w:rPr>
        <w:t xml:space="preserve"> (</w:t>
      </w:r>
      <w:proofErr w:type="spellStart"/>
      <w:r w:rsidRPr="0058064B">
        <w:rPr>
          <w:lang w:val="en-US" w:eastAsia="en-US"/>
        </w:rPr>
        <w:t>вкл</w:t>
      </w:r>
      <w:proofErr w:type="spellEnd"/>
      <w:r w:rsidRPr="0058064B">
        <w:rPr>
          <w:lang w:val="en-US" w:eastAsia="en-US"/>
        </w:rPr>
        <w:t xml:space="preserve">. </w:t>
      </w:r>
      <w:proofErr w:type="spellStart"/>
      <w:r w:rsidRPr="0058064B">
        <w:rPr>
          <w:lang w:val="en-US" w:eastAsia="en-US"/>
        </w:rPr>
        <w:t>Хуманитарни</w:t>
      </w:r>
      <w:proofErr w:type="spellEnd"/>
      <w:r w:rsidRPr="0058064B">
        <w:rPr>
          <w:lang w:val="en-US" w:eastAsia="en-US"/>
        </w:rPr>
        <w:t xml:space="preserve"> и </w:t>
      </w:r>
      <w:proofErr w:type="spellStart"/>
      <w:r w:rsidRPr="0058064B">
        <w:rPr>
          <w:lang w:val="en-US" w:eastAsia="en-US"/>
        </w:rPr>
        <w:t>социални</w:t>
      </w:r>
      <w:proofErr w:type="spellEnd"/>
      <w:r w:rsidRPr="0058064B">
        <w:rPr>
          <w:lang w:val="en-US" w:eastAsia="en-US"/>
        </w:rPr>
        <w:t xml:space="preserve"> </w:t>
      </w:r>
      <w:proofErr w:type="spellStart"/>
      <w:r w:rsidRPr="0058064B">
        <w:rPr>
          <w:lang w:val="en-US" w:eastAsia="en-US"/>
        </w:rPr>
        <w:t>науки</w:t>
      </w:r>
      <w:proofErr w:type="spellEnd"/>
      <w:r w:rsidRPr="0058064B">
        <w:rPr>
          <w:lang w:val="en-US" w:eastAsia="en-US"/>
        </w:rPr>
        <w:t xml:space="preserve">). </w:t>
      </w:r>
      <w:proofErr w:type="spellStart"/>
      <w:r w:rsidRPr="0058064B">
        <w:rPr>
          <w:lang w:val="en-US" w:eastAsia="en-US"/>
        </w:rPr>
        <w:t>Четири</w:t>
      </w:r>
      <w:proofErr w:type="spellEnd"/>
      <w:r w:rsidRPr="0058064B">
        <w:rPr>
          <w:lang w:val="en-US" w:eastAsia="en-US"/>
        </w:rPr>
        <w:t xml:space="preserve"> </w:t>
      </w:r>
      <w:proofErr w:type="spellStart"/>
      <w:r w:rsidRPr="0058064B">
        <w:rPr>
          <w:lang w:val="en-US" w:eastAsia="en-US"/>
        </w:rPr>
        <w:t>области</w:t>
      </w:r>
      <w:proofErr w:type="spellEnd"/>
      <w:r w:rsidRPr="0058064B">
        <w:rPr>
          <w:lang w:val="en-US" w:eastAsia="en-US"/>
        </w:rPr>
        <w:t xml:space="preserve"> </w:t>
      </w:r>
      <w:proofErr w:type="spellStart"/>
      <w:r w:rsidRPr="0058064B">
        <w:rPr>
          <w:lang w:val="en-US" w:eastAsia="en-US"/>
        </w:rPr>
        <w:t>се</w:t>
      </w:r>
      <w:proofErr w:type="spellEnd"/>
      <w:r w:rsidRPr="0058064B">
        <w:rPr>
          <w:lang w:val="en-US" w:eastAsia="en-US"/>
        </w:rPr>
        <w:t xml:space="preserve"> </w:t>
      </w:r>
      <w:proofErr w:type="spellStart"/>
      <w:r w:rsidRPr="0058064B">
        <w:rPr>
          <w:lang w:val="en-US" w:eastAsia="en-US"/>
        </w:rPr>
        <w:t>приемат</w:t>
      </w:r>
      <w:proofErr w:type="spellEnd"/>
      <w:r w:rsidRPr="0058064B">
        <w:rPr>
          <w:lang w:val="en-US" w:eastAsia="en-US"/>
        </w:rPr>
        <w:t xml:space="preserve"> </w:t>
      </w:r>
      <w:proofErr w:type="spellStart"/>
      <w:r w:rsidRPr="0058064B">
        <w:rPr>
          <w:lang w:val="en-US" w:eastAsia="en-US"/>
        </w:rPr>
        <w:t>за</w:t>
      </w:r>
      <w:proofErr w:type="spellEnd"/>
      <w:r w:rsidRPr="0058064B">
        <w:rPr>
          <w:lang w:val="en-US" w:eastAsia="en-US"/>
        </w:rPr>
        <w:t xml:space="preserve"> </w:t>
      </w:r>
      <w:proofErr w:type="spellStart"/>
      <w:r w:rsidRPr="0058064B">
        <w:rPr>
          <w:lang w:val="en-US" w:eastAsia="en-US"/>
        </w:rPr>
        <w:t>приоритетни</w:t>
      </w:r>
      <w:proofErr w:type="spellEnd"/>
      <w:r w:rsidRPr="0058064B">
        <w:rPr>
          <w:lang w:val="en-US" w:eastAsia="en-US"/>
        </w:rPr>
        <w:t>:</w:t>
      </w:r>
    </w:p>
    <w:p w14:paraId="0F647853" w14:textId="359B4128" w:rsidR="006D3F02" w:rsidRPr="0058064B" w:rsidRDefault="006D3F02" w:rsidP="00291974">
      <w:pPr>
        <w:numPr>
          <w:ilvl w:val="0"/>
          <w:numId w:val="37"/>
        </w:numPr>
        <w:spacing w:line="276" w:lineRule="auto"/>
        <w:ind w:left="714" w:hanging="357"/>
        <w:jc w:val="both"/>
        <w:rPr>
          <w:lang w:val="en-US" w:eastAsia="en-US"/>
        </w:rPr>
      </w:pPr>
      <w:proofErr w:type="spellStart"/>
      <w:r w:rsidRPr="0058064B">
        <w:rPr>
          <w:lang w:val="en-US" w:eastAsia="en-US"/>
        </w:rPr>
        <w:t>Цифрови</w:t>
      </w:r>
      <w:proofErr w:type="spellEnd"/>
      <w:r w:rsidRPr="0058064B">
        <w:rPr>
          <w:lang w:val="en-US" w:eastAsia="en-US"/>
        </w:rPr>
        <w:t xml:space="preserve"> и </w:t>
      </w:r>
      <w:proofErr w:type="spellStart"/>
      <w:r w:rsidRPr="0058064B">
        <w:rPr>
          <w:lang w:val="en-US" w:eastAsia="en-US"/>
        </w:rPr>
        <w:t>квантови</w:t>
      </w:r>
      <w:proofErr w:type="spellEnd"/>
      <w:r w:rsidR="001D1CDB">
        <w:rPr>
          <w:lang w:val="bg-BG" w:eastAsia="en-US"/>
        </w:rPr>
        <w:t xml:space="preserve"> науки</w:t>
      </w:r>
    </w:p>
    <w:p w14:paraId="1C68B5C9" w14:textId="77777777" w:rsidR="006D3F02" w:rsidRPr="0058064B" w:rsidRDefault="006D3F02" w:rsidP="00291974">
      <w:pPr>
        <w:numPr>
          <w:ilvl w:val="0"/>
          <w:numId w:val="37"/>
        </w:numPr>
        <w:spacing w:line="276" w:lineRule="auto"/>
        <w:ind w:left="714" w:hanging="357"/>
        <w:jc w:val="both"/>
        <w:rPr>
          <w:lang w:val="en-US" w:eastAsia="en-US"/>
        </w:rPr>
      </w:pPr>
      <w:proofErr w:type="spellStart"/>
      <w:r w:rsidRPr="0058064B">
        <w:rPr>
          <w:lang w:val="en-US" w:eastAsia="en-US"/>
        </w:rPr>
        <w:t>Здравеопазване</w:t>
      </w:r>
      <w:proofErr w:type="spellEnd"/>
      <w:r w:rsidRPr="0058064B">
        <w:rPr>
          <w:lang w:val="en-US" w:eastAsia="en-US"/>
        </w:rPr>
        <w:t xml:space="preserve"> и </w:t>
      </w:r>
      <w:proofErr w:type="spellStart"/>
      <w:r w:rsidRPr="0058064B">
        <w:rPr>
          <w:lang w:val="en-US" w:eastAsia="en-US"/>
        </w:rPr>
        <w:t>природни</w:t>
      </w:r>
      <w:proofErr w:type="spellEnd"/>
      <w:r w:rsidRPr="0058064B">
        <w:rPr>
          <w:lang w:val="en-US" w:eastAsia="en-US"/>
        </w:rPr>
        <w:t xml:space="preserve"> </w:t>
      </w:r>
      <w:proofErr w:type="spellStart"/>
      <w:r w:rsidRPr="0058064B">
        <w:rPr>
          <w:lang w:val="en-US" w:eastAsia="en-US"/>
        </w:rPr>
        <w:t>науки</w:t>
      </w:r>
      <w:proofErr w:type="spellEnd"/>
    </w:p>
    <w:p w14:paraId="7812AB3F" w14:textId="77777777" w:rsidR="006D3F02" w:rsidRPr="0058064B" w:rsidRDefault="006D3F02" w:rsidP="00291974">
      <w:pPr>
        <w:numPr>
          <w:ilvl w:val="0"/>
          <w:numId w:val="37"/>
        </w:numPr>
        <w:spacing w:line="276" w:lineRule="auto"/>
        <w:ind w:left="714" w:hanging="357"/>
        <w:jc w:val="both"/>
        <w:rPr>
          <w:lang w:val="en-US" w:eastAsia="en-US"/>
        </w:rPr>
      </w:pPr>
      <w:proofErr w:type="spellStart"/>
      <w:r w:rsidRPr="0058064B">
        <w:rPr>
          <w:lang w:val="en-US" w:eastAsia="en-US"/>
        </w:rPr>
        <w:t>Енергия</w:t>
      </w:r>
      <w:proofErr w:type="spellEnd"/>
    </w:p>
    <w:p w14:paraId="7F4077CF" w14:textId="77777777" w:rsidR="006D3F02" w:rsidRPr="0058064B" w:rsidRDefault="006D3F02" w:rsidP="00291974">
      <w:pPr>
        <w:numPr>
          <w:ilvl w:val="0"/>
          <w:numId w:val="37"/>
        </w:numPr>
        <w:spacing w:line="276" w:lineRule="auto"/>
        <w:ind w:left="714" w:hanging="357"/>
        <w:jc w:val="both"/>
        <w:rPr>
          <w:lang w:val="en-US" w:eastAsia="en-US"/>
        </w:rPr>
      </w:pPr>
      <w:proofErr w:type="spellStart"/>
      <w:r w:rsidRPr="0058064B">
        <w:rPr>
          <w:lang w:val="en-US" w:eastAsia="en-US"/>
        </w:rPr>
        <w:t>Устойчиво</w:t>
      </w:r>
      <w:proofErr w:type="spellEnd"/>
      <w:r w:rsidRPr="0058064B">
        <w:rPr>
          <w:lang w:val="en-US" w:eastAsia="en-US"/>
        </w:rPr>
        <w:t xml:space="preserve"> </w:t>
      </w:r>
      <w:proofErr w:type="spellStart"/>
      <w:r w:rsidRPr="0058064B">
        <w:rPr>
          <w:lang w:val="en-US" w:eastAsia="en-US"/>
        </w:rPr>
        <w:t>развитие</w:t>
      </w:r>
      <w:proofErr w:type="spellEnd"/>
    </w:p>
    <w:p w14:paraId="67413E00" w14:textId="77777777" w:rsidR="006D3F02" w:rsidRPr="0058064B" w:rsidRDefault="006D3F02" w:rsidP="0058064B">
      <w:pPr>
        <w:spacing w:before="120" w:after="120" w:line="276" w:lineRule="auto"/>
        <w:jc w:val="both"/>
        <w:rPr>
          <w:lang w:val="en-US" w:eastAsia="en-US"/>
        </w:rPr>
      </w:pPr>
      <w:proofErr w:type="spellStart"/>
      <w:r w:rsidRPr="0058064B">
        <w:rPr>
          <w:lang w:val="en-US" w:eastAsia="en-US"/>
        </w:rPr>
        <w:t>При</w:t>
      </w:r>
      <w:proofErr w:type="spellEnd"/>
      <w:r w:rsidRPr="0058064B">
        <w:rPr>
          <w:lang w:val="en-US" w:eastAsia="en-US"/>
        </w:rPr>
        <w:t xml:space="preserve"> </w:t>
      </w:r>
      <w:proofErr w:type="spellStart"/>
      <w:r w:rsidRPr="0058064B">
        <w:rPr>
          <w:lang w:val="en-US" w:eastAsia="en-US"/>
        </w:rPr>
        <w:t>оценяването</w:t>
      </w:r>
      <w:proofErr w:type="spellEnd"/>
      <w:r w:rsidRPr="0058064B">
        <w:rPr>
          <w:lang w:val="en-US" w:eastAsia="en-US"/>
        </w:rPr>
        <w:t xml:space="preserve"> </w:t>
      </w:r>
      <w:proofErr w:type="spellStart"/>
      <w:r w:rsidRPr="0058064B">
        <w:rPr>
          <w:lang w:val="en-US" w:eastAsia="en-US"/>
        </w:rPr>
        <w:t>ще</w:t>
      </w:r>
      <w:proofErr w:type="spellEnd"/>
      <w:r w:rsidRPr="0058064B">
        <w:rPr>
          <w:lang w:val="en-US" w:eastAsia="en-US"/>
        </w:rPr>
        <w:t xml:space="preserve"> </w:t>
      </w:r>
      <w:proofErr w:type="spellStart"/>
      <w:r w:rsidRPr="0058064B">
        <w:rPr>
          <w:lang w:val="en-US" w:eastAsia="en-US"/>
        </w:rPr>
        <w:t>се</w:t>
      </w:r>
      <w:proofErr w:type="spellEnd"/>
      <w:r w:rsidRPr="0058064B">
        <w:rPr>
          <w:lang w:val="en-US" w:eastAsia="en-US"/>
        </w:rPr>
        <w:t xml:space="preserve"> </w:t>
      </w:r>
      <w:proofErr w:type="spellStart"/>
      <w:r w:rsidRPr="0058064B">
        <w:rPr>
          <w:lang w:val="en-US" w:eastAsia="en-US"/>
        </w:rPr>
        <w:t>даде</w:t>
      </w:r>
      <w:proofErr w:type="spellEnd"/>
      <w:r w:rsidRPr="0058064B">
        <w:rPr>
          <w:lang w:val="en-US" w:eastAsia="en-US"/>
        </w:rPr>
        <w:t xml:space="preserve"> </w:t>
      </w:r>
      <w:proofErr w:type="spellStart"/>
      <w:r w:rsidRPr="0058064B">
        <w:rPr>
          <w:lang w:val="en-US" w:eastAsia="en-US"/>
        </w:rPr>
        <w:t>предимство</w:t>
      </w:r>
      <w:proofErr w:type="spellEnd"/>
      <w:r w:rsidRPr="0058064B">
        <w:rPr>
          <w:lang w:val="en-US" w:eastAsia="en-US"/>
        </w:rPr>
        <w:t xml:space="preserve"> и </w:t>
      </w:r>
      <w:proofErr w:type="spellStart"/>
      <w:r w:rsidRPr="0058064B">
        <w:rPr>
          <w:lang w:val="en-US" w:eastAsia="en-US"/>
        </w:rPr>
        <w:t>на</w:t>
      </w:r>
      <w:proofErr w:type="spellEnd"/>
      <w:r w:rsidRPr="0058064B">
        <w:rPr>
          <w:lang w:val="en-US" w:eastAsia="en-US"/>
        </w:rPr>
        <w:t xml:space="preserve"> </w:t>
      </w:r>
      <w:proofErr w:type="spellStart"/>
      <w:r w:rsidRPr="0058064B">
        <w:rPr>
          <w:lang w:val="en-US" w:eastAsia="en-US"/>
        </w:rPr>
        <w:t>проектните</w:t>
      </w:r>
      <w:proofErr w:type="spellEnd"/>
      <w:r w:rsidRPr="0058064B">
        <w:rPr>
          <w:lang w:val="en-US" w:eastAsia="en-US"/>
        </w:rPr>
        <w:t xml:space="preserve"> </w:t>
      </w:r>
      <w:proofErr w:type="spellStart"/>
      <w:r w:rsidRPr="0058064B">
        <w:rPr>
          <w:lang w:val="en-US" w:eastAsia="en-US"/>
        </w:rPr>
        <w:t>предложения</w:t>
      </w:r>
      <w:proofErr w:type="spellEnd"/>
      <w:r w:rsidRPr="0058064B">
        <w:rPr>
          <w:lang w:val="en-US" w:eastAsia="en-US"/>
        </w:rPr>
        <w:t xml:space="preserve">, </w:t>
      </w:r>
      <w:proofErr w:type="spellStart"/>
      <w:r w:rsidRPr="0058064B">
        <w:rPr>
          <w:lang w:val="en-US" w:eastAsia="en-US"/>
        </w:rPr>
        <w:t>при</w:t>
      </w:r>
      <w:proofErr w:type="spellEnd"/>
      <w:r w:rsidRPr="0058064B">
        <w:rPr>
          <w:lang w:val="en-US" w:eastAsia="en-US"/>
        </w:rPr>
        <w:t xml:space="preserve"> </w:t>
      </w:r>
      <w:proofErr w:type="spellStart"/>
      <w:r w:rsidRPr="0058064B">
        <w:rPr>
          <w:lang w:val="en-US" w:eastAsia="en-US"/>
        </w:rPr>
        <w:t>които</w:t>
      </w:r>
      <w:proofErr w:type="spellEnd"/>
      <w:r w:rsidRPr="0058064B">
        <w:rPr>
          <w:lang w:val="en-US" w:eastAsia="en-US"/>
        </w:rPr>
        <w:t xml:space="preserve"> </w:t>
      </w:r>
      <w:proofErr w:type="spellStart"/>
      <w:r w:rsidRPr="0058064B">
        <w:rPr>
          <w:lang w:val="en-US" w:eastAsia="en-US"/>
        </w:rPr>
        <w:t>се</w:t>
      </w:r>
      <w:proofErr w:type="spellEnd"/>
      <w:r w:rsidRPr="0058064B">
        <w:rPr>
          <w:lang w:val="en-US" w:eastAsia="en-US"/>
        </w:rPr>
        <w:t xml:space="preserve"> </w:t>
      </w:r>
      <w:proofErr w:type="spellStart"/>
      <w:r w:rsidRPr="0058064B">
        <w:rPr>
          <w:lang w:val="en-US" w:eastAsia="en-US"/>
        </w:rPr>
        <w:t>установява</w:t>
      </w:r>
      <w:proofErr w:type="spellEnd"/>
      <w:r w:rsidRPr="0058064B">
        <w:rPr>
          <w:lang w:val="en-US" w:eastAsia="en-US"/>
        </w:rPr>
        <w:t xml:space="preserve"> </w:t>
      </w:r>
      <w:proofErr w:type="spellStart"/>
      <w:r w:rsidRPr="0058064B">
        <w:rPr>
          <w:lang w:val="en-US" w:eastAsia="en-US"/>
        </w:rPr>
        <w:t>ново</w:t>
      </w:r>
      <w:proofErr w:type="spellEnd"/>
      <w:r w:rsidRPr="0058064B">
        <w:rPr>
          <w:lang w:val="en-US" w:eastAsia="en-US"/>
        </w:rPr>
        <w:t xml:space="preserve"> </w:t>
      </w:r>
      <w:proofErr w:type="spellStart"/>
      <w:r w:rsidRPr="0058064B">
        <w:rPr>
          <w:lang w:val="en-US" w:eastAsia="en-US"/>
        </w:rPr>
        <w:t>сътрудничество</w:t>
      </w:r>
      <w:proofErr w:type="spellEnd"/>
      <w:r w:rsidRPr="0058064B">
        <w:rPr>
          <w:lang w:val="en-US" w:eastAsia="en-US"/>
        </w:rPr>
        <w:t xml:space="preserve">, </w:t>
      </w:r>
      <w:proofErr w:type="spellStart"/>
      <w:r w:rsidRPr="0058064B">
        <w:rPr>
          <w:lang w:val="en-US" w:eastAsia="en-US"/>
        </w:rPr>
        <w:t>или</w:t>
      </w:r>
      <w:proofErr w:type="spellEnd"/>
      <w:r w:rsidRPr="0058064B">
        <w:rPr>
          <w:lang w:val="en-US" w:eastAsia="en-US"/>
        </w:rPr>
        <w:t xml:space="preserve"> </w:t>
      </w:r>
      <w:proofErr w:type="spellStart"/>
      <w:r w:rsidRPr="0058064B">
        <w:rPr>
          <w:lang w:val="en-US" w:eastAsia="en-US"/>
        </w:rPr>
        <w:t>научни</w:t>
      </w:r>
      <w:proofErr w:type="spellEnd"/>
      <w:r w:rsidRPr="0058064B">
        <w:rPr>
          <w:lang w:val="en-US" w:eastAsia="en-US"/>
        </w:rPr>
        <w:t xml:space="preserve"> </w:t>
      </w:r>
      <w:proofErr w:type="spellStart"/>
      <w:r w:rsidRPr="0058064B">
        <w:rPr>
          <w:lang w:val="en-US" w:eastAsia="en-US"/>
        </w:rPr>
        <w:t>проекти</w:t>
      </w:r>
      <w:proofErr w:type="spellEnd"/>
      <w:r w:rsidRPr="0058064B">
        <w:rPr>
          <w:lang w:val="en-US" w:eastAsia="en-US"/>
        </w:rPr>
        <w:t xml:space="preserve"> в </w:t>
      </w:r>
      <w:proofErr w:type="spellStart"/>
      <w:r w:rsidRPr="0058064B">
        <w:rPr>
          <w:lang w:val="en-US" w:eastAsia="en-US"/>
        </w:rPr>
        <w:t>процес</w:t>
      </w:r>
      <w:proofErr w:type="spellEnd"/>
      <w:r w:rsidRPr="0058064B">
        <w:rPr>
          <w:lang w:val="en-US" w:eastAsia="en-US"/>
        </w:rPr>
        <w:t xml:space="preserve"> </w:t>
      </w:r>
      <w:proofErr w:type="spellStart"/>
      <w:r w:rsidRPr="0058064B">
        <w:rPr>
          <w:lang w:val="en-US" w:eastAsia="en-US"/>
        </w:rPr>
        <w:t>на</w:t>
      </w:r>
      <w:proofErr w:type="spellEnd"/>
      <w:r w:rsidRPr="0058064B">
        <w:rPr>
          <w:lang w:val="en-US" w:eastAsia="en-US"/>
        </w:rPr>
        <w:t xml:space="preserve"> </w:t>
      </w:r>
      <w:proofErr w:type="spellStart"/>
      <w:r w:rsidRPr="0058064B">
        <w:rPr>
          <w:lang w:val="en-US" w:eastAsia="en-US"/>
        </w:rPr>
        <w:t>развитие</w:t>
      </w:r>
      <w:proofErr w:type="spellEnd"/>
      <w:r w:rsidRPr="0058064B">
        <w:rPr>
          <w:lang w:val="en-US" w:eastAsia="en-US"/>
        </w:rPr>
        <w:t xml:space="preserve">, </w:t>
      </w:r>
      <w:proofErr w:type="spellStart"/>
      <w:r w:rsidRPr="0058064B">
        <w:rPr>
          <w:lang w:val="en-US" w:eastAsia="en-US"/>
        </w:rPr>
        <w:t>предвиждащи</w:t>
      </w:r>
      <w:proofErr w:type="spellEnd"/>
      <w:r w:rsidRPr="0058064B">
        <w:rPr>
          <w:lang w:val="en-US" w:eastAsia="en-US"/>
        </w:rPr>
        <w:t xml:space="preserve"> </w:t>
      </w:r>
      <w:proofErr w:type="spellStart"/>
      <w:r w:rsidRPr="0058064B">
        <w:rPr>
          <w:lang w:val="en-US" w:eastAsia="en-US"/>
        </w:rPr>
        <w:t>научен</w:t>
      </w:r>
      <w:proofErr w:type="spellEnd"/>
      <w:r w:rsidRPr="0058064B">
        <w:rPr>
          <w:lang w:val="en-US" w:eastAsia="en-US"/>
        </w:rPr>
        <w:t xml:space="preserve"> </w:t>
      </w:r>
      <w:proofErr w:type="spellStart"/>
      <w:r w:rsidRPr="0058064B">
        <w:rPr>
          <w:lang w:val="en-US" w:eastAsia="en-US"/>
        </w:rPr>
        <w:t>обмен</w:t>
      </w:r>
      <w:proofErr w:type="spellEnd"/>
      <w:r w:rsidRPr="0058064B">
        <w:rPr>
          <w:lang w:val="en-US" w:eastAsia="en-US"/>
        </w:rPr>
        <w:t xml:space="preserve"> в </w:t>
      </w:r>
      <w:proofErr w:type="spellStart"/>
      <w:r w:rsidRPr="0058064B">
        <w:rPr>
          <w:lang w:val="en-US" w:eastAsia="en-US"/>
        </w:rPr>
        <w:t>дългосрочен</w:t>
      </w:r>
      <w:proofErr w:type="spellEnd"/>
      <w:r w:rsidRPr="0058064B">
        <w:rPr>
          <w:lang w:val="en-US" w:eastAsia="en-US"/>
        </w:rPr>
        <w:t xml:space="preserve"> </w:t>
      </w:r>
      <w:proofErr w:type="spellStart"/>
      <w:r w:rsidRPr="0058064B">
        <w:rPr>
          <w:lang w:val="en-US" w:eastAsia="en-US"/>
        </w:rPr>
        <w:t>план</w:t>
      </w:r>
      <w:proofErr w:type="spellEnd"/>
      <w:r w:rsidRPr="0058064B">
        <w:rPr>
          <w:lang w:val="en-US" w:eastAsia="en-US"/>
        </w:rPr>
        <w:t xml:space="preserve"> и / </w:t>
      </w:r>
      <w:proofErr w:type="spellStart"/>
      <w:r w:rsidRPr="0058064B">
        <w:rPr>
          <w:lang w:val="en-US" w:eastAsia="en-US"/>
        </w:rPr>
        <w:t>или</w:t>
      </w:r>
      <w:proofErr w:type="spellEnd"/>
      <w:r w:rsidRPr="0058064B">
        <w:rPr>
          <w:lang w:val="en-US" w:eastAsia="en-US"/>
        </w:rPr>
        <w:t xml:space="preserve"> </w:t>
      </w:r>
      <w:proofErr w:type="spellStart"/>
      <w:r w:rsidRPr="0058064B">
        <w:rPr>
          <w:lang w:val="en-US" w:eastAsia="en-US"/>
        </w:rPr>
        <w:t>съвместно</w:t>
      </w:r>
      <w:proofErr w:type="spellEnd"/>
      <w:r w:rsidRPr="0058064B">
        <w:rPr>
          <w:lang w:val="en-US" w:eastAsia="en-US"/>
        </w:rPr>
        <w:t xml:space="preserve"> </w:t>
      </w:r>
      <w:proofErr w:type="spellStart"/>
      <w:r w:rsidRPr="0058064B">
        <w:rPr>
          <w:lang w:val="en-US" w:eastAsia="en-US"/>
        </w:rPr>
        <w:t>участие</w:t>
      </w:r>
      <w:proofErr w:type="spellEnd"/>
      <w:r w:rsidRPr="0058064B">
        <w:rPr>
          <w:lang w:val="en-US" w:eastAsia="en-US"/>
        </w:rPr>
        <w:t xml:space="preserve"> в </w:t>
      </w:r>
      <w:proofErr w:type="spellStart"/>
      <w:r w:rsidRPr="0058064B">
        <w:rPr>
          <w:lang w:val="en-US" w:eastAsia="en-US"/>
        </w:rPr>
        <w:t>европейски</w:t>
      </w:r>
      <w:proofErr w:type="spellEnd"/>
      <w:r w:rsidRPr="0058064B">
        <w:rPr>
          <w:lang w:val="en-US" w:eastAsia="en-US"/>
        </w:rPr>
        <w:t xml:space="preserve"> </w:t>
      </w:r>
      <w:proofErr w:type="spellStart"/>
      <w:r w:rsidRPr="0058064B">
        <w:rPr>
          <w:lang w:val="en-US" w:eastAsia="en-US"/>
        </w:rPr>
        <w:t>програми</w:t>
      </w:r>
      <w:proofErr w:type="spellEnd"/>
      <w:r w:rsidRPr="0058064B">
        <w:rPr>
          <w:lang w:val="en-US" w:eastAsia="en-US"/>
        </w:rPr>
        <w:t xml:space="preserve"> (</w:t>
      </w:r>
      <w:proofErr w:type="spellStart"/>
      <w:r w:rsidRPr="0058064B">
        <w:rPr>
          <w:lang w:val="en-US" w:eastAsia="en-US"/>
        </w:rPr>
        <w:t>Хоризонт</w:t>
      </w:r>
      <w:proofErr w:type="spellEnd"/>
      <w:r w:rsidRPr="0058064B">
        <w:rPr>
          <w:lang w:val="en-US" w:eastAsia="en-US"/>
        </w:rPr>
        <w:t xml:space="preserve"> </w:t>
      </w:r>
      <w:proofErr w:type="spellStart"/>
      <w:r w:rsidRPr="0058064B">
        <w:rPr>
          <w:lang w:val="en-US" w:eastAsia="en-US"/>
        </w:rPr>
        <w:t>Европа</w:t>
      </w:r>
      <w:proofErr w:type="spellEnd"/>
      <w:r w:rsidRPr="0058064B">
        <w:rPr>
          <w:lang w:val="en-US" w:eastAsia="en-US"/>
        </w:rPr>
        <w:t xml:space="preserve">, </w:t>
      </w:r>
      <w:proofErr w:type="spellStart"/>
      <w:r w:rsidRPr="0058064B">
        <w:rPr>
          <w:lang w:val="en-US" w:eastAsia="en-US"/>
        </w:rPr>
        <w:t>Програма</w:t>
      </w:r>
      <w:proofErr w:type="spellEnd"/>
      <w:r w:rsidRPr="0058064B">
        <w:rPr>
          <w:lang w:val="en-US" w:eastAsia="en-US"/>
        </w:rPr>
        <w:t xml:space="preserve"> „Мария </w:t>
      </w:r>
      <w:proofErr w:type="spellStart"/>
      <w:r w:rsidRPr="0058064B">
        <w:rPr>
          <w:lang w:val="en-US" w:eastAsia="en-US"/>
        </w:rPr>
        <w:t>Склодовска-</w:t>
      </w:r>
      <w:proofErr w:type="gramStart"/>
      <w:r w:rsidRPr="0058064B">
        <w:rPr>
          <w:lang w:val="en-US" w:eastAsia="en-US"/>
        </w:rPr>
        <w:t>Кюри</w:t>
      </w:r>
      <w:proofErr w:type="spellEnd"/>
      <w:r w:rsidRPr="0058064B">
        <w:rPr>
          <w:lang w:val="en-US" w:eastAsia="en-US"/>
        </w:rPr>
        <w:t>“</w:t>
      </w:r>
      <w:proofErr w:type="gramEnd"/>
      <w:r w:rsidRPr="0058064B">
        <w:rPr>
          <w:lang w:val="en-US" w:eastAsia="en-US"/>
        </w:rPr>
        <w:t xml:space="preserve">, </w:t>
      </w:r>
      <w:proofErr w:type="spellStart"/>
      <w:r w:rsidRPr="0058064B">
        <w:rPr>
          <w:lang w:val="en-US" w:eastAsia="en-US"/>
        </w:rPr>
        <w:t>Програма</w:t>
      </w:r>
      <w:proofErr w:type="spellEnd"/>
      <w:r w:rsidRPr="0058064B">
        <w:rPr>
          <w:lang w:val="en-US" w:eastAsia="en-US"/>
        </w:rPr>
        <w:t xml:space="preserve"> Widening </w:t>
      </w:r>
      <w:proofErr w:type="spellStart"/>
      <w:r w:rsidRPr="0058064B">
        <w:rPr>
          <w:lang w:val="en-US" w:eastAsia="en-US"/>
        </w:rPr>
        <w:t>за</w:t>
      </w:r>
      <w:proofErr w:type="spellEnd"/>
      <w:r w:rsidRPr="0058064B">
        <w:rPr>
          <w:lang w:val="en-US" w:eastAsia="en-US"/>
        </w:rPr>
        <w:t xml:space="preserve"> </w:t>
      </w:r>
      <w:proofErr w:type="spellStart"/>
      <w:r w:rsidRPr="0058064B">
        <w:rPr>
          <w:lang w:val="en-US" w:eastAsia="en-US"/>
        </w:rPr>
        <w:t>разширяване</w:t>
      </w:r>
      <w:proofErr w:type="spellEnd"/>
      <w:r w:rsidRPr="0058064B">
        <w:rPr>
          <w:lang w:val="en-US" w:eastAsia="en-US"/>
        </w:rPr>
        <w:t xml:space="preserve"> </w:t>
      </w:r>
      <w:proofErr w:type="spellStart"/>
      <w:r w:rsidRPr="0058064B">
        <w:rPr>
          <w:lang w:val="en-US" w:eastAsia="en-US"/>
        </w:rPr>
        <w:t>на</w:t>
      </w:r>
      <w:proofErr w:type="spellEnd"/>
      <w:r w:rsidRPr="0058064B">
        <w:rPr>
          <w:lang w:val="en-US" w:eastAsia="en-US"/>
        </w:rPr>
        <w:t xml:space="preserve"> </w:t>
      </w:r>
      <w:proofErr w:type="spellStart"/>
      <w:r w:rsidRPr="0058064B">
        <w:rPr>
          <w:lang w:val="en-US" w:eastAsia="en-US"/>
        </w:rPr>
        <w:t>участието</w:t>
      </w:r>
      <w:proofErr w:type="spellEnd"/>
      <w:r w:rsidRPr="0058064B">
        <w:rPr>
          <w:lang w:val="en-US" w:eastAsia="en-US"/>
        </w:rPr>
        <w:t xml:space="preserve"> в </w:t>
      </w:r>
      <w:proofErr w:type="spellStart"/>
      <w:r w:rsidRPr="0058064B">
        <w:rPr>
          <w:lang w:val="en-US" w:eastAsia="en-US"/>
        </w:rPr>
        <w:t>науката</w:t>
      </w:r>
      <w:proofErr w:type="spellEnd"/>
      <w:r w:rsidRPr="0058064B">
        <w:rPr>
          <w:lang w:val="en-US" w:eastAsia="en-US"/>
        </w:rPr>
        <w:t xml:space="preserve"> и </w:t>
      </w:r>
      <w:proofErr w:type="spellStart"/>
      <w:r w:rsidRPr="0058064B">
        <w:rPr>
          <w:lang w:val="en-US" w:eastAsia="en-US"/>
        </w:rPr>
        <w:t>др</w:t>
      </w:r>
      <w:proofErr w:type="spellEnd"/>
      <w:r w:rsidRPr="0058064B">
        <w:rPr>
          <w:lang w:val="en-US" w:eastAsia="en-US"/>
        </w:rPr>
        <w:t xml:space="preserve">.). </w:t>
      </w:r>
      <w:proofErr w:type="spellStart"/>
      <w:r w:rsidRPr="0058064B">
        <w:rPr>
          <w:lang w:val="en-US" w:eastAsia="en-US"/>
        </w:rPr>
        <w:t>При</w:t>
      </w:r>
      <w:proofErr w:type="spellEnd"/>
      <w:r w:rsidRPr="0058064B">
        <w:rPr>
          <w:lang w:val="en-US" w:eastAsia="en-US"/>
        </w:rPr>
        <w:t xml:space="preserve"> </w:t>
      </w:r>
      <w:proofErr w:type="spellStart"/>
      <w:r w:rsidRPr="0058064B">
        <w:rPr>
          <w:lang w:val="en-US" w:eastAsia="en-US"/>
        </w:rPr>
        <w:t>разглеждането</w:t>
      </w:r>
      <w:proofErr w:type="spellEnd"/>
      <w:r w:rsidRPr="0058064B">
        <w:rPr>
          <w:lang w:val="en-US" w:eastAsia="en-US"/>
        </w:rPr>
        <w:t xml:space="preserve"> </w:t>
      </w:r>
      <w:proofErr w:type="spellStart"/>
      <w:r w:rsidRPr="0058064B">
        <w:rPr>
          <w:lang w:val="en-US" w:eastAsia="en-US"/>
        </w:rPr>
        <w:t>на</w:t>
      </w:r>
      <w:proofErr w:type="spellEnd"/>
      <w:r w:rsidRPr="0058064B">
        <w:rPr>
          <w:lang w:val="en-US" w:eastAsia="en-US"/>
        </w:rPr>
        <w:t xml:space="preserve"> </w:t>
      </w:r>
      <w:proofErr w:type="spellStart"/>
      <w:r w:rsidRPr="0058064B">
        <w:rPr>
          <w:lang w:val="en-US" w:eastAsia="en-US"/>
        </w:rPr>
        <w:t>проектните</w:t>
      </w:r>
      <w:proofErr w:type="spellEnd"/>
      <w:r w:rsidRPr="0058064B">
        <w:rPr>
          <w:lang w:val="en-US" w:eastAsia="en-US"/>
        </w:rPr>
        <w:t xml:space="preserve"> </w:t>
      </w:r>
      <w:proofErr w:type="spellStart"/>
      <w:r w:rsidRPr="0058064B">
        <w:rPr>
          <w:lang w:val="en-US" w:eastAsia="en-US"/>
        </w:rPr>
        <w:t>предложения</w:t>
      </w:r>
      <w:proofErr w:type="spellEnd"/>
      <w:r w:rsidRPr="0058064B">
        <w:rPr>
          <w:lang w:val="en-US" w:eastAsia="en-US"/>
        </w:rPr>
        <w:t xml:space="preserve"> </w:t>
      </w:r>
      <w:proofErr w:type="spellStart"/>
      <w:r w:rsidRPr="0058064B">
        <w:rPr>
          <w:lang w:val="en-US" w:eastAsia="en-US"/>
        </w:rPr>
        <w:t>ще</w:t>
      </w:r>
      <w:proofErr w:type="spellEnd"/>
      <w:r w:rsidRPr="0058064B">
        <w:rPr>
          <w:lang w:val="en-US" w:eastAsia="en-US"/>
        </w:rPr>
        <w:t xml:space="preserve"> </w:t>
      </w:r>
      <w:proofErr w:type="spellStart"/>
      <w:r w:rsidRPr="0058064B">
        <w:rPr>
          <w:lang w:val="en-US" w:eastAsia="en-US"/>
        </w:rPr>
        <w:t>бъде</w:t>
      </w:r>
      <w:proofErr w:type="spellEnd"/>
      <w:r w:rsidRPr="0058064B">
        <w:rPr>
          <w:lang w:val="en-US" w:eastAsia="en-US"/>
        </w:rPr>
        <w:t xml:space="preserve"> </w:t>
      </w:r>
      <w:proofErr w:type="spellStart"/>
      <w:r w:rsidRPr="0058064B">
        <w:rPr>
          <w:lang w:val="en-US" w:eastAsia="en-US"/>
        </w:rPr>
        <w:t>взет</w:t>
      </w:r>
      <w:proofErr w:type="spellEnd"/>
      <w:r w:rsidRPr="0058064B">
        <w:rPr>
          <w:lang w:val="en-US" w:eastAsia="en-US"/>
        </w:rPr>
        <w:t xml:space="preserve"> </w:t>
      </w:r>
      <w:proofErr w:type="spellStart"/>
      <w:r w:rsidRPr="0058064B">
        <w:rPr>
          <w:lang w:val="en-US" w:eastAsia="en-US"/>
        </w:rPr>
        <w:t>под</w:t>
      </w:r>
      <w:proofErr w:type="spellEnd"/>
      <w:r w:rsidRPr="0058064B">
        <w:rPr>
          <w:lang w:val="en-US" w:eastAsia="en-US"/>
        </w:rPr>
        <w:t xml:space="preserve"> </w:t>
      </w:r>
      <w:proofErr w:type="spellStart"/>
      <w:r w:rsidRPr="0058064B">
        <w:rPr>
          <w:lang w:val="en-US" w:eastAsia="en-US"/>
        </w:rPr>
        <w:t>внимание</w:t>
      </w:r>
      <w:proofErr w:type="spellEnd"/>
      <w:r w:rsidRPr="0058064B">
        <w:rPr>
          <w:lang w:val="en-US" w:eastAsia="en-US"/>
        </w:rPr>
        <w:t xml:space="preserve"> </w:t>
      </w:r>
      <w:proofErr w:type="spellStart"/>
      <w:r w:rsidRPr="0058064B">
        <w:rPr>
          <w:lang w:val="en-US" w:eastAsia="en-US"/>
        </w:rPr>
        <w:t>паритетът</w:t>
      </w:r>
      <w:proofErr w:type="spellEnd"/>
      <w:r w:rsidRPr="0058064B">
        <w:rPr>
          <w:lang w:val="en-US" w:eastAsia="en-US"/>
        </w:rPr>
        <w:t xml:space="preserve"> </w:t>
      </w:r>
      <w:proofErr w:type="spellStart"/>
      <w:r w:rsidRPr="0058064B">
        <w:rPr>
          <w:lang w:val="en-US" w:eastAsia="en-US"/>
        </w:rPr>
        <w:t>между</w:t>
      </w:r>
      <w:proofErr w:type="spellEnd"/>
      <w:r w:rsidRPr="0058064B">
        <w:rPr>
          <w:lang w:val="en-US" w:eastAsia="en-US"/>
        </w:rPr>
        <w:t xml:space="preserve"> </w:t>
      </w:r>
      <w:proofErr w:type="spellStart"/>
      <w:r w:rsidRPr="0058064B">
        <w:rPr>
          <w:lang w:val="en-US" w:eastAsia="en-US"/>
        </w:rPr>
        <w:t>жените</w:t>
      </w:r>
      <w:proofErr w:type="spellEnd"/>
      <w:r w:rsidRPr="0058064B">
        <w:rPr>
          <w:lang w:val="en-US" w:eastAsia="en-US"/>
        </w:rPr>
        <w:t xml:space="preserve"> и </w:t>
      </w:r>
      <w:proofErr w:type="spellStart"/>
      <w:r w:rsidRPr="0058064B">
        <w:rPr>
          <w:lang w:val="en-US" w:eastAsia="en-US"/>
        </w:rPr>
        <w:t>мъжете</w:t>
      </w:r>
      <w:proofErr w:type="spellEnd"/>
      <w:r w:rsidRPr="0058064B">
        <w:rPr>
          <w:lang w:val="en-US" w:eastAsia="en-US"/>
        </w:rPr>
        <w:t xml:space="preserve"> в </w:t>
      </w:r>
      <w:proofErr w:type="spellStart"/>
      <w:r w:rsidRPr="0058064B">
        <w:rPr>
          <w:lang w:val="en-US" w:eastAsia="en-US"/>
        </w:rPr>
        <w:t>научните</w:t>
      </w:r>
      <w:proofErr w:type="spellEnd"/>
      <w:r w:rsidRPr="0058064B">
        <w:rPr>
          <w:lang w:val="en-US" w:eastAsia="en-US"/>
        </w:rPr>
        <w:t xml:space="preserve"> </w:t>
      </w:r>
      <w:proofErr w:type="spellStart"/>
      <w:r w:rsidRPr="0058064B">
        <w:rPr>
          <w:lang w:val="en-US" w:eastAsia="en-US"/>
        </w:rPr>
        <w:t>екипи</w:t>
      </w:r>
      <w:proofErr w:type="spellEnd"/>
      <w:r w:rsidRPr="0058064B">
        <w:rPr>
          <w:lang w:val="en-US" w:eastAsia="en-US"/>
        </w:rPr>
        <w:t>.</w:t>
      </w:r>
    </w:p>
    <w:p w14:paraId="4CF4854D" w14:textId="5BB8BAF3" w:rsidR="006D3F02" w:rsidRPr="00FA4F1B" w:rsidRDefault="006D3F02" w:rsidP="0058064B">
      <w:pPr>
        <w:spacing w:before="120" w:after="120" w:line="276" w:lineRule="auto"/>
        <w:jc w:val="both"/>
        <w:rPr>
          <w:lang w:val="bg-BG" w:eastAsia="en-US"/>
        </w:rPr>
      </w:pPr>
      <w:proofErr w:type="spellStart"/>
      <w:r w:rsidRPr="0058064B">
        <w:rPr>
          <w:bCs/>
          <w:lang w:val="en-US" w:eastAsia="en-US"/>
        </w:rPr>
        <w:t>Подаване</w:t>
      </w:r>
      <w:proofErr w:type="spellEnd"/>
      <w:r w:rsidRPr="0058064B">
        <w:rPr>
          <w:bCs/>
          <w:lang w:val="en-US" w:eastAsia="en-US"/>
        </w:rPr>
        <w:t xml:space="preserve"> </w:t>
      </w:r>
      <w:proofErr w:type="spellStart"/>
      <w:r w:rsidRPr="0058064B">
        <w:rPr>
          <w:bCs/>
          <w:lang w:val="en-US" w:eastAsia="en-US"/>
        </w:rPr>
        <w:t>на</w:t>
      </w:r>
      <w:proofErr w:type="spellEnd"/>
      <w:r w:rsidRPr="0058064B">
        <w:rPr>
          <w:bCs/>
          <w:lang w:val="en-US" w:eastAsia="en-US"/>
        </w:rPr>
        <w:t xml:space="preserve"> </w:t>
      </w:r>
      <w:proofErr w:type="spellStart"/>
      <w:r w:rsidRPr="0058064B">
        <w:rPr>
          <w:bCs/>
          <w:lang w:val="en-US" w:eastAsia="en-US"/>
        </w:rPr>
        <w:t>документите</w:t>
      </w:r>
      <w:proofErr w:type="spellEnd"/>
      <w:r w:rsidR="00995E0E">
        <w:rPr>
          <w:bCs/>
          <w:lang w:val="bg-BG" w:eastAsia="en-US"/>
        </w:rPr>
        <w:t xml:space="preserve"> </w:t>
      </w:r>
      <w:hyperlink r:id="rId29" w:history="1">
        <w:proofErr w:type="spellStart"/>
        <w:r w:rsidRPr="0058064B">
          <w:rPr>
            <w:rStyle w:val="Hyperlink"/>
            <w:bCs/>
            <w:lang w:val="en-US" w:eastAsia="en-US"/>
          </w:rPr>
          <w:t>Формулярът</w:t>
        </w:r>
        <w:proofErr w:type="spellEnd"/>
        <w:r w:rsidRPr="0058064B">
          <w:rPr>
            <w:rStyle w:val="Hyperlink"/>
            <w:bCs/>
            <w:lang w:val="en-US" w:eastAsia="en-US"/>
          </w:rPr>
          <w:t xml:space="preserve"> </w:t>
        </w:r>
        <w:proofErr w:type="spellStart"/>
        <w:r w:rsidRPr="0058064B">
          <w:rPr>
            <w:rStyle w:val="Hyperlink"/>
            <w:bCs/>
            <w:lang w:val="en-US" w:eastAsia="en-US"/>
          </w:rPr>
          <w:t>се</w:t>
        </w:r>
        <w:proofErr w:type="spellEnd"/>
        <w:r w:rsidRPr="0058064B">
          <w:rPr>
            <w:rStyle w:val="Hyperlink"/>
            <w:bCs/>
            <w:lang w:val="en-US" w:eastAsia="en-US"/>
          </w:rPr>
          <w:t xml:space="preserve"> </w:t>
        </w:r>
        <w:proofErr w:type="spellStart"/>
        <w:r w:rsidRPr="0058064B">
          <w:rPr>
            <w:rStyle w:val="Hyperlink"/>
            <w:bCs/>
            <w:lang w:val="en-US" w:eastAsia="en-US"/>
          </w:rPr>
          <w:t>изтегля</w:t>
        </w:r>
        <w:proofErr w:type="spellEnd"/>
        <w:r w:rsidRPr="0058064B">
          <w:rPr>
            <w:rStyle w:val="Hyperlink"/>
            <w:bCs/>
            <w:lang w:val="en-US" w:eastAsia="en-US"/>
          </w:rPr>
          <w:t xml:space="preserve"> </w:t>
        </w:r>
        <w:proofErr w:type="spellStart"/>
        <w:r w:rsidRPr="0058064B">
          <w:rPr>
            <w:rStyle w:val="Hyperlink"/>
            <w:bCs/>
            <w:lang w:val="en-US" w:eastAsia="en-US"/>
          </w:rPr>
          <w:t>оттук</w:t>
        </w:r>
        <w:proofErr w:type="spellEnd"/>
      </w:hyperlink>
      <w:hyperlink r:id="rId30" w:history="1">
        <w:r w:rsidRPr="0058064B">
          <w:rPr>
            <w:rStyle w:val="Hyperlink"/>
            <w:bCs/>
            <w:lang w:val="en-US" w:eastAsia="en-US"/>
          </w:rPr>
          <w:t>.</w:t>
        </w:r>
      </w:hyperlink>
      <w:r w:rsidR="00995E0E">
        <w:rPr>
          <w:lang w:val="bg-BG" w:eastAsia="en-US"/>
        </w:rPr>
        <w:t xml:space="preserve"> </w:t>
      </w:r>
      <w:r w:rsidRPr="00FA4F1B">
        <w:rPr>
          <w:lang w:val="bg-BG" w:eastAsia="en-US"/>
        </w:rPr>
        <w:t>Формулярът може да бъде попълнен и подаден на френски или на английски език.</w:t>
      </w:r>
    </w:p>
    <w:p w14:paraId="754C1074" w14:textId="77777777" w:rsidR="00291974" w:rsidRPr="00FA4F1B" w:rsidRDefault="006D3F02" w:rsidP="0058064B">
      <w:pPr>
        <w:spacing w:before="120" w:after="120" w:line="276" w:lineRule="auto"/>
        <w:jc w:val="both"/>
        <w:rPr>
          <w:lang w:val="bg-BG" w:eastAsia="en-US"/>
        </w:rPr>
      </w:pPr>
      <w:r w:rsidRPr="00FA4F1B">
        <w:rPr>
          <w:lang w:val="bg-BG" w:eastAsia="en-US"/>
        </w:rPr>
        <w:t xml:space="preserve">Документите се изпращат по имейл, сканирани в един общ </w:t>
      </w:r>
      <w:r w:rsidRPr="0058064B">
        <w:rPr>
          <w:lang w:val="en-US" w:eastAsia="en-US"/>
        </w:rPr>
        <w:t>PDF</w:t>
      </w:r>
      <w:r w:rsidRPr="00FA4F1B">
        <w:rPr>
          <w:lang w:val="bg-BG" w:eastAsia="en-US"/>
        </w:rPr>
        <w:t xml:space="preserve"> файл, до Отдела за научно и университетско сътрудничество, на следните адреси:</w:t>
      </w:r>
      <w:r w:rsidRPr="0058064B">
        <w:rPr>
          <w:lang w:val="en-US" w:eastAsia="en-US"/>
        </w:rPr>
        <w:t> </w:t>
      </w:r>
      <w:r>
        <w:fldChar w:fldCharType="begin"/>
      </w:r>
      <w:r>
        <w:instrText>HYPERLINK</w:instrText>
      </w:r>
      <w:r w:rsidRPr="00FA4F1B">
        <w:rPr>
          <w:lang w:val="bg-BG"/>
        </w:rPr>
        <w:instrText xml:space="preserve"> "</w:instrText>
      </w:r>
      <w:r>
        <w:instrText>mailto</w:instrText>
      </w:r>
      <w:r w:rsidRPr="00FA4F1B">
        <w:rPr>
          <w:lang w:val="bg-BG"/>
        </w:rPr>
        <w:instrText>:</w:instrText>
      </w:r>
      <w:r>
        <w:instrText>arnaud</w:instrText>
      </w:r>
      <w:r w:rsidRPr="00FA4F1B">
        <w:rPr>
          <w:lang w:val="bg-BG"/>
        </w:rPr>
        <w:instrText>.</w:instrText>
      </w:r>
      <w:r>
        <w:instrText>bauberot</w:instrText>
      </w:r>
      <w:r w:rsidRPr="00FA4F1B">
        <w:rPr>
          <w:lang w:val="bg-BG"/>
        </w:rPr>
        <w:instrText>@</w:instrText>
      </w:r>
      <w:r>
        <w:instrText>institutfrancais</w:instrText>
      </w:r>
      <w:r w:rsidRPr="00FA4F1B">
        <w:rPr>
          <w:lang w:val="bg-BG"/>
        </w:rPr>
        <w:instrText>.</w:instrText>
      </w:r>
      <w:r>
        <w:instrText>bg</w:instrText>
      </w:r>
      <w:r w:rsidRPr="00FA4F1B">
        <w:rPr>
          <w:lang w:val="bg-BG"/>
        </w:rPr>
        <w:instrText>"</w:instrText>
      </w:r>
      <w:r>
        <w:fldChar w:fldCharType="separate"/>
      </w:r>
      <w:r w:rsidRPr="0058064B">
        <w:rPr>
          <w:rStyle w:val="Hyperlink"/>
          <w:bCs/>
          <w:lang w:val="en-US" w:eastAsia="en-US"/>
        </w:rPr>
        <w:t>arnaud</w:t>
      </w:r>
      <w:r w:rsidRPr="00FA4F1B">
        <w:rPr>
          <w:rStyle w:val="Hyperlink"/>
          <w:bCs/>
          <w:lang w:val="bg-BG" w:eastAsia="en-US"/>
        </w:rPr>
        <w:t>.</w:t>
      </w:r>
      <w:r w:rsidRPr="0058064B">
        <w:rPr>
          <w:rStyle w:val="Hyperlink"/>
          <w:bCs/>
          <w:lang w:val="en-US" w:eastAsia="en-US"/>
        </w:rPr>
        <w:t>bauberot</w:t>
      </w:r>
      <w:r w:rsidRPr="00FA4F1B">
        <w:rPr>
          <w:rStyle w:val="Hyperlink"/>
          <w:bCs/>
          <w:lang w:val="bg-BG" w:eastAsia="en-US"/>
        </w:rPr>
        <w:t>@</w:t>
      </w:r>
      <w:r w:rsidRPr="0058064B">
        <w:rPr>
          <w:rStyle w:val="Hyperlink"/>
          <w:bCs/>
          <w:lang w:val="en-US" w:eastAsia="en-US"/>
        </w:rPr>
        <w:t>institutfrancais</w:t>
      </w:r>
      <w:r w:rsidRPr="00FA4F1B">
        <w:rPr>
          <w:rStyle w:val="Hyperlink"/>
          <w:bCs/>
          <w:lang w:val="bg-BG" w:eastAsia="en-US"/>
        </w:rPr>
        <w:t>.</w:t>
      </w:r>
      <w:r w:rsidRPr="0058064B">
        <w:rPr>
          <w:rStyle w:val="Hyperlink"/>
          <w:bCs/>
          <w:lang w:val="en-US" w:eastAsia="en-US"/>
        </w:rPr>
        <w:t>bg</w:t>
      </w:r>
      <w:r>
        <w:fldChar w:fldCharType="end"/>
      </w:r>
      <w:r w:rsidRPr="0058064B">
        <w:rPr>
          <w:lang w:val="en-US" w:eastAsia="en-US"/>
        </w:rPr>
        <w:t> </w:t>
      </w:r>
      <w:r w:rsidRPr="00FA4F1B">
        <w:rPr>
          <w:lang w:val="bg-BG" w:eastAsia="en-US"/>
        </w:rPr>
        <w:t>с копие до</w:t>
      </w:r>
      <w:r w:rsidRPr="0058064B">
        <w:rPr>
          <w:lang w:val="en-US" w:eastAsia="en-US"/>
        </w:rPr>
        <w:t> </w:t>
      </w:r>
      <w:r>
        <w:fldChar w:fldCharType="begin"/>
      </w:r>
      <w:r>
        <w:instrText>HYPERLINK</w:instrText>
      </w:r>
      <w:r w:rsidRPr="00FA4F1B">
        <w:rPr>
          <w:lang w:val="bg-BG"/>
        </w:rPr>
        <w:instrText xml:space="preserve"> "</w:instrText>
      </w:r>
      <w:r>
        <w:instrText>mailto</w:instrText>
      </w:r>
      <w:r w:rsidRPr="00FA4F1B">
        <w:rPr>
          <w:lang w:val="bg-BG"/>
        </w:rPr>
        <w:instrText>:</w:instrText>
      </w:r>
      <w:r>
        <w:instrText>nadia</w:instrText>
      </w:r>
      <w:r w:rsidRPr="00FA4F1B">
        <w:rPr>
          <w:lang w:val="bg-BG"/>
        </w:rPr>
        <w:instrText>.</w:instrText>
      </w:r>
      <w:r>
        <w:instrText>malinova</w:instrText>
      </w:r>
      <w:r w:rsidRPr="00FA4F1B">
        <w:rPr>
          <w:lang w:val="bg-BG"/>
        </w:rPr>
        <w:instrText>@</w:instrText>
      </w:r>
      <w:r>
        <w:instrText>institutfrancais</w:instrText>
      </w:r>
      <w:r w:rsidRPr="00FA4F1B">
        <w:rPr>
          <w:lang w:val="bg-BG"/>
        </w:rPr>
        <w:instrText>.</w:instrText>
      </w:r>
      <w:r>
        <w:instrText>bg</w:instrText>
      </w:r>
      <w:r w:rsidRPr="00FA4F1B">
        <w:rPr>
          <w:lang w:val="bg-BG"/>
        </w:rPr>
        <w:instrText>"</w:instrText>
      </w:r>
      <w:r>
        <w:fldChar w:fldCharType="separate"/>
      </w:r>
      <w:r w:rsidRPr="0058064B">
        <w:rPr>
          <w:rStyle w:val="Hyperlink"/>
          <w:bCs/>
          <w:lang w:val="en-US" w:eastAsia="en-US"/>
        </w:rPr>
        <w:t>nadia</w:t>
      </w:r>
      <w:r w:rsidRPr="00FA4F1B">
        <w:rPr>
          <w:rStyle w:val="Hyperlink"/>
          <w:bCs/>
          <w:lang w:val="bg-BG" w:eastAsia="en-US"/>
        </w:rPr>
        <w:t>.</w:t>
      </w:r>
      <w:r w:rsidRPr="0058064B">
        <w:rPr>
          <w:rStyle w:val="Hyperlink"/>
          <w:bCs/>
          <w:lang w:val="en-US" w:eastAsia="en-US"/>
        </w:rPr>
        <w:t>malinova</w:t>
      </w:r>
      <w:r w:rsidRPr="00FA4F1B">
        <w:rPr>
          <w:rStyle w:val="Hyperlink"/>
          <w:bCs/>
          <w:lang w:val="bg-BG" w:eastAsia="en-US"/>
        </w:rPr>
        <w:t>@</w:t>
      </w:r>
      <w:r w:rsidRPr="0058064B">
        <w:rPr>
          <w:rStyle w:val="Hyperlink"/>
          <w:bCs/>
          <w:lang w:val="en-US" w:eastAsia="en-US"/>
        </w:rPr>
        <w:t>institutfrancais</w:t>
      </w:r>
      <w:r w:rsidRPr="00FA4F1B">
        <w:rPr>
          <w:rStyle w:val="Hyperlink"/>
          <w:bCs/>
          <w:lang w:val="bg-BG" w:eastAsia="en-US"/>
        </w:rPr>
        <w:t>.</w:t>
      </w:r>
      <w:r w:rsidRPr="0058064B">
        <w:rPr>
          <w:rStyle w:val="Hyperlink"/>
          <w:bCs/>
          <w:lang w:val="en-US" w:eastAsia="en-US"/>
        </w:rPr>
        <w:t>bg</w:t>
      </w:r>
      <w:r>
        <w:fldChar w:fldCharType="end"/>
      </w:r>
    </w:p>
    <w:p w14:paraId="5BAACC1D" w14:textId="6C130E75" w:rsidR="006D3F02" w:rsidRPr="00FA4F1B" w:rsidRDefault="00291974" w:rsidP="0058064B">
      <w:pPr>
        <w:spacing w:before="120" w:after="120" w:line="276" w:lineRule="auto"/>
        <w:jc w:val="both"/>
        <w:rPr>
          <w:lang w:val="bg-BG" w:eastAsia="en-US"/>
        </w:rPr>
      </w:pPr>
      <w:r>
        <w:rPr>
          <w:bCs/>
          <w:lang w:val="bg-BG" w:eastAsia="en-US"/>
        </w:rPr>
        <w:t xml:space="preserve">Резултатите ще бъдат обявени на </w:t>
      </w:r>
      <w:r w:rsidRPr="00FA4F1B">
        <w:rPr>
          <w:bCs/>
          <w:lang w:val="bg-BG" w:eastAsia="en-US"/>
        </w:rPr>
        <w:t>13 юни 2025 г</w:t>
      </w:r>
    </w:p>
    <w:p w14:paraId="42655904" w14:textId="7FB07BEC" w:rsidR="006D3F02" w:rsidRPr="00FA4F1B" w:rsidRDefault="006D3F02" w:rsidP="0058064B">
      <w:pPr>
        <w:spacing w:before="120" w:after="120" w:line="276" w:lineRule="auto"/>
        <w:jc w:val="both"/>
        <w:rPr>
          <w:b/>
          <w:lang w:val="bg-BG" w:eastAsia="en-US"/>
        </w:rPr>
      </w:pPr>
      <w:r w:rsidRPr="00FA4F1B">
        <w:rPr>
          <w:b/>
          <w:bCs/>
          <w:lang w:val="bg-BG" w:eastAsia="en-US"/>
        </w:rPr>
        <w:t>Краен срок</w:t>
      </w:r>
      <w:r w:rsidR="00291974">
        <w:rPr>
          <w:b/>
          <w:bCs/>
          <w:lang w:val="bg-BG" w:eastAsia="en-US"/>
        </w:rPr>
        <w:t xml:space="preserve"> за кандидатстване</w:t>
      </w:r>
      <w:r w:rsidRPr="00FA4F1B">
        <w:rPr>
          <w:b/>
          <w:bCs/>
          <w:lang w:val="bg-BG" w:eastAsia="en-US"/>
        </w:rPr>
        <w:t>: 30 май 2025 г.</w:t>
      </w:r>
    </w:p>
    <w:p w14:paraId="060B6D2A" w14:textId="2910AADC" w:rsidR="000252AA" w:rsidRPr="00FA4F1B" w:rsidRDefault="00291974" w:rsidP="00291974">
      <w:pPr>
        <w:pStyle w:val="Heading2"/>
        <w:ind w:left="426"/>
        <w:rPr>
          <w:lang w:val="bg-BG" w:eastAsia="en-US"/>
        </w:rPr>
      </w:pPr>
      <w:bookmarkStart w:id="27" w:name="_Toc197365390"/>
      <w:r>
        <w:rPr>
          <w:lang w:val="bg-BG" w:eastAsia="en-US"/>
        </w:rPr>
        <w:t>П</w:t>
      </w:r>
      <w:r w:rsidR="000252AA" w:rsidRPr="00FA4F1B">
        <w:rPr>
          <w:lang w:val="bg-BG" w:eastAsia="en-US"/>
        </w:rPr>
        <w:t>окана за проектни предложения към Фонда за сътрудничество на Централноевропейската инициатива (</w:t>
      </w:r>
      <w:r w:rsidR="000252AA" w:rsidRPr="000252AA">
        <w:rPr>
          <w:lang w:val="en-US" w:eastAsia="en-US"/>
        </w:rPr>
        <w:t>CEI</w:t>
      </w:r>
      <w:r w:rsidR="000252AA" w:rsidRPr="00FA4F1B">
        <w:rPr>
          <w:lang w:val="bg-BG" w:eastAsia="en-US"/>
        </w:rPr>
        <w:t>)</w:t>
      </w:r>
      <w:bookmarkEnd w:id="27"/>
    </w:p>
    <w:p w14:paraId="6D75B1C9" w14:textId="77777777" w:rsidR="000252AA" w:rsidRPr="00FA4F1B" w:rsidRDefault="000252AA" w:rsidP="000252AA">
      <w:pPr>
        <w:spacing w:before="120" w:after="120" w:line="276" w:lineRule="auto"/>
        <w:jc w:val="both"/>
        <w:rPr>
          <w:lang w:val="bg-BG" w:eastAsia="en-US"/>
        </w:rPr>
      </w:pPr>
      <w:r w:rsidRPr="00FA4F1B">
        <w:rPr>
          <w:lang w:val="bg-BG" w:eastAsia="en-US"/>
        </w:rPr>
        <w:t>Централноевропейската инициатива (</w:t>
      </w:r>
      <w:r w:rsidRPr="000252AA">
        <w:rPr>
          <w:lang w:val="en-US" w:eastAsia="en-US"/>
        </w:rPr>
        <w:t>CEI</w:t>
      </w:r>
      <w:r w:rsidRPr="00FA4F1B">
        <w:rPr>
          <w:lang w:val="bg-BG" w:eastAsia="en-US"/>
        </w:rPr>
        <w:t xml:space="preserve">) обяви старта на годишната си покана за проектни предложения към Фонда за сътрудничество. Публични и частни институции, регистрирани в държава-членка на </w:t>
      </w:r>
      <w:r w:rsidRPr="000252AA">
        <w:rPr>
          <w:lang w:val="en-US" w:eastAsia="en-US"/>
        </w:rPr>
        <w:t>CEI</w:t>
      </w:r>
      <w:r w:rsidRPr="00FA4F1B">
        <w:rPr>
          <w:lang w:val="bg-BG" w:eastAsia="en-US"/>
        </w:rPr>
        <w:t>, както и неправителствени организации и международни организации, са поканени да кандидатстват за финансиране на иновативни инициативи, насърчаващи мобилността и създаването на мрежи. Проектите трябва да се фокусират върху изграждането на капацитет чрез трансфер и споделяне на знания.</w:t>
      </w:r>
    </w:p>
    <w:p w14:paraId="57326D32" w14:textId="77777777" w:rsidR="000252AA" w:rsidRPr="00FA4F1B" w:rsidRDefault="000252AA" w:rsidP="000252AA">
      <w:pPr>
        <w:spacing w:before="120" w:after="120" w:line="276" w:lineRule="auto"/>
        <w:jc w:val="both"/>
        <w:rPr>
          <w:lang w:val="bg-BG" w:eastAsia="en-US"/>
        </w:rPr>
      </w:pPr>
      <w:r w:rsidRPr="00FA4F1B">
        <w:rPr>
          <w:lang w:val="bg-BG" w:eastAsia="en-US"/>
        </w:rPr>
        <w:t>Общият индикативен бюджет на поканата е 442 000 евро и е разпределен в две основни направления:</w:t>
      </w:r>
    </w:p>
    <w:p w14:paraId="4493F6B3" w14:textId="77777777" w:rsidR="000252AA" w:rsidRPr="000252AA" w:rsidRDefault="000252AA" w:rsidP="000252AA">
      <w:pPr>
        <w:numPr>
          <w:ilvl w:val="0"/>
          <w:numId w:val="35"/>
        </w:numPr>
        <w:spacing w:before="120" w:after="120" w:line="276" w:lineRule="auto"/>
        <w:jc w:val="both"/>
        <w:rPr>
          <w:lang w:val="en-US" w:eastAsia="en-US"/>
        </w:rPr>
      </w:pPr>
      <w:proofErr w:type="spellStart"/>
      <w:r w:rsidRPr="000252AA">
        <w:rPr>
          <w:bCs/>
          <w:lang w:val="en-US" w:eastAsia="en-US"/>
        </w:rPr>
        <w:t>Тематична</w:t>
      </w:r>
      <w:proofErr w:type="spellEnd"/>
      <w:r w:rsidRPr="000252AA">
        <w:rPr>
          <w:bCs/>
          <w:lang w:val="en-US" w:eastAsia="en-US"/>
        </w:rPr>
        <w:t xml:space="preserve"> </w:t>
      </w:r>
      <w:proofErr w:type="spellStart"/>
      <w:r w:rsidRPr="000252AA">
        <w:rPr>
          <w:bCs/>
          <w:lang w:val="en-US" w:eastAsia="en-US"/>
        </w:rPr>
        <w:t>програма</w:t>
      </w:r>
      <w:proofErr w:type="spellEnd"/>
      <w:r w:rsidRPr="000252AA">
        <w:rPr>
          <w:bCs/>
          <w:lang w:val="en-US" w:eastAsia="en-US"/>
        </w:rPr>
        <w:t xml:space="preserve"> </w:t>
      </w:r>
      <w:proofErr w:type="spellStart"/>
      <w:r w:rsidRPr="000252AA">
        <w:rPr>
          <w:bCs/>
          <w:lang w:val="en-US" w:eastAsia="en-US"/>
        </w:rPr>
        <w:t>на</w:t>
      </w:r>
      <w:proofErr w:type="spellEnd"/>
      <w:r w:rsidRPr="000252AA">
        <w:rPr>
          <w:bCs/>
          <w:lang w:val="en-US" w:eastAsia="en-US"/>
        </w:rPr>
        <w:t xml:space="preserve"> CEI</w:t>
      </w:r>
      <w:r w:rsidRPr="000252AA">
        <w:rPr>
          <w:lang w:val="en-US" w:eastAsia="en-US"/>
        </w:rPr>
        <w:t xml:space="preserve">: </w:t>
      </w:r>
      <w:proofErr w:type="spellStart"/>
      <w:r w:rsidRPr="000252AA">
        <w:rPr>
          <w:lang w:val="en-US" w:eastAsia="en-US"/>
        </w:rPr>
        <w:t>до</w:t>
      </w:r>
      <w:proofErr w:type="spellEnd"/>
      <w:r w:rsidRPr="000252AA">
        <w:rPr>
          <w:lang w:val="en-US" w:eastAsia="en-US"/>
        </w:rPr>
        <w:t xml:space="preserve"> 252 000 </w:t>
      </w:r>
      <w:proofErr w:type="spellStart"/>
      <w:r w:rsidRPr="000252AA">
        <w:rPr>
          <w:lang w:val="en-US" w:eastAsia="en-US"/>
        </w:rPr>
        <w:t>евро</w:t>
      </w:r>
      <w:proofErr w:type="spellEnd"/>
      <w:r w:rsidRPr="000252AA">
        <w:rPr>
          <w:lang w:val="en-US" w:eastAsia="en-US"/>
        </w:rPr>
        <w:t xml:space="preserve">, </w:t>
      </w:r>
      <w:proofErr w:type="spellStart"/>
      <w:r w:rsidRPr="000252AA">
        <w:rPr>
          <w:lang w:val="en-US" w:eastAsia="en-US"/>
        </w:rPr>
        <w:t>като</w:t>
      </w:r>
      <w:proofErr w:type="spellEnd"/>
      <w:r w:rsidRPr="000252AA">
        <w:rPr>
          <w:lang w:val="en-US" w:eastAsia="en-US"/>
        </w:rPr>
        <w:t xml:space="preserve"> </w:t>
      </w:r>
      <w:proofErr w:type="spellStart"/>
      <w:r w:rsidRPr="000252AA">
        <w:rPr>
          <w:lang w:val="en-US" w:eastAsia="en-US"/>
        </w:rPr>
        <w:t>допълнително</w:t>
      </w:r>
      <w:proofErr w:type="spellEnd"/>
      <w:r w:rsidRPr="000252AA">
        <w:rPr>
          <w:lang w:val="en-US" w:eastAsia="en-US"/>
        </w:rPr>
        <w:t xml:space="preserve"> </w:t>
      </w:r>
      <w:proofErr w:type="spellStart"/>
      <w:r w:rsidRPr="000252AA">
        <w:rPr>
          <w:lang w:val="en-US" w:eastAsia="en-US"/>
        </w:rPr>
        <w:t>до</w:t>
      </w:r>
      <w:proofErr w:type="spellEnd"/>
      <w:r w:rsidRPr="000252AA">
        <w:rPr>
          <w:lang w:val="en-US" w:eastAsia="en-US"/>
        </w:rPr>
        <w:t xml:space="preserve"> 90 000 </w:t>
      </w:r>
      <w:proofErr w:type="spellStart"/>
      <w:r w:rsidRPr="000252AA">
        <w:rPr>
          <w:lang w:val="en-US" w:eastAsia="en-US"/>
        </w:rPr>
        <w:t>евро</w:t>
      </w:r>
      <w:proofErr w:type="spellEnd"/>
      <w:r w:rsidRPr="000252AA">
        <w:rPr>
          <w:lang w:val="en-US" w:eastAsia="en-US"/>
        </w:rPr>
        <w:t xml:space="preserve"> </w:t>
      </w:r>
      <w:proofErr w:type="spellStart"/>
      <w:r w:rsidRPr="000252AA">
        <w:rPr>
          <w:lang w:val="en-US" w:eastAsia="en-US"/>
        </w:rPr>
        <w:t>ще</w:t>
      </w:r>
      <w:proofErr w:type="spellEnd"/>
      <w:r w:rsidRPr="000252AA">
        <w:rPr>
          <w:lang w:val="en-US" w:eastAsia="en-US"/>
        </w:rPr>
        <w:t xml:space="preserve"> </w:t>
      </w:r>
      <w:proofErr w:type="spellStart"/>
      <w:r w:rsidRPr="000252AA">
        <w:rPr>
          <w:lang w:val="en-US" w:eastAsia="en-US"/>
        </w:rPr>
        <w:t>бъдат</w:t>
      </w:r>
      <w:proofErr w:type="spellEnd"/>
      <w:r w:rsidRPr="000252AA">
        <w:rPr>
          <w:lang w:val="en-US" w:eastAsia="en-US"/>
        </w:rPr>
        <w:t xml:space="preserve"> </w:t>
      </w:r>
      <w:proofErr w:type="spellStart"/>
      <w:r w:rsidRPr="000252AA">
        <w:rPr>
          <w:lang w:val="en-US" w:eastAsia="en-US"/>
        </w:rPr>
        <w:t>предоставени</w:t>
      </w:r>
      <w:proofErr w:type="spellEnd"/>
      <w:r w:rsidRPr="000252AA">
        <w:rPr>
          <w:lang w:val="en-US" w:eastAsia="en-US"/>
        </w:rPr>
        <w:t xml:space="preserve"> </w:t>
      </w:r>
      <w:proofErr w:type="spellStart"/>
      <w:r w:rsidRPr="000252AA">
        <w:rPr>
          <w:lang w:val="en-US" w:eastAsia="en-US"/>
        </w:rPr>
        <w:t>за</w:t>
      </w:r>
      <w:proofErr w:type="spellEnd"/>
      <w:r w:rsidRPr="000252AA">
        <w:rPr>
          <w:lang w:val="en-US" w:eastAsia="en-US"/>
        </w:rPr>
        <w:t xml:space="preserve"> </w:t>
      </w:r>
      <w:proofErr w:type="spellStart"/>
      <w:r w:rsidRPr="000252AA">
        <w:rPr>
          <w:lang w:val="en-US" w:eastAsia="en-US"/>
        </w:rPr>
        <w:t>съфинансиране</w:t>
      </w:r>
      <w:proofErr w:type="spellEnd"/>
      <w:r w:rsidRPr="000252AA">
        <w:rPr>
          <w:lang w:val="en-US" w:eastAsia="en-US"/>
        </w:rPr>
        <w:t xml:space="preserve"> </w:t>
      </w:r>
      <w:proofErr w:type="spellStart"/>
      <w:r w:rsidRPr="000252AA">
        <w:rPr>
          <w:lang w:val="en-US" w:eastAsia="en-US"/>
        </w:rPr>
        <w:t>на</w:t>
      </w:r>
      <w:proofErr w:type="spellEnd"/>
      <w:r w:rsidRPr="000252AA">
        <w:rPr>
          <w:lang w:val="en-US" w:eastAsia="en-US"/>
        </w:rPr>
        <w:t xml:space="preserve"> </w:t>
      </w:r>
      <w:proofErr w:type="spellStart"/>
      <w:r w:rsidRPr="000252AA">
        <w:rPr>
          <w:lang w:val="en-US" w:eastAsia="en-US"/>
        </w:rPr>
        <w:t>предложения</w:t>
      </w:r>
      <w:proofErr w:type="spellEnd"/>
      <w:r w:rsidRPr="000252AA">
        <w:rPr>
          <w:lang w:val="en-US" w:eastAsia="en-US"/>
        </w:rPr>
        <w:t xml:space="preserve">, </w:t>
      </w:r>
      <w:proofErr w:type="spellStart"/>
      <w:r w:rsidRPr="000252AA">
        <w:rPr>
          <w:lang w:val="en-US" w:eastAsia="en-US"/>
        </w:rPr>
        <w:t>одобрени</w:t>
      </w:r>
      <w:proofErr w:type="spellEnd"/>
      <w:r w:rsidRPr="000252AA">
        <w:rPr>
          <w:lang w:val="en-US" w:eastAsia="en-US"/>
        </w:rPr>
        <w:t xml:space="preserve"> </w:t>
      </w:r>
      <w:proofErr w:type="spellStart"/>
      <w:r w:rsidRPr="000252AA">
        <w:rPr>
          <w:lang w:val="en-US" w:eastAsia="en-US"/>
        </w:rPr>
        <w:t>като</w:t>
      </w:r>
      <w:proofErr w:type="spellEnd"/>
      <w:r w:rsidRPr="000252AA">
        <w:rPr>
          <w:lang w:val="en-US" w:eastAsia="en-US"/>
        </w:rPr>
        <w:t xml:space="preserve"> „</w:t>
      </w:r>
      <w:proofErr w:type="spellStart"/>
      <w:r w:rsidRPr="000252AA">
        <w:rPr>
          <w:lang w:val="en-US" w:eastAsia="en-US"/>
        </w:rPr>
        <w:t>водещи</w:t>
      </w:r>
      <w:proofErr w:type="spellEnd"/>
      <w:r w:rsidRPr="000252AA">
        <w:rPr>
          <w:lang w:val="en-US" w:eastAsia="en-US"/>
        </w:rPr>
        <w:t xml:space="preserve"> </w:t>
      </w:r>
      <w:proofErr w:type="spellStart"/>
      <w:proofErr w:type="gramStart"/>
      <w:r w:rsidRPr="000252AA">
        <w:rPr>
          <w:lang w:val="en-US" w:eastAsia="en-US"/>
        </w:rPr>
        <w:t>събития</w:t>
      </w:r>
      <w:proofErr w:type="spellEnd"/>
      <w:r w:rsidRPr="000252AA">
        <w:rPr>
          <w:lang w:val="en-US" w:eastAsia="en-US"/>
        </w:rPr>
        <w:t xml:space="preserve">“ </w:t>
      </w:r>
      <w:proofErr w:type="spellStart"/>
      <w:r w:rsidRPr="000252AA">
        <w:rPr>
          <w:lang w:val="en-US" w:eastAsia="en-US"/>
        </w:rPr>
        <w:t>на</w:t>
      </w:r>
      <w:proofErr w:type="spellEnd"/>
      <w:proofErr w:type="gramEnd"/>
      <w:r w:rsidRPr="000252AA">
        <w:rPr>
          <w:lang w:val="en-US" w:eastAsia="en-US"/>
        </w:rPr>
        <w:t xml:space="preserve"> </w:t>
      </w:r>
      <w:proofErr w:type="gramStart"/>
      <w:r w:rsidRPr="000252AA">
        <w:rPr>
          <w:lang w:val="en-US" w:eastAsia="en-US"/>
        </w:rPr>
        <w:t>CEI;</w:t>
      </w:r>
      <w:proofErr w:type="gramEnd"/>
    </w:p>
    <w:p w14:paraId="7B6BFB34" w14:textId="77777777" w:rsidR="000252AA" w:rsidRPr="000252AA" w:rsidRDefault="000252AA" w:rsidP="000252AA">
      <w:pPr>
        <w:numPr>
          <w:ilvl w:val="0"/>
          <w:numId w:val="35"/>
        </w:numPr>
        <w:spacing w:before="120" w:after="120" w:line="276" w:lineRule="auto"/>
        <w:jc w:val="both"/>
        <w:rPr>
          <w:lang w:val="en-US" w:eastAsia="en-US"/>
        </w:rPr>
      </w:pPr>
      <w:proofErr w:type="spellStart"/>
      <w:r w:rsidRPr="000252AA">
        <w:rPr>
          <w:bCs/>
          <w:lang w:val="en-US" w:eastAsia="en-US"/>
        </w:rPr>
        <w:t>Целева</w:t>
      </w:r>
      <w:proofErr w:type="spellEnd"/>
      <w:r w:rsidRPr="000252AA">
        <w:rPr>
          <w:bCs/>
          <w:lang w:val="en-US" w:eastAsia="en-US"/>
        </w:rPr>
        <w:t xml:space="preserve"> </w:t>
      </w:r>
      <w:proofErr w:type="spellStart"/>
      <w:r w:rsidRPr="000252AA">
        <w:rPr>
          <w:bCs/>
          <w:lang w:val="en-US" w:eastAsia="en-US"/>
        </w:rPr>
        <w:t>секция</w:t>
      </w:r>
      <w:proofErr w:type="spellEnd"/>
      <w:r w:rsidRPr="000252AA">
        <w:rPr>
          <w:lang w:val="en-US" w:eastAsia="en-US"/>
        </w:rPr>
        <w:t xml:space="preserve">: </w:t>
      </w:r>
      <w:proofErr w:type="spellStart"/>
      <w:r w:rsidRPr="000252AA">
        <w:rPr>
          <w:lang w:val="en-US" w:eastAsia="en-US"/>
        </w:rPr>
        <w:t>до</w:t>
      </w:r>
      <w:proofErr w:type="spellEnd"/>
      <w:r w:rsidRPr="000252AA">
        <w:rPr>
          <w:lang w:val="en-US" w:eastAsia="en-US"/>
        </w:rPr>
        <w:t xml:space="preserve"> 100 000 </w:t>
      </w:r>
      <w:proofErr w:type="spellStart"/>
      <w:r w:rsidRPr="000252AA">
        <w:rPr>
          <w:lang w:val="en-US" w:eastAsia="en-US"/>
        </w:rPr>
        <w:t>евро</w:t>
      </w:r>
      <w:proofErr w:type="spellEnd"/>
      <w:r w:rsidRPr="000252AA">
        <w:rPr>
          <w:lang w:val="en-US" w:eastAsia="en-US"/>
        </w:rPr>
        <w:t>.</w:t>
      </w:r>
    </w:p>
    <w:p w14:paraId="6BD4881A" w14:textId="77777777" w:rsidR="000252AA" w:rsidRPr="000252AA" w:rsidRDefault="000252AA" w:rsidP="000252AA">
      <w:pPr>
        <w:spacing w:before="120" w:after="120" w:line="276" w:lineRule="auto"/>
        <w:jc w:val="both"/>
        <w:rPr>
          <w:lang w:val="en-US" w:eastAsia="en-US"/>
        </w:rPr>
      </w:pPr>
      <w:proofErr w:type="spellStart"/>
      <w:r w:rsidRPr="000252AA">
        <w:rPr>
          <w:lang w:val="en-US" w:eastAsia="en-US"/>
        </w:rPr>
        <w:t>Подробности</w:t>
      </w:r>
      <w:proofErr w:type="spellEnd"/>
      <w:r w:rsidRPr="000252AA">
        <w:rPr>
          <w:lang w:val="en-US" w:eastAsia="en-US"/>
        </w:rPr>
        <w:t xml:space="preserve"> </w:t>
      </w:r>
      <w:proofErr w:type="spellStart"/>
      <w:r w:rsidRPr="000252AA">
        <w:rPr>
          <w:lang w:val="en-US" w:eastAsia="en-US"/>
        </w:rPr>
        <w:t>относно</w:t>
      </w:r>
      <w:proofErr w:type="spellEnd"/>
      <w:r w:rsidRPr="000252AA">
        <w:rPr>
          <w:lang w:val="en-US" w:eastAsia="en-US"/>
        </w:rPr>
        <w:t xml:space="preserve"> </w:t>
      </w:r>
      <w:proofErr w:type="spellStart"/>
      <w:r w:rsidRPr="000252AA">
        <w:rPr>
          <w:lang w:val="en-US" w:eastAsia="en-US"/>
        </w:rPr>
        <w:t>условията</w:t>
      </w:r>
      <w:proofErr w:type="spellEnd"/>
      <w:r w:rsidRPr="000252AA">
        <w:rPr>
          <w:lang w:val="en-US" w:eastAsia="en-US"/>
        </w:rPr>
        <w:t xml:space="preserve"> </w:t>
      </w:r>
      <w:proofErr w:type="spellStart"/>
      <w:r w:rsidRPr="000252AA">
        <w:rPr>
          <w:lang w:val="en-US" w:eastAsia="en-US"/>
        </w:rPr>
        <w:t>за</w:t>
      </w:r>
      <w:proofErr w:type="spellEnd"/>
      <w:r w:rsidRPr="000252AA">
        <w:rPr>
          <w:lang w:val="en-US" w:eastAsia="en-US"/>
        </w:rPr>
        <w:t xml:space="preserve"> </w:t>
      </w:r>
      <w:proofErr w:type="spellStart"/>
      <w:r w:rsidRPr="000252AA">
        <w:rPr>
          <w:lang w:val="en-US" w:eastAsia="en-US"/>
        </w:rPr>
        <w:t>участие</w:t>
      </w:r>
      <w:proofErr w:type="spellEnd"/>
      <w:r w:rsidRPr="000252AA">
        <w:rPr>
          <w:lang w:val="en-US" w:eastAsia="en-US"/>
        </w:rPr>
        <w:t xml:space="preserve"> и </w:t>
      </w:r>
      <w:proofErr w:type="spellStart"/>
      <w:r w:rsidRPr="000252AA">
        <w:rPr>
          <w:lang w:val="en-US" w:eastAsia="en-US"/>
        </w:rPr>
        <w:t>необходимите</w:t>
      </w:r>
      <w:proofErr w:type="spellEnd"/>
      <w:r w:rsidRPr="000252AA">
        <w:rPr>
          <w:lang w:val="en-US" w:eastAsia="en-US"/>
        </w:rPr>
        <w:t xml:space="preserve"> </w:t>
      </w:r>
      <w:proofErr w:type="spellStart"/>
      <w:r w:rsidRPr="000252AA">
        <w:rPr>
          <w:lang w:val="en-US" w:eastAsia="en-US"/>
        </w:rPr>
        <w:t>документи</w:t>
      </w:r>
      <w:proofErr w:type="spellEnd"/>
      <w:r w:rsidRPr="000252AA">
        <w:rPr>
          <w:lang w:val="en-US" w:eastAsia="en-US"/>
        </w:rPr>
        <w:t xml:space="preserve"> </w:t>
      </w:r>
      <w:proofErr w:type="spellStart"/>
      <w:r w:rsidRPr="000252AA">
        <w:rPr>
          <w:lang w:val="en-US" w:eastAsia="en-US"/>
        </w:rPr>
        <w:t>за</w:t>
      </w:r>
      <w:proofErr w:type="spellEnd"/>
      <w:r w:rsidRPr="000252AA">
        <w:rPr>
          <w:lang w:val="en-US" w:eastAsia="en-US"/>
        </w:rPr>
        <w:t xml:space="preserve"> </w:t>
      </w:r>
      <w:proofErr w:type="spellStart"/>
      <w:r w:rsidRPr="000252AA">
        <w:rPr>
          <w:lang w:val="en-US" w:eastAsia="en-US"/>
        </w:rPr>
        <w:t>кандидатстване</w:t>
      </w:r>
      <w:proofErr w:type="spellEnd"/>
      <w:r w:rsidRPr="000252AA">
        <w:rPr>
          <w:lang w:val="en-US" w:eastAsia="en-US"/>
        </w:rPr>
        <w:t xml:space="preserve"> </w:t>
      </w:r>
      <w:proofErr w:type="spellStart"/>
      <w:r w:rsidRPr="000252AA">
        <w:rPr>
          <w:lang w:val="en-US" w:eastAsia="en-US"/>
        </w:rPr>
        <w:t>можете</w:t>
      </w:r>
      <w:proofErr w:type="spellEnd"/>
      <w:r w:rsidRPr="000252AA">
        <w:rPr>
          <w:lang w:val="en-US" w:eastAsia="en-US"/>
        </w:rPr>
        <w:t xml:space="preserve"> </w:t>
      </w:r>
      <w:proofErr w:type="spellStart"/>
      <w:r w:rsidRPr="000252AA">
        <w:rPr>
          <w:lang w:val="en-US" w:eastAsia="en-US"/>
        </w:rPr>
        <w:t>да</w:t>
      </w:r>
      <w:proofErr w:type="spellEnd"/>
      <w:r w:rsidRPr="000252AA">
        <w:rPr>
          <w:lang w:val="en-US" w:eastAsia="en-US"/>
        </w:rPr>
        <w:t xml:space="preserve"> </w:t>
      </w:r>
      <w:proofErr w:type="spellStart"/>
      <w:r w:rsidRPr="000252AA">
        <w:rPr>
          <w:lang w:val="en-US" w:eastAsia="en-US"/>
        </w:rPr>
        <w:t>намерите</w:t>
      </w:r>
      <w:proofErr w:type="spellEnd"/>
      <w:r w:rsidRPr="000252AA">
        <w:rPr>
          <w:lang w:val="en-US" w:eastAsia="en-US"/>
        </w:rPr>
        <w:t> </w:t>
      </w:r>
      <w:proofErr w:type="spellStart"/>
      <w:r>
        <w:fldChar w:fldCharType="begin"/>
      </w:r>
      <w:r>
        <w:instrText>HYPERLINK "https://application.cei.int/application/cf2025/" \t "_blank"</w:instrText>
      </w:r>
      <w:r>
        <w:fldChar w:fldCharType="separate"/>
      </w:r>
      <w:r w:rsidRPr="000252AA">
        <w:rPr>
          <w:rStyle w:val="Hyperlink"/>
          <w:lang w:val="en-US" w:eastAsia="en-US"/>
        </w:rPr>
        <w:t>тук</w:t>
      </w:r>
      <w:proofErr w:type="spellEnd"/>
      <w:r>
        <w:fldChar w:fldCharType="end"/>
      </w:r>
      <w:r w:rsidRPr="000252AA">
        <w:rPr>
          <w:lang w:val="en-US" w:eastAsia="en-US"/>
        </w:rPr>
        <w:t>.</w:t>
      </w:r>
    </w:p>
    <w:p w14:paraId="3D18CC9E" w14:textId="77777777" w:rsidR="00291974" w:rsidRDefault="000252AA" w:rsidP="00291974">
      <w:pPr>
        <w:spacing w:before="120" w:after="120" w:line="276" w:lineRule="auto"/>
        <w:jc w:val="both"/>
        <w:rPr>
          <w:lang w:val="en-US" w:eastAsia="en-US"/>
        </w:rPr>
      </w:pPr>
      <w:proofErr w:type="spellStart"/>
      <w:r w:rsidRPr="000252AA">
        <w:rPr>
          <w:lang w:val="en-US" w:eastAsia="en-US"/>
        </w:rPr>
        <w:t>За</w:t>
      </w:r>
      <w:proofErr w:type="spellEnd"/>
      <w:r w:rsidRPr="000252AA">
        <w:rPr>
          <w:lang w:val="en-US" w:eastAsia="en-US"/>
        </w:rPr>
        <w:t xml:space="preserve"> </w:t>
      </w:r>
      <w:proofErr w:type="spellStart"/>
      <w:r w:rsidRPr="000252AA">
        <w:rPr>
          <w:lang w:val="en-US" w:eastAsia="en-US"/>
        </w:rPr>
        <w:t>въпроси</w:t>
      </w:r>
      <w:proofErr w:type="spellEnd"/>
      <w:r w:rsidRPr="000252AA">
        <w:rPr>
          <w:lang w:val="en-US" w:eastAsia="en-US"/>
        </w:rPr>
        <w:t xml:space="preserve"> и </w:t>
      </w:r>
      <w:proofErr w:type="spellStart"/>
      <w:r w:rsidRPr="000252AA">
        <w:rPr>
          <w:lang w:val="en-US" w:eastAsia="en-US"/>
        </w:rPr>
        <w:t>допълнителна</w:t>
      </w:r>
      <w:proofErr w:type="spellEnd"/>
      <w:r w:rsidRPr="000252AA">
        <w:rPr>
          <w:lang w:val="en-US" w:eastAsia="en-US"/>
        </w:rPr>
        <w:t xml:space="preserve"> </w:t>
      </w:r>
      <w:proofErr w:type="spellStart"/>
      <w:r w:rsidRPr="000252AA">
        <w:rPr>
          <w:lang w:val="en-US" w:eastAsia="en-US"/>
        </w:rPr>
        <w:t>информация</w:t>
      </w:r>
      <w:proofErr w:type="spellEnd"/>
      <w:r w:rsidRPr="000252AA">
        <w:rPr>
          <w:lang w:val="en-US" w:eastAsia="en-US"/>
        </w:rPr>
        <w:t>: </w:t>
      </w:r>
      <w:r w:rsidRPr="000252AA">
        <w:rPr>
          <w:bCs/>
          <w:lang w:val="en-US" w:eastAsia="en-US"/>
        </w:rPr>
        <w:t>applications.coopfund@cei.int</w:t>
      </w:r>
      <w:r w:rsidRPr="000252AA">
        <w:rPr>
          <w:lang w:val="en-US" w:eastAsia="en-US"/>
        </w:rPr>
        <w:t>.</w:t>
      </w:r>
      <w:r w:rsidR="00291974" w:rsidRPr="00291974">
        <w:rPr>
          <w:lang w:val="en-US" w:eastAsia="en-US"/>
        </w:rPr>
        <w:t xml:space="preserve"> </w:t>
      </w:r>
    </w:p>
    <w:p w14:paraId="24EBC1C1" w14:textId="1C38AF98" w:rsidR="000252AA" w:rsidRDefault="00291974" w:rsidP="00291974">
      <w:pPr>
        <w:spacing w:before="120" w:after="600" w:line="276" w:lineRule="auto"/>
        <w:jc w:val="both"/>
        <w:rPr>
          <w:b/>
          <w:lang w:val="en-US" w:eastAsia="en-US"/>
        </w:rPr>
      </w:pPr>
      <w:proofErr w:type="spellStart"/>
      <w:r w:rsidRPr="00291974">
        <w:rPr>
          <w:b/>
          <w:lang w:val="en-US" w:eastAsia="en-US"/>
        </w:rPr>
        <w:t>Крайният</w:t>
      </w:r>
      <w:proofErr w:type="spellEnd"/>
      <w:r w:rsidRPr="00291974">
        <w:rPr>
          <w:b/>
          <w:lang w:val="en-US" w:eastAsia="en-US"/>
        </w:rPr>
        <w:t xml:space="preserve"> </w:t>
      </w:r>
      <w:proofErr w:type="spellStart"/>
      <w:r w:rsidRPr="00291974">
        <w:rPr>
          <w:b/>
          <w:lang w:val="en-US" w:eastAsia="en-US"/>
        </w:rPr>
        <w:t>срок</w:t>
      </w:r>
      <w:proofErr w:type="spellEnd"/>
      <w:r w:rsidRPr="000252AA">
        <w:rPr>
          <w:lang w:val="en-US" w:eastAsia="en-US"/>
        </w:rPr>
        <w:t xml:space="preserve"> </w:t>
      </w:r>
      <w:proofErr w:type="spellStart"/>
      <w:r w:rsidRPr="000252AA">
        <w:rPr>
          <w:lang w:val="en-US" w:eastAsia="en-US"/>
        </w:rPr>
        <w:t>за</w:t>
      </w:r>
      <w:proofErr w:type="spellEnd"/>
      <w:r w:rsidRPr="000252AA">
        <w:rPr>
          <w:lang w:val="en-US" w:eastAsia="en-US"/>
        </w:rPr>
        <w:t xml:space="preserve"> </w:t>
      </w:r>
      <w:proofErr w:type="spellStart"/>
      <w:r w:rsidRPr="000252AA">
        <w:rPr>
          <w:lang w:val="en-US" w:eastAsia="en-US"/>
        </w:rPr>
        <w:t>подаване</w:t>
      </w:r>
      <w:proofErr w:type="spellEnd"/>
      <w:r w:rsidRPr="000252AA">
        <w:rPr>
          <w:lang w:val="en-US" w:eastAsia="en-US"/>
        </w:rPr>
        <w:t xml:space="preserve"> </w:t>
      </w:r>
      <w:proofErr w:type="spellStart"/>
      <w:r w:rsidRPr="000252AA">
        <w:rPr>
          <w:lang w:val="en-US" w:eastAsia="en-US"/>
        </w:rPr>
        <w:t>на</w:t>
      </w:r>
      <w:proofErr w:type="spellEnd"/>
      <w:r w:rsidRPr="000252AA">
        <w:rPr>
          <w:lang w:val="en-US" w:eastAsia="en-US"/>
        </w:rPr>
        <w:t xml:space="preserve"> </w:t>
      </w:r>
      <w:proofErr w:type="spellStart"/>
      <w:r w:rsidRPr="000252AA">
        <w:rPr>
          <w:lang w:val="en-US" w:eastAsia="en-US"/>
        </w:rPr>
        <w:t>проектни</w:t>
      </w:r>
      <w:proofErr w:type="spellEnd"/>
      <w:r w:rsidRPr="000252AA">
        <w:rPr>
          <w:lang w:val="en-US" w:eastAsia="en-US"/>
        </w:rPr>
        <w:t xml:space="preserve"> </w:t>
      </w:r>
      <w:proofErr w:type="spellStart"/>
      <w:r w:rsidRPr="000252AA">
        <w:rPr>
          <w:lang w:val="en-US" w:eastAsia="en-US"/>
        </w:rPr>
        <w:t>предложения</w:t>
      </w:r>
      <w:proofErr w:type="spellEnd"/>
      <w:r w:rsidRPr="000252AA">
        <w:rPr>
          <w:lang w:val="en-US" w:eastAsia="en-US"/>
        </w:rPr>
        <w:t xml:space="preserve"> е </w:t>
      </w:r>
      <w:r w:rsidRPr="00291974">
        <w:rPr>
          <w:b/>
          <w:bCs/>
          <w:lang w:val="en-US" w:eastAsia="en-US"/>
        </w:rPr>
        <w:t xml:space="preserve">9 </w:t>
      </w:r>
      <w:proofErr w:type="spellStart"/>
      <w:r w:rsidRPr="00291974">
        <w:rPr>
          <w:b/>
          <w:bCs/>
          <w:lang w:val="en-US" w:eastAsia="en-US"/>
        </w:rPr>
        <w:t>юни</w:t>
      </w:r>
      <w:proofErr w:type="spellEnd"/>
      <w:r w:rsidRPr="00291974">
        <w:rPr>
          <w:b/>
          <w:bCs/>
          <w:lang w:val="en-US" w:eastAsia="en-US"/>
        </w:rPr>
        <w:t xml:space="preserve"> 2025 г., 23:59 ч. (</w:t>
      </w:r>
      <w:proofErr w:type="spellStart"/>
      <w:r w:rsidRPr="00291974">
        <w:rPr>
          <w:b/>
          <w:bCs/>
          <w:lang w:val="en-US" w:eastAsia="en-US"/>
        </w:rPr>
        <w:t>централноевропейско</w:t>
      </w:r>
      <w:proofErr w:type="spellEnd"/>
      <w:r w:rsidRPr="00291974">
        <w:rPr>
          <w:b/>
          <w:bCs/>
          <w:lang w:val="en-US" w:eastAsia="en-US"/>
        </w:rPr>
        <w:t xml:space="preserve"> </w:t>
      </w:r>
      <w:proofErr w:type="spellStart"/>
      <w:r w:rsidRPr="00291974">
        <w:rPr>
          <w:b/>
          <w:bCs/>
          <w:lang w:val="en-US" w:eastAsia="en-US"/>
        </w:rPr>
        <w:t>лятно</w:t>
      </w:r>
      <w:proofErr w:type="spellEnd"/>
      <w:r w:rsidRPr="00291974">
        <w:rPr>
          <w:b/>
          <w:bCs/>
          <w:lang w:val="en-US" w:eastAsia="en-US"/>
        </w:rPr>
        <w:t xml:space="preserve"> </w:t>
      </w:r>
      <w:proofErr w:type="spellStart"/>
      <w:r w:rsidRPr="00291974">
        <w:rPr>
          <w:b/>
          <w:bCs/>
          <w:lang w:val="en-US" w:eastAsia="en-US"/>
        </w:rPr>
        <w:t>време</w:t>
      </w:r>
      <w:proofErr w:type="spellEnd"/>
      <w:r w:rsidRPr="00291974">
        <w:rPr>
          <w:b/>
          <w:bCs/>
          <w:lang w:val="en-US" w:eastAsia="en-US"/>
        </w:rPr>
        <w:t>)</w:t>
      </w:r>
      <w:r w:rsidRPr="00291974">
        <w:rPr>
          <w:b/>
          <w:lang w:val="en-US" w:eastAsia="en-US"/>
        </w:rPr>
        <w:t>.</w:t>
      </w:r>
    </w:p>
    <w:p w14:paraId="6B733A67" w14:textId="2529923B" w:rsidR="004C0021" w:rsidRPr="00316ACD" w:rsidRDefault="00AF009E" w:rsidP="00316ACD">
      <w:pPr>
        <w:pStyle w:val="Heading2"/>
        <w:ind w:left="426"/>
      </w:pPr>
      <w:bookmarkStart w:id="28" w:name="_Toc197365391"/>
      <w:r w:rsidRPr="00316ACD">
        <w:t>Marie Skłodowska-Curie Actions</w:t>
      </w:r>
      <w:bookmarkEnd w:id="28"/>
    </w:p>
    <w:p w14:paraId="5FABED64" w14:textId="77777777" w:rsidR="00AF009E" w:rsidRPr="0066757D" w:rsidRDefault="00AF009E" w:rsidP="0036345D">
      <w:pPr>
        <w:spacing w:before="120" w:after="120" w:line="276" w:lineRule="auto"/>
        <w:jc w:val="both"/>
        <w:rPr>
          <w:lang w:val="en-US"/>
        </w:rPr>
      </w:pPr>
      <w:r w:rsidRPr="0066757D">
        <w:t>The Marie Skłodowska-Curie Actions Co-funding of regional, national and international programmes (COFUND) 2025 call is open. The deadline for submission of proposals is </w:t>
      </w:r>
      <w:bookmarkStart w:id="29" w:name="_Hlk189150437"/>
      <w:r w:rsidRPr="0066757D">
        <w:rPr>
          <w:b/>
          <w:bCs/>
        </w:rPr>
        <w:t>24 June 2025</w:t>
      </w:r>
      <w:r w:rsidRPr="0066757D">
        <w:t>.</w:t>
      </w:r>
      <w:r w:rsidRPr="0066757D">
        <w:rPr>
          <w:lang w:val="en-US"/>
        </w:rPr>
        <w:t> </w:t>
      </w:r>
    </w:p>
    <w:bookmarkEnd w:id="29"/>
    <w:p w14:paraId="61BEEC51" w14:textId="77777777" w:rsidR="00AF009E" w:rsidRPr="0066757D" w:rsidRDefault="00AF009E" w:rsidP="0036345D">
      <w:pPr>
        <w:spacing w:before="120" w:after="120" w:line="276" w:lineRule="auto"/>
        <w:jc w:val="both"/>
        <w:rPr>
          <w:lang w:val="en-US"/>
        </w:rPr>
      </w:pPr>
      <w:r w:rsidRPr="0066757D">
        <w:t>Under this call, the European Commission will award €101.8 million to support institutional, regional, national and international training and career development programmes for researchers.</w:t>
      </w:r>
      <w:r w:rsidRPr="0066757D">
        <w:rPr>
          <w:lang w:val="en-US"/>
        </w:rPr>
        <w:t> </w:t>
      </w:r>
    </w:p>
    <w:p w14:paraId="747CDB34" w14:textId="77777777" w:rsidR="00AF009E" w:rsidRPr="0066757D" w:rsidRDefault="00AF009E" w:rsidP="0036345D">
      <w:pPr>
        <w:spacing w:before="120" w:after="120" w:line="276" w:lineRule="auto"/>
        <w:jc w:val="both"/>
        <w:rPr>
          <w:lang w:val="en-US"/>
        </w:rPr>
      </w:pPr>
      <w:hyperlink r:id="rId31" w:tgtFrame="_blank" w:history="1">
        <w:r w:rsidRPr="0066757D">
          <w:rPr>
            <w:rStyle w:val="Hyperlink"/>
          </w:rPr>
          <w:t>COFUND</w:t>
        </w:r>
      </w:hyperlink>
      <w:r w:rsidRPr="0066757D">
        <w:t> allows organisations to create new or strengthen existing doctoral and postdoctoral programmes, with the goal of recruiting researchers and attracting international talent, by co-funding a significant part of their cost. </w:t>
      </w:r>
      <w:r w:rsidRPr="0066757D">
        <w:rPr>
          <w:lang w:val="en-US"/>
        </w:rPr>
        <w:t> </w:t>
      </w:r>
    </w:p>
    <w:p w14:paraId="74F25CCA" w14:textId="77777777" w:rsidR="00AF009E" w:rsidRPr="0066757D" w:rsidRDefault="00AF009E" w:rsidP="0036345D">
      <w:pPr>
        <w:spacing w:before="120" w:after="120" w:line="276" w:lineRule="auto"/>
        <w:jc w:val="both"/>
        <w:rPr>
          <w:lang w:val="en-US"/>
        </w:rPr>
      </w:pPr>
      <w:r w:rsidRPr="0066757D">
        <w:t>Organisations benefitting from such funding need to top it up with their own sources. Synergies with Cohesion policy funds and the Recovery and Resilience Facility (RRF) are strongly encouraged.</w:t>
      </w:r>
      <w:r w:rsidRPr="0066757D">
        <w:rPr>
          <w:lang w:val="en-US"/>
        </w:rPr>
        <w:t> </w:t>
      </w:r>
    </w:p>
    <w:p w14:paraId="10DE97D0" w14:textId="77777777" w:rsidR="00AF009E" w:rsidRPr="0066757D" w:rsidRDefault="00AF009E" w:rsidP="005D1D65">
      <w:pPr>
        <w:numPr>
          <w:ilvl w:val="0"/>
          <w:numId w:val="7"/>
        </w:numPr>
        <w:spacing w:before="120" w:after="120" w:line="276" w:lineRule="auto"/>
        <w:jc w:val="both"/>
        <w:rPr>
          <w:b/>
          <w:bCs/>
          <w:lang w:val="en-US"/>
        </w:rPr>
      </w:pPr>
      <w:r w:rsidRPr="0066757D">
        <w:rPr>
          <w:b/>
          <w:bCs/>
        </w:rPr>
        <w:t>Forms of COFUND projects </w:t>
      </w:r>
      <w:r w:rsidRPr="0066757D">
        <w:rPr>
          <w:b/>
          <w:bCs/>
          <w:lang w:val="en-US"/>
        </w:rPr>
        <w:t> </w:t>
      </w:r>
    </w:p>
    <w:p w14:paraId="4672C5BA" w14:textId="77777777" w:rsidR="00AF009E" w:rsidRPr="0066757D" w:rsidRDefault="00AF009E" w:rsidP="0036345D">
      <w:pPr>
        <w:spacing w:before="120" w:after="120" w:line="276" w:lineRule="auto"/>
        <w:jc w:val="both"/>
        <w:rPr>
          <w:b/>
          <w:bCs/>
          <w:lang w:val="en-US"/>
        </w:rPr>
      </w:pPr>
      <w:r w:rsidRPr="0066757D">
        <w:rPr>
          <w:b/>
          <w:bCs/>
        </w:rPr>
        <w:t>Doctoral Programmes   </w:t>
      </w:r>
      <w:r w:rsidRPr="0066757D">
        <w:rPr>
          <w:b/>
          <w:bCs/>
          <w:lang w:val="en-US"/>
        </w:rPr>
        <w:t> </w:t>
      </w:r>
    </w:p>
    <w:p w14:paraId="3C184F21" w14:textId="77777777" w:rsidR="00AF009E" w:rsidRPr="0066757D" w:rsidRDefault="00AF009E" w:rsidP="005D1D65">
      <w:pPr>
        <w:numPr>
          <w:ilvl w:val="0"/>
          <w:numId w:val="7"/>
        </w:numPr>
        <w:spacing w:before="120" w:after="120" w:line="276" w:lineRule="auto"/>
        <w:jc w:val="both"/>
        <w:rPr>
          <w:lang w:val="en-US"/>
        </w:rPr>
      </w:pPr>
      <w:r w:rsidRPr="0066757D">
        <w:rPr>
          <w:lang w:val="en-US"/>
        </w:rPr>
        <w:t>offering doctoral candidates research training activities to develop and broaden their skills and competences  </w:t>
      </w:r>
    </w:p>
    <w:p w14:paraId="0BA087AC" w14:textId="77777777" w:rsidR="00AF009E" w:rsidRPr="0066757D" w:rsidRDefault="00AF009E" w:rsidP="005D1D65">
      <w:pPr>
        <w:numPr>
          <w:ilvl w:val="0"/>
          <w:numId w:val="7"/>
        </w:numPr>
        <w:spacing w:before="120" w:after="120" w:line="276" w:lineRule="auto"/>
        <w:jc w:val="both"/>
        <w:rPr>
          <w:lang w:val="en-US"/>
        </w:rPr>
      </w:pPr>
      <w:r w:rsidRPr="0066757D">
        <w:rPr>
          <w:lang w:val="en-US"/>
        </w:rPr>
        <w:t>leading to the award of a doctoral degree   </w:t>
      </w:r>
    </w:p>
    <w:p w14:paraId="28818D6E" w14:textId="77777777" w:rsidR="00AF009E" w:rsidRPr="0066757D" w:rsidRDefault="00AF009E" w:rsidP="0036345D">
      <w:pPr>
        <w:spacing w:before="120" w:after="120" w:line="276" w:lineRule="auto"/>
        <w:jc w:val="both"/>
        <w:rPr>
          <w:b/>
          <w:bCs/>
          <w:lang w:val="en-US"/>
        </w:rPr>
      </w:pPr>
      <w:r w:rsidRPr="0066757D">
        <w:rPr>
          <w:b/>
          <w:bCs/>
          <w:lang w:val="fr-BE"/>
        </w:rPr>
        <w:t>Postdoctoral Programmes</w:t>
      </w:r>
      <w:r w:rsidRPr="0066757D">
        <w:rPr>
          <w:b/>
          <w:bCs/>
          <w:lang w:val="en-US"/>
        </w:rPr>
        <w:t> </w:t>
      </w:r>
    </w:p>
    <w:p w14:paraId="0D1B746E" w14:textId="77777777" w:rsidR="00AF009E" w:rsidRPr="0066757D" w:rsidRDefault="00AF009E" w:rsidP="005D1D65">
      <w:pPr>
        <w:numPr>
          <w:ilvl w:val="0"/>
          <w:numId w:val="8"/>
        </w:numPr>
        <w:spacing w:before="120" w:after="120" w:line="276" w:lineRule="auto"/>
        <w:jc w:val="both"/>
        <w:rPr>
          <w:lang w:val="en-US"/>
        </w:rPr>
      </w:pPr>
      <w:r w:rsidRPr="0066757D">
        <w:t>funding individual advanced research training and career development fellowships for postdoctoral researchers</w:t>
      </w:r>
      <w:r w:rsidRPr="0066757D">
        <w:rPr>
          <w:lang w:val="en-US"/>
        </w:rPr>
        <w:t> </w:t>
      </w:r>
    </w:p>
    <w:p w14:paraId="714E4DAA" w14:textId="77777777" w:rsidR="00AF009E" w:rsidRPr="0066757D" w:rsidRDefault="00AF009E" w:rsidP="0036345D">
      <w:pPr>
        <w:spacing w:before="120" w:after="120" w:line="276" w:lineRule="auto"/>
        <w:jc w:val="both"/>
        <w:rPr>
          <w:lang w:val="en-US"/>
        </w:rPr>
      </w:pPr>
      <w:r w:rsidRPr="0066757D">
        <w:t>Proposed programmes can cover any research disciplines ("bottom-up"), but can also focus on specific disciplines, notably when they are based on national or regional Research and Innovation Strategies for Smart Specialisation (RIS3 strategies). </w:t>
      </w:r>
      <w:r w:rsidRPr="0066757D">
        <w:rPr>
          <w:lang w:val="en-US"/>
        </w:rPr>
        <w:t> </w:t>
      </w:r>
    </w:p>
    <w:p w14:paraId="64066B51" w14:textId="77777777" w:rsidR="00AF009E" w:rsidRPr="0066757D" w:rsidRDefault="00AF009E" w:rsidP="005D1D65">
      <w:pPr>
        <w:numPr>
          <w:ilvl w:val="0"/>
          <w:numId w:val="7"/>
        </w:numPr>
        <w:spacing w:before="120" w:after="120" w:line="276" w:lineRule="auto"/>
        <w:jc w:val="both"/>
        <w:rPr>
          <w:b/>
          <w:bCs/>
          <w:lang w:val="en-US"/>
        </w:rPr>
      </w:pPr>
      <w:r w:rsidRPr="0066757D">
        <w:rPr>
          <w:b/>
          <w:bCs/>
        </w:rPr>
        <w:t>Who can apply?</w:t>
      </w:r>
      <w:r w:rsidRPr="0066757D">
        <w:rPr>
          <w:b/>
          <w:bCs/>
          <w:lang w:val="en-US"/>
        </w:rPr>
        <w:t> </w:t>
      </w:r>
    </w:p>
    <w:p w14:paraId="654FE64E" w14:textId="77777777" w:rsidR="00AF009E" w:rsidRPr="0066757D" w:rsidRDefault="00AF009E" w:rsidP="0036345D">
      <w:pPr>
        <w:spacing w:before="120" w:after="120" w:line="276" w:lineRule="auto"/>
        <w:jc w:val="both"/>
        <w:rPr>
          <w:lang w:val="en-US"/>
        </w:rPr>
      </w:pPr>
      <w:r w:rsidRPr="0066757D">
        <w:t>A single organisation in an EU Member State or a </w:t>
      </w:r>
      <w:hyperlink r:id="rId32" w:anchor=":~:text=For%20the%20Euratom%20Research%20and%20Training%20Programme%20%28Council,applies%20to%20legal%20entities%20established%20in%20these%20countries." w:tgtFrame="_blank" w:history="1">
        <w:r w:rsidRPr="0066757D">
          <w:rPr>
            <w:rStyle w:val="Hyperlink"/>
          </w:rPr>
          <w:t>Horizon Europe associated country</w:t>
        </w:r>
      </w:hyperlink>
      <w:r w:rsidRPr="0066757D">
        <w:t> is eligible to apply.</w:t>
      </w:r>
      <w:r w:rsidRPr="0066757D">
        <w:rPr>
          <w:lang w:val="en-US"/>
        </w:rPr>
        <w:t> </w:t>
      </w:r>
    </w:p>
    <w:p w14:paraId="45431D0C" w14:textId="77777777" w:rsidR="00AF009E" w:rsidRPr="0066757D" w:rsidRDefault="00AF009E" w:rsidP="0036345D">
      <w:pPr>
        <w:spacing w:before="120" w:after="120" w:line="276" w:lineRule="auto"/>
        <w:jc w:val="both"/>
        <w:rPr>
          <w:lang w:val="en-US"/>
        </w:rPr>
      </w:pPr>
      <w:r w:rsidRPr="0066757D">
        <w:t>As of January 2025, Switzerland benefits from transitional measures pending association. Full association is required by the time of grant agreement signature for beneficiaries.</w:t>
      </w:r>
      <w:r w:rsidRPr="0066757D">
        <w:rPr>
          <w:lang w:val="en-US"/>
        </w:rPr>
        <w:t> </w:t>
      </w:r>
    </w:p>
    <w:p w14:paraId="3ABE1F9D" w14:textId="77777777" w:rsidR="00AF009E" w:rsidRPr="0066757D" w:rsidRDefault="00AF009E" w:rsidP="0036345D">
      <w:pPr>
        <w:spacing w:before="120" w:after="120" w:line="276" w:lineRule="auto"/>
        <w:jc w:val="both"/>
        <w:rPr>
          <w:lang w:val="en-US"/>
        </w:rPr>
      </w:pPr>
      <w:r w:rsidRPr="0066757D">
        <w:t>Additional project partners such as</w:t>
      </w:r>
      <w:r w:rsidRPr="0066757D">
        <w:rPr>
          <w:lang w:val="en-US"/>
        </w:rPr>
        <w:t> </w:t>
      </w:r>
    </w:p>
    <w:p w14:paraId="2ACFA41A" w14:textId="77777777" w:rsidR="00AF009E" w:rsidRPr="0066757D" w:rsidRDefault="00AF009E" w:rsidP="005D1D65">
      <w:pPr>
        <w:numPr>
          <w:ilvl w:val="0"/>
          <w:numId w:val="9"/>
        </w:numPr>
        <w:spacing w:before="120" w:after="120" w:line="276" w:lineRule="auto"/>
        <w:jc w:val="both"/>
        <w:rPr>
          <w:lang w:val="en-US"/>
        </w:rPr>
      </w:pPr>
      <w:r w:rsidRPr="0066757D">
        <w:rPr>
          <w:lang w:val="en-US"/>
        </w:rPr>
        <w:t>government entities  </w:t>
      </w:r>
    </w:p>
    <w:p w14:paraId="7AD739A8" w14:textId="77777777" w:rsidR="00AF009E" w:rsidRPr="0066757D" w:rsidRDefault="00AF009E" w:rsidP="005D1D65">
      <w:pPr>
        <w:numPr>
          <w:ilvl w:val="0"/>
          <w:numId w:val="9"/>
        </w:numPr>
        <w:spacing w:before="120" w:after="120" w:line="276" w:lineRule="auto"/>
        <w:jc w:val="both"/>
        <w:rPr>
          <w:lang w:val="en-US"/>
        </w:rPr>
      </w:pPr>
      <w:r w:rsidRPr="0066757D">
        <w:rPr>
          <w:lang w:val="en-US"/>
        </w:rPr>
        <w:t>regional authorities</w:t>
      </w:r>
    </w:p>
    <w:p w14:paraId="2DCBD56C" w14:textId="77777777" w:rsidR="00AF009E" w:rsidRPr="0066757D" w:rsidRDefault="00AF009E" w:rsidP="005D1D65">
      <w:pPr>
        <w:numPr>
          <w:ilvl w:val="0"/>
          <w:numId w:val="9"/>
        </w:numPr>
        <w:spacing w:before="120" w:after="120" w:line="276" w:lineRule="auto"/>
        <w:jc w:val="both"/>
        <w:rPr>
          <w:lang w:val="en-US"/>
        </w:rPr>
      </w:pPr>
      <w:r w:rsidRPr="0066757D">
        <w:rPr>
          <w:lang w:val="en-US"/>
        </w:rPr>
        <w:t>funding agencies</w:t>
      </w:r>
    </w:p>
    <w:p w14:paraId="7FC75F94" w14:textId="77777777" w:rsidR="00AF009E" w:rsidRPr="0066757D" w:rsidRDefault="00AF009E" w:rsidP="005D1D65">
      <w:pPr>
        <w:numPr>
          <w:ilvl w:val="0"/>
          <w:numId w:val="9"/>
        </w:numPr>
        <w:spacing w:before="120" w:after="120" w:line="276" w:lineRule="auto"/>
        <w:jc w:val="both"/>
        <w:rPr>
          <w:lang w:val="en-US"/>
        </w:rPr>
      </w:pPr>
      <w:r w:rsidRPr="0066757D">
        <w:rPr>
          <w:lang w:val="en-US"/>
        </w:rPr>
        <w:t>universities</w:t>
      </w:r>
    </w:p>
    <w:p w14:paraId="1EAABEAF" w14:textId="77777777" w:rsidR="00AF009E" w:rsidRPr="0066757D" w:rsidRDefault="00AF009E" w:rsidP="005D1D65">
      <w:pPr>
        <w:numPr>
          <w:ilvl w:val="0"/>
          <w:numId w:val="9"/>
        </w:numPr>
        <w:spacing w:before="120" w:after="120" w:line="276" w:lineRule="auto"/>
        <w:jc w:val="both"/>
        <w:rPr>
          <w:lang w:val="en-US"/>
        </w:rPr>
      </w:pPr>
      <w:r w:rsidRPr="0066757D">
        <w:rPr>
          <w:lang w:val="en-US"/>
        </w:rPr>
        <w:t xml:space="preserve">research </w:t>
      </w:r>
      <w:proofErr w:type="spellStart"/>
      <w:r w:rsidRPr="0066757D">
        <w:rPr>
          <w:lang w:val="en-US"/>
        </w:rPr>
        <w:t>organisations</w:t>
      </w:r>
      <w:proofErr w:type="spellEnd"/>
    </w:p>
    <w:p w14:paraId="1761F440" w14:textId="77777777" w:rsidR="00AF009E" w:rsidRPr="0066757D" w:rsidRDefault="00AF009E" w:rsidP="005D1D65">
      <w:pPr>
        <w:numPr>
          <w:ilvl w:val="0"/>
          <w:numId w:val="9"/>
        </w:numPr>
        <w:spacing w:before="120" w:after="120" w:line="276" w:lineRule="auto"/>
        <w:jc w:val="both"/>
        <w:rPr>
          <w:lang w:val="en-US"/>
        </w:rPr>
      </w:pPr>
      <w:r w:rsidRPr="0066757D">
        <w:rPr>
          <w:lang w:val="en-US"/>
        </w:rPr>
        <w:t>enterprises </w:t>
      </w:r>
    </w:p>
    <w:p w14:paraId="23E40954" w14:textId="77777777" w:rsidR="00AF009E" w:rsidRPr="0066757D" w:rsidRDefault="00AF009E" w:rsidP="0036345D">
      <w:pPr>
        <w:spacing w:before="120" w:after="120" w:line="276" w:lineRule="auto"/>
        <w:jc w:val="both"/>
        <w:rPr>
          <w:lang w:val="en-US"/>
        </w:rPr>
      </w:pPr>
      <w:r w:rsidRPr="0066757D">
        <w:t>can be included in the project to recruit researchers (implementing partners), as well as host secondments and provide training (associated partners).</w:t>
      </w:r>
      <w:r w:rsidRPr="0066757D">
        <w:rPr>
          <w:lang w:val="en-US"/>
        </w:rPr>
        <w:t> </w:t>
      </w:r>
    </w:p>
    <w:p w14:paraId="7E469954" w14:textId="77777777" w:rsidR="00AF009E" w:rsidRPr="0066757D" w:rsidRDefault="00AF009E" w:rsidP="0036345D">
      <w:pPr>
        <w:spacing w:before="120" w:after="120" w:line="276" w:lineRule="auto"/>
        <w:jc w:val="both"/>
        <w:rPr>
          <w:lang w:val="en-US"/>
        </w:rPr>
      </w:pPr>
      <w:r w:rsidRPr="0066757D">
        <w:t>At the time of recruitment, implementing partners must be established in an EU MS, the Overseas Countries and Territories (OCTs) linked to the Member States, HE Associated Country, or low- and middle-income third countries included in the list of countries eligible for funding provided in the </w:t>
      </w:r>
      <w:hyperlink r:id="rId33" w:tgtFrame="_blank" w:history="1">
        <w:r w:rsidRPr="0066757D">
          <w:rPr>
            <w:rStyle w:val="Hyperlink"/>
          </w:rPr>
          <w:t>Horizon Europe Programme Guide</w:t>
        </w:r>
      </w:hyperlink>
      <w:r w:rsidRPr="0066757D">
        <w:t>. Associated Partners can come from any other country.</w:t>
      </w:r>
      <w:r w:rsidRPr="0066757D">
        <w:rPr>
          <w:lang w:val="en-US"/>
        </w:rPr>
        <w:t> </w:t>
      </w:r>
    </w:p>
    <w:p w14:paraId="75752618" w14:textId="77777777" w:rsidR="00AF009E" w:rsidRPr="0066757D" w:rsidRDefault="00AF009E" w:rsidP="005D1D65">
      <w:pPr>
        <w:numPr>
          <w:ilvl w:val="0"/>
          <w:numId w:val="7"/>
        </w:numPr>
        <w:spacing w:before="120" w:after="120" w:line="276" w:lineRule="auto"/>
        <w:jc w:val="both"/>
        <w:rPr>
          <w:b/>
          <w:bCs/>
          <w:lang w:val="en-US"/>
        </w:rPr>
      </w:pPr>
      <w:r w:rsidRPr="0066757D">
        <w:rPr>
          <w:b/>
          <w:bCs/>
        </w:rPr>
        <w:t>Spreading best practices</w:t>
      </w:r>
      <w:r w:rsidRPr="0066757D">
        <w:rPr>
          <w:b/>
          <w:bCs/>
          <w:lang w:val="en-US"/>
        </w:rPr>
        <w:t> </w:t>
      </w:r>
    </w:p>
    <w:p w14:paraId="2A436D37" w14:textId="77777777" w:rsidR="00AF009E" w:rsidRPr="0066757D" w:rsidRDefault="00AF009E" w:rsidP="0036345D">
      <w:pPr>
        <w:spacing w:before="120" w:after="120" w:line="276" w:lineRule="auto"/>
        <w:jc w:val="both"/>
        <w:rPr>
          <w:lang w:val="en-US"/>
        </w:rPr>
      </w:pPr>
      <w:r w:rsidRPr="0066757D">
        <w:t>COFUND spreads the MSCA’s best practices by promoting high standards in the selection and recruitment process and excellent working and employment conditions for researchers. </w:t>
      </w:r>
      <w:r w:rsidRPr="0066757D">
        <w:rPr>
          <w:lang w:val="en-US"/>
        </w:rPr>
        <w:t> </w:t>
      </w:r>
    </w:p>
    <w:p w14:paraId="77C1B29D" w14:textId="77777777" w:rsidR="00AF009E" w:rsidRPr="0066757D" w:rsidRDefault="00AF009E" w:rsidP="0036345D">
      <w:pPr>
        <w:spacing w:before="120" w:after="120" w:line="276" w:lineRule="auto"/>
        <w:jc w:val="both"/>
        <w:rPr>
          <w:lang w:val="en-US"/>
        </w:rPr>
      </w:pPr>
      <w:r w:rsidRPr="0066757D">
        <w:t>It promotes sustainable training and international, interdisciplinary and inter-sectoral mobility to</w:t>
      </w:r>
      <w:r w:rsidRPr="0066757D">
        <w:rPr>
          <w:lang w:val="en-US"/>
        </w:rPr>
        <w:t> </w:t>
      </w:r>
    </w:p>
    <w:p w14:paraId="5CEE36DB" w14:textId="77777777" w:rsidR="00AF009E" w:rsidRPr="0066757D" w:rsidRDefault="00AF009E" w:rsidP="005D1D65">
      <w:pPr>
        <w:numPr>
          <w:ilvl w:val="0"/>
          <w:numId w:val="10"/>
        </w:numPr>
        <w:spacing w:before="120" w:after="120" w:line="276" w:lineRule="auto"/>
        <w:jc w:val="both"/>
        <w:rPr>
          <w:lang w:val="en-US"/>
        </w:rPr>
      </w:pPr>
      <w:r w:rsidRPr="0066757D">
        <w:rPr>
          <w:lang w:val="en-US"/>
        </w:rPr>
        <w:t>train researchers and innovators in academia and beyond  </w:t>
      </w:r>
    </w:p>
    <w:p w14:paraId="39BB5948" w14:textId="77777777" w:rsidR="00AF009E" w:rsidRPr="0066757D" w:rsidRDefault="00AF009E" w:rsidP="005D1D65">
      <w:pPr>
        <w:numPr>
          <w:ilvl w:val="0"/>
          <w:numId w:val="10"/>
        </w:numPr>
        <w:spacing w:before="120" w:after="120" w:line="276" w:lineRule="auto"/>
        <w:jc w:val="both"/>
        <w:rPr>
          <w:lang w:val="en-US"/>
        </w:rPr>
      </w:pPr>
      <w:r w:rsidRPr="0066757D">
        <w:rPr>
          <w:lang w:val="en-US"/>
        </w:rPr>
        <w:t>allow them to enlarge their networks and share knowledge to carry out cutting-edge research</w:t>
      </w:r>
    </w:p>
    <w:p w14:paraId="635D044F" w14:textId="77777777" w:rsidR="00AF009E" w:rsidRPr="0066757D" w:rsidRDefault="00AF009E" w:rsidP="005D1D65">
      <w:pPr>
        <w:numPr>
          <w:ilvl w:val="0"/>
          <w:numId w:val="10"/>
        </w:numPr>
        <w:spacing w:before="120" w:after="120" w:line="276" w:lineRule="auto"/>
        <w:jc w:val="both"/>
        <w:rPr>
          <w:lang w:val="en-US"/>
        </w:rPr>
      </w:pPr>
      <w:r w:rsidRPr="0066757D">
        <w:rPr>
          <w:lang w:val="en-US"/>
        </w:rPr>
        <w:t>provide them with new knowledge, skills, career development perspectives and increased employability</w:t>
      </w:r>
    </w:p>
    <w:p w14:paraId="027B2CC9" w14:textId="77777777" w:rsidR="00AF009E" w:rsidRPr="0066757D" w:rsidRDefault="00AF009E" w:rsidP="005D1D65">
      <w:pPr>
        <w:numPr>
          <w:ilvl w:val="0"/>
          <w:numId w:val="10"/>
        </w:numPr>
        <w:spacing w:before="120" w:after="120" w:line="276" w:lineRule="auto"/>
        <w:jc w:val="both"/>
        <w:rPr>
          <w:lang w:val="en-US"/>
        </w:rPr>
      </w:pPr>
      <w:r w:rsidRPr="0066757D">
        <w:rPr>
          <w:lang w:val="en-US"/>
        </w:rPr>
        <w:t>boost their creativity and entrepreneurship </w:t>
      </w:r>
    </w:p>
    <w:p w14:paraId="4A71C594" w14:textId="77777777" w:rsidR="00AF009E" w:rsidRPr="0066757D" w:rsidRDefault="00AF009E" w:rsidP="0036345D">
      <w:pPr>
        <w:spacing w:before="120" w:after="120" w:line="276" w:lineRule="auto"/>
        <w:jc w:val="both"/>
        <w:rPr>
          <w:lang w:val="en-US"/>
        </w:rPr>
      </w:pPr>
      <w:r w:rsidRPr="0066757D">
        <w:t>Organisations can use the programmes to attract international talent, increase their research and innovation capacities and contribute to the local, regional and/or national socio-economic ecosystems. This will also enhance their overall attractiveness.</w:t>
      </w:r>
      <w:r w:rsidRPr="0066757D">
        <w:rPr>
          <w:lang w:val="en-US"/>
        </w:rPr>
        <w:t> </w:t>
      </w:r>
    </w:p>
    <w:p w14:paraId="09B59F34" w14:textId="77777777" w:rsidR="00AF009E" w:rsidRPr="0066757D" w:rsidRDefault="00AF009E" w:rsidP="0036345D">
      <w:pPr>
        <w:spacing w:before="120" w:after="120" w:line="276" w:lineRule="auto"/>
        <w:jc w:val="both"/>
        <w:rPr>
          <w:lang w:val="en-US"/>
        </w:rPr>
      </w:pPr>
      <w:r w:rsidRPr="0066757D">
        <w:t>Funded programmes will have to consider important aspects such as</w:t>
      </w:r>
      <w:r w:rsidRPr="0066757D">
        <w:rPr>
          <w:lang w:val="en-US"/>
        </w:rPr>
        <w:t> </w:t>
      </w:r>
    </w:p>
    <w:p w14:paraId="17A94F9B" w14:textId="77777777" w:rsidR="00AF009E" w:rsidRPr="0066757D" w:rsidRDefault="00AF009E" w:rsidP="005D1D65">
      <w:pPr>
        <w:numPr>
          <w:ilvl w:val="0"/>
          <w:numId w:val="11"/>
        </w:numPr>
        <w:spacing w:before="120" w:after="120" w:line="276" w:lineRule="auto"/>
        <w:jc w:val="both"/>
        <w:rPr>
          <w:lang w:val="en-US"/>
        </w:rPr>
      </w:pPr>
      <w:r w:rsidRPr="0066757D">
        <w:rPr>
          <w:lang w:val="en-US"/>
        </w:rPr>
        <w:t>open science</w:t>
      </w:r>
    </w:p>
    <w:p w14:paraId="555FAC3F" w14:textId="77777777" w:rsidR="00AF009E" w:rsidRPr="0066757D" w:rsidRDefault="00AF009E" w:rsidP="005D1D65">
      <w:pPr>
        <w:numPr>
          <w:ilvl w:val="0"/>
          <w:numId w:val="11"/>
        </w:numPr>
        <w:spacing w:before="120" w:after="120" w:line="276" w:lineRule="auto"/>
        <w:jc w:val="both"/>
        <w:rPr>
          <w:lang w:val="en-US"/>
        </w:rPr>
      </w:pPr>
      <w:r w:rsidRPr="0066757D">
        <w:rPr>
          <w:lang w:val="en-US"/>
        </w:rPr>
        <w:t>communication and dissemination of results</w:t>
      </w:r>
    </w:p>
    <w:p w14:paraId="525FDCE7" w14:textId="77777777" w:rsidR="00AF009E" w:rsidRPr="0066757D" w:rsidRDefault="00AF009E" w:rsidP="005D1D65">
      <w:pPr>
        <w:numPr>
          <w:ilvl w:val="0"/>
          <w:numId w:val="11"/>
        </w:numPr>
        <w:spacing w:before="120" w:after="120" w:line="276" w:lineRule="auto"/>
        <w:jc w:val="both"/>
        <w:rPr>
          <w:lang w:val="en-US"/>
        </w:rPr>
      </w:pPr>
      <w:r w:rsidRPr="0066757D">
        <w:rPr>
          <w:lang w:val="en-US"/>
        </w:rPr>
        <w:t>community engagement</w:t>
      </w:r>
    </w:p>
    <w:p w14:paraId="42AA78F6" w14:textId="77777777" w:rsidR="00AF009E" w:rsidRPr="0066757D" w:rsidRDefault="00AF009E" w:rsidP="005D1D65">
      <w:pPr>
        <w:numPr>
          <w:ilvl w:val="0"/>
          <w:numId w:val="11"/>
        </w:numPr>
        <w:spacing w:before="120" w:after="120" w:line="276" w:lineRule="auto"/>
        <w:jc w:val="both"/>
        <w:rPr>
          <w:lang w:val="en-US"/>
        </w:rPr>
      </w:pPr>
      <w:r w:rsidRPr="0066757D">
        <w:rPr>
          <w:lang w:val="en-US"/>
        </w:rPr>
        <w:t>entrepreneurship</w:t>
      </w:r>
    </w:p>
    <w:p w14:paraId="20EF568D" w14:textId="77777777" w:rsidR="00AF009E" w:rsidRPr="0066757D" w:rsidRDefault="00AF009E" w:rsidP="005D1D65">
      <w:pPr>
        <w:numPr>
          <w:ilvl w:val="0"/>
          <w:numId w:val="11"/>
        </w:numPr>
        <w:spacing w:before="120" w:after="120" w:line="276" w:lineRule="auto"/>
        <w:jc w:val="both"/>
        <w:rPr>
          <w:lang w:val="en-US"/>
        </w:rPr>
      </w:pPr>
      <w:r w:rsidRPr="0066757D">
        <w:rPr>
          <w:lang w:val="en-US"/>
        </w:rPr>
        <w:t>gender equality</w:t>
      </w:r>
    </w:p>
    <w:p w14:paraId="18D82941" w14:textId="77777777" w:rsidR="00AF009E" w:rsidRPr="0066757D" w:rsidRDefault="00AF009E" w:rsidP="005D1D65">
      <w:pPr>
        <w:numPr>
          <w:ilvl w:val="0"/>
          <w:numId w:val="11"/>
        </w:numPr>
        <w:spacing w:before="120" w:after="120" w:line="276" w:lineRule="auto"/>
        <w:jc w:val="both"/>
        <w:rPr>
          <w:lang w:val="en-US"/>
        </w:rPr>
      </w:pPr>
      <w:r w:rsidRPr="0066757D">
        <w:rPr>
          <w:lang w:val="en-US"/>
        </w:rPr>
        <w:t>ethics</w:t>
      </w:r>
    </w:p>
    <w:p w14:paraId="37B367C6" w14:textId="77777777" w:rsidR="00AF009E" w:rsidRPr="0066757D" w:rsidRDefault="00AF009E" w:rsidP="005D1D65">
      <w:pPr>
        <w:numPr>
          <w:ilvl w:val="0"/>
          <w:numId w:val="11"/>
        </w:numPr>
        <w:spacing w:before="120" w:after="120" w:line="276" w:lineRule="auto"/>
        <w:jc w:val="both"/>
        <w:rPr>
          <w:lang w:val="en-US"/>
        </w:rPr>
      </w:pPr>
      <w:r w:rsidRPr="0066757D">
        <w:rPr>
          <w:lang w:val="en-US"/>
        </w:rPr>
        <w:t>high-quality supervision </w:t>
      </w:r>
    </w:p>
    <w:p w14:paraId="46DB9AE7" w14:textId="531D2433" w:rsidR="00AF009E" w:rsidRPr="0066757D" w:rsidRDefault="00AF009E" w:rsidP="0036345D">
      <w:pPr>
        <w:spacing w:before="120" w:after="120" w:line="276" w:lineRule="auto"/>
        <w:jc w:val="both"/>
        <w:rPr>
          <w:lang w:val="en-US"/>
        </w:rPr>
      </w:pPr>
      <w:r w:rsidRPr="0066757D">
        <w:rPr>
          <w:lang w:val="en-US"/>
        </w:rPr>
        <w:t xml:space="preserve">More information </w:t>
      </w:r>
      <w:hyperlink r:id="rId34" w:history="1">
        <w:r w:rsidRPr="0066757D">
          <w:rPr>
            <w:rStyle w:val="Hyperlink"/>
            <w:lang w:val="en-US"/>
          </w:rPr>
          <w:t>HERE</w:t>
        </w:r>
      </w:hyperlink>
    </w:p>
    <w:p w14:paraId="0CAEC988" w14:textId="17C5865C" w:rsidR="00316ACD" w:rsidRPr="0066757D" w:rsidRDefault="00316ACD" w:rsidP="00316ACD">
      <w:pPr>
        <w:spacing w:before="120" w:after="600" w:line="276" w:lineRule="auto"/>
        <w:jc w:val="both"/>
        <w:rPr>
          <w:lang w:val="en-US"/>
        </w:rPr>
      </w:pPr>
      <w:proofErr w:type="spellStart"/>
      <w:r>
        <w:rPr>
          <w:b/>
          <w:bCs/>
          <w:lang w:val="en-US"/>
        </w:rPr>
        <w:t>Dedline</w:t>
      </w:r>
      <w:proofErr w:type="spellEnd"/>
      <w:r>
        <w:rPr>
          <w:b/>
          <w:bCs/>
          <w:lang w:val="en-US"/>
        </w:rPr>
        <w:t xml:space="preserve">: </w:t>
      </w:r>
      <w:r w:rsidRPr="0066757D">
        <w:rPr>
          <w:b/>
          <w:bCs/>
        </w:rPr>
        <w:t>24 June 2025</w:t>
      </w:r>
      <w:r w:rsidRPr="0066757D">
        <w:t>.</w:t>
      </w:r>
      <w:r w:rsidRPr="0066757D">
        <w:rPr>
          <w:lang w:val="en-US"/>
        </w:rPr>
        <w:t> </w:t>
      </w:r>
    </w:p>
    <w:p w14:paraId="61AD7619" w14:textId="727684F2" w:rsidR="00837FD6" w:rsidRPr="00626347" w:rsidRDefault="00837FD6" w:rsidP="00626347">
      <w:pPr>
        <w:pStyle w:val="Heading2"/>
        <w:ind w:left="426"/>
        <w:rPr>
          <w:lang w:val="en-US"/>
        </w:rPr>
      </w:pPr>
      <w:bookmarkStart w:id="30" w:name="_Toc197365392"/>
      <w:r w:rsidRPr="00626347">
        <w:rPr>
          <w:lang w:val="en-US"/>
        </w:rPr>
        <w:t>Open Call for New COST Actions</w:t>
      </w:r>
      <w:bookmarkEnd w:id="30"/>
    </w:p>
    <w:p w14:paraId="0864BE67" w14:textId="77777777" w:rsidR="00AC5168" w:rsidRPr="00AC5168" w:rsidRDefault="00AC5168" w:rsidP="008F29DD">
      <w:pPr>
        <w:spacing w:line="276" w:lineRule="auto"/>
        <w:jc w:val="both"/>
      </w:pPr>
      <w:r w:rsidRPr="00AC5168">
        <w:t>European Cooperation in Science and Technology (COST) creates open spaces where people and ideas can grow.</w:t>
      </w:r>
    </w:p>
    <w:p w14:paraId="1BE91929" w14:textId="77777777" w:rsidR="00AC5168" w:rsidRPr="00AC5168" w:rsidRDefault="00AC5168" w:rsidP="00626347">
      <w:pPr>
        <w:spacing w:before="120" w:after="120" w:line="276" w:lineRule="auto"/>
        <w:jc w:val="both"/>
      </w:pPr>
      <w:r w:rsidRPr="00AC5168">
        <w:t>COST funds interdisciplinary research networks called COST Actions. These Actions bring together researchers, innovators and other professionals including industry specialists, who are based in Europe and beyond, to collaborate on research topics for a period of 4 years.</w:t>
      </w:r>
    </w:p>
    <w:p w14:paraId="58770605" w14:textId="77777777" w:rsidR="00AC5168" w:rsidRPr="00626347" w:rsidRDefault="00AC5168" w:rsidP="00626347">
      <w:pPr>
        <w:spacing w:before="120" w:after="120" w:line="276" w:lineRule="auto"/>
        <w:jc w:val="both"/>
        <w:rPr>
          <w:b/>
          <w:bCs/>
        </w:rPr>
      </w:pPr>
      <w:r w:rsidRPr="00626347">
        <w:rPr>
          <w:b/>
          <w:bCs/>
        </w:rPr>
        <w:t>The budget</w:t>
      </w:r>
    </w:p>
    <w:p w14:paraId="692EDCA2" w14:textId="77777777" w:rsidR="00AC5168" w:rsidRPr="00AC5168" w:rsidRDefault="00AC5168" w:rsidP="00626347">
      <w:pPr>
        <w:spacing w:before="120" w:after="120" w:line="276" w:lineRule="auto"/>
        <w:jc w:val="both"/>
      </w:pPr>
      <w:r w:rsidRPr="00AC5168">
        <w:t>The funding a COST Action receives covers the expenses of networking activities rather than research. As such is used to organise and fund events, Short-term Scientific Missions, Training Schools, communication activities, grants to attend interesting international conferences, and virtual networking tools.  </w:t>
      </w:r>
    </w:p>
    <w:p w14:paraId="45D3257E" w14:textId="77777777" w:rsidR="00AC5168" w:rsidRPr="00AC5168" w:rsidRDefault="00AC5168" w:rsidP="00626347">
      <w:pPr>
        <w:spacing w:before="120" w:after="120" w:line="276" w:lineRule="auto"/>
        <w:jc w:val="both"/>
      </w:pPr>
      <w:r w:rsidRPr="00AC5168">
        <w:t>An estimated €125,000 is made available for a COST Action in its first year and an average of €150,000 per year for the other 3 years.</w:t>
      </w:r>
    </w:p>
    <w:p w14:paraId="624AD2D0" w14:textId="77777777" w:rsidR="00837FD6" w:rsidRPr="00837FD6" w:rsidRDefault="00837FD6" w:rsidP="00626347">
      <w:pPr>
        <w:spacing w:before="120" w:after="120" w:line="276" w:lineRule="auto"/>
        <w:jc w:val="both"/>
      </w:pPr>
      <w:r w:rsidRPr="00837FD6">
        <w:t>Participants are invited to submit COST Action proposals contributing to the scientific, technological, economic, cultural or societal knowledge advancement and development of Europe. Multi- and interdisciplinary proposals are encouraged.</w:t>
      </w:r>
    </w:p>
    <w:p w14:paraId="6B865D56" w14:textId="77777777" w:rsidR="00837FD6" w:rsidRPr="00837FD6" w:rsidRDefault="00837FD6" w:rsidP="00626347">
      <w:pPr>
        <w:spacing w:before="120" w:after="120" w:line="276" w:lineRule="auto"/>
        <w:jc w:val="both"/>
      </w:pPr>
      <w:r w:rsidRPr="00837FD6">
        <w:t>The Open Call Action proposal submission, evaluation, selection and approval (SESA) procedure is fully science and technology-driven and will ensure a simple, transparent and competitive proposal evaluation and selection process, reflecting the bottom-up, open and inclusive principles of COST.</w:t>
      </w:r>
    </w:p>
    <w:p w14:paraId="1CB79C0A" w14:textId="77777777" w:rsidR="00837FD6" w:rsidRPr="00837FD6" w:rsidRDefault="00837FD6" w:rsidP="008F29DD">
      <w:pPr>
        <w:spacing w:line="276" w:lineRule="auto"/>
        <w:jc w:val="both"/>
      </w:pPr>
      <w:r w:rsidRPr="00837FD6">
        <w:t>Participants planning to submit a proposal for a COST Action will need to refer to the SESA guidelines and to the Open Call Announcement available on the </w:t>
      </w:r>
      <w:hyperlink r:id="rId35" w:tgtFrame="_blank" w:history="1">
        <w:r w:rsidRPr="00837FD6">
          <w:rPr>
            <w:rStyle w:val="Hyperlink"/>
          </w:rPr>
          <w:t>Documents and Guidelines</w:t>
        </w:r>
      </w:hyperlink>
      <w:r w:rsidRPr="00837FD6">
        <w:t> page.</w:t>
      </w:r>
    </w:p>
    <w:p w14:paraId="4AE9DF68" w14:textId="77777777" w:rsidR="00837FD6" w:rsidRPr="00837FD6" w:rsidRDefault="00837FD6" w:rsidP="008F29DD">
      <w:pPr>
        <w:spacing w:line="276" w:lineRule="auto"/>
        <w:jc w:val="both"/>
      </w:pPr>
      <w:r w:rsidRPr="00837FD6">
        <w:t>All proposals are submitted via the dedicated online platform of the COST Association used for grant management, known as e-COST.</w:t>
      </w:r>
    </w:p>
    <w:p w14:paraId="634E8F2B" w14:textId="3014ACC6" w:rsidR="00837FD6" w:rsidRDefault="00837FD6" w:rsidP="00626347">
      <w:pPr>
        <w:spacing w:before="120" w:after="600" w:line="276" w:lineRule="auto"/>
        <w:jc w:val="both"/>
      </w:pPr>
      <w:r w:rsidRPr="00626347">
        <w:rPr>
          <w:b/>
        </w:rPr>
        <w:t>The deadline for submissions is 21 October 2025 at 12:00 (noon) CEST</w:t>
      </w:r>
      <w:r w:rsidRPr="00837FD6">
        <w:t>. Please note that a new Technical Annex template has been introduced and all proposals must be submitted using the new template.</w:t>
      </w:r>
    </w:p>
    <w:p w14:paraId="10B1D06B" w14:textId="6BF76A7F" w:rsidR="002413FB" w:rsidRPr="00206534" w:rsidRDefault="00206534" w:rsidP="00F762B5">
      <w:pPr>
        <w:pStyle w:val="Heading2"/>
        <w:spacing w:line="276" w:lineRule="auto"/>
        <w:ind w:left="284"/>
        <w:rPr>
          <w:lang w:val="en-US" w:eastAsia="en-US"/>
        </w:rPr>
      </w:pPr>
      <w:bookmarkStart w:id="31" w:name="_Toc197365393"/>
      <w:bookmarkStart w:id="32" w:name="_Toc503363227"/>
      <w:bookmarkEnd w:id="26"/>
      <w:r w:rsidRPr="00206534">
        <w:rPr>
          <w:lang w:val="bg-BG" w:eastAsia="en-US"/>
        </w:rPr>
        <w:t>П</w:t>
      </w:r>
      <w:r w:rsidRPr="00206534">
        <w:rPr>
          <w:lang w:val="en-US" w:eastAsia="en-US"/>
        </w:rPr>
        <w:t>роцедура за подкрепа на международни научни форуми,</w:t>
      </w:r>
      <w:r>
        <w:rPr>
          <w:lang w:val="bg-BG" w:eastAsia="en-US"/>
        </w:rPr>
        <w:t xml:space="preserve"> </w:t>
      </w:r>
      <w:r w:rsidRPr="00206534">
        <w:rPr>
          <w:lang w:val="bg-BG" w:eastAsia="en-US"/>
        </w:rPr>
        <w:t>п</w:t>
      </w:r>
      <w:r w:rsidRPr="00206534">
        <w:rPr>
          <w:lang w:val="en-US" w:eastAsia="en-US"/>
        </w:rPr>
        <w:t xml:space="preserve">ровеждани в </w:t>
      </w:r>
      <w:r w:rsidRPr="00206534">
        <w:rPr>
          <w:lang w:val="bg-BG" w:eastAsia="en-US"/>
        </w:rPr>
        <w:t>Р</w:t>
      </w:r>
      <w:r w:rsidRPr="00206534">
        <w:rPr>
          <w:lang w:val="en-US" w:eastAsia="en-US"/>
        </w:rPr>
        <w:t xml:space="preserve">епублика </w:t>
      </w:r>
      <w:r w:rsidRPr="00206534">
        <w:rPr>
          <w:lang w:val="bg-BG" w:eastAsia="en-US"/>
        </w:rPr>
        <w:t>Б</w:t>
      </w:r>
      <w:r w:rsidRPr="00206534">
        <w:rPr>
          <w:lang w:val="en-US" w:eastAsia="en-US"/>
        </w:rPr>
        <w:t>ългария</w:t>
      </w:r>
      <w:bookmarkEnd w:id="31"/>
    </w:p>
    <w:p w14:paraId="319026E0" w14:textId="2430B872" w:rsidR="002413FB" w:rsidRPr="00206534" w:rsidRDefault="002413FB" w:rsidP="00F762B5">
      <w:pPr>
        <w:shd w:val="clear" w:color="auto" w:fill="FFFFFF"/>
        <w:spacing w:before="100" w:beforeAutospacing="1" w:after="100" w:afterAutospacing="1" w:line="276" w:lineRule="auto"/>
        <w:jc w:val="both"/>
        <w:rPr>
          <w:color w:val="222222"/>
          <w:lang w:val="en-US" w:eastAsia="en-US"/>
        </w:rPr>
      </w:pPr>
      <w:proofErr w:type="spellStart"/>
      <w:r w:rsidRPr="00206534">
        <w:rPr>
          <w:color w:val="222222"/>
          <w:lang w:val="en-US" w:eastAsia="en-US"/>
        </w:rPr>
        <w:t>Целта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настоящата</w:t>
      </w:r>
      <w:proofErr w:type="spellEnd"/>
      <w:r w:rsidRPr="00206534">
        <w:rPr>
          <w:color w:val="222222"/>
          <w:lang w:val="en-US" w:eastAsia="en-US"/>
        </w:rPr>
        <w:t xml:space="preserve"> </w:t>
      </w:r>
      <w:proofErr w:type="spellStart"/>
      <w:r w:rsidRPr="00206534">
        <w:rPr>
          <w:color w:val="222222"/>
          <w:lang w:val="en-US" w:eastAsia="en-US"/>
        </w:rPr>
        <w:t>процедура</w:t>
      </w:r>
      <w:proofErr w:type="spellEnd"/>
      <w:r w:rsidRPr="00206534">
        <w:rPr>
          <w:color w:val="222222"/>
          <w:lang w:val="en-US" w:eastAsia="en-US"/>
        </w:rPr>
        <w:t xml:space="preserve"> е </w:t>
      </w:r>
      <w:proofErr w:type="spellStart"/>
      <w:r w:rsidRPr="00206534">
        <w:rPr>
          <w:color w:val="222222"/>
          <w:lang w:val="en-US" w:eastAsia="en-US"/>
        </w:rPr>
        <w:t>да</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подпомогне</w:t>
      </w:r>
      <w:proofErr w:type="spellEnd"/>
      <w:r w:rsidRPr="00206534">
        <w:rPr>
          <w:color w:val="222222"/>
          <w:lang w:val="en-US" w:eastAsia="en-US"/>
        </w:rPr>
        <w:t xml:space="preserve"> </w:t>
      </w:r>
      <w:proofErr w:type="spellStart"/>
      <w:r w:rsidRPr="00206534">
        <w:rPr>
          <w:color w:val="222222"/>
          <w:lang w:val="en-US" w:eastAsia="en-US"/>
        </w:rPr>
        <w:t>провеждането</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международни</w:t>
      </w:r>
      <w:proofErr w:type="spellEnd"/>
      <w:r w:rsidRPr="00206534">
        <w:rPr>
          <w:color w:val="222222"/>
          <w:lang w:val="en-US" w:eastAsia="en-US"/>
        </w:rPr>
        <w:t xml:space="preserve"> </w:t>
      </w:r>
      <w:proofErr w:type="spellStart"/>
      <w:r w:rsidRPr="00206534">
        <w:rPr>
          <w:color w:val="222222"/>
          <w:lang w:val="en-US" w:eastAsia="en-US"/>
        </w:rPr>
        <w:t>научни</w:t>
      </w:r>
      <w:proofErr w:type="spellEnd"/>
      <w:r w:rsidRPr="00206534">
        <w:rPr>
          <w:color w:val="222222"/>
          <w:lang w:val="en-US" w:eastAsia="en-US"/>
        </w:rPr>
        <w:t xml:space="preserve"> </w:t>
      </w:r>
      <w:proofErr w:type="spellStart"/>
      <w:r w:rsidRPr="00206534">
        <w:rPr>
          <w:color w:val="222222"/>
          <w:lang w:val="en-US" w:eastAsia="en-US"/>
        </w:rPr>
        <w:t>форуми</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територията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Република</w:t>
      </w:r>
      <w:proofErr w:type="spellEnd"/>
      <w:r w:rsidRPr="00206534">
        <w:rPr>
          <w:color w:val="222222"/>
          <w:lang w:val="en-US" w:eastAsia="en-US"/>
        </w:rPr>
        <w:t xml:space="preserve"> България </w:t>
      </w:r>
      <w:proofErr w:type="spellStart"/>
      <w:r w:rsidRPr="00206534">
        <w:rPr>
          <w:color w:val="222222"/>
          <w:lang w:val="en-US" w:eastAsia="en-US"/>
        </w:rPr>
        <w:t>чрез</w:t>
      </w:r>
      <w:proofErr w:type="spellEnd"/>
      <w:r w:rsidRPr="00206534">
        <w:rPr>
          <w:color w:val="222222"/>
          <w:lang w:val="en-US" w:eastAsia="en-US"/>
        </w:rPr>
        <w:t xml:space="preserve"> </w:t>
      </w:r>
      <w:proofErr w:type="spellStart"/>
      <w:r w:rsidRPr="00206534">
        <w:rPr>
          <w:color w:val="222222"/>
          <w:lang w:val="en-US" w:eastAsia="en-US"/>
        </w:rPr>
        <w:t>спазване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принципа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споделено</w:t>
      </w:r>
      <w:proofErr w:type="spellEnd"/>
      <w:r w:rsidRPr="00206534">
        <w:rPr>
          <w:color w:val="222222"/>
          <w:lang w:val="en-US" w:eastAsia="en-US"/>
        </w:rPr>
        <w:t xml:space="preserve"> </w:t>
      </w:r>
      <w:proofErr w:type="spellStart"/>
      <w:r w:rsidRPr="00206534">
        <w:rPr>
          <w:color w:val="222222"/>
          <w:lang w:val="en-US" w:eastAsia="en-US"/>
        </w:rPr>
        <w:t>финансиране</w:t>
      </w:r>
      <w:proofErr w:type="spellEnd"/>
      <w:r w:rsidRPr="00206534">
        <w:rPr>
          <w:color w:val="222222"/>
          <w:lang w:val="en-US" w:eastAsia="en-US"/>
        </w:rPr>
        <w:t xml:space="preserve">, </w:t>
      </w:r>
      <w:proofErr w:type="spellStart"/>
      <w:r w:rsidRPr="00206534">
        <w:rPr>
          <w:color w:val="222222"/>
          <w:lang w:val="en-US" w:eastAsia="en-US"/>
        </w:rPr>
        <w:t>като</w:t>
      </w:r>
      <w:proofErr w:type="spellEnd"/>
      <w:r w:rsidRPr="00206534">
        <w:rPr>
          <w:color w:val="222222"/>
          <w:lang w:val="en-US" w:eastAsia="en-US"/>
        </w:rPr>
        <w:t xml:space="preserve"> по </w:t>
      </w:r>
      <w:proofErr w:type="spellStart"/>
      <w:r w:rsidRPr="00206534">
        <w:rPr>
          <w:color w:val="222222"/>
          <w:lang w:val="en-US" w:eastAsia="en-US"/>
        </w:rPr>
        <w:t>този</w:t>
      </w:r>
      <w:proofErr w:type="spellEnd"/>
      <w:r w:rsidRPr="00206534">
        <w:rPr>
          <w:color w:val="222222"/>
          <w:lang w:val="en-US" w:eastAsia="en-US"/>
        </w:rPr>
        <w:t xml:space="preserve"> </w:t>
      </w:r>
      <w:proofErr w:type="spellStart"/>
      <w:r w:rsidRPr="00206534">
        <w:rPr>
          <w:color w:val="222222"/>
          <w:lang w:val="en-US" w:eastAsia="en-US"/>
        </w:rPr>
        <w:t>начин</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предостави</w:t>
      </w:r>
      <w:proofErr w:type="spellEnd"/>
      <w:r w:rsidRPr="00206534">
        <w:rPr>
          <w:color w:val="222222"/>
          <w:lang w:val="en-US" w:eastAsia="en-US"/>
        </w:rPr>
        <w:t xml:space="preserve"> </w:t>
      </w:r>
      <w:proofErr w:type="spellStart"/>
      <w:r w:rsidRPr="00206534">
        <w:rPr>
          <w:color w:val="222222"/>
          <w:lang w:val="en-US" w:eastAsia="en-US"/>
        </w:rPr>
        <w:t>възможност</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активно</w:t>
      </w:r>
      <w:proofErr w:type="spellEnd"/>
      <w:r w:rsidRPr="00206534">
        <w:rPr>
          <w:color w:val="222222"/>
          <w:lang w:val="en-US" w:eastAsia="en-US"/>
        </w:rPr>
        <w:t xml:space="preserve"> </w:t>
      </w:r>
      <w:proofErr w:type="spellStart"/>
      <w:r w:rsidRPr="00206534">
        <w:rPr>
          <w:color w:val="222222"/>
          <w:lang w:val="en-US" w:eastAsia="en-US"/>
        </w:rPr>
        <w:t>участие</w:t>
      </w:r>
      <w:proofErr w:type="spellEnd"/>
      <w:r w:rsidRPr="00206534">
        <w:rPr>
          <w:color w:val="222222"/>
          <w:lang w:val="en-US" w:eastAsia="en-US"/>
        </w:rPr>
        <w:t xml:space="preserve"> в </w:t>
      </w:r>
      <w:proofErr w:type="spellStart"/>
      <w:r w:rsidRPr="00206534">
        <w:rPr>
          <w:color w:val="222222"/>
          <w:lang w:val="en-US" w:eastAsia="en-US"/>
        </w:rPr>
        <w:t>тях</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български</w:t>
      </w:r>
      <w:proofErr w:type="spellEnd"/>
      <w:r w:rsidRPr="00206534">
        <w:rPr>
          <w:color w:val="222222"/>
          <w:lang w:val="en-US" w:eastAsia="en-US"/>
        </w:rPr>
        <w:t xml:space="preserve"> </w:t>
      </w:r>
      <w:proofErr w:type="spellStart"/>
      <w:r w:rsidRPr="00206534">
        <w:rPr>
          <w:color w:val="222222"/>
          <w:lang w:val="en-US" w:eastAsia="en-US"/>
        </w:rPr>
        <w:t>учени</w:t>
      </w:r>
      <w:proofErr w:type="spellEnd"/>
      <w:r w:rsidRPr="00206534">
        <w:rPr>
          <w:color w:val="222222"/>
          <w:lang w:val="en-US" w:eastAsia="en-US"/>
        </w:rPr>
        <w:t xml:space="preserve"> с </w:t>
      </w:r>
      <w:proofErr w:type="spellStart"/>
      <w:r w:rsidRPr="00206534">
        <w:rPr>
          <w:color w:val="222222"/>
          <w:lang w:val="en-US" w:eastAsia="en-US"/>
        </w:rPr>
        <w:t>цел</w:t>
      </w:r>
      <w:proofErr w:type="spellEnd"/>
      <w:r w:rsidRPr="00206534">
        <w:rPr>
          <w:color w:val="222222"/>
          <w:lang w:val="en-US" w:eastAsia="en-US"/>
        </w:rPr>
        <w:t xml:space="preserve"> </w:t>
      </w:r>
      <w:proofErr w:type="spellStart"/>
      <w:r w:rsidRPr="00206534">
        <w:rPr>
          <w:color w:val="222222"/>
          <w:lang w:val="en-US" w:eastAsia="en-US"/>
        </w:rPr>
        <w:t>популяризиране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постигнати</w:t>
      </w:r>
      <w:proofErr w:type="spellEnd"/>
      <w:r w:rsidRPr="00206534">
        <w:rPr>
          <w:color w:val="222222"/>
          <w:lang w:val="en-US" w:eastAsia="en-US"/>
        </w:rPr>
        <w:t xml:space="preserve"> </w:t>
      </w:r>
      <w:proofErr w:type="spellStart"/>
      <w:r w:rsidRPr="00206534">
        <w:rPr>
          <w:color w:val="222222"/>
          <w:lang w:val="en-US" w:eastAsia="en-US"/>
        </w:rPr>
        <w:t>научни</w:t>
      </w:r>
      <w:proofErr w:type="spellEnd"/>
      <w:r w:rsidRPr="00206534">
        <w:rPr>
          <w:color w:val="222222"/>
          <w:lang w:val="en-US" w:eastAsia="en-US"/>
        </w:rPr>
        <w:t xml:space="preserve"> </w:t>
      </w:r>
      <w:proofErr w:type="spellStart"/>
      <w:r w:rsidRPr="00206534">
        <w:rPr>
          <w:color w:val="222222"/>
          <w:lang w:val="en-US" w:eastAsia="en-US"/>
        </w:rPr>
        <w:t>резултати</w:t>
      </w:r>
      <w:proofErr w:type="spellEnd"/>
      <w:r w:rsidRPr="00206534">
        <w:rPr>
          <w:color w:val="222222"/>
          <w:lang w:val="en-US" w:eastAsia="en-US"/>
        </w:rPr>
        <w:t xml:space="preserve"> и </w:t>
      </w:r>
      <w:proofErr w:type="spellStart"/>
      <w:r w:rsidRPr="00206534">
        <w:rPr>
          <w:color w:val="222222"/>
          <w:lang w:val="en-US" w:eastAsia="en-US"/>
        </w:rPr>
        <w:t>осъществяване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обмен</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научни</w:t>
      </w:r>
      <w:proofErr w:type="spellEnd"/>
      <w:r w:rsidRPr="00206534">
        <w:rPr>
          <w:color w:val="222222"/>
          <w:lang w:val="en-US" w:eastAsia="en-US"/>
        </w:rPr>
        <w:t xml:space="preserve"> </w:t>
      </w:r>
      <w:proofErr w:type="spellStart"/>
      <w:r w:rsidRPr="00206534">
        <w:rPr>
          <w:color w:val="222222"/>
          <w:lang w:val="en-US" w:eastAsia="en-US"/>
        </w:rPr>
        <w:t>идеи</w:t>
      </w:r>
      <w:proofErr w:type="spellEnd"/>
      <w:r w:rsidRPr="00206534">
        <w:rPr>
          <w:color w:val="222222"/>
          <w:lang w:val="en-US" w:eastAsia="en-US"/>
        </w:rPr>
        <w:t xml:space="preserve"> и </w:t>
      </w:r>
      <w:proofErr w:type="spellStart"/>
      <w:r w:rsidRPr="00206534">
        <w:rPr>
          <w:color w:val="222222"/>
          <w:lang w:val="en-US" w:eastAsia="en-US"/>
        </w:rPr>
        <w:t>добри</w:t>
      </w:r>
      <w:proofErr w:type="spellEnd"/>
      <w:r w:rsidRPr="00206534">
        <w:rPr>
          <w:color w:val="222222"/>
          <w:lang w:val="en-US" w:eastAsia="en-US"/>
        </w:rPr>
        <w:t xml:space="preserve"> </w:t>
      </w:r>
      <w:proofErr w:type="spellStart"/>
      <w:r w:rsidRPr="00206534">
        <w:rPr>
          <w:color w:val="222222"/>
          <w:lang w:val="en-US" w:eastAsia="en-US"/>
        </w:rPr>
        <w:t>научноизследователски</w:t>
      </w:r>
      <w:proofErr w:type="spellEnd"/>
      <w:r w:rsidRPr="00206534">
        <w:rPr>
          <w:color w:val="222222"/>
          <w:lang w:val="en-US" w:eastAsia="en-US"/>
        </w:rPr>
        <w:t xml:space="preserve"> </w:t>
      </w:r>
      <w:proofErr w:type="spellStart"/>
      <w:r w:rsidRPr="00206534">
        <w:rPr>
          <w:color w:val="222222"/>
          <w:lang w:val="en-US" w:eastAsia="en-US"/>
        </w:rPr>
        <w:t>практики</w:t>
      </w:r>
      <w:proofErr w:type="spellEnd"/>
      <w:r w:rsidRPr="00206534">
        <w:rPr>
          <w:color w:val="222222"/>
          <w:lang w:val="en-US" w:eastAsia="en-US"/>
        </w:rPr>
        <w:t xml:space="preserve"> с </w:t>
      </w:r>
      <w:proofErr w:type="spellStart"/>
      <w:r w:rsidRPr="00206534">
        <w:rPr>
          <w:color w:val="222222"/>
          <w:lang w:val="en-US" w:eastAsia="en-US"/>
        </w:rPr>
        <w:t>учени</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чужбина</w:t>
      </w:r>
      <w:proofErr w:type="spellEnd"/>
      <w:r w:rsidRPr="00206534">
        <w:rPr>
          <w:color w:val="222222"/>
          <w:lang w:val="en-US" w:eastAsia="en-US"/>
        </w:rPr>
        <w:t>.</w:t>
      </w:r>
    </w:p>
    <w:p w14:paraId="02303206" w14:textId="77777777" w:rsidR="002413FB" w:rsidRPr="00206534" w:rsidRDefault="002413FB" w:rsidP="00F762B5">
      <w:pPr>
        <w:shd w:val="clear" w:color="auto" w:fill="FFFFFF"/>
        <w:spacing w:before="120" w:after="120" w:line="276" w:lineRule="auto"/>
        <w:jc w:val="both"/>
        <w:rPr>
          <w:color w:val="222222"/>
          <w:lang w:val="en-US" w:eastAsia="en-US"/>
        </w:rPr>
      </w:pPr>
      <w:proofErr w:type="spellStart"/>
      <w:r w:rsidRPr="00206534">
        <w:rPr>
          <w:color w:val="222222"/>
          <w:lang w:val="en-US" w:eastAsia="en-US"/>
        </w:rPr>
        <w:t>Очакваните</w:t>
      </w:r>
      <w:proofErr w:type="spellEnd"/>
      <w:r w:rsidRPr="00206534">
        <w:rPr>
          <w:color w:val="222222"/>
          <w:lang w:val="en-US" w:eastAsia="en-US"/>
        </w:rPr>
        <w:t xml:space="preserve"> </w:t>
      </w:r>
      <w:proofErr w:type="spellStart"/>
      <w:r w:rsidRPr="00206534">
        <w:rPr>
          <w:color w:val="222222"/>
          <w:lang w:val="en-US" w:eastAsia="en-US"/>
        </w:rPr>
        <w:t>резултати</w:t>
      </w:r>
      <w:proofErr w:type="spellEnd"/>
      <w:r w:rsidRPr="00206534">
        <w:rPr>
          <w:color w:val="222222"/>
          <w:lang w:val="en-US" w:eastAsia="en-US"/>
        </w:rPr>
        <w:t xml:space="preserve"> </w:t>
      </w:r>
      <w:proofErr w:type="spellStart"/>
      <w:r w:rsidRPr="00206534">
        <w:rPr>
          <w:color w:val="222222"/>
          <w:lang w:val="en-US" w:eastAsia="en-US"/>
        </w:rPr>
        <w:t>включват</w:t>
      </w:r>
      <w:proofErr w:type="spellEnd"/>
      <w:r w:rsidRPr="00206534">
        <w:rPr>
          <w:color w:val="222222"/>
          <w:lang w:val="en-US" w:eastAsia="en-US"/>
        </w:rPr>
        <w:t xml:space="preserve"> </w:t>
      </w:r>
      <w:proofErr w:type="spellStart"/>
      <w:r w:rsidRPr="00206534">
        <w:rPr>
          <w:color w:val="222222"/>
          <w:lang w:val="en-US" w:eastAsia="en-US"/>
        </w:rPr>
        <w:t>установяване</w:t>
      </w:r>
      <w:proofErr w:type="spellEnd"/>
      <w:r w:rsidRPr="00206534">
        <w:rPr>
          <w:color w:val="222222"/>
          <w:lang w:val="en-US" w:eastAsia="en-US"/>
        </w:rPr>
        <w:t xml:space="preserve"> и </w:t>
      </w:r>
      <w:proofErr w:type="spellStart"/>
      <w:r w:rsidRPr="00206534">
        <w:rPr>
          <w:color w:val="222222"/>
          <w:lang w:val="en-US" w:eastAsia="en-US"/>
        </w:rPr>
        <w:t>задълбочаване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сътрудничеството</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български</w:t>
      </w:r>
      <w:proofErr w:type="spellEnd"/>
      <w:r w:rsidRPr="00206534">
        <w:rPr>
          <w:color w:val="222222"/>
          <w:lang w:val="en-US" w:eastAsia="en-US"/>
        </w:rPr>
        <w:t xml:space="preserve"> </w:t>
      </w:r>
      <w:proofErr w:type="spellStart"/>
      <w:r w:rsidRPr="00206534">
        <w:rPr>
          <w:color w:val="222222"/>
          <w:lang w:val="en-US" w:eastAsia="en-US"/>
        </w:rPr>
        <w:t>учени</w:t>
      </w:r>
      <w:proofErr w:type="spellEnd"/>
      <w:r w:rsidRPr="00206534">
        <w:rPr>
          <w:color w:val="222222"/>
          <w:lang w:val="en-US" w:eastAsia="en-US"/>
        </w:rPr>
        <w:t xml:space="preserve"> с </w:t>
      </w:r>
      <w:proofErr w:type="spellStart"/>
      <w:r w:rsidRPr="00206534">
        <w:rPr>
          <w:color w:val="222222"/>
          <w:lang w:val="en-US" w:eastAsia="en-US"/>
        </w:rPr>
        <w:t>учени</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чужбина</w:t>
      </w:r>
      <w:proofErr w:type="spellEnd"/>
      <w:r w:rsidRPr="00206534">
        <w:rPr>
          <w:color w:val="222222"/>
          <w:lang w:val="en-US" w:eastAsia="en-US"/>
        </w:rPr>
        <w:t xml:space="preserve">, </w:t>
      </w:r>
      <w:proofErr w:type="spellStart"/>
      <w:r w:rsidRPr="00206534">
        <w:rPr>
          <w:color w:val="222222"/>
          <w:lang w:val="en-US" w:eastAsia="en-US"/>
        </w:rPr>
        <w:t>стимулиране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участието</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млади</w:t>
      </w:r>
      <w:proofErr w:type="spellEnd"/>
      <w:r w:rsidRPr="00206534">
        <w:rPr>
          <w:color w:val="222222"/>
          <w:lang w:val="en-US" w:eastAsia="en-US"/>
        </w:rPr>
        <w:t xml:space="preserve"> </w:t>
      </w:r>
      <w:proofErr w:type="spellStart"/>
      <w:r w:rsidRPr="00206534">
        <w:rPr>
          <w:color w:val="222222"/>
          <w:lang w:val="en-US" w:eastAsia="en-US"/>
        </w:rPr>
        <w:t>учени</w:t>
      </w:r>
      <w:proofErr w:type="spellEnd"/>
      <w:r w:rsidRPr="00206534">
        <w:rPr>
          <w:color w:val="222222"/>
          <w:lang w:val="en-US" w:eastAsia="en-US"/>
        </w:rPr>
        <w:t xml:space="preserve"> в </w:t>
      </w:r>
      <w:proofErr w:type="spellStart"/>
      <w:r w:rsidRPr="00206534">
        <w:rPr>
          <w:color w:val="222222"/>
          <w:lang w:val="en-US" w:eastAsia="en-US"/>
        </w:rPr>
        <w:t>международни</w:t>
      </w:r>
      <w:proofErr w:type="spellEnd"/>
      <w:r w:rsidRPr="00206534">
        <w:rPr>
          <w:color w:val="222222"/>
          <w:lang w:val="en-US" w:eastAsia="en-US"/>
        </w:rPr>
        <w:t xml:space="preserve"> </w:t>
      </w:r>
      <w:proofErr w:type="spellStart"/>
      <w:r w:rsidRPr="00206534">
        <w:rPr>
          <w:color w:val="222222"/>
          <w:lang w:val="en-US" w:eastAsia="en-US"/>
        </w:rPr>
        <w:t>научни</w:t>
      </w:r>
      <w:proofErr w:type="spellEnd"/>
      <w:r w:rsidRPr="00206534">
        <w:rPr>
          <w:color w:val="222222"/>
          <w:lang w:val="en-US" w:eastAsia="en-US"/>
        </w:rPr>
        <w:t xml:space="preserve"> </w:t>
      </w:r>
      <w:proofErr w:type="spellStart"/>
      <w:r w:rsidRPr="00206534">
        <w:rPr>
          <w:color w:val="222222"/>
          <w:lang w:val="en-US" w:eastAsia="en-US"/>
        </w:rPr>
        <w:t>форуми</w:t>
      </w:r>
      <w:proofErr w:type="spellEnd"/>
      <w:r w:rsidRPr="00206534">
        <w:rPr>
          <w:color w:val="222222"/>
          <w:lang w:val="en-US" w:eastAsia="en-US"/>
        </w:rPr>
        <w:t xml:space="preserve"> и </w:t>
      </w:r>
      <w:proofErr w:type="spellStart"/>
      <w:r w:rsidRPr="00206534">
        <w:rPr>
          <w:color w:val="222222"/>
          <w:lang w:val="en-US" w:eastAsia="en-US"/>
        </w:rPr>
        <w:t>осигуряване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условия</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по-</w:t>
      </w:r>
      <w:proofErr w:type="spellStart"/>
      <w:r w:rsidRPr="00206534">
        <w:rPr>
          <w:color w:val="222222"/>
          <w:lang w:val="en-US" w:eastAsia="en-US"/>
        </w:rPr>
        <w:t>добра</w:t>
      </w:r>
      <w:proofErr w:type="spellEnd"/>
      <w:r w:rsidRPr="00206534">
        <w:rPr>
          <w:color w:val="222222"/>
          <w:lang w:val="en-US" w:eastAsia="en-US"/>
        </w:rPr>
        <w:t xml:space="preserve"> </w:t>
      </w:r>
      <w:proofErr w:type="spellStart"/>
      <w:r w:rsidRPr="00206534">
        <w:rPr>
          <w:color w:val="222222"/>
          <w:lang w:val="en-US" w:eastAsia="en-US"/>
        </w:rPr>
        <w:t>видимост</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българските</w:t>
      </w:r>
      <w:proofErr w:type="spellEnd"/>
      <w:r w:rsidRPr="00206534">
        <w:rPr>
          <w:color w:val="222222"/>
          <w:lang w:val="en-US" w:eastAsia="en-US"/>
        </w:rPr>
        <w:t xml:space="preserve"> </w:t>
      </w:r>
      <w:proofErr w:type="spellStart"/>
      <w:r w:rsidRPr="00206534">
        <w:rPr>
          <w:color w:val="222222"/>
          <w:lang w:val="en-US" w:eastAsia="en-US"/>
        </w:rPr>
        <w:t>научни</w:t>
      </w:r>
      <w:proofErr w:type="spellEnd"/>
      <w:r w:rsidRPr="00206534">
        <w:rPr>
          <w:color w:val="222222"/>
          <w:lang w:val="en-US" w:eastAsia="en-US"/>
        </w:rPr>
        <w:t xml:space="preserve"> </w:t>
      </w:r>
      <w:proofErr w:type="spellStart"/>
      <w:r w:rsidRPr="00206534">
        <w:rPr>
          <w:color w:val="222222"/>
          <w:lang w:val="en-US" w:eastAsia="en-US"/>
        </w:rPr>
        <w:t>изследвания</w:t>
      </w:r>
      <w:proofErr w:type="spellEnd"/>
      <w:r w:rsidRPr="00206534">
        <w:rPr>
          <w:color w:val="222222"/>
          <w:lang w:val="en-US" w:eastAsia="en-US"/>
        </w:rPr>
        <w:t xml:space="preserve"> в </w:t>
      </w:r>
      <w:proofErr w:type="spellStart"/>
      <w:r w:rsidRPr="00206534">
        <w:rPr>
          <w:color w:val="222222"/>
          <w:lang w:val="en-US" w:eastAsia="en-US"/>
        </w:rPr>
        <w:t>международен</w:t>
      </w:r>
      <w:proofErr w:type="spellEnd"/>
      <w:r w:rsidRPr="00206534">
        <w:rPr>
          <w:color w:val="222222"/>
          <w:lang w:val="en-US" w:eastAsia="en-US"/>
        </w:rPr>
        <w:t xml:space="preserve"> </w:t>
      </w:r>
      <w:proofErr w:type="spellStart"/>
      <w:r w:rsidRPr="00206534">
        <w:rPr>
          <w:color w:val="222222"/>
          <w:lang w:val="en-US" w:eastAsia="en-US"/>
        </w:rPr>
        <w:t>план</w:t>
      </w:r>
      <w:proofErr w:type="spellEnd"/>
      <w:r w:rsidRPr="00206534">
        <w:rPr>
          <w:color w:val="222222"/>
          <w:lang w:val="en-US" w:eastAsia="en-US"/>
        </w:rPr>
        <w:t>.</w:t>
      </w:r>
    </w:p>
    <w:p w14:paraId="10905E8F" w14:textId="7C20A6A8" w:rsidR="002413FB" w:rsidRPr="00206534" w:rsidRDefault="002413FB" w:rsidP="00F762B5">
      <w:pPr>
        <w:shd w:val="clear" w:color="auto" w:fill="FFFFFF"/>
        <w:spacing w:before="120" w:after="120" w:line="276" w:lineRule="auto"/>
        <w:jc w:val="both"/>
        <w:rPr>
          <w:b/>
          <w:bCs/>
          <w:color w:val="222222"/>
          <w:lang w:val="en-US" w:eastAsia="en-US"/>
        </w:rPr>
      </w:pPr>
      <w:r w:rsidRPr="00206534">
        <w:rPr>
          <w:color w:val="222222"/>
          <w:lang w:val="en-US" w:eastAsia="en-US"/>
        </w:rPr>
        <w:t> </w:t>
      </w:r>
      <w:r w:rsidRPr="00206534">
        <w:rPr>
          <w:b/>
          <w:bCs/>
          <w:lang w:val="en-US" w:eastAsia="en-US"/>
        </w:rPr>
        <w:t xml:space="preserve">1.    </w:t>
      </w:r>
      <w:proofErr w:type="spellStart"/>
      <w:r w:rsidRPr="00206534">
        <w:rPr>
          <w:b/>
          <w:bCs/>
          <w:lang w:val="en-US" w:eastAsia="en-US"/>
        </w:rPr>
        <w:t>Общ</w:t>
      </w:r>
      <w:proofErr w:type="spellEnd"/>
      <w:r w:rsidRPr="00206534">
        <w:rPr>
          <w:b/>
          <w:bCs/>
          <w:lang w:val="en-US" w:eastAsia="en-US"/>
        </w:rPr>
        <w:t xml:space="preserve"> </w:t>
      </w:r>
      <w:proofErr w:type="spellStart"/>
      <w:r w:rsidRPr="00206534">
        <w:rPr>
          <w:b/>
          <w:bCs/>
          <w:lang w:val="en-US" w:eastAsia="en-US"/>
        </w:rPr>
        <w:t>бюджет</w:t>
      </w:r>
      <w:proofErr w:type="spellEnd"/>
      <w:r w:rsidRPr="00206534">
        <w:rPr>
          <w:b/>
          <w:bCs/>
          <w:lang w:val="en-US" w:eastAsia="en-US"/>
        </w:rPr>
        <w:t xml:space="preserve"> </w:t>
      </w:r>
      <w:proofErr w:type="spellStart"/>
      <w:r w:rsidRPr="00206534">
        <w:rPr>
          <w:b/>
          <w:bCs/>
          <w:lang w:val="en-US" w:eastAsia="en-US"/>
        </w:rPr>
        <w:t>на</w:t>
      </w:r>
      <w:proofErr w:type="spellEnd"/>
      <w:r w:rsidRPr="00206534">
        <w:rPr>
          <w:b/>
          <w:bCs/>
          <w:lang w:val="en-US" w:eastAsia="en-US"/>
        </w:rPr>
        <w:t xml:space="preserve"> </w:t>
      </w:r>
      <w:proofErr w:type="spellStart"/>
      <w:r w:rsidRPr="00206534">
        <w:rPr>
          <w:b/>
          <w:bCs/>
          <w:lang w:val="en-US" w:eastAsia="en-US"/>
        </w:rPr>
        <w:t>конкурса</w:t>
      </w:r>
      <w:proofErr w:type="spellEnd"/>
      <w:r w:rsidRPr="00206534">
        <w:rPr>
          <w:b/>
          <w:bCs/>
          <w:lang w:val="en-US" w:eastAsia="en-US"/>
        </w:rPr>
        <w:t>:</w:t>
      </w:r>
    </w:p>
    <w:p w14:paraId="0D885537" w14:textId="77777777" w:rsidR="002413FB" w:rsidRPr="00206534" w:rsidRDefault="002413FB" w:rsidP="00F762B5">
      <w:pPr>
        <w:shd w:val="clear" w:color="auto" w:fill="FFFFFF"/>
        <w:spacing w:before="120" w:after="120" w:line="276" w:lineRule="auto"/>
        <w:jc w:val="both"/>
        <w:rPr>
          <w:color w:val="222222"/>
          <w:lang w:val="en-US" w:eastAsia="en-US"/>
        </w:rPr>
      </w:pPr>
      <w:proofErr w:type="spellStart"/>
      <w:r w:rsidRPr="00206534">
        <w:rPr>
          <w:color w:val="222222"/>
          <w:lang w:val="en-US" w:eastAsia="en-US"/>
        </w:rPr>
        <w:t>Прогнозният</w:t>
      </w:r>
      <w:proofErr w:type="spellEnd"/>
      <w:r w:rsidRPr="00206534">
        <w:rPr>
          <w:color w:val="222222"/>
          <w:lang w:val="en-US" w:eastAsia="en-US"/>
        </w:rPr>
        <w:t xml:space="preserve"> </w:t>
      </w:r>
      <w:proofErr w:type="spellStart"/>
      <w:r w:rsidRPr="00206534">
        <w:rPr>
          <w:color w:val="222222"/>
          <w:lang w:val="en-US" w:eastAsia="en-US"/>
        </w:rPr>
        <w:t>общ</w:t>
      </w:r>
      <w:proofErr w:type="spellEnd"/>
      <w:r w:rsidRPr="00206534">
        <w:rPr>
          <w:color w:val="222222"/>
          <w:lang w:val="en-US" w:eastAsia="en-US"/>
        </w:rPr>
        <w:t xml:space="preserve"> </w:t>
      </w:r>
      <w:proofErr w:type="spellStart"/>
      <w:r w:rsidRPr="00206534">
        <w:rPr>
          <w:color w:val="222222"/>
          <w:lang w:val="en-US" w:eastAsia="en-US"/>
        </w:rPr>
        <w:t>бюджет</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процедура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подкрепа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международни</w:t>
      </w:r>
      <w:proofErr w:type="spellEnd"/>
      <w:r w:rsidRPr="00206534">
        <w:rPr>
          <w:color w:val="222222"/>
          <w:lang w:val="en-US" w:eastAsia="en-US"/>
        </w:rPr>
        <w:t xml:space="preserve"> </w:t>
      </w:r>
      <w:proofErr w:type="spellStart"/>
      <w:r w:rsidRPr="00206534">
        <w:rPr>
          <w:color w:val="222222"/>
          <w:lang w:val="en-US" w:eastAsia="en-US"/>
        </w:rPr>
        <w:t>научни</w:t>
      </w:r>
      <w:proofErr w:type="spellEnd"/>
      <w:r w:rsidRPr="00206534">
        <w:rPr>
          <w:color w:val="222222"/>
          <w:lang w:val="en-US" w:eastAsia="en-US"/>
        </w:rPr>
        <w:t xml:space="preserve"> </w:t>
      </w:r>
      <w:proofErr w:type="spellStart"/>
      <w:r w:rsidRPr="00206534">
        <w:rPr>
          <w:color w:val="222222"/>
          <w:lang w:val="en-US" w:eastAsia="en-US"/>
        </w:rPr>
        <w:t>форуми</w:t>
      </w:r>
      <w:proofErr w:type="spellEnd"/>
      <w:r w:rsidRPr="00206534">
        <w:rPr>
          <w:color w:val="222222"/>
          <w:lang w:val="en-US" w:eastAsia="en-US"/>
        </w:rPr>
        <w:t xml:space="preserve">, </w:t>
      </w:r>
      <w:proofErr w:type="spellStart"/>
      <w:r w:rsidRPr="00206534">
        <w:rPr>
          <w:color w:val="222222"/>
          <w:lang w:val="en-US" w:eastAsia="en-US"/>
        </w:rPr>
        <w:t>провеждани</w:t>
      </w:r>
      <w:proofErr w:type="spellEnd"/>
      <w:r w:rsidRPr="00206534">
        <w:rPr>
          <w:color w:val="222222"/>
          <w:lang w:val="en-US" w:eastAsia="en-US"/>
        </w:rPr>
        <w:t xml:space="preserve"> в </w:t>
      </w:r>
      <w:proofErr w:type="spellStart"/>
      <w:r w:rsidRPr="00206534">
        <w:rPr>
          <w:color w:val="222222"/>
          <w:lang w:val="en-US" w:eastAsia="en-US"/>
        </w:rPr>
        <w:t>Република</w:t>
      </w:r>
      <w:proofErr w:type="spellEnd"/>
      <w:r w:rsidRPr="00206534">
        <w:rPr>
          <w:color w:val="222222"/>
          <w:lang w:val="en-US" w:eastAsia="en-US"/>
        </w:rPr>
        <w:t xml:space="preserve"> България е в </w:t>
      </w:r>
      <w:proofErr w:type="spellStart"/>
      <w:r w:rsidRPr="00206534">
        <w:rPr>
          <w:color w:val="222222"/>
          <w:lang w:val="en-US" w:eastAsia="en-US"/>
        </w:rPr>
        <w:t>общ</w:t>
      </w:r>
      <w:proofErr w:type="spellEnd"/>
      <w:r w:rsidRPr="00206534">
        <w:rPr>
          <w:color w:val="222222"/>
          <w:lang w:val="en-US" w:eastAsia="en-US"/>
        </w:rPr>
        <w:t xml:space="preserve"> </w:t>
      </w:r>
      <w:proofErr w:type="spellStart"/>
      <w:r w:rsidRPr="00206534">
        <w:rPr>
          <w:color w:val="222222"/>
          <w:lang w:val="en-US" w:eastAsia="en-US"/>
        </w:rPr>
        <w:t>размер</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500 000 </w:t>
      </w:r>
      <w:proofErr w:type="spellStart"/>
      <w:r w:rsidRPr="00206534">
        <w:rPr>
          <w:color w:val="222222"/>
          <w:lang w:val="en-US" w:eastAsia="en-US"/>
        </w:rPr>
        <w:t>лв</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2025 </w:t>
      </w:r>
      <w:proofErr w:type="spellStart"/>
      <w:r w:rsidRPr="00206534">
        <w:rPr>
          <w:color w:val="222222"/>
          <w:lang w:val="en-US" w:eastAsia="en-US"/>
        </w:rPr>
        <w:t>год</w:t>
      </w:r>
      <w:proofErr w:type="spellEnd"/>
      <w:r w:rsidRPr="00206534">
        <w:rPr>
          <w:color w:val="222222"/>
          <w:lang w:val="en-US" w:eastAsia="en-US"/>
        </w:rPr>
        <w:t>.</w:t>
      </w:r>
    </w:p>
    <w:p w14:paraId="4239DA79" w14:textId="77777777" w:rsidR="002413FB" w:rsidRPr="003858DA" w:rsidRDefault="002413FB" w:rsidP="00F762B5">
      <w:pPr>
        <w:spacing w:line="276" w:lineRule="auto"/>
        <w:rPr>
          <w:b/>
          <w:bCs/>
          <w:lang w:val="en-US" w:eastAsia="en-US"/>
        </w:rPr>
      </w:pPr>
      <w:r w:rsidRPr="003858DA">
        <w:rPr>
          <w:b/>
          <w:bCs/>
          <w:lang w:val="en-US" w:eastAsia="en-US"/>
        </w:rPr>
        <w:t xml:space="preserve">2.    </w:t>
      </w:r>
      <w:proofErr w:type="spellStart"/>
      <w:r w:rsidRPr="003858DA">
        <w:rPr>
          <w:b/>
        </w:rPr>
        <w:t>Максимален</w:t>
      </w:r>
      <w:proofErr w:type="spellEnd"/>
      <w:r w:rsidRPr="003858DA">
        <w:rPr>
          <w:b/>
        </w:rPr>
        <w:t xml:space="preserve"> </w:t>
      </w:r>
      <w:proofErr w:type="spellStart"/>
      <w:r w:rsidRPr="003858DA">
        <w:rPr>
          <w:b/>
        </w:rPr>
        <w:t>размер</w:t>
      </w:r>
      <w:proofErr w:type="spellEnd"/>
      <w:r w:rsidRPr="003858DA">
        <w:rPr>
          <w:b/>
        </w:rPr>
        <w:t xml:space="preserve"> </w:t>
      </w:r>
      <w:proofErr w:type="spellStart"/>
      <w:r w:rsidRPr="003858DA">
        <w:rPr>
          <w:b/>
        </w:rPr>
        <w:t>на</w:t>
      </w:r>
      <w:proofErr w:type="spellEnd"/>
      <w:r w:rsidRPr="003858DA">
        <w:rPr>
          <w:b/>
        </w:rPr>
        <w:t xml:space="preserve"> </w:t>
      </w:r>
      <w:proofErr w:type="spellStart"/>
      <w:r w:rsidRPr="003858DA">
        <w:rPr>
          <w:b/>
        </w:rPr>
        <w:t>финансирането</w:t>
      </w:r>
      <w:proofErr w:type="spellEnd"/>
      <w:r w:rsidRPr="003858DA">
        <w:rPr>
          <w:b/>
        </w:rPr>
        <w:t xml:space="preserve"> </w:t>
      </w:r>
      <w:proofErr w:type="spellStart"/>
      <w:r w:rsidRPr="003858DA">
        <w:rPr>
          <w:b/>
        </w:rPr>
        <w:t>за</w:t>
      </w:r>
      <w:proofErr w:type="spellEnd"/>
      <w:r w:rsidRPr="003858DA">
        <w:rPr>
          <w:b/>
        </w:rPr>
        <w:t xml:space="preserve"> </w:t>
      </w:r>
      <w:proofErr w:type="spellStart"/>
      <w:r w:rsidRPr="003858DA">
        <w:rPr>
          <w:b/>
        </w:rPr>
        <w:t>конкретен</w:t>
      </w:r>
      <w:proofErr w:type="spellEnd"/>
      <w:r w:rsidRPr="003858DA">
        <w:rPr>
          <w:b/>
        </w:rPr>
        <w:t xml:space="preserve"> </w:t>
      </w:r>
      <w:proofErr w:type="spellStart"/>
      <w:r w:rsidRPr="003858DA">
        <w:rPr>
          <w:b/>
        </w:rPr>
        <w:t>проект</w:t>
      </w:r>
      <w:proofErr w:type="spellEnd"/>
      <w:r w:rsidRPr="003858DA">
        <w:rPr>
          <w:b/>
          <w:bCs/>
          <w:lang w:val="en-US" w:eastAsia="en-US"/>
        </w:rPr>
        <w:t>:</w:t>
      </w:r>
    </w:p>
    <w:p w14:paraId="407F3657" w14:textId="77777777" w:rsidR="002413FB" w:rsidRPr="00206534" w:rsidRDefault="002413FB" w:rsidP="00F762B5">
      <w:pPr>
        <w:shd w:val="clear" w:color="auto" w:fill="FFFFFF"/>
        <w:spacing w:before="120" w:after="120" w:line="276" w:lineRule="auto"/>
        <w:jc w:val="both"/>
        <w:rPr>
          <w:color w:val="222222"/>
          <w:lang w:val="en-US" w:eastAsia="en-US"/>
        </w:rPr>
      </w:pPr>
      <w:proofErr w:type="spellStart"/>
      <w:r w:rsidRPr="00206534">
        <w:rPr>
          <w:color w:val="222222"/>
          <w:lang w:val="en-US" w:eastAsia="en-US"/>
        </w:rPr>
        <w:t>Максималният</w:t>
      </w:r>
      <w:proofErr w:type="spellEnd"/>
      <w:r w:rsidRPr="00206534">
        <w:rPr>
          <w:color w:val="222222"/>
          <w:lang w:val="en-US" w:eastAsia="en-US"/>
        </w:rPr>
        <w:t xml:space="preserve"> </w:t>
      </w:r>
      <w:proofErr w:type="spellStart"/>
      <w:r w:rsidRPr="00206534">
        <w:rPr>
          <w:color w:val="222222"/>
          <w:lang w:val="en-US" w:eastAsia="en-US"/>
        </w:rPr>
        <w:t>размер</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сумата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съфинансиране</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ФНИ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даден</w:t>
      </w:r>
      <w:proofErr w:type="spellEnd"/>
      <w:r w:rsidRPr="00206534">
        <w:rPr>
          <w:color w:val="222222"/>
          <w:lang w:val="en-US" w:eastAsia="en-US"/>
        </w:rPr>
        <w:t xml:space="preserve"> </w:t>
      </w:r>
      <w:proofErr w:type="spellStart"/>
      <w:r w:rsidRPr="00206534">
        <w:rPr>
          <w:color w:val="222222"/>
          <w:lang w:val="en-US" w:eastAsia="en-US"/>
        </w:rPr>
        <w:t>форум</w:t>
      </w:r>
      <w:proofErr w:type="spellEnd"/>
      <w:r w:rsidRPr="00206534">
        <w:rPr>
          <w:color w:val="222222"/>
          <w:lang w:val="en-US" w:eastAsia="en-US"/>
        </w:rPr>
        <w:t xml:space="preserve"> </w:t>
      </w:r>
      <w:proofErr w:type="spellStart"/>
      <w:r w:rsidRPr="00206534">
        <w:rPr>
          <w:color w:val="222222"/>
          <w:lang w:val="en-US" w:eastAsia="en-US"/>
        </w:rPr>
        <w:t>зависи</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продължителността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форума</w:t>
      </w:r>
      <w:proofErr w:type="spellEnd"/>
      <w:r w:rsidRPr="00206534">
        <w:rPr>
          <w:color w:val="222222"/>
          <w:lang w:val="en-US" w:eastAsia="en-US"/>
        </w:rPr>
        <w:t xml:space="preserve"> и </w:t>
      </w:r>
      <w:proofErr w:type="spellStart"/>
      <w:r w:rsidRPr="00206534">
        <w:rPr>
          <w:color w:val="222222"/>
          <w:lang w:val="en-US" w:eastAsia="en-US"/>
        </w:rPr>
        <w:t>програмата</w:t>
      </w:r>
      <w:proofErr w:type="spellEnd"/>
      <w:r w:rsidRPr="00206534">
        <w:rPr>
          <w:color w:val="222222"/>
          <w:lang w:val="en-US" w:eastAsia="en-US"/>
        </w:rPr>
        <w:t xml:space="preserve"> </w:t>
      </w:r>
      <w:proofErr w:type="spellStart"/>
      <w:r w:rsidRPr="00206534">
        <w:rPr>
          <w:color w:val="222222"/>
          <w:lang w:val="en-US" w:eastAsia="en-US"/>
        </w:rPr>
        <w:t>му</w:t>
      </w:r>
      <w:proofErr w:type="spellEnd"/>
      <w:r w:rsidRPr="00206534">
        <w:rPr>
          <w:color w:val="222222"/>
          <w:lang w:val="en-US" w:eastAsia="en-US"/>
        </w:rPr>
        <w:t xml:space="preserve">, </w:t>
      </w:r>
      <w:proofErr w:type="spellStart"/>
      <w:r w:rsidRPr="00206534">
        <w:rPr>
          <w:color w:val="222222"/>
          <w:lang w:val="en-US" w:eastAsia="en-US"/>
        </w:rPr>
        <w:t>както</w:t>
      </w:r>
      <w:proofErr w:type="spellEnd"/>
      <w:r w:rsidRPr="00206534">
        <w:rPr>
          <w:color w:val="222222"/>
          <w:lang w:val="en-US" w:eastAsia="en-US"/>
        </w:rPr>
        <w:t xml:space="preserve"> </w:t>
      </w:r>
      <w:proofErr w:type="spellStart"/>
      <w:r w:rsidRPr="00206534">
        <w:rPr>
          <w:color w:val="222222"/>
          <w:lang w:val="en-US" w:eastAsia="en-US"/>
        </w:rPr>
        <w:t>следва</w:t>
      </w:r>
      <w:proofErr w:type="spellEnd"/>
      <w:r w:rsidRPr="00206534">
        <w:rPr>
          <w:color w:val="222222"/>
          <w:lang w:val="en-US" w:eastAsia="en-US"/>
        </w:rPr>
        <w:t>:</w:t>
      </w:r>
    </w:p>
    <w:p w14:paraId="6B546E09" w14:textId="77777777" w:rsidR="002413FB" w:rsidRPr="00206534" w:rsidRDefault="002413FB" w:rsidP="005D1D65">
      <w:pPr>
        <w:numPr>
          <w:ilvl w:val="0"/>
          <w:numId w:val="12"/>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до</w:t>
      </w:r>
      <w:proofErr w:type="spellEnd"/>
      <w:r w:rsidRPr="00206534">
        <w:rPr>
          <w:color w:val="222222"/>
          <w:lang w:val="en-US" w:eastAsia="en-US"/>
        </w:rPr>
        <w:t xml:space="preserve"> 5 000 </w:t>
      </w:r>
      <w:proofErr w:type="spellStart"/>
      <w:r w:rsidRPr="00206534">
        <w:rPr>
          <w:color w:val="222222"/>
          <w:lang w:val="en-US" w:eastAsia="en-US"/>
        </w:rPr>
        <w:t>лв</w:t>
      </w:r>
      <w:proofErr w:type="spellEnd"/>
      <w:r w:rsidRPr="00206534">
        <w:rPr>
          <w:color w:val="222222"/>
          <w:lang w:val="en-US" w:eastAsia="en-US"/>
        </w:rPr>
        <w:t xml:space="preserve">. –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еднодневни</w:t>
      </w:r>
      <w:proofErr w:type="spellEnd"/>
      <w:r w:rsidRPr="00206534">
        <w:rPr>
          <w:color w:val="222222"/>
          <w:lang w:val="en-US" w:eastAsia="en-US"/>
        </w:rPr>
        <w:t xml:space="preserve"> </w:t>
      </w:r>
      <w:proofErr w:type="spellStart"/>
      <w:r w:rsidRPr="00206534">
        <w:rPr>
          <w:color w:val="222222"/>
          <w:lang w:val="en-US" w:eastAsia="en-US"/>
        </w:rPr>
        <w:t>форуми</w:t>
      </w:r>
      <w:proofErr w:type="spellEnd"/>
      <w:r w:rsidRPr="00206534">
        <w:rPr>
          <w:color w:val="222222"/>
          <w:lang w:val="en-US" w:eastAsia="en-US"/>
        </w:rPr>
        <w:t xml:space="preserve"> с </w:t>
      </w:r>
      <w:proofErr w:type="spellStart"/>
      <w:r w:rsidRPr="00206534">
        <w:rPr>
          <w:color w:val="222222"/>
          <w:lang w:val="en-US" w:eastAsia="en-US"/>
        </w:rPr>
        <w:t>програма</w:t>
      </w:r>
      <w:proofErr w:type="spellEnd"/>
      <w:r w:rsidRPr="00206534">
        <w:rPr>
          <w:color w:val="222222"/>
          <w:lang w:val="en-US" w:eastAsia="en-US"/>
        </w:rPr>
        <w:t xml:space="preserve"> </w:t>
      </w:r>
      <w:proofErr w:type="spellStart"/>
      <w:r w:rsidRPr="00206534">
        <w:rPr>
          <w:color w:val="222222"/>
          <w:lang w:val="en-US" w:eastAsia="en-US"/>
        </w:rPr>
        <w:t>не</w:t>
      </w:r>
      <w:proofErr w:type="spellEnd"/>
      <w:r w:rsidRPr="00206534">
        <w:rPr>
          <w:color w:val="222222"/>
          <w:lang w:val="en-US" w:eastAsia="en-US"/>
        </w:rPr>
        <w:t xml:space="preserve"> по-</w:t>
      </w:r>
      <w:proofErr w:type="spellStart"/>
      <w:r w:rsidRPr="00206534">
        <w:rPr>
          <w:color w:val="222222"/>
          <w:lang w:val="en-US" w:eastAsia="en-US"/>
        </w:rPr>
        <w:t>кратка</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7 </w:t>
      </w:r>
      <w:proofErr w:type="spellStart"/>
      <w:r w:rsidRPr="00206534">
        <w:rPr>
          <w:color w:val="222222"/>
          <w:lang w:val="en-US" w:eastAsia="en-US"/>
        </w:rPr>
        <w:t>часа</w:t>
      </w:r>
      <w:proofErr w:type="spellEnd"/>
      <w:r w:rsidRPr="00206534">
        <w:rPr>
          <w:color w:val="222222"/>
          <w:lang w:val="en-US" w:eastAsia="en-US"/>
        </w:rPr>
        <w:t xml:space="preserve"> (</w:t>
      </w:r>
      <w:proofErr w:type="spellStart"/>
      <w:r w:rsidRPr="00206534">
        <w:rPr>
          <w:color w:val="222222"/>
          <w:lang w:val="en-US" w:eastAsia="en-US"/>
        </w:rPr>
        <w:t>без</w:t>
      </w:r>
      <w:proofErr w:type="spellEnd"/>
      <w:r w:rsidRPr="00206534">
        <w:rPr>
          <w:color w:val="222222"/>
          <w:lang w:val="en-US" w:eastAsia="en-US"/>
        </w:rPr>
        <w:t xml:space="preserve"> </w:t>
      </w:r>
      <w:proofErr w:type="spellStart"/>
      <w:r w:rsidRPr="00206534">
        <w:rPr>
          <w:color w:val="222222"/>
          <w:lang w:val="en-US" w:eastAsia="en-US"/>
        </w:rPr>
        <w:t>да</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считат</w:t>
      </w:r>
      <w:proofErr w:type="spellEnd"/>
      <w:r w:rsidRPr="00206534">
        <w:rPr>
          <w:color w:val="222222"/>
          <w:lang w:val="en-US" w:eastAsia="en-US"/>
        </w:rPr>
        <w:t xml:space="preserve"> </w:t>
      </w:r>
      <w:proofErr w:type="spellStart"/>
      <w:r w:rsidRPr="00206534">
        <w:rPr>
          <w:color w:val="222222"/>
          <w:lang w:val="en-US" w:eastAsia="en-US"/>
        </w:rPr>
        <w:t>прекъсванията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обяд</w:t>
      </w:r>
      <w:proofErr w:type="spellEnd"/>
      <w:r w:rsidRPr="00206534">
        <w:rPr>
          <w:color w:val="222222"/>
          <w:lang w:val="en-US" w:eastAsia="en-US"/>
        </w:rPr>
        <w:t xml:space="preserve"> и </w:t>
      </w:r>
      <w:proofErr w:type="spellStart"/>
      <w:r w:rsidRPr="00206534">
        <w:rPr>
          <w:color w:val="222222"/>
          <w:lang w:val="en-US" w:eastAsia="en-US"/>
        </w:rPr>
        <w:t>планираните</w:t>
      </w:r>
      <w:proofErr w:type="spellEnd"/>
      <w:r w:rsidRPr="00206534">
        <w:rPr>
          <w:color w:val="222222"/>
          <w:lang w:val="en-US" w:eastAsia="en-US"/>
        </w:rPr>
        <w:t xml:space="preserve"> </w:t>
      </w:r>
      <w:proofErr w:type="spellStart"/>
      <w:r w:rsidRPr="00206534">
        <w:rPr>
          <w:color w:val="222222"/>
          <w:lang w:val="en-US" w:eastAsia="en-US"/>
        </w:rPr>
        <w:t>социални</w:t>
      </w:r>
      <w:proofErr w:type="spellEnd"/>
      <w:r w:rsidRPr="00206534">
        <w:rPr>
          <w:color w:val="222222"/>
          <w:lang w:val="en-US" w:eastAsia="en-US"/>
        </w:rPr>
        <w:t xml:space="preserve"> </w:t>
      </w:r>
      <w:proofErr w:type="spellStart"/>
      <w:r w:rsidRPr="00206534">
        <w:rPr>
          <w:color w:val="222222"/>
          <w:lang w:val="en-US" w:eastAsia="en-US"/>
        </w:rPr>
        <w:t>мероприятия</w:t>
      </w:r>
      <w:proofErr w:type="spellEnd"/>
      <w:r w:rsidRPr="00206534">
        <w:rPr>
          <w:color w:val="222222"/>
          <w:lang w:val="en-US" w:eastAsia="en-US"/>
        </w:rPr>
        <w:t>);</w:t>
      </w:r>
    </w:p>
    <w:p w14:paraId="210E4595" w14:textId="77777777" w:rsidR="002413FB" w:rsidRPr="00206534" w:rsidRDefault="002413FB" w:rsidP="005D1D65">
      <w:pPr>
        <w:numPr>
          <w:ilvl w:val="0"/>
          <w:numId w:val="12"/>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до</w:t>
      </w:r>
      <w:proofErr w:type="spellEnd"/>
      <w:r w:rsidRPr="00206534">
        <w:rPr>
          <w:color w:val="222222"/>
          <w:lang w:val="en-US" w:eastAsia="en-US"/>
        </w:rPr>
        <w:t xml:space="preserve"> 10 000 </w:t>
      </w:r>
      <w:proofErr w:type="spellStart"/>
      <w:r w:rsidRPr="00206534">
        <w:rPr>
          <w:color w:val="222222"/>
          <w:lang w:val="en-US" w:eastAsia="en-US"/>
        </w:rPr>
        <w:t>лв</w:t>
      </w:r>
      <w:proofErr w:type="spellEnd"/>
      <w:r w:rsidRPr="00206534">
        <w:rPr>
          <w:color w:val="222222"/>
          <w:lang w:val="en-US" w:eastAsia="en-US"/>
        </w:rPr>
        <w:t xml:space="preserve">. –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едно</w:t>
      </w:r>
      <w:proofErr w:type="spellEnd"/>
      <w:r w:rsidRPr="00206534">
        <w:rPr>
          <w:color w:val="222222"/>
          <w:lang w:val="en-US" w:eastAsia="en-US"/>
        </w:rPr>
        <w:t xml:space="preserve">- </w:t>
      </w:r>
      <w:proofErr w:type="spellStart"/>
      <w:r w:rsidRPr="00206534">
        <w:rPr>
          <w:color w:val="222222"/>
          <w:lang w:val="en-US" w:eastAsia="en-US"/>
        </w:rPr>
        <w:t>или</w:t>
      </w:r>
      <w:proofErr w:type="spellEnd"/>
      <w:r w:rsidRPr="00206534">
        <w:rPr>
          <w:color w:val="222222"/>
          <w:lang w:val="en-US" w:eastAsia="en-US"/>
        </w:rPr>
        <w:t xml:space="preserve"> </w:t>
      </w:r>
      <w:proofErr w:type="spellStart"/>
      <w:r w:rsidRPr="00206534">
        <w:rPr>
          <w:color w:val="222222"/>
          <w:lang w:val="en-US" w:eastAsia="en-US"/>
        </w:rPr>
        <w:t>двудневни</w:t>
      </w:r>
      <w:proofErr w:type="spellEnd"/>
      <w:r w:rsidRPr="00206534">
        <w:rPr>
          <w:color w:val="222222"/>
          <w:lang w:val="en-US" w:eastAsia="en-US"/>
        </w:rPr>
        <w:t xml:space="preserve"> </w:t>
      </w:r>
      <w:proofErr w:type="spellStart"/>
      <w:r w:rsidRPr="00206534">
        <w:rPr>
          <w:color w:val="222222"/>
          <w:lang w:val="en-US" w:eastAsia="en-US"/>
        </w:rPr>
        <w:t>форуми</w:t>
      </w:r>
      <w:proofErr w:type="spellEnd"/>
      <w:r w:rsidRPr="00206534">
        <w:rPr>
          <w:color w:val="222222"/>
          <w:lang w:val="en-US" w:eastAsia="en-US"/>
        </w:rPr>
        <w:t xml:space="preserve"> с </w:t>
      </w:r>
      <w:proofErr w:type="spellStart"/>
      <w:r w:rsidRPr="00206534">
        <w:rPr>
          <w:color w:val="222222"/>
          <w:lang w:val="en-US" w:eastAsia="en-US"/>
        </w:rPr>
        <w:t>програма</w:t>
      </w:r>
      <w:proofErr w:type="spellEnd"/>
      <w:r w:rsidRPr="00206534">
        <w:rPr>
          <w:color w:val="222222"/>
          <w:lang w:val="en-US" w:eastAsia="en-US"/>
        </w:rPr>
        <w:t xml:space="preserve"> </w:t>
      </w:r>
      <w:proofErr w:type="spellStart"/>
      <w:r w:rsidRPr="00206534">
        <w:rPr>
          <w:color w:val="222222"/>
          <w:lang w:val="en-US" w:eastAsia="en-US"/>
        </w:rPr>
        <w:t>не</w:t>
      </w:r>
      <w:proofErr w:type="spellEnd"/>
      <w:r w:rsidRPr="00206534">
        <w:rPr>
          <w:color w:val="222222"/>
          <w:lang w:val="en-US" w:eastAsia="en-US"/>
        </w:rPr>
        <w:t xml:space="preserve"> по-</w:t>
      </w:r>
      <w:proofErr w:type="spellStart"/>
      <w:r w:rsidRPr="00206534">
        <w:rPr>
          <w:color w:val="222222"/>
          <w:lang w:val="en-US" w:eastAsia="en-US"/>
        </w:rPr>
        <w:t>кратка</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14 </w:t>
      </w:r>
      <w:proofErr w:type="spellStart"/>
      <w:r w:rsidRPr="00206534">
        <w:rPr>
          <w:color w:val="222222"/>
          <w:lang w:val="en-US" w:eastAsia="en-US"/>
        </w:rPr>
        <w:t>часа</w:t>
      </w:r>
      <w:proofErr w:type="spellEnd"/>
      <w:r w:rsidRPr="00206534">
        <w:rPr>
          <w:color w:val="222222"/>
          <w:lang w:val="en-US" w:eastAsia="en-US"/>
        </w:rPr>
        <w:t xml:space="preserve"> (</w:t>
      </w:r>
      <w:proofErr w:type="spellStart"/>
      <w:r w:rsidRPr="00206534">
        <w:rPr>
          <w:color w:val="222222"/>
          <w:lang w:val="en-US" w:eastAsia="en-US"/>
        </w:rPr>
        <w:t>без</w:t>
      </w:r>
      <w:proofErr w:type="spellEnd"/>
      <w:r w:rsidRPr="00206534">
        <w:rPr>
          <w:color w:val="222222"/>
          <w:lang w:val="en-US" w:eastAsia="en-US"/>
        </w:rPr>
        <w:t xml:space="preserve"> </w:t>
      </w:r>
      <w:proofErr w:type="spellStart"/>
      <w:r w:rsidRPr="00206534">
        <w:rPr>
          <w:color w:val="222222"/>
          <w:lang w:val="en-US" w:eastAsia="en-US"/>
        </w:rPr>
        <w:t>да</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считат</w:t>
      </w:r>
      <w:proofErr w:type="spellEnd"/>
      <w:r w:rsidRPr="00206534">
        <w:rPr>
          <w:color w:val="222222"/>
          <w:lang w:val="en-US" w:eastAsia="en-US"/>
        </w:rPr>
        <w:t xml:space="preserve"> </w:t>
      </w:r>
      <w:proofErr w:type="spellStart"/>
      <w:r w:rsidRPr="00206534">
        <w:rPr>
          <w:color w:val="222222"/>
          <w:lang w:val="en-US" w:eastAsia="en-US"/>
        </w:rPr>
        <w:t>прекъсванията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обяд</w:t>
      </w:r>
      <w:proofErr w:type="spellEnd"/>
      <w:r w:rsidRPr="00206534">
        <w:rPr>
          <w:color w:val="222222"/>
          <w:lang w:val="en-US" w:eastAsia="en-US"/>
        </w:rPr>
        <w:t xml:space="preserve"> и </w:t>
      </w:r>
      <w:proofErr w:type="spellStart"/>
      <w:r w:rsidRPr="00206534">
        <w:rPr>
          <w:color w:val="222222"/>
          <w:lang w:val="en-US" w:eastAsia="en-US"/>
        </w:rPr>
        <w:t>планираните</w:t>
      </w:r>
      <w:proofErr w:type="spellEnd"/>
      <w:r w:rsidRPr="00206534">
        <w:rPr>
          <w:color w:val="222222"/>
          <w:lang w:val="en-US" w:eastAsia="en-US"/>
        </w:rPr>
        <w:t xml:space="preserve"> </w:t>
      </w:r>
      <w:proofErr w:type="spellStart"/>
      <w:r w:rsidRPr="00206534">
        <w:rPr>
          <w:color w:val="222222"/>
          <w:lang w:val="en-US" w:eastAsia="en-US"/>
        </w:rPr>
        <w:t>социални</w:t>
      </w:r>
      <w:proofErr w:type="spellEnd"/>
      <w:r w:rsidRPr="00206534">
        <w:rPr>
          <w:color w:val="222222"/>
          <w:lang w:val="en-US" w:eastAsia="en-US"/>
        </w:rPr>
        <w:t xml:space="preserve"> </w:t>
      </w:r>
      <w:proofErr w:type="spellStart"/>
      <w:r w:rsidRPr="00206534">
        <w:rPr>
          <w:color w:val="222222"/>
          <w:lang w:val="en-US" w:eastAsia="en-US"/>
        </w:rPr>
        <w:t>мероприятия</w:t>
      </w:r>
      <w:proofErr w:type="spellEnd"/>
      <w:r w:rsidRPr="00206534">
        <w:rPr>
          <w:color w:val="222222"/>
          <w:lang w:val="en-US" w:eastAsia="en-US"/>
        </w:rPr>
        <w:t>);</w:t>
      </w:r>
    </w:p>
    <w:p w14:paraId="3B9037C7" w14:textId="77777777" w:rsidR="002413FB" w:rsidRPr="00206534" w:rsidRDefault="002413FB" w:rsidP="005D1D65">
      <w:pPr>
        <w:numPr>
          <w:ilvl w:val="0"/>
          <w:numId w:val="12"/>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до</w:t>
      </w:r>
      <w:proofErr w:type="spellEnd"/>
      <w:r w:rsidRPr="00206534">
        <w:rPr>
          <w:color w:val="222222"/>
          <w:lang w:val="en-US" w:eastAsia="en-US"/>
        </w:rPr>
        <w:t xml:space="preserve"> 15 000 </w:t>
      </w:r>
      <w:proofErr w:type="spellStart"/>
      <w:r w:rsidRPr="00206534">
        <w:rPr>
          <w:color w:val="222222"/>
          <w:lang w:val="en-US" w:eastAsia="en-US"/>
        </w:rPr>
        <w:t>лв</w:t>
      </w:r>
      <w:proofErr w:type="spellEnd"/>
      <w:r w:rsidRPr="00206534">
        <w:rPr>
          <w:color w:val="222222"/>
          <w:lang w:val="en-US" w:eastAsia="en-US"/>
        </w:rPr>
        <w:t xml:space="preserve">. –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тридневни</w:t>
      </w:r>
      <w:proofErr w:type="spellEnd"/>
      <w:r w:rsidRPr="00206534">
        <w:rPr>
          <w:color w:val="222222"/>
          <w:lang w:val="en-US" w:eastAsia="en-US"/>
        </w:rPr>
        <w:t xml:space="preserve"> (и по-</w:t>
      </w:r>
      <w:proofErr w:type="spellStart"/>
      <w:r w:rsidRPr="00206534">
        <w:rPr>
          <w:color w:val="222222"/>
          <w:lang w:val="en-US" w:eastAsia="en-US"/>
        </w:rPr>
        <w:t>продължителни</w:t>
      </w:r>
      <w:proofErr w:type="spellEnd"/>
      <w:r w:rsidRPr="00206534">
        <w:rPr>
          <w:color w:val="222222"/>
          <w:lang w:val="en-US" w:eastAsia="en-US"/>
        </w:rPr>
        <w:t xml:space="preserve">) </w:t>
      </w:r>
      <w:proofErr w:type="spellStart"/>
      <w:r w:rsidRPr="00206534">
        <w:rPr>
          <w:color w:val="222222"/>
          <w:lang w:val="en-US" w:eastAsia="en-US"/>
        </w:rPr>
        <w:t>форуми</w:t>
      </w:r>
      <w:proofErr w:type="spellEnd"/>
      <w:r w:rsidRPr="00206534">
        <w:rPr>
          <w:color w:val="222222"/>
          <w:lang w:val="en-US" w:eastAsia="en-US"/>
        </w:rPr>
        <w:t xml:space="preserve"> с </w:t>
      </w:r>
      <w:proofErr w:type="spellStart"/>
      <w:r w:rsidRPr="00206534">
        <w:rPr>
          <w:color w:val="222222"/>
          <w:lang w:val="en-US" w:eastAsia="en-US"/>
        </w:rPr>
        <w:t>програма</w:t>
      </w:r>
      <w:proofErr w:type="spellEnd"/>
      <w:r w:rsidRPr="00206534">
        <w:rPr>
          <w:color w:val="222222"/>
          <w:lang w:val="en-US" w:eastAsia="en-US"/>
        </w:rPr>
        <w:t xml:space="preserve"> </w:t>
      </w:r>
      <w:proofErr w:type="spellStart"/>
      <w:r w:rsidRPr="00206534">
        <w:rPr>
          <w:color w:val="222222"/>
          <w:lang w:val="en-US" w:eastAsia="en-US"/>
        </w:rPr>
        <w:t>не</w:t>
      </w:r>
      <w:proofErr w:type="spellEnd"/>
      <w:r w:rsidRPr="00206534">
        <w:rPr>
          <w:color w:val="222222"/>
          <w:lang w:val="en-US" w:eastAsia="en-US"/>
        </w:rPr>
        <w:t xml:space="preserve"> по-</w:t>
      </w:r>
      <w:proofErr w:type="spellStart"/>
      <w:r w:rsidRPr="00206534">
        <w:rPr>
          <w:color w:val="222222"/>
          <w:lang w:val="en-US" w:eastAsia="en-US"/>
        </w:rPr>
        <w:t>кратка</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20 </w:t>
      </w:r>
      <w:proofErr w:type="spellStart"/>
      <w:r w:rsidRPr="00206534">
        <w:rPr>
          <w:color w:val="222222"/>
          <w:lang w:val="en-US" w:eastAsia="en-US"/>
        </w:rPr>
        <w:t>часа</w:t>
      </w:r>
      <w:proofErr w:type="spellEnd"/>
      <w:r w:rsidRPr="00206534">
        <w:rPr>
          <w:color w:val="222222"/>
          <w:lang w:val="en-US" w:eastAsia="en-US"/>
        </w:rPr>
        <w:t xml:space="preserve"> (</w:t>
      </w:r>
      <w:proofErr w:type="spellStart"/>
      <w:r w:rsidRPr="00206534">
        <w:rPr>
          <w:color w:val="222222"/>
          <w:lang w:val="en-US" w:eastAsia="en-US"/>
        </w:rPr>
        <w:t>без</w:t>
      </w:r>
      <w:proofErr w:type="spellEnd"/>
      <w:r w:rsidRPr="00206534">
        <w:rPr>
          <w:color w:val="222222"/>
          <w:lang w:val="en-US" w:eastAsia="en-US"/>
        </w:rPr>
        <w:t xml:space="preserve"> </w:t>
      </w:r>
      <w:proofErr w:type="spellStart"/>
      <w:r w:rsidRPr="00206534">
        <w:rPr>
          <w:color w:val="222222"/>
          <w:lang w:val="en-US" w:eastAsia="en-US"/>
        </w:rPr>
        <w:t>да</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считат</w:t>
      </w:r>
      <w:proofErr w:type="spellEnd"/>
      <w:r w:rsidRPr="00206534">
        <w:rPr>
          <w:color w:val="222222"/>
          <w:lang w:val="en-US" w:eastAsia="en-US"/>
        </w:rPr>
        <w:t xml:space="preserve"> </w:t>
      </w:r>
      <w:proofErr w:type="spellStart"/>
      <w:r w:rsidRPr="00206534">
        <w:rPr>
          <w:color w:val="222222"/>
          <w:lang w:val="en-US" w:eastAsia="en-US"/>
        </w:rPr>
        <w:t>прекъсванията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обяд</w:t>
      </w:r>
      <w:proofErr w:type="spellEnd"/>
      <w:r w:rsidRPr="00206534">
        <w:rPr>
          <w:color w:val="222222"/>
          <w:lang w:val="en-US" w:eastAsia="en-US"/>
        </w:rPr>
        <w:t xml:space="preserve"> и </w:t>
      </w:r>
      <w:proofErr w:type="spellStart"/>
      <w:r w:rsidRPr="00206534">
        <w:rPr>
          <w:color w:val="222222"/>
          <w:lang w:val="en-US" w:eastAsia="en-US"/>
        </w:rPr>
        <w:t>планираните</w:t>
      </w:r>
      <w:proofErr w:type="spellEnd"/>
      <w:r w:rsidRPr="00206534">
        <w:rPr>
          <w:color w:val="222222"/>
          <w:lang w:val="en-US" w:eastAsia="en-US"/>
        </w:rPr>
        <w:t xml:space="preserve"> </w:t>
      </w:r>
      <w:proofErr w:type="spellStart"/>
      <w:r w:rsidRPr="00206534">
        <w:rPr>
          <w:color w:val="222222"/>
          <w:lang w:val="en-US" w:eastAsia="en-US"/>
        </w:rPr>
        <w:t>социални</w:t>
      </w:r>
      <w:proofErr w:type="spellEnd"/>
      <w:r w:rsidRPr="00206534">
        <w:rPr>
          <w:color w:val="222222"/>
          <w:lang w:val="en-US" w:eastAsia="en-US"/>
        </w:rPr>
        <w:t xml:space="preserve"> </w:t>
      </w:r>
      <w:proofErr w:type="spellStart"/>
      <w:r w:rsidRPr="00206534">
        <w:rPr>
          <w:color w:val="222222"/>
          <w:lang w:val="en-US" w:eastAsia="en-US"/>
        </w:rPr>
        <w:t>мероприятия</w:t>
      </w:r>
      <w:proofErr w:type="spellEnd"/>
      <w:r w:rsidRPr="00206534">
        <w:rPr>
          <w:color w:val="222222"/>
          <w:lang w:val="en-US" w:eastAsia="en-US"/>
        </w:rPr>
        <w:t>).</w:t>
      </w:r>
    </w:p>
    <w:p w14:paraId="26B88E2F"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 </w:t>
      </w:r>
      <w:proofErr w:type="spellStart"/>
      <w:r w:rsidRPr="00206534">
        <w:rPr>
          <w:color w:val="222222"/>
          <w:lang w:val="en-US" w:eastAsia="en-US"/>
        </w:rPr>
        <w:t>Не</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допуска</w:t>
      </w:r>
      <w:proofErr w:type="spellEnd"/>
      <w:r w:rsidRPr="00206534">
        <w:rPr>
          <w:color w:val="222222"/>
          <w:lang w:val="en-US" w:eastAsia="en-US"/>
        </w:rPr>
        <w:t xml:space="preserve"> </w:t>
      </w:r>
      <w:proofErr w:type="spellStart"/>
      <w:r w:rsidRPr="00206534">
        <w:rPr>
          <w:color w:val="222222"/>
          <w:lang w:val="en-US" w:eastAsia="en-US"/>
        </w:rPr>
        <w:t>изкуствено</w:t>
      </w:r>
      <w:proofErr w:type="spellEnd"/>
      <w:r w:rsidRPr="00206534">
        <w:rPr>
          <w:color w:val="222222"/>
          <w:lang w:val="en-US" w:eastAsia="en-US"/>
        </w:rPr>
        <w:t xml:space="preserve"> </w:t>
      </w:r>
      <w:proofErr w:type="spellStart"/>
      <w:r w:rsidRPr="00206534">
        <w:rPr>
          <w:color w:val="222222"/>
          <w:lang w:val="en-US" w:eastAsia="en-US"/>
        </w:rPr>
        <w:t>разделяне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проекти</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да</w:t>
      </w:r>
      <w:proofErr w:type="spellEnd"/>
      <w:r w:rsidRPr="00206534">
        <w:rPr>
          <w:color w:val="222222"/>
          <w:lang w:val="en-US" w:eastAsia="en-US"/>
        </w:rPr>
        <w:t xml:space="preserve"> </w:t>
      </w:r>
      <w:proofErr w:type="spellStart"/>
      <w:r w:rsidRPr="00206534">
        <w:rPr>
          <w:color w:val="222222"/>
          <w:lang w:val="en-US" w:eastAsia="en-US"/>
        </w:rPr>
        <w:t>бъдат</w:t>
      </w:r>
      <w:proofErr w:type="spellEnd"/>
      <w:r w:rsidRPr="00206534">
        <w:rPr>
          <w:color w:val="222222"/>
          <w:lang w:val="en-US" w:eastAsia="en-US"/>
        </w:rPr>
        <w:t xml:space="preserve"> </w:t>
      </w:r>
      <w:proofErr w:type="spellStart"/>
      <w:r w:rsidRPr="00206534">
        <w:rPr>
          <w:color w:val="222222"/>
          <w:lang w:val="en-US" w:eastAsia="en-US"/>
        </w:rPr>
        <w:t>заобиколени</w:t>
      </w:r>
      <w:proofErr w:type="spellEnd"/>
      <w:r w:rsidRPr="00206534">
        <w:rPr>
          <w:color w:val="222222"/>
          <w:lang w:val="en-US" w:eastAsia="en-US"/>
        </w:rPr>
        <w:t xml:space="preserve"> </w:t>
      </w:r>
      <w:proofErr w:type="spellStart"/>
      <w:r w:rsidRPr="00206534">
        <w:rPr>
          <w:color w:val="222222"/>
          <w:lang w:val="en-US" w:eastAsia="en-US"/>
        </w:rPr>
        <w:t>горните</w:t>
      </w:r>
      <w:proofErr w:type="spellEnd"/>
      <w:r w:rsidRPr="00206534">
        <w:rPr>
          <w:color w:val="222222"/>
          <w:lang w:val="en-US" w:eastAsia="en-US"/>
        </w:rPr>
        <w:t xml:space="preserve"> </w:t>
      </w:r>
      <w:proofErr w:type="spellStart"/>
      <w:r w:rsidRPr="00206534">
        <w:rPr>
          <w:color w:val="222222"/>
          <w:lang w:val="en-US" w:eastAsia="en-US"/>
        </w:rPr>
        <w:t>прагове</w:t>
      </w:r>
      <w:proofErr w:type="spellEnd"/>
      <w:r w:rsidRPr="00206534">
        <w:rPr>
          <w:color w:val="222222"/>
          <w:lang w:val="en-US" w:eastAsia="en-US"/>
        </w:rPr>
        <w:t>.</w:t>
      </w:r>
    </w:p>
    <w:p w14:paraId="11336018" w14:textId="77777777" w:rsidR="002413FB" w:rsidRPr="00206534" w:rsidRDefault="002413FB" w:rsidP="00F762B5">
      <w:pPr>
        <w:shd w:val="clear" w:color="auto" w:fill="FFFFFF"/>
        <w:spacing w:before="120" w:after="120" w:line="276" w:lineRule="auto"/>
        <w:jc w:val="both"/>
        <w:rPr>
          <w:color w:val="222222"/>
          <w:lang w:val="en-US" w:eastAsia="en-US"/>
        </w:rPr>
      </w:pPr>
      <w:proofErr w:type="spellStart"/>
      <w:r w:rsidRPr="00206534">
        <w:rPr>
          <w:color w:val="222222"/>
          <w:lang w:val="en-US" w:eastAsia="en-US"/>
        </w:rPr>
        <w:t>Публичното</w:t>
      </w:r>
      <w:proofErr w:type="spellEnd"/>
      <w:r w:rsidRPr="00206534">
        <w:rPr>
          <w:color w:val="222222"/>
          <w:lang w:val="en-US" w:eastAsia="en-US"/>
        </w:rPr>
        <w:t xml:space="preserve"> </w:t>
      </w:r>
      <w:proofErr w:type="spellStart"/>
      <w:r w:rsidRPr="00206534">
        <w:rPr>
          <w:color w:val="222222"/>
          <w:lang w:val="en-US" w:eastAsia="en-US"/>
        </w:rPr>
        <w:t>финансиране</w:t>
      </w:r>
      <w:proofErr w:type="spellEnd"/>
      <w:r w:rsidRPr="00206534">
        <w:rPr>
          <w:color w:val="222222"/>
          <w:lang w:val="en-US" w:eastAsia="en-US"/>
        </w:rPr>
        <w:t xml:space="preserve"> </w:t>
      </w:r>
      <w:proofErr w:type="spellStart"/>
      <w:r w:rsidRPr="00206534">
        <w:rPr>
          <w:color w:val="222222"/>
          <w:lang w:val="en-US" w:eastAsia="en-US"/>
        </w:rPr>
        <w:t>не</w:t>
      </w:r>
      <w:proofErr w:type="spellEnd"/>
      <w:r w:rsidRPr="00206534">
        <w:rPr>
          <w:color w:val="222222"/>
          <w:lang w:val="en-US" w:eastAsia="en-US"/>
        </w:rPr>
        <w:t xml:space="preserve"> </w:t>
      </w:r>
      <w:proofErr w:type="spellStart"/>
      <w:r w:rsidRPr="00206534">
        <w:rPr>
          <w:color w:val="222222"/>
          <w:lang w:val="en-US" w:eastAsia="en-US"/>
        </w:rPr>
        <w:t>трябва</w:t>
      </w:r>
      <w:proofErr w:type="spellEnd"/>
      <w:r w:rsidRPr="00206534">
        <w:rPr>
          <w:color w:val="222222"/>
          <w:lang w:val="en-US" w:eastAsia="en-US"/>
        </w:rPr>
        <w:t xml:space="preserve"> </w:t>
      </w:r>
      <w:proofErr w:type="spellStart"/>
      <w:r w:rsidRPr="00206534">
        <w:rPr>
          <w:color w:val="222222"/>
          <w:lang w:val="en-US" w:eastAsia="en-US"/>
        </w:rPr>
        <w:t>да</w:t>
      </w:r>
      <w:proofErr w:type="spellEnd"/>
      <w:r w:rsidRPr="00206534">
        <w:rPr>
          <w:color w:val="222222"/>
          <w:lang w:val="en-US" w:eastAsia="en-US"/>
        </w:rPr>
        <w:t xml:space="preserve"> </w:t>
      </w:r>
      <w:proofErr w:type="spellStart"/>
      <w:r w:rsidRPr="00206534">
        <w:rPr>
          <w:color w:val="222222"/>
          <w:lang w:val="en-US" w:eastAsia="en-US"/>
        </w:rPr>
        <w:t>надвишава</w:t>
      </w:r>
      <w:proofErr w:type="spellEnd"/>
      <w:r w:rsidRPr="00206534">
        <w:rPr>
          <w:color w:val="222222"/>
          <w:lang w:val="en-US" w:eastAsia="en-US"/>
        </w:rPr>
        <w:t xml:space="preserve"> 100%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общия</w:t>
      </w:r>
      <w:proofErr w:type="spellEnd"/>
      <w:r w:rsidRPr="00206534">
        <w:rPr>
          <w:color w:val="222222"/>
          <w:lang w:val="en-US" w:eastAsia="en-US"/>
        </w:rPr>
        <w:t xml:space="preserve"> </w:t>
      </w:r>
      <w:proofErr w:type="spellStart"/>
      <w:r w:rsidRPr="00206534">
        <w:rPr>
          <w:color w:val="222222"/>
          <w:lang w:val="en-US" w:eastAsia="en-US"/>
        </w:rPr>
        <w:t>размер</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допустимите</w:t>
      </w:r>
      <w:proofErr w:type="spellEnd"/>
      <w:r w:rsidRPr="00206534">
        <w:rPr>
          <w:color w:val="222222"/>
          <w:lang w:val="en-US" w:eastAsia="en-US"/>
        </w:rPr>
        <w:t xml:space="preserve"> </w:t>
      </w:r>
      <w:proofErr w:type="spellStart"/>
      <w:r w:rsidRPr="00206534">
        <w:rPr>
          <w:color w:val="222222"/>
          <w:lang w:val="en-US" w:eastAsia="en-US"/>
        </w:rPr>
        <w:t>разходи</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проекта</w:t>
      </w:r>
      <w:proofErr w:type="spellEnd"/>
      <w:r w:rsidRPr="00206534">
        <w:rPr>
          <w:color w:val="222222"/>
          <w:lang w:val="en-US" w:eastAsia="en-US"/>
        </w:rPr>
        <w:t>.</w:t>
      </w:r>
    </w:p>
    <w:p w14:paraId="7AFA22FA" w14:textId="77777777" w:rsidR="002413FB" w:rsidRPr="00206534" w:rsidRDefault="002413FB" w:rsidP="00F762B5">
      <w:pPr>
        <w:shd w:val="clear" w:color="auto" w:fill="FFFFFF"/>
        <w:spacing w:before="120" w:after="120" w:line="276" w:lineRule="auto"/>
        <w:jc w:val="both"/>
        <w:rPr>
          <w:color w:val="222222"/>
          <w:lang w:val="en-US" w:eastAsia="en-US"/>
        </w:rPr>
      </w:pPr>
      <w:proofErr w:type="spellStart"/>
      <w:r w:rsidRPr="00206534">
        <w:rPr>
          <w:color w:val="222222"/>
          <w:lang w:val="en-US" w:eastAsia="en-US"/>
        </w:rPr>
        <w:t>Исканата</w:t>
      </w:r>
      <w:proofErr w:type="spellEnd"/>
      <w:r w:rsidRPr="00206534">
        <w:rPr>
          <w:color w:val="222222"/>
          <w:lang w:val="en-US" w:eastAsia="en-US"/>
        </w:rPr>
        <w:t xml:space="preserve"> </w:t>
      </w:r>
      <w:proofErr w:type="spellStart"/>
      <w:r w:rsidRPr="00206534">
        <w:rPr>
          <w:color w:val="222222"/>
          <w:lang w:val="en-US" w:eastAsia="en-US"/>
        </w:rPr>
        <w:t>сума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финансиране</w:t>
      </w:r>
      <w:proofErr w:type="spellEnd"/>
      <w:r w:rsidRPr="00206534">
        <w:rPr>
          <w:color w:val="222222"/>
          <w:lang w:val="en-US" w:eastAsia="en-US"/>
        </w:rPr>
        <w:t xml:space="preserve"> </w:t>
      </w:r>
      <w:proofErr w:type="spellStart"/>
      <w:r w:rsidRPr="00206534">
        <w:rPr>
          <w:color w:val="222222"/>
          <w:lang w:val="en-US" w:eastAsia="en-US"/>
        </w:rPr>
        <w:t>да</w:t>
      </w:r>
      <w:proofErr w:type="spellEnd"/>
      <w:r w:rsidRPr="00206534">
        <w:rPr>
          <w:color w:val="222222"/>
          <w:lang w:val="en-US" w:eastAsia="en-US"/>
        </w:rPr>
        <w:t xml:space="preserve"> е </w:t>
      </w:r>
      <w:proofErr w:type="spellStart"/>
      <w:r w:rsidRPr="00206534">
        <w:rPr>
          <w:color w:val="222222"/>
          <w:lang w:val="en-US" w:eastAsia="en-US"/>
        </w:rPr>
        <w:t>кратна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100.</w:t>
      </w:r>
    </w:p>
    <w:p w14:paraId="691CBBBE" w14:textId="77777777" w:rsidR="002413FB" w:rsidRPr="003858DA" w:rsidRDefault="002413FB" w:rsidP="00F762B5">
      <w:pPr>
        <w:spacing w:line="276" w:lineRule="auto"/>
        <w:rPr>
          <w:b/>
          <w:lang w:val="en-US" w:eastAsia="en-US"/>
        </w:rPr>
      </w:pPr>
      <w:r w:rsidRPr="003858DA">
        <w:rPr>
          <w:b/>
          <w:lang w:val="en-US" w:eastAsia="en-US"/>
        </w:rPr>
        <w:t xml:space="preserve">3.    </w:t>
      </w:r>
      <w:proofErr w:type="spellStart"/>
      <w:r w:rsidRPr="003858DA">
        <w:rPr>
          <w:b/>
          <w:lang w:val="en-US" w:eastAsia="en-US"/>
        </w:rPr>
        <w:t>Срок</w:t>
      </w:r>
      <w:proofErr w:type="spellEnd"/>
      <w:r w:rsidRPr="003858DA">
        <w:rPr>
          <w:b/>
          <w:lang w:val="en-US" w:eastAsia="en-US"/>
        </w:rPr>
        <w:t xml:space="preserve"> </w:t>
      </w:r>
      <w:proofErr w:type="spellStart"/>
      <w:r w:rsidRPr="003858DA">
        <w:rPr>
          <w:b/>
          <w:lang w:val="en-US" w:eastAsia="en-US"/>
        </w:rPr>
        <w:t>за</w:t>
      </w:r>
      <w:proofErr w:type="spellEnd"/>
      <w:r w:rsidRPr="003858DA">
        <w:rPr>
          <w:b/>
          <w:lang w:val="en-US" w:eastAsia="en-US"/>
        </w:rPr>
        <w:t xml:space="preserve"> </w:t>
      </w:r>
      <w:proofErr w:type="spellStart"/>
      <w:r w:rsidRPr="003858DA">
        <w:rPr>
          <w:b/>
          <w:lang w:val="en-US" w:eastAsia="en-US"/>
        </w:rPr>
        <w:t>изпълнение</w:t>
      </w:r>
      <w:proofErr w:type="spellEnd"/>
      <w:r w:rsidRPr="003858DA">
        <w:rPr>
          <w:b/>
          <w:lang w:val="en-US" w:eastAsia="en-US"/>
        </w:rPr>
        <w:t xml:space="preserve"> </w:t>
      </w:r>
      <w:proofErr w:type="spellStart"/>
      <w:r w:rsidRPr="003858DA">
        <w:rPr>
          <w:b/>
          <w:lang w:val="en-US" w:eastAsia="en-US"/>
        </w:rPr>
        <w:t>на</w:t>
      </w:r>
      <w:proofErr w:type="spellEnd"/>
      <w:r w:rsidRPr="003858DA">
        <w:rPr>
          <w:b/>
          <w:lang w:val="en-US" w:eastAsia="en-US"/>
        </w:rPr>
        <w:t xml:space="preserve"> </w:t>
      </w:r>
      <w:proofErr w:type="spellStart"/>
      <w:r w:rsidRPr="003858DA">
        <w:rPr>
          <w:b/>
          <w:lang w:val="en-US" w:eastAsia="en-US"/>
        </w:rPr>
        <w:t>проекта</w:t>
      </w:r>
      <w:proofErr w:type="spellEnd"/>
      <w:r w:rsidRPr="003858DA">
        <w:rPr>
          <w:b/>
          <w:lang w:val="en-US" w:eastAsia="en-US"/>
        </w:rPr>
        <w:t>:</w:t>
      </w:r>
    </w:p>
    <w:p w14:paraId="46BEC815" w14:textId="77777777" w:rsidR="00206534" w:rsidRDefault="002413FB" w:rsidP="00F762B5">
      <w:pPr>
        <w:shd w:val="clear" w:color="auto" w:fill="FFFFFF"/>
        <w:spacing w:before="120" w:after="120" w:line="276" w:lineRule="auto"/>
        <w:jc w:val="both"/>
        <w:rPr>
          <w:color w:val="222222"/>
          <w:lang w:val="en-US" w:eastAsia="en-US"/>
        </w:rPr>
      </w:pPr>
      <w:proofErr w:type="spellStart"/>
      <w:r w:rsidRPr="00206534">
        <w:rPr>
          <w:color w:val="222222"/>
          <w:lang w:val="en-US" w:eastAsia="en-US"/>
        </w:rPr>
        <w:t>Срок</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изпълнение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одобрените</w:t>
      </w:r>
      <w:proofErr w:type="spellEnd"/>
      <w:r w:rsidRPr="00206534">
        <w:rPr>
          <w:color w:val="222222"/>
          <w:lang w:val="en-US" w:eastAsia="en-US"/>
        </w:rPr>
        <w:t xml:space="preserve"> </w:t>
      </w:r>
      <w:proofErr w:type="spellStart"/>
      <w:r w:rsidRPr="00206534">
        <w:rPr>
          <w:color w:val="222222"/>
          <w:lang w:val="en-US" w:eastAsia="en-US"/>
        </w:rPr>
        <w:t>проекти</w:t>
      </w:r>
      <w:proofErr w:type="spellEnd"/>
      <w:r w:rsidRPr="00206534">
        <w:rPr>
          <w:color w:val="222222"/>
          <w:lang w:val="en-US" w:eastAsia="en-US"/>
        </w:rPr>
        <w:t xml:space="preserve">: </w:t>
      </w:r>
      <w:proofErr w:type="spellStart"/>
      <w:r w:rsidRPr="00206534">
        <w:rPr>
          <w:color w:val="222222"/>
          <w:lang w:val="en-US" w:eastAsia="en-US"/>
        </w:rPr>
        <w:t>до</w:t>
      </w:r>
      <w:proofErr w:type="spellEnd"/>
      <w:r w:rsidRPr="00206534">
        <w:rPr>
          <w:color w:val="222222"/>
          <w:lang w:val="en-US" w:eastAsia="en-US"/>
        </w:rPr>
        <w:t> </w:t>
      </w:r>
      <w:r w:rsidRPr="00206534">
        <w:rPr>
          <w:color w:val="222222"/>
          <w:u w:val="single"/>
          <w:lang w:val="en-US" w:eastAsia="en-US"/>
        </w:rPr>
        <w:t xml:space="preserve">1 </w:t>
      </w:r>
      <w:proofErr w:type="spellStart"/>
      <w:r w:rsidRPr="00206534">
        <w:rPr>
          <w:color w:val="222222"/>
          <w:u w:val="single"/>
          <w:lang w:val="en-US" w:eastAsia="en-US"/>
        </w:rPr>
        <w:t>месец</w:t>
      </w:r>
      <w:proofErr w:type="spellEnd"/>
      <w:r w:rsidRPr="00206534">
        <w:rPr>
          <w:color w:val="222222"/>
          <w:lang w:val="en-US" w:eastAsia="en-US"/>
        </w:rPr>
        <w:t xml:space="preserve">, </w:t>
      </w:r>
      <w:proofErr w:type="spellStart"/>
      <w:r w:rsidRPr="00206534">
        <w:rPr>
          <w:color w:val="222222"/>
          <w:lang w:val="en-US" w:eastAsia="en-US"/>
        </w:rPr>
        <w:t>след</w:t>
      </w:r>
      <w:proofErr w:type="spellEnd"/>
      <w:r w:rsidRPr="00206534">
        <w:rPr>
          <w:color w:val="222222"/>
          <w:lang w:val="en-US" w:eastAsia="en-US"/>
        </w:rPr>
        <w:t xml:space="preserve"> </w:t>
      </w:r>
      <w:proofErr w:type="spellStart"/>
      <w:r w:rsidRPr="00206534">
        <w:rPr>
          <w:color w:val="222222"/>
          <w:lang w:val="en-US" w:eastAsia="en-US"/>
        </w:rPr>
        <w:t>приключване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международния</w:t>
      </w:r>
      <w:proofErr w:type="spellEnd"/>
      <w:r w:rsidRPr="00206534">
        <w:rPr>
          <w:color w:val="222222"/>
          <w:lang w:val="en-US" w:eastAsia="en-US"/>
        </w:rPr>
        <w:t xml:space="preserve"> </w:t>
      </w:r>
      <w:proofErr w:type="spellStart"/>
      <w:r w:rsidRPr="00206534">
        <w:rPr>
          <w:color w:val="222222"/>
          <w:lang w:val="en-US" w:eastAsia="en-US"/>
        </w:rPr>
        <w:t>научен</w:t>
      </w:r>
      <w:proofErr w:type="spellEnd"/>
      <w:r w:rsidRPr="00206534">
        <w:rPr>
          <w:color w:val="222222"/>
          <w:lang w:val="en-US" w:eastAsia="en-US"/>
        </w:rPr>
        <w:t xml:space="preserve"> </w:t>
      </w:r>
      <w:proofErr w:type="spellStart"/>
      <w:r w:rsidRPr="00206534">
        <w:rPr>
          <w:color w:val="222222"/>
          <w:lang w:val="en-US" w:eastAsia="en-US"/>
        </w:rPr>
        <w:t>форум</w:t>
      </w:r>
      <w:proofErr w:type="spellEnd"/>
      <w:r w:rsidRPr="00206534">
        <w:rPr>
          <w:color w:val="222222"/>
          <w:lang w:val="en-US" w:eastAsia="en-US"/>
        </w:rPr>
        <w:t xml:space="preserve">, </w:t>
      </w:r>
      <w:proofErr w:type="spellStart"/>
      <w:r w:rsidRPr="00206534">
        <w:rPr>
          <w:color w:val="222222"/>
          <w:lang w:val="en-US" w:eastAsia="en-US"/>
        </w:rPr>
        <w:t>считано</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датата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подписване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договора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финансиране</w:t>
      </w:r>
      <w:proofErr w:type="spellEnd"/>
      <w:r w:rsidRPr="00206534">
        <w:rPr>
          <w:color w:val="222222"/>
          <w:lang w:val="en-US" w:eastAsia="en-US"/>
        </w:rPr>
        <w:t>.</w:t>
      </w:r>
    </w:p>
    <w:p w14:paraId="5F257F81" w14:textId="72DA9624" w:rsidR="002413FB" w:rsidRPr="00206534" w:rsidRDefault="002413FB" w:rsidP="00F762B5">
      <w:pPr>
        <w:shd w:val="clear" w:color="auto" w:fill="FFFFFF"/>
        <w:spacing w:before="120" w:after="120" w:line="276" w:lineRule="auto"/>
        <w:jc w:val="both"/>
        <w:rPr>
          <w:lang w:val="en-US" w:eastAsia="en-US"/>
        </w:rPr>
      </w:pPr>
      <w:r w:rsidRPr="00206534">
        <w:rPr>
          <w:b/>
          <w:bCs/>
          <w:lang w:val="en-US" w:eastAsia="en-US"/>
        </w:rPr>
        <w:t xml:space="preserve">4.    </w:t>
      </w:r>
      <w:proofErr w:type="spellStart"/>
      <w:r w:rsidRPr="00206534">
        <w:rPr>
          <w:b/>
          <w:bCs/>
          <w:lang w:val="en-US" w:eastAsia="en-US"/>
        </w:rPr>
        <w:t>Срок</w:t>
      </w:r>
      <w:proofErr w:type="spellEnd"/>
      <w:r w:rsidRPr="00206534">
        <w:rPr>
          <w:b/>
          <w:bCs/>
          <w:lang w:val="en-US" w:eastAsia="en-US"/>
        </w:rPr>
        <w:t xml:space="preserve"> </w:t>
      </w:r>
      <w:proofErr w:type="spellStart"/>
      <w:r w:rsidRPr="00206534">
        <w:rPr>
          <w:b/>
          <w:bCs/>
          <w:lang w:val="en-US" w:eastAsia="en-US"/>
        </w:rPr>
        <w:t>за</w:t>
      </w:r>
      <w:proofErr w:type="spellEnd"/>
      <w:r w:rsidRPr="00206534">
        <w:rPr>
          <w:b/>
          <w:bCs/>
          <w:lang w:val="en-US" w:eastAsia="en-US"/>
        </w:rPr>
        <w:t xml:space="preserve"> </w:t>
      </w:r>
      <w:proofErr w:type="spellStart"/>
      <w:r w:rsidRPr="00206534">
        <w:rPr>
          <w:b/>
          <w:bCs/>
          <w:lang w:val="en-US" w:eastAsia="en-US"/>
        </w:rPr>
        <w:t>подаване</w:t>
      </w:r>
      <w:proofErr w:type="spellEnd"/>
      <w:r w:rsidRPr="00206534">
        <w:rPr>
          <w:b/>
          <w:bCs/>
          <w:lang w:val="en-US" w:eastAsia="en-US"/>
        </w:rPr>
        <w:t xml:space="preserve"> </w:t>
      </w:r>
      <w:proofErr w:type="spellStart"/>
      <w:r w:rsidRPr="00206534">
        <w:rPr>
          <w:b/>
          <w:bCs/>
          <w:lang w:val="en-US" w:eastAsia="en-US"/>
        </w:rPr>
        <w:t>на</w:t>
      </w:r>
      <w:proofErr w:type="spellEnd"/>
      <w:r w:rsidRPr="00206534">
        <w:rPr>
          <w:b/>
          <w:bCs/>
          <w:lang w:val="en-US" w:eastAsia="en-US"/>
        </w:rPr>
        <w:t xml:space="preserve"> </w:t>
      </w:r>
      <w:proofErr w:type="spellStart"/>
      <w:r w:rsidRPr="00206534">
        <w:rPr>
          <w:b/>
          <w:bCs/>
          <w:lang w:val="en-US" w:eastAsia="en-US"/>
        </w:rPr>
        <w:t>проектните</w:t>
      </w:r>
      <w:proofErr w:type="spellEnd"/>
      <w:r w:rsidRPr="00206534">
        <w:rPr>
          <w:b/>
          <w:bCs/>
          <w:lang w:val="en-US" w:eastAsia="en-US"/>
        </w:rPr>
        <w:t xml:space="preserve"> </w:t>
      </w:r>
      <w:proofErr w:type="spellStart"/>
      <w:r w:rsidRPr="00206534">
        <w:rPr>
          <w:b/>
          <w:bCs/>
          <w:lang w:val="en-US" w:eastAsia="en-US"/>
        </w:rPr>
        <w:t>предложения</w:t>
      </w:r>
      <w:proofErr w:type="spellEnd"/>
    </w:p>
    <w:p w14:paraId="6591C201" w14:textId="77777777" w:rsidR="002413FB" w:rsidRPr="00206534" w:rsidRDefault="002413FB" w:rsidP="00F762B5">
      <w:pPr>
        <w:shd w:val="clear" w:color="auto" w:fill="FFFFFF"/>
        <w:spacing w:before="120" w:after="120" w:line="276" w:lineRule="auto"/>
        <w:jc w:val="both"/>
        <w:rPr>
          <w:color w:val="222222"/>
          <w:lang w:val="en-US" w:eastAsia="en-US"/>
        </w:rPr>
      </w:pPr>
      <w:proofErr w:type="spellStart"/>
      <w:r w:rsidRPr="00206534">
        <w:rPr>
          <w:color w:val="222222"/>
          <w:lang w:val="en-US" w:eastAsia="en-US"/>
        </w:rPr>
        <w:t>Проектните</w:t>
      </w:r>
      <w:proofErr w:type="spellEnd"/>
      <w:r w:rsidRPr="00206534">
        <w:rPr>
          <w:color w:val="222222"/>
          <w:lang w:val="en-US" w:eastAsia="en-US"/>
        </w:rPr>
        <w:t xml:space="preserve"> </w:t>
      </w:r>
      <w:proofErr w:type="spellStart"/>
      <w:r w:rsidRPr="00206534">
        <w:rPr>
          <w:color w:val="222222"/>
          <w:lang w:val="en-US" w:eastAsia="en-US"/>
        </w:rPr>
        <w:t>предложения</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представят</w:t>
      </w:r>
      <w:proofErr w:type="spellEnd"/>
      <w:r w:rsidRPr="00206534">
        <w:rPr>
          <w:color w:val="222222"/>
          <w:lang w:val="en-US" w:eastAsia="en-US"/>
        </w:rPr>
        <w:t xml:space="preserve"> </w:t>
      </w:r>
      <w:proofErr w:type="spellStart"/>
      <w:r w:rsidRPr="00206534">
        <w:rPr>
          <w:color w:val="222222"/>
          <w:lang w:val="en-US" w:eastAsia="en-US"/>
        </w:rPr>
        <w:t>до</w:t>
      </w:r>
      <w:proofErr w:type="spellEnd"/>
      <w:r w:rsidRPr="00206534">
        <w:rPr>
          <w:color w:val="222222"/>
          <w:lang w:val="en-US" w:eastAsia="en-US"/>
        </w:rPr>
        <w:t xml:space="preserve"> 17:30 </w:t>
      </w:r>
      <w:proofErr w:type="spellStart"/>
      <w:r w:rsidRPr="00206534">
        <w:rPr>
          <w:color w:val="222222"/>
          <w:lang w:val="en-US" w:eastAsia="en-US"/>
        </w:rPr>
        <w:t>часа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31.12.2025 г. по </w:t>
      </w:r>
      <w:proofErr w:type="spellStart"/>
      <w:r w:rsidRPr="00206534">
        <w:rPr>
          <w:color w:val="222222"/>
          <w:lang w:val="en-US" w:eastAsia="en-US"/>
        </w:rPr>
        <w:t>електронен</w:t>
      </w:r>
      <w:proofErr w:type="spellEnd"/>
      <w:r w:rsidRPr="00206534">
        <w:rPr>
          <w:color w:val="222222"/>
          <w:lang w:val="en-US" w:eastAsia="en-US"/>
        </w:rPr>
        <w:t xml:space="preserve"> </w:t>
      </w:r>
      <w:proofErr w:type="spellStart"/>
      <w:r w:rsidRPr="00206534">
        <w:rPr>
          <w:color w:val="222222"/>
          <w:lang w:val="en-US" w:eastAsia="en-US"/>
        </w:rPr>
        <w:t>път</w:t>
      </w:r>
      <w:proofErr w:type="spellEnd"/>
      <w:r w:rsidRPr="00206534">
        <w:rPr>
          <w:color w:val="222222"/>
          <w:lang w:val="en-US" w:eastAsia="en-US"/>
        </w:rPr>
        <w:t xml:space="preserve"> </w:t>
      </w:r>
      <w:proofErr w:type="spellStart"/>
      <w:r w:rsidRPr="00206534">
        <w:rPr>
          <w:color w:val="222222"/>
          <w:lang w:val="en-US" w:eastAsia="en-US"/>
        </w:rPr>
        <w:t>към</w:t>
      </w:r>
      <w:proofErr w:type="spellEnd"/>
      <w:r w:rsidRPr="00206534">
        <w:rPr>
          <w:color w:val="222222"/>
          <w:lang w:val="en-US" w:eastAsia="en-US"/>
        </w:rPr>
        <w:t xml:space="preserve"> </w:t>
      </w:r>
      <w:proofErr w:type="spellStart"/>
      <w:r w:rsidRPr="00206534">
        <w:rPr>
          <w:color w:val="222222"/>
          <w:lang w:val="en-US" w:eastAsia="en-US"/>
        </w:rPr>
        <w:t>Фонд</w:t>
      </w:r>
      <w:proofErr w:type="spellEnd"/>
      <w:r w:rsidRPr="00206534">
        <w:rPr>
          <w:color w:val="222222"/>
          <w:lang w:val="en-US" w:eastAsia="en-US"/>
        </w:rPr>
        <w:t xml:space="preserve"> „</w:t>
      </w:r>
      <w:proofErr w:type="spellStart"/>
      <w:r w:rsidRPr="00206534">
        <w:rPr>
          <w:color w:val="222222"/>
          <w:lang w:val="en-US" w:eastAsia="en-US"/>
        </w:rPr>
        <w:t>Научни</w:t>
      </w:r>
      <w:proofErr w:type="spellEnd"/>
      <w:r w:rsidRPr="00206534">
        <w:rPr>
          <w:color w:val="222222"/>
          <w:lang w:val="en-US" w:eastAsia="en-US"/>
        </w:rPr>
        <w:t xml:space="preserve"> </w:t>
      </w:r>
      <w:proofErr w:type="spellStart"/>
      <w:proofErr w:type="gramStart"/>
      <w:r w:rsidRPr="00206534">
        <w:rPr>
          <w:color w:val="222222"/>
          <w:lang w:val="en-US" w:eastAsia="en-US"/>
        </w:rPr>
        <w:t>изследвания</w:t>
      </w:r>
      <w:proofErr w:type="spellEnd"/>
      <w:r w:rsidRPr="00206534">
        <w:rPr>
          <w:color w:val="222222"/>
          <w:lang w:val="en-US" w:eastAsia="en-US"/>
        </w:rPr>
        <w:t>“ в</w:t>
      </w:r>
      <w:proofErr w:type="gramEnd"/>
      <w:r w:rsidRPr="00206534">
        <w:rPr>
          <w:color w:val="222222"/>
          <w:lang w:val="en-US" w:eastAsia="en-US"/>
        </w:rPr>
        <w:t xml:space="preserve"> </w:t>
      </w:r>
      <w:proofErr w:type="spellStart"/>
      <w:r w:rsidRPr="00206534">
        <w:rPr>
          <w:color w:val="222222"/>
          <w:lang w:val="en-US" w:eastAsia="en-US"/>
        </w:rPr>
        <w:t>електронен</w:t>
      </w:r>
      <w:proofErr w:type="spellEnd"/>
      <w:r w:rsidRPr="00206534">
        <w:rPr>
          <w:color w:val="222222"/>
          <w:lang w:val="en-US" w:eastAsia="en-US"/>
        </w:rPr>
        <w:t xml:space="preserve"> </w:t>
      </w:r>
      <w:proofErr w:type="spellStart"/>
      <w:r w:rsidRPr="00206534">
        <w:rPr>
          <w:color w:val="222222"/>
          <w:lang w:val="en-US" w:eastAsia="en-US"/>
        </w:rPr>
        <w:t>формат</w:t>
      </w:r>
      <w:proofErr w:type="spellEnd"/>
      <w:r w:rsidRPr="00206534">
        <w:rPr>
          <w:color w:val="222222"/>
          <w:lang w:val="en-US" w:eastAsia="en-US"/>
        </w:rPr>
        <w:t xml:space="preserve"> </w:t>
      </w:r>
      <w:proofErr w:type="spellStart"/>
      <w:r w:rsidRPr="00206534">
        <w:rPr>
          <w:color w:val="222222"/>
          <w:lang w:val="en-US" w:eastAsia="en-US"/>
        </w:rPr>
        <w:t>чрез</w:t>
      </w:r>
      <w:proofErr w:type="spellEnd"/>
      <w:r w:rsidRPr="00206534">
        <w:rPr>
          <w:color w:val="222222"/>
          <w:lang w:val="en-US" w:eastAsia="en-US"/>
        </w:rPr>
        <w:t xml:space="preserve"> </w:t>
      </w:r>
      <w:proofErr w:type="spellStart"/>
      <w:r w:rsidRPr="00206534">
        <w:rPr>
          <w:color w:val="222222"/>
          <w:lang w:val="en-US" w:eastAsia="en-US"/>
        </w:rPr>
        <w:t>системата</w:t>
      </w:r>
      <w:proofErr w:type="spellEnd"/>
      <w:r w:rsidRPr="00206534">
        <w:rPr>
          <w:color w:val="222222"/>
          <w:lang w:val="en-US" w:eastAsia="en-US"/>
        </w:rPr>
        <w:t xml:space="preserve"> СУНИ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следния</w:t>
      </w:r>
      <w:proofErr w:type="spellEnd"/>
      <w:r w:rsidRPr="00206534">
        <w:rPr>
          <w:color w:val="222222"/>
          <w:lang w:val="en-US" w:eastAsia="en-US"/>
        </w:rPr>
        <w:t xml:space="preserve"> </w:t>
      </w:r>
      <w:proofErr w:type="spellStart"/>
      <w:r w:rsidRPr="00206534">
        <w:rPr>
          <w:color w:val="222222"/>
          <w:lang w:val="en-US" w:eastAsia="en-US"/>
        </w:rPr>
        <w:t>адрес</w:t>
      </w:r>
      <w:proofErr w:type="spellEnd"/>
      <w:r w:rsidRPr="00206534">
        <w:rPr>
          <w:color w:val="222222"/>
          <w:lang w:val="en-US" w:eastAsia="en-US"/>
        </w:rPr>
        <w:t>:</w:t>
      </w:r>
    </w:p>
    <w:p w14:paraId="23CC7D80" w14:textId="77777777" w:rsidR="002413FB" w:rsidRPr="00206534" w:rsidRDefault="002413FB" w:rsidP="00F762B5">
      <w:pPr>
        <w:shd w:val="clear" w:color="auto" w:fill="FFFFFF"/>
        <w:spacing w:before="120" w:after="120" w:line="276" w:lineRule="auto"/>
        <w:jc w:val="both"/>
        <w:rPr>
          <w:color w:val="222222"/>
          <w:lang w:val="en-US" w:eastAsia="en-US"/>
        </w:rPr>
      </w:pPr>
      <w:hyperlink r:id="rId36" w:history="1">
        <w:r w:rsidRPr="00206534">
          <w:rPr>
            <w:color w:val="01487F"/>
            <w:u w:val="single"/>
            <w:lang w:val="en-US" w:eastAsia="en-US"/>
          </w:rPr>
          <w:t>https://enims.egov.bg/bg/s/Default/Index</w:t>
        </w:r>
      </w:hyperlink>
    </w:p>
    <w:p w14:paraId="0C7F16E5" w14:textId="609A3267" w:rsidR="002413FB" w:rsidRPr="00206534" w:rsidRDefault="002413FB" w:rsidP="00F762B5">
      <w:pPr>
        <w:shd w:val="clear" w:color="auto" w:fill="FFFFFF"/>
        <w:spacing w:before="120" w:after="120" w:line="276" w:lineRule="auto"/>
        <w:jc w:val="both"/>
        <w:rPr>
          <w:color w:val="222222"/>
          <w:lang w:val="en-US" w:eastAsia="en-US"/>
        </w:rPr>
      </w:pPr>
      <w:proofErr w:type="spellStart"/>
      <w:r w:rsidRPr="00206534">
        <w:rPr>
          <w:color w:val="222222"/>
          <w:lang w:val="en-US" w:eastAsia="en-US"/>
        </w:rPr>
        <w:t>Документите</w:t>
      </w:r>
      <w:proofErr w:type="spellEnd"/>
      <w:r w:rsidRPr="00206534">
        <w:rPr>
          <w:color w:val="222222"/>
          <w:lang w:val="en-US" w:eastAsia="en-US"/>
        </w:rPr>
        <w:t xml:space="preserve"> </w:t>
      </w:r>
      <w:proofErr w:type="spellStart"/>
      <w:r w:rsidRPr="00206534">
        <w:rPr>
          <w:color w:val="222222"/>
          <w:lang w:val="en-US" w:eastAsia="en-US"/>
        </w:rPr>
        <w:t>следва</w:t>
      </w:r>
      <w:proofErr w:type="spellEnd"/>
      <w:r w:rsidRPr="00206534">
        <w:rPr>
          <w:color w:val="222222"/>
          <w:lang w:val="en-US" w:eastAsia="en-US"/>
        </w:rPr>
        <w:t xml:space="preserve"> </w:t>
      </w:r>
      <w:proofErr w:type="spellStart"/>
      <w:r w:rsidRPr="00206534">
        <w:rPr>
          <w:color w:val="222222"/>
          <w:lang w:val="en-US" w:eastAsia="en-US"/>
        </w:rPr>
        <w:t>да</w:t>
      </w:r>
      <w:proofErr w:type="spellEnd"/>
      <w:r w:rsidRPr="00206534">
        <w:rPr>
          <w:color w:val="222222"/>
          <w:lang w:val="en-US" w:eastAsia="en-US"/>
        </w:rPr>
        <w:t xml:space="preserve"> </w:t>
      </w:r>
      <w:proofErr w:type="spellStart"/>
      <w:r w:rsidRPr="00206534">
        <w:rPr>
          <w:color w:val="222222"/>
          <w:lang w:val="en-US" w:eastAsia="en-US"/>
        </w:rPr>
        <w:t>са</w:t>
      </w:r>
      <w:proofErr w:type="spellEnd"/>
      <w:r w:rsidRPr="00206534">
        <w:rPr>
          <w:color w:val="222222"/>
          <w:lang w:val="en-US" w:eastAsia="en-US"/>
        </w:rPr>
        <w:t xml:space="preserve"> </w:t>
      </w:r>
      <w:proofErr w:type="spellStart"/>
      <w:r w:rsidRPr="00206534">
        <w:rPr>
          <w:color w:val="222222"/>
          <w:lang w:val="en-US" w:eastAsia="en-US"/>
        </w:rPr>
        <w:t>подписани</w:t>
      </w:r>
      <w:proofErr w:type="spellEnd"/>
      <w:r w:rsidRPr="00206534">
        <w:rPr>
          <w:color w:val="222222"/>
          <w:lang w:val="en-US" w:eastAsia="en-US"/>
        </w:rPr>
        <w:t xml:space="preserve"> с </w:t>
      </w:r>
      <w:proofErr w:type="spellStart"/>
      <w:r w:rsidRPr="00206534">
        <w:rPr>
          <w:color w:val="222222"/>
          <w:lang w:val="en-US" w:eastAsia="en-US"/>
        </w:rPr>
        <w:t>електронен</w:t>
      </w:r>
      <w:proofErr w:type="spellEnd"/>
      <w:r w:rsidRPr="00206534">
        <w:rPr>
          <w:color w:val="222222"/>
          <w:lang w:val="en-US" w:eastAsia="en-US"/>
        </w:rPr>
        <w:t xml:space="preserve"> </w:t>
      </w:r>
      <w:proofErr w:type="spellStart"/>
      <w:r w:rsidRPr="00206534">
        <w:rPr>
          <w:color w:val="222222"/>
          <w:lang w:val="en-US" w:eastAsia="en-US"/>
        </w:rPr>
        <w:t>подпис</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ръководителя</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юридическото</w:t>
      </w:r>
      <w:proofErr w:type="spellEnd"/>
      <w:r w:rsidRPr="00206534">
        <w:rPr>
          <w:color w:val="222222"/>
          <w:lang w:val="en-US" w:eastAsia="en-US"/>
        </w:rPr>
        <w:t xml:space="preserve"> </w:t>
      </w:r>
      <w:proofErr w:type="spellStart"/>
      <w:r w:rsidRPr="00206534">
        <w:rPr>
          <w:color w:val="222222"/>
          <w:lang w:val="en-US" w:eastAsia="en-US"/>
        </w:rPr>
        <w:t>лице</w:t>
      </w:r>
      <w:proofErr w:type="spellEnd"/>
      <w:r w:rsidRPr="00206534">
        <w:rPr>
          <w:color w:val="222222"/>
          <w:lang w:val="en-US" w:eastAsia="en-US"/>
        </w:rPr>
        <w:t xml:space="preserve"> - </w:t>
      </w:r>
      <w:proofErr w:type="spellStart"/>
      <w:r w:rsidRPr="00206534">
        <w:rPr>
          <w:color w:val="222222"/>
          <w:lang w:val="en-US" w:eastAsia="en-US"/>
        </w:rPr>
        <w:t>кандидат</w:t>
      </w:r>
      <w:proofErr w:type="spellEnd"/>
      <w:r w:rsidRPr="00206534">
        <w:rPr>
          <w:color w:val="222222"/>
          <w:lang w:val="en-US" w:eastAsia="en-US"/>
        </w:rPr>
        <w:t xml:space="preserve">. </w:t>
      </w:r>
      <w:proofErr w:type="spellStart"/>
      <w:r w:rsidRPr="00206534">
        <w:rPr>
          <w:color w:val="222222"/>
          <w:lang w:val="en-US" w:eastAsia="en-US"/>
        </w:rPr>
        <w:t>Всички</w:t>
      </w:r>
      <w:proofErr w:type="spellEnd"/>
      <w:r w:rsidRPr="00206534">
        <w:rPr>
          <w:color w:val="222222"/>
          <w:lang w:val="en-US" w:eastAsia="en-US"/>
        </w:rPr>
        <w:t xml:space="preserve"> </w:t>
      </w:r>
      <w:proofErr w:type="spellStart"/>
      <w:r w:rsidRPr="00206534">
        <w:rPr>
          <w:color w:val="222222"/>
          <w:lang w:val="en-US" w:eastAsia="en-US"/>
        </w:rPr>
        <w:t>декларации</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прилагат</w:t>
      </w:r>
      <w:proofErr w:type="spellEnd"/>
      <w:r w:rsidRPr="00206534">
        <w:rPr>
          <w:color w:val="222222"/>
          <w:lang w:val="en-US" w:eastAsia="en-US"/>
        </w:rPr>
        <w:t xml:space="preserve"> </w:t>
      </w:r>
      <w:proofErr w:type="spellStart"/>
      <w:r w:rsidRPr="00206534">
        <w:rPr>
          <w:color w:val="222222"/>
          <w:lang w:val="en-US" w:eastAsia="en-US"/>
        </w:rPr>
        <w:t>подписани</w:t>
      </w:r>
      <w:proofErr w:type="spellEnd"/>
      <w:r w:rsidRPr="00206534">
        <w:rPr>
          <w:color w:val="222222"/>
          <w:lang w:val="en-US" w:eastAsia="en-US"/>
        </w:rPr>
        <w:t xml:space="preserve"> и </w:t>
      </w:r>
      <w:proofErr w:type="spellStart"/>
      <w:r w:rsidRPr="00206534">
        <w:rPr>
          <w:color w:val="222222"/>
          <w:lang w:val="en-US" w:eastAsia="en-US"/>
        </w:rPr>
        <w:t>сканирани</w:t>
      </w:r>
      <w:proofErr w:type="spellEnd"/>
      <w:r w:rsidRPr="00206534">
        <w:rPr>
          <w:color w:val="222222"/>
          <w:lang w:val="en-US" w:eastAsia="en-US"/>
        </w:rPr>
        <w:t xml:space="preserve">. </w:t>
      </w:r>
      <w:proofErr w:type="spellStart"/>
      <w:r w:rsidRPr="00206534">
        <w:rPr>
          <w:color w:val="222222"/>
          <w:lang w:val="en-US" w:eastAsia="en-US"/>
        </w:rPr>
        <w:t>При</w:t>
      </w:r>
      <w:proofErr w:type="spellEnd"/>
      <w:r w:rsidRPr="00206534">
        <w:rPr>
          <w:color w:val="222222"/>
          <w:lang w:val="en-US" w:eastAsia="en-US"/>
        </w:rPr>
        <w:t xml:space="preserve"> </w:t>
      </w:r>
      <w:proofErr w:type="spellStart"/>
      <w:r w:rsidRPr="00206534">
        <w:rPr>
          <w:color w:val="222222"/>
          <w:lang w:val="en-US" w:eastAsia="en-US"/>
        </w:rPr>
        <w:t>електронното</w:t>
      </w:r>
      <w:proofErr w:type="spellEnd"/>
      <w:r w:rsidRPr="00206534">
        <w:rPr>
          <w:color w:val="222222"/>
          <w:lang w:val="en-US" w:eastAsia="en-US"/>
        </w:rPr>
        <w:t xml:space="preserve"> </w:t>
      </w:r>
      <w:proofErr w:type="spellStart"/>
      <w:r w:rsidRPr="00206534">
        <w:rPr>
          <w:color w:val="222222"/>
          <w:lang w:val="en-US" w:eastAsia="en-US"/>
        </w:rPr>
        <w:t>подаване</w:t>
      </w:r>
      <w:proofErr w:type="spellEnd"/>
      <w:r w:rsidRPr="00206534">
        <w:rPr>
          <w:color w:val="222222"/>
          <w:lang w:val="en-US" w:eastAsia="en-US"/>
        </w:rPr>
        <w:t xml:space="preserve"> </w:t>
      </w:r>
      <w:proofErr w:type="spellStart"/>
      <w:r w:rsidRPr="00206534">
        <w:rPr>
          <w:color w:val="222222"/>
          <w:lang w:val="en-US" w:eastAsia="en-US"/>
        </w:rPr>
        <w:t>всички</w:t>
      </w:r>
      <w:proofErr w:type="spellEnd"/>
      <w:r w:rsidRPr="00206534">
        <w:rPr>
          <w:color w:val="222222"/>
          <w:lang w:val="en-US" w:eastAsia="en-US"/>
        </w:rPr>
        <w:t xml:space="preserve"> </w:t>
      </w:r>
      <w:proofErr w:type="spellStart"/>
      <w:r w:rsidRPr="00206534">
        <w:rPr>
          <w:color w:val="222222"/>
          <w:lang w:val="en-US" w:eastAsia="en-US"/>
        </w:rPr>
        <w:t>документи</w:t>
      </w:r>
      <w:proofErr w:type="spellEnd"/>
      <w:r w:rsidRPr="00206534">
        <w:rPr>
          <w:color w:val="222222"/>
          <w:lang w:val="en-US" w:eastAsia="en-US"/>
        </w:rPr>
        <w:t xml:space="preserve"> </w:t>
      </w:r>
      <w:proofErr w:type="spellStart"/>
      <w:r w:rsidRPr="00206534">
        <w:rPr>
          <w:color w:val="222222"/>
          <w:lang w:val="en-US" w:eastAsia="en-US"/>
        </w:rPr>
        <w:t>трябва</w:t>
      </w:r>
      <w:proofErr w:type="spellEnd"/>
      <w:r w:rsidRPr="00206534">
        <w:rPr>
          <w:color w:val="222222"/>
          <w:lang w:val="en-US" w:eastAsia="en-US"/>
        </w:rPr>
        <w:t xml:space="preserve"> </w:t>
      </w:r>
      <w:proofErr w:type="spellStart"/>
      <w:r w:rsidRPr="00206534">
        <w:rPr>
          <w:color w:val="222222"/>
          <w:lang w:val="en-US" w:eastAsia="en-US"/>
        </w:rPr>
        <w:t>да</w:t>
      </w:r>
      <w:proofErr w:type="spellEnd"/>
      <w:r w:rsidRPr="00206534">
        <w:rPr>
          <w:color w:val="222222"/>
          <w:lang w:val="en-US" w:eastAsia="en-US"/>
        </w:rPr>
        <w:t xml:space="preserve"> </w:t>
      </w:r>
      <w:proofErr w:type="spellStart"/>
      <w:r w:rsidRPr="00206534">
        <w:rPr>
          <w:color w:val="222222"/>
          <w:lang w:val="en-US" w:eastAsia="en-US"/>
        </w:rPr>
        <w:t>бъдат</w:t>
      </w:r>
      <w:proofErr w:type="spellEnd"/>
      <w:r w:rsidRPr="00206534">
        <w:rPr>
          <w:color w:val="222222"/>
          <w:lang w:val="en-US" w:eastAsia="en-US"/>
        </w:rPr>
        <w:t xml:space="preserve"> </w:t>
      </w:r>
      <w:proofErr w:type="spellStart"/>
      <w:r w:rsidRPr="00206534">
        <w:rPr>
          <w:color w:val="222222"/>
          <w:lang w:val="en-US" w:eastAsia="en-US"/>
        </w:rPr>
        <w:t>подадени</w:t>
      </w:r>
      <w:proofErr w:type="spellEnd"/>
      <w:r w:rsidRPr="00206534">
        <w:rPr>
          <w:color w:val="222222"/>
          <w:lang w:val="en-US" w:eastAsia="en-US"/>
        </w:rPr>
        <w:t xml:space="preserve"> в </w:t>
      </w:r>
      <w:proofErr w:type="spellStart"/>
      <w:r w:rsidRPr="00206534">
        <w:rPr>
          <w:color w:val="222222"/>
          <w:lang w:val="en-US" w:eastAsia="en-US"/>
        </w:rPr>
        <w:t>съответните</w:t>
      </w:r>
      <w:proofErr w:type="spellEnd"/>
      <w:r w:rsidRPr="00206534">
        <w:rPr>
          <w:color w:val="222222"/>
          <w:lang w:val="en-US" w:eastAsia="en-US"/>
        </w:rPr>
        <w:t xml:space="preserve"> </w:t>
      </w:r>
      <w:proofErr w:type="spellStart"/>
      <w:r w:rsidRPr="00206534">
        <w:rPr>
          <w:color w:val="222222"/>
          <w:lang w:val="en-US" w:eastAsia="en-US"/>
        </w:rPr>
        <w:t>позиции</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формата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електронно</w:t>
      </w:r>
      <w:proofErr w:type="spellEnd"/>
      <w:r w:rsidRPr="00206534">
        <w:rPr>
          <w:color w:val="222222"/>
          <w:lang w:val="en-US" w:eastAsia="en-US"/>
        </w:rPr>
        <w:t xml:space="preserve"> </w:t>
      </w:r>
      <w:proofErr w:type="spellStart"/>
      <w:r w:rsidRPr="00206534">
        <w:rPr>
          <w:color w:val="222222"/>
          <w:lang w:val="en-US" w:eastAsia="en-US"/>
        </w:rPr>
        <w:t>подаване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проектните</w:t>
      </w:r>
      <w:proofErr w:type="spellEnd"/>
      <w:r w:rsidRPr="00206534">
        <w:rPr>
          <w:color w:val="222222"/>
          <w:lang w:val="en-US" w:eastAsia="en-US"/>
        </w:rPr>
        <w:t xml:space="preserve"> </w:t>
      </w:r>
      <w:proofErr w:type="spellStart"/>
      <w:r w:rsidRPr="00206534">
        <w:rPr>
          <w:color w:val="222222"/>
          <w:lang w:val="en-US" w:eastAsia="en-US"/>
        </w:rPr>
        <w:t>предложения</w:t>
      </w:r>
      <w:proofErr w:type="spellEnd"/>
      <w:r w:rsidRPr="00206534">
        <w:rPr>
          <w:color w:val="222222"/>
          <w:lang w:val="en-US" w:eastAsia="en-US"/>
        </w:rPr>
        <w:t xml:space="preserve">. </w:t>
      </w:r>
      <w:proofErr w:type="spellStart"/>
      <w:r w:rsidRPr="00206534">
        <w:rPr>
          <w:color w:val="222222"/>
          <w:lang w:val="en-US" w:eastAsia="en-US"/>
        </w:rPr>
        <w:t>Крайното</w:t>
      </w:r>
      <w:proofErr w:type="spellEnd"/>
      <w:r w:rsidRPr="00206534">
        <w:rPr>
          <w:color w:val="222222"/>
          <w:lang w:val="en-US" w:eastAsia="en-US"/>
        </w:rPr>
        <w:t xml:space="preserve"> </w:t>
      </w:r>
      <w:proofErr w:type="spellStart"/>
      <w:r w:rsidRPr="00206534">
        <w:rPr>
          <w:color w:val="222222"/>
          <w:lang w:val="en-US" w:eastAsia="en-US"/>
        </w:rPr>
        <w:t>подаване</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извършва</w:t>
      </w:r>
      <w:proofErr w:type="spellEnd"/>
      <w:r w:rsidRPr="00206534">
        <w:rPr>
          <w:color w:val="222222"/>
          <w:lang w:val="en-US" w:eastAsia="en-US"/>
        </w:rPr>
        <w:t xml:space="preserve"> </w:t>
      </w:r>
      <w:proofErr w:type="spellStart"/>
      <w:r w:rsidRPr="00206534">
        <w:rPr>
          <w:color w:val="222222"/>
          <w:lang w:val="en-US" w:eastAsia="en-US"/>
        </w:rPr>
        <w:t>чрез</w:t>
      </w:r>
      <w:proofErr w:type="spellEnd"/>
      <w:r w:rsidRPr="00206534">
        <w:rPr>
          <w:color w:val="222222"/>
          <w:lang w:val="en-US" w:eastAsia="en-US"/>
        </w:rPr>
        <w:t xml:space="preserve"> </w:t>
      </w:r>
      <w:proofErr w:type="spellStart"/>
      <w:r w:rsidRPr="00206534">
        <w:rPr>
          <w:color w:val="222222"/>
          <w:lang w:val="en-US" w:eastAsia="en-US"/>
        </w:rPr>
        <w:t>използване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електронен</w:t>
      </w:r>
      <w:proofErr w:type="spellEnd"/>
      <w:r w:rsidRPr="00206534">
        <w:rPr>
          <w:color w:val="222222"/>
          <w:lang w:val="en-US" w:eastAsia="en-US"/>
        </w:rPr>
        <w:t xml:space="preserve"> </w:t>
      </w:r>
      <w:proofErr w:type="spellStart"/>
      <w:r w:rsidRPr="00206534">
        <w:rPr>
          <w:color w:val="222222"/>
          <w:lang w:val="en-US" w:eastAsia="en-US"/>
        </w:rPr>
        <w:t>подпис</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ръководителя</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юридическото</w:t>
      </w:r>
      <w:proofErr w:type="spellEnd"/>
      <w:r w:rsidRPr="00206534">
        <w:rPr>
          <w:color w:val="222222"/>
          <w:lang w:val="en-US" w:eastAsia="en-US"/>
        </w:rPr>
        <w:t xml:space="preserve"> </w:t>
      </w:r>
      <w:proofErr w:type="spellStart"/>
      <w:r w:rsidRPr="00206534">
        <w:rPr>
          <w:color w:val="222222"/>
          <w:lang w:val="en-US" w:eastAsia="en-US"/>
        </w:rPr>
        <w:t>лице</w:t>
      </w:r>
      <w:proofErr w:type="spellEnd"/>
      <w:r w:rsidRPr="00206534">
        <w:rPr>
          <w:color w:val="222222"/>
          <w:lang w:val="en-US" w:eastAsia="en-US"/>
        </w:rPr>
        <w:t xml:space="preserve"> - </w:t>
      </w:r>
      <w:proofErr w:type="spellStart"/>
      <w:r w:rsidRPr="00206534">
        <w:rPr>
          <w:color w:val="222222"/>
          <w:lang w:val="en-US" w:eastAsia="en-US"/>
        </w:rPr>
        <w:t>кандидат</w:t>
      </w:r>
      <w:proofErr w:type="spellEnd"/>
      <w:r w:rsidRPr="00206534">
        <w:rPr>
          <w:color w:val="222222"/>
          <w:lang w:val="en-US" w:eastAsia="en-US"/>
        </w:rPr>
        <w:t xml:space="preserve"> и е </w:t>
      </w:r>
      <w:proofErr w:type="spellStart"/>
      <w:r w:rsidRPr="00206534">
        <w:rPr>
          <w:color w:val="222222"/>
          <w:lang w:val="en-US" w:eastAsia="en-US"/>
        </w:rPr>
        <w:t>описано</w:t>
      </w:r>
      <w:proofErr w:type="spellEnd"/>
      <w:r w:rsidRPr="00206534">
        <w:rPr>
          <w:color w:val="222222"/>
          <w:lang w:val="en-US" w:eastAsia="en-US"/>
        </w:rPr>
        <w:t xml:space="preserve"> в </w:t>
      </w:r>
      <w:proofErr w:type="spellStart"/>
      <w:r w:rsidRPr="00206534">
        <w:rPr>
          <w:color w:val="222222"/>
          <w:lang w:val="en-US" w:eastAsia="en-US"/>
        </w:rPr>
        <w:t>техническите</w:t>
      </w:r>
      <w:proofErr w:type="spellEnd"/>
      <w:r w:rsidRPr="00206534">
        <w:rPr>
          <w:color w:val="222222"/>
          <w:lang w:val="en-US" w:eastAsia="en-US"/>
        </w:rPr>
        <w:t xml:space="preserve"> </w:t>
      </w:r>
      <w:proofErr w:type="spellStart"/>
      <w:r w:rsidRPr="00206534">
        <w:rPr>
          <w:color w:val="222222"/>
          <w:lang w:val="en-US" w:eastAsia="en-US"/>
        </w:rPr>
        <w:t>указания</w:t>
      </w:r>
      <w:proofErr w:type="spellEnd"/>
      <w:r w:rsidRPr="00206534">
        <w:rPr>
          <w:color w:val="222222"/>
          <w:lang w:val="en-US" w:eastAsia="en-US"/>
        </w:rPr>
        <w:t xml:space="preserve"> (</w:t>
      </w:r>
      <w:proofErr w:type="spellStart"/>
      <w:r w:rsidRPr="00206534">
        <w:rPr>
          <w:color w:val="222222"/>
          <w:lang w:val="en-US" w:eastAsia="en-US"/>
        </w:rPr>
        <w:t>отделен</w:t>
      </w:r>
      <w:proofErr w:type="spellEnd"/>
      <w:r w:rsidRPr="00206534">
        <w:rPr>
          <w:color w:val="222222"/>
          <w:lang w:val="en-US" w:eastAsia="en-US"/>
        </w:rPr>
        <w:t xml:space="preserve"> </w:t>
      </w:r>
      <w:proofErr w:type="spellStart"/>
      <w:r w:rsidRPr="00206534">
        <w:rPr>
          <w:color w:val="222222"/>
          <w:lang w:val="en-US" w:eastAsia="en-US"/>
        </w:rPr>
        <w:t>файл</w:t>
      </w:r>
      <w:proofErr w:type="spellEnd"/>
      <w:r w:rsidRPr="00206534">
        <w:rPr>
          <w:color w:val="222222"/>
          <w:lang w:val="en-US" w:eastAsia="en-US"/>
        </w:rPr>
        <w:t>).</w:t>
      </w:r>
    </w:p>
    <w:p w14:paraId="029E079E" w14:textId="77777777" w:rsidR="002413FB" w:rsidRPr="00206534" w:rsidRDefault="002413FB" w:rsidP="00F762B5">
      <w:pPr>
        <w:shd w:val="clear" w:color="auto" w:fill="FFFFFF"/>
        <w:spacing w:before="120" w:after="120" w:line="276" w:lineRule="auto"/>
        <w:jc w:val="both"/>
        <w:rPr>
          <w:color w:val="222222"/>
          <w:lang w:val="en-US" w:eastAsia="en-US"/>
        </w:rPr>
      </w:pPr>
      <w:proofErr w:type="spellStart"/>
      <w:r w:rsidRPr="00206534">
        <w:rPr>
          <w:color w:val="222222"/>
          <w:lang w:val="en-US" w:eastAsia="en-US"/>
        </w:rPr>
        <w:t>Проектното</w:t>
      </w:r>
      <w:proofErr w:type="spellEnd"/>
      <w:r w:rsidRPr="00206534">
        <w:rPr>
          <w:color w:val="222222"/>
          <w:lang w:val="en-US" w:eastAsia="en-US"/>
        </w:rPr>
        <w:t xml:space="preserve"> </w:t>
      </w:r>
      <w:proofErr w:type="spellStart"/>
      <w:r w:rsidRPr="00206534">
        <w:rPr>
          <w:color w:val="222222"/>
          <w:lang w:val="en-US" w:eastAsia="en-US"/>
        </w:rPr>
        <w:t>предложение</w:t>
      </w:r>
      <w:proofErr w:type="spellEnd"/>
      <w:r w:rsidRPr="00206534">
        <w:rPr>
          <w:color w:val="222222"/>
          <w:lang w:val="en-US" w:eastAsia="en-US"/>
        </w:rPr>
        <w:t xml:space="preserve"> </w:t>
      </w:r>
      <w:proofErr w:type="spellStart"/>
      <w:r w:rsidRPr="00206534">
        <w:rPr>
          <w:color w:val="222222"/>
          <w:lang w:val="en-US" w:eastAsia="en-US"/>
        </w:rPr>
        <w:t>включва</w:t>
      </w:r>
      <w:proofErr w:type="spellEnd"/>
      <w:r w:rsidRPr="00206534">
        <w:rPr>
          <w:color w:val="222222"/>
          <w:lang w:val="en-US" w:eastAsia="en-US"/>
        </w:rPr>
        <w:t xml:space="preserve"> </w:t>
      </w:r>
      <w:proofErr w:type="spellStart"/>
      <w:r w:rsidRPr="00206534">
        <w:rPr>
          <w:color w:val="222222"/>
          <w:lang w:val="en-US" w:eastAsia="en-US"/>
        </w:rPr>
        <w:t>административно</w:t>
      </w:r>
      <w:proofErr w:type="spellEnd"/>
      <w:r w:rsidRPr="00206534">
        <w:rPr>
          <w:color w:val="222222"/>
          <w:lang w:val="en-US" w:eastAsia="en-US"/>
        </w:rPr>
        <w:t xml:space="preserve"> </w:t>
      </w:r>
      <w:proofErr w:type="spellStart"/>
      <w:r w:rsidRPr="00206534">
        <w:rPr>
          <w:color w:val="222222"/>
          <w:lang w:val="en-US" w:eastAsia="en-US"/>
        </w:rPr>
        <w:t>описание</w:t>
      </w:r>
      <w:proofErr w:type="spellEnd"/>
      <w:r w:rsidRPr="00206534">
        <w:rPr>
          <w:color w:val="222222"/>
          <w:lang w:val="en-US" w:eastAsia="en-US"/>
        </w:rPr>
        <w:t xml:space="preserve"> и </w:t>
      </w:r>
      <w:proofErr w:type="spellStart"/>
      <w:r w:rsidRPr="00206534">
        <w:rPr>
          <w:color w:val="222222"/>
          <w:lang w:val="en-US" w:eastAsia="en-US"/>
        </w:rPr>
        <w:t>съответните</w:t>
      </w:r>
      <w:proofErr w:type="spellEnd"/>
      <w:r w:rsidRPr="00206534">
        <w:rPr>
          <w:color w:val="222222"/>
          <w:lang w:val="en-US" w:eastAsia="en-US"/>
        </w:rPr>
        <w:t xml:space="preserve"> </w:t>
      </w:r>
      <w:proofErr w:type="spellStart"/>
      <w:r w:rsidRPr="00206534">
        <w:rPr>
          <w:color w:val="222222"/>
          <w:lang w:val="en-US" w:eastAsia="en-US"/>
        </w:rPr>
        <w:t>приложения</w:t>
      </w:r>
      <w:proofErr w:type="spellEnd"/>
      <w:r w:rsidRPr="00206534">
        <w:rPr>
          <w:color w:val="222222"/>
          <w:lang w:val="en-US" w:eastAsia="en-US"/>
        </w:rPr>
        <w:t xml:space="preserve"> </w:t>
      </w:r>
      <w:proofErr w:type="spellStart"/>
      <w:r w:rsidRPr="00206534">
        <w:rPr>
          <w:color w:val="222222"/>
          <w:lang w:val="en-US" w:eastAsia="en-US"/>
        </w:rPr>
        <w:t>към</w:t>
      </w:r>
      <w:proofErr w:type="spellEnd"/>
      <w:r w:rsidRPr="00206534">
        <w:rPr>
          <w:color w:val="222222"/>
          <w:lang w:val="en-US" w:eastAsia="en-US"/>
        </w:rPr>
        <w:t xml:space="preserve"> </w:t>
      </w:r>
      <w:proofErr w:type="spellStart"/>
      <w:r w:rsidRPr="00206534">
        <w:rPr>
          <w:color w:val="222222"/>
          <w:lang w:val="en-US" w:eastAsia="en-US"/>
        </w:rPr>
        <w:t>него</w:t>
      </w:r>
      <w:proofErr w:type="spellEnd"/>
      <w:r w:rsidRPr="00206534">
        <w:rPr>
          <w:color w:val="222222"/>
          <w:lang w:val="en-US" w:eastAsia="en-US"/>
        </w:rPr>
        <w:t xml:space="preserve">, </w:t>
      </w:r>
      <w:proofErr w:type="spellStart"/>
      <w:r w:rsidRPr="00206534">
        <w:rPr>
          <w:color w:val="222222"/>
          <w:lang w:val="en-US" w:eastAsia="en-US"/>
        </w:rPr>
        <w:t>както</w:t>
      </w:r>
      <w:proofErr w:type="spellEnd"/>
      <w:r w:rsidRPr="00206534">
        <w:rPr>
          <w:color w:val="222222"/>
          <w:lang w:val="en-US" w:eastAsia="en-US"/>
        </w:rPr>
        <w:t xml:space="preserve"> </w:t>
      </w:r>
      <w:proofErr w:type="spellStart"/>
      <w:r w:rsidRPr="00206534">
        <w:rPr>
          <w:color w:val="222222"/>
          <w:lang w:val="en-US" w:eastAsia="en-US"/>
        </w:rPr>
        <w:t>следва</w:t>
      </w:r>
      <w:proofErr w:type="spellEnd"/>
      <w:r w:rsidRPr="00206534">
        <w:rPr>
          <w:color w:val="222222"/>
          <w:lang w:val="en-US" w:eastAsia="en-US"/>
        </w:rPr>
        <w:t>:</w:t>
      </w:r>
    </w:p>
    <w:p w14:paraId="65F6A550" w14:textId="77777777" w:rsidR="002413FB" w:rsidRPr="00206534" w:rsidRDefault="002413FB" w:rsidP="005D1D65">
      <w:pPr>
        <w:numPr>
          <w:ilvl w:val="0"/>
          <w:numId w:val="13"/>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Административно</w:t>
      </w:r>
      <w:proofErr w:type="spellEnd"/>
      <w:r w:rsidRPr="00206534">
        <w:rPr>
          <w:color w:val="222222"/>
          <w:lang w:val="en-US" w:eastAsia="en-US"/>
        </w:rPr>
        <w:t xml:space="preserve"> </w:t>
      </w:r>
      <w:proofErr w:type="spellStart"/>
      <w:r w:rsidRPr="00206534">
        <w:rPr>
          <w:color w:val="222222"/>
          <w:lang w:val="en-US" w:eastAsia="en-US"/>
        </w:rPr>
        <w:t>описание</w:t>
      </w:r>
      <w:proofErr w:type="spellEnd"/>
      <w:r w:rsidRPr="00206534">
        <w:rPr>
          <w:color w:val="222222"/>
          <w:lang w:val="en-US" w:eastAsia="en-US"/>
        </w:rPr>
        <w:t xml:space="preserve"> (</w:t>
      </w:r>
      <w:proofErr w:type="spellStart"/>
      <w:r w:rsidRPr="00206534">
        <w:rPr>
          <w:color w:val="222222"/>
          <w:lang w:val="en-US" w:eastAsia="en-US"/>
        </w:rPr>
        <w:t>формуляр</w:t>
      </w:r>
      <w:proofErr w:type="spellEnd"/>
      <w:r w:rsidRPr="00206534">
        <w:rPr>
          <w:color w:val="222222"/>
          <w:lang w:val="en-US" w:eastAsia="en-US"/>
        </w:rPr>
        <w:t>)</w:t>
      </w:r>
    </w:p>
    <w:p w14:paraId="4230EBF1" w14:textId="77777777" w:rsidR="002413FB" w:rsidRPr="00206534" w:rsidRDefault="002413FB" w:rsidP="00F762B5">
      <w:pPr>
        <w:shd w:val="clear" w:color="auto" w:fill="FFFFFF"/>
        <w:spacing w:before="120" w:after="120" w:line="276" w:lineRule="auto"/>
        <w:jc w:val="both"/>
        <w:rPr>
          <w:color w:val="222222"/>
          <w:lang w:val="en-US" w:eastAsia="en-US"/>
        </w:rPr>
      </w:pPr>
      <w:proofErr w:type="spellStart"/>
      <w:r w:rsidRPr="00206534">
        <w:rPr>
          <w:color w:val="222222"/>
          <w:lang w:val="en-US" w:eastAsia="en-US"/>
        </w:rPr>
        <w:t>Формулярът</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подава</w:t>
      </w:r>
      <w:proofErr w:type="spellEnd"/>
      <w:r w:rsidRPr="00206534">
        <w:rPr>
          <w:color w:val="222222"/>
          <w:lang w:val="en-US" w:eastAsia="en-US"/>
        </w:rPr>
        <w:t xml:space="preserve"> </w:t>
      </w:r>
      <w:proofErr w:type="spellStart"/>
      <w:r w:rsidRPr="00206534">
        <w:rPr>
          <w:color w:val="222222"/>
          <w:lang w:val="en-US" w:eastAsia="en-US"/>
        </w:rPr>
        <w:t>или</w:t>
      </w:r>
      <w:proofErr w:type="spellEnd"/>
      <w:r w:rsidRPr="00206534">
        <w:rPr>
          <w:color w:val="222222"/>
          <w:lang w:val="en-US" w:eastAsia="en-US"/>
        </w:rPr>
        <w:t xml:space="preserve"> </w:t>
      </w:r>
      <w:proofErr w:type="spellStart"/>
      <w:r w:rsidRPr="00206534">
        <w:rPr>
          <w:color w:val="222222"/>
          <w:lang w:val="en-US" w:eastAsia="en-US"/>
        </w:rPr>
        <w:t>електронно</w:t>
      </w:r>
      <w:proofErr w:type="spellEnd"/>
      <w:r w:rsidRPr="00206534">
        <w:rPr>
          <w:color w:val="222222"/>
          <w:lang w:val="en-US" w:eastAsia="en-US"/>
        </w:rPr>
        <w:t xml:space="preserve"> </w:t>
      </w:r>
      <w:proofErr w:type="spellStart"/>
      <w:r w:rsidRPr="00206534">
        <w:rPr>
          <w:color w:val="222222"/>
          <w:lang w:val="en-US" w:eastAsia="en-US"/>
        </w:rPr>
        <w:t>подписан</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ръководителя</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БО и </w:t>
      </w:r>
      <w:proofErr w:type="spellStart"/>
      <w:r w:rsidRPr="00206534">
        <w:rPr>
          <w:color w:val="222222"/>
          <w:lang w:val="en-US" w:eastAsia="en-US"/>
        </w:rPr>
        <w:t>ръководителя</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форума</w:t>
      </w:r>
      <w:proofErr w:type="spellEnd"/>
      <w:r w:rsidRPr="00206534">
        <w:rPr>
          <w:color w:val="222222"/>
          <w:lang w:val="en-US" w:eastAsia="en-US"/>
        </w:rPr>
        <w:t xml:space="preserve">, </w:t>
      </w:r>
      <w:proofErr w:type="spellStart"/>
      <w:r w:rsidRPr="00206534">
        <w:rPr>
          <w:color w:val="222222"/>
          <w:lang w:val="en-US" w:eastAsia="en-US"/>
        </w:rPr>
        <w:t>или</w:t>
      </w:r>
      <w:proofErr w:type="spellEnd"/>
      <w:r w:rsidRPr="00206534">
        <w:rPr>
          <w:color w:val="222222"/>
          <w:lang w:val="en-US" w:eastAsia="en-US"/>
        </w:rPr>
        <w:t xml:space="preserve"> </w:t>
      </w:r>
      <w:proofErr w:type="spellStart"/>
      <w:r w:rsidRPr="00206534">
        <w:rPr>
          <w:color w:val="222222"/>
          <w:lang w:val="en-US" w:eastAsia="en-US"/>
        </w:rPr>
        <w:t>като</w:t>
      </w:r>
      <w:proofErr w:type="spellEnd"/>
      <w:r w:rsidRPr="00206534">
        <w:rPr>
          <w:color w:val="222222"/>
          <w:lang w:val="en-US" w:eastAsia="en-US"/>
        </w:rPr>
        <w:t xml:space="preserve"> </w:t>
      </w:r>
      <w:proofErr w:type="spellStart"/>
      <w:r w:rsidRPr="00206534">
        <w:rPr>
          <w:color w:val="222222"/>
          <w:lang w:val="en-US" w:eastAsia="en-US"/>
        </w:rPr>
        <w:t>сканирано</w:t>
      </w:r>
      <w:proofErr w:type="spellEnd"/>
      <w:r w:rsidRPr="00206534">
        <w:rPr>
          <w:color w:val="222222"/>
          <w:lang w:val="en-US" w:eastAsia="en-US"/>
        </w:rPr>
        <w:t xml:space="preserve"> </w:t>
      </w:r>
      <w:proofErr w:type="spellStart"/>
      <w:r w:rsidRPr="00206534">
        <w:rPr>
          <w:color w:val="222222"/>
          <w:lang w:val="en-US" w:eastAsia="en-US"/>
        </w:rPr>
        <w:t>копие</w:t>
      </w:r>
      <w:proofErr w:type="spellEnd"/>
      <w:r w:rsidRPr="00206534">
        <w:rPr>
          <w:color w:val="222222"/>
          <w:lang w:val="en-US" w:eastAsia="en-US"/>
        </w:rPr>
        <w:t xml:space="preserve"> </w:t>
      </w:r>
      <w:proofErr w:type="spellStart"/>
      <w:r w:rsidRPr="00206534">
        <w:rPr>
          <w:color w:val="222222"/>
          <w:lang w:val="en-US" w:eastAsia="en-US"/>
        </w:rPr>
        <w:t>със</w:t>
      </w:r>
      <w:proofErr w:type="spellEnd"/>
      <w:r w:rsidRPr="00206534">
        <w:rPr>
          <w:color w:val="222222"/>
          <w:lang w:val="en-US" w:eastAsia="en-US"/>
        </w:rPr>
        <w:t xml:space="preserve"> </w:t>
      </w:r>
      <w:proofErr w:type="spellStart"/>
      <w:r w:rsidRPr="00206534">
        <w:rPr>
          <w:color w:val="222222"/>
          <w:lang w:val="en-US" w:eastAsia="en-US"/>
        </w:rPr>
        <w:t>съответните</w:t>
      </w:r>
      <w:proofErr w:type="spellEnd"/>
      <w:r w:rsidRPr="00206534">
        <w:rPr>
          <w:color w:val="222222"/>
          <w:lang w:val="en-US" w:eastAsia="en-US"/>
        </w:rPr>
        <w:t xml:space="preserve"> </w:t>
      </w:r>
      <w:proofErr w:type="spellStart"/>
      <w:r w:rsidRPr="00206534">
        <w:rPr>
          <w:color w:val="222222"/>
          <w:lang w:val="en-US" w:eastAsia="en-US"/>
        </w:rPr>
        <w:t>подписи</w:t>
      </w:r>
      <w:proofErr w:type="spellEnd"/>
      <w:r w:rsidRPr="00206534">
        <w:rPr>
          <w:color w:val="222222"/>
          <w:lang w:val="en-US" w:eastAsia="en-US"/>
        </w:rPr>
        <w:t xml:space="preserve"> и </w:t>
      </w:r>
      <w:proofErr w:type="spellStart"/>
      <w:r w:rsidRPr="00206534">
        <w:rPr>
          <w:color w:val="222222"/>
          <w:lang w:val="en-US" w:eastAsia="en-US"/>
        </w:rPr>
        <w:t>печат</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базовата</w:t>
      </w:r>
      <w:proofErr w:type="spellEnd"/>
      <w:r w:rsidRPr="00206534">
        <w:rPr>
          <w:color w:val="222222"/>
          <w:lang w:val="en-US" w:eastAsia="en-US"/>
        </w:rPr>
        <w:t xml:space="preserve"> </w:t>
      </w:r>
      <w:proofErr w:type="spellStart"/>
      <w:r w:rsidRPr="00206534">
        <w:rPr>
          <w:color w:val="222222"/>
          <w:lang w:val="en-US" w:eastAsia="en-US"/>
        </w:rPr>
        <w:t>организация</w:t>
      </w:r>
      <w:proofErr w:type="spellEnd"/>
      <w:r w:rsidRPr="00206534">
        <w:rPr>
          <w:color w:val="222222"/>
          <w:lang w:val="en-US" w:eastAsia="en-US"/>
        </w:rPr>
        <w:t xml:space="preserve">. </w:t>
      </w:r>
      <w:proofErr w:type="spellStart"/>
      <w:r w:rsidRPr="00206534">
        <w:rPr>
          <w:color w:val="222222"/>
          <w:lang w:val="en-US" w:eastAsia="en-US"/>
        </w:rPr>
        <w:t>Всички</w:t>
      </w:r>
      <w:proofErr w:type="spellEnd"/>
      <w:r w:rsidRPr="00206534">
        <w:rPr>
          <w:color w:val="222222"/>
          <w:lang w:val="en-US" w:eastAsia="en-US"/>
        </w:rPr>
        <w:t xml:space="preserve"> </w:t>
      </w:r>
      <w:proofErr w:type="spellStart"/>
      <w:r w:rsidRPr="00206534">
        <w:rPr>
          <w:color w:val="222222"/>
          <w:lang w:val="en-US" w:eastAsia="en-US"/>
        </w:rPr>
        <w:t>останали</w:t>
      </w:r>
      <w:proofErr w:type="spellEnd"/>
      <w:r w:rsidRPr="00206534">
        <w:rPr>
          <w:color w:val="222222"/>
          <w:lang w:val="en-US" w:eastAsia="en-US"/>
        </w:rPr>
        <w:t xml:space="preserve"> </w:t>
      </w:r>
      <w:proofErr w:type="spellStart"/>
      <w:r w:rsidRPr="00206534">
        <w:rPr>
          <w:color w:val="222222"/>
          <w:lang w:val="en-US" w:eastAsia="en-US"/>
        </w:rPr>
        <w:t>документи</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прилагат</w:t>
      </w:r>
      <w:proofErr w:type="spellEnd"/>
      <w:r w:rsidRPr="00206534">
        <w:rPr>
          <w:color w:val="222222"/>
          <w:lang w:val="en-US" w:eastAsia="en-US"/>
        </w:rPr>
        <w:t xml:space="preserve"> </w:t>
      </w:r>
      <w:proofErr w:type="spellStart"/>
      <w:r w:rsidRPr="00206534">
        <w:rPr>
          <w:color w:val="222222"/>
          <w:lang w:val="en-US" w:eastAsia="en-US"/>
        </w:rPr>
        <w:t>или</w:t>
      </w:r>
      <w:proofErr w:type="spellEnd"/>
      <w:r w:rsidRPr="00206534">
        <w:rPr>
          <w:color w:val="222222"/>
          <w:lang w:val="en-US" w:eastAsia="en-US"/>
        </w:rPr>
        <w:t xml:space="preserve"> </w:t>
      </w:r>
      <w:proofErr w:type="spellStart"/>
      <w:r w:rsidRPr="00206534">
        <w:rPr>
          <w:color w:val="222222"/>
          <w:lang w:val="en-US" w:eastAsia="en-US"/>
        </w:rPr>
        <w:t>електронно</w:t>
      </w:r>
      <w:proofErr w:type="spellEnd"/>
      <w:r w:rsidRPr="00206534">
        <w:rPr>
          <w:color w:val="222222"/>
          <w:lang w:val="en-US" w:eastAsia="en-US"/>
        </w:rPr>
        <w:t xml:space="preserve"> </w:t>
      </w:r>
      <w:proofErr w:type="spellStart"/>
      <w:r w:rsidRPr="00206534">
        <w:rPr>
          <w:color w:val="222222"/>
          <w:lang w:val="en-US" w:eastAsia="en-US"/>
        </w:rPr>
        <w:t>подписани</w:t>
      </w:r>
      <w:proofErr w:type="spellEnd"/>
      <w:r w:rsidRPr="00206534">
        <w:rPr>
          <w:color w:val="222222"/>
          <w:lang w:val="en-US" w:eastAsia="en-US"/>
        </w:rPr>
        <w:t xml:space="preserve">, </w:t>
      </w:r>
      <w:proofErr w:type="spellStart"/>
      <w:r w:rsidRPr="00206534">
        <w:rPr>
          <w:color w:val="222222"/>
          <w:lang w:val="en-US" w:eastAsia="en-US"/>
        </w:rPr>
        <w:t>или</w:t>
      </w:r>
      <w:proofErr w:type="spellEnd"/>
      <w:r w:rsidRPr="00206534">
        <w:rPr>
          <w:color w:val="222222"/>
          <w:lang w:val="en-US" w:eastAsia="en-US"/>
        </w:rPr>
        <w:t xml:space="preserve"> </w:t>
      </w:r>
      <w:proofErr w:type="spellStart"/>
      <w:r w:rsidRPr="00206534">
        <w:rPr>
          <w:color w:val="222222"/>
          <w:lang w:val="en-US" w:eastAsia="en-US"/>
        </w:rPr>
        <w:t>сканирани</w:t>
      </w:r>
      <w:proofErr w:type="spellEnd"/>
      <w:r w:rsidRPr="00206534">
        <w:rPr>
          <w:color w:val="222222"/>
          <w:lang w:val="en-US" w:eastAsia="en-US"/>
        </w:rPr>
        <w:t xml:space="preserve">. </w:t>
      </w:r>
      <w:proofErr w:type="spellStart"/>
      <w:r w:rsidRPr="00206534">
        <w:rPr>
          <w:color w:val="222222"/>
          <w:lang w:val="en-US" w:eastAsia="en-US"/>
        </w:rPr>
        <w:t>При</w:t>
      </w:r>
      <w:proofErr w:type="spellEnd"/>
      <w:r w:rsidRPr="00206534">
        <w:rPr>
          <w:color w:val="222222"/>
          <w:lang w:val="en-US" w:eastAsia="en-US"/>
        </w:rPr>
        <w:t xml:space="preserve"> </w:t>
      </w:r>
      <w:proofErr w:type="spellStart"/>
      <w:r w:rsidRPr="00206534">
        <w:rPr>
          <w:color w:val="222222"/>
          <w:lang w:val="en-US" w:eastAsia="en-US"/>
        </w:rPr>
        <w:t>електронното</w:t>
      </w:r>
      <w:proofErr w:type="spellEnd"/>
      <w:r w:rsidRPr="00206534">
        <w:rPr>
          <w:color w:val="222222"/>
          <w:lang w:val="en-US" w:eastAsia="en-US"/>
        </w:rPr>
        <w:t xml:space="preserve"> </w:t>
      </w:r>
      <w:proofErr w:type="spellStart"/>
      <w:r w:rsidRPr="00206534">
        <w:rPr>
          <w:color w:val="222222"/>
          <w:lang w:val="en-US" w:eastAsia="en-US"/>
        </w:rPr>
        <w:t>подаване</w:t>
      </w:r>
      <w:proofErr w:type="spellEnd"/>
      <w:r w:rsidRPr="00206534">
        <w:rPr>
          <w:color w:val="222222"/>
          <w:lang w:val="en-US" w:eastAsia="en-US"/>
        </w:rPr>
        <w:t xml:space="preserve"> </w:t>
      </w:r>
      <w:proofErr w:type="spellStart"/>
      <w:r w:rsidRPr="00206534">
        <w:rPr>
          <w:color w:val="222222"/>
          <w:lang w:val="en-US" w:eastAsia="en-US"/>
        </w:rPr>
        <w:t>всички</w:t>
      </w:r>
      <w:proofErr w:type="spellEnd"/>
      <w:r w:rsidRPr="00206534">
        <w:rPr>
          <w:color w:val="222222"/>
          <w:lang w:val="en-US" w:eastAsia="en-US"/>
        </w:rPr>
        <w:t xml:space="preserve"> </w:t>
      </w:r>
      <w:proofErr w:type="spellStart"/>
      <w:r w:rsidRPr="00206534">
        <w:rPr>
          <w:color w:val="222222"/>
          <w:lang w:val="en-US" w:eastAsia="en-US"/>
        </w:rPr>
        <w:t>документи</w:t>
      </w:r>
      <w:proofErr w:type="spellEnd"/>
      <w:r w:rsidRPr="00206534">
        <w:rPr>
          <w:color w:val="222222"/>
          <w:lang w:val="en-US" w:eastAsia="en-US"/>
        </w:rPr>
        <w:t xml:space="preserve"> </w:t>
      </w:r>
      <w:proofErr w:type="spellStart"/>
      <w:r w:rsidRPr="00206534">
        <w:rPr>
          <w:color w:val="222222"/>
          <w:lang w:val="en-US" w:eastAsia="en-US"/>
        </w:rPr>
        <w:t>трябва</w:t>
      </w:r>
      <w:proofErr w:type="spellEnd"/>
      <w:r w:rsidRPr="00206534">
        <w:rPr>
          <w:color w:val="222222"/>
          <w:lang w:val="en-US" w:eastAsia="en-US"/>
        </w:rPr>
        <w:t xml:space="preserve"> </w:t>
      </w:r>
      <w:proofErr w:type="spellStart"/>
      <w:r w:rsidRPr="00206534">
        <w:rPr>
          <w:color w:val="222222"/>
          <w:lang w:val="en-US" w:eastAsia="en-US"/>
        </w:rPr>
        <w:t>да</w:t>
      </w:r>
      <w:proofErr w:type="spellEnd"/>
      <w:r w:rsidRPr="00206534">
        <w:rPr>
          <w:color w:val="222222"/>
          <w:lang w:val="en-US" w:eastAsia="en-US"/>
        </w:rPr>
        <w:t xml:space="preserve"> </w:t>
      </w:r>
      <w:proofErr w:type="spellStart"/>
      <w:r w:rsidRPr="00206534">
        <w:rPr>
          <w:color w:val="222222"/>
          <w:lang w:val="en-US" w:eastAsia="en-US"/>
        </w:rPr>
        <w:t>бъдат</w:t>
      </w:r>
      <w:proofErr w:type="spellEnd"/>
      <w:r w:rsidRPr="00206534">
        <w:rPr>
          <w:color w:val="222222"/>
          <w:lang w:val="en-US" w:eastAsia="en-US"/>
        </w:rPr>
        <w:t xml:space="preserve"> </w:t>
      </w:r>
      <w:proofErr w:type="spellStart"/>
      <w:r w:rsidRPr="00206534">
        <w:rPr>
          <w:color w:val="222222"/>
          <w:lang w:val="en-US" w:eastAsia="en-US"/>
        </w:rPr>
        <w:t>подадени</w:t>
      </w:r>
      <w:proofErr w:type="spellEnd"/>
      <w:r w:rsidRPr="00206534">
        <w:rPr>
          <w:color w:val="222222"/>
          <w:lang w:val="en-US" w:eastAsia="en-US"/>
        </w:rPr>
        <w:t xml:space="preserve"> в </w:t>
      </w:r>
      <w:proofErr w:type="spellStart"/>
      <w:r w:rsidRPr="00206534">
        <w:rPr>
          <w:color w:val="222222"/>
          <w:lang w:val="en-US" w:eastAsia="en-US"/>
        </w:rPr>
        <w:t>съответните</w:t>
      </w:r>
      <w:proofErr w:type="spellEnd"/>
      <w:r w:rsidRPr="00206534">
        <w:rPr>
          <w:color w:val="222222"/>
          <w:lang w:val="en-US" w:eastAsia="en-US"/>
        </w:rPr>
        <w:t xml:space="preserve"> </w:t>
      </w:r>
      <w:proofErr w:type="spellStart"/>
      <w:r w:rsidRPr="00206534">
        <w:rPr>
          <w:color w:val="222222"/>
          <w:lang w:val="en-US" w:eastAsia="en-US"/>
        </w:rPr>
        <w:t>позиции</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формата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електронно</w:t>
      </w:r>
      <w:proofErr w:type="spellEnd"/>
      <w:r w:rsidRPr="00206534">
        <w:rPr>
          <w:color w:val="222222"/>
          <w:lang w:val="en-US" w:eastAsia="en-US"/>
        </w:rPr>
        <w:t xml:space="preserve"> </w:t>
      </w:r>
      <w:proofErr w:type="spellStart"/>
      <w:r w:rsidRPr="00206534">
        <w:rPr>
          <w:color w:val="222222"/>
          <w:lang w:val="en-US" w:eastAsia="en-US"/>
        </w:rPr>
        <w:t>подаване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проектните</w:t>
      </w:r>
      <w:proofErr w:type="spellEnd"/>
      <w:r w:rsidRPr="00206534">
        <w:rPr>
          <w:color w:val="222222"/>
          <w:lang w:val="en-US" w:eastAsia="en-US"/>
        </w:rPr>
        <w:t xml:space="preserve"> </w:t>
      </w:r>
      <w:proofErr w:type="spellStart"/>
      <w:r w:rsidRPr="00206534">
        <w:rPr>
          <w:color w:val="222222"/>
          <w:lang w:val="en-US" w:eastAsia="en-US"/>
        </w:rPr>
        <w:t>предложения</w:t>
      </w:r>
      <w:proofErr w:type="spellEnd"/>
      <w:r w:rsidRPr="00206534">
        <w:rPr>
          <w:color w:val="222222"/>
          <w:lang w:val="en-US" w:eastAsia="en-US"/>
        </w:rPr>
        <w:t>.</w:t>
      </w:r>
    </w:p>
    <w:p w14:paraId="69D85C62" w14:textId="77777777" w:rsidR="002413FB" w:rsidRPr="00206534" w:rsidRDefault="002413FB" w:rsidP="005D1D65">
      <w:pPr>
        <w:numPr>
          <w:ilvl w:val="0"/>
          <w:numId w:val="14"/>
        </w:numPr>
        <w:shd w:val="clear" w:color="auto" w:fill="FFFFFF"/>
        <w:spacing w:before="120" w:after="120" w:line="276" w:lineRule="auto"/>
        <w:jc w:val="both"/>
        <w:rPr>
          <w:color w:val="222222"/>
          <w:lang w:val="en-US" w:eastAsia="en-US"/>
        </w:rPr>
      </w:pPr>
      <w:proofErr w:type="spellStart"/>
      <w:r w:rsidRPr="00206534">
        <w:rPr>
          <w:color w:val="222222"/>
          <w:lang w:val="en-US" w:eastAsia="en-US"/>
        </w:rPr>
        <w:t>Финансов</w:t>
      </w:r>
      <w:proofErr w:type="spellEnd"/>
      <w:r w:rsidRPr="00206534">
        <w:rPr>
          <w:color w:val="222222"/>
          <w:lang w:val="en-US" w:eastAsia="en-US"/>
        </w:rPr>
        <w:t xml:space="preserve"> </w:t>
      </w:r>
      <w:proofErr w:type="spellStart"/>
      <w:r w:rsidRPr="00206534">
        <w:rPr>
          <w:color w:val="222222"/>
          <w:lang w:val="en-US" w:eastAsia="en-US"/>
        </w:rPr>
        <w:t>план</w:t>
      </w:r>
      <w:proofErr w:type="spellEnd"/>
      <w:r w:rsidRPr="00206534">
        <w:rPr>
          <w:color w:val="222222"/>
          <w:lang w:val="en-US" w:eastAsia="en-US"/>
        </w:rPr>
        <w:t xml:space="preserve"> (по </w:t>
      </w:r>
      <w:proofErr w:type="spellStart"/>
      <w:r w:rsidRPr="00206534">
        <w:rPr>
          <w:color w:val="222222"/>
          <w:lang w:val="en-US" w:eastAsia="en-US"/>
        </w:rPr>
        <w:t>образец</w:t>
      </w:r>
      <w:proofErr w:type="spellEnd"/>
      <w:r w:rsidRPr="00206534">
        <w:rPr>
          <w:color w:val="222222"/>
          <w:lang w:val="en-US" w:eastAsia="en-US"/>
        </w:rPr>
        <w:t xml:space="preserve">), </w:t>
      </w:r>
      <w:proofErr w:type="spellStart"/>
      <w:r w:rsidRPr="00206534">
        <w:rPr>
          <w:color w:val="222222"/>
          <w:lang w:val="en-US" w:eastAsia="en-US"/>
        </w:rPr>
        <w:t>включващ</w:t>
      </w:r>
      <w:proofErr w:type="spellEnd"/>
      <w:r w:rsidRPr="00206534">
        <w:rPr>
          <w:color w:val="222222"/>
          <w:lang w:val="en-US" w:eastAsia="en-US"/>
        </w:rPr>
        <w:t xml:space="preserve"> </w:t>
      </w:r>
      <w:proofErr w:type="spellStart"/>
      <w:r w:rsidRPr="00206534">
        <w:rPr>
          <w:color w:val="222222"/>
          <w:lang w:val="en-US" w:eastAsia="en-US"/>
        </w:rPr>
        <w:t>разпределение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финансовите</w:t>
      </w:r>
      <w:proofErr w:type="spellEnd"/>
      <w:r w:rsidRPr="00206534">
        <w:rPr>
          <w:color w:val="222222"/>
          <w:lang w:val="en-US" w:eastAsia="en-US"/>
        </w:rPr>
        <w:t xml:space="preserve"> </w:t>
      </w:r>
      <w:proofErr w:type="spellStart"/>
      <w:r w:rsidRPr="00206534">
        <w:rPr>
          <w:color w:val="222222"/>
          <w:lang w:val="en-US" w:eastAsia="en-US"/>
        </w:rPr>
        <w:t>средства</w:t>
      </w:r>
      <w:proofErr w:type="spellEnd"/>
      <w:r w:rsidRPr="00206534">
        <w:rPr>
          <w:color w:val="222222"/>
          <w:lang w:val="en-US" w:eastAsia="en-US"/>
        </w:rPr>
        <w:t xml:space="preserve"> по </w:t>
      </w:r>
      <w:proofErr w:type="spellStart"/>
      <w:r w:rsidRPr="00206534">
        <w:rPr>
          <w:color w:val="222222"/>
          <w:lang w:val="en-US" w:eastAsia="en-US"/>
        </w:rPr>
        <w:t>пера</w:t>
      </w:r>
      <w:proofErr w:type="spellEnd"/>
      <w:r w:rsidRPr="00206534">
        <w:rPr>
          <w:color w:val="222222"/>
          <w:lang w:val="en-US" w:eastAsia="en-US"/>
        </w:rPr>
        <w:t xml:space="preserve">, </w:t>
      </w:r>
      <w:proofErr w:type="spellStart"/>
      <w:r w:rsidRPr="00206534">
        <w:rPr>
          <w:color w:val="222222"/>
          <w:lang w:val="en-US" w:eastAsia="en-US"/>
        </w:rPr>
        <w:t>придружен</w:t>
      </w:r>
      <w:proofErr w:type="spellEnd"/>
      <w:r w:rsidRPr="00206534">
        <w:rPr>
          <w:color w:val="222222"/>
          <w:lang w:val="en-US" w:eastAsia="en-US"/>
        </w:rPr>
        <w:t xml:space="preserve"> с </w:t>
      </w:r>
      <w:proofErr w:type="spellStart"/>
      <w:r w:rsidRPr="00206534">
        <w:rPr>
          <w:color w:val="222222"/>
          <w:lang w:val="en-US" w:eastAsia="en-US"/>
        </w:rPr>
        <w:t>подробна</w:t>
      </w:r>
      <w:proofErr w:type="spellEnd"/>
      <w:r w:rsidRPr="00206534">
        <w:rPr>
          <w:color w:val="222222"/>
          <w:lang w:val="en-US" w:eastAsia="en-US"/>
        </w:rPr>
        <w:t xml:space="preserve"> </w:t>
      </w:r>
      <w:proofErr w:type="spellStart"/>
      <w:r w:rsidRPr="00206534">
        <w:rPr>
          <w:color w:val="222222"/>
          <w:lang w:val="en-US" w:eastAsia="en-US"/>
        </w:rPr>
        <w:t>финансова</w:t>
      </w:r>
      <w:proofErr w:type="spellEnd"/>
      <w:r w:rsidRPr="00206534">
        <w:rPr>
          <w:color w:val="222222"/>
          <w:lang w:val="en-US" w:eastAsia="en-US"/>
        </w:rPr>
        <w:t xml:space="preserve"> </w:t>
      </w:r>
      <w:proofErr w:type="spellStart"/>
      <w:r w:rsidRPr="00206534">
        <w:rPr>
          <w:color w:val="222222"/>
          <w:lang w:val="en-US" w:eastAsia="en-US"/>
        </w:rPr>
        <w:t>обосновка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исканите</w:t>
      </w:r>
      <w:proofErr w:type="spellEnd"/>
      <w:r w:rsidRPr="00206534">
        <w:rPr>
          <w:color w:val="222222"/>
          <w:lang w:val="en-US" w:eastAsia="en-US"/>
        </w:rPr>
        <w:t xml:space="preserve"> </w:t>
      </w:r>
      <w:proofErr w:type="spellStart"/>
      <w:r w:rsidRPr="00206534">
        <w:rPr>
          <w:color w:val="222222"/>
          <w:lang w:val="en-US" w:eastAsia="en-US"/>
        </w:rPr>
        <w:t>средства</w:t>
      </w:r>
      <w:proofErr w:type="spellEnd"/>
      <w:r w:rsidRPr="00206534">
        <w:rPr>
          <w:color w:val="222222"/>
          <w:lang w:val="en-US" w:eastAsia="en-US"/>
        </w:rPr>
        <w:t xml:space="preserve"> и </w:t>
      </w:r>
      <w:proofErr w:type="spellStart"/>
      <w:r w:rsidRPr="00206534">
        <w:rPr>
          <w:color w:val="222222"/>
          <w:lang w:val="en-US" w:eastAsia="en-US"/>
        </w:rPr>
        <w:t>видовете</w:t>
      </w:r>
      <w:proofErr w:type="spellEnd"/>
      <w:r w:rsidRPr="00206534">
        <w:rPr>
          <w:color w:val="222222"/>
          <w:lang w:val="en-US" w:eastAsia="en-US"/>
        </w:rPr>
        <w:t xml:space="preserve"> </w:t>
      </w:r>
      <w:proofErr w:type="spellStart"/>
      <w:r w:rsidRPr="00206534">
        <w:rPr>
          <w:color w:val="222222"/>
          <w:lang w:val="en-US" w:eastAsia="en-US"/>
        </w:rPr>
        <w:t>дейности</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които</w:t>
      </w:r>
      <w:proofErr w:type="spellEnd"/>
      <w:r w:rsidRPr="00206534">
        <w:rPr>
          <w:color w:val="222222"/>
          <w:lang w:val="en-US" w:eastAsia="en-US"/>
        </w:rPr>
        <w:t xml:space="preserve"> </w:t>
      </w:r>
      <w:proofErr w:type="spellStart"/>
      <w:r w:rsidRPr="00206534">
        <w:rPr>
          <w:color w:val="222222"/>
          <w:lang w:val="en-US" w:eastAsia="en-US"/>
        </w:rPr>
        <w:t>те</w:t>
      </w:r>
      <w:proofErr w:type="spellEnd"/>
      <w:r w:rsidRPr="00206534">
        <w:rPr>
          <w:color w:val="222222"/>
          <w:lang w:val="en-US" w:eastAsia="en-US"/>
        </w:rPr>
        <w:t xml:space="preserve"> </w:t>
      </w:r>
      <w:proofErr w:type="spellStart"/>
      <w:r w:rsidRPr="00206534">
        <w:rPr>
          <w:color w:val="222222"/>
          <w:lang w:val="en-US" w:eastAsia="en-US"/>
        </w:rPr>
        <w:t>ще</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използват</w:t>
      </w:r>
      <w:proofErr w:type="spellEnd"/>
      <w:r w:rsidRPr="00206534">
        <w:rPr>
          <w:color w:val="222222"/>
          <w:lang w:val="en-US" w:eastAsia="en-US"/>
        </w:rPr>
        <w:t>.</w:t>
      </w:r>
    </w:p>
    <w:p w14:paraId="2C5D01A8" w14:textId="77777777" w:rsidR="002413FB" w:rsidRPr="00206534" w:rsidRDefault="002413FB" w:rsidP="005D1D65">
      <w:pPr>
        <w:numPr>
          <w:ilvl w:val="0"/>
          <w:numId w:val="14"/>
        </w:numPr>
        <w:shd w:val="clear" w:color="auto" w:fill="FFFFFF"/>
        <w:spacing w:before="120" w:after="120" w:line="276" w:lineRule="auto"/>
        <w:jc w:val="both"/>
        <w:rPr>
          <w:color w:val="222222"/>
          <w:lang w:val="en-US" w:eastAsia="en-US"/>
        </w:rPr>
      </w:pPr>
      <w:proofErr w:type="spellStart"/>
      <w:r w:rsidRPr="00206534">
        <w:rPr>
          <w:color w:val="222222"/>
          <w:lang w:val="en-US" w:eastAsia="en-US"/>
        </w:rPr>
        <w:t>Структурирана</w:t>
      </w:r>
      <w:proofErr w:type="spellEnd"/>
      <w:r w:rsidRPr="00206534">
        <w:rPr>
          <w:color w:val="222222"/>
          <w:lang w:val="en-US" w:eastAsia="en-US"/>
        </w:rPr>
        <w:t xml:space="preserve"> </w:t>
      </w:r>
      <w:proofErr w:type="spellStart"/>
      <w:r w:rsidRPr="00206534">
        <w:rPr>
          <w:color w:val="222222"/>
          <w:lang w:val="en-US" w:eastAsia="en-US"/>
        </w:rPr>
        <w:t>програма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форума</w:t>
      </w:r>
      <w:proofErr w:type="spellEnd"/>
      <w:r w:rsidRPr="00206534">
        <w:rPr>
          <w:color w:val="222222"/>
          <w:lang w:val="en-US" w:eastAsia="en-US"/>
        </w:rPr>
        <w:t>.</w:t>
      </w:r>
    </w:p>
    <w:p w14:paraId="07154CA5" w14:textId="77777777" w:rsidR="002413FB" w:rsidRPr="00206534" w:rsidRDefault="002413FB" w:rsidP="005D1D65">
      <w:pPr>
        <w:numPr>
          <w:ilvl w:val="0"/>
          <w:numId w:val="14"/>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Пълен</w:t>
      </w:r>
      <w:proofErr w:type="spellEnd"/>
      <w:r w:rsidRPr="00206534">
        <w:rPr>
          <w:color w:val="222222"/>
          <w:lang w:val="en-US" w:eastAsia="en-US"/>
        </w:rPr>
        <w:t xml:space="preserve"> </w:t>
      </w:r>
      <w:proofErr w:type="spellStart"/>
      <w:r w:rsidRPr="00206534">
        <w:rPr>
          <w:color w:val="222222"/>
          <w:lang w:val="en-US" w:eastAsia="en-US"/>
        </w:rPr>
        <w:t>списък</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очакваните</w:t>
      </w:r>
      <w:proofErr w:type="spellEnd"/>
      <w:r w:rsidRPr="00206534">
        <w:rPr>
          <w:color w:val="222222"/>
          <w:lang w:val="en-US" w:eastAsia="en-US"/>
        </w:rPr>
        <w:t xml:space="preserve"> </w:t>
      </w:r>
      <w:proofErr w:type="spellStart"/>
      <w:r w:rsidRPr="00206534">
        <w:rPr>
          <w:color w:val="222222"/>
          <w:lang w:val="en-US" w:eastAsia="en-US"/>
        </w:rPr>
        <w:t>участници</w:t>
      </w:r>
      <w:proofErr w:type="spellEnd"/>
      <w:r w:rsidRPr="00206534">
        <w:rPr>
          <w:color w:val="222222"/>
          <w:lang w:val="en-US" w:eastAsia="en-US"/>
        </w:rPr>
        <w:t xml:space="preserve"> </w:t>
      </w:r>
      <w:proofErr w:type="spellStart"/>
      <w:r w:rsidRPr="00206534">
        <w:rPr>
          <w:color w:val="222222"/>
          <w:lang w:val="en-US" w:eastAsia="en-US"/>
        </w:rPr>
        <w:t>във</w:t>
      </w:r>
      <w:proofErr w:type="spellEnd"/>
      <w:r w:rsidRPr="00206534">
        <w:rPr>
          <w:color w:val="222222"/>
          <w:lang w:val="en-US" w:eastAsia="en-US"/>
        </w:rPr>
        <w:t xml:space="preserve"> </w:t>
      </w:r>
      <w:proofErr w:type="spellStart"/>
      <w:r w:rsidRPr="00206534">
        <w:rPr>
          <w:color w:val="222222"/>
          <w:lang w:val="en-US" w:eastAsia="en-US"/>
        </w:rPr>
        <w:t>форума</w:t>
      </w:r>
      <w:proofErr w:type="spellEnd"/>
      <w:r w:rsidRPr="00206534">
        <w:rPr>
          <w:color w:val="222222"/>
          <w:lang w:val="en-US" w:eastAsia="en-US"/>
        </w:rPr>
        <w:t xml:space="preserve"> (с </w:t>
      </w:r>
      <w:proofErr w:type="spellStart"/>
      <w:r w:rsidRPr="00206534">
        <w:rPr>
          <w:color w:val="222222"/>
          <w:lang w:val="en-US" w:eastAsia="en-US"/>
        </w:rPr>
        <w:t>техните</w:t>
      </w:r>
      <w:proofErr w:type="spellEnd"/>
      <w:r w:rsidRPr="00206534">
        <w:rPr>
          <w:color w:val="222222"/>
          <w:lang w:val="en-US" w:eastAsia="en-US"/>
        </w:rPr>
        <w:t xml:space="preserve"> </w:t>
      </w:r>
      <w:proofErr w:type="spellStart"/>
      <w:r w:rsidRPr="00206534">
        <w:rPr>
          <w:color w:val="222222"/>
          <w:lang w:val="en-US" w:eastAsia="en-US"/>
        </w:rPr>
        <w:t>имена</w:t>
      </w:r>
      <w:proofErr w:type="spellEnd"/>
      <w:r w:rsidRPr="00206534">
        <w:rPr>
          <w:color w:val="222222"/>
          <w:lang w:val="en-US" w:eastAsia="en-US"/>
        </w:rPr>
        <w:t xml:space="preserve">, </w:t>
      </w:r>
      <w:proofErr w:type="spellStart"/>
      <w:r w:rsidRPr="00206534">
        <w:rPr>
          <w:color w:val="222222"/>
          <w:lang w:val="en-US" w:eastAsia="en-US"/>
        </w:rPr>
        <w:t>месторабота</w:t>
      </w:r>
      <w:proofErr w:type="spellEnd"/>
      <w:r w:rsidRPr="00206534">
        <w:rPr>
          <w:color w:val="222222"/>
          <w:lang w:val="en-US" w:eastAsia="en-US"/>
        </w:rPr>
        <w:t xml:space="preserve"> и </w:t>
      </w:r>
      <w:proofErr w:type="spellStart"/>
      <w:r w:rsidRPr="00206534">
        <w:rPr>
          <w:color w:val="222222"/>
          <w:lang w:val="en-US" w:eastAsia="en-US"/>
        </w:rPr>
        <w:t>адрес</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електронна</w:t>
      </w:r>
      <w:proofErr w:type="spellEnd"/>
      <w:r w:rsidRPr="00206534">
        <w:rPr>
          <w:color w:val="222222"/>
          <w:lang w:val="en-US" w:eastAsia="en-US"/>
        </w:rPr>
        <w:t xml:space="preserve"> </w:t>
      </w:r>
      <w:proofErr w:type="spellStart"/>
      <w:r w:rsidRPr="00206534">
        <w:rPr>
          <w:color w:val="222222"/>
          <w:lang w:val="en-US" w:eastAsia="en-US"/>
        </w:rPr>
        <w:t>поща</w:t>
      </w:r>
      <w:proofErr w:type="spellEnd"/>
      <w:r w:rsidRPr="00206534">
        <w:rPr>
          <w:color w:val="222222"/>
          <w:lang w:val="en-US" w:eastAsia="en-US"/>
        </w:rPr>
        <w:t>).</w:t>
      </w:r>
    </w:p>
    <w:p w14:paraId="572A1BC6" w14:textId="77777777" w:rsidR="002413FB" w:rsidRPr="00206534" w:rsidRDefault="002413FB" w:rsidP="005D1D65">
      <w:pPr>
        <w:numPr>
          <w:ilvl w:val="0"/>
          <w:numId w:val="14"/>
        </w:numPr>
        <w:shd w:val="clear" w:color="auto" w:fill="FFFFFF"/>
        <w:spacing w:before="120" w:after="120" w:line="276" w:lineRule="auto"/>
        <w:jc w:val="both"/>
        <w:rPr>
          <w:color w:val="222222"/>
          <w:lang w:val="en-US" w:eastAsia="en-US"/>
        </w:rPr>
      </w:pPr>
      <w:proofErr w:type="spellStart"/>
      <w:r w:rsidRPr="00206534">
        <w:rPr>
          <w:color w:val="222222"/>
          <w:lang w:val="en-US" w:eastAsia="en-US"/>
        </w:rPr>
        <w:t>Списък</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докладчиците</w:t>
      </w:r>
      <w:proofErr w:type="spellEnd"/>
      <w:r w:rsidRPr="00206534">
        <w:rPr>
          <w:color w:val="222222"/>
          <w:lang w:val="en-US" w:eastAsia="en-US"/>
        </w:rPr>
        <w:t xml:space="preserve"> (с </w:t>
      </w:r>
      <w:proofErr w:type="spellStart"/>
      <w:r w:rsidRPr="00206534">
        <w:rPr>
          <w:color w:val="222222"/>
          <w:lang w:val="en-US" w:eastAsia="en-US"/>
        </w:rPr>
        <w:t>техните</w:t>
      </w:r>
      <w:proofErr w:type="spellEnd"/>
      <w:r w:rsidRPr="00206534">
        <w:rPr>
          <w:color w:val="222222"/>
          <w:lang w:val="en-US" w:eastAsia="en-US"/>
        </w:rPr>
        <w:t xml:space="preserve"> </w:t>
      </w:r>
      <w:proofErr w:type="spellStart"/>
      <w:r w:rsidRPr="00206534">
        <w:rPr>
          <w:color w:val="222222"/>
          <w:lang w:val="en-US" w:eastAsia="en-US"/>
        </w:rPr>
        <w:t>имена</w:t>
      </w:r>
      <w:proofErr w:type="spellEnd"/>
      <w:r w:rsidRPr="00206534">
        <w:rPr>
          <w:color w:val="222222"/>
          <w:lang w:val="en-US" w:eastAsia="en-US"/>
        </w:rPr>
        <w:t xml:space="preserve">, </w:t>
      </w:r>
      <w:proofErr w:type="spellStart"/>
      <w:r w:rsidRPr="00206534">
        <w:rPr>
          <w:color w:val="222222"/>
          <w:lang w:val="en-US" w:eastAsia="en-US"/>
        </w:rPr>
        <w:t>месторабота</w:t>
      </w:r>
      <w:proofErr w:type="spellEnd"/>
      <w:r w:rsidRPr="00206534">
        <w:rPr>
          <w:color w:val="222222"/>
          <w:lang w:val="en-US" w:eastAsia="en-US"/>
        </w:rPr>
        <w:t xml:space="preserve"> и </w:t>
      </w:r>
      <w:proofErr w:type="spellStart"/>
      <w:r w:rsidRPr="00206534">
        <w:rPr>
          <w:color w:val="222222"/>
          <w:lang w:val="en-US" w:eastAsia="en-US"/>
        </w:rPr>
        <w:t>адрес</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електронна</w:t>
      </w:r>
      <w:proofErr w:type="spellEnd"/>
      <w:r w:rsidRPr="00206534">
        <w:rPr>
          <w:color w:val="222222"/>
          <w:lang w:val="en-US" w:eastAsia="en-US"/>
        </w:rPr>
        <w:t xml:space="preserve"> </w:t>
      </w:r>
      <w:proofErr w:type="spellStart"/>
      <w:r w:rsidRPr="00206534">
        <w:rPr>
          <w:color w:val="222222"/>
          <w:lang w:val="en-US" w:eastAsia="en-US"/>
        </w:rPr>
        <w:t>поща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пленарни</w:t>
      </w:r>
      <w:proofErr w:type="spellEnd"/>
      <w:r w:rsidRPr="00206534">
        <w:rPr>
          <w:color w:val="222222"/>
          <w:lang w:val="en-US" w:eastAsia="en-US"/>
        </w:rPr>
        <w:t xml:space="preserve">, </w:t>
      </w:r>
      <w:proofErr w:type="spellStart"/>
      <w:r w:rsidRPr="00206534">
        <w:rPr>
          <w:color w:val="222222"/>
          <w:lang w:val="en-US" w:eastAsia="en-US"/>
        </w:rPr>
        <w:t>ключови</w:t>
      </w:r>
      <w:proofErr w:type="spellEnd"/>
      <w:r w:rsidRPr="00206534">
        <w:rPr>
          <w:color w:val="222222"/>
          <w:lang w:val="en-US" w:eastAsia="en-US"/>
        </w:rPr>
        <w:t xml:space="preserve"> и </w:t>
      </w:r>
      <w:proofErr w:type="spellStart"/>
      <w:r w:rsidRPr="00206534">
        <w:rPr>
          <w:color w:val="222222"/>
          <w:lang w:val="en-US" w:eastAsia="en-US"/>
        </w:rPr>
        <w:t>поканени</w:t>
      </w:r>
      <w:proofErr w:type="spellEnd"/>
      <w:r w:rsidRPr="00206534">
        <w:rPr>
          <w:color w:val="222222"/>
          <w:lang w:val="en-US" w:eastAsia="en-US"/>
        </w:rPr>
        <w:t xml:space="preserve"> </w:t>
      </w:r>
      <w:proofErr w:type="spellStart"/>
      <w:r w:rsidRPr="00206534">
        <w:rPr>
          <w:color w:val="222222"/>
          <w:lang w:val="en-US" w:eastAsia="en-US"/>
        </w:rPr>
        <w:t>доклади</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изнасяне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форума</w:t>
      </w:r>
      <w:proofErr w:type="spellEnd"/>
      <w:r w:rsidRPr="00206534">
        <w:rPr>
          <w:color w:val="222222"/>
          <w:lang w:val="en-US" w:eastAsia="en-US"/>
        </w:rPr>
        <w:t>.</w:t>
      </w:r>
    </w:p>
    <w:p w14:paraId="05785FDD" w14:textId="77777777" w:rsidR="002413FB" w:rsidRPr="00206534" w:rsidRDefault="002413FB" w:rsidP="005D1D65">
      <w:pPr>
        <w:numPr>
          <w:ilvl w:val="0"/>
          <w:numId w:val="14"/>
        </w:numPr>
        <w:shd w:val="clear" w:color="auto" w:fill="FFFFFF"/>
        <w:spacing w:before="120" w:after="120" w:line="276" w:lineRule="auto"/>
        <w:jc w:val="both"/>
        <w:rPr>
          <w:color w:val="222222"/>
          <w:lang w:val="en-US" w:eastAsia="en-US"/>
        </w:rPr>
      </w:pPr>
      <w:proofErr w:type="spellStart"/>
      <w:r w:rsidRPr="00206534">
        <w:rPr>
          <w:color w:val="222222"/>
          <w:lang w:val="en-US" w:eastAsia="en-US"/>
        </w:rPr>
        <w:t>Списък</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младите</w:t>
      </w:r>
      <w:proofErr w:type="spellEnd"/>
      <w:r w:rsidRPr="00206534">
        <w:rPr>
          <w:color w:val="222222"/>
          <w:lang w:val="en-US" w:eastAsia="en-US"/>
        </w:rPr>
        <w:t xml:space="preserve"> </w:t>
      </w:r>
      <w:proofErr w:type="spellStart"/>
      <w:r w:rsidRPr="00206534">
        <w:rPr>
          <w:color w:val="222222"/>
          <w:lang w:val="en-US" w:eastAsia="en-US"/>
        </w:rPr>
        <w:t>учени</w:t>
      </w:r>
      <w:proofErr w:type="spellEnd"/>
      <w:r w:rsidRPr="00206534">
        <w:rPr>
          <w:color w:val="222222"/>
          <w:lang w:val="en-US" w:eastAsia="en-US"/>
        </w:rPr>
        <w:t xml:space="preserve">, </w:t>
      </w:r>
      <w:proofErr w:type="spellStart"/>
      <w:r w:rsidRPr="00206534">
        <w:rPr>
          <w:color w:val="222222"/>
          <w:lang w:val="en-US" w:eastAsia="en-US"/>
        </w:rPr>
        <w:t>докторанти</w:t>
      </w:r>
      <w:proofErr w:type="spellEnd"/>
      <w:r w:rsidRPr="00206534">
        <w:rPr>
          <w:color w:val="222222"/>
          <w:lang w:val="en-US" w:eastAsia="en-US"/>
        </w:rPr>
        <w:t xml:space="preserve"> и </w:t>
      </w:r>
      <w:proofErr w:type="spellStart"/>
      <w:r w:rsidRPr="00206534">
        <w:rPr>
          <w:color w:val="222222"/>
          <w:lang w:val="en-US" w:eastAsia="en-US"/>
        </w:rPr>
        <w:t>постдокторанти</w:t>
      </w:r>
      <w:proofErr w:type="spellEnd"/>
      <w:r w:rsidRPr="00206534">
        <w:rPr>
          <w:color w:val="222222"/>
          <w:lang w:val="en-US" w:eastAsia="en-US"/>
        </w:rPr>
        <w:t xml:space="preserve">, </w:t>
      </w:r>
      <w:proofErr w:type="spellStart"/>
      <w:r w:rsidRPr="00206534">
        <w:rPr>
          <w:color w:val="222222"/>
          <w:lang w:val="en-US" w:eastAsia="en-US"/>
        </w:rPr>
        <w:t>участващи</w:t>
      </w:r>
      <w:proofErr w:type="spellEnd"/>
      <w:r w:rsidRPr="00206534">
        <w:rPr>
          <w:color w:val="222222"/>
          <w:lang w:val="en-US" w:eastAsia="en-US"/>
        </w:rPr>
        <w:t xml:space="preserve"> </w:t>
      </w:r>
      <w:proofErr w:type="spellStart"/>
      <w:r w:rsidRPr="00206534">
        <w:rPr>
          <w:color w:val="222222"/>
          <w:lang w:val="en-US" w:eastAsia="en-US"/>
        </w:rPr>
        <w:t>във</w:t>
      </w:r>
      <w:proofErr w:type="spellEnd"/>
      <w:r w:rsidRPr="00206534">
        <w:rPr>
          <w:color w:val="222222"/>
          <w:lang w:val="en-US" w:eastAsia="en-US"/>
        </w:rPr>
        <w:t xml:space="preserve"> </w:t>
      </w:r>
      <w:proofErr w:type="spellStart"/>
      <w:r w:rsidRPr="00206534">
        <w:rPr>
          <w:color w:val="222222"/>
          <w:lang w:val="en-US" w:eastAsia="en-US"/>
        </w:rPr>
        <w:t>форума</w:t>
      </w:r>
      <w:proofErr w:type="spellEnd"/>
      <w:r w:rsidRPr="00206534">
        <w:rPr>
          <w:color w:val="222222"/>
          <w:lang w:val="en-US" w:eastAsia="en-US"/>
        </w:rPr>
        <w:t xml:space="preserve"> (с </w:t>
      </w:r>
      <w:proofErr w:type="spellStart"/>
      <w:r w:rsidRPr="00206534">
        <w:rPr>
          <w:color w:val="222222"/>
          <w:lang w:val="en-US" w:eastAsia="en-US"/>
        </w:rPr>
        <w:t>техните</w:t>
      </w:r>
      <w:proofErr w:type="spellEnd"/>
      <w:r w:rsidRPr="00206534">
        <w:rPr>
          <w:color w:val="222222"/>
          <w:lang w:val="en-US" w:eastAsia="en-US"/>
        </w:rPr>
        <w:t xml:space="preserve"> </w:t>
      </w:r>
      <w:proofErr w:type="spellStart"/>
      <w:r w:rsidRPr="00206534">
        <w:rPr>
          <w:color w:val="222222"/>
          <w:lang w:val="en-US" w:eastAsia="en-US"/>
        </w:rPr>
        <w:t>имена</w:t>
      </w:r>
      <w:proofErr w:type="spellEnd"/>
      <w:r w:rsidRPr="00206534">
        <w:rPr>
          <w:color w:val="222222"/>
          <w:lang w:val="en-US" w:eastAsia="en-US"/>
        </w:rPr>
        <w:t xml:space="preserve">, </w:t>
      </w:r>
      <w:proofErr w:type="spellStart"/>
      <w:r w:rsidRPr="00206534">
        <w:rPr>
          <w:color w:val="222222"/>
          <w:lang w:val="en-US" w:eastAsia="en-US"/>
        </w:rPr>
        <w:t>месторабота</w:t>
      </w:r>
      <w:proofErr w:type="spellEnd"/>
      <w:r w:rsidRPr="00206534">
        <w:rPr>
          <w:color w:val="222222"/>
          <w:lang w:val="en-US" w:eastAsia="en-US"/>
        </w:rPr>
        <w:t xml:space="preserve"> и </w:t>
      </w:r>
      <w:proofErr w:type="spellStart"/>
      <w:r w:rsidRPr="00206534">
        <w:rPr>
          <w:color w:val="222222"/>
          <w:lang w:val="en-US" w:eastAsia="en-US"/>
        </w:rPr>
        <w:t>адрес</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електронна</w:t>
      </w:r>
      <w:proofErr w:type="spellEnd"/>
      <w:r w:rsidRPr="00206534">
        <w:rPr>
          <w:color w:val="222222"/>
          <w:lang w:val="en-US" w:eastAsia="en-US"/>
        </w:rPr>
        <w:t xml:space="preserve"> </w:t>
      </w:r>
      <w:proofErr w:type="spellStart"/>
      <w:r w:rsidRPr="00206534">
        <w:rPr>
          <w:color w:val="222222"/>
          <w:lang w:val="en-US" w:eastAsia="en-US"/>
        </w:rPr>
        <w:t>поща</w:t>
      </w:r>
      <w:proofErr w:type="spellEnd"/>
      <w:r w:rsidRPr="00206534">
        <w:rPr>
          <w:color w:val="222222"/>
          <w:lang w:val="en-US" w:eastAsia="en-US"/>
        </w:rPr>
        <w:t>).</w:t>
      </w:r>
    </w:p>
    <w:p w14:paraId="76024818" w14:textId="77777777" w:rsidR="002413FB" w:rsidRPr="00206534" w:rsidRDefault="002413FB" w:rsidP="005D1D65">
      <w:pPr>
        <w:numPr>
          <w:ilvl w:val="0"/>
          <w:numId w:val="14"/>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Автобиографии</w:t>
      </w:r>
      <w:proofErr w:type="spellEnd"/>
      <w:r w:rsidRPr="00206534">
        <w:rPr>
          <w:color w:val="222222"/>
          <w:lang w:val="en-US" w:eastAsia="en-US"/>
        </w:rPr>
        <w:t xml:space="preserve"> (по </w:t>
      </w:r>
      <w:proofErr w:type="spellStart"/>
      <w:r w:rsidRPr="00206534">
        <w:rPr>
          <w:color w:val="222222"/>
          <w:lang w:val="en-US" w:eastAsia="en-US"/>
        </w:rPr>
        <w:t>образец</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докладчиците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пленарни</w:t>
      </w:r>
      <w:proofErr w:type="spellEnd"/>
      <w:r w:rsidRPr="00206534">
        <w:rPr>
          <w:color w:val="222222"/>
          <w:lang w:val="en-US" w:eastAsia="en-US"/>
        </w:rPr>
        <w:t xml:space="preserve">, </w:t>
      </w:r>
      <w:proofErr w:type="spellStart"/>
      <w:r w:rsidRPr="00206534">
        <w:rPr>
          <w:color w:val="222222"/>
          <w:lang w:val="en-US" w:eastAsia="en-US"/>
        </w:rPr>
        <w:t>ключови</w:t>
      </w:r>
      <w:proofErr w:type="spellEnd"/>
      <w:r w:rsidRPr="00206534">
        <w:rPr>
          <w:color w:val="222222"/>
          <w:lang w:val="en-US" w:eastAsia="en-US"/>
        </w:rPr>
        <w:t xml:space="preserve"> и </w:t>
      </w:r>
      <w:proofErr w:type="spellStart"/>
      <w:r w:rsidRPr="00206534">
        <w:rPr>
          <w:color w:val="222222"/>
          <w:lang w:val="en-US" w:eastAsia="en-US"/>
        </w:rPr>
        <w:t>поканени</w:t>
      </w:r>
      <w:proofErr w:type="spellEnd"/>
      <w:r w:rsidRPr="00206534">
        <w:rPr>
          <w:color w:val="222222"/>
          <w:lang w:val="en-US" w:eastAsia="en-US"/>
        </w:rPr>
        <w:t xml:space="preserve"> </w:t>
      </w:r>
      <w:proofErr w:type="spellStart"/>
      <w:r w:rsidRPr="00206534">
        <w:rPr>
          <w:color w:val="222222"/>
          <w:lang w:val="en-US" w:eastAsia="en-US"/>
        </w:rPr>
        <w:t>доклади</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изнасяне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форума</w:t>
      </w:r>
      <w:proofErr w:type="spellEnd"/>
      <w:r w:rsidRPr="00206534">
        <w:rPr>
          <w:color w:val="222222"/>
          <w:lang w:val="en-US" w:eastAsia="en-US"/>
        </w:rPr>
        <w:t>.</w:t>
      </w:r>
    </w:p>
    <w:p w14:paraId="5094C45E" w14:textId="77777777" w:rsidR="002413FB" w:rsidRPr="00206534" w:rsidRDefault="002413FB" w:rsidP="005D1D65">
      <w:pPr>
        <w:numPr>
          <w:ilvl w:val="0"/>
          <w:numId w:val="14"/>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Писма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съгласие</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участие</w:t>
      </w:r>
      <w:proofErr w:type="spellEnd"/>
      <w:r w:rsidRPr="00206534">
        <w:rPr>
          <w:color w:val="222222"/>
          <w:lang w:val="en-US" w:eastAsia="en-US"/>
        </w:rPr>
        <w:t xml:space="preserve"> </w:t>
      </w:r>
      <w:proofErr w:type="spellStart"/>
      <w:r w:rsidRPr="00206534">
        <w:rPr>
          <w:color w:val="222222"/>
          <w:lang w:val="en-US" w:eastAsia="en-US"/>
        </w:rPr>
        <w:t>във</w:t>
      </w:r>
      <w:proofErr w:type="spellEnd"/>
      <w:r w:rsidRPr="00206534">
        <w:rPr>
          <w:color w:val="222222"/>
          <w:lang w:val="en-US" w:eastAsia="en-US"/>
        </w:rPr>
        <w:t xml:space="preserve"> </w:t>
      </w:r>
      <w:proofErr w:type="spellStart"/>
      <w:r w:rsidRPr="00206534">
        <w:rPr>
          <w:color w:val="222222"/>
          <w:lang w:val="en-US" w:eastAsia="en-US"/>
        </w:rPr>
        <w:t>форума</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страна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докладчиците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proofErr w:type="gramStart"/>
      <w:r w:rsidRPr="00206534">
        <w:rPr>
          <w:color w:val="222222"/>
          <w:lang w:val="en-US" w:eastAsia="en-US"/>
        </w:rPr>
        <w:t>пленарни</w:t>
      </w:r>
      <w:proofErr w:type="spellEnd"/>
      <w:r w:rsidRPr="00206534">
        <w:rPr>
          <w:color w:val="222222"/>
          <w:lang w:val="en-US" w:eastAsia="en-US"/>
        </w:rPr>
        <w:t xml:space="preserve">,  </w:t>
      </w:r>
      <w:proofErr w:type="spellStart"/>
      <w:r w:rsidRPr="00206534">
        <w:rPr>
          <w:color w:val="222222"/>
          <w:lang w:val="en-US" w:eastAsia="en-US"/>
        </w:rPr>
        <w:t>ключови</w:t>
      </w:r>
      <w:proofErr w:type="spellEnd"/>
      <w:proofErr w:type="gramEnd"/>
      <w:r w:rsidRPr="00206534">
        <w:rPr>
          <w:color w:val="222222"/>
          <w:lang w:val="en-US" w:eastAsia="en-US"/>
        </w:rPr>
        <w:t xml:space="preserve"> и </w:t>
      </w:r>
      <w:proofErr w:type="spellStart"/>
      <w:r w:rsidRPr="00206534">
        <w:rPr>
          <w:color w:val="222222"/>
          <w:lang w:val="en-US" w:eastAsia="en-US"/>
        </w:rPr>
        <w:t>поканени</w:t>
      </w:r>
      <w:proofErr w:type="spellEnd"/>
      <w:r w:rsidRPr="00206534">
        <w:rPr>
          <w:color w:val="222222"/>
          <w:lang w:val="en-US" w:eastAsia="en-US"/>
        </w:rPr>
        <w:t xml:space="preserve"> </w:t>
      </w:r>
      <w:proofErr w:type="spellStart"/>
      <w:r w:rsidRPr="00206534">
        <w:rPr>
          <w:color w:val="222222"/>
          <w:lang w:val="en-US" w:eastAsia="en-US"/>
        </w:rPr>
        <w:t>доклади</w:t>
      </w:r>
      <w:proofErr w:type="spellEnd"/>
      <w:r w:rsidRPr="00206534">
        <w:rPr>
          <w:color w:val="222222"/>
          <w:lang w:val="en-US" w:eastAsia="en-US"/>
        </w:rPr>
        <w:t>.</w:t>
      </w:r>
    </w:p>
    <w:p w14:paraId="763E2987" w14:textId="77777777" w:rsidR="002413FB" w:rsidRPr="00206534" w:rsidRDefault="002413FB" w:rsidP="005D1D65">
      <w:pPr>
        <w:numPr>
          <w:ilvl w:val="0"/>
          <w:numId w:val="14"/>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Декларация</w:t>
      </w:r>
      <w:proofErr w:type="spellEnd"/>
      <w:r w:rsidRPr="00206534">
        <w:rPr>
          <w:color w:val="222222"/>
          <w:lang w:val="en-US" w:eastAsia="en-US"/>
        </w:rPr>
        <w:t xml:space="preserve"> (по </w:t>
      </w:r>
      <w:proofErr w:type="spellStart"/>
      <w:r w:rsidRPr="00206534">
        <w:rPr>
          <w:color w:val="222222"/>
          <w:lang w:val="en-US" w:eastAsia="en-US"/>
        </w:rPr>
        <w:t>образец</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ръководителя</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проектното</w:t>
      </w:r>
      <w:proofErr w:type="spellEnd"/>
      <w:r w:rsidRPr="00206534">
        <w:rPr>
          <w:color w:val="222222"/>
          <w:lang w:val="en-US" w:eastAsia="en-US"/>
        </w:rPr>
        <w:t xml:space="preserve"> </w:t>
      </w:r>
      <w:proofErr w:type="spellStart"/>
      <w:r w:rsidRPr="00206534">
        <w:rPr>
          <w:color w:val="222222"/>
          <w:lang w:val="en-US" w:eastAsia="en-US"/>
        </w:rPr>
        <w:t>предложение</w:t>
      </w:r>
      <w:proofErr w:type="spellEnd"/>
      <w:r w:rsidRPr="00206534">
        <w:rPr>
          <w:color w:val="222222"/>
          <w:lang w:val="en-US" w:eastAsia="en-US"/>
        </w:rPr>
        <w:t xml:space="preserve">, </w:t>
      </w:r>
      <w:proofErr w:type="spellStart"/>
      <w:r w:rsidRPr="00206534">
        <w:rPr>
          <w:color w:val="222222"/>
          <w:lang w:val="en-US" w:eastAsia="en-US"/>
        </w:rPr>
        <w:t>че</w:t>
      </w:r>
      <w:proofErr w:type="spellEnd"/>
      <w:r w:rsidRPr="00206534">
        <w:rPr>
          <w:color w:val="222222"/>
          <w:lang w:val="en-US" w:eastAsia="en-US"/>
        </w:rPr>
        <w:t xml:space="preserve"> </w:t>
      </w:r>
      <w:proofErr w:type="spellStart"/>
      <w:r w:rsidRPr="00206534">
        <w:rPr>
          <w:color w:val="222222"/>
          <w:lang w:val="en-US" w:eastAsia="en-US"/>
        </w:rPr>
        <w:t>форумът</w:t>
      </w:r>
      <w:proofErr w:type="spellEnd"/>
      <w:r w:rsidRPr="00206534">
        <w:rPr>
          <w:color w:val="222222"/>
          <w:lang w:val="en-US" w:eastAsia="en-US"/>
        </w:rPr>
        <w:t xml:space="preserve"> </w:t>
      </w:r>
      <w:proofErr w:type="spellStart"/>
      <w:r w:rsidRPr="00206534">
        <w:rPr>
          <w:color w:val="222222"/>
          <w:lang w:val="en-US" w:eastAsia="en-US"/>
        </w:rPr>
        <w:t>няма</w:t>
      </w:r>
      <w:proofErr w:type="spellEnd"/>
      <w:r w:rsidRPr="00206534">
        <w:rPr>
          <w:color w:val="222222"/>
          <w:lang w:val="en-US" w:eastAsia="en-US"/>
        </w:rPr>
        <w:t xml:space="preserve"> </w:t>
      </w:r>
      <w:proofErr w:type="spellStart"/>
      <w:r w:rsidRPr="00206534">
        <w:rPr>
          <w:color w:val="222222"/>
          <w:lang w:val="en-US" w:eastAsia="en-US"/>
        </w:rPr>
        <w:t>да</w:t>
      </w:r>
      <w:proofErr w:type="spellEnd"/>
      <w:r w:rsidRPr="00206534">
        <w:rPr>
          <w:color w:val="222222"/>
          <w:lang w:val="en-US" w:eastAsia="en-US"/>
        </w:rPr>
        <w:t xml:space="preserve"> </w:t>
      </w:r>
      <w:proofErr w:type="spellStart"/>
      <w:r w:rsidRPr="00206534">
        <w:rPr>
          <w:color w:val="222222"/>
          <w:lang w:val="en-US" w:eastAsia="en-US"/>
        </w:rPr>
        <w:t>бъде</w:t>
      </w:r>
      <w:proofErr w:type="spellEnd"/>
      <w:r w:rsidRPr="00206534">
        <w:rPr>
          <w:color w:val="222222"/>
          <w:lang w:val="en-US" w:eastAsia="en-US"/>
        </w:rPr>
        <w:t xml:space="preserve"> </w:t>
      </w:r>
      <w:proofErr w:type="spellStart"/>
      <w:r w:rsidRPr="00206534">
        <w:rPr>
          <w:color w:val="222222"/>
          <w:lang w:val="en-US" w:eastAsia="en-US"/>
        </w:rPr>
        <w:t>финансиран</w:t>
      </w:r>
      <w:proofErr w:type="spellEnd"/>
      <w:r w:rsidRPr="00206534">
        <w:rPr>
          <w:color w:val="222222"/>
          <w:lang w:val="en-US" w:eastAsia="en-US"/>
        </w:rPr>
        <w:t xml:space="preserve"> </w:t>
      </w:r>
      <w:proofErr w:type="spellStart"/>
      <w:r w:rsidRPr="00206534">
        <w:rPr>
          <w:color w:val="222222"/>
          <w:lang w:val="en-US" w:eastAsia="en-US"/>
        </w:rPr>
        <w:t>чрез</w:t>
      </w:r>
      <w:proofErr w:type="spellEnd"/>
      <w:r w:rsidRPr="00206534">
        <w:rPr>
          <w:color w:val="222222"/>
          <w:lang w:val="en-US" w:eastAsia="en-US"/>
        </w:rPr>
        <w:t xml:space="preserve"> </w:t>
      </w:r>
      <w:proofErr w:type="spellStart"/>
      <w:r w:rsidRPr="00206534">
        <w:rPr>
          <w:color w:val="222222"/>
          <w:lang w:val="en-US" w:eastAsia="en-US"/>
        </w:rPr>
        <w:t>други</w:t>
      </w:r>
      <w:proofErr w:type="spellEnd"/>
      <w:r w:rsidRPr="00206534">
        <w:rPr>
          <w:color w:val="222222"/>
          <w:lang w:val="en-US" w:eastAsia="en-US"/>
        </w:rPr>
        <w:t xml:space="preserve"> </w:t>
      </w:r>
      <w:proofErr w:type="spellStart"/>
      <w:r w:rsidRPr="00206534">
        <w:rPr>
          <w:color w:val="222222"/>
          <w:lang w:val="en-US" w:eastAsia="en-US"/>
        </w:rPr>
        <w:t>публични</w:t>
      </w:r>
      <w:proofErr w:type="spellEnd"/>
      <w:r w:rsidRPr="00206534">
        <w:rPr>
          <w:color w:val="222222"/>
          <w:lang w:val="en-US" w:eastAsia="en-US"/>
        </w:rPr>
        <w:t xml:space="preserve"> </w:t>
      </w:r>
      <w:proofErr w:type="spellStart"/>
      <w:r w:rsidRPr="00206534">
        <w:rPr>
          <w:color w:val="222222"/>
          <w:lang w:val="en-US" w:eastAsia="en-US"/>
        </w:rPr>
        <w:t>източници</w:t>
      </w:r>
      <w:proofErr w:type="spellEnd"/>
      <w:r w:rsidRPr="00206534">
        <w:rPr>
          <w:color w:val="222222"/>
          <w:lang w:val="en-US" w:eastAsia="en-US"/>
        </w:rPr>
        <w:t xml:space="preserve"> и </w:t>
      </w:r>
      <w:proofErr w:type="spellStart"/>
      <w:r w:rsidRPr="00206534">
        <w:rPr>
          <w:color w:val="222222"/>
          <w:lang w:val="en-US" w:eastAsia="en-US"/>
        </w:rPr>
        <w:t>програми</w:t>
      </w:r>
      <w:proofErr w:type="spellEnd"/>
      <w:r w:rsidRPr="00206534">
        <w:rPr>
          <w:color w:val="222222"/>
          <w:lang w:val="en-US" w:eastAsia="en-US"/>
        </w:rPr>
        <w:t>.</w:t>
      </w:r>
    </w:p>
    <w:p w14:paraId="49CC2903" w14:textId="77777777" w:rsidR="002413FB" w:rsidRPr="00206534" w:rsidRDefault="002413FB" w:rsidP="005D1D65">
      <w:pPr>
        <w:numPr>
          <w:ilvl w:val="0"/>
          <w:numId w:val="14"/>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Декларация</w:t>
      </w:r>
      <w:proofErr w:type="spellEnd"/>
      <w:r w:rsidRPr="00206534">
        <w:rPr>
          <w:color w:val="222222"/>
          <w:lang w:val="en-US" w:eastAsia="en-US"/>
        </w:rPr>
        <w:t xml:space="preserve"> (по </w:t>
      </w:r>
      <w:proofErr w:type="spellStart"/>
      <w:r w:rsidRPr="00206534">
        <w:rPr>
          <w:color w:val="222222"/>
          <w:lang w:val="en-US" w:eastAsia="en-US"/>
        </w:rPr>
        <w:t>образец</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ръководителя</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проектното</w:t>
      </w:r>
      <w:proofErr w:type="spellEnd"/>
      <w:r w:rsidRPr="00206534">
        <w:rPr>
          <w:color w:val="222222"/>
          <w:lang w:val="en-US" w:eastAsia="en-US"/>
        </w:rPr>
        <w:t xml:space="preserve"> </w:t>
      </w:r>
      <w:proofErr w:type="spellStart"/>
      <w:r w:rsidRPr="00206534">
        <w:rPr>
          <w:color w:val="222222"/>
          <w:lang w:val="en-US" w:eastAsia="en-US"/>
        </w:rPr>
        <w:t>предложение</w:t>
      </w:r>
      <w:proofErr w:type="spellEnd"/>
      <w:r w:rsidRPr="00206534">
        <w:rPr>
          <w:color w:val="222222"/>
          <w:lang w:val="en-US" w:eastAsia="en-US"/>
        </w:rPr>
        <w:t xml:space="preserve"> </w:t>
      </w:r>
      <w:proofErr w:type="spellStart"/>
      <w:r w:rsidRPr="00206534">
        <w:rPr>
          <w:color w:val="222222"/>
          <w:lang w:val="en-US" w:eastAsia="en-US"/>
        </w:rPr>
        <w:t>във</w:t>
      </w:r>
      <w:proofErr w:type="spellEnd"/>
      <w:r w:rsidRPr="00206534">
        <w:rPr>
          <w:color w:val="222222"/>
          <w:lang w:val="en-US" w:eastAsia="en-US"/>
        </w:rPr>
        <w:t xml:space="preserve"> </w:t>
      </w:r>
      <w:proofErr w:type="spellStart"/>
      <w:r w:rsidRPr="00206534">
        <w:rPr>
          <w:color w:val="222222"/>
          <w:lang w:val="en-US" w:eastAsia="en-US"/>
        </w:rPr>
        <w:t>връзка</w:t>
      </w:r>
      <w:proofErr w:type="spellEnd"/>
      <w:r w:rsidRPr="00206534">
        <w:rPr>
          <w:color w:val="222222"/>
          <w:lang w:val="en-US" w:eastAsia="en-US"/>
        </w:rPr>
        <w:t xml:space="preserve"> с </w:t>
      </w:r>
      <w:proofErr w:type="spellStart"/>
      <w:r w:rsidRPr="00206534">
        <w:rPr>
          <w:color w:val="222222"/>
          <w:lang w:val="en-US" w:eastAsia="en-US"/>
        </w:rPr>
        <w:t>Общия</w:t>
      </w:r>
      <w:proofErr w:type="spellEnd"/>
      <w:r w:rsidRPr="00206534">
        <w:rPr>
          <w:color w:val="222222"/>
          <w:lang w:val="en-US" w:eastAsia="en-US"/>
        </w:rPr>
        <w:t xml:space="preserve"> </w:t>
      </w:r>
      <w:proofErr w:type="spellStart"/>
      <w:r w:rsidRPr="00206534">
        <w:rPr>
          <w:color w:val="222222"/>
          <w:lang w:val="en-US" w:eastAsia="en-US"/>
        </w:rPr>
        <w:t>регламент</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защита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личните</w:t>
      </w:r>
      <w:proofErr w:type="spellEnd"/>
      <w:r w:rsidRPr="00206534">
        <w:rPr>
          <w:color w:val="222222"/>
          <w:lang w:val="en-US" w:eastAsia="en-US"/>
        </w:rPr>
        <w:t xml:space="preserve"> </w:t>
      </w:r>
      <w:proofErr w:type="spellStart"/>
      <w:r w:rsidRPr="00206534">
        <w:rPr>
          <w:color w:val="222222"/>
          <w:lang w:val="en-US" w:eastAsia="en-US"/>
        </w:rPr>
        <w:t>данни</w:t>
      </w:r>
      <w:proofErr w:type="spellEnd"/>
      <w:r w:rsidRPr="00206534">
        <w:rPr>
          <w:color w:val="222222"/>
          <w:lang w:val="en-US" w:eastAsia="en-US"/>
        </w:rPr>
        <w:t xml:space="preserve"> (</w:t>
      </w:r>
      <w:proofErr w:type="spellStart"/>
      <w:r w:rsidRPr="00206534">
        <w:rPr>
          <w:color w:val="222222"/>
          <w:lang w:val="en-US" w:eastAsia="en-US"/>
        </w:rPr>
        <w:t>Регламент</w:t>
      </w:r>
      <w:proofErr w:type="spellEnd"/>
      <w:r w:rsidRPr="00206534">
        <w:rPr>
          <w:color w:val="222222"/>
          <w:lang w:val="en-US" w:eastAsia="en-US"/>
        </w:rPr>
        <w:t xml:space="preserve"> ЕС 2016/679).</w:t>
      </w:r>
    </w:p>
    <w:p w14:paraId="384E336E"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 xml:space="preserve">В </w:t>
      </w:r>
      <w:proofErr w:type="spellStart"/>
      <w:r w:rsidRPr="00206534">
        <w:rPr>
          <w:color w:val="222222"/>
          <w:lang w:val="en-US" w:eastAsia="en-US"/>
        </w:rPr>
        <w:t>анотацията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проектното</w:t>
      </w:r>
      <w:proofErr w:type="spellEnd"/>
      <w:r w:rsidRPr="00206534">
        <w:rPr>
          <w:color w:val="222222"/>
          <w:lang w:val="en-US" w:eastAsia="en-US"/>
        </w:rPr>
        <w:t xml:space="preserve"> </w:t>
      </w:r>
      <w:proofErr w:type="spellStart"/>
      <w:r w:rsidRPr="00206534">
        <w:rPr>
          <w:color w:val="222222"/>
          <w:lang w:val="en-US" w:eastAsia="en-US"/>
        </w:rPr>
        <w:t>предложение</w:t>
      </w:r>
      <w:proofErr w:type="spellEnd"/>
      <w:r w:rsidRPr="00206534">
        <w:rPr>
          <w:color w:val="222222"/>
          <w:lang w:val="en-US" w:eastAsia="en-US"/>
        </w:rPr>
        <w:t xml:space="preserve">, </w:t>
      </w:r>
      <w:proofErr w:type="spellStart"/>
      <w:r w:rsidRPr="00206534">
        <w:rPr>
          <w:color w:val="222222"/>
          <w:lang w:val="en-US" w:eastAsia="en-US"/>
        </w:rPr>
        <w:t>включена</w:t>
      </w:r>
      <w:proofErr w:type="spellEnd"/>
      <w:r w:rsidRPr="00206534">
        <w:rPr>
          <w:color w:val="222222"/>
          <w:lang w:val="en-US" w:eastAsia="en-US"/>
        </w:rPr>
        <w:t xml:space="preserve"> в </w:t>
      </w:r>
      <w:proofErr w:type="spellStart"/>
      <w:r w:rsidRPr="00206534">
        <w:rPr>
          <w:color w:val="222222"/>
          <w:lang w:val="en-US" w:eastAsia="en-US"/>
        </w:rPr>
        <w:t>административното</w:t>
      </w:r>
      <w:proofErr w:type="spellEnd"/>
      <w:r w:rsidRPr="00206534">
        <w:rPr>
          <w:color w:val="222222"/>
          <w:lang w:val="en-US" w:eastAsia="en-US"/>
        </w:rPr>
        <w:t xml:space="preserve"> </w:t>
      </w:r>
      <w:proofErr w:type="spellStart"/>
      <w:r w:rsidRPr="00206534">
        <w:rPr>
          <w:color w:val="222222"/>
          <w:lang w:val="en-US" w:eastAsia="en-US"/>
        </w:rPr>
        <w:t>описание</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посочва</w:t>
      </w:r>
      <w:proofErr w:type="spellEnd"/>
      <w:r w:rsidRPr="00206534">
        <w:rPr>
          <w:color w:val="222222"/>
          <w:lang w:val="en-US" w:eastAsia="en-US"/>
        </w:rPr>
        <w:t xml:space="preserve"> </w:t>
      </w:r>
      <w:proofErr w:type="spellStart"/>
      <w:r w:rsidRPr="00206534">
        <w:rPr>
          <w:color w:val="222222"/>
          <w:lang w:val="en-US" w:eastAsia="en-US"/>
        </w:rPr>
        <w:t>уеб</w:t>
      </w:r>
      <w:proofErr w:type="spellEnd"/>
      <w:r w:rsidRPr="00206534">
        <w:rPr>
          <w:color w:val="222222"/>
          <w:lang w:val="en-US" w:eastAsia="en-US"/>
        </w:rPr>
        <w:t xml:space="preserve"> </w:t>
      </w:r>
      <w:proofErr w:type="spellStart"/>
      <w:r w:rsidRPr="00206534">
        <w:rPr>
          <w:color w:val="222222"/>
          <w:lang w:val="en-US" w:eastAsia="en-US"/>
        </w:rPr>
        <w:t>сайт</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форума</w:t>
      </w:r>
      <w:proofErr w:type="spellEnd"/>
      <w:r w:rsidRPr="00206534">
        <w:rPr>
          <w:color w:val="222222"/>
          <w:lang w:val="en-US" w:eastAsia="en-US"/>
        </w:rPr>
        <w:t xml:space="preserve"> (</w:t>
      </w:r>
      <w:proofErr w:type="spellStart"/>
      <w:r w:rsidRPr="00206534">
        <w:rPr>
          <w:color w:val="222222"/>
          <w:lang w:val="en-US" w:eastAsia="en-US"/>
        </w:rPr>
        <w:t>ако</w:t>
      </w:r>
      <w:proofErr w:type="spellEnd"/>
      <w:r w:rsidRPr="00206534">
        <w:rPr>
          <w:color w:val="222222"/>
          <w:lang w:val="en-US" w:eastAsia="en-US"/>
        </w:rPr>
        <w:t xml:space="preserve"> е </w:t>
      </w:r>
      <w:proofErr w:type="spellStart"/>
      <w:r w:rsidRPr="00206534">
        <w:rPr>
          <w:color w:val="222222"/>
          <w:lang w:val="en-US" w:eastAsia="en-US"/>
        </w:rPr>
        <w:t>приложимо</w:t>
      </w:r>
      <w:proofErr w:type="spellEnd"/>
      <w:r w:rsidRPr="00206534">
        <w:rPr>
          <w:color w:val="222222"/>
          <w:lang w:val="en-US" w:eastAsia="en-US"/>
        </w:rPr>
        <w:t>).</w:t>
      </w:r>
    </w:p>
    <w:p w14:paraId="2B17C68C" w14:textId="5B6474B3" w:rsidR="002413FB" w:rsidRPr="00206534" w:rsidRDefault="002413FB" w:rsidP="00F762B5">
      <w:pPr>
        <w:shd w:val="clear" w:color="auto" w:fill="FFFFFF"/>
        <w:spacing w:before="120" w:after="120" w:line="276" w:lineRule="auto"/>
        <w:jc w:val="both"/>
        <w:rPr>
          <w:color w:val="222222"/>
          <w:lang w:val="en-US" w:eastAsia="en-US"/>
        </w:rPr>
      </w:pPr>
      <w:proofErr w:type="spellStart"/>
      <w:r w:rsidRPr="00206534">
        <w:rPr>
          <w:color w:val="222222"/>
          <w:lang w:val="en-US" w:eastAsia="en-US"/>
        </w:rPr>
        <w:t>Разглеждането</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проектните</w:t>
      </w:r>
      <w:proofErr w:type="spellEnd"/>
      <w:r w:rsidRPr="00206534">
        <w:rPr>
          <w:color w:val="222222"/>
          <w:lang w:val="en-US" w:eastAsia="en-US"/>
        </w:rPr>
        <w:t xml:space="preserve"> </w:t>
      </w:r>
      <w:proofErr w:type="spellStart"/>
      <w:r w:rsidRPr="00206534">
        <w:rPr>
          <w:color w:val="222222"/>
          <w:lang w:val="en-US" w:eastAsia="en-US"/>
        </w:rPr>
        <w:t>предложения</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извършва</w:t>
      </w:r>
      <w:proofErr w:type="spellEnd"/>
      <w:r w:rsidRPr="00206534">
        <w:rPr>
          <w:color w:val="222222"/>
          <w:lang w:val="en-US" w:eastAsia="en-US"/>
        </w:rPr>
        <w:t xml:space="preserve"> </w:t>
      </w:r>
      <w:proofErr w:type="spellStart"/>
      <w:r w:rsidRPr="00206534">
        <w:rPr>
          <w:color w:val="222222"/>
          <w:lang w:val="en-US" w:eastAsia="en-US"/>
        </w:rPr>
        <w:t>три</w:t>
      </w:r>
      <w:proofErr w:type="spellEnd"/>
      <w:r w:rsidRPr="00206534">
        <w:rPr>
          <w:color w:val="222222"/>
          <w:lang w:val="en-US" w:eastAsia="en-US"/>
        </w:rPr>
        <w:t xml:space="preserve"> </w:t>
      </w:r>
      <w:proofErr w:type="spellStart"/>
      <w:r w:rsidRPr="00206534">
        <w:rPr>
          <w:color w:val="222222"/>
          <w:lang w:val="en-US" w:eastAsia="en-US"/>
        </w:rPr>
        <w:t>или</w:t>
      </w:r>
      <w:proofErr w:type="spellEnd"/>
      <w:r w:rsidRPr="00206534">
        <w:rPr>
          <w:color w:val="222222"/>
          <w:lang w:val="en-US" w:eastAsia="en-US"/>
        </w:rPr>
        <w:t xml:space="preserve"> </w:t>
      </w:r>
      <w:proofErr w:type="spellStart"/>
      <w:r w:rsidRPr="00206534">
        <w:rPr>
          <w:color w:val="222222"/>
          <w:lang w:val="en-US" w:eastAsia="en-US"/>
        </w:rPr>
        <w:t>четири</w:t>
      </w:r>
      <w:proofErr w:type="spellEnd"/>
      <w:r w:rsidRPr="00206534">
        <w:rPr>
          <w:color w:val="222222"/>
          <w:lang w:val="en-US" w:eastAsia="en-US"/>
        </w:rPr>
        <w:t xml:space="preserve"> </w:t>
      </w:r>
      <w:proofErr w:type="spellStart"/>
      <w:r w:rsidRPr="00206534">
        <w:rPr>
          <w:color w:val="222222"/>
          <w:lang w:val="en-US" w:eastAsia="en-US"/>
        </w:rPr>
        <w:t>пъти</w:t>
      </w:r>
      <w:proofErr w:type="spellEnd"/>
      <w:r w:rsidRPr="00206534">
        <w:rPr>
          <w:color w:val="222222"/>
          <w:lang w:val="en-US" w:eastAsia="en-US"/>
        </w:rPr>
        <w:t xml:space="preserve"> </w:t>
      </w:r>
      <w:proofErr w:type="spellStart"/>
      <w:r w:rsidRPr="00206534">
        <w:rPr>
          <w:color w:val="222222"/>
          <w:lang w:val="en-US" w:eastAsia="en-US"/>
        </w:rPr>
        <w:t>годишно</w:t>
      </w:r>
      <w:proofErr w:type="spellEnd"/>
      <w:r w:rsidRPr="00206534">
        <w:rPr>
          <w:color w:val="222222"/>
          <w:lang w:val="en-US" w:eastAsia="en-US"/>
        </w:rPr>
        <w:t xml:space="preserve"> (в </w:t>
      </w:r>
      <w:proofErr w:type="spellStart"/>
      <w:r w:rsidRPr="00206534">
        <w:rPr>
          <w:color w:val="222222"/>
          <w:lang w:val="en-US" w:eastAsia="en-US"/>
        </w:rPr>
        <w:t>зависимост</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броя</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постъпилите</w:t>
      </w:r>
      <w:proofErr w:type="spellEnd"/>
      <w:r w:rsidRPr="00206534">
        <w:rPr>
          <w:color w:val="222222"/>
          <w:lang w:val="en-US" w:eastAsia="en-US"/>
        </w:rPr>
        <w:t xml:space="preserve"> </w:t>
      </w:r>
      <w:proofErr w:type="spellStart"/>
      <w:r w:rsidRPr="00206534">
        <w:rPr>
          <w:color w:val="222222"/>
          <w:lang w:val="en-US" w:eastAsia="en-US"/>
        </w:rPr>
        <w:t>проектни</w:t>
      </w:r>
      <w:proofErr w:type="spellEnd"/>
      <w:r w:rsidRPr="00206534">
        <w:rPr>
          <w:color w:val="222222"/>
          <w:lang w:val="en-US" w:eastAsia="en-US"/>
        </w:rPr>
        <w:t xml:space="preserve"> </w:t>
      </w:r>
      <w:proofErr w:type="spellStart"/>
      <w:r w:rsidRPr="00206534">
        <w:rPr>
          <w:color w:val="222222"/>
          <w:lang w:val="en-US" w:eastAsia="en-US"/>
        </w:rPr>
        <w:t>предложения</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Временна</w:t>
      </w:r>
      <w:proofErr w:type="spellEnd"/>
      <w:r w:rsidRPr="00206534">
        <w:rPr>
          <w:color w:val="222222"/>
          <w:lang w:val="en-US" w:eastAsia="en-US"/>
        </w:rPr>
        <w:t xml:space="preserve"> </w:t>
      </w:r>
      <w:proofErr w:type="spellStart"/>
      <w:r w:rsidRPr="00206534">
        <w:rPr>
          <w:color w:val="222222"/>
          <w:lang w:val="en-US" w:eastAsia="en-US"/>
        </w:rPr>
        <w:t>научно-експертна</w:t>
      </w:r>
      <w:proofErr w:type="spellEnd"/>
      <w:r w:rsidRPr="00206534">
        <w:rPr>
          <w:color w:val="222222"/>
          <w:lang w:val="en-US" w:eastAsia="en-US"/>
        </w:rPr>
        <w:t xml:space="preserve"> </w:t>
      </w:r>
      <w:proofErr w:type="spellStart"/>
      <w:r w:rsidRPr="00206534">
        <w:rPr>
          <w:color w:val="222222"/>
          <w:lang w:val="en-US" w:eastAsia="en-US"/>
        </w:rPr>
        <w:t>комисия</w:t>
      </w:r>
      <w:proofErr w:type="spellEnd"/>
      <w:r w:rsidRPr="00206534">
        <w:rPr>
          <w:color w:val="222222"/>
          <w:lang w:val="en-US" w:eastAsia="en-US"/>
        </w:rPr>
        <w:t xml:space="preserve"> (ВНЕК), </w:t>
      </w:r>
      <w:proofErr w:type="spellStart"/>
      <w:r w:rsidRPr="00206534">
        <w:rPr>
          <w:color w:val="222222"/>
          <w:lang w:val="en-US" w:eastAsia="en-US"/>
        </w:rPr>
        <w:t>отговаряща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изпълнението</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настоящата</w:t>
      </w:r>
      <w:proofErr w:type="spellEnd"/>
      <w:r w:rsidRPr="00206534">
        <w:rPr>
          <w:color w:val="222222"/>
          <w:lang w:val="en-US" w:eastAsia="en-US"/>
        </w:rPr>
        <w:t xml:space="preserve"> </w:t>
      </w:r>
      <w:proofErr w:type="spellStart"/>
      <w:r w:rsidRPr="00206534">
        <w:rPr>
          <w:color w:val="222222"/>
          <w:lang w:val="en-US" w:eastAsia="en-US"/>
        </w:rPr>
        <w:t>процедура</w:t>
      </w:r>
      <w:proofErr w:type="spellEnd"/>
      <w:r w:rsidRPr="00206534">
        <w:rPr>
          <w:color w:val="222222"/>
          <w:lang w:val="en-US" w:eastAsia="en-US"/>
        </w:rPr>
        <w:t xml:space="preserve">, </w:t>
      </w:r>
      <w:proofErr w:type="spellStart"/>
      <w:r w:rsidRPr="00206534">
        <w:rPr>
          <w:color w:val="222222"/>
          <w:lang w:val="en-US" w:eastAsia="en-US"/>
        </w:rPr>
        <w:t>определена</w:t>
      </w:r>
      <w:proofErr w:type="spellEnd"/>
      <w:r w:rsidRPr="00206534">
        <w:rPr>
          <w:color w:val="222222"/>
          <w:lang w:val="en-US" w:eastAsia="en-US"/>
        </w:rPr>
        <w:t xml:space="preserve"> с </w:t>
      </w:r>
      <w:proofErr w:type="spellStart"/>
      <w:r w:rsidRPr="00206534">
        <w:rPr>
          <w:color w:val="222222"/>
          <w:lang w:val="en-US" w:eastAsia="en-US"/>
        </w:rPr>
        <w:t>решение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ИС </w:t>
      </w:r>
      <w:proofErr w:type="spellStart"/>
      <w:r w:rsidRPr="00206534">
        <w:rPr>
          <w:color w:val="222222"/>
          <w:lang w:val="en-US" w:eastAsia="en-US"/>
        </w:rPr>
        <w:t>на</w:t>
      </w:r>
      <w:proofErr w:type="spellEnd"/>
      <w:r w:rsidRPr="00206534">
        <w:rPr>
          <w:color w:val="222222"/>
          <w:lang w:val="en-US" w:eastAsia="en-US"/>
        </w:rPr>
        <w:t xml:space="preserve"> ФНИ.</w:t>
      </w:r>
    </w:p>
    <w:p w14:paraId="1792A763" w14:textId="77777777" w:rsidR="002413FB" w:rsidRPr="003858DA" w:rsidRDefault="002413FB" w:rsidP="00F762B5">
      <w:pPr>
        <w:spacing w:line="276" w:lineRule="auto"/>
        <w:rPr>
          <w:b/>
          <w:lang w:val="en-US" w:eastAsia="en-US"/>
        </w:rPr>
      </w:pPr>
      <w:r w:rsidRPr="003858DA">
        <w:rPr>
          <w:b/>
          <w:lang w:val="en-US" w:eastAsia="en-US"/>
        </w:rPr>
        <w:t xml:space="preserve">5.    </w:t>
      </w:r>
      <w:proofErr w:type="spellStart"/>
      <w:r w:rsidRPr="003858DA">
        <w:rPr>
          <w:b/>
          <w:lang w:val="en-US" w:eastAsia="en-US"/>
        </w:rPr>
        <w:t>Изисквания</w:t>
      </w:r>
      <w:proofErr w:type="spellEnd"/>
      <w:r w:rsidRPr="003858DA">
        <w:rPr>
          <w:b/>
          <w:lang w:val="en-US" w:eastAsia="en-US"/>
        </w:rPr>
        <w:t xml:space="preserve"> </w:t>
      </w:r>
      <w:proofErr w:type="spellStart"/>
      <w:r w:rsidRPr="003858DA">
        <w:rPr>
          <w:b/>
          <w:lang w:val="en-US" w:eastAsia="en-US"/>
        </w:rPr>
        <w:t>към</w:t>
      </w:r>
      <w:proofErr w:type="spellEnd"/>
      <w:r w:rsidRPr="003858DA">
        <w:rPr>
          <w:b/>
          <w:lang w:val="en-US" w:eastAsia="en-US"/>
        </w:rPr>
        <w:t xml:space="preserve"> </w:t>
      </w:r>
      <w:proofErr w:type="spellStart"/>
      <w:r w:rsidRPr="003858DA">
        <w:rPr>
          <w:b/>
          <w:lang w:val="en-US" w:eastAsia="en-US"/>
        </w:rPr>
        <w:t>кандидатите</w:t>
      </w:r>
      <w:proofErr w:type="spellEnd"/>
      <w:r w:rsidRPr="003858DA">
        <w:rPr>
          <w:b/>
          <w:lang w:val="en-US" w:eastAsia="en-US"/>
        </w:rPr>
        <w:t xml:space="preserve"> и </w:t>
      </w:r>
      <w:proofErr w:type="spellStart"/>
      <w:r w:rsidRPr="003858DA">
        <w:rPr>
          <w:b/>
          <w:lang w:val="en-US" w:eastAsia="en-US"/>
        </w:rPr>
        <w:t>проектите</w:t>
      </w:r>
      <w:proofErr w:type="spellEnd"/>
    </w:p>
    <w:p w14:paraId="702C3077" w14:textId="77777777" w:rsidR="002413FB" w:rsidRPr="00206534" w:rsidRDefault="002413FB" w:rsidP="00F762B5">
      <w:pPr>
        <w:shd w:val="clear" w:color="auto" w:fill="FFFFFF"/>
        <w:spacing w:before="120" w:after="120" w:line="276" w:lineRule="auto"/>
        <w:jc w:val="both"/>
        <w:rPr>
          <w:lang w:val="en-US" w:eastAsia="en-US"/>
        </w:rPr>
      </w:pPr>
      <w:proofErr w:type="spellStart"/>
      <w:r w:rsidRPr="00206534">
        <w:rPr>
          <w:b/>
          <w:bCs/>
          <w:lang w:val="en-US" w:eastAsia="en-US"/>
        </w:rPr>
        <w:t>Допустими</w:t>
      </w:r>
      <w:proofErr w:type="spellEnd"/>
      <w:r w:rsidRPr="00206534">
        <w:rPr>
          <w:b/>
          <w:bCs/>
          <w:lang w:val="en-US" w:eastAsia="en-US"/>
        </w:rPr>
        <w:t xml:space="preserve"> </w:t>
      </w:r>
      <w:proofErr w:type="spellStart"/>
      <w:r w:rsidRPr="00206534">
        <w:rPr>
          <w:b/>
          <w:bCs/>
          <w:lang w:val="en-US" w:eastAsia="en-US"/>
        </w:rPr>
        <w:t>кандидати</w:t>
      </w:r>
      <w:proofErr w:type="spellEnd"/>
    </w:p>
    <w:p w14:paraId="665BCEEE" w14:textId="77777777" w:rsidR="002413FB" w:rsidRPr="00206534" w:rsidRDefault="002413FB" w:rsidP="00291974">
      <w:pPr>
        <w:shd w:val="clear" w:color="auto" w:fill="FFFFFF"/>
        <w:spacing w:before="120" w:after="120" w:line="276" w:lineRule="auto"/>
        <w:jc w:val="both"/>
        <w:rPr>
          <w:color w:val="222222"/>
          <w:lang w:val="en-US" w:eastAsia="en-US"/>
        </w:rPr>
      </w:pPr>
      <w:proofErr w:type="spellStart"/>
      <w:r w:rsidRPr="00206534">
        <w:rPr>
          <w:color w:val="222222"/>
          <w:lang w:val="en-US" w:eastAsia="en-US"/>
        </w:rPr>
        <w:t>Допустими</w:t>
      </w:r>
      <w:proofErr w:type="spellEnd"/>
      <w:r w:rsidRPr="00206534">
        <w:rPr>
          <w:color w:val="222222"/>
          <w:lang w:val="en-US" w:eastAsia="en-US"/>
        </w:rPr>
        <w:t xml:space="preserve"> по </w:t>
      </w:r>
      <w:proofErr w:type="spellStart"/>
      <w:r w:rsidRPr="00206534">
        <w:rPr>
          <w:color w:val="222222"/>
          <w:lang w:val="en-US" w:eastAsia="en-US"/>
        </w:rPr>
        <w:t>настоящата</w:t>
      </w:r>
      <w:proofErr w:type="spellEnd"/>
      <w:r w:rsidRPr="00206534">
        <w:rPr>
          <w:color w:val="222222"/>
          <w:lang w:val="en-US" w:eastAsia="en-US"/>
        </w:rPr>
        <w:t xml:space="preserve"> </w:t>
      </w:r>
      <w:proofErr w:type="spellStart"/>
      <w:r w:rsidRPr="00206534">
        <w:rPr>
          <w:color w:val="222222"/>
          <w:lang w:val="en-US" w:eastAsia="en-US"/>
        </w:rPr>
        <w:t>процедура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подбор</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проекти</w:t>
      </w:r>
      <w:proofErr w:type="spellEnd"/>
      <w:r w:rsidRPr="00206534">
        <w:rPr>
          <w:color w:val="222222"/>
          <w:lang w:val="en-US" w:eastAsia="en-US"/>
        </w:rPr>
        <w:t xml:space="preserve"> </w:t>
      </w:r>
      <w:proofErr w:type="spellStart"/>
      <w:r w:rsidRPr="00206534">
        <w:rPr>
          <w:color w:val="222222"/>
          <w:lang w:val="en-US" w:eastAsia="en-US"/>
        </w:rPr>
        <w:t>са</w:t>
      </w:r>
      <w:proofErr w:type="spellEnd"/>
      <w:r w:rsidRPr="00206534">
        <w:rPr>
          <w:color w:val="222222"/>
          <w:lang w:val="en-US" w:eastAsia="en-US"/>
        </w:rPr>
        <w:t xml:space="preserve"> </w:t>
      </w:r>
      <w:proofErr w:type="spellStart"/>
      <w:r w:rsidRPr="00206534">
        <w:rPr>
          <w:color w:val="222222"/>
          <w:lang w:val="en-US" w:eastAsia="en-US"/>
        </w:rPr>
        <w:t>само</w:t>
      </w:r>
      <w:proofErr w:type="spellEnd"/>
      <w:r w:rsidRPr="00206534">
        <w:rPr>
          <w:color w:val="222222"/>
          <w:lang w:val="en-US" w:eastAsia="en-US"/>
        </w:rPr>
        <w:t xml:space="preserve"> </w:t>
      </w:r>
      <w:proofErr w:type="spellStart"/>
      <w:r w:rsidRPr="00206534">
        <w:rPr>
          <w:color w:val="222222"/>
          <w:lang w:val="en-US" w:eastAsia="en-US"/>
        </w:rPr>
        <w:t>кандидати</w:t>
      </w:r>
      <w:proofErr w:type="spellEnd"/>
      <w:r w:rsidRPr="00206534">
        <w:rPr>
          <w:color w:val="222222"/>
          <w:lang w:val="en-US" w:eastAsia="en-US"/>
        </w:rPr>
        <w:t xml:space="preserve">, </w:t>
      </w:r>
      <w:proofErr w:type="spellStart"/>
      <w:r w:rsidRPr="00206534">
        <w:rPr>
          <w:color w:val="222222"/>
          <w:lang w:val="en-US" w:eastAsia="en-US"/>
        </w:rPr>
        <w:t>които</w:t>
      </w:r>
      <w:proofErr w:type="spellEnd"/>
      <w:r w:rsidRPr="00206534">
        <w:rPr>
          <w:color w:val="222222"/>
          <w:lang w:val="en-US" w:eastAsia="en-US"/>
        </w:rPr>
        <w:t xml:space="preserve"> </w:t>
      </w:r>
      <w:proofErr w:type="spellStart"/>
      <w:r w:rsidRPr="00206534">
        <w:rPr>
          <w:color w:val="222222"/>
          <w:lang w:val="en-US" w:eastAsia="en-US"/>
        </w:rPr>
        <w:t>са</w:t>
      </w:r>
      <w:proofErr w:type="spellEnd"/>
      <w:r w:rsidRPr="00206534">
        <w:rPr>
          <w:color w:val="222222"/>
          <w:lang w:val="en-US" w:eastAsia="en-US"/>
        </w:rPr>
        <w:t xml:space="preserve"> </w:t>
      </w:r>
      <w:proofErr w:type="spellStart"/>
      <w:r w:rsidRPr="00206534">
        <w:rPr>
          <w:color w:val="222222"/>
          <w:lang w:val="en-US" w:eastAsia="en-US"/>
        </w:rPr>
        <w:t>учени</w:t>
      </w:r>
      <w:proofErr w:type="spellEnd"/>
      <w:r w:rsidRPr="00206534">
        <w:rPr>
          <w:color w:val="222222"/>
          <w:lang w:val="en-US" w:eastAsia="en-US"/>
        </w:rPr>
        <w:t xml:space="preserve"> </w:t>
      </w:r>
      <w:proofErr w:type="spellStart"/>
      <w:r w:rsidRPr="00206534">
        <w:rPr>
          <w:color w:val="222222"/>
          <w:lang w:val="en-US" w:eastAsia="en-US"/>
        </w:rPr>
        <w:t>или</w:t>
      </w:r>
      <w:proofErr w:type="spellEnd"/>
      <w:r w:rsidRPr="00206534">
        <w:rPr>
          <w:color w:val="222222"/>
          <w:lang w:val="en-US" w:eastAsia="en-US"/>
        </w:rPr>
        <w:t xml:space="preserve"> </w:t>
      </w:r>
      <w:proofErr w:type="spellStart"/>
      <w:r w:rsidRPr="00206534">
        <w:rPr>
          <w:color w:val="222222"/>
          <w:lang w:val="en-US" w:eastAsia="en-US"/>
        </w:rPr>
        <w:t>колективи</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учени</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w:t>
      </w:r>
    </w:p>
    <w:p w14:paraId="6B1E6949"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 </w:t>
      </w:r>
    </w:p>
    <w:p w14:paraId="08B9F3C8" w14:textId="77777777" w:rsidR="002413FB" w:rsidRPr="00206534" w:rsidRDefault="002413FB" w:rsidP="005D1D65">
      <w:pPr>
        <w:numPr>
          <w:ilvl w:val="0"/>
          <w:numId w:val="15"/>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акредитирани</w:t>
      </w:r>
      <w:proofErr w:type="spellEnd"/>
      <w:r w:rsidRPr="00206534">
        <w:rPr>
          <w:color w:val="222222"/>
          <w:lang w:val="en-US" w:eastAsia="en-US"/>
        </w:rPr>
        <w:t xml:space="preserve"> </w:t>
      </w:r>
      <w:proofErr w:type="spellStart"/>
      <w:r w:rsidRPr="00206534">
        <w:rPr>
          <w:color w:val="222222"/>
          <w:lang w:val="en-US" w:eastAsia="en-US"/>
        </w:rPr>
        <w:t>висши</w:t>
      </w:r>
      <w:proofErr w:type="spellEnd"/>
      <w:r w:rsidRPr="00206534">
        <w:rPr>
          <w:color w:val="222222"/>
          <w:lang w:val="en-US" w:eastAsia="en-US"/>
        </w:rPr>
        <w:t xml:space="preserve"> </w:t>
      </w:r>
      <w:proofErr w:type="spellStart"/>
      <w:r w:rsidRPr="00206534">
        <w:rPr>
          <w:color w:val="222222"/>
          <w:lang w:val="en-US" w:eastAsia="en-US"/>
        </w:rPr>
        <w:t>училища</w:t>
      </w:r>
      <w:proofErr w:type="spellEnd"/>
      <w:r w:rsidRPr="00206534">
        <w:rPr>
          <w:color w:val="222222"/>
          <w:lang w:val="en-US" w:eastAsia="en-US"/>
        </w:rPr>
        <w:t xml:space="preserve"> по </w:t>
      </w:r>
      <w:proofErr w:type="spellStart"/>
      <w:r w:rsidRPr="00206534">
        <w:rPr>
          <w:color w:val="222222"/>
          <w:lang w:val="en-US" w:eastAsia="en-US"/>
        </w:rPr>
        <w:t>чл</w:t>
      </w:r>
      <w:proofErr w:type="spellEnd"/>
      <w:r w:rsidRPr="00206534">
        <w:rPr>
          <w:color w:val="222222"/>
          <w:lang w:val="en-US" w:eastAsia="en-US"/>
        </w:rPr>
        <w:t xml:space="preserve">. 85, </w:t>
      </w:r>
      <w:proofErr w:type="spellStart"/>
      <w:r w:rsidRPr="00206534">
        <w:rPr>
          <w:color w:val="222222"/>
          <w:lang w:val="en-US" w:eastAsia="en-US"/>
        </w:rPr>
        <w:t>ал</w:t>
      </w:r>
      <w:proofErr w:type="spellEnd"/>
      <w:r w:rsidRPr="00206534">
        <w:rPr>
          <w:color w:val="222222"/>
          <w:lang w:val="en-US" w:eastAsia="en-US"/>
        </w:rPr>
        <w:t xml:space="preserve">. 1, т. 7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Закона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висшето</w:t>
      </w:r>
      <w:proofErr w:type="spellEnd"/>
      <w:r w:rsidRPr="00206534">
        <w:rPr>
          <w:color w:val="222222"/>
          <w:lang w:val="en-US" w:eastAsia="en-US"/>
        </w:rPr>
        <w:t xml:space="preserve"> </w:t>
      </w:r>
      <w:proofErr w:type="spellStart"/>
      <w:r w:rsidRPr="00206534">
        <w:rPr>
          <w:color w:val="222222"/>
          <w:lang w:val="en-US" w:eastAsia="en-US"/>
        </w:rPr>
        <w:t>образование</w:t>
      </w:r>
      <w:proofErr w:type="spellEnd"/>
      <w:r w:rsidRPr="00206534">
        <w:rPr>
          <w:color w:val="222222"/>
          <w:lang w:val="en-US" w:eastAsia="en-US"/>
        </w:rPr>
        <w:t xml:space="preserve"> (ЗВО), </w:t>
      </w:r>
      <w:bookmarkStart w:id="33" w:name="_Hlk101432081"/>
      <w:bookmarkEnd w:id="33"/>
      <w:proofErr w:type="spellStart"/>
      <w:r w:rsidRPr="00206534">
        <w:rPr>
          <w:color w:val="222222"/>
          <w:lang w:val="en-US" w:eastAsia="en-US"/>
        </w:rPr>
        <w:t>които</w:t>
      </w:r>
      <w:proofErr w:type="spellEnd"/>
      <w:r w:rsidRPr="00206534">
        <w:rPr>
          <w:color w:val="222222"/>
          <w:lang w:val="en-US" w:eastAsia="en-US"/>
        </w:rPr>
        <w:t xml:space="preserve"> </w:t>
      </w:r>
      <w:proofErr w:type="spellStart"/>
      <w:r w:rsidRPr="00206534">
        <w:rPr>
          <w:color w:val="222222"/>
          <w:lang w:val="en-US" w:eastAsia="en-US"/>
        </w:rPr>
        <w:t>са</w:t>
      </w:r>
      <w:proofErr w:type="spellEnd"/>
      <w:r w:rsidRPr="00206534">
        <w:rPr>
          <w:color w:val="222222"/>
          <w:lang w:val="en-US" w:eastAsia="en-US"/>
        </w:rPr>
        <w:t xml:space="preserve"> </w:t>
      </w:r>
      <w:proofErr w:type="spellStart"/>
      <w:r w:rsidRPr="00206534">
        <w:rPr>
          <w:color w:val="222222"/>
          <w:lang w:val="en-US" w:eastAsia="en-US"/>
        </w:rPr>
        <w:t>акредитирани</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Националната</w:t>
      </w:r>
      <w:proofErr w:type="spellEnd"/>
      <w:r w:rsidRPr="00206534">
        <w:rPr>
          <w:color w:val="222222"/>
          <w:lang w:val="en-US" w:eastAsia="en-US"/>
        </w:rPr>
        <w:t xml:space="preserve"> </w:t>
      </w:r>
      <w:proofErr w:type="spellStart"/>
      <w:r w:rsidRPr="00206534">
        <w:rPr>
          <w:color w:val="222222"/>
          <w:lang w:val="en-US" w:eastAsia="en-US"/>
        </w:rPr>
        <w:t>агенция</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оценяване</w:t>
      </w:r>
      <w:proofErr w:type="spellEnd"/>
      <w:r w:rsidRPr="00206534">
        <w:rPr>
          <w:color w:val="222222"/>
          <w:lang w:val="en-US" w:eastAsia="en-US"/>
        </w:rPr>
        <w:t xml:space="preserve"> и </w:t>
      </w:r>
      <w:proofErr w:type="spellStart"/>
      <w:r w:rsidRPr="00206534">
        <w:rPr>
          <w:color w:val="222222"/>
          <w:lang w:val="en-US" w:eastAsia="en-US"/>
        </w:rPr>
        <w:t>акредитация</w:t>
      </w:r>
      <w:proofErr w:type="spellEnd"/>
      <w:r w:rsidRPr="00206534">
        <w:rPr>
          <w:color w:val="222222"/>
          <w:lang w:val="en-US" w:eastAsia="en-US"/>
        </w:rPr>
        <w:t xml:space="preserve"> (НАОА) </w:t>
      </w:r>
      <w:proofErr w:type="spellStart"/>
      <w:r w:rsidRPr="00206534">
        <w:rPr>
          <w:color w:val="222222"/>
          <w:lang w:val="en-US" w:eastAsia="en-US"/>
        </w:rPr>
        <w:t>да</w:t>
      </w:r>
      <w:proofErr w:type="spellEnd"/>
      <w:r w:rsidRPr="00206534">
        <w:rPr>
          <w:color w:val="222222"/>
          <w:lang w:val="en-US" w:eastAsia="en-US"/>
        </w:rPr>
        <w:t xml:space="preserve"> </w:t>
      </w:r>
      <w:proofErr w:type="spellStart"/>
      <w:r w:rsidRPr="00206534">
        <w:rPr>
          <w:color w:val="222222"/>
          <w:lang w:val="en-US" w:eastAsia="en-US"/>
        </w:rPr>
        <w:t>провеждат</w:t>
      </w:r>
      <w:proofErr w:type="spellEnd"/>
      <w:r w:rsidRPr="00206534">
        <w:rPr>
          <w:color w:val="222222"/>
          <w:lang w:val="en-US" w:eastAsia="en-US"/>
        </w:rPr>
        <w:t xml:space="preserve"> </w:t>
      </w:r>
      <w:proofErr w:type="spellStart"/>
      <w:r w:rsidRPr="00206534">
        <w:rPr>
          <w:color w:val="222222"/>
          <w:lang w:val="en-US" w:eastAsia="en-US"/>
        </w:rPr>
        <w:t>обучение</w:t>
      </w:r>
      <w:proofErr w:type="spellEnd"/>
      <w:r w:rsidRPr="00206534">
        <w:rPr>
          <w:color w:val="222222"/>
          <w:lang w:val="en-US" w:eastAsia="en-US"/>
        </w:rPr>
        <w:t xml:space="preserve"> по </w:t>
      </w:r>
      <w:proofErr w:type="spellStart"/>
      <w:r w:rsidRPr="00206534">
        <w:rPr>
          <w:color w:val="222222"/>
          <w:lang w:val="en-US" w:eastAsia="en-US"/>
        </w:rPr>
        <w:t>образователна</w:t>
      </w:r>
      <w:proofErr w:type="spellEnd"/>
      <w:r w:rsidRPr="00206534">
        <w:rPr>
          <w:color w:val="222222"/>
          <w:lang w:val="en-US" w:eastAsia="en-US"/>
        </w:rPr>
        <w:t xml:space="preserve"> и </w:t>
      </w:r>
      <w:proofErr w:type="spellStart"/>
      <w:r w:rsidRPr="00206534">
        <w:rPr>
          <w:color w:val="222222"/>
          <w:lang w:val="en-US" w:eastAsia="en-US"/>
        </w:rPr>
        <w:t>научна</w:t>
      </w:r>
      <w:proofErr w:type="spellEnd"/>
      <w:r w:rsidRPr="00206534">
        <w:rPr>
          <w:color w:val="222222"/>
          <w:lang w:val="en-US" w:eastAsia="en-US"/>
        </w:rPr>
        <w:t xml:space="preserve"> </w:t>
      </w:r>
      <w:proofErr w:type="spellStart"/>
      <w:r w:rsidRPr="00206534">
        <w:rPr>
          <w:color w:val="222222"/>
          <w:lang w:val="en-US" w:eastAsia="en-US"/>
        </w:rPr>
        <w:t>степен</w:t>
      </w:r>
      <w:proofErr w:type="spellEnd"/>
      <w:r w:rsidRPr="00206534">
        <w:rPr>
          <w:color w:val="222222"/>
          <w:lang w:val="en-US" w:eastAsia="en-US"/>
        </w:rPr>
        <w:t xml:space="preserve"> "</w:t>
      </w:r>
      <w:proofErr w:type="spellStart"/>
      <w:r w:rsidRPr="00206534">
        <w:rPr>
          <w:color w:val="222222"/>
          <w:lang w:val="en-US" w:eastAsia="en-US"/>
        </w:rPr>
        <w:t>доктор</w:t>
      </w:r>
      <w:proofErr w:type="spellEnd"/>
      <w:r w:rsidRPr="00206534">
        <w:rPr>
          <w:color w:val="222222"/>
          <w:lang w:val="en-US" w:eastAsia="en-US"/>
        </w:rPr>
        <w:t>";</w:t>
      </w:r>
    </w:p>
    <w:p w14:paraId="60CA069D" w14:textId="77777777" w:rsidR="002413FB" w:rsidRPr="00206534" w:rsidRDefault="002413FB" w:rsidP="005D1D65">
      <w:pPr>
        <w:numPr>
          <w:ilvl w:val="0"/>
          <w:numId w:val="15"/>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научни</w:t>
      </w:r>
      <w:proofErr w:type="spellEnd"/>
      <w:r w:rsidRPr="00206534">
        <w:rPr>
          <w:color w:val="222222"/>
          <w:lang w:val="en-US" w:eastAsia="en-US"/>
        </w:rPr>
        <w:t xml:space="preserve"> </w:t>
      </w:r>
      <w:proofErr w:type="spellStart"/>
      <w:r w:rsidRPr="00206534">
        <w:rPr>
          <w:color w:val="222222"/>
          <w:lang w:val="en-US" w:eastAsia="en-US"/>
        </w:rPr>
        <w:t>организации</w:t>
      </w:r>
      <w:proofErr w:type="spellEnd"/>
      <w:r w:rsidRPr="00206534">
        <w:rPr>
          <w:color w:val="222222"/>
          <w:lang w:val="en-US" w:eastAsia="en-US"/>
        </w:rPr>
        <w:t xml:space="preserve">, </w:t>
      </w:r>
      <w:proofErr w:type="spellStart"/>
      <w:r w:rsidRPr="00206534">
        <w:rPr>
          <w:color w:val="222222"/>
          <w:lang w:val="en-US" w:eastAsia="en-US"/>
        </w:rPr>
        <w:t>съгласно</w:t>
      </w:r>
      <w:proofErr w:type="spellEnd"/>
      <w:r w:rsidRPr="00206534">
        <w:rPr>
          <w:color w:val="222222"/>
          <w:lang w:val="en-US" w:eastAsia="en-US"/>
        </w:rPr>
        <w:t xml:space="preserve"> §</w:t>
      </w:r>
      <w:proofErr w:type="gramStart"/>
      <w:r w:rsidRPr="00206534">
        <w:rPr>
          <w:color w:val="222222"/>
          <w:lang w:val="en-US" w:eastAsia="en-US"/>
        </w:rPr>
        <w:t>1 ,</w:t>
      </w:r>
      <w:proofErr w:type="gramEnd"/>
      <w:r w:rsidRPr="00206534">
        <w:rPr>
          <w:color w:val="222222"/>
          <w:lang w:val="en-US" w:eastAsia="en-US"/>
        </w:rPr>
        <w:t xml:space="preserve"> т. 1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Допълнителните</w:t>
      </w:r>
      <w:proofErr w:type="spellEnd"/>
      <w:r w:rsidRPr="00206534">
        <w:rPr>
          <w:color w:val="222222"/>
          <w:lang w:val="en-US" w:eastAsia="en-US"/>
        </w:rPr>
        <w:t xml:space="preserve"> </w:t>
      </w:r>
      <w:proofErr w:type="spellStart"/>
      <w:r w:rsidRPr="00206534">
        <w:rPr>
          <w:color w:val="222222"/>
          <w:lang w:val="en-US" w:eastAsia="en-US"/>
        </w:rPr>
        <w:t>разпоредби</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ЗННИИ, и по </w:t>
      </w:r>
      <w:proofErr w:type="spellStart"/>
      <w:r w:rsidRPr="00206534">
        <w:rPr>
          <w:color w:val="222222"/>
          <w:lang w:val="en-US" w:eastAsia="en-US"/>
        </w:rPr>
        <w:t>чл</w:t>
      </w:r>
      <w:proofErr w:type="spellEnd"/>
      <w:r w:rsidRPr="00206534">
        <w:rPr>
          <w:color w:val="222222"/>
          <w:lang w:val="en-US" w:eastAsia="en-US"/>
        </w:rPr>
        <w:t xml:space="preserve">. 47, </w:t>
      </w:r>
      <w:proofErr w:type="spellStart"/>
      <w:r w:rsidRPr="00206534">
        <w:rPr>
          <w:color w:val="222222"/>
          <w:lang w:val="en-US" w:eastAsia="en-US"/>
        </w:rPr>
        <w:t>ал</w:t>
      </w:r>
      <w:proofErr w:type="spellEnd"/>
      <w:r w:rsidRPr="00206534">
        <w:rPr>
          <w:color w:val="222222"/>
          <w:lang w:val="en-US" w:eastAsia="en-US"/>
        </w:rPr>
        <w:t xml:space="preserve">. 1 </w:t>
      </w:r>
      <w:proofErr w:type="spellStart"/>
      <w:r w:rsidRPr="00206534">
        <w:rPr>
          <w:color w:val="222222"/>
          <w:lang w:val="en-US" w:eastAsia="en-US"/>
        </w:rPr>
        <w:t>на</w:t>
      </w:r>
      <w:proofErr w:type="spellEnd"/>
      <w:r w:rsidRPr="00206534">
        <w:rPr>
          <w:color w:val="222222"/>
          <w:lang w:val="en-US" w:eastAsia="en-US"/>
        </w:rPr>
        <w:t xml:space="preserve"> ЗВО, </w:t>
      </w:r>
      <w:proofErr w:type="spellStart"/>
      <w:r w:rsidRPr="00206534">
        <w:rPr>
          <w:color w:val="222222"/>
          <w:lang w:val="en-US" w:eastAsia="en-US"/>
        </w:rPr>
        <w:t>които</w:t>
      </w:r>
      <w:proofErr w:type="spellEnd"/>
      <w:r w:rsidRPr="00206534">
        <w:rPr>
          <w:color w:val="222222"/>
          <w:lang w:val="en-US" w:eastAsia="en-US"/>
        </w:rPr>
        <w:t xml:space="preserve"> </w:t>
      </w:r>
      <w:proofErr w:type="spellStart"/>
      <w:r w:rsidRPr="00206534">
        <w:rPr>
          <w:color w:val="222222"/>
          <w:lang w:val="en-US" w:eastAsia="en-US"/>
        </w:rPr>
        <w:t>са</w:t>
      </w:r>
      <w:proofErr w:type="spellEnd"/>
      <w:r w:rsidRPr="00206534">
        <w:rPr>
          <w:color w:val="222222"/>
          <w:lang w:val="en-US" w:eastAsia="en-US"/>
        </w:rPr>
        <w:t xml:space="preserve"> </w:t>
      </w:r>
      <w:proofErr w:type="spellStart"/>
      <w:r w:rsidRPr="00206534">
        <w:rPr>
          <w:color w:val="222222"/>
          <w:lang w:val="en-US" w:eastAsia="en-US"/>
        </w:rPr>
        <w:t>акредитирани</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НАОА </w:t>
      </w:r>
      <w:proofErr w:type="spellStart"/>
      <w:r w:rsidRPr="00206534">
        <w:rPr>
          <w:color w:val="222222"/>
          <w:lang w:val="en-US" w:eastAsia="en-US"/>
        </w:rPr>
        <w:t>да</w:t>
      </w:r>
      <w:proofErr w:type="spellEnd"/>
      <w:r w:rsidRPr="00206534">
        <w:rPr>
          <w:color w:val="222222"/>
          <w:lang w:val="en-US" w:eastAsia="en-US"/>
        </w:rPr>
        <w:t xml:space="preserve"> </w:t>
      </w:r>
      <w:proofErr w:type="spellStart"/>
      <w:r w:rsidRPr="00206534">
        <w:rPr>
          <w:color w:val="222222"/>
          <w:lang w:val="en-US" w:eastAsia="en-US"/>
        </w:rPr>
        <w:t>провеждат</w:t>
      </w:r>
      <w:proofErr w:type="spellEnd"/>
      <w:r w:rsidRPr="00206534">
        <w:rPr>
          <w:color w:val="222222"/>
          <w:lang w:val="en-US" w:eastAsia="en-US"/>
        </w:rPr>
        <w:t xml:space="preserve"> </w:t>
      </w:r>
      <w:proofErr w:type="spellStart"/>
      <w:r w:rsidRPr="00206534">
        <w:rPr>
          <w:color w:val="222222"/>
          <w:lang w:val="en-US" w:eastAsia="en-US"/>
        </w:rPr>
        <w:t>обучение</w:t>
      </w:r>
      <w:proofErr w:type="spellEnd"/>
      <w:r w:rsidRPr="00206534">
        <w:rPr>
          <w:color w:val="222222"/>
          <w:lang w:val="en-US" w:eastAsia="en-US"/>
        </w:rPr>
        <w:t xml:space="preserve"> по </w:t>
      </w:r>
      <w:proofErr w:type="spellStart"/>
      <w:r w:rsidRPr="00206534">
        <w:rPr>
          <w:color w:val="222222"/>
          <w:lang w:val="en-US" w:eastAsia="en-US"/>
        </w:rPr>
        <w:t>образователна</w:t>
      </w:r>
      <w:proofErr w:type="spellEnd"/>
      <w:r w:rsidRPr="00206534">
        <w:rPr>
          <w:color w:val="222222"/>
          <w:lang w:val="en-US" w:eastAsia="en-US"/>
        </w:rPr>
        <w:t xml:space="preserve"> и </w:t>
      </w:r>
      <w:proofErr w:type="spellStart"/>
      <w:r w:rsidRPr="00206534">
        <w:rPr>
          <w:color w:val="222222"/>
          <w:lang w:val="en-US" w:eastAsia="en-US"/>
        </w:rPr>
        <w:t>научна</w:t>
      </w:r>
      <w:proofErr w:type="spellEnd"/>
      <w:r w:rsidRPr="00206534">
        <w:rPr>
          <w:color w:val="222222"/>
          <w:lang w:val="en-US" w:eastAsia="en-US"/>
        </w:rPr>
        <w:t xml:space="preserve"> </w:t>
      </w:r>
      <w:proofErr w:type="spellStart"/>
      <w:r w:rsidRPr="00206534">
        <w:rPr>
          <w:color w:val="222222"/>
          <w:lang w:val="en-US" w:eastAsia="en-US"/>
        </w:rPr>
        <w:t>степен</w:t>
      </w:r>
      <w:proofErr w:type="spellEnd"/>
      <w:r w:rsidRPr="00206534">
        <w:rPr>
          <w:color w:val="222222"/>
          <w:lang w:val="en-US" w:eastAsia="en-US"/>
        </w:rPr>
        <w:t xml:space="preserve"> „</w:t>
      </w:r>
      <w:proofErr w:type="spellStart"/>
      <w:proofErr w:type="gramStart"/>
      <w:r w:rsidRPr="00206534">
        <w:rPr>
          <w:color w:val="222222"/>
          <w:lang w:val="en-US" w:eastAsia="en-US"/>
        </w:rPr>
        <w:t>доктор</w:t>
      </w:r>
      <w:proofErr w:type="spellEnd"/>
      <w:r w:rsidRPr="00206534">
        <w:rPr>
          <w:color w:val="222222"/>
          <w:lang w:val="en-US" w:eastAsia="en-US"/>
        </w:rPr>
        <w:t>“</w:t>
      </w:r>
      <w:proofErr w:type="gramEnd"/>
      <w:r w:rsidRPr="00206534">
        <w:rPr>
          <w:color w:val="222222"/>
          <w:lang w:val="en-US" w:eastAsia="en-US"/>
        </w:rPr>
        <w:t>.</w:t>
      </w:r>
    </w:p>
    <w:p w14:paraId="416C8F66" w14:textId="77777777" w:rsidR="002413FB" w:rsidRPr="00206534" w:rsidRDefault="002413FB" w:rsidP="00F762B5">
      <w:pPr>
        <w:shd w:val="clear" w:color="auto" w:fill="FFFFFF"/>
        <w:spacing w:before="120" w:after="120" w:line="276" w:lineRule="auto"/>
        <w:jc w:val="both"/>
        <w:rPr>
          <w:color w:val="222222"/>
          <w:lang w:val="en-US" w:eastAsia="en-US"/>
        </w:rPr>
      </w:pPr>
      <w:proofErr w:type="spellStart"/>
      <w:r w:rsidRPr="00206534">
        <w:rPr>
          <w:color w:val="222222"/>
          <w:lang w:val="en-US" w:eastAsia="en-US"/>
        </w:rPr>
        <w:t>Проверката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горепосочените</w:t>
      </w:r>
      <w:proofErr w:type="spellEnd"/>
      <w:r w:rsidRPr="00206534">
        <w:rPr>
          <w:color w:val="222222"/>
          <w:lang w:val="en-US" w:eastAsia="en-US"/>
        </w:rPr>
        <w:t xml:space="preserve"> </w:t>
      </w:r>
      <w:proofErr w:type="spellStart"/>
      <w:r w:rsidRPr="00206534">
        <w:rPr>
          <w:color w:val="222222"/>
          <w:lang w:val="en-US" w:eastAsia="en-US"/>
        </w:rPr>
        <w:t>обстоятелства</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извършва</w:t>
      </w:r>
      <w:proofErr w:type="spellEnd"/>
      <w:r w:rsidRPr="00206534">
        <w:rPr>
          <w:color w:val="222222"/>
          <w:lang w:val="en-US" w:eastAsia="en-US"/>
        </w:rPr>
        <w:t xml:space="preserve"> в </w:t>
      </w:r>
      <w:proofErr w:type="spellStart"/>
      <w:r w:rsidRPr="00206534">
        <w:rPr>
          <w:color w:val="222222"/>
          <w:lang w:val="en-US" w:eastAsia="en-US"/>
        </w:rPr>
        <w:t>регистъра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НАОА.</w:t>
      </w:r>
    </w:p>
    <w:p w14:paraId="7CC61823" w14:textId="77777777" w:rsidR="002413FB" w:rsidRPr="00206534" w:rsidRDefault="002413FB" w:rsidP="00F762B5">
      <w:pPr>
        <w:shd w:val="clear" w:color="auto" w:fill="FFFFFF"/>
        <w:spacing w:before="120" w:after="120" w:line="276" w:lineRule="auto"/>
        <w:jc w:val="both"/>
        <w:rPr>
          <w:color w:val="222222"/>
          <w:lang w:val="en-US" w:eastAsia="en-US"/>
        </w:rPr>
      </w:pPr>
      <w:proofErr w:type="spellStart"/>
      <w:r w:rsidRPr="00206534">
        <w:rPr>
          <w:color w:val="222222"/>
          <w:lang w:val="en-US" w:eastAsia="en-US"/>
        </w:rPr>
        <w:t>Кандидатите</w:t>
      </w:r>
      <w:proofErr w:type="spellEnd"/>
      <w:r w:rsidRPr="00206534">
        <w:rPr>
          <w:color w:val="222222"/>
          <w:lang w:val="en-US" w:eastAsia="en-US"/>
        </w:rPr>
        <w:t xml:space="preserve"> по </w:t>
      </w:r>
      <w:proofErr w:type="spellStart"/>
      <w:r w:rsidRPr="00206534">
        <w:rPr>
          <w:color w:val="222222"/>
          <w:lang w:val="en-US" w:eastAsia="en-US"/>
        </w:rPr>
        <w:t>процедурата</w:t>
      </w:r>
      <w:proofErr w:type="spellEnd"/>
      <w:r w:rsidRPr="00206534">
        <w:rPr>
          <w:color w:val="222222"/>
          <w:lang w:val="en-US" w:eastAsia="en-US"/>
        </w:rPr>
        <w:t xml:space="preserve"> </w:t>
      </w:r>
      <w:proofErr w:type="spellStart"/>
      <w:r w:rsidRPr="00206534">
        <w:rPr>
          <w:color w:val="222222"/>
          <w:lang w:val="en-US" w:eastAsia="en-US"/>
        </w:rPr>
        <w:t>трябва</w:t>
      </w:r>
      <w:proofErr w:type="spellEnd"/>
      <w:r w:rsidRPr="00206534">
        <w:rPr>
          <w:color w:val="222222"/>
          <w:lang w:val="en-US" w:eastAsia="en-US"/>
        </w:rPr>
        <w:t xml:space="preserve"> </w:t>
      </w:r>
      <w:proofErr w:type="spellStart"/>
      <w:r w:rsidRPr="00206534">
        <w:rPr>
          <w:color w:val="222222"/>
          <w:lang w:val="en-US" w:eastAsia="en-US"/>
        </w:rPr>
        <w:t>да</w:t>
      </w:r>
      <w:proofErr w:type="spellEnd"/>
      <w:r w:rsidRPr="00206534">
        <w:rPr>
          <w:color w:val="222222"/>
          <w:lang w:val="en-US" w:eastAsia="en-US"/>
        </w:rPr>
        <w:t xml:space="preserve"> </w:t>
      </w:r>
      <w:proofErr w:type="spellStart"/>
      <w:r w:rsidRPr="00206534">
        <w:rPr>
          <w:color w:val="222222"/>
          <w:lang w:val="en-US" w:eastAsia="en-US"/>
        </w:rPr>
        <w:t>са</w:t>
      </w:r>
      <w:proofErr w:type="spellEnd"/>
      <w:r w:rsidRPr="00206534">
        <w:rPr>
          <w:color w:val="222222"/>
          <w:lang w:val="en-US" w:eastAsia="en-US"/>
        </w:rPr>
        <w:t xml:space="preserve"> </w:t>
      </w:r>
      <w:proofErr w:type="spellStart"/>
      <w:r w:rsidRPr="00206534">
        <w:rPr>
          <w:color w:val="222222"/>
          <w:lang w:val="en-US" w:eastAsia="en-US"/>
        </w:rPr>
        <w:t>субекти</w:t>
      </w:r>
      <w:proofErr w:type="spellEnd"/>
      <w:r w:rsidRPr="00206534">
        <w:rPr>
          <w:color w:val="222222"/>
          <w:lang w:val="en-US" w:eastAsia="en-US"/>
        </w:rPr>
        <w:t xml:space="preserve">, </w:t>
      </w:r>
      <w:proofErr w:type="spellStart"/>
      <w:r w:rsidRPr="00206534">
        <w:rPr>
          <w:color w:val="222222"/>
          <w:lang w:val="en-US" w:eastAsia="en-US"/>
        </w:rPr>
        <w:t>осъществяващи</w:t>
      </w:r>
      <w:proofErr w:type="spellEnd"/>
      <w:r w:rsidRPr="00206534">
        <w:rPr>
          <w:color w:val="222222"/>
          <w:lang w:val="en-US" w:eastAsia="en-US"/>
        </w:rPr>
        <w:t xml:space="preserve"> </w:t>
      </w:r>
      <w:proofErr w:type="spellStart"/>
      <w:r w:rsidRPr="00206534">
        <w:rPr>
          <w:color w:val="222222"/>
          <w:lang w:val="en-US" w:eastAsia="en-US"/>
        </w:rPr>
        <w:t>научни</w:t>
      </w:r>
      <w:proofErr w:type="spellEnd"/>
      <w:r w:rsidRPr="00206534">
        <w:rPr>
          <w:color w:val="222222"/>
          <w:lang w:val="en-US" w:eastAsia="en-US"/>
        </w:rPr>
        <w:t xml:space="preserve"> </w:t>
      </w:r>
      <w:proofErr w:type="spellStart"/>
      <w:r w:rsidRPr="00206534">
        <w:rPr>
          <w:color w:val="222222"/>
          <w:lang w:val="en-US" w:eastAsia="en-US"/>
        </w:rPr>
        <w:t>изследвания</w:t>
      </w:r>
      <w:proofErr w:type="spellEnd"/>
      <w:r w:rsidRPr="00206534">
        <w:rPr>
          <w:color w:val="222222"/>
          <w:lang w:val="en-US" w:eastAsia="en-US"/>
        </w:rPr>
        <w:t xml:space="preserve">, </w:t>
      </w:r>
      <w:proofErr w:type="spellStart"/>
      <w:r w:rsidRPr="00206534">
        <w:rPr>
          <w:color w:val="222222"/>
          <w:lang w:val="en-US" w:eastAsia="en-US"/>
        </w:rPr>
        <w:t>чиито</w:t>
      </w:r>
      <w:proofErr w:type="spellEnd"/>
      <w:r w:rsidRPr="00206534">
        <w:rPr>
          <w:color w:val="222222"/>
          <w:lang w:val="en-US" w:eastAsia="en-US"/>
        </w:rPr>
        <w:t xml:space="preserve"> </w:t>
      </w:r>
      <w:proofErr w:type="spellStart"/>
      <w:r w:rsidRPr="00206534">
        <w:rPr>
          <w:color w:val="222222"/>
          <w:lang w:val="en-US" w:eastAsia="en-US"/>
        </w:rPr>
        <w:t>дейности</w:t>
      </w:r>
      <w:proofErr w:type="spellEnd"/>
      <w:r w:rsidRPr="00206534">
        <w:rPr>
          <w:color w:val="222222"/>
          <w:lang w:val="en-US" w:eastAsia="en-US"/>
        </w:rPr>
        <w:t xml:space="preserve"> </w:t>
      </w:r>
      <w:proofErr w:type="spellStart"/>
      <w:r w:rsidRPr="00206534">
        <w:rPr>
          <w:color w:val="222222"/>
          <w:lang w:val="en-US" w:eastAsia="en-US"/>
        </w:rPr>
        <w:t>са</w:t>
      </w:r>
      <w:proofErr w:type="spellEnd"/>
      <w:r w:rsidRPr="00206534">
        <w:rPr>
          <w:color w:val="222222"/>
          <w:lang w:val="en-US" w:eastAsia="en-US"/>
        </w:rPr>
        <w:t xml:space="preserve"> </w:t>
      </w:r>
      <w:proofErr w:type="spellStart"/>
      <w:r w:rsidRPr="00206534">
        <w:rPr>
          <w:color w:val="222222"/>
          <w:lang w:val="en-US" w:eastAsia="en-US"/>
        </w:rPr>
        <w:t>изцяло</w:t>
      </w:r>
      <w:proofErr w:type="spellEnd"/>
      <w:r w:rsidRPr="00206534">
        <w:rPr>
          <w:color w:val="222222"/>
          <w:lang w:val="en-US" w:eastAsia="en-US"/>
        </w:rPr>
        <w:t xml:space="preserve"> с </w:t>
      </w:r>
      <w:proofErr w:type="spellStart"/>
      <w:r w:rsidRPr="00206534">
        <w:rPr>
          <w:color w:val="222222"/>
          <w:lang w:val="en-US" w:eastAsia="en-US"/>
        </w:rPr>
        <w:t>нестопански</w:t>
      </w:r>
      <w:proofErr w:type="spellEnd"/>
      <w:r w:rsidRPr="00206534">
        <w:rPr>
          <w:color w:val="222222"/>
          <w:lang w:val="en-US" w:eastAsia="en-US"/>
        </w:rPr>
        <w:t xml:space="preserve"> </w:t>
      </w:r>
      <w:proofErr w:type="spellStart"/>
      <w:r w:rsidRPr="00206534">
        <w:rPr>
          <w:color w:val="222222"/>
          <w:lang w:val="en-US" w:eastAsia="en-US"/>
        </w:rPr>
        <w:t>характер</w:t>
      </w:r>
      <w:proofErr w:type="spellEnd"/>
      <w:r w:rsidRPr="00206534">
        <w:rPr>
          <w:color w:val="222222"/>
          <w:lang w:val="en-US" w:eastAsia="en-US"/>
        </w:rPr>
        <w:t xml:space="preserve"> </w:t>
      </w:r>
      <w:proofErr w:type="spellStart"/>
      <w:r w:rsidRPr="00206534">
        <w:rPr>
          <w:color w:val="222222"/>
          <w:lang w:val="en-US" w:eastAsia="en-US"/>
        </w:rPr>
        <w:t>или</w:t>
      </w:r>
      <w:proofErr w:type="spellEnd"/>
      <w:r w:rsidRPr="00206534">
        <w:rPr>
          <w:color w:val="222222"/>
          <w:lang w:val="en-US" w:eastAsia="en-US"/>
        </w:rPr>
        <w:t xml:space="preserve"> </w:t>
      </w:r>
      <w:proofErr w:type="spellStart"/>
      <w:r w:rsidRPr="00206534">
        <w:rPr>
          <w:color w:val="222222"/>
          <w:lang w:val="en-US" w:eastAsia="en-US"/>
        </w:rPr>
        <w:t>чиито</w:t>
      </w:r>
      <w:proofErr w:type="spellEnd"/>
      <w:r w:rsidRPr="00206534">
        <w:rPr>
          <w:color w:val="222222"/>
          <w:lang w:val="en-US" w:eastAsia="en-US"/>
        </w:rPr>
        <w:t xml:space="preserve"> </w:t>
      </w:r>
      <w:proofErr w:type="spellStart"/>
      <w:r w:rsidRPr="00206534">
        <w:rPr>
          <w:color w:val="222222"/>
          <w:lang w:val="en-US" w:eastAsia="en-US"/>
        </w:rPr>
        <w:t>дейности</w:t>
      </w:r>
      <w:proofErr w:type="spellEnd"/>
      <w:r w:rsidRPr="00206534">
        <w:rPr>
          <w:color w:val="222222"/>
          <w:lang w:val="en-US" w:eastAsia="en-US"/>
        </w:rPr>
        <w:t xml:space="preserve"> </w:t>
      </w:r>
      <w:proofErr w:type="spellStart"/>
      <w:r w:rsidRPr="00206534">
        <w:rPr>
          <w:color w:val="222222"/>
          <w:lang w:val="en-US" w:eastAsia="en-US"/>
        </w:rPr>
        <w:t>са</w:t>
      </w:r>
      <w:proofErr w:type="spellEnd"/>
      <w:r w:rsidRPr="00206534">
        <w:rPr>
          <w:color w:val="222222"/>
          <w:lang w:val="en-US" w:eastAsia="en-US"/>
        </w:rPr>
        <w:t xml:space="preserve"> </w:t>
      </w:r>
      <w:proofErr w:type="spellStart"/>
      <w:r w:rsidRPr="00206534">
        <w:rPr>
          <w:color w:val="222222"/>
          <w:lang w:val="en-US" w:eastAsia="en-US"/>
        </w:rPr>
        <w:t>със</w:t>
      </w:r>
      <w:proofErr w:type="spellEnd"/>
      <w:r w:rsidRPr="00206534">
        <w:rPr>
          <w:color w:val="222222"/>
          <w:lang w:val="en-US" w:eastAsia="en-US"/>
        </w:rPr>
        <w:t xml:space="preserve"> </w:t>
      </w:r>
      <w:proofErr w:type="spellStart"/>
      <w:r w:rsidRPr="00206534">
        <w:rPr>
          <w:color w:val="222222"/>
          <w:lang w:val="en-US" w:eastAsia="en-US"/>
        </w:rPr>
        <w:t>стопански</w:t>
      </w:r>
      <w:proofErr w:type="spellEnd"/>
      <w:r w:rsidRPr="00206534">
        <w:rPr>
          <w:color w:val="222222"/>
          <w:lang w:val="en-US" w:eastAsia="en-US"/>
        </w:rPr>
        <w:t xml:space="preserve"> и </w:t>
      </w:r>
      <w:proofErr w:type="spellStart"/>
      <w:r w:rsidRPr="00206534">
        <w:rPr>
          <w:color w:val="222222"/>
          <w:lang w:val="en-US" w:eastAsia="en-US"/>
        </w:rPr>
        <w:t>нестопански</w:t>
      </w:r>
      <w:proofErr w:type="spellEnd"/>
      <w:r w:rsidRPr="00206534">
        <w:rPr>
          <w:color w:val="222222"/>
          <w:lang w:val="en-US" w:eastAsia="en-US"/>
        </w:rPr>
        <w:t xml:space="preserve"> </w:t>
      </w:r>
      <w:proofErr w:type="spellStart"/>
      <w:r w:rsidRPr="00206534">
        <w:rPr>
          <w:color w:val="222222"/>
          <w:lang w:val="en-US" w:eastAsia="en-US"/>
        </w:rPr>
        <w:t>характер</w:t>
      </w:r>
      <w:proofErr w:type="spellEnd"/>
      <w:r w:rsidRPr="00206534">
        <w:rPr>
          <w:color w:val="222222"/>
          <w:lang w:val="en-US" w:eastAsia="en-US"/>
        </w:rPr>
        <w:t xml:space="preserve">, </w:t>
      </w:r>
      <w:proofErr w:type="spellStart"/>
      <w:r w:rsidRPr="00206534">
        <w:rPr>
          <w:color w:val="222222"/>
          <w:lang w:val="en-US" w:eastAsia="en-US"/>
        </w:rPr>
        <w:t>но</w:t>
      </w:r>
      <w:proofErr w:type="spellEnd"/>
      <w:r w:rsidRPr="00206534">
        <w:rPr>
          <w:color w:val="222222"/>
          <w:lang w:val="en-US" w:eastAsia="en-US"/>
        </w:rPr>
        <w:t xml:space="preserve"> </w:t>
      </w:r>
      <w:proofErr w:type="spellStart"/>
      <w:r w:rsidRPr="00206534">
        <w:rPr>
          <w:color w:val="222222"/>
          <w:lang w:val="en-US" w:eastAsia="en-US"/>
        </w:rPr>
        <w:t>тези</w:t>
      </w:r>
      <w:proofErr w:type="spellEnd"/>
      <w:r w:rsidRPr="00206534">
        <w:rPr>
          <w:color w:val="222222"/>
          <w:lang w:val="en-US" w:eastAsia="en-US"/>
        </w:rPr>
        <w:t xml:space="preserve"> </w:t>
      </w:r>
      <w:proofErr w:type="spellStart"/>
      <w:r w:rsidRPr="00206534">
        <w:rPr>
          <w:color w:val="222222"/>
          <w:lang w:val="en-US" w:eastAsia="en-US"/>
        </w:rPr>
        <w:t>дейности</w:t>
      </w:r>
      <w:proofErr w:type="spellEnd"/>
      <w:r w:rsidRPr="00206534">
        <w:rPr>
          <w:color w:val="222222"/>
          <w:lang w:val="en-US" w:eastAsia="en-US"/>
        </w:rPr>
        <w:t xml:space="preserve"> </w:t>
      </w:r>
      <w:proofErr w:type="spellStart"/>
      <w:r w:rsidRPr="00206534">
        <w:rPr>
          <w:color w:val="222222"/>
          <w:lang w:val="en-US" w:eastAsia="en-US"/>
        </w:rPr>
        <w:t>са</w:t>
      </w:r>
      <w:proofErr w:type="spellEnd"/>
      <w:r w:rsidRPr="00206534">
        <w:rPr>
          <w:color w:val="222222"/>
          <w:lang w:val="en-US" w:eastAsia="en-US"/>
        </w:rPr>
        <w:t xml:space="preserve"> </w:t>
      </w:r>
      <w:proofErr w:type="spellStart"/>
      <w:r w:rsidRPr="00206534">
        <w:rPr>
          <w:color w:val="222222"/>
          <w:lang w:val="en-US" w:eastAsia="en-US"/>
        </w:rPr>
        <w:t>ясно</w:t>
      </w:r>
      <w:proofErr w:type="spellEnd"/>
      <w:r w:rsidRPr="00206534">
        <w:rPr>
          <w:color w:val="222222"/>
          <w:lang w:val="en-US" w:eastAsia="en-US"/>
        </w:rPr>
        <w:t xml:space="preserve"> </w:t>
      </w:r>
      <w:proofErr w:type="spellStart"/>
      <w:r w:rsidRPr="00206534">
        <w:rPr>
          <w:color w:val="222222"/>
          <w:lang w:val="en-US" w:eastAsia="en-US"/>
        </w:rPr>
        <w:t>разграничени</w:t>
      </w:r>
      <w:proofErr w:type="spellEnd"/>
      <w:r w:rsidRPr="00206534">
        <w:rPr>
          <w:color w:val="222222"/>
          <w:lang w:val="en-US" w:eastAsia="en-US"/>
        </w:rPr>
        <w:t xml:space="preserve"> и </w:t>
      </w:r>
      <w:proofErr w:type="spellStart"/>
      <w:r w:rsidRPr="00206534">
        <w:rPr>
          <w:color w:val="222222"/>
          <w:lang w:val="en-US" w:eastAsia="en-US"/>
        </w:rPr>
        <w:t>начинът</w:t>
      </w:r>
      <w:proofErr w:type="spellEnd"/>
      <w:r w:rsidRPr="00206534">
        <w:rPr>
          <w:color w:val="222222"/>
          <w:lang w:val="en-US" w:eastAsia="en-US"/>
        </w:rPr>
        <w:t xml:space="preserve"> </w:t>
      </w:r>
      <w:proofErr w:type="spellStart"/>
      <w:r w:rsidRPr="00206534">
        <w:rPr>
          <w:color w:val="222222"/>
          <w:lang w:val="en-US" w:eastAsia="en-US"/>
        </w:rPr>
        <w:t>им</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организация</w:t>
      </w:r>
      <w:proofErr w:type="spellEnd"/>
      <w:r w:rsidRPr="00206534">
        <w:rPr>
          <w:color w:val="222222"/>
          <w:lang w:val="en-US" w:eastAsia="en-US"/>
        </w:rPr>
        <w:t xml:space="preserve"> </w:t>
      </w:r>
      <w:proofErr w:type="spellStart"/>
      <w:r w:rsidRPr="00206534">
        <w:rPr>
          <w:color w:val="222222"/>
          <w:lang w:val="en-US" w:eastAsia="en-US"/>
        </w:rPr>
        <w:t>позволява</w:t>
      </w:r>
      <w:proofErr w:type="spellEnd"/>
      <w:r w:rsidRPr="00206534">
        <w:rPr>
          <w:color w:val="222222"/>
          <w:lang w:val="en-US" w:eastAsia="en-US"/>
        </w:rPr>
        <w:t xml:space="preserve"> </w:t>
      </w:r>
      <w:proofErr w:type="spellStart"/>
      <w:r w:rsidRPr="00206534">
        <w:rPr>
          <w:color w:val="222222"/>
          <w:lang w:val="en-US" w:eastAsia="en-US"/>
        </w:rPr>
        <w:t>проследяване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приходите</w:t>
      </w:r>
      <w:proofErr w:type="spellEnd"/>
      <w:r w:rsidRPr="00206534">
        <w:rPr>
          <w:color w:val="222222"/>
          <w:lang w:val="en-US" w:eastAsia="en-US"/>
        </w:rPr>
        <w:t xml:space="preserve"> и </w:t>
      </w:r>
      <w:proofErr w:type="spellStart"/>
      <w:r w:rsidRPr="00206534">
        <w:rPr>
          <w:color w:val="222222"/>
          <w:lang w:val="en-US" w:eastAsia="en-US"/>
        </w:rPr>
        <w:t>разходите</w:t>
      </w:r>
      <w:proofErr w:type="spellEnd"/>
      <w:r w:rsidRPr="00206534">
        <w:rPr>
          <w:color w:val="222222"/>
          <w:lang w:val="en-US" w:eastAsia="en-US"/>
        </w:rPr>
        <w:t xml:space="preserve">, </w:t>
      </w:r>
      <w:proofErr w:type="spellStart"/>
      <w:r w:rsidRPr="00206534">
        <w:rPr>
          <w:color w:val="222222"/>
          <w:lang w:val="en-US" w:eastAsia="en-US"/>
        </w:rPr>
        <w:t>свързани</w:t>
      </w:r>
      <w:proofErr w:type="spellEnd"/>
      <w:r w:rsidRPr="00206534">
        <w:rPr>
          <w:color w:val="222222"/>
          <w:lang w:val="en-US" w:eastAsia="en-US"/>
        </w:rPr>
        <w:t xml:space="preserve"> с </w:t>
      </w:r>
      <w:proofErr w:type="spellStart"/>
      <w:r w:rsidRPr="00206534">
        <w:rPr>
          <w:color w:val="222222"/>
          <w:lang w:val="en-US" w:eastAsia="en-US"/>
        </w:rPr>
        <w:t>тяхното</w:t>
      </w:r>
      <w:proofErr w:type="spellEnd"/>
      <w:r w:rsidRPr="00206534">
        <w:rPr>
          <w:color w:val="222222"/>
          <w:lang w:val="en-US" w:eastAsia="en-US"/>
        </w:rPr>
        <w:t xml:space="preserve"> </w:t>
      </w:r>
      <w:proofErr w:type="spellStart"/>
      <w:r w:rsidRPr="00206534">
        <w:rPr>
          <w:color w:val="222222"/>
          <w:lang w:val="en-US" w:eastAsia="en-US"/>
        </w:rPr>
        <w:t>изпълнение</w:t>
      </w:r>
      <w:proofErr w:type="spellEnd"/>
      <w:r w:rsidRPr="00206534">
        <w:rPr>
          <w:color w:val="222222"/>
          <w:lang w:val="en-US" w:eastAsia="en-US"/>
        </w:rPr>
        <w:t xml:space="preserve">, </w:t>
      </w:r>
      <w:proofErr w:type="spellStart"/>
      <w:r w:rsidRPr="00206534">
        <w:rPr>
          <w:color w:val="222222"/>
          <w:lang w:val="en-US" w:eastAsia="en-US"/>
        </w:rPr>
        <w:t>вкл</w:t>
      </w:r>
      <w:proofErr w:type="spellEnd"/>
      <w:r w:rsidRPr="00206534">
        <w:rPr>
          <w:color w:val="222222"/>
          <w:lang w:val="en-US" w:eastAsia="en-US"/>
        </w:rPr>
        <w:t xml:space="preserve">. </w:t>
      </w:r>
      <w:proofErr w:type="spellStart"/>
      <w:r w:rsidRPr="00206534">
        <w:rPr>
          <w:color w:val="222222"/>
          <w:lang w:val="en-US" w:eastAsia="en-US"/>
        </w:rPr>
        <w:t>чрез</w:t>
      </w:r>
      <w:proofErr w:type="spellEnd"/>
      <w:r w:rsidRPr="00206534">
        <w:rPr>
          <w:color w:val="222222"/>
          <w:lang w:val="en-US" w:eastAsia="en-US"/>
        </w:rPr>
        <w:t xml:space="preserve"> </w:t>
      </w:r>
      <w:proofErr w:type="spellStart"/>
      <w:r w:rsidRPr="00206534">
        <w:rPr>
          <w:color w:val="222222"/>
          <w:lang w:val="en-US" w:eastAsia="en-US"/>
        </w:rPr>
        <w:t>воденето</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аналитична</w:t>
      </w:r>
      <w:proofErr w:type="spellEnd"/>
      <w:r w:rsidRPr="00206534">
        <w:rPr>
          <w:color w:val="222222"/>
          <w:lang w:val="en-US" w:eastAsia="en-US"/>
        </w:rPr>
        <w:t xml:space="preserve"> </w:t>
      </w:r>
      <w:proofErr w:type="spellStart"/>
      <w:r w:rsidRPr="00206534">
        <w:rPr>
          <w:color w:val="222222"/>
          <w:lang w:val="en-US" w:eastAsia="en-US"/>
        </w:rPr>
        <w:t>счетоводна</w:t>
      </w:r>
      <w:proofErr w:type="spellEnd"/>
      <w:r w:rsidRPr="00206534">
        <w:rPr>
          <w:color w:val="222222"/>
          <w:lang w:val="en-US" w:eastAsia="en-US"/>
        </w:rPr>
        <w:t xml:space="preserve"> </w:t>
      </w:r>
      <w:proofErr w:type="spellStart"/>
      <w:r w:rsidRPr="00206534">
        <w:rPr>
          <w:color w:val="222222"/>
          <w:lang w:val="en-US" w:eastAsia="en-US"/>
        </w:rPr>
        <w:t>отчетност</w:t>
      </w:r>
      <w:proofErr w:type="spellEnd"/>
      <w:r w:rsidRPr="00206534">
        <w:rPr>
          <w:color w:val="222222"/>
          <w:lang w:val="en-US" w:eastAsia="en-US"/>
        </w:rPr>
        <w:t>. </w:t>
      </w:r>
    </w:p>
    <w:p w14:paraId="5698FFFB" w14:textId="77777777" w:rsidR="002413FB" w:rsidRPr="00206534" w:rsidRDefault="002413FB" w:rsidP="00F762B5">
      <w:pPr>
        <w:shd w:val="clear" w:color="auto" w:fill="FFFFFF"/>
        <w:spacing w:before="120" w:after="120" w:line="276" w:lineRule="auto"/>
        <w:jc w:val="both"/>
        <w:rPr>
          <w:color w:val="222222"/>
          <w:lang w:val="en-US" w:eastAsia="en-US"/>
        </w:rPr>
      </w:pPr>
      <w:proofErr w:type="spellStart"/>
      <w:r w:rsidRPr="00206534">
        <w:rPr>
          <w:color w:val="222222"/>
          <w:lang w:val="en-US" w:eastAsia="en-US"/>
        </w:rPr>
        <w:t>Когато</w:t>
      </w:r>
      <w:proofErr w:type="spellEnd"/>
      <w:r w:rsidRPr="00206534">
        <w:rPr>
          <w:color w:val="222222"/>
          <w:lang w:val="en-US" w:eastAsia="en-US"/>
        </w:rPr>
        <w:t xml:space="preserve"> </w:t>
      </w:r>
      <w:proofErr w:type="spellStart"/>
      <w:r w:rsidRPr="00206534">
        <w:rPr>
          <w:color w:val="222222"/>
          <w:lang w:val="en-US" w:eastAsia="en-US"/>
        </w:rPr>
        <w:t>кандидатът</w:t>
      </w:r>
      <w:proofErr w:type="spellEnd"/>
      <w:r w:rsidRPr="00206534">
        <w:rPr>
          <w:color w:val="222222"/>
          <w:lang w:val="en-US" w:eastAsia="en-US"/>
        </w:rPr>
        <w:t xml:space="preserve"> </w:t>
      </w:r>
      <w:proofErr w:type="spellStart"/>
      <w:r w:rsidRPr="00206534">
        <w:rPr>
          <w:color w:val="222222"/>
          <w:lang w:val="en-US" w:eastAsia="en-US"/>
        </w:rPr>
        <w:t>упражнява</w:t>
      </w:r>
      <w:proofErr w:type="spellEnd"/>
      <w:r w:rsidRPr="00206534">
        <w:rPr>
          <w:color w:val="222222"/>
          <w:lang w:val="en-US" w:eastAsia="en-US"/>
        </w:rPr>
        <w:t xml:space="preserve"> </w:t>
      </w:r>
      <w:proofErr w:type="spellStart"/>
      <w:r w:rsidRPr="00206534">
        <w:rPr>
          <w:color w:val="222222"/>
          <w:lang w:val="en-US" w:eastAsia="en-US"/>
        </w:rPr>
        <w:t>стопански</w:t>
      </w:r>
      <w:proofErr w:type="spellEnd"/>
      <w:r w:rsidRPr="00206534">
        <w:rPr>
          <w:color w:val="222222"/>
          <w:lang w:val="en-US" w:eastAsia="en-US"/>
        </w:rPr>
        <w:t xml:space="preserve"> и </w:t>
      </w:r>
      <w:proofErr w:type="spellStart"/>
      <w:r w:rsidRPr="00206534">
        <w:rPr>
          <w:color w:val="222222"/>
          <w:lang w:val="en-US" w:eastAsia="en-US"/>
        </w:rPr>
        <w:t>нестопански</w:t>
      </w:r>
      <w:proofErr w:type="spellEnd"/>
      <w:r w:rsidRPr="00206534">
        <w:rPr>
          <w:color w:val="222222"/>
          <w:lang w:val="en-US" w:eastAsia="en-US"/>
        </w:rPr>
        <w:t xml:space="preserve"> </w:t>
      </w:r>
      <w:proofErr w:type="spellStart"/>
      <w:r w:rsidRPr="00206534">
        <w:rPr>
          <w:color w:val="222222"/>
          <w:lang w:val="en-US" w:eastAsia="en-US"/>
        </w:rPr>
        <w:t>дейности</w:t>
      </w:r>
      <w:proofErr w:type="spellEnd"/>
      <w:r w:rsidRPr="00206534">
        <w:rPr>
          <w:color w:val="222222"/>
          <w:lang w:val="en-US" w:eastAsia="en-US"/>
        </w:rPr>
        <w:t xml:space="preserve">, </w:t>
      </w:r>
      <w:proofErr w:type="spellStart"/>
      <w:r w:rsidRPr="00206534">
        <w:rPr>
          <w:color w:val="222222"/>
          <w:lang w:val="en-US" w:eastAsia="en-US"/>
        </w:rPr>
        <w:t>финансирането</w:t>
      </w:r>
      <w:proofErr w:type="spellEnd"/>
      <w:r w:rsidRPr="00206534">
        <w:rPr>
          <w:color w:val="222222"/>
          <w:lang w:val="en-US" w:eastAsia="en-US"/>
        </w:rPr>
        <w:t xml:space="preserve">, </w:t>
      </w:r>
      <w:proofErr w:type="spellStart"/>
      <w:r w:rsidRPr="00206534">
        <w:rPr>
          <w:color w:val="222222"/>
          <w:lang w:val="en-US" w:eastAsia="en-US"/>
        </w:rPr>
        <w:t>разходите</w:t>
      </w:r>
      <w:proofErr w:type="spellEnd"/>
      <w:r w:rsidRPr="00206534">
        <w:rPr>
          <w:color w:val="222222"/>
          <w:lang w:val="en-US" w:eastAsia="en-US"/>
        </w:rPr>
        <w:t xml:space="preserve"> и </w:t>
      </w:r>
      <w:proofErr w:type="spellStart"/>
      <w:r w:rsidRPr="00206534">
        <w:rPr>
          <w:color w:val="222222"/>
          <w:lang w:val="en-US" w:eastAsia="en-US"/>
        </w:rPr>
        <w:t>приходите</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всеки</w:t>
      </w:r>
      <w:proofErr w:type="spellEnd"/>
      <w:r w:rsidRPr="00206534">
        <w:rPr>
          <w:color w:val="222222"/>
          <w:lang w:val="en-US" w:eastAsia="en-US"/>
        </w:rPr>
        <w:t xml:space="preserve"> </w:t>
      </w:r>
      <w:proofErr w:type="spellStart"/>
      <w:r w:rsidRPr="00206534">
        <w:rPr>
          <w:color w:val="222222"/>
          <w:lang w:val="en-US" w:eastAsia="en-US"/>
        </w:rPr>
        <w:t>вид</w:t>
      </w:r>
      <w:proofErr w:type="spellEnd"/>
      <w:r w:rsidRPr="00206534">
        <w:rPr>
          <w:color w:val="222222"/>
          <w:lang w:val="en-US" w:eastAsia="en-US"/>
        </w:rPr>
        <w:t xml:space="preserve"> </w:t>
      </w:r>
      <w:proofErr w:type="spellStart"/>
      <w:r w:rsidRPr="00206534">
        <w:rPr>
          <w:color w:val="222222"/>
          <w:lang w:val="en-US" w:eastAsia="en-US"/>
        </w:rPr>
        <w:t>дейност</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вземат</w:t>
      </w:r>
      <w:proofErr w:type="spellEnd"/>
      <w:r w:rsidRPr="00206534">
        <w:rPr>
          <w:color w:val="222222"/>
          <w:lang w:val="en-US" w:eastAsia="en-US"/>
        </w:rPr>
        <w:t xml:space="preserve"> </w:t>
      </w:r>
      <w:proofErr w:type="spellStart"/>
      <w:r w:rsidRPr="00206534">
        <w:rPr>
          <w:color w:val="222222"/>
          <w:lang w:val="en-US" w:eastAsia="en-US"/>
        </w:rPr>
        <w:t>предвид</w:t>
      </w:r>
      <w:proofErr w:type="spellEnd"/>
      <w:r w:rsidRPr="00206534">
        <w:rPr>
          <w:color w:val="222222"/>
          <w:lang w:val="en-US" w:eastAsia="en-US"/>
        </w:rPr>
        <w:t xml:space="preserve"> </w:t>
      </w:r>
      <w:proofErr w:type="spellStart"/>
      <w:r w:rsidRPr="00206534">
        <w:rPr>
          <w:color w:val="222222"/>
          <w:lang w:val="en-US" w:eastAsia="en-US"/>
        </w:rPr>
        <w:t>поотделно</w:t>
      </w:r>
      <w:proofErr w:type="spellEnd"/>
      <w:r w:rsidRPr="00206534">
        <w:rPr>
          <w:color w:val="222222"/>
          <w:lang w:val="en-US" w:eastAsia="en-US"/>
        </w:rPr>
        <w:t xml:space="preserve"> </w:t>
      </w:r>
      <w:proofErr w:type="spellStart"/>
      <w:r w:rsidRPr="00206534">
        <w:rPr>
          <w:color w:val="222222"/>
          <w:lang w:val="en-US" w:eastAsia="en-US"/>
        </w:rPr>
        <w:t>въз</w:t>
      </w:r>
      <w:proofErr w:type="spellEnd"/>
      <w:r w:rsidRPr="00206534">
        <w:rPr>
          <w:color w:val="222222"/>
          <w:lang w:val="en-US" w:eastAsia="en-US"/>
        </w:rPr>
        <w:t xml:space="preserve"> </w:t>
      </w:r>
      <w:proofErr w:type="spellStart"/>
      <w:r w:rsidRPr="00206534">
        <w:rPr>
          <w:color w:val="222222"/>
          <w:lang w:val="en-US" w:eastAsia="en-US"/>
        </w:rPr>
        <w:t>основа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последователно</w:t>
      </w:r>
      <w:proofErr w:type="spellEnd"/>
      <w:r w:rsidRPr="00206534">
        <w:rPr>
          <w:color w:val="222222"/>
          <w:lang w:val="en-US" w:eastAsia="en-US"/>
        </w:rPr>
        <w:t xml:space="preserve"> </w:t>
      </w:r>
      <w:proofErr w:type="spellStart"/>
      <w:r w:rsidRPr="00206534">
        <w:rPr>
          <w:color w:val="222222"/>
          <w:lang w:val="en-US" w:eastAsia="en-US"/>
        </w:rPr>
        <w:t>прилагани</w:t>
      </w:r>
      <w:proofErr w:type="spellEnd"/>
      <w:r w:rsidRPr="00206534">
        <w:rPr>
          <w:color w:val="222222"/>
          <w:lang w:val="en-US" w:eastAsia="en-US"/>
        </w:rPr>
        <w:t xml:space="preserve"> </w:t>
      </w:r>
      <w:proofErr w:type="spellStart"/>
      <w:r w:rsidRPr="00206534">
        <w:rPr>
          <w:color w:val="222222"/>
          <w:lang w:val="en-US" w:eastAsia="en-US"/>
        </w:rPr>
        <w:t>принципи</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осчетоводяване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разходите</w:t>
      </w:r>
      <w:proofErr w:type="spellEnd"/>
      <w:r w:rsidRPr="00206534">
        <w:rPr>
          <w:color w:val="222222"/>
          <w:lang w:val="en-US" w:eastAsia="en-US"/>
        </w:rPr>
        <w:t xml:space="preserve">, </w:t>
      </w:r>
      <w:proofErr w:type="spellStart"/>
      <w:r w:rsidRPr="00206534">
        <w:rPr>
          <w:color w:val="222222"/>
          <w:lang w:val="en-US" w:eastAsia="en-US"/>
        </w:rPr>
        <w:t>които</w:t>
      </w:r>
      <w:proofErr w:type="spellEnd"/>
      <w:r w:rsidRPr="00206534">
        <w:rPr>
          <w:color w:val="222222"/>
          <w:lang w:val="en-US" w:eastAsia="en-US"/>
        </w:rPr>
        <w:t xml:space="preserve"> </w:t>
      </w:r>
      <w:proofErr w:type="spellStart"/>
      <w:r w:rsidRPr="00206534">
        <w:rPr>
          <w:color w:val="222222"/>
          <w:lang w:val="en-US" w:eastAsia="en-US"/>
        </w:rPr>
        <w:t>могат</w:t>
      </w:r>
      <w:proofErr w:type="spellEnd"/>
      <w:r w:rsidRPr="00206534">
        <w:rPr>
          <w:color w:val="222222"/>
          <w:lang w:val="en-US" w:eastAsia="en-US"/>
        </w:rPr>
        <w:t xml:space="preserve"> </w:t>
      </w:r>
      <w:proofErr w:type="spellStart"/>
      <w:r w:rsidRPr="00206534">
        <w:rPr>
          <w:color w:val="222222"/>
          <w:lang w:val="en-US" w:eastAsia="en-US"/>
        </w:rPr>
        <w:t>да</w:t>
      </w:r>
      <w:proofErr w:type="spellEnd"/>
      <w:r w:rsidRPr="00206534">
        <w:rPr>
          <w:color w:val="222222"/>
          <w:lang w:val="en-US" w:eastAsia="en-US"/>
        </w:rPr>
        <w:t xml:space="preserve"> </w:t>
      </w:r>
      <w:proofErr w:type="spellStart"/>
      <w:r w:rsidRPr="00206534">
        <w:rPr>
          <w:color w:val="222222"/>
          <w:lang w:val="en-US" w:eastAsia="en-US"/>
        </w:rPr>
        <w:t>бъдат</w:t>
      </w:r>
      <w:proofErr w:type="spellEnd"/>
      <w:r w:rsidRPr="00206534">
        <w:rPr>
          <w:color w:val="222222"/>
          <w:lang w:val="en-US" w:eastAsia="en-US"/>
        </w:rPr>
        <w:t xml:space="preserve"> </w:t>
      </w:r>
      <w:proofErr w:type="spellStart"/>
      <w:r w:rsidRPr="00206534">
        <w:rPr>
          <w:color w:val="222222"/>
          <w:lang w:val="en-US" w:eastAsia="en-US"/>
        </w:rPr>
        <w:t>обективно</w:t>
      </w:r>
      <w:proofErr w:type="spellEnd"/>
      <w:r w:rsidRPr="00206534">
        <w:rPr>
          <w:color w:val="222222"/>
          <w:lang w:val="en-US" w:eastAsia="en-US"/>
        </w:rPr>
        <w:t xml:space="preserve"> </w:t>
      </w:r>
      <w:proofErr w:type="spellStart"/>
      <w:r w:rsidRPr="00206534">
        <w:rPr>
          <w:color w:val="222222"/>
          <w:lang w:val="en-US" w:eastAsia="en-US"/>
        </w:rPr>
        <w:t>оправдани</w:t>
      </w:r>
      <w:proofErr w:type="spellEnd"/>
      <w:r w:rsidRPr="00206534">
        <w:rPr>
          <w:color w:val="222222"/>
          <w:lang w:val="en-US" w:eastAsia="en-US"/>
        </w:rPr>
        <w:t>.</w:t>
      </w:r>
    </w:p>
    <w:p w14:paraId="46A13765" w14:textId="77777777" w:rsidR="002413FB" w:rsidRPr="00206534" w:rsidRDefault="002413FB" w:rsidP="00F762B5">
      <w:pPr>
        <w:shd w:val="clear" w:color="auto" w:fill="FFFFFF"/>
        <w:spacing w:before="120" w:after="120" w:line="276" w:lineRule="auto"/>
        <w:jc w:val="both"/>
        <w:rPr>
          <w:lang w:val="en-US" w:eastAsia="en-US"/>
        </w:rPr>
      </w:pPr>
      <w:proofErr w:type="spellStart"/>
      <w:r w:rsidRPr="00206534">
        <w:rPr>
          <w:b/>
          <w:bCs/>
          <w:lang w:val="en-US" w:eastAsia="en-US"/>
        </w:rPr>
        <w:t>Критерии</w:t>
      </w:r>
      <w:proofErr w:type="spellEnd"/>
      <w:r w:rsidRPr="00206534">
        <w:rPr>
          <w:b/>
          <w:bCs/>
          <w:lang w:val="en-US" w:eastAsia="en-US"/>
        </w:rPr>
        <w:t xml:space="preserve"> </w:t>
      </w:r>
      <w:proofErr w:type="spellStart"/>
      <w:r w:rsidRPr="00206534">
        <w:rPr>
          <w:b/>
          <w:bCs/>
          <w:lang w:val="en-US" w:eastAsia="en-US"/>
        </w:rPr>
        <w:t>за</w:t>
      </w:r>
      <w:proofErr w:type="spellEnd"/>
      <w:r w:rsidRPr="00206534">
        <w:rPr>
          <w:b/>
          <w:bCs/>
          <w:lang w:val="en-US" w:eastAsia="en-US"/>
        </w:rPr>
        <w:t xml:space="preserve"> </w:t>
      </w:r>
      <w:proofErr w:type="spellStart"/>
      <w:r w:rsidRPr="00206534">
        <w:rPr>
          <w:b/>
          <w:bCs/>
          <w:lang w:val="en-US" w:eastAsia="en-US"/>
        </w:rPr>
        <w:t>допустимост</w:t>
      </w:r>
      <w:proofErr w:type="spellEnd"/>
      <w:r w:rsidRPr="00206534">
        <w:rPr>
          <w:b/>
          <w:bCs/>
          <w:lang w:val="en-US" w:eastAsia="en-US"/>
        </w:rPr>
        <w:t xml:space="preserve"> и </w:t>
      </w:r>
      <w:proofErr w:type="spellStart"/>
      <w:r w:rsidRPr="00206534">
        <w:rPr>
          <w:b/>
          <w:bCs/>
          <w:lang w:val="en-US" w:eastAsia="en-US"/>
        </w:rPr>
        <w:t>недопустимост</w:t>
      </w:r>
      <w:proofErr w:type="spellEnd"/>
      <w:r w:rsidRPr="00206534">
        <w:rPr>
          <w:b/>
          <w:bCs/>
          <w:lang w:val="en-US" w:eastAsia="en-US"/>
        </w:rPr>
        <w:t xml:space="preserve"> </w:t>
      </w:r>
      <w:proofErr w:type="spellStart"/>
      <w:r w:rsidRPr="00206534">
        <w:rPr>
          <w:b/>
          <w:bCs/>
          <w:lang w:val="en-US" w:eastAsia="en-US"/>
        </w:rPr>
        <w:t>на</w:t>
      </w:r>
      <w:proofErr w:type="spellEnd"/>
      <w:r w:rsidRPr="00206534">
        <w:rPr>
          <w:b/>
          <w:bCs/>
          <w:lang w:val="en-US" w:eastAsia="en-US"/>
        </w:rPr>
        <w:t xml:space="preserve"> </w:t>
      </w:r>
      <w:proofErr w:type="spellStart"/>
      <w:r w:rsidRPr="00206534">
        <w:rPr>
          <w:b/>
          <w:bCs/>
          <w:lang w:val="en-US" w:eastAsia="en-US"/>
        </w:rPr>
        <w:t>проектните</w:t>
      </w:r>
      <w:proofErr w:type="spellEnd"/>
      <w:r w:rsidRPr="00206534">
        <w:rPr>
          <w:b/>
          <w:bCs/>
          <w:lang w:val="en-US" w:eastAsia="en-US"/>
        </w:rPr>
        <w:t xml:space="preserve"> </w:t>
      </w:r>
      <w:proofErr w:type="spellStart"/>
      <w:r w:rsidRPr="00206534">
        <w:rPr>
          <w:b/>
          <w:bCs/>
          <w:lang w:val="en-US" w:eastAsia="en-US"/>
        </w:rPr>
        <w:t>предложения</w:t>
      </w:r>
      <w:proofErr w:type="spellEnd"/>
      <w:r w:rsidRPr="00206534">
        <w:rPr>
          <w:b/>
          <w:bCs/>
          <w:lang w:val="en-US" w:eastAsia="en-US"/>
        </w:rPr>
        <w:t xml:space="preserve"> /</w:t>
      </w:r>
      <w:proofErr w:type="spellStart"/>
      <w:r w:rsidRPr="00206534">
        <w:rPr>
          <w:b/>
          <w:bCs/>
          <w:lang w:val="en-US" w:eastAsia="en-US"/>
        </w:rPr>
        <w:t>дейностите</w:t>
      </w:r>
      <w:proofErr w:type="spellEnd"/>
      <w:r w:rsidRPr="00206534">
        <w:rPr>
          <w:b/>
          <w:bCs/>
          <w:lang w:val="en-US" w:eastAsia="en-US"/>
        </w:rPr>
        <w:t>/.</w:t>
      </w:r>
    </w:p>
    <w:p w14:paraId="31D6F728" w14:textId="77777777" w:rsidR="002413FB" w:rsidRPr="00206534" w:rsidRDefault="002413FB" w:rsidP="00F762B5">
      <w:pPr>
        <w:shd w:val="clear" w:color="auto" w:fill="FFFFFF"/>
        <w:spacing w:before="120" w:after="120" w:line="276" w:lineRule="auto"/>
        <w:jc w:val="both"/>
        <w:rPr>
          <w:color w:val="222222"/>
          <w:lang w:val="en-US" w:eastAsia="en-US"/>
        </w:rPr>
      </w:pPr>
      <w:proofErr w:type="spellStart"/>
      <w:r w:rsidRPr="00206534">
        <w:rPr>
          <w:color w:val="222222"/>
          <w:lang w:val="en-US" w:eastAsia="en-US"/>
        </w:rPr>
        <w:t>Финансовият</w:t>
      </w:r>
      <w:proofErr w:type="spellEnd"/>
      <w:r w:rsidRPr="00206534">
        <w:rPr>
          <w:color w:val="222222"/>
          <w:lang w:val="en-US" w:eastAsia="en-US"/>
        </w:rPr>
        <w:t xml:space="preserve"> </w:t>
      </w:r>
      <w:proofErr w:type="spellStart"/>
      <w:r w:rsidRPr="00206534">
        <w:rPr>
          <w:color w:val="222222"/>
          <w:lang w:val="en-US" w:eastAsia="en-US"/>
        </w:rPr>
        <w:t>план</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проектното</w:t>
      </w:r>
      <w:proofErr w:type="spellEnd"/>
      <w:r w:rsidRPr="00206534">
        <w:rPr>
          <w:color w:val="222222"/>
          <w:lang w:val="en-US" w:eastAsia="en-US"/>
        </w:rPr>
        <w:t xml:space="preserve"> </w:t>
      </w:r>
      <w:proofErr w:type="spellStart"/>
      <w:r w:rsidRPr="00206534">
        <w:rPr>
          <w:color w:val="222222"/>
          <w:lang w:val="en-US" w:eastAsia="en-US"/>
        </w:rPr>
        <w:t>предложение</w:t>
      </w:r>
      <w:proofErr w:type="spellEnd"/>
      <w:r w:rsidRPr="00206534">
        <w:rPr>
          <w:color w:val="222222"/>
          <w:lang w:val="en-US" w:eastAsia="en-US"/>
        </w:rPr>
        <w:t xml:space="preserve"> </w:t>
      </w:r>
      <w:proofErr w:type="spellStart"/>
      <w:r w:rsidRPr="00206534">
        <w:rPr>
          <w:color w:val="222222"/>
          <w:lang w:val="en-US" w:eastAsia="en-US"/>
        </w:rPr>
        <w:t>включва</w:t>
      </w:r>
      <w:proofErr w:type="spellEnd"/>
      <w:r w:rsidRPr="00206534">
        <w:rPr>
          <w:color w:val="222222"/>
          <w:lang w:val="en-US" w:eastAsia="en-US"/>
        </w:rPr>
        <w:t xml:space="preserve"> </w:t>
      </w:r>
      <w:proofErr w:type="spellStart"/>
      <w:r w:rsidRPr="00206534">
        <w:rPr>
          <w:color w:val="222222"/>
          <w:lang w:val="en-US" w:eastAsia="en-US"/>
        </w:rPr>
        <w:t>средства</w:t>
      </w:r>
      <w:proofErr w:type="spellEnd"/>
      <w:r w:rsidRPr="00206534">
        <w:rPr>
          <w:color w:val="222222"/>
          <w:lang w:val="en-US" w:eastAsia="en-US"/>
        </w:rPr>
        <w:t xml:space="preserve">, </w:t>
      </w:r>
      <w:proofErr w:type="spellStart"/>
      <w:r w:rsidRPr="00206534">
        <w:rPr>
          <w:color w:val="222222"/>
          <w:lang w:val="en-US" w:eastAsia="en-US"/>
        </w:rPr>
        <w:t>разпределени</w:t>
      </w:r>
      <w:proofErr w:type="spellEnd"/>
      <w:r w:rsidRPr="00206534">
        <w:rPr>
          <w:color w:val="222222"/>
          <w:lang w:val="en-US" w:eastAsia="en-US"/>
        </w:rPr>
        <w:t xml:space="preserve"> по </w:t>
      </w:r>
      <w:proofErr w:type="spellStart"/>
      <w:r w:rsidRPr="00206534">
        <w:rPr>
          <w:color w:val="222222"/>
          <w:lang w:val="en-US" w:eastAsia="en-US"/>
        </w:rPr>
        <w:t>следните</w:t>
      </w:r>
      <w:proofErr w:type="spellEnd"/>
      <w:r w:rsidRPr="00206534">
        <w:rPr>
          <w:color w:val="222222"/>
          <w:lang w:val="en-US" w:eastAsia="en-US"/>
        </w:rPr>
        <w:t xml:space="preserve"> </w:t>
      </w:r>
      <w:proofErr w:type="spellStart"/>
      <w:r w:rsidRPr="00206534">
        <w:rPr>
          <w:color w:val="222222"/>
          <w:lang w:val="en-US" w:eastAsia="en-US"/>
        </w:rPr>
        <w:t>пера</w:t>
      </w:r>
      <w:proofErr w:type="spellEnd"/>
      <w:r w:rsidRPr="00206534">
        <w:rPr>
          <w:color w:val="222222"/>
          <w:lang w:val="en-US" w:eastAsia="en-US"/>
        </w:rPr>
        <w:t>:</w:t>
      </w:r>
    </w:p>
    <w:p w14:paraId="5B743D33" w14:textId="77777777" w:rsidR="002413FB" w:rsidRPr="00206534" w:rsidRDefault="002413FB" w:rsidP="005D1D65">
      <w:pPr>
        <w:numPr>
          <w:ilvl w:val="1"/>
          <w:numId w:val="16"/>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Организационни</w:t>
      </w:r>
      <w:proofErr w:type="spellEnd"/>
      <w:r w:rsidRPr="00206534">
        <w:rPr>
          <w:color w:val="222222"/>
          <w:lang w:val="en-US" w:eastAsia="en-US"/>
        </w:rPr>
        <w:t xml:space="preserve"> </w:t>
      </w:r>
      <w:proofErr w:type="spellStart"/>
      <w:r w:rsidRPr="00206534">
        <w:rPr>
          <w:color w:val="222222"/>
          <w:lang w:val="en-US" w:eastAsia="en-US"/>
        </w:rPr>
        <w:t>разходи</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w:t>
      </w:r>
    </w:p>
    <w:p w14:paraId="155CC03F" w14:textId="77777777" w:rsidR="002413FB" w:rsidRPr="00206534" w:rsidRDefault="002413FB" w:rsidP="005D1D65">
      <w:pPr>
        <w:numPr>
          <w:ilvl w:val="0"/>
          <w:numId w:val="17"/>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наем</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зали</w:t>
      </w:r>
      <w:proofErr w:type="spellEnd"/>
      <w:r w:rsidRPr="00206534">
        <w:rPr>
          <w:color w:val="222222"/>
          <w:lang w:val="en-US" w:eastAsia="en-US"/>
        </w:rPr>
        <w:t>;</w:t>
      </w:r>
    </w:p>
    <w:p w14:paraId="2247E7E3" w14:textId="77777777" w:rsidR="002413FB" w:rsidRPr="00206534" w:rsidRDefault="002413FB" w:rsidP="005D1D65">
      <w:pPr>
        <w:numPr>
          <w:ilvl w:val="0"/>
          <w:numId w:val="17"/>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наем</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оборудване</w:t>
      </w:r>
      <w:proofErr w:type="spellEnd"/>
      <w:r w:rsidRPr="00206534">
        <w:rPr>
          <w:color w:val="222222"/>
          <w:lang w:val="en-US" w:eastAsia="en-US"/>
        </w:rPr>
        <w:t>;</w:t>
      </w:r>
    </w:p>
    <w:p w14:paraId="3B97AF61" w14:textId="77777777" w:rsidR="002413FB" w:rsidRPr="00206534" w:rsidRDefault="002413FB" w:rsidP="005D1D65">
      <w:pPr>
        <w:numPr>
          <w:ilvl w:val="0"/>
          <w:numId w:val="17"/>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изработка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постери</w:t>
      </w:r>
      <w:proofErr w:type="spellEnd"/>
      <w:r w:rsidRPr="00206534">
        <w:rPr>
          <w:color w:val="222222"/>
          <w:lang w:val="en-US" w:eastAsia="en-US"/>
        </w:rPr>
        <w:t>;</w:t>
      </w:r>
    </w:p>
    <w:p w14:paraId="452FF3C1" w14:textId="77777777" w:rsidR="002413FB" w:rsidRPr="00206534" w:rsidRDefault="002413FB" w:rsidP="005D1D65">
      <w:pPr>
        <w:numPr>
          <w:ilvl w:val="0"/>
          <w:numId w:val="17"/>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изработка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рекламни</w:t>
      </w:r>
      <w:proofErr w:type="spellEnd"/>
      <w:r w:rsidRPr="00206534">
        <w:rPr>
          <w:color w:val="222222"/>
          <w:lang w:val="en-US" w:eastAsia="en-US"/>
        </w:rPr>
        <w:t xml:space="preserve"> и </w:t>
      </w:r>
      <w:proofErr w:type="spellStart"/>
      <w:r w:rsidRPr="00206534">
        <w:rPr>
          <w:color w:val="222222"/>
          <w:lang w:val="en-US" w:eastAsia="en-US"/>
        </w:rPr>
        <w:t>други</w:t>
      </w:r>
      <w:proofErr w:type="spellEnd"/>
      <w:r w:rsidRPr="00206534">
        <w:rPr>
          <w:color w:val="222222"/>
          <w:lang w:val="en-US" w:eastAsia="en-US"/>
        </w:rPr>
        <w:t xml:space="preserve"> </w:t>
      </w:r>
      <w:proofErr w:type="spellStart"/>
      <w:r w:rsidRPr="00206534">
        <w:rPr>
          <w:color w:val="222222"/>
          <w:lang w:val="en-US" w:eastAsia="en-US"/>
        </w:rPr>
        <w:t>материали</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форума</w:t>
      </w:r>
      <w:proofErr w:type="spellEnd"/>
      <w:r w:rsidRPr="00206534">
        <w:rPr>
          <w:color w:val="222222"/>
          <w:lang w:val="en-US" w:eastAsia="en-US"/>
        </w:rPr>
        <w:t xml:space="preserve"> (</w:t>
      </w:r>
      <w:proofErr w:type="spellStart"/>
      <w:r w:rsidRPr="00206534">
        <w:rPr>
          <w:color w:val="222222"/>
          <w:lang w:val="en-US" w:eastAsia="en-US"/>
        </w:rPr>
        <w:t>вкл</w:t>
      </w:r>
      <w:proofErr w:type="spellEnd"/>
      <w:r w:rsidRPr="00206534">
        <w:rPr>
          <w:color w:val="222222"/>
          <w:lang w:val="en-US" w:eastAsia="en-US"/>
        </w:rPr>
        <w:t xml:space="preserve">. </w:t>
      </w:r>
      <w:proofErr w:type="spellStart"/>
      <w:r w:rsidRPr="00206534">
        <w:rPr>
          <w:color w:val="222222"/>
          <w:lang w:val="en-US" w:eastAsia="en-US"/>
        </w:rPr>
        <w:t>сборник</w:t>
      </w:r>
      <w:proofErr w:type="spellEnd"/>
      <w:r w:rsidRPr="00206534">
        <w:rPr>
          <w:color w:val="222222"/>
          <w:lang w:val="en-US" w:eastAsia="en-US"/>
        </w:rPr>
        <w:t xml:space="preserve"> с </w:t>
      </w:r>
      <w:proofErr w:type="spellStart"/>
      <w:r w:rsidRPr="00206534">
        <w:rPr>
          <w:color w:val="222222"/>
          <w:lang w:val="en-US" w:eastAsia="en-US"/>
        </w:rPr>
        <w:t>доклади</w:t>
      </w:r>
      <w:proofErr w:type="spellEnd"/>
      <w:r w:rsidRPr="00206534">
        <w:rPr>
          <w:color w:val="222222"/>
          <w:lang w:val="en-US" w:eastAsia="en-US"/>
        </w:rPr>
        <w:t xml:space="preserve">, </w:t>
      </w:r>
      <w:proofErr w:type="spellStart"/>
      <w:r w:rsidRPr="00206534">
        <w:rPr>
          <w:color w:val="222222"/>
          <w:lang w:val="en-US" w:eastAsia="en-US"/>
        </w:rPr>
        <w:t>представени</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форума</w:t>
      </w:r>
      <w:proofErr w:type="spellEnd"/>
      <w:r w:rsidRPr="00206534">
        <w:rPr>
          <w:color w:val="222222"/>
          <w:lang w:val="en-US" w:eastAsia="en-US"/>
        </w:rPr>
        <w:t>);</w:t>
      </w:r>
    </w:p>
    <w:p w14:paraId="5BA712F2" w14:textId="77777777" w:rsidR="002413FB" w:rsidRPr="00206534" w:rsidRDefault="002413FB" w:rsidP="005D1D65">
      <w:pPr>
        <w:numPr>
          <w:ilvl w:val="0"/>
          <w:numId w:val="17"/>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закупуване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канцеларски</w:t>
      </w:r>
      <w:proofErr w:type="spellEnd"/>
      <w:r w:rsidRPr="00206534">
        <w:rPr>
          <w:color w:val="222222"/>
          <w:lang w:val="en-US" w:eastAsia="en-US"/>
        </w:rPr>
        <w:t xml:space="preserve"> </w:t>
      </w:r>
      <w:proofErr w:type="spellStart"/>
      <w:r w:rsidRPr="00206534">
        <w:rPr>
          <w:color w:val="222222"/>
          <w:lang w:val="en-US" w:eastAsia="en-US"/>
        </w:rPr>
        <w:t>материали</w:t>
      </w:r>
      <w:proofErr w:type="spellEnd"/>
      <w:r w:rsidRPr="00206534">
        <w:rPr>
          <w:color w:val="222222"/>
          <w:lang w:val="en-US" w:eastAsia="en-US"/>
        </w:rPr>
        <w:t>.</w:t>
      </w:r>
    </w:p>
    <w:p w14:paraId="049AF3B5" w14:textId="77777777" w:rsidR="002413FB" w:rsidRPr="00206534" w:rsidRDefault="002413FB" w:rsidP="005D1D65">
      <w:pPr>
        <w:numPr>
          <w:ilvl w:val="1"/>
          <w:numId w:val="18"/>
        </w:numPr>
        <w:shd w:val="clear" w:color="auto" w:fill="FFFFFF"/>
        <w:spacing w:before="120" w:after="120" w:line="276" w:lineRule="auto"/>
        <w:jc w:val="both"/>
        <w:rPr>
          <w:color w:val="222222"/>
          <w:lang w:val="en-US" w:eastAsia="en-US"/>
        </w:rPr>
      </w:pPr>
      <w:proofErr w:type="spellStart"/>
      <w:r w:rsidRPr="00206534">
        <w:rPr>
          <w:color w:val="222222"/>
          <w:lang w:val="en-US" w:eastAsia="en-US"/>
        </w:rPr>
        <w:t>Разходи</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настаняване</w:t>
      </w:r>
      <w:proofErr w:type="spellEnd"/>
      <w:r w:rsidRPr="00206534">
        <w:rPr>
          <w:color w:val="222222"/>
          <w:lang w:val="en-US" w:eastAsia="en-US"/>
        </w:rPr>
        <w:t xml:space="preserve"> и </w:t>
      </w:r>
      <w:proofErr w:type="spellStart"/>
      <w:r w:rsidRPr="00206534">
        <w:rPr>
          <w:color w:val="222222"/>
          <w:lang w:val="en-US" w:eastAsia="en-US"/>
        </w:rPr>
        <w:t>логистика</w:t>
      </w:r>
      <w:proofErr w:type="spellEnd"/>
      <w:r w:rsidRPr="00206534">
        <w:rPr>
          <w:color w:val="222222"/>
          <w:lang w:val="en-US" w:eastAsia="en-US"/>
        </w:rPr>
        <w:t>:</w:t>
      </w:r>
    </w:p>
    <w:p w14:paraId="47842C96" w14:textId="77777777" w:rsidR="002413FB" w:rsidRPr="00206534" w:rsidRDefault="002413FB" w:rsidP="005D1D65">
      <w:pPr>
        <w:numPr>
          <w:ilvl w:val="0"/>
          <w:numId w:val="19"/>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настаняване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докладчици</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пленарни</w:t>
      </w:r>
      <w:proofErr w:type="spellEnd"/>
      <w:r w:rsidRPr="00206534">
        <w:rPr>
          <w:color w:val="222222"/>
          <w:lang w:val="en-US" w:eastAsia="en-US"/>
        </w:rPr>
        <w:t xml:space="preserve">, </w:t>
      </w:r>
      <w:proofErr w:type="spellStart"/>
      <w:r w:rsidRPr="00206534">
        <w:rPr>
          <w:color w:val="222222"/>
          <w:lang w:val="en-US" w:eastAsia="en-US"/>
        </w:rPr>
        <w:t>ключови</w:t>
      </w:r>
      <w:proofErr w:type="spellEnd"/>
      <w:r w:rsidRPr="00206534">
        <w:rPr>
          <w:color w:val="222222"/>
          <w:lang w:val="en-US" w:eastAsia="en-US"/>
        </w:rPr>
        <w:t xml:space="preserve"> и </w:t>
      </w:r>
      <w:proofErr w:type="spellStart"/>
      <w:r w:rsidRPr="00206534">
        <w:rPr>
          <w:color w:val="222222"/>
          <w:lang w:val="en-US" w:eastAsia="en-US"/>
        </w:rPr>
        <w:t>поканени</w:t>
      </w:r>
      <w:proofErr w:type="spellEnd"/>
      <w:r w:rsidRPr="00206534">
        <w:rPr>
          <w:color w:val="222222"/>
          <w:lang w:val="en-US" w:eastAsia="en-US"/>
        </w:rPr>
        <w:t xml:space="preserve"> </w:t>
      </w:r>
      <w:proofErr w:type="spellStart"/>
      <w:r w:rsidRPr="00206534">
        <w:rPr>
          <w:color w:val="222222"/>
          <w:lang w:val="en-US" w:eastAsia="en-US"/>
        </w:rPr>
        <w:t>доклади</w:t>
      </w:r>
      <w:proofErr w:type="spellEnd"/>
      <w:r w:rsidRPr="00206534">
        <w:rPr>
          <w:color w:val="222222"/>
          <w:lang w:val="en-US" w:eastAsia="en-US"/>
        </w:rPr>
        <w:t>;</w:t>
      </w:r>
    </w:p>
    <w:p w14:paraId="34AF5B6C" w14:textId="77777777" w:rsidR="002413FB" w:rsidRPr="00206534" w:rsidRDefault="002413FB" w:rsidP="005D1D65">
      <w:pPr>
        <w:numPr>
          <w:ilvl w:val="0"/>
          <w:numId w:val="19"/>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настаняване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млади</w:t>
      </w:r>
      <w:proofErr w:type="spellEnd"/>
      <w:r w:rsidRPr="00206534">
        <w:rPr>
          <w:color w:val="222222"/>
          <w:lang w:val="en-US" w:eastAsia="en-US"/>
        </w:rPr>
        <w:t xml:space="preserve"> </w:t>
      </w:r>
      <w:proofErr w:type="spellStart"/>
      <w:r w:rsidRPr="00206534">
        <w:rPr>
          <w:color w:val="222222"/>
          <w:lang w:val="en-US" w:eastAsia="en-US"/>
        </w:rPr>
        <w:t>учени</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български</w:t>
      </w:r>
      <w:proofErr w:type="spellEnd"/>
      <w:r w:rsidRPr="00206534">
        <w:rPr>
          <w:color w:val="222222"/>
          <w:lang w:val="en-US" w:eastAsia="en-US"/>
        </w:rPr>
        <w:t xml:space="preserve"> </w:t>
      </w:r>
      <w:proofErr w:type="spellStart"/>
      <w:r w:rsidRPr="00206534">
        <w:rPr>
          <w:color w:val="222222"/>
          <w:lang w:val="en-US" w:eastAsia="en-US"/>
        </w:rPr>
        <w:t>научни</w:t>
      </w:r>
      <w:proofErr w:type="spellEnd"/>
      <w:r w:rsidRPr="00206534">
        <w:rPr>
          <w:color w:val="222222"/>
          <w:lang w:val="en-US" w:eastAsia="en-US"/>
        </w:rPr>
        <w:t xml:space="preserve"> </w:t>
      </w:r>
      <w:proofErr w:type="spellStart"/>
      <w:r w:rsidRPr="00206534">
        <w:rPr>
          <w:color w:val="222222"/>
          <w:lang w:val="en-US" w:eastAsia="en-US"/>
        </w:rPr>
        <w:t>организации</w:t>
      </w:r>
      <w:proofErr w:type="spellEnd"/>
      <w:r w:rsidRPr="00206534">
        <w:rPr>
          <w:color w:val="222222"/>
          <w:lang w:val="en-US" w:eastAsia="en-US"/>
        </w:rPr>
        <w:t xml:space="preserve"> </w:t>
      </w:r>
      <w:proofErr w:type="spellStart"/>
      <w:r w:rsidRPr="00206534">
        <w:rPr>
          <w:color w:val="222222"/>
          <w:lang w:val="en-US" w:eastAsia="en-US"/>
        </w:rPr>
        <w:t>или</w:t>
      </w:r>
      <w:proofErr w:type="spellEnd"/>
      <w:r w:rsidRPr="00206534">
        <w:rPr>
          <w:color w:val="222222"/>
          <w:lang w:val="en-US" w:eastAsia="en-US"/>
        </w:rPr>
        <w:t xml:space="preserve"> </w:t>
      </w:r>
      <w:proofErr w:type="spellStart"/>
      <w:r w:rsidRPr="00206534">
        <w:rPr>
          <w:color w:val="222222"/>
          <w:lang w:val="en-US" w:eastAsia="en-US"/>
        </w:rPr>
        <w:t>висши</w:t>
      </w:r>
      <w:proofErr w:type="spellEnd"/>
      <w:r w:rsidRPr="00206534">
        <w:rPr>
          <w:color w:val="222222"/>
          <w:lang w:val="en-US" w:eastAsia="en-US"/>
        </w:rPr>
        <w:t xml:space="preserve"> </w:t>
      </w:r>
      <w:proofErr w:type="spellStart"/>
      <w:r w:rsidRPr="00206534">
        <w:rPr>
          <w:color w:val="222222"/>
          <w:lang w:val="en-US" w:eastAsia="en-US"/>
        </w:rPr>
        <w:t>училища</w:t>
      </w:r>
      <w:proofErr w:type="spellEnd"/>
      <w:r w:rsidRPr="00206534">
        <w:rPr>
          <w:color w:val="222222"/>
          <w:lang w:val="en-US" w:eastAsia="en-US"/>
        </w:rPr>
        <w:t xml:space="preserve">, </w:t>
      </w:r>
      <w:proofErr w:type="spellStart"/>
      <w:r w:rsidRPr="00206534">
        <w:rPr>
          <w:color w:val="222222"/>
          <w:lang w:val="en-US" w:eastAsia="en-US"/>
        </w:rPr>
        <w:t>участващи</w:t>
      </w:r>
      <w:proofErr w:type="spellEnd"/>
      <w:r w:rsidRPr="00206534">
        <w:rPr>
          <w:color w:val="222222"/>
          <w:lang w:val="en-US" w:eastAsia="en-US"/>
        </w:rPr>
        <w:t xml:space="preserve"> </w:t>
      </w:r>
      <w:proofErr w:type="spellStart"/>
      <w:r w:rsidRPr="00206534">
        <w:rPr>
          <w:color w:val="222222"/>
          <w:lang w:val="en-US" w:eastAsia="en-US"/>
        </w:rPr>
        <w:t>във</w:t>
      </w:r>
      <w:proofErr w:type="spellEnd"/>
      <w:r w:rsidRPr="00206534">
        <w:rPr>
          <w:color w:val="222222"/>
          <w:lang w:val="en-US" w:eastAsia="en-US"/>
        </w:rPr>
        <w:t xml:space="preserve"> </w:t>
      </w:r>
      <w:proofErr w:type="spellStart"/>
      <w:r w:rsidRPr="00206534">
        <w:rPr>
          <w:color w:val="222222"/>
          <w:lang w:val="en-US" w:eastAsia="en-US"/>
        </w:rPr>
        <w:t>форума</w:t>
      </w:r>
      <w:proofErr w:type="spellEnd"/>
      <w:r w:rsidRPr="00206534">
        <w:rPr>
          <w:color w:val="222222"/>
          <w:lang w:val="en-US" w:eastAsia="en-US"/>
        </w:rPr>
        <w:t xml:space="preserve"> с </w:t>
      </w:r>
      <w:proofErr w:type="spellStart"/>
      <w:r w:rsidRPr="00206534">
        <w:rPr>
          <w:color w:val="222222"/>
          <w:lang w:val="en-US" w:eastAsia="en-US"/>
        </w:rPr>
        <w:t>доклади</w:t>
      </w:r>
      <w:proofErr w:type="spellEnd"/>
      <w:r w:rsidRPr="00206534">
        <w:rPr>
          <w:color w:val="222222"/>
          <w:lang w:val="en-US" w:eastAsia="en-US"/>
        </w:rPr>
        <w:t xml:space="preserve"> </w:t>
      </w:r>
      <w:proofErr w:type="spellStart"/>
      <w:r w:rsidRPr="00206534">
        <w:rPr>
          <w:color w:val="222222"/>
          <w:lang w:val="en-US" w:eastAsia="en-US"/>
        </w:rPr>
        <w:t>или</w:t>
      </w:r>
      <w:proofErr w:type="spellEnd"/>
      <w:r w:rsidRPr="00206534">
        <w:rPr>
          <w:color w:val="222222"/>
          <w:lang w:val="en-US" w:eastAsia="en-US"/>
        </w:rPr>
        <w:t xml:space="preserve"> </w:t>
      </w:r>
      <w:proofErr w:type="spellStart"/>
      <w:r w:rsidRPr="00206534">
        <w:rPr>
          <w:color w:val="222222"/>
          <w:lang w:val="en-US" w:eastAsia="en-US"/>
        </w:rPr>
        <w:t>постери</w:t>
      </w:r>
      <w:proofErr w:type="spellEnd"/>
      <w:r w:rsidRPr="00206534">
        <w:rPr>
          <w:color w:val="222222"/>
          <w:lang w:val="en-US" w:eastAsia="en-US"/>
        </w:rPr>
        <w:t>;</w:t>
      </w:r>
    </w:p>
    <w:p w14:paraId="46530B69" w14:textId="77777777" w:rsidR="002413FB" w:rsidRPr="00206534" w:rsidRDefault="002413FB" w:rsidP="005D1D65">
      <w:pPr>
        <w:numPr>
          <w:ilvl w:val="0"/>
          <w:numId w:val="19"/>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кафе-паузи</w:t>
      </w:r>
      <w:proofErr w:type="spellEnd"/>
      <w:r w:rsidRPr="00206534">
        <w:rPr>
          <w:color w:val="222222"/>
          <w:lang w:val="en-US" w:eastAsia="en-US"/>
        </w:rPr>
        <w:t>;</w:t>
      </w:r>
    </w:p>
    <w:p w14:paraId="7AE9986D" w14:textId="77777777" w:rsidR="002413FB" w:rsidRPr="00206534" w:rsidRDefault="002413FB" w:rsidP="005D1D65">
      <w:pPr>
        <w:numPr>
          <w:ilvl w:val="0"/>
          <w:numId w:val="19"/>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официална</w:t>
      </w:r>
      <w:proofErr w:type="spellEnd"/>
      <w:r w:rsidRPr="00206534">
        <w:rPr>
          <w:color w:val="222222"/>
          <w:lang w:val="en-US" w:eastAsia="en-US"/>
        </w:rPr>
        <w:t xml:space="preserve"> </w:t>
      </w:r>
      <w:proofErr w:type="spellStart"/>
      <w:r w:rsidRPr="00206534">
        <w:rPr>
          <w:color w:val="222222"/>
          <w:lang w:val="en-US" w:eastAsia="en-US"/>
        </w:rPr>
        <w:t>вечеря</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форума</w:t>
      </w:r>
      <w:proofErr w:type="spellEnd"/>
      <w:r w:rsidRPr="00206534">
        <w:rPr>
          <w:color w:val="222222"/>
          <w:lang w:val="en-US" w:eastAsia="en-US"/>
        </w:rPr>
        <w:t>;</w:t>
      </w:r>
    </w:p>
    <w:p w14:paraId="6E899344" w14:textId="77777777" w:rsidR="002413FB" w:rsidRPr="00206534" w:rsidRDefault="002413FB" w:rsidP="005D1D65">
      <w:pPr>
        <w:numPr>
          <w:ilvl w:val="0"/>
          <w:numId w:val="19"/>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вътрешен</w:t>
      </w:r>
      <w:proofErr w:type="spellEnd"/>
      <w:r w:rsidRPr="00206534">
        <w:rPr>
          <w:color w:val="222222"/>
          <w:lang w:val="en-US" w:eastAsia="en-US"/>
        </w:rPr>
        <w:t xml:space="preserve"> </w:t>
      </w:r>
      <w:proofErr w:type="spellStart"/>
      <w:r w:rsidRPr="00206534">
        <w:rPr>
          <w:color w:val="222222"/>
          <w:lang w:val="en-US" w:eastAsia="en-US"/>
        </w:rPr>
        <w:t>транспорт</w:t>
      </w:r>
      <w:proofErr w:type="spellEnd"/>
      <w:r w:rsidRPr="00206534">
        <w:rPr>
          <w:color w:val="222222"/>
          <w:lang w:val="en-US" w:eastAsia="en-US"/>
        </w:rPr>
        <w:t xml:space="preserve"> в </w:t>
      </w:r>
      <w:proofErr w:type="spellStart"/>
      <w:r w:rsidRPr="00206534">
        <w:rPr>
          <w:color w:val="222222"/>
          <w:lang w:val="en-US" w:eastAsia="en-US"/>
        </w:rPr>
        <w:t>страната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участниците</w:t>
      </w:r>
      <w:proofErr w:type="spellEnd"/>
      <w:r w:rsidRPr="00206534">
        <w:rPr>
          <w:color w:val="222222"/>
          <w:lang w:val="en-US" w:eastAsia="en-US"/>
        </w:rPr>
        <w:t xml:space="preserve"> </w:t>
      </w:r>
      <w:proofErr w:type="spellStart"/>
      <w:r w:rsidRPr="00206534">
        <w:rPr>
          <w:color w:val="222222"/>
          <w:lang w:val="en-US" w:eastAsia="en-US"/>
        </w:rPr>
        <w:t>във</w:t>
      </w:r>
      <w:proofErr w:type="spellEnd"/>
      <w:r w:rsidRPr="00206534">
        <w:rPr>
          <w:color w:val="222222"/>
          <w:lang w:val="en-US" w:eastAsia="en-US"/>
        </w:rPr>
        <w:t xml:space="preserve"> </w:t>
      </w:r>
      <w:proofErr w:type="spellStart"/>
      <w:r w:rsidRPr="00206534">
        <w:rPr>
          <w:color w:val="222222"/>
          <w:lang w:val="en-US" w:eastAsia="en-US"/>
        </w:rPr>
        <w:t>форума</w:t>
      </w:r>
      <w:proofErr w:type="spellEnd"/>
      <w:r w:rsidRPr="00206534">
        <w:rPr>
          <w:color w:val="222222"/>
          <w:lang w:val="en-US" w:eastAsia="en-US"/>
        </w:rPr>
        <w:t>.</w:t>
      </w:r>
    </w:p>
    <w:p w14:paraId="6C8C6DEC" w14:textId="77777777" w:rsidR="002413FB" w:rsidRPr="00206534" w:rsidRDefault="002413FB" w:rsidP="005D1D65">
      <w:pPr>
        <w:numPr>
          <w:ilvl w:val="1"/>
          <w:numId w:val="20"/>
        </w:numPr>
        <w:shd w:val="clear" w:color="auto" w:fill="FFFFFF"/>
        <w:spacing w:before="120" w:after="120" w:line="276" w:lineRule="auto"/>
        <w:jc w:val="both"/>
        <w:rPr>
          <w:color w:val="222222"/>
          <w:lang w:val="en-US" w:eastAsia="en-US"/>
        </w:rPr>
      </w:pPr>
      <w:proofErr w:type="spellStart"/>
      <w:r w:rsidRPr="00206534">
        <w:rPr>
          <w:color w:val="222222"/>
          <w:lang w:val="en-US" w:eastAsia="en-US"/>
        </w:rPr>
        <w:t>Одит</w:t>
      </w:r>
      <w:proofErr w:type="spellEnd"/>
      <w:r w:rsidRPr="00206534">
        <w:rPr>
          <w:color w:val="222222"/>
          <w:lang w:val="en-US" w:eastAsia="en-US"/>
        </w:rPr>
        <w:t xml:space="preserve"> (</w:t>
      </w:r>
      <w:proofErr w:type="spellStart"/>
      <w:r w:rsidRPr="00206534">
        <w:rPr>
          <w:color w:val="222222"/>
          <w:lang w:val="en-US" w:eastAsia="en-US"/>
        </w:rPr>
        <w:t>до</w:t>
      </w:r>
      <w:proofErr w:type="spellEnd"/>
      <w:r w:rsidRPr="00206534">
        <w:rPr>
          <w:color w:val="222222"/>
          <w:lang w:val="en-US" w:eastAsia="en-US"/>
        </w:rPr>
        <w:t xml:space="preserve"> 1 %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стойността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договора</w:t>
      </w:r>
      <w:proofErr w:type="spellEnd"/>
      <w:r w:rsidRPr="00206534">
        <w:rPr>
          <w:color w:val="222222"/>
          <w:lang w:val="en-US" w:eastAsia="en-US"/>
        </w:rPr>
        <w:t>)</w:t>
      </w:r>
    </w:p>
    <w:p w14:paraId="60F26209" w14:textId="18465A06" w:rsidR="002413FB" w:rsidRPr="00206534" w:rsidRDefault="002413FB" w:rsidP="00F762B5">
      <w:pPr>
        <w:shd w:val="clear" w:color="auto" w:fill="FFFFFF"/>
        <w:spacing w:before="120" w:after="120" w:line="276" w:lineRule="auto"/>
        <w:jc w:val="both"/>
        <w:rPr>
          <w:color w:val="222222"/>
          <w:lang w:val="en-US" w:eastAsia="en-US"/>
        </w:rPr>
      </w:pPr>
      <w:r w:rsidRPr="00206534">
        <w:rPr>
          <w:i/>
          <w:iCs/>
          <w:color w:val="222222"/>
          <w:lang w:val="en-US" w:eastAsia="en-US"/>
        </w:rPr>
        <w:t> </w:t>
      </w:r>
      <w:proofErr w:type="spellStart"/>
      <w:r w:rsidRPr="00206534">
        <w:rPr>
          <w:i/>
          <w:iCs/>
          <w:color w:val="222222"/>
          <w:lang w:val="en-US" w:eastAsia="en-US"/>
        </w:rPr>
        <w:t>Недопустими</w:t>
      </w:r>
      <w:proofErr w:type="spellEnd"/>
      <w:r w:rsidRPr="00206534">
        <w:rPr>
          <w:i/>
          <w:iCs/>
          <w:color w:val="222222"/>
          <w:lang w:val="en-US" w:eastAsia="en-US"/>
        </w:rPr>
        <w:t xml:space="preserve"> </w:t>
      </w:r>
      <w:proofErr w:type="spellStart"/>
      <w:r w:rsidRPr="00206534">
        <w:rPr>
          <w:i/>
          <w:iCs/>
          <w:color w:val="222222"/>
          <w:lang w:val="en-US" w:eastAsia="en-US"/>
        </w:rPr>
        <w:t>са</w:t>
      </w:r>
      <w:proofErr w:type="spellEnd"/>
      <w:r w:rsidRPr="00206534">
        <w:rPr>
          <w:i/>
          <w:iCs/>
          <w:color w:val="222222"/>
          <w:lang w:val="en-US" w:eastAsia="en-US"/>
        </w:rPr>
        <w:t xml:space="preserve"> </w:t>
      </w:r>
      <w:proofErr w:type="spellStart"/>
      <w:r w:rsidRPr="00206534">
        <w:rPr>
          <w:i/>
          <w:iCs/>
          <w:color w:val="222222"/>
          <w:lang w:val="en-US" w:eastAsia="en-US"/>
        </w:rPr>
        <w:t>разходите</w:t>
      </w:r>
      <w:proofErr w:type="spellEnd"/>
      <w:r w:rsidRPr="00206534">
        <w:rPr>
          <w:i/>
          <w:iCs/>
          <w:color w:val="222222"/>
          <w:lang w:val="en-US" w:eastAsia="en-US"/>
        </w:rPr>
        <w:t xml:space="preserve"> </w:t>
      </w:r>
      <w:proofErr w:type="spellStart"/>
      <w:r w:rsidRPr="00206534">
        <w:rPr>
          <w:i/>
          <w:iCs/>
          <w:color w:val="222222"/>
          <w:lang w:val="en-US" w:eastAsia="en-US"/>
        </w:rPr>
        <w:t>за</w:t>
      </w:r>
      <w:proofErr w:type="spellEnd"/>
      <w:r w:rsidRPr="00206534">
        <w:rPr>
          <w:i/>
          <w:iCs/>
          <w:color w:val="222222"/>
          <w:lang w:val="en-US" w:eastAsia="en-US"/>
        </w:rPr>
        <w:t xml:space="preserve"> </w:t>
      </w:r>
      <w:proofErr w:type="spellStart"/>
      <w:r w:rsidRPr="00206534">
        <w:rPr>
          <w:i/>
          <w:iCs/>
          <w:color w:val="222222"/>
          <w:lang w:val="en-US" w:eastAsia="en-US"/>
        </w:rPr>
        <w:t>възнаграждения</w:t>
      </w:r>
      <w:proofErr w:type="spellEnd"/>
      <w:r w:rsidRPr="00206534">
        <w:rPr>
          <w:i/>
          <w:iCs/>
          <w:color w:val="222222"/>
          <w:lang w:val="en-US" w:eastAsia="en-US"/>
        </w:rPr>
        <w:t xml:space="preserve"> по </w:t>
      </w:r>
      <w:proofErr w:type="spellStart"/>
      <w:r w:rsidRPr="00206534">
        <w:rPr>
          <w:i/>
          <w:iCs/>
          <w:color w:val="222222"/>
          <w:lang w:val="en-US" w:eastAsia="en-US"/>
        </w:rPr>
        <w:t>трудови</w:t>
      </w:r>
      <w:proofErr w:type="spellEnd"/>
      <w:r w:rsidRPr="00206534">
        <w:rPr>
          <w:i/>
          <w:iCs/>
          <w:color w:val="222222"/>
          <w:lang w:val="en-US" w:eastAsia="en-US"/>
        </w:rPr>
        <w:t xml:space="preserve"> </w:t>
      </w:r>
      <w:proofErr w:type="spellStart"/>
      <w:r w:rsidRPr="00206534">
        <w:rPr>
          <w:i/>
          <w:iCs/>
          <w:color w:val="222222"/>
          <w:lang w:val="en-US" w:eastAsia="en-US"/>
        </w:rPr>
        <w:t>или</w:t>
      </w:r>
      <w:proofErr w:type="spellEnd"/>
      <w:r w:rsidRPr="00206534">
        <w:rPr>
          <w:i/>
          <w:iCs/>
          <w:color w:val="222222"/>
          <w:lang w:val="en-US" w:eastAsia="en-US"/>
        </w:rPr>
        <w:t xml:space="preserve"> </w:t>
      </w:r>
      <w:proofErr w:type="spellStart"/>
      <w:r w:rsidRPr="00206534">
        <w:rPr>
          <w:i/>
          <w:iCs/>
          <w:color w:val="222222"/>
          <w:lang w:val="en-US" w:eastAsia="en-US"/>
        </w:rPr>
        <w:t>граждански</w:t>
      </w:r>
      <w:proofErr w:type="spellEnd"/>
      <w:r w:rsidRPr="00206534">
        <w:rPr>
          <w:i/>
          <w:iCs/>
          <w:color w:val="222222"/>
          <w:lang w:val="en-US" w:eastAsia="en-US"/>
        </w:rPr>
        <w:t xml:space="preserve"> </w:t>
      </w:r>
      <w:proofErr w:type="spellStart"/>
      <w:r w:rsidRPr="00206534">
        <w:rPr>
          <w:i/>
          <w:iCs/>
          <w:color w:val="222222"/>
          <w:lang w:val="en-US" w:eastAsia="en-US"/>
        </w:rPr>
        <w:t>договори</w:t>
      </w:r>
      <w:proofErr w:type="spellEnd"/>
      <w:r w:rsidRPr="00206534">
        <w:rPr>
          <w:i/>
          <w:iCs/>
          <w:color w:val="222222"/>
          <w:lang w:val="en-US" w:eastAsia="en-US"/>
        </w:rPr>
        <w:t xml:space="preserve">, </w:t>
      </w:r>
      <w:proofErr w:type="spellStart"/>
      <w:r w:rsidRPr="00206534">
        <w:rPr>
          <w:i/>
          <w:iCs/>
          <w:color w:val="222222"/>
          <w:lang w:val="en-US" w:eastAsia="en-US"/>
        </w:rPr>
        <w:t>такси</w:t>
      </w:r>
      <w:proofErr w:type="spellEnd"/>
      <w:r w:rsidRPr="00206534">
        <w:rPr>
          <w:i/>
          <w:iCs/>
          <w:color w:val="222222"/>
          <w:lang w:val="en-US" w:eastAsia="en-US"/>
        </w:rPr>
        <w:t xml:space="preserve"> </w:t>
      </w:r>
      <w:proofErr w:type="spellStart"/>
      <w:r w:rsidRPr="00206534">
        <w:rPr>
          <w:i/>
          <w:iCs/>
          <w:color w:val="222222"/>
          <w:lang w:val="en-US" w:eastAsia="en-US"/>
        </w:rPr>
        <w:t>за</w:t>
      </w:r>
      <w:proofErr w:type="spellEnd"/>
      <w:r w:rsidRPr="00206534">
        <w:rPr>
          <w:i/>
          <w:iCs/>
          <w:color w:val="222222"/>
          <w:lang w:val="en-US" w:eastAsia="en-US"/>
        </w:rPr>
        <w:t xml:space="preserve"> </w:t>
      </w:r>
      <w:proofErr w:type="spellStart"/>
      <w:r w:rsidRPr="00206534">
        <w:rPr>
          <w:i/>
          <w:iCs/>
          <w:color w:val="222222"/>
          <w:lang w:val="en-US" w:eastAsia="en-US"/>
        </w:rPr>
        <w:t>правоучастие</w:t>
      </w:r>
      <w:proofErr w:type="spellEnd"/>
      <w:r w:rsidRPr="00206534">
        <w:rPr>
          <w:i/>
          <w:iCs/>
          <w:color w:val="222222"/>
          <w:lang w:val="en-US" w:eastAsia="en-US"/>
        </w:rPr>
        <w:t xml:space="preserve">, </w:t>
      </w:r>
      <w:proofErr w:type="spellStart"/>
      <w:r w:rsidRPr="00206534">
        <w:rPr>
          <w:i/>
          <w:iCs/>
          <w:color w:val="222222"/>
          <w:lang w:val="en-US" w:eastAsia="en-US"/>
        </w:rPr>
        <w:t>дълготрайни</w:t>
      </w:r>
      <w:proofErr w:type="spellEnd"/>
      <w:r w:rsidRPr="00206534">
        <w:rPr>
          <w:i/>
          <w:iCs/>
          <w:color w:val="222222"/>
          <w:lang w:val="en-US" w:eastAsia="en-US"/>
        </w:rPr>
        <w:t xml:space="preserve"> </w:t>
      </w:r>
      <w:proofErr w:type="spellStart"/>
      <w:r w:rsidRPr="00206534">
        <w:rPr>
          <w:i/>
          <w:iCs/>
          <w:color w:val="222222"/>
          <w:lang w:val="en-US" w:eastAsia="en-US"/>
        </w:rPr>
        <w:t>материални</w:t>
      </w:r>
      <w:proofErr w:type="spellEnd"/>
      <w:r w:rsidRPr="00206534">
        <w:rPr>
          <w:i/>
          <w:iCs/>
          <w:color w:val="222222"/>
          <w:lang w:val="en-US" w:eastAsia="en-US"/>
        </w:rPr>
        <w:t xml:space="preserve"> </w:t>
      </w:r>
      <w:proofErr w:type="spellStart"/>
      <w:r w:rsidRPr="00206534">
        <w:rPr>
          <w:i/>
          <w:iCs/>
          <w:color w:val="222222"/>
          <w:lang w:val="en-US" w:eastAsia="en-US"/>
        </w:rPr>
        <w:t>или</w:t>
      </w:r>
      <w:proofErr w:type="spellEnd"/>
      <w:r w:rsidRPr="00206534">
        <w:rPr>
          <w:i/>
          <w:iCs/>
          <w:color w:val="222222"/>
          <w:lang w:val="en-US" w:eastAsia="en-US"/>
        </w:rPr>
        <w:t xml:space="preserve"> </w:t>
      </w:r>
      <w:proofErr w:type="spellStart"/>
      <w:r w:rsidRPr="00206534">
        <w:rPr>
          <w:i/>
          <w:iCs/>
          <w:color w:val="222222"/>
          <w:lang w:val="en-US" w:eastAsia="en-US"/>
        </w:rPr>
        <w:t>нематериални</w:t>
      </w:r>
      <w:proofErr w:type="spellEnd"/>
      <w:r w:rsidRPr="00206534">
        <w:rPr>
          <w:i/>
          <w:iCs/>
          <w:color w:val="222222"/>
          <w:lang w:val="en-US" w:eastAsia="en-US"/>
        </w:rPr>
        <w:t xml:space="preserve"> </w:t>
      </w:r>
      <w:proofErr w:type="spellStart"/>
      <w:r w:rsidRPr="00206534">
        <w:rPr>
          <w:i/>
          <w:iCs/>
          <w:color w:val="222222"/>
          <w:lang w:val="en-US" w:eastAsia="en-US"/>
        </w:rPr>
        <w:t>активи</w:t>
      </w:r>
      <w:proofErr w:type="spellEnd"/>
      <w:r w:rsidRPr="00206534">
        <w:rPr>
          <w:i/>
          <w:iCs/>
          <w:color w:val="222222"/>
          <w:lang w:val="en-US" w:eastAsia="en-US"/>
        </w:rPr>
        <w:t xml:space="preserve">, </w:t>
      </w:r>
      <w:proofErr w:type="spellStart"/>
      <w:r w:rsidRPr="00206534">
        <w:rPr>
          <w:i/>
          <w:iCs/>
          <w:color w:val="222222"/>
          <w:lang w:val="en-US" w:eastAsia="en-US"/>
        </w:rPr>
        <w:t>компютърно</w:t>
      </w:r>
      <w:proofErr w:type="spellEnd"/>
      <w:r w:rsidRPr="00206534">
        <w:rPr>
          <w:i/>
          <w:iCs/>
          <w:color w:val="222222"/>
          <w:lang w:val="en-US" w:eastAsia="en-US"/>
        </w:rPr>
        <w:t xml:space="preserve"> </w:t>
      </w:r>
      <w:proofErr w:type="spellStart"/>
      <w:r w:rsidRPr="00206534">
        <w:rPr>
          <w:i/>
          <w:iCs/>
          <w:color w:val="222222"/>
          <w:lang w:val="en-US" w:eastAsia="en-US"/>
        </w:rPr>
        <w:t>или</w:t>
      </w:r>
      <w:proofErr w:type="spellEnd"/>
      <w:r w:rsidRPr="00206534">
        <w:rPr>
          <w:i/>
          <w:iCs/>
          <w:color w:val="222222"/>
          <w:lang w:val="en-US" w:eastAsia="en-US"/>
        </w:rPr>
        <w:t xml:space="preserve"> </w:t>
      </w:r>
      <w:proofErr w:type="spellStart"/>
      <w:r w:rsidRPr="00206534">
        <w:rPr>
          <w:i/>
          <w:iCs/>
          <w:color w:val="222222"/>
          <w:lang w:val="en-US" w:eastAsia="en-US"/>
        </w:rPr>
        <w:t>друго</w:t>
      </w:r>
      <w:proofErr w:type="spellEnd"/>
      <w:r w:rsidRPr="00206534">
        <w:rPr>
          <w:color w:val="222222"/>
          <w:lang w:val="en-US" w:eastAsia="en-US"/>
        </w:rPr>
        <w:t> </w:t>
      </w:r>
      <w:proofErr w:type="spellStart"/>
      <w:r w:rsidRPr="00206534">
        <w:rPr>
          <w:i/>
          <w:iCs/>
          <w:color w:val="222222"/>
          <w:lang w:val="en-US" w:eastAsia="en-US"/>
        </w:rPr>
        <w:t>оборудване</w:t>
      </w:r>
      <w:proofErr w:type="spellEnd"/>
      <w:r w:rsidRPr="00206534">
        <w:rPr>
          <w:i/>
          <w:iCs/>
          <w:color w:val="222222"/>
          <w:lang w:val="en-US" w:eastAsia="en-US"/>
        </w:rPr>
        <w:t xml:space="preserve"> и </w:t>
      </w:r>
      <w:proofErr w:type="spellStart"/>
      <w:r w:rsidRPr="00206534">
        <w:rPr>
          <w:i/>
          <w:iCs/>
          <w:color w:val="222222"/>
          <w:lang w:val="en-US" w:eastAsia="en-US"/>
        </w:rPr>
        <w:t>апарати</w:t>
      </w:r>
      <w:proofErr w:type="spellEnd"/>
      <w:r w:rsidRPr="00206534">
        <w:rPr>
          <w:i/>
          <w:iCs/>
          <w:color w:val="222222"/>
          <w:lang w:val="en-US" w:eastAsia="en-US"/>
        </w:rPr>
        <w:t xml:space="preserve">, </w:t>
      </w:r>
      <w:proofErr w:type="spellStart"/>
      <w:r w:rsidRPr="00206534">
        <w:rPr>
          <w:i/>
          <w:iCs/>
          <w:color w:val="222222"/>
          <w:lang w:val="en-US" w:eastAsia="en-US"/>
        </w:rPr>
        <w:t>включително</w:t>
      </w:r>
      <w:proofErr w:type="spellEnd"/>
      <w:r w:rsidRPr="00206534">
        <w:rPr>
          <w:i/>
          <w:iCs/>
          <w:color w:val="222222"/>
          <w:lang w:val="en-US" w:eastAsia="en-US"/>
        </w:rPr>
        <w:t xml:space="preserve"> и </w:t>
      </w:r>
      <w:proofErr w:type="spellStart"/>
      <w:r w:rsidRPr="00206534">
        <w:rPr>
          <w:i/>
          <w:iCs/>
          <w:color w:val="222222"/>
          <w:lang w:val="en-US" w:eastAsia="en-US"/>
        </w:rPr>
        <w:t>когато</w:t>
      </w:r>
      <w:proofErr w:type="spellEnd"/>
      <w:r w:rsidRPr="00206534">
        <w:rPr>
          <w:i/>
          <w:iCs/>
          <w:color w:val="222222"/>
          <w:lang w:val="en-US" w:eastAsia="en-US"/>
        </w:rPr>
        <w:t xml:space="preserve"> </w:t>
      </w:r>
      <w:proofErr w:type="spellStart"/>
      <w:r w:rsidRPr="00206534">
        <w:rPr>
          <w:i/>
          <w:iCs/>
          <w:color w:val="222222"/>
          <w:lang w:val="en-US" w:eastAsia="en-US"/>
        </w:rPr>
        <w:t>те</w:t>
      </w:r>
      <w:proofErr w:type="spellEnd"/>
      <w:r w:rsidRPr="00206534">
        <w:rPr>
          <w:i/>
          <w:iCs/>
          <w:color w:val="222222"/>
          <w:lang w:val="en-US" w:eastAsia="en-US"/>
        </w:rPr>
        <w:t> </w:t>
      </w:r>
      <w:proofErr w:type="spellStart"/>
      <w:r w:rsidRPr="00206534">
        <w:rPr>
          <w:i/>
          <w:iCs/>
          <w:color w:val="222222"/>
          <w:u w:val="single"/>
          <w:lang w:val="en-US" w:eastAsia="en-US"/>
        </w:rPr>
        <w:t>не</w:t>
      </w:r>
      <w:proofErr w:type="spellEnd"/>
      <w:r w:rsidRPr="00206534">
        <w:rPr>
          <w:i/>
          <w:iCs/>
          <w:color w:val="222222"/>
          <w:lang w:val="en-US" w:eastAsia="en-US"/>
        </w:rPr>
        <w:t> </w:t>
      </w:r>
      <w:proofErr w:type="spellStart"/>
      <w:r w:rsidRPr="00206534">
        <w:rPr>
          <w:i/>
          <w:iCs/>
          <w:color w:val="222222"/>
          <w:lang w:val="en-US" w:eastAsia="en-US"/>
        </w:rPr>
        <w:t>представляват</w:t>
      </w:r>
      <w:proofErr w:type="spellEnd"/>
      <w:r w:rsidRPr="00206534">
        <w:rPr>
          <w:i/>
          <w:iCs/>
          <w:color w:val="222222"/>
          <w:lang w:val="en-US" w:eastAsia="en-US"/>
        </w:rPr>
        <w:t xml:space="preserve"> </w:t>
      </w:r>
      <w:proofErr w:type="spellStart"/>
      <w:r w:rsidRPr="00206534">
        <w:rPr>
          <w:i/>
          <w:iCs/>
          <w:color w:val="222222"/>
          <w:lang w:val="en-US" w:eastAsia="en-US"/>
        </w:rPr>
        <w:t>дълготраен</w:t>
      </w:r>
      <w:proofErr w:type="spellEnd"/>
      <w:r w:rsidRPr="00206534">
        <w:rPr>
          <w:i/>
          <w:iCs/>
          <w:color w:val="222222"/>
          <w:lang w:val="en-US" w:eastAsia="en-US"/>
        </w:rPr>
        <w:t xml:space="preserve"> </w:t>
      </w:r>
      <w:proofErr w:type="spellStart"/>
      <w:r w:rsidRPr="00206534">
        <w:rPr>
          <w:i/>
          <w:iCs/>
          <w:color w:val="222222"/>
          <w:lang w:val="en-US" w:eastAsia="en-US"/>
        </w:rPr>
        <w:t>актив</w:t>
      </w:r>
      <w:proofErr w:type="spellEnd"/>
      <w:r w:rsidRPr="00206534">
        <w:rPr>
          <w:i/>
          <w:iCs/>
          <w:color w:val="222222"/>
          <w:lang w:val="en-US" w:eastAsia="en-US"/>
        </w:rPr>
        <w:t>.</w:t>
      </w:r>
    </w:p>
    <w:p w14:paraId="3E11E7B1" w14:textId="1D6C3050" w:rsidR="002413FB" w:rsidRPr="00206534" w:rsidRDefault="002413FB" w:rsidP="00F762B5">
      <w:pPr>
        <w:shd w:val="clear" w:color="auto" w:fill="FFFFFF"/>
        <w:spacing w:before="120" w:after="120" w:line="276" w:lineRule="auto"/>
        <w:jc w:val="both"/>
        <w:rPr>
          <w:color w:val="222222"/>
          <w:lang w:val="en-US" w:eastAsia="en-US"/>
        </w:rPr>
      </w:pPr>
      <w:proofErr w:type="spellStart"/>
      <w:r w:rsidRPr="00206534">
        <w:rPr>
          <w:color w:val="222222"/>
          <w:lang w:val="en-US" w:eastAsia="en-US"/>
        </w:rPr>
        <w:t>Ако</w:t>
      </w:r>
      <w:proofErr w:type="spellEnd"/>
      <w:r w:rsidRPr="00206534">
        <w:rPr>
          <w:color w:val="222222"/>
          <w:lang w:val="en-US" w:eastAsia="en-US"/>
        </w:rPr>
        <w:t xml:space="preserve"> </w:t>
      </w:r>
      <w:proofErr w:type="spellStart"/>
      <w:r w:rsidRPr="00206534">
        <w:rPr>
          <w:color w:val="222222"/>
          <w:lang w:val="en-US" w:eastAsia="en-US"/>
        </w:rPr>
        <w:t>форумът</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провежда</w:t>
      </w:r>
      <w:proofErr w:type="spellEnd"/>
      <w:r w:rsidRPr="00206534">
        <w:rPr>
          <w:color w:val="222222"/>
          <w:lang w:val="en-US" w:eastAsia="en-US"/>
        </w:rPr>
        <w:t xml:space="preserve"> </w:t>
      </w:r>
      <w:proofErr w:type="spellStart"/>
      <w:r w:rsidRPr="00206534">
        <w:rPr>
          <w:color w:val="222222"/>
          <w:lang w:val="en-US" w:eastAsia="en-US"/>
        </w:rPr>
        <w:t>само</w:t>
      </w:r>
      <w:proofErr w:type="spellEnd"/>
      <w:r w:rsidRPr="00206534">
        <w:rPr>
          <w:color w:val="222222"/>
          <w:lang w:val="en-US" w:eastAsia="en-US"/>
        </w:rPr>
        <w:t xml:space="preserve"> </w:t>
      </w:r>
      <w:proofErr w:type="spellStart"/>
      <w:r w:rsidRPr="00206534">
        <w:rPr>
          <w:color w:val="222222"/>
          <w:lang w:val="en-US" w:eastAsia="en-US"/>
        </w:rPr>
        <w:t>дистанционно</w:t>
      </w:r>
      <w:proofErr w:type="spellEnd"/>
      <w:r w:rsidRPr="00206534">
        <w:rPr>
          <w:color w:val="222222"/>
          <w:lang w:val="en-US" w:eastAsia="en-US"/>
        </w:rPr>
        <w:t xml:space="preserve">, </w:t>
      </w:r>
      <w:proofErr w:type="spellStart"/>
      <w:r w:rsidRPr="00206534">
        <w:rPr>
          <w:color w:val="222222"/>
          <w:lang w:val="en-US" w:eastAsia="en-US"/>
        </w:rPr>
        <w:t>максималната</w:t>
      </w:r>
      <w:proofErr w:type="spellEnd"/>
      <w:r w:rsidRPr="00206534">
        <w:rPr>
          <w:color w:val="222222"/>
          <w:lang w:val="en-US" w:eastAsia="en-US"/>
        </w:rPr>
        <w:t xml:space="preserve"> </w:t>
      </w:r>
      <w:proofErr w:type="spellStart"/>
      <w:r w:rsidRPr="00206534">
        <w:rPr>
          <w:color w:val="222222"/>
          <w:lang w:val="en-US" w:eastAsia="en-US"/>
        </w:rPr>
        <w:t>сума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съфинансиране</w:t>
      </w:r>
      <w:proofErr w:type="spellEnd"/>
      <w:r w:rsidRPr="00206534">
        <w:rPr>
          <w:color w:val="222222"/>
          <w:lang w:val="en-US" w:eastAsia="en-US"/>
        </w:rPr>
        <w:t xml:space="preserve"> </w:t>
      </w:r>
      <w:proofErr w:type="spellStart"/>
      <w:r w:rsidRPr="00206534">
        <w:rPr>
          <w:color w:val="222222"/>
          <w:lang w:val="en-US" w:eastAsia="en-US"/>
        </w:rPr>
        <w:t>от</w:t>
      </w:r>
      <w:proofErr w:type="spellEnd"/>
      <w:r w:rsidRPr="00206534">
        <w:rPr>
          <w:color w:val="222222"/>
          <w:lang w:val="en-US" w:eastAsia="en-US"/>
        </w:rPr>
        <w:t xml:space="preserve"> ФНИ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редуцира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40%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първоначално</w:t>
      </w:r>
      <w:proofErr w:type="spellEnd"/>
      <w:r w:rsidRPr="00206534">
        <w:rPr>
          <w:color w:val="222222"/>
          <w:lang w:val="en-US" w:eastAsia="en-US"/>
        </w:rPr>
        <w:t xml:space="preserve"> </w:t>
      </w:r>
      <w:proofErr w:type="spellStart"/>
      <w:r w:rsidRPr="00206534">
        <w:rPr>
          <w:color w:val="222222"/>
          <w:lang w:val="en-US" w:eastAsia="en-US"/>
        </w:rPr>
        <w:t>заявената</w:t>
      </w:r>
      <w:proofErr w:type="spellEnd"/>
      <w:r w:rsidRPr="00206534">
        <w:rPr>
          <w:color w:val="222222"/>
          <w:lang w:val="en-US" w:eastAsia="en-US"/>
        </w:rPr>
        <w:t xml:space="preserve"> </w:t>
      </w:r>
      <w:proofErr w:type="spellStart"/>
      <w:r w:rsidRPr="00206534">
        <w:rPr>
          <w:color w:val="222222"/>
          <w:lang w:val="en-US" w:eastAsia="en-US"/>
        </w:rPr>
        <w:t>сума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присъствено</w:t>
      </w:r>
      <w:proofErr w:type="spellEnd"/>
      <w:r w:rsidRPr="00206534">
        <w:rPr>
          <w:color w:val="222222"/>
          <w:lang w:val="en-US" w:eastAsia="en-US"/>
        </w:rPr>
        <w:t xml:space="preserve"> </w:t>
      </w:r>
      <w:proofErr w:type="spellStart"/>
      <w:r w:rsidRPr="00206534">
        <w:rPr>
          <w:color w:val="222222"/>
          <w:lang w:val="en-US" w:eastAsia="en-US"/>
        </w:rPr>
        <w:t>провеждане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съответния</w:t>
      </w:r>
      <w:proofErr w:type="spellEnd"/>
      <w:r w:rsidRPr="00206534">
        <w:rPr>
          <w:color w:val="222222"/>
          <w:lang w:val="en-US" w:eastAsia="en-US"/>
        </w:rPr>
        <w:t xml:space="preserve"> </w:t>
      </w:r>
      <w:proofErr w:type="spellStart"/>
      <w:r w:rsidRPr="00206534">
        <w:rPr>
          <w:color w:val="222222"/>
          <w:lang w:val="en-US" w:eastAsia="en-US"/>
        </w:rPr>
        <w:t>форум</w:t>
      </w:r>
      <w:proofErr w:type="spellEnd"/>
      <w:r w:rsidRPr="00206534">
        <w:rPr>
          <w:color w:val="222222"/>
          <w:lang w:val="en-US" w:eastAsia="en-US"/>
        </w:rPr>
        <w:t xml:space="preserve">, а </w:t>
      </w:r>
      <w:proofErr w:type="spellStart"/>
      <w:r w:rsidRPr="00206534">
        <w:rPr>
          <w:color w:val="222222"/>
          <w:lang w:val="en-US" w:eastAsia="en-US"/>
        </w:rPr>
        <w:t>ако</w:t>
      </w:r>
      <w:proofErr w:type="spellEnd"/>
      <w:r w:rsidRPr="00206534">
        <w:rPr>
          <w:color w:val="222222"/>
          <w:lang w:val="en-US" w:eastAsia="en-US"/>
        </w:rPr>
        <w:t xml:space="preserve"> </w:t>
      </w:r>
      <w:proofErr w:type="spellStart"/>
      <w:r w:rsidRPr="00206534">
        <w:rPr>
          <w:color w:val="222222"/>
          <w:lang w:val="en-US" w:eastAsia="en-US"/>
        </w:rPr>
        <w:t>форумът</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провежда</w:t>
      </w:r>
      <w:proofErr w:type="spellEnd"/>
      <w:r w:rsidRPr="00206534">
        <w:rPr>
          <w:color w:val="222222"/>
          <w:lang w:val="en-US" w:eastAsia="en-US"/>
        </w:rPr>
        <w:t xml:space="preserve"> </w:t>
      </w:r>
      <w:proofErr w:type="spellStart"/>
      <w:r w:rsidRPr="00206534">
        <w:rPr>
          <w:color w:val="222222"/>
          <w:lang w:val="en-US" w:eastAsia="en-US"/>
        </w:rPr>
        <w:t>хибридно</w:t>
      </w:r>
      <w:proofErr w:type="spellEnd"/>
      <w:r w:rsidRPr="00206534">
        <w:rPr>
          <w:color w:val="222222"/>
          <w:lang w:val="en-US" w:eastAsia="en-US"/>
        </w:rPr>
        <w:t xml:space="preserve"> (</w:t>
      </w:r>
      <w:proofErr w:type="spellStart"/>
      <w:r w:rsidRPr="00206534">
        <w:rPr>
          <w:color w:val="222222"/>
          <w:lang w:val="en-US" w:eastAsia="en-US"/>
        </w:rPr>
        <w:t>т.е</w:t>
      </w:r>
      <w:proofErr w:type="spellEnd"/>
      <w:r w:rsidRPr="00206534">
        <w:rPr>
          <w:color w:val="222222"/>
          <w:lang w:val="en-US" w:eastAsia="en-US"/>
        </w:rPr>
        <w:t xml:space="preserve">. </w:t>
      </w:r>
      <w:proofErr w:type="spellStart"/>
      <w:r w:rsidRPr="00206534">
        <w:rPr>
          <w:color w:val="222222"/>
          <w:lang w:val="en-US" w:eastAsia="en-US"/>
        </w:rPr>
        <w:t>едновременно</w:t>
      </w:r>
      <w:proofErr w:type="spellEnd"/>
      <w:r w:rsidRPr="00206534">
        <w:rPr>
          <w:color w:val="222222"/>
          <w:lang w:val="en-US" w:eastAsia="en-US"/>
        </w:rPr>
        <w:t xml:space="preserve"> </w:t>
      </w:r>
      <w:proofErr w:type="spellStart"/>
      <w:r w:rsidRPr="00206534">
        <w:rPr>
          <w:color w:val="222222"/>
          <w:lang w:val="en-US" w:eastAsia="en-US"/>
        </w:rPr>
        <w:t>присъствено</w:t>
      </w:r>
      <w:proofErr w:type="spellEnd"/>
      <w:r w:rsidRPr="00206534">
        <w:rPr>
          <w:color w:val="222222"/>
          <w:lang w:val="en-US" w:eastAsia="en-US"/>
        </w:rPr>
        <w:t xml:space="preserve"> и </w:t>
      </w:r>
      <w:proofErr w:type="spellStart"/>
      <w:r w:rsidRPr="00206534">
        <w:rPr>
          <w:color w:val="222222"/>
          <w:lang w:val="en-US" w:eastAsia="en-US"/>
        </w:rPr>
        <w:t>дистанционно</w:t>
      </w:r>
      <w:proofErr w:type="spellEnd"/>
      <w:r w:rsidRPr="00206534">
        <w:rPr>
          <w:color w:val="222222"/>
          <w:lang w:val="en-US" w:eastAsia="en-US"/>
        </w:rPr>
        <w:t xml:space="preserve">), </w:t>
      </w:r>
      <w:proofErr w:type="spellStart"/>
      <w:r w:rsidRPr="00206534">
        <w:rPr>
          <w:color w:val="222222"/>
          <w:lang w:val="en-US" w:eastAsia="en-US"/>
        </w:rPr>
        <w:t>тогава</w:t>
      </w:r>
      <w:proofErr w:type="spellEnd"/>
      <w:r w:rsidRPr="00206534">
        <w:rPr>
          <w:color w:val="222222"/>
          <w:lang w:val="en-US" w:eastAsia="en-US"/>
        </w:rPr>
        <w:t xml:space="preserve"> </w:t>
      </w:r>
      <w:proofErr w:type="spellStart"/>
      <w:r w:rsidRPr="00206534">
        <w:rPr>
          <w:color w:val="222222"/>
          <w:lang w:val="en-US" w:eastAsia="en-US"/>
        </w:rPr>
        <w:t>максималната</w:t>
      </w:r>
      <w:proofErr w:type="spellEnd"/>
      <w:r w:rsidRPr="00206534">
        <w:rPr>
          <w:color w:val="222222"/>
          <w:lang w:val="en-US" w:eastAsia="en-US"/>
        </w:rPr>
        <w:t xml:space="preserve"> </w:t>
      </w:r>
      <w:proofErr w:type="spellStart"/>
      <w:r w:rsidRPr="00206534">
        <w:rPr>
          <w:color w:val="222222"/>
          <w:lang w:val="en-US" w:eastAsia="en-US"/>
        </w:rPr>
        <w:t>сума</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редуцира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60%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първоначално</w:t>
      </w:r>
      <w:proofErr w:type="spellEnd"/>
      <w:r w:rsidRPr="00206534">
        <w:rPr>
          <w:color w:val="222222"/>
          <w:lang w:val="en-US" w:eastAsia="en-US"/>
        </w:rPr>
        <w:t xml:space="preserve"> </w:t>
      </w:r>
      <w:proofErr w:type="spellStart"/>
      <w:r w:rsidRPr="00206534">
        <w:rPr>
          <w:color w:val="222222"/>
          <w:lang w:val="en-US" w:eastAsia="en-US"/>
        </w:rPr>
        <w:t>заявената</w:t>
      </w:r>
      <w:proofErr w:type="spellEnd"/>
      <w:r w:rsidRPr="00206534">
        <w:rPr>
          <w:color w:val="222222"/>
          <w:lang w:val="en-US" w:eastAsia="en-US"/>
        </w:rPr>
        <w:t xml:space="preserve"> </w:t>
      </w:r>
      <w:proofErr w:type="spellStart"/>
      <w:r w:rsidRPr="00206534">
        <w:rPr>
          <w:color w:val="222222"/>
          <w:lang w:val="en-US" w:eastAsia="en-US"/>
        </w:rPr>
        <w:t>сума</w:t>
      </w:r>
      <w:proofErr w:type="spellEnd"/>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присъствено</w:t>
      </w:r>
      <w:proofErr w:type="spellEnd"/>
      <w:r w:rsidRPr="00206534">
        <w:rPr>
          <w:color w:val="222222"/>
          <w:lang w:val="en-US" w:eastAsia="en-US"/>
        </w:rPr>
        <w:t xml:space="preserve"> </w:t>
      </w:r>
      <w:proofErr w:type="spellStart"/>
      <w:r w:rsidRPr="00206534">
        <w:rPr>
          <w:color w:val="222222"/>
          <w:lang w:val="en-US" w:eastAsia="en-US"/>
        </w:rPr>
        <w:t>провеждане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форума</w:t>
      </w:r>
      <w:proofErr w:type="spellEnd"/>
      <w:r w:rsidRPr="00206534">
        <w:rPr>
          <w:color w:val="222222"/>
          <w:lang w:val="en-US" w:eastAsia="en-US"/>
        </w:rPr>
        <w:t xml:space="preserve">. </w:t>
      </w:r>
      <w:proofErr w:type="spellStart"/>
      <w:r w:rsidRPr="00206534">
        <w:rPr>
          <w:color w:val="222222"/>
          <w:lang w:val="en-US" w:eastAsia="en-US"/>
        </w:rPr>
        <w:t>При</w:t>
      </w:r>
      <w:proofErr w:type="spellEnd"/>
      <w:r w:rsidRPr="00206534">
        <w:rPr>
          <w:color w:val="222222"/>
          <w:lang w:val="en-US" w:eastAsia="en-US"/>
        </w:rPr>
        <w:t xml:space="preserve"> </w:t>
      </w:r>
      <w:proofErr w:type="spellStart"/>
      <w:r w:rsidRPr="00206534">
        <w:rPr>
          <w:color w:val="222222"/>
          <w:lang w:val="en-US" w:eastAsia="en-US"/>
        </w:rPr>
        <w:t>смесено</w:t>
      </w:r>
      <w:proofErr w:type="spellEnd"/>
      <w:r w:rsidRPr="00206534">
        <w:rPr>
          <w:color w:val="222222"/>
          <w:lang w:val="en-US" w:eastAsia="en-US"/>
        </w:rPr>
        <w:t xml:space="preserve"> </w:t>
      </w:r>
      <w:proofErr w:type="spellStart"/>
      <w:r w:rsidRPr="00206534">
        <w:rPr>
          <w:color w:val="222222"/>
          <w:lang w:val="en-US" w:eastAsia="en-US"/>
        </w:rPr>
        <w:t>провеждане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форума</w:t>
      </w:r>
      <w:proofErr w:type="spellEnd"/>
      <w:r w:rsidRPr="00206534">
        <w:rPr>
          <w:color w:val="222222"/>
          <w:lang w:val="en-US" w:eastAsia="en-US"/>
        </w:rPr>
        <w:t xml:space="preserve">, </w:t>
      </w:r>
      <w:proofErr w:type="spellStart"/>
      <w:r w:rsidRPr="00206534">
        <w:rPr>
          <w:color w:val="222222"/>
          <w:lang w:val="en-US" w:eastAsia="en-US"/>
        </w:rPr>
        <w:t>редукцията</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прилага</w:t>
      </w:r>
      <w:proofErr w:type="spellEnd"/>
      <w:r w:rsidRPr="00206534">
        <w:rPr>
          <w:color w:val="222222"/>
          <w:lang w:val="en-US" w:eastAsia="en-US"/>
        </w:rPr>
        <w:t xml:space="preserve"> </w:t>
      </w:r>
      <w:proofErr w:type="spellStart"/>
      <w:r w:rsidRPr="00206534">
        <w:rPr>
          <w:color w:val="222222"/>
          <w:lang w:val="en-US" w:eastAsia="en-US"/>
        </w:rPr>
        <w:t>само</w:t>
      </w:r>
      <w:proofErr w:type="spellEnd"/>
      <w:r w:rsidRPr="00206534">
        <w:rPr>
          <w:color w:val="222222"/>
          <w:lang w:val="en-US" w:eastAsia="en-US"/>
        </w:rPr>
        <w:t xml:space="preserve"> </w:t>
      </w:r>
      <w:proofErr w:type="spellStart"/>
      <w:r w:rsidRPr="00206534">
        <w:rPr>
          <w:color w:val="222222"/>
          <w:lang w:val="en-US" w:eastAsia="en-US"/>
        </w:rPr>
        <w:t>ако</w:t>
      </w:r>
      <w:proofErr w:type="spellEnd"/>
      <w:r w:rsidRPr="00206534">
        <w:rPr>
          <w:color w:val="222222"/>
          <w:lang w:val="en-US" w:eastAsia="en-US"/>
        </w:rPr>
        <w:t xml:space="preserve"> </w:t>
      </w:r>
      <w:proofErr w:type="spellStart"/>
      <w:r w:rsidRPr="00206534">
        <w:rPr>
          <w:color w:val="222222"/>
          <w:lang w:val="en-US" w:eastAsia="en-US"/>
        </w:rPr>
        <w:t>броят</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физически</w:t>
      </w:r>
      <w:proofErr w:type="spellEnd"/>
      <w:r w:rsidRPr="00206534">
        <w:rPr>
          <w:color w:val="222222"/>
          <w:lang w:val="en-US" w:eastAsia="en-US"/>
        </w:rPr>
        <w:t xml:space="preserve"> </w:t>
      </w:r>
      <w:proofErr w:type="spellStart"/>
      <w:r w:rsidRPr="00206534">
        <w:rPr>
          <w:color w:val="222222"/>
          <w:lang w:val="en-US" w:eastAsia="en-US"/>
        </w:rPr>
        <w:t>присъствалите</w:t>
      </w:r>
      <w:proofErr w:type="spellEnd"/>
      <w:r w:rsidRPr="00206534">
        <w:rPr>
          <w:color w:val="222222"/>
          <w:lang w:val="en-US" w:eastAsia="en-US"/>
        </w:rPr>
        <w:t xml:space="preserve"> </w:t>
      </w:r>
      <w:proofErr w:type="spellStart"/>
      <w:r w:rsidRPr="00206534">
        <w:rPr>
          <w:color w:val="222222"/>
          <w:lang w:val="en-US" w:eastAsia="en-US"/>
        </w:rPr>
        <w:t>участници</w:t>
      </w:r>
      <w:proofErr w:type="spellEnd"/>
      <w:r w:rsidRPr="00206534">
        <w:rPr>
          <w:color w:val="222222"/>
          <w:lang w:val="en-US" w:eastAsia="en-US"/>
        </w:rPr>
        <w:t xml:space="preserve"> е </w:t>
      </w:r>
      <w:proofErr w:type="spellStart"/>
      <w:r w:rsidRPr="00206534">
        <w:rPr>
          <w:color w:val="222222"/>
          <w:lang w:val="en-US" w:eastAsia="en-US"/>
        </w:rPr>
        <w:t>под</w:t>
      </w:r>
      <w:proofErr w:type="spellEnd"/>
      <w:r w:rsidRPr="00206534">
        <w:rPr>
          <w:color w:val="222222"/>
          <w:lang w:val="en-US" w:eastAsia="en-US"/>
        </w:rPr>
        <w:t xml:space="preserve"> 50. </w:t>
      </w:r>
      <w:proofErr w:type="spellStart"/>
      <w:r w:rsidRPr="00206534">
        <w:rPr>
          <w:color w:val="222222"/>
          <w:lang w:val="en-US" w:eastAsia="en-US"/>
        </w:rPr>
        <w:t>Процентът</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редуциране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сумата</w:t>
      </w:r>
      <w:proofErr w:type="spellEnd"/>
      <w:r w:rsidRPr="00206534">
        <w:rPr>
          <w:color w:val="222222"/>
          <w:lang w:val="en-US" w:eastAsia="en-US"/>
        </w:rPr>
        <w:t xml:space="preserve"> е </w:t>
      </w:r>
      <w:proofErr w:type="spellStart"/>
      <w:r w:rsidRPr="00206534">
        <w:rPr>
          <w:color w:val="222222"/>
          <w:lang w:val="en-US" w:eastAsia="en-US"/>
        </w:rPr>
        <w:t>реципрочен</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редуцирания</w:t>
      </w:r>
      <w:proofErr w:type="spellEnd"/>
      <w:r w:rsidRPr="00206534">
        <w:rPr>
          <w:color w:val="222222"/>
          <w:lang w:val="en-US" w:eastAsia="en-US"/>
        </w:rPr>
        <w:t xml:space="preserve"> </w:t>
      </w:r>
      <w:proofErr w:type="spellStart"/>
      <w:r w:rsidRPr="00206534">
        <w:rPr>
          <w:color w:val="222222"/>
          <w:lang w:val="en-US" w:eastAsia="en-US"/>
        </w:rPr>
        <w:t>брой</w:t>
      </w:r>
      <w:proofErr w:type="spellEnd"/>
      <w:r w:rsidRPr="00206534">
        <w:rPr>
          <w:color w:val="222222"/>
          <w:lang w:val="en-US" w:eastAsia="en-US"/>
        </w:rPr>
        <w:t xml:space="preserve"> </w:t>
      </w:r>
      <w:proofErr w:type="spellStart"/>
      <w:r w:rsidRPr="00206534">
        <w:rPr>
          <w:color w:val="222222"/>
          <w:lang w:val="en-US" w:eastAsia="en-US"/>
        </w:rPr>
        <w:t>физически</w:t>
      </w:r>
      <w:proofErr w:type="spellEnd"/>
      <w:r w:rsidRPr="00206534">
        <w:rPr>
          <w:color w:val="222222"/>
          <w:lang w:val="en-US" w:eastAsia="en-US"/>
        </w:rPr>
        <w:t xml:space="preserve"> </w:t>
      </w:r>
      <w:proofErr w:type="spellStart"/>
      <w:r w:rsidRPr="00206534">
        <w:rPr>
          <w:color w:val="222222"/>
          <w:lang w:val="en-US" w:eastAsia="en-US"/>
        </w:rPr>
        <w:t>присъствали</w:t>
      </w:r>
      <w:proofErr w:type="spellEnd"/>
      <w:r w:rsidRPr="00206534">
        <w:rPr>
          <w:color w:val="222222"/>
          <w:lang w:val="en-US" w:eastAsia="en-US"/>
        </w:rPr>
        <w:t xml:space="preserve"> </w:t>
      </w:r>
      <w:proofErr w:type="spellStart"/>
      <w:r w:rsidRPr="00206534">
        <w:rPr>
          <w:color w:val="222222"/>
          <w:lang w:val="en-US" w:eastAsia="en-US"/>
        </w:rPr>
        <w:t>участници</w:t>
      </w:r>
      <w:proofErr w:type="spellEnd"/>
      <w:r w:rsidRPr="00206534">
        <w:rPr>
          <w:color w:val="222222"/>
          <w:lang w:val="en-US" w:eastAsia="en-US"/>
        </w:rPr>
        <w:t xml:space="preserve">, </w:t>
      </w:r>
      <w:proofErr w:type="spellStart"/>
      <w:r w:rsidRPr="00206534">
        <w:rPr>
          <w:color w:val="222222"/>
          <w:lang w:val="en-US" w:eastAsia="en-US"/>
        </w:rPr>
        <w:t>но</w:t>
      </w:r>
      <w:proofErr w:type="spellEnd"/>
      <w:r w:rsidRPr="00206534">
        <w:rPr>
          <w:color w:val="222222"/>
          <w:lang w:val="en-US" w:eastAsia="en-US"/>
        </w:rPr>
        <w:t xml:space="preserve"> </w:t>
      </w:r>
      <w:proofErr w:type="spellStart"/>
      <w:r w:rsidRPr="00206534">
        <w:rPr>
          <w:color w:val="222222"/>
          <w:lang w:val="en-US" w:eastAsia="en-US"/>
        </w:rPr>
        <w:t>най-ниският</w:t>
      </w:r>
      <w:proofErr w:type="spellEnd"/>
      <w:r w:rsidRPr="00206534">
        <w:rPr>
          <w:color w:val="222222"/>
          <w:lang w:val="en-US" w:eastAsia="en-US"/>
        </w:rPr>
        <w:t xml:space="preserve"> </w:t>
      </w:r>
      <w:proofErr w:type="spellStart"/>
      <w:r w:rsidRPr="00206534">
        <w:rPr>
          <w:color w:val="222222"/>
          <w:lang w:val="en-US" w:eastAsia="en-US"/>
        </w:rPr>
        <w:t>процент</w:t>
      </w:r>
      <w:proofErr w:type="spellEnd"/>
      <w:r w:rsidRPr="00206534">
        <w:rPr>
          <w:color w:val="222222"/>
          <w:lang w:val="en-US" w:eastAsia="en-US"/>
        </w:rPr>
        <w:t xml:space="preserve"> </w:t>
      </w:r>
      <w:proofErr w:type="spellStart"/>
      <w:r w:rsidRPr="00206534">
        <w:rPr>
          <w:color w:val="222222"/>
          <w:lang w:val="en-US" w:eastAsia="en-US"/>
        </w:rPr>
        <w:t>редукция</w:t>
      </w:r>
      <w:proofErr w:type="spellEnd"/>
      <w:r w:rsidRPr="00206534">
        <w:rPr>
          <w:color w:val="222222"/>
          <w:lang w:val="en-US" w:eastAsia="en-US"/>
        </w:rPr>
        <w:t xml:space="preserve"> е 40%</w:t>
      </w:r>
      <w:bookmarkStart w:id="34" w:name="_ftnref1"/>
      <w:r w:rsidRPr="00206534">
        <w:rPr>
          <w:color w:val="222222"/>
          <w:lang w:val="en-US" w:eastAsia="en-US"/>
        </w:rPr>
        <w:fldChar w:fldCharType="begin"/>
      </w:r>
      <w:r w:rsidRPr="00206534">
        <w:rPr>
          <w:color w:val="222222"/>
          <w:lang w:val="en-US" w:eastAsia="en-US"/>
        </w:rPr>
        <w:instrText xml:space="preserve"> HYPERLINK "https://bnsf.bg/wps/portal/fond-izsledvaniq/home/competitions/Pokana_MNF-2025/!ut/p/z1/jZDNDoIwEISfxQcgu2348dqogMRisajYC-kFJGohhnjw6e0Vo8DeJvlmdjKgoABl9Kupdd-0Rt-tvii_FCJicbREJBvpYua58kTSHDkGcB4C8TpnmIkDETLx0d0TUHP8-OcYzvOPAGo8Ppl6YBegT77iNahO91enMVULhWhv2uiSp6FDkXq2hhoGiTzz7RBBIEJJaMTIN_Bjqamu3eN4LN67Sm7rxQd0tVgg/" \l "_ftn1" \o "" </w:instrText>
      </w:r>
      <w:r w:rsidRPr="00206534">
        <w:rPr>
          <w:color w:val="222222"/>
          <w:lang w:val="en-US" w:eastAsia="en-US"/>
        </w:rPr>
      </w:r>
      <w:r w:rsidRPr="00206534">
        <w:rPr>
          <w:color w:val="222222"/>
          <w:lang w:val="en-US" w:eastAsia="en-US"/>
        </w:rPr>
        <w:fldChar w:fldCharType="separate"/>
      </w:r>
      <w:r w:rsidRPr="00206534">
        <w:rPr>
          <w:color w:val="01487F"/>
          <w:u w:val="single"/>
          <w:vertAlign w:val="superscript"/>
          <w:lang w:val="en-US" w:eastAsia="en-US"/>
        </w:rPr>
        <w:t>[1]</w:t>
      </w:r>
      <w:r w:rsidRPr="00206534">
        <w:rPr>
          <w:color w:val="222222"/>
          <w:lang w:val="en-US" w:eastAsia="en-US"/>
        </w:rPr>
        <w:fldChar w:fldCharType="end"/>
      </w:r>
      <w:bookmarkEnd w:id="34"/>
      <w:r w:rsidRPr="00206534">
        <w:rPr>
          <w:color w:val="222222"/>
          <w:lang w:val="en-US" w:eastAsia="en-US"/>
        </w:rPr>
        <w:t xml:space="preserve">. </w:t>
      </w:r>
      <w:proofErr w:type="spellStart"/>
      <w:r w:rsidRPr="00206534">
        <w:rPr>
          <w:color w:val="222222"/>
          <w:lang w:val="en-US" w:eastAsia="en-US"/>
        </w:rPr>
        <w:t>За</w:t>
      </w:r>
      <w:proofErr w:type="spellEnd"/>
      <w:r w:rsidRPr="00206534">
        <w:rPr>
          <w:color w:val="222222"/>
          <w:lang w:val="en-US" w:eastAsia="en-US"/>
        </w:rPr>
        <w:t xml:space="preserve"> </w:t>
      </w:r>
      <w:proofErr w:type="spellStart"/>
      <w:r w:rsidRPr="00206534">
        <w:rPr>
          <w:color w:val="222222"/>
          <w:lang w:val="en-US" w:eastAsia="en-US"/>
        </w:rPr>
        <w:t>промяна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начина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провеждане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даден</w:t>
      </w:r>
      <w:proofErr w:type="spellEnd"/>
      <w:r w:rsidRPr="00206534">
        <w:rPr>
          <w:color w:val="222222"/>
          <w:lang w:val="en-US" w:eastAsia="en-US"/>
        </w:rPr>
        <w:t xml:space="preserve"> </w:t>
      </w:r>
      <w:proofErr w:type="spellStart"/>
      <w:r w:rsidRPr="00206534">
        <w:rPr>
          <w:color w:val="222222"/>
          <w:lang w:val="en-US" w:eastAsia="en-US"/>
        </w:rPr>
        <w:t>форум</w:t>
      </w:r>
      <w:proofErr w:type="spellEnd"/>
      <w:r w:rsidRPr="00206534">
        <w:rPr>
          <w:color w:val="222222"/>
          <w:lang w:val="en-US" w:eastAsia="en-US"/>
        </w:rPr>
        <w:t xml:space="preserve"> е </w:t>
      </w:r>
      <w:proofErr w:type="spellStart"/>
      <w:r w:rsidRPr="00206534">
        <w:rPr>
          <w:color w:val="222222"/>
          <w:lang w:val="en-US" w:eastAsia="en-US"/>
        </w:rPr>
        <w:t>необходимо</w:t>
      </w:r>
      <w:proofErr w:type="spellEnd"/>
      <w:r w:rsidRPr="00206534">
        <w:rPr>
          <w:color w:val="222222"/>
          <w:lang w:val="en-US" w:eastAsia="en-US"/>
        </w:rPr>
        <w:t xml:space="preserve"> </w:t>
      </w:r>
      <w:proofErr w:type="spellStart"/>
      <w:r w:rsidRPr="00206534">
        <w:rPr>
          <w:color w:val="222222"/>
          <w:lang w:val="en-US" w:eastAsia="en-US"/>
        </w:rPr>
        <w:t>да</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изпрати</w:t>
      </w:r>
      <w:proofErr w:type="spellEnd"/>
      <w:r w:rsidRPr="00206534">
        <w:rPr>
          <w:color w:val="222222"/>
          <w:lang w:val="en-US" w:eastAsia="en-US"/>
        </w:rPr>
        <w:t xml:space="preserve"> </w:t>
      </w:r>
      <w:proofErr w:type="spellStart"/>
      <w:r w:rsidRPr="00206534">
        <w:rPr>
          <w:color w:val="222222"/>
          <w:lang w:val="en-US" w:eastAsia="en-US"/>
        </w:rPr>
        <w:t>уведомление</w:t>
      </w:r>
      <w:proofErr w:type="spellEnd"/>
      <w:r w:rsidRPr="00206534">
        <w:rPr>
          <w:color w:val="222222"/>
          <w:lang w:val="en-US" w:eastAsia="en-US"/>
        </w:rPr>
        <w:t xml:space="preserve"> </w:t>
      </w:r>
      <w:proofErr w:type="spellStart"/>
      <w:r w:rsidRPr="00206534">
        <w:rPr>
          <w:color w:val="222222"/>
          <w:lang w:val="en-US" w:eastAsia="en-US"/>
        </w:rPr>
        <w:t>до</w:t>
      </w:r>
      <w:proofErr w:type="spellEnd"/>
      <w:r w:rsidRPr="00206534">
        <w:rPr>
          <w:color w:val="222222"/>
          <w:lang w:val="en-US" w:eastAsia="en-US"/>
        </w:rPr>
        <w:t xml:space="preserve"> ФНИ </w:t>
      </w:r>
      <w:proofErr w:type="spellStart"/>
      <w:r w:rsidRPr="00206534">
        <w:rPr>
          <w:color w:val="222222"/>
          <w:lang w:val="en-US" w:eastAsia="en-US"/>
        </w:rPr>
        <w:t>от</w:t>
      </w:r>
      <w:proofErr w:type="spellEnd"/>
      <w:r w:rsidRPr="00206534">
        <w:rPr>
          <w:color w:val="222222"/>
          <w:lang w:val="en-US" w:eastAsia="en-US"/>
        </w:rPr>
        <w:t xml:space="preserve"> </w:t>
      </w:r>
      <w:proofErr w:type="spellStart"/>
      <w:r w:rsidRPr="00206534">
        <w:rPr>
          <w:color w:val="222222"/>
          <w:lang w:val="en-US" w:eastAsia="en-US"/>
        </w:rPr>
        <w:t>ръководителя</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съответния</w:t>
      </w:r>
      <w:proofErr w:type="spellEnd"/>
      <w:r w:rsidRPr="00206534">
        <w:rPr>
          <w:color w:val="222222"/>
          <w:lang w:val="en-US" w:eastAsia="en-US"/>
        </w:rPr>
        <w:t xml:space="preserve"> </w:t>
      </w:r>
      <w:proofErr w:type="spellStart"/>
      <w:r w:rsidRPr="00206534">
        <w:rPr>
          <w:color w:val="222222"/>
          <w:lang w:val="en-US" w:eastAsia="en-US"/>
        </w:rPr>
        <w:t>проект</w:t>
      </w:r>
      <w:proofErr w:type="spellEnd"/>
      <w:r w:rsidRPr="00206534">
        <w:rPr>
          <w:color w:val="222222"/>
          <w:lang w:val="en-US" w:eastAsia="en-US"/>
        </w:rPr>
        <w:t xml:space="preserve">, </w:t>
      </w:r>
      <w:proofErr w:type="spellStart"/>
      <w:r w:rsidRPr="00206534">
        <w:rPr>
          <w:color w:val="222222"/>
          <w:lang w:val="en-US" w:eastAsia="en-US"/>
        </w:rPr>
        <w:t>съфинансиран</w:t>
      </w:r>
      <w:proofErr w:type="spellEnd"/>
      <w:r w:rsidRPr="00206534">
        <w:rPr>
          <w:color w:val="222222"/>
          <w:lang w:val="en-US" w:eastAsia="en-US"/>
        </w:rPr>
        <w:t xml:space="preserve"> по </w:t>
      </w:r>
      <w:proofErr w:type="spellStart"/>
      <w:r w:rsidRPr="00206534">
        <w:rPr>
          <w:color w:val="222222"/>
          <w:lang w:val="en-US" w:eastAsia="en-US"/>
        </w:rPr>
        <w:t>настоящата</w:t>
      </w:r>
      <w:proofErr w:type="spellEnd"/>
      <w:r w:rsidRPr="00206534">
        <w:rPr>
          <w:color w:val="222222"/>
          <w:lang w:val="en-US" w:eastAsia="en-US"/>
        </w:rPr>
        <w:t xml:space="preserve"> </w:t>
      </w:r>
      <w:proofErr w:type="spellStart"/>
      <w:r w:rsidRPr="00206534">
        <w:rPr>
          <w:color w:val="222222"/>
          <w:lang w:val="en-US" w:eastAsia="en-US"/>
        </w:rPr>
        <w:t>процедура</w:t>
      </w:r>
      <w:proofErr w:type="spellEnd"/>
      <w:r w:rsidRPr="00206534">
        <w:rPr>
          <w:color w:val="222222"/>
          <w:lang w:val="en-US" w:eastAsia="en-US"/>
        </w:rPr>
        <w:t xml:space="preserve">, </w:t>
      </w:r>
      <w:proofErr w:type="spellStart"/>
      <w:r w:rsidRPr="00206534">
        <w:rPr>
          <w:color w:val="222222"/>
          <w:lang w:val="en-US" w:eastAsia="en-US"/>
        </w:rPr>
        <w:t>като</w:t>
      </w:r>
      <w:proofErr w:type="spellEnd"/>
      <w:r w:rsidRPr="00206534">
        <w:rPr>
          <w:color w:val="222222"/>
          <w:lang w:val="en-US" w:eastAsia="en-US"/>
        </w:rPr>
        <w:t xml:space="preserve"> </w:t>
      </w:r>
      <w:proofErr w:type="spellStart"/>
      <w:r w:rsidRPr="00206534">
        <w:rPr>
          <w:color w:val="222222"/>
          <w:lang w:val="en-US" w:eastAsia="en-US"/>
        </w:rPr>
        <w:t>се</w:t>
      </w:r>
      <w:proofErr w:type="spellEnd"/>
      <w:r w:rsidRPr="00206534">
        <w:rPr>
          <w:color w:val="222222"/>
          <w:lang w:val="en-US" w:eastAsia="en-US"/>
        </w:rPr>
        <w:t xml:space="preserve"> </w:t>
      </w:r>
      <w:proofErr w:type="spellStart"/>
      <w:r w:rsidRPr="00206534">
        <w:rPr>
          <w:color w:val="222222"/>
          <w:lang w:val="en-US" w:eastAsia="en-US"/>
        </w:rPr>
        <w:t>представя</w:t>
      </w:r>
      <w:proofErr w:type="spellEnd"/>
      <w:r w:rsidRPr="00206534">
        <w:rPr>
          <w:color w:val="222222"/>
          <w:lang w:val="en-US" w:eastAsia="en-US"/>
        </w:rPr>
        <w:t xml:space="preserve"> и </w:t>
      </w:r>
      <w:proofErr w:type="spellStart"/>
      <w:r w:rsidRPr="00206534">
        <w:rPr>
          <w:color w:val="222222"/>
          <w:lang w:val="en-US" w:eastAsia="en-US"/>
        </w:rPr>
        <w:t>актуализиран</w:t>
      </w:r>
      <w:proofErr w:type="spellEnd"/>
      <w:r w:rsidRPr="00206534">
        <w:rPr>
          <w:color w:val="222222"/>
          <w:lang w:val="en-US" w:eastAsia="en-US"/>
        </w:rPr>
        <w:t xml:space="preserve"> </w:t>
      </w:r>
      <w:proofErr w:type="spellStart"/>
      <w:r w:rsidRPr="00206534">
        <w:rPr>
          <w:color w:val="222222"/>
          <w:lang w:val="en-US" w:eastAsia="en-US"/>
        </w:rPr>
        <w:t>финансов</w:t>
      </w:r>
      <w:proofErr w:type="spellEnd"/>
      <w:r w:rsidRPr="00206534">
        <w:rPr>
          <w:color w:val="222222"/>
          <w:lang w:val="en-US" w:eastAsia="en-US"/>
        </w:rPr>
        <w:t xml:space="preserve"> </w:t>
      </w:r>
      <w:proofErr w:type="spellStart"/>
      <w:r w:rsidRPr="00206534">
        <w:rPr>
          <w:color w:val="222222"/>
          <w:lang w:val="en-US" w:eastAsia="en-US"/>
        </w:rPr>
        <w:t>план</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проекта</w:t>
      </w:r>
      <w:proofErr w:type="spellEnd"/>
      <w:r w:rsidRPr="00206534">
        <w:rPr>
          <w:color w:val="222222"/>
          <w:lang w:val="en-US" w:eastAsia="en-US"/>
        </w:rPr>
        <w:t xml:space="preserve">. В </w:t>
      </w:r>
      <w:proofErr w:type="spellStart"/>
      <w:r w:rsidRPr="00206534">
        <w:rPr>
          <w:color w:val="222222"/>
          <w:lang w:val="en-US" w:eastAsia="en-US"/>
        </w:rPr>
        <w:t>срок</w:t>
      </w:r>
      <w:proofErr w:type="spellEnd"/>
      <w:r w:rsidRPr="00206534">
        <w:rPr>
          <w:color w:val="222222"/>
          <w:lang w:val="en-US" w:eastAsia="en-US"/>
        </w:rPr>
        <w:t xml:space="preserve"> </w:t>
      </w:r>
      <w:proofErr w:type="spellStart"/>
      <w:r w:rsidRPr="00206534">
        <w:rPr>
          <w:color w:val="222222"/>
          <w:lang w:val="en-US" w:eastAsia="en-US"/>
        </w:rPr>
        <w:t>до</w:t>
      </w:r>
      <w:proofErr w:type="spellEnd"/>
      <w:r w:rsidRPr="00206534">
        <w:rPr>
          <w:color w:val="222222"/>
          <w:lang w:val="en-US" w:eastAsia="en-US"/>
        </w:rPr>
        <w:t xml:space="preserve"> 14 </w:t>
      </w:r>
      <w:proofErr w:type="spellStart"/>
      <w:r w:rsidRPr="00206534">
        <w:rPr>
          <w:color w:val="222222"/>
          <w:lang w:val="en-US" w:eastAsia="en-US"/>
        </w:rPr>
        <w:t>работни</w:t>
      </w:r>
      <w:proofErr w:type="spellEnd"/>
      <w:r w:rsidRPr="00206534">
        <w:rPr>
          <w:color w:val="222222"/>
          <w:lang w:val="en-US" w:eastAsia="en-US"/>
        </w:rPr>
        <w:t xml:space="preserve"> </w:t>
      </w:r>
      <w:proofErr w:type="spellStart"/>
      <w:r w:rsidRPr="00206534">
        <w:rPr>
          <w:color w:val="222222"/>
          <w:lang w:val="en-US" w:eastAsia="en-US"/>
        </w:rPr>
        <w:t>дни</w:t>
      </w:r>
      <w:proofErr w:type="spellEnd"/>
      <w:r w:rsidRPr="00206534">
        <w:rPr>
          <w:color w:val="222222"/>
          <w:lang w:val="en-US" w:eastAsia="en-US"/>
        </w:rPr>
        <w:t xml:space="preserve"> </w:t>
      </w:r>
      <w:proofErr w:type="spellStart"/>
      <w:r w:rsidRPr="00206534">
        <w:rPr>
          <w:color w:val="222222"/>
          <w:lang w:val="en-US" w:eastAsia="en-US"/>
        </w:rPr>
        <w:t>след</w:t>
      </w:r>
      <w:proofErr w:type="spellEnd"/>
      <w:r w:rsidRPr="00206534">
        <w:rPr>
          <w:color w:val="222222"/>
          <w:lang w:val="en-US" w:eastAsia="en-US"/>
        </w:rPr>
        <w:t xml:space="preserve"> </w:t>
      </w:r>
      <w:proofErr w:type="spellStart"/>
      <w:r w:rsidRPr="00206534">
        <w:rPr>
          <w:color w:val="222222"/>
          <w:lang w:val="en-US" w:eastAsia="en-US"/>
        </w:rPr>
        <w:t>подаване</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w:t>
      </w:r>
      <w:proofErr w:type="spellStart"/>
      <w:r w:rsidRPr="00206534">
        <w:rPr>
          <w:color w:val="222222"/>
          <w:lang w:val="en-US" w:eastAsia="en-US"/>
        </w:rPr>
        <w:t>уведомлението</w:t>
      </w:r>
      <w:proofErr w:type="spellEnd"/>
      <w:r w:rsidRPr="00206534">
        <w:rPr>
          <w:color w:val="222222"/>
          <w:lang w:val="en-US" w:eastAsia="en-US"/>
        </w:rPr>
        <w:t xml:space="preserve">, </w:t>
      </w:r>
      <w:proofErr w:type="spellStart"/>
      <w:r w:rsidRPr="00206534">
        <w:rPr>
          <w:color w:val="222222"/>
          <w:lang w:val="en-US" w:eastAsia="en-US"/>
        </w:rPr>
        <w:t>базовата</w:t>
      </w:r>
      <w:proofErr w:type="spellEnd"/>
      <w:r w:rsidRPr="00206534">
        <w:rPr>
          <w:color w:val="222222"/>
          <w:lang w:val="en-US" w:eastAsia="en-US"/>
        </w:rPr>
        <w:t xml:space="preserve"> </w:t>
      </w:r>
      <w:proofErr w:type="spellStart"/>
      <w:r w:rsidRPr="00206534">
        <w:rPr>
          <w:color w:val="222222"/>
          <w:lang w:val="en-US" w:eastAsia="en-US"/>
        </w:rPr>
        <w:t>организация</w:t>
      </w:r>
      <w:proofErr w:type="spellEnd"/>
      <w:r w:rsidRPr="00206534">
        <w:rPr>
          <w:color w:val="222222"/>
          <w:lang w:val="en-US" w:eastAsia="en-US"/>
        </w:rPr>
        <w:t xml:space="preserve"> </w:t>
      </w:r>
      <w:proofErr w:type="spellStart"/>
      <w:r w:rsidRPr="00206534">
        <w:rPr>
          <w:color w:val="222222"/>
          <w:lang w:val="en-US" w:eastAsia="en-US"/>
        </w:rPr>
        <w:t>трябва</w:t>
      </w:r>
      <w:proofErr w:type="spellEnd"/>
      <w:r w:rsidRPr="00206534">
        <w:rPr>
          <w:color w:val="222222"/>
          <w:lang w:val="en-US" w:eastAsia="en-US"/>
        </w:rPr>
        <w:t xml:space="preserve"> </w:t>
      </w:r>
      <w:proofErr w:type="spellStart"/>
      <w:r w:rsidRPr="00206534">
        <w:rPr>
          <w:color w:val="222222"/>
          <w:lang w:val="en-US" w:eastAsia="en-US"/>
        </w:rPr>
        <w:t>да</w:t>
      </w:r>
      <w:proofErr w:type="spellEnd"/>
      <w:r w:rsidRPr="00206534">
        <w:rPr>
          <w:color w:val="222222"/>
          <w:lang w:val="en-US" w:eastAsia="en-US"/>
        </w:rPr>
        <w:t xml:space="preserve"> </w:t>
      </w:r>
      <w:proofErr w:type="spellStart"/>
      <w:r w:rsidRPr="00206534">
        <w:rPr>
          <w:color w:val="222222"/>
          <w:lang w:val="en-US" w:eastAsia="en-US"/>
        </w:rPr>
        <w:t>възстанови</w:t>
      </w:r>
      <w:proofErr w:type="spellEnd"/>
      <w:r w:rsidRPr="00206534">
        <w:rPr>
          <w:color w:val="222222"/>
          <w:lang w:val="en-US" w:eastAsia="en-US"/>
        </w:rPr>
        <w:t xml:space="preserve"> </w:t>
      </w:r>
      <w:proofErr w:type="spellStart"/>
      <w:r w:rsidRPr="00206534">
        <w:rPr>
          <w:color w:val="222222"/>
          <w:lang w:val="en-US" w:eastAsia="en-US"/>
        </w:rPr>
        <w:t>съответната</w:t>
      </w:r>
      <w:proofErr w:type="spellEnd"/>
      <w:r w:rsidRPr="00206534">
        <w:rPr>
          <w:color w:val="222222"/>
          <w:lang w:val="en-US" w:eastAsia="en-US"/>
        </w:rPr>
        <w:t xml:space="preserve"> </w:t>
      </w:r>
      <w:proofErr w:type="spellStart"/>
      <w:r w:rsidRPr="00206534">
        <w:rPr>
          <w:color w:val="222222"/>
          <w:lang w:val="en-US" w:eastAsia="en-US"/>
        </w:rPr>
        <w:t>разлика</w:t>
      </w:r>
      <w:proofErr w:type="spellEnd"/>
      <w:r w:rsidRPr="00206534">
        <w:rPr>
          <w:color w:val="222222"/>
          <w:lang w:val="en-US" w:eastAsia="en-US"/>
        </w:rPr>
        <w:t xml:space="preserve">, </w:t>
      </w:r>
      <w:proofErr w:type="spellStart"/>
      <w:r w:rsidRPr="00206534">
        <w:rPr>
          <w:color w:val="222222"/>
          <w:lang w:val="en-US" w:eastAsia="en-US"/>
        </w:rPr>
        <w:t>възникнала</w:t>
      </w:r>
      <w:proofErr w:type="spellEnd"/>
      <w:r w:rsidRPr="00206534">
        <w:rPr>
          <w:color w:val="222222"/>
          <w:lang w:val="en-US" w:eastAsia="en-US"/>
        </w:rPr>
        <w:t xml:space="preserve"> </w:t>
      </w:r>
      <w:proofErr w:type="spellStart"/>
      <w:r w:rsidRPr="00206534">
        <w:rPr>
          <w:color w:val="222222"/>
          <w:lang w:val="en-US" w:eastAsia="en-US"/>
        </w:rPr>
        <w:t>между</w:t>
      </w:r>
      <w:proofErr w:type="spellEnd"/>
      <w:r w:rsidRPr="00206534">
        <w:rPr>
          <w:color w:val="222222"/>
          <w:lang w:val="en-US" w:eastAsia="en-US"/>
        </w:rPr>
        <w:t xml:space="preserve"> </w:t>
      </w:r>
      <w:proofErr w:type="spellStart"/>
      <w:r w:rsidRPr="00206534">
        <w:rPr>
          <w:color w:val="222222"/>
          <w:lang w:val="en-US" w:eastAsia="en-US"/>
        </w:rPr>
        <w:t>получените</w:t>
      </w:r>
      <w:proofErr w:type="spellEnd"/>
      <w:r w:rsidRPr="00206534">
        <w:rPr>
          <w:color w:val="222222"/>
          <w:lang w:val="en-US" w:eastAsia="en-US"/>
        </w:rPr>
        <w:t xml:space="preserve"> и </w:t>
      </w:r>
      <w:proofErr w:type="spellStart"/>
      <w:r w:rsidRPr="00206534">
        <w:rPr>
          <w:color w:val="222222"/>
          <w:lang w:val="en-US" w:eastAsia="en-US"/>
        </w:rPr>
        <w:t>редуцираните</w:t>
      </w:r>
      <w:proofErr w:type="spellEnd"/>
      <w:r w:rsidRPr="00206534">
        <w:rPr>
          <w:color w:val="222222"/>
          <w:lang w:val="en-US" w:eastAsia="en-US"/>
        </w:rPr>
        <w:t xml:space="preserve"> </w:t>
      </w:r>
      <w:proofErr w:type="spellStart"/>
      <w:r w:rsidRPr="00206534">
        <w:rPr>
          <w:color w:val="222222"/>
          <w:lang w:val="en-US" w:eastAsia="en-US"/>
        </w:rPr>
        <w:t>финансови</w:t>
      </w:r>
      <w:proofErr w:type="spellEnd"/>
      <w:r w:rsidRPr="00206534">
        <w:rPr>
          <w:color w:val="222222"/>
          <w:lang w:val="en-US" w:eastAsia="en-US"/>
        </w:rPr>
        <w:t xml:space="preserve"> </w:t>
      </w:r>
      <w:proofErr w:type="spellStart"/>
      <w:r w:rsidRPr="00206534">
        <w:rPr>
          <w:color w:val="222222"/>
          <w:lang w:val="en-US" w:eastAsia="en-US"/>
        </w:rPr>
        <w:t>средства</w:t>
      </w:r>
      <w:proofErr w:type="spellEnd"/>
      <w:r w:rsidRPr="00206534">
        <w:rPr>
          <w:color w:val="222222"/>
          <w:lang w:val="en-US" w:eastAsia="en-US"/>
        </w:rPr>
        <w:t xml:space="preserve">, по </w:t>
      </w:r>
      <w:proofErr w:type="spellStart"/>
      <w:r w:rsidRPr="00206534">
        <w:rPr>
          <w:color w:val="222222"/>
          <w:lang w:val="en-US" w:eastAsia="en-US"/>
        </w:rPr>
        <w:t>банкова</w:t>
      </w:r>
      <w:proofErr w:type="spellEnd"/>
      <w:r w:rsidRPr="00206534">
        <w:rPr>
          <w:color w:val="222222"/>
          <w:lang w:val="en-US" w:eastAsia="en-US"/>
        </w:rPr>
        <w:t xml:space="preserve"> </w:t>
      </w:r>
      <w:proofErr w:type="spellStart"/>
      <w:r w:rsidRPr="00206534">
        <w:rPr>
          <w:color w:val="222222"/>
          <w:lang w:val="en-US" w:eastAsia="en-US"/>
        </w:rPr>
        <w:t>сметка</w:t>
      </w:r>
      <w:proofErr w:type="spellEnd"/>
      <w:r w:rsidRPr="00206534">
        <w:rPr>
          <w:color w:val="222222"/>
          <w:lang w:val="en-US" w:eastAsia="en-US"/>
        </w:rPr>
        <w:t xml:space="preserve"> </w:t>
      </w:r>
      <w:proofErr w:type="spellStart"/>
      <w:r w:rsidRPr="00206534">
        <w:rPr>
          <w:color w:val="222222"/>
          <w:lang w:val="en-US" w:eastAsia="en-US"/>
        </w:rPr>
        <w:t>на</w:t>
      </w:r>
      <w:proofErr w:type="spellEnd"/>
      <w:r w:rsidRPr="00206534">
        <w:rPr>
          <w:color w:val="222222"/>
          <w:lang w:val="en-US" w:eastAsia="en-US"/>
        </w:rPr>
        <w:t xml:space="preserve"> ФНИ.</w:t>
      </w:r>
    </w:p>
    <w:p w14:paraId="51FFA62A" w14:textId="5A862B67" w:rsidR="00A10291" w:rsidRDefault="00A10291" w:rsidP="00F762B5">
      <w:pPr>
        <w:shd w:val="clear" w:color="auto" w:fill="FFFFFF"/>
        <w:spacing w:before="120" w:after="120" w:line="276" w:lineRule="auto"/>
        <w:jc w:val="both"/>
        <w:rPr>
          <w:color w:val="222222"/>
          <w:lang w:val="bg-BG" w:eastAsia="en-US"/>
        </w:rPr>
      </w:pPr>
      <w:r w:rsidRPr="00206534">
        <w:rPr>
          <w:color w:val="222222"/>
          <w:lang w:val="bg-BG" w:eastAsia="en-US"/>
        </w:rPr>
        <w:t xml:space="preserve">Още информация и документи за кандидатстване </w:t>
      </w:r>
      <w:hyperlink r:id="rId37" w:history="1">
        <w:r w:rsidRPr="00206534">
          <w:rPr>
            <w:rStyle w:val="Hyperlink"/>
            <w:lang w:val="bg-BG" w:eastAsia="en-US"/>
          </w:rPr>
          <w:t>ТУК</w:t>
        </w:r>
      </w:hyperlink>
    </w:p>
    <w:p w14:paraId="683BED0D" w14:textId="0523EA21" w:rsidR="00206534" w:rsidRPr="00206534" w:rsidRDefault="00206534" w:rsidP="00F762B5">
      <w:pPr>
        <w:shd w:val="clear" w:color="auto" w:fill="FFFFFF"/>
        <w:spacing w:before="120" w:after="600" w:line="276" w:lineRule="auto"/>
        <w:jc w:val="both"/>
        <w:rPr>
          <w:b/>
          <w:color w:val="222222"/>
          <w:lang w:val="bg-BG" w:eastAsia="en-US"/>
        </w:rPr>
      </w:pPr>
      <w:r w:rsidRPr="00206534">
        <w:rPr>
          <w:b/>
          <w:color w:val="222222"/>
          <w:lang w:val="bg-BG" w:eastAsia="en-US"/>
        </w:rPr>
        <w:t xml:space="preserve">Краен срок: </w:t>
      </w:r>
      <w:r w:rsidRPr="00206534">
        <w:rPr>
          <w:b/>
          <w:color w:val="222222"/>
          <w:lang w:val="en-US" w:eastAsia="en-US"/>
        </w:rPr>
        <w:t>31.12.2025</w:t>
      </w:r>
      <w:r w:rsidRPr="00206534">
        <w:rPr>
          <w:b/>
          <w:color w:val="222222"/>
          <w:lang w:val="bg-BG" w:eastAsia="en-US"/>
        </w:rPr>
        <w:t xml:space="preserve"> г.</w:t>
      </w:r>
    </w:p>
    <w:p w14:paraId="155B2905" w14:textId="1A189C51" w:rsidR="00476F9B" w:rsidRPr="00FA4F1B" w:rsidRDefault="00476F9B" w:rsidP="00CA622D">
      <w:pPr>
        <w:pStyle w:val="Heading2"/>
        <w:spacing w:line="276" w:lineRule="auto"/>
        <w:ind w:left="426"/>
        <w:jc w:val="both"/>
        <w:rPr>
          <w:rFonts w:eastAsia="Times New Roman"/>
          <w:lang w:val="bg-BG" w:eastAsia="bg-BG"/>
        </w:rPr>
      </w:pPr>
      <w:bookmarkStart w:id="35" w:name="_Toc197365394"/>
      <w:r w:rsidRPr="00FA4F1B">
        <w:rPr>
          <w:rFonts w:eastAsia="Times New Roman"/>
          <w:lang w:val="bg-BG" w:eastAsia="bg-BG"/>
        </w:rPr>
        <w:t xml:space="preserve">Национално съфинансиране за участие на български колективи в утвърдени </w:t>
      </w:r>
      <w:r w:rsidR="00B05902" w:rsidRPr="00FA4F1B">
        <w:rPr>
          <w:lang w:val="bg-BG"/>
        </w:rPr>
        <w:t>акции</w:t>
      </w:r>
      <w:r w:rsidRPr="00FA4F1B">
        <w:rPr>
          <w:rFonts w:eastAsia="Times New Roman"/>
          <w:lang w:val="bg-BG" w:eastAsia="bg-BG"/>
        </w:rPr>
        <w:t xml:space="preserve"> по </w:t>
      </w:r>
      <w:r w:rsidRPr="00AB0EFA">
        <w:rPr>
          <w:rFonts w:eastAsia="Times New Roman"/>
          <w:lang w:eastAsia="bg-BG"/>
        </w:rPr>
        <w:t>COST</w:t>
      </w:r>
      <w:bookmarkEnd w:id="32"/>
      <w:bookmarkEnd w:id="35"/>
    </w:p>
    <w:p w14:paraId="4EDBA7BF" w14:textId="77777777" w:rsidR="00910F24" w:rsidRPr="00FA4F1B" w:rsidRDefault="00910F24" w:rsidP="00A565EB">
      <w:pPr>
        <w:spacing w:before="120" w:after="120" w:line="276" w:lineRule="auto"/>
        <w:jc w:val="both"/>
        <w:rPr>
          <w:rFonts w:eastAsia="Calibri"/>
          <w:lang w:val="bg-BG" w:eastAsia="bg-BG"/>
        </w:rPr>
      </w:pPr>
      <w:r w:rsidRPr="00FA4F1B">
        <w:rPr>
          <w:rFonts w:eastAsia="Calibri"/>
          <w:lang w:val="bg-BG" w:eastAsia="bg-BG"/>
        </w:rPr>
        <w:t xml:space="preserve">Целта на процедурата е да създаде условия за пълноценно и ефективно участие на България в конкурсите на Европейската програма </w:t>
      </w:r>
      <w:r w:rsidRPr="00910F24">
        <w:rPr>
          <w:rFonts w:eastAsia="Calibri"/>
          <w:lang w:val="en-US" w:eastAsia="bg-BG"/>
        </w:rPr>
        <w:t>COST</w:t>
      </w:r>
      <w:r w:rsidRPr="00FA4F1B">
        <w:rPr>
          <w:rFonts w:eastAsia="Calibri"/>
          <w:lang w:val="bg-BG" w:eastAsia="bg-BG"/>
        </w:rPr>
        <w:t xml:space="preserve"> за сътрудничество в областта на научните изследвания и технологиите, както и да засили присъствието на българската академична общност в тази програма.</w:t>
      </w:r>
    </w:p>
    <w:p w14:paraId="51AC3669" w14:textId="017C846A" w:rsidR="00910F24" w:rsidRPr="00910F24" w:rsidRDefault="00910F24" w:rsidP="00A565EB">
      <w:pPr>
        <w:spacing w:before="120" w:after="120" w:line="276" w:lineRule="auto"/>
        <w:jc w:val="both"/>
        <w:rPr>
          <w:rFonts w:eastAsia="Calibri"/>
          <w:b/>
          <w:bCs/>
          <w:lang w:val="en-US" w:eastAsia="bg-BG"/>
        </w:rPr>
      </w:pPr>
      <w:r w:rsidRPr="00910F24">
        <w:rPr>
          <w:rFonts w:eastAsia="Calibri"/>
          <w:lang w:val="en-US" w:eastAsia="bg-BG"/>
        </w:rPr>
        <w:t> </w:t>
      </w:r>
      <w:r w:rsidRPr="00910F24">
        <w:rPr>
          <w:rFonts w:eastAsia="Calibri"/>
          <w:b/>
          <w:bCs/>
          <w:lang w:val="en-US" w:eastAsia="bg-BG"/>
        </w:rPr>
        <w:t xml:space="preserve">1.    </w:t>
      </w:r>
      <w:proofErr w:type="spellStart"/>
      <w:r w:rsidRPr="00910F24">
        <w:rPr>
          <w:rFonts w:eastAsia="Calibri"/>
          <w:b/>
          <w:bCs/>
          <w:lang w:val="en-US" w:eastAsia="bg-BG"/>
        </w:rPr>
        <w:t>Общ</w:t>
      </w:r>
      <w:proofErr w:type="spellEnd"/>
      <w:r w:rsidRPr="00910F24">
        <w:rPr>
          <w:rFonts w:eastAsia="Calibri"/>
          <w:b/>
          <w:bCs/>
          <w:lang w:val="en-US" w:eastAsia="bg-BG"/>
        </w:rPr>
        <w:t xml:space="preserve"> </w:t>
      </w:r>
      <w:proofErr w:type="spellStart"/>
      <w:r w:rsidRPr="00910F24">
        <w:rPr>
          <w:rFonts w:eastAsia="Calibri"/>
          <w:b/>
          <w:bCs/>
          <w:lang w:val="en-US" w:eastAsia="bg-BG"/>
        </w:rPr>
        <w:t>бюджет</w:t>
      </w:r>
      <w:proofErr w:type="spellEnd"/>
      <w:r w:rsidRPr="00910F24">
        <w:rPr>
          <w:rFonts w:eastAsia="Calibri"/>
          <w:b/>
          <w:bCs/>
          <w:lang w:val="en-US" w:eastAsia="bg-BG"/>
        </w:rPr>
        <w:t xml:space="preserve"> </w:t>
      </w:r>
      <w:proofErr w:type="spellStart"/>
      <w:r w:rsidRPr="00910F24">
        <w:rPr>
          <w:rFonts w:eastAsia="Calibri"/>
          <w:b/>
          <w:bCs/>
          <w:lang w:val="en-US" w:eastAsia="bg-BG"/>
        </w:rPr>
        <w:t>на</w:t>
      </w:r>
      <w:proofErr w:type="spellEnd"/>
      <w:r w:rsidRPr="00910F24">
        <w:rPr>
          <w:rFonts w:eastAsia="Calibri"/>
          <w:b/>
          <w:bCs/>
          <w:lang w:val="en-US" w:eastAsia="bg-BG"/>
        </w:rPr>
        <w:t xml:space="preserve"> </w:t>
      </w:r>
      <w:proofErr w:type="spellStart"/>
      <w:r w:rsidRPr="00910F24">
        <w:rPr>
          <w:rFonts w:eastAsia="Calibri"/>
          <w:b/>
          <w:bCs/>
          <w:lang w:val="en-US" w:eastAsia="bg-BG"/>
        </w:rPr>
        <w:t>конкурса</w:t>
      </w:r>
      <w:proofErr w:type="spellEnd"/>
      <w:r w:rsidRPr="00910F24">
        <w:rPr>
          <w:rFonts w:eastAsia="Calibri"/>
          <w:b/>
          <w:bCs/>
          <w:lang w:val="en-US" w:eastAsia="bg-BG"/>
        </w:rPr>
        <w:t>:</w:t>
      </w:r>
    </w:p>
    <w:p w14:paraId="56B03914" w14:textId="77777777"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lang w:val="en-US" w:eastAsia="bg-BG"/>
        </w:rPr>
        <w:t>Прогнозният</w:t>
      </w:r>
      <w:proofErr w:type="spellEnd"/>
      <w:r w:rsidRPr="00910F24">
        <w:rPr>
          <w:rFonts w:eastAsia="Calibri"/>
          <w:lang w:val="en-US" w:eastAsia="bg-BG"/>
        </w:rPr>
        <w:t xml:space="preserve"> </w:t>
      </w:r>
      <w:proofErr w:type="spellStart"/>
      <w:r w:rsidRPr="00910F24">
        <w:rPr>
          <w:rFonts w:eastAsia="Calibri"/>
          <w:lang w:val="en-US" w:eastAsia="bg-BG"/>
        </w:rPr>
        <w:t>общ</w:t>
      </w:r>
      <w:proofErr w:type="spellEnd"/>
      <w:r w:rsidRPr="00910F24">
        <w:rPr>
          <w:rFonts w:eastAsia="Calibri"/>
          <w:lang w:val="en-US" w:eastAsia="bg-BG"/>
        </w:rPr>
        <w:t xml:space="preserve"> </w:t>
      </w:r>
      <w:proofErr w:type="spellStart"/>
      <w:r w:rsidRPr="00910F24">
        <w:rPr>
          <w:rFonts w:eastAsia="Calibri"/>
          <w:lang w:val="en-US" w:eastAsia="bg-BG"/>
        </w:rPr>
        <w:t>бюджет</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процедура</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предоставяне</w:t>
      </w:r>
      <w:proofErr w:type="spellEnd"/>
      <w:r w:rsidRPr="00910F24">
        <w:rPr>
          <w:rFonts w:eastAsia="Calibri"/>
          <w:lang w:val="en-US" w:eastAsia="bg-BG"/>
        </w:rPr>
        <w:t xml:space="preserve"> </w:t>
      </w:r>
      <w:proofErr w:type="spellStart"/>
      <w:r w:rsidRPr="00910F24">
        <w:rPr>
          <w:rFonts w:eastAsia="Calibri"/>
          <w:lang w:val="en-US" w:eastAsia="bg-BG"/>
        </w:rPr>
        <w:t>не</w:t>
      </w:r>
      <w:proofErr w:type="spellEnd"/>
      <w:r w:rsidRPr="00910F24">
        <w:rPr>
          <w:rFonts w:eastAsia="Calibri"/>
          <w:lang w:val="en-US" w:eastAsia="bg-BG"/>
        </w:rPr>
        <w:t xml:space="preserve"> </w:t>
      </w:r>
      <w:proofErr w:type="spellStart"/>
      <w:r w:rsidRPr="00910F24">
        <w:rPr>
          <w:rFonts w:eastAsia="Calibri"/>
          <w:lang w:val="en-US" w:eastAsia="bg-BG"/>
        </w:rPr>
        <w:t>национално</w:t>
      </w:r>
      <w:proofErr w:type="spellEnd"/>
      <w:r w:rsidRPr="00910F24">
        <w:rPr>
          <w:rFonts w:eastAsia="Calibri"/>
          <w:lang w:val="en-US" w:eastAsia="bg-BG"/>
        </w:rPr>
        <w:t xml:space="preserve"> </w:t>
      </w:r>
      <w:proofErr w:type="spellStart"/>
      <w:r w:rsidRPr="00910F24">
        <w:rPr>
          <w:rFonts w:eastAsia="Calibri"/>
          <w:lang w:val="en-US" w:eastAsia="bg-BG"/>
        </w:rPr>
        <w:t>съфинансиране</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участие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български</w:t>
      </w:r>
      <w:proofErr w:type="spellEnd"/>
      <w:r w:rsidRPr="00910F24">
        <w:rPr>
          <w:rFonts w:eastAsia="Calibri"/>
          <w:lang w:val="en-US" w:eastAsia="bg-BG"/>
        </w:rPr>
        <w:t xml:space="preserve"> </w:t>
      </w:r>
      <w:proofErr w:type="spellStart"/>
      <w:r w:rsidRPr="00910F24">
        <w:rPr>
          <w:rFonts w:eastAsia="Calibri"/>
          <w:lang w:val="en-US" w:eastAsia="bg-BG"/>
        </w:rPr>
        <w:t>колективи</w:t>
      </w:r>
      <w:proofErr w:type="spellEnd"/>
      <w:r w:rsidRPr="00910F24">
        <w:rPr>
          <w:rFonts w:eastAsia="Calibri"/>
          <w:lang w:val="en-US" w:eastAsia="bg-BG"/>
        </w:rPr>
        <w:t xml:space="preserve"> в </w:t>
      </w:r>
      <w:proofErr w:type="spellStart"/>
      <w:r w:rsidRPr="00910F24">
        <w:rPr>
          <w:rFonts w:eastAsia="Calibri"/>
          <w:lang w:val="en-US" w:eastAsia="bg-BG"/>
        </w:rPr>
        <w:t>утвърдени</w:t>
      </w:r>
      <w:proofErr w:type="spellEnd"/>
      <w:r w:rsidRPr="00910F24">
        <w:rPr>
          <w:rFonts w:eastAsia="Calibri"/>
          <w:lang w:val="en-US" w:eastAsia="bg-BG"/>
        </w:rPr>
        <w:t xml:space="preserve"> </w:t>
      </w:r>
      <w:proofErr w:type="spellStart"/>
      <w:r w:rsidRPr="00910F24">
        <w:rPr>
          <w:rFonts w:eastAsia="Calibri"/>
          <w:lang w:val="en-US" w:eastAsia="bg-BG"/>
        </w:rPr>
        <w:t>акции</w:t>
      </w:r>
      <w:proofErr w:type="spellEnd"/>
      <w:r w:rsidRPr="00910F24">
        <w:rPr>
          <w:rFonts w:eastAsia="Calibri"/>
          <w:lang w:val="en-US" w:eastAsia="bg-BG"/>
        </w:rPr>
        <w:t xml:space="preserve"> по </w:t>
      </w:r>
      <w:proofErr w:type="spellStart"/>
      <w:r w:rsidRPr="00910F24">
        <w:rPr>
          <w:rFonts w:eastAsia="Calibri"/>
          <w:lang w:val="en-US" w:eastAsia="bg-BG"/>
        </w:rPr>
        <w:t>Европейската</w:t>
      </w:r>
      <w:proofErr w:type="spellEnd"/>
      <w:r w:rsidRPr="00910F24">
        <w:rPr>
          <w:rFonts w:eastAsia="Calibri"/>
          <w:lang w:val="en-US" w:eastAsia="bg-BG"/>
        </w:rPr>
        <w:t xml:space="preserve"> </w:t>
      </w:r>
      <w:proofErr w:type="spellStart"/>
      <w:r w:rsidRPr="00910F24">
        <w:rPr>
          <w:rFonts w:eastAsia="Calibri"/>
          <w:lang w:val="en-US" w:eastAsia="bg-BG"/>
        </w:rPr>
        <w:t>програма</w:t>
      </w:r>
      <w:proofErr w:type="spellEnd"/>
      <w:r w:rsidRPr="00910F24">
        <w:rPr>
          <w:rFonts w:eastAsia="Calibri"/>
          <w:lang w:val="en-US" w:eastAsia="bg-BG"/>
        </w:rPr>
        <w:t xml:space="preserve"> COST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сътрудничество</w:t>
      </w:r>
      <w:proofErr w:type="spellEnd"/>
      <w:r w:rsidRPr="00910F24">
        <w:rPr>
          <w:rFonts w:eastAsia="Calibri"/>
          <w:lang w:val="en-US" w:eastAsia="bg-BG"/>
        </w:rPr>
        <w:t xml:space="preserve"> в </w:t>
      </w:r>
      <w:proofErr w:type="spellStart"/>
      <w:r w:rsidRPr="00910F24">
        <w:rPr>
          <w:rFonts w:eastAsia="Calibri"/>
          <w:lang w:val="en-US" w:eastAsia="bg-BG"/>
        </w:rPr>
        <w:t>областта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научните</w:t>
      </w:r>
      <w:proofErr w:type="spellEnd"/>
      <w:r w:rsidRPr="00910F24">
        <w:rPr>
          <w:rFonts w:eastAsia="Calibri"/>
          <w:lang w:val="en-US" w:eastAsia="bg-BG"/>
        </w:rPr>
        <w:t xml:space="preserve"> </w:t>
      </w:r>
      <w:proofErr w:type="spellStart"/>
      <w:r w:rsidRPr="00910F24">
        <w:rPr>
          <w:rFonts w:eastAsia="Calibri"/>
          <w:lang w:val="en-US" w:eastAsia="bg-BG"/>
        </w:rPr>
        <w:t>изследвания</w:t>
      </w:r>
      <w:proofErr w:type="spellEnd"/>
      <w:r w:rsidRPr="00910F24">
        <w:rPr>
          <w:rFonts w:eastAsia="Calibri"/>
          <w:lang w:val="en-US" w:eastAsia="bg-BG"/>
        </w:rPr>
        <w:t xml:space="preserve"> и </w:t>
      </w:r>
      <w:proofErr w:type="spellStart"/>
      <w:r w:rsidRPr="00910F24">
        <w:rPr>
          <w:rFonts w:eastAsia="Calibri"/>
          <w:lang w:val="en-US" w:eastAsia="bg-BG"/>
        </w:rPr>
        <w:t>технологиите</w:t>
      </w:r>
      <w:proofErr w:type="spellEnd"/>
      <w:r w:rsidRPr="00910F24">
        <w:rPr>
          <w:rFonts w:eastAsia="Calibri"/>
          <w:lang w:val="en-US" w:eastAsia="bg-BG"/>
        </w:rPr>
        <w:t xml:space="preserve"> е в </w:t>
      </w:r>
      <w:proofErr w:type="spellStart"/>
      <w:r w:rsidRPr="00910F24">
        <w:rPr>
          <w:rFonts w:eastAsia="Calibri"/>
          <w:lang w:val="en-US" w:eastAsia="bg-BG"/>
        </w:rPr>
        <w:t>общ</w:t>
      </w:r>
      <w:proofErr w:type="spellEnd"/>
      <w:r w:rsidRPr="00910F24">
        <w:rPr>
          <w:rFonts w:eastAsia="Calibri"/>
          <w:lang w:val="en-US" w:eastAsia="bg-BG"/>
        </w:rPr>
        <w:t xml:space="preserve"> </w:t>
      </w:r>
      <w:proofErr w:type="spellStart"/>
      <w:r w:rsidRPr="00910F24">
        <w:rPr>
          <w:rFonts w:eastAsia="Calibri"/>
          <w:lang w:val="en-US" w:eastAsia="bg-BG"/>
        </w:rPr>
        <w:t>размер</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600 000 </w:t>
      </w:r>
      <w:proofErr w:type="spellStart"/>
      <w:r w:rsidRPr="00910F24">
        <w:rPr>
          <w:rFonts w:eastAsia="Calibri"/>
          <w:lang w:val="en-US" w:eastAsia="bg-BG"/>
        </w:rPr>
        <w:t>лв</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2025 </w:t>
      </w:r>
      <w:proofErr w:type="spellStart"/>
      <w:r w:rsidRPr="00910F24">
        <w:rPr>
          <w:rFonts w:eastAsia="Calibri"/>
          <w:lang w:val="en-US" w:eastAsia="bg-BG"/>
        </w:rPr>
        <w:t>год</w:t>
      </w:r>
      <w:proofErr w:type="spellEnd"/>
      <w:r w:rsidRPr="00910F24">
        <w:rPr>
          <w:rFonts w:eastAsia="Calibri"/>
          <w:lang w:val="en-US" w:eastAsia="bg-BG"/>
        </w:rPr>
        <w:t>.</w:t>
      </w:r>
    </w:p>
    <w:p w14:paraId="418A936D" w14:textId="77777777" w:rsidR="00910F24" w:rsidRPr="00910F24" w:rsidRDefault="00910F24" w:rsidP="00A565EB">
      <w:pPr>
        <w:spacing w:before="120" w:after="120" w:line="276" w:lineRule="auto"/>
        <w:jc w:val="both"/>
        <w:rPr>
          <w:rFonts w:eastAsia="Calibri"/>
          <w:b/>
          <w:bCs/>
          <w:lang w:val="en-US" w:eastAsia="bg-BG"/>
        </w:rPr>
      </w:pPr>
      <w:r w:rsidRPr="00910F24">
        <w:rPr>
          <w:rFonts w:eastAsia="Calibri"/>
          <w:b/>
          <w:bCs/>
          <w:lang w:val="en-US" w:eastAsia="bg-BG"/>
        </w:rPr>
        <w:t xml:space="preserve">2.    </w:t>
      </w:r>
      <w:proofErr w:type="spellStart"/>
      <w:r w:rsidRPr="00910F24">
        <w:rPr>
          <w:rFonts w:eastAsia="Calibri"/>
          <w:b/>
          <w:bCs/>
          <w:lang w:val="en-US" w:eastAsia="bg-BG"/>
        </w:rPr>
        <w:t>Минимален</w:t>
      </w:r>
      <w:proofErr w:type="spellEnd"/>
      <w:r w:rsidRPr="00910F24">
        <w:rPr>
          <w:rFonts w:eastAsia="Calibri"/>
          <w:b/>
          <w:bCs/>
          <w:lang w:val="en-US" w:eastAsia="bg-BG"/>
        </w:rPr>
        <w:t xml:space="preserve"> и </w:t>
      </w:r>
      <w:proofErr w:type="spellStart"/>
      <w:r w:rsidRPr="00910F24">
        <w:rPr>
          <w:rFonts w:eastAsia="Calibri"/>
          <w:b/>
          <w:bCs/>
          <w:lang w:val="en-US" w:eastAsia="bg-BG"/>
        </w:rPr>
        <w:t>максимален</w:t>
      </w:r>
      <w:proofErr w:type="spellEnd"/>
      <w:r w:rsidRPr="00910F24">
        <w:rPr>
          <w:rFonts w:eastAsia="Calibri"/>
          <w:b/>
          <w:bCs/>
          <w:lang w:val="en-US" w:eastAsia="bg-BG"/>
        </w:rPr>
        <w:t xml:space="preserve"> </w:t>
      </w:r>
      <w:proofErr w:type="spellStart"/>
      <w:r w:rsidRPr="00910F24">
        <w:rPr>
          <w:rFonts w:eastAsia="Calibri"/>
          <w:b/>
          <w:bCs/>
          <w:lang w:val="en-US" w:eastAsia="bg-BG"/>
        </w:rPr>
        <w:t>размер</w:t>
      </w:r>
      <w:proofErr w:type="spellEnd"/>
      <w:r w:rsidRPr="00910F24">
        <w:rPr>
          <w:rFonts w:eastAsia="Calibri"/>
          <w:b/>
          <w:bCs/>
          <w:lang w:val="en-US" w:eastAsia="bg-BG"/>
        </w:rPr>
        <w:t xml:space="preserve"> </w:t>
      </w:r>
      <w:proofErr w:type="spellStart"/>
      <w:r w:rsidRPr="00910F24">
        <w:rPr>
          <w:rFonts w:eastAsia="Calibri"/>
          <w:b/>
          <w:bCs/>
          <w:lang w:val="en-US" w:eastAsia="bg-BG"/>
        </w:rPr>
        <w:t>на</w:t>
      </w:r>
      <w:proofErr w:type="spellEnd"/>
      <w:r w:rsidRPr="00910F24">
        <w:rPr>
          <w:rFonts w:eastAsia="Calibri"/>
          <w:b/>
          <w:bCs/>
          <w:lang w:val="en-US" w:eastAsia="bg-BG"/>
        </w:rPr>
        <w:t xml:space="preserve"> </w:t>
      </w:r>
      <w:proofErr w:type="spellStart"/>
      <w:r w:rsidRPr="00910F24">
        <w:rPr>
          <w:rFonts w:eastAsia="Calibri"/>
          <w:b/>
          <w:bCs/>
          <w:lang w:val="en-US" w:eastAsia="bg-BG"/>
        </w:rPr>
        <w:t>финансирането</w:t>
      </w:r>
      <w:proofErr w:type="spellEnd"/>
      <w:r w:rsidRPr="00910F24">
        <w:rPr>
          <w:rFonts w:eastAsia="Calibri"/>
          <w:b/>
          <w:bCs/>
          <w:lang w:val="en-US" w:eastAsia="bg-BG"/>
        </w:rPr>
        <w:t xml:space="preserve"> </w:t>
      </w:r>
      <w:proofErr w:type="spellStart"/>
      <w:r w:rsidRPr="00910F24">
        <w:rPr>
          <w:rFonts w:eastAsia="Calibri"/>
          <w:b/>
          <w:bCs/>
          <w:lang w:val="en-US" w:eastAsia="bg-BG"/>
        </w:rPr>
        <w:t>за</w:t>
      </w:r>
      <w:proofErr w:type="spellEnd"/>
      <w:r w:rsidRPr="00910F24">
        <w:rPr>
          <w:rFonts w:eastAsia="Calibri"/>
          <w:b/>
          <w:bCs/>
          <w:lang w:val="en-US" w:eastAsia="bg-BG"/>
        </w:rPr>
        <w:t xml:space="preserve"> </w:t>
      </w:r>
      <w:proofErr w:type="spellStart"/>
      <w:r w:rsidRPr="00910F24">
        <w:rPr>
          <w:rFonts w:eastAsia="Calibri"/>
          <w:b/>
          <w:bCs/>
          <w:lang w:val="en-US" w:eastAsia="bg-BG"/>
        </w:rPr>
        <w:t>конкретен</w:t>
      </w:r>
      <w:proofErr w:type="spellEnd"/>
      <w:r w:rsidRPr="00910F24">
        <w:rPr>
          <w:rFonts w:eastAsia="Calibri"/>
          <w:b/>
          <w:bCs/>
          <w:lang w:val="en-US" w:eastAsia="bg-BG"/>
        </w:rPr>
        <w:t xml:space="preserve"> </w:t>
      </w:r>
      <w:proofErr w:type="spellStart"/>
      <w:r w:rsidRPr="00910F24">
        <w:rPr>
          <w:rFonts w:eastAsia="Calibri"/>
          <w:b/>
          <w:bCs/>
          <w:lang w:val="en-US" w:eastAsia="bg-BG"/>
        </w:rPr>
        <w:t>проект</w:t>
      </w:r>
      <w:proofErr w:type="spellEnd"/>
      <w:r w:rsidRPr="00910F24">
        <w:rPr>
          <w:rFonts w:eastAsia="Calibri"/>
          <w:b/>
          <w:bCs/>
          <w:lang w:val="en-US" w:eastAsia="bg-BG"/>
        </w:rPr>
        <w:t>:</w:t>
      </w:r>
    </w:p>
    <w:p w14:paraId="7C468A4C" w14:textId="77777777"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lang w:val="en-US" w:eastAsia="bg-BG"/>
        </w:rPr>
        <w:t>Сумата</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национално</w:t>
      </w:r>
      <w:proofErr w:type="spellEnd"/>
      <w:r w:rsidRPr="00910F24">
        <w:rPr>
          <w:rFonts w:eastAsia="Calibri"/>
          <w:lang w:val="en-US" w:eastAsia="bg-BG"/>
        </w:rPr>
        <w:t xml:space="preserve"> </w:t>
      </w:r>
      <w:proofErr w:type="spellStart"/>
      <w:r w:rsidRPr="00910F24">
        <w:rPr>
          <w:rFonts w:eastAsia="Calibri"/>
          <w:lang w:val="en-US" w:eastAsia="bg-BG"/>
        </w:rPr>
        <w:t>съфинансиране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проект</w:t>
      </w:r>
      <w:proofErr w:type="spellEnd"/>
      <w:r w:rsidRPr="00910F24">
        <w:rPr>
          <w:rFonts w:eastAsia="Calibri"/>
          <w:lang w:val="en-US" w:eastAsia="bg-BG"/>
        </w:rPr>
        <w:t xml:space="preserve"> е </w:t>
      </w:r>
      <w:proofErr w:type="spellStart"/>
      <w:r w:rsidRPr="00910F24">
        <w:rPr>
          <w:rFonts w:eastAsia="Calibri"/>
          <w:lang w:val="en-US" w:eastAsia="bg-BG"/>
        </w:rPr>
        <w:t>до</w:t>
      </w:r>
      <w:proofErr w:type="spellEnd"/>
      <w:r w:rsidRPr="00910F24">
        <w:rPr>
          <w:rFonts w:eastAsia="Calibri"/>
          <w:lang w:val="en-US" w:eastAsia="bg-BG"/>
        </w:rPr>
        <w:t xml:space="preserve"> 25 000 </w:t>
      </w:r>
      <w:proofErr w:type="spellStart"/>
      <w:r w:rsidRPr="00910F24">
        <w:rPr>
          <w:rFonts w:eastAsia="Calibri"/>
          <w:lang w:val="en-US" w:eastAsia="bg-BG"/>
        </w:rPr>
        <w:t>лв</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година</w:t>
      </w:r>
      <w:proofErr w:type="spellEnd"/>
      <w:r w:rsidRPr="00910F24">
        <w:rPr>
          <w:rFonts w:eastAsia="Calibri"/>
          <w:lang w:val="en-US" w:eastAsia="bg-BG"/>
        </w:rPr>
        <w:t xml:space="preserve">. </w:t>
      </w:r>
      <w:proofErr w:type="spellStart"/>
      <w:r w:rsidRPr="00910F24">
        <w:rPr>
          <w:rFonts w:eastAsia="Calibri"/>
          <w:lang w:val="en-US" w:eastAsia="bg-BG"/>
        </w:rPr>
        <w:t>Всяко</w:t>
      </w:r>
      <w:proofErr w:type="spellEnd"/>
      <w:r w:rsidRPr="00910F24">
        <w:rPr>
          <w:rFonts w:eastAsia="Calibri"/>
          <w:lang w:val="en-US" w:eastAsia="bg-BG"/>
        </w:rPr>
        <w:t xml:space="preserve"> </w:t>
      </w:r>
      <w:proofErr w:type="spellStart"/>
      <w:r w:rsidRPr="00910F24">
        <w:rPr>
          <w:rFonts w:eastAsia="Calibri"/>
          <w:lang w:val="en-US" w:eastAsia="bg-BG"/>
        </w:rPr>
        <w:t>проектно</w:t>
      </w:r>
      <w:proofErr w:type="spellEnd"/>
      <w:r w:rsidRPr="00910F24">
        <w:rPr>
          <w:rFonts w:eastAsia="Calibri"/>
          <w:lang w:val="en-US" w:eastAsia="bg-BG"/>
        </w:rPr>
        <w:t xml:space="preserve"> </w:t>
      </w:r>
      <w:proofErr w:type="spellStart"/>
      <w:r w:rsidRPr="00910F24">
        <w:rPr>
          <w:rFonts w:eastAsia="Calibri"/>
          <w:lang w:val="en-US" w:eastAsia="bg-BG"/>
        </w:rPr>
        <w:t>предложение</w:t>
      </w:r>
      <w:proofErr w:type="spellEnd"/>
      <w:r w:rsidRPr="00910F24">
        <w:rPr>
          <w:rFonts w:eastAsia="Calibri"/>
          <w:lang w:val="en-US" w:eastAsia="bg-BG"/>
        </w:rPr>
        <w:t xml:space="preserve"> е с </w:t>
      </w:r>
      <w:proofErr w:type="spellStart"/>
      <w:r w:rsidRPr="00910F24">
        <w:rPr>
          <w:rFonts w:eastAsia="Calibri"/>
          <w:lang w:val="en-US" w:eastAsia="bg-BG"/>
        </w:rPr>
        <w:t>максимален</w:t>
      </w:r>
      <w:proofErr w:type="spellEnd"/>
      <w:r w:rsidRPr="00910F24">
        <w:rPr>
          <w:rFonts w:eastAsia="Calibri"/>
          <w:lang w:val="en-US" w:eastAsia="bg-BG"/>
        </w:rPr>
        <w:t xml:space="preserve"> </w:t>
      </w:r>
      <w:proofErr w:type="spellStart"/>
      <w:r w:rsidRPr="00910F24">
        <w:rPr>
          <w:rFonts w:eastAsia="Calibri"/>
          <w:lang w:val="en-US" w:eastAsia="bg-BG"/>
        </w:rPr>
        <w:t>срок</w:t>
      </w:r>
      <w:proofErr w:type="spellEnd"/>
      <w:r w:rsidRPr="00910F24">
        <w:rPr>
          <w:rFonts w:eastAsia="Calibri"/>
          <w:lang w:val="en-US" w:eastAsia="bg-BG"/>
        </w:rPr>
        <w:t xml:space="preserve">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две</w:t>
      </w:r>
      <w:proofErr w:type="spellEnd"/>
      <w:r w:rsidRPr="00910F24">
        <w:rPr>
          <w:rFonts w:eastAsia="Calibri"/>
          <w:lang w:val="en-US" w:eastAsia="bg-BG"/>
        </w:rPr>
        <w:t xml:space="preserve"> </w:t>
      </w:r>
      <w:proofErr w:type="spellStart"/>
      <w:r w:rsidRPr="00910F24">
        <w:rPr>
          <w:rFonts w:eastAsia="Calibri"/>
          <w:lang w:val="en-US" w:eastAsia="bg-BG"/>
        </w:rPr>
        <w:t>години</w:t>
      </w:r>
      <w:proofErr w:type="spellEnd"/>
      <w:r w:rsidRPr="00910F24">
        <w:rPr>
          <w:rFonts w:eastAsia="Calibri"/>
          <w:lang w:val="en-US" w:eastAsia="bg-BG"/>
        </w:rPr>
        <w:t xml:space="preserve"> и </w:t>
      </w:r>
      <w:proofErr w:type="spellStart"/>
      <w:r w:rsidRPr="00910F24">
        <w:rPr>
          <w:rFonts w:eastAsia="Calibri"/>
          <w:lang w:val="en-US" w:eastAsia="bg-BG"/>
        </w:rPr>
        <w:t>максимална</w:t>
      </w:r>
      <w:proofErr w:type="spellEnd"/>
      <w:r w:rsidRPr="00910F24">
        <w:rPr>
          <w:rFonts w:eastAsia="Calibri"/>
          <w:lang w:val="en-US" w:eastAsia="bg-BG"/>
        </w:rPr>
        <w:t xml:space="preserve"> </w:t>
      </w:r>
      <w:proofErr w:type="spellStart"/>
      <w:r w:rsidRPr="00910F24">
        <w:rPr>
          <w:rFonts w:eastAsia="Calibri"/>
          <w:lang w:val="en-US" w:eastAsia="bg-BG"/>
        </w:rPr>
        <w:t>сума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финансиране</w:t>
      </w:r>
      <w:proofErr w:type="spellEnd"/>
      <w:r w:rsidRPr="00910F24">
        <w:rPr>
          <w:rFonts w:eastAsia="Calibri"/>
          <w:lang w:val="en-US" w:eastAsia="bg-BG"/>
        </w:rPr>
        <w:t xml:space="preserve"> 50 000 </w:t>
      </w:r>
      <w:proofErr w:type="spellStart"/>
      <w:r w:rsidRPr="00910F24">
        <w:rPr>
          <w:rFonts w:eastAsia="Calibri"/>
          <w:lang w:val="en-US" w:eastAsia="bg-BG"/>
        </w:rPr>
        <w:t>лева</w:t>
      </w:r>
      <w:proofErr w:type="spellEnd"/>
      <w:r w:rsidRPr="00910F24">
        <w:rPr>
          <w:rFonts w:eastAsia="Calibri"/>
          <w:lang w:val="en-US" w:eastAsia="bg-BG"/>
        </w:rPr>
        <w:t>.</w:t>
      </w:r>
    </w:p>
    <w:p w14:paraId="39346D50" w14:textId="77777777"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lang w:val="en-US" w:eastAsia="bg-BG"/>
        </w:rPr>
        <w:t>При</w:t>
      </w:r>
      <w:proofErr w:type="spellEnd"/>
      <w:r w:rsidRPr="00910F24">
        <w:rPr>
          <w:rFonts w:eastAsia="Calibri"/>
          <w:lang w:val="en-US" w:eastAsia="bg-BG"/>
        </w:rPr>
        <w:t xml:space="preserve"> </w:t>
      </w:r>
      <w:proofErr w:type="spellStart"/>
      <w:r w:rsidRPr="00910F24">
        <w:rPr>
          <w:rFonts w:eastAsia="Calibri"/>
          <w:lang w:val="en-US" w:eastAsia="bg-BG"/>
        </w:rPr>
        <w:t>подаване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новото</w:t>
      </w:r>
      <w:proofErr w:type="spellEnd"/>
      <w:r w:rsidRPr="00910F24">
        <w:rPr>
          <w:rFonts w:eastAsia="Calibri"/>
          <w:lang w:val="en-US" w:eastAsia="bg-BG"/>
        </w:rPr>
        <w:t xml:space="preserve"> </w:t>
      </w:r>
      <w:proofErr w:type="spellStart"/>
      <w:r w:rsidRPr="00910F24">
        <w:rPr>
          <w:rFonts w:eastAsia="Calibri"/>
          <w:lang w:val="en-US" w:eastAsia="bg-BG"/>
        </w:rPr>
        <w:t>проектно</w:t>
      </w:r>
      <w:proofErr w:type="spellEnd"/>
      <w:r w:rsidRPr="00910F24">
        <w:rPr>
          <w:rFonts w:eastAsia="Calibri"/>
          <w:lang w:val="en-US" w:eastAsia="bg-BG"/>
        </w:rPr>
        <w:t xml:space="preserve"> </w:t>
      </w:r>
      <w:proofErr w:type="spellStart"/>
      <w:r w:rsidRPr="00910F24">
        <w:rPr>
          <w:rFonts w:eastAsia="Calibri"/>
          <w:lang w:val="en-US" w:eastAsia="bg-BG"/>
        </w:rPr>
        <w:t>предложение</w:t>
      </w:r>
      <w:proofErr w:type="spellEnd"/>
      <w:r w:rsidRPr="00910F24">
        <w:rPr>
          <w:rFonts w:eastAsia="Calibri"/>
          <w:lang w:val="en-US" w:eastAsia="bg-BG"/>
        </w:rPr>
        <w:t xml:space="preserve"> </w:t>
      </w:r>
      <w:proofErr w:type="spellStart"/>
      <w:r w:rsidRPr="00910F24">
        <w:rPr>
          <w:rFonts w:eastAsia="Calibri"/>
          <w:lang w:val="en-US" w:eastAsia="bg-BG"/>
        </w:rPr>
        <w:t>се</w:t>
      </w:r>
      <w:proofErr w:type="spellEnd"/>
      <w:r w:rsidRPr="00910F24">
        <w:rPr>
          <w:rFonts w:eastAsia="Calibri"/>
          <w:lang w:val="en-US" w:eastAsia="bg-BG"/>
        </w:rPr>
        <w:t xml:space="preserve"> </w:t>
      </w:r>
      <w:proofErr w:type="spellStart"/>
      <w:r w:rsidRPr="00910F24">
        <w:rPr>
          <w:rFonts w:eastAsia="Calibri"/>
          <w:lang w:val="en-US" w:eastAsia="bg-BG"/>
        </w:rPr>
        <w:t>спазва</w:t>
      </w:r>
      <w:proofErr w:type="spellEnd"/>
      <w:r w:rsidRPr="00910F24">
        <w:rPr>
          <w:rFonts w:eastAsia="Calibri"/>
          <w:lang w:val="en-US" w:eastAsia="bg-BG"/>
        </w:rPr>
        <w:t xml:space="preserve"> </w:t>
      </w:r>
      <w:proofErr w:type="spellStart"/>
      <w:r w:rsidRPr="00910F24">
        <w:rPr>
          <w:rFonts w:eastAsia="Calibri"/>
          <w:lang w:val="en-US" w:eastAsia="bg-BG"/>
        </w:rPr>
        <w:t>принципът</w:t>
      </w:r>
      <w:proofErr w:type="spellEnd"/>
      <w:r w:rsidRPr="00910F24">
        <w:rPr>
          <w:rFonts w:eastAsia="Calibri"/>
          <w:lang w:val="en-US" w:eastAsia="bg-BG"/>
        </w:rPr>
        <w:t xml:space="preserve">, </w:t>
      </w:r>
      <w:proofErr w:type="spellStart"/>
      <w:r w:rsidRPr="00910F24">
        <w:rPr>
          <w:rFonts w:eastAsia="Calibri"/>
          <w:lang w:val="en-US" w:eastAsia="bg-BG"/>
        </w:rPr>
        <w:t>че</w:t>
      </w:r>
      <w:proofErr w:type="spellEnd"/>
      <w:r w:rsidRPr="00910F24">
        <w:rPr>
          <w:rFonts w:eastAsia="Calibri"/>
          <w:lang w:val="en-US" w:eastAsia="bg-BG"/>
        </w:rPr>
        <w:t xml:space="preserve"> </w:t>
      </w:r>
      <w:proofErr w:type="spellStart"/>
      <w:r w:rsidRPr="00910F24">
        <w:rPr>
          <w:rFonts w:eastAsia="Calibri"/>
          <w:lang w:val="en-US" w:eastAsia="bg-BG"/>
        </w:rPr>
        <w:t>когато</w:t>
      </w:r>
      <w:proofErr w:type="spellEnd"/>
      <w:r w:rsidRPr="00910F24">
        <w:rPr>
          <w:rFonts w:eastAsia="Calibri"/>
          <w:lang w:val="en-US" w:eastAsia="bg-BG"/>
        </w:rPr>
        <w:t xml:space="preserve"> </w:t>
      </w:r>
      <w:proofErr w:type="spellStart"/>
      <w:r w:rsidRPr="00910F24">
        <w:rPr>
          <w:rFonts w:eastAsia="Calibri"/>
          <w:lang w:val="en-US" w:eastAsia="bg-BG"/>
        </w:rPr>
        <w:t>до</w:t>
      </w:r>
      <w:proofErr w:type="spellEnd"/>
      <w:r w:rsidRPr="00910F24">
        <w:rPr>
          <w:rFonts w:eastAsia="Calibri"/>
          <w:lang w:val="en-US" w:eastAsia="bg-BG"/>
        </w:rPr>
        <w:t xml:space="preserve"> </w:t>
      </w:r>
      <w:proofErr w:type="spellStart"/>
      <w:r w:rsidRPr="00910F24">
        <w:rPr>
          <w:rFonts w:eastAsia="Calibri"/>
          <w:lang w:val="en-US" w:eastAsia="bg-BG"/>
        </w:rPr>
        <w:t>завършването</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COST </w:t>
      </w:r>
      <w:proofErr w:type="spellStart"/>
      <w:r w:rsidRPr="00910F24">
        <w:rPr>
          <w:rFonts w:eastAsia="Calibri"/>
          <w:lang w:val="en-US" w:eastAsia="bg-BG"/>
        </w:rPr>
        <w:t>Акцията</w:t>
      </w:r>
      <w:proofErr w:type="spellEnd"/>
      <w:r w:rsidRPr="00910F24">
        <w:rPr>
          <w:rFonts w:eastAsia="Calibri"/>
          <w:lang w:val="en-US" w:eastAsia="bg-BG"/>
        </w:rPr>
        <w:t xml:space="preserve"> </w:t>
      </w:r>
      <w:proofErr w:type="spellStart"/>
      <w:r w:rsidRPr="00910F24">
        <w:rPr>
          <w:rFonts w:eastAsia="Calibri"/>
          <w:lang w:val="en-US" w:eastAsia="bg-BG"/>
        </w:rPr>
        <w:t>остава</w:t>
      </w:r>
      <w:proofErr w:type="spellEnd"/>
      <w:r w:rsidRPr="00910F24">
        <w:rPr>
          <w:rFonts w:eastAsia="Calibri"/>
          <w:lang w:val="en-US" w:eastAsia="bg-BG"/>
        </w:rPr>
        <w:t xml:space="preserve"> </w:t>
      </w:r>
      <w:proofErr w:type="spellStart"/>
      <w:r w:rsidRPr="00910F24">
        <w:rPr>
          <w:rFonts w:eastAsia="Calibri"/>
          <w:lang w:val="en-US" w:eastAsia="bg-BG"/>
        </w:rPr>
        <w:t>период</w:t>
      </w:r>
      <w:proofErr w:type="spellEnd"/>
      <w:r w:rsidRPr="00910F24">
        <w:rPr>
          <w:rFonts w:eastAsia="Calibri"/>
          <w:lang w:val="en-US" w:eastAsia="bg-BG"/>
        </w:rPr>
        <w:t xml:space="preserve"> по-</w:t>
      </w:r>
      <w:proofErr w:type="spellStart"/>
      <w:r w:rsidRPr="00910F24">
        <w:rPr>
          <w:rFonts w:eastAsia="Calibri"/>
          <w:lang w:val="en-US" w:eastAsia="bg-BG"/>
        </w:rPr>
        <w:t>кратък</w:t>
      </w:r>
      <w:proofErr w:type="spellEnd"/>
      <w:r w:rsidRPr="00910F24">
        <w:rPr>
          <w:rFonts w:eastAsia="Calibri"/>
          <w:lang w:val="en-US" w:eastAsia="bg-BG"/>
        </w:rPr>
        <w:t xml:space="preserve">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две</w:t>
      </w:r>
      <w:proofErr w:type="spellEnd"/>
      <w:r w:rsidRPr="00910F24">
        <w:rPr>
          <w:rFonts w:eastAsia="Calibri"/>
          <w:lang w:val="en-US" w:eastAsia="bg-BG"/>
        </w:rPr>
        <w:t xml:space="preserve"> </w:t>
      </w:r>
      <w:proofErr w:type="spellStart"/>
      <w:r w:rsidRPr="00910F24">
        <w:rPr>
          <w:rFonts w:eastAsia="Calibri"/>
          <w:lang w:val="en-US" w:eastAsia="bg-BG"/>
        </w:rPr>
        <w:t>години</w:t>
      </w:r>
      <w:proofErr w:type="spellEnd"/>
      <w:r w:rsidRPr="00910F24">
        <w:rPr>
          <w:rFonts w:eastAsia="Calibri"/>
          <w:lang w:val="en-US" w:eastAsia="bg-BG"/>
        </w:rPr>
        <w:t xml:space="preserve">, </w:t>
      </w:r>
      <w:proofErr w:type="spellStart"/>
      <w:r w:rsidRPr="00910F24">
        <w:rPr>
          <w:rFonts w:eastAsia="Calibri"/>
          <w:lang w:val="en-US" w:eastAsia="bg-BG"/>
        </w:rPr>
        <w:t>тогава</w:t>
      </w:r>
      <w:proofErr w:type="spellEnd"/>
      <w:r w:rsidRPr="00910F24">
        <w:rPr>
          <w:rFonts w:eastAsia="Calibri"/>
          <w:lang w:val="en-US" w:eastAsia="bg-BG"/>
        </w:rPr>
        <w:t xml:space="preserve"> </w:t>
      </w:r>
      <w:proofErr w:type="spellStart"/>
      <w:r w:rsidRPr="00910F24">
        <w:rPr>
          <w:rFonts w:eastAsia="Calibri"/>
          <w:lang w:val="en-US" w:eastAsia="bg-BG"/>
        </w:rPr>
        <w:t>сумата</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национално</w:t>
      </w:r>
      <w:proofErr w:type="spellEnd"/>
      <w:r w:rsidRPr="00910F24">
        <w:rPr>
          <w:rFonts w:eastAsia="Calibri"/>
          <w:lang w:val="en-US" w:eastAsia="bg-BG"/>
        </w:rPr>
        <w:t xml:space="preserve"> </w:t>
      </w:r>
      <w:proofErr w:type="spellStart"/>
      <w:r w:rsidRPr="00910F24">
        <w:rPr>
          <w:rFonts w:eastAsia="Calibri"/>
          <w:lang w:val="en-US" w:eastAsia="bg-BG"/>
        </w:rPr>
        <w:t>съфинансиране</w:t>
      </w:r>
      <w:proofErr w:type="spellEnd"/>
      <w:r w:rsidRPr="00910F24">
        <w:rPr>
          <w:rFonts w:eastAsia="Calibri"/>
          <w:lang w:val="en-US" w:eastAsia="bg-BG"/>
        </w:rPr>
        <w:t xml:space="preserve"> </w:t>
      </w:r>
      <w:proofErr w:type="spellStart"/>
      <w:r w:rsidRPr="00910F24">
        <w:rPr>
          <w:rFonts w:eastAsia="Calibri"/>
          <w:lang w:val="en-US" w:eastAsia="bg-BG"/>
        </w:rPr>
        <w:t>се</w:t>
      </w:r>
      <w:proofErr w:type="spellEnd"/>
      <w:r w:rsidRPr="00910F24">
        <w:rPr>
          <w:rFonts w:eastAsia="Calibri"/>
          <w:lang w:val="en-US" w:eastAsia="bg-BG"/>
        </w:rPr>
        <w:t xml:space="preserve"> </w:t>
      </w:r>
      <w:proofErr w:type="spellStart"/>
      <w:r w:rsidRPr="00910F24">
        <w:rPr>
          <w:rFonts w:eastAsia="Calibri"/>
          <w:lang w:val="en-US" w:eastAsia="bg-BG"/>
        </w:rPr>
        <w:t>намалява</w:t>
      </w:r>
      <w:proofErr w:type="spellEnd"/>
      <w:r w:rsidRPr="00910F24">
        <w:rPr>
          <w:rFonts w:eastAsia="Calibri"/>
          <w:lang w:val="en-US" w:eastAsia="bg-BG"/>
        </w:rPr>
        <w:t xml:space="preserve"> </w:t>
      </w:r>
      <w:proofErr w:type="spellStart"/>
      <w:r w:rsidRPr="00910F24">
        <w:rPr>
          <w:rFonts w:eastAsia="Calibri"/>
          <w:lang w:val="en-US" w:eastAsia="bg-BG"/>
        </w:rPr>
        <w:t>пропорционално</w:t>
      </w:r>
      <w:proofErr w:type="spellEnd"/>
      <w:r w:rsidRPr="00910F24">
        <w:rPr>
          <w:rFonts w:eastAsia="Calibri"/>
          <w:lang w:val="en-US" w:eastAsia="bg-BG"/>
        </w:rPr>
        <w:t xml:space="preserve"> - в </w:t>
      </w:r>
      <w:proofErr w:type="spellStart"/>
      <w:r w:rsidRPr="00910F24">
        <w:rPr>
          <w:rFonts w:eastAsia="Calibri"/>
          <w:lang w:val="en-US" w:eastAsia="bg-BG"/>
        </w:rPr>
        <w:t>съответствие</w:t>
      </w:r>
      <w:proofErr w:type="spellEnd"/>
      <w:r w:rsidRPr="00910F24">
        <w:rPr>
          <w:rFonts w:eastAsia="Calibri"/>
          <w:lang w:val="en-US" w:eastAsia="bg-BG"/>
        </w:rPr>
        <w:t xml:space="preserve"> с </w:t>
      </w:r>
      <w:proofErr w:type="spellStart"/>
      <w:r w:rsidRPr="00910F24">
        <w:rPr>
          <w:rFonts w:eastAsia="Calibri"/>
          <w:lang w:val="en-US" w:eastAsia="bg-BG"/>
        </w:rPr>
        <w:t>оставащия</w:t>
      </w:r>
      <w:proofErr w:type="spellEnd"/>
      <w:r w:rsidRPr="00910F24">
        <w:rPr>
          <w:rFonts w:eastAsia="Calibri"/>
          <w:lang w:val="en-US" w:eastAsia="bg-BG"/>
        </w:rPr>
        <w:t xml:space="preserve"> </w:t>
      </w:r>
      <w:proofErr w:type="spellStart"/>
      <w:r w:rsidRPr="00910F24">
        <w:rPr>
          <w:rFonts w:eastAsia="Calibri"/>
          <w:lang w:val="en-US" w:eastAsia="bg-BG"/>
        </w:rPr>
        <w:t>брой</w:t>
      </w:r>
      <w:proofErr w:type="spellEnd"/>
      <w:r w:rsidRPr="00910F24">
        <w:rPr>
          <w:rFonts w:eastAsia="Calibri"/>
          <w:lang w:val="en-US" w:eastAsia="bg-BG"/>
        </w:rPr>
        <w:t xml:space="preserve"> </w:t>
      </w:r>
      <w:proofErr w:type="spellStart"/>
      <w:r w:rsidRPr="00910F24">
        <w:rPr>
          <w:rFonts w:eastAsia="Calibri"/>
          <w:lang w:val="en-US" w:eastAsia="bg-BG"/>
        </w:rPr>
        <w:t>пълни</w:t>
      </w:r>
      <w:proofErr w:type="spellEnd"/>
      <w:r w:rsidRPr="00910F24">
        <w:rPr>
          <w:rFonts w:eastAsia="Calibri"/>
          <w:lang w:val="en-US" w:eastAsia="bg-BG"/>
        </w:rPr>
        <w:t xml:space="preserve"> </w:t>
      </w:r>
      <w:proofErr w:type="spellStart"/>
      <w:r w:rsidRPr="00910F24">
        <w:rPr>
          <w:rFonts w:eastAsia="Calibri"/>
          <w:lang w:val="en-US" w:eastAsia="bg-BG"/>
        </w:rPr>
        <w:t>месеци</w:t>
      </w:r>
      <w:proofErr w:type="spellEnd"/>
      <w:r w:rsidRPr="00910F24">
        <w:rPr>
          <w:rFonts w:eastAsia="Calibri"/>
          <w:lang w:val="en-US" w:eastAsia="bg-BG"/>
        </w:rPr>
        <w:t xml:space="preserve"> </w:t>
      </w:r>
      <w:proofErr w:type="spellStart"/>
      <w:r w:rsidRPr="00910F24">
        <w:rPr>
          <w:rFonts w:eastAsia="Calibri"/>
          <w:lang w:val="en-US" w:eastAsia="bg-BG"/>
        </w:rPr>
        <w:t>до</w:t>
      </w:r>
      <w:proofErr w:type="spellEnd"/>
      <w:r w:rsidRPr="00910F24">
        <w:rPr>
          <w:rFonts w:eastAsia="Calibri"/>
          <w:lang w:val="en-US" w:eastAsia="bg-BG"/>
        </w:rPr>
        <w:t xml:space="preserve"> </w:t>
      </w:r>
      <w:proofErr w:type="spellStart"/>
      <w:r w:rsidRPr="00910F24">
        <w:rPr>
          <w:rFonts w:eastAsia="Calibri"/>
          <w:lang w:val="en-US" w:eastAsia="bg-BG"/>
        </w:rPr>
        <w:t>края</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COST </w:t>
      </w:r>
      <w:proofErr w:type="spellStart"/>
      <w:r w:rsidRPr="00910F24">
        <w:rPr>
          <w:rFonts w:eastAsia="Calibri"/>
          <w:lang w:val="en-US" w:eastAsia="bg-BG"/>
        </w:rPr>
        <w:t>акцията</w:t>
      </w:r>
      <w:proofErr w:type="spellEnd"/>
      <w:r w:rsidRPr="00910F24">
        <w:rPr>
          <w:rFonts w:eastAsia="Calibri"/>
          <w:lang w:val="en-US" w:eastAsia="bg-BG"/>
        </w:rPr>
        <w:t xml:space="preserve">, </w:t>
      </w:r>
      <w:proofErr w:type="spellStart"/>
      <w:r w:rsidRPr="00910F24">
        <w:rPr>
          <w:rFonts w:eastAsia="Calibri"/>
          <w:lang w:val="en-US" w:eastAsia="bg-BG"/>
        </w:rPr>
        <w:t>считано</w:t>
      </w:r>
      <w:proofErr w:type="spellEnd"/>
      <w:r w:rsidRPr="00910F24">
        <w:rPr>
          <w:rFonts w:eastAsia="Calibri"/>
          <w:lang w:val="en-US" w:eastAsia="bg-BG"/>
        </w:rPr>
        <w:t xml:space="preserve">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датата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съответното</w:t>
      </w:r>
      <w:proofErr w:type="spellEnd"/>
      <w:r w:rsidRPr="00910F24">
        <w:rPr>
          <w:rFonts w:eastAsia="Calibri"/>
          <w:lang w:val="en-US" w:eastAsia="bg-BG"/>
        </w:rPr>
        <w:t xml:space="preserve"> </w:t>
      </w:r>
      <w:proofErr w:type="spellStart"/>
      <w:r w:rsidRPr="00910F24">
        <w:rPr>
          <w:rFonts w:eastAsia="Calibri"/>
          <w:lang w:val="en-US" w:eastAsia="bg-BG"/>
        </w:rPr>
        <w:t>заседание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ИС </w:t>
      </w:r>
      <w:proofErr w:type="spellStart"/>
      <w:r w:rsidRPr="00910F24">
        <w:rPr>
          <w:rFonts w:eastAsia="Calibri"/>
          <w:lang w:val="en-US" w:eastAsia="bg-BG"/>
        </w:rPr>
        <w:t>на</w:t>
      </w:r>
      <w:proofErr w:type="spellEnd"/>
      <w:r w:rsidRPr="00910F24">
        <w:rPr>
          <w:rFonts w:eastAsia="Calibri"/>
          <w:lang w:val="en-US" w:eastAsia="bg-BG"/>
        </w:rPr>
        <w:t xml:space="preserve"> ФНИ,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което</w:t>
      </w:r>
      <w:proofErr w:type="spellEnd"/>
      <w:r w:rsidRPr="00910F24">
        <w:rPr>
          <w:rFonts w:eastAsia="Calibri"/>
          <w:lang w:val="en-US" w:eastAsia="bg-BG"/>
        </w:rPr>
        <w:t xml:space="preserve"> е </w:t>
      </w:r>
      <w:proofErr w:type="spellStart"/>
      <w:r w:rsidRPr="00910F24">
        <w:rPr>
          <w:rFonts w:eastAsia="Calibri"/>
          <w:lang w:val="en-US" w:eastAsia="bg-BG"/>
        </w:rPr>
        <w:t>взето</w:t>
      </w:r>
      <w:proofErr w:type="spellEnd"/>
      <w:r w:rsidRPr="00910F24">
        <w:rPr>
          <w:rFonts w:eastAsia="Calibri"/>
          <w:lang w:val="en-US" w:eastAsia="bg-BG"/>
        </w:rPr>
        <w:t xml:space="preserve"> </w:t>
      </w:r>
      <w:proofErr w:type="spellStart"/>
      <w:r w:rsidRPr="00910F24">
        <w:rPr>
          <w:rFonts w:eastAsia="Calibri"/>
          <w:lang w:val="en-US" w:eastAsia="bg-BG"/>
        </w:rPr>
        <w:t>положително</w:t>
      </w:r>
      <w:proofErr w:type="spellEnd"/>
      <w:r w:rsidRPr="00910F24">
        <w:rPr>
          <w:rFonts w:eastAsia="Calibri"/>
          <w:lang w:val="en-US" w:eastAsia="bg-BG"/>
        </w:rPr>
        <w:t xml:space="preserve"> </w:t>
      </w:r>
      <w:proofErr w:type="spellStart"/>
      <w:r w:rsidRPr="00910F24">
        <w:rPr>
          <w:rFonts w:eastAsia="Calibri"/>
          <w:lang w:val="en-US" w:eastAsia="bg-BG"/>
        </w:rPr>
        <w:t>решение</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предоставяне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национално</w:t>
      </w:r>
      <w:proofErr w:type="spellEnd"/>
      <w:r w:rsidRPr="00910F24">
        <w:rPr>
          <w:rFonts w:eastAsia="Calibri"/>
          <w:lang w:val="en-US" w:eastAsia="bg-BG"/>
        </w:rPr>
        <w:t xml:space="preserve"> </w:t>
      </w:r>
      <w:proofErr w:type="spellStart"/>
      <w:r w:rsidRPr="00910F24">
        <w:rPr>
          <w:rFonts w:eastAsia="Calibri"/>
          <w:lang w:val="en-US" w:eastAsia="bg-BG"/>
        </w:rPr>
        <w:t>съфинансиране</w:t>
      </w:r>
      <w:proofErr w:type="spellEnd"/>
      <w:r w:rsidRPr="00910F24">
        <w:rPr>
          <w:rFonts w:eastAsia="Calibri"/>
          <w:lang w:val="en-US" w:eastAsia="bg-BG"/>
        </w:rPr>
        <w:t xml:space="preserve"> в </w:t>
      </w:r>
      <w:proofErr w:type="spellStart"/>
      <w:r w:rsidRPr="00910F24">
        <w:rPr>
          <w:rFonts w:eastAsia="Calibri"/>
          <w:lang w:val="en-US" w:eastAsia="bg-BG"/>
        </w:rPr>
        <w:t>съответствие</w:t>
      </w:r>
      <w:proofErr w:type="spellEnd"/>
      <w:r w:rsidRPr="00910F24">
        <w:rPr>
          <w:rFonts w:eastAsia="Calibri"/>
          <w:lang w:val="en-US" w:eastAsia="bg-BG"/>
        </w:rPr>
        <w:t xml:space="preserve"> с </w:t>
      </w:r>
      <w:proofErr w:type="spellStart"/>
      <w:r w:rsidRPr="00910F24">
        <w:rPr>
          <w:rFonts w:eastAsia="Calibri"/>
          <w:lang w:val="en-US" w:eastAsia="bg-BG"/>
        </w:rPr>
        <w:t>новото</w:t>
      </w:r>
      <w:proofErr w:type="spellEnd"/>
      <w:r w:rsidRPr="00910F24">
        <w:rPr>
          <w:rFonts w:eastAsia="Calibri"/>
          <w:lang w:val="en-US" w:eastAsia="bg-BG"/>
        </w:rPr>
        <w:t xml:space="preserve"> </w:t>
      </w:r>
      <w:proofErr w:type="spellStart"/>
      <w:r w:rsidRPr="00910F24">
        <w:rPr>
          <w:rFonts w:eastAsia="Calibri"/>
          <w:lang w:val="en-US" w:eastAsia="bg-BG"/>
        </w:rPr>
        <w:t>проектно</w:t>
      </w:r>
      <w:proofErr w:type="spellEnd"/>
      <w:r w:rsidRPr="00910F24">
        <w:rPr>
          <w:rFonts w:eastAsia="Calibri"/>
          <w:lang w:val="en-US" w:eastAsia="bg-BG"/>
        </w:rPr>
        <w:t xml:space="preserve"> </w:t>
      </w:r>
      <w:proofErr w:type="spellStart"/>
      <w:r w:rsidRPr="00910F24">
        <w:rPr>
          <w:rFonts w:eastAsia="Calibri"/>
          <w:lang w:val="en-US" w:eastAsia="bg-BG"/>
        </w:rPr>
        <w:t>предложение</w:t>
      </w:r>
      <w:proofErr w:type="spellEnd"/>
      <w:r w:rsidRPr="00910F24">
        <w:rPr>
          <w:rFonts w:eastAsia="Calibri"/>
          <w:lang w:val="en-US" w:eastAsia="bg-BG"/>
        </w:rPr>
        <w:t>.</w:t>
      </w:r>
    </w:p>
    <w:p w14:paraId="2B525887" w14:textId="77777777"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lang w:val="en-US" w:eastAsia="bg-BG"/>
        </w:rPr>
        <w:t>Не</w:t>
      </w:r>
      <w:proofErr w:type="spellEnd"/>
      <w:r w:rsidRPr="00910F24">
        <w:rPr>
          <w:rFonts w:eastAsia="Calibri"/>
          <w:lang w:val="en-US" w:eastAsia="bg-BG"/>
        </w:rPr>
        <w:t xml:space="preserve"> </w:t>
      </w:r>
      <w:proofErr w:type="spellStart"/>
      <w:r w:rsidRPr="00910F24">
        <w:rPr>
          <w:rFonts w:eastAsia="Calibri"/>
          <w:lang w:val="en-US" w:eastAsia="bg-BG"/>
        </w:rPr>
        <w:t>се</w:t>
      </w:r>
      <w:proofErr w:type="spellEnd"/>
      <w:r w:rsidRPr="00910F24">
        <w:rPr>
          <w:rFonts w:eastAsia="Calibri"/>
          <w:lang w:val="en-US" w:eastAsia="bg-BG"/>
        </w:rPr>
        <w:t xml:space="preserve"> </w:t>
      </w:r>
      <w:proofErr w:type="spellStart"/>
      <w:r w:rsidRPr="00910F24">
        <w:rPr>
          <w:rFonts w:eastAsia="Calibri"/>
          <w:lang w:val="en-US" w:eastAsia="bg-BG"/>
        </w:rPr>
        <w:t>допуска</w:t>
      </w:r>
      <w:proofErr w:type="spellEnd"/>
      <w:r w:rsidRPr="00910F24">
        <w:rPr>
          <w:rFonts w:eastAsia="Calibri"/>
          <w:lang w:val="en-US" w:eastAsia="bg-BG"/>
        </w:rPr>
        <w:t xml:space="preserve"> </w:t>
      </w:r>
      <w:proofErr w:type="spellStart"/>
      <w:r w:rsidRPr="00910F24">
        <w:rPr>
          <w:rFonts w:eastAsia="Calibri"/>
          <w:lang w:val="en-US" w:eastAsia="bg-BG"/>
        </w:rPr>
        <w:t>изкуствено</w:t>
      </w:r>
      <w:proofErr w:type="spellEnd"/>
      <w:r w:rsidRPr="00910F24">
        <w:rPr>
          <w:rFonts w:eastAsia="Calibri"/>
          <w:lang w:val="en-US" w:eastAsia="bg-BG"/>
        </w:rPr>
        <w:t xml:space="preserve"> </w:t>
      </w:r>
      <w:proofErr w:type="spellStart"/>
      <w:r w:rsidRPr="00910F24">
        <w:rPr>
          <w:rFonts w:eastAsia="Calibri"/>
          <w:lang w:val="en-US" w:eastAsia="bg-BG"/>
        </w:rPr>
        <w:t>разделяне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проекти</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да</w:t>
      </w:r>
      <w:proofErr w:type="spellEnd"/>
      <w:r w:rsidRPr="00910F24">
        <w:rPr>
          <w:rFonts w:eastAsia="Calibri"/>
          <w:lang w:val="en-US" w:eastAsia="bg-BG"/>
        </w:rPr>
        <w:t xml:space="preserve"> </w:t>
      </w:r>
      <w:proofErr w:type="spellStart"/>
      <w:r w:rsidRPr="00910F24">
        <w:rPr>
          <w:rFonts w:eastAsia="Calibri"/>
          <w:lang w:val="en-US" w:eastAsia="bg-BG"/>
        </w:rPr>
        <w:t>бъдат</w:t>
      </w:r>
      <w:proofErr w:type="spellEnd"/>
      <w:r w:rsidRPr="00910F24">
        <w:rPr>
          <w:rFonts w:eastAsia="Calibri"/>
          <w:lang w:val="en-US" w:eastAsia="bg-BG"/>
        </w:rPr>
        <w:t xml:space="preserve"> </w:t>
      </w:r>
      <w:proofErr w:type="spellStart"/>
      <w:r w:rsidRPr="00910F24">
        <w:rPr>
          <w:rFonts w:eastAsia="Calibri"/>
          <w:lang w:val="en-US" w:eastAsia="bg-BG"/>
        </w:rPr>
        <w:t>заобиколени</w:t>
      </w:r>
      <w:proofErr w:type="spellEnd"/>
      <w:r w:rsidRPr="00910F24">
        <w:rPr>
          <w:rFonts w:eastAsia="Calibri"/>
          <w:lang w:val="en-US" w:eastAsia="bg-BG"/>
        </w:rPr>
        <w:t xml:space="preserve"> </w:t>
      </w:r>
      <w:proofErr w:type="spellStart"/>
      <w:r w:rsidRPr="00910F24">
        <w:rPr>
          <w:rFonts w:eastAsia="Calibri"/>
          <w:lang w:val="en-US" w:eastAsia="bg-BG"/>
        </w:rPr>
        <w:t>горните</w:t>
      </w:r>
      <w:proofErr w:type="spellEnd"/>
      <w:r w:rsidRPr="00910F24">
        <w:rPr>
          <w:rFonts w:eastAsia="Calibri"/>
          <w:lang w:val="en-US" w:eastAsia="bg-BG"/>
        </w:rPr>
        <w:t xml:space="preserve"> </w:t>
      </w:r>
      <w:proofErr w:type="spellStart"/>
      <w:r w:rsidRPr="00910F24">
        <w:rPr>
          <w:rFonts w:eastAsia="Calibri"/>
          <w:lang w:val="en-US" w:eastAsia="bg-BG"/>
        </w:rPr>
        <w:t>прагове</w:t>
      </w:r>
      <w:proofErr w:type="spellEnd"/>
      <w:r w:rsidRPr="00910F24">
        <w:rPr>
          <w:rFonts w:eastAsia="Calibri"/>
          <w:lang w:val="en-US" w:eastAsia="bg-BG"/>
        </w:rPr>
        <w:t>.</w:t>
      </w:r>
    </w:p>
    <w:p w14:paraId="111AEAF1" w14:textId="77777777"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lang w:val="en-US" w:eastAsia="bg-BG"/>
        </w:rPr>
        <w:t>Публичното</w:t>
      </w:r>
      <w:proofErr w:type="spellEnd"/>
      <w:r w:rsidRPr="00910F24">
        <w:rPr>
          <w:rFonts w:eastAsia="Calibri"/>
          <w:lang w:val="en-US" w:eastAsia="bg-BG"/>
        </w:rPr>
        <w:t xml:space="preserve"> </w:t>
      </w:r>
      <w:proofErr w:type="spellStart"/>
      <w:r w:rsidRPr="00910F24">
        <w:rPr>
          <w:rFonts w:eastAsia="Calibri"/>
          <w:lang w:val="en-US" w:eastAsia="bg-BG"/>
        </w:rPr>
        <w:t>финансиране</w:t>
      </w:r>
      <w:proofErr w:type="spellEnd"/>
      <w:r w:rsidRPr="00910F24">
        <w:rPr>
          <w:rFonts w:eastAsia="Calibri"/>
          <w:lang w:val="en-US" w:eastAsia="bg-BG"/>
        </w:rPr>
        <w:t xml:space="preserve"> </w:t>
      </w:r>
      <w:proofErr w:type="spellStart"/>
      <w:r w:rsidRPr="00910F24">
        <w:rPr>
          <w:rFonts w:eastAsia="Calibri"/>
          <w:lang w:val="en-US" w:eastAsia="bg-BG"/>
        </w:rPr>
        <w:t>не</w:t>
      </w:r>
      <w:proofErr w:type="spellEnd"/>
      <w:r w:rsidRPr="00910F24">
        <w:rPr>
          <w:rFonts w:eastAsia="Calibri"/>
          <w:lang w:val="en-US" w:eastAsia="bg-BG"/>
        </w:rPr>
        <w:t xml:space="preserve"> </w:t>
      </w:r>
      <w:proofErr w:type="spellStart"/>
      <w:r w:rsidRPr="00910F24">
        <w:rPr>
          <w:rFonts w:eastAsia="Calibri"/>
          <w:lang w:val="en-US" w:eastAsia="bg-BG"/>
        </w:rPr>
        <w:t>трябва</w:t>
      </w:r>
      <w:proofErr w:type="spellEnd"/>
      <w:r w:rsidRPr="00910F24">
        <w:rPr>
          <w:rFonts w:eastAsia="Calibri"/>
          <w:lang w:val="en-US" w:eastAsia="bg-BG"/>
        </w:rPr>
        <w:t xml:space="preserve"> </w:t>
      </w:r>
      <w:proofErr w:type="spellStart"/>
      <w:r w:rsidRPr="00910F24">
        <w:rPr>
          <w:rFonts w:eastAsia="Calibri"/>
          <w:lang w:val="en-US" w:eastAsia="bg-BG"/>
        </w:rPr>
        <w:t>да</w:t>
      </w:r>
      <w:proofErr w:type="spellEnd"/>
      <w:r w:rsidRPr="00910F24">
        <w:rPr>
          <w:rFonts w:eastAsia="Calibri"/>
          <w:lang w:val="en-US" w:eastAsia="bg-BG"/>
        </w:rPr>
        <w:t xml:space="preserve"> </w:t>
      </w:r>
      <w:proofErr w:type="spellStart"/>
      <w:r w:rsidRPr="00910F24">
        <w:rPr>
          <w:rFonts w:eastAsia="Calibri"/>
          <w:lang w:val="en-US" w:eastAsia="bg-BG"/>
        </w:rPr>
        <w:t>надвишава</w:t>
      </w:r>
      <w:proofErr w:type="spellEnd"/>
      <w:r w:rsidRPr="00910F24">
        <w:rPr>
          <w:rFonts w:eastAsia="Calibri"/>
          <w:lang w:val="en-US" w:eastAsia="bg-BG"/>
        </w:rPr>
        <w:t xml:space="preserve"> 100%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общия</w:t>
      </w:r>
      <w:proofErr w:type="spellEnd"/>
      <w:r w:rsidRPr="00910F24">
        <w:rPr>
          <w:rFonts w:eastAsia="Calibri"/>
          <w:lang w:val="en-US" w:eastAsia="bg-BG"/>
        </w:rPr>
        <w:t xml:space="preserve"> </w:t>
      </w:r>
      <w:proofErr w:type="spellStart"/>
      <w:r w:rsidRPr="00910F24">
        <w:rPr>
          <w:rFonts w:eastAsia="Calibri"/>
          <w:lang w:val="en-US" w:eastAsia="bg-BG"/>
        </w:rPr>
        <w:t>размер</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допустимите</w:t>
      </w:r>
      <w:proofErr w:type="spellEnd"/>
      <w:r w:rsidRPr="00910F24">
        <w:rPr>
          <w:rFonts w:eastAsia="Calibri"/>
          <w:lang w:val="en-US" w:eastAsia="bg-BG"/>
        </w:rPr>
        <w:t xml:space="preserve"> </w:t>
      </w:r>
      <w:proofErr w:type="spellStart"/>
      <w:r w:rsidRPr="00910F24">
        <w:rPr>
          <w:rFonts w:eastAsia="Calibri"/>
          <w:lang w:val="en-US" w:eastAsia="bg-BG"/>
        </w:rPr>
        <w:t>разходи</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проекта</w:t>
      </w:r>
      <w:proofErr w:type="spellEnd"/>
      <w:r w:rsidRPr="00910F24">
        <w:rPr>
          <w:rFonts w:eastAsia="Calibri"/>
          <w:lang w:val="en-US" w:eastAsia="bg-BG"/>
        </w:rPr>
        <w:t>.</w:t>
      </w:r>
    </w:p>
    <w:p w14:paraId="50B3E65B" w14:textId="77777777"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lang w:val="en-US" w:eastAsia="bg-BG"/>
        </w:rPr>
        <w:t>Исканата</w:t>
      </w:r>
      <w:proofErr w:type="spellEnd"/>
      <w:r w:rsidRPr="00910F24">
        <w:rPr>
          <w:rFonts w:eastAsia="Calibri"/>
          <w:lang w:val="en-US" w:eastAsia="bg-BG"/>
        </w:rPr>
        <w:t xml:space="preserve"> </w:t>
      </w:r>
      <w:proofErr w:type="spellStart"/>
      <w:r w:rsidRPr="00910F24">
        <w:rPr>
          <w:rFonts w:eastAsia="Calibri"/>
          <w:lang w:val="en-US" w:eastAsia="bg-BG"/>
        </w:rPr>
        <w:t>сума</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финансиране</w:t>
      </w:r>
      <w:proofErr w:type="spellEnd"/>
      <w:r w:rsidRPr="00910F24">
        <w:rPr>
          <w:rFonts w:eastAsia="Calibri"/>
          <w:lang w:val="en-US" w:eastAsia="bg-BG"/>
        </w:rPr>
        <w:t xml:space="preserve"> </w:t>
      </w:r>
      <w:proofErr w:type="spellStart"/>
      <w:r w:rsidRPr="00910F24">
        <w:rPr>
          <w:rFonts w:eastAsia="Calibri"/>
          <w:lang w:val="en-US" w:eastAsia="bg-BG"/>
        </w:rPr>
        <w:t>да</w:t>
      </w:r>
      <w:proofErr w:type="spellEnd"/>
      <w:r w:rsidRPr="00910F24">
        <w:rPr>
          <w:rFonts w:eastAsia="Calibri"/>
          <w:lang w:val="en-US" w:eastAsia="bg-BG"/>
        </w:rPr>
        <w:t xml:space="preserve"> е </w:t>
      </w:r>
      <w:proofErr w:type="spellStart"/>
      <w:r w:rsidRPr="00910F24">
        <w:rPr>
          <w:rFonts w:eastAsia="Calibri"/>
          <w:lang w:val="en-US" w:eastAsia="bg-BG"/>
        </w:rPr>
        <w:t>кратна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100.</w:t>
      </w:r>
    </w:p>
    <w:p w14:paraId="209923DA" w14:textId="77777777" w:rsidR="00910F24" w:rsidRPr="00910F24" w:rsidRDefault="00910F24" w:rsidP="00A565EB">
      <w:pPr>
        <w:spacing w:before="120" w:after="120" w:line="276" w:lineRule="auto"/>
        <w:jc w:val="both"/>
        <w:rPr>
          <w:rFonts w:eastAsia="Calibri"/>
          <w:b/>
          <w:bCs/>
          <w:lang w:val="en-US" w:eastAsia="bg-BG"/>
        </w:rPr>
      </w:pPr>
      <w:r w:rsidRPr="00910F24">
        <w:rPr>
          <w:rFonts w:eastAsia="Calibri"/>
          <w:b/>
          <w:bCs/>
          <w:lang w:val="en-US" w:eastAsia="bg-BG"/>
        </w:rPr>
        <w:t xml:space="preserve">3.    </w:t>
      </w:r>
      <w:proofErr w:type="spellStart"/>
      <w:r w:rsidRPr="00910F24">
        <w:rPr>
          <w:rFonts w:eastAsia="Calibri"/>
          <w:b/>
          <w:bCs/>
          <w:lang w:val="en-US" w:eastAsia="bg-BG"/>
        </w:rPr>
        <w:t>Срок</w:t>
      </w:r>
      <w:proofErr w:type="spellEnd"/>
      <w:r w:rsidRPr="00910F24">
        <w:rPr>
          <w:rFonts w:eastAsia="Calibri"/>
          <w:b/>
          <w:bCs/>
          <w:lang w:val="en-US" w:eastAsia="bg-BG"/>
        </w:rPr>
        <w:t xml:space="preserve"> </w:t>
      </w:r>
      <w:proofErr w:type="spellStart"/>
      <w:r w:rsidRPr="00910F24">
        <w:rPr>
          <w:rFonts w:eastAsia="Calibri"/>
          <w:b/>
          <w:bCs/>
          <w:lang w:val="en-US" w:eastAsia="bg-BG"/>
        </w:rPr>
        <w:t>за</w:t>
      </w:r>
      <w:proofErr w:type="spellEnd"/>
      <w:r w:rsidRPr="00910F24">
        <w:rPr>
          <w:rFonts w:eastAsia="Calibri"/>
          <w:b/>
          <w:bCs/>
          <w:lang w:val="en-US" w:eastAsia="bg-BG"/>
        </w:rPr>
        <w:t xml:space="preserve"> </w:t>
      </w:r>
      <w:proofErr w:type="spellStart"/>
      <w:r w:rsidRPr="00910F24">
        <w:rPr>
          <w:rFonts w:eastAsia="Calibri"/>
          <w:b/>
          <w:bCs/>
          <w:lang w:val="en-US" w:eastAsia="bg-BG"/>
        </w:rPr>
        <w:t>изпълнение</w:t>
      </w:r>
      <w:proofErr w:type="spellEnd"/>
      <w:r w:rsidRPr="00910F24">
        <w:rPr>
          <w:rFonts w:eastAsia="Calibri"/>
          <w:b/>
          <w:bCs/>
          <w:lang w:val="en-US" w:eastAsia="bg-BG"/>
        </w:rPr>
        <w:t xml:space="preserve"> </w:t>
      </w:r>
      <w:proofErr w:type="spellStart"/>
      <w:r w:rsidRPr="00910F24">
        <w:rPr>
          <w:rFonts w:eastAsia="Calibri"/>
          <w:b/>
          <w:bCs/>
          <w:lang w:val="en-US" w:eastAsia="bg-BG"/>
        </w:rPr>
        <w:t>на</w:t>
      </w:r>
      <w:proofErr w:type="spellEnd"/>
      <w:r w:rsidRPr="00910F24">
        <w:rPr>
          <w:rFonts w:eastAsia="Calibri"/>
          <w:b/>
          <w:bCs/>
          <w:lang w:val="en-US" w:eastAsia="bg-BG"/>
        </w:rPr>
        <w:t xml:space="preserve"> </w:t>
      </w:r>
      <w:proofErr w:type="spellStart"/>
      <w:r w:rsidRPr="00910F24">
        <w:rPr>
          <w:rFonts w:eastAsia="Calibri"/>
          <w:b/>
          <w:bCs/>
          <w:lang w:val="en-US" w:eastAsia="bg-BG"/>
        </w:rPr>
        <w:t>проекта</w:t>
      </w:r>
      <w:proofErr w:type="spellEnd"/>
      <w:r w:rsidRPr="00910F24">
        <w:rPr>
          <w:rFonts w:eastAsia="Calibri"/>
          <w:b/>
          <w:bCs/>
          <w:lang w:val="en-US" w:eastAsia="bg-BG"/>
        </w:rPr>
        <w:t>:</w:t>
      </w:r>
    </w:p>
    <w:p w14:paraId="2E01202A" w14:textId="77777777"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lang w:val="en-US" w:eastAsia="bg-BG"/>
        </w:rPr>
        <w:t>Срок</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изпълнение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одобрените</w:t>
      </w:r>
      <w:proofErr w:type="spellEnd"/>
      <w:r w:rsidRPr="00910F24">
        <w:rPr>
          <w:rFonts w:eastAsia="Calibri"/>
          <w:lang w:val="en-US" w:eastAsia="bg-BG"/>
        </w:rPr>
        <w:t xml:space="preserve"> </w:t>
      </w:r>
      <w:proofErr w:type="spellStart"/>
      <w:r w:rsidRPr="00910F24">
        <w:rPr>
          <w:rFonts w:eastAsia="Calibri"/>
          <w:lang w:val="en-US" w:eastAsia="bg-BG"/>
        </w:rPr>
        <w:t>проекти</w:t>
      </w:r>
      <w:proofErr w:type="spellEnd"/>
      <w:r w:rsidRPr="00910F24">
        <w:rPr>
          <w:rFonts w:eastAsia="Calibri"/>
          <w:lang w:val="en-US" w:eastAsia="bg-BG"/>
        </w:rPr>
        <w:t xml:space="preserve">: </w:t>
      </w:r>
      <w:proofErr w:type="spellStart"/>
      <w:r w:rsidRPr="00910F24">
        <w:rPr>
          <w:rFonts w:eastAsia="Calibri"/>
          <w:lang w:val="en-US" w:eastAsia="bg-BG"/>
        </w:rPr>
        <w:t>до</w:t>
      </w:r>
      <w:proofErr w:type="spellEnd"/>
      <w:r w:rsidRPr="00910F24">
        <w:rPr>
          <w:rFonts w:eastAsia="Calibri"/>
          <w:lang w:val="en-US" w:eastAsia="bg-BG"/>
        </w:rPr>
        <w:t> </w:t>
      </w:r>
      <w:r w:rsidRPr="00910F24">
        <w:rPr>
          <w:rFonts w:eastAsia="Calibri"/>
          <w:u w:val="single"/>
          <w:lang w:val="en-US" w:eastAsia="bg-BG"/>
        </w:rPr>
        <w:t xml:space="preserve">24 </w:t>
      </w:r>
      <w:proofErr w:type="spellStart"/>
      <w:r w:rsidRPr="00910F24">
        <w:rPr>
          <w:rFonts w:eastAsia="Calibri"/>
          <w:u w:val="single"/>
          <w:lang w:val="en-US" w:eastAsia="bg-BG"/>
        </w:rPr>
        <w:t>месеца</w:t>
      </w:r>
      <w:proofErr w:type="spellEnd"/>
      <w:r w:rsidRPr="00910F24">
        <w:rPr>
          <w:rFonts w:eastAsia="Calibri"/>
          <w:lang w:val="en-US" w:eastAsia="bg-BG"/>
        </w:rPr>
        <w:t xml:space="preserve">, </w:t>
      </w:r>
      <w:proofErr w:type="spellStart"/>
      <w:r w:rsidRPr="00910F24">
        <w:rPr>
          <w:rFonts w:eastAsia="Calibri"/>
          <w:lang w:val="en-US" w:eastAsia="bg-BG"/>
        </w:rPr>
        <w:t>считано</w:t>
      </w:r>
      <w:proofErr w:type="spellEnd"/>
      <w:r w:rsidRPr="00910F24">
        <w:rPr>
          <w:rFonts w:eastAsia="Calibri"/>
          <w:lang w:val="en-US" w:eastAsia="bg-BG"/>
        </w:rPr>
        <w:t xml:space="preserve">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датата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подписване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договора</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финансиране</w:t>
      </w:r>
      <w:proofErr w:type="spellEnd"/>
      <w:r w:rsidRPr="00910F24">
        <w:rPr>
          <w:rFonts w:eastAsia="Calibri"/>
          <w:lang w:val="en-US" w:eastAsia="bg-BG"/>
        </w:rPr>
        <w:t>.</w:t>
      </w:r>
    </w:p>
    <w:p w14:paraId="1784759E" w14:textId="20F08258" w:rsidR="00910F24" w:rsidRPr="00910F24" w:rsidRDefault="00910F24" w:rsidP="00A565EB">
      <w:pPr>
        <w:spacing w:before="120" w:after="120" w:line="276" w:lineRule="auto"/>
        <w:jc w:val="both"/>
        <w:rPr>
          <w:rFonts w:eastAsia="Calibri"/>
          <w:b/>
          <w:bCs/>
          <w:lang w:val="en-US" w:eastAsia="bg-BG"/>
        </w:rPr>
      </w:pPr>
      <w:r w:rsidRPr="00910F24">
        <w:rPr>
          <w:rFonts w:eastAsia="Calibri"/>
          <w:lang w:val="en-US" w:eastAsia="bg-BG"/>
        </w:rPr>
        <w:t> </w:t>
      </w:r>
      <w:r w:rsidRPr="00910F24">
        <w:rPr>
          <w:rFonts w:eastAsia="Calibri"/>
          <w:b/>
          <w:bCs/>
          <w:lang w:val="en-US" w:eastAsia="bg-BG"/>
        </w:rPr>
        <w:t xml:space="preserve">4. </w:t>
      </w:r>
      <w:proofErr w:type="spellStart"/>
      <w:r w:rsidRPr="00910F24">
        <w:rPr>
          <w:rFonts w:eastAsia="Calibri"/>
          <w:b/>
          <w:bCs/>
          <w:lang w:val="en-US" w:eastAsia="bg-BG"/>
        </w:rPr>
        <w:t>Срок</w:t>
      </w:r>
      <w:proofErr w:type="spellEnd"/>
      <w:r w:rsidRPr="00910F24">
        <w:rPr>
          <w:rFonts w:eastAsia="Calibri"/>
          <w:b/>
          <w:bCs/>
          <w:lang w:val="en-US" w:eastAsia="bg-BG"/>
        </w:rPr>
        <w:t xml:space="preserve"> </w:t>
      </w:r>
      <w:proofErr w:type="spellStart"/>
      <w:r w:rsidRPr="00910F24">
        <w:rPr>
          <w:rFonts w:eastAsia="Calibri"/>
          <w:b/>
          <w:bCs/>
          <w:lang w:val="en-US" w:eastAsia="bg-BG"/>
        </w:rPr>
        <w:t>за</w:t>
      </w:r>
      <w:proofErr w:type="spellEnd"/>
      <w:r w:rsidRPr="00910F24">
        <w:rPr>
          <w:rFonts w:eastAsia="Calibri"/>
          <w:b/>
          <w:bCs/>
          <w:lang w:val="en-US" w:eastAsia="bg-BG"/>
        </w:rPr>
        <w:t xml:space="preserve"> </w:t>
      </w:r>
      <w:proofErr w:type="spellStart"/>
      <w:r w:rsidRPr="00910F24">
        <w:rPr>
          <w:rFonts w:eastAsia="Calibri"/>
          <w:b/>
          <w:bCs/>
          <w:lang w:val="en-US" w:eastAsia="bg-BG"/>
        </w:rPr>
        <w:t>подаване</w:t>
      </w:r>
      <w:proofErr w:type="spellEnd"/>
      <w:r w:rsidRPr="00910F24">
        <w:rPr>
          <w:rFonts w:eastAsia="Calibri"/>
          <w:b/>
          <w:bCs/>
          <w:lang w:val="en-US" w:eastAsia="bg-BG"/>
        </w:rPr>
        <w:t xml:space="preserve"> </w:t>
      </w:r>
      <w:proofErr w:type="spellStart"/>
      <w:r w:rsidRPr="00910F24">
        <w:rPr>
          <w:rFonts w:eastAsia="Calibri"/>
          <w:b/>
          <w:bCs/>
          <w:lang w:val="en-US" w:eastAsia="bg-BG"/>
        </w:rPr>
        <w:t>на</w:t>
      </w:r>
      <w:proofErr w:type="spellEnd"/>
      <w:r w:rsidRPr="00910F24">
        <w:rPr>
          <w:rFonts w:eastAsia="Calibri"/>
          <w:b/>
          <w:bCs/>
          <w:lang w:val="en-US" w:eastAsia="bg-BG"/>
        </w:rPr>
        <w:t xml:space="preserve"> </w:t>
      </w:r>
      <w:proofErr w:type="spellStart"/>
      <w:r w:rsidRPr="00910F24">
        <w:rPr>
          <w:rFonts w:eastAsia="Calibri"/>
          <w:b/>
          <w:bCs/>
          <w:lang w:val="en-US" w:eastAsia="bg-BG"/>
        </w:rPr>
        <w:t>проектните</w:t>
      </w:r>
      <w:proofErr w:type="spellEnd"/>
      <w:r w:rsidRPr="00910F24">
        <w:rPr>
          <w:rFonts w:eastAsia="Calibri"/>
          <w:b/>
          <w:bCs/>
          <w:lang w:val="en-US" w:eastAsia="bg-BG"/>
        </w:rPr>
        <w:t xml:space="preserve"> </w:t>
      </w:r>
      <w:proofErr w:type="spellStart"/>
      <w:r w:rsidRPr="00910F24">
        <w:rPr>
          <w:rFonts w:eastAsia="Calibri"/>
          <w:b/>
          <w:bCs/>
          <w:lang w:val="en-US" w:eastAsia="bg-BG"/>
        </w:rPr>
        <w:t>предложения</w:t>
      </w:r>
      <w:proofErr w:type="spellEnd"/>
    </w:p>
    <w:p w14:paraId="2D625608" w14:textId="7B32C61D"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lang w:val="en-US" w:eastAsia="bg-BG"/>
        </w:rPr>
        <w:t>Проектните</w:t>
      </w:r>
      <w:proofErr w:type="spellEnd"/>
      <w:r w:rsidRPr="00910F24">
        <w:rPr>
          <w:rFonts w:eastAsia="Calibri"/>
          <w:lang w:val="en-US" w:eastAsia="bg-BG"/>
        </w:rPr>
        <w:t xml:space="preserve"> </w:t>
      </w:r>
      <w:proofErr w:type="spellStart"/>
      <w:r w:rsidRPr="00910F24">
        <w:rPr>
          <w:rFonts w:eastAsia="Calibri"/>
          <w:lang w:val="en-US" w:eastAsia="bg-BG"/>
        </w:rPr>
        <w:t>предложения</w:t>
      </w:r>
      <w:proofErr w:type="spellEnd"/>
      <w:r w:rsidRPr="00910F24">
        <w:rPr>
          <w:rFonts w:eastAsia="Calibri"/>
          <w:lang w:val="en-US" w:eastAsia="bg-BG"/>
        </w:rPr>
        <w:t xml:space="preserve"> </w:t>
      </w:r>
      <w:proofErr w:type="spellStart"/>
      <w:r w:rsidRPr="00910F24">
        <w:rPr>
          <w:rFonts w:eastAsia="Calibri"/>
          <w:lang w:val="en-US" w:eastAsia="bg-BG"/>
        </w:rPr>
        <w:t>се</w:t>
      </w:r>
      <w:proofErr w:type="spellEnd"/>
      <w:r w:rsidRPr="00910F24">
        <w:rPr>
          <w:rFonts w:eastAsia="Calibri"/>
          <w:lang w:val="en-US" w:eastAsia="bg-BG"/>
        </w:rPr>
        <w:t xml:space="preserve"> </w:t>
      </w:r>
      <w:proofErr w:type="spellStart"/>
      <w:r w:rsidRPr="00910F24">
        <w:rPr>
          <w:rFonts w:eastAsia="Calibri"/>
          <w:lang w:val="en-US" w:eastAsia="bg-BG"/>
        </w:rPr>
        <w:t>представят</w:t>
      </w:r>
      <w:proofErr w:type="spellEnd"/>
      <w:r w:rsidRPr="00910F24">
        <w:rPr>
          <w:rFonts w:eastAsia="Calibri"/>
          <w:lang w:val="en-US" w:eastAsia="bg-BG"/>
        </w:rPr>
        <w:t xml:space="preserve"> </w:t>
      </w:r>
      <w:proofErr w:type="spellStart"/>
      <w:r w:rsidRPr="00910F24">
        <w:rPr>
          <w:rFonts w:eastAsia="Calibri"/>
          <w:lang w:val="en-US" w:eastAsia="bg-BG"/>
        </w:rPr>
        <w:t>до</w:t>
      </w:r>
      <w:proofErr w:type="spellEnd"/>
      <w:r w:rsidRPr="00910F24">
        <w:rPr>
          <w:rFonts w:eastAsia="Calibri"/>
          <w:lang w:val="en-US" w:eastAsia="bg-BG"/>
        </w:rPr>
        <w:t xml:space="preserve"> 17:30 </w:t>
      </w:r>
      <w:proofErr w:type="spellStart"/>
      <w:r w:rsidRPr="00910F24">
        <w:rPr>
          <w:rFonts w:eastAsia="Calibri"/>
          <w:lang w:val="en-US" w:eastAsia="bg-BG"/>
        </w:rPr>
        <w:t>часа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31.12.2025 г. по </w:t>
      </w:r>
      <w:proofErr w:type="spellStart"/>
      <w:r w:rsidRPr="00910F24">
        <w:rPr>
          <w:rFonts w:eastAsia="Calibri"/>
          <w:lang w:val="en-US" w:eastAsia="bg-BG"/>
        </w:rPr>
        <w:t>електронен</w:t>
      </w:r>
      <w:proofErr w:type="spellEnd"/>
      <w:r w:rsidRPr="00910F24">
        <w:rPr>
          <w:rFonts w:eastAsia="Calibri"/>
          <w:lang w:val="en-US" w:eastAsia="bg-BG"/>
        </w:rPr>
        <w:t xml:space="preserve"> </w:t>
      </w:r>
      <w:proofErr w:type="spellStart"/>
      <w:r w:rsidRPr="00910F24">
        <w:rPr>
          <w:rFonts w:eastAsia="Calibri"/>
          <w:lang w:val="en-US" w:eastAsia="bg-BG"/>
        </w:rPr>
        <w:t>път</w:t>
      </w:r>
      <w:proofErr w:type="spellEnd"/>
      <w:r w:rsidRPr="00910F24">
        <w:rPr>
          <w:rFonts w:eastAsia="Calibri"/>
          <w:lang w:val="en-US" w:eastAsia="bg-BG"/>
        </w:rPr>
        <w:t xml:space="preserve"> </w:t>
      </w:r>
      <w:proofErr w:type="spellStart"/>
      <w:r w:rsidRPr="00910F24">
        <w:rPr>
          <w:rFonts w:eastAsia="Calibri"/>
          <w:lang w:val="en-US" w:eastAsia="bg-BG"/>
        </w:rPr>
        <w:t>към</w:t>
      </w:r>
      <w:proofErr w:type="spellEnd"/>
      <w:r w:rsidRPr="00910F24">
        <w:rPr>
          <w:rFonts w:eastAsia="Calibri"/>
          <w:lang w:val="en-US" w:eastAsia="bg-BG"/>
        </w:rPr>
        <w:t xml:space="preserve"> </w:t>
      </w:r>
      <w:proofErr w:type="spellStart"/>
      <w:r w:rsidRPr="00910F24">
        <w:rPr>
          <w:rFonts w:eastAsia="Calibri"/>
          <w:lang w:val="en-US" w:eastAsia="bg-BG"/>
        </w:rPr>
        <w:t>Фонд</w:t>
      </w:r>
      <w:proofErr w:type="spellEnd"/>
      <w:r w:rsidRPr="00910F24">
        <w:rPr>
          <w:rFonts w:eastAsia="Calibri"/>
          <w:lang w:val="en-US" w:eastAsia="bg-BG"/>
        </w:rPr>
        <w:t xml:space="preserve"> „</w:t>
      </w:r>
      <w:proofErr w:type="spellStart"/>
      <w:r w:rsidRPr="00910F24">
        <w:rPr>
          <w:rFonts w:eastAsia="Calibri"/>
          <w:lang w:val="en-US" w:eastAsia="bg-BG"/>
        </w:rPr>
        <w:t>Научни</w:t>
      </w:r>
      <w:proofErr w:type="spellEnd"/>
      <w:r w:rsidRPr="00910F24">
        <w:rPr>
          <w:rFonts w:eastAsia="Calibri"/>
          <w:lang w:val="en-US" w:eastAsia="bg-BG"/>
        </w:rPr>
        <w:t xml:space="preserve"> </w:t>
      </w:r>
      <w:proofErr w:type="spellStart"/>
      <w:r w:rsidRPr="00910F24">
        <w:rPr>
          <w:rFonts w:eastAsia="Calibri"/>
          <w:lang w:val="en-US" w:eastAsia="bg-BG"/>
        </w:rPr>
        <w:t>изследвания</w:t>
      </w:r>
      <w:proofErr w:type="spellEnd"/>
      <w:r w:rsidRPr="00910F24">
        <w:rPr>
          <w:rFonts w:eastAsia="Calibri"/>
          <w:lang w:val="en-US" w:eastAsia="bg-BG"/>
        </w:rPr>
        <w:t xml:space="preserve">“ в </w:t>
      </w:r>
      <w:proofErr w:type="spellStart"/>
      <w:r w:rsidRPr="00910F24">
        <w:rPr>
          <w:rFonts w:eastAsia="Calibri"/>
          <w:lang w:val="en-US" w:eastAsia="bg-BG"/>
        </w:rPr>
        <w:t>електронен</w:t>
      </w:r>
      <w:proofErr w:type="spellEnd"/>
      <w:r w:rsidRPr="00910F24">
        <w:rPr>
          <w:rFonts w:eastAsia="Calibri"/>
          <w:lang w:val="en-US" w:eastAsia="bg-BG"/>
        </w:rPr>
        <w:t xml:space="preserve"> </w:t>
      </w:r>
      <w:proofErr w:type="spellStart"/>
      <w:r w:rsidRPr="00910F24">
        <w:rPr>
          <w:rFonts w:eastAsia="Calibri"/>
          <w:lang w:val="en-US" w:eastAsia="bg-BG"/>
        </w:rPr>
        <w:t>формат</w:t>
      </w:r>
      <w:proofErr w:type="spellEnd"/>
      <w:r w:rsidRPr="00910F24">
        <w:rPr>
          <w:rFonts w:eastAsia="Calibri"/>
          <w:lang w:val="en-US" w:eastAsia="bg-BG"/>
        </w:rPr>
        <w:t xml:space="preserve"> </w:t>
      </w:r>
      <w:proofErr w:type="spellStart"/>
      <w:r w:rsidRPr="00910F24">
        <w:rPr>
          <w:rFonts w:eastAsia="Calibri"/>
          <w:lang w:val="en-US" w:eastAsia="bg-BG"/>
        </w:rPr>
        <w:t>чрез</w:t>
      </w:r>
      <w:proofErr w:type="spellEnd"/>
      <w:r w:rsidRPr="00910F24">
        <w:rPr>
          <w:rFonts w:eastAsia="Calibri"/>
          <w:lang w:val="en-US" w:eastAsia="bg-BG"/>
        </w:rPr>
        <w:t xml:space="preserve"> </w:t>
      </w:r>
      <w:proofErr w:type="spellStart"/>
      <w:r w:rsidRPr="00910F24">
        <w:rPr>
          <w:rFonts w:eastAsia="Calibri"/>
          <w:lang w:val="en-US" w:eastAsia="bg-BG"/>
        </w:rPr>
        <w:t>системата</w:t>
      </w:r>
      <w:proofErr w:type="spellEnd"/>
      <w:r w:rsidRPr="00910F24">
        <w:rPr>
          <w:rFonts w:eastAsia="Calibri"/>
          <w:lang w:val="en-US" w:eastAsia="bg-BG"/>
        </w:rPr>
        <w:t xml:space="preserve"> СУНИ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следния</w:t>
      </w:r>
      <w:proofErr w:type="spellEnd"/>
      <w:r w:rsidRPr="00910F24">
        <w:rPr>
          <w:rFonts w:eastAsia="Calibri"/>
          <w:lang w:val="en-US" w:eastAsia="bg-BG"/>
        </w:rPr>
        <w:t xml:space="preserve"> </w:t>
      </w:r>
      <w:proofErr w:type="spellStart"/>
      <w:r w:rsidRPr="00910F24">
        <w:rPr>
          <w:rFonts w:eastAsia="Calibri"/>
          <w:lang w:val="en-US" w:eastAsia="bg-BG"/>
        </w:rPr>
        <w:t>адрес</w:t>
      </w:r>
      <w:proofErr w:type="spellEnd"/>
      <w:r w:rsidRPr="00910F24">
        <w:rPr>
          <w:rFonts w:eastAsia="Calibri"/>
          <w:lang w:val="en-US" w:eastAsia="bg-BG"/>
        </w:rPr>
        <w:t>:</w:t>
      </w:r>
      <w:r w:rsidR="00F2122A">
        <w:rPr>
          <w:rFonts w:eastAsia="Calibri"/>
          <w:lang w:val="bg-BG" w:eastAsia="bg-BG"/>
        </w:rPr>
        <w:t xml:space="preserve"> </w:t>
      </w:r>
      <w:hyperlink r:id="rId38" w:history="1">
        <w:r w:rsidRPr="00910F24">
          <w:rPr>
            <w:rStyle w:val="Hyperlink"/>
            <w:rFonts w:eastAsia="Calibri"/>
            <w:lang w:val="en-US" w:eastAsia="bg-BG"/>
          </w:rPr>
          <w:t>https://enims.egov.bg/bg/s/Default/Index</w:t>
        </w:r>
      </w:hyperlink>
    </w:p>
    <w:p w14:paraId="308B4BDF" w14:textId="77777777"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lang w:val="en-US" w:eastAsia="bg-BG"/>
        </w:rPr>
        <w:t>Документите</w:t>
      </w:r>
      <w:proofErr w:type="spellEnd"/>
      <w:r w:rsidRPr="00910F24">
        <w:rPr>
          <w:rFonts w:eastAsia="Calibri"/>
          <w:lang w:val="en-US" w:eastAsia="bg-BG"/>
        </w:rPr>
        <w:t xml:space="preserve"> </w:t>
      </w:r>
      <w:proofErr w:type="spellStart"/>
      <w:r w:rsidRPr="00910F24">
        <w:rPr>
          <w:rFonts w:eastAsia="Calibri"/>
          <w:lang w:val="en-US" w:eastAsia="bg-BG"/>
        </w:rPr>
        <w:t>следва</w:t>
      </w:r>
      <w:proofErr w:type="spellEnd"/>
      <w:r w:rsidRPr="00910F24">
        <w:rPr>
          <w:rFonts w:eastAsia="Calibri"/>
          <w:lang w:val="en-US" w:eastAsia="bg-BG"/>
        </w:rPr>
        <w:t xml:space="preserve"> </w:t>
      </w:r>
      <w:proofErr w:type="spellStart"/>
      <w:r w:rsidRPr="00910F24">
        <w:rPr>
          <w:rFonts w:eastAsia="Calibri"/>
          <w:lang w:val="en-US" w:eastAsia="bg-BG"/>
        </w:rPr>
        <w:t>да</w:t>
      </w:r>
      <w:proofErr w:type="spellEnd"/>
      <w:r w:rsidRPr="00910F24">
        <w:rPr>
          <w:rFonts w:eastAsia="Calibri"/>
          <w:lang w:val="en-US" w:eastAsia="bg-BG"/>
        </w:rPr>
        <w:t xml:space="preserve"> </w:t>
      </w:r>
      <w:proofErr w:type="spellStart"/>
      <w:r w:rsidRPr="00910F24">
        <w:rPr>
          <w:rFonts w:eastAsia="Calibri"/>
          <w:lang w:val="en-US" w:eastAsia="bg-BG"/>
        </w:rPr>
        <w:t>са</w:t>
      </w:r>
      <w:proofErr w:type="spellEnd"/>
      <w:r w:rsidRPr="00910F24">
        <w:rPr>
          <w:rFonts w:eastAsia="Calibri"/>
          <w:lang w:val="en-US" w:eastAsia="bg-BG"/>
        </w:rPr>
        <w:t xml:space="preserve"> </w:t>
      </w:r>
      <w:proofErr w:type="spellStart"/>
      <w:r w:rsidRPr="00910F24">
        <w:rPr>
          <w:rFonts w:eastAsia="Calibri"/>
          <w:lang w:val="en-US" w:eastAsia="bg-BG"/>
        </w:rPr>
        <w:t>подписани</w:t>
      </w:r>
      <w:proofErr w:type="spellEnd"/>
      <w:r w:rsidRPr="00910F24">
        <w:rPr>
          <w:rFonts w:eastAsia="Calibri"/>
          <w:lang w:val="en-US" w:eastAsia="bg-BG"/>
        </w:rPr>
        <w:t xml:space="preserve"> с </w:t>
      </w:r>
      <w:proofErr w:type="spellStart"/>
      <w:r w:rsidRPr="00910F24">
        <w:rPr>
          <w:rFonts w:eastAsia="Calibri"/>
          <w:lang w:val="en-US" w:eastAsia="bg-BG"/>
        </w:rPr>
        <w:t>електронен</w:t>
      </w:r>
      <w:proofErr w:type="spellEnd"/>
      <w:r w:rsidRPr="00910F24">
        <w:rPr>
          <w:rFonts w:eastAsia="Calibri"/>
          <w:lang w:val="en-US" w:eastAsia="bg-BG"/>
        </w:rPr>
        <w:t xml:space="preserve"> </w:t>
      </w:r>
      <w:proofErr w:type="spellStart"/>
      <w:r w:rsidRPr="00910F24">
        <w:rPr>
          <w:rFonts w:eastAsia="Calibri"/>
          <w:lang w:val="en-US" w:eastAsia="bg-BG"/>
        </w:rPr>
        <w:t>подпис</w:t>
      </w:r>
      <w:proofErr w:type="spellEnd"/>
      <w:r w:rsidRPr="00910F24">
        <w:rPr>
          <w:rFonts w:eastAsia="Calibri"/>
          <w:lang w:val="en-US" w:eastAsia="bg-BG"/>
        </w:rPr>
        <w:t xml:space="preserve">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ръководителя</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юридическото</w:t>
      </w:r>
      <w:proofErr w:type="spellEnd"/>
      <w:r w:rsidRPr="00910F24">
        <w:rPr>
          <w:rFonts w:eastAsia="Calibri"/>
          <w:lang w:val="en-US" w:eastAsia="bg-BG"/>
        </w:rPr>
        <w:t xml:space="preserve"> </w:t>
      </w:r>
      <w:proofErr w:type="spellStart"/>
      <w:r w:rsidRPr="00910F24">
        <w:rPr>
          <w:rFonts w:eastAsia="Calibri"/>
          <w:lang w:val="en-US" w:eastAsia="bg-BG"/>
        </w:rPr>
        <w:t>лице</w:t>
      </w:r>
      <w:proofErr w:type="spellEnd"/>
      <w:r w:rsidRPr="00910F24">
        <w:rPr>
          <w:rFonts w:eastAsia="Calibri"/>
          <w:lang w:val="en-US" w:eastAsia="bg-BG"/>
        </w:rPr>
        <w:t xml:space="preserve"> - </w:t>
      </w:r>
      <w:proofErr w:type="spellStart"/>
      <w:r w:rsidRPr="00910F24">
        <w:rPr>
          <w:rFonts w:eastAsia="Calibri"/>
          <w:lang w:val="en-US" w:eastAsia="bg-BG"/>
        </w:rPr>
        <w:t>кандидат</w:t>
      </w:r>
      <w:proofErr w:type="spellEnd"/>
      <w:r w:rsidRPr="00910F24">
        <w:rPr>
          <w:rFonts w:eastAsia="Calibri"/>
          <w:lang w:val="en-US" w:eastAsia="bg-BG"/>
        </w:rPr>
        <w:t xml:space="preserve">. </w:t>
      </w:r>
      <w:proofErr w:type="spellStart"/>
      <w:r w:rsidRPr="00910F24">
        <w:rPr>
          <w:rFonts w:eastAsia="Calibri"/>
          <w:lang w:val="en-US" w:eastAsia="bg-BG"/>
        </w:rPr>
        <w:t>Всички</w:t>
      </w:r>
      <w:proofErr w:type="spellEnd"/>
      <w:r w:rsidRPr="00910F24">
        <w:rPr>
          <w:rFonts w:eastAsia="Calibri"/>
          <w:lang w:val="en-US" w:eastAsia="bg-BG"/>
        </w:rPr>
        <w:t xml:space="preserve"> </w:t>
      </w:r>
      <w:proofErr w:type="spellStart"/>
      <w:r w:rsidRPr="00910F24">
        <w:rPr>
          <w:rFonts w:eastAsia="Calibri"/>
          <w:lang w:val="en-US" w:eastAsia="bg-BG"/>
        </w:rPr>
        <w:t>декларации</w:t>
      </w:r>
      <w:proofErr w:type="spellEnd"/>
      <w:r w:rsidRPr="00910F24">
        <w:rPr>
          <w:rFonts w:eastAsia="Calibri"/>
          <w:lang w:val="en-US" w:eastAsia="bg-BG"/>
        </w:rPr>
        <w:t xml:space="preserve"> </w:t>
      </w:r>
      <w:proofErr w:type="spellStart"/>
      <w:r w:rsidRPr="00910F24">
        <w:rPr>
          <w:rFonts w:eastAsia="Calibri"/>
          <w:lang w:val="en-US" w:eastAsia="bg-BG"/>
        </w:rPr>
        <w:t>се</w:t>
      </w:r>
      <w:proofErr w:type="spellEnd"/>
      <w:r w:rsidRPr="00910F24">
        <w:rPr>
          <w:rFonts w:eastAsia="Calibri"/>
          <w:lang w:val="en-US" w:eastAsia="bg-BG"/>
        </w:rPr>
        <w:t xml:space="preserve"> </w:t>
      </w:r>
      <w:proofErr w:type="spellStart"/>
      <w:r w:rsidRPr="00910F24">
        <w:rPr>
          <w:rFonts w:eastAsia="Calibri"/>
          <w:lang w:val="en-US" w:eastAsia="bg-BG"/>
        </w:rPr>
        <w:t>прилагат</w:t>
      </w:r>
      <w:proofErr w:type="spellEnd"/>
      <w:r w:rsidRPr="00910F24">
        <w:rPr>
          <w:rFonts w:eastAsia="Calibri"/>
          <w:lang w:val="en-US" w:eastAsia="bg-BG"/>
        </w:rPr>
        <w:t xml:space="preserve"> </w:t>
      </w:r>
      <w:proofErr w:type="spellStart"/>
      <w:r w:rsidRPr="00910F24">
        <w:rPr>
          <w:rFonts w:eastAsia="Calibri"/>
          <w:lang w:val="en-US" w:eastAsia="bg-BG"/>
        </w:rPr>
        <w:t>подписани</w:t>
      </w:r>
      <w:proofErr w:type="spellEnd"/>
      <w:r w:rsidRPr="00910F24">
        <w:rPr>
          <w:rFonts w:eastAsia="Calibri"/>
          <w:lang w:val="en-US" w:eastAsia="bg-BG"/>
        </w:rPr>
        <w:t xml:space="preserve"> и </w:t>
      </w:r>
      <w:proofErr w:type="spellStart"/>
      <w:r w:rsidRPr="00910F24">
        <w:rPr>
          <w:rFonts w:eastAsia="Calibri"/>
          <w:lang w:val="en-US" w:eastAsia="bg-BG"/>
        </w:rPr>
        <w:t>сканирани</w:t>
      </w:r>
      <w:proofErr w:type="spellEnd"/>
      <w:r w:rsidRPr="00910F24">
        <w:rPr>
          <w:rFonts w:eastAsia="Calibri"/>
          <w:lang w:val="en-US" w:eastAsia="bg-BG"/>
        </w:rPr>
        <w:t xml:space="preserve">. </w:t>
      </w:r>
      <w:proofErr w:type="spellStart"/>
      <w:r w:rsidRPr="00910F24">
        <w:rPr>
          <w:rFonts w:eastAsia="Calibri"/>
          <w:lang w:val="en-US" w:eastAsia="bg-BG"/>
        </w:rPr>
        <w:t>При</w:t>
      </w:r>
      <w:proofErr w:type="spellEnd"/>
      <w:r w:rsidRPr="00910F24">
        <w:rPr>
          <w:rFonts w:eastAsia="Calibri"/>
          <w:lang w:val="en-US" w:eastAsia="bg-BG"/>
        </w:rPr>
        <w:t xml:space="preserve"> </w:t>
      </w:r>
      <w:proofErr w:type="spellStart"/>
      <w:r w:rsidRPr="00910F24">
        <w:rPr>
          <w:rFonts w:eastAsia="Calibri"/>
          <w:lang w:val="en-US" w:eastAsia="bg-BG"/>
        </w:rPr>
        <w:t>електронното</w:t>
      </w:r>
      <w:proofErr w:type="spellEnd"/>
      <w:r w:rsidRPr="00910F24">
        <w:rPr>
          <w:rFonts w:eastAsia="Calibri"/>
          <w:lang w:val="en-US" w:eastAsia="bg-BG"/>
        </w:rPr>
        <w:t xml:space="preserve"> </w:t>
      </w:r>
      <w:proofErr w:type="spellStart"/>
      <w:r w:rsidRPr="00910F24">
        <w:rPr>
          <w:rFonts w:eastAsia="Calibri"/>
          <w:lang w:val="en-US" w:eastAsia="bg-BG"/>
        </w:rPr>
        <w:t>подаване</w:t>
      </w:r>
      <w:proofErr w:type="spellEnd"/>
      <w:r w:rsidRPr="00910F24">
        <w:rPr>
          <w:rFonts w:eastAsia="Calibri"/>
          <w:lang w:val="en-US" w:eastAsia="bg-BG"/>
        </w:rPr>
        <w:t xml:space="preserve"> </w:t>
      </w:r>
      <w:proofErr w:type="spellStart"/>
      <w:r w:rsidRPr="00910F24">
        <w:rPr>
          <w:rFonts w:eastAsia="Calibri"/>
          <w:lang w:val="en-US" w:eastAsia="bg-BG"/>
        </w:rPr>
        <w:t>всички</w:t>
      </w:r>
      <w:proofErr w:type="spellEnd"/>
      <w:r w:rsidRPr="00910F24">
        <w:rPr>
          <w:rFonts w:eastAsia="Calibri"/>
          <w:lang w:val="en-US" w:eastAsia="bg-BG"/>
        </w:rPr>
        <w:t xml:space="preserve"> </w:t>
      </w:r>
      <w:proofErr w:type="spellStart"/>
      <w:r w:rsidRPr="00910F24">
        <w:rPr>
          <w:rFonts w:eastAsia="Calibri"/>
          <w:lang w:val="en-US" w:eastAsia="bg-BG"/>
        </w:rPr>
        <w:t>документи</w:t>
      </w:r>
      <w:proofErr w:type="spellEnd"/>
      <w:r w:rsidRPr="00910F24">
        <w:rPr>
          <w:rFonts w:eastAsia="Calibri"/>
          <w:lang w:val="en-US" w:eastAsia="bg-BG"/>
        </w:rPr>
        <w:t xml:space="preserve"> </w:t>
      </w:r>
      <w:proofErr w:type="spellStart"/>
      <w:r w:rsidRPr="00910F24">
        <w:rPr>
          <w:rFonts w:eastAsia="Calibri"/>
          <w:lang w:val="en-US" w:eastAsia="bg-BG"/>
        </w:rPr>
        <w:t>трябва</w:t>
      </w:r>
      <w:proofErr w:type="spellEnd"/>
      <w:r w:rsidRPr="00910F24">
        <w:rPr>
          <w:rFonts w:eastAsia="Calibri"/>
          <w:lang w:val="en-US" w:eastAsia="bg-BG"/>
        </w:rPr>
        <w:t xml:space="preserve"> </w:t>
      </w:r>
      <w:proofErr w:type="spellStart"/>
      <w:r w:rsidRPr="00910F24">
        <w:rPr>
          <w:rFonts w:eastAsia="Calibri"/>
          <w:lang w:val="en-US" w:eastAsia="bg-BG"/>
        </w:rPr>
        <w:t>да</w:t>
      </w:r>
      <w:proofErr w:type="spellEnd"/>
      <w:r w:rsidRPr="00910F24">
        <w:rPr>
          <w:rFonts w:eastAsia="Calibri"/>
          <w:lang w:val="en-US" w:eastAsia="bg-BG"/>
        </w:rPr>
        <w:t xml:space="preserve"> </w:t>
      </w:r>
      <w:proofErr w:type="spellStart"/>
      <w:r w:rsidRPr="00910F24">
        <w:rPr>
          <w:rFonts w:eastAsia="Calibri"/>
          <w:lang w:val="en-US" w:eastAsia="bg-BG"/>
        </w:rPr>
        <w:t>бъдат</w:t>
      </w:r>
      <w:proofErr w:type="spellEnd"/>
      <w:r w:rsidRPr="00910F24">
        <w:rPr>
          <w:rFonts w:eastAsia="Calibri"/>
          <w:lang w:val="en-US" w:eastAsia="bg-BG"/>
        </w:rPr>
        <w:t xml:space="preserve"> </w:t>
      </w:r>
      <w:proofErr w:type="spellStart"/>
      <w:r w:rsidRPr="00910F24">
        <w:rPr>
          <w:rFonts w:eastAsia="Calibri"/>
          <w:lang w:val="en-US" w:eastAsia="bg-BG"/>
        </w:rPr>
        <w:t>подадени</w:t>
      </w:r>
      <w:proofErr w:type="spellEnd"/>
      <w:r w:rsidRPr="00910F24">
        <w:rPr>
          <w:rFonts w:eastAsia="Calibri"/>
          <w:lang w:val="en-US" w:eastAsia="bg-BG"/>
        </w:rPr>
        <w:t xml:space="preserve"> в </w:t>
      </w:r>
      <w:proofErr w:type="spellStart"/>
      <w:r w:rsidRPr="00910F24">
        <w:rPr>
          <w:rFonts w:eastAsia="Calibri"/>
          <w:lang w:val="en-US" w:eastAsia="bg-BG"/>
        </w:rPr>
        <w:t>съответните</w:t>
      </w:r>
      <w:proofErr w:type="spellEnd"/>
      <w:r w:rsidRPr="00910F24">
        <w:rPr>
          <w:rFonts w:eastAsia="Calibri"/>
          <w:lang w:val="en-US" w:eastAsia="bg-BG"/>
        </w:rPr>
        <w:t xml:space="preserve"> </w:t>
      </w:r>
      <w:proofErr w:type="spellStart"/>
      <w:r w:rsidRPr="00910F24">
        <w:rPr>
          <w:rFonts w:eastAsia="Calibri"/>
          <w:lang w:val="en-US" w:eastAsia="bg-BG"/>
        </w:rPr>
        <w:t>позиции</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формата</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електронно</w:t>
      </w:r>
      <w:proofErr w:type="spellEnd"/>
      <w:r w:rsidRPr="00910F24">
        <w:rPr>
          <w:rFonts w:eastAsia="Calibri"/>
          <w:lang w:val="en-US" w:eastAsia="bg-BG"/>
        </w:rPr>
        <w:t xml:space="preserve"> </w:t>
      </w:r>
      <w:proofErr w:type="spellStart"/>
      <w:r w:rsidRPr="00910F24">
        <w:rPr>
          <w:rFonts w:eastAsia="Calibri"/>
          <w:lang w:val="en-US" w:eastAsia="bg-BG"/>
        </w:rPr>
        <w:t>подаване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проектните</w:t>
      </w:r>
      <w:proofErr w:type="spellEnd"/>
      <w:r w:rsidRPr="00910F24">
        <w:rPr>
          <w:rFonts w:eastAsia="Calibri"/>
          <w:lang w:val="en-US" w:eastAsia="bg-BG"/>
        </w:rPr>
        <w:t xml:space="preserve"> </w:t>
      </w:r>
      <w:proofErr w:type="spellStart"/>
      <w:r w:rsidRPr="00910F24">
        <w:rPr>
          <w:rFonts w:eastAsia="Calibri"/>
          <w:lang w:val="en-US" w:eastAsia="bg-BG"/>
        </w:rPr>
        <w:t>предложения</w:t>
      </w:r>
      <w:proofErr w:type="spellEnd"/>
      <w:r w:rsidRPr="00910F24">
        <w:rPr>
          <w:rFonts w:eastAsia="Calibri"/>
          <w:lang w:val="en-US" w:eastAsia="bg-BG"/>
        </w:rPr>
        <w:t xml:space="preserve">. </w:t>
      </w:r>
      <w:proofErr w:type="spellStart"/>
      <w:r w:rsidRPr="00910F24">
        <w:rPr>
          <w:rFonts w:eastAsia="Calibri"/>
          <w:lang w:val="en-US" w:eastAsia="bg-BG"/>
        </w:rPr>
        <w:t>Крайното</w:t>
      </w:r>
      <w:proofErr w:type="spellEnd"/>
      <w:r w:rsidRPr="00910F24">
        <w:rPr>
          <w:rFonts w:eastAsia="Calibri"/>
          <w:lang w:val="en-US" w:eastAsia="bg-BG"/>
        </w:rPr>
        <w:t xml:space="preserve"> </w:t>
      </w:r>
      <w:proofErr w:type="spellStart"/>
      <w:r w:rsidRPr="00910F24">
        <w:rPr>
          <w:rFonts w:eastAsia="Calibri"/>
          <w:lang w:val="en-US" w:eastAsia="bg-BG"/>
        </w:rPr>
        <w:t>подаване</w:t>
      </w:r>
      <w:proofErr w:type="spellEnd"/>
      <w:r w:rsidRPr="00910F24">
        <w:rPr>
          <w:rFonts w:eastAsia="Calibri"/>
          <w:lang w:val="en-US" w:eastAsia="bg-BG"/>
        </w:rPr>
        <w:t xml:space="preserve"> </w:t>
      </w:r>
      <w:proofErr w:type="spellStart"/>
      <w:r w:rsidRPr="00910F24">
        <w:rPr>
          <w:rFonts w:eastAsia="Calibri"/>
          <w:lang w:val="en-US" w:eastAsia="bg-BG"/>
        </w:rPr>
        <w:t>се</w:t>
      </w:r>
      <w:proofErr w:type="spellEnd"/>
      <w:r w:rsidRPr="00910F24">
        <w:rPr>
          <w:rFonts w:eastAsia="Calibri"/>
          <w:lang w:val="en-US" w:eastAsia="bg-BG"/>
        </w:rPr>
        <w:t xml:space="preserve"> </w:t>
      </w:r>
      <w:proofErr w:type="spellStart"/>
      <w:r w:rsidRPr="00910F24">
        <w:rPr>
          <w:rFonts w:eastAsia="Calibri"/>
          <w:lang w:val="en-US" w:eastAsia="bg-BG"/>
        </w:rPr>
        <w:t>извършва</w:t>
      </w:r>
      <w:proofErr w:type="spellEnd"/>
      <w:r w:rsidRPr="00910F24">
        <w:rPr>
          <w:rFonts w:eastAsia="Calibri"/>
          <w:lang w:val="en-US" w:eastAsia="bg-BG"/>
        </w:rPr>
        <w:t xml:space="preserve"> </w:t>
      </w:r>
      <w:proofErr w:type="spellStart"/>
      <w:r w:rsidRPr="00910F24">
        <w:rPr>
          <w:rFonts w:eastAsia="Calibri"/>
          <w:lang w:val="en-US" w:eastAsia="bg-BG"/>
        </w:rPr>
        <w:t>чрез</w:t>
      </w:r>
      <w:proofErr w:type="spellEnd"/>
      <w:r w:rsidRPr="00910F24">
        <w:rPr>
          <w:rFonts w:eastAsia="Calibri"/>
          <w:lang w:val="en-US" w:eastAsia="bg-BG"/>
        </w:rPr>
        <w:t xml:space="preserve"> </w:t>
      </w:r>
      <w:proofErr w:type="spellStart"/>
      <w:r w:rsidRPr="00910F24">
        <w:rPr>
          <w:rFonts w:eastAsia="Calibri"/>
          <w:lang w:val="en-US" w:eastAsia="bg-BG"/>
        </w:rPr>
        <w:t>използване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електронен</w:t>
      </w:r>
      <w:proofErr w:type="spellEnd"/>
      <w:r w:rsidRPr="00910F24">
        <w:rPr>
          <w:rFonts w:eastAsia="Calibri"/>
          <w:lang w:val="en-US" w:eastAsia="bg-BG"/>
        </w:rPr>
        <w:t xml:space="preserve"> </w:t>
      </w:r>
      <w:proofErr w:type="spellStart"/>
      <w:r w:rsidRPr="00910F24">
        <w:rPr>
          <w:rFonts w:eastAsia="Calibri"/>
          <w:lang w:val="en-US" w:eastAsia="bg-BG"/>
        </w:rPr>
        <w:t>подпис</w:t>
      </w:r>
      <w:proofErr w:type="spellEnd"/>
      <w:r w:rsidRPr="00910F24">
        <w:rPr>
          <w:rFonts w:eastAsia="Calibri"/>
          <w:lang w:val="en-US" w:eastAsia="bg-BG"/>
        </w:rPr>
        <w:t xml:space="preserve">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ръководителя</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юридическото</w:t>
      </w:r>
      <w:proofErr w:type="spellEnd"/>
      <w:r w:rsidRPr="00910F24">
        <w:rPr>
          <w:rFonts w:eastAsia="Calibri"/>
          <w:lang w:val="en-US" w:eastAsia="bg-BG"/>
        </w:rPr>
        <w:t xml:space="preserve"> </w:t>
      </w:r>
      <w:proofErr w:type="spellStart"/>
      <w:r w:rsidRPr="00910F24">
        <w:rPr>
          <w:rFonts w:eastAsia="Calibri"/>
          <w:lang w:val="en-US" w:eastAsia="bg-BG"/>
        </w:rPr>
        <w:t>лице</w:t>
      </w:r>
      <w:proofErr w:type="spellEnd"/>
      <w:r w:rsidRPr="00910F24">
        <w:rPr>
          <w:rFonts w:eastAsia="Calibri"/>
          <w:lang w:val="en-US" w:eastAsia="bg-BG"/>
        </w:rPr>
        <w:t xml:space="preserve"> - </w:t>
      </w:r>
      <w:proofErr w:type="spellStart"/>
      <w:r w:rsidRPr="00910F24">
        <w:rPr>
          <w:rFonts w:eastAsia="Calibri"/>
          <w:lang w:val="en-US" w:eastAsia="bg-BG"/>
        </w:rPr>
        <w:t>кандидат</w:t>
      </w:r>
      <w:proofErr w:type="spellEnd"/>
      <w:r w:rsidRPr="00910F24">
        <w:rPr>
          <w:rFonts w:eastAsia="Calibri"/>
          <w:lang w:val="en-US" w:eastAsia="bg-BG"/>
        </w:rPr>
        <w:t xml:space="preserve"> и е </w:t>
      </w:r>
      <w:proofErr w:type="spellStart"/>
      <w:r w:rsidRPr="00910F24">
        <w:rPr>
          <w:rFonts w:eastAsia="Calibri"/>
          <w:lang w:val="en-US" w:eastAsia="bg-BG"/>
        </w:rPr>
        <w:t>описано</w:t>
      </w:r>
      <w:proofErr w:type="spellEnd"/>
      <w:r w:rsidRPr="00910F24">
        <w:rPr>
          <w:rFonts w:eastAsia="Calibri"/>
          <w:lang w:val="en-US" w:eastAsia="bg-BG"/>
        </w:rPr>
        <w:t xml:space="preserve"> в </w:t>
      </w:r>
      <w:proofErr w:type="spellStart"/>
      <w:r w:rsidRPr="00910F24">
        <w:rPr>
          <w:rFonts w:eastAsia="Calibri"/>
          <w:lang w:val="en-US" w:eastAsia="bg-BG"/>
        </w:rPr>
        <w:t>техническите</w:t>
      </w:r>
      <w:proofErr w:type="spellEnd"/>
      <w:r w:rsidRPr="00910F24">
        <w:rPr>
          <w:rFonts w:eastAsia="Calibri"/>
          <w:lang w:val="en-US" w:eastAsia="bg-BG"/>
        </w:rPr>
        <w:t xml:space="preserve"> </w:t>
      </w:r>
      <w:proofErr w:type="spellStart"/>
      <w:r w:rsidRPr="00910F24">
        <w:rPr>
          <w:rFonts w:eastAsia="Calibri"/>
          <w:lang w:val="en-US" w:eastAsia="bg-BG"/>
        </w:rPr>
        <w:t>указания</w:t>
      </w:r>
      <w:proofErr w:type="spellEnd"/>
      <w:r w:rsidRPr="00910F24">
        <w:rPr>
          <w:rFonts w:eastAsia="Calibri"/>
          <w:lang w:val="en-US" w:eastAsia="bg-BG"/>
        </w:rPr>
        <w:t xml:space="preserve"> (</w:t>
      </w:r>
      <w:proofErr w:type="spellStart"/>
      <w:r w:rsidRPr="00910F24">
        <w:rPr>
          <w:rFonts w:eastAsia="Calibri"/>
          <w:lang w:val="en-US" w:eastAsia="bg-BG"/>
        </w:rPr>
        <w:t>отделен</w:t>
      </w:r>
      <w:proofErr w:type="spellEnd"/>
      <w:r w:rsidRPr="00910F24">
        <w:rPr>
          <w:rFonts w:eastAsia="Calibri"/>
          <w:lang w:val="en-US" w:eastAsia="bg-BG"/>
        </w:rPr>
        <w:t xml:space="preserve"> </w:t>
      </w:r>
      <w:proofErr w:type="spellStart"/>
      <w:r w:rsidRPr="00910F24">
        <w:rPr>
          <w:rFonts w:eastAsia="Calibri"/>
          <w:lang w:val="en-US" w:eastAsia="bg-BG"/>
        </w:rPr>
        <w:t>файл</w:t>
      </w:r>
      <w:proofErr w:type="spellEnd"/>
      <w:r w:rsidRPr="00910F24">
        <w:rPr>
          <w:rFonts w:eastAsia="Calibri"/>
          <w:lang w:val="en-US" w:eastAsia="bg-BG"/>
        </w:rPr>
        <w:t>).</w:t>
      </w:r>
    </w:p>
    <w:p w14:paraId="3F027433" w14:textId="24DD77F3"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lang w:val="en-US" w:eastAsia="bg-BG"/>
        </w:rPr>
        <w:t>Проектното</w:t>
      </w:r>
      <w:proofErr w:type="spellEnd"/>
      <w:r w:rsidRPr="00910F24">
        <w:rPr>
          <w:rFonts w:eastAsia="Calibri"/>
          <w:lang w:val="en-US" w:eastAsia="bg-BG"/>
        </w:rPr>
        <w:t xml:space="preserve"> </w:t>
      </w:r>
      <w:proofErr w:type="spellStart"/>
      <w:r w:rsidRPr="00910F24">
        <w:rPr>
          <w:rFonts w:eastAsia="Calibri"/>
          <w:lang w:val="en-US" w:eastAsia="bg-BG"/>
        </w:rPr>
        <w:t>предложение</w:t>
      </w:r>
      <w:proofErr w:type="spellEnd"/>
      <w:r w:rsidRPr="00910F24">
        <w:rPr>
          <w:rFonts w:eastAsia="Calibri"/>
          <w:lang w:val="en-US" w:eastAsia="bg-BG"/>
        </w:rPr>
        <w:t xml:space="preserve"> </w:t>
      </w:r>
      <w:proofErr w:type="spellStart"/>
      <w:r w:rsidRPr="00910F24">
        <w:rPr>
          <w:rFonts w:eastAsia="Calibri"/>
          <w:lang w:val="en-US" w:eastAsia="bg-BG"/>
        </w:rPr>
        <w:t>включва</w:t>
      </w:r>
      <w:proofErr w:type="spellEnd"/>
      <w:r w:rsidRPr="00910F24">
        <w:rPr>
          <w:rFonts w:eastAsia="Calibri"/>
          <w:lang w:val="en-US" w:eastAsia="bg-BG"/>
        </w:rPr>
        <w:t xml:space="preserve"> </w:t>
      </w:r>
      <w:proofErr w:type="spellStart"/>
      <w:r w:rsidRPr="00910F24">
        <w:rPr>
          <w:rFonts w:eastAsia="Calibri"/>
          <w:lang w:val="en-US" w:eastAsia="bg-BG"/>
        </w:rPr>
        <w:t>административно</w:t>
      </w:r>
      <w:proofErr w:type="spellEnd"/>
      <w:r w:rsidRPr="00910F24">
        <w:rPr>
          <w:rFonts w:eastAsia="Calibri"/>
          <w:lang w:val="en-US" w:eastAsia="bg-BG"/>
        </w:rPr>
        <w:t xml:space="preserve"> </w:t>
      </w:r>
      <w:proofErr w:type="spellStart"/>
      <w:r w:rsidRPr="00910F24">
        <w:rPr>
          <w:rFonts w:eastAsia="Calibri"/>
          <w:lang w:val="en-US" w:eastAsia="bg-BG"/>
        </w:rPr>
        <w:t>описание</w:t>
      </w:r>
      <w:proofErr w:type="spellEnd"/>
      <w:r w:rsidRPr="00910F24">
        <w:rPr>
          <w:rFonts w:eastAsia="Calibri"/>
          <w:lang w:val="en-US" w:eastAsia="bg-BG"/>
        </w:rPr>
        <w:t xml:space="preserve"> и </w:t>
      </w:r>
      <w:proofErr w:type="spellStart"/>
      <w:r w:rsidRPr="00910F24">
        <w:rPr>
          <w:rFonts w:eastAsia="Calibri"/>
          <w:lang w:val="en-US" w:eastAsia="bg-BG"/>
        </w:rPr>
        <w:t>съответните</w:t>
      </w:r>
      <w:proofErr w:type="spellEnd"/>
      <w:r w:rsidRPr="00910F24">
        <w:rPr>
          <w:rFonts w:eastAsia="Calibri"/>
          <w:lang w:val="en-US" w:eastAsia="bg-BG"/>
        </w:rPr>
        <w:t xml:space="preserve"> </w:t>
      </w:r>
      <w:proofErr w:type="spellStart"/>
      <w:r w:rsidRPr="00910F24">
        <w:rPr>
          <w:rFonts w:eastAsia="Calibri"/>
          <w:lang w:val="en-US" w:eastAsia="bg-BG"/>
        </w:rPr>
        <w:t>приложения</w:t>
      </w:r>
      <w:proofErr w:type="spellEnd"/>
      <w:r w:rsidRPr="00910F24">
        <w:rPr>
          <w:rFonts w:eastAsia="Calibri"/>
          <w:lang w:val="en-US" w:eastAsia="bg-BG"/>
        </w:rPr>
        <w:t xml:space="preserve"> </w:t>
      </w:r>
      <w:proofErr w:type="spellStart"/>
      <w:r w:rsidRPr="00910F24">
        <w:rPr>
          <w:rFonts w:eastAsia="Calibri"/>
          <w:lang w:val="en-US" w:eastAsia="bg-BG"/>
        </w:rPr>
        <w:t>към</w:t>
      </w:r>
      <w:proofErr w:type="spellEnd"/>
      <w:r w:rsidRPr="00910F24">
        <w:rPr>
          <w:rFonts w:eastAsia="Calibri"/>
          <w:lang w:val="en-US" w:eastAsia="bg-BG"/>
        </w:rPr>
        <w:t xml:space="preserve"> </w:t>
      </w:r>
      <w:proofErr w:type="spellStart"/>
      <w:r w:rsidRPr="00910F24">
        <w:rPr>
          <w:rFonts w:eastAsia="Calibri"/>
          <w:lang w:val="en-US" w:eastAsia="bg-BG"/>
        </w:rPr>
        <w:t>него</w:t>
      </w:r>
      <w:proofErr w:type="spellEnd"/>
      <w:r w:rsidRPr="00910F24">
        <w:rPr>
          <w:rFonts w:eastAsia="Calibri"/>
          <w:lang w:val="en-US" w:eastAsia="bg-BG"/>
        </w:rPr>
        <w:t xml:space="preserve">, </w:t>
      </w:r>
      <w:proofErr w:type="spellStart"/>
      <w:r w:rsidRPr="00910F24">
        <w:rPr>
          <w:rFonts w:eastAsia="Calibri"/>
          <w:lang w:val="en-US" w:eastAsia="bg-BG"/>
        </w:rPr>
        <w:t>както</w:t>
      </w:r>
      <w:proofErr w:type="spellEnd"/>
      <w:r w:rsidRPr="00910F24">
        <w:rPr>
          <w:rFonts w:eastAsia="Calibri"/>
          <w:lang w:val="en-US" w:eastAsia="bg-BG"/>
        </w:rPr>
        <w:t xml:space="preserve"> </w:t>
      </w:r>
      <w:proofErr w:type="spellStart"/>
      <w:r w:rsidRPr="00910F24">
        <w:rPr>
          <w:rFonts w:eastAsia="Calibri"/>
          <w:lang w:val="en-US" w:eastAsia="bg-BG"/>
        </w:rPr>
        <w:t>следва</w:t>
      </w:r>
      <w:proofErr w:type="spellEnd"/>
      <w:r w:rsidRPr="00910F24">
        <w:rPr>
          <w:rFonts w:eastAsia="Calibri"/>
          <w:lang w:val="en-US" w:eastAsia="bg-BG"/>
        </w:rPr>
        <w:t>:</w:t>
      </w:r>
    </w:p>
    <w:p w14:paraId="5C309C5F" w14:textId="77777777" w:rsidR="00910F24" w:rsidRPr="00910F24" w:rsidRDefault="00910F24" w:rsidP="005D1D65">
      <w:pPr>
        <w:numPr>
          <w:ilvl w:val="0"/>
          <w:numId w:val="21"/>
        </w:numPr>
        <w:spacing w:before="120" w:after="120" w:line="276" w:lineRule="auto"/>
        <w:jc w:val="both"/>
        <w:rPr>
          <w:rFonts w:eastAsia="Calibri"/>
          <w:lang w:val="en-US" w:eastAsia="bg-BG"/>
        </w:rPr>
      </w:pPr>
      <w:proofErr w:type="spellStart"/>
      <w:r w:rsidRPr="00910F24">
        <w:rPr>
          <w:rFonts w:eastAsia="Calibri"/>
          <w:lang w:val="en-US" w:eastAsia="bg-BG"/>
        </w:rPr>
        <w:t>Работна</w:t>
      </w:r>
      <w:proofErr w:type="spellEnd"/>
      <w:r w:rsidRPr="00910F24">
        <w:rPr>
          <w:rFonts w:eastAsia="Calibri"/>
          <w:lang w:val="en-US" w:eastAsia="bg-BG"/>
        </w:rPr>
        <w:t xml:space="preserve"> </w:t>
      </w:r>
      <w:proofErr w:type="spellStart"/>
      <w:r w:rsidRPr="00910F24">
        <w:rPr>
          <w:rFonts w:eastAsia="Calibri"/>
          <w:lang w:val="en-US" w:eastAsia="bg-BG"/>
        </w:rPr>
        <w:t>програма</w:t>
      </w:r>
      <w:proofErr w:type="spellEnd"/>
      <w:r w:rsidRPr="00910F24">
        <w:rPr>
          <w:rFonts w:eastAsia="Calibri"/>
          <w:lang w:val="en-US" w:eastAsia="bg-BG"/>
        </w:rPr>
        <w:t xml:space="preserve">, </w:t>
      </w:r>
      <w:proofErr w:type="spellStart"/>
      <w:r w:rsidRPr="00910F24">
        <w:rPr>
          <w:rFonts w:eastAsia="Calibri"/>
          <w:lang w:val="en-US" w:eastAsia="bg-BG"/>
        </w:rPr>
        <w:t>включваща</w:t>
      </w:r>
      <w:proofErr w:type="spellEnd"/>
      <w:r w:rsidRPr="00910F24">
        <w:rPr>
          <w:rFonts w:eastAsia="Calibri"/>
          <w:lang w:val="en-US" w:eastAsia="bg-BG"/>
        </w:rPr>
        <w:t xml:space="preserve"> </w:t>
      </w:r>
      <w:proofErr w:type="spellStart"/>
      <w:r w:rsidRPr="00910F24">
        <w:rPr>
          <w:rFonts w:eastAsia="Calibri"/>
          <w:lang w:val="en-US" w:eastAsia="bg-BG"/>
        </w:rPr>
        <w:t>подробна</w:t>
      </w:r>
      <w:proofErr w:type="spellEnd"/>
      <w:r w:rsidRPr="00910F24">
        <w:rPr>
          <w:rFonts w:eastAsia="Calibri"/>
          <w:lang w:val="en-US" w:eastAsia="bg-BG"/>
        </w:rPr>
        <w:t xml:space="preserve"> </w:t>
      </w:r>
      <w:proofErr w:type="spellStart"/>
      <w:r w:rsidRPr="00910F24">
        <w:rPr>
          <w:rFonts w:eastAsia="Calibri"/>
          <w:lang w:val="en-US" w:eastAsia="bg-BG"/>
        </w:rPr>
        <w:t>информация</w:t>
      </w:r>
      <w:proofErr w:type="spellEnd"/>
      <w:r w:rsidRPr="00910F24">
        <w:rPr>
          <w:rFonts w:eastAsia="Calibri"/>
          <w:lang w:val="en-US" w:eastAsia="bg-BG"/>
        </w:rPr>
        <w:t xml:space="preserve"> и </w:t>
      </w:r>
      <w:proofErr w:type="spellStart"/>
      <w:r w:rsidRPr="00910F24">
        <w:rPr>
          <w:rFonts w:eastAsia="Calibri"/>
          <w:lang w:val="en-US" w:eastAsia="bg-BG"/>
        </w:rPr>
        <w:t>план</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изпълнение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научните</w:t>
      </w:r>
      <w:proofErr w:type="spellEnd"/>
      <w:r w:rsidRPr="00910F24">
        <w:rPr>
          <w:rFonts w:eastAsia="Calibri"/>
          <w:lang w:val="en-US" w:eastAsia="bg-BG"/>
        </w:rPr>
        <w:t xml:space="preserve"> </w:t>
      </w:r>
      <w:proofErr w:type="spellStart"/>
      <w:r w:rsidRPr="00910F24">
        <w:rPr>
          <w:rFonts w:eastAsia="Calibri"/>
          <w:lang w:val="en-US" w:eastAsia="bg-BG"/>
        </w:rPr>
        <w:t>дейности</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българския</w:t>
      </w:r>
      <w:proofErr w:type="spellEnd"/>
      <w:r w:rsidRPr="00910F24">
        <w:rPr>
          <w:rFonts w:eastAsia="Calibri"/>
          <w:lang w:val="en-US" w:eastAsia="bg-BG"/>
        </w:rPr>
        <w:t xml:space="preserve"> </w:t>
      </w:r>
      <w:proofErr w:type="spellStart"/>
      <w:r w:rsidRPr="00910F24">
        <w:rPr>
          <w:rFonts w:eastAsia="Calibri"/>
          <w:lang w:val="en-US" w:eastAsia="bg-BG"/>
        </w:rPr>
        <w:t>колектив</w:t>
      </w:r>
      <w:proofErr w:type="spellEnd"/>
      <w:r w:rsidRPr="00910F24">
        <w:rPr>
          <w:rFonts w:eastAsia="Calibri"/>
          <w:lang w:val="en-US" w:eastAsia="bg-BG"/>
        </w:rPr>
        <w:t xml:space="preserve"> в </w:t>
      </w:r>
      <w:proofErr w:type="spellStart"/>
      <w:r w:rsidRPr="00910F24">
        <w:rPr>
          <w:rFonts w:eastAsia="Calibri"/>
          <w:lang w:val="en-US" w:eastAsia="bg-BG"/>
        </w:rPr>
        <w:t>работните</w:t>
      </w:r>
      <w:proofErr w:type="spellEnd"/>
      <w:r w:rsidRPr="00910F24">
        <w:rPr>
          <w:rFonts w:eastAsia="Calibri"/>
          <w:lang w:val="en-US" w:eastAsia="bg-BG"/>
        </w:rPr>
        <w:t xml:space="preserve"> </w:t>
      </w:r>
      <w:proofErr w:type="spellStart"/>
      <w:r w:rsidRPr="00910F24">
        <w:rPr>
          <w:rFonts w:eastAsia="Calibri"/>
          <w:lang w:val="en-US" w:eastAsia="bg-BG"/>
        </w:rPr>
        <w:t>групи</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COST </w:t>
      </w:r>
      <w:proofErr w:type="spellStart"/>
      <w:r w:rsidRPr="00910F24">
        <w:rPr>
          <w:rFonts w:eastAsia="Calibri"/>
          <w:lang w:val="en-US" w:eastAsia="bg-BG"/>
        </w:rPr>
        <w:t>Акцията</w:t>
      </w:r>
      <w:proofErr w:type="spellEnd"/>
      <w:r w:rsidRPr="00910F24">
        <w:rPr>
          <w:rFonts w:eastAsia="Calibri"/>
          <w:lang w:val="en-US" w:eastAsia="bg-BG"/>
        </w:rPr>
        <w:t xml:space="preserve"> с </w:t>
      </w:r>
      <w:proofErr w:type="spellStart"/>
      <w:r w:rsidRPr="00910F24">
        <w:rPr>
          <w:rFonts w:eastAsia="Calibri"/>
          <w:lang w:val="en-US" w:eastAsia="bg-BG"/>
        </w:rPr>
        <w:t>посочени</w:t>
      </w:r>
      <w:proofErr w:type="spellEnd"/>
      <w:r w:rsidRPr="00910F24">
        <w:rPr>
          <w:rFonts w:eastAsia="Calibri"/>
          <w:lang w:val="en-US" w:eastAsia="bg-BG"/>
        </w:rPr>
        <w:t xml:space="preserve"> </w:t>
      </w:r>
      <w:proofErr w:type="spellStart"/>
      <w:r w:rsidRPr="00910F24">
        <w:rPr>
          <w:rFonts w:eastAsia="Calibri"/>
          <w:lang w:val="en-US" w:eastAsia="bg-BG"/>
        </w:rPr>
        <w:t>изпълнители</w:t>
      </w:r>
      <w:proofErr w:type="spellEnd"/>
      <w:r w:rsidRPr="00910F24">
        <w:rPr>
          <w:rFonts w:eastAsia="Calibri"/>
          <w:lang w:val="en-US" w:eastAsia="bg-BG"/>
        </w:rPr>
        <w:t xml:space="preserve">, </w:t>
      </w:r>
      <w:proofErr w:type="spellStart"/>
      <w:r w:rsidRPr="00910F24">
        <w:rPr>
          <w:rFonts w:eastAsia="Calibri"/>
          <w:lang w:val="en-US" w:eastAsia="bg-BG"/>
        </w:rPr>
        <w:t>срокове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изпълнение</w:t>
      </w:r>
      <w:proofErr w:type="spellEnd"/>
      <w:r w:rsidRPr="00910F24">
        <w:rPr>
          <w:rFonts w:eastAsia="Calibri"/>
          <w:lang w:val="en-US" w:eastAsia="bg-BG"/>
        </w:rPr>
        <w:t xml:space="preserve"> и </w:t>
      </w:r>
      <w:proofErr w:type="spellStart"/>
      <w:r w:rsidRPr="00910F24">
        <w:rPr>
          <w:rFonts w:eastAsia="Calibri"/>
          <w:lang w:val="en-US" w:eastAsia="bg-BG"/>
        </w:rPr>
        <w:t>очаквани</w:t>
      </w:r>
      <w:proofErr w:type="spellEnd"/>
      <w:r w:rsidRPr="00910F24">
        <w:rPr>
          <w:rFonts w:eastAsia="Calibri"/>
          <w:lang w:val="en-US" w:eastAsia="bg-BG"/>
        </w:rPr>
        <w:t xml:space="preserve"> </w:t>
      </w:r>
      <w:proofErr w:type="spellStart"/>
      <w:r w:rsidRPr="00910F24">
        <w:rPr>
          <w:rFonts w:eastAsia="Calibri"/>
          <w:lang w:val="en-US" w:eastAsia="bg-BG"/>
        </w:rPr>
        <w:t>резултати</w:t>
      </w:r>
      <w:proofErr w:type="spellEnd"/>
      <w:r w:rsidRPr="00910F24">
        <w:rPr>
          <w:rFonts w:eastAsia="Calibri"/>
          <w:lang w:val="en-US" w:eastAsia="bg-BG"/>
        </w:rPr>
        <w:t>;</w:t>
      </w:r>
    </w:p>
    <w:p w14:paraId="4FEBCC2A" w14:textId="77777777" w:rsidR="00910F24" w:rsidRPr="00910F24" w:rsidRDefault="00910F24" w:rsidP="005D1D65">
      <w:pPr>
        <w:numPr>
          <w:ilvl w:val="0"/>
          <w:numId w:val="21"/>
        </w:numPr>
        <w:spacing w:before="120" w:after="120" w:line="276" w:lineRule="auto"/>
        <w:jc w:val="both"/>
        <w:rPr>
          <w:rFonts w:eastAsia="Calibri"/>
          <w:lang w:val="en-US" w:eastAsia="bg-BG"/>
        </w:rPr>
      </w:pPr>
      <w:proofErr w:type="spellStart"/>
      <w:r w:rsidRPr="00910F24">
        <w:rPr>
          <w:rFonts w:eastAsia="Calibri"/>
          <w:lang w:val="en-US" w:eastAsia="bg-BG"/>
        </w:rPr>
        <w:t>Финансов</w:t>
      </w:r>
      <w:proofErr w:type="spellEnd"/>
      <w:r w:rsidRPr="00910F24">
        <w:rPr>
          <w:rFonts w:eastAsia="Calibri"/>
          <w:lang w:val="en-US" w:eastAsia="bg-BG"/>
        </w:rPr>
        <w:t xml:space="preserve"> </w:t>
      </w:r>
      <w:proofErr w:type="spellStart"/>
      <w:r w:rsidRPr="00910F24">
        <w:rPr>
          <w:rFonts w:eastAsia="Calibri"/>
          <w:lang w:val="en-US" w:eastAsia="bg-BG"/>
        </w:rPr>
        <w:t>план</w:t>
      </w:r>
      <w:proofErr w:type="spellEnd"/>
      <w:r w:rsidRPr="00910F24">
        <w:rPr>
          <w:rFonts w:eastAsia="Calibri"/>
          <w:lang w:val="en-US" w:eastAsia="bg-BG"/>
        </w:rPr>
        <w:t xml:space="preserve">, </w:t>
      </w:r>
      <w:proofErr w:type="spellStart"/>
      <w:r w:rsidRPr="00910F24">
        <w:rPr>
          <w:rFonts w:eastAsia="Calibri"/>
          <w:lang w:val="en-US" w:eastAsia="bg-BG"/>
        </w:rPr>
        <w:t>включващ</w:t>
      </w:r>
      <w:proofErr w:type="spellEnd"/>
      <w:r w:rsidRPr="00910F24">
        <w:rPr>
          <w:rFonts w:eastAsia="Calibri"/>
          <w:lang w:val="en-US" w:eastAsia="bg-BG"/>
        </w:rPr>
        <w:t xml:space="preserve"> </w:t>
      </w:r>
      <w:proofErr w:type="spellStart"/>
      <w:r w:rsidRPr="00910F24">
        <w:rPr>
          <w:rFonts w:eastAsia="Calibri"/>
          <w:lang w:val="en-US" w:eastAsia="bg-BG"/>
        </w:rPr>
        <w:t>разпределение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финансовите</w:t>
      </w:r>
      <w:proofErr w:type="spellEnd"/>
      <w:r w:rsidRPr="00910F24">
        <w:rPr>
          <w:rFonts w:eastAsia="Calibri"/>
          <w:lang w:val="en-US" w:eastAsia="bg-BG"/>
        </w:rPr>
        <w:t xml:space="preserve"> </w:t>
      </w:r>
      <w:proofErr w:type="spellStart"/>
      <w:r w:rsidRPr="00910F24">
        <w:rPr>
          <w:rFonts w:eastAsia="Calibri"/>
          <w:lang w:val="en-US" w:eastAsia="bg-BG"/>
        </w:rPr>
        <w:t>средства</w:t>
      </w:r>
      <w:proofErr w:type="spellEnd"/>
      <w:r w:rsidRPr="00910F24">
        <w:rPr>
          <w:rFonts w:eastAsia="Calibri"/>
          <w:lang w:val="en-US" w:eastAsia="bg-BG"/>
        </w:rPr>
        <w:t xml:space="preserve"> по </w:t>
      </w:r>
      <w:proofErr w:type="spellStart"/>
      <w:r w:rsidRPr="00910F24">
        <w:rPr>
          <w:rFonts w:eastAsia="Calibri"/>
          <w:lang w:val="en-US" w:eastAsia="bg-BG"/>
        </w:rPr>
        <w:t>пера</w:t>
      </w:r>
      <w:proofErr w:type="spellEnd"/>
      <w:r w:rsidRPr="00910F24">
        <w:rPr>
          <w:rFonts w:eastAsia="Calibri"/>
          <w:lang w:val="en-US" w:eastAsia="bg-BG"/>
        </w:rPr>
        <w:t xml:space="preserve">, </w:t>
      </w:r>
      <w:proofErr w:type="spellStart"/>
      <w:r w:rsidRPr="00910F24">
        <w:rPr>
          <w:rFonts w:eastAsia="Calibri"/>
          <w:lang w:val="en-US" w:eastAsia="bg-BG"/>
        </w:rPr>
        <w:t>придружен</w:t>
      </w:r>
      <w:proofErr w:type="spellEnd"/>
      <w:r w:rsidRPr="00910F24">
        <w:rPr>
          <w:rFonts w:eastAsia="Calibri"/>
          <w:lang w:val="en-US" w:eastAsia="bg-BG"/>
        </w:rPr>
        <w:t xml:space="preserve"> с </w:t>
      </w:r>
      <w:proofErr w:type="spellStart"/>
      <w:r w:rsidRPr="00910F24">
        <w:rPr>
          <w:rFonts w:eastAsia="Calibri"/>
          <w:lang w:val="en-US" w:eastAsia="bg-BG"/>
        </w:rPr>
        <w:t>подробна</w:t>
      </w:r>
      <w:proofErr w:type="spellEnd"/>
      <w:r w:rsidRPr="00910F24">
        <w:rPr>
          <w:rFonts w:eastAsia="Calibri"/>
          <w:lang w:val="en-US" w:eastAsia="bg-BG"/>
        </w:rPr>
        <w:t xml:space="preserve"> </w:t>
      </w:r>
      <w:proofErr w:type="spellStart"/>
      <w:r w:rsidRPr="00910F24">
        <w:rPr>
          <w:rFonts w:eastAsia="Calibri"/>
          <w:lang w:val="en-US" w:eastAsia="bg-BG"/>
        </w:rPr>
        <w:t>финансова</w:t>
      </w:r>
      <w:proofErr w:type="spellEnd"/>
      <w:r w:rsidRPr="00910F24">
        <w:rPr>
          <w:rFonts w:eastAsia="Calibri"/>
          <w:lang w:val="en-US" w:eastAsia="bg-BG"/>
        </w:rPr>
        <w:t xml:space="preserve"> </w:t>
      </w:r>
      <w:proofErr w:type="spellStart"/>
      <w:r w:rsidRPr="00910F24">
        <w:rPr>
          <w:rFonts w:eastAsia="Calibri"/>
          <w:lang w:val="en-US" w:eastAsia="bg-BG"/>
        </w:rPr>
        <w:t>обосновка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исканите</w:t>
      </w:r>
      <w:proofErr w:type="spellEnd"/>
      <w:r w:rsidRPr="00910F24">
        <w:rPr>
          <w:rFonts w:eastAsia="Calibri"/>
          <w:lang w:val="en-US" w:eastAsia="bg-BG"/>
        </w:rPr>
        <w:t xml:space="preserve"> </w:t>
      </w:r>
      <w:proofErr w:type="spellStart"/>
      <w:r w:rsidRPr="00910F24">
        <w:rPr>
          <w:rFonts w:eastAsia="Calibri"/>
          <w:lang w:val="en-US" w:eastAsia="bg-BG"/>
        </w:rPr>
        <w:t>средства</w:t>
      </w:r>
      <w:proofErr w:type="spellEnd"/>
      <w:r w:rsidRPr="00910F24">
        <w:rPr>
          <w:rFonts w:eastAsia="Calibri"/>
          <w:lang w:val="en-US" w:eastAsia="bg-BG"/>
        </w:rPr>
        <w:t xml:space="preserve"> и </w:t>
      </w:r>
      <w:proofErr w:type="spellStart"/>
      <w:r w:rsidRPr="00910F24">
        <w:rPr>
          <w:rFonts w:eastAsia="Calibri"/>
          <w:lang w:val="en-US" w:eastAsia="bg-BG"/>
        </w:rPr>
        <w:t>видовете</w:t>
      </w:r>
      <w:proofErr w:type="spellEnd"/>
      <w:r w:rsidRPr="00910F24">
        <w:rPr>
          <w:rFonts w:eastAsia="Calibri"/>
          <w:lang w:val="en-US" w:eastAsia="bg-BG"/>
        </w:rPr>
        <w:t xml:space="preserve"> </w:t>
      </w:r>
      <w:proofErr w:type="spellStart"/>
      <w:r w:rsidRPr="00910F24">
        <w:rPr>
          <w:rFonts w:eastAsia="Calibri"/>
          <w:lang w:val="en-US" w:eastAsia="bg-BG"/>
        </w:rPr>
        <w:t>дейности</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които</w:t>
      </w:r>
      <w:proofErr w:type="spellEnd"/>
      <w:r w:rsidRPr="00910F24">
        <w:rPr>
          <w:rFonts w:eastAsia="Calibri"/>
          <w:lang w:val="en-US" w:eastAsia="bg-BG"/>
        </w:rPr>
        <w:t xml:space="preserve"> </w:t>
      </w:r>
      <w:proofErr w:type="spellStart"/>
      <w:r w:rsidRPr="00910F24">
        <w:rPr>
          <w:rFonts w:eastAsia="Calibri"/>
          <w:lang w:val="en-US" w:eastAsia="bg-BG"/>
        </w:rPr>
        <w:t>те</w:t>
      </w:r>
      <w:proofErr w:type="spellEnd"/>
      <w:r w:rsidRPr="00910F24">
        <w:rPr>
          <w:rFonts w:eastAsia="Calibri"/>
          <w:lang w:val="en-US" w:eastAsia="bg-BG"/>
        </w:rPr>
        <w:t xml:space="preserve"> </w:t>
      </w:r>
      <w:proofErr w:type="spellStart"/>
      <w:r w:rsidRPr="00910F24">
        <w:rPr>
          <w:rFonts w:eastAsia="Calibri"/>
          <w:lang w:val="en-US" w:eastAsia="bg-BG"/>
        </w:rPr>
        <w:t>ще</w:t>
      </w:r>
      <w:proofErr w:type="spellEnd"/>
      <w:r w:rsidRPr="00910F24">
        <w:rPr>
          <w:rFonts w:eastAsia="Calibri"/>
          <w:lang w:val="en-US" w:eastAsia="bg-BG"/>
        </w:rPr>
        <w:t xml:space="preserve"> </w:t>
      </w:r>
      <w:proofErr w:type="spellStart"/>
      <w:r w:rsidRPr="00910F24">
        <w:rPr>
          <w:rFonts w:eastAsia="Calibri"/>
          <w:lang w:val="en-US" w:eastAsia="bg-BG"/>
        </w:rPr>
        <w:t>се</w:t>
      </w:r>
      <w:proofErr w:type="spellEnd"/>
      <w:r w:rsidRPr="00910F24">
        <w:rPr>
          <w:rFonts w:eastAsia="Calibri"/>
          <w:lang w:val="en-US" w:eastAsia="bg-BG"/>
        </w:rPr>
        <w:t xml:space="preserve"> </w:t>
      </w:r>
      <w:proofErr w:type="spellStart"/>
      <w:r w:rsidRPr="00910F24">
        <w:rPr>
          <w:rFonts w:eastAsia="Calibri"/>
          <w:lang w:val="en-US" w:eastAsia="bg-BG"/>
        </w:rPr>
        <w:t>използват</w:t>
      </w:r>
      <w:proofErr w:type="spellEnd"/>
      <w:r w:rsidRPr="00910F24">
        <w:rPr>
          <w:rFonts w:eastAsia="Calibri"/>
          <w:lang w:val="en-US" w:eastAsia="bg-BG"/>
        </w:rPr>
        <w:t xml:space="preserve">. </w:t>
      </w:r>
      <w:proofErr w:type="spellStart"/>
      <w:r w:rsidRPr="00910F24">
        <w:rPr>
          <w:rFonts w:eastAsia="Calibri"/>
          <w:lang w:val="en-US" w:eastAsia="bg-BG"/>
        </w:rPr>
        <w:t>Спазването</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процентните</w:t>
      </w:r>
      <w:proofErr w:type="spellEnd"/>
      <w:r w:rsidRPr="00910F24">
        <w:rPr>
          <w:rFonts w:eastAsia="Calibri"/>
          <w:lang w:val="en-US" w:eastAsia="bg-BG"/>
        </w:rPr>
        <w:t xml:space="preserve"> </w:t>
      </w:r>
      <w:proofErr w:type="spellStart"/>
      <w:r w:rsidRPr="00910F24">
        <w:rPr>
          <w:rFonts w:eastAsia="Calibri"/>
          <w:lang w:val="en-US" w:eastAsia="bg-BG"/>
        </w:rPr>
        <w:t>ограничения</w:t>
      </w:r>
      <w:proofErr w:type="spellEnd"/>
      <w:r w:rsidRPr="00910F24">
        <w:rPr>
          <w:rFonts w:eastAsia="Calibri"/>
          <w:lang w:val="en-US" w:eastAsia="bg-BG"/>
        </w:rPr>
        <w:t xml:space="preserve">, </w:t>
      </w:r>
      <w:proofErr w:type="spellStart"/>
      <w:r w:rsidRPr="00910F24">
        <w:rPr>
          <w:rFonts w:eastAsia="Calibri"/>
          <w:lang w:val="en-US" w:eastAsia="bg-BG"/>
        </w:rPr>
        <w:t>посочени</w:t>
      </w:r>
      <w:proofErr w:type="spellEnd"/>
      <w:r w:rsidRPr="00910F24">
        <w:rPr>
          <w:rFonts w:eastAsia="Calibri"/>
          <w:lang w:val="en-US" w:eastAsia="bg-BG"/>
        </w:rPr>
        <w:t xml:space="preserve"> в </w:t>
      </w:r>
      <w:proofErr w:type="spellStart"/>
      <w:r w:rsidRPr="00910F24">
        <w:rPr>
          <w:rFonts w:eastAsia="Calibri"/>
          <w:lang w:val="en-US" w:eastAsia="bg-BG"/>
        </w:rPr>
        <w:t>образеца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финансовия</w:t>
      </w:r>
      <w:proofErr w:type="spellEnd"/>
      <w:r w:rsidRPr="00910F24">
        <w:rPr>
          <w:rFonts w:eastAsia="Calibri"/>
          <w:lang w:val="en-US" w:eastAsia="bg-BG"/>
        </w:rPr>
        <w:t xml:space="preserve"> </w:t>
      </w:r>
      <w:proofErr w:type="spellStart"/>
      <w:r w:rsidRPr="00910F24">
        <w:rPr>
          <w:rFonts w:eastAsia="Calibri"/>
          <w:lang w:val="en-US" w:eastAsia="bg-BG"/>
        </w:rPr>
        <w:t>план</w:t>
      </w:r>
      <w:proofErr w:type="spellEnd"/>
      <w:r w:rsidRPr="00910F24">
        <w:rPr>
          <w:rFonts w:eastAsia="Calibri"/>
          <w:lang w:val="en-US" w:eastAsia="bg-BG"/>
        </w:rPr>
        <w:t xml:space="preserve">, е </w:t>
      </w:r>
      <w:proofErr w:type="spellStart"/>
      <w:r w:rsidRPr="00910F24">
        <w:rPr>
          <w:rFonts w:eastAsia="Calibri"/>
          <w:lang w:val="en-US" w:eastAsia="bg-BG"/>
        </w:rPr>
        <w:t>задължително</w:t>
      </w:r>
      <w:proofErr w:type="spellEnd"/>
      <w:r w:rsidRPr="00910F24">
        <w:rPr>
          <w:rFonts w:eastAsia="Calibri"/>
          <w:lang w:val="en-US" w:eastAsia="bg-BG"/>
        </w:rPr>
        <w:t>;</w:t>
      </w:r>
    </w:p>
    <w:p w14:paraId="2404576D" w14:textId="77777777" w:rsidR="00910F24" w:rsidRPr="00910F24" w:rsidRDefault="00910F24" w:rsidP="005D1D65">
      <w:pPr>
        <w:numPr>
          <w:ilvl w:val="0"/>
          <w:numId w:val="21"/>
        </w:numPr>
        <w:spacing w:before="120" w:after="120" w:line="276" w:lineRule="auto"/>
        <w:jc w:val="both"/>
        <w:rPr>
          <w:rFonts w:eastAsia="Calibri"/>
          <w:lang w:val="en-US" w:eastAsia="bg-BG"/>
        </w:rPr>
      </w:pPr>
      <w:proofErr w:type="spellStart"/>
      <w:r w:rsidRPr="00910F24">
        <w:rPr>
          <w:rFonts w:eastAsia="Calibri"/>
          <w:lang w:val="en-US" w:eastAsia="bg-BG"/>
        </w:rPr>
        <w:t>Меморандум</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разбирателство</w:t>
      </w:r>
      <w:proofErr w:type="spellEnd"/>
      <w:r w:rsidRPr="00910F24">
        <w:rPr>
          <w:rFonts w:eastAsia="Calibri"/>
          <w:lang w:val="en-US" w:eastAsia="bg-BG"/>
        </w:rPr>
        <w:t xml:space="preserve"> (Memorandum of Understanding)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съответната</w:t>
      </w:r>
      <w:proofErr w:type="spellEnd"/>
      <w:r w:rsidRPr="00910F24">
        <w:rPr>
          <w:rFonts w:eastAsia="Calibri"/>
          <w:lang w:val="en-US" w:eastAsia="bg-BG"/>
        </w:rPr>
        <w:t xml:space="preserve"> COST </w:t>
      </w:r>
      <w:proofErr w:type="spellStart"/>
      <w:r w:rsidRPr="00910F24">
        <w:rPr>
          <w:rFonts w:eastAsia="Calibri"/>
          <w:lang w:val="en-US" w:eastAsia="bg-BG"/>
        </w:rPr>
        <w:t>Акция</w:t>
      </w:r>
      <w:proofErr w:type="spellEnd"/>
      <w:r w:rsidRPr="00910F24">
        <w:rPr>
          <w:rFonts w:eastAsia="Calibri"/>
          <w:lang w:val="en-US" w:eastAsia="bg-BG"/>
        </w:rPr>
        <w:t>;</w:t>
      </w:r>
    </w:p>
    <w:p w14:paraId="559AC737" w14:textId="77777777" w:rsidR="00910F24" w:rsidRPr="00910F24" w:rsidRDefault="00910F24" w:rsidP="005D1D65">
      <w:pPr>
        <w:numPr>
          <w:ilvl w:val="0"/>
          <w:numId w:val="21"/>
        </w:numPr>
        <w:spacing w:before="120" w:after="120" w:line="276" w:lineRule="auto"/>
        <w:jc w:val="both"/>
        <w:rPr>
          <w:rFonts w:eastAsia="Calibri"/>
          <w:lang w:val="en-US" w:eastAsia="bg-BG"/>
        </w:rPr>
      </w:pPr>
      <w:proofErr w:type="spellStart"/>
      <w:r w:rsidRPr="00910F24">
        <w:rPr>
          <w:rFonts w:eastAsia="Calibri"/>
          <w:lang w:val="en-US" w:eastAsia="bg-BG"/>
        </w:rPr>
        <w:t>Копие</w:t>
      </w:r>
      <w:proofErr w:type="spellEnd"/>
      <w:r w:rsidRPr="00910F24">
        <w:rPr>
          <w:rFonts w:eastAsia="Calibri"/>
          <w:lang w:val="en-US" w:eastAsia="bg-BG"/>
        </w:rPr>
        <w:t xml:space="preserve">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уеб</w:t>
      </w:r>
      <w:proofErr w:type="spellEnd"/>
      <w:r w:rsidRPr="00910F24">
        <w:rPr>
          <w:rFonts w:eastAsia="Calibri"/>
          <w:lang w:val="en-US" w:eastAsia="bg-BG"/>
        </w:rPr>
        <w:t xml:space="preserve"> </w:t>
      </w:r>
      <w:proofErr w:type="spellStart"/>
      <w:r w:rsidRPr="00910F24">
        <w:rPr>
          <w:rFonts w:eastAsia="Calibri"/>
          <w:lang w:val="en-US" w:eastAsia="bg-BG"/>
        </w:rPr>
        <w:t>страницата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съответната</w:t>
      </w:r>
      <w:proofErr w:type="spellEnd"/>
      <w:r w:rsidRPr="00910F24">
        <w:rPr>
          <w:rFonts w:eastAsia="Calibri"/>
          <w:lang w:val="en-US" w:eastAsia="bg-BG"/>
        </w:rPr>
        <w:t xml:space="preserve"> COST </w:t>
      </w:r>
      <w:proofErr w:type="spellStart"/>
      <w:r w:rsidRPr="00910F24">
        <w:rPr>
          <w:rFonts w:eastAsia="Calibri"/>
          <w:lang w:val="en-US" w:eastAsia="bg-BG"/>
        </w:rPr>
        <w:t>Акция</w:t>
      </w:r>
      <w:proofErr w:type="spellEnd"/>
      <w:r w:rsidRPr="00910F24">
        <w:rPr>
          <w:rFonts w:eastAsia="Calibri"/>
          <w:lang w:val="en-US" w:eastAsia="bg-BG"/>
        </w:rPr>
        <w:t xml:space="preserve">, </w:t>
      </w:r>
      <w:proofErr w:type="spellStart"/>
      <w:r w:rsidRPr="00910F24">
        <w:rPr>
          <w:rFonts w:eastAsia="Calibri"/>
          <w:lang w:val="en-US" w:eastAsia="bg-BG"/>
        </w:rPr>
        <w:t>публикувана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официалния</w:t>
      </w:r>
      <w:proofErr w:type="spellEnd"/>
      <w:r w:rsidRPr="00910F24">
        <w:rPr>
          <w:rFonts w:eastAsia="Calibri"/>
          <w:lang w:val="en-US" w:eastAsia="bg-BG"/>
        </w:rPr>
        <w:t xml:space="preserve"> </w:t>
      </w:r>
      <w:proofErr w:type="spellStart"/>
      <w:r w:rsidRPr="00910F24">
        <w:rPr>
          <w:rFonts w:eastAsia="Calibri"/>
          <w:lang w:val="en-US" w:eastAsia="bg-BG"/>
        </w:rPr>
        <w:t>уеб</w:t>
      </w:r>
      <w:proofErr w:type="spellEnd"/>
      <w:r w:rsidRPr="00910F24">
        <w:rPr>
          <w:rFonts w:eastAsia="Calibri"/>
          <w:lang w:val="en-US" w:eastAsia="bg-BG"/>
        </w:rPr>
        <w:t xml:space="preserve"> </w:t>
      </w:r>
      <w:proofErr w:type="spellStart"/>
      <w:r w:rsidRPr="00910F24">
        <w:rPr>
          <w:rFonts w:eastAsia="Calibri"/>
          <w:lang w:val="en-US" w:eastAsia="bg-BG"/>
        </w:rPr>
        <w:t>сайт</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Европейската</w:t>
      </w:r>
      <w:proofErr w:type="spellEnd"/>
      <w:r w:rsidRPr="00910F24">
        <w:rPr>
          <w:rFonts w:eastAsia="Calibri"/>
          <w:lang w:val="en-US" w:eastAsia="bg-BG"/>
        </w:rPr>
        <w:t xml:space="preserve"> </w:t>
      </w:r>
      <w:proofErr w:type="spellStart"/>
      <w:r w:rsidRPr="00910F24">
        <w:rPr>
          <w:rFonts w:eastAsia="Calibri"/>
          <w:lang w:val="en-US" w:eastAsia="bg-BG"/>
        </w:rPr>
        <w:t>програма</w:t>
      </w:r>
      <w:proofErr w:type="spellEnd"/>
      <w:r w:rsidRPr="00910F24">
        <w:rPr>
          <w:rFonts w:eastAsia="Calibri"/>
          <w:lang w:val="en-US" w:eastAsia="bg-BG"/>
        </w:rPr>
        <w:t xml:space="preserve"> COST (www.cost.eu), </w:t>
      </w:r>
      <w:proofErr w:type="spellStart"/>
      <w:r w:rsidRPr="00910F24">
        <w:rPr>
          <w:rFonts w:eastAsia="Calibri"/>
          <w:lang w:val="en-US" w:eastAsia="bg-BG"/>
        </w:rPr>
        <w:t>съдържаща</w:t>
      </w:r>
      <w:proofErr w:type="spellEnd"/>
      <w:r w:rsidRPr="00910F24">
        <w:rPr>
          <w:rFonts w:eastAsia="Calibri"/>
          <w:lang w:val="en-US" w:eastAsia="bg-BG"/>
        </w:rPr>
        <w:t xml:space="preserve"> </w:t>
      </w:r>
      <w:proofErr w:type="spellStart"/>
      <w:r w:rsidRPr="00910F24">
        <w:rPr>
          <w:rFonts w:eastAsia="Calibri"/>
          <w:lang w:val="en-US" w:eastAsia="bg-BG"/>
        </w:rPr>
        <w:t>информация</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членство</w:t>
      </w:r>
      <w:proofErr w:type="spellEnd"/>
      <w:r w:rsidRPr="00910F24">
        <w:rPr>
          <w:rFonts w:eastAsia="Calibri"/>
          <w:lang w:val="en-US" w:eastAsia="bg-BG"/>
        </w:rPr>
        <w:t xml:space="preserve"> в </w:t>
      </w:r>
      <w:proofErr w:type="spellStart"/>
      <w:r w:rsidRPr="00910F24">
        <w:rPr>
          <w:rFonts w:eastAsia="Calibri"/>
          <w:lang w:val="en-US" w:eastAsia="bg-BG"/>
        </w:rPr>
        <w:t>Управителния</w:t>
      </w:r>
      <w:proofErr w:type="spellEnd"/>
      <w:r w:rsidRPr="00910F24">
        <w:rPr>
          <w:rFonts w:eastAsia="Calibri"/>
          <w:lang w:val="en-US" w:eastAsia="bg-BG"/>
        </w:rPr>
        <w:t xml:space="preserve"> </w:t>
      </w:r>
      <w:proofErr w:type="spellStart"/>
      <w:r w:rsidRPr="00910F24">
        <w:rPr>
          <w:rFonts w:eastAsia="Calibri"/>
          <w:lang w:val="en-US" w:eastAsia="bg-BG"/>
        </w:rPr>
        <w:t>комитет</w:t>
      </w:r>
      <w:proofErr w:type="spellEnd"/>
      <w:r w:rsidRPr="00910F24">
        <w:rPr>
          <w:rFonts w:eastAsia="Calibri"/>
          <w:lang w:val="en-US" w:eastAsia="bg-BG"/>
        </w:rPr>
        <w:t xml:space="preserve"> (Management Committee) </w:t>
      </w:r>
      <w:proofErr w:type="spellStart"/>
      <w:r w:rsidRPr="00910F24">
        <w:rPr>
          <w:rFonts w:eastAsia="Calibri"/>
          <w:lang w:val="en-US" w:eastAsia="bg-BG"/>
        </w:rPr>
        <w:t>или</w:t>
      </w:r>
      <w:proofErr w:type="spellEnd"/>
      <w:r w:rsidRPr="00910F24">
        <w:rPr>
          <w:rFonts w:eastAsia="Calibri"/>
          <w:lang w:val="en-US" w:eastAsia="bg-BG"/>
        </w:rPr>
        <w:t xml:space="preserve"> в </w:t>
      </w:r>
      <w:proofErr w:type="spellStart"/>
      <w:r w:rsidRPr="00910F24">
        <w:rPr>
          <w:rFonts w:eastAsia="Calibri"/>
          <w:lang w:val="en-US" w:eastAsia="bg-BG"/>
        </w:rPr>
        <w:t>работни</w:t>
      </w:r>
      <w:proofErr w:type="spellEnd"/>
      <w:r w:rsidRPr="00910F24">
        <w:rPr>
          <w:rFonts w:eastAsia="Calibri"/>
          <w:lang w:val="en-US" w:eastAsia="bg-BG"/>
        </w:rPr>
        <w:t xml:space="preserve"> </w:t>
      </w:r>
      <w:proofErr w:type="spellStart"/>
      <w:r w:rsidRPr="00910F24">
        <w:rPr>
          <w:rFonts w:eastAsia="Calibri"/>
          <w:lang w:val="en-US" w:eastAsia="bg-BG"/>
        </w:rPr>
        <w:t>групи</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съответната</w:t>
      </w:r>
      <w:proofErr w:type="spellEnd"/>
      <w:r w:rsidRPr="00910F24">
        <w:rPr>
          <w:rFonts w:eastAsia="Calibri"/>
          <w:lang w:val="en-US" w:eastAsia="bg-BG"/>
        </w:rPr>
        <w:t xml:space="preserve"> COST </w:t>
      </w:r>
      <w:proofErr w:type="spellStart"/>
      <w:r w:rsidRPr="00910F24">
        <w:rPr>
          <w:rFonts w:eastAsia="Calibri"/>
          <w:lang w:val="en-US" w:eastAsia="bg-BG"/>
        </w:rPr>
        <w:t>Акция</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ръководителя</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проектното</w:t>
      </w:r>
      <w:proofErr w:type="spellEnd"/>
      <w:r w:rsidRPr="00910F24">
        <w:rPr>
          <w:rFonts w:eastAsia="Calibri"/>
          <w:lang w:val="en-US" w:eastAsia="bg-BG"/>
        </w:rPr>
        <w:t xml:space="preserve"> </w:t>
      </w:r>
      <w:proofErr w:type="spellStart"/>
      <w:r w:rsidRPr="00910F24">
        <w:rPr>
          <w:rFonts w:eastAsia="Calibri"/>
          <w:lang w:val="en-US" w:eastAsia="bg-BG"/>
        </w:rPr>
        <w:t>предложение</w:t>
      </w:r>
      <w:proofErr w:type="spellEnd"/>
      <w:r w:rsidRPr="00910F24">
        <w:rPr>
          <w:rFonts w:eastAsia="Calibri"/>
          <w:lang w:val="en-US" w:eastAsia="bg-BG"/>
        </w:rPr>
        <w:t xml:space="preserve">, </w:t>
      </w:r>
      <w:proofErr w:type="spellStart"/>
      <w:r w:rsidRPr="00910F24">
        <w:rPr>
          <w:rFonts w:eastAsia="Calibri"/>
          <w:lang w:val="en-US" w:eastAsia="bg-BG"/>
        </w:rPr>
        <w:t>както</w:t>
      </w:r>
      <w:proofErr w:type="spellEnd"/>
      <w:r w:rsidRPr="00910F24">
        <w:rPr>
          <w:rFonts w:eastAsia="Calibri"/>
          <w:lang w:val="en-US" w:eastAsia="bg-BG"/>
        </w:rPr>
        <w:t xml:space="preserve"> и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работните</w:t>
      </w:r>
      <w:proofErr w:type="spellEnd"/>
      <w:r w:rsidRPr="00910F24">
        <w:rPr>
          <w:rFonts w:eastAsia="Calibri"/>
          <w:lang w:val="en-US" w:eastAsia="bg-BG"/>
        </w:rPr>
        <w:t xml:space="preserve"> </w:t>
      </w:r>
      <w:proofErr w:type="spellStart"/>
      <w:r w:rsidRPr="00910F24">
        <w:rPr>
          <w:rFonts w:eastAsia="Calibri"/>
          <w:lang w:val="en-US" w:eastAsia="bg-BG"/>
        </w:rPr>
        <w:t>групи</w:t>
      </w:r>
      <w:proofErr w:type="spellEnd"/>
      <w:r w:rsidRPr="00910F24">
        <w:rPr>
          <w:rFonts w:eastAsia="Calibri"/>
          <w:lang w:val="en-US" w:eastAsia="bg-BG"/>
        </w:rPr>
        <w:t xml:space="preserve">, в </w:t>
      </w:r>
      <w:proofErr w:type="spellStart"/>
      <w:r w:rsidRPr="00910F24">
        <w:rPr>
          <w:rFonts w:eastAsia="Calibri"/>
          <w:lang w:val="en-US" w:eastAsia="bg-BG"/>
        </w:rPr>
        <w:t>които</w:t>
      </w:r>
      <w:proofErr w:type="spellEnd"/>
      <w:r w:rsidRPr="00910F24">
        <w:rPr>
          <w:rFonts w:eastAsia="Calibri"/>
          <w:lang w:val="en-US" w:eastAsia="bg-BG"/>
        </w:rPr>
        <w:t xml:space="preserve"> </w:t>
      </w:r>
      <w:proofErr w:type="spellStart"/>
      <w:r w:rsidRPr="00910F24">
        <w:rPr>
          <w:rFonts w:eastAsia="Calibri"/>
          <w:lang w:val="en-US" w:eastAsia="bg-BG"/>
        </w:rPr>
        <w:t>участват</w:t>
      </w:r>
      <w:proofErr w:type="spellEnd"/>
      <w:r w:rsidRPr="00910F24">
        <w:rPr>
          <w:rFonts w:eastAsia="Calibri"/>
          <w:lang w:val="en-US" w:eastAsia="bg-BG"/>
        </w:rPr>
        <w:t xml:space="preserve"> </w:t>
      </w:r>
      <w:proofErr w:type="spellStart"/>
      <w:r w:rsidRPr="00910F24">
        <w:rPr>
          <w:rFonts w:eastAsia="Calibri"/>
          <w:lang w:val="en-US" w:eastAsia="bg-BG"/>
        </w:rPr>
        <w:t>други</w:t>
      </w:r>
      <w:proofErr w:type="spellEnd"/>
      <w:r w:rsidRPr="00910F24">
        <w:rPr>
          <w:rFonts w:eastAsia="Calibri"/>
          <w:lang w:val="en-US" w:eastAsia="bg-BG"/>
        </w:rPr>
        <w:t xml:space="preserve"> </w:t>
      </w:r>
      <w:proofErr w:type="spellStart"/>
      <w:r w:rsidRPr="00910F24">
        <w:rPr>
          <w:rFonts w:eastAsia="Calibri"/>
          <w:lang w:val="en-US" w:eastAsia="bg-BG"/>
        </w:rPr>
        <w:t>членове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колектива</w:t>
      </w:r>
      <w:proofErr w:type="spellEnd"/>
      <w:r w:rsidRPr="00910F24">
        <w:rPr>
          <w:rFonts w:eastAsia="Calibri"/>
          <w:lang w:val="en-US" w:eastAsia="bg-BG"/>
        </w:rPr>
        <w:t>;</w:t>
      </w:r>
    </w:p>
    <w:p w14:paraId="2DD961EC" w14:textId="77777777" w:rsidR="00910F24" w:rsidRPr="00910F24" w:rsidRDefault="00910F24" w:rsidP="005D1D65">
      <w:pPr>
        <w:numPr>
          <w:ilvl w:val="0"/>
          <w:numId w:val="21"/>
        </w:numPr>
        <w:spacing w:before="120" w:after="120" w:line="276" w:lineRule="auto"/>
        <w:jc w:val="both"/>
        <w:rPr>
          <w:rFonts w:eastAsia="Calibri"/>
          <w:lang w:val="en-US" w:eastAsia="bg-BG"/>
        </w:rPr>
      </w:pPr>
      <w:proofErr w:type="spellStart"/>
      <w:r w:rsidRPr="00910F24">
        <w:rPr>
          <w:rFonts w:eastAsia="Calibri"/>
          <w:lang w:val="en-US" w:eastAsia="bg-BG"/>
        </w:rPr>
        <w:t>Декларация</w:t>
      </w:r>
      <w:proofErr w:type="spellEnd"/>
      <w:r w:rsidRPr="00910F24">
        <w:rPr>
          <w:rFonts w:eastAsia="Calibri"/>
          <w:lang w:val="en-US" w:eastAsia="bg-BG"/>
        </w:rPr>
        <w:t xml:space="preserve">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ръководителя</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научния</w:t>
      </w:r>
      <w:proofErr w:type="spellEnd"/>
      <w:r w:rsidRPr="00910F24">
        <w:rPr>
          <w:rFonts w:eastAsia="Calibri"/>
          <w:lang w:val="en-US" w:eastAsia="bg-BG"/>
        </w:rPr>
        <w:t xml:space="preserve"> </w:t>
      </w:r>
      <w:proofErr w:type="spellStart"/>
      <w:r w:rsidRPr="00910F24">
        <w:rPr>
          <w:rFonts w:eastAsia="Calibri"/>
          <w:lang w:val="en-US" w:eastAsia="bg-BG"/>
        </w:rPr>
        <w:t>колектив</w:t>
      </w:r>
      <w:proofErr w:type="spellEnd"/>
      <w:r w:rsidRPr="00910F24">
        <w:rPr>
          <w:rFonts w:eastAsia="Calibri"/>
          <w:lang w:val="en-US" w:eastAsia="bg-BG"/>
        </w:rPr>
        <w:t xml:space="preserve">, </w:t>
      </w:r>
      <w:proofErr w:type="spellStart"/>
      <w:r w:rsidRPr="00910F24">
        <w:rPr>
          <w:rFonts w:eastAsia="Calibri"/>
          <w:lang w:val="en-US" w:eastAsia="bg-BG"/>
        </w:rPr>
        <w:t>че</w:t>
      </w:r>
      <w:proofErr w:type="spellEnd"/>
      <w:r w:rsidRPr="00910F24">
        <w:rPr>
          <w:rFonts w:eastAsia="Calibri"/>
          <w:lang w:val="en-US" w:eastAsia="bg-BG"/>
        </w:rPr>
        <w:t xml:space="preserve"> </w:t>
      </w:r>
      <w:proofErr w:type="spellStart"/>
      <w:r w:rsidRPr="00910F24">
        <w:rPr>
          <w:rFonts w:eastAsia="Calibri"/>
          <w:lang w:val="en-US" w:eastAsia="bg-BG"/>
        </w:rPr>
        <w:t>няма</w:t>
      </w:r>
      <w:proofErr w:type="spellEnd"/>
      <w:r w:rsidRPr="00910F24">
        <w:rPr>
          <w:rFonts w:eastAsia="Calibri"/>
          <w:lang w:val="en-US" w:eastAsia="bg-BG"/>
        </w:rPr>
        <w:t xml:space="preserve"> </w:t>
      </w:r>
      <w:proofErr w:type="spellStart"/>
      <w:r w:rsidRPr="00910F24">
        <w:rPr>
          <w:rFonts w:eastAsia="Calibri"/>
          <w:lang w:val="en-US" w:eastAsia="bg-BG"/>
        </w:rPr>
        <w:t>да</w:t>
      </w:r>
      <w:proofErr w:type="spellEnd"/>
      <w:r w:rsidRPr="00910F24">
        <w:rPr>
          <w:rFonts w:eastAsia="Calibri"/>
          <w:lang w:val="en-US" w:eastAsia="bg-BG"/>
        </w:rPr>
        <w:t xml:space="preserve"> </w:t>
      </w:r>
      <w:proofErr w:type="spellStart"/>
      <w:r w:rsidRPr="00910F24">
        <w:rPr>
          <w:rFonts w:eastAsia="Calibri"/>
          <w:lang w:val="en-US" w:eastAsia="bg-BG"/>
        </w:rPr>
        <w:t>използва</w:t>
      </w:r>
      <w:proofErr w:type="spellEnd"/>
      <w:r w:rsidRPr="00910F24">
        <w:rPr>
          <w:rFonts w:eastAsia="Calibri"/>
          <w:lang w:val="en-US" w:eastAsia="bg-BG"/>
        </w:rPr>
        <w:t xml:space="preserve"> </w:t>
      </w:r>
      <w:proofErr w:type="spellStart"/>
      <w:r w:rsidRPr="00910F24">
        <w:rPr>
          <w:rFonts w:eastAsia="Calibri"/>
          <w:lang w:val="en-US" w:eastAsia="bg-BG"/>
        </w:rPr>
        <w:t>финансови</w:t>
      </w:r>
      <w:proofErr w:type="spellEnd"/>
      <w:r w:rsidRPr="00910F24">
        <w:rPr>
          <w:rFonts w:eastAsia="Calibri"/>
          <w:lang w:val="en-US" w:eastAsia="bg-BG"/>
        </w:rPr>
        <w:t xml:space="preserve"> </w:t>
      </w:r>
      <w:proofErr w:type="spellStart"/>
      <w:r w:rsidRPr="00910F24">
        <w:rPr>
          <w:rFonts w:eastAsia="Calibri"/>
          <w:lang w:val="en-US" w:eastAsia="bg-BG"/>
        </w:rPr>
        <w:t>средства</w:t>
      </w:r>
      <w:proofErr w:type="spellEnd"/>
      <w:r w:rsidRPr="00910F24">
        <w:rPr>
          <w:rFonts w:eastAsia="Calibri"/>
          <w:lang w:val="en-US" w:eastAsia="bg-BG"/>
        </w:rPr>
        <w:t xml:space="preserve">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други</w:t>
      </w:r>
      <w:proofErr w:type="spellEnd"/>
      <w:r w:rsidRPr="00910F24">
        <w:rPr>
          <w:rFonts w:eastAsia="Calibri"/>
          <w:lang w:val="en-US" w:eastAsia="bg-BG"/>
        </w:rPr>
        <w:t xml:space="preserve"> </w:t>
      </w:r>
      <w:proofErr w:type="spellStart"/>
      <w:r w:rsidRPr="00910F24">
        <w:rPr>
          <w:rFonts w:eastAsia="Calibri"/>
          <w:lang w:val="en-US" w:eastAsia="bg-BG"/>
        </w:rPr>
        <w:t>източници</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изпълнение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работната</w:t>
      </w:r>
      <w:proofErr w:type="spellEnd"/>
      <w:r w:rsidRPr="00910F24">
        <w:rPr>
          <w:rFonts w:eastAsia="Calibri"/>
          <w:lang w:val="en-US" w:eastAsia="bg-BG"/>
        </w:rPr>
        <w:t xml:space="preserve"> </w:t>
      </w:r>
      <w:proofErr w:type="spellStart"/>
      <w:r w:rsidRPr="00910F24">
        <w:rPr>
          <w:rFonts w:eastAsia="Calibri"/>
          <w:lang w:val="en-US" w:eastAsia="bg-BG"/>
        </w:rPr>
        <w:t>програма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проекта</w:t>
      </w:r>
      <w:proofErr w:type="spellEnd"/>
      <w:r w:rsidRPr="00910F24">
        <w:rPr>
          <w:rFonts w:eastAsia="Calibri"/>
          <w:lang w:val="en-US" w:eastAsia="bg-BG"/>
        </w:rPr>
        <w:t xml:space="preserve">. </w:t>
      </w:r>
      <w:proofErr w:type="spellStart"/>
      <w:r w:rsidRPr="00910F24">
        <w:rPr>
          <w:rFonts w:eastAsia="Calibri"/>
          <w:lang w:val="en-US" w:eastAsia="bg-BG"/>
        </w:rPr>
        <w:t>Ако</w:t>
      </w:r>
      <w:proofErr w:type="spellEnd"/>
      <w:r w:rsidRPr="00910F24">
        <w:rPr>
          <w:rFonts w:eastAsia="Calibri"/>
          <w:lang w:val="en-US" w:eastAsia="bg-BG"/>
        </w:rPr>
        <w:t xml:space="preserve"> </w:t>
      </w:r>
      <w:proofErr w:type="spellStart"/>
      <w:r w:rsidRPr="00910F24">
        <w:rPr>
          <w:rFonts w:eastAsia="Calibri"/>
          <w:lang w:val="en-US" w:eastAsia="bg-BG"/>
        </w:rPr>
        <w:t>се</w:t>
      </w:r>
      <w:proofErr w:type="spellEnd"/>
      <w:r w:rsidRPr="00910F24">
        <w:rPr>
          <w:rFonts w:eastAsia="Calibri"/>
          <w:lang w:val="en-US" w:eastAsia="bg-BG"/>
        </w:rPr>
        <w:t xml:space="preserve"> </w:t>
      </w:r>
      <w:proofErr w:type="spellStart"/>
      <w:r w:rsidRPr="00910F24">
        <w:rPr>
          <w:rFonts w:eastAsia="Calibri"/>
          <w:lang w:val="en-US" w:eastAsia="bg-BG"/>
        </w:rPr>
        <w:t>очаква</w:t>
      </w:r>
      <w:proofErr w:type="spellEnd"/>
      <w:r w:rsidRPr="00910F24">
        <w:rPr>
          <w:rFonts w:eastAsia="Calibri"/>
          <w:lang w:val="en-US" w:eastAsia="bg-BG"/>
        </w:rPr>
        <w:t xml:space="preserve"> </w:t>
      </w:r>
      <w:proofErr w:type="spellStart"/>
      <w:r w:rsidRPr="00910F24">
        <w:rPr>
          <w:rFonts w:eastAsia="Calibri"/>
          <w:lang w:val="en-US" w:eastAsia="bg-BG"/>
        </w:rPr>
        <w:t>допълнително</w:t>
      </w:r>
      <w:proofErr w:type="spellEnd"/>
      <w:r w:rsidRPr="00910F24">
        <w:rPr>
          <w:rFonts w:eastAsia="Calibri"/>
          <w:lang w:val="en-US" w:eastAsia="bg-BG"/>
        </w:rPr>
        <w:t xml:space="preserve"> </w:t>
      </w:r>
      <w:proofErr w:type="spellStart"/>
      <w:r w:rsidRPr="00910F24">
        <w:rPr>
          <w:rFonts w:eastAsia="Calibri"/>
          <w:lang w:val="en-US" w:eastAsia="bg-BG"/>
        </w:rPr>
        <w:t>финансиране</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съответния</w:t>
      </w:r>
      <w:proofErr w:type="spellEnd"/>
      <w:r w:rsidRPr="00910F24">
        <w:rPr>
          <w:rFonts w:eastAsia="Calibri"/>
          <w:lang w:val="en-US" w:eastAsia="bg-BG"/>
        </w:rPr>
        <w:t xml:space="preserve"> </w:t>
      </w:r>
      <w:proofErr w:type="spellStart"/>
      <w:r w:rsidRPr="00910F24">
        <w:rPr>
          <w:rFonts w:eastAsia="Calibri"/>
          <w:lang w:val="en-US" w:eastAsia="bg-BG"/>
        </w:rPr>
        <w:t>проект</w:t>
      </w:r>
      <w:proofErr w:type="spellEnd"/>
      <w:r w:rsidRPr="00910F24">
        <w:rPr>
          <w:rFonts w:eastAsia="Calibri"/>
          <w:lang w:val="en-US" w:eastAsia="bg-BG"/>
        </w:rPr>
        <w:t xml:space="preserve">, </w:t>
      </w:r>
      <w:proofErr w:type="spellStart"/>
      <w:r w:rsidRPr="00910F24">
        <w:rPr>
          <w:rFonts w:eastAsia="Calibri"/>
          <w:lang w:val="en-US" w:eastAsia="bg-BG"/>
        </w:rPr>
        <w:t>това</w:t>
      </w:r>
      <w:proofErr w:type="spellEnd"/>
      <w:r w:rsidRPr="00910F24">
        <w:rPr>
          <w:rFonts w:eastAsia="Calibri"/>
          <w:lang w:val="en-US" w:eastAsia="bg-BG"/>
        </w:rPr>
        <w:t xml:space="preserve"> </w:t>
      </w:r>
      <w:proofErr w:type="spellStart"/>
      <w:r w:rsidRPr="00910F24">
        <w:rPr>
          <w:rFonts w:eastAsia="Calibri"/>
          <w:lang w:val="en-US" w:eastAsia="bg-BG"/>
        </w:rPr>
        <w:t>следва</w:t>
      </w:r>
      <w:proofErr w:type="spellEnd"/>
      <w:r w:rsidRPr="00910F24">
        <w:rPr>
          <w:rFonts w:eastAsia="Calibri"/>
          <w:lang w:val="en-US" w:eastAsia="bg-BG"/>
        </w:rPr>
        <w:t xml:space="preserve"> </w:t>
      </w:r>
      <w:proofErr w:type="spellStart"/>
      <w:r w:rsidRPr="00910F24">
        <w:rPr>
          <w:rFonts w:eastAsia="Calibri"/>
          <w:lang w:val="en-US" w:eastAsia="bg-BG"/>
        </w:rPr>
        <w:t>да</w:t>
      </w:r>
      <w:proofErr w:type="spellEnd"/>
      <w:r w:rsidRPr="00910F24">
        <w:rPr>
          <w:rFonts w:eastAsia="Calibri"/>
          <w:lang w:val="en-US" w:eastAsia="bg-BG"/>
        </w:rPr>
        <w:t xml:space="preserve"> </w:t>
      </w:r>
      <w:proofErr w:type="spellStart"/>
      <w:r w:rsidRPr="00910F24">
        <w:rPr>
          <w:rFonts w:eastAsia="Calibri"/>
          <w:lang w:val="en-US" w:eastAsia="bg-BG"/>
        </w:rPr>
        <w:t>се</w:t>
      </w:r>
      <w:proofErr w:type="spellEnd"/>
      <w:r w:rsidRPr="00910F24">
        <w:rPr>
          <w:rFonts w:eastAsia="Calibri"/>
          <w:lang w:val="en-US" w:eastAsia="bg-BG"/>
        </w:rPr>
        <w:t xml:space="preserve"> </w:t>
      </w:r>
      <w:proofErr w:type="spellStart"/>
      <w:r w:rsidRPr="00910F24">
        <w:rPr>
          <w:rFonts w:eastAsia="Calibri"/>
          <w:lang w:val="en-US" w:eastAsia="bg-BG"/>
        </w:rPr>
        <w:t>отбележи</w:t>
      </w:r>
      <w:proofErr w:type="spellEnd"/>
      <w:r w:rsidRPr="00910F24">
        <w:rPr>
          <w:rFonts w:eastAsia="Calibri"/>
          <w:lang w:val="en-US" w:eastAsia="bg-BG"/>
        </w:rPr>
        <w:t xml:space="preserve"> </w:t>
      </w:r>
      <w:proofErr w:type="spellStart"/>
      <w:r w:rsidRPr="00910F24">
        <w:rPr>
          <w:rFonts w:eastAsia="Calibri"/>
          <w:lang w:val="en-US" w:eastAsia="bg-BG"/>
        </w:rPr>
        <w:t>във</w:t>
      </w:r>
      <w:proofErr w:type="spellEnd"/>
      <w:r w:rsidRPr="00910F24">
        <w:rPr>
          <w:rFonts w:eastAsia="Calibri"/>
          <w:lang w:val="en-US" w:eastAsia="bg-BG"/>
        </w:rPr>
        <w:t xml:space="preserve"> </w:t>
      </w:r>
      <w:proofErr w:type="spellStart"/>
      <w:r w:rsidRPr="00910F24">
        <w:rPr>
          <w:rFonts w:eastAsia="Calibri"/>
          <w:lang w:val="en-US" w:eastAsia="bg-BG"/>
        </w:rPr>
        <w:t>финансовата</w:t>
      </w:r>
      <w:proofErr w:type="spellEnd"/>
      <w:r w:rsidRPr="00910F24">
        <w:rPr>
          <w:rFonts w:eastAsia="Calibri"/>
          <w:lang w:val="en-US" w:eastAsia="bg-BG"/>
        </w:rPr>
        <w:t xml:space="preserve"> </w:t>
      </w:r>
      <w:proofErr w:type="spellStart"/>
      <w:r w:rsidRPr="00910F24">
        <w:rPr>
          <w:rFonts w:eastAsia="Calibri"/>
          <w:lang w:val="en-US" w:eastAsia="bg-BG"/>
        </w:rPr>
        <w:t>обосновка</w:t>
      </w:r>
      <w:proofErr w:type="spellEnd"/>
      <w:r w:rsidRPr="00910F24">
        <w:rPr>
          <w:rFonts w:eastAsia="Calibri"/>
          <w:lang w:val="en-US" w:eastAsia="bg-BG"/>
        </w:rPr>
        <w:t>;</w:t>
      </w:r>
    </w:p>
    <w:p w14:paraId="078E6584" w14:textId="77777777" w:rsidR="00910F24" w:rsidRPr="00910F24" w:rsidRDefault="00910F24" w:rsidP="005D1D65">
      <w:pPr>
        <w:numPr>
          <w:ilvl w:val="0"/>
          <w:numId w:val="21"/>
        </w:numPr>
        <w:spacing w:before="120" w:after="120" w:line="276" w:lineRule="auto"/>
        <w:jc w:val="both"/>
        <w:rPr>
          <w:rFonts w:eastAsia="Calibri"/>
          <w:lang w:val="en-US" w:eastAsia="bg-BG"/>
        </w:rPr>
      </w:pPr>
      <w:proofErr w:type="spellStart"/>
      <w:r w:rsidRPr="00910F24">
        <w:rPr>
          <w:rFonts w:eastAsia="Calibri"/>
          <w:lang w:val="en-US" w:eastAsia="bg-BG"/>
        </w:rPr>
        <w:t>Декларация</w:t>
      </w:r>
      <w:proofErr w:type="spellEnd"/>
      <w:r w:rsidRPr="00910F24">
        <w:rPr>
          <w:rFonts w:eastAsia="Calibri"/>
          <w:lang w:val="en-US" w:eastAsia="bg-BG"/>
        </w:rPr>
        <w:t xml:space="preserve">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ръководителя</w:t>
      </w:r>
      <w:proofErr w:type="spellEnd"/>
      <w:r w:rsidRPr="00910F24">
        <w:rPr>
          <w:rFonts w:eastAsia="Calibri"/>
          <w:lang w:val="en-US" w:eastAsia="bg-BG"/>
        </w:rPr>
        <w:t xml:space="preserve"> и </w:t>
      </w:r>
      <w:proofErr w:type="spellStart"/>
      <w:r w:rsidRPr="00910F24">
        <w:rPr>
          <w:rFonts w:eastAsia="Calibri"/>
          <w:lang w:val="en-US" w:eastAsia="bg-BG"/>
        </w:rPr>
        <w:t>членовете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научния</w:t>
      </w:r>
      <w:proofErr w:type="spellEnd"/>
      <w:r w:rsidRPr="00910F24">
        <w:rPr>
          <w:rFonts w:eastAsia="Calibri"/>
          <w:lang w:val="en-US" w:eastAsia="bg-BG"/>
        </w:rPr>
        <w:t xml:space="preserve"> </w:t>
      </w:r>
      <w:proofErr w:type="spellStart"/>
      <w:r w:rsidRPr="00910F24">
        <w:rPr>
          <w:rFonts w:eastAsia="Calibri"/>
          <w:lang w:val="en-US" w:eastAsia="bg-BG"/>
        </w:rPr>
        <w:t>колектив</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проекта</w:t>
      </w:r>
      <w:proofErr w:type="spellEnd"/>
      <w:r w:rsidRPr="00910F24">
        <w:rPr>
          <w:rFonts w:eastAsia="Calibri"/>
          <w:lang w:val="en-US" w:eastAsia="bg-BG"/>
        </w:rPr>
        <w:t xml:space="preserve"> </w:t>
      </w:r>
      <w:proofErr w:type="spellStart"/>
      <w:r w:rsidRPr="00910F24">
        <w:rPr>
          <w:rFonts w:eastAsia="Calibri"/>
          <w:lang w:val="en-US" w:eastAsia="bg-BG"/>
        </w:rPr>
        <w:t>във</w:t>
      </w:r>
      <w:proofErr w:type="spellEnd"/>
      <w:r w:rsidRPr="00910F24">
        <w:rPr>
          <w:rFonts w:eastAsia="Calibri"/>
          <w:lang w:val="en-US" w:eastAsia="bg-BG"/>
        </w:rPr>
        <w:t xml:space="preserve"> </w:t>
      </w:r>
      <w:proofErr w:type="spellStart"/>
      <w:r w:rsidRPr="00910F24">
        <w:rPr>
          <w:rFonts w:eastAsia="Calibri"/>
          <w:lang w:val="en-US" w:eastAsia="bg-BG"/>
        </w:rPr>
        <w:t>връзка</w:t>
      </w:r>
      <w:proofErr w:type="spellEnd"/>
      <w:r w:rsidRPr="00910F24">
        <w:rPr>
          <w:rFonts w:eastAsia="Calibri"/>
          <w:lang w:val="en-US" w:eastAsia="bg-BG"/>
        </w:rPr>
        <w:t xml:space="preserve"> с </w:t>
      </w:r>
      <w:proofErr w:type="spellStart"/>
      <w:r w:rsidRPr="00910F24">
        <w:rPr>
          <w:rFonts w:eastAsia="Calibri"/>
          <w:lang w:val="en-US" w:eastAsia="bg-BG"/>
        </w:rPr>
        <w:t>Общия</w:t>
      </w:r>
      <w:proofErr w:type="spellEnd"/>
      <w:r w:rsidRPr="00910F24">
        <w:rPr>
          <w:rFonts w:eastAsia="Calibri"/>
          <w:lang w:val="en-US" w:eastAsia="bg-BG"/>
        </w:rPr>
        <w:t xml:space="preserve"> </w:t>
      </w:r>
      <w:proofErr w:type="spellStart"/>
      <w:r w:rsidRPr="00910F24">
        <w:rPr>
          <w:rFonts w:eastAsia="Calibri"/>
          <w:lang w:val="en-US" w:eastAsia="bg-BG"/>
        </w:rPr>
        <w:t>регламент</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защита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личните</w:t>
      </w:r>
      <w:proofErr w:type="spellEnd"/>
      <w:r w:rsidRPr="00910F24">
        <w:rPr>
          <w:rFonts w:eastAsia="Calibri"/>
          <w:lang w:val="en-US" w:eastAsia="bg-BG"/>
        </w:rPr>
        <w:t xml:space="preserve"> </w:t>
      </w:r>
      <w:proofErr w:type="spellStart"/>
      <w:r w:rsidRPr="00910F24">
        <w:rPr>
          <w:rFonts w:eastAsia="Calibri"/>
          <w:lang w:val="en-US" w:eastAsia="bg-BG"/>
        </w:rPr>
        <w:t>данни</w:t>
      </w:r>
      <w:proofErr w:type="spellEnd"/>
      <w:r w:rsidRPr="00910F24">
        <w:rPr>
          <w:rFonts w:eastAsia="Calibri"/>
          <w:lang w:val="en-US" w:eastAsia="bg-BG"/>
        </w:rPr>
        <w:t xml:space="preserve"> (</w:t>
      </w:r>
      <w:proofErr w:type="spellStart"/>
      <w:r w:rsidRPr="00910F24">
        <w:rPr>
          <w:rFonts w:eastAsia="Calibri"/>
          <w:lang w:val="en-US" w:eastAsia="bg-BG"/>
        </w:rPr>
        <w:t>Регламент</w:t>
      </w:r>
      <w:proofErr w:type="spellEnd"/>
      <w:r w:rsidRPr="00910F24">
        <w:rPr>
          <w:rFonts w:eastAsia="Calibri"/>
          <w:lang w:val="en-US" w:eastAsia="bg-BG"/>
        </w:rPr>
        <w:t xml:space="preserve"> ЕС 2016/679).</w:t>
      </w:r>
    </w:p>
    <w:p w14:paraId="7CD93711" w14:textId="77777777"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lang w:val="en-US" w:eastAsia="bg-BG"/>
        </w:rPr>
        <w:t>Оценяването</w:t>
      </w:r>
      <w:proofErr w:type="spellEnd"/>
      <w:r w:rsidRPr="00910F24">
        <w:rPr>
          <w:rFonts w:eastAsia="Calibri"/>
          <w:lang w:val="en-US" w:eastAsia="bg-BG"/>
        </w:rPr>
        <w:t xml:space="preserve"> </w:t>
      </w:r>
      <w:proofErr w:type="spellStart"/>
      <w:r w:rsidRPr="00910F24">
        <w:rPr>
          <w:rFonts w:eastAsia="Calibri"/>
          <w:lang w:val="en-US" w:eastAsia="bg-BG"/>
        </w:rPr>
        <w:t>се</w:t>
      </w:r>
      <w:proofErr w:type="spellEnd"/>
      <w:r w:rsidRPr="00910F24">
        <w:rPr>
          <w:rFonts w:eastAsia="Calibri"/>
          <w:lang w:val="en-US" w:eastAsia="bg-BG"/>
        </w:rPr>
        <w:t xml:space="preserve"> </w:t>
      </w:r>
      <w:proofErr w:type="spellStart"/>
      <w:r w:rsidRPr="00910F24">
        <w:rPr>
          <w:rFonts w:eastAsia="Calibri"/>
          <w:lang w:val="en-US" w:eastAsia="bg-BG"/>
        </w:rPr>
        <w:t>извършва</w:t>
      </w:r>
      <w:proofErr w:type="spellEnd"/>
      <w:r w:rsidRPr="00910F24">
        <w:rPr>
          <w:rFonts w:eastAsia="Calibri"/>
          <w:lang w:val="en-US" w:eastAsia="bg-BG"/>
        </w:rPr>
        <w:t xml:space="preserve"> </w:t>
      </w:r>
      <w:proofErr w:type="spellStart"/>
      <w:r w:rsidRPr="00910F24">
        <w:rPr>
          <w:rFonts w:eastAsia="Calibri"/>
          <w:lang w:val="en-US" w:eastAsia="bg-BG"/>
        </w:rPr>
        <w:t>три</w:t>
      </w:r>
      <w:proofErr w:type="spellEnd"/>
      <w:r w:rsidRPr="00910F24">
        <w:rPr>
          <w:rFonts w:eastAsia="Calibri"/>
          <w:lang w:val="en-US" w:eastAsia="bg-BG"/>
        </w:rPr>
        <w:t xml:space="preserve"> </w:t>
      </w:r>
      <w:proofErr w:type="spellStart"/>
      <w:r w:rsidRPr="00910F24">
        <w:rPr>
          <w:rFonts w:eastAsia="Calibri"/>
          <w:lang w:val="en-US" w:eastAsia="bg-BG"/>
        </w:rPr>
        <w:t>или</w:t>
      </w:r>
      <w:proofErr w:type="spellEnd"/>
      <w:r w:rsidRPr="00910F24">
        <w:rPr>
          <w:rFonts w:eastAsia="Calibri"/>
          <w:lang w:val="en-US" w:eastAsia="bg-BG"/>
        </w:rPr>
        <w:t xml:space="preserve"> </w:t>
      </w:r>
      <w:proofErr w:type="spellStart"/>
      <w:r w:rsidRPr="00910F24">
        <w:rPr>
          <w:rFonts w:eastAsia="Calibri"/>
          <w:lang w:val="en-US" w:eastAsia="bg-BG"/>
        </w:rPr>
        <w:t>четири</w:t>
      </w:r>
      <w:proofErr w:type="spellEnd"/>
      <w:r w:rsidRPr="00910F24">
        <w:rPr>
          <w:rFonts w:eastAsia="Calibri"/>
          <w:lang w:val="en-US" w:eastAsia="bg-BG"/>
        </w:rPr>
        <w:t xml:space="preserve"> </w:t>
      </w:r>
      <w:proofErr w:type="spellStart"/>
      <w:r w:rsidRPr="00910F24">
        <w:rPr>
          <w:rFonts w:eastAsia="Calibri"/>
          <w:lang w:val="en-US" w:eastAsia="bg-BG"/>
        </w:rPr>
        <w:t>пъти</w:t>
      </w:r>
      <w:proofErr w:type="spellEnd"/>
      <w:r w:rsidRPr="00910F24">
        <w:rPr>
          <w:rFonts w:eastAsia="Calibri"/>
          <w:lang w:val="en-US" w:eastAsia="bg-BG"/>
        </w:rPr>
        <w:t xml:space="preserve"> </w:t>
      </w:r>
      <w:proofErr w:type="spellStart"/>
      <w:r w:rsidRPr="00910F24">
        <w:rPr>
          <w:rFonts w:eastAsia="Calibri"/>
          <w:lang w:val="en-US" w:eastAsia="bg-BG"/>
        </w:rPr>
        <w:t>годишно</w:t>
      </w:r>
      <w:proofErr w:type="spellEnd"/>
      <w:r w:rsidRPr="00910F24">
        <w:rPr>
          <w:rFonts w:eastAsia="Calibri"/>
          <w:lang w:val="en-US" w:eastAsia="bg-BG"/>
        </w:rPr>
        <w:t xml:space="preserve"> в </w:t>
      </w:r>
      <w:proofErr w:type="spellStart"/>
      <w:r w:rsidRPr="00910F24">
        <w:rPr>
          <w:rFonts w:eastAsia="Calibri"/>
          <w:lang w:val="en-US" w:eastAsia="bg-BG"/>
        </w:rPr>
        <w:t>зависимост</w:t>
      </w:r>
      <w:proofErr w:type="spellEnd"/>
      <w:r w:rsidRPr="00910F24">
        <w:rPr>
          <w:rFonts w:eastAsia="Calibri"/>
          <w:lang w:val="en-US" w:eastAsia="bg-BG"/>
        </w:rPr>
        <w:t xml:space="preserve">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броя</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постъпилите</w:t>
      </w:r>
      <w:proofErr w:type="spellEnd"/>
      <w:r w:rsidRPr="00910F24">
        <w:rPr>
          <w:rFonts w:eastAsia="Calibri"/>
          <w:lang w:val="en-US" w:eastAsia="bg-BG"/>
        </w:rPr>
        <w:t xml:space="preserve"> </w:t>
      </w:r>
      <w:proofErr w:type="spellStart"/>
      <w:r w:rsidRPr="00910F24">
        <w:rPr>
          <w:rFonts w:eastAsia="Calibri"/>
          <w:lang w:val="en-US" w:eastAsia="bg-BG"/>
        </w:rPr>
        <w:t>проектни</w:t>
      </w:r>
      <w:proofErr w:type="spellEnd"/>
      <w:r w:rsidRPr="00910F24">
        <w:rPr>
          <w:rFonts w:eastAsia="Calibri"/>
          <w:lang w:val="en-US" w:eastAsia="bg-BG"/>
        </w:rPr>
        <w:t xml:space="preserve"> </w:t>
      </w:r>
      <w:proofErr w:type="spellStart"/>
      <w:r w:rsidRPr="00910F24">
        <w:rPr>
          <w:rFonts w:eastAsia="Calibri"/>
          <w:lang w:val="en-US" w:eastAsia="bg-BG"/>
        </w:rPr>
        <w:t>предложения</w:t>
      </w:r>
      <w:proofErr w:type="spellEnd"/>
      <w:r w:rsidRPr="00910F24">
        <w:rPr>
          <w:rFonts w:eastAsia="Calibri"/>
          <w:lang w:val="en-US" w:eastAsia="bg-BG"/>
        </w:rPr>
        <w:t>.</w:t>
      </w:r>
    </w:p>
    <w:p w14:paraId="34227745" w14:textId="77777777" w:rsidR="00910F24" w:rsidRPr="00910F24" w:rsidRDefault="00910F24" w:rsidP="00A565EB">
      <w:pPr>
        <w:spacing w:before="120" w:after="120" w:line="276" w:lineRule="auto"/>
        <w:jc w:val="both"/>
        <w:rPr>
          <w:rFonts w:eastAsia="Calibri"/>
          <w:b/>
          <w:bCs/>
          <w:lang w:val="en-US" w:eastAsia="bg-BG"/>
        </w:rPr>
      </w:pPr>
      <w:r w:rsidRPr="00910F24">
        <w:rPr>
          <w:rFonts w:eastAsia="Calibri"/>
          <w:b/>
          <w:bCs/>
          <w:lang w:val="en-US" w:eastAsia="bg-BG"/>
        </w:rPr>
        <w:t xml:space="preserve">5. </w:t>
      </w:r>
      <w:proofErr w:type="spellStart"/>
      <w:r w:rsidRPr="00910F24">
        <w:rPr>
          <w:rFonts w:eastAsia="Calibri"/>
          <w:b/>
          <w:bCs/>
          <w:lang w:val="en-US" w:eastAsia="bg-BG"/>
        </w:rPr>
        <w:t>Изисквания</w:t>
      </w:r>
      <w:proofErr w:type="spellEnd"/>
      <w:r w:rsidRPr="00910F24">
        <w:rPr>
          <w:rFonts w:eastAsia="Calibri"/>
          <w:b/>
          <w:bCs/>
          <w:lang w:val="en-US" w:eastAsia="bg-BG"/>
        </w:rPr>
        <w:t xml:space="preserve"> </w:t>
      </w:r>
      <w:proofErr w:type="spellStart"/>
      <w:r w:rsidRPr="00910F24">
        <w:rPr>
          <w:rFonts w:eastAsia="Calibri"/>
          <w:b/>
          <w:bCs/>
          <w:lang w:val="en-US" w:eastAsia="bg-BG"/>
        </w:rPr>
        <w:t>към</w:t>
      </w:r>
      <w:proofErr w:type="spellEnd"/>
      <w:r w:rsidRPr="00910F24">
        <w:rPr>
          <w:rFonts w:eastAsia="Calibri"/>
          <w:b/>
          <w:bCs/>
          <w:lang w:val="en-US" w:eastAsia="bg-BG"/>
        </w:rPr>
        <w:t xml:space="preserve"> </w:t>
      </w:r>
      <w:proofErr w:type="spellStart"/>
      <w:r w:rsidRPr="00910F24">
        <w:rPr>
          <w:rFonts w:eastAsia="Calibri"/>
          <w:b/>
          <w:bCs/>
          <w:lang w:val="en-US" w:eastAsia="bg-BG"/>
        </w:rPr>
        <w:t>кандидатите</w:t>
      </w:r>
      <w:proofErr w:type="spellEnd"/>
      <w:r w:rsidRPr="00910F24">
        <w:rPr>
          <w:rFonts w:eastAsia="Calibri"/>
          <w:b/>
          <w:bCs/>
          <w:lang w:val="en-US" w:eastAsia="bg-BG"/>
        </w:rPr>
        <w:t xml:space="preserve"> и </w:t>
      </w:r>
      <w:proofErr w:type="spellStart"/>
      <w:r w:rsidRPr="00910F24">
        <w:rPr>
          <w:rFonts w:eastAsia="Calibri"/>
          <w:b/>
          <w:bCs/>
          <w:lang w:val="en-US" w:eastAsia="bg-BG"/>
        </w:rPr>
        <w:t>проектите</w:t>
      </w:r>
      <w:proofErr w:type="spellEnd"/>
      <w:r w:rsidRPr="00910F24">
        <w:rPr>
          <w:rFonts w:eastAsia="Calibri"/>
          <w:b/>
          <w:bCs/>
          <w:lang w:val="en-US" w:eastAsia="bg-BG"/>
        </w:rPr>
        <w:t>.</w:t>
      </w:r>
    </w:p>
    <w:p w14:paraId="294661B8" w14:textId="77777777"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b/>
          <w:bCs/>
          <w:lang w:val="en-US" w:eastAsia="bg-BG"/>
        </w:rPr>
        <w:t>Допустими</w:t>
      </w:r>
      <w:proofErr w:type="spellEnd"/>
      <w:r w:rsidRPr="00910F24">
        <w:rPr>
          <w:rFonts w:eastAsia="Calibri"/>
          <w:b/>
          <w:bCs/>
          <w:lang w:val="en-US" w:eastAsia="bg-BG"/>
        </w:rPr>
        <w:t xml:space="preserve"> </w:t>
      </w:r>
      <w:proofErr w:type="spellStart"/>
      <w:r w:rsidRPr="00910F24">
        <w:rPr>
          <w:rFonts w:eastAsia="Calibri"/>
          <w:b/>
          <w:bCs/>
          <w:lang w:val="en-US" w:eastAsia="bg-BG"/>
        </w:rPr>
        <w:t>кандидати</w:t>
      </w:r>
      <w:proofErr w:type="spellEnd"/>
      <w:r w:rsidRPr="00910F24">
        <w:rPr>
          <w:rFonts w:eastAsia="Calibri"/>
          <w:b/>
          <w:bCs/>
          <w:lang w:val="en-US" w:eastAsia="bg-BG"/>
        </w:rPr>
        <w:t>:</w:t>
      </w:r>
    </w:p>
    <w:p w14:paraId="0C1F868B" w14:textId="77777777"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b/>
          <w:bCs/>
          <w:lang w:val="en-US" w:eastAsia="bg-BG"/>
        </w:rPr>
        <w:t>Критерии</w:t>
      </w:r>
      <w:proofErr w:type="spellEnd"/>
      <w:r w:rsidRPr="00910F24">
        <w:rPr>
          <w:rFonts w:eastAsia="Calibri"/>
          <w:b/>
          <w:bCs/>
          <w:lang w:val="en-US" w:eastAsia="bg-BG"/>
        </w:rPr>
        <w:t xml:space="preserve"> </w:t>
      </w:r>
      <w:proofErr w:type="spellStart"/>
      <w:r w:rsidRPr="00910F24">
        <w:rPr>
          <w:rFonts w:eastAsia="Calibri"/>
          <w:b/>
          <w:bCs/>
          <w:lang w:val="en-US" w:eastAsia="bg-BG"/>
        </w:rPr>
        <w:t>за</w:t>
      </w:r>
      <w:proofErr w:type="spellEnd"/>
      <w:r w:rsidRPr="00910F24">
        <w:rPr>
          <w:rFonts w:eastAsia="Calibri"/>
          <w:b/>
          <w:bCs/>
          <w:lang w:val="en-US" w:eastAsia="bg-BG"/>
        </w:rPr>
        <w:t xml:space="preserve"> </w:t>
      </w:r>
      <w:proofErr w:type="spellStart"/>
      <w:r w:rsidRPr="00910F24">
        <w:rPr>
          <w:rFonts w:eastAsia="Calibri"/>
          <w:b/>
          <w:bCs/>
          <w:lang w:val="en-US" w:eastAsia="bg-BG"/>
        </w:rPr>
        <w:t>допустимост</w:t>
      </w:r>
      <w:proofErr w:type="spellEnd"/>
      <w:r w:rsidRPr="00910F24">
        <w:rPr>
          <w:rFonts w:eastAsia="Calibri"/>
          <w:b/>
          <w:bCs/>
          <w:lang w:val="en-US" w:eastAsia="bg-BG"/>
        </w:rPr>
        <w:t xml:space="preserve"> </w:t>
      </w:r>
      <w:proofErr w:type="spellStart"/>
      <w:r w:rsidRPr="00910F24">
        <w:rPr>
          <w:rFonts w:eastAsia="Calibri"/>
          <w:b/>
          <w:bCs/>
          <w:lang w:val="en-US" w:eastAsia="bg-BG"/>
        </w:rPr>
        <w:t>на</w:t>
      </w:r>
      <w:proofErr w:type="spellEnd"/>
      <w:r w:rsidRPr="00910F24">
        <w:rPr>
          <w:rFonts w:eastAsia="Calibri"/>
          <w:b/>
          <w:bCs/>
          <w:lang w:val="en-US" w:eastAsia="bg-BG"/>
        </w:rPr>
        <w:t xml:space="preserve"> </w:t>
      </w:r>
      <w:proofErr w:type="spellStart"/>
      <w:r w:rsidRPr="00910F24">
        <w:rPr>
          <w:rFonts w:eastAsia="Calibri"/>
          <w:b/>
          <w:bCs/>
          <w:lang w:val="en-US" w:eastAsia="bg-BG"/>
        </w:rPr>
        <w:t>кандидатите</w:t>
      </w:r>
      <w:proofErr w:type="spellEnd"/>
    </w:p>
    <w:p w14:paraId="30794CE7" w14:textId="77777777" w:rsidR="00910F24" w:rsidRPr="00910F24" w:rsidRDefault="00910F24" w:rsidP="005D1D65">
      <w:pPr>
        <w:numPr>
          <w:ilvl w:val="0"/>
          <w:numId w:val="22"/>
        </w:numPr>
        <w:spacing w:before="120" w:after="120" w:line="276" w:lineRule="auto"/>
        <w:jc w:val="both"/>
        <w:rPr>
          <w:rFonts w:eastAsia="Calibri"/>
          <w:lang w:val="en-US" w:eastAsia="bg-BG"/>
        </w:rPr>
      </w:pPr>
      <w:proofErr w:type="spellStart"/>
      <w:r w:rsidRPr="00910F24">
        <w:rPr>
          <w:rFonts w:eastAsia="Calibri"/>
          <w:lang w:val="en-US" w:eastAsia="bg-BG"/>
        </w:rPr>
        <w:t>акредитирани</w:t>
      </w:r>
      <w:proofErr w:type="spellEnd"/>
      <w:r w:rsidRPr="00910F24">
        <w:rPr>
          <w:rFonts w:eastAsia="Calibri"/>
          <w:lang w:val="en-US" w:eastAsia="bg-BG"/>
        </w:rPr>
        <w:t xml:space="preserve"> </w:t>
      </w:r>
      <w:proofErr w:type="spellStart"/>
      <w:r w:rsidRPr="00910F24">
        <w:rPr>
          <w:rFonts w:eastAsia="Calibri"/>
          <w:lang w:val="en-US" w:eastAsia="bg-BG"/>
        </w:rPr>
        <w:t>висши</w:t>
      </w:r>
      <w:proofErr w:type="spellEnd"/>
      <w:r w:rsidRPr="00910F24">
        <w:rPr>
          <w:rFonts w:eastAsia="Calibri"/>
          <w:lang w:val="en-US" w:eastAsia="bg-BG"/>
        </w:rPr>
        <w:t xml:space="preserve"> </w:t>
      </w:r>
      <w:proofErr w:type="spellStart"/>
      <w:r w:rsidRPr="00910F24">
        <w:rPr>
          <w:rFonts w:eastAsia="Calibri"/>
          <w:lang w:val="en-US" w:eastAsia="bg-BG"/>
        </w:rPr>
        <w:t>училища</w:t>
      </w:r>
      <w:proofErr w:type="spellEnd"/>
      <w:r w:rsidRPr="00910F24">
        <w:rPr>
          <w:rFonts w:eastAsia="Calibri"/>
          <w:lang w:val="en-US" w:eastAsia="bg-BG"/>
        </w:rPr>
        <w:t xml:space="preserve"> по </w:t>
      </w:r>
      <w:proofErr w:type="spellStart"/>
      <w:r w:rsidRPr="00910F24">
        <w:rPr>
          <w:rFonts w:eastAsia="Calibri"/>
          <w:lang w:val="en-US" w:eastAsia="bg-BG"/>
        </w:rPr>
        <w:t>чл</w:t>
      </w:r>
      <w:proofErr w:type="spellEnd"/>
      <w:r w:rsidRPr="00910F24">
        <w:rPr>
          <w:rFonts w:eastAsia="Calibri"/>
          <w:lang w:val="en-US" w:eastAsia="bg-BG"/>
        </w:rPr>
        <w:t xml:space="preserve">. 85, </w:t>
      </w:r>
      <w:proofErr w:type="spellStart"/>
      <w:r w:rsidRPr="00910F24">
        <w:rPr>
          <w:rFonts w:eastAsia="Calibri"/>
          <w:lang w:val="en-US" w:eastAsia="bg-BG"/>
        </w:rPr>
        <w:t>ал</w:t>
      </w:r>
      <w:proofErr w:type="spellEnd"/>
      <w:r w:rsidRPr="00910F24">
        <w:rPr>
          <w:rFonts w:eastAsia="Calibri"/>
          <w:lang w:val="en-US" w:eastAsia="bg-BG"/>
        </w:rPr>
        <w:t xml:space="preserve">. 1, т. 7 </w:t>
      </w:r>
      <w:proofErr w:type="spellStart"/>
      <w:r w:rsidRPr="00910F24">
        <w:rPr>
          <w:rFonts w:eastAsia="Calibri"/>
          <w:lang w:val="en-US" w:eastAsia="bg-BG"/>
        </w:rPr>
        <w:t>на</w:t>
      </w:r>
      <w:proofErr w:type="spellEnd"/>
      <w:r w:rsidRPr="00910F24">
        <w:rPr>
          <w:rFonts w:eastAsia="Calibri"/>
          <w:lang w:val="en-US" w:eastAsia="bg-BG"/>
        </w:rPr>
        <w:t xml:space="preserve"> ЗВО (</w:t>
      </w:r>
      <w:proofErr w:type="spellStart"/>
      <w:r w:rsidRPr="00910F24">
        <w:rPr>
          <w:rFonts w:eastAsia="Calibri"/>
          <w:lang w:val="en-US" w:eastAsia="bg-BG"/>
        </w:rPr>
        <w:t>обн</w:t>
      </w:r>
      <w:proofErr w:type="spellEnd"/>
      <w:r w:rsidRPr="00910F24">
        <w:rPr>
          <w:rFonts w:eastAsia="Calibri"/>
          <w:lang w:val="en-US" w:eastAsia="bg-BG"/>
        </w:rPr>
        <w:t xml:space="preserve">. ДВ. </w:t>
      </w:r>
      <w:proofErr w:type="spellStart"/>
      <w:r w:rsidRPr="00910F24">
        <w:rPr>
          <w:rFonts w:eastAsia="Calibri"/>
          <w:lang w:val="en-US" w:eastAsia="bg-BG"/>
        </w:rPr>
        <w:t>бр</w:t>
      </w:r>
      <w:proofErr w:type="spellEnd"/>
      <w:r w:rsidRPr="00910F24">
        <w:rPr>
          <w:rFonts w:eastAsia="Calibri"/>
          <w:lang w:val="en-US" w:eastAsia="bg-BG"/>
        </w:rPr>
        <w:t xml:space="preserve">. 112 </w:t>
      </w:r>
      <w:proofErr w:type="spellStart"/>
      <w:r w:rsidRPr="00910F24">
        <w:rPr>
          <w:rFonts w:eastAsia="Calibri"/>
          <w:lang w:val="en-US" w:eastAsia="bg-BG"/>
        </w:rPr>
        <w:t>от</w:t>
      </w:r>
      <w:proofErr w:type="spellEnd"/>
      <w:r w:rsidRPr="00910F24">
        <w:rPr>
          <w:rFonts w:eastAsia="Calibri"/>
          <w:lang w:val="en-US" w:eastAsia="bg-BG"/>
        </w:rPr>
        <w:t xml:space="preserve"> 27 </w:t>
      </w:r>
      <w:proofErr w:type="spellStart"/>
      <w:r w:rsidRPr="00910F24">
        <w:rPr>
          <w:rFonts w:eastAsia="Calibri"/>
          <w:lang w:val="en-US" w:eastAsia="bg-BG"/>
        </w:rPr>
        <w:t>декември</w:t>
      </w:r>
      <w:proofErr w:type="spellEnd"/>
      <w:r w:rsidRPr="00910F24">
        <w:rPr>
          <w:rFonts w:eastAsia="Calibri"/>
          <w:lang w:val="en-US" w:eastAsia="bg-BG"/>
        </w:rPr>
        <w:t xml:space="preserve"> 1995 г. и </w:t>
      </w:r>
      <w:proofErr w:type="spellStart"/>
      <w:r w:rsidRPr="00910F24">
        <w:rPr>
          <w:rFonts w:eastAsia="Calibri"/>
          <w:lang w:val="en-US" w:eastAsia="bg-BG"/>
        </w:rPr>
        <w:t>последващи</w:t>
      </w:r>
      <w:proofErr w:type="spellEnd"/>
      <w:r w:rsidRPr="00910F24">
        <w:rPr>
          <w:rFonts w:eastAsia="Calibri"/>
          <w:lang w:val="en-US" w:eastAsia="bg-BG"/>
        </w:rPr>
        <w:t xml:space="preserve"> </w:t>
      </w:r>
      <w:proofErr w:type="spellStart"/>
      <w:r w:rsidRPr="00910F24">
        <w:rPr>
          <w:rFonts w:eastAsia="Calibri"/>
          <w:lang w:val="en-US" w:eastAsia="bg-BG"/>
        </w:rPr>
        <w:t>изм</w:t>
      </w:r>
      <w:proofErr w:type="spellEnd"/>
      <w:r w:rsidRPr="00910F24">
        <w:rPr>
          <w:rFonts w:eastAsia="Calibri"/>
          <w:lang w:val="en-US" w:eastAsia="bg-BG"/>
        </w:rPr>
        <w:t>.);</w:t>
      </w:r>
    </w:p>
    <w:p w14:paraId="3887FB8E" w14:textId="77777777" w:rsidR="00910F24" w:rsidRPr="00910F24" w:rsidRDefault="00910F24" w:rsidP="005D1D65">
      <w:pPr>
        <w:numPr>
          <w:ilvl w:val="0"/>
          <w:numId w:val="22"/>
        </w:numPr>
        <w:spacing w:before="120" w:after="120" w:line="276" w:lineRule="auto"/>
        <w:jc w:val="both"/>
        <w:rPr>
          <w:rFonts w:eastAsia="Calibri"/>
          <w:lang w:val="en-US" w:eastAsia="bg-BG"/>
        </w:rPr>
      </w:pPr>
      <w:proofErr w:type="spellStart"/>
      <w:r w:rsidRPr="00910F24">
        <w:rPr>
          <w:rFonts w:eastAsia="Calibri"/>
          <w:lang w:val="en-US" w:eastAsia="bg-BG"/>
        </w:rPr>
        <w:t>научни</w:t>
      </w:r>
      <w:proofErr w:type="spellEnd"/>
      <w:r w:rsidRPr="00910F24">
        <w:rPr>
          <w:rFonts w:eastAsia="Calibri"/>
          <w:lang w:val="en-US" w:eastAsia="bg-BG"/>
        </w:rPr>
        <w:t xml:space="preserve"> </w:t>
      </w:r>
      <w:proofErr w:type="spellStart"/>
      <w:r w:rsidRPr="00910F24">
        <w:rPr>
          <w:rFonts w:eastAsia="Calibri"/>
          <w:lang w:val="en-US" w:eastAsia="bg-BG"/>
        </w:rPr>
        <w:t>организации</w:t>
      </w:r>
      <w:proofErr w:type="spellEnd"/>
      <w:r w:rsidRPr="00910F24">
        <w:rPr>
          <w:rFonts w:eastAsia="Calibri"/>
          <w:lang w:val="en-US" w:eastAsia="bg-BG"/>
        </w:rPr>
        <w:t xml:space="preserve">, </w:t>
      </w:r>
      <w:proofErr w:type="spellStart"/>
      <w:r w:rsidRPr="00910F24">
        <w:rPr>
          <w:rFonts w:eastAsia="Calibri"/>
          <w:lang w:val="en-US" w:eastAsia="bg-BG"/>
        </w:rPr>
        <w:t>съгласно</w:t>
      </w:r>
      <w:proofErr w:type="spellEnd"/>
      <w:r w:rsidRPr="00910F24">
        <w:rPr>
          <w:rFonts w:eastAsia="Calibri"/>
          <w:lang w:val="en-US" w:eastAsia="bg-BG"/>
        </w:rPr>
        <w:t xml:space="preserve"> §</w:t>
      </w:r>
      <w:proofErr w:type="gramStart"/>
      <w:r w:rsidRPr="00910F24">
        <w:rPr>
          <w:rFonts w:eastAsia="Calibri"/>
          <w:lang w:val="en-US" w:eastAsia="bg-BG"/>
        </w:rPr>
        <w:t>1 ,</w:t>
      </w:r>
      <w:proofErr w:type="gramEnd"/>
      <w:r w:rsidRPr="00910F24">
        <w:rPr>
          <w:rFonts w:eastAsia="Calibri"/>
          <w:lang w:val="en-US" w:eastAsia="bg-BG"/>
        </w:rPr>
        <w:t xml:space="preserve"> т. 1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Допълнителните</w:t>
      </w:r>
      <w:proofErr w:type="spellEnd"/>
      <w:r w:rsidRPr="00910F24">
        <w:rPr>
          <w:rFonts w:eastAsia="Calibri"/>
          <w:lang w:val="en-US" w:eastAsia="bg-BG"/>
        </w:rPr>
        <w:t xml:space="preserve"> </w:t>
      </w:r>
      <w:proofErr w:type="spellStart"/>
      <w:r w:rsidRPr="00910F24">
        <w:rPr>
          <w:rFonts w:eastAsia="Calibri"/>
          <w:lang w:val="en-US" w:eastAsia="bg-BG"/>
        </w:rPr>
        <w:t>разпоредби</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ЗННИИ, и по </w:t>
      </w:r>
      <w:proofErr w:type="spellStart"/>
      <w:r w:rsidRPr="00910F24">
        <w:rPr>
          <w:rFonts w:eastAsia="Calibri"/>
          <w:lang w:val="en-US" w:eastAsia="bg-BG"/>
        </w:rPr>
        <w:t>чл</w:t>
      </w:r>
      <w:proofErr w:type="spellEnd"/>
      <w:r w:rsidRPr="00910F24">
        <w:rPr>
          <w:rFonts w:eastAsia="Calibri"/>
          <w:lang w:val="en-US" w:eastAsia="bg-BG"/>
        </w:rPr>
        <w:t xml:space="preserve">. 47, </w:t>
      </w:r>
      <w:proofErr w:type="spellStart"/>
      <w:r w:rsidRPr="00910F24">
        <w:rPr>
          <w:rFonts w:eastAsia="Calibri"/>
          <w:lang w:val="en-US" w:eastAsia="bg-BG"/>
        </w:rPr>
        <w:t>ал</w:t>
      </w:r>
      <w:proofErr w:type="spellEnd"/>
      <w:r w:rsidRPr="00910F24">
        <w:rPr>
          <w:rFonts w:eastAsia="Calibri"/>
          <w:lang w:val="en-US" w:eastAsia="bg-BG"/>
        </w:rPr>
        <w:t xml:space="preserve">. 1 </w:t>
      </w:r>
      <w:proofErr w:type="spellStart"/>
      <w:r w:rsidRPr="00910F24">
        <w:rPr>
          <w:rFonts w:eastAsia="Calibri"/>
          <w:lang w:val="en-US" w:eastAsia="bg-BG"/>
        </w:rPr>
        <w:t>на</w:t>
      </w:r>
      <w:proofErr w:type="spellEnd"/>
      <w:r w:rsidRPr="00910F24">
        <w:rPr>
          <w:rFonts w:eastAsia="Calibri"/>
          <w:lang w:val="en-US" w:eastAsia="bg-BG"/>
        </w:rPr>
        <w:t xml:space="preserve"> ЗВО, </w:t>
      </w:r>
      <w:proofErr w:type="spellStart"/>
      <w:r w:rsidRPr="00910F24">
        <w:rPr>
          <w:rFonts w:eastAsia="Calibri"/>
          <w:lang w:val="en-US" w:eastAsia="bg-BG"/>
        </w:rPr>
        <w:t>които</w:t>
      </w:r>
      <w:proofErr w:type="spellEnd"/>
      <w:r w:rsidRPr="00910F24">
        <w:rPr>
          <w:rFonts w:eastAsia="Calibri"/>
          <w:lang w:val="en-US" w:eastAsia="bg-BG"/>
        </w:rPr>
        <w:t xml:space="preserve"> </w:t>
      </w:r>
      <w:proofErr w:type="spellStart"/>
      <w:r w:rsidRPr="00910F24">
        <w:rPr>
          <w:rFonts w:eastAsia="Calibri"/>
          <w:lang w:val="en-US" w:eastAsia="bg-BG"/>
        </w:rPr>
        <w:t>са</w:t>
      </w:r>
      <w:proofErr w:type="spellEnd"/>
      <w:r w:rsidRPr="00910F24">
        <w:rPr>
          <w:rFonts w:eastAsia="Calibri"/>
          <w:lang w:val="en-US" w:eastAsia="bg-BG"/>
        </w:rPr>
        <w:t xml:space="preserve"> </w:t>
      </w:r>
      <w:proofErr w:type="spellStart"/>
      <w:r w:rsidRPr="00910F24">
        <w:rPr>
          <w:rFonts w:eastAsia="Calibri"/>
          <w:lang w:val="en-US" w:eastAsia="bg-BG"/>
        </w:rPr>
        <w:t>акредитирани</w:t>
      </w:r>
      <w:proofErr w:type="spellEnd"/>
      <w:r w:rsidRPr="00910F24">
        <w:rPr>
          <w:rFonts w:eastAsia="Calibri"/>
          <w:lang w:val="en-US" w:eastAsia="bg-BG"/>
        </w:rPr>
        <w:t xml:space="preserve"> </w:t>
      </w:r>
      <w:proofErr w:type="spellStart"/>
      <w:r w:rsidRPr="00910F24">
        <w:rPr>
          <w:rFonts w:eastAsia="Calibri"/>
          <w:lang w:val="en-US" w:eastAsia="bg-BG"/>
        </w:rPr>
        <w:t>от</w:t>
      </w:r>
      <w:proofErr w:type="spellEnd"/>
      <w:r w:rsidRPr="00910F24">
        <w:rPr>
          <w:rFonts w:eastAsia="Calibri"/>
          <w:lang w:val="en-US" w:eastAsia="bg-BG"/>
        </w:rPr>
        <w:t xml:space="preserve"> НАОА </w:t>
      </w:r>
      <w:proofErr w:type="spellStart"/>
      <w:r w:rsidRPr="00910F24">
        <w:rPr>
          <w:rFonts w:eastAsia="Calibri"/>
          <w:lang w:val="en-US" w:eastAsia="bg-BG"/>
        </w:rPr>
        <w:t>да</w:t>
      </w:r>
      <w:proofErr w:type="spellEnd"/>
      <w:r w:rsidRPr="00910F24">
        <w:rPr>
          <w:rFonts w:eastAsia="Calibri"/>
          <w:lang w:val="en-US" w:eastAsia="bg-BG"/>
        </w:rPr>
        <w:t xml:space="preserve"> </w:t>
      </w:r>
      <w:proofErr w:type="spellStart"/>
      <w:r w:rsidRPr="00910F24">
        <w:rPr>
          <w:rFonts w:eastAsia="Calibri"/>
          <w:lang w:val="en-US" w:eastAsia="bg-BG"/>
        </w:rPr>
        <w:t>провеждат</w:t>
      </w:r>
      <w:proofErr w:type="spellEnd"/>
      <w:r w:rsidRPr="00910F24">
        <w:rPr>
          <w:rFonts w:eastAsia="Calibri"/>
          <w:lang w:val="en-US" w:eastAsia="bg-BG"/>
        </w:rPr>
        <w:t xml:space="preserve"> </w:t>
      </w:r>
      <w:proofErr w:type="spellStart"/>
      <w:r w:rsidRPr="00910F24">
        <w:rPr>
          <w:rFonts w:eastAsia="Calibri"/>
          <w:lang w:val="en-US" w:eastAsia="bg-BG"/>
        </w:rPr>
        <w:t>обучение</w:t>
      </w:r>
      <w:proofErr w:type="spellEnd"/>
      <w:r w:rsidRPr="00910F24">
        <w:rPr>
          <w:rFonts w:eastAsia="Calibri"/>
          <w:lang w:val="en-US" w:eastAsia="bg-BG"/>
        </w:rPr>
        <w:t xml:space="preserve"> по </w:t>
      </w:r>
      <w:proofErr w:type="spellStart"/>
      <w:r w:rsidRPr="00910F24">
        <w:rPr>
          <w:rFonts w:eastAsia="Calibri"/>
          <w:lang w:val="en-US" w:eastAsia="bg-BG"/>
        </w:rPr>
        <w:t>образователна</w:t>
      </w:r>
      <w:proofErr w:type="spellEnd"/>
      <w:r w:rsidRPr="00910F24">
        <w:rPr>
          <w:rFonts w:eastAsia="Calibri"/>
          <w:lang w:val="en-US" w:eastAsia="bg-BG"/>
        </w:rPr>
        <w:t xml:space="preserve"> и </w:t>
      </w:r>
      <w:proofErr w:type="spellStart"/>
      <w:r w:rsidRPr="00910F24">
        <w:rPr>
          <w:rFonts w:eastAsia="Calibri"/>
          <w:lang w:val="en-US" w:eastAsia="bg-BG"/>
        </w:rPr>
        <w:t>научна</w:t>
      </w:r>
      <w:proofErr w:type="spellEnd"/>
      <w:r w:rsidRPr="00910F24">
        <w:rPr>
          <w:rFonts w:eastAsia="Calibri"/>
          <w:lang w:val="en-US" w:eastAsia="bg-BG"/>
        </w:rPr>
        <w:t xml:space="preserve"> </w:t>
      </w:r>
      <w:proofErr w:type="spellStart"/>
      <w:r w:rsidRPr="00910F24">
        <w:rPr>
          <w:rFonts w:eastAsia="Calibri"/>
          <w:lang w:val="en-US" w:eastAsia="bg-BG"/>
        </w:rPr>
        <w:t>степен</w:t>
      </w:r>
      <w:proofErr w:type="spellEnd"/>
      <w:r w:rsidRPr="00910F24">
        <w:rPr>
          <w:rFonts w:eastAsia="Calibri"/>
          <w:lang w:val="en-US" w:eastAsia="bg-BG"/>
        </w:rPr>
        <w:t xml:space="preserve"> „</w:t>
      </w:r>
      <w:proofErr w:type="spellStart"/>
      <w:proofErr w:type="gramStart"/>
      <w:r w:rsidRPr="00910F24">
        <w:rPr>
          <w:rFonts w:eastAsia="Calibri"/>
          <w:lang w:val="en-US" w:eastAsia="bg-BG"/>
        </w:rPr>
        <w:t>доктор</w:t>
      </w:r>
      <w:proofErr w:type="spellEnd"/>
      <w:r w:rsidRPr="00910F24">
        <w:rPr>
          <w:rFonts w:eastAsia="Calibri"/>
          <w:lang w:val="en-US" w:eastAsia="bg-BG"/>
        </w:rPr>
        <w:t>“</w:t>
      </w:r>
      <w:proofErr w:type="gramEnd"/>
      <w:r w:rsidRPr="00910F24">
        <w:rPr>
          <w:rFonts w:eastAsia="Calibri"/>
          <w:lang w:val="en-US" w:eastAsia="bg-BG"/>
        </w:rPr>
        <w:t>.</w:t>
      </w:r>
    </w:p>
    <w:p w14:paraId="1428AF83" w14:textId="042BFD59"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b/>
          <w:bCs/>
          <w:lang w:val="en-US" w:eastAsia="bg-BG"/>
        </w:rPr>
        <w:t>Критерии</w:t>
      </w:r>
      <w:proofErr w:type="spellEnd"/>
      <w:r w:rsidRPr="00910F24">
        <w:rPr>
          <w:rFonts w:eastAsia="Calibri"/>
          <w:b/>
          <w:bCs/>
          <w:lang w:val="en-US" w:eastAsia="bg-BG"/>
        </w:rPr>
        <w:t xml:space="preserve"> </w:t>
      </w:r>
      <w:proofErr w:type="spellStart"/>
      <w:r w:rsidRPr="00910F24">
        <w:rPr>
          <w:rFonts w:eastAsia="Calibri"/>
          <w:b/>
          <w:bCs/>
          <w:lang w:val="en-US" w:eastAsia="bg-BG"/>
        </w:rPr>
        <w:t>за</w:t>
      </w:r>
      <w:proofErr w:type="spellEnd"/>
      <w:r w:rsidRPr="00910F24">
        <w:rPr>
          <w:rFonts w:eastAsia="Calibri"/>
          <w:b/>
          <w:bCs/>
          <w:lang w:val="en-US" w:eastAsia="bg-BG"/>
        </w:rPr>
        <w:t xml:space="preserve"> </w:t>
      </w:r>
      <w:proofErr w:type="spellStart"/>
      <w:r w:rsidRPr="00910F24">
        <w:rPr>
          <w:rFonts w:eastAsia="Calibri"/>
          <w:b/>
          <w:bCs/>
          <w:lang w:val="en-US" w:eastAsia="bg-BG"/>
        </w:rPr>
        <w:t>допустимост</w:t>
      </w:r>
      <w:proofErr w:type="spellEnd"/>
      <w:r w:rsidRPr="00910F24">
        <w:rPr>
          <w:rFonts w:eastAsia="Calibri"/>
          <w:b/>
          <w:bCs/>
          <w:lang w:val="en-US" w:eastAsia="bg-BG"/>
        </w:rPr>
        <w:t xml:space="preserve"> и </w:t>
      </w:r>
      <w:proofErr w:type="spellStart"/>
      <w:r w:rsidRPr="00910F24">
        <w:rPr>
          <w:rFonts w:eastAsia="Calibri"/>
          <w:b/>
          <w:bCs/>
          <w:lang w:val="en-US" w:eastAsia="bg-BG"/>
        </w:rPr>
        <w:t>недопустимост</w:t>
      </w:r>
      <w:proofErr w:type="spellEnd"/>
      <w:r w:rsidRPr="00910F24">
        <w:rPr>
          <w:rFonts w:eastAsia="Calibri"/>
          <w:b/>
          <w:bCs/>
          <w:lang w:val="en-US" w:eastAsia="bg-BG"/>
        </w:rPr>
        <w:t xml:space="preserve"> </w:t>
      </w:r>
      <w:proofErr w:type="spellStart"/>
      <w:r w:rsidRPr="00910F24">
        <w:rPr>
          <w:rFonts w:eastAsia="Calibri"/>
          <w:b/>
          <w:bCs/>
          <w:lang w:val="en-US" w:eastAsia="bg-BG"/>
        </w:rPr>
        <w:t>на</w:t>
      </w:r>
      <w:proofErr w:type="spellEnd"/>
      <w:r w:rsidRPr="00910F24">
        <w:rPr>
          <w:rFonts w:eastAsia="Calibri"/>
          <w:b/>
          <w:bCs/>
          <w:lang w:val="en-US" w:eastAsia="bg-BG"/>
        </w:rPr>
        <w:t xml:space="preserve"> </w:t>
      </w:r>
      <w:proofErr w:type="spellStart"/>
      <w:r w:rsidRPr="00910F24">
        <w:rPr>
          <w:rFonts w:eastAsia="Calibri"/>
          <w:b/>
          <w:bCs/>
          <w:lang w:val="en-US" w:eastAsia="bg-BG"/>
        </w:rPr>
        <w:t>проектните</w:t>
      </w:r>
      <w:proofErr w:type="spellEnd"/>
      <w:r w:rsidRPr="00910F24">
        <w:rPr>
          <w:rFonts w:eastAsia="Calibri"/>
          <w:b/>
          <w:bCs/>
          <w:lang w:val="en-US" w:eastAsia="bg-BG"/>
        </w:rPr>
        <w:t xml:space="preserve"> </w:t>
      </w:r>
      <w:proofErr w:type="spellStart"/>
      <w:r w:rsidRPr="00910F24">
        <w:rPr>
          <w:rFonts w:eastAsia="Calibri"/>
          <w:b/>
          <w:bCs/>
          <w:lang w:val="en-US" w:eastAsia="bg-BG"/>
        </w:rPr>
        <w:t>предложения</w:t>
      </w:r>
      <w:proofErr w:type="spellEnd"/>
      <w:r w:rsidRPr="00910F24">
        <w:rPr>
          <w:rFonts w:eastAsia="Calibri"/>
          <w:b/>
          <w:bCs/>
          <w:lang w:val="en-US" w:eastAsia="bg-BG"/>
        </w:rPr>
        <w:t xml:space="preserve"> /</w:t>
      </w:r>
      <w:proofErr w:type="spellStart"/>
      <w:r w:rsidRPr="00910F24">
        <w:rPr>
          <w:rFonts w:eastAsia="Calibri"/>
          <w:b/>
          <w:bCs/>
          <w:lang w:val="en-US" w:eastAsia="bg-BG"/>
        </w:rPr>
        <w:t>дейностите</w:t>
      </w:r>
      <w:proofErr w:type="spellEnd"/>
      <w:r w:rsidRPr="00910F24">
        <w:rPr>
          <w:rFonts w:eastAsia="Calibri"/>
          <w:b/>
          <w:bCs/>
          <w:lang w:val="en-US" w:eastAsia="bg-BG"/>
        </w:rPr>
        <w:t>/</w:t>
      </w:r>
    </w:p>
    <w:p w14:paraId="77E1FCE4" w14:textId="77777777"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lang w:val="en-US" w:eastAsia="bg-BG"/>
        </w:rPr>
        <w:t>Финансовият</w:t>
      </w:r>
      <w:proofErr w:type="spellEnd"/>
      <w:r w:rsidRPr="00910F24">
        <w:rPr>
          <w:rFonts w:eastAsia="Calibri"/>
          <w:lang w:val="en-US" w:eastAsia="bg-BG"/>
        </w:rPr>
        <w:t xml:space="preserve"> </w:t>
      </w:r>
      <w:proofErr w:type="spellStart"/>
      <w:r w:rsidRPr="00910F24">
        <w:rPr>
          <w:rFonts w:eastAsia="Calibri"/>
          <w:lang w:val="en-US" w:eastAsia="bg-BG"/>
        </w:rPr>
        <w:t>план</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проектното</w:t>
      </w:r>
      <w:proofErr w:type="spellEnd"/>
      <w:r w:rsidRPr="00910F24">
        <w:rPr>
          <w:rFonts w:eastAsia="Calibri"/>
          <w:lang w:val="en-US" w:eastAsia="bg-BG"/>
        </w:rPr>
        <w:t xml:space="preserve"> </w:t>
      </w:r>
      <w:proofErr w:type="spellStart"/>
      <w:r w:rsidRPr="00910F24">
        <w:rPr>
          <w:rFonts w:eastAsia="Calibri"/>
          <w:lang w:val="en-US" w:eastAsia="bg-BG"/>
        </w:rPr>
        <w:t>предложение</w:t>
      </w:r>
      <w:proofErr w:type="spellEnd"/>
      <w:r w:rsidRPr="00910F24">
        <w:rPr>
          <w:rFonts w:eastAsia="Calibri"/>
          <w:lang w:val="en-US" w:eastAsia="bg-BG"/>
        </w:rPr>
        <w:t xml:space="preserve"> </w:t>
      </w:r>
      <w:proofErr w:type="spellStart"/>
      <w:r w:rsidRPr="00910F24">
        <w:rPr>
          <w:rFonts w:eastAsia="Calibri"/>
          <w:lang w:val="en-US" w:eastAsia="bg-BG"/>
        </w:rPr>
        <w:t>включва</w:t>
      </w:r>
      <w:proofErr w:type="spellEnd"/>
      <w:r w:rsidRPr="00910F24">
        <w:rPr>
          <w:rFonts w:eastAsia="Calibri"/>
          <w:lang w:val="en-US" w:eastAsia="bg-BG"/>
        </w:rPr>
        <w:t xml:space="preserve"> </w:t>
      </w:r>
      <w:proofErr w:type="spellStart"/>
      <w:r w:rsidRPr="00910F24">
        <w:rPr>
          <w:rFonts w:eastAsia="Calibri"/>
          <w:lang w:val="en-US" w:eastAsia="bg-BG"/>
        </w:rPr>
        <w:t>средства</w:t>
      </w:r>
      <w:proofErr w:type="spellEnd"/>
      <w:r w:rsidRPr="00910F24">
        <w:rPr>
          <w:rFonts w:eastAsia="Calibri"/>
          <w:lang w:val="en-US" w:eastAsia="bg-BG"/>
        </w:rPr>
        <w:t xml:space="preserve">, </w:t>
      </w:r>
      <w:proofErr w:type="spellStart"/>
      <w:r w:rsidRPr="00910F24">
        <w:rPr>
          <w:rFonts w:eastAsia="Calibri"/>
          <w:lang w:val="en-US" w:eastAsia="bg-BG"/>
        </w:rPr>
        <w:t>разпределени</w:t>
      </w:r>
      <w:proofErr w:type="spellEnd"/>
      <w:r w:rsidRPr="00910F24">
        <w:rPr>
          <w:rFonts w:eastAsia="Calibri"/>
          <w:lang w:val="en-US" w:eastAsia="bg-BG"/>
        </w:rPr>
        <w:t xml:space="preserve"> по </w:t>
      </w:r>
      <w:proofErr w:type="spellStart"/>
      <w:r w:rsidRPr="00910F24">
        <w:rPr>
          <w:rFonts w:eastAsia="Calibri"/>
          <w:lang w:val="en-US" w:eastAsia="bg-BG"/>
        </w:rPr>
        <w:t>следните</w:t>
      </w:r>
      <w:proofErr w:type="spellEnd"/>
      <w:r w:rsidRPr="00910F24">
        <w:rPr>
          <w:rFonts w:eastAsia="Calibri"/>
          <w:lang w:val="en-US" w:eastAsia="bg-BG"/>
        </w:rPr>
        <w:t xml:space="preserve"> </w:t>
      </w:r>
      <w:proofErr w:type="spellStart"/>
      <w:r w:rsidRPr="00910F24">
        <w:rPr>
          <w:rFonts w:eastAsia="Calibri"/>
          <w:lang w:val="en-US" w:eastAsia="bg-BG"/>
        </w:rPr>
        <w:t>пера</w:t>
      </w:r>
      <w:proofErr w:type="spellEnd"/>
      <w:r w:rsidRPr="00910F24">
        <w:rPr>
          <w:rFonts w:eastAsia="Calibri"/>
          <w:lang w:val="en-US" w:eastAsia="bg-BG"/>
        </w:rPr>
        <w:t>:</w:t>
      </w:r>
    </w:p>
    <w:p w14:paraId="33AFC1E5" w14:textId="77777777" w:rsidR="00910F24" w:rsidRPr="00910F24" w:rsidRDefault="00910F24" w:rsidP="00F2122A">
      <w:pPr>
        <w:numPr>
          <w:ilvl w:val="0"/>
          <w:numId w:val="23"/>
        </w:numPr>
        <w:spacing w:before="80" w:after="80" w:line="276" w:lineRule="auto"/>
        <w:ind w:left="714" w:hanging="357"/>
        <w:jc w:val="both"/>
        <w:rPr>
          <w:rFonts w:eastAsia="Calibri"/>
          <w:lang w:val="en-US" w:eastAsia="bg-BG"/>
        </w:rPr>
      </w:pPr>
      <w:proofErr w:type="spellStart"/>
      <w:r w:rsidRPr="00910F24">
        <w:rPr>
          <w:rFonts w:eastAsia="Calibri"/>
          <w:lang w:val="en-US" w:eastAsia="bg-BG"/>
        </w:rPr>
        <w:t>Апаратура</w:t>
      </w:r>
      <w:proofErr w:type="spellEnd"/>
      <w:r w:rsidRPr="00910F24">
        <w:rPr>
          <w:rFonts w:eastAsia="Calibri"/>
          <w:lang w:val="en-US" w:eastAsia="bg-BG"/>
        </w:rPr>
        <w:t xml:space="preserve"> и </w:t>
      </w:r>
      <w:proofErr w:type="spellStart"/>
      <w:r w:rsidRPr="00910F24">
        <w:rPr>
          <w:rFonts w:eastAsia="Calibri"/>
          <w:lang w:val="en-US" w:eastAsia="bg-BG"/>
        </w:rPr>
        <w:t>специфично</w:t>
      </w:r>
      <w:proofErr w:type="spellEnd"/>
      <w:r w:rsidRPr="00910F24">
        <w:rPr>
          <w:rFonts w:eastAsia="Calibri"/>
          <w:lang w:val="en-US" w:eastAsia="bg-BG"/>
        </w:rPr>
        <w:t xml:space="preserve"> </w:t>
      </w:r>
      <w:proofErr w:type="spellStart"/>
      <w:r w:rsidRPr="00910F24">
        <w:rPr>
          <w:rFonts w:eastAsia="Calibri"/>
          <w:lang w:val="en-US" w:eastAsia="bg-BG"/>
        </w:rPr>
        <w:t>оборудване</w:t>
      </w:r>
      <w:proofErr w:type="spellEnd"/>
      <w:r w:rsidRPr="00910F24">
        <w:rPr>
          <w:rFonts w:eastAsia="Calibri"/>
          <w:lang w:val="en-US" w:eastAsia="bg-BG"/>
        </w:rPr>
        <w:t>;</w:t>
      </w:r>
    </w:p>
    <w:p w14:paraId="78AE4CD3" w14:textId="77777777" w:rsidR="00910F24" w:rsidRPr="00910F24" w:rsidRDefault="00910F24" w:rsidP="00F2122A">
      <w:pPr>
        <w:numPr>
          <w:ilvl w:val="0"/>
          <w:numId w:val="23"/>
        </w:numPr>
        <w:spacing w:before="80" w:after="80" w:line="276" w:lineRule="auto"/>
        <w:ind w:left="714" w:hanging="357"/>
        <w:jc w:val="both"/>
        <w:rPr>
          <w:rFonts w:eastAsia="Calibri"/>
          <w:lang w:val="en-US" w:eastAsia="bg-BG"/>
        </w:rPr>
      </w:pPr>
      <w:proofErr w:type="spellStart"/>
      <w:r w:rsidRPr="00910F24">
        <w:rPr>
          <w:rFonts w:eastAsia="Calibri"/>
          <w:lang w:val="en-US" w:eastAsia="bg-BG"/>
        </w:rPr>
        <w:t>Материали</w:t>
      </w:r>
      <w:proofErr w:type="spellEnd"/>
      <w:r w:rsidRPr="00910F24">
        <w:rPr>
          <w:rFonts w:eastAsia="Calibri"/>
          <w:lang w:val="en-US" w:eastAsia="bg-BG"/>
        </w:rPr>
        <w:t xml:space="preserve">, </w:t>
      </w:r>
      <w:proofErr w:type="spellStart"/>
      <w:r w:rsidRPr="00910F24">
        <w:rPr>
          <w:rFonts w:eastAsia="Calibri"/>
          <w:lang w:val="en-US" w:eastAsia="bg-BG"/>
        </w:rPr>
        <w:t>химикали</w:t>
      </w:r>
      <w:proofErr w:type="spellEnd"/>
      <w:r w:rsidRPr="00910F24">
        <w:rPr>
          <w:rFonts w:eastAsia="Calibri"/>
          <w:lang w:val="en-US" w:eastAsia="bg-BG"/>
        </w:rPr>
        <w:t xml:space="preserve"> и </w:t>
      </w:r>
      <w:proofErr w:type="spellStart"/>
      <w:r w:rsidRPr="00910F24">
        <w:rPr>
          <w:rFonts w:eastAsia="Calibri"/>
          <w:lang w:val="en-US" w:eastAsia="bg-BG"/>
        </w:rPr>
        <w:t>консумативи</w:t>
      </w:r>
      <w:proofErr w:type="spellEnd"/>
      <w:r w:rsidRPr="00910F24">
        <w:rPr>
          <w:rFonts w:eastAsia="Calibri"/>
          <w:lang w:val="en-US" w:eastAsia="bg-BG"/>
        </w:rPr>
        <w:t>;</w:t>
      </w:r>
    </w:p>
    <w:p w14:paraId="51C6244D" w14:textId="77777777" w:rsidR="00910F24" w:rsidRPr="00910F24" w:rsidRDefault="00910F24" w:rsidP="00F2122A">
      <w:pPr>
        <w:numPr>
          <w:ilvl w:val="0"/>
          <w:numId w:val="23"/>
        </w:numPr>
        <w:spacing w:before="80" w:after="80" w:line="276" w:lineRule="auto"/>
        <w:ind w:left="714" w:hanging="357"/>
        <w:jc w:val="both"/>
        <w:rPr>
          <w:rFonts w:eastAsia="Calibri"/>
          <w:lang w:val="en-US" w:eastAsia="bg-BG"/>
        </w:rPr>
      </w:pPr>
      <w:proofErr w:type="spellStart"/>
      <w:r w:rsidRPr="00910F24">
        <w:rPr>
          <w:rFonts w:eastAsia="Calibri"/>
          <w:lang w:val="en-US" w:eastAsia="bg-BG"/>
        </w:rPr>
        <w:t>Възнаграждение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научния</w:t>
      </w:r>
      <w:proofErr w:type="spellEnd"/>
      <w:r w:rsidRPr="00910F24">
        <w:rPr>
          <w:rFonts w:eastAsia="Calibri"/>
          <w:lang w:val="en-US" w:eastAsia="bg-BG"/>
        </w:rPr>
        <w:t xml:space="preserve"> </w:t>
      </w:r>
      <w:proofErr w:type="spellStart"/>
      <w:r w:rsidRPr="00910F24">
        <w:rPr>
          <w:rFonts w:eastAsia="Calibri"/>
          <w:lang w:val="en-US" w:eastAsia="bg-BG"/>
        </w:rPr>
        <w:t>колектив</w:t>
      </w:r>
      <w:proofErr w:type="spellEnd"/>
      <w:r w:rsidRPr="00910F24">
        <w:rPr>
          <w:rFonts w:eastAsia="Calibri"/>
          <w:lang w:val="en-US" w:eastAsia="bg-BG"/>
        </w:rPr>
        <w:t xml:space="preserve"> (</w:t>
      </w:r>
      <w:proofErr w:type="spellStart"/>
      <w:r w:rsidRPr="00910F24">
        <w:rPr>
          <w:rFonts w:eastAsia="Calibri"/>
          <w:lang w:val="en-US" w:eastAsia="bg-BG"/>
        </w:rPr>
        <w:t>до</w:t>
      </w:r>
      <w:proofErr w:type="spellEnd"/>
      <w:r w:rsidRPr="00910F24">
        <w:rPr>
          <w:rFonts w:eastAsia="Calibri"/>
          <w:lang w:val="en-US" w:eastAsia="bg-BG"/>
        </w:rPr>
        <w:t xml:space="preserve"> 35%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общата</w:t>
      </w:r>
      <w:proofErr w:type="spellEnd"/>
      <w:r w:rsidRPr="00910F24">
        <w:rPr>
          <w:rFonts w:eastAsia="Calibri"/>
          <w:lang w:val="en-US" w:eastAsia="bg-BG"/>
        </w:rPr>
        <w:t xml:space="preserve"> </w:t>
      </w:r>
      <w:proofErr w:type="spellStart"/>
      <w:r w:rsidRPr="00910F24">
        <w:rPr>
          <w:rFonts w:eastAsia="Calibri"/>
          <w:lang w:val="en-US" w:eastAsia="bg-BG"/>
        </w:rPr>
        <w:t>сума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финансиране</w:t>
      </w:r>
      <w:proofErr w:type="spellEnd"/>
      <w:r w:rsidRPr="00910F24">
        <w:rPr>
          <w:rFonts w:eastAsia="Calibri"/>
          <w:lang w:val="en-US" w:eastAsia="bg-BG"/>
        </w:rPr>
        <w:t>);</w:t>
      </w:r>
    </w:p>
    <w:p w14:paraId="396B7C4F" w14:textId="77777777" w:rsidR="00910F24" w:rsidRPr="00910F24" w:rsidRDefault="00910F24" w:rsidP="00F2122A">
      <w:pPr>
        <w:numPr>
          <w:ilvl w:val="0"/>
          <w:numId w:val="23"/>
        </w:numPr>
        <w:spacing w:before="80" w:after="80" w:line="276" w:lineRule="auto"/>
        <w:ind w:left="714" w:hanging="357"/>
        <w:jc w:val="both"/>
        <w:rPr>
          <w:rFonts w:eastAsia="Calibri"/>
          <w:lang w:val="en-US" w:eastAsia="bg-BG"/>
        </w:rPr>
      </w:pPr>
      <w:proofErr w:type="spellStart"/>
      <w:r w:rsidRPr="00910F24">
        <w:rPr>
          <w:rFonts w:eastAsia="Calibri"/>
          <w:lang w:val="en-US" w:eastAsia="bg-BG"/>
        </w:rPr>
        <w:t>Заплащане</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външни</w:t>
      </w:r>
      <w:proofErr w:type="spellEnd"/>
      <w:r w:rsidRPr="00910F24">
        <w:rPr>
          <w:rFonts w:eastAsia="Calibri"/>
          <w:lang w:val="en-US" w:eastAsia="bg-BG"/>
        </w:rPr>
        <w:t xml:space="preserve"> </w:t>
      </w:r>
      <w:proofErr w:type="spellStart"/>
      <w:r w:rsidRPr="00910F24">
        <w:rPr>
          <w:rFonts w:eastAsia="Calibri"/>
          <w:lang w:val="en-US" w:eastAsia="bg-BG"/>
        </w:rPr>
        <w:t>услуги</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изпълнение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проекта</w:t>
      </w:r>
      <w:proofErr w:type="spellEnd"/>
      <w:r w:rsidRPr="00910F24">
        <w:rPr>
          <w:rFonts w:eastAsia="Calibri"/>
          <w:lang w:val="en-US" w:eastAsia="bg-BG"/>
        </w:rPr>
        <w:t xml:space="preserve"> (</w:t>
      </w:r>
      <w:proofErr w:type="spellStart"/>
      <w:r w:rsidRPr="00910F24">
        <w:rPr>
          <w:rFonts w:eastAsia="Calibri"/>
          <w:lang w:val="en-US" w:eastAsia="bg-BG"/>
        </w:rPr>
        <w:t>до</w:t>
      </w:r>
      <w:proofErr w:type="spellEnd"/>
      <w:r w:rsidRPr="00910F24">
        <w:rPr>
          <w:rFonts w:eastAsia="Calibri"/>
          <w:lang w:val="en-US" w:eastAsia="bg-BG"/>
        </w:rPr>
        <w:t xml:space="preserve"> 40%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общата</w:t>
      </w:r>
      <w:proofErr w:type="spellEnd"/>
      <w:r w:rsidRPr="00910F24">
        <w:rPr>
          <w:rFonts w:eastAsia="Calibri"/>
          <w:lang w:val="en-US" w:eastAsia="bg-BG"/>
        </w:rPr>
        <w:t xml:space="preserve"> </w:t>
      </w:r>
      <w:proofErr w:type="spellStart"/>
      <w:r w:rsidRPr="00910F24">
        <w:rPr>
          <w:rFonts w:eastAsia="Calibri"/>
          <w:lang w:val="en-US" w:eastAsia="bg-BG"/>
        </w:rPr>
        <w:t>сума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финансиране</w:t>
      </w:r>
      <w:proofErr w:type="spellEnd"/>
      <w:r w:rsidRPr="00910F24">
        <w:rPr>
          <w:rFonts w:eastAsia="Calibri"/>
          <w:lang w:val="en-US" w:eastAsia="bg-BG"/>
        </w:rPr>
        <w:t>);</w:t>
      </w:r>
    </w:p>
    <w:p w14:paraId="6B8CB079" w14:textId="77777777" w:rsidR="00910F24" w:rsidRPr="00910F24" w:rsidRDefault="00910F24" w:rsidP="00F2122A">
      <w:pPr>
        <w:numPr>
          <w:ilvl w:val="0"/>
          <w:numId w:val="23"/>
        </w:numPr>
        <w:spacing w:before="80" w:after="80" w:line="276" w:lineRule="auto"/>
        <w:ind w:left="714" w:hanging="357"/>
        <w:jc w:val="both"/>
        <w:rPr>
          <w:rFonts w:eastAsia="Calibri"/>
          <w:lang w:val="en-US" w:eastAsia="bg-BG"/>
        </w:rPr>
      </w:pPr>
      <w:proofErr w:type="spellStart"/>
      <w:r w:rsidRPr="00910F24">
        <w:rPr>
          <w:rFonts w:eastAsia="Calibri"/>
          <w:lang w:val="en-US" w:eastAsia="bg-BG"/>
        </w:rPr>
        <w:t>Командировки</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участие</w:t>
      </w:r>
      <w:proofErr w:type="spellEnd"/>
      <w:r w:rsidRPr="00910F24">
        <w:rPr>
          <w:rFonts w:eastAsia="Calibri"/>
          <w:lang w:val="en-US" w:eastAsia="bg-BG"/>
        </w:rPr>
        <w:t xml:space="preserve"> в </w:t>
      </w:r>
      <w:proofErr w:type="spellStart"/>
      <w:r w:rsidRPr="00910F24">
        <w:rPr>
          <w:rFonts w:eastAsia="Calibri"/>
          <w:lang w:val="en-US" w:eastAsia="bg-BG"/>
        </w:rPr>
        <w:t>научни</w:t>
      </w:r>
      <w:proofErr w:type="spellEnd"/>
      <w:r w:rsidRPr="00910F24">
        <w:rPr>
          <w:rFonts w:eastAsia="Calibri"/>
          <w:lang w:val="en-US" w:eastAsia="bg-BG"/>
        </w:rPr>
        <w:t xml:space="preserve"> </w:t>
      </w:r>
      <w:proofErr w:type="spellStart"/>
      <w:r w:rsidRPr="00910F24">
        <w:rPr>
          <w:rFonts w:eastAsia="Calibri"/>
          <w:lang w:val="en-US" w:eastAsia="bg-BG"/>
        </w:rPr>
        <w:t>форуми</w:t>
      </w:r>
      <w:proofErr w:type="spellEnd"/>
      <w:r w:rsidRPr="00910F24">
        <w:rPr>
          <w:rFonts w:eastAsia="Calibri"/>
          <w:lang w:val="en-US" w:eastAsia="bg-BG"/>
        </w:rPr>
        <w:t xml:space="preserve"> с </w:t>
      </w:r>
      <w:proofErr w:type="spellStart"/>
      <w:r w:rsidRPr="00910F24">
        <w:rPr>
          <w:rFonts w:eastAsia="Calibri"/>
          <w:lang w:val="en-US" w:eastAsia="bg-BG"/>
        </w:rPr>
        <w:t>цел</w:t>
      </w:r>
      <w:proofErr w:type="spellEnd"/>
      <w:r w:rsidRPr="00910F24">
        <w:rPr>
          <w:rFonts w:eastAsia="Calibri"/>
          <w:lang w:val="en-US" w:eastAsia="bg-BG"/>
        </w:rPr>
        <w:t xml:space="preserve"> </w:t>
      </w:r>
      <w:proofErr w:type="spellStart"/>
      <w:r w:rsidRPr="00910F24">
        <w:rPr>
          <w:rFonts w:eastAsia="Calibri"/>
          <w:lang w:val="en-US" w:eastAsia="bg-BG"/>
        </w:rPr>
        <w:t>представяне</w:t>
      </w:r>
      <w:proofErr w:type="spellEnd"/>
      <w:r w:rsidRPr="00910F24">
        <w:rPr>
          <w:rFonts w:eastAsia="Calibri"/>
          <w:lang w:val="en-US" w:eastAsia="bg-BG"/>
        </w:rPr>
        <w:t xml:space="preserve"> </w:t>
      </w:r>
      <w:proofErr w:type="spellStart"/>
      <w:r w:rsidRPr="00910F24">
        <w:rPr>
          <w:rFonts w:eastAsia="Calibri"/>
          <w:lang w:val="en-US" w:eastAsia="bg-BG"/>
        </w:rPr>
        <w:t>резултатите</w:t>
      </w:r>
      <w:proofErr w:type="spellEnd"/>
      <w:r w:rsidRPr="00910F24">
        <w:rPr>
          <w:rFonts w:eastAsia="Calibri"/>
          <w:lang w:val="en-US" w:eastAsia="bg-BG"/>
        </w:rPr>
        <w:t xml:space="preserve">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изпълнението</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проекта</w:t>
      </w:r>
      <w:proofErr w:type="spellEnd"/>
      <w:r w:rsidRPr="00910F24">
        <w:rPr>
          <w:rFonts w:eastAsia="Calibri"/>
          <w:lang w:val="en-US" w:eastAsia="bg-BG"/>
        </w:rPr>
        <w:t xml:space="preserve"> - с </w:t>
      </w:r>
      <w:proofErr w:type="spellStart"/>
      <w:r w:rsidRPr="00910F24">
        <w:rPr>
          <w:rFonts w:eastAsia="Calibri"/>
          <w:lang w:val="en-US" w:eastAsia="bg-BG"/>
        </w:rPr>
        <w:t>изключение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командировки</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участие</w:t>
      </w:r>
      <w:proofErr w:type="spellEnd"/>
      <w:r w:rsidRPr="00910F24">
        <w:rPr>
          <w:rFonts w:eastAsia="Calibri"/>
          <w:lang w:val="en-US" w:eastAsia="bg-BG"/>
        </w:rPr>
        <w:t xml:space="preserve"> в </w:t>
      </w:r>
      <w:proofErr w:type="spellStart"/>
      <w:r w:rsidRPr="00910F24">
        <w:rPr>
          <w:rFonts w:eastAsia="Calibri"/>
          <w:lang w:val="en-US" w:eastAsia="bg-BG"/>
        </w:rPr>
        <w:t>заседания</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Ръководния</w:t>
      </w:r>
      <w:proofErr w:type="spellEnd"/>
      <w:r w:rsidRPr="00910F24">
        <w:rPr>
          <w:rFonts w:eastAsia="Calibri"/>
          <w:lang w:val="en-US" w:eastAsia="bg-BG"/>
        </w:rPr>
        <w:t xml:space="preserve"> </w:t>
      </w:r>
      <w:proofErr w:type="spellStart"/>
      <w:r w:rsidRPr="00910F24">
        <w:rPr>
          <w:rFonts w:eastAsia="Calibri"/>
          <w:lang w:val="en-US" w:eastAsia="bg-BG"/>
        </w:rPr>
        <w:t>комитет</w:t>
      </w:r>
      <w:proofErr w:type="spellEnd"/>
      <w:r w:rsidRPr="00910F24">
        <w:rPr>
          <w:rFonts w:eastAsia="Calibri"/>
          <w:lang w:val="en-US" w:eastAsia="bg-BG"/>
        </w:rPr>
        <w:t xml:space="preserve"> (Steering Committee) и </w:t>
      </w:r>
      <w:proofErr w:type="spellStart"/>
      <w:r w:rsidRPr="00910F24">
        <w:rPr>
          <w:rFonts w:eastAsia="Calibri"/>
          <w:lang w:val="en-US" w:eastAsia="bg-BG"/>
        </w:rPr>
        <w:t>Управителния</w:t>
      </w:r>
      <w:proofErr w:type="spellEnd"/>
      <w:r w:rsidRPr="00910F24">
        <w:rPr>
          <w:rFonts w:eastAsia="Calibri"/>
          <w:lang w:val="en-US" w:eastAsia="bg-BG"/>
        </w:rPr>
        <w:t xml:space="preserve"> </w:t>
      </w:r>
      <w:proofErr w:type="spellStart"/>
      <w:r w:rsidRPr="00910F24">
        <w:rPr>
          <w:rFonts w:eastAsia="Calibri"/>
          <w:lang w:val="en-US" w:eastAsia="bg-BG"/>
        </w:rPr>
        <w:t>комитет</w:t>
      </w:r>
      <w:proofErr w:type="spellEnd"/>
      <w:r w:rsidRPr="00910F24">
        <w:rPr>
          <w:rFonts w:eastAsia="Calibri"/>
          <w:lang w:val="en-US" w:eastAsia="bg-BG"/>
        </w:rPr>
        <w:t xml:space="preserve"> (Management Committee)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съответната</w:t>
      </w:r>
      <w:proofErr w:type="spellEnd"/>
      <w:r w:rsidRPr="00910F24">
        <w:rPr>
          <w:rFonts w:eastAsia="Calibri"/>
          <w:lang w:val="en-US" w:eastAsia="bg-BG"/>
        </w:rPr>
        <w:t xml:space="preserve"> COST </w:t>
      </w:r>
      <w:proofErr w:type="spellStart"/>
      <w:r w:rsidRPr="00910F24">
        <w:rPr>
          <w:rFonts w:eastAsia="Calibri"/>
          <w:lang w:val="en-US" w:eastAsia="bg-BG"/>
        </w:rPr>
        <w:t>Акция</w:t>
      </w:r>
      <w:proofErr w:type="spellEnd"/>
      <w:r w:rsidRPr="00910F24">
        <w:rPr>
          <w:rFonts w:eastAsia="Calibri"/>
          <w:lang w:val="en-US" w:eastAsia="bg-BG"/>
        </w:rPr>
        <w:t xml:space="preserve">, </w:t>
      </w:r>
      <w:proofErr w:type="spellStart"/>
      <w:r w:rsidRPr="00910F24">
        <w:rPr>
          <w:rFonts w:eastAsia="Calibri"/>
          <w:lang w:val="en-US" w:eastAsia="bg-BG"/>
        </w:rPr>
        <w:t>както</w:t>
      </w:r>
      <w:proofErr w:type="spellEnd"/>
      <w:r w:rsidRPr="00910F24">
        <w:rPr>
          <w:rFonts w:eastAsia="Calibri"/>
          <w:lang w:val="en-US" w:eastAsia="bg-BG"/>
        </w:rPr>
        <w:t xml:space="preserve"> и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участие</w:t>
      </w:r>
      <w:proofErr w:type="spellEnd"/>
      <w:r w:rsidRPr="00910F24">
        <w:rPr>
          <w:rFonts w:eastAsia="Calibri"/>
          <w:lang w:val="en-US" w:eastAsia="bg-BG"/>
        </w:rPr>
        <w:t xml:space="preserve"> в </w:t>
      </w:r>
      <w:proofErr w:type="spellStart"/>
      <w:r w:rsidRPr="00910F24">
        <w:rPr>
          <w:rFonts w:eastAsia="Calibri"/>
          <w:lang w:val="en-US" w:eastAsia="bg-BG"/>
        </w:rPr>
        <w:t>работните</w:t>
      </w:r>
      <w:proofErr w:type="spellEnd"/>
      <w:r w:rsidRPr="00910F24">
        <w:rPr>
          <w:rFonts w:eastAsia="Calibri"/>
          <w:lang w:val="en-US" w:eastAsia="bg-BG"/>
        </w:rPr>
        <w:t xml:space="preserve"> </w:t>
      </w:r>
      <w:proofErr w:type="spellStart"/>
      <w:r w:rsidRPr="00910F24">
        <w:rPr>
          <w:rFonts w:eastAsia="Calibri"/>
          <w:lang w:val="en-US" w:eastAsia="bg-BG"/>
        </w:rPr>
        <w:t>срещи</w:t>
      </w:r>
      <w:proofErr w:type="spellEnd"/>
      <w:r w:rsidRPr="00910F24">
        <w:rPr>
          <w:rFonts w:eastAsia="Calibri"/>
          <w:lang w:val="en-US" w:eastAsia="bg-BG"/>
        </w:rPr>
        <w:t xml:space="preserve">, </w:t>
      </w:r>
      <w:proofErr w:type="spellStart"/>
      <w:r w:rsidRPr="00910F24">
        <w:rPr>
          <w:rFonts w:eastAsia="Calibri"/>
          <w:lang w:val="en-US" w:eastAsia="bg-BG"/>
        </w:rPr>
        <w:t>семинарите</w:t>
      </w:r>
      <w:proofErr w:type="spellEnd"/>
      <w:r w:rsidRPr="00910F24">
        <w:rPr>
          <w:rFonts w:eastAsia="Calibri"/>
          <w:lang w:val="en-US" w:eastAsia="bg-BG"/>
        </w:rPr>
        <w:t xml:space="preserve"> (workshops) и </w:t>
      </w:r>
      <w:proofErr w:type="spellStart"/>
      <w:r w:rsidRPr="00910F24">
        <w:rPr>
          <w:rFonts w:eastAsia="Calibri"/>
          <w:lang w:val="en-US" w:eastAsia="bg-BG"/>
        </w:rPr>
        <w:t>конференциите</w:t>
      </w:r>
      <w:proofErr w:type="spellEnd"/>
      <w:r w:rsidRPr="00910F24">
        <w:rPr>
          <w:rFonts w:eastAsia="Calibri"/>
          <w:lang w:val="en-US" w:eastAsia="bg-BG"/>
        </w:rPr>
        <w:t xml:space="preserve">, </w:t>
      </w:r>
      <w:proofErr w:type="spellStart"/>
      <w:r w:rsidRPr="00910F24">
        <w:rPr>
          <w:rFonts w:eastAsia="Calibri"/>
          <w:lang w:val="en-US" w:eastAsia="bg-BG"/>
        </w:rPr>
        <w:t>организирани</w:t>
      </w:r>
      <w:proofErr w:type="spellEnd"/>
      <w:r w:rsidRPr="00910F24">
        <w:rPr>
          <w:rFonts w:eastAsia="Calibri"/>
          <w:lang w:val="en-US" w:eastAsia="bg-BG"/>
        </w:rPr>
        <w:t xml:space="preserve"> и </w:t>
      </w:r>
      <w:proofErr w:type="spellStart"/>
      <w:r w:rsidRPr="00910F24">
        <w:rPr>
          <w:rFonts w:eastAsia="Calibri"/>
          <w:lang w:val="en-US" w:eastAsia="bg-BG"/>
        </w:rPr>
        <w:t>финансирани</w:t>
      </w:r>
      <w:proofErr w:type="spellEnd"/>
      <w:r w:rsidRPr="00910F24">
        <w:rPr>
          <w:rFonts w:eastAsia="Calibri"/>
          <w:lang w:val="en-US" w:eastAsia="bg-BG"/>
        </w:rPr>
        <w:t xml:space="preserve">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самата</w:t>
      </w:r>
      <w:proofErr w:type="spellEnd"/>
      <w:r w:rsidRPr="00910F24">
        <w:rPr>
          <w:rFonts w:eastAsia="Calibri"/>
          <w:lang w:val="en-US" w:eastAsia="bg-BG"/>
        </w:rPr>
        <w:t xml:space="preserve"> COST </w:t>
      </w:r>
      <w:proofErr w:type="spellStart"/>
      <w:r w:rsidRPr="00910F24">
        <w:rPr>
          <w:rFonts w:eastAsia="Calibri"/>
          <w:lang w:val="en-US" w:eastAsia="bg-BG"/>
        </w:rPr>
        <w:t>Акция</w:t>
      </w:r>
      <w:proofErr w:type="spellEnd"/>
      <w:r w:rsidRPr="00910F24">
        <w:rPr>
          <w:rFonts w:eastAsia="Calibri"/>
          <w:lang w:val="en-US" w:eastAsia="bg-BG"/>
        </w:rPr>
        <w:t>;</w:t>
      </w:r>
    </w:p>
    <w:p w14:paraId="0F5B00A1" w14:textId="77777777" w:rsidR="00910F24" w:rsidRPr="00910F24" w:rsidRDefault="00910F24" w:rsidP="00F2122A">
      <w:pPr>
        <w:numPr>
          <w:ilvl w:val="0"/>
          <w:numId w:val="23"/>
        </w:numPr>
        <w:spacing w:before="80" w:after="80" w:line="276" w:lineRule="auto"/>
        <w:ind w:left="714" w:hanging="357"/>
        <w:jc w:val="both"/>
        <w:rPr>
          <w:rFonts w:eastAsia="Calibri"/>
          <w:lang w:val="en-US" w:eastAsia="bg-BG"/>
        </w:rPr>
      </w:pPr>
      <w:proofErr w:type="spellStart"/>
      <w:r w:rsidRPr="00910F24">
        <w:rPr>
          <w:rFonts w:eastAsia="Calibri"/>
          <w:lang w:val="en-US" w:eastAsia="bg-BG"/>
        </w:rPr>
        <w:t>Отчисления</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базовата</w:t>
      </w:r>
      <w:proofErr w:type="spellEnd"/>
      <w:r w:rsidRPr="00910F24">
        <w:rPr>
          <w:rFonts w:eastAsia="Calibri"/>
          <w:lang w:val="en-US" w:eastAsia="bg-BG"/>
        </w:rPr>
        <w:t xml:space="preserve"> </w:t>
      </w:r>
      <w:proofErr w:type="spellStart"/>
      <w:r w:rsidRPr="00910F24">
        <w:rPr>
          <w:rFonts w:eastAsia="Calibri"/>
          <w:lang w:val="en-US" w:eastAsia="bg-BG"/>
        </w:rPr>
        <w:t>организация</w:t>
      </w:r>
      <w:proofErr w:type="spellEnd"/>
      <w:r w:rsidRPr="00910F24">
        <w:rPr>
          <w:rFonts w:eastAsia="Calibri"/>
          <w:lang w:val="en-US" w:eastAsia="bg-BG"/>
        </w:rPr>
        <w:t xml:space="preserve"> (</w:t>
      </w:r>
      <w:proofErr w:type="spellStart"/>
      <w:r w:rsidRPr="00910F24">
        <w:rPr>
          <w:rFonts w:eastAsia="Calibri"/>
          <w:lang w:val="en-US" w:eastAsia="bg-BG"/>
        </w:rPr>
        <w:t>до</w:t>
      </w:r>
      <w:proofErr w:type="spellEnd"/>
      <w:r w:rsidRPr="00910F24">
        <w:rPr>
          <w:rFonts w:eastAsia="Calibri"/>
          <w:lang w:val="en-US" w:eastAsia="bg-BG"/>
        </w:rPr>
        <w:t xml:space="preserve"> 5%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общата</w:t>
      </w:r>
      <w:proofErr w:type="spellEnd"/>
      <w:r w:rsidRPr="00910F24">
        <w:rPr>
          <w:rFonts w:eastAsia="Calibri"/>
          <w:lang w:val="en-US" w:eastAsia="bg-BG"/>
        </w:rPr>
        <w:t xml:space="preserve"> </w:t>
      </w:r>
      <w:proofErr w:type="spellStart"/>
      <w:r w:rsidRPr="00910F24">
        <w:rPr>
          <w:rFonts w:eastAsia="Calibri"/>
          <w:lang w:val="en-US" w:eastAsia="bg-BG"/>
        </w:rPr>
        <w:t>сума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финансиране</w:t>
      </w:r>
      <w:proofErr w:type="spellEnd"/>
      <w:r w:rsidRPr="00910F24">
        <w:rPr>
          <w:rFonts w:eastAsia="Calibri"/>
          <w:lang w:val="en-US" w:eastAsia="bg-BG"/>
        </w:rPr>
        <w:t>);</w:t>
      </w:r>
    </w:p>
    <w:p w14:paraId="3133DEE8" w14:textId="77777777" w:rsidR="00910F24" w:rsidRPr="00910F24" w:rsidRDefault="00910F24" w:rsidP="00F2122A">
      <w:pPr>
        <w:numPr>
          <w:ilvl w:val="0"/>
          <w:numId w:val="23"/>
        </w:numPr>
        <w:spacing w:before="80" w:after="80" w:line="276" w:lineRule="auto"/>
        <w:ind w:left="714" w:hanging="357"/>
        <w:jc w:val="both"/>
        <w:rPr>
          <w:rFonts w:eastAsia="Calibri"/>
          <w:lang w:val="en-US" w:eastAsia="bg-BG"/>
        </w:rPr>
      </w:pPr>
      <w:proofErr w:type="spellStart"/>
      <w:r w:rsidRPr="00910F24">
        <w:rPr>
          <w:rFonts w:eastAsia="Calibri"/>
          <w:lang w:val="en-US" w:eastAsia="bg-BG"/>
        </w:rPr>
        <w:t>Разходи</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финансов</w:t>
      </w:r>
      <w:proofErr w:type="spellEnd"/>
      <w:r w:rsidRPr="00910F24">
        <w:rPr>
          <w:rFonts w:eastAsia="Calibri"/>
          <w:lang w:val="en-US" w:eastAsia="bg-BG"/>
        </w:rPr>
        <w:t xml:space="preserve"> </w:t>
      </w:r>
      <w:proofErr w:type="spellStart"/>
      <w:r w:rsidRPr="00910F24">
        <w:rPr>
          <w:rFonts w:eastAsia="Calibri"/>
          <w:lang w:val="en-US" w:eastAsia="bg-BG"/>
        </w:rPr>
        <w:t>одит</w:t>
      </w:r>
      <w:proofErr w:type="spellEnd"/>
      <w:r w:rsidRPr="00910F24">
        <w:rPr>
          <w:rFonts w:eastAsia="Calibri"/>
          <w:lang w:val="en-US" w:eastAsia="bg-BG"/>
        </w:rPr>
        <w:t xml:space="preserve"> (</w:t>
      </w:r>
      <w:proofErr w:type="spellStart"/>
      <w:r w:rsidRPr="00910F24">
        <w:rPr>
          <w:rFonts w:eastAsia="Calibri"/>
          <w:lang w:val="en-US" w:eastAsia="bg-BG"/>
        </w:rPr>
        <w:t>до</w:t>
      </w:r>
      <w:proofErr w:type="spellEnd"/>
      <w:r w:rsidRPr="00910F24">
        <w:rPr>
          <w:rFonts w:eastAsia="Calibri"/>
          <w:lang w:val="en-US" w:eastAsia="bg-BG"/>
        </w:rPr>
        <w:t xml:space="preserve"> 1%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общата</w:t>
      </w:r>
      <w:proofErr w:type="spellEnd"/>
      <w:r w:rsidRPr="00910F24">
        <w:rPr>
          <w:rFonts w:eastAsia="Calibri"/>
          <w:lang w:val="en-US" w:eastAsia="bg-BG"/>
        </w:rPr>
        <w:t xml:space="preserve"> </w:t>
      </w:r>
      <w:proofErr w:type="spellStart"/>
      <w:r w:rsidRPr="00910F24">
        <w:rPr>
          <w:rFonts w:eastAsia="Calibri"/>
          <w:lang w:val="en-US" w:eastAsia="bg-BG"/>
        </w:rPr>
        <w:t>сума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финансиране</w:t>
      </w:r>
      <w:proofErr w:type="spellEnd"/>
      <w:r w:rsidRPr="00910F24">
        <w:rPr>
          <w:rFonts w:eastAsia="Calibri"/>
          <w:lang w:val="en-US" w:eastAsia="bg-BG"/>
        </w:rPr>
        <w:t>).</w:t>
      </w:r>
    </w:p>
    <w:p w14:paraId="1774B8D9" w14:textId="3F2CB971"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lang w:val="en-US" w:eastAsia="bg-BG"/>
        </w:rPr>
        <w:t>При</w:t>
      </w:r>
      <w:proofErr w:type="spellEnd"/>
      <w:r w:rsidRPr="00910F24">
        <w:rPr>
          <w:rFonts w:eastAsia="Calibri"/>
          <w:lang w:val="en-US" w:eastAsia="bg-BG"/>
        </w:rPr>
        <w:t xml:space="preserve"> </w:t>
      </w:r>
      <w:proofErr w:type="spellStart"/>
      <w:r w:rsidRPr="00910F24">
        <w:rPr>
          <w:rFonts w:eastAsia="Calibri"/>
          <w:lang w:val="en-US" w:eastAsia="bg-BG"/>
        </w:rPr>
        <w:t>подаване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проектно</w:t>
      </w:r>
      <w:proofErr w:type="spellEnd"/>
      <w:r w:rsidRPr="00910F24">
        <w:rPr>
          <w:rFonts w:eastAsia="Calibri"/>
          <w:lang w:val="en-US" w:eastAsia="bg-BG"/>
        </w:rPr>
        <w:t xml:space="preserve"> </w:t>
      </w:r>
      <w:proofErr w:type="spellStart"/>
      <w:r w:rsidRPr="00910F24">
        <w:rPr>
          <w:rFonts w:eastAsia="Calibri"/>
          <w:lang w:val="en-US" w:eastAsia="bg-BG"/>
        </w:rPr>
        <w:t>предложение</w:t>
      </w:r>
      <w:proofErr w:type="spellEnd"/>
      <w:r w:rsidRPr="00910F24">
        <w:rPr>
          <w:rFonts w:eastAsia="Calibri"/>
          <w:lang w:val="en-US" w:eastAsia="bg-BG"/>
        </w:rPr>
        <w:t xml:space="preserve"> </w:t>
      </w:r>
      <w:proofErr w:type="spellStart"/>
      <w:r w:rsidRPr="00910F24">
        <w:rPr>
          <w:rFonts w:eastAsia="Calibri"/>
          <w:lang w:val="en-US" w:eastAsia="bg-BG"/>
        </w:rPr>
        <w:t>трябва</w:t>
      </w:r>
      <w:proofErr w:type="spellEnd"/>
      <w:r w:rsidRPr="00910F24">
        <w:rPr>
          <w:rFonts w:eastAsia="Calibri"/>
          <w:lang w:val="en-US" w:eastAsia="bg-BG"/>
        </w:rPr>
        <w:t xml:space="preserve"> </w:t>
      </w:r>
      <w:proofErr w:type="spellStart"/>
      <w:r w:rsidRPr="00910F24">
        <w:rPr>
          <w:rFonts w:eastAsia="Calibri"/>
          <w:lang w:val="en-US" w:eastAsia="bg-BG"/>
        </w:rPr>
        <w:t>да</w:t>
      </w:r>
      <w:proofErr w:type="spellEnd"/>
      <w:r w:rsidRPr="00910F24">
        <w:rPr>
          <w:rFonts w:eastAsia="Calibri"/>
          <w:lang w:val="en-US" w:eastAsia="bg-BG"/>
        </w:rPr>
        <w:t xml:space="preserve"> </w:t>
      </w:r>
      <w:proofErr w:type="spellStart"/>
      <w:r w:rsidRPr="00910F24">
        <w:rPr>
          <w:rFonts w:eastAsia="Calibri"/>
          <w:lang w:val="en-US" w:eastAsia="bg-BG"/>
        </w:rPr>
        <w:t>се</w:t>
      </w:r>
      <w:proofErr w:type="spellEnd"/>
      <w:r w:rsidRPr="00910F24">
        <w:rPr>
          <w:rFonts w:eastAsia="Calibri"/>
          <w:lang w:val="en-US" w:eastAsia="bg-BG"/>
        </w:rPr>
        <w:t xml:space="preserve"> </w:t>
      </w:r>
      <w:proofErr w:type="spellStart"/>
      <w:r w:rsidRPr="00910F24">
        <w:rPr>
          <w:rFonts w:eastAsia="Calibri"/>
          <w:lang w:val="en-US" w:eastAsia="bg-BG"/>
        </w:rPr>
        <w:t>следват</w:t>
      </w:r>
      <w:proofErr w:type="spellEnd"/>
      <w:r w:rsidRPr="00910F24">
        <w:rPr>
          <w:rFonts w:eastAsia="Calibri"/>
          <w:lang w:val="en-US" w:eastAsia="bg-BG"/>
        </w:rPr>
        <w:t xml:space="preserve"> </w:t>
      </w:r>
      <w:proofErr w:type="spellStart"/>
      <w:r w:rsidRPr="00910F24">
        <w:rPr>
          <w:rFonts w:eastAsia="Calibri"/>
          <w:lang w:val="en-US" w:eastAsia="bg-BG"/>
        </w:rPr>
        <w:t>техническите</w:t>
      </w:r>
      <w:proofErr w:type="spellEnd"/>
      <w:r w:rsidRPr="00910F24">
        <w:rPr>
          <w:rFonts w:eastAsia="Calibri"/>
          <w:lang w:val="en-US" w:eastAsia="bg-BG"/>
        </w:rPr>
        <w:t xml:space="preserve"> </w:t>
      </w:r>
      <w:proofErr w:type="spellStart"/>
      <w:r w:rsidRPr="00910F24">
        <w:rPr>
          <w:rFonts w:eastAsia="Calibri"/>
          <w:lang w:val="en-US" w:eastAsia="bg-BG"/>
        </w:rPr>
        <w:t>указания</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електронно</w:t>
      </w:r>
      <w:proofErr w:type="spellEnd"/>
      <w:r w:rsidRPr="00910F24">
        <w:rPr>
          <w:rFonts w:eastAsia="Calibri"/>
          <w:lang w:val="en-US" w:eastAsia="bg-BG"/>
        </w:rPr>
        <w:t xml:space="preserve"> </w:t>
      </w:r>
      <w:proofErr w:type="spellStart"/>
      <w:r w:rsidRPr="00910F24">
        <w:rPr>
          <w:rFonts w:eastAsia="Calibri"/>
          <w:lang w:val="en-US" w:eastAsia="bg-BG"/>
        </w:rPr>
        <w:t>подаване</w:t>
      </w:r>
      <w:proofErr w:type="spellEnd"/>
      <w:r w:rsidRPr="00910F24">
        <w:rPr>
          <w:rFonts w:eastAsia="Calibri"/>
          <w:lang w:val="en-US" w:eastAsia="bg-BG"/>
        </w:rPr>
        <w:t xml:space="preserve">. </w:t>
      </w:r>
      <w:proofErr w:type="spellStart"/>
      <w:r w:rsidRPr="00910F24">
        <w:rPr>
          <w:rFonts w:eastAsia="Calibri"/>
          <w:lang w:val="en-US" w:eastAsia="bg-BG"/>
        </w:rPr>
        <w:t>Крайното</w:t>
      </w:r>
      <w:proofErr w:type="spellEnd"/>
      <w:r w:rsidRPr="00910F24">
        <w:rPr>
          <w:rFonts w:eastAsia="Calibri"/>
          <w:lang w:val="en-US" w:eastAsia="bg-BG"/>
        </w:rPr>
        <w:t xml:space="preserve"> </w:t>
      </w:r>
      <w:proofErr w:type="spellStart"/>
      <w:r w:rsidRPr="00910F24">
        <w:rPr>
          <w:rFonts w:eastAsia="Calibri"/>
          <w:lang w:val="en-US" w:eastAsia="bg-BG"/>
        </w:rPr>
        <w:t>подаване</w:t>
      </w:r>
      <w:proofErr w:type="spellEnd"/>
      <w:r w:rsidRPr="00910F24">
        <w:rPr>
          <w:rFonts w:eastAsia="Calibri"/>
          <w:lang w:val="en-US" w:eastAsia="bg-BG"/>
        </w:rPr>
        <w:t xml:space="preserve"> </w:t>
      </w:r>
      <w:proofErr w:type="spellStart"/>
      <w:r w:rsidRPr="00910F24">
        <w:rPr>
          <w:rFonts w:eastAsia="Calibri"/>
          <w:lang w:val="en-US" w:eastAsia="bg-BG"/>
        </w:rPr>
        <w:t>се</w:t>
      </w:r>
      <w:proofErr w:type="spellEnd"/>
      <w:r w:rsidRPr="00910F24">
        <w:rPr>
          <w:rFonts w:eastAsia="Calibri"/>
          <w:lang w:val="en-US" w:eastAsia="bg-BG"/>
        </w:rPr>
        <w:t xml:space="preserve"> </w:t>
      </w:r>
      <w:proofErr w:type="spellStart"/>
      <w:r w:rsidRPr="00910F24">
        <w:rPr>
          <w:rFonts w:eastAsia="Calibri"/>
          <w:lang w:val="en-US" w:eastAsia="bg-BG"/>
        </w:rPr>
        <w:t>извършва</w:t>
      </w:r>
      <w:proofErr w:type="spellEnd"/>
      <w:r w:rsidRPr="00910F24">
        <w:rPr>
          <w:rFonts w:eastAsia="Calibri"/>
          <w:lang w:val="en-US" w:eastAsia="bg-BG"/>
        </w:rPr>
        <w:t xml:space="preserve"> </w:t>
      </w:r>
      <w:proofErr w:type="spellStart"/>
      <w:r w:rsidRPr="00910F24">
        <w:rPr>
          <w:rFonts w:eastAsia="Calibri"/>
          <w:lang w:val="en-US" w:eastAsia="bg-BG"/>
        </w:rPr>
        <w:t>чрез</w:t>
      </w:r>
      <w:proofErr w:type="spellEnd"/>
      <w:r w:rsidRPr="00910F24">
        <w:rPr>
          <w:rFonts w:eastAsia="Calibri"/>
          <w:lang w:val="en-US" w:eastAsia="bg-BG"/>
        </w:rPr>
        <w:t xml:space="preserve"> </w:t>
      </w:r>
      <w:proofErr w:type="spellStart"/>
      <w:r w:rsidRPr="00910F24">
        <w:rPr>
          <w:rFonts w:eastAsia="Calibri"/>
          <w:lang w:val="en-US" w:eastAsia="bg-BG"/>
        </w:rPr>
        <w:t>използване</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електронен</w:t>
      </w:r>
      <w:proofErr w:type="spellEnd"/>
      <w:r w:rsidRPr="00910F24">
        <w:rPr>
          <w:rFonts w:eastAsia="Calibri"/>
          <w:lang w:val="en-US" w:eastAsia="bg-BG"/>
        </w:rPr>
        <w:t xml:space="preserve"> </w:t>
      </w:r>
      <w:proofErr w:type="spellStart"/>
      <w:r w:rsidRPr="00910F24">
        <w:rPr>
          <w:rFonts w:eastAsia="Calibri"/>
          <w:lang w:val="en-US" w:eastAsia="bg-BG"/>
        </w:rPr>
        <w:t>подпис</w:t>
      </w:r>
      <w:proofErr w:type="spellEnd"/>
      <w:r w:rsidRPr="00910F24">
        <w:rPr>
          <w:rFonts w:eastAsia="Calibri"/>
          <w:lang w:val="en-US" w:eastAsia="bg-BG"/>
        </w:rPr>
        <w:t xml:space="preserve"> </w:t>
      </w:r>
      <w:proofErr w:type="spellStart"/>
      <w:r w:rsidRPr="00910F24">
        <w:rPr>
          <w:rFonts w:eastAsia="Calibri"/>
          <w:lang w:val="en-US" w:eastAsia="bg-BG"/>
        </w:rPr>
        <w:t>от</w:t>
      </w:r>
      <w:proofErr w:type="spellEnd"/>
      <w:r w:rsidRPr="00910F24">
        <w:rPr>
          <w:rFonts w:eastAsia="Calibri"/>
          <w:lang w:val="en-US" w:eastAsia="bg-BG"/>
        </w:rPr>
        <w:t xml:space="preserve"> </w:t>
      </w:r>
      <w:proofErr w:type="spellStart"/>
      <w:r w:rsidRPr="00910F24">
        <w:rPr>
          <w:rFonts w:eastAsia="Calibri"/>
          <w:lang w:val="en-US" w:eastAsia="bg-BG"/>
        </w:rPr>
        <w:t>ръководителя</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базовата</w:t>
      </w:r>
      <w:proofErr w:type="spellEnd"/>
      <w:r w:rsidRPr="00910F24">
        <w:rPr>
          <w:rFonts w:eastAsia="Calibri"/>
          <w:lang w:val="en-US" w:eastAsia="bg-BG"/>
        </w:rPr>
        <w:t xml:space="preserve"> </w:t>
      </w:r>
      <w:proofErr w:type="spellStart"/>
      <w:r w:rsidRPr="00910F24">
        <w:rPr>
          <w:rFonts w:eastAsia="Calibri"/>
          <w:lang w:val="en-US" w:eastAsia="bg-BG"/>
        </w:rPr>
        <w:t>организация</w:t>
      </w:r>
      <w:proofErr w:type="spellEnd"/>
      <w:r w:rsidRPr="00910F24">
        <w:rPr>
          <w:rFonts w:eastAsia="Calibri"/>
          <w:lang w:val="en-US" w:eastAsia="bg-BG"/>
        </w:rPr>
        <w:t xml:space="preserve"> и е </w:t>
      </w:r>
      <w:proofErr w:type="spellStart"/>
      <w:r w:rsidRPr="00910F24">
        <w:rPr>
          <w:rFonts w:eastAsia="Calibri"/>
          <w:lang w:val="en-US" w:eastAsia="bg-BG"/>
        </w:rPr>
        <w:t>описано</w:t>
      </w:r>
      <w:proofErr w:type="spellEnd"/>
      <w:r w:rsidRPr="00910F24">
        <w:rPr>
          <w:rFonts w:eastAsia="Calibri"/>
          <w:lang w:val="en-US" w:eastAsia="bg-BG"/>
        </w:rPr>
        <w:t xml:space="preserve"> в </w:t>
      </w:r>
      <w:proofErr w:type="spellStart"/>
      <w:r w:rsidRPr="00910F24">
        <w:rPr>
          <w:rFonts w:eastAsia="Calibri"/>
          <w:lang w:val="en-US" w:eastAsia="bg-BG"/>
        </w:rPr>
        <w:t>техническите</w:t>
      </w:r>
      <w:proofErr w:type="spellEnd"/>
      <w:r w:rsidRPr="00910F24">
        <w:rPr>
          <w:rFonts w:eastAsia="Calibri"/>
          <w:lang w:val="en-US" w:eastAsia="bg-BG"/>
        </w:rPr>
        <w:t xml:space="preserve"> </w:t>
      </w:r>
      <w:proofErr w:type="spellStart"/>
      <w:r w:rsidRPr="00910F24">
        <w:rPr>
          <w:rFonts w:eastAsia="Calibri"/>
          <w:lang w:val="en-US" w:eastAsia="bg-BG"/>
        </w:rPr>
        <w:t>указания</w:t>
      </w:r>
      <w:proofErr w:type="spellEnd"/>
      <w:r w:rsidRPr="00910F24">
        <w:rPr>
          <w:rFonts w:eastAsia="Calibri"/>
          <w:lang w:val="en-US" w:eastAsia="bg-BG"/>
        </w:rPr>
        <w:t xml:space="preserve"> (</w:t>
      </w:r>
      <w:proofErr w:type="spellStart"/>
      <w:r w:rsidRPr="00910F24">
        <w:rPr>
          <w:rFonts w:eastAsia="Calibri"/>
          <w:lang w:val="en-US" w:eastAsia="bg-BG"/>
        </w:rPr>
        <w:t>отделен</w:t>
      </w:r>
      <w:proofErr w:type="spellEnd"/>
      <w:r w:rsidRPr="00910F24">
        <w:rPr>
          <w:rFonts w:eastAsia="Calibri"/>
          <w:lang w:val="en-US" w:eastAsia="bg-BG"/>
        </w:rPr>
        <w:t xml:space="preserve"> </w:t>
      </w:r>
      <w:proofErr w:type="spellStart"/>
      <w:r w:rsidRPr="00910F24">
        <w:rPr>
          <w:rFonts w:eastAsia="Calibri"/>
          <w:lang w:val="en-US" w:eastAsia="bg-BG"/>
        </w:rPr>
        <w:t>файл</w:t>
      </w:r>
      <w:proofErr w:type="spellEnd"/>
      <w:r w:rsidRPr="00910F24">
        <w:rPr>
          <w:rFonts w:eastAsia="Calibri"/>
          <w:lang w:val="en-US" w:eastAsia="bg-BG"/>
        </w:rPr>
        <w:t>).</w:t>
      </w:r>
    </w:p>
    <w:p w14:paraId="73E41507" w14:textId="77777777"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lang w:val="en-US" w:eastAsia="bg-BG"/>
        </w:rPr>
        <w:t>Финансиращата</w:t>
      </w:r>
      <w:proofErr w:type="spellEnd"/>
      <w:r w:rsidRPr="00910F24">
        <w:rPr>
          <w:rFonts w:eastAsia="Calibri"/>
          <w:lang w:val="en-US" w:eastAsia="bg-BG"/>
        </w:rPr>
        <w:t xml:space="preserve"> </w:t>
      </w:r>
      <w:proofErr w:type="spellStart"/>
      <w:r w:rsidRPr="00910F24">
        <w:rPr>
          <w:rFonts w:eastAsia="Calibri"/>
          <w:lang w:val="en-US" w:eastAsia="bg-BG"/>
        </w:rPr>
        <w:t>организация</w:t>
      </w:r>
      <w:proofErr w:type="spellEnd"/>
      <w:r w:rsidRPr="00910F24">
        <w:rPr>
          <w:rFonts w:eastAsia="Calibri"/>
          <w:lang w:val="en-US" w:eastAsia="bg-BG"/>
        </w:rPr>
        <w:t xml:space="preserve"> </w:t>
      </w:r>
      <w:proofErr w:type="spellStart"/>
      <w:r w:rsidRPr="00910F24">
        <w:rPr>
          <w:rFonts w:eastAsia="Calibri"/>
          <w:lang w:val="en-US" w:eastAsia="bg-BG"/>
        </w:rPr>
        <w:t>извършва</w:t>
      </w:r>
      <w:proofErr w:type="spellEnd"/>
      <w:r w:rsidRPr="00910F24">
        <w:rPr>
          <w:rFonts w:eastAsia="Calibri"/>
          <w:lang w:val="en-US" w:eastAsia="bg-BG"/>
        </w:rPr>
        <w:t xml:space="preserve"> </w:t>
      </w:r>
      <w:proofErr w:type="spellStart"/>
      <w:r w:rsidRPr="00910F24">
        <w:rPr>
          <w:rFonts w:eastAsia="Calibri"/>
          <w:lang w:val="en-US" w:eastAsia="bg-BG"/>
        </w:rPr>
        <w:t>проверка</w:t>
      </w:r>
      <w:proofErr w:type="spellEnd"/>
      <w:r w:rsidRPr="00910F24">
        <w:rPr>
          <w:rFonts w:eastAsia="Calibri"/>
          <w:lang w:val="en-US" w:eastAsia="bg-BG"/>
        </w:rPr>
        <w:t xml:space="preserve"> </w:t>
      </w:r>
      <w:proofErr w:type="spellStart"/>
      <w:r w:rsidRPr="00910F24">
        <w:rPr>
          <w:rFonts w:eastAsia="Calibri"/>
          <w:lang w:val="en-US" w:eastAsia="bg-BG"/>
        </w:rPr>
        <w:t>за</w:t>
      </w:r>
      <w:proofErr w:type="spellEnd"/>
      <w:r w:rsidRPr="00910F24">
        <w:rPr>
          <w:rFonts w:eastAsia="Calibri"/>
          <w:lang w:val="en-US" w:eastAsia="bg-BG"/>
        </w:rPr>
        <w:t xml:space="preserve"> </w:t>
      </w:r>
      <w:proofErr w:type="spellStart"/>
      <w:r w:rsidRPr="00910F24">
        <w:rPr>
          <w:rFonts w:eastAsia="Calibri"/>
          <w:lang w:val="en-US" w:eastAsia="bg-BG"/>
        </w:rPr>
        <w:t>наличието</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изискуеми</w:t>
      </w:r>
      <w:proofErr w:type="spellEnd"/>
      <w:r w:rsidRPr="00910F24">
        <w:rPr>
          <w:rFonts w:eastAsia="Calibri"/>
          <w:lang w:val="en-US" w:eastAsia="bg-BG"/>
        </w:rPr>
        <w:t xml:space="preserve"> </w:t>
      </w:r>
      <w:proofErr w:type="spellStart"/>
      <w:r w:rsidRPr="00910F24">
        <w:rPr>
          <w:rFonts w:eastAsia="Calibri"/>
          <w:lang w:val="en-US" w:eastAsia="bg-BG"/>
        </w:rPr>
        <w:t>публични</w:t>
      </w:r>
      <w:proofErr w:type="spellEnd"/>
      <w:r w:rsidRPr="00910F24">
        <w:rPr>
          <w:rFonts w:eastAsia="Calibri"/>
          <w:lang w:val="en-US" w:eastAsia="bg-BG"/>
        </w:rPr>
        <w:t xml:space="preserve"> </w:t>
      </w:r>
      <w:proofErr w:type="spellStart"/>
      <w:r w:rsidRPr="00910F24">
        <w:rPr>
          <w:rFonts w:eastAsia="Calibri"/>
          <w:lang w:val="en-US" w:eastAsia="bg-BG"/>
        </w:rPr>
        <w:t>задължения</w:t>
      </w:r>
      <w:proofErr w:type="spellEnd"/>
      <w:r w:rsidRPr="00910F24">
        <w:rPr>
          <w:rFonts w:eastAsia="Calibri"/>
          <w:lang w:val="en-US" w:eastAsia="bg-BG"/>
        </w:rPr>
        <w:t xml:space="preserve"> по </w:t>
      </w:r>
      <w:proofErr w:type="spellStart"/>
      <w:r w:rsidRPr="00910F24">
        <w:rPr>
          <w:rFonts w:eastAsia="Calibri"/>
          <w:lang w:val="en-US" w:eastAsia="bg-BG"/>
        </w:rPr>
        <w:t>реда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чл</w:t>
      </w:r>
      <w:proofErr w:type="spellEnd"/>
      <w:r w:rsidRPr="00910F24">
        <w:rPr>
          <w:rFonts w:eastAsia="Calibri"/>
          <w:lang w:val="en-US" w:eastAsia="bg-BG"/>
        </w:rPr>
        <w:t xml:space="preserve">. 87, </w:t>
      </w:r>
      <w:proofErr w:type="spellStart"/>
      <w:r w:rsidRPr="00910F24">
        <w:rPr>
          <w:rFonts w:eastAsia="Calibri"/>
          <w:lang w:val="en-US" w:eastAsia="bg-BG"/>
        </w:rPr>
        <w:t>ал</w:t>
      </w:r>
      <w:proofErr w:type="spellEnd"/>
      <w:r w:rsidRPr="00910F24">
        <w:rPr>
          <w:rFonts w:eastAsia="Calibri"/>
          <w:lang w:val="en-US" w:eastAsia="bg-BG"/>
        </w:rPr>
        <w:t xml:space="preserve">. 11 </w:t>
      </w:r>
      <w:proofErr w:type="spellStart"/>
      <w:r w:rsidRPr="00910F24">
        <w:rPr>
          <w:rFonts w:eastAsia="Calibri"/>
          <w:lang w:val="en-US" w:eastAsia="bg-BG"/>
        </w:rPr>
        <w:t>от</w:t>
      </w:r>
      <w:proofErr w:type="spellEnd"/>
      <w:r w:rsidRPr="00910F24">
        <w:rPr>
          <w:rFonts w:eastAsia="Calibri"/>
          <w:lang w:val="en-US" w:eastAsia="bg-BG"/>
        </w:rPr>
        <w:t xml:space="preserve"> ДОПК.</w:t>
      </w:r>
    </w:p>
    <w:p w14:paraId="0D34BD17" w14:textId="77777777" w:rsidR="00910F24" w:rsidRPr="00910F24" w:rsidRDefault="00910F24" w:rsidP="00A565EB">
      <w:pPr>
        <w:spacing w:before="120" w:after="120" w:line="276" w:lineRule="auto"/>
        <w:jc w:val="both"/>
        <w:rPr>
          <w:rFonts w:eastAsia="Calibri"/>
          <w:lang w:val="en-US" w:eastAsia="bg-BG"/>
        </w:rPr>
      </w:pPr>
      <w:proofErr w:type="spellStart"/>
      <w:r w:rsidRPr="00910F24">
        <w:rPr>
          <w:rFonts w:eastAsia="Calibri"/>
          <w:lang w:val="en-US" w:eastAsia="bg-BG"/>
        </w:rPr>
        <w:t>Поканата</w:t>
      </w:r>
      <w:proofErr w:type="spellEnd"/>
      <w:r w:rsidRPr="00910F24">
        <w:rPr>
          <w:rFonts w:eastAsia="Calibri"/>
          <w:lang w:val="en-US" w:eastAsia="bg-BG"/>
        </w:rPr>
        <w:t xml:space="preserve"> </w:t>
      </w:r>
      <w:proofErr w:type="spellStart"/>
      <w:r w:rsidRPr="00910F24">
        <w:rPr>
          <w:rFonts w:eastAsia="Calibri"/>
          <w:lang w:val="en-US" w:eastAsia="bg-BG"/>
        </w:rPr>
        <w:t>се</w:t>
      </w:r>
      <w:proofErr w:type="spellEnd"/>
      <w:r w:rsidRPr="00910F24">
        <w:rPr>
          <w:rFonts w:eastAsia="Calibri"/>
          <w:lang w:val="en-US" w:eastAsia="bg-BG"/>
        </w:rPr>
        <w:t xml:space="preserve"> </w:t>
      </w:r>
      <w:proofErr w:type="spellStart"/>
      <w:r w:rsidRPr="00910F24">
        <w:rPr>
          <w:rFonts w:eastAsia="Calibri"/>
          <w:lang w:val="en-US" w:eastAsia="bg-BG"/>
        </w:rPr>
        <w:t>публикува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интернет</w:t>
      </w:r>
      <w:proofErr w:type="spellEnd"/>
      <w:r w:rsidRPr="00910F24">
        <w:rPr>
          <w:rFonts w:eastAsia="Calibri"/>
          <w:lang w:val="en-US" w:eastAsia="bg-BG"/>
        </w:rPr>
        <w:t xml:space="preserve"> </w:t>
      </w:r>
      <w:proofErr w:type="spellStart"/>
      <w:r w:rsidRPr="00910F24">
        <w:rPr>
          <w:rFonts w:eastAsia="Calibri"/>
          <w:lang w:val="en-US" w:eastAsia="bg-BG"/>
        </w:rPr>
        <w:t>страницата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Фонд</w:t>
      </w:r>
      <w:proofErr w:type="spellEnd"/>
      <w:r w:rsidRPr="00910F24">
        <w:rPr>
          <w:rFonts w:eastAsia="Calibri"/>
          <w:lang w:val="en-US" w:eastAsia="bg-BG"/>
        </w:rPr>
        <w:t xml:space="preserve"> „</w:t>
      </w:r>
      <w:proofErr w:type="spellStart"/>
      <w:r w:rsidRPr="00910F24">
        <w:rPr>
          <w:rFonts w:eastAsia="Calibri"/>
          <w:lang w:val="en-US" w:eastAsia="bg-BG"/>
        </w:rPr>
        <w:t>Научни</w:t>
      </w:r>
      <w:proofErr w:type="spellEnd"/>
      <w:r w:rsidRPr="00910F24">
        <w:rPr>
          <w:rFonts w:eastAsia="Calibri"/>
          <w:lang w:val="en-US" w:eastAsia="bg-BG"/>
        </w:rPr>
        <w:t xml:space="preserve"> </w:t>
      </w:r>
      <w:proofErr w:type="spellStart"/>
      <w:proofErr w:type="gramStart"/>
      <w:r w:rsidRPr="00910F24">
        <w:rPr>
          <w:rFonts w:eastAsia="Calibri"/>
          <w:lang w:val="en-US" w:eastAsia="bg-BG"/>
        </w:rPr>
        <w:t>изследвания</w:t>
      </w:r>
      <w:proofErr w:type="spellEnd"/>
      <w:r w:rsidRPr="00910F24">
        <w:rPr>
          <w:rFonts w:eastAsia="Calibri"/>
          <w:lang w:val="en-US" w:eastAsia="bg-BG"/>
        </w:rPr>
        <w:t>“ и</w:t>
      </w:r>
      <w:proofErr w:type="gram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интернет</w:t>
      </w:r>
      <w:proofErr w:type="spellEnd"/>
      <w:r w:rsidRPr="00910F24">
        <w:rPr>
          <w:rFonts w:eastAsia="Calibri"/>
          <w:lang w:val="en-US" w:eastAsia="bg-BG"/>
        </w:rPr>
        <w:t xml:space="preserve"> </w:t>
      </w:r>
      <w:proofErr w:type="spellStart"/>
      <w:r w:rsidRPr="00910F24">
        <w:rPr>
          <w:rFonts w:eastAsia="Calibri"/>
          <w:lang w:val="en-US" w:eastAsia="bg-BG"/>
        </w:rPr>
        <w:t>страницата</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Министерство</w:t>
      </w:r>
      <w:proofErr w:type="spellEnd"/>
      <w:r w:rsidRPr="00910F24">
        <w:rPr>
          <w:rFonts w:eastAsia="Calibri"/>
          <w:lang w:val="en-US" w:eastAsia="bg-BG"/>
        </w:rPr>
        <w:t xml:space="preserve"> </w:t>
      </w:r>
      <w:proofErr w:type="spellStart"/>
      <w:r w:rsidRPr="00910F24">
        <w:rPr>
          <w:rFonts w:eastAsia="Calibri"/>
          <w:lang w:val="en-US" w:eastAsia="bg-BG"/>
        </w:rPr>
        <w:t>на</w:t>
      </w:r>
      <w:proofErr w:type="spellEnd"/>
      <w:r w:rsidRPr="00910F24">
        <w:rPr>
          <w:rFonts w:eastAsia="Calibri"/>
          <w:lang w:val="en-US" w:eastAsia="bg-BG"/>
        </w:rPr>
        <w:t xml:space="preserve"> </w:t>
      </w:r>
      <w:proofErr w:type="spellStart"/>
      <w:r w:rsidRPr="00910F24">
        <w:rPr>
          <w:rFonts w:eastAsia="Calibri"/>
          <w:lang w:val="en-US" w:eastAsia="bg-BG"/>
        </w:rPr>
        <w:t>образованието</w:t>
      </w:r>
      <w:proofErr w:type="spellEnd"/>
      <w:r w:rsidRPr="00910F24">
        <w:rPr>
          <w:rFonts w:eastAsia="Calibri"/>
          <w:lang w:val="en-US" w:eastAsia="bg-BG"/>
        </w:rPr>
        <w:t xml:space="preserve"> и </w:t>
      </w:r>
      <w:proofErr w:type="spellStart"/>
      <w:r w:rsidRPr="00910F24">
        <w:rPr>
          <w:rFonts w:eastAsia="Calibri"/>
          <w:lang w:val="en-US" w:eastAsia="bg-BG"/>
        </w:rPr>
        <w:t>науката</w:t>
      </w:r>
      <w:proofErr w:type="spellEnd"/>
      <w:r w:rsidRPr="00910F24">
        <w:rPr>
          <w:rFonts w:eastAsia="Calibri"/>
          <w:lang w:val="en-US" w:eastAsia="bg-BG"/>
        </w:rPr>
        <w:t>.</w:t>
      </w:r>
    </w:p>
    <w:p w14:paraId="72763B50" w14:textId="77777777" w:rsidR="00910F24" w:rsidRDefault="00910F24" w:rsidP="00082845">
      <w:pPr>
        <w:spacing w:before="120" w:after="120" w:line="276" w:lineRule="auto"/>
        <w:jc w:val="both"/>
        <w:rPr>
          <w:rFonts w:eastAsia="Calibri"/>
          <w:lang w:val="bg-BG" w:eastAsia="bg-BG"/>
        </w:rPr>
      </w:pPr>
      <w:r>
        <w:rPr>
          <w:rFonts w:eastAsia="Calibri"/>
          <w:lang w:val="bg-BG" w:eastAsia="bg-BG"/>
        </w:rPr>
        <w:t xml:space="preserve">Още информация и документи за </w:t>
      </w:r>
      <w:proofErr w:type="spellStart"/>
      <w:r>
        <w:rPr>
          <w:rFonts w:eastAsia="Calibri"/>
          <w:lang w:val="bg-BG" w:eastAsia="bg-BG"/>
        </w:rPr>
        <w:t>кандидатставне</w:t>
      </w:r>
      <w:proofErr w:type="spellEnd"/>
      <w:r>
        <w:rPr>
          <w:rFonts w:eastAsia="Calibri"/>
          <w:lang w:val="bg-BG" w:eastAsia="bg-BG"/>
        </w:rPr>
        <w:t xml:space="preserve"> </w:t>
      </w:r>
      <w:hyperlink r:id="rId39" w:history="1">
        <w:r w:rsidRPr="00910F24">
          <w:rPr>
            <w:rStyle w:val="Hyperlink"/>
            <w:rFonts w:eastAsia="Calibri"/>
            <w:lang w:val="bg-BG" w:eastAsia="bg-BG"/>
          </w:rPr>
          <w:t>ТУК</w:t>
        </w:r>
      </w:hyperlink>
    </w:p>
    <w:p w14:paraId="45506895" w14:textId="2FCD29B9" w:rsidR="00261B87" w:rsidRDefault="00082845" w:rsidP="00F2122A">
      <w:pPr>
        <w:spacing w:after="600"/>
        <w:jc w:val="both"/>
        <w:rPr>
          <w:rFonts w:eastAsia="Calibri"/>
          <w:b/>
          <w:lang w:val="bg-BG" w:eastAsia="bg-BG"/>
        </w:rPr>
      </w:pPr>
      <w:r w:rsidRPr="00082845">
        <w:rPr>
          <w:rFonts w:eastAsia="Calibri"/>
          <w:b/>
          <w:lang w:val="bg-BG" w:eastAsia="bg-BG"/>
        </w:rPr>
        <w:t xml:space="preserve">Краен срок: </w:t>
      </w:r>
      <w:r w:rsidRPr="00082845">
        <w:rPr>
          <w:rFonts w:eastAsia="Calibri"/>
          <w:b/>
          <w:lang w:val="en-US" w:eastAsia="bg-BG"/>
        </w:rPr>
        <w:t>31.12.2025 г</w:t>
      </w:r>
      <w:r w:rsidR="00261B87">
        <w:rPr>
          <w:rFonts w:eastAsia="Calibri"/>
          <w:b/>
          <w:lang w:val="bg-BG" w:eastAsia="bg-BG"/>
        </w:rPr>
        <w:br w:type="page"/>
      </w:r>
    </w:p>
    <w:p w14:paraId="13373318" w14:textId="77777777" w:rsidR="00082845" w:rsidRPr="00082845" w:rsidRDefault="00082845" w:rsidP="00082845">
      <w:pPr>
        <w:spacing w:after="600"/>
        <w:jc w:val="both"/>
        <w:rPr>
          <w:rFonts w:eastAsia="Calibri"/>
          <w:b/>
          <w:lang w:val="bg-BG" w:eastAsia="bg-BG"/>
        </w:rPr>
        <w:sectPr w:rsidR="00082845" w:rsidRPr="00082845" w:rsidSect="004850B7">
          <w:footerReference w:type="default" r:id="rId40"/>
          <w:pgSz w:w="11906" w:h="16838"/>
          <w:pgMar w:top="1417" w:right="1133" w:bottom="1417" w:left="1417" w:header="708" w:footer="708" w:gutter="0"/>
          <w:cols w:space="708"/>
          <w:docGrid w:linePitch="360"/>
        </w:sectPr>
      </w:pPr>
    </w:p>
    <w:p w14:paraId="38C8EE07" w14:textId="77777777" w:rsidR="00AC582E" w:rsidRPr="00A10210" w:rsidRDefault="00912146" w:rsidP="00510D99">
      <w:pPr>
        <w:pStyle w:val="Events"/>
      </w:pPr>
      <w:bookmarkStart w:id="36" w:name="_Toc197365395"/>
      <w:r w:rsidRPr="00A10210">
        <w:t>СЪБИТИЯ</w:t>
      </w:r>
      <w:bookmarkEnd w:id="36"/>
    </w:p>
    <w:p w14:paraId="0F604A7A" w14:textId="77777777" w:rsidR="00164E65" w:rsidRPr="00725B6D" w:rsidRDefault="00164E65" w:rsidP="003157C9">
      <w:pPr>
        <w:spacing w:line="276" w:lineRule="auto"/>
        <w:rPr>
          <w:sz w:val="2"/>
          <w:szCs w:val="2"/>
        </w:rPr>
      </w:pPr>
      <w:r w:rsidRPr="00725B6D">
        <w:rPr>
          <w:sz w:val="2"/>
          <w:szCs w:val="2"/>
        </w:rPr>
        <w:t> </w:t>
      </w:r>
    </w:p>
    <w:p w14:paraId="631FABB5" w14:textId="4DC96F99" w:rsidR="009414C5" w:rsidRPr="00D5184D" w:rsidRDefault="009414C5" w:rsidP="009414C5">
      <w:pPr>
        <w:spacing w:before="120" w:after="100" w:afterAutospacing="1" w:line="276" w:lineRule="auto"/>
        <w:jc w:val="both"/>
        <w:rPr>
          <w:b/>
          <w:color w:val="E36C0A" w:themeColor="accent6" w:themeShade="BF"/>
          <w:u w:val="single"/>
          <w:lang w:val="en-US"/>
        </w:rPr>
      </w:pPr>
      <w:hyperlink r:id="rId41" w:history="1">
        <w:r w:rsidRPr="00D5184D">
          <w:rPr>
            <w:rStyle w:val="Hyperlink"/>
            <w:b/>
            <w:bCs/>
            <w:color w:val="E36C0A" w:themeColor="accent6" w:themeShade="BF"/>
            <w:lang w:val="en-US"/>
          </w:rPr>
          <w:t>EUA Conference on artificial intelligence</w:t>
        </w:r>
        <w:r w:rsidR="002A5A9A" w:rsidRPr="00D5184D">
          <w:rPr>
            <w:rStyle w:val="Hyperlink"/>
            <w:b/>
            <w:bCs/>
            <w:color w:val="E36C0A" w:themeColor="accent6" w:themeShade="BF"/>
            <w:lang w:val="en-US"/>
          </w:rPr>
          <w:t xml:space="preserve">, </w:t>
        </w:r>
        <w:r w:rsidRPr="00D5184D">
          <w:rPr>
            <w:rStyle w:val="Hyperlink"/>
            <w:b/>
            <w:color w:val="E36C0A" w:themeColor="accent6" w:themeShade="BF"/>
            <w:lang w:val="en-US"/>
          </w:rPr>
          <w:t>22 - 23 May 2025</w:t>
        </w:r>
        <w:r w:rsidR="002A5A9A" w:rsidRPr="00D5184D">
          <w:rPr>
            <w:rStyle w:val="Hyperlink"/>
            <w:b/>
            <w:color w:val="E36C0A" w:themeColor="accent6" w:themeShade="BF"/>
            <w:lang w:val="en-US"/>
          </w:rPr>
          <w:t>,</w:t>
        </w:r>
        <w:r w:rsidRPr="00D5184D">
          <w:rPr>
            <w:rStyle w:val="Hyperlink"/>
            <w:b/>
            <w:color w:val="E36C0A" w:themeColor="accent6" w:themeShade="BF"/>
            <w:lang w:val="en-US"/>
          </w:rPr>
          <w:t> Online</w:t>
        </w:r>
      </w:hyperlink>
    </w:p>
    <w:p w14:paraId="1939AA23" w14:textId="3BACEA8C" w:rsidR="002A5A9A" w:rsidRPr="002A5A9A" w:rsidRDefault="002A5A9A" w:rsidP="00D5184D">
      <w:pPr>
        <w:spacing w:before="120" w:after="120" w:line="276" w:lineRule="auto"/>
        <w:jc w:val="both"/>
        <w:rPr>
          <w:lang w:val="en-US"/>
        </w:rPr>
      </w:pPr>
      <w:r w:rsidRPr="002A5A9A">
        <w:rPr>
          <w:lang w:val="en-US"/>
        </w:rPr>
        <w:t>This event will showcase selected practices in the adoption of AI within the institutional context. Presentations will be framed by expert input on the political and regulatory backdrop and complemented by panel discussions on the ethical considerations surrounding the integration of new technologies. The conference will examine the effectiveness of policies and frameworks in guiding implementation and setting boundaries around the use of digital technologies. Plenary and parallel sessions will explore the critical importance of training and the role of leadership, educators and learners in determining where AI brings benefits and where it does not.</w:t>
      </w:r>
    </w:p>
    <w:p w14:paraId="5440CC2B" w14:textId="77777777" w:rsidR="002A5A9A" w:rsidRPr="002A5A9A" w:rsidRDefault="002A5A9A" w:rsidP="002A5A9A">
      <w:pPr>
        <w:spacing w:before="120" w:after="100" w:afterAutospacing="1" w:line="276" w:lineRule="auto"/>
        <w:jc w:val="both"/>
        <w:rPr>
          <w:lang w:val="en-US"/>
        </w:rPr>
      </w:pPr>
      <w:r w:rsidRPr="002A5A9A">
        <w:rPr>
          <w:lang w:val="en-US"/>
        </w:rPr>
        <w:t>Participation is open to representatives of </w:t>
      </w:r>
      <w:hyperlink r:id="rId42" w:tgtFrame="_blank" w:history="1">
        <w:r w:rsidRPr="002A5A9A">
          <w:rPr>
            <w:rStyle w:val="Hyperlink"/>
            <w:lang w:val="en-US"/>
          </w:rPr>
          <w:t>EUA members</w:t>
        </w:r>
      </w:hyperlink>
      <w:r w:rsidRPr="002A5A9A">
        <w:rPr>
          <w:lang w:val="en-US"/>
        </w:rPr>
        <w:t> as well as to practitioners or AI enthusiasts in the wider university community. The sessions will also be of interest to anyone curious about universities’ response to developments in AI and how this might shape the adoption of such technologies more widely.</w:t>
      </w:r>
    </w:p>
    <w:p w14:paraId="3807C08E" w14:textId="0D9F9A3A" w:rsidR="00F713C1" w:rsidRPr="002B79BB" w:rsidRDefault="00F713C1" w:rsidP="00F713C1">
      <w:pPr>
        <w:spacing w:before="120" w:after="100" w:afterAutospacing="1" w:line="276" w:lineRule="auto"/>
        <w:jc w:val="both"/>
        <w:rPr>
          <w:b/>
          <w:color w:val="E36C0A" w:themeColor="accent6" w:themeShade="BF"/>
          <w:u w:val="single"/>
          <w:lang w:val="en-US"/>
        </w:rPr>
      </w:pPr>
      <w:hyperlink r:id="rId43" w:history="1">
        <w:r w:rsidRPr="002B79BB">
          <w:rPr>
            <w:rStyle w:val="Hyperlink"/>
            <w:b/>
            <w:bCs/>
            <w:color w:val="E36C0A" w:themeColor="accent6" w:themeShade="BF"/>
            <w:lang w:val="en-US"/>
          </w:rPr>
          <w:t xml:space="preserve">Transitions and transformations in staff development for learning and teaching, </w:t>
        </w:r>
        <w:r w:rsidRPr="002B79BB">
          <w:rPr>
            <w:rStyle w:val="Hyperlink"/>
            <w:b/>
            <w:color w:val="E36C0A" w:themeColor="accent6" w:themeShade="BF"/>
            <w:lang w:val="en-US"/>
          </w:rPr>
          <w:t>STAFF-DEV Masterclass 1, 26 - 28 May 2025, Cork, Ireland</w:t>
        </w:r>
      </w:hyperlink>
    </w:p>
    <w:p w14:paraId="4416A110" w14:textId="79933AB4" w:rsidR="00F713C1" w:rsidRPr="00F713C1" w:rsidRDefault="00F713C1" w:rsidP="00111EC1">
      <w:pPr>
        <w:spacing w:before="120" w:after="120" w:line="276" w:lineRule="auto"/>
        <w:jc w:val="both"/>
        <w:rPr>
          <w:lang w:val="en-US"/>
        </w:rPr>
      </w:pPr>
      <w:r>
        <w:rPr>
          <w:lang w:val="en-US"/>
        </w:rPr>
        <w:t>T</w:t>
      </w:r>
      <w:r w:rsidRPr="00F713C1">
        <w:rPr>
          <w:lang w:val="en-US"/>
        </w:rPr>
        <w:t>he ‘Staff development for learning and teaching at European universities’ (</w:t>
      </w:r>
      <w:hyperlink r:id="rId44" w:history="1">
        <w:r w:rsidRPr="00F713C1">
          <w:rPr>
            <w:rStyle w:val="Hyperlink"/>
            <w:lang w:val="en-US"/>
          </w:rPr>
          <w:t>STAFF-DEV</w:t>
        </w:r>
      </w:hyperlink>
      <w:r w:rsidRPr="00F713C1">
        <w:rPr>
          <w:lang w:val="en-US"/>
        </w:rPr>
        <w:t xml:space="preserve">) project was launched in 2024. STAFF-DEV aims to </w:t>
      </w:r>
      <w:proofErr w:type="spellStart"/>
      <w:r w:rsidRPr="00F713C1">
        <w:rPr>
          <w:lang w:val="en-US"/>
        </w:rPr>
        <w:t>analyse</w:t>
      </w:r>
      <w:proofErr w:type="spellEnd"/>
      <w:r w:rsidRPr="00F713C1">
        <w:rPr>
          <w:lang w:val="en-US"/>
        </w:rPr>
        <w:t xml:space="preserve"> how staff development and academic assessment are conducted at European HEIs and to strengthen institutional capacity and strategies in this regard. Led by EUA in consortium with four universities from across Europe, the project is funded under the Erasmus+ </w:t>
      </w:r>
      <w:proofErr w:type="spellStart"/>
      <w:r w:rsidRPr="00F713C1">
        <w:rPr>
          <w:lang w:val="en-US"/>
        </w:rPr>
        <w:t>programme</w:t>
      </w:r>
      <w:proofErr w:type="spellEnd"/>
      <w:r w:rsidRPr="00F713C1">
        <w:rPr>
          <w:lang w:val="en-US"/>
        </w:rPr>
        <w:t xml:space="preserve"> of the European Commission. </w:t>
      </w:r>
    </w:p>
    <w:p w14:paraId="332DC3B2" w14:textId="5EECD703" w:rsidR="00F713C1" w:rsidRDefault="00F713C1" w:rsidP="00111EC1">
      <w:pPr>
        <w:spacing w:before="120" w:after="240" w:line="276" w:lineRule="auto"/>
        <w:jc w:val="both"/>
        <w:rPr>
          <w:lang w:val="en-US"/>
        </w:rPr>
      </w:pPr>
      <w:r w:rsidRPr="00F713C1">
        <w:rPr>
          <w:lang w:val="en-US"/>
        </w:rPr>
        <w:t xml:space="preserve">As part of its activities, STAFF-DEV offers a series of four masterclasses in 2025 and 2026, aimed at building and reinforcing </w:t>
      </w:r>
      <w:r w:rsidR="00737B22">
        <w:rPr>
          <w:lang w:val="en-US"/>
        </w:rPr>
        <w:t xml:space="preserve">higher education institutions </w:t>
      </w:r>
      <w:r w:rsidRPr="00F713C1">
        <w:rPr>
          <w:lang w:val="en-US"/>
        </w:rPr>
        <w:t>capacity to offer insightful staff development opportunities, as well as embed it into a broader institutional framework for learning and teaching. Applications for the first masterclass are now open.</w:t>
      </w:r>
    </w:p>
    <w:p w14:paraId="67EDEACC" w14:textId="07BE9151" w:rsidR="008A5DEF" w:rsidRPr="00111EC1" w:rsidRDefault="008A5DEF" w:rsidP="008A5DEF">
      <w:pPr>
        <w:spacing w:before="120" w:after="100" w:afterAutospacing="1" w:line="276" w:lineRule="auto"/>
        <w:jc w:val="both"/>
        <w:rPr>
          <w:b/>
          <w:color w:val="E36C0A" w:themeColor="accent6" w:themeShade="BF"/>
          <w:u w:val="single"/>
          <w:lang w:val="en-US"/>
        </w:rPr>
      </w:pPr>
      <w:r w:rsidRPr="00111EC1">
        <w:rPr>
          <w:b/>
          <w:bCs/>
          <w:color w:val="E36C0A" w:themeColor="accent6" w:themeShade="BF"/>
          <w:u w:val="single"/>
          <w:lang w:val="en-US"/>
        </w:rPr>
        <w:t xml:space="preserve">2025 EUA-CDE Annual Meeting, </w:t>
      </w:r>
      <w:r w:rsidR="000474C0">
        <w:rPr>
          <w:b/>
          <w:color w:val="E36C0A" w:themeColor="accent6" w:themeShade="BF"/>
          <w:u w:val="single"/>
          <w:lang w:val="en-US"/>
        </w:rPr>
        <w:t xml:space="preserve">4 - </w:t>
      </w:r>
      <w:r w:rsidRPr="00111EC1">
        <w:rPr>
          <w:b/>
          <w:color w:val="E36C0A" w:themeColor="accent6" w:themeShade="BF"/>
          <w:u w:val="single"/>
          <w:lang w:val="en-US"/>
        </w:rPr>
        <w:t>6 Jun</w:t>
      </w:r>
      <w:r w:rsidR="007B4A9B" w:rsidRPr="00111EC1">
        <w:rPr>
          <w:b/>
          <w:color w:val="E36C0A" w:themeColor="accent6" w:themeShade="BF"/>
          <w:u w:val="single"/>
          <w:lang w:val="en-US"/>
        </w:rPr>
        <w:t>e</w:t>
      </w:r>
      <w:r w:rsidRPr="00111EC1">
        <w:rPr>
          <w:b/>
          <w:color w:val="E36C0A" w:themeColor="accent6" w:themeShade="BF"/>
          <w:u w:val="single"/>
          <w:lang w:val="en-US"/>
        </w:rPr>
        <w:t xml:space="preserve"> 2025, Lausanne, Switzerland</w:t>
      </w:r>
    </w:p>
    <w:p w14:paraId="0A026B4C" w14:textId="17582FF9" w:rsidR="002C777A" w:rsidRDefault="002C777A" w:rsidP="00111EC1">
      <w:pPr>
        <w:spacing w:before="120" w:after="120" w:line="276" w:lineRule="auto"/>
        <w:jc w:val="both"/>
      </w:pPr>
      <w:r w:rsidRPr="002C777A">
        <w:t>A dynamic programme composed of expert talks and interactive sessions will tackle a broad spectrum of issues. Topics will include the impact of current geopolitical developments on research, with particular attention to knowledge security and dual-use research in an increasingly complex world. Conversations will also highlight the importance of doctoral programmes for Europe’s economic and technological competitiveness, touching on how policy changes such as</w:t>
      </w:r>
      <w:r w:rsidR="00801645">
        <w:rPr>
          <w:lang w:val="bg-BG"/>
        </w:rPr>
        <w:t xml:space="preserve"> </w:t>
      </w:r>
      <w:r w:rsidRPr="002C777A">
        <w:t>institutional autonomy and research assessment reforms are shaping the future landscape of doctoral education.  </w:t>
      </w:r>
    </w:p>
    <w:p w14:paraId="06593F00" w14:textId="4F507BFC" w:rsidR="002C777A" w:rsidRDefault="002C777A" w:rsidP="00111EC1">
      <w:pPr>
        <w:spacing w:before="120" w:after="240" w:line="276" w:lineRule="auto"/>
        <w:jc w:val="both"/>
        <w:rPr>
          <w:rStyle w:val="Hyperlink"/>
          <w:lang w:val="en-US"/>
        </w:rPr>
      </w:pPr>
      <w:hyperlink r:id="rId45" w:history="1">
        <w:r w:rsidRPr="002C777A">
          <w:rPr>
            <w:rStyle w:val="Hyperlink"/>
            <w:lang w:val="en-US"/>
          </w:rPr>
          <w:t>More information</w:t>
        </w:r>
      </w:hyperlink>
    </w:p>
    <w:p w14:paraId="067CFA06" w14:textId="344C1C85" w:rsidR="000559B2" w:rsidRPr="000559B2" w:rsidRDefault="000559B2" w:rsidP="005D6C3E">
      <w:pPr>
        <w:spacing w:before="120" w:after="240" w:line="276" w:lineRule="auto"/>
        <w:jc w:val="both"/>
        <w:rPr>
          <w:b/>
          <w:color w:val="E36C0A" w:themeColor="accent6" w:themeShade="BF"/>
          <w:u w:val="single"/>
        </w:rPr>
      </w:pPr>
      <w:hyperlink r:id="rId46" w:history="1">
        <w:r w:rsidRPr="000559B2">
          <w:rPr>
            <w:rStyle w:val="Hyperlink"/>
            <w:b/>
            <w:color w:val="E36C0A" w:themeColor="accent6" w:themeShade="BF"/>
          </w:rPr>
          <w:t>8th World Conference on Social Sciences, 6 – 8 June 2025, Cambridge, United Kingdom</w:t>
        </w:r>
      </w:hyperlink>
    </w:p>
    <w:p w14:paraId="4C0844DF" w14:textId="77777777" w:rsidR="000559B2" w:rsidRPr="000559B2" w:rsidRDefault="000559B2" w:rsidP="005D6C3E">
      <w:pPr>
        <w:shd w:val="clear" w:color="auto" w:fill="FFFFFF"/>
        <w:spacing w:after="150" w:line="276" w:lineRule="auto"/>
        <w:jc w:val="both"/>
        <w:rPr>
          <w:color w:val="000000"/>
        </w:rPr>
      </w:pPr>
      <w:r w:rsidRPr="000559B2">
        <w:rPr>
          <w:color w:val="000000"/>
        </w:rPr>
        <w:t>This premier event is the perfect opportunity to share your research, network with peers, and explore new ideas.</w:t>
      </w:r>
    </w:p>
    <w:p w14:paraId="7446F88D" w14:textId="77777777" w:rsidR="000559B2" w:rsidRPr="000559B2" w:rsidRDefault="000559B2" w:rsidP="005D6C3E">
      <w:pPr>
        <w:shd w:val="clear" w:color="auto" w:fill="FFFFFF"/>
        <w:spacing w:after="120" w:line="276" w:lineRule="auto"/>
        <w:jc w:val="both"/>
        <w:rPr>
          <w:color w:val="000000"/>
        </w:rPr>
      </w:pPr>
      <w:r w:rsidRPr="000559B2">
        <w:rPr>
          <w:color w:val="000000"/>
        </w:rPr>
        <w:t>Highlights of the Conference:</w:t>
      </w:r>
    </w:p>
    <w:p w14:paraId="61BA2C63" w14:textId="77777777" w:rsidR="000559B2" w:rsidRPr="000559B2" w:rsidRDefault="000559B2" w:rsidP="005D6C3E">
      <w:pPr>
        <w:shd w:val="clear" w:color="auto" w:fill="FFFFFF"/>
        <w:spacing w:before="120" w:after="120" w:line="276" w:lineRule="auto"/>
        <w:jc w:val="both"/>
        <w:rPr>
          <w:color w:val="000000"/>
        </w:rPr>
      </w:pPr>
      <w:r w:rsidRPr="000559B2">
        <w:rPr>
          <w:b/>
          <w:bCs/>
          <w:color w:val="000000"/>
        </w:rPr>
        <w:t>Conference Topics:</w:t>
      </w:r>
    </w:p>
    <w:p w14:paraId="3E45B2D9" w14:textId="77777777" w:rsidR="000559B2" w:rsidRPr="000559B2" w:rsidRDefault="000559B2" w:rsidP="005D1D65">
      <w:pPr>
        <w:numPr>
          <w:ilvl w:val="2"/>
          <w:numId w:val="28"/>
        </w:numPr>
        <w:shd w:val="clear" w:color="auto" w:fill="FFFFFF"/>
        <w:tabs>
          <w:tab w:val="clear" w:pos="2160"/>
        </w:tabs>
        <w:spacing w:before="120" w:after="100" w:afterAutospacing="1" w:line="276" w:lineRule="auto"/>
        <w:ind w:left="283" w:hanging="357"/>
        <w:jc w:val="both"/>
        <w:rPr>
          <w:color w:val="000000"/>
        </w:rPr>
      </w:pPr>
      <w:r w:rsidRPr="000559B2">
        <w:rPr>
          <w:color w:val="000000"/>
        </w:rPr>
        <w:t>Social Sciences</w:t>
      </w:r>
    </w:p>
    <w:p w14:paraId="12EB035B" w14:textId="77777777" w:rsidR="000559B2" w:rsidRPr="000559B2" w:rsidRDefault="000559B2" w:rsidP="005D1D65">
      <w:pPr>
        <w:numPr>
          <w:ilvl w:val="2"/>
          <w:numId w:val="28"/>
        </w:numPr>
        <w:shd w:val="clear" w:color="auto" w:fill="FFFFFF"/>
        <w:spacing w:before="100" w:beforeAutospacing="1" w:after="100" w:afterAutospacing="1" w:line="276" w:lineRule="auto"/>
        <w:ind w:left="284"/>
        <w:jc w:val="both"/>
        <w:rPr>
          <w:color w:val="000000"/>
        </w:rPr>
      </w:pPr>
      <w:r w:rsidRPr="000559B2">
        <w:rPr>
          <w:color w:val="000000"/>
        </w:rPr>
        <w:t>Humanities</w:t>
      </w:r>
    </w:p>
    <w:p w14:paraId="5CEC6956" w14:textId="77777777" w:rsidR="000559B2" w:rsidRPr="000559B2" w:rsidRDefault="000559B2" w:rsidP="005D1D65">
      <w:pPr>
        <w:numPr>
          <w:ilvl w:val="2"/>
          <w:numId w:val="28"/>
        </w:numPr>
        <w:shd w:val="clear" w:color="auto" w:fill="FFFFFF"/>
        <w:spacing w:before="100" w:beforeAutospacing="1" w:after="120" w:line="276" w:lineRule="auto"/>
        <w:ind w:left="283" w:hanging="357"/>
        <w:jc w:val="both"/>
        <w:rPr>
          <w:color w:val="000000"/>
        </w:rPr>
      </w:pPr>
      <w:r w:rsidRPr="000559B2">
        <w:rPr>
          <w:color w:val="000000"/>
        </w:rPr>
        <w:t>Language and Literature</w:t>
      </w:r>
    </w:p>
    <w:p w14:paraId="7491F9AE" w14:textId="77777777" w:rsidR="000559B2" w:rsidRPr="000559B2" w:rsidRDefault="000559B2" w:rsidP="005D6C3E">
      <w:pPr>
        <w:shd w:val="clear" w:color="auto" w:fill="FFFFFF"/>
        <w:spacing w:before="120" w:after="120" w:line="276" w:lineRule="auto"/>
        <w:jc w:val="both"/>
        <w:rPr>
          <w:color w:val="000000"/>
        </w:rPr>
      </w:pPr>
      <w:r w:rsidRPr="000559B2">
        <w:rPr>
          <w:b/>
          <w:bCs/>
          <w:color w:val="000000"/>
        </w:rPr>
        <w:t>Publication Opportunities:</w:t>
      </w:r>
    </w:p>
    <w:p w14:paraId="1F248891" w14:textId="77777777" w:rsidR="000559B2" w:rsidRPr="000559B2" w:rsidRDefault="000559B2" w:rsidP="005D1D65">
      <w:pPr>
        <w:numPr>
          <w:ilvl w:val="2"/>
          <w:numId w:val="28"/>
        </w:numPr>
        <w:shd w:val="clear" w:color="auto" w:fill="FFFFFF"/>
        <w:tabs>
          <w:tab w:val="clear" w:pos="2160"/>
        </w:tabs>
        <w:spacing w:before="120" w:after="100" w:afterAutospacing="1" w:line="276" w:lineRule="auto"/>
        <w:ind w:left="283" w:hanging="357"/>
        <w:jc w:val="both"/>
        <w:rPr>
          <w:color w:val="000000"/>
        </w:rPr>
      </w:pPr>
      <w:r w:rsidRPr="000559B2">
        <w:rPr>
          <w:color w:val="000000"/>
        </w:rPr>
        <w:t>Abstracts of all accepted and registered papers will be published in the Conference Abstract Book with an ISBN Number.</w:t>
      </w:r>
    </w:p>
    <w:p w14:paraId="5797DBFF" w14:textId="77777777" w:rsidR="000559B2" w:rsidRPr="000559B2" w:rsidRDefault="000559B2" w:rsidP="005D1D65">
      <w:pPr>
        <w:numPr>
          <w:ilvl w:val="2"/>
          <w:numId w:val="28"/>
        </w:numPr>
        <w:shd w:val="clear" w:color="auto" w:fill="FFFFFF"/>
        <w:tabs>
          <w:tab w:val="clear" w:pos="2160"/>
        </w:tabs>
        <w:spacing w:before="100" w:beforeAutospacing="1" w:after="100" w:afterAutospacing="1" w:line="276" w:lineRule="auto"/>
        <w:ind w:left="284"/>
        <w:jc w:val="both"/>
        <w:rPr>
          <w:color w:val="000000"/>
        </w:rPr>
      </w:pPr>
      <w:r w:rsidRPr="000559B2">
        <w:rPr>
          <w:color w:val="000000"/>
        </w:rPr>
        <w:t>Full papers can be published in various Indexed International Journals, including SCOPUS, Web of Science, DOAJ, and many more, or as a Book Chapter.</w:t>
      </w:r>
    </w:p>
    <w:p w14:paraId="3AC94928" w14:textId="2C3AF16C" w:rsidR="00F92548" w:rsidRPr="00B73902" w:rsidRDefault="00F92548" w:rsidP="00F92548">
      <w:pPr>
        <w:spacing w:before="120" w:after="100" w:afterAutospacing="1" w:line="276" w:lineRule="auto"/>
        <w:jc w:val="both"/>
        <w:rPr>
          <w:b/>
          <w:color w:val="E36C0A" w:themeColor="accent6" w:themeShade="BF"/>
          <w:u w:val="single"/>
        </w:rPr>
      </w:pPr>
      <w:hyperlink r:id="rId47" w:history="1">
        <w:r w:rsidRPr="00B73902">
          <w:rPr>
            <w:rStyle w:val="Hyperlink"/>
            <w:b/>
            <w:color w:val="E36C0A" w:themeColor="accent6" w:themeShade="BF"/>
          </w:rPr>
          <w:t>EUBCE 2025 – 33rd European Biomass Conference and Exhibition</w:t>
        </w:r>
      </w:hyperlink>
      <w:r w:rsidRPr="00B73902">
        <w:rPr>
          <w:b/>
          <w:color w:val="E36C0A" w:themeColor="accent6" w:themeShade="BF"/>
          <w:u w:val="single"/>
        </w:rPr>
        <w:t>, 9 – 12 June 2025, Valencia, Spain</w:t>
      </w:r>
    </w:p>
    <w:p w14:paraId="695C976C" w14:textId="77777777" w:rsidR="008453A5" w:rsidRDefault="00F92548" w:rsidP="00210648">
      <w:pPr>
        <w:spacing w:before="120" w:after="100" w:afterAutospacing="1" w:line="276" w:lineRule="auto"/>
        <w:jc w:val="both"/>
      </w:pPr>
      <w:r w:rsidRPr="00F92548">
        <w:t>Building on the success of EUBCE 2024, powerful and influential leaders, policymakers, researchers, industrialists, and organisations attending the event will be able to participate in thought-provoking sessions, meet customers, and partners in the exhibition area and engage with the entire biomass value chain.</w:t>
      </w:r>
    </w:p>
    <w:p w14:paraId="2030988B" w14:textId="2029E773" w:rsidR="00210648" w:rsidRPr="007B27DF" w:rsidRDefault="00210648" w:rsidP="00210648">
      <w:pPr>
        <w:spacing w:before="120" w:after="100" w:afterAutospacing="1" w:line="276" w:lineRule="auto"/>
        <w:jc w:val="both"/>
        <w:rPr>
          <w:b/>
          <w:color w:val="E36C0A" w:themeColor="accent6" w:themeShade="BF"/>
          <w:u w:val="single"/>
          <w:lang w:val="en-US"/>
        </w:rPr>
      </w:pPr>
      <w:hyperlink r:id="rId48" w:history="1">
        <w:r w:rsidRPr="007B27DF">
          <w:rPr>
            <w:rStyle w:val="Hyperlink"/>
            <w:b/>
            <w:color w:val="E36C0A" w:themeColor="accent6" w:themeShade="BF"/>
            <w:lang w:val="en-US"/>
          </w:rPr>
          <w:t>The 8th International Conference on Innovative Research in Education (IRECONF)</w:t>
        </w:r>
      </w:hyperlink>
      <w:r w:rsidRPr="007B27DF">
        <w:rPr>
          <w:b/>
          <w:color w:val="E36C0A" w:themeColor="accent6" w:themeShade="BF"/>
          <w:u w:val="single"/>
        </w:rPr>
        <w:t xml:space="preserve">, </w:t>
      </w:r>
      <w:r w:rsidRPr="007B27DF">
        <w:rPr>
          <w:b/>
          <w:color w:val="E36C0A" w:themeColor="accent6" w:themeShade="BF"/>
          <w:u w:val="single"/>
          <w:lang w:val="en-US"/>
        </w:rPr>
        <w:t>12 - 14 June 2025, Vienna, Austria</w:t>
      </w:r>
    </w:p>
    <w:p w14:paraId="0BCDA515" w14:textId="77777777" w:rsidR="00210648" w:rsidRPr="00210648" w:rsidRDefault="00210648" w:rsidP="00111EC1">
      <w:pPr>
        <w:spacing w:before="120" w:after="120" w:line="276" w:lineRule="auto"/>
        <w:jc w:val="both"/>
        <w:rPr>
          <w:lang w:val="en-US"/>
        </w:rPr>
      </w:pPr>
      <w:r w:rsidRPr="00210648">
        <w:rPr>
          <w:lang w:val="en-US"/>
        </w:rPr>
        <w:t>The 8th International Conference on Innovative Research in Education (IRECONF 2025) are now accepting submissions on topics including Education Theory and Practice, Language Education (ELT/FLT), Education Policy and Administration, Teaching, Child and Family Education, Learning, Teacher Education, and e-Learning, along with other related fields.</w:t>
      </w:r>
    </w:p>
    <w:p w14:paraId="48228F55" w14:textId="57DAD644" w:rsidR="003E002F" w:rsidRDefault="00210648" w:rsidP="00457AE6">
      <w:pPr>
        <w:spacing w:before="120" w:after="100" w:afterAutospacing="1" w:line="276" w:lineRule="auto"/>
        <w:jc w:val="both"/>
        <w:rPr>
          <w:lang w:val="en-US"/>
        </w:rPr>
      </w:pPr>
      <w:r w:rsidRPr="00210648">
        <w:rPr>
          <w:lang w:val="en-US"/>
        </w:rPr>
        <w:t>This event offers significant career development opportunities, including information on grants, partnerships, and job vacancies.</w:t>
      </w:r>
    </w:p>
    <w:p w14:paraId="015ADCED" w14:textId="3EFC8A20" w:rsidR="00D50C45" w:rsidRPr="00941A11" w:rsidRDefault="00D50C45" w:rsidP="00457AE6">
      <w:pPr>
        <w:spacing w:before="120" w:after="100" w:afterAutospacing="1" w:line="276" w:lineRule="auto"/>
        <w:jc w:val="both"/>
        <w:rPr>
          <w:b/>
          <w:color w:val="E36C0A" w:themeColor="accent6" w:themeShade="BF"/>
          <w:lang w:val="en-US"/>
        </w:rPr>
      </w:pPr>
      <w:hyperlink r:id="rId49" w:history="1">
        <w:r w:rsidRPr="00941A11">
          <w:rPr>
            <w:rStyle w:val="Hyperlink"/>
            <w:b/>
            <w:color w:val="E36C0A" w:themeColor="accent6" w:themeShade="BF"/>
            <w:lang w:val="en-US"/>
          </w:rPr>
          <w:t>The 13th International Conference on Research in Behavioral and Social Sciences (ICRBS)</w:t>
        </w:r>
        <w:r w:rsidR="000E7AA5" w:rsidRPr="00941A11">
          <w:rPr>
            <w:rStyle w:val="Hyperlink"/>
            <w:b/>
            <w:color w:val="E36C0A" w:themeColor="accent6" w:themeShade="BF"/>
            <w:lang w:val="en-US"/>
          </w:rPr>
          <w:t xml:space="preserve">, </w:t>
        </w:r>
        <w:r w:rsidRPr="00941A11">
          <w:rPr>
            <w:rStyle w:val="Hyperlink"/>
            <w:b/>
            <w:color w:val="E36C0A" w:themeColor="accent6" w:themeShade="BF"/>
            <w:lang w:val="en-US"/>
          </w:rPr>
          <w:t>12 -14 June 2025</w:t>
        </w:r>
        <w:r w:rsidR="000E7AA5" w:rsidRPr="00941A11">
          <w:rPr>
            <w:rStyle w:val="Hyperlink"/>
            <w:b/>
            <w:color w:val="E36C0A" w:themeColor="accent6" w:themeShade="BF"/>
            <w:lang w:val="en-US"/>
          </w:rPr>
          <w:t>,</w:t>
        </w:r>
        <w:r w:rsidRPr="00941A11">
          <w:rPr>
            <w:rStyle w:val="Hyperlink"/>
            <w:b/>
            <w:color w:val="E36C0A" w:themeColor="accent6" w:themeShade="BF"/>
            <w:lang w:val="en-US"/>
          </w:rPr>
          <w:t xml:space="preserve"> Vienna, Austria</w:t>
        </w:r>
      </w:hyperlink>
    </w:p>
    <w:p w14:paraId="794BB148" w14:textId="408534BE" w:rsidR="000E7AA5" w:rsidRDefault="000E7AA5" w:rsidP="00457AE6">
      <w:pPr>
        <w:spacing w:before="120" w:after="100" w:afterAutospacing="1" w:line="276" w:lineRule="auto"/>
        <w:jc w:val="both"/>
        <w:rPr>
          <w:lang w:val="en-US"/>
        </w:rPr>
      </w:pPr>
      <w:r w:rsidRPr="000E7AA5">
        <w:rPr>
          <w:lang w:val="en-US"/>
        </w:rPr>
        <w:t>ICRBS returns for its 13th edition, reaffirming its status as a premier event in behavioral and social sciences.</w:t>
      </w:r>
      <w:r>
        <w:rPr>
          <w:lang w:val="en-US"/>
        </w:rPr>
        <w:t xml:space="preserve"> </w:t>
      </w:r>
      <w:r w:rsidRPr="000E7AA5">
        <w:rPr>
          <w:lang w:val="en-US"/>
        </w:rPr>
        <w:t>Over the past decade, it has evolved into a pivotal conference for professionals in these fields, aiming to enhance the learning environment for all participants.</w:t>
      </w:r>
      <w:r>
        <w:rPr>
          <w:lang w:val="en-US"/>
        </w:rPr>
        <w:t xml:space="preserve"> </w:t>
      </w:r>
      <w:r w:rsidRPr="000E7AA5">
        <w:rPr>
          <w:lang w:val="en-US"/>
        </w:rPr>
        <w:t>The conference covers a diverse array of significant topics, exploring the latest concepts, advancements, and challenges within these disciplines.</w:t>
      </w:r>
    </w:p>
    <w:p w14:paraId="2ECF4AA5" w14:textId="7C30E782" w:rsidR="00D96105" w:rsidRPr="00CB114E" w:rsidRDefault="00D96105" w:rsidP="00CB114E">
      <w:pPr>
        <w:spacing w:before="120" w:after="100" w:afterAutospacing="1" w:line="276" w:lineRule="auto"/>
        <w:jc w:val="both"/>
        <w:rPr>
          <w:b/>
          <w:color w:val="E36C0A" w:themeColor="accent6" w:themeShade="BF"/>
          <w:lang w:val="en-US"/>
        </w:rPr>
      </w:pPr>
      <w:hyperlink r:id="rId50" w:history="1">
        <w:r w:rsidRPr="00CB114E">
          <w:rPr>
            <w:rStyle w:val="Hyperlink"/>
            <w:b/>
            <w:color w:val="E36C0A" w:themeColor="accent6" w:themeShade="BF"/>
            <w:lang w:val="en-US"/>
          </w:rPr>
          <w:t>8th International Conference on New Trends in Social Sciences</w:t>
        </w:r>
        <w:r w:rsidR="00CB114E" w:rsidRPr="00CB114E">
          <w:rPr>
            <w:rStyle w:val="Hyperlink"/>
            <w:b/>
            <w:color w:val="E36C0A" w:themeColor="accent6" w:themeShade="BF"/>
            <w:lang w:val="en-US"/>
          </w:rPr>
          <w:t xml:space="preserve">, 20 - 22 June 2025, </w:t>
        </w:r>
        <w:r w:rsidRPr="00CB114E">
          <w:rPr>
            <w:rStyle w:val="Hyperlink"/>
            <w:b/>
            <w:color w:val="E36C0A" w:themeColor="accent6" w:themeShade="BF"/>
            <w:lang w:val="en-US"/>
          </w:rPr>
          <w:t>Nice, France</w:t>
        </w:r>
      </w:hyperlink>
    </w:p>
    <w:p w14:paraId="020817F2" w14:textId="1BD9699B" w:rsidR="00CB114E" w:rsidRPr="00CB114E" w:rsidRDefault="00CB114E" w:rsidP="00CB114E">
      <w:pPr>
        <w:spacing w:before="120" w:after="100" w:afterAutospacing="1" w:line="276" w:lineRule="auto"/>
        <w:jc w:val="both"/>
        <w:rPr>
          <w:lang w:val="en-US"/>
        </w:rPr>
      </w:pPr>
      <w:r w:rsidRPr="00CB114E">
        <w:rPr>
          <w:lang w:val="en-US"/>
        </w:rPr>
        <w:t>It provides valuable insights into current trends, methodologies, and tools, while also offering opportunities for global collaboration and networking.</w:t>
      </w:r>
      <w:r>
        <w:rPr>
          <w:lang w:val="en-US"/>
        </w:rPr>
        <w:t xml:space="preserve"> </w:t>
      </w:r>
      <w:r w:rsidRPr="00CB114E">
        <w:rPr>
          <w:lang w:val="en-US"/>
        </w:rPr>
        <w:t>Participants can present their research for publication, delve into a variety of key topics, and enjoy guided city tours that blend academic learning with cultural exploration.</w:t>
      </w:r>
      <w:r>
        <w:rPr>
          <w:lang w:val="en-US"/>
        </w:rPr>
        <w:t xml:space="preserve"> </w:t>
      </w:r>
      <w:r w:rsidRPr="00CB114E">
        <w:rPr>
          <w:lang w:val="en-US"/>
        </w:rPr>
        <w:t>This conference is a must-attend for anyone dedicated to advancing the future of social sciences</w:t>
      </w:r>
    </w:p>
    <w:p w14:paraId="6A54E095" w14:textId="63B9A246" w:rsidR="00E27DE9" w:rsidRPr="00941A11" w:rsidRDefault="00E27DE9" w:rsidP="00E27DE9">
      <w:pPr>
        <w:spacing w:before="120" w:after="100" w:afterAutospacing="1" w:line="276" w:lineRule="auto"/>
        <w:jc w:val="both"/>
        <w:rPr>
          <w:b/>
          <w:color w:val="E36C0A" w:themeColor="accent6" w:themeShade="BF"/>
          <w:u w:val="single"/>
          <w:lang w:val="en-US"/>
        </w:rPr>
      </w:pPr>
      <w:hyperlink r:id="rId51" w:history="1">
        <w:r w:rsidRPr="00941A11">
          <w:rPr>
            <w:rStyle w:val="Hyperlink"/>
            <w:b/>
            <w:color w:val="E36C0A" w:themeColor="accent6" w:themeShade="BF"/>
            <w:lang w:val="en-US"/>
          </w:rPr>
          <w:t xml:space="preserve">Horizon Europe - Marie </w:t>
        </w:r>
        <w:proofErr w:type="spellStart"/>
        <w:r w:rsidRPr="00941A11">
          <w:rPr>
            <w:rStyle w:val="Hyperlink"/>
            <w:b/>
            <w:color w:val="E36C0A" w:themeColor="accent6" w:themeShade="BF"/>
            <w:lang w:val="en-US"/>
          </w:rPr>
          <w:t>Skłodowska</w:t>
        </w:r>
        <w:proofErr w:type="spellEnd"/>
        <w:r w:rsidRPr="00941A11">
          <w:rPr>
            <w:rStyle w:val="Hyperlink"/>
            <w:b/>
            <w:color w:val="E36C0A" w:themeColor="accent6" w:themeShade="BF"/>
            <w:lang w:val="en-US"/>
          </w:rPr>
          <w:t>-Curie Actions (MSCA) Doctoral Networks 2025 - Call info day</w:t>
        </w:r>
      </w:hyperlink>
      <w:r w:rsidRPr="00941A11">
        <w:rPr>
          <w:b/>
          <w:color w:val="E36C0A" w:themeColor="accent6" w:themeShade="BF"/>
          <w:u w:val="single"/>
          <w:lang w:val="en-US"/>
        </w:rPr>
        <w:t>, 24 June 2025, online</w:t>
      </w:r>
    </w:p>
    <w:p w14:paraId="615146F3" w14:textId="77777777" w:rsidR="00E27DE9" w:rsidRPr="00E27DE9" w:rsidRDefault="00E27DE9" w:rsidP="00E27DE9">
      <w:pPr>
        <w:spacing w:before="120" w:after="120" w:line="276" w:lineRule="auto"/>
        <w:jc w:val="both"/>
        <w:rPr>
          <w:lang w:val="en-US"/>
        </w:rPr>
      </w:pPr>
      <w:r w:rsidRPr="00E27DE9">
        <w:rPr>
          <w:lang w:val="en-US"/>
        </w:rPr>
        <w:t>This is an information event for the MSCA-DN-2025 call for proposals which will open on 28 May 2025. The main objectives are to:</w:t>
      </w:r>
    </w:p>
    <w:p w14:paraId="061BB3B2" w14:textId="77777777" w:rsidR="00E27DE9" w:rsidRPr="00E27DE9" w:rsidRDefault="00E27DE9" w:rsidP="005D1D65">
      <w:pPr>
        <w:numPr>
          <w:ilvl w:val="0"/>
          <w:numId w:val="33"/>
        </w:numPr>
        <w:spacing w:before="120" w:after="100" w:afterAutospacing="1" w:line="276" w:lineRule="auto"/>
        <w:jc w:val="both"/>
        <w:rPr>
          <w:lang w:val="en-US"/>
        </w:rPr>
      </w:pPr>
      <w:r w:rsidRPr="00E27DE9">
        <w:rPr>
          <w:lang w:val="en-US"/>
        </w:rPr>
        <w:t>Inform all potential applicants and stakeholders about the key aspects of the MSCA-DN-2025 call for proposals</w:t>
      </w:r>
    </w:p>
    <w:p w14:paraId="6FC957DA" w14:textId="7A446D31" w:rsidR="00E27DE9" w:rsidRDefault="00E27DE9" w:rsidP="005D1D65">
      <w:pPr>
        <w:numPr>
          <w:ilvl w:val="0"/>
          <w:numId w:val="33"/>
        </w:numPr>
        <w:spacing w:before="120" w:after="100" w:afterAutospacing="1" w:line="276" w:lineRule="auto"/>
        <w:jc w:val="both"/>
        <w:rPr>
          <w:lang w:val="en-US"/>
        </w:rPr>
      </w:pPr>
      <w:r w:rsidRPr="00E27DE9">
        <w:rPr>
          <w:lang w:val="en-US"/>
        </w:rPr>
        <w:t>Promote the Industrial Doctorate and Joint Doctorate modes and present the main incentives</w:t>
      </w:r>
    </w:p>
    <w:p w14:paraId="2E1DE35E" w14:textId="49DE50DF" w:rsidR="0080176A" w:rsidRPr="008C6057" w:rsidRDefault="008C6057" w:rsidP="0080176A">
      <w:pPr>
        <w:spacing w:before="120" w:after="100" w:afterAutospacing="1" w:line="276" w:lineRule="auto"/>
        <w:jc w:val="both"/>
        <w:rPr>
          <w:b/>
          <w:color w:val="E36C0A" w:themeColor="accent6" w:themeShade="BF"/>
          <w:lang w:val="en-US"/>
        </w:rPr>
      </w:pPr>
      <w:hyperlink r:id="rId52" w:history="1">
        <w:r w:rsidRPr="008C6057">
          <w:rPr>
            <w:rStyle w:val="Hyperlink"/>
            <w:b/>
            <w:color w:val="E36C0A" w:themeColor="accent6" w:themeShade="BF"/>
            <w:lang w:val="en-US"/>
          </w:rPr>
          <w:t>European Women in Technology,</w:t>
        </w:r>
        <w:r w:rsidRPr="008C6057">
          <w:rPr>
            <w:rStyle w:val="Hyperlink"/>
            <w:b/>
            <w:color w:val="E36C0A" w:themeColor="accent6" w:themeShade="BF"/>
            <w:lang w:val="bg-BG"/>
          </w:rPr>
          <w:t xml:space="preserve"> 25 – 26 </w:t>
        </w:r>
        <w:r w:rsidRPr="008C6057">
          <w:rPr>
            <w:rStyle w:val="Hyperlink"/>
            <w:b/>
            <w:color w:val="E36C0A" w:themeColor="accent6" w:themeShade="BF"/>
            <w:lang w:val="en-US"/>
          </w:rPr>
          <w:t>June</w:t>
        </w:r>
        <w:r w:rsidRPr="008C6057">
          <w:rPr>
            <w:rStyle w:val="Hyperlink"/>
            <w:b/>
            <w:color w:val="E36C0A" w:themeColor="accent6" w:themeShade="BF"/>
            <w:lang w:val="bg-BG"/>
          </w:rPr>
          <w:t xml:space="preserve"> 2025</w:t>
        </w:r>
        <w:r w:rsidRPr="008C6057">
          <w:rPr>
            <w:rStyle w:val="Hyperlink"/>
            <w:b/>
            <w:color w:val="E36C0A" w:themeColor="accent6" w:themeShade="BF"/>
            <w:lang w:val="en-US"/>
          </w:rPr>
          <w:t>, Amsterdam, the Netherlands</w:t>
        </w:r>
      </w:hyperlink>
    </w:p>
    <w:p w14:paraId="09018490" w14:textId="77777777" w:rsidR="008C6057" w:rsidRPr="008C6057" w:rsidRDefault="008C6057" w:rsidP="008C6057">
      <w:pPr>
        <w:spacing w:before="120" w:after="100" w:afterAutospacing="1" w:line="276" w:lineRule="auto"/>
        <w:jc w:val="both"/>
        <w:rPr>
          <w:lang w:val="en-US"/>
        </w:rPr>
      </w:pPr>
      <w:r w:rsidRPr="008C6057">
        <w:rPr>
          <w:lang w:val="en-US"/>
        </w:rPr>
        <w:t>European Women in Technology returns on 25 - 26 June at the RAI, Amsterdam uniting 5,000+ women in tech, diversity advocates, allies and change makers for Leading the Digital Revolution, our brand new theme for 2025!</w:t>
      </w:r>
    </w:p>
    <w:p w14:paraId="1A4731D3" w14:textId="77777777" w:rsidR="008C6057" w:rsidRPr="008C6057" w:rsidRDefault="008C6057" w:rsidP="008C6057">
      <w:pPr>
        <w:spacing w:before="120" w:after="100" w:afterAutospacing="1" w:line="276" w:lineRule="auto"/>
        <w:jc w:val="both"/>
        <w:rPr>
          <w:lang w:val="en-US"/>
        </w:rPr>
      </w:pPr>
      <w:r w:rsidRPr="008C6057">
        <w:rPr>
          <w:lang w:val="en-US"/>
        </w:rPr>
        <w:t xml:space="preserve">Over the course of two days, you'll learn how to survive the AI-driven Industrial Revolution </w:t>
      </w:r>
      <w:proofErr w:type="spellStart"/>
      <w:r w:rsidRPr="008C6057">
        <w:rPr>
          <w:lang w:val="en-US"/>
        </w:rPr>
        <w:t>armoured</w:t>
      </w:r>
      <w:proofErr w:type="spellEnd"/>
      <w:r w:rsidRPr="008C6057">
        <w:rPr>
          <w:lang w:val="en-US"/>
        </w:rPr>
        <w:t xml:space="preserve"> with a strategic awareness of disruptive technology and a plan to build, and retain, talent and skills to develop it - or risk being left behind in an increasingly volatile digital world.</w:t>
      </w:r>
    </w:p>
    <w:p w14:paraId="50381F63" w14:textId="41E6B81E" w:rsidR="00B45E81" w:rsidRPr="00941A11" w:rsidRDefault="00B45E81" w:rsidP="00B45E81">
      <w:pPr>
        <w:tabs>
          <w:tab w:val="num" w:pos="1440"/>
        </w:tabs>
        <w:spacing w:after="100" w:afterAutospacing="1" w:line="276" w:lineRule="auto"/>
        <w:jc w:val="both"/>
        <w:rPr>
          <w:b/>
          <w:color w:val="E36C0A" w:themeColor="accent6" w:themeShade="BF"/>
          <w:u w:val="single"/>
          <w:lang w:val="en-US" w:eastAsia="en-US"/>
        </w:rPr>
      </w:pPr>
      <w:hyperlink r:id="rId53" w:history="1">
        <w:r w:rsidRPr="00941A11">
          <w:rPr>
            <w:b/>
            <w:color w:val="E36C0A" w:themeColor="accent6" w:themeShade="BF"/>
            <w:u w:val="single"/>
            <w:lang w:val="en-US" w:eastAsia="en-US"/>
          </w:rPr>
          <w:t>European Research and Innovation Days 2025</w:t>
        </w:r>
      </w:hyperlink>
      <w:r w:rsidRPr="00941A11">
        <w:rPr>
          <w:b/>
          <w:color w:val="E36C0A" w:themeColor="accent6" w:themeShade="BF"/>
          <w:u w:val="single"/>
          <w:lang w:val="en-US" w:eastAsia="en-US"/>
        </w:rPr>
        <w:t>, 16 -17 September 2025, Brussels, Belgium</w:t>
      </w:r>
    </w:p>
    <w:p w14:paraId="3AF3A0B5" w14:textId="4B4BD642" w:rsidR="00B45E81" w:rsidRDefault="00B45E81" w:rsidP="00B45E81">
      <w:pPr>
        <w:tabs>
          <w:tab w:val="num" w:pos="1440"/>
        </w:tabs>
        <w:spacing w:after="100" w:afterAutospacing="1" w:line="276" w:lineRule="auto"/>
        <w:jc w:val="both"/>
        <w:rPr>
          <w:color w:val="26324B"/>
          <w:lang w:val="en-US" w:eastAsia="en-US"/>
        </w:rPr>
      </w:pPr>
      <w:r w:rsidRPr="00B45E81">
        <w:rPr>
          <w:color w:val="26324B"/>
          <w:lang w:val="en-US" w:eastAsia="en-US"/>
        </w:rPr>
        <w:t>The sixth edition of this flagship event of the European Commission will bring together policymakers, researchers, business leaders and the wider innovation community to discuss how research and innovation drives Europe’s competitiveness, sustainability and industrial leadership, underpinning the EU’s top priorities. This year’s edition,</w:t>
      </w:r>
      <w:r w:rsidRPr="00B45E81">
        <w:rPr>
          <w:b/>
          <w:bCs/>
          <w:color w:val="26324B"/>
          <w:lang w:val="en-US" w:eastAsia="en-US"/>
        </w:rPr>
        <w:t> “Together, towards a Research and Innovation Union”,</w:t>
      </w:r>
      <w:r w:rsidRPr="00B45E81">
        <w:rPr>
          <w:color w:val="26324B"/>
          <w:lang w:val="en-US" w:eastAsia="en-US"/>
        </w:rPr>
        <w:t> will come at a pivotal moment of discussions on the EU’s next long-term budget and key policy actions such as the </w:t>
      </w:r>
      <w:hyperlink r:id="rId54" w:history="1">
        <w:r w:rsidRPr="00B45E81">
          <w:rPr>
            <w:rStyle w:val="Hyperlink"/>
            <w:lang w:val="en-US" w:eastAsia="en-US"/>
          </w:rPr>
          <w:t>Startup and Scaleup Strategy</w:t>
        </w:r>
      </w:hyperlink>
      <w:r w:rsidRPr="00B45E81">
        <w:rPr>
          <w:color w:val="26324B"/>
          <w:lang w:val="en-US" w:eastAsia="en-US"/>
        </w:rPr>
        <w:t>, the European Life Sciences Strategy, the </w:t>
      </w:r>
      <w:hyperlink r:id="rId55" w:history="1">
        <w:r w:rsidRPr="00B45E81">
          <w:rPr>
            <w:rStyle w:val="Hyperlink"/>
            <w:lang w:val="en-US" w:eastAsia="en-US"/>
          </w:rPr>
          <w:t>AI in Science Strategy</w:t>
        </w:r>
      </w:hyperlink>
      <w:r w:rsidRPr="00B45E81">
        <w:rPr>
          <w:color w:val="26324B"/>
          <w:lang w:val="en-US" w:eastAsia="en-US"/>
        </w:rPr>
        <w:t> and the </w:t>
      </w:r>
      <w:hyperlink r:id="rId56" w:history="1">
        <w:r w:rsidRPr="00B45E81">
          <w:rPr>
            <w:rStyle w:val="Hyperlink"/>
            <w:lang w:val="en-US" w:eastAsia="en-US"/>
          </w:rPr>
          <w:t>European Innovation</w:t>
        </w:r>
      </w:hyperlink>
      <w:r w:rsidRPr="00B45E81">
        <w:rPr>
          <w:color w:val="26324B"/>
          <w:lang w:val="en-US" w:eastAsia="en-US"/>
        </w:rPr>
        <w:t> and </w:t>
      </w:r>
      <w:hyperlink r:id="rId57" w:history="1">
        <w:r w:rsidRPr="00B45E81">
          <w:rPr>
            <w:rStyle w:val="Hyperlink"/>
            <w:lang w:val="en-US" w:eastAsia="en-US"/>
          </w:rPr>
          <w:t>European Research Area</w:t>
        </w:r>
      </w:hyperlink>
      <w:r w:rsidRPr="00B45E81">
        <w:rPr>
          <w:color w:val="26324B"/>
          <w:lang w:val="en-US" w:eastAsia="en-US"/>
        </w:rPr>
        <w:t> Acts. </w:t>
      </w:r>
    </w:p>
    <w:p w14:paraId="735870D4" w14:textId="6F95435D" w:rsidR="005E377F" w:rsidRDefault="005E377F" w:rsidP="005E377F">
      <w:pPr>
        <w:spacing w:after="100" w:afterAutospacing="1" w:line="276" w:lineRule="auto"/>
        <w:jc w:val="both"/>
        <w:rPr>
          <w:b/>
          <w:color w:val="E36C0A" w:themeColor="accent6" w:themeShade="BF"/>
          <w:lang w:val="en-US" w:eastAsia="en-US"/>
        </w:rPr>
      </w:pPr>
      <w:hyperlink r:id="rId58" w:history="1">
        <w:r w:rsidRPr="005E377F">
          <w:rPr>
            <w:rStyle w:val="Hyperlink"/>
            <w:b/>
            <w:color w:val="E36C0A" w:themeColor="accent6" w:themeShade="BF"/>
            <w:lang w:val="en-US" w:eastAsia="en-US"/>
          </w:rPr>
          <w:t>10th International Conference on Advanced Research in Social Sciences and Humanities, 24 - 26 October 2025, Geneva, Switzerland</w:t>
        </w:r>
      </w:hyperlink>
    </w:p>
    <w:p w14:paraId="56CC689E" w14:textId="4303352A" w:rsidR="005E377F" w:rsidRPr="005E377F" w:rsidRDefault="005E377F" w:rsidP="005E377F">
      <w:pPr>
        <w:spacing w:after="100" w:afterAutospacing="1" w:line="276" w:lineRule="auto"/>
        <w:jc w:val="both"/>
        <w:rPr>
          <w:lang w:val="en-US" w:eastAsia="en-US"/>
        </w:rPr>
      </w:pPr>
      <w:r w:rsidRPr="005E377F">
        <w:rPr>
          <w:lang w:val="en-US" w:eastAsia="en-US"/>
        </w:rPr>
        <w:t>This conference offers a dynamic platform to share knowledge, explore new ideas, and build meaningful academic connections.</w:t>
      </w:r>
      <w:r>
        <w:rPr>
          <w:lang w:val="en-US" w:eastAsia="en-US"/>
        </w:rPr>
        <w:t xml:space="preserve"> </w:t>
      </w:r>
      <w:r w:rsidRPr="005E377F">
        <w:rPr>
          <w:lang w:val="en-US" w:eastAsia="en-US"/>
        </w:rPr>
        <w:t>Whether you are an experienced scholar or an emerging researcher, ICARSH 2025 provides invaluable opportunities to grow professionally and academically.</w:t>
      </w:r>
    </w:p>
    <w:p w14:paraId="577E1978" w14:textId="00D49DC2" w:rsidR="004A7227" w:rsidRPr="004A7227" w:rsidRDefault="004A7227" w:rsidP="004A7227">
      <w:pPr>
        <w:tabs>
          <w:tab w:val="num" w:pos="1440"/>
        </w:tabs>
        <w:spacing w:after="100" w:afterAutospacing="1" w:line="276" w:lineRule="auto"/>
        <w:jc w:val="both"/>
        <w:rPr>
          <w:b/>
          <w:color w:val="E36C0A" w:themeColor="accent6" w:themeShade="BF"/>
          <w:lang w:val="en-US" w:eastAsia="en-US"/>
        </w:rPr>
      </w:pPr>
      <w:hyperlink r:id="rId59" w:history="1">
        <w:r w:rsidRPr="004A7227">
          <w:rPr>
            <w:rStyle w:val="Hyperlink"/>
            <w:b/>
            <w:bCs/>
            <w:color w:val="E36C0A" w:themeColor="accent6" w:themeShade="BF"/>
            <w:lang w:val="en-US" w:eastAsia="en-US"/>
          </w:rPr>
          <w:t xml:space="preserve">2025 European Quality Assurance Forum: </w:t>
        </w:r>
        <w:r w:rsidRPr="004A7227">
          <w:rPr>
            <w:rStyle w:val="Hyperlink"/>
            <w:b/>
            <w:color w:val="E36C0A" w:themeColor="accent6" w:themeShade="BF"/>
            <w:lang w:val="en-US" w:eastAsia="en-US"/>
          </w:rPr>
          <w:t>QA in times of crises – Ensuring stability, autonomy and international cooperation in higher education, 12 - 14 November 2025, Budapest, Hungary</w:t>
        </w:r>
      </w:hyperlink>
    </w:p>
    <w:p w14:paraId="7C52BBD4" w14:textId="45F40534" w:rsidR="004A7227" w:rsidRPr="004A7227" w:rsidRDefault="004A7227" w:rsidP="004A7227">
      <w:pPr>
        <w:tabs>
          <w:tab w:val="num" w:pos="1440"/>
        </w:tabs>
        <w:spacing w:after="100" w:afterAutospacing="1" w:line="276" w:lineRule="auto"/>
        <w:jc w:val="both"/>
        <w:rPr>
          <w:color w:val="26324B"/>
          <w:lang w:val="en-US" w:eastAsia="en-US"/>
        </w:rPr>
      </w:pPr>
      <w:r w:rsidRPr="004A7227">
        <w:rPr>
          <w:color w:val="26324B"/>
          <w:lang w:val="en-US" w:eastAsia="en-US"/>
        </w:rPr>
        <w:t>The European Quality Assurance Forum (EQAF) provides a platform for discussion, professional development and exchange of experiences among the main stakeholders in quality assurance (QA). The Forum will be of interest to rectors and vice-rectors responsible for QA, QA officers in higher education institutions, students, QA agency staff and researchers working in higher education or the QA field.</w:t>
      </w:r>
      <w:r w:rsidR="00C50C52">
        <w:rPr>
          <w:color w:val="26324B"/>
          <w:lang w:val="en-US" w:eastAsia="en-US"/>
        </w:rPr>
        <w:t xml:space="preserve"> </w:t>
      </w:r>
      <w:r w:rsidRPr="004A7227">
        <w:rPr>
          <w:color w:val="26324B"/>
          <w:lang w:val="en-US" w:eastAsia="en-US"/>
        </w:rPr>
        <w:t>This year’s Forum, entitled </w:t>
      </w:r>
      <w:r w:rsidRPr="004A7227">
        <w:rPr>
          <w:b/>
          <w:bCs/>
          <w:color w:val="26324B"/>
          <w:lang w:val="en-US" w:eastAsia="en-US"/>
        </w:rPr>
        <w:t>‘QA in times of crises - Ensuring stability, autonomy and international cooperation in higher education’,</w:t>
      </w:r>
      <w:r w:rsidRPr="004A7227">
        <w:rPr>
          <w:color w:val="26324B"/>
          <w:lang w:val="en-US" w:eastAsia="en-US"/>
        </w:rPr>
        <w:t> will combine sessions about European policies and trends, research, and practical case examples related to the Forum theme and more generally about current developments in quality assurance.</w:t>
      </w:r>
    </w:p>
    <w:p w14:paraId="4D2C04D4" w14:textId="77777777" w:rsidR="004A7227" w:rsidRPr="004A7227" w:rsidRDefault="004A7227" w:rsidP="004A7227">
      <w:pPr>
        <w:tabs>
          <w:tab w:val="num" w:pos="1440"/>
        </w:tabs>
        <w:spacing w:after="100" w:afterAutospacing="1" w:line="276" w:lineRule="auto"/>
        <w:jc w:val="both"/>
        <w:rPr>
          <w:color w:val="26324B"/>
          <w:lang w:val="en-US" w:eastAsia="en-US"/>
        </w:rPr>
      </w:pPr>
    </w:p>
    <w:p w14:paraId="2B56663C" w14:textId="77777777" w:rsidR="004A7227" w:rsidRPr="00B45E81" w:rsidRDefault="004A7227" w:rsidP="00B45E81">
      <w:pPr>
        <w:tabs>
          <w:tab w:val="num" w:pos="1440"/>
        </w:tabs>
        <w:spacing w:after="100" w:afterAutospacing="1" w:line="276" w:lineRule="auto"/>
        <w:jc w:val="both"/>
        <w:rPr>
          <w:color w:val="26324B"/>
          <w:lang w:val="en-US" w:eastAsia="en-US"/>
        </w:rPr>
      </w:pPr>
    </w:p>
    <w:p w14:paraId="4B322114" w14:textId="77777777" w:rsidR="00B45E81" w:rsidRDefault="00B45E81" w:rsidP="00B45E81">
      <w:pPr>
        <w:tabs>
          <w:tab w:val="num" w:pos="1440"/>
        </w:tabs>
        <w:spacing w:after="100" w:afterAutospacing="1" w:line="276" w:lineRule="auto"/>
        <w:jc w:val="both"/>
        <w:rPr>
          <w:color w:val="26324B"/>
          <w:lang w:val="en-US" w:eastAsia="en-US"/>
        </w:rPr>
      </w:pPr>
    </w:p>
    <w:p w14:paraId="2B39F3CB" w14:textId="694A6E29" w:rsidR="00B45E81" w:rsidRDefault="00B45E81" w:rsidP="00B45E81">
      <w:pPr>
        <w:tabs>
          <w:tab w:val="num" w:pos="1440"/>
        </w:tabs>
        <w:rPr>
          <w:color w:val="26324B"/>
          <w:lang w:val="en-US" w:eastAsia="en-US"/>
        </w:rPr>
      </w:pPr>
    </w:p>
    <w:p w14:paraId="67711CAB" w14:textId="77777777" w:rsidR="00B45E81" w:rsidRPr="00B45E81" w:rsidRDefault="00B45E81" w:rsidP="00B45E81">
      <w:pPr>
        <w:tabs>
          <w:tab w:val="num" w:pos="1440"/>
        </w:tabs>
        <w:rPr>
          <w:color w:val="26324B"/>
          <w:lang w:val="en-US" w:eastAsia="en-US"/>
        </w:rPr>
      </w:pPr>
    </w:p>
    <w:p w14:paraId="26238815" w14:textId="77777777" w:rsidR="00EF5DAE" w:rsidRDefault="00EF5DAE" w:rsidP="00457AE6">
      <w:pPr>
        <w:spacing w:before="120" w:after="100" w:afterAutospacing="1" w:line="276" w:lineRule="auto"/>
        <w:jc w:val="both"/>
      </w:pPr>
    </w:p>
    <w:p w14:paraId="35049CF4" w14:textId="77777777" w:rsidR="00022A5F" w:rsidRDefault="00022A5F" w:rsidP="00457AE6">
      <w:pPr>
        <w:spacing w:before="120" w:after="100" w:afterAutospacing="1" w:line="276" w:lineRule="auto"/>
        <w:jc w:val="both"/>
        <w:rPr>
          <w:lang w:val="en-US"/>
        </w:rPr>
      </w:pPr>
    </w:p>
    <w:p w14:paraId="0D6722B8" w14:textId="77777777" w:rsidR="00742F6F" w:rsidRPr="002A1300" w:rsidRDefault="00742F6F" w:rsidP="00457AE6">
      <w:pPr>
        <w:spacing w:before="120" w:after="100" w:afterAutospacing="1" w:line="276" w:lineRule="auto"/>
        <w:jc w:val="both"/>
        <w:rPr>
          <w:lang w:val="en-US"/>
        </w:rPr>
        <w:sectPr w:rsidR="00742F6F" w:rsidRPr="002A1300" w:rsidSect="002852EF">
          <w:footerReference w:type="default" r:id="rId60"/>
          <w:pgSz w:w="11906" w:h="16838"/>
          <w:pgMar w:top="1417" w:right="1417" w:bottom="1417" w:left="1417" w:header="708" w:footer="708" w:gutter="0"/>
          <w:cols w:space="708"/>
          <w:docGrid w:linePitch="360"/>
        </w:sectPr>
      </w:pPr>
    </w:p>
    <w:p w14:paraId="48ABB7FF" w14:textId="77777777" w:rsidR="00912146" w:rsidRDefault="00912146" w:rsidP="00B278E8">
      <w:pPr>
        <w:pStyle w:val="Publications"/>
      </w:pPr>
      <w:bookmarkStart w:id="37" w:name="_Toc197365396"/>
      <w:r>
        <w:t>ПУБЛИКАЦИИ</w:t>
      </w:r>
      <w:bookmarkEnd w:id="37"/>
    </w:p>
    <w:p w14:paraId="76F04EFB" w14:textId="77777777" w:rsidR="002218F8" w:rsidRPr="004B08D4" w:rsidRDefault="002218F8" w:rsidP="00601799">
      <w:pPr>
        <w:pStyle w:val="Heading2"/>
        <w:spacing w:after="120"/>
        <w:ind w:left="425" w:hanging="357"/>
        <w:rPr>
          <w:lang w:val="en-US"/>
        </w:rPr>
      </w:pPr>
      <w:bookmarkStart w:id="38" w:name="_Toc197365397"/>
      <w:r w:rsidRPr="004B08D4">
        <w:rPr>
          <w:lang w:val="en-US"/>
        </w:rPr>
        <w:t>Staff development in learning and teaching at European universities</w:t>
      </w:r>
      <w:bookmarkEnd w:id="38"/>
    </w:p>
    <w:p w14:paraId="1F49F75B" w14:textId="1853EFB8" w:rsidR="002218F8" w:rsidRPr="002218F8" w:rsidRDefault="002218F8" w:rsidP="002218F8">
      <w:pPr>
        <w:pStyle w:val="NormalWeb"/>
        <w:spacing w:line="276" w:lineRule="auto"/>
        <w:jc w:val="both"/>
        <w:rPr>
          <w:lang w:val="en-US"/>
        </w:rPr>
      </w:pPr>
      <w:r>
        <w:rPr>
          <w:noProof/>
          <w:lang w:eastAsia="en-GB"/>
        </w:rPr>
        <w:drawing>
          <wp:inline distT="0" distB="0" distL="0" distR="0" wp14:anchorId="6FA322A5" wp14:editId="7DF450F5">
            <wp:extent cx="1422000" cy="2012400"/>
            <wp:effectExtent l="0" t="0" r="698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422000" cy="2012400"/>
                    </a:xfrm>
                    <a:prstGeom prst="rect">
                      <a:avLst/>
                    </a:prstGeom>
                    <a:noFill/>
                  </pic:spPr>
                </pic:pic>
              </a:graphicData>
            </a:graphic>
          </wp:inline>
        </w:drawing>
      </w:r>
      <w:r w:rsidR="004B08D4" w:rsidRPr="002218F8">
        <w:rPr>
          <w:lang w:val="en-US"/>
        </w:rPr>
        <w:t xml:space="preserve"> </w:t>
      </w:r>
    </w:p>
    <w:p w14:paraId="67627E12" w14:textId="77777777" w:rsidR="004B08D4" w:rsidRPr="002218F8" w:rsidRDefault="002218F8" w:rsidP="004B08D4">
      <w:pPr>
        <w:pStyle w:val="NormalWeb"/>
        <w:spacing w:line="276" w:lineRule="auto"/>
        <w:jc w:val="both"/>
        <w:rPr>
          <w:lang w:val="en-US"/>
        </w:rPr>
      </w:pPr>
      <w:r w:rsidRPr="002218F8">
        <w:t>This report, the first outcome of the EU-funded STAFF-DEV project, is based on the results of a survey conducted in 2024, with over 160 responses collected from higher education institutions based in 40 countries across the European Higher Education Area. The report examines the national context in which staff development, i.e. opportunities for personnel involved in student learning to grow their professional competences and reflect on their role, conceptions and needs, takes place. Moreover, it explores the approaches and activities for staff development organised at HEIs and how staff development is connected with academic assessment and career progression.</w:t>
      </w:r>
      <w:r w:rsidR="004B08D4">
        <w:t xml:space="preserve"> </w:t>
      </w:r>
      <w:hyperlink r:id="rId62" w:tgtFrame="_blank" w:history="1">
        <w:r w:rsidR="004B08D4" w:rsidRPr="002218F8">
          <w:rPr>
            <w:rStyle w:val="Hyperlink"/>
            <w:b/>
            <w:bCs/>
            <w:lang w:val="en-US"/>
          </w:rPr>
          <w:t>Download      </w:t>
        </w:r>
      </w:hyperlink>
    </w:p>
    <w:p w14:paraId="794312CF" w14:textId="77777777" w:rsidR="00104793" w:rsidRPr="00104793" w:rsidRDefault="00104793" w:rsidP="008B0760">
      <w:pPr>
        <w:pStyle w:val="Heading2"/>
        <w:ind w:left="426"/>
        <w:rPr>
          <w:lang w:val="en-US"/>
        </w:rPr>
      </w:pPr>
      <w:bookmarkStart w:id="39" w:name="_Toc197365398"/>
      <w:r w:rsidRPr="00104793">
        <w:rPr>
          <w:lang w:val="en-US"/>
        </w:rPr>
        <w:t>Developing common learning opportunities through interoperability</w:t>
      </w:r>
      <w:bookmarkEnd w:id="39"/>
    </w:p>
    <w:p w14:paraId="03A85FC4" w14:textId="5B190CE3" w:rsidR="00612E14" w:rsidRDefault="008B0760" w:rsidP="00F64142">
      <w:pPr>
        <w:pStyle w:val="NormalWeb"/>
        <w:spacing w:before="120" w:beforeAutospacing="0" w:after="600" w:afterAutospacing="0" w:line="276" w:lineRule="auto"/>
        <w:jc w:val="both"/>
      </w:pPr>
      <w:r>
        <w:rPr>
          <w:noProof/>
          <w:lang w:eastAsia="en-GB"/>
        </w:rPr>
        <w:drawing>
          <wp:anchor distT="0" distB="0" distL="114300" distR="114300" simplePos="0" relativeHeight="251724800" behindDoc="0" locked="0" layoutInCell="1" allowOverlap="1" wp14:anchorId="447E570F" wp14:editId="4807D4A1">
            <wp:simplePos x="0" y="0"/>
            <wp:positionH relativeFrom="column">
              <wp:posOffset>56308</wp:posOffset>
            </wp:positionH>
            <wp:positionV relativeFrom="paragraph">
              <wp:posOffset>134576</wp:posOffset>
            </wp:positionV>
            <wp:extent cx="1425600" cy="2012400"/>
            <wp:effectExtent l="0" t="0" r="3175" b="6985"/>
            <wp:wrapThrough wrapText="bothSides">
              <wp:wrapPolygon edited="0">
                <wp:start x="0" y="0"/>
                <wp:lineTo x="0" y="21470"/>
                <wp:lineTo x="21359" y="21470"/>
                <wp:lineTo x="2135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425600" cy="2012400"/>
                    </a:xfrm>
                    <a:prstGeom prst="rect">
                      <a:avLst/>
                    </a:prstGeom>
                    <a:noFill/>
                  </pic:spPr>
                </pic:pic>
              </a:graphicData>
            </a:graphic>
            <wp14:sizeRelH relativeFrom="page">
              <wp14:pctWidth>0</wp14:pctWidth>
            </wp14:sizeRelH>
            <wp14:sizeRelV relativeFrom="page">
              <wp14:pctHeight>0</wp14:pctHeight>
            </wp14:sizeRelV>
          </wp:anchor>
        </w:drawing>
      </w:r>
    </w:p>
    <w:p w14:paraId="695A2B57" w14:textId="77777777" w:rsidR="008B0760" w:rsidRDefault="008B0760" w:rsidP="00F64142">
      <w:pPr>
        <w:pStyle w:val="NormalWeb"/>
        <w:spacing w:before="120" w:beforeAutospacing="0" w:after="600" w:afterAutospacing="0" w:line="276" w:lineRule="auto"/>
        <w:jc w:val="both"/>
        <w:rPr>
          <w:lang w:val="en-US"/>
        </w:rPr>
      </w:pPr>
    </w:p>
    <w:p w14:paraId="2E512C95" w14:textId="42BF154E" w:rsidR="008B0760" w:rsidRDefault="008B0760" w:rsidP="00F64142">
      <w:pPr>
        <w:pStyle w:val="NormalWeb"/>
        <w:spacing w:before="120" w:beforeAutospacing="0" w:after="600" w:afterAutospacing="0" w:line="276" w:lineRule="auto"/>
        <w:jc w:val="both"/>
        <w:rPr>
          <w:lang w:val="en-US"/>
        </w:rPr>
      </w:pPr>
    </w:p>
    <w:p w14:paraId="490BE7E1" w14:textId="433DA0DE" w:rsidR="00612E14" w:rsidRPr="00104793" w:rsidRDefault="00104793" w:rsidP="00F64142">
      <w:pPr>
        <w:pStyle w:val="NormalWeb"/>
        <w:spacing w:before="120" w:beforeAutospacing="0" w:after="600" w:afterAutospacing="0" w:line="276" w:lineRule="auto"/>
        <w:jc w:val="both"/>
        <w:rPr>
          <w:lang w:val="en-US"/>
        </w:rPr>
      </w:pPr>
      <w:hyperlink r:id="rId64" w:history="1">
        <w:r w:rsidRPr="00104793">
          <w:rPr>
            <w:rStyle w:val="Hyperlink"/>
            <w:lang w:val="en-US"/>
          </w:rPr>
          <w:t>Download</w:t>
        </w:r>
      </w:hyperlink>
    </w:p>
    <w:p w14:paraId="703191CA" w14:textId="7FE414A3" w:rsidR="00612E14" w:rsidRDefault="00104793" w:rsidP="00104793">
      <w:pPr>
        <w:pStyle w:val="NormalWeb"/>
        <w:spacing w:before="120" w:beforeAutospacing="0" w:after="120" w:afterAutospacing="0" w:line="276" w:lineRule="auto"/>
        <w:jc w:val="both"/>
      </w:pPr>
      <w:r w:rsidRPr="00104793">
        <w:t xml:space="preserve">Thomas Jorgensen, Clare Phelan, Liliya </w:t>
      </w:r>
      <w:proofErr w:type="spellStart"/>
      <w:r w:rsidRPr="00104793">
        <w:t>Kukuruza</w:t>
      </w:r>
      <w:proofErr w:type="spellEnd"/>
    </w:p>
    <w:p w14:paraId="11588D24" w14:textId="77777777" w:rsidR="00104793" w:rsidRPr="00104793" w:rsidRDefault="00104793" w:rsidP="00104793">
      <w:pPr>
        <w:pStyle w:val="NormalWeb"/>
        <w:spacing w:before="120" w:beforeAutospacing="0" w:after="120" w:afterAutospacing="0" w:line="276" w:lineRule="auto"/>
        <w:jc w:val="both"/>
        <w:rPr>
          <w:lang w:val="en-US"/>
        </w:rPr>
      </w:pPr>
      <w:r w:rsidRPr="00104793">
        <w:rPr>
          <w:lang w:val="en-US"/>
        </w:rPr>
        <w:t>Interoperability refers to the ability for partner universities to seamlessly and securely share data across institutional and national boundaries. In this briefing, EUA explores interoperability’s potential to transform cooperation within and beyond the European Universities alliances. </w:t>
      </w:r>
    </w:p>
    <w:p w14:paraId="52DBBB23" w14:textId="77777777" w:rsidR="00104793" w:rsidRPr="00104793" w:rsidRDefault="00104793" w:rsidP="008B0760">
      <w:pPr>
        <w:pStyle w:val="NormalWeb"/>
        <w:spacing w:before="120" w:beforeAutospacing="0" w:after="600" w:afterAutospacing="0" w:line="276" w:lineRule="auto"/>
        <w:jc w:val="both"/>
        <w:rPr>
          <w:lang w:val="en-US"/>
        </w:rPr>
      </w:pPr>
      <w:r w:rsidRPr="00104793">
        <w:rPr>
          <w:lang w:val="en-US"/>
        </w:rPr>
        <w:t>This briefing presents the experiences of practitioners within EUA member universities and looks at some of the more commonly-experienced obstacles – uneven use of data standards, questions around ownership and governance – and considers whether and how the prevailing ‘make it work’ mindset among alliance partners connects to the wider political ambition to make interoperability a reality in Europe. Moreover, beyond the technical elements, it highlights the converging factors that have brought the topic to the forefront of discussion and explores possible scenarios for the evolution of interoperability within and beyond the European Universities alliances.</w:t>
      </w:r>
    </w:p>
    <w:p w14:paraId="388DCCAB" w14:textId="580E0591" w:rsidR="00612E14" w:rsidRDefault="00C301CE" w:rsidP="008B0760">
      <w:pPr>
        <w:pStyle w:val="Heading2"/>
        <w:ind w:left="426"/>
      </w:pPr>
      <w:bookmarkStart w:id="40" w:name="_Toc197365399"/>
      <w:r>
        <w:t>CERN Courier</w:t>
      </w:r>
      <w:bookmarkEnd w:id="40"/>
    </w:p>
    <w:p w14:paraId="044768BF" w14:textId="2BFFB150" w:rsidR="003066C6" w:rsidRPr="003066C6" w:rsidRDefault="00DD32AE" w:rsidP="003066C6">
      <w:pPr>
        <w:rPr>
          <w:color w:val="0054A6"/>
          <w:sz w:val="36"/>
          <w:szCs w:val="36"/>
          <w:lang w:val="en-US" w:eastAsia="en-US"/>
        </w:rPr>
      </w:pPr>
      <w:hyperlink r:id="rId65" w:history="1">
        <w:r>
          <w:rPr>
            <w:noProof/>
          </w:rPr>
          <w:drawing>
            <wp:inline distT="0" distB="0" distL="0" distR="0" wp14:anchorId="3DBEF42A" wp14:editId="6C28B372">
              <wp:extent cx="1335600" cy="1767600"/>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335600" cy="1767600"/>
                      </a:xfrm>
                      <a:prstGeom prst="rect">
                        <a:avLst/>
                      </a:prstGeom>
                      <a:noFill/>
                    </pic:spPr>
                  </pic:pic>
                </a:graphicData>
              </a:graphic>
            </wp:inline>
          </w:drawing>
        </w:r>
      </w:hyperlink>
      <w:r w:rsidR="003066C6">
        <w:rPr>
          <w:b/>
          <w:bCs/>
          <w:color w:val="0054A6"/>
          <w:spacing w:val="1"/>
        </w:rPr>
        <w:t xml:space="preserve"> </w:t>
      </w:r>
      <w:hyperlink r:id="rId67" w:history="1"/>
      <w:hyperlink r:id="rId68" w:history="1">
        <w:r w:rsidR="003066C6" w:rsidRPr="003066C6">
          <w:rPr>
            <w:color w:val="0054A6"/>
            <w:lang w:val="en-US" w:eastAsia="en-US"/>
          </w:rPr>
          <w:t>Mar/Apr 2025</w:t>
        </w:r>
      </w:hyperlink>
    </w:p>
    <w:p w14:paraId="0778DEF7" w14:textId="6049FD87" w:rsidR="00274CEE" w:rsidRDefault="00274CEE" w:rsidP="00601799">
      <w:pPr>
        <w:spacing w:before="100" w:beforeAutospacing="1" w:after="600" w:line="276" w:lineRule="auto"/>
        <w:jc w:val="both"/>
        <w:rPr>
          <w:color w:val="000000"/>
          <w:lang w:val="en-US" w:eastAsia="en-US"/>
        </w:rPr>
      </w:pPr>
      <w:proofErr w:type="gramStart"/>
      <w:r w:rsidRPr="00274CEE">
        <w:rPr>
          <w:color w:val="000000"/>
          <w:lang w:val="en-US" w:eastAsia="en-US"/>
        </w:rPr>
        <w:t xml:space="preserve">It’s </w:t>
      </w:r>
      <w:r w:rsidR="000C1E3B">
        <w:rPr>
          <w:color w:val="000000"/>
          <w:lang w:val="bg-BG" w:eastAsia="en-US"/>
        </w:rPr>
        <w:t xml:space="preserve"> </w:t>
      </w:r>
      <w:r w:rsidRPr="00274CEE">
        <w:rPr>
          <w:color w:val="000000"/>
          <w:lang w:val="en-US" w:eastAsia="en-US"/>
        </w:rPr>
        <w:t>remarkable</w:t>
      </w:r>
      <w:proofErr w:type="gramEnd"/>
      <w:r w:rsidRPr="00274CEE">
        <w:rPr>
          <w:color w:val="000000"/>
          <w:lang w:val="en-US" w:eastAsia="en-US"/>
        </w:rPr>
        <w:t xml:space="preserve"> that the estimated age of the universe could be revised downward by over half a billion years – a possibility that now looms for cosmologists. For particle physicists, the implications of a couple of parts per billion on the predicted magnetic moment of the muon are no less dramatic. These are the stakes in this edition of </w:t>
      </w:r>
      <w:r w:rsidRPr="00274CEE">
        <w:rPr>
          <w:i/>
          <w:iCs/>
          <w:color w:val="000000"/>
          <w:lang w:val="en-US" w:eastAsia="en-US"/>
        </w:rPr>
        <w:t>CERN Courier</w:t>
      </w:r>
      <w:r w:rsidRPr="00274CEE">
        <w:rPr>
          <w:color w:val="000000"/>
          <w:lang w:val="en-US" w:eastAsia="en-US"/>
        </w:rPr>
        <w:t>, which sheds light on two of the most intriguing anomalies in fundamental science: the “Hubble tension” and “muon g-2”.</w:t>
      </w:r>
      <w:r>
        <w:rPr>
          <w:color w:val="000000"/>
          <w:lang w:val="bg-BG" w:eastAsia="en-US"/>
        </w:rPr>
        <w:t xml:space="preserve"> </w:t>
      </w:r>
      <w:r w:rsidRPr="00274CEE">
        <w:rPr>
          <w:color w:val="000000"/>
          <w:lang w:val="en-US" w:eastAsia="en-US"/>
        </w:rPr>
        <w:t>Elsewhere in the magazine: Ugo Amaldi remembers his father Edoardo’s foundational contributions to European cooperation in science; KM3NeT smashes records for neutrino energy; CERN accelerates superconductor technology; CDF stands by the W-mass anomaly; the relationship between particle physics and art; upgrading triggers for the HL-LHC; how to get a job in computer-game design; and much more.</w:t>
      </w:r>
    </w:p>
    <w:p w14:paraId="32DEF700" w14:textId="77777777" w:rsidR="00601799" w:rsidRPr="00FA3EEF" w:rsidRDefault="00601799" w:rsidP="00601799">
      <w:pPr>
        <w:pStyle w:val="Heading2"/>
        <w:ind w:left="426"/>
      </w:pPr>
      <w:hyperlink r:id="rId69" w:history="1">
        <w:bookmarkStart w:id="41" w:name="_Toc197365400"/>
        <w:r w:rsidRPr="00FA3EEF">
          <w:rPr>
            <w:rStyle w:val="Hyperlink"/>
            <w:lang w:eastAsia="bg-BG"/>
          </w:rPr>
          <w:t>The EUA Innovation Agenda 2026</w:t>
        </w:r>
        <w:bookmarkEnd w:id="41"/>
      </w:hyperlink>
    </w:p>
    <w:p w14:paraId="2EB680E9" w14:textId="77777777" w:rsidR="00601799" w:rsidRPr="00C4299D" w:rsidRDefault="00601799" w:rsidP="00601799">
      <w:pPr>
        <w:pStyle w:val="NormalWeb"/>
        <w:spacing w:after="600" w:afterAutospacing="0" w:line="276" w:lineRule="auto"/>
        <w:jc w:val="both"/>
        <w:rPr>
          <w:bCs/>
          <w:color w:val="auto"/>
        </w:rPr>
      </w:pPr>
      <w:r w:rsidRPr="00FA3EEF">
        <w:rPr>
          <w:bCs/>
          <w:color w:val="auto"/>
        </w:rPr>
        <w:t>Developing a comprehensive approach to innovation for the benefit of universities is at the core of the European University Association’s vision for the future of European higher education and research.</w:t>
      </w:r>
    </w:p>
    <w:p w14:paraId="1190047B" w14:textId="77777777" w:rsidR="00601799" w:rsidRPr="00274CEE" w:rsidRDefault="00601799" w:rsidP="00601799">
      <w:pPr>
        <w:spacing w:before="100" w:beforeAutospacing="1" w:after="600" w:line="276" w:lineRule="auto"/>
        <w:jc w:val="both"/>
        <w:rPr>
          <w:color w:val="000000"/>
          <w:lang w:val="en-US" w:eastAsia="en-US"/>
        </w:rPr>
      </w:pPr>
    </w:p>
    <w:p w14:paraId="1403703C" w14:textId="77777777" w:rsidR="00385E2A" w:rsidRPr="00385E2A" w:rsidRDefault="00385E2A" w:rsidP="00E021FC">
      <w:pPr>
        <w:pStyle w:val="Heading2"/>
        <w:ind w:left="426"/>
        <w:rPr>
          <w:lang w:val="en-US"/>
        </w:rPr>
      </w:pPr>
      <w:bookmarkStart w:id="42" w:name="_Toc197365401"/>
      <w:r w:rsidRPr="00385E2A">
        <w:rPr>
          <w:lang w:val="en-US"/>
        </w:rPr>
        <w:t>Paving the way for impactful European R&amp;I</w:t>
      </w:r>
      <w:bookmarkEnd w:id="42"/>
    </w:p>
    <w:p w14:paraId="2C7BFC0A" w14:textId="45E3A702" w:rsidR="002F63DC" w:rsidRDefault="002F63DC" w:rsidP="00601799">
      <w:pPr>
        <w:spacing w:after="120" w:line="276" w:lineRule="auto"/>
        <w:jc w:val="both"/>
        <w:rPr>
          <w:b/>
        </w:rPr>
      </w:pPr>
      <w:r w:rsidRPr="002F63DC">
        <w:rPr>
          <w:b/>
          <w:noProof/>
        </w:rPr>
        <w:drawing>
          <wp:inline distT="0" distB="0" distL="0" distR="0" wp14:anchorId="1F927A34" wp14:editId="70239A04">
            <wp:extent cx="1393200" cy="193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1393200" cy="1933200"/>
                    </a:xfrm>
                    <a:prstGeom prst="rect">
                      <a:avLst/>
                    </a:prstGeom>
                  </pic:spPr>
                </pic:pic>
              </a:graphicData>
            </a:graphic>
          </wp:inline>
        </w:drawing>
      </w:r>
      <w:r w:rsidR="00385E2A" w:rsidRPr="00385E2A">
        <w:t xml:space="preserve"> </w:t>
      </w:r>
      <w:hyperlink r:id="rId71" w:tgtFrame="_blank" w:history="1">
        <w:r w:rsidR="00385E2A" w:rsidRPr="00385E2A">
          <w:rPr>
            <w:rStyle w:val="Hyperlink"/>
            <w:b/>
            <w:bCs/>
          </w:rPr>
          <w:t>Download</w:t>
        </w:r>
      </w:hyperlink>
    </w:p>
    <w:p w14:paraId="736882F1" w14:textId="77777777" w:rsidR="00385E2A" w:rsidRPr="00E021FC" w:rsidRDefault="00385E2A" w:rsidP="00E021FC">
      <w:pPr>
        <w:spacing w:before="120" w:after="120" w:line="276" w:lineRule="auto"/>
        <w:jc w:val="both"/>
        <w:rPr>
          <w:b/>
          <w:lang w:val="en-US"/>
        </w:rPr>
      </w:pPr>
      <w:r w:rsidRPr="00E021FC">
        <w:rPr>
          <w:b/>
          <w:lang w:val="en-US"/>
        </w:rPr>
        <w:t>EUA’s vision for FP10</w:t>
      </w:r>
    </w:p>
    <w:p w14:paraId="0B743D9B" w14:textId="77777777" w:rsidR="00385E2A" w:rsidRPr="00385E2A" w:rsidRDefault="00385E2A" w:rsidP="00E021FC">
      <w:pPr>
        <w:spacing w:after="120" w:line="276" w:lineRule="auto"/>
        <w:jc w:val="both"/>
        <w:rPr>
          <w:lang w:val="en-US"/>
        </w:rPr>
      </w:pPr>
      <w:r w:rsidRPr="00385E2A">
        <w:rPr>
          <w:lang w:val="en-US"/>
        </w:rPr>
        <w:t xml:space="preserve">As Europe enters a future marked by both unprecedented challenges and opportunities that extend beyond national boundaries, the next EU R&amp;I Framework </w:t>
      </w:r>
      <w:proofErr w:type="spellStart"/>
      <w:r w:rsidRPr="00385E2A">
        <w:rPr>
          <w:lang w:val="en-US"/>
        </w:rPr>
        <w:t>Programme</w:t>
      </w:r>
      <w:proofErr w:type="spellEnd"/>
      <w:r w:rsidRPr="00385E2A">
        <w:rPr>
          <w:lang w:val="en-US"/>
        </w:rPr>
        <w:t xml:space="preserve"> (FP10) stands to become the continent’s key commitment to placing research and innovation at the forefront of societal and scientific progress.</w:t>
      </w:r>
    </w:p>
    <w:p w14:paraId="056C2613" w14:textId="77777777" w:rsidR="00385E2A" w:rsidRPr="00385E2A" w:rsidRDefault="00385E2A" w:rsidP="00385E2A">
      <w:pPr>
        <w:spacing w:after="600" w:line="276" w:lineRule="auto"/>
        <w:jc w:val="both"/>
        <w:rPr>
          <w:lang w:val="en-US"/>
        </w:rPr>
      </w:pPr>
      <w:r w:rsidRPr="00385E2A">
        <w:rPr>
          <w:lang w:val="en-US"/>
        </w:rPr>
        <w:t xml:space="preserve">In this document, EUA outlines its strategic vision for FP10, offering its contribution to shaping the </w:t>
      </w:r>
      <w:proofErr w:type="spellStart"/>
      <w:r w:rsidRPr="00385E2A">
        <w:rPr>
          <w:lang w:val="en-US"/>
        </w:rPr>
        <w:t>programme</w:t>
      </w:r>
      <w:proofErr w:type="spellEnd"/>
      <w:r w:rsidRPr="00385E2A">
        <w:rPr>
          <w:lang w:val="en-US"/>
        </w:rPr>
        <w:t xml:space="preserve">. After describing current and emerging trends, this vision examines the current state of play and challenges of the ongoing Framework </w:t>
      </w:r>
      <w:proofErr w:type="spellStart"/>
      <w:r w:rsidRPr="00385E2A">
        <w:rPr>
          <w:lang w:val="en-US"/>
        </w:rPr>
        <w:t>Programme</w:t>
      </w:r>
      <w:proofErr w:type="spellEnd"/>
      <w:r w:rsidRPr="00385E2A">
        <w:rPr>
          <w:lang w:val="en-US"/>
        </w:rPr>
        <w:t xml:space="preserve"> (Horizon Europe) and the European R&amp;I landscape within a broader context. It subsequently formulates recommendations, pinpointing what should be added, modified, or removed for the </w:t>
      </w:r>
      <w:proofErr w:type="spellStart"/>
      <w:r w:rsidRPr="00385E2A">
        <w:rPr>
          <w:lang w:val="en-US"/>
        </w:rPr>
        <w:t>programme</w:t>
      </w:r>
      <w:proofErr w:type="spellEnd"/>
      <w:r w:rsidRPr="00385E2A">
        <w:rPr>
          <w:lang w:val="en-US"/>
        </w:rPr>
        <w:t xml:space="preserve"> to reach its ambitious goals. This includes a particular focus on the </w:t>
      </w:r>
      <w:proofErr w:type="spellStart"/>
      <w:r w:rsidRPr="00385E2A">
        <w:rPr>
          <w:lang w:val="en-US"/>
        </w:rPr>
        <w:t>programme's</w:t>
      </w:r>
      <w:proofErr w:type="spellEnd"/>
      <w:r w:rsidRPr="00385E2A">
        <w:rPr>
          <w:lang w:val="en-US"/>
        </w:rPr>
        <w:t xml:space="preserve"> budget, structure, core principles and horizontal topics.</w:t>
      </w:r>
    </w:p>
    <w:p w14:paraId="638E031C" w14:textId="77777777" w:rsidR="001233D4" w:rsidRDefault="001233D4" w:rsidP="001233D4">
      <w:pPr>
        <w:pStyle w:val="Heading2"/>
        <w:ind w:left="426"/>
      </w:pPr>
      <w:bookmarkStart w:id="43" w:name="_Toc197365402"/>
      <w:r>
        <w:rPr>
          <w:rStyle w:val="Hyperlink"/>
          <w:bCs w:val="0"/>
          <w:noProof/>
          <w:color w:val="auto"/>
          <w:u w:val="none"/>
        </w:rPr>
        <w:drawing>
          <wp:anchor distT="0" distB="0" distL="114300" distR="114300" simplePos="0" relativeHeight="251715584" behindDoc="0" locked="0" layoutInCell="1" allowOverlap="1" wp14:anchorId="12BBE291" wp14:editId="4CEF97E3">
            <wp:simplePos x="0" y="0"/>
            <wp:positionH relativeFrom="column">
              <wp:posOffset>67945</wp:posOffset>
            </wp:positionH>
            <wp:positionV relativeFrom="paragraph">
              <wp:posOffset>462915</wp:posOffset>
            </wp:positionV>
            <wp:extent cx="1360800" cy="1659600"/>
            <wp:effectExtent l="0" t="0" r="0" b="0"/>
            <wp:wrapThrough wrapText="bothSides">
              <wp:wrapPolygon edited="0">
                <wp:start x="0" y="0"/>
                <wp:lineTo x="0" y="21327"/>
                <wp:lineTo x="21176" y="21327"/>
                <wp:lineTo x="21176"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360800" cy="1659600"/>
                    </a:xfrm>
                    <a:prstGeom prst="rect">
                      <a:avLst/>
                    </a:prstGeom>
                    <a:noFill/>
                  </pic:spPr>
                </pic:pic>
              </a:graphicData>
            </a:graphic>
            <wp14:sizeRelH relativeFrom="page">
              <wp14:pctWidth>0</wp14:pctWidth>
            </wp14:sizeRelH>
            <wp14:sizeRelV relativeFrom="page">
              <wp14:pctHeight>0</wp14:pctHeight>
            </wp14:sizeRelV>
          </wp:anchor>
        </w:drawing>
      </w:r>
      <w:r w:rsidRPr="001233D4">
        <w:t>A Green Deal roadmap for universities</w:t>
      </w:r>
      <w:bookmarkEnd w:id="43"/>
    </w:p>
    <w:p w14:paraId="5A1A27F4" w14:textId="77777777" w:rsidR="001233D4" w:rsidRPr="001233D4" w:rsidRDefault="001233D4" w:rsidP="001233D4">
      <w:pPr>
        <w:spacing w:after="600" w:line="276" w:lineRule="auto"/>
        <w:jc w:val="both"/>
        <w:rPr>
          <w:b/>
          <w:bCs/>
        </w:rPr>
      </w:pPr>
    </w:p>
    <w:p w14:paraId="387BB33A" w14:textId="77777777" w:rsidR="00F005B6" w:rsidRDefault="00F005B6" w:rsidP="001233D4">
      <w:pPr>
        <w:spacing w:after="120" w:line="276" w:lineRule="auto"/>
        <w:jc w:val="both"/>
        <w:rPr>
          <w:rStyle w:val="Hyperlink"/>
          <w:bCs/>
          <w:color w:val="auto"/>
          <w:u w:val="none"/>
        </w:rPr>
      </w:pPr>
    </w:p>
    <w:p w14:paraId="7C978E02" w14:textId="77777777" w:rsidR="001233D4" w:rsidRDefault="001233D4" w:rsidP="001233D4">
      <w:pPr>
        <w:spacing w:after="120" w:line="276" w:lineRule="auto"/>
        <w:jc w:val="both"/>
        <w:rPr>
          <w:rStyle w:val="Hyperlink"/>
          <w:bCs/>
          <w:color w:val="auto"/>
          <w:u w:val="none"/>
        </w:rPr>
      </w:pPr>
    </w:p>
    <w:p w14:paraId="5D2FF00A" w14:textId="77777777" w:rsidR="001233D4" w:rsidRPr="001233D4" w:rsidRDefault="001233D4" w:rsidP="001233D4">
      <w:pPr>
        <w:spacing w:after="120" w:line="276" w:lineRule="auto"/>
        <w:jc w:val="both"/>
        <w:rPr>
          <w:bCs/>
          <w:noProof/>
        </w:rPr>
      </w:pPr>
      <w:r w:rsidRPr="001233D4">
        <w:rPr>
          <w:bCs/>
          <w:noProof/>
        </w:rPr>
        <w:t>The wide-ranging ambitions of the European Green Deal provide a policy framework to integrate the scientific, educational, and institutional dimensions of universities’ contribution to the green transition.</w:t>
      </w:r>
    </w:p>
    <w:p w14:paraId="13189FA7" w14:textId="77777777" w:rsidR="001233D4" w:rsidRPr="001233D4" w:rsidRDefault="001233D4" w:rsidP="000474C0">
      <w:pPr>
        <w:spacing w:after="120" w:line="276" w:lineRule="auto"/>
        <w:jc w:val="both"/>
        <w:rPr>
          <w:bCs/>
          <w:noProof/>
        </w:rPr>
      </w:pPr>
      <w:r w:rsidRPr="001233D4">
        <w:rPr>
          <w:bCs/>
          <w:noProof/>
        </w:rPr>
        <w:t>This transition entails varying degrees of relevance and urgency for internal optimisation and external interventions, as well as different levels of involvement and coordination depending on the target groups. Many institutions are already reflecting and acting strategically on some or all of these issues, but not all are well positioned to act equally swiftly or in the same way.</w:t>
      </w:r>
    </w:p>
    <w:p w14:paraId="48618CE4" w14:textId="4D7138A7" w:rsidR="00AF17E6" w:rsidRDefault="001233D4" w:rsidP="00AF17E6">
      <w:pPr>
        <w:spacing w:after="600" w:line="276" w:lineRule="auto"/>
        <w:jc w:val="both"/>
        <w:rPr>
          <w:bCs/>
          <w:noProof/>
        </w:rPr>
      </w:pPr>
      <w:r w:rsidRPr="001233D4">
        <w:rPr>
          <w:bCs/>
          <w:noProof/>
        </w:rPr>
        <w:t>Therefore, EUA’s Green Deal roadmap outlines processes and interventions which can boost universities’ impact and visibility in pursuing a climate-neutral, environmentally sustainable, and socially equitable Europe. The roadmap should serve as an inspiration and template for how universities can face the climate and environmental challenge over an extensive timeframe</w:t>
      </w:r>
      <w:r w:rsidR="00AF17E6">
        <w:rPr>
          <w:bCs/>
          <w:noProof/>
        </w:rPr>
        <w:t>.</w:t>
      </w:r>
      <w:r w:rsidRPr="001233D4">
        <w:rPr>
          <w:bCs/>
          <w:noProof/>
        </w:rPr>
        <w:t xml:space="preserve"> </w:t>
      </w:r>
    </w:p>
    <w:p w14:paraId="239E248F" w14:textId="6166CF95" w:rsidR="00BB4FFE" w:rsidRPr="007A37FA" w:rsidRDefault="00BB4FFE" w:rsidP="00AF17E6">
      <w:pPr>
        <w:pStyle w:val="Heading2"/>
        <w:ind w:left="426"/>
        <w:rPr>
          <w:lang w:val="en-US"/>
        </w:rPr>
      </w:pPr>
      <w:hyperlink r:id="rId73" w:history="1">
        <w:bookmarkStart w:id="44" w:name="_Toc197365403"/>
        <w:r w:rsidRPr="007A37FA">
          <w:rPr>
            <w:rStyle w:val="Hyperlink"/>
            <w:bCs w:val="0"/>
            <w:lang w:val="en-US"/>
          </w:rPr>
          <w:t>Development and strategic benefits of learning and teaching centres</w:t>
        </w:r>
        <w:bookmarkEnd w:id="44"/>
      </w:hyperlink>
    </w:p>
    <w:p w14:paraId="410B64A5" w14:textId="40576449" w:rsidR="00C10989" w:rsidRDefault="00C10989" w:rsidP="00C10989">
      <w:pPr>
        <w:spacing w:after="120" w:line="276" w:lineRule="auto"/>
        <w:jc w:val="both"/>
        <w:rPr>
          <w:bCs/>
          <w:lang w:val="en-US"/>
        </w:rPr>
      </w:pPr>
      <w:r>
        <w:rPr>
          <w:noProof/>
        </w:rPr>
        <w:drawing>
          <wp:anchor distT="0" distB="0" distL="114300" distR="114300" simplePos="0" relativeHeight="251725824" behindDoc="0" locked="0" layoutInCell="1" allowOverlap="1" wp14:anchorId="5DE68869" wp14:editId="02DE89BD">
            <wp:simplePos x="0" y="0"/>
            <wp:positionH relativeFrom="column">
              <wp:posOffset>128905</wp:posOffset>
            </wp:positionH>
            <wp:positionV relativeFrom="paragraph">
              <wp:posOffset>8255</wp:posOffset>
            </wp:positionV>
            <wp:extent cx="1435608" cy="1984248"/>
            <wp:effectExtent l="0" t="0" r="0" b="0"/>
            <wp:wrapThrough wrapText="bothSides">
              <wp:wrapPolygon edited="0">
                <wp:start x="0" y="0"/>
                <wp:lineTo x="0" y="21365"/>
                <wp:lineTo x="21218" y="21365"/>
                <wp:lineTo x="2121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cstate="print">
                      <a:extLst>
                        <a:ext uri="{28A0092B-C50C-407E-A947-70E740481C1C}">
                          <a14:useLocalDpi xmlns:a14="http://schemas.microsoft.com/office/drawing/2010/main" val="0"/>
                        </a:ext>
                      </a:extLst>
                    </a:blip>
                    <a:stretch>
                      <a:fillRect/>
                    </a:stretch>
                  </pic:blipFill>
                  <pic:spPr>
                    <a:xfrm>
                      <a:off x="0" y="0"/>
                      <a:ext cx="1435608" cy="1984248"/>
                    </a:xfrm>
                    <a:prstGeom prst="rect">
                      <a:avLst/>
                    </a:prstGeom>
                  </pic:spPr>
                </pic:pic>
              </a:graphicData>
            </a:graphic>
            <wp14:sizeRelH relativeFrom="page">
              <wp14:pctWidth>0</wp14:pctWidth>
            </wp14:sizeRelH>
            <wp14:sizeRelV relativeFrom="page">
              <wp14:pctHeight>0</wp14:pctHeight>
            </wp14:sizeRelV>
          </wp:anchor>
        </w:drawing>
      </w:r>
    </w:p>
    <w:p w14:paraId="21AAFDDE" w14:textId="3B6B0B4F" w:rsidR="00C10989" w:rsidRDefault="00C10989" w:rsidP="00C10989">
      <w:pPr>
        <w:spacing w:after="120" w:line="276" w:lineRule="auto"/>
        <w:jc w:val="both"/>
        <w:rPr>
          <w:bCs/>
          <w:lang w:val="en-US"/>
        </w:rPr>
      </w:pPr>
    </w:p>
    <w:p w14:paraId="3D115520" w14:textId="3500EA61" w:rsidR="00C10989" w:rsidRDefault="00C10989" w:rsidP="00C10989">
      <w:pPr>
        <w:spacing w:after="120" w:line="276" w:lineRule="auto"/>
        <w:jc w:val="both"/>
        <w:rPr>
          <w:bCs/>
          <w:lang w:val="en-US"/>
        </w:rPr>
      </w:pPr>
    </w:p>
    <w:p w14:paraId="1DE4FB59" w14:textId="77777777" w:rsidR="00C10989" w:rsidRDefault="00C10989" w:rsidP="00C10989">
      <w:pPr>
        <w:spacing w:after="120" w:line="276" w:lineRule="auto"/>
        <w:jc w:val="both"/>
        <w:rPr>
          <w:bCs/>
          <w:lang w:val="en-US"/>
        </w:rPr>
      </w:pPr>
    </w:p>
    <w:p w14:paraId="20A3FA1C" w14:textId="77777777" w:rsidR="00C10989" w:rsidRDefault="00C10989" w:rsidP="00C10989">
      <w:pPr>
        <w:spacing w:after="120" w:line="276" w:lineRule="auto"/>
        <w:jc w:val="both"/>
        <w:rPr>
          <w:bCs/>
          <w:lang w:val="en-US"/>
        </w:rPr>
      </w:pPr>
    </w:p>
    <w:p w14:paraId="53211E53" w14:textId="748B5760" w:rsidR="00BB4FFE" w:rsidRDefault="00BB4FFE" w:rsidP="00C10989">
      <w:pPr>
        <w:spacing w:after="120" w:line="276" w:lineRule="auto"/>
        <w:jc w:val="both"/>
        <w:rPr>
          <w:bCs/>
          <w:lang w:val="en-US"/>
        </w:rPr>
      </w:pPr>
      <w:r w:rsidRPr="00BB4FFE">
        <w:rPr>
          <w:bCs/>
          <w:lang w:val="en-US"/>
        </w:rPr>
        <w:t xml:space="preserve">In the context of European higher education, learning and teaching </w:t>
      </w:r>
      <w:proofErr w:type="spellStart"/>
      <w:r w:rsidRPr="00BB4FFE">
        <w:rPr>
          <w:bCs/>
          <w:lang w:val="en-US"/>
        </w:rPr>
        <w:t>centres</w:t>
      </w:r>
      <w:proofErr w:type="spellEnd"/>
      <w:r w:rsidRPr="00BB4FFE">
        <w:rPr>
          <w:bCs/>
          <w:lang w:val="en-US"/>
        </w:rPr>
        <w:t xml:space="preserve"> are generally located within an institution, with their primary mission being to support the development of the institution’s learning and teaching.</w:t>
      </w:r>
      <w:r w:rsidR="00C10989" w:rsidRPr="00C10989">
        <w:t xml:space="preserve"> </w:t>
      </w:r>
      <w:hyperlink r:id="rId75" w:tgtFrame="_blank" w:history="1">
        <w:r w:rsidR="00C10989" w:rsidRPr="00BB4FFE">
          <w:rPr>
            <w:rStyle w:val="Hyperlink"/>
            <w:b/>
            <w:bCs/>
            <w:lang w:val="en-US"/>
          </w:rPr>
          <w:t>Download</w:t>
        </w:r>
      </w:hyperlink>
    </w:p>
    <w:p w14:paraId="38C77FD5" w14:textId="77777777" w:rsidR="000474C0" w:rsidRPr="001E5E93" w:rsidRDefault="000474C0" w:rsidP="000474C0">
      <w:pPr>
        <w:pStyle w:val="Heading2"/>
        <w:ind w:left="426"/>
      </w:pPr>
      <w:hyperlink r:id="rId76" w:history="1">
        <w:bookmarkStart w:id="45" w:name="_Toc197365404"/>
        <w:r w:rsidRPr="001E5E93">
          <w:rPr>
            <w:rStyle w:val="Hyperlink"/>
            <w:lang w:eastAsia="bg-BG"/>
          </w:rPr>
          <w:t>Artificial intelligence tools and their responsible use in higher education learning and teaching</w:t>
        </w:r>
        <w:bookmarkEnd w:id="45"/>
      </w:hyperlink>
    </w:p>
    <w:p w14:paraId="587FD2F0" w14:textId="1204DBCA" w:rsidR="000474C0" w:rsidRDefault="000474C0" w:rsidP="00AD1FA5">
      <w:pPr>
        <w:pStyle w:val="NormalWeb"/>
        <w:spacing w:after="600" w:afterAutospacing="0" w:line="276" w:lineRule="auto"/>
        <w:jc w:val="both"/>
        <w:rPr>
          <w:bCs/>
          <w:color w:val="auto"/>
        </w:rPr>
      </w:pPr>
      <w:r w:rsidRPr="001E5E93">
        <w:rPr>
          <w:bCs/>
          <w:color w:val="auto"/>
        </w:rPr>
        <w:t>Following the widespread concern and debate provoked by the arrival of ChatGPT and similar artificial intelligence (AI) tools, the European University Association’s Learning and Teaching Steering Committee shares key considerations for European universities.</w:t>
      </w:r>
    </w:p>
    <w:p w14:paraId="5CFA4A30" w14:textId="7C462AC4" w:rsidR="00056F42" w:rsidRPr="00056F42" w:rsidRDefault="00056F42" w:rsidP="00B66323">
      <w:pPr>
        <w:pStyle w:val="Heading2"/>
        <w:spacing w:after="120"/>
        <w:ind w:left="425" w:hanging="357"/>
        <w:rPr>
          <w:lang w:val="en-US"/>
        </w:rPr>
      </w:pPr>
      <w:bookmarkStart w:id="46" w:name="_Toc197365405"/>
      <w:r w:rsidRPr="00056F42">
        <w:rPr>
          <w:lang w:val="en-US"/>
        </w:rPr>
        <w:t>Learning and teaching to empower students</w:t>
      </w:r>
      <w:bookmarkEnd w:id="46"/>
    </w:p>
    <w:p w14:paraId="42909939" w14:textId="4665C7D9" w:rsidR="00C10989" w:rsidRDefault="00C10989" w:rsidP="00C10989">
      <w:pPr>
        <w:tabs>
          <w:tab w:val="left" w:pos="993"/>
        </w:tabs>
        <w:spacing w:after="120" w:line="276" w:lineRule="auto"/>
        <w:rPr>
          <w:bCs/>
          <w:lang w:val="en-US"/>
        </w:rPr>
      </w:pPr>
      <w:r>
        <w:rPr>
          <w:bCs/>
          <w:noProof/>
        </w:rPr>
        <w:drawing>
          <wp:anchor distT="0" distB="0" distL="114300" distR="114300" simplePos="0" relativeHeight="251726848" behindDoc="0" locked="0" layoutInCell="1" allowOverlap="1" wp14:anchorId="0B6375CF" wp14:editId="35B0E925">
            <wp:simplePos x="0" y="0"/>
            <wp:positionH relativeFrom="column">
              <wp:posOffset>116205</wp:posOffset>
            </wp:positionH>
            <wp:positionV relativeFrom="paragraph">
              <wp:posOffset>6350</wp:posOffset>
            </wp:positionV>
            <wp:extent cx="1346400" cy="1904400"/>
            <wp:effectExtent l="0" t="0" r="6350" b="635"/>
            <wp:wrapThrough wrapText="bothSides">
              <wp:wrapPolygon edited="0">
                <wp:start x="0" y="0"/>
                <wp:lineTo x="0" y="21391"/>
                <wp:lineTo x="21396" y="21391"/>
                <wp:lineTo x="2139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346400" cy="1904400"/>
                    </a:xfrm>
                    <a:prstGeom prst="rect">
                      <a:avLst/>
                    </a:prstGeom>
                    <a:noFill/>
                  </pic:spPr>
                </pic:pic>
              </a:graphicData>
            </a:graphic>
            <wp14:sizeRelH relativeFrom="page">
              <wp14:pctWidth>0</wp14:pctWidth>
            </wp14:sizeRelH>
            <wp14:sizeRelV relativeFrom="page">
              <wp14:pctHeight>0</wp14:pctHeight>
            </wp14:sizeRelV>
          </wp:anchor>
        </w:drawing>
      </w:r>
    </w:p>
    <w:p w14:paraId="4C054CF8" w14:textId="2A012408" w:rsidR="00C10989" w:rsidRDefault="00C10989" w:rsidP="00C10989">
      <w:pPr>
        <w:tabs>
          <w:tab w:val="left" w:pos="993"/>
        </w:tabs>
        <w:spacing w:after="120" w:line="276" w:lineRule="auto"/>
        <w:rPr>
          <w:bCs/>
          <w:lang w:val="en-US"/>
        </w:rPr>
      </w:pPr>
    </w:p>
    <w:p w14:paraId="358B4B93" w14:textId="106E3015" w:rsidR="00C10989" w:rsidRDefault="00C10989" w:rsidP="00C10989">
      <w:pPr>
        <w:tabs>
          <w:tab w:val="left" w:pos="993"/>
        </w:tabs>
        <w:spacing w:after="120" w:line="276" w:lineRule="auto"/>
        <w:rPr>
          <w:bCs/>
          <w:lang w:val="en-US"/>
        </w:rPr>
      </w:pPr>
    </w:p>
    <w:p w14:paraId="7D5EC007" w14:textId="13230F4E" w:rsidR="00056F42" w:rsidRPr="005865B2" w:rsidRDefault="00056F42" w:rsidP="00C10989">
      <w:pPr>
        <w:tabs>
          <w:tab w:val="left" w:pos="993"/>
        </w:tabs>
        <w:spacing w:after="120" w:line="276" w:lineRule="auto"/>
        <w:rPr>
          <w:bCs/>
          <w:lang w:val="en-US"/>
        </w:rPr>
      </w:pPr>
      <w:r>
        <w:rPr>
          <w:bCs/>
          <w:lang w:val="en-US"/>
        </w:rPr>
        <w:t>T</w:t>
      </w:r>
      <w:r w:rsidRPr="00056F42">
        <w:rPr>
          <w:bCs/>
          <w:lang w:val="en-US"/>
        </w:rPr>
        <w:t>he 2024 EUA Learning &amp; Teaching Thematic Peer Group ‘Learning and teaching to empower students’ explored a crucial prerequisite for cultivating these qualities in graduates: an empowering learning and teaching environment.</w:t>
      </w:r>
      <w:r>
        <w:rPr>
          <w:bCs/>
          <w:lang w:val="en-US"/>
        </w:rPr>
        <w:t xml:space="preserve"> </w:t>
      </w:r>
      <w:r w:rsidRPr="00056F42">
        <w:rPr>
          <w:bCs/>
          <w:lang w:val="en-US"/>
        </w:rPr>
        <w:t>This final report from the group outlines the various aspects of student empowerment as well as the challenges and benefits that are typically associated with the concept. It also includes practical examples of what universities can do to support student empowerment.  </w:t>
      </w:r>
      <w:hyperlink r:id="rId78" w:history="1">
        <w:r w:rsidR="005865B2" w:rsidRPr="000F76B6">
          <w:rPr>
            <w:rStyle w:val="Hyperlink"/>
            <w:bCs/>
            <w:lang w:val="en-US"/>
          </w:rPr>
          <w:t>Download</w:t>
        </w:r>
      </w:hyperlink>
    </w:p>
    <w:p w14:paraId="4F130998" w14:textId="77777777" w:rsidR="00056F42" w:rsidRDefault="00056F42" w:rsidP="00F64142">
      <w:pPr>
        <w:tabs>
          <w:tab w:val="left" w:pos="993"/>
        </w:tabs>
        <w:spacing w:after="600" w:line="276" w:lineRule="auto"/>
        <w:rPr>
          <w:bCs/>
          <w:lang w:val="en-US"/>
        </w:rPr>
      </w:pPr>
    </w:p>
    <w:sectPr w:rsidR="00056F42" w:rsidSect="002852EF">
      <w:footerReference w:type="default" r:id="rId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ECFF" w14:textId="77777777" w:rsidR="007E1657" w:rsidRDefault="007E1657" w:rsidP="003B2D94">
      <w:r>
        <w:separator/>
      </w:r>
    </w:p>
  </w:endnote>
  <w:endnote w:type="continuationSeparator" w:id="0">
    <w:p w14:paraId="317AB28F" w14:textId="77777777" w:rsidR="007E1657" w:rsidRDefault="007E1657" w:rsidP="003B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CC"/>
    <w:family w:val="roman"/>
    <w:notTrueType/>
    <w:pitch w:val="default"/>
    <w:sig w:usb0="00000001" w:usb1="00000000" w:usb2="00000000" w:usb3="00000000" w:csb0="00000005"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455587" w14:paraId="0808C1C7" w14:textId="77777777" w:rsidTr="00F47EE7">
      <w:tc>
        <w:tcPr>
          <w:tcW w:w="4500" w:type="pct"/>
          <w:tcBorders>
            <w:top w:val="single" w:sz="4" w:space="0" w:color="000000" w:themeColor="text1"/>
          </w:tcBorders>
        </w:tcPr>
        <w:p w14:paraId="0C301AFF" w14:textId="3C62074E" w:rsidR="00455587" w:rsidRPr="00D22505" w:rsidRDefault="00455587">
          <w:pPr>
            <w:pStyle w:val="Footer"/>
            <w:jc w:val="right"/>
          </w:pPr>
        </w:p>
      </w:tc>
      <w:tc>
        <w:tcPr>
          <w:tcW w:w="500" w:type="pct"/>
          <w:tcBorders>
            <w:top w:val="single" w:sz="4" w:space="0" w:color="C0504D" w:themeColor="accent2"/>
          </w:tcBorders>
          <w:shd w:val="clear" w:color="auto" w:fill="E36C0A" w:themeFill="accent6" w:themeFillShade="BF"/>
        </w:tcPr>
        <w:p w14:paraId="2C8867F4" w14:textId="18838A95" w:rsidR="00455587" w:rsidRPr="00455587" w:rsidRDefault="00455587">
          <w:pPr>
            <w:pStyle w:val="Header"/>
            <w:rPr>
              <w:color w:val="E36C0A" w:themeColor="accent6" w:themeShade="BF"/>
            </w:rPr>
          </w:pPr>
          <w:r>
            <w:fldChar w:fldCharType="begin"/>
          </w:r>
          <w:r>
            <w:instrText xml:space="preserve"> PAGE   \* MERGEFORMAT </w:instrText>
          </w:r>
          <w:r>
            <w:fldChar w:fldCharType="separate"/>
          </w:r>
          <w:r w:rsidR="00167A57" w:rsidRPr="00167A57">
            <w:rPr>
              <w:noProof/>
              <w:color w:val="FFFFFF" w:themeColor="background1"/>
            </w:rPr>
            <w:t>16</w:t>
          </w:r>
          <w:r>
            <w:rPr>
              <w:noProof/>
              <w:color w:val="FFFFFF" w:themeColor="background1"/>
            </w:rPr>
            <w:fldChar w:fldCharType="end"/>
          </w:r>
        </w:p>
      </w:tc>
    </w:tr>
  </w:tbl>
  <w:p w14:paraId="52FEA35E" w14:textId="77777777" w:rsidR="00455587" w:rsidRDefault="00455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326C" w14:textId="77777777" w:rsidR="00455587" w:rsidRDefault="00455587">
    <w:pPr>
      <w:pStyle w:val="Footer"/>
    </w:pPr>
  </w:p>
  <w:p w14:paraId="77AE8207" w14:textId="77777777" w:rsidR="00455587" w:rsidRDefault="004555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0"/>
      <w:gridCol w:w="936"/>
    </w:tblGrid>
    <w:tr w:rsidR="00CD0AFF" w14:paraId="1BA3DB40" w14:textId="77777777" w:rsidTr="00CD0AFF">
      <w:tc>
        <w:tcPr>
          <w:tcW w:w="4500" w:type="pct"/>
          <w:tcBorders>
            <w:top w:val="single" w:sz="4" w:space="0" w:color="000000" w:themeColor="text1"/>
          </w:tcBorders>
        </w:tcPr>
        <w:p w14:paraId="5A35F950" w14:textId="77777777" w:rsidR="00CD0AFF" w:rsidRPr="00D22505" w:rsidRDefault="00CD0AFF">
          <w:pPr>
            <w:pStyle w:val="Footer"/>
            <w:jc w:val="right"/>
          </w:pPr>
        </w:p>
      </w:tc>
      <w:tc>
        <w:tcPr>
          <w:tcW w:w="500" w:type="pct"/>
          <w:tcBorders>
            <w:top w:val="single" w:sz="4" w:space="0" w:color="C0504D" w:themeColor="accent2"/>
          </w:tcBorders>
          <w:shd w:val="clear" w:color="auto" w:fill="4F81BD" w:themeFill="accent1"/>
        </w:tcPr>
        <w:p w14:paraId="63AA69A5" w14:textId="0E7C0E90" w:rsidR="00CD0AFF" w:rsidRPr="00455587" w:rsidRDefault="00CD0AFF">
          <w:pPr>
            <w:pStyle w:val="Header"/>
            <w:rPr>
              <w:color w:val="E36C0A" w:themeColor="accent6" w:themeShade="BF"/>
            </w:rPr>
          </w:pPr>
          <w:r>
            <w:fldChar w:fldCharType="begin"/>
          </w:r>
          <w:r>
            <w:instrText xml:space="preserve"> PAGE   \* MERGEFORMAT </w:instrText>
          </w:r>
          <w:r>
            <w:fldChar w:fldCharType="separate"/>
          </w:r>
          <w:r w:rsidR="00167A57" w:rsidRPr="00167A57">
            <w:rPr>
              <w:noProof/>
              <w:color w:val="FFFFFF" w:themeColor="background1"/>
            </w:rPr>
            <w:t>22</w:t>
          </w:r>
          <w:r>
            <w:rPr>
              <w:noProof/>
              <w:color w:val="FFFFFF" w:themeColor="background1"/>
            </w:rPr>
            <w:fldChar w:fldCharType="end"/>
          </w:r>
        </w:p>
      </w:tc>
    </w:tr>
  </w:tbl>
  <w:p w14:paraId="781EE6D6" w14:textId="77777777" w:rsidR="00CD0AFF" w:rsidRDefault="00CD0A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455587" w14:paraId="732E2AAB" w14:textId="77777777" w:rsidTr="00D22505">
      <w:tc>
        <w:tcPr>
          <w:tcW w:w="4500" w:type="pct"/>
          <w:tcBorders>
            <w:top w:val="single" w:sz="4" w:space="0" w:color="000000" w:themeColor="text1"/>
          </w:tcBorders>
        </w:tcPr>
        <w:p w14:paraId="050BB9F4" w14:textId="77777777" w:rsidR="00455587" w:rsidRPr="00D22505" w:rsidRDefault="00455587">
          <w:pPr>
            <w:pStyle w:val="Footer"/>
            <w:jc w:val="right"/>
          </w:pPr>
          <w:proofErr w:type="spellStart"/>
          <w:r w:rsidRPr="00D22505">
            <w:t>Месечен</w:t>
          </w:r>
          <w:proofErr w:type="spellEnd"/>
          <w:r w:rsidRPr="00D22505">
            <w:t xml:space="preserve"> </w:t>
          </w:r>
          <w:proofErr w:type="spellStart"/>
          <w:r w:rsidRPr="00D22505">
            <w:t>информационен</w:t>
          </w:r>
          <w:proofErr w:type="spellEnd"/>
          <w:r w:rsidRPr="00D22505">
            <w:t xml:space="preserve"> </w:t>
          </w:r>
          <w:proofErr w:type="spellStart"/>
          <w:r w:rsidRPr="00D22505">
            <w:t>бюлетин</w:t>
          </w:r>
          <w:proofErr w:type="spellEnd"/>
        </w:p>
      </w:tc>
      <w:tc>
        <w:tcPr>
          <w:tcW w:w="500" w:type="pct"/>
          <w:tcBorders>
            <w:top w:val="single" w:sz="4" w:space="0" w:color="C0504D" w:themeColor="accent2"/>
          </w:tcBorders>
          <w:shd w:val="clear" w:color="auto" w:fill="F79646" w:themeFill="accent6"/>
        </w:tcPr>
        <w:p w14:paraId="2DE988B4" w14:textId="733BA4FF" w:rsidR="00455587" w:rsidRDefault="00455587">
          <w:pPr>
            <w:pStyle w:val="Header"/>
            <w:rPr>
              <w:color w:val="FFFFFF" w:themeColor="background1"/>
            </w:rPr>
          </w:pPr>
          <w:r>
            <w:fldChar w:fldCharType="begin"/>
          </w:r>
          <w:r>
            <w:instrText xml:space="preserve"> PAGE   \* MERGEFORMAT </w:instrText>
          </w:r>
          <w:r>
            <w:fldChar w:fldCharType="separate"/>
          </w:r>
          <w:r w:rsidR="00167A57" w:rsidRPr="00167A57">
            <w:rPr>
              <w:noProof/>
              <w:color w:val="FFFFFF" w:themeColor="background1"/>
            </w:rPr>
            <w:t>28</w:t>
          </w:r>
          <w:r>
            <w:rPr>
              <w:noProof/>
              <w:color w:val="FFFFFF" w:themeColor="background1"/>
            </w:rPr>
            <w:fldChar w:fldCharType="end"/>
          </w:r>
        </w:p>
      </w:tc>
    </w:tr>
  </w:tbl>
  <w:p w14:paraId="4D27D4B0" w14:textId="77777777" w:rsidR="00455587" w:rsidRDefault="004555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455587" w14:paraId="32C6AC95" w14:textId="77777777" w:rsidTr="00413D6F">
      <w:tc>
        <w:tcPr>
          <w:tcW w:w="4500" w:type="pct"/>
          <w:tcBorders>
            <w:top w:val="single" w:sz="4" w:space="0" w:color="000000" w:themeColor="text1"/>
          </w:tcBorders>
        </w:tcPr>
        <w:p w14:paraId="711D1ECF" w14:textId="77777777" w:rsidR="00455587" w:rsidRPr="00D22505" w:rsidRDefault="00455587">
          <w:pPr>
            <w:pStyle w:val="Footer"/>
            <w:jc w:val="right"/>
          </w:pPr>
          <w:proofErr w:type="spellStart"/>
          <w:r w:rsidRPr="00D22505">
            <w:t>Месечен</w:t>
          </w:r>
          <w:proofErr w:type="spellEnd"/>
          <w:r w:rsidRPr="00D22505">
            <w:t xml:space="preserve"> </w:t>
          </w:r>
          <w:proofErr w:type="spellStart"/>
          <w:r w:rsidRPr="00D22505">
            <w:t>информационен</w:t>
          </w:r>
          <w:proofErr w:type="spellEnd"/>
          <w:r w:rsidRPr="00D22505">
            <w:t xml:space="preserve"> </w:t>
          </w:r>
          <w:proofErr w:type="spellStart"/>
          <w:r w:rsidRPr="00D22505">
            <w:t>бюлетин</w:t>
          </w:r>
          <w:proofErr w:type="spellEnd"/>
        </w:p>
      </w:tc>
      <w:tc>
        <w:tcPr>
          <w:tcW w:w="500" w:type="pct"/>
          <w:tcBorders>
            <w:top w:val="single" w:sz="4" w:space="0" w:color="C0504D" w:themeColor="accent2"/>
          </w:tcBorders>
          <w:shd w:val="clear" w:color="auto" w:fill="9BBB59" w:themeFill="accent3"/>
        </w:tcPr>
        <w:p w14:paraId="0533E436" w14:textId="5DBDE8F6" w:rsidR="00455587" w:rsidRDefault="00455587">
          <w:pPr>
            <w:pStyle w:val="Header"/>
            <w:rPr>
              <w:color w:val="FFFFFF" w:themeColor="background1"/>
            </w:rPr>
          </w:pPr>
          <w:r>
            <w:fldChar w:fldCharType="begin"/>
          </w:r>
          <w:r>
            <w:instrText xml:space="preserve"> PAGE   \* MERGEFORMAT </w:instrText>
          </w:r>
          <w:r>
            <w:fldChar w:fldCharType="separate"/>
          </w:r>
          <w:r w:rsidR="00167A57" w:rsidRPr="00167A57">
            <w:rPr>
              <w:noProof/>
              <w:color w:val="FFFFFF" w:themeColor="background1"/>
            </w:rPr>
            <w:t>32</w:t>
          </w:r>
          <w:r>
            <w:rPr>
              <w:noProof/>
              <w:color w:val="FFFFFF" w:themeColor="background1"/>
            </w:rPr>
            <w:fldChar w:fldCharType="end"/>
          </w:r>
        </w:p>
      </w:tc>
    </w:tr>
  </w:tbl>
  <w:p w14:paraId="0AD7961E" w14:textId="77777777" w:rsidR="00455587" w:rsidRDefault="00455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4410" w14:textId="77777777" w:rsidR="007E1657" w:rsidRDefault="007E1657" w:rsidP="003B2D94">
      <w:r>
        <w:separator/>
      </w:r>
    </w:p>
  </w:footnote>
  <w:footnote w:type="continuationSeparator" w:id="0">
    <w:p w14:paraId="602EE661" w14:textId="77777777" w:rsidR="007E1657" w:rsidRDefault="007E1657" w:rsidP="003B2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C57"/>
    <w:multiLevelType w:val="multilevel"/>
    <w:tmpl w:val="61BE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A0A40"/>
    <w:multiLevelType w:val="multilevel"/>
    <w:tmpl w:val="D7B0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41732"/>
    <w:multiLevelType w:val="hybridMultilevel"/>
    <w:tmpl w:val="31FA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72ACD"/>
    <w:multiLevelType w:val="hybridMultilevel"/>
    <w:tmpl w:val="6DAAA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892675"/>
    <w:multiLevelType w:val="multilevel"/>
    <w:tmpl w:val="2286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A42D2"/>
    <w:multiLevelType w:val="multilevel"/>
    <w:tmpl w:val="73DE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37386"/>
    <w:multiLevelType w:val="multilevel"/>
    <w:tmpl w:val="6C12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80087"/>
    <w:multiLevelType w:val="multilevel"/>
    <w:tmpl w:val="F800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A07F8"/>
    <w:multiLevelType w:val="multilevel"/>
    <w:tmpl w:val="BBD8C84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7274E0"/>
    <w:multiLevelType w:val="multilevel"/>
    <w:tmpl w:val="E958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177314"/>
    <w:multiLevelType w:val="hybridMultilevel"/>
    <w:tmpl w:val="D5909150"/>
    <w:lvl w:ilvl="0" w:tplc="7FC8A26C">
      <w:start w:val="1"/>
      <w:numFmt w:val="bullet"/>
      <w:pStyle w:val="Heading2"/>
      <w:lvlText w:val=""/>
      <w:lvlJc w:val="left"/>
      <w:pPr>
        <w:ind w:left="360" w:hanging="360"/>
      </w:pPr>
      <w:rPr>
        <w:rFonts w:ascii="Wingdings" w:hAnsi="Wingdings" w:hint="default"/>
        <w:color w:val="auto"/>
      </w:rPr>
    </w:lvl>
    <w:lvl w:ilvl="1" w:tplc="433EFA36">
      <w:numFmt w:val="bullet"/>
      <w:lvlText w:val="-"/>
      <w:lvlJc w:val="left"/>
      <w:pPr>
        <w:ind w:left="-8908" w:hanging="360"/>
      </w:pPr>
      <w:rPr>
        <w:rFonts w:ascii="Times New Roman" w:eastAsiaTheme="minorHAnsi" w:hAnsi="Times New Roman" w:cs="Times New Roman" w:hint="default"/>
      </w:rPr>
    </w:lvl>
    <w:lvl w:ilvl="2" w:tplc="04020005" w:tentative="1">
      <w:start w:val="1"/>
      <w:numFmt w:val="bullet"/>
      <w:lvlText w:val=""/>
      <w:lvlJc w:val="left"/>
      <w:pPr>
        <w:ind w:left="-8188" w:hanging="360"/>
      </w:pPr>
      <w:rPr>
        <w:rFonts w:ascii="Wingdings" w:hAnsi="Wingdings" w:hint="default"/>
      </w:rPr>
    </w:lvl>
    <w:lvl w:ilvl="3" w:tplc="04020001" w:tentative="1">
      <w:start w:val="1"/>
      <w:numFmt w:val="bullet"/>
      <w:lvlText w:val=""/>
      <w:lvlJc w:val="left"/>
      <w:pPr>
        <w:ind w:left="-7468" w:hanging="360"/>
      </w:pPr>
      <w:rPr>
        <w:rFonts w:ascii="Symbol" w:hAnsi="Symbol" w:hint="default"/>
      </w:rPr>
    </w:lvl>
    <w:lvl w:ilvl="4" w:tplc="04020003" w:tentative="1">
      <w:start w:val="1"/>
      <w:numFmt w:val="bullet"/>
      <w:lvlText w:val="o"/>
      <w:lvlJc w:val="left"/>
      <w:pPr>
        <w:ind w:left="-6748" w:hanging="360"/>
      </w:pPr>
      <w:rPr>
        <w:rFonts w:ascii="Courier New" w:hAnsi="Courier New" w:cs="Courier New" w:hint="default"/>
      </w:rPr>
    </w:lvl>
    <w:lvl w:ilvl="5" w:tplc="04020005" w:tentative="1">
      <w:start w:val="1"/>
      <w:numFmt w:val="bullet"/>
      <w:lvlText w:val=""/>
      <w:lvlJc w:val="left"/>
      <w:pPr>
        <w:ind w:left="-6028" w:hanging="360"/>
      </w:pPr>
      <w:rPr>
        <w:rFonts w:ascii="Wingdings" w:hAnsi="Wingdings" w:hint="default"/>
      </w:rPr>
    </w:lvl>
    <w:lvl w:ilvl="6" w:tplc="04020001" w:tentative="1">
      <w:start w:val="1"/>
      <w:numFmt w:val="bullet"/>
      <w:lvlText w:val=""/>
      <w:lvlJc w:val="left"/>
      <w:pPr>
        <w:ind w:left="-5308" w:hanging="360"/>
      </w:pPr>
      <w:rPr>
        <w:rFonts w:ascii="Symbol" w:hAnsi="Symbol" w:hint="default"/>
      </w:rPr>
    </w:lvl>
    <w:lvl w:ilvl="7" w:tplc="04020003" w:tentative="1">
      <w:start w:val="1"/>
      <w:numFmt w:val="bullet"/>
      <w:lvlText w:val="o"/>
      <w:lvlJc w:val="left"/>
      <w:pPr>
        <w:ind w:left="-4588" w:hanging="360"/>
      </w:pPr>
      <w:rPr>
        <w:rFonts w:ascii="Courier New" w:hAnsi="Courier New" w:cs="Courier New" w:hint="default"/>
      </w:rPr>
    </w:lvl>
    <w:lvl w:ilvl="8" w:tplc="04020005" w:tentative="1">
      <w:start w:val="1"/>
      <w:numFmt w:val="bullet"/>
      <w:lvlText w:val=""/>
      <w:lvlJc w:val="left"/>
      <w:pPr>
        <w:ind w:left="-3868" w:hanging="360"/>
      </w:pPr>
      <w:rPr>
        <w:rFonts w:ascii="Wingdings" w:hAnsi="Wingdings" w:hint="default"/>
      </w:rPr>
    </w:lvl>
  </w:abstractNum>
  <w:abstractNum w:abstractNumId="11" w15:restartNumberingAfterBreak="0">
    <w:nsid w:val="184D0168"/>
    <w:multiLevelType w:val="multilevel"/>
    <w:tmpl w:val="663C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5E46A1"/>
    <w:multiLevelType w:val="multilevel"/>
    <w:tmpl w:val="FDD44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37E40"/>
    <w:multiLevelType w:val="multilevel"/>
    <w:tmpl w:val="6F10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428B8"/>
    <w:multiLevelType w:val="multilevel"/>
    <w:tmpl w:val="9518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1809E1"/>
    <w:multiLevelType w:val="multilevel"/>
    <w:tmpl w:val="749C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A5CB7"/>
    <w:multiLevelType w:val="multilevel"/>
    <w:tmpl w:val="59E8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E1B88"/>
    <w:multiLevelType w:val="multilevel"/>
    <w:tmpl w:val="ED0A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F31967"/>
    <w:multiLevelType w:val="multilevel"/>
    <w:tmpl w:val="65C4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F343F7"/>
    <w:multiLevelType w:val="multilevel"/>
    <w:tmpl w:val="1AAA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9E74D6"/>
    <w:multiLevelType w:val="multilevel"/>
    <w:tmpl w:val="F974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C6656C"/>
    <w:multiLevelType w:val="multilevel"/>
    <w:tmpl w:val="6E38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4106AE"/>
    <w:multiLevelType w:val="multilevel"/>
    <w:tmpl w:val="D360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CF0417"/>
    <w:multiLevelType w:val="multilevel"/>
    <w:tmpl w:val="2C9A7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096311"/>
    <w:multiLevelType w:val="multilevel"/>
    <w:tmpl w:val="9340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614387"/>
    <w:multiLevelType w:val="multilevel"/>
    <w:tmpl w:val="9216C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995D69"/>
    <w:multiLevelType w:val="multilevel"/>
    <w:tmpl w:val="8E98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455CDA"/>
    <w:multiLevelType w:val="multilevel"/>
    <w:tmpl w:val="CF1CF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111F56"/>
    <w:multiLevelType w:val="multilevel"/>
    <w:tmpl w:val="DE4C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210A4B"/>
    <w:multiLevelType w:val="multilevel"/>
    <w:tmpl w:val="003C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D3D73"/>
    <w:multiLevelType w:val="multilevel"/>
    <w:tmpl w:val="496887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E2745E"/>
    <w:multiLevelType w:val="multilevel"/>
    <w:tmpl w:val="1C1C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3C7E0A"/>
    <w:multiLevelType w:val="multilevel"/>
    <w:tmpl w:val="460CA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B260F5"/>
    <w:multiLevelType w:val="multilevel"/>
    <w:tmpl w:val="C8CA9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46F38"/>
    <w:multiLevelType w:val="hybridMultilevel"/>
    <w:tmpl w:val="05A8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9947AF"/>
    <w:multiLevelType w:val="multilevel"/>
    <w:tmpl w:val="7856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48168E"/>
    <w:multiLevelType w:val="multilevel"/>
    <w:tmpl w:val="13A629F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7E0FC0"/>
    <w:multiLevelType w:val="multilevel"/>
    <w:tmpl w:val="B1BE3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DF7945"/>
    <w:multiLevelType w:val="multilevel"/>
    <w:tmpl w:val="519E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137149">
    <w:abstractNumId w:val="10"/>
  </w:num>
  <w:num w:numId="2" w16cid:durableId="2030646110">
    <w:abstractNumId w:val="27"/>
  </w:num>
  <w:num w:numId="3" w16cid:durableId="576941693">
    <w:abstractNumId w:val="15"/>
  </w:num>
  <w:num w:numId="4" w16cid:durableId="1376781112">
    <w:abstractNumId w:val="1"/>
  </w:num>
  <w:num w:numId="5" w16cid:durableId="1839420953">
    <w:abstractNumId w:val="13"/>
  </w:num>
  <w:num w:numId="6" w16cid:durableId="1611625978">
    <w:abstractNumId w:val="23"/>
  </w:num>
  <w:num w:numId="7" w16cid:durableId="714546252">
    <w:abstractNumId w:val="19"/>
  </w:num>
  <w:num w:numId="8" w16cid:durableId="169877873">
    <w:abstractNumId w:val="6"/>
  </w:num>
  <w:num w:numId="9" w16cid:durableId="1276596617">
    <w:abstractNumId w:val="38"/>
  </w:num>
  <w:num w:numId="10" w16cid:durableId="99758722">
    <w:abstractNumId w:val="22"/>
  </w:num>
  <w:num w:numId="11" w16cid:durableId="1819611536">
    <w:abstractNumId w:val="20"/>
  </w:num>
  <w:num w:numId="12" w16cid:durableId="1338730515">
    <w:abstractNumId w:val="29"/>
  </w:num>
  <w:num w:numId="13" w16cid:durableId="171074591">
    <w:abstractNumId w:val="18"/>
  </w:num>
  <w:num w:numId="14" w16cid:durableId="1164473166">
    <w:abstractNumId w:val="30"/>
  </w:num>
  <w:num w:numId="15" w16cid:durableId="1981418103">
    <w:abstractNumId w:val="37"/>
  </w:num>
  <w:num w:numId="16" w16cid:durableId="1555893757">
    <w:abstractNumId w:val="25"/>
  </w:num>
  <w:num w:numId="17" w16cid:durableId="1018893923">
    <w:abstractNumId w:val="24"/>
  </w:num>
  <w:num w:numId="18" w16cid:durableId="1794791396">
    <w:abstractNumId w:val="8"/>
  </w:num>
  <w:num w:numId="19" w16cid:durableId="1615016112">
    <w:abstractNumId w:val="0"/>
  </w:num>
  <w:num w:numId="20" w16cid:durableId="1697076346">
    <w:abstractNumId w:val="36"/>
  </w:num>
  <w:num w:numId="21" w16cid:durableId="707920127">
    <w:abstractNumId w:val="21"/>
  </w:num>
  <w:num w:numId="22" w16cid:durableId="606038392">
    <w:abstractNumId w:val="31"/>
  </w:num>
  <w:num w:numId="23" w16cid:durableId="1803225619">
    <w:abstractNumId w:val="17"/>
  </w:num>
  <w:num w:numId="24" w16cid:durableId="283854603">
    <w:abstractNumId w:val="28"/>
  </w:num>
  <w:num w:numId="25" w16cid:durableId="1808886876">
    <w:abstractNumId w:val="14"/>
  </w:num>
  <w:num w:numId="26" w16cid:durableId="2062973018">
    <w:abstractNumId w:val="12"/>
  </w:num>
  <w:num w:numId="27" w16cid:durableId="366564056">
    <w:abstractNumId w:val="26"/>
  </w:num>
  <w:num w:numId="28" w16cid:durableId="433744562">
    <w:abstractNumId w:val="33"/>
  </w:num>
  <w:num w:numId="29" w16cid:durableId="947202794">
    <w:abstractNumId w:val="35"/>
  </w:num>
  <w:num w:numId="30" w16cid:durableId="1869024979">
    <w:abstractNumId w:val="7"/>
  </w:num>
  <w:num w:numId="31" w16cid:durableId="165175018">
    <w:abstractNumId w:val="32"/>
  </w:num>
  <w:num w:numId="32" w16cid:durableId="227347863">
    <w:abstractNumId w:val="16"/>
  </w:num>
  <w:num w:numId="33" w16cid:durableId="1765300152">
    <w:abstractNumId w:val="5"/>
  </w:num>
  <w:num w:numId="34" w16cid:durableId="4865827">
    <w:abstractNumId w:val="3"/>
  </w:num>
  <w:num w:numId="35" w16cid:durableId="538322781">
    <w:abstractNumId w:val="11"/>
  </w:num>
  <w:num w:numId="36" w16cid:durableId="218516976">
    <w:abstractNumId w:val="9"/>
  </w:num>
  <w:num w:numId="37" w16cid:durableId="1669167084">
    <w:abstractNumId w:val="4"/>
  </w:num>
  <w:num w:numId="38" w16cid:durableId="1280795358">
    <w:abstractNumId w:val="2"/>
  </w:num>
  <w:num w:numId="39" w16cid:durableId="1113551269">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E5"/>
    <w:rsid w:val="00000046"/>
    <w:rsid w:val="00000992"/>
    <w:rsid w:val="00000ABB"/>
    <w:rsid w:val="00000C43"/>
    <w:rsid w:val="000011E1"/>
    <w:rsid w:val="00001622"/>
    <w:rsid w:val="0000163A"/>
    <w:rsid w:val="00001DB0"/>
    <w:rsid w:val="000020BE"/>
    <w:rsid w:val="00002242"/>
    <w:rsid w:val="0000233A"/>
    <w:rsid w:val="00002687"/>
    <w:rsid w:val="000027A6"/>
    <w:rsid w:val="00002825"/>
    <w:rsid w:val="00002998"/>
    <w:rsid w:val="00002F1F"/>
    <w:rsid w:val="00003D17"/>
    <w:rsid w:val="00003DC8"/>
    <w:rsid w:val="00004811"/>
    <w:rsid w:val="000048B7"/>
    <w:rsid w:val="00004AD5"/>
    <w:rsid w:val="00004B13"/>
    <w:rsid w:val="00004F0E"/>
    <w:rsid w:val="000051BA"/>
    <w:rsid w:val="00005575"/>
    <w:rsid w:val="000055B1"/>
    <w:rsid w:val="000059D6"/>
    <w:rsid w:val="00005D48"/>
    <w:rsid w:val="00005F5D"/>
    <w:rsid w:val="0000603D"/>
    <w:rsid w:val="0000671B"/>
    <w:rsid w:val="00006C12"/>
    <w:rsid w:val="00006D5A"/>
    <w:rsid w:val="00006D5E"/>
    <w:rsid w:val="000077B1"/>
    <w:rsid w:val="00007D34"/>
    <w:rsid w:val="00007D37"/>
    <w:rsid w:val="0001007C"/>
    <w:rsid w:val="000100D6"/>
    <w:rsid w:val="000108EB"/>
    <w:rsid w:val="00010F00"/>
    <w:rsid w:val="00010F29"/>
    <w:rsid w:val="00011128"/>
    <w:rsid w:val="0001113F"/>
    <w:rsid w:val="000114EC"/>
    <w:rsid w:val="000117B4"/>
    <w:rsid w:val="000117BA"/>
    <w:rsid w:val="00011965"/>
    <w:rsid w:val="000119DB"/>
    <w:rsid w:val="00011A7A"/>
    <w:rsid w:val="00011CCC"/>
    <w:rsid w:val="00011EE5"/>
    <w:rsid w:val="00012310"/>
    <w:rsid w:val="000123C4"/>
    <w:rsid w:val="00012605"/>
    <w:rsid w:val="000127AC"/>
    <w:rsid w:val="00012D2F"/>
    <w:rsid w:val="00012EB1"/>
    <w:rsid w:val="00013EFB"/>
    <w:rsid w:val="000144F5"/>
    <w:rsid w:val="00014681"/>
    <w:rsid w:val="0001469D"/>
    <w:rsid w:val="00014766"/>
    <w:rsid w:val="0001483A"/>
    <w:rsid w:val="000148CA"/>
    <w:rsid w:val="00014BB2"/>
    <w:rsid w:val="00014DC7"/>
    <w:rsid w:val="00014FCA"/>
    <w:rsid w:val="00015120"/>
    <w:rsid w:val="00015393"/>
    <w:rsid w:val="00015753"/>
    <w:rsid w:val="000157CD"/>
    <w:rsid w:val="00015931"/>
    <w:rsid w:val="00015932"/>
    <w:rsid w:val="00015A31"/>
    <w:rsid w:val="00015AD9"/>
    <w:rsid w:val="00015B3F"/>
    <w:rsid w:val="00015E90"/>
    <w:rsid w:val="00016676"/>
    <w:rsid w:val="0001691E"/>
    <w:rsid w:val="0001699F"/>
    <w:rsid w:val="00016B77"/>
    <w:rsid w:val="00016DAB"/>
    <w:rsid w:val="00017948"/>
    <w:rsid w:val="000179BE"/>
    <w:rsid w:val="00017A70"/>
    <w:rsid w:val="00017A85"/>
    <w:rsid w:val="00017D8F"/>
    <w:rsid w:val="00017E71"/>
    <w:rsid w:val="000203E1"/>
    <w:rsid w:val="000204C3"/>
    <w:rsid w:val="00020825"/>
    <w:rsid w:val="000209F9"/>
    <w:rsid w:val="00020E15"/>
    <w:rsid w:val="00020E2D"/>
    <w:rsid w:val="00022133"/>
    <w:rsid w:val="000225C5"/>
    <w:rsid w:val="00022A5F"/>
    <w:rsid w:val="00022CCE"/>
    <w:rsid w:val="000234C7"/>
    <w:rsid w:val="00023FB9"/>
    <w:rsid w:val="0002424B"/>
    <w:rsid w:val="00024855"/>
    <w:rsid w:val="00024D90"/>
    <w:rsid w:val="0002503E"/>
    <w:rsid w:val="00025056"/>
    <w:rsid w:val="000252AA"/>
    <w:rsid w:val="000254C3"/>
    <w:rsid w:val="00025A72"/>
    <w:rsid w:val="00025E50"/>
    <w:rsid w:val="00025E65"/>
    <w:rsid w:val="00025EF3"/>
    <w:rsid w:val="00025F1B"/>
    <w:rsid w:val="00026297"/>
    <w:rsid w:val="00026447"/>
    <w:rsid w:val="000266DB"/>
    <w:rsid w:val="0002697A"/>
    <w:rsid w:val="00026F67"/>
    <w:rsid w:val="0002714F"/>
    <w:rsid w:val="00027428"/>
    <w:rsid w:val="00027781"/>
    <w:rsid w:val="00027904"/>
    <w:rsid w:val="00027A74"/>
    <w:rsid w:val="00027ADB"/>
    <w:rsid w:val="000300E0"/>
    <w:rsid w:val="00030200"/>
    <w:rsid w:val="0003056E"/>
    <w:rsid w:val="00030E53"/>
    <w:rsid w:val="000315DC"/>
    <w:rsid w:val="000316BF"/>
    <w:rsid w:val="000316F4"/>
    <w:rsid w:val="00031BF3"/>
    <w:rsid w:val="00031E1E"/>
    <w:rsid w:val="000321DE"/>
    <w:rsid w:val="000324E6"/>
    <w:rsid w:val="000325BB"/>
    <w:rsid w:val="000325BE"/>
    <w:rsid w:val="00032CE7"/>
    <w:rsid w:val="0003317A"/>
    <w:rsid w:val="00033720"/>
    <w:rsid w:val="00033A5F"/>
    <w:rsid w:val="00033BB9"/>
    <w:rsid w:val="00033DCB"/>
    <w:rsid w:val="00033E0C"/>
    <w:rsid w:val="000340AA"/>
    <w:rsid w:val="00034AB9"/>
    <w:rsid w:val="00035062"/>
    <w:rsid w:val="0003560A"/>
    <w:rsid w:val="00035C05"/>
    <w:rsid w:val="00035C8A"/>
    <w:rsid w:val="00035D9D"/>
    <w:rsid w:val="00035DA4"/>
    <w:rsid w:val="00035F3E"/>
    <w:rsid w:val="0003657D"/>
    <w:rsid w:val="00036814"/>
    <w:rsid w:val="00036925"/>
    <w:rsid w:val="00036946"/>
    <w:rsid w:val="00036B10"/>
    <w:rsid w:val="00036B24"/>
    <w:rsid w:val="00036F9F"/>
    <w:rsid w:val="000370B2"/>
    <w:rsid w:val="00037299"/>
    <w:rsid w:val="00037410"/>
    <w:rsid w:val="000374F5"/>
    <w:rsid w:val="00037A3E"/>
    <w:rsid w:val="00037D6A"/>
    <w:rsid w:val="00037E9F"/>
    <w:rsid w:val="00037F85"/>
    <w:rsid w:val="000402F1"/>
    <w:rsid w:val="0004039A"/>
    <w:rsid w:val="000403C3"/>
    <w:rsid w:val="00040AA4"/>
    <w:rsid w:val="00040C71"/>
    <w:rsid w:val="00040DF8"/>
    <w:rsid w:val="00040FA6"/>
    <w:rsid w:val="000416A5"/>
    <w:rsid w:val="000416F8"/>
    <w:rsid w:val="000417D2"/>
    <w:rsid w:val="00041833"/>
    <w:rsid w:val="00041A0F"/>
    <w:rsid w:val="00041D31"/>
    <w:rsid w:val="0004287B"/>
    <w:rsid w:val="00042B49"/>
    <w:rsid w:val="00042B6E"/>
    <w:rsid w:val="00042DB4"/>
    <w:rsid w:val="0004323C"/>
    <w:rsid w:val="000432E9"/>
    <w:rsid w:val="00043878"/>
    <w:rsid w:val="00043AEC"/>
    <w:rsid w:val="00043C65"/>
    <w:rsid w:val="00043CE8"/>
    <w:rsid w:val="000443EA"/>
    <w:rsid w:val="00044712"/>
    <w:rsid w:val="00044914"/>
    <w:rsid w:val="00045065"/>
    <w:rsid w:val="000452B9"/>
    <w:rsid w:val="0004589C"/>
    <w:rsid w:val="00045D18"/>
    <w:rsid w:val="0004608E"/>
    <w:rsid w:val="000461C6"/>
    <w:rsid w:val="00046323"/>
    <w:rsid w:val="000467FD"/>
    <w:rsid w:val="0004692C"/>
    <w:rsid w:val="000469EE"/>
    <w:rsid w:val="00046FFF"/>
    <w:rsid w:val="000472EC"/>
    <w:rsid w:val="000474C0"/>
    <w:rsid w:val="00047AA8"/>
    <w:rsid w:val="00047E7C"/>
    <w:rsid w:val="000500D8"/>
    <w:rsid w:val="00050228"/>
    <w:rsid w:val="0005060F"/>
    <w:rsid w:val="000506EA"/>
    <w:rsid w:val="00050F6E"/>
    <w:rsid w:val="0005115F"/>
    <w:rsid w:val="00051183"/>
    <w:rsid w:val="000511A3"/>
    <w:rsid w:val="000511D2"/>
    <w:rsid w:val="0005124D"/>
    <w:rsid w:val="00051CDC"/>
    <w:rsid w:val="000522D2"/>
    <w:rsid w:val="000527F3"/>
    <w:rsid w:val="00053CFC"/>
    <w:rsid w:val="00053D9C"/>
    <w:rsid w:val="00054700"/>
    <w:rsid w:val="00054BDD"/>
    <w:rsid w:val="00054F2F"/>
    <w:rsid w:val="000553C3"/>
    <w:rsid w:val="000555E8"/>
    <w:rsid w:val="000557DB"/>
    <w:rsid w:val="000559B2"/>
    <w:rsid w:val="00055F82"/>
    <w:rsid w:val="0005602C"/>
    <w:rsid w:val="00056152"/>
    <w:rsid w:val="000562F2"/>
    <w:rsid w:val="0005640E"/>
    <w:rsid w:val="000568CA"/>
    <w:rsid w:val="00056F42"/>
    <w:rsid w:val="000575C0"/>
    <w:rsid w:val="00057633"/>
    <w:rsid w:val="0005799F"/>
    <w:rsid w:val="00057B25"/>
    <w:rsid w:val="000601F1"/>
    <w:rsid w:val="00060348"/>
    <w:rsid w:val="00060767"/>
    <w:rsid w:val="00061042"/>
    <w:rsid w:val="00061066"/>
    <w:rsid w:val="00061216"/>
    <w:rsid w:val="00061AD5"/>
    <w:rsid w:val="00061B49"/>
    <w:rsid w:val="00061D96"/>
    <w:rsid w:val="00061DBD"/>
    <w:rsid w:val="00061E61"/>
    <w:rsid w:val="00061E79"/>
    <w:rsid w:val="00061F8B"/>
    <w:rsid w:val="000621AB"/>
    <w:rsid w:val="00062265"/>
    <w:rsid w:val="000628B2"/>
    <w:rsid w:val="00062AF5"/>
    <w:rsid w:val="00062B66"/>
    <w:rsid w:val="00062E84"/>
    <w:rsid w:val="00063258"/>
    <w:rsid w:val="000632AE"/>
    <w:rsid w:val="00063305"/>
    <w:rsid w:val="00063306"/>
    <w:rsid w:val="00063F9D"/>
    <w:rsid w:val="000640DA"/>
    <w:rsid w:val="00064317"/>
    <w:rsid w:val="000646E5"/>
    <w:rsid w:val="0006473F"/>
    <w:rsid w:val="00065049"/>
    <w:rsid w:val="00065080"/>
    <w:rsid w:val="00065342"/>
    <w:rsid w:val="00065F3A"/>
    <w:rsid w:val="00066A2E"/>
    <w:rsid w:val="00066E9F"/>
    <w:rsid w:val="0006717A"/>
    <w:rsid w:val="0006753C"/>
    <w:rsid w:val="00067C5F"/>
    <w:rsid w:val="0007066B"/>
    <w:rsid w:val="0007095F"/>
    <w:rsid w:val="00070BBD"/>
    <w:rsid w:val="00070BE6"/>
    <w:rsid w:val="00070C1D"/>
    <w:rsid w:val="000715C9"/>
    <w:rsid w:val="000717BA"/>
    <w:rsid w:val="00071A65"/>
    <w:rsid w:val="00071BCB"/>
    <w:rsid w:val="000722DF"/>
    <w:rsid w:val="0007253C"/>
    <w:rsid w:val="00072C06"/>
    <w:rsid w:val="00072D5E"/>
    <w:rsid w:val="00073060"/>
    <w:rsid w:val="0007313B"/>
    <w:rsid w:val="00073436"/>
    <w:rsid w:val="000736CF"/>
    <w:rsid w:val="00073BC4"/>
    <w:rsid w:val="00073DDB"/>
    <w:rsid w:val="0007461D"/>
    <w:rsid w:val="00074F14"/>
    <w:rsid w:val="0007520F"/>
    <w:rsid w:val="00075379"/>
    <w:rsid w:val="000763CC"/>
    <w:rsid w:val="0007660E"/>
    <w:rsid w:val="000767B6"/>
    <w:rsid w:val="00076F74"/>
    <w:rsid w:val="00077261"/>
    <w:rsid w:val="0007766D"/>
    <w:rsid w:val="00077C2B"/>
    <w:rsid w:val="00080534"/>
    <w:rsid w:val="00080A1C"/>
    <w:rsid w:val="00080FDF"/>
    <w:rsid w:val="00081285"/>
    <w:rsid w:val="000812A8"/>
    <w:rsid w:val="00081DF9"/>
    <w:rsid w:val="000820B4"/>
    <w:rsid w:val="00082490"/>
    <w:rsid w:val="000824A1"/>
    <w:rsid w:val="000824FE"/>
    <w:rsid w:val="00082578"/>
    <w:rsid w:val="00082838"/>
    <w:rsid w:val="00082845"/>
    <w:rsid w:val="00082849"/>
    <w:rsid w:val="00082D16"/>
    <w:rsid w:val="00082DC2"/>
    <w:rsid w:val="00082DCF"/>
    <w:rsid w:val="00082F80"/>
    <w:rsid w:val="000830E4"/>
    <w:rsid w:val="00083511"/>
    <w:rsid w:val="00083633"/>
    <w:rsid w:val="00083A5C"/>
    <w:rsid w:val="00083B8C"/>
    <w:rsid w:val="00083C95"/>
    <w:rsid w:val="00084158"/>
    <w:rsid w:val="00084435"/>
    <w:rsid w:val="00084935"/>
    <w:rsid w:val="00084FF6"/>
    <w:rsid w:val="0008534F"/>
    <w:rsid w:val="0008544D"/>
    <w:rsid w:val="000857BA"/>
    <w:rsid w:val="00085BB4"/>
    <w:rsid w:val="00085E19"/>
    <w:rsid w:val="000860B5"/>
    <w:rsid w:val="000861A4"/>
    <w:rsid w:val="00086C1B"/>
    <w:rsid w:val="00086C32"/>
    <w:rsid w:val="00087829"/>
    <w:rsid w:val="00087B25"/>
    <w:rsid w:val="00087D54"/>
    <w:rsid w:val="00087D97"/>
    <w:rsid w:val="000900B2"/>
    <w:rsid w:val="00090B7A"/>
    <w:rsid w:val="00090F97"/>
    <w:rsid w:val="00091232"/>
    <w:rsid w:val="00091AC7"/>
    <w:rsid w:val="00091D33"/>
    <w:rsid w:val="00091FEB"/>
    <w:rsid w:val="00092108"/>
    <w:rsid w:val="000921A0"/>
    <w:rsid w:val="00092449"/>
    <w:rsid w:val="0009261C"/>
    <w:rsid w:val="00092B7A"/>
    <w:rsid w:val="000930BF"/>
    <w:rsid w:val="0009355C"/>
    <w:rsid w:val="00093FC1"/>
    <w:rsid w:val="0009411C"/>
    <w:rsid w:val="00094240"/>
    <w:rsid w:val="000944D7"/>
    <w:rsid w:val="0009468A"/>
    <w:rsid w:val="00094882"/>
    <w:rsid w:val="00094B6D"/>
    <w:rsid w:val="00094C9D"/>
    <w:rsid w:val="00094E49"/>
    <w:rsid w:val="00095214"/>
    <w:rsid w:val="00095A13"/>
    <w:rsid w:val="00095F8A"/>
    <w:rsid w:val="00096194"/>
    <w:rsid w:val="000961C0"/>
    <w:rsid w:val="00096326"/>
    <w:rsid w:val="00096885"/>
    <w:rsid w:val="000968C3"/>
    <w:rsid w:val="00096D53"/>
    <w:rsid w:val="00096FBE"/>
    <w:rsid w:val="00097241"/>
    <w:rsid w:val="0009732F"/>
    <w:rsid w:val="0009764A"/>
    <w:rsid w:val="00097A4D"/>
    <w:rsid w:val="000A038F"/>
    <w:rsid w:val="000A138F"/>
    <w:rsid w:val="000A13D4"/>
    <w:rsid w:val="000A13E0"/>
    <w:rsid w:val="000A159F"/>
    <w:rsid w:val="000A1635"/>
    <w:rsid w:val="000A1A2E"/>
    <w:rsid w:val="000A1AA2"/>
    <w:rsid w:val="000A1E9D"/>
    <w:rsid w:val="000A1EFA"/>
    <w:rsid w:val="000A2065"/>
    <w:rsid w:val="000A2102"/>
    <w:rsid w:val="000A246F"/>
    <w:rsid w:val="000A24B0"/>
    <w:rsid w:val="000A2620"/>
    <w:rsid w:val="000A2656"/>
    <w:rsid w:val="000A2F12"/>
    <w:rsid w:val="000A3A70"/>
    <w:rsid w:val="000A3B05"/>
    <w:rsid w:val="000A3E0B"/>
    <w:rsid w:val="000A3F40"/>
    <w:rsid w:val="000A449E"/>
    <w:rsid w:val="000A47D7"/>
    <w:rsid w:val="000A4BB1"/>
    <w:rsid w:val="000A4F1E"/>
    <w:rsid w:val="000A548A"/>
    <w:rsid w:val="000A56ED"/>
    <w:rsid w:val="000A6127"/>
    <w:rsid w:val="000A64C0"/>
    <w:rsid w:val="000A6B87"/>
    <w:rsid w:val="000A6B94"/>
    <w:rsid w:val="000A7098"/>
    <w:rsid w:val="000A74CB"/>
    <w:rsid w:val="000A779A"/>
    <w:rsid w:val="000A78E6"/>
    <w:rsid w:val="000A795D"/>
    <w:rsid w:val="000A7B1E"/>
    <w:rsid w:val="000B012D"/>
    <w:rsid w:val="000B013C"/>
    <w:rsid w:val="000B0795"/>
    <w:rsid w:val="000B0DAA"/>
    <w:rsid w:val="000B0E1B"/>
    <w:rsid w:val="000B1294"/>
    <w:rsid w:val="000B1D91"/>
    <w:rsid w:val="000B1E7E"/>
    <w:rsid w:val="000B1FCF"/>
    <w:rsid w:val="000B21C6"/>
    <w:rsid w:val="000B25C6"/>
    <w:rsid w:val="000B25D1"/>
    <w:rsid w:val="000B2675"/>
    <w:rsid w:val="000B2708"/>
    <w:rsid w:val="000B275F"/>
    <w:rsid w:val="000B2769"/>
    <w:rsid w:val="000B2DD5"/>
    <w:rsid w:val="000B2F99"/>
    <w:rsid w:val="000B3708"/>
    <w:rsid w:val="000B37C3"/>
    <w:rsid w:val="000B476A"/>
    <w:rsid w:val="000B47B2"/>
    <w:rsid w:val="000B489A"/>
    <w:rsid w:val="000B4CD2"/>
    <w:rsid w:val="000B5745"/>
    <w:rsid w:val="000B5768"/>
    <w:rsid w:val="000B5836"/>
    <w:rsid w:val="000B628F"/>
    <w:rsid w:val="000B62BB"/>
    <w:rsid w:val="000B6830"/>
    <w:rsid w:val="000B6D6E"/>
    <w:rsid w:val="000B71AA"/>
    <w:rsid w:val="000B7FC0"/>
    <w:rsid w:val="000C04C0"/>
    <w:rsid w:val="000C05AB"/>
    <w:rsid w:val="000C0B19"/>
    <w:rsid w:val="000C1491"/>
    <w:rsid w:val="000C15C4"/>
    <w:rsid w:val="000C1B37"/>
    <w:rsid w:val="000C1E3B"/>
    <w:rsid w:val="000C1F08"/>
    <w:rsid w:val="000C21BD"/>
    <w:rsid w:val="000C23BC"/>
    <w:rsid w:val="000C23F6"/>
    <w:rsid w:val="000C26E1"/>
    <w:rsid w:val="000C26FB"/>
    <w:rsid w:val="000C286C"/>
    <w:rsid w:val="000C318E"/>
    <w:rsid w:val="000C3563"/>
    <w:rsid w:val="000C35AA"/>
    <w:rsid w:val="000C391A"/>
    <w:rsid w:val="000C44B0"/>
    <w:rsid w:val="000C47D1"/>
    <w:rsid w:val="000C4C7E"/>
    <w:rsid w:val="000C4D06"/>
    <w:rsid w:val="000C5121"/>
    <w:rsid w:val="000C54E4"/>
    <w:rsid w:val="000C5833"/>
    <w:rsid w:val="000C59CC"/>
    <w:rsid w:val="000C5D0D"/>
    <w:rsid w:val="000C5D24"/>
    <w:rsid w:val="000C6499"/>
    <w:rsid w:val="000C65A4"/>
    <w:rsid w:val="000C6C03"/>
    <w:rsid w:val="000C7003"/>
    <w:rsid w:val="000C7366"/>
    <w:rsid w:val="000C754D"/>
    <w:rsid w:val="000C76FC"/>
    <w:rsid w:val="000C776F"/>
    <w:rsid w:val="000C7C6B"/>
    <w:rsid w:val="000C7CFE"/>
    <w:rsid w:val="000C7DEF"/>
    <w:rsid w:val="000D054C"/>
    <w:rsid w:val="000D0951"/>
    <w:rsid w:val="000D0B92"/>
    <w:rsid w:val="000D0D8E"/>
    <w:rsid w:val="000D0E73"/>
    <w:rsid w:val="000D0F5B"/>
    <w:rsid w:val="000D157A"/>
    <w:rsid w:val="000D18D8"/>
    <w:rsid w:val="000D1AE0"/>
    <w:rsid w:val="000D1BAA"/>
    <w:rsid w:val="000D1BFF"/>
    <w:rsid w:val="000D1C77"/>
    <w:rsid w:val="000D1D24"/>
    <w:rsid w:val="000D28A3"/>
    <w:rsid w:val="000D2A96"/>
    <w:rsid w:val="000D2EEC"/>
    <w:rsid w:val="000D2F6B"/>
    <w:rsid w:val="000D2FF5"/>
    <w:rsid w:val="000D3481"/>
    <w:rsid w:val="000D3A46"/>
    <w:rsid w:val="000D3B97"/>
    <w:rsid w:val="000D3CFD"/>
    <w:rsid w:val="000D4193"/>
    <w:rsid w:val="000D43FC"/>
    <w:rsid w:val="000D46C5"/>
    <w:rsid w:val="000D48F4"/>
    <w:rsid w:val="000D4D96"/>
    <w:rsid w:val="000D4EB0"/>
    <w:rsid w:val="000D4EE8"/>
    <w:rsid w:val="000D4FC5"/>
    <w:rsid w:val="000D5266"/>
    <w:rsid w:val="000D5FE3"/>
    <w:rsid w:val="000D6195"/>
    <w:rsid w:val="000D66C4"/>
    <w:rsid w:val="000D6D38"/>
    <w:rsid w:val="000D6F64"/>
    <w:rsid w:val="000D7056"/>
    <w:rsid w:val="000D7A6E"/>
    <w:rsid w:val="000D7ADE"/>
    <w:rsid w:val="000D7E99"/>
    <w:rsid w:val="000E0517"/>
    <w:rsid w:val="000E0B13"/>
    <w:rsid w:val="000E0C6C"/>
    <w:rsid w:val="000E0CBC"/>
    <w:rsid w:val="000E0DF1"/>
    <w:rsid w:val="000E11A3"/>
    <w:rsid w:val="000E1319"/>
    <w:rsid w:val="000E1B01"/>
    <w:rsid w:val="000E1B3B"/>
    <w:rsid w:val="000E1C82"/>
    <w:rsid w:val="000E21C5"/>
    <w:rsid w:val="000E2900"/>
    <w:rsid w:val="000E2BCA"/>
    <w:rsid w:val="000E37F4"/>
    <w:rsid w:val="000E3E41"/>
    <w:rsid w:val="000E3E5B"/>
    <w:rsid w:val="000E431D"/>
    <w:rsid w:val="000E43EF"/>
    <w:rsid w:val="000E45F1"/>
    <w:rsid w:val="000E46B5"/>
    <w:rsid w:val="000E47AA"/>
    <w:rsid w:val="000E5534"/>
    <w:rsid w:val="000E562F"/>
    <w:rsid w:val="000E5640"/>
    <w:rsid w:val="000E5EF7"/>
    <w:rsid w:val="000E62F9"/>
    <w:rsid w:val="000E6394"/>
    <w:rsid w:val="000E6496"/>
    <w:rsid w:val="000E67B1"/>
    <w:rsid w:val="000E7037"/>
    <w:rsid w:val="000E79A8"/>
    <w:rsid w:val="000E7AA5"/>
    <w:rsid w:val="000E7BA8"/>
    <w:rsid w:val="000E7E9F"/>
    <w:rsid w:val="000F011A"/>
    <w:rsid w:val="000F0322"/>
    <w:rsid w:val="000F08AA"/>
    <w:rsid w:val="000F098E"/>
    <w:rsid w:val="000F09CE"/>
    <w:rsid w:val="000F09D9"/>
    <w:rsid w:val="000F0BDD"/>
    <w:rsid w:val="000F0EEA"/>
    <w:rsid w:val="000F0F9C"/>
    <w:rsid w:val="000F11E8"/>
    <w:rsid w:val="000F18F0"/>
    <w:rsid w:val="000F1958"/>
    <w:rsid w:val="000F2145"/>
    <w:rsid w:val="000F23CA"/>
    <w:rsid w:val="000F244F"/>
    <w:rsid w:val="000F2A91"/>
    <w:rsid w:val="000F2E3E"/>
    <w:rsid w:val="000F2EDA"/>
    <w:rsid w:val="000F300E"/>
    <w:rsid w:val="000F311A"/>
    <w:rsid w:val="000F36AF"/>
    <w:rsid w:val="000F36BC"/>
    <w:rsid w:val="000F37B0"/>
    <w:rsid w:val="000F3B5C"/>
    <w:rsid w:val="000F3FA7"/>
    <w:rsid w:val="000F4190"/>
    <w:rsid w:val="000F44E7"/>
    <w:rsid w:val="000F465C"/>
    <w:rsid w:val="000F4672"/>
    <w:rsid w:val="000F4723"/>
    <w:rsid w:val="000F488E"/>
    <w:rsid w:val="000F4BD4"/>
    <w:rsid w:val="000F50A6"/>
    <w:rsid w:val="000F51C1"/>
    <w:rsid w:val="000F56A3"/>
    <w:rsid w:val="000F5995"/>
    <w:rsid w:val="000F64FB"/>
    <w:rsid w:val="000F6686"/>
    <w:rsid w:val="000F66B2"/>
    <w:rsid w:val="000F6B38"/>
    <w:rsid w:val="000F6FBF"/>
    <w:rsid w:val="000F7569"/>
    <w:rsid w:val="000F76B6"/>
    <w:rsid w:val="000F76CC"/>
    <w:rsid w:val="000F78CC"/>
    <w:rsid w:val="000F79F3"/>
    <w:rsid w:val="000F7F8B"/>
    <w:rsid w:val="000F7FB5"/>
    <w:rsid w:val="00100360"/>
    <w:rsid w:val="00100510"/>
    <w:rsid w:val="00100529"/>
    <w:rsid w:val="001006D8"/>
    <w:rsid w:val="00100B49"/>
    <w:rsid w:val="00100C21"/>
    <w:rsid w:val="00100E66"/>
    <w:rsid w:val="00100F2D"/>
    <w:rsid w:val="0010117A"/>
    <w:rsid w:val="0010154A"/>
    <w:rsid w:val="001015CA"/>
    <w:rsid w:val="001016A7"/>
    <w:rsid w:val="001017D3"/>
    <w:rsid w:val="00101FAA"/>
    <w:rsid w:val="00102189"/>
    <w:rsid w:val="0010243F"/>
    <w:rsid w:val="001026EA"/>
    <w:rsid w:val="001027C6"/>
    <w:rsid w:val="00102B4D"/>
    <w:rsid w:val="001032E5"/>
    <w:rsid w:val="00103449"/>
    <w:rsid w:val="0010346B"/>
    <w:rsid w:val="00103C6F"/>
    <w:rsid w:val="00103F4E"/>
    <w:rsid w:val="00104287"/>
    <w:rsid w:val="00104793"/>
    <w:rsid w:val="0010483E"/>
    <w:rsid w:val="00104BD8"/>
    <w:rsid w:val="00104DE3"/>
    <w:rsid w:val="00105696"/>
    <w:rsid w:val="001056AC"/>
    <w:rsid w:val="00105795"/>
    <w:rsid w:val="0010659E"/>
    <w:rsid w:val="00106947"/>
    <w:rsid w:val="00106FC3"/>
    <w:rsid w:val="00107003"/>
    <w:rsid w:val="001072B6"/>
    <w:rsid w:val="00107901"/>
    <w:rsid w:val="00107CE0"/>
    <w:rsid w:val="00107D33"/>
    <w:rsid w:val="00110598"/>
    <w:rsid w:val="0011061B"/>
    <w:rsid w:val="00110640"/>
    <w:rsid w:val="00110845"/>
    <w:rsid w:val="001109F4"/>
    <w:rsid w:val="00110A35"/>
    <w:rsid w:val="00110EE2"/>
    <w:rsid w:val="001110A5"/>
    <w:rsid w:val="001110D9"/>
    <w:rsid w:val="001114F8"/>
    <w:rsid w:val="001118C6"/>
    <w:rsid w:val="00111905"/>
    <w:rsid w:val="00111C79"/>
    <w:rsid w:val="00111EC1"/>
    <w:rsid w:val="00111FEE"/>
    <w:rsid w:val="0011207E"/>
    <w:rsid w:val="001124FE"/>
    <w:rsid w:val="001126B8"/>
    <w:rsid w:val="001128CE"/>
    <w:rsid w:val="00112910"/>
    <w:rsid w:val="00113668"/>
    <w:rsid w:val="00113705"/>
    <w:rsid w:val="00113AF8"/>
    <w:rsid w:val="00114351"/>
    <w:rsid w:val="0011441F"/>
    <w:rsid w:val="00114538"/>
    <w:rsid w:val="0011453E"/>
    <w:rsid w:val="0011455A"/>
    <w:rsid w:val="001145D6"/>
    <w:rsid w:val="00114751"/>
    <w:rsid w:val="001147B7"/>
    <w:rsid w:val="001148EC"/>
    <w:rsid w:val="00114A79"/>
    <w:rsid w:val="00115158"/>
    <w:rsid w:val="0011597A"/>
    <w:rsid w:val="001160AE"/>
    <w:rsid w:val="0011623F"/>
    <w:rsid w:val="001163CE"/>
    <w:rsid w:val="001169E1"/>
    <w:rsid w:val="00116E6F"/>
    <w:rsid w:val="00117732"/>
    <w:rsid w:val="00117C34"/>
    <w:rsid w:val="00117D2F"/>
    <w:rsid w:val="001210CC"/>
    <w:rsid w:val="001211D8"/>
    <w:rsid w:val="001215B9"/>
    <w:rsid w:val="00121B7F"/>
    <w:rsid w:val="00121DD3"/>
    <w:rsid w:val="0012208E"/>
    <w:rsid w:val="00122C18"/>
    <w:rsid w:val="00122E7F"/>
    <w:rsid w:val="0012309E"/>
    <w:rsid w:val="001233D4"/>
    <w:rsid w:val="00123A50"/>
    <w:rsid w:val="00123AEC"/>
    <w:rsid w:val="001244FF"/>
    <w:rsid w:val="00124BE7"/>
    <w:rsid w:val="00125067"/>
    <w:rsid w:val="001259AA"/>
    <w:rsid w:val="00125C13"/>
    <w:rsid w:val="00125E62"/>
    <w:rsid w:val="001265DE"/>
    <w:rsid w:val="00127579"/>
    <w:rsid w:val="00127C50"/>
    <w:rsid w:val="00127E33"/>
    <w:rsid w:val="00127E6E"/>
    <w:rsid w:val="00127F6B"/>
    <w:rsid w:val="00130250"/>
    <w:rsid w:val="00130394"/>
    <w:rsid w:val="00130DF0"/>
    <w:rsid w:val="00131385"/>
    <w:rsid w:val="00131741"/>
    <w:rsid w:val="00131C44"/>
    <w:rsid w:val="00131D5C"/>
    <w:rsid w:val="00132145"/>
    <w:rsid w:val="00132171"/>
    <w:rsid w:val="001329A5"/>
    <w:rsid w:val="001332DB"/>
    <w:rsid w:val="0013357C"/>
    <w:rsid w:val="00133668"/>
    <w:rsid w:val="00133690"/>
    <w:rsid w:val="001339F4"/>
    <w:rsid w:val="00133C89"/>
    <w:rsid w:val="00133CB7"/>
    <w:rsid w:val="001342BF"/>
    <w:rsid w:val="00134437"/>
    <w:rsid w:val="001349EC"/>
    <w:rsid w:val="0013503E"/>
    <w:rsid w:val="00135280"/>
    <w:rsid w:val="001353B4"/>
    <w:rsid w:val="0013552D"/>
    <w:rsid w:val="00135787"/>
    <w:rsid w:val="001357F9"/>
    <w:rsid w:val="00135CE0"/>
    <w:rsid w:val="00135D9A"/>
    <w:rsid w:val="00135E10"/>
    <w:rsid w:val="00136035"/>
    <w:rsid w:val="0013615B"/>
    <w:rsid w:val="00136575"/>
    <w:rsid w:val="00136AC9"/>
    <w:rsid w:val="00136AFC"/>
    <w:rsid w:val="0013716D"/>
    <w:rsid w:val="001372B0"/>
    <w:rsid w:val="00137535"/>
    <w:rsid w:val="00137868"/>
    <w:rsid w:val="00137C85"/>
    <w:rsid w:val="00137CE4"/>
    <w:rsid w:val="00137D83"/>
    <w:rsid w:val="00140554"/>
    <w:rsid w:val="00141398"/>
    <w:rsid w:val="0014164B"/>
    <w:rsid w:val="00141899"/>
    <w:rsid w:val="001419D6"/>
    <w:rsid w:val="00141A24"/>
    <w:rsid w:val="00141A48"/>
    <w:rsid w:val="00141D98"/>
    <w:rsid w:val="00141E06"/>
    <w:rsid w:val="001420B5"/>
    <w:rsid w:val="001422D1"/>
    <w:rsid w:val="00142310"/>
    <w:rsid w:val="00142582"/>
    <w:rsid w:val="001429B4"/>
    <w:rsid w:val="0014343B"/>
    <w:rsid w:val="00143FDD"/>
    <w:rsid w:val="00144CA5"/>
    <w:rsid w:val="00144D87"/>
    <w:rsid w:val="00145206"/>
    <w:rsid w:val="00145260"/>
    <w:rsid w:val="0014531E"/>
    <w:rsid w:val="00145521"/>
    <w:rsid w:val="00145A6A"/>
    <w:rsid w:val="00145BB4"/>
    <w:rsid w:val="00145BCC"/>
    <w:rsid w:val="00145ECA"/>
    <w:rsid w:val="00146305"/>
    <w:rsid w:val="00146AE0"/>
    <w:rsid w:val="00146CC1"/>
    <w:rsid w:val="00146DC4"/>
    <w:rsid w:val="00147048"/>
    <w:rsid w:val="00147677"/>
    <w:rsid w:val="001479AA"/>
    <w:rsid w:val="00147A72"/>
    <w:rsid w:val="00147D3E"/>
    <w:rsid w:val="00150DEA"/>
    <w:rsid w:val="00150E3F"/>
    <w:rsid w:val="00150F7B"/>
    <w:rsid w:val="00151082"/>
    <w:rsid w:val="001511E9"/>
    <w:rsid w:val="00151FAD"/>
    <w:rsid w:val="0015203C"/>
    <w:rsid w:val="00152795"/>
    <w:rsid w:val="001528CE"/>
    <w:rsid w:val="00152E1F"/>
    <w:rsid w:val="00152F70"/>
    <w:rsid w:val="0015350B"/>
    <w:rsid w:val="0015354A"/>
    <w:rsid w:val="001535D9"/>
    <w:rsid w:val="0015393D"/>
    <w:rsid w:val="00153B56"/>
    <w:rsid w:val="00154F2D"/>
    <w:rsid w:val="00154F95"/>
    <w:rsid w:val="00155077"/>
    <w:rsid w:val="0015515D"/>
    <w:rsid w:val="00155254"/>
    <w:rsid w:val="00155DF1"/>
    <w:rsid w:val="0015666D"/>
    <w:rsid w:val="00157E5C"/>
    <w:rsid w:val="00160501"/>
    <w:rsid w:val="00160F7B"/>
    <w:rsid w:val="001610C7"/>
    <w:rsid w:val="0016120D"/>
    <w:rsid w:val="00161385"/>
    <w:rsid w:val="001614D6"/>
    <w:rsid w:val="001617C0"/>
    <w:rsid w:val="00161917"/>
    <w:rsid w:val="0016196F"/>
    <w:rsid w:val="00161978"/>
    <w:rsid w:val="00161C49"/>
    <w:rsid w:val="00161E2C"/>
    <w:rsid w:val="0016215C"/>
    <w:rsid w:val="00162241"/>
    <w:rsid w:val="00162278"/>
    <w:rsid w:val="001625E8"/>
    <w:rsid w:val="0016297F"/>
    <w:rsid w:val="00162A76"/>
    <w:rsid w:val="00162FA2"/>
    <w:rsid w:val="00163548"/>
    <w:rsid w:val="0016392B"/>
    <w:rsid w:val="00163B92"/>
    <w:rsid w:val="00163DB5"/>
    <w:rsid w:val="00163F33"/>
    <w:rsid w:val="001640F4"/>
    <w:rsid w:val="00164143"/>
    <w:rsid w:val="00164971"/>
    <w:rsid w:val="00164A11"/>
    <w:rsid w:val="00164AC1"/>
    <w:rsid w:val="00164B20"/>
    <w:rsid w:val="00164BED"/>
    <w:rsid w:val="00164E65"/>
    <w:rsid w:val="0016515D"/>
    <w:rsid w:val="00165164"/>
    <w:rsid w:val="00165544"/>
    <w:rsid w:val="0016586F"/>
    <w:rsid w:val="00165E33"/>
    <w:rsid w:val="0016615C"/>
    <w:rsid w:val="00166283"/>
    <w:rsid w:val="0016646E"/>
    <w:rsid w:val="001665F1"/>
    <w:rsid w:val="0016680B"/>
    <w:rsid w:val="0016685B"/>
    <w:rsid w:val="001668B5"/>
    <w:rsid w:val="00166D8D"/>
    <w:rsid w:val="00166E57"/>
    <w:rsid w:val="00166F7F"/>
    <w:rsid w:val="00167A57"/>
    <w:rsid w:val="00167B5E"/>
    <w:rsid w:val="00167D55"/>
    <w:rsid w:val="00167FB6"/>
    <w:rsid w:val="001700AA"/>
    <w:rsid w:val="001705D0"/>
    <w:rsid w:val="0017085E"/>
    <w:rsid w:val="00170CB8"/>
    <w:rsid w:val="00170CC6"/>
    <w:rsid w:val="00170D2F"/>
    <w:rsid w:val="00170D35"/>
    <w:rsid w:val="00171070"/>
    <w:rsid w:val="001710F5"/>
    <w:rsid w:val="0017136C"/>
    <w:rsid w:val="001713A2"/>
    <w:rsid w:val="001715D3"/>
    <w:rsid w:val="00171902"/>
    <w:rsid w:val="001719D2"/>
    <w:rsid w:val="00171CDF"/>
    <w:rsid w:val="00172595"/>
    <w:rsid w:val="00172763"/>
    <w:rsid w:val="001729C1"/>
    <w:rsid w:val="00173202"/>
    <w:rsid w:val="00173225"/>
    <w:rsid w:val="00173392"/>
    <w:rsid w:val="00173980"/>
    <w:rsid w:val="00173A50"/>
    <w:rsid w:val="00173C5F"/>
    <w:rsid w:val="0017434C"/>
    <w:rsid w:val="00174401"/>
    <w:rsid w:val="00174A14"/>
    <w:rsid w:val="00174E65"/>
    <w:rsid w:val="001759C6"/>
    <w:rsid w:val="00175A4D"/>
    <w:rsid w:val="00176510"/>
    <w:rsid w:val="00176C49"/>
    <w:rsid w:val="00177074"/>
    <w:rsid w:val="00177231"/>
    <w:rsid w:val="001777A5"/>
    <w:rsid w:val="001778A4"/>
    <w:rsid w:val="00177A40"/>
    <w:rsid w:val="00177CBE"/>
    <w:rsid w:val="00177FD0"/>
    <w:rsid w:val="001803A0"/>
    <w:rsid w:val="00180824"/>
    <w:rsid w:val="00180E26"/>
    <w:rsid w:val="00180E74"/>
    <w:rsid w:val="00180FA2"/>
    <w:rsid w:val="0018119F"/>
    <w:rsid w:val="001814C2"/>
    <w:rsid w:val="001819FC"/>
    <w:rsid w:val="00181AD0"/>
    <w:rsid w:val="00181CB4"/>
    <w:rsid w:val="0018215E"/>
    <w:rsid w:val="00182832"/>
    <w:rsid w:val="00182C2A"/>
    <w:rsid w:val="00182EBD"/>
    <w:rsid w:val="00182F71"/>
    <w:rsid w:val="0018316B"/>
    <w:rsid w:val="00183568"/>
    <w:rsid w:val="00183627"/>
    <w:rsid w:val="00183695"/>
    <w:rsid w:val="001840F4"/>
    <w:rsid w:val="001841BF"/>
    <w:rsid w:val="00184495"/>
    <w:rsid w:val="001847BC"/>
    <w:rsid w:val="00184860"/>
    <w:rsid w:val="00184B65"/>
    <w:rsid w:val="00185027"/>
    <w:rsid w:val="00185211"/>
    <w:rsid w:val="001854D5"/>
    <w:rsid w:val="00185AB9"/>
    <w:rsid w:val="00185DB0"/>
    <w:rsid w:val="001860F9"/>
    <w:rsid w:val="0018618A"/>
    <w:rsid w:val="001863A3"/>
    <w:rsid w:val="00186AF5"/>
    <w:rsid w:val="00186BC9"/>
    <w:rsid w:val="00186E6D"/>
    <w:rsid w:val="00186E7D"/>
    <w:rsid w:val="00187282"/>
    <w:rsid w:val="0018736A"/>
    <w:rsid w:val="00187CD8"/>
    <w:rsid w:val="00187F7D"/>
    <w:rsid w:val="00190127"/>
    <w:rsid w:val="00190191"/>
    <w:rsid w:val="00190218"/>
    <w:rsid w:val="00190AF4"/>
    <w:rsid w:val="00190ED9"/>
    <w:rsid w:val="00191679"/>
    <w:rsid w:val="001917F8"/>
    <w:rsid w:val="00191996"/>
    <w:rsid w:val="00191DD3"/>
    <w:rsid w:val="0019201D"/>
    <w:rsid w:val="001923F8"/>
    <w:rsid w:val="0019241F"/>
    <w:rsid w:val="001926C8"/>
    <w:rsid w:val="001926DF"/>
    <w:rsid w:val="00192791"/>
    <w:rsid w:val="001929BA"/>
    <w:rsid w:val="00192C0F"/>
    <w:rsid w:val="00192E36"/>
    <w:rsid w:val="001930F9"/>
    <w:rsid w:val="00193704"/>
    <w:rsid w:val="001938CF"/>
    <w:rsid w:val="00193B23"/>
    <w:rsid w:val="0019412D"/>
    <w:rsid w:val="00194351"/>
    <w:rsid w:val="001946E0"/>
    <w:rsid w:val="00194AE4"/>
    <w:rsid w:val="00195144"/>
    <w:rsid w:val="00195AC2"/>
    <w:rsid w:val="00195CDF"/>
    <w:rsid w:val="00195D7D"/>
    <w:rsid w:val="00195E09"/>
    <w:rsid w:val="00196256"/>
    <w:rsid w:val="001962FE"/>
    <w:rsid w:val="00196549"/>
    <w:rsid w:val="001966F9"/>
    <w:rsid w:val="0019672E"/>
    <w:rsid w:val="0019693D"/>
    <w:rsid w:val="00197034"/>
    <w:rsid w:val="00197311"/>
    <w:rsid w:val="00197313"/>
    <w:rsid w:val="00197476"/>
    <w:rsid w:val="0019759F"/>
    <w:rsid w:val="00197712"/>
    <w:rsid w:val="00197ED0"/>
    <w:rsid w:val="001A0BD6"/>
    <w:rsid w:val="001A1180"/>
    <w:rsid w:val="001A17BE"/>
    <w:rsid w:val="001A1817"/>
    <w:rsid w:val="001A1D6C"/>
    <w:rsid w:val="001A1D71"/>
    <w:rsid w:val="001A22DD"/>
    <w:rsid w:val="001A2653"/>
    <w:rsid w:val="001A2A6C"/>
    <w:rsid w:val="001A2DEF"/>
    <w:rsid w:val="001A2E77"/>
    <w:rsid w:val="001A2F4F"/>
    <w:rsid w:val="001A3033"/>
    <w:rsid w:val="001A30DD"/>
    <w:rsid w:val="001A3953"/>
    <w:rsid w:val="001A3C79"/>
    <w:rsid w:val="001A3D60"/>
    <w:rsid w:val="001A3DDC"/>
    <w:rsid w:val="001A4244"/>
    <w:rsid w:val="001A4464"/>
    <w:rsid w:val="001A44FA"/>
    <w:rsid w:val="001A52DC"/>
    <w:rsid w:val="001A581C"/>
    <w:rsid w:val="001A5CDA"/>
    <w:rsid w:val="001A66EE"/>
    <w:rsid w:val="001A6B66"/>
    <w:rsid w:val="001A6E09"/>
    <w:rsid w:val="001A6F89"/>
    <w:rsid w:val="001A763C"/>
    <w:rsid w:val="001A7749"/>
    <w:rsid w:val="001A783E"/>
    <w:rsid w:val="001A7B27"/>
    <w:rsid w:val="001A7EF1"/>
    <w:rsid w:val="001B003B"/>
    <w:rsid w:val="001B0912"/>
    <w:rsid w:val="001B0974"/>
    <w:rsid w:val="001B0DCF"/>
    <w:rsid w:val="001B0E58"/>
    <w:rsid w:val="001B0F00"/>
    <w:rsid w:val="001B1260"/>
    <w:rsid w:val="001B12ED"/>
    <w:rsid w:val="001B1D07"/>
    <w:rsid w:val="001B23F1"/>
    <w:rsid w:val="001B2614"/>
    <w:rsid w:val="001B2708"/>
    <w:rsid w:val="001B2925"/>
    <w:rsid w:val="001B2E7E"/>
    <w:rsid w:val="001B3201"/>
    <w:rsid w:val="001B3424"/>
    <w:rsid w:val="001B34B4"/>
    <w:rsid w:val="001B3517"/>
    <w:rsid w:val="001B36C3"/>
    <w:rsid w:val="001B453E"/>
    <w:rsid w:val="001B467B"/>
    <w:rsid w:val="001B476A"/>
    <w:rsid w:val="001B493B"/>
    <w:rsid w:val="001B59CF"/>
    <w:rsid w:val="001B5F13"/>
    <w:rsid w:val="001B6A54"/>
    <w:rsid w:val="001B6ED5"/>
    <w:rsid w:val="001B70A9"/>
    <w:rsid w:val="001B7715"/>
    <w:rsid w:val="001B791F"/>
    <w:rsid w:val="001B7A99"/>
    <w:rsid w:val="001B7ECD"/>
    <w:rsid w:val="001C0179"/>
    <w:rsid w:val="001C033D"/>
    <w:rsid w:val="001C068D"/>
    <w:rsid w:val="001C0848"/>
    <w:rsid w:val="001C0862"/>
    <w:rsid w:val="001C0A5C"/>
    <w:rsid w:val="001C0C28"/>
    <w:rsid w:val="001C0D65"/>
    <w:rsid w:val="001C0FC1"/>
    <w:rsid w:val="001C1039"/>
    <w:rsid w:val="001C1193"/>
    <w:rsid w:val="001C122E"/>
    <w:rsid w:val="001C1833"/>
    <w:rsid w:val="001C20DA"/>
    <w:rsid w:val="001C220B"/>
    <w:rsid w:val="001C26A0"/>
    <w:rsid w:val="001C2E5A"/>
    <w:rsid w:val="001C2E9B"/>
    <w:rsid w:val="001C303E"/>
    <w:rsid w:val="001C315E"/>
    <w:rsid w:val="001C3510"/>
    <w:rsid w:val="001C3DC4"/>
    <w:rsid w:val="001C410C"/>
    <w:rsid w:val="001C4674"/>
    <w:rsid w:val="001C474D"/>
    <w:rsid w:val="001C47F2"/>
    <w:rsid w:val="001C47F8"/>
    <w:rsid w:val="001C4878"/>
    <w:rsid w:val="001C4CC8"/>
    <w:rsid w:val="001C50B9"/>
    <w:rsid w:val="001C5349"/>
    <w:rsid w:val="001C576D"/>
    <w:rsid w:val="001C57F1"/>
    <w:rsid w:val="001C5903"/>
    <w:rsid w:val="001C5EFE"/>
    <w:rsid w:val="001C65F0"/>
    <w:rsid w:val="001C6ACC"/>
    <w:rsid w:val="001C7D41"/>
    <w:rsid w:val="001D02D0"/>
    <w:rsid w:val="001D083E"/>
    <w:rsid w:val="001D0880"/>
    <w:rsid w:val="001D0F1E"/>
    <w:rsid w:val="001D144F"/>
    <w:rsid w:val="001D15F7"/>
    <w:rsid w:val="001D16E2"/>
    <w:rsid w:val="001D1806"/>
    <w:rsid w:val="001D1BB6"/>
    <w:rsid w:val="001D1CDB"/>
    <w:rsid w:val="001D1E28"/>
    <w:rsid w:val="001D2E2A"/>
    <w:rsid w:val="001D3075"/>
    <w:rsid w:val="001D31D1"/>
    <w:rsid w:val="001D3695"/>
    <w:rsid w:val="001D36A5"/>
    <w:rsid w:val="001D3874"/>
    <w:rsid w:val="001D3BCD"/>
    <w:rsid w:val="001D3D34"/>
    <w:rsid w:val="001D3DBB"/>
    <w:rsid w:val="001D3E1A"/>
    <w:rsid w:val="001D4104"/>
    <w:rsid w:val="001D4206"/>
    <w:rsid w:val="001D42E2"/>
    <w:rsid w:val="001D4652"/>
    <w:rsid w:val="001D46DC"/>
    <w:rsid w:val="001D48F0"/>
    <w:rsid w:val="001D4DF5"/>
    <w:rsid w:val="001D52E5"/>
    <w:rsid w:val="001D53D3"/>
    <w:rsid w:val="001D545A"/>
    <w:rsid w:val="001D56D1"/>
    <w:rsid w:val="001D5739"/>
    <w:rsid w:val="001D5CA6"/>
    <w:rsid w:val="001D5DCA"/>
    <w:rsid w:val="001D63B8"/>
    <w:rsid w:val="001D6ADB"/>
    <w:rsid w:val="001D6F90"/>
    <w:rsid w:val="001D7173"/>
    <w:rsid w:val="001D778B"/>
    <w:rsid w:val="001D7D67"/>
    <w:rsid w:val="001E005E"/>
    <w:rsid w:val="001E026D"/>
    <w:rsid w:val="001E04F2"/>
    <w:rsid w:val="001E0B4F"/>
    <w:rsid w:val="001E0E39"/>
    <w:rsid w:val="001E1532"/>
    <w:rsid w:val="001E1811"/>
    <w:rsid w:val="001E1A1A"/>
    <w:rsid w:val="001E209B"/>
    <w:rsid w:val="001E2550"/>
    <w:rsid w:val="001E28A0"/>
    <w:rsid w:val="001E2913"/>
    <w:rsid w:val="001E2B9E"/>
    <w:rsid w:val="001E2E7B"/>
    <w:rsid w:val="001E3273"/>
    <w:rsid w:val="001E36FD"/>
    <w:rsid w:val="001E373E"/>
    <w:rsid w:val="001E3740"/>
    <w:rsid w:val="001E3F9E"/>
    <w:rsid w:val="001E4430"/>
    <w:rsid w:val="001E4545"/>
    <w:rsid w:val="001E478F"/>
    <w:rsid w:val="001E487C"/>
    <w:rsid w:val="001E506B"/>
    <w:rsid w:val="001E50CA"/>
    <w:rsid w:val="001E51B1"/>
    <w:rsid w:val="001E5263"/>
    <w:rsid w:val="001E5E93"/>
    <w:rsid w:val="001E618B"/>
    <w:rsid w:val="001E69CE"/>
    <w:rsid w:val="001E6AD4"/>
    <w:rsid w:val="001E6FB2"/>
    <w:rsid w:val="001E7133"/>
    <w:rsid w:val="001E7190"/>
    <w:rsid w:val="001E74FA"/>
    <w:rsid w:val="001E7E3F"/>
    <w:rsid w:val="001F0758"/>
    <w:rsid w:val="001F0BE2"/>
    <w:rsid w:val="001F1578"/>
    <w:rsid w:val="001F15EB"/>
    <w:rsid w:val="001F17C9"/>
    <w:rsid w:val="001F189D"/>
    <w:rsid w:val="001F1F01"/>
    <w:rsid w:val="001F2278"/>
    <w:rsid w:val="001F2607"/>
    <w:rsid w:val="001F301E"/>
    <w:rsid w:val="001F3849"/>
    <w:rsid w:val="001F38E6"/>
    <w:rsid w:val="001F3B9F"/>
    <w:rsid w:val="001F3DD7"/>
    <w:rsid w:val="001F3FFE"/>
    <w:rsid w:val="001F40B7"/>
    <w:rsid w:val="001F4341"/>
    <w:rsid w:val="001F4378"/>
    <w:rsid w:val="001F43B5"/>
    <w:rsid w:val="001F443A"/>
    <w:rsid w:val="001F44C4"/>
    <w:rsid w:val="001F4B72"/>
    <w:rsid w:val="001F5335"/>
    <w:rsid w:val="001F581A"/>
    <w:rsid w:val="001F5CA0"/>
    <w:rsid w:val="001F60FE"/>
    <w:rsid w:val="001F61CC"/>
    <w:rsid w:val="001F61F6"/>
    <w:rsid w:val="001F658E"/>
    <w:rsid w:val="001F65E0"/>
    <w:rsid w:val="001F6953"/>
    <w:rsid w:val="001F69C2"/>
    <w:rsid w:val="001F6D7C"/>
    <w:rsid w:val="001F6F8D"/>
    <w:rsid w:val="001F7517"/>
    <w:rsid w:val="001F7605"/>
    <w:rsid w:val="001F7A94"/>
    <w:rsid w:val="001F7ACD"/>
    <w:rsid w:val="001F7D6E"/>
    <w:rsid w:val="002002A9"/>
    <w:rsid w:val="002002B4"/>
    <w:rsid w:val="00200390"/>
    <w:rsid w:val="002005D6"/>
    <w:rsid w:val="00200A5A"/>
    <w:rsid w:val="00200C32"/>
    <w:rsid w:val="002015C3"/>
    <w:rsid w:val="00201924"/>
    <w:rsid w:val="00201BC8"/>
    <w:rsid w:val="00201BD2"/>
    <w:rsid w:val="00201DAE"/>
    <w:rsid w:val="00201E92"/>
    <w:rsid w:val="00202659"/>
    <w:rsid w:val="0020297A"/>
    <w:rsid w:val="0020328A"/>
    <w:rsid w:val="00203ABE"/>
    <w:rsid w:val="00203FE8"/>
    <w:rsid w:val="00204613"/>
    <w:rsid w:val="00204809"/>
    <w:rsid w:val="00204A35"/>
    <w:rsid w:val="00204B20"/>
    <w:rsid w:val="00204CCF"/>
    <w:rsid w:val="00205054"/>
    <w:rsid w:val="0020533E"/>
    <w:rsid w:val="002055B8"/>
    <w:rsid w:val="00205936"/>
    <w:rsid w:val="00206392"/>
    <w:rsid w:val="00206510"/>
    <w:rsid w:val="00206534"/>
    <w:rsid w:val="002074E0"/>
    <w:rsid w:val="00207868"/>
    <w:rsid w:val="002102C0"/>
    <w:rsid w:val="00210511"/>
    <w:rsid w:val="00210648"/>
    <w:rsid w:val="00210CA7"/>
    <w:rsid w:val="00210D9C"/>
    <w:rsid w:val="00210DB8"/>
    <w:rsid w:val="00210E27"/>
    <w:rsid w:val="00211485"/>
    <w:rsid w:val="0021193B"/>
    <w:rsid w:val="002121A3"/>
    <w:rsid w:val="0021240F"/>
    <w:rsid w:val="00212550"/>
    <w:rsid w:val="002131F4"/>
    <w:rsid w:val="002133B7"/>
    <w:rsid w:val="0021369A"/>
    <w:rsid w:val="0021426F"/>
    <w:rsid w:val="00214D24"/>
    <w:rsid w:val="00214D6E"/>
    <w:rsid w:val="00214E8F"/>
    <w:rsid w:val="0021562E"/>
    <w:rsid w:val="002157B6"/>
    <w:rsid w:val="002157B7"/>
    <w:rsid w:val="00215BEE"/>
    <w:rsid w:val="00215CE8"/>
    <w:rsid w:val="002160F8"/>
    <w:rsid w:val="00216268"/>
    <w:rsid w:val="002162A9"/>
    <w:rsid w:val="0021665D"/>
    <w:rsid w:val="00216832"/>
    <w:rsid w:val="00216FEE"/>
    <w:rsid w:val="002176E2"/>
    <w:rsid w:val="00217B94"/>
    <w:rsid w:val="00217DF8"/>
    <w:rsid w:val="002200ED"/>
    <w:rsid w:val="002201D8"/>
    <w:rsid w:val="002201E7"/>
    <w:rsid w:val="00220581"/>
    <w:rsid w:val="002206F2"/>
    <w:rsid w:val="002209AF"/>
    <w:rsid w:val="00220F22"/>
    <w:rsid w:val="00220F26"/>
    <w:rsid w:val="0022121C"/>
    <w:rsid w:val="002218F8"/>
    <w:rsid w:val="0022192B"/>
    <w:rsid w:val="00221967"/>
    <w:rsid w:val="0022199D"/>
    <w:rsid w:val="00221F00"/>
    <w:rsid w:val="0022203A"/>
    <w:rsid w:val="00222330"/>
    <w:rsid w:val="00222A88"/>
    <w:rsid w:val="00222A92"/>
    <w:rsid w:val="00223469"/>
    <w:rsid w:val="0022374A"/>
    <w:rsid w:val="00223914"/>
    <w:rsid w:val="002240DE"/>
    <w:rsid w:val="00224138"/>
    <w:rsid w:val="002243D5"/>
    <w:rsid w:val="00224552"/>
    <w:rsid w:val="0022456A"/>
    <w:rsid w:val="00224DE2"/>
    <w:rsid w:val="002250E7"/>
    <w:rsid w:val="00225245"/>
    <w:rsid w:val="00225728"/>
    <w:rsid w:val="002257A5"/>
    <w:rsid w:val="00225E88"/>
    <w:rsid w:val="00226067"/>
    <w:rsid w:val="00226698"/>
    <w:rsid w:val="0022671E"/>
    <w:rsid w:val="002267F4"/>
    <w:rsid w:val="002269F1"/>
    <w:rsid w:val="002270FF"/>
    <w:rsid w:val="0022715D"/>
    <w:rsid w:val="002271CC"/>
    <w:rsid w:val="0022792B"/>
    <w:rsid w:val="00227D1A"/>
    <w:rsid w:val="00227E3E"/>
    <w:rsid w:val="002300FB"/>
    <w:rsid w:val="002302F5"/>
    <w:rsid w:val="0023076F"/>
    <w:rsid w:val="00230781"/>
    <w:rsid w:val="0023078A"/>
    <w:rsid w:val="00230A7A"/>
    <w:rsid w:val="00230DA2"/>
    <w:rsid w:val="0023116B"/>
    <w:rsid w:val="00231773"/>
    <w:rsid w:val="00231CE8"/>
    <w:rsid w:val="00231D49"/>
    <w:rsid w:val="002329B6"/>
    <w:rsid w:val="00233FE3"/>
    <w:rsid w:val="00234023"/>
    <w:rsid w:val="002347AD"/>
    <w:rsid w:val="00234EBA"/>
    <w:rsid w:val="00235025"/>
    <w:rsid w:val="002358E3"/>
    <w:rsid w:val="00236D36"/>
    <w:rsid w:val="00236F72"/>
    <w:rsid w:val="00237009"/>
    <w:rsid w:val="002378F2"/>
    <w:rsid w:val="002379E8"/>
    <w:rsid w:val="00237AC2"/>
    <w:rsid w:val="0024041F"/>
    <w:rsid w:val="00240591"/>
    <w:rsid w:val="002409A8"/>
    <w:rsid w:val="002409D7"/>
    <w:rsid w:val="00241020"/>
    <w:rsid w:val="00241217"/>
    <w:rsid w:val="00241385"/>
    <w:rsid w:val="002413FB"/>
    <w:rsid w:val="002418D0"/>
    <w:rsid w:val="00241CB4"/>
    <w:rsid w:val="00241F34"/>
    <w:rsid w:val="00241FBE"/>
    <w:rsid w:val="0024266F"/>
    <w:rsid w:val="00242941"/>
    <w:rsid w:val="00242AED"/>
    <w:rsid w:val="00242AEF"/>
    <w:rsid w:val="0024309F"/>
    <w:rsid w:val="002435EA"/>
    <w:rsid w:val="0024380D"/>
    <w:rsid w:val="00244299"/>
    <w:rsid w:val="002449D9"/>
    <w:rsid w:val="002449ED"/>
    <w:rsid w:val="00244A1E"/>
    <w:rsid w:val="00244DCE"/>
    <w:rsid w:val="00244F1D"/>
    <w:rsid w:val="0024507A"/>
    <w:rsid w:val="002451AD"/>
    <w:rsid w:val="0024531F"/>
    <w:rsid w:val="0024578B"/>
    <w:rsid w:val="00245810"/>
    <w:rsid w:val="00245EF5"/>
    <w:rsid w:val="00246152"/>
    <w:rsid w:val="00246235"/>
    <w:rsid w:val="002462CE"/>
    <w:rsid w:val="00246307"/>
    <w:rsid w:val="00246766"/>
    <w:rsid w:val="00246B42"/>
    <w:rsid w:val="00246BCC"/>
    <w:rsid w:val="0024706D"/>
    <w:rsid w:val="002471CF"/>
    <w:rsid w:val="00247256"/>
    <w:rsid w:val="00247BE0"/>
    <w:rsid w:val="00247C8C"/>
    <w:rsid w:val="00247D8D"/>
    <w:rsid w:val="0025029C"/>
    <w:rsid w:val="002505E1"/>
    <w:rsid w:val="00250696"/>
    <w:rsid w:val="00250BCF"/>
    <w:rsid w:val="00250CB4"/>
    <w:rsid w:val="00250FD4"/>
    <w:rsid w:val="0025121B"/>
    <w:rsid w:val="00251339"/>
    <w:rsid w:val="00251814"/>
    <w:rsid w:val="00251B38"/>
    <w:rsid w:val="00251DF9"/>
    <w:rsid w:val="0025205F"/>
    <w:rsid w:val="00252203"/>
    <w:rsid w:val="0025268C"/>
    <w:rsid w:val="00252CF7"/>
    <w:rsid w:val="00252E4A"/>
    <w:rsid w:val="0025302B"/>
    <w:rsid w:val="00253438"/>
    <w:rsid w:val="002534B1"/>
    <w:rsid w:val="00253623"/>
    <w:rsid w:val="002536AF"/>
    <w:rsid w:val="00253BC9"/>
    <w:rsid w:val="002541A5"/>
    <w:rsid w:val="00254606"/>
    <w:rsid w:val="002549DE"/>
    <w:rsid w:val="00254B2A"/>
    <w:rsid w:val="00254E3F"/>
    <w:rsid w:val="00254FF1"/>
    <w:rsid w:val="002554F1"/>
    <w:rsid w:val="00255868"/>
    <w:rsid w:val="00255C05"/>
    <w:rsid w:val="00255EC2"/>
    <w:rsid w:val="002562BE"/>
    <w:rsid w:val="00256417"/>
    <w:rsid w:val="00256576"/>
    <w:rsid w:val="002566FF"/>
    <w:rsid w:val="00256B9B"/>
    <w:rsid w:val="00256F1B"/>
    <w:rsid w:val="00257430"/>
    <w:rsid w:val="0025750A"/>
    <w:rsid w:val="0025755F"/>
    <w:rsid w:val="002576FD"/>
    <w:rsid w:val="0025783B"/>
    <w:rsid w:val="00257B15"/>
    <w:rsid w:val="00257F28"/>
    <w:rsid w:val="00260269"/>
    <w:rsid w:val="00260AA5"/>
    <w:rsid w:val="0026113E"/>
    <w:rsid w:val="002614B9"/>
    <w:rsid w:val="00261B87"/>
    <w:rsid w:val="00261EA9"/>
    <w:rsid w:val="00261ED6"/>
    <w:rsid w:val="002620C9"/>
    <w:rsid w:val="00262264"/>
    <w:rsid w:val="00262331"/>
    <w:rsid w:val="0026275A"/>
    <w:rsid w:val="00262AAC"/>
    <w:rsid w:val="00262B03"/>
    <w:rsid w:val="002636F1"/>
    <w:rsid w:val="00263776"/>
    <w:rsid w:val="00263DA8"/>
    <w:rsid w:val="00263E03"/>
    <w:rsid w:val="002649FC"/>
    <w:rsid w:val="00264AAA"/>
    <w:rsid w:val="00264F34"/>
    <w:rsid w:val="00264F6D"/>
    <w:rsid w:val="00264F92"/>
    <w:rsid w:val="0026546C"/>
    <w:rsid w:val="002657E4"/>
    <w:rsid w:val="00265855"/>
    <w:rsid w:val="00267349"/>
    <w:rsid w:val="002673E4"/>
    <w:rsid w:val="00267DDC"/>
    <w:rsid w:val="002702FC"/>
    <w:rsid w:val="002702FF"/>
    <w:rsid w:val="0027051A"/>
    <w:rsid w:val="00270559"/>
    <w:rsid w:val="002705BA"/>
    <w:rsid w:val="0027085F"/>
    <w:rsid w:val="002709C3"/>
    <w:rsid w:val="00271191"/>
    <w:rsid w:val="002714E6"/>
    <w:rsid w:val="00271595"/>
    <w:rsid w:val="0027202C"/>
    <w:rsid w:val="002720F8"/>
    <w:rsid w:val="00272484"/>
    <w:rsid w:val="00272636"/>
    <w:rsid w:val="00272727"/>
    <w:rsid w:val="00272AD1"/>
    <w:rsid w:val="00272D46"/>
    <w:rsid w:val="0027301E"/>
    <w:rsid w:val="00273881"/>
    <w:rsid w:val="00273C44"/>
    <w:rsid w:val="00274020"/>
    <w:rsid w:val="002741AC"/>
    <w:rsid w:val="002742D3"/>
    <w:rsid w:val="00274396"/>
    <w:rsid w:val="00274CEE"/>
    <w:rsid w:val="00275389"/>
    <w:rsid w:val="00275438"/>
    <w:rsid w:val="00275666"/>
    <w:rsid w:val="002756ED"/>
    <w:rsid w:val="00275B8B"/>
    <w:rsid w:val="00275E31"/>
    <w:rsid w:val="00275E68"/>
    <w:rsid w:val="00276A3E"/>
    <w:rsid w:val="00276DA9"/>
    <w:rsid w:val="00277450"/>
    <w:rsid w:val="00277587"/>
    <w:rsid w:val="002776C6"/>
    <w:rsid w:val="0027785F"/>
    <w:rsid w:val="00277A0C"/>
    <w:rsid w:val="00277A4C"/>
    <w:rsid w:val="00277ABA"/>
    <w:rsid w:val="00277DD8"/>
    <w:rsid w:val="00277EBA"/>
    <w:rsid w:val="00280D05"/>
    <w:rsid w:val="00280D1C"/>
    <w:rsid w:val="0028122C"/>
    <w:rsid w:val="002812B6"/>
    <w:rsid w:val="002812C3"/>
    <w:rsid w:val="0028140F"/>
    <w:rsid w:val="00281771"/>
    <w:rsid w:val="00281AB9"/>
    <w:rsid w:val="002820B8"/>
    <w:rsid w:val="00282155"/>
    <w:rsid w:val="00282256"/>
    <w:rsid w:val="002822D9"/>
    <w:rsid w:val="002823DE"/>
    <w:rsid w:val="002828F4"/>
    <w:rsid w:val="00282929"/>
    <w:rsid w:val="00282B8E"/>
    <w:rsid w:val="00282F35"/>
    <w:rsid w:val="00283B60"/>
    <w:rsid w:val="00283C0E"/>
    <w:rsid w:val="00283C3C"/>
    <w:rsid w:val="00283E51"/>
    <w:rsid w:val="0028412F"/>
    <w:rsid w:val="0028444C"/>
    <w:rsid w:val="002844A3"/>
    <w:rsid w:val="00284622"/>
    <w:rsid w:val="002851CA"/>
    <w:rsid w:val="00285257"/>
    <w:rsid w:val="002852EF"/>
    <w:rsid w:val="0028534C"/>
    <w:rsid w:val="002857F9"/>
    <w:rsid w:val="00285937"/>
    <w:rsid w:val="00285A5A"/>
    <w:rsid w:val="0028602D"/>
    <w:rsid w:val="00286126"/>
    <w:rsid w:val="0028666D"/>
    <w:rsid w:val="0028684E"/>
    <w:rsid w:val="00286DBF"/>
    <w:rsid w:val="002874C1"/>
    <w:rsid w:val="00287706"/>
    <w:rsid w:val="00287753"/>
    <w:rsid w:val="002901E5"/>
    <w:rsid w:val="0029029F"/>
    <w:rsid w:val="00290678"/>
    <w:rsid w:val="00290B73"/>
    <w:rsid w:val="002912EC"/>
    <w:rsid w:val="00291574"/>
    <w:rsid w:val="00291974"/>
    <w:rsid w:val="00291D01"/>
    <w:rsid w:val="00291D50"/>
    <w:rsid w:val="00291E52"/>
    <w:rsid w:val="00291EAC"/>
    <w:rsid w:val="00291EBD"/>
    <w:rsid w:val="00291F7C"/>
    <w:rsid w:val="00292092"/>
    <w:rsid w:val="00292717"/>
    <w:rsid w:val="0029290F"/>
    <w:rsid w:val="00292C1A"/>
    <w:rsid w:val="00292C27"/>
    <w:rsid w:val="00292D90"/>
    <w:rsid w:val="00292FC9"/>
    <w:rsid w:val="002935D3"/>
    <w:rsid w:val="00293AC2"/>
    <w:rsid w:val="00293E6E"/>
    <w:rsid w:val="002945FE"/>
    <w:rsid w:val="002949EC"/>
    <w:rsid w:val="00294B0A"/>
    <w:rsid w:val="00294C50"/>
    <w:rsid w:val="0029515E"/>
    <w:rsid w:val="0029555B"/>
    <w:rsid w:val="0029559F"/>
    <w:rsid w:val="0029564F"/>
    <w:rsid w:val="00295ECF"/>
    <w:rsid w:val="00295FB2"/>
    <w:rsid w:val="00296397"/>
    <w:rsid w:val="002963B2"/>
    <w:rsid w:val="00297127"/>
    <w:rsid w:val="0029721A"/>
    <w:rsid w:val="00297247"/>
    <w:rsid w:val="0029743C"/>
    <w:rsid w:val="002974A4"/>
    <w:rsid w:val="00297B1B"/>
    <w:rsid w:val="002A00D1"/>
    <w:rsid w:val="002A0B04"/>
    <w:rsid w:val="002A0EE6"/>
    <w:rsid w:val="002A0F6F"/>
    <w:rsid w:val="002A1300"/>
    <w:rsid w:val="002A132E"/>
    <w:rsid w:val="002A133C"/>
    <w:rsid w:val="002A1A8C"/>
    <w:rsid w:val="002A1AC6"/>
    <w:rsid w:val="002A1E7C"/>
    <w:rsid w:val="002A28EA"/>
    <w:rsid w:val="002A28F8"/>
    <w:rsid w:val="002A2D90"/>
    <w:rsid w:val="002A2ED0"/>
    <w:rsid w:val="002A2F5D"/>
    <w:rsid w:val="002A3530"/>
    <w:rsid w:val="002A3C27"/>
    <w:rsid w:val="002A3E52"/>
    <w:rsid w:val="002A3F53"/>
    <w:rsid w:val="002A45D2"/>
    <w:rsid w:val="002A4759"/>
    <w:rsid w:val="002A49D7"/>
    <w:rsid w:val="002A4F1D"/>
    <w:rsid w:val="002A5028"/>
    <w:rsid w:val="002A580B"/>
    <w:rsid w:val="002A5A9A"/>
    <w:rsid w:val="002A5F1A"/>
    <w:rsid w:val="002A6167"/>
    <w:rsid w:val="002A63DF"/>
    <w:rsid w:val="002A6735"/>
    <w:rsid w:val="002A6E37"/>
    <w:rsid w:val="002A7715"/>
    <w:rsid w:val="002A7B92"/>
    <w:rsid w:val="002A7B9E"/>
    <w:rsid w:val="002A7D71"/>
    <w:rsid w:val="002B012C"/>
    <w:rsid w:val="002B031C"/>
    <w:rsid w:val="002B04F0"/>
    <w:rsid w:val="002B05A8"/>
    <w:rsid w:val="002B0D85"/>
    <w:rsid w:val="002B1D26"/>
    <w:rsid w:val="002B2061"/>
    <w:rsid w:val="002B212C"/>
    <w:rsid w:val="002B2357"/>
    <w:rsid w:val="002B26EC"/>
    <w:rsid w:val="002B2F11"/>
    <w:rsid w:val="002B2F6F"/>
    <w:rsid w:val="002B3082"/>
    <w:rsid w:val="002B3B3C"/>
    <w:rsid w:val="002B3DF3"/>
    <w:rsid w:val="002B3EEC"/>
    <w:rsid w:val="002B4160"/>
    <w:rsid w:val="002B43B1"/>
    <w:rsid w:val="002B50CA"/>
    <w:rsid w:val="002B5385"/>
    <w:rsid w:val="002B56BA"/>
    <w:rsid w:val="002B5C33"/>
    <w:rsid w:val="002B5D11"/>
    <w:rsid w:val="002B5F18"/>
    <w:rsid w:val="002B6224"/>
    <w:rsid w:val="002B6264"/>
    <w:rsid w:val="002B65A8"/>
    <w:rsid w:val="002B712D"/>
    <w:rsid w:val="002B774C"/>
    <w:rsid w:val="002B79BB"/>
    <w:rsid w:val="002B7A1A"/>
    <w:rsid w:val="002B7E67"/>
    <w:rsid w:val="002B7F07"/>
    <w:rsid w:val="002C0164"/>
    <w:rsid w:val="002C07BA"/>
    <w:rsid w:val="002C0B79"/>
    <w:rsid w:val="002C1A2C"/>
    <w:rsid w:val="002C1B97"/>
    <w:rsid w:val="002C1F26"/>
    <w:rsid w:val="002C20C8"/>
    <w:rsid w:val="002C20E3"/>
    <w:rsid w:val="002C2442"/>
    <w:rsid w:val="002C2670"/>
    <w:rsid w:val="002C3329"/>
    <w:rsid w:val="002C3356"/>
    <w:rsid w:val="002C33DA"/>
    <w:rsid w:val="002C3A86"/>
    <w:rsid w:val="002C3DBC"/>
    <w:rsid w:val="002C43B7"/>
    <w:rsid w:val="002C49C5"/>
    <w:rsid w:val="002C4AAE"/>
    <w:rsid w:val="002C4B18"/>
    <w:rsid w:val="002C5197"/>
    <w:rsid w:val="002C52B3"/>
    <w:rsid w:val="002C55BA"/>
    <w:rsid w:val="002C55D1"/>
    <w:rsid w:val="002C568E"/>
    <w:rsid w:val="002C6358"/>
    <w:rsid w:val="002C7018"/>
    <w:rsid w:val="002C718E"/>
    <w:rsid w:val="002C75C2"/>
    <w:rsid w:val="002C777A"/>
    <w:rsid w:val="002C7E00"/>
    <w:rsid w:val="002D0053"/>
    <w:rsid w:val="002D00D0"/>
    <w:rsid w:val="002D0205"/>
    <w:rsid w:val="002D02A4"/>
    <w:rsid w:val="002D0505"/>
    <w:rsid w:val="002D0594"/>
    <w:rsid w:val="002D05EA"/>
    <w:rsid w:val="002D0A89"/>
    <w:rsid w:val="002D0B42"/>
    <w:rsid w:val="002D0B71"/>
    <w:rsid w:val="002D1973"/>
    <w:rsid w:val="002D1C2A"/>
    <w:rsid w:val="002D21DB"/>
    <w:rsid w:val="002D2376"/>
    <w:rsid w:val="002D2830"/>
    <w:rsid w:val="002D2F83"/>
    <w:rsid w:val="002D3419"/>
    <w:rsid w:val="002D39FA"/>
    <w:rsid w:val="002D3BEB"/>
    <w:rsid w:val="002D42D1"/>
    <w:rsid w:val="002D48F1"/>
    <w:rsid w:val="002D52C3"/>
    <w:rsid w:val="002D5803"/>
    <w:rsid w:val="002D5F68"/>
    <w:rsid w:val="002D5FF2"/>
    <w:rsid w:val="002D61A0"/>
    <w:rsid w:val="002D6E5C"/>
    <w:rsid w:val="002D773E"/>
    <w:rsid w:val="002D7972"/>
    <w:rsid w:val="002D7D8B"/>
    <w:rsid w:val="002E0347"/>
    <w:rsid w:val="002E07B2"/>
    <w:rsid w:val="002E0C73"/>
    <w:rsid w:val="002E16BE"/>
    <w:rsid w:val="002E1845"/>
    <w:rsid w:val="002E1C16"/>
    <w:rsid w:val="002E1C74"/>
    <w:rsid w:val="002E1E1E"/>
    <w:rsid w:val="002E26E2"/>
    <w:rsid w:val="002E2A42"/>
    <w:rsid w:val="002E2C3B"/>
    <w:rsid w:val="002E2DAC"/>
    <w:rsid w:val="002E2EEC"/>
    <w:rsid w:val="002E339B"/>
    <w:rsid w:val="002E33E5"/>
    <w:rsid w:val="002E3A3F"/>
    <w:rsid w:val="002E3B21"/>
    <w:rsid w:val="002E3D08"/>
    <w:rsid w:val="002E3D6F"/>
    <w:rsid w:val="002E3DBB"/>
    <w:rsid w:val="002E3EF2"/>
    <w:rsid w:val="002E41AF"/>
    <w:rsid w:val="002E430B"/>
    <w:rsid w:val="002E4834"/>
    <w:rsid w:val="002E51D7"/>
    <w:rsid w:val="002E52F4"/>
    <w:rsid w:val="002E5569"/>
    <w:rsid w:val="002E58CA"/>
    <w:rsid w:val="002E58F4"/>
    <w:rsid w:val="002E5E75"/>
    <w:rsid w:val="002E5EF1"/>
    <w:rsid w:val="002E6927"/>
    <w:rsid w:val="002E6A7A"/>
    <w:rsid w:val="002E6AF2"/>
    <w:rsid w:val="002E6F79"/>
    <w:rsid w:val="002E71FF"/>
    <w:rsid w:val="002E78FE"/>
    <w:rsid w:val="002E7C3F"/>
    <w:rsid w:val="002E7F12"/>
    <w:rsid w:val="002F0348"/>
    <w:rsid w:val="002F0746"/>
    <w:rsid w:val="002F08CF"/>
    <w:rsid w:val="002F0952"/>
    <w:rsid w:val="002F09C5"/>
    <w:rsid w:val="002F0D05"/>
    <w:rsid w:val="002F0D1E"/>
    <w:rsid w:val="002F11C7"/>
    <w:rsid w:val="002F139A"/>
    <w:rsid w:val="002F182E"/>
    <w:rsid w:val="002F1AC7"/>
    <w:rsid w:val="002F1E05"/>
    <w:rsid w:val="002F217D"/>
    <w:rsid w:val="002F23CA"/>
    <w:rsid w:val="002F29A9"/>
    <w:rsid w:val="002F2A93"/>
    <w:rsid w:val="002F2B93"/>
    <w:rsid w:val="002F353F"/>
    <w:rsid w:val="002F3A4A"/>
    <w:rsid w:val="002F3BB5"/>
    <w:rsid w:val="002F4435"/>
    <w:rsid w:val="002F4457"/>
    <w:rsid w:val="002F46A9"/>
    <w:rsid w:val="002F4B8E"/>
    <w:rsid w:val="002F50D5"/>
    <w:rsid w:val="002F5488"/>
    <w:rsid w:val="002F570E"/>
    <w:rsid w:val="002F5818"/>
    <w:rsid w:val="002F58B7"/>
    <w:rsid w:val="002F5CD5"/>
    <w:rsid w:val="002F61BD"/>
    <w:rsid w:val="002F63DC"/>
    <w:rsid w:val="002F6453"/>
    <w:rsid w:val="002F663A"/>
    <w:rsid w:val="002F69EE"/>
    <w:rsid w:val="002F6C09"/>
    <w:rsid w:val="002F6F7D"/>
    <w:rsid w:val="002F7303"/>
    <w:rsid w:val="002F7671"/>
    <w:rsid w:val="003000DD"/>
    <w:rsid w:val="0030047D"/>
    <w:rsid w:val="003005D7"/>
    <w:rsid w:val="00300DE4"/>
    <w:rsid w:val="00300FEF"/>
    <w:rsid w:val="00301276"/>
    <w:rsid w:val="003013D3"/>
    <w:rsid w:val="00301409"/>
    <w:rsid w:val="003014E2"/>
    <w:rsid w:val="0030154F"/>
    <w:rsid w:val="00301ABD"/>
    <w:rsid w:val="00301B28"/>
    <w:rsid w:val="00301BB1"/>
    <w:rsid w:val="00301C1B"/>
    <w:rsid w:val="00301C23"/>
    <w:rsid w:val="003024AA"/>
    <w:rsid w:val="00302757"/>
    <w:rsid w:val="00302CA3"/>
    <w:rsid w:val="00303051"/>
    <w:rsid w:val="0030350A"/>
    <w:rsid w:val="0030359F"/>
    <w:rsid w:val="00303BC5"/>
    <w:rsid w:val="00303F68"/>
    <w:rsid w:val="00304510"/>
    <w:rsid w:val="003049F0"/>
    <w:rsid w:val="00304C27"/>
    <w:rsid w:val="00304F3E"/>
    <w:rsid w:val="003064B8"/>
    <w:rsid w:val="00306664"/>
    <w:rsid w:val="003066C6"/>
    <w:rsid w:val="00306C66"/>
    <w:rsid w:val="00307157"/>
    <w:rsid w:val="00307429"/>
    <w:rsid w:val="00307D87"/>
    <w:rsid w:val="00307EB4"/>
    <w:rsid w:val="00310BC2"/>
    <w:rsid w:val="00310C06"/>
    <w:rsid w:val="00310C96"/>
    <w:rsid w:val="00310DE6"/>
    <w:rsid w:val="0031212F"/>
    <w:rsid w:val="00312235"/>
    <w:rsid w:val="0031247D"/>
    <w:rsid w:val="0031267C"/>
    <w:rsid w:val="00312EEA"/>
    <w:rsid w:val="0031346B"/>
    <w:rsid w:val="00313AC3"/>
    <w:rsid w:val="00313C8D"/>
    <w:rsid w:val="00313D17"/>
    <w:rsid w:val="003144B3"/>
    <w:rsid w:val="00314527"/>
    <w:rsid w:val="0031454B"/>
    <w:rsid w:val="00314D0A"/>
    <w:rsid w:val="0031537C"/>
    <w:rsid w:val="003157C9"/>
    <w:rsid w:val="0031633C"/>
    <w:rsid w:val="00316440"/>
    <w:rsid w:val="0031658C"/>
    <w:rsid w:val="0031691F"/>
    <w:rsid w:val="00316ACD"/>
    <w:rsid w:val="003177A0"/>
    <w:rsid w:val="003178A7"/>
    <w:rsid w:val="0031794A"/>
    <w:rsid w:val="00317D76"/>
    <w:rsid w:val="00317F7D"/>
    <w:rsid w:val="003201D4"/>
    <w:rsid w:val="00320527"/>
    <w:rsid w:val="0032055D"/>
    <w:rsid w:val="003205A2"/>
    <w:rsid w:val="003205B9"/>
    <w:rsid w:val="00320936"/>
    <w:rsid w:val="00320A31"/>
    <w:rsid w:val="00320B93"/>
    <w:rsid w:val="00320F9B"/>
    <w:rsid w:val="003210EB"/>
    <w:rsid w:val="00321215"/>
    <w:rsid w:val="0032131F"/>
    <w:rsid w:val="00321987"/>
    <w:rsid w:val="00321F59"/>
    <w:rsid w:val="00322E3B"/>
    <w:rsid w:val="00322F23"/>
    <w:rsid w:val="00323427"/>
    <w:rsid w:val="00323456"/>
    <w:rsid w:val="003238DF"/>
    <w:rsid w:val="003239D7"/>
    <w:rsid w:val="0032407D"/>
    <w:rsid w:val="003245CA"/>
    <w:rsid w:val="003245F8"/>
    <w:rsid w:val="00324D96"/>
    <w:rsid w:val="00324DFA"/>
    <w:rsid w:val="00324FA2"/>
    <w:rsid w:val="003250D4"/>
    <w:rsid w:val="0032525F"/>
    <w:rsid w:val="00325BAC"/>
    <w:rsid w:val="0032614C"/>
    <w:rsid w:val="00326523"/>
    <w:rsid w:val="00326A59"/>
    <w:rsid w:val="003270D0"/>
    <w:rsid w:val="003272CE"/>
    <w:rsid w:val="003272E3"/>
    <w:rsid w:val="003272EC"/>
    <w:rsid w:val="003274E7"/>
    <w:rsid w:val="003278F9"/>
    <w:rsid w:val="0032790B"/>
    <w:rsid w:val="00330525"/>
    <w:rsid w:val="003305A1"/>
    <w:rsid w:val="003306B1"/>
    <w:rsid w:val="00330ABA"/>
    <w:rsid w:val="003311DF"/>
    <w:rsid w:val="0033159E"/>
    <w:rsid w:val="003327A7"/>
    <w:rsid w:val="003333FC"/>
    <w:rsid w:val="003334FB"/>
    <w:rsid w:val="00333842"/>
    <w:rsid w:val="00333CF0"/>
    <w:rsid w:val="00333D68"/>
    <w:rsid w:val="00334086"/>
    <w:rsid w:val="00334249"/>
    <w:rsid w:val="003342DF"/>
    <w:rsid w:val="00334346"/>
    <w:rsid w:val="003349AA"/>
    <w:rsid w:val="00334A14"/>
    <w:rsid w:val="00334FB4"/>
    <w:rsid w:val="0033513F"/>
    <w:rsid w:val="003357DD"/>
    <w:rsid w:val="00335831"/>
    <w:rsid w:val="003358A3"/>
    <w:rsid w:val="00335D78"/>
    <w:rsid w:val="003369C8"/>
    <w:rsid w:val="00336C8F"/>
    <w:rsid w:val="0033707F"/>
    <w:rsid w:val="0033712C"/>
    <w:rsid w:val="003406BC"/>
    <w:rsid w:val="00340B48"/>
    <w:rsid w:val="00341410"/>
    <w:rsid w:val="00341C0D"/>
    <w:rsid w:val="00341C15"/>
    <w:rsid w:val="00341C5B"/>
    <w:rsid w:val="00341D25"/>
    <w:rsid w:val="00341F35"/>
    <w:rsid w:val="00341FFC"/>
    <w:rsid w:val="00342BBC"/>
    <w:rsid w:val="00342BFD"/>
    <w:rsid w:val="00342E08"/>
    <w:rsid w:val="003430D4"/>
    <w:rsid w:val="00343375"/>
    <w:rsid w:val="00343485"/>
    <w:rsid w:val="00343598"/>
    <w:rsid w:val="0034385D"/>
    <w:rsid w:val="00343C04"/>
    <w:rsid w:val="00343CB6"/>
    <w:rsid w:val="00344018"/>
    <w:rsid w:val="003443F5"/>
    <w:rsid w:val="00344F5C"/>
    <w:rsid w:val="00345105"/>
    <w:rsid w:val="003453CA"/>
    <w:rsid w:val="003457E8"/>
    <w:rsid w:val="0034599B"/>
    <w:rsid w:val="003459B0"/>
    <w:rsid w:val="00345C1B"/>
    <w:rsid w:val="00346519"/>
    <w:rsid w:val="00346BD2"/>
    <w:rsid w:val="00346DB6"/>
    <w:rsid w:val="00347131"/>
    <w:rsid w:val="003472C4"/>
    <w:rsid w:val="003473BD"/>
    <w:rsid w:val="003473C0"/>
    <w:rsid w:val="0034782E"/>
    <w:rsid w:val="00347831"/>
    <w:rsid w:val="00347D40"/>
    <w:rsid w:val="00350AFE"/>
    <w:rsid w:val="00350B35"/>
    <w:rsid w:val="00350C8D"/>
    <w:rsid w:val="00350CFF"/>
    <w:rsid w:val="00350EFE"/>
    <w:rsid w:val="00350FC4"/>
    <w:rsid w:val="003514C6"/>
    <w:rsid w:val="00351650"/>
    <w:rsid w:val="00351774"/>
    <w:rsid w:val="003517B6"/>
    <w:rsid w:val="00351D2C"/>
    <w:rsid w:val="00352396"/>
    <w:rsid w:val="00352615"/>
    <w:rsid w:val="003528C3"/>
    <w:rsid w:val="00352E8E"/>
    <w:rsid w:val="003530BB"/>
    <w:rsid w:val="00353752"/>
    <w:rsid w:val="003537D2"/>
    <w:rsid w:val="00353D98"/>
    <w:rsid w:val="00353F19"/>
    <w:rsid w:val="00354273"/>
    <w:rsid w:val="0035459C"/>
    <w:rsid w:val="00354912"/>
    <w:rsid w:val="00354E5F"/>
    <w:rsid w:val="00354E65"/>
    <w:rsid w:val="0035522B"/>
    <w:rsid w:val="0035522E"/>
    <w:rsid w:val="003552F4"/>
    <w:rsid w:val="0035538B"/>
    <w:rsid w:val="003554DF"/>
    <w:rsid w:val="003555DC"/>
    <w:rsid w:val="003558C5"/>
    <w:rsid w:val="0035600B"/>
    <w:rsid w:val="0035614E"/>
    <w:rsid w:val="003564EE"/>
    <w:rsid w:val="003565B9"/>
    <w:rsid w:val="003569BE"/>
    <w:rsid w:val="00356BA2"/>
    <w:rsid w:val="003573E3"/>
    <w:rsid w:val="0035762E"/>
    <w:rsid w:val="003577B4"/>
    <w:rsid w:val="003578C5"/>
    <w:rsid w:val="00357B45"/>
    <w:rsid w:val="00357F78"/>
    <w:rsid w:val="0036009D"/>
    <w:rsid w:val="003601A4"/>
    <w:rsid w:val="00360849"/>
    <w:rsid w:val="003608C0"/>
    <w:rsid w:val="00360A25"/>
    <w:rsid w:val="00360A54"/>
    <w:rsid w:val="00360A96"/>
    <w:rsid w:val="00360AB0"/>
    <w:rsid w:val="00361100"/>
    <w:rsid w:val="00361894"/>
    <w:rsid w:val="00361EAC"/>
    <w:rsid w:val="00362003"/>
    <w:rsid w:val="003620D5"/>
    <w:rsid w:val="00362601"/>
    <w:rsid w:val="00362C64"/>
    <w:rsid w:val="00362D71"/>
    <w:rsid w:val="00362EBC"/>
    <w:rsid w:val="00362F06"/>
    <w:rsid w:val="00363087"/>
    <w:rsid w:val="00363175"/>
    <w:rsid w:val="0036345D"/>
    <w:rsid w:val="003635B6"/>
    <w:rsid w:val="00363B92"/>
    <w:rsid w:val="003647AB"/>
    <w:rsid w:val="00364C75"/>
    <w:rsid w:val="00364DE0"/>
    <w:rsid w:val="00365363"/>
    <w:rsid w:val="00365407"/>
    <w:rsid w:val="00365E2C"/>
    <w:rsid w:val="003661D6"/>
    <w:rsid w:val="003666A3"/>
    <w:rsid w:val="003666C6"/>
    <w:rsid w:val="00366A43"/>
    <w:rsid w:val="00366CB4"/>
    <w:rsid w:val="00366D96"/>
    <w:rsid w:val="003673F0"/>
    <w:rsid w:val="0036796C"/>
    <w:rsid w:val="00367D55"/>
    <w:rsid w:val="00367F64"/>
    <w:rsid w:val="0037006D"/>
    <w:rsid w:val="0037034A"/>
    <w:rsid w:val="003707BE"/>
    <w:rsid w:val="00370993"/>
    <w:rsid w:val="00370D64"/>
    <w:rsid w:val="00370E4A"/>
    <w:rsid w:val="003711B0"/>
    <w:rsid w:val="003719B7"/>
    <w:rsid w:val="00371AE0"/>
    <w:rsid w:val="00371EFD"/>
    <w:rsid w:val="00371F02"/>
    <w:rsid w:val="00371F20"/>
    <w:rsid w:val="003721D6"/>
    <w:rsid w:val="00372A5E"/>
    <w:rsid w:val="00372A8B"/>
    <w:rsid w:val="00372BDE"/>
    <w:rsid w:val="00372CCE"/>
    <w:rsid w:val="003732E2"/>
    <w:rsid w:val="003735F7"/>
    <w:rsid w:val="0037383F"/>
    <w:rsid w:val="00373B8A"/>
    <w:rsid w:val="00373CCF"/>
    <w:rsid w:val="00374439"/>
    <w:rsid w:val="0037450E"/>
    <w:rsid w:val="003749CC"/>
    <w:rsid w:val="00374B06"/>
    <w:rsid w:val="00374CE1"/>
    <w:rsid w:val="00374D05"/>
    <w:rsid w:val="0037523A"/>
    <w:rsid w:val="00375316"/>
    <w:rsid w:val="0037560E"/>
    <w:rsid w:val="00375830"/>
    <w:rsid w:val="00375C70"/>
    <w:rsid w:val="00375E2B"/>
    <w:rsid w:val="00375F03"/>
    <w:rsid w:val="003760DA"/>
    <w:rsid w:val="003761FA"/>
    <w:rsid w:val="003765E8"/>
    <w:rsid w:val="003767F6"/>
    <w:rsid w:val="00376B70"/>
    <w:rsid w:val="00376BB6"/>
    <w:rsid w:val="00376F7A"/>
    <w:rsid w:val="0037738C"/>
    <w:rsid w:val="003776EF"/>
    <w:rsid w:val="003802AE"/>
    <w:rsid w:val="0038054D"/>
    <w:rsid w:val="00380AF1"/>
    <w:rsid w:val="00380B30"/>
    <w:rsid w:val="00381067"/>
    <w:rsid w:val="003811AF"/>
    <w:rsid w:val="003815C0"/>
    <w:rsid w:val="0038193F"/>
    <w:rsid w:val="003820C3"/>
    <w:rsid w:val="00382416"/>
    <w:rsid w:val="00382542"/>
    <w:rsid w:val="00382CFA"/>
    <w:rsid w:val="00382F7D"/>
    <w:rsid w:val="00383026"/>
    <w:rsid w:val="00383044"/>
    <w:rsid w:val="0038391F"/>
    <w:rsid w:val="00383C19"/>
    <w:rsid w:val="00383DA9"/>
    <w:rsid w:val="00384365"/>
    <w:rsid w:val="00384C5C"/>
    <w:rsid w:val="00384F19"/>
    <w:rsid w:val="0038509B"/>
    <w:rsid w:val="003858C7"/>
    <w:rsid w:val="003858DA"/>
    <w:rsid w:val="00385D87"/>
    <w:rsid w:val="00385E2A"/>
    <w:rsid w:val="00386626"/>
    <w:rsid w:val="00386B4B"/>
    <w:rsid w:val="00386BD9"/>
    <w:rsid w:val="00386C2E"/>
    <w:rsid w:val="00386D22"/>
    <w:rsid w:val="00387017"/>
    <w:rsid w:val="0038720F"/>
    <w:rsid w:val="00387243"/>
    <w:rsid w:val="003872F8"/>
    <w:rsid w:val="003874FC"/>
    <w:rsid w:val="003875C1"/>
    <w:rsid w:val="00387852"/>
    <w:rsid w:val="00387C51"/>
    <w:rsid w:val="0039025E"/>
    <w:rsid w:val="003903AB"/>
    <w:rsid w:val="00390437"/>
    <w:rsid w:val="0039056A"/>
    <w:rsid w:val="00390990"/>
    <w:rsid w:val="00390D75"/>
    <w:rsid w:val="00391C34"/>
    <w:rsid w:val="00391DED"/>
    <w:rsid w:val="00391F48"/>
    <w:rsid w:val="003925DC"/>
    <w:rsid w:val="00392635"/>
    <w:rsid w:val="00392B1B"/>
    <w:rsid w:val="00393319"/>
    <w:rsid w:val="003936EB"/>
    <w:rsid w:val="00393B37"/>
    <w:rsid w:val="00393E6C"/>
    <w:rsid w:val="00394162"/>
    <w:rsid w:val="00394FF1"/>
    <w:rsid w:val="00395100"/>
    <w:rsid w:val="003952D4"/>
    <w:rsid w:val="003953C4"/>
    <w:rsid w:val="00395461"/>
    <w:rsid w:val="00395514"/>
    <w:rsid w:val="00395A01"/>
    <w:rsid w:val="00395F53"/>
    <w:rsid w:val="0039611D"/>
    <w:rsid w:val="003965B1"/>
    <w:rsid w:val="003968D9"/>
    <w:rsid w:val="00396DD6"/>
    <w:rsid w:val="0039720E"/>
    <w:rsid w:val="003974E6"/>
    <w:rsid w:val="00397A1F"/>
    <w:rsid w:val="00397BFA"/>
    <w:rsid w:val="003A0432"/>
    <w:rsid w:val="003A0B8F"/>
    <w:rsid w:val="003A0C64"/>
    <w:rsid w:val="003A1367"/>
    <w:rsid w:val="003A1D65"/>
    <w:rsid w:val="003A1DA7"/>
    <w:rsid w:val="003A1EA3"/>
    <w:rsid w:val="003A23EF"/>
    <w:rsid w:val="003A2492"/>
    <w:rsid w:val="003A253D"/>
    <w:rsid w:val="003A28E1"/>
    <w:rsid w:val="003A32A7"/>
    <w:rsid w:val="003A3B50"/>
    <w:rsid w:val="003A3E52"/>
    <w:rsid w:val="003A43E9"/>
    <w:rsid w:val="003A44FE"/>
    <w:rsid w:val="003A45DF"/>
    <w:rsid w:val="003A48D7"/>
    <w:rsid w:val="003A497A"/>
    <w:rsid w:val="003A5720"/>
    <w:rsid w:val="003A5925"/>
    <w:rsid w:val="003A5A10"/>
    <w:rsid w:val="003A5A70"/>
    <w:rsid w:val="003A5C64"/>
    <w:rsid w:val="003A5CD8"/>
    <w:rsid w:val="003A5FA4"/>
    <w:rsid w:val="003A672E"/>
    <w:rsid w:val="003A68F6"/>
    <w:rsid w:val="003A69D1"/>
    <w:rsid w:val="003A6EDB"/>
    <w:rsid w:val="003A782A"/>
    <w:rsid w:val="003A7A3D"/>
    <w:rsid w:val="003B01E5"/>
    <w:rsid w:val="003B0379"/>
    <w:rsid w:val="003B05C3"/>
    <w:rsid w:val="003B07D4"/>
    <w:rsid w:val="003B0CE1"/>
    <w:rsid w:val="003B0E21"/>
    <w:rsid w:val="003B116C"/>
    <w:rsid w:val="003B1CB9"/>
    <w:rsid w:val="003B26CC"/>
    <w:rsid w:val="003B29D7"/>
    <w:rsid w:val="003B2D94"/>
    <w:rsid w:val="003B33ED"/>
    <w:rsid w:val="003B355D"/>
    <w:rsid w:val="003B35E2"/>
    <w:rsid w:val="003B3FA4"/>
    <w:rsid w:val="003B40B9"/>
    <w:rsid w:val="003B4544"/>
    <w:rsid w:val="003B495E"/>
    <w:rsid w:val="003B4A64"/>
    <w:rsid w:val="003B4AD1"/>
    <w:rsid w:val="003B4AFC"/>
    <w:rsid w:val="003B4B43"/>
    <w:rsid w:val="003B4CDE"/>
    <w:rsid w:val="003B535C"/>
    <w:rsid w:val="003B548D"/>
    <w:rsid w:val="003B55EC"/>
    <w:rsid w:val="003B57EB"/>
    <w:rsid w:val="003B58A9"/>
    <w:rsid w:val="003B5907"/>
    <w:rsid w:val="003B5922"/>
    <w:rsid w:val="003B5C61"/>
    <w:rsid w:val="003B5CED"/>
    <w:rsid w:val="003B604A"/>
    <w:rsid w:val="003B6361"/>
    <w:rsid w:val="003B63DB"/>
    <w:rsid w:val="003B70C3"/>
    <w:rsid w:val="003B7802"/>
    <w:rsid w:val="003B7B8A"/>
    <w:rsid w:val="003C0C6D"/>
    <w:rsid w:val="003C0D9F"/>
    <w:rsid w:val="003C10E0"/>
    <w:rsid w:val="003C1255"/>
    <w:rsid w:val="003C19AB"/>
    <w:rsid w:val="003C1BB8"/>
    <w:rsid w:val="003C2712"/>
    <w:rsid w:val="003C2726"/>
    <w:rsid w:val="003C27A2"/>
    <w:rsid w:val="003C2B25"/>
    <w:rsid w:val="003C2E97"/>
    <w:rsid w:val="003C314B"/>
    <w:rsid w:val="003C3323"/>
    <w:rsid w:val="003C35B4"/>
    <w:rsid w:val="003C371A"/>
    <w:rsid w:val="003C3CA0"/>
    <w:rsid w:val="003C3E5F"/>
    <w:rsid w:val="003C4170"/>
    <w:rsid w:val="003C41C1"/>
    <w:rsid w:val="003C5525"/>
    <w:rsid w:val="003C58B4"/>
    <w:rsid w:val="003C5CB0"/>
    <w:rsid w:val="003C643B"/>
    <w:rsid w:val="003C66FE"/>
    <w:rsid w:val="003C6D00"/>
    <w:rsid w:val="003C6E1E"/>
    <w:rsid w:val="003C7111"/>
    <w:rsid w:val="003C7678"/>
    <w:rsid w:val="003C7C59"/>
    <w:rsid w:val="003D013B"/>
    <w:rsid w:val="003D045A"/>
    <w:rsid w:val="003D0A1E"/>
    <w:rsid w:val="003D1419"/>
    <w:rsid w:val="003D15CF"/>
    <w:rsid w:val="003D19D1"/>
    <w:rsid w:val="003D1EEC"/>
    <w:rsid w:val="003D1F0E"/>
    <w:rsid w:val="003D2060"/>
    <w:rsid w:val="003D24F5"/>
    <w:rsid w:val="003D27CA"/>
    <w:rsid w:val="003D29C1"/>
    <w:rsid w:val="003D2CE6"/>
    <w:rsid w:val="003D34A4"/>
    <w:rsid w:val="003D359A"/>
    <w:rsid w:val="003D39C2"/>
    <w:rsid w:val="003D3A26"/>
    <w:rsid w:val="003D3E76"/>
    <w:rsid w:val="003D46ED"/>
    <w:rsid w:val="003D4CE5"/>
    <w:rsid w:val="003D5420"/>
    <w:rsid w:val="003D5943"/>
    <w:rsid w:val="003D5952"/>
    <w:rsid w:val="003D5BE7"/>
    <w:rsid w:val="003D6151"/>
    <w:rsid w:val="003D66D0"/>
    <w:rsid w:val="003D713F"/>
    <w:rsid w:val="003D7C5F"/>
    <w:rsid w:val="003E002F"/>
    <w:rsid w:val="003E04E8"/>
    <w:rsid w:val="003E066E"/>
    <w:rsid w:val="003E0745"/>
    <w:rsid w:val="003E089E"/>
    <w:rsid w:val="003E0960"/>
    <w:rsid w:val="003E0B24"/>
    <w:rsid w:val="003E132F"/>
    <w:rsid w:val="003E1850"/>
    <w:rsid w:val="003E1AC8"/>
    <w:rsid w:val="003E226C"/>
    <w:rsid w:val="003E239D"/>
    <w:rsid w:val="003E2483"/>
    <w:rsid w:val="003E2502"/>
    <w:rsid w:val="003E252D"/>
    <w:rsid w:val="003E2AC6"/>
    <w:rsid w:val="003E2BB0"/>
    <w:rsid w:val="003E334D"/>
    <w:rsid w:val="003E3515"/>
    <w:rsid w:val="003E3CA0"/>
    <w:rsid w:val="003E50EC"/>
    <w:rsid w:val="003E5504"/>
    <w:rsid w:val="003E56E1"/>
    <w:rsid w:val="003E592F"/>
    <w:rsid w:val="003E5A06"/>
    <w:rsid w:val="003E5A8D"/>
    <w:rsid w:val="003E5BFE"/>
    <w:rsid w:val="003E5C97"/>
    <w:rsid w:val="003E63DE"/>
    <w:rsid w:val="003E6594"/>
    <w:rsid w:val="003E6A82"/>
    <w:rsid w:val="003E70D6"/>
    <w:rsid w:val="003E768B"/>
    <w:rsid w:val="003E777F"/>
    <w:rsid w:val="003F0054"/>
    <w:rsid w:val="003F00D6"/>
    <w:rsid w:val="003F0108"/>
    <w:rsid w:val="003F08B5"/>
    <w:rsid w:val="003F0A77"/>
    <w:rsid w:val="003F145B"/>
    <w:rsid w:val="003F15BE"/>
    <w:rsid w:val="003F1BED"/>
    <w:rsid w:val="003F1E80"/>
    <w:rsid w:val="003F1F0C"/>
    <w:rsid w:val="003F1FD0"/>
    <w:rsid w:val="003F2166"/>
    <w:rsid w:val="003F2275"/>
    <w:rsid w:val="003F2AF1"/>
    <w:rsid w:val="003F2B40"/>
    <w:rsid w:val="003F2B5E"/>
    <w:rsid w:val="003F2C0B"/>
    <w:rsid w:val="003F2CDF"/>
    <w:rsid w:val="003F30D2"/>
    <w:rsid w:val="003F30D9"/>
    <w:rsid w:val="003F3524"/>
    <w:rsid w:val="003F3CB9"/>
    <w:rsid w:val="003F3DB5"/>
    <w:rsid w:val="003F40EC"/>
    <w:rsid w:val="003F41E3"/>
    <w:rsid w:val="003F45A0"/>
    <w:rsid w:val="003F4711"/>
    <w:rsid w:val="003F4CAB"/>
    <w:rsid w:val="003F530B"/>
    <w:rsid w:val="003F5848"/>
    <w:rsid w:val="003F5C7D"/>
    <w:rsid w:val="003F5E7E"/>
    <w:rsid w:val="003F611C"/>
    <w:rsid w:val="003F6143"/>
    <w:rsid w:val="003F6152"/>
    <w:rsid w:val="003F62A9"/>
    <w:rsid w:val="003F6557"/>
    <w:rsid w:val="003F6979"/>
    <w:rsid w:val="003F6BA9"/>
    <w:rsid w:val="003F6FF3"/>
    <w:rsid w:val="003F708E"/>
    <w:rsid w:val="003F7302"/>
    <w:rsid w:val="003F734B"/>
    <w:rsid w:val="003F7829"/>
    <w:rsid w:val="003F7B80"/>
    <w:rsid w:val="003F7C09"/>
    <w:rsid w:val="003F7F8D"/>
    <w:rsid w:val="004000F8"/>
    <w:rsid w:val="004005E0"/>
    <w:rsid w:val="00400845"/>
    <w:rsid w:val="004010C8"/>
    <w:rsid w:val="00401A93"/>
    <w:rsid w:val="00401B1B"/>
    <w:rsid w:val="00401BE6"/>
    <w:rsid w:val="00401C29"/>
    <w:rsid w:val="00401C68"/>
    <w:rsid w:val="00402108"/>
    <w:rsid w:val="0040341A"/>
    <w:rsid w:val="00403560"/>
    <w:rsid w:val="004037BB"/>
    <w:rsid w:val="004038EB"/>
    <w:rsid w:val="00403AFD"/>
    <w:rsid w:val="00404067"/>
    <w:rsid w:val="004040E3"/>
    <w:rsid w:val="00404104"/>
    <w:rsid w:val="00404378"/>
    <w:rsid w:val="004045A6"/>
    <w:rsid w:val="00404A07"/>
    <w:rsid w:val="00404D98"/>
    <w:rsid w:val="00405021"/>
    <w:rsid w:val="0040510A"/>
    <w:rsid w:val="00406612"/>
    <w:rsid w:val="00406780"/>
    <w:rsid w:val="00407101"/>
    <w:rsid w:val="0040723B"/>
    <w:rsid w:val="004074B2"/>
    <w:rsid w:val="004076EA"/>
    <w:rsid w:val="00407855"/>
    <w:rsid w:val="004078B7"/>
    <w:rsid w:val="00410177"/>
    <w:rsid w:val="00410426"/>
    <w:rsid w:val="00410892"/>
    <w:rsid w:val="004108B5"/>
    <w:rsid w:val="00410A71"/>
    <w:rsid w:val="00410D7A"/>
    <w:rsid w:val="004118BC"/>
    <w:rsid w:val="00411A07"/>
    <w:rsid w:val="00411F5B"/>
    <w:rsid w:val="004122CC"/>
    <w:rsid w:val="004122D8"/>
    <w:rsid w:val="004127DF"/>
    <w:rsid w:val="00412F59"/>
    <w:rsid w:val="00413188"/>
    <w:rsid w:val="0041323F"/>
    <w:rsid w:val="0041337C"/>
    <w:rsid w:val="00413583"/>
    <w:rsid w:val="00413AF9"/>
    <w:rsid w:val="00413D6F"/>
    <w:rsid w:val="00413F6E"/>
    <w:rsid w:val="00414087"/>
    <w:rsid w:val="0041444D"/>
    <w:rsid w:val="00414571"/>
    <w:rsid w:val="00414676"/>
    <w:rsid w:val="0041468C"/>
    <w:rsid w:val="00414923"/>
    <w:rsid w:val="004149F1"/>
    <w:rsid w:val="00414FBA"/>
    <w:rsid w:val="0041573D"/>
    <w:rsid w:val="00415B8B"/>
    <w:rsid w:val="00415F60"/>
    <w:rsid w:val="00416082"/>
    <w:rsid w:val="00416235"/>
    <w:rsid w:val="00416349"/>
    <w:rsid w:val="004163A9"/>
    <w:rsid w:val="004163FE"/>
    <w:rsid w:val="004164C7"/>
    <w:rsid w:val="004165B3"/>
    <w:rsid w:val="00416A94"/>
    <w:rsid w:val="00416D5E"/>
    <w:rsid w:val="00416D8D"/>
    <w:rsid w:val="00416DD2"/>
    <w:rsid w:val="00416FAC"/>
    <w:rsid w:val="00417541"/>
    <w:rsid w:val="004177E7"/>
    <w:rsid w:val="00417813"/>
    <w:rsid w:val="00417BCC"/>
    <w:rsid w:val="00420833"/>
    <w:rsid w:val="0042085D"/>
    <w:rsid w:val="00420CD3"/>
    <w:rsid w:val="00420D32"/>
    <w:rsid w:val="00420E17"/>
    <w:rsid w:val="00420F9C"/>
    <w:rsid w:val="0042147C"/>
    <w:rsid w:val="0042166E"/>
    <w:rsid w:val="00421776"/>
    <w:rsid w:val="0042192F"/>
    <w:rsid w:val="00421A19"/>
    <w:rsid w:val="00421AA6"/>
    <w:rsid w:val="00421C02"/>
    <w:rsid w:val="00421CCC"/>
    <w:rsid w:val="00422322"/>
    <w:rsid w:val="00422490"/>
    <w:rsid w:val="00423D89"/>
    <w:rsid w:val="00424242"/>
    <w:rsid w:val="0042455A"/>
    <w:rsid w:val="00424647"/>
    <w:rsid w:val="0042472B"/>
    <w:rsid w:val="0042483E"/>
    <w:rsid w:val="00424CBD"/>
    <w:rsid w:val="00424F3B"/>
    <w:rsid w:val="00425445"/>
    <w:rsid w:val="00425492"/>
    <w:rsid w:val="00425A5A"/>
    <w:rsid w:val="00425ACC"/>
    <w:rsid w:val="0042615B"/>
    <w:rsid w:val="004262B6"/>
    <w:rsid w:val="00426698"/>
    <w:rsid w:val="004268C2"/>
    <w:rsid w:val="00426A2E"/>
    <w:rsid w:val="00426CE0"/>
    <w:rsid w:val="00427135"/>
    <w:rsid w:val="00427799"/>
    <w:rsid w:val="00427ADE"/>
    <w:rsid w:val="00427BD8"/>
    <w:rsid w:val="00427E20"/>
    <w:rsid w:val="00430779"/>
    <w:rsid w:val="00430B0D"/>
    <w:rsid w:val="00430D03"/>
    <w:rsid w:val="00430E54"/>
    <w:rsid w:val="00431350"/>
    <w:rsid w:val="0043143C"/>
    <w:rsid w:val="004318F7"/>
    <w:rsid w:val="004331F3"/>
    <w:rsid w:val="004338D7"/>
    <w:rsid w:val="00433E08"/>
    <w:rsid w:val="00434136"/>
    <w:rsid w:val="00434EEE"/>
    <w:rsid w:val="0043504C"/>
    <w:rsid w:val="004351B3"/>
    <w:rsid w:val="0043617E"/>
    <w:rsid w:val="00436217"/>
    <w:rsid w:val="004368D1"/>
    <w:rsid w:val="00436D9E"/>
    <w:rsid w:val="0043795A"/>
    <w:rsid w:val="00437AB9"/>
    <w:rsid w:val="004401C3"/>
    <w:rsid w:val="004402DE"/>
    <w:rsid w:val="004409C4"/>
    <w:rsid w:val="00440D0C"/>
    <w:rsid w:val="00441D42"/>
    <w:rsid w:val="00441EFB"/>
    <w:rsid w:val="004420E9"/>
    <w:rsid w:val="00442902"/>
    <w:rsid w:val="00442C5B"/>
    <w:rsid w:val="00443757"/>
    <w:rsid w:val="00443BEE"/>
    <w:rsid w:val="00443C8B"/>
    <w:rsid w:val="00444255"/>
    <w:rsid w:val="00444742"/>
    <w:rsid w:val="00444CB5"/>
    <w:rsid w:val="004453C8"/>
    <w:rsid w:val="00445408"/>
    <w:rsid w:val="00445A0B"/>
    <w:rsid w:val="00446666"/>
    <w:rsid w:val="00446A9C"/>
    <w:rsid w:val="00447D97"/>
    <w:rsid w:val="00447EEB"/>
    <w:rsid w:val="00447FC3"/>
    <w:rsid w:val="0045019B"/>
    <w:rsid w:val="00450362"/>
    <w:rsid w:val="0045041E"/>
    <w:rsid w:val="00450480"/>
    <w:rsid w:val="004504AB"/>
    <w:rsid w:val="00450889"/>
    <w:rsid w:val="00450C05"/>
    <w:rsid w:val="00451D53"/>
    <w:rsid w:val="004521CE"/>
    <w:rsid w:val="004522BA"/>
    <w:rsid w:val="00452620"/>
    <w:rsid w:val="004527EE"/>
    <w:rsid w:val="00452972"/>
    <w:rsid w:val="00452AA9"/>
    <w:rsid w:val="004533B9"/>
    <w:rsid w:val="0045363C"/>
    <w:rsid w:val="00453800"/>
    <w:rsid w:val="00453A13"/>
    <w:rsid w:val="00453A5A"/>
    <w:rsid w:val="00453B1A"/>
    <w:rsid w:val="00453E3B"/>
    <w:rsid w:val="00453E75"/>
    <w:rsid w:val="00454235"/>
    <w:rsid w:val="00454677"/>
    <w:rsid w:val="004547AF"/>
    <w:rsid w:val="00454B38"/>
    <w:rsid w:val="004551F1"/>
    <w:rsid w:val="004552BD"/>
    <w:rsid w:val="00455587"/>
    <w:rsid w:val="004558AC"/>
    <w:rsid w:val="004559D6"/>
    <w:rsid w:val="00455B48"/>
    <w:rsid w:val="004560F8"/>
    <w:rsid w:val="00456135"/>
    <w:rsid w:val="004562E4"/>
    <w:rsid w:val="0045639F"/>
    <w:rsid w:val="00456482"/>
    <w:rsid w:val="00456632"/>
    <w:rsid w:val="00457082"/>
    <w:rsid w:val="00457401"/>
    <w:rsid w:val="004576E9"/>
    <w:rsid w:val="00457AE6"/>
    <w:rsid w:val="00457BC0"/>
    <w:rsid w:val="00460469"/>
    <w:rsid w:val="00460505"/>
    <w:rsid w:val="00460C77"/>
    <w:rsid w:val="0046107D"/>
    <w:rsid w:val="0046166F"/>
    <w:rsid w:val="0046185D"/>
    <w:rsid w:val="00461971"/>
    <w:rsid w:val="00461C76"/>
    <w:rsid w:val="00462062"/>
    <w:rsid w:val="004622C2"/>
    <w:rsid w:val="00462BAE"/>
    <w:rsid w:val="004634AB"/>
    <w:rsid w:val="004635CE"/>
    <w:rsid w:val="004641E3"/>
    <w:rsid w:val="00464393"/>
    <w:rsid w:val="00464397"/>
    <w:rsid w:val="00464598"/>
    <w:rsid w:val="0046470B"/>
    <w:rsid w:val="00465211"/>
    <w:rsid w:val="004655B1"/>
    <w:rsid w:val="004655E5"/>
    <w:rsid w:val="004658AA"/>
    <w:rsid w:val="004659B6"/>
    <w:rsid w:val="004659F5"/>
    <w:rsid w:val="00465D8C"/>
    <w:rsid w:val="00465DE2"/>
    <w:rsid w:val="00465DFE"/>
    <w:rsid w:val="0046668C"/>
    <w:rsid w:val="00467342"/>
    <w:rsid w:val="00467490"/>
    <w:rsid w:val="00467529"/>
    <w:rsid w:val="00467695"/>
    <w:rsid w:val="00467C72"/>
    <w:rsid w:val="00467D2D"/>
    <w:rsid w:val="00467EE0"/>
    <w:rsid w:val="00467FE3"/>
    <w:rsid w:val="004705F7"/>
    <w:rsid w:val="004706EE"/>
    <w:rsid w:val="004708EF"/>
    <w:rsid w:val="00470ABF"/>
    <w:rsid w:val="00470D9D"/>
    <w:rsid w:val="004710F1"/>
    <w:rsid w:val="0047114A"/>
    <w:rsid w:val="0047157F"/>
    <w:rsid w:val="00471ACE"/>
    <w:rsid w:val="00471F06"/>
    <w:rsid w:val="004726F1"/>
    <w:rsid w:val="004727C1"/>
    <w:rsid w:val="00472B61"/>
    <w:rsid w:val="004732A1"/>
    <w:rsid w:val="004732DE"/>
    <w:rsid w:val="00473B2A"/>
    <w:rsid w:val="00473BCD"/>
    <w:rsid w:val="004741B2"/>
    <w:rsid w:val="00474BE5"/>
    <w:rsid w:val="00474C54"/>
    <w:rsid w:val="00475432"/>
    <w:rsid w:val="004755A0"/>
    <w:rsid w:val="00475BC5"/>
    <w:rsid w:val="00475D8A"/>
    <w:rsid w:val="00476B10"/>
    <w:rsid w:val="00476F9B"/>
    <w:rsid w:val="0047711F"/>
    <w:rsid w:val="00477188"/>
    <w:rsid w:val="0047743B"/>
    <w:rsid w:val="004778C7"/>
    <w:rsid w:val="00477969"/>
    <w:rsid w:val="004779F5"/>
    <w:rsid w:val="00477EF0"/>
    <w:rsid w:val="00480286"/>
    <w:rsid w:val="0048034A"/>
    <w:rsid w:val="0048053B"/>
    <w:rsid w:val="004809E6"/>
    <w:rsid w:val="00480A7D"/>
    <w:rsid w:val="00480D50"/>
    <w:rsid w:val="00480D67"/>
    <w:rsid w:val="00481765"/>
    <w:rsid w:val="00481807"/>
    <w:rsid w:val="00481D43"/>
    <w:rsid w:val="00481D4B"/>
    <w:rsid w:val="00481DD1"/>
    <w:rsid w:val="0048283F"/>
    <w:rsid w:val="004839A5"/>
    <w:rsid w:val="004839BC"/>
    <w:rsid w:val="00483AC5"/>
    <w:rsid w:val="00483B11"/>
    <w:rsid w:val="00483B75"/>
    <w:rsid w:val="004843AD"/>
    <w:rsid w:val="00484F2F"/>
    <w:rsid w:val="004850B7"/>
    <w:rsid w:val="00485367"/>
    <w:rsid w:val="004859B5"/>
    <w:rsid w:val="00485B6F"/>
    <w:rsid w:val="00485C9E"/>
    <w:rsid w:val="0048609F"/>
    <w:rsid w:val="00486950"/>
    <w:rsid w:val="0048709C"/>
    <w:rsid w:val="004873CD"/>
    <w:rsid w:val="0048776A"/>
    <w:rsid w:val="004877E2"/>
    <w:rsid w:val="00487BFF"/>
    <w:rsid w:val="0049038B"/>
    <w:rsid w:val="0049044C"/>
    <w:rsid w:val="0049124E"/>
    <w:rsid w:val="0049162C"/>
    <w:rsid w:val="00492102"/>
    <w:rsid w:val="004922F3"/>
    <w:rsid w:val="00492641"/>
    <w:rsid w:val="0049278A"/>
    <w:rsid w:val="00492806"/>
    <w:rsid w:val="00492C19"/>
    <w:rsid w:val="00492C6F"/>
    <w:rsid w:val="00492F97"/>
    <w:rsid w:val="00493D3E"/>
    <w:rsid w:val="00493F78"/>
    <w:rsid w:val="00494BD5"/>
    <w:rsid w:val="00494C36"/>
    <w:rsid w:val="00494E25"/>
    <w:rsid w:val="00495258"/>
    <w:rsid w:val="004952B6"/>
    <w:rsid w:val="004954F8"/>
    <w:rsid w:val="0049578B"/>
    <w:rsid w:val="0049618D"/>
    <w:rsid w:val="004969B0"/>
    <w:rsid w:val="00496A78"/>
    <w:rsid w:val="00496F0A"/>
    <w:rsid w:val="0049711A"/>
    <w:rsid w:val="004971CF"/>
    <w:rsid w:val="00497804"/>
    <w:rsid w:val="004978FB"/>
    <w:rsid w:val="00497DF5"/>
    <w:rsid w:val="004A09D0"/>
    <w:rsid w:val="004A0AD5"/>
    <w:rsid w:val="004A0AE0"/>
    <w:rsid w:val="004A126E"/>
    <w:rsid w:val="004A14E0"/>
    <w:rsid w:val="004A15D5"/>
    <w:rsid w:val="004A17ED"/>
    <w:rsid w:val="004A1B78"/>
    <w:rsid w:val="004A284F"/>
    <w:rsid w:val="004A2DA0"/>
    <w:rsid w:val="004A2DA7"/>
    <w:rsid w:val="004A32D3"/>
    <w:rsid w:val="004A3389"/>
    <w:rsid w:val="004A38DB"/>
    <w:rsid w:val="004A38E2"/>
    <w:rsid w:val="004A3BF3"/>
    <w:rsid w:val="004A3F03"/>
    <w:rsid w:val="004A4323"/>
    <w:rsid w:val="004A4378"/>
    <w:rsid w:val="004A49F1"/>
    <w:rsid w:val="004A4A5A"/>
    <w:rsid w:val="004A4EAE"/>
    <w:rsid w:val="004A509C"/>
    <w:rsid w:val="004A5229"/>
    <w:rsid w:val="004A5706"/>
    <w:rsid w:val="004A58BF"/>
    <w:rsid w:val="004A5933"/>
    <w:rsid w:val="004A59D3"/>
    <w:rsid w:val="004A5DFB"/>
    <w:rsid w:val="004A6213"/>
    <w:rsid w:val="004A721E"/>
    <w:rsid w:val="004A7227"/>
    <w:rsid w:val="004A76BB"/>
    <w:rsid w:val="004A7B2D"/>
    <w:rsid w:val="004B036F"/>
    <w:rsid w:val="004B0443"/>
    <w:rsid w:val="004B081E"/>
    <w:rsid w:val="004B08D4"/>
    <w:rsid w:val="004B098D"/>
    <w:rsid w:val="004B157F"/>
    <w:rsid w:val="004B16B7"/>
    <w:rsid w:val="004B1758"/>
    <w:rsid w:val="004B18A2"/>
    <w:rsid w:val="004B1B1A"/>
    <w:rsid w:val="004B288D"/>
    <w:rsid w:val="004B315D"/>
    <w:rsid w:val="004B3DB8"/>
    <w:rsid w:val="004B4050"/>
    <w:rsid w:val="004B4177"/>
    <w:rsid w:val="004B48B6"/>
    <w:rsid w:val="004B4AD3"/>
    <w:rsid w:val="004B4AEB"/>
    <w:rsid w:val="004B4C9E"/>
    <w:rsid w:val="004B4ED1"/>
    <w:rsid w:val="004B51AA"/>
    <w:rsid w:val="004B5D76"/>
    <w:rsid w:val="004B60EA"/>
    <w:rsid w:val="004B6306"/>
    <w:rsid w:val="004B658C"/>
    <w:rsid w:val="004B6AAA"/>
    <w:rsid w:val="004B6B74"/>
    <w:rsid w:val="004B6EC4"/>
    <w:rsid w:val="004B6F4D"/>
    <w:rsid w:val="004B7164"/>
    <w:rsid w:val="004B75C6"/>
    <w:rsid w:val="004B7BFE"/>
    <w:rsid w:val="004B7C5B"/>
    <w:rsid w:val="004B7FC9"/>
    <w:rsid w:val="004B7FFB"/>
    <w:rsid w:val="004C0021"/>
    <w:rsid w:val="004C0058"/>
    <w:rsid w:val="004C02D2"/>
    <w:rsid w:val="004C06A3"/>
    <w:rsid w:val="004C06CA"/>
    <w:rsid w:val="004C06E9"/>
    <w:rsid w:val="004C0CD4"/>
    <w:rsid w:val="004C0D0C"/>
    <w:rsid w:val="004C0E98"/>
    <w:rsid w:val="004C10C6"/>
    <w:rsid w:val="004C1101"/>
    <w:rsid w:val="004C2602"/>
    <w:rsid w:val="004C2BD6"/>
    <w:rsid w:val="004C3074"/>
    <w:rsid w:val="004C3258"/>
    <w:rsid w:val="004C36CA"/>
    <w:rsid w:val="004C3F7D"/>
    <w:rsid w:val="004C41ED"/>
    <w:rsid w:val="004C45B1"/>
    <w:rsid w:val="004C46FE"/>
    <w:rsid w:val="004C4769"/>
    <w:rsid w:val="004C48B1"/>
    <w:rsid w:val="004C4912"/>
    <w:rsid w:val="004C4EFE"/>
    <w:rsid w:val="004C4FE7"/>
    <w:rsid w:val="004C5188"/>
    <w:rsid w:val="004C51A2"/>
    <w:rsid w:val="004C59D2"/>
    <w:rsid w:val="004C5A04"/>
    <w:rsid w:val="004C5A10"/>
    <w:rsid w:val="004C5C0A"/>
    <w:rsid w:val="004C5C84"/>
    <w:rsid w:val="004C6328"/>
    <w:rsid w:val="004C636D"/>
    <w:rsid w:val="004C672A"/>
    <w:rsid w:val="004C6835"/>
    <w:rsid w:val="004C6A80"/>
    <w:rsid w:val="004C6E8E"/>
    <w:rsid w:val="004C6EC1"/>
    <w:rsid w:val="004C7287"/>
    <w:rsid w:val="004C74B5"/>
    <w:rsid w:val="004C7D7A"/>
    <w:rsid w:val="004D0129"/>
    <w:rsid w:val="004D02E3"/>
    <w:rsid w:val="004D1283"/>
    <w:rsid w:val="004D1735"/>
    <w:rsid w:val="004D3589"/>
    <w:rsid w:val="004D3D19"/>
    <w:rsid w:val="004D4026"/>
    <w:rsid w:val="004D43F6"/>
    <w:rsid w:val="004D45B7"/>
    <w:rsid w:val="004D47C5"/>
    <w:rsid w:val="004D49FC"/>
    <w:rsid w:val="004D4C12"/>
    <w:rsid w:val="004D4C9F"/>
    <w:rsid w:val="004D536C"/>
    <w:rsid w:val="004D540F"/>
    <w:rsid w:val="004D5619"/>
    <w:rsid w:val="004D5FA4"/>
    <w:rsid w:val="004D62A3"/>
    <w:rsid w:val="004D6354"/>
    <w:rsid w:val="004D6C68"/>
    <w:rsid w:val="004D6EBE"/>
    <w:rsid w:val="004D6EC4"/>
    <w:rsid w:val="004D7143"/>
    <w:rsid w:val="004D7232"/>
    <w:rsid w:val="004D75C6"/>
    <w:rsid w:val="004D76B7"/>
    <w:rsid w:val="004D79B9"/>
    <w:rsid w:val="004E004D"/>
    <w:rsid w:val="004E081A"/>
    <w:rsid w:val="004E08AA"/>
    <w:rsid w:val="004E0F02"/>
    <w:rsid w:val="004E108D"/>
    <w:rsid w:val="004E1248"/>
    <w:rsid w:val="004E176D"/>
    <w:rsid w:val="004E1844"/>
    <w:rsid w:val="004E2FBF"/>
    <w:rsid w:val="004E34F2"/>
    <w:rsid w:val="004E357A"/>
    <w:rsid w:val="004E3918"/>
    <w:rsid w:val="004E3BE7"/>
    <w:rsid w:val="004E3C5C"/>
    <w:rsid w:val="004E3EBF"/>
    <w:rsid w:val="004E46B7"/>
    <w:rsid w:val="004E4C29"/>
    <w:rsid w:val="004E52D8"/>
    <w:rsid w:val="004E610B"/>
    <w:rsid w:val="004E6232"/>
    <w:rsid w:val="004E63DD"/>
    <w:rsid w:val="004E64D6"/>
    <w:rsid w:val="004E67BF"/>
    <w:rsid w:val="004E69B3"/>
    <w:rsid w:val="004E6C4B"/>
    <w:rsid w:val="004E6EDD"/>
    <w:rsid w:val="004E740D"/>
    <w:rsid w:val="004E7459"/>
    <w:rsid w:val="004E7B12"/>
    <w:rsid w:val="004E7BEF"/>
    <w:rsid w:val="004E7D0D"/>
    <w:rsid w:val="004F0176"/>
    <w:rsid w:val="004F0835"/>
    <w:rsid w:val="004F0B50"/>
    <w:rsid w:val="004F0CFB"/>
    <w:rsid w:val="004F0E2E"/>
    <w:rsid w:val="004F0EDF"/>
    <w:rsid w:val="004F122E"/>
    <w:rsid w:val="004F1571"/>
    <w:rsid w:val="004F1704"/>
    <w:rsid w:val="004F182B"/>
    <w:rsid w:val="004F1E8F"/>
    <w:rsid w:val="004F1F95"/>
    <w:rsid w:val="004F2029"/>
    <w:rsid w:val="004F261A"/>
    <w:rsid w:val="004F281C"/>
    <w:rsid w:val="004F2C62"/>
    <w:rsid w:val="004F2CA6"/>
    <w:rsid w:val="004F31D8"/>
    <w:rsid w:val="004F36A8"/>
    <w:rsid w:val="004F43A7"/>
    <w:rsid w:val="004F4B82"/>
    <w:rsid w:val="004F4DA0"/>
    <w:rsid w:val="004F4FDD"/>
    <w:rsid w:val="004F4FF5"/>
    <w:rsid w:val="004F5051"/>
    <w:rsid w:val="004F50F2"/>
    <w:rsid w:val="004F52B8"/>
    <w:rsid w:val="004F592A"/>
    <w:rsid w:val="004F5DC9"/>
    <w:rsid w:val="004F6026"/>
    <w:rsid w:val="004F63BE"/>
    <w:rsid w:val="004F6546"/>
    <w:rsid w:val="004F6BD7"/>
    <w:rsid w:val="004F6E83"/>
    <w:rsid w:val="004F759C"/>
    <w:rsid w:val="004F7F9C"/>
    <w:rsid w:val="0050039B"/>
    <w:rsid w:val="0050088E"/>
    <w:rsid w:val="00500894"/>
    <w:rsid w:val="00500895"/>
    <w:rsid w:val="00500A44"/>
    <w:rsid w:val="00501467"/>
    <w:rsid w:val="00501543"/>
    <w:rsid w:val="0050166B"/>
    <w:rsid w:val="005018C4"/>
    <w:rsid w:val="00501C50"/>
    <w:rsid w:val="00501F47"/>
    <w:rsid w:val="00502000"/>
    <w:rsid w:val="0050218E"/>
    <w:rsid w:val="00502B11"/>
    <w:rsid w:val="00502DA2"/>
    <w:rsid w:val="00502E3C"/>
    <w:rsid w:val="0050313B"/>
    <w:rsid w:val="00503DF7"/>
    <w:rsid w:val="00504029"/>
    <w:rsid w:val="00504181"/>
    <w:rsid w:val="005041F6"/>
    <w:rsid w:val="00504252"/>
    <w:rsid w:val="00504293"/>
    <w:rsid w:val="00504A62"/>
    <w:rsid w:val="00504E93"/>
    <w:rsid w:val="0050516F"/>
    <w:rsid w:val="0050539F"/>
    <w:rsid w:val="0050574A"/>
    <w:rsid w:val="00505DCA"/>
    <w:rsid w:val="005062C9"/>
    <w:rsid w:val="00506744"/>
    <w:rsid w:val="005069B8"/>
    <w:rsid w:val="00506A1E"/>
    <w:rsid w:val="00506A88"/>
    <w:rsid w:val="00506E36"/>
    <w:rsid w:val="00506E64"/>
    <w:rsid w:val="00506FA0"/>
    <w:rsid w:val="00507139"/>
    <w:rsid w:val="00507C37"/>
    <w:rsid w:val="00507C41"/>
    <w:rsid w:val="0051041C"/>
    <w:rsid w:val="00510803"/>
    <w:rsid w:val="005109BD"/>
    <w:rsid w:val="00510B49"/>
    <w:rsid w:val="00510D99"/>
    <w:rsid w:val="00511249"/>
    <w:rsid w:val="0051169A"/>
    <w:rsid w:val="00511E4F"/>
    <w:rsid w:val="00512150"/>
    <w:rsid w:val="00512606"/>
    <w:rsid w:val="00512BDF"/>
    <w:rsid w:val="005130FE"/>
    <w:rsid w:val="00513221"/>
    <w:rsid w:val="00513980"/>
    <w:rsid w:val="00513CA3"/>
    <w:rsid w:val="00514027"/>
    <w:rsid w:val="00514A68"/>
    <w:rsid w:val="00514CD1"/>
    <w:rsid w:val="00514FB5"/>
    <w:rsid w:val="0051541C"/>
    <w:rsid w:val="005155DD"/>
    <w:rsid w:val="0051572F"/>
    <w:rsid w:val="00515754"/>
    <w:rsid w:val="00515806"/>
    <w:rsid w:val="00515AB9"/>
    <w:rsid w:val="00515C0F"/>
    <w:rsid w:val="0051662A"/>
    <w:rsid w:val="00516AB8"/>
    <w:rsid w:val="00516EAB"/>
    <w:rsid w:val="005170DA"/>
    <w:rsid w:val="00517358"/>
    <w:rsid w:val="005174F4"/>
    <w:rsid w:val="00517E0F"/>
    <w:rsid w:val="00520258"/>
    <w:rsid w:val="00520408"/>
    <w:rsid w:val="0052048E"/>
    <w:rsid w:val="00520560"/>
    <w:rsid w:val="0052069F"/>
    <w:rsid w:val="00520DC3"/>
    <w:rsid w:val="00520E69"/>
    <w:rsid w:val="0052108C"/>
    <w:rsid w:val="0052177F"/>
    <w:rsid w:val="00521C06"/>
    <w:rsid w:val="00521D13"/>
    <w:rsid w:val="00521E02"/>
    <w:rsid w:val="00521E4F"/>
    <w:rsid w:val="00521FF8"/>
    <w:rsid w:val="00522046"/>
    <w:rsid w:val="005220F4"/>
    <w:rsid w:val="005224E7"/>
    <w:rsid w:val="005237CB"/>
    <w:rsid w:val="00523832"/>
    <w:rsid w:val="0052397D"/>
    <w:rsid w:val="00523B20"/>
    <w:rsid w:val="00523D86"/>
    <w:rsid w:val="00524253"/>
    <w:rsid w:val="005245AA"/>
    <w:rsid w:val="00524638"/>
    <w:rsid w:val="005246AD"/>
    <w:rsid w:val="00524771"/>
    <w:rsid w:val="005248F2"/>
    <w:rsid w:val="00524A3D"/>
    <w:rsid w:val="00524AB8"/>
    <w:rsid w:val="00524E5A"/>
    <w:rsid w:val="00524FD2"/>
    <w:rsid w:val="0052576C"/>
    <w:rsid w:val="00526515"/>
    <w:rsid w:val="005269E3"/>
    <w:rsid w:val="00526C97"/>
    <w:rsid w:val="005270D7"/>
    <w:rsid w:val="00527832"/>
    <w:rsid w:val="005301A8"/>
    <w:rsid w:val="005301DC"/>
    <w:rsid w:val="005302DC"/>
    <w:rsid w:val="005303F7"/>
    <w:rsid w:val="00530493"/>
    <w:rsid w:val="00530DF6"/>
    <w:rsid w:val="00530EB7"/>
    <w:rsid w:val="00531128"/>
    <w:rsid w:val="0053131D"/>
    <w:rsid w:val="00531A71"/>
    <w:rsid w:val="00531D55"/>
    <w:rsid w:val="00531E15"/>
    <w:rsid w:val="0053240B"/>
    <w:rsid w:val="00532AEB"/>
    <w:rsid w:val="00532BD5"/>
    <w:rsid w:val="00533155"/>
    <w:rsid w:val="005331BA"/>
    <w:rsid w:val="0053345B"/>
    <w:rsid w:val="00533A4E"/>
    <w:rsid w:val="00533BDE"/>
    <w:rsid w:val="00533EE8"/>
    <w:rsid w:val="00533F17"/>
    <w:rsid w:val="005340B4"/>
    <w:rsid w:val="0053420D"/>
    <w:rsid w:val="0053423D"/>
    <w:rsid w:val="005343F5"/>
    <w:rsid w:val="005344C7"/>
    <w:rsid w:val="00534C2B"/>
    <w:rsid w:val="00534C4B"/>
    <w:rsid w:val="005352B4"/>
    <w:rsid w:val="005354EA"/>
    <w:rsid w:val="00536350"/>
    <w:rsid w:val="00536B2D"/>
    <w:rsid w:val="0053711B"/>
    <w:rsid w:val="00537195"/>
    <w:rsid w:val="005371B7"/>
    <w:rsid w:val="005376FF"/>
    <w:rsid w:val="00537C69"/>
    <w:rsid w:val="00537D26"/>
    <w:rsid w:val="00537E0F"/>
    <w:rsid w:val="005403ED"/>
    <w:rsid w:val="00540595"/>
    <w:rsid w:val="00541161"/>
    <w:rsid w:val="005414AF"/>
    <w:rsid w:val="005415F6"/>
    <w:rsid w:val="00541793"/>
    <w:rsid w:val="00541A2D"/>
    <w:rsid w:val="00541CE4"/>
    <w:rsid w:val="00542390"/>
    <w:rsid w:val="00542FEC"/>
    <w:rsid w:val="00543125"/>
    <w:rsid w:val="005432B5"/>
    <w:rsid w:val="00543A85"/>
    <w:rsid w:val="00543DEC"/>
    <w:rsid w:val="00544529"/>
    <w:rsid w:val="00544576"/>
    <w:rsid w:val="005445D6"/>
    <w:rsid w:val="00544F92"/>
    <w:rsid w:val="005451E5"/>
    <w:rsid w:val="0054547C"/>
    <w:rsid w:val="0054583D"/>
    <w:rsid w:val="00545B54"/>
    <w:rsid w:val="0054648F"/>
    <w:rsid w:val="0054676B"/>
    <w:rsid w:val="00546DC3"/>
    <w:rsid w:val="00546E58"/>
    <w:rsid w:val="00546F82"/>
    <w:rsid w:val="00546FA4"/>
    <w:rsid w:val="00547B63"/>
    <w:rsid w:val="005500EB"/>
    <w:rsid w:val="0055012A"/>
    <w:rsid w:val="005508CE"/>
    <w:rsid w:val="00550A9D"/>
    <w:rsid w:val="00550EC8"/>
    <w:rsid w:val="00551015"/>
    <w:rsid w:val="00551070"/>
    <w:rsid w:val="00551384"/>
    <w:rsid w:val="005515C5"/>
    <w:rsid w:val="00551D3C"/>
    <w:rsid w:val="00552013"/>
    <w:rsid w:val="0055257B"/>
    <w:rsid w:val="0055280E"/>
    <w:rsid w:val="00552AF8"/>
    <w:rsid w:val="00552C32"/>
    <w:rsid w:val="00552DF0"/>
    <w:rsid w:val="00552F27"/>
    <w:rsid w:val="005533D7"/>
    <w:rsid w:val="00553544"/>
    <w:rsid w:val="00553692"/>
    <w:rsid w:val="0055379B"/>
    <w:rsid w:val="0055386C"/>
    <w:rsid w:val="00553E1C"/>
    <w:rsid w:val="00554259"/>
    <w:rsid w:val="00554382"/>
    <w:rsid w:val="005549DA"/>
    <w:rsid w:val="00554D4A"/>
    <w:rsid w:val="00555053"/>
    <w:rsid w:val="005551E5"/>
    <w:rsid w:val="0055549D"/>
    <w:rsid w:val="005557ED"/>
    <w:rsid w:val="005558A9"/>
    <w:rsid w:val="005559F0"/>
    <w:rsid w:val="00556020"/>
    <w:rsid w:val="005564E8"/>
    <w:rsid w:val="005566E5"/>
    <w:rsid w:val="005567B6"/>
    <w:rsid w:val="00556B03"/>
    <w:rsid w:val="00556D80"/>
    <w:rsid w:val="00556DD0"/>
    <w:rsid w:val="00557162"/>
    <w:rsid w:val="00557612"/>
    <w:rsid w:val="00557E17"/>
    <w:rsid w:val="00560083"/>
    <w:rsid w:val="005602B7"/>
    <w:rsid w:val="005605C3"/>
    <w:rsid w:val="00560602"/>
    <w:rsid w:val="0056064E"/>
    <w:rsid w:val="00560B2B"/>
    <w:rsid w:val="0056114E"/>
    <w:rsid w:val="00561222"/>
    <w:rsid w:val="00561757"/>
    <w:rsid w:val="00561A50"/>
    <w:rsid w:val="005620B2"/>
    <w:rsid w:val="00562A11"/>
    <w:rsid w:val="00562C67"/>
    <w:rsid w:val="00562F39"/>
    <w:rsid w:val="005636D6"/>
    <w:rsid w:val="0056397F"/>
    <w:rsid w:val="005639C2"/>
    <w:rsid w:val="00563C85"/>
    <w:rsid w:val="00563EB1"/>
    <w:rsid w:val="00564577"/>
    <w:rsid w:val="00564FF4"/>
    <w:rsid w:val="00565405"/>
    <w:rsid w:val="00565704"/>
    <w:rsid w:val="00565895"/>
    <w:rsid w:val="005658D6"/>
    <w:rsid w:val="0056592B"/>
    <w:rsid w:val="00565BF9"/>
    <w:rsid w:val="00565CD7"/>
    <w:rsid w:val="00565E22"/>
    <w:rsid w:val="0056646D"/>
    <w:rsid w:val="00566864"/>
    <w:rsid w:val="00566C00"/>
    <w:rsid w:val="005671A7"/>
    <w:rsid w:val="00567387"/>
    <w:rsid w:val="00567390"/>
    <w:rsid w:val="005676BC"/>
    <w:rsid w:val="0056777F"/>
    <w:rsid w:val="005677BA"/>
    <w:rsid w:val="00567EB8"/>
    <w:rsid w:val="00570D16"/>
    <w:rsid w:val="005710CC"/>
    <w:rsid w:val="00571430"/>
    <w:rsid w:val="00572179"/>
    <w:rsid w:val="005724E9"/>
    <w:rsid w:val="00572C52"/>
    <w:rsid w:val="00572CA6"/>
    <w:rsid w:val="005731F6"/>
    <w:rsid w:val="00573516"/>
    <w:rsid w:val="005739E6"/>
    <w:rsid w:val="00573A3E"/>
    <w:rsid w:val="0057410D"/>
    <w:rsid w:val="005744BB"/>
    <w:rsid w:val="00574AEA"/>
    <w:rsid w:val="00574CC1"/>
    <w:rsid w:val="005753B6"/>
    <w:rsid w:val="0057548E"/>
    <w:rsid w:val="00575587"/>
    <w:rsid w:val="00575B88"/>
    <w:rsid w:val="00575CAF"/>
    <w:rsid w:val="00575D52"/>
    <w:rsid w:val="0057617A"/>
    <w:rsid w:val="0057617B"/>
    <w:rsid w:val="00576482"/>
    <w:rsid w:val="0057649F"/>
    <w:rsid w:val="00576A9B"/>
    <w:rsid w:val="00576C15"/>
    <w:rsid w:val="00576C38"/>
    <w:rsid w:val="005770AE"/>
    <w:rsid w:val="0057721A"/>
    <w:rsid w:val="005777C3"/>
    <w:rsid w:val="00580423"/>
    <w:rsid w:val="0058044F"/>
    <w:rsid w:val="00580493"/>
    <w:rsid w:val="0058064B"/>
    <w:rsid w:val="00580B43"/>
    <w:rsid w:val="0058118D"/>
    <w:rsid w:val="005812F2"/>
    <w:rsid w:val="00581BEE"/>
    <w:rsid w:val="00581D91"/>
    <w:rsid w:val="005820EA"/>
    <w:rsid w:val="00582B04"/>
    <w:rsid w:val="00582B30"/>
    <w:rsid w:val="00582D80"/>
    <w:rsid w:val="00582F62"/>
    <w:rsid w:val="0058327E"/>
    <w:rsid w:val="00583299"/>
    <w:rsid w:val="005832F0"/>
    <w:rsid w:val="00583633"/>
    <w:rsid w:val="00583813"/>
    <w:rsid w:val="00583966"/>
    <w:rsid w:val="00583C9F"/>
    <w:rsid w:val="00583CEB"/>
    <w:rsid w:val="00583DC6"/>
    <w:rsid w:val="0058450C"/>
    <w:rsid w:val="005847F9"/>
    <w:rsid w:val="00584D1E"/>
    <w:rsid w:val="00584DFE"/>
    <w:rsid w:val="00585030"/>
    <w:rsid w:val="00585101"/>
    <w:rsid w:val="00585164"/>
    <w:rsid w:val="005851AE"/>
    <w:rsid w:val="00585624"/>
    <w:rsid w:val="00585682"/>
    <w:rsid w:val="00585B05"/>
    <w:rsid w:val="00585D6B"/>
    <w:rsid w:val="00585E13"/>
    <w:rsid w:val="00586144"/>
    <w:rsid w:val="00586304"/>
    <w:rsid w:val="005865B2"/>
    <w:rsid w:val="00586722"/>
    <w:rsid w:val="00586F51"/>
    <w:rsid w:val="00587244"/>
    <w:rsid w:val="00587281"/>
    <w:rsid w:val="00587362"/>
    <w:rsid w:val="005873D5"/>
    <w:rsid w:val="00587669"/>
    <w:rsid w:val="0058777F"/>
    <w:rsid w:val="00587883"/>
    <w:rsid w:val="005878A6"/>
    <w:rsid w:val="00587946"/>
    <w:rsid w:val="005879AF"/>
    <w:rsid w:val="005879DD"/>
    <w:rsid w:val="00587D63"/>
    <w:rsid w:val="0059020F"/>
    <w:rsid w:val="00591270"/>
    <w:rsid w:val="005919B7"/>
    <w:rsid w:val="00591B2B"/>
    <w:rsid w:val="00591C0E"/>
    <w:rsid w:val="0059229E"/>
    <w:rsid w:val="005925A3"/>
    <w:rsid w:val="005925AA"/>
    <w:rsid w:val="005926FE"/>
    <w:rsid w:val="00592A15"/>
    <w:rsid w:val="00592C0A"/>
    <w:rsid w:val="00592C73"/>
    <w:rsid w:val="00592C7C"/>
    <w:rsid w:val="00592C87"/>
    <w:rsid w:val="00592CE1"/>
    <w:rsid w:val="00592E91"/>
    <w:rsid w:val="005936CC"/>
    <w:rsid w:val="00593830"/>
    <w:rsid w:val="00593A54"/>
    <w:rsid w:val="00593EE9"/>
    <w:rsid w:val="005940A0"/>
    <w:rsid w:val="0059447B"/>
    <w:rsid w:val="00594750"/>
    <w:rsid w:val="00594C2D"/>
    <w:rsid w:val="00595342"/>
    <w:rsid w:val="005955A3"/>
    <w:rsid w:val="0059567E"/>
    <w:rsid w:val="005958E7"/>
    <w:rsid w:val="00595F71"/>
    <w:rsid w:val="00596139"/>
    <w:rsid w:val="005963AA"/>
    <w:rsid w:val="00596414"/>
    <w:rsid w:val="00596476"/>
    <w:rsid w:val="00596591"/>
    <w:rsid w:val="005968A1"/>
    <w:rsid w:val="0059692B"/>
    <w:rsid w:val="00596A30"/>
    <w:rsid w:val="00596BEE"/>
    <w:rsid w:val="005974F4"/>
    <w:rsid w:val="005975CC"/>
    <w:rsid w:val="005976D0"/>
    <w:rsid w:val="00597AFE"/>
    <w:rsid w:val="005A0159"/>
    <w:rsid w:val="005A02F1"/>
    <w:rsid w:val="005A0A4D"/>
    <w:rsid w:val="005A0AC3"/>
    <w:rsid w:val="005A11EC"/>
    <w:rsid w:val="005A12FE"/>
    <w:rsid w:val="005A143A"/>
    <w:rsid w:val="005A1582"/>
    <w:rsid w:val="005A24BF"/>
    <w:rsid w:val="005A28CA"/>
    <w:rsid w:val="005A2BF1"/>
    <w:rsid w:val="005A2E9B"/>
    <w:rsid w:val="005A2EAA"/>
    <w:rsid w:val="005A3396"/>
    <w:rsid w:val="005A3592"/>
    <w:rsid w:val="005A3673"/>
    <w:rsid w:val="005A3CF5"/>
    <w:rsid w:val="005A4C62"/>
    <w:rsid w:val="005A501D"/>
    <w:rsid w:val="005A50DE"/>
    <w:rsid w:val="005A5126"/>
    <w:rsid w:val="005A5473"/>
    <w:rsid w:val="005A5A7F"/>
    <w:rsid w:val="005A6872"/>
    <w:rsid w:val="005A690C"/>
    <w:rsid w:val="005A6AC7"/>
    <w:rsid w:val="005A761B"/>
    <w:rsid w:val="005A764D"/>
    <w:rsid w:val="005A7784"/>
    <w:rsid w:val="005A7E5E"/>
    <w:rsid w:val="005B0188"/>
    <w:rsid w:val="005B0206"/>
    <w:rsid w:val="005B0263"/>
    <w:rsid w:val="005B03B1"/>
    <w:rsid w:val="005B0A3F"/>
    <w:rsid w:val="005B0C74"/>
    <w:rsid w:val="005B0D4F"/>
    <w:rsid w:val="005B10FA"/>
    <w:rsid w:val="005B1793"/>
    <w:rsid w:val="005B1CA3"/>
    <w:rsid w:val="005B22A5"/>
    <w:rsid w:val="005B2361"/>
    <w:rsid w:val="005B248A"/>
    <w:rsid w:val="005B2537"/>
    <w:rsid w:val="005B26A0"/>
    <w:rsid w:val="005B2BC0"/>
    <w:rsid w:val="005B3509"/>
    <w:rsid w:val="005B3691"/>
    <w:rsid w:val="005B3742"/>
    <w:rsid w:val="005B3947"/>
    <w:rsid w:val="005B4774"/>
    <w:rsid w:val="005B4AAB"/>
    <w:rsid w:val="005B5200"/>
    <w:rsid w:val="005B53F7"/>
    <w:rsid w:val="005B5697"/>
    <w:rsid w:val="005B5E6F"/>
    <w:rsid w:val="005B6323"/>
    <w:rsid w:val="005B639C"/>
    <w:rsid w:val="005B6BF7"/>
    <w:rsid w:val="005B6EB9"/>
    <w:rsid w:val="005B700C"/>
    <w:rsid w:val="005B7020"/>
    <w:rsid w:val="005B713A"/>
    <w:rsid w:val="005B78AD"/>
    <w:rsid w:val="005B7901"/>
    <w:rsid w:val="005B7A8B"/>
    <w:rsid w:val="005B7F43"/>
    <w:rsid w:val="005C0310"/>
    <w:rsid w:val="005C037A"/>
    <w:rsid w:val="005C0689"/>
    <w:rsid w:val="005C086E"/>
    <w:rsid w:val="005C0AC3"/>
    <w:rsid w:val="005C0D73"/>
    <w:rsid w:val="005C11D4"/>
    <w:rsid w:val="005C12C8"/>
    <w:rsid w:val="005C19A1"/>
    <w:rsid w:val="005C22FF"/>
    <w:rsid w:val="005C244A"/>
    <w:rsid w:val="005C3245"/>
    <w:rsid w:val="005C329D"/>
    <w:rsid w:val="005C355E"/>
    <w:rsid w:val="005C3D75"/>
    <w:rsid w:val="005C3FC4"/>
    <w:rsid w:val="005C4BF9"/>
    <w:rsid w:val="005C4C9C"/>
    <w:rsid w:val="005C50E0"/>
    <w:rsid w:val="005C537E"/>
    <w:rsid w:val="005C53EB"/>
    <w:rsid w:val="005C5F2D"/>
    <w:rsid w:val="005C6234"/>
    <w:rsid w:val="005C652C"/>
    <w:rsid w:val="005C6565"/>
    <w:rsid w:val="005C6E73"/>
    <w:rsid w:val="005C7A2B"/>
    <w:rsid w:val="005C7AED"/>
    <w:rsid w:val="005D046B"/>
    <w:rsid w:val="005D0582"/>
    <w:rsid w:val="005D0598"/>
    <w:rsid w:val="005D05E0"/>
    <w:rsid w:val="005D0B42"/>
    <w:rsid w:val="005D0BE5"/>
    <w:rsid w:val="005D1104"/>
    <w:rsid w:val="005D19A4"/>
    <w:rsid w:val="005D1D65"/>
    <w:rsid w:val="005D1E02"/>
    <w:rsid w:val="005D20B1"/>
    <w:rsid w:val="005D21B1"/>
    <w:rsid w:val="005D2507"/>
    <w:rsid w:val="005D2A98"/>
    <w:rsid w:val="005D2DC3"/>
    <w:rsid w:val="005D303F"/>
    <w:rsid w:val="005D32EA"/>
    <w:rsid w:val="005D3634"/>
    <w:rsid w:val="005D3738"/>
    <w:rsid w:val="005D3E9F"/>
    <w:rsid w:val="005D468A"/>
    <w:rsid w:val="005D4B0F"/>
    <w:rsid w:val="005D54D1"/>
    <w:rsid w:val="005D5A53"/>
    <w:rsid w:val="005D5A9F"/>
    <w:rsid w:val="005D5FE2"/>
    <w:rsid w:val="005D621D"/>
    <w:rsid w:val="005D65B6"/>
    <w:rsid w:val="005D670D"/>
    <w:rsid w:val="005D6C3E"/>
    <w:rsid w:val="005D6D20"/>
    <w:rsid w:val="005D6D28"/>
    <w:rsid w:val="005D7007"/>
    <w:rsid w:val="005D788B"/>
    <w:rsid w:val="005D78AE"/>
    <w:rsid w:val="005E0719"/>
    <w:rsid w:val="005E0A38"/>
    <w:rsid w:val="005E1660"/>
    <w:rsid w:val="005E16BC"/>
    <w:rsid w:val="005E1D28"/>
    <w:rsid w:val="005E1FBF"/>
    <w:rsid w:val="005E220B"/>
    <w:rsid w:val="005E2473"/>
    <w:rsid w:val="005E27F5"/>
    <w:rsid w:val="005E377F"/>
    <w:rsid w:val="005E37CB"/>
    <w:rsid w:val="005E3930"/>
    <w:rsid w:val="005E3E75"/>
    <w:rsid w:val="005E45F5"/>
    <w:rsid w:val="005E4ACA"/>
    <w:rsid w:val="005E534D"/>
    <w:rsid w:val="005E5D04"/>
    <w:rsid w:val="005E64F4"/>
    <w:rsid w:val="005E6648"/>
    <w:rsid w:val="005E7110"/>
    <w:rsid w:val="005E73E7"/>
    <w:rsid w:val="005E76FC"/>
    <w:rsid w:val="005E7DE4"/>
    <w:rsid w:val="005F030A"/>
    <w:rsid w:val="005F06B2"/>
    <w:rsid w:val="005F07F7"/>
    <w:rsid w:val="005F09BA"/>
    <w:rsid w:val="005F0A8E"/>
    <w:rsid w:val="005F0C6B"/>
    <w:rsid w:val="005F0FE9"/>
    <w:rsid w:val="005F1765"/>
    <w:rsid w:val="005F1945"/>
    <w:rsid w:val="005F275A"/>
    <w:rsid w:val="005F2771"/>
    <w:rsid w:val="005F2D62"/>
    <w:rsid w:val="005F2E9C"/>
    <w:rsid w:val="005F30C2"/>
    <w:rsid w:val="005F3788"/>
    <w:rsid w:val="005F3BC0"/>
    <w:rsid w:val="005F4351"/>
    <w:rsid w:val="005F4470"/>
    <w:rsid w:val="005F49A7"/>
    <w:rsid w:val="005F4BC7"/>
    <w:rsid w:val="005F551E"/>
    <w:rsid w:val="005F575B"/>
    <w:rsid w:val="005F57EB"/>
    <w:rsid w:val="005F5907"/>
    <w:rsid w:val="005F5CB6"/>
    <w:rsid w:val="005F5D16"/>
    <w:rsid w:val="005F5FE5"/>
    <w:rsid w:val="005F65FA"/>
    <w:rsid w:val="005F6867"/>
    <w:rsid w:val="005F69BD"/>
    <w:rsid w:val="005F6A95"/>
    <w:rsid w:val="005F7343"/>
    <w:rsid w:val="005F7560"/>
    <w:rsid w:val="005F7659"/>
    <w:rsid w:val="005F7E22"/>
    <w:rsid w:val="00600C7A"/>
    <w:rsid w:val="00600F5B"/>
    <w:rsid w:val="006010FC"/>
    <w:rsid w:val="006013C7"/>
    <w:rsid w:val="0060159D"/>
    <w:rsid w:val="006015D1"/>
    <w:rsid w:val="00601799"/>
    <w:rsid w:val="0060199E"/>
    <w:rsid w:val="006019D2"/>
    <w:rsid w:val="00601E5D"/>
    <w:rsid w:val="0060294B"/>
    <w:rsid w:val="00602E42"/>
    <w:rsid w:val="00602EBA"/>
    <w:rsid w:val="0060318D"/>
    <w:rsid w:val="00603289"/>
    <w:rsid w:val="00603B8F"/>
    <w:rsid w:val="0060429C"/>
    <w:rsid w:val="0060466F"/>
    <w:rsid w:val="00605404"/>
    <w:rsid w:val="00605A6E"/>
    <w:rsid w:val="00605BE4"/>
    <w:rsid w:val="00605DCE"/>
    <w:rsid w:val="00605F27"/>
    <w:rsid w:val="006062C3"/>
    <w:rsid w:val="006065A3"/>
    <w:rsid w:val="0060695D"/>
    <w:rsid w:val="00606C5E"/>
    <w:rsid w:val="00606D03"/>
    <w:rsid w:val="0060718D"/>
    <w:rsid w:val="0060743F"/>
    <w:rsid w:val="006077F1"/>
    <w:rsid w:val="00607908"/>
    <w:rsid w:val="00607C08"/>
    <w:rsid w:val="006103B7"/>
    <w:rsid w:val="00610824"/>
    <w:rsid w:val="0061118D"/>
    <w:rsid w:val="00612066"/>
    <w:rsid w:val="006121C1"/>
    <w:rsid w:val="00612550"/>
    <w:rsid w:val="00612814"/>
    <w:rsid w:val="0061281D"/>
    <w:rsid w:val="00612870"/>
    <w:rsid w:val="0061294C"/>
    <w:rsid w:val="00612978"/>
    <w:rsid w:val="00612B7C"/>
    <w:rsid w:val="00612C57"/>
    <w:rsid w:val="00612E14"/>
    <w:rsid w:val="006132F0"/>
    <w:rsid w:val="006134B9"/>
    <w:rsid w:val="00613558"/>
    <w:rsid w:val="006139BA"/>
    <w:rsid w:val="00613A3F"/>
    <w:rsid w:val="00613AA4"/>
    <w:rsid w:val="00613BE5"/>
    <w:rsid w:val="00613E9E"/>
    <w:rsid w:val="00614109"/>
    <w:rsid w:val="006142DE"/>
    <w:rsid w:val="0061498A"/>
    <w:rsid w:val="00614AE9"/>
    <w:rsid w:val="00614F3D"/>
    <w:rsid w:val="006154D9"/>
    <w:rsid w:val="00615DE6"/>
    <w:rsid w:val="00616186"/>
    <w:rsid w:val="006163BC"/>
    <w:rsid w:val="00616409"/>
    <w:rsid w:val="006167DE"/>
    <w:rsid w:val="00616A8E"/>
    <w:rsid w:val="0061701B"/>
    <w:rsid w:val="00617255"/>
    <w:rsid w:val="00617BF6"/>
    <w:rsid w:val="0062001B"/>
    <w:rsid w:val="0062063C"/>
    <w:rsid w:val="00620BA0"/>
    <w:rsid w:val="00621A08"/>
    <w:rsid w:val="00621C88"/>
    <w:rsid w:val="00622197"/>
    <w:rsid w:val="00622220"/>
    <w:rsid w:val="00622847"/>
    <w:rsid w:val="00622856"/>
    <w:rsid w:val="00622B0D"/>
    <w:rsid w:val="00622EDC"/>
    <w:rsid w:val="0062304A"/>
    <w:rsid w:val="00623204"/>
    <w:rsid w:val="00623A5B"/>
    <w:rsid w:val="00624427"/>
    <w:rsid w:val="0062447A"/>
    <w:rsid w:val="00624874"/>
    <w:rsid w:val="00624D02"/>
    <w:rsid w:val="00625513"/>
    <w:rsid w:val="006260FF"/>
    <w:rsid w:val="00626347"/>
    <w:rsid w:val="00626466"/>
    <w:rsid w:val="006267E0"/>
    <w:rsid w:val="00626861"/>
    <w:rsid w:val="00627C74"/>
    <w:rsid w:val="00630060"/>
    <w:rsid w:val="006305CC"/>
    <w:rsid w:val="00630F4D"/>
    <w:rsid w:val="00631045"/>
    <w:rsid w:val="0063126B"/>
    <w:rsid w:val="006313A6"/>
    <w:rsid w:val="00631624"/>
    <w:rsid w:val="006317D6"/>
    <w:rsid w:val="006317F0"/>
    <w:rsid w:val="00631AB7"/>
    <w:rsid w:val="00631CE1"/>
    <w:rsid w:val="00631F39"/>
    <w:rsid w:val="00631F88"/>
    <w:rsid w:val="00632000"/>
    <w:rsid w:val="0063281F"/>
    <w:rsid w:val="00632A42"/>
    <w:rsid w:val="00632B92"/>
    <w:rsid w:val="006335D4"/>
    <w:rsid w:val="00633764"/>
    <w:rsid w:val="0063397B"/>
    <w:rsid w:val="00633CCE"/>
    <w:rsid w:val="00633F01"/>
    <w:rsid w:val="006348D2"/>
    <w:rsid w:val="00634A3F"/>
    <w:rsid w:val="00634BDA"/>
    <w:rsid w:val="00634DCC"/>
    <w:rsid w:val="00634E54"/>
    <w:rsid w:val="006355E1"/>
    <w:rsid w:val="0063585E"/>
    <w:rsid w:val="00635897"/>
    <w:rsid w:val="006364DB"/>
    <w:rsid w:val="006366CD"/>
    <w:rsid w:val="00636A45"/>
    <w:rsid w:val="00636F9E"/>
    <w:rsid w:val="006371FE"/>
    <w:rsid w:val="006379FE"/>
    <w:rsid w:val="00640196"/>
    <w:rsid w:val="00640D6B"/>
    <w:rsid w:val="006413CD"/>
    <w:rsid w:val="006414A1"/>
    <w:rsid w:val="006417F3"/>
    <w:rsid w:val="00641A51"/>
    <w:rsid w:val="00642329"/>
    <w:rsid w:val="00642724"/>
    <w:rsid w:val="00642A23"/>
    <w:rsid w:val="00643A1E"/>
    <w:rsid w:val="00643AA6"/>
    <w:rsid w:val="00643CF1"/>
    <w:rsid w:val="00643EAF"/>
    <w:rsid w:val="00643FF6"/>
    <w:rsid w:val="006440CB"/>
    <w:rsid w:val="006446E6"/>
    <w:rsid w:val="00644713"/>
    <w:rsid w:val="00644944"/>
    <w:rsid w:val="00644F46"/>
    <w:rsid w:val="00644F5B"/>
    <w:rsid w:val="006450DF"/>
    <w:rsid w:val="00645186"/>
    <w:rsid w:val="006454CC"/>
    <w:rsid w:val="00645575"/>
    <w:rsid w:val="006458D6"/>
    <w:rsid w:val="006458F8"/>
    <w:rsid w:val="00645F89"/>
    <w:rsid w:val="00645FD1"/>
    <w:rsid w:val="0064636F"/>
    <w:rsid w:val="00646385"/>
    <w:rsid w:val="006465A7"/>
    <w:rsid w:val="00646663"/>
    <w:rsid w:val="00646AB2"/>
    <w:rsid w:val="00646F4B"/>
    <w:rsid w:val="006470CD"/>
    <w:rsid w:val="006473DB"/>
    <w:rsid w:val="00647612"/>
    <w:rsid w:val="00647900"/>
    <w:rsid w:val="0065010A"/>
    <w:rsid w:val="00650402"/>
    <w:rsid w:val="006511BF"/>
    <w:rsid w:val="0065278A"/>
    <w:rsid w:val="00652E3F"/>
    <w:rsid w:val="00653884"/>
    <w:rsid w:val="00653E10"/>
    <w:rsid w:val="00654626"/>
    <w:rsid w:val="006546FA"/>
    <w:rsid w:val="00654A5D"/>
    <w:rsid w:val="006552FB"/>
    <w:rsid w:val="00655722"/>
    <w:rsid w:val="006560FC"/>
    <w:rsid w:val="006562C1"/>
    <w:rsid w:val="0065669D"/>
    <w:rsid w:val="00657222"/>
    <w:rsid w:val="0065724E"/>
    <w:rsid w:val="0065744D"/>
    <w:rsid w:val="0066016F"/>
    <w:rsid w:val="006604EF"/>
    <w:rsid w:val="0066061E"/>
    <w:rsid w:val="00660A89"/>
    <w:rsid w:val="00660CDC"/>
    <w:rsid w:val="00660D39"/>
    <w:rsid w:val="00660E8C"/>
    <w:rsid w:val="006619D4"/>
    <w:rsid w:val="006619E2"/>
    <w:rsid w:val="00661A1A"/>
    <w:rsid w:val="00661E89"/>
    <w:rsid w:val="00661FF0"/>
    <w:rsid w:val="006620C9"/>
    <w:rsid w:val="006623A3"/>
    <w:rsid w:val="0066256A"/>
    <w:rsid w:val="0066278B"/>
    <w:rsid w:val="00662D73"/>
    <w:rsid w:val="00663076"/>
    <w:rsid w:val="00663630"/>
    <w:rsid w:val="006639F3"/>
    <w:rsid w:val="00663B19"/>
    <w:rsid w:val="00663B2A"/>
    <w:rsid w:val="00663B8A"/>
    <w:rsid w:val="00663CA0"/>
    <w:rsid w:val="00663D02"/>
    <w:rsid w:val="00663F78"/>
    <w:rsid w:val="0066401E"/>
    <w:rsid w:val="006641AF"/>
    <w:rsid w:val="00664254"/>
    <w:rsid w:val="00664336"/>
    <w:rsid w:val="006644FA"/>
    <w:rsid w:val="00664794"/>
    <w:rsid w:val="006647AE"/>
    <w:rsid w:val="006648F0"/>
    <w:rsid w:val="00664B34"/>
    <w:rsid w:val="00664C2D"/>
    <w:rsid w:val="00664F22"/>
    <w:rsid w:val="00665D2B"/>
    <w:rsid w:val="00665EE0"/>
    <w:rsid w:val="00666112"/>
    <w:rsid w:val="00666A9D"/>
    <w:rsid w:val="00666D31"/>
    <w:rsid w:val="00667069"/>
    <w:rsid w:val="0066757D"/>
    <w:rsid w:val="006675E6"/>
    <w:rsid w:val="00667C1B"/>
    <w:rsid w:val="00667ED0"/>
    <w:rsid w:val="00667FB4"/>
    <w:rsid w:val="006703A3"/>
    <w:rsid w:val="00670E48"/>
    <w:rsid w:val="006710E4"/>
    <w:rsid w:val="0067125B"/>
    <w:rsid w:val="006718B4"/>
    <w:rsid w:val="00671924"/>
    <w:rsid w:val="006719E3"/>
    <w:rsid w:val="00671D08"/>
    <w:rsid w:val="00671FDA"/>
    <w:rsid w:val="00672527"/>
    <w:rsid w:val="00672644"/>
    <w:rsid w:val="00672806"/>
    <w:rsid w:val="006729FA"/>
    <w:rsid w:val="00672AB2"/>
    <w:rsid w:val="0067304A"/>
    <w:rsid w:val="006732E9"/>
    <w:rsid w:val="00673327"/>
    <w:rsid w:val="006736C2"/>
    <w:rsid w:val="006736EF"/>
    <w:rsid w:val="00674126"/>
    <w:rsid w:val="00674954"/>
    <w:rsid w:val="00674B69"/>
    <w:rsid w:val="00674BB0"/>
    <w:rsid w:val="00675494"/>
    <w:rsid w:val="006757F5"/>
    <w:rsid w:val="00675991"/>
    <w:rsid w:val="00675B12"/>
    <w:rsid w:val="00676308"/>
    <w:rsid w:val="0067675A"/>
    <w:rsid w:val="006769C2"/>
    <w:rsid w:val="00676A0F"/>
    <w:rsid w:val="00676E9F"/>
    <w:rsid w:val="00677157"/>
    <w:rsid w:val="006774B7"/>
    <w:rsid w:val="006778CB"/>
    <w:rsid w:val="006800AC"/>
    <w:rsid w:val="0068057E"/>
    <w:rsid w:val="00680B25"/>
    <w:rsid w:val="00680FCC"/>
    <w:rsid w:val="006818A9"/>
    <w:rsid w:val="00681B7F"/>
    <w:rsid w:val="00681C4E"/>
    <w:rsid w:val="00681DAF"/>
    <w:rsid w:val="00681DF9"/>
    <w:rsid w:val="006821DB"/>
    <w:rsid w:val="00682579"/>
    <w:rsid w:val="0068345A"/>
    <w:rsid w:val="0068357D"/>
    <w:rsid w:val="0068364B"/>
    <w:rsid w:val="00683C6A"/>
    <w:rsid w:val="006845F5"/>
    <w:rsid w:val="00684603"/>
    <w:rsid w:val="00684F82"/>
    <w:rsid w:val="006852B1"/>
    <w:rsid w:val="006852EB"/>
    <w:rsid w:val="0068548C"/>
    <w:rsid w:val="00685BF6"/>
    <w:rsid w:val="006864FD"/>
    <w:rsid w:val="00686707"/>
    <w:rsid w:val="006867C9"/>
    <w:rsid w:val="0068681A"/>
    <w:rsid w:val="00686A3F"/>
    <w:rsid w:val="00686FC4"/>
    <w:rsid w:val="00687197"/>
    <w:rsid w:val="006872C2"/>
    <w:rsid w:val="00687478"/>
    <w:rsid w:val="006874E9"/>
    <w:rsid w:val="00687C1F"/>
    <w:rsid w:val="00687DD4"/>
    <w:rsid w:val="00690152"/>
    <w:rsid w:val="006901CC"/>
    <w:rsid w:val="006903A0"/>
    <w:rsid w:val="0069058F"/>
    <w:rsid w:val="0069079F"/>
    <w:rsid w:val="00690AD5"/>
    <w:rsid w:val="00690BDC"/>
    <w:rsid w:val="0069139C"/>
    <w:rsid w:val="006914CC"/>
    <w:rsid w:val="006915B5"/>
    <w:rsid w:val="00691BAE"/>
    <w:rsid w:val="00691D03"/>
    <w:rsid w:val="006926C8"/>
    <w:rsid w:val="00692752"/>
    <w:rsid w:val="006927C2"/>
    <w:rsid w:val="00692C93"/>
    <w:rsid w:val="00692D15"/>
    <w:rsid w:val="00692F69"/>
    <w:rsid w:val="00692FBC"/>
    <w:rsid w:val="006931A1"/>
    <w:rsid w:val="00693273"/>
    <w:rsid w:val="00694159"/>
    <w:rsid w:val="006941E9"/>
    <w:rsid w:val="006941FF"/>
    <w:rsid w:val="00694951"/>
    <w:rsid w:val="00694DD4"/>
    <w:rsid w:val="00694DE3"/>
    <w:rsid w:val="00694F19"/>
    <w:rsid w:val="006950C9"/>
    <w:rsid w:val="00695340"/>
    <w:rsid w:val="0069574F"/>
    <w:rsid w:val="00695EBB"/>
    <w:rsid w:val="00695F95"/>
    <w:rsid w:val="00696597"/>
    <w:rsid w:val="00696B57"/>
    <w:rsid w:val="0069713B"/>
    <w:rsid w:val="0069759A"/>
    <w:rsid w:val="006975BE"/>
    <w:rsid w:val="006A0524"/>
    <w:rsid w:val="006A0841"/>
    <w:rsid w:val="006A0856"/>
    <w:rsid w:val="006A0C0C"/>
    <w:rsid w:val="006A1687"/>
    <w:rsid w:val="006A1867"/>
    <w:rsid w:val="006A1BB2"/>
    <w:rsid w:val="006A1CEA"/>
    <w:rsid w:val="006A1F93"/>
    <w:rsid w:val="006A2171"/>
    <w:rsid w:val="006A2725"/>
    <w:rsid w:val="006A2802"/>
    <w:rsid w:val="006A2C83"/>
    <w:rsid w:val="006A2CF7"/>
    <w:rsid w:val="006A2E64"/>
    <w:rsid w:val="006A2FE1"/>
    <w:rsid w:val="006A3642"/>
    <w:rsid w:val="006A4C77"/>
    <w:rsid w:val="006A4D0F"/>
    <w:rsid w:val="006A53AB"/>
    <w:rsid w:val="006A5844"/>
    <w:rsid w:val="006A5C9A"/>
    <w:rsid w:val="006A5E97"/>
    <w:rsid w:val="006A619B"/>
    <w:rsid w:val="006A62DC"/>
    <w:rsid w:val="006A66F4"/>
    <w:rsid w:val="006A7239"/>
    <w:rsid w:val="006A754E"/>
    <w:rsid w:val="006A75E4"/>
    <w:rsid w:val="006A7D24"/>
    <w:rsid w:val="006B10EF"/>
    <w:rsid w:val="006B19B3"/>
    <w:rsid w:val="006B2F09"/>
    <w:rsid w:val="006B308F"/>
    <w:rsid w:val="006B320A"/>
    <w:rsid w:val="006B3335"/>
    <w:rsid w:val="006B3402"/>
    <w:rsid w:val="006B3592"/>
    <w:rsid w:val="006B39BB"/>
    <w:rsid w:val="006B3DA4"/>
    <w:rsid w:val="006B3F81"/>
    <w:rsid w:val="006B41EF"/>
    <w:rsid w:val="006B4227"/>
    <w:rsid w:val="006B4610"/>
    <w:rsid w:val="006B489D"/>
    <w:rsid w:val="006B560B"/>
    <w:rsid w:val="006B5691"/>
    <w:rsid w:val="006B581F"/>
    <w:rsid w:val="006B5C23"/>
    <w:rsid w:val="006B63EE"/>
    <w:rsid w:val="006B649C"/>
    <w:rsid w:val="006B651F"/>
    <w:rsid w:val="006B6594"/>
    <w:rsid w:val="006B6A58"/>
    <w:rsid w:val="006B6C07"/>
    <w:rsid w:val="006B6C36"/>
    <w:rsid w:val="006B6F62"/>
    <w:rsid w:val="006B711A"/>
    <w:rsid w:val="006B748F"/>
    <w:rsid w:val="006B753A"/>
    <w:rsid w:val="006B7660"/>
    <w:rsid w:val="006B7745"/>
    <w:rsid w:val="006B78B3"/>
    <w:rsid w:val="006B7914"/>
    <w:rsid w:val="006B798F"/>
    <w:rsid w:val="006B79F0"/>
    <w:rsid w:val="006B7CE6"/>
    <w:rsid w:val="006B7F3C"/>
    <w:rsid w:val="006C0254"/>
    <w:rsid w:val="006C0887"/>
    <w:rsid w:val="006C09B1"/>
    <w:rsid w:val="006C0C59"/>
    <w:rsid w:val="006C0D43"/>
    <w:rsid w:val="006C0E7E"/>
    <w:rsid w:val="006C15F3"/>
    <w:rsid w:val="006C17A6"/>
    <w:rsid w:val="006C1F5A"/>
    <w:rsid w:val="006C2931"/>
    <w:rsid w:val="006C32A1"/>
    <w:rsid w:val="006C371C"/>
    <w:rsid w:val="006C3A8B"/>
    <w:rsid w:val="006C3F1F"/>
    <w:rsid w:val="006C415A"/>
    <w:rsid w:val="006C4754"/>
    <w:rsid w:val="006C49FB"/>
    <w:rsid w:val="006C529E"/>
    <w:rsid w:val="006C56D3"/>
    <w:rsid w:val="006C5A1E"/>
    <w:rsid w:val="006C5AEA"/>
    <w:rsid w:val="006C5B06"/>
    <w:rsid w:val="006C606F"/>
    <w:rsid w:val="006C6305"/>
    <w:rsid w:val="006C683C"/>
    <w:rsid w:val="006C6D03"/>
    <w:rsid w:val="006C7087"/>
    <w:rsid w:val="006C7185"/>
    <w:rsid w:val="006C73BB"/>
    <w:rsid w:val="006C7F9B"/>
    <w:rsid w:val="006D0231"/>
    <w:rsid w:val="006D109E"/>
    <w:rsid w:val="006D117A"/>
    <w:rsid w:val="006D14B4"/>
    <w:rsid w:val="006D1855"/>
    <w:rsid w:val="006D18C2"/>
    <w:rsid w:val="006D1E56"/>
    <w:rsid w:val="006D20EC"/>
    <w:rsid w:val="006D2C78"/>
    <w:rsid w:val="006D36B8"/>
    <w:rsid w:val="006D36DC"/>
    <w:rsid w:val="006D39F4"/>
    <w:rsid w:val="006D3CC1"/>
    <w:rsid w:val="006D3F02"/>
    <w:rsid w:val="006D4544"/>
    <w:rsid w:val="006D470E"/>
    <w:rsid w:val="006D5261"/>
    <w:rsid w:val="006D54D5"/>
    <w:rsid w:val="006D55F6"/>
    <w:rsid w:val="006D5881"/>
    <w:rsid w:val="006D5B83"/>
    <w:rsid w:val="006D5C58"/>
    <w:rsid w:val="006D5E46"/>
    <w:rsid w:val="006D5F09"/>
    <w:rsid w:val="006D614F"/>
    <w:rsid w:val="006D65A7"/>
    <w:rsid w:val="006D68AC"/>
    <w:rsid w:val="006D6B78"/>
    <w:rsid w:val="006D6CA5"/>
    <w:rsid w:val="006D7454"/>
    <w:rsid w:val="006D776F"/>
    <w:rsid w:val="006D7B9F"/>
    <w:rsid w:val="006D7C7D"/>
    <w:rsid w:val="006D7DC6"/>
    <w:rsid w:val="006D7E8D"/>
    <w:rsid w:val="006D7FAC"/>
    <w:rsid w:val="006E0873"/>
    <w:rsid w:val="006E08E0"/>
    <w:rsid w:val="006E0A3F"/>
    <w:rsid w:val="006E0DDF"/>
    <w:rsid w:val="006E0FE6"/>
    <w:rsid w:val="006E1542"/>
    <w:rsid w:val="006E1679"/>
    <w:rsid w:val="006E198F"/>
    <w:rsid w:val="006E1C2D"/>
    <w:rsid w:val="006E1D84"/>
    <w:rsid w:val="006E1F33"/>
    <w:rsid w:val="006E20A5"/>
    <w:rsid w:val="006E20CE"/>
    <w:rsid w:val="006E2136"/>
    <w:rsid w:val="006E2781"/>
    <w:rsid w:val="006E2911"/>
    <w:rsid w:val="006E2AC4"/>
    <w:rsid w:val="006E2B43"/>
    <w:rsid w:val="006E2B5A"/>
    <w:rsid w:val="006E2C82"/>
    <w:rsid w:val="006E324B"/>
    <w:rsid w:val="006E33F9"/>
    <w:rsid w:val="006E3532"/>
    <w:rsid w:val="006E3988"/>
    <w:rsid w:val="006E3B86"/>
    <w:rsid w:val="006E3BD3"/>
    <w:rsid w:val="006E4442"/>
    <w:rsid w:val="006E4569"/>
    <w:rsid w:val="006E4821"/>
    <w:rsid w:val="006E4F2E"/>
    <w:rsid w:val="006E4FBB"/>
    <w:rsid w:val="006E513D"/>
    <w:rsid w:val="006E5449"/>
    <w:rsid w:val="006E54D5"/>
    <w:rsid w:val="006E570A"/>
    <w:rsid w:val="006E58FB"/>
    <w:rsid w:val="006E5A06"/>
    <w:rsid w:val="006E5BEA"/>
    <w:rsid w:val="006E6AA0"/>
    <w:rsid w:val="006E6B09"/>
    <w:rsid w:val="006E6C83"/>
    <w:rsid w:val="006E718D"/>
    <w:rsid w:val="006E7292"/>
    <w:rsid w:val="006E72B8"/>
    <w:rsid w:val="006E750E"/>
    <w:rsid w:val="006E7C2A"/>
    <w:rsid w:val="006F06B6"/>
    <w:rsid w:val="006F0FC9"/>
    <w:rsid w:val="006F10BF"/>
    <w:rsid w:val="006F1937"/>
    <w:rsid w:val="006F1F67"/>
    <w:rsid w:val="006F1FB0"/>
    <w:rsid w:val="006F2579"/>
    <w:rsid w:val="006F2E09"/>
    <w:rsid w:val="006F2E90"/>
    <w:rsid w:val="006F2FB4"/>
    <w:rsid w:val="006F305F"/>
    <w:rsid w:val="006F38B4"/>
    <w:rsid w:val="006F399D"/>
    <w:rsid w:val="006F3A34"/>
    <w:rsid w:val="006F40DF"/>
    <w:rsid w:val="006F4280"/>
    <w:rsid w:val="006F471F"/>
    <w:rsid w:val="006F496D"/>
    <w:rsid w:val="006F4F42"/>
    <w:rsid w:val="006F4F64"/>
    <w:rsid w:val="006F5A6A"/>
    <w:rsid w:val="006F5B07"/>
    <w:rsid w:val="006F5D7F"/>
    <w:rsid w:val="006F6212"/>
    <w:rsid w:val="006F625F"/>
    <w:rsid w:val="006F62EB"/>
    <w:rsid w:val="006F6A1E"/>
    <w:rsid w:val="006F6A78"/>
    <w:rsid w:val="006F6F44"/>
    <w:rsid w:val="006F75BE"/>
    <w:rsid w:val="006F75D9"/>
    <w:rsid w:val="006F7E8A"/>
    <w:rsid w:val="006F7F9A"/>
    <w:rsid w:val="007000A1"/>
    <w:rsid w:val="007008FD"/>
    <w:rsid w:val="00700C19"/>
    <w:rsid w:val="00700EFE"/>
    <w:rsid w:val="00700FDA"/>
    <w:rsid w:val="00701041"/>
    <w:rsid w:val="00701134"/>
    <w:rsid w:val="00701393"/>
    <w:rsid w:val="00701AE6"/>
    <w:rsid w:val="00701BDF"/>
    <w:rsid w:val="00701D7A"/>
    <w:rsid w:val="00701DAE"/>
    <w:rsid w:val="00701FD0"/>
    <w:rsid w:val="007020D4"/>
    <w:rsid w:val="00702263"/>
    <w:rsid w:val="00702393"/>
    <w:rsid w:val="007027AE"/>
    <w:rsid w:val="007029F1"/>
    <w:rsid w:val="00702E3C"/>
    <w:rsid w:val="0070306F"/>
    <w:rsid w:val="00703071"/>
    <w:rsid w:val="00703403"/>
    <w:rsid w:val="00703950"/>
    <w:rsid w:val="007041E6"/>
    <w:rsid w:val="00704202"/>
    <w:rsid w:val="007043E3"/>
    <w:rsid w:val="00704518"/>
    <w:rsid w:val="0070460D"/>
    <w:rsid w:val="00704FA1"/>
    <w:rsid w:val="00705241"/>
    <w:rsid w:val="00705364"/>
    <w:rsid w:val="00705E2A"/>
    <w:rsid w:val="00706815"/>
    <w:rsid w:val="00706A8F"/>
    <w:rsid w:val="00707086"/>
    <w:rsid w:val="007070CC"/>
    <w:rsid w:val="007073A6"/>
    <w:rsid w:val="007073F3"/>
    <w:rsid w:val="00707657"/>
    <w:rsid w:val="00710368"/>
    <w:rsid w:val="00710744"/>
    <w:rsid w:val="0071077C"/>
    <w:rsid w:val="00710C6F"/>
    <w:rsid w:val="007113A3"/>
    <w:rsid w:val="007116B8"/>
    <w:rsid w:val="0071171A"/>
    <w:rsid w:val="00711A69"/>
    <w:rsid w:val="00711E49"/>
    <w:rsid w:val="007121C4"/>
    <w:rsid w:val="00712491"/>
    <w:rsid w:val="007127CF"/>
    <w:rsid w:val="00712B90"/>
    <w:rsid w:val="00713338"/>
    <w:rsid w:val="00713583"/>
    <w:rsid w:val="00713689"/>
    <w:rsid w:val="00713857"/>
    <w:rsid w:val="007138E7"/>
    <w:rsid w:val="00713D0A"/>
    <w:rsid w:val="00713E5C"/>
    <w:rsid w:val="0071417E"/>
    <w:rsid w:val="0071454A"/>
    <w:rsid w:val="00714645"/>
    <w:rsid w:val="007146AE"/>
    <w:rsid w:val="007147E0"/>
    <w:rsid w:val="0071486A"/>
    <w:rsid w:val="00714EF0"/>
    <w:rsid w:val="0071524C"/>
    <w:rsid w:val="00715282"/>
    <w:rsid w:val="00715505"/>
    <w:rsid w:val="00715F63"/>
    <w:rsid w:val="00716752"/>
    <w:rsid w:val="00716BA0"/>
    <w:rsid w:val="00716D26"/>
    <w:rsid w:val="0071711A"/>
    <w:rsid w:val="00717846"/>
    <w:rsid w:val="00717899"/>
    <w:rsid w:val="00720888"/>
    <w:rsid w:val="00721981"/>
    <w:rsid w:val="007222FD"/>
    <w:rsid w:val="00722334"/>
    <w:rsid w:val="007229B3"/>
    <w:rsid w:val="00722B51"/>
    <w:rsid w:val="00722C07"/>
    <w:rsid w:val="00722D10"/>
    <w:rsid w:val="00722D9D"/>
    <w:rsid w:val="00723279"/>
    <w:rsid w:val="007232D6"/>
    <w:rsid w:val="007233DE"/>
    <w:rsid w:val="00723514"/>
    <w:rsid w:val="00723CC6"/>
    <w:rsid w:val="0072404F"/>
    <w:rsid w:val="00724863"/>
    <w:rsid w:val="007248F4"/>
    <w:rsid w:val="00724ADB"/>
    <w:rsid w:val="00724B54"/>
    <w:rsid w:val="00724BBE"/>
    <w:rsid w:val="007250FB"/>
    <w:rsid w:val="00725612"/>
    <w:rsid w:val="00725B6D"/>
    <w:rsid w:val="00725B88"/>
    <w:rsid w:val="0072608D"/>
    <w:rsid w:val="007266B6"/>
    <w:rsid w:val="00726B29"/>
    <w:rsid w:val="00726E06"/>
    <w:rsid w:val="00727CBB"/>
    <w:rsid w:val="00727DB1"/>
    <w:rsid w:val="0073031F"/>
    <w:rsid w:val="0073053D"/>
    <w:rsid w:val="007308FE"/>
    <w:rsid w:val="00730DE3"/>
    <w:rsid w:val="0073109F"/>
    <w:rsid w:val="00731606"/>
    <w:rsid w:val="007316B2"/>
    <w:rsid w:val="00731720"/>
    <w:rsid w:val="00731AAF"/>
    <w:rsid w:val="00731B7D"/>
    <w:rsid w:val="00732106"/>
    <w:rsid w:val="00732304"/>
    <w:rsid w:val="00732ADA"/>
    <w:rsid w:val="00732D37"/>
    <w:rsid w:val="0073306F"/>
    <w:rsid w:val="0073307E"/>
    <w:rsid w:val="0073330A"/>
    <w:rsid w:val="007334A2"/>
    <w:rsid w:val="007334C0"/>
    <w:rsid w:val="00733A55"/>
    <w:rsid w:val="00733CF1"/>
    <w:rsid w:val="007341AE"/>
    <w:rsid w:val="0073440F"/>
    <w:rsid w:val="00734786"/>
    <w:rsid w:val="00734F12"/>
    <w:rsid w:val="00734FE0"/>
    <w:rsid w:val="007351D0"/>
    <w:rsid w:val="007357B9"/>
    <w:rsid w:val="007357C2"/>
    <w:rsid w:val="007359B9"/>
    <w:rsid w:val="00735E13"/>
    <w:rsid w:val="0073604C"/>
    <w:rsid w:val="00736650"/>
    <w:rsid w:val="0073692C"/>
    <w:rsid w:val="007369C5"/>
    <w:rsid w:val="00736AC5"/>
    <w:rsid w:val="00736CBB"/>
    <w:rsid w:val="00737638"/>
    <w:rsid w:val="00737B22"/>
    <w:rsid w:val="00740388"/>
    <w:rsid w:val="00740486"/>
    <w:rsid w:val="0074070F"/>
    <w:rsid w:val="007407D0"/>
    <w:rsid w:val="00740A94"/>
    <w:rsid w:val="00740EE3"/>
    <w:rsid w:val="00740FB8"/>
    <w:rsid w:val="007412B8"/>
    <w:rsid w:val="007412DE"/>
    <w:rsid w:val="00741421"/>
    <w:rsid w:val="007414C4"/>
    <w:rsid w:val="007416C5"/>
    <w:rsid w:val="00741856"/>
    <w:rsid w:val="007418B7"/>
    <w:rsid w:val="007418DC"/>
    <w:rsid w:val="007419FE"/>
    <w:rsid w:val="007427A7"/>
    <w:rsid w:val="00742F10"/>
    <w:rsid w:val="00742F6F"/>
    <w:rsid w:val="007438B7"/>
    <w:rsid w:val="00743B9E"/>
    <w:rsid w:val="00743EB9"/>
    <w:rsid w:val="00744552"/>
    <w:rsid w:val="007449DF"/>
    <w:rsid w:val="0074527F"/>
    <w:rsid w:val="007457AF"/>
    <w:rsid w:val="007458D0"/>
    <w:rsid w:val="00745CD8"/>
    <w:rsid w:val="00745D11"/>
    <w:rsid w:val="00747085"/>
    <w:rsid w:val="0074781E"/>
    <w:rsid w:val="00747856"/>
    <w:rsid w:val="00747876"/>
    <w:rsid w:val="00747D19"/>
    <w:rsid w:val="00747DD7"/>
    <w:rsid w:val="00750477"/>
    <w:rsid w:val="00750AC0"/>
    <w:rsid w:val="00750B5D"/>
    <w:rsid w:val="00750E91"/>
    <w:rsid w:val="00751638"/>
    <w:rsid w:val="00751932"/>
    <w:rsid w:val="00751D97"/>
    <w:rsid w:val="00751F8E"/>
    <w:rsid w:val="007520DF"/>
    <w:rsid w:val="00752280"/>
    <w:rsid w:val="00752509"/>
    <w:rsid w:val="00752846"/>
    <w:rsid w:val="00752CEF"/>
    <w:rsid w:val="00753228"/>
    <w:rsid w:val="007533CF"/>
    <w:rsid w:val="00753704"/>
    <w:rsid w:val="00753BA7"/>
    <w:rsid w:val="00753D3D"/>
    <w:rsid w:val="00753DF8"/>
    <w:rsid w:val="00754183"/>
    <w:rsid w:val="007541A1"/>
    <w:rsid w:val="007543B1"/>
    <w:rsid w:val="0075452A"/>
    <w:rsid w:val="00754B03"/>
    <w:rsid w:val="00754C37"/>
    <w:rsid w:val="007551B0"/>
    <w:rsid w:val="00755695"/>
    <w:rsid w:val="00755AAF"/>
    <w:rsid w:val="00755D9B"/>
    <w:rsid w:val="00755E6A"/>
    <w:rsid w:val="00755FF7"/>
    <w:rsid w:val="007560C6"/>
    <w:rsid w:val="0075611D"/>
    <w:rsid w:val="00756142"/>
    <w:rsid w:val="007563AD"/>
    <w:rsid w:val="00756871"/>
    <w:rsid w:val="007568D9"/>
    <w:rsid w:val="00756A0F"/>
    <w:rsid w:val="00757362"/>
    <w:rsid w:val="0075757F"/>
    <w:rsid w:val="00757FF9"/>
    <w:rsid w:val="007607E8"/>
    <w:rsid w:val="007608B6"/>
    <w:rsid w:val="007609D6"/>
    <w:rsid w:val="00761E46"/>
    <w:rsid w:val="0076230A"/>
    <w:rsid w:val="00762383"/>
    <w:rsid w:val="00762817"/>
    <w:rsid w:val="00762B24"/>
    <w:rsid w:val="00762B6B"/>
    <w:rsid w:val="00762F90"/>
    <w:rsid w:val="00763106"/>
    <w:rsid w:val="007632F9"/>
    <w:rsid w:val="00763567"/>
    <w:rsid w:val="00763810"/>
    <w:rsid w:val="0076382A"/>
    <w:rsid w:val="00763EAC"/>
    <w:rsid w:val="0076415F"/>
    <w:rsid w:val="00764338"/>
    <w:rsid w:val="007644E4"/>
    <w:rsid w:val="00764577"/>
    <w:rsid w:val="00764F61"/>
    <w:rsid w:val="007655CC"/>
    <w:rsid w:val="00765727"/>
    <w:rsid w:val="0076591A"/>
    <w:rsid w:val="00765BEC"/>
    <w:rsid w:val="00765CAA"/>
    <w:rsid w:val="00766135"/>
    <w:rsid w:val="007664F0"/>
    <w:rsid w:val="00766620"/>
    <w:rsid w:val="0076745B"/>
    <w:rsid w:val="007676D7"/>
    <w:rsid w:val="00767912"/>
    <w:rsid w:val="00770746"/>
    <w:rsid w:val="007709E5"/>
    <w:rsid w:val="00770B99"/>
    <w:rsid w:val="00770C30"/>
    <w:rsid w:val="007713C8"/>
    <w:rsid w:val="00771761"/>
    <w:rsid w:val="00771888"/>
    <w:rsid w:val="00771930"/>
    <w:rsid w:val="0077291C"/>
    <w:rsid w:val="00772C4E"/>
    <w:rsid w:val="00772D77"/>
    <w:rsid w:val="00772F86"/>
    <w:rsid w:val="00773127"/>
    <w:rsid w:val="00773589"/>
    <w:rsid w:val="00773892"/>
    <w:rsid w:val="00773C07"/>
    <w:rsid w:val="00773C8B"/>
    <w:rsid w:val="007743D5"/>
    <w:rsid w:val="00774473"/>
    <w:rsid w:val="00774A18"/>
    <w:rsid w:val="00774DEB"/>
    <w:rsid w:val="0077553D"/>
    <w:rsid w:val="00775545"/>
    <w:rsid w:val="00775676"/>
    <w:rsid w:val="00775D15"/>
    <w:rsid w:val="00775EE8"/>
    <w:rsid w:val="00775F70"/>
    <w:rsid w:val="007762A5"/>
    <w:rsid w:val="0077700B"/>
    <w:rsid w:val="00777047"/>
    <w:rsid w:val="00777070"/>
    <w:rsid w:val="007771C6"/>
    <w:rsid w:val="00777586"/>
    <w:rsid w:val="007775C5"/>
    <w:rsid w:val="007775C7"/>
    <w:rsid w:val="007778D6"/>
    <w:rsid w:val="00777A30"/>
    <w:rsid w:val="00777D3B"/>
    <w:rsid w:val="00777FF4"/>
    <w:rsid w:val="007803E8"/>
    <w:rsid w:val="00780B9D"/>
    <w:rsid w:val="00780CCF"/>
    <w:rsid w:val="00780EA8"/>
    <w:rsid w:val="007817E3"/>
    <w:rsid w:val="007819E8"/>
    <w:rsid w:val="00781A1E"/>
    <w:rsid w:val="00781ACC"/>
    <w:rsid w:val="00781C51"/>
    <w:rsid w:val="00781FA2"/>
    <w:rsid w:val="0078201C"/>
    <w:rsid w:val="00782091"/>
    <w:rsid w:val="007827F2"/>
    <w:rsid w:val="00782E61"/>
    <w:rsid w:val="00783030"/>
    <w:rsid w:val="007831C5"/>
    <w:rsid w:val="00783371"/>
    <w:rsid w:val="0078339D"/>
    <w:rsid w:val="007834DB"/>
    <w:rsid w:val="0078359C"/>
    <w:rsid w:val="00783975"/>
    <w:rsid w:val="00783AAC"/>
    <w:rsid w:val="00783E3C"/>
    <w:rsid w:val="0078486D"/>
    <w:rsid w:val="00784A29"/>
    <w:rsid w:val="00784C54"/>
    <w:rsid w:val="00785598"/>
    <w:rsid w:val="007856D3"/>
    <w:rsid w:val="007856E8"/>
    <w:rsid w:val="007858A1"/>
    <w:rsid w:val="00785BBA"/>
    <w:rsid w:val="0078621A"/>
    <w:rsid w:val="00786B45"/>
    <w:rsid w:val="00786E58"/>
    <w:rsid w:val="00786F4F"/>
    <w:rsid w:val="007873D6"/>
    <w:rsid w:val="007875D8"/>
    <w:rsid w:val="00787679"/>
    <w:rsid w:val="007877C3"/>
    <w:rsid w:val="00787951"/>
    <w:rsid w:val="00787E84"/>
    <w:rsid w:val="0079000B"/>
    <w:rsid w:val="007903CD"/>
    <w:rsid w:val="00790727"/>
    <w:rsid w:val="007907DA"/>
    <w:rsid w:val="007908B7"/>
    <w:rsid w:val="0079090C"/>
    <w:rsid w:val="00791213"/>
    <w:rsid w:val="007912EA"/>
    <w:rsid w:val="007916C5"/>
    <w:rsid w:val="00791701"/>
    <w:rsid w:val="0079175F"/>
    <w:rsid w:val="007918A1"/>
    <w:rsid w:val="00791B77"/>
    <w:rsid w:val="00791D28"/>
    <w:rsid w:val="00791DBD"/>
    <w:rsid w:val="0079235D"/>
    <w:rsid w:val="0079253B"/>
    <w:rsid w:val="00792569"/>
    <w:rsid w:val="00792A86"/>
    <w:rsid w:val="00792CF4"/>
    <w:rsid w:val="0079364D"/>
    <w:rsid w:val="007936F8"/>
    <w:rsid w:val="00793804"/>
    <w:rsid w:val="0079391A"/>
    <w:rsid w:val="00794734"/>
    <w:rsid w:val="00794B69"/>
    <w:rsid w:val="00794BDE"/>
    <w:rsid w:val="00794CFC"/>
    <w:rsid w:val="00794E64"/>
    <w:rsid w:val="00795231"/>
    <w:rsid w:val="007958B0"/>
    <w:rsid w:val="00795AEC"/>
    <w:rsid w:val="00795C3C"/>
    <w:rsid w:val="00795CA6"/>
    <w:rsid w:val="00796301"/>
    <w:rsid w:val="00796697"/>
    <w:rsid w:val="00796791"/>
    <w:rsid w:val="00796A78"/>
    <w:rsid w:val="00796E47"/>
    <w:rsid w:val="007971A1"/>
    <w:rsid w:val="007971A7"/>
    <w:rsid w:val="0079728B"/>
    <w:rsid w:val="007976B4"/>
    <w:rsid w:val="007977FC"/>
    <w:rsid w:val="00797CEE"/>
    <w:rsid w:val="007A031D"/>
    <w:rsid w:val="007A032B"/>
    <w:rsid w:val="007A0516"/>
    <w:rsid w:val="007A0544"/>
    <w:rsid w:val="007A09DB"/>
    <w:rsid w:val="007A0DD5"/>
    <w:rsid w:val="007A0E54"/>
    <w:rsid w:val="007A0E65"/>
    <w:rsid w:val="007A0EB8"/>
    <w:rsid w:val="007A13BB"/>
    <w:rsid w:val="007A18F1"/>
    <w:rsid w:val="007A1F49"/>
    <w:rsid w:val="007A1FF6"/>
    <w:rsid w:val="007A24BB"/>
    <w:rsid w:val="007A25F4"/>
    <w:rsid w:val="007A2851"/>
    <w:rsid w:val="007A28A4"/>
    <w:rsid w:val="007A290C"/>
    <w:rsid w:val="007A2B45"/>
    <w:rsid w:val="007A2B61"/>
    <w:rsid w:val="007A2D07"/>
    <w:rsid w:val="007A2D5B"/>
    <w:rsid w:val="007A2D8A"/>
    <w:rsid w:val="007A2F10"/>
    <w:rsid w:val="007A2FCA"/>
    <w:rsid w:val="007A30AA"/>
    <w:rsid w:val="007A322E"/>
    <w:rsid w:val="007A32E3"/>
    <w:rsid w:val="007A35EF"/>
    <w:rsid w:val="007A367E"/>
    <w:rsid w:val="007A37FA"/>
    <w:rsid w:val="007A3977"/>
    <w:rsid w:val="007A3A0F"/>
    <w:rsid w:val="007A3E57"/>
    <w:rsid w:val="007A3FC8"/>
    <w:rsid w:val="007A456F"/>
    <w:rsid w:val="007A58E5"/>
    <w:rsid w:val="007A5A98"/>
    <w:rsid w:val="007A5C16"/>
    <w:rsid w:val="007A62CD"/>
    <w:rsid w:val="007A65F7"/>
    <w:rsid w:val="007A6772"/>
    <w:rsid w:val="007A6C81"/>
    <w:rsid w:val="007A6D60"/>
    <w:rsid w:val="007A6EF3"/>
    <w:rsid w:val="007A70FF"/>
    <w:rsid w:val="007A72CA"/>
    <w:rsid w:val="007B0215"/>
    <w:rsid w:val="007B0267"/>
    <w:rsid w:val="007B1048"/>
    <w:rsid w:val="007B1145"/>
    <w:rsid w:val="007B15D7"/>
    <w:rsid w:val="007B17E3"/>
    <w:rsid w:val="007B1801"/>
    <w:rsid w:val="007B1865"/>
    <w:rsid w:val="007B1B16"/>
    <w:rsid w:val="007B1F08"/>
    <w:rsid w:val="007B27DF"/>
    <w:rsid w:val="007B2B3A"/>
    <w:rsid w:val="007B2D36"/>
    <w:rsid w:val="007B2E5A"/>
    <w:rsid w:val="007B2FAA"/>
    <w:rsid w:val="007B30C0"/>
    <w:rsid w:val="007B32A3"/>
    <w:rsid w:val="007B3601"/>
    <w:rsid w:val="007B3933"/>
    <w:rsid w:val="007B3EE6"/>
    <w:rsid w:val="007B3F24"/>
    <w:rsid w:val="007B4029"/>
    <w:rsid w:val="007B45F2"/>
    <w:rsid w:val="007B471D"/>
    <w:rsid w:val="007B47C6"/>
    <w:rsid w:val="007B4A9B"/>
    <w:rsid w:val="007B4BB3"/>
    <w:rsid w:val="007B4BC1"/>
    <w:rsid w:val="007B4DE0"/>
    <w:rsid w:val="007B5435"/>
    <w:rsid w:val="007B57E5"/>
    <w:rsid w:val="007B581A"/>
    <w:rsid w:val="007B5EA2"/>
    <w:rsid w:val="007B5F3F"/>
    <w:rsid w:val="007B65B1"/>
    <w:rsid w:val="007B677A"/>
    <w:rsid w:val="007B6F82"/>
    <w:rsid w:val="007B70F6"/>
    <w:rsid w:val="007B7190"/>
    <w:rsid w:val="007B729B"/>
    <w:rsid w:val="007B7706"/>
    <w:rsid w:val="007B7829"/>
    <w:rsid w:val="007B795B"/>
    <w:rsid w:val="007B79FC"/>
    <w:rsid w:val="007C02FA"/>
    <w:rsid w:val="007C04DD"/>
    <w:rsid w:val="007C0A75"/>
    <w:rsid w:val="007C0B75"/>
    <w:rsid w:val="007C1187"/>
    <w:rsid w:val="007C15BD"/>
    <w:rsid w:val="007C15CA"/>
    <w:rsid w:val="007C26D7"/>
    <w:rsid w:val="007C2E31"/>
    <w:rsid w:val="007C2FD1"/>
    <w:rsid w:val="007C3BFE"/>
    <w:rsid w:val="007C3D7A"/>
    <w:rsid w:val="007C3F03"/>
    <w:rsid w:val="007C4141"/>
    <w:rsid w:val="007C454E"/>
    <w:rsid w:val="007C4C50"/>
    <w:rsid w:val="007C4EF9"/>
    <w:rsid w:val="007C4FE5"/>
    <w:rsid w:val="007C51F7"/>
    <w:rsid w:val="007C58E6"/>
    <w:rsid w:val="007C5AAE"/>
    <w:rsid w:val="007C5F77"/>
    <w:rsid w:val="007C699D"/>
    <w:rsid w:val="007C6C89"/>
    <w:rsid w:val="007C6FEA"/>
    <w:rsid w:val="007C754D"/>
    <w:rsid w:val="007C77D4"/>
    <w:rsid w:val="007C7CF4"/>
    <w:rsid w:val="007C7D1B"/>
    <w:rsid w:val="007D00CA"/>
    <w:rsid w:val="007D08F1"/>
    <w:rsid w:val="007D0952"/>
    <w:rsid w:val="007D0CFD"/>
    <w:rsid w:val="007D172A"/>
    <w:rsid w:val="007D1A0E"/>
    <w:rsid w:val="007D1A2B"/>
    <w:rsid w:val="007D1C15"/>
    <w:rsid w:val="007D1F6B"/>
    <w:rsid w:val="007D21CA"/>
    <w:rsid w:val="007D292D"/>
    <w:rsid w:val="007D2A94"/>
    <w:rsid w:val="007D2AEC"/>
    <w:rsid w:val="007D2DA5"/>
    <w:rsid w:val="007D30FF"/>
    <w:rsid w:val="007D31C9"/>
    <w:rsid w:val="007D3373"/>
    <w:rsid w:val="007D3913"/>
    <w:rsid w:val="007D3C97"/>
    <w:rsid w:val="007D3CCD"/>
    <w:rsid w:val="007D4122"/>
    <w:rsid w:val="007D4B70"/>
    <w:rsid w:val="007D548E"/>
    <w:rsid w:val="007D54A6"/>
    <w:rsid w:val="007D5703"/>
    <w:rsid w:val="007D5871"/>
    <w:rsid w:val="007D5A5E"/>
    <w:rsid w:val="007D5C64"/>
    <w:rsid w:val="007D5F1C"/>
    <w:rsid w:val="007D6023"/>
    <w:rsid w:val="007D620E"/>
    <w:rsid w:val="007D6512"/>
    <w:rsid w:val="007D656C"/>
    <w:rsid w:val="007D6857"/>
    <w:rsid w:val="007D6BDC"/>
    <w:rsid w:val="007D704C"/>
    <w:rsid w:val="007D721B"/>
    <w:rsid w:val="007D7A1B"/>
    <w:rsid w:val="007D7A67"/>
    <w:rsid w:val="007D7C7D"/>
    <w:rsid w:val="007D7EC5"/>
    <w:rsid w:val="007E0263"/>
    <w:rsid w:val="007E0682"/>
    <w:rsid w:val="007E0B59"/>
    <w:rsid w:val="007E0CC1"/>
    <w:rsid w:val="007E0EFD"/>
    <w:rsid w:val="007E1657"/>
    <w:rsid w:val="007E1721"/>
    <w:rsid w:val="007E17EE"/>
    <w:rsid w:val="007E1D8D"/>
    <w:rsid w:val="007E1DD8"/>
    <w:rsid w:val="007E2436"/>
    <w:rsid w:val="007E2952"/>
    <w:rsid w:val="007E2959"/>
    <w:rsid w:val="007E29F9"/>
    <w:rsid w:val="007E2C29"/>
    <w:rsid w:val="007E2EB3"/>
    <w:rsid w:val="007E2EDC"/>
    <w:rsid w:val="007E3431"/>
    <w:rsid w:val="007E34A1"/>
    <w:rsid w:val="007E3B7C"/>
    <w:rsid w:val="007E3FD7"/>
    <w:rsid w:val="007E4339"/>
    <w:rsid w:val="007E474A"/>
    <w:rsid w:val="007E47BB"/>
    <w:rsid w:val="007E47F4"/>
    <w:rsid w:val="007E4C5A"/>
    <w:rsid w:val="007E524A"/>
    <w:rsid w:val="007E56D2"/>
    <w:rsid w:val="007E57F1"/>
    <w:rsid w:val="007E5A53"/>
    <w:rsid w:val="007E5EA1"/>
    <w:rsid w:val="007E6452"/>
    <w:rsid w:val="007E7161"/>
    <w:rsid w:val="007E7614"/>
    <w:rsid w:val="007E78E0"/>
    <w:rsid w:val="007E7936"/>
    <w:rsid w:val="007F02E7"/>
    <w:rsid w:val="007F0393"/>
    <w:rsid w:val="007F0F23"/>
    <w:rsid w:val="007F100A"/>
    <w:rsid w:val="007F17E0"/>
    <w:rsid w:val="007F1F8B"/>
    <w:rsid w:val="007F2850"/>
    <w:rsid w:val="007F2EA5"/>
    <w:rsid w:val="007F2F8B"/>
    <w:rsid w:val="007F30DA"/>
    <w:rsid w:val="007F3520"/>
    <w:rsid w:val="007F3B44"/>
    <w:rsid w:val="007F3C94"/>
    <w:rsid w:val="007F3E0A"/>
    <w:rsid w:val="007F401D"/>
    <w:rsid w:val="007F41EE"/>
    <w:rsid w:val="007F45AA"/>
    <w:rsid w:val="007F4B7B"/>
    <w:rsid w:val="007F4BED"/>
    <w:rsid w:val="007F4D99"/>
    <w:rsid w:val="007F4EEF"/>
    <w:rsid w:val="007F51F6"/>
    <w:rsid w:val="007F524E"/>
    <w:rsid w:val="007F58F6"/>
    <w:rsid w:val="007F5DB2"/>
    <w:rsid w:val="007F63AA"/>
    <w:rsid w:val="007F649C"/>
    <w:rsid w:val="007F6C6D"/>
    <w:rsid w:val="007F7212"/>
    <w:rsid w:val="007F7926"/>
    <w:rsid w:val="007F7ABD"/>
    <w:rsid w:val="007F7FD2"/>
    <w:rsid w:val="008000E9"/>
    <w:rsid w:val="00801645"/>
    <w:rsid w:val="0080176A"/>
    <w:rsid w:val="00801B49"/>
    <w:rsid w:val="00802059"/>
    <w:rsid w:val="00802651"/>
    <w:rsid w:val="008028CA"/>
    <w:rsid w:val="00802976"/>
    <w:rsid w:val="00803002"/>
    <w:rsid w:val="00803E0D"/>
    <w:rsid w:val="008040B8"/>
    <w:rsid w:val="0080473D"/>
    <w:rsid w:val="00804742"/>
    <w:rsid w:val="008048CF"/>
    <w:rsid w:val="008049EA"/>
    <w:rsid w:val="00804BD8"/>
    <w:rsid w:val="00804C9E"/>
    <w:rsid w:val="00804CE4"/>
    <w:rsid w:val="00804FED"/>
    <w:rsid w:val="00805081"/>
    <w:rsid w:val="0080529A"/>
    <w:rsid w:val="00805344"/>
    <w:rsid w:val="008053C6"/>
    <w:rsid w:val="00806361"/>
    <w:rsid w:val="00806C1E"/>
    <w:rsid w:val="00806E5E"/>
    <w:rsid w:val="00806FBC"/>
    <w:rsid w:val="00807726"/>
    <w:rsid w:val="00807C32"/>
    <w:rsid w:val="00807DCB"/>
    <w:rsid w:val="00807F3A"/>
    <w:rsid w:val="00810032"/>
    <w:rsid w:val="0081019A"/>
    <w:rsid w:val="00810418"/>
    <w:rsid w:val="00810467"/>
    <w:rsid w:val="00810BB4"/>
    <w:rsid w:val="00810D52"/>
    <w:rsid w:val="00810DD6"/>
    <w:rsid w:val="00811884"/>
    <w:rsid w:val="00811A93"/>
    <w:rsid w:val="00811B9B"/>
    <w:rsid w:val="00811FD9"/>
    <w:rsid w:val="00812250"/>
    <w:rsid w:val="008127FC"/>
    <w:rsid w:val="00812ADD"/>
    <w:rsid w:val="00812E1D"/>
    <w:rsid w:val="00812FA4"/>
    <w:rsid w:val="00813110"/>
    <w:rsid w:val="008131EB"/>
    <w:rsid w:val="00813D1A"/>
    <w:rsid w:val="00813E7B"/>
    <w:rsid w:val="00813EB3"/>
    <w:rsid w:val="00814178"/>
    <w:rsid w:val="0081427B"/>
    <w:rsid w:val="008142C6"/>
    <w:rsid w:val="00814879"/>
    <w:rsid w:val="00814A73"/>
    <w:rsid w:val="008150AF"/>
    <w:rsid w:val="008153BD"/>
    <w:rsid w:val="008157DB"/>
    <w:rsid w:val="008158DC"/>
    <w:rsid w:val="008159F9"/>
    <w:rsid w:val="00815D92"/>
    <w:rsid w:val="00816231"/>
    <w:rsid w:val="008162BB"/>
    <w:rsid w:val="0081672E"/>
    <w:rsid w:val="00816CC4"/>
    <w:rsid w:val="008176A5"/>
    <w:rsid w:val="008177DD"/>
    <w:rsid w:val="00817D20"/>
    <w:rsid w:val="00820188"/>
    <w:rsid w:val="00820249"/>
    <w:rsid w:val="008209A5"/>
    <w:rsid w:val="0082109B"/>
    <w:rsid w:val="00821186"/>
    <w:rsid w:val="008216C5"/>
    <w:rsid w:val="00821810"/>
    <w:rsid w:val="00821849"/>
    <w:rsid w:val="00822278"/>
    <w:rsid w:val="008222F4"/>
    <w:rsid w:val="0082233D"/>
    <w:rsid w:val="0082280E"/>
    <w:rsid w:val="008230F2"/>
    <w:rsid w:val="008235F7"/>
    <w:rsid w:val="00823800"/>
    <w:rsid w:val="00823EA9"/>
    <w:rsid w:val="0082413A"/>
    <w:rsid w:val="00824808"/>
    <w:rsid w:val="00824914"/>
    <w:rsid w:val="00824C26"/>
    <w:rsid w:val="00825B81"/>
    <w:rsid w:val="00825CC2"/>
    <w:rsid w:val="008267A6"/>
    <w:rsid w:val="0082686B"/>
    <w:rsid w:val="008268A6"/>
    <w:rsid w:val="008271DE"/>
    <w:rsid w:val="008274D8"/>
    <w:rsid w:val="00827678"/>
    <w:rsid w:val="008276C6"/>
    <w:rsid w:val="00827C51"/>
    <w:rsid w:val="00827CC1"/>
    <w:rsid w:val="00827E71"/>
    <w:rsid w:val="00827F43"/>
    <w:rsid w:val="00827FF7"/>
    <w:rsid w:val="00830290"/>
    <w:rsid w:val="00830661"/>
    <w:rsid w:val="008308A1"/>
    <w:rsid w:val="00830C32"/>
    <w:rsid w:val="00830ECE"/>
    <w:rsid w:val="008312C1"/>
    <w:rsid w:val="00831382"/>
    <w:rsid w:val="0083139B"/>
    <w:rsid w:val="00831B75"/>
    <w:rsid w:val="0083221D"/>
    <w:rsid w:val="0083271F"/>
    <w:rsid w:val="00832D2E"/>
    <w:rsid w:val="00832D8F"/>
    <w:rsid w:val="00833357"/>
    <w:rsid w:val="00833616"/>
    <w:rsid w:val="00834150"/>
    <w:rsid w:val="00834203"/>
    <w:rsid w:val="00834B62"/>
    <w:rsid w:val="00835649"/>
    <w:rsid w:val="00835840"/>
    <w:rsid w:val="008358A5"/>
    <w:rsid w:val="00835EC4"/>
    <w:rsid w:val="00837460"/>
    <w:rsid w:val="008374B8"/>
    <w:rsid w:val="00837722"/>
    <w:rsid w:val="00837802"/>
    <w:rsid w:val="00837945"/>
    <w:rsid w:val="008379BF"/>
    <w:rsid w:val="00837C4B"/>
    <w:rsid w:val="00837E39"/>
    <w:rsid w:val="00837FD6"/>
    <w:rsid w:val="0084092F"/>
    <w:rsid w:val="0084197B"/>
    <w:rsid w:val="0084245B"/>
    <w:rsid w:val="00842950"/>
    <w:rsid w:val="00842DB5"/>
    <w:rsid w:val="00842EF0"/>
    <w:rsid w:val="00843077"/>
    <w:rsid w:val="0084312A"/>
    <w:rsid w:val="00843A63"/>
    <w:rsid w:val="00843EBC"/>
    <w:rsid w:val="0084401C"/>
    <w:rsid w:val="00844612"/>
    <w:rsid w:val="008447C3"/>
    <w:rsid w:val="00844FEC"/>
    <w:rsid w:val="008452D9"/>
    <w:rsid w:val="008453A5"/>
    <w:rsid w:val="00845AAE"/>
    <w:rsid w:val="00845BFF"/>
    <w:rsid w:val="008462D8"/>
    <w:rsid w:val="008464A0"/>
    <w:rsid w:val="0084692A"/>
    <w:rsid w:val="00846CDB"/>
    <w:rsid w:val="00846D9E"/>
    <w:rsid w:val="0084727E"/>
    <w:rsid w:val="00847349"/>
    <w:rsid w:val="00847736"/>
    <w:rsid w:val="00847BD6"/>
    <w:rsid w:val="00847EBD"/>
    <w:rsid w:val="00850114"/>
    <w:rsid w:val="008503F3"/>
    <w:rsid w:val="0085043B"/>
    <w:rsid w:val="00850766"/>
    <w:rsid w:val="00850795"/>
    <w:rsid w:val="00850BCA"/>
    <w:rsid w:val="00850E86"/>
    <w:rsid w:val="00851019"/>
    <w:rsid w:val="00851503"/>
    <w:rsid w:val="0085174B"/>
    <w:rsid w:val="008518C6"/>
    <w:rsid w:val="00851D8D"/>
    <w:rsid w:val="00852803"/>
    <w:rsid w:val="00852AE1"/>
    <w:rsid w:val="00853154"/>
    <w:rsid w:val="0085335A"/>
    <w:rsid w:val="008533C7"/>
    <w:rsid w:val="00853426"/>
    <w:rsid w:val="00853BEB"/>
    <w:rsid w:val="0085428A"/>
    <w:rsid w:val="008544D4"/>
    <w:rsid w:val="00854B1A"/>
    <w:rsid w:val="00854B60"/>
    <w:rsid w:val="0085521E"/>
    <w:rsid w:val="00855A0E"/>
    <w:rsid w:val="00855A8D"/>
    <w:rsid w:val="00855CE6"/>
    <w:rsid w:val="00855F6F"/>
    <w:rsid w:val="00855FD0"/>
    <w:rsid w:val="00856261"/>
    <w:rsid w:val="00856657"/>
    <w:rsid w:val="00856BC5"/>
    <w:rsid w:val="00856BF3"/>
    <w:rsid w:val="00856EB1"/>
    <w:rsid w:val="00856FB5"/>
    <w:rsid w:val="0085729C"/>
    <w:rsid w:val="00857375"/>
    <w:rsid w:val="008573E2"/>
    <w:rsid w:val="008575C4"/>
    <w:rsid w:val="0085769C"/>
    <w:rsid w:val="008577E0"/>
    <w:rsid w:val="008578E0"/>
    <w:rsid w:val="00857CBB"/>
    <w:rsid w:val="00857CEB"/>
    <w:rsid w:val="00860FAE"/>
    <w:rsid w:val="008610E8"/>
    <w:rsid w:val="00861904"/>
    <w:rsid w:val="00861970"/>
    <w:rsid w:val="008619A0"/>
    <w:rsid w:val="00861A17"/>
    <w:rsid w:val="00861F06"/>
    <w:rsid w:val="00862074"/>
    <w:rsid w:val="008625F3"/>
    <w:rsid w:val="00863234"/>
    <w:rsid w:val="00863812"/>
    <w:rsid w:val="00863946"/>
    <w:rsid w:val="00863E70"/>
    <w:rsid w:val="008642F1"/>
    <w:rsid w:val="00864B1A"/>
    <w:rsid w:val="00864C33"/>
    <w:rsid w:val="00864CE7"/>
    <w:rsid w:val="00865287"/>
    <w:rsid w:val="008652E6"/>
    <w:rsid w:val="008655C3"/>
    <w:rsid w:val="00865633"/>
    <w:rsid w:val="0086569C"/>
    <w:rsid w:val="008659DB"/>
    <w:rsid w:val="00865B96"/>
    <w:rsid w:val="00865F61"/>
    <w:rsid w:val="008664B2"/>
    <w:rsid w:val="0086678B"/>
    <w:rsid w:val="008670B5"/>
    <w:rsid w:val="0086725B"/>
    <w:rsid w:val="008674B6"/>
    <w:rsid w:val="00867524"/>
    <w:rsid w:val="008675E7"/>
    <w:rsid w:val="008678BE"/>
    <w:rsid w:val="00867B3D"/>
    <w:rsid w:val="00867C1F"/>
    <w:rsid w:val="00867D9F"/>
    <w:rsid w:val="00867E84"/>
    <w:rsid w:val="008700FE"/>
    <w:rsid w:val="008701E5"/>
    <w:rsid w:val="0087028D"/>
    <w:rsid w:val="0087047A"/>
    <w:rsid w:val="0087094F"/>
    <w:rsid w:val="00870A3E"/>
    <w:rsid w:val="00870D18"/>
    <w:rsid w:val="00870DD7"/>
    <w:rsid w:val="008710BC"/>
    <w:rsid w:val="0087178A"/>
    <w:rsid w:val="008718B0"/>
    <w:rsid w:val="0087240F"/>
    <w:rsid w:val="0087262A"/>
    <w:rsid w:val="008728CF"/>
    <w:rsid w:val="00872C8E"/>
    <w:rsid w:val="00872F32"/>
    <w:rsid w:val="00872F65"/>
    <w:rsid w:val="00873F5E"/>
    <w:rsid w:val="0087415E"/>
    <w:rsid w:val="0087498E"/>
    <w:rsid w:val="00874C22"/>
    <w:rsid w:val="00874CA0"/>
    <w:rsid w:val="008754FC"/>
    <w:rsid w:val="00875642"/>
    <w:rsid w:val="0087590D"/>
    <w:rsid w:val="00875BDD"/>
    <w:rsid w:val="00875D70"/>
    <w:rsid w:val="00876057"/>
    <w:rsid w:val="00876A96"/>
    <w:rsid w:val="0087727A"/>
    <w:rsid w:val="00877895"/>
    <w:rsid w:val="00877A1E"/>
    <w:rsid w:val="00877D08"/>
    <w:rsid w:val="00877F65"/>
    <w:rsid w:val="008800F8"/>
    <w:rsid w:val="008805E8"/>
    <w:rsid w:val="00880882"/>
    <w:rsid w:val="00880A3B"/>
    <w:rsid w:val="00880FE0"/>
    <w:rsid w:val="00881651"/>
    <w:rsid w:val="00881FA4"/>
    <w:rsid w:val="00882048"/>
    <w:rsid w:val="008820BD"/>
    <w:rsid w:val="008822A0"/>
    <w:rsid w:val="008822B3"/>
    <w:rsid w:val="00883478"/>
    <w:rsid w:val="00883C5D"/>
    <w:rsid w:val="00885284"/>
    <w:rsid w:val="00885650"/>
    <w:rsid w:val="00885B5B"/>
    <w:rsid w:val="00885BAE"/>
    <w:rsid w:val="00885C39"/>
    <w:rsid w:val="00885D77"/>
    <w:rsid w:val="00885ED1"/>
    <w:rsid w:val="008861DA"/>
    <w:rsid w:val="0088653E"/>
    <w:rsid w:val="00886A5F"/>
    <w:rsid w:val="00887212"/>
    <w:rsid w:val="00887236"/>
    <w:rsid w:val="008872D4"/>
    <w:rsid w:val="008876FD"/>
    <w:rsid w:val="0088771F"/>
    <w:rsid w:val="00887AF4"/>
    <w:rsid w:val="00887D18"/>
    <w:rsid w:val="00887ECE"/>
    <w:rsid w:val="00890405"/>
    <w:rsid w:val="00890E5C"/>
    <w:rsid w:val="00891A46"/>
    <w:rsid w:val="00892268"/>
    <w:rsid w:val="00892DD1"/>
    <w:rsid w:val="00892F14"/>
    <w:rsid w:val="00892F68"/>
    <w:rsid w:val="00892FD1"/>
    <w:rsid w:val="0089306C"/>
    <w:rsid w:val="00893097"/>
    <w:rsid w:val="0089312A"/>
    <w:rsid w:val="00893172"/>
    <w:rsid w:val="008931B4"/>
    <w:rsid w:val="00893467"/>
    <w:rsid w:val="0089349E"/>
    <w:rsid w:val="008935D9"/>
    <w:rsid w:val="008939BB"/>
    <w:rsid w:val="0089413A"/>
    <w:rsid w:val="008942A8"/>
    <w:rsid w:val="00894395"/>
    <w:rsid w:val="00894CF1"/>
    <w:rsid w:val="008951F7"/>
    <w:rsid w:val="008959DD"/>
    <w:rsid w:val="00895AA4"/>
    <w:rsid w:val="00895B50"/>
    <w:rsid w:val="00895CFF"/>
    <w:rsid w:val="0089642C"/>
    <w:rsid w:val="00896906"/>
    <w:rsid w:val="00896AD0"/>
    <w:rsid w:val="00896BE9"/>
    <w:rsid w:val="00896DB3"/>
    <w:rsid w:val="00896E37"/>
    <w:rsid w:val="00896FB8"/>
    <w:rsid w:val="0089761B"/>
    <w:rsid w:val="008978A4"/>
    <w:rsid w:val="008A0139"/>
    <w:rsid w:val="008A0207"/>
    <w:rsid w:val="008A095D"/>
    <w:rsid w:val="008A0D12"/>
    <w:rsid w:val="008A0D6D"/>
    <w:rsid w:val="008A14DE"/>
    <w:rsid w:val="008A1794"/>
    <w:rsid w:val="008A1EA8"/>
    <w:rsid w:val="008A20CE"/>
    <w:rsid w:val="008A219E"/>
    <w:rsid w:val="008A2255"/>
    <w:rsid w:val="008A2409"/>
    <w:rsid w:val="008A245E"/>
    <w:rsid w:val="008A2930"/>
    <w:rsid w:val="008A2BAF"/>
    <w:rsid w:val="008A32D5"/>
    <w:rsid w:val="008A386C"/>
    <w:rsid w:val="008A391E"/>
    <w:rsid w:val="008A3A7A"/>
    <w:rsid w:val="008A3EC9"/>
    <w:rsid w:val="008A3EF7"/>
    <w:rsid w:val="008A3F3C"/>
    <w:rsid w:val="008A4335"/>
    <w:rsid w:val="008A47C9"/>
    <w:rsid w:val="008A4B38"/>
    <w:rsid w:val="008A4C7D"/>
    <w:rsid w:val="008A4F60"/>
    <w:rsid w:val="008A5076"/>
    <w:rsid w:val="008A5268"/>
    <w:rsid w:val="008A574F"/>
    <w:rsid w:val="008A5776"/>
    <w:rsid w:val="008A5786"/>
    <w:rsid w:val="008A5DEF"/>
    <w:rsid w:val="008A5E1C"/>
    <w:rsid w:val="008A63F0"/>
    <w:rsid w:val="008A659A"/>
    <w:rsid w:val="008A6B44"/>
    <w:rsid w:val="008A6BD2"/>
    <w:rsid w:val="008A6C5D"/>
    <w:rsid w:val="008A6D92"/>
    <w:rsid w:val="008A6F45"/>
    <w:rsid w:val="008A7025"/>
    <w:rsid w:val="008A71F6"/>
    <w:rsid w:val="008A7678"/>
    <w:rsid w:val="008A76D7"/>
    <w:rsid w:val="008A77A2"/>
    <w:rsid w:val="008B00E7"/>
    <w:rsid w:val="008B019E"/>
    <w:rsid w:val="008B0290"/>
    <w:rsid w:val="008B0760"/>
    <w:rsid w:val="008B085F"/>
    <w:rsid w:val="008B0A9A"/>
    <w:rsid w:val="008B1020"/>
    <w:rsid w:val="008B1099"/>
    <w:rsid w:val="008B10D0"/>
    <w:rsid w:val="008B1242"/>
    <w:rsid w:val="008B1265"/>
    <w:rsid w:val="008B192E"/>
    <w:rsid w:val="008B2024"/>
    <w:rsid w:val="008B243A"/>
    <w:rsid w:val="008B246E"/>
    <w:rsid w:val="008B2577"/>
    <w:rsid w:val="008B25D7"/>
    <w:rsid w:val="008B263F"/>
    <w:rsid w:val="008B2881"/>
    <w:rsid w:val="008B297E"/>
    <w:rsid w:val="008B2C4E"/>
    <w:rsid w:val="008B319E"/>
    <w:rsid w:val="008B326A"/>
    <w:rsid w:val="008B3852"/>
    <w:rsid w:val="008B4094"/>
    <w:rsid w:val="008B5033"/>
    <w:rsid w:val="008B54B0"/>
    <w:rsid w:val="008B5788"/>
    <w:rsid w:val="008B589F"/>
    <w:rsid w:val="008B61E1"/>
    <w:rsid w:val="008B628F"/>
    <w:rsid w:val="008B6478"/>
    <w:rsid w:val="008B64DD"/>
    <w:rsid w:val="008B68D2"/>
    <w:rsid w:val="008B6DC8"/>
    <w:rsid w:val="008B6EBF"/>
    <w:rsid w:val="008B74C8"/>
    <w:rsid w:val="008B7617"/>
    <w:rsid w:val="008B791E"/>
    <w:rsid w:val="008B7E77"/>
    <w:rsid w:val="008B7FD4"/>
    <w:rsid w:val="008C0069"/>
    <w:rsid w:val="008C074F"/>
    <w:rsid w:val="008C0A4B"/>
    <w:rsid w:val="008C131E"/>
    <w:rsid w:val="008C1676"/>
    <w:rsid w:val="008C18B9"/>
    <w:rsid w:val="008C1988"/>
    <w:rsid w:val="008C1996"/>
    <w:rsid w:val="008C19E1"/>
    <w:rsid w:val="008C1B0A"/>
    <w:rsid w:val="008C225C"/>
    <w:rsid w:val="008C26D9"/>
    <w:rsid w:val="008C270A"/>
    <w:rsid w:val="008C275F"/>
    <w:rsid w:val="008C2A57"/>
    <w:rsid w:val="008C2B6B"/>
    <w:rsid w:val="008C2C87"/>
    <w:rsid w:val="008C3153"/>
    <w:rsid w:val="008C344D"/>
    <w:rsid w:val="008C387E"/>
    <w:rsid w:val="008C43C0"/>
    <w:rsid w:val="008C44D8"/>
    <w:rsid w:val="008C4B37"/>
    <w:rsid w:val="008C4F66"/>
    <w:rsid w:val="008C5292"/>
    <w:rsid w:val="008C5D46"/>
    <w:rsid w:val="008C5F62"/>
    <w:rsid w:val="008C6057"/>
    <w:rsid w:val="008C681C"/>
    <w:rsid w:val="008C6BF3"/>
    <w:rsid w:val="008C73E2"/>
    <w:rsid w:val="008C7601"/>
    <w:rsid w:val="008C7F67"/>
    <w:rsid w:val="008C7FB7"/>
    <w:rsid w:val="008D03A0"/>
    <w:rsid w:val="008D056F"/>
    <w:rsid w:val="008D07F7"/>
    <w:rsid w:val="008D0B0A"/>
    <w:rsid w:val="008D0CAA"/>
    <w:rsid w:val="008D0E1C"/>
    <w:rsid w:val="008D10C6"/>
    <w:rsid w:val="008D139E"/>
    <w:rsid w:val="008D156B"/>
    <w:rsid w:val="008D1B01"/>
    <w:rsid w:val="008D2133"/>
    <w:rsid w:val="008D3E0A"/>
    <w:rsid w:val="008D41CB"/>
    <w:rsid w:val="008D42ED"/>
    <w:rsid w:val="008D47C1"/>
    <w:rsid w:val="008D4A76"/>
    <w:rsid w:val="008D5175"/>
    <w:rsid w:val="008D52A6"/>
    <w:rsid w:val="008D5366"/>
    <w:rsid w:val="008D56DC"/>
    <w:rsid w:val="008D5B65"/>
    <w:rsid w:val="008D6050"/>
    <w:rsid w:val="008D6314"/>
    <w:rsid w:val="008D65D2"/>
    <w:rsid w:val="008D6A22"/>
    <w:rsid w:val="008D6A77"/>
    <w:rsid w:val="008D6E64"/>
    <w:rsid w:val="008D71D9"/>
    <w:rsid w:val="008D7229"/>
    <w:rsid w:val="008D725B"/>
    <w:rsid w:val="008D76AC"/>
    <w:rsid w:val="008D796C"/>
    <w:rsid w:val="008D7C76"/>
    <w:rsid w:val="008E05B8"/>
    <w:rsid w:val="008E0BAF"/>
    <w:rsid w:val="008E0EB2"/>
    <w:rsid w:val="008E0F89"/>
    <w:rsid w:val="008E12F6"/>
    <w:rsid w:val="008E1359"/>
    <w:rsid w:val="008E14A1"/>
    <w:rsid w:val="008E15BE"/>
    <w:rsid w:val="008E1F07"/>
    <w:rsid w:val="008E25F4"/>
    <w:rsid w:val="008E2B98"/>
    <w:rsid w:val="008E2DB3"/>
    <w:rsid w:val="008E2FB5"/>
    <w:rsid w:val="008E3172"/>
    <w:rsid w:val="008E321E"/>
    <w:rsid w:val="008E35F8"/>
    <w:rsid w:val="008E36E3"/>
    <w:rsid w:val="008E43CB"/>
    <w:rsid w:val="008E48CA"/>
    <w:rsid w:val="008E4995"/>
    <w:rsid w:val="008E5325"/>
    <w:rsid w:val="008E57BF"/>
    <w:rsid w:val="008E58B2"/>
    <w:rsid w:val="008E5D6A"/>
    <w:rsid w:val="008E62DD"/>
    <w:rsid w:val="008E6641"/>
    <w:rsid w:val="008E67DD"/>
    <w:rsid w:val="008E6920"/>
    <w:rsid w:val="008E7059"/>
    <w:rsid w:val="008E70E6"/>
    <w:rsid w:val="008E71D0"/>
    <w:rsid w:val="008E76D2"/>
    <w:rsid w:val="008E7791"/>
    <w:rsid w:val="008E7794"/>
    <w:rsid w:val="008E7D2F"/>
    <w:rsid w:val="008E7D61"/>
    <w:rsid w:val="008F003E"/>
    <w:rsid w:val="008F02C9"/>
    <w:rsid w:val="008F02F3"/>
    <w:rsid w:val="008F05AC"/>
    <w:rsid w:val="008F06D5"/>
    <w:rsid w:val="008F0A82"/>
    <w:rsid w:val="008F0B52"/>
    <w:rsid w:val="008F0BA0"/>
    <w:rsid w:val="008F0C18"/>
    <w:rsid w:val="008F1161"/>
    <w:rsid w:val="008F1311"/>
    <w:rsid w:val="008F1428"/>
    <w:rsid w:val="008F1630"/>
    <w:rsid w:val="008F1EC4"/>
    <w:rsid w:val="008F1FC9"/>
    <w:rsid w:val="008F2193"/>
    <w:rsid w:val="008F2576"/>
    <w:rsid w:val="008F25AC"/>
    <w:rsid w:val="008F2636"/>
    <w:rsid w:val="008F29DD"/>
    <w:rsid w:val="008F2CC7"/>
    <w:rsid w:val="008F2E15"/>
    <w:rsid w:val="008F2FB7"/>
    <w:rsid w:val="008F339C"/>
    <w:rsid w:val="008F37C5"/>
    <w:rsid w:val="008F381C"/>
    <w:rsid w:val="008F3EE3"/>
    <w:rsid w:val="008F4238"/>
    <w:rsid w:val="008F455F"/>
    <w:rsid w:val="008F45C2"/>
    <w:rsid w:val="008F4668"/>
    <w:rsid w:val="008F47AC"/>
    <w:rsid w:val="008F4F9A"/>
    <w:rsid w:val="008F5067"/>
    <w:rsid w:val="008F525C"/>
    <w:rsid w:val="008F59AB"/>
    <w:rsid w:val="008F612C"/>
    <w:rsid w:val="008F61BF"/>
    <w:rsid w:val="008F6807"/>
    <w:rsid w:val="008F69F8"/>
    <w:rsid w:val="008F6BB9"/>
    <w:rsid w:val="008F6C48"/>
    <w:rsid w:val="008F6DAD"/>
    <w:rsid w:val="008F6EFC"/>
    <w:rsid w:val="008F7D72"/>
    <w:rsid w:val="00900506"/>
    <w:rsid w:val="0090058D"/>
    <w:rsid w:val="00900CD6"/>
    <w:rsid w:val="00900D86"/>
    <w:rsid w:val="00900ED7"/>
    <w:rsid w:val="00900F4F"/>
    <w:rsid w:val="009010F2"/>
    <w:rsid w:val="00901456"/>
    <w:rsid w:val="00901772"/>
    <w:rsid w:val="00901EF8"/>
    <w:rsid w:val="009022CA"/>
    <w:rsid w:val="00902329"/>
    <w:rsid w:val="00902705"/>
    <w:rsid w:val="00902995"/>
    <w:rsid w:val="00902CC9"/>
    <w:rsid w:val="00902F16"/>
    <w:rsid w:val="00903205"/>
    <w:rsid w:val="00903ACB"/>
    <w:rsid w:val="00903BE8"/>
    <w:rsid w:val="00904137"/>
    <w:rsid w:val="00904553"/>
    <w:rsid w:val="009045E9"/>
    <w:rsid w:val="00904956"/>
    <w:rsid w:val="00904BC8"/>
    <w:rsid w:val="00904BF7"/>
    <w:rsid w:val="00904D37"/>
    <w:rsid w:val="00904DCF"/>
    <w:rsid w:val="009050F2"/>
    <w:rsid w:val="009053C9"/>
    <w:rsid w:val="009056A1"/>
    <w:rsid w:val="00905988"/>
    <w:rsid w:val="00906248"/>
    <w:rsid w:val="009064F7"/>
    <w:rsid w:val="00906919"/>
    <w:rsid w:val="009069B8"/>
    <w:rsid w:val="00906D1A"/>
    <w:rsid w:val="00907792"/>
    <w:rsid w:val="0090779E"/>
    <w:rsid w:val="00907E8A"/>
    <w:rsid w:val="009101AC"/>
    <w:rsid w:val="00910312"/>
    <w:rsid w:val="009105A8"/>
    <w:rsid w:val="00910711"/>
    <w:rsid w:val="00910B18"/>
    <w:rsid w:val="00910E39"/>
    <w:rsid w:val="00910E3E"/>
    <w:rsid w:val="00910F24"/>
    <w:rsid w:val="009113FB"/>
    <w:rsid w:val="00911449"/>
    <w:rsid w:val="00911F36"/>
    <w:rsid w:val="009120A5"/>
    <w:rsid w:val="00912146"/>
    <w:rsid w:val="009123E3"/>
    <w:rsid w:val="00912699"/>
    <w:rsid w:val="009129B1"/>
    <w:rsid w:val="00912A3F"/>
    <w:rsid w:val="00912D66"/>
    <w:rsid w:val="00913C28"/>
    <w:rsid w:val="0091412D"/>
    <w:rsid w:val="00914606"/>
    <w:rsid w:val="00914726"/>
    <w:rsid w:val="0091491A"/>
    <w:rsid w:val="00914E37"/>
    <w:rsid w:val="009150F1"/>
    <w:rsid w:val="009150F8"/>
    <w:rsid w:val="009156D4"/>
    <w:rsid w:val="00915D38"/>
    <w:rsid w:val="00915E03"/>
    <w:rsid w:val="00915E30"/>
    <w:rsid w:val="00915F7B"/>
    <w:rsid w:val="00915FF5"/>
    <w:rsid w:val="00916158"/>
    <w:rsid w:val="00916A07"/>
    <w:rsid w:val="00916A29"/>
    <w:rsid w:val="00916B52"/>
    <w:rsid w:val="00916CAB"/>
    <w:rsid w:val="00916CB5"/>
    <w:rsid w:val="00916F49"/>
    <w:rsid w:val="00917040"/>
    <w:rsid w:val="009172F7"/>
    <w:rsid w:val="00917661"/>
    <w:rsid w:val="00917A5F"/>
    <w:rsid w:val="00917E25"/>
    <w:rsid w:val="00920546"/>
    <w:rsid w:val="00920774"/>
    <w:rsid w:val="00920813"/>
    <w:rsid w:val="00920889"/>
    <w:rsid w:val="009208B3"/>
    <w:rsid w:val="009208F1"/>
    <w:rsid w:val="0092091A"/>
    <w:rsid w:val="00920ADC"/>
    <w:rsid w:val="009215F5"/>
    <w:rsid w:val="009215FD"/>
    <w:rsid w:val="009216EB"/>
    <w:rsid w:val="00921864"/>
    <w:rsid w:val="00921D8A"/>
    <w:rsid w:val="0092251D"/>
    <w:rsid w:val="00923139"/>
    <w:rsid w:val="00923186"/>
    <w:rsid w:val="00923264"/>
    <w:rsid w:val="00923696"/>
    <w:rsid w:val="00923D92"/>
    <w:rsid w:val="009245D7"/>
    <w:rsid w:val="00924767"/>
    <w:rsid w:val="0092482B"/>
    <w:rsid w:val="00924A4D"/>
    <w:rsid w:val="009259A2"/>
    <w:rsid w:val="00925B54"/>
    <w:rsid w:val="00925E8D"/>
    <w:rsid w:val="00925F13"/>
    <w:rsid w:val="0092603F"/>
    <w:rsid w:val="00926636"/>
    <w:rsid w:val="00926644"/>
    <w:rsid w:val="00926C28"/>
    <w:rsid w:val="0092755F"/>
    <w:rsid w:val="00927685"/>
    <w:rsid w:val="00927B2E"/>
    <w:rsid w:val="00927C74"/>
    <w:rsid w:val="0093016C"/>
    <w:rsid w:val="00930215"/>
    <w:rsid w:val="00930889"/>
    <w:rsid w:val="0093095B"/>
    <w:rsid w:val="00930F72"/>
    <w:rsid w:val="00931026"/>
    <w:rsid w:val="00931483"/>
    <w:rsid w:val="00931643"/>
    <w:rsid w:val="009318D3"/>
    <w:rsid w:val="00931ED7"/>
    <w:rsid w:val="00932368"/>
    <w:rsid w:val="009326C6"/>
    <w:rsid w:val="00932B30"/>
    <w:rsid w:val="00932B59"/>
    <w:rsid w:val="00932B68"/>
    <w:rsid w:val="00932FF4"/>
    <w:rsid w:val="0093313F"/>
    <w:rsid w:val="00933759"/>
    <w:rsid w:val="00933B92"/>
    <w:rsid w:val="00933CD0"/>
    <w:rsid w:val="00934AA4"/>
    <w:rsid w:val="00934CD5"/>
    <w:rsid w:val="00934D02"/>
    <w:rsid w:val="00934F5B"/>
    <w:rsid w:val="00935002"/>
    <w:rsid w:val="009350E5"/>
    <w:rsid w:val="009356A4"/>
    <w:rsid w:val="009357A6"/>
    <w:rsid w:val="0093614A"/>
    <w:rsid w:val="00936789"/>
    <w:rsid w:val="00936BBC"/>
    <w:rsid w:val="00936E6F"/>
    <w:rsid w:val="00936E9A"/>
    <w:rsid w:val="009370BB"/>
    <w:rsid w:val="00937596"/>
    <w:rsid w:val="009375C2"/>
    <w:rsid w:val="009375DB"/>
    <w:rsid w:val="00937717"/>
    <w:rsid w:val="00937766"/>
    <w:rsid w:val="00937C3F"/>
    <w:rsid w:val="00937CF2"/>
    <w:rsid w:val="00940091"/>
    <w:rsid w:val="00940323"/>
    <w:rsid w:val="0094033B"/>
    <w:rsid w:val="00940803"/>
    <w:rsid w:val="00940D2C"/>
    <w:rsid w:val="009412B1"/>
    <w:rsid w:val="009414C5"/>
    <w:rsid w:val="0094150B"/>
    <w:rsid w:val="00941660"/>
    <w:rsid w:val="0094184A"/>
    <w:rsid w:val="00941879"/>
    <w:rsid w:val="00941A11"/>
    <w:rsid w:val="00941CC9"/>
    <w:rsid w:val="009421E4"/>
    <w:rsid w:val="009423E1"/>
    <w:rsid w:val="009425B1"/>
    <w:rsid w:val="0094276B"/>
    <w:rsid w:val="00942CD8"/>
    <w:rsid w:val="00942FF8"/>
    <w:rsid w:val="0094308B"/>
    <w:rsid w:val="00943C37"/>
    <w:rsid w:val="00944158"/>
    <w:rsid w:val="00944762"/>
    <w:rsid w:val="0094483B"/>
    <w:rsid w:val="00944D18"/>
    <w:rsid w:val="00945183"/>
    <w:rsid w:val="00945280"/>
    <w:rsid w:val="00945292"/>
    <w:rsid w:val="0094551A"/>
    <w:rsid w:val="0094557D"/>
    <w:rsid w:val="00945899"/>
    <w:rsid w:val="00945A3E"/>
    <w:rsid w:val="00945D73"/>
    <w:rsid w:val="00945E21"/>
    <w:rsid w:val="0094615E"/>
    <w:rsid w:val="009461C9"/>
    <w:rsid w:val="009461F9"/>
    <w:rsid w:val="0094625F"/>
    <w:rsid w:val="00946714"/>
    <w:rsid w:val="00946C1F"/>
    <w:rsid w:val="00946E96"/>
    <w:rsid w:val="00947C4A"/>
    <w:rsid w:val="00947D26"/>
    <w:rsid w:val="009501DC"/>
    <w:rsid w:val="00950400"/>
    <w:rsid w:val="0095078F"/>
    <w:rsid w:val="00950D5A"/>
    <w:rsid w:val="00950FC6"/>
    <w:rsid w:val="0095101A"/>
    <w:rsid w:val="00951114"/>
    <w:rsid w:val="009513A3"/>
    <w:rsid w:val="0095142E"/>
    <w:rsid w:val="00951543"/>
    <w:rsid w:val="0095155C"/>
    <w:rsid w:val="00951752"/>
    <w:rsid w:val="00951BAF"/>
    <w:rsid w:val="00951DAB"/>
    <w:rsid w:val="00951EB8"/>
    <w:rsid w:val="00952527"/>
    <w:rsid w:val="0095282E"/>
    <w:rsid w:val="009528DC"/>
    <w:rsid w:val="009532E2"/>
    <w:rsid w:val="00953381"/>
    <w:rsid w:val="009535A0"/>
    <w:rsid w:val="009538A8"/>
    <w:rsid w:val="009542E5"/>
    <w:rsid w:val="0095495C"/>
    <w:rsid w:val="00954C50"/>
    <w:rsid w:val="00954D04"/>
    <w:rsid w:val="00954EDB"/>
    <w:rsid w:val="00955131"/>
    <w:rsid w:val="0095563B"/>
    <w:rsid w:val="00955B84"/>
    <w:rsid w:val="00955D0C"/>
    <w:rsid w:val="00955D2E"/>
    <w:rsid w:val="00955F33"/>
    <w:rsid w:val="00956654"/>
    <w:rsid w:val="009567ED"/>
    <w:rsid w:val="00956C0F"/>
    <w:rsid w:val="00956C30"/>
    <w:rsid w:val="00956D3F"/>
    <w:rsid w:val="00956EFF"/>
    <w:rsid w:val="00956F25"/>
    <w:rsid w:val="00957148"/>
    <w:rsid w:val="0095728D"/>
    <w:rsid w:val="009572BE"/>
    <w:rsid w:val="00957915"/>
    <w:rsid w:val="00957A8B"/>
    <w:rsid w:val="00957ECC"/>
    <w:rsid w:val="009603BB"/>
    <w:rsid w:val="009609DC"/>
    <w:rsid w:val="00960B2D"/>
    <w:rsid w:val="00960CA4"/>
    <w:rsid w:val="00960D88"/>
    <w:rsid w:val="00960E82"/>
    <w:rsid w:val="00960E8C"/>
    <w:rsid w:val="00961113"/>
    <w:rsid w:val="00961485"/>
    <w:rsid w:val="00961D16"/>
    <w:rsid w:val="00961F78"/>
    <w:rsid w:val="00962224"/>
    <w:rsid w:val="00962349"/>
    <w:rsid w:val="00962444"/>
    <w:rsid w:val="0096249A"/>
    <w:rsid w:val="00962745"/>
    <w:rsid w:val="00962842"/>
    <w:rsid w:val="00962BBE"/>
    <w:rsid w:val="00962D44"/>
    <w:rsid w:val="00962D99"/>
    <w:rsid w:val="00962E11"/>
    <w:rsid w:val="00963205"/>
    <w:rsid w:val="00963488"/>
    <w:rsid w:val="00963A2D"/>
    <w:rsid w:val="00963D73"/>
    <w:rsid w:val="0096476F"/>
    <w:rsid w:val="009648F3"/>
    <w:rsid w:val="0096509A"/>
    <w:rsid w:val="009651FD"/>
    <w:rsid w:val="009652AF"/>
    <w:rsid w:val="00965944"/>
    <w:rsid w:val="00965B71"/>
    <w:rsid w:val="00965CA5"/>
    <w:rsid w:val="00965E69"/>
    <w:rsid w:val="009672DD"/>
    <w:rsid w:val="009672EB"/>
    <w:rsid w:val="00967E99"/>
    <w:rsid w:val="00970410"/>
    <w:rsid w:val="009705AE"/>
    <w:rsid w:val="00970F0E"/>
    <w:rsid w:val="0097106E"/>
    <w:rsid w:val="00971AEF"/>
    <w:rsid w:val="00971C74"/>
    <w:rsid w:val="00971D30"/>
    <w:rsid w:val="00972616"/>
    <w:rsid w:val="00973A64"/>
    <w:rsid w:val="00973E30"/>
    <w:rsid w:val="00973FB2"/>
    <w:rsid w:val="00974473"/>
    <w:rsid w:val="0097450E"/>
    <w:rsid w:val="00975079"/>
    <w:rsid w:val="009754D6"/>
    <w:rsid w:val="009757D8"/>
    <w:rsid w:val="0097593D"/>
    <w:rsid w:val="009759CF"/>
    <w:rsid w:val="00975A37"/>
    <w:rsid w:val="00976684"/>
    <w:rsid w:val="00976A4C"/>
    <w:rsid w:val="00976B9E"/>
    <w:rsid w:val="00976C28"/>
    <w:rsid w:val="00976D24"/>
    <w:rsid w:val="00976D52"/>
    <w:rsid w:val="00976FF3"/>
    <w:rsid w:val="00977198"/>
    <w:rsid w:val="009771D2"/>
    <w:rsid w:val="0097767A"/>
    <w:rsid w:val="00977B2A"/>
    <w:rsid w:val="00977C09"/>
    <w:rsid w:val="00977EAD"/>
    <w:rsid w:val="00977F28"/>
    <w:rsid w:val="0098008D"/>
    <w:rsid w:val="0098044C"/>
    <w:rsid w:val="009804AF"/>
    <w:rsid w:val="009806D3"/>
    <w:rsid w:val="009807B2"/>
    <w:rsid w:val="0098099C"/>
    <w:rsid w:val="00980CA2"/>
    <w:rsid w:val="00981193"/>
    <w:rsid w:val="0098160B"/>
    <w:rsid w:val="00981704"/>
    <w:rsid w:val="00981ACE"/>
    <w:rsid w:val="00981BD5"/>
    <w:rsid w:val="00981E71"/>
    <w:rsid w:val="00981F32"/>
    <w:rsid w:val="009825C5"/>
    <w:rsid w:val="00982B20"/>
    <w:rsid w:val="00983222"/>
    <w:rsid w:val="00983554"/>
    <w:rsid w:val="0098357F"/>
    <w:rsid w:val="00983B54"/>
    <w:rsid w:val="009844C1"/>
    <w:rsid w:val="009847F5"/>
    <w:rsid w:val="0098493A"/>
    <w:rsid w:val="00984BEF"/>
    <w:rsid w:val="00985027"/>
    <w:rsid w:val="00985197"/>
    <w:rsid w:val="009862B4"/>
    <w:rsid w:val="009865F3"/>
    <w:rsid w:val="00986861"/>
    <w:rsid w:val="00987017"/>
    <w:rsid w:val="00987070"/>
    <w:rsid w:val="0098730C"/>
    <w:rsid w:val="009875D8"/>
    <w:rsid w:val="009879B8"/>
    <w:rsid w:val="00987F98"/>
    <w:rsid w:val="0099005F"/>
    <w:rsid w:val="00990277"/>
    <w:rsid w:val="0099041D"/>
    <w:rsid w:val="009908A7"/>
    <w:rsid w:val="0099126D"/>
    <w:rsid w:val="009912F3"/>
    <w:rsid w:val="009915D1"/>
    <w:rsid w:val="00991D43"/>
    <w:rsid w:val="0099234B"/>
    <w:rsid w:val="00992606"/>
    <w:rsid w:val="009927C3"/>
    <w:rsid w:val="009929FD"/>
    <w:rsid w:val="00992BE8"/>
    <w:rsid w:val="00992EC4"/>
    <w:rsid w:val="009930C0"/>
    <w:rsid w:val="009932F0"/>
    <w:rsid w:val="009933EA"/>
    <w:rsid w:val="0099352E"/>
    <w:rsid w:val="00993C7F"/>
    <w:rsid w:val="00993C92"/>
    <w:rsid w:val="009941BA"/>
    <w:rsid w:val="009944EB"/>
    <w:rsid w:val="00994935"/>
    <w:rsid w:val="00994BD5"/>
    <w:rsid w:val="00995091"/>
    <w:rsid w:val="00995194"/>
    <w:rsid w:val="0099532D"/>
    <w:rsid w:val="00995350"/>
    <w:rsid w:val="00995BF7"/>
    <w:rsid w:val="00995E0E"/>
    <w:rsid w:val="0099631A"/>
    <w:rsid w:val="0099669A"/>
    <w:rsid w:val="009968CA"/>
    <w:rsid w:val="00996B5F"/>
    <w:rsid w:val="00996BBC"/>
    <w:rsid w:val="00996F04"/>
    <w:rsid w:val="0099779A"/>
    <w:rsid w:val="00997A31"/>
    <w:rsid w:val="00997C0D"/>
    <w:rsid w:val="009A01AD"/>
    <w:rsid w:val="009A0279"/>
    <w:rsid w:val="009A0663"/>
    <w:rsid w:val="009A0705"/>
    <w:rsid w:val="009A0D46"/>
    <w:rsid w:val="009A105B"/>
    <w:rsid w:val="009A126F"/>
    <w:rsid w:val="009A131B"/>
    <w:rsid w:val="009A167D"/>
    <w:rsid w:val="009A1D3C"/>
    <w:rsid w:val="009A2008"/>
    <w:rsid w:val="009A2350"/>
    <w:rsid w:val="009A272A"/>
    <w:rsid w:val="009A27D5"/>
    <w:rsid w:val="009A2BD0"/>
    <w:rsid w:val="009A2C80"/>
    <w:rsid w:val="009A314D"/>
    <w:rsid w:val="009A3AC2"/>
    <w:rsid w:val="009A3B8D"/>
    <w:rsid w:val="009A3C84"/>
    <w:rsid w:val="009A3EDC"/>
    <w:rsid w:val="009A4172"/>
    <w:rsid w:val="009A42E0"/>
    <w:rsid w:val="009A4319"/>
    <w:rsid w:val="009A4617"/>
    <w:rsid w:val="009A4842"/>
    <w:rsid w:val="009A4BEA"/>
    <w:rsid w:val="009A4E2B"/>
    <w:rsid w:val="009A5041"/>
    <w:rsid w:val="009A5533"/>
    <w:rsid w:val="009A57F5"/>
    <w:rsid w:val="009A62F2"/>
    <w:rsid w:val="009A677A"/>
    <w:rsid w:val="009A6A36"/>
    <w:rsid w:val="009A6FA4"/>
    <w:rsid w:val="009A7963"/>
    <w:rsid w:val="009A7C33"/>
    <w:rsid w:val="009A7CD7"/>
    <w:rsid w:val="009B008D"/>
    <w:rsid w:val="009B02BF"/>
    <w:rsid w:val="009B03C3"/>
    <w:rsid w:val="009B0729"/>
    <w:rsid w:val="009B0A8E"/>
    <w:rsid w:val="009B0BB7"/>
    <w:rsid w:val="009B0CD9"/>
    <w:rsid w:val="009B0F56"/>
    <w:rsid w:val="009B10E8"/>
    <w:rsid w:val="009B1748"/>
    <w:rsid w:val="009B18C6"/>
    <w:rsid w:val="009B1C44"/>
    <w:rsid w:val="009B277E"/>
    <w:rsid w:val="009B2AB6"/>
    <w:rsid w:val="009B2B1F"/>
    <w:rsid w:val="009B2C33"/>
    <w:rsid w:val="009B2E02"/>
    <w:rsid w:val="009B3233"/>
    <w:rsid w:val="009B3383"/>
    <w:rsid w:val="009B3D7E"/>
    <w:rsid w:val="009B43FD"/>
    <w:rsid w:val="009B4B8C"/>
    <w:rsid w:val="009B4E8C"/>
    <w:rsid w:val="009B513A"/>
    <w:rsid w:val="009B52B3"/>
    <w:rsid w:val="009B52BD"/>
    <w:rsid w:val="009B57C7"/>
    <w:rsid w:val="009B65D5"/>
    <w:rsid w:val="009B6F2D"/>
    <w:rsid w:val="009B6F41"/>
    <w:rsid w:val="009B75B8"/>
    <w:rsid w:val="009B7D31"/>
    <w:rsid w:val="009B7F6F"/>
    <w:rsid w:val="009C00CD"/>
    <w:rsid w:val="009C03BF"/>
    <w:rsid w:val="009C03F2"/>
    <w:rsid w:val="009C0598"/>
    <w:rsid w:val="009C0D00"/>
    <w:rsid w:val="009C0E9D"/>
    <w:rsid w:val="009C109E"/>
    <w:rsid w:val="009C1314"/>
    <w:rsid w:val="009C134B"/>
    <w:rsid w:val="009C1816"/>
    <w:rsid w:val="009C1B60"/>
    <w:rsid w:val="009C1B8B"/>
    <w:rsid w:val="009C1BA1"/>
    <w:rsid w:val="009C1CBB"/>
    <w:rsid w:val="009C1D26"/>
    <w:rsid w:val="009C2299"/>
    <w:rsid w:val="009C22AD"/>
    <w:rsid w:val="009C254C"/>
    <w:rsid w:val="009C2600"/>
    <w:rsid w:val="009C2688"/>
    <w:rsid w:val="009C2778"/>
    <w:rsid w:val="009C2845"/>
    <w:rsid w:val="009C2938"/>
    <w:rsid w:val="009C2A28"/>
    <w:rsid w:val="009C2D6E"/>
    <w:rsid w:val="009C2FDC"/>
    <w:rsid w:val="009C3233"/>
    <w:rsid w:val="009C3247"/>
    <w:rsid w:val="009C3482"/>
    <w:rsid w:val="009C36E9"/>
    <w:rsid w:val="009C3779"/>
    <w:rsid w:val="009C3928"/>
    <w:rsid w:val="009C3C9B"/>
    <w:rsid w:val="009C3D5F"/>
    <w:rsid w:val="009C413B"/>
    <w:rsid w:val="009C4730"/>
    <w:rsid w:val="009C49B6"/>
    <w:rsid w:val="009C4DA4"/>
    <w:rsid w:val="009C4E3D"/>
    <w:rsid w:val="009C542B"/>
    <w:rsid w:val="009C54FA"/>
    <w:rsid w:val="009C5589"/>
    <w:rsid w:val="009C5881"/>
    <w:rsid w:val="009C5B37"/>
    <w:rsid w:val="009C5B75"/>
    <w:rsid w:val="009C5C91"/>
    <w:rsid w:val="009C6263"/>
    <w:rsid w:val="009C67AE"/>
    <w:rsid w:val="009C6AE5"/>
    <w:rsid w:val="009C6CB3"/>
    <w:rsid w:val="009C6D1E"/>
    <w:rsid w:val="009C6D9F"/>
    <w:rsid w:val="009C7474"/>
    <w:rsid w:val="009C7986"/>
    <w:rsid w:val="009C7998"/>
    <w:rsid w:val="009C7FBA"/>
    <w:rsid w:val="009D0347"/>
    <w:rsid w:val="009D04FE"/>
    <w:rsid w:val="009D17CE"/>
    <w:rsid w:val="009D1C18"/>
    <w:rsid w:val="009D1D65"/>
    <w:rsid w:val="009D1D6E"/>
    <w:rsid w:val="009D2022"/>
    <w:rsid w:val="009D262C"/>
    <w:rsid w:val="009D27A8"/>
    <w:rsid w:val="009D2824"/>
    <w:rsid w:val="009D2833"/>
    <w:rsid w:val="009D2CE5"/>
    <w:rsid w:val="009D2E1B"/>
    <w:rsid w:val="009D2FBE"/>
    <w:rsid w:val="009D3316"/>
    <w:rsid w:val="009D40A3"/>
    <w:rsid w:val="009D4635"/>
    <w:rsid w:val="009D46BC"/>
    <w:rsid w:val="009D4A26"/>
    <w:rsid w:val="009D53D2"/>
    <w:rsid w:val="009D540D"/>
    <w:rsid w:val="009D5419"/>
    <w:rsid w:val="009D54BA"/>
    <w:rsid w:val="009D551B"/>
    <w:rsid w:val="009D58FD"/>
    <w:rsid w:val="009D5B52"/>
    <w:rsid w:val="009D5EF1"/>
    <w:rsid w:val="009D65D9"/>
    <w:rsid w:val="009D67FB"/>
    <w:rsid w:val="009D686B"/>
    <w:rsid w:val="009D6A8C"/>
    <w:rsid w:val="009D6E4C"/>
    <w:rsid w:val="009D76FC"/>
    <w:rsid w:val="009D78B7"/>
    <w:rsid w:val="009D79CE"/>
    <w:rsid w:val="009D7CEF"/>
    <w:rsid w:val="009D7F11"/>
    <w:rsid w:val="009D7F5E"/>
    <w:rsid w:val="009E03E9"/>
    <w:rsid w:val="009E0884"/>
    <w:rsid w:val="009E0997"/>
    <w:rsid w:val="009E0AB4"/>
    <w:rsid w:val="009E0ACF"/>
    <w:rsid w:val="009E0D17"/>
    <w:rsid w:val="009E1BF3"/>
    <w:rsid w:val="009E1DDE"/>
    <w:rsid w:val="009E1F6D"/>
    <w:rsid w:val="009E21BF"/>
    <w:rsid w:val="009E2207"/>
    <w:rsid w:val="009E2391"/>
    <w:rsid w:val="009E2436"/>
    <w:rsid w:val="009E25F5"/>
    <w:rsid w:val="009E2823"/>
    <w:rsid w:val="009E2F93"/>
    <w:rsid w:val="009E3396"/>
    <w:rsid w:val="009E39BD"/>
    <w:rsid w:val="009E3BC5"/>
    <w:rsid w:val="009E3FEA"/>
    <w:rsid w:val="009E4348"/>
    <w:rsid w:val="009E4B31"/>
    <w:rsid w:val="009E4EBD"/>
    <w:rsid w:val="009E51B5"/>
    <w:rsid w:val="009E546A"/>
    <w:rsid w:val="009E5470"/>
    <w:rsid w:val="009E5D06"/>
    <w:rsid w:val="009E5F89"/>
    <w:rsid w:val="009E5FDE"/>
    <w:rsid w:val="009E6372"/>
    <w:rsid w:val="009E6857"/>
    <w:rsid w:val="009E7151"/>
    <w:rsid w:val="009E73AE"/>
    <w:rsid w:val="009E781D"/>
    <w:rsid w:val="009E7DF7"/>
    <w:rsid w:val="009E7F51"/>
    <w:rsid w:val="009F0089"/>
    <w:rsid w:val="009F0221"/>
    <w:rsid w:val="009F06AE"/>
    <w:rsid w:val="009F0C90"/>
    <w:rsid w:val="009F168D"/>
    <w:rsid w:val="009F1783"/>
    <w:rsid w:val="009F19FC"/>
    <w:rsid w:val="009F1CC7"/>
    <w:rsid w:val="009F2113"/>
    <w:rsid w:val="009F249E"/>
    <w:rsid w:val="009F260D"/>
    <w:rsid w:val="009F2807"/>
    <w:rsid w:val="009F2D05"/>
    <w:rsid w:val="009F3AE0"/>
    <w:rsid w:val="009F49B1"/>
    <w:rsid w:val="009F60F0"/>
    <w:rsid w:val="009F66C3"/>
    <w:rsid w:val="009F6E1B"/>
    <w:rsid w:val="009F70E5"/>
    <w:rsid w:val="009F7366"/>
    <w:rsid w:val="009F7518"/>
    <w:rsid w:val="009F773E"/>
    <w:rsid w:val="009F7996"/>
    <w:rsid w:val="009F7C28"/>
    <w:rsid w:val="009F7ED7"/>
    <w:rsid w:val="00A00051"/>
    <w:rsid w:val="00A0010E"/>
    <w:rsid w:val="00A00188"/>
    <w:rsid w:val="00A00431"/>
    <w:rsid w:val="00A008C4"/>
    <w:rsid w:val="00A008F6"/>
    <w:rsid w:val="00A00CF3"/>
    <w:rsid w:val="00A00D16"/>
    <w:rsid w:val="00A0120B"/>
    <w:rsid w:val="00A01393"/>
    <w:rsid w:val="00A01522"/>
    <w:rsid w:val="00A018F0"/>
    <w:rsid w:val="00A01B14"/>
    <w:rsid w:val="00A01B96"/>
    <w:rsid w:val="00A021BF"/>
    <w:rsid w:val="00A03733"/>
    <w:rsid w:val="00A03A65"/>
    <w:rsid w:val="00A04B92"/>
    <w:rsid w:val="00A04DD5"/>
    <w:rsid w:val="00A04F61"/>
    <w:rsid w:val="00A04FD6"/>
    <w:rsid w:val="00A053B4"/>
    <w:rsid w:val="00A058B0"/>
    <w:rsid w:val="00A058EA"/>
    <w:rsid w:val="00A05DF8"/>
    <w:rsid w:val="00A05F54"/>
    <w:rsid w:val="00A063F2"/>
    <w:rsid w:val="00A06A9F"/>
    <w:rsid w:val="00A06D43"/>
    <w:rsid w:val="00A070A1"/>
    <w:rsid w:val="00A073E2"/>
    <w:rsid w:val="00A07423"/>
    <w:rsid w:val="00A07EC2"/>
    <w:rsid w:val="00A10003"/>
    <w:rsid w:val="00A10210"/>
    <w:rsid w:val="00A1024F"/>
    <w:rsid w:val="00A10291"/>
    <w:rsid w:val="00A1084C"/>
    <w:rsid w:val="00A1092C"/>
    <w:rsid w:val="00A10D32"/>
    <w:rsid w:val="00A11277"/>
    <w:rsid w:val="00A11346"/>
    <w:rsid w:val="00A11818"/>
    <w:rsid w:val="00A11AF9"/>
    <w:rsid w:val="00A11C5B"/>
    <w:rsid w:val="00A11D6F"/>
    <w:rsid w:val="00A11DC4"/>
    <w:rsid w:val="00A11EE9"/>
    <w:rsid w:val="00A121A4"/>
    <w:rsid w:val="00A122CE"/>
    <w:rsid w:val="00A12514"/>
    <w:rsid w:val="00A1299A"/>
    <w:rsid w:val="00A12A26"/>
    <w:rsid w:val="00A12B41"/>
    <w:rsid w:val="00A12DED"/>
    <w:rsid w:val="00A13B84"/>
    <w:rsid w:val="00A13D1B"/>
    <w:rsid w:val="00A13F3D"/>
    <w:rsid w:val="00A14E6A"/>
    <w:rsid w:val="00A14E83"/>
    <w:rsid w:val="00A14FB2"/>
    <w:rsid w:val="00A1569D"/>
    <w:rsid w:val="00A15A68"/>
    <w:rsid w:val="00A15B93"/>
    <w:rsid w:val="00A15FF3"/>
    <w:rsid w:val="00A16175"/>
    <w:rsid w:val="00A167F7"/>
    <w:rsid w:val="00A16A70"/>
    <w:rsid w:val="00A16FCE"/>
    <w:rsid w:val="00A174A6"/>
    <w:rsid w:val="00A175DB"/>
    <w:rsid w:val="00A176B2"/>
    <w:rsid w:val="00A178E0"/>
    <w:rsid w:val="00A20675"/>
    <w:rsid w:val="00A21889"/>
    <w:rsid w:val="00A21941"/>
    <w:rsid w:val="00A219C0"/>
    <w:rsid w:val="00A21B8B"/>
    <w:rsid w:val="00A21C45"/>
    <w:rsid w:val="00A2216B"/>
    <w:rsid w:val="00A22330"/>
    <w:rsid w:val="00A226B1"/>
    <w:rsid w:val="00A226B2"/>
    <w:rsid w:val="00A22CFA"/>
    <w:rsid w:val="00A23446"/>
    <w:rsid w:val="00A23D3B"/>
    <w:rsid w:val="00A23D9A"/>
    <w:rsid w:val="00A2412E"/>
    <w:rsid w:val="00A24857"/>
    <w:rsid w:val="00A248F1"/>
    <w:rsid w:val="00A24BC3"/>
    <w:rsid w:val="00A25A2B"/>
    <w:rsid w:val="00A26345"/>
    <w:rsid w:val="00A26F27"/>
    <w:rsid w:val="00A2743D"/>
    <w:rsid w:val="00A27600"/>
    <w:rsid w:val="00A2786F"/>
    <w:rsid w:val="00A27C91"/>
    <w:rsid w:val="00A27DE4"/>
    <w:rsid w:val="00A27F8D"/>
    <w:rsid w:val="00A3043B"/>
    <w:rsid w:val="00A304A0"/>
    <w:rsid w:val="00A311D6"/>
    <w:rsid w:val="00A3140C"/>
    <w:rsid w:val="00A314C6"/>
    <w:rsid w:val="00A315F7"/>
    <w:rsid w:val="00A3173E"/>
    <w:rsid w:val="00A318EE"/>
    <w:rsid w:val="00A31A00"/>
    <w:rsid w:val="00A31BB9"/>
    <w:rsid w:val="00A3216A"/>
    <w:rsid w:val="00A32367"/>
    <w:rsid w:val="00A32860"/>
    <w:rsid w:val="00A32C17"/>
    <w:rsid w:val="00A32CD0"/>
    <w:rsid w:val="00A32E1F"/>
    <w:rsid w:val="00A33B9B"/>
    <w:rsid w:val="00A33FB0"/>
    <w:rsid w:val="00A348BA"/>
    <w:rsid w:val="00A349F0"/>
    <w:rsid w:val="00A34FE1"/>
    <w:rsid w:val="00A35BAC"/>
    <w:rsid w:val="00A35D22"/>
    <w:rsid w:val="00A35E8F"/>
    <w:rsid w:val="00A362A6"/>
    <w:rsid w:val="00A365D7"/>
    <w:rsid w:val="00A366D4"/>
    <w:rsid w:val="00A36C64"/>
    <w:rsid w:val="00A37115"/>
    <w:rsid w:val="00A3754D"/>
    <w:rsid w:val="00A375C2"/>
    <w:rsid w:val="00A37766"/>
    <w:rsid w:val="00A3784F"/>
    <w:rsid w:val="00A37DF7"/>
    <w:rsid w:val="00A40042"/>
    <w:rsid w:val="00A40043"/>
    <w:rsid w:val="00A40383"/>
    <w:rsid w:val="00A4044B"/>
    <w:rsid w:val="00A40635"/>
    <w:rsid w:val="00A4071E"/>
    <w:rsid w:val="00A40D9E"/>
    <w:rsid w:val="00A4149E"/>
    <w:rsid w:val="00A414F7"/>
    <w:rsid w:val="00A4162E"/>
    <w:rsid w:val="00A41C70"/>
    <w:rsid w:val="00A42479"/>
    <w:rsid w:val="00A4274E"/>
    <w:rsid w:val="00A4285C"/>
    <w:rsid w:val="00A42886"/>
    <w:rsid w:val="00A42A3B"/>
    <w:rsid w:val="00A43D2F"/>
    <w:rsid w:val="00A43D77"/>
    <w:rsid w:val="00A43E57"/>
    <w:rsid w:val="00A440EB"/>
    <w:rsid w:val="00A4424E"/>
    <w:rsid w:val="00A4452C"/>
    <w:rsid w:val="00A4455B"/>
    <w:rsid w:val="00A4466B"/>
    <w:rsid w:val="00A44D8B"/>
    <w:rsid w:val="00A44FA5"/>
    <w:rsid w:val="00A45192"/>
    <w:rsid w:val="00A45222"/>
    <w:rsid w:val="00A458BC"/>
    <w:rsid w:val="00A458E2"/>
    <w:rsid w:val="00A45A8D"/>
    <w:rsid w:val="00A45C52"/>
    <w:rsid w:val="00A45D95"/>
    <w:rsid w:val="00A46335"/>
    <w:rsid w:val="00A46708"/>
    <w:rsid w:val="00A46839"/>
    <w:rsid w:val="00A468E0"/>
    <w:rsid w:val="00A469F5"/>
    <w:rsid w:val="00A46D12"/>
    <w:rsid w:val="00A46E90"/>
    <w:rsid w:val="00A4701B"/>
    <w:rsid w:val="00A47041"/>
    <w:rsid w:val="00A47345"/>
    <w:rsid w:val="00A47472"/>
    <w:rsid w:val="00A47853"/>
    <w:rsid w:val="00A47880"/>
    <w:rsid w:val="00A47891"/>
    <w:rsid w:val="00A500F3"/>
    <w:rsid w:val="00A5017E"/>
    <w:rsid w:val="00A50667"/>
    <w:rsid w:val="00A5080B"/>
    <w:rsid w:val="00A508AD"/>
    <w:rsid w:val="00A50DC9"/>
    <w:rsid w:val="00A50E4C"/>
    <w:rsid w:val="00A51135"/>
    <w:rsid w:val="00A512A2"/>
    <w:rsid w:val="00A52170"/>
    <w:rsid w:val="00A528C2"/>
    <w:rsid w:val="00A529DD"/>
    <w:rsid w:val="00A52A27"/>
    <w:rsid w:val="00A52DA4"/>
    <w:rsid w:val="00A52E9D"/>
    <w:rsid w:val="00A52EAA"/>
    <w:rsid w:val="00A52F28"/>
    <w:rsid w:val="00A532A9"/>
    <w:rsid w:val="00A53446"/>
    <w:rsid w:val="00A537F5"/>
    <w:rsid w:val="00A53B81"/>
    <w:rsid w:val="00A53B9B"/>
    <w:rsid w:val="00A53EA6"/>
    <w:rsid w:val="00A5406E"/>
    <w:rsid w:val="00A54620"/>
    <w:rsid w:val="00A5551F"/>
    <w:rsid w:val="00A55BE7"/>
    <w:rsid w:val="00A55DC9"/>
    <w:rsid w:val="00A56243"/>
    <w:rsid w:val="00A5626E"/>
    <w:rsid w:val="00A56419"/>
    <w:rsid w:val="00A565EB"/>
    <w:rsid w:val="00A5663D"/>
    <w:rsid w:val="00A56C40"/>
    <w:rsid w:val="00A571AB"/>
    <w:rsid w:val="00A57393"/>
    <w:rsid w:val="00A57BE1"/>
    <w:rsid w:val="00A57E2D"/>
    <w:rsid w:val="00A57F85"/>
    <w:rsid w:val="00A60372"/>
    <w:rsid w:val="00A604D7"/>
    <w:rsid w:val="00A6065C"/>
    <w:rsid w:val="00A610E0"/>
    <w:rsid w:val="00A61429"/>
    <w:rsid w:val="00A62043"/>
    <w:rsid w:val="00A626B3"/>
    <w:rsid w:val="00A62818"/>
    <w:rsid w:val="00A62C27"/>
    <w:rsid w:val="00A62E56"/>
    <w:rsid w:val="00A63478"/>
    <w:rsid w:val="00A63D33"/>
    <w:rsid w:val="00A63D9B"/>
    <w:rsid w:val="00A643E6"/>
    <w:rsid w:val="00A64489"/>
    <w:rsid w:val="00A64643"/>
    <w:rsid w:val="00A646C7"/>
    <w:rsid w:val="00A64840"/>
    <w:rsid w:val="00A64EB9"/>
    <w:rsid w:val="00A65330"/>
    <w:rsid w:val="00A654A6"/>
    <w:rsid w:val="00A6571F"/>
    <w:rsid w:val="00A659FA"/>
    <w:rsid w:val="00A660B1"/>
    <w:rsid w:val="00A663BE"/>
    <w:rsid w:val="00A665E6"/>
    <w:rsid w:val="00A666EE"/>
    <w:rsid w:val="00A66848"/>
    <w:rsid w:val="00A6696C"/>
    <w:rsid w:val="00A66AC0"/>
    <w:rsid w:val="00A66FFD"/>
    <w:rsid w:val="00A67408"/>
    <w:rsid w:val="00A675A1"/>
    <w:rsid w:val="00A677A1"/>
    <w:rsid w:val="00A6789A"/>
    <w:rsid w:val="00A67DB4"/>
    <w:rsid w:val="00A7024C"/>
    <w:rsid w:val="00A704D1"/>
    <w:rsid w:val="00A705BA"/>
    <w:rsid w:val="00A70607"/>
    <w:rsid w:val="00A707A7"/>
    <w:rsid w:val="00A707AF"/>
    <w:rsid w:val="00A7094C"/>
    <w:rsid w:val="00A70AAA"/>
    <w:rsid w:val="00A70D78"/>
    <w:rsid w:val="00A71111"/>
    <w:rsid w:val="00A71210"/>
    <w:rsid w:val="00A71945"/>
    <w:rsid w:val="00A71B6B"/>
    <w:rsid w:val="00A721F9"/>
    <w:rsid w:val="00A724B3"/>
    <w:rsid w:val="00A728D2"/>
    <w:rsid w:val="00A72A93"/>
    <w:rsid w:val="00A72B7A"/>
    <w:rsid w:val="00A72D95"/>
    <w:rsid w:val="00A72E7F"/>
    <w:rsid w:val="00A72F64"/>
    <w:rsid w:val="00A73167"/>
    <w:rsid w:val="00A733F6"/>
    <w:rsid w:val="00A73718"/>
    <w:rsid w:val="00A7384C"/>
    <w:rsid w:val="00A73C4B"/>
    <w:rsid w:val="00A73C88"/>
    <w:rsid w:val="00A74021"/>
    <w:rsid w:val="00A74145"/>
    <w:rsid w:val="00A74A6A"/>
    <w:rsid w:val="00A74AFE"/>
    <w:rsid w:val="00A75285"/>
    <w:rsid w:val="00A752C7"/>
    <w:rsid w:val="00A75DD0"/>
    <w:rsid w:val="00A75E9E"/>
    <w:rsid w:val="00A7606F"/>
    <w:rsid w:val="00A76623"/>
    <w:rsid w:val="00A76C6C"/>
    <w:rsid w:val="00A76CB4"/>
    <w:rsid w:val="00A76D0B"/>
    <w:rsid w:val="00A76D6B"/>
    <w:rsid w:val="00A76DCF"/>
    <w:rsid w:val="00A771D0"/>
    <w:rsid w:val="00A77823"/>
    <w:rsid w:val="00A80072"/>
    <w:rsid w:val="00A80138"/>
    <w:rsid w:val="00A8088B"/>
    <w:rsid w:val="00A80A51"/>
    <w:rsid w:val="00A80B01"/>
    <w:rsid w:val="00A80F51"/>
    <w:rsid w:val="00A80FAE"/>
    <w:rsid w:val="00A810CF"/>
    <w:rsid w:val="00A81C7E"/>
    <w:rsid w:val="00A81D0F"/>
    <w:rsid w:val="00A81F4D"/>
    <w:rsid w:val="00A821F4"/>
    <w:rsid w:val="00A82398"/>
    <w:rsid w:val="00A826B6"/>
    <w:rsid w:val="00A827FC"/>
    <w:rsid w:val="00A82816"/>
    <w:rsid w:val="00A82AE8"/>
    <w:rsid w:val="00A82EE7"/>
    <w:rsid w:val="00A83068"/>
    <w:rsid w:val="00A83306"/>
    <w:rsid w:val="00A83649"/>
    <w:rsid w:val="00A8373A"/>
    <w:rsid w:val="00A83B31"/>
    <w:rsid w:val="00A83BCA"/>
    <w:rsid w:val="00A83C2C"/>
    <w:rsid w:val="00A83E6B"/>
    <w:rsid w:val="00A83FCB"/>
    <w:rsid w:val="00A84815"/>
    <w:rsid w:val="00A84D9E"/>
    <w:rsid w:val="00A857B5"/>
    <w:rsid w:val="00A86087"/>
    <w:rsid w:val="00A8626B"/>
    <w:rsid w:val="00A865A3"/>
    <w:rsid w:val="00A866E4"/>
    <w:rsid w:val="00A86A5F"/>
    <w:rsid w:val="00A8726B"/>
    <w:rsid w:val="00A8748D"/>
    <w:rsid w:val="00A87CE4"/>
    <w:rsid w:val="00A87FA6"/>
    <w:rsid w:val="00A902A2"/>
    <w:rsid w:val="00A903B9"/>
    <w:rsid w:val="00A90FA7"/>
    <w:rsid w:val="00A9159C"/>
    <w:rsid w:val="00A91632"/>
    <w:rsid w:val="00A916E1"/>
    <w:rsid w:val="00A91927"/>
    <w:rsid w:val="00A919EA"/>
    <w:rsid w:val="00A91B97"/>
    <w:rsid w:val="00A920C4"/>
    <w:rsid w:val="00A92155"/>
    <w:rsid w:val="00A92333"/>
    <w:rsid w:val="00A923AC"/>
    <w:rsid w:val="00A926E8"/>
    <w:rsid w:val="00A927A0"/>
    <w:rsid w:val="00A92BCB"/>
    <w:rsid w:val="00A937AA"/>
    <w:rsid w:val="00A9384F"/>
    <w:rsid w:val="00A93CC2"/>
    <w:rsid w:val="00A93D9A"/>
    <w:rsid w:val="00A94032"/>
    <w:rsid w:val="00A94382"/>
    <w:rsid w:val="00A94A8D"/>
    <w:rsid w:val="00A94F9A"/>
    <w:rsid w:val="00A9545E"/>
    <w:rsid w:val="00A9568A"/>
    <w:rsid w:val="00A95706"/>
    <w:rsid w:val="00A95967"/>
    <w:rsid w:val="00A95ACA"/>
    <w:rsid w:val="00A95E0D"/>
    <w:rsid w:val="00A9631C"/>
    <w:rsid w:val="00A965F0"/>
    <w:rsid w:val="00A96746"/>
    <w:rsid w:val="00A9684A"/>
    <w:rsid w:val="00A9685A"/>
    <w:rsid w:val="00A96B58"/>
    <w:rsid w:val="00A96B79"/>
    <w:rsid w:val="00A96C9F"/>
    <w:rsid w:val="00A972D7"/>
    <w:rsid w:val="00A974F3"/>
    <w:rsid w:val="00A9799E"/>
    <w:rsid w:val="00AA001D"/>
    <w:rsid w:val="00AA04CD"/>
    <w:rsid w:val="00AA0BB2"/>
    <w:rsid w:val="00AA0C31"/>
    <w:rsid w:val="00AA1384"/>
    <w:rsid w:val="00AA1497"/>
    <w:rsid w:val="00AA14AE"/>
    <w:rsid w:val="00AA189E"/>
    <w:rsid w:val="00AA18C3"/>
    <w:rsid w:val="00AA18F4"/>
    <w:rsid w:val="00AA1FD0"/>
    <w:rsid w:val="00AA2A16"/>
    <w:rsid w:val="00AA3093"/>
    <w:rsid w:val="00AA3152"/>
    <w:rsid w:val="00AA33DF"/>
    <w:rsid w:val="00AA38C8"/>
    <w:rsid w:val="00AA40F7"/>
    <w:rsid w:val="00AA415B"/>
    <w:rsid w:val="00AA4313"/>
    <w:rsid w:val="00AA44AA"/>
    <w:rsid w:val="00AA463A"/>
    <w:rsid w:val="00AA4666"/>
    <w:rsid w:val="00AA5048"/>
    <w:rsid w:val="00AA5472"/>
    <w:rsid w:val="00AA5477"/>
    <w:rsid w:val="00AA5955"/>
    <w:rsid w:val="00AA5E23"/>
    <w:rsid w:val="00AA65E9"/>
    <w:rsid w:val="00AA6C5E"/>
    <w:rsid w:val="00AA6CAA"/>
    <w:rsid w:val="00AA6CD3"/>
    <w:rsid w:val="00AA6FA4"/>
    <w:rsid w:val="00AA7799"/>
    <w:rsid w:val="00AA79C5"/>
    <w:rsid w:val="00AA7F73"/>
    <w:rsid w:val="00AA7F9B"/>
    <w:rsid w:val="00AB0773"/>
    <w:rsid w:val="00AB0D55"/>
    <w:rsid w:val="00AB0EFA"/>
    <w:rsid w:val="00AB1A94"/>
    <w:rsid w:val="00AB206A"/>
    <w:rsid w:val="00AB2241"/>
    <w:rsid w:val="00AB24AC"/>
    <w:rsid w:val="00AB250E"/>
    <w:rsid w:val="00AB253D"/>
    <w:rsid w:val="00AB2F09"/>
    <w:rsid w:val="00AB3C7F"/>
    <w:rsid w:val="00AB3E32"/>
    <w:rsid w:val="00AB4C1D"/>
    <w:rsid w:val="00AB4C8D"/>
    <w:rsid w:val="00AB4EDE"/>
    <w:rsid w:val="00AB4F6A"/>
    <w:rsid w:val="00AB58F4"/>
    <w:rsid w:val="00AB5A71"/>
    <w:rsid w:val="00AB5C1C"/>
    <w:rsid w:val="00AB5C58"/>
    <w:rsid w:val="00AB5EB6"/>
    <w:rsid w:val="00AB622B"/>
    <w:rsid w:val="00AB6429"/>
    <w:rsid w:val="00AB6994"/>
    <w:rsid w:val="00AB770A"/>
    <w:rsid w:val="00AB777E"/>
    <w:rsid w:val="00AB7851"/>
    <w:rsid w:val="00AB7DA5"/>
    <w:rsid w:val="00AB7DC3"/>
    <w:rsid w:val="00AC0062"/>
    <w:rsid w:val="00AC0218"/>
    <w:rsid w:val="00AC021E"/>
    <w:rsid w:val="00AC052B"/>
    <w:rsid w:val="00AC0578"/>
    <w:rsid w:val="00AC0A97"/>
    <w:rsid w:val="00AC1580"/>
    <w:rsid w:val="00AC15BE"/>
    <w:rsid w:val="00AC1BA1"/>
    <w:rsid w:val="00AC1C9E"/>
    <w:rsid w:val="00AC21BC"/>
    <w:rsid w:val="00AC230E"/>
    <w:rsid w:val="00AC2549"/>
    <w:rsid w:val="00AC25B7"/>
    <w:rsid w:val="00AC2DB7"/>
    <w:rsid w:val="00AC2FE8"/>
    <w:rsid w:val="00AC34D2"/>
    <w:rsid w:val="00AC38DD"/>
    <w:rsid w:val="00AC3AE0"/>
    <w:rsid w:val="00AC3B84"/>
    <w:rsid w:val="00AC4326"/>
    <w:rsid w:val="00AC4870"/>
    <w:rsid w:val="00AC4C17"/>
    <w:rsid w:val="00AC4C80"/>
    <w:rsid w:val="00AC504A"/>
    <w:rsid w:val="00AC5168"/>
    <w:rsid w:val="00AC582E"/>
    <w:rsid w:val="00AC5B4C"/>
    <w:rsid w:val="00AC5CC2"/>
    <w:rsid w:val="00AC611C"/>
    <w:rsid w:val="00AC6132"/>
    <w:rsid w:val="00AC6269"/>
    <w:rsid w:val="00AC6341"/>
    <w:rsid w:val="00AC6F4C"/>
    <w:rsid w:val="00AC7031"/>
    <w:rsid w:val="00AC74F1"/>
    <w:rsid w:val="00AC75D6"/>
    <w:rsid w:val="00AC7750"/>
    <w:rsid w:val="00AC775F"/>
    <w:rsid w:val="00AC79AD"/>
    <w:rsid w:val="00AC7B9D"/>
    <w:rsid w:val="00AC7D33"/>
    <w:rsid w:val="00AC7E60"/>
    <w:rsid w:val="00AC7EFF"/>
    <w:rsid w:val="00AD011C"/>
    <w:rsid w:val="00AD0223"/>
    <w:rsid w:val="00AD0311"/>
    <w:rsid w:val="00AD0905"/>
    <w:rsid w:val="00AD0D5A"/>
    <w:rsid w:val="00AD0E93"/>
    <w:rsid w:val="00AD0FBE"/>
    <w:rsid w:val="00AD1202"/>
    <w:rsid w:val="00AD13B9"/>
    <w:rsid w:val="00AD19F2"/>
    <w:rsid w:val="00AD1A23"/>
    <w:rsid w:val="00AD1ACF"/>
    <w:rsid w:val="00AD1DE0"/>
    <w:rsid w:val="00AD1FA5"/>
    <w:rsid w:val="00AD2074"/>
    <w:rsid w:val="00AD213A"/>
    <w:rsid w:val="00AD2167"/>
    <w:rsid w:val="00AD24EC"/>
    <w:rsid w:val="00AD34A3"/>
    <w:rsid w:val="00AD3681"/>
    <w:rsid w:val="00AD36C0"/>
    <w:rsid w:val="00AD3894"/>
    <w:rsid w:val="00AD39AD"/>
    <w:rsid w:val="00AD4097"/>
    <w:rsid w:val="00AD40B7"/>
    <w:rsid w:val="00AD40F8"/>
    <w:rsid w:val="00AD4190"/>
    <w:rsid w:val="00AD4249"/>
    <w:rsid w:val="00AD4389"/>
    <w:rsid w:val="00AD4564"/>
    <w:rsid w:val="00AD4895"/>
    <w:rsid w:val="00AD4C44"/>
    <w:rsid w:val="00AD4F89"/>
    <w:rsid w:val="00AD4FD9"/>
    <w:rsid w:val="00AD5169"/>
    <w:rsid w:val="00AD573D"/>
    <w:rsid w:val="00AD5831"/>
    <w:rsid w:val="00AD650B"/>
    <w:rsid w:val="00AD6AB3"/>
    <w:rsid w:val="00AD6F0F"/>
    <w:rsid w:val="00AD7193"/>
    <w:rsid w:val="00AD7223"/>
    <w:rsid w:val="00AE0263"/>
    <w:rsid w:val="00AE0A30"/>
    <w:rsid w:val="00AE0CCD"/>
    <w:rsid w:val="00AE135A"/>
    <w:rsid w:val="00AE1532"/>
    <w:rsid w:val="00AE184A"/>
    <w:rsid w:val="00AE1970"/>
    <w:rsid w:val="00AE1B58"/>
    <w:rsid w:val="00AE1E3F"/>
    <w:rsid w:val="00AE2211"/>
    <w:rsid w:val="00AE279A"/>
    <w:rsid w:val="00AE28F6"/>
    <w:rsid w:val="00AE29BE"/>
    <w:rsid w:val="00AE2C78"/>
    <w:rsid w:val="00AE2EC6"/>
    <w:rsid w:val="00AE3104"/>
    <w:rsid w:val="00AE328B"/>
    <w:rsid w:val="00AE34CA"/>
    <w:rsid w:val="00AE36D0"/>
    <w:rsid w:val="00AE391E"/>
    <w:rsid w:val="00AE41C8"/>
    <w:rsid w:val="00AE41DA"/>
    <w:rsid w:val="00AE4481"/>
    <w:rsid w:val="00AE4692"/>
    <w:rsid w:val="00AE4909"/>
    <w:rsid w:val="00AE49FF"/>
    <w:rsid w:val="00AE4B3F"/>
    <w:rsid w:val="00AE54D4"/>
    <w:rsid w:val="00AE5751"/>
    <w:rsid w:val="00AE5C90"/>
    <w:rsid w:val="00AE5DB2"/>
    <w:rsid w:val="00AE60A8"/>
    <w:rsid w:val="00AE62F0"/>
    <w:rsid w:val="00AE63E6"/>
    <w:rsid w:val="00AE66FD"/>
    <w:rsid w:val="00AE6758"/>
    <w:rsid w:val="00AE6909"/>
    <w:rsid w:val="00AE6AC1"/>
    <w:rsid w:val="00AE6B1A"/>
    <w:rsid w:val="00AE6D1F"/>
    <w:rsid w:val="00AE7E97"/>
    <w:rsid w:val="00AF0019"/>
    <w:rsid w:val="00AF009E"/>
    <w:rsid w:val="00AF0104"/>
    <w:rsid w:val="00AF0392"/>
    <w:rsid w:val="00AF0393"/>
    <w:rsid w:val="00AF0868"/>
    <w:rsid w:val="00AF08E2"/>
    <w:rsid w:val="00AF0ED6"/>
    <w:rsid w:val="00AF1320"/>
    <w:rsid w:val="00AF15C3"/>
    <w:rsid w:val="00AF17E6"/>
    <w:rsid w:val="00AF1BCA"/>
    <w:rsid w:val="00AF1CE7"/>
    <w:rsid w:val="00AF2016"/>
    <w:rsid w:val="00AF204C"/>
    <w:rsid w:val="00AF2151"/>
    <w:rsid w:val="00AF217C"/>
    <w:rsid w:val="00AF22F6"/>
    <w:rsid w:val="00AF2B1A"/>
    <w:rsid w:val="00AF37DB"/>
    <w:rsid w:val="00AF383C"/>
    <w:rsid w:val="00AF3FF1"/>
    <w:rsid w:val="00AF4544"/>
    <w:rsid w:val="00AF49D4"/>
    <w:rsid w:val="00AF4A16"/>
    <w:rsid w:val="00AF4DB1"/>
    <w:rsid w:val="00AF4EFC"/>
    <w:rsid w:val="00AF5006"/>
    <w:rsid w:val="00AF53F6"/>
    <w:rsid w:val="00AF5C39"/>
    <w:rsid w:val="00AF5C4B"/>
    <w:rsid w:val="00AF5F72"/>
    <w:rsid w:val="00AF5F84"/>
    <w:rsid w:val="00AF61EC"/>
    <w:rsid w:val="00AF6401"/>
    <w:rsid w:val="00AF6599"/>
    <w:rsid w:val="00AF664A"/>
    <w:rsid w:val="00AF6795"/>
    <w:rsid w:val="00AF6985"/>
    <w:rsid w:val="00AF6A67"/>
    <w:rsid w:val="00AF6B82"/>
    <w:rsid w:val="00AF6C66"/>
    <w:rsid w:val="00AF6ECE"/>
    <w:rsid w:val="00AF78DA"/>
    <w:rsid w:val="00AF7A1F"/>
    <w:rsid w:val="00AF7CDF"/>
    <w:rsid w:val="00AF7F0A"/>
    <w:rsid w:val="00B00152"/>
    <w:rsid w:val="00B00429"/>
    <w:rsid w:val="00B00847"/>
    <w:rsid w:val="00B00F46"/>
    <w:rsid w:val="00B017BC"/>
    <w:rsid w:val="00B01872"/>
    <w:rsid w:val="00B02252"/>
    <w:rsid w:val="00B022F0"/>
    <w:rsid w:val="00B02431"/>
    <w:rsid w:val="00B02507"/>
    <w:rsid w:val="00B02B66"/>
    <w:rsid w:val="00B031AC"/>
    <w:rsid w:val="00B03544"/>
    <w:rsid w:val="00B0392F"/>
    <w:rsid w:val="00B03BF6"/>
    <w:rsid w:val="00B03CA5"/>
    <w:rsid w:val="00B03E45"/>
    <w:rsid w:val="00B040B1"/>
    <w:rsid w:val="00B04117"/>
    <w:rsid w:val="00B043AA"/>
    <w:rsid w:val="00B04404"/>
    <w:rsid w:val="00B0444E"/>
    <w:rsid w:val="00B0461D"/>
    <w:rsid w:val="00B046AF"/>
    <w:rsid w:val="00B047F0"/>
    <w:rsid w:val="00B04A28"/>
    <w:rsid w:val="00B0528A"/>
    <w:rsid w:val="00B054FE"/>
    <w:rsid w:val="00B05594"/>
    <w:rsid w:val="00B055FA"/>
    <w:rsid w:val="00B05827"/>
    <w:rsid w:val="00B05834"/>
    <w:rsid w:val="00B0587F"/>
    <w:rsid w:val="00B058C8"/>
    <w:rsid w:val="00B05902"/>
    <w:rsid w:val="00B05936"/>
    <w:rsid w:val="00B05B82"/>
    <w:rsid w:val="00B05CF2"/>
    <w:rsid w:val="00B05D24"/>
    <w:rsid w:val="00B0608E"/>
    <w:rsid w:val="00B061D8"/>
    <w:rsid w:val="00B0671E"/>
    <w:rsid w:val="00B070E5"/>
    <w:rsid w:val="00B07393"/>
    <w:rsid w:val="00B073D7"/>
    <w:rsid w:val="00B07538"/>
    <w:rsid w:val="00B079CC"/>
    <w:rsid w:val="00B101C8"/>
    <w:rsid w:val="00B1021A"/>
    <w:rsid w:val="00B102B8"/>
    <w:rsid w:val="00B1075B"/>
    <w:rsid w:val="00B11011"/>
    <w:rsid w:val="00B110BA"/>
    <w:rsid w:val="00B112C5"/>
    <w:rsid w:val="00B11FD7"/>
    <w:rsid w:val="00B1271C"/>
    <w:rsid w:val="00B1275F"/>
    <w:rsid w:val="00B12E80"/>
    <w:rsid w:val="00B13007"/>
    <w:rsid w:val="00B135F3"/>
    <w:rsid w:val="00B1364A"/>
    <w:rsid w:val="00B137CE"/>
    <w:rsid w:val="00B13962"/>
    <w:rsid w:val="00B142E3"/>
    <w:rsid w:val="00B14451"/>
    <w:rsid w:val="00B14769"/>
    <w:rsid w:val="00B14CBF"/>
    <w:rsid w:val="00B1559E"/>
    <w:rsid w:val="00B15D6F"/>
    <w:rsid w:val="00B1604D"/>
    <w:rsid w:val="00B161BD"/>
    <w:rsid w:val="00B163EE"/>
    <w:rsid w:val="00B1641F"/>
    <w:rsid w:val="00B16ABA"/>
    <w:rsid w:val="00B172B4"/>
    <w:rsid w:val="00B17691"/>
    <w:rsid w:val="00B17968"/>
    <w:rsid w:val="00B17A65"/>
    <w:rsid w:val="00B17E44"/>
    <w:rsid w:val="00B20152"/>
    <w:rsid w:val="00B20459"/>
    <w:rsid w:val="00B20713"/>
    <w:rsid w:val="00B20AAD"/>
    <w:rsid w:val="00B213FD"/>
    <w:rsid w:val="00B21534"/>
    <w:rsid w:val="00B217C5"/>
    <w:rsid w:val="00B21852"/>
    <w:rsid w:val="00B21A87"/>
    <w:rsid w:val="00B21B92"/>
    <w:rsid w:val="00B21E9A"/>
    <w:rsid w:val="00B21EC7"/>
    <w:rsid w:val="00B22218"/>
    <w:rsid w:val="00B22D68"/>
    <w:rsid w:val="00B22E4A"/>
    <w:rsid w:val="00B22FCF"/>
    <w:rsid w:val="00B23520"/>
    <w:rsid w:val="00B238AF"/>
    <w:rsid w:val="00B23998"/>
    <w:rsid w:val="00B23ACC"/>
    <w:rsid w:val="00B23C62"/>
    <w:rsid w:val="00B23DAD"/>
    <w:rsid w:val="00B249DA"/>
    <w:rsid w:val="00B24D61"/>
    <w:rsid w:val="00B24FEB"/>
    <w:rsid w:val="00B257B0"/>
    <w:rsid w:val="00B25B65"/>
    <w:rsid w:val="00B260AE"/>
    <w:rsid w:val="00B260D6"/>
    <w:rsid w:val="00B2697C"/>
    <w:rsid w:val="00B269D8"/>
    <w:rsid w:val="00B26A06"/>
    <w:rsid w:val="00B26EAE"/>
    <w:rsid w:val="00B278E8"/>
    <w:rsid w:val="00B27B3D"/>
    <w:rsid w:val="00B30083"/>
    <w:rsid w:val="00B306B0"/>
    <w:rsid w:val="00B30E81"/>
    <w:rsid w:val="00B30F8D"/>
    <w:rsid w:val="00B316A6"/>
    <w:rsid w:val="00B31772"/>
    <w:rsid w:val="00B31889"/>
    <w:rsid w:val="00B319B2"/>
    <w:rsid w:val="00B32007"/>
    <w:rsid w:val="00B3215B"/>
    <w:rsid w:val="00B32ABF"/>
    <w:rsid w:val="00B32F9F"/>
    <w:rsid w:val="00B33007"/>
    <w:rsid w:val="00B33568"/>
    <w:rsid w:val="00B33E5C"/>
    <w:rsid w:val="00B33EA5"/>
    <w:rsid w:val="00B344F6"/>
    <w:rsid w:val="00B34A7B"/>
    <w:rsid w:val="00B34AD4"/>
    <w:rsid w:val="00B34C25"/>
    <w:rsid w:val="00B358CE"/>
    <w:rsid w:val="00B3644B"/>
    <w:rsid w:val="00B36771"/>
    <w:rsid w:val="00B36939"/>
    <w:rsid w:val="00B36D36"/>
    <w:rsid w:val="00B37A02"/>
    <w:rsid w:val="00B37B09"/>
    <w:rsid w:val="00B403B4"/>
    <w:rsid w:val="00B40A13"/>
    <w:rsid w:val="00B40A17"/>
    <w:rsid w:val="00B40ED3"/>
    <w:rsid w:val="00B41365"/>
    <w:rsid w:val="00B41813"/>
    <w:rsid w:val="00B41F4A"/>
    <w:rsid w:val="00B420BC"/>
    <w:rsid w:val="00B421B9"/>
    <w:rsid w:val="00B42226"/>
    <w:rsid w:val="00B423EE"/>
    <w:rsid w:val="00B42650"/>
    <w:rsid w:val="00B42A97"/>
    <w:rsid w:val="00B42E72"/>
    <w:rsid w:val="00B4303A"/>
    <w:rsid w:val="00B43228"/>
    <w:rsid w:val="00B4372B"/>
    <w:rsid w:val="00B4384E"/>
    <w:rsid w:val="00B43A46"/>
    <w:rsid w:val="00B43C67"/>
    <w:rsid w:val="00B4424A"/>
    <w:rsid w:val="00B442BC"/>
    <w:rsid w:val="00B448A3"/>
    <w:rsid w:val="00B44A2B"/>
    <w:rsid w:val="00B44A61"/>
    <w:rsid w:val="00B44AFE"/>
    <w:rsid w:val="00B44BBE"/>
    <w:rsid w:val="00B44BF4"/>
    <w:rsid w:val="00B44DC2"/>
    <w:rsid w:val="00B44E03"/>
    <w:rsid w:val="00B44F11"/>
    <w:rsid w:val="00B452B1"/>
    <w:rsid w:val="00B456CA"/>
    <w:rsid w:val="00B45C01"/>
    <w:rsid w:val="00B45E81"/>
    <w:rsid w:val="00B467A6"/>
    <w:rsid w:val="00B468BF"/>
    <w:rsid w:val="00B46D19"/>
    <w:rsid w:val="00B46D30"/>
    <w:rsid w:val="00B470A8"/>
    <w:rsid w:val="00B472CC"/>
    <w:rsid w:val="00B473FB"/>
    <w:rsid w:val="00B4751F"/>
    <w:rsid w:val="00B4758F"/>
    <w:rsid w:val="00B47783"/>
    <w:rsid w:val="00B477C5"/>
    <w:rsid w:val="00B4793A"/>
    <w:rsid w:val="00B5055C"/>
    <w:rsid w:val="00B50909"/>
    <w:rsid w:val="00B50E12"/>
    <w:rsid w:val="00B50F8E"/>
    <w:rsid w:val="00B51FE5"/>
    <w:rsid w:val="00B522BD"/>
    <w:rsid w:val="00B5300B"/>
    <w:rsid w:val="00B530E6"/>
    <w:rsid w:val="00B54042"/>
    <w:rsid w:val="00B54F84"/>
    <w:rsid w:val="00B551A6"/>
    <w:rsid w:val="00B55480"/>
    <w:rsid w:val="00B558A1"/>
    <w:rsid w:val="00B56080"/>
    <w:rsid w:val="00B56123"/>
    <w:rsid w:val="00B56306"/>
    <w:rsid w:val="00B56C4F"/>
    <w:rsid w:val="00B57050"/>
    <w:rsid w:val="00B574EB"/>
    <w:rsid w:val="00B57643"/>
    <w:rsid w:val="00B57819"/>
    <w:rsid w:val="00B57CAC"/>
    <w:rsid w:val="00B57E81"/>
    <w:rsid w:val="00B57EAE"/>
    <w:rsid w:val="00B57F79"/>
    <w:rsid w:val="00B602BB"/>
    <w:rsid w:val="00B610BF"/>
    <w:rsid w:val="00B61136"/>
    <w:rsid w:val="00B6298D"/>
    <w:rsid w:val="00B62B2B"/>
    <w:rsid w:val="00B62B77"/>
    <w:rsid w:val="00B62FAB"/>
    <w:rsid w:val="00B6373E"/>
    <w:rsid w:val="00B63C56"/>
    <w:rsid w:val="00B63C73"/>
    <w:rsid w:val="00B63DEE"/>
    <w:rsid w:val="00B641FC"/>
    <w:rsid w:val="00B6428A"/>
    <w:rsid w:val="00B64A9B"/>
    <w:rsid w:val="00B64B3D"/>
    <w:rsid w:val="00B64E62"/>
    <w:rsid w:val="00B64F10"/>
    <w:rsid w:val="00B6533E"/>
    <w:rsid w:val="00B655B5"/>
    <w:rsid w:val="00B657D7"/>
    <w:rsid w:val="00B65D3A"/>
    <w:rsid w:val="00B65D5E"/>
    <w:rsid w:val="00B65DF7"/>
    <w:rsid w:val="00B66323"/>
    <w:rsid w:val="00B66A2E"/>
    <w:rsid w:val="00B67416"/>
    <w:rsid w:val="00B67654"/>
    <w:rsid w:val="00B67B2E"/>
    <w:rsid w:val="00B67FBB"/>
    <w:rsid w:val="00B70203"/>
    <w:rsid w:val="00B7023A"/>
    <w:rsid w:val="00B70356"/>
    <w:rsid w:val="00B70609"/>
    <w:rsid w:val="00B7065C"/>
    <w:rsid w:val="00B709B2"/>
    <w:rsid w:val="00B70AC9"/>
    <w:rsid w:val="00B71313"/>
    <w:rsid w:val="00B7134C"/>
    <w:rsid w:val="00B71AA2"/>
    <w:rsid w:val="00B71E13"/>
    <w:rsid w:val="00B72277"/>
    <w:rsid w:val="00B723C9"/>
    <w:rsid w:val="00B72477"/>
    <w:rsid w:val="00B72531"/>
    <w:rsid w:val="00B72C6E"/>
    <w:rsid w:val="00B72E02"/>
    <w:rsid w:val="00B72FDF"/>
    <w:rsid w:val="00B73854"/>
    <w:rsid w:val="00B73902"/>
    <w:rsid w:val="00B73ADC"/>
    <w:rsid w:val="00B74134"/>
    <w:rsid w:val="00B74296"/>
    <w:rsid w:val="00B74397"/>
    <w:rsid w:val="00B743DB"/>
    <w:rsid w:val="00B758B4"/>
    <w:rsid w:val="00B75A78"/>
    <w:rsid w:val="00B75E18"/>
    <w:rsid w:val="00B75FA0"/>
    <w:rsid w:val="00B76175"/>
    <w:rsid w:val="00B761BD"/>
    <w:rsid w:val="00B76A81"/>
    <w:rsid w:val="00B7751F"/>
    <w:rsid w:val="00B775C0"/>
    <w:rsid w:val="00B776B7"/>
    <w:rsid w:val="00B800ED"/>
    <w:rsid w:val="00B800FC"/>
    <w:rsid w:val="00B801A6"/>
    <w:rsid w:val="00B809EA"/>
    <w:rsid w:val="00B80DB7"/>
    <w:rsid w:val="00B80DF6"/>
    <w:rsid w:val="00B80F30"/>
    <w:rsid w:val="00B81A5C"/>
    <w:rsid w:val="00B81C49"/>
    <w:rsid w:val="00B82159"/>
    <w:rsid w:val="00B82327"/>
    <w:rsid w:val="00B8249A"/>
    <w:rsid w:val="00B825DD"/>
    <w:rsid w:val="00B82AA4"/>
    <w:rsid w:val="00B82B20"/>
    <w:rsid w:val="00B83563"/>
    <w:rsid w:val="00B83E4E"/>
    <w:rsid w:val="00B844F7"/>
    <w:rsid w:val="00B84583"/>
    <w:rsid w:val="00B84AD2"/>
    <w:rsid w:val="00B852D7"/>
    <w:rsid w:val="00B852EC"/>
    <w:rsid w:val="00B8540B"/>
    <w:rsid w:val="00B8556E"/>
    <w:rsid w:val="00B856C4"/>
    <w:rsid w:val="00B8616F"/>
    <w:rsid w:val="00B872B8"/>
    <w:rsid w:val="00B87709"/>
    <w:rsid w:val="00B87BA1"/>
    <w:rsid w:val="00B87C4B"/>
    <w:rsid w:val="00B87D22"/>
    <w:rsid w:val="00B903C1"/>
    <w:rsid w:val="00B906C9"/>
    <w:rsid w:val="00B9079D"/>
    <w:rsid w:val="00B90B88"/>
    <w:rsid w:val="00B91343"/>
    <w:rsid w:val="00B9135F"/>
    <w:rsid w:val="00B9204C"/>
    <w:rsid w:val="00B926EB"/>
    <w:rsid w:val="00B92D92"/>
    <w:rsid w:val="00B92EA4"/>
    <w:rsid w:val="00B931A7"/>
    <w:rsid w:val="00B93517"/>
    <w:rsid w:val="00B9378E"/>
    <w:rsid w:val="00B938B6"/>
    <w:rsid w:val="00B93A0E"/>
    <w:rsid w:val="00B9431F"/>
    <w:rsid w:val="00B944B4"/>
    <w:rsid w:val="00B94696"/>
    <w:rsid w:val="00B949C1"/>
    <w:rsid w:val="00B95219"/>
    <w:rsid w:val="00B956D5"/>
    <w:rsid w:val="00B95BE6"/>
    <w:rsid w:val="00B95F23"/>
    <w:rsid w:val="00B9634D"/>
    <w:rsid w:val="00B96611"/>
    <w:rsid w:val="00B96966"/>
    <w:rsid w:val="00B96C50"/>
    <w:rsid w:val="00B96CAE"/>
    <w:rsid w:val="00B96DB1"/>
    <w:rsid w:val="00B970CA"/>
    <w:rsid w:val="00B971F0"/>
    <w:rsid w:val="00B979BE"/>
    <w:rsid w:val="00BA005F"/>
    <w:rsid w:val="00BA00BA"/>
    <w:rsid w:val="00BA0805"/>
    <w:rsid w:val="00BA0870"/>
    <w:rsid w:val="00BA08A4"/>
    <w:rsid w:val="00BA0CDE"/>
    <w:rsid w:val="00BA1381"/>
    <w:rsid w:val="00BA1442"/>
    <w:rsid w:val="00BA15AB"/>
    <w:rsid w:val="00BA17B4"/>
    <w:rsid w:val="00BA205E"/>
    <w:rsid w:val="00BA206C"/>
    <w:rsid w:val="00BA245C"/>
    <w:rsid w:val="00BA2775"/>
    <w:rsid w:val="00BA2894"/>
    <w:rsid w:val="00BA2C46"/>
    <w:rsid w:val="00BA2D62"/>
    <w:rsid w:val="00BA2F3E"/>
    <w:rsid w:val="00BA318C"/>
    <w:rsid w:val="00BA3191"/>
    <w:rsid w:val="00BA36ED"/>
    <w:rsid w:val="00BA383E"/>
    <w:rsid w:val="00BA3CE6"/>
    <w:rsid w:val="00BA3EFB"/>
    <w:rsid w:val="00BA40C6"/>
    <w:rsid w:val="00BA436D"/>
    <w:rsid w:val="00BA4493"/>
    <w:rsid w:val="00BA4BC6"/>
    <w:rsid w:val="00BA4E54"/>
    <w:rsid w:val="00BA55D7"/>
    <w:rsid w:val="00BA5804"/>
    <w:rsid w:val="00BA5AF5"/>
    <w:rsid w:val="00BA5CCA"/>
    <w:rsid w:val="00BA61DE"/>
    <w:rsid w:val="00BA646A"/>
    <w:rsid w:val="00BA6733"/>
    <w:rsid w:val="00BA715E"/>
    <w:rsid w:val="00BA730F"/>
    <w:rsid w:val="00BA766D"/>
    <w:rsid w:val="00BA7847"/>
    <w:rsid w:val="00BA7D30"/>
    <w:rsid w:val="00BA7F99"/>
    <w:rsid w:val="00BB0226"/>
    <w:rsid w:val="00BB027B"/>
    <w:rsid w:val="00BB0543"/>
    <w:rsid w:val="00BB075A"/>
    <w:rsid w:val="00BB0A75"/>
    <w:rsid w:val="00BB10AE"/>
    <w:rsid w:val="00BB1782"/>
    <w:rsid w:val="00BB17B9"/>
    <w:rsid w:val="00BB18EB"/>
    <w:rsid w:val="00BB19C6"/>
    <w:rsid w:val="00BB1C56"/>
    <w:rsid w:val="00BB1F63"/>
    <w:rsid w:val="00BB23DD"/>
    <w:rsid w:val="00BB25E7"/>
    <w:rsid w:val="00BB2AB8"/>
    <w:rsid w:val="00BB2BD9"/>
    <w:rsid w:val="00BB31D7"/>
    <w:rsid w:val="00BB33DF"/>
    <w:rsid w:val="00BB387D"/>
    <w:rsid w:val="00BB3B78"/>
    <w:rsid w:val="00BB3C13"/>
    <w:rsid w:val="00BB3D25"/>
    <w:rsid w:val="00BB3EBC"/>
    <w:rsid w:val="00BB4444"/>
    <w:rsid w:val="00BB479C"/>
    <w:rsid w:val="00BB48B8"/>
    <w:rsid w:val="00BB4931"/>
    <w:rsid w:val="00BB4D25"/>
    <w:rsid w:val="00BB4FFE"/>
    <w:rsid w:val="00BB51C5"/>
    <w:rsid w:val="00BB5BDF"/>
    <w:rsid w:val="00BB621E"/>
    <w:rsid w:val="00BB6714"/>
    <w:rsid w:val="00BB6A43"/>
    <w:rsid w:val="00BB6EEA"/>
    <w:rsid w:val="00BB705F"/>
    <w:rsid w:val="00BB7BE4"/>
    <w:rsid w:val="00BB7E00"/>
    <w:rsid w:val="00BC000D"/>
    <w:rsid w:val="00BC015E"/>
    <w:rsid w:val="00BC06FB"/>
    <w:rsid w:val="00BC0B4B"/>
    <w:rsid w:val="00BC100A"/>
    <w:rsid w:val="00BC135A"/>
    <w:rsid w:val="00BC1A0A"/>
    <w:rsid w:val="00BC1B02"/>
    <w:rsid w:val="00BC1DFD"/>
    <w:rsid w:val="00BC23A5"/>
    <w:rsid w:val="00BC2500"/>
    <w:rsid w:val="00BC28B2"/>
    <w:rsid w:val="00BC30D4"/>
    <w:rsid w:val="00BC31CC"/>
    <w:rsid w:val="00BC3210"/>
    <w:rsid w:val="00BC3394"/>
    <w:rsid w:val="00BC341A"/>
    <w:rsid w:val="00BC3A0A"/>
    <w:rsid w:val="00BC40D3"/>
    <w:rsid w:val="00BC4560"/>
    <w:rsid w:val="00BC4948"/>
    <w:rsid w:val="00BC4FA4"/>
    <w:rsid w:val="00BC5282"/>
    <w:rsid w:val="00BC5C31"/>
    <w:rsid w:val="00BC6467"/>
    <w:rsid w:val="00BC6563"/>
    <w:rsid w:val="00BC6757"/>
    <w:rsid w:val="00BC6C99"/>
    <w:rsid w:val="00BC788B"/>
    <w:rsid w:val="00BD02DF"/>
    <w:rsid w:val="00BD0502"/>
    <w:rsid w:val="00BD0A63"/>
    <w:rsid w:val="00BD0D4A"/>
    <w:rsid w:val="00BD0F5D"/>
    <w:rsid w:val="00BD1252"/>
    <w:rsid w:val="00BD12BD"/>
    <w:rsid w:val="00BD1468"/>
    <w:rsid w:val="00BD1657"/>
    <w:rsid w:val="00BD187E"/>
    <w:rsid w:val="00BD257D"/>
    <w:rsid w:val="00BD288A"/>
    <w:rsid w:val="00BD2C28"/>
    <w:rsid w:val="00BD2D6E"/>
    <w:rsid w:val="00BD32A2"/>
    <w:rsid w:val="00BD34AD"/>
    <w:rsid w:val="00BD362D"/>
    <w:rsid w:val="00BD38AB"/>
    <w:rsid w:val="00BD4243"/>
    <w:rsid w:val="00BD4930"/>
    <w:rsid w:val="00BD4A3F"/>
    <w:rsid w:val="00BD4DD3"/>
    <w:rsid w:val="00BD5006"/>
    <w:rsid w:val="00BD5A76"/>
    <w:rsid w:val="00BD5B0E"/>
    <w:rsid w:val="00BD6523"/>
    <w:rsid w:val="00BD6951"/>
    <w:rsid w:val="00BD7301"/>
    <w:rsid w:val="00BD78DA"/>
    <w:rsid w:val="00BD7CD8"/>
    <w:rsid w:val="00BE0046"/>
    <w:rsid w:val="00BE0563"/>
    <w:rsid w:val="00BE06AA"/>
    <w:rsid w:val="00BE06BB"/>
    <w:rsid w:val="00BE0857"/>
    <w:rsid w:val="00BE1124"/>
    <w:rsid w:val="00BE2662"/>
    <w:rsid w:val="00BE2EAB"/>
    <w:rsid w:val="00BE40FB"/>
    <w:rsid w:val="00BE4183"/>
    <w:rsid w:val="00BE4692"/>
    <w:rsid w:val="00BE4A91"/>
    <w:rsid w:val="00BE4C12"/>
    <w:rsid w:val="00BE4FAA"/>
    <w:rsid w:val="00BE5D5B"/>
    <w:rsid w:val="00BE5F24"/>
    <w:rsid w:val="00BE5FD7"/>
    <w:rsid w:val="00BE6574"/>
    <w:rsid w:val="00BE6D06"/>
    <w:rsid w:val="00BE7042"/>
    <w:rsid w:val="00BE7401"/>
    <w:rsid w:val="00BE7475"/>
    <w:rsid w:val="00BE7859"/>
    <w:rsid w:val="00BE788A"/>
    <w:rsid w:val="00BF0555"/>
    <w:rsid w:val="00BF05F4"/>
    <w:rsid w:val="00BF06AF"/>
    <w:rsid w:val="00BF0936"/>
    <w:rsid w:val="00BF0CA6"/>
    <w:rsid w:val="00BF0E88"/>
    <w:rsid w:val="00BF0F1F"/>
    <w:rsid w:val="00BF14E3"/>
    <w:rsid w:val="00BF18B5"/>
    <w:rsid w:val="00BF1A77"/>
    <w:rsid w:val="00BF1FD5"/>
    <w:rsid w:val="00BF1FE2"/>
    <w:rsid w:val="00BF21D6"/>
    <w:rsid w:val="00BF222C"/>
    <w:rsid w:val="00BF22B3"/>
    <w:rsid w:val="00BF2401"/>
    <w:rsid w:val="00BF2547"/>
    <w:rsid w:val="00BF2579"/>
    <w:rsid w:val="00BF2916"/>
    <w:rsid w:val="00BF30CB"/>
    <w:rsid w:val="00BF3264"/>
    <w:rsid w:val="00BF362B"/>
    <w:rsid w:val="00BF36B8"/>
    <w:rsid w:val="00BF3DAC"/>
    <w:rsid w:val="00BF40E3"/>
    <w:rsid w:val="00BF4191"/>
    <w:rsid w:val="00BF41EF"/>
    <w:rsid w:val="00BF452D"/>
    <w:rsid w:val="00BF4D22"/>
    <w:rsid w:val="00BF5631"/>
    <w:rsid w:val="00BF56F6"/>
    <w:rsid w:val="00BF5A19"/>
    <w:rsid w:val="00BF5C63"/>
    <w:rsid w:val="00BF5CF7"/>
    <w:rsid w:val="00BF5E30"/>
    <w:rsid w:val="00BF5FBC"/>
    <w:rsid w:val="00BF609D"/>
    <w:rsid w:val="00BF671D"/>
    <w:rsid w:val="00BF680A"/>
    <w:rsid w:val="00BF6986"/>
    <w:rsid w:val="00BF6DF6"/>
    <w:rsid w:val="00BF7024"/>
    <w:rsid w:val="00BF707E"/>
    <w:rsid w:val="00BF707F"/>
    <w:rsid w:val="00BF72C0"/>
    <w:rsid w:val="00BF73CA"/>
    <w:rsid w:val="00BF7483"/>
    <w:rsid w:val="00BF77CF"/>
    <w:rsid w:val="00BF789B"/>
    <w:rsid w:val="00BF7F62"/>
    <w:rsid w:val="00C0064B"/>
    <w:rsid w:val="00C007B7"/>
    <w:rsid w:val="00C007BB"/>
    <w:rsid w:val="00C0082A"/>
    <w:rsid w:val="00C00CE3"/>
    <w:rsid w:val="00C00E97"/>
    <w:rsid w:val="00C00F2C"/>
    <w:rsid w:val="00C01318"/>
    <w:rsid w:val="00C014DF"/>
    <w:rsid w:val="00C01756"/>
    <w:rsid w:val="00C01E24"/>
    <w:rsid w:val="00C01E4A"/>
    <w:rsid w:val="00C01F44"/>
    <w:rsid w:val="00C020FC"/>
    <w:rsid w:val="00C03162"/>
    <w:rsid w:val="00C0332C"/>
    <w:rsid w:val="00C03A00"/>
    <w:rsid w:val="00C03F5E"/>
    <w:rsid w:val="00C0486E"/>
    <w:rsid w:val="00C04F4C"/>
    <w:rsid w:val="00C05363"/>
    <w:rsid w:val="00C05585"/>
    <w:rsid w:val="00C05B0A"/>
    <w:rsid w:val="00C05E81"/>
    <w:rsid w:val="00C06023"/>
    <w:rsid w:val="00C062B0"/>
    <w:rsid w:val="00C064B0"/>
    <w:rsid w:val="00C066C1"/>
    <w:rsid w:val="00C066CB"/>
    <w:rsid w:val="00C0684F"/>
    <w:rsid w:val="00C06BC3"/>
    <w:rsid w:val="00C0710C"/>
    <w:rsid w:val="00C0736C"/>
    <w:rsid w:val="00C075E1"/>
    <w:rsid w:val="00C07609"/>
    <w:rsid w:val="00C07804"/>
    <w:rsid w:val="00C07826"/>
    <w:rsid w:val="00C07DBD"/>
    <w:rsid w:val="00C10885"/>
    <w:rsid w:val="00C10989"/>
    <w:rsid w:val="00C113CF"/>
    <w:rsid w:val="00C118A1"/>
    <w:rsid w:val="00C11A0E"/>
    <w:rsid w:val="00C11CDF"/>
    <w:rsid w:val="00C1243D"/>
    <w:rsid w:val="00C125AA"/>
    <w:rsid w:val="00C128E9"/>
    <w:rsid w:val="00C12FB9"/>
    <w:rsid w:val="00C1328A"/>
    <w:rsid w:val="00C1341E"/>
    <w:rsid w:val="00C13C6C"/>
    <w:rsid w:val="00C13CF0"/>
    <w:rsid w:val="00C143CF"/>
    <w:rsid w:val="00C14F5E"/>
    <w:rsid w:val="00C151F1"/>
    <w:rsid w:val="00C1530D"/>
    <w:rsid w:val="00C15A55"/>
    <w:rsid w:val="00C15A85"/>
    <w:rsid w:val="00C15C5F"/>
    <w:rsid w:val="00C15C92"/>
    <w:rsid w:val="00C16096"/>
    <w:rsid w:val="00C1610C"/>
    <w:rsid w:val="00C161B4"/>
    <w:rsid w:val="00C16319"/>
    <w:rsid w:val="00C166E0"/>
    <w:rsid w:val="00C16971"/>
    <w:rsid w:val="00C16B0A"/>
    <w:rsid w:val="00C16D75"/>
    <w:rsid w:val="00C172DD"/>
    <w:rsid w:val="00C1731A"/>
    <w:rsid w:val="00C17392"/>
    <w:rsid w:val="00C174EA"/>
    <w:rsid w:val="00C175AE"/>
    <w:rsid w:val="00C175F3"/>
    <w:rsid w:val="00C17640"/>
    <w:rsid w:val="00C177E1"/>
    <w:rsid w:val="00C17976"/>
    <w:rsid w:val="00C1797A"/>
    <w:rsid w:val="00C17A56"/>
    <w:rsid w:val="00C17EFF"/>
    <w:rsid w:val="00C20110"/>
    <w:rsid w:val="00C201A2"/>
    <w:rsid w:val="00C2024C"/>
    <w:rsid w:val="00C20356"/>
    <w:rsid w:val="00C203CC"/>
    <w:rsid w:val="00C20C50"/>
    <w:rsid w:val="00C20C8B"/>
    <w:rsid w:val="00C20DC7"/>
    <w:rsid w:val="00C21FC8"/>
    <w:rsid w:val="00C2261F"/>
    <w:rsid w:val="00C22655"/>
    <w:rsid w:val="00C226D4"/>
    <w:rsid w:val="00C227C2"/>
    <w:rsid w:val="00C22BBB"/>
    <w:rsid w:val="00C232D1"/>
    <w:rsid w:val="00C234DB"/>
    <w:rsid w:val="00C23673"/>
    <w:rsid w:val="00C236B8"/>
    <w:rsid w:val="00C23A61"/>
    <w:rsid w:val="00C240C1"/>
    <w:rsid w:val="00C241BD"/>
    <w:rsid w:val="00C24B7D"/>
    <w:rsid w:val="00C24BCF"/>
    <w:rsid w:val="00C251EF"/>
    <w:rsid w:val="00C25271"/>
    <w:rsid w:val="00C25498"/>
    <w:rsid w:val="00C25AC2"/>
    <w:rsid w:val="00C25AC5"/>
    <w:rsid w:val="00C25BE5"/>
    <w:rsid w:val="00C2610D"/>
    <w:rsid w:val="00C26821"/>
    <w:rsid w:val="00C269C8"/>
    <w:rsid w:val="00C26B7A"/>
    <w:rsid w:val="00C2703E"/>
    <w:rsid w:val="00C274A6"/>
    <w:rsid w:val="00C2751E"/>
    <w:rsid w:val="00C301B7"/>
    <w:rsid w:val="00C301CE"/>
    <w:rsid w:val="00C30482"/>
    <w:rsid w:val="00C30830"/>
    <w:rsid w:val="00C30838"/>
    <w:rsid w:val="00C31329"/>
    <w:rsid w:val="00C316D1"/>
    <w:rsid w:val="00C318BB"/>
    <w:rsid w:val="00C321D0"/>
    <w:rsid w:val="00C32201"/>
    <w:rsid w:val="00C32526"/>
    <w:rsid w:val="00C32636"/>
    <w:rsid w:val="00C32994"/>
    <w:rsid w:val="00C32B19"/>
    <w:rsid w:val="00C332A6"/>
    <w:rsid w:val="00C33508"/>
    <w:rsid w:val="00C335BB"/>
    <w:rsid w:val="00C339BD"/>
    <w:rsid w:val="00C339D6"/>
    <w:rsid w:val="00C34338"/>
    <w:rsid w:val="00C34B22"/>
    <w:rsid w:val="00C34EA6"/>
    <w:rsid w:val="00C350C3"/>
    <w:rsid w:val="00C3563C"/>
    <w:rsid w:val="00C3571D"/>
    <w:rsid w:val="00C35950"/>
    <w:rsid w:val="00C36139"/>
    <w:rsid w:val="00C36A11"/>
    <w:rsid w:val="00C36CD1"/>
    <w:rsid w:val="00C36D68"/>
    <w:rsid w:val="00C37370"/>
    <w:rsid w:val="00C373A8"/>
    <w:rsid w:val="00C37BCF"/>
    <w:rsid w:val="00C37CE0"/>
    <w:rsid w:val="00C4021A"/>
    <w:rsid w:val="00C40577"/>
    <w:rsid w:val="00C4065D"/>
    <w:rsid w:val="00C40685"/>
    <w:rsid w:val="00C40950"/>
    <w:rsid w:val="00C40971"/>
    <w:rsid w:val="00C410A2"/>
    <w:rsid w:val="00C411ED"/>
    <w:rsid w:val="00C41299"/>
    <w:rsid w:val="00C41622"/>
    <w:rsid w:val="00C41F37"/>
    <w:rsid w:val="00C421CF"/>
    <w:rsid w:val="00C426D8"/>
    <w:rsid w:val="00C4299D"/>
    <w:rsid w:val="00C430A2"/>
    <w:rsid w:val="00C430AC"/>
    <w:rsid w:val="00C43133"/>
    <w:rsid w:val="00C440A4"/>
    <w:rsid w:val="00C4493C"/>
    <w:rsid w:val="00C44B7A"/>
    <w:rsid w:val="00C44CEB"/>
    <w:rsid w:val="00C44E15"/>
    <w:rsid w:val="00C44EFB"/>
    <w:rsid w:val="00C45273"/>
    <w:rsid w:val="00C45282"/>
    <w:rsid w:val="00C45306"/>
    <w:rsid w:val="00C45707"/>
    <w:rsid w:val="00C457EA"/>
    <w:rsid w:val="00C459F3"/>
    <w:rsid w:val="00C45B17"/>
    <w:rsid w:val="00C45CAC"/>
    <w:rsid w:val="00C4630C"/>
    <w:rsid w:val="00C468A2"/>
    <w:rsid w:val="00C47601"/>
    <w:rsid w:val="00C47674"/>
    <w:rsid w:val="00C47AB2"/>
    <w:rsid w:val="00C47CDB"/>
    <w:rsid w:val="00C47F46"/>
    <w:rsid w:val="00C5033B"/>
    <w:rsid w:val="00C5054C"/>
    <w:rsid w:val="00C50755"/>
    <w:rsid w:val="00C507B1"/>
    <w:rsid w:val="00C50C52"/>
    <w:rsid w:val="00C50E50"/>
    <w:rsid w:val="00C51426"/>
    <w:rsid w:val="00C5150E"/>
    <w:rsid w:val="00C51513"/>
    <w:rsid w:val="00C5189A"/>
    <w:rsid w:val="00C51C1C"/>
    <w:rsid w:val="00C51EE2"/>
    <w:rsid w:val="00C52182"/>
    <w:rsid w:val="00C521D7"/>
    <w:rsid w:val="00C526FE"/>
    <w:rsid w:val="00C52770"/>
    <w:rsid w:val="00C5285A"/>
    <w:rsid w:val="00C529D3"/>
    <w:rsid w:val="00C52FA6"/>
    <w:rsid w:val="00C5308A"/>
    <w:rsid w:val="00C53CA5"/>
    <w:rsid w:val="00C541A2"/>
    <w:rsid w:val="00C54347"/>
    <w:rsid w:val="00C54ACD"/>
    <w:rsid w:val="00C54D5B"/>
    <w:rsid w:val="00C54EC7"/>
    <w:rsid w:val="00C5515B"/>
    <w:rsid w:val="00C55B41"/>
    <w:rsid w:val="00C55B92"/>
    <w:rsid w:val="00C55BB5"/>
    <w:rsid w:val="00C55F60"/>
    <w:rsid w:val="00C56213"/>
    <w:rsid w:val="00C562DA"/>
    <w:rsid w:val="00C565B9"/>
    <w:rsid w:val="00C56835"/>
    <w:rsid w:val="00C56903"/>
    <w:rsid w:val="00C569D7"/>
    <w:rsid w:val="00C56A28"/>
    <w:rsid w:val="00C56CE2"/>
    <w:rsid w:val="00C57578"/>
    <w:rsid w:val="00C57666"/>
    <w:rsid w:val="00C60320"/>
    <w:rsid w:val="00C603D7"/>
    <w:rsid w:val="00C60AC8"/>
    <w:rsid w:val="00C61923"/>
    <w:rsid w:val="00C61967"/>
    <w:rsid w:val="00C61B00"/>
    <w:rsid w:val="00C61B72"/>
    <w:rsid w:val="00C6220F"/>
    <w:rsid w:val="00C623A4"/>
    <w:rsid w:val="00C6250E"/>
    <w:rsid w:val="00C62879"/>
    <w:rsid w:val="00C628D0"/>
    <w:rsid w:val="00C6293A"/>
    <w:rsid w:val="00C629CA"/>
    <w:rsid w:val="00C62F88"/>
    <w:rsid w:val="00C62F95"/>
    <w:rsid w:val="00C632E4"/>
    <w:rsid w:val="00C63438"/>
    <w:rsid w:val="00C6394B"/>
    <w:rsid w:val="00C639F7"/>
    <w:rsid w:val="00C649D7"/>
    <w:rsid w:val="00C64A56"/>
    <w:rsid w:val="00C64CAA"/>
    <w:rsid w:val="00C658D8"/>
    <w:rsid w:val="00C65A36"/>
    <w:rsid w:val="00C65FAA"/>
    <w:rsid w:val="00C662A2"/>
    <w:rsid w:val="00C66402"/>
    <w:rsid w:val="00C66442"/>
    <w:rsid w:val="00C66522"/>
    <w:rsid w:val="00C666AF"/>
    <w:rsid w:val="00C6671B"/>
    <w:rsid w:val="00C66E2A"/>
    <w:rsid w:val="00C670C3"/>
    <w:rsid w:val="00C677B9"/>
    <w:rsid w:val="00C67941"/>
    <w:rsid w:val="00C70076"/>
    <w:rsid w:val="00C70216"/>
    <w:rsid w:val="00C70289"/>
    <w:rsid w:val="00C70564"/>
    <w:rsid w:val="00C707A0"/>
    <w:rsid w:val="00C708C7"/>
    <w:rsid w:val="00C70D62"/>
    <w:rsid w:val="00C70DB2"/>
    <w:rsid w:val="00C70E3F"/>
    <w:rsid w:val="00C7185F"/>
    <w:rsid w:val="00C719B5"/>
    <w:rsid w:val="00C71A7A"/>
    <w:rsid w:val="00C71C2C"/>
    <w:rsid w:val="00C71FB3"/>
    <w:rsid w:val="00C7294F"/>
    <w:rsid w:val="00C72DD0"/>
    <w:rsid w:val="00C7350D"/>
    <w:rsid w:val="00C73B18"/>
    <w:rsid w:val="00C73DA8"/>
    <w:rsid w:val="00C7425F"/>
    <w:rsid w:val="00C743AF"/>
    <w:rsid w:val="00C7450D"/>
    <w:rsid w:val="00C75186"/>
    <w:rsid w:val="00C75912"/>
    <w:rsid w:val="00C75BC7"/>
    <w:rsid w:val="00C75FE7"/>
    <w:rsid w:val="00C77141"/>
    <w:rsid w:val="00C77B12"/>
    <w:rsid w:val="00C77E6F"/>
    <w:rsid w:val="00C8063F"/>
    <w:rsid w:val="00C80A73"/>
    <w:rsid w:val="00C818D1"/>
    <w:rsid w:val="00C81CB0"/>
    <w:rsid w:val="00C81FB6"/>
    <w:rsid w:val="00C824C9"/>
    <w:rsid w:val="00C82B19"/>
    <w:rsid w:val="00C82DD5"/>
    <w:rsid w:val="00C83823"/>
    <w:rsid w:val="00C839F3"/>
    <w:rsid w:val="00C84039"/>
    <w:rsid w:val="00C8430D"/>
    <w:rsid w:val="00C84315"/>
    <w:rsid w:val="00C845A4"/>
    <w:rsid w:val="00C84A6F"/>
    <w:rsid w:val="00C84DAE"/>
    <w:rsid w:val="00C851C9"/>
    <w:rsid w:val="00C85856"/>
    <w:rsid w:val="00C85DA5"/>
    <w:rsid w:val="00C86182"/>
    <w:rsid w:val="00C8625A"/>
    <w:rsid w:val="00C8629F"/>
    <w:rsid w:val="00C86310"/>
    <w:rsid w:val="00C8643A"/>
    <w:rsid w:val="00C867CF"/>
    <w:rsid w:val="00C868E4"/>
    <w:rsid w:val="00C86B76"/>
    <w:rsid w:val="00C87056"/>
    <w:rsid w:val="00C87226"/>
    <w:rsid w:val="00C873DA"/>
    <w:rsid w:val="00C874BC"/>
    <w:rsid w:val="00C87C58"/>
    <w:rsid w:val="00C901E9"/>
    <w:rsid w:val="00C908A1"/>
    <w:rsid w:val="00C90ACB"/>
    <w:rsid w:val="00C914E5"/>
    <w:rsid w:val="00C91A6C"/>
    <w:rsid w:val="00C91B77"/>
    <w:rsid w:val="00C92C19"/>
    <w:rsid w:val="00C9322D"/>
    <w:rsid w:val="00C93440"/>
    <w:rsid w:val="00C93486"/>
    <w:rsid w:val="00C93611"/>
    <w:rsid w:val="00C93873"/>
    <w:rsid w:val="00C94491"/>
    <w:rsid w:val="00C94714"/>
    <w:rsid w:val="00C9475A"/>
    <w:rsid w:val="00C94A6F"/>
    <w:rsid w:val="00C94E67"/>
    <w:rsid w:val="00C950B8"/>
    <w:rsid w:val="00C9519E"/>
    <w:rsid w:val="00C95386"/>
    <w:rsid w:val="00C9582D"/>
    <w:rsid w:val="00C95CB8"/>
    <w:rsid w:val="00C95E72"/>
    <w:rsid w:val="00C95E8A"/>
    <w:rsid w:val="00C95EF9"/>
    <w:rsid w:val="00C95F81"/>
    <w:rsid w:val="00C96340"/>
    <w:rsid w:val="00C963CE"/>
    <w:rsid w:val="00C96498"/>
    <w:rsid w:val="00C967FA"/>
    <w:rsid w:val="00C96A2A"/>
    <w:rsid w:val="00C96E76"/>
    <w:rsid w:val="00C96ED6"/>
    <w:rsid w:val="00C97184"/>
    <w:rsid w:val="00C97373"/>
    <w:rsid w:val="00C97A89"/>
    <w:rsid w:val="00C97C00"/>
    <w:rsid w:val="00C97EAD"/>
    <w:rsid w:val="00C97EFA"/>
    <w:rsid w:val="00CA024B"/>
    <w:rsid w:val="00CA0394"/>
    <w:rsid w:val="00CA05FD"/>
    <w:rsid w:val="00CA0ACA"/>
    <w:rsid w:val="00CA0E57"/>
    <w:rsid w:val="00CA0E59"/>
    <w:rsid w:val="00CA0E7A"/>
    <w:rsid w:val="00CA1BC8"/>
    <w:rsid w:val="00CA1C8A"/>
    <w:rsid w:val="00CA216B"/>
    <w:rsid w:val="00CA21B3"/>
    <w:rsid w:val="00CA32C9"/>
    <w:rsid w:val="00CA3737"/>
    <w:rsid w:val="00CA4F27"/>
    <w:rsid w:val="00CA53EF"/>
    <w:rsid w:val="00CA55C7"/>
    <w:rsid w:val="00CA5928"/>
    <w:rsid w:val="00CA5ABC"/>
    <w:rsid w:val="00CA5CF4"/>
    <w:rsid w:val="00CA5F18"/>
    <w:rsid w:val="00CA5F32"/>
    <w:rsid w:val="00CA622D"/>
    <w:rsid w:val="00CA6A5E"/>
    <w:rsid w:val="00CA6CC4"/>
    <w:rsid w:val="00CA6FDF"/>
    <w:rsid w:val="00CA7869"/>
    <w:rsid w:val="00CB0251"/>
    <w:rsid w:val="00CB0642"/>
    <w:rsid w:val="00CB0672"/>
    <w:rsid w:val="00CB07DF"/>
    <w:rsid w:val="00CB07F8"/>
    <w:rsid w:val="00CB0849"/>
    <w:rsid w:val="00CB0863"/>
    <w:rsid w:val="00CB114E"/>
    <w:rsid w:val="00CB1404"/>
    <w:rsid w:val="00CB159C"/>
    <w:rsid w:val="00CB163B"/>
    <w:rsid w:val="00CB1888"/>
    <w:rsid w:val="00CB232C"/>
    <w:rsid w:val="00CB24FE"/>
    <w:rsid w:val="00CB2BFF"/>
    <w:rsid w:val="00CB2D3C"/>
    <w:rsid w:val="00CB2EB0"/>
    <w:rsid w:val="00CB2F04"/>
    <w:rsid w:val="00CB3312"/>
    <w:rsid w:val="00CB3F24"/>
    <w:rsid w:val="00CB44F4"/>
    <w:rsid w:val="00CB4DD7"/>
    <w:rsid w:val="00CB4F94"/>
    <w:rsid w:val="00CB52E7"/>
    <w:rsid w:val="00CB5A0E"/>
    <w:rsid w:val="00CB5B3E"/>
    <w:rsid w:val="00CB5E0E"/>
    <w:rsid w:val="00CB617D"/>
    <w:rsid w:val="00CB6242"/>
    <w:rsid w:val="00CB68B3"/>
    <w:rsid w:val="00CB7C06"/>
    <w:rsid w:val="00CB7F2B"/>
    <w:rsid w:val="00CC0011"/>
    <w:rsid w:val="00CC02BB"/>
    <w:rsid w:val="00CC0337"/>
    <w:rsid w:val="00CC085D"/>
    <w:rsid w:val="00CC1010"/>
    <w:rsid w:val="00CC15B8"/>
    <w:rsid w:val="00CC198B"/>
    <w:rsid w:val="00CC1F67"/>
    <w:rsid w:val="00CC2108"/>
    <w:rsid w:val="00CC2289"/>
    <w:rsid w:val="00CC2362"/>
    <w:rsid w:val="00CC2491"/>
    <w:rsid w:val="00CC319E"/>
    <w:rsid w:val="00CC32A9"/>
    <w:rsid w:val="00CC34A4"/>
    <w:rsid w:val="00CC425A"/>
    <w:rsid w:val="00CC43B7"/>
    <w:rsid w:val="00CC43F2"/>
    <w:rsid w:val="00CC4597"/>
    <w:rsid w:val="00CC4770"/>
    <w:rsid w:val="00CC4C7A"/>
    <w:rsid w:val="00CC5890"/>
    <w:rsid w:val="00CC5897"/>
    <w:rsid w:val="00CC5B02"/>
    <w:rsid w:val="00CC5ED4"/>
    <w:rsid w:val="00CC5F7E"/>
    <w:rsid w:val="00CC6093"/>
    <w:rsid w:val="00CC68B5"/>
    <w:rsid w:val="00CC6B37"/>
    <w:rsid w:val="00CC6B5E"/>
    <w:rsid w:val="00CC72C7"/>
    <w:rsid w:val="00CD01EC"/>
    <w:rsid w:val="00CD05A8"/>
    <w:rsid w:val="00CD08C9"/>
    <w:rsid w:val="00CD0A0E"/>
    <w:rsid w:val="00CD0AFF"/>
    <w:rsid w:val="00CD0F69"/>
    <w:rsid w:val="00CD1255"/>
    <w:rsid w:val="00CD1420"/>
    <w:rsid w:val="00CD1679"/>
    <w:rsid w:val="00CD1B43"/>
    <w:rsid w:val="00CD1E12"/>
    <w:rsid w:val="00CD2113"/>
    <w:rsid w:val="00CD22CE"/>
    <w:rsid w:val="00CD2976"/>
    <w:rsid w:val="00CD2A76"/>
    <w:rsid w:val="00CD2A88"/>
    <w:rsid w:val="00CD3914"/>
    <w:rsid w:val="00CD40DB"/>
    <w:rsid w:val="00CD410F"/>
    <w:rsid w:val="00CD4401"/>
    <w:rsid w:val="00CD4508"/>
    <w:rsid w:val="00CD48C6"/>
    <w:rsid w:val="00CD4A3E"/>
    <w:rsid w:val="00CD4CA6"/>
    <w:rsid w:val="00CD4DB9"/>
    <w:rsid w:val="00CD5010"/>
    <w:rsid w:val="00CD538A"/>
    <w:rsid w:val="00CD5489"/>
    <w:rsid w:val="00CD5588"/>
    <w:rsid w:val="00CD5A30"/>
    <w:rsid w:val="00CD5A35"/>
    <w:rsid w:val="00CD5B2C"/>
    <w:rsid w:val="00CD5E60"/>
    <w:rsid w:val="00CD5FA2"/>
    <w:rsid w:val="00CD64C0"/>
    <w:rsid w:val="00CD7051"/>
    <w:rsid w:val="00CD7274"/>
    <w:rsid w:val="00CD7522"/>
    <w:rsid w:val="00CE02D8"/>
    <w:rsid w:val="00CE0724"/>
    <w:rsid w:val="00CE0A86"/>
    <w:rsid w:val="00CE0B7F"/>
    <w:rsid w:val="00CE110B"/>
    <w:rsid w:val="00CE147D"/>
    <w:rsid w:val="00CE14D1"/>
    <w:rsid w:val="00CE16F1"/>
    <w:rsid w:val="00CE1925"/>
    <w:rsid w:val="00CE1C13"/>
    <w:rsid w:val="00CE1E93"/>
    <w:rsid w:val="00CE219C"/>
    <w:rsid w:val="00CE23DB"/>
    <w:rsid w:val="00CE2D95"/>
    <w:rsid w:val="00CE334B"/>
    <w:rsid w:val="00CE41AE"/>
    <w:rsid w:val="00CE45BF"/>
    <w:rsid w:val="00CE477D"/>
    <w:rsid w:val="00CE4930"/>
    <w:rsid w:val="00CE4AAB"/>
    <w:rsid w:val="00CE5303"/>
    <w:rsid w:val="00CE57D4"/>
    <w:rsid w:val="00CE5972"/>
    <w:rsid w:val="00CE608F"/>
    <w:rsid w:val="00CE6141"/>
    <w:rsid w:val="00CE615F"/>
    <w:rsid w:val="00CE639C"/>
    <w:rsid w:val="00CE69DA"/>
    <w:rsid w:val="00CE6A44"/>
    <w:rsid w:val="00CE6AA1"/>
    <w:rsid w:val="00CE6D79"/>
    <w:rsid w:val="00CE6E40"/>
    <w:rsid w:val="00CE724A"/>
    <w:rsid w:val="00CE75BB"/>
    <w:rsid w:val="00CE78E6"/>
    <w:rsid w:val="00CE79C8"/>
    <w:rsid w:val="00CF0293"/>
    <w:rsid w:val="00CF0459"/>
    <w:rsid w:val="00CF0993"/>
    <w:rsid w:val="00CF09CC"/>
    <w:rsid w:val="00CF0A16"/>
    <w:rsid w:val="00CF0A5F"/>
    <w:rsid w:val="00CF0AFC"/>
    <w:rsid w:val="00CF0C13"/>
    <w:rsid w:val="00CF1BD9"/>
    <w:rsid w:val="00CF1EB5"/>
    <w:rsid w:val="00CF2268"/>
    <w:rsid w:val="00CF241F"/>
    <w:rsid w:val="00CF247B"/>
    <w:rsid w:val="00CF2A66"/>
    <w:rsid w:val="00CF2B60"/>
    <w:rsid w:val="00CF2DA7"/>
    <w:rsid w:val="00CF2F2C"/>
    <w:rsid w:val="00CF306D"/>
    <w:rsid w:val="00CF308D"/>
    <w:rsid w:val="00CF3296"/>
    <w:rsid w:val="00CF3431"/>
    <w:rsid w:val="00CF35EA"/>
    <w:rsid w:val="00CF36A5"/>
    <w:rsid w:val="00CF38C9"/>
    <w:rsid w:val="00CF392E"/>
    <w:rsid w:val="00CF3F2E"/>
    <w:rsid w:val="00CF3F33"/>
    <w:rsid w:val="00CF4482"/>
    <w:rsid w:val="00CF44D7"/>
    <w:rsid w:val="00CF4BD7"/>
    <w:rsid w:val="00CF502A"/>
    <w:rsid w:val="00CF5551"/>
    <w:rsid w:val="00CF59B8"/>
    <w:rsid w:val="00CF5B57"/>
    <w:rsid w:val="00CF5CF3"/>
    <w:rsid w:val="00CF615E"/>
    <w:rsid w:val="00CF6580"/>
    <w:rsid w:val="00CF6699"/>
    <w:rsid w:val="00CF6763"/>
    <w:rsid w:val="00CF6796"/>
    <w:rsid w:val="00CF6898"/>
    <w:rsid w:val="00CF6B1B"/>
    <w:rsid w:val="00CF6C2B"/>
    <w:rsid w:val="00CF6EB8"/>
    <w:rsid w:val="00CF6FC7"/>
    <w:rsid w:val="00CF70DA"/>
    <w:rsid w:val="00CF7252"/>
    <w:rsid w:val="00CF7687"/>
    <w:rsid w:val="00D003DB"/>
    <w:rsid w:val="00D0050D"/>
    <w:rsid w:val="00D00854"/>
    <w:rsid w:val="00D008B9"/>
    <w:rsid w:val="00D00941"/>
    <w:rsid w:val="00D00A91"/>
    <w:rsid w:val="00D00C32"/>
    <w:rsid w:val="00D00D58"/>
    <w:rsid w:val="00D01348"/>
    <w:rsid w:val="00D0148E"/>
    <w:rsid w:val="00D0176A"/>
    <w:rsid w:val="00D01978"/>
    <w:rsid w:val="00D02433"/>
    <w:rsid w:val="00D024E2"/>
    <w:rsid w:val="00D0259D"/>
    <w:rsid w:val="00D026E2"/>
    <w:rsid w:val="00D02875"/>
    <w:rsid w:val="00D02C25"/>
    <w:rsid w:val="00D02E73"/>
    <w:rsid w:val="00D0354B"/>
    <w:rsid w:val="00D03C1A"/>
    <w:rsid w:val="00D03DC5"/>
    <w:rsid w:val="00D03E4B"/>
    <w:rsid w:val="00D04273"/>
    <w:rsid w:val="00D042D6"/>
    <w:rsid w:val="00D043E1"/>
    <w:rsid w:val="00D0519F"/>
    <w:rsid w:val="00D054BD"/>
    <w:rsid w:val="00D058FF"/>
    <w:rsid w:val="00D05AC2"/>
    <w:rsid w:val="00D05B2A"/>
    <w:rsid w:val="00D05E43"/>
    <w:rsid w:val="00D05E4B"/>
    <w:rsid w:val="00D06F93"/>
    <w:rsid w:val="00D0707C"/>
    <w:rsid w:val="00D07556"/>
    <w:rsid w:val="00D07746"/>
    <w:rsid w:val="00D078A7"/>
    <w:rsid w:val="00D07C26"/>
    <w:rsid w:val="00D10335"/>
    <w:rsid w:val="00D10455"/>
    <w:rsid w:val="00D10C72"/>
    <w:rsid w:val="00D1110E"/>
    <w:rsid w:val="00D11188"/>
    <w:rsid w:val="00D1199D"/>
    <w:rsid w:val="00D11FF7"/>
    <w:rsid w:val="00D12A6C"/>
    <w:rsid w:val="00D12DBB"/>
    <w:rsid w:val="00D12EFC"/>
    <w:rsid w:val="00D130C3"/>
    <w:rsid w:val="00D13287"/>
    <w:rsid w:val="00D13B96"/>
    <w:rsid w:val="00D13E8D"/>
    <w:rsid w:val="00D140BB"/>
    <w:rsid w:val="00D14A49"/>
    <w:rsid w:val="00D14D7E"/>
    <w:rsid w:val="00D158E1"/>
    <w:rsid w:val="00D1594E"/>
    <w:rsid w:val="00D15DC3"/>
    <w:rsid w:val="00D16034"/>
    <w:rsid w:val="00D160EA"/>
    <w:rsid w:val="00D165B5"/>
    <w:rsid w:val="00D16D08"/>
    <w:rsid w:val="00D16D24"/>
    <w:rsid w:val="00D1712C"/>
    <w:rsid w:val="00D17A36"/>
    <w:rsid w:val="00D17ED3"/>
    <w:rsid w:val="00D2033A"/>
    <w:rsid w:val="00D2039E"/>
    <w:rsid w:val="00D205E2"/>
    <w:rsid w:val="00D20777"/>
    <w:rsid w:val="00D2085B"/>
    <w:rsid w:val="00D20C89"/>
    <w:rsid w:val="00D20DDF"/>
    <w:rsid w:val="00D20E7F"/>
    <w:rsid w:val="00D213DF"/>
    <w:rsid w:val="00D21497"/>
    <w:rsid w:val="00D2151E"/>
    <w:rsid w:val="00D21605"/>
    <w:rsid w:val="00D2179B"/>
    <w:rsid w:val="00D21AB8"/>
    <w:rsid w:val="00D21ACE"/>
    <w:rsid w:val="00D21F3B"/>
    <w:rsid w:val="00D22129"/>
    <w:rsid w:val="00D2241A"/>
    <w:rsid w:val="00D224AC"/>
    <w:rsid w:val="00D22505"/>
    <w:rsid w:val="00D232D2"/>
    <w:rsid w:val="00D23C7C"/>
    <w:rsid w:val="00D2411E"/>
    <w:rsid w:val="00D2430F"/>
    <w:rsid w:val="00D246BE"/>
    <w:rsid w:val="00D247A8"/>
    <w:rsid w:val="00D2539F"/>
    <w:rsid w:val="00D25566"/>
    <w:rsid w:val="00D25888"/>
    <w:rsid w:val="00D25B0D"/>
    <w:rsid w:val="00D26064"/>
    <w:rsid w:val="00D26490"/>
    <w:rsid w:val="00D266FF"/>
    <w:rsid w:val="00D26874"/>
    <w:rsid w:val="00D26BBE"/>
    <w:rsid w:val="00D277D0"/>
    <w:rsid w:val="00D279B4"/>
    <w:rsid w:val="00D27B82"/>
    <w:rsid w:val="00D27BCA"/>
    <w:rsid w:val="00D27ED5"/>
    <w:rsid w:val="00D3031E"/>
    <w:rsid w:val="00D30466"/>
    <w:rsid w:val="00D3047B"/>
    <w:rsid w:val="00D309C4"/>
    <w:rsid w:val="00D309E8"/>
    <w:rsid w:val="00D3113F"/>
    <w:rsid w:val="00D31387"/>
    <w:rsid w:val="00D31516"/>
    <w:rsid w:val="00D3162F"/>
    <w:rsid w:val="00D3170D"/>
    <w:rsid w:val="00D3185D"/>
    <w:rsid w:val="00D31983"/>
    <w:rsid w:val="00D31A9D"/>
    <w:rsid w:val="00D329BB"/>
    <w:rsid w:val="00D32AE6"/>
    <w:rsid w:val="00D32E9E"/>
    <w:rsid w:val="00D32F4F"/>
    <w:rsid w:val="00D332EF"/>
    <w:rsid w:val="00D334CE"/>
    <w:rsid w:val="00D339DD"/>
    <w:rsid w:val="00D33E82"/>
    <w:rsid w:val="00D33EF3"/>
    <w:rsid w:val="00D3400E"/>
    <w:rsid w:val="00D34052"/>
    <w:rsid w:val="00D34185"/>
    <w:rsid w:val="00D34592"/>
    <w:rsid w:val="00D3475D"/>
    <w:rsid w:val="00D34984"/>
    <w:rsid w:val="00D34A95"/>
    <w:rsid w:val="00D350AD"/>
    <w:rsid w:val="00D35257"/>
    <w:rsid w:val="00D35368"/>
    <w:rsid w:val="00D353A2"/>
    <w:rsid w:val="00D35463"/>
    <w:rsid w:val="00D3570B"/>
    <w:rsid w:val="00D35C89"/>
    <w:rsid w:val="00D35DD2"/>
    <w:rsid w:val="00D35F88"/>
    <w:rsid w:val="00D36148"/>
    <w:rsid w:val="00D3628E"/>
    <w:rsid w:val="00D36830"/>
    <w:rsid w:val="00D368D3"/>
    <w:rsid w:val="00D371DB"/>
    <w:rsid w:val="00D3728B"/>
    <w:rsid w:val="00D376A3"/>
    <w:rsid w:val="00D37ADE"/>
    <w:rsid w:val="00D37CB3"/>
    <w:rsid w:val="00D40169"/>
    <w:rsid w:val="00D40265"/>
    <w:rsid w:val="00D406BA"/>
    <w:rsid w:val="00D40708"/>
    <w:rsid w:val="00D40B57"/>
    <w:rsid w:val="00D40EA1"/>
    <w:rsid w:val="00D4113E"/>
    <w:rsid w:val="00D41BC1"/>
    <w:rsid w:val="00D41F90"/>
    <w:rsid w:val="00D42493"/>
    <w:rsid w:val="00D42BC1"/>
    <w:rsid w:val="00D42D60"/>
    <w:rsid w:val="00D42FC7"/>
    <w:rsid w:val="00D430AB"/>
    <w:rsid w:val="00D430DA"/>
    <w:rsid w:val="00D43476"/>
    <w:rsid w:val="00D4349B"/>
    <w:rsid w:val="00D445D2"/>
    <w:rsid w:val="00D445EA"/>
    <w:rsid w:val="00D4525E"/>
    <w:rsid w:val="00D45636"/>
    <w:rsid w:val="00D45FED"/>
    <w:rsid w:val="00D46025"/>
    <w:rsid w:val="00D46520"/>
    <w:rsid w:val="00D46BDC"/>
    <w:rsid w:val="00D46F1E"/>
    <w:rsid w:val="00D470E3"/>
    <w:rsid w:val="00D47382"/>
    <w:rsid w:val="00D47535"/>
    <w:rsid w:val="00D475A3"/>
    <w:rsid w:val="00D477E8"/>
    <w:rsid w:val="00D47ABB"/>
    <w:rsid w:val="00D47B6E"/>
    <w:rsid w:val="00D47D99"/>
    <w:rsid w:val="00D47F41"/>
    <w:rsid w:val="00D500B1"/>
    <w:rsid w:val="00D5041C"/>
    <w:rsid w:val="00D5053F"/>
    <w:rsid w:val="00D50B67"/>
    <w:rsid w:val="00D50C45"/>
    <w:rsid w:val="00D50F90"/>
    <w:rsid w:val="00D5101D"/>
    <w:rsid w:val="00D5114E"/>
    <w:rsid w:val="00D5184D"/>
    <w:rsid w:val="00D51A13"/>
    <w:rsid w:val="00D51B00"/>
    <w:rsid w:val="00D51B08"/>
    <w:rsid w:val="00D51FA3"/>
    <w:rsid w:val="00D523AC"/>
    <w:rsid w:val="00D52600"/>
    <w:rsid w:val="00D52A76"/>
    <w:rsid w:val="00D52C2B"/>
    <w:rsid w:val="00D5344B"/>
    <w:rsid w:val="00D53577"/>
    <w:rsid w:val="00D53AED"/>
    <w:rsid w:val="00D53FB0"/>
    <w:rsid w:val="00D542CE"/>
    <w:rsid w:val="00D544B3"/>
    <w:rsid w:val="00D551D0"/>
    <w:rsid w:val="00D5541A"/>
    <w:rsid w:val="00D5581A"/>
    <w:rsid w:val="00D55936"/>
    <w:rsid w:val="00D55BB7"/>
    <w:rsid w:val="00D565CE"/>
    <w:rsid w:val="00D56BB6"/>
    <w:rsid w:val="00D56C4B"/>
    <w:rsid w:val="00D56E40"/>
    <w:rsid w:val="00D5705E"/>
    <w:rsid w:val="00D57290"/>
    <w:rsid w:val="00D5762E"/>
    <w:rsid w:val="00D57A0C"/>
    <w:rsid w:val="00D600E7"/>
    <w:rsid w:val="00D60583"/>
    <w:rsid w:val="00D60632"/>
    <w:rsid w:val="00D60823"/>
    <w:rsid w:val="00D60EF1"/>
    <w:rsid w:val="00D60F99"/>
    <w:rsid w:val="00D6121F"/>
    <w:rsid w:val="00D614B0"/>
    <w:rsid w:val="00D616EA"/>
    <w:rsid w:val="00D6197D"/>
    <w:rsid w:val="00D61C7E"/>
    <w:rsid w:val="00D61C91"/>
    <w:rsid w:val="00D61CEA"/>
    <w:rsid w:val="00D629C0"/>
    <w:rsid w:val="00D63D4E"/>
    <w:rsid w:val="00D63E97"/>
    <w:rsid w:val="00D63F99"/>
    <w:rsid w:val="00D646DE"/>
    <w:rsid w:val="00D64952"/>
    <w:rsid w:val="00D65191"/>
    <w:rsid w:val="00D657E2"/>
    <w:rsid w:val="00D65956"/>
    <w:rsid w:val="00D65B2C"/>
    <w:rsid w:val="00D65B34"/>
    <w:rsid w:val="00D66693"/>
    <w:rsid w:val="00D6678E"/>
    <w:rsid w:val="00D668C1"/>
    <w:rsid w:val="00D66BCC"/>
    <w:rsid w:val="00D66C67"/>
    <w:rsid w:val="00D66C81"/>
    <w:rsid w:val="00D6710F"/>
    <w:rsid w:val="00D67FC2"/>
    <w:rsid w:val="00D70092"/>
    <w:rsid w:val="00D70291"/>
    <w:rsid w:val="00D703F1"/>
    <w:rsid w:val="00D70401"/>
    <w:rsid w:val="00D709CC"/>
    <w:rsid w:val="00D70D6F"/>
    <w:rsid w:val="00D7103C"/>
    <w:rsid w:val="00D7150C"/>
    <w:rsid w:val="00D71C72"/>
    <w:rsid w:val="00D7221C"/>
    <w:rsid w:val="00D72748"/>
    <w:rsid w:val="00D729DE"/>
    <w:rsid w:val="00D72DA2"/>
    <w:rsid w:val="00D72F8C"/>
    <w:rsid w:val="00D7336C"/>
    <w:rsid w:val="00D73A9D"/>
    <w:rsid w:val="00D74243"/>
    <w:rsid w:val="00D7473A"/>
    <w:rsid w:val="00D74850"/>
    <w:rsid w:val="00D748AA"/>
    <w:rsid w:val="00D748E9"/>
    <w:rsid w:val="00D74958"/>
    <w:rsid w:val="00D74D29"/>
    <w:rsid w:val="00D75387"/>
    <w:rsid w:val="00D7560B"/>
    <w:rsid w:val="00D75A70"/>
    <w:rsid w:val="00D75D4E"/>
    <w:rsid w:val="00D75FDC"/>
    <w:rsid w:val="00D7629E"/>
    <w:rsid w:val="00D76789"/>
    <w:rsid w:val="00D76793"/>
    <w:rsid w:val="00D76A89"/>
    <w:rsid w:val="00D76B57"/>
    <w:rsid w:val="00D76D8A"/>
    <w:rsid w:val="00D76E75"/>
    <w:rsid w:val="00D7785E"/>
    <w:rsid w:val="00D77B6E"/>
    <w:rsid w:val="00D77C09"/>
    <w:rsid w:val="00D77E93"/>
    <w:rsid w:val="00D800AD"/>
    <w:rsid w:val="00D801CE"/>
    <w:rsid w:val="00D805D3"/>
    <w:rsid w:val="00D80B8F"/>
    <w:rsid w:val="00D80D41"/>
    <w:rsid w:val="00D80D50"/>
    <w:rsid w:val="00D8121C"/>
    <w:rsid w:val="00D8164A"/>
    <w:rsid w:val="00D81B6E"/>
    <w:rsid w:val="00D81C92"/>
    <w:rsid w:val="00D81E35"/>
    <w:rsid w:val="00D822EC"/>
    <w:rsid w:val="00D822F5"/>
    <w:rsid w:val="00D824C6"/>
    <w:rsid w:val="00D8252C"/>
    <w:rsid w:val="00D82837"/>
    <w:rsid w:val="00D8287E"/>
    <w:rsid w:val="00D8321F"/>
    <w:rsid w:val="00D84A4C"/>
    <w:rsid w:val="00D84C5A"/>
    <w:rsid w:val="00D84C76"/>
    <w:rsid w:val="00D84F5D"/>
    <w:rsid w:val="00D85489"/>
    <w:rsid w:val="00D85824"/>
    <w:rsid w:val="00D85A0B"/>
    <w:rsid w:val="00D85B15"/>
    <w:rsid w:val="00D85D6C"/>
    <w:rsid w:val="00D86536"/>
    <w:rsid w:val="00D865FB"/>
    <w:rsid w:val="00D87033"/>
    <w:rsid w:val="00D871CD"/>
    <w:rsid w:val="00D9089D"/>
    <w:rsid w:val="00D90A1E"/>
    <w:rsid w:val="00D913A2"/>
    <w:rsid w:val="00D916D4"/>
    <w:rsid w:val="00D92836"/>
    <w:rsid w:val="00D93341"/>
    <w:rsid w:val="00D93728"/>
    <w:rsid w:val="00D9381C"/>
    <w:rsid w:val="00D93BAC"/>
    <w:rsid w:val="00D9401D"/>
    <w:rsid w:val="00D940C0"/>
    <w:rsid w:val="00D9490A"/>
    <w:rsid w:val="00D94B76"/>
    <w:rsid w:val="00D95240"/>
    <w:rsid w:val="00D95588"/>
    <w:rsid w:val="00D957E4"/>
    <w:rsid w:val="00D9592F"/>
    <w:rsid w:val="00D95965"/>
    <w:rsid w:val="00D95CA4"/>
    <w:rsid w:val="00D960B4"/>
    <w:rsid w:val="00D96105"/>
    <w:rsid w:val="00D96821"/>
    <w:rsid w:val="00D96A0D"/>
    <w:rsid w:val="00D96A83"/>
    <w:rsid w:val="00D96F9B"/>
    <w:rsid w:val="00D9763A"/>
    <w:rsid w:val="00D9789F"/>
    <w:rsid w:val="00D979E2"/>
    <w:rsid w:val="00D97C15"/>
    <w:rsid w:val="00D97EBB"/>
    <w:rsid w:val="00DA05B4"/>
    <w:rsid w:val="00DA06D4"/>
    <w:rsid w:val="00DA0A76"/>
    <w:rsid w:val="00DA0AC9"/>
    <w:rsid w:val="00DA0B3F"/>
    <w:rsid w:val="00DA0D97"/>
    <w:rsid w:val="00DA1829"/>
    <w:rsid w:val="00DA1855"/>
    <w:rsid w:val="00DA187D"/>
    <w:rsid w:val="00DA26C5"/>
    <w:rsid w:val="00DA2BD1"/>
    <w:rsid w:val="00DA2E76"/>
    <w:rsid w:val="00DA2EBA"/>
    <w:rsid w:val="00DA2EF9"/>
    <w:rsid w:val="00DA338D"/>
    <w:rsid w:val="00DA34F1"/>
    <w:rsid w:val="00DA4058"/>
    <w:rsid w:val="00DA4684"/>
    <w:rsid w:val="00DA4B0B"/>
    <w:rsid w:val="00DA4B9A"/>
    <w:rsid w:val="00DA5267"/>
    <w:rsid w:val="00DA5910"/>
    <w:rsid w:val="00DA593B"/>
    <w:rsid w:val="00DA5BA5"/>
    <w:rsid w:val="00DA5D21"/>
    <w:rsid w:val="00DA6738"/>
    <w:rsid w:val="00DA68BC"/>
    <w:rsid w:val="00DA6C74"/>
    <w:rsid w:val="00DA6E12"/>
    <w:rsid w:val="00DA719F"/>
    <w:rsid w:val="00DA749F"/>
    <w:rsid w:val="00DA75A3"/>
    <w:rsid w:val="00DA78B0"/>
    <w:rsid w:val="00DA7C29"/>
    <w:rsid w:val="00DB04A5"/>
    <w:rsid w:val="00DB06E4"/>
    <w:rsid w:val="00DB0972"/>
    <w:rsid w:val="00DB0988"/>
    <w:rsid w:val="00DB13BB"/>
    <w:rsid w:val="00DB15C7"/>
    <w:rsid w:val="00DB162E"/>
    <w:rsid w:val="00DB16DE"/>
    <w:rsid w:val="00DB1B38"/>
    <w:rsid w:val="00DB1D0F"/>
    <w:rsid w:val="00DB23AE"/>
    <w:rsid w:val="00DB25F6"/>
    <w:rsid w:val="00DB2A85"/>
    <w:rsid w:val="00DB2F54"/>
    <w:rsid w:val="00DB309E"/>
    <w:rsid w:val="00DB31FF"/>
    <w:rsid w:val="00DB380A"/>
    <w:rsid w:val="00DB3BB6"/>
    <w:rsid w:val="00DB3EB2"/>
    <w:rsid w:val="00DB3EF3"/>
    <w:rsid w:val="00DB4974"/>
    <w:rsid w:val="00DB49CE"/>
    <w:rsid w:val="00DB4D6F"/>
    <w:rsid w:val="00DB4F32"/>
    <w:rsid w:val="00DB5205"/>
    <w:rsid w:val="00DB56DA"/>
    <w:rsid w:val="00DB5F14"/>
    <w:rsid w:val="00DB60BE"/>
    <w:rsid w:val="00DB63D5"/>
    <w:rsid w:val="00DB68F2"/>
    <w:rsid w:val="00DB6A26"/>
    <w:rsid w:val="00DB6BD7"/>
    <w:rsid w:val="00DB6C6B"/>
    <w:rsid w:val="00DB6E28"/>
    <w:rsid w:val="00DB7083"/>
    <w:rsid w:val="00DB7762"/>
    <w:rsid w:val="00DB7D3F"/>
    <w:rsid w:val="00DB7DE9"/>
    <w:rsid w:val="00DB7E69"/>
    <w:rsid w:val="00DC0048"/>
    <w:rsid w:val="00DC053E"/>
    <w:rsid w:val="00DC06F6"/>
    <w:rsid w:val="00DC0828"/>
    <w:rsid w:val="00DC0B16"/>
    <w:rsid w:val="00DC0B86"/>
    <w:rsid w:val="00DC0D45"/>
    <w:rsid w:val="00DC1118"/>
    <w:rsid w:val="00DC2556"/>
    <w:rsid w:val="00DC289D"/>
    <w:rsid w:val="00DC2909"/>
    <w:rsid w:val="00DC2D0C"/>
    <w:rsid w:val="00DC355C"/>
    <w:rsid w:val="00DC3C1E"/>
    <w:rsid w:val="00DC3E28"/>
    <w:rsid w:val="00DC3E6B"/>
    <w:rsid w:val="00DC431F"/>
    <w:rsid w:val="00DC4943"/>
    <w:rsid w:val="00DC4A11"/>
    <w:rsid w:val="00DC5341"/>
    <w:rsid w:val="00DC555A"/>
    <w:rsid w:val="00DC58A3"/>
    <w:rsid w:val="00DC5D03"/>
    <w:rsid w:val="00DC61D9"/>
    <w:rsid w:val="00DC6BBF"/>
    <w:rsid w:val="00DC6BE8"/>
    <w:rsid w:val="00DC77E9"/>
    <w:rsid w:val="00DC798B"/>
    <w:rsid w:val="00DC79C2"/>
    <w:rsid w:val="00DC7B63"/>
    <w:rsid w:val="00DC7C20"/>
    <w:rsid w:val="00DC7EA1"/>
    <w:rsid w:val="00DD058A"/>
    <w:rsid w:val="00DD0779"/>
    <w:rsid w:val="00DD07B4"/>
    <w:rsid w:val="00DD08D8"/>
    <w:rsid w:val="00DD0A0D"/>
    <w:rsid w:val="00DD0E81"/>
    <w:rsid w:val="00DD18E2"/>
    <w:rsid w:val="00DD191D"/>
    <w:rsid w:val="00DD1C52"/>
    <w:rsid w:val="00DD20F7"/>
    <w:rsid w:val="00DD2BE6"/>
    <w:rsid w:val="00DD32AE"/>
    <w:rsid w:val="00DD3EB8"/>
    <w:rsid w:val="00DD428B"/>
    <w:rsid w:val="00DD447C"/>
    <w:rsid w:val="00DD4D83"/>
    <w:rsid w:val="00DD5793"/>
    <w:rsid w:val="00DD57BA"/>
    <w:rsid w:val="00DD5878"/>
    <w:rsid w:val="00DD5F69"/>
    <w:rsid w:val="00DD612A"/>
    <w:rsid w:val="00DD65A1"/>
    <w:rsid w:val="00DD67C7"/>
    <w:rsid w:val="00DD6EC1"/>
    <w:rsid w:val="00DD6EDD"/>
    <w:rsid w:val="00DD6F4B"/>
    <w:rsid w:val="00DD7251"/>
    <w:rsid w:val="00DD764B"/>
    <w:rsid w:val="00DD7669"/>
    <w:rsid w:val="00DD7E4C"/>
    <w:rsid w:val="00DD7F3D"/>
    <w:rsid w:val="00DE01CD"/>
    <w:rsid w:val="00DE0291"/>
    <w:rsid w:val="00DE03B6"/>
    <w:rsid w:val="00DE0443"/>
    <w:rsid w:val="00DE0570"/>
    <w:rsid w:val="00DE067D"/>
    <w:rsid w:val="00DE0A84"/>
    <w:rsid w:val="00DE0B3E"/>
    <w:rsid w:val="00DE11A3"/>
    <w:rsid w:val="00DE11F3"/>
    <w:rsid w:val="00DE149C"/>
    <w:rsid w:val="00DE1CBD"/>
    <w:rsid w:val="00DE1DBB"/>
    <w:rsid w:val="00DE1F42"/>
    <w:rsid w:val="00DE2253"/>
    <w:rsid w:val="00DE25F7"/>
    <w:rsid w:val="00DE2C73"/>
    <w:rsid w:val="00DE30AB"/>
    <w:rsid w:val="00DE35ED"/>
    <w:rsid w:val="00DE37E8"/>
    <w:rsid w:val="00DE39F8"/>
    <w:rsid w:val="00DE3ECA"/>
    <w:rsid w:val="00DE4AF7"/>
    <w:rsid w:val="00DE4BC1"/>
    <w:rsid w:val="00DE4FC0"/>
    <w:rsid w:val="00DE56E7"/>
    <w:rsid w:val="00DE5767"/>
    <w:rsid w:val="00DE5B9E"/>
    <w:rsid w:val="00DE5D31"/>
    <w:rsid w:val="00DE5F81"/>
    <w:rsid w:val="00DE61AA"/>
    <w:rsid w:val="00DE64A8"/>
    <w:rsid w:val="00DE66C0"/>
    <w:rsid w:val="00DE67D8"/>
    <w:rsid w:val="00DE6870"/>
    <w:rsid w:val="00DE6ABC"/>
    <w:rsid w:val="00DE6F95"/>
    <w:rsid w:val="00DE7C40"/>
    <w:rsid w:val="00DF0063"/>
    <w:rsid w:val="00DF03B4"/>
    <w:rsid w:val="00DF0422"/>
    <w:rsid w:val="00DF066E"/>
    <w:rsid w:val="00DF06F7"/>
    <w:rsid w:val="00DF0EEC"/>
    <w:rsid w:val="00DF1022"/>
    <w:rsid w:val="00DF14D6"/>
    <w:rsid w:val="00DF17BA"/>
    <w:rsid w:val="00DF1B36"/>
    <w:rsid w:val="00DF1EB8"/>
    <w:rsid w:val="00DF2464"/>
    <w:rsid w:val="00DF28D1"/>
    <w:rsid w:val="00DF2AC9"/>
    <w:rsid w:val="00DF2B80"/>
    <w:rsid w:val="00DF2CE6"/>
    <w:rsid w:val="00DF2F18"/>
    <w:rsid w:val="00DF345C"/>
    <w:rsid w:val="00DF366A"/>
    <w:rsid w:val="00DF3A72"/>
    <w:rsid w:val="00DF4330"/>
    <w:rsid w:val="00DF4E1A"/>
    <w:rsid w:val="00DF50FC"/>
    <w:rsid w:val="00DF52E6"/>
    <w:rsid w:val="00DF5629"/>
    <w:rsid w:val="00DF5822"/>
    <w:rsid w:val="00DF5965"/>
    <w:rsid w:val="00DF59A4"/>
    <w:rsid w:val="00DF59FA"/>
    <w:rsid w:val="00DF5B80"/>
    <w:rsid w:val="00DF5C28"/>
    <w:rsid w:val="00DF6350"/>
    <w:rsid w:val="00DF66AB"/>
    <w:rsid w:val="00DF6BFC"/>
    <w:rsid w:val="00DF6D5E"/>
    <w:rsid w:val="00DF7161"/>
    <w:rsid w:val="00E004AB"/>
    <w:rsid w:val="00E005FD"/>
    <w:rsid w:val="00E00902"/>
    <w:rsid w:val="00E00DDA"/>
    <w:rsid w:val="00E01192"/>
    <w:rsid w:val="00E0122B"/>
    <w:rsid w:val="00E01290"/>
    <w:rsid w:val="00E0171A"/>
    <w:rsid w:val="00E0181E"/>
    <w:rsid w:val="00E01C89"/>
    <w:rsid w:val="00E01CF5"/>
    <w:rsid w:val="00E01E88"/>
    <w:rsid w:val="00E021FC"/>
    <w:rsid w:val="00E0229A"/>
    <w:rsid w:val="00E02526"/>
    <w:rsid w:val="00E0254F"/>
    <w:rsid w:val="00E03466"/>
    <w:rsid w:val="00E034A5"/>
    <w:rsid w:val="00E03677"/>
    <w:rsid w:val="00E03873"/>
    <w:rsid w:val="00E03E53"/>
    <w:rsid w:val="00E043C0"/>
    <w:rsid w:val="00E04444"/>
    <w:rsid w:val="00E04B1E"/>
    <w:rsid w:val="00E04DF3"/>
    <w:rsid w:val="00E04E61"/>
    <w:rsid w:val="00E050A5"/>
    <w:rsid w:val="00E05376"/>
    <w:rsid w:val="00E0539B"/>
    <w:rsid w:val="00E056EA"/>
    <w:rsid w:val="00E06C73"/>
    <w:rsid w:val="00E06F7E"/>
    <w:rsid w:val="00E07AE4"/>
    <w:rsid w:val="00E07F85"/>
    <w:rsid w:val="00E10747"/>
    <w:rsid w:val="00E10810"/>
    <w:rsid w:val="00E10EB1"/>
    <w:rsid w:val="00E10EF6"/>
    <w:rsid w:val="00E111ED"/>
    <w:rsid w:val="00E1130B"/>
    <w:rsid w:val="00E11589"/>
    <w:rsid w:val="00E117BC"/>
    <w:rsid w:val="00E11816"/>
    <w:rsid w:val="00E11FA8"/>
    <w:rsid w:val="00E12373"/>
    <w:rsid w:val="00E12583"/>
    <w:rsid w:val="00E12898"/>
    <w:rsid w:val="00E12DF5"/>
    <w:rsid w:val="00E130D5"/>
    <w:rsid w:val="00E136E2"/>
    <w:rsid w:val="00E1384A"/>
    <w:rsid w:val="00E13A4B"/>
    <w:rsid w:val="00E13BDB"/>
    <w:rsid w:val="00E1406E"/>
    <w:rsid w:val="00E140A9"/>
    <w:rsid w:val="00E140C6"/>
    <w:rsid w:val="00E1455C"/>
    <w:rsid w:val="00E14A6D"/>
    <w:rsid w:val="00E14B3C"/>
    <w:rsid w:val="00E152A2"/>
    <w:rsid w:val="00E154FD"/>
    <w:rsid w:val="00E155FC"/>
    <w:rsid w:val="00E15798"/>
    <w:rsid w:val="00E15991"/>
    <w:rsid w:val="00E15FD6"/>
    <w:rsid w:val="00E17074"/>
    <w:rsid w:val="00E1756A"/>
    <w:rsid w:val="00E1769E"/>
    <w:rsid w:val="00E17809"/>
    <w:rsid w:val="00E17D7F"/>
    <w:rsid w:val="00E17DCF"/>
    <w:rsid w:val="00E20827"/>
    <w:rsid w:val="00E20EC3"/>
    <w:rsid w:val="00E21AE2"/>
    <w:rsid w:val="00E21EC2"/>
    <w:rsid w:val="00E22A72"/>
    <w:rsid w:val="00E22BFF"/>
    <w:rsid w:val="00E22EFF"/>
    <w:rsid w:val="00E232C6"/>
    <w:rsid w:val="00E23727"/>
    <w:rsid w:val="00E23B15"/>
    <w:rsid w:val="00E23F3D"/>
    <w:rsid w:val="00E24349"/>
    <w:rsid w:val="00E244B2"/>
    <w:rsid w:val="00E247E0"/>
    <w:rsid w:val="00E248C2"/>
    <w:rsid w:val="00E24FC1"/>
    <w:rsid w:val="00E250A8"/>
    <w:rsid w:val="00E254A8"/>
    <w:rsid w:val="00E25DD9"/>
    <w:rsid w:val="00E25E60"/>
    <w:rsid w:val="00E26931"/>
    <w:rsid w:val="00E26A93"/>
    <w:rsid w:val="00E26B94"/>
    <w:rsid w:val="00E26DBE"/>
    <w:rsid w:val="00E275AD"/>
    <w:rsid w:val="00E275C5"/>
    <w:rsid w:val="00E2782E"/>
    <w:rsid w:val="00E279B0"/>
    <w:rsid w:val="00E27C0C"/>
    <w:rsid w:val="00E27DE9"/>
    <w:rsid w:val="00E27E66"/>
    <w:rsid w:val="00E3034F"/>
    <w:rsid w:val="00E30523"/>
    <w:rsid w:val="00E30700"/>
    <w:rsid w:val="00E3073C"/>
    <w:rsid w:val="00E30757"/>
    <w:rsid w:val="00E30A7C"/>
    <w:rsid w:val="00E30B95"/>
    <w:rsid w:val="00E30CF9"/>
    <w:rsid w:val="00E31871"/>
    <w:rsid w:val="00E31987"/>
    <w:rsid w:val="00E31A9F"/>
    <w:rsid w:val="00E32991"/>
    <w:rsid w:val="00E32E41"/>
    <w:rsid w:val="00E33010"/>
    <w:rsid w:val="00E336E1"/>
    <w:rsid w:val="00E340BA"/>
    <w:rsid w:val="00E34706"/>
    <w:rsid w:val="00E34780"/>
    <w:rsid w:val="00E34BFC"/>
    <w:rsid w:val="00E34E0E"/>
    <w:rsid w:val="00E351A0"/>
    <w:rsid w:val="00E3521E"/>
    <w:rsid w:val="00E35567"/>
    <w:rsid w:val="00E35609"/>
    <w:rsid w:val="00E35D7B"/>
    <w:rsid w:val="00E36083"/>
    <w:rsid w:val="00E360BA"/>
    <w:rsid w:val="00E362F8"/>
    <w:rsid w:val="00E365DE"/>
    <w:rsid w:val="00E36A49"/>
    <w:rsid w:val="00E36B4F"/>
    <w:rsid w:val="00E36CBB"/>
    <w:rsid w:val="00E36CE3"/>
    <w:rsid w:val="00E36D2A"/>
    <w:rsid w:val="00E36E74"/>
    <w:rsid w:val="00E377E5"/>
    <w:rsid w:val="00E37866"/>
    <w:rsid w:val="00E37927"/>
    <w:rsid w:val="00E37ACB"/>
    <w:rsid w:val="00E37B92"/>
    <w:rsid w:val="00E37D05"/>
    <w:rsid w:val="00E4041F"/>
    <w:rsid w:val="00E4102A"/>
    <w:rsid w:val="00E411B9"/>
    <w:rsid w:val="00E4179E"/>
    <w:rsid w:val="00E41F6B"/>
    <w:rsid w:val="00E421C5"/>
    <w:rsid w:val="00E42649"/>
    <w:rsid w:val="00E4279C"/>
    <w:rsid w:val="00E427BC"/>
    <w:rsid w:val="00E427DD"/>
    <w:rsid w:val="00E42DB5"/>
    <w:rsid w:val="00E43140"/>
    <w:rsid w:val="00E435E7"/>
    <w:rsid w:val="00E436B7"/>
    <w:rsid w:val="00E43779"/>
    <w:rsid w:val="00E43A40"/>
    <w:rsid w:val="00E44650"/>
    <w:rsid w:val="00E446A0"/>
    <w:rsid w:val="00E44785"/>
    <w:rsid w:val="00E44A4C"/>
    <w:rsid w:val="00E44A52"/>
    <w:rsid w:val="00E44D89"/>
    <w:rsid w:val="00E459C5"/>
    <w:rsid w:val="00E45A22"/>
    <w:rsid w:val="00E45E1C"/>
    <w:rsid w:val="00E45ECE"/>
    <w:rsid w:val="00E45F5B"/>
    <w:rsid w:val="00E460A2"/>
    <w:rsid w:val="00E4634A"/>
    <w:rsid w:val="00E46599"/>
    <w:rsid w:val="00E468F5"/>
    <w:rsid w:val="00E46977"/>
    <w:rsid w:val="00E46D34"/>
    <w:rsid w:val="00E46E98"/>
    <w:rsid w:val="00E4722D"/>
    <w:rsid w:val="00E4733D"/>
    <w:rsid w:val="00E47E08"/>
    <w:rsid w:val="00E50403"/>
    <w:rsid w:val="00E507BF"/>
    <w:rsid w:val="00E50930"/>
    <w:rsid w:val="00E509EF"/>
    <w:rsid w:val="00E51026"/>
    <w:rsid w:val="00E5121E"/>
    <w:rsid w:val="00E517F6"/>
    <w:rsid w:val="00E5180D"/>
    <w:rsid w:val="00E51CC4"/>
    <w:rsid w:val="00E531A2"/>
    <w:rsid w:val="00E5338E"/>
    <w:rsid w:val="00E53477"/>
    <w:rsid w:val="00E5451E"/>
    <w:rsid w:val="00E545A0"/>
    <w:rsid w:val="00E54757"/>
    <w:rsid w:val="00E549F0"/>
    <w:rsid w:val="00E54DD7"/>
    <w:rsid w:val="00E54EED"/>
    <w:rsid w:val="00E55075"/>
    <w:rsid w:val="00E557D4"/>
    <w:rsid w:val="00E571CF"/>
    <w:rsid w:val="00E57574"/>
    <w:rsid w:val="00E57EBD"/>
    <w:rsid w:val="00E60B50"/>
    <w:rsid w:val="00E61014"/>
    <w:rsid w:val="00E61349"/>
    <w:rsid w:val="00E61CC6"/>
    <w:rsid w:val="00E61D94"/>
    <w:rsid w:val="00E61E66"/>
    <w:rsid w:val="00E61FF0"/>
    <w:rsid w:val="00E6231D"/>
    <w:rsid w:val="00E62325"/>
    <w:rsid w:val="00E62704"/>
    <w:rsid w:val="00E62A7A"/>
    <w:rsid w:val="00E62AF4"/>
    <w:rsid w:val="00E62B57"/>
    <w:rsid w:val="00E631D0"/>
    <w:rsid w:val="00E6367B"/>
    <w:rsid w:val="00E637B6"/>
    <w:rsid w:val="00E63A64"/>
    <w:rsid w:val="00E63A73"/>
    <w:rsid w:val="00E63C35"/>
    <w:rsid w:val="00E644FE"/>
    <w:rsid w:val="00E64619"/>
    <w:rsid w:val="00E646DF"/>
    <w:rsid w:val="00E64D24"/>
    <w:rsid w:val="00E64E58"/>
    <w:rsid w:val="00E64EB4"/>
    <w:rsid w:val="00E64F42"/>
    <w:rsid w:val="00E6506D"/>
    <w:rsid w:val="00E65ABB"/>
    <w:rsid w:val="00E65AC5"/>
    <w:rsid w:val="00E66156"/>
    <w:rsid w:val="00E662F2"/>
    <w:rsid w:val="00E66E80"/>
    <w:rsid w:val="00E66ED5"/>
    <w:rsid w:val="00E676A3"/>
    <w:rsid w:val="00E6773B"/>
    <w:rsid w:val="00E7000E"/>
    <w:rsid w:val="00E70179"/>
    <w:rsid w:val="00E706F1"/>
    <w:rsid w:val="00E7085F"/>
    <w:rsid w:val="00E70C7A"/>
    <w:rsid w:val="00E70FDB"/>
    <w:rsid w:val="00E720E5"/>
    <w:rsid w:val="00E72676"/>
    <w:rsid w:val="00E72966"/>
    <w:rsid w:val="00E72D24"/>
    <w:rsid w:val="00E7338F"/>
    <w:rsid w:val="00E733B6"/>
    <w:rsid w:val="00E73616"/>
    <w:rsid w:val="00E73F11"/>
    <w:rsid w:val="00E74F4C"/>
    <w:rsid w:val="00E7539E"/>
    <w:rsid w:val="00E75489"/>
    <w:rsid w:val="00E759C5"/>
    <w:rsid w:val="00E75B78"/>
    <w:rsid w:val="00E75BB4"/>
    <w:rsid w:val="00E75CD0"/>
    <w:rsid w:val="00E75F95"/>
    <w:rsid w:val="00E767E6"/>
    <w:rsid w:val="00E7683C"/>
    <w:rsid w:val="00E768C5"/>
    <w:rsid w:val="00E769AA"/>
    <w:rsid w:val="00E76EFE"/>
    <w:rsid w:val="00E7750D"/>
    <w:rsid w:val="00E7761C"/>
    <w:rsid w:val="00E77891"/>
    <w:rsid w:val="00E77A3E"/>
    <w:rsid w:val="00E77CFB"/>
    <w:rsid w:val="00E8039F"/>
    <w:rsid w:val="00E804A5"/>
    <w:rsid w:val="00E80A00"/>
    <w:rsid w:val="00E80C13"/>
    <w:rsid w:val="00E80CEA"/>
    <w:rsid w:val="00E8180A"/>
    <w:rsid w:val="00E81E0F"/>
    <w:rsid w:val="00E82C10"/>
    <w:rsid w:val="00E82E62"/>
    <w:rsid w:val="00E8333B"/>
    <w:rsid w:val="00E83804"/>
    <w:rsid w:val="00E83AF6"/>
    <w:rsid w:val="00E84040"/>
    <w:rsid w:val="00E8460B"/>
    <w:rsid w:val="00E846BC"/>
    <w:rsid w:val="00E84738"/>
    <w:rsid w:val="00E848D9"/>
    <w:rsid w:val="00E85229"/>
    <w:rsid w:val="00E853CC"/>
    <w:rsid w:val="00E855F8"/>
    <w:rsid w:val="00E85DDA"/>
    <w:rsid w:val="00E861F7"/>
    <w:rsid w:val="00E86380"/>
    <w:rsid w:val="00E86615"/>
    <w:rsid w:val="00E86E18"/>
    <w:rsid w:val="00E870B7"/>
    <w:rsid w:val="00E87A02"/>
    <w:rsid w:val="00E9015B"/>
    <w:rsid w:val="00E901F1"/>
    <w:rsid w:val="00E9047F"/>
    <w:rsid w:val="00E906FB"/>
    <w:rsid w:val="00E9083A"/>
    <w:rsid w:val="00E90B31"/>
    <w:rsid w:val="00E90C01"/>
    <w:rsid w:val="00E914C5"/>
    <w:rsid w:val="00E91731"/>
    <w:rsid w:val="00E91843"/>
    <w:rsid w:val="00E91AB3"/>
    <w:rsid w:val="00E91B17"/>
    <w:rsid w:val="00E91C7E"/>
    <w:rsid w:val="00E91CD4"/>
    <w:rsid w:val="00E922B6"/>
    <w:rsid w:val="00E923F5"/>
    <w:rsid w:val="00E92720"/>
    <w:rsid w:val="00E92760"/>
    <w:rsid w:val="00E92A42"/>
    <w:rsid w:val="00E92AB2"/>
    <w:rsid w:val="00E92FF7"/>
    <w:rsid w:val="00E930FD"/>
    <w:rsid w:val="00E93268"/>
    <w:rsid w:val="00E9338A"/>
    <w:rsid w:val="00E937D9"/>
    <w:rsid w:val="00E93985"/>
    <w:rsid w:val="00E93C77"/>
    <w:rsid w:val="00E93C91"/>
    <w:rsid w:val="00E93D61"/>
    <w:rsid w:val="00E93E7A"/>
    <w:rsid w:val="00E947B2"/>
    <w:rsid w:val="00E948DE"/>
    <w:rsid w:val="00E9494D"/>
    <w:rsid w:val="00E949A2"/>
    <w:rsid w:val="00E950FA"/>
    <w:rsid w:val="00E9566A"/>
    <w:rsid w:val="00E95C32"/>
    <w:rsid w:val="00E9626E"/>
    <w:rsid w:val="00E963AD"/>
    <w:rsid w:val="00E9655F"/>
    <w:rsid w:val="00E96607"/>
    <w:rsid w:val="00E968FC"/>
    <w:rsid w:val="00E96A02"/>
    <w:rsid w:val="00E96CAC"/>
    <w:rsid w:val="00E9742A"/>
    <w:rsid w:val="00E9779D"/>
    <w:rsid w:val="00E977A2"/>
    <w:rsid w:val="00E9795E"/>
    <w:rsid w:val="00E97B99"/>
    <w:rsid w:val="00E97F80"/>
    <w:rsid w:val="00EA0696"/>
    <w:rsid w:val="00EA0A33"/>
    <w:rsid w:val="00EA0E29"/>
    <w:rsid w:val="00EA0E9E"/>
    <w:rsid w:val="00EA10AA"/>
    <w:rsid w:val="00EA1234"/>
    <w:rsid w:val="00EA1417"/>
    <w:rsid w:val="00EA1A10"/>
    <w:rsid w:val="00EA1ACB"/>
    <w:rsid w:val="00EA1CAC"/>
    <w:rsid w:val="00EA1E8D"/>
    <w:rsid w:val="00EA21B2"/>
    <w:rsid w:val="00EA2767"/>
    <w:rsid w:val="00EA2C11"/>
    <w:rsid w:val="00EA2C90"/>
    <w:rsid w:val="00EA2D21"/>
    <w:rsid w:val="00EA3310"/>
    <w:rsid w:val="00EA33D6"/>
    <w:rsid w:val="00EA388E"/>
    <w:rsid w:val="00EA3A17"/>
    <w:rsid w:val="00EA3D39"/>
    <w:rsid w:val="00EA3FCB"/>
    <w:rsid w:val="00EA45DE"/>
    <w:rsid w:val="00EA4E65"/>
    <w:rsid w:val="00EA4E6E"/>
    <w:rsid w:val="00EA539B"/>
    <w:rsid w:val="00EA54BC"/>
    <w:rsid w:val="00EA54EF"/>
    <w:rsid w:val="00EA56EC"/>
    <w:rsid w:val="00EA573F"/>
    <w:rsid w:val="00EA5ABA"/>
    <w:rsid w:val="00EA610B"/>
    <w:rsid w:val="00EA647E"/>
    <w:rsid w:val="00EA652F"/>
    <w:rsid w:val="00EA69BC"/>
    <w:rsid w:val="00EA71AA"/>
    <w:rsid w:val="00EA7498"/>
    <w:rsid w:val="00EA74B4"/>
    <w:rsid w:val="00EA7782"/>
    <w:rsid w:val="00EA7B4B"/>
    <w:rsid w:val="00EB00EB"/>
    <w:rsid w:val="00EB025C"/>
    <w:rsid w:val="00EB07FB"/>
    <w:rsid w:val="00EB1262"/>
    <w:rsid w:val="00EB126D"/>
    <w:rsid w:val="00EB134F"/>
    <w:rsid w:val="00EB1400"/>
    <w:rsid w:val="00EB148E"/>
    <w:rsid w:val="00EB14E7"/>
    <w:rsid w:val="00EB1D4D"/>
    <w:rsid w:val="00EB23E7"/>
    <w:rsid w:val="00EB24D2"/>
    <w:rsid w:val="00EB24DD"/>
    <w:rsid w:val="00EB24EF"/>
    <w:rsid w:val="00EB29E5"/>
    <w:rsid w:val="00EB30DA"/>
    <w:rsid w:val="00EB3388"/>
    <w:rsid w:val="00EB3966"/>
    <w:rsid w:val="00EB3F22"/>
    <w:rsid w:val="00EB400F"/>
    <w:rsid w:val="00EB4446"/>
    <w:rsid w:val="00EB44F3"/>
    <w:rsid w:val="00EB4CC4"/>
    <w:rsid w:val="00EB4F84"/>
    <w:rsid w:val="00EB5349"/>
    <w:rsid w:val="00EB5566"/>
    <w:rsid w:val="00EB5954"/>
    <w:rsid w:val="00EB65BE"/>
    <w:rsid w:val="00EB68DF"/>
    <w:rsid w:val="00EB7048"/>
    <w:rsid w:val="00EB7560"/>
    <w:rsid w:val="00EB777D"/>
    <w:rsid w:val="00EB7798"/>
    <w:rsid w:val="00EB78F3"/>
    <w:rsid w:val="00EB7CDC"/>
    <w:rsid w:val="00EC02DD"/>
    <w:rsid w:val="00EC039D"/>
    <w:rsid w:val="00EC0644"/>
    <w:rsid w:val="00EC0CFB"/>
    <w:rsid w:val="00EC16F6"/>
    <w:rsid w:val="00EC2221"/>
    <w:rsid w:val="00EC2577"/>
    <w:rsid w:val="00EC2B34"/>
    <w:rsid w:val="00EC2CD5"/>
    <w:rsid w:val="00EC2D76"/>
    <w:rsid w:val="00EC2ED2"/>
    <w:rsid w:val="00EC325F"/>
    <w:rsid w:val="00EC33FD"/>
    <w:rsid w:val="00EC351B"/>
    <w:rsid w:val="00EC3D85"/>
    <w:rsid w:val="00EC3E92"/>
    <w:rsid w:val="00EC3FE7"/>
    <w:rsid w:val="00EC411E"/>
    <w:rsid w:val="00EC46E8"/>
    <w:rsid w:val="00EC48CD"/>
    <w:rsid w:val="00EC49C8"/>
    <w:rsid w:val="00EC49D1"/>
    <w:rsid w:val="00EC5054"/>
    <w:rsid w:val="00EC54DC"/>
    <w:rsid w:val="00EC5ABF"/>
    <w:rsid w:val="00EC60E6"/>
    <w:rsid w:val="00EC6398"/>
    <w:rsid w:val="00EC6433"/>
    <w:rsid w:val="00EC7019"/>
    <w:rsid w:val="00EC72A5"/>
    <w:rsid w:val="00EC773D"/>
    <w:rsid w:val="00EC7D27"/>
    <w:rsid w:val="00EC7E44"/>
    <w:rsid w:val="00EC7F40"/>
    <w:rsid w:val="00ED0021"/>
    <w:rsid w:val="00ED046D"/>
    <w:rsid w:val="00ED058A"/>
    <w:rsid w:val="00ED0DA3"/>
    <w:rsid w:val="00ED11BA"/>
    <w:rsid w:val="00ED1880"/>
    <w:rsid w:val="00ED18BA"/>
    <w:rsid w:val="00ED1E1C"/>
    <w:rsid w:val="00ED1EA3"/>
    <w:rsid w:val="00ED2158"/>
    <w:rsid w:val="00ED263D"/>
    <w:rsid w:val="00ED2938"/>
    <w:rsid w:val="00ED297B"/>
    <w:rsid w:val="00ED29A2"/>
    <w:rsid w:val="00ED2A90"/>
    <w:rsid w:val="00ED2D81"/>
    <w:rsid w:val="00ED2EE3"/>
    <w:rsid w:val="00ED308F"/>
    <w:rsid w:val="00ED334B"/>
    <w:rsid w:val="00ED3513"/>
    <w:rsid w:val="00ED367C"/>
    <w:rsid w:val="00ED36D4"/>
    <w:rsid w:val="00ED3854"/>
    <w:rsid w:val="00ED3E0D"/>
    <w:rsid w:val="00ED3F4F"/>
    <w:rsid w:val="00ED4889"/>
    <w:rsid w:val="00ED5008"/>
    <w:rsid w:val="00ED5343"/>
    <w:rsid w:val="00ED5368"/>
    <w:rsid w:val="00ED53FD"/>
    <w:rsid w:val="00ED55B2"/>
    <w:rsid w:val="00ED5718"/>
    <w:rsid w:val="00ED5BEF"/>
    <w:rsid w:val="00ED72BC"/>
    <w:rsid w:val="00ED779A"/>
    <w:rsid w:val="00ED7B70"/>
    <w:rsid w:val="00EE0DCF"/>
    <w:rsid w:val="00EE0FD0"/>
    <w:rsid w:val="00EE125D"/>
    <w:rsid w:val="00EE1469"/>
    <w:rsid w:val="00EE1509"/>
    <w:rsid w:val="00EE19D9"/>
    <w:rsid w:val="00EE2180"/>
    <w:rsid w:val="00EE2190"/>
    <w:rsid w:val="00EE2760"/>
    <w:rsid w:val="00EE2A31"/>
    <w:rsid w:val="00EE2A7B"/>
    <w:rsid w:val="00EE334F"/>
    <w:rsid w:val="00EE33D1"/>
    <w:rsid w:val="00EE365F"/>
    <w:rsid w:val="00EE3728"/>
    <w:rsid w:val="00EE4095"/>
    <w:rsid w:val="00EE4E11"/>
    <w:rsid w:val="00EE4FDA"/>
    <w:rsid w:val="00EE4FF8"/>
    <w:rsid w:val="00EE5183"/>
    <w:rsid w:val="00EE53C5"/>
    <w:rsid w:val="00EE5A56"/>
    <w:rsid w:val="00EE6234"/>
    <w:rsid w:val="00EE62B3"/>
    <w:rsid w:val="00EE6363"/>
    <w:rsid w:val="00EE63B1"/>
    <w:rsid w:val="00EE6419"/>
    <w:rsid w:val="00EE6D94"/>
    <w:rsid w:val="00EE7123"/>
    <w:rsid w:val="00EE7361"/>
    <w:rsid w:val="00EE7691"/>
    <w:rsid w:val="00EE788B"/>
    <w:rsid w:val="00EE7B9A"/>
    <w:rsid w:val="00EE7E8B"/>
    <w:rsid w:val="00EF0031"/>
    <w:rsid w:val="00EF03E3"/>
    <w:rsid w:val="00EF06B0"/>
    <w:rsid w:val="00EF0AC6"/>
    <w:rsid w:val="00EF1202"/>
    <w:rsid w:val="00EF1F73"/>
    <w:rsid w:val="00EF228A"/>
    <w:rsid w:val="00EF248B"/>
    <w:rsid w:val="00EF26A0"/>
    <w:rsid w:val="00EF290A"/>
    <w:rsid w:val="00EF2C19"/>
    <w:rsid w:val="00EF3282"/>
    <w:rsid w:val="00EF38E7"/>
    <w:rsid w:val="00EF3968"/>
    <w:rsid w:val="00EF3D61"/>
    <w:rsid w:val="00EF4641"/>
    <w:rsid w:val="00EF5185"/>
    <w:rsid w:val="00EF52F1"/>
    <w:rsid w:val="00EF534A"/>
    <w:rsid w:val="00EF539B"/>
    <w:rsid w:val="00EF53CB"/>
    <w:rsid w:val="00EF5DAE"/>
    <w:rsid w:val="00EF5E39"/>
    <w:rsid w:val="00EF5EB0"/>
    <w:rsid w:val="00EF6393"/>
    <w:rsid w:val="00EF6692"/>
    <w:rsid w:val="00EF6C04"/>
    <w:rsid w:val="00EF6D1F"/>
    <w:rsid w:val="00EF74BA"/>
    <w:rsid w:val="00EF751E"/>
    <w:rsid w:val="00EF7777"/>
    <w:rsid w:val="00EF7ADF"/>
    <w:rsid w:val="00EF7FA2"/>
    <w:rsid w:val="00F000AD"/>
    <w:rsid w:val="00F005B6"/>
    <w:rsid w:val="00F00627"/>
    <w:rsid w:val="00F00C7E"/>
    <w:rsid w:val="00F00ED2"/>
    <w:rsid w:val="00F0110F"/>
    <w:rsid w:val="00F0131E"/>
    <w:rsid w:val="00F0214F"/>
    <w:rsid w:val="00F0244C"/>
    <w:rsid w:val="00F024D3"/>
    <w:rsid w:val="00F026A8"/>
    <w:rsid w:val="00F03E08"/>
    <w:rsid w:val="00F03EBF"/>
    <w:rsid w:val="00F04476"/>
    <w:rsid w:val="00F04674"/>
    <w:rsid w:val="00F049D5"/>
    <w:rsid w:val="00F04AA2"/>
    <w:rsid w:val="00F04C1F"/>
    <w:rsid w:val="00F051BA"/>
    <w:rsid w:val="00F05309"/>
    <w:rsid w:val="00F0534F"/>
    <w:rsid w:val="00F05936"/>
    <w:rsid w:val="00F05CC8"/>
    <w:rsid w:val="00F05D82"/>
    <w:rsid w:val="00F0658A"/>
    <w:rsid w:val="00F067F3"/>
    <w:rsid w:val="00F069B5"/>
    <w:rsid w:val="00F06ABA"/>
    <w:rsid w:val="00F06BDE"/>
    <w:rsid w:val="00F075CA"/>
    <w:rsid w:val="00F07628"/>
    <w:rsid w:val="00F07D8B"/>
    <w:rsid w:val="00F109E7"/>
    <w:rsid w:val="00F10A0F"/>
    <w:rsid w:val="00F10D69"/>
    <w:rsid w:val="00F112A1"/>
    <w:rsid w:val="00F115D7"/>
    <w:rsid w:val="00F118D7"/>
    <w:rsid w:val="00F12252"/>
    <w:rsid w:val="00F1249E"/>
    <w:rsid w:val="00F125C7"/>
    <w:rsid w:val="00F12A88"/>
    <w:rsid w:val="00F12C68"/>
    <w:rsid w:val="00F12DD5"/>
    <w:rsid w:val="00F12F4A"/>
    <w:rsid w:val="00F1306C"/>
    <w:rsid w:val="00F143E6"/>
    <w:rsid w:val="00F143E7"/>
    <w:rsid w:val="00F1486A"/>
    <w:rsid w:val="00F14985"/>
    <w:rsid w:val="00F14992"/>
    <w:rsid w:val="00F149A2"/>
    <w:rsid w:val="00F14A2D"/>
    <w:rsid w:val="00F14EAC"/>
    <w:rsid w:val="00F15072"/>
    <w:rsid w:val="00F15345"/>
    <w:rsid w:val="00F15E70"/>
    <w:rsid w:val="00F16008"/>
    <w:rsid w:val="00F162FC"/>
    <w:rsid w:val="00F16772"/>
    <w:rsid w:val="00F16FA8"/>
    <w:rsid w:val="00F177FD"/>
    <w:rsid w:val="00F17DD2"/>
    <w:rsid w:val="00F17E08"/>
    <w:rsid w:val="00F17E79"/>
    <w:rsid w:val="00F20692"/>
    <w:rsid w:val="00F20965"/>
    <w:rsid w:val="00F20B9C"/>
    <w:rsid w:val="00F20BDA"/>
    <w:rsid w:val="00F20C21"/>
    <w:rsid w:val="00F20F94"/>
    <w:rsid w:val="00F2122A"/>
    <w:rsid w:val="00F214C9"/>
    <w:rsid w:val="00F21950"/>
    <w:rsid w:val="00F21ABA"/>
    <w:rsid w:val="00F21F45"/>
    <w:rsid w:val="00F21FB3"/>
    <w:rsid w:val="00F227AF"/>
    <w:rsid w:val="00F22B8F"/>
    <w:rsid w:val="00F22B98"/>
    <w:rsid w:val="00F2330F"/>
    <w:rsid w:val="00F23528"/>
    <w:rsid w:val="00F23AC5"/>
    <w:rsid w:val="00F2403D"/>
    <w:rsid w:val="00F24279"/>
    <w:rsid w:val="00F24363"/>
    <w:rsid w:val="00F24BA6"/>
    <w:rsid w:val="00F25378"/>
    <w:rsid w:val="00F2561F"/>
    <w:rsid w:val="00F2576A"/>
    <w:rsid w:val="00F26165"/>
    <w:rsid w:val="00F27250"/>
    <w:rsid w:val="00F275FB"/>
    <w:rsid w:val="00F27A0A"/>
    <w:rsid w:val="00F27C35"/>
    <w:rsid w:val="00F27D90"/>
    <w:rsid w:val="00F27F57"/>
    <w:rsid w:val="00F30131"/>
    <w:rsid w:val="00F30194"/>
    <w:rsid w:val="00F307B1"/>
    <w:rsid w:val="00F30B1F"/>
    <w:rsid w:val="00F30BAE"/>
    <w:rsid w:val="00F30EA8"/>
    <w:rsid w:val="00F311BE"/>
    <w:rsid w:val="00F31200"/>
    <w:rsid w:val="00F314B9"/>
    <w:rsid w:val="00F3165F"/>
    <w:rsid w:val="00F31739"/>
    <w:rsid w:val="00F31B72"/>
    <w:rsid w:val="00F31BD9"/>
    <w:rsid w:val="00F31C31"/>
    <w:rsid w:val="00F31E63"/>
    <w:rsid w:val="00F32BA0"/>
    <w:rsid w:val="00F334A3"/>
    <w:rsid w:val="00F34002"/>
    <w:rsid w:val="00F34EBD"/>
    <w:rsid w:val="00F34FC1"/>
    <w:rsid w:val="00F34FFA"/>
    <w:rsid w:val="00F354F4"/>
    <w:rsid w:val="00F35604"/>
    <w:rsid w:val="00F35BA4"/>
    <w:rsid w:val="00F35EAA"/>
    <w:rsid w:val="00F3607C"/>
    <w:rsid w:val="00F36173"/>
    <w:rsid w:val="00F363A5"/>
    <w:rsid w:val="00F36706"/>
    <w:rsid w:val="00F368D3"/>
    <w:rsid w:val="00F36A3A"/>
    <w:rsid w:val="00F376A8"/>
    <w:rsid w:val="00F3778D"/>
    <w:rsid w:val="00F4014C"/>
    <w:rsid w:val="00F401FF"/>
    <w:rsid w:val="00F40579"/>
    <w:rsid w:val="00F40A22"/>
    <w:rsid w:val="00F40EAE"/>
    <w:rsid w:val="00F41078"/>
    <w:rsid w:val="00F41268"/>
    <w:rsid w:val="00F414DA"/>
    <w:rsid w:val="00F418CB"/>
    <w:rsid w:val="00F41965"/>
    <w:rsid w:val="00F41F14"/>
    <w:rsid w:val="00F4210D"/>
    <w:rsid w:val="00F421BE"/>
    <w:rsid w:val="00F4265F"/>
    <w:rsid w:val="00F428D2"/>
    <w:rsid w:val="00F42EAC"/>
    <w:rsid w:val="00F4318B"/>
    <w:rsid w:val="00F432CA"/>
    <w:rsid w:val="00F435FD"/>
    <w:rsid w:val="00F43BBA"/>
    <w:rsid w:val="00F43BC9"/>
    <w:rsid w:val="00F4425E"/>
    <w:rsid w:val="00F448ED"/>
    <w:rsid w:val="00F44C08"/>
    <w:rsid w:val="00F455A8"/>
    <w:rsid w:val="00F45F70"/>
    <w:rsid w:val="00F45FF7"/>
    <w:rsid w:val="00F462FE"/>
    <w:rsid w:val="00F464C8"/>
    <w:rsid w:val="00F4657B"/>
    <w:rsid w:val="00F46936"/>
    <w:rsid w:val="00F46A5B"/>
    <w:rsid w:val="00F46CB4"/>
    <w:rsid w:val="00F46E38"/>
    <w:rsid w:val="00F470EC"/>
    <w:rsid w:val="00F47171"/>
    <w:rsid w:val="00F477FE"/>
    <w:rsid w:val="00F47B0C"/>
    <w:rsid w:val="00F47BD3"/>
    <w:rsid w:val="00F47EE7"/>
    <w:rsid w:val="00F47EFF"/>
    <w:rsid w:val="00F504B6"/>
    <w:rsid w:val="00F50587"/>
    <w:rsid w:val="00F505B8"/>
    <w:rsid w:val="00F5077E"/>
    <w:rsid w:val="00F507DA"/>
    <w:rsid w:val="00F50B84"/>
    <w:rsid w:val="00F514B6"/>
    <w:rsid w:val="00F51798"/>
    <w:rsid w:val="00F5197D"/>
    <w:rsid w:val="00F51A93"/>
    <w:rsid w:val="00F51EE7"/>
    <w:rsid w:val="00F521A9"/>
    <w:rsid w:val="00F526BB"/>
    <w:rsid w:val="00F529C3"/>
    <w:rsid w:val="00F529E6"/>
    <w:rsid w:val="00F52F5B"/>
    <w:rsid w:val="00F5325F"/>
    <w:rsid w:val="00F5366A"/>
    <w:rsid w:val="00F536EA"/>
    <w:rsid w:val="00F53A85"/>
    <w:rsid w:val="00F54067"/>
    <w:rsid w:val="00F54317"/>
    <w:rsid w:val="00F54769"/>
    <w:rsid w:val="00F54A1F"/>
    <w:rsid w:val="00F54D71"/>
    <w:rsid w:val="00F5512F"/>
    <w:rsid w:val="00F556DA"/>
    <w:rsid w:val="00F56986"/>
    <w:rsid w:val="00F56A22"/>
    <w:rsid w:val="00F56BC2"/>
    <w:rsid w:val="00F56BDF"/>
    <w:rsid w:val="00F56C34"/>
    <w:rsid w:val="00F56D0B"/>
    <w:rsid w:val="00F56FED"/>
    <w:rsid w:val="00F57A60"/>
    <w:rsid w:val="00F57B39"/>
    <w:rsid w:val="00F60245"/>
    <w:rsid w:val="00F605BE"/>
    <w:rsid w:val="00F60F30"/>
    <w:rsid w:val="00F610E7"/>
    <w:rsid w:val="00F61398"/>
    <w:rsid w:val="00F616F6"/>
    <w:rsid w:val="00F61BBB"/>
    <w:rsid w:val="00F62643"/>
    <w:rsid w:val="00F6296D"/>
    <w:rsid w:val="00F62A0E"/>
    <w:rsid w:val="00F631CE"/>
    <w:rsid w:val="00F632EB"/>
    <w:rsid w:val="00F633B7"/>
    <w:rsid w:val="00F63488"/>
    <w:rsid w:val="00F63496"/>
    <w:rsid w:val="00F63594"/>
    <w:rsid w:val="00F635A5"/>
    <w:rsid w:val="00F63A6E"/>
    <w:rsid w:val="00F63DE0"/>
    <w:rsid w:val="00F64142"/>
    <w:rsid w:val="00F645C0"/>
    <w:rsid w:val="00F6466E"/>
    <w:rsid w:val="00F64ABC"/>
    <w:rsid w:val="00F64CC0"/>
    <w:rsid w:val="00F64E9A"/>
    <w:rsid w:val="00F65084"/>
    <w:rsid w:val="00F653A4"/>
    <w:rsid w:val="00F65D33"/>
    <w:rsid w:val="00F65FD0"/>
    <w:rsid w:val="00F66117"/>
    <w:rsid w:val="00F66449"/>
    <w:rsid w:val="00F66E5F"/>
    <w:rsid w:val="00F671CF"/>
    <w:rsid w:val="00F679B6"/>
    <w:rsid w:val="00F67DA9"/>
    <w:rsid w:val="00F7003B"/>
    <w:rsid w:val="00F70122"/>
    <w:rsid w:val="00F70400"/>
    <w:rsid w:val="00F7043A"/>
    <w:rsid w:val="00F70660"/>
    <w:rsid w:val="00F713C1"/>
    <w:rsid w:val="00F7145E"/>
    <w:rsid w:val="00F71645"/>
    <w:rsid w:val="00F7230E"/>
    <w:rsid w:val="00F726C8"/>
    <w:rsid w:val="00F727F7"/>
    <w:rsid w:val="00F729A3"/>
    <w:rsid w:val="00F72C5A"/>
    <w:rsid w:val="00F73438"/>
    <w:rsid w:val="00F73919"/>
    <w:rsid w:val="00F73A79"/>
    <w:rsid w:val="00F73B40"/>
    <w:rsid w:val="00F7442F"/>
    <w:rsid w:val="00F74659"/>
    <w:rsid w:val="00F74872"/>
    <w:rsid w:val="00F748F2"/>
    <w:rsid w:val="00F74A6A"/>
    <w:rsid w:val="00F74D69"/>
    <w:rsid w:val="00F74F7B"/>
    <w:rsid w:val="00F7533A"/>
    <w:rsid w:val="00F755B2"/>
    <w:rsid w:val="00F75BDF"/>
    <w:rsid w:val="00F75DDE"/>
    <w:rsid w:val="00F762B5"/>
    <w:rsid w:val="00F76680"/>
    <w:rsid w:val="00F76E1B"/>
    <w:rsid w:val="00F76FE0"/>
    <w:rsid w:val="00F77194"/>
    <w:rsid w:val="00F77486"/>
    <w:rsid w:val="00F77ECA"/>
    <w:rsid w:val="00F8018E"/>
    <w:rsid w:val="00F802DA"/>
    <w:rsid w:val="00F80861"/>
    <w:rsid w:val="00F80CF6"/>
    <w:rsid w:val="00F80F0F"/>
    <w:rsid w:val="00F81267"/>
    <w:rsid w:val="00F81550"/>
    <w:rsid w:val="00F81A36"/>
    <w:rsid w:val="00F81E7F"/>
    <w:rsid w:val="00F8203F"/>
    <w:rsid w:val="00F82955"/>
    <w:rsid w:val="00F82CFC"/>
    <w:rsid w:val="00F82F7A"/>
    <w:rsid w:val="00F83B6A"/>
    <w:rsid w:val="00F83F89"/>
    <w:rsid w:val="00F841EF"/>
    <w:rsid w:val="00F852CD"/>
    <w:rsid w:val="00F85336"/>
    <w:rsid w:val="00F8578E"/>
    <w:rsid w:val="00F857DD"/>
    <w:rsid w:val="00F85D2C"/>
    <w:rsid w:val="00F85E48"/>
    <w:rsid w:val="00F85E7A"/>
    <w:rsid w:val="00F86051"/>
    <w:rsid w:val="00F86478"/>
    <w:rsid w:val="00F8689B"/>
    <w:rsid w:val="00F868BF"/>
    <w:rsid w:val="00F86AC2"/>
    <w:rsid w:val="00F86DFA"/>
    <w:rsid w:val="00F86EB9"/>
    <w:rsid w:val="00F8700D"/>
    <w:rsid w:val="00F87A03"/>
    <w:rsid w:val="00F905A5"/>
    <w:rsid w:val="00F9078E"/>
    <w:rsid w:val="00F90A5E"/>
    <w:rsid w:val="00F90A7A"/>
    <w:rsid w:val="00F90F1B"/>
    <w:rsid w:val="00F91586"/>
    <w:rsid w:val="00F91BAB"/>
    <w:rsid w:val="00F920B9"/>
    <w:rsid w:val="00F92289"/>
    <w:rsid w:val="00F92548"/>
    <w:rsid w:val="00F92792"/>
    <w:rsid w:val="00F93146"/>
    <w:rsid w:val="00F931F4"/>
    <w:rsid w:val="00F93303"/>
    <w:rsid w:val="00F9357C"/>
    <w:rsid w:val="00F939A7"/>
    <w:rsid w:val="00F93A26"/>
    <w:rsid w:val="00F93A5B"/>
    <w:rsid w:val="00F94659"/>
    <w:rsid w:val="00F94D18"/>
    <w:rsid w:val="00F955CF"/>
    <w:rsid w:val="00F9585A"/>
    <w:rsid w:val="00F95B83"/>
    <w:rsid w:val="00F96451"/>
    <w:rsid w:val="00F9679C"/>
    <w:rsid w:val="00F9679E"/>
    <w:rsid w:val="00F96F9A"/>
    <w:rsid w:val="00F973FA"/>
    <w:rsid w:val="00F97C3F"/>
    <w:rsid w:val="00F97E2B"/>
    <w:rsid w:val="00FA0030"/>
    <w:rsid w:val="00FA009B"/>
    <w:rsid w:val="00FA09D1"/>
    <w:rsid w:val="00FA1249"/>
    <w:rsid w:val="00FA180B"/>
    <w:rsid w:val="00FA1827"/>
    <w:rsid w:val="00FA1AA3"/>
    <w:rsid w:val="00FA2462"/>
    <w:rsid w:val="00FA2526"/>
    <w:rsid w:val="00FA253A"/>
    <w:rsid w:val="00FA2E2E"/>
    <w:rsid w:val="00FA2FA0"/>
    <w:rsid w:val="00FA341F"/>
    <w:rsid w:val="00FA369D"/>
    <w:rsid w:val="00FA39E5"/>
    <w:rsid w:val="00FA3B3E"/>
    <w:rsid w:val="00FA3E57"/>
    <w:rsid w:val="00FA3E72"/>
    <w:rsid w:val="00FA3EEF"/>
    <w:rsid w:val="00FA471B"/>
    <w:rsid w:val="00FA476C"/>
    <w:rsid w:val="00FA4A04"/>
    <w:rsid w:val="00FA4A1E"/>
    <w:rsid w:val="00FA4AE1"/>
    <w:rsid w:val="00FA4F1B"/>
    <w:rsid w:val="00FA50D5"/>
    <w:rsid w:val="00FA50D9"/>
    <w:rsid w:val="00FA556E"/>
    <w:rsid w:val="00FA5891"/>
    <w:rsid w:val="00FA61A3"/>
    <w:rsid w:val="00FA682C"/>
    <w:rsid w:val="00FA6A01"/>
    <w:rsid w:val="00FA6F2C"/>
    <w:rsid w:val="00FA6FF8"/>
    <w:rsid w:val="00FA70F3"/>
    <w:rsid w:val="00FA73D0"/>
    <w:rsid w:val="00FA73EA"/>
    <w:rsid w:val="00FA7A8E"/>
    <w:rsid w:val="00FA7AAF"/>
    <w:rsid w:val="00FA7B88"/>
    <w:rsid w:val="00FA7EA1"/>
    <w:rsid w:val="00FB0212"/>
    <w:rsid w:val="00FB0230"/>
    <w:rsid w:val="00FB0320"/>
    <w:rsid w:val="00FB0335"/>
    <w:rsid w:val="00FB0530"/>
    <w:rsid w:val="00FB0539"/>
    <w:rsid w:val="00FB0D05"/>
    <w:rsid w:val="00FB0DCC"/>
    <w:rsid w:val="00FB156D"/>
    <w:rsid w:val="00FB15FE"/>
    <w:rsid w:val="00FB1717"/>
    <w:rsid w:val="00FB178D"/>
    <w:rsid w:val="00FB18AE"/>
    <w:rsid w:val="00FB1927"/>
    <w:rsid w:val="00FB1C3D"/>
    <w:rsid w:val="00FB1EDF"/>
    <w:rsid w:val="00FB2256"/>
    <w:rsid w:val="00FB2444"/>
    <w:rsid w:val="00FB30E7"/>
    <w:rsid w:val="00FB32AA"/>
    <w:rsid w:val="00FB3525"/>
    <w:rsid w:val="00FB3AA8"/>
    <w:rsid w:val="00FB3B70"/>
    <w:rsid w:val="00FB3BF3"/>
    <w:rsid w:val="00FB3C8E"/>
    <w:rsid w:val="00FB403C"/>
    <w:rsid w:val="00FB4095"/>
    <w:rsid w:val="00FB4779"/>
    <w:rsid w:val="00FB4AC9"/>
    <w:rsid w:val="00FB4CAD"/>
    <w:rsid w:val="00FB5A43"/>
    <w:rsid w:val="00FB5CC4"/>
    <w:rsid w:val="00FB5D7F"/>
    <w:rsid w:val="00FB6465"/>
    <w:rsid w:val="00FB6AEC"/>
    <w:rsid w:val="00FB71CF"/>
    <w:rsid w:val="00FB7257"/>
    <w:rsid w:val="00FB73CB"/>
    <w:rsid w:val="00FB7E37"/>
    <w:rsid w:val="00FC0E27"/>
    <w:rsid w:val="00FC0F65"/>
    <w:rsid w:val="00FC0FD6"/>
    <w:rsid w:val="00FC11E6"/>
    <w:rsid w:val="00FC1436"/>
    <w:rsid w:val="00FC17E3"/>
    <w:rsid w:val="00FC18B0"/>
    <w:rsid w:val="00FC1B73"/>
    <w:rsid w:val="00FC1D88"/>
    <w:rsid w:val="00FC2250"/>
    <w:rsid w:val="00FC2645"/>
    <w:rsid w:val="00FC2A98"/>
    <w:rsid w:val="00FC339F"/>
    <w:rsid w:val="00FC33D0"/>
    <w:rsid w:val="00FC349C"/>
    <w:rsid w:val="00FC34F4"/>
    <w:rsid w:val="00FC43FA"/>
    <w:rsid w:val="00FC479C"/>
    <w:rsid w:val="00FC4AE6"/>
    <w:rsid w:val="00FC4D2A"/>
    <w:rsid w:val="00FC4D40"/>
    <w:rsid w:val="00FC5246"/>
    <w:rsid w:val="00FC5266"/>
    <w:rsid w:val="00FC552B"/>
    <w:rsid w:val="00FC5BA6"/>
    <w:rsid w:val="00FC5EAF"/>
    <w:rsid w:val="00FC6091"/>
    <w:rsid w:val="00FC653E"/>
    <w:rsid w:val="00FC69F2"/>
    <w:rsid w:val="00FC6ADD"/>
    <w:rsid w:val="00FC6B77"/>
    <w:rsid w:val="00FC6EC3"/>
    <w:rsid w:val="00FC7476"/>
    <w:rsid w:val="00FC762B"/>
    <w:rsid w:val="00FC784C"/>
    <w:rsid w:val="00FC7902"/>
    <w:rsid w:val="00FC7915"/>
    <w:rsid w:val="00FC7919"/>
    <w:rsid w:val="00FC7A32"/>
    <w:rsid w:val="00FC7F09"/>
    <w:rsid w:val="00FC7F4E"/>
    <w:rsid w:val="00FD09C7"/>
    <w:rsid w:val="00FD0AF8"/>
    <w:rsid w:val="00FD0CC6"/>
    <w:rsid w:val="00FD0F75"/>
    <w:rsid w:val="00FD1111"/>
    <w:rsid w:val="00FD119A"/>
    <w:rsid w:val="00FD17A4"/>
    <w:rsid w:val="00FD1AF9"/>
    <w:rsid w:val="00FD2283"/>
    <w:rsid w:val="00FD22FB"/>
    <w:rsid w:val="00FD278C"/>
    <w:rsid w:val="00FD28E9"/>
    <w:rsid w:val="00FD2B9C"/>
    <w:rsid w:val="00FD322B"/>
    <w:rsid w:val="00FD3AA7"/>
    <w:rsid w:val="00FD3AF0"/>
    <w:rsid w:val="00FD3E39"/>
    <w:rsid w:val="00FD3E41"/>
    <w:rsid w:val="00FD3FDC"/>
    <w:rsid w:val="00FD4257"/>
    <w:rsid w:val="00FD457A"/>
    <w:rsid w:val="00FD490C"/>
    <w:rsid w:val="00FD4D04"/>
    <w:rsid w:val="00FD592D"/>
    <w:rsid w:val="00FD593C"/>
    <w:rsid w:val="00FD60EF"/>
    <w:rsid w:val="00FD61C1"/>
    <w:rsid w:val="00FD64FE"/>
    <w:rsid w:val="00FD68D3"/>
    <w:rsid w:val="00FD6B24"/>
    <w:rsid w:val="00FD6B83"/>
    <w:rsid w:val="00FD6D1D"/>
    <w:rsid w:val="00FD75EC"/>
    <w:rsid w:val="00FD7B56"/>
    <w:rsid w:val="00FE007F"/>
    <w:rsid w:val="00FE028F"/>
    <w:rsid w:val="00FE037A"/>
    <w:rsid w:val="00FE0650"/>
    <w:rsid w:val="00FE09C7"/>
    <w:rsid w:val="00FE0EB3"/>
    <w:rsid w:val="00FE0EC9"/>
    <w:rsid w:val="00FE0F05"/>
    <w:rsid w:val="00FE0F98"/>
    <w:rsid w:val="00FE1095"/>
    <w:rsid w:val="00FE1242"/>
    <w:rsid w:val="00FE131D"/>
    <w:rsid w:val="00FE1549"/>
    <w:rsid w:val="00FE17DD"/>
    <w:rsid w:val="00FE1924"/>
    <w:rsid w:val="00FE1954"/>
    <w:rsid w:val="00FE1BBE"/>
    <w:rsid w:val="00FE1BD3"/>
    <w:rsid w:val="00FE1E40"/>
    <w:rsid w:val="00FE1EE2"/>
    <w:rsid w:val="00FE1EFA"/>
    <w:rsid w:val="00FE233E"/>
    <w:rsid w:val="00FE23F7"/>
    <w:rsid w:val="00FE25A8"/>
    <w:rsid w:val="00FE2740"/>
    <w:rsid w:val="00FE27BF"/>
    <w:rsid w:val="00FE292F"/>
    <w:rsid w:val="00FE2B74"/>
    <w:rsid w:val="00FE32F4"/>
    <w:rsid w:val="00FE3548"/>
    <w:rsid w:val="00FE372B"/>
    <w:rsid w:val="00FE374A"/>
    <w:rsid w:val="00FE397E"/>
    <w:rsid w:val="00FE3E23"/>
    <w:rsid w:val="00FE4541"/>
    <w:rsid w:val="00FE4C81"/>
    <w:rsid w:val="00FE4D69"/>
    <w:rsid w:val="00FE56A1"/>
    <w:rsid w:val="00FE588B"/>
    <w:rsid w:val="00FE58D8"/>
    <w:rsid w:val="00FE597C"/>
    <w:rsid w:val="00FE66A8"/>
    <w:rsid w:val="00FE67D7"/>
    <w:rsid w:val="00FE7410"/>
    <w:rsid w:val="00FE78DA"/>
    <w:rsid w:val="00FE7B4C"/>
    <w:rsid w:val="00FE7E54"/>
    <w:rsid w:val="00FE7F55"/>
    <w:rsid w:val="00FF0041"/>
    <w:rsid w:val="00FF01C8"/>
    <w:rsid w:val="00FF02E8"/>
    <w:rsid w:val="00FF0B30"/>
    <w:rsid w:val="00FF0E23"/>
    <w:rsid w:val="00FF12E8"/>
    <w:rsid w:val="00FF14F1"/>
    <w:rsid w:val="00FF1B30"/>
    <w:rsid w:val="00FF1CB3"/>
    <w:rsid w:val="00FF1CCC"/>
    <w:rsid w:val="00FF1F0F"/>
    <w:rsid w:val="00FF1F1C"/>
    <w:rsid w:val="00FF2266"/>
    <w:rsid w:val="00FF249B"/>
    <w:rsid w:val="00FF24F4"/>
    <w:rsid w:val="00FF281F"/>
    <w:rsid w:val="00FF2D43"/>
    <w:rsid w:val="00FF31C3"/>
    <w:rsid w:val="00FF36BB"/>
    <w:rsid w:val="00FF3755"/>
    <w:rsid w:val="00FF3789"/>
    <w:rsid w:val="00FF3A99"/>
    <w:rsid w:val="00FF3C6C"/>
    <w:rsid w:val="00FF3C7C"/>
    <w:rsid w:val="00FF3C84"/>
    <w:rsid w:val="00FF3E39"/>
    <w:rsid w:val="00FF3FF4"/>
    <w:rsid w:val="00FF438C"/>
    <w:rsid w:val="00FF4666"/>
    <w:rsid w:val="00FF4F45"/>
    <w:rsid w:val="00FF5446"/>
    <w:rsid w:val="00FF5737"/>
    <w:rsid w:val="00FF5A28"/>
    <w:rsid w:val="00FF6257"/>
    <w:rsid w:val="00FF640E"/>
    <w:rsid w:val="00FF68A8"/>
    <w:rsid w:val="00FF68C2"/>
    <w:rsid w:val="00FF7352"/>
    <w:rsid w:val="00FF7BB6"/>
    <w:rsid w:val="00FF7FCF"/>
  </w:rsids>
  <m:mathPr>
    <m:mathFont m:val="Cambria Math"/>
    <m:brkBin m:val="before"/>
    <m:brkBinSub m:val="--"/>
    <m:smallFrac/>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D034D"/>
  <w15:docId w15:val="{7CA7FBF7-DD6E-4C4E-9296-E7DEF5DE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3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797CEE"/>
    <w:pPr>
      <w:keepNext/>
      <w:keepLines/>
      <w:spacing w:before="360" w:after="360"/>
      <w:outlineLvl w:val="0"/>
    </w:pPr>
    <w:rPr>
      <w:rFonts w:asciiTheme="majorHAnsi" w:eastAsiaTheme="majorEastAsia" w:hAnsiTheme="majorHAnsi" w:cstheme="majorBidi"/>
      <w:b/>
      <w:bCs/>
      <w:caps/>
      <w:color w:val="FFFFFF" w:themeColor="background1"/>
      <w:sz w:val="40"/>
      <w:szCs w:val="28"/>
    </w:rPr>
  </w:style>
  <w:style w:type="paragraph" w:styleId="Heading2">
    <w:name w:val="heading 2"/>
    <w:basedOn w:val="Normal"/>
    <w:next w:val="Normal"/>
    <w:link w:val="Heading2Char"/>
    <w:uiPriority w:val="9"/>
    <w:unhideWhenUsed/>
    <w:qFormat/>
    <w:rsid w:val="000B0795"/>
    <w:pPr>
      <w:keepNext/>
      <w:keepLines/>
      <w:numPr>
        <w:numId w:val="1"/>
      </w:numPr>
      <w:spacing w:before="360" w:after="240"/>
      <w:ind w:left="107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unhideWhenUsed/>
    <w:qFormat/>
    <w:rsid w:val="004727C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562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2C2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756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1C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01C23"/>
    <w:rPr>
      <w:rFonts w:eastAsiaTheme="minorEastAsia"/>
      <w:lang w:val="en-US"/>
    </w:rPr>
  </w:style>
  <w:style w:type="paragraph" w:styleId="BalloonText">
    <w:name w:val="Balloon Text"/>
    <w:basedOn w:val="Normal"/>
    <w:link w:val="BalloonTextChar"/>
    <w:uiPriority w:val="99"/>
    <w:semiHidden/>
    <w:unhideWhenUsed/>
    <w:rsid w:val="00301C23"/>
    <w:rPr>
      <w:rFonts w:ascii="Tahoma" w:hAnsi="Tahoma" w:cs="Tahoma"/>
      <w:sz w:val="16"/>
      <w:szCs w:val="16"/>
    </w:rPr>
  </w:style>
  <w:style w:type="character" w:customStyle="1" w:styleId="BalloonTextChar">
    <w:name w:val="Balloon Text Char"/>
    <w:basedOn w:val="DefaultParagraphFont"/>
    <w:link w:val="BalloonText"/>
    <w:uiPriority w:val="99"/>
    <w:semiHidden/>
    <w:rsid w:val="00301C23"/>
    <w:rPr>
      <w:rFonts w:ascii="Tahoma" w:hAnsi="Tahoma" w:cs="Tahoma"/>
      <w:sz w:val="16"/>
      <w:szCs w:val="16"/>
    </w:rPr>
  </w:style>
  <w:style w:type="character" w:customStyle="1" w:styleId="Heading1Char">
    <w:name w:val="Heading 1 Char"/>
    <w:basedOn w:val="DefaultParagraphFont"/>
    <w:link w:val="Heading1"/>
    <w:uiPriority w:val="9"/>
    <w:rsid w:val="00797CEE"/>
    <w:rPr>
      <w:rFonts w:asciiTheme="majorHAnsi" w:eastAsiaTheme="majorEastAsia" w:hAnsiTheme="majorHAnsi" w:cstheme="majorBidi"/>
      <w:b/>
      <w:bCs/>
      <w:caps/>
      <w:color w:val="FFFFFF" w:themeColor="background1"/>
      <w:sz w:val="40"/>
      <w:szCs w:val="28"/>
    </w:rPr>
  </w:style>
  <w:style w:type="character" w:customStyle="1" w:styleId="Heading2Char">
    <w:name w:val="Heading 2 Char"/>
    <w:basedOn w:val="DefaultParagraphFont"/>
    <w:link w:val="Heading2"/>
    <w:uiPriority w:val="9"/>
    <w:rsid w:val="000B0795"/>
    <w:rPr>
      <w:rFonts w:asciiTheme="majorHAnsi" w:eastAsiaTheme="majorEastAsia" w:hAnsiTheme="majorHAnsi" w:cstheme="majorBidi"/>
      <w:b/>
      <w:bCs/>
      <w:caps/>
      <w:sz w:val="24"/>
      <w:szCs w:val="26"/>
      <w:lang w:val="en-GB" w:eastAsia="en-GB"/>
    </w:rPr>
  </w:style>
  <w:style w:type="paragraph" w:styleId="TOCHeading">
    <w:name w:val="TOC Heading"/>
    <w:basedOn w:val="Heading1"/>
    <w:next w:val="Normal"/>
    <w:uiPriority w:val="39"/>
    <w:semiHidden/>
    <w:unhideWhenUsed/>
    <w:qFormat/>
    <w:rsid w:val="006B19B3"/>
    <w:pPr>
      <w:spacing w:before="480" w:after="0" w:line="276" w:lineRule="auto"/>
      <w:outlineLvl w:val="9"/>
    </w:pPr>
    <w:rPr>
      <w:caps w:val="0"/>
      <w:color w:val="365F91" w:themeColor="accent1" w:themeShade="BF"/>
      <w:sz w:val="28"/>
      <w:lang w:val="en-US"/>
    </w:rPr>
  </w:style>
  <w:style w:type="paragraph" w:styleId="TOC1">
    <w:name w:val="toc 1"/>
    <w:basedOn w:val="Normal"/>
    <w:next w:val="Normal"/>
    <w:autoRedefine/>
    <w:uiPriority w:val="39"/>
    <w:unhideWhenUsed/>
    <w:rsid w:val="006B19B3"/>
    <w:pPr>
      <w:spacing w:after="100"/>
    </w:pPr>
  </w:style>
  <w:style w:type="paragraph" w:styleId="TOC2">
    <w:name w:val="toc 2"/>
    <w:basedOn w:val="Normal"/>
    <w:next w:val="Normal"/>
    <w:autoRedefine/>
    <w:uiPriority w:val="39"/>
    <w:unhideWhenUsed/>
    <w:rsid w:val="006B19B3"/>
    <w:pPr>
      <w:spacing w:after="100"/>
      <w:ind w:left="220"/>
    </w:pPr>
  </w:style>
  <w:style w:type="character" w:styleId="Hyperlink">
    <w:name w:val="Hyperlink"/>
    <w:basedOn w:val="DefaultParagraphFont"/>
    <w:uiPriority w:val="99"/>
    <w:unhideWhenUsed/>
    <w:rsid w:val="006B19B3"/>
    <w:rPr>
      <w:color w:val="0000FF" w:themeColor="hyperlink"/>
      <w:u w:val="single"/>
    </w:rPr>
  </w:style>
  <w:style w:type="paragraph" w:styleId="ListParagraph">
    <w:name w:val="List Paragraph"/>
    <w:basedOn w:val="Normal"/>
    <w:uiPriority w:val="34"/>
    <w:qFormat/>
    <w:rsid w:val="006B19B3"/>
    <w:pPr>
      <w:ind w:left="720"/>
      <w:contextualSpacing/>
    </w:pPr>
  </w:style>
  <w:style w:type="paragraph" w:styleId="Header">
    <w:name w:val="header"/>
    <w:basedOn w:val="Normal"/>
    <w:link w:val="HeaderChar"/>
    <w:uiPriority w:val="99"/>
    <w:unhideWhenUsed/>
    <w:rsid w:val="003B2D94"/>
    <w:pPr>
      <w:tabs>
        <w:tab w:val="center" w:pos="4536"/>
        <w:tab w:val="right" w:pos="9072"/>
      </w:tabs>
    </w:pPr>
  </w:style>
  <w:style w:type="character" w:customStyle="1" w:styleId="HeaderChar">
    <w:name w:val="Header Char"/>
    <w:basedOn w:val="DefaultParagraphFont"/>
    <w:link w:val="Header"/>
    <w:uiPriority w:val="99"/>
    <w:rsid w:val="003B2D94"/>
    <w:rPr>
      <w:rFonts w:ascii="Times New Roman" w:hAnsi="Times New Roman"/>
    </w:rPr>
  </w:style>
  <w:style w:type="paragraph" w:styleId="Footer">
    <w:name w:val="footer"/>
    <w:basedOn w:val="Normal"/>
    <w:link w:val="FooterChar"/>
    <w:uiPriority w:val="99"/>
    <w:unhideWhenUsed/>
    <w:rsid w:val="003B2D94"/>
    <w:pPr>
      <w:tabs>
        <w:tab w:val="center" w:pos="4536"/>
        <w:tab w:val="right" w:pos="9072"/>
      </w:tabs>
    </w:pPr>
  </w:style>
  <w:style w:type="character" w:customStyle="1" w:styleId="FooterChar">
    <w:name w:val="Footer Char"/>
    <w:basedOn w:val="DefaultParagraphFont"/>
    <w:link w:val="Footer"/>
    <w:uiPriority w:val="99"/>
    <w:rsid w:val="003B2D94"/>
    <w:rPr>
      <w:rFonts w:ascii="Times New Roman" w:hAnsi="Times New Roman"/>
    </w:rPr>
  </w:style>
  <w:style w:type="paragraph" w:customStyle="1" w:styleId="Master-scholarship-internship">
    <w:name w:val="Master-scholarship-internship"/>
    <w:basedOn w:val="Heading1"/>
    <w:qFormat/>
    <w:rsid w:val="00797CEE"/>
    <w:pPr>
      <w:shd w:val="clear" w:color="auto" w:fill="C0504D" w:themeFill="accent2"/>
    </w:pPr>
  </w:style>
  <w:style w:type="paragraph" w:customStyle="1" w:styleId="Programs">
    <w:name w:val="Programs"/>
    <w:basedOn w:val="Heading1"/>
    <w:qFormat/>
    <w:rsid w:val="00B278E8"/>
    <w:pPr>
      <w:shd w:val="clear" w:color="auto" w:fill="4F81BD" w:themeFill="accent1"/>
    </w:pPr>
  </w:style>
  <w:style w:type="paragraph" w:customStyle="1" w:styleId="Events">
    <w:name w:val="Events"/>
    <w:basedOn w:val="Master-scholarship-internship"/>
    <w:qFormat/>
    <w:rsid w:val="00B278E8"/>
    <w:pPr>
      <w:shd w:val="clear" w:color="auto" w:fill="F79646" w:themeFill="accent6"/>
    </w:pPr>
  </w:style>
  <w:style w:type="paragraph" w:customStyle="1" w:styleId="Publications">
    <w:name w:val="Publications"/>
    <w:basedOn w:val="Heading1"/>
    <w:qFormat/>
    <w:rsid w:val="00B278E8"/>
    <w:pPr>
      <w:shd w:val="clear" w:color="auto" w:fill="9BBB59" w:themeFill="accent3"/>
    </w:pPr>
  </w:style>
  <w:style w:type="paragraph" w:styleId="NormalWeb">
    <w:name w:val="Normal (Web)"/>
    <w:basedOn w:val="Normal"/>
    <w:uiPriority w:val="99"/>
    <w:rsid w:val="00846CDB"/>
    <w:pPr>
      <w:spacing w:before="100" w:beforeAutospacing="1" w:after="100" w:afterAutospacing="1"/>
    </w:pPr>
    <w:rPr>
      <w:color w:val="000000"/>
      <w:lang w:eastAsia="bg-BG"/>
    </w:rPr>
  </w:style>
  <w:style w:type="character" w:styleId="Strong">
    <w:name w:val="Strong"/>
    <w:basedOn w:val="DefaultParagraphFont"/>
    <w:uiPriority w:val="22"/>
    <w:qFormat/>
    <w:rsid w:val="00846CDB"/>
    <w:rPr>
      <w:b/>
      <w:bCs/>
    </w:rPr>
  </w:style>
  <w:style w:type="character" w:styleId="Emphasis">
    <w:name w:val="Emphasis"/>
    <w:basedOn w:val="DefaultParagraphFont"/>
    <w:uiPriority w:val="20"/>
    <w:qFormat/>
    <w:rsid w:val="00AA5E23"/>
    <w:rPr>
      <w:i/>
      <w:iCs/>
    </w:rPr>
  </w:style>
  <w:style w:type="character" w:customStyle="1" w:styleId="apple-converted-space">
    <w:name w:val="apple-converted-space"/>
    <w:basedOn w:val="DefaultParagraphFont"/>
    <w:rsid w:val="00875642"/>
  </w:style>
  <w:style w:type="character" w:customStyle="1" w:styleId="yiv1333007564subheading">
    <w:name w:val="yiv1333007564subheading"/>
    <w:basedOn w:val="DefaultParagraphFont"/>
    <w:rsid w:val="00094C9D"/>
  </w:style>
  <w:style w:type="character" w:styleId="FollowedHyperlink">
    <w:name w:val="FollowedHyperlink"/>
    <w:basedOn w:val="DefaultParagraphFont"/>
    <w:uiPriority w:val="99"/>
    <w:semiHidden/>
    <w:unhideWhenUsed/>
    <w:rsid w:val="00094C9D"/>
    <w:rPr>
      <w:color w:val="800080" w:themeColor="followedHyperlink"/>
      <w:u w:val="single"/>
    </w:rPr>
  </w:style>
  <w:style w:type="paragraph" w:customStyle="1" w:styleId="yiv207932326msonormal">
    <w:name w:val="yiv207932326msonormal"/>
    <w:basedOn w:val="Normal"/>
    <w:rsid w:val="00C6671B"/>
    <w:pPr>
      <w:spacing w:before="100" w:beforeAutospacing="1" w:after="100" w:afterAutospacing="1"/>
    </w:pPr>
    <w:rPr>
      <w:lang w:eastAsia="bg-BG"/>
    </w:rPr>
  </w:style>
  <w:style w:type="character" w:customStyle="1" w:styleId="yshortcuts1">
    <w:name w:val="yshortcuts1"/>
    <w:basedOn w:val="DefaultParagraphFont"/>
    <w:rsid w:val="00C6671B"/>
    <w:rPr>
      <w:color w:val="366388"/>
    </w:rPr>
  </w:style>
  <w:style w:type="character" w:customStyle="1" w:styleId="yshortcuts2">
    <w:name w:val="yshortcuts2"/>
    <w:basedOn w:val="DefaultParagraphFont"/>
    <w:rsid w:val="00C6671B"/>
    <w:rPr>
      <w:color w:val="366388"/>
    </w:rPr>
  </w:style>
  <w:style w:type="character" w:customStyle="1" w:styleId="yshortcuts3">
    <w:name w:val="yshortcuts3"/>
    <w:basedOn w:val="DefaultParagraphFont"/>
    <w:rsid w:val="00C6671B"/>
    <w:rPr>
      <w:color w:val="366388"/>
    </w:rPr>
  </w:style>
  <w:style w:type="character" w:customStyle="1" w:styleId="yshortcuts4">
    <w:name w:val="yshortcuts4"/>
    <w:basedOn w:val="DefaultParagraphFont"/>
    <w:rsid w:val="00C6671B"/>
    <w:rPr>
      <w:color w:val="366388"/>
    </w:rPr>
  </w:style>
  <w:style w:type="character" w:customStyle="1" w:styleId="daterange1">
    <w:name w:val="daterange1"/>
    <w:basedOn w:val="DefaultParagraphFont"/>
    <w:rsid w:val="00593830"/>
  </w:style>
  <w:style w:type="character" w:styleId="HTMLAcronym">
    <w:name w:val="HTML Acronym"/>
    <w:basedOn w:val="DefaultParagraphFont"/>
    <w:uiPriority w:val="99"/>
    <w:semiHidden/>
    <w:unhideWhenUsed/>
    <w:rsid w:val="00FC4D2A"/>
  </w:style>
  <w:style w:type="character" w:customStyle="1" w:styleId="adr">
    <w:name w:val="adr"/>
    <w:basedOn w:val="DefaultParagraphFont"/>
    <w:rsid w:val="007E57F1"/>
  </w:style>
  <w:style w:type="character" w:customStyle="1" w:styleId="street-address">
    <w:name w:val="street-address"/>
    <w:basedOn w:val="DefaultParagraphFont"/>
    <w:rsid w:val="007E57F1"/>
  </w:style>
  <w:style w:type="character" w:customStyle="1" w:styleId="locality">
    <w:name w:val="locality"/>
    <w:basedOn w:val="DefaultParagraphFont"/>
    <w:rsid w:val="007E57F1"/>
  </w:style>
  <w:style w:type="character" w:customStyle="1" w:styleId="country-name">
    <w:name w:val="country-name"/>
    <w:basedOn w:val="DefaultParagraphFont"/>
    <w:rsid w:val="007E57F1"/>
  </w:style>
  <w:style w:type="character" w:customStyle="1" w:styleId="Heading4Char">
    <w:name w:val="Heading 4 Char"/>
    <w:basedOn w:val="DefaultParagraphFont"/>
    <w:link w:val="Heading4"/>
    <w:uiPriority w:val="9"/>
    <w:semiHidden/>
    <w:rsid w:val="00DF5629"/>
    <w:rPr>
      <w:rFonts w:asciiTheme="majorHAnsi" w:eastAsiaTheme="majorEastAsia" w:hAnsiTheme="majorHAnsi" w:cstheme="majorBidi"/>
      <w:b/>
      <w:bCs/>
      <w:i/>
      <w:iCs/>
      <w:color w:val="4F81BD" w:themeColor="accent1"/>
    </w:rPr>
  </w:style>
  <w:style w:type="character" w:customStyle="1" w:styleId="spandate">
    <w:name w:val="spandate"/>
    <w:basedOn w:val="DefaultParagraphFont"/>
    <w:rsid w:val="004D4026"/>
    <w:rPr>
      <w:b/>
      <w:bCs/>
      <w:color w:val="038C18"/>
    </w:rPr>
  </w:style>
  <w:style w:type="character" w:customStyle="1" w:styleId="Heading3Char">
    <w:name w:val="Heading 3 Char"/>
    <w:basedOn w:val="DefaultParagraphFont"/>
    <w:link w:val="Heading3"/>
    <w:uiPriority w:val="9"/>
    <w:rsid w:val="004727C1"/>
    <w:rPr>
      <w:rFonts w:asciiTheme="majorHAnsi" w:eastAsiaTheme="majorEastAsia" w:hAnsiTheme="majorHAnsi" w:cstheme="majorBidi"/>
      <w:b/>
      <w:bCs/>
      <w:color w:val="4F81BD" w:themeColor="accent1"/>
    </w:rPr>
  </w:style>
  <w:style w:type="paragraph" w:customStyle="1" w:styleId="bodytext">
    <w:name w:val="bodytext"/>
    <w:basedOn w:val="Normal"/>
    <w:rsid w:val="004727C1"/>
    <w:pPr>
      <w:spacing w:before="100" w:beforeAutospacing="1" w:after="100" w:afterAutospacing="1"/>
    </w:pPr>
    <w:rPr>
      <w:lang w:eastAsia="bg-BG"/>
    </w:rPr>
  </w:style>
  <w:style w:type="paragraph" w:customStyle="1" w:styleId="align-justify">
    <w:name w:val="align-justify"/>
    <w:basedOn w:val="Normal"/>
    <w:rsid w:val="004727C1"/>
    <w:pPr>
      <w:spacing w:before="100" w:beforeAutospacing="1" w:after="100" w:afterAutospacing="1"/>
    </w:pPr>
    <w:rPr>
      <w:lang w:eastAsia="bg-BG"/>
    </w:rPr>
  </w:style>
  <w:style w:type="paragraph" w:customStyle="1" w:styleId="sfnewsdate">
    <w:name w:val="sf_newsdate"/>
    <w:basedOn w:val="Normal"/>
    <w:rsid w:val="005D6D28"/>
    <w:pPr>
      <w:spacing w:before="100" w:beforeAutospacing="1" w:after="100" w:afterAutospacing="1"/>
    </w:pPr>
    <w:rPr>
      <w:lang w:eastAsia="bg-BG"/>
    </w:rPr>
  </w:style>
  <w:style w:type="paragraph" w:styleId="TOC3">
    <w:name w:val="toc 3"/>
    <w:basedOn w:val="Normal"/>
    <w:next w:val="Normal"/>
    <w:autoRedefine/>
    <w:uiPriority w:val="39"/>
    <w:unhideWhenUsed/>
    <w:rsid w:val="00304510"/>
    <w:pPr>
      <w:spacing w:after="100"/>
      <w:ind w:left="440"/>
    </w:pPr>
  </w:style>
  <w:style w:type="paragraph" w:customStyle="1" w:styleId="Default">
    <w:name w:val="Default"/>
    <w:rsid w:val="00DB3EB2"/>
    <w:pPr>
      <w:autoSpaceDE w:val="0"/>
      <w:autoSpaceDN w:val="0"/>
      <w:adjustRightInd w:val="0"/>
      <w:spacing w:after="0" w:line="240" w:lineRule="auto"/>
    </w:pPr>
    <w:rPr>
      <w:rFonts w:ascii="Cambria" w:hAnsi="Cambria" w:cs="Cambria"/>
      <w:color w:val="000000"/>
      <w:sz w:val="24"/>
      <w:szCs w:val="24"/>
    </w:rPr>
  </w:style>
  <w:style w:type="character" w:customStyle="1" w:styleId="subheading1">
    <w:name w:val="subheading1"/>
    <w:basedOn w:val="DefaultParagraphFont"/>
    <w:rsid w:val="002347AD"/>
    <w:rPr>
      <w:b/>
      <w:bCs/>
      <w:color w:val="000033"/>
      <w:sz w:val="30"/>
      <w:szCs w:val="30"/>
    </w:rPr>
  </w:style>
  <w:style w:type="paragraph" w:customStyle="1" w:styleId="p-title1">
    <w:name w:val="p-title1"/>
    <w:basedOn w:val="Normal"/>
    <w:rsid w:val="003555DC"/>
    <w:pPr>
      <w:pBdr>
        <w:bottom w:val="single" w:sz="6" w:space="0" w:color="44719B"/>
      </w:pBdr>
      <w:spacing w:before="120" w:after="120"/>
    </w:pPr>
    <w:rPr>
      <w:rFonts w:ascii="Verdana" w:hAnsi="Verdana"/>
      <w:color w:val="082D50"/>
      <w:sz w:val="27"/>
      <w:szCs w:val="27"/>
      <w:lang w:eastAsia="bg-BG"/>
    </w:rPr>
  </w:style>
  <w:style w:type="paragraph" w:customStyle="1" w:styleId="boxv6organizers">
    <w:name w:val="box_v6_organizers"/>
    <w:basedOn w:val="Normal"/>
    <w:rsid w:val="00C5033B"/>
    <w:pPr>
      <w:spacing w:before="100" w:beforeAutospacing="1" w:after="100" w:afterAutospacing="1"/>
    </w:pPr>
    <w:rPr>
      <w:lang w:eastAsia="bg-BG"/>
    </w:rPr>
  </w:style>
  <w:style w:type="paragraph" w:customStyle="1" w:styleId="boxv6room">
    <w:name w:val="box_v6_room"/>
    <w:basedOn w:val="Normal"/>
    <w:rsid w:val="00C5033B"/>
    <w:pPr>
      <w:spacing w:before="100" w:beforeAutospacing="1" w:after="100" w:afterAutospacing="1"/>
    </w:pPr>
    <w:rPr>
      <w:lang w:eastAsia="bg-BG"/>
    </w:rPr>
  </w:style>
  <w:style w:type="paragraph" w:customStyle="1" w:styleId="CM1">
    <w:name w:val="CM1"/>
    <w:basedOn w:val="Default"/>
    <w:next w:val="Default"/>
    <w:uiPriority w:val="99"/>
    <w:rsid w:val="00C44EFB"/>
    <w:rPr>
      <w:rFonts w:ascii="EUAlbertina" w:hAnsi="EUAlbertina" w:cstheme="minorBidi"/>
      <w:color w:val="auto"/>
    </w:rPr>
  </w:style>
  <w:style w:type="paragraph" w:customStyle="1" w:styleId="CM3">
    <w:name w:val="CM3"/>
    <w:basedOn w:val="Default"/>
    <w:next w:val="Default"/>
    <w:uiPriority w:val="99"/>
    <w:rsid w:val="00C44EFB"/>
    <w:rPr>
      <w:rFonts w:ascii="EUAlbertina" w:hAnsi="EUAlbertina" w:cstheme="minorBidi"/>
      <w:color w:val="auto"/>
    </w:rPr>
  </w:style>
  <w:style w:type="paragraph" w:customStyle="1" w:styleId="CM4">
    <w:name w:val="CM4"/>
    <w:basedOn w:val="Default"/>
    <w:next w:val="Default"/>
    <w:uiPriority w:val="99"/>
    <w:rsid w:val="00C44EFB"/>
    <w:rPr>
      <w:rFonts w:ascii="EUAlbertina" w:hAnsi="EUAlbertina" w:cstheme="minorBidi"/>
      <w:color w:val="auto"/>
    </w:rPr>
  </w:style>
  <w:style w:type="character" w:customStyle="1" w:styleId="submitted">
    <w:name w:val="submitted"/>
    <w:basedOn w:val="DefaultParagraphFont"/>
    <w:rsid w:val="00CF392E"/>
  </w:style>
  <w:style w:type="character" w:customStyle="1" w:styleId="rptext1">
    <w:name w:val="rptext1"/>
    <w:basedOn w:val="DefaultParagraphFont"/>
    <w:rsid w:val="00141A24"/>
    <w:rPr>
      <w:bdr w:val="none" w:sz="0" w:space="0" w:color="auto" w:frame="1"/>
    </w:rPr>
  </w:style>
  <w:style w:type="character" w:customStyle="1" w:styleId="clearfix">
    <w:name w:val="clearfix"/>
    <w:basedOn w:val="DefaultParagraphFont"/>
    <w:rsid w:val="002D02A4"/>
  </w:style>
  <w:style w:type="character" w:customStyle="1" w:styleId="field-content">
    <w:name w:val="field-content"/>
    <w:basedOn w:val="DefaultParagraphFont"/>
    <w:rsid w:val="00072D5E"/>
  </w:style>
  <w:style w:type="character" w:customStyle="1" w:styleId="spelle">
    <w:name w:val="spelle"/>
    <w:basedOn w:val="DefaultParagraphFont"/>
    <w:rsid w:val="00065080"/>
  </w:style>
  <w:style w:type="character" w:customStyle="1" w:styleId="yshortcuts">
    <w:name w:val="yshortcuts"/>
    <w:basedOn w:val="DefaultParagraphFont"/>
    <w:rsid w:val="00552F27"/>
  </w:style>
  <w:style w:type="character" w:customStyle="1" w:styleId="marked">
    <w:name w:val="marked"/>
    <w:basedOn w:val="DefaultParagraphFont"/>
    <w:rsid w:val="005D3634"/>
  </w:style>
  <w:style w:type="paragraph" w:customStyle="1" w:styleId="date2">
    <w:name w:val="date2"/>
    <w:basedOn w:val="Normal"/>
    <w:rsid w:val="00E646DF"/>
    <w:pPr>
      <w:spacing w:before="100" w:beforeAutospacing="1" w:after="100" w:afterAutospacing="1"/>
    </w:pPr>
    <w:rPr>
      <w:color w:val="3393C3"/>
      <w:lang w:eastAsia="bg-BG"/>
    </w:rPr>
  </w:style>
  <w:style w:type="paragraph" w:customStyle="1" w:styleId="frame">
    <w:name w:val="frame"/>
    <w:basedOn w:val="Normal"/>
    <w:rsid w:val="00E8333B"/>
    <w:pPr>
      <w:pBdr>
        <w:top w:val="single" w:sz="12" w:space="5" w:color="C7DEF2"/>
        <w:bottom w:val="single" w:sz="12" w:space="5" w:color="C7DEF2"/>
      </w:pBdr>
      <w:shd w:val="clear" w:color="auto" w:fill="E8F2FA"/>
      <w:spacing w:before="100" w:after="100"/>
    </w:pPr>
    <w:rPr>
      <w:lang w:val="en-US" w:eastAsia="zh-CN"/>
    </w:rPr>
  </w:style>
  <w:style w:type="paragraph" w:customStyle="1" w:styleId="yiv1968622784msonormal">
    <w:name w:val="yiv1968622784msonormal"/>
    <w:basedOn w:val="Normal"/>
    <w:rsid w:val="00910711"/>
    <w:pPr>
      <w:spacing w:before="100" w:beforeAutospacing="1" w:after="100" w:afterAutospacing="1"/>
    </w:pPr>
    <w:rPr>
      <w:lang w:eastAsia="bg-BG"/>
    </w:rPr>
  </w:style>
  <w:style w:type="character" w:customStyle="1" w:styleId="submitted1">
    <w:name w:val="submitted1"/>
    <w:basedOn w:val="DefaultParagraphFont"/>
    <w:rsid w:val="001A3953"/>
    <w:rPr>
      <w:rFonts w:ascii="Arial" w:hAnsi="Arial" w:cs="Arial" w:hint="default"/>
      <w:b/>
      <w:bCs/>
      <w:i/>
      <w:iCs/>
      <w:vanish w:val="0"/>
      <w:webHidden w:val="0"/>
      <w:color w:val="555555"/>
      <w:spacing w:val="15"/>
      <w:sz w:val="19"/>
      <w:szCs w:val="19"/>
      <w:specVanish w:val="0"/>
    </w:rPr>
  </w:style>
  <w:style w:type="character" w:customStyle="1" w:styleId="Heading5Char">
    <w:name w:val="Heading 5 Char"/>
    <w:basedOn w:val="DefaultParagraphFont"/>
    <w:link w:val="Heading5"/>
    <w:uiPriority w:val="9"/>
    <w:semiHidden/>
    <w:rsid w:val="00A62C27"/>
    <w:rPr>
      <w:rFonts w:asciiTheme="majorHAnsi" w:eastAsiaTheme="majorEastAsia" w:hAnsiTheme="majorHAnsi" w:cstheme="majorBidi"/>
      <w:color w:val="243F60" w:themeColor="accent1" w:themeShade="7F"/>
    </w:rPr>
  </w:style>
  <w:style w:type="table" w:styleId="LightShading-Accent5">
    <w:name w:val="Light Shading Accent 5"/>
    <w:basedOn w:val="TableNormal"/>
    <w:uiPriority w:val="60"/>
    <w:rsid w:val="00195A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te"/>
    <w:basedOn w:val="Normal"/>
    <w:link w:val="FootnoteTextChar"/>
    <w:uiPriority w:val="99"/>
    <w:semiHidden/>
    <w:unhideWhenUsed/>
    <w:rsid w:val="00195AC2"/>
    <w:rPr>
      <w:sz w:val="20"/>
      <w:szCs w:val="20"/>
      <w:lang w:eastAsia="bg-BG"/>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195AC2"/>
    <w:rPr>
      <w:rFonts w:ascii="Times New Roman" w:eastAsia="Times New Roman" w:hAnsi="Times New Roman" w:cs="Times New Roman"/>
      <w:sz w:val="20"/>
      <w:szCs w:val="20"/>
      <w:lang w:eastAsia="bg-BG"/>
    </w:rPr>
  </w:style>
  <w:style w:type="character" w:styleId="FootnoteReference">
    <w:name w:val="footnote reference"/>
    <w:aliases w:val="Footnote symbol"/>
    <w:basedOn w:val="DefaultParagraphFont"/>
    <w:uiPriority w:val="99"/>
    <w:semiHidden/>
    <w:unhideWhenUsed/>
    <w:rsid w:val="00195AC2"/>
    <w:rPr>
      <w:rFonts w:ascii="Times New Roman" w:hAnsi="Times New Roman" w:cs="Times New Roman" w:hint="default"/>
      <w:sz w:val="27"/>
      <w:vertAlign w:val="superscript"/>
      <w:lang w:val="en-US"/>
    </w:rPr>
  </w:style>
  <w:style w:type="character" w:customStyle="1" w:styleId="sr-only">
    <w:name w:val="sr-only"/>
    <w:basedOn w:val="DefaultParagraphFont"/>
    <w:rsid w:val="00E23B15"/>
  </w:style>
  <w:style w:type="character" w:customStyle="1" w:styleId="metawrap2">
    <w:name w:val="meta_wrap2"/>
    <w:basedOn w:val="DefaultParagraphFont"/>
    <w:rsid w:val="00502B11"/>
    <w:rPr>
      <w:caps/>
      <w:sz w:val="24"/>
      <w:szCs w:val="24"/>
    </w:rPr>
  </w:style>
  <w:style w:type="character" w:customStyle="1" w:styleId="metadate2">
    <w:name w:val="meta_date2"/>
    <w:basedOn w:val="DefaultParagraphFont"/>
    <w:rsid w:val="00502B11"/>
  </w:style>
  <w:style w:type="character" w:customStyle="1" w:styleId="metalocation3">
    <w:name w:val="meta_location3"/>
    <w:basedOn w:val="DefaultParagraphFont"/>
    <w:rsid w:val="00502B11"/>
  </w:style>
  <w:style w:type="paragraph" w:customStyle="1" w:styleId="grey-text">
    <w:name w:val="grey-text"/>
    <w:basedOn w:val="Normal"/>
    <w:rsid w:val="00977F28"/>
    <w:pPr>
      <w:spacing w:before="100" w:beforeAutospacing="1" w:after="100" w:afterAutospacing="1"/>
    </w:pPr>
    <w:rPr>
      <w:lang w:eastAsia="bg-BG"/>
    </w:rPr>
  </w:style>
  <w:style w:type="character" w:customStyle="1" w:styleId="visible-description">
    <w:name w:val="visible-description"/>
    <w:basedOn w:val="DefaultParagraphFont"/>
    <w:rsid w:val="006C73BB"/>
  </w:style>
  <w:style w:type="paragraph" w:styleId="z-TopofForm">
    <w:name w:val="HTML Top of Form"/>
    <w:basedOn w:val="Normal"/>
    <w:next w:val="Normal"/>
    <w:link w:val="z-TopofFormChar"/>
    <w:hidden/>
    <w:uiPriority w:val="99"/>
    <w:semiHidden/>
    <w:unhideWhenUsed/>
    <w:rsid w:val="001F60F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F60FE"/>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1F60F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F60FE"/>
    <w:rPr>
      <w:rFonts w:ascii="Arial" w:eastAsia="Times New Roman" w:hAnsi="Arial" w:cs="Arial"/>
      <w:vanish/>
      <w:sz w:val="16"/>
      <w:szCs w:val="16"/>
      <w:lang w:val="en-GB" w:eastAsia="en-GB"/>
    </w:rPr>
  </w:style>
  <w:style w:type="character" w:customStyle="1" w:styleId="icon">
    <w:name w:val="icon"/>
    <w:basedOn w:val="DefaultParagraphFont"/>
    <w:rsid w:val="000F36BC"/>
  </w:style>
  <w:style w:type="character" w:customStyle="1" w:styleId="Heading6Char">
    <w:name w:val="Heading 6 Char"/>
    <w:basedOn w:val="DefaultParagraphFont"/>
    <w:link w:val="Heading6"/>
    <w:uiPriority w:val="9"/>
    <w:semiHidden/>
    <w:rsid w:val="00E1756A"/>
    <w:rPr>
      <w:rFonts w:asciiTheme="majorHAnsi" w:eastAsiaTheme="majorEastAsia" w:hAnsiTheme="majorHAnsi" w:cstheme="majorBidi"/>
      <w:color w:val="243F60" w:themeColor="accent1" w:themeShade="7F"/>
      <w:sz w:val="24"/>
      <w:szCs w:val="24"/>
      <w:lang w:val="en-GB" w:eastAsia="en-GB"/>
    </w:rPr>
  </w:style>
  <w:style w:type="character" w:styleId="CommentReference">
    <w:name w:val="annotation reference"/>
    <w:basedOn w:val="DefaultParagraphFont"/>
    <w:uiPriority w:val="99"/>
    <w:semiHidden/>
    <w:unhideWhenUsed/>
    <w:rsid w:val="00EF539B"/>
    <w:rPr>
      <w:sz w:val="16"/>
      <w:szCs w:val="16"/>
    </w:rPr>
  </w:style>
  <w:style w:type="paragraph" w:styleId="CommentText">
    <w:name w:val="annotation text"/>
    <w:basedOn w:val="Normal"/>
    <w:link w:val="CommentTextChar"/>
    <w:uiPriority w:val="99"/>
    <w:semiHidden/>
    <w:unhideWhenUsed/>
    <w:rsid w:val="00EF539B"/>
    <w:rPr>
      <w:sz w:val="20"/>
      <w:szCs w:val="20"/>
    </w:rPr>
  </w:style>
  <w:style w:type="character" w:customStyle="1" w:styleId="CommentTextChar">
    <w:name w:val="Comment Text Char"/>
    <w:basedOn w:val="DefaultParagraphFont"/>
    <w:link w:val="CommentText"/>
    <w:uiPriority w:val="99"/>
    <w:semiHidden/>
    <w:rsid w:val="00EF539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F539B"/>
    <w:rPr>
      <w:b/>
      <w:bCs/>
    </w:rPr>
  </w:style>
  <w:style w:type="character" w:customStyle="1" w:styleId="CommentSubjectChar">
    <w:name w:val="Comment Subject Char"/>
    <w:basedOn w:val="CommentTextChar"/>
    <w:link w:val="CommentSubject"/>
    <w:uiPriority w:val="99"/>
    <w:semiHidden/>
    <w:rsid w:val="00EF539B"/>
    <w:rPr>
      <w:rFonts w:ascii="Times New Roman" w:eastAsia="Times New Roman" w:hAnsi="Times New Roman" w:cs="Times New Roman"/>
      <w:b/>
      <w:bCs/>
      <w:sz w:val="20"/>
      <w:szCs w:val="20"/>
      <w:lang w:val="en-GB" w:eastAsia="en-GB"/>
    </w:rPr>
  </w:style>
  <w:style w:type="character" w:customStyle="1" w:styleId="UnresolvedMention1">
    <w:name w:val="Unresolved Mention1"/>
    <w:basedOn w:val="DefaultParagraphFont"/>
    <w:uiPriority w:val="99"/>
    <w:semiHidden/>
    <w:unhideWhenUsed/>
    <w:rsid w:val="00367F64"/>
    <w:rPr>
      <w:color w:val="605E5C"/>
      <w:shd w:val="clear" w:color="auto" w:fill="E1DFDD"/>
    </w:rPr>
  </w:style>
  <w:style w:type="character" w:customStyle="1" w:styleId="UnresolvedMention2">
    <w:name w:val="Unresolved Mention2"/>
    <w:basedOn w:val="DefaultParagraphFont"/>
    <w:uiPriority w:val="99"/>
    <w:semiHidden/>
    <w:unhideWhenUsed/>
    <w:rsid w:val="00155077"/>
    <w:rPr>
      <w:color w:val="605E5C"/>
      <w:shd w:val="clear" w:color="auto" w:fill="E1DFDD"/>
    </w:rPr>
  </w:style>
  <w:style w:type="character" w:customStyle="1" w:styleId="UnresolvedMention3">
    <w:name w:val="Unresolved Mention3"/>
    <w:basedOn w:val="DefaultParagraphFont"/>
    <w:uiPriority w:val="99"/>
    <w:semiHidden/>
    <w:unhideWhenUsed/>
    <w:rsid w:val="00A53EA6"/>
    <w:rPr>
      <w:color w:val="605E5C"/>
      <w:shd w:val="clear" w:color="auto" w:fill="E1DFDD"/>
    </w:rPr>
  </w:style>
  <w:style w:type="character" w:customStyle="1" w:styleId="UnresolvedMention4">
    <w:name w:val="Unresolved Mention4"/>
    <w:basedOn w:val="DefaultParagraphFont"/>
    <w:uiPriority w:val="99"/>
    <w:semiHidden/>
    <w:unhideWhenUsed/>
    <w:rsid w:val="00A11818"/>
    <w:rPr>
      <w:color w:val="605E5C"/>
      <w:shd w:val="clear" w:color="auto" w:fill="E1DFDD"/>
    </w:rPr>
  </w:style>
  <w:style w:type="character" w:customStyle="1" w:styleId="UnresolvedMention5">
    <w:name w:val="Unresolved Mention5"/>
    <w:basedOn w:val="DefaultParagraphFont"/>
    <w:uiPriority w:val="99"/>
    <w:semiHidden/>
    <w:unhideWhenUsed/>
    <w:rsid w:val="008A76D7"/>
    <w:rPr>
      <w:color w:val="605E5C"/>
      <w:shd w:val="clear" w:color="auto" w:fill="E1DFDD"/>
    </w:rPr>
  </w:style>
  <w:style w:type="character" w:customStyle="1" w:styleId="UnresolvedMention6">
    <w:name w:val="Unresolved Mention6"/>
    <w:basedOn w:val="DefaultParagraphFont"/>
    <w:uiPriority w:val="99"/>
    <w:semiHidden/>
    <w:unhideWhenUsed/>
    <w:rsid w:val="00111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684">
      <w:bodyDiv w:val="1"/>
      <w:marLeft w:val="0"/>
      <w:marRight w:val="0"/>
      <w:marTop w:val="0"/>
      <w:marBottom w:val="0"/>
      <w:divBdr>
        <w:top w:val="none" w:sz="0" w:space="0" w:color="auto"/>
        <w:left w:val="none" w:sz="0" w:space="0" w:color="auto"/>
        <w:bottom w:val="none" w:sz="0" w:space="0" w:color="auto"/>
        <w:right w:val="none" w:sz="0" w:space="0" w:color="auto"/>
      </w:divBdr>
      <w:divsChild>
        <w:div w:id="77485612">
          <w:marLeft w:val="0"/>
          <w:marRight w:val="0"/>
          <w:marTop w:val="0"/>
          <w:marBottom w:val="0"/>
          <w:divBdr>
            <w:top w:val="none" w:sz="0" w:space="0" w:color="auto"/>
            <w:left w:val="none" w:sz="0" w:space="0" w:color="auto"/>
            <w:bottom w:val="none" w:sz="0" w:space="0" w:color="auto"/>
            <w:right w:val="none" w:sz="0" w:space="0" w:color="auto"/>
          </w:divBdr>
          <w:divsChild>
            <w:div w:id="610282119">
              <w:marLeft w:val="0"/>
              <w:marRight w:val="0"/>
              <w:marTop w:val="0"/>
              <w:marBottom w:val="0"/>
              <w:divBdr>
                <w:top w:val="none" w:sz="0" w:space="0" w:color="auto"/>
                <w:left w:val="none" w:sz="0" w:space="0" w:color="auto"/>
                <w:bottom w:val="none" w:sz="0" w:space="0" w:color="auto"/>
                <w:right w:val="none" w:sz="0" w:space="0" w:color="auto"/>
              </w:divBdr>
              <w:divsChild>
                <w:div w:id="1527331471">
                  <w:marLeft w:val="0"/>
                  <w:marRight w:val="0"/>
                  <w:marTop w:val="0"/>
                  <w:marBottom w:val="0"/>
                  <w:divBdr>
                    <w:top w:val="none" w:sz="0" w:space="0" w:color="auto"/>
                    <w:left w:val="none" w:sz="0" w:space="0" w:color="auto"/>
                    <w:bottom w:val="none" w:sz="0" w:space="0" w:color="auto"/>
                    <w:right w:val="none" w:sz="0" w:space="0" w:color="auto"/>
                  </w:divBdr>
                  <w:divsChild>
                    <w:div w:id="303702444">
                      <w:marLeft w:val="0"/>
                      <w:marRight w:val="0"/>
                      <w:marTop w:val="0"/>
                      <w:marBottom w:val="0"/>
                      <w:divBdr>
                        <w:top w:val="none" w:sz="0" w:space="0" w:color="auto"/>
                        <w:left w:val="none" w:sz="0" w:space="0" w:color="auto"/>
                        <w:bottom w:val="none" w:sz="0" w:space="0" w:color="auto"/>
                        <w:right w:val="none" w:sz="0" w:space="0" w:color="auto"/>
                      </w:divBdr>
                      <w:divsChild>
                        <w:div w:id="54364359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173872">
      <w:bodyDiv w:val="1"/>
      <w:marLeft w:val="0"/>
      <w:marRight w:val="0"/>
      <w:marTop w:val="0"/>
      <w:marBottom w:val="0"/>
      <w:divBdr>
        <w:top w:val="none" w:sz="0" w:space="0" w:color="auto"/>
        <w:left w:val="none" w:sz="0" w:space="0" w:color="auto"/>
        <w:bottom w:val="none" w:sz="0" w:space="0" w:color="auto"/>
        <w:right w:val="none" w:sz="0" w:space="0" w:color="auto"/>
      </w:divBdr>
      <w:divsChild>
        <w:div w:id="1602184389">
          <w:marLeft w:val="0"/>
          <w:marRight w:val="0"/>
          <w:marTop w:val="0"/>
          <w:marBottom w:val="0"/>
          <w:divBdr>
            <w:top w:val="none" w:sz="0" w:space="0" w:color="auto"/>
            <w:left w:val="none" w:sz="0" w:space="0" w:color="auto"/>
            <w:bottom w:val="none" w:sz="0" w:space="0" w:color="auto"/>
            <w:right w:val="none" w:sz="0" w:space="0" w:color="auto"/>
          </w:divBdr>
          <w:divsChild>
            <w:div w:id="400106441">
              <w:marLeft w:val="0"/>
              <w:marRight w:val="0"/>
              <w:marTop w:val="0"/>
              <w:marBottom w:val="0"/>
              <w:divBdr>
                <w:top w:val="none" w:sz="0" w:space="0" w:color="auto"/>
                <w:left w:val="none" w:sz="0" w:space="0" w:color="auto"/>
                <w:bottom w:val="none" w:sz="0" w:space="0" w:color="auto"/>
                <w:right w:val="none" w:sz="0" w:space="0" w:color="auto"/>
              </w:divBdr>
              <w:divsChild>
                <w:div w:id="482430498">
                  <w:marLeft w:val="0"/>
                  <w:marRight w:val="0"/>
                  <w:marTop w:val="0"/>
                  <w:marBottom w:val="0"/>
                  <w:divBdr>
                    <w:top w:val="none" w:sz="0" w:space="0" w:color="auto"/>
                    <w:left w:val="none" w:sz="0" w:space="0" w:color="auto"/>
                    <w:bottom w:val="none" w:sz="0" w:space="0" w:color="auto"/>
                    <w:right w:val="none" w:sz="0" w:space="0" w:color="auto"/>
                  </w:divBdr>
                  <w:divsChild>
                    <w:div w:id="1049452334">
                      <w:marLeft w:val="0"/>
                      <w:marRight w:val="0"/>
                      <w:marTop w:val="0"/>
                      <w:marBottom w:val="0"/>
                      <w:divBdr>
                        <w:top w:val="none" w:sz="0" w:space="0" w:color="auto"/>
                        <w:left w:val="none" w:sz="0" w:space="0" w:color="auto"/>
                        <w:bottom w:val="none" w:sz="0" w:space="0" w:color="auto"/>
                        <w:right w:val="none" w:sz="0" w:space="0" w:color="auto"/>
                      </w:divBdr>
                      <w:divsChild>
                        <w:div w:id="16846218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091994">
      <w:bodyDiv w:val="1"/>
      <w:marLeft w:val="0"/>
      <w:marRight w:val="0"/>
      <w:marTop w:val="0"/>
      <w:marBottom w:val="0"/>
      <w:divBdr>
        <w:top w:val="none" w:sz="0" w:space="0" w:color="auto"/>
        <w:left w:val="none" w:sz="0" w:space="0" w:color="auto"/>
        <w:bottom w:val="none" w:sz="0" w:space="0" w:color="auto"/>
        <w:right w:val="none" w:sz="0" w:space="0" w:color="auto"/>
      </w:divBdr>
      <w:divsChild>
        <w:div w:id="795804292">
          <w:marLeft w:val="0"/>
          <w:marRight w:val="0"/>
          <w:marTop w:val="0"/>
          <w:marBottom w:val="0"/>
          <w:divBdr>
            <w:top w:val="none" w:sz="0" w:space="0" w:color="auto"/>
            <w:left w:val="none" w:sz="0" w:space="0" w:color="auto"/>
            <w:bottom w:val="none" w:sz="0" w:space="0" w:color="auto"/>
            <w:right w:val="none" w:sz="0" w:space="0" w:color="auto"/>
          </w:divBdr>
          <w:divsChild>
            <w:div w:id="740521783">
              <w:marLeft w:val="0"/>
              <w:marRight w:val="0"/>
              <w:marTop w:val="0"/>
              <w:marBottom w:val="0"/>
              <w:divBdr>
                <w:top w:val="none" w:sz="0" w:space="0" w:color="auto"/>
                <w:left w:val="none" w:sz="0" w:space="0" w:color="auto"/>
                <w:bottom w:val="none" w:sz="0" w:space="0" w:color="auto"/>
                <w:right w:val="none" w:sz="0" w:space="0" w:color="auto"/>
              </w:divBdr>
              <w:divsChild>
                <w:div w:id="2086611755">
                  <w:marLeft w:val="0"/>
                  <w:marRight w:val="0"/>
                  <w:marTop w:val="0"/>
                  <w:marBottom w:val="0"/>
                  <w:divBdr>
                    <w:top w:val="none" w:sz="0" w:space="0" w:color="auto"/>
                    <w:left w:val="none" w:sz="0" w:space="0" w:color="auto"/>
                    <w:bottom w:val="none" w:sz="0" w:space="0" w:color="auto"/>
                    <w:right w:val="none" w:sz="0" w:space="0" w:color="auto"/>
                  </w:divBdr>
                  <w:divsChild>
                    <w:div w:id="1770925493">
                      <w:marLeft w:val="0"/>
                      <w:marRight w:val="0"/>
                      <w:marTop w:val="300"/>
                      <w:marBottom w:val="600"/>
                      <w:divBdr>
                        <w:top w:val="none" w:sz="0" w:space="0" w:color="auto"/>
                        <w:left w:val="none" w:sz="0" w:space="0" w:color="auto"/>
                        <w:bottom w:val="none" w:sz="0" w:space="0" w:color="auto"/>
                        <w:right w:val="none" w:sz="0" w:space="0" w:color="auto"/>
                      </w:divBdr>
                      <w:divsChild>
                        <w:div w:id="363409854">
                          <w:marLeft w:val="0"/>
                          <w:marRight w:val="0"/>
                          <w:marTop w:val="0"/>
                          <w:marBottom w:val="0"/>
                          <w:divBdr>
                            <w:top w:val="none" w:sz="0" w:space="0" w:color="auto"/>
                            <w:left w:val="none" w:sz="0" w:space="0" w:color="auto"/>
                            <w:bottom w:val="none" w:sz="0" w:space="0" w:color="auto"/>
                            <w:right w:val="none" w:sz="0" w:space="0" w:color="auto"/>
                          </w:divBdr>
                          <w:divsChild>
                            <w:div w:id="721709868">
                              <w:marLeft w:val="0"/>
                              <w:marRight w:val="0"/>
                              <w:marTop w:val="0"/>
                              <w:marBottom w:val="0"/>
                              <w:divBdr>
                                <w:top w:val="none" w:sz="0" w:space="0" w:color="auto"/>
                                <w:left w:val="none" w:sz="0" w:space="0" w:color="auto"/>
                                <w:bottom w:val="none" w:sz="0" w:space="0" w:color="auto"/>
                                <w:right w:val="none" w:sz="0" w:space="0" w:color="auto"/>
                              </w:divBdr>
                              <w:divsChild>
                                <w:div w:id="371006520">
                                  <w:marLeft w:val="0"/>
                                  <w:marRight w:val="0"/>
                                  <w:marTop w:val="0"/>
                                  <w:marBottom w:val="0"/>
                                  <w:divBdr>
                                    <w:top w:val="none" w:sz="0" w:space="0" w:color="auto"/>
                                    <w:left w:val="none" w:sz="0" w:space="0" w:color="auto"/>
                                    <w:bottom w:val="none" w:sz="0" w:space="0" w:color="auto"/>
                                    <w:right w:val="none" w:sz="0" w:space="0" w:color="auto"/>
                                  </w:divBdr>
                                  <w:divsChild>
                                    <w:div w:id="822770824">
                                      <w:marLeft w:val="0"/>
                                      <w:marRight w:val="0"/>
                                      <w:marTop w:val="150"/>
                                      <w:marBottom w:val="0"/>
                                      <w:divBdr>
                                        <w:top w:val="none" w:sz="0" w:space="0" w:color="auto"/>
                                        <w:left w:val="none" w:sz="0" w:space="0" w:color="auto"/>
                                        <w:bottom w:val="none" w:sz="0" w:space="0" w:color="auto"/>
                                        <w:right w:val="none" w:sz="0" w:space="0" w:color="auto"/>
                                      </w:divBdr>
                                      <w:divsChild>
                                        <w:div w:id="21593615">
                                          <w:marLeft w:val="0"/>
                                          <w:marRight w:val="0"/>
                                          <w:marTop w:val="0"/>
                                          <w:marBottom w:val="0"/>
                                          <w:divBdr>
                                            <w:top w:val="none" w:sz="0" w:space="0" w:color="auto"/>
                                            <w:left w:val="none" w:sz="0" w:space="0" w:color="auto"/>
                                            <w:bottom w:val="none" w:sz="0" w:space="0" w:color="auto"/>
                                            <w:right w:val="none" w:sz="0" w:space="0" w:color="auto"/>
                                          </w:divBdr>
                                          <w:divsChild>
                                            <w:div w:id="2023580125">
                                              <w:marLeft w:val="0"/>
                                              <w:marRight w:val="0"/>
                                              <w:marTop w:val="0"/>
                                              <w:marBottom w:val="0"/>
                                              <w:divBdr>
                                                <w:top w:val="none" w:sz="0" w:space="0" w:color="auto"/>
                                                <w:left w:val="none" w:sz="0" w:space="0" w:color="auto"/>
                                                <w:bottom w:val="none" w:sz="0" w:space="0" w:color="auto"/>
                                                <w:right w:val="none" w:sz="0" w:space="0" w:color="auto"/>
                                              </w:divBdr>
                                              <w:divsChild>
                                                <w:div w:id="3570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9153">
      <w:bodyDiv w:val="1"/>
      <w:marLeft w:val="0"/>
      <w:marRight w:val="0"/>
      <w:marTop w:val="0"/>
      <w:marBottom w:val="0"/>
      <w:divBdr>
        <w:top w:val="none" w:sz="0" w:space="0" w:color="auto"/>
        <w:left w:val="none" w:sz="0" w:space="0" w:color="auto"/>
        <w:bottom w:val="none" w:sz="0" w:space="0" w:color="auto"/>
        <w:right w:val="none" w:sz="0" w:space="0" w:color="auto"/>
      </w:divBdr>
    </w:div>
    <w:div w:id="6519830">
      <w:bodyDiv w:val="1"/>
      <w:marLeft w:val="0"/>
      <w:marRight w:val="0"/>
      <w:marTop w:val="0"/>
      <w:marBottom w:val="0"/>
      <w:divBdr>
        <w:top w:val="none" w:sz="0" w:space="0" w:color="auto"/>
        <w:left w:val="none" w:sz="0" w:space="0" w:color="auto"/>
        <w:bottom w:val="none" w:sz="0" w:space="0" w:color="auto"/>
        <w:right w:val="none" w:sz="0" w:space="0" w:color="auto"/>
      </w:divBdr>
      <w:divsChild>
        <w:div w:id="866141122">
          <w:marLeft w:val="0"/>
          <w:marRight w:val="0"/>
          <w:marTop w:val="0"/>
          <w:marBottom w:val="0"/>
          <w:divBdr>
            <w:top w:val="none" w:sz="0" w:space="0" w:color="auto"/>
            <w:left w:val="none" w:sz="0" w:space="0" w:color="auto"/>
            <w:bottom w:val="none" w:sz="0" w:space="0" w:color="auto"/>
            <w:right w:val="none" w:sz="0" w:space="0" w:color="auto"/>
          </w:divBdr>
          <w:divsChild>
            <w:div w:id="1254127275">
              <w:marLeft w:val="0"/>
              <w:marRight w:val="0"/>
              <w:marTop w:val="0"/>
              <w:marBottom w:val="0"/>
              <w:divBdr>
                <w:top w:val="none" w:sz="0" w:space="0" w:color="auto"/>
                <w:left w:val="none" w:sz="0" w:space="0" w:color="auto"/>
                <w:bottom w:val="none" w:sz="0" w:space="0" w:color="auto"/>
                <w:right w:val="none" w:sz="0" w:space="0" w:color="auto"/>
              </w:divBdr>
              <w:divsChild>
                <w:div w:id="877277263">
                  <w:marLeft w:val="0"/>
                  <w:marRight w:val="0"/>
                  <w:marTop w:val="0"/>
                  <w:marBottom w:val="0"/>
                  <w:divBdr>
                    <w:top w:val="none" w:sz="0" w:space="0" w:color="auto"/>
                    <w:left w:val="none" w:sz="0" w:space="0" w:color="auto"/>
                    <w:bottom w:val="none" w:sz="0" w:space="0" w:color="auto"/>
                    <w:right w:val="none" w:sz="0" w:space="0" w:color="auto"/>
                  </w:divBdr>
                  <w:divsChild>
                    <w:div w:id="142280672">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163">
      <w:bodyDiv w:val="1"/>
      <w:marLeft w:val="0"/>
      <w:marRight w:val="0"/>
      <w:marTop w:val="0"/>
      <w:marBottom w:val="0"/>
      <w:divBdr>
        <w:top w:val="none" w:sz="0" w:space="0" w:color="auto"/>
        <w:left w:val="none" w:sz="0" w:space="0" w:color="auto"/>
        <w:bottom w:val="none" w:sz="0" w:space="0" w:color="auto"/>
        <w:right w:val="none" w:sz="0" w:space="0" w:color="auto"/>
      </w:divBdr>
      <w:divsChild>
        <w:div w:id="255330171">
          <w:marLeft w:val="0"/>
          <w:marRight w:val="0"/>
          <w:marTop w:val="0"/>
          <w:marBottom w:val="0"/>
          <w:divBdr>
            <w:top w:val="none" w:sz="0" w:space="0" w:color="auto"/>
            <w:left w:val="none" w:sz="0" w:space="0" w:color="auto"/>
            <w:bottom w:val="none" w:sz="0" w:space="0" w:color="auto"/>
            <w:right w:val="none" w:sz="0" w:space="0" w:color="auto"/>
          </w:divBdr>
          <w:divsChild>
            <w:div w:id="933515920">
              <w:marLeft w:val="0"/>
              <w:marRight w:val="0"/>
              <w:marTop w:val="0"/>
              <w:marBottom w:val="0"/>
              <w:divBdr>
                <w:top w:val="none" w:sz="0" w:space="0" w:color="auto"/>
                <w:left w:val="none" w:sz="0" w:space="0" w:color="auto"/>
                <w:bottom w:val="none" w:sz="0" w:space="0" w:color="auto"/>
                <w:right w:val="none" w:sz="0" w:space="0" w:color="auto"/>
              </w:divBdr>
              <w:divsChild>
                <w:div w:id="1111239594">
                  <w:marLeft w:val="0"/>
                  <w:marRight w:val="0"/>
                  <w:marTop w:val="0"/>
                  <w:marBottom w:val="0"/>
                  <w:divBdr>
                    <w:top w:val="none" w:sz="0" w:space="0" w:color="auto"/>
                    <w:left w:val="none" w:sz="0" w:space="0" w:color="auto"/>
                    <w:bottom w:val="none" w:sz="0" w:space="0" w:color="auto"/>
                    <w:right w:val="none" w:sz="0" w:space="0" w:color="auto"/>
                  </w:divBdr>
                  <w:divsChild>
                    <w:div w:id="1517117311">
                      <w:marLeft w:val="0"/>
                      <w:marRight w:val="0"/>
                      <w:marTop w:val="0"/>
                      <w:marBottom w:val="0"/>
                      <w:divBdr>
                        <w:top w:val="none" w:sz="0" w:space="0" w:color="auto"/>
                        <w:left w:val="none" w:sz="0" w:space="0" w:color="auto"/>
                        <w:bottom w:val="none" w:sz="0" w:space="0" w:color="auto"/>
                        <w:right w:val="none" w:sz="0" w:space="0" w:color="auto"/>
                      </w:divBdr>
                      <w:divsChild>
                        <w:div w:id="194470291">
                          <w:marLeft w:val="570"/>
                          <w:marRight w:val="720"/>
                          <w:marTop w:val="120"/>
                          <w:marBottom w:val="120"/>
                          <w:divBdr>
                            <w:top w:val="none" w:sz="0" w:space="0" w:color="auto"/>
                            <w:left w:val="none" w:sz="0" w:space="0" w:color="auto"/>
                            <w:bottom w:val="none" w:sz="0" w:space="0" w:color="auto"/>
                            <w:right w:val="none" w:sz="0" w:space="0" w:color="auto"/>
                          </w:divBdr>
                          <w:divsChild>
                            <w:div w:id="251596988">
                              <w:marLeft w:val="0"/>
                              <w:marRight w:val="0"/>
                              <w:marTop w:val="0"/>
                              <w:marBottom w:val="0"/>
                              <w:divBdr>
                                <w:top w:val="none" w:sz="0" w:space="0" w:color="auto"/>
                                <w:left w:val="none" w:sz="0" w:space="0" w:color="auto"/>
                                <w:bottom w:val="none" w:sz="0" w:space="0" w:color="auto"/>
                                <w:right w:val="none" w:sz="0" w:space="0" w:color="auto"/>
                              </w:divBdr>
                              <w:divsChild>
                                <w:div w:id="649091866">
                                  <w:marLeft w:val="0"/>
                                  <w:marRight w:val="0"/>
                                  <w:marTop w:val="0"/>
                                  <w:marBottom w:val="0"/>
                                  <w:divBdr>
                                    <w:top w:val="none" w:sz="0" w:space="0" w:color="auto"/>
                                    <w:left w:val="none" w:sz="0" w:space="0" w:color="auto"/>
                                    <w:bottom w:val="none" w:sz="0" w:space="0" w:color="auto"/>
                                    <w:right w:val="none" w:sz="0" w:space="0" w:color="auto"/>
                                  </w:divBdr>
                                  <w:divsChild>
                                    <w:div w:id="1743985510">
                                      <w:marLeft w:val="0"/>
                                      <w:marRight w:val="0"/>
                                      <w:marTop w:val="0"/>
                                      <w:marBottom w:val="0"/>
                                      <w:divBdr>
                                        <w:top w:val="none" w:sz="0" w:space="0" w:color="auto"/>
                                        <w:left w:val="none" w:sz="0" w:space="0" w:color="auto"/>
                                        <w:bottom w:val="none" w:sz="0" w:space="0" w:color="auto"/>
                                        <w:right w:val="none" w:sz="0" w:space="0" w:color="auto"/>
                                      </w:divBdr>
                                      <w:divsChild>
                                        <w:div w:id="1083255727">
                                          <w:marLeft w:val="0"/>
                                          <w:marRight w:val="0"/>
                                          <w:marTop w:val="240"/>
                                          <w:marBottom w:val="240"/>
                                          <w:divBdr>
                                            <w:top w:val="single" w:sz="6" w:space="6" w:color="F2F2F2"/>
                                            <w:left w:val="none" w:sz="0" w:space="0" w:color="auto"/>
                                            <w:bottom w:val="single" w:sz="6" w:space="6" w:color="F2F2F2"/>
                                            <w:right w:val="none" w:sz="0" w:space="0" w:color="auto"/>
                                          </w:divBdr>
                                        </w:div>
                                        <w:div w:id="1921669562">
                                          <w:marLeft w:val="0"/>
                                          <w:marRight w:val="0"/>
                                          <w:marTop w:val="0"/>
                                          <w:marBottom w:val="0"/>
                                          <w:divBdr>
                                            <w:top w:val="none" w:sz="0" w:space="0" w:color="auto"/>
                                            <w:left w:val="none" w:sz="0" w:space="0" w:color="auto"/>
                                            <w:bottom w:val="none" w:sz="0" w:space="0" w:color="auto"/>
                                            <w:right w:val="none" w:sz="0" w:space="0" w:color="auto"/>
                                          </w:divBdr>
                                          <w:divsChild>
                                            <w:div w:id="17454437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0631">
      <w:bodyDiv w:val="1"/>
      <w:marLeft w:val="0"/>
      <w:marRight w:val="0"/>
      <w:marTop w:val="0"/>
      <w:marBottom w:val="0"/>
      <w:divBdr>
        <w:top w:val="none" w:sz="0" w:space="0" w:color="auto"/>
        <w:left w:val="none" w:sz="0" w:space="0" w:color="auto"/>
        <w:bottom w:val="none" w:sz="0" w:space="0" w:color="auto"/>
        <w:right w:val="none" w:sz="0" w:space="0" w:color="auto"/>
      </w:divBdr>
      <w:divsChild>
        <w:div w:id="461119190">
          <w:marLeft w:val="0"/>
          <w:marRight w:val="0"/>
          <w:marTop w:val="0"/>
          <w:marBottom w:val="0"/>
          <w:divBdr>
            <w:top w:val="none" w:sz="0" w:space="0" w:color="auto"/>
            <w:left w:val="none" w:sz="0" w:space="0" w:color="auto"/>
            <w:bottom w:val="none" w:sz="0" w:space="0" w:color="auto"/>
            <w:right w:val="none" w:sz="0" w:space="0" w:color="auto"/>
          </w:divBdr>
          <w:divsChild>
            <w:div w:id="1801024751">
              <w:marLeft w:val="0"/>
              <w:marRight w:val="0"/>
              <w:marTop w:val="0"/>
              <w:marBottom w:val="0"/>
              <w:divBdr>
                <w:top w:val="none" w:sz="0" w:space="0" w:color="auto"/>
                <w:left w:val="none" w:sz="0" w:space="0" w:color="auto"/>
                <w:bottom w:val="none" w:sz="0" w:space="0" w:color="auto"/>
                <w:right w:val="none" w:sz="0" w:space="0" w:color="auto"/>
              </w:divBdr>
              <w:divsChild>
                <w:div w:id="1339237711">
                  <w:marLeft w:val="0"/>
                  <w:marRight w:val="0"/>
                  <w:marTop w:val="0"/>
                  <w:marBottom w:val="0"/>
                  <w:divBdr>
                    <w:top w:val="none" w:sz="0" w:space="0" w:color="auto"/>
                    <w:left w:val="none" w:sz="0" w:space="0" w:color="auto"/>
                    <w:bottom w:val="none" w:sz="0" w:space="0" w:color="auto"/>
                    <w:right w:val="none" w:sz="0" w:space="0" w:color="auto"/>
                  </w:divBdr>
                  <w:divsChild>
                    <w:div w:id="1995259226">
                      <w:marLeft w:val="0"/>
                      <w:marRight w:val="0"/>
                      <w:marTop w:val="0"/>
                      <w:marBottom w:val="0"/>
                      <w:divBdr>
                        <w:top w:val="none" w:sz="0" w:space="0" w:color="auto"/>
                        <w:left w:val="none" w:sz="0" w:space="0" w:color="auto"/>
                        <w:bottom w:val="none" w:sz="0" w:space="0" w:color="auto"/>
                        <w:right w:val="none" w:sz="0" w:space="0" w:color="auto"/>
                      </w:divBdr>
                      <w:divsChild>
                        <w:div w:id="1889369200">
                          <w:marLeft w:val="0"/>
                          <w:marRight w:val="0"/>
                          <w:marTop w:val="0"/>
                          <w:marBottom w:val="0"/>
                          <w:divBdr>
                            <w:top w:val="none" w:sz="0" w:space="0" w:color="auto"/>
                            <w:left w:val="none" w:sz="0" w:space="0" w:color="auto"/>
                            <w:bottom w:val="none" w:sz="0" w:space="0" w:color="auto"/>
                            <w:right w:val="none" w:sz="0" w:space="0" w:color="auto"/>
                          </w:divBdr>
                          <w:divsChild>
                            <w:div w:id="2009407093">
                              <w:marLeft w:val="0"/>
                              <w:marRight w:val="0"/>
                              <w:marTop w:val="0"/>
                              <w:marBottom w:val="0"/>
                              <w:divBdr>
                                <w:top w:val="none" w:sz="0" w:space="0" w:color="auto"/>
                                <w:left w:val="none" w:sz="0" w:space="0" w:color="auto"/>
                                <w:bottom w:val="none" w:sz="0" w:space="0" w:color="auto"/>
                                <w:right w:val="none" w:sz="0" w:space="0" w:color="auto"/>
                              </w:divBdr>
                              <w:divsChild>
                                <w:div w:id="1110784254">
                                  <w:marLeft w:val="0"/>
                                  <w:marRight w:val="0"/>
                                  <w:marTop w:val="0"/>
                                  <w:marBottom w:val="0"/>
                                  <w:divBdr>
                                    <w:top w:val="none" w:sz="0" w:space="0" w:color="auto"/>
                                    <w:left w:val="none" w:sz="0" w:space="0" w:color="auto"/>
                                    <w:bottom w:val="none" w:sz="0" w:space="0" w:color="auto"/>
                                    <w:right w:val="none" w:sz="0" w:space="0" w:color="auto"/>
                                  </w:divBdr>
                                  <w:divsChild>
                                    <w:div w:id="832178969">
                                      <w:marLeft w:val="0"/>
                                      <w:marRight w:val="0"/>
                                      <w:marTop w:val="0"/>
                                      <w:marBottom w:val="0"/>
                                      <w:divBdr>
                                        <w:top w:val="none" w:sz="0" w:space="0" w:color="auto"/>
                                        <w:left w:val="none" w:sz="0" w:space="0" w:color="auto"/>
                                        <w:bottom w:val="none" w:sz="0" w:space="0" w:color="auto"/>
                                        <w:right w:val="none" w:sz="0" w:space="0" w:color="auto"/>
                                      </w:divBdr>
                                      <w:divsChild>
                                        <w:div w:id="1674382461">
                                          <w:marLeft w:val="0"/>
                                          <w:marRight w:val="0"/>
                                          <w:marTop w:val="0"/>
                                          <w:marBottom w:val="0"/>
                                          <w:divBdr>
                                            <w:top w:val="none" w:sz="0" w:space="0" w:color="auto"/>
                                            <w:left w:val="none" w:sz="0" w:space="0" w:color="auto"/>
                                            <w:bottom w:val="none" w:sz="0" w:space="0" w:color="auto"/>
                                            <w:right w:val="none" w:sz="0" w:space="0" w:color="auto"/>
                                          </w:divBdr>
                                          <w:divsChild>
                                            <w:div w:id="1425304029">
                                              <w:marLeft w:val="0"/>
                                              <w:marRight w:val="0"/>
                                              <w:marTop w:val="0"/>
                                              <w:marBottom w:val="0"/>
                                              <w:divBdr>
                                                <w:top w:val="none" w:sz="0" w:space="0" w:color="auto"/>
                                                <w:left w:val="none" w:sz="0" w:space="0" w:color="auto"/>
                                                <w:bottom w:val="none" w:sz="0" w:space="0" w:color="auto"/>
                                                <w:right w:val="none" w:sz="0" w:space="0" w:color="auto"/>
                                              </w:divBdr>
                                              <w:divsChild>
                                                <w:div w:id="1715345212">
                                                  <w:marLeft w:val="0"/>
                                                  <w:marRight w:val="0"/>
                                                  <w:marTop w:val="0"/>
                                                  <w:marBottom w:val="0"/>
                                                  <w:divBdr>
                                                    <w:top w:val="none" w:sz="0" w:space="0" w:color="auto"/>
                                                    <w:left w:val="none" w:sz="0" w:space="0" w:color="auto"/>
                                                    <w:bottom w:val="none" w:sz="0" w:space="0" w:color="auto"/>
                                                    <w:right w:val="none" w:sz="0" w:space="0" w:color="auto"/>
                                                  </w:divBdr>
                                                  <w:divsChild>
                                                    <w:div w:id="1083648569">
                                                      <w:marLeft w:val="0"/>
                                                      <w:marRight w:val="0"/>
                                                      <w:marTop w:val="0"/>
                                                      <w:marBottom w:val="0"/>
                                                      <w:divBdr>
                                                        <w:top w:val="none" w:sz="0" w:space="0" w:color="auto"/>
                                                        <w:left w:val="none" w:sz="0" w:space="0" w:color="auto"/>
                                                        <w:bottom w:val="none" w:sz="0" w:space="0" w:color="auto"/>
                                                        <w:right w:val="none" w:sz="0" w:space="0" w:color="auto"/>
                                                      </w:divBdr>
                                                      <w:divsChild>
                                                        <w:div w:id="390419577">
                                                          <w:marLeft w:val="0"/>
                                                          <w:marRight w:val="0"/>
                                                          <w:marTop w:val="0"/>
                                                          <w:marBottom w:val="0"/>
                                                          <w:divBdr>
                                                            <w:top w:val="none" w:sz="0" w:space="0" w:color="auto"/>
                                                            <w:left w:val="none" w:sz="0" w:space="0" w:color="auto"/>
                                                            <w:bottom w:val="none" w:sz="0" w:space="0" w:color="auto"/>
                                                            <w:right w:val="none" w:sz="0" w:space="0" w:color="auto"/>
                                                          </w:divBdr>
                                                          <w:divsChild>
                                                            <w:div w:id="1869492541">
                                                              <w:marLeft w:val="0"/>
                                                              <w:marRight w:val="0"/>
                                                              <w:marTop w:val="0"/>
                                                              <w:marBottom w:val="0"/>
                                                              <w:divBdr>
                                                                <w:top w:val="none" w:sz="0" w:space="0" w:color="auto"/>
                                                                <w:left w:val="none" w:sz="0" w:space="0" w:color="auto"/>
                                                                <w:bottom w:val="none" w:sz="0" w:space="0" w:color="auto"/>
                                                                <w:right w:val="none" w:sz="0" w:space="0" w:color="auto"/>
                                                              </w:divBdr>
                                                              <w:divsChild>
                                                                <w:div w:id="1485387723">
                                                                  <w:marLeft w:val="0"/>
                                                                  <w:marRight w:val="0"/>
                                                                  <w:marTop w:val="0"/>
                                                                  <w:marBottom w:val="0"/>
                                                                  <w:divBdr>
                                                                    <w:top w:val="none" w:sz="0" w:space="0" w:color="auto"/>
                                                                    <w:left w:val="none" w:sz="0" w:space="0" w:color="auto"/>
                                                                    <w:bottom w:val="none" w:sz="0" w:space="0" w:color="auto"/>
                                                                    <w:right w:val="none" w:sz="0" w:space="0" w:color="auto"/>
                                                                  </w:divBdr>
                                                                  <w:divsChild>
                                                                    <w:div w:id="1947153637">
                                                                      <w:marLeft w:val="0"/>
                                                                      <w:marRight w:val="0"/>
                                                                      <w:marTop w:val="0"/>
                                                                      <w:marBottom w:val="0"/>
                                                                      <w:divBdr>
                                                                        <w:top w:val="single" w:sz="6" w:space="8" w:color="E0E0E0"/>
                                                                        <w:left w:val="none" w:sz="0" w:space="0" w:color="auto"/>
                                                                        <w:bottom w:val="none" w:sz="0" w:space="0" w:color="auto"/>
                                                                        <w:right w:val="none" w:sz="0" w:space="0" w:color="auto"/>
                                                                      </w:divBdr>
                                                                      <w:divsChild>
                                                                        <w:div w:id="1574272048">
                                                                          <w:marLeft w:val="0"/>
                                                                          <w:marRight w:val="0"/>
                                                                          <w:marTop w:val="0"/>
                                                                          <w:marBottom w:val="0"/>
                                                                          <w:divBdr>
                                                                            <w:top w:val="none" w:sz="0" w:space="0" w:color="auto"/>
                                                                            <w:left w:val="none" w:sz="0" w:space="0" w:color="auto"/>
                                                                            <w:bottom w:val="none" w:sz="0" w:space="0" w:color="auto"/>
                                                                            <w:right w:val="none" w:sz="0" w:space="0" w:color="auto"/>
                                                                          </w:divBdr>
                                                                          <w:divsChild>
                                                                            <w:div w:id="1514997699">
                                                                              <w:marLeft w:val="0"/>
                                                                              <w:marRight w:val="0"/>
                                                                              <w:marTop w:val="0"/>
                                                                              <w:marBottom w:val="0"/>
                                                                              <w:divBdr>
                                                                                <w:top w:val="none" w:sz="0" w:space="0" w:color="auto"/>
                                                                                <w:left w:val="none" w:sz="0" w:space="0" w:color="auto"/>
                                                                                <w:bottom w:val="none" w:sz="0" w:space="0" w:color="auto"/>
                                                                                <w:right w:val="none" w:sz="0" w:space="0" w:color="auto"/>
                                                                              </w:divBdr>
                                                                              <w:divsChild>
                                                                                <w:div w:id="434180266">
                                                                                  <w:marLeft w:val="0"/>
                                                                                  <w:marRight w:val="0"/>
                                                                                  <w:marTop w:val="0"/>
                                                                                  <w:marBottom w:val="0"/>
                                                                                  <w:divBdr>
                                                                                    <w:top w:val="none" w:sz="0" w:space="0" w:color="auto"/>
                                                                                    <w:left w:val="none" w:sz="0" w:space="0" w:color="auto"/>
                                                                                    <w:bottom w:val="none" w:sz="0" w:space="0" w:color="auto"/>
                                                                                    <w:right w:val="none" w:sz="0" w:space="0" w:color="auto"/>
                                                                                  </w:divBdr>
                                                                                  <w:divsChild>
                                                                                    <w:div w:id="1790933918">
                                                                                      <w:marLeft w:val="60"/>
                                                                                      <w:marRight w:val="60"/>
                                                                                      <w:marTop w:val="6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5346">
      <w:bodyDiv w:val="1"/>
      <w:marLeft w:val="0"/>
      <w:marRight w:val="0"/>
      <w:marTop w:val="0"/>
      <w:marBottom w:val="0"/>
      <w:divBdr>
        <w:top w:val="none" w:sz="0" w:space="0" w:color="auto"/>
        <w:left w:val="none" w:sz="0" w:space="0" w:color="auto"/>
        <w:bottom w:val="none" w:sz="0" w:space="0" w:color="auto"/>
        <w:right w:val="none" w:sz="0" w:space="0" w:color="auto"/>
      </w:divBdr>
      <w:divsChild>
        <w:div w:id="601692392">
          <w:marLeft w:val="0"/>
          <w:marRight w:val="0"/>
          <w:marTop w:val="0"/>
          <w:marBottom w:val="0"/>
          <w:divBdr>
            <w:top w:val="none" w:sz="0" w:space="0" w:color="auto"/>
            <w:left w:val="none" w:sz="0" w:space="0" w:color="auto"/>
            <w:bottom w:val="none" w:sz="0" w:space="0" w:color="auto"/>
            <w:right w:val="none" w:sz="0" w:space="0" w:color="auto"/>
          </w:divBdr>
          <w:divsChild>
            <w:div w:id="608046325">
              <w:marLeft w:val="0"/>
              <w:marRight w:val="0"/>
              <w:marTop w:val="0"/>
              <w:marBottom w:val="0"/>
              <w:divBdr>
                <w:top w:val="none" w:sz="0" w:space="0" w:color="auto"/>
                <w:left w:val="none" w:sz="0" w:space="0" w:color="auto"/>
                <w:bottom w:val="none" w:sz="0" w:space="0" w:color="auto"/>
                <w:right w:val="none" w:sz="0" w:space="0" w:color="auto"/>
              </w:divBdr>
              <w:divsChild>
                <w:div w:id="937181136">
                  <w:marLeft w:val="0"/>
                  <w:marRight w:val="0"/>
                  <w:marTop w:val="0"/>
                  <w:marBottom w:val="0"/>
                  <w:divBdr>
                    <w:top w:val="none" w:sz="0" w:space="0" w:color="auto"/>
                    <w:left w:val="none" w:sz="0" w:space="0" w:color="auto"/>
                    <w:bottom w:val="none" w:sz="0" w:space="0" w:color="auto"/>
                    <w:right w:val="none" w:sz="0" w:space="0" w:color="auto"/>
                  </w:divBdr>
                  <w:divsChild>
                    <w:div w:id="2097435445">
                      <w:marLeft w:val="0"/>
                      <w:marRight w:val="0"/>
                      <w:marTop w:val="0"/>
                      <w:marBottom w:val="0"/>
                      <w:divBdr>
                        <w:top w:val="none" w:sz="0" w:space="0" w:color="auto"/>
                        <w:left w:val="none" w:sz="0" w:space="0" w:color="auto"/>
                        <w:bottom w:val="none" w:sz="0" w:space="0" w:color="auto"/>
                        <w:right w:val="none" w:sz="0" w:space="0" w:color="auto"/>
                      </w:divBdr>
                      <w:divsChild>
                        <w:div w:id="470486691">
                          <w:marLeft w:val="0"/>
                          <w:marRight w:val="0"/>
                          <w:marTop w:val="0"/>
                          <w:marBottom w:val="0"/>
                          <w:divBdr>
                            <w:top w:val="none" w:sz="0" w:space="0" w:color="auto"/>
                            <w:left w:val="none" w:sz="0" w:space="0" w:color="auto"/>
                            <w:bottom w:val="none" w:sz="0" w:space="0" w:color="auto"/>
                            <w:right w:val="none" w:sz="0" w:space="0" w:color="auto"/>
                          </w:divBdr>
                          <w:divsChild>
                            <w:div w:id="647782978">
                              <w:marLeft w:val="0"/>
                              <w:marRight w:val="0"/>
                              <w:marTop w:val="0"/>
                              <w:marBottom w:val="0"/>
                              <w:divBdr>
                                <w:top w:val="none" w:sz="0" w:space="0" w:color="auto"/>
                                <w:left w:val="none" w:sz="0" w:space="0" w:color="auto"/>
                                <w:bottom w:val="none" w:sz="0" w:space="0" w:color="auto"/>
                                <w:right w:val="none" w:sz="0" w:space="0" w:color="auto"/>
                              </w:divBdr>
                              <w:divsChild>
                                <w:div w:id="562837866">
                                  <w:marLeft w:val="0"/>
                                  <w:marRight w:val="0"/>
                                  <w:marTop w:val="0"/>
                                  <w:marBottom w:val="0"/>
                                  <w:divBdr>
                                    <w:top w:val="none" w:sz="0" w:space="0" w:color="auto"/>
                                    <w:left w:val="none" w:sz="0" w:space="0" w:color="auto"/>
                                    <w:bottom w:val="none" w:sz="0" w:space="0" w:color="auto"/>
                                    <w:right w:val="none" w:sz="0" w:space="0" w:color="auto"/>
                                  </w:divBdr>
                                  <w:divsChild>
                                    <w:div w:id="1791968418">
                                      <w:marLeft w:val="0"/>
                                      <w:marRight w:val="0"/>
                                      <w:marTop w:val="0"/>
                                      <w:marBottom w:val="0"/>
                                      <w:divBdr>
                                        <w:top w:val="none" w:sz="0" w:space="0" w:color="auto"/>
                                        <w:left w:val="none" w:sz="0" w:space="0" w:color="auto"/>
                                        <w:bottom w:val="none" w:sz="0" w:space="0" w:color="auto"/>
                                        <w:right w:val="none" w:sz="0" w:space="0" w:color="auto"/>
                                      </w:divBdr>
                                      <w:divsChild>
                                        <w:div w:id="899286072">
                                          <w:marLeft w:val="0"/>
                                          <w:marRight w:val="0"/>
                                          <w:marTop w:val="0"/>
                                          <w:marBottom w:val="0"/>
                                          <w:divBdr>
                                            <w:top w:val="none" w:sz="0" w:space="0" w:color="auto"/>
                                            <w:left w:val="none" w:sz="0" w:space="0" w:color="auto"/>
                                            <w:bottom w:val="none" w:sz="0" w:space="0" w:color="auto"/>
                                            <w:right w:val="none" w:sz="0" w:space="0" w:color="auto"/>
                                          </w:divBdr>
                                          <w:divsChild>
                                            <w:div w:id="726683918">
                                              <w:marLeft w:val="0"/>
                                              <w:marRight w:val="0"/>
                                              <w:marTop w:val="0"/>
                                              <w:marBottom w:val="0"/>
                                              <w:divBdr>
                                                <w:top w:val="none" w:sz="0" w:space="0" w:color="auto"/>
                                                <w:left w:val="none" w:sz="0" w:space="0" w:color="auto"/>
                                                <w:bottom w:val="none" w:sz="0" w:space="0" w:color="auto"/>
                                                <w:right w:val="none" w:sz="0" w:space="0" w:color="auto"/>
                                              </w:divBdr>
                                              <w:divsChild>
                                                <w:div w:id="2091581554">
                                                  <w:marLeft w:val="0"/>
                                                  <w:marRight w:val="0"/>
                                                  <w:marTop w:val="0"/>
                                                  <w:marBottom w:val="0"/>
                                                  <w:divBdr>
                                                    <w:top w:val="none" w:sz="0" w:space="0" w:color="auto"/>
                                                    <w:left w:val="none" w:sz="0" w:space="0" w:color="auto"/>
                                                    <w:bottom w:val="none" w:sz="0" w:space="0" w:color="auto"/>
                                                    <w:right w:val="none" w:sz="0" w:space="0" w:color="auto"/>
                                                  </w:divBdr>
                                                  <w:divsChild>
                                                    <w:div w:id="488058566">
                                                      <w:marLeft w:val="0"/>
                                                      <w:marRight w:val="0"/>
                                                      <w:marTop w:val="0"/>
                                                      <w:marBottom w:val="0"/>
                                                      <w:divBdr>
                                                        <w:top w:val="none" w:sz="0" w:space="0" w:color="auto"/>
                                                        <w:left w:val="none" w:sz="0" w:space="0" w:color="auto"/>
                                                        <w:bottom w:val="none" w:sz="0" w:space="0" w:color="auto"/>
                                                        <w:right w:val="none" w:sz="0" w:space="0" w:color="auto"/>
                                                      </w:divBdr>
                                                      <w:divsChild>
                                                        <w:div w:id="13849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3809">
      <w:bodyDiv w:val="1"/>
      <w:marLeft w:val="0"/>
      <w:marRight w:val="0"/>
      <w:marTop w:val="0"/>
      <w:marBottom w:val="0"/>
      <w:divBdr>
        <w:top w:val="none" w:sz="0" w:space="0" w:color="auto"/>
        <w:left w:val="none" w:sz="0" w:space="0" w:color="auto"/>
        <w:bottom w:val="none" w:sz="0" w:space="0" w:color="auto"/>
        <w:right w:val="none" w:sz="0" w:space="0" w:color="auto"/>
      </w:divBdr>
      <w:divsChild>
        <w:div w:id="1456481005">
          <w:marLeft w:val="0"/>
          <w:marRight w:val="0"/>
          <w:marTop w:val="0"/>
          <w:marBottom w:val="0"/>
          <w:divBdr>
            <w:top w:val="none" w:sz="0" w:space="0" w:color="auto"/>
            <w:left w:val="none" w:sz="0" w:space="0" w:color="auto"/>
            <w:bottom w:val="none" w:sz="0" w:space="0" w:color="auto"/>
            <w:right w:val="none" w:sz="0" w:space="0" w:color="auto"/>
          </w:divBdr>
          <w:divsChild>
            <w:div w:id="645821974">
              <w:marLeft w:val="0"/>
              <w:marRight w:val="0"/>
              <w:marTop w:val="150"/>
              <w:marBottom w:val="0"/>
              <w:divBdr>
                <w:top w:val="none" w:sz="0" w:space="0" w:color="auto"/>
                <w:left w:val="none" w:sz="0" w:space="0" w:color="auto"/>
                <w:bottom w:val="none" w:sz="0" w:space="0" w:color="auto"/>
                <w:right w:val="none" w:sz="0" w:space="0" w:color="auto"/>
              </w:divBdr>
              <w:divsChild>
                <w:div w:id="1043673603">
                  <w:marLeft w:val="0"/>
                  <w:marRight w:val="0"/>
                  <w:marTop w:val="0"/>
                  <w:marBottom w:val="0"/>
                  <w:divBdr>
                    <w:top w:val="none" w:sz="0" w:space="0" w:color="auto"/>
                    <w:left w:val="none" w:sz="0" w:space="0" w:color="auto"/>
                    <w:bottom w:val="none" w:sz="0" w:space="0" w:color="auto"/>
                    <w:right w:val="none" w:sz="0" w:space="0" w:color="auto"/>
                  </w:divBdr>
                  <w:divsChild>
                    <w:div w:id="756754002">
                      <w:marLeft w:val="0"/>
                      <w:marRight w:val="0"/>
                      <w:marTop w:val="0"/>
                      <w:marBottom w:val="0"/>
                      <w:divBdr>
                        <w:top w:val="none" w:sz="0" w:space="0" w:color="auto"/>
                        <w:left w:val="none" w:sz="0" w:space="0" w:color="auto"/>
                        <w:bottom w:val="none" w:sz="0" w:space="0" w:color="auto"/>
                        <w:right w:val="none" w:sz="0" w:space="0" w:color="auto"/>
                      </w:divBdr>
                      <w:divsChild>
                        <w:div w:id="15476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858">
      <w:bodyDiv w:val="1"/>
      <w:marLeft w:val="0"/>
      <w:marRight w:val="0"/>
      <w:marTop w:val="0"/>
      <w:marBottom w:val="0"/>
      <w:divBdr>
        <w:top w:val="none" w:sz="0" w:space="0" w:color="auto"/>
        <w:left w:val="none" w:sz="0" w:space="0" w:color="auto"/>
        <w:bottom w:val="none" w:sz="0" w:space="0" w:color="auto"/>
        <w:right w:val="none" w:sz="0" w:space="0" w:color="auto"/>
      </w:divBdr>
      <w:divsChild>
        <w:div w:id="980694246">
          <w:marLeft w:val="0"/>
          <w:marRight w:val="0"/>
          <w:marTop w:val="150"/>
          <w:marBottom w:val="0"/>
          <w:divBdr>
            <w:top w:val="none" w:sz="0" w:space="0" w:color="auto"/>
            <w:left w:val="none" w:sz="0" w:space="0" w:color="auto"/>
            <w:bottom w:val="none" w:sz="0" w:space="0" w:color="auto"/>
            <w:right w:val="none" w:sz="0" w:space="0" w:color="auto"/>
          </w:divBdr>
          <w:divsChild>
            <w:div w:id="673344060">
              <w:marLeft w:val="2"/>
              <w:marRight w:val="2"/>
              <w:marTop w:val="0"/>
              <w:marBottom w:val="0"/>
              <w:divBdr>
                <w:top w:val="none" w:sz="0" w:space="0" w:color="auto"/>
                <w:left w:val="none" w:sz="0" w:space="0" w:color="auto"/>
                <w:bottom w:val="none" w:sz="0" w:space="0" w:color="auto"/>
                <w:right w:val="none" w:sz="0" w:space="0" w:color="auto"/>
              </w:divBdr>
              <w:divsChild>
                <w:div w:id="860826838">
                  <w:marLeft w:val="0"/>
                  <w:marRight w:val="0"/>
                  <w:marTop w:val="0"/>
                  <w:marBottom w:val="0"/>
                  <w:divBdr>
                    <w:top w:val="none" w:sz="0" w:space="0" w:color="auto"/>
                    <w:left w:val="none" w:sz="0" w:space="0" w:color="auto"/>
                    <w:bottom w:val="none" w:sz="0" w:space="0" w:color="auto"/>
                    <w:right w:val="none" w:sz="0" w:space="0" w:color="auto"/>
                  </w:divBdr>
                  <w:divsChild>
                    <w:div w:id="882987929">
                      <w:marLeft w:val="0"/>
                      <w:marRight w:val="0"/>
                      <w:marTop w:val="0"/>
                      <w:marBottom w:val="0"/>
                      <w:divBdr>
                        <w:top w:val="none" w:sz="0" w:space="0" w:color="auto"/>
                        <w:left w:val="none" w:sz="0" w:space="0" w:color="auto"/>
                        <w:bottom w:val="none" w:sz="0" w:space="0" w:color="auto"/>
                        <w:right w:val="none" w:sz="0" w:space="0" w:color="auto"/>
                      </w:divBdr>
                      <w:divsChild>
                        <w:div w:id="1041978392">
                          <w:marLeft w:val="0"/>
                          <w:marRight w:val="0"/>
                          <w:marTop w:val="0"/>
                          <w:marBottom w:val="0"/>
                          <w:divBdr>
                            <w:top w:val="none" w:sz="0" w:space="0" w:color="auto"/>
                            <w:left w:val="none" w:sz="0" w:space="0" w:color="auto"/>
                            <w:bottom w:val="none" w:sz="0" w:space="0" w:color="auto"/>
                            <w:right w:val="none" w:sz="0" w:space="0" w:color="auto"/>
                          </w:divBdr>
                          <w:divsChild>
                            <w:div w:id="356542823">
                              <w:marLeft w:val="0"/>
                              <w:marRight w:val="0"/>
                              <w:marTop w:val="0"/>
                              <w:marBottom w:val="0"/>
                              <w:divBdr>
                                <w:top w:val="none" w:sz="0" w:space="0" w:color="auto"/>
                                <w:left w:val="none" w:sz="0" w:space="0" w:color="auto"/>
                                <w:bottom w:val="none" w:sz="0" w:space="0" w:color="auto"/>
                                <w:right w:val="none" w:sz="0" w:space="0" w:color="auto"/>
                              </w:divBdr>
                              <w:divsChild>
                                <w:div w:id="166333531">
                                  <w:marLeft w:val="0"/>
                                  <w:marRight w:val="0"/>
                                  <w:marTop w:val="0"/>
                                  <w:marBottom w:val="0"/>
                                  <w:divBdr>
                                    <w:top w:val="none" w:sz="0" w:space="0" w:color="auto"/>
                                    <w:left w:val="none" w:sz="0" w:space="0" w:color="auto"/>
                                    <w:bottom w:val="none" w:sz="0" w:space="0" w:color="auto"/>
                                    <w:right w:val="none" w:sz="0" w:space="0" w:color="auto"/>
                                  </w:divBdr>
                                  <w:divsChild>
                                    <w:div w:id="65420996">
                                      <w:marLeft w:val="0"/>
                                      <w:marRight w:val="0"/>
                                      <w:marTop w:val="0"/>
                                      <w:marBottom w:val="0"/>
                                      <w:divBdr>
                                        <w:top w:val="none" w:sz="0" w:space="0" w:color="auto"/>
                                        <w:left w:val="none" w:sz="0" w:space="0" w:color="auto"/>
                                        <w:bottom w:val="none" w:sz="0" w:space="0" w:color="auto"/>
                                        <w:right w:val="none" w:sz="0" w:space="0" w:color="auto"/>
                                      </w:divBdr>
                                      <w:divsChild>
                                        <w:div w:id="1875145613">
                                          <w:marLeft w:val="0"/>
                                          <w:marRight w:val="0"/>
                                          <w:marTop w:val="0"/>
                                          <w:marBottom w:val="0"/>
                                          <w:divBdr>
                                            <w:top w:val="none" w:sz="0" w:space="0" w:color="auto"/>
                                            <w:left w:val="none" w:sz="0" w:space="0" w:color="auto"/>
                                            <w:bottom w:val="none" w:sz="0" w:space="0" w:color="auto"/>
                                            <w:right w:val="none" w:sz="0" w:space="0" w:color="auto"/>
                                          </w:divBdr>
                                          <w:divsChild>
                                            <w:div w:id="1231117374">
                                              <w:marLeft w:val="0"/>
                                              <w:marRight w:val="0"/>
                                              <w:marTop w:val="0"/>
                                              <w:marBottom w:val="0"/>
                                              <w:divBdr>
                                                <w:top w:val="none" w:sz="0" w:space="0" w:color="auto"/>
                                                <w:left w:val="none" w:sz="0" w:space="0" w:color="auto"/>
                                                <w:bottom w:val="none" w:sz="0" w:space="0" w:color="auto"/>
                                                <w:right w:val="none" w:sz="0" w:space="0" w:color="auto"/>
                                              </w:divBdr>
                                              <w:divsChild>
                                                <w:div w:id="279071304">
                                                  <w:marLeft w:val="0"/>
                                                  <w:marRight w:val="0"/>
                                                  <w:marTop w:val="0"/>
                                                  <w:marBottom w:val="0"/>
                                                  <w:divBdr>
                                                    <w:top w:val="none" w:sz="0" w:space="0" w:color="auto"/>
                                                    <w:left w:val="none" w:sz="0" w:space="0" w:color="auto"/>
                                                    <w:bottom w:val="none" w:sz="0" w:space="0" w:color="auto"/>
                                                    <w:right w:val="none" w:sz="0" w:space="0" w:color="auto"/>
                                                  </w:divBdr>
                                                </w:div>
                                              </w:divsChild>
                                            </w:div>
                                            <w:div w:id="1021783973">
                                              <w:marLeft w:val="0"/>
                                              <w:marRight w:val="0"/>
                                              <w:marTop w:val="0"/>
                                              <w:marBottom w:val="0"/>
                                              <w:divBdr>
                                                <w:top w:val="none" w:sz="0" w:space="0" w:color="auto"/>
                                                <w:left w:val="none" w:sz="0" w:space="0" w:color="auto"/>
                                                <w:bottom w:val="none" w:sz="0" w:space="0" w:color="auto"/>
                                                <w:right w:val="none" w:sz="0" w:space="0" w:color="auto"/>
                                              </w:divBdr>
                                              <w:divsChild>
                                                <w:div w:id="1395620230">
                                                  <w:marLeft w:val="0"/>
                                                  <w:marRight w:val="0"/>
                                                  <w:marTop w:val="0"/>
                                                  <w:marBottom w:val="0"/>
                                                  <w:divBdr>
                                                    <w:top w:val="none" w:sz="0" w:space="0" w:color="auto"/>
                                                    <w:left w:val="none" w:sz="0" w:space="0" w:color="auto"/>
                                                    <w:bottom w:val="none" w:sz="0" w:space="0" w:color="auto"/>
                                                    <w:right w:val="none" w:sz="0" w:space="0" w:color="auto"/>
                                                  </w:divBdr>
                                                </w:div>
                                              </w:divsChild>
                                            </w:div>
                                            <w:div w:id="1858078234">
                                              <w:marLeft w:val="0"/>
                                              <w:marRight w:val="0"/>
                                              <w:marTop w:val="0"/>
                                              <w:marBottom w:val="0"/>
                                              <w:divBdr>
                                                <w:top w:val="none" w:sz="0" w:space="0" w:color="auto"/>
                                                <w:left w:val="none" w:sz="0" w:space="0" w:color="auto"/>
                                                <w:bottom w:val="none" w:sz="0" w:space="0" w:color="auto"/>
                                                <w:right w:val="none" w:sz="0" w:space="0" w:color="auto"/>
                                              </w:divBdr>
                                              <w:divsChild>
                                                <w:div w:id="1814709719">
                                                  <w:marLeft w:val="0"/>
                                                  <w:marRight w:val="0"/>
                                                  <w:marTop w:val="0"/>
                                                  <w:marBottom w:val="0"/>
                                                  <w:divBdr>
                                                    <w:top w:val="none" w:sz="0" w:space="0" w:color="auto"/>
                                                    <w:left w:val="none" w:sz="0" w:space="0" w:color="auto"/>
                                                    <w:bottom w:val="none" w:sz="0" w:space="0" w:color="auto"/>
                                                    <w:right w:val="none" w:sz="0" w:space="0" w:color="auto"/>
                                                  </w:divBdr>
                                                </w:div>
                                              </w:divsChild>
                                            </w:div>
                                            <w:div w:id="975375704">
                                              <w:marLeft w:val="0"/>
                                              <w:marRight w:val="0"/>
                                              <w:marTop w:val="0"/>
                                              <w:marBottom w:val="0"/>
                                              <w:divBdr>
                                                <w:top w:val="none" w:sz="0" w:space="0" w:color="auto"/>
                                                <w:left w:val="none" w:sz="0" w:space="0" w:color="auto"/>
                                                <w:bottom w:val="none" w:sz="0" w:space="0" w:color="auto"/>
                                                <w:right w:val="none" w:sz="0" w:space="0" w:color="auto"/>
                                              </w:divBdr>
                                              <w:divsChild>
                                                <w:div w:id="674187461">
                                                  <w:marLeft w:val="0"/>
                                                  <w:marRight w:val="0"/>
                                                  <w:marTop w:val="0"/>
                                                  <w:marBottom w:val="0"/>
                                                  <w:divBdr>
                                                    <w:top w:val="none" w:sz="0" w:space="0" w:color="auto"/>
                                                    <w:left w:val="none" w:sz="0" w:space="0" w:color="auto"/>
                                                    <w:bottom w:val="none" w:sz="0" w:space="0" w:color="auto"/>
                                                    <w:right w:val="none" w:sz="0" w:space="0" w:color="auto"/>
                                                  </w:divBdr>
                                                </w:div>
                                              </w:divsChild>
                                            </w:div>
                                            <w:div w:id="725640425">
                                              <w:marLeft w:val="0"/>
                                              <w:marRight w:val="0"/>
                                              <w:marTop w:val="0"/>
                                              <w:marBottom w:val="0"/>
                                              <w:divBdr>
                                                <w:top w:val="none" w:sz="0" w:space="0" w:color="auto"/>
                                                <w:left w:val="none" w:sz="0" w:space="0" w:color="auto"/>
                                                <w:bottom w:val="none" w:sz="0" w:space="0" w:color="auto"/>
                                                <w:right w:val="none" w:sz="0" w:space="0" w:color="auto"/>
                                              </w:divBdr>
                                              <w:divsChild>
                                                <w:div w:id="16465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764">
      <w:bodyDiv w:val="1"/>
      <w:marLeft w:val="0"/>
      <w:marRight w:val="0"/>
      <w:marTop w:val="0"/>
      <w:marBottom w:val="0"/>
      <w:divBdr>
        <w:top w:val="none" w:sz="0" w:space="0" w:color="auto"/>
        <w:left w:val="none" w:sz="0" w:space="0" w:color="auto"/>
        <w:bottom w:val="none" w:sz="0" w:space="0" w:color="auto"/>
        <w:right w:val="none" w:sz="0" w:space="0" w:color="auto"/>
      </w:divBdr>
      <w:divsChild>
        <w:div w:id="1890453257">
          <w:marLeft w:val="0"/>
          <w:marRight w:val="0"/>
          <w:marTop w:val="0"/>
          <w:marBottom w:val="0"/>
          <w:divBdr>
            <w:top w:val="single" w:sz="6" w:space="0" w:color="0E477A"/>
            <w:left w:val="single" w:sz="6" w:space="0" w:color="0E477A"/>
            <w:bottom w:val="single" w:sz="6" w:space="0" w:color="0E477A"/>
            <w:right w:val="single" w:sz="6" w:space="0" w:color="0E477A"/>
          </w:divBdr>
          <w:divsChild>
            <w:div w:id="191961570">
              <w:marLeft w:val="0"/>
              <w:marRight w:val="0"/>
              <w:marTop w:val="0"/>
              <w:marBottom w:val="0"/>
              <w:divBdr>
                <w:top w:val="none" w:sz="0" w:space="0" w:color="auto"/>
                <w:left w:val="none" w:sz="0" w:space="0" w:color="auto"/>
                <w:bottom w:val="none" w:sz="0" w:space="0" w:color="auto"/>
                <w:right w:val="none" w:sz="0" w:space="0" w:color="auto"/>
              </w:divBdr>
              <w:divsChild>
                <w:div w:id="1713076336">
                  <w:marLeft w:val="75"/>
                  <w:marRight w:val="0"/>
                  <w:marTop w:val="0"/>
                  <w:marBottom w:val="0"/>
                  <w:divBdr>
                    <w:top w:val="none" w:sz="0" w:space="0" w:color="auto"/>
                    <w:left w:val="none" w:sz="0" w:space="0" w:color="auto"/>
                    <w:bottom w:val="none" w:sz="0" w:space="0" w:color="auto"/>
                    <w:right w:val="none" w:sz="0" w:space="0" w:color="auto"/>
                  </w:divBdr>
                  <w:divsChild>
                    <w:div w:id="1359702052">
                      <w:marLeft w:val="0"/>
                      <w:marRight w:val="0"/>
                      <w:marTop w:val="0"/>
                      <w:marBottom w:val="0"/>
                      <w:divBdr>
                        <w:top w:val="none" w:sz="0" w:space="0" w:color="auto"/>
                        <w:left w:val="none" w:sz="0" w:space="0" w:color="auto"/>
                        <w:bottom w:val="none" w:sz="0" w:space="0" w:color="auto"/>
                        <w:right w:val="none" w:sz="0" w:space="0" w:color="auto"/>
                      </w:divBdr>
                      <w:divsChild>
                        <w:div w:id="1854762167">
                          <w:marLeft w:val="0"/>
                          <w:marRight w:val="225"/>
                          <w:marTop w:val="150"/>
                          <w:marBottom w:val="150"/>
                          <w:divBdr>
                            <w:top w:val="single" w:sz="6" w:space="0" w:color="CCCCCC"/>
                            <w:left w:val="single" w:sz="6" w:space="8" w:color="CCCCCC"/>
                            <w:bottom w:val="single" w:sz="6" w:space="8" w:color="CCCCCC"/>
                            <w:right w:val="single" w:sz="6" w:space="8" w:color="CCCCCC"/>
                          </w:divBdr>
                          <w:divsChild>
                            <w:div w:id="1796753880">
                              <w:marLeft w:val="-150"/>
                              <w:marRight w:val="0"/>
                              <w:marTop w:val="0"/>
                              <w:marBottom w:val="0"/>
                              <w:divBdr>
                                <w:top w:val="none" w:sz="0" w:space="0" w:color="auto"/>
                                <w:left w:val="none" w:sz="0" w:space="0" w:color="auto"/>
                                <w:bottom w:val="none" w:sz="0" w:space="0" w:color="auto"/>
                                <w:right w:val="none" w:sz="0" w:space="0" w:color="auto"/>
                              </w:divBdr>
                              <w:divsChild>
                                <w:div w:id="616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1463">
      <w:bodyDiv w:val="1"/>
      <w:marLeft w:val="0"/>
      <w:marRight w:val="0"/>
      <w:marTop w:val="0"/>
      <w:marBottom w:val="0"/>
      <w:divBdr>
        <w:top w:val="none" w:sz="0" w:space="0" w:color="auto"/>
        <w:left w:val="none" w:sz="0" w:space="0" w:color="auto"/>
        <w:bottom w:val="none" w:sz="0" w:space="0" w:color="auto"/>
        <w:right w:val="none" w:sz="0" w:space="0" w:color="auto"/>
      </w:divBdr>
    </w:div>
    <w:div w:id="14382660">
      <w:bodyDiv w:val="1"/>
      <w:marLeft w:val="0"/>
      <w:marRight w:val="0"/>
      <w:marTop w:val="0"/>
      <w:marBottom w:val="0"/>
      <w:divBdr>
        <w:top w:val="none" w:sz="0" w:space="0" w:color="auto"/>
        <w:left w:val="none" w:sz="0" w:space="0" w:color="auto"/>
        <w:bottom w:val="none" w:sz="0" w:space="0" w:color="auto"/>
        <w:right w:val="none" w:sz="0" w:space="0" w:color="auto"/>
      </w:divBdr>
      <w:divsChild>
        <w:div w:id="1021207142">
          <w:marLeft w:val="0"/>
          <w:marRight w:val="0"/>
          <w:marTop w:val="0"/>
          <w:marBottom w:val="0"/>
          <w:divBdr>
            <w:top w:val="none" w:sz="0" w:space="0" w:color="auto"/>
            <w:left w:val="none" w:sz="0" w:space="0" w:color="auto"/>
            <w:bottom w:val="none" w:sz="0" w:space="0" w:color="auto"/>
            <w:right w:val="none" w:sz="0" w:space="0" w:color="auto"/>
          </w:divBdr>
          <w:divsChild>
            <w:div w:id="1983001155">
              <w:marLeft w:val="0"/>
              <w:marRight w:val="0"/>
              <w:marTop w:val="0"/>
              <w:marBottom w:val="0"/>
              <w:divBdr>
                <w:top w:val="none" w:sz="0" w:space="0" w:color="auto"/>
                <w:left w:val="none" w:sz="0" w:space="0" w:color="auto"/>
                <w:bottom w:val="none" w:sz="0" w:space="0" w:color="auto"/>
                <w:right w:val="none" w:sz="0" w:space="0" w:color="auto"/>
              </w:divBdr>
              <w:divsChild>
                <w:div w:id="1689330090">
                  <w:marLeft w:val="0"/>
                  <w:marRight w:val="0"/>
                  <w:marTop w:val="100"/>
                  <w:marBottom w:val="100"/>
                  <w:divBdr>
                    <w:top w:val="none" w:sz="0" w:space="0" w:color="auto"/>
                    <w:left w:val="none" w:sz="0" w:space="0" w:color="auto"/>
                    <w:bottom w:val="none" w:sz="0" w:space="0" w:color="auto"/>
                    <w:right w:val="none" w:sz="0" w:space="0" w:color="auto"/>
                  </w:divBdr>
                  <w:divsChild>
                    <w:div w:id="2100446869">
                      <w:marLeft w:val="0"/>
                      <w:marRight w:val="0"/>
                      <w:marTop w:val="0"/>
                      <w:marBottom w:val="0"/>
                      <w:divBdr>
                        <w:top w:val="none" w:sz="0" w:space="0" w:color="auto"/>
                        <w:left w:val="none" w:sz="0" w:space="0" w:color="auto"/>
                        <w:bottom w:val="none" w:sz="0" w:space="0" w:color="auto"/>
                        <w:right w:val="none" w:sz="0" w:space="0" w:color="auto"/>
                      </w:divBdr>
                      <w:divsChild>
                        <w:div w:id="876626505">
                          <w:marLeft w:val="0"/>
                          <w:marRight w:val="0"/>
                          <w:marTop w:val="0"/>
                          <w:marBottom w:val="0"/>
                          <w:divBdr>
                            <w:top w:val="none" w:sz="0" w:space="0" w:color="auto"/>
                            <w:left w:val="none" w:sz="0" w:space="0" w:color="auto"/>
                            <w:bottom w:val="none" w:sz="0" w:space="0" w:color="auto"/>
                            <w:right w:val="none" w:sz="0" w:space="0" w:color="auto"/>
                          </w:divBdr>
                          <w:divsChild>
                            <w:div w:id="463931420">
                              <w:marLeft w:val="0"/>
                              <w:marRight w:val="0"/>
                              <w:marTop w:val="0"/>
                              <w:marBottom w:val="0"/>
                              <w:divBdr>
                                <w:top w:val="none" w:sz="0" w:space="0" w:color="auto"/>
                                <w:left w:val="none" w:sz="0" w:space="0" w:color="auto"/>
                                <w:bottom w:val="none" w:sz="0" w:space="0" w:color="auto"/>
                                <w:right w:val="none" w:sz="0" w:space="0" w:color="auto"/>
                              </w:divBdr>
                              <w:divsChild>
                                <w:div w:id="1520703964">
                                  <w:marLeft w:val="0"/>
                                  <w:marRight w:val="0"/>
                                  <w:marTop w:val="0"/>
                                  <w:marBottom w:val="0"/>
                                  <w:divBdr>
                                    <w:top w:val="none" w:sz="0" w:space="0" w:color="auto"/>
                                    <w:left w:val="none" w:sz="0" w:space="0" w:color="auto"/>
                                    <w:bottom w:val="none" w:sz="0" w:space="0" w:color="auto"/>
                                    <w:right w:val="none" w:sz="0" w:space="0" w:color="auto"/>
                                  </w:divBdr>
                                  <w:divsChild>
                                    <w:div w:id="1283462715">
                                      <w:marLeft w:val="0"/>
                                      <w:marRight w:val="0"/>
                                      <w:marTop w:val="0"/>
                                      <w:marBottom w:val="0"/>
                                      <w:divBdr>
                                        <w:top w:val="none" w:sz="0" w:space="0" w:color="auto"/>
                                        <w:left w:val="none" w:sz="0" w:space="0" w:color="auto"/>
                                        <w:bottom w:val="none" w:sz="0" w:space="0" w:color="auto"/>
                                        <w:right w:val="none" w:sz="0" w:space="0" w:color="auto"/>
                                      </w:divBdr>
                                      <w:divsChild>
                                        <w:div w:id="909541323">
                                          <w:marLeft w:val="0"/>
                                          <w:marRight w:val="0"/>
                                          <w:marTop w:val="0"/>
                                          <w:marBottom w:val="0"/>
                                          <w:divBdr>
                                            <w:top w:val="none" w:sz="0" w:space="0" w:color="auto"/>
                                            <w:left w:val="none" w:sz="0" w:space="0" w:color="auto"/>
                                            <w:bottom w:val="none" w:sz="0" w:space="0" w:color="auto"/>
                                            <w:right w:val="none" w:sz="0" w:space="0" w:color="auto"/>
                                          </w:divBdr>
                                          <w:divsChild>
                                            <w:div w:id="1307856763">
                                              <w:marLeft w:val="0"/>
                                              <w:marRight w:val="0"/>
                                              <w:marTop w:val="0"/>
                                              <w:marBottom w:val="0"/>
                                              <w:divBdr>
                                                <w:top w:val="single" w:sz="6" w:space="0" w:color="B6D444"/>
                                                <w:left w:val="none" w:sz="0" w:space="0" w:color="auto"/>
                                                <w:bottom w:val="none" w:sz="0" w:space="0" w:color="auto"/>
                                                <w:right w:val="none" w:sz="0" w:space="0" w:color="auto"/>
                                              </w:divBdr>
                                              <w:divsChild>
                                                <w:div w:id="1085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5148">
      <w:bodyDiv w:val="1"/>
      <w:marLeft w:val="0"/>
      <w:marRight w:val="0"/>
      <w:marTop w:val="0"/>
      <w:marBottom w:val="0"/>
      <w:divBdr>
        <w:top w:val="none" w:sz="0" w:space="0" w:color="auto"/>
        <w:left w:val="none" w:sz="0" w:space="0" w:color="auto"/>
        <w:bottom w:val="none" w:sz="0" w:space="0" w:color="auto"/>
        <w:right w:val="none" w:sz="0" w:space="0" w:color="auto"/>
      </w:divBdr>
    </w:div>
    <w:div w:id="15349952">
      <w:bodyDiv w:val="1"/>
      <w:marLeft w:val="0"/>
      <w:marRight w:val="0"/>
      <w:marTop w:val="0"/>
      <w:marBottom w:val="0"/>
      <w:divBdr>
        <w:top w:val="none" w:sz="0" w:space="0" w:color="auto"/>
        <w:left w:val="none" w:sz="0" w:space="0" w:color="auto"/>
        <w:bottom w:val="none" w:sz="0" w:space="0" w:color="auto"/>
        <w:right w:val="none" w:sz="0" w:space="0" w:color="auto"/>
      </w:divBdr>
      <w:divsChild>
        <w:div w:id="428546527">
          <w:marLeft w:val="0"/>
          <w:marRight w:val="0"/>
          <w:marTop w:val="0"/>
          <w:marBottom w:val="0"/>
          <w:divBdr>
            <w:top w:val="none" w:sz="0" w:space="0" w:color="auto"/>
            <w:left w:val="none" w:sz="0" w:space="0" w:color="auto"/>
            <w:bottom w:val="none" w:sz="0" w:space="0" w:color="auto"/>
            <w:right w:val="none" w:sz="0" w:space="0" w:color="auto"/>
          </w:divBdr>
        </w:div>
      </w:divsChild>
    </w:div>
    <w:div w:id="15929039">
      <w:bodyDiv w:val="1"/>
      <w:marLeft w:val="0"/>
      <w:marRight w:val="0"/>
      <w:marTop w:val="0"/>
      <w:marBottom w:val="0"/>
      <w:divBdr>
        <w:top w:val="none" w:sz="0" w:space="0" w:color="auto"/>
        <w:left w:val="none" w:sz="0" w:space="0" w:color="auto"/>
        <w:bottom w:val="none" w:sz="0" w:space="0" w:color="auto"/>
        <w:right w:val="none" w:sz="0" w:space="0" w:color="auto"/>
      </w:divBdr>
    </w:div>
    <w:div w:id="16857389">
      <w:bodyDiv w:val="1"/>
      <w:marLeft w:val="0"/>
      <w:marRight w:val="0"/>
      <w:marTop w:val="0"/>
      <w:marBottom w:val="0"/>
      <w:divBdr>
        <w:top w:val="none" w:sz="0" w:space="0" w:color="auto"/>
        <w:left w:val="none" w:sz="0" w:space="0" w:color="auto"/>
        <w:bottom w:val="none" w:sz="0" w:space="0" w:color="auto"/>
        <w:right w:val="none" w:sz="0" w:space="0" w:color="auto"/>
      </w:divBdr>
      <w:divsChild>
        <w:div w:id="1359426447">
          <w:marLeft w:val="0"/>
          <w:marRight w:val="0"/>
          <w:marTop w:val="0"/>
          <w:marBottom w:val="0"/>
          <w:divBdr>
            <w:top w:val="none" w:sz="0" w:space="0" w:color="auto"/>
            <w:left w:val="none" w:sz="0" w:space="0" w:color="auto"/>
            <w:bottom w:val="none" w:sz="0" w:space="0" w:color="auto"/>
            <w:right w:val="none" w:sz="0" w:space="0" w:color="auto"/>
          </w:divBdr>
          <w:divsChild>
            <w:div w:id="1558472543">
              <w:marLeft w:val="0"/>
              <w:marRight w:val="0"/>
              <w:marTop w:val="0"/>
              <w:marBottom w:val="0"/>
              <w:divBdr>
                <w:top w:val="none" w:sz="0" w:space="0" w:color="auto"/>
                <w:left w:val="none" w:sz="0" w:space="0" w:color="auto"/>
                <w:bottom w:val="none" w:sz="0" w:space="0" w:color="auto"/>
                <w:right w:val="none" w:sz="0" w:space="0" w:color="auto"/>
              </w:divBdr>
              <w:divsChild>
                <w:div w:id="1799762957">
                  <w:marLeft w:val="0"/>
                  <w:marRight w:val="0"/>
                  <w:marTop w:val="0"/>
                  <w:marBottom w:val="0"/>
                  <w:divBdr>
                    <w:top w:val="none" w:sz="0" w:space="0" w:color="auto"/>
                    <w:left w:val="none" w:sz="0" w:space="0" w:color="auto"/>
                    <w:bottom w:val="none" w:sz="0" w:space="0" w:color="auto"/>
                    <w:right w:val="none" w:sz="0" w:space="0" w:color="auto"/>
                  </w:divBdr>
                  <w:divsChild>
                    <w:div w:id="844826133">
                      <w:marLeft w:val="0"/>
                      <w:marRight w:val="0"/>
                      <w:marTop w:val="0"/>
                      <w:marBottom w:val="0"/>
                      <w:divBdr>
                        <w:top w:val="none" w:sz="0" w:space="0" w:color="auto"/>
                        <w:left w:val="none" w:sz="0" w:space="0" w:color="auto"/>
                        <w:bottom w:val="none" w:sz="0" w:space="0" w:color="auto"/>
                        <w:right w:val="none" w:sz="0" w:space="0" w:color="auto"/>
                      </w:divBdr>
                      <w:divsChild>
                        <w:div w:id="486291785">
                          <w:marLeft w:val="0"/>
                          <w:marRight w:val="0"/>
                          <w:marTop w:val="0"/>
                          <w:marBottom w:val="0"/>
                          <w:divBdr>
                            <w:top w:val="none" w:sz="0" w:space="0" w:color="auto"/>
                            <w:left w:val="none" w:sz="0" w:space="0" w:color="auto"/>
                            <w:bottom w:val="none" w:sz="0" w:space="0" w:color="auto"/>
                            <w:right w:val="none" w:sz="0" w:space="0" w:color="auto"/>
                          </w:divBdr>
                          <w:divsChild>
                            <w:div w:id="21051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3979">
      <w:bodyDiv w:val="1"/>
      <w:marLeft w:val="0"/>
      <w:marRight w:val="0"/>
      <w:marTop w:val="0"/>
      <w:marBottom w:val="0"/>
      <w:divBdr>
        <w:top w:val="none" w:sz="0" w:space="0" w:color="auto"/>
        <w:left w:val="none" w:sz="0" w:space="0" w:color="auto"/>
        <w:bottom w:val="none" w:sz="0" w:space="0" w:color="auto"/>
        <w:right w:val="none" w:sz="0" w:space="0" w:color="auto"/>
      </w:divBdr>
      <w:divsChild>
        <w:div w:id="926578369">
          <w:marLeft w:val="2400"/>
          <w:marRight w:val="0"/>
          <w:marTop w:val="0"/>
          <w:marBottom w:val="0"/>
          <w:divBdr>
            <w:top w:val="none" w:sz="0" w:space="0" w:color="auto"/>
            <w:left w:val="none" w:sz="0" w:space="0" w:color="auto"/>
            <w:bottom w:val="none" w:sz="0" w:space="0" w:color="auto"/>
            <w:right w:val="none" w:sz="0" w:space="0" w:color="auto"/>
          </w:divBdr>
          <w:divsChild>
            <w:div w:id="1177766084">
              <w:marLeft w:val="0"/>
              <w:marRight w:val="0"/>
              <w:marTop w:val="0"/>
              <w:marBottom w:val="0"/>
              <w:divBdr>
                <w:top w:val="none" w:sz="0" w:space="0" w:color="auto"/>
                <w:left w:val="none" w:sz="0" w:space="0" w:color="auto"/>
                <w:bottom w:val="none" w:sz="0" w:space="0" w:color="auto"/>
                <w:right w:val="none" w:sz="0" w:space="0" w:color="auto"/>
              </w:divBdr>
              <w:divsChild>
                <w:div w:id="457382288">
                  <w:marLeft w:val="0"/>
                  <w:marRight w:val="0"/>
                  <w:marTop w:val="0"/>
                  <w:marBottom w:val="0"/>
                  <w:divBdr>
                    <w:top w:val="none" w:sz="0" w:space="0" w:color="auto"/>
                    <w:left w:val="none" w:sz="0" w:space="0" w:color="auto"/>
                    <w:bottom w:val="none" w:sz="0" w:space="0" w:color="auto"/>
                    <w:right w:val="none" w:sz="0" w:space="0" w:color="auto"/>
                  </w:divBdr>
                  <w:divsChild>
                    <w:div w:id="1826388945">
                      <w:marLeft w:val="0"/>
                      <w:marRight w:val="0"/>
                      <w:marTop w:val="0"/>
                      <w:marBottom w:val="0"/>
                      <w:divBdr>
                        <w:top w:val="none" w:sz="0" w:space="0" w:color="auto"/>
                        <w:left w:val="none" w:sz="0" w:space="0" w:color="auto"/>
                        <w:bottom w:val="none" w:sz="0" w:space="0" w:color="auto"/>
                        <w:right w:val="none" w:sz="0" w:space="0" w:color="auto"/>
                      </w:divBdr>
                      <w:divsChild>
                        <w:div w:id="1392313407">
                          <w:marLeft w:val="0"/>
                          <w:marRight w:val="0"/>
                          <w:marTop w:val="0"/>
                          <w:marBottom w:val="0"/>
                          <w:divBdr>
                            <w:top w:val="none" w:sz="0" w:space="0" w:color="auto"/>
                            <w:left w:val="none" w:sz="0" w:space="0" w:color="auto"/>
                            <w:bottom w:val="none" w:sz="0" w:space="0" w:color="auto"/>
                            <w:right w:val="none" w:sz="0" w:space="0" w:color="auto"/>
                          </w:divBdr>
                          <w:divsChild>
                            <w:div w:id="1885632162">
                              <w:marLeft w:val="0"/>
                              <w:marRight w:val="0"/>
                              <w:marTop w:val="0"/>
                              <w:marBottom w:val="0"/>
                              <w:divBdr>
                                <w:top w:val="none" w:sz="0" w:space="0" w:color="auto"/>
                                <w:left w:val="none" w:sz="0" w:space="0" w:color="auto"/>
                                <w:bottom w:val="none" w:sz="0" w:space="0" w:color="auto"/>
                                <w:right w:val="none" w:sz="0" w:space="0" w:color="auto"/>
                              </w:divBdr>
                              <w:divsChild>
                                <w:div w:id="367529577">
                                  <w:marLeft w:val="0"/>
                                  <w:marRight w:val="0"/>
                                  <w:marTop w:val="0"/>
                                  <w:marBottom w:val="0"/>
                                  <w:divBdr>
                                    <w:top w:val="none" w:sz="0" w:space="0" w:color="auto"/>
                                    <w:left w:val="none" w:sz="0" w:space="0" w:color="auto"/>
                                    <w:bottom w:val="none" w:sz="0" w:space="0" w:color="auto"/>
                                    <w:right w:val="none" w:sz="0" w:space="0" w:color="auto"/>
                                  </w:divBdr>
                                  <w:divsChild>
                                    <w:div w:id="1310087839">
                                      <w:marLeft w:val="0"/>
                                      <w:marRight w:val="0"/>
                                      <w:marTop w:val="0"/>
                                      <w:marBottom w:val="0"/>
                                      <w:divBdr>
                                        <w:top w:val="none" w:sz="0" w:space="0" w:color="auto"/>
                                        <w:left w:val="none" w:sz="0" w:space="0" w:color="auto"/>
                                        <w:bottom w:val="none" w:sz="0" w:space="0" w:color="auto"/>
                                        <w:right w:val="none" w:sz="0" w:space="0" w:color="auto"/>
                                      </w:divBdr>
                                      <w:divsChild>
                                        <w:div w:id="932935624">
                                          <w:marLeft w:val="0"/>
                                          <w:marRight w:val="0"/>
                                          <w:marTop w:val="0"/>
                                          <w:marBottom w:val="0"/>
                                          <w:divBdr>
                                            <w:top w:val="none" w:sz="0" w:space="0" w:color="auto"/>
                                            <w:left w:val="none" w:sz="0" w:space="0" w:color="auto"/>
                                            <w:bottom w:val="none" w:sz="0" w:space="0" w:color="auto"/>
                                            <w:right w:val="none" w:sz="0" w:space="0" w:color="auto"/>
                                          </w:divBdr>
                                          <w:divsChild>
                                            <w:div w:id="814833832">
                                              <w:marLeft w:val="0"/>
                                              <w:marRight w:val="0"/>
                                              <w:marTop w:val="0"/>
                                              <w:marBottom w:val="0"/>
                                              <w:divBdr>
                                                <w:top w:val="none" w:sz="0" w:space="0" w:color="auto"/>
                                                <w:left w:val="none" w:sz="0" w:space="0" w:color="auto"/>
                                                <w:bottom w:val="none" w:sz="0" w:space="0" w:color="auto"/>
                                                <w:right w:val="none" w:sz="0" w:space="0" w:color="auto"/>
                                              </w:divBdr>
                                              <w:divsChild>
                                                <w:div w:id="811216866">
                                                  <w:marLeft w:val="0"/>
                                                  <w:marRight w:val="0"/>
                                                  <w:marTop w:val="0"/>
                                                  <w:marBottom w:val="0"/>
                                                  <w:divBdr>
                                                    <w:top w:val="none" w:sz="0" w:space="0" w:color="auto"/>
                                                    <w:left w:val="none" w:sz="0" w:space="0" w:color="auto"/>
                                                    <w:bottom w:val="none" w:sz="0" w:space="0" w:color="auto"/>
                                                    <w:right w:val="none" w:sz="0" w:space="0" w:color="auto"/>
                                                  </w:divBdr>
                                                </w:div>
                                                <w:div w:id="205535156">
                                                  <w:marLeft w:val="0"/>
                                                  <w:marRight w:val="0"/>
                                                  <w:marTop w:val="0"/>
                                                  <w:marBottom w:val="0"/>
                                                  <w:divBdr>
                                                    <w:top w:val="none" w:sz="0" w:space="0" w:color="auto"/>
                                                    <w:left w:val="none" w:sz="0" w:space="0" w:color="auto"/>
                                                    <w:bottom w:val="none" w:sz="0" w:space="0" w:color="auto"/>
                                                    <w:right w:val="none" w:sz="0" w:space="0" w:color="auto"/>
                                                  </w:divBdr>
                                                  <w:divsChild>
                                                    <w:div w:id="339284223">
                                                      <w:marLeft w:val="0"/>
                                                      <w:marRight w:val="0"/>
                                                      <w:marTop w:val="0"/>
                                                      <w:marBottom w:val="0"/>
                                                      <w:divBdr>
                                                        <w:top w:val="none" w:sz="0" w:space="0" w:color="auto"/>
                                                        <w:left w:val="none" w:sz="0" w:space="0" w:color="auto"/>
                                                        <w:bottom w:val="none" w:sz="0" w:space="0" w:color="auto"/>
                                                        <w:right w:val="none" w:sz="0" w:space="0" w:color="auto"/>
                                                      </w:divBdr>
                                                    </w:div>
                                                  </w:divsChild>
                                                </w:div>
                                                <w:div w:id="1390765708">
                                                  <w:marLeft w:val="0"/>
                                                  <w:marRight w:val="0"/>
                                                  <w:marTop w:val="0"/>
                                                  <w:marBottom w:val="0"/>
                                                  <w:divBdr>
                                                    <w:top w:val="none" w:sz="0" w:space="0" w:color="auto"/>
                                                    <w:left w:val="none" w:sz="0" w:space="0" w:color="auto"/>
                                                    <w:bottom w:val="none" w:sz="0" w:space="0" w:color="auto"/>
                                                    <w:right w:val="none" w:sz="0" w:space="0" w:color="auto"/>
                                                  </w:divBdr>
                                                  <w:divsChild>
                                                    <w:div w:id="427963227">
                                                      <w:marLeft w:val="0"/>
                                                      <w:marRight w:val="0"/>
                                                      <w:marTop w:val="0"/>
                                                      <w:marBottom w:val="0"/>
                                                      <w:divBdr>
                                                        <w:top w:val="none" w:sz="0" w:space="0" w:color="auto"/>
                                                        <w:left w:val="none" w:sz="0" w:space="0" w:color="auto"/>
                                                        <w:bottom w:val="none" w:sz="0" w:space="0" w:color="auto"/>
                                                        <w:right w:val="none" w:sz="0" w:space="0" w:color="auto"/>
                                                      </w:divBdr>
                                                    </w:div>
                                                  </w:divsChild>
                                                </w:div>
                                                <w:div w:id="1758551590">
                                                  <w:marLeft w:val="0"/>
                                                  <w:marRight w:val="0"/>
                                                  <w:marTop w:val="0"/>
                                                  <w:marBottom w:val="0"/>
                                                  <w:divBdr>
                                                    <w:top w:val="none" w:sz="0" w:space="0" w:color="auto"/>
                                                    <w:left w:val="none" w:sz="0" w:space="0" w:color="auto"/>
                                                    <w:bottom w:val="none" w:sz="0" w:space="0" w:color="auto"/>
                                                    <w:right w:val="none" w:sz="0" w:space="0" w:color="auto"/>
                                                  </w:divBdr>
                                                </w:div>
                                                <w:div w:id="1814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7817">
      <w:bodyDiv w:val="1"/>
      <w:marLeft w:val="0"/>
      <w:marRight w:val="0"/>
      <w:marTop w:val="0"/>
      <w:marBottom w:val="0"/>
      <w:divBdr>
        <w:top w:val="none" w:sz="0" w:space="0" w:color="auto"/>
        <w:left w:val="none" w:sz="0" w:space="0" w:color="auto"/>
        <w:bottom w:val="none" w:sz="0" w:space="0" w:color="auto"/>
        <w:right w:val="none" w:sz="0" w:space="0" w:color="auto"/>
      </w:divBdr>
      <w:divsChild>
        <w:div w:id="1010448671">
          <w:marLeft w:val="0"/>
          <w:marRight w:val="0"/>
          <w:marTop w:val="0"/>
          <w:marBottom w:val="0"/>
          <w:divBdr>
            <w:top w:val="none" w:sz="0" w:space="0" w:color="auto"/>
            <w:left w:val="none" w:sz="0" w:space="0" w:color="auto"/>
            <w:bottom w:val="none" w:sz="0" w:space="0" w:color="auto"/>
            <w:right w:val="none" w:sz="0" w:space="0" w:color="auto"/>
          </w:divBdr>
          <w:divsChild>
            <w:div w:id="761293526">
              <w:marLeft w:val="0"/>
              <w:marRight w:val="0"/>
              <w:marTop w:val="0"/>
              <w:marBottom w:val="0"/>
              <w:divBdr>
                <w:top w:val="none" w:sz="0" w:space="0" w:color="auto"/>
                <w:left w:val="none" w:sz="0" w:space="0" w:color="auto"/>
                <w:bottom w:val="none" w:sz="0" w:space="0" w:color="auto"/>
                <w:right w:val="none" w:sz="0" w:space="0" w:color="auto"/>
              </w:divBdr>
              <w:divsChild>
                <w:div w:id="1363628382">
                  <w:marLeft w:val="0"/>
                  <w:marRight w:val="0"/>
                  <w:marTop w:val="100"/>
                  <w:marBottom w:val="100"/>
                  <w:divBdr>
                    <w:top w:val="none" w:sz="0" w:space="0" w:color="auto"/>
                    <w:left w:val="none" w:sz="0" w:space="0" w:color="auto"/>
                    <w:bottom w:val="none" w:sz="0" w:space="0" w:color="auto"/>
                    <w:right w:val="none" w:sz="0" w:space="0" w:color="auto"/>
                  </w:divBdr>
                  <w:divsChild>
                    <w:div w:id="934899452">
                      <w:marLeft w:val="0"/>
                      <w:marRight w:val="0"/>
                      <w:marTop w:val="0"/>
                      <w:marBottom w:val="0"/>
                      <w:divBdr>
                        <w:top w:val="none" w:sz="0" w:space="0" w:color="auto"/>
                        <w:left w:val="none" w:sz="0" w:space="0" w:color="auto"/>
                        <w:bottom w:val="none" w:sz="0" w:space="0" w:color="auto"/>
                        <w:right w:val="none" w:sz="0" w:space="0" w:color="auto"/>
                      </w:divBdr>
                      <w:divsChild>
                        <w:div w:id="1474636404">
                          <w:marLeft w:val="0"/>
                          <w:marRight w:val="0"/>
                          <w:marTop w:val="0"/>
                          <w:marBottom w:val="0"/>
                          <w:divBdr>
                            <w:top w:val="none" w:sz="0" w:space="0" w:color="auto"/>
                            <w:left w:val="none" w:sz="0" w:space="0" w:color="auto"/>
                            <w:bottom w:val="none" w:sz="0" w:space="0" w:color="auto"/>
                            <w:right w:val="none" w:sz="0" w:space="0" w:color="auto"/>
                          </w:divBdr>
                          <w:divsChild>
                            <w:div w:id="374744959">
                              <w:marLeft w:val="0"/>
                              <w:marRight w:val="0"/>
                              <w:marTop w:val="0"/>
                              <w:marBottom w:val="0"/>
                              <w:divBdr>
                                <w:top w:val="none" w:sz="0" w:space="0" w:color="auto"/>
                                <w:left w:val="none" w:sz="0" w:space="0" w:color="auto"/>
                                <w:bottom w:val="none" w:sz="0" w:space="0" w:color="auto"/>
                                <w:right w:val="none" w:sz="0" w:space="0" w:color="auto"/>
                              </w:divBdr>
                              <w:divsChild>
                                <w:div w:id="1652757719">
                                  <w:marLeft w:val="0"/>
                                  <w:marRight w:val="0"/>
                                  <w:marTop w:val="0"/>
                                  <w:marBottom w:val="0"/>
                                  <w:divBdr>
                                    <w:top w:val="none" w:sz="0" w:space="0" w:color="auto"/>
                                    <w:left w:val="none" w:sz="0" w:space="0" w:color="auto"/>
                                    <w:bottom w:val="none" w:sz="0" w:space="0" w:color="auto"/>
                                    <w:right w:val="none" w:sz="0" w:space="0" w:color="auto"/>
                                  </w:divBdr>
                                  <w:divsChild>
                                    <w:div w:id="1113356753">
                                      <w:marLeft w:val="0"/>
                                      <w:marRight w:val="0"/>
                                      <w:marTop w:val="0"/>
                                      <w:marBottom w:val="0"/>
                                      <w:divBdr>
                                        <w:top w:val="none" w:sz="0" w:space="0" w:color="auto"/>
                                        <w:left w:val="none" w:sz="0" w:space="0" w:color="auto"/>
                                        <w:bottom w:val="none" w:sz="0" w:space="0" w:color="auto"/>
                                        <w:right w:val="none" w:sz="0" w:space="0" w:color="auto"/>
                                      </w:divBdr>
                                      <w:divsChild>
                                        <w:div w:id="208228773">
                                          <w:marLeft w:val="0"/>
                                          <w:marRight w:val="0"/>
                                          <w:marTop w:val="0"/>
                                          <w:marBottom w:val="0"/>
                                          <w:divBdr>
                                            <w:top w:val="none" w:sz="0" w:space="0" w:color="auto"/>
                                            <w:left w:val="none" w:sz="0" w:space="0" w:color="auto"/>
                                            <w:bottom w:val="none" w:sz="0" w:space="0" w:color="auto"/>
                                            <w:right w:val="none" w:sz="0" w:space="0" w:color="auto"/>
                                          </w:divBdr>
                                          <w:divsChild>
                                            <w:div w:id="504050241">
                                              <w:marLeft w:val="0"/>
                                              <w:marRight w:val="0"/>
                                              <w:marTop w:val="0"/>
                                              <w:marBottom w:val="0"/>
                                              <w:divBdr>
                                                <w:top w:val="single" w:sz="4" w:space="0" w:color="B6D444"/>
                                                <w:left w:val="none" w:sz="0" w:space="0" w:color="auto"/>
                                                <w:bottom w:val="none" w:sz="0" w:space="0" w:color="auto"/>
                                                <w:right w:val="none" w:sz="0" w:space="0" w:color="auto"/>
                                              </w:divBdr>
                                              <w:divsChild>
                                                <w:div w:id="5356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20377">
      <w:bodyDiv w:val="1"/>
      <w:marLeft w:val="0"/>
      <w:marRight w:val="0"/>
      <w:marTop w:val="0"/>
      <w:marBottom w:val="0"/>
      <w:divBdr>
        <w:top w:val="none" w:sz="0" w:space="0" w:color="auto"/>
        <w:left w:val="none" w:sz="0" w:space="0" w:color="auto"/>
        <w:bottom w:val="none" w:sz="0" w:space="0" w:color="auto"/>
        <w:right w:val="none" w:sz="0" w:space="0" w:color="auto"/>
      </w:divBdr>
    </w:div>
    <w:div w:id="18817626">
      <w:bodyDiv w:val="1"/>
      <w:marLeft w:val="0"/>
      <w:marRight w:val="0"/>
      <w:marTop w:val="0"/>
      <w:marBottom w:val="0"/>
      <w:divBdr>
        <w:top w:val="none" w:sz="0" w:space="0" w:color="auto"/>
        <w:left w:val="none" w:sz="0" w:space="0" w:color="auto"/>
        <w:bottom w:val="none" w:sz="0" w:space="0" w:color="auto"/>
        <w:right w:val="none" w:sz="0" w:space="0" w:color="auto"/>
      </w:divBdr>
    </w:div>
    <w:div w:id="19624458">
      <w:bodyDiv w:val="1"/>
      <w:marLeft w:val="0"/>
      <w:marRight w:val="0"/>
      <w:marTop w:val="0"/>
      <w:marBottom w:val="0"/>
      <w:divBdr>
        <w:top w:val="none" w:sz="0" w:space="0" w:color="auto"/>
        <w:left w:val="none" w:sz="0" w:space="0" w:color="auto"/>
        <w:bottom w:val="none" w:sz="0" w:space="0" w:color="auto"/>
        <w:right w:val="none" w:sz="0" w:space="0" w:color="auto"/>
      </w:divBdr>
      <w:divsChild>
        <w:div w:id="1906640866">
          <w:marLeft w:val="0"/>
          <w:marRight w:val="0"/>
          <w:marTop w:val="0"/>
          <w:marBottom w:val="0"/>
          <w:divBdr>
            <w:top w:val="none" w:sz="0" w:space="0" w:color="auto"/>
            <w:left w:val="none" w:sz="0" w:space="0" w:color="auto"/>
            <w:bottom w:val="none" w:sz="0" w:space="0" w:color="auto"/>
            <w:right w:val="none" w:sz="0" w:space="0" w:color="auto"/>
          </w:divBdr>
          <w:divsChild>
            <w:div w:id="1960186754">
              <w:marLeft w:val="0"/>
              <w:marRight w:val="0"/>
              <w:marTop w:val="0"/>
              <w:marBottom w:val="0"/>
              <w:divBdr>
                <w:top w:val="none" w:sz="0" w:space="0" w:color="auto"/>
                <w:left w:val="none" w:sz="0" w:space="0" w:color="auto"/>
                <w:bottom w:val="none" w:sz="0" w:space="0" w:color="auto"/>
                <w:right w:val="none" w:sz="0" w:space="0" w:color="auto"/>
              </w:divBdr>
              <w:divsChild>
                <w:div w:id="330910571">
                  <w:marLeft w:val="-225"/>
                  <w:marRight w:val="-225"/>
                  <w:marTop w:val="0"/>
                  <w:marBottom w:val="0"/>
                  <w:divBdr>
                    <w:top w:val="none" w:sz="0" w:space="0" w:color="auto"/>
                    <w:left w:val="none" w:sz="0" w:space="0" w:color="auto"/>
                    <w:bottom w:val="none" w:sz="0" w:space="0" w:color="auto"/>
                    <w:right w:val="none" w:sz="0" w:space="0" w:color="auto"/>
                  </w:divBdr>
                  <w:divsChild>
                    <w:div w:id="1541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921">
      <w:bodyDiv w:val="1"/>
      <w:marLeft w:val="0"/>
      <w:marRight w:val="0"/>
      <w:marTop w:val="0"/>
      <w:marBottom w:val="0"/>
      <w:divBdr>
        <w:top w:val="none" w:sz="0" w:space="0" w:color="auto"/>
        <w:left w:val="none" w:sz="0" w:space="0" w:color="auto"/>
        <w:bottom w:val="none" w:sz="0" w:space="0" w:color="auto"/>
        <w:right w:val="none" w:sz="0" w:space="0" w:color="auto"/>
      </w:divBdr>
      <w:divsChild>
        <w:div w:id="403719807">
          <w:marLeft w:val="0"/>
          <w:marRight w:val="0"/>
          <w:marTop w:val="0"/>
          <w:marBottom w:val="0"/>
          <w:divBdr>
            <w:top w:val="none" w:sz="0" w:space="0" w:color="auto"/>
            <w:left w:val="none" w:sz="0" w:space="0" w:color="auto"/>
            <w:bottom w:val="none" w:sz="0" w:space="0" w:color="auto"/>
            <w:right w:val="none" w:sz="0" w:space="0" w:color="auto"/>
          </w:divBdr>
          <w:divsChild>
            <w:div w:id="688410136">
              <w:marLeft w:val="0"/>
              <w:marRight w:val="0"/>
              <w:marTop w:val="0"/>
              <w:marBottom w:val="0"/>
              <w:divBdr>
                <w:top w:val="none" w:sz="0" w:space="0" w:color="auto"/>
                <w:left w:val="none" w:sz="0" w:space="0" w:color="auto"/>
                <w:bottom w:val="none" w:sz="0" w:space="0" w:color="auto"/>
                <w:right w:val="none" w:sz="0" w:space="0" w:color="auto"/>
              </w:divBdr>
              <w:divsChild>
                <w:div w:id="103770404">
                  <w:marLeft w:val="-375"/>
                  <w:marRight w:val="0"/>
                  <w:marTop w:val="0"/>
                  <w:marBottom w:val="0"/>
                  <w:divBdr>
                    <w:top w:val="none" w:sz="0" w:space="0" w:color="auto"/>
                    <w:left w:val="none" w:sz="0" w:space="0" w:color="auto"/>
                    <w:bottom w:val="none" w:sz="0" w:space="0" w:color="auto"/>
                    <w:right w:val="none" w:sz="0" w:space="0" w:color="auto"/>
                  </w:divBdr>
                  <w:divsChild>
                    <w:div w:id="832717772">
                      <w:marLeft w:val="0"/>
                      <w:marRight w:val="0"/>
                      <w:marTop w:val="0"/>
                      <w:marBottom w:val="0"/>
                      <w:divBdr>
                        <w:top w:val="none" w:sz="0" w:space="0" w:color="auto"/>
                        <w:left w:val="none" w:sz="0" w:space="0" w:color="auto"/>
                        <w:bottom w:val="none" w:sz="0" w:space="0" w:color="auto"/>
                        <w:right w:val="none" w:sz="0" w:space="0" w:color="auto"/>
                      </w:divBdr>
                      <w:divsChild>
                        <w:div w:id="1780176426">
                          <w:marLeft w:val="0"/>
                          <w:marRight w:val="0"/>
                          <w:marTop w:val="0"/>
                          <w:marBottom w:val="0"/>
                          <w:divBdr>
                            <w:top w:val="none" w:sz="0" w:space="0" w:color="auto"/>
                            <w:left w:val="none" w:sz="0" w:space="0" w:color="auto"/>
                            <w:bottom w:val="none" w:sz="0" w:space="0" w:color="auto"/>
                            <w:right w:val="none" w:sz="0" w:space="0" w:color="auto"/>
                          </w:divBdr>
                          <w:divsChild>
                            <w:div w:id="2095734506">
                              <w:marLeft w:val="-375"/>
                              <w:marRight w:val="0"/>
                              <w:marTop w:val="0"/>
                              <w:marBottom w:val="0"/>
                              <w:divBdr>
                                <w:top w:val="none" w:sz="0" w:space="0" w:color="auto"/>
                                <w:left w:val="none" w:sz="0" w:space="0" w:color="auto"/>
                                <w:bottom w:val="none" w:sz="0" w:space="0" w:color="auto"/>
                                <w:right w:val="none" w:sz="0" w:space="0" w:color="auto"/>
                              </w:divBdr>
                              <w:divsChild>
                                <w:div w:id="549271139">
                                  <w:marLeft w:val="0"/>
                                  <w:marRight w:val="0"/>
                                  <w:marTop w:val="0"/>
                                  <w:marBottom w:val="0"/>
                                  <w:divBdr>
                                    <w:top w:val="none" w:sz="0" w:space="0" w:color="auto"/>
                                    <w:left w:val="none" w:sz="0" w:space="0" w:color="auto"/>
                                    <w:bottom w:val="none" w:sz="0" w:space="0" w:color="auto"/>
                                    <w:right w:val="none" w:sz="0" w:space="0" w:color="auto"/>
                                  </w:divBdr>
                                  <w:divsChild>
                                    <w:div w:id="1008602509">
                                      <w:marLeft w:val="-375"/>
                                      <w:marRight w:val="0"/>
                                      <w:marTop w:val="0"/>
                                      <w:marBottom w:val="0"/>
                                      <w:divBdr>
                                        <w:top w:val="none" w:sz="0" w:space="0" w:color="auto"/>
                                        <w:left w:val="none" w:sz="0" w:space="0" w:color="auto"/>
                                        <w:bottom w:val="none" w:sz="0" w:space="0" w:color="auto"/>
                                        <w:right w:val="none" w:sz="0" w:space="0" w:color="auto"/>
                                      </w:divBdr>
                                      <w:divsChild>
                                        <w:div w:id="154302158">
                                          <w:marLeft w:val="0"/>
                                          <w:marRight w:val="0"/>
                                          <w:marTop w:val="0"/>
                                          <w:marBottom w:val="0"/>
                                          <w:divBdr>
                                            <w:top w:val="none" w:sz="0" w:space="0" w:color="auto"/>
                                            <w:left w:val="none" w:sz="0" w:space="0" w:color="auto"/>
                                            <w:bottom w:val="none" w:sz="0" w:space="0" w:color="auto"/>
                                            <w:right w:val="none" w:sz="0" w:space="0" w:color="auto"/>
                                          </w:divBdr>
                                        </w:div>
                                        <w:div w:id="1717701451">
                                          <w:marLeft w:val="0"/>
                                          <w:marRight w:val="0"/>
                                          <w:marTop w:val="0"/>
                                          <w:marBottom w:val="0"/>
                                          <w:divBdr>
                                            <w:top w:val="none" w:sz="0" w:space="0" w:color="auto"/>
                                            <w:left w:val="none" w:sz="0" w:space="0" w:color="auto"/>
                                            <w:bottom w:val="none" w:sz="0" w:space="0" w:color="auto"/>
                                            <w:right w:val="none" w:sz="0" w:space="0" w:color="auto"/>
                                          </w:divBdr>
                                        </w:div>
                                      </w:divsChild>
                                    </w:div>
                                    <w:div w:id="958874900">
                                      <w:marLeft w:val="-375"/>
                                      <w:marRight w:val="0"/>
                                      <w:marTop w:val="0"/>
                                      <w:marBottom w:val="0"/>
                                      <w:divBdr>
                                        <w:top w:val="none" w:sz="0" w:space="0" w:color="auto"/>
                                        <w:left w:val="none" w:sz="0" w:space="0" w:color="auto"/>
                                        <w:bottom w:val="none" w:sz="0" w:space="0" w:color="auto"/>
                                        <w:right w:val="none" w:sz="0" w:space="0" w:color="auto"/>
                                      </w:divBdr>
                                      <w:divsChild>
                                        <w:div w:id="1923445354">
                                          <w:marLeft w:val="0"/>
                                          <w:marRight w:val="0"/>
                                          <w:marTop w:val="0"/>
                                          <w:marBottom w:val="0"/>
                                          <w:divBdr>
                                            <w:top w:val="none" w:sz="0" w:space="0" w:color="auto"/>
                                            <w:left w:val="none" w:sz="0" w:space="0" w:color="auto"/>
                                            <w:bottom w:val="none" w:sz="0" w:space="0" w:color="auto"/>
                                            <w:right w:val="none" w:sz="0" w:space="0" w:color="auto"/>
                                          </w:divBdr>
                                        </w:div>
                                        <w:div w:id="19105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1138">
      <w:bodyDiv w:val="1"/>
      <w:marLeft w:val="0"/>
      <w:marRight w:val="0"/>
      <w:marTop w:val="0"/>
      <w:marBottom w:val="0"/>
      <w:divBdr>
        <w:top w:val="none" w:sz="0" w:space="0" w:color="auto"/>
        <w:left w:val="none" w:sz="0" w:space="0" w:color="auto"/>
        <w:bottom w:val="none" w:sz="0" w:space="0" w:color="auto"/>
        <w:right w:val="none" w:sz="0" w:space="0" w:color="auto"/>
      </w:divBdr>
    </w:div>
    <w:div w:id="21907268">
      <w:bodyDiv w:val="1"/>
      <w:marLeft w:val="0"/>
      <w:marRight w:val="0"/>
      <w:marTop w:val="0"/>
      <w:marBottom w:val="0"/>
      <w:divBdr>
        <w:top w:val="none" w:sz="0" w:space="0" w:color="auto"/>
        <w:left w:val="none" w:sz="0" w:space="0" w:color="auto"/>
        <w:bottom w:val="none" w:sz="0" w:space="0" w:color="auto"/>
        <w:right w:val="none" w:sz="0" w:space="0" w:color="auto"/>
      </w:divBdr>
      <w:divsChild>
        <w:div w:id="478569729">
          <w:marLeft w:val="0"/>
          <w:marRight w:val="0"/>
          <w:marTop w:val="0"/>
          <w:marBottom w:val="0"/>
          <w:divBdr>
            <w:top w:val="none" w:sz="0" w:space="0" w:color="auto"/>
            <w:left w:val="none" w:sz="0" w:space="0" w:color="auto"/>
            <w:bottom w:val="none" w:sz="0" w:space="0" w:color="auto"/>
            <w:right w:val="none" w:sz="0" w:space="0" w:color="auto"/>
          </w:divBdr>
          <w:divsChild>
            <w:div w:id="1655525452">
              <w:marLeft w:val="0"/>
              <w:marRight w:val="0"/>
              <w:marTop w:val="0"/>
              <w:marBottom w:val="0"/>
              <w:divBdr>
                <w:top w:val="none" w:sz="0" w:space="0" w:color="auto"/>
                <w:left w:val="none" w:sz="0" w:space="0" w:color="auto"/>
                <w:bottom w:val="none" w:sz="0" w:space="0" w:color="auto"/>
                <w:right w:val="none" w:sz="0" w:space="0" w:color="auto"/>
              </w:divBdr>
              <w:divsChild>
                <w:div w:id="1570264740">
                  <w:marLeft w:val="0"/>
                  <w:marRight w:val="0"/>
                  <w:marTop w:val="0"/>
                  <w:marBottom w:val="0"/>
                  <w:divBdr>
                    <w:top w:val="none" w:sz="0" w:space="0" w:color="auto"/>
                    <w:left w:val="none" w:sz="0" w:space="0" w:color="auto"/>
                    <w:bottom w:val="none" w:sz="0" w:space="0" w:color="auto"/>
                    <w:right w:val="none" w:sz="0" w:space="0" w:color="auto"/>
                  </w:divBdr>
                  <w:divsChild>
                    <w:div w:id="1934436464">
                      <w:marLeft w:val="0"/>
                      <w:marRight w:val="0"/>
                      <w:marTop w:val="0"/>
                      <w:marBottom w:val="0"/>
                      <w:divBdr>
                        <w:top w:val="none" w:sz="0" w:space="0" w:color="auto"/>
                        <w:left w:val="none" w:sz="0" w:space="0" w:color="auto"/>
                        <w:bottom w:val="none" w:sz="0" w:space="0" w:color="auto"/>
                        <w:right w:val="none" w:sz="0" w:space="0" w:color="auto"/>
                      </w:divBdr>
                      <w:divsChild>
                        <w:div w:id="1098329104">
                          <w:marLeft w:val="0"/>
                          <w:marRight w:val="0"/>
                          <w:marTop w:val="0"/>
                          <w:marBottom w:val="0"/>
                          <w:divBdr>
                            <w:top w:val="none" w:sz="0" w:space="0" w:color="auto"/>
                            <w:left w:val="none" w:sz="0" w:space="0" w:color="auto"/>
                            <w:bottom w:val="none" w:sz="0" w:space="0" w:color="auto"/>
                            <w:right w:val="none" w:sz="0" w:space="0" w:color="auto"/>
                          </w:divBdr>
                          <w:divsChild>
                            <w:div w:id="270671262">
                              <w:marLeft w:val="0"/>
                              <w:marRight w:val="0"/>
                              <w:marTop w:val="0"/>
                              <w:marBottom w:val="0"/>
                              <w:divBdr>
                                <w:top w:val="none" w:sz="0" w:space="0" w:color="auto"/>
                                <w:left w:val="none" w:sz="0" w:space="0" w:color="auto"/>
                                <w:bottom w:val="none" w:sz="0" w:space="0" w:color="auto"/>
                                <w:right w:val="none" w:sz="0" w:space="0" w:color="auto"/>
                              </w:divBdr>
                              <w:divsChild>
                                <w:div w:id="978150951">
                                  <w:marLeft w:val="0"/>
                                  <w:marRight w:val="0"/>
                                  <w:marTop w:val="0"/>
                                  <w:marBottom w:val="0"/>
                                  <w:divBdr>
                                    <w:top w:val="none" w:sz="0" w:space="0" w:color="auto"/>
                                    <w:left w:val="none" w:sz="0" w:space="0" w:color="auto"/>
                                    <w:bottom w:val="none" w:sz="0" w:space="0" w:color="auto"/>
                                    <w:right w:val="none" w:sz="0" w:space="0" w:color="auto"/>
                                  </w:divBdr>
                                  <w:divsChild>
                                    <w:div w:id="67650936">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1626157072">
                                              <w:marLeft w:val="0"/>
                                              <w:marRight w:val="0"/>
                                              <w:marTop w:val="0"/>
                                              <w:marBottom w:val="0"/>
                                              <w:divBdr>
                                                <w:top w:val="none" w:sz="0" w:space="0" w:color="auto"/>
                                                <w:left w:val="none" w:sz="0" w:space="0" w:color="auto"/>
                                                <w:bottom w:val="none" w:sz="0" w:space="0" w:color="auto"/>
                                                <w:right w:val="none" w:sz="0" w:space="0" w:color="auto"/>
                                              </w:divBdr>
                                              <w:divsChild>
                                                <w:div w:id="1710177897">
                                                  <w:marLeft w:val="0"/>
                                                  <w:marRight w:val="0"/>
                                                  <w:marTop w:val="0"/>
                                                  <w:marBottom w:val="0"/>
                                                  <w:divBdr>
                                                    <w:top w:val="none" w:sz="0" w:space="0" w:color="auto"/>
                                                    <w:left w:val="none" w:sz="0" w:space="0" w:color="auto"/>
                                                    <w:bottom w:val="none" w:sz="0" w:space="0" w:color="auto"/>
                                                    <w:right w:val="none" w:sz="0" w:space="0" w:color="auto"/>
                                                  </w:divBdr>
                                                  <w:divsChild>
                                                    <w:div w:id="321592198">
                                                      <w:marLeft w:val="0"/>
                                                      <w:marRight w:val="0"/>
                                                      <w:marTop w:val="0"/>
                                                      <w:marBottom w:val="0"/>
                                                      <w:divBdr>
                                                        <w:top w:val="none" w:sz="0" w:space="0" w:color="auto"/>
                                                        <w:left w:val="none" w:sz="0" w:space="0" w:color="auto"/>
                                                        <w:bottom w:val="none" w:sz="0" w:space="0" w:color="auto"/>
                                                        <w:right w:val="none" w:sz="0" w:space="0" w:color="auto"/>
                                                      </w:divBdr>
                                                      <w:divsChild>
                                                        <w:div w:id="122507004">
                                                          <w:marLeft w:val="0"/>
                                                          <w:marRight w:val="0"/>
                                                          <w:marTop w:val="0"/>
                                                          <w:marBottom w:val="0"/>
                                                          <w:divBdr>
                                                            <w:top w:val="none" w:sz="0" w:space="0" w:color="auto"/>
                                                            <w:left w:val="none" w:sz="0" w:space="0" w:color="auto"/>
                                                            <w:bottom w:val="none" w:sz="0" w:space="0" w:color="auto"/>
                                                            <w:right w:val="none" w:sz="0" w:space="0" w:color="auto"/>
                                                          </w:divBdr>
                                                        </w:div>
                                                        <w:div w:id="1963224352">
                                                          <w:marLeft w:val="0"/>
                                                          <w:marRight w:val="0"/>
                                                          <w:marTop w:val="0"/>
                                                          <w:marBottom w:val="0"/>
                                                          <w:divBdr>
                                                            <w:top w:val="none" w:sz="0" w:space="0" w:color="auto"/>
                                                            <w:left w:val="none" w:sz="0" w:space="0" w:color="auto"/>
                                                            <w:bottom w:val="none" w:sz="0" w:space="0" w:color="auto"/>
                                                            <w:right w:val="none" w:sz="0" w:space="0" w:color="auto"/>
                                                          </w:divBdr>
                                                          <w:divsChild>
                                                            <w:div w:id="9853565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754694">
      <w:bodyDiv w:val="1"/>
      <w:marLeft w:val="0"/>
      <w:marRight w:val="0"/>
      <w:marTop w:val="0"/>
      <w:marBottom w:val="0"/>
      <w:divBdr>
        <w:top w:val="none" w:sz="0" w:space="0" w:color="auto"/>
        <w:left w:val="none" w:sz="0" w:space="0" w:color="auto"/>
        <w:bottom w:val="none" w:sz="0" w:space="0" w:color="auto"/>
        <w:right w:val="none" w:sz="0" w:space="0" w:color="auto"/>
      </w:divBdr>
      <w:divsChild>
        <w:div w:id="623198352">
          <w:marLeft w:val="0"/>
          <w:marRight w:val="0"/>
          <w:marTop w:val="0"/>
          <w:marBottom w:val="0"/>
          <w:divBdr>
            <w:top w:val="none" w:sz="0" w:space="0" w:color="auto"/>
            <w:left w:val="none" w:sz="0" w:space="0" w:color="auto"/>
            <w:bottom w:val="none" w:sz="0" w:space="0" w:color="auto"/>
            <w:right w:val="none" w:sz="0" w:space="0" w:color="auto"/>
          </w:divBdr>
          <w:divsChild>
            <w:div w:id="147133192">
              <w:marLeft w:val="-225"/>
              <w:marRight w:val="-225"/>
              <w:marTop w:val="0"/>
              <w:marBottom w:val="0"/>
              <w:divBdr>
                <w:top w:val="none" w:sz="0" w:space="0" w:color="auto"/>
                <w:left w:val="none" w:sz="0" w:space="0" w:color="auto"/>
                <w:bottom w:val="none" w:sz="0" w:space="0" w:color="auto"/>
                <w:right w:val="none" w:sz="0" w:space="0" w:color="auto"/>
              </w:divBdr>
              <w:divsChild>
                <w:div w:id="1933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4626">
      <w:bodyDiv w:val="1"/>
      <w:marLeft w:val="0"/>
      <w:marRight w:val="0"/>
      <w:marTop w:val="0"/>
      <w:marBottom w:val="0"/>
      <w:divBdr>
        <w:top w:val="none" w:sz="0" w:space="0" w:color="auto"/>
        <w:left w:val="none" w:sz="0" w:space="0" w:color="auto"/>
        <w:bottom w:val="none" w:sz="0" w:space="0" w:color="auto"/>
        <w:right w:val="none" w:sz="0" w:space="0" w:color="auto"/>
      </w:divBdr>
    </w:div>
    <w:div w:id="25954498">
      <w:bodyDiv w:val="1"/>
      <w:marLeft w:val="0"/>
      <w:marRight w:val="0"/>
      <w:marTop w:val="0"/>
      <w:marBottom w:val="0"/>
      <w:divBdr>
        <w:top w:val="none" w:sz="0" w:space="0" w:color="auto"/>
        <w:left w:val="none" w:sz="0" w:space="0" w:color="auto"/>
        <w:bottom w:val="none" w:sz="0" w:space="0" w:color="auto"/>
        <w:right w:val="none" w:sz="0" w:space="0" w:color="auto"/>
      </w:divBdr>
      <w:divsChild>
        <w:div w:id="944389931">
          <w:marLeft w:val="0"/>
          <w:marRight w:val="0"/>
          <w:marTop w:val="0"/>
          <w:marBottom w:val="0"/>
          <w:divBdr>
            <w:top w:val="none" w:sz="0" w:space="0" w:color="auto"/>
            <w:left w:val="none" w:sz="0" w:space="0" w:color="auto"/>
            <w:bottom w:val="none" w:sz="0" w:space="0" w:color="auto"/>
            <w:right w:val="none" w:sz="0" w:space="0" w:color="auto"/>
          </w:divBdr>
          <w:divsChild>
            <w:div w:id="1972905184">
              <w:marLeft w:val="0"/>
              <w:marRight w:val="0"/>
              <w:marTop w:val="0"/>
              <w:marBottom w:val="0"/>
              <w:divBdr>
                <w:top w:val="none" w:sz="0" w:space="0" w:color="auto"/>
                <w:left w:val="none" w:sz="0" w:space="0" w:color="auto"/>
                <w:bottom w:val="none" w:sz="0" w:space="0" w:color="auto"/>
                <w:right w:val="none" w:sz="0" w:space="0" w:color="auto"/>
              </w:divBdr>
              <w:divsChild>
                <w:div w:id="1793359053">
                  <w:marLeft w:val="0"/>
                  <w:marRight w:val="0"/>
                  <w:marTop w:val="0"/>
                  <w:marBottom w:val="0"/>
                  <w:divBdr>
                    <w:top w:val="none" w:sz="0" w:space="0" w:color="auto"/>
                    <w:left w:val="none" w:sz="0" w:space="0" w:color="auto"/>
                    <w:bottom w:val="none" w:sz="0" w:space="0" w:color="auto"/>
                    <w:right w:val="none" w:sz="0" w:space="0" w:color="auto"/>
                  </w:divBdr>
                  <w:divsChild>
                    <w:div w:id="1777362814">
                      <w:marLeft w:val="0"/>
                      <w:marRight w:val="0"/>
                      <w:marTop w:val="0"/>
                      <w:marBottom w:val="0"/>
                      <w:divBdr>
                        <w:top w:val="none" w:sz="0" w:space="0" w:color="auto"/>
                        <w:left w:val="none" w:sz="0" w:space="0" w:color="auto"/>
                        <w:bottom w:val="none" w:sz="0" w:space="0" w:color="auto"/>
                        <w:right w:val="none" w:sz="0" w:space="0" w:color="auto"/>
                      </w:divBdr>
                      <w:divsChild>
                        <w:div w:id="96751021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6417057">
      <w:bodyDiv w:val="1"/>
      <w:marLeft w:val="0"/>
      <w:marRight w:val="0"/>
      <w:marTop w:val="0"/>
      <w:marBottom w:val="0"/>
      <w:divBdr>
        <w:top w:val="none" w:sz="0" w:space="0" w:color="auto"/>
        <w:left w:val="none" w:sz="0" w:space="0" w:color="auto"/>
        <w:bottom w:val="none" w:sz="0" w:space="0" w:color="auto"/>
        <w:right w:val="none" w:sz="0" w:space="0" w:color="auto"/>
      </w:divBdr>
    </w:div>
    <w:div w:id="26638188">
      <w:bodyDiv w:val="1"/>
      <w:marLeft w:val="0"/>
      <w:marRight w:val="0"/>
      <w:marTop w:val="0"/>
      <w:marBottom w:val="0"/>
      <w:divBdr>
        <w:top w:val="none" w:sz="0" w:space="0" w:color="auto"/>
        <w:left w:val="none" w:sz="0" w:space="0" w:color="auto"/>
        <w:bottom w:val="none" w:sz="0" w:space="0" w:color="auto"/>
        <w:right w:val="none" w:sz="0" w:space="0" w:color="auto"/>
      </w:divBdr>
      <w:divsChild>
        <w:div w:id="1805390486">
          <w:marLeft w:val="0"/>
          <w:marRight w:val="0"/>
          <w:marTop w:val="0"/>
          <w:marBottom w:val="0"/>
          <w:divBdr>
            <w:top w:val="none" w:sz="0" w:space="0" w:color="auto"/>
            <w:left w:val="none" w:sz="0" w:space="0" w:color="auto"/>
            <w:bottom w:val="none" w:sz="0" w:space="0" w:color="auto"/>
            <w:right w:val="none" w:sz="0" w:space="0" w:color="auto"/>
          </w:divBdr>
          <w:divsChild>
            <w:div w:id="1950888583">
              <w:marLeft w:val="0"/>
              <w:marRight w:val="0"/>
              <w:marTop w:val="0"/>
              <w:marBottom w:val="0"/>
              <w:divBdr>
                <w:top w:val="none" w:sz="0" w:space="0" w:color="auto"/>
                <w:left w:val="none" w:sz="0" w:space="0" w:color="auto"/>
                <w:bottom w:val="none" w:sz="0" w:space="0" w:color="auto"/>
                <w:right w:val="none" w:sz="0" w:space="0" w:color="auto"/>
              </w:divBdr>
              <w:divsChild>
                <w:div w:id="1884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824">
      <w:bodyDiv w:val="1"/>
      <w:marLeft w:val="0"/>
      <w:marRight w:val="0"/>
      <w:marTop w:val="0"/>
      <w:marBottom w:val="0"/>
      <w:divBdr>
        <w:top w:val="none" w:sz="0" w:space="0" w:color="auto"/>
        <w:left w:val="none" w:sz="0" w:space="0" w:color="auto"/>
        <w:bottom w:val="none" w:sz="0" w:space="0" w:color="auto"/>
        <w:right w:val="none" w:sz="0" w:space="0" w:color="auto"/>
      </w:divBdr>
    </w:div>
    <w:div w:id="27338938">
      <w:bodyDiv w:val="1"/>
      <w:marLeft w:val="0"/>
      <w:marRight w:val="0"/>
      <w:marTop w:val="0"/>
      <w:marBottom w:val="0"/>
      <w:divBdr>
        <w:top w:val="none" w:sz="0" w:space="0" w:color="auto"/>
        <w:left w:val="none" w:sz="0" w:space="0" w:color="auto"/>
        <w:bottom w:val="none" w:sz="0" w:space="0" w:color="auto"/>
        <w:right w:val="none" w:sz="0" w:space="0" w:color="auto"/>
      </w:divBdr>
      <w:divsChild>
        <w:div w:id="529759771">
          <w:marLeft w:val="0"/>
          <w:marRight w:val="0"/>
          <w:marTop w:val="0"/>
          <w:marBottom w:val="0"/>
          <w:divBdr>
            <w:top w:val="none" w:sz="0" w:space="0" w:color="auto"/>
            <w:left w:val="none" w:sz="0" w:space="0" w:color="auto"/>
            <w:bottom w:val="none" w:sz="0" w:space="0" w:color="auto"/>
            <w:right w:val="none" w:sz="0" w:space="0" w:color="auto"/>
          </w:divBdr>
          <w:divsChild>
            <w:div w:id="71393621">
              <w:marLeft w:val="0"/>
              <w:marRight w:val="0"/>
              <w:marTop w:val="0"/>
              <w:marBottom w:val="0"/>
              <w:divBdr>
                <w:top w:val="none" w:sz="0" w:space="0" w:color="auto"/>
                <w:left w:val="none" w:sz="0" w:space="0" w:color="auto"/>
                <w:bottom w:val="none" w:sz="0" w:space="0" w:color="auto"/>
                <w:right w:val="none" w:sz="0" w:space="0" w:color="auto"/>
              </w:divBdr>
              <w:divsChild>
                <w:div w:id="1758674585">
                  <w:marLeft w:val="0"/>
                  <w:marRight w:val="0"/>
                  <w:marTop w:val="0"/>
                  <w:marBottom w:val="0"/>
                  <w:divBdr>
                    <w:top w:val="none" w:sz="0" w:space="0" w:color="auto"/>
                    <w:left w:val="none" w:sz="0" w:space="0" w:color="auto"/>
                    <w:bottom w:val="none" w:sz="0" w:space="0" w:color="auto"/>
                    <w:right w:val="none" w:sz="0" w:space="0" w:color="auto"/>
                  </w:divBdr>
                  <w:divsChild>
                    <w:div w:id="1319386759">
                      <w:marLeft w:val="-225"/>
                      <w:marRight w:val="-225"/>
                      <w:marTop w:val="0"/>
                      <w:marBottom w:val="0"/>
                      <w:divBdr>
                        <w:top w:val="none" w:sz="0" w:space="0" w:color="auto"/>
                        <w:left w:val="none" w:sz="0" w:space="0" w:color="auto"/>
                        <w:bottom w:val="none" w:sz="0" w:space="0" w:color="auto"/>
                        <w:right w:val="none" w:sz="0" w:space="0" w:color="auto"/>
                      </w:divBdr>
                      <w:divsChild>
                        <w:div w:id="291331874">
                          <w:marLeft w:val="0"/>
                          <w:marRight w:val="0"/>
                          <w:marTop w:val="0"/>
                          <w:marBottom w:val="0"/>
                          <w:divBdr>
                            <w:top w:val="none" w:sz="0" w:space="0" w:color="auto"/>
                            <w:left w:val="none" w:sz="0" w:space="0" w:color="auto"/>
                            <w:bottom w:val="none" w:sz="0" w:space="0" w:color="auto"/>
                            <w:right w:val="none" w:sz="0" w:space="0" w:color="auto"/>
                          </w:divBdr>
                          <w:divsChild>
                            <w:div w:id="98913553">
                              <w:marLeft w:val="0"/>
                              <w:marRight w:val="0"/>
                              <w:marTop w:val="0"/>
                              <w:marBottom w:val="0"/>
                              <w:divBdr>
                                <w:top w:val="none" w:sz="0" w:space="0" w:color="auto"/>
                                <w:left w:val="none" w:sz="0" w:space="0" w:color="auto"/>
                                <w:bottom w:val="none" w:sz="0" w:space="0" w:color="auto"/>
                                <w:right w:val="none" w:sz="0" w:space="0" w:color="auto"/>
                              </w:divBdr>
                              <w:divsChild>
                                <w:div w:id="3443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9488">
      <w:bodyDiv w:val="1"/>
      <w:marLeft w:val="0"/>
      <w:marRight w:val="0"/>
      <w:marTop w:val="0"/>
      <w:marBottom w:val="0"/>
      <w:divBdr>
        <w:top w:val="none" w:sz="0" w:space="0" w:color="auto"/>
        <w:left w:val="none" w:sz="0" w:space="0" w:color="auto"/>
        <w:bottom w:val="none" w:sz="0" w:space="0" w:color="auto"/>
        <w:right w:val="none" w:sz="0" w:space="0" w:color="auto"/>
      </w:divBdr>
      <w:divsChild>
        <w:div w:id="1454514181">
          <w:marLeft w:val="0"/>
          <w:marRight w:val="0"/>
          <w:marTop w:val="0"/>
          <w:marBottom w:val="0"/>
          <w:divBdr>
            <w:top w:val="none" w:sz="0" w:space="0" w:color="auto"/>
            <w:left w:val="none" w:sz="0" w:space="0" w:color="auto"/>
            <w:bottom w:val="none" w:sz="0" w:space="0" w:color="auto"/>
            <w:right w:val="none" w:sz="0" w:space="0" w:color="auto"/>
          </w:divBdr>
          <w:divsChild>
            <w:div w:id="680132824">
              <w:marLeft w:val="0"/>
              <w:marRight w:val="0"/>
              <w:marTop w:val="0"/>
              <w:marBottom w:val="0"/>
              <w:divBdr>
                <w:top w:val="none" w:sz="0" w:space="0" w:color="auto"/>
                <w:left w:val="none" w:sz="0" w:space="0" w:color="auto"/>
                <w:bottom w:val="none" w:sz="0" w:space="0" w:color="auto"/>
                <w:right w:val="none" w:sz="0" w:space="0" w:color="auto"/>
              </w:divBdr>
              <w:divsChild>
                <w:div w:id="1460880179">
                  <w:marLeft w:val="0"/>
                  <w:marRight w:val="0"/>
                  <w:marTop w:val="0"/>
                  <w:marBottom w:val="0"/>
                  <w:divBdr>
                    <w:top w:val="none" w:sz="0" w:space="0" w:color="auto"/>
                    <w:left w:val="none" w:sz="0" w:space="0" w:color="auto"/>
                    <w:bottom w:val="none" w:sz="0" w:space="0" w:color="auto"/>
                    <w:right w:val="none" w:sz="0" w:space="0" w:color="auto"/>
                  </w:divBdr>
                  <w:divsChild>
                    <w:div w:id="593057957">
                      <w:marLeft w:val="0"/>
                      <w:marRight w:val="0"/>
                      <w:marTop w:val="0"/>
                      <w:marBottom w:val="0"/>
                      <w:divBdr>
                        <w:top w:val="none" w:sz="0" w:space="0" w:color="auto"/>
                        <w:left w:val="none" w:sz="0" w:space="0" w:color="auto"/>
                        <w:bottom w:val="none" w:sz="0" w:space="0" w:color="auto"/>
                        <w:right w:val="none" w:sz="0" w:space="0" w:color="auto"/>
                      </w:divBdr>
                      <w:divsChild>
                        <w:div w:id="747309861">
                          <w:marLeft w:val="0"/>
                          <w:marRight w:val="0"/>
                          <w:marTop w:val="0"/>
                          <w:marBottom w:val="0"/>
                          <w:divBdr>
                            <w:top w:val="none" w:sz="0" w:space="0" w:color="auto"/>
                            <w:left w:val="none" w:sz="0" w:space="0" w:color="auto"/>
                            <w:bottom w:val="none" w:sz="0" w:space="0" w:color="auto"/>
                            <w:right w:val="none" w:sz="0" w:space="0" w:color="auto"/>
                          </w:divBdr>
                          <w:divsChild>
                            <w:div w:id="2089107925">
                              <w:marLeft w:val="0"/>
                              <w:marRight w:val="0"/>
                              <w:marTop w:val="0"/>
                              <w:marBottom w:val="0"/>
                              <w:divBdr>
                                <w:top w:val="none" w:sz="0" w:space="0" w:color="auto"/>
                                <w:left w:val="none" w:sz="0" w:space="0" w:color="auto"/>
                                <w:bottom w:val="none" w:sz="0" w:space="0" w:color="auto"/>
                                <w:right w:val="none" w:sz="0" w:space="0" w:color="auto"/>
                              </w:divBdr>
                              <w:divsChild>
                                <w:div w:id="2113669267">
                                  <w:marLeft w:val="0"/>
                                  <w:marRight w:val="0"/>
                                  <w:marTop w:val="0"/>
                                  <w:marBottom w:val="0"/>
                                  <w:divBdr>
                                    <w:top w:val="none" w:sz="0" w:space="0" w:color="auto"/>
                                    <w:left w:val="none" w:sz="0" w:space="0" w:color="auto"/>
                                    <w:bottom w:val="none" w:sz="0" w:space="0" w:color="auto"/>
                                    <w:right w:val="none" w:sz="0" w:space="0" w:color="auto"/>
                                  </w:divBdr>
                                  <w:divsChild>
                                    <w:div w:id="1876117566">
                                      <w:marLeft w:val="0"/>
                                      <w:marRight w:val="0"/>
                                      <w:marTop w:val="0"/>
                                      <w:marBottom w:val="0"/>
                                      <w:divBdr>
                                        <w:top w:val="none" w:sz="0" w:space="0" w:color="auto"/>
                                        <w:left w:val="none" w:sz="0" w:space="0" w:color="auto"/>
                                        <w:bottom w:val="none" w:sz="0" w:space="0" w:color="auto"/>
                                        <w:right w:val="none" w:sz="0" w:space="0" w:color="auto"/>
                                      </w:divBdr>
                                      <w:divsChild>
                                        <w:div w:id="185757133">
                                          <w:marLeft w:val="0"/>
                                          <w:marRight w:val="0"/>
                                          <w:marTop w:val="0"/>
                                          <w:marBottom w:val="0"/>
                                          <w:divBdr>
                                            <w:top w:val="none" w:sz="0" w:space="0" w:color="auto"/>
                                            <w:left w:val="none" w:sz="0" w:space="0" w:color="auto"/>
                                            <w:bottom w:val="none" w:sz="0" w:space="0" w:color="auto"/>
                                            <w:right w:val="none" w:sz="0" w:space="0" w:color="auto"/>
                                          </w:divBdr>
                                          <w:divsChild>
                                            <w:div w:id="1612543268">
                                              <w:marLeft w:val="0"/>
                                              <w:marRight w:val="0"/>
                                              <w:marTop w:val="0"/>
                                              <w:marBottom w:val="0"/>
                                              <w:divBdr>
                                                <w:top w:val="none" w:sz="0" w:space="0" w:color="auto"/>
                                                <w:left w:val="none" w:sz="0" w:space="0" w:color="auto"/>
                                                <w:bottom w:val="none" w:sz="0" w:space="0" w:color="auto"/>
                                                <w:right w:val="none" w:sz="0" w:space="0" w:color="auto"/>
                                              </w:divBdr>
                                              <w:divsChild>
                                                <w:div w:id="1697002726">
                                                  <w:marLeft w:val="0"/>
                                                  <w:marRight w:val="0"/>
                                                  <w:marTop w:val="0"/>
                                                  <w:marBottom w:val="0"/>
                                                  <w:divBdr>
                                                    <w:top w:val="none" w:sz="0" w:space="0" w:color="auto"/>
                                                    <w:left w:val="none" w:sz="0" w:space="0" w:color="auto"/>
                                                    <w:bottom w:val="none" w:sz="0" w:space="0" w:color="auto"/>
                                                    <w:right w:val="none" w:sz="0" w:space="0" w:color="auto"/>
                                                  </w:divBdr>
                                                  <w:divsChild>
                                                    <w:div w:id="1715734514">
                                                      <w:marLeft w:val="0"/>
                                                      <w:marRight w:val="0"/>
                                                      <w:marTop w:val="0"/>
                                                      <w:marBottom w:val="0"/>
                                                      <w:divBdr>
                                                        <w:top w:val="none" w:sz="0" w:space="0" w:color="auto"/>
                                                        <w:left w:val="none" w:sz="0" w:space="0" w:color="auto"/>
                                                        <w:bottom w:val="none" w:sz="0" w:space="0" w:color="auto"/>
                                                        <w:right w:val="none" w:sz="0" w:space="0" w:color="auto"/>
                                                      </w:divBdr>
                                                      <w:divsChild>
                                                        <w:div w:id="564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528870">
      <w:bodyDiv w:val="1"/>
      <w:marLeft w:val="0"/>
      <w:marRight w:val="0"/>
      <w:marTop w:val="0"/>
      <w:marBottom w:val="0"/>
      <w:divBdr>
        <w:top w:val="none" w:sz="0" w:space="0" w:color="auto"/>
        <w:left w:val="none" w:sz="0" w:space="0" w:color="auto"/>
        <w:bottom w:val="none" w:sz="0" w:space="0" w:color="auto"/>
        <w:right w:val="none" w:sz="0" w:space="0" w:color="auto"/>
      </w:divBdr>
      <w:divsChild>
        <w:div w:id="2033455742">
          <w:marLeft w:val="0"/>
          <w:marRight w:val="0"/>
          <w:marTop w:val="0"/>
          <w:marBottom w:val="0"/>
          <w:divBdr>
            <w:top w:val="none" w:sz="0" w:space="0" w:color="auto"/>
            <w:left w:val="none" w:sz="0" w:space="0" w:color="auto"/>
            <w:bottom w:val="none" w:sz="0" w:space="0" w:color="auto"/>
            <w:right w:val="none" w:sz="0" w:space="0" w:color="auto"/>
          </w:divBdr>
          <w:divsChild>
            <w:div w:id="2602601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8578195">
      <w:bodyDiv w:val="1"/>
      <w:marLeft w:val="0"/>
      <w:marRight w:val="0"/>
      <w:marTop w:val="0"/>
      <w:marBottom w:val="0"/>
      <w:divBdr>
        <w:top w:val="none" w:sz="0" w:space="0" w:color="auto"/>
        <w:left w:val="none" w:sz="0" w:space="0" w:color="auto"/>
        <w:bottom w:val="none" w:sz="0" w:space="0" w:color="auto"/>
        <w:right w:val="none" w:sz="0" w:space="0" w:color="auto"/>
      </w:divBdr>
    </w:div>
    <w:div w:id="29303233">
      <w:bodyDiv w:val="1"/>
      <w:marLeft w:val="0"/>
      <w:marRight w:val="0"/>
      <w:marTop w:val="0"/>
      <w:marBottom w:val="0"/>
      <w:divBdr>
        <w:top w:val="none" w:sz="0" w:space="0" w:color="auto"/>
        <w:left w:val="none" w:sz="0" w:space="0" w:color="auto"/>
        <w:bottom w:val="none" w:sz="0" w:space="0" w:color="auto"/>
        <w:right w:val="none" w:sz="0" w:space="0" w:color="auto"/>
      </w:divBdr>
      <w:divsChild>
        <w:div w:id="480120740">
          <w:marLeft w:val="0"/>
          <w:marRight w:val="0"/>
          <w:marTop w:val="0"/>
          <w:marBottom w:val="0"/>
          <w:divBdr>
            <w:top w:val="single" w:sz="2" w:space="0" w:color="AAAAAA"/>
            <w:left w:val="single" w:sz="6" w:space="8" w:color="AAAAAA"/>
            <w:bottom w:val="single" w:sz="2" w:space="0" w:color="AAAAAA"/>
            <w:right w:val="single" w:sz="6" w:space="8" w:color="AAAAAA"/>
          </w:divBdr>
          <w:divsChild>
            <w:div w:id="432822389">
              <w:marLeft w:val="0"/>
              <w:marRight w:val="0"/>
              <w:marTop w:val="0"/>
              <w:marBottom w:val="0"/>
              <w:divBdr>
                <w:top w:val="none" w:sz="0" w:space="0" w:color="auto"/>
                <w:left w:val="none" w:sz="0" w:space="0" w:color="auto"/>
                <w:bottom w:val="none" w:sz="0" w:space="0" w:color="auto"/>
                <w:right w:val="none" w:sz="0" w:space="0" w:color="auto"/>
              </w:divBdr>
              <w:divsChild>
                <w:div w:id="1641492170">
                  <w:marLeft w:val="0"/>
                  <w:marRight w:val="0"/>
                  <w:marTop w:val="0"/>
                  <w:marBottom w:val="0"/>
                  <w:divBdr>
                    <w:top w:val="none" w:sz="0" w:space="0" w:color="auto"/>
                    <w:left w:val="none" w:sz="0" w:space="0" w:color="auto"/>
                    <w:bottom w:val="none" w:sz="0" w:space="0" w:color="auto"/>
                    <w:right w:val="none" w:sz="0" w:space="0" w:color="auto"/>
                  </w:divBdr>
                  <w:divsChild>
                    <w:div w:id="617031555">
                      <w:marLeft w:val="0"/>
                      <w:marRight w:val="2550"/>
                      <w:marTop w:val="0"/>
                      <w:marBottom w:val="48"/>
                      <w:divBdr>
                        <w:top w:val="none" w:sz="0" w:space="0" w:color="auto"/>
                        <w:left w:val="none" w:sz="0" w:space="0" w:color="auto"/>
                        <w:bottom w:val="none" w:sz="0" w:space="0" w:color="auto"/>
                        <w:right w:val="none" w:sz="0" w:space="0" w:color="auto"/>
                      </w:divBdr>
                      <w:divsChild>
                        <w:div w:id="199525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649073">
      <w:bodyDiv w:val="1"/>
      <w:marLeft w:val="0"/>
      <w:marRight w:val="0"/>
      <w:marTop w:val="0"/>
      <w:marBottom w:val="0"/>
      <w:divBdr>
        <w:top w:val="none" w:sz="0" w:space="0" w:color="auto"/>
        <w:left w:val="none" w:sz="0" w:space="0" w:color="auto"/>
        <w:bottom w:val="none" w:sz="0" w:space="0" w:color="auto"/>
        <w:right w:val="none" w:sz="0" w:space="0" w:color="auto"/>
      </w:divBdr>
      <w:divsChild>
        <w:div w:id="1750229127">
          <w:marLeft w:val="0"/>
          <w:marRight w:val="0"/>
          <w:marTop w:val="0"/>
          <w:marBottom w:val="0"/>
          <w:divBdr>
            <w:top w:val="single" w:sz="2" w:space="0" w:color="auto"/>
            <w:left w:val="single" w:sz="2" w:space="0" w:color="auto"/>
            <w:bottom w:val="single" w:sz="2" w:space="0" w:color="auto"/>
            <w:right w:val="single" w:sz="2" w:space="0" w:color="auto"/>
          </w:divBdr>
        </w:div>
        <w:div w:id="925764555">
          <w:marLeft w:val="0"/>
          <w:marRight w:val="0"/>
          <w:marTop w:val="0"/>
          <w:marBottom w:val="0"/>
          <w:divBdr>
            <w:top w:val="single" w:sz="2" w:space="0" w:color="auto"/>
            <w:left w:val="single" w:sz="2" w:space="0" w:color="auto"/>
            <w:bottom w:val="single" w:sz="2" w:space="0" w:color="auto"/>
            <w:right w:val="single" w:sz="2" w:space="0" w:color="auto"/>
          </w:divBdr>
        </w:div>
      </w:divsChild>
    </w:div>
    <w:div w:id="29841812">
      <w:bodyDiv w:val="1"/>
      <w:marLeft w:val="0"/>
      <w:marRight w:val="0"/>
      <w:marTop w:val="0"/>
      <w:marBottom w:val="0"/>
      <w:divBdr>
        <w:top w:val="none" w:sz="0" w:space="0" w:color="auto"/>
        <w:left w:val="none" w:sz="0" w:space="0" w:color="auto"/>
        <w:bottom w:val="none" w:sz="0" w:space="0" w:color="auto"/>
        <w:right w:val="none" w:sz="0" w:space="0" w:color="auto"/>
      </w:divBdr>
      <w:divsChild>
        <w:div w:id="193274619">
          <w:marLeft w:val="0"/>
          <w:marRight w:val="0"/>
          <w:marTop w:val="0"/>
          <w:marBottom w:val="0"/>
          <w:divBdr>
            <w:top w:val="none" w:sz="0" w:space="0" w:color="auto"/>
            <w:left w:val="none" w:sz="0" w:space="0" w:color="auto"/>
            <w:bottom w:val="none" w:sz="0" w:space="0" w:color="auto"/>
            <w:right w:val="none" w:sz="0" w:space="0" w:color="auto"/>
          </w:divBdr>
          <w:divsChild>
            <w:div w:id="1689598857">
              <w:marLeft w:val="0"/>
              <w:marRight w:val="0"/>
              <w:marTop w:val="0"/>
              <w:marBottom w:val="0"/>
              <w:divBdr>
                <w:top w:val="none" w:sz="0" w:space="0" w:color="auto"/>
                <w:left w:val="none" w:sz="0" w:space="0" w:color="auto"/>
                <w:bottom w:val="none" w:sz="0" w:space="0" w:color="auto"/>
                <w:right w:val="none" w:sz="0" w:space="0" w:color="auto"/>
              </w:divBdr>
              <w:divsChild>
                <w:div w:id="948699299">
                  <w:marLeft w:val="0"/>
                  <w:marRight w:val="0"/>
                  <w:marTop w:val="0"/>
                  <w:marBottom w:val="0"/>
                  <w:divBdr>
                    <w:top w:val="none" w:sz="0" w:space="0" w:color="auto"/>
                    <w:left w:val="none" w:sz="0" w:space="0" w:color="auto"/>
                    <w:bottom w:val="none" w:sz="0" w:space="0" w:color="auto"/>
                    <w:right w:val="none" w:sz="0" w:space="0" w:color="auto"/>
                  </w:divBdr>
                  <w:divsChild>
                    <w:div w:id="2077119552">
                      <w:marLeft w:val="0"/>
                      <w:marRight w:val="0"/>
                      <w:marTop w:val="0"/>
                      <w:marBottom w:val="0"/>
                      <w:divBdr>
                        <w:top w:val="none" w:sz="0" w:space="0" w:color="auto"/>
                        <w:left w:val="none" w:sz="0" w:space="0" w:color="auto"/>
                        <w:bottom w:val="none" w:sz="0" w:space="0" w:color="auto"/>
                        <w:right w:val="none" w:sz="0" w:space="0" w:color="auto"/>
                      </w:divBdr>
                      <w:divsChild>
                        <w:div w:id="8683007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0038674">
      <w:bodyDiv w:val="1"/>
      <w:marLeft w:val="0"/>
      <w:marRight w:val="0"/>
      <w:marTop w:val="0"/>
      <w:marBottom w:val="0"/>
      <w:divBdr>
        <w:top w:val="none" w:sz="0" w:space="0" w:color="auto"/>
        <w:left w:val="none" w:sz="0" w:space="0" w:color="auto"/>
        <w:bottom w:val="none" w:sz="0" w:space="0" w:color="auto"/>
        <w:right w:val="none" w:sz="0" w:space="0" w:color="auto"/>
      </w:divBdr>
      <w:divsChild>
        <w:div w:id="1338075473">
          <w:marLeft w:val="0"/>
          <w:marRight w:val="0"/>
          <w:marTop w:val="0"/>
          <w:marBottom w:val="0"/>
          <w:divBdr>
            <w:top w:val="none" w:sz="0" w:space="0" w:color="auto"/>
            <w:left w:val="none" w:sz="0" w:space="0" w:color="auto"/>
            <w:bottom w:val="none" w:sz="0" w:space="0" w:color="auto"/>
            <w:right w:val="none" w:sz="0" w:space="0" w:color="auto"/>
          </w:divBdr>
          <w:divsChild>
            <w:div w:id="956177836">
              <w:marLeft w:val="0"/>
              <w:marRight w:val="0"/>
              <w:marTop w:val="0"/>
              <w:marBottom w:val="0"/>
              <w:divBdr>
                <w:top w:val="none" w:sz="0" w:space="0" w:color="auto"/>
                <w:left w:val="none" w:sz="0" w:space="0" w:color="auto"/>
                <w:bottom w:val="none" w:sz="0" w:space="0" w:color="auto"/>
                <w:right w:val="none" w:sz="0" w:space="0" w:color="auto"/>
              </w:divBdr>
              <w:divsChild>
                <w:div w:id="572395446">
                  <w:marLeft w:val="0"/>
                  <w:marRight w:val="0"/>
                  <w:marTop w:val="0"/>
                  <w:marBottom w:val="0"/>
                  <w:divBdr>
                    <w:top w:val="none" w:sz="0" w:space="0" w:color="auto"/>
                    <w:left w:val="none" w:sz="0" w:space="0" w:color="auto"/>
                    <w:bottom w:val="none" w:sz="0" w:space="0" w:color="auto"/>
                    <w:right w:val="none" w:sz="0" w:space="0" w:color="auto"/>
                  </w:divBdr>
                  <w:divsChild>
                    <w:div w:id="462388540">
                      <w:marLeft w:val="0"/>
                      <w:marRight w:val="0"/>
                      <w:marTop w:val="0"/>
                      <w:marBottom w:val="0"/>
                      <w:divBdr>
                        <w:top w:val="none" w:sz="0" w:space="0" w:color="auto"/>
                        <w:left w:val="none" w:sz="0" w:space="0" w:color="auto"/>
                        <w:bottom w:val="none" w:sz="0" w:space="0" w:color="auto"/>
                        <w:right w:val="none" w:sz="0" w:space="0" w:color="auto"/>
                      </w:divBdr>
                      <w:divsChild>
                        <w:div w:id="764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06310">
      <w:bodyDiv w:val="1"/>
      <w:marLeft w:val="0"/>
      <w:marRight w:val="0"/>
      <w:marTop w:val="0"/>
      <w:marBottom w:val="0"/>
      <w:divBdr>
        <w:top w:val="none" w:sz="0" w:space="0" w:color="auto"/>
        <w:left w:val="none" w:sz="0" w:space="0" w:color="auto"/>
        <w:bottom w:val="none" w:sz="0" w:space="0" w:color="auto"/>
        <w:right w:val="none" w:sz="0" w:space="0" w:color="auto"/>
      </w:divBdr>
      <w:divsChild>
        <w:div w:id="730540077">
          <w:marLeft w:val="0"/>
          <w:marRight w:val="0"/>
          <w:marTop w:val="0"/>
          <w:marBottom w:val="0"/>
          <w:divBdr>
            <w:top w:val="none" w:sz="0" w:space="0" w:color="auto"/>
            <w:left w:val="none" w:sz="0" w:space="0" w:color="auto"/>
            <w:bottom w:val="none" w:sz="0" w:space="0" w:color="auto"/>
            <w:right w:val="none" w:sz="0" w:space="0" w:color="auto"/>
          </w:divBdr>
        </w:div>
        <w:div w:id="2066678684">
          <w:marLeft w:val="0"/>
          <w:marRight w:val="0"/>
          <w:marTop w:val="0"/>
          <w:marBottom w:val="0"/>
          <w:divBdr>
            <w:top w:val="none" w:sz="0" w:space="0" w:color="auto"/>
            <w:left w:val="none" w:sz="0" w:space="0" w:color="auto"/>
            <w:bottom w:val="none" w:sz="0" w:space="0" w:color="auto"/>
            <w:right w:val="none" w:sz="0" w:space="0" w:color="auto"/>
          </w:divBdr>
          <w:divsChild>
            <w:div w:id="18106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0042">
      <w:bodyDiv w:val="1"/>
      <w:marLeft w:val="0"/>
      <w:marRight w:val="0"/>
      <w:marTop w:val="0"/>
      <w:marBottom w:val="0"/>
      <w:divBdr>
        <w:top w:val="none" w:sz="0" w:space="0" w:color="auto"/>
        <w:left w:val="none" w:sz="0" w:space="0" w:color="auto"/>
        <w:bottom w:val="none" w:sz="0" w:space="0" w:color="auto"/>
        <w:right w:val="none" w:sz="0" w:space="0" w:color="auto"/>
      </w:divBdr>
      <w:divsChild>
        <w:div w:id="1764447878">
          <w:marLeft w:val="0"/>
          <w:marRight w:val="0"/>
          <w:marTop w:val="0"/>
          <w:marBottom w:val="0"/>
          <w:divBdr>
            <w:top w:val="none" w:sz="0" w:space="0" w:color="auto"/>
            <w:left w:val="none" w:sz="0" w:space="0" w:color="auto"/>
            <w:bottom w:val="none" w:sz="0" w:space="0" w:color="auto"/>
            <w:right w:val="none" w:sz="0" w:space="0" w:color="auto"/>
          </w:divBdr>
          <w:divsChild>
            <w:div w:id="1615669604">
              <w:marLeft w:val="0"/>
              <w:marRight w:val="0"/>
              <w:marTop w:val="0"/>
              <w:marBottom w:val="0"/>
              <w:divBdr>
                <w:top w:val="none" w:sz="0" w:space="0" w:color="auto"/>
                <w:left w:val="none" w:sz="0" w:space="0" w:color="auto"/>
                <w:bottom w:val="none" w:sz="0" w:space="0" w:color="auto"/>
                <w:right w:val="none" w:sz="0" w:space="0" w:color="auto"/>
              </w:divBdr>
              <w:divsChild>
                <w:div w:id="2050520755">
                  <w:marLeft w:val="0"/>
                  <w:marRight w:val="0"/>
                  <w:marTop w:val="0"/>
                  <w:marBottom w:val="0"/>
                  <w:divBdr>
                    <w:top w:val="none" w:sz="0" w:space="0" w:color="auto"/>
                    <w:left w:val="none" w:sz="0" w:space="0" w:color="auto"/>
                    <w:bottom w:val="none" w:sz="0" w:space="0" w:color="auto"/>
                    <w:right w:val="none" w:sz="0" w:space="0" w:color="auto"/>
                  </w:divBdr>
                  <w:divsChild>
                    <w:div w:id="1220289091">
                      <w:marLeft w:val="0"/>
                      <w:marRight w:val="0"/>
                      <w:marTop w:val="0"/>
                      <w:marBottom w:val="0"/>
                      <w:divBdr>
                        <w:top w:val="none" w:sz="0" w:space="0" w:color="auto"/>
                        <w:left w:val="none" w:sz="0" w:space="0" w:color="auto"/>
                        <w:bottom w:val="none" w:sz="0" w:space="0" w:color="auto"/>
                        <w:right w:val="none" w:sz="0" w:space="0" w:color="auto"/>
                      </w:divBdr>
                      <w:divsChild>
                        <w:div w:id="49110688">
                          <w:marLeft w:val="0"/>
                          <w:marRight w:val="0"/>
                          <w:marTop w:val="0"/>
                          <w:marBottom w:val="0"/>
                          <w:divBdr>
                            <w:top w:val="none" w:sz="0" w:space="0" w:color="auto"/>
                            <w:left w:val="none" w:sz="0" w:space="0" w:color="auto"/>
                            <w:bottom w:val="none" w:sz="0" w:space="0" w:color="auto"/>
                            <w:right w:val="none" w:sz="0" w:space="0" w:color="auto"/>
                          </w:divBdr>
                          <w:divsChild>
                            <w:div w:id="316997875">
                              <w:marLeft w:val="0"/>
                              <w:marRight w:val="0"/>
                              <w:marTop w:val="0"/>
                              <w:marBottom w:val="0"/>
                              <w:divBdr>
                                <w:top w:val="none" w:sz="0" w:space="0" w:color="auto"/>
                                <w:left w:val="none" w:sz="0" w:space="0" w:color="auto"/>
                                <w:bottom w:val="none" w:sz="0" w:space="0" w:color="auto"/>
                                <w:right w:val="none" w:sz="0" w:space="0" w:color="auto"/>
                              </w:divBdr>
                              <w:divsChild>
                                <w:div w:id="1288967246">
                                  <w:marLeft w:val="0"/>
                                  <w:marRight w:val="0"/>
                                  <w:marTop w:val="0"/>
                                  <w:marBottom w:val="0"/>
                                  <w:divBdr>
                                    <w:top w:val="none" w:sz="0" w:space="0" w:color="auto"/>
                                    <w:left w:val="none" w:sz="0" w:space="0" w:color="auto"/>
                                    <w:bottom w:val="none" w:sz="0" w:space="0" w:color="auto"/>
                                    <w:right w:val="none" w:sz="0" w:space="0" w:color="auto"/>
                                  </w:divBdr>
                                  <w:divsChild>
                                    <w:div w:id="1115248925">
                                      <w:marLeft w:val="0"/>
                                      <w:marRight w:val="0"/>
                                      <w:marTop w:val="0"/>
                                      <w:marBottom w:val="0"/>
                                      <w:divBdr>
                                        <w:top w:val="none" w:sz="0" w:space="0" w:color="auto"/>
                                        <w:left w:val="none" w:sz="0" w:space="0" w:color="auto"/>
                                        <w:bottom w:val="none" w:sz="0" w:space="0" w:color="auto"/>
                                        <w:right w:val="none" w:sz="0" w:space="0" w:color="auto"/>
                                      </w:divBdr>
                                      <w:divsChild>
                                        <w:div w:id="13290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03387">
      <w:bodyDiv w:val="1"/>
      <w:marLeft w:val="0"/>
      <w:marRight w:val="0"/>
      <w:marTop w:val="0"/>
      <w:marBottom w:val="0"/>
      <w:divBdr>
        <w:top w:val="none" w:sz="0" w:space="0" w:color="auto"/>
        <w:left w:val="none" w:sz="0" w:space="0" w:color="auto"/>
        <w:bottom w:val="none" w:sz="0" w:space="0" w:color="auto"/>
        <w:right w:val="none" w:sz="0" w:space="0" w:color="auto"/>
      </w:divBdr>
      <w:divsChild>
        <w:div w:id="302078879">
          <w:marLeft w:val="0"/>
          <w:marRight w:val="0"/>
          <w:marTop w:val="0"/>
          <w:marBottom w:val="0"/>
          <w:divBdr>
            <w:top w:val="none" w:sz="0" w:space="0" w:color="auto"/>
            <w:left w:val="none" w:sz="0" w:space="0" w:color="auto"/>
            <w:bottom w:val="none" w:sz="0" w:space="0" w:color="auto"/>
            <w:right w:val="none" w:sz="0" w:space="0" w:color="auto"/>
          </w:divBdr>
        </w:div>
      </w:divsChild>
    </w:div>
    <w:div w:id="32079158">
      <w:bodyDiv w:val="1"/>
      <w:marLeft w:val="0"/>
      <w:marRight w:val="0"/>
      <w:marTop w:val="0"/>
      <w:marBottom w:val="0"/>
      <w:divBdr>
        <w:top w:val="none" w:sz="0" w:space="0" w:color="auto"/>
        <w:left w:val="none" w:sz="0" w:space="0" w:color="auto"/>
        <w:bottom w:val="none" w:sz="0" w:space="0" w:color="auto"/>
        <w:right w:val="none" w:sz="0" w:space="0" w:color="auto"/>
      </w:divBdr>
      <w:divsChild>
        <w:div w:id="625237385">
          <w:marLeft w:val="0"/>
          <w:marRight w:val="0"/>
          <w:marTop w:val="0"/>
          <w:marBottom w:val="0"/>
          <w:divBdr>
            <w:top w:val="none" w:sz="0" w:space="0" w:color="auto"/>
            <w:left w:val="none" w:sz="0" w:space="0" w:color="auto"/>
            <w:bottom w:val="none" w:sz="0" w:space="0" w:color="auto"/>
            <w:right w:val="none" w:sz="0" w:space="0" w:color="auto"/>
          </w:divBdr>
          <w:divsChild>
            <w:div w:id="1458260444">
              <w:marLeft w:val="0"/>
              <w:marRight w:val="0"/>
              <w:marTop w:val="0"/>
              <w:marBottom w:val="0"/>
              <w:divBdr>
                <w:top w:val="none" w:sz="0" w:space="0" w:color="auto"/>
                <w:left w:val="none" w:sz="0" w:space="0" w:color="auto"/>
                <w:bottom w:val="none" w:sz="0" w:space="0" w:color="auto"/>
                <w:right w:val="none" w:sz="0" w:space="0" w:color="auto"/>
              </w:divBdr>
              <w:divsChild>
                <w:div w:id="2077363376">
                  <w:marLeft w:val="0"/>
                  <w:marRight w:val="0"/>
                  <w:marTop w:val="0"/>
                  <w:marBottom w:val="0"/>
                  <w:divBdr>
                    <w:top w:val="none" w:sz="0" w:space="0" w:color="auto"/>
                    <w:left w:val="none" w:sz="0" w:space="0" w:color="auto"/>
                    <w:bottom w:val="none" w:sz="0" w:space="0" w:color="auto"/>
                    <w:right w:val="none" w:sz="0" w:space="0" w:color="auto"/>
                  </w:divBdr>
                  <w:divsChild>
                    <w:div w:id="143157469">
                      <w:marLeft w:val="0"/>
                      <w:marRight w:val="0"/>
                      <w:marTop w:val="0"/>
                      <w:marBottom w:val="0"/>
                      <w:divBdr>
                        <w:top w:val="none" w:sz="0" w:space="0" w:color="auto"/>
                        <w:left w:val="none" w:sz="0" w:space="0" w:color="auto"/>
                        <w:bottom w:val="none" w:sz="0" w:space="0" w:color="auto"/>
                        <w:right w:val="none" w:sz="0" w:space="0" w:color="auto"/>
                      </w:divBdr>
                      <w:divsChild>
                        <w:div w:id="1371682400">
                          <w:marLeft w:val="0"/>
                          <w:marRight w:val="0"/>
                          <w:marTop w:val="0"/>
                          <w:marBottom w:val="0"/>
                          <w:divBdr>
                            <w:top w:val="none" w:sz="0" w:space="0" w:color="auto"/>
                            <w:left w:val="none" w:sz="0" w:space="0" w:color="auto"/>
                            <w:bottom w:val="none" w:sz="0" w:space="0" w:color="auto"/>
                            <w:right w:val="none" w:sz="0" w:space="0" w:color="auto"/>
                          </w:divBdr>
                          <w:divsChild>
                            <w:div w:id="998730548">
                              <w:marLeft w:val="0"/>
                              <w:marRight w:val="0"/>
                              <w:marTop w:val="0"/>
                              <w:marBottom w:val="0"/>
                              <w:divBdr>
                                <w:top w:val="none" w:sz="0" w:space="0" w:color="auto"/>
                                <w:left w:val="none" w:sz="0" w:space="0" w:color="auto"/>
                                <w:bottom w:val="none" w:sz="0" w:space="0" w:color="auto"/>
                                <w:right w:val="none" w:sz="0" w:space="0" w:color="auto"/>
                              </w:divBdr>
                              <w:divsChild>
                                <w:div w:id="1577549414">
                                  <w:marLeft w:val="0"/>
                                  <w:marRight w:val="0"/>
                                  <w:marTop w:val="0"/>
                                  <w:marBottom w:val="0"/>
                                  <w:divBdr>
                                    <w:top w:val="none" w:sz="0" w:space="0" w:color="auto"/>
                                    <w:left w:val="none" w:sz="0" w:space="0" w:color="auto"/>
                                    <w:bottom w:val="none" w:sz="0" w:space="0" w:color="auto"/>
                                    <w:right w:val="none" w:sz="0" w:space="0" w:color="auto"/>
                                  </w:divBdr>
                                  <w:divsChild>
                                    <w:div w:id="262692112">
                                      <w:marLeft w:val="0"/>
                                      <w:marRight w:val="0"/>
                                      <w:marTop w:val="0"/>
                                      <w:marBottom w:val="0"/>
                                      <w:divBdr>
                                        <w:top w:val="none" w:sz="0" w:space="0" w:color="auto"/>
                                        <w:left w:val="none" w:sz="0" w:space="0" w:color="auto"/>
                                        <w:bottom w:val="none" w:sz="0" w:space="0" w:color="auto"/>
                                        <w:right w:val="none" w:sz="0" w:space="0" w:color="auto"/>
                                      </w:divBdr>
                                      <w:divsChild>
                                        <w:div w:id="1501853161">
                                          <w:marLeft w:val="0"/>
                                          <w:marRight w:val="0"/>
                                          <w:marTop w:val="0"/>
                                          <w:marBottom w:val="0"/>
                                          <w:divBdr>
                                            <w:top w:val="none" w:sz="0" w:space="0" w:color="auto"/>
                                            <w:left w:val="none" w:sz="0" w:space="0" w:color="auto"/>
                                            <w:bottom w:val="none" w:sz="0" w:space="0" w:color="auto"/>
                                            <w:right w:val="none" w:sz="0" w:space="0" w:color="auto"/>
                                          </w:divBdr>
                                          <w:divsChild>
                                            <w:div w:id="1635133572">
                                              <w:marLeft w:val="0"/>
                                              <w:marRight w:val="0"/>
                                              <w:marTop w:val="0"/>
                                              <w:marBottom w:val="0"/>
                                              <w:divBdr>
                                                <w:top w:val="none" w:sz="0" w:space="0" w:color="auto"/>
                                                <w:left w:val="none" w:sz="0" w:space="0" w:color="auto"/>
                                                <w:bottom w:val="none" w:sz="0" w:space="0" w:color="auto"/>
                                                <w:right w:val="none" w:sz="0" w:space="0" w:color="auto"/>
                                              </w:divBdr>
                                              <w:divsChild>
                                                <w:div w:id="1023048188">
                                                  <w:marLeft w:val="0"/>
                                                  <w:marRight w:val="0"/>
                                                  <w:marTop w:val="0"/>
                                                  <w:marBottom w:val="0"/>
                                                  <w:divBdr>
                                                    <w:top w:val="none" w:sz="0" w:space="0" w:color="auto"/>
                                                    <w:left w:val="none" w:sz="0" w:space="0" w:color="auto"/>
                                                    <w:bottom w:val="none" w:sz="0" w:space="0" w:color="auto"/>
                                                    <w:right w:val="none" w:sz="0" w:space="0" w:color="auto"/>
                                                  </w:divBdr>
                                                  <w:divsChild>
                                                    <w:div w:id="2085758243">
                                                      <w:marLeft w:val="0"/>
                                                      <w:marRight w:val="0"/>
                                                      <w:marTop w:val="0"/>
                                                      <w:marBottom w:val="0"/>
                                                      <w:divBdr>
                                                        <w:top w:val="none" w:sz="0" w:space="0" w:color="auto"/>
                                                        <w:left w:val="none" w:sz="0" w:space="0" w:color="auto"/>
                                                        <w:bottom w:val="none" w:sz="0" w:space="0" w:color="auto"/>
                                                        <w:right w:val="none" w:sz="0" w:space="0" w:color="auto"/>
                                                      </w:divBdr>
                                                      <w:divsChild>
                                                        <w:div w:id="403459015">
                                                          <w:marLeft w:val="0"/>
                                                          <w:marRight w:val="0"/>
                                                          <w:marTop w:val="0"/>
                                                          <w:marBottom w:val="0"/>
                                                          <w:divBdr>
                                                            <w:top w:val="none" w:sz="0" w:space="0" w:color="auto"/>
                                                            <w:left w:val="none" w:sz="0" w:space="0" w:color="auto"/>
                                                            <w:bottom w:val="none" w:sz="0" w:space="0" w:color="auto"/>
                                                            <w:right w:val="none" w:sz="0" w:space="0" w:color="auto"/>
                                                          </w:divBdr>
                                                        </w:div>
                                                        <w:div w:id="1589729896">
                                                          <w:marLeft w:val="0"/>
                                                          <w:marRight w:val="0"/>
                                                          <w:marTop w:val="0"/>
                                                          <w:marBottom w:val="0"/>
                                                          <w:divBdr>
                                                            <w:top w:val="none" w:sz="0" w:space="0" w:color="auto"/>
                                                            <w:left w:val="none" w:sz="0" w:space="0" w:color="auto"/>
                                                            <w:bottom w:val="none" w:sz="0" w:space="0" w:color="auto"/>
                                                            <w:right w:val="none" w:sz="0" w:space="0" w:color="auto"/>
                                                          </w:divBdr>
                                                          <w:divsChild>
                                                            <w:div w:id="9542930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464614">
      <w:bodyDiv w:val="1"/>
      <w:marLeft w:val="0"/>
      <w:marRight w:val="0"/>
      <w:marTop w:val="0"/>
      <w:marBottom w:val="0"/>
      <w:divBdr>
        <w:top w:val="none" w:sz="0" w:space="0" w:color="auto"/>
        <w:left w:val="none" w:sz="0" w:space="0" w:color="auto"/>
        <w:bottom w:val="none" w:sz="0" w:space="0" w:color="auto"/>
        <w:right w:val="none" w:sz="0" w:space="0" w:color="auto"/>
      </w:divBdr>
    </w:div>
    <w:div w:id="33427644">
      <w:bodyDiv w:val="1"/>
      <w:marLeft w:val="0"/>
      <w:marRight w:val="0"/>
      <w:marTop w:val="0"/>
      <w:marBottom w:val="0"/>
      <w:divBdr>
        <w:top w:val="none" w:sz="0" w:space="0" w:color="auto"/>
        <w:left w:val="none" w:sz="0" w:space="0" w:color="auto"/>
        <w:bottom w:val="none" w:sz="0" w:space="0" w:color="auto"/>
        <w:right w:val="none" w:sz="0" w:space="0" w:color="auto"/>
      </w:divBdr>
      <w:divsChild>
        <w:div w:id="1620407638">
          <w:marLeft w:val="0"/>
          <w:marRight w:val="0"/>
          <w:marTop w:val="0"/>
          <w:marBottom w:val="0"/>
          <w:divBdr>
            <w:top w:val="none" w:sz="0" w:space="0" w:color="auto"/>
            <w:left w:val="none" w:sz="0" w:space="0" w:color="auto"/>
            <w:bottom w:val="none" w:sz="0" w:space="0" w:color="auto"/>
            <w:right w:val="none" w:sz="0" w:space="0" w:color="auto"/>
          </w:divBdr>
          <w:divsChild>
            <w:div w:id="1658411560">
              <w:marLeft w:val="0"/>
              <w:marRight w:val="0"/>
              <w:marTop w:val="0"/>
              <w:marBottom w:val="0"/>
              <w:divBdr>
                <w:top w:val="none" w:sz="0" w:space="0" w:color="auto"/>
                <w:left w:val="none" w:sz="0" w:space="0" w:color="auto"/>
                <w:bottom w:val="none" w:sz="0" w:space="0" w:color="auto"/>
                <w:right w:val="none" w:sz="0" w:space="0" w:color="auto"/>
              </w:divBdr>
              <w:divsChild>
                <w:div w:id="229314050">
                  <w:marLeft w:val="0"/>
                  <w:marRight w:val="0"/>
                  <w:marTop w:val="0"/>
                  <w:marBottom w:val="0"/>
                  <w:divBdr>
                    <w:top w:val="none" w:sz="0" w:space="0" w:color="auto"/>
                    <w:left w:val="none" w:sz="0" w:space="0" w:color="auto"/>
                    <w:bottom w:val="none" w:sz="0" w:space="0" w:color="auto"/>
                    <w:right w:val="none" w:sz="0" w:space="0" w:color="auto"/>
                  </w:divBdr>
                  <w:divsChild>
                    <w:div w:id="1528059076">
                      <w:marLeft w:val="0"/>
                      <w:marRight w:val="0"/>
                      <w:marTop w:val="0"/>
                      <w:marBottom w:val="0"/>
                      <w:divBdr>
                        <w:top w:val="none" w:sz="0" w:space="0" w:color="auto"/>
                        <w:left w:val="none" w:sz="0" w:space="0" w:color="auto"/>
                        <w:bottom w:val="none" w:sz="0" w:space="0" w:color="auto"/>
                        <w:right w:val="none" w:sz="0" w:space="0" w:color="auto"/>
                      </w:divBdr>
                      <w:divsChild>
                        <w:div w:id="205681127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4157571">
      <w:bodyDiv w:val="1"/>
      <w:marLeft w:val="0"/>
      <w:marRight w:val="0"/>
      <w:marTop w:val="0"/>
      <w:marBottom w:val="0"/>
      <w:divBdr>
        <w:top w:val="none" w:sz="0" w:space="0" w:color="auto"/>
        <w:left w:val="none" w:sz="0" w:space="0" w:color="auto"/>
        <w:bottom w:val="none" w:sz="0" w:space="0" w:color="auto"/>
        <w:right w:val="none" w:sz="0" w:space="0" w:color="auto"/>
      </w:divBdr>
      <w:divsChild>
        <w:div w:id="1361053716">
          <w:marLeft w:val="0"/>
          <w:marRight w:val="0"/>
          <w:marTop w:val="0"/>
          <w:marBottom w:val="0"/>
          <w:divBdr>
            <w:top w:val="none" w:sz="0" w:space="0" w:color="auto"/>
            <w:left w:val="none" w:sz="0" w:space="0" w:color="auto"/>
            <w:bottom w:val="none" w:sz="0" w:space="0" w:color="auto"/>
            <w:right w:val="none" w:sz="0" w:space="0" w:color="auto"/>
          </w:divBdr>
          <w:divsChild>
            <w:div w:id="1494755553">
              <w:marLeft w:val="0"/>
              <w:marRight w:val="0"/>
              <w:marTop w:val="0"/>
              <w:marBottom w:val="0"/>
              <w:divBdr>
                <w:top w:val="none" w:sz="0" w:space="0" w:color="auto"/>
                <w:left w:val="none" w:sz="0" w:space="0" w:color="auto"/>
                <w:bottom w:val="none" w:sz="0" w:space="0" w:color="auto"/>
                <w:right w:val="none" w:sz="0" w:space="0" w:color="auto"/>
              </w:divBdr>
              <w:divsChild>
                <w:div w:id="78867042">
                  <w:marLeft w:val="0"/>
                  <w:marRight w:val="0"/>
                  <w:marTop w:val="0"/>
                  <w:marBottom w:val="0"/>
                  <w:divBdr>
                    <w:top w:val="none" w:sz="0" w:space="0" w:color="auto"/>
                    <w:left w:val="none" w:sz="0" w:space="0" w:color="auto"/>
                    <w:bottom w:val="none" w:sz="0" w:space="0" w:color="auto"/>
                    <w:right w:val="none" w:sz="0" w:space="0" w:color="auto"/>
                  </w:divBdr>
                  <w:divsChild>
                    <w:div w:id="1087768960">
                      <w:marLeft w:val="0"/>
                      <w:marRight w:val="0"/>
                      <w:marTop w:val="0"/>
                      <w:marBottom w:val="0"/>
                      <w:divBdr>
                        <w:top w:val="none" w:sz="0" w:space="0" w:color="auto"/>
                        <w:left w:val="none" w:sz="0" w:space="0" w:color="auto"/>
                        <w:bottom w:val="none" w:sz="0" w:space="0" w:color="auto"/>
                        <w:right w:val="none" w:sz="0" w:space="0" w:color="auto"/>
                      </w:divBdr>
                      <w:divsChild>
                        <w:div w:id="13910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38743">
      <w:bodyDiv w:val="1"/>
      <w:marLeft w:val="0"/>
      <w:marRight w:val="0"/>
      <w:marTop w:val="0"/>
      <w:marBottom w:val="0"/>
      <w:divBdr>
        <w:top w:val="none" w:sz="0" w:space="0" w:color="auto"/>
        <w:left w:val="none" w:sz="0" w:space="0" w:color="auto"/>
        <w:bottom w:val="none" w:sz="0" w:space="0" w:color="auto"/>
        <w:right w:val="none" w:sz="0" w:space="0" w:color="auto"/>
      </w:divBdr>
    </w:div>
    <w:div w:id="34429593">
      <w:bodyDiv w:val="1"/>
      <w:marLeft w:val="0"/>
      <w:marRight w:val="0"/>
      <w:marTop w:val="0"/>
      <w:marBottom w:val="0"/>
      <w:divBdr>
        <w:top w:val="none" w:sz="0" w:space="0" w:color="auto"/>
        <w:left w:val="none" w:sz="0" w:space="0" w:color="auto"/>
        <w:bottom w:val="none" w:sz="0" w:space="0" w:color="auto"/>
        <w:right w:val="none" w:sz="0" w:space="0" w:color="auto"/>
      </w:divBdr>
    </w:div>
    <w:div w:id="36197593">
      <w:bodyDiv w:val="1"/>
      <w:marLeft w:val="0"/>
      <w:marRight w:val="0"/>
      <w:marTop w:val="0"/>
      <w:marBottom w:val="0"/>
      <w:divBdr>
        <w:top w:val="none" w:sz="0" w:space="0" w:color="auto"/>
        <w:left w:val="none" w:sz="0" w:space="0" w:color="auto"/>
        <w:bottom w:val="none" w:sz="0" w:space="0" w:color="auto"/>
        <w:right w:val="none" w:sz="0" w:space="0" w:color="auto"/>
      </w:divBdr>
      <w:divsChild>
        <w:div w:id="1519730015">
          <w:marLeft w:val="0"/>
          <w:marRight w:val="0"/>
          <w:marTop w:val="0"/>
          <w:marBottom w:val="0"/>
          <w:divBdr>
            <w:top w:val="none" w:sz="0" w:space="0" w:color="auto"/>
            <w:left w:val="none" w:sz="0" w:space="0" w:color="auto"/>
            <w:bottom w:val="none" w:sz="0" w:space="0" w:color="auto"/>
            <w:right w:val="none" w:sz="0" w:space="0" w:color="auto"/>
          </w:divBdr>
          <w:divsChild>
            <w:div w:id="70976471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36590351">
      <w:bodyDiv w:val="1"/>
      <w:marLeft w:val="0"/>
      <w:marRight w:val="0"/>
      <w:marTop w:val="0"/>
      <w:marBottom w:val="0"/>
      <w:divBdr>
        <w:top w:val="none" w:sz="0" w:space="0" w:color="auto"/>
        <w:left w:val="none" w:sz="0" w:space="0" w:color="auto"/>
        <w:bottom w:val="none" w:sz="0" w:space="0" w:color="auto"/>
        <w:right w:val="none" w:sz="0" w:space="0" w:color="auto"/>
      </w:divBdr>
      <w:divsChild>
        <w:div w:id="415637947">
          <w:marLeft w:val="0"/>
          <w:marRight w:val="0"/>
          <w:marTop w:val="0"/>
          <w:marBottom w:val="0"/>
          <w:divBdr>
            <w:top w:val="single" w:sz="6" w:space="0" w:color="0E477A"/>
            <w:left w:val="single" w:sz="6" w:space="0" w:color="0E477A"/>
            <w:bottom w:val="single" w:sz="6" w:space="0" w:color="0E477A"/>
            <w:right w:val="single" w:sz="6" w:space="0" w:color="0E477A"/>
          </w:divBdr>
          <w:divsChild>
            <w:div w:id="286085770">
              <w:marLeft w:val="2925"/>
              <w:marRight w:val="0"/>
              <w:marTop w:val="0"/>
              <w:marBottom w:val="0"/>
              <w:divBdr>
                <w:top w:val="none" w:sz="0" w:space="0" w:color="auto"/>
                <w:left w:val="none" w:sz="0" w:space="0" w:color="auto"/>
                <w:bottom w:val="none" w:sz="0" w:space="0" w:color="auto"/>
                <w:right w:val="none" w:sz="0" w:space="0" w:color="auto"/>
              </w:divBdr>
              <w:divsChild>
                <w:div w:id="811601988">
                  <w:marLeft w:val="0"/>
                  <w:marRight w:val="0"/>
                  <w:marTop w:val="0"/>
                  <w:marBottom w:val="0"/>
                  <w:divBdr>
                    <w:top w:val="none" w:sz="0" w:space="0" w:color="auto"/>
                    <w:left w:val="none" w:sz="0" w:space="0" w:color="auto"/>
                    <w:bottom w:val="none" w:sz="0" w:space="0" w:color="auto"/>
                    <w:right w:val="none" w:sz="0" w:space="0" w:color="auto"/>
                  </w:divBdr>
                  <w:divsChild>
                    <w:div w:id="1921675129">
                      <w:marLeft w:val="0"/>
                      <w:marRight w:val="150"/>
                      <w:marTop w:val="0"/>
                      <w:marBottom w:val="0"/>
                      <w:divBdr>
                        <w:top w:val="single" w:sz="6" w:space="0" w:color="CCCCCC"/>
                        <w:left w:val="single" w:sz="6" w:space="8" w:color="CCCCCC"/>
                        <w:bottom w:val="single" w:sz="6" w:space="8" w:color="CCCCCC"/>
                        <w:right w:val="single" w:sz="6" w:space="8" w:color="CCCCCC"/>
                      </w:divBdr>
                      <w:divsChild>
                        <w:div w:id="357118937">
                          <w:marLeft w:val="0"/>
                          <w:marRight w:val="0"/>
                          <w:marTop w:val="0"/>
                          <w:marBottom w:val="0"/>
                          <w:divBdr>
                            <w:top w:val="none" w:sz="0" w:space="0" w:color="auto"/>
                            <w:left w:val="none" w:sz="0" w:space="0" w:color="auto"/>
                            <w:bottom w:val="none" w:sz="0" w:space="0" w:color="auto"/>
                            <w:right w:val="none" w:sz="0" w:space="0" w:color="auto"/>
                          </w:divBdr>
                        </w:div>
                        <w:div w:id="816994799">
                          <w:marLeft w:val="0"/>
                          <w:marRight w:val="0"/>
                          <w:marTop w:val="0"/>
                          <w:marBottom w:val="0"/>
                          <w:divBdr>
                            <w:top w:val="none" w:sz="0" w:space="0" w:color="auto"/>
                            <w:left w:val="none" w:sz="0" w:space="0" w:color="auto"/>
                            <w:bottom w:val="none" w:sz="0" w:space="0" w:color="auto"/>
                            <w:right w:val="none" w:sz="0" w:space="0" w:color="auto"/>
                          </w:divBdr>
                        </w:div>
                        <w:div w:id="1248004927">
                          <w:marLeft w:val="0"/>
                          <w:marRight w:val="0"/>
                          <w:marTop w:val="0"/>
                          <w:marBottom w:val="0"/>
                          <w:divBdr>
                            <w:top w:val="none" w:sz="0" w:space="0" w:color="auto"/>
                            <w:left w:val="none" w:sz="0" w:space="0" w:color="auto"/>
                            <w:bottom w:val="none" w:sz="0" w:space="0" w:color="auto"/>
                            <w:right w:val="none" w:sz="0" w:space="0" w:color="auto"/>
                          </w:divBdr>
                        </w:div>
                        <w:div w:id="125203518">
                          <w:marLeft w:val="0"/>
                          <w:marRight w:val="0"/>
                          <w:marTop w:val="0"/>
                          <w:marBottom w:val="0"/>
                          <w:divBdr>
                            <w:top w:val="none" w:sz="0" w:space="0" w:color="auto"/>
                            <w:left w:val="none" w:sz="0" w:space="0" w:color="auto"/>
                            <w:bottom w:val="none" w:sz="0" w:space="0" w:color="auto"/>
                            <w:right w:val="none" w:sz="0" w:space="0" w:color="auto"/>
                          </w:divBdr>
                        </w:div>
                        <w:div w:id="620309149">
                          <w:marLeft w:val="0"/>
                          <w:marRight w:val="0"/>
                          <w:marTop w:val="0"/>
                          <w:marBottom w:val="0"/>
                          <w:divBdr>
                            <w:top w:val="none" w:sz="0" w:space="0" w:color="auto"/>
                            <w:left w:val="none" w:sz="0" w:space="0" w:color="auto"/>
                            <w:bottom w:val="none" w:sz="0" w:space="0" w:color="auto"/>
                            <w:right w:val="none" w:sz="0" w:space="0" w:color="auto"/>
                          </w:divBdr>
                        </w:div>
                        <w:div w:id="1465077652">
                          <w:marLeft w:val="0"/>
                          <w:marRight w:val="0"/>
                          <w:marTop w:val="0"/>
                          <w:marBottom w:val="0"/>
                          <w:divBdr>
                            <w:top w:val="none" w:sz="0" w:space="0" w:color="auto"/>
                            <w:left w:val="none" w:sz="0" w:space="0" w:color="auto"/>
                            <w:bottom w:val="none" w:sz="0" w:space="0" w:color="auto"/>
                            <w:right w:val="none" w:sz="0" w:space="0" w:color="auto"/>
                          </w:divBdr>
                        </w:div>
                        <w:div w:id="221336989">
                          <w:marLeft w:val="0"/>
                          <w:marRight w:val="0"/>
                          <w:marTop w:val="0"/>
                          <w:marBottom w:val="0"/>
                          <w:divBdr>
                            <w:top w:val="none" w:sz="0" w:space="0" w:color="auto"/>
                            <w:left w:val="none" w:sz="0" w:space="0" w:color="auto"/>
                            <w:bottom w:val="none" w:sz="0" w:space="0" w:color="auto"/>
                            <w:right w:val="none" w:sz="0" w:space="0" w:color="auto"/>
                          </w:divBdr>
                        </w:div>
                        <w:div w:id="136608782">
                          <w:marLeft w:val="0"/>
                          <w:marRight w:val="0"/>
                          <w:marTop w:val="0"/>
                          <w:marBottom w:val="0"/>
                          <w:divBdr>
                            <w:top w:val="none" w:sz="0" w:space="0" w:color="auto"/>
                            <w:left w:val="none" w:sz="0" w:space="0" w:color="auto"/>
                            <w:bottom w:val="none" w:sz="0" w:space="0" w:color="auto"/>
                            <w:right w:val="none" w:sz="0" w:space="0" w:color="auto"/>
                          </w:divBdr>
                        </w:div>
                        <w:div w:id="1496461001">
                          <w:marLeft w:val="0"/>
                          <w:marRight w:val="0"/>
                          <w:marTop w:val="0"/>
                          <w:marBottom w:val="0"/>
                          <w:divBdr>
                            <w:top w:val="none" w:sz="0" w:space="0" w:color="auto"/>
                            <w:left w:val="none" w:sz="0" w:space="0" w:color="auto"/>
                            <w:bottom w:val="none" w:sz="0" w:space="0" w:color="auto"/>
                            <w:right w:val="none" w:sz="0" w:space="0" w:color="auto"/>
                          </w:divBdr>
                        </w:div>
                        <w:div w:id="16053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53076">
      <w:bodyDiv w:val="1"/>
      <w:marLeft w:val="0"/>
      <w:marRight w:val="0"/>
      <w:marTop w:val="0"/>
      <w:marBottom w:val="0"/>
      <w:divBdr>
        <w:top w:val="none" w:sz="0" w:space="0" w:color="auto"/>
        <w:left w:val="none" w:sz="0" w:space="0" w:color="auto"/>
        <w:bottom w:val="none" w:sz="0" w:space="0" w:color="auto"/>
        <w:right w:val="none" w:sz="0" w:space="0" w:color="auto"/>
      </w:divBdr>
    </w:div>
    <w:div w:id="37051155">
      <w:bodyDiv w:val="1"/>
      <w:marLeft w:val="0"/>
      <w:marRight w:val="0"/>
      <w:marTop w:val="0"/>
      <w:marBottom w:val="0"/>
      <w:divBdr>
        <w:top w:val="none" w:sz="0" w:space="0" w:color="auto"/>
        <w:left w:val="none" w:sz="0" w:space="0" w:color="auto"/>
        <w:bottom w:val="none" w:sz="0" w:space="0" w:color="auto"/>
        <w:right w:val="none" w:sz="0" w:space="0" w:color="auto"/>
      </w:divBdr>
      <w:divsChild>
        <w:div w:id="58947896">
          <w:marLeft w:val="0"/>
          <w:marRight w:val="0"/>
          <w:marTop w:val="150"/>
          <w:marBottom w:val="0"/>
          <w:divBdr>
            <w:top w:val="none" w:sz="0" w:space="0" w:color="auto"/>
            <w:left w:val="none" w:sz="0" w:space="0" w:color="auto"/>
            <w:bottom w:val="none" w:sz="0" w:space="0" w:color="auto"/>
            <w:right w:val="none" w:sz="0" w:space="0" w:color="auto"/>
          </w:divBdr>
        </w:div>
      </w:divsChild>
    </w:div>
    <w:div w:id="37628683">
      <w:bodyDiv w:val="1"/>
      <w:marLeft w:val="0"/>
      <w:marRight w:val="0"/>
      <w:marTop w:val="0"/>
      <w:marBottom w:val="0"/>
      <w:divBdr>
        <w:top w:val="none" w:sz="0" w:space="0" w:color="auto"/>
        <w:left w:val="none" w:sz="0" w:space="0" w:color="auto"/>
        <w:bottom w:val="none" w:sz="0" w:space="0" w:color="auto"/>
        <w:right w:val="none" w:sz="0" w:space="0" w:color="auto"/>
      </w:divBdr>
      <w:divsChild>
        <w:div w:id="700134143">
          <w:marLeft w:val="0"/>
          <w:marRight w:val="0"/>
          <w:marTop w:val="150"/>
          <w:marBottom w:val="0"/>
          <w:divBdr>
            <w:top w:val="none" w:sz="0" w:space="0" w:color="auto"/>
            <w:left w:val="none" w:sz="0" w:space="0" w:color="auto"/>
            <w:bottom w:val="none" w:sz="0" w:space="0" w:color="auto"/>
            <w:right w:val="none" w:sz="0" w:space="0" w:color="auto"/>
          </w:divBdr>
          <w:divsChild>
            <w:div w:id="730075895">
              <w:marLeft w:val="2"/>
              <w:marRight w:val="2"/>
              <w:marTop w:val="0"/>
              <w:marBottom w:val="0"/>
              <w:divBdr>
                <w:top w:val="none" w:sz="0" w:space="0" w:color="auto"/>
                <w:left w:val="none" w:sz="0" w:space="0" w:color="auto"/>
                <w:bottom w:val="none" w:sz="0" w:space="0" w:color="auto"/>
                <w:right w:val="none" w:sz="0" w:space="0" w:color="auto"/>
              </w:divBdr>
              <w:divsChild>
                <w:div w:id="101844233">
                  <w:marLeft w:val="0"/>
                  <w:marRight w:val="0"/>
                  <w:marTop w:val="0"/>
                  <w:marBottom w:val="0"/>
                  <w:divBdr>
                    <w:top w:val="none" w:sz="0" w:space="0" w:color="auto"/>
                    <w:left w:val="none" w:sz="0" w:space="0" w:color="auto"/>
                    <w:bottom w:val="none" w:sz="0" w:space="0" w:color="auto"/>
                    <w:right w:val="none" w:sz="0" w:space="0" w:color="auto"/>
                  </w:divBdr>
                  <w:divsChild>
                    <w:div w:id="1618675843">
                      <w:marLeft w:val="0"/>
                      <w:marRight w:val="0"/>
                      <w:marTop w:val="0"/>
                      <w:marBottom w:val="0"/>
                      <w:divBdr>
                        <w:top w:val="none" w:sz="0" w:space="0" w:color="auto"/>
                        <w:left w:val="none" w:sz="0" w:space="0" w:color="auto"/>
                        <w:bottom w:val="none" w:sz="0" w:space="0" w:color="auto"/>
                        <w:right w:val="none" w:sz="0" w:space="0" w:color="auto"/>
                      </w:divBdr>
                      <w:divsChild>
                        <w:div w:id="2105107993">
                          <w:marLeft w:val="0"/>
                          <w:marRight w:val="0"/>
                          <w:marTop w:val="0"/>
                          <w:marBottom w:val="0"/>
                          <w:divBdr>
                            <w:top w:val="none" w:sz="0" w:space="0" w:color="auto"/>
                            <w:left w:val="none" w:sz="0" w:space="0" w:color="auto"/>
                            <w:bottom w:val="none" w:sz="0" w:space="0" w:color="auto"/>
                            <w:right w:val="none" w:sz="0" w:space="0" w:color="auto"/>
                          </w:divBdr>
                          <w:divsChild>
                            <w:div w:id="833451296">
                              <w:marLeft w:val="0"/>
                              <w:marRight w:val="0"/>
                              <w:marTop w:val="0"/>
                              <w:marBottom w:val="0"/>
                              <w:divBdr>
                                <w:top w:val="none" w:sz="0" w:space="0" w:color="auto"/>
                                <w:left w:val="none" w:sz="0" w:space="0" w:color="auto"/>
                                <w:bottom w:val="none" w:sz="0" w:space="0" w:color="auto"/>
                                <w:right w:val="none" w:sz="0" w:space="0" w:color="auto"/>
                              </w:divBdr>
                              <w:divsChild>
                                <w:div w:id="333918606">
                                  <w:marLeft w:val="0"/>
                                  <w:marRight w:val="0"/>
                                  <w:marTop w:val="0"/>
                                  <w:marBottom w:val="0"/>
                                  <w:divBdr>
                                    <w:top w:val="none" w:sz="0" w:space="0" w:color="auto"/>
                                    <w:left w:val="none" w:sz="0" w:space="0" w:color="auto"/>
                                    <w:bottom w:val="none" w:sz="0" w:space="0" w:color="auto"/>
                                    <w:right w:val="none" w:sz="0" w:space="0" w:color="auto"/>
                                  </w:divBdr>
                                  <w:divsChild>
                                    <w:div w:id="1152331199">
                                      <w:marLeft w:val="0"/>
                                      <w:marRight w:val="0"/>
                                      <w:marTop w:val="0"/>
                                      <w:marBottom w:val="0"/>
                                      <w:divBdr>
                                        <w:top w:val="none" w:sz="0" w:space="0" w:color="auto"/>
                                        <w:left w:val="none" w:sz="0" w:space="0" w:color="auto"/>
                                        <w:bottom w:val="none" w:sz="0" w:space="0" w:color="auto"/>
                                        <w:right w:val="none" w:sz="0" w:space="0" w:color="auto"/>
                                      </w:divBdr>
                                      <w:divsChild>
                                        <w:div w:id="883249296">
                                          <w:marLeft w:val="0"/>
                                          <w:marRight w:val="0"/>
                                          <w:marTop w:val="0"/>
                                          <w:marBottom w:val="0"/>
                                          <w:divBdr>
                                            <w:top w:val="none" w:sz="0" w:space="0" w:color="auto"/>
                                            <w:left w:val="none" w:sz="0" w:space="0" w:color="auto"/>
                                            <w:bottom w:val="none" w:sz="0" w:space="0" w:color="auto"/>
                                            <w:right w:val="none" w:sz="0" w:space="0" w:color="auto"/>
                                          </w:divBdr>
                                          <w:divsChild>
                                            <w:div w:id="186529681">
                                              <w:marLeft w:val="0"/>
                                              <w:marRight w:val="0"/>
                                              <w:marTop w:val="0"/>
                                              <w:marBottom w:val="0"/>
                                              <w:divBdr>
                                                <w:top w:val="none" w:sz="0" w:space="0" w:color="auto"/>
                                                <w:left w:val="none" w:sz="0" w:space="0" w:color="auto"/>
                                                <w:bottom w:val="none" w:sz="0" w:space="0" w:color="auto"/>
                                                <w:right w:val="none" w:sz="0" w:space="0" w:color="auto"/>
                                              </w:divBdr>
                                              <w:divsChild>
                                                <w:div w:id="703015776">
                                                  <w:marLeft w:val="0"/>
                                                  <w:marRight w:val="0"/>
                                                  <w:marTop w:val="0"/>
                                                  <w:marBottom w:val="0"/>
                                                  <w:divBdr>
                                                    <w:top w:val="none" w:sz="0" w:space="0" w:color="auto"/>
                                                    <w:left w:val="none" w:sz="0" w:space="0" w:color="auto"/>
                                                    <w:bottom w:val="none" w:sz="0" w:space="0" w:color="auto"/>
                                                    <w:right w:val="none" w:sz="0" w:space="0" w:color="auto"/>
                                                  </w:divBdr>
                                                </w:div>
                                              </w:divsChild>
                                            </w:div>
                                            <w:div w:id="257713133">
                                              <w:marLeft w:val="0"/>
                                              <w:marRight w:val="0"/>
                                              <w:marTop w:val="0"/>
                                              <w:marBottom w:val="0"/>
                                              <w:divBdr>
                                                <w:top w:val="none" w:sz="0" w:space="0" w:color="auto"/>
                                                <w:left w:val="none" w:sz="0" w:space="0" w:color="auto"/>
                                                <w:bottom w:val="none" w:sz="0" w:space="0" w:color="auto"/>
                                                <w:right w:val="none" w:sz="0" w:space="0" w:color="auto"/>
                                              </w:divBdr>
                                              <w:divsChild>
                                                <w:div w:id="1143959607">
                                                  <w:marLeft w:val="0"/>
                                                  <w:marRight w:val="0"/>
                                                  <w:marTop w:val="0"/>
                                                  <w:marBottom w:val="0"/>
                                                  <w:divBdr>
                                                    <w:top w:val="none" w:sz="0" w:space="0" w:color="auto"/>
                                                    <w:left w:val="none" w:sz="0" w:space="0" w:color="auto"/>
                                                    <w:bottom w:val="none" w:sz="0" w:space="0" w:color="auto"/>
                                                    <w:right w:val="none" w:sz="0" w:space="0" w:color="auto"/>
                                                  </w:divBdr>
                                                </w:div>
                                              </w:divsChild>
                                            </w:div>
                                            <w:div w:id="1654289055">
                                              <w:marLeft w:val="0"/>
                                              <w:marRight w:val="0"/>
                                              <w:marTop w:val="0"/>
                                              <w:marBottom w:val="0"/>
                                              <w:divBdr>
                                                <w:top w:val="none" w:sz="0" w:space="0" w:color="auto"/>
                                                <w:left w:val="none" w:sz="0" w:space="0" w:color="auto"/>
                                                <w:bottom w:val="none" w:sz="0" w:space="0" w:color="auto"/>
                                                <w:right w:val="none" w:sz="0" w:space="0" w:color="auto"/>
                                              </w:divBdr>
                                              <w:divsChild>
                                                <w:div w:id="413548030">
                                                  <w:marLeft w:val="0"/>
                                                  <w:marRight w:val="0"/>
                                                  <w:marTop w:val="0"/>
                                                  <w:marBottom w:val="0"/>
                                                  <w:divBdr>
                                                    <w:top w:val="none" w:sz="0" w:space="0" w:color="auto"/>
                                                    <w:left w:val="none" w:sz="0" w:space="0" w:color="auto"/>
                                                    <w:bottom w:val="none" w:sz="0" w:space="0" w:color="auto"/>
                                                    <w:right w:val="none" w:sz="0" w:space="0" w:color="auto"/>
                                                  </w:divBdr>
                                                </w:div>
                                              </w:divsChild>
                                            </w:div>
                                            <w:div w:id="1905749021">
                                              <w:marLeft w:val="0"/>
                                              <w:marRight w:val="0"/>
                                              <w:marTop w:val="0"/>
                                              <w:marBottom w:val="0"/>
                                              <w:divBdr>
                                                <w:top w:val="none" w:sz="0" w:space="0" w:color="auto"/>
                                                <w:left w:val="none" w:sz="0" w:space="0" w:color="auto"/>
                                                <w:bottom w:val="none" w:sz="0" w:space="0" w:color="auto"/>
                                                <w:right w:val="none" w:sz="0" w:space="0" w:color="auto"/>
                                              </w:divBdr>
                                              <w:divsChild>
                                                <w:div w:id="20383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72331">
      <w:bodyDiv w:val="1"/>
      <w:marLeft w:val="0"/>
      <w:marRight w:val="0"/>
      <w:marTop w:val="0"/>
      <w:marBottom w:val="0"/>
      <w:divBdr>
        <w:top w:val="none" w:sz="0" w:space="0" w:color="auto"/>
        <w:left w:val="none" w:sz="0" w:space="0" w:color="auto"/>
        <w:bottom w:val="none" w:sz="0" w:space="0" w:color="auto"/>
        <w:right w:val="none" w:sz="0" w:space="0" w:color="auto"/>
      </w:divBdr>
      <w:divsChild>
        <w:div w:id="537592752">
          <w:marLeft w:val="0"/>
          <w:marRight w:val="0"/>
          <w:marTop w:val="0"/>
          <w:marBottom w:val="0"/>
          <w:divBdr>
            <w:top w:val="none" w:sz="0" w:space="0" w:color="auto"/>
            <w:left w:val="none" w:sz="0" w:space="0" w:color="auto"/>
            <w:bottom w:val="none" w:sz="0" w:space="0" w:color="auto"/>
            <w:right w:val="none" w:sz="0" w:space="0" w:color="auto"/>
          </w:divBdr>
          <w:divsChild>
            <w:div w:id="1300913146">
              <w:marLeft w:val="0"/>
              <w:marRight w:val="0"/>
              <w:marTop w:val="0"/>
              <w:marBottom w:val="0"/>
              <w:divBdr>
                <w:top w:val="none" w:sz="0" w:space="0" w:color="auto"/>
                <w:left w:val="none" w:sz="0" w:space="0" w:color="auto"/>
                <w:bottom w:val="none" w:sz="0" w:space="0" w:color="auto"/>
                <w:right w:val="none" w:sz="0" w:space="0" w:color="auto"/>
              </w:divBdr>
              <w:divsChild>
                <w:div w:id="544373190">
                  <w:marLeft w:val="0"/>
                  <w:marRight w:val="0"/>
                  <w:marTop w:val="0"/>
                  <w:marBottom w:val="0"/>
                  <w:divBdr>
                    <w:top w:val="none" w:sz="0" w:space="0" w:color="auto"/>
                    <w:left w:val="none" w:sz="0" w:space="0" w:color="auto"/>
                    <w:bottom w:val="none" w:sz="0" w:space="0" w:color="auto"/>
                    <w:right w:val="none" w:sz="0" w:space="0" w:color="auto"/>
                  </w:divBdr>
                  <w:divsChild>
                    <w:div w:id="1678969133">
                      <w:marLeft w:val="0"/>
                      <w:marRight w:val="0"/>
                      <w:marTop w:val="0"/>
                      <w:marBottom w:val="0"/>
                      <w:divBdr>
                        <w:top w:val="none" w:sz="0" w:space="0" w:color="auto"/>
                        <w:left w:val="none" w:sz="0" w:space="0" w:color="auto"/>
                        <w:bottom w:val="none" w:sz="0" w:space="0" w:color="auto"/>
                        <w:right w:val="none" w:sz="0" w:space="0" w:color="auto"/>
                      </w:divBdr>
                      <w:divsChild>
                        <w:div w:id="817721695">
                          <w:marLeft w:val="0"/>
                          <w:marRight w:val="0"/>
                          <w:marTop w:val="0"/>
                          <w:marBottom w:val="0"/>
                          <w:divBdr>
                            <w:top w:val="none" w:sz="0" w:space="0" w:color="auto"/>
                            <w:left w:val="none" w:sz="0" w:space="0" w:color="auto"/>
                            <w:bottom w:val="none" w:sz="0" w:space="0" w:color="auto"/>
                            <w:right w:val="none" w:sz="0" w:space="0" w:color="auto"/>
                          </w:divBdr>
                          <w:divsChild>
                            <w:div w:id="1230462273">
                              <w:marLeft w:val="0"/>
                              <w:marRight w:val="0"/>
                              <w:marTop w:val="0"/>
                              <w:marBottom w:val="0"/>
                              <w:divBdr>
                                <w:top w:val="none" w:sz="0" w:space="0" w:color="auto"/>
                                <w:left w:val="none" w:sz="0" w:space="0" w:color="auto"/>
                                <w:bottom w:val="none" w:sz="0" w:space="0" w:color="auto"/>
                                <w:right w:val="none" w:sz="0" w:space="0" w:color="auto"/>
                              </w:divBdr>
                              <w:divsChild>
                                <w:div w:id="1143621625">
                                  <w:marLeft w:val="0"/>
                                  <w:marRight w:val="0"/>
                                  <w:marTop w:val="0"/>
                                  <w:marBottom w:val="0"/>
                                  <w:divBdr>
                                    <w:top w:val="none" w:sz="0" w:space="0" w:color="auto"/>
                                    <w:left w:val="none" w:sz="0" w:space="0" w:color="auto"/>
                                    <w:bottom w:val="none" w:sz="0" w:space="0" w:color="auto"/>
                                    <w:right w:val="none" w:sz="0" w:space="0" w:color="auto"/>
                                  </w:divBdr>
                                  <w:divsChild>
                                    <w:div w:id="300351930">
                                      <w:marLeft w:val="0"/>
                                      <w:marRight w:val="0"/>
                                      <w:marTop w:val="0"/>
                                      <w:marBottom w:val="0"/>
                                      <w:divBdr>
                                        <w:top w:val="none" w:sz="0" w:space="0" w:color="auto"/>
                                        <w:left w:val="none" w:sz="0" w:space="0" w:color="auto"/>
                                        <w:bottom w:val="none" w:sz="0" w:space="0" w:color="auto"/>
                                        <w:right w:val="none" w:sz="0" w:space="0" w:color="auto"/>
                                      </w:divBdr>
                                      <w:divsChild>
                                        <w:div w:id="872233773">
                                          <w:marLeft w:val="0"/>
                                          <w:marRight w:val="0"/>
                                          <w:marTop w:val="0"/>
                                          <w:marBottom w:val="0"/>
                                          <w:divBdr>
                                            <w:top w:val="none" w:sz="0" w:space="0" w:color="auto"/>
                                            <w:left w:val="none" w:sz="0" w:space="0" w:color="auto"/>
                                            <w:bottom w:val="none" w:sz="0" w:space="0" w:color="auto"/>
                                            <w:right w:val="none" w:sz="0" w:space="0" w:color="auto"/>
                                          </w:divBdr>
                                        </w:div>
                                        <w:div w:id="1079059329">
                                          <w:marLeft w:val="0"/>
                                          <w:marRight w:val="0"/>
                                          <w:marTop w:val="0"/>
                                          <w:marBottom w:val="0"/>
                                          <w:divBdr>
                                            <w:top w:val="none" w:sz="0" w:space="0" w:color="auto"/>
                                            <w:left w:val="none" w:sz="0" w:space="0" w:color="auto"/>
                                            <w:bottom w:val="none" w:sz="0" w:space="0" w:color="auto"/>
                                            <w:right w:val="none" w:sz="0" w:space="0" w:color="auto"/>
                                          </w:divBdr>
                                          <w:divsChild>
                                            <w:div w:id="15624489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30780">
      <w:bodyDiv w:val="1"/>
      <w:marLeft w:val="0"/>
      <w:marRight w:val="0"/>
      <w:marTop w:val="0"/>
      <w:marBottom w:val="0"/>
      <w:divBdr>
        <w:top w:val="none" w:sz="0" w:space="0" w:color="auto"/>
        <w:left w:val="none" w:sz="0" w:space="0" w:color="auto"/>
        <w:bottom w:val="none" w:sz="0" w:space="0" w:color="auto"/>
        <w:right w:val="none" w:sz="0" w:space="0" w:color="auto"/>
      </w:divBdr>
      <w:divsChild>
        <w:div w:id="1748847809">
          <w:marLeft w:val="0"/>
          <w:marRight w:val="0"/>
          <w:marTop w:val="0"/>
          <w:marBottom w:val="0"/>
          <w:divBdr>
            <w:top w:val="none" w:sz="0" w:space="0" w:color="auto"/>
            <w:left w:val="none" w:sz="0" w:space="0" w:color="auto"/>
            <w:bottom w:val="none" w:sz="0" w:space="0" w:color="auto"/>
            <w:right w:val="none" w:sz="0" w:space="0" w:color="auto"/>
          </w:divBdr>
        </w:div>
        <w:div w:id="285818240">
          <w:marLeft w:val="0"/>
          <w:marRight w:val="0"/>
          <w:marTop w:val="0"/>
          <w:marBottom w:val="0"/>
          <w:divBdr>
            <w:top w:val="none" w:sz="0" w:space="0" w:color="auto"/>
            <w:left w:val="none" w:sz="0" w:space="0" w:color="auto"/>
            <w:bottom w:val="none" w:sz="0" w:space="0" w:color="auto"/>
            <w:right w:val="none" w:sz="0" w:space="0" w:color="auto"/>
          </w:divBdr>
          <w:divsChild>
            <w:div w:id="9835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476">
      <w:bodyDiv w:val="1"/>
      <w:marLeft w:val="0"/>
      <w:marRight w:val="0"/>
      <w:marTop w:val="0"/>
      <w:marBottom w:val="0"/>
      <w:divBdr>
        <w:top w:val="none" w:sz="0" w:space="0" w:color="auto"/>
        <w:left w:val="none" w:sz="0" w:space="0" w:color="auto"/>
        <w:bottom w:val="none" w:sz="0" w:space="0" w:color="auto"/>
        <w:right w:val="none" w:sz="0" w:space="0" w:color="auto"/>
      </w:divBdr>
      <w:divsChild>
        <w:div w:id="1397510593">
          <w:marLeft w:val="0"/>
          <w:marRight w:val="0"/>
          <w:marTop w:val="0"/>
          <w:marBottom w:val="0"/>
          <w:divBdr>
            <w:top w:val="none" w:sz="0" w:space="0" w:color="auto"/>
            <w:left w:val="none" w:sz="0" w:space="0" w:color="auto"/>
            <w:bottom w:val="none" w:sz="0" w:space="0" w:color="auto"/>
            <w:right w:val="none" w:sz="0" w:space="0" w:color="auto"/>
          </w:divBdr>
          <w:divsChild>
            <w:div w:id="1176653968">
              <w:marLeft w:val="0"/>
              <w:marRight w:val="0"/>
              <w:marTop w:val="0"/>
              <w:marBottom w:val="0"/>
              <w:divBdr>
                <w:top w:val="none" w:sz="0" w:space="0" w:color="auto"/>
                <w:left w:val="none" w:sz="0" w:space="0" w:color="auto"/>
                <w:bottom w:val="none" w:sz="0" w:space="0" w:color="auto"/>
                <w:right w:val="none" w:sz="0" w:space="0" w:color="auto"/>
              </w:divBdr>
              <w:divsChild>
                <w:div w:id="179784854">
                  <w:marLeft w:val="0"/>
                  <w:marRight w:val="0"/>
                  <w:marTop w:val="0"/>
                  <w:marBottom w:val="0"/>
                  <w:divBdr>
                    <w:top w:val="none" w:sz="0" w:space="0" w:color="auto"/>
                    <w:left w:val="none" w:sz="0" w:space="0" w:color="auto"/>
                    <w:bottom w:val="none" w:sz="0" w:space="0" w:color="auto"/>
                    <w:right w:val="none" w:sz="0" w:space="0" w:color="auto"/>
                  </w:divBdr>
                  <w:divsChild>
                    <w:div w:id="1843353823">
                      <w:marLeft w:val="0"/>
                      <w:marRight w:val="0"/>
                      <w:marTop w:val="0"/>
                      <w:marBottom w:val="0"/>
                      <w:divBdr>
                        <w:top w:val="none" w:sz="0" w:space="0" w:color="auto"/>
                        <w:left w:val="none" w:sz="0" w:space="0" w:color="auto"/>
                        <w:bottom w:val="none" w:sz="0" w:space="0" w:color="auto"/>
                        <w:right w:val="none" w:sz="0" w:space="0" w:color="auto"/>
                      </w:divBdr>
                      <w:divsChild>
                        <w:div w:id="516312873">
                          <w:marLeft w:val="0"/>
                          <w:marRight w:val="0"/>
                          <w:marTop w:val="0"/>
                          <w:marBottom w:val="0"/>
                          <w:divBdr>
                            <w:top w:val="none" w:sz="0" w:space="0" w:color="auto"/>
                            <w:left w:val="none" w:sz="0" w:space="0" w:color="auto"/>
                            <w:bottom w:val="none" w:sz="0" w:space="0" w:color="auto"/>
                            <w:right w:val="none" w:sz="0" w:space="0" w:color="auto"/>
                          </w:divBdr>
                          <w:divsChild>
                            <w:div w:id="1429496746">
                              <w:marLeft w:val="0"/>
                              <w:marRight w:val="0"/>
                              <w:marTop w:val="0"/>
                              <w:marBottom w:val="0"/>
                              <w:divBdr>
                                <w:top w:val="none" w:sz="0" w:space="0" w:color="auto"/>
                                <w:left w:val="none" w:sz="0" w:space="0" w:color="auto"/>
                                <w:bottom w:val="none" w:sz="0" w:space="0" w:color="auto"/>
                                <w:right w:val="none" w:sz="0" w:space="0" w:color="auto"/>
                              </w:divBdr>
                              <w:divsChild>
                                <w:div w:id="2027099690">
                                  <w:marLeft w:val="570"/>
                                  <w:marRight w:val="720"/>
                                  <w:marTop w:val="120"/>
                                  <w:marBottom w:val="120"/>
                                  <w:divBdr>
                                    <w:top w:val="none" w:sz="0" w:space="0" w:color="auto"/>
                                    <w:left w:val="none" w:sz="0" w:space="0" w:color="auto"/>
                                    <w:bottom w:val="none" w:sz="0" w:space="0" w:color="auto"/>
                                    <w:right w:val="none" w:sz="0" w:space="0" w:color="auto"/>
                                  </w:divBdr>
                                  <w:divsChild>
                                    <w:div w:id="256905307">
                                      <w:marLeft w:val="0"/>
                                      <w:marRight w:val="0"/>
                                      <w:marTop w:val="0"/>
                                      <w:marBottom w:val="0"/>
                                      <w:divBdr>
                                        <w:top w:val="none" w:sz="0" w:space="0" w:color="auto"/>
                                        <w:left w:val="none" w:sz="0" w:space="0" w:color="auto"/>
                                        <w:bottom w:val="none" w:sz="0" w:space="0" w:color="auto"/>
                                        <w:right w:val="none" w:sz="0" w:space="0" w:color="auto"/>
                                      </w:divBdr>
                                      <w:divsChild>
                                        <w:div w:id="877820193">
                                          <w:marLeft w:val="0"/>
                                          <w:marRight w:val="0"/>
                                          <w:marTop w:val="0"/>
                                          <w:marBottom w:val="0"/>
                                          <w:divBdr>
                                            <w:top w:val="none" w:sz="0" w:space="0" w:color="auto"/>
                                            <w:left w:val="none" w:sz="0" w:space="0" w:color="auto"/>
                                            <w:bottom w:val="none" w:sz="0" w:space="0" w:color="auto"/>
                                            <w:right w:val="none" w:sz="0" w:space="0" w:color="auto"/>
                                          </w:divBdr>
                                          <w:divsChild>
                                            <w:div w:id="1091588914">
                                              <w:marLeft w:val="0"/>
                                              <w:marRight w:val="0"/>
                                              <w:marTop w:val="0"/>
                                              <w:marBottom w:val="0"/>
                                              <w:divBdr>
                                                <w:top w:val="none" w:sz="0" w:space="0" w:color="auto"/>
                                                <w:left w:val="none" w:sz="0" w:space="0" w:color="auto"/>
                                                <w:bottom w:val="none" w:sz="0" w:space="0" w:color="auto"/>
                                                <w:right w:val="none" w:sz="0" w:space="0" w:color="auto"/>
                                              </w:divBdr>
                                              <w:divsChild>
                                                <w:div w:id="1557087453">
                                                  <w:marLeft w:val="0"/>
                                                  <w:marRight w:val="0"/>
                                                  <w:marTop w:val="240"/>
                                                  <w:marBottom w:val="240"/>
                                                  <w:divBdr>
                                                    <w:top w:val="single" w:sz="6" w:space="6" w:color="F2F2F2"/>
                                                    <w:left w:val="none" w:sz="0" w:space="0" w:color="auto"/>
                                                    <w:bottom w:val="single" w:sz="6" w:space="6" w:color="F2F2F2"/>
                                                    <w:right w:val="none" w:sz="0" w:space="0" w:color="auto"/>
                                                  </w:divBdr>
                                                </w:div>
                                                <w:div w:id="2084066255">
                                                  <w:marLeft w:val="0"/>
                                                  <w:marRight w:val="0"/>
                                                  <w:marTop w:val="0"/>
                                                  <w:marBottom w:val="0"/>
                                                  <w:divBdr>
                                                    <w:top w:val="none" w:sz="0" w:space="0" w:color="auto"/>
                                                    <w:left w:val="none" w:sz="0" w:space="0" w:color="auto"/>
                                                    <w:bottom w:val="none" w:sz="0" w:space="0" w:color="auto"/>
                                                    <w:right w:val="none" w:sz="0" w:space="0" w:color="auto"/>
                                                  </w:divBdr>
                                                  <w:divsChild>
                                                    <w:div w:id="1969123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85724">
      <w:bodyDiv w:val="1"/>
      <w:marLeft w:val="0"/>
      <w:marRight w:val="0"/>
      <w:marTop w:val="0"/>
      <w:marBottom w:val="0"/>
      <w:divBdr>
        <w:top w:val="none" w:sz="0" w:space="0" w:color="auto"/>
        <w:left w:val="none" w:sz="0" w:space="0" w:color="auto"/>
        <w:bottom w:val="none" w:sz="0" w:space="0" w:color="auto"/>
        <w:right w:val="none" w:sz="0" w:space="0" w:color="auto"/>
      </w:divBdr>
      <w:divsChild>
        <w:div w:id="2087678740">
          <w:marLeft w:val="0"/>
          <w:marRight w:val="0"/>
          <w:marTop w:val="0"/>
          <w:marBottom w:val="0"/>
          <w:divBdr>
            <w:top w:val="none" w:sz="0" w:space="0" w:color="auto"/>
            <w:left w:val="none" w:sz="0" w:space="0" w:color="auto"/>
            <w:bottom w:val="none" w:sz="0" w:space="0" w:color="auto"/>
            <w:right w:val="none" w:sz="0" w:space="0" w:color="auto"/>
          </w:divBdr>
          <w:divsChild>
            <w:div w:id="906457476">
              <w:marLeft w:val="0"/>
              <w:marRight w:val="0"/>
              <w:marTop w:val="0"/>
              <w:marBottom w:val="0"/>
              <w:divBdr>
                <w:top w:val="none" w:sz="0" w:space="0" w:color="auto"/>
                <w:left w:val="none" w:sz="0" w:space="0" w:color="auto"/>
                <w:bottom w:val="none" w:sz="0" w:space="0" w:color="auto"/>
                <w:right w:val="none" w:sz="0" w:space="0" w:color="auto"/>
              </w:divBdr>
              <w:divsChild>
                <w:div w:id="1961833233">
                  <w:marLeft w:val="-375"/>
                  <w:marRight w:val="0"/>
                  <w:marTop w:val="0"/>
                  <w:marBottom w:val="0"/>
                  <w:divBdr>
                    <w:top w:val="none" w:sz="0" w:space="0" w:color="auto"/>
                    <w:left w:val="none" w:sz="0" w:space="0" w:color="auto"/>
                    <w:bottom w:val="none" w:sz="0" w:space="0" w:color="auto"/>
                    <w:right w:val="none" w:sz="0" w:space="0" w:color="auto"/>
                  </w:divBdr>
                  <w:divsChild>
                    <w:div w:id="2056545056">
                      <w:marLeft w:val="0"/>
                      <w:marRight w:val="0"/>
                      <w:marTop w:val="0"/>
                      <w:marBottom w:val="0"/>
                      <w:divBdr>
                        <w:top w:val="none" w:sz="0" w:space="0" w:color="auto"/>
                        <w:left w:val="none" w:sz="0" w:space="0" w:color="auto"/>
                        <w:bottom w:val="none" w:sz="0" w:space="0" w:color="auto"/>
                        <w:right w:val="none" w:sz="0" w:space="0" w:color="auto"/>
                      </w:divBdr>
                      <w:divsChild>
                        <w:div w:id="618923288">
                          <w:marLeft w:val="0"/>
                          <w:marRight w:val="0"/>
                          <w:marTop w:val="0"/>
                          <w:marBottom w:val="0"/>
                          <w:divBdr>
                            <w:top w:val="none" w:sz="0" w:space="0" w:color="auto"/>
                            <w:left w:val="none" w:sz="0" w:space="0" w:color="auto"/>
                            <w:bottom w:val="none" w:sz="0" w:space="0" w:color="auto"/>
                            <w:right w:val="none" w:sz="0" w:space="0" w:color="auto"/>
                          </w:divBdr>
                          <w:divsChild>
                            <w:div w:id="1143307404">
                              <w:marLeft w:val="-375"/>
                              <w:marRight w:val="0"/>
                              <w:marTop w:val="0"/>
                              <w:marBottom w:val="0"/>
                              <w:divBdr>
                                <w:top w:val="none" w:sz="0" w:space="0" w:color="auto"/>
                                <w:left w:val="none" w:sz="0" w:space="0" w:color="auto"/>
                                <w:bottom w:val="none" w:sz="0" w:space="0" w:color="auto"/>
                                <w:right w:val="none" w:sz="0" w:space="0" w:color="auto"/>
                              </w:divBdr>
                              <w:divsChild>
                                <w:div w:id="937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20816">
      <w:bodyDiv w:val="1"/>
      <w:marLeft w:val="0"/>
      <w:marRight w:val="0"/>
      <w:marTop w:val="0"/>
      <w:marBottom w:val="0"/>
      <w:divBdr>
        <w:top w:val="none" w:sz="0" w:space="0" w:color="auto"/>
        <w:left w:val="none" w:sz="0" w:space="0" w:color="auto"/>
        <w:bottom w:val="none" w:sz="0" w:space="0" w:color="auto"/>
        <w:right w:val="none" w:sz="0" w:space="0" w:color="auto"/>
      </w:divBdr>
      <w:divsChild>
        <w:div w:id="106973529">
          <w:marLeft w:val="0"/>
          <w:marRight w:val="0"/>
          <w:marTop w:val="0"/>
          <w:marBottom w:val="0"/>
          <w:divBdr>
            <w:top w:val="none" w:sz="0" w:space="0" w:color="auto"/>
            <w:left w:val="none" w:sz="0" w:space="0" w:color="auto"/>
            <w:bottom w:val="none" w:sz="0" w:space="0" w:color="auto"/>
            <w:right w:val="none" w:sz="0" w:space="0" w:color="auto"/>
          </w:divBdr>
          <w:divsChild>
            <w:div w:id="1711804344">
              <w:marLeft w:val="0"/>
              <w:marRight w:val="0"/>
              <w:marTop w:val="0"/>
              <w:marBottom w:val="0"/>
              <w:divBdr>
                <w:top w:val="none" w:sz="0" w:space="0" w:color="auto"/>
                <w:left w:val="none" w:sz="0" w:space="0" w:color="auto"/>
                <w:bottom w:val="none" w:sz="0" w:space="0" w:color="auto"/>
                <w:right w:val="none" w:sz="0" w:space="0" w:color="auto"/>
              </w:divBdr>
              <w:divsChild>
                <w:div w:id="2051494917">
                  <w:marLeft w:val="0"/>
                  <w:marRight w:val="0"/>
                  <w:marTop w:val="0"/>
                  <w:marBottom w:val="0"/>
                  <w:divBdr>
                    <w:top w:val="none" w:sz="0" w:space="0" w:color="auto"/>
                    <w:left w:val="none" w:sz="0" w:space="0" w:color="auto"/>
                    <w:bottom w:val="none" w:sz="0" w:space="0" w:color="auto"/>
                    <w:right w:val="none" w:sz="0" w:space="0" w:color="auto"/>
                  </w:divBdr>
                  <w:divsChild>
                    <w:div w:id="1618830696">
                      <w:marLeft w:val="0"/>
                      <w:marRight w:val="0"/>
                      <w:marTop w:val="0"/>
                      <w:marBottom w:val="0"/>
                      <w:divBdr>
                        <w:top w:val="none" w:sz="0" w:space="0" w:color="auto"/>
                        <w:left w:val="none" w:sz="0" w:space="0" w:color="auto"/>
                        <w:bottom w:val="none" w:sz="0" w:space="0" w:color="auto"/>
                        <w:right w:val="none" w:sz="0" w:space="0" w:color="auto"/>
                      </w:divBdr>
                      <w:divsChild>
                        <w:div w:id="1693798211">
                          <w:marLeft w:val="0"/>
                          <w:marRight w:val="0"/>
                          <w:marTop w:val="0"/>
                          <w:marBottom w:val="0"/>
                          <w:divBdr>
                            <w:top w:val="none" w:sz="0" w:space="0" w:color="auto"/>
                            <w:left w:val="none" w:sz="0" w:space="0" w:color="auto"/>
                            <w:bottom w:val="none" w:sz="0" w:space="0" w:color="auto"/>
                            <w:right w:val="none" w:sz="0" w:space="0" w:color="auto"/>
                          </w:divBdr>
                          <w:divsChild>
                            <w:div w:id="1641033734">
                              <w:marLeft w:val="0"/>
                              <w:marRight w:val="0"/>
                              <w:marTop w:val="0"/>
                              <w:marBottom w:val="0"/>
                              <w:divBdr>
                                <w:top w:val="none" w:sz="0" w:space="0" w:color="auto"/>
                                <w:left w:val="none" w:sz="0" w:space="0" w:color="auto"/>
                                <w:bottom w:val="none" w:sz="0" w:space="0" w:color="auto"/>
                                <w:right w:val="none" w:sz="0" w:space="0" w:color="auto"/>
                              </w:divBdr>
                              <w:divsChild>
                                <w:div w:id="1663854799">
                                  <w:marLeft w:val="0"/>
                                  <w:marRight w:val="0"/>
                                  <w:marTop w:val="0"/>
                                  <w:marBottom w:val="0"/>
                                  <w:divBdr>
                                    <w:top w:val="none" w:sz="0" w:space="0" w:color="auto"/>
                                    <w:left w:val="none" w:sz="0" w:space="0" w:color="auto"/>
                                    <w:bottom w:val="none" w:sz="0" w:space="0" w:color="auto"/>
                                    <w:right w:val="none" w:sz="0" w:space="0" w:color="auto"/>
                                  </w:divBdr>
                                  <w:divsChild>
                                    <w:div w:id="1515070529">
                                      <w:marLeft w:val="0"/>
                                      <w:marRight w:val="0"/>
                                      <w:marTop w:val="0"/>
                                      <w:marBottom w:val="0"/>
                                      <w:divBdr>
                                        <w:top w:val="none" w:sz="0" w:space="0" w:color="auto"/>
                                        <w:left w:val="none" w:sz="0" w:space="0" w:color="auto"/>
                                        <w:bottom w:val="none" w:sz="0" w:space="0" w:color="auto"/>
                                        <w:right w:val="none" w:sz="0" w:space="0" w:color="auto"/>
                                      </w:divBdr>
                                      <w:divsChild>
                                        <w:div w:id="1701514753">
                                          <w:marLeft w:val="0"/>
                                          <w:marRight w:val="0"/>
                                          <w:marTop w:val="0"/>
                                          <w:marBottom w:val="0"/>
                                          <w:divBdr>
                                            <w:top w:val="none" w:sz="0" w:space="0" w:color="auto"/>
                                            <w:left w:val="none" w:sz="0" w:space="0" w:color="auto"/>
                                            <w:bottom w:val="none" w:sz="0" w:space="0" w:color="auto"/>
                                            <w:right w:val="none" w:sz="0" w:space="0" w:color="auto"/>
                                          </w:divBdr>
                                          <w:divsChild>
                                            <w:div w:id="254436638">
                                              <w:marLeft w:val="0"/>
                                              <w:marRight w:val="0"/>
                                              <w:marTop w:val="0"/>
                                              <w:marBottom w:val="0"/>
                                              <w:divBdr>
                                                <w:top w:val="none" w:sz="0" w:space="0" w:color="auto"/>
                                                <w:left w:val="none" w:sz="0" w:space="0" w:color="auto"/>
                                                <w:bottom w:val="none" w:sz="0" w:space="0" w:color="auto"/>
                                                <w:right w:val="none" w:sz="0" w:space="0" w:color="auto"/>
                                              </w:divBdr>
                                              <w:divsChild>
                                                <w:div w:id="428040529">
                                                  <w:marLeft w:val="0"/>
                                                  <w:marRight w:val="0"/>
                                                  <w:marTop w:val="0"/>
                                                  <w:marBottom w:val="0"/>
                                                  <w:divBdr>
                                                    <w:top w:val="none" w:sz="0" w:space="0" w:color="auto"/>
                                                    <w:left w:val="none" w:sz="0" w:space="0" w:color="auto"/>
                                                    <w:bottom w:val="none" w:sz="0" w:space="0" w:color="auto"/>
                                                    <w:right w:val="none" w:sz="0" w:space="0" w:color="auto"/>
                                                  </w:divBdr>
                                                  <w:divsChild>
                                                    <w:div w:id="1181971842">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033180">
      <w:bodyDiv w:val="1"/>
      <w:marLeft w:val="0"/>
      <w:marRight w:val="0"/>
      <w:marTop w:val="0"/>
      <w:marBottom w:val="0"/>
      <w:divBdr>
        <w:top w:val="none" w:sz="0" w:space="0" w:color="auto"/>
        <w:left w:val="none" w:sz="0" w:space="0" w:color="auto"/>
        <w:bottom w:val="none" w:sz="0" w:space="0" w:color="auto"/>
        <w:right w:val="none" w:sz="0" w:space="0" w:color="auto"/>
      </w:divBdr>
    </w:div>
    <w:div w:id="46416193">
      <w:bodyDiv w:val="1"/>
      <w:marLeft w:val="0"/>
      <w:marRight w:val="0"/>
      <w:marTop w:val="0"/>
      <w:marBottom w:val="0"/>
      <w:divBdr>
        <w:top w:val="none" w:sz="0" w:space="0" w:color="auto"/>
        <w:left w:val="none" w:sz="0" w:space="0" w:color="auto"/>
        <w:bottom w:val="none" w:sz="0" w:space="0" w:color="auto"/>
        <w:right w:val="none" w:sz="0" w:space="0" w:color="auto"/>
      </w:divBdr>
      <w:divsChild>
        <w:div w:id="882398958">
          <w:marLeft w:val="0"/>
          <w:marRight w:val="0"/>
          <w:marTop w:val="0"/>
          <w:marBottom w:val="0"/>
          <w:divBdr>
            <w:top w:val="none" w:sz="0" w:space="0" w:color="auto"/>
            <w:left w:val="none" w:sz="0" w:space="0" w:color="auto"/>
            <w:bottom w:val="none" w:sz="0" w:space="0" w:color="auto"/>
            <w:right w:val="none" w:sz="0" w:space="0" w:color="auto"/>
          </w:divBdr>
          <w:divsChild>
            <w:div w:id="14353780">
              <w:marLeft w:val="0"/>
              <w:marRight w:val="0"/>
              <w:marTop w:val="0"/>
              <w:marBottom w:val="0"/>
              <w:divBdr>
                <w:top w:val="none" w:sz="0" w:space="0" w:color="auto"/>
                <w:left w:val="none" w:sz="0" w:space="0" w:color="auto"/>
                <w:bottom w:val="none" w:sz="0" w:space="0" w:color="auto"/>
                <w:right w:val="none" w:sz="0" w:space="0" w:color="auto"/>
              </w:divBdr>
              <w:divsChild>
                <w:div w:id="1220091516">
                  <w:marLeft w:val="-375"/>
                  <w:marRight w:val="0"/>
                  <w:marTop w:val="0"/>
                  <w:marBottom w:val="0"/>
                  <w:divBdr>
                    <w:top w:val="none" w:sz="0" w:space="0" w:color="auto"/>
                    <w:left w:val="none" w:sz="0" w:space="0" w:color="auto"/>
                    <w:bottom w:val="none" w:sz="0" w:space="0" w:color="auto"/>
                    <w:right w:val="none" w:sz="0" w:space="0" w:color="auto"/>
                  </w:divBdr>
                  <w:divsChild>
                    <w:div w:id="1413772061">
                      <w:marLeft w:val="0"/>
                      <w:marRight w:val="0"/>
                      <w:marTop w:val="0"/>
                      <w:marBottom w:val="0"/>
                      <w:divBdr>
                        <w:top w:val="none" w:sz="0" w:space="0" w:color="auto"/>
                        <w:left w:val="none" w:sz="0" w:space="0" w:color="auto"/>
                        <w:bottom w:val="none" w:sz="0" w:space="0" w:color="auto"/>
                        <w:right w:val="none" w:sz="0" w:space="0" w:color="auto"/>
                      </w:divBdr>
                      <w:divsChild>
                        <w:div w:id="532964398">
                          <w:marLeft w:val="0"/>
                          <w:marRight w:val="0"/>
                          <w:marTop w:val="0"/>
                          <w:marBottom w:val="0"/>
                          <w:divBdr>
                            <w:top w:val="none" w:sz="0" w:space="0" w:color="auto"/>
                            <w:left w:val="none" w:sz="0" w:space="0" w:color="auto"/>
                            <w:bottom w:val="none" w:sz="0" w:space="0" w:color="auto"/>
                            <w:right w:val="none" w:sz="0" w:space="0" w:color="auto"/>
                          </w:divBdr>
                          <w:divsChild>
                            <w:div w:id="1037968641">
                              <w:marLeft w:val="-375"/>
                              <w:marRight w:val="0"/>
                              <w:marTop w:val="0"/>
                              <w:marBottom w:val="0"/>
                              <w:divBdr>
                                <w:top w:val="none" w:sz="0" w:space="0" w:color="auto"/>
                                <w:left w:val="none" w:sz="0" w:space="0" w:color="auto"/>
                                <w:bottom w:val="none" w:sz="0" w:space="0" w:color="auto"/>
                                <w:right w:val="none" w:sz="0" w:space="0" w:color="auto"/>
                              </w:divBdr>
                              <w:divsChild>
                                <w:div w:id="1849446080">
                                  <w:marLeft w:val="0"/>
                                  <w:marRight w:val="0"/>
                                  <w:marTop w:val="0"/>
                                  <w:marBottom w:val="0"/>
                                  <w:divBdr>
                                    <w:top w:val="none" w:sz="0" w:space="0" w:color="auto"/>
                                    <w:left w:val="none" w:sz="0" w:space="0" w:color="auto"/>
                                    <w:bottom w:val="none" w:sz="0" w:space="0" w:color="auto"/>
                                    <w:right w:val="none" w:sz="0" w:space="0" w:color="auto"/>
                                  </w:divBdr>
                                  <w:divsChild>
                                    <w:div w:id="1667780411">
                                      <w:marLeft w:val="-375"/>
                                      <w:marRight w:val="0"/>
                                      <w:marTop w:val="0"/>
                                      <w:marBottom w:val="0"/>
                                      <w:divBdr>
                                        <w:top w:val="none" w:sz="0" w:space="0" w:color="auto"/>
                                        <w:left w:val="none" w:sz="0" w:space="0" w:color="auto"/>
                                        <w:bottom w:val="none" w:sz="0" w:space="0" w:color="auto"/>
                                        <w:right w:val="none" w:sz="0" w:space="0" w:color="auto"/>
                                      </w:divBdr>
                                      <w:divsChild>
                                        <w:div w:id="921989091">
                                          <w:marLeft w:val="0"/>
                                          <w:marRight w:val="0"/>
                                          <w:marTop w:val="0"/>
                                          <w:marBottom w:val="0"/>
                                          <w:divBdr>
                                            <w:top w:val="none" w:sz="0" w:space="0" w:color="auto"/>
                                            <w:left w:val="none" w:sz="0" w:space="0" w:color="auto"/>
                                            <w:bottom w:val="none" w:sz="0" w:space="0" w:color="auto"/>
                                            <w:right w:val="none" w:sz="0" w:space="0" w:color="auto"/>
                                          </w:divBdr>
                                        </w:div>
                                        <w:div w:id="286591166">
                                          <w:marLeft w:val="0"/>
                                          <w:marRight w:val="0"/>
                                          <w:marTop w:val="0"/>
                                          <w:marBottom w:val="0"/>
                                          <w:divBdr>
                                            <w:top w:val="none" w:sz="0" w:space="0" w:color="auto"/>
                                            <w:left w:val="none" w:sz="0" w:space="0" w:color="auto"/>
                                            <w:bottom w:val="none" w:sz="0" w:space="0" w:color="auto"/>
                                            <w:right w:val="none" w:sz="0" w:space="0" w:color="auto"/>
                                          </w:divBdr>
                                        </w:div>
                                      </w:divsChild>
                                    </w:div>
                                    <w:div w:id="1358192506">
                                      <w:marLeft w:val="-375"/>
                                      <w:marRight w:val="0"/>
                                      <w:marTop w:val="0"/>
                                      <w:marBottom w:val="0"/>
                                      <w:divBdr>
                                        <w:top w:val="none" w:sz="0" w:space="0" w:color="auto"/>
                                        <w:left w:val="none" w:sz="0" w:space="0" w:color="auto"/>
                                        <w:bottom w:val="none" w:sz="0" w:space="0" w:color="auto"/>
                                        <w:right w:val="none" w:sz="0" w:space="0" w:color="auto"/>
                                      </w:divBdr>
                                      <w:divsChild>
                                        <w:div w:id="709765743">
                                          <w:marLeft w:val="0"/>
                                          <w:marRight w:val="0"/>
                                          <w:marTop w:val="0"/>
                                          <w:marBottom w:val="0"/>
                                          <w:divBdr>
                                            <w:top w:val="none" w:sz="0" w:space="0" w:color="auto"/>
                                            <w:left w:val="none" w:sz="0" w:space="0" w:color="auto"/>
                                            <w:bottom w:val="none" w:sz="0" w:space="0" w:color="auto"/>
                                            <w:right w:val="none" w:sz="0" w:space="0" w:color="auto"/>
                                          </w:divBdr>
                                        </w:div>
                                        <w:div w:id="20100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21825">
      <w:bodyDiv w:val="1"/>
      <w:marLeft w:val="0"/>
      <w:marRight w:val="0"/>
      <w:marTop w:val="0"/>
      <w:marBottom w:val="0"/>
      <w:divBdr>
        <w:top w:val="none" w:sz="0" w:space="0" w:color="auto"/>
        <w:left w:val="none" w:sz="0" w:space="0" w:color="auto"/>
        <w:bottom w:val="none" w:sz="0" w:space="0" w:color="auto"/>
        <w:right w:val="none" w:sz="0" w:space="0" w:color="auto"/>
      </w:divBdr>
      <w:divsChild>
        <w:div w:id="1794251327">
          <w:marLeft w:val="0"/>
          <w:marRight w:val="0"/>
          <w:marTop w:val="0"/>
          <w:marBottom w:val="0"/>
          <w:divBdr>
            <w:top w:val="none" w:sz="0" w:space="0" w:color="auto"/>
            <w:left w:val="none" w:sz="0" w:space="0" w:color="auto"/>
            <w:bottom w:val="none" w:sz="0" w:space="0" w:color="auto"/>
            <w:right w:val="none" w:sz="0" w:space="0" w:color="auto"/>
          </w:divBdr>
          <w:divsChild>
            <w:div w:id="2072071206">
              <w:marLeft w:val="0"/>
              <w:marRight w:val="0"/>
              <w:marTop w:val="0"/>
              <w:marBottom w:val="0"/>
              <w:divBdr>
                <w:top w:val="none" w:sz="0" w:space="0" w:color="auto"/>
                <w:left w:val="none" w:sz="0" w:space="0" w:color="auto"/>
                <w:bottom w:val="none" w:sz="0" w:space="0" w:color="auto"/>
                <w:right w:val="none" w:sz="0" w:space="0" w:color="auto"/>
              </w:divBdr>
              <w:divsChild>
                <w:div w:id="1275284265">
                  <w:marLeft w:val="0"/>
                  <w:marRight w:val="0"/>
                  <w:marTop w:val="0"/>
                  <w:marBottom w:val="0"/>
                  <w:divBdr>
                    <w:top w:val="none" w:sz="0" w:space="0" w:color="auto"/>
                    <w:left w:val="none" w:sz="0" w:space="0" w:color="auto"/>
                    <w:bottom w:val="none" w:sz="0" w:space="0" w:color="auto"/>
                    <w:right w:val="none" w:sz="0" w:space="0" w:color="auto"/>
                  </w:divBdr>
                  <w:divsChild>
                    <w:div w:id="1710833393">
                      <w:marLeft w:val="0"/>
                      <w:marRight w:val="0"/>
                      <w:marTop w:val="0"/>
                      <w:marBottom w:val="0"/>
                      <w:divBdr>
                        <w:top w:val="none" w:sz="0" w:space="0" w:color="auto"/>
                        <w:left w:val="none" w:sz="0" w:space="0" w:color="auto"/>
                        <w:bottom w:val="none" w:sz="0" w:space="0" w:color="auto"/>
                        <w:right w:val="none" w:sz="0" w:space="0" w:color="auto"/>
                      </w:divBdr>
                      <w:divsChild>
                        <w:div w:id="203826784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48581624">
      <w:bodyDiv w:val="1"/>
      <w:marLeft w:val="0"/>
      <w:marRight w:val="0"/>
      <w:marTop w:val="0"/>
      <w:marBottom w:val="0"/>
      <w:divBdr>
        <w:top w:val="none" w:sz="0" w:space="0" w:color="auto"/>
        <w:left w:val="none" w:sz="0" w:space="0" w:color="auto"/>
        <w:bottom w:val="none" w:sz="0" w:space="0" w:color="auto"/>
        <w:right w:val="none" w:sz="0" w:space="0" w:color="auto"/>
      </w:divBdr>
      <w:divsChild>
        <w:div w:id="82458735">
          <w:marLeft w:val="0"/>
          <w:marRight w:val="0"/>
          <w:marTop w:val="0"/>
          <w:marBottom w:val="0"/>
          <w:divBdr>
            <w:top w:val="none" w:sz="0" w:space="0" w:color="auto"/>
            <w:left w:val="none" w:sz="0" w:space="0" w:color="auto"/>
            <w:bottom w:val="none" w:sz="0" w:space="0" w:color="auto"/>
            <w:right w:val="none" w:sz="0" w:space="0" w:color="auto"/>
          </w:divBdr>
          <w:divsChild>
            <w:div w:id="1640501159">
              <w:marLeft w:val="0"/>
              <w:marRight w:val="0"/>
              <w:marTop w:val="0"/>
              <w:marBottom w:val="0"/>
              <w:divBdr>
                <w:top w:val="none" w:sz="0" w:space="0" w:color="auto"/>
                <w:left w:val="none" w:sz="0" w:space="0" w:color="auto"/>
                <w:bottom w:val="none" w:sz="0" w:space="0" w:color="auto"/>
                <w:right w:val="none" w:sz="0" w:space="0" w:color="auto"/>
              </w:divBdr>
              <w:divsChild>
                <w:div w:id="1503858655">
                  <w:marLeft w:val="0"/>
                  <w:marRight w:val="0"/>
                  <w:marTop w:val="0"/>
                  <w:marBottom w:val="0"/>
                  <w:divBdr>
                    <w:top w:val="none" w:sz="0" w:space="0" w:color="auto"/>
                    <w:left w:val="none" w:sz="0" w:space="0" w:color="auto"/>
                    <w:bottom w:val="none" w:sz="0" w:space="0" w:color="auto"/>
                    <w:right w:val="none" w:sz="0" w:space="0" w:color="auto"/>
                  </w:divBdr>
                  <w:divsChild>
                    <w:div w:id="1091316865">
                      <w:marLeft w:val="0"/>
                      <w:marRight w:val="0"/>
                      <w:marTop w:val="0"/>
                      <w:marBottom w:val="0"/>
                      <w:divBdr>
                        <w:top w:val="none" w:sz="0" w:space="0" w:color="auto"/>
                        <w:left w:val="none" w:sz="0" w:space="0" w:color="auto"/>
                        <w:bottom w:val="none" w:sz="0" w:space="0" w:color="auto"/>
                        <w:right w:val="none" w:sz="0" w:space="0" w:color="auto"/>
                      </w:divBdr>
                      <w:divsChild>
                        <w:div w:id="1700205391">
                          <w:marLeft w:val="0"/>
                          <w:marRight w:val="0"/>
                          <w:marTop w:val="0"/>
                          <w:marBottom w:val="0"/>
                          <w:divBdr>
                            <w:top w:val="none" w:sz="0" w:space="0" w:color="auto"/>
                            <w:left w:val="none" w:sz="0" w:space="0" w:color="auto"/>
                            <w:bottom w:val="none" w:sz="0" w:space="0" w:color="auto"/>
                            <w:right w:val="none" w:sz="0" w:space="0" w:color="auto"/>
                          </w:divBdr>
                          <w:divsChild>
                            <w:div w:id="2132045034">
                              <w:marLeft w:val="0"/>
                              <w:marRight w:val="0"/>
                              <w:marTop w:val="0"/>
                              <w:marBottom w:val="0"/>
                              <w:divBdr>
                                <w:top w:val="none" w:sz="0" w:space="0" w:color="auto"/>
                                <w:left w:val="none" w:sz="0" w:space="0" w:color="auto"/>
                                <w:bottom w:val="none" w:sz="0" w:space="0" w:color="auto"/>
                                <w:right w:val="none" w:sz="0" w:space="0" w:color="auto"/>
                              </w:divBdr>
                              <w:divsChild>
                                <w:div w:id="1948267971">
                                  <w:marLeft w:val="0"/>
                                  <w:marRight w:val="0"/>
                                  <w:marTop w:val="0"/>
                                  <w:marBottom w:val="0"/>
                                  <w:divBdr>
                                    <w:top w:val="none" w:sz="0" w:space="0" w:color="auto"/>
                                    <w:left w:val="none" w:sz="0" w:space="0" w:color="auto"/>
                                    <w:bottom w:val="none" w:sz="0" w:space="0" w:color="auto"/>
                                    <w:right w:val="none" w:sz="0" w:space="0" w:color="auto"/>
                                  </w:divBdr>
                                  <w:divsChild>
                                    <w:div w:id="2098866629">
                                      <w:marLeft w:val="0"/>
                                      <w:marRight w:val="0"/>
                                      <w:marTop w:val="0"/>
                                      <w:marBottom w:val="0"/>
                                      <w:divBdr>
                                        <w:top w:val="none" w:sz="0" w:space="0" w:color="auto"/>
                                        <w:left w:val="none" w:sz="0" w:space="0" w:color="auto"/>
                                        <w:bottom w:val="none" w:sz="0" w:space="0" w:color="auto"/>
                                        <w:right w:val="none" w:sz="0" w:space="0" w:color="auto"/>
                                      </w:divBdr>
                                      <w:divsChild>
                                        <w:div w:id="1242059758">
                                          <w:marLeft w:val="0"/>
                                          <w:marRight w:val="0"/>
                                          <w:marTop w:val="0"/>
                                          <w:marBottom w:val="0"/>
                                          <w:divBdr>
                                            <w:top w:val="none" w:sz="0" w:space="0" w:color="auto"/>
                                            <w:left w:val="none" w:sz="0" w:space="0" w:color="auto"/>
                                            <w:bottom w:val="none" w:sz="0" w:space="0" w:color="auto"/>
                                            <w:right w:val="none" w:sz="0" w:space="0" w:color="auto"/>
                                          </w:divBdr>
                                          <w:divsChild>
                                            <w:div w:id="1530489965">
                                              <w:marLeft w:val="0"/>
                                              <w:marRight w:val="0"/>
                                              <w:marTop w:val="0"/>
                                              <w:marBottom w:val="0"/>
                                              <w:divBdr>
                                                <w:top w:val="none" w:sz="0" w:space="0" w:color="auto"/>
                                                <w:left w:val="none" w:sz="0" w:space="0" w:color="auto"/>
                                                <w:bottom w:val="none" w:sz="0" w:space="0" w:color="auto"/>
                                                <w:right w:val="none" w:sz="0" w:space="0" w:color="auto"/>
                                              </w:divBdr>
                                              <w:divsChild>
                                                <w:div w:id="1140195357">
                                                  <w:marLeft w:val="0"/>
                                                  <w:marRight w:val="0"/>
                                                  <w:marTop w:val="0"/>
                                                  <w:marBottom w:val="0"/>
                                                  <w:divBdr>
                                                    <w:top w:val="none" w:sz="0" w:space="0" w:color="auto"/>
                                                    <w:left w:val="none" w:sz="0" w:space="0" w:color="auto"/>
                                                    <w:bottom w:val="none" w:sz="0" w:space="0" w:color="auto"/>
                                                    <w:right w:val="none" w:sz="0" w:space="0" w:color="auto"/>
                                                  </w:divBdr>
                                                  <w:divsChild>
                                                    <w:div w:id="682243361">
                                                      <w:marLeft w:val="0"/>
                                                      <w:marRight w:val="0"/>
                                                      <w:marTop w:val="0"/>
                                                      <w:marBottom w:val="0"/>
                                                      <w:divBdr>
                                                        <w:top w:val="none" w:sz="0" w:space="0" w:color="auto"/>
                                                        <w:left w:val="none" w:sz="0" w:space="0" w:color="auto"/>
                                                        <w:bottom w:val="none" w:sz="0" w:space="0" w:color="auto"/>
                                                        <w:right w:val="none" w:sz="0" w:space="0" w:color="auto"/>
                                                      </w:divBdr>
                                                      <w:divsChild>
                                                        <w:div w:id="5643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961638">
      <w:bodyDiv w:val="1"/>
      <w:marLeft w:val="0"/>
      <w:marRight w:val="0"/>
      <w:marTop w:val="0"/>
      <w:marBottom w:val="0"/>
      <w:divBdr>
        <w:top w:val="none" w:sz="0" w:space="0" w:color="auto"/>
        <w:left w:val="none" w:sz="0" w:space="0" w:color="auto"/>
        <w:bottom w:val="none" w:sz="0" w:space="0" w:color="auto"/>
        <w:right w:val="none" w:sz="0" w:space="0" w:color="auto"/>
      </w:divBdr>
      <w:divsChild>
        <w:div w:id="411197764">
          <w:marLeft w:val="2400"/>
          <w:marRight w:val="0"/>
          <w:marTop w:val="0"/>
          <w:marBottom w:val="0"/>
          <w:divBdr>
            <w:top w:val="none" w:sz="0" w:space="0" w:color="auto"/>
            <w:left w:val="none" w:sz="0" w:space="0" w:color="auto"/>
            <w:bottom w:val="none" w:sz="0" w:space="0" w:color="auto"/>
            <w:right w:val="none" w:sz="0" w:space="0" w:color="auto"/>
          </w:divBdr>
          <w:divsChild>
            <w:div w:id="709308056">
              <w:marLeft w:val="0"/>
              <w:marRight w:val="0"/>
              <w:marTop w:val="0"/>
              <w:marBottom w:val="0"/>
              <w:divBdr>
                <w:top w:val="none" w:sz="0" w:space="0" w:color="auto"/>
                <w:left w:val="none" w:sz="0" w:space="0" w:color="auto"/>
                <w:bottom w:val="none" w:sz="0" w:space="0" w:color="auto"/>
                <w:right w:val="none" w:sz="0" w:space="0" w:color="auto"/>
              </w:divBdr>
              <w:divsChild>
                <w:div w:id="865558182">
                  <w:marLeft w:val="0"/>
                  <w:marRight w:val="0"/>
                  <w:marTop w:val="0"/>
                  <w:marBottom w:val="0"/>
                  <w:divBdr>
                    <w:top w:val="none" w:sz="0" w:space="0" w:color="auto"/>
                    <w:left w:val="none" w:sz="0" w:space="0" w:color="auto"/>
                    <w:bottom w:val="none" w:sz="0" w:space="0" w:color="auto"/>
                    <w:right w:val="none" w:sz="0" w:space="0" w:color="auto"/>
                  </w:divBdr>
                  <w:divsChild>
                    <w:div w:id="9529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3014">
      <w:bodyDiv w:val="1"/>
      <w:marLeft w:val="0"/>
      <w:marRight w:val="0"/>
      <w:marTop w:val="0"/>
      <w:marBottom w:val="0"/>
      <w:divBdr>
        <w:top w:val="none" w:sz="0" w:space="0" w:color="auto"/>
        <w:left w:val="none" w:sz="0" w:space="0" w:color="auto"/>
        <w:bottom w:val="none" w:sz="0" w:space="0" w:color="auto"/>
        <w:right w:val="none" w:sz="0" w:space="0" w:color="auto"/>
      </w:divBdr>
      <w:divsChild>
        <w:div w:id="471408278">
          <w:marLeft w:val="0"/>
          <w:marRight w:val="0"/>
          <w:marTop w:val="0"/>
          <w:marBottom w:val="0"/>
          <w:divBdr>
            <w:top w:val="none" w:sz="0" w:space="0" w:color="auto"/>
            <w:left w:val="none" w:sz="0" w:space="0" w:color="auto"/>
            <w:bottom w:val="none" w:sz="0" w:space="0" w:color="auto"/>
            <w:right w:val="none" w:sz="0" w:space="0" w:color="auto"/>
          </w:divBdr>
          <w:divsChild>
            <w:div w:id="2136483827">
              <w:marLeft w:val="210"/>
              <w:marRight w:val="0"/>
              <w:marTop w:val="0"/>
              <w:marBottom w:val="0"/>
              <w:divBdr>
                <w:top w:val="none" w:sz="0" w:space="0" w:color="auto"/>
                <w:left w:val="none" w:sz="0" w:space="0" w:color="auto"/>
                <w:bottom w:val="none" w:sz="0" w:space="0" w:color="auto"/>
                <w:right w:val="none" w:sz="0" w:space="0" w:color="auto"/>
              </w:divBdr>
              <w:divsChild>
                <w:div w:id="13065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723">
      <w:bodyDiv w:val="1"/>
      <w:marLeft w:val="0"/>
      <w:marRight w:val="0"/>
      <w:marTop w:val="0"/>
      <w:marBottom w:val="0"/>
      <w:divBdr>
        <w:top w:val="none" w:sz="0" w:space="0" w:color="auto"/>
        <w:left w:val="none" w:sz="0" w:space="0" w:color="auto"/>
        <w:bottom w:val="none" w:sz="0" w:space="0" w:color="auto"/>
        <w:right w:val="none" w:sz="0" w:space="0" w:color="auto"/>
      </w:divBdr>
      <w:divsChild>
        <w:div w:id="828325665">
          <w:marLeft w:val="0"/>
          <w:marRight w:val="105"/>
          <w:marTop w:val="0"/>
          <w:marBottom w:val="0"/>
          <w:divBdr>
            <w:top w:val="single" w:sz="6" w:space="0" w:color="D1D1D1"/>
            <w:left w:val="single" w:sz="6" w:space="0" w:color="D1D1D1"/>
            <w:bottom w:val="none" w:sz="0" w:space="0" w:color="auto"/>
            <w:right w:val="none" w:sz="0" w:space="0" w:color="auto"/>
          </w:divBdr>
          <w:divsChild>
            <w:div w:id="1030454512">
              <w:marLeft w:val="0"/>
              <w:marRight w:val="0"/>
              <w:marTop w:val="0"/>
              <w:marBottom w:val="0"/>
              <w:divBdr>
                <w:top w:val="none" w:sz="0" w:space="0" w:color="auto"/>
                <w:left w:val="none" w:sz="0" w:space="0" w:color="auto"/>
                <w:bottom w:val="none" w:sz="0" w:space="0" w:color="auto"/>
                <w:right w:val="none" w:sz="0" w:space="0" w:color="auto"/>
              </w:divBdr>
              <w:divsChild>
                <w:div w:id="19636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7199">
      <w:bodyDiv w:val="1"/>
      <w:marLeft w:val="0"/>
      <w:marRight w:val="0"/>
      <w:marTop w:val="0"/>
      <w:marBottom w:val="0"/>
      <w:divBdr>
        <w:top w:val="none" w:sz="0" w:space="0" w:color="auto"/>
        <w:left w:val="none" w:sz="0" w:space="0" w:color="auto"/>
        <w:bottom w:val="none" w:sz="0" w:space="0" w:color="auto"/>
        <w:right w:val="none" w:sz="0" w:space="0" w:color="auto"/>
      </w:divBdr>
      <w:divsChild>
        <w:div w:id="1194416538">
          <w:marLeft w:val="0"/>
          <w:marRight w:val="0"/>
          <w:marTop w:val="0"/>
          <w:marBottom w:val="0"/>
          <w:divBdr>
            <w:top w:val="none" w:sz="0" w:space="0" w:color="auto"/>
            <w:left w:val="none" w:sz="0" w:space="0" w:color="auto"/>
            <w:bottom w:val="none" w:sz="0" w:space="0" w:color="auto"/>
            <w:right w:val="none" w:sz="0" w:space="0" w:color="auto"/>
          </w:divBdr>
          <w:divsChild>
            <w:div w:id="497188317">
              <w:marLeft w:val="0"/>
              <w:marRight w:val="0"/>
              <w:marTop w:val="0"/>
              <w:marBottom w:val="0"/>
              <w:divBdr>
                <w:top w:val="none" w:sz="0" w:space="0" w:color="auto"/>
                <w:left w:val="none" w:sz="0" w:space="0" w:color="auto"/>
                <w:bottom w:val="none" w:sz="0" w:space="0" w:color="auto"/>
                <w:right w:val="none" w:sz="0" w:space="0" w:color="auto"/>
              </w:divBdr>
              <w:divsChild>
                <w:div w:id="1485201636">
                  <w:marLeft w:val="0"/>
                  <w:marRight w:val="0"/>
                  <w:marTop w:val="0"/>
                  <w:marBottom w:val="0"/>
                  <w:divBdr>
                    <w:top w:val="none" w:sz="0" w:space="0" w:color="auto"/>
                    <w:left w:val="none" w:sz="0" w:space="0" w:color="auto"/>
                    <w:bottom w:val="none" w:sz="0" w:space="0" w:color="auto"/>
                    <w:right w:val="none" w:sz="0" w:space="0" w:color="auto"/>
                  </w:divBdr>
                  <w:divsChild>
                    <w:div w:id="1173035379">
                      <w:marLeft w:val="0"/>
                      <w:marRight w:val="0"/>
                      <w:marTop w:val="0"/>
                      <w:marBottom w:val="0"/>
                      <w:divBdr>
                        <w:top w:val="none" w:sz="0" w:space="0" w:color="auto"/>
                        <w:left w:val="none" w:sz="0" w:space="0" w:color="auto"/>
                        <w:bottom w:val="none" w:sz="0" w:space="0" w:color="auto"/>
                        <w:right w:val="none" w:sz="0" w:space="0" w:color="auto"/>
                      </w:divBdr>
                      <w:divsChild>
                        <w:div w:id="12064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615">
      <w:bodyDiv w:val="1"/>
      <w:marLeft w:val="0"/>
      <w:marRight w:val="0"/>
      <w:marTop w:val="0"/>
      <w:marBottom w:val="0"/>
      <w:divBdr>
        <w:top w:val="none" w:sz="0" w:space="0" w:color="auto"/>
        <w:left w:val="none" w:sz="0" w:space="0" w:color="auto"/>
        <w:bottom w:val="none" w:sz="0" w:space="0" w:color="auto"/>
        <w:right w:val="none" w:sz="0" w:space="0" w:color="auto"/>
      </w:divBdr>
    </w:div>
    <w:div w:id="52430521">
      <w:bodyDiv w:val="1"/>
      <w:marLeft w:val="0"/>
      <w:marRight w:val="0"/>
      <w:marTop w:val="0"/>
      <w:marBottom w:val="0"/>
      <w:divBdr>
        <w:top w:val="none" w:sz="0" w:space="0" w:color="auto"/>
        <w:left w:val="none" w:sz="0" w:space="0" w:color="auto"/>
        <w:bottom w:val="none" w:sz="0" w:space="0" w:color="auto"/>
        <w:right w:val="none" w:sz="0" w:space="0" w:color="auto"/>
      </w:divBdr>
      <w:divsChild>
        <w:div w:id="1242524216">
          <w:marLeft w:val="0"/>
          <w:marRight w:val="0"/>
          <w:marTop w:val="0"/>
          <w:marBottom w:val="0"/>
          <w:divBdr>
            <w:top w:val="none" w:sz="0" w:space="0" w:color="auto"/>
            <w:left w:val="none" w:sz="0" w:space="0" w:color="auto"/>
            <w:bottom w:val="none" w:sz="0" w:space="0" w:color="auto"/>
            <w:right w:val="none" w:sz="0" w:space="0" w:color="auto"/>
          </w:divBdr>
          <w:divsChild>
            <w:div w:id="1202211023">
              <w:marLeft w:val="0"/>
              <w:marRight w:val="0"/>
              <w:marTop w:val="0"/>
              <w:marBottom w:val="0"/>
              <w:divBdr>
                <w:top w:val="none" w:sz="0" w:space="0" w:color="auto"/>
                <w:left w:val="none" w:sz="0" w:space="0" w:color="auto"/>
                <w:bottom w:val="none" w:sz="0" w:space="0" w:color="auto"/>
                <w:right w:val="none" w:sz="0" w:space="0" w:color="auto"/>
              </w:divBdr>
              <w:divsChild>
                <w:div w:id="259948208">
                  <w:marLeft w:val="-375"/>
                  <w:marRight w:val="0"/>
                  <w:marTop w:val="0"/>
                  <w:marBottom w:val="0"/>
                  <w:divBdr>
                    <w:top w:val="none" w:sz="0" w:space="0" w:color="auto"/>
                    <w:left w:val="none" w:sz="0" w:space="0" w:color="auto"/>
                    <w:bottom w:val="none" w:sz="0" w:space="0" w:color="auto"/>
                    <w:right w:val="none" w:sz="0" w:space="0" w:color="auto"/>
                  </w:divBdr>
                  <w:divsChild>
                    <w:div w:id="1183938485">
                      <w:marLeft w:val="0"/>
                      <w:marRight w:val="0"/>
                      <w:marTop w:val="0"/>
                      <w:marBottom w:val="0"/>
                      <w:divBdr>
                        <w:top w:val="none" w:sz="0" w:space="0" w:color="auto"/>
                        <w:left w:val="none" w:sz="0" w:space="0" w:color="auto"/>
                        <w:bottom w:val="none" w:sz="0" w:space="0" w:color="auto"/>
                        <w:right w:val="none" w:sz="0" w:space="0" w:color="auto"/>
                      </w:divBdr>
                      <w:divsChild>
                        <w:div w:id="1174104290">
                          <w:marLeft w:val="0"/>
                          <w:marRight w:val="0"/>
                          <w:marTop w:val="0"/>
                          <w:marBottom w:val="0"/>
                          <w:divBdr>
                            <w:top w:val="none" w:sz="0" w:space="0" w:color="auto"/>
                            <w:left w:val="none" w:sz="0" w:space="0" w:color="auto"/>
                            <w:bottom w:val="none" w:sz="0" w:space="0" w:color="auto"/>
                            <w:right w:val="none" w:sz="0" w:space="0" w:color="auto"/>
                          </w:divBdr>
                          <w:divsChild>
                            <w:div w:id="518006802">
                              <w:marLeft w:val="-375"/>
                              <w:marRight w:val="0"/>
                              <w:marTop w:val="0"/>
                              <w:marBottom w:val="0"/>
                              <w:divBdr>
                                <w:top w:val="none" w:sz="0" w:space="0" w:color="auto"/>
                                <w:left w:val="none" w:sz="0" w:space="0" w:color="auto"/>
                                <w:bottom w:val="none" w:sz="0" w:space="0" w:color="auto"/>
                                <w:right w:val="none" w:sz="0" w:space="0" w:color="auto"/>
                              </w:divBdr>
                              <w:divsChild>
                                <w:div w:id="1683049048">
                                  <w:marLeft w:val="0"/>
                                  <w:marRight w:val="0"/>
                                  <w:marTop w:val="0"/>
                                  <w:marBottom w:val="0"/>
                                  <w:divBdr>
                                    <w:top w:val="none" w:sz="0" w:space="0" w:color="auto"/>
                                    <w:left w:val="none" w:sz="0" w:space="0" w:color="auto"/>
                                    <w:bottom w:val="none" w:sz="0" w:space="0" w:color="auto"/>
                                    <w:right w:val="none" w:sz="0" w:space="0" w:color="auto"/>
                                  </w:divBdr>
                                  <w:divsChild>
                                    <w:div w:id="760494654">
                                      <w:marLeft w:val="-375"/>
                                      <w:marRight w:val="0"/>
                                      <w:marTop w:val="0"/>
                                      <w:marBottom w:val="0"/>
                                      <w:divBdr>
                                        <w:top w:val="none" w:sz="0" w:space="0" w:color="auto"/>
                                        <w:left w:val="none" w:sz="0" w:space="0" w:color="auto"/>
                                        <w:bottom w:val="none" w:sz="0" w:space="0" w:color="auto"/>
                                        <w:right w:val="none" w:sz="0" w:space="0" w:color="auto"/>
                                      </w:divBdr>
                                      <w:divsChild>
                                        <w:div w:id="17502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9827">
      <w:bodyDiv w:val="1"/>
      <w:marLeft w:val="0"/>
      <w:marRight w:val="0"/>
      <w:marTop w:val="0"/>
      <w:marBottom w:val="0"/>
      <w:divBdr>
        <w:top w:val="none" w:sz="0" w:space="0" w:color="auto"/>
        <w:left w:val="none" w:sz="0" w:space="0" w:color="auto"/>
        <w:bottom w:val="none" w:sz="0" w:space="0" w:color="auto"/>
        <w:right w:val="none" w:sz="0" w:space="0" w:color="auto"/>
      </w:divBdr>
      <w:divsChild>
        <w:div w:id="199781577">
          <w:marLeft w:val="0"/>
          <w:marRight w:val="0"/>
          <w:marTop w:val="0"/>
          <w:marBottom w:val="0"/>
          <w:divBdr>
            <w:top w:val="none" w:sz="0" w:space="0" w:color="auto"/>
            <w:left w:val="none" w:sz="0" w:space="0" w:color="auto"/>
            <w:bottom w:val="none" w:sz="0" w:space="0" w:color="auto"/>
            <w:right w:val="none" w:sz="0" w:space="0" w:color="auto"/>
          </w:divBdr>
          <w:divsChild>
            <w:div w:id="1726953620">
              <w:marLeft w:val="0"/>
              <w:marRight w:val="0"/>
              <w:marTop w:val="0"/>
              <w:marBottom w:val="0"/>
              <w:divBdr>
                <w:top w:val="none" w:sz="0" w:space="0" w:color="auto"/>
                <w:left w:val="none" w:sz="0" w:space="0" w:color="auto"/>
                <w:bottom w:val="none" w:sz="0" w:space="0" w:color="auto"/>
                <w:right w:val="none" w:sz="0" w:space="0" w:color="auto"/>
              </w:divBdr>
              <w:divsChild>
                <w:div w:id="205682429">
                  <w:marLeft w:val="0"/>
                  <w:marRight w:val="0"/>
                  <w:marTop w:val="0"/>
                  <w:marBottom w:val="0"/>
                  <w:divBdr>
                    <w:top w:val="none" w:sz="0" w:space="0" w:color="auto"/>
                    <w:left w:val="none" w:sz="0" w:space="0" w:color="auto"/>
                    <w:bottom w:val="none" w:sz="0" w:space="0" w:color="auto"/>
                    <w:right w:val="none" w:sz="0" w:space="0" w:color="auto"/>
                  </w:divBdr>
                  <w:divsChild>
                    <w:div w:id="369493633">
                      <w:marLeft w:val="0"/>
                      <w:marRight w:val="0"/>
                      <w:marTop w:val="0"/>
                      <w:marBottom w:val="0"/>
                      <w:divBdr>
                        <w:top w:val="none" w:sz="0" w:space="0" w:color="auto"/>
                        <w:left w:val="none" w:sz="0" w:space="0" w:color="auto"/>
                        <w:bottom w:val="none" w:sz="0" w:space="0" w:color="auto"/>
                        <w:right w:val="none" w:sz="0" w:space="0" w:color="auto"/>
                      </w:divBdr>
                      <w:divsChild>
                        <w:div w:id="1862429347">
                          <w:marLeft w:val="0"/>
                          <w:marRight w:val="0"/>
                          <w:marTop w:val="0"/>
                          <w:marBottom w:val="0"/>
                          <w:divBdr>
                            <w:top w:val="none" w:sz="0" w:space="0" w:color="auto"/>
                            <w:left w:val="none" w:sz="0" w:space="0" w:color="auto"/>
                            <w:bottom w:val="none" w:sz="0" w:space="0" w:color="auto"/>
                            <w:right w:val="none" w:sz="0" w:space="0" w:color="auto"/>
                          </w:divBdr>
                          <w:divsChild>
                            <w:div w:id="1267689462">
                              <w:marLeft w:val="0"/>
                              <w:marRight w:val="0"/>
                              <w:marTop w:val="0"/>
                              <w:marBottom w:val="0"/>
                              <w:divBdr>
                                <w:top w:val="none" w:sz="0" w:space="0" w:color="auto"/>
                                <w:left w:val="none" w:sz="0" w:space="0" w:color="auto"/>
                                <w:bottom w:val="none" w:sz="0" w:space="0" w:color="auto"/>
                                <w:right w:val="none" w:sz="0" w:space="0" w:color="auto"/>
                              </w:divBdr>
                              <w:divsChild>
                                <w:div w:id="1254247131">
                                  <w:marLeft w:val="0"/>
                                  <w:marRight w:val="0"/>
                                  <w:marTop w:val="0"/>
                                  <w:marBottom w:val="0"/>
                                  <w:divBdr>
                                    <w:top w:val="none" w:sz="0" w:space="0" w:color="auto"/>
                                    <w:left w:val="none" w:sz="0" w:space="0" w:color="auto"/>
                                    <w:bottom w:val="none" w:sz="0" w:space="0" w:color="auto"/>
                                    <w:right w:val="none" w:sz="0" w:space="0" w:color="auto"/>
                                  </w:divBdr>
                                  <w:divsChild>
                                    <w:div w:id="1773629416">
                                      <w:marLeft w:val="0"/>
                                      <w:marRight w:val="0"/>
                                      <w:marTop w:val="0"/>
                                      <w:marBottom w:val="0"/>
                                      <w:divBdr>
                                        <w:top w:val="none" w:sz="0" w:space="0" w:color="auto"/>
                                        <w:left w:val="none" w:sz="0" w:space="0" w:color="auto"/>
                                        <w:bottom w:val="none" w:sz="0" w:space="0" w:color="auto"/>
                                        <w:right w:val="none" w:sz="0" w:space="0" w:color="auto"/>
                                      </w:divBdr>
                                      <w:divsChild>
                                        <w:div w:id="315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44464">
      <w:bodyDiv w:val="1"/>
      <w:marLeft w:val="0"/>
      <w:marRight w:val="0"/>
      <w:marTop w:val="0"/>
      <w:marBottom w:val="0"/>
      <w:divBdr>
        <w:top w:val="none" w:sz="0" w:space="0" w:color="auto"/>
        <w:left w:val="none" w:sz="0" w:space="0" w:color="auto"/>
        <w:bottom w:val="none" w:sz="0" w:space="0" w:color="auto"/>
        <w:right w:val="none" w:sz="0" w:space="0" w:color="auto"/>
      </w:divBdr>
      <w:divsChild>
        <w:div w:id="446588965">
          <w:marLeft w:val="0"/>
          <w:marRight w:val="0"/>
          <w:marTop w:val="150"/>
          <w:marBottom w:val="0"/>
          <w:divBdr>
            <w:top w:val="none" w:sz="0" w:space="0" w:color="auto"/>
            <w:left w:val="none" w:sz="0" w:space="0" w:color="auto"/>
            <w:bottom w:val="none" w:sz="0" w:space="0" w:color="auto"/>
            <w:right w:val="none" w:sz="0" w:space="0" w:color="auto"/>
          </w:divBdr>
          <w:divsChild>
            <w:div w:id="1665938299">
              <w:marLeft w:val="2"/>
              <w:marRight w:val="2"/>
              <w:marTop w:val="0"/>
              <w:marBottom w:val="0"/>
              <w:divBdr>
                <w:top w:val="none" w:sz="0" w:space="0" w:color="auto"/>
                <w:left w:val="none" w:sz="0" w:space="0" w:color="auto"/>
                <w:bottom w:val="none" w:sz="0" w:space="0" w:color="auto"/>
                <w:right w:val="none" w:sz="0" w:space="0" w:color="auto"/>
              </w:divBdr>
              <w:divsChild>
                <w:div w:id="1256939232">
                  <w:marLeft w:val="0"/>
                  <w:marRight w:val="0"/>
                  <w:marTop w:val="0"/>
                  <w:marBottom w:val="0"/>
                  <w:divBdr>
                    <w:top w:val="none" w:sz="0" w:space="0" w:color="auto"/>
                    <w:left w:val="none" w:sz="0" w:space="0" w:color="auto"/>
                    <w:bottom w:val="none" w:sz="0" w:space="0" w:color="auto"/>
                    <w:right w:val="none" w:sz="0" w:space="0" w:color="auto"/>
                  </w:divBdr>
                  <w:divsChild>
                    <w:div w:id="513417704">
                      <w:marLeft w:val="0"/>
                      <w:marRight w:val="0"/>
                      <w:marTop w:val="0"/>
                      <w:marBottom w:val="0"/>
                      <w:divBdr>
                        <w:top w:val="none" w:sz="0" w:space="0" w:color="auto"/>
                        <w:left w:val="none" w:sz="0" w:space="0" w:color="auto"/>
                        <w:bottom w:val="none" w:sz="0" w:space="0" w:color="auto"/>
                        <w:right w:val="none" w:sz="0" w:space="0" w:color="auto"/>
                      </w:divBdr>
                      <w:divsChild>
                        <w:div w:id="1100419034">
                          <w:marLeft w:val="0"/>
                          <w:marRight w:val="0"/>
                          <w:marTop w:val="0"/>
                          <w:marBottom w:val="0"/>
                          <w:divBdr>
                            <w:top w:val="none" w:sz="0" w:space="0" w:color="auto"/>
                            <w:left w:val="none" w:sz="0" w:space="0" w:color="auto"/>
                            <w:bottom w:val="none" w:sz="0" w:space="0" w:color="auto"/>
                            <w:right w:val="none" w:sz="0" w:space="0" w:color="auto"/>
                          </w:divBdr>
                          <w:divsChild>
                            <w:div w:id="2024553398">
                              <w:marLeft w:val="0"/>
                              <w:marRight w:val="0"/>
                              <w:marTop w:val="0"/>
                              <w:marBottom w:val="0"/>
                              <w:divBdr>
                                <w:top w:val="none" w:sz="0" w:space="0" w:color="auto"/>
                                <w:left w:val="none" w:sz="0" w:space="0" w:color="auto"/>
                                <w:bottom w:val="none" w:sz="0" w:space="0" w:color="auto"/>
                                <w:right w:val="none" w:sz="0" w:space="0" w:color="auto"/>
                              </w:divBdr>
                              <w:divsChild>
                                <w:div w:id="903369140">
                                  <w:marLeft w:val="0"/>
                                  <w:marRight w:val="0"/>
                                  <w:marTop w:val="0"/>
                                  <w:marBottom w:val="0"/>
                                  <w:divBdr>
                                    <w:top w:val="none" w:sz="0" w:space="0" w:color="auto"/>
                                    <w:left w:val="none" w:sz="0" w:space="0" w:color="auto"/>
                                    <w:bottom w:val="none" w:sz="0" w:space="0" w:color="auto"/>
                                    <w:right w:val="none" w:sz="0" w:space="0" w:color="auto"/>
                                  </w:divBdr>
                                  <w:divsChild>
                                    <w:div w:id="1287272767">
                                      <w:marLeft w:val="0"/>
                                      <w:marRight w:val="0"/>
                                      <w:marTop w:val="0"/>
                                      <w:marBottom w:val="0"/>
                                      <w:divBdr>
                                        <w:top w:val="none" w:sz="0" w:space="0" w:color="auto"/>
                                        <w:left w:val="none" w:sz="0" w:space="0" w:color="auto"/>
                                        <w:bottom w:val="none" w:sz="0" w:space="0" w:color="auto"/>
                                        <w:right w:val="none" w:sz="0" w:space="0" w:color="auto"/>
                                      </w:divBdr>
                                      <w:divsChild>
                                        <w:div w:id="1974403548">
                                          <w:marLeft w:val="0"/>
                                          <w:marRight w:val="0"/>
                                          <w:marTop w:val="0"/>
                                          <w:marBottom w:val="0"/>
                                          <w:divBdr>
                                            <w:top w:val="none" w:sz="0" w:space="0" w:color="auto"/>
                                            <w:left w:val="none" w:sz="0" w:space="0" w:color="auto"/>
                                            <w:bottom w:val="none" w:sz="0" w:space="0" w:color="auto"/>
                                            <w:right w:val="none" w:sz="0" w:space="0" w:color="auto"/>
                                          </w:divBdr>
                                          <w:divsChild>
                                            <w:div w:id="248345732">
                                              <w:marLeft w:val="0"/>
                                              <w:marRight w:val="0"/>
                                              <w:marTop w:val="0"/>
                                              <w:marBottom w:val="0"/>
                                              <w:divBdr>
                                                <w:top w:val="none" w:sz="0" w:space="0" w:color="auto"/>
                                                <w:left w:val="none" w:sz="0" w:space="0" w:color="auto"/>
                                                <w:bottom w:val="none" w:sz="0" w:space="0" w:color="auto"/>
                                                <w:right w:val="none" w:sz="0" w:space="0" w:color="auto"/>
                                              </w:divBdr>
                                              <w:divsChild>
                                                <w:div w:id="891120348">
                                                  <w:marLeft w:val="0"/>
                                                  <w:marRight w:val="0"/>
                                                  <w:marTop w:val="0"/>
                                                  <w:marBottom w:val="0"/>
                                                  <w:divBdr>
                                                    <w:top w:val="none" w:sz="0" w:space="0" w:color="auto"/>
                                                    <w:left w:val="none" w:sz="0" w:space="0" w:color="auto"/>
                                                    <w:bottom w:val="none" w:sz="0" w:space="0" w:color="auto"/>
                                                    <w:right w:val="none" w:sz="0" w:space="0" w:color="auto"/>
                                                  </w:divBdr>
                                                </w:div>
                                              </w:divsChild>
                                            </w:div>
                                            <w:div w:id="791704791">
                                              <w:marLeft w:val="0"/>
                                              <w:marRight w:val="0"/>
                                              <w:marTop w:val="0"/>
                                              <w:marBottom w:val="0"/>
                                              <w:divBdr>
                                                <w:top w:val="none" w:sz="0" w:space="0" w:color="auto"/>
                                                <w:left w:val="none" w:sz="0" w:space="0" w:color="auto"/>
                                                <w:bottom w:val="none" w:sz="0" w:space="0" w:color="auto"/>
                                                <w:right w:val="none" w:sz="0" w:space="0" w:color="auto"/>
                                              </w:divBdr>
                                              <w:divsChild>
                                                <w:div w:id="562328065">
                                                  <w:marLeft w:val="0"/>
                                                  <w:marRight w:val="0"/>
                                                  <w:marTop w:val="0"/>
                                                  <w:marBottom w:val="0"/>
                                                  <w:divBdr>
                                                    <w:top w:val="none" w:sz="0" w:space="0" w:color="auto"/>
                                                    <w:left w:val="none" w:sz="0" w:space="0" w:color="auto"/>
                                                    <w:bottom w:val="none" w:sz="0" w:space="0" w:color="auto"/>
                                                    <w:right w:val="none" w:sz="0" w:space="0" w:color="auto"/>
                                                  </w:divBdr>
                                                </w:div>
                                              </w:divsChild>
                                            </w:div>
                                            <w:div w:id="1959676233">
                                              <w:marLeft w:val="0"/>
                                              <w:marRight w:val="0"/>
                                              <w:marTop w:val="0"/>
                                              <w:marBottom w:val="0"/>
                                              <w:divBdr>
                                                <w:top w:val="none" w:sz="0" w:space="0" w:color="auto"/>
                                                <w:left w:val="none" w:sz="0" w:space="0" w:color="auto"/>
                                                <w:bottom w:val="none" w:sz="0" w:space="0" w:color="auto"/>
                                                <w:right w:val="none" w:sz="0" w:space="0" w:color="auto"/>
                                              </w:divBdr>
                                              <w:divsChild>
                                                <w:div w:id="151722472">
                                                  <w:marLeft w:val="0"/>
                                                  <w:marRight w:val="0"/>
                                                  <w:marTop w:val="0"/>
                                                  <w:marBottom w:val="0"/>
                                                  <w:divBdr>
                                                    <w:top w:val="none" w:sz="0" w:space="0" w:color="auto"/>
                                                    <w:left w:val="none" w:sz="0" w:space="0" w:color="auto"/>
                                                    <w:bottom w:val="none" w:sz="0" w:space="0" w:color="auto"/>
                                                    <w:right w:val="none" w:sz="0" w:space="0" w:color="auto"/>
                                                  </w:divBdr>
                                                </w:div>
                                              </w:divsChild>
                                            </w:div>
                                            <w:div w:id="456681792">
                                              <w:marLeft w:val="0"/>
                                              <w:marRight w:val="0"/>
                                              <w:marTop w:val="0"/>
                                              <w:marBottom w:val="0"/>
                                              <w:divBdr>
                                                <w:top w:val="none" w:sz="0" w:space="0" w:color="auto"/>
                                                <w:left w:val="none" w:sz="0" w:space="0" w:color="auto"/>
                                                <w:bottom w:val="none" w:sz="0" w:space="0" w:color="auto"/>
                                                <w:right w:val="none" w:sz="0" w:space="0" w:color="auto"/>
                                              </w:divBdr>
                                              <w:divsChild>
                                                <w:div w:id="2393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282081">
      <w:bodyDiv w:val="1"/>
      <w:marLeft w:val="300"/>
      <w:marRight w:val="300"/>
      <w:marTop w:val="0"/>
      <w:marBottom w:val="0"/>
      <w:divBdr>
        <w:top w:val="none" w:sz="0" w:space="0" w:color="auto"/>
        <w:left w:val="none" w:sz="0" w:space="0" w:color="auto"/>
        <w:bottom w:val="none" w:sz="0" w:space="0" w:color="auto"/>
        <w:right w:val="none" w:sz="0" w:space="0" w:color="auto"/>
      </w:divBdr>
      <w:divsChild>
        <w:div w:id="855772768">
          <w:marLeft w:val="0"/>
          <w:marRight w:val="0"/>
          <w:marTop w:val="0"/>
          <w:marBottom w:val="0"/>
          <w:divBdr>
            <w:top w:val="none" w:sz="0" w:space="0" w:color="auto"/>
            <w:left w:val="none" w:sz="0" w:space="0" w:color="auto"/>
            <w:bottom w:val="none" w:sz="0" w:space="0" w:color="auto"/>
            <w:right w:val="none" w:sz="0" w:space="0" w:color="auto"/>
          </w:divBdr>
          <w:divsChild>
            <w:div w:id="321550482">
              <w:marLeft w:val="0"/>
              <w:marRight w:val="0"/>
              <w:marTop w:val="0"/>
              <w:marBottom w:val="0"/>
              <w:divBdr>
                <w:top w:val="none" w:sz="0" w:space="0" w:color="auto"/>
                <w:left w:val="none" w:sz="0" w:space="0" w:color="auto"/>
                <w:bottom w:val="none" w:sz="0" w:space="0" w:color="auto"/>
                <w:right w:val="none" w:sz="0" w:space="0" w:color="auto"/>
              </w:divBdr>
              <w:divsChild>
                <w:div w:id="987826040">
                  <w:marLeft w:val="0"/>
                  <w:marRight w:val="0"/>
                  <w:marTop w:val="0"/>
                  <w:marBottom w:val="0"/>
                  <w:divBdr>
                    <w:top w:val="none" w:sz="0" w:space="0" w:color="auto"/>
                    <w:left w:val="none" w:sz="0" w:space="0" w:color="auto"/>
                    <w:bottom w:val="none" w:sz="0" w:space="0" w:color="auto"/>
                    <w:right w:val="none" w:sz="0" w:space="0" w:color="auto"/>
                  </w:divBdr>
                  <w:divsChild>
                    <w:div w:id="903373902">
                      <w:marLeft w:val="0"/>
                      <w:marRight w:val="0"/>
                      <w:marTop w:val="0"/>
                      <w:marBottom w:val="0"/>
                      <w:divBdr>
                        <w:top w:val="none" w:sz="0" w:space="0" w:color="auto"/>
                        <w:left w:val="none" w:sz="0" w:space="0" w:color="auto"/>
                        <w:bottom w:val="none" w:sz="0" w:space="0" w:color="auto"/>
                        <w:right w:val="none" w:sz="0" w:space="0" w:color="auto"/>
                      </w:divBdr>
                      <w:divsChild>
                        <w:div w:id="1597517392">
                          <w:marLeft w:val="0"/>
                          <w:marRight w:val="0"/>
                          <w:marTop w:val="0"/>
                          <w:marBottom w:val="0"/>
                          <w:divBdr>
                            <w:top w:val="none" w:sz="0" w:space="0" w:color="auto"/>
                            <w:left w:val="none" w:sz="0" w:space="0" w:color="auto"/>
                            <w:bottom w:val="none" w:sz="0" w:space="0" w:color="auto"/>
                            <w:right w:val="none" w:sz="0" w:space="0" w:color="auto"/>
                          </w:divBdr>
                          <w:divsChild>
                            <w:div w:id="963849662">
                              <w:marLeft w:val="0"/>
                              <w:marRight w:val="0"/>
                              <w:marTop w:val="0"/>
                              <w:marBottom w:val="0"/>
                              <w:divBdr>
                                <w:top w:val="none" w:sz="0" w:space="0" w:color="auto"/>
                                <w:left w:val="none" w:sz="0" w:space="0" w:color="auto"/>
                                <w:bottom w:val="none" w:sz="0" w:space="0" w:color="auto"/>
                                <w:right w:val="none" w:sz="0" w:space="0" w:color="auto"/>
                              </w:divBdr>
                              <w:divsChild>
                                <w:div w:id="6945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30258">
      <w:bodyDiv w:val="1"/>
      <w:marLeft w:val="0"/>
      <w:marRight w:val="0"/>
      <w:marTop w:val="0"/>
      <w:marBottom w:val="0"/>
      <w:divBdr>
        <w:top w:val="none" w:sz="0" w:space="0" w:color="auto"/>
        <w:left w:val="none" w:sz="0" w:space="0" w:color="auto"/>
        <w:bottom w:val="none" w:sz="0" w:space="0" w:color="auto"/>
        <w:right w:val="none" w:sz="0" w:space="0" w:color="auto"/>
      </w:divBdr>
      <w:divsChild>
        <w:div w:id="1996568787">
          <w:marLeft w:val="0"/>
          <w:marRight w:val="0"/>
          <w:marTop w:val="0"/>
          <w:marBottom w:val="0"/>
          <w:divBdr>
            <w:top w:val="none" w:sz="0" w:space="0" w:color="auto"/>
            <w:left w:val="none" w:sz="0" w:space="0" w:color="auto"/>
            <w:bottom w:val="none" w:sz="0" w:space="0" w:color="auto"/>
            <w:right w:val="none" w:sz="0" w:space="0" w:color="auto"/>
          </w:divBdr>
          <w:divsChild>
            <w:div w:id="2062168334">
              <w:marLeft w:val="0"/>
              <w:marRight w:val="0"/>
              <w:marTop w:val="0"/>
              <w:marBottom w:val="0"/>
              <w:divBdr>
                <w:top w:val="none" w:sz="0" w:space="0" w:color="auto"/>
                <w:left w:val="none" w:sz="0" w:space="0" w:color="auto"/>
                <w:bottom w:val="none" w:sz="0" w:space="0" w:color="auto"/>
                <w:right w:val="none" w:sz="0" w:space="0" w:color="auto"/>
              </w:divBdr>
              <w:divsChild>
                <w:div w:id="2074158169">
                  <w:marLeft w:val="0"/>
                  <w:marRight w:val="0"/>
                  <w:marTop w:val="0"/>
                  <w:marBottom w:val="0"/>
                  <w:divBdr>
                    <w:top w:val="none" w:sz="0" w:space="0" w:color="auto"/>
                    <w:left w:val="none" w:sz="0" w:space="0" w:color="auto"/>
                    <w:bottom w:val="none" w:sz="0" w:space="0" w:color="auto"/>
                    <w:right w:val="none" w:sz="0" w:space="0" w:color="auto"/>
                  </w:divBdr>
                  <w:divsChild>
                    <w:div w:id="1321542014">
                      <w:marLeft w:val="0"/>
                      <w:marRight w:val="0"/>
                      <w:marTop w:val="0"/>
                      <w:marBottom w:val="0"/>
                      <w:divBdr>
                        <w:top w:val="none" w:sz="0" w:space="0" w:color="auto"/>
                        <w:left w:val="none" w:sz="0" w:space="0" w:color="auto"/>
                        <w:bottom w:val="none" w:sz="0" w:space="0" w:color="auto"/>
                        <w:right w:val="none" w:sz="0" w:space="0" w:color="auto"/>
                      </w:divBdr>
                      <w:divsChild>
                        <w:div w:id="7342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70936">
      <w:bodyDiv w:val="1"/>
      <w:marLeft w:val="0"/>
      <w:marRight w:val="0"/>
      <w:marTop w:val="0"/>
      <w:marBottom w:val="0"/>
      <w:divBdr>
        <w:top w:val="none" w:sz="0" w:space="0" w:color="auto"/>
        <w:left w:val="none" w:sz="0" w:space="0" w:color="auto"/>
        <w:bottom w:val="none" w:sz="0" w:space="0" w:color="auto"/>
        <w:right w:val="none" w:sz="0" w:space="0" w:color="auto"/>
      </w:divBdr>
      <w:divsChild>
        <w:div w:id="1593204033">
          <w:marLeft w:val="-150"/>
          <w:marRight w:val="0"/>
          <w:marTop w:val="45"/>
          <w:marBottom w:val="60"/>
          <w:divBdr>
            <w:top w:val="none" w:sz="0" w:space="0" w:color="auto"/>
            <w:left w:val="none" w:sz="0" w:space="0" w:color="auto"/>
            <w:bottom w:val="none" w:sz="0" w:space="0" w:color="auto"/>
            <w:right w:val="none" w:sz="0" w:space="0" w:color="auto"/>
          </w:divBdr>
          <w:divsChild>
            <w:div w:id="2013297191">
              <w:marLeft w:val="0"/>
              <w:marRight w:val="0"/>
              <w:marTop w:val="0"/>
              <w:marBottom w:val="0"/>
              <w:divBdr>
                <w:top w:val="none" w:sz="0" w:space="0" w:color="auto"/>
                <w:left w:val="none" w:sz="0" w:space="0" w:color="auto"/>
                <w:bottom w:val="none" w:sz="0" w:space="0" w:color="auto"/>
                <w:right w:val="none" w:sz="0" w:space="0" w:color="auto"/>
              </w:divBdr>
            </w:div>
          </w:divsChild>
        </w:div>
        <w:div w:id="1606108982">
          <w:marLeft w:val="0"/>
          <w:marRight w:val="0"/>
          <w:marTop w:val="0"/>
          <w:marBottom w:val="30"/>
          <w:divBdr>
            <w:top w:val="none" w:sz="0" w:space="0" w:color="auto"/>
            <w:left w:val="none" w:sz="0" w:space="0" w:color="auto"/>
            <w:bottom w:val="none" w:sz="0" w:space="0" w:color="auto"/>
            <w:right w:val="none" w:sz="0" w:space="0" w:color="auto"/>
          </w:divBdr>
          <w:divsChild>
            <w:div w:id="1032608663">
              <w:marLeft w:val="0"/>
              <w:marRight w:val="0"/>
              <w:marTop w:val="0"/>
              <w:marBottom w:val="0"/>
              <w:divBdr>
                <w:top w:val="none" w:sz="0" w:space="0" w:color="auto"/>
                <w:left w:val="none" w:sz="0" w:space="0" w:color="auto"/>
                <w:bottom w:val="none" w:sz="0" w:space="0" w:color="auto"/>
                <w:right w:val="none" w:sz="0" w:space="0" w:color="auto"/>
              </w:divBdr>
            </w:div>
          </w:divsChild>
        </w:div>
        <w:div w:id="1355184104">
          <w:marLeft w:val="0"/>
          <w:marRight w:val="0"/>
          <w:marTop w:val="0"/>
          <w:marBottom w:val="30"/>
          <w:divBdr>
            <w:top w:val="none" w:sz="0" w:space="0" w:color="auto"/>
            <w:left w:val="none" w:sz="0" w:space="0" w:color="auto"/>
            <w:bottom w:val="none" w:sz="0" w:space="0" w:color="auto"/>
            <w:right w:val="none" w:sz="0" w:space="0" w:color="auto"/>
          </w:divBdr>
          <w:divsChild>
            <w:div w:id="2025932737">
              <w:marLeft w:val="0"/>
              <w:marRight w:val="0"/>
              <w:marTop w:val="0"/>
              <w:marBottom w:val="0"/>
              <w:divBdr>
                <w:top w:val="none" w:sz="0" w:space="0" w:color="auto"/>
                <w:left w:val="none" w:sz="0" w:space="0" w:color="auto"/>
                <w:bottom w:val="none" w:sz="0" w:space="0" w:color="auto"/>
                <w:right w:val="none" w:sz="0" w:space="0" w:color="auto"/>
              </w:divBdr>
            </w:div>
          </w:divsChild>
        </w:div>
        <w:div w:id="355931434">
          <w:marLeft w:val="0"/>
          <w:marRight w:val="0"/>
          <w:marTop w:val="0"/>
          <w:marBottom w:val="0"/>
          <w:divBdr>
            <w:top w:val="none" w:sz="0" w:space="0" w:color="auto"/>
            <w:left w:val="none" w:sz="0" w:space="0" w:color="auto"/>
            <w:bottom w:val="none" w:sz="0" w:space="0" w:color="auto"/>
            <w:right w:val="none" w:sz="0" w:space="0" w:color="auto"/>
          </w:divBdr>
          <w:divsChild>
            <w:div w:id="4969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8421">
      <w:bodyDiv w:val="1"/>
      <w:marLeft w:val="0"/>
      <w:marRight w:val="0"/>
      <w:marTop w:val="0"/>
      <w:marBottom w:val="0"/>
      <w:divBdr>
        <w:top w:val="none" w:sz="0" w:space="0" w:color="auto"/>
        <w:left w:val="none" w:sz="0" w:space="0" w:color="auto"/>
        <w:bottom w:val="none" w:sz="0" w:space="0" w:color="auto"/>
        <w:right w:val="none" w:sz="0" w:space="0" w:color="auto"/>
      </w:divBdr>
      <w:divsChild>
        <w:div w:id="881283998">
          <w:marLeft w:val="0"/>
          <w:marRight w:val="0"/>
          <w:marTop w:val="0"/>
          <w:marBottom w:val="0"/>
          <w:divBdr>
            <w:top w:val="none" w:sz="0" w:space="0" w:color="auto"/>
            <w:left w:val="none" w:sz="0" w:space="0" w:color="auto"/>
            <w:bottom w:val="none" w:sz="0" w:space="0" w:color="auto"/>
            <w:right w:val="none" w:sz="0" w:space="0" w:color="auto"/>
          </w:divBdr>
          <w:divsChild>
            <w:div w:id="1592277558">
              <w:marLeft w:val="0"/>
              <w:marRight w:val="0"/>
              <w:marTop w:val="0"/>
              <w:marBottom w:val="0"/>
              <w:divBdr>
                <w:top w:val="none" w:sz="0" w:space="0" w:color="auto"/>
                <w:left w:val="none" w:sz="0" w:space="0" w:color="auto"/>
                <w:bottom w:val="none" w:sz="0" w:space="0" w:color="auto"/>
                <w:right w:val="none" w:sz="0" w:space="0" w:color="auto"/>
              </w:divBdr>
              <w:divsChild>
                <w:div w:id="1996102267">
                  <w:marLeft w:val="0"/>
                  <w:marRight w:val="0"/>
                  <w:marTop w:val="0"/>
                  <w:marBottom w:val="0"/>
                  <w:divBdr>
                    <w:top w:val="none" w:sz="0" w:space="0" w:color="auto"/>
                    <w:left w:val="none" w:sz="0" w:space="0" w:color="auto"/>
                    <w:bottom w:val="none" w:sz="0" w:space="0" w:color="auto"/>
                    <w:right w:val="none" w:sz="0" w:space="0" w:color="auto"/>
                  </w:divBdr>
                  <w:divsChild>
                    <w:div w:id="1618751611">
                      <w:marLeft w:val="0"/>
                      <w:marRight w:val="0"/>
                      <w:marTop w:val="300"/>
                      <w:marBottom w:val="600"/>
                      <w:divBdr>
                        <w:top w:val="none" w:sz="0" w:space="0" w:color="auto"/>
                        <w:left w:val="none" w:sz="0" w:space="0" w:color="auto"/>
                        <w:bottom w:val="none" w:sz="0" w:space="0" w:color="auto"/>
                        <w:right w:val="none" w:sz="0" w:space="0" w:color="auto"/>
                      </w:divBdr>
                      <w:divsChild>
                        <w:div w:id="619918796">
                          <w:marLeft w:val="0"/>
                          <w:marRight w:val="0"/>
                          <w:marTop w:val="0"/>
                          <w:marBottom w:val="0"/>
                          <w:divBdr>
                            <w:top w:val="none" w:sz="0" w:space="0" w:color="auto"/>
                            <w:left w:val="none" w:sz="0" w:space="0" w:color="auto"/>
                            <w:bottom w:val="none" w:sz="0" w:space="0" w:color="auto"/>
                            <w:right w:val="none" w:sz="0" w:space="0" w:color="auto"/>
                          </w:divBdr>
                          <w:divsChild>
                            <w:div w:id="760414442">
                              <w:marLeft w:val="0"/>
                              <w:marRight w:val="0"/>
                              <w:marTop w:val="0"/>
                              <w:marBottom w:val="0"/>
                              <w:divBdr>
                                <w:top w:val="none" w:sz="0" w:space="0" w:color="auto"/>
                                <w:left w:val="none" w:sz="0" w:space="0" w:color="auto"/>
                                <w:bottom w:val="none" w:sz="0" w:space="0" w:color="auto"/>
                                <w:right w:val="none" w:sz="0" w:space="0" w:color="auto"/>
                              </w:divBdr>
                              <w:divsChild>
                                <w:div w:id="497962784">
                                  <w:marLeft w:val="0"/>
                                  <w:marRight w:val="0"/>
                                  <w:marTop w:val="0"/>
                                  <w:marBottom w:val="0"/>
                                  <w:divBdr>
                                    <w:top w:val="none" w:sz="0" w:space="0" w:color="auto"/>
                                    <w:left w:val="none" w:sz="0" w:space="0" w:color="auto"/>
                                    <w:bottom w:val="none" w:sz="0" w:space="0" w:color="auto"/>
                                    <w:right w:val="none" w:sz="0" w:space="0" w:color="auto"/>
                                  </w:divBdr>
                                  <w:divsChild>
                                    <w:div w:id="2096634682">
                                      <w:marLeft w:val="0"/>
                                      <w:marRight w:val="0"/>
                                      <w:marTop w:val="150"/>
                                      <w:marBottom w:val="0"/>
                                      <w:divBdr>
                                        <w:top w:val="none" w:sz="0" w:space="0" w:color="auto"/>
                                        <w:left w:val="none" w:sz="0" w:space="0" w:color="auto"/>
                                        <w:bottom w:val="none" w:sz="0" w:space="0" w:color="auto"/>
                                        <w:right w:val="none" w:sz="0" w:space="0" w:color="auto"/>
                                      </w:divBdr>
                                      <w:divsChild>
                                        <w:div w:id="587467393">
                                          <w:marLeft w:val="0"/>
                                          <w:marRight w:val="0"/>
                                          <w:marTop w:val="0"/>
                                          <w:marBottom w:val="0"/>
                                          <w:divBdr>
                                            <w:top w:val="none" w:sz="0" w:space="0" w:color="auto"/>
                                            <w:left w:val="none" w:sz="0" w:space="0" w:color="auto"/>
                                            <w:bottom w:val="none" w:sz="0" w:space="0" w:color="auto"/>
                                            <w:right w:val="none" w:sz="0" w:space="0" w:color="auto"/>
                                          </w:divBdr>
                                          <w:divsChild>
                                            <w:div w:id="1633174150">
                                              <w:marLeft w:val="0"/>
                                              <w:marRight w:val="0"/>
                                              <w:marTop w:val="0"/>
                                              <w:marBottom w:val="0"/>
                                              <w:divBdr>
                                                <w:top w:val="none" w:sz="0" w:space="0" w:color="auto"/>
                                                <w:left w:val="none" w:sz="0" w:space="0" w:color="auto"/>
                                                <w:bottom w:val="none" w:sz="0" w:space="0" w:color="auto"/>
                                                <w:right w:val="none" w:sz="0" w:space="0" w:color="auto"/>
                                              </w:divBdr>
                                              <w:divsChild>
                                                <w:div w:id="408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32001">
      <w:bodyDiv w:val="1"/>
      <w:marLeft w:val="0"/>
      <w:marRight w:val="0"/>
      <w:marTop w:val="0"/>
      <w:marBottom w:val="0"/>
      <w:divBdr>
        <w:top w:val="none" w:sz="0" w:space="0" w:color="auto"/>
        <w:left w:val="none" w:sz="0" w:space="0" w:color="auto"/>
        <w:bottom w:val="none" w:sz="0" w:space="0" w:color="auto"/>
        <w:right w:val="none" w:sz="0" w:space="0" w:color="auto"/>
      </w:divBdr>
    </w:div>
    <w:div w:id="63650383">
      <w:bodyDiv w:val="1"/>
      <w:marLeft w:val="0"/>
      <w:marRight w:val="0"/>
      <w:marTop w:val="0"/>
      <w:marBottom w:val="0"/>
      <w:divBdr>
        <w:top w:val="none" w:sz="0" w:space="0" w:color="auto"/>
        <w:left w:val="none" w:sz="0" w:space="0" w:color="auto"/>
        <w:bottom w:val="none" w:sz="0" w:space="0" w:color="auto"/>
        <w:right w:val="none" w:sz="0" w:space="0" w:color="auto"/>
      </w:divBdr>
      <w:divsChild>
        <w:div w:id="645596594">
          <w:marLeft w:val="0"/>
          <w:marRight w:val="0"/>
          <w:marTop w:val="0"/>
          <w:marBottom w:val="0"/>
          <w:divBdr>
            <w:top w:val="single" w:sz="6" w:space="0" w:color="0E477A"/>
            <w:left w:val="single" w:sz="6" w:space="0" w:color="0E477A"/>
            <w:bottom w:val="single" w:sz="6" w:space="0" w:color="0E477A"/>
            <w:right w:val="single" w:sz="6" w:space="0" w:color="0E477A"/>
          </w:divBdr>
          <w:divsChild>
            <w:div w:id="500464182">
              <w:marLeft w:val="2925"/>
              <w:marRight w:val="0"/>
              <w:marTop w:val="0"/>
              <w:marBottom w:val="0"/>
              <w:divBdr>
                <w:top w:val="none" w:sz="0" w:space="0" w:color="auto"/>
                <w:left w:val="none" w:sz="0" w:space="0" w:color="auto"/>
                <w:bottom w:val="none" w:sz="0" w:space="0" w:color="auto"/>
                <w:right w:val="none" w:sz="0" w:space="0" w:color="auto"/>
              </w:divBdr>
              <w:divsChild>
                <w:div w:id="1571190069">
                  <w:marLeft w:val="0"/>
                  <w:marRight w:val="0"/>
                  <w:marTop w:val="0"/>
                  <w:marBottom w:val="0"/>
                  <w:divBdr>
                    <w:top w:val="none" w:sz="0" w:space="0" w:color="auto"/>
                    <w:left w:val="none" w:sz="0" w:space="0" w:color="auto"/>
                    <w:bottom w:val="none" w:sz="0" w:space="0" w:color="auto"/>
                    <w:right w:val="none" w:sz="0" w:space="0" w:color="auto"/>
                  </w:divBdr>
                  <w:divsChild>
                    <w:div w:id="1179080729">
                      <w:marLeft w:val="0"/>
                      <w:marRight w:val="150"/>
                      <w:marTop w:val="0"/>
                      <w:marBottom w:val="0"/>
                      <w:divBdr>
                        <w:top w:val="single" w:sz="6" w:space="0" w:color="CCCCCC"/>
                        <w:left w:val="single" w:sz="6" w:space="8" w:color="CCCCCC"/>
                        <w:bottom w:val="single" w:sz="6" w:space="8" w:color="CCCCCC"/>
                        <w:right w:val="single" w:sz="6" w:space="8" w:color="CCCCCC"/>
                      </w:divBdr>
                      <w:divsChild>
                        <w:div w:id="1457869033">
                          <w:marLeft w:val="0"/>
                          <w:marRight w:val="0"/>
                          <w:marTop w:val="0"/>
                          <w:marBottom w:val="0"/>
                          <w:divBdr>
                            <w:top w:val="none" w:sz="0" w:space="0" w:color="auto"/>
                            <w:left w:val="none" w:sz="0" w:space="0" w:color="auto"/>
                            <w:bottom w:val="none" w:sz="0" w:space="0" w:color="auto"/>
                            <w:right w:val="none" w:sz="0" w:space="0" w:color="auto"/>
                          </w:divBdr>
                        </w:div>
                        <w:div w:id="225458383">
                          <w:marLeft w:val="0"/>
                          <w:marRight w:val="0"/>
                          <w:marTop w:val="0"/>
                          <w:marBottom w:val="0"/>
                          <w:divBdr>
                            <w:top w:val="none" w:sz="0" w:space="0" w:color="auto"/>
                            <w:left w:val="none" w:sz="0" w:space="0" w:color="auto"/>
                            <w:bottom w:val="none" w:sz="0" w:space="0" w:color="auto"/>
                            <w:right w:val="none" w:sz="0" w:space="0" w:color="auto"/>
                          </w:divBdr>
                        </w:div>
                        <w:div w:id="1762604526">
                          <w:marLeft w:val="0"/>
                          <w:marRight w:val="0"/>
                          <w:marTop w:val="0"/>
                          <w:marBottom w:val="0"/>
                          <w:divBdr>
                            <w:top w:val="none" w:sz="0" w:space="0" w:color="auto"/>
                            <w:left w:val="none" w:sz="0" w:space="0" w:color="auto"/>
                            <w:bottom w:val="none" w:sz="0" w:space="0" w:color="auto"/>
                            <w:right w:val="none" w:sz="0" w:space="0" w:color="auto"/>
                          </w:divBdr>
                        </w:div>
                        <w:div w:id="2134252191">
                          <w:marLeft w:val="0"/>
                          <w:marRight w:val="0"/>
                          <w:marTop w:val="0"/>
                          <w:marBottom w:val="0"/>
                          <w:divBdr>
                            <w:top w:val="none" w:sz="0" w:space="0" w:color="auto"/>
                            <w:left w:val="none" w:sz="0" w:space="0" w:color="auto"/>
                            <w:bottom w:val="none" w:sz="0" w:space="0" w:color="auto"/>
                            <w:right w:val="none" w:sz="0" w:space="0" w:color="auto"/>
                          </w:divBdr>
                        </w:div>
                        <w:div w:id="1235432462">
                          <w:marLeft w:val="0"/>
                          <w:marRight w:val="0"/>
                          <w:marTop w:val="0"/>
                          <w:marBottom w:val="0"/>
                          <w:divBdr>
                            <w:top w:val="none" w:sz="0" w:space="0" w:color="auto"/>
                            <w:left w:val="none" w:sz="0" w:space="0" w:color="auto"/>
                            <w:bottom w:val="none" w:sz="0" w:space="0" w:color="auto"/>
                            <w:right w:val="none" w:sz="0" w:space="0" w:color="auto"/>
                          </w:divBdr>
                        </w:div>
                        <w:div w:id="371424253">
                          <w:marLeft w:val="0"/>
                          <w:marRight w:val="0"/>
                          <w:marTop w:val="0"/>
                          <w:marBottom w:val="0"/>
                          <w:divBdr>
                            <w:top w:val="none" w:sz="0" w:space="0" w:color="auto"/>
                            <w:left w:val="none" w:sz="0" w:space="0" w:color="auto"/>
                            <w:bottom w:val="none" w:sz="0" w:space="0" w:color="auto"/>
                            <w:right w:val="none" w:sz="0" w:space="0" w:color="auto"/>
                          </w:divBdr>
                        </w:div>
                        <w:div w:id="995767993">
                          <w:marLeft w:val="0"/>
                          <w:marRight w:val="0"/>
                          <w:marTop w:val="0"/>
                          <w:marBottom w:val="0"/>
                          <w:divBdr>
                            <w:top w:val="none" w:sz="0" w:space="0" w:color="auto"/>
                            <w:left w:val="none" w:sz="0" w:space="0" w:color="auto"/>
                            <w:bottom w:val="none" w:sz="0" w:space="0" w:color="auto"/>
                            <w:right w:val="none" w:sz="0" w:space="0" w:color="auto"/>
                          </w:divBdr>
                        </w:div>
                        <w:div w:id="1995064009">
                          <w:marLeft w:val="0"/>
                          <w:marRight w:val="0"/>
                          <w:marTop w:val="0"/>
                          <w:marBottom w:val="0"/>
                          <w:divBdr>
                            <w:top w:val="none" w:sz="0" w:space="0" w:color="auto"/>
                            <w:left w:val="none" w:sz="0" w:space="0" w:color="auto"/>
                            <w:bottom w:val="none" w:sz="0" w:space="0" w:color="auto"/>
                            <w:right w:val="none" w:sz="0" w:space="0" w:color="auto"/>
                          </w:divBdr>
                        </w:div>
                        <w:div w:id="905264686">
                          <w:marLeft w:val="0"/>
                          <w:marRight w:val="0"/>
                          <w:marTop w:val="0"/>
                          <w:marBottom w:val="0"/>
                          <w:divBdr>
                            <w:top w:val="none" w:sz="0" w:space="0" w:color="auto"/>
                            <w:left w:val="none" w:sz="0" w:space="0" w:color="auto"/>
                            <w:bottom w:val="none" w:sz="0" w:space="0" w:color="auto"/>
                            <w:right w:val="none" w:sz="0" w:space="0" w:color="auto"/>
                          </w:divBdr>
                        </w:div>
                        <w:div w:id="1075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5163">
      <w:bodyDiv w:val="1"/>
      <w:marLeft w:val="0"/>
      <w:marRight w:val="0"/>
      <w:marTop w:val="0"/>
      <w:marBottom w:val="0"/>
      <w:divBdr>
        <w:top w:val="none" w:sz="0" w:space="0" w:color="auto"/>
        <w:left w:val="none" w:sz="0" w:space="0" w:color="auto"/>
        <w:bottom w:val="none" w:sz="0" w:space="0" w:color="auto"/>
        <w:right w:val="none" w:sz="0" w:space="0" w:color="auto"/>
      </w:divBdr>
      <w:divsChild>
        <w:div w:id="1118111765">
          <w:marLeft w:val="0"/>
          <w:marRight w:val="0"/>
          <w:marTop w:val="0"/>
          <w:marBottom w:val="0"/>
          <w:divBdr>
            <w:top w:val="none" w:sz="0" w:space="0" w:color="auto"/>
            <w:left w:val="none" w:sz="0" w:space="0" w:color="auto"/>
            <w:bottom w:val="none" w:sz="0" w:space="0" w:color="auto"/>
            <w:right w:val="none" w:sz="0" w:space="0" w:color="auto"/>
          </w:divBdr>
        </w:div>
        <w:div w:id="692651182">
          <w:marLeft w:val="0"/>
          <w:marRight w:val="0"/>
          <w:marTop w:val="0"/>
          <w:marBottom w:val="0"/>
          <w:divBdr>
            <w:top w:val="none" w:sz="0" w:space="0" w:color="auto"/>
            <w:left w:val="none" w:sz="0" w:space="0" w:color="auto"/>
            <w:bottom w:val="none" w:sz="0" w:space="0" w:color="auto"/>
            <w:right w:val="none" w:sz="0" w:space="0" w:color="auto"/>
          </w:divBdr>
          <w:divsChild>
            <w:div w:id="1107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3403">
      <w:bodyDiv w:val="1"/>
      <w:marLeft w:val="0"/>
      <w:marRight w:val="0"/>
      <w:marTop w:val="0"/>
      <w:marBottom w:val="0"/>
      <w:divBdr>
        <w:top w:val="none" w:sz="0" w:space="0" w:color="auto"/>
        <w:left w:val="none" w:sz="0" w:space="0" w:color="auto"/>
        <w:bottom w:val="none" w:sz="0" w:space="0" w:color="auto"/>
        <w:right w:val="none" w:sz="0" w:space="0" w:color="auto"/>
      </w:divBdr>
    </w:div>
    <w:div w:id="64646659">
      <w:bodyDiv w:val="1"/>
      <w:marLeft w:val="0"/>
      <w:marRight w:val="0"/>
      <w:marTop w:val="0"/>
      <w:marBottom w:val="0"/>
      <w:divBdr>
        <w:top w:val="none" w:sz="0" w:space="0" w:color="auto"/>
        <w:left w:val="none" w:sz="0" w:space="0" w:color="auto"/>
        <w:bottom w:val="none" w:sz="0" w:space="0" w:color="auto"/>
        <w:right w:val="none" w:sz="0" w:space="0" w:color="auto"/>
      </w:divBdr>
    </w:div>
    <w:div w:id="67003358">
      <w:bodyDiv w:val="1"/>
      <w:marLeft w:val="0"/>
      <w:marRight w:val="0"/>
      <w:marTop w:val="0"/>
      <w:marBottom w:val="0"/>
      <w:divBdr>
        <w:top w:val="none" w:sz="0" w:space="0" w:color="auto"/>
        <w:left w:val="none" w:sz="0" w:space="0" w:color="auto"/>
        <w:bottom w:val="none" w:sz="0" w:space="0" w:color="auto"/>
        <w:right w:val="none" w:sz="0" w:space="0" w:color="auto"/>
      </w:divBdr>
      <w:divsChild>
        <w:div w:id="629558908">
          <w:marLeft w:val="0"/>
          <w:marRight w:val="0"/>
          <w:marTop w:val="0"/>
          <w:marBottom w:val="0"/>
          <w:divBdr>
            <w:top w:val="none" w:sz="0" w:space="0" w:color="auto"/>
            <w:left w:val="none" w:sz="0" w:space="0" w:color="auto"/>
            <w:bottom w:val="none" w:sz="0" w:space="0" w:color="auto"/>
            <w:right w:val="none" w:sz="0" w:space="0" w:color="auto"/>
          </w:divBdr>
          <w:divsChild>
            <w:div w:id="669211268">
              <w:marLeft w:val="0"/>
              <w:marRight w:val="0"/>
              <w:marTop w:val="0"/>
              <w:marBottom w:val="0"/>
              <w:divBdr>
                <w:top w:val="none" w:sz="0" w:space="0" w:color="auto"/>
                <w:left w:val="none" w:sz="0" w:space="0" w:color="auto"/>
                <w:bottom w:val="none" w:sz="0" w:space="0" w:color="auto"/>
                <w:right w:val="none" w:sz="0" w:space="0" w:color="auto"/>
              </w:divBdr>
              <w:divsChild>
                <w:div w:id="1765033089">
                  <w:marLeft w:val="0"/>
                  <w:marRight w:val="0"/>
                  <w:marTop w:val="0"/>
                  <w:marBottom w:val="0"/>
                  <w:divBdr>
                    <w:top w:val="none" w:sz="0" w:space="0" w:color="auto"/>
                    <w:left w:val="none" w:sz="0" w:space="0" w:color="auto"/>
                    <w:bottom w:val="none" w:sz="0" w:space="0" w:color="auto"/>
                    <w:right w:val="none" w:sz="0" w:space="0" w:color="auto"/>
                  </w:divBdr>
                  <w:divsChild>
                    <w:div w:id="1494294670">
                      <w:marLeft w:val="0"/>
                      <w:marRight w:val="0"/>
                      <w:marTop w:val="0"/>
                      <w:marBottom w:val="0"/>
                      <w:divBdr>
                        <w:top w:val="none" w:sz="0" w:space="0" w:color="auto"/>
                        <w:left w:val="none" w:sz="0" w:space="0" w:color="auto"/>
                        <w:bottom w:val="none" w:sz="0" w:space="0" w:color="auto"/>
                        <w:right w:val="none" w:sz="0" w:space="0" w:color="auto"/>
                      </w:divBdr>
                      <w:divsChild>
                        <w:div w:id="1016613165">
                          <w:marLeft w:val="0"/>
                          <w:marRight w:val="0"/>
                          <w:marTop w:val="0"/>
                          <w:marBottom w:val="0"/>
                          <w:divBdr>
                            <w:top w:val="none" w:sz="0" w:space="0" w:color="auto"/>
                            <w:left w:val="none" w:sz="0" w:space="0" w:color="auto"/>
                            <w:bottom w:val="none" w:sz="0" w:space="0" w:color="auto"/>
                            <w:right w:val="none" w:sz="0" w:space="0" w:color="auto"/>
                          </w:divBdr>
                          <w:divsChild>
                            <w:div w:id="1073624413">
                              <w:marLeft w:val="0"/>
                              <w:marRight w:val="0"/>
                              <w:marTop w:val="0"/>
                              <w:marBottom w:val="0"/>
                              <w:divBdr>
                                <w:top w:val="none" w:sz="0" w:space="0" w:color="auto"/>
                                <w:left w:val="none" w:sz="0" w:space="0" w:color="auto"/>
                                <w:bottom w:val="none" w:sz="0" w:space="0" w:color="auto"/>
                                <w:right w:val="none" w:sz="0" w:space="0" w:color="auto"/>
                              </w:divBdr>
                              <w:divsChild>
                                <w:div w:id="571046745">
                                  <w:marLeft w:val="570"/>
                                  <w:marRight w:val="720"/>
                                  <w:marTop w:val="120"/>
                                  <w:marBottom w:val="120"/>
                                  <w:divBdr>
                                    <w:top w:val="none" w:sz="0" w:space="0" w:color="auto"/>
                                    <w:left w:val="none" w:sz="0" w:space="0" w:color="auto"/>
                                    <w:bottom w:val="none" w:sz="0" w:space="0" w:color="auto"/>
                                    <w:right w:val="none" w:sz="0" w:space="0" w:color="auto"/>
                                  </w:divBdr>
                                  <w:divsChild>
                                    <w:div w:id="113329721">
                                      <w:marLeft w:val="0"/>
                                      <w:marRight w:val="0"/>
                                      <w:marTop w:val="0"/>
                                      <w:marBottom w:val="0"/>
                                      <w:divBdr>
                                        <w:top w:val="none" w:sz="0" w:space="0" w:color="auto"/>
                                        <w:left w:val="none" w:sz="0" w:space="0" w:color="auto"/>
                                        <w:bottom w:val="none" w:sz="0" w:space="0" w:color="auto"/>
                                        <w:right w:val="none" w:sz="0" w:space="0" w:color="auto"/>
                                      </w:divBdr>
                                      <w:divsChild>
                                        <w:div w:id="1601374629">
                                          <w:marLeft w:val="0"/>
                                          <w:marRight w:val="0"/>
                                          <w:marTop w:val="0"/>
                                          <w:marBottom w:val="0"/>
                                          <w:divBdr>
                                            <w:top w:val="none" w:sz="0" w:space="0" w:color="auto"/>
                                            <w:left w:val="none" w:sz="0" w:space="0" w:color="auto"/>
                                            <w:bottom w:val="none" w:sz="0" w:space="0" w:color="auto"/>
                                            <w:right w:val="none" w:sz="0" w:space="0" w:color="auto"/>
                                          </w:divBdr>
                                          <w:divsChild>
                                            <w:div w:id="746461852">
                                              <w:marLeft w:val="0"/>
                                              <w:marRight w:val="0"/>
                                              <w:marTop w:val="0"/>
                                              <w:marBottom w:val="0"/>
                                              <w:divBdr>
                                                <w:top w:val="none" w:sz="0" w:space="0" w:color="auto"/>
                                                <w:left w:val="none" w:sz="0" w:space="0" w:color="auto"/>
                                                <w:bottom w:val="none" w:sz="0" w:space="0" w:color="auto"/>
                                                <w:right w:val="none" w:sz="0" w:space="0" w:color="auto"/>
                                              </w:divBdr>
                                              <w:divsChild>
                                                <w:div w:id="763234005">
                                                  <w:marLeft w:val="0"/>
                                                  <w:marRight w:val="0"/>
                                                  <w:marTop w:val="240"/>
                                                  <w:marBottom w:val="240"/>
                                                  <w:divBdr>
                                                    <w:top w:val="single" w:sz="6" w:space="6" w:color="F2F2F2"/>
                                                    <w:left w:val="none" w:sz="0" w:space="0" w:color="auto"/>
                                                    <w:bottom w:val="single" w:sz="6" w:space="6" w:color="F2F2F2"/>
                                                    <w:right w:val="none" w:sz="0" w:space="0" w:color="auto"/>
                                                  </w:divBdr>
                                                </w:div>
                                                <w:div w:id="45177964">
                                                  <w:marLeft w:val="0"/>
                                                  <w:marRight w:val="0"/>
                                                  <w:marTop w:val="0"/>
                                                  <w:marBottom w:val="0"/>
                                                  <w:divBdr>
                                                    <w:top w:val="none" w:sz="0" w:space="0" w:color="auto"/>
                                                    <w:left w:val="none" w:sz="0" w:space="0" w:color="auto"/>
                                                    <w:bottom w:val="none" w:sz="0" w:space="0" w:color="auto"/>
                                                    <w:right w:val="none" w:sz="0" w:space="0" w:color="auto"/>
                                                  </w:divBdr>
                                                  <w:divsChild>
                                                    <w:div w:id="4929899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3286">
      <w:bodyDiv w:val="1"/>
      <w:marLeft w:val="0"/>
      <w:marRight w:val="0"/>
      <w:marTop w:val="0"/>
      <w:marBottom w:val="0"/>
      <w:divBdr>
        <w:top w:val="none" w:sz="0" w:space="0" w:color="auto"/>
        <w:left w:val="none" w:sz="0" w:space="0" w:color="auto"/>
        <w:bottom w:val="none" w:sz="0" w:space="0" w:color="auto"/>
        <w:right w:val="none" w:sz="0" w:space="0" w:color="auto"/>
      </w:divBdr>
      <w:divsChild>
        <w:div w:id="1072579664">
          <w:marLeft w:val="0"/>
          <w:marRight w:val="0"/>
          <w:marTop w:val="0"/>
          <w:marBottom w:val="0"/>
          <w:divBdr>
            <w:top w:val="none" w:sz="0" w:space="0" w:color="auto"/>
            <w:left w:val="none" w:sz="0" w:space="0" w:color="auto"/>
            <w:bottom w:val="none" w:sz="0" w:space="0" w:color="auto"/>
            <w:right w:val="none" w:sz="0" w:space="0" w:color="auto"/>
          </w:divBdr>
          <w:divsChild>
            <w:div w:id="1574465535">
              <w:marLeft w:val="0"/>
              <w:marRight w:val="0"/>
              <w:marTop w:val="0"/>
              <w:marBottom w:val="0"/>
              <w:divBdr>
                <w:top w:val="none" w:sz="0" w:space="0" w:color="auto"/>
                <w:left w:val="none" w:sz="0" w:space="0" w:color="auto"/>
                <w:bottom w:val="none" w:sz="0" w:space="0" w:color="auto"/>
                <w:right w:val="none" w:sz="0" w:space="0" w:color="auto"/>
              </w:divBdr>
              <w:divsChild>
                <w:div w:id="21229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1485">
          <w:marLeft w:val="0"/>
          <w:marRight w:val="0"/>
          <w:marTop w:val="0"/>
          <w:marBottom w:val="0"/>
          <w:divBdr>
            <w:top w:val="none" w:sz="0" w:space="0" w:color="auto"/>
            <w:left w:val="none" w:sz="0" w:space="0" w:color="auto"/>
            <w:bottom w:val="none" w:sz="0" w:space="0" w:color="auto"/>
            <w:right w:val="none" w:sz="0" w:space="0" w:color="auto"/>
          </w:divBdr>
        </w:div>
      </w:divsChild>
    </w:div>
    <w:div w:id="70735066">
      <w:bodyDiv w:val="1"/>
      <w:marLeft w:val="0"/>
      <w:marRight w:val="0"/>
      <w:marTop w:val="0"/>
      <w:marBottom w:val="0"/>
      <w:divBdr>
        <w:top w:val="none" w:sz="0" w:space="0" w:color="auto"/>
        <w:left w:val="none" w:sz="0" w:space="0" w:color="auto"/>
        <w:bottom w:val="none" w:sz="0" w:space="0" w:color="auto"/>
        <w:right w:val="none" w:sz="0" w:space="0" w:color="auto"/>
      </w:divBdr>
      <w:divsChild>
        <w:div w:id="657535363">
          <w:marLeft w:val="0"/>
          <w:marRight w:val="0"/>
          <w:marTop w:val="0"/>
          <w:marBottom w:val="0"/>
          <w:divBdr>
            <w:top w:val="none" w:sz="0" w:space="0" w:color="auto"/>
            <w:left w:val="none" w:sz="0" w:space="0" w:color="auto"/>
            <w:bottom w:val="none" w:sz="0" w:space="0" w:color="auto"/>
            <w:right w:val="none" w:sz="0" w:space="0" w:color="auto"/>
          </w:divBdr>
          <w:divsChild>
            <w:div w:id="6753979">
              <w:marLeft w:val="0"/>
              <w:marRight w:val="0"/>
              <w:marTop w:val="0"/>
              <w:marBottom w:val="0"/>
              <w:divBdr>
                <w:top w:val="none" w:sz="0" w:space="0" w:color="auto"/>
                <w:left w:val="none" w:sz="0" w:space="0" w:color="auto"/>
                <w:bottom w:val="none" w:sz="0" w:space="0" w:color="auto"/>
                <w:right w:val="none" w:sz="0" w:space="0" w:color="auto"/>
              </w:divBdr>
              <w:divsChild>
                <w:div w:id="1510370258">
                  <w:marLeft w:val="0"/>
                  <w:marRight w:val="0"/>
                  <w:marTop w:val="0"/>
                  <w:marBottom w:val="0"/>
                  <w:divBdr>
                    <w:top w:val="none" w:sz="0" w:space="0" w:color="auto"/>
                    <w:left w:val="none" w:sz="0" w:space="0" w:color="auto"/>
                    <w:bottom w:val="none" w:sz="0" w:space="0" w:color="auto"/>
                    <w:right w:val="none" w:sz="0" w:space="0" w:color="auto"/>
                  </w:divBdr>
                  <w:divsChild>
                    <w:div w:id="2245732">
                      <w:marLeft w:val="0"/>
                      <w:marRight w:val="0"/>
                      <w:marTop w:val="0"/>
                      <w:marBottom w:val="0"/>
                      <w:divBdr>
                        <w:top w:val="none" w:sz="0" w:space="0" w:color="auto"/>
                        <w:left w:val="none" w:sz="0" w:space="0" w:color="auto"/>
                        <w:bottom w:val="none" w:sz="0" w:space="0" w:color="auto"/>
                        <w:right w:val="none" w:sz="0" w:space="0" w:color="auto"/>
                      </w:divBdr>
                      <w:divsChild>
                        <w:div w:id="1536232535">
                          <w:marLeft w:val="570"/>
                          <w:marRight w:val="720"/>
                          <w:marTop w:val="120"/>
                          <w:marBottom w:val="120"/>
                          <w:divBdr>
                            <w:top w:val="none" w:sz="0" w:space="0" w:color="auto"/>
                            <w:left w:val="none" w:sz="0" w:space="0" w:color="auto"/>
                            <w:bottom w:val="none" w:sz="0" w:space="0" w:color="auto"/>
                            <w:right w:val="none" w:sz="0" w:space="0" w:color="auto"/>
                          </w:divBdr>
                          <w:divsChild>
                            <w:div w:id="443811909">
                              <w:marLeft w:val="0"/>
                              <w:marRight w:val="0"/>
                              <w:marTop w:val="0"/>
                              <w:marBottom w:val="0"/>
                              <w:divBdr>
                                <w:top w:val="none" w:sz="0" w:space="0" w:color="auto"/>
                                <w:left w:val="none" w:sz="0" w:space="0" w:color="auto"/>
                                <w:bottom w:val="none" w:sz="0" w:space="0" w:color="auto"/>
                                <w:right w:val="none" w:sz="0" w:space="0" w:color="auto"/>
                              </w:divBdr>
                              <w:divsChild>
                                <w:div w:id="891426204">
                                  <w:marLeft w:val="0"/>
                                  <w:marRight w:val="0"/>
                                  <w:marTop w:val="0"/>
                                  <w:marBottom w:val="0"/>
                                  <w:divBdr>
                                    <w:top w:val="none" w:sz="0" w:space="0" w:color="auto"/>
                                    <w:left w:val="none" w:sz="0" w:space="0" w:color="auto"/>
                                    <w:bottom w:val="none" w:sz="0" w:space="0" w:color="auto"/>
                                    <w:right w:val="none" w:sz="0" w:space="0" w:color="auto"/>
                                  </w:divBdr>
                                  <w:divsChild>
                                    <w:div w:id="1757827252">
                                      <w:marLeft w:val="0"/>
                                      <w:marRight w:val="0"/>
                                      <w:marTop w:val="0"/>
                                      <w:marBottom w:val="0"/>
                                      <w:divBdr>
                                        <w:top w:val="none" w:sz="0" w:space="0" w:color="auto"/>
                                        <w:left w:val="none" w:sz="0" w:space="0" w:color="auto"/>
                                        <w:bottom w:val="none" w:sz="0" w:space="0" w:color="auto"/>
                                        <w:right w:val="none" w:sz="0" w:space="0" w:color="auto"/>
                                      </w:divBdr>
                                      <w:divsChild>
                                        <w:div w:id="1660502717">
                                          <w:marLeft w:val="0"/>
                                          <w:marRight w:val="0"/>
                                          <w:marTop w:val="0"/>
                                          <w:marBottom w:val="0"/>
                                          <w:divBdr>
                                            <w:top w:val="none" w:sz="0" w:space="0" w:color="auto"/>
                                            <w:left w:val="none" w:sz="0" w:space="0" w:color="auto"/>
                                            <w:bottom w:val="none" w:sz="0" w:space="0" w:color="auto"/>
                                            <w:right w:val="none" w:sz="0" w:space="0" w:color="auto"/>
                                          </w:divBdr>
                                          <w:divsChild>
                                            <w:div w:id="3431677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14201">
      <w:bodyDiv w:val="1"/>
      <w:marLeft w:val="0"/>
      <w:marRight w:val="0"/>
      <w:marTop w:val="0"/>
      <w:marBottom w:val="0"/>
      <w:divBdr>
        <w:top w:val="none" w:sz="0" w:space="0" w:color="auto"/>
        <w:left w:val="none" w:sz="0" w:space="0" w:color="auto"/>
        <w:bottom w:val="none" w:sz="0" w:space="0" w:color="auto"/>
        <w:right w:val="none" w:sz="0" w:space="0" w:color="auto"/>
      </w:divBdr>
      <w:divsChild>
        <w:div w:id="1801847501">
          <w:marLeft w:val="0"/>
          <w:marRight w:val="0"/>
          <w:marTop w:val="0"/>
          <w:marBottom w:val="0"/>
          <w:divBdr>
            <w:top w:val="none" w:sz="0" w:space="0" w:color="auto"/>
            <w:left w:val="none" w:sz="0" w:space="0" w:color="auto"/>
            <w:bottom w:val="none" w:sz="0" w:space="0" w:color="auto"/>
            <w:right w:val="none" w:sz="0" w:space="0" w:color="auto"/>
          </w:divBdr>
          <w:divsChild>
            <w:div w:id="1007244367">
              <w:marLeft w:val="0"/>
              <w:marRight w:val="0"/>
              <w:marTop w:val="0"/>
              <w:marBottom w:val="0"/>
              <w:divBdr>
                <w:top w:val="none" w:sz="0" w:space="0" w:color="auto"/>
                <w:left w:val="none" w:sz="0" w:space="0" w:color="auto"/>
                <w:bottom w:val="none" w:sz="0" w:space="0" w:color="auto"/>
                <w:right w:val="none" w:sz="0" w:space="0" w:color="auto"/>
              </w:divBdr>
              <w:divsChild>
                <w:div w:id="809979934">
                  <w:marLeft w:val="0"/>
                  <w:marRight w:val="0"/>
                  <w:marTop w:val="0"/>
                  <w:marBottom w:val="0"/>
                  <w:divBdr>
                    <w:top w:val="none" w:sz="0" w:space="0" w:color="auto"/>
                    <w:left w:val="none" w:sz="0" w:space="0" w:color="auto"/>
                    <w:bottom w:val="none" w:sz="0" w:space="0" w:color="auto"/>
                    <w:right w:val="none" w:sz="0" w:space="0" w:color="auto"/>
                  </w:divBdr>
                  <w:divsChild>
                    <w:div w:id="1561474526">
                      <w:marLeft w:val="0"/>
                      <w:marRight w:val="0"/>
                      <w:marTop w:val="0"/>
                      <w:marBottom w:val="0"/>
                      <w:divBdr>
                        <w:top w:val="none" w:sz="0" w:space="0" w:color="auto"/>
                        <w:left w:val="none" w:sz="0" w:space="0" w:color="auto"/>
                        <w:bottom w:val="none" w:sz="0" w:space="0" w:color="auto"/>
                        <w:right w:val="none" w:sz="0" w:space="0" w:color="auto"/>
                      </w:divBdr>
                      <w:divsChild>
                        <w:div w:id="1343123469">
                          <w:marLeft w:val="0"/>
                          <w:marRight w:val="0"/>
                          <w:marTop w:val="0"/>
                          <w:marBottom w:val="0"/>
                          <w:divBdr>
                            <w:top w:val="none" w:sz="0" w:space="0" w:color="auto"/>
                            <w:left w:val="none" w:sz="0" w:space="0" w:color="auto"/>
                            <w:bottom w:val="none" w:sz="0" w:space="0" w:color="auto"/>
                            <w:right w:val="none" w:sz="0" w:space="0" w:color="auto"/>
                          </w:divBdr>
                          <w:divsChild>
                            <w:div w:id="1247500169">
                              <w:marLeft w:val="0"/>
                              <w:marRight w:val="0"/>
                              <w:marTop w:val="0"/>
                              <w:marBottom w:val="0"/>
                              <w:divBdr>
                                <w:top w:val="none" w:sz="0" w:space="0" w:color="auto"/>
                                <w:left w:val="none" w:sz="0" w:space="0" w:color="auto"/>
                                <w:bottom w:val="none" w:sz="0" w:space="0" w:color="auto"/>
                                <w:right w:val="none" w:sz="0" w:space="0" w:color="auto"/>
                              </w:divBdr>
                              <w:divsChild>
                                <w:div w:id="412973603">
                                  <w:marLeft w:val="0"/>
                                  <w:marRight w:val="0"/>
                                  <w:marTop w:val="0"/>
                                  <w:marBottom w:val="0"/>
                                  <w:divBdr>
                                    <w:top w:val="none" w:sz="0" w:space="0" w:color="auto"/>
                                    <w:left w:val="none" w:sz="0" w:space="0" w:color="auto"/>
                                    <w:bottom w:val="none" w:sz="0" w:space="0" w:color="auto"/>
                                    <w:right w:val="none" w:sz="0" w:space="0" w:color="auto"/>
                                  </w:divBdr>
                                  <w:divsChild>
                                    <w:div w:id="1058895040">
                                      <w:marLeft w:val="0"/>
                                      <w:marRight w:val="0"/>
                                      <w:marTop w:val="0"/>
                                      <w:marBottom w:val="0"/>
                                      <w:divBdr>
                                        <w:top w:val="none" w:sz="0" w:space="0" w:color="auto"/>
                                        <w:left w:val="none" w:sz="0" w:space="0" w:color="auto"/>
                                        <w:bottom w:val="none" w:sz="0" w:space="0" w:color="auto"/>
                                        <w:right w:val="none" w:sz="0" w:space="0" w:color="auto"/>
                                      </w:divBdr>
                                      <w:divsChild>
                                        <w:div w:id="798717772">
                                          <w:marLeft w:val="0"/>
                                          <w:marRight w:val="0"/>
                                          <w:marTop w:val="0"/>
                                          <w:marBottom w:val="0"/>
                                          <w:divBdr>
                                            <w:top w:val="none" w:sz="0" w:space="0" w:color="auto"/>
                                            <w:left w:val="none" w:sz="0" w:space="0" w:color="auto"/>
                                            <w:bottom w:val="none" w:sz="0" w:space="0" w:color="auto"/>
                                            <w:right w:val="none" w:sz="0" w:space="0" w:color="auto"/>
                                          </w:divBdr>
                                          <w:divsChild>
                                            <w:div w:id="1245645559">
                                              <w:marLeft w:val="0"/>
                                              <w:marRight w:val="0"/>
                                              <w:marTop w:val="0"/>
                                              <w:marBottom w:val="0"/>
                                              <w:divBdr>
                                                <w:top w:val="none" w:sz="0" w:space="0" w:color="auto"/>
                                                <w:left w:val="none" w:sz="0" w:space="0" w:color="auto"/>
                                                <w:bottom w:val="none" w:sz="0" w:space="0" w:color="auto"/>
                                                <w:right w:val="none" w:sz="0" w:space="0" w:color="auto"/>
                                              </w:divBdr>
                                              <w:divsChild>
                                                <w:div w:id="541022690">
                                                  <w:marLeft w:val="0"/>
                                                  <w:marRight w:val="0"/>
                                                  <w:marTop w:val="0"/>
                                                  <w:marBottom w:val="0"/>
                                                  <w:divBdr>
                                                    <w:top w:val="none" w:sz="0" w:space="0" w:color="auto"/>
                                                    <w:left w:val="none" w:sz="0" w:space="0" w:color="auto"/>
                                                    <w:bottom w:val="none" w:sz="0" w:space="0" w:color="auto"/>
                                                    <w:right w:val="none" w:sz="0" w:space="0" w:color="auto"/>
                                                  </w:divBdr>
                                                  <w:divsChild>
                                                    <w:div w:id="2011441936">
                                                      <w:marLeft w:val="0"/>
                                                      <w:marRight w:val="0"/>
                                                      <w:marTop w:val="0"/>
                                                      <w:marBottom w:val="0"/>
                                                      <w:divBdr>
                                                        <w:top w:val="none" w:sz="0" w:space="0" w:color="auto"/>
                                                        <w:left w:val="none" w:sz="0" w:space="0" w:color="auto"/>
                                                        <w:bottom w:val="none" w:sz="0" w:space="0" w:color="auto"/>
                                                        <w:right w:val="none" w:sz="0" w:space="0" w:color="auto"/>
                                                      </w:divBdr>
                                                      <w:divsChild>
                                                        <w:div w:id="1160198097">
                                                          <w:marLeft w:val="0"/>
                                                          <w:marRight w:val="0"/>
                                                          <w:marTop w:val="0"/>
                                                          <w:marBottom w:val="0"/>
                                                          <w:divBdr>
                                                            <w:top w:val="none" w:sz="0" w:space="0" w:color="auto"/>
                                                            <w:left w:val="none" w:sz="0" w:space="0" w:color="auto"/>
                                                            <w:bottom w:val="none" w:sz="0" w:space="0" w:color="auto"/>
                                                            <w:right w:val="none" w:sz="0" w:space="0" w:color="auto"/>
                                                          </w:divBdr>
                                                          <w:divsChild>
                                                            <w:div w:id="59519782">
                                                              <w:marLeft w:val="0"/>
                                                              <w:marRight w:val="0"/>
                                                              <w:marTop w:val="0"/>
                                                              <w:marBottom w:val="0"/>
                                                              <w:divBdr>
                                                                <w:top w:val="none" w:sz="0" w:space="0" w:color="auto"/>
                                                                <w:left w:val="none" w:sz="0" w:space="0" w:color="auto"/>
                                                                <w:bottom w:val="none" w:sz="0" w:space="0" w:color="auto"/>
                                                                <w:right w:val="none" w:sz="0" w:space="0" w:color="auto"/>
                                                              </w:divBdr>
                                                              <w:divsChild>
                                                                <w:div w:id="1875926419">
                                                                  <w:marLeft w:val="0"/>
                                                                  <w:marRight w:val="0"/>
                                                                  <w:marTop w:val="0"/>
                                                                  <w:marBottom w:val="0"/>
                                                                  <w:divBdr>
                                                                    <w:top w:val="none" w:sz="0" w:space="0" w:color="auto"/>
                                                                    <w:left w:val="none" w:sz="0" w:space="0" w:color="auto"/>
                                                                    <w:bottom w:val="none" w:sz="0" w:space="0" w:color="auto"/>
                                                                    <w:right w:val="none" w:sz="0" w:space="0" w:color="auto"/>
                                                                  </w:divBdr>
                                                                </w:div>
                                                              </w:divsChild>
                                                            </w:div>
                                                            <w:div w:id="1659767664">
                                                              <w:marLeft w:val="0"/>
                                                              <w:marRight w:val="0"/>
                                                              <w:marTop w:val="0"/>
                                                              <w:marBottom w:val="0"/>
                                                              <w:divBdr>
                                                                <w:top w:val="none" w:sz="0" w:space="0" w:color="auto"/>
                                                                <w:left w:val="none" w:sz="0" w:space="0" w:color="auto"/>
                                                                <w:bottom w:val="none" w:sz="0" w:space="0" w:color="auto"/>
                                                                <w:right w:val="none" w:sz="0" w:space="0" w:color="auto"/>
                                                              </w:divBdr>
                                                            </w:div>
                                                            <w:div w:id="15089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746812">
      <w:bodyDiv w:val="1"/>
      <w:marLeft w:val="0"/>
      <w:marRight w:val="0"/>
      <w:marTop w:val="0"/>
      <w:marBottom w:val="0"/>
      <w:divBdr>
        <w:top w:val="none" w:sz="0" w:space="0" w:color="auto"/>
        <w:left w:val="none" w:sz="0" w:space="0" w:color="auto"/>
        <w:bottom w:val="none" w:sz="0" w:space="0" w:color="auto"/>
        <w:right w:val="none" w:sz="0" w:space="0" w:color="auto"/>
      </w:divBdr>
    </w:div>
    <w:div w:id="73359226">
      <w:bodyDiv w:val="1"/>
      <w:marLeft w:val="0"/>
      <w:marRight w:val="0"/>
      <w:marTop w:val="0"/>
      <w:marBottom w:val="0"/>
      <w:divBdr>
        <w:top w:val="none" w:sz="0" w:space="0" w:color="auto"/>
        <w:left w:val="none" w:sz="0" w:space="0" w:color="auto"/>
        <w:bottom w:val="none" w:sz="0" w:space="0" w:color="auto"/>
        <w:right w:val="none" w:sz="0" w:space="0" w:color="auto"/>
      </w:divBdr>
    </w:div>
    <w:div w:id="74206319">
      <w:bodyDiv w:val="1"/>
      <w:marLeft w:val="0"/>
      <w:marRight w:val="0"/>
      <w:marTop w:val="0"/>
      <w:marBottom w:val="0"/>
      <w:divBdr>
        <w:top w:val="none" w:sz="0" w:space="0" w:color="auto"/>
        <w:left w:val="none" w:sz="0" w:space="0" w:color="auto"/>
        <w:bottom w:val="none" w:sz="0" w:space="0" w:color="auto"/>
        <w:right w:val="none" w:sz="0" w:space="0" w:color="auto"/>
      </w:divBdr>
    </w:div>
    <w:div w:id="74599430">
      <w:bodyDiv w:val="1"/>
      <w:marLeft w:val="0"/>
      <w:marRight w:val="0"/>
      <w:marTop w:val="0"/>
      <w:marBottom w:val="0"/>
      <w:divBdr>
        <w:top w:val="none" w:sz="0" w:space="0" w:color="auto"/>
        <w:left w:val="none" w:sz="0" w:space="0" w:color="auto"/>
        <w:bottom w:val="none" w:sz="0" w:space="0" w:color="auto"/>
        <w:right w:val="none" w:sz="0" w:space="0" w:color="auto"/>
      </w:divBdr>
    </w:div>
    <w:div w:id="74858491">
      <w:bodyDiv w:val="1"/>
      <w:marLeft w:val="0"/>
      <w:marRight w:val="0"/>
      <w:marTop w:val="0"/>
      <w:marBottom w:val="0"/>
      <w:divBdr>
        <w:top w:val="none" w:sz="0" w:space="0" w:color="auto"/>
        <w:left w:val="none" w:sz="0" w:space="0" w:color="auto"/>
        <w:bottom w:val="none" w:sz="0" w:space="0" w:color="auto"/>
        <w:right w:val="none" w:sz="0" w:space="0" w:color="auto"/>
      </w:divBdr>
    </w:div>
    <w:div w:id="75059222">
      <w:bodyDiv w:val="1"/>
      <w:marLeft w:val="0"/>
      <w:marRight w:val="0"/>
      <w:marTop w:val="0"/>
      <w:marBottom w:val="0"/>
      <w:divBdr>
        <w:top w:val="none" w:sz="0" w:space="0" w:color="auto"/>
        <w:left w:val="none" w:sz="0" w:space="0" w:color="auto"/>
        <w:bottom w:val="none" w:sz="0" w:space="0" w:color="auto"/>
        <w:right w:val="none" w:sz="0" w:space="0" w:color="auto"/>
      </w:divBdr>
      <w:divsChild>
        <w:div w:id="1607539410">
          <w:marLeft w:val="0"/>
          <w:marRight w:val="0"/>
          <w:marTop w:val="0"/>
          <w:marBottom w:val="0"/>
          <w:divBdr>
            <w:top w:val="single" w:sz="6" w:space="0" w:color="0E477A"/>
            <w:left w:val="single" w:sz="6" w:space="0" w:color="0E477A"/>
            <w:bottom w:val="single" w:sz="6" w:space="0" w:color="0E477A"/>
            <w:right w:val="single" w:sz="6" w:space="0" w:color="0E477A"/>
          </w:divBdr>
          <w:divsChild>
            <w:div w:id="2106074167">
              <w:marLeft w:val="0"/>
              <w:marRight w:val="0"/>
              <w:marTop w:val="0"/>
              <w:marBottom w:val="0"/>
              <w:divBdr>
                <w:top w:val="none" w:sz="0" w:space="0" w:color="auto"/>
                <w:left w:val="none" w:sz="0" w:space="0" w:color="auto"/>
                <w:bottom w:val="none" w:sz="0" w:space="0" w:color="auto"/>
                <w:right w:val="none" w:sz="0" w:space="0" w:color="auto"/>
              </w:divBdr>
              <w:divsChild>
                <w:div w:id="579022441">
                  <w:marLeft w:val="0"/>
                  <w:marRight w:val="0"/>
                  <w:marTop w:val="0"/>
                  <w:marBottom w:val="0"/>
                  <w:divBdr>
                    <w:top w:val="none" w:sz="0" w:space="0" w:color="auto"/>
                    <w:left w:val="none" w:sz="0" w:space="0" w:color="auto"/>
                    <w:bottom w:val="none" w:sz="0" w:space="0" w:color="auto"/>
                    <w:right w:val="none" w:sz="0" w:space="0" w:color="auto"/>
                  </w:divBdr>
                  <w:divsChild>
                    <w:div w:id="1775008224">
                      <w:marLeft w:val="0"/>
                      <w:marRight w:val="0"/>
                      <w:marTop w:val="0"/>
                      <w:marBottom w:val="0"/>
                      <w:divBdr>
                        <w:top w:val="none" w:sz="0" w:space="0" w:color="auto"/>
                        <w:left w:val="none" w:sz="0" w:space="0" w:color="auto"/>
                        <w:bottom w:val="none" w:sz="0" w:space="0" w:color="auto"/>
                        <w:right w:val="none" w:sz="0" w:space="0" w:color="auto"/>
                      </w:divBdr>
                      <w:divsChild>
                        <w:div w:id="1219630014">
                          <w:marLeft w:val="0"/>
                          <w:marRight w:val="0"/>
                          <w:marTop w:val="0"/>
                          <w:marBottom w:val="0"/>
                          <w:divBdr>
                            <w:top w:val="none" w:sz="0" w:space="0" w:color="auto"/>
                            <w:left w:val="none" w:sz="0" w:space="0" w:color="auto"/>
                            <w:bottom w:val="none" w:sz="0" w:space="0" w:color="auto"/>
                            <w:right w:val="none" w:sz="0" w:space="0" w:color="auto"/>
                          </w:divBdr>
                          <w:divsChild>
                            <w:div w:id="1398818162">
                              <w:marLeft w:val="0"/>
                              <w:marRight w:val="0"/>
                              <w:marTop w:val="0"/>
                              <w:marBottom w:val="0"/>
                              <w:divBdr>
                                <w:top w:val="none" w:sz="0" w:space="0" w:color="auto"/>
                                <w:left w:val="none" w:sz="0" w:space="0" w:color="auto"/>
                                <w:bottom w:val="none" w:sz="0" w:space="0" w:color="auto"/>
                                <w:right w:val="none" w:sz="0" w:space="0" w:color="auto"/>
                              </w:divBdr>
                              <w:divsChild>
                                <w:div w:id="18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749">
      <w:bodyDiv w:val="1"/>
      <w:marLeft w:val="0"/>
      <w:marRight w:val="0"/>
      <w:marTop w:val="0"/>
      <w:marBottom w:val="0"/>
      <w:divBdr>
        <w:top w:val="none" w:sz="0" w:space="0" w:color="auto"/>
        <w:left w:val="none" w:sz="0" w:space="0" w:color="auto"/>
        <w:bottom w:val="none" w:sz="0" w:space="0" w:color="auto"/>
        <w:right w:val="none" w:sz="0" w:space="0" w:color="auto"/>
      </w:divBdr>
    </w:div>
    <w:div w:id="76636743">
      <w:bodyDiv w:val="1"/>
      <w:marLeft w:val="0"/>
      <w:marRight w:val="0"/>
      <w:marTop w:val="0"/>
      <w:marBottom w:val="0"/>
      <w:divBdr>
        <w:top w:val="none" w:sz="0" w:space="0" w:color="auto"/>
        <w:left w:val="none" w:sz="0" w:space="0" w:color="auto"/>
        <w:bottom w:val="none" w:sz="0" w:space="0" w:color="auto"/>
        <w:right w:val="none" w:sz="0" w:space="0" w:color="auto"/>
      </w:divBdr>
      <w:divsChild>
        <w:div w:id="135683033">
          <w:marLeft w:val="0"/>
          <w:marRight w:val="0"/>
          <w:marTop w:val="240"/>
          <w:marBottom w:val="240"/>
          <w:divBdr>
            <w:top w:val="single" w:sz="6" w:space="6" w:color="F2F2F2"/>
            <w:left w:val="none" w:sz="0" w:space="0" w:color="auto"/>
            <w:bottom w:val="single" w:sz="6" w:space="6" w:color="F2F2F2"/>
            <w:right w:val="none" w:sz="0" w:space="0" w:color="auto"/>
          </w:divBdr>
        </w:div>
        <w:div w:id="539976598">
          <w:marLeft w:val="0"/>
          <w:marRight w:val="0"/>
          <w:marTop w:val="0"/>
          <w:marBottom w:val="0"/>
          <w:divBdr>
            <w:top w:val="none" w:sz="0" w:space="0" w:color="auto"/>
            <w:left w:val="none" w:sz="0" w:space="0" w:color="auto"/>
            <w:bottom w:val="none" w:sz="0" w:space="0" w:color="auto"/>
            <w:right w:val="none" w:sz="0" w:space="0" w:color="auto"/>
          </w:divBdr>
          <w:divsChild>
            <w:div w:id="606739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7143642">
      <w:bodyDiv w:val="1"/>
      <w:marLeft w:val="0"/>
      <w:marRight w:val="0"/>
      <w:marTop w:val="0"/>
      <w:marBottom w:val="0"/>
      <w:divBdr>
        <w:top w:val="none" w:sz="0" w:space="0" w:color="auto"/>
        <w:left w:val="none" w:sz="0" w:space="0" w:color="auto"/>
        <w:bottom w:val="none" w:sz="0" w:space="0" w:color="auto"/>
        <w:right w:val="none" w:sz="0" w:space="0" w:color="auto"/>
      </w:divBdr>
      <w:divsChild>
        <w:div w:id="487483299">
          <w:marLeft w:val="2400"/>
          <w:marRight w:val="0"/>
          <w:marTop w:val="0"/>
          <w:marBottom w:val="0"/>
          <w:divBdr>
            <w:top w:val="none" w:sz="0" w:space="0" w:color="auto"/>
            <w:left w:val="none" w:sz="0" w:space="0" w:color="auto"/>
            <w:bottom w:val="none" w:sz="0" w:space="0" w:color="auto"/>
            <w:right w:val="none" w:sz="0" w:space="0" w:color="auto"/>
          </w:divBdr>
          <w:divsChild>
            <w:div w:id="212543511">
              <w:marLeft w:val="0"/>
              <w:marRight w:val="0"/>
              <w:marTop w:val="0"/>
              <w:marBottom w:val="0"/>
              <w:divBdr>
                <w:top w:val="none" w:sz="0" w:space="0" w:color="auto"/>
                <w:left w:val="none" w:sz="0" w:space="0" w:color="auto"/>
                <w:bottom w:val="none" w:sz="0" w:space="0" w:color="auto"/>
                <w:right w:val="none" w:sz="0" w:space="0" w:color="auto"/>
              </w:divBdr>
              <w:divsChild>
                <w:div w:id="1182552280">
                  <w:marLeft w:val="0"/>
                  <w:marRight w:val="0"/>
                  <w:marTop w:val="0"/>
                  <w:marBottom w:val="0"/>
                  <w:divBdr>
                    <w:top w:val="none" w:sz="0" w:space="0" w:color="auto"/>
                    <w:left w:val="none" w:sz="0" w:space="0" w:color="auto"/>
                    <w:bottom w:val="none" w:sz="0" w:space="0" w:color="auto"/>
                    <w:right w:val="none" w:sz="0" w:space="0" w:color="auto"/>
                  </w:divBdr>
                  <w:divsChild>
                    <w:div w:id="13718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5206">
      <w:bodyDiv w:val="1"/>
      <w:marLeft w:val="0"/>
      <w:marRight w:val="0"/>
      <w:marTop w:val="0"/>
      <w:marBottom w:val="0"/>
      <w:divBdr>
        <w:top w:val="none" w:sz="0" w:space="0" w:color="auto"/>
        <w:left w:val="none" w:sz="0" w:space="0" w:color="auto"/>
        <w:bottom w:val="none" w:sz="0" w:space="0" w:color="auto"/>
        <w:right w:val="none" w:sz="0" w:space="0" w:color="auto"/>
      </w:divBdr>
      <w:divsChild>
        <w:div w:id="13844007">
          <w:marLeft w:val="0"/>
          <w:marRight w:val="0"/>
          <w:marTop w:val="0"/>
          <w:marBottom w:val="0"/>
          <w:divBdr>
            <w:top w:val="none" w:sz="0" w:space="0" w:color="auto"/>
            <w:left w:val="none" w:sz="0" w:space="0" w:color="auto"/>
            <w:bottom w:val="none" w:sz="0" w:space="0" w:color="auto"/>
            <w:right w:val="none" w:sz="0" w:space="0" w:color="auto"/>
          </w:divBdr>
          <w:divsChild>
            <w:div w:id="1140423685">
              <w:marLeft w:val="0"/>
              <w:marRight w:val="0"/>
              <w:marTop w:val="0"/>
              <w:marBottom w:val="0"/>
              <w:divBdr>
                <w:top w:val="none" w:sz="0" w:space="0" w:color="auto"/>
                <w:left w:val="none" w:sz="0" w:space="0" w:color="auto"/>
                <w:bottom w:val="none" w:sz="0" w:space="0" w:color="auto"/>
                <w:right w:val="none" w:sz="0" w:space="0" w:color="auto"/>
              </w:divBdr>
              <w:divsChild>
                <w:div w:id="1764300309">
                  <w:marLeft w:val="0"/>
                  <w:marRight w:val="0"/>
                  <w:marTop w:val="0"/>
                  <w:marBottom w:val="0"/>
                  <w:divBdr>
                    <w:top w:val="none" w:sz="0" w:space="0" w:color="auto"/>
                    <w:left w:val="none" w:sz="0" w:space="0" w:color="auto"/>
                    <w:bottom w:val="none" w:sz="0" w:space="0" w:color="auto"/>
                    <w:right w:val="none" w:sz="0" w:space="0" w:color="auto"/>
                  </w:divBdr>
                  <w:divsChild>
                    <w:div w:id="1962606965">
                      <w:marLeft w:val="0"/>
                      <w:marRight w:val="0"/>
                      <w:marTop w:val="0"/>
                      <w:marBottom w:val="0"/>
                      <w:divBdr>
                        <w:top w:val="none" w:sz="0" w:space="0" w:color="auto"/>
                        <w:left w:val="none" w:sz="0" w:space="0" w:color="auto"/>
                        <w:bottom w:val="none" w:sz="0" w:space="0" w:color="auto"/>
                        <w:right w:val="none" w:sz="0" w:space="0" w:color="auto"/>
                      </w:divBdr>
                      <w:divsChild>
                        <w:div w:id="19424941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8597202">
      <w:bodyDiv w:val="1"/>
      <w:marLeft w:val="0"/>
      <w:marRight w:val="0"/>
      <w:marTop w:val="0"/>
      <w:marBottom w:val="0"/>
      <w:divBdr>
        <w:top w:val="none" w:sz="0" w:space="0" w:color="auto"/>
        <w:left w:val="none" w:sz="0" w:space="0" w:color="auto"/>
        <w:bottom w:val="none" w:sz="0" w:space="0" w:color="auto"/>
        <w:right w:val="none" w:sz="0" w:space="0" w:color="auto"/>
      </w:divBdr>
      <w:divsChild>
        <w:div w:id="1331366923">
          <w:marLeft w:val="0"/>
          <w:marRight w:val="0"/>
          <w:marTop w:val="0"/>
          <w:marBottom w:val="0"/>
          <w:divBdr>
            <w:top w:val="none" w:sz="0" w:space="0" w:color="auto"/>
            <w:left w:val="none" w:sz="0" w:space="0" w:color="auto"/>
            <w:bottom w:val="none" w:sz="0" w:space="0" w:color="auto"/>
            <w:right w:val="none" w:sz="0" w:space="0" w:color="auto"/>
          </w:divBdr>
          <w:divsChild>
            <w:div w:id="1533493378">
              <w:marLeft w:val="0"/>
              <w:marRight w:val="0"/>
              <w:marTop w:val="0"/>
              <w:marBottom w:val="0"/>
              <w:divBdr>
                <w:top w:val="none" w:sz="0" w:space="0" w:color="auto"/>
                <w:left w:val="none" w:sz="0" w:space="0" w:color="auto"/>
                <w:bottom w:val="none" w:sz="0" w:space="0" w:color="auto"/>
                <w:right w:val="none" w:sz="0" w:space="0" w:color="auto"/>
              </w:divBdr>
              <w:divsChild>
                <w:div w:id="322389863">
                  <w:marLeft w:val="0"/>
                  <w:marRight w:val="0"/>
                  <w:marTop w:val="0"/>
                  <w:marBottom w:val="0"/>
                  <w:divBdr>
                    <w:top w:val="none" w:sz="0" w:space="0" w:color="auto"/>
                    <w:left w:val="none" w:sz="0" w:space="0" w:color="auto"/>
                    <w:bottom w:val="none" w:sz="0" w:space="0" w:color="auto"/>
                    <w:right w:val="none" w:sz="0" w:space="0" w:color="auto"/>
                  </w:divBdr>
                  <w:divsChild>
                    <w:div w:id="2068913538">
                      <w:marLeft w:val="0"/>
                      <w:marRight w:val="0"/>
                      <w:marTop w:val="0"/>
                      <w:marBottom w:val="0"/>
                      <w:divBdr>
                        <w:top w:val="none" w:sz="0" w:space="0" w:color="auto"/>
                        <w:left w:val="none" w:sz="0" w:space="0" w:color="auto"/>
                        <w:bottom w:val="none" w:sz="0" w:space="0" w:color="auto"/>
                        <w:right w:val="none" w:sz="0" w:space="0" w:color="auto"/>
                      </w:divBdr>
                      <w:divsChild>
                        <w:div w:id="738406153">
                          <w:marLeft w:val="0"/>
                          <w:marRight w:val="0"/>
                          <w:marTop w:val="0"/>
                          <w:marBottom w:val="0"/>
                          <w:divBdr>
                            <w:top w:val="none" w:sz="0" w:space="0" w:color="auto"/>
                            <w:left w:val="none" w:sz="0" w:space="0" w:color="auto"/>
                            <w:bottom w:val="none" w:sz="0" w:space="0" w:color="auto"/>
                            <w:right w:val="none" w:sz="0" w:space="0" w:color="auto"/>
                          </w:divBdr>
                          <w:divsChild>
                            <w:div w:id="1855608202">
                              <w:marLeft w:val="0"/>
                              <w:marRight w:val="0"/>
                              <w:marTop w:val="0"/>
                              <w:marBottom w:val="0"/>
                              <w:divBdr>
                                <w:top w:val="none" w:sz="0" w:space="0" w:color="auto"/>
                                <w:left w:val="none" w:sz="0" w:space="0" w:color="auto"/>
                                <w:bottom w:val="none" w:sz="0" w:space="0" w:color="auto"/>
                                <w:right w:val="none" w:sz="0" w:space="0" w:color="auto"/>
                              </w:divBdr>
                              <w:divsChild>
                                <w:div w:id="1515144943">
                                  <w:marLeft w:val="0"/>
                                  <w:marRight w:val="0"/>
                                  <w:marTop w:val="0"/>
                                  <w:marBottom w:val="0"/>
                                  <w:divBdr>
                                    <w:top w:val="none" w:sz="0" w:space="0" w:color="auto"/>
                                    <w:left w:val="none" w:sz="0" w:space="0" w:color="auto"/>
                                    <w:bottom w:val="none" w:sz="0" w:space="0" w:color="auto"/>
                                    <w:right w:val="none" w:sz="0" w:space="0" w:color="auto"/>
                                  </w:divBdr>
                                  <w:divsChild>
                                    <w:div w:id="914706203">
                                      <w:marLeft w:val="0"/>
                                      <w:marRight w:val="0"/>
                                      <w:marTop w:val="0"/>
                                      <w:marBottom w:val="0"/>
                                      <w:divBdr>
                                        <w:top w:val="none" w:sz="0" w:space="0" w:color="auto"/>
                                        <w:left w:val="none" w:sz="0" w:space="0" w:color="auto"/>
                                        <w:bottom w:val="none" w:sz="0" w:space="0" w:color="auto"/>
                                        <w:right w:val="none" w:sz="0" w:space="0" w:color="auto"/>
                                      </w:divBdr>
                                      <w:divsChild>
                                        <w:div w:id="771046405">
                                          <w:marLeft w:val="0"/>
                                          <w:marRight w:val="0"/>
                                          <w:marTop w:val="0"/>
                                          <w:marBottom w:val="0"/>
                                          <w:divBdr>
                                            <w:top w:val="none" w:sz="0" w:space="0" w:color="auto"/>
                                            <w:left w:val="none" w:sz="0" w:space="0" w:color="auto"/>
                                            <w:bottom w:val="none" w:sz="0" w:space="0" w:color="auto"/>
                                            <w:right w:val="none" w:sz="0" w:space="0" w:color="auto"/>
                                          </w:divBdr>
                                          <w:divsChild>
                                            <w:div w:id="937103476">
                                              <w:marLeft w:val="0"/>
                                              <w:marRight w:val="0"/>
                                              <w:marTop w:val="0"/>
                                              <w:marBottom w:val="0"/>
                                              <w:divBdr>
                                                <w:top w:val="none" w:sz="0" w:space="0" w:color="auto"/>
                                                <w:left w:val="none" w:sz="0" w:space="0" w:color="auto"/>
                                                <w:bottom w:val="none" w:sz="0" w:space="0" w:color="auto"/>
                                                <w:right w:val="none" w:sz="0" w:space="0" w:color="auto"/>
                                              </w:divBdr>
                                              <w:divsChild>
                                                <w:div w:id="853344361">
                                                  <w:marLeft w:val="0"/>
                                                  <w:marRight w:val="0"/>
                                                  <w:marTop w:val="0"/>
                                                  <w:marBottom w:val="0"/>
                                                  <w:divBdr>
                                                    <w:top w:val="none" w:sz="0" w:space="0" w:color="auto"/>
                                                    <w:left w:val="none" w:sz="0" w:space="0" w:color="auto"/>
                                                    <w:bottom w:val="none" w:sz="0" w:space="0" w:color="auto"/>
                                                    <w:right w:val="none" w:sz="0" w:space="0" w:color="auto"/>
                                                  </w:divBdr>
                                                  <w:divsChild>
                                                    <w:div w:id="136461177">
                                                      <w:marLeft w:val="0"/>
                                                      <w:marRight w:val="0"/>
                                                      <w:marTop w:val="0"/>
                                                      <w:marBottom w:val="0"/>
                                                      <w:divBdr>
                                                        <w:top w:val="none" w:sz="0" w:space="0" w:color="auto"/>
                                                        <w:left w:val="none" w:sz="0" w:space="0" w:color="auto"/>
                                                        <w:bottom w:val="none" w:sz="0" w:space="0" w:color="auto"/>
                                                        <w:right w:val="none" w:sz="0" w:space="0" w:color="auto"/>
                                                      </w:divBdr>
                                                      <w:divsChild>
                                                        <w:div w:id="6389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58495">
      <w:bodyDiv w:val="1"/>
      <w:marLeft w:val="0"/>
      <w:marRight w:val="0"/>
      <w:marTop w:val="0"/>
      <w:marBottom w:val="0"/>
      <w:divBdr>
        <w:top w:val="none" w:sz="0" w:space="0" w:color="auto"/>
        <w:left w:val="none" w:sz="0" w:space="0" w:color="auto"/>
        <w:bottom w:val="none" w:sz="0" w:space="0" w:color="auto"/>
        <w:right w:val="none" w:sz="0" w:space="0" w:color="auto"/>
      </w:divBdr>
    </w:div>
    <w:div w:id="79639799">
      <w:bodyDiv w:val="1"/>
      <w:marLeft w:val="0"/>
      <w:marRight w:val="0"/>
      <w:marTop w:val="0"/>
      <w:marBottom w:val="0"/>
      <w:divBdr>
        <w:top w:val="none" w:sz="0" w:space="0" w:color="auto"/>
        <w:left w:val="none" w:sz="0" w:space="0" w:color="auto"/>
        <w:bottom w:val="none" w:sz="0" w:space="0" w:color="auto"/>
        <w:right w:val="none" w:sz="0" w:space="0" w:color="auto"/>
      </w:divBdr>
      <w:divsChild>
        <w:div w:id="1423067568">
          <w:marLeft w:val="0"/>
          <w:marRight w:val="0"/>
          <w:marTop w:val="0"/>
          <w:marBottom w:val="0"/>
          <w:divBdr>
            <w:top w:val="single" w:sz="6" w:space="0" w:color="0E477A"/>
            <w:left w:val="single" w:sz="6" w:space="0" w:color="0E477A"/>
            <w:bottom w:val="single" w:sz="6" w:space="0" w:color="0E477A"/>
            <w:right w:val="single" w:sz="6" w:space="0" w:color="0E477A"/>
          </w:divBdr>
          <w:divsChild>
            <w:div w:id="1728333818">
              <w:marLeft w:val="2925"/>
              <w:marRight w:val="0"/>
              <w:marTop w:val="0"/>
              <w:marBottom w:val="0"/>
              <w:divBdr>
                <w:top w:val="none" w:sz="0" w:space="0" w:color="auto"/>
                <w:left w:val="none" w:sz="0" w:space="0" w:color="auto"/>
                <w:bottom w:val="none" w:sz="0" w:space="0" w:color="auto"/>
                <w:right w:val="none" w:sz="0" w:space="0" w:color="auto"/>
              </w:divBdr>
              <w:divsChild>
                <w:div w:id="1899704746">
                  <w:marLeft w:val="0"/>
                  <w:marRight w:val="0"/>
                  <w:marTop w:val="0"/>
                  <w:marBottom w:val="0"/>
                  <w:divBdr>
                    <w:top w:val="none" w:sz="0" w:space="0" w:color="auto"/>
                    <w:left w:val="none" w:sz="0" w:space="0" w:color="auto"/>
                    <w:bottom w:val="none" w:sz="0" w:space="0" w:color="auto"/>
                    <w:right w:val="none" w:sz="0" w:space="0" w:color="auto"/>
                  </w:divBdr>
                  <w:divsChild>
                    <w:div w:id="19934374">
                      <w:marLeft w:val="0"/>
                      <w:marRight w:val="150"/>
                      <w:marTop w:val="0"/>
                      <w:marBottom w:val="0"/>
                      <w:divBdr>
                        <w:top w:val="single" w:sz="6" w:space="0" w:color="CCCCCC"/>
                        <w:left w:val="single" w:sz="6" w:space="8" w:color="CCCCCC"/>
                        <w:bottom w:val="single" w:sz="6" w:space="8" w:color="CCCCCC"/>
                        <w:right w:val="single" w:sz="6" w:space="8" w:color="CCCCCC"/>
                      </w:divBdr>
                      <w:divsChild>
                        <w:div w:id="1397320433">
                          <w:marLeft w:val="0"/>
                          <w:marRight w:val="0"/>
                          <w:marTop w:val="0"/>
                          <w:marBottom w:val="0"/>
                          <w:divBdr>
                            <w:top w:val="none" w:sz="0" w:space="0" w:color="auto"/>
                            <w:left w:val="none" w:sz="0" w:space="0" w:color="auto"/>
                            <w:bottom w:val="none" w:sz="0" w:space="0" w:color="auto"/>
                            <w:right w:val="none" w:sz="0" w:space="0" w:color="auto"/>
                          </w:divBdr>
                        </w:div>
                        <w:div w:id="880284813">
                          <w:marLeft w:val="0"/>
                          <w:marRight w:val="0"/>
                          <w:marTop w:val="0"/>
                          <w:marBottom w:val="0"/>
                          <w:divBdr>
                            <w:top w:val="none" w:sz="0" w:space="0" w:color="auto"/>
                            <w:left w:val="none" w:sz="0" w:space="0" w:color="auto"/>
                            <w:bottom w:val="none" w:sz="0" w:space="0" w:color="auto"/>
                            <w:right w:val="none" w:sz="0" w:space="0" w:color="auto"/>
                          </w:divBdr>
                        </w:div>
                        <w:div w:id="11222238">
                          <w:marLeft w:val="0"/>
                          <w:marRight w:val="0"/>
                          <w:marTop w:val="0"/>
                          <w:marBottom w:val="0"/>
                          <w:divBdr>
                            <w:top w:val="none" w:sz="0" w:space="0" w:color="auto"/>
                            <w:left w:val="none" w:sz="0" w:space="0" w:color="auto"/>
                            <w:bottom w:val="none" w:sz="0" w:space="0" w:color="auto"/>
                            <w:right w:val="none" w:sz="0" w:space="0" w:color="auto"/>
                          </w:divBdr>
                        </w:div>
                        <w:div w:id="788544696">
                          <w:marLeft w:val="0"/>
                          <w:marRight w:val="0"/>
                          <w:marTop w:val="0"/>
                          <w:marBottom w:val="0"/>
                          <w:divBdr>
                            <w:top w:val="none" w:sz="0" w:space="0" w:color="auto"/>
                            <w:left w:val="none" w:sz="0" w:space="0" w:color="auto"/>
                            <w:bottom w:val="none" w:sz="0" w:space="0" w:color="auto"/>
                            <w:right w:val="none" w:sz="0" w:space="0" w:color="auto"/>
                          </w:divBdr>
                        </w:div>
                        <w:div w:id="2145811653">
                          <w:marLeft w:val="0"/>
                          <w:marRight w:val="0"/>
                          <w:marTop w:val="0"/>
                          <w:marBottom w:val="0"/>
                          <w:divBdr>
                            <w:top w:val="none" w:sz="0" w:space="0" w:color="auto"/>
                            <w:left w:val="none" w:sz="0" w:space="0" w:color="auto"/>
                            <w:bottom w:val="none" w:sz="0" w:space="0" w:color="auto"/>
                            <w:right w:val="none" w:sz="0" w:space="0" w:color="auto"/>
                          </w:divBdr>
                        </w:div>
                        <w:div w:id="9456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20740">
      <w:bodyDiv w:val="1"/>
      <w:marLeft w:val="0"/>
      <w:marRight w:val="0"/>
      <w:marTop w:val="0"/>
      <w:marBottom w:val="0"/>
      <w:divBdr>
        <w:top w:val="none" w:sz="0" w:space="0" w:color="auto"/>
        <w:left w:val="none" w:sz="0" w:space="0" w:color="auto"/>
        <w:bottom w:val="none" w:sz="0" w:space="0" w:color="auto"/>
        <w:right w:val="none" w:sz="0" w:space="0" w:color="auto"/>
      </w:divBdr>
      <w:divsChild>
        <w:div w:id="1145657634">
          <w:marLeft w:val="0"/>
          <w:marRight w:val="0"/>
          <w:marTop w:val="0"/>
          <w:marBottom w:val="0"/>
          <w:divBdr>
            <w:top w:val="none" w:sz="0" w:space="0" w:color="auto"/>
            <w:left w:val="none" w:sz="0" w:space="0" w:color="auto"/>
            <w:bottom w:val="none" w:sz="0" w:space="0" w:color="auto"/>
            <w:right w:val="none" w:sz="0" w:space="0" w:color="auto"/>
          </w:divBdr>
          <w:divsChild>
            <w:div w:id="3562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1274">
      <w:bodyDiv w:val="1"/>
      <w:marLeft w:val="0"/>
      <w:marRight w:val="0"/>
      <w:marTop w:val="0"/>
      <w:marBottom w:val="0"/>
      <w:divBdr>
        <w:top w:val="none" w:sz="0" w:space="0" w:color="auto"/>
        <w:left w:val="none" w:sz="0" w:space="0" w:color="auto"/>
        <w:bottom w:val="none" w:sz="0" w:space="0" w:color="auto"/>
        <w:right w:val="none" w:sz="0" w:space="0" w:color="auto"/>
      </w:divBdr>
    </w:div>
    <w:div w:id="80686035">
      <w:bodyDiv w:val="1"/>
      <w:marLeft w:val="0"/>
      <w:marRight w:val="0"/>
      <w:marTop w:val="0"/>
      <w:marBottom w:val="0"/>
      <w:divBdr>
        <w:top w:val="none" w:sz="0" w:space="0" w:color="auto"/>
        <w:left w:val="none" w:sz="0" w:space="0" w:color="auto"/>
        <w:bottom w:val="none" w:sz="0" w:space="0" w:color="auto"/>
        <w:right w:val="none" w:sz="0" w:space="0" w:color="auto"/>
      </w:divBdr>
    </w:div>
    <w:div w:id="80756544">
      <w:bodyDiv w:val="1"/>
      <w:marLeft w:val="0"/>
      <w:marRight w:val="0"/>
      <w:marTop w:val="0"/>
      <w:marBottom w:val="0"/>
      <w:divBdr>
        <w:top w:val="none" w:sz="0" w:space="0" w:color="auto"/>
        <w:left w:val="none" w:sz="0" w:space="0" w:color="auto"/>
        <w:bottom w:val="none" w:sz="0" w:space="0" w:color="auto"/>
        <w:right w:val="none" w:sz="0" w:space="0" w:color="auto"/>
      </w:divBdr>
    </w:div>
    <w:div w:id="81223401">
      <w:bodyDiv w:val="1"/>
      <w:marLeft w:val="0"/>
      <w:marRight w:val="0"/>
      <w:marTop w:val="0"/>
      <w:marBottom w:val="0"/>
      <w:divBdr>
        <w:top w:val="none" w:sz="0" w:space="0" w:color="auto"/>
        <w:left w:val="none" w:sz="0" w:space="0" w:color="auto"/>
        <w:bottom w:val="none" w:sz="0" w:space="0" w:color="auto"/>
        <w:right w:val="none" w:sz="0" w:space="0" w:color="auto"/>
      </w:divBdr>
    </w:div>
    <w:div w:id="81727084">
      <w:bodyDiv w:val="1"/>
      <w:marLeft w:val="0"/>
      <w:marRight w:val="0"/>
      <w:marTop w:val="0"/>
      <w:marBottom w:val="0"/>
      <w:divBdr>
        <w:top w:val="none" w:sz="0" w:space="0" w:color="auto"/>
        <w:left w:val="none" w:sz="0" w:space="0" w:color="auto"/>
        <w:bottom w:val="none" w:sz="0" w:space="0" w:color="auto"/>
        <w:right w:val="none" w:sz="0" w:space="0" w:color="auto"/>
      </w:divBdr>
      <w:divsChild>
        <w:div w:id="965699928">
          <w:marLeft w:val="0"/>
          <w:marRight w:val="0"/>
          <w:marTop w:val="0"/>
          <w:marBottom w:val="0"/>
          <w:divBdr>
            <w:top w:val="none" w:sz="0" w:space="0" w:color="auto"/>
            <w:left w:val="none" w:sz="0" w:space="0" w:color="auto"/>
            <w:bottom w:val="none" w:sz="0" w:space="0" w:color="auto"/>
            <w:right w:val="none" w:sz="0" w:space="0" w:color="auto"/>
          </w:divBdr>
          <w:divsChild>
            <w:div w:id="1693874132">
              <w:marLeft w:val="0"/>
              <w:marRight w:val="0"/>
              <w:marTop w:val="0"/>
              <w:marBottom w:val="0"/>
              <w:divBdr>
                <w:top w:val="none" w:sz="0" w:space="0" w:color="auto"/>
                <w:left w:val="none" w:sz="0" w:space="0" w:color="auto"/>
                <w:bottom w:val="none" w:sz="0" w:space="0" w:color="auto"/>
                <w:right w:val="none" w:sz="0" w:space="0" w:color="auto"/>
              </w:divBdr>
              <w:divsChild>
                <w:div w:id="903487239">
                  <w:marLeft w:val="0"/>
                  <w:marRight w:val="0"/>
                  <w:marTop w:val="0"/>
                  <w:marBottom w:val="0"/>
                  <w:divBdr>
                    <w:top w:val="none" w:sz="0" w:space="0" w:color="auto"/>
                    <w:left w:val="none" w:sz="0" w:space="0" w:color="auto"/>
                    <w:bottom w:val="none" w:sz="0" w:space="0" w:color="auto"/>
                    <w:right w:val="none" w:sz="0" w:space="0" w:color="auto"/>
                  </w:divBdr>
                  <w:divsChild>
                    <w:div w:id="1394355641">
                      <w:marLeft w:val="0"/>
                      <w:marRight w:val="0"/>
                      <w:marTop w:val="0"/>
                      <w:marBottom w:val="0"/>
                      <w:divBdr>
                        <w:top w:val="none" w:sz="0" w:space="0" w:color="auto"/>
                        <w:left w:val="none" w:sz="0" w:space="0" w:color="auto"/>
                        <w:bottom w:val="none" w:sz="0" w:space="0" w:color="auto"/>
                        <w:right w:val="none" w:sz="0" w:space="0" w:color="auto"/>
                      </w:divBdr>
                      <w:divsChild>
                        <w:div w:id="227737859">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2576149">
      <w:bodyDiv w:val="1"/>
      <w:marLeft w:val="0"/>
      <w:marRight w:val="0"/>
      <w:marTop w:val="0"/>
      <w:marBottom w:val="0"/>
      <w:divBdr>
        <w:top w:val="none" w:sz="0" w:space="0" w:color="auto"/>
        <w:left w:val="none" w:sz="0" w:space="0" w:color="auto"/>
        <w:bottom w:val="none" w:sz="0" w:space="0" w:color="auto"/>
        <w:right w:val="none" w:sz="0" w:space="0" w:color="auto"/>
      </w:divBdr>
      <w:divsChild>
        <w:div w:id="1337031382">
          <w:marLeft w:val="0"/>
          <w:marRight w:val="0"/>
          <w:marTop w:val="0"/>
          <w:marBottom w:val="0"/>
          <w:divBdr>
            <w:top w:val="none" w:sz="0" w:space="0" w:color="auto"/>
            <w:left w:val="none" w:sz="0" w:space="0" w:color="auto"/>
            <w:bottom w:val="none" w:sz="0" w:space="0" w:color="auto"/>
            <w:right w:val="none" w:sz="0" w:space="0" w:color="auto"/>
          </w:divBdr>
          <w:divsChild>
            <w:div w:id="59180304">
              <w:marLeft w:val="0"/>
              <w:marRight w:val="0"/>
              <w:marTop w:val="0"/>
              <w:marBottom w:val="0"/>
              <w:divBdr>
                <w:top w:val="none" w:sz="0" w:space="0" w:color="auto"/>
                <w:left w:val="none" w:sz="0" w:space="0" w:color="auto"/>
                <w:bottom w:val="none" w:sz="0" w:space="0" w:color="auto"/>
                <w:right w:val="none" w:sz="0" w:space="0" w:color="auto"/>
              </w:divBdr>
              <w:divsChild>
                <w:div w:id="537621412">
                  <w:marLeft w:val="0"/>
                  <w:marRight w:val="0"/>
                  <w:marTop w:val="0"/>
                  <w:marBottom w:val="0"/>
                  <w:divBdr>
                    <w:top w:val="none" w:sz="0" w:space="0" w:color="auto"/>
                    <w:left w:val="none" w:sz="0" w:space="0" w:color="auto"/>
                    <w:bottom w:val="none" w:sz="0" w:space="0" w:color="auto"/>
                    <w:right w:val="none" w:sz="0" w:space="0" w:color="auto"/>
                  </w:divBdr>
                  <w:divsChild>
                    <w:div w:id="1494371804">
                      <w:marLeft w:val="0"/>
                      <w:marRight w:val="0"/>
                      <w:marTop w:val="0"/>
                      <w:marBottom w:val="0"/>
                      <w:divBdr>
                        <w:top w:val="none" w:sz="0" w:space="0" w:color="auto"/>
                        <w:left w:val="none" w:sz="0" w:space="0" w:color="auto"/>
                        <w:bottom w:val="none" w:sz="0" w:space="0" w:color="auto"/>
                        <w:right w:val="none" w:sz="0" w:space="0" w:color="auto"/>
                      </w:divBdr>
                      <w:divsChild>
                        <w:div w:id="83041806">
                          <w:marLeft w:val="-225"/>
                          <w:marRight w:val="-225"/>
                          <w:marTop w:val="0"/>
                          <w:marBottom w:val="0"/>
                          <w:divBdr>
                            <w:top w:val="none" w:sz="0" w:space="0" w:color="auto"/>
                            <w:left w:val="none" w:sz="0" w:space="0" w:color="auto"/>
                            <w:bottom w:val="none" w:sz="0" w:space="0" w:color="auto"/>
                            <w:right w:val="none" w:sz="0" w:space="0" w:color="auto"/>
                          </w:divBdr>
                          <w:divsChild>
                            <w:div w:id="1877310296">
                              <w:marLeft w:val="0"/>
                              <w:marRight w:val="0"/>
                              <w:marTop w:val="0"/>
                              <w:marBottom w:val="0"/>
                              <w:divBdr>
                                <w:top w:val="none" w:sz="0" w:space="0" w:color="auto"/>
                                <w:left w:val="none" w:sz="0" w:space="0" w:color="auto"/>
                                <w:bottom w:val="none" w:sz="0" w:space="0" w:color="auto"/>
                                <w:right w:val="none" w:sz="0" w:space="0" w:color="auto"/>
                              </w:divBdr>
                              <w:divsChild>
                                <w:div w:id="1319067220">
                                  <w:marLeft w:val="0"/>
                                  <w:marRight w:val="0"/>
                                  <w:marTop w:val="0"/>
                                  <w:marBottom w:val="0"/>
                                  <w:divBdr>
                                    <w:top w:val="none" w:sz="0" w:space="0" w:color="auto"/>
                                    <w:left w:val="none" w:sz="0" w:space="0" w:color="auto"/>
                                    <w:bottom w:val="none" w:sz="0" w:space="0" w:color="auto"/>
                                    <w:right w:val="none" w:sz="0" w:space="0" w:color="auto"/>
                                  </w:divBdr>
                                  <w:divsChild>
                                    <w:div w:id="962731692">
                                      <w:marLeft w:val="0"/>
                                      <w:marRight w:val="0"/>
                                      <w:marTop w:val="0"/>
                                      <w:marBottom w:val="0"/>
                                      <w:divBdr>
                                        <w:top w:val="none" w:sz="0" w:space="0" w:color="auto"/>
                                        <w:left w:val="none" w:sz="0" w:space="0" w:color="auto"/>
                                        <w:bottom w:val="none" w:sz="0" w:space="0" w:color="auto"/>
                                        <w:right w:val="none" w:sz="0" w:space="0" w:color="auto"/>
                                      </w:divBdr>
                                      <w:divsChild>
                                        <w:div w:id="1637493034">
                                          <w:marLeft w:val="0"/>
                                          <w:marRight w:val="0"/>
                                          <w:marTop w:val="0"/>
                                          <w:marBottom w:val="0"/>
                                          <w:divBdr>
                                            <w:top w:val="none" w:sz="0" w:space="0" w:color="auto"/>
                                            <w:left w:val="none" w:sz="0" w:space="0" w:color="auto"/>
                                            <w:bottom w:val="none" w:sz="0" w:space="0" w:color="auto"/>
                                            <w:right w:val="none" w:sz="0" w:space="0" w:color="auto"/>
                                          </w:divBdr>
                                          <w:divsChild>
                                            <w:div w:id="26924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721589">
                          <w:marLeft w:val="-225"/>
                          <w:marRight w:val="-225"/>
                          <w:marTop w:val="0"/>
                          <w:marBottom w:val="0"/>
                          <w:divBdr>
                            <w:top w:val="none" w:sz="0" w:space="0" w:color="auto"/>
                            <w:left w:val="none" w:sz="0" w:space="0" w:color="auto"/>
                            <w:bottom w:val="none" w:sz="0" w:space="0" w:color="auto"/>
                            <w:right w:val="none" w:sz="0" w:space="0" w:color="auto"/>
                          </w:divBdr>
                          <w:divsChild>
                            <w:div w:id="644773662">
                              <w:marLeft w:val="0"/>
                              <w:marRight w:val="0"/>
                              <w:marTop w:val="0"/>
                              <w:marBottom w:val="0"/>
                              <w:divBdr>
                                <w:top w:val="none" w:sz="0" w:space="0" w:color="auto"/>
                                <w:left w:val="none" w:sz="0" w:space="0" w:color="auto"/>
                                <w:bottom w:val="none" w:sz="0" w:space="0" w:color="auto"/>
                                <w:right w:val="none" w:sz="0" w:space="0" w:color="auto"/>
                              </w:divBdr>
                              <w:divsChild>
                                <w:div w:id="1764765907">
                                  <w:marLeft w:val="0"/>
                                  <w:marRight w:val="0"/>
                                  <w:marTop w:val="0"/>
                                  <w:marBottom w:val="0"/>
                                  <w:divBdr>
                                    <w:top w:val="none" w:sz="0" w:space="0" w:color="auto"/>
                                    <w:left w:val="none" w:sz="0" w:space="0" w:color="auto"/>
                                    <w:bottom w:val="none" w:sz="0" w:space="0" w:color="auto"/>
                                    <w:right w:val="none" w:sz="0" w:space="0" w:color="auto"/>
                                  </w:divBdr>
                                  <w:divsChild>
                                    <w:div w:id="731395145">
                                      <w:marLeft w:val="0"/>
                                      <w:marRight w:val="0"/>
                                      <w:marTop w:val="0"/>
                                      <w:marBottom w:val="0"/>
                                      <w:divBdr>
                                        <w:top w:val="none" w:sz="0" w:space="0" w:color="auto"/>
                                        <w:left w:val="none" w:sz="0" w:space="0" w:color="auto"/>
                                        <w:bottom w:val="none" w:sz="0" w:space="0" w:color="auto"/>
                                        <w:right w:val="none" w:sz="0" w:space="0" w:color="auto"/>
                                      </w:divBdr>
                                      <w:divsChild>
                                        <w:div w:id="1444761944">
                                          <w:marLeft w:val="0"/>
                                          <w:marRight w:val="0"/>
                                          <w:marTop w:val="0"/>
                                          <w:marBottom w:val="0"/>
                                          <w:divBdr>
                                            <w:top w:val="none" w:sz="0" w:space="0" w:color="auto"/>
                                            <w:left w:val="none" w:sz="0" w:space="0" w:color="auto"/>
                                            <w:bottom w:val="none" w:sz="0" w:space="0" w:color="auto"/>
                                            <w:right w:val="none" w:sz="0" w:space="0" w:color="auto"/>
                                          </w:divBdr>
                                          <w:divsChild>
                                            <w:div w:id="5195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16797">
      <w:bodyDiv w:val="1"/>
      <w:marLeft w:val="0"/>
      <w:marRight w:val="0"/>
      <w:marTop w:val="0"/>
      <w:marBottom w:val="0"/>
      <w:divBdr>
        <w:top w:val="none" w:sz="0" w:space="0" w:color="auto"/>
        <w:left w:val="none" w:sz="0" w:space="0" w:color="auto"/>
        <w:bottom w:val="none" w:sz="0" w:space="0" w:color="auto"/>
        <w:right w:val="none" w:sz="0" w:space="0" w:color="auto"/>
      </w:divBdr>
    </w:div>
    <w:div w:id="84965427">
      <w:bodyDiv w:val="1"/>
      <w:marLeft w:val="0"/>
      <w:marRight w:val="0"/>
      <w:marTop w:val="0"/>
      <w:marBottom w:val="0"/>
      <w:divBdr>
        <w:top w:val="none" w:sz="0" w:space="0" w:color="auto"/>
        <w:left w:val="none" w:sz="0" w:space="0" w:color="auto"/>
        <w:bottom w:val="none" w:sz="0" w:space="0" w:color="auto"/>
        <w:right w:val="none" w:sz="0" w:space="0" w:color="auto"/>
      </w:divBdr>
      <w:divsChild>
        <w:div w:id="2035417175">
          <w:marLeft w:val="0"/>
          <w:marRight w:val="0"/>
          <w:marTop w:val="0"/>
          <w:marBottom w:val="0"/>
          <w:divBdr>
            <w:top w:val="none" w:sz="0" w:space="0" w:color="auto"/>
            <w:left w:val="none" w:sz="0" w:space="0" w:color="auto"/>
            <w:bottom w:val="none" w:sz="0" w:space="0" w:color="auto"/>
            <w:right w:val="none" w:sz="0" w:space="0" w:color="auto"/>
          </w:divBdr>
          <w:divsChild>
            <w:div w:id="21450618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468457">
      <w:bodyDiv w:val="1"/>
      <w:marLeft w:val="0"/>
      <w:marRight w:val="0"/>
      <w:marTop w:val="0"/>
      <w:marBottom w:val="0"/>
      <w:divBdr>
        <w:top w:val="none" w:sz="0" w:space="0" w:color="auto"/>
        <w:left w:val="none" w:sz="0" w:space="0" w:color="auto"/>
        <w:bottom w:val="none" w:sz="0" w:space="0" w:color="auto"/>
        <w:right w:val="none" w:sz="0" w:space="0" w:color="auto"/>
      </w:divBdr>
      <w:divsChild>
        <w:div w:id="867067397">
          <w:marLeft w:val="0"/>
          <w:marRight w:val="0"/>
          <w:marTop w:val="150"/>
          <w:marBottom w:val="0"/>
          <w:divBdr>
            <w:top w:val="none" w:sz="0" w:space="0" w:color="auto"/>
            <w:left w:val="none" w:sz="0" w:space="0" w:color="auto"/>
            <w:bottom w:val="none" w:sz="0" w:space="0" w:color="auto"/>
            <w:right w:val="none" w:sz="0" w:space="0" w:color="auto"/>
          </w:divBdr>
          <w:divsChild>
            <w:div w:id="907809414">
              <w:marLeft w:val="2"/>
              <w:marRight w:val="2"/>
              <w:marTop w:val="0"/>
              <w:marBottom w:val="0"/>
              <w:divBdr>
                <w:top w:val="none" w:sz="0" w:space="0" w:color="auto"/>
                <w:left w:val="none" w:sz="0" w:space="0" w:color="auto"/>
                <w:bottom w:val="none" w:sz="0" w:space="0" w:color="auto"/>
                <w:right w:val="none" w:sz="0" w:space="0" w:color="auto"/>
              </w:divBdr>
              <w:divsChild>
                <w:div w:id="2009406888">
                  <w:marLeft w:val="0"/>
                  <w:marRight w:val="0"/>
                  <w:marTop w:val="0"/>
                  <w:marBottom w:val="0"/>
                  <w:divBdr>
                    <w:top w:val="none" w:sz="0" w:space="0" w:color="auto"/>
                    <w:left w:val="none" w:sz="0" w:space="0" w:color="auto"/>
                    <w:bottom w:val="none" w:sz="0" w:space="0" w:color="auto"/>
                    <w:right w:val="none" w:sz="0" w:space="0" w:color="auto"/>
                  </w:divBdr>
                  <w:divsChild>
                    <w:div w:id="1224828541">
                      <w:marLeft w:val="0"/>
                      <w:marRight w:val="0"/>
                      <w:marTop w:val="0"/>
                      <w:marBottom w:val="0"/>
                      <w:divBdr>
                        <w:top w:val="none" w:sz="0" w:space="0" w:color="auto"/>
                        <w:left w:val="none" w:sz="0" w:space="0" w:color="auto"/>
                        <w:bottom w:val="none" w:sz="0" w:space="0" w:color="auto"/>
                        <w:right w:val="none" w:sz="0" w:space="0" w:color="auto"/>
                      </w:divBdr>
                      <w:divsChild>
                        <w:div w:id="1885366111">
                          <w:marLeft w:val="0"/>
                          <w:marRight w:val="0"/>
                          <w:marTop w:val="0"/>
                          <w:marBottom w:val="0"/>
                          <w:divBdr>
                            <w:top w:val="none" w:sz="0" w:space="0" w:color="auto"/>
                            <w:left w:val="none" w:sz="0" w:space="0" w:color="auto"/>
                            <w:bottom w:val="none" w:sz="0" w:space="0" w:color="auto"/>
                            <w:right w:val="none" w:sz="0" w:space="0" w:color="auto"/>
                          </w:divBdr>
                          <w:divsChild>
                            <w:div w:id="780102877">
                              <w:marLeft w:val="0"/>
                              <w:marRight w:val="0"/>
                              <w:marTop w:val="0"/>
                              <w:marBottom w:val="0"/>
                              <w:divBdr>
                                <w:top w:val="none" w:sz="0" w:space="0" w:color="auto"/>
                                <w:left w:val="none" w:sz="0" w:space="0" w:color="auto"/>
                                <w:bottom w:val="none" w:sz="0" w:space="0" w:color="auto"/>
                                <w:right w:val="none" w:sz="0" w:space="0" w:color="auto"/>
                              </w:divBdr>
                              <w:divsChild>
                                <w:div w:id="430517159">
                                  <w:marLeft w:val="0"/>
                                  <w:marRight w:val="0"/>
                                  <w:marTop w:val="0"/>
                                  <w:marBottom w:val="0"/>
                                  <w:divBdr>
                                    <w:top w:val="none" w:sz="0" w:space="0" w:color="auto"/>
                                    <w:left w:val="none" w:sz="0" w:space="0" w:color="auto"/>
                                    <w:bottom w:val="none" w:sz="0" w:space="0" w:color="auto"/>
                                    <w:right w:val="none" w:sz="0" w:space="0" w:color="auto"/>
                                  </w:divBdr>
                                  <w:divsChild>
                                    <w:div w:id="1473789460">
                                      <w:marLeft w:val="0"/>
                                      <w:marRight w:val="0"/>
                                      <w:marTop w:val="0"/>
                                      <w:marBottom w:val="0"/>
                                      <w:divBdr>
                                        <w:top w:val="none" w:sz="0" w:space="0" w:color="auto"/>
                                        <w:left w:val="none" w:sz="0" w:space="0" w:color="auto"/>
                                        <w:bottom w:val="none" w:sz="0" w:space="0" w:color="auto"/>
                                        <w:right w:val="none" w:sz="0" w:space="0" w:color="auto"/>
                                      </w:divBdr>
                                      <w:divsChild>
                                        <w:div w:id="1428845919">
                                          <w:marLeft w:val="0"/>
                                          <w:marRight w:val="0"/>
                                          <w:marTop w:val="0"/>
                                          <w:marBottom w:val="0"/>
                                          <w:divBdr>
                                            <w:top w:val="none" w:sz="0" w:space="0" w:color="auto"/>
                                            <w:left w:val="none" w:sz="0" w:space="0" w:color="auto"/>
                                            <w:bottom w:val="none" w:sz="0" w:space="0" w:color="auto"/>
                                            <w:right w:val="none" w:sz="0" w:space="0" w:color="auto"/>
                                          </w:divBdr>
                                          <w:divsChild>
                                            <w:div w:id="2019652603">
                                              <w:marLeft w:val="0"/>
                                              <w:marRight w:val="0"/>
                                              <w:marTop w:val="0"/>
                                              <w:marBottom w:val="0"/>
                                              <w:divBdr>
                                                <w:top w:val="none" w:sz="0" w:space="0" w:color="auto"/>
                                                <w:left w:val="none" w:sz="0" w:space="0" w:color="auto"/>
                                                <w:bottom w:val="none" w:sz="0" w:space="0" w:color="auto"/>
                                                <w:right w:val="none" w:sz="0" w:space="0" w:color="auto"/>
                                              </w:divBdr>
                                              <w:divsChild>
                                                <w:div w:id="1061514394">
                                                  <w:marLeft w:val="0"/>
                                                  <w:marRight w:val="0"/>
                                                  <w:marTop w:val="0"/>
                                                  <w:marBottom w:val="0"/>
                                                  <w:divBdr>
                                                    <w:top w:val="none" w:sz="0" w:space="0" w:color="auto"/>
                                                    <w:left w:val="none" w:sz="0" w:space="0" w:color="auto"/>
                                                    <w:bottom w:val="none" w:sz="0" w:space="0" w:color="auto"/>
                                                    <w:right w:val="none" w:sz="0" w:space="0" w:color="auto"/>
                                                  </w:divBdr>
                                                </w:div>
                                              </w:divsChild>
                                            </w:div>
                                            <w:div w:id="1248273664">
                                              <w:marLeft w:val="0"/>
                                              <w:marRight w:val="0"/>
                                              <w:marTop w:val="0"/>
                                              <w:marBottom w:val="0"/>
                                              <w:divBdr>
                                                <w:top w:val="none" w:sz="0" w:space="0" w:color="auto"/>
                                                <w:left w:val="none" w:sz="0" w:space="0" w:color="auto"/>
                                                <w:bottom w:val="none" w:sz="0" w:space="0" w:color="auto"/>
                                                <w:right w:val="none" w:sz="0" w:space="0" w:color="auto"/>
                                              </w:divBdr>
                                              <w:divsChild>
                                                <w:div w:id="49964528">
                                                  <w:marLeft w:val="0"/>
                                                  <w:marRight w:val="0"/>
                                                  <w:marTop w:val="0"/>
                                                  <w:marBottom w:val="0"/>
                                                  <w:divBdr>
                                                    <w:top w:val="none" w:sz="0" w:space="0" w:color="auto"/>
                                                    <w:left w:val="none" w:sz="0" w:space="0" w:color="auto"/>
                                                    <w:bottom w:val="none" w:sz="0" w:space="0" w:color="auto"/>
                                                    <w:right w:val="none" w:sz="0" w:space="0" w:color="auto"/>
                                                  </w:divBdr>
                                                </w:div>
                                              </w:divsChild>
                                            </w:div>
                                            <w:div w:id="583951786">
                                              <w:marLeft w:val="0"/>
                                              <w:marRight w:val="0"/>
                                              <w:marTop w:val="0"/>
                                              <w:marBottom w:val="0"/>
                                              <w:divBdr>
                                                <w:top w:val="none" w:sz="0" w:space="0" w:color="auto"/>
                                                <w:left w:val="none" w:sz="0" w:space="0" w:color="auto"/>
                                                <w:bottom w:val="none" w:sz="0" w:space="0" w:color="auto"/>
                                                <w:right w:val="none" w:sz="0" w:space="0" w:color="auto"/>
                                              </w:divBdr>
                                              <w:divsChild>
                                                <w:div w:id="240070487">
                                                  <w:marLeft w:val="0"/>
                                                  <w:marRight w:val="0"/>
                                                  <w:marTop w:val="0"/>
                                                  <w:marBottom w:val="0"/>
                                                  <w:divBdr>
                                                    <w:top w:val="none" w:sz="0" w:space="0" w:color="auto"/>
                                                    <w:left w:val="none" w:sz="0" w:space="0" w:color="auto"/>
                                                    <w:bottom w:val="none" w:sz="0" w:space="0" w:color="auto"/>
                                                    <w:right w:val="none" w:sz="0" w:space="0" w:color="auto"/>
                                                  </w:divBdr>
                                                </w:div>
                                              </w:divsChild>
                                            </w:div>
                                            <w:div w:id="1390498591">
                                              <w:marLeft w:val="0"/>
                                              <w:marRight w:val="0"/>
                                              <w:marTop w:val="0"/>
                                              <w:marBottom w:val="0"/>
                                              <w:divBdr>
                                                <w:top w:val="none" w:sz="0" w:space="0" w:color="auto"/>
                                                <w:left w:val="none" w:sz="0" w:space="0" w:color="auto"/>
                                                <w:bottom w:val="none" w:sz="0" w:space="0" w:color="auto"/>
                                                <w:right w:val="none" w:sz="0" w:space="0" w:color="auto"/>
                                              </w:divBdr>
                                              <w:divsChild>
                                                <w:div w:id="1284458663">
                                                  <w:marLeft w:val="0"/>
                                                  <w:marRight w:val="0"/>
                                                  <w:marTop w:val="0"/>
                                                  <w:marBottom w:val="0"/>
                                                  <w:divBdr>
                                                    <w:top w:val="none" w:sz="0" w:space="0" w:color="auto"/>
                                                    <w:left w:val="none" w:sz="0" w:space="0" w:color="auto"/>
                                                    <w:bottom w:val="none" w:sz="0" w:space="0" w:color="auto"/>
                                                    <w:right w:val="none" w:sz="0" w:space="0" w:color="auto"/>
                                                  </w:divBdr>
                                                </w:div>
                                              </w:divsChild>
                                            </w:div>
                                            <w:div w:id="1457598466">
                                              <w:marLeft w:val="0"/>
                                              <w:marRight w:val="0"/>
                                              <w:marTop w:val="0"/>
                                              <w:marBottom w:val="0"/>
                                              <w:divBdr>
                                                <w:top w:val="none" w:sz="0" w:space="0" w:color="auto"/>
                                                <w:left w:val="none" w:sz="0" w:space="0" w:color="auto"/>
                                                <w:bottom w:val="none" w:sz="0" w:space="0" w:color="auto"/>
                                                <w:right w:val="none" w:sz="0" w:space="0" w:color="auto"/>
                                              </w:divBdr>
                                              <w:divsChild>
                                                <w:div w:id="18679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29784">
      <w:bodyDiv w:val="1"/>
      <w:marLeft w:val="0"/>
      <w:marRight w:val="0"/>
      <w:marTop w:val="0"/>
      <w:marBottom w:val="0"/>
      <w:divBdr>
        <w:top w:val="none" w:sz="0" w:space="0" w:color="auto"/>
        <w:left w:val="none" w:sz="0" w:space="0" w:color="auto"/>
        <w:bottom w:val="none" w:sz="0" w:space="0" w:color="auto"/>
        <w:right w:val="none" w:sz="0" w:space="0" w:color="auto"/>
      </w:divBdr>
      <w:divsChild>
        <w:div w:id="1155757301">
          <w:marLeft w:val="0"/>
          <w:marRight w:val="0"/>
          <w:marTop w:val="0"/>
          <w:marBottom w:val="0"/>
          <w:divBdr>
            <w:top w:val="none" w:sz="0" w:space="0" w:color="auto"/>
            <w:left w:val="none" w:sz="0" w:space="0" w:color="auto"/>
            <w:bottom w:val="single" w:sz="6" w:space="11" w:color="D4D4D4"/>
            <w:right w:val="none" w:sz="0" w:space="0" w:color="auto"/>
          </w:divBdr>
        </w:div>
      </w:divsChild>
    </w:div>
    <w:div w:id="89393649">
      <w:bodyDiv w:val="1"/>
      <w:marLeft w:val="0"/>
      <w:marRight w:val="0"/>
      <w:marTop w:val="0"/>
      <w:marBottom w:val="0"/>
      <w:divBdr>
        <w:top w:val="none" w:sz="0" w:space="0" w:color="auto"/>
        <w:left w:val="none" w:sz="0" w:space="0" w:color="auto"/>
        <w:bottom w:val="none" w:sz="0" w:space="0" w:color="auto"/>
        <w:right w:val="none" w:sz="0" w:space="0" w:color="auto"/>
      </w:divBdr>
      <w:divsChild>
        <w:div w:id="246815919">
          <w:marLeft w:val="0"/>
          <w:marRight w:val="0"/>
          <w:marTop w:val="0"/>
          <w:marBottom w:val="0"/>
          <w:divBdr>
            <w:top w:val="none" w:sz="0" w:space="0" w:color="auto"/>
            <w:left w:val="none" w:sz="0" w:space="0" w:color="auto"/>
            <w:bottom w:val="none" w:sz="0" w:space="0" w:color="auto"/>
            <w:right w:val="none" w:sz="0" w:space="0" w:color="auto"/>
          </w:divBdr>
          <w:divsChild>
            <w:div w:id="959140580">
              <w:marLeft w:val="0"/>
              <w:marRight w:val="0"/>
              <w:marTop w:val="0"/>
              <w:marBottom w:val="0"/>
              <w:divBdr>
                <w:top w:val="none" w:sz="0" w:space="0" w:color="auto"/>
                <w:left w:val="none" w:sz="0" w:space="0" w:color="auto"/>
                <w:bottom w:val="none" w:sz="0" w:space="0" w:color="auto"/>
                <w:right w:val="none" w:sz="0" w:space="0" w:color="auto"/>
              </w:divBdr>
              <w:divsChild>
                <w:div w:id="509837139">
                  <w:marLeft w:val="0"/>
                  <w:marRight w:val="0"/>
                  <w:marTop w:val="0"/>
                  <w:marBottom w:val="0"/>
                  <w:divBdr>
                    <w:top w:val="none" w:sz="0" w:space="0" w:color="auto"/>
                    <w:left w:val="none" w:sz="0" w:space="0" w:color="auto"/>
                    <w:bottom w:val="none" w:sz="0" w:space="0" w:color="auto"/>
                    <w:right w:val="none" w:sz="0" w:space="0" w:color="auto"/>
                  </w:divBdr>
                  <w:divsChild>
                    <w:div w:id="389230199">
                      <w:marLeft w:val="0"/>
                      <w:marRight w:val="0"/>
                      <w:marTop w:val="0"/>
                      <w:marBottom w:val="0"/>
                      <w:divBdr>
                        <w:top w:val="none" w:sz="0" w:space="0" w:color="auto"/>
                        <w:left w:val="none" w:sz="0" w:space="0" w:color="auto"/>
                        <w:bottom w:val="none" w:sz="0" w:space="0" w:color="auto"/>
                        <w:right w:val="none" w:sz="0" w:space="0" w:color="auto"/>
                      </w:divBdr>
                      <w:divsChild>
                        <w:div w:id="1804274846">
                          <w:marLeft w:val="0"/>
                          <w:marRight w:val="0"/>
                          <w:marTop w:val="0"/>
                          <w:marBottom w:val="0"/>
                          <w:divBdr>
                            <w:top w:val="none" w:sz="0" w:space="0" w:color="auto"/>
                            <w:left w:val="none" w:sz="0" w:space="0" w:color="auto"/>
                            <w:bottom w:val="none" w:sz="0" w:space="0" w:color="auto"/>
                            <w:right w:val="none" w:sz="0" w:space="0" w:color="auto"/>
                          </w:divBdr>
                          <w:divsChild>
                            <w:div w:id="1011569316">
                              <w:marLeft w:val="0"/>
                              <w:marRight w:val="0"/>
                              <w:marTop w:val="0"/>
                              <w:marBottom w:val="0"/>
                              <w:divBdr>
                                <w:top w:val="none" w:sz="0" w:space="0" w:color="auto"/>
                                <w:left w:val="none" w:sz="0" w:space="0" w:color="auto"/>
                                <w:bottom w:val="none" w:sz="0" w:space="0" w:color="auto"/>
                                <w:right w:val="none" w:sz="0" w:space="0" w:color="auto"/>
                              </w:divBdr>
                              <w:divsChild>
                                <w:div w:id="1395733302">
                                  <w:marLeft w:val="570"/>
                                  <w:marRight w:val="720"/>
                                  <w:marTop w:val="120"/>
                                  <w:marBottom w:val="120"/>
                                  <w:divBdr>
                                    <w:top w:val="none" w:sz="0" w:space="0" w:color="auto"/>
                                    <w:left w:val="none" w:sz="0" w:space="0" w:color="auto"/>
                                    <w:bottom w:val="none" w:sz="0" w:space="0" w:color="auto"/>
                                    <w:right w:val="none" w:sz="0" w:space="0" w:color="auto"/>
                                  </w:divBdr>
                                  <w:divsChild>
                                    <w:div w:id="2032797362">
                                      <w:marLeft w:val="0"/>
                                      <w:marRight w:val="0"/>
                                      <w:marTop w:val="0"/>
                                      <w:marBottom w:val="0"/>
                                      <w:divBdr>
                                        <w:top w:val="none" w:sz="0" w:space="0" w:color="auto"/>
                                        <w:left w:val="none" w:sz="0" w:space="0" w:color="auto"/>
                                        <w:bottom w:val="none" w:sz="0" w:space="0" w:color="auto"/>
                                        <w:right w:val="none" w:sz="0" w:space="0" w:color="auto"/>
                                      </w:divBdr>
                                      <w:divsChild>
                                        <w:div w:id="316223394">
                                          <w:marLeft w:val="0"/>
                                          <w:marRight w:val="0"/>
                                          <w:marTop w:val="0"/>
                                          <w:marBottom w:val="0"/>
                                          <w:divBdr>
                                            <w:top w:val="none" w:sz="0" w:space="0" w:color="auto"/>
                                            <w:left w:val="none" w:sz="0" w:space="0" w:color="auto"/>
                                            <w:bottom w:val="none" w:sz="0" w:space="0" w:color="auto"/>
                                            <w:right w:val="none" w:sz="0" w:space="0" w:color="auto"/>
                                          </w:divBdr>
                                          <w:divsChild>
                                            <w:div w:id="69155504">
                                              <w:marLeft w:val="0"/>
                                              <w:marRight w:val="0"/>
                                              <w:marTop w:val="0"/>
                                              <w:marBottom w:val="0"/>
                                              <w:divBdr>
                                                <w:top w:val="none" w:sz="0" w:space="0" w:color="auto"/>
                                                <w:left w:val="none" w:sz="0" w:space="0" w:color="auto"/>
                                                <w:bottom w:val="none" w:sz="0" w:space="0" w:color="auto"/>
                                                <w:right w:val="none" w:sz="0" w:space="0" w:color="auto"/>
                                              </w:divBdr>
                                              <w:divsChild>
                                                <w:div w:id="1852066621">
                                                  <w:marLeft w:val="0"/>
                                                  <w:marRight w:val="0"/>
                                                  <w:marTop w:val="240"/>
                                                  <w:marBottom w:val="240"/>
                                                  <w:divBdr>
                                                    <w:top w:val="single" w:sz="6" w:space="6" w:color="F2F2F2"/>
                                                    <w:left w:val="none" w:sz="0" w:space="0" w:color="auto"/>
                                                    <w:bottom w:val="single" w:sz="6" w:space="6" w:color="F2F2F2"/>
                                                    <w:right w:val="none" w:sz="0" w:space="0" w:color="auto"/>
                                                  </w:divBdr>
                                                </w:div>
                                                <w:div w:id="59181574">
                                                  <w:marLeft w:val="0"/>
                                                  <w:marRight w:val="0"/>
                                                  <w:marTop w:val="0"/>
                                                  <w:marBottom w:val="0"/>
                                                  <w:divBdr>
                                                    <w:top w:val="none" w:sz="0" w:space="0" w:color="auto"/>
                                                    <w:left w:val="none" w:sz="0" w:space="0" w:color="auto"/>
                                                    <w:bottom w:val="none" w:sz="0" w:space="0" w:color="auto"/>
                                                    <w:right w:val="none" w:sz="0" w:space="0" w:color="auto"/>
                                                  </w:divBdr>
                                                  <w:divsChild>
                                                    <w:div w:id="18912621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4489">
      <w:bodyDiv w:val="1"/>
      <w:marLeft w:val="0"/>
      <w:marRight w:val="0"/>
      <w:marTop w:val="0"/>
      <w:marBottom w:val="0"/>
      <w:divBdr>
        <w:top w:val="none" w:sz="0" w:space="0" w:color="auto"/>
        <w:left w:val="none" w:sz="0" w:space="0" w:color="auto"/>
        <w:bottom w:val="none" w:sz="0" w:space="0" w:color="auto"/>
        <w:right w:val="none" w:sz="0" w:space="0" w:color="auto"/>
      </w:divBdr>
    </w:div>
    <w:div w:id="89932296">
      <w:bodyDiv w:val="1"/>
      <w:marLeft w:val="0"/>
      <w:marRight w:val="0"/>
      <w:marTop w:val="0"/>
      <w:marBottom w:val="0"/>
      <w:divBdr>
        <w:top w:val="none" w:sz="0" w:space="0" w:color="auto"/>
        <w:left w:val="none" w:sz="0" w:space="0" w:color="auto"/>
        <w:bottom w:val="none" w:sz="0" w:space="0" w:color="auto"/>
        <w:right w:val="none" w:sz="0" w:space="0" w:color="auto"/>
      </w:divBdr>
      <w:divsChild>
        <w:div w:id="404569473">
          <w:marLeft w:val="0"/>
          <w:marRight w:val="0"/>
          <w:marTop w:val="0"/>
          <w:marBottom w:val="0"/>
          <w:divBdr>
            <w:top w:val="none" w:sz="0" w:space="0" w:color="auto"/>
            <w:left w:val="none" w:sz="0" w:space="0" w:color="auto"/>
            <w:bottom w:val="none" w:sz="0" w:space="0" w:color="auto"/>
            <w:right w:val="none" w:sz="0" w:space="0" w:color="auto"/>
          </w:divBdr>
        </w:div>
        <w:div w:id="707296024">
          <w:marLeft w:val="0"/>
          <w:marRight w:val="0"/>
          <w:marTop w:val="0"/>
          <w:marBottom w:val="0"/>
          <w:divBdr>
            <w:top w:val="none" w:sz="0" w:space="0" w:color="auto"/>
            <w:left w:val="none" w:sz="0" w:space="0" w:color="auto"/>
            <w:bottom w:val="none" w:sz="0" w:space="0" w:color="auto"/>
            <w:right w:val="none" w:sz="0" w:space="0" w:color="auto"/>
          </w:divBdr>
        </w:div>
      </w:divsChild>
    </w:div>
    <w:div w:id="93399176">
      <w:bodyDiv w:val="1"/>
      <w:marLeft w:val="0"/>
      <w:marRight w:val="0"/>
      <w:marTop w:val="0"/>
      <w:marBottom w:val="0"/>
      <w:divBdr>
        <w:top w:val="none" w:sz="0" w:space="0" w:color="auto"/>
        <w:left w:val="none" w:sz="0" w:space="0" w:color="auto"/>
        <w:bottom w:val="none" w:sz="0" w:space="0" w:color="auto"/>
        <w:right w:val="none" w:sz="0" w:space="0" w:color="auto"/>
      </w:divBdr>
      <w:divsChild>
        <w:div w:id="950017732">
          <w:marLeft w:val="0"/>
          <w:marRight w:val="0"/>
          <w:marTop w:val="0"/>
          <w:marBottom w:val="0"/>
          <w:divBdr>
            <w:top w:val="single" w:sz="2" w:space="0" w:color="ECECEC"/>
            <w:left w:val="single" w:sz="2" w:space="0" w:color="ECECEC"/>
            <w:bottom w:val="single" w:sz="2" w:space="0" w:color="ECECEC"/>
            <w:right w:val="single" w:sz="2" w:space="0" w:color="ECECEC"/>
          </w:divBdr>
        </w:div>
        <w:div w:id="15681454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3523310">
      <w:bodyDiv w:val="1"/>
      <w:marLeft w:val="0"/>
      <w:marRight w:val="0"/>
      <w:marTop w:val="0"/>
      <w:marBottom w:val="0"/>
      <w:divBdr>
        <w:top w:val="none" w:sz="0" w:space="0" w:color="auto"/>
        <w:left w:val="none" w:sz="0" w:space="0" w:color="auto"/>
        <w:bottom w:val="none" w:sz="0" w:space="0" w:color="auto"/>
        <w:right w:val="none" w:sz="0" w:space="0" w:color="auto"/>
      </w:divBdr>
      <w:divsChild>
        <w:div w:id="1647667737">
          <w:marLeft w:val="0"/>
          <w:marRight w:val="0"/>
          <w:marTop w:val="0"/>
          <w:marBottom w:val="0"/>
          <w:divBdr>
            <w:top w:val="none" w:sz="0" w:space="0" w:color="auto"/>
            <w:left w:val="none" w:sz="0" w:space="0" w:color="auto"/>
            <w:bottom w:val="none" w:sz="0" w:space="0" w:color="auto"/>
            <w:right w:val="none" w:sz="0" w:space="0" w:color="auto"/>
          </w:divBdr>
          <w:divsChild>
            <w:div w:id="714112728">
              <w:marLeft w:val="0"/>
              <w:marRight w:val="0"/>
              <w:marTop w:val="0"/>
              <w:marBottom w:val="0"/>
              <w:divBdr>
                <w:top w:val="none" w:sz="0" w:space="0" w:color="auto"/>
                <w:left w:val="none" w:sz="0" w:space="0" w:color="auto"/>
                <w:bottom w:val="none" w:sz="0" w:space="0" w:color="auto"/>
                <w:right w:val="none" w:sz="0" w:space="0" w:color="auto"/>
              </w:divBdr>
              <w:divsChild>
                <w:div w:id="9827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1762">
          <w:marLeft w:val="0"/>
          <w:marRight w:val="0"/>
          <w:marTop w:val="0"/>
          <w:marBottom w:val="0"/>
          <w:divBdr>
            <w:top w:val="none" w:sz="0" w:space="0" w:color="auto"/>
            <w:left w:val="none" w:sz="0" w:space="0" w:color="auto"/>
            <w:bottom w:val="none" w:sz="0" w:space="0" w:color="auto"/>
            <w:right w:val="none" w:sz="0" w:space="0" w:color="auto"/>
          </w:divBdr>
          <w:divsChild>
            <w:div w:id="15294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521">
      <w:bodyDiv w:val="1"/>
      <w:marLeft w:val="0"/>
      <w:marRight w:val="0"/>
      <w:marTop w:val="0"/>
      <w:marBottom w:val="0"/>
      <w:divBdr>
        <w:top w:val="none" w:sz="0" w:space="0" w:color="auto"/>
        <w:left w:val="none" w:sz="0" w:space="0" w:color="auto"/>
        <w:bottom w:val="none" w:sz="0" w:space="0" w:color="auto"/>
        <w:right w:val="none" w:sz="0" w:space="0" w:color="auto"/>
      </w:divBdr>
      <w:divsChild>
        <w:div w:id="1076436200">
          <w:marLeft w:val="0"/>
          <w:marRight w:val="0"/>
          <w:marTop w:val="0"/>
          <w:marBottom w:val="0"/>
          <w:divBdr>
            <w:top w:val="none" w:sz="0" w:space="0" w:color="auto"/>
            <w:left w:val="none" w:sz="0" w:space="0" w:color="auto"/>
            <w:bottom w:val="none" w:sz="0" w:space="0" w:color="auto"/>
            <w:right w:val="none" w:sz="0" w:space="0" w:color="auto"/>
          </w:divBdr>
          <w:divsChild>
            <w:div w:id="620066786">
              <w:marLeft w:val="0"/>
              <w:marRight w:val="0"/>
              <w:marTop w:val="0"/>
              <w:marBottom w:val="0"/>
              <w:divBdr>
                <w:top w:val="none" w:sz="0" w:space="0" w:color="auto"/>
                <w:left w:val="none" w:sz="0" w:space="0" w:color="auto"/>
                <w:bottom w:val="none" w:sz="0" w:space="0" w:color="auto"/>
                <w:right w:val="none" w:sz="0" w:space="0" w:color="auto"/>
              </w:divBdr>
              <w:divsChild>
                <w:div w:id="1911693088">
                  <w:marLeft w:val="0"/>
                  <w:marRight w:val="0"/>
                  <w:marTop w:val="0"/>
                  <w:marBottom w:val="0"/>
                  <w:divBdr>
                    <w:top w:val="none" w:sz="0" w:space="0" w:color="auto"/>
                    <w:left w:val="none" w:sz="0" w:space="0" w:color="auto"/>
                    <w:bottom w:val="none" w:sz="0" w:space="0" w:color="auto"/>
                    <w:right w:val="none" w:sz="0" w:space="0" w:color="auto"/>
                  </w:divBdr>
                  <w:divsChild>
                    <w:div w:id="1324774945">
                      <w:marLeft w:val="0"/>
                      <w:marRight w:val="0"/>
                      <w:marTop w:val="300"/>
                      <w:marBottom w:val="600"/>
                      <w:divBdr>
                        <w:top w:val="none" w:sz="0" w:space="0" w:color="auto"/>
                        <w:left w:val="none" w:sz="0" w:space="0" w:color="auto"/>
                        <w:bottom w:val="none" w:sz="0" w:space="0" w:color="auto"/>
                        <w:right w:val="none" w:sz="0" w:space="0" w:color="auto"/>
                      </w:divBdr>
                      <w:divsChild>
                        <w:div w:id="2131194620">
                          <w:marLeft w:val="0"/>
                          <w:marRight w:val="0"/>
                          <w:marTop w:val="0"/>
                          <w:marBottom w:val="0"/>
                          <w:divBdr>
                            <w:top w:val="none" w:sz="0" w:space="0" w:color="auto"/>
                            <w:left w:val="none" w:sz="0" w:space="0" w:color="auto"/>
                            <w:bottom w:val="none" w:sz="0" w:space="0" w:color="auto"/>
                            <w:right w:val="none" w:sz="0" w:space="0" w:color="auto"/>
                          </w:divBdr>
                          <w:divsChild>
                            <w:div w:id="51345820">
                              <w:marLeft w:val="0"/>
                              <w:marRight w:val="0"/>
                              <w:marTop w:val="0"/>
                              <w:marBottom w:val="0"/>
                              <w:divBdr>
                                <w:top w:val="none" w:sz="0" w:space="0" w:color="auto"/>
                                <w:left w:val="none" w:sz="0" w:space="0" w:color="auto"/>
                                <w:bottom w:val="none" w:sz="0" w:space="0" w:color="auto"/>
                                <w:right w:val="none" w:sz="0" w:space="0" w:color="auto"/>
                              </w:divBdr>
                              <w:divsChild>
                                <w:div w:id="5133251">
                                  <w:marLeft w:val="0"/>
                                  <w:marRight w:val="0"/>
                                  <w:marTop w:val="0"/>
                                  <w:marBottom w:val="0"/>
                                  <w:divBdr>
                                    <w:top w:val="none" w:sz="0" w:space="0" w:color="auto"/>
                                    <w:left w:val="none" w:sz="0" w:space="0" w:color="auto"/>
                                    <w:bottom w:val="none" w:sz="0" w:space="0" w:color="auto"/>
                                    <w:right w:val="none" w:sz="0" w:space="0" w:color="auto"/>
                                  </w:divBdr>
                                  <w:divsChild>
                                    <w:div w:id="129594529">
                                      <w:marLeft w:val="0"/>
                                      <w:marRight w:val="0"/>
                                      <w:marTop w:val="150"/>
                                      <w:marBottom w:val="0"/>
                                      <w:divBdr>
                                        <w:top w:val="none" w:sz="0" w:space="0" w:color="auto"/>
                                        <w:left w:val="none" w:sz="0" w:space="0" w:color="auto"/>
                                        <w:bottom w:val="none" w:sz="0" w:space="0" w:color="auto"/>
                                        <w:right w:val="none" w:sz="0" w:space="0" w:color="auto"/>
                                      </w:divBdr>
                                      <w:divsChild>
                                        <w:div w:id="763377735">
                                          <w:marLeft w:val="0"/>
                                          <w:marRight w:val="0"/>
                                          <w:marTop w:val="0"/>
                                          <w:marBottom w:val="0"/>
                                          <w:divBdr>
                                            <w:top w:val="none" w:sz="0" w:space="0" w:color="auto"/>
                                            <w:left w:val="none" w:sz="0" w:space="0" w:color="auto"/>
                                            <w:bottom w:val="none" w:sz="0" w:space="0" w:color="auto"/>
                                            <w:right w:val="none" w:sz="0" w:space="0" w:color="auto"/>
                                          </w:divBdr>
                                          <w:divsChild>
                                            <w:div w:id="1547184983">
                                              <w:marLeft w:val="0"/>
                                              <w:marRight w:val="0"/>
                                              <w:marTop w:val="0"/>
                                              <w:marBottom w:val="0"/>
                                              <w:divBdr>
                                                <w:top w:val="none" w:sz="0" w:space="0" w:color="auto"/>
                                                <w:left w:val="none" w:sz="0" w:space="0" w:color="auto"/>
                                                <w:bottom w:val="none" w:sz="0" w:space="0" w:color="auto"/>
                                                <w:right w:val="none" w:sz="0" w:space="0" w:color="auto"/>
                                              </w:divBdr>
                                              <w:divsChild>
                                                <w:div w:id="5367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6002">
      <w:bodyDiv w:val="1"/>
      <w:marLeft w:val="0"/>
      <w:marRight w:val="0"/>
      <w:marTop w:val="0"/>
      <w:marBottom w:val="0"/>
      <w:divBdr>
        <w:top w:val="none" w:sz="0" w:space="0" w:color="auto"/>
        <w:left w:val="none" w:sz="0" w:space="0" w:color="auto"/>
        <w:bottom w:val="none" w:sz="0" w:space="0" w:color="auto"/>
        <w:right w:val="none" w:sz="0" w:space="0" w:color="auto"/>
      </w:divBdr>
      <w:divsChild>
        <w:div w:id="961961434">
          <w:marLeft w:val="0"/>
          <w:marRight w:val="0"/>
          <w:marTop w:val="0"/>
          <w:marBottom w:val="0"/>
          <w:divBdr>
            <w:top w:val="none" w:sz="0" w:space="0" w:color="auto"/>
            <w:left w:val="none" w:sz="0" w:space="0" w:color="auto"/>
            <w:bottom w:val="none" w:sz="0" w:space="0" w:color="auto"/>
            <w:right w:val="none" w:sz="0" w:space="0" w:color="auto"/>
          </w:divBdr>
          <w:divsChild>
            <w:div w:id="1000430853">
              <w:marLeft w:val="0"/>
              <w:marRight w:val="0"/>
              <w:marTop w:val="0"/>
              <w:marBottom w:val="0"/>
              <w:divBdr>
                <w:top w:val="none" w:sz="0" w:space="0" w:color="auto"/>
                <w:left w:val="none" w:sz="0" w:space="0" w:color="auto"/>
                <w:bottom w:val="none" w:sz="0" w:space="0" w:color="auto"/>
                <w:right w:val="none" w:sz="0" w:space="0" w:color="auto"/>
              </w:divBdr>
              <w:divsChild>
                <w:div w:id="1478691195">
                  <w:marLeft w:val="0"/>
                  <w:marRight w:val="0"/>
                  <w:marTop w:val="0"/>
                  <w:marBottom w:val="0"/>
                  <w:divBdr>
                    <w:top w:val="none" w:sz="0" w:space="0" w:color="auto"/>
                    <w:left w:val="none" w:sz="0" w:space="0" w:color="auto"/>
                    <w:bottom w:val="none" w:sz="0" w:space="0" w:color="auto"/>
                    <w:right w:val="none" w:sz="0" w:space="0" w:color="auto"/>
                  </w:divBdr>
                  <w:divsChild>
                    <w:div w:id="1942880922">
                      <w:marLeft w:val="0"/>
                      <w:marRight w:val="0"/>
                      <w:marTop w:val="0"/>
                      <w:marBottom w:val="0"/>
                      <w:divBdr>
                        <w:top w:val="none" w:sz="0" w:space="0" w:color="auto"/>
                        <w:left w:val="none" w:sz="0" w:space="0" w:color="auto"/>
                        <w:bottom w:val="none" w:sz="0" w:space="0" w:color="auto"/>
                        <w:right w:val="none" w:sz="0" w:space="0" w:color="auto"/>
                      </w:divBdr>
                      <w:divsChild>
                        <w:div w:id="634483473">
                          <w:marLeft w:val="0"/>
                          <w:marRight w:val="0"/>
                          <w:marTop w:val="0"/>
                          <w:marBottom w:val="0"/>
                          <w:divBdr>
                            <w:top w:val="none" w:sz="0" w:space="0" w:color="auto"/>
                            <w:left w:val="none" w:sz="0" w:space="0" w:color="auto"/>
                            <w:bottom w:val="none" w:sz="0" w:space="0" w:color="auto"/>
                            <w:right w:val="none" w:sz="0" w:space="0" w:color="auto"/>
                          </w:divBdr>
                          <w:divsChild>
                            <w:div w:id="3207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94433">
      <w:bodyDiv w:val="1"/>
      <w:marLeft w:val="0"/>
      <w:marRight w:val="0"/>
      <w:marTop w:val="0"/>
      <w:marBottom w:val="0"/>
      <w:divBdr>
        <w:top w:val="none" w:sz="0" w:space="0" w:color="auto"/>
        <w:left w:val="none" w:sz="0" w:space="0" w:color="auto"/>
        <w:bottom w:val="none" w:sz="0" w:space="0" w:color="auto"/>
        <w:right w:val="none" w:sz="0" w:space="0" w:color="auto"/>
      </w:divBdr>
    </w:div>
    <w:div w:id="97455694">
      <w:bodyDiv w:val="1"/>
      <w:marLeft w:val="0"/>
      <w:marRight w:val="0"/>
      <w:marTop w:val="0"/>
      <w:marBottom w:val="0"/>
      <w:divBdr>
        <w:top w:val="none" w:sz="0" w:space="0" w:color="auto"/>
        <w:left w:val="none" w:sz="0" w:space="0" w:color="auto"/>
        <w:bottom w:val="none" w:sz="0" w:space="0" w:color="auto"/>
        <w:right w:val="none" w:sz="0" w:space="0" w:color="auto"/>
      </w:divBdr>
      <w:divsChild>
        <w:div w:id="1738742069">
          <w:marLeft w:val="0"/>
          <w:marRight w:val="0"/>
          <w:marTop w:val="0"/>
          <w:marBottom w:val="0"/>
          <w:divBdr>
            <w:top w:val="none" w:sz="0" w:space="0" w:color="auto"/>
            <w:left w:val="none" w:sz="0" w:space="0" w:color="auto"/>
            <w:bottom w:val="none" w:sz="0" w:space="0" w:color="auto"/>
            <w:right w:val="none" w:sz="0" w:space="0" w:color="auto"/>
          </w:divBdr>
          <w:divsChild>
            <w:div w:id="1598126663">
              <w:marLeft w:val="0"/>
              <w:marRight w:val="0"/>
              <w:marTop w:val="0"/>
              <w:marBottom w:val="0"/>
              <w:divBdr>
                <w:top w:val="none" w:sz="0" w:space="0" w:color="auto"/>
                <w:left w:val="none" w:sz="0" w:space="0" w:color="auto"/>
                <w:bottom w:val="none" w:sz="0" w:space="0" w:color="auto"/>
                <w:right w:val="none" w:sz="0" w:space="0" w:color="auto"/>
              </w:divBdr>
              <w:divsChild>
                <w:div w:id="1526750794">
                  <w:marLeft w:val="0"/>
                  <w:marRight w:val="0"/>
                  <w:marTop w:val="0"/>
                  <w:marBottom w:val="0"/>
                  <w:divBdr>
                    <w:top w:val="none" w:sz="0" w:space="0" w:color="auto"/>
                    <w:left w:val="none" w:sz="0" w:space="0" w:color="auto"/>
                    <w:bottom w:val="none" w:sz="0" w:space="0" w:color="auto"/>
                    <w:right w:val="none" w:sz="0" w:space="0" w:color="auto"/>
                  </w:divBdr>
                  <w:divsChild>
                    <w:div w:id="8139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3233">
      <w:bodyDiv w:val="1"/>
      <w:marLeft w:val="0"/>
      <w:marRight w:val="0"/>
      <w:marTop w:val="0"/>
      <w:marBottom w:val="0"/>
      <w:divBdr>
        <w:top w:val="none" w:sz="0" w:space="0" w:color="auto"/>
        <w:left w:val="none" w:sz="0" w:space="0" w:color="auto"/>
        <w:bottom w:val="none" w:sz="0" w:space="0" w:color="auto"/>
        <w:right w:val="none" w:sz="0" w:space="0" w:color="auto"/>
      </w:divBdr>
      <w:divsChild>
        <w:div w:id="1062828395">
          <w:marLeft w:val="0"/>
          <w:marRight w:val="0"/>
          <w:marTop w:val="0"/>
          <w:marBottom w:val="0"/>
          <w:divBdr>
            <w:top w:val="none" w:sz="0" w:space="0" w:color="auto"/>
            <w:left w:val="none" w:sz="0" w:space="0" w:color="auto"/>
            <w:bottom w:val="none" w:sz="0" w:space="0" w:color="auto"/>
            <w:right w:val="none" w:sz="0" w:space="0" w:color="auto"/>
          </w:divBdr>
        </w:div>
      </w:divsChild>
    </w:div>
    <w:div w:id="98379001">
      <w:bodyDiv w:val="1"/>
      <w:marLeft w:val="0"/>
      <w:marRight w:val="0"/>
      <w:marTop w:val="0"/>
      <w:marBottom w:val="0"/>
      <w:divBdr>
        <w:top w:val="none" w:sz="0" w:space="0" w:color="auto"/>
        <w:left w:val="none" w:sz="0" w:space="0" w:color="auto"/>
        <w:bottom w:val="none" w:sz="0" w:space="0" w:color="auto"/>
        <w:right w:val="none" w:sz="0" w:space="0" w:color="auto"/>
      </w:divBdr>
    </w:div>
    <w:div w:id="98916915">
      <w:bodyDiv w:val="1"/>
      <w:marLeft w:val="0"/>
      <w:marRight w:val="0"/>
      <w:marTop w:val="0"/>
      <w:marBottom w:val="0"/>
      <w:divBdr>
        <w:top w:val="none" w:sz="0" w:space="0" w:color="auto"/>
        <w:left w:val="none" w:sz="0" w:space="0" w:color="auto"/>
        <w:bottom w:val="none" w:sz="0" w:space="0" w:color="auto"/>
        <w:right w:val="none" w:sz="0" w:space="0" w:color="auto"/>
      </w:divBdr>
      <w:divsChild>
        <w:div w:id="117377615">
          <w:marLeft w:val="0"/>
          <w:marRight w:val="0"/>
          <w:marTop w:val="0"/>
          <w:marBottom w:val="0"/>
          <w:divBdr>
            <w:top w:val="none" w:sz="0" w:space="0" w:color="auto"/>
            <w:left w:val="none" w:sz="0" w:space="0" w:color="auto"/>
            <w:bottom w:val="none" w:sz="0" w:space="0" w:color="auto"/>
            <w:right w:val="none" w:sz="0" w:space="0" w:color="auto"/>
          </w:divBdr>
          <w:divsChild>
            <w:div w:id="310408857">
              <w:marLeft w:val="0"/>
              <w:marRight w:val="0"/>
              <w:marTop w:val="0"/>
              <w:marBottom w:val="0"/>
              <w:divBdr>
                <w:top w:val="none" w:sz="0" w:space="0" w:color="auto"/>
                <w:left w:val="none" w:sz="0" w:space="0" w:color="auto"/>
                <w:bottom w:val="none" w:sz="0" w:space="0" w:color="auto"/>
                <w:right w:val="none" w:sz="0" w:space="0" w:color="auto"/>
              </w:divBdr>
              <w:divsChild>
                <w:div w:id="11781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9310">
      <w:bodyDiv w:val="1"/>
      <w:marLeft w:val="0"/>
      <w:marRight w:val="0"/>
      <w:marTop w:val="0"/>
      <w:marBottom w:val="0"/>
      <w:divBdr>
        <w:top w:val="none" w:sz="0" w:space="0" w:color="auto"/>
        <w:left w:val="none" w:sz="0" w:space="0" w:color="auto"/>
        <w:bottom w:val="none" w:sz="0" w:space="0" w:color="auto"/>
        <w:right w:val="none" w:sz="0" w:space="0" w:color="auto"/>
      </w:divBdr>
      <w:divsChild>
        <w:div w:id="1733579201">
          <w:marLeft w:val="0"/>
          <w:marRight w:val="0"/>
          <w:marTop w:val="0"/>
          <w:marBottom w:val="0"/>
          <w:divBdr>
            <w:top w:val="none" w:sz="0" w:space="0" w:color="auto"/>
            <w:left w:val="none" w:sz="0" w:space="0" w:color="auto"/>
            <w:bottom w:val="none" w:sz="0" w:space="0" w:color="auto"/>
            <w:right w:val="none" w:sz="0" w:space="0" w:color="auto"/>
          </w:divBdr>
          <w:divsChild>
            <w:div w:id="1608151127">
              <w:marLeft w:val="0"/>
              <w:marRight w:val="0"/>
              <w:marTop w:val="0"/>
              <w:marBottom w:val="0"/>
              <w:divBdr>
                <w:top w:val="none" w:sz="0" w:space="0" w:color="auto"/>
                <w:left w:val="none" w:sz="0" w:space="0" w:color="auto"/>
                <w:bottom w:val="none" w:sz="0" w:space="0" w:color="auto"/>
                <w:right w:val="none" w:sz="0" w:space="0" w:color="auto"/>
              </w:divBdr>
              <w:divsChild>
                <w:div w:id="1358701169">
                  <w:marLeft w:val="0"/>
                  <w:marRight w:val="0"/>
                  <w:marTop w:val="0"/>
                  <w:marBottom w:val="0"/>
                  <w:divBdr>
                    <w:top w:val="none" w:sz="0" w:space="0" w:color="auto"/>
                    <w:left w:val="none" w:sz="0" w:space="0" w:color="auto"/>
                    <w:bottom w:val="none" w:sz="0" w:space="0" w:color="auto"/>
                    <w:right w:val="none" w:sz="0" w:space="0" w:color="auto"/>
                  </w:divBdr>
                  <w:divsChild>
                    <w:div w:id="2071465790">
                      <w:marLeft w:val="0"/>
                      <w:marRight w:val="0"/>
                      <w:marTop w:val="0"/>
                      <w:marBottom w:val="0"/>
                      <w:divBdr>
                        <w:top w:val="none" w:sz="0" w:space="0" w:color="auto"/>
                        <w:left w:val="none" w:sz="0" w:space="0" w:color="auto"/>
                        <w:bottom w:val="none" w:sz="0" w:space="0" w:color="auto"/>
                        <w:right w:val="none" w:sz="0" w:space="0" w:color="auto"/>
                      </w:divBdr>
                      <w:divsChild>
                        <w:div w:id="1325354983">
                          <w:marLeft w:val="0"/>
                          <w:marRight w:val="0"/>
                          <w:marTop w:val="0"/>
                          <w:marBottom w:val="0"/>
                          <w:divBdr>
                            <w:top w:val="none" w:sz="0" w:space="0" w:color="auto"/>
                            <w:left w:val="none" w:sz="0" w:space="0" w:color="auto"/>
                            <w:bottom w:val="none" w:sz="0" w:space="0" w:color="auto"/>
                            <w:right w:val="none" w:sz="0" w:space="0" w:color="auto"/>
                          </w:divBdr>
                          <w:divsChild>
                            <w:div w:id="21286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5693">
      <w:bodyDiv w:val="1"/>
      <w:marLeft w:val="0"/>
      <w:marRight w:val="0"/>
      <w:marTop w:val="0"/>
      <w:marBottom w:val="0"/>
      <w:divBdr>
        <w:top w:val="none" w:sz="0" w:space="0" w:color="auto"/>
        <w:left w:val="none" w:sz="0" w:space="0" w:color="auto"/>
        <w:bottom w:val="none" w:sz="0" w:space="0" w:color="auto"/>
        <w:right w:val="none" w:sz="0" w:space="0" w:color="auto"/>
      </w:divBdr>
      <w:divsChild>
        <w:div w:id="1435976348">
          <w:marLeft w:val="0"/>
          <w:marRight w:val="0"/>
          <w:marTop w:val="0"/>
          <w:marBottom w:val="0"/>
          <w:divBdr>
            <w:top w:val="none" w:sz="0" w:space="0" w:color="auto"/>
            <w:left w:val="none" w:sz="0" w:space="0" w:color="auto"/>
            <w:bottom w:val="none" w:sz="0" w:space="0" w:color="auto"/>
            <w:right w:val="none" w:sz="0" w:space="0" w:color="auto"/>
          </w:divBdr>
          <w:divsChild>
            <w:div w:id="2040154886">
              <w:marLeft w:val="0"/>
              <w:marRight w:val="0"/>
              <w:marTop w:val="0"/>
              <w:marBottom w:val="0"/>
              <w:divBdr>
                <w:top w:val="none" w:sz="0" w:space="0" w:color="auto"/>
                <w:left w:val="none" w:sz="0" w:space="0" w:color="auto"/>
                <w:bottom w:val="none" w:sz="0" w:space="0" w:color="auto"/>
                <w:right w:val="none" w:sz="0" w:space="0" w:color="auto"/>
              </w:divBdr>
              <w:divsChild>
                <w:div w:id="1458063775">
                  <w:marLeft w:val="0"/>
                  <w:marRight w:val="0"/>
                  <w:marTop w:val="0"/>
                  <w:marBottom w:val="0"/>
                  <w:divBdr>
                    <w:top w:val="none" w:sz="0" w:space="0" w:color="auto"/>
                    <w:left w:val="none" w:sz="0" w:space="0" w:color="auto"/>
                    <w:bottom w:val="none" w:sz="0" w:space="0" w:color="auto"/>
                    <w:right w:val="none" w:sz="0" w:space="0" w:color="auto"/>
                  </w:divBdr>
                  <w:divsChild>
                    <w:div w:id="961108493">
                      <w:marLeft w:val="0"/>
                      <w:marRight w:val="0"/>
                      <w:marTop w:val="0"/>
                      <w:marBottom w:val="0"/>
                      <w:divBdr>
                        <w:top w:val="none" w:sz="0" w:space="0" w:color="auto"/>
                        <w:left w:val="none" w:sz="0" w:space="0" w:color="auto"/>
                        <w:bottom w:val="none" w:sz="0" w:space="0" w:color="auto"/>
                        <w:right w:val="none" w:sz="0" w:space="0" w:color="auto"/>
                      </w:divBdr>
                      <w:divsChild>
                        <w:div w:id="606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10690">
      <w:bodyDiv w:val="1"/>
      <w:marLeft w:val="0"/>
      <w:marRight w:val="0"/>
      <w:marTop w:val="0"/>
      <w:marBottom w:val="0"/>
      <w:divBdr>
        <w:top w:val="none" w:sz="0" w:space="0" w:color="auto"/>
        <w:left w:val="none" w:sz="0" w:space="0" w:color="auto"/>
        <w:bottom w:val="none" w:sz="0" w:space="0" w:color="auto"/>
        <w:right w:val="none" w:sz="0" w:space="0" w:color="auto"/>
      </w:divBdr>
      <w:divsChild>
        <w:div w:id="505946575">
          <w:marLeft w:val="0"/>
          <w:marRight w:val="0"/>
          <w:marTop w:val="0"/>
          <w:marBottom w:val="0"/>
          <w:divBdr>
            <w:top w:val="none" w:sz="0" w:space="0" w:color="auto"/>
            <w:left w:val="none" w:sz="0" w:space="0" w:color="auto"/>
            <w:bottom w:val="none" w:sz="0" w:space="0" w:color="auto"/>
            <w:right w:val="none" w:sz="0" w:space="0" w:color="auto"/>
          </w:divBdr>
          <w:divsChild>
            <w:div w:id="1571651500">
              <w:marLeft w:val="0"/>
              <w:marRight w:val="0"/>
              <w:marTop w:val="0"/>
              <w:marBottom w:val="0"/>
              <w:divBdr>
                <w:top w:val="none" w:sz="0" w:space="0" w:color="auto"/>
                <w:left w:val="none" w:sz="0" w:space="0" w:color="auto"/>
                <w:bottom w:val="none" w:sz="0" w:space="0" w:color="auto"/>
                <w:right w:val="none" w:sz="0" w:space="0" w:color="auto"/>
              </w:divBdr>
              <w:divsChild>
                <w:div w:id="1013149172">
                  <w:marLeft w:val="0"/>
                  <w:marRight w:val="0"/>
                  <w:marTop w:val="0"/>
                  <w:marBottom w:val="0"/>
                  <w:divBdr>
                    <w:top w:val="none" w:sz="0" w:space="0" w:color="auto"/>
                    <w:left w:val="none" w:sz="0" w:space="0" w:color="auto"/>
                    <w:bottom w:val="none" w:sz="0" w:space="0" w:color="auto"/>
                    <w:right w:val="none" w:sz="0" w:space="0" w:color="auto"/>
                  </w:divBdr>
                  <w:divsChild>
                    <w:div w:id="80301820">
                      <w:marLeft w:val="0"/>
                      <w:marRight w:val="0"/>
                      <w:marTop w:val="0"/>
                      <w:marBottom w:val="0"/>
                      <w:divBdr>
                        <w:top w:val="none" w:sz="0" w:space="0" w:color="auto"/>
                        <w:left w:val="none" w:sz="0" w:space="0" w:color="auto"/>
                        <w:bottom w:val="none" w:sz="0" w:space="0" w:color="auto"/>
                        <w:right w:val="none" w:sz="0" w:space="0" w:color="auto"/>
                      </w:divBdr>
                      <w:divsChild>
                        <w:div w:id="659115274">
                          <w:marLeft w:val="0"/>
                          <w:marRight w:val="0"/>
                          <w:marTop w:val="0"/>
                          <w:marBottom w:val="0"/>
                          <w:divBdr>
                            <w:top w:val="none" w:sz="0" w:space="0" w:color="auto"/>
                            <w:left w:val="none" w:sz="0" w:space="0" w:color="auto"/>
                            <w:bottom w:val="none" w:sz="0" w:space="0" w:color="auto"/>
                            <w:right w:val="none" w:sz="0" w:space="0" w:color="auto"/>
                          </w:divBdr>
                          <w:divsChild>
                            <w:div w:id="1765766033">
                              <w:marLeft w:val="0"/>
                              <w:marRight w:val="0"/>
                              <w:marTop w:val="0"/>
                              <w:marBottom w:val="0"/>
                              <w:divBdr>
                                <w:top w:val="none" w:sz="0" w:space="0" w:color="auto"/>
                                <w:left w:val="none" w:sz="0" w:space="0" w:color="auto"/>
                                <w:bottom w:val="none" w:sz="0" w:space="0" w:color="auto"/>
                                <w:right w:val="none" w:sz="0" w:space="0" w:color="auto"/>
                              </w:divBdr>
                              <w:divsChild>
                                <w:div w:id="1070543658">
                                  <w:marLeft w:val="0"/>
                                  <w:marRight w:val="0"/>
                                  <w:marTop w:val="0"/>
                                  <w:marBottom w:val="0"/>
                                  <w:divBdr>
                                    <w:top w:val="none" w:sz="0" w:space="0" w:color="auto"/>
                                    <w:left w:val="none" w:sz="0" w:space="0" w:color="auto"/>
                                    <w:bottom w:val="none" w:sz="0" w:space="0" w:color="auto"/>
                                    <w:right w:val="none" w:sz="0" w:space="0" w:color="auto"/>
                                  </w:divBdr>
                                  <w:divsChild>
                                    <w:div w:id="1035039467">
                                      <w:marLeft w:val="0"/>
                                      <w:marRight w:val="0"/>
                                      <w:marTop w:val="0"/>
                                      <w:marBottom w:val="0"/>
                                      <w:divBdr>
                                        <w:top w:val="none" w:sz="0" w:space="0" w:color="auto"/>
                                        <w:left w:val="none" w:sz="0" w:space="0" w:color="auto"/>
                                        <w:bottom w:val="none" w:sz="0" w:space="0" w:color="auto"/>
                                        <w:right w:val="none" w:sz="0" w:space="0" w:color="auto"/>
                                      </w:divBdr>
                                      <w:divsChild>
                                        <w:div w:id="7794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7725">
      <w:bodyDiv w:val="1"/>
      <w:marLeft w:val="0"/>
      <w:marRight w:val="0"/>
      <w:marTop w:val="0"/>
      <w:marBottom w:val="0"/>
      <w:divBdr>
        <w:top w:val="none" w:sz="0" w:space="0" w:color="auto"/>
        <w:left w:val="none" w:sz="0" w:space="0" w:color="auto"/>
        <w:bottom w:val="none" w:sz="0" w:space="0" w:color="auto"/>
        <w:right w:val="none" w:sz="0" w:space="0" w:color="auto"/>
      </w:divBdr>
      <w:divsChild>
        <w:div w:id="477114965">
          <w:marLeft w:val="0"/>
          <w:marRight w:val="0"/>
          <w:marTop w:val="0"/>
          <w:marBottom w:val="0"/>
          <w:divBdr>
            <w:top w:val="none" w:sz="0" w:space="0" w:color="auto"/>
            <w:left w:val="none" w:sz="0" w:space="0" w:color="auto"/>
            <w:bottom w:val="none" w:sz="0" w:space="0" w:color="auto"/>
            <w:right w:val="none" w:sz="0" w:space="0" w:color="auto"/>
          </w:divBdr>
        </w:div>
      </w:divsChild>
    </w:div>
    <w:div w:id="103693668">
      <w:bodyDiv w:val="1"/>
      <w:marLeft w:val="0"/>
      <w:marRight w:val="0"/>
      <w:marTop w:val="0"/>
      <w:marBottom w:val="0"/>
      <w:divBdr>
        <w:top w:val="none" w:sz="0" w:space="0" w:color="auto"/>
        <w:left w:val="none" w:sz="0" w:space="0" w:color="auto"/>
        <w:bottom w:val="none" w:sz="0" w:space="0" w:color="auto"/>
        <w:right w:val="none" w:sz="0" w:space="0" w:color="auto"/>
      </w:divBdr>
      <w:divsChild>
        <w:div w:id="1144587431">
          <w:marLeft w:val="0"/>
          <w:marRight w:val="0"/>
          <w:marTop w:val="0"/>
          <w:marBottom w:val="0"/>
          <w:divBdr>
            <w:top w:val="none" w:sz="0" w:space="0" w:color="auto"/>
            <w:left w:val="none" w:sz="0" w:space="0" w:color="auto"/>
            <w:bottom w:val="none" w:sz="0" w:space="0" w:color="auto"/>
            <w:right w:val="none" w:sz="0" w:space="0" w:color="auto"/>
          </w:divBdr>
          <w:divsChild>
            <w:div w:id="1777822055">
              <w:marLeft w:val="0"/>
              <w:marRight w:val="0"/>
              <w:marTop w:val="0"/>
              <w:marBottom w:val="0"/>
              <w:divBdr>
                <w:top w:val="none" w:sz="0" w:space="0" w:color="auto"/>
                <w:left w:val="none" w:sz="0" w:space="0" w:color="auto"/>
                <w:bottom w:val="none" w:sz="0" w:space="0" w:color="auto"/>
                <w:right w:val="none" w:sz="0" w:space="0" w:color="auto"/>
              </w:divBdr>
              <w:divsChild>
                <w:div w:id="1679966876">
                  <w:marLeft w:val="0"/>
                  <w:marRight w:val="0"/>
                  <w:marTop w:val="0"/>
                  <w:marBottom w:val="0"/>
                  <w:divBdr>
                    <w:top w:val="none" w:sz="0" w:space="0" w:color="auto"/>
                    <w:left w:val="none" w:sz="0" w:space="0" w:color="auto"/>
                    <w:bottom w:val="none" w:sz="0" w:space="0" w:color="auto"/>
                    <w:right w:val="none" w:sz="0" w:space="0" w:color="auto"/>
                  </w:divBdr>
                  <w:divsChild>
                    <w:div w:id="1468862928">
                      <w:marLeft w:val="0"/>
                      <w:marRight w:val="0"/>
                      <w:marTop w:val="0"/>
                      <w:marBottom w:val="0"/>
                      <w:divBdr>
                        <w:top w:val="none" w:sz="0" w:space="0" w:color="auto"/>
                        <w:left w:val="none" w:sz="0" w:space="0" w:color="auto"/>
                        <w:bottom w:val="none" w:sz="0" w:space="0" w:color="auto"/>
                        <w:right w:val="none" w:sz="0" w:space="0" w:color="auto"/>
                      </w:divBdr>
                      <w:divsChild>
                        <w:div w:id="455220375">
                          <w:marLeft w:val="0"/>
                          <w:marRight w:val="0"/>
                          <w:marTop w:val="0"/>
                          <w:marBottom w:val="0"/>
                          <w:divBdr>
                            <w:top w:val="none" w:sz="0" w:space="0" w:color="auto"/>
                            <w:left w:val="none" w:sz="0" w:space="0" w:color="auto"/>
                            <w:bottom w:val="none" w:sz="0" w:space="0" w:color="auto"/>
                            <w:right w:val="none" w:sz="0" w:space="0" w:color="auto"/>
                          </w:divBdr>
                          <w:divsChild>
                            <w:div w:id="1410617991">
                              <w:marLeft w:val="0"/>
                              <w:marRight w:val="0"/>
                              <w:marTop w:val="0"/>
                              <w:marBottom w:val="0"/>
                              <w:divBdr>
                                <w:top w:val="none" w:sz="0" w:space="0" w:color="auto"/>
                                <w:left w:val="none" w:sz="0" w:space="0" w:color="auto"/>
                                <w:bottom w:val="none" w:sz="0" w:space="0" w:color="auto"/>
                                <w:right w:val="none" w:sz="0" w:space="0" w:color="auto"/>
                              </w:divBdr>
                              <w:divsChild>
                                <w:div w:id="757479006">
                                  <w:marLeft w:val="0"/>
                                  <w:marRight w:val="0"/>
                                  <w:marTop w:val="0"/>
                                  <w:marBottom w:val="0"/>
                                  <w:divBdr>
                                    <w:top w:val="none" w:sz="0" w:space="0" w:color="auto"/>
                                    <w:left w:val="none" w:sz="0" w:space="0" w:color="auto"/>
                                    <w:bottom w:val="none" w:sz="0" w:space="0" w:color="auto"/>
                                    <w:right w:val="none" w:sz="0" w:space="0" w:color="auto"/>
                                  </w:divBdr>
                                  <w:divsChild>
                                    <w:div w:id="1784416284">
                                      <w:marLeft w:val="0"/>
                                      <w:marRight w:val="0"/>
                                      <w:marTop w:val="0"/>
                                      <w:marBottom w:val="0"/>
                                      <w:divBdr>
                                        <w:top w:val="none" w:sz="0" w:space="0" w:color="auto"/>
                                        <w:left w:val="none" w:sz="0" w:space="0" w:color="auto"/>
                                        <w:bottom w:val="none" w:sz="0" w:space="0" w:color="auto"/>
                                        <w:right w:val="none" w:sz="0" w:space="0" w:color="auto"/>
                                      </w:divBdr>
                                      <w:divsChild>
                                        <w:div w:id="1582713360">
                                          <w:marLeft w:val="0"/>
                                          <w:marRight w:val="0"/>
                                          <w:marTop w:val="0"/>
                                          <w:marBottom w:val="0"/>
                                          <w:divBdr>
                                            <w:top w:val="none" w:sz="0" w:space="0" w:color="auto"/>
                                            <w:left w:val="none" w:sz="0" w:space="0" w:color="auto"/>
                                            <w:bottom w:val="none" w:sz="0" w:space="0" w:color="auto"/>
                                            <w:right w:val="none" w:sz="0" w:space="0" w:color="auto"/>
                                          </w:divBdr>
                                          <w:divsChild>
                                            <w:div w:id="1444501399">
                                              <w:marLeft w:val="0"/>
                                              <w:marRight w:val="0"/>
                                              <w:marTop w:val="0"/>
                                              <w:marBottom w:val="0"/>
                                              <w:divBdr>
                                                <w:top w:val="none" w:sz="0" w:space="0" w:color="auto"/>
                                                <w:left w:val="none" w:sz="0" w:space="0" w:color="auto"/>
                                                <w:bottom w:val="none" w:sz="0" w:space="0" w:color="auto"/>
                                                <w:right w:val="none" w:sz="0" w:space="0" w:color="auto"/>
                                              </w:divBdr>
                                              <w:divsChild>
                                                <w:div w:id="675501244">
                                                  <w:marLeft w:val="0"/>
                                                  <w:marRight w:val="0"/>
                                                  <w:marTop w:val="0"/>
                                                  <w:marBottom w:val="0"/>
                                                  <w:divBdr>
                                                    <w:top w:val="none" w:sz="0" w:space="0" w:color="auto"/>
                                                    <w:left w:val="none" w:sz="0" w:space="0" w:color="auto"/>
                                                    <w:bottom w:val="none" w:sz="0" w:space="0" w:color="auto"/>
                                                    <w:right w:val="none" w:sz="0" w:space="0" w:color="auto"/>
                                                  </w:divBdr>
                                                  <w:divsChild>
                                                    <w:div w:id="1696882532">
                                                      <w:marLeft w:val="0"/>
                                                      <w:marRight w:val="0"/>
                                                      <w:marTop w:val="0"/>
                                                      <w:marBottom w:val="0"/>
                                                      <w:divBdr>
                                                        <w:top w:val="none" w:sz="0" w:space="0" w:color="auto"/>
                                                        <w:left w:val="none" w:sz="0" w:space="0" w:color="auto"/>
                                                        <w:bottom w:val="none" w:sz="0" w:space="0" w:color="auto"/>
                                                        <w:right w:val="none" w:sz="0" w:space="0" w:color="auto"/>
                                                      </w:divBdr>
                                                      <w:divsChild>
                                                        <w:div w:id="2396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98148">
      <w:bodyDiv w:val="1"/>
      <w:marLeft w:val="0"/>
      <w:marRight w:val="0"/>
      <w:marTop w:val="0"/>
      <w:marBottom w:val="0"/>
      <w:divBdr>
        <w:top w:val="none" w:sz="0" w:space="0" w:color="auto"/>
        <w:left w:val="none" w:sz="0" w:space="0" w:color="auto"/>
        <w:bottom w:val="none" w:sz="0" w:space="0" w:color="auto"/>
        <w:right w:val="none" w:sz="0" w:space="0" w:color="auto"/>
      </w:divBdr>
      <w:divsChild>
        <w:div w:id="1845780430">
          <w:marLeft w:val="0"/>
          <w:marRight w:val="0"/>
          <w:marTop w:val="0"/>
          <w:marBottom w:val="0"/>
          <w:divBdr>
            <w:top w:val="none" w:sz="0" w:space="0" w:color="auto"/>
            <w:left w:val="none" w:sz="0" w:space="0" w:color="auto"/>
            <w:bottom w:val="none" w:sz="0" w:space="0" w:color="auto"/>
            <w:right w:val="none" w:sz="0" w:space="0" w:color="auto"/>
          </w:divBdr>
          <w:divsChild>
            <w:div w:id="391660144">
              <w:marLeft w:val="0"/>
              <w:marRight w:val="0"/>
              <w:marTop w:val="0"/>
              <w:marBottom w:val="0"/>
              <w:divBdr>
                <w:top w:val="none" w:sz="0" w:space="0" w:color="auto"/>
                <w:left w:val="none" w:sz="0" w:space="0" w:color="auto"/>
                <w:bottom w:val="none" w:sz="0" w:space="0" w:color="auto"/>
                <w:right w:val="none" w:sz="0" w:space="0" w:color="auto"/>
              </w:divBdr>
              <w:divsChild>
                <w:div w:id="1829517540">
                  <w:marLeft w:val="0"/>
                  <w:marRight w:val="0"/>
                  <w:marTop w:val="0"/>
                  <w:marBottom w:val="0"/>
                  <w:divBdr>
                    <w:top w:val="none" w:sz="0" w:space="0" w:color="auto"/>
                    <w:left w:val="none" w:sz="0" w:space="0" w:color="auto"/>
                    <w:bottom w:val="none" w:sz="0" w:space="0" w:color="auto"/>
                    <w:right w:val="none" w:sz="0" w:space="0" w:color="auto"/>
                  </w:divBdr>
                  <w:divsChild>
                    <w:div w:id="763113491">
                      <w:marLeft w:val="0"/>
                      <w:marRight w:val="0"/>
                      <w:marTop w:val="0"/>
                      <w:marBottom w:val="0"/>
                      <w:divBdr>
                        <w:top w:val="none" w:sz="0" w:space="0" w:color="auto"/>
                        <w:left w:val="none" w:sz="0" w:space="0" w:color="auto"/>
                        <w:bottom w:val="none" w:sz="0" w:space="0" w:color="auto"/>
                        <w:right w:val="none" w:sz="0" w:space="0" w:color="auto"/>
                      </w:divBdr>
                      <w:divsChild>
                        <w:div w:id="458259469">
                          <w:marLeft w:val="0"/>
                          <w:marRight w:val="0"/>
                          <w:marTop w:val="0"/>
                          <w:marBottom w:val="0"/>
                          <w:divBdr>
                            <w:top w:val="none" w:sz="0" w:space="0" w:color="auto"/>
                            <w:left w:val="none" w:sz="0" w:space="0" w:color="auto"/>
                            <w:bottom w:val="none" w:sz="0" w:space="0" w:color="auto"/>
                            <w:right w:val="none" w:sz="0" w:space="0" w:color="auto"/>
                          </w:divBdr>
                          <w:divsChild>
                            <w:div w:id="1359044876">
                              <w:marLeft w:val="0"/>
                              <w:marRight w:val="0"/>
                              <w:marTop w:val="0"/>
                              <w:marBottom w:val="0"/>
                              <w:divBdr>
                                <w:top w:val="none" w:sz="0" w:space="0" w:color="auto"/>
                                <w:left w:val="none" w:sz="0" w:space="0" w:color="auto"/>
                                <w:bottom w:val="none" w:sz="0" w:space="0" w:color="auto"/>
                                <w:right w:val="none" w:sz="0" w:space="0" w:color="auto"/>
                              </w:divBdr>
                              <w:divsChild>
                                <w:div w:id="470097307">
                                  <w:marLeft w:val="0"/>
                                  <w:marRight w:val="0"/>
                                  <w:marTop w:val="0"/>
                                  <w:marBottom w:val="0"/>
                                  <w:divBdr>
                                    <w:top w:val="none" w:sz="0" w:space="0" w:color="auto"/>
                                    <w:left w:val="none" w:sz="0" w:space="0" w:color="auto"/>
                                    <w:bottom w:val="none" w:sz="0" w:space="0" w:color="auto"/>
                                    <w:right w:val="none" w:sz="0" w:space="0" w:color="auto"/>
                                  </w:divBdr>
                                  <w:divsChild>
                                    <w:div w:id="2035420625">
                                      <w:marLeft w:val="0"/>
                                      <w:marRight w:val="0"/>
                                      <w:marTop w:val="0"/>
                                      <w:marBottom w:val="0"/>
                                      <w:divBdr>
                                        <w:top w:val="none" w:sz="0" w:space="0" w:color="auto"/>
                                        <w:left w:val="none" w:sz="0" w:space="0" w:color="auto"/>
                                        <w:bottom w:val="none" w:sz="0" w:space="0" w:color="auto"/>
                                        <w:right w:val="none" w:sz="0" w:space="0" w:color="auto"/>
                                      </w:divBdr>
                                      <w:divsChild>
                                        <w:div w:id="1924991680">
                                          <w:marLeft w:val="0"/>
                                          <w:marRight w:val="0"/>
                                          <w:marTop w:val="0"/>
                                          <w:marBottom w:val="0"/>
                                          <w:divBdr>
                                            <w:top w:val="none" w:sz="0" w:space="0" w:color="auto"/>
                                            <w:left w:val="none" w:sz="0" w:space="0" w:color="auto"/>
                                            <w:bottom w:val="none" w:sz="0" w:space="0" w:color="auto"/>
                                            <w:right w:val="none" w:sz="0" w:space="0" w:color="auto"/>
                                          </w:divBdr>
                                        </w:div>
                                        <w:div w:id="2110276549">
                                          <w:marLeft w:val="0"/>
                                          <w:marRight w:val="0"/>
                                          <w:marTop w:val="0"/>
                                          <w:marBottom w:val="0"/>
                                          <w:divBdr>
                                            <w:top w:val="none" w:sz="0" w:space="0" w:color="auto"/>
                                            <w:left w:val="none" w:sz="0" w:space="0" w:color="auto"/>
                                            <w:bottom w:val="none" w:sz="0" w:space="0" w:color="auto"/>
                                            <w:right w:val="none" w:sz="0" w:space="0" w:color="auto"/>
                                          </w:divBdr>
                                          <w:divsChild>
                                            <w:div w:id="17853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28139">
      <w:bodyDiv w:val="1"/>
      <w:marLeft w:val="0"/>
      <w:marRight w:val="0"/>
      <w:marTop w:val="0"/>
      <w:marBottom w:val="0"/>
      <w:divBdr>
        <w:top w:val="none" w:sz="0" w:space="0" w:color="auto"/>
        <w:left w:val="none" w:sz="0" w:space="0" w:color="auto"/>
        <w:bottom w:val="none" w:sz="0" w:space="0" w:color="auto"/>
        <w:right w:val="none" w:sz="0" w:space="0" w:color="auto"/>
      </w:divBdr>
      <w:divsChild>
        <w:div w:id="1848211901">
          <w:marLeft w:val="0"/>
          <w:marRight w:val="0"/>
          <w:marTop w:val="0"/>
          <w:marBottom w:val="0"/>
          <w:divBdr>
            <w:top w:val="none" w:sz="0" w:space="0" w:color="auto"/>
            <w:left w:val="none" w:sz="0" w:space="0" w:color="auto"/>
            <w:bottom w:val="none" w:sz="0" w:space="0" w:color="auto"/>
            <w:right w:val="none" w:sz="0" w:space="0" w:color="auto"/>
          </w:divBdr>
          <w:divsChild>
            <w:div w:id="1213880999">
              <w:marLeft w:val="0"/>
              <w:marRight w:val="0"/>
              <w:marTop w:val="0"/>
              <w:marBottom w:val="0"/>
              <w:divBdr>
                <w:top w:val="none" w:sz="0" w:space="0" w:color="auto"/>
                <w:left w:val="none" w:sz="0" w:space="0" w:color="auto"/>
                <w:bottom w:val="none" w:sz="0" w:space="0" w:color="auto"/>
                <w:right w:val="none" w:sz="0" w:space="0" w:color="auto"/>
              </w:divBdr>
              <w:divsChild>
                <w:div w:id="1127623084">
                  <w:marLeft w:val="0"/>
                  <w:marRight w:val="0"/>
                  <w:marTop w:val="0"/>
                  <w:marBottom w:val="0"/>
                  <w:divBdr>
                    <w:top w:val="none" w:sz="0" w:space="0" w:color="auto"/>
                    <w:left w:val="none" w:sz="0" w:space="0" w:color="auto"/>
                    <w:bottom w:val="none" w:sz="0" w:space="0" w:color="auto"/>
                    <w:right w:val="none" w:sz="0" w:space="0" w:color="auto"/>
                  </w:divBdr>
                  <w:divsChild>
                    <w:div w:id="1361588045">
                      <w:marLeft w:val="0"/>
                      <w:marRight w:val="0"/>
                      <w:marTop w:val="0"/>
                      <w:marBottom w:val="0"/>
                      <w:divBdr>
                        <w:top w:val="none" w:sz="0" w:space="0" w:color="auto"/>
                        <w:left w:val="none" w:sz="0" w:space="0" w:color="auto"/>
                        <w:bottom w:val="none" w:sz="0" w:space="0" w:color="auto"/>
                        <w:right w:val="none" w:sz="0" w:space="0" w:color="auto"/>
                      </w:divBdr>
                      <w:divsChild>
                        <w:div w:id="890769428">
                          <w:marLeft w:val="0"/>
                          <w:marRight w:val="0"/>
                          <w:marTop w:val="0"/>
                          <w:marBottom w:val="0"/>
                          <w:divBdr>
                            <w:top w:val="none" w:sz="0" w:space="0" w:color="auto"/>
                            <w:left w:val="none" w:sz="0" w:space="0" w:color="auto"/>
                            <w:bottom w:val="single" w:sz="4" w:space="13" w:color="CCCCCC"/>
                            <w:right w:val="none" w:sz="0" w:space="0" w:color="auto"/>
                          </w:divBdr>
                          <w:divsChild>
                            <w:div w:id="3950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884">
      <w:bodyDiv w:val="1"/>
      <w:marLeft w:val="0"/>
      <w:marRight w:val="0"/>
      <w:marTop w:val="0"/>
      <w:marBottom w:val="0"/>
      <w:divBdr>
        <w:top w:val="none" w:sz="0" w:space="0" w:color="auto"/>
        <w:left w:val="none" w:sz="0" w:space="0" w:color="auto"/>
        <w:bottom w:val="none" w:sz="0" w:space="0" w:color="auto"/>
        <w:right w:val="none" w:sz="0" w:space="0" w:color="auto"/>
      </w:divBdr>
    </w:div>
    <w:div w:id="105126284">
      <w:bodyDiv w:val="1"/>
      <w:marLeft w:val="0"/>
      <w:marRight w:val="0"/>
      <w:marTop w:val="0"/>
      <w:marBottom w:val="0"/>
      <w:divBdr>
        <w:top w:val="none" w:sz="0" w:space="0" w:color="auto"/>
        <w:left w:val="none" w:sz="0" w:space="0" w:color="auto"/>
        <w:bottom w:val="none" w:sz="0" w:space="0" w:color="auto"/>
        <w:right w:val="none" w:sz="0" w:space="0" w:color="auto"/>
      </w:divBdr>
      <w:divsChild>
        <w:div w:id="720835545">
          <w:marLeft w:val="0"/>
          <w:marRight w:val="0"/>
          <w:marTop w:val="0"/>
          <w:marBottom w:val="0"/>
          <w:divBdr>
            <w:top w:val="none" w:sz="0" w:space="0" w:color="auto"/>
            <w:left w:val="none" w:sz="0" w:space="0" w:color="auto"/>
            <w:bottom w:val="none" w:sz="0" w:space="0" w:color="auto"/>
            <w:right w:val="none" w:sz="0" w:space="0" w:color="auto"/>
          </w:divBdr>
          <w:divsChild>
            <w:div w:id="1977753113">
              <w:marLeft w:val="0"/>
              <w:marRight w:val="0"/>
              <w:marTop w:val="150"/>
              <w:marBottom w:val="0"/>
              <w:divBdr>
                <w:top w:val="none" w:sz="0" w:space="0" w:color="auto"/>
                <w:left w:val="none" w:sz="0" w:space="0" w:color="auto"/>
                <w:bottom w:val="none" w:sz="0" w:space="0" w:color="auto"/>
                <w:right w:val="none" w:sz="0" w:space="0" w:color="auto"/>
              </w:divBdr>
              <w:divsChild>
                <w:div w:id="1902056416">
                  <w:marLeft w:val="0"/>
                  <w:marRight w:val="0"/>
                  <w:marTop w:val="0"/>
                  <w:marBottom w:val="0"/>
                  <w:divBdr>
                    <w:top w:val="none" w:sz="0" w:space="0" w:color="auto"/>
                    <w:left w:val="none" w:sz="0" w:space="0" w:color="auto"/>
                    <w:bottom w:val="none" w:sz="0" w:space="0" w:color="auto"/>
                    <w:right w:val="none" w:sz="0" w:space="0" w:color="auto"/>
                  </w:divBdr>
                  <w:divsChild>
                    <w:div w:id="27032557">
                      <w:marLeft w:val="0"/>
                      <w:marRight w:val="0"/>
                      <w:marTop w:val="0"/>
                      <w:marBottom w:val="0"/>
                      <w:divBdr>
                        <w:top w:val="none" w:sz="0" w:space="0" w:color="auto"/>
                        <w:left w:val="none" w:sz="0" w:space="0" w:color="auto"/>
                        <w:bottom w:val="none" w:sz="0" w:space="0" w:color="auto"/>
                        <w:right w:val="none" w:sz="0" w:space="0" w:color="auto"/>
                      </w:divBdr>
                      <w:divsChild>
                        <w:div w:id="10594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6703">
      <w:bodyDiv w:val="1"/>
      <w:marLeft w:val="0"/>
      <w:marRight w:val="0"/>
      <w:marTop w:val="0"/>
      <w:marBottom w:val="0"/>
      <w:divBdr>
        <w:top w:val="none" w:sz="0" w:space="0" w:color="auto"/>
        <w:left w:val="none" w:sz="0" w:space="0" w:color="auto"/>
        <w:bottom w:val="none" w:sz="0" w:space="0" w:color="auto"/>
        <w:right w:val="none" w:sz="0" w:space="0" w:color="auto"/>
      </w:divBdr>
      <w:divsChild>
        <w:div w:id="2082094790">
          <w:marLeft w:val="0"/>
          <w:marRight w:val="0"/>
          <w:marTop w:val="0"/>
          <w:marBottom w:val="0"/>
          <w:divBdr>
            <w:top w:val="single" w:sz="2" w:space="0" w:color="ECECEC"/>
            <w:left w:val="single" w:sz="2" w:space="0" w:color="ECECEC"/>
            <w:bottom w:val="single" w:sz="2" w:space="0" w:color="ECECEC"/>
            <w:right w:val="single" w:sz="2" w:space="0" w:color="ECECEC"/>
          </w:divBdr>
          <w:divsChild>
            <w:div w:id="66709685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376733657">
          <w:marLeft w:val="0"/>
          <w:marRight w:val="0"/>
          <w:marTop w:val="0"/>
          <w:marBottom w:val="0"/>
          <w:divBdr>
            <w:top w:val="single" w:sz="2" w:space="0" w:color="ECECEC"/>
            <w:left w:val="single" w:sz="2" w:space="0" w:color="ECECEC"/>
            <w:bottom w:val="single" w:sz="2" w:space="0" w:color="ECECEC"/>
            <w:right w:val="single" w:sz="2" w:space="0" w:color="ECECEC"/>
          </w:divBdr>
        </w:div>
        <w:div w:id="707993250">
          <w:marLeft w:val="0"/>
          <w:marRight w:val="0"/>
          <w:marTop w:val="0"/>
          <w:marBottom w:val="0"/>
          <w:divBdr>
            <w:top w:val="single" w:sz="2" w:space="0" w:color="ECECEC"/>
            <w:left w:val="single" w:sz="2" w:space="0" w:color="ECECEC"/>
            <w:bottom w:val="single" w:sz="2" w:space="0" w:color="ECECEC"/>
            <w:right w:val="single" w:sz="2" w:space="0" w:color="ECECEC"/>
          </w:divBdr>
        </w:div>
        <w:div w:id="119087501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08401169">
      <w:bodyDiv w:val="1"/>
      <w:marLeft w:val="0"/>
      <w:marRight w:val="0"/>
      <w:marTop w:val="0"/>
      <w:marBottom w:val="0"/>
      <w:divBdr>
        <w:top w:val="none" w:sz="0" w:space="0" w:color="auto"/>
        <w:left w:val="none" w:sz="0" w:space="0" w:color="auto"/>
        <w:bottom w:val="none" w:sz="0" w:space="0" w:color="auto"/>
        <w:right w:val="none" w:sz="0" w:space="0" w:color="auto"/>
      </w:divBdr>
    </w:div>
    <w:div w:id="110977131">
      <w:bodyDiv w:val="1"/>
      <w:marLeft w:val="0"/>
      <w:marRight w:val="0"/>
      <w:marTop w:val="0"/>
      <w:marBottom w:val="0"/>
      <w:divBdr>
        <w:top w:val="none" w:sz="0" w:space="0" w:color="auto"/>
        <w:left w:val="none" w:sz="0" w:space="0" w:color="auto"/>
        <w:bottom w:val="none" w:sz="0" w:space="0" w:color="auto"/>
        <w:right w:val="none" w:sz="0" w:space="0" w:color="auto"/>
      </w:divBdr>
      <w:divsChild>
        <w:div w:id="88433314">
          <w:marLeft w:val="150"/>
          <w:marRight w:val="150"/>
          <w:marTop w:val="0"/>
          <w:marBottom w:val="0"/>
          <w:divBdr>
            <w:top w:val="none" w:sz="0" w:space="0" w:color="auto"/>
            <w:left w:val="none" w:sz="0" w:space="0" w:color="auto"/>
            <w:bottom w:val="none" w:sz="0" w:space="0" w:color="auto"/>
            <w:right w:val="none" w:sz="0" w:space="0" w:color="auto"/>
          </w:divBdr>
          <w:divsChild>
            <w:div w:id="380255280">
              <w:marLeft w:val="0"/>
              <w:marRight w:val="0"/>
              <w:marTop w:val="0"/>
              <w:marBottom w:val="0"/>
              <w:divBdr>
                <w:top w:val="none" w:sz="0" w:space="0" w:color="auto"/>
                <w:left w:val="none" w:sz="0" w:space="0" w:color="auto"/>
                <w:bottom w:val="none" w:sz="0" w:space="0" w:color="auto"/>
                <w:right w:val="none" w:sz="0" w:space="0" w:color="auto"/>
              </w:divBdr>
              <w:divsChild>
                <w:div w:id="636683822">
                  <w:marLeft w:val="0"/>
                  <w:marRight w:val="0"/>
                  <w:marTop w:val="0"/>
                  <w:marBottom w:val="0"/>
                  <w:divBdr>
                    <w:top w:val="none" w:sz="0" w:space="0" w:color="auto"/>
                    <w:left w:val="none" w:sz="0" w:space="0" w:color="auto"/>
                    <w:bottom w:val="none" w:sz="0" w:space="0" w:color="auto"/>
                    <w:right w:val="none" w:sz="0" w:space="0" w:color="auto"/>
                  </w:divBdr>
                  <w:divsChild>
                    <w:div w:id="51972344">
                      <w:marLeft w:val="0"/>
                      <w:marRight w:val="0"/>
                      <w:marTop w:val="0"/>
                      <w:marBottom w:val="0"/>
                      <w:divBdr>
                        <w:top w:val="none" w:sz="0" w:space="0" w:color="auto"/>
                        <w:left w:val="none" w:sz="0" w:space="0" w:color="auto"/>
                        <w:bottom w:val="none" w:sz="0" w:space="0" w:color="auto"/>
                        <w:right w:val="none" w:sz="0" w:space="0" w:color="auto"/>
                      </w:divBdr>
                      <w:divsChild>
                        <w:div w:id="414059184">
                          <w:marLeft w:val="0"/>
                          <w:marRight w:val="0"/>
                          <w:marTop w:val="0"/>
                          <w:marBottom w:val="0"/>
                          <w:divBdr>
                            <w:top w:val="none" w:sz="0" w:space="0" w:color="auto"/>
                            <w:left w:val="none" w:sz="0" w:space="0" w:color="auto"/>
                            <w:bottom w:val="none" w:sz="0" w:space="0" w:color="auto"/>
                            <w:right w:val="none" w:sz="0" w:space="0" w:color="auto"/>
                          </w:divBdr>
                          <w:divsChild>
                            <w:div w:id="164630650">
                              <w:marLeft w:val="3000"/>
                              <w:marRight w:val="0"/>
                              <w:marTop w:val="0"/>
                              <w:marBottom w:val="0"/>
                              <w:divBdr>
                                <w:top w:val="none" w:sz="0" w:space="0" w:color="auto"/>
                                <w:left w:val="none" w:sz="0" w:space="0" w:color="auto"/>
                                <w:bottom w:val="none" w:sz="0" w:space="0" w:color="auto"/>
                                <w:right w:val="none" w:sz="0" w:space="0" w:color="auto"/>
                              </w:divBdr>
                              <w:divsChild>
                                <w:div w:id="1852142310">
                                  <w:marLeft w:val="0"/>
                                  <w:marRight w:val="0"/>
                                  <w:marTop w:val="0"/>
                                  <w:marBottom w:val="0"/>
                                  <w:divBdr>
                                    <w:top w:val="none" w:sz="0" w:space="0" w:color="auto"/>
                                    <w:left w:val="none" w:sz="0" w:space="0" w:color="auto"/>
                                    <w:bottom w:val="none" w:sz="0" w:space="0" w:color="auto"/>
                                    <w:right w:val="none" w:sz="0" w:space="0" w:color="auto"/>
                                  </w:divBdr>
                                  <w:divsChild>
                                    <w:div w:id="1412433517">
                                      <w:marLeft w:val="0"/>
                                      <w:marRight w:val="0"/>
                                      <w:marTop w:val="0"/>
                                      <w:marBottom w:val="0"/>
                                      <w:divBdr>
                                        <w:top w:val="none" w:sz="0" w:space="0" w:color="auto"/>
                                        <w:left w:val="none" w:sz="0" w:space="0" w:color="auto"/>
                                        <w:bottom w:val="none" w:sz="0" w:space="0" w:color="auto"/>
                                        <w:right w:val="none" w:sz="0" w:space="0" w:color="auto"/>
                                      </w:divBdr>
                                    </w:div>
                                    <w:div w:id="1242104612">
                                      <w:marLeft w:val="0"/>
                                      <w:marRight w:val="0"/>
                                      <w:marTop w:val="0"/>
                                      <w:marBottom w:val="0"/>
                                      <w:divBdr>
                                        <w:top w:val="none" w:sz="0" w:space="0" w:color="auto"/>
                                        <w:left w:val="none" w:sz="0" w:space="0" w:color="auto"/>
                                        <w:bottom w:val="none" w:sz="0" w:space="0" w:color="auto"/>
                                        <w:right w:val="none" w:sz="0" w:space="0" w:color="auto"/>
                                      </w:divBdr>
                                    </w:div>
                                    <w:div w:id="990644007">
                                      <w:marLeft w:val="0"/>
                                      <w:marRight w:val="0"/>
                                      <w:marTop w:val="0"/>
                                      <w:marBottom w:val="0"/>
                                      <w:divBdr>
                                        <w:top w:val="none" w:sz="0" w:space="0" w:color="auto"/>
                                        <w:left w:val="none" w:sz="0" w:space="0" w:color="auto"/>
                                        <w:bottom w:val="none" w:sz="0" w:space="0" w:color="auto"/>
                                        <w:right w:val="none" w:sz="0" w:space="0" w:color="auto"/>
                                      </w:divBdr>
                                    </w:div>
                                    <w:div w:id="1783068451">
                                      <w:marLeft w:val="0"/>
                                      <w:marRight w:val="0"/>
                                      <w:marTop w:val="0"/>
                                      <w:marBottom w:val="0"/>
                                      <w:divBdr>
                                        <w:top w:val="none" w:sz="0" w:space="0" w:color="auto"/>
                                        <w:left w:val="none" w:sz="0" w:space="0" w:color="auto"/>
                                        <w:bottom w:val="none" w:sz="0" w:space="0" w:color="auto"/>
                                        <w:right w:val="none" w:sz="0" w:space="0" w:color="auto"/>
                                      </w:divBdr>
                                    </w:div>
                                    <w:div w:id="590509515">
                                      <w:marLeft w:val="0"/>
                                      <w:marRight w:val="0"/>
                                      <w:marTop w:val="0"/>
                                      <w:marBottom w:val="0"/>
                                      <w:divBdr>
                                        <w:top w:val="none" w:sz="0" w:space="0" w:color="auto"/>
                                        <w:left w:val="none" w:sz="0" w:space="0" w:color="auto"/>
                                        <w:bottom w:val="none" w:sz="0" w:space="0" w:color="auto"/>
                                        <w:right w:val="none" w:sz="0" w:space="0" w:color="auto"/>
                                      </w:divBdr>
                                    </w:div>
                                    <w:div w:id="675107790">
                                      <w:marLeft w:val="0"/>
                                      <w:marRight w:val="0"/>
                                      <w:marTop w:val="0"/>
                                      <w:marBottom w:val="0"/>
                                      <w:divBdr>
                                        <w:top w:val="none" w:sz="0" w:space="0" w:color="auto"/>
                                        <w:left w:val="none" w:sz="0" w:space="0" w:color="auto"/>
                                        <w:bottom w:val="none" w:sz="0" w:space="0" w:color="auto"/>
                                        <w:right w:val="none" w:sz="0" w:space="0" w:color="auto"/>
                                      </w:divBdr>
                                    </w:div>
                                    <w:div w:id="892889644">
                                      <w:marLeft w:val="0"/>
                                      <w:marRight w:val="0"/>
                                      <w:marTop w:val="0"/>
                                      <w:marBottom w:val="0"/>
                                      <w:divBdr>
                                        <w:top w:val="none" w:sz="0" w:space="0" w:color="auto"/>
                                        <w:left w:val="none" w:sz="0" w:space="0" w:color="auto"/>
                                        <w:bottom w:val="none" w:sz="0" w:space="0" w:color="auto"/>
                                        <w:right w:val="none" w:sz="0" w:space="0" w:color="auto"/>
                                      </w:divBdr>
                                    </w:div>
                                    <w:div w:id="12454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6007">
      <w:bodyDiv w:val="1"/>
      <w:marLeft w:val="0"/>
      <w:marRight w:val="0"/>
      <w:marTop w:val="0"/>
      <w:marBottom w:val="0"/>
      <w:divBdr>
        <w:top w:val="none" w:sz="0" w:space="0" w:color="auto"/>
        <w:left w:val="none" w:sz="0" w:space="0" w:color="auto"/>
        <w:bottom w:val="none" w:sz="0" w:space="0" w:color="auto"/>
        <w:right w:val="none" w:sz="0" w:space="0" w:color="auto"/>
      </w:divBdr>
    </w:div>
    <w:div w:id="115023218">
      <w:bodyDiv w:val="1"/>
      <w:marLeft w:val="0"/>
      <w:marRight w:val="0"/>
      <w:marTop w:val="0"/>
      <w:marBottom w:val="0"/>
      <w:divBdr>
        <w:top w:val="none" w:sz="0" w:space="0" w:color="auto"/>
        <w:left w:val="none" w:sz="0" w:space="0" w:color="auto"/>
        <w:bottom w:val="none" w:sz="0" w:space="0" w:color="auto"/>
        <w:right w:val="none" w:sz="0" w:space="0" w:color="auto"/>
      </w:divBdr>
      <w:divsChild>
        <w:div w:id="2101290761">
          <w:marLeft w:val="0"/>
          <w:marRight w:val="0"/>
          <w:marTop w:val="0"/>
          <w:marBottom w:val="0"/>
          <w:divBdr>
            <w:top w:val="none" w:sz="0" w:space="0" w:color="auto"/>
            <w:left w:val="none" w:sz="0" w:space="0" w:color="auto"/>
            <w:bottom w:val="none" w:sz="0" w:space="0" w:color="auto"/>
            <w:right w:val="none" w:sz="0" w:space="0" w:color="auto"/>
          </w:divBdr>
          <w:divsChild>
            <w:div w:id="1234854879">
              <w:marLeft w:val="0"/>
              <w:marRight w:val="0"/>
              <w:marTop w:val="0"/>
              <w:marBottom w:val="0"/>
              <w:divBdr>
                <w:top w:val="none" w:sz="0" w:space="0" w:color="auto"/>
                <w:left w:val="none" w:sz="0" w:space="0" w:color="auto"/>
                <w:bottom w:val="none" w:sz="0" w:space="0" w:color="auto"/>
                <w:right w:val="none" w:sz="0" w:space="0" w:color="auto"/>
              </w:divBdr>
              <w:divsChild>
                <w:div w:id="256015774">
                  <w:marLeft w:val="0"/>
                  <w:marRight w:val="0"/>
                  <w:marTop w:val="0"/>
                  <w:marBottom w:val="0"/>
                  <w:divBdr>
                    <w:top w:val="none" w:sz="0" w:space="0" w:color="auto"/>
                    <w:left w:val="none" w:sz="0" w:space="0" w:color="auto"/>
                    <w:bottom w:val="none" w:sz="0" w:space="0" w:color="auto"/>
                    <w:right w:val="none" w:sz="0" w:space="0" w:color="auto"/>
                  </w:divBdr>
                  <w:divsChild>
                    <w:div w:id="13564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5917">
      <w:bodyDiv w:val="1"/>
      <w:marLeft w:val="0"/>
      <w:marRight w:val="0"/>
      <w:marTop w:val="0"/>
      <w:marBottom w:val="0"/>
      <w:divBdr>
        <w:top w:val="none" w:sz="0" w:space="0" w:color="auto"/>
        <w:left w:val="none" w:sz="0" w:space="0" w:color="auto"/>
        <w:bottom w:val="none" w:sz="0" w:space="0" w:color="auto"/>
        <w:right w:val="none" w:sz="0" w:space="0" w:color="auto"/>
      </w:divBdr>
      <w:divsChild>
        <w:div w:id="136799576">
          <w:marLeft w:val="0"/>
          <w:marRight w:val="0"/>
          <w:marTop w:val="0"/>
          <w:marBottom w:val="0"/>
          <w:divBdr>
            <w:top w:val="none" w:sz="0" w:space="0" w:color="auto"/>
            <w:left w:val="none" w:sz="0" w:space="0" w:color="auto"/>
            <w:bottom w:val="none" w:sz="0" w:space="0" w:color="auto"/>
            <w:right w:val="none" w:sz="0" w:space="0" w:color="auto"/>
          </w:divBdr>
          <w:divsChild>
            <w:div w:id="1376126763">
              <w:marLeft w:val="0"/>
              <w:marRight w:val="0"/>
              <w:marTop w:val="0"/>
              <w:marBottom w:val="0"/>
              <w:divBdr>
                <w:top w:val="none" w:sz="0" w:space="0" w:color="auto"/>
                <w:left w:val="none" w:sz="0" w:space="0" w:color="auto"/>
                <w:bottom w:val="none" w:sz="0" w:space="0" w:color="auto"/>
                <w:right w:val="none" w:sz="0" w:space="0" w:color="auto"/>
              </w:divBdr>
              <w:divsChild>
                <w:div w:id="1431049840">
                  <w:marLeft w:val="0"/>
                  <w:marRight w:val="0"/>
                  <w:marTop w:val="0"/>
                  <w:marBottom w:val="0"/>
                  <w:divBdr>
                    <w:top w:val="none" w:sz="0" w:space="0" w:color="auto"/>
                    <w:left w:val="none" w:sz="0" w:space="0" w:color="auto"/>
                    <w:bottom w:val="none" w:sz="0" w:space="0" w:color="auto"/>
                    <w:right w:val="none" w:sz="0" w:space="0" w:color="auto"/>
                  </w:divBdr>
                  <w:divsChild>
                    <w:div w:id="933443380">
                      <w:marLeft w:val="0"/>
                      <w:marRight w:val="0"/>
                      <w:marTop w:val="0"/>
                      <w:marBottom w:val="0"/>
                      <w:divBdr>
                        <w:top w:val="none" w:sz="0" w:space="0" w:color="auto"/>
                        <w:left w:val="none" w:sz="0" w:space="0" w:color="auto"/>
                        <w:bottom w:val="none" w:sz="0" w:space="0" w:color="auto"/>
                        <w:right w:val="none" w:sz="0" w:space="0" w:color="auto"/>
                      </w:divBdr>
                      <w:divsChild>
                        <w:div w:id="598686262">
                          <w:marLeft w:val="0"/>
                          <w:marRight w:val="0"/>
                          <w:marTop w:val="0"/>
                          <w:marBottom w:val="0"/>
                          <w:divBdr>
                            <w:top w:val="none" w:sz="0" w:space="0" w:color="auto"/>
                            <w:left w:val="none" w:sz="0" w:space="0" w:color="auto"/>
                            <w:bottom w:val="none" w:sz="0" w:space="0" w:color="auto"/>
                            <w:right w:val="none" w:sz="0" w:space="0" w:color="auto"/>
                          </w:divBdr>
                          <w:divsChild>
                            <w:div w:id="451098939">
                              <w:marLeft w:val="0"/>
                              <w:marRight w:val="0"/>
                              <w:marTop w:val="0"/>
                              <w:marBottom w:val="0"/>
                              <w:divBdr>
                                <w:top w:val="none" w:sz="0" w:space="0" w:color="auto"/>
                                <w:left w:val="none" w:sz="0" w:space="0" w:color="auto"/>
                                <w:bottom w:val="none" w:sz="0" w:space="0" w:color="auto"/>
                                <w:right w:val="none" w:sz="0" w:space="0" w:color="auto"/>
                              </w:divBdr>
                              <w:divsChild>
                                <w:div w:id="2031298940">
                                  <w:marLeft w:val="0"/>
                                  <w:marRight w:val="0"/>
                                  <w:marTop w:val="0"/>
                                  <w:marBottom w:val="0"/>
                                  <w:divBdr>
                                    <w:top w:val="none" w:sz="0" w:space="0" w:color="auto"/>
                                    <w:left w:val="none" w:sz="0" w:space="0" w:color="auto"/>
                                    <w:bottom w:val="none" w:sz="0" w:space="0" w:color="auto"/>
                                    <w:right w:val="none" w:sz="0" w:space="0" w:color="auto"/>
                                  </w:divBdr>
                                  <w:divsChild>
                                    <w:div w:id="1892615285">
                                      <w:marLeft w:val="0"/>
                                      <w:marRight w:val="0"/>
                                      <w:marTop w:val="0"/>
                                      <w:marBottom w:val="0"/>
                                      <w:divBdr>
                                        <w:top w:val="none" w:sz="0" w:space="0" w:color="auto"/>
                                        <w:left w:val="none" w:sz="0" w:space="0" w:color="auto"/>
                                        <w:bottom w:val="none" w:sz="0" w:space="0" w:color="auto"/>
                                        <w:right w:val="none" w:sz="0" w:space="0" w:color="auto"/>
                                      </w:divBdr>
                                      <w:divsChild>
                                        <w:div w:id="1352415482">
                                          <w:marLeft w:val="0"/>
                                          <w:marRight w:val="0"/>
                                          <w:marTop w:val="0"/>
                                          <w:marBottom w:val="0"/>
                                          <w:divBdr>
                                            <w:top w:val="none" w:sz="0" w:space="0" w:color="auto"/>
                                            <w:left w:val="none" w:sz="0" w:space="0" w:color="auto"/>
                                            <w:bottom w:val="none" w:sz="0" w:space="0" w:color="auto"/>
                                            <w:right w:val="none" w:sz="0" w:space="0" w:color="auto"/>
                                          </w:divBdr>
                                        </w:div>
                                        <w:div w:id="1471285483">
                                          <w:marLeft w:val="0"/>
                                          <w:marRight w:val="0"/>
                                          <w:marTop w:val="0"/>
                                          <w:marBottom w:val="0"/>
                                          <w:divBdr>
                                            <w:top w:val="none" w:sz="0" w:space="0" w:color="auto"/>
                                            <w:left w:val="none" w:sz="0" w:space="0" w:color="auto"/>
                                            <w:bottom w:val="none" w:sz="0" w:space="0" w:color="auto"/>
                                            <w:right w:val="none" w:sz="0" w:space="0" w:color="auto"/>
                                          </w:divBdr>
                                          <w:divsChild>
                                            <w:div w:id="1585803586">
                                              <w:marLeft w:val="0"/>
                                              <w:marRight w:val="0"/>
                                              <w:marTop w:val="0"/>
                                              <w:marBottom w:val="0"/>
                                              <w:divBdr>
                                                <w:top w:val="none" w:sz="0" w:space="0" w:color="auto"/>
                                                <w:left w:val="none" w:sz="0" w:space="0" w:color="auto"/>
                                                <w:bottom w:val="none" w:sz="0" w:space="0" w:color="auto"/>
                                                <w:right w:val="none" w:sz="0" w:space="0" w:color="auto"/>
                                              </w:divBdr>
                                            </w:div>
                                            <w:div w:id="372778562">
                                              <w:marLeft w:val="0"/>
                                              <w:marRight w:val="0"/>
                                              <w:marTop w:val="0"/>
                                              <w:marBottom w:val="0"/>
                                              <w:divBdr>
                                                <w:top w:val="none" w:sz="0" w:space="0" w:color="auto"/>
                                                <w:left w:val="none" w:sz="0" w:space="0" w:color="auto"/>
                                                <w:bottom w:val="none" w:sz="0" w:space="0" w:color="auto"/>
                                                <w:right w:val="none" w:sz="0" w:space="0" w:color="auto"/>
                                              </w:divBdr>
                                            </w:div>
                                          </w:divsChild>
                                        </w:div>
                                        <w:div w:id="546336191">
                                          <w:marLeft w:val="0"/>
                                          <w:marRight w:val="0"/>
                                          <w:marTop w:val="0"/>
                                          <w:marBottom w:val="0"/>
                                          <w:divBdr>
                                            <w:top w:val="none" w:sz="0" w:space="0" w:color="auto"/>
                                            <w:left w:val="none" w:sz="0" w:space="0" w:color="auto"/>
                                            <w:bottom w:val="none" w:sz="0" w:space="0" w:color="auto"/>
                                            <w:right w:val="none" w:sz="0" w:space="0" w:color="auto"/>
                                          </w:divBdr>
                                        </w:div>
                                        <w:div w:id="1889219325">
                                          <w:marLeft w:val="0"/>
                                          <w:marRight w:val="0"/>
                                          <w:marTop w:val="0"/>
                                          <w:marBottom w:val="0"/>
                                          <w:divBdr>
                                            <w:top w:val="none" w:sz="0" w:space="0" w:color="auto"/>
                                            <w:left w:val="none" w:sz="0" w:space="0" w:color="auto"/>
                                            <w:bottom w:val="none" w:sz="0" w:space="0" w:color="auto"/>
                                            <w:right w:val="none" w:sz="0" w:space="0" w:color="auto"/>
                                          </w:divBdr>
                                        </w:div>
                                        <w:div w:id="691418442">
                                          <w:marLeft w:val="0"/>
                                          <w:marRight w:val="0"/>
                                          <w:marTop w:val="0"/>
                                          <w:marBottom w:val="0"/>
                                          <w:divBdr>
                                            <w:top w:val="none" w:sz="0" w:space="0" w:color="auto"/>
                                            <w:left w:val="none" w:sz="0" w:space="0" w:color="auto"/>
                                            <w:bottom w:val="none" w:sz="0" w:space="0" w:color="auto"/>
                                            <w:right w:val="none" w:sz="0" w:space="0" w:color="auto"/>
                                          </w:divBdr>
                                          <w:divsChild>
                                            <w:div w:id="163402265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96814">
      <w:bodyDiv w:val="1"/>
      <w:marLeft w:val="0"/>
      <w:marRight w:val="0"/>
      <w:marTop w:val="0"/>
      <w:marBottom w:val="0"/>
      <w:divBdr>
        <w:top w:val="none" w:sz="0" w:space="0" w:color="auto"/>
        <w:left w:val="none" w:sz="0" w:space="0" w:color="auto"/>
        <w:bottom w:val="none" w:sz="0" w:space="0" w:color="auto"/>
        <w:right w:val="none" w:sz="0" w:space="0" w:color="auto"/>
      </w:divBdr>
    </w:div>
    <w:div w:id="118030836">
      <w:bodyDiv w:val="1"/>
      <w:marLeft w:val="0"/>
      <w:marRight w:val="0"/>
      <w:marTop w:val="0"/>
      <w:marBottom w:val="0"/>
      <w:divBdr>
        <w:top w:val="none" w:sz="0" w:space="0" w:color="auto"/>
        <w:left w:val="none" w:sz="0" w:space="0" w:color="auto"/>
        <w:bottom w:val="none" w:sz="0" w:space="0" w:color="auto"/>
        <w:right w:val="none" w:sz="0" w:space="0" w:color="auto"/>
      </w:divBdr>
      <w:divsChild>
        <w:div w:id="143787965">
          <w:marLeft w:val="-225"/>
          <w:marRight w:val="0"/>
          <w:marTop w:val="0"/>
          <w:marBottom w:val="0"/>
          <w:divBdr>
            <w:top w:val="none" w:sz="0" w:space="0" w:color="auto"/>
            <w:left w:val="none" w:sz="0" w:space="0" w:color="auto"/>
            <w:bottom w:val="none" w:sz="0" w:space="0" w:color="auto"/>
            <w:right w:val="none" w:sz="0" w:space="0" w:color="auto"/>
          </w:divBdr>
          <w:divsChild>
            <w:div w:id="953903238">
              <w:marLeft w:val="0"/>
              <w:marRight w:val="0"/>
              <w:marTop w:val="0"/>
              <w:marBottom w:val="0"/>
              <w:divBdr>
                <w:top w:val="none" w:sz="0" w:space="0" w:color="auto"/>
                <w:left w:val="none" w:sz="0" w:space="0" w:color="auto"/>
                <w:bottom w:val="none" w:sz="0" w:space="0" w:color="auto"/>
                <w:right w:val="none" w:sz="0" w:space="0" w:color="auto"/>
              </w:divBdr>
            </w:div>
          </w:divsChild>
        </w:div>
        <w:div w:id="1003124711">
          <w:marLeft w:val="0"/>
          <w:marRight w:val="0"/>
          <w:marTop w:val="0"/>
          <w:marBottom w:val="0"/>
          <w:divBdr>
            <w:top w:val="none" w:sz="0" w:space="0" w:color="auto"/>
            <w:left w:val="none" w:sz="0" w:space="0" w:color="auto"/>
            <w:bottom w:val="none" w:sz="0" w:space="0" w:color="auto"/>
            <w:right w:val="none" w:sz="0" w:space="0" w:color="auto"/>
          </w:divBdr>
          <w:divsChild>
            <w:div w:id="60104447">
              <w:marLeft w:val="0"/>
              <w:marRight w:val="0"/>
              <w:marTop w:val="150"/>
              <w:marBottom w:val="0"/>
              <w:divBdr>
                <w:top w:val="none" w:sz="0" w:space="0" w:color="auto"/>
                <w:left w:val="none" w:sz="0" w:space="0" w:color="auto"/>
                <w:bottom w:val="none" w:sz="0" w:space="0" w:color="auto"/>
                <w:right w:val="none" w:sz="0" w:space="0" w:color="auto"/>
              </w:divBdr>
              <w:divsChild>
                <w:div w:id="1538156510">
                  <w:marLeft w:val="0"/>
                  <w:marRight w:val="257"/>
                  <w:marTop w:val="0"/>
                  <w:marBottom w:val="257"/>
                  <w:divBdr>
                    <w:top w:val="none" w:sz="0" w:space="0" w:color="auto"/>
                    <w:left w:val="none" w:sz="0" w:space="0" w:color="auto"/>
                    <w:bottom w:val="none" w:sz="0" w:space="0" w:color="auto"/>
                    <w:right w:val="none" w:sz="0" w:space="0" w:color="auto"/>
                  </w:divBdr>
                </w:div>
                <w:div w:id="1280994461">
                  <w:marLeft w:val="0"/>
                  <w:marRight w:val="0"/>
                  <w:marTop w:val="0"/>
                  <w:marBottom w:val="0"/>
                  <w:divBdr>
                    <w:top w:val="none" w:sz="0" w:space="0" w:color="auto"/>
                    <w:left w:val="none" w:sz="0" w:space="0" w:color="auto"/>
                    <w:bottom w:val="none" w:sz="0" w:space="0" w:color="auto"/>
                    <w:right w:val="none" w:sz="0" w:space="0" w:color="auto"/>
                  </w:divBdr>
                </w:div>
                <w:div w:id="18734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6034">
      <w:bodyDiv w:val="1"/>
      <w:marLeft w:val="0"/>
      <w:marRight w:val="0"/>
      <w:marTop w:val="0"/>
      <w:marBottom w:val="0"/>
      <w:divBdr>
        <w:top w:val="none" w:sz="0" w:space="0" w:color="auto"/>
        <w:left w:val="none" w:sz="0" w:space="0" w:color="auto"/>
        <w:bottom w:val="none" w:sz="0" w:space="0" w:color="auto"/>
        <w:right w:val="none" w:sz="0" w:space="0" w:color="auto"/>
      </w:divBdr>
      <w:divsChild>
        <w:div w:id="473259081">
          <w:marLeft w:val="0"/>
          <w:marRight w:val="0"/>
          <w:marTop w:val="0"/>
          <w:marBottom w:val="0"/>
          <w:divBdr>
            <w:top w:val="none" w:sz="0" w:space="0" w:color="auto"/>
            <w:left w:val="none" w:sz="0" w:space="0" w:color="auto"/>
            <w:bottom w:val="none" w:sz="0" w:space="0" w:color="auto"/>
            <w:right w:val="none" w:sz="0" w:space="0" w:color="auto"/>
          </w:divBdr>
          <w:divsChild>
            <w:div w:id="822740713">
              <w:marLeft w:val="0"/>
              <w:marRight w:val="0"/>
              <w:marTop w:val="0"/>
              <w:marBottom w:val="0"/>
              <w:divBdr>
                <w:top w:val="none" w:sz="0" w:space="0" w:color="auto"/>
                <w:left w:val="none" w:sz="0" w:space="0" w:color="auto"/>
                <w:bottom w:val="none" w:sz="0" w:space="0" w:color="auto"/>
                <w:right w:val="none" w:sz="0" w:space="0" w:color="auto"/>
              </w:divBdr>
              <w:divsChild>
                <w:div w:id="922687651">
                  <w:marLeft w:val="0"/>
                  <w:marRight w:val="0"/>
                  <w:marTop w:val="0"/>
                  <w:marBottom w:val="0"/>
                  <w:divBdr>
                    <w:top w:val="none" w:sz="0" w:space="0" w:color="auto"/>
                    <w:left w:val="none" w:sz="0" w:space="0" w:color="auto"/>
                    <w:bottom w:val="none" w:sz="0" w:space="0" w:color="auto"/>
                    <w:right w:val="none" w:sz="0" w:space="0" w:color="auto"/>
                  </w:divBdr>
                  <w:divsChild>
                    <w:div w:id="915550903">
                      <w:marLeft w:val="0"/>
                      <w:marRight w:val="0"/>
                      <w:marTop w:val="0"/>
                      <w:marBottom w:val="0"/>
                      <w:divBdr>
                        <w:top w:val="none" w:sz="0" w:space="0" w:color="auto"/>
                        <w:left w:val="none" w:sz="0" w:space="0" w:color="auto"/>
                        <w:bottom w:val="none" w:sz="0" w:space="0" w:color="auto"/>
                        <w:right w:val="none" w:sz="0" w:space="0" w:color="auto"/>
                      </w:divBdr>
                      <w:divsChild>
                        <w:div w:id="677002202">
                          <w:marLeft w:val="0"/>
                          <w:marRight w:val="0"/>
                          <w:marTop w:val="0"/>
                          <w:marBottom w:val="0"/>
                          <w:divBdr>
                            <w:top w:val="none" w:sz="0" w:space="0" w:color="auto"/>
                            <w:left w:val="none" w:sz="0" w:space="0" w:color="auto"/>
                            <w:bottom w:val="single" w:sz="6" w:space="15" w:color="CCCCCC"/>
                            <w:right w:val="none" w:sz="0" w:space="0" w:color="auto"/>
                          </w:divBdr>
                          <w:divsChild>
                            <w:div w:id="1495222154">
                              <w:marLeft w:val="0"/>
                              <w:marRight w:val="0"/>
                              <w:marTop w:val="0"/>
                              <w:marBottom w:val="300"/>
                              <w:divBdr>
                                <w:top w:val="none" w:sz="0" w:space="0" w:color="auto"/>
                                <w:left w:val="none" w:sz="0" w:space="0" w:color="auto"/>
                                <w:bottom w:val="none" w:sz="0" w:space="0" w:color="auto"/>
                                <w:right w:val="none" w:sz="0" w:space="0" w:color="auto"/>
                              </w:divBdr>
                              <w:divsChild>
                                <w:div w:id="1298603336">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19111364">
      <w:bodyDiv w:val="1"/>
      <w:marLeft w:val="0"/>
      <w:marRight w:val="0"/>
      <w:marTop w:val="0"/>
      <w:marBottom w:val="0"/>
      <w:divBdr>
        <w:top w:val="none" w:sz="0" w:space="0" w:color="auto"/>
        <w:left w:val="none" w:sz="0" w:space="0" w:color="auto"/>
        <w:bottom w:val="none" w:sz="0" w:space="0" w:color="auto"/>
        <w:right w:val="none" w:sz="0" w:space="0" w:color="auto"/>
      </w:divBdr>
    </w:div>
    <w:div w:id="119610271">
      <w:bodyDiv w:val="1"/>
      <w:marLeft w:val="0"/>
      <w:marRight w:val="0"/>
      <w:marTop w:val="0"/>
      <w:marBottom w:val="0"/>
      <w:divBdr>
        <w:top w:val="none" w:sz="0" w:space="0" w:color="auto"/>
        <w:left w:val="none" w:sz="0" w:space="0" w:color="auto"/>
        <w:bottom w:val="none" w:sz="0" w:space="0" w:color="auto"/>
        <w:right w:val="none" w:sz="0" w:space="0" w:color="auto"/>
      </w:divBdr>
      <w:divsChild>
        <w:div w:id="71128003">
          <w:marLeft w:val="0"/>
          <w:marRight w:val="0"/>
          <w:marTop w:val="0"/>
          <w:marBottom w:val="0"/>
          <w:divBdr>
            <w:top w:val="none" w:sz="0" w:space="0" w:color="auto"/>
            <w:left w:val="none" w:sz="0" w:space="0" w:color="auto"/>
            <w:bottom w:val="none" w:sz="0" w:space="0" w:color="auto"/>
            <w:right w:val="none" w:sz="0" w:space="0" w:color="auto"/>
          </w:divBdr>
          <w:divsChild>
            <w:div w:id="1672374042">
              <w:marLeft w:val="0"/>
              <w:marRight w:val="0"/>
              <w:marTop w:val="0"/>
              <w:marBottom w:val="0"/>
              <w:divBdr>
                <w:top w:val="none" w:sz="0" w:space="0" w:color="auto"/>
                <w:left w:val="none" w:sz="0" w:space="0" w:color="auto"/>
                <w:bottom w:val="none" w:sz="0" w:space="0" w:color="auto"/>
                <w:right w:val="none" w:sz="0" w:space="0" w:color="auto"/>
              </w:divBdr>
              <w:divsChild>
                <w:div w:id="211428801">
                  <w:marLeft w:val="0"/>
                  <w:marRight w:val="0"/>
                  <w:marTop w:val="0"/>
                  <w:marBottom w:val="0"/>
                  <w:divBdr>
                    <w:top w:val="none" w:sz="0" w:space="0" w:color="auto"/>
                    <w:left w:val="none" w:sz="0" w:space="0" w:color="auto"/>
                    <w:bottom w:val="none" w:sz="0" w:space="0" w:color="auto"/>
                    <w:right w:val="none" w:sz="0" w:space="0" w:color="auto"/>
                  </w:divBdr>
                  <w:divsChild>
                    <w:div w:id="67389879">
                      <w:marLeft w:val="0"/>
                      <w:marRight w:val="0"/>
                      <w:marTop w:val="0"/>
                      <w:marBottom w:val="0"/>
                      <w:divBdr>
                        <w:top w:val="none" w:sz="0" w:space="0" w:color="auto"/>
                        <w:left w:val="none" w:sz="0" w:space="0" w:color="auto"/>
                        <w:bottom w:val="none" w:sz="0" w:space="0" w:color="auto"/>
                        <w:right w:val="none" w:sz="0" w:space="0" w:color="auto"/>
                      </w:divBdr>
                      <w:divsChild>
                        <w:div w:id="16656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382">
      <w:bodyDiv w:val="1"/>
      <w:marLeft w:val="0"/>
      <w:marRight w:val="0"/>
      <w:marTop w:val="0"/>
      <w:marBottom w:val="0"/>
      <w:divBdr>
        <w:top w:val="none" w:sz="0" w:space="0" w:color="auto"/>
        <w:left w:val="none" w:sz="0" w:space="0" w:color="auto"/>
        <w:bottom w:val="none" w:sz="0" w:space="0" w:color="auto"/>
        <w:right w:val="none" w:sz="0" w:space="0" w:color="auto"/>
      </w:divBdr>
      <w:divsChild>
        <w:div w:id="1993631711">
          <w:marLeft w:val="0"/>
          <w:marRight w:val="0"/>
          <w:marTop w:val="0"/>
          <w:marBottom w:val="0"/>
          <w:divBdr>
            <w:top w:val="none" w:sz="0" w:space="0" w:color="auto"/>
            <w:left w:val="none" w:sz="0" w:space="0" w:color="auto"/>
            <w:bottom w:val="none" w:sz="0" w:space="0" w:color="auto"/>
            <w:right w:val="none" w:sz="0" w:space="0" w:color="auto"/>
          </w:divBdr>
          <w:divsChild>
            <w:div w:id="1470317292">
              <w:marLeft w:val="0"/>
              <w:marRight w:val="0"/>
              <w:marTop w:val="0"/>
              <w:marBottom w:val="0"/>
              <w:divBdr>
                <w:top w:val="none" w:sz="0" w:space="0" w:color="auto"/>
                <w:left w:val="none" w:sz="0" w:space="0" w:color="auto"/>
                <w:bottom w:val="none" w:sz="0" w:space="0" w:color="auto"/>
                <w:right w:val="none" w:sz="0" w:space="0" w:color="auto"/>
              </w:divBdr>
              <w:divsChild>
                <w:div w:id="822699604">
                  <w:marLeft w:val="0"/>
                  <w:marRight w:val="0"/>
                  <w:marTop w:val="0"/>
                  <w:marBottom w:val="0"/>
                  <w:divBdr>
                    <w:top w:val="none" w:sz="0" w:space="0" w:color="auto"/>
                    <w:left w:val="none" w:sz="0" w:space="0" w:color="auto"/>
                    <w:bottom w:val="none" w:sz="0" w:space="0" w:color="auto"/>
                    <w:right w:val="none" w:sz="0" w:space="0" w:color="auto"/>
                  </w:divBdr>
                  <w:divsChild>
                    <w:div w:id="1245727584">
                      <w:marLeft w:val="0"/>
                      <w:marRight w:val="0"/>
                      <w:marTop w:val="0"/>
                      <w:marBottom w:val="0"/>
                      <w:divBdr>
                        <w:top w:val="none" w:sz="0" w:space="0" w:color="auto"/>
                        <w:left w:val="none" w:sz="0" w:space="0" w:color="auto"/>
                        <w:bottom w:val="none" w:sz="0" w:space="0" w:color="auto"/>
                        <w:right w:val="none" w:sz="0" w:space="0" w:color="auto"/>
                      </w:divBdr>
                      <w:divsChild>
                        <w:div w:id="1133862381">
                          <w:marLeft w:val="0"/>
                          <w:marRight w:val="0"/>
                          <w:marTop w:val="0"/>
                          <w:marBottom w:val="0"/>
                          <w:divBdr>
                            <w:top w:val="none" w:sz="0" w:space="0" w:color="auto"/>
                            <w:left w:val="none" w:sz="0" w:space="0" w:color="auto"/>
                            <w:bottom w:val="none" w:sz="0" w:space="0" w:color="auto"/>
                            <w:right w:val="none" w:sz="0" w:space="0" w:color="auto"/>
                          </w:divBdr>
                        </w:div>
                        <w:div w:id="332878726">
                          <w:marLeft w:val="0"/>
                          <w:marRight w:val="0"/>
                          <w:marTop w:val="0"/>
                          <w:marBottom w:val="0"/>
                          <w:divBdr>
                            <w:top w:val="none" w:sz="0" w:space="0" w:color="auto"/>
                            <w:left w:val="none" w:sz="0" w:space="0" w:color="auto"/>
                            <w:bottom w:val="none" w:sz="0" w:space="0" w:color="auto"/>
                            <w:right w:val="none" w:sz="0" w:space="0" w:color="auto"/>
                          </w:divBdr>
                          <w:divsChild>
                            <w:div w:id="1707607725">
                              <w:marLeft w:val="0"/>
                              <w:marRight w:val="0"/>
                              <w:marTop w:val="0"/>
                              <w:marBottom w:val="0"/>
                              <w:divBdr>
                                <w:top w:val="none" w:sz="0" w:space="0" w:color="auto"/>
                                <w:left w:val="none" w:sz="0" w:space="0" w:color="auto"/>
                                <w:bottom w:val="none" w:sz="0" w:space="0" w:color="auto"/>
                                <w:right w:val="none" w:sz="0" w:space="0" w:color="auto"/>
                              </w:divBdr>
                              <w:divsChild>
                                <w:div w:id="2071539057">
                                  <w:marLeft w:val="0"/>
                                  <w:marRight w:val="0"/>
                                  <w:marTop w:val="0"/>
                                  <w:marBottom w:val="0"/>
                                  <w:divBdr>
                                    <w:top w:val="none" w:sz="0" w:space="0" w:color="auto"/>
                                    <w:left w:val="none" w:sz="0" w:space="0" w:color="auto"/>
                                    <w:bottom w:val="none" w:sz="0" w:space="0" w:color="auto"/>
                                    <w:right w:val="none" w:sz="0" w:space="0" w:color="auto"/>
                                  </w:divBdr>
                                  <w:divsChild>
                                    <w:div w:id="1880118422">
                                      <w:marLeft w:val="0"/>
                                      <w:marRight w:val="0"/>
                                      <w:marTop w:val="225"/>
                                      <w:marBottom w:val="0"/>
                                      <w:divBdr>
                                        <w:top w:val="single" w:sz="6" w:space="11" w:color="DDDDDD"/>
                                        <w:left w:val="none" w:sz="0" w:space="0" w:color="auto"/>
                                        <w:bottom w:val="none" w:sz="0" w:space="0" w:color="auto"/>
                                        <w:right w:val="none" w:sz="0" w:space="0" w:color="auto"/>
                                      </w:divBdr>
                                    </w:div>
                                    <w:div w:id="276760581">
                                      <w:marLeft w:val="0"/>
                                      <w:marRight w:val="0"/>
                                      <w:marTop w:val="225"/>
                                      <w:marBottom w:val="0"/>
                                      <w:divBdr>
                                        <w:top w:val="single" w:sz="6" w:space="11" w:color="DDDDDD"/>
                                        <w:left w:val="none" w:sz="0" w:space="0" w:color="auto"/>
                                        <w:bottom w:val="none" w:sz="0" w:space="0" w:color="auto"/>
                                        <w:right w:val="none" w:sz="0" w:space="0" w:color="auto"/>
                                      </w:divBdr>
                                    </w:div>
                                    <w:div w:id="691151134">
                                      <w:marLeft w:val="0"/>
                                      <w:marRight w:val="0"/>
                                      <w:marTop w:val="225"/>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sChild>
            </w:div>
          </w:divsChild>
        </w:div>
      </w:divsChild>
    </w:div>
    <w:div w:id="121966179">
      <w:bodyDiv w:val="1"/>
      <w:marLeft w:val="0"/>
      <w:marRight w:val="0"/>
      <w:marTop w:val="0"/>
      <w:marBottom w:val="0"/>
      <w:divBdr>
        <w:top w:val="none" w:sz="0" w:space="0" w:color="auto"/>
        <w:left w:val="none" w:sz="0" w:space="0" w:color="auto"/>
        <w:bottom w:val="none" w:sz="0" w:space="0" w:color="auto"/>
        <w:right w:val="none" w:sz="0" w:space="0" w:color="auto"/>
      </w:divBdr>
      <w:divsChild>
        <w:div w:id="1549105761">
          <w:marLeft w:val="0"/>
          <w:marRight w:val="0"/>
          <w:marTop w:val="0"/>
          <w:marBottom w:val="0"/>
          <w:divBdr>
            <w:top w:val="none" w:sz="0" w:space="0" w:color="auto"/>
            <w:left w:val="single" w:sz="6" w:space="15" w:color="B4B4B4"/>
            <w:bottom w:val="single" w:sz="6" w:space="0" w:color="B4B4B4"/>
            <w:right w:val="single" w:sz="6" w:space="15" w:color="B4B4B4"/>
          </w:divBdr>
          <w:divsChild>
            <w:div w:id="91779266">
              <w:marLeft w:val="0"/>
              <w:marRight w:val="0"/>
              <w:marTop w:val="0"/>
              <w:marBottom w:val="0"/>
              <w:divBdr>
                <w:top w:val="none" w:sz="0" w:space="0" w:color="auto"/>
                <w:left w:val="none" w:sz="0" w:space="0" w:color="auto"/>
                <w:bottom w:val="none" w:sz="0" w:space="0" w:color="auto"/>
                <w:right w:val="none" w:sz="0" w:space="0" w:color="auto"/>
              </w:divBdr>
              <w:divsChild>
                <w:div w:id="1172184693">
                  <w:marLeft w:val="-300"/>
                  <w:marRight w:val="0"/>
                  <w:marTop w:val="0"/>
                  <w:marBottom w:val="0"/>
                  <w:divBdr>
                    <w:top w:val="none" w:sz="0" w:space="0" w:color="auto"/>
                    <w:left w:val="none" w:sz="0" w:space="0" w:color="auto"/>
                    <w:bottom w:val="none" w:sz="0" w:space="0" w:color="auto"/>
                    <w:right w:val="none" w:sz="0" w:space="0" w:color="auto"/>
                  </w:divBdr>
                  <w:divsChild>
                    <w:div w:id="1030836622">
                      <w:marLeft w:val="0"/>
                      <w:marRight w:val="0"/>
                      <w:marTop w:val="0"/>
                      <w:marBottom w:val="0"/>
                      <w:divBdr>
                        <w:top w:val="none" w:sz="0" w:space="0" w:color="auto"/>
                        <w:left w:val="none" w:sz="0" w:space="0" w:color="auto"/>
                        <w:bottom w:val="none" w:sz="0" w:space="0" w:color="auto"/>
                        <w:right w:val="none" w:sz="0" w:space="0" w:color="auto"/>
                      </w:divBdr>
                      <w:divsChild>
                        <w:div w:id="745953481">
                          <w:marLeft w:val="-300"/>
                          <w:marRight w:val="0"/>
                          <w:marTop w:val="0"/>
                          <w:marBottom w:val="0"/>
                          <w:divBdr>
                            <w:top w:val="none" w:sz="0" w:space="0" w:color="auto"/>
                            <w:left w:val="none" w:sz="0" w:space="0" w:color="auto"/>
                            <w:bottom w:val="none" w:sz="0" w:space="0" w:color="auto"/>
                            <w:right w:val="none" w:sz="0" w:space="0" w:color="auto"/>
                          </w:divBdr>
                          <w:divsChild>
                            <w:div w:id="684794863">
                              <w:marLeft w:val="0"/>
                              <w:marRight w:val="0"/>
                              <w:marTop w:val="0"/>
                              <w:marBottom w:val="0"/>
                              <w:divBdr>
                                <w:top w:val="none" w:sz="0" w:space="0" w:color="auto"/>
                                <w:left w:val="none" w:sz="0" w:space="0" w:color="auto"/>
                                <w:bottom w:val="none" w:sz="0" w:space="0" w:color="auto"/>
                                <w:right w:val="none" w:sz="0" w:space="0" w:color="auto"/>
                              </w:divBdr>
                              <w:divsChild>
                                <w:div w:id="1264875739">
                                  <w:marLeft w:val="0"/>
                                  <w:marRight w:val="0"/>
                                  <w:marTop w:val="0"/>
                                  <w:marBottom w:val="0"/>
                                  <w:divBdr>
                                    <w:top w:val="none" w:sz="0" w:space="0" w:color="auto"/>
                                    <w:left w:val="none" w:sz="0" w:space="0" w:color="auto"/>
                                    <w:bottom w:val="none" w:sz="0" w:space="0" w:color="auto"/>
                                    <w:right w:val="none" w:sz="0" w:space="0" w:color="auto"/>
                                  </w:divBdr>
                                  <w:divsChild>
                                    <w:div w:id="168641082">
                                      <w:marLeft w:val="0"/>
                                      <w:marRight w:val="0"/>
                                      <w:marTop w:val="0"/>
                                      <w:marBottom w:val="0"/>
                                      <w:divBdr>
                                        <w:top w:val="none" w:sz="0" w:space="0" w:color="auto"/>
                                        <w:left w:val="none" w:sz="0" w:space="0" w:color="auto"/>
                                        <w:bottom w:val="none" w:sz="0" w:space="0" w:color="auto"/>
                                        <w:right w:val="none" w:sz="0" w:space="0" w:color="auto"/>
                                      </w:divBdr>
                                      <w:divsChild>
                                        <w:div w:id="976954591">
                                          <w:marLeft w:val="0"/>
                                          <w:marRight w:val="0"/>
                                          <w:marTop w:val="0"/>
                                          <w:marBottom w:val="0"/>
                                          <w:divBdr>
                                            <w:top w:val="none" w:sz="0" w:space="0" w:color="auto"/>
                                            <w:left w:val="none" w:sz="0" w:space="0" w:color="auto"/>
                                            <w:bottom w:val="none" w:sz="0" w:space="0" w:color="auto"/>
                                            <w:right w:val="none" w:sz="0" w:space="0" w:color="auto"/>
                                          </w:divBdr>
                                          <w:divsChild>
                                            <w:div w:id="1945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04821">
      <w:bodyDiv w:val="1"/>
      <w:marLeft w:val="0"/>
      <w:marRight w:val="0"/>
      <w:marTop w:val="0"/>
      <w:marBottom w:val="0"/>
      <w:divBdr>
        <w:top w:val="none" w:sz="0" w:space="0" w:color="auto"/>
        <w:left w:val="none" w:sz="0" w:space="0" w:color="auto"/>
        <w:bottom w:val="none" w:sz="0" w:space="0" w:color="auto"/>
        <w:right w:val="none" w:sz="0" w:space="0" w:color="auto"/>
      </w:divBdr>
    </w:div>
    <w:div w:id="124275168">
      <w:bodyDiv w:val="1"/>
      <w:marLeft w:val="0"/>
      <w:marRight w:val="0"/>
      <w:marTop w:val="0"/>
      <w:marBottom w:val="0"/>
      <w:divBdr>
        <w:top w:val="none" w:sz="0" w:space="0" w:color="auto"/>
        <w:left w:val="none" w:sz="0" w:space="0" w:color="auto"/>
        <w:bottom w:val="none" w:sz="0" w:space="0" w:color="auto"/>
        <w:right w:val="none" w:sz="0" w:space="0" w:color="auto"/>
      </w:divBdr>
      <w:divsChild>
        <w:div w:id="1497842176">
          <w:marLeft w:val="0"/>
          <w:marRight w:val="0"/>
          <w:marTop w:val="0"/>
          <w:marBottom w:val="0"/>
          <w:divBdr>
            <w:top w:val="none" w:sz="0" w:space="0" w:color="auto"/>
            <w:left w:val="none" w:sz="0" w:space="0" w:color="auto"/>
            <w:bottom w:val="none" w:sz="0" w:space="0" w:color="auto"/>
            <w:right w:val="none" w:sz="0" w:space="0" w:color="auto"/>
          </w:divBdr>
          <w:divsChild>
            <w:div w:id="190803151">
              <w:marLeft w:val="0"/>
              <w:marRight w:val="0"/>
              <w:marTop w:val="0"/>
              <w:marBottom w:val="0"/>
              <w:divBdr>
                <w:top w:val="none" w:sz="0" w:space="0" w:color="auto"/>
                <w:left w:val="none" w:sz="0" w:space="0" w:color="auto"/>
                <w:bottom w:val="none" w:sz="0" w:space="0" w:color="auto"/>
                <w:right w:val="none" w:sz="0" w:space="0" w:color="auto"/>
              </w:divBdr>
              <w:divsChild>
                <w:div w:id="1750469343">
                  <w:marLeft w:val="0"/>
                  <w:marRight w:val="0"/>
                  <w:marTop w:val="0"/>
                  <w:marBottom w:val="0"/>
                  <w:divBdr>
                    <w:top w:val="none" w:sz="0" w:space="0" w:color="auto"/>
                    <w:left w:val="none" w:sz="0" w:space="0" w:color="auto"/>
                    <w:bottom w:val="none" w:sz="0" w:space="0" w:color="auto"/>
                    <w:right w:val="none" w:sz="0" w:space="0" w:color="auto"/>
                  </w:divBdr>
                  <w:divsChild>
                    <w:div w:id="617949696">
                      <w:marLeft w:val="-225"/>
                      <w:marRight w:val="-225"/>
                      <w:marTop w:val="0"/>
                      <w:marBottom w:val="0"/>
                      <w:divBdr>
                        <w:top w:val="none" w:sz="0" w:space="0" w:color="auto"/>
                        <w:left w:val="none" w:sz="0" w:space="0" w:color="auto"/>
                        <w:bottom w:val="none" w:sz="0" w:space="0" w:color="auto"/>
                        <w:right w:val="none" w:sz="0" w:space="0" w:color="auto"/>
                      </w:divBdr>
                      <w:divsChild>
                        <w:div w:id="338511157">
                          <w:marLeft w:val="0"/>
                          <w:marRight w:val="0"/>
                          <w:marTop w:val="0"/>
                          <w:marBottom w:val="0"/>
                          <w:divBdr>
                            <w:top w:val="none" w:sz="0" w:space="0" w:color="auto"/>
                            <w:left w:val="none" w:sz="0" w:space="0" w:color="auto"/>
                            <w:bottom w:val="none" w:sz="0" w:space="0" w:color="auto"/>
                            <w:right w:val="none" w:sz="0" w:space="0" w:color="auto"/>
                          </w:divBdr>
                          <w:divsChild>
                            <w:div w:id="4291610">
                              <w:marLeft w:val="0"/>
                              <w:marRight w:val="0"/>
                              <w:marTop w:val="0"/>
                              <w:marBottom w:val="0"/>
                              <w:divBdr>
                                <w:top w:val="none" w:sz="0" w:space="0" w:color="auto"/>
                                <w:left w:val="none" w:sz="0" w:space="0" w:color="auto"/>
                                <w:bottom w:val="none" w:sz="0" w:space="0" w:color="auto"/>
                                <w:right w:val="none" w:sz="0" w:space="0" w:color="auto"/>
                              </w:divBdr>
                              <w:divsChild>
                                <w:div w:id="1266772509">
                                  <w:marLeft w:val="0"/>
                                  <w:marRight w:val="0"/>
                                  <w:marTop w:val="0"/>
                                  <w:marBottom w:val="0"/>
                                  <w:divBdr>
                                    <w:top w:val="none" w:sz="0" w:space="0" w:color="auto"/>
                                    <w:left w:val="none" w:sz="0" w:space="0" w:color="auto"/>
                                    <w:bottom w:val="none" w:sz="0" w:space="0" w:color="auto"/>
                                    <w:right w:val="none" w:sz="0" w:space="0" w:color="auto"/>
                                  </w:divBdr>
                                  <w:divsChild>
                                    <w:div w:id="249118319">
                                      <w:marLeft w:val="0"/>
                                      <w:marRight w:val="0"/>
                                      <w:marTop w:val="0"/>
                                      <w:marBottom w:val="0"/>
                                      <w:divBdr>
                                        <w:top w:val="none" w:sz="0" w:space="0" w:color="auto"/>
                                        <w:left w:val="none" w:sz="0" w:space="0" w:color="auto"/>
                                        <w:bottom w:val="none" w:sz="0" w:space="0" w:color="auto"/>
                                        <w:right w:val="none" w:sz="0" w:space="0" w:color="auto"/>
                                      </w:divBdr>
                                      <w:divsChild>
                                        <w:div w:id="3854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95454">
      <w:bodyDiv w:val="1"/>
      <w:marLeft w:val="0"/>
      <w:marRight w:val="0"/>
      <w:marTop w:val="0"/>
      <w:marBottom w:val="0"/>
      <w:divBdr>
        <w:top w:val="none" w:sz="0" w:space="0" w:color="auto"/>
        <w:left w:val="none" w:sz="0" w:space="0" w:color="auto"/>
        <w:bottom w:val="none" w:sz="0" w:space="0" w:color="auto"/>
        <w:right w:val="none" w:sz="0" w:space="0" w:color="auto"/>
      </w:divBdr>
      <w:divsChild>
        <w:div w:id="539517415">
          <w:marLeft w:val="0"/>
          <w:marRight w:val="0"/>
          <w:marTop w:val="0"/>
          <w:marBottom w:val="0"/>
          <w:divBdr>
            <w:top w:val="none" w:sz="0" w:space="0" w:color="auto"/>
            <w:left w:val="none" w:sz="0" w:space="0" w:color="auto"/>
            <w:bottom w:val="none" w:sz="0" w:space="0" w:color="auto"/>
            <w:right w:val="none" w:sz="0" w:space="0" w:color="auto"/>
          </w:divBdr>
        </w:div>
      </w:divsChild>
    </w:div>
    <w:div w:id="126048815">
      <w:bodyDiv w:val="1"/>
      <w:marLeft w:val="0"/>
      <w:marRight w:val="0"/>
      <w:marTop w:val="0"/>
      <w:marBottom w:val="0"/>
      <w:divBdr>
        <w:top w:val="none" w:sz="0" w:space="0" w:color="auto"/>
        <w:left w:val="none" w:sz="0" w:space="0" w:color="auto"/>
        <w:bottom w:val="none" w:sz="0" w:space="0" w:color="auto"/>
        <w:right w:val="none" w:sz="0" w:space="0" w:color="auto"/>
      </w:divBdr>
      <w:divsChild>
        <w:div w:id="42562255">
          <w:marLeft w:val="0"/>
          <w:marRight w:val="0"/>
          <w:marTop w:val="150"/>
          <w:marBottom w:val="0"/>
          <w:divBdr>
            <w:top w:val="none" w:sz="0" w:space="0" w:color="auto"/>
            <w:left w:val="none" w:sz="0" w:space="0" w:color="auto"/>
            <w:bottom w:val="none" w:sz="0" w:space="0" w:color="auto"/>
            <w:right w:val="none" w:sz="0" w:space="0" w:color="auto"/>
          </w:divBdr>
          <w:divsChild>
            <w:div w:id="2110350056">
              <w:marLeft w:val="2"/>
              <w:marRight w:val="2"/>
              <w:marTop w:val="0"/>
              <w:marBottom w:val="0"/>
              <w:divBdr>
                <w:top w:val="none" w:sz="0" w:space="0" w:color="auto"/>
                <w:left w:val="none" w:sz="0" w:space="0" w:color="auto"/>
                <w:bottom w:val="none" w:sz="0" w:space="0" w:color="auto"/>
                <w:right w:val="none" w:sz="0" w:space="0" w:color="auto"/>
              </w:divBdr>
              <w:divsChild>
                <w:div w:id="1437991379">
                  <w:marLeft w:val="0"/>
                  <w:marRight w:val="0"/>
                  <w:marTop w:val="0"/>
                  <w:marBottom w:val="0"/>
                  <w:divBdr>
                    <w:top w:val="none" w:sz="0" w:space="0" w:color="auto"/>
                    <w:left w:val="none" w:sz="0" w:space="0" w:color="auto"/>
                    <w:bottom w:val="none" w:sz="0" w:space="0" w:color="auto"/>
                    <w:right w:val="none" w:sz="0" w:space="0" w:color="auto"/>
                  </w:divBdr>
                  <w:divsChild>
                    <w:div w:id="366025812">
                      <w:marLeft w:val="0"/>
                      <w:marRight w:val="0"/>
                      <w:marTop w:val="0"/>
                      <w:marBottom w:val="0"/>
                      <w:divBdr>
                        <w:top w:val="none" w:sz="0" w:space="0" w:color="auto"/>
                        <w:left w:val="none" w:sz="0" w:space="0" w:color="auto"/>
                        <w:bottom w:val="none" w:sz="0" w:space="0" w:color="auto"/>
                        <w:right w:val="none" w:sz="0" w:space="0" w:color="auto"/>
                      </w:divBdr>
                      <w:divsChild>
                        <w:div w:id="221986030">
                          <w:marLeft w:val="0"/>
                          <w:marRight w:val="0"/>
                          <w:marTop w:val="0"/>
                          <w:marBottom w:val="0"/>
                          <w:divBdr>
                            <w:top w:val="none" w:sz="0" w:space="0" w:color="auto"/>
                            <w:left w:val="none" w:sz="0" w:space="0" w:color="auto"/>
                            <w:bottom w:val="none" w:sz="0" w:space="0" w:color="auto"/>
                            <w:right w:val="none" w:sz="0" w:space="0" w:color="auto"/>
                          </w:divBdr>
                          <w:divsChild>
                            <w:div w:id="1691301158">
                              <w:marLeft w:val="0"/>
                              <w:marRight w:val="0"/>
                              <w:marTop w:val="0"/>
                              <w:marBottom w:val="0"/>
                              <w:divBdr>
                                <w:top w:val="none" w:sz="0" w:space="0" w:color="auto"/>
                                <w:left w:val="none" w:sz="0" w:space="0" w:color="auto"/>
                                <w:bottom w:val="none" w:sz="0" w:space="0" w:color="auto"/>
                                <w:right w:val="none" w:sz="0" w:space="0" w:color="auto"/>
                              </w:divBdr>
                              <w:divsChild>
                                <w:div w:id="684137807">
                                  <w:marLeft w:val="0"/>
                                  <w:marRight w:val="0"/>
                                  <w:marTop w:val="0"/>
                                  <w:marBottom w:val="0"/>
                                  <w:divBdr>
                                    <w:top w:val="none" w:sz="0" w:space="0" w:color="auto"/>
                                    <w:left w:val="none" w:sz="0" w:space="0" w:color="auto"/>
                                    <w:bottom w:val="none" w:sz="0" w:space="0" w:color="auto"/>
                                    <w:right w:val="none" w:sz="0" w:space="0" w:color="auto"/>
                                  </w:divBdr>
                                  <w:divsChild>
                                    <w:div w:id="1557206289">
                                      <w:marLeft w:val="0"/>
                                      <w:marRight w:val="0"/>
                                      <w:marTop w:val="0"/>
                                      <w:marBottom w:val="0"/>
                                      <w:divBdr>
                                        <w:top w:val="none" w:sz="0" w:space="0" w:color="auto"/>
                                        <w:left w:val="none" w:sz="0" w:space="0" w:color="auto"/>
                                        <w:bottom w:val="none" w:sz="0" w:space="0" w:color="auto"/>
                                        <w:right w:val="none" w:sz="0" w:space="0" w:color="auto"/>
                                      </w:divBdr>
                                      <w:divsChild>
                                        <w:div w:id="1284310682">
                                          <w:marLeft w:val="0"/>
                                          <w:marRight w:val="0"/>
                                          <w:marTop w:val="0"/>
                                          <w:marBottom w:val="0"/>
                                          <w:divBdr>
                                            <w:top w:val="none" w:sz="0" w:space="0" w:color="auto"/>
                                            <w:left w:val="none" w:sz="0" w:space="0" w:color="auto"/>
                                            <w:bottom w:val="none" w:sz="0" w:space="0" w:color="auto"/>
                                            <w:right w:val="none" w:sz="0" w:space="0" w:color="auto"/>
                                          </w:divBdr>
                                          <w:divsChild>
                                            <w:div w:id="849879267">
                                              <w:marLeft w:val="0"/>
                                              <w:marRight w:val="0"/>
                                              <w:marTop w:val="0"/>
                                              <w:marBottom w:val="0"/>
                                              <w:divBdr>
                                                <w:top w:val="none" w:sz="0" w:space="0" w:color="auto"/>
                                                <w:left w:val="none" w:sz="0" w:space="0" w:color="auto"/>
                                                <w:bottom w:val="none" w:sz="0" w:space="0" w:color="auto"/>
                                                <w:right w:val="none" w:sz="0" w:space="0" w:color="auto"/>
                                              </w:divBdr>
                                              <w:divsChild>
                                                <w:div w:id="1801265906">
                                                  <w:marLeft w:val="0"/>
                                                  <w:marRight w:val="0"/>
                                                  <w:marTop w:val="0"/>
                                                  <w:marBottom w:val="0"/>
                                                  <w:divBdr>
                                                    <w:top w:val="none" w:sz="0" w:space="0" w:color="auto"/>
                                                    <w:left w:val="none" w:sz="0" w:space="0" w:color="auto"/>
                                                    <w:bottom w:val="none" w:sz="0" w:space="0" w:color="auto"/>
                                                    <w:right w:val="none" w:sz="0" w:space="0" w:color="auto"/>
                                                  </w:divBdr>
                                                </w:div>
                                              </w:divsChild>
                                            </w:div>
                                            <w:div w:id="683478541">
                                              <w:marLeft w:val="0"/>
                                              <w:marRight w:val="0"/>
                                              <w:marTop w:val="0"/>
                                              <w:marBottom w:val="0"/>
                                              <w:divBdr>
                                                <w:top w:val="none" w:sz="0" w:space="0" w:color="auto"/>
                                                <w:left w:val="none" w:sz="0" w:space="0" w:color="auto"/>
                                                <w:bottom w:val="none" w:sz="0" w:space="0" w:color="auto"/>
                                                <w:right w:val="none" w:sz="0" w:space="0" w:color="auto"/>
                                              </w:divBdr>
                                              <w:divsChild>
                                                <w:div w:id="737093472">
                                                  <w:marLeft w:val="0"/>
                                                  <w:marRight w:val="0"/>
                                                  <w:marTop w:val="0"/>
                                                  <w:marBottom w:val="0"/>
                                                  <w:divBdr>
                                                    <w:top w:val="none" w:sz="0" w:space="0" w:color="auto"/>
                                                    <w:left w:val="none" w:sz="0" w:space="0" w:color="auto"/>
                                                    <w:bottom w:val="none" w:sz="0" w:space="0" w:color="auto"/>
                                                    <w:right w:val="none" w:sz="0" w:space="0" w:color="auto"/>
                                                  </w:divBdr>
                                                </w:div>
                                              </w:divsChild>
                                            </w:div>
                                            <w:div w:id="1217552156">
                                              <w:marLeft w:val="0"/>
                                              <w:marRight w:val="0"/>
                                              <w:marTop w:val="0"/>
                                              <w:marBottom w:val="0"/>
                                              <w:divBdr>
                                                <w:top w:val="none" w:sz="0" w:space="0" w:color="auto"/>
                                                <w:left w:val="none" w:sz="0" w:space="0" w:color="auto"/>
                                                <w:bottom w:val="none" w:sz="0" w:space="0" w:color="auto"/>
                                                <w:right w:val="none" w:sz="0" w:space="0" w:color="auto"/>
                                              </w:divBdr>
                                              <w:divsChild>
                                                <w:div w:id="191921126">
                                                  <w:marLeft w:val="0"/>
                                                  <w:marRight w:val="0"/>
                                                  <w:marTop w:val="0"/>
                                                  <w:marBottom w:val="0"/>
                                                  <w:divBdr>
                                                    <w:top w:val="none" w:sz="0" w:space="0" w:color="auto"/>
                                                    <w:left w:val="none" w:sz="0" w:space="0" w:color="auto"/>
                                                    <w:bottom w:val="none" w:sz="0" w:space="0" w:color="auto"/>
                                                    <w:right w:val="none" w:sz="0" w:space="0" w:color="auto"/>
                                                  </w:divBdr>
                                                </w:div>
                                              </w:divsChild>
                                            </w:div>
                                            <w:div w:id="1590651566">
                                              <w:marLeft w:val="0"/>
                                              <w:marRight w:val="0"/>
                                              <w:marTop w:val="0"/>
                                              <w:marBottom w:val="0"/>
                                              <w:divBdr>
                                                <w:top w:val="none" w:sz="0" w:space="0" w:color="auto"/>
                                                <w:left w:val="none" w:sz="0" w:space="0" w:color="auto"/>
                                                <w:bottom w:val="none" w:sz="0" w:space="0" w:color="auto"/>
                                                <w:right w:val="none" w:sz="0" w:space="0" w:color="auto"/>
                                              </w:divBdr>
                                              <w:divsChild>
                                                <w:div w:id="13511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17239">
      <w:bodyDiv w:val="1"/>
      <w:marLeft w:val="0"/>
      <w:marRight w:val="0"/>
      <w:marTop w:val="0"/>
      <w:marBottom w:val="0"/>
      <w:divBdr>
        <w:top w:val="none" w:sz="0" w:space="0" w:color="auto"/>
        <w:left w:val="none" w:sz="0" w:space="0" w:color="auto"/>
        <w:bottom w:val="none" w:sz="0" w:space="0" w:color="auto"/>
        <w:right w:val="none" w:sz="0" w:space="0" w:color="auto"/>
      </w:divBdr>
      <w:divsChild>
        <w:div w:id="1448701752">
          <w:marLeft w:val="0"/>
          <w:marRight w:val="0"/>
          <w:marTop w:val="0"/>
          <w:marBottom w:val="0"/>
          <w:divBdr>
            <w:top w:val="none" w:sz="0" w:space="0" w:color="auto"/>
            <w:left w:val="none" w:sz="0" w:space="0" w:color="auto"/>
            <w:bottom w:val="none" w:sz="0" w:space="0" w:color="auto"/>
            <w:right w:val="none" w:sz="0" w:space="0" w:color="auto"/>
          </w:divBdr>
          <w:divsChild>
            <w:div w:id="640112468">
              <w:marLeft w:val="0"/>
              <w:marRight w:val="0"/>
              <w:marTop w:val="0"/>
              <w:marBottom w:val="0"/>
              <w:divBdr>
                <w:top w:val="none" w:sz="0" w:space="0" w:color="auto"/>
                <w:left w:val="none" w:sz="0" w:space="0" w:color="auto"/>
                <w:bottom w:val="none" w:sz="0" w:space="0" w:color="auto"/>
                <w:right w:val="none" w:sz="0" w:space="0" w:color="auto"/>
              </w:divBdr>
              <w:divsChild>
                <w:div w:id="1346790115">
                  <w:marLeft w:val="0"/>
                  <w:marRight w:val="0"/>
                  <w:marTop w:val="0"/>
                  <w:marBottom w:val="0"/>
                  <w:divBdr>
                    <w:top w:val="none" w:sz="0" w:space="0" w:color="auto"/>
                    <w:left w:val="none" w:sz="0" w:space="0" w:color="auto"/>
                    <w:bottom w:val="none" w:sz="0" w:space="0" w:color="auto"/>
                    <w:right w:val="none" w:sz="0" w:space="0" w:color="auto"/>
                  </w:divBdr>
                </w:div>
                <w:div w:id="1280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3000">
          <w:marLeft w:val="0"/>
          <w:marRight w:val="0"/>
          <w:marTop w:val="0"/>
          <w:marBottom w:val="0"/>
          <w:divBdr>
            <w:top w:val="none" w:sz="0" w:space="0" w:color="auto"/>
            <w:left w:val="none" w:sz="0" w:space="0" w:color="auto"/>
            <w:bottom w:val="none" w:sz="0" w:space="0" w:color="auto"/>
            <w:right w:val="none" w:sz="0" w:space="0" w:color="auto"/>
          </w:divBdr>
          <w:divsChild>
            <w:div w:id="17674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713">
      <w:bodyDiv w:val="1"/>
      <w:marLeft w:val="0"/>
      <w:marRight w:val="0"/>
      <w:marTop w:val="0"/>
      <w:marBottom w:val="0"/>
      <w:divBdr>
        <w:top w:val="none" w:sz="0" w:space="0" w:color="auto"/>
        <w:left w:val="none" w:sz="0" w:space="0" w:color="auto"/>
        <w:bottom w:val="none" w:sz="0" w:space="0" w:color="auto"/>
        <w:right w:val="none" w:sz="0" w:space="0" w:color="auto"/>
      </w:divBdr>
      <w:divsChild>
        <w:div w:id="900947297">
          <w:marLeft w:val="0"/>
          <w:marRight w:val="0"/>
          <w:marTop w:val="0"/>
          <w:marBottom w:val="0"/>
          <w:divBdr>
            <w:top w:val="none" w:sz="0" w:space="0" w:color="auto"/>
            <w:left w:val="none" w:sz="0" w:space="0" w:color="auto"/>
            <w:bottom w:val="none" w:sz="0" w:space="0" w:color="auto"/>
            <w:right w:val="none" w:sz="0" w:space="0" w:color="auto"/>
          </w:divBdr>
          <w:divsChild>
            <w:div w:id="1964188235">
              <w:marLeft w:val="0"/>
              <w:marRight w:val="0"/>
              <w:marTop w:val="0"/>
              <w:marBottom w:val="0"/>
              <w:divBdr>
                <w:top w:val="none" w:sz="0" w:space="0" w:color="auto"/>
                <w:left w:val="none" w:sz="0" w:space="0" w:color="auto"/>
                <w:bottom w:val="none" w:sz="0" w:space="0" w:color="auto"/>
                <w:right w:val="none" w:sz="0" w:space="0" w:color="auto"/>
              </w:divBdr>
              <w:divsChild>
                <w:div w:id="1621840201">
                  <w:marLeft w:val="0"/>
                  <w:marRight w:val="0"/>
                  <w:marTop w:val="0"/>
                  <w:marBottom w:val="0"/>
                  <w:divBdr>
                    <w:top w:val="none" w:sz="0" w:space="0" w:color="auto"/>
                    <w:left w:val="none" w:sz="0" w:space="0" w:color="auto"/>
                    <w:bottom w:val="none" w:sz="0" w:space="0" w:color="auto"/>
                    <w:right w:val="none" w:sz="0" w:space="0" w:color="auto"/>
                  </w:divBdr>
                  <w:divsChild>
                    <w:div w:id="1982273226">
                      <w:marLeft w:val="0"/>
                      <w:marRight w:val="0"/>
                      <w:marTop w:val="0"/>
                      <w:marBottom w:val="0"/>
                      <w:divBdr>
                        <w:top w:val="none" w:sz="0" w:space="0" w:color="auto"/>
                        <w:left w:val="none" w:sz="0" w:space="0" w:color="auto"/>
                        <w:bottom w:val="none" w:sz="0" w:space="0" w:color="auto"/>
                        <w:right w:val="none" w:sz="0" w:space="0" w:color="auto"/>
                      </w:divBdr>
                      <w:divsChild>
                        <w:div w:id="1374115055">
                          <w:marLeft w:val="0"/>
                          <w:marRight w:val="0"/>
                          <w:marTop w:val="0"/>
                          <w:marBottom w:val="0"/>
                          <w:divBdr>
                            <w:top w:val="none" w:sz="0" w:space="0" w:color="auto"/>
                            <w:left w:val="none" w:sz="0" w:space="0" w:color="auto"/>
                            <w:bottom w:val="none" w:sz="0" w:space="0" w:color="auto"/>
                            <w:right w:val="none" w:sz="0" w:space="0" w:color="auto"/>
                          </w:divBdr>
                          <w:divsChild>
                            <w:div w:id="235674721">
                              <w:marLeft w:val="0"/>
                              <w:marRight w:val="0"/>
                              <w:marTop w:val="0"/>
                              <w:marBottom w:val="0"/>
                              <w:divBdr>
                                <w:top w:val="none" w:sz="0" w:space="0" w:color="auto"/>
                                <w:left w:val="none" w:sz="0" w:space="0" w:color="auto"/>
                                <w:bottom w:val="none" w:sz="0" w:space="0" w:color="auto"/>
                                <w:right w:val="none" w:sz="0" w:space="0" w:color="auto"/>
                              </w:divBdr>
                              <w:divsChild>
                                <w:div w:id="1077092424">
                                  <w:marLeft w:val="0"/>
                                  <w:marRight w:val="0"/>
                                  <w:marTop w:val="0"/>
                                  <w:marBottom w:val="0"/>
                                  <w:divBdr>
                                    <w:top w:val="none" w:sz="0" w:space="0" w:color="auto"/>
                                    <w:left w:val="none" w:sz="0" w:space="0" w:color="auto"/>
                                    <w:bottom w:val="none" w:sz="0" w:space="0" w:color="auto"/>
                                    <w:right w:val="none" w:sz="0" w:space="0" w:color="auto"/>
                                  </w:divBdr>
                                  <w:divsChild>
                                    <w:div w:id="1796558658">
                                      <w:marLeft w:val="0"/>
                                      <w:marRight w:val="0"/>
                                      <w:marTop w:val="0"/>
                                      <w:marBottom w:val="0"/>
                                      <w:divBdr>
                                        <w:top w:val="none" w:sz="0" w:space="0" w:color="auto"/>
                                        <w:left w:val="none" w:sz="0" w:space="0" w:color="auto"/>
                                        <w:bottom w:val="none" w:sz="0" w:space="0" w:color="auto"/>
                                        <w:right w:val="none" w:sz="0" w:space="0" w:color="auto"/>
                                      </w:divBdr>
                                      <w:divsChild>
                                        <w:div w:id="483006806">
                                          <w:marLeft w:val="0"/>
                                          <w:marRight w:val="0"/>
                                          <w:marTop w:val="0"/>
                                          <w:marBottom w:val="0"/>
                                          <w:divBdr>
                                            <w:top w:val="none" w:sz="0" w:space="0" w:color="auto"/>
                                            <w:left w:val="none" w:sz="0" w:space="0" w:color="auto"/>
                                            <w:bottom w:val="none" w:sz="0" w:space="0" w:color="auto"/>
                                            <w:right w:val="none" w:sz="0" w:space="0" w:color="auto"/>
                                          </w:divBdr>
                                        </w:div>
                                        <w:div w:id="977733215">
                                          <w:marLeft w:val="0"/>
                                          <w:marRight w:val="0"/>
                                          <w:marTop w:val="0"/>
                                          <w:marBottom w:val="0"/>
                                          <w:divBdr>
                                            <w:top w:val="none" w:sz="0" w:space="0" w:color="auto"/>
                                            <w:left w:val="none" w:sz="0" w:space="0" w:color="auto"/>
                                            <w:bottom w:val="none" w:sz="0" w:space="0" w:color="auto"/>
                                            <w:right w:val="none" w:sz="0" w:space="0" w:color="auto"/>
                                          </w:divBdr>
                                          <w:divsChild>
                                            <w:div w:id="7572930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65975">
      <w:bodyDiv w:val="1"/>
      <w:marLeft w:val="0"/>
      <w:marRight w:val="0"/>
      <w:marTop w:val="0"/>
      <w:marBottom w:val="0"/>
      <w:divBdr>
        <w:top w:val="none" w:sz="0" w:space="0" w:color="auto"/>
        <w:left w:val="none" w:sz="0" w:space="0" w:color="auto"/>
        <w:bottom w:val="none" w:sz="0" w:space="0" w:color="auto"/>
        <w:right w:val="none" w:sz="0" w:space="0" w:color="auto"/>
      </w:divBdr>
      <w:divsChild>
        <w:div w:id="558904514">
          <w:marLeft w:val="0"/>
          <w:marRight w:val="0"/>
          <w:marTop w:val="150"/>
          <w:marBottom w:val="0"/>
          <w:divBdr>
            <w:top w:val="none" w:sz="0" w:space="0" w:color="auto"/>
            <w:left w:val="none" w:sz="0" w:space="0" w:color="auto"/>
            <w:bottom w:val="none" w:sz="0" w:space="0" w:color="auto"/>
            <w:right w:val="none" w:sz="0" w:space="0" w:color="auto"/>
          </w:divBdr>
          <w:divsChild>
            <w:div w:id="616983283">
              <w:marLeft w:val="2"/>
              <w:marRight w:val="2"/>
              <w:marTop w:val="0"/>
              <w:marBottom w:val="0"/>
              <w:divBdr>
                <w:top w:val="none" w:sz="0" w:space="0" w:color="auto"/>
                <w:left w:val="none" w:sz="0" w:space="0" w:color="auto"/>
                <w:bottom w:val="none" w:sz="0" w:space="0" w:color="auto"/>
                <w:right w:val="none" w:sz="0" w:space="0" w:color="auto"/>
              </w:divBdr>
              <w:divsChild>
                <w:div w:id="119807699">
                  <w:marLeft w:val="0"/>
                  <w:marRight w:val="0"/>
                  <w:marTop w:val="0"/>
                  <w:marBottom w:val="0"/>
                  <w:divBdr>
                    <w:top w:val="none" w:sz="0" w:space="0" w:color="auto"/>
                    <w:left w:val="none" w:sz="0" w:space="0" w:color="auto"/>
                    <w:bottom w:val="none" w:sz="0" w:space="0" w:color="auto"/>
                    <w:right w:val="none" w:sz="0" w:space="0" w:color="auto"/>
                  </w:divBdr>
                  <w:divsChild>
                    <w:div w:id="297302131">
                      <w:marLeft w:val="0"/>
                      <w:marRight w:val="0"/>
                      <w:marTop w:val="0"/>
                      <w:marBottom w:val="0"/>
                      <w:divBdr>
                        <w:top w:val="none" w:sz="0" w:space="0" w:color="auto"/>
                        <w:left w:val="none" w:sz="0" w:space="0" w:color="auto"/>
                        <w:bottom w:val="none" w:sz="0" w:space="0" w:color="auto"/>
                        <w:right w:val="none" w:sz="0" w:space="0" w:color="auto"/>
                      </w:divBdr>
                      <w:divsChild>
                        <w:div w:id="2004695388">
                          <w:marLeft w:val="0"/>
                          <w:marRight w:val="0"/>
                          <w:marTop w:val="0"/>
                          <w:marBottom w:val="0"/>
                          <w:divBdr>
                            <w:top w:val="none" w:sz="0" w:space="0" w:color="auto"/>
                            <w:left w:val="none" w:sz="0" w:space="0" w:color="auto"/>
                            <w:bottom w:val="none" w:sz="0" w:space="0" w:color="auto"/>
                            <w:right w:val="none" w:sz="0" w:space="0" w:color="auto"/>
                          </w:divBdr>
                          <w:divsChild>
                            <w:div w:id="30885412">
                              <w:marLeft w:val="0"/>
                              <w:marRight w:val="0"/>
                              <w:marTop w:val="0"/>
                              <w:marBottom w:val="0"/>
                              <w:divBdr>
                                <w:top w:val="none" w:sz="0" w:space="0" w:color="auto"/>
                                <w:left w:val="none" w:sz="0" w:space="0" w:color="auto"/>
                                <w:bottom w:val="none" w:sz="0" w:space="0" w:color="auto"/>
                                <w:right w:val="none" w:sz="0" w:space="0" w:color="auto"/>
                              </w:divBdr>
                              <w:divsChild>
                                <w:div w:id="1734231642">
                                  <w:marLeft w:val="0"/>
                                  <w:marRight w:val="0"/>
                                  <w:marTop w:val="0"/>
                                  <w:marBottom w:val="0"/>
                                  <w:divBdr>
                                    <w:top w:val="none" w:sz="0" w:space="0" w:color="auto"/>
                                    <w:left w:val="none" w:sz="0" w:space="0" w:color="auto"/>
                                    <w:bottom w:val="none" w:sz="0" w:space="0" w:color="auto"/>
                                    <w:right w:val="none" w:sz="0" w:space="0" w:color="auto"/>
                                  </w:divBdr>
                                  <w:divsChild>
                                    <w:div w:id="202789876">
                                      <w:marLeft w:val="0"/>
                                      <w:marRight w:val="0"/>
                                      <w:marTop w:val="0"/>
                                      <w:marBottom w:val="0"/>
                                      <w:divBdr>
                                        <w:top w:val="none" w:sz="0" w:space="0" w:color="auto"/>
                                        <w:left w:val="none" w:sz="0" w:space="0" w:color="auto"/>
                                        <w:bottom w:val="none" w:sz="0" w:space="0" w:color="auto"/>
                                        <w:right w:val="none" w:sz="0" w:space="0" w:color="auto"/>
                                      </w:divBdr>
                                      <w:divsChild>
                                        <w:div w:id="1254824473">
                                          <w:marLeft w:val="0"/>
                                          <w:marRight w:val="0"/>
                                          <w:marTop w:val="0"/>
                                          <w:marBottom w:val="0"/>
                                          <w:divBdr>
                                            <w:top w:val="none" w:sz="0" w:space="0" w:color="auto"/>
                                            <w:left w:val="none" w:sz="0" w:space="0" w:color="auto"/>
                                            <w:bottom w:val="none" w:sz="0" w:space="0" w:color="auto"/>
                                            <w:right w:val="none" w:sz="0" w:space="0" w:color="auto"/>
                                          </w:divBdr>
                                          <w:divsChild>
                                            <w:div w:id="15083384">
                                              <w:marLeft w:val="0"/>
                                              <w:marRight w:val="0"/>
                                              <w:marTop w:val="0"/>
                                              <w:marBottom w:val="0"/>
                                              <w:divBdr>
                                                <w:top w:val="none" w:sz="0" w:space="0" w:color="auto"/>
                                                <w:left w:val="none" w:sz="0" w:space="0" w:color="auto"/>
                                                <w:bottom w:val="none" w:sz="0" w:space="0" w:color="auto"/>
                                                <w:right w:val="none" w:sz="0" w:space="0" w:color="auto"/>
                                              </w:divBdr>
                                              <w:divsChild>
                                                <w:div w:id="318845502">
                                                  <w:marLeft w:val="0"/>
                                                  <w:marRight w:val="0"/>
                                                  <w:marTop w:val="0"/>
                                                  <w:marBottom w:val="0"/>
                                                  <w:divBdr>
                                                    <w:top w:val="none" w:sz="0" w:space="0" w:color="auto"/>
                                                    <w:left w:val="none" w:sz="0" w:space="0" w:color="auto"/>
                                                    <w:bottom w:val="none" w:sz="0" w:space="0" w:color="auto"/>
                                                    <w:right w:val="none" w:sz="0" w:space="0" w:color="auto"/>
                                                  </w:divBdr>
                                                  <w:divsChild>
                                                    <w:div w:id="16347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2387">
                                          <w:marLeft w:val="0"/>
                                          <w:marRight w:val="0"/>
                                          <w:marTop w:val="0"/>
                                          <w:marBottom w:val="0"/>
                                          <w:divBdr>
                                            <w:top w:val="none" w:sz="0" w:space="0" w:color="auto"/>
                                            <w:left w:val="none" w:sz="0" w:space="0" w:color="auto"/>
                                            <w:bottom w:val="none" w:sz="0" w:space="0" w:color="auto"/>
                                            <w:right w:val="none" w:sz="0" w:space="0" w:color="auto"/>
                                          </w:divBdr>
                                          <w:divsChild>
                                            <w:div w:id="612830587">
                                              <w:marLeft w:val="0"/>
                                              <w:marRight w:val="0"/>
                                              <w:marTop w:val="0"/>
                                              <w:marBottom w:val="0"/>
                                              <w:divBdr>
                                                <w:top w:val="none" w:sz="0" w:space="0" w:color="auto"/>
                                                <w:left w:val="none" w:sz="0" w:space="0" w:color="auto"/>
                                                <w:bottom w:val="none" w:sz="0" w:space="0" w:color="auto"/>
                                                <w:right w:val="none" w:sz="0" w:space="0" w:color="auto"/>
                                              </w:divBdr>
                                              <w:divsChild>
                                                <w:div w:id="3826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36501">
      <w:bodyDiv w:val="1"/>
      <w:marLeft w:val="0"/>
      <w:marRight w:val="0"/>
      <w:marTop w:val="0"/>
      <w:marBottom w:val="0"/>
      <w:divBdr>
        <w:top w:val="none" w:sz="0" w:space="0" w:color="auto"/>
        <w:left w:val="none" w:sz="0" w:space="0" w:color="auto"/>
        <w:bottom w:val="none" w:sz="0" w:space="0" w:color="auto"/>
        <w:right w:val="none" w:sz="0" w:space="0" w:color="auto"/>
      </w:divBdr>
      <w:divsChild>
        <w:div w:id="1092433066">
          <w:marLeft w:val="0"/>
          <w:marRight w:val="0"/>
          <w:marTop w:val="0"/>
          <w:marBottom w:val="0"/>
          <w:divBdr>
            <w:top w:val="none" w:sz="0" w:space="0" w:color="auto"/>
            <w:left w:val="none" w:sz="0" w:space="0" w:color="auto"/>
            <w:bottom w:val="none" w:sz="0" w:space="0" w:color="auto"/>
            <w:right w:val="none" w:sz="0" w:space="0" w:color="auto"/>
          </w:divBdr>
          <w:divsChild>
            <w:div w:id="759370161">
              <w:marLeft w:val="0"/>
              <w:marRight w:val="0"/>
              <w:marTop w:val="0"/>
              <w:marBottom w:val="0"/>
              <w:divBdr>
                <w:top w:val="none" w:sz="0" w:space="0" w:color="auto"/>
                <w:left w:val="none" w:sz="0" w:space="0" w:color="auto"/>
                <w:bottom w:val="none" w:sz="0" w:space="0" w:color="auto"/>
                <w:right w:val="none" w:sz="0" w:space="0" w:color="auto"/>
              </w:divBdr>
              <w:divsChild>
                <w:div w:id="1346903904">
                  <w:marLeft w:val="0"/>
                  <w:marRight w:val="0"/>
                  <w:marTop w:val="0"/>
                  <w:marBottom w:val="0"/>
                  <w:divBdr>
                    <w:top w:val="none" w:sz="0" w:space="0" w:color="auto"/>
                    <w:left w:val="none" w:sz="0" w:space="0" w:color="auto"/>
                    <w:bottom w:val="none" w:sz="0" w:space="0" w:color="auto"/>
                    <w:right w:val="none" w:sz="0" w:space="0" w:color="auto"/>
                  </w:divBdr>
                  <w:divsChild>
                    <w:div w:id="595405819">
                      <w:marLeft w:val="0"/>
                      <w:marRight w:val="0"/>
                      <w:marTop w:val="0"/>
                      <w:marBottom w:val="0"/>
                      <w:divBdr>
                        <w:top w:val="none" w:sz="0" w:space="0" w:color="auto"/>
                        <w:left w:val="none" w:sz="0" w:space="0" w:color="auto"/>
                        <w:bottom w:val="none" w:sz="0" w:space="0" w:color="auto"/>
                        <w:right w:val="none" w:sz="0" w:space="0" w:color="auto"/>
                      </w:divBdr>
                      <w:divsChild>
                        <w:div w:id="1283615262">
                          <w:marLeft w:val="0"/>
                          <w:marRight w:val="0"/>
                          <w:marTop w:val="0"/>
                          <w:marBottom w:val="0"/>
                          <w:divBdr>
                            <w:top w:val="none" w:sz="0" w:space="0" w:color="auto"/>
                            <w:left w:val="none" w:sz="0" w:space="0" w:color="auto"/>
                            <w:bottom w:val="none" w:sz="0" w:space="0" w:color="auto"/>
                            <w:right w:val="none" w:sz="0" w:space="0" w:color="auto"/>
                          </w:divBdr>
                          <w:divsChild>
                            <w:div w:id="453404998">
                              <w:marLeft w:val="0"/>
                              <w:marRight w:val="0"/>
                              <w:marTop w:val="0"/>
                              <w:marBottom w:val="0"/>
                              <w:divBdr>
                                <w:top w:val="none" w:sz="0" w:space="0" w:color="auto"/>
                                <w:left w:val="none" w:sz="0" w:space="0" w:color="auto"/>
                                <w:bottom w:val="none" w:sz="0" w:space="0" w:color="auto"/>
                                <w:right w:val="none" w:sz="0" w:space="0" w:color="auto"/>
                              </w:divBdr>
                              <w:divsChild>
                                <w:div w:id="1387534265">
                                  <w:marLeft w:val="0"/>
                                  <w:marRight w:val="0"/>
                                  <w:marTop w:val="0"/>
                                  <w:marBottom w:val="0"/>
                                  <w:divBdr>
                                    <w:top w:val="none" w:sz="0" w:space="0" w:color="auto"/>
                                    <w:left w:val="none" w:sz="0" w:space="0" w:color="auto"/>
                                    <w:bottom w:val="none" w:sz="0" w:space="0" w:color="auto"/>
                                    <w:right w:val="none" w:sz="0" w:space="0" w:color="auto"/>
                                  </w:divBdr>
                                  <w:divsChild>
                                    <w:div w:id="440951764">
                                      <w:marLeft w:val="0"/>
                                      <w:marRight w:val="0"/>
                                      <w:marTop w:val="0"/>
                                      <w:marBottom w:val="0"/>
                                      <w:divBdr>
                                        <w:top w:val="none" w:sz="0" w:space="0" w:color="auto"/>
                                        <w:left w:val="none" w:sz="0" w:space="0" w:color="auto"/>
                                        <w:bottom w:val="none" w:sz="0" w:space="0" w:color="auto"/>
                                        <w:right w:val="none" w:sz="0" w:space="0" w:color="auto"/>
                                      </w:divBdr>
                                      <w:divsChild>
                                        <w:div w:id="598023751">
                                          <w:marLeft w:val="0"/>
                                          <w:marRight w:val="0"/>
                                          <w:marTop w:val="0"/>
                                          <w:marBottom w:val="0"/>
                                          <w:divBdr>
                                            <w:top w:val="none" w:sz="0" w:space="0" w:color="auto"/>
                                            <w:left w:val="none" w:sz="0" w:space="0" w:color="auto"/>
                                            <w:bottom w:val="none" w:sz="0" w:space="0" w:color="auto"/>
                                            <w:right w:val="none" w:sz="0" w:space="0" w:color="auto"/>
                                          </w:divBdr>
                                          <w:divsChild>
                                            <w:div w:id="2095661832">
                                              <w:marLeft w:val="0"/>
                                              <w:marRight w:val="0"/>
                                              <w:marTop w:val="0"/>
                                              <w:marBottom w:val="0"/>
                                              <w:divBdr>
                                                <w:top w:val="none" w:sz="0" w:space="0" w:color="auto"/>
                                                <w:left w:val="none" w:sz="0" w:space="0" w:color="auto"/>
                                                <w:bottom w:val="none" w:sz="0" w:space="0" w:color="auto"/>
                                                <w:right w:val="none" w:sz="0" w:space="0" w:color="auto"/>
                                              </w:divBdr>
                                              <w:divsChild>
                                                <w:div w:id="107092236">
                                                  <w:marLeft w:val="0"/>
                                                  <w:marRight w:val="0"/>
                                                  <w:marTop w:val="0"/>
                                                  <w:marBottom w:val="0"/>
                                                  <w:divBdr>
                                                    <w:top w:val="none" w:sz="0" w:space="0" w:color="auto"/>
                                                    <w:left w:val="none" w:sz="0" w:space="0" w:color="auto"/>
                                                    <w:bottom w:val="none" w:sz="0" w:space="0" w:color="auto"/>
                                                    <w:right w:val="none" w:sz="0" w:space="0" w:color="auto"/>
                                                  </w:divBdr>
                                                  <w:divsChild>
                                                    <w:div w:id="457530698">
                                                      <w:marLeft w:val="0"/>
                                                      <w:marRight w:val="0"/>
                                                      <w:marTop w:val="0"/>
                                                      <w:marBottom w:val="0"/>
                                                      <w:divBdr>
                                                        <w:top w:val="none" w:sz="0" w:space="0" w:color="auto"/>
                                                        <w:left w:val="none" w:sz="0" w:space="0" w:color="auto"/>
                                                        <w:bottom w:val="none" w:sz="0" w:space="0" w:color="auto"/>
                                                        <w:right w:val="none" w:sz="0" w:space="0" w:color="auto"/>
                                                      </w:divBdr>
                                                      <w:divsChild>
                                                        <w:div w:id="93602126">
                                                          <w:marLeft w:val="0"/>
                                                          <w:marRight w:val="0"/>
                                                          <w:marTop w:val="0"/>
                                                          <w:marBottom w:val="0"/>
                                                          <w:divBdr>
                                                            <w:top w:val="none" w:sz="0" w:space="0" w:color="auto"/>
                                                            <w:left w:val="none" w:sz="0" w:space="0" w:color="auto"/>
                                                            <w:bottom w:val="none" w:sz="0" w:space="0" w:color="auto"/>
                                                            <w:right w:val="none" w:sz="0" w:space="0" w:color="auto"/>
                                                          </w:divBdr>
                                                        </w:div>
                                                        <w:div w:id="666638578">
                                                          <w:marLeft w:val="0"/>
                                                          <w:marRight w:val="0"/>
                                                          <w:marTop w:val="0"/>
                                                          <w:marBottom w:val="0"/>
                                                          <w:divBdr>
                                                            <w:top w:val="none" w:sz="0" w:space="0" w:color="auto"/>
                                                            <w:left w:val="none" w:sz="0" w:space="0" w:color="auto"/>
                                                            <w:bottom w:val="none" w:sz="0" w:space="0" w:color="auto"/>
                                                            <w:right w:val="none" w:sz="0" w:space="0" w:color="auto"/>
                                                          </w:divBdr>
                                                          <w:divsChild>
                                                            <w:div w:id="8066277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827347">
      <w:bodyDiv w:val="1"/>
      <w:marLeft w:val="0"/>
      <w:marRight w:val="0"/>
      <w:marTop w:val="0"/>
      <w:marBottom w:val="0"/>
      <w:divBdr>
        <w:top w:val="none" w:sz="0" w:space="0" w:color="auto"/>
        <w:left w:val="none" w:sz="0" w:space="0" w:color="auto"/>
        <w:bottom w:val="none" w:sz="0" w:space="0" w:color="auto"/>
        <w:right w:val="none" w:sz="0" w:space="0" w:color="auto"/>
      </w:divBdr>
      <w:divsChild>
        <w:div w:id="2055499534">
          <w:marLeft w:val="0"/>
          <w:marRight w:val="0"/>
          <w:marTop w:val="0"/>
          <w:marBottom w:val="0"/>
          <w:divBdr>
            <w:top w:val="single" w:sz="6" w:space="0" w:color="0E477A"/>
            <w:left w:val="single" w:sz="6" w:space="0" w:color="0E477A"/>
            <w:bottom w:val="single" w:sz="6" w:space="0" w:color="0E477A"/>
            <w:right w:val="single" w:sz="6" w:space="0" w:color="0E477A"/>
          </w:divBdr>
          <w:divsChild>
            <w:div w:id="887961240">
              <w:marLeft w:val="2925"/>
              <w:marRight w:val="0"/>
              <w:marTop w:val="0"/>
              <w:marBottom w:val="0"/>
              <w:divBdr>
                <w:top w:val="none" w:sz="0" w:space="0" w:color="auto"/>
                <w:left w:val="none" w:sz="0" w:space="0" w:color="auto"/>
                <w:bottom w:val="none" w:sz="0" w:space="0" w:color="auto"/>
                <w:right w:val="none" w:sz="0" w:space="0" w:color="auto"/>
              </w:divBdr>
              <w:divsChild>
                <w:div w:id="121850987">
                  <w:marLeft w:val="0"/>
                  <w:marRight w:val="0"/>
                  <w:marTop w:val="0"/>
                  <w:marBottom w:val="0"/>
                  <w:divBdr>
                    <w:top w:val="none" w:sz="0" w:space="0" w:color="auto"/>
                    <w:left w:val="none" w:sz="0" w:space="0" w:color="auto"/>
                    <w:bottom w:val="none" w:sz="0" w:space="0" w:color="auto"/>
                    <w:right w:val="none" w:sz="0" w:space="0" w:color="auto"/>
                  </w:divBdr>
                  <w:divsChild>
                    <w:div w:id="300159948">
                      <w:marLeft w:val="0"/>
                      <w:marRight w:val="150"/>
                      <w:marTop w:val="0"/>
                      <w:marBottom w:val="0"/>
                      <w:divBdr>
                        <w:top w:val="single" w:sz="6" w:space="0" w:color="CCCCCC"/>
                        <w:left w:val="single" w:sz="6" w:space="8" w:color="CCCCCC"/>
                        <w:bottom w:val="single" w:sz="6" w:space="8" w:color="CCCCCC"/>
                        <w:right w:val="single" w:sz="6" w:space="8" w:color="CCCCCC"/>
                      </w:divBdr>
                      <w:divsChild>
                        <w:div w:id="195706254">
                          <w:marLeft w:val="0"/>
                          <w:marRight w:val="0"/>
                          <w:marTop w:val="0"/>
                          <w:marBottom w:val="0"/>
                          <w:divBdr>
                            <w:top w:val="none" w:sz="0" w:space="0" w:color="auto"/>
                            <w:left w:val="none" w:sz="0" w:space="0" w:color="auto"/>
                            <w:bottom w:val="none" w:sz="0" w:space="0" w:color="auto"/>
                            <w:right w:val="none" w:sz="0" w:space="0" w:color="auto"/>
                          </w:divBdr>
                        </w:div>
                        <w:div w:id="147484647">
                          <w:marLeft w:val="0"/>
                          <w:marRight w:val="0"/>
                          <w:marTop w:val="0"/>
                          <w:marBottom w:val="0"/>
                          <w:divBdr>
                            <w:top w:val="none" w:sz="0" w:space="0" w:color="auto"/>
                            <w:left w:val="none" w:sz="0" w:space="0" w:color="auto"/>
                            <w:bottom w:val="none" w:sz="0" w:space="0" w:color="auto"/>
                            <w:right w:val="none" w:sz="0" w:space="0" w:color="auto"/>
                          </w:divBdr>
                        </w:div>
                        <w:div w:id="659427413">
                          <w:marLeft w:val="0"/>
                          <w:marRight w:val="0"/>
                          <w:marTop w:val="0"/>
                          <w:marBottom w:val="0"/>
                          <w:divBdr>
                            <w:top w:val="none" w:sz="0" w:space="0" w:color="auto"/>
                            <w:left w:val="none" w:sz="0" w:space="0" w:color="auto"/>
                            <w:bottom w:val="none" w:sz="0" w:space="0" w:color="auto"/>
                            <w:right w:val="none" w:sz="0" w:space="0" w:color="auto"/>
                          </w:divBdr>
                        </w:div>
                        <w:div w:id="222907952">
                          <w:marLeft w:val="0"/>
                          <w:marRight w:val="0"/>
                          <w:marTop w:val="0"/>
                          <w:marBottom w:val="0"/>
                          <w:divBdr>
                            <w:top w:val="none" w:sz="0" w:space="0" w:color="auto"/>
                            <w:left w:val="none" w:sz="0" w:space="0" w:color="auto"/>
                            <w:bottom w:val="none" w:sz="0" w:space="0" w:color="auto"/>
                            <w:right w:val="none" w:sz="0" w:space="0" w:color="auto"/>
                          </w:divBdr>
                        </w:div>
                        <w:div w:id="784038387">
                          <w:marLeft w:val="0"/>
                          <w:marRight w:val="0"/>
                          <w:marTop w:val="0"/>
                          <w:marBottom w:val="0"/>
                          <w:divBdr>
                            <w:top w:val="none" w:sz="0" w:space="0" w:color="auto"/>
                            <w:left w:val="none" w:sz="0" w:space="0" w:color="auto"/>
                            <w:bottom w:val="none" w:sz="0" w:space="0" w:color="auto"/>
                            <w:right w:val="none" w:sz="0" w:space="0" w:color="auto"/>
                          </w:divBdr>
                        </w:div>
                        <w:div w:id="320164468">
                          <w:marLeft w:val="0"/>
                          <w:marRight w:val="0"/>
                          <w:marTop w:val="0"/>
                          <w:marBottom w:val="0"/>
                          <w:divBdr>
                            <w:top w:val="none" w:sz="0" w:space="0" w:color="auto"/>
                            <w:left w:val="none" w:sz="0" w:space="0" w:color="auto"/>
                            <w:bottom w:val="none" w:sz="0" w:space="0" w:color="auto"/>
                            <w:right w:val="none" w:sz="0" w:space="0" w:color="auto"/>
                          </w:divBdr>
                        </w:div>
                        <w:div w:id="989140112">
                          <w:marLeft w:val="0"/>
                          <w:marRight w:val="0"/>
                          <w:marTop w:val="0"/>
                          <w:marBottom w:val="0"/>
                          <w:divBdr>
                            <w:top w:val="none" w:sz="0" w:space="0" w:color="auto"/>
                            <w:left w:val="none" w:sz="0" w:space="0" w:color="auto"/>
                            <w:bottom w:val="none" w:sz="0" w:space="0" w:color="auto"/>
                            <w:right w:val="none" w:sz="0" w:space="0" w:color="auto"/>
                          </w:divBdr>
                        </w:div>
                        <w:div w:id="1692683730">
                          <w:marLeft w:val="0"/>
                          <w:marRight w:val="0"/>
                          <w:marTop w:val="0"/>
                          <w:marBottom w:val="0"/>
                          <w:divBdr>
                            <w:top w:val="none" w:sz="0" w:space="0" w:color="auto"/>
                            <w:left w:val="none" w:sz="0" w:space="0" w:color="auto"/>
                            <w:bottom w:val="none" w:sz="0" w:space="0" w:color="auto"/>
                            <w:right w:val="none" w:sz="0" w:space="0" w:color="auto"/>
                          </w:divBdr>
                        </w:div>
                        <w:div w:id="344482894">
                          <w:marLeft w:val="0"/>
                          <w:marRight w:val="0"/>
                          <w:marTop w:val="0"/>
                          <w:marBottom w:val="0"/>
                          <w:divBdr>
                            <w:top w:val="none" w:sz="0" w:space="0" w:color="auto"/>
                            <w:left w:val="none" w:sz="0" w:space="0" w:color="auto"/>
                            <w:bottom w:val="none" w:sz="0" w:space="0" w:color="auto"/>
                            <w:right w:val="none" w:sz="0" w:space="0" w:color="auto"/>
                          </w:divBdr>
                        </w:div>
                        <w:div w:id="8244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31170">
      <w:bodyDiv w:val="1"/>
      <w:marLeft w:val="0"/>
      <w:marRight w:val="0"/>
      <w:marTop w:val="0"/>
      <w:marBottom w:val="0"/>
      <w:divBdr>
        <w:top w:val="none" w:sz="0" w:space="0" w:color="auto"/>
        <w:left w:val="none" w:sz="0" w:space="0" w:color="auto"/>
        <w:bottom w:val="none" w:sz="0" w:space="0" w:color="auto"/>
        <w:right w:val="none" w:sz="0" w:space="0" w:color="auto"/>
      </w:divBdr>
    </w:div>
    <w:div w:id="131095524">
      <w:bodyDiv w:val="1"/>
      <w:marLeft w:val="0"/>
      <w:marRight w:val="0"/>
      <w:marTop w:val="0"/>
      <w:marBottom w:val="0"/>
      <w:divBdr>
        <w:top w:val="none" w:sz="0" w:space="0" w:color="auto"/>
        <w:left w:val="none" w:sz="0" w:space="0" w:color="auto"/>
        <w:bottom w:val="none" w:sz="0" w:space="0" w:color="auto"/>
        <w:right w:val="none" w:sz="0" w:space="0" w:color="auto"/>
      </w:divBdr>
      <w:divsChild>
        <w:div w:id="284046216">
          <w:marLeft w:val="0"/>
          <w:marRight w:val="0"/>
          <w:marTop w:val="0"/>
          <w:marBottom w:val="0"/>
          <w:divBdr>
            <w:top w:val="none" w:sz="0" w:space="0" w:color="auto"/>
            <w:left w:val="none" w:sz="0" w:space="0" w:color="auto"/>
            <w:bottom w:val="none" w:sz="0" w:space="0" w:color="auto"/>
            <w:right w:val="none" w:sz="0" w:space="0" w:color="auto"/>
          </w:divBdr>
          <w:divsChild>
            <w:div w:id="415440678">
              <w:marLeft w:val="0"/>
              <w:marRight w:val="0"/>
              <w:marTop w:val="0"/>
              <w:marBottom w:val="0"/>
              <w:divBdr>
                <w:top w:val="none" w:sz="0" w:space="0" w:color="auto"/>
                <w:left w:val="none" w:sz="0" w:space="0" w:color="auto"/>
                <w:bottom w:val="none" w:sz="0" w:space="0" w:color="auto"/>
                <w:right w:val="none" w:sz="0" w:space="0" w:color="auto"/>
              </w:divBdr>
              <w:divsChild>
                <w:div w:id="409815152">
                  <w:marLeft w:val="0"/>
                  <w:marRight w:val="0"/>
                  <w:marTop w:val="0"/>
                  <w:marBottom w:val="0"/>
                  <w:divBdr>
                    <w:top w:val="none" w:sz="0" w:space="0" w:color="auto"/>
                    <w:left w:val="none" w:sz="0" w:space="0" w:color="auto"/>
                    <w:bottom w:val="none" w:sz="0" w:space="0" w:color="auto"/>
                    <w:right w:val="none" w:sz="0" w:space="0" w:color="auto"/>
                  </w:divBdr>
                  <w:divsChild>
                    <w:div w:id="27872282">
                      <w:marLeft w:val="0"/>
                      <w:marRight w:val="0"/>
                      <w:marTop w:val="0"/>
                      <w:marBottom w:val="0"/>
                      <w:divBdr>
                        <w:top w:val="none" w:sz="0" w:space="0" w:color="auto"/>
                        <w:left w:val="none" w:sz="0" w:space="0" w:color="auto"/>
                        <w:bottom w:val="none" w:sz="0" w:space="0" w:color="auto"/>
                        <w:right w:val="none" w:sz="0" w:space="0" w:color="auto"/>
                      </w:divBdr>
                      <w:divsChild>
                        <w:div w:id="1267033208">
                          <w:marLeft w:val="570"/>
                          <w:marRight w:val="720"/>
                          <w:marTop w:val="120"/>
                          <w:marBottom w:val="120"/>
                          <w:divBdr>
                            <w:top w:val="none" w:sz="0" w:space="0" w:color="auto"/>
                            <w:left w:val="none" w:sz="0" w:space="0" w:color="auto"/>
                            <w:bottom w:val="none" w:sz="0" w:space="0" w:color="auto"/>
                            <w:right w:val="none" w:sz="0" w:space="0" w:color="auto"/>
                          </w:divBdr>
                          <w:divsChild>
                            <w:div w:id="177500477">
                              <w:marLeft w:val="0"/>
                              <w:marRight w:val="0"/>
                              <w:marTop w:val="0"/>
                              <w:marBottom w:val="0"/>
                              <w:divBdr>
                                <w:top w:val="none" w:sz="0" w:space="0" w:color="auto"/>
                                <w:left w:val="none" w:sz="0" w:space="0" w:color="auto"/>
                                <w:bottom w:val="none" w:sz="0" w:space="0" w:color="auto"/>
                                <w:right w:val="none" w:sz="0" w:space="0" w:color="auto"/>
                              </w:divBdr>
                              <w:divsChild>
                                <w:div w:id="1370568308">
                                  <w:marLeft w:val="0"/>
                                  <w:marRight w:val="0"/>
                                  <w:marTop w:val="0"/>
                                  <w:marBottom w:val="0"/>
                                  <w:divBdr>
                                    <w:top w:val="none" w:sz="0" w:space="0" w:color="auto"/>
                                    <w:left w:val="none" w:sz="0" w:space="0" w:color="auto"/>
                                    <w:bottom w:val="none" w:sz="0" w:space="0" w:color="auto"/>
                                    <w:right w:val="none" w:sz="0" w:space="0" w:color="auto"/>
                                  </w:divBdr>
                                  <w:divsChild>
                                    <w:div w:id="1914001646">
                                      <w:marLeft w:val="0"/>
                                      <w:marRight w:val="0"/>
                                      <w:marTop w:val="0"/>
                                      <w:marBottom w:val="0"/>
                                      <w:divBdr>
                                        <w:top w:val="none" w:sz="0" w:space="0" w:color="auto"/>
                                        <w:left w:val="none" w:sz="0" w:space="0" w:color="auto"/>
                                        <w:bottom w:val="none" w:sz="0" w:space="0" w:color="auto"/>
                                        <w:right w:val="none" w:sz="0" w:space="0" w:color="auto"/>
                                      </w:divBdr>
                                      <w:divsChild>
                                        <w:div w:id="430902459">
                                          <w:marLeft w:val="0"/>
                                          <w:marRight w:val="0"/>
                                          <w:marTop w:val="240"/>
                                          <w:marBottom w:val="240"/>
                                          <w:divBdr>
                                            <w:top w:val="single" w:sz="6" w:space="6" w:color="F2F2F2"/>
                                            <w:left w:val="none" w:sz="0" w:space="0" w:color="auto"/>
                                            <w:bottom w:val="single" w:sz="6" w:space="6" w:color="F2F2F2"/>
                                            <w:right w:val="none" w:sz="0" w:space="0" w:color="auto"/>
                                          </w:divBdr>
                                        </w:div>
                                        <w:div w:id="1214007004">
                                          <w:marLeft w:val="0"/>
                                          <w:marRight w:val="0"/>
                                          <w:marTop w:val="0"/>
                                          <w:marBottom w:val="0"/>
                                          <w:divBdr>
                                            <w:top w:val="none" w:sz="0" w:space="0" w:color="auto"/>
                                            <w:left w:val="none" w:sz="0" w:space="0" w:color="auto"/>
                                            <w:bottom w:val="none" w:sz="0" w:space="0" w:color="auto"/>
                                            <w:right w:val="none" w:sz="0" w:space="0" w:color="auto"/>
                                          </w:divBdr>
                                          <w:divsChild>
                                            <w:div w:id="1685473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99300">
      <w:bodyDiv w:val="1"/>
      <w:marLeft w:val="0"/>
      <w:marRight w:val="0"/>
      <w:marTop w:val="0"/>
      <w:marBottom w:val="0"/>
      <w:divBdr>
        <w:top w:val="none" w:sz="0" w:space="0" w:color="auto"/>
        <w:left w:val="none" w:sz="0" w:space="0" w:color="auto"/>
        <w:bottom w:val="none" w:sz="0" w:space="0" w:color="auto"/>
        <w:right w:val="none" w:sz="0" w:space="0" w:color="auto"/>
      </w:divBdr>
      <w:divsChild>
        <w:div w:id="690109921">
          <w:marLeft w:val="0"/>
          <w:marRight w:val="0"/>
          <w:marTop w:val="0"/>
          <w:marBottom w:val="0"/>
          <w:divBdr>
            <w:top w:val="none" w:sz="0" w:space="0" w:color="auto"/>
            <w:left w:val="none" w:sz="0" w:space="0" w:color="auto"/>
            <w:bottom w:val="none" w:sz="0" w:space="0" w:color="auto"/>
            <w:right w:val="none" w:sz="0" w:space="0" w:color="auto"/>
          </w:divBdr>
          <w:divsChild>
            <w:div w:id="1324315704">
              <w:marLeft w:val="0"/>
              <w:marRight w:val="0"/>
              <w:marTop w:val="0"/>
              <w:marBottom w:val="0"/>
              <w:divBdr>
                <w:top w:val="none" w:sz="0" w:space="0" w:color="auto"/>
                <w:left w:val="none" w:sz="0" w:space="0" w:color="auto"/>
                <w:bottom w:val="none" w:sz="0" w:space="0" w:color="auto"/>
                <w:right w:val="none" w:sz="0" w:space="0" w:color="auto"/>
              </w:divBdr>
              <w:divsChild>
                <w:div w:id="874998356">
                  <w:marLeft w:val="0"/>
                  <w:marRight w:val="0"/>
                  <w:marTop w:val="0"/>
                  <w:marBottom w:val="0"/>
                  <w:divBdr>
                    <w:top w:val="none" w:sz="0" w:space="0" w:color="auto"/>
                    <w:left w:val="none" w:sz="0" w:space="0" w:color="auto"/>
                    <w:bottom w:val="none" w:sz="0" w:space="0" w:color="auto"/>
                    <w:right w:val="none" w:sz="0" w:space="0" w:color="auto"/>
                  </w:divBdr>
                  <w:divsChild>
                    <w:div w:id="1622767135">
                      <w:marLeft w:val="0"/>
                      <w:marRight w:val="0"/>
                      <w:marTop w:val="0"/>
                      <w:marBottom w:val="0"/>
                      <w:divBdr>
                        <w:top w:val="none" w:sz="0" w:space="0" w:color="auto"/>
                        <w:left w:val="none" w:sz="0" w:space="0" w:color="auto"/>
                        <w:bottom w:val="none" w:sz="0" w:space="0" w:color="auto"/>
                        <w:right w:val="none" w:sz="0" w:space="0" w:color="auto"/>
                      </w:divBdr>
                      <w:divsChild>
                        <w:div w:id="21290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824">
      <w:bodyDiv w:val="1"/>
      <w:marLeft w:val="0"/>
      <w:marRight w:val="0"/>
      <w:marTop w:val="0"/>
      <w:marBottom w:val="0"/>
      <w:divBdr>
        <w:top w:val="none" w:sz="0" w:space="0" w:color="auto"/>
        <w:left w:val="none" w:sz="0" w:space="0" w:color="auto"/>
        <w:bottom w:val="none" w:sz="0" w:space="0" w:color="auto"/>
        <w:right w:val="none" w:sz="0" w:space="0" w:color="auto"/>
      </w:divBdr>
      <w:divsChild>
        <w:div w:id="1209074401">
          <w:marLeft w:val="0"/>
          <w:marRight w:val="0"/>
          <w:marTop w:val="0"/>
          <w:marBottom w:val="0"/>
          <w:divBdr>
            <w:top w:val="single" w:sz="6" w:space="0" w:color="0E477A"/>
            <w:left w:val="single" w:sz="6" w:space="0" w:color="0E477A"/>
            <w:bottom w:val="single" w:sz="6" w:space="0" w:color="0E477A"/>
            <w:right w:val="single" w:sz="6" w:space="0" w:color="0E477A"/>
          </w:divBdr>
          <w:divsChild>
            <w:div w:id="978807287">
              <w:marLeft w:val="2925"/>
              <w:marRight w:val="0"/>
              <w:marTop w:val="0"/>
              <w:marBottom w:val="0"/>
              <w:divBdr>
                <w:top w:val="none" w:sz="0" w:space="0" w:color="auto"/>
                <w:left w:val="none" w:sz="0" w:space="0" w:color="auto"/>
                <w:bottom w:val="none" w:sz="0" w:space="0" w:color="auto"/>
                <w:right w:val="none" w:sz="0" w:space="0" w:color="auto"/>
              </w:divBdr>
              <w:divsChild>
                <w:div w:id="464472848">
                  <w:marLeft w:val="0"/>
                  <w:marRight w:val="0"/>
                  <w:marTop w:val="0"/>
                  <w:marBottom w:val="0"/>
                  <w:divBdr>
                    <w:top w:val="none" w:sz="0" w:space="0" w:color="auto"/>
                    <w:left w:val="none" w:sz="0" w:space="0" w:color="auto"/>
                    <w:bottom w:val="none" w:sz="0" w:space="0" w:color="auto"/>
                    <w:right w:val="none" w:sz="0" w:space="0" w:color="auto"/>
                  </w:divBdr>
                  <w:divsChild>
                    <w:div w:id="1518973">
                      <w:marLeft w:val="0"/>
                      <w:marRight w:val="150"/>
                      <w:marTop w:val="0"/>
                      <w:marBottom w:val="0"/>
                      <w:divBdr>
                        <w:top w:val="single" w:sz="6" w:space="0" w:color="CCCCCC"/>
                        <w:left w:val="single" w:sz="6" w:space="8" w:color="CCCCCC"/>
                        <w:bottom w:val="single" w:sz="6" w:space="8" w:color="CCCCCC"/>
                        <w:right w:val="single" w:sz="6" w:space="8" w:color="CCCCCC"/>
                      </w:divBdr>
                      <w:divsChild>
                        <w:div w:id="10143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07152">
      <w:bodyDiv w:val="1"/>
      <w:marLeft w:val="0"/>
      <w:marRight w:val="0"/>
      <w:marTop w:val="0"/>
      <w:marBottom w:val="0"/>
      <w:divBdr>
        <w:top w:val="none" w:sz="0" w:space="0" w:color="auto"/>
        <w:left w:val="none" w:sz="0" w:space="0" w:color="auto"/>
        <w:bottom w:val="none" w:sz="0" w:space="0" w:color="auto"/>
        <w:right w:val="none" w:sz="0" w:space="0" w:color="auto"/>
      </w:divBdr>
      <w:divsChild>
        <w:div w:id="1677537023">
          <w:marLeft w:val="0"/>
          <w:marRight w:val="0"/>
          <w:marTop w:val="0"/>
          <w:marBottom w:val="0"/>
          <w:divBdr>
            <w:top w:val="none" w:sz="0" w:space="0" w:color="auto"/>
            <w:left w:val="none" w:sz="0" w:space="0" w:color="auto"/>
            <w:bottom w:val="none" w:sz="0" w:space="0" w:color="auto"/>
            <w:right w:val="none" w:sz="0" w:space="0" w:color="auto"/>
          </w:divBdr>
          <w:divsChild>
            <w:div w:id="124957629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5027479">
      <w:bodyDiv w:val="1"/>
      <w:marLeft w:val="0"/>
      <w:marRight w:val="0"/>
      <w:marTop w:val="0"/>
      <w:marBottom w:val="0"/>
      <w:divBdr>
        <w:top w:val="none" w:sz="0" w:space="0" w:color="auto"/>
        <w:left w:val="none" w:sz="0" w:space="0" w:color="auto"/>
        <w:bottom w:val="none" w:sz="0" w:space="0" w:color="auto"/>
        <w:right w:val="none" w:sz="0" w:space="0" w:color="auto"/>
      </w:divBdr>
      <w:divsChild>
        <w:div w:id="1456562153">
          <w:marLeft w:val="0"/>
          <w:marRight w:val="0"/>
          <w:marTop w:val="0"/>
          <w:marBottom w:val="0"/>
          <w:divBdr>
            <w:top w:val="none" w:sz="0" w:space="0" w:color="auto"/>
            <w:left w:val="none" w:sz="0" w:space="0" w:color="auto"/>
            <w:bottom w:val="none" w:sz="0" w:space="0" w:color="auto"/>
            <w:right w:val="none" w:sz="0" w:space="0" w:color="auto"/>
          </w:divBdr>
          <w:divsChild>
            <w:div w:id="400372735">
              <w:marLeft w:val="0"/>
              <w:marRight w:val="-100"/>
              <w:marTop w:val="1050"/>
              <w:marBottom w:val="0"/>
              <w:divBdr>
                <w:top w:val="none" w:sz="0" w:space="0" w:color="auto"/>
                <w:left w:val="none" w:sz="0" w:space="0" w:color="auto"/>
                <w:bottom w:val="none" w:sz="0" w:space="0" w:color="auto"/>
                <w:right w:val="none" w:sz="0" w:space="0" w:color="auto"/>
              </w:divBdr>
              <w:divsChild>
                <w:div w:id="1481533264">
                  <w:marLeft w:val="3450"/>
                  <w:marRight w:val="0"/>
                  <w:marTop w:val="330"/>
                  <w:marBottom w:val="0"/>
                  <w:divBdr>
                    <w:top w:val="none" w:sz="0" w:space="0" w:color="auto"/>
                    <w:left w:val="none" w:sz="0" w:space="0" w:color="auto"/>
                    <w:bottom w:val="none" w:sz="0" w:space="0" w:color="auto"/>
                    <w:right w:val="none" w:sz="0" w:space="0" w:color="auto"/>
                  </w:divBdr>
                  <w:divsChild>
                    <w:div w:id="1376928785">
                      <w:marLeft w:val="0"/>
                      <w:marRight w:val="0"/>
                      <w:marTop w:val="0"/>
                      <w:marBottom w:val="0"/>
                      <w:divBdr>
                        <w:top w:val="none" w:sz="0" w:space="0" w:color="auto"/>
                        <w:left w:val="none" w:sz="0" w:space="0" w:color="auto"/>
                        <w:bottom w:val="none" w:sz="0" w:space="0" w:color="auto"/>
                        <w:right w:val="none" w:sz="0" w:space="0" w:color="auto"/>
                      </w:divBdr>
                      <w:divsChild>
                        <w:div w:id="1844006699">
                          <w:marLeft w:val="0"/>
                          <w:marRight w:val="0"/>
                          <w:marTop w:val="225"/>
                          <w:marBottom w:val="0"/>
                          <w:divBdr>
                            <w:top w:val="none" w:sz="0" w:space="0" w:color="auto"/>
                            <w:left w:val="none" w:sz="0" w:space="0" w:color="auto"/>
                            <w:bottom w:val="none" w:sz="0" w:space="0" w:color="auto"/>
                            <w:right w:val="none" w:sz="0" w:space="0" w:color="auto"/>
                          </w:divBdr>
                          <w:divsChild>
                            <w:div w:id="1446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51104">
      <w:bodyDiv w:val="1"/>
      <w:marLeft w:val="0"/>
      <w:marRight w:val="0"/>
      <w:marTop w:val="0"/>
      <w:marBottom w:val="0"/>
      <w:divBdr>
        <w:top w:val="none" w:sz="0" w:space="0" w:color="auto"/>
        <w:left w:val="none" w:sz="0" w:space="0" w:color="auto"/>
        <w:bottom w:val="none" w:sz="0" w:space="0" w:color="auto"/>
        <w:right w:val="none" w:sz="0" w:space="0" w:color="auto"/>
      </w:divBdr>
    </w:div>
    <w:div w:id="135537041">
      <w:bodyDiv w:val="1"/>
      <w:marLeft w:val="0"/>
      <w:marRight w:val="0"/>
      <w:marTop w:val="0"/>
      <w:marBottom w:val="0"/>
      <w:divBdr>
        <w:top w:val="none" w:sz="0" w:space="0" w:color="auto"/>
        <w:left w:val="none" w:sz="0" w:space="0" w:color="auto"/>
        <w:bottom w:val="none" w:sz="0" w:space="0" w:color="auto"/>
        <w:right w:val="none" w:sz="0" w:space="0" w:color="auto"/>
      </w:divBdr>
      <w:divsChild>
        <w:div w:id="66802070">
          <w:marLeft w:val="0"/>
          <w:marRight w:val="0"/>
          <w:marTop w:val="0"/>
          <w:marBottom w:val="0"/>
          <w:divBdr>
            <w:top w:val="none" w:sz="0" w:space="0" w:color="auto"/>
            <w:left w:val="none" w:sz="0" w:space="0" w:color="auto"/>
            <w:bottom w:val="none" w:sz="0" w:space="0" w:color="auto"/>
            <w:right w:val="none" w:sz="0" w:space="0" w:color="auto"/>
          </w:divBdr>
          <w:divsChild>
            <w:div w:id="1576209108">
              <w:marLeft w:val="0"/>
              <w:marRight w:val="0"/>
              <w:marTop w:val="0"/>
              <w:marBottom w:val="0"/>
              <w:divBdr>
                <w:top w:val="none" w:sz="0" w:space="0" w:color="auto"/>
                <w:left w:val="none" w:sz="0" w:space="0" w:color="auto"/>
                <w:bottom w:val="none" w:sz="0" w:space="0" w:color="auto"/>
                <w:right w:val="none" w:sz="0" w:space="0" w:color="auto"/>
              </w:divBdr>
              <w:divsChild>
                <w:div w:id="1408960688">
                  <w:marLeft w:val="0"/>
                  <w:marRight w:val="0"/>
                  <w:marTop w:val="0"/>
                  <w:marBottom w:val="0"/>
                  <w:divBdr>
                    <w:top w:val="none" w:sz="0" w:space="0" w:color="auto"/>
                    <w:left w:val="none" w:sz="0" w:space="0" w:color="auto"/>
                    <w:bottom w:val="none" w:sz="0" w:space="0" w:color="auto"/>
                    <w:right w:val="none" w:sz="0" w:space="0" w:color="auto"/>
                  </w:divBdr>
                  <w:divsChild>
                    <w:div w:id="888296292">
                      <w:marLeft w:val="0"/>
                      <w:marRight w:val="0"/>
                      <w:marTop w:val="0"/>
                      <w:marBottom w:val="0"/>
                      <w:divBdr>
                        <w:top w:val="none" w:sz="0" w:space="0" w:color="auto"/>
                        <w:left w:val="none" w:sz="0" w:space="0" w:color="auto"/>
                        <w:bottom w:val="none" w:sz="0" w:space="0" w:color="auto"/>
                        <w:right w:val="none" w:sz="0" w:space="0" w:color="auto"/>
                      </w:divBdr>
                      <w:divsChild>
                        <w:div w:id="517738448">
                          <w:marLeft w:val="0"/>
                          <w:marRight w:val="0"/>
                          <w:marTop w:val="0"/>
                          <w:marBottom w:val="0"/>
                          <w:divBdr>
                            <w:top w:val="none" w:sz="0" w:space="0" w:color="auto"/>
                            <w:left w:val="none" w:sz="0" w:space="0" w:color="auto"/>
                            <w:bottom w:val="none" w:sz="0" w:space="0" w:color="auto"/>
                            <w:right w:val="none" w:sz="0" w:space="0" w:color="auto"/>
                          </w:divBdr>
                          <w:divsChild>
                            <w:div w:id="1620993996">
                              <w:marLeft w:val="0"/>
                              <w:marRight w:val="0"/>
                              <w:marTop w:val="0"/>
                              <w:marBottom w:val="0"/>
                              <w:divBdr>
                                <w:top w:val="none" w:sz="0" w:space="0" w:color="auto"/>
                                <w:left w:val="none" w:sz="0" w:space="0" w:color="auto"/>
                                <w:bottom w:val="none" w:sz="0" w:space="0" w:color="auto"/>
                                <w:right w:val="none" w:sz="0" w:space="0" w:color="auto"/>
                              </w:divBdr>
                              <w:divsChild>
                                <w:div w:id="568810835">
                                  <w:marLeft w:val="0"/>
                                  <w:marRight w:val="0"/>
                                  <w:marTop w:val="0"/>
                                  <w:marBottom w:val="0"/>
                                  <w:divBdr>
                                    <w:top w:val="none" w:sz="0" w:space="0" w:color="auto"/>
                                    <w:left w:val="none" w:sz="0" w:space="0" w:color="auto"/>
                                    <w:bottom w:val="none" w:sz="0" w:space="0" w:color="auto"/>
                                    <w:right w:val="none" w:sz="0" w:space="0" w:color="auto"/>
                                  </w:divBdr>
                                  <w:divsChild>
                                    <w:div w:id="1940290486">
                                      <w:marLeft w:val="0"/>
                                      <w:marRight w:val="0"/>
                                      <w:marTop w:val="0"/>
                                      <w:marBottom w:val="0"/>
                                      <w:divBdr>
                                        <w:top w:val="none" w:sz="0" w:space="0" w:color="auto"/>
                                        <w:left w:val="none" w:sz="0" w:space="0" w:color="auto"/>
                                        <w:bottom w:val="none" w:sz="0" w:space="0" w:color="auto"/>
                                        <w:right w:val="none" w:sz="0" w:space="0" w:color="auto"/>
                                      </w:divBdr>
                                      <w:divsChild>
                                        <w:div w:id="1540359605">
                                          <w:marLeft w:val="0"/>
                                          <w:marRight w:val="0"/>
                                          <w:marTop w:val="0"/>
                                          <w:marBottom w:val="0"/>
                                          <w:divBdr>
                                            <w:top w:val="none" w:sz="0" w:space="0" w:color="auto"/>
                                            <w:left w:val="none" w:sz="0" w:space="0" w:color="auto"/>
                                            <w:bottom w:val="none" w:sz="0" w:space="0" w:color="auto"/>
                                            <w:right w:val="none" w:sz="0" w:space="0" w:color="auto"/>
                                          </w:divBdr>
                                          <w:divsChild>
                                            <w:div w:id="999626292">
                                              <w:marLeft w:val="0"/>
                                              <w:marRight w:val="0"/>
                                              <w:marTop w:val="0"/>
                                              <w:marBottom w:val="0"/>
                                              <w:divBdr>
                                                <w:top w:val="none" w:sz="0" w:space="0" w:color="auto"/>
                                                <w:left w:val="none" w:sz="0" w:space="0" w:color="auto"/>
                                                <w:bottom w:val="none" w:sz="0" w:space="0" w:color="auto"/>
                                                <w:right w:val="none" w:sz="0" w:space="0" w:color="auto"/>
                                              </w:divBdr>
                                              <w:divsChild>
                                                <w:div w:id="1846242557">
                                                  <w:marLeft w:val="0"/>
                                                  <w:marRight w:val="0"/>
                                                  <w:marTop w:val="0"/>
                                                  <w:marBottom w:val="0"/>
                                                  <w:divBdr>
                                                    <w:top w:val="none" w:sz="0" w:space="0" w:color="auto"/>
                                                    <w:left w:val="none" w:sz="0" w:space="0" w:color="auto"/>
                                                    <w:bottom w:val="none" w:sz="0" w:space="0" w:color="auto"/>
                                                    <w:right w:val="none" w:sz="0" w:space="0" w:color="auto"/>
                                                  </w:divBdr>
                                                  <w:divsChild>
                                                    <w:div w:id="2068188464">
                                                      <w:marLeft w:val="0"/>
                                                      <w:marRight w:val="0"/>
                                                      <w:marTop w:val="0"/>
                                                      <w:marBottom w:val="0"/>
                                                      <w:divBdr>
                                                        <w:top w:val="none" w:sz="0" w:space="0" w:color="auto"/>
                                                        <w:left w:val="none" w:sz="0" w:space="0" w:color="auto"/>
                                                        <w:bottom w:val="none" w:sz="0" w:space="0" w:color="auto"/>
                                                        <w:right w:val="none" w:sz="0" w:space="0" w:color="auto"/>
                                                      </w:divBdr>
                                                      <w:divsChild>
                                                        <w:div w:id="962923180">
                                                          <w:marLeft w:val="0"/>
                                                          <w:marRight w:val="0"/>
                                                          <w:marTop w:val="0"/>
                                                          <w:marBottom w:val="0"/>
                                                          <w:divBdr>
                                                            <w:top w:val="none" w:sz="0" w:space="0" w:color="auto"/>
                                                            <w:left w:val="none" w:sz="0" w:space="0" w:color="auto"/>
                                                            <w:bottom w:val="none" w:sz="0" w:space="0" w:color="auto"/>
                                                            <w:right w:val="none" w:sz="0" w:space="0" w:color="auto"/>
                                                          </w:divBdr>
                                                        </w:div>
                                                        <w:div w:id="79253585">
                                                          <w:marLeft w:val="0"/>
                                                          <w:marRight w:val="0"/>
                                                          <w:marTop w:val="0"/>
                                                          <w:marBottom w:val="0"/>
                                                          <w:divBdr>
                                                            <w:top w:val="none" w:sz="0" w:space="0" w:color="auto"/>
                                                            <w:left w:val="none" w:sz="0" w:space="0" w:color="auto"/>
                                                            <w:bottom w:val="none" w:sz="0" w:space="0" w:color="auto"/>
                                                            <w:right w:val="none" w:sz="0" w:space="0" w:color="auto"/>
                                                          </w:divBdr>
                                                          <w:divsChild>
                                                            <w:div w:id="1694111583">
                                                              <w:marLeft w:val="0"/>
                                                              <w:marRight w:val="0"/>
                                                              <w:marTop w:val="0"/>
                                                              <w:marBottom w:val="0"/>
                                                              <w:divBdr>
                                                                <w:top w:val="none" w:sz="0" w:space="0" w:color="auto"/>
                                                                <w:left w:val="none" w:sz="0" w:space="0" w:color="auto"/>
                                                                <w:bottom w:val="none" w:sz="0" w:space="0" w:color="auto"/>
                                                                <w:right w:val="none" w:sz="0" w:space="0" w:color="auto"/>
                                                              </w:divBdr>
                                                            </w:div>
                                                            <w:div w:id="347756357">
                                                              <w:marLeft w:val="0"/>
                                                              <w:marRight w:val="0"/>
                                                              <w:marTop w:val="0"/>
                                                              <w:marBottom w:val="0"/>
                                                              <w:divBdr>
                                                                <w:top w:val="none" w:sz="0" w:space="0" w:color="auto"/>
                                                                <w:left w:val="none" w:sz="0" w:space="0" w:color="auto"/>
                                                                <w:bottom w:val="none" w:sz="0" w:space="0" w:color="auto"/>
                                                                <w:right w:val="none" w:sz="0" w:space="0" w:color="auto"/>
                                                              </w:divBdr>
                                                            </w:div>
                                                          </w:divsChild>
                                                        </w:div>
                                                        <w:div w:id="1502699487">
                                                          <w:marLeft w:val="0"/>
                                                          <w:marRight w:val="0"/>
                                                          <w:marTop w:val="0"/>
                                                          <w:marBottom w:val="0"/>
                                                          <w:divBdr>
                                                            <w:top w:val="none" w:sz="0" w:space="0" w:color="auto"/>
                                                            <w:left w:val="none" w:sz="0" w:space="0" w:color="auto"/>
                                                            <w:bottom w:val="none" w:sz="0" w:space="0" w:color="auto"/>
                                                            <w:right w:val="none" w:sz="0" w:space="0" w:color="auto"/>
                                                          </w:divBdr>
                                                        </w:div>
                                                        <w:div w:id="632177186">
                                                          <w:marLeft w:val="0"/>
                                                          <w:marRight w:val="0"/>
                                                          <w:marTop w:val="0"/>
                                                          <w:marBottom w:val="0"/>
                                                          <w:divBdr>
                                                            <w:top w:val="none" w:sz="0" w:space="0" w:color="auto"/>
                                                            <w:left w:val="none" w:sz="0" w:space="0" w:color="auto"/>
                                                            <w:bottom w:val="none" w:sz="0" w:space="0" w:color="auto"/>
                                                            <w:right w:val="none" w:sz="0" w:space="0" w:color="auto"/>
                                                          </w:divBdr>
                                                        </w:div>
                                                        <w:div w:id="1317493039">
                                                          <w:marLeft w:val="0"/>
                                                          <w:marRight w:val="0"/>
                                                          <w:marTop w:val="0"/>
                                                          <w:marBottom w:val="0"/>
                                                          <w:divBdr>
                                                            <w:top w:val="none" w:sz="0" w:space="0" w:color="auto"/>
                                                            <w:left w:val="none" w:sz="0" w:space="0" w:color="auto"/>
                                                            <w:bottom w:val="none" w:sz="0" w:space="0" w:color="auto"/>
                                                            <w:right w:val="none" w:sz="0" w:space="0" w:color="auto"/>
                                                          </w:divBdr>
                                                          <w:divsChild>
                                                            <w:div w:id="10576265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232817">
      <w:bodyDiv w:val="1"/>
      <w:marLeft w:val="0"/>
      <w:marRight w:val="0"/>
      <w:marTop w:val="0"/>
      <w:marBottom w:val="0"/>
      <w:divBdr>
        <w:top w:val="none" w:sz="0" w:space="0" w:color="auto"/>
        <w:left w:val="none" w:sz="0" w:space="0" w:color="auto"/>
        <w:bottom w:val="none" w:sz="0" w:space="0" w:color="auto"/>
        <w:right w:val="none" w:sz="0" w:space="0" w:color="auto"/>
      </w:divBdr>
      <w:divsChild>
        <w:div w:id="1952392922">
          <w:marLeft w:val="0"/>
          <w:marRight w:val="0"/>
          <w:marTop w:val="0"/>
          <w:marBottom w:val="0"/>
          <w:divBdr>
            <w:top w:val="none" w:sz="0" w:space="0" w:color="auto"/>
            <w:left w:val="none" w:sz="0" w:space="0" w:color="auto"/>
            <w:bottom w:val="none" w:sz="0" w:space="0" w:color="auto"/>
            <w:right w:val="none" w:sz="0" w:space="0" w:color="auto"/>
          </w:divBdr>
        </w:div>
      </w:divsChild>
    </w:div>
    <w:div w:id="138495418">
      <w:bodyDiv w:val="1"/>
      <w:marLeft w:val="0"/>
      <w:marRight w:val="0"/>
      <w:marTop w:val="0"/>
      <w:marBottom w:val="0"/>
      <w:divBdr>
        <w:top w:val="none" w:sz="0" w:space="0" w:color="auto"/>
        <w:left w:val="none" w:sz="0" w:space="0" w:color="auto"/>
        <w:bottom w:val="none" w:sz="0" w:space="0" w:color="auto"/>
        <w:right w:val="none" w:sz="0" w:space="0" w:color="auto"/>
      </w:divBdr>
    </w:div>
    <w:div w:id="138572660">
      <w:bodyDiv w:val="1"/>
      <w:marLeft w:val="0"/>
      <w:marRight w:val="0"/>
      <w:marTop w:val="0"/>
      <w:marBottom w:val="0"/>
      <w:divBdr>
        <w:top w:val="none" w:sz="0" w:space="0" w:color="auto"/>
        <w:left w:val="none" w:sz="0" w:space="0" w:color="auto"/>
        <w:bottom w:val="none" w:sz="0" w:space="0" w:color="auto"/>
        <w:right w:val="none" w:sz="0" w:space="0" w:color="auto"/>
      </w:divBdr>
      <w:divsChild>
        <w:div w:id="2053259822">
          <w:marLeft w:val="0"/>
          <w:marRight w:val="0"/>
          <w:marTop w:val="150"/>
          <w:marBottom w:val="0"/>
          <w:divBdr>
            <w:top w:val="none" w:sz="0" w:space="0" w:color="auto"/>
            <w:left w:val="none" w:sz="0" w:space="0" w:color="auto"/>
            <w:bottom w:val="none" w:sz="0" w:space="0" w:color="auto"/>
            <w:right w:val="none" w:sz="0" w:space="0" w:color="auto"/>
          </w:divBdr>
          <w:divsChild>
            <w:div w:id="53240665">
              <w:marLeft w:val="2"/>
              <w:marRight w:val="2"/>
              <w:marTop w:val="0"/>
              <w:marBottom w:val="0"/>
              <w:divBdr>
                <w:top w:val="none" w:sz="0" w:space="0" w:color="auto"/>
                <w:left w:val="none" w:sz="0" w:space="0" w:color="auto"/>
                <w:bottom w:val="none" w:sz="0" w:space="0" w:color="auto"/>
                <w:right w:val="none" w:sz="0" w:space="0" w:color="auto"/>
              </w:divBdr>
              <w:divsChild>
                <w:div w:id="127474233">
                  <w:marLeft w:val="0"/>
                  <w:marRight w:val="0"/>
                  <w:marTop w:val="0"/>
                  <w:marBottom w:val="0"/>
                  <w:divBdr>
                    <w:top w:val="none" w:sz="0" w:space="0" w:color="auto"/>
                    <w:left w:val="none" w:sz="0" w:space="0" w:color="auto"/>
                    <w:bottom w:val="none" w:sz="0" w:space="0" w:color="auto"/>
                    <w:right w:val="none" w:sz="0" w:space="0" w:color="auto"/>
                  </w:divBdr>
                  <w:divsChild>
                    <w:div w:id="259797563">
                      <w:marLeft w:val="0"/>
                      <w:marRight w:val="0"/>
                      <w:marTop w:val="0"/>
                      <w:marBottom w:val="0"/>
                      <w:divBdr>
                        <w:top w:val="none" w:sz="0" w:space="0" w:color="auto"/>
                        <w:left w:val="none" w:sz="0" w:space="0" w:color="auto"/>
                        <w:bottom w:val="none" w:sz="0" w:space="0" w:color="auto"/>
                        <w:right w:val="none" w:sz="0" w:space="0" w:color="auto"/>
                      </w:divBdr>
                      <w:divsChild>
                        <w:div w:id="1462847864">
                          <w:marLeft w:val="0"/>
                          <w:marRight w:val="0"/>
                          <w:marTop w:val="0"/>
                          <w:marBottom w:val="0"/>
                          <w:divBdr>
                            <w:top w:val="none" w:sz="0" w:space="0" w:color="auto"/>
                            <w:left w:val="none" w:sz="0" w:space="0" w:color="auto"/>
                            <w:bottom w:val="none" w:sz="0" w:space="0" w:color="auto"/>
                            <w:right w:val="none" w:sz="0" w:space="0" w:color="auto"/>
                          </w:divBdr>
                          <w:divsChild>
                            <w:div w:id="983968530">
                              <w:marLeft w:val="0"/>
                              <w:marRight w:val="0"/>
                              <w:marTop w:val="0"/>
                              <w:marBottom w:val="0"/>
                              <w:divBdr>
                                <w:top w:val="none" w:sz="0" w:space="0" w:color="auto"/>
                                <w:left w:val="none" w:sz="0" w:space="0" w:color="auto"/>
                                <w:bottom w:val="none" w:sz="0" w:space="0" w:color="auto"/>
                                <w:right w:val="none" w:sz="0" w:space="0" w:color="auto"/>
                              </w:divBdr>
                              <w:divsChild>
                                <w:div w:id="1127089154">
                                  <w:marLeft w:val="0"/>
                                  <w:marRight w:val="0"/>
                                  <w:marTop w:val="0"/>
                                  <w:marBottom w:val="0"/>
                                  <w:divBdr>
                                    <w:top w:val="none" w:sz="0" w:space="0" w:color="auto"/>
                                    <w:left w:val="none" w:sz="0" w:space="0" w:color="auto"/>
                                    <w:bottom w:val="none" w:sz="0" w:space="0" w:color="auto"/>
                                    <w:right w:val="none" w:sz="0" w:space="0" w:color="auto"/>
                                  </w:divBdr>
                                  <w:divsChild>
                                    <w:div w:id="1323123985">
                                      <w:marLeft w:val="0"/>
                                      <w:marRight w:val="0"/>
                                      <w:marTop w:val="0"/>
                                      <w:marBottom w:val="0"/>
                                      <w:divBdr>
                                        <w:top w:val="none" w:sz="0" w:space="0" w:color="auto"/>
                                        <w:left w:val="none" w:sz="0" w:space="0" w:color="auto"/>
                                        <w:bottom w:val="none" w:sz="0" w:space="0" w:color="auto"/>
                                        <w:right w:val="none" w:sz="0" w:space="0" w:color="auto"/>
                                      </w:divBdr>
                                      <w:divsChild>
                                        <w:div w:id="230651864">
                                          <w:marLeft w:val="0"/>
                                          <w:marRight w:val="0"/>
                                          <w:marTop w:val="0"/>
                                          <w:marBottom w:val="0"/>
                                          <w:divBdr>
                                            <w:top w:val="none" w:sz="0" w:space="0" w:color="auto"/>
                                            <w:left w:val="none" w:sz="0" w:space="0" w:color="auto"/>
                                            <w:bottom w:val="none" w:sz="0" w:space="0" w:color="auto"/>
                                            <w:right w:val="none" w:sz="0" w:space="0" w:color="auto"/>
                                          </w:divBdr>
                                          <w:divsChild>
                                            <w:div w:id="1335185044">
                                              <w:marLeft w:val="0"/>
                                              <w:marRight w:val="0"/>
                                              <w:marTop w:val="0"/>
                                              <w:marBottom w:val="0"/>
                                              <w:divBdr>
                                                <w:top w:val="none" w:sz="0" w:space="0" w:color="auto"/>
                                                <w:left w:val="none" w:sz="0" w:space="0" w:color="auto"/>
                                                <w:bottom w:val="none" w:sz="0" w:space="0" w:color="auto"/>
                                                <w:right w:val="none" w:sz="0" w:space="0" w:color="auto"/>
                                              </w:divBdr>
                                              <w:divsChild>
                                                <w:div w:id="973102112">
                                                  <w:marLeft w:val="0"/>
                                                  <w:marRight w:val="0"/>
                                                  <w:marTop w:val="0"/>
                                                  <w:marBottom w:val="0"/>
                                                  <w:divBdr>
                                                    <w:top w:val="none" w:sz="0" w:space="0" w:color="auto"/>
                                                    <w:left w:val="none" w:sz="0" w:space="0" w:color="auto"/>
                                                    <w:bottom w:val="none" w:sz="0" w:space="0" w:color="auto"/>
                                                    <w:right w:val="none" w:sz="0" w:space="0" w:color="auto"/>
                                                  </w:divBdr>
                                                  <w:divsChild>
                                                    <w:div w:id="723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5155">
                                              <w:marLeft w:val="0"/>
                                              <w:marRight w:val="0"/>
                                              <w:marTop w:val="0"/>
                                              <w:marBottom w:val="0"/>
                                              <w:divBdr>
                                                <w:top w:val="none" w:sz="0" w:space="0" w:color="auto"/>
                                                <w:left w:val="none" w:sz="0" w:space="0" w:color="auto"/>
                                                <w:bottom w:val="none" w:sz="0" w:space="0" w:color="auto"/>
                                                <w:right w:val="none" w:sz="0" w:space="0" w:color="auto"/>
                                              </w:divBdr>
                                              <w:divsChild>
                                                <w:div w:id="583687377">
                                                  <w:marLeft w:val="0"/>
                                                  <w:marRight w:val="0"/>
                                                  <w:marTop w:val="0"/>
                                                  <w:marBottom w:val="0"/>
                                                  <w:divBdr>
                                                    <w:top w:val="none" w:sz="0" w:space="0" w:color="auto"/>
                                                    <w:left w:val="none" w:sz="0" w:space="0" w:color="auto"/>
                                                    <w:bottom w:val="none" w:sz="0" w:space="0" w:color="auto"/>
                                                    <w:right w:val="none" w:sz="0" w:space="0" w:color="auto"/>
                                                  </w:divBdr>
                                                </w:div>
                                                <w:div w:id="773211555">
                                                  <w:marLeft w:val="0"/>
                                                  <w:marRight w:val="0"/>
                                                  <w:marTop w:val="0"/>
                                                  <w:marBottom w:val="0"/>
                                                  <w:divBdr>
                                                    <w:top w:val="none" w:sz="0" w:space="0" w:color="auto"/>
                                                    <w:left w:val="none" w:sz="0" w:space="0" w:color="auto"/>
                                                    <w:bottom w:val="none" w:sz="0" w:space="0" w:color="auto"/>
                                                    <w:right w:val="none" w:sz="0" w:space="0" w:color="auto"/>
                                                  </w:divBdr>
                                                  <w:divsChild>
                                                    <w:div w:id="14790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4462">
                                          <w:marLeft w:val="0"/>
                                          <w:marRight w:val="0"/>
                                          <w:marTop w:val="0"/>
                                          <w:marBottom w:val="0"/>
                                          <w:divBdr>
                                            <w:top w:val="none" w:sz="0" w:space="0" w:color="auto"/>
                                            <w:left w:val="none" w:sz="0" w:space="0" w:color="auto"/>
                                            <w:bottom w:val="none" w:sz="0" w:space="0" w:color="auto"/>
                                            <w:right w:val="none" w:sz="0" w:space="0" w:color="auto"/>
                                          </w:divBdr>
                                          <w:divsChild>
                                            <w:div w:id="1035041552">
                                              <w:marLeft w:val="0"/>
                                              <w:marRight w:val="0"/>
                                              <w:marTop w:val="0"/>
                                              <w:marBottom w:val="0"/>
                                              <w:divBdr>
                                                <w:top w:val="none" w:sz="0" w:space="0" w:color="auto"/>
                                                <w:left w:val="none" w:sz="0" w:space="0" w:color="auto"/>
                                                <w:bottom w:val="none" w:sz="0" w:space="0" w:color="auto"/>
                                                <w:right w:val="none" w:sz="0" w:space="0" w:color="auto"/>
                                              </w:divBdr>
                                              <w:divsChild>
                                                <w:div w:id="955328393">
                                                  <w:marLeft w:val="0"/>
                                                  <w:marRight w:val="0"/>
                                                  <w:marTop w:val="0"/>
                                                  <w:marBottom w:val="0"/>
                                                  <w:divBdr>
                                                    <w:top w:val="none" w:sz="0" w:space="0" w:color="auto"/>
                                                    <w:left w:val="none" w:sz="0" w:space="0" w:color="auto"/>
                                                    <w:bottom w:val="none" w:sz="0" w:space="0" w:color="auto"/>
                                                    <w:right w:val="none" w:sz="0" w:space="0" w:color="auto"/>
                                                  </w:divBdr>
                                                  <w:divsChild>
                                                    <w:div w:id="11249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4634">
                                          <w:marLeft w:val="0"/>
                                          <w:marRight w:val="0"/>
                                          <w:marTop w:val="0"/>
                                          <w:marBottom w:val="0"/>
                                          <w:divBdr>
                                            <w:top w:val="none" w:sz="0" w:space="0" w:color="auto"/>
                                            <w:left w:val="none" w:sz="0" w:space="0" w:color="auto"/>
                                            <w:bottom w:val="none" w:sz="0" w:space="0" w:color="auto"/>
                                            <w:right w:val="none" w:sz="0" w:space="0" w:color="auto"/>
                                          </w:divBdr>
                                          <w:divsChild>
                                            <w:div w:id="128548672">
                                              <w:marLeft w:val="0"/>
                                              <w:marRight w:val="0"/>
                                              <w:marTop w:val="0"/>
                                              <w:marBottom w:val="0"/>
                                              <w:divBdr>
                                                <w:top w:val="none" w:sz="0" w:space="0" w:color="auto"/>
                                                <w:left w:val="none" w:sz="0" w:space="0" w:color="auto"/>
                                                <w:bottom w:val="none" w:sz="0" w:space="0" w:color="auto"/>
                                                <w:right w:val="none" w:sz="0" w:space="0" w:color="auto"/>
                                              </w:divBdr>
                                              <w:divsChild>
                                                <w:div w:id="17002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03486">
      <w:bodyDiv w:val="1"/>
      <w:marLeft w:val="0"/>
      <w:marRight w:val="0"/>
      <w:marTop w:val="0"/>
      <w:marBottom w:val="0"/>
      <w:divBdr>
        <w:top w:val="none" w:sz="0" w:space="0" w:color="auto"/>
        <w:left w:val="none" w:sz="0" w:space="0" w:color="auto"/>
        <w:bottom w:val="none" w:sz="0" w:space="0" w:color="auto"/>
        <w:right w:val="none" w:sz="0" w:space="0" w:color="auto"/>
      </w:divBdr>
      <w:divsChild>
        <w:div w:id="379667678">
          <w:marLeft w:val="0"/>
          <w:marRight w:val="0"/>
          <w:marTop w:val="0"/>
          <w:marBottom w:val="0"/>
          <w:divBdr>
            <w:top w:val="none" w:sz="0" w:space="0" w:color="auto"/>
            <w:left w:val="none" w:sz="0" w:space="0" w:color="auto"/>
            <w:bottom w:val="none" w:sz="0" w:space="0" w:color="auto"/>
            <w:right w:val="none" w:sz="0" w:space="0" w:color="auto"/>
          </w:divBdr>
          <w:divsChild>
            <w:div w:id="1444767511">
              <w:marLeft w:val="0"/>
              <w:marRight w:val="0"/>
              <w:marTop w:val="0"/>
              <w:marBottom w:val="0"/>
              <w:divBdr>
                <w:top w:val="none" w:sz="0" w:space="0" w:color="auto"/>
                <w:left w:val="none" w:sz="0" w:space="0" w:color="auto"/>
                <w:bottom w:val="none" w:sz="0" w:space="0" w:color="auto"/>
                <w:right w:val="none" w:sz="0" w:space="0" w:color="auto"/>
              </w:divBdr>
              <w:divsChild>
                <w:div w:id="891424958">
                  <w:marLeft w:val="0"/>
                  <w:marRight w:val="0"/>
                  <w:marTop w:val="0"/>
                  <w:marBottom w:val="0"/>
                  <w:divBdr>
                    <w:top w:val="none" w:sz="0" w:space="0" w:color="auto"/>
                    <w:left w:val="none" w:sz="0" w:space="0" w:color="auto"/>
                    <w:bottom w:val="none" w:sz="0" w:space="0" w:color="auto"/>
                    <w:right w:val="none" w:sz="0" w:space="0" w:color="auto"/>
                  </w:divBdr>
                  <w:divsChild>
                    <w:div w:id="1622029824">
                      <w:marLeft w:val="0"/>
                      <w:marRight w:val="0"/>
                      <w:marTop w:val="0"/>
                      <w:marBottom w:val="0"/>
                      <w:divBdr>
                        <w:top w:val="none" w:sz="0" w:space="0" w:color="auto"/>
                        <w:left w:val="none" w:sz="0" w:space="0" w:color="auto"/>
                        <w:bottom w:val="none" w:sz="0" w:space="0" w:color="auto"/>
                        <w:right w:val="none" w:sz="0" w:space="0" w:color="auto"/>
                      </w:divBdr>
                      <w:divsChild>
                        <w:div w:id="1477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4647">
      <w:bodyDiv w:val="1"/>
      <w:marLeft w:val="0"/>
      <w:marRight w:val="0"/>
      <w:marTop w:val="0"/>
      <w:marBottom w:val="0"/>
      <w:divBdr>
        <w:top w:val="none" w:sz="0" w:space="0" w:color="auto"/>
        <w:left w:val="none" w:sz="0" w:space="0" w:color="auto"/>
        <w:bottom w:val="none" w:sz="0" w:space="0" w:color="auto"/>
        <w:right w:val="none" w:sz="0" w:space="0" w:color="auto"/>
      </w:divBdr>
      <w:divsChild>
        <w:div w:id="1620065127">
          <w:marLeft w:val="0"/>
          <w:marRight w:val="0"/>
          <w:marTop w:val="0"/>
          <w:marBottom w:val="0"/>
          <w:divBdr>
            <w:top w:val="none" w:sz="0" w:space="0" w:color="auto"/>
            <w:left w:val="none" w:sz="0" w:space="0" w:color="auto"/>
            <w:bottom w:val="none" w:sz="0" w:space="0" w:color="auto"/>
            <w:right w:val="none" w:sz="0" w:space="0" w:color="auto"/>
          </w:divBdr>
          <w:divsChild>
            <w:div w:id="571281602">
              <w:marLeft w:val="0"/>
              <w:marRight w:val="0"/>
              <w:marTop w:val="0"/>
              <w:marBottom w:val="0"/>
              <w:divBdr>
                <w:top w:val="none" w:sz="0" w:space="0" w:color="auto"/>
                <w:left w:val="none" w:sz="0" w:space="0" w:color="auto"/>
                <w:bottom w:val="none" w:sz="0" w:space="0" w:color="auto"/>
                <w:right w:val="none" w:sz="0" w:space="0" w:color="auto"/>
              </w:divBdr>
              <w:divsChild>
                <w:div w:id="573465711">
                  <w:marLeft w:val="0"/>
                  <w:marRight w:val="0"/>
                  <w:marTop w:val="0"/>
                  <w:marBottom w:val="0"/>
                  <w:divBdr>
                    <w:top w:val="none" w:sz="0" w:space="0" w:color="auto"/>
                    <w:left w:val="none" w:sz="0" w:space="0" w:color="auto"/>
                    <w:bottom w:val="none" w:sz="0" w:space="0" w:color="auto"/>
                    <w:right w:val="none" w:sz="0" w:space="0" w:color="auto"/>
                  </w:divBdr>
                  <w:divsChild>
                    <w:div w:id="34621833">
                      <w:marLeft w:val="0"/>
                      <w:marRight w:val="0"/>
                      <w:marTop w:val="0"/>
                      <w:marBottom w:val="0"/>
                      <w:divBdr>
                        <w:top w:val="none" w:sz="0" w:space="0" w:color="auto"/>
                        <w:left w:val="none" w:sz="0" w:space="0" w:color="auto"/>
                        <w:bottom w:val="none" w:sz="0" w:space="0" w:color="auto"/>
                        <w:right w:val="none" w:sz="0" w:space="0" w:color="auto"/>
                      </w:divBdr>
                      <w:divsChild>
                        <w:div w:id="1004361217">
                          <w:marLeft w:val="0"/>
                          <w:marRight w:val="0"/>
                          <w:marTop w:val="0"/>
                          <w:marBottom w:val="0"/>
                          <w:divBdr>
                            <w:top w:val="none" w:sz="0" w:space="0" w:color="auto"/>
                            <w:left w:val="none" w:sz="0" w:space="0" w:color="auto"/>
                            <w:bottom w:val="none" w:sz="0" w:space="0" w:color="auto"/>
                            <w:right w:val="none" w:sz="0" w:space="0" w:color="auto"/>
                          </w:divBdr>
                          <w:divsChild>
                            <w:div w:id="1368022938">
                              <w:marLeft w:val="570"/>
                              <w:marRight w:val="720"/>
                              <w:marTop w:val="120"/>
                              <w:marBottom w:val="120"/>
                              <w:divBdr>
                                <w:top w:val="none" w:sz="0" w:space="0" w:color="auto"/>
                                <w:left w:val="none" w:sz="0" w:space="0" w:color="auto"/>
                                <w:bottom w:val="none" w:sz="0" w:space="0" w:color="auto"/>
                                <w:right w:val="none" w:sz="0" w:space="0" w:color="auto"/>
                              </w:divBdr>
                              <w:divsChild>
                                <w:div w:id="1610355192">
                                  <w:marLeft w:val="0"/>
                                  <w:marRight w:val="0"/>
                                  <w:marTop w:val="0"/>
                                  <w:marBottom w:val="0"/>
                                  <w:divBdr>
                                    <w:top w:val="none" w:sz="0" w:space="0" w:color="auto"/>
                                    <w:left w:val="none" w:sz="0" w:space="0" w:color="auto"/>
                                    <w:bottom w:val="none" w:sz="0" w:space="0" w:color="auto"/>
                                    <w:right w:val="none" w:sz="0" w:space="0" w:color="auto"/>
                                  </w:divBdr>
                                  <w:divsChild>
                                    <w:div w:id="1292204363">
                                      <w:marLeft w:val="0"/>
                                      <w:marRight w:val="0"/>
                                      <w:marTop w:val="0"/>
                                      <w:marBottom w:val="0"/>
                                      <w:divBdr>
                                        <w:top w:val="none" w:sz="0" w:space="0" w:color="auto"/>
                                        <w:left w:val="none" w:sz="0" w:space="0" w:color="auto"/>
                                        <w:bottom w:val="none" w:sz="0" w:space="0" w:color="auto"/>
                                        <w:right w:val="none" w:sz="0" w:space="0" w:color="auto"/>
                                      </w:divBdr>
                                      <w:divsChild>
                                        <w:div w:id="1179345238">
                                          <w:marLeft w:val="0"/>
                                          <w:marRight w:val="0"/>
                                          <w:marTop w:val="0"/>
                                          <w:marBottom w:val="0"/>
                                          <w:divBdr>
                                            <w:top w:val="none" w:sz="0" w:space="0" w:color="auto"/>
                                            <w:left w:val="none" w:sz="0" w:space="0" w:color="auto"/>
                                            <w:bottom w:val="none" w:sz="0" w:space="0" w:color="auto"/>
                                            <w:right w:val="none" w:sz="0" w:space="0" w:color="auto"/>
                                          </w:divBdr>
                                          <w:divsChild>
                                            <w:div w:id="1575242402">
                                              <w:marLeft w:val="0"/>
                                              <w:marRight w:val="0"/>
                                              <w:marTop w:val="0"/>
                                              <w:marBottom w:val="0"/>
                                              <w:divBdr>
                                                <w:top w:val="none" w:sz="0" w:space="0" w:color="auto"/>
                                                <w:left w:val="none" w:sz="0" w:space="0" w:color="auto"/>
                                                <w:bottom w:val="none" w:sz="0" w:space="0" w:color="auto"/>
                                                <w:right w:val="none" w:sz="0" w:space="0" w:color="auto"/>
                                              </w:divBdr>
                                              <w:divsChild>
                                                <w:div w:id="1066606073">
                                                  <w:marLeft w:val="0"/>
                                                  <w:marRight w:val="0"/>
                                                  <w:marTop w:val="0"/>
                                                  <w:marBottom w:val="0"/>
                                                  <w:divBdr>
                                                    <w:top w:val="none" w:sz="0" w:space="0" w:color="auto"/>
                                                    <w:left w:val="none" w:sz="0" w:space="0" w:color="auto"/>
                                                    <w:bottom w:val="none" w:sz="0" w:space="0" w:color="auto"/>
                                                    <w:right w:val="none" w:sz="0" w:space="0" w:color="auto"/>
                                                  </w:divBdr>
                                                  <w:divsChild>
                                                    <w:div w:id="80682107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66478">
      <w:bodyDiv w:val="1"/>
      <w:marLeft w:val="0"/>
      <w:marRight w:val="0"/>
      <w:marTop w:val="0"/>
      <w:marBottom w:val="0"/>
      <w:divBdr>
        <w:top w:val="none" w:sz="0" w:space="0" w:color="auto"/>
        <w:left w:val="none" w:sz="0" w:space="0" w:color="auto"/>
        <w:bottom w:val="none" w:sz="0" w:space="0" w:color="auto"/>
        <w:right w:val="none" w:sz="0" w:space="0" w:color="auto"/>
      </w:divBdr>
    </w:div>
    <w:div w:id="141779440">
      <w:bodyDiv w:val="1"/>
      <w:marLeft w:val="0"/>
      <w:marRight w:val="0"/>
      <w:marTop w:val="0"/>
      <w:marBottom w:val="0"/>
      <w:divBdr>
        <w:top w:val="none" w:sz="0" w:space="0" w:color="auto"/>
        <w:left w:val="none" w:sz="0" w:space="0" w:color="auto"/>
        <w:bottom w:val="none" w:sz="0" w:space="0" w:color="auto"/>
        <w:right w:val="none" w:sz="0" w:space="0" w:color="auto"/>
      </w:divBdr>
    </w:div>
    <w:div w:id="144668206">
      <w:bodyDiv w:val="1"/>
      <w:marLeft w:val="0"/>
      <w:marRight w:val="0"/>
      <w:marTop w:val="0"/>
      <w:marBottom w:val="0"/>
      <w:divBdr>
        <w:top w:val="none" w:sz="0" w:space="0" w:color="auto"/>
        <w:left w:val="none" w:sz="0" w:space="0" w:color="auto"/>
        <w:bottom w:val="none" w:sz="0" w:space="0" w:color="auto"/>
        <w:right w:val="none" w:sz="0" w:space="0" w:color="auto"/>
      </w:divBdr>
    </w:div>
    <w:div w:id="146552271">
      <w:bodyDiv w:val="1"/>
      <w:marLeft w:val="0"/>
      <w:marRight w:val="0"/>
      <w:marTop w:val="0"/>
      <w:marBottom w:val="0"/>
      <w:divBdr>
        <w:top w:val="none" w:sz="0" w:space="0" w:color="auto"/>
        <w:left w:val="none" w:sz="0" w:space="0" w:color="auto"/>
        <w:bottom w:val="none" w:sz="0" w:space="0" w:color="auto"/>
        <w:right w:val="none" w:sz="0" w:space="0" w:color="auto"/>
      </w:divBdr>
      <w:divsChild>
        <w:div w:id="625357087">
          <w:marLeft w:val="0"/>
          <w:marRight w:val="0"/>
          <w:marTop w:val="0"/>
          <w:marBottom w:val="0"/>
          <w:divBdr>
            <w:top w:val="none" w:sz="0" w:space="0" w:color="auto"/>
            <w:left w:val="none" w:sz="0" w:space="0" w:color="auto"/>
            <w:bottom w:val="none" w:sz="0" w:space="0" w:color="auto"/>
            <w:right w:val="none" w:sz="0" w:space="0" w:color="auto"/>
          </w:divBdr>
          <w:divsChild>
            <w:div w:id="1560432530">
              <w:marLeft w:val="0"/>
              <w:marRight w:val="0"/>
              <w:marTop w:val="0"/>
              <w:marBottom w:val="0"/>
              <w:divBdr>
                <w:top w:val="none" w:sz="0" w:space="0" w:color="auto"/>
                <w:left w:val="none" w:sz="0" w:space="0" w:color="auto"/>
                <w:bottom w:val="none" w:sz="0" w:space="0" w:color="auto"/>
                <w:right w:val="none" w:sz="0" w:space="0" w:color="auto"/>
              </w:divBdr>
              <w:divsChild>
                <w:div w:id="165756201">
                  <w:marLeft w:val="0"/>
                  <w:marRight w:val="0"/>
                  <w:marTop w:val="0"/>
                  <w:marBottom w:val="0"/>
                  <w:divBdr>
                    <w:top w:val="none" w:sz="0" w:space="0" w:color="auto"/>
                    <w:left w:val="none" w:sz="0" w:space="0" w:color="auto"/>
                    <w:bottom w:val="none" w:sz="0" w:space="0" w:color="auto"/>
                    <w:right w:val="none" w:sz="0" w:space="0" w:color="auto"/>
                  </w:divBdr>
                  <w:divsChild>
                    <w:div w:id="212086914">
                      <w:marLeft w:val="0"/>
                      <w:marRight w:val="0"/>
                      <w:marTop w:val="0"/>
                      <w:marBottom w:val="0"/>
                      <w:divBdr>
                        <w:top w:val="none" w:sz="0" w:space="0" w:color="auto"/>
                        <w:left w:val="none" w:sz="0" w:space="0" w:color="auto"/>
                        <w:bottom w:val="none" w:sz="0" w:space="0" w:color="auto"/>
                        <w:right w:val="none" w:sz="0" w:space="0" w:color="auto"/>
                      </w:divBdr>
                      <w:divsChild>
                        <w:div w:id="1261599259">
                          <w:marLeft w:val="0"/>
                          <w:marRight w:val="0"/>
                          <w:marTop w:val="0"/>
                          <w:marBottom w:val="0"/>
                          <w:divBdr>
                            <w:top w:val="none" w:sz="0" w:space="0" w:color="auto"/>
                            <w:left w:val="none" w:sz="0" w:space="0" w:color="auto"/>
                            <w:bottom w:val="none" w:sz="0" w:space="0" w:color="auto"/>
                            <w:right w:val="none" w:sz="0" w:space="0" w:color="auto"/>
                          </w:divBdr>
                          <w:divsChild>
                            <w:div w:id="163937054">
                              <w:marLeft w:val="0"/>
                              <w:marRight w:val="0"/>
                              <w:marTop w:val="0"/>
                              <w:marBottom w:val="0"/>
                              <w:divBdr>
                                <w:top w:val="none" w:sz="0" w:space="0" w:color="auto"/>
                                <w:left w:val="none" w:sz="0" w:space="0" w:color="auto"/>
                                <w:bottom w:val="none" w:sz="0" w:space="0" w:color="auto"/>
                                <w:right w:val="none" w:sz="0" w:space="0" w:color="auto"/>
                              </w:divBdr>
                              <w:divsChild>
                                <w:div w:id="1841920793">
                                  <w:marLeft w:val="0"/>
                                  <w:marRight w:val="0"/>
                                  <w:marTop w:val="0"/>
                                  <w:marBottom w:val="0"/>
                                  <w:divBdr>
                                    <w:top w:val="none" w:sz="0" w:space="0" w:color="auto"/>
                                    <w:left w:val="none" w:sz="0" w:space="0" w:color="auto"/>
                                    <w:bottom w:val="none" w:sz="0" w:space="0" w:color="auto"/>
                                    <w:right w:val="none" w:sz="0" w:space="0" w:color="auto"/>
                                  </w:divBdr>
                                  <w:divsChild>
                                    <w:div w:id="1862630">
                                      <w:marLeft w:val="0"/>
                                      <w:marRight w:val="0"/>
                                      <w:marTop w:val="0"/>
                                      <w:marBottom w:val="0"/>
                                      <w:divBdr>
                                        <w:top w:val="none" w:sz="0" w:space="0" w:color="auto"/>
                                        <w:left w:val="none" w:sz="0" w:space="0" w:color="auto"/>
                                        <w:bottom w:val="none" w:sz="0" w:space="0" w:color="auto"/>
                                        <w:right w:val="none" w:sz="0" w:space="0" w:color="auto"/>
                                      </w:divBdr>
                                      <w:divsChild>
                                        <w:div w:id="21020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98068">
      <w:bodyDiv w:val="1"/>
      <w:marLeft w:val="0"/>
      <w:marRight w:val="0"/>
      <w:marTop w:val="0"/>
      <w:marBottom w:val="0"/>
      <w:divBdr>
        <w:top w:val="none" w:sz="0" w:space="0" w:color="auto"/>
        <w:left w:val="none" w:sz="0" w:space="0" w:color="auto"/>
        <w:bottom w:val="none" w:sz="0" w:space="0" w:color="auto"/>
        <w:right w:val="none" w:sz="0" w:space="0" w:color="auto"/>
      </w:divBdr>
      <w:divsChild>
        <w:div w:id="745420060">
          <w:marLeft w:val="0"/>
          <w:marRight w:val="0"/>
          <w:marTop w:val="0"/>
          <w:marBottom w:val="0"/>
          <w:divBdr>
            <w:top w:val="none" w:sz="0" w:space="0" w:color="auto"/>
            <w:left w:val="none" w:sz="0" w:space="0" w:color="auto"/>
            <w:bottom w:val="none" w:sz="0" w:space="0" w:color="auto"/>
            <w:right w:val="none" w:sz="0" w:space="0" w:color="auto"/>
          </w:divBdr>
          <w:divsChild>
            <w:div w:id="2120445490">
              <w:marLeft w:val="0"/>
              <w:marRight w:val="0"/>
              <w:marTop w:val="0"/>
              <w:marBottom w:val="0"/>
              <w:divBdr>
                <w:top w:val="none" w:sz="0" w:space="0" w:color="auto"/>
                <w:left w:val="none" w:sz="0" w:space="0" w:color="auto"/>
                <w:bottom w:val="none" w:sz="0" w:space="0" w:color="auto"/>
                <w:right w:val="none" w:sz="0" w:space="0" w:color="auto"/>
              </w:divBdr>
              <w:divsChild>
                <w:div w:id="624386058">
                  <w:marLeft w:val="0"/>
                  <w:marRight w:val="0"/>
                  <w:marTop w:val="0"/>
                  <w:marBottom w:val="0"/>
                  <w:divBdr>
                    <w:top w:val="none" w:sz="0" w:space="0" w:color="auto"/>
                    <w:left w:val="none" w:sz="0" w:space="0" w:color="auto"/>
                    <w:bottom w:val="none" w:sz="0" w:space="0" w:color="auto"/>
                    <w:right w:val="none" w:sz="0" w:space="0" w:color="auto"/>
                  </w:divBdr>
                  <w:divsChild>
                    <w:div w:id="532422969">
                      <w:marLeft w:val="0"/>
                      <w:marRight w:val="0"/>
                      <w:marTop w:val="0"/>
                      <w:marBottom w:val="0"/>
                      <w:divBdr>
                        <w:top w:val="none" w:sz="0" w:space="0" w:color="auto"/>
                        <w:left w:val="none" w:sz="0" w:space="0" w:color="auto"/>
                        <w:bottom w:val="none" w:sz="0" w:space="0" w:color="auto"/>
                        <w:right w:val="none" w:sz="0" w:space="0" w:color="auto"/>
                      </w:divBdr>
                      <w:divsChild>
                        <w:div w:id="923106277">
                          <w:marLeft w:val="0"/>
                          <w:marRight w:val="0"/>
                          <w:marTop w:val="0"/>
                          <w:marBottom w:val="0"/>
                          <w:divBdr>
                            <w:top w:val="none" w:sz="0" w:space="0" w:color="auto"/>
                            <w:left w:val="none" w:sz="0" w:space="0" w:color="auto"/>
                            <w:bottom w:val="none" w:sz="0" w:space="0" w:color="auto"/>
                            <w:right w:val="none" w:sz="0" w:space="0" w:color="auto"/>
                          </w:divBdr>
                          <w:divsChild>
                            <w:div w:id="1593841">
                              <w:marLeft w:val="0"/>
                              <w:marRight w:val="0"/>
                              <w:marTop w:val="0"/>
                              <w:marBottom w:val="0"/>
                              <w:divBdr>
                                <w:top w:val="none" w:sz="0" w:space="0" w:color="auto"/>
                                <w:left w:val="none" w:sz="0" w:space="0" w:color="auto"/>
                                <w:bottom w:val="none" w:sz="0" w:space="0" w:color="auto"/>
                                <w:right w:val="none" w:sz="0" w:space="0" w:color="auto"/>
                              </w:divBdr>
                              <w:divsChild>
                                <w:div w:id="285166143">
                                  <w:marLeft w:val="0"/>
                                  <w:marRight w:val="0"/>
                                  <w:marTop w:val="0"/>
                                  <w:marBottom w:val="0"/>
                                  <w:divBdr>
                                    <w:top w:val="none" w:sz="0" w:space="0" w:color="auto"/>
                                    <w:left w:val="none" w:sz="0" w:space="0" w:color="auto"/>
                                    <w:bottom w:val="none" w:sz="0" w:space="0" w:color="auto"/>
                                    <w:right w:val="none" w:sz="0" w:space="0" w:color="auto"/>
                                  </w:divBdr>
                                  <w:divsChild>
                                    <w:div w:id="1558394814">
                                      <w:marLeft w:val="0"/>
                                      <w:marRight w:val="0"/>
                                      <w:marTop w:val="0"/>
                                      <w:marBottom w:val="0"/>
                                      <w:divBdr>
                                        <w:top w:val="none" w:sz="0" w:space="0" w:color="auto"/>
                                        <w:left w:val="none" w:sz="0" w:space="0" w:color="auto"/>
                                        <w:bottom w:val="none" w:sz="0" w:space="0" w:color="auto"/>
                                        <w:right w:val="none" w:sz="0" w:space="0" w:color="auto"/>
                                      </w:divBdr>
                                      <w:divsChild>
                                        <w:div w:id="5865236">
                                          <w:marLeft w:val="0"/>
                                          <w:marRight w:val="0"/>
                                          <w:marTop w:val="0"/>
                                          <w:marBottom w:val="0"/>
                                          <w:divBdr>
                                            <w:top w:val="none" w:sz="0" w:space="0" w:color="auto"/>
                                            <w:left w:val="none" w:sz="0" w:space="0" w:color="auto"/>
                                            <w:bottom w:val="none" w:sz="0" w:space="0" w:color="auto"/>
                                            <w:right w:val="none" w:sz="0" w:space="0" w:color="auto"/>
                                          </w:divBdr>
                                        </w:div>
                                        <w:div w:id="818423766">
                                          <w:marLeft w:val="0"/>
                                          <w:marRight w:val="0"/>
                                          <w:marTop w:val="0"/>
                                          <w:marBottom w:val="0"/>
                                          <w:divBdr>
                                            <w:top w:val="none" w:sz="0" w:space="0" w:color="auto"/>
                                            <w:left w:val="none" w:sz="0" w:space="0" w:color="auto"/>
                                            <w:bottom w:val="none" w:sz="0" w:space="0" w:color="auto"/>
                                            <w:right w:val="none" w:sz="0" w:space="0" w:color="auto"/>
                                          </w:divBdr>
                                          <w:divsChild>
                                            <w:div w:id="3816387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05942">
      <w:bodyDiv w:val="1"/>
      <w:marLeft w:val="0"/>
      <w:marRight w:val="0"/>
      <w:marTop w:val="0"/>
      <w:marBottom w:val="0"/>
      <w:divBdr>
        <w:top w:val="none" w:sz="0" w:space="0" w:color="auto"/>
        <w:left w:val="none" w:sz="0" w:space="0" w:color="auto"/>
        <w:bottom w:val="none" w:sz="0" w:space="0" w:color="auto"/>
        <w:right w:val="none" w:sz="0" w:space="0" w:color="auto"/>
      </w:divBdr>
      <w:divsChild>
        <w:div w:id="1578901997">
          <w:marLeft w:val="0"/>
          <w:marRight w:val="0"/>
          <w:marTop w:val="0"/>
          <w:marBottom w:val="0"/>
          <w:divBdr>
            <w:top w:val="none" w:sz="0" w:space="0" w:color="auto"/>
            <w:left w:val="none" w:sz="0" w:space="0" w:color="auto"/>
            <w:bottom w:val="none" w:sz="0" w:space="0" w:color="auto"/>
            <w:right w:val="none" w:sz="0" w:space="0" w:color="auto"/>
          </w:divBdr>
          <w:divsChild>
            <w:div w:id="934903586">
              <w:marLeft w:val="0"/>
              <w:marRight w:val="0"/>
              <w:marTop w:val="0"/>
              <w:marBottom w:val="0"/>
              <w:divBdr>
                <w:top w:val="none" w:sz="0" w:space="0" w:color="auto"/>
                <w:left w:val="none" w:sz="0" w:space="0" w:color="auto"/>
                <w:bottom w:val="none" w:sz="0" w:space="0" w:color="auto"/>
                <w:right w:val="none" w:sz="0" w:space="0" w:color="auto"/>
              </w:divBdr>
              <w:divsChild>
                <w:div w:id="74787854">
                  <w:marLeft w:val="0"/>
                  <w:marRight w:val="0"/>
                  <w:marTop w:val="100"/>
                  <w:marBottom w:val="100"/>
                  <w:divBdr>
                    <w:top w:val="none" w:sz="0" w:space="0" w:color="auto"/>
                    <w:left w:val="none" w:sz="0" w:space="0" w:color="auto"/>
                    <w:bottom w:val="none" w:sz="0" w:space="0" w:color="auto"/>
                    <w:right w:val="none" w:sz="0" w:space="0" w:color="auto"/>
                  </w:divBdr>
                  <w:divsChild>
                    <w:div w:id="740101248">
                      <w:marLeft w:val="0"/>
                      <w:marRight w:val="0"/>
                      <w:marTop w:val="0"/>
                      <w:marBottom w:val="0"/>
                      <w:divBdr>
                        <w:top w:val="none" w:sz="0" w:space="0" w:color="auto"/>
                        <w:left w:val="none" w:sz="0" w:space="0" w:color="auto"/>
                        <w:bottom w:val="none" w:sz="0" w:space="0" w:color="auto"/>
                        <w:right w:val="none" w:sz="0" w:space="0" w:color="auto"/>
                      </w:divBdr>
                      <w:divsChild>
                        <w:div w:id="409354069">
                          <w:marLeft w:val="0"/>
                          <w:marRight w:val="0"/>
                          <w:marTop w:val="0"/>
                          <w:marBottom w:val="0"/>
                          <w:divBdr>
                            <w:top w:val="none" w:sz="0" w:space="0" w:color="auto"/>
                            <w:left w:val="none" w:sz="0" w:space="0" w:color="auto"/>
                            <w:bottom w:val="none" w:sz="0" w:space="0" w:color="auto"/>
                            <w:right w:val="none" w:sz="0" w:space="0" w:color="auto"/>
                          </w:divBdr>
                          <w:divsChild>
                            <w:div w:id="184446100">
                              <w:marLeft w:val="0"/>
                              <w:marRight w:val="0"/>
                              <w:marTop w:val="0"/>
                              <w:marBottom w:val="0"/>
                              <w:divBdr>
                                <w:top w:val="none" w:sz="0" w:space="0" w:color="auto"/>
                                <w:left w:val="none" w:sz="0" w:space="0" w:color="auto"/>
                                <w:bottom w:val="none" w:sz="0" w:space="0" w:color="auto"/>
                                <w:right w:val="none" w:sz="0" w:space="0" w:color="auto"/>
                              </w:divBdr>
                              <w:divsChild>
                                <w:div w:id="1883786709">
                                  <w:marLeft w:val="0"/>
                                  <w:marRight w:val="0"/>
                                  <w:marTop w:val="0"/>
                                  <w:marBottom w:val="0"/>
                                  <w:divBdr>
                                    <w:top w:val="none" w:sz="0" w:space="0" w:color="auto"/>
                                    <w:left w:val="none" w:sz="0" w:space="0" w:color="auto"/>
                                    <w:bottom w:val="none" w:sz="0" w:space="0" w:color="auto"/>
                                    <w:right w:val="none" w:sz="0" w:space="0" w:color="auto"/>
                                  </w:divBdr>
                                  <w:divsChild>
                                    <w:div w:id="14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5720">
      <w:bodyDiv w:val="1"/>
      <w:marLeft w:val="0"/>
      <w:marRight w:val="0"/>
      <w:marTop w:val="0"/>
      <w:marBottom w:val="0"/>
      <w:divBdr>
        <w:top w:val="none" w:sz="0" w:space="0" w:color="auto"/>
        <w:left w:val="none" w:sz="0" w:space="0" w:color="auto"/>
        <w:bottom w:val="none" w:sz="0" w:space="0" w:color="auto"/>
        <w:right w:val="none" w:sz="0" w:space="0" w:color="auto"/>
      </w:divBdr>
    </w:div>
    <w:div w:id="151725146">
      <w:bodyDiv w:val="1"/>
      <w:marLeft w:val="0"/>
      <w:marRight w:val="0"/>
      <w:marTop w:val="0"/>
      <w:marBottom w:val="0"/>
      <w:divBdr>
        <w:top w:val="none" w:sz="0" w:space="0" w:color="auto"/>
        <w:left w:val="none" w:sz="0" w:space="0" w:color="auto"/>
        <w:bottom w:val="none" w:sz="0" w:space="0" w:color="auto"/>
        <w:right w:val="none" w:sz="0" w:space="0" w:color="auto"/>
      </w:divBdr>
    </w:div>
    <w:div w:id="153835809">
      <w:bodyDiv w:val="1"/>
      <w:marLeft w:val="0"/>
      <w:marRight w:val="0"/>
      <w:marTop w:val="0"/>
      <w:marBottom w:val="0"/>
      <w:divBdr>
        <w:top w:val="none" w:sz="0" w:space="0" w:color="auto"/>
        <w:left w:val="none" w:sz="0" w:space="0" w:color="auto"/>
        <w:bottom w:val="none" w:sz="0" w:space="0" w:color="auto"/>
        <w:right w:val="none" w:sz="0" w:space="0" w:color="auto"/>
      </w:divBdr>
      <w:divsChild>
        <w:div w:id="403718883">
          <w:marLeft w:val="0"/>
          <w:marRight w:val="0"/>
          <w:marTop w:val="0"/>
          <w:marBottom w:val="0"/>
          <w:divBdr>
            <w:top w:val="single" w:sz="2" w:space="0" w:color="AAAAAA"/>
            <w:left w:val="single" w:sz="4" w:space="6" w:color="AAAAAA"/>
            <w:bottom w:val="single" w:sz="2" w:space="0" w:color="AAAAAA"/>
            <w:right w:val="single" w:sz="4" w:space="6" w:color="AAAAAA"/>
          </w:divBdr>
          <w:divsChild>
            <w:div w:id="931009701">
              <w:marLeft w:val="0"/>
              <w:marRight w:val="0"/>
              <w:marTop w:val="0"/>
              <w:marBottom w:val="0"/>
              <w:divBdr>
                <w:top w:val="none" w:sz="0" w:space="0" w:color="auto"/>
                <w:left w:val="none" w:sz="0" w:space="0" w:color="auto"/>
                <w:bottom w:val="none" w:sz="0" w:space="0" w:color="auto"/>
                <w:right w:val="none" w:sz="0" w:space="0" w:color="auto"/>
              </w:divBdr>
              <w:divsChild>
                <w:div w:id="1198620228">
                  <w:marLeft w:val="0"/>
                  <w:marRight w:val="0"/>
                  <w:marTop w:val="0"/>
                  <w:marBottom w:val="0"/>
                  <w:divBdr>
                    <w:top w:val="none" w:sz="0" w:space="0" w:color="auto"/>
                    <w:left w:val="none" w:sz="0" w:space="0" w:color="auto"/>
                    <w:bottom w:val="none" w:sz="0" w:space="0" w:color="auto"/>
                    <w:right w:val="none" w:sz="0" w:space="0" w:color="auto"/>
                  </w:divBdr>
                  <w:divsChild>
                    <w:div w:id="41949081">
                      <w:marLeft w:val="0"/>
                      <w:marRight w:val="2129"/>
                      <w:marTop w:val="0"/>
                      <w:marBottom w:val="48"/>
                      <w:divBdr>
                        <w:top w:val="none" w:sz="0" w:space="0" w:color="auto"/>
                        <w:left w:val="none" w:sz="0" w:space="0" w:color="auto"/>
                        <w:bottom w:val="none" w:sz="0" w:space="0" w:color="auto"/>
                        <w:right w:val="none" w:sz="0" w:space="0" w:color="auto"/>
                      </w:divBdr>
                      <w:divsChild>
                        <w:div w:id="11101283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5389882">
      <w:bodyDiv w:val="1"/>
      <w:marLeft w:val="0"/>
      <w:marRight w:val="0"/>
      <w:marTop w:val="0"/>
      <w:marBottom w:val="0"/>
      <w:divBdr>
        <w:top w:val="none" w:sz="0" w:space="0" w:color="auto"/>
        <w:left w:val="none" w:sz="0" w:space="0" w:color="auto"/>
        <w:bottom w:val="none" w:sz="0" w:space="0" w:color="auto"/>
        <w:right w:val="none" w:sz="0" w:space="0" w:color="auto"/>
      </w:divBdr>
      <w:divsChild>
        <w:div w:id="807628394">
          <w:marLeft w:val="0"/>
          <w:marRight w:val="0"/>
          <w:marTop w:val="0"/>
          <w:marBottom w:val="0"/>
          <w:divBdr>
            <w:top w:val="single" w:sz="6" w:space="0" w:color="0E477A"/>
            <w:left w:val="single" w:sz="6" w:space="0" w:color="0E477A"/>
            <w:bottom w:val="single" w:sz="6" w:space="0" w:color="0E477A"/>
            <w:right w:val="single" w:sz="6" w:space="0" w:color="0E477A"/>
          </w:divBdr>
          <w:divsChild>
            <w:div w:id="1974556589">
              <w:marLeft w:val="2925"/>
              <w:marRight w:val="0"/>
              <w:marTop w:val="0"/>
              <w:marBottom w:val="0"/>
              <w:divBdr>
                <w:top w:val="none" w:sz="0" w:space="0" w:color="auto"/>
                <w:left w:val="none" w:sz="0" w:space="0" w:color="auto"/>
                <w:bottom w:val="none" w:sz="0" w:space="0" w:color="auto"/>
                <w:right w:val="none" w:sz="0" w:space="0" w:color="auto"/>
              </w:divBdr>
              <w:divsChild>
                <w:div w:id="681051413">
                  <w:marLeft w:val="0"/>
                  <w:marRight w:val="0"/>
                  <w:marTop w:val="0"/>
                  <w:marBottom w:val="0"/>
                  <w:divBdr>
                    <w:top w:val="none" w:sz="0" w:space="0" w:color="auto"/>
                    <w:left w:val="none" w:sz="0" w:space="0" w:color="auto"/>
                    <w:bottom w:val="none" w:sz="0" w:space="0" w:color="auto"/>
                    <w:right w:val="none" w:sz="0" w:space="0" w:color="auto"/>
                  </w:divBdr>
                  <w:divsChild>
                    <w:div w:id="739523789">
                      <w:marLeft w:val="0"/>
                      <w:marRight w:val="150"/>
                      <w:marTop w:val="0"/>
                      <w:marBottom w:val="0"/>
                      <w:divBdr>
                        <w:top w:val="single" w:sz="6" w:space="0" w:color="CCCCCC"/>
                        <w:left w:val="single" w:sz="6" w:space="8" w:color="CCCCCC"/>
                        <w:bottom w:val="single" w:sz="6" w:space="8" w:color="CCCCCC"/>
                        <w:right w:val="single" w:sz="6" w:space="8" w:color="CCCCCC"/>
                      </w:divBdr>
                      <w:divsChild>
                        <w:div w:id="38669445">
                          <w:marLeft w:val="0"/>
                          <w:marRight w:val="0"/>
                          <w:marTop w:val="0"/>
                          <w:marBottom w:val="0"/>
                          <w:divBdr>
                            <w:top w:val="none" w:sz="0" w:space="0" w:color="auto"/>
                            <w:left w:val="none" w:sz="0" w:space="0" w:color="auto"/>
                            <w:bottom w:val="none" w:sz="0" w:space="0" w:color="auto"/>
                            <w:right w:val="none" w:sz="0" w:space="0" w:color="auto"/>
                          </w:divBdr>
                        </w:div>
                        <w:div w:id="1460684194">
                          <w:marLeft w:val="0"/>
                          <w:marRight w:val="0"/>
                          <w:marTop w:val="0"/>
                          <w:marBottom w:val="0"/>
                          <w:divBdr>
                            <w:top w:val="none" w:sz="0" w:space="0" w:color="auto"/>
                            <w:left w:val="none" w:sz="0" w:space="0" w:color="auto"/>
                            <w:bottom w:val="none" w:sz="0" w:space="0" w:color="auto"/>
                            <w:right w:val="none" w:sz="0" w:space="0" w:color="auto"/>
                          </w:divBdr>
                        </w:div>
                        <w:div w:id="129901514">
                          <w:marLeft w:val="0"/>
                          <w:marRight w:val="0"/>
                          <w:marTop w:val="0"/>
                          <w:marBottom w:val="0"/>
                          <w:divBdr>
                            <w:top w:val="none" w:sz="0" w:space="0" w:color="auto"/>
                            <w:left w:val="none" w:sz="0" w:space="0" w:color="auto"/>
                            <w:bottom w:val="none" w:sz="0" w:space="0" w:color="auto"/>
                            <w:right w:val="none" w:sz="0" w:space="0" w:color="auto"/>
                          </w:divBdr>
                        </w:div>
                        <w:div w:id="210196126">
                          <w:marLeft w:val="0"/>
                          <w:marRight w:val="0"/>
                          <w:marTop w:val="0"/>
                          <w:marBottom w:val="0"/>
                          <w:divBdr>
                            <w:top w:val="none" w:sz="0" w:space="0" w:color="auto"/>
                            <w:left w:val="none" w:sz="0" w:space="0" w:color="auto"/>
                            <w:bottom w:val="none" w:sz="0" w:space="0" w:color="auto"/>
                            <w:right w:val="none" w:sz="0" w:space="0" w:color="auto"/>
                          </w:divBdr>
                        </w:div>
                        <w:div w:id="235946148">
                          <w:marLeft w:val="0"/>
                          <w:marRight w:val="0"/>
                          <w:marTop w:val="0"/>
                          <w:marBottom w:val="0"/>
                          <w:divBdr>
                            <w:top w:val="none" w:sz="0" w:space="0" w:color="auto"/>
                            <w:left w:val="none" w:sz="0" w:space="0" w:color="auto"/>
                            <w:bottom w:val="none" w:sz="0" w:space="0" w:color="auto"/>
                            <w:right w:val="none" w:sz="0" w:space="0" w:color="auto"/>
                          </w:divBdr>
                        </w:div>
                        <w:div w:id="1706979315">
                          <w:marLeft w:val="0"/>
                          <w:marRight w:val="0"/>
                          <w:marTop w:val="0"/>
                          <w:marBottom w:val="0"/>
                          <w:divBdr>
                            <w:top w:val="none" w:sz="0" w:space="0" w:color="auto"/>
                            <w:left w:val="none" w:sz="0" w:space="0" w:color="auto"/>
                            <w:bottom w:val="none" w:sz="0" w:space="0" w:color="auto"/>
                            <w:right w:val="none" w:sz="0" w:space="0" w:color="auto"/>
                          </w:divBdr>
                        </w:div>
                        <w:div w:id="1528985008">
                          <w:marLeft w:val="0"/>
                          <w:marRight w:val="0"/>
                          <w:marTop w:val="0"/>
                          <w:marBottom w:val="0"/>
                          <w:divBdr>
                            <w:top w:val="none" w:sz="0" w:space="0" w:color="auto"/>
                            <w:left w:val="none" w:sz="0" w:space="0" w:color="auto"/>
                            <w:bottom w:val="none" w:sz="0" w:space="0" w:color="auto"/>
                            <w:right w:val="none" w:sz="0" w:space="0" w:color="auto"/>
                          </w:divBdr>
                        </w:div>
                        <w:div w:id="280890818">
                          <w:marLeft w:val="0"/>
                          <w:marRight w:val="0"/>
                          <w:marTop w:val="0"/>
                          <w:marBottom w:val="0"/>
                          <w:divBdr>
                            <w:top w:val="none" w:sz="0" w:space="0" w:color="auto"/>
                            <w:left w:val="none" w:sz="0" w:space="0" w:color="auto"/>
                            <w:bottom w:val="none" w:sz="0" w:space="0" w:color="auto"/>
                            <w:right w:val="none" w:sz="0" w:space="0" w:color="auto"/>
                          </w:divBdr>
                        </w:div>
                        <w:div w:id="1172717515">
                          <w:marLeft w:val="0"/>
                          <w:marRight w:val="0"/>
                          <w:marTop w:val="0"/>
                          <w:marBottom w:val="0"/>
                          <w:divBdr>
                            <w:top w:val="none" w:sz="0" w:space="0" w:color="auto"/>
                            <w:left w:val="none" w:sz="0" w:space="0" w:color="auto"/>
                            <w:bottom w:val="none" w:sz="0" w:space="0" w:color="auto"/>
                            <w:right w:val="none" w:sz="0" w:space="0" w:color="auto"/>
                          </w:divBdr>
                        </w:div>
                        <w:div w:id="17482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19997">
      <w:bodyDiv w:val="1"/>
      <w:marLeft w:val="0"/>
      <w:marRight w:val="0"/>
      <w:marTop w:val="0"/>
      <w:marBottom w:val="0"/>
      <w:divBdr>
        <w:top w:val="none" w:sz="0" w:space="0" w:color="auto"/>
        <w:left w:val="none" w:sz="0" w:space="0" w:color="auto"/>
        <w:bottom w:val="none" w:sz="0" w:space="0" w:color="auto"/>
        <w:right w:val="none" w:sz="0" w:space="0" w:color="auto"/>
      </w:divBdr>
      <w:divsChild>
        <w:div w:id="826751741">
          <w:marLeft w:val="2400"/>
          <w:marRight w:val="0"/>
          <w:marTop w:val="0"/>
          <w:marBottom w:val="0"/>
          <w:divBdr>
            <w:top w:val="none" w:sz="0" w:space="0" w:color="auto"/>
            <w:left w:val="none" w:sz="0" w:space="0" w:color="auto"/>
            <w:bottom w:val="none" w:sz="0" w:space="0" w:color="auto"/>
            <w:right w:val="none" w:sz="0" w:space="0" w:color="auto"/>
          </w:divBdr>
          <w:divsChild>
            <w:div w:id="785855880">
              <w:marLeft w:val="0"/>
              <w:marRight w:val="0"/>
              <w:marTop w:val="0"/>
              <w:marBottom w:val="0"/>
              <w:divBdr>
                <w:top w:val="none" w:sz="0" w:space="0" w:color="auto"/>
                <w:left w:val="none" w:sz="0" w:space="0" w:color="auto"/>
                <w:bottom w:val="none" w:sz="0" w:space="0" w:color="auto"/>
                <w:right w:val="none" w:sz="0" w:space="0" w:color="auto"/>
              </w:divBdr>
              <w:divsChild>
                <w:div w:id="1909923873">
                  <w:marLeft w:val="0"/>
                  <w:marRight w:val="0"/>
                  <w:marTop w:val="0"/>
                  <w:marBottom w:val="0"/>
                  <w:divBdr>
                    <w:top w:val="none" w:sz="0" w:space="0" w:color="auto"/>
                    <w:left w:val="none" w:sz="0" w:space="0" w:color="auto"/>
                    <w:bottom w:val="none" w:sz="0" w:space="0" w:color="auto"/>
                    <w:right w:val="none" w:sz="0" w:space="0" w:color="auto"/>
                  </w:divBdr>
                  <w:divsChild>
                    <w:div w:id="19267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5023">
      <w:bodyDiv w:val="1"/>
      <w:marLeft w:val="0"/>
      <w:marRight w:val="0"/>
      <w:marTop w:val="0"/>
      <w:marBottom w:val="0"/>
      <w:divBdr>
        <w:top w:val="none" w:sz="0" w:space="0" w:color="auto"/>
        <w:left w:val="none" w:sz="0" w:space="0" w:color="auto"/>
        <w:bottom w:val="none" w:sz="0" w:space="0" w:color="auto"/>
        <w:right w:val="none" w:sz="0" w:space="0" w:color="auto"/>
      </w:divBdr>
      <w:divsChild>
        <w:div w:id="1049919311">
          <w:marLeft w:val="0"/>
          <w:marRight w:val="0"/>
          <w:marTop w:val="0"/>
          <w:marBottom w:val="0"/>
          <w:divBdr>
            <w:top w:val="none" w:sz="0" w:space="0" w:color="auto"/>
            <w:left w:val="none" w:sz="0" w:space="0" w:color="auto"/>
            <w:bottom w:val="none" w:sz="0" w:space="0" w:color="auto"/>
            <w:right w:val="none" w:sz="0" w:space="0" w:color="auto"/>
          </w:divBdr>
        </w:div>
        <w:div w:id="1611544525">
          <w:marLeft w:val="0"/>
          <w:marRight w:val="0"/>
          <w:marTop w:val="0"/>
          <w:marBottom w:val="0"/>
          <w:divBdr>
            <w:top w:val="none" w:sz="0" w:space="0" w:color="auto"/>
            <w:left w:val="none" w:sz="0" w:space="0" w:color="auto"/>
            <w:bottom w:val="none" w:sz="0" w:space="0" w:color="auto"/>
            <w:right w:val="none" w:sz="0" w:space="0" w:color="auto"/>
          </w:divBdr>
        </w:div>
      </w:divsChild>
    </w:div>
    <w:div w:id="158348994">
      <w:bodyDiv w:val="1"/>
      <w:marLeft w:val="0"/>
      <w:marRight w:val="0"/>
      <w:marTop w:val="0"/>
      <w:marBottom w:val="0"/>
      <w:divBdr>
        <w:top w:val="none" w:sz="0" w:space="0" w:color="auto"/>
        <w:left w:val="none" w:sz="0" w:space="0" w:color="auto"/>
        <w:bottom w:val="none" w:sz="0" w:space="0" w:color="auto"/>
        <w:right w:val="none" w:sz="0" w:space="0" w:color="auto"/>
      </w:divBdr>
      <w:divsChild>
        <w:div w:id="2068674919">
          <w:marLeft w:val="0"/>
          <w:marRight w:val="0"/>
          <w:marTop w:val="0"/>
          <w:marBottom w:val="0"/>
          <w:divBdr>
            <w:top w:val="none" w:sz="0" w:space="0" w:color="auto"/>
            <w:left w:val="none" w:sz="0" w:space="0" w:color="auto"/>
            <w:bottom w:val="none" w:sz="0" w:space="0" w:color="auto"/>
            <w:right w:val="none" w:sz="0" w:space="0" w:color="auto"/>
          </w:divBdr>
        </w:div>
      </w:divsChild>
    </w:div>
    <w:div w:id="158928715">
      <w:bodyDiv w:val="1"/>
      <w:marLeft w:val="0"/>
      <w:marRight w:val="0"/>
      <w:marTop w:val="0"/>
      <w:marBottom w:val="0"/>
      <w:divBdr>
        <w:top w:val="none" w:sz="0" w:space="0" w:color="auto"/>
        <w:left w:val="none" w:sz="0" w:space="0" w:color="auto"/>
        <w:bottom w:val="none" w:sz="0" w:space="0" w:color="auto"/>
        <w:right w:val="none" w:sz="0" w:space="0" w:color="auto"/>
      </w:divBdr>
    </w:div>
    <w:div w:id="159122583">
      <w:bodyDiv w:val="1"/>
      <w:marLeft w:val="0"/>
      <w:marRight w:val="0"/>
      <w:marTop w:val="0"/>
      <w:marBottom w:val="0"/>
      <w:divBdr>
        <w:top w:val="none" w:sz="0" w:space="0" w:color="auto"/>
        <w:left w:val="none" w:sz="0" w:space="0" w:color="auto"/>
        <w:bottom w:val="none" w:sz="0" w:space="0" w:color="auto"/>
        <w:right w:val="none" w:sz="0" w:space="0" w:color="auto"/>
      </w:divBdr>
      <w:divsChild>
        <w:div w:id="1895893845">
          <w:marLeft w:val="0"/>
          <w:marRight w:val="0"/>
          <w:marTop w:val="375"/>
          <w:marBottom w:val="375"/>
          <w:divBdr>
            <w:top w:val="none" w:sz="0" w:space="0" w:color="auto"/>
            <w:left w:val="none" w:sz="0" w:space="0" w:color="auto"/>
            <w:bottom w:val="none" w:sz="0" w:space="0" w:color="auto"/>
            <w:right w:val="none" w:sz="0" w:space="0" w:color="auto"/>
          </w:divBdr>
          <w:divsChild>
            <w:div w:id="2042776918">
              <w:marLeft w:val="0"/>
              <w:marRight w:val="0"/>
              <w:marTop w:val="375"/>
              <w:marBottom w:val="375"/>
              <w:divBdr>
                <w:top w:val="none" w:sz="0" w:space="0" w:color="auto"/>
                <w:left w:val="none" w:sz="0" w:space="0" w:color="auto"/>
                <w:bottom w:val="none" w:sz="0" w:space="0" w:color="auto"/>
                <w:right w:val="none" w:sz="0" w:space="0" w:color="auto"/>
              </w:divBdr>
            </w:div>
          </w:divsChild>
        </w:div>
        <w:div w:id="1281181227">
          <w:marLeft w:val="0"/>
          <w:marRight w:val="0"/>
          <w:marTop w:val="0"/>
          <w:marBottom w:val="375"/>
          <w:divBdr>
            <w:top w:val="none" w:sz="0" w:space="0" w:color="auto"/>
            <w:left w:val="none" w:sz="0" w:space="0" w:color="auto"/>
            <w:bottom w:val="none" w:sz="0" w:space="0" w:color="auto"/>
            <w:right w:val="none" w:sz="0" w:space="0" w:color="auto"/>
          </w:divBdr>
        </w:div>
        <w:div w:id="245577338">
          <w:marLeft w:val="0"/>
          <w:marRight w:val="0"/>
          <w:marTop w:val="375"/>
          <w:marBottom w:val="375"/>
          <w:divBdr>
            <w:top w:val="none" w:sz="0" w:space="0" w:color="auto"/>
            <w:left w:val="none" w:sz="0" w:space="0" w:color="auto"/>
            <w:bottom w:val="none" w:sz="0" w:space="0" w:color="auto"/>
            <w:right w:val="none" w:sz="0" w:space="0" w:color="auto"/>
          </w:divBdr>
        </w:div>
      </w:divsChild>
    </w:div>
    <w:div w:id="159202659">
      <w:bodyDiv w:val="1"/>
      <w:marLeft w:val="0"/>
      <w:marRight w:val="0"/>
      <w:marTop w:val="0"/>
      <w:marBottom w:val="0"/>
      <w:divBdr>
        <w:top w:val="none" w:sz="0" w:space="0" w:color="auto"/>
        <w:left w:val="none" w:sz="0" w:space="0" w:color="auto"/>
        <w:bottom w:val="none" w:sz="0" w:space="0" w:color="auto"/>
        <w:right w:val="none" w:sz="0" w:space="0" w:color="auto"/>
      </w:divBdr>
      <w:divsChild>
        <w:div w:id="682049844">
          <w:marLeft w:val="0"/>
          <w:marRight w:val="0"/>
          <w:marTop w:val="0"/>
          <w:marBottom w:val="0"/>
          <w:divBdr>
            <w:top w:val="none" w:sz="0" w:space="0" w:color="auto"/>
            <w:left w:val="none" w:sz="0" w:space="0" w:color="auto"/>
            <w:bottom w:val="none" w:sz="0" w:space="0" w:color="auto"/>
            <w:right w:val="none" w:sz="0" w:space="0" w:color="auto"/>
          </w:divBdr>
          <w:divsChild>
            <w:div w:id="861550226">
              <w:marLeft w:val="0"/>
              <w:marRight w:val="0"/>
              <w:marTop w:val="0"/>
              <w:marBottom w:val="0"/>
              <w:divBdr>
                <w:top w:val="none" w:sz="0" w:space="0" w:color="auto"/>
                <w:left w:val="none" w:sz="0" w:space="0" w:color="auto"/>
                <w:bottom w:val="none" w:sz="0" w:space="0" w:color="auto"/>
                <w:right w:val="none" w:sz="0" w:space="0" w:color="auto"/>
              </w:divBdr>
              <w:divsChild>
                <w:div w:id="1521121523">
                  <w:marLeft w:val="0"/>
                  <w:marRight w:val="0"/>
                  <w:marTop w:val="0"/>
                  <w:marBottom w:val="0"/>
                  <w:divBdr>
                    <w:top w:val="none" w:sz="0" w:space="0" w:color="auto"/>
                    <w:left w:val="none" w:sz="0" w:space="0" w:color="auto"/>
                    <w:bottom w:val="none" w:sz="0" w:space="0" w:color="auto"/>
                    <w:right w:val="none" w:sz="0" w:space="0" w:color="auto"/>
                  </w:divBdr>
                  <w:divsChild>
                    <w:div w:id="886718577">
                      <w:marLeft w:val="0"/>
                      <w:marRight w:val="0"/>
                      <w:marTop w:val="0"/>
                      <w:marBottom w:val="0"/>
                      <w:divBdr>
                        <w:top w:val="none" w:sz="0" w:space="0" w:color="auto"/>
                        <w:left w:val="none" w:sz="0" w:space="0" w:color="auto"/>
                        <w:bottom w:val="none" w:sz="0" w:space="0" w:color="auto"/>
                        <w:right w:val="none" w:sz="0" w:space="0" w:color="auto"/>
                      </w:divBdr>
                      <w:divsChild>
                        <w:div w:id="868221149">
                          <w:marLeft w:val="0"/>
                          <w:marRight w:val="0"/>
                          <w:marTop w:val="0"/>
                          <w:marBottom w:val="0"/>
                          <w:divBdr>
                            <w:top w:val="none" w:sz="0" w:space="0" w:color="auto"/>
                            <w:left w:val="none" w:sz="0" w:space="0" w:color="auto"/>
                            <w:bottom w:val="single" w:sz="6" w:space="15" w:color="CCCCCC"/>
                            <w:right w:val="none" w:sz="0" w:space="0" w:color="auto"/>
                          </w:divBdr>
                          <w:divsChild>
                            <w:div w:id="12340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60095">
      <w:bodyDiv w:val="1"/>
      <w:marLeft w:val="0"/>
      <w:marRight w:val="0"/>
      <w:marTop w:val="0"/>
      <w:marBottom w:val="0"/>
      <w:divBdr>
        <w:top w:val="none" w:sz="0" w:space="0" w:color="auto"/>
        <w:left w:val="none" w:sz="0" w:space="0" w:color="auto"/>
        <w:bottom w:val="none" w:sz="0" w:space="0" w:color="auto"/>
        <w:right w:val="none" w:sz="0" w:space="0" w:color="auto"/>
      </w:divBdr>
      <w:divsChild>
        <w:div w:id="718433888">
          <w:marLeft w:val="0"/>
          <w:marRight w:val="0"/>
          <w:marTop w:val="0"/>
          <w:marBottom w:val="0"/>
          <w:divBdr>
            <w:top w:val="none" w:sz="0" w:space="0" w:color="auto"/>
            <w:left w:val="none" w:sz="0" w:space="0" w:color="auto"/>
            <w:bottom w:val="none" w:sz="0" w:space="0" w:color="auto"/>
            <w:right w:val="none" w:sz="0" w:space="0" w:color="auto"/>
          </w:divBdr>
          <w:divsChild>
            <w:div w:id="28579072">
              <w:marLeft w:val="0"/>
              <w:marRight w:val="0"/>
              <w:marTop w:val="0"/>
              <w:marBottom w:val="0"/>
              <w:divBdr>
                <w:top w:val="none" w:sz="0" w:space="0" w:color="auto"/>
                <w:left w:val="none" w:sz="0" w:space="0" w:color="auto"/>
                <w:bottom w:val="none" w:sz="0" w:space="0" w:color="auto"/>
                <w:right w:val="none" w:sz="0" w:space="0" w:color="auto"/>
              </w:divBdr>
              <w:divsChild>
                <w:div w:id="65151222">
                  <w:marLeft w:val="0"/>
                  <w:marRight w:val="0"/>
                  <w:marTop w:val="0"/>
                  <w:marBottom w:val="0"/>
                  <w:divBdr>
                    <w:top w:val="none" w:sz="0" w:space="0" w:color="auto"/>
                    <w:left w:val="none" w:sz="0" w:space="0" w:color="auto"/>
                    <w:bottom w:val="none" w:sz="0" w:space="0" w:color="auto"/>
                    <w:right w:val="none" w:sz="0" w:space="0" w:color="auto"/>
                  </w:divBdr>
                  <w:divsChild>
                    <w:div w:id="1308822639">
                      <w:marLeft w:val="0"/>
                      <w:marRight w:val="0"/>
                      <w:marTop w:val="0"/>
                      <w:marBottom w:val="0"/>
                      <w:divBdr>
                        <w:top w:val="none" w:sz="0" w:space="0" w:color="auto"/>
                        <w:left w:val="none" w:sz="0" w:space="0" w:color="auto"/>
                        <w:bottom w:val="none" w:sz="0" w:space="0" w:color="auto"/>
                        <w:right w:val="none" w:sz="0" w:space="0" w:color="auto"/>
                      </w:divBdr>
                      <w:divsChild>
                        <w:div w:id="583761881">
                          <w:marLeft w:val="0"/>
                          <w:marRight w:val="0"/>
                          <w:marTop w:val="0"/>
                          <w:marBottom w:val="0"/>
                          <w:divBdr>
                            <w:top w:val="none" w:sz="0" w:space="0" w:color="auto"/>
                            <w:left w:val="none" w:sz="0" w:space="0" w:color="auto"/>
                            <w:bottom w:val="none" w:sz="0" w:space="0" w:color="auto"/>
                            <w:right w:val="none" w:sz="0" w:space="0" w:color="auto"/>
                          </w:divBdr>
                          <w:divsChild>
                            <w:div w:id="1231622059">
                              <w:marLeft w:val="0"/>
                              <w:marRight w:val="0"/>
                              <w:marTop w:val="0"/>
                              <w:marBottom w:val="0"/>
                              <w:divBdr>
                                <w:top w:val="none" w:sz="0" w:space="0" w:color="auto"/>
                                <w:left w:val="none" w:sz="0" w:space="0" w:color="auto"/>
                                <w:bottom w:val="none" w:sz="0" w:space="0" w:color="auto"/>
                                <w:right w:val="none" w:sz="0" w:space="0" w:color="auto"/>
                              </w:divBdr>
                              <w:divsChild>
                                <w:div w:id="2031760443">
                                  <w:marLeft w:val="0"/>
                                  <w:marRight w:val="0"/>
                                  <w:marTop w:val="0"/>
                                  <w:marBottom w:val="0"/>
                                  <w:divBdr>
                                    <w:top w:val="none" w:sz="0" w:space="0" w:color="auto"/>
                                    <w:left w:val="none" w:sz="0" w:space="0" w:color="auto"/>
                                    <w:bottom w:val="none" w:sz="0" w:space="0" w:color="auto"/>
                                    <w:right w:val="none" w:sz="0" w:space="0" w:color="auto"/>
                                  </w:divBdr>
                                  <w:divsChild>
                                    <w:div w:id="1536649650">
                                      <w:marLeft w:val="0"/>
                                      <w:marRight w:val="0"/>
                                      <w:marTop w:val="0"/>
                                      <w:marBottom w:val="0"/>
                                      <w:divBdr>
                                        <w:top w:val="none" w:sz="0" w:space="0" w:color="auto"/>
                                        <w:left w:val="none" w:sz="0" w:space="0" w:color="auto"/>
                                        <w:bottom w:val="none" w:sz="0" w:space="0" w:color="auto"/>
                                        <w:right w:val="none" w:sz="0" w:space="0" w:color="auto"/>
                                      </w:divBdr>
                                      <w:divsChild>
                                        <w:div w:id="1837846259">
                                          <w:marLeft w:val="0"/>
                                          <w:marRight w:val="0"/>
                                          <w:marTop w:val="0"/>
                                          <w:marBottom w:val="0"/>
                                          <w:divBdr>
                                            <w:top w:val="none" w:sz="0" w:space="0" w:color="auto"/>
                                            <w:left w:val="none" w:sz="0" w:space="0" w:color="auto"/>
                                            <w:bottom w:val="none" w:sz="0" w:space="0" w:color="auto"/>
                                            <w:right w:val="none" w:sz="0" w:space="0" w:color="auto"/>
                                          </w:divBdr>
                                        </w:div>
                                        <w:div w:id="2139838976">
                                          <w:marLeft w:val="0"/>
                                          <w:marRight w:val="0"/>
                                          <w:marTop w:val="0"/>
                                          <w:marBottom w:val="0"/>
                                          <w:divBdr>
                                            <w:top w:val="none" w:sz="0" w:space="0" w:color="auto"/>
                                            <w:left w:val="none" w:sz="0" w:space="0" w:color="auto"/>
                                            <w:bottom w:val="none" w:sz="0" w:space="0" w:color="auto"/>
                                            <w:right w:val="none" w:sz="0" w:space="0" w:color="auto"/>
                                          </w:divBdr>
                                          <w:divsChild>
                                            <w:div w:id="1322628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35796">
      <w:bodyDiv w:val="1"/>
      <w:marLeft w:val="0"/>
      <w:marRight w:val="0"/>
      <w:marTop w:val="0"/>
      <w:marBottom w:val="0"/>
      <w:divBdr>
        <w:top w:val="none" w:sz="0" w:space="0" w:color="auto"/>
        <w:left w:val="none" w:sz="0" w:space="0" w:color="auto"/>
        <w:bottom w:val="none" w:sz="0" w:space="0" w:color="auto"/>
        <w:right w:val="none" w:sz="0" w:space="0" w:color="auto"/>
      </w:divBdr>
    </w:div>
    <w:div w:id="163281776">
      <w:bodyDiv w:val="1"/>
      <w:marLeft w:val="0"/>
      <w:marRight w:val="0"/>
      <w:marTop w:val="0"/>
      <w:marBottom w:val="0"/>
      <w:divBdr>
        <w:top w:val="none" w:sz="0" w:space="0" w:color="auto"/>
        <w:left w:val="none" w:sz="0" w:space="0" w:color="auto"/>
        <w:bottom w:val="none" w:sz="0" w:space="0" w:color="auto"/>
        <w:right w:val="none" w:sz="0" w:space="0" w:color="auto"/>
      </w:divBdr>
      <w:divsChild>
        <w:div w:id="1744986152">
          <w:marLeft w:val="0"/>
          <w:marRight w:val="0"/>
          <w:marTop w:val="0"/>
          <w:marBottom w:val="0"/>
          <w:divBdr>
            <w:top w:val="none" w:sz="0" w:space="0" w:color="auto"/>
            <w:left w:val="none" w:sz="0" w:space="0" w:color="auto"/>
            <w:bottom w:val="none" w:sz="0" w:space="0" w:color="auto"/>
            <w:right w:val="none" w:sz="0" w:space="0" w:color="auto"/>
          </w:divBdr>
          <w:divsChild>
            <w:div w:id="1099911390">
              <w:marLeft w:val="0"/>
              <w:marRight w:val="0"/>
              <w:marTop w:val="0"/>
              <w:marBottom w:val="0"/>
              <w:divBdr>
                <w:top w:val="single" w:sz="6" w:space="0" w:color="0E477A"/>
                <w:left w:val="single" w:sz="6" w:space="0" w:color="0E477A"/>
                <w:bottom w:val="single" w:sz="6" w:space="0" w:color="0E477A"/>
                <w:right w:val="single" w:sz="6" w:space="0" w:color="0E477A"/>
              </w:divBdr>
              <w:divsChild>
                <w:div w:id="1877085186">
                  <w:marLeft w:val="0"/>
                  <w:marRight w:val="0"/>
                  <w:marTop w:val="0"/>
                  <w:marBottom w:val="0"/>
                  <w:divBdr>
                    <w:top w:val="none" w:sz="0" w:space="0" w:color="auto"/>
                    <w:left w:val="none" w:sz="0" w:space="0" w:color="auto"/>
                    <w:bottom w:val="none" w:sz="0" w:space="0" w:color="auto"/>
                    <w:right w:val="none" w:sz="0" w:space="0" w:color="auto"/>
                  </w:divBdr>
                  <w:divsChild>
                    <w:div w:id="1322808247">
                      <w:marLeft w:val="0"/>
                      <w:marRight w:val="0"/>
                      <w:marTop w:val="0"/>
                      <w:marBottom w:val="0"/>
                      <w:divBdr>
                        <w:top w:val="none" w:sz="0" w:space="0" w:color="auto"/>
                        <w:left w:val="none" w:sz="0" w:space="0" w:color="auto"/>
                        <w:bottom w:val="none" w:sz="0" w:space="0" w:color="auto"/>
                        <w:right w:val="none" w:sz="0" w:space="0" w:color="auto"/>
                      </w:divBdr>
                      <w:divsChild>
                        <w:div w:id="1105345238">
                          <w:marLeft w:val="0"/>
                          <w:marRight w:val="0"/>
                          <w:marTop w:val="0"/>
                          <w:marBottom w:val="0"/>
                          <w:divBdr>
                            <w:top w:val="none" w:sz="0" w:space="0" w:color="auto"/>
                            <w:left w:val="none" w:sz="0" w:space="0" w:color="auto"/>
                            <w:bottom w:val="none" w:sz="0" w:space="0" w:color="auto"/>
                            <w:right w:val="none" w:sz="0" w:space="0" w:color="auto"/>
                          </w:divBdr>
                          <w:divsChild>
                            <w:div w:id="1861501888">
                              <w:marLeft w:val="0"/>
                              <w:marRight w:val="0"/>
                              <w:marTop w:val="0"/>
                              <w:marBottom w:val="0"/>
                              <w:divBdr>
                                <w:top w:val="none" w:sz="0" w:space="0" w:color="auto"/>
                                <w:left w:val="none" w:sz="0" w:space="0" w:color="auto"/>
                                <w:bottom w:val="none" w:sz="0" w:space="0" w:color="auto"/>
                                <w:right w:val="none" w:sz="0" w:space="0" w:color="auto"/>
                              </w:divBdr>
                              <w:divsChild>
                                <w:div w:id="1409182600">
                                  <w:marLeft w:val="0"/>
                                  <w:marRight w:val="0"/>
                                  <w:marTop w:val="0"/>
                                  <w:marBottom w:val="0"/>
                                  <w:divBdr>
                                    <w:top w:val="none" w:sz="0" w:space="0" w:color="auto"/>
                                    <w:left w:val="none" w:sz="0" w:space="0" w:color="auto"/>
                                    <w:bottom w:val="none" w:sz="0" w:space="0" w:color="auto"/>
                                    <w:right w:val="none" w:sz="0" w:space="0" w:color="auto"/>
                                  </w:divBdr>
                                  <w:divsChild>
                                    <w:div w:id="493646017">
                                      <w:marLeft w:val="0"/>
                                      <w:marRight w:val="0"/>
                                      <w:marTop w:val="0"/>
                                      <w:marBottom w:val="0"/>
                                      <w:divBdr>
                                        <w:top w:val="none" w:sz="0" w:space="0" w:color="auto"/>
                                        <w:left w:val="none" w:sz="0" w:space="0" w:color="auto"/>
                                        <w:bottom w:val="none" w:sz="0" w:space="0" w:color="auto"/>
                                        <w:right w:val="none" w:sz="0" w:space="0" w:color="auto"/>
                                      </w:divBdr>
                                      <w:divsChild>
                                        <w:div w:id="1441756929">
                                          <w:marLeft w:val="0"/>
                                          <w:marRight w:val="0"/>
                                          <w:marTop w:val="0"/>
                                          <w:marBottom w:val="0"/>
                                          <w:divBdr>
                                            <w:top w:val="none" w:sz="0" w:space="0" w:color="auto"/>
                                            <w:left w:val="none" w:sz="0" w:space="0" w:color="auto"/>
                                            <w:bottom w:val="none" w:sz="0" w:space="0" w:color="auto"/>
                                            <w:right w:val="none" w:sz="0" w:space="0" w:color="auto"/>
                                          </w:divBdr>
                                          <w:divsChild>
                                            <w:div w:id="893589975">
                                              <w:marLeft w:val="0"/>
                                              <w:marRight w:val="0"/>
                                              <w:marTop w:val="0"/>
                                              <w:marBottom w:val="0"/>
                                              <w:divBdr>
                                                <w:top w:val="none" w:sz="0" w:space="0" w:color="auto"/>
                                                <w:left w:val="none" w:sz="0" w:space="0" w:color="auto"/>
                                                <w:bottom w:val="none" w:sz="0" w:space="0" w:color="auto"/>
                                                <w:right w:val="none" w:sz="0" w:space="0" w:color="auto"/>
                                              </w:divBdr>
                                              <w:divsChild>
                                                <w:div w:id="1830517083">
                                                  <w:marLeft w:val="0"/>
                                                  <w:marRight w:val="0"/>
                                                  <w:marTop w:val="0"/>
                                                  <w:marBottom w:val="0"/>
                                                  <w:divBdr>
                                                    <w:top w:val="none" w:sz="0" w:space="0" w:color="auto"/>
                                                    <w:left w:val="none" w:sz="0" w:space="0" w:color="auto"/>
                                                    <w:bottom w:val="none" w:sz="0" w:space="0" w:color="auto"/>
                                                    <w:right w:val="none" w:sz="0" w:space="0" w:color="auto"/>
                                                  </w:divBdr>
                                                  <w:divsChild>
                                                    <w:div w:id="13822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20554">
      <w:bodyDiv w:val="1"/>
      <w:marLeft w:val="0"/>
      <w:marRight w:val="0"/>
      <w:marTop w:val="0"/>
      <w:marBottom w:val="0"/>
      <w:divBdr>
        <w:top w:val="none" w:sz="0" w:space="0" w:color="auto"/>
        <w:left w:val="none" w:sz="0" w:space="0" w:color="auto"/>
        <w:bottom w:val="none" w:sz="0" w:space="0" w:color="auto"/>
        <w:right w:val="none" w:sz="0" w:space="0" w:color="auto"/>
      </w:divBdr>
      <w:divsChild>
        <w:div w:id="909580110">
          <w:marLeft w:val="0"/>
          <w:marRight w:val="0"/>
          <w:marTop w:val="150"/>
          <w:marBottom w:val="0"/>
          <w:divBdr>
            <w:top w:val="none" w:sz="0" w:space="0" w:color="auto"/>
            <w:left w:val="none" w:sz="0" w:space="0" w:color="auto"/>
            <w:bottom w:val="none" w:sz="0" w:space="0" w:color="auto"/>
            <w:right w:val="none" w:sz="0" w:space="0" w:color="auto"/>
          </w:divBdr>
          <w:divsChild>
            <w:div w:id="1843280298">
              <w:marLeft w:val="2"/>
              <w:marRight w:val="2"/>
              <w:marTop w:val="0"/>
              <w:marBottom w:val="0"/>
              <w:divBdr>
                <w:top w:val="none" w:sz="0" w:space="0" w:color="auto"/>
                <w:left w:val="none" w:sz="0" w:space="0" w:color="auto"/>
                <w:bottom w:val="none" w:sz="0" w:space="0" w:color="auto"/>
                <w:right w:val="none" w:sz="0" w:space="0" w:color="auto"/>
              </w:divBdr>
              <w:divsChild>
                <w:div w:id="1188253100">
                  <w:marLeft w:val="0"/>
                  <w:marRight w:val="0"/>
                  <w:marTop w:val="0"/>
                  <w:marBottom w:val="0"/>
                  <w:divBdr>
                    <w:top w:val="none" w:sz="0" w:space="0" w:color="auto"/>
                    <w:left w:val="none" w:sz="0" w:space="0" w:color="auto"/>
                    <w:bottom w:val="none" w:sz="0" w:space="0" w:color="auto"/>
                    <w:right w:val="none" w:sz="0" w:space="0" w:color="auto"/>
                  </w:divBdr>
                  <w:divsChild>
                    <w:div w:id="1903058749">
                      <w:marLeft w:val="0"/>
                      <w:marRight w:val="0"/>
                      <w:marTop w:val="0"/>
                      <w:marBottom w:val="0"/>
                      <w:divBdr>
                        <w:top w:val="none" w:sz="0" w:space="0" w:color="auto"/>
                        <w:left w:val="none" w:sz="0" w:space="0" w:color="auto"/>
                        <w:bottom w:val="none" w:sz="0" w:space="0" w:color="auto"/>
                        <w:right w:val="none" w:sz="0" w:space="0" w:color="auto"/>
                      </w:divBdr>
                      <w:divsChild>
                        <w:div w:id="1870408747">
                          <w:marLeft w:val="0"/>
                          <w:marRight w:val="0"/>
                          <w:marTop w:val="0"/>
                          <w:marBottom w:val="0"/>
                          <w:divBdr>
                            <w:top w:val="none" w:sz="0" w:space="0" w:color="auto"/>
                            <w:left w:val="none" w:sz="0" w:space="0" w:color="auto"/>
                            <w:bottom w:val="none" w:sz="0" w:space="0" w:color="auto"/>
                            <w:right w:val="none" w:sz="0" w:space="0" w:color="auto"/>
                          </w:divBdr>
                          <w:divsChild>
                            <w:div w:id="200241586">
                              <w:marLeft w:val="0"/>
                              <w:marRight w:val="0"/>
                              <w:marTop w:val="0"/>
                              <w:marBottom w:val="0"/>
                              <w:divBdr>
                                <w:top w:val="none" w:sz="0" w:space="0" w:color="auto"/>
                                <w:left w:val="none" w:sz="0" w:space="0" w:color="auto"/>
                                <w:bottom w:val="none" w:sz="0" w:space="0" w:color="auto"/>
                                <w:right w:val="none" w:sz="0" w:space="0" w:color="auto"/>
                              </w:divBdr>
                              <w:divsChild>
                                <w:div w:id="1636136608">
                                  <w:marLeft w:val="0"/>
                                  <w:marRight w:val="0"/>
                                  <w:marTop w:val="0"/>
                                  <w:marBottom w:val="0"/>
                                  <w:divBdr>
                                    <w:top w:val="none" w:sz="0" w:space="0" w:color="auto"/>
                                    <w:left w:val="none" w:sz="0" w:space="0" w:color="auto"/>
                                    <w:bottom w:val="none" w:sz="0" w:space="0" w:color="auto"/>
                                    <w:right w:val="none" w:sz="0" w:space="0" w:color="auto"/>
                                  </w:divBdr>
                                  <w:divsChild>
                                    <w:div w:id="449786769">
                                      <w:marLeft w:val="0"/>
                                      <w:marRight w:val="0"/>
                                      <w:marTop w:val="0"/>
                                      <w:marBottom w:val="0"/>
                                      <w:divBdr>
                                        <w:top w:val="none" w:sz="0" w:space="0" w:color="auto"/>
                                        <w:left w:val="none" w:sz="0" w:space="0" w:color="auto"/>
                                        <w:bottom w:val="none" w:sz="0" w:space="0" w:color="auto"/>
                                        <w:right w:val="none" w:sz="0" w:space="0" w:color="auto"/>
                                      </w:divBdr>
                                      <w:divsChild>
                                        <w:div w:id="1174882910">
                                          <w:marLeft w:val="0"/>
                                          <w:marRight w:val="0"/>
                                          <w:marTop w:val="0"/>
                                          <w:marBottom w:val="0"/>
                                          <w:divBdr>
                                            <w:top w:val="none" w:sz="0" w:space="0" w:color="auto"/>
                                            <w:left w:val="none" w:sz="0" w:space="0" w:color="auto"/>
                                            <w:bottom w:val="none" w:sz="0" w:space="0" w:color="auto"/>
                                            <w:right w:val="none" w:sz="0" w:space="0" w:color="auto"/>
                                          </w:divBdr>
                                          <w:divsChild>
                                            <w:div w:id="1420173644">
                                              <w:marLeft w:val="0"/>
                                              <w:marRight w:val="0"/>
                                              <w:marTop w:val="0"/>
                                              <w:marBottom w:val="0"/>
                                              <w:divBdr>
                                                <w:top w:val="none" w:sz="0" w:space="0" w:color="auto"/>
                                                <w:left w:val="none" w:sz="0" w:space="0" w:color="auto"/>
                                                <w:bottom w:val="none" w:sz="0" w:space="0" w:color="auto"/>
                                                <w:right w:val="none" w:sz="0" w:space="0" w:color="auto"/>
                                              </w:divBdr>
                                              <w:divsChild>
                                                <w:div w:id="1906867895">
                                                  <w:marLeft w:val="0"/>
                                                  <w:marRight w:val="0"/>
                                                  <w:marTop w:val="0"/>
                                                  <w:marBottom w:val="0"/>
                                                  <w:divBdr>
                                                    <w:top w:val="none" w:sz="0" w:space="0" w:color="auto"/>
                                                    <w:left w:val="none" w:sz="0" w:space="0" w:color="auto"/>
                                                    <w:bottom w:val="none" w:sz="0" w:space="0" w:color="auto"/>
                                                    <w:right w:val="none" w:sz="0" w:space="0" w:color="auto"/>
                                                  </w:divBdr>
                                                </w:div>
                                              </w:divsChild>
                                            </w:div>
                                            <w:div w:id="613949376">
                                              <w:marLeft w:val="0"/>
                                              <w:marRight w:val="0"/>
                                              <w:marTop w:val="0"/>
                                              <w:marBottom w:val="0"/>
                                              <w:divBdr>
                                                <w:top w:val="none" w:sz="0" w:space="0" w:color="auto"/>
                                                <w:left w:val="none" w:sz="0" w:space="0" w:color="auto"/>
                                                <w:bottom w:val="none" w:sz="0" w:space="0" w:color="auto"/>
                                                <w:right w:val="none" w:sz="0" w:space="0" w:color="auto"/>
                                              </w:divBdr>
                                              <w:divsChild>
                                                <w:div w:id="2121337884">
                                                  <w:marLeft w:val="0"/>
                                                  <w:marRight w:val="0"/>
                                                  <w:marTop w:val="0"/>
                                                  <w:marBottom w:val="0"/>
                                                  <w:divBdr>
                                                    <w:top w:val="none" w:sz="0" w:space="0" w:color="auto"/>
                                                    <w:left w:val="none" w:sz="0" w:space="0" w:color="auto"/>
                                                    <w:bottom w:val="none" w:sz="0" w:space="0" w:color="auto"/>
                                                    <w:right w:val="none" w:sz="0" w:space="0" w:color="auto"/>
                                                  </w:divBdr>
                                                </w:div>
                                              </w:divsChild>
                                            </w:div>
                                            <w:div w:id="571236694">
                                              <w:marLeft w:val="0"/>
                                              <w:marRight w:val="0"/>
                                              <w:marTop w:val="0"/>
                                              <w:marBottom w:val="0"/>
                                              <w:divBdr>
                                                <w:top w:val="none" w:sz="0" w:space="0" w:color="auto"/>
                                                <w:left w:val="none" w:sz="0" w:space="0" w:color="auto"/>
                                                <w:bottom w:val="none" w:sz="0" w:space="0" w:color="auto"/>
                                                <w:right w:val="none" w:sz="0" w:space="0" w:color="auto"/>
                                              </w:divBdr>
                                              <w:divsChild>
                                                <w:div w:id="311787426">
                                                  <w:marLeft w:val="0"/>
                                                  <w:marRight w:val="0"/>
                                                  <w:marTop w:val="0"/>
                                                  <w:marBottom w:val="0"/>
                                                  <w:divBdr>
                                                    <w:top w:val="none" w:sz="0" w:space="0" w:color="auto"/>
                                                    <w:left w:val="none" w:sz="0" w:space="0" w:color="auto"/>
                                                    <w:bottom w:val="none" w:sz="0" w:space="0" w:color="auto"/>
                                                    <w:right w:val="none" w:sz="0" w:space="0" w:color="auto"/>
                                                  </w:divBdr>
                                                </w:div>
                                              </w:divsChild>
                                            </w:div>
                                            <w:div w:id="742916204">
                                              <w:marLeft w:val="0"/>
                                              <w:marRight w:val="0"/>
                                              <w:marTop w:val="0"/>
                                              <w:marBottom w:val="0"/>
                                              <w:divBdr>
                                                <w:top w:val="none" w:sz="0" w:space="0" w:color="auto"/>
                                                <w:left w:val="none" w:sz="0" w:space="0" w:color="auto"/>
                                                <w:bottom w:val="none" w:sz="0" w:space="0" w:color="auto"/>
                                                <w:right w:val="none" w:sz="0" w:space="0" w:color="auto"/>
                                              </w:divBdr>
                                              <w:divsChild>
                                                <w:div w:id="13330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16349">
      <w:bodyDiv w:val="1"/>
      <w:marLeft w:val="0"/>
      <w:marRight w:val="0"/>
      <w:marTop w:val="0"/>
      <w:marBottom w:val="0"/>
      <w:divBdr>
        <w:top w:val="none" w:sz="0" w:space="0" w:color="auto"/>
        <w:left w:val="none" w:sz="0" w:space="0" w:color="auto"/>
        <w:bottom w:val="none" w:sz="0" w:space="0" w:color="auto"/>
        <w:right w:val="none" w:sz="0" w:space="0" w:color="auto"/>
      </w:divBdr>
      <w:divsChild>
        <w:div w:id="1064185786">
          <w:marLeft w:val="0"/>
          <w:marRight w:val="0"/>
          <w:marTop w:val="0"/>
          <w:marBottom w:val="0"/>
          <w:divBdr>
            <w:top w:val="single" w:sz="4" w:space="0" w:color="0E477A"/>
            <w:left w:val="single" w:sz="4" w:space="0" w:color="0E477A"/>
            <w:bottom w:val="single" w:sz="4" w:space="0" w:color="0E477A"/>
            <w:right w:val="single" w:sz="4" w:space="0" w:color="0E477A"/>
          </w:divBdr>
          <w:divsChild>
            <w:div w:id="671683877">
              <w:marLeft w:val="2442"/>
              <w:marRight w:val="0"/>
              <w:marTop w:val="0"/>
              <w:marBottom w:val="0"/>
              <w:divBdr>
                <w:top w:val="none" w:sz="0" w:space="0" w:color="auto"/>
                <w:left w:val="none" w:sz="0" w:space="0" w:color="auto"/>
                <w:bottom w:val="none" w:sz="0" w:space="0" w:color="auto"/>
                <w:right w:val="none" w:sz="0" w:space="0" w:color="auto"/>
              </w:divBdr>
              <w:divsChild>
                <w:div w:id="162816425">
                  <w:marLeft w:val="0"/>
                  <w:marRight w:val="0"/>
                  <w:marTop w:val="0"/>
                  <w:marBottom w:val="0"/>
                  <w:divBdr>
                    <w:top w:val="none" w:sz="0" w:space="0" w:color="auto"/>
                    <w:left w:val="none" w:sz="0" w:space="0" w:color="auto"/>
                    <w:bottom w:val="none" w:sz="0" w:space="0" w:color="auto"/>
                    <w:right w:val="none" w:sz="0" w:space="0" w:color="auto"/>
                  </w:divBdr>
                  <w:divsChild>
                    <w:div w:id="2081827750">
                      <w:marLeft w:val="0"/>
                      <w:marRight w:val="125"/>
                      <w:marTop w:val="0"/>
                      <w:marBottom w:val="0"/>
                      <w:divBdr>
                        <w:top w:val="single" w:sz="4" w:space="0" w:color="CCCCCC"/>
                        <w:left w:val="single" w:sz="4" w:space="6" w:color="CCCCCC"/>
                        <w:bottom w:val="single" w:sz="4" w:space="6" w:color="CCCCCC"/>
                        <w:right w:val="single" w:sz="4" w:space="6" w:color="CCCCCC"/>
                      </w:divBdr>
                      <w:divsChild>
                        <w:div w:id="1019505078">
                          <w:marLeft w:val="0"/>
                          <w:marRight w:val="0"/>
                          <w:marTop w:val="0"/>
                          <w:marBottom w:val="0"/>
                          <w:divBdr>
                            <w:top w:val="none" w:sz="0" w:space="0" w:color="auto"/>
                            <w:left w:val="none" w:sz="0" w:space="0" w:color="auto"/>
                            <w:bottom w:val="none" w:sz="0" w:space="0" w:color="auto"/>
                            <w:right w:val="none" w:sz="0" w:space="0" w:color="auto"/>
                          </w:divBdr>
                        </w:div>
                        <w:div w:id="70548027">
                          <w:marLeft w:val="0"/>
                          <w:marRight w:val="0"/>
                          <w:marTop w:val="0"/>
                          <w:marBottom w:val="0"/>
                          <w:divBdr>
                            <w:top w:val="none" w:sz="0" w:space="0" w:color="auto"/>
                            <w:left w:val="none" w:sz="0" w:space="0" w:color="auto"/>
                            <w:bottom w:val="none" w:sz="0" w:space="0" w:color="auto"/>
                            <w:right w:val="none" w:sz="0" w:space="0" w:color="auto"/>
                          </w:divBdr>
                        </w:div>
                        <w:div w:id="1123696585">
                          <w:marLeft w:val="0"/>
                          <w:marRight w:val="0"/>
                          <w:marTop w:val="0"/>
                          <w:marBottom w:val="0"/>
                          <w:divBdr>
                            <w:top w:val="none" w:sz="0" w:space="0" w:color="auto"/>
                            <w:left w:val="none" w:sz="0" w:space="0" w:color="auto"/>
                            <w:bottom w:val="none" w:sz="0" w:space="0" w:color="auto"/>
                            <w:right w:val="none" w:sz="0" w:space="0" w:color="auto"/>
                          </w:divBdr>
                        </w:div>
                        <w:div w:id="414595342">
                          <w:marLeft w:val="0"/>
                          <w:marRight w:val="0"/>
                          <w:marTop w:val="0"/>
                          <w:marBottom w:val="0"/>
                          <w:divBdr>
                            <w:top w:val="none" w:sz="0" w:space="0" w:color="auto"/>
                            <w:left w:val="none" w:sz="0" w:space="0" w:color="auto"/>
                            <w:bottom w:val="none" w:sz="0" w:space="0" w:color="auto"/>
                            <w:right w:val="none" w:sz="0" w:space="0" w:color="auto"/>
                          </w:divBdr>
                        </w:div>
                        <w:div w:id="1451126937">
                          <w:marLeft w:val="0"/>
                          <w:marRight w:val="0"/>
                          <w:marTop w:val="0"/>
                          <w:marBottom w:val="0"/>
                          <w:divBdr>
                            <w:top w:val="none" w:sz="0" w:space="0" w:color="auto"/>
                            <w:left w:val="none" w:sz="0" w:space="0" w:color="auto"/>
                            <w:bottom w:val="none" w:sz="0" w:space="0" w:color="auto"/>
                            <w:right w:val="none" w:sz="0" w:space="0" w:color="auto"/>
                          </w:divBdr>
                        </w:div>
                        <w:div w:id="1107237483">
                          <w:marLeft w:val="0"/>
                          <w:marRight w:val="0"/>
                          <w:marTop w:val="0"/>
                          <w:marBottom w:val="0"/>
                          <w:divBdr>
                            <w:top w:val="none" w:sz="0" w:space="0" w:color="auto"/>
                            <w:left w:val="none" w:sz="0" w:space="0" w:color="auto"/>
                            <w:bottom w:val="none" w:sz="0" w:space="0" w:color="auto"/>
                            <w:right w:val="none" w:sz="0" w:space="0" w:color="auto"/>
                          </w:divBdr>
                        </w:div>
                        <w:div w:id="406535510">
                          <w:marLeft w:val="0"/>
                          <w:marRight w:val="0"/>
                          <w:marTop w:val="0"/>
                          <w:marBottom w:val="0"/>
                          <w:divBdr>
                            <w:top w:val="none" w:sz="0" w:space="0" w:color="auto"/>
                            <w:left w:val="none" w:sz="0" w:space="0" w:color="auto"/>
                            <w:bottom w:val="none" w:sz="0" w:space="0" w:color="auto"/>
                            <w:right w:val="none" w:sz="0" w:space="0" w:color="auto"/>
                          </w:divBdr>
                        </w:div>
                        <w:div w:id="547568586">
                          <w:marLeft w:val="0"/>
                          <w:marRight w:val="0"/>
                          <w:marTop w:val="0"/>
                          <w:marBottom w:val="0"/>
                          <w:divBdr>
                            <w:top w:val="none" w:sz="0" w:space="0" w:color="auto"/>
                            <w:left w:val="none" w:sz="0" w:space="0" w:color="auto"/>
                            <w:bottom w:val="none" w:sz="0" w:space="0" w:color="auto"/>
                            <w:right w:val="none" w:sz="0" w:space="0" w:color="auto"/>
                          </w:divBdr>
                        </w:div>
                        <w:div w:id="1143153830">
                          <w:marLeft w:val="0"/>
                          <w:marRight w:val="0"/>
                          <w:marTop w:val="0"/>
                          <w:marBottom w:val="0"/>
                          <w:divBdr>
                            <w:top w:val="none" w:sz="0" w:space="0" w:color="auto"/>
                            <w:left w:val="none" w:sz="0" w:space="0" w:color="auto"/>
                            <w:bottom w:val="none" w:sz="0" w:space="0" w:color="auto"/>
                            <w:right w:val="none" w:sz="0" w:space="0" w:color="auto"/>
                          </w:divBdr>
                        </w:div>
                        <w:div w:id="1203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92866">
      <w:bodyDiv w:val="1"/>
      <w:marLeft w:val="0"/>
      <w:marRight w:val="0"/>
      <w:marTop w:val="0"/>
      <w:marBottom w:val="0"/>
      <w:divBdr>
        <w:top w:val="none" w:sz="0" w:space="0" w:color="auto"/>
        <w:left w:val="none" w:sz="0" w:space="0" w:color="auto"/>
        <w:bottom w:val="none" w:sz="0" w:space="0" w:color="auto"/>
        <w:right w:val="none" w:sz="0" w:space="0" w:color="auto"/>
      </w:divBdr>
    </w:div>
    <w:div w:id="166947835">
      <w:bodyDiv w:val="1"/>
      <w:marLeft w:val="0"/>
      <w:marRight w:val="0"/>
      <w:marTop w:val="0"/>
      <w:marBottom w:val="0"/>
      <w:divBdr>
        <w:top w:val="none" w:sz="0" w:space="0" w:color="auto"/>
        <w:left w:val="none" w:sz="0" w:space="0" w:color="auto"/>
        <w:bottom w:val="none" w:sz="0" w:space="0" w:color="auto"/>
        <w:right w:val="none" w:sz="0" w:space="0" w:color="auto"/>
      </w:divBdr>
      <w:divsChild>
        <w:div w:id="1708991964">
          <w:marLeft w:val="0"/>
          <w:marRight w:val="0"/>
          <w:marTop w:val="0"/>
          <w:marBottom w:val="0"/>
          <w:divBdr>
            <w:top w:val="none" w:sz="0" w:space="0" w:color="auto"/>
            <w:left w:val="none" w:sz="0" w:space="0" w:color="auto"/>
            <w:bottom w:val="none" w:sz="0" w:space="0" w:color="auto"/>
            <w:right w:val="none" w:sz="0" w:space="0" w:color="auto"/>
          </w:divBdr>
          <w:divsChild>
            <w:div w:id="919757650">
              <w:marLeft w:val="0"/>
              <w:marRight w:val="0"/>
              <w:marTop w:val="0"/>
              <w:marBottom w:val="0"/>
              <w:divBdr>
                <w:top w:val="none" w:sz="0" w:space="0" w:color="auto"/>
                <w:left w:val="none" w:sz="0" w:space="0" w:color="auto"/>
                <w:bottom w:val="none" w:sz="0" w:space="0" w:color="auto"/>
                <w:right w:val="none" w:sz="0" w:space="0" w:color="auto"/>
              </w:divBdr>
              <w:divsChild>
                <w:div w:id="1267883349">
                  <w:marLeft w:val="0"/>
                  <w:marRight w:val="0"/>
                  <w:marTop w:val="0"/>
                  <w:marBottom w:val="0"/>
                  <w:divBdr>
                    <w:top w:val="none" w:sz="0" w:space="0" w:color="auto"/>
                    <w:left w:val="none" w:sz="0" w:space="0" w:color="auto"/>
                    <w:bottom w:val="none" w:sz="0" w:space="0" w:color="auto"/>
                    <w:right w:val="none" w:sz="0" w:space="0" w:color="auto"/>
                  </w:divBdr>
                  <w:divsChild>
                    <w:div w:id="1236206934">
                      <w:marLeft w:val="0"/>
                      <w:marRight w:val="0"/>
                      <w:marTop w:val="0"/>
                      <w:marBottom w:val="0"/>
                      <w:divBdr>
                        <w:top w:val="none" w:sz="0" w:space="0" w:color="auto"/>
                        <w:left w:val="none" w:sz="0" w:space="0" w:color="auto"/>
                        <w:bottom w:val="none" w:sz="0" w:space="0" w:color="auto"/>
                        <w:right w:val="none" w:sz="0" w:space="0" w:color="auto"/>
                      </w:divBdr>
                      <w:divsChild>
                        <w:div w:id="346716494">
                          <w:marLeft w:val="0"/>
                          <w:marRight w:val="0"/>
                          <w:marTop w:val="0"/>
                          <w:marBottom w:val="0"/>
                          <w:divBdr>
                            <w:top w:val="none" w:sz="0" w:space="0" w:color="auto"/>
                            <w:left w:val="none" w:sz="0" w:space="0" w:color="auto"/>
                            <w:bottom w:val="none" w:sz="0" w:space="0" w:color="auto"/>
                            <w:right w:val="none" w:sz="0" w:space="0" w:color="auto"/>
                          </w:divBdr>
                          <w:divsChild>
                            <w:div w:id="1149900558">
                              <w:marLeft w:val="0"/>
                              <w:marRight w:val="0"/>
                              <w:marTop w:val="0"/>
                              <w:marBottom w:val="0"/>
                              <w:divBdr>
                                <w:top w:val="none" w:sz="0" w:space="0" w:color="auto"/>
                                <w:left w:val="none" w:sz="0" w:space="0" w:color="auto"/>
                                <w:bottom w:val="none" w:sz="0" w:space="0" w:color="auto"/>
                                <w:right w:val="none" w:sz="0" w:space="0" w:color="auto"/>
                              </w:divBdr>
                              <w:divsChild>
                                <w:div w:id="9447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16368">
      <w:bodyDiv w:val="1"/>
      <w:marLeft w:val="0"/>
      <w:marRight w:val="0"/>
      <w:marTop w:val="0"/>
      <w:marBottom w:val="0"/>
      <w:divBdr>
        <w:top w:val="none" w:sz="0" w:space="0" w:color="auto"/>
        <w:left w:val="none" w:sz="0" w:space="0" w:color="auto"/>
        <w:bottom w:val="none" w:sz="0" w:space="0" w:color="auto"/>
        <w:right w:val="none" w:sz="0" w:space="0" w:color="auto"/>
      </w:divBdr>
    </w:div>
    <w:div w:id="167452047">
      <w:bodyDiv w:val="1"/>
      <w:marLeft w:val="0"/>
      <w:marRight w:val="0"/>
      <w:marTop w:val="0"/>
      <w:marBottom w:val="0"/>
      <w:divBdr>
        <w:top w:val="none" w:sz="0" w:space="0" w:color="auto"/>
        <w:left w:val="none" w:sz="0" w:space="0" w:color="auto"/>
        <w:bottom w:val="none" w:sz="0" w:space="0" w:color="auto"/>
        <w:right w:val="none" w:sz="0" w:space="0" w:color="auto"/>
      </w:divBdr>
      <w:divsChild>
        <w:div w:id="1951551270">
          <w:marLeft w:val="0"/>
          <w:marRight w:val="0"/>
          <w:marTop w:val="0"/>
          <w:marBottom w:val="0"/>
          <w:divBdr>
            <w:top w:val="none" w:sz="0" w:space="0" w:color="auto"/>
            <w:left w:val="none" w:sz="0" w:space="0" w:color="auto"/>
            <w:bottom w:val="none" w:sz="0" w:space="0" w:color="auto"/>
            <w:right w:val="none" w:sz="0" w:space="0" w:color="auto"/>
          </w:divBdr>
          <w:divsChild>
            <w:div w:id="1376739081">
              <w:marLeft w:val="0"/>
              <w:marRight w:val="0"/>
              <w:marTop w:val="0"/>
              <w:marBottom w:val="0"/>
              <w:divBdr>
                <w:top w:val="none" w:sz="0" w:space="0" w:color="auto"/>
                <w:left w:val="none" w:sz="0" w:space="0" w:color="auto"/>
                <w:bottom w:val="none" w:sz="0" w:space="0" w:color="auto"/>
                <w:right w:val="none" w:sz="0" w:space="0" w:color="auto"/>
              </w:divBdr>
              <w:divsChild>
                <w:div w:id="47533330">
                  <w:marLeft w:val="0"/>
                  <w:marRight w:val="0"/>
                  <w:marTop w:val="0"/>
                  <w:marBottom w:val="0"/>
                  <w:divBdr>
                    <w:top w:val="none" w:sz="0" w:space="0" w:color="auto"/>
                    <w:left w:val="none" w:sz="0" w:space="0" w:color="auto"/>
                    <w:bottom w:val="none" w:sz="0" w:space="0" w:color="auto"/>
                    <w:right w:val="none" w:sz="0" w:space="0" w:color="auto"/>
                  </w:divBdr>
                  <w:divsChild>
                    <w:div w:id="1506480890">
                      <w:marLeft w:val="0"/>
                      <w:marRight w:val="0"/>
                      <w:marTop w:val="0"/>
                      <w:marBottom w:val="0"/>
                      <w:divBdr>
                        <w:top w:val="none" w:sz="0" w:space="0" w:color="auto"/>
                        <w:left w:val="none" w:sz="0" w:space="0" w:color="auto"/>
                        <w:bottom w:val="none" w:sz="0" w:space="0" w:color="auto"/>
                        <w:right w:val="none" w:sz="0" w:space="0" w:color="auto"/>
                      </w:divBdr>
                      <w:divsChild>
                        <w:div w:id="1649437422">
                          <w:marLeft w:val="0"/>
                          <w:marRight w:val="0"/>
                          <w:marTop w:val="0"/>
                          <w:marBottom w:val="0"/>
                          <w:divBdr>
                            <w:top w:val="none" w:sz="0" w:space="0" w:color="auto"/>
                            <w:left w:val="none" w:sz="0" w:space="0" w:color="auto"/>
                            <w:bottom w:val="none" w:sz="0" w:space="0" w:color="auto"/>
                            <w:right w:val="none" w:sz="0" w:space="0" w:color="auto"/>
                          </w:divBdr>
                          <w:divsChild>
                            <w:div w:id="219481301">
                              <w:marLeft w:val="0"/>
                              <w:marRight w:val="0"/>
                              <w:marTop w:val="0"/>
                              <w:marBottom w:val="0"/>
                              <w:divBdr>
                                <w:top w:val="none" w:sz="0" w:space="0" w:color="auto"/>
                                <w:left w:val="none" w:sz="0" w:space="0" w:color="auto"/>
                                <w:bottom w:val="none" w:sz="0" w:space="0" w:color="auto"/>
                                <w:right w:val="none" w:sz="0" w:space="0" w:color="auto"/>
                              </w:divBdr>
                              <w:divsChild>
                                <w:div w:id="1926917345">
                                  <w:marLeft w:val="0"/>
                                  <w:marRight w:val="0"/>
                                  <w:marTop w:val="0"/>
                                  <w:marBottom w:val="0"/>
                                  <w:divBdr>
                                    <w:top w:val="none" w:sz="0" w:space="0" w:color="auto"/>
                                    <w:left w:val="none" w:sz="0" w:space="0" w:color="auto"/>
                                    <w:bottom w:val="none" w:sz="0" w:space="0" w:color="auto"/>
                                    <w:right w:val="none" w:sz="0" w:space="0" w:color="auto"/>
                                  </w:divBdr>
                                  <w:divsChild>
                                    <w:div w:id="1367170421">
                                      <w:marLeft w:val="0"/>
                                      <w:marRight w:val="0"/>
                                      <w:marTop w:val="0"/>
                                      <w:marBottom w:val="0"/>
                                      <w:divBdr>
                                        <w:top w:val="none" w:sz="0" w:space="0" w:color="auto"/>
                                        <w:left w:val="none" w:sz="0" w:space="0" w:color="auto"/>
                                        <w:bottom w:val="none" w:sz="0" w:space="0" w:color="auto"/>
                                        <w:right w:val="none" w:sz="0" w:space="0" w:color="auto"/>
                                      </w:divBdr>
                                      <w:divsChild>
                                        <w:div w:id="1247301980">
                                          <w:marLeft w:val="0"/>
                                          <w:marRight w:val="0"/>
                                          <w:marTop w:val="0"/>
                                          <w:marBottom w:val="0"/>
                                          <w:divBdr>
                                            <w:top w:val="none" w:sz="0" w:space="0" w:color="auto"/>
                                            <w:left w:val="none" w:sz="0" w:space="0" w:color="auto"/>
                                            <w:bottom w:val="none" w:sz="0" w:space="0" w:color="auto"/>
                                            <w:right w:val="none" w:sz="0" w:space="0" w:color="auto"/>
                                          </w:divBdr>
                                          <w:divsChild>
                                            <w:div w:id="509029287">
                                              <w:marLeft w:val="0"/>
                                              <w:marRight w:val="0"/>
                                              <w:marTop w:val="0"/>
                                              <w:marBottom w:val="0"/>
                                              <w:divBdr>
                                                <w:top w:val="none" w:sz="0" w:space="0" w:color="auto"/>
                                                <w:left w:val="none" w:sz="0" w:space="0" w:color="auto"/>
                                                <w:bottom w:val="none" w:sz="0" w:space="0" w:color="auto"/>
                                                <w:right w:val="none" w:sz="0" w:space="0" w:color="auto"/>
                                              </w:divBdr>
                                              <w:divsChild>
                                                <w:div w:id="133526093">
                                                  <w:marLeft w:val="0"/>
                                                  <w:marRight w:val="0"/>
                                                  <w:marTop w:val="0"/>
                                                  <w:marBottom w:val="0"/>
                                                  <w:divBdr>
                                                    <w:top w:val="none" w:sz="0" w:space="0" w:color="auto"/>
                                                    <w:left w:val="none" w:sz="0" w:space="0" w:color="auto"/>
                                                    <w:bottom w:val="none" w:sz="0" w:space="0" w:color="auto"/>
                                                    <w:right w:val="none" w:sz="0" w:space="0" w:color="auto"/>
                                                  </w:divBdr>
                                                  <w:divsChild>
                                                    <w:div w:id="1793013791">
                                                      <w:marLeft w:val="0"/>
                                                      <w:marRight w:val="0"/>
                                                      <w:marTop w:val="0"/>
                                                      <w:marBottom w:val="0"/>
                                                      <w:divBdr>
                                                        <w:top w:val="none" w:sz="0" w:space="0" w:color="auto"/>
                                                        <w:left w:val="none" w:sz="0" w:space="0" w:color="auto"/>
                                                        <w:bottom w:val="none" w:sz="0" w:space="0" w:color="auto"/>
                                                        <w:right w:val="none" w:sz="0" w:space="0" w:color="auto"/>
                                                      </w:divBdr>
                                                      <w:divsChild>
                                                        <w:div w:id="15764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716267">
      <w:bodyDiv w:val="1"/>
      <w:marLeft w:val="0"/>
      <w:marRight w:val="0"/>
      <w:marTop w:val="0"/>
      <w:marBottom w:val="0"/>
      <w:divBdr>
        <w:top w:val="none" w:sz="0" w:space="0" w:color="auto"/>
        <w:left w:val="none" w:sz="0" w:space="0" w:color="auto"/>
        <w:bottom w:val="none" w:sz="0" w:space="0" w:color="auto"/>
        <w:right w:val="none" w:sz="0" w:space="0" w:color="auto"/>
      </w:divBdr>
    </w:div>
    <w:div w:id="168908275">
      <w:bodyDiv w:val="1"/>
      <w:marLeft w:val="0"/>
      <w:marRight w:val="0"/>
      <w:marTop w:val="0"/>
      <w:marBottom w:val="0"/>
      <w:divBdr>
        <w:top w:val="none" w:sz="0" w:space="0" w:color="auto"/>
        <w:left w:val="none" w:sz="0" w:space="0" w:color="auto"/>
        <w:bottom w:val="none" w:sz="0" w:space="0" w:color="auto"/>
        <w:right w:val="none" w:sz="0" w:space="0" w:color="auto"/>
      </w:divBdr>
      <w:divsChild>
        <w:div w:id="260069939">
          <w:marLeft w:val="0"/>
          <w:marRight w:val="0"/>
          <w:marTop w:val="0"/>
          <w:marBottom w:val="0"/>
          <w:divBdr>
            <w:top w:val="none" w:sz="0" w:space="0" w:color="auto"/>
            <w:left w:val="none" w:sz="0" w:space="0" w:color="auto"/>
            <w:bottom w:val="none" w:sz="0" w:space="0" w:color="auto"/>
            <w:right w:val="none" w:sz="0" w:space="0" w:color="auto"/>
          </w:divBdr>
          <w:divsChild>
            <w:div w:id="812062805">
              <w:marLeft w:val="2"/>
              <w:marRight w:val="2"/>
              <w:marTop w:val="0"/>
              <w:marBottom w:val="0"/>
              <w:divBdr>
                <w:top w:val="none" w:sz="0" w:space="0" w:color="auto"/>
                <w:left w:val="none" w:sz="0" w:space="0" w:color="auto"/>
                <w:bottom w:val="none" w:sz="0" w:space="0" w:color="auto"/>
                <w:right w:val="none" w:sz="0" w:space="0" w:color="auto"/>
              </w:divBdr>
              <w:divsChild>
                <w:div w:id="365179171">
                  <w:marLeft w:val="0"/>
                  <w:marRight w:val="0"/>
                  <w:marTop w:val="0"/>
                  <w:marBottom w:val="0"/>
                  <w:divBdr>
                    <w:top w:val="none" w:sz="0" w:space="0" w:color="auto"/>
                    <w:left w:val="none" w:sz="0" w:space="0" w:color="auto"/>
                    <w:bottom w:val="none" w:sz="0" w:space="0" w:color="auto"/>
                    <w:right w:val="none" w:sz="0" w:space="0" w:color="auto"/>
                  </w:divBdr>
                  <w:divsChild>
                    <w:div w:id="1063061168">
                      <w:marLeft w:val="0"/>
                      <w:marRight w:val="0"/>
                      <w:marTop w:val="0"/>
                      <w:marBottom w:val="0"/>
                      <w:divBdr>
                        <w:top w:val="none" w:sz="0" w:space="0" w:color="auto"/>
                        <w:left w:val="none" w:sz="0" w:space="0" w:color="auto"/>
                        <w:bottom w:val="none" w:sz="0" w:space="0" w:color="auto"/>
                        <w:right w:val="none" w:sz="0" w:space="0" w:color="auto"/>
                      </w:divBdr>
                      <w:divsChild>
                        <w:div w:id="48043808">
                          <w:marLeft w:val="0"/>
                          <w:marRight w:val="0"/>
                          <w:marTop w:val="0"/>
                          <w:marBottom w:val="0"/>
                          <w:divBdr>
                            <w:top w:val="none" w:sz="0" w:space="0" w:color="auto"/>
                            <w:left w:val="none" w:sz="0" w:space="0" w:color="auto"/>
                            <w:bottom w:val="none" w:sz="0" w:space="0" w:color="auto"/>
                            <w:right w:val="none" w:sz="0" w:space="0" w:color="auto"/>
                          </w:divBdr>
                          <w:divsChild>
                            <w:div w:id="915624228">
                              <w:marLeft w:val="0"/>
                              <w:marRight w:val="0"/>
                              <w:marTop w:val="0"/>
                              <w:marBottom w:val="0"/>
                              <w:divBdr>
                                <w:top w:val="none" w:sz="0" w:space="0" w:color="auto"/>
                                <w:left w:val="none" w:sz="0" w:space="0" w:color="auto"/>
                                <w:bottom w:val="none" w:sz="0" w:space="0" w:color="auto"/>
                                <w:right w:val="none" w:sz="0" w:space="0" w:color="auto"/>
                              </w:divBdr>
                              <w:divsChild>
                                <w:div w:id="793596188">
                                  <w:marLeft w:val="0"/>
                                  <w:marRight w:val="0"/>
                                  <w:marTop w:val="0"/>
                                  <w:marBottom w:val="0"/>
                                  <w:divBdr>
                                    <w:top w:val="none" w:sz="0" w:space="0" w:color="auto"/>
                                    <w:left w:val="none" w:sz="0" w:space="0" w:color="auto"/>
                                    <w:bottom w:val="none" w:sz="0" w:space="0" w:color="auto"/>
                                    <w:right w:val="none" w:sz="0" w:space="0" w:color="auto"/>
                                  </w:divBdr>
                                  <w:divsChild>
                                    <w:div w:id="1415124064">
                                      <w:marLeft w:val="0"/>
                                      <w:marRight w:val="0"/>
                                      <w:marTop w:val="0"/>
                                      <w:marBottom w:val="0"/>
                                      <w:divBdr>
                                        <w:top w:val="none" w:sz="0" w:space="0" w:color="auto"/>
                                        <w:left w:val="none" w:sz="0" w:space="0" w:color="auto"/>
                                        <w:bottom w:val="none" w:sz="0" w:space="0" w:color="auto"/>
                                        <w:right w:val="none" w:sz="0" w:space="0" w:color="auto"/>
                                      </w:divBdr>
                                      <w:divsChild>
                                        <w:div w:id="943414650">
                                          <w:marLeft w:val="0"/>
                                          <w:marRight w:val="0"/>
                                          <w:marTop w:val="0"/>
                                          <w:marBottom w:val="0"/>
                                          <w:divBdr>
                                            <w:top w:val="none" w:sz="0" w:space="0" w:color="auto"/>
                                            <w:left w:val="none" w:sz="0" w:space="0" w:color="auto"/>
                                            <w:bottom w:val="none" w:sz="0" w:space="0" w:color="auto"/>
                                            <w:right w:val="none" w:sz="0" w:space="0" w:color="auto"/>
                                          </w:divBdr>
                                          <w:divsChild>
                                            <w:div w:id="2055301956">
                                              <w:marLeft w:val="0"/>
                                              <w:marRight w:val="0"/>
                                              <w:marTop w:val="0"/>
                                              <w:marBottom w:val="0"/>
                                              <w:divBdr>
                                                <w:top w:val="none" w:sz="0" w:space="0" w:color="auto"/>
                                                <w:left w:val="none" w:sz="0" w:space="0" w:color="auto"/>
                                                <w:bottom w:val="none" w:sz="0" w:space="0" w:color="auto"/>
                                                <w:right w:val="none" w:sz="0" w:space="0" w:color="auto"/>
                                              </w:divBdr>
                                            </w:div>
                                          </w:divsChild>
                                        </w:div>
                                        <w:div w:id="1819958115">
                                          <w:marLeft w:val="0"/>
                                          <w:marRight w:val="0"/>
                                          <w:marTop w:val="0"/>
                                          <w:marBottom w:val="0"/>
                                          <w:divBdr>
                                            <w:top w:val="none" w:sz="0" w:space="0" w:color="auto"/>
                                            <w:left w:val="none" w:sz="0" w:space="0" w:color="auto"/>
                                            <w:bottom w:val="none" w:sz="0" w:space="0" w:color="auto"/>
                                            <w:right w:val="none" w:sz="0" w:space="0" w:color="auto"/>
                                          </w:divBdr>
                                          <w:divsChild>
                                            <w:div w:id="792526857">
                                              <w:marLeft w:val="0"/>
                                              <w:marRight w:val="0"/>
                                              <w:marTop w:val="0"/>
                                              <w:marBottom w:val="0"/>
                                              <w:divBdr>
                                                <w:top w:val="none" w:sz="0" w:space="0" w:color="auto"/>
                                                <w:left w:val="none" w:sz="0" w:space="0" w:color="auto"/>
                                                <w:bottom w:val="none" w:sz="0" w:space="0" w:color="auto"/>
                                                <w:right w:val="none" w:sz="0" w:space="0" w:color="auto"/>
                                              </w:divBdr>
                                            </w:div>
                                          </w:divsChild>
                                        </w:div>
                                        <w:div w:id="298730653">
                                          <w:marLeft w:val="0"/>
                                          <w:marRight w:val="0"/>
                                          <w:marTop w:val="0"/>
                                          <w:marBottom w:val="0"/>
                                          <w:divBdr>
                                            <w:top w:val="none" w:sz="0" w:space="0" w:color="auto"/>
                                            <w:left w:val="none" w:sz="0" w:space="0" w:color="auto"/>
                                            <w:bottom w:val="none" w:sz="0" w:space="0" w:color="auto"/>
                                            <w:right w:val="none" w:sz="0" w:space="0" w:color="auto"/>
                                          </w:divBdr>
                                          <w:divsChild>
                                            <w:div w:id="377585577">
                                              <w:marLeft w:val="0"/>
                                              <w:marRight w:val="0"/>
                                              <w:marTop w:val="0"/>
                                              <w:marBottom w:val="0"/>
                                              <w:divBdr>
                                                <w:top w:val="none" w:sz="0" w:space="0" w:color="auto"/>
                                                <w:left w:val="none" w:sz="0" w:space="0" w:color="auto"/>
                                                <w:bottom w:val="none" w:sz="0" w:space="0" w:color="auto"/>
                                                <w:right w:val="none" w:sz="0" w:space="0" w:color="auto"/>
                                              </w:divBdr>
                                            </w:div>
                                          </w:divsChild>
                                        </w:div>
                                        <w:div w:id="896471847">
                                          <w:marLeft w:val="0"/>
                                          <w:marRight w:val="0"/>
                                          <w:marTop w:val="0"/>
                                          <w:marBottom w:val="0"/>
                                          <w:divBdr>
                                            <w:top w:val="none" w:sz="0" w:space="0" w:color="auto"/>
                                            <w:left w:val="none" w:sz="0" w:space="0" w:color="auto"/>
                                            <w:bottom w:val="none" w:sz="0" w:space="0" w:color="auto"/>
                                            <w:right w:val="none" w:sz="0" w:space="0" w:color="auto"/>
                                          </w:divBdr>
                                          <w:divsChild>
                                            <w:div w:id="1434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84003">
      <w:bodyDiv w:val="1"/>
      <w:marLeft w:val="0"/>
      <w:marRight w:val="0"/>
      <w:marTop w:val="0"/>
      <w:marBottom w:val="0"/>
      <w:divBdr>
        <w:top w:val="none" w:sz="0" w:space="0" w:color="auto"/>
        <w:left w:val="none" w:sz="0" w:space="0" w:color="auto"/>
        <w:bottom w:val="none" w:sz="0" w:space="0" w:color="auto"/>
        <w:right w:val="none" w:sz="0" w:space="0" w:color="auto"/>
      </w:divBdr>
      <w:divsChild>
        <w:div w:id="1006058664">
          <w:marLeft w:val="0"/>
          <w:marRight w:val="0"/>
          <w:marTop w:val="0"/>
          <w:marBottom w:val="450"/>
          <w:divBdr>
            <w:top w:val="none" w:sz="0" w:space="0" w:color="auto"/>
            <w:left w:val="none" w:sz="0" w:space="0" w:color="auto"/>
            <w:bottom w:val="none" w:sz="0" w:space="0" w:color="auto"/>
            <w:right w:val="none" w:sz="0" w:space="0" w:color="auto"/>
          </w:divBdr>
        </w:div>
      </w:divsChild>
    </w:div>
    <w:div w:id="169376430">
      <w:bodyDiv w:val="1"/>
      <w:marLeft w:val="0"/>
      <w:marRight w:val="0"/>
      <w:marTop w:val="0"/>
      <w:marBottom w:val="0"/>
      <w:divBdr>
        <w:top w:val="none" w:sz="0" w:space="0" w:color="auto"/>
        <w:left w:val="none" w:sz="0" w:space="0" w:color="auto"/>
        <w:bottom w:val="none" w:sz="0" w:space="0" w:color="auto"/>
        <w:right w:val="none" w:sz="0" w:space="0" w:color="auto"/>
      </w:divBdr>
    </w:div>
    <w:div w:id="169682839">
      <w:bodyDiv w:val="1"/>
      <w:marLeft w:val="0"/>
      <w:marRight w:val="0"/>
      <w:marTop w:val="0"/>
      <w:marBottom w:val="0"/>
      <w:divBdr>
        <w:top w:val="none" w:sz="0" w:space="0" w:color="auto"/>
        <w:left w:val="none" w:sz="0" w:space="0" w:color="auto"/>
        <w:bottom w:val="none" w:sz="0" w:space="0" w:color="auto"/>
        <w:right w:val="none" w:sz="0" w:space="0" w:color="auto"/>
      </w:divBdr>
      <w:divsChild>
        <w:div w:id="80105539">
          <w:marLeft w:val="-225"/>
          <w:marRight w:val="-225"/>
          <w:marTop w:val="0"/>
          <w:marBottom w:val="0"/>
          <w:divBdr>
            <w:top w:val="none" w:sz="0" w:space="0" w:color="auto"/>
            <w:left w:val="none" w:sz="0" w:space="0" w:color="auto"/>
            <w:bottom w:val="none" w:sz="0" w:space="0" w:color="auto"/>
            <w:right w:val="none" w:sz="0" w:space="0" w:color="auto"/>
          </w:divBdr>
          <w:divsChild>
            <w:div w:id="740761512">
              <w:marLeft w:val="0"/>
              <w:marRight w:val="0"/>
              <w:marTop w:val="0"/>
              <w:marBottom w:val="0"/>
              <w:divBdr>
                <w:top w:val="none" w:sz="0" w:space="0" w:color="auto"/>
                <w:left w:val="none" w:sz="0" w:space="0" w:color="auto"/>
                <w:bottom w:val="none" w:sz="0" w:space="0" w:color="auto"/>
                <w:right w:val="none" w:sz="0" w:space="0" w:color="auto"/>
              </w:divBdr>
              <w:divsChild>
                <w:div w:id="1242987146">
                  <w:marLeft w:val="0"/>
                  <w:marRight w:val="0"/>
                  <w:marTop w:val="0"/>
                  <w:marBottom w:val="0"/>
                  <w:divBdr>
                    <w:top w:val="none" w:sz="0" w:space="0" w:color="auto"/>
                    <w:left w:val="none" w:sz="0" w:space="0" w:color="auto"/>
                    <w:bottom w:val="none" w:sz="0" w:space="0" w:color="auto"/>
                    <w:right w:val="none" w:sz="0" w:space="0" w:color="auto"/>
                  </w:divBdr>
                  <w:divsChild>
                    <w:div w:id="1490976599">
                      <w:marLeft w:val="0"/>
                      <w:marRight w:val="0"/>
                      <w:marTop w:val="0"/>
                      <w:marBottom w:val="0"/>
                      <w:divBdr>
                        <w:top w:val="none" w:sz="0" w:space="0" w:color="auto"/>
                        <w:left w:val="none" w:sz="0" w:space="0" w:color="auto"/>
                        <w:bottom w:val="none" w:sz="0" w:space="0" w:color="auto"/>
                        <w:right w:val="none" w:sz="0" w:space="0" w:color="auto"/>
                      </w:divBdr>
                      <w:divsChild>
                        <w:div w:id="151990234">
                          <w:marLeft w:val="0"/>
                          <w:marRight w:val="0"/>
                          <w:marTop w:val="0"/>
                          <w:marBottom w:val="525"/>
                          <w:divBdr>
                            <w:top w:val="none" w:sz="0" w:space="0" w:color="auto"/>
                            <w:left w:val="none" w:sz="0" w:space="0" w:color="auto"/>
                            <w:bottom w:val="none" w:sz="0" w:space="0" w:color="auto"/>
                            <w:right w:val="none" w:sz="0" w:space="0" w:color="auto"/>
                          </w:divBdr>
                          <w:divsChild>
                            <w:div w:id="7914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17912">
          <w:marLeft w:val="-225"/>
          <w:marRight w:val="-225"/>
          <w:marTop w:val="0"/>
          <w:marBottom w:val="0"/>
          <w:divBdr>
            <w:top w:val="none" w:sz="0" w:space="0" w:color="auto"/>
            <w:left w:val="none" w:sz="0" w:space="0" w:color="auto"/>
            <w:bottom w:val="none" w:sz="0" w:space="0" w:color="auto"/>
            <w:right w:val="none" w:sz="0" w:space="0" w:color="auto"/>
          </w:divBdr>
          <w:divsChild>
            <w:div w:id="1888177804">
              <w:marLeft w:val="0"/>
              <w:marRight w:val="0"/>
              <w:marTop w:val="0"/>
              <w:marBottom w:val="0"/>
              <w:divBdr>
                <w:top w:val="none" w:sz="0" w:space="0" w:color="auto"/>
                <w:left w:val="none" w:sz="0" w:space="0" w:color="auto"/>
                <w:bottom w:val="none" w:sz="0" w:space="0" w:color="auto"/>
                <w:right w:val="none" w:sz="0" w:space="0" w:color="auto"/>
              </w:divBdr>
              <w:divsChild>
                <w:div w:id="1524787323">
                  <w:marLeft w:val="0"/>
                  <w:marRight w:val="0"/>
                  <w:marTop w:val="0"/>
                  <w:marBottom w:val="0"/>
                  <w:divBdr>
                    <w:top w:val="none" w:sz="0" w:space="0" w:color="auto"/>
                    <w:left w:val="none" w:sz="0" w:space="0" w:color="auto"/>
                    <w:bottom w:val="none" w:sz="0" w:space="0" w:color="auto"/>
                    <w:right w:val="none" w:sz="0" w:space="0" w:color="auto"/>
                  </w:divBdr>
                  <w:divsChild>
                    <w:div w:id="488637489">
                      <w:marLeft w:val="0"/>
                      <w:marRight w:val="0"/>
                      <w:marTop w:val="0"/>
                      <w:marBottom w:val="0"/>
                      <w:divBdr>
                        <w:top w:val="none" w:sz="0" w:space="0" w:color="auto"/>
                        <w:left w:val="none" w:sz="0" w:space="0" w:color="auto"/>
                        <w:bottom w:val="none" w:sz="0" w:space="0" w:color="auto"/>
                        <w:right w:val="none" w:sz="0" w:space="0" w:color="auto"/>
                      </w:divBdr>
                      <w:divsChild>
                        <w:div w:id="1797408730">
                          <w:marLeft w:val="0"/>
                          <w:marRight w:val="0"/>
                          <w:marTop w:val="0"/>
                          <w:marBottom w:val="0"/>
                          <w:divBdr>
                            <w:top w:val="none" w:sz="0" w:space="0" w:color="auto"/>
                            <w:left w:val="none" w:sz="0" w:space="0" w:color="auto"/>
                            <w:bottom w:val="none" w:sz="0" w:space="0" w:color="auto"/>
                            <w:right w:val="none" w:sz="0" w:space="0" w:color="auto"/>
                          </w:divBdr>
                          <w:divsChild>
                            <w:div w:id="7431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33388">
      <w:bodyDiv w:val="1"/>
      <w:marLeft w:val="0"/>
      <w:marRight w:val="0"/>
      <w:marTop w:val="0"/>
      <w:marBottom w:val="0"/>
      <w:divBdr>
        <w:top w:val="none" w:sz="0" w:space="0" w:color="auto"/>
        <w:left w:val="none" w:sz="0" w:space="0" w:color="auto"/>
        <w:bottom w:val="none" w:sz="0" w:space="0" w:color="auto"/>
        <w:right w:val="none" w:sz="0" w:space="0" w:color="auto"/>
      </w:divBdr>
    </w:div>
    <w:div w:id="171796857">
      <w:bodyDiv w:val="1"/>
      <w:marLeft w:val="0"/>
      <w:marRight w:val="0"/>
      <w:marTop w:val="0"/>
      <w:marBottom w:val="0"/>
      <w:divBdr>
        <w:top w:val="none" w:sz="0" w:space="0" w:color="auto"/>
        <w:left w:val="none" w:sz="0" w:space="0" w:color="auto"/>
        <w:bottom w:val="none" w:sz="0" w:space="0" w:color="auto"/>
        <w:right w:val="none" w:sz="0" w:space="0" w:color="auto"/>
      </w:divBdr>
      <w:divsChild>
        <w:div w:id="245769406">
          <w:marLeft w:val="0"/>
          <w:marRight w:val="0"/>
          <w:marTop w:val="0"/>
          <w:marBottom w:val="0"/>
          <w:divBdr>
            <w:top w:val="none" w:sz="0" w:space="0" w:color="auto"/>
            <w:left w:val="none" w:sz="0" w:space="0" w:color="auto"/>
            <w:bottom w:val="none" w:sz="0" w:space="0" w:color="auto"/>
            <w:right w:val="none" w:sz="0" w:space="0" w:color="auto"/>
          </w:divBdr>
        </w:div>
        <w:div w:id="449475296">
          <w:marLeft w:val="0"/>
          <w:marRight w:val="0"/>
          <w:marTop w:val="0"/>
          <w:marBottom w:val="0"/>
          <w:divBdr>
            <w:top w:val="none" w:sz="0" w:space="0" w:color="auto"/>
            <w:left w:val="none" w:sz="0" w:space="0" w:color="auto"/>
            <w:bottom w:val="none" w:sz="0" w:space="0" w:color="auto"/>
            <w:right w:val="none" w:sz="0" w:space="0" w:color="auto"/>
          </w:divBdr>
        </w:div>
        <w:div w:id="184827181">
          <w:marLeft w:val="0"/>
          <w:marRight w:val="0"/>
          <w:marTop w:val="900"/>
          <w:marBottom w:val="0"/>
          <w:divBdr>
            <w:top w:val="none" w:sz="0" w:space="0" w:color="auto"/>
            <w:left w:val="single" w:sz="6" w:space="8" w:color="727171"/>
            <w:bottom w:val="none" w:sz="0" w:space="0" w:color="auto"/>
            <w:right w:val="none" w:sz="0" w:space="0" w:color="auto"/>
          </w:divBdr>
          <w:divsChild>
            <w:div w:id="787043196">
              <w:marLeft w:val="0"/>
              <w:marRight w:val="0"/>
              <w:marTop w:val="0"/>
              <w:marBottom w:val="0"/>
              <w:divBdr>
                <w:top w:val="none" w:sz="0" w:space="0" w:color="auto"/>
                <w:left w:val="none" w:sz="0" w:space="0" w:color="auto"/>
                <w:bottom w:val="none" w:sz="0" w:space="0" w:color="auto"/>
                <w:right w:val="none" w:sz="0" w:space="0" w:color="auto"/>
              </w:divBdr>
            </w:div>
            <w:div w:id="1544173994">
              <w:marLeft w:val="0"/>
              <w:marRight w:val="0"/>
              <w:marTop w:val="0"/>
              <w:marBottom w:val="0"/>
              <w:divBdr>
                <w:top w:val="none" w:sz="0" w:space="0" w:color="auto"/>
                <w:left w:val="none" w:sz="0" w:space="0" w:color="auto"/>
                <w:bottom w:val="none" w:sz="0" w:space="0" w:color="auto"/>
                <w:right w:val="none" w:sz="0" w:space="0" w:color="auto"/>
              </w:divBdr>
            </w:div>
            <w:div w:id="1116098344">
              <w:marLeft w:val="0"/>
              <w:marRight w:val="0"/>
              <w:marTop w:val="0"/>
              <w:marBottom w:val="0"/>
              <w:divBdr>
                <w:top w:val="none" w:sz="0" w:space="0" w:color="auto"/>
                <w:left w:val="none" w:sz="0" w:space="0" w:color="auto"/>
                <w:bottom w:val="none" w:sz="0" w:space="0" w:color="auto"/>
                <w:right w:val="none" w:sz="0" w:space="0" w:color="auto"/>
              </w:divBdr>
            </w:div>
            <w:div w:id="1629244056">
              <w:marLeft w:val="0"/>
              <w:marRight w:val="0"/>
              <w:marTop w:val="0"/>
              <w:marBottom w:val="0"/>
              <w:divBdr>
                <w:top w:val="none" w:sz="0" w:space="0" w:color="auto"/>
                <w:left w:val="none" w:sz="0" w:space="0" w:color="auto"/>
                <w:bottom w:val="none" w:sz="0" w:space="0" w:color="auto"/>
                <w:right w:val="none" w:sz="0" w:space="0" w:color="auto"/>
              </w:divBdr>
            </w:div>
            <w:div w:id="1136534289">
              <w:marLeft w:val="0"/>
              <w:marRight w:val="0"/>
              <w:marTop w:val="0"/>
              <w:marBottom w:val="0"/>
              <w:divBdr>
                <w:top w:val="none" w:sz="0" w:space="0" w:color="auto"/>
                <w:left w:val="none" w:sz="0" w:space="0" w:color="auto"/>
                <w:bottom w:val="none" w:sz="0" w:space="0" w:color="auto"/>
                <w:right w:val="none" w:sz="0" w:space="0" w:color="auto"/>
              </w:divBdr>
            </w:div>
            <w:div w:id="1727603169">
              <w:marLeft w:val="0"/>
              <w:marRight w:val="0"/>
              <w:marTop w:val="0"/>
              <w:marBottom w:val="0"/>
              <w:divBdr>
                <w:top w:val="none" w:sz="0" w:space="0" w:color="auto"/>
                <w:left w:val="none" w:sz="0" w:space="0" w:color="auto"/>
                <w:bottom w:val="none" w:sz="0" w:space="0" w:color="auto"/>
                <w:right w:val="none" w:sz="0" w:space="0" w:color="auto"/>
              </w:divBdr>
            </w:div>
            <w:div w:id="1446731017">
              <w:marLeft w:val="0"/>
              <w:marRight w:val="0"/>
              <w:marTop w:val="0"/>
              <w:marBottom w:val="0"/>
              <w:divBdr>
                <w:top w:val="none" w:sz="0" w:space="0" w:color="auto"/>
                <w:left w:val="none" w:sz="0" w:space="0" w:color="auto"/>
                <w:bottom w:val="none" w:sz="0" w:space="0" w:color="auto"/>
                <w:right w:val="none" w:sz="0" w:space="0" w:color="auto"/>
              </w:divBdr>
            </w:div>
            <w:div w:id="1072005113">
              <w:marLeft w:val="0"/>
              <w:marRight w:val="0"/>
              <w:marTop w:val="0"/>
              <w:marBottom w:val="0"/>
              <w:divBdr>
                <w:top w:val="none" w:sz="0" w:space="0" w:color="auto"/>
                <w:left w:val="none" w:sz="0" w:space="0" w:color="auto"/>
                <w:bottom w:val="none" w:sz="0" w:space="0" w:color="auto"/>
                <w:right w:val="none" w:sz="0" w:space="0" w:color="auto"/>
              </w:divBdr>
            </w:div>
            <w:div w:id="477961476">
              <w:marLeft w:val="0"/>
              <w:marRight w:val="0"/>
              <w:marTop w:val="0"/>
              <w:marBottom w:val="0"/>
              <w:divBdr>
                <w:top w:val="none" w:sz="0" w:space="0" w:color="auto"/>
                <w:left w:val="none" w:sz="0" w:space="0" w:color="auto"/>
                <w:bottom w:val="none" w:sz="0" w:space="0" w:color="auto"/>
                <w:right w:val="none" w:sz="0" w:space="0" w:color="auto"/>
              </w:divBdr>
            </w:div>
            <w:div w:id="1164321487">
              <w:marLeft w:val="0"/>
              <w:marRight w:val="0"/>
              <w:marTop w:val="0"/>
              <w:marBottom w:val="0"/>
              <w:divBdr>
                <w:top w:val="none" w:sz="0" w:space="0" w:color="auto"/>
                <w:left w:val="none" w:sz="0" w:space="0" w:color="auto"/>
                <w:bottom w:val="none" w:sz="0" w:space="0" w:color="auto"/>
                <w:right w:val="none" w:sz="0" w:space="0" w:color="auto"/>
              </w:divBdr>
            </w:div>
            <w:div w:id="29108575">
              <w:marLeft w:val="0"/>
              <w:marRight w:val="0"/>
              <w:marTop w:val="0"/>
              <w:marBottom w:val="0"/>
              <w:divBdr>
                <w:top w:val="none" w:sz="0" w:space="0" w:color="auto"/>
                <w:left w:val="none" w:sz="0" w:space="0" w:color="auto"/>
                <w:bottom w:val="none" w:sz="0" w:space="0" w:color="auto"/>
                <w:right w:val="none" w:sz="0" w:space="0" w:color="auto"/>
              </w:divBdr>
            </w:div>
            <w:div w:id="1019159100">
              <w:marLeft w:val="0"/>
              <w:marRight w:val="0"/>
              <w:marTop w:val="0"/>
              <w:marBottom w:val="0"/>
              <w:divBdr>
                <w:top w:val="none" w:sz="0" w:space="0" w:color="auto"/>
                <w:left w:val="none" w:sz="0" w:space="0" w:color="auto"/>
                <w:bottom w:val="none" w:sz="0" w:space="0" w:color="auto"/>
                <w:right w:val="none" w:sz="0" w:space="0" w:color="auto"/>
              </w:divBdr>
            </w:div>
            <w:div w:id="1737163611">
              <w:marLeft w:val="0"/>
              <w:marRight w:val="0"/>
              <w:marTop w:val="0"/>
              <w:marBottom w:val="0"/>
              <w:divBdr>
                <w:top w:val="none" w:sz="0" w:space="0" w:color="auto"/>
                <w:left w:val="none" w:sz="0" w:space="0" w:color="auto"/>
                <w:bottom w:val="none" w:sz="0" w:space="0" w:color="auto"/>
                <w:right w:val="none" w:sz="0" w:space="0" w:color="auto"/>
              </w:divBdr>
            </w:div>
            <w:div w:id="821235185">
              <w:marLeft w:val="0"/>
              <w:marRight w:val="0"/>
              <w:marTop w:val="0"/>
              <w:marBottom w:val="0"/>
              <w:divBdr>
                <w:top w:val="none" w:sz="0" w:space="0" w:color="auto"/>
                <w:left w:val="none" w:sz="0" w:space="0" w:color="auto"/>
                <w:bottom w:val="none" w:sz="0" w:space="0" w:color="auto"/>
                <w:right w:val="none" w:sz="0" w:space="0" w:color="auto"/>
              </w:divBdr>
            </w:div>
            <w:div w:id="1934244049">
              <w:marLeft w:val="0"/>
              <w:marRight w:val="0"/>
              <w:marTop w:val="0"/>
              <w:marBottom w:val="0"/>
              <w:divBdr>
                <w:top w:val="none" w:sz="0" w:space="0" w:color="auto"/>
                <w:left w:val="none" w:sz="0" w:space="0" w:color="auto"/>
                <w:bottom w:val="none" w:sz="0" w:space="0" w:color="auto"/>
                <w:right w:val="none" w:sz="0" w:space="0" w:color="auto"/>
              </w:divBdr>
            </w:div>
            <w:div w:id="1066301355">
              <w:marLeft w:val="0"/>
              <w:marRight w:val="0"/>
              <w:marTop w:val="0"/>
              <w:marBottom w:val="0"/>
              <w:divBdr>
                <w:top w:val="none" w:sz="0" w:space="0" w:color="auto"/>
                <w:left w:val="none" w:sz="0" w:space="0" w:color="auto"/>
                <w:bottom w:val="none" w:sz="0" w:space="0" w:color="auto"/>
                <w:right w:val="none" w:sz="0" w:space="0" w:color="auto"/>
              </w:divBdr>
            </w:div>
          </w:divsChild>
        </w:div>
        <w:div w:id="1876848974">
          <w:marLeft w:val="0"/>
          <w:marRight w:val="0"/>
          <w:marTop w:val="0"/>
          <w:marBottom w:val="0"/>
          <w:divBdr>
            <w:top w:val="none" w:sz="0" w:space="0" w:color="auto"/>
            <w:left w:val="none" w:sz="0" w:space="0" w:color="auto"/>
            <w:bottom w:val="none" w:sz="0" w:space="0" w:color="auto"/>
            <w:right w:val="none" w:sz="0" w:space="0" w:color="auto"/>
          </w:divBdr>
        </w:div>
        <w:div w:id="1671368517">
          <w:marLeft w:val="150"/>
          <w:marRight w:val="0"/>
          <w:marTop w:val="0"/>
          <w:marBottom w:val="0"/>
          <w:divBdr>
            <w:top w:val="none" w:sz="0" w:space="0" w:color="auto"/>
            <w:left w:val="none" w:sz="0" w:space="0" w:color="auto"/>
            <w:bottom w:val="single" w:sz="6" w:space="0" w:color="D1D1D1"/>
            <w:right w:val="none" w:sz="0" w:space="0" w:color="auto"/>
          </w:divBdr>
        </w:div>
        <w:div w:id="1558322816">
          <w:marLeft w:val="0"/>
          <w:marRight w:val="0"/>
          <w:marTop w:val="0"/>
          <w:marBottom w:val="0"/>
          <w:divBdr>
            <w:top w:val="none" w:sz="0" w:space="0" w:color="auto"/>
            <w:left w:val="none" w:sz="0" w:space="0" w:color="auto"/>
            <w:bottom w:val="none" w:sz="0" w:space="0" w:color="auto"/>
            <w:right w:val="none" w:sz="0" w:space="0" w:color="auto"/>
          </w:divBdr>
        </w:div>
        <w:div w:id="305354723">
          <w:marLeft w:val="300"/>
          <w:marRight w:val="0"/>
          <w:marTop w:val="210"/>
          <w:marBottom w:val="0"/>
          <w:divBdr>
            <w:top w:val="none" w:sz="0" w:space="0" w:color="auto"/>
            <w:left w:val="none" w:sz="0" w:space="0" w:color="auto"/>
            <w:bottom w:val="none" w:sz="0" w:space="0" w:color="auto"/>
            <w:right w:val="none" w:sz="0" w:space="0" w:color="auto"/>
          </w:divBdr>
        </w:div>
        <w:div w:id="368843586">
          <w:marLeft w:val="0"/>
          <w:marRight w:val="105"/>
          <w:marTop w:val="0"/>
          <w:marBottom w:val="0"/>
          <w:divBdr>
            <w:top w:val="single" w:sz="6" w:space="0" w:color="D1D1D1"/>
            <w:left w:val="single" w:sz="6" w:space="0" w:color="D1D1D1"/>
            <w:bottom w:val="none" w:sz="0" w:space="0" w:color="auto"/>
            <w:right w:val="none" w:sz="0" w:space="0" w:color="auto"/>
          </w:divBdr>
          <w:divsChild>
            <w:div w:id="841550883">
              <w:marLeft w:val="0"/>
              <w:marRight w:val="0"/>
              <w:marTop w:val="0"/>
              <w:marBottom w:val="0"/>
              <w:divBdr>
                <w:top w:val="none" w:sz="0" w:space="0" w:color="auto"/>
                <w:left w:val="none" w:sz="0" w:space="0" w:color="auto"/>
                <w:bottom w:val="single" w:sz="6" w:space="0" w:color="D1D1D1"/>
                <w:right w:val="single" w:sz="6" w:space="0" w:color="D1D1D1"/>
              </w:divBdr>
            </w:div>
            <w:div w:id="387920373">
              <w:marLeft w:val="0"/>
              <w:marRight w:val="0"/>
              <w:marTop w:val="0"/>
              <w:marBottom w:val="0"/>
              <w:divBdr>
                <w:top w:val="none" w:sz="0" w:space="0" w:color="auto"/>
                <w:left w:val="none" w:sz="0" w:space="0" w:color="auto"/>
                <w:bottom w:val="none" w:sz="0" w:space="0" w:color="auto"/>
                <w:right w:val="none" w:sz="0" w:space="0" w:color="auto"/>
              </w:divBdr>
              <w:divsChild>
                <w:div w:id="1408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883">
          <w:marLeft w:val="0"/>
          <w:marRight w:val="0"/>
          <w:marTop w:val="0"/>
          <w:marBottom w:val="0"/>
          <w:divBdr>
            <w:top w:val="none" w:sz="0" w:space="0" w:color="auto"/>
            <w:left w:val="none" w:sz="0" w:space="0" w:color="auto"/>
            <w:bottom w:val="none" w:sz="0" w:space="0" w:color="auto"/>
            <w:right w:val="none" w:sz="0" w:space="0" w:color="auto"/>
          </w:divBdr>
        </w:div>
        <w:div w:id="702445028">
          <w:marLeft w:val="0"/>
          <w:marRight w:val="0"/>
          <w:marTop w:val="0"/>
          <w:marBottom w:val="0"/>
          <w:divBdr>
            <w:top w:val="none" w:sz="0" w:space="0" w:color="auto"/>
            <w:left w:val="none" w:sz="0" w:space="0" w:color="auto"/>
            <w:bottom w:val="none" w:sz="0" w:space="0" w:color="auto"/>
            <w:right w:val="none" w:sz="0" w:space="0" w:color="auto"/>
          </w:divBdr>
        </w:div>
        <w:div w:id="1613248451">
          <w:marLeft w:val="0"/>
          <w:marRight w:val="0"/>
          <w:marTop w:val="15"/>
          <w:marBottom w:val="0"/>
          <w:divBdr>
            <w:top w:val="single" w:sz="6" w:space="0" w:color="D1D1D1"/>
            <w:left w:val="single" w:sz="6" w:space="0" w:color="D1D1D1"/>
            <w:bottom w:val="single" w:sz="6" w:space="0" w:color="D1D1D1"/>
            <w:right w:val="single" w:sz="2" w:space="0" w:color="D1D1D1"/>
          </w:divBdr>
          <w:divsChild>
            <w:div w:id="76220065">
              <w:marLeft w:val="75"/>
              <w:marRight w:val="135"/>
              <w:marTop w:val="0"/>
              <w:marBottom w:val="45"/>
              <w:divBdr>
                <w:top w:val="none" w:sz="0" w:space="0" w:color="auto"/>
                <w:left w:val="none" w:sz="0" w:space="0" w:color="auto"/>
                <w:bottom w:val="none" w:sz="0" w:space="0" w:color="auto"/>
                <w:right w:val="none" w:sz="0" w:space="0" w:color="auto"/>
              </w:divBdr>
              <w:divsChild>
                <w:div w:id="1421561578">
                  <w:marLeft w:val="0"/>
                  <w:marRight w:val="0"/>
                  <w:marTop w:val="0"/>
                  <w:marBottom w:val="0"/>
                  <w:divBdr>
                    <w:top w:val="none" w:sz="0" w:space="0" w:color="auto"/>
                    <w:left w:val="none" w:sz="0" w:space="0" w:color="auto"/>
                    <w:bottom w:val="single" w:sz="6" w:space="0" w:color="FFDE23"/>
                    <w:right w:val="none" w:sz="0" w:space="0" w:color="auto"/>
                  </w:divBdr>
                </w:div>
                <w:div w:id="962273679">
                  <w:marLeft w:val="0"/>
                  <w:marRight w:val="0"/>
                  <w:marTop w:val="0"/>
                  <w:marBottom w:val="0"/>
                  <w:divBdr>
                    <w:top w:val="none" w:sz="0" w:space="0" w:color="auto"/>
                    <w:left w:val="none" w:sz="0" w:space="0" w:color="auto"/>
                    <w:bottom w:val="none" w:sz="0" w:space="0" w:color="auto"/>
                    <w:right w:val="none" w:sz="0" w:space="0" w:color="auto"/>
                  </w:divBdr>
                  <w:divsChild>
                    <w:div w:id="2177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0728">
          <w:marLeft w:val="0"/>
          <w:marRight w:val="0"/>
          <w:marTop w:val="0"/>
          <w:marBottom w:val="0"/>
          <w:divBdr>
            <w:top w:val="none" w:sz="0" w:space="0" w:color="auto"/>
            <w:left w:val="none" w:sz="0" w:space="0" w:color="auto"/>
            <w:bottom w:val="none" w:sz="0" w:space="0" w:color="auto"/>
            <w:right w:val="none" w:sz="0" w:space="0" w:color="auto"/>
          </w:divBdr>
        </w:div>
        <w:div w:id="1985161979">
          <w:marLeft w:val="150"/>
          <w:marRight w:val="0"/>
          <w:marTop w:val="0"/>
          <w:marBottom w:val="0"/>
          <w:divBdr>
            <w:top w:val="none" w:sz="0" w:space="0" w:color="auto"/>
            <w:left w:val="none" w:sz="0" w:space="0" w:color="auto"/>
            <w:bottom w:val="none" w:sz="0" w:space="0" w:color="auto"/>
            <w:right w:val="none" w:sz="0" w:space="0" w:color="auto"/>
          </w:divBdr>
        </w:div>
        <w:div w:id="530145312">
          <w:marLeft w:val="0"/>
          <w:marRight w:val="0"/>
          <w:marTop w:val="0"/>
          <w:marBottom w:val="0"/>
          <w:divBdr>
            <w:top w:val="none" w:sz="0" w:space="0" w:color="auto"/>
            <w:left w:val="none" w:sz="0" w:space="0" w:color="auto"/>
            <w:bottom w:val="none" w:sz="0" w:space="0" w:color="auto"/>
            <w:right w:val="none" w:sz="0" w:space="0" w:color="auto"/>
          </w:divBdr>
          <w:divsChild>
            <w:div w:id="2042658228">
              <w:marLeft w:val="0"/>
              <w:marRight w:val="0"/>
              <w:marTop w:val="0"/>
              <w:marBottom w:val="0"/>
              <w:divBdr>
                <w:top w:val="none" w:sz="0" w:space="0" w:color="auto"/>
                <w:left w:val="none" w:sz="0" w:space="0" w:color="auto"/>
                <w:bottom w:val="none" w:sz="0" w:space="0" w:color="auto"/>
                <w:right w:val="none" w:sz="0" w:space="0" w:color="auto"/>
              </w:divBdr>
            </w:div>
          </w:divsChild>
        </w:div>
        <w:div w:id="2053189946">
          <w:marLeft w:val="0"/>
          <w:marRight w:val="0"/>
          <w:marTop w:val="0"/>
          <w:marBottom w:val="0"/>
          <w:divBdr>
            <w:top w:val="none" w:sz="0" w:space="0" w:color="auto"/>
            <w:left w:val="none" w:sz="0" w:space="0" w:color="auto"/>
            <w:bottom w:val="none" w:sz="0" w:space="0" w:color="auto"/>
            <w:right w:val="none" w:sz="0" w:space="0" w:color="auto"/>
          </w:divBdr>
          <w:divsChild>
            <w:div w:id="653609645">
              <w:marLeft w:val="0"/>
              <w:marRight w:val="0"/>
              <w:marTop w:val="0"/>
              <w:marBottom w:val="0"/>
              <w:divBdr>
                <w:top w:val="none" w:sz="0" w:space="0" w:color="auto"/>
                <w:left w:val="none" w:sz="0" w:space="0" w:color="auto"/>
                <w:bottom w:val="none" w:sz="0" w:space="0" w:color="auto"/>
                <w:right w:val="none" w:sz="0" w:space="0" w:color="auto"/>
              </w:divBdr>
              <w:divsChild>
                <w:div w:id="15641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737">
      <w:bodyDiv w:val="1"/>
      <w:marLeft w:val="0"/>
      <w:marRight w:val="0"/>
      <w:marTop w:val="0"/>
      <w:marBottom w:val="0"/>
      <w:divBdr>
        <w:top w:val="none" w:sz="0" w:space="0" w:color="auto"/>
        <w:left w:val="none" w:sz="0" w:space="0" w:color="auto"/>
        <w:bottom w:val="none" w:sz="0" w:space="0" w:color="auto"/>
        <w:right w:val="none" w:sz="0" w:space="0" w:color="auto"/>
      </w:divBdr>
      <w:divsChild>
        <w:div w:id="1340277247">
          <w:marLeft w:val="0"/>
          <w:marRight w:val="0"/>
          <w:marTop w:val="0"/>
          <w:marBottom w:val="0"/>
          <w:divBdr>
            <w:top w:val="none" w:sz="0" w:space="0" w:color="auto"/>
            <w:left w:val="none" w:sz="0" w:space="0" w:color="auto"/>
            <w:bottom w:val="none" w:sz="0" w:space="0" w:color="auto"/>
            <w:right w:val="none" w:sz="0" w:space="0" w:color="auto"/>
          </w:divBdr>
          <w:divsChild>
            <w:div w:id="801966513">
              <w:marLeft w:val="0"/>
              <w:marRight w:val="0"/>
              <w:marTop w:val="0"/>
              <w:marBottom w:val="0"/>
              <w:divBdr>
                <w:top w:val="none" w:sz="0" w:space="0" w:color="auto"/>
                <w:left w:val="none" w:sz="0" w:space="0" w:color="auto"/>
                <w:bottom w:val="none" w:sz="0" w:space="0" w:color="auto"/>
                <w:right w:val="none" w:sz="0" w:space="0" w:color="auto"/>
              </w:divBdr>
              <w:divsChild>
                <w:div w:id="694113918">
                  <w:marLeft w:val="0"/>
                  <w:marRight w:val="0"/>
                  <w:marTop w:val="0"/>
                  <w:marBottom w:val="0"/>
                  <w:divBdr>
                    <w:top w:val="none" w:sz="0" w:space="0" w:color="auto"/>
                    <w:left w:val="none" w:sz="0" w:space="0" w:color="auto"/>
                    <w:bottom w:val="none" w:sz="0" w:space="0" w:color="auto"/>
                    <w:right w:val="none" w:sz="0" w:space="0" w:color="auto"/>
                  </w:divBdr>
                  <w:divsChild>
                    <w:div w:id="1096483618">
                      <w:marLeft w:val="0"/>
                      <w:marRight w:val="0"/>
                      <w:marTop w:val="0"/>
                      <w:marBottom w:val="0"/>
                      <w:divBdr>
                        <w:top w:val="none" w:sz="0" w:space="0" w:color="auto"/>
                        <w:left w:val="none" w:sz="0" w:space="0" w:color="auto"/>
                        <w:bottom w:val="none" w:sz="0" w:space="0" w:color="auto"/>
                        <w:right w:val="none" w:sz="0" w:space="0" w:color="auto"/>
                      </w:divBdr>
                      <w:divsChild>
                        <w:div w:id="1008871448">
                          <w:marLeft w:val="0"/>
                          <w:marRight w:val="0"/>
                          <w:marTop w:val="0"/>
                          <w:marBottom w:val="0"/>
                          <w:divBdr>
                            <w:top w:val="none" w:sz="0" w:space="0" w:color="auto"/>
                            <w:left w:val="none" w:sz="0" w:space="0" w:color="auto"/>
                            <w:bottom w:val="single" w:sz="6" w:space="15" w:color="CCCCCC"/>
                            <w:right w:val="none" w:sz="0" w:space="0" w:color="auto"/>
                          </w:divBdr>
                          <w:divsChild>
                            <w:div w:id="1053894236">
                              <w:marLeft w:val="0"/>
                              <w:marRight w:val="0"/>
                              <w:marTop w:val="0"/>
                              <w:marBottom w:val="0"/>
                              <w:divBdr>
                                <w:top w:val="none" w:sz="0" w:space="0" w:color="auto"/>
                                <w:left w:val="none" w:sz="0" w:space="0" w:color="auto"/>
                                <w:bottom w:val="none" w:sz="0" w:space="0" w:color="auto"/>
                                <w:right w:val="none" w:sz="0" w:space="0" w:color="auto"/>
                              </w:divBdr>
                              <w:divsChild>
                                <w:div w:id="19002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36872">
      <w:bodyDiv w:val="1"/>
      <w:marLeft w:val="0"/>
      <w:marRight w:val="0"/>
      <w:marTop w:val="0"/>
      <w:marBottom w:val="0"/>
      <w:divBdr>
        <w:top w:val="none" w:sz="0" w:space="0" w:color="auto"/>
        <w:left w:val="none" w:sz="0" w:space="0" w:color="auto"/>
        <w:bottom w:val="none" w:sz="0" w:space="0" w:color="auto"/>
        <w:right w:val="none" w:sz="0" w:space="0" w:color="auto"/>
      </w:divBdr>
      <w:divsChild>
        <w:div w:id="564990934">
          <w:marLeft w:val="0"/>
          <w:marRight w:val="0"/>
          <w:marTop w:val="0"/>
          <w:marBottom w:val="0"/>
          <w:divBdr>
            <w:top w:val="single" w:sz="2" w:space="0" w:color="AAAAAA"/>
            <w:left w:val="single" w:sz="6" w:space="8" w:color="AAAAAA"/>
            <w:bottom w:val="single" w:sz="2" w:space="0" w:color="AAAAAA"/>
            <w:right w:val="single" w:sz="6" w:space="8" w:color="AAAAAA"/>
          </w:divBdr>
          <w:divsChild>
            <w:div w:id="395055179">
              <w:marLeft w:val="0"/>
              <w:marRight w:val="0"/>
              <w:marTop w:val="0"/>
              <w:marBottom w:val="0"/>
              <w:divBdr>
                <w:top w:val="none" w:sz="0" w:space="0" w:color="auto"/>
                <w:left w:val="none" w:sz="0" w:space="0" w:color="auto"/>
                <w:bottom w:val="none" w:sz="0" w:space="0" w:color="auto"/>
                <w:right w:val="none" w:sz="0" w:space="0" w:color="auto"/>
              </w:divBdr>
              <w:divsChild>
                <w:div w:id="1947155237">
                  <w:marLeft w:val="0"/>
                  <w:marRight w:val="0"/>
                  <w:marTop w:val="0"/>
                  <w:marBottom w:val="0"/>
                  <w:divBdr>
                    <w:top w:val="none" w:sz="0" w:space="0" w:color="auto"/>
                    <w:left w:val="none" w:sz="0" w:space="0" w:color="auto"/>
                    <w:bottom w:val="none" w:sz="0" w:space="0" w:color="auto"/>
                    <w:right w:val="none" w:sz="0" w:space="0" w:color="auto"/>
                  </w:divBdr>
                  <w:divsChild>
                    <w:div w:id="734934873">
                      <w:marLeft w:val="0"/>
                      <w:marRight w:val="2550"/>
                      <w:marTop w:val="0"/>
                      <w:marBottom w:val="48"/>
                      <w:divBdr>
                        <w:top w:val="none" w:sz="0" w:space="0" w:color="auto"/>
                        <w:left w:val="none" w:sz="0" w:space="0" w:color="auto"/>
                        <w:bottom w:val="none" w:sz="0" w:space="0" w:color="auto"/>
                        <w:right w:val="none" w:sz="0" w:space="0" w:color="auto"/>
                      </w:divBdr>
                      <w:divsChild>
                        <w:div w:id="1959020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3959109">
      <w:bodyDiv w:val="1"/>
      <w:marLeft w:val="0"/>
      <w:marRight w:val="0"/>
      <w:marTop w:val="0"/>
      <w:marBottom w:val="0"/>
      <w:divBdr>
        <w:top w:val="none" w:sz="0" w:space="0" w:color="auto"/>
        <w:left w:val="none" w:sz="0" w:space="0" w:color="auto"/>
        <w:bottom w:val="none" w:sz="0" w:space="0" w:color="auto"/>
        <w:right w:val="none" w:sz="0" w:space="0" w:color="auto"/>
      </w:divBdr>
      <w:divsChild>
        <w:div w:id="1614553010">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4078996">
      <w:bodyDiv w:val="1"/>
      <w:marLeft w:val="0"/>
      <w:marRight w:val="0"/>
      <w:marTop w:val="0"/>
      <w:marBottom w:val="0"/>
      <w:divBdr>
        <w:top w:val="none" w:sz="0" w:space="0" w:color="auto"/>
        <w:left w:val="none" w:sz="0" w:space="0" w:color="auto"/>
        <w:bottom w:val="none" w:sz="0" w:space="0" w:color="auto"/>
        <w:right w:val="none" w:sz="0" w:space="0" w:color="auto"/>
      </w:divBdr>
      <w:divsChild>
        <w:div w:id="551621357">
          <w:marLeft w:val="0"/>
          <w:marRight w:val="0"/>
          <w:marTop w:val="0"/>
          <w:marBottom w:val="0"/>
          <w:divBdr>
            <w:top w:val="none" w:sz="0" w:space="0" w:color="auto"/>
            <w:left w:val="none" w:sz="0" w:space="0" w:color="auto"/>
            <w:bottom w:val="none" w:sz="0" w:space="0" w:color="auto"/>
            <w:right w:val="none" w:sz="0" w:space="0" w:color="auto"/>
          </w:divBdr>
          <w:divsChild>
            <w:div w:id="402684150">
              <w:marLeft w:val="0"/>
              <w:marRight w:val="0"/>
              <w:marTop w:val="0"/>
              <w:marBottom w:val="0"/>
              <w:divBdr>
                <w:top w:val="none" w:sz="0" w:space="0" w:color="auto"/>
                <w:left w:val="none" w:sz="0" w:space="0" w:color="auto"/>
                <w:bottom w:val="none" w:sz="0" w:space="0" w:color="auto"/>
                <w:right w:val="none" w:sz="0" w:space="0" w:color="auto"/>
              </w:divBdr>
              <w:divsChild>
                <w:div w:id="1021853467">
                  <w:marLeft w:val="0"/>
                  <w:marRight w:val="0"/>
                  <w:marTop w:val="0"/>
                  <w:marBottom w:val="0"/>
                  <w:divBdr>
                    <w:top w:val="none" w:sz="0" w:space="0" w:color="auto"/>
                    <w:left w:val="none" w:sz="0" w:space="0" w:color="auto"/>
                    <w:bottom w:val="none" w:sz="0" w:space="0" w:color="auto"/>
                    <w:right w:val="none" w:sz="0" w:space="0" w:color="auto"/>
                  </w:divBdr>
                  <w:divsChild>
                    <w:div w:id="716783508">
                      <w:marLeft w:val="0"/>
                      <w:marRight w:val="0"/>
                      <w:marTop w:val="0"/>
                      <w:marBottom w:val="0"/>
                      <w:divBdr>
                        <w:top w:val="none" w:sz="0" w:space="0" w:color="auto"/>
                        <w:left w:val="none" w:sz="0" w:space="0" w:color="auto"/>
                        <w:bottom w:val="none" w:sz="0" w:space="0" w:color="auto"/>
                        <w:right w:val="none" w:sz="0" w:space="0" w:color="auto"/>
                      </w:divBdr>
                      <w:divsChild>
                        <w:div w:id="894194311">
                          <w:marLeft w:val="0"/>
                          <w:marRight w:val="0"/>
                          <w:marTop w:val="0"/>
                          <w:marBottom w:val="0"/>
                          <w:divBdr>
                            <w:top w:val="none" w:sz="0" w:space="0" w:color="auto"/>
                            <w:left w:val="none" w:sz="0" w:space="0" w:color="auto"/>
                            <w:bottom w:val="none" w:sz="0" w:space="0" w:color="auto"/>
                            <w:right w:val="none" w:sz="0" w:space="0" w:color="auto"/>
                          </w:divBdr>
                          <w:divsChild>
                            <w:div w:id="1414350317">
                              <w:marLeft w:val="570"/>
                              <w:marRight w:val="720"/>
                              <w:marTop w:val="120"/>
                              <w:marBottom w:val="120"/>
                              <w:divBdr>
                                <w:top w:val="none" w:sz="0" w:space="0" w:color="auto"/>
                                <w:left w:val="none" w:sz="0" w:space="0" w:color="auto"/>
                                <w:bottom w:val="none" w:sz="0" w:space="0" w:color="auto"/>
                                <w:right w:val="none" w:sz="0" w:space="0" w:color="auto"/>
                              </w:divBdr>
                              <w:divsChild>
                                <w:div w:id="960064725">
                                  <w:marLeft w:val="0"/>
                                  <w:marRight w:val="0"/>
                                  <w:marTop w:val="0"/>
                                  <w:marBottom w:val="0"/>
                                  <w:divBdr>
                                    <w:top w:val="none" w:sz="0" w:space="0" w:color="auto"/>
                                    <w:left w:val="none" w:sz="0" w:space="0" w:color="auto"/>
                                    <w:bottom w:val="none" w:sz="0" w:space="0" w:color="auto"/>
                                    <w:right w:val="none" w:sz="0" w:space="0" w:color="auto"/>
                                  </w:divBdr>
                                  <w:divsChild>
                                    <w:div w:id="1552307721">
                                      <w:marLeft w:val="0"/>
                                      <w:marRight w:val="0"/>
                                      <w:marTop w:val="0"/>
                                      <w:marBottom w:val="0"/>
                                      <w:divBdr>
                                        <w:top w:val="none" w:sz="0" w:space="0" w:color="auto"/>
                                        <w:left w:val="none" w:sz="0" w:space="0" w:color="auto"/>
                                        <w:bottom w:val="none" w:sz="0" w:space="0" w:color="auto"/>
                                        <w:right w:val="none" w:sz="0" w:space="0" w:color="auto"/>
                                      </w:divBdr>
                                      <w:divsChild>
                                        <w:div w:id="1724795690">
                                          <w:marLeft w:val="0"/>
                                          <w:marRight w:val="0"/>
                                          <w:marTop w:val="0"/>
                                          <w:marBottom w:val="0"/>
                                          <w:divBdr>
                                            <w:top w:val="none" w:sz="0" w:space="0" w:color="auto"/>
                                            <w:left w:val="none" w:sz="0" w:space="0" w:color="auto"/>
                                            <w:bottom w:val="none" w:sz="0" w:space="0" w:color="auto"/>
                                            <w:right w:val="none" w:sz="0" w:space="0" w:color="auto"/>
                                          </w:divBdr>
                                        </w:div>
                                        <w:div w:id="531573586">
                                          <w:marLeft w:val="0"/>
                                          <w:marRight w:val="0"/>
                                          <w:marTop w:val="0"/>
                                          <w:marBottom w:val="150"/>
                                          <w:divBdr>
                                            <w:top w:val="none" w:sz="0" w:space="0" w:color="auto"/>
                                            <w:left w:val="none" w:sz="0" w:space="0" w:color="auto"/>
                                            <w:bottom w:val="none" w:sz="0" w:space="0" w:color="auto"/>
                                            <w:right w:val="none" w:sz="0" w:space="0" w:color="auto"/>
                                          </w:divBdr>
                                          <w:divsChild>
                                            <w:div w:id="612515990">
                                              <w:marLeft w:val="0"/>
                                              <w:marRight w:val="0"/>
                                              <w:marTop w:val="240"/>
                                              <w:marBottom w:val="240"/>
                                              <w:divBdr>
                                                <w:top w:val="single" w:sz="6" w:space="6" w:color="F2F2F2"/>
                                                <w:left w:val="none" w:sz="0" w:space="0" w:color="auto"/>
                                                <w:bottom w:val="single" w:sz="6" w:space="6" w:color="F2F2F2"/>
                                                <w:right w:val="none" w:sz="0" w:space="0" w:color="auto"/>
                                              </w:divBdr>
                                            </w:div>
                                            <w:div w:id="1726953894">
                                              <w:marLeft w:val="0"/>
                                              <w:marRight w:val="0"/>
                                              <w:marTop w:val="0"/>
                                              <w:marBottom w:val="0"/>
                                              <w:divBdr>
                                                <w:top w:val="none" w:sz="0" w:space="0" w:color="auto"/>
                                                <w:left w:val="none" w:sz="0" w:space="0" w:color="auto"/>
                                                <w:bottom w:val="none" w:sz="0" w:space="0" w:color="auto"/>
                                                <w:right w:val="none" w:sz="0" w:space="0" w:color="auto"/>
                                              </w:divBdr>
                                              <w:divsChild>
                                                <w:div w:id="1314915552">
                                                  <w:marLeft w:val="0"/>
                                                  <w:marRight w:val="0"/>
                                                  <w:marTop w:val="0"/>
                                                  <w:marBottom w:val="240"/>
                                                  <w:divBdr>
                                                    <w:top w:val="none" w:sz="0" w:space="0" w:color="auto"/>
                                                    <w:left w:val="none" w:sz="0" w:space="0" w:color="auto"/>
                                                    <w:bottom w:val="none" w:sz="0" w:space="0" w:color="auto"/>
                                                    <w:right w:val="none" w:sz="0" w:space="0" w:color="auto"/>
                                                  </w:divBdr>
                                                </w:div>
                                                <w:div w:id="37474243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9864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64806">
      <w:bodyDiv w:val="1"/>
      <w:marLeft w:val="0"/>
      <w:marRight w:val="0"/>
      <w:marTop w:val="0"/>
      <w:marBottom w:val="0"/>
      <w:divBdr>
        <w:top w:val="none" w:sz="0" w:space="0" w:color="auto"/>
        <w:left w:val="none" w:sz="0" w:space="0" w:color="auto"/>
        <w:bottom w:val="none" w:sz="0" w:space="0" w:color="auto"/>
        <w:right w:val="none" w:sz="0" w:space="0" w:color="auto"/>
      </w:divBdr>
      <w:divsChild>
        <w:div w:id="712772142">
          <w:marLeft w:val="0"/>
          <w:marRight w:val="0"/>
          <w:marTop w:val="0"/>
          <w:marBottom w:val="0"/>
          <w:divBdr>
            <w:top w:val="none" w:sz="0" w:space="0" w:color="auto"/>
            <w:left w:val="none" w:sz="0" w:space="0" w:color="auto"/>
            <w:bottom w:val="none" w:sz="0" w:space="0" w:color="auto"/>
            <w:right w:val="none" w:sz="0" w:space="0" w:color="auto"/>
          </w:divBdr>
          <w:divsChild>
            <w:div w:id="314921427">
              <w:marLeft w:val="0"/>
              <w:marRight w:val="0"/>
              <w:marTop w:val="0"/>
              <w:marBottom w:val="0"/>
              <w:divBdr>
                <w:top w:val="none" w:sz="0" w:space="0" w:color="auto"/>
                <w:left w:val="none" w:sz="0" w:space="0" w:color="auto"/>
                <w:bottom w:val="none" w:sz="0" w:space="0" w:color="auto"/>
                <w:right w:val="none" w:sz="0" w:space="0" w:color="auto"/>
              </w:divBdr>
              <w:divsChild>
                <w:div w:id="214121677">
                  <w:marLeft w:val="0"/>
                  <w:marRight w:val="0"/>
                  <w:marTop w:val="0"/>
                  <w:marBottom w:val="0"/>
                  <w:divBdr>
                    <w:top w:val="none" w:sz="0" w:space="0" w:color="auto"/>
                    <w:left w:val="none" w:sz="0" w:space="0" w:color="auto"/>
                    <w:bottom w:val="none" w:sz="0" w:space="0" w:color="auto"/>
                    <w:right w:val="none" w:sz="0" w:space="0" w:color="auto"/>
                  </w:divBdr>
                  <w:divsChild>
                    <w:div w:id="677077780">
                      <w:marLeft w:val="0"/>
                      <w:marRight w:val="0"/>
                      <w:marTop w:val="0"/>
                      <w:marBottom w:val="0"/>
                      <w:divBdr>
                        <w:top w:val="none" w:sz="0" w:space="0" w:color="auto"/>
                        <w:left w:val="none" w:sz="0" w:space="0" w:color="auto"/>
                        <w:bottom w:val="none" w:sz="0" w:space="0" w:color="auto"/>
                        <w:right w:val="none" w:sz="0" w:space="0" w:color="auto"/>
                      </w:divBdr>
                      <w:divsChild>
                        <w:div w:id="834876065">
                          <w:marLeft w:val="0"/>
                          <w:marRight w:val="0"/>
                          <w:marTop w:val="0"/>
                          <w:marBottom w:val="0"/>
                          <w:divBdr>
                            <w:top w:val="none" w:sz="0" w:space="0" w:color="auto"/>
                            <w:left w:val="none" w:sz="0" w:space="0" w:color="auto"/>
                            <w:bottom w:val="none" w:sz="0" w:space="0" w:color="auto"/>
                            <w:right w:val="none" w:sz="0" w:space="0" w:color="auto"/>
                          </w:divBdr>
                          <w:divsChild>
                            <w:div w:id="468398835">
                              <w:marLeft w:val="0"/>
                              <w:marRight w:val="0"/>
                              <w:marTop w:val="0"/>
                              <w:marBottom w:val="0"/>
                              <w:divBdr>
                                <w:top w:val="none" w:sz="0" w:space="0" w:color="auto"/>
                                <w:left w:val="none" w:sz="0" w:space="0" w:color="auto"/>
                                <w:bottom w:val="none" w:sz="0" w:space="0" w:color="auto"/>
                                <w:right w:val="none" w:sz="0" w:space="0" w:color="auto"/>
                              </w:divBdr>
                            </w:div>
                          </w:divsChild>
                        </w:div>
                        <w:div w:id="251820945">
                          <w:marLeft w:val="0"/>
                          <w:marRight w:val="0"/>
                          <w:marTop w:val="0"/>
                          <w:marBottom w:val="0"/>
                          <w:divBdr>
                            <w:top w:val="none" w:sz="0" w:space="0" w:color="auto"/>
                            <w:left w:val="none" w:sz="0" w:space="0" w:color="auto"/>
                            <w:bottom w:val="none" w:sz="0" w:space="0" w:color="auto"/>
                            <w:right w:val="none" w:sz="0" w:space="0" w:color="auto"/>
                          </w:divBdr>
                          <w:divsChild>
                            <w:div w:id="14749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5914">
      <w:bodyDiv w:val="1"/>
      <w:marLeft w:val="0"/>
      <w:marRight w:val="0"/>
      <w:marTop w:val="0"/>
      <w:marBottom w:val="0"/>
      <w:divBdr>
        <w:top w:val="none" w:sz="0" w:space="0" w:color="auto"/>
        <w:left w:val="none" w:sz="0" w:space="0" w:color="auto"/>
        <w:bottom w:val="none" w:sz="0" w:space="0" w:color="auto"/>
        <w:right w:val="none" w:sz="0" w:space="0" w:color="auto"/>
      </w:divBdr>
      <w:divsChild>
        <w:div w:id="1702440203">
          <w:marLeft w:val="0"/>
          <w:marRight w:val="0"/>
          <w:marTop w:val="0"/>
          <w:marBottom w:val="0"/>
          <w:divBdr>
            <w:top w:val="none" w:sz="0" w:space="0" w:color="auto"/>
            <w:left w:val="none" w:sz="0" w:space="0" w:color="auto"/>
            <w:bottom w:val="none" w:sz="0" w:space="0" w:color="auto"/>
            <w:right w:val="none" w:sz="0" w:space="0" w:color="auto"/>
          </w:divBdr>
          <w:divsChild>
            <w:div w:id="1677687379">
              <w:marLeft w:val="210"/>
              <w:marRight w:val="0"/>
              <w:marTop w:val="0"/>
              <w:marBottom w:val="0"/>
              <w:divBdr>
                <w:top w:val="none" w:sz="0" w:space="0" w:color="auto"/>
                <w:left w:val="none" w:sz="0" w:space="0" w:color="auto"/>
                <w:bottom w:val="none" w:sz="0" w:space="0" w:color="auto"/>
                <w:right w:val="none" w:sz="0" w:space="0" w:color="auto"/>
              </w:divBdr>
              <w:divsChild>
                <w:div w:id="351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9032">
      <w:bodyDiv w:val="1"/>
      <w:marLeft w:val="0"/>
      <w:marRight w:val="0"/>
      <w:marTop w:val="0"/>
      <w:marBottom w:val="0"/>
      <w:divBdr>
        <w:top w:val="none" w:sz="0" w:space="0" w:color="auto"/>
        <w:left w:val="none" w:sz="0" w:space="0" w:color="auto"/>
        <w:bottom w:val="none" w:sz="0" w:space="0" w:color="auto"/>
        <w:right w:val="none" w:sz="0" w:space="0" w:color="auto"/>
      </w:divBdr>
    </w:div>
    <w:div w:id="178783387">
      <w:bodyDiv w:val="1"/>
      <w:marLeft w:val="0"/>
      <w:marRight w:val="0"/>
      <w:marTop w:val="0"/>
      <w:marBottom w:val="0"/>
      <w:divBdr>
        <w:top w:val="none" w:sz="0" w:space="0" w:color="auto"/>
        <w:left w:val="none" w:sz="0" w:space="0" w:color="auto"/>
        <w:bottom w:val="none" w:sz="0" w:space="0" w:color="auto"/>
        <w:right w:val="none" w:sz="0" w:space="0" w:color="auto"/>
      </w:divBdr>
    </w:div>
    <w:div w:id="180633295">
      <w:bodyDiv w:val="1"/>
      <w:marLeft w:val="0"/>
      <w:marRight w:val="0"/>
      <w:marTop w:val="0"/>
      <w:marBottom w:val="0"/>
      <w:divBdr>
        <w:top w:val="none" w:sz="0" w:space="0" w:color="auto"/>
        <w:left w:val="none" w:sz="0" w:space="0" w:color="auto"/>
        <w:bottom w:val="none" w:sz="0" w:space="0" w:color="auto"/>
        <w:right w:val="none" w:sz="0" w:space="0" w:color="auto"/>
      </w:divBdr>
      <w:divsChild>
        <w:div w:id="1445420105">
          <w:marLeft w:val="0"/>
          <w:marRight w:val="0"/>
          <w:marTop w:val="0"/>
          <w:marBottom w:val="0"/>
          <w:divBdr>
            <w:top w:val="none" w:sz="0" w:space="0" w:color="auto"/>
            <w:left w:val="none" w:sz="0" w:space="0" w:color="auto"/>
            <w:bottom w:val="none" w:sz="0" w:space="0" w:color="auto"/>
            <w:right w:val="none" w:sz="0" w:space="0" w:color="auto"/>
          </w:divBdr>
          <w:divsChild>
            <w:div w:id="1519462408">
              <w:marLeft w:val="15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82518180">
      <w:bodyDiv w:val="1"/>
      <w:marLeft w:val="0"/>
      <w:marRight w:val="0"/>
      <w:marTop w:val="0"/>
      <w:marBottom w:val="0"/>
      <w:divBdr>
        <w:top w:val="none" w:sz="0" w:space="0" w:color="auto"/>
        <w:left w:val="none" w:sz="0" w:space="0" w:color="auto"/>
        <w:bottom w:val="none" w:sz="0" w:space="0" w:color="auto"/>
        <w:right w:val="none" w:sz="0" w:space="0" w:color="auto"/>
      </w:divBdr>
      <w:divsChild>
        <w:div w:id="565914087">
          <w:marLeft w:val="0"/>
          <w:marRight w:val="0"/>
          <w:marTop w:val="0"/>
          <w:marBottom w:val="0"/>
          <w:divBdr>
            <w:top w:val="none" w:sz="0" w:space="0" w:color="auto"/>
            <w:left w:val="none" w:sz="0" w:space="0" w:color="auto"/>
            <w:bottom w:val="none" w:sz="0" w:space="0" w:color="auto"/>
            <w:right w:val="none" w:sz="0" w:space="0" w:color="auto"/>
          </w:divBdr>
          <w:divsChild>
            <w:div w:id="1542281293">
              <w:marLeft w:val="0"/>
              <w:marRight w:val="0"/>
              <w:marTop w:val="0"/>
              <w:marBottom w:val="0"/>
              <w:divBdr>
                <w:top w:val="none" w:sz="0" w:space="0" w:color="auto"/>
                <w:left w:val="none" w:sz="0" w:space="0" w:color="auto"/>
                <w:bottom w:val="none" w:sz="0" w:space="0" w:color="auto"/>
                <w:right w:val="none" w:sz="0" w:space="0" w:color="auto"/>
              </w:divBdr>
              <w:divsChild>
                <w:div w:id="166866553">
                  <w:marLeft w:val="0"/>
                  <w:marRight w:val="0"/>
                  <w:marTop w:val="0"/>
                  <w:marBottom w:val="0"/>
                  <w:divBdr>
                    <w:top w:val="none" w:sz="0" w:space="0" w:color="auto"/>
                    <w:left w:val="none" w:sz="0" w:space="0" w:color="auto"/>
                    <w:bottom w:val="none" w:sz="0" w:space="0" w:color="auto"/>
                    <w:right w:val="none" w:sz="0" w:space="0" w:color="auto"/>
                  </w:divBdr>
                  <w:divsChild>
                    <w:div w:id="1364788171">
                      <w:marLeft w:val="0"/>
                      <w:marRight w:val="0"/>
                      <w:marTop w:val="0"/>
                      <w:marBottom w:val="0"/>
                      <w:divBdr>
                        <w:top w:val="none" w:sz="0" w:space="0" w:color="auto"/>
                        <w:left w:val="none" w:sz="0" w:space="0" w:color="auto"/>
                        <w:bottom w:val="none" w:sz="0" w:space="0" w:color="auto"/>
                        <w:right w:val="none" w:sz="0" w:space="0" w:color="auto"/>
                      </w:divBdr>
                      <w:divsChild>
                        <w:div w:id="2051102555">
                          <w:marLeft w:val="0"/>
                          <w:marRight w:val="0"/>
                          <w:marTop w:val="0"/>
                          <w:marBottom w:val="0"/>
                          <w:divBdr>
                            <w:top w:val="none" w:sz="0" w:space="0" w:color="auto"/>
                            <w:left w:val="none" w:sz="0" w:space="0" w:color="auto"/>
                            <w:bottom w:val="none" w:sz="0" w:space="0" w:color="auto"/>
                            <w:right w:val="none" w:sz="0" w:space="0" w:color="auto"/>
                          </w:divBdr>
                          <w:divsChild>
                            <w:div w:id="516432081">
                              <w:marLeft w:val="0"/>
                              <w:marRight w:val="0"/>
                              <w:marTop w:val="0"/>
                              <w:marBottom w:val="0"/>
                              <w:divBdr>
                                <w:top w:val="none" w:sz="0" w:space="0" w:color="auto"/>
                                <w:left w:val="none" w:sz="0" w:space="0" w:color="auto"/>
                                <w:bottom w:val="none" w:sz="0" w:space="0" w:color="auto"/>
                                <w:right w:val="none" w:sz="0" w:space="0" w:color="auto"/>
                              </w:divBdr>
                              <w:divsChild>
                                <w:div w:id="719982487">
                                  <w:marLeft w:val="570"/>
                                  <w:marRight w:val="720"/>
                                  <w:marTop w:val="120"/>
                                  <w:marBottom w:val="120"/>
                                  <w:divBdr>
                                    <w:top w:val="none" w:sz="0" w:space="0" w:color="auto"/>
                                    <w:left w:val="none" w:sz="0" w:space="0" w:color="auto"/>
                                    <w:bottom w:val="none" w:sz="0" w:space="0" w:color="auto"/>
                                    <w:right w:val="none" w:sz="0" w:space="0" w:color="auto"/>
                                  </w:divBdr>
                                  <w:divsChild>
                                    <w:div w:id="1984961092">
                                      <w:marLeft w:val="0"/>
                                      <w:marRight w:val="0"/>
                                      <w:marTop w:val="0"/>
                                      <w:marBottom w:val="0"/>
                                      <w:divBdr>
                                        <w:top w:val="none" w:sz="0" w:space="0" w:color="auto"/>
                                        <w:left w:val="none" w:sz="0" w:space="0" w:color="auto"/>
                                        <w:bottom w:val="none" w:sz="0" w:space="0" w:color="auto"/>
                                        <w:right w:val="none" w:sz="0" w:space="0" w:color="auto"/>
                                      </w:divBdr>
                                      <w:divsChild>
                                        <w:div w:id="988630238">
                                          <w:marLeft w:val="0"/>
                                          <w:marRight w:val="0"/>
                                          <w:marTop w:val="0"/>
                                          <w:marBottom w:val="0"/>
                                          <w:divBdr>
                                            <w:top w:val="none" w:sz="0" w:space="0" w:color="auto"/>
                                            <w:left w:val="none" w:sz="0" w:space="0" w:color="auto"/>
                                            <w:bottom w:val="none" w:sz="0" w:space="0" w:color="auto"/>
                                            <w:right w:val="none" w:sz="0" w:space="0" w:color="auto"/>
                                          </w:divBdr>
                                          <w:divsChild>
                                            <w:div w:id="352923910">
                                              <w:marLeft w:val="0"/>
                                              <w:marRight w:val="0"/>
                                              <w:marTop w:val="0"/>
                                              <w:marBottom w:val="0"/>
                                              <w:divBdr>
                                                <w:top w:val="none" w:sz="0" w:space="0" w:color="auto"/>
                                                <w:left w:val="none" w:sz="0" w:space="0" w:color="auto"/>
                                                <w:bottom w:val="none" w:sz="0" w:space="0" w:color="auto"/>
                                                <w:right w:val="none" w:sz="0" w:space="0" w:color="auto"/>
                                              </w:divBdr>
                                              <w:divsChild>
                                                <w:div w:id="509830227">
                                                  <w:marLeft w:val="0"/>
                                                  <w:marRight w:val="0"/>
                                                  <w:marTop w:val="240"/>
                                                  <w:marBottom w:val="240"/>
                                                  <w:divBdr>
                                                    <w:top w:val="single" w:sz="6" w:space="6" w:color="F2F2F2"/>
                                                    <w:left w:val="none" w:sz="0" w:space="0" w:color="auto"/>
                                                    <w:bottom w:val="single" w:sz="6" w:space="6" w:color="F2F2F2"/>
                                                    <w:right w:val="none" w:sz="0" w:space="0" w:color="auto"/>
                                                  </w:divBdr>
                                                </w:div>
                                                <w:div w:id="1330019984">
                                                  <w:marLeft w:val="0"/>
                                                  <w:marRight w:val="0"/>
                                                  <w:marTop w:val="0"/>
                                                  <w:marBottom w:val="0"/>
                                                  <w:divBdr>
                                                    <w:top w:val="none" w:sz="0" w:space="0" w:color="auto"/>
                                                    <w:left w:val="none" w:sz="0" w:space="0" w:color="auto"/>
                                                    <w:bottom w:val="none" w:sz="0" w:space="0" w:color="auto"/>
                                                    <w:right w:val="none" w:sz="0" w:space="0" w:color="auto"/>
                                                  </w:divBdr>
                                                  <w:divsChild>
                                                    <w:div w:id="1678262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70480">
      <w:bodyDiv w:val="1"/>
      <w:marLeft w:val="0"/>
      <w:marRight w:val="0"/>
      <w:marTop w:val="0"/>
      <w:marBottom w:val="0"/>
      <w:divBdr>
        <w:top w:val="none" w:sz="0" w:space="0" w:color="auto"/>
        <w:left w:val="none" w:sz="0" w:space="0" w:color="auto"/>
        <w:bottom w:val="none" w:sz="0" w:space="0" w:color="auto"/>
        <w:right w:val="none" w:sz="0" w:space="0" w:color="auto"/>
      </w:divBdr>
      <w:divsChild>
        <w:div w:id="1018652820">
          <w:marLeft w:val="0"/>
          <w:marRight w:val="0"/>
          <w:marTop w:val="0"/>
          <w:marBottom w:val="0"/>
          <w:divBdr>
            <w:top w:val="none" w:sz="0" w:space="0" w:color="auto"/>
            <w:left w:val="none" w:sz="0" w:space="0" w:color="auto"/>
            <w:bottom w:val="none" w:sz="0" w:space="0" w:color="auto"/>
            <w:right w:val="none" w:sz="0" w:space="0" w:color="auto"/>
          </w:divBdr>
          <w:divsChild>
            <w:div w:id="43800277">
              <w:marLeft w:val="-225"/>
              <w:marRight w:val="-225"/>
              <w:marTop w:val="0"/>
              <w:marBottom w:val="0"/>
              <w:divBdr>
                <w:top w:val="none" w:sz="0" w:space="0" w:color="auto"/>
                <w:left w:val="none" w:sz="0" w:space="0" w:color="auto"/>
                <w:bottom w:val="none" w:sz="0" w:space="0" w:color="auto"/>
                <w:right w:val="none" w:sz="0" w:space="0" w:color="auto"/>
              </w:divBdr>
              <w:divsChild>
                <w:div w:id="16589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2659">
      <w:bodyDiv w:val="1"/>
      <w:marLeft w:val="0"/>
      <w:marRight w:val="0"/>
      <w:marTop w:val="0"/>
      <w:marBottom w:val="0"/>
      <w:divBdr>
        <w:top w:val="none" w:sz="0" w:space="0" w:color="auto"/>
        <w:left w:val="none" w:sz="0" w:space="0" w:color="auto"/>
        <w:bottom w:val="none" w:sz="0" w:space="0" w:color="auto"/>
        <w:right w:val="none" w:sz="0" w:space="0" w:color="auto"/>
      </w:divBdr>
      <w:divsChild>
        <w:div w:id="1074084531">
          <w:marLeft w:val="0"/>
          <w:marRight w:val="0"/>
          <w:marTop w:val="0"/>
          <w:marBottom w:val="0"/>
          <w:divBdr>
            <w:top w:val="single" w:sz="2" w:space="0" w:color="AAAAAA"/>
            <w:left w:val="single" w:sz="6" w:space="8" w:color="AAAAAA"/>
            <w:bottom w:val="single" w:sz="2" w:space="0" w:color="AAAAAA"/>
            <w:right w:val="single" w:sz="6" w:space="8" w:color="AAAAAA"/>
          </w:divBdr>
          <w:divsChild>
            <w:div w:id="342247204">
              <w:marLeft w:val="0"/>
              <w:marRight w:val="0"/>
              <w:marTop w:val="0"/>
              <w:marBottom w:val="0"/>
              <w:divBdr>
                <w:top w:val="none" w:sz="0" w:space="0" w:color="auto"/>
                <w:left w:val="none" w:sz="0" w:space="0" w:color="auto"/>
                <w:bottom w:val="none" w:sz="0" w:space="0" w:color="auto"/>
                <w:right w:val="none" w:sz="0" w:space="0" w:color="auto"/>
              </w:divBdr>
              <w:divsChild>
                <w:div w:id="854153092">
                  <w:marLeft w:val="0"/>
                  <w:marRight w:val="0"/>
                  <w:marTop w:val="0"/>
                  <w:marBottom w:val="0"/>
                  <w:divBdr>
                    <w:top w:val="none" w:sz="0" w:space="0" w:color="auto"/>
                    <w:left w:val="none" w:sz="0" w:space="0" w:color="auto"/>
                    <w:bottom w:val="none" w:sz="0" w:space="0" w:color="auto"/>
                    <w:right w:val="none" w:sz="0" w:space="0" w:color="auto"/>
                  </w:divBdr>
                  <w:divsChild>
                    <w:div w:id="1185242030">
                      <w:marLeft w:val="0"/>
                      <w:marRight w:val="2550"/>
                      <w:marTop w:val="0"/>
                      <w:marBottom w:val="48"/>
                      <w:divBdr>
                        <w:top w:val="none" w:sz="0" w:space="0" w:color="auto"/>
                        <w:left w:val="none" w:sz="0" w:space="0" w:color="auto"/>
                        <w:bottom w:val="none" w:sz="0" w:space="0" w:color="auto"/>
                        <w:right w:val="none" w:sz="0" w:space="0" w:color="auto"/>
                      </w:divBdr>
                      <w:divsChild>
                        <w:div w:id="63264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6063242">
      <w:bodyDiv w:val="1"/>
      <w:marLeft w:val="0"/>
      <w:marRight w:val="0"/>
      <w:marTop w:val="0"/>
      <w:marBottom w:val="0"/>
      <w:divBdr>
        <w:top w:val="none" w:sz="0" w:space="0" w:color="auto"/>
        <w:left w:val="none" w:sz="0" w:space="0" w:color="auto"/>
        <w:bottom w:val="none" w:sz="0" w:space="0" w:color="auto"/>
        <w:right w:val="none" w:sz="0" w:space="0" w:color="auto"/>
      </w:divBdr>
      <w:divsChild>
        <w:div w:id="1486312217">
          <w:marLeft w:val="0"/>
          <w:marRight w:val="0"/>
          <w:marTop w:val="0"/>
          <w:marBottom w:val="0"/>
          <w:divBdr>
            <w:top w:val="none" w:sz="0" w:space="0" w:color="auto"/>
            <w:left w:val="none" w:sz="0" w:space="0" w:color="auto"/>
            <w:bottom w:val="none" w:sz="0" w:space="0" w:color="auto"/>
            <w:right w:val="none" w:sz="0" w:space="0" w:color="auto"/>
          </w:divBdr>
          <w:divsChild>
            <w:div w:id="1905488286">
              <w:marLeft w:val="0"/>
              <w:marRight w:val="0"/>
              <w:marTop w:val="0"/>
              <w:marBottom w:val="0"/>
              <w:divBdr>
                <w:top w:val="none" w:sz="0" w:space="0" w:color="auto"/>
                <w:left w:val="none" w:sz="0" w:space="0" w:color="auto"/>
                <w:bottom w:val="none" w:sz="0" w:space="0" w:color="auto"/>
                <w:right w:val="none" w:sz="0" w:space="0" w:color="auto"/>
              </w:divBdr>
              <w:divsChild>
                <w:div w:id="581911813">
                  <w:marLeft w:val="0"/>
                  <w:marRight w:val="0"/>
                  <w:marTop w:val="0"/>
                  <w:marBottom w:val="0"/>
                  <w:divBdr>
                    <w:top w:val="none" w:sz="0" w:space="0" w:color="auto"/>
                    <w:left w:val="none" w:sz="0" w:space="0" w:color="auto"/>
                    <w:bottom w:val="none" w:sz="0" w:space="0" w:color="auto"/>
                    <w:right w:val="none" w:sz="0" w:space="0" w:color="auto"/>
                  </w:divBdr>
                  <w:divsChild>
                    <w:div w:id="840237984">
                      <w:marLeft w:val="0"/>
                      <w:marRight w:val="0"/>
                      <w:marTop w:val="0"/>
                      <w:marBottom w:val="0"/>
                      <w:divBdr>
                        <w:top w:val="none" w:sz="0" w:space="0" w:color="auto"/>
                        <w:left w:val="none" w:sz="0" w:space="0" w:color="auto"/>
                        <w:bottom w:val="none" w:sz="0" w:space="0" w:color="auto"/>
                        <w:right w:val="none" w:sz="0" w:space="0" w:color="auto"/>
                      </w:divBdr>
                      <w:divsChild>
                        <w:div w:id="327753601">
                          <w:marLeft w:val="0"/>
                          <w:marRight w:val="0"/>
                          <w:marTop w:val="0"/>
                          <w:marBottom w:val="0"/>
                          <w:divBdr>
                            <w:top w:val="none" w:sz="0" w:space="0" w:color="auto"/>
                            <w:left w:val="none" w:sz="0" w:space="0" w:color="auto"/>
                            <w:bottom w:val="none" w:sz="0" w:space="0" w:color="auto"/>
                            <w:right w:val="none" w:sz="0" w:space="0" w:color="auto"/>
                          </w:divBdr>
                          <w:divsChild>
                            <w:div w:id="1858696454">
                              <w:marLeft w:val="0"/>
                              <w:marRight w:val="0"/>
                              <w:marTop w:val="0"/>
                              <w:marBottom w:val="0"/>
                              <w:divBdr>
                                <w:top w:val="none" w:sz="0" w:space="0" w:color="auto"/>
                                <w:left w:val="none" w:sz="0" w:space="0" w:color="auto"/>
                                <w:bottom w:val="none" w:sz="0" w:space="0" w:color="auto"/>
                                <w:right w:val="none" w:sz="0" w:space="0" w:color="auto"/>
                              </w:divBdr>
                              <w:divsChild>
                                <w:div w:id="460460603">
                                  <w:marLeft w:val="0"/>
                                  <w:marRight w:val="0"/>
                                  <w:marTop w:val="0"/>
                                  <w:marBottom w:val="0"/>
                                  <w:divBdr>
                                    <w:top w:val="none" w:sz="0" w:space="0" w:color="auto"/>
                                    <w:left w:val="none" w:sz="0" w:space="0" w:color="auto"/>
                                    <w:bottom w:val="none" w:sz="0" w:space="0" w:color="auto"/>
                                    <w:right w:val="none" w:sz="0" w:space="0" w:color="auto"/>
                                  </w:divBdr>
                                  <w:divsChild>
                                    <w:div w:id="1496610778">
                                      <w:marLeft w:val="0"/>
                                      <w:marRight w:val="0"/>
                                      <w:marTop w:val="0"/>
                                      <w:marBottom w:val="0"/>
                                      <w:divBdr>
                                        <w:top w:val="none" w:sz="0" w:space="0" w:color="auto"/>
                                        <w:left w:val="none" w:sz="0" w:space="0" w:color="auto"/>
                                        <w:bottom w:val="none" w:sz="0" w:space="0" w:color="auto"/>
                                        <w:right w:val="none" w:sz="0" w:space="0" w:color="auto"/>
                                      </w:divBdr>
                                      <w:divsChild>
                                        <w:div w:id="617025217">
                                          <w:marLeft w:val="0"/>
                                          <w:marRight w:val="0"/>
                                          <w:marTop w:val="0"/>
                                          <w:marBottom w:val="0"/>
                                          <w:divBdr>
                                            <w:top w:val="none" w:sz="0" w:space="0" w:color="auto"/>
                                            <w:left w:val="none" w:sz="0" w:space="0" w:color="auto"/>
                                            <w:bottom w:val="none" w:sz="0" w:space="0" w:color="auto"/>
                                            <w:right w:val="none" w:sz="0" w:space="0" w:color="auto"/>
                                          </w:divBdr>
                                        </w:div>
                                        <w:div w:id="769274128">
                                          <w:marLeft w:val="0"/>
                                          <w:marRight w:val="0"/>
                                          <w:marTop w:val="0"/>
                                          <w:marBottom w:val="0"/>
                                          <w:divBdr>
                                            <w:top w:val="none" w:sz="0" w:space="0" w:color="auto"/>
                                            <w:left w:val="none" w:sz="0" w:space="0" w:color="auto"/>
                                            <w:bottom w:val="none" w:sz="0" w:space="0" w:color="auto"/>
                                            <w:right w:val="none" w:sz="0" w:space="0" w:color="auto"/>
                                          </w:divBdr>
                                          <w:divsChild>
                                            <w:div w:id="114781679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1318">
      <w:bodyDiv w:val="1"/>
      <w:marLeft w:val="0"/>
      <w:marRight w:val="0"/>
      <w:marTop w:val="0"/>
      <w:marBottom w:val="0"/>
      <w:divBdr>
        <w:top w:val="none" w:sz="0" w:space="0" w:color="auto"/>
        <w:left w:val="none" w:sz="0" w:space="0" w:color="auto"/>
        <w:bottom w:val="none" w:sz="0" w:space="0" w:color="auto"/>
        <w:right w:val="none" w:sz="0" w:space="0" w:color="auto"/>
      </w:divBdr>
      <w:divsChild>
        <w:div w:id="916984476">
          <w:marLeft w:val="0"/>
          <w:marRight w:val="0"/>
          <w:marTop w:val="0"/>
          <w:marBottom w:val="0"/>
          <w:divBdr>
            <w:top w:val="none" w:sz="0" w:space="0" w:color="auto"/>
            <w:left w:val="none" w:sz="0" w:space="0" w:color="auto"/>
            <w:bottom w:val="none" w:sz="0" w:space="0" w:color="auto"/>
            <w:right w:val="none" w:sz="0" w:space="0" w:color="auto"/>
          </w:divBdr>
          <w:divsChild>
            <w:div w:id="298847925">
              <w:marLeft w:val="0"/>
              <w:marRight w:val="0"/>
              <w:marTop w:val="0"/>
              <w:marBottom w:val="0"/>
              <w:divBdr>
                <w:top w:val="none" w:sz="0" w:space="0" w:color="auto"/>
                <w:left w:val="none" w:sz="0" w:space="0" w:color="auto"/>
                <w:bottom w:val="none" w:sz="0" w:space="0" w:color="auto"/>
                <w:right w:val="none" w:sz="0" w:space="0" w:color="auto"/>
              </w:divBdr>
              <w:divsChild>
                <w:div w:id="1563516228">
                  <w:marLeft w:val="0"/>
                  <w:marRight w:val="0"/>
                  <w:marTop w:val="0"/>
                  <w:marBottom w:val="0"/>
                  <w:divBdr>
                    <w:top w:val="none" w:sz="0" w:space="0" w:color="auto"/>
                    <w:left w:val="none" w:sz="0" w:space="0" w:color="auto"/>
                    <w:bottom w:val="none" w:sz="0" w:space="0" w:color="auto"/>
                    <w:right w:val="none" w:sz="0" w:space="0" w:color="auto"/>
                  </w:divBdr>
                  <w:divsChild>
                    <w:div w:id="1181697802">
                      <w:marLeft w:val="0"/>
                      <w:marRight w:val="0"/>
                      <w:marTop w:val="0"/>
                      <w:marBottom w:val="0"/>
                      <w:divBdr>
                        <w:top w:val="none" w:sz="0" w:space="0" w:color="auto"/>
                        <w:left w:val="none" w:sz="0" w:space="0" w:color="auto"/>
                        <w:bottom w:val="none" w:sz="0" w:space="0" w:color="auto"/>
                        <w:right w:val="none" w:sz="0" w:space="0" w:color="auto"/>
                      </w:divBdr>
                      <w:divsChild>
                        <w:div w:id="284966301">
                          <w:marLeft w:val="0"/>
                          <w:marRight w:val="0"/>
                          <w:marTop w:val="0"/>
                          <w:marBottom w:val="0"/>
                          <w:divBdr>
                            <w:top w:val="none" w:sz="0" w:space="0" w:color="auto"/>
                            <w:left w:val="none" w:sz="0" w:space="0" w:color="auto"/>
                            <w:bottom w:val="none" w:sz="0" w:space="0" w:color="auto"/>
                            <w:right w:val="none" w:sz="0" w:space="0" w:color="auto"/>
                          </w:divBdr>
                          <w:divsChild>
                            <w:div w:id="1809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675529">
          <w:marLeft w:val="0"/>
          <w:marRight w:val="0"/>
          <w:marTop w:val="0"/>
          <w:marBottom w:val="0"/>
          <w:divBdr>
            <w:top w:val="none" w:sz="0" w:space="0" w:color="auto"/>
            <w:left w:val="none" w:sz="0" w:space="0" w:color="auto"/>
            <w:bottom w:val="none" w:sz="0" w:space="0" w:color="auto"/>
            <w:right w:val="none" w:sz="0" w:space="0" w:color="auto"/>
          </w:divBdr>
          <w:divsChild>
            <w:div w:id="1056706846">
              <w:marLeft w:val="0"/>
              <w:marRight w:val="-225"/>
              <w:marTop w:val="0"/>
              <w:marBottom w:val="0"/>
              <w:divBdr>
                <w:top w:val="none" w:sz="0" w:space="0" w:color="auto"/>
                <w:left w:val="none" w:sz="0" w:space="0" w:color="auto"/>
                <w:bottom w:val="none" w:sz="0" w:space="0" w:color="auto"/>
                <w:right w:val="none" w:sz="0" w:space="0" w:color="auto"/>
              </w:divBdr>
              <w:divsChild>
                <w:div w:id="455563209">
                  <w:marLeft w:val="0"/>
                  <w:marRight w:val="0"/>
                  <w:marTop w:val="0"/>
                  <w:marBottom w:val="0"/>
                  <w:divBdr>
                    <w:top w:val="none" w:sz="0" w:space="0" w:color="auto"/>
                    <w:left w:val="none" w:sz="0" w:space="0" w:color="auto"/>
                    <w:bottom w:val="none" w:sz="0" w:space="0" w:color="auto"/>
                    <w:right w:val="none" w:sz="0" w:space="0" w:color="auto"/>
                  </w:divBdr>
                  <w:divsChild>
                    <w:div w:id="868031474">
                      <w:marLeft w:val="0"/>
                      <w:marRight w:val="150"/>
                      <w:marTop w:val="0"/>
                      <w:marBottom w:val="75"/>
                      <w:divBdr>
                        <w:top w:val="none" w:sz="0" w:space="0" w:color="auto"/>
                        <w:left w:val="none" w:sz="0" w:space="0" w:color="auto"/>
                        <w:bottom w:val="none" w:sz="0" w:space="0" w:color="auto"/>
                        <w:right w:val="none" w:sz="0" w:space="0" w:color="auto"/>
                      </w:divBdr>
                      <w:divsChild>
                        <w:div w:id="18716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6714">
                  <w:marLeft w:val="0"/>
                  <w:marRight w:val="0"/>
                  <w:marTop w:val="0"/>
                  <w:marBottom w:val="0"/>
                  <w:divBdr>
                    <w:top w:val="none" w:sz="0" w:space="0" w:color="auto"/>
                    <w:left w:val="none" w:sz="0" w:space="0" w:color="auto"/>
                    <w:bottom w:val="none" w:sz="0" w:space="0" w:color="auto"/>
                    <w:right w:val="none" w:sz="0" w:space="0" w:color="auto"/>
                  </w:divBdr>
                  <w:divsChild>
                    <w:div w:id="1852597945">
                      <w:marLeft w:val="0"/>
                      <w:marRight w:val="0"/>
                      <w:marTop w:val="0"/>
                      <w:marBottom w:val="0"/>
                      <w:divBdr>
                        <w:top w:val="none" w:sz="0" w:space="0" w:color="auto"/>
                        <w:left w:val="none" w:sz="0" w:space="0" w:color="auto"/>
                        <w:bottom w:val="none" w:sz="0" w:space="0" w:color="auto"/>
                        <w:right w:val="none" w:sz="0" w:space="0" w:color="auto"/>
                      </w:divBdr>
                    </w:div>
                    <w:div w:id="35814845">
                      <w:marLeft w:val="0"/>
                      <w:marRight w:val="0"/>
                      <w:marTop w:val="0"/>
                      <w:marBottom w:val="0"/>
                      <w:divBdr>
                        <w:top w:val="none" w:sz="0" w:space="0" w:color="auto"/>
                        <w:left w:val="none" w:sz="0" w:space="0" w:color="auto"/>
                        <w:bottom w:val="none" w:sz="0" w:space="0" w:color="auto"/>
                        <w:right w:val="none" w:sz="0" w:space="0" w:color="auto"/>
                      </w:divBdr>
                      <w:divsChild>
                        <w:div w:id="2001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1469">
      <w:bodyDiv w:val="1"/>
      <w:marLeft w:val="0"/>
      <w:marRight w:val="0"/>
      <w:marTop w:val="0"/>
      <w:marBottom w:val="0"/>
      <w:divBdr>
        <w:top w:val="none" w:sz="0" w:space="0" w:color="auto"/>
        <w:left w:val="none" w:sz="0" w:space="0" w:color="auto"/>
        <w:bottom w:val="none" w:sz="0" w:space="0" w:color="auto"/>
        <w:right w:val="none" w:sz="0" w:space="0" w:color="auto"/>
      </w:divBdr>
      <w:divsChild>
        <w:div w:id="1204488573">
          <w:marLeft w:val="0"/>
          <w:marRight w:val="0"/>
          <w:marTop w:val="0"/>
          <w:marBottom w:val="0"/>
          <w:divBdr>
            <w:top w:val="single" w:sz="2" w:space="0" w:color="AAAAAA"/>
            <w:left w:val="single" w:sz="6" w:space="8" w:color="AAAAAA"/>
            <w:bottom w:val="single" w:sz="2" w:space="0" w:color="AAAAAA"/>
            <w:right w:val="single" w:sz="6" w:space="8" w:color="AAAAAA"/>
          </w:divBdr>
          <w:divsChild>
            <w:div w:id="587269616">
              <w:marLeft w:val="0"/>
              <w:marRight w:val="0"/>
              <w:marTop w:val="0"/>
              <w:marBottom w:val="0"/>
              <w:divBdr>
                <w:top w:val="none" w:sz="0" w:space="0" w:color="auto"/>
                <w:left w:val="none" w:sz="0" w:space="0" w:color="auto"/>
                <w:bottom w:val="none" w:sz="0" w:space="0" w:color="auto"/>
                <w:right w:val="none" w:sz="0" w:space="0" w:color="auto"/>
              </w:divBdr>
              <w:divsChild>
                <w:div w:id="454955754">
                  <w:marLeft w:val="0"/>
                  <w:marRight w:val="0"/>
                  <w:marTop w:val="0"/>
                  <w:marBottom w:val="0"/>
                  <w:divBdr>
                    <w:top w:val="none" w:sz="0" w:space="0" w:color="auto"/>
                    <w:left w:val="none" w:sz="0" w:space="0" w:color="auto"/>
                    <w:bottom w:val="none" w:sz="0" w:space="0" w:color="auto"/>
                    <w:right w:val="none" w:sz="0" w:space="0" w:color="auto"/>
                  </w:divBdr>
                  <w:divsChild>
                    <w:div w:id="646472611">
                      <w:marLeft w:val="0"/>
                      <w:marRight w:val="2550"/>
                      <w:marTop w:val="0"/>
                      <w:marBottom w:val="48"/>
                      <w:divBdr>
                        <w:top w:val="none" w:sz="0" w:space="0" w:color="auto"/>
                        <w:left w:val="none" w:sz="0" w:space="0" w:color="auto"/>
                        <w:bottom w:val="none" w:sz="0" w:space="0" w:color="auto"/>
                        <w:right w:val="none" w:sz="0" w:space="0" w:color="auto"/>
                      </w:divBdr>
                      <w:divsChild>
                        <w:div w:id="11674051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7642062">
      <w:bodyDiv w:val="1"/>
      <w:marLeft w:val="0"/>
      <w:marRight w:val="0"/>
      <w:marTop w:val="0"/>
      <w:marBottom w:val="0"/>
      <w:divBdr>
        <w:top w:val="none" w:sz="0" w:space="0" w:color="auto"/>
        <w:left w:val="none" w:sz="0" w:space="0" w:color="auto"/>
        <w:bottom w:val="none" w:sz="0" w:space="0" w:color="auto"/>
        <w:right w:val="none" w:sz="0" w:space="0" w:color="auto"/>
      </w:divBdr>
      <w:divsChild>
        <w:div w:id="1048190834">
          <w:marLeft w:val="0"/>
          <w:marRight w:val="0"/>
          <w:marTop w:val="0"/>
          <w:marBottom w:val="0"/>
          <w:divBdr>
            <w:top w:val="none" w:sz="0" w:space="0" w:color="auto"/>
            <w:left w:val="none" w:sz="0" w:space="0" w:color="auto"/>
            <w:bottom w:val="none" w:sz="0" w:space="0" w:color="auto"/>
            <w:right w:val="none" w:sz="0" w:space="0" w:color="auto"/>
          </w:divBdr>
          <w:divsChild>
            <w:div w:id="26178469">
              <w:marLeft w:val="0"/>
              <w:marRight w:val="0"/>
              <w:marTop w:val="0"/>
              <w:marBottom w:val="0"/>
              <w:divBdr>
                <w:top w:val="none" w:sz="0" w:space="0" w:color="auto"/>
                <w:left w:val="none" w:sz="0" w:space="0" w:color="auto"/>
                <w:bottom w:val="none" w:sz="0" w:space="0" w:color="auto"/>
                <w:right w:val="none" w:sz="0" w:space="0" w:color="auto"/>
              </w:divBdr>
              <w:divsChild>
                <w:div w:id="1481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1262">
          <w:marLeft w:val="0"/>
          <w:marRight w:val="0"/>
          <w:marTop w:val="0"/>
          <w:marBottom w:val="0"/>
          <w:divBdr>
            <w:top w:val="none" w:sz="0" w:space="0" w:color="auto"/>
            <w:left w:val="none" w:sz="0" w:space="0" w:color="auto"/>
            <w:bottom w:val="none" w:sz="0" w:space="0" w:color="auto"/>
            <w:right w:val="none" w:sz="0" w:space="0" w:color="auto"/>
          </w:divBdr>
          <w:divsChild>
            <w:div w:id="217056523">
              <w:marLeft w:val="0"/>
              <w:marRight w:val="0"/>
              <w:marTop w:val="0"/>
              <w:marBottom w:val="0"/>
              <w:divBdr>
                <w:top w:val="none" w:sz="0" w:space="0" w:color="auto"/>
                <w:left w:val="none" w:sz="0" w:space="0" w:color="auto"/>
                <w:bottom w:val="none" w:sz="0" w:space="0" w:color="auto"/>
                <w:right w:val="none" w:sz="0" w:space="0" w:color="auto"/>
              </w:divBdr>
              <w:divsChild>
                <w:div w:id="1385132701">
                  <w:marLeft w:val="0"/>
                  <w:marRight w:val="0"/>
                  <w:marTop w:val="0"/>
                  <w:marBottom w:val="0"/>
                  <w:divBdr>
                    <w:top w:val="none" w:sz="0" w:space="0" w:color="auto"/>
                    <w:left w:val="none" w:sz="0" w:space="0" w:color="auto"/>
                    <w:bottom w:val="none" w:sz="0" w:space="0" w:color="auto"/>
                    <w:right w:val="none" w:sz="0" w:space="0" w:color="auto"/>
                  </w:divBdr>
                  <w:divsChild>
                    <w:div w:id="1291282775">
                      <w:marLeft w:val="0"/>
                      <w:marRight w:val="0"/>
                      <w:marTop w:val="0"/>
                      <w:marBottom w:val="0"/>
                      <w:divBdr>
                        <w:top w:val="none" w:sz="0" w:space="0" w:color="auto"/>
                        <w:left w:val="none" w:sz="0" w:space="0" w:color="auto"/>
                        <w:bottom w:val="none" w:sz="0" w:space="0" w:color="auto"/>
                        <w:right w:val="none" w:sz="0" w:space="0" w:color="auto"/>
                      </w:divBdr>
                      <w:divsChild>
                        <w:div w:id="419566562">
                          <w:marLeft w:val="0"/>
                          <w:marRight w:val="0"/>
                          <w:marTop w:val="0"/>
                          <w:marBottom w:val="0"/>
                          <w:divBdr>
                            <w:top w:val="none" w:sz="0" w:space="0" w:color="auto"/>
                            <w:left w:val="none" w:sz="0" w:space="0" w:color="auto"/>
                            <w:bottom w:val="none" w:sz="0" w:space="0" w:color="auto"/>
                            <w:right w:val="none" w:sz="0" w:space="0" w:color="auto"/>
                          </w:divBdr>
                          <w:divsChild>
                            <w:div w:id="960260965">
                              <w:marLeft w:val="0"/>
                              <w:marRight w:val="0"/>
                              <w:marTop w:val="0"/>
                              <w:marBottom w:val="0"/>
                              <w:divBdr>
                                <w:top w:val="none" w:sz="0" w:space="0" w:color="auto"/>
                                <w:left w:val="none" w:sz="0" w:space="0" w:color="auto"/>
                                <w:bottom w:val="none" w:sz="0" w:space="0" w:color="auto"/>
                                <w:right w:val="none" w:sz="0" w:space="0" w:color="auto"/>
                              </w:divBdr>
                              <w:divsChild>
                                <w:div w:id="1615088887">
                                  <w:marLeft w:val="0"/>
                                  <w:marRight w:val="0"/>
                                  <w:marTop w:val="0"/>
                                  <w:marBottom w:val="0"/>
                                  <w:divBdr>
                                    <w:top w:val="none" w:sz="0" w:space="0" w:color="auto"/>
                                    <w:left w:val="none" w:sz="0" w:space="0" w:color="auto"/>
                                    <w:bottom w:val="none" w:sz="0" w:space="0" w:color="auto"/>
                                    <w:right w:val="none" w:sz="0" w:space="0" w:color="auto"/>
                                  </w:divBdr>
                                  <w:divsChild>
                                    <w:div w:id="1166481292">
                                      <w:marLeft w:val="0"/>
                                      <w:marRight w:val="0"/>
                                      <w:marTop w:val="0"/>
                                      <w:marBottom w:val="0"/>
                                      <w:divBdr>
                                        <w:top w:val="none" w:sz="0" w:space="0" w:color="auto"/>
                                        <w:left w:val="none" w:sz="0" w:space="0" w:color="auto"/>
                                        <w:bottom w:val="none" w:sz="0" w:space="0" w:color="auto"/>
                                        <w:right w:val="none" w:sz="0" w:space="0" w:color="auto"/>
                                      </w:divBdr>
                                      <w:divsChild>
                                        <w:div w:id="11722547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1192">
      <w:bodyDiv w:val="1"/>
      <w:marLeft w:val="0"/>
      <w:marRight w:val="0"/>
      <w:marTop w:val="0"/>
      <w:marBottom w:val="0"/>
      <w:divBdr>
        <w:top w:val="none" w:sz="0" w:space="0" w:color="auto"/>
        <w:left w:val="none" w:sz="0" w:space="0" w:color="auto"/>
        <w:bottom w:val="none" w:sz="0" w:space="0" w:color="auto"/>
        <w:right w:val="none" w:sz="0" w:space="0" w:color="auto"/>
      </w:divBdr>
      <w:divsChild>
        <w:div w:id="1932466305">
          <w:marLeft w:val="0"/>
          <w:marRight w:val="0"/>
          <w:marTop w:val="0"/>
          <w:marBottom w:val="0"/>
          <w:divBdr>
            <w:top w:val="none" w:sz="0" w:space="0" w:color="auto"/>
            <w:left w:val="none" w:sz="0" w:space="0" w:color="auto"/>
            <w:bottom w:val="none" w:sz="0" w:space="0" w:color="auto"/>
            <w:right w:val="none" w:sz="0" w:space="0" w:color="auto"/>
          </w:divBdr>
          <w:divsChild>
            <w:div w:id="2145728679">
              <w:marLeft w:val="0"/>
              <w:marRight w:val="0"/>
              <w:marTop w:val="0"/>
              <w:marBottom w:val="0"/>
              <w:divBdr>
                <w:top w:val="none" w:sz="0" w:space="0" w:color="auto"/>
                <w:left w:val="none" w:sz="0" w:space="0" w:color="auto"/>
                <w:bottom w:val="none" w:sz="0" w:space="0" w:color="auto"/>
                <w:right w:val="none" w:sz="0" w:space="0" w:color="auto"/>
              </w:divBdr>
              <w:divsChild>
                <w:div w:id="1390376678">
                  <w:marLeft w:val="0"/>
                  <w:marRight w:val="0"/>
                  <w:marTop w:val="0"/>
                  <w:marBottom w:val="0"/>
                  <w:divBdr>
                    <w:top w:val="none" w:sz="0" w:space="0" w:color="auto"/>
                    <w:left w:val="none" w:sz="0" w:space="0" w:color="auto"/>
                    <w:bottom w:val="none" w:sz="0" w:space="0" w:color="auto"/>
                    <w:right w:val="none" w:sz="0" w:space="0" w:color="auto"/>
                  </w:divBdr>
                  <w:divsChild>
                    <w:div w:id="1392924497">
                      <w:marLeft w:val="0"/>
                      <w:marRight w:val="0"/>
                      <w:marTop w:val="0"/>
                      <w:marBottom w:val="0"/>
                      <w:divBdr>
                        <w:top w:val="none" w:sz="0" w:space="0" w:color="auto"/>
                        <w:left w:val="none" w:sz="0" w:space="0" w:color="auto"/>
                        <w:bottom w:val="none" w:sz="0" w:space="0" w:color="auto"/>
                        <w:right w:val="none" w:sz="0" w:space="0" w:color="auto"/>
                      </w:divBdr>
                      <w:divsChild>
                        <w:div w:id="2074572834">
                          <w:marLeft w:val="0"/>
                          <w:marRight w:val="0"/>
                          <w:marTop w:val="0"/>
                          <w:marBottom w:val="0"/>
                          <w:divBdr>
                            <w:top w:val="none" w:sz="0" w:space="0" w:color="auto"/>
                            <w:left w:val="none" w:sz="0" w:space="0" w:color="auto"/>
                            <w:bottom w:val="none" w:sz="0" w:space="0" w:color="auto"/>
                            <w:right w:val="none" w:sz="0" w:space="0" w:color="auto"/>
                          </w:divBdr>
                          <w:divsChild>
                            <w:div w:id="1584995310">
                              <w:marLeft w:val="0"/>
                              <w:marRight w:val="0"/>
                              <w:marTop w:val="0"/>
                              <w:marBottom w:val="0"/>
                              <w:divBdr>
                                <w:top w:val="none" w:sz="0" w:space="0" w:color="auto"/>
                                <w:left w:val="none" w:sz="0" w:space="0" w:color="auto"/>
                                <w:bottom w:val="none" w:sz="0" w:space="0" w:color="auto"/>
                                <w:right w:val="none" w:sz="0" w:space="0" w:color="auto"/>
                              </w:divBdr>
                              <w:divsChild>
                                <w:div w:id="1260941232">
                                  <w:marLeft w:val="0"/>
                                  <w:marRight w:val="0"/>
                                  <w:marTop w:val="0"/>
                                  <w:marBottom w:val="0"/>
                                  <w:divBdr>
                                    <w:top w:val="none" w:sz="0" w:space="0" w:color="auto"/>
                                    <w:left w:val="none" w:sz="0" w:space="0" w:color="auto"/>
                                    <w:bottom w:val="none" w:sz="0" w:space="0" w:color="auto"/>
                                    <w:right w:val="none" w:sz="0" w:space="0" w:color="auto"/>
                                  </w:divBdr>
                                  <w:divsChild>
                                    <w:div w:id="2105416514">
                                      <w:marLeft w:val="0"/>
                                      <w:marRight w:val="0"/>
                                      <w:marTop w:val="0"/>
                                      <w:marBottom w:val="0"/>
                                      <w:divBdr>
                                        <w:top w:val="none" w:sz="0" w:space="0" w:color="auto"/>
                                        <w:left w:val="none" w:sz="0" w:space="0" w:color="auto"/>
                                        <w:bottom w:val="none" w:sz="0" w:space="0" w:color="auto"/>
                                        <w:right w:val="none" w:sz="0" w:space="0" w:color="auto"/>
                                      </w:divBdr>
                                      <w:divsChild>
                                        <w:div w:id="1747412611">
                                          <w:marLeft w:val="0"/>
                                          <w:marRight w:val="0"/>
                                          <w:marTop w:val="0"/>
                                          <w:marBottom w:val="0"/>
                                          <w:divBdr>
                                            <w:top w:val="none" w:sz="0" w:space="0" w:color="auto"/>
                                            <w:left w:val="none" w:sz="0" w:space="0" w:color="auto"/>
                                            <w:bottom w:val="none" w:sz="0" w:space="0" w:color="auto"/>
                                            <w:right w:val="none" w:sz="0" w:space="0" w:color="auto"/>
                                          </w:divBdr>
                                        </w:div>
                                        <w:div w:id="140854583">
                                          <w:marLeft w:val="0"/>
                                          <w:marRight w:val="0"/>
                                          <w:marTop w:val="0"/>
                                          <w:marBottom w:val="0"/>
                                          <w:divBdr>
                                            <w:top w:val="none" w:sz="0" w:space="0" w:color="auto"/>
                                            <w:left w:val="none" w:sz="0" w:space="0" w:color="auto"/>
                                            <w:bottom w:val="none" w:sz="0" w:space="0" w:color="auto"/>
                                            <w:right w:val="none" w:sz="0" w:space="0" w:color="auto"/>
                                          </w:divBdr>
                                          <w:divsChild>
                                            <w:div w:id="3480662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84655">
      <w:bodyDiv w:val="1"/>
      <w:marLeft w:val="0"/>
      <w:marRight w:val="0"/>
      <w:marTop w:val="0"/>
      <w:marBottom w:val="0"/>
      <w:divBdr>
        <w:top w:val="none" w:sz="0" w:space="0" w:color="auto"/>
        <w:left w:val="none" w:sz="0" w:space="0" w:color="auto"/>
        <w:bottom w:val="none" w:sz="0" w:space="0" w:color="auto"/>
        <w:right w:val="none" w:sz="0" w:space="0" w:color="auto"/>
      </w:divBdr>
      <w:divsChild>
        <w:div w:id="320620616">
          <w:marLeft w:val="0"/>
          <w:marRight w:val="0"/>
          <w:marTop w:val="150"/>
          <w:marBottom w:val="0"/>
          <w:divBdr>
            <w:top w:val="none" w:sz="0" w:space="0" w:color="auto"/>
            <w:left w:val="none" w:sz="0" w:space="0" w:color="auto"/>
            <w:bottom w:val="none" w:sz="0" w:space="0" w:color="auto"/>
            <w:right w:val="none" w:sz="0" w:space="0" w:color="auto"/>
          </w:divBdr>
          <w:divsChild>
            <w:div w:id="824584892">
              <w:marLeft w:val="2"/>
              <w:marRight w:val="2"/>
              <w:marTop w:val="0"/>
              <w:marBottom w:val="0"/>
              <w:divBdr>
                <w:top w:val="none" w:sz="0" w:space="0" w:color="auto"/>
                <w:left w:val="none" w:sz="0" w:space="0" w:color="auto"/>
                <w:bottom w:val="none" w:sz="0" w:space="0" w:color="auto"/>
                <w:right w:val="none" w:sz="0" w:space="0" w:color="auto"/>
              </w:divBdr>
              <w:divsChild>
                <w:div w:id="1532574939">
                  <w:marLeft w:val="0"/>
                  <w:marRight w:val="0"/>
                  <w:marTop w:val="0"/>
                  <w:marBottom w:val="0"/>
                  <w:divBdr>
                    <w:top w:val="none" w:sz="0" w:space="0" w:color="auto"/>
                    <w:left w:val="none" w:sz="0" w:space="0" w:color="auto"/>
                    <w:bottom w:val="none" w:sz="0" w:space="0" w:color="auto"/>
                    <w:right w:val="none" w:sz="0" w:space="0" w:color="auto"/>
                  </w:divBdr>
                  <w:divsChild>
                    <w:div w:id="2095928648">
                      <w:marLeft w:val="0"/>
                      <w:marRight w:val="0"/>
                      <w:marTop w:val="0"/>
                      <w:marBottom w:val="0"/>
                      <w:divBdr>
                        <w:top w:val="none" w:sz="0" w:space="0" w:color="auto"/>
                        <w:left w:val="none" w:sz="0" w:space="0" w:color="auto"/>
                        <w:bottom w:val="none" w:sz="0" w:space="0" w:color="auto"/>
                        <w:right w:val="none" w:sz="0" w:space="0" w:color="auto"/>
                      </w:divBdr>
                      <w:divsChild>
                        <w:div w:id="554851217">
                          <w:marLeft w:val="0"/>
                          <w:marRight w:val="0"/>
                          <w:marTop w:val="0"/>
                          <w:marBottom w:val="0"/>
                          <w:divBdr>
                            <w:top w:val="none" w:sz="0" w:space="0" w:color="auto"/>
                            <w:left w:val="none" w:sz="0" w:space="0" w:color="auto"/>
                            <w:bottom w:val="none" w:sz="0" w:space="0" w:color="auto"/>
                            <w:right w:val="none" w:sz="0" w:space="0" w:color="auto"/>
                          </w:divBdr>
                          <w:divsChild>
                            <w:div w:id="1039284522">
                              <w:marLeft w:val="0"/>
                              <w:marRight w:val="0"/>
                              <w:marTop w:val="0"/>
                              <w:marBottom w:val="0"/>
                              <w:divBdr>
                                <w:top w:val="none" w:sz="0" w:space="0" w:color="auto"/>
                                <w:left w:val="none" w:sz="0" w:space="0" w:color="auto"/>
                                <w:bottom w:val="none" w:sz="0" w:space="0" w:color="auto"/>
                                <w:right w:val="none" w:sz="0" w:space="0" w:color="auto"/>
                              </w:divBdr>
                              <w:divsChild>
                                <w:div w:id="910894748">
                                  <w:marLeft w:val="0"/>
                                  <w:marRight w:val="0"/>
                                  <w:marTop w:val="0"/>
                                  <w:marBottom w:val="0"/>
                                  <w:divBdr>
                                    <w:top w:val="none" w:sz="0" w:space="0" w:color="auto"/>
                                    <w:left w:val="none" w:sz="0" w:space="0" w:color="auto"/>
                                    <w:bottom w:val="none" w:sz="0" w:space="0" w:color="auto"/>
                                    <w:right w:val="none" w:sz="0" w:space="0" w:color="auto"/>
                                  </w:divBdr>
                                  <w:divsChild>
                                    <w:div w:id="465858659">
                                      <w:marLeft w:val="0"/>
                                      <w:marRight w:val="0"/>
                                      <w:marTop w:val="0"/>
                                      <w:marBottom w:val="0"/>
                                      <w:divBdr>
                                        <w:top w:val="none" w:sz="0" w:space="0" w:color="auto"/>
                                        <w:left w:val="none" w:sz="0" w:space="0" w:color="auto"/>
                                        <w:bottom w:val="none" w:sz="0" w:space="0" w:color="auto"/>
                                        <w:right w:val="none" w:sz="0" w:space="0" w:color="auto"/>
                                      </w:divBdr>
                                      <w:divsChild>
                                        <w:div w:id="1798330598">
                                          <w:marLeft w:val="0"/>
                                          <w:marRight w:val="0"/>
                                          <w:marTop w:val="0"/>
                                          <w:marBottom w:val="0"/>
                                          <w:divBdr>
                                            <w:top w:val="none" w:sz="0" w:space="0" w:color="auto"/>
                                            <w:left w:val="none" w:sz="0" w:space="0" w:color="auto"/>
                                            <w:bottom w:val="none" w:sz="0" w:space="0" w:color="auto"/>
                                            <w:right w:val="none" w:sz="0" w:space="0" w:color="auto"/>
                                          </w:divBdr>
                                          <w:divsChild>
                                            <w:div w:id="93484104">
                                              <w:marLeft w:val="0"/>
                                              <w:marRight w:val="0"/>
                                              <w:marTop w:val="0"/>
                                              <w:marBottom w:val="0"/>
                                              <w:divBdr>
                                                <w:top w:val="none" w:sz="0" w:space="0" w:color="auto"/>
                                                <w:left w:val="none" w:sz="0" w:space="0" w:color="auto"/>
                                                <w:bottom w:val="none" w:sz="0" w:space="0" w:color="auto"/>
                                                <w:right w:val="none" w:sz="0" w:space="0" w:color="auto"/>
                                              </w:divBdr>
                                              <w:divsChild>
                                                <w:div w:id="1154223652">
                                                  <w:marLeft w:val="0"/>
                                                  <w:marRight w:val="0"/>
                                                  <w:marTop w:val="0"/>
                                                  <w:marBottom w:val="0"/>
                                                  <w:divBdr>
                                                    <w:top w:val="none" w:sz="0" w:space="0" w:color="auto"/>
                                                    <w:left w:val="none" w:sz="0" w:space="0" w:color="auto"/>
                                                    <w:bottom w:val="none" w:sz="0" w:space="0" w:color="auto"/>
                                                    <w:right w:val="none" w:sz="0" w:space="0" w:color="auto"/>
                                                  </w:divBdr>
                                                </w:div>
                                              </w:divsChild>
                                            </w:div>
                                            <w:div w:id="2008897261">
                                              <w:marLeft w:val="0"/>
                                              <w:marRight w:val="0"/>
                                              <w:marTop w:val="0"/>
                                              <w:marBottom w:val="0"/>
                                              <w:divBdr>
                                                <w:top w:val="none" w:sz="0" w:space="0" w:color="auto"/>
                                                <w:left w:val="none" w:sz="0" w:space="0" w:color="auto"/>
                                                <w:bottom w:val="none" w:sz="0" w:space="0" w:color="auto"/>
                                                <w:right w:val="none" w:sz="0" w:space="0" w:color="auto"/>
                                              </w:divBdr>
                                              <w:divsChild>
                                                <w:div w:id="456073465">
                                                  <w:marLeft w:val="0"/>
                                                  <w:marRight w:val="0"/>
                                                  <w:marTop w:val="0"/>
                                                  <w:marBottom w:val="0"/>
                                                  <w:divBdr>
                                                    <w:top w:val="none" w:sz="0" w:space="0" w:color="auto"/>
                                                    <w:left w:val="none" w:sz="0" w:space="0" w:color="auto"/>
                                                    <w:bottom w:val="none" w:sz="0" w:space="0" w:color="auto"/>
                                                    <w:right w:val="none" w:sz="0" w:space="0" w:color="auto"/>
                                                  </w:divBdr>
                                                </w:div>
                                              </w:divsChild>
                                            </w:div>
                                            <w:div w:id="1718819254">
                                              <w:marLeft w:val="0"/>
                                              <w:marRight w:val="0"/>
                                              <w:marTop w:val="0"/>
                                              <w:marBottom w:val="0"/>
                                              <w:divBdr>
                                                <w:top w:val="none" w:sz="0" w:space="0" w:color="auto"/>
                                                <w:left w:val="none" w:sz="0" w:space="0" w:color="auto"/>
                                                <w:bottom w:val="none" w:sz="0" w:space="0" w:color="auto"/>
                                                <w:right w:val="none" w:sz="0" w:space="0" w:color="auto"/>
                                              </w:divBdr>
                                              <w:divsChild>
                                                <w:div w:id="1833566237">
                                                  <w:marLeft w:val="0"/>
                                                  <w:marRight w:val="0"/>
                                                  <w:marTop w:val="0"/>
                                                  <w:marBottom w:val="0"/>
                                                  <w:divBdr>
                                                    <w:top w:val="none" w:sz="0" w:space="0" w:color="auto"/>
                                                    <w:left w:val="none" w:sz="0" w:space="0" w:color="auto"/>
                                                    <w:bottom w:val="none" w:sz="0" w:space="0" w:color="auto"/>
                                                    <w:right w:val="none" w:sz="0" w:space="0" w:color="auto"/>
                                                  </w:divBdr>
                                                </w:div>
                                              </w:divsChild>
                                            </w:div>
                                            <w:div w:id="407966791">
                                              <w:marLeft w:val="0"/>
                                              <w:marRight w:val="0"/>
                                              <w:marTop w:val="0"/>
                                              <w:marBottom w:val="0"/>
                                              <w:divBdr>
                                                <w:top w:val="none" w:sz="0" w:space="0" w:color="auto"/>
                                                <w:left w:val="none" w:sz="0" w:space="0" w:color="auto"/>
                                                <w:bottom w:val="none" w:sz="0" w:space="0" w:color="auto"/>
                                                <w:right w:val="none" w:sz="0" w:space="0" w:color="auto"/>
                                              </w:divBdr>
                                              <w:divsChild>
                                                <w:div w:id="18253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94858">
      <w:bodyDiv w:val="1"/>
      <w:marLeft w:val="0"/>
      <w:marRight w:val="0"/>
      <w:marTop w:val="0"/>
      <w:marBottom w:val="0"/>
      <w:divBdr>
        <w:top w:val="none" w:sz="0" w:space="0" w:color="auto"/>
        <w:left w:val="none" w:sz="0" w:space="0" w:color="auto"/>
        <w:bottom w:val="none" w:sz="0" w:space="0" w:color="auto"/>
        <w:right w:val="none" w:sz="0" w:space="0" w:color="auto"/>
      </w:divBdr>
      <w:divsChild>
        <w:div w:id="534391881">
          <w:marLeft w:val="0"/>
          <w:marRight w:val="0"/>
          <w:marTop w:val="0"/>
          <w:marBottom w:val="0"/>
          <w:divBdr>
            <w:top w:val="single" w:sz="4" w:space="0" w:color="0E477A"/>
            <w:left w:val="single" w:sz="4" w:space="0" w:color="0E477A"/>
            <w:bottom w:val="single" w:sz="4" w:space="0" w:color="0E477A"/>
            <w:right w:val="single" w:sz="4" w:space="0" w:color="0E477A"/>
          </w:divBdr>
          <w:divsChild>
            <w:div w:id="1869415008">
              <w:marLeft w:val="2442"/>
              <w:marRight w:val="0"/>
              <w:marTop w:val="0"/>
              <w:marBottom w:val="0"/>
              <w:divBdr>
                <w:top w:val="none" w:sz="0" w:space="0" w:color="auto"/>
                <w:left w:val="none" w:sz="0" w:space="0" w:color="auto"/>
                <w:bottom w:val="none" w:sz="0" w:space="0" w:color="auto"/>
                <w:right w:val="none" w:sz="0" w:space="0" w:color="auto"/>
              </w:divBdr>
              <w:divsChild>
                <w:div w:id="1579318257">
                  <w:marLeft w:val="0"/>
                  <w:marRight w:val="0"/>
                  <w:marTop w:val="0"/>
                  <w:marBottom w:val="0"/>
                  <w:divBdr>
                    <w:top w:val="none" w:sz="0" w:space="0" w:color="auto"/>
                    <w:left w:val="none" w:sz="0" w:space="0" w:color="auto"/>
                    <w:bottom w:val="none" w:sz="0" w:space="0" w:color="auto"/>
                    <w:right w:val="none" w:sz="0" w:space="0" w:color="auto"/>
                  </w:divBdr>
                  <w:divsChild>
                    <w:div w:id="824398839">
                      <w:marLeft w:val="0"/>
                      <w:marRight w:val="125"/>
                      <w:marTop w:val="0"/>
                      <w:marBottom w:val="0"/>
                      <w:divBdr>
                        <w:top w:val="single" w:sz="4" w:space="0" w:color="CCCCCC"/>
                        <w:left w:val="single" w:sz="4" w:space="6" w:color="CCCCCC"/>
                        <w:bottom w:val="single" w:sz="4" w:space="6" w:color="CCCCCC"/>
                        <w:right w:val="single" w:sz="4" w:space="6" w:color="CCCCCC"/>
                      </w:divBdr>
                      <w:divsChild>
                        <w:div w:id="806818195">
                          <w:marLeft w:val="0"/>
                          <w:marRight w:val="0"/>
                          <w:marTop w:val="0"/>
                          <w:marBottom w:val="0"/>
                          <w:divBdr>
                            <w:top w:val="none" w:sz="0" w:space="0" w:color="auto"/>
                            <w:left w:val="none" w:sz="0" w:space="0" w:color="auto"/>
                            <w:bottom w:val="none" w:sz="0" w:space="0" w:color="auto"/>
                            <w:right w:val="none" w:sz="0" w:space="0" w:color="auto"/>
                          </w:divBdr>
                        </w:div>
                        <w:div w:id="987827961">
                          <w:marLeft w:val="0"/>
                          <w:marRight w:val="0"/>
                          <w:marTop w:val="0"/>
                          <w:marBottom w:val="0"/>
                          <w:divBdr>
                            <w:top w:val="none" w:sz="0" w:space="0" w:color="auto"/>
                            <w:left w:val="none" w:sz="0" w:space="0" w:color="auto"/>
                            <w:bottom w:val="none" w:sz="0" w:space="0" w:color="auto"/>
                            <w:right w:val="none" w:sz="0" w:space="0" w:color="auto"/>
                          </w:divBdr>
                        </w:div>
                        <w:div w:id="1871794154">
                          <w:marLeft w:val="0"/>
                          <w:marRight w:val="0"/>
                          <w:marTop w:val="0"/>
                          <w:marBottom w:val="0"/>
                          <w:divBdr>
                            <w:top w:val="none" w:sz="0" w:space="0" w:color="auto"/>
                            <w:left w:val="none" w:sz="0" w:space="0" w:color="auto"/>
                            <w:bottom w:val="none" w:sz="0" w:space="0" w:color="auto"/>
                            <w:right w:val="none" w:sz="0" w:space="0" w:color="auto"/>
                          </w:divBdr>
                        </w:div>
                        <w:div w:id="16566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36629">
      <w:bodyDiv w:val="1"/>
      <w:marLeft w:val="0"/>
      <w:marRight w:val="0"/>
      <w:marTop w:val="0"/>
      <w:marBottom w:val="0"/>
      <w:divBdr>
        <w:top w:val="none" w:sz="0" w:space="0" w:color="auto"/>
        <w:left w:val="none" w:sz="0" w:space="0" w:color="auto"/>
        <w:bottom w:val="none" w:sz="0" w:space="0" w:color="auto"/>
        <w:right w:val="none" w:sz="0" w:space="0" w:color="auto"/>
      </w:divBdr>
    </w:div>
    <w:div w:id="189031569">
      <w:bodyDiv w:val="1"/>
      <w:marLeft w:val="0"/>
      <w:marRight w:val="0"/>
      <w:marTop w:val="0"/>
      <w:marBottom w:val="0"/>
      <w:divBdr>
        <w:top w:val="none" w:sz="0" w:space="0" w:color="auto"/>
        <w:left w:val="none" w:sz="0" w:space="0" w:color="auto"/>
        <w:bottom w:val="none" w:sz="0" w:space="0" w:color="auto"/>
        <w:right w:val="none" w:sz="0" w:space="0" w:color="auto"/>
      </w:divBdr>
    </w:div>
    <w:div w:id="189034571">
      <w:bodyDiv w:val="1"/>
      <w:marLeft w:val="0"/>
      <w:marRight w:val="0"/>
      <w:marTop w:val="0"/>
      <w:marBottom w:val="0"/>
      <w:divBdr>
        <w:top w:val="none" w:sz="0" w:space="0" w:color="auto"/>
        <w:left w:val="none" w:sz="0" w:space="0" w:color="auto"/>
        <w:bottom w:val="none" w:sz="0" w:space="0" w:color="auto"/>
        <w:right w:val="none" w:sz="0" w:space="0" w:color="auto"/>
      </w:divBdr>
      <w:divsChild>
        <w:div w:id="58303193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9414685">
      <w:bodyDiv w:val="1"/>
      <w:marLeft w:val="0"/>
      <w:marRight w:val="0"/>
      <w:marTop w:val="0"/>
      <w:marBottom w:val="0"/>
      <w:divBdr>
        <w:top w:val="none" w:sz="0" w:space="0" w:color="auto"/>
        <w:left w:val="none" w:sz="0" w:space="0" w:color="auto"/>
        <w:bottom w:val="none" w:sz="0" w:space="0" w:color="auto"/>
        <w:right w:val="none" w:sz="0" w:space="0" w:color="auto"/>
      </w:divBdr>
      <w:divsChild>
        <w:div w:id="1181044880">
          <w:marLeft w:val="0"/>
          <w:marRight w:val="0"/>
          <w:marTop w:val="0"/>
          <w:marBottom w:val="0"/>
          <w:divBdr>
            <w:top w:val="none" w:sz="0" w:space="0" w:color="auto"/>
            <w:left w:val="none" w:sz="0" w:space="0" w:color="auto"/>
            <w:bottom w:val="none" w:sz="0" w:space="0" w:color="auto"/>
            <w:right w:val="none" w:sz="0" w:space="0" w:color="auto"/>
          </w:divBdr>
        </w:div>
      </w:divsChild>
    </w:div>
    <w:div w:id="191304142">
      <w:bodyDiv w:val="1"/>
      <w:marLeft w:val="0"/>
      <w:marRight w:val="0"/>
      <w:marTop w:val="0"/>
      <w:marBottom w:val="0"/>
      <w:divBdr>
        <w:top w:val="none" w:sz="0" w:space="0" w:color="auto"/>
        <w:left w:val="none" w:sz="0" w:space="0" w:color="auto"/>
        <w:bottom w:val="none" w:sz="0" w:space="0" w:color="auto"/>
        <w:right w:val="none" w:sz="0" w:space="0" w:color="auto"/>
      </w:divBdr>
    </w:div>
    <w:div w:id="192882901">
      <w:bodyDiv w:val="1"/>
      <w:marLeft w:val="0"/>
      <w:marRight w:val="0"/>
      <w:marTop w:val="0"/>
      <w:marBottom w:val="0"/>
      <w:divBdr>
        <w:top w:val="none" w:sz="0" w:space="0" w:color="auto"/>
        <w:left w:val="none" w:sz="0" w:space="0" w:color="auto"/>
        <w:bottom w:val="none" w:sz="0" w:space="0" w:color="auto"/>
        <w:right w:val="none" w:sz="0" w:space="0" w:color="auto"/>
      </w:divBdr>
    </w:div>
    <w:div w:id="192960139">
      <w:bodyDiv w:val="1"/>
      <w:marLeft w:val="0"/>
      <w:marRight w:val="0"/>
      <w:marTop w:val="0"/>
      <w:marBottom w:val="0"/>
      <w:divBdr>
        <w:top w:val="none" w:sz="0" w:space="0" w:color="auto"/>
        <w:left w:val="none" w:sz="0" w:space="0" w:color="auto"/>
        <w:bottom w:val="none" w:sz="0" w:space="0" w:color="auto"/>
        <w:right w:val="none" w:sz="0" w:space="0" w:color="auto"/>
      </w:divBdr>
      <w:divsChild>
        <w:div w:id="854418045">
          <w:marLeft w:val="0"/>
          <w:marRight w:val="0"/>
          <w:marTop w:val="0"/>
          <w:marBottom w:val="0"/>
          <w:divBdr>
            <w:top w:val="none" w:sz="0" w:space="0" w:color="auto"/>
            <w:left w:val="none" w:sz="0" w:space="0" w:color="auto"/>
            <w:bottom w:val="none" w:sz="0" w:space="0" w:color="auto"/>
            <w:right w:val="none" w:sz="0" w:space="0" w:color="auto"/>
          </w:divBdr>
          <w:divsChild>
            <w:div w:id="725684233">
              <w:marLeft w:val="0"/>
              <w:marRight w:val="0"/>
              <w:marTop w:val="0"/>
              <w:marBottom w:val="0"/>
              <w:divBdr>
                <w:top w:val="none" w:sz="0" w:space="0" w:color="auto"/>
                <w:left w:val="none" w:sz="0" w:space="0" w:color="auto"/>
                <w:bottom w:val="none" w:sz="0" w:space="0" w:color="auto"/>
                <w:right w:val="none" w:sz="0" w:space="0" w:color="auto"/>
              </w:divBdr>
              <w:divsChild>
                <w:div w:id="1775588349">
                  <w:marLeft w:val="0"/>
                  <w:marRight w:val="0"/>
                  <w:marTop w:val="0"/>
                  <w:marBottom w:val="0"/>
                  <w:divBdr>
                    <w:top w:val="none" w:sz="0" w:space="0" w:color="auto"/>
                    <w:left w:val="none" w:sz="0" w:space="0" w:color="auto"/>
                    <w:bottom w:val="none" w:sz="0" w:space="0" w:color="auto"/>
                    <w:right w:val="none" w:sz="0" w:space="0" w:color="auto"/>
                  </w:divBdr>
                  <w:divsChild>
                    <w:div w:id="1676767483">
                      <w:marLeft w:val="0"/>
                      <w:marRight w:val="0"/>
                      <w:marTop w:val="0"/>
                      <w:marBottom w:val="0"/>
                      <w:divBdr>
                        <w:top w:val="none" w:sz="0" w:space="0" w:color="auto"/>
                        <w:left w:val="none" w:sz="0" w:space="0" w:color="auto"/>
                        <w:bottom w:val="none" w:sz="0" w:space="0" w:color="auto"/>
                        <w:right w:val="none" w:sz="0" w:space="0" w:color="auto"/>
                      </w:divBdr>
                      <w:divsChild>
                        <w:div w:id="1386444364">
                          <w:marLeft w:val="570"/>
                          <w:marRight w:val="720"/>
                          <w:marTop w:val="120"/>
                          <w:marBottom w:val="120"/>
                          <w:divBdr>
                            <w:top w:val="none" w:sz="0" w:space="0" w:color="auto"/>
                            <w:left w:val="none" w:sz="0" w:space="0" w:color="auto"/>
                            <w:bottom w:val="none" w:sz="0" w:space="0" w:color="auto"/>
                            <w:right w:val="none" w:sz="0" w:space="0" w:color="auto"/>
                          </w:divBdr>
                          <w:divsChild>
                            <w:div w:id="656611382">
                              <w:marLeft w:val="0"/>
                              <w:marRight w:val="0"/>
                              <w:marTop w:val="0"/>
                              <w:marBottom w:val="0"/>
                              <w:divBdr>
                                <w:top w:val="none" w:sz="0" w:space="0" w:color="auto"/>
                                <w:left w:val="none" w:sz="0" w:space="0" w:color="auto"/>
                                <w:bottom w:val="none" w:sz="0" w:space="0" w:color="auto"/>
                                <w:right w:val="none" w:sz="0" w:space="0" w:color="auto"/>
                              </w:divBdr>
                              <w:divsChild>
                                <w:div w:id="888877834">
                                  <w:marLeft w:val="0"/>
                                  <w:marRight w:val="0"/>
                                  <w:marTop w:val="0"/>
                                  <w:marBottom w:val="0"/>
                                  <w:divBdr>
                                    <w:top w:val="none" w:sz="0" w:space="0" w:color="auto"/>
                                    <w:left w:val="none" w:sz="0" w:space="0" w:color="auto"/>
                                    <w:bottom w:val="none" w:sz="0" w:space="0" w:color="auto"/>
                                    <w:right w:val="none" w:sz="0" w:space="0" w:color="auto"/>
                                  </w:divBdr>
                                  <w:divsChild>
                                    <w:div w:id="1376810083">
                                      <w:marLeft w:val="0"/>
                                      <w:marRight w:val="0"/>
                                      <w:marTop w:val="0"/>
                                      <w:marBottom w:val="0"/>
                                      <w:divBdr>
                                        <w:top w:val="none" w:sz="0" w:space="0" w:color="auto"/>
                                        <w:left w:val="none" w:sz="0" w:space="0" w:color="auto"/>
                                        <w:bottom w:val="none" w:sz="0" w:space="0" w:color="auto"/>
                                        <w:right w:val="none" w:sz="0" w:space="0" w:color="auto"/>
                                      </w:divBdr>
                                      <w:divsChild>
                                        <w:div w:id="97067996">
                                          <w:marLeft w:val="0"/>
                                          <w:marRight w:val="0"/>
                                          <w:marTop w:val="0"/>
                                          <w:marBottom w:val="0"/>
                                          <w:divBdr>
                                            <w:top w:val="none" w:sz="0" w:space="0" w:color="auto"/>
                                            <w:left w:val="none" w:sz="0" w:space="0" w:color="auto"/>
                                            <w:bottom w:val="none" w:sz="0" w:space="0" w:color="auto"/>
                                            <w:right w:val="none" w:sz="0" w:space="0" w:color="auto"/>
                                          </w:divBdr>
                                          <w:divsChild>
                                            <w:div w:id="977958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65931">
      <w:bodyDiv w:val="1"/>
      <w:marLeft w:val="0"/>
      <w:marRight w:val="0"/>
      <w:marTop w:val="0"/>
      <w:marBottom w:val="0"/>
      <w:divBdr>
        <w:top w:val="none" w:sz="0" w:space="0" w:color="auto"/>
        <w:left w:val="none" w:sz="0" w:space="0" w:color="auto"/>
        <w:bottom w:val="none" w:sz="0" w:space="0" w:color="auto"/>
        <w:right w:val="none" w:sz="0" w:space="0" w:color="auto"/>
      </w:divBdr>
    </w:div>
    <w:div w:id="197082482">
      <w:bodyDiv w:val="1"/>
      <w:marLeft w:val="0"/>
      <w:marRight w:val="0"/>
      <w:marTop w:val="0"/>
      <w:marBottom w:val="0"/>
      <w:divBdr>
        <w:top w:val="none" w:sz="0" w:space="0" w:color="auto"/>
        <w:left w:val="none" w:sz="0" w:space="0" w:color="auto"/>
        <w:bottom w:val="none" w:sz="0" w:space="0" w:color="auto"/>
        <w:right w:val="none" w:sz="0" w:space="0" w:color="auto"/>
      </w:divBdr>
      <w:divsChild>
        <w:div w:id="283847917">
          <w:marLeft w:val="0"/>
          <w:marRight w:val="0"/>
          <w:marTop w:val="0"/>
          <w:marBottom w:val="0"/>
          <w:divBdr>
            <w:top w:val="none" w:sz="0" w:space="0" w:color="auto"/>
            <w:left w:val="none" w:sz="0" w:space="0" w:color="auto"/>
            <w:bottom w:val="none" w:sz="0" w:space="0" w:color="auto"/>
            <w:right w:val="none" w:sz="0" w:space="0" w:color="auto"/>
          </w:divBdr>
          <w:divsChild>
            <w:div w:id="1245527638">
              <w:marLeft w:val="0"/>
              <w:marRight w:val="0"/>
              <w:marTop w:val="150"/>
              <w:marBottom w:val="0"/>
              <w:divBdr>
                <w:top w:val="none" w:sz="0" w:space="0" w:color="auto"/>
                <w:left w:val="none" w:sz="0" w:space="0" w:color="auto"/>
                <w:bottom w:val="none" w:sz="0" w:space="0" w:color="auto"/>
                <w:right w:val="none" w:sz="0" w:space="0" w:color="auto"/>
              </w:divBdr>
              <w:divsChild>
                <w:div w:id="123087243">
                  <w:marLeft w:val="0"/>
                  <w:marRight w:val="0"/>
                  <w:marTop w:val="0"/>
                  <w:marBottom w:val="0"/>
                  <w:divBdr>
                    <w:top w:val="none" w:sz="0" w:space="0" w:color="auto"/>
                    <w:left w:val="none" w:sz="0" w:space="0" w:color="auto"/>
                    <w:bottom w:val="none" w:sz="0" w:space="0" w:color="auto"/>
                    <w:right w:val="none" w:sz="0" w:space="0" w:color="auto"/>
                  </w:divBdr>
                  <w:divsChild>
                    <w:div w:id="1345286179">
                      <w:marLeft w:val="0"/>
                      <w:marRight w:val="0"/>
                      <w:marTop w:val="0"/>
                      <w:marBottom w:val="0"/>
                      <w:divBdr>
                        <w:top w:val="none" w:sz="0" w:space="0" w:color="auto"/>
                        <w:left w:val="none" w:sz="0" w:space="0" w:color="auto"/>
                        <w:bottom w:val="none" w:sz="0" w:space="0" w:color="auto"/>
                        <w:right w:val="none" w:sz="0" w:space="0" w:color="auto"/>
                      </w:divBdr>
                      <w:divsChild>
                        <w:div w:id="7621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5346">
      <w:bodyDiv w:val="1"/>
      <w:marLeft w:val="0"/>
      <w:marRight w:val="0"/>
      <w:marTop w:val="0"/>
      <w:marBottom w:val="0"/>
      <w:divBdr>
        <w:top w:val="none" w:sz="0" w:space="0" w:color="auto"/>
        <w:left w:val="none" w:sz="0" w:space="0" w:color="auto"/>
        <w:bottom w:val="none" w:sz="0" w:space="0" w:color="auto"/>
        <w:right w:val="none" w:sz="0" w:space="0" w:color="auto"/>
      </w:divBdr>
    </w:div>
    <w:div w:id="200216354">
      <w:bodyDiv w:val="1"/>
      <w:marLeft w:val="0"/>
      <w:marRight w:val="0"/>
      <w:marTop w:val="0"/>
      <w:marBottom w:val="0"/>
      <w:divBdr>
        <w:top w:val="none" w:sz="0" w:space="0" w:color="auto"/>
        <w:left w:val="none" w:sz="0" w:space="0" w:color="auto"/>
        <w:bottom w:val="none" w:sz="0" w:space="0" w:color="auto"/>
        <w:right w:val="none" w:sz="0" w:space="0" w:color="auto"/>
      </w:divBdr>
      <w:divsChild>
        <w:div w:id="1189371164">
          <w:marLeft w:val="0"/>
          <w:marRight w:val="0"/>
          <w:marTop w:val="0"/>
          <w:marBottom w:val="0"/>
          <w:divBdr>
            <w:top w:val="none" w:sz="0" w:space="0" w:color="auto"/>
            <w:left w:val="none" w:sz="0" w:space="0" w:color="auto"/>
            <w:bottom w:val="none" w:sz="0" w:space="0" w:color="auto"/>
            <w:right w:val="none" w:sz="0" w:space="0" w:color="auto"/>
          </w:divBdr>
          <w:divsChild>
            <w:div w:id="1583642060">
              <w:marLeft w:val="0"/>
              <w:marRight w:val="0"/>
              <w:marTop w:val="0"/>
              <w:marBottom w:val="0"/>
              <w:divBdr>
                <w:top w:val="none" w:sz="0" w:space="0" w:color="auto"/>
                <w:left w:val="none" w:sz="0" w:space="0" w:color="auto"/>
                <w:bottom w:val="none" w:sz="0" w:space="0" w:color="auto"/>
                <w:right w:val="none" w:sz="0" w:space="0" w:color="auto"/>
              </w:divBdr>
              <w:divsChild>
                <w:div w:id="951865982">
                  <w:marLeft w:val="0"/>
                  <w:marRight w:val="0"/>
                  <w:marTop w:val="0"/>
                  <w:marBottom w:val="0"/>
                  <w:divBdr>
                    <w:top w:val="none" w:sz="0" w:space="0" w:color="auto"/>
                    <w:left w:val="none" w:sz="0" w:space="0" w:color="auto"/>
                    <w:bottom w:val="none" w:sz="0" w:space="0" w:color="auto"/>
                    <w:right w:val="none" w:sz="0" w:space="0" w:color="auto"/>
                  </w:divBdr>
                  <w:divsChild>
                    <w:div w:id="912734857">
                      <w:marLeft w:val="0"/>
                      <w:marRight w:val="0"/>
                      <w:marTop w:val="0"/>
                      <w:marBottom w:val="0"/>
                      <w:divBdr>
                        <w:top w:val="none" w:sz="0" w:space="0" w:color="auto"/>
                        <w:left w:val="none" w:sz="0" w:space="0" w:color="auto"/>
                        <w:bottom w:val="none" w:sz="0" w:space="0" w:color="auto"/>
                        <w:right w:val="none" w:sz="0" w:space="0" w:color="auto"/>
                      </w:divBdr>
                      <w:divsChild>
                        <w:div w:id="17944011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200479696">
      <w:bodyDiv w:val="1"/>
      <w:marLeft w:val="0"/>
      <w:marRight w:val="0"/>
      <w:marTop w:val="0"/>
      <w:marBottom w:val="0"/>
      <w:divBdr>
        <w:top w:val="none" w:sz="0" w:space="0" w:color="auto"/>
        <w:left w:val="none" w:sz="0" w:space="0" w:color="auto"/>
        <w:bottom w:val="none" w:sz="0" w:space="0" w:color="auto"/>
        <w:right w:val="none" w:sz="0" w:space="0" w:color="auto"/>
      </w:divBdr>
      <w:divsChild>
        <w:div w:id="1177695126">
          <w:marLeft w:val="0"/>
          <w:marRight w:val="0"/>
          <w:marTop w:val="0"/>
          <w:marBottom w:val="0"/>
          <w:divBdr>
            <w:top w:val="single" w:sz="2" w:space="0" w:color="AAAAAA"/>
            <w:left w:val="single" w:sz="6" w:space="8" w:color="AAAAAA"/>
            <w:bottom w:val="single" w:sz="2" w:space="0" w:color="AAAAAA"/>
            <w:right w:val="single" w:sz="6" w:space="8" w:color="AAAAAA"/>
          </w:divBdr>
          <w:divsChild>
            <w:div w:id="157692676">
              <w:marLeft w:val="0"/>
              <w:marRight w:val="0"/>
              <w:marTop w:val="0"/>
              <w:marBottom w:val="0"/>
              <w:divBdr>
                <w:top w:val="none" w:sz="0" w:space="0" w:color="auto"/>
                <w:left w:val="none" w:sz="0" w:space="0" w:color="auto"/>
                <w:bottom w:val="none" w:sz="0" w:space="0" w:color="auto"/>
                <w:right w:val="none" w:sz="0" w:space="0" w:color="auto"/>
              </w:divBdr>
              <w:divsChild>
                <w:div w:id="523593922">
                  <w:marLeft w:val="0"/>
                  <w:marRight w:val="0"/>
                  <w:marTop w:val="0"/>
                  <w:marBottom w:val="0"/>
                  <w:divBdr>
                    <w:top w:val="none" w:sz="0" w:space="0" w:color="auto"/>
                    <w:left w:val="none" w:sz="0" w:space="0" w:color="auto"/>
                    <w:bottom w:val="none" w:sz="0" w:space="0" w:color="auto"/>
                    <w:right w:val="none" w:sz="0" w:space="0" w:color="auto"/>
                  </w:divBdr>
                  <w:divsChild>
                    <w:div w:id="1267227165">
                      <w:marLeft w:val="0"/>
                      <w:marRight w:val="2550"/>
                      <w:marTop w:val="0"/>
                      <w:marBottom w:val="48"/>
                      <w:divBdr>
                        <w:top w:val="none" w:sz="0" w:space="0" w:color="auto"/>
                        <w:left w:val="none" w:sz="0" w:space="0" w:color="auto"/>
                        <w:bottom w:val="none" w:sz="0" w:space="0" w:color="auto"/>
                        <w:right w:val="none" w:sz="0" w:space="0" w:color="auto"/>
                      </w:divBdr>
                      <w:divsChild>
                        <w:div w:id="19580997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554685">
      <w:bodyDiv w:val="1"/>
      <w:marLeft w:val="0"/>
      <w:marRight w:val="0"/>
      <w:marTop w:val="0"/>
      <w:marBottom w:val="0"/>
      <w:divBdr>
        <w:top w:val="none" w:sz="0" w:space="0" w:color="auto"/>
        <w:left w:val="none" w:sz="0" w:space="0" w:color="auto"/>
        <w:bottom w:val="none" w:sz="0" w:space="0" w:color="auto"/>
        <w:right w:val="none" w:sz="0" w:space="0" w:color="auto"/>
      </w:divBdr>
      <w:divsChild>
        <w:div w:id="363795935">
          <w:marLeft w:val="0"/>
          <w:marRight w:val="0"/>
          <w:marTop w:val="0"/>
          <w:marBottom w:val="0"/>
          <w:divBdr>
            <w:top w:val="none" w:sz="0" w:space="0" w:color="auto"/>
            <w:left w:val="none" w:sz="0" w:space="0" w:color="auto"/>
            <w:bottom w:val="none" w:sz="0" w:space="0" w:color="auto"/>
            <w:right w:val="none" w:sz="0" w:space="0" w:color="auto"/>
          </w:divBdr>
          <w:divsChild>
            <w:div w:id="972560225">
              <w:marLeft w:val="0"/>
              <w:marRight w:val="0"/>
              <w:marTop w:val="0"/>
              <w:marBottom w:val="0"/>
              <w:divBdr>
                <w:top w:val="none" w:sz="0" w:space="0" w:color="auto"/>
                <w:left w:val="none" w:sz="0" w:space="0" w:color="auto"/>
                <w:bottom w:val="none" w:sz="0" w:space="0" w:color="auto"/>
                <w:right w:val="none" w:sz="0" w:space="0" w:color="auto"/>
              </w:divBdr>
            </w:div>
            <w:div w:id="1951356002">
              <w:marLeft w:val="0"/>
              <w:marRight w:val="0"/>
              <w:marTop w:val="0"/>
              <w:marBottom w:val="0"/>
              <w:divBdr>
                <w:top w:val="none" w:sz="0" w:space="0" w:color="auto"/>
                <w:left w:val="none" w:sz="0" w:space="0" w:color="auto"/>
                <w:bottom w:val="none" w:sz="0" w:space="0" w:color="auto"/>
                <w:right w:val="none" w:sz="0" w:space="0" w:color="auto"/>
              </w:divBdr>
            </w:div>
            <w:div w:id="1684866026">
              <w:marLeft w:val="0"/>
              <w:marRight w:val="0"/>
              <w:marTop w:val="0"/>
              <w:marBottom w:val="0"/>
              <w:divBdr>
                <w:top w:val="none" w:sz="0" w:space="0" w:color="auto"/>
                <w:left w:val="none" w:sz="0" w:space="0" w:color="auto"/>
                <w:bottom w:val="none" w:sz="0" w:space="0" w:color="auto"/>
                <w:right w:val="none" w:sz="0" w:space="0" w:color="auto"/>
              </w:divBdr>
            </w:div>
            <w:div w:id="1008291736">
              <w:marLeft w:val="0"/>
              <w:marRight w:val="0"/>
              <w:marTop w:val="0"/>
              <w:marBottom w:val="0"/>
              <w:divBdr>
                <w:top w:val="none" w:sz="0" w:space="0" w:color="auto"/>
                <w:left w:val="none" w:sz="0" w:space="0" w:color="auto"/>
                <w:bottom w:val="none" w:sz="0" w:space="0" w:color="auto"/>
                <w:right w:val="none" w:sz="0" w:space="0" w:color="auto"/>
              </w:divBdr>
            </w:div>
            <w:div w:id="338242847">
              <w:marLeft w:val="0"/>
              <w:marRight w:val="0"/>
              <w:marTop w:val="0"/>
              <w:marBottom w:val="0"/>
              <w:divBdr>
                <w:top w:val="none" w:sz="0" w:space="0" w:color="auto"/>
                <w:left w:val="none" w:sz="0" w:space="0" w:color="auto"/>
                <w:bottom w:val="none" w:sz="0" w:space="0" w:color="auto"/>
                <w:right w:val="none" w:sz="0" w:space="0" w:color="auto"/>
              </w:divBdr>
            </w:div>
            <w:div w:id="548878423">
              <w:marLeft w:val="0"/>
              <w:marRight w:val="0"/>
              <w:marTop w:val="0"/>
              <w:marBottom w:val="0"/>
              <w:divBdr>
                <w:top w:val="none" w:sz="0" w:space="0" w:color="auto"/>
                <w:left w:val="none" w:sz="0" w:space="0" w:color="auto"/>
                <w:bottom w:val="none" w:sz="0" w:space="0" w:color="auto"/>
                <w:right w:val="none" w:sz="0" w:space="0" w:color="auto"/>
              </w:divBdr>
            </w:div>
            <w:div w:id="5400898">
              <w:marLeft w:val="0"/>
              <w:marRight w:val="0"/>
              <w:marTop w:val="0"/>
              <w:marBottom w:val="0"/>
              <w:divBdr>
                <w:top w:val="none" w:sz="0" w:space="0" w:color="auto"/>
                <w:left w:val="none" w:sz="0" w:space="0" w:color="auto"/>
                <w:bottom w:val="none" w:sz="0" w:space="0" w:color="auto"/>
                <w:right w:val="none" w:sz="0" w:space="0" w:color="auto"/>
              </w:divBdr>
            </w:div>
            <w:div w:id="720592233">
              <w:marLeft w:val="0"/>
              <w:marRight w:val="0"/>
              <w:marTop w:val="0"/>
              <w:marBottom w:val="0"/>
              <w:divBdr>
                <w:top w:val="none" w:sz="0" w:space="0" w:color="auto"/>
                <w:left w:val="none" w:sz="0" w:space="0" w:color="auto"/>
                <w:bottom w:val="none" w:sz="0" w:space="0" w:color="auto"/>
                <w:right w:val="none" w:sz="0" w:space="0" w:color="auto"/>
              </w:divBdr>
            </w:div>
            <w:div w:id="998197789">
              <w:marLeft w:val="0"/>
              <w:marRight w:val="0"/>
              <w:marTop w:val="0"/>
              <w:marBottom w:val="0"/>
              <w:divBdr>
                <w:top w:val="none" w:sz="0" w:space="0" w:color="auto"/>
                <w:left w:val="none" w:sz="0" w:space="0" w:color="auto"/>
                <w:bottom w:val="none" w:sz="0" w:space="0" w:color="auto"/>
                <w:right w:val="none" w:sz="0" w:space="0" w:color="auto"/>
              </w:divBdr>
            </w:div>
            <w:div w:id="1671054337">
              <w:marLeft w:val="0"/>
              <w:marRight w:val="0"/>
              <w:marTop w:val="0"/>
              <w:marBottom w:val="0"/>
              <w:divBdr>
                <w:top w:val="none" w:sz="0" w:space="0" w:color="auto"/>
                <w:left w:val="none" w:sz="0" w:space="0" w:color="auto"/>
                <w:bottom w:val="none" w:sz="0" w:space="0" w:color="auto"/>
                <w:right w:val="none" w:sz="0" w:space="0" w:color="auto"/>
              </w:divBdr>
            </w:div>
            <w:div w:id="74400577">
              <w:marLeft w:val="0"/>
              <w:marRight w:val="0"/>
              <w:marTop w:val="0"/>
              <w:marBottom w:val="0"/>
              <w:divBdr>
                <w:top w:val="none" w:sz="0" w:space="0" w:color="auto"/>
                <w:left w:val="none" w:sz="0" w:space="0" w:color="auto"/>
                <w:bottom w:val="none" w:sz="0" w:space="0" w:color="auto"/>
                <w:right w:val="none" w:sz="0" w:space="0" w:color="auto"/>
              </w:divBdr>
            </w:div>
            <w:div w:id="868181214">
              <w:marLeft w:val="0"/>
              <w:marRight w:val="0"/>
              <w:marTop w:val="0"/>
              <w:marBottom w:val="0"/>
              <w:divBdr>
                <w:top w:val="none" w:sz="0" w:space="0" w:color="auto"/>
                <w:left w:val="none" w:sz="0" w:space="0" w:color="auto"/>
                <w:bottom w:val="none" w:sz="0" w:space="0" w:color="auto"/>
                <w:right w:val="none" w:sz="0" w:space="0" w:color="auto"/>
              </w:divBdr>
            </w:div>
            <w:div w:id="7732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5510">
      <w:bodyDiv w:val="1"/>
      <w:marLeft w:val="0"/>
      <w:marRight w:val="0"/>
      <w:marTop w:val="0"/>
      <w:marBottom w:val="0"/>
      <w:divBdr>
        <w:top w:val="none" w:sz="0" w:space="0" w:color="auto"/>
        <w:left w:val="none" w:sz="0" w:space="0" w:color="auto"/>
        <w:bottom w:val="none" w:sz="0" w:space="0" w:color="auto"/>
        <w:right w:val="none" w:sz="0" w:space="0" w:color="auto"/>
      </w:divBdr>
      <w:divsChild>
        <w:div w:id="1648196887">
          <w:marLeft w:val="0"/>
          <w:marRight w:val="0"/>
          <w:marTop w:val="0"/>
          <w:marBottom w:val="0"/>
          <w:divBdr>
            <w:top w:val="none" w:sz="0" w:space="0" w:color="auto"/>
            <w:left w:val="none" w:sz="0" w:space="0" w:color="auto"/>
            <w:bottom w:val="none" w:sz="0" w:space="0" w:color="auto"/>
            <w:right w:val="none" w:sz="0" w:space="0" w:color="auto"/>
          </w:divBdr>
          <w:divsChild>
            <w:div w:id="1557663177">
              <w:marLeft w:val="0"/>
              <w:marRight w:val="0"/>
              <w:marTop w:val="0"/>
              <w:marBottom w:val="0"/>
              <w:divBdr>
                <w:top w:val="none" w:sz="0" w:space="0" w:color="auto"/>
                <w:left w:val="none" w:sz="0" w:space="0" w:color="auto"/>
                <w:bottom w:val="none" w:sz="0" w:space="0" w:color="auto"/>
                <w:right w:val="none" w:sz="0" w:space="0" w:color="auto"/>
              </w:divBdr>
              <w:divsChild>
                <w:div w:id="786048162">
                  <w:marLeft w:val="0"/>
                  <w:marRight w:val="0"/>
                  <w:marTop w:val="0"/>
                  <w:marBottom w:val="0"/>
                  <w:divBdr>
                    <w:top w:val="none" w:sz="0" w:space="0" w:color="auto"/>
                    <w:left w:val="none" w:sz="0" w:space="0" w:color="auto"/>
                    <w:bottom w:val="none" w:sz="0" w:space="0" w:color="auto"/>
                    <w:right w:val="none" w:sz="0" w:space="0" w:color="auto"/>
                  </w:divBdr>
                  <w:divsChild>
                    <w:div w:id="1622148297">
                      <w:marLeft w:val="0"/>
                      <w:marRight w:val="0"/>
                      <w:marTop w:val="0"/>
                      <w:marBottom w:val="0"/>
                      <w:divBdr>
                        <w:top w:val="none" w:sz="0" w:space="0" w:color="auto"/>
                        <w:left w:val="none" w:sz="0" w:space="0" w:color="auto"/>
                        <w:bottom w:val="none" w:sz="0" w:space="0" w:color="auto"/>
                        <w:right w:val="none" w:sz="0" w:space="0" w:color="auto"/>
                      </w:divBdr>
                      <w:divsChild>
                        <w:div w:id="2030062990">
                          <w:marLeft w:val="0"/>
                          <w:marRight w:val="0"/>
                          <w:marTop w:val="0"/>
                          <w:marBottom w:val="0"/>
                          <w:divBdr>
                            <w:top w:val="none" w:sz="0" w:space="0" w:color="auto"/>
                            <w:left w:val="none" w:sz="0" w:space="0" w:color="auto"/>
                            <w:bottom w:val="none" w:sz="0" w:space="0" w:color="auto"/>
                            <w:right w:val="none" w:sz="0" w:space="0" w:color="auto"/>
                          </w:divBdr>
                          <w:divsChild>
                            <w:div w:id="1240408279">
                              <w:marLeft w:val="570"/>
                              <w:marRight w:val="720"/>
                              <w:marTop w:val="120"/>
                              <w:marBottom w:val="120"/>
                              <w:divBdr>
                                <w:top w:val="none" w:sz="0" w:space="0" w:color="auto"/>
                                <w:left w:val="none" w:sz="0" w:space="0" w:color="auto"/>
                                <w:bottom w:val="none" w:sz="0" w:space="0" w:color="auto"/>
                                <w:right w:val="none" w:sz="0" w:space="0" w:color="auto"/>
                              </w:divBdr>
                              <w:divsChild>
                                <w:div w:id="103765717">
                                  <w:marLeft w:val="0"/>
                                  <w:marRight w:val="0"/>
                                  <w:marTop w:val="0"/>
                                  <w:marBottom w:val="0"/>
                                  <w:divBdr>
                                    <w:top w:val="none" w:sz="0" w:space="0" w:color="auto"/>
                                    <w:left w:val="none" w:sz="0" w:space="0" w:color="auto"/>
                                    <w:bottom w:val="none" w:sz="0" w:space="0" w:color="auto"/>
                                    <w:right w:val="none" w:sz="0" w:space="0" w:color="auto"/>
                                  </w:divBdr>
                                  <w:divsChild>
                                    <w:div w:id="1100445558">
                                      <w:marLeft w:val="0"/>
                                      <w:marRight w:val="0"/>
                                      <w:marTop w:val="0"/>
                                      <w:marBottom w:val="0"/>
                                      <w:divBdr>
                                        <w:top w:val="none" w:sz="0" w:space="0" w:color="auto"/>
                                        <w:left w:val="none" w:sz="0" w:space="0" w:color="auto"/>
                                        <w:bottom w:val="none" w:sz="0" w:space="0" w:color="auto"/>
                                        <w:right w:val="none" w:sz="0" w:space="0" w:color="auto"/>
                                      </w:divBdr>
                                      <w:divsChild>
                                        <w:div w:id="1516385165">
                                          <w:marLeft w:val="0"/>
                                          <w:marRight w:val="0"/>
                                          <w:marTop w:val="0"/>
                                          <w:marBottom w:val="0"/>
                                          <w:divBdr>
                                            <w:top w:val="none" w:sz="0" w:space="0" w:color="auto"/>
                                            <w:left w:val="none" w:sz="0" w:space="0" w:color="auto"/>
                                            <w:bottom w:val="none" w:sz="0" w:space="0" w:color="auto"/>
                                            <w:right w:val="none" w:sz="0" w:space="0" w:color="auto"/>
                                          </w:divBdr>
                                        </w:div>
                                        <w:div w:id="688675741">
                                          <w:marLeft w:val="0"/>
                                          <w:marRight w:val="0"/>
                                          <w:marTop w:val="0"/>
                                          <w:marBottom w:val="150"/>
                                          <w:divBdr>
                                            <w:top w:val="none" w:sz="0" w:space="0" w:color="auto"/>
                                            <w:left w:val="none" w:sz="0" w:space="0" w:color="auto"/>
                                            <w:bottom w:val="none" w:sz="0" w:space="0" w:color="auto"/>
                                            <w:right w:val="none" w:sz="0" w:space="0" w:color="auto"/>
                                          </w:divBdr>
                                          <w:divsChild>
                                            <w:div w:id="1149978302">
                                              <w:marLeft w:val="0"/>
                                              <w:marRight w:val="0"/>
                                              <w:marTop w:val="240"/>
                                              <w:marBottom w:val="240"/>
                                              <w:divBdr>
                                                <w:top w:val="single" w:sz="6" w:space="6" w:color="F2F2F2"/>
                                                <w:left w:val="none" w:sz="0" w:space="0" w:color="auto"/>
                                                <w:bottom w:val="single" w:sz="6" w:space="6" w:color="F2F2F2"/>
                                                <w:right w:val="none" w:sz="0" w:space="0" w:color="auto"/>
                                              </w:divBdr>
                                            </w:div>
                                            <w:div w:id="1590191202">
                                              <w:marLeft w:val="0"/>
                                              <w:marRight w:val="0"/>
                                              <w:marTop w:val="0"/>
                                              <w:marBottom w:val="0"/>
                                              <w:divBdr>
                                                <w:top w:val="none" w:sz="0" w:space="0" w:color="auto"/>
                                                <w:left w:val="none" w:sz="0" w:space="0" w:color="auto"/>
                                                <w:bottom w:val="none" w:sz="0" w:space="0" w:color="auto"/>
                                                <w:right w:val="none" w:sz="0" w:space="0" w:color="auto"/>
                                              </w:divBdr>
                                              <w:divsChild>
                                                <w:div w:id="1673286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78340">
      <w:bodyDiv w:val="1"/>
      <w:marLeft w:val="0"/>
      <w:marRight w:val="0"/>
      <w:marTop w:val="0"/>
      <w:marBottom w:val="0"/>
      <w:divBdr>
        <w:top w:val="none" w:sz="0" w:space="0" w:color="auto"/>
        <w:left w:val="none" w:sz="0" w:space="0" w:color="auto"/>
        <w:bottom w:val="none" w:sz="0" w:space="0" w:color="auto"/>
        <w:right w:val="none" w:sz="0" w:space="0" w:color="auto"/>
      </w:divBdr>
    </w:div>
    <w:div w:id="202258701">
      <w:bodyDiv w:val="1"/>
      <w:marLeft w:val="0"/>
      <w:marRight w:val="0"/>
      <w:marTop w:val="0"/>
      <w:marBottom w:val="0"/>
      <w:divBdr>
        <w:top w:val="none" w:sz="0" w:space="0" w:color="auto"/>
        <w:left w:val="none" w:sz="0" w:space="0" w:color="auto"/>
        <w:bottom w:val="none" w:sz="0" w:space="0" w:color="auto"/>
        <w:right w:val="none" w:sz="0" w:space="0" w:color="auto"/>
      </w:divBdr>
    </w:div>
    <w:div w:id="202375403">
      <w:bodyDiv w:val="1"/>
      <w:marLeft w:val="0"/>
      <w:marRight w:val="0"/>
      <w:marTop w:val="0"/>
      <w:marBottom w:val="0"/>
      <w:divBdr>
        <w:top w:val="none" w:sz="0" w:space="0" w:color="auto"/>
        <w:left w:val="none" w:sz="0" w:space="0" w:color="auto"/>
        <w:bottom w:val="none" w:sz="0" w:space="0" w:color="auto"/>
        <w:right w:val="none" w:sz="0" w:space="0" w:color="auto"/>
      </w:divBdr>
    </w:div>
    <w:div w:id="202638055">
      <w:bodyDiv w:val="1"/>
      <w:marLeft w:val="0"/>
      <w:marRight w:val="0"/>
      <w:marTop w:val="0"/>
      <w:marBottom w:val="0"/>
      <w:divBdr>
        <w:top w:val="none" w:sz="0" w:space="0" w:color="auto"/>
        <w:left w:val="none" w:sz="0" w:space="0" w:color="auto"/>
        <w:bottom w:val="none" w:sz="0" w:space="0" w:color="auto"/>
        <w:right w:val="none" w:sz="0" w:space="0" w:color="auto"/>
      </w:divBdr>
      <w:divsChild>
        <w:div w:id="322202582">
          <w:marLeft w:val="0"/>
          <w:marRight w:val="0"/>
          <w:marTop w:val="0"/>
          <w:marBottom w:val="0"/>
          <w:divBdr>
            <w:top w:val="none" w:sz="0" w:space="0" w:color="auto"/>
            <w:left w:val="none" w:sz="0" w:space="0" w:color="auto"/>
            <w:bottom w:val="none" w:sz="0" w:space="0" w:color="auto"/>
            <w:right w:val="none" w:sz="0" w:space="0" w:color="auto"/>
          </w:divBdr>
          <w:divsChild>
            <w:div w:id="1077287648">
              <w:marLeft w:val="0"/>
              <w:marRight w:val="0"/>
              <w:marTop w:val="0"/>
              <w:marBottom w:val="0"/>
              <w:divBdr>
                <w:top w:val="none" w:sz="0" w:space="0" w:color="auto"/>
                <w:left w:val="none" w:sz="0" w:space="0" w:color="auto"/>
                <w:bottom w:val="none" w:sz="0" w:space="0" w:color="auto"/>
                <w:right w:val="none" w:sz="0" w:space="0" w:color="auto"/>
              </w:divBdr>
              <w:divsChild>
                <w:div w:id="491651244">
                  <w:marLeft w:val="0"/>
                  <w:marRight w:val="0"/>
                  <w:marTop w:val="0"/>
                  <w:marBottom w:val="0"/>
                  <w:divBdr>
                    <w:top w:val="none" w:sz="0" w:space="0" w:color="auto"/>
                    <w:left w:val="none" w:sz="0" w:space="0" w:color="auto"/>
                    <w:bottom w:val="none" w:sz="0" w:space="0" w:color="auto"/>
                    <w:right w:val="none" w:sz="0" w:space="0" w:color="auto"/>
                  </w:divBdr>
                  <w:divsChild>
                    <w:div w:id="742261050">
                      <w:marLeft w:val="0"/>
                      <w:marRight w:val="0"/>
                      <w:marTop w:val="0"/>
                      <w:marBottom w:val="0"/>
                      <w:divBdr>
                        <w:top w:val="none" w:sz="0" w:space="0" w:color="auto"/>
                        <w:left w:val="none" w:sz="0" w:space="0" w:color="auto"/>
                        <w:bottom w:val="none" w:sz="0" w:space="0" w:color="auto"/>
                        <w:right w:val="none" w:sz="0" w:space="0" w:color="auto"/>
                      </w:divBdr>
                      <w:divsChild>
                        <w:div w:id="74014598">
                          <w:marLeft w:val="0"/>
                          <w:marRight w:val="0"/>
                          <w:marTop w:val="0"/>
                          <w:marBottom w:val="0"/>
                          <w:divBdr>
                            <w:top w:val="none" w:sz="0" w:space="0" w:color="auto"/>
                            <w:left w:val="none" w:sz="0" w:space="0" w:color="auto"/>
                            <w:bottom w:val="none" w:sz="0" w:space="0" w:color="auto"/>
                            <w:right w:val="none" w:sz="0" w:space="0" w:color="auto"/>
                          </w:divBdr>
                          <w:divsChild>
                            <w:div w:id="571964488">
                              <w:marLeft w:val="0"/>
                              <w:marRight w:val="0"/>
                              <w:marTop w:val="0"/>
                              <w:marBottom w:val="0"/>
                              <w:divBdr>
                                <w:top w:val="none" w:sz="0" w:space="0" w:color="auto"/>
                                <w:left w:val="none" w:sz="0" w:space="0" w:color="auto"/>
                                <w:bottom w:val="none" w:sz="0" w:space="0" w:color="auto"/>
                                <w:right w:val="none" w:sz="0" w:space="0" w:color="auto"/>
                              </w:divBdr>
                              <w:divsChild>
                                <w:div w:id="892542989">
                                  <w:marLeft w:val="0"/>
                                  <w:marRight w:val="0"/>
                                  <w:marTop w:val="0"/>
                                  <w:marBottom w:val="0"/>
                                  <w:divBdr>
                                    <w:top w:val="none" w:sz="0" w:space="0" w:color="auto"/>
                                    <w:left w:val="none" w:sz="0" w:space="0" w:color="auto"/>
                                    <w:bottom w:val="none" w:sz="0" w:space="0" w:color="auto"/>
                                    <w:right w:val="none" w:sz="0" w:space="0" w:color="auto"/>
                                  </w:divBdr>
                                  <w:divsChild>
                                    <w:div w:id="1667055712">
                                      <w:marLeft w:val="0"/>
                                      <w:marRight w:val="0"/>
                                      <w:marTop w:val="0"/>
                                      <w:marBottom w:val="0"/>
                                      <w:divBdr>
                                        <w:top w:val="none" w:sz="0" w:space="0" w:color="auto"/>
                                        <w:left w:val="none" w:sz="0" w:space="0" w:color="auto"/>
                                        <w:bottom w:val="none" w:sz="0" w:space="0" w:color="auto"/>
                                        <w:right w:val="none" w:sz="0" w:space="0" w:color="auto"/>
                                      </w:divBdr>
                                      <w:divsChild>
                                        <w:div w:id="1333099144">
                                          <w:marLeft w:val="0"/>
                                          <w:marRight w:val="0"/>
                                          <w:marTop w:val="0"/>
                                          <w:marBottom w:val="0"/>
                                          <w:divBdr>
                                            <w:top w:val="none" w:sz="0" w:space="0" w:color="auto"/>
                                            <w:left w:val="none" w:sz="0" w:space="0" w:color="auto"/>
                                            <w:bottom w:val="none" w:sz="0" w:space="0" w:color="auto"/>
                                            <w:right w:val="none" w:sz="0" w:space="0" w:color="auto"/>
                                          </w:divBdr>
                                          <w:divsChild>
                                            <w:div w:id="1699893369">
                                              <w:marLeft w:val="0"/>
                                              <w:marRight w:val="0"/>
                                              <w:marTop w:val="0"/>
                                              <w:marBottom w:val="0"/>
                                              <w:divBdr>
                                                <w:top w:val="none" w:sz="0" w:space="0" w:color="auto"/>
                                                <w:left w:val="none" w:sz="0" w:space="0" w:color="auto"/>
                                                <w:bottom w:val="none" w:sz="0" w:space="0" w:color="auto"/>
                                                <w:right w:val="none" w:sz="0" w:space="0" w:color="auto"/>
                                              </w:divBdr>
                                              <w:divsChild>
                                                <w:div w:id="1030839222">
                                                  <w:marLeft w:val="0"/>
                                                  <w:marRight w:val="0"/>
                                                  <w:marTop w:val="0"/>
                                                  <w:marBottom w:val="0"/>
                                                  <w:divBdr>
                                                    <w:top w:val="none" w:sz="0" w:space="0" w:color="auto"/>
                                                    <w:left w:val="none" w:sz="0" w:space="0" w:color="auto"/>
                                                    <w:bottom w:val="none" w:sz="0" w:space="0" w:color="auto"/>
                                                    <w:right w:val="none" w:sz="0" w:space="0" w:color="auto"/>
                                                  </w:divBdr>
                                                  <w:divsChild>
                                                    <w:div w:id="1521240948">
                                                      <w:marLeft w:val="0"/>
                                                      <w:marRight w:val="0"/>
                                                      <w:marTop w:val="0"/>
                                                      <w:marBottom w:val="0"/>
                                                      <w:divBdr>
                                                        <w:top w:val="none" w:sz="0" w:space="0" w:color="auto"/>
                                                        <w:left w:val="none" w:sz="0" w:space="0" w:color="auto"/>
                                                        <w:bottom w:val="none" w:sz="0" w:space="0" w:color="auto"/>
                                                        <w:right w:val="none" w:sz="0" w:space="0" w:color="auto"/>
                                                      </w:divBdr>
                                                      <w:divsChild>
                                                        <w:div w:id="1253783376">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sChild>
                                                            <w:div w:id="1145661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5126">
      <w:bodyDiv w:val="1"/>
      <w:marLeft w:val="0"/>
      <w:marRight w:val="0"/>
      <w:marTop w:val="0"/>
      <w:marBottom w:val="0"/>
      <w:divBdr>
        <w:top w:val="none" w:sz="0" w:space="0" w:color="auto"/>
        <w:left w:val="none" w:sz="0" w:space="0" w:color="auto"/>
        <w:bottom w:val="none" w:sz="0" w:space="0" w:color="auto"/>
        <w:right w:val="none" w:sz="0" w:space="0" w:color="auto"/>
      </w:divBdr>
      <w:divsChild>
        <w:div w:id="1387029441">
          <w:marLeft w:val="0"/>
          <w:marRight w:val="0"/>
          <w:marTop w:val="0"/>
          <w:marBottom w:val="0"/>
          <w:divBdr>
            <w:top w:val="none" w:sz="0" w:space="0" w:color="auto"/>
            <w:left w:val="none" w:sz="0" w:space="0" w:color="auto"/>
            <w:bottom w:val="none" w:sz="0" w:space="0" w:color="auto"/>
            <w:right w:val="none" w:sz="0" w:space="0" w:color="auto"/>
          </w:divBdr>
          <w:divsChild>
            <w:div w:id="267929460">
              <w:marLeft w:val="0"/>
              <w:marRight w:val="0"/>
              <w:marTop w:val="0"/>
              <w:marBottom w:val="0"/>
              <w:divBdr>
                <w:top w:val="none" w:sz="0" w:space="0" w:color="auto"/>
                <w:left w:val="none" w:sz="0" w:space="0" w:color="auto"/>
                <w:bottom w:val="none" w:sz="0" w:space="0" w:color="auto"/>
                <w:right w:val="none" w:sz="0" w:space="0" w:color="auto"/>
              </w:divBdr>
              <w:divsChild>
                <w:div w:id="1695224233">
                  <w:marLeft w:val="0"/>
                  <w:marRight w:val="0"/>
                  <w:marTop w:val="0"/>
                  <w:marBottom w:val="0"/>
                  <w:divBdr>
                    <w:top w:val="none" w:sz="0" w:space="0" w:color="auto"/>
                    <w:left w:val="none" w:sz="0" w:space="0" w:color="auto"/>
                    <w:bottom w:val="none" w:sz="0" w:space="0" w:color="auto"/>
                    <w:right w:val="none" w:sz="0" w:space="0" w:color="auto"/>
                  </w:divBdr>
                  <w:divsChild>
                    <w:div w:id="1050039328">
                      <w:marLeft w:val="0"/>
                      <w:marRight w:val="0"/>
                      <w:marTop w:val="0"/>
                      <w:marBottom w:val="0"/>
                      <w:divBdr>
                        <w:top w:val="none" w:sz="0" w:space="0" w:color="auto"/>
                        <w:left w:val="none" w:sz="0" w:space="0" w:color="auto"/>
                        <w:bottom w:val="none" w:sz="0" w:space="0" w:color="auto"/>
                        <w:right w:val="none" w:sz="0" w:space="0" w:color="auto"/>
                      </w:divBdr>
                      <w:divsChild>
                        <w:div w:id="1321888640">
                          <w:marLeft w:val="0"/>
                          <w:marRight w:val="0"/>
                          <w:marTop w:val="0"/>
                          <w:marBottom w:val="0"/>
                          <w:divBdr>
                            <w:top w:val="none" w:sz="0" w:space="0" w:color="auto"/>
                            <w:left w:val="none" w:sz="0" w:space="0" w:color="auto"/>
                            <w:bottom w:val="none" w:sz="0" w:space="0" w:color="auto"/>
                            <w:right w:val="none" w:sz="0" w:space="0" w:color="auto"/>
                          </w:divBdr>
                          <w:divsChild>
                            <w:div w:id="121467270">
                              <w:marLeft w:val="0"/>
                              <w:marRight w:val="0"/>
                              <w:marTop w:val="0"/>
                              <w:marBottom w:val="0"/>
                              <w:divBdr>
                                <w:top w:val="none" w:sz="0" w:space="0" w:color="auto"/>
                                <w:left w:val="none" w:sz="0" w:space="0" w:color="auto"/>
                                <w:bottom w:val="none" w:sz="0" w:space="0" w:color="auto"/>
                                <w:right w:val="none" w:sz="0" w:space="0" w:color="auto"/>
                              </w:divBdr>
                              <w:divsChild>
                                <w:div w:id="1229460805">
                                  <w:marLeft w:val="0"/>
                                  <w:marRight w:val="0"/>
                                  <w:marTop w:val="0"/>
                                  <w:marBottom w:val="0"/>
                                  <w:divBdr>
                                    <w:top w:val="none" w:sz="0" w:space="0" w:color="auto"/>
                                    <w:left w:val="none" w:sz="0" w:space="0" w:color="auto"/>
                                    <w:bottom w:val="none" w:sz="0" w:space="0" w:color="auto"/>
                                    <w:right w:val="none" w:sz="0" w:space="0" w:color="auto"/>
                                  </w:divBdr>
                                  <w:divsChild>
                                    <w:div w:id="207185529">
                                      <w:marLeft w:val="0"/>
                                      <w:marRight w:val="0"/>
                                      <w:marTop w:val="0"/>
                                      <w:marBottom w:val="0"/>
                                      <w:divBdr>
                                        <w:top w:val="none" w:sz="0" w:space="0" w:color="auto"/>
                                        <w:left w:val="none" w:sz="0" w:space="0" w:color="auto"/>
                                        <w:bottom w:val="none" w:sz="0" w:space="0" w:color="auto"/>
                                        <w:right w:val="none" w:sz="0" w:space="0" w:color="auto"/>
                                      </w:divBdr>
                                      <w:divsChild>
                                        <w:div w:id="8441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0732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66">
          <w:marLeft w:val="0"/>
          <w:marRight w:val="0"/>
          <w:marTop w:val="0"/>
          <w:marBottom w:val="0"/>
          <w:divBdr>
            <w:top w:val="none" w:sz="0" w:space="0" w:color="auto"/>
            <w:left w:val="none" w:sz="0" w:space="0" w:color="auto"/>
            <w:bottom w:val="none" w:sz="0" w:space="0" w:color="auto"/>
            <w:right w:val="none" w:sz="0" w:space="0" w:color="auto"/>
          </w:divBdr>
          <w:divsChild>
            <w:div w:id="709958620">
              <w:marLeft w:val="0"/>
              <w:marRight w:val="0"/>
              <w:marTop w:val="0"/>
              <w:marBottom w:val="0"/>
              <w:divBdr>
                <w:top w:val="none" w:sz="0" w:space="0" w:color="auto"/>
                <w:left w:val="none" w:sz="0" w:space="0" w:color="auto"/>
                <w:bottom w:val="none" w:sz="0" w:space="0" w:color="auto"/>
                <w:right w:val="none" w:sz="0" w:space="0" w:color="auto"/>
              </w:divBdr>
              <w:divsChild>
                <w:div w:id="1400516696">
                  <w:marLeft w:val="0"/>
                  <w:marRight w:val="0"/>
                  <w:marTop w:val="0"/>
                  <w:marBottom w:val="0"/>
                  <w:divBdr>
                    <w:top w:val="none" w:sz="0" w:space="0" w:color="auto"/>
                    <w:left w:val="none" w:sz="0" w:space="0" w:color="auto"/>
                    <w:bottom w:val="none" w:sz="0" w:space="0" w:color="auto"/>
                    <w:right w:val="none" w:sz="0" w:space="0" w:color="auto"/>
                  </w:divBdr>
                  <w:divsChild>
                    <w:div w:id="1187869136">
                      <w:marLeft w:val="0"/>
                      <w:marRight w:val="0"/>
                      <w:marTop w:val="0"/>
                      <w:marBottom w:val="0"/>
                      <w:divBdr>
                        <w:top w:val="none" w:sz="0" w:space="0" w:color="auto"/>
                        <w:left w:val="none" w:sz="0" w:space="0" w:color="auto"/>
                        <w:bottom w:val="none" w:sz="0" w:space="0" w:color="auto"/>
                        <w:right w:val="none" w:sz="0" w:space="0" w:color="auto"/>
                      </w:divBdr>
                      <w:divsChild>
                        <w:div w:id="2109157451">
                          <w:marLeft w:val="0"/>
                          <w:marRight w:val="0"/>
                          <w:marTop w:val="0"/>
                          <w:marBottom w:val="0"/>
                          <w:divBdr>
                            <w:top w:val="none" w:sz="0" w:space="0" w:color="auto"/>
                            <w:left w:val="none" w:sz="0" w:space="0" w:color="auto"/>
                            <w:bottom w:val="none" w:sz="0" w:space="0" w:color="auto"/>
                            <w:right w:val="none" w:sz="0" w:space="0" w:color="auto"/>
                          </w:divBdr>
                          <w:divsChild>
                            <w:div w:id="1113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85773">
          <w:marLeft w:val="0"/>
          <w:marRight w:val="0"/>
          <w:marTop w:val="0"/>
          <w:marBottom w:val="0"/>
          <w:divBdr>
            <w:top w:val="none" w:sz="0" w:space="0" w:color="auto"/>
            <w:left w:val="none" w:sz="0" w:space="0" w:color="auto"/>
            <w:bottom w:val="none" w:sz="0" w:space="0" w:color="auto"/>
            <w:right w:val="none" w:sz="0" w:space="0" w:color="auto"/>
          </w:divBdr>
          <w:divsChild>
            <w:div w:id="428350298">
              <w:marLeft w:val="0"/>
              <w:marRight w:val="-225"/>
              <w:marTop w:val="0"/>
              <w:marBottom w:val="0"/>
              <w:divBdr>
                <w:top w:val="none" w:sz="0" w:space="0" w:color="auto"/>
                <w:left w:val="none" w:sz="0" w:space="0" w:color="auto"/>
                <w:bottom w:val="none" w:sz="0" w:space="0" w:color="auto"/>
                <w:right w:val="none" w:sz="0" w:space="0" w:color="auto"/>
              </w:divBdr>
              <w:divsChild>
                <w:div w:id="1849516791">
                  <w:marLeft w:val="0"/>
                  <w:marRight w:val="0"/>
                  <w:marTop w:val="0"/>
                  <w:marBottom w:val="0"/>
                  <w:divBdr>
                    <w:top w:val="none" w:sz="0" w:space="0" w:color="auto"/>
                    <w:left w:val="none" w:sz="0" w:space="0" w:color="auto"/>
                    <w:bottom w:val="none" w:sz="0" w:space="0" w:color="auto"/>
                    <w:right w:val="none" w:sz="0" w:space="0" w:color="auto"/>
                  </w:divBdr>
                  <w:divsChild>
                    <w:div w:id="2106152899">
                      <w:marLeft w:val="0"/>
                      <w:marRight w:val="150"/>
                      <w:marTop w:val="0"/>
                      <w:marBottom w:val="75"/>
                      <w:divBdr>
                        <w:top w:val="none" w:sz="0" w:space="0" w:color="auto"/>
                        <w:left w:val="none" w:sz="0" w:space="0" w:color="auto"/>
                        <w:bottom w:val="none" w:sz="0" w:space="0" w:color="auto"/>
                        <w:right w:val="none" w:sz="0" w:space="0" w:color="auto"/>
                      </w:divBdr>
                      <w:divsChild>
                        <w:div w:id="124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3179">
                  <w:marLeft w:val="0"/>
                  <w:marRight w:val="0"/>
                  <w:marTop w:val="0"/>
                  <w:marBottom w:val="0"/>
                  <w:divBdr>
                    <w:top w:val="none" w:sz="0" w:space="0" w:color="auto"/>
                    <w:left w:val="none" w:sz="0" w:space="0" w:color="auto"/>
                    <w:bottom w:val="none" w:sz="0" w:space="0" w:color="auto"/>
                    <w:right w:val="none" w:sz="0" w:space="0" w:color="auto"/>
                  </w:divBdr>
                  <w:divsChild>
                    <w:div w:id="1142843059">
                      <w:marLeft w:val="0"/>
                      <w:marRight w:val="0"/>
                      <w:marTop w:val="0"/>
                      <w:marBottom w:val="0"/>
                      <w:divBdr>
                        <w:top w:val="none" w:sz="0" w:space="0" w:color="auto"/>
                        <w:left w:val="none" w:sz="0" w:space="0" w:color="auto"/>
                        <w:bottom w:val="none" w:sz="0" w:space="0" w:color="auto"/>
                        <w:right w:val="none" w:sz="0" w:space="0" w:color="auto"/>
                      </w:divBdr>
                    </w:div>
                    <w:div w:id="2072077412">
                      <w:marLeft w:val="0"/>
                      <w:marRight w:val="0"/>
                      <w:marTop w:val="0"/>
                      <w:marBottom w:val="0"/>
                      <w:divBdr>
                        <w:top w:val="none" w:sz="0" w:space="0" w:color="auto"/>
                        <w:left w:val="none" w:sz="0" w:space="0" w:color="auto"/>
                        <w:bottom w:val="none" w:sz="0" w:space="0" w:color="auto"/>
                        <w:right w:val="none" w:sz="0" w:space="0" w:color="auto"/>
                      </w:divBdr>
                      <w:divsChild>
                        <w:div w:id="1840578913">
                          <w:marLeft w:val="0"/>
                          <w:marRight w:val="0"/>
                          <w:marTop w:val="0"/>
                          <w:marBottom w:val="0"/>
                          <w:divBdr>
                            <w:top w:val="none" w:sz="0" w:space="0" w:color="auto"/>
                            <w:left w:val="none" w:sz="0" w:space="0" w:color="auto"/>
                            <w:bottom w:val="none" w:sz="0" w:space="0" w:color="auto"/>
                            <w:right w:val="none" w:sz="0" w:space="0" w:color="auto"/>
                          </w:divBdr>
                          <w:divsChild>
                            <w:div w:id="3595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19052">
      <w:bodyDiv w:val="1"/>
      <w:marLeft w:val="0"/>
      <w:marRight w:val="0"/>
      <w:marTop w:val="0"/>
      <w:marBottom w:val="0"/>
      <w:divBdr>
        <w:top w:val="none" w:sz="0" w:space="0" w:color="auto"/>
        <w:left w:val="none" w:sz="0" w:space="0" w:color="auto"/>
        <w:bottom w:val="none" w:sz="0" w:space="0" w:color="auto"/>
        <w:right w:val="none" w:sz="0" w:space="0" w:color="auto"/>
      </w:divBdr>
      <w:divsChild>
        <w:div w:id="1139615393">
          <w:marLeft w:val="0"/>
          <w:marRight w:val="0"/>
          <w:marTop w:val="0"/>
          <w:marBottom w:val="0"/>
          <w:divBdr>
            <w:top w:val="none" w:sz="0" w:space="0" w:color="auto"/>
            <w:left w:val="none" w:sz="0" w:space="0" w:color="auto"/>
            <w:bottom w:val="none" w:sz="0" w:space="0" w:color="auto"/>
            <w:right w:val="none" w:sz="0" w:space="0" w:color="auto"/>
          </w:divBdr>
          <w:divsChild>
            <w:div w:id="849220464">
              <w:marLeft w:val="0"/>
              <w:marRight w:val="0"/>
              <w:marTop w:val="0"/>
              <w:marBottom w:val="0"/>
              <w:divBdr>
                <w:top w:val="none" w:sz="0" w:space="0" w:color="auto"/>
                <w:left w:val="none" w:sz="0" w:space="0" w:color="auto"/>
                <w:bottom w:val="none" w:sz="0" w:space="0" w:color="auto"/>
                <w:right w:val="none" w:sz="0" w:space="0" w:color="auto"/>
              </w:divBdr>
              <w:divsChild>
                <w:div w:id="929242649">
                  <w:marLeft w:val="0"/>
                  <w:marRight w:val="0"/>
                  <w:marTop w:val="0"/>
                  <w:marBottom w:val="0"/>
                  <w:divBdr>
                    <w:top w:val="none" w:sz="0" w:space="0" w:color="auto"/>
                    <w:left w:val="none" w:sz="0" w:space="0" w:color="auto"/>
                    <w:bottom w:val="none" w:sz="0" w:space="0" w:color="auto"/>
                    <w:right w:val="none" w:sz="0" w:space="0" w:color="auto"/>
                  </w:divBdr>
                  <w:divsChild>
                    <w:div w:id="1700815904">
                      <w:marLeft w:val="0"/>
                      <w:marRight w:val="0"/>
                      <w:marTop w:val="0"/>
                      <w:marBottom w:val="0"/>
                      <w:divBdr>
                        <w:top w:val="none" w:sz="0" w:space="0" w:color="auto"/>
                        <w:left w:val="none" w:sz="0" w:space="0" w:color="auto"/>
                        <w:bottom w:val="none" w:sz="0" w:space="0" w:color="auto"/>
                        <w:right w:val="none" w:sz="0" w:space="0" w:color="auto"/>
                      </w:divBdr>
                      <w:divsChild>
                        <w:div w:id="764033130">
                          <w:marLeft w:val="0"/>
                          <w:marRight w:val="0"/>
                          <w:marTop w:val="0"/>
                          <w:marBottom w:val="0"/>
                          <w:divBdr>
                            <w:top w:val="none" w:sz="0" w:space="0" w:color="auto"/>
                            <w:left w:val="none" w:sz="0" w:space="0" w:color="auto"/>
                            <w:bottom w:val="none" w:sz="0" w:space="0" w:color="auto"/>
                            <w:right w:val="none" w:sz="0" w:space="0" w:color="auto"/>
                          </w:divBdr>
                          <w:divsChild>
                            <w:div w:id="584844590">
                              <w:marLeft w:val="0"/>
                              <w:marRight w:val="0"/>
                              <w:marTop w:val="0"/>
                              <w:marBottom w:val="0"/>
                              <w:divBdr>
                                <w:top w:val="none" w:sz="0" w:space="0" w:color="auto"/>
                                <w:left w:val="none" w:sz="0" w:space="0" w:color="auto"/>
                                <w:bottom w:val="none" w:sz="0" w:space="0" w:color="auto"/>
                                <w:right w:val="none" w:sz="0" w:space="0" w:color="auto"/>
                              </w:divBdr>
                              <w:divsChild>
                                <w:div w:id="970287532">
                                  <w:marLeft w:val="0"/>
                                  <w:marRight w:val="0"/>
                                  <w:marTop w:val="0"/>
                                  <w:marBottom w:val="0"/>
                                  <w:divBdr>
                                    <w:top w:val="none" w:sz="0" w:space="0" w:color="auto"/>
                                    <w:left w:val="none" w:sz="0" w:space="0" w:color="auto"/>
                                    <w:bottom w:val="none" w:sz="0" w:space="0" w:color="auto"/>
                                    <w:right w:val="none" w:sz="0" w:space="0" w:color="auto"/>
                                  </w:divBdr>
                                  <w:divsChild>
                                    <w:div w:id="1255748843">
                                      <w:marLeft w:val="0"/>
                                      <w:marRight w:val="0"/>
                                      <w:marTop w:val="0"/>
                                      <w:marBottom w:val="0"/>
                                      <w:divBdr>
                                        <w:top w:val="none" w:sz="0" w:space="0" w:color="auto"/>
                                        <w:left w:val="none" w:sz="0" w:space="0" w:color="auto"/>
                                        <w:bottom w:val="none" w:sz="0" w:space="0" w:color="auto"/>
                                        <w:right w:val="none" w:sz="0" w:space="0" w:color="auto"/>
                                      </w:divBdr>
                                      <w:divsChild>
                                        <w:div w:id="1928732202">
                                          <w:marLeft w:val="0"/>
                                          <w:marRight w:val="0"/>
                                          <w:marTop w:val="0"/>
                                          <w:marBottom w:val="0"/>
                                          <w:divBdr>
                                            <w:top w:val="none" w:sz="0" w:space="0" w:color="auto"/>
                                            <w:left w:val="none" w:sz="0" w:space="0" w:color="auto"/>
                                            <w:bottom w:val="none" w:sz="0" w:space="0" w:color="auto"/>
                                            <w:right w:val="none" w:sz="0" w:space="0" w:color="auto"/>
                                          </w:divBdr>
                                          <w:divsChild>
                                            <w:div w:id="236748638">
                                              <w:marLeft w:val="0"/>
                                              <w:marRight w:val="0"/>
                                              <w:marTop w:val="0"/>
                                              <w:marBottom w:val="0"/>
                                              <w:divBdr>
                                                <w:top w:val="none" w:sz="0" w:space="0" w:color="auto"/>
                                                <w:left w:val="none" w:sz="0" w:space="0" w:color="auto"/>
                                                <w:bottom w:val="none" w:sz="0" w:space="0" w:color="auto"/>
                                                <w:right w:val="none" w:sz="0" w:space="0" w:color="auto"/>
                                              </w:divBdr>
                                              <w:divsChild>
                                                <w:div w:id="198593351">
                                                  <w:marLeft w:val="0"/>
                                                  <w:marRight w:val="0"/>
                                                  <w:marTop w:val="0"/>
                                                  <w:marBottom w:val="0"/>
                                                  <w:divBdr>
                                                    <w:top w:val="none" w:sz="0" w:space="0" w:color="auto"/>
                                                    <w:left w:val="none" w:sz="0" w:space="0" w:color="auto"/>
                                                    <w:bottom w:val="none" w:sz="0" w:space="0" w:color="auto"/>
                                                    <w:right w:val="none" w:sz="0" w:space="0" w:color="auto"/>
                                                  </w:divBdr>
                                                  <w:divsChild>
                                                    <w:div w:id="1557934447">
                                                      <w:marLeft w:val="0"/>
                                                      <w:marRight w:val="0"/>
                                                      <w:marTop w:val="0"/>
                                                      <w:marBottom w:val="0"/>
                                                      <w:divBdr>
                                                        <w:top w:val="none" w:sz="0" w:space="0" w:color="auto"/>
                                                        <w:left w:val="none" w:sz="0" w:space="0" w:color="auto"/>
                                                        <w:bottom w:val="none" w:sz="0" w:space="0" w:color="auto"/>
                                                        <w:right w:val="none" w:sz="0" w:space="0" w:color="auto"/>
                                                      </w:divBdr>
                                                      <w:divsChild>
                                                        <w:div w:id="1936672951">
                                                          <w:marLeft w:val="0"/>
                                                          <w:marRight w:val="0"/>
                                                          <w:marTop w:val="0"/>
                                                          <w:marBottom w:val="0"/>
                                                          <w:divBdr>
                                                            <w:top w:val="none" w:sz="0" w:space="0" w:color="auto"/>
                                                            <w:left w:val="none" w:sz="0" w:space="0" w:color="auto"/>
                                                            <w:bottom w:val="none" w:sz="0" w:space="0" w:color="auto"/>
                                                            <w:right w:val="none" w:sz="0" w:space="0" w:color="auto"/>
                                                          </w:divBdr>
                                                        </w:div>
                                                        <w:div w:id="1546059838">
                                                          <w:marLeft w:val="0"/>
                                                          <w:marRight w:val="0"/>
                                                          <w:marTop w:val="0"/>
                                                          <w:marBottom w:val="0"/>
                                                          <w:divBdr>
                                                            <w:top w:val="none" w:sz="0" w:space="0" w:color="auto"/>
                                                            <w:left w:val="none" w:sz="0" w:space="0" w:color="auto"/>
                                                            <w:bottom w:val="none" w:sz="0" w:space="0" w:color="auto"/>
                                                            <w:right w:val="none" w:sz="0" w:space="0" w:color="auto"/>
                                                          </w:divBdr>
                                                          <w:divsChild>
                                                            <w:div w:id="2030178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54116">
      <w:bodyDiv w:val="1"/>
      <w:marLeft w:val="0"/>
      <w:marRight w:val="0"/>
      <w:marTop w:val="0"/>
      <w:marBottom w:val="0"/>
      <w:divBdr>
        <w:top w:val="none" w:sz="0" w:space="0" w:color="auto"/>
        <w:left w:val="none" w:sz="0" w:space="0" w:color="auto"/>
        <w:bottom w:val="none" w:sz="0" w:space="0" w:color="auto"/>
        <w:right w:val="none" w:sz="0" w:space="0" w:color="auto"/>
      </w:divBdr>
      <w:divsChild>
        <w:div w:id="1041370081">
          <w:marLeft w:val="0"/>
          <w:marRight w:val="0"/>
          <w:marTop w:val="0"/>
          <w:marBottom w:val="0"/>
          <w:divBdr>
            <w:top w:val="none" w:sz="0" w:space="0" w:color="auto"/>
            <w:left w:val="none" w:sz="0" w:space="0" w:color="auto"/>
            <w:bottom w:val="none" w:sz="0" w:space="0" w:color="auto"/>
            <w:right w:val="none" w:sz="0" w:space="0" w:color="auto"/>
          </w:divBdr>
          <w:divsChild>
            <w:div w:id="193616008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3829689">
      <w:bodyDiv w:val="1"/>
      <w:marLeft w:val="0"/>
      <w:marRight w:val="0"/>
      <w:marTop w:val="0"/>
      <w:marBottom w:val="0"/>
      <w:divBdr>
        <w:top w:val="none" w:sz="0" w:space="0" w:color="auto"/>
        <w:left w:val="none" w:sz="0" w:space="0" w:color="auto"/>
        <w:bottom w:val="none" w:sz="0" w:space="0" w:color="auto"/>
        <w:right w:val="none" w:sz="0" w:space="0" w:color="auto"/>
      </w:divBdr>
      <w:divsChild>
        <w:div w:id="203062768">
          <w:marLeft w:val="0"/>
          <w:marRight w:val="0"/>
          <w:marTop w:val="0"/>
          <w:marBottom w:val="0"/>
          <w:divBdr>
            <w:top w:val="none" w:sz="0" w:space="0" w:color="auto"/>
            <w:left w:val="none" w:sz="0" w:space="0" w:color="auto"/>
            <w:bottom w:val="none" w:sz="0" w:space="0" w:color="auto"/>
            <w:right w:val="none" w:sz="0" w:space="0" w:color="auto"/>
          </w:divBdr>
          <w:divsChild>
            <w:div w:id="2136095975">
              <w:marLeft w:val="2"/>
              <w:marRight w:val="2"/>
              <w:marTop w:val="0"/>
              <w:marBottom w:val="0"/>
              <w:divBdr>
                <w:top w:val="none" w:sz="0" w:space="0" w:color="auto"/>
                <w:left w:val="none" w:sz="0" w:space="0" w:color="auto"/>
                <w:bottom w:val="none" w:sz="0" w:space="0" w:color="auto"/>
                <w:right w:val="none" w:sz="0" w:space="0" w:color="auto"/>
              </w:divBdr>
              <w:divsChild>
                <w:div w:id="326594761">
                  <w:marLeft w:val="0"/>
                  <w:marRight w:val="0"/>
                  <w:marTop w:val="0"/>
                  <w:marBottom w:val="0"/>
                  <w:divBdr>
                    <w:top w:val="none" w:sz="0" w:space="0" w:color="auto"/>
                    <w:left w:val="none" w:sz="0" w:space="0" w:color="auto"/>
                    <w:bottom w:val="none" w:sz="0" w:space="0" w:color="auto"/>
                    <w:right w:val="none" w:sz="0" w:space="0" w:color="auto"/>
                  </w:divBdr>
                  <w:divsChild>
                    <w:div w:id="1190029623">
                      <w:marLeft w:val="0"/>
                      <w:marRight w:val="0"/>
                      <w:marTop w:val="0"/>
                      <w:marBottom w:val="0"/>
                      <w:divBdr>
                        <w:top w:val="none" w:sz="0" w:space="0" w:color="auto"/>
                        <w:left w:val="none" w:sz="0" w:space="0" w:color="auto"/>
                        <w:bottom w:val="none" w:sz="0" w:space="0" w:color="auto"/>
                        <w:right w:val="none" w:sz="0" w:space="0" w:color="auto"/>
                      </w:divBdr>
                      <w:divsChild>
                        <w:div w:id="1129937533">
                          <w:marLeft w:val="0"/>
                          <w:marRight w:val="0"/>
                          <w:marTop w:val="0"/>
                          <w:marBottom w:val="0"/>
                          <w:divBdr>
                            <w:top w:val="none" w:sz="0" w:space="0" w:color="auto"/>
                            <w:left w:val="none" w:sz="0" w:space="0" w:color="auto"/>
                            <w:bottom w:val="none" w:sz="0" w:space="0" w:color="auto"/>
                            <w:right w:val="none" w:sz="0" w:space="0" w:color="auto"/>
                          </w:divBdr>
                          <w:divsChild>
                            <w:div w:id="1803187377">
                              <w:marLeft w:val="0"/>
                              <w:marRight w:val="0"/>
                              <w:marTop w:val="0"/>
                              <w:marBottom w:val="0"/>
                              <w:divBdr>
                                <w:top w:val="none" w:sz="0" w:space="0" w:color="auto"/>
                                <w:left w:val="none" w:sz="0" w:space="0" w:color="auto"/>
                                <w:bottom w:val="none" w:sz="0" w:space="0" w:color="auto"/>
                                <w:right w:val="none" w:sz="0" w:space="0" w:color="auto"/>
                              </w:divBdr>
                              <w:divsChild>
                                <w:div w:id="770587625">
                                  <w:marLeft w:val="0"/>
                                  <w:marRight w:val="0"/>
                                  <w:marTop w:val="0"/>
                                  <w:marBottom w:val="0"/>
                                  <w:divBdr>
                                    <w:top w:val="none" w:sz="0" w:space="0" w:color="auto"/>
                                    <w:left w:val="none" w:sz="0" w:space="0" w:color="auto"/>
                                    <w:bottom w:val="none" w:sz="0" w:space="0" w:color="auto"/>
                                    <w:right w:val="none" w:sz="0" w:space="0" w:color="auto"/>
                                  </w:divBdr>
                                  <w:divsChild>
                                    <w:div w:id="1211772043">
                                      <w:marLeft w:val="0"/>
                                      <w:marRight w:val="0"/>
                                      <w:marTop w:val="0"/>
                                      <w:marBottom w:val="0"/>
                                      <w:divBdr>
                                        <w:top w:val="none" w:sz="0" w:space="0" w:color="auto"/>
                                        <w:left w:val="none" w:sz="0" w:space="0" w:color="auto"/>
                                        <w:bottom w:val="none" w:sz="0" w:space="0" w:color="auto"/>
                                        <w:right w:val="none" w:sz="0" w:space="0" w:color="auto"/>
                                      </w:divBdr>
                                      <w:divsChild>
                                        <w:div w:id="1346249199">
                                          <w:marLeft w:val="0"/>
                                          <w:marRight w:val="0"/>
                                          <w:marTop w:val="0"/>
                                          <w:marBottom w:val="0"/>
                                          <w:divBdr>
                                            <w:top w:val="none" w:sz="0" w:space="0" w:color="auto"/>
                                            <w:left w:val="none" w:sz="0" w:space="0" w:color="auto"/>
                                            <w:bottom w:val="none" w:sz="0" w:space="0" w:color="auto"/>
                                            <w:right w:val="none" w:sz="0" w:space="0" w:color="auto"/>
                                          </w:divBdr>
                                          <w:divsChild>
                                            <w:div w:id="1226530171">
                                              <w:marLeft w:val="0"/>
                                              <w:marRight w:val="0"/>
                                              <w:marTop w:val="0"/>
                                              <w:marBottom w:val="0"/>
                                              <w:divBdr>
                                                <w:top w:val="none" w:sz="0" w:space="0" w:color="auto"/>
                                                <w:left w:val="none" w:sz="0" w:space="0" w:color="auto"/>
                                                <w:bottom w:val="none" w:sz="0" w:space="0" w:color="auto"/>
                                                <w:right w:val="none" w:sz="0" w:space="0" w:color="auto"/>
                                              </w:divBdr>
                                            </w:div>
                                          </w:divsChild>
                                        </w:div>
                                        <w:div w:id="1914461727">
                                          <w:marLeft w:val="0"/>
                                          <w:marRight w:val="0"/>
                                          <w:marTop w:val="0"/>
                                          <w:marBottom w:val="0"/>
                                          <w:divBdr>
                                            <w:top w:val="none" w:sz="0" w:space="0" w:color="auto"/>
                                            <w:left w:val="none" w:sz="0" w:space="0" w:color="auto"/>
                                            <w:bottom w:val="none" w:sz="0" w:space="0" w:color="auto"/>
                                            <w:right w:val="none" w:sz="0" w:space="0" w:color="auto"/>
                                          </w:divBdr>
                                          <w:divsChild>
                                            <w:div w:id="1873419696">
                                              <w:marLeft w:val="0"/>
                                              <w:marRight w:val="0"/>
                                              <w:marTop w:val="0"/>
                                              <w:marBottom w:val="0"/>
                                              <w:divBdr>
                                                <w:top w:val="none" w:sz="0" w:space="0" w:color="auto"/>
                                                <w:left w:val="none" w:sz="0" w:space="0" w:color="auto"/>
                                                <w:bottom w:val="none" w:sz="0" w:space="0" w:color="auto"/>
                                                <w:right w:val="none" w:sz="0" w:space="0" w:color="auto"/>
                                              </w:divBdr>
                                            </w:div>
                                          </w:divsChild>
                                        </w:div>
                                        <w:div w:id="1847473733">
                                          <w:marLeft w:val="0"/>
                                          <w:marRight w:val="0"/>
                                          <w:marTop w:val="0"/>
                                          <w:marBottom w:val="0"/>
                                          <w:divBdr>
                                            <w:top w:val="none" w:sz="0" w:space="0" w:color="auto"/>
                                            <w:left w:val="none" w:sz="0" w:space="0" w:color="auto"/>
                                            <w:bottom w:val="none" w:sz="0" w:space="0" w:color="auto"/>
                                            <w:right w:val="none" w:sz="0" w:space="0" w:color="auto"/>
                                          </w:divBdr>
                                          <w:divsChild>
                                            <w:div w:id="2033919935">
                                              <w:marLeft w:val="0"/>
                                              <w:marRight w:val="0"/>
                                              <w:marTop w:val="0"/>
                                              <w:marBottom w:val="0"/>
                                              <w:divBdr>
                                                <w:top w:val="none" w:sz="0" w:space="0" w:color="auto"/>
                                                <w:left w:val="none" w:sz="0" w:space="0" w:color="auto"/>
                                                <w:bottom w:val="none" w:sz="0" w:space="0" w:color="auto"/>
                                                <w:right w:val="none" w:sz="0" w:space="0" w:color="auto"/>
                                              </w:divBdr>
                                            </w:div>
                                          </w:divsChild>
                                        </w:div>
                                        <w:div w:id="611281182">
                                          <w:marLeft w:val="0"/>
                                          <w:marRight w:val="0"/>
                                          <w:marTop w:val="0"/>
                                          <w:marBottom w:val="0"/>
                                          <w:divBdr>
                                            <w:top w:val="none" w:sz="0" w:space="0" w:color="auto"/>
                                            <w:left w:val="none" w:sz="0" w:space="0" w:color="auto"/>
                                            <w:bottom w:val="none" w:sz="0" w:space="0" w:color="auto"/>
                                            <w:right w:val="none" w:sz="0" w:space="0" w:color="auto"/>
                                          </w:divBdr>
                                          <w:divsChild>
                                            <w:div w:id="948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3249">
                                      <w:marLeft w:val="0"/>
                                      <w:marRight w:val="0"/>
                                      <w:marTop w:val="0"/>
                                      <w:marBottom w:val="0"/>
                                      <w:divBdr>
                                        <w:top w:val="none" w:sz="0" w:space="0" w:color="auto"/>
                                        <w:left w:val="none" w:sz="0" w:space="0" w:color="auto"/>
                                        <w:bottom w:val="none" w:sz="0" w:space="0" w:color="auto"/>
                                        <w:right w:val="none" w:sz="0" w:space="0" w:color="auto"/>
                                      </w:divBdr>
                                      <w:divsChild>
                                        <w:div w:id="1946035614">
                                          <w:marLeft w:val="0"/>
                                          <w:marRight w:val="0"/>
                                          <w:marTop w:val="0"/>
                                          <w:marBottom w:val="0"/>
                                          <w:divBdr>
                                            <w:top w:val="none" w:sz="0" w:space="0" w:color="auto"/>
                                            <w:left w:val="none" w:sz="0" w:space="0" w:color="auto"/>
                                            <w:bottom w:val="none" w:sz="0" w:space="0" w:color="auto"/>
                                            <w:right w:val="none" w:sz="0" w:space="0" w:color="auto"/>
                                          </w:divBdr>
                                          <w:divsChild>
                                            <w:div w:id="1698462111">
                                              <w:marLeft w:val="0"/>
                                              <w:marRight w:val="0"/>
                                              <w:marTop w:val="0"/>
                                              <w:marBottom w:val="0"/>
                                              <w:divBdr>
                                                <w:top w:val="none" w:sz="0" w:space="0" w:color="auto"/>
                                                <w:left w:val="none" w:sz="0" w:space="0" w:color="auto"/>
                                                <w:bottom w:val="none" w:sz="0" w:space="0" w:color="auto"/>
                                                <w:right w:val="none" w:sz="0" w:space="0" w:color="auto"/>
                                              </w:divBdr>
                                            </w:div>
                                          </w:divsChild>
                                        </w:div>
                                        <w:div w:id="2040743205">
                                          <w:marLeft w:val="0"/>
                                          <w:marRight w:val="0"/>
                                          <w:marTop w:val="0"/>
                                          <w:marBottom w:val="0"/>
                                          <w:divBdr>
                                            <w:top w:val="none" w:sz="0" w:space="0" w:color="auto"/>
                                            <w:left w:val="none" w:sz="0" w:space="0" w:color="auto"/>
                                            <w:bottom w:val="none" w:sz="0" w:space="0" w:color="auto"/>
                                            <w:right w:val="none" w:sz="0" w:space="0" w:color="auto"/>
                                          </w:divBdr>
                                          <w:divsChild>
                                            <w:div w:id="791902740">
                                              <w:marLeft w:val="0"/>
                                              <w:marRight w:val="0"/>
                                              <w:marTop w:val="0"/>
                                              <w:marBottom w:val="0"/>
                                              <w:divBdr>
                                                <w:top w:val="none" w:sz="0" w:space="0" w:color="auto"/>
                                                <w:left w:val="none" w:sz="0" w:space="0" w:color="auto"/>
                                                <w:bottom w:val="none" w:sz="0" w:space="0" w:color="auto"/>
                                                <w:right w:val="none" w:sz="0" w:space="0" w:color="auto"/>
                                              </w:divBdr>
                                            </w:div>
                                          </w:divsChild>
                                        </w:div>
                                        <w:div w:id="1282300637">
                                          <w:marLeft w:val="0"/>
                                          <w:marRight w:val="0"/>
                                          <w:marTop w:val="0"/>
                                          <w:marBottom w:val="0"/>
                                          <w:divBdr>
                                            <w:top w:val="none" w:sz="0" w:space="0" w:color="auto"/>
                                            <w:left w:val="none" w:sz="0" w:space="0" w:color="auto"/>
                                            <w:bottom w:val="none" w:sz="0" w:space="0" w:color="auto"/>
                                            <w:right w:val="none" w:sz="0" w:space="0" w:color="auto"/>
                                          </w:divBdr>
                                          <w:divsChild>
                                            <w:div w:id="921455239">
                                              <w:marLeft w:val="0"/>
                                              <w:marRight w:val="0"/>
                                              <w:marTop w:val="0"/>
                                              <w:marBottom w:val="0"/>
                                              <w:divBdr>
                                                <w:top w:val="none" w:sz="0" w:space="0" w:color="auto"/>
                                                <w:left w:val="none" w:sz="0" w:space="0" w:color="auto"/>
                                                <w:bottom w:val="none" w:sz="0" w:space="0" w:color="auto"/>
                                                <w:right w:val="none" w:sz="0" w:space="0" w:color="auto"/>
                                              </w:divBdr>
                                            </w:div>
                                          </w:divsChild>
                                        </w:div>
                                        <w:div w:id="947196726">
                                          <w:marLeft w:val="0"/>
                                          <w:marRight w:val="0"/>
                                          <w:marTop w:val="0"/>
                                          <w:marBottom w:val="0"/>
                                          <w:divBdr>
                                            <w:top w:val="none" w:sz="0" w:space="0" w:color="auto"/>
                                            <w:left w:val="none" w:sz="0" w:space="0" w:color="auto"/>
                                            <w:bottom w:val="none" w:sz="0" w:space="0" w:color="auto"/>
                                            <w:right w:val="none" w:sz="0" w:space="0" w:color="auto"/>
                                          </w:divBdr>
                                          <w:divsChild>
                                            <w:div w:id="1986273527">
                                              <w:marLeft w:val="0"/>
                                              <w:marRight w:val="0"/>
                                              <w:marTop w:val="0"/>
                                              <w:marBottom w:val="0"/>
                                              <w:divBdr>
                                                <w:top w:val="none" w:sz="0" w:space="0" w:color="auto"/>
                                                <w:left w:val="none" w:sz="0" w:space="0" w:color="auto"/>
                                                <w:bottom w:val="none" w:sz="0" w:space="0" w:color="auto"/>
                                                <w:right w:val="none" w:sz="0" w:space="0" w:color="auto"/>
                                              </w:divBdr>
                                            </w:div>
                                          </w:divsChild>
                                        </w:div>
                                        <w:div w:id="1169056219">
                                          <w:marLeft w:val="0"/>
                                          <w:marRight w:val="0"/>
                                          <w:marTop w:val="0"/>
                                          <w:marBottom w:val="0"/>
                                          <w:divBdr>
                                            <w:top w:val="none" w:sz="0" w:space="0" w:color="auto"/>
                                            <w:left w:val="none" w:sz="0" w:space="0" w:color="auto"/>
                                            <w:bottom w:val="none" w:sz="0" w:space="0" w:color="auto"/>
                                            <w:right w:val="none" w:sz="0" w:space="0" w:color="auto"/>
                                          </w:divBdr>
                                          <w:divsChild>
                                            <w:div w:id="67070965">
                                              <w:marLeft w:val="0"/>
                                              <w:marRight w:val="0"/>
                                              <w:marTop w:val="0"/>
                                              <w:marBottom w:val="0"/>
                                              <w:divBdr>
                                                <w:top w:val="none" w:sz="0" w:space="0" w:color="auto"/>
                                                <w:left w:val="none" w:sz="0" w:space="0" w:color="auto"/>
                                                <w:bottom w:val="none" w:sz="0" w:space="0" w:color="auto"/>
                                                <w:right w:val="none" w:sz="0" w:space="0" w:color="auto"/>
                                              </w:divBdr>
                                            </w:div>
                                          </w:divsChild>
                                        </w:div>
                                        <w:div w:id="15353063">
                                          <w:marLeft w:val="0"/>
                                          <w:marRight w:val="0"/>
                                          <w:marTop w:val="0"/>
                                          <w:marBottom w:val="0"/>
                                          <w:divBdr>
                                            <w:top w:val="none" w:sz="0" w:space="0" w:color="auto"/>
                                            <w:left w:val="none" w:sz="0" w:space="0" w:color="auto"/>
                                            <w:bottom w:val="none" w:sz="0" w:space="0" w:color="auto"/>
                                            <w:right w:val="none" w:sz="0" w:space="0" w:color="auto"/>
                                          </w:divBdr>
                                          <w:divsChild>
                                            <w:div w:id="5703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12836">
      <w:bodyDiv w:val="1"/>
      <w:marLeft w:val="0"/>
      <w:marRight w:val="0"/>
      <w:marTop w:val="0"/>
      <w:marBottom w:val="0"/>
      <w:divBdr>
        <w:top w:val="none" w:sz="0" w:space="0" w:color="auto"/>
        <w:left w:val="none" w:sz="0" w:space="0" w:color="auto"/>
        <w:bottom w:val="none" w:sz="0" w:space="0" w:color="auto"/>
        <w:right w:val="none" w:sz="0" w:space="0" w:color="auto"/>
      </w:divBdr>
      <w:divsChild>
        <w:div w:id="1367566050">
          <w:marLeft w:val="0"/>
          <w:marRight w:val="0"/>
          <w:marTop w:val="0"/>
          <w:marBottom w:val="0"/>
          <w:divBdr>
            <w:top w:val="none" w:sz="0" w:space="0" w:color="auto"/>
            <w:left w:val="none" w:sz="0" w:space="0" w:color="auto"/>
            <w:bottom w:val="none" w:sz="0" w:space="0" w:color="auto"/>
            <w:right w:val="none" w:sz="0" w:space="0" w:color="auto"/>
          </w:divBdr>
        </w:div>
      </w:divsChild>
    </w:div>
    <w:div w:id="207373706">
      <w:bodyDiv w:val="1"/>
      <w:marLeft w:val="0"/>
      <w:marRight w:val="0"/>
      <w:marTop w:val="0"/>
      <w:marBottom w:val="0"/>
      <w:divBdr>
        <w:top w:val="none" w:sz="0" w:space="0" w:color="auto"/>
        <w:left w:val="none" w:sz="0" w:space="0" w:color="auto"/>
        <w:bottom w:val="none" w:sz="0" w:space="0" w:color="auto"/>
        <w:right w:val="none" w:sz="0" w:space="0" w:color="auto"/>
      </w:divBdr>
      <w:divsChild>
        <w:div w:id="1968002324">
          <w:marLeft w:val="0"/>
          <w:marRight w:val="0"/>
          <w:marTop w:val="0"/>
          <w:marBottom w:val="0"/>
          <w:divBdr>
            <w:top w:val="none" w:sz="0" w:space="0" w:color="auto"/>
            <w:left w:val="none" w:sz="0" w:space="0" w:color="auto"/>
            <w:bottom w:val="none" w:sz="0" w:space="0" w:color="auto"/>
            <w:right w:val="none" w:sz="0" w:space="0" w:color="auto"/>
          </w:divBdr>
          <w:divsChild>
            <w:div w:id="1928924734">
              <w:marLeft w:val="0"/>
              <w:marRight w:val="0"/>
              <w:marTop w:val="0"/>
              <w:marBottom w:val="0"/>
              <w:divBdr>
                <w:top w:val="none" w:sz="0" w:space="0" w:color="auto"/>
                <w:left w:val="none" w:sz="0" w:space="0" w:color="auto"/>
                <w:bottom w:val="none" w:sz="0" w:space="0" w:color="auto"/>
                <w:right w:val="none" w:sz="0" w:space="0" w:color="auto"/>
              </w:divBdr>
              <w:divsChild>
                <w:div w:id="8912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8797">
      <w:bodyDiv w:val="1"/>
      <w:marLeft w:val="0"/>
      <w:marRight w:val="0"/>
      <w:marTop w:val="0"/>
      <w:marBottom w:val="0"/>
      <w:divBdr>
        <w:top w:val="none" w:sz="0" w:space="0" w:color="auto"/>
        <w:left w:val="none" w:sz="0" w:space="0" w:color="auto"/>
        <w:bottom w:val="none" w:sz="0" w:space="0" w:color="auto"/>
        <w:right w:val="none" w:sz="0" w:space="0" w:color="auto"/>
      </w:divBdr>
      <w:divsChild>
        <w:div w:id="1326544167">
          <w:marLeft w:val="0"/>
          <w:marRight w:val="0"/>
          <w:marTop w:val="0"/>
          <w:marBottom w:val="0"/>
          <w:divBdr>
            <w:top w:val="none" w:sz="0" w:space="0" w:color="auto"/>
            <w:left w:val="none" w:sz="0" w:space="0" w:color="auto"/>
            <w:bottom w:val="none" w:sz="0" w:space="0" w:color="auto"/>
            <w:right w:val="none" w:sz="0" w:space="0" w:color="auto"/>
          </w:divBdr>
          <w:divsChild>
            <w:div w:id="1616401015">
              <w:marLeft w:val="0"/>
              <w:marRight w:val="0"/>
              <w:marTop w:val="0"/>
              <w:marBottom w:val="0"/>
              <w:divBdr>
                <w:top w:val="none" w:sz="0" w:space="0" w:color="auto"/>
                <w:left w:val="none" w:sz="0" w:space="0" w:color="auto"/>
                <w:bottom w:val="none" w:sz="0" w:space="0" w:color="auto"/>
                <w:right w:val="none" w:sz="0" w:space="0" w:color="auto"/>
              </w:divBdr>
              <w:divsChild>
                <w:div w:id="1192570719">
                  <w:marLeft w:val="0"/>
                  <w:marRight w:val="0"/>
                  <w:marTop w:val="0"/>
                  <w:marBottom w:val="0"/>
                  <w:divBdr>
                    <w:top w:val="none" w:sz="0" w:space="0" w:color="auto"/>
                    <w:left w:val="none" w:sz="0" w:space="0" w:color="auto"/>
                    <w:bottom w:val="none" w:sz="0" w:space="0" w:color="auto"/>
                    <w:right w:val="none" w:sz="0" w:space="0" w:color="auto"/>
                  </w:divBdr>
                  <w:divsChild>
                    <w:div w:id="458375331">
                      <w:marLeft w:val="0"/>
                      <w:marRight w:val="0"/>
                      <w:marTop w:val="0"/>
                      <w:marBottom w:val="0"/>
                      <w:divBdr>
                        <w:top w:val="none" w:sz="0" w:space="0" w:color="auto"/>
                        <w:left w:val="none" w:sz="0" w:space="0" w:color="auto"/>
                        <w:bottom w:val="none" w:sz="0" w:space="0" w:color="auto"/>
                        <w:right w:val="none" w:sz="0" w:space="0" w:color="auto"/>
                      </w:divBdr>
                      <w:divsChild>
                        <w:div w:id="606280700">
                          <w:marLeft w:val="0"/>
                          <w:marRight w:val="0"/>
                          <w:marTop w:val="0"/>
                          <w:marBottom w:val="0"/>
                          <w:divBdr>
                            <w:top w:val="none" w:sz="0" w:space="0" w:color="auto"/>
                            <w:left w:val="none" w:sz="0" w:space="0" w:color="auto"/>
                            <w:bottom w:val="none" w:sz="0" w:space="0" w:color="auto"/>
                            <w:right w:val="none" w:sz="0" w:space="0" w:color="auto"/>
                          </w:divBdr>
                          <w:divsChild>
                            <w:div w:id="1824154392">
                              <w:marLeft w:val="0"/>
                              <w:marRight w:val="0"/>
                              <w:marTop w:val="0"/>
                              <w:marBottom w:val="0"/>
                              <w:divBdr>
                                <w:top w:val="none" w:sz="0" w:space="0" w:color="auto"/>
                                <w:left w:val="none" w:sz="0" w:space="0" w:color="auto"/>
                                <w:bottom w:val="none" w:sz="0" w:space="0" w:color="auto"/>
                                <w:right w:val="none" w:sz="0" w:space="0" w:color="auto"/>
                              </w:divBdr>
                              <w:divsChild>
                                <w:div w:id="291253010">
                                  <w:marLeft w:val="570"/>
                                  <w:marRight w:val="720"/>
                                  <w:marTop w:val="120"/>
                                  <w:marBottom w:val="120"/>
                                  <w:divBdr>
                                    <w:top w:val="none" w:sz="0" w:space="0" w:color="auto"/>
                                    <w:left w:val="none" w:sz="0" w:space="0" w:color="auto"/>
                                    <w:bottom w:val="none" w:sz="0" w:space="0" w:color="auto"/>
                                    <w:right w:val="none" w:sz="0" w:space="0" w:color="auto"/>
                                  </w:divBdr>
                                  <w:divsChild>
                                    <w:div w:id="675184209">
                                      <w:marLeft w:val="0"/>
                                      <w:marRight w:val="0"/>
                                      <w:marTop w:val="0"/>
                                      <w:marBottom w:val="0"/>
                                      <w:divBdr>
                                        <w:top w:val="none" w:sz="0" w:space="0" w:color="auto"/>
                                        <w:left w:val="none" w:sz="0" w:space="0" w:color="auto"/>
                                        <w:bottom w:val="none" w:sz="0" w:space="0" w:color="auto"/>
                                        <w:right w:val="none" w:sz="0" w:space="0" w:color="auto"/>
                                      </w:divBdr>
                                      <w:divsChild>
                                        <w:div w:id="1259633904">
                                          <w:marLeft w:val="0"/>
                                          <w:marRight w:val="0"/>
                                          <w:marTop w:val="0"/>
                                          <w:marBottom w:val="0"/>
                                          <w:divBdr>
                                            <w:top w:val="none" w:sz="0" w:space="0" w:color="auto"/>
                                            <w:left w:val="none" w:sz="0" w:space="0" w:color="auto"/>
                                            <w:bottom w:val="none" w:sz="0" w:space="0" w:color="auto"/>
                                            <w:right w:val="none" w:sz="0" w:space="0" w:color="auto"/>
                                          </w:divBdr>
                                          <w:divsChild>
                                            <w:div w:id="1834101812">
                                              <w:marLeft w:val="0"/>
                                              <w:marRight w:val="0"/>
                                              <w:marTop w:val="0"/>
                                              <w:marBottom w:val="0"/>
                                              <w:divBdr>
                                                <w:top w:val="none" w:sz="0" w:space="0" w:color="auto"/>
                                                <w:left w:val="none" w:sz="0" w:space="0" w:color="auto"/>
                                                <w:bottom w:val="none" w:sz="0" w:space="0" w:color="auto"/>
                                                <w:right w:val="none" w:sz="0" w:space="0" w:color="auto"/>
                                              </w:divBdr>
                                              <w:divsChild>
                                                <w:div w:id="2102532273">
                                                  <w:marLeft w:val="0"/>
                                                  <w:marRight w:val="0"/>
                                                  <w:marTop w:val="240"/>
                                                  <w:marBottom w:val="240"/>
                                                  <w:divBdr>
                                                    <w:top w:val="single" w:sz="6" w:space="6" w:color="F2F2F2"/>
                                                    <w:left w:val="none" w:sz="0" w:space="0" w:color="auto"/>
                                                    <w:bottom w:val="single" w:sz="6" w:space="6" w:color="F2F2F2"/>
                                                    <w:right w:val="none" w:sz="0" w:space="0" w:color="auto"/>
                                                  </w:divBdr>
                                                </w:div>
                                                <w:div w:id="1945765367">
                                                  <w:marLeft w:val="0"/>
                                                  <w:marRight w:val="0"/>
                                                  <w:marTop w:val="0"/>
                                                  <w:marBottom w:val="0"/>
                                                  <w:divBdr>
                                                    <w:top w:val="none" w:sz="0" w:space="0" w:color="auto"/>
                                                    <w:left w:val="none" w:sz="0" w:space="0" w:color="auto"/>
                                                    <w:bottom w:val="none" w:sz="0" w:space="0" w:color="auto"/>
                                                    <w:right w:val="none" w:sz="0" w:space="0" w:color="auto"/>
                                                  </w:divBdr>
                                                  <w:divsChild>
                                                    <w:div w:id="12847722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35857">
      <w:bodyDiv w:val="1"/>
      <w:marLeft w:val="0"/>
      <w:marRight w:val="0"/>
      <w:marTop w:val="0"/>
      <w:marBottom w:val="0"/>
      <w:divBdr>
        <w:top w:val="none" w:sz="0" w:space="0" w:color="auto"/>
        <w:left w:val="none" w:sz="0" w:space="0" w:color="auto"/>
        <w:bottom w:val="none" w:sz="0" w:space="0" w:color="auto"/>
        <w:right w:val="none" w:sz="0" w:space="0" w:color="auto"/>
      </w:divBdr>
    </w:div>
    <w:div w:id="208690663">
      <w:bodyDiv w:val="1"/>
      <w:marLeft w:val="0"/>
      <w:marRight w:val="0"/>
      <w:marTop w:val="0"/>
      <w:marBottom w:val="0"/>
      <w:divBdr>
        <w:top w:val="none" w:sz="0" w:space="0" w:color="auto"/>
        <w:left w:val="none" w:sz="0" w:space="0" w:color="auto"/>
        <w:bottom w:val="none" w:sz="0" w:space="0" w:color="auto"/>
        <w:right w:val="none" w:sz="0" w:space="0" w:color="auto"/>
      </w:divBdr>
      <w:divsChild>
        <w:div w:id="51587248">
          <w:marLeft w:val="0"/>
          <w:marRight w:val="0"/>
          <w:marTop w:val="0"/>
          <w:marBottom w:val="0"/>
          <w:divBdr>
            <w:top w:val="single" w:sz="2" w:space="0" w:color="AAAAAA"/>
            <w:left w:val="single" w:sz="6" w:space="8" w:color="AAAAAA"/>
            <w:bottom w:val="single" w:sz="2" w:space="0" w:color="AAAAAA"/>
            <w:right w:val="single" w:sz="6" w:space="8" w:color="AAAAAA"/>
          </w:divBdr>
          <w:divsChild>
            <w:div w:id="706953247">
              <w:marLeft w:val="0"/>
              <w:marRight w:val="0"/>
              <w:marTop w:val="0"/>
              <w:marBottom w:val="0"/>
              <w:divBdr>
                <w:top w:val="none" w:sz="0" w:space="0" w:color="auto"/>
                <w:left w:val="none" w:sz="0" w:space="0" w:color="auto"/>
                <w:bottom w:val="none" w:sz="0" w:space="0" w:color="auto"/>
                <w:right w:val="none" w:sz="0" w:space="0" w:color="auto"/>
              </w:divBdr>
              <w:divsChild>
                <w:div w:id="1391879169">
                  <w:marLeft w:val="0"/>
                  <w:marRight w:val="0"/>
                  <w:marTop w:val="0"/>
                  <w:marBottom w:val="0"/>
                  <w:divBdr>
                    <w:top w:val="none" w:sz="0" w:space="0" w:color="auto"/>
                    <w:left w:val="none" w:sz="0" w:space="0" w:color="auto"/>
                    <w:bottom w:val="none" w:sz="0" w:space="0" w:color="auto"/>
                    <w:right w:val="none" w:sz="0" w:space="0" w:color="auto"/>
                  </w:divBdr>
                  <w:divsChild>
                    <w:div w:id="741948899">
                      <w:marLeft w:val="0"/>
                      <w:marRight w:val="2550"/>
                      <w:marTop w:val="0"/>
                      <w:marBottom w:val="48"/>
                      <w:divBdr>
                        <w:top w:val="none" w:sz="0" w:space="0" w:color="auto"/>
                        <w:left w:val="none" w:sz="0" w:space="0" w:color="auto"/>
                        <w:bottom w:val="none" w:sz="0" w:space="0" w:color="auto"/>
                        <w:right w:val="none" w:sz="0" w:space="0" w:color="auto"/>
                      </w:divBdr>
                      <w:divsChild>
                        <w:div w:id="558326415">
                          <w:marLeft w:val="0"/>
                          <w:marRight w:val="0"/>
                          <w:marTop w:val="0"/>
                          <w:marBottom w:val="48"/>
                          <w:divBdr>
                            <w:top w:val="none" w:sz="0" w:space="0" w:color="auto"/>
                            <w:left w:val="none" w:sz="0" w:space="0" w:color="auto"/>
                            <w:bottom w:val="none" w:sz="0" w:space="0" w:color="auto"/>
                            <w:right w:val="none" w:sz="0" w:space="0" w:color="auto"/>
                          </w:divBdr>
                          <w:divsChild>
                            <w:div w:id="168185934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54356">
      <w:bodyDiv w:val="1"/>
      <w:marLeft w:val="0"/>
      <w:marRight w:val="0"/>
      <w:marTop w:val="0"/>
      <w:marBottom w:val="0"/>
      <w:divBdr>
        <w:top w:val="none" w:sz="0" w:space="0" w:color="auto"/>
        <w:left w:val="none" w:sz="0" w:space="0" w:color="auto"/>
        <w:bottom w:val="none" w:sz="0" w:space="0" w:color="auto"/>
        <w:right w:val="none" w:sz="0" w:space="0" w:color="auto"/>
      </w:divBdr>
      <w:divsChild>
        <w:div w:id="2015255268">
          <w:marLeft w:val="0"/>
          <w:marRight w:val="0"/>
          <w:marTop w:val="0"/>
          <w:marBottom w:val="0"/>
          <w:divBdr>
            <w:top w:val="none" w:sz="0" w:space="0" w:color="auto"/>
            <w:left w:val="none" w:sz="0" w:space="0" w:color="auto"/>
            <w:bottom w:val="none" w:sz="0" w:space="0" w:color="auto"/>
            <w:right w:val="none" w:sz="0" w:space="0" w:color="auto"/>
          </w:divBdr>
          <w:divsChild>
            <w:div w:id="945846540">
              <w:marLeft w:val="175"/>
              <w:marRight w:val="0"/>
              <w:marTop w:val="0"/>
              <w:marBottom w:val="0"/>
              <w:divBdr>
                <w:top w:val="none" w:sz="0" w:space="0" w:color="auto"/>
                <w:left w:val="none" w:sz="0" w:space="0" w:color="auto"/>
                <w:bottom w:val="none" w:sz="0" w:space="0" w:color="auto"/>
                <w:right w:val="none" w:sz="0" w:space="0" w:color="auto"/>
              </w:divBdr>
              <w:divsChild>
                <w:div w:id="5380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1424">
      <w:bodyDiv w:val="1"/>
      <w:marLeft w:val="0"/>
      <w:marRight w:val="0"/>
      <w:marTop w:val="0"/>
      <w:marBottom w:val="0"/>
      <w:divBdr>
        <w:top w:val="none" w:sz="0" w:space="0" w:color="auto"/>
        <w:left w:val="none" w:sz="0" w:space="0" w:color="auto"/>
        <w:bottom w:val="none" w:sz="0" w:space="0" w:color="auto"/>
        <w:right w:val="none" w:sz="0" w:space="0" w:color="auto"/>
      </w:divBdr>
    </w:div>
    <w:div w:id="211505749">
      <w:bodyDiv w:val="1"/>
      <w:marLeft w:val="0"/>
      <w:marRight w:val="0"/>
      <w:marTop w:val="0"/>
      <w:marBottom w:val="0"/>
      <w:divBdr>
        <w:top w:val="none" w:sz="0" w:space="0" w:color="auto"/>
        <w:left w:val="none" w:sz="0" w:space="0" w:color="auto"/>
        <w:bottom w:val="none" w:sz="0" w:space="0" w:color="auto"/>
        <w:right w:val="none" w:sz="0" w:space="0" w:color="auto"/>
      </w:divBdr>
    </w:div>
    <w:div w:id="213542303">
      <w:bodyDiv w:val="1"/>
      <w:marLeft w:val="0"/>
      <w:marRight w:val="0"/>
      <w:marTop w:val="0"/>
      <w:marBottom w:val="0"/>
      <w:divBdr>
        <w:top w:val="none" w:sz="0" w:space="0" w:color="auto"/>
        <w:left w:val="none" w:sz="0" w:space="0" w:color="auto"/>
        <w:bottom w:val="none" w:sz="0" w:space="0" w:color="auto"/>
        <w:right w:val="none" w:sz="0" w:space="0" w:color="auto"/>
      </w:divBdr>
      <w:divsChild>
        <w:div w:id="1264415068">
          <w:marLeft w:val="0"/>
          <w:marRight w:val="0"/>
          <w:marTop w:val="0"/>
          <w:marBottom w:val="0"/>
          <w:divBdr>
            <w:top w:val="none" w:sz="0" w:space="0" w:color="auto"/>
            <w:left w:val="none" w:sz="0" w:space="0" w:color="auto"/>
            <w:bottom w:val="none" w:sz="0" w:space="0" w:color="auto"/>
            <w:right w:val="none" w:sz="0" w:space="0" w:color="auto"/>
          </w:divBdr>
          <w:divsChild>
            <w:div w:id="1160972681">
              <w:marLeft w:val="0"/>
              <w:marRight w:val="0"/>
              <w:marTop w:val="0"/>
              <w:marBottom w:val="0"/>
              <w:divBdr>
                <w:top w:val="none" w:sz="0" w:space="0" w:color="auto"/>
                <w:left w:val="none" w:sz="0" w:space="0" w:color="auto"/>
                <w:bottom w:val="none" w:sz="0" w:space="0" w:color="auto"/>
                <w:right w:val="none" w:sz="0" w:space="0" w:color="auto"/>
              </w:divBdr>
              <w:divsChild>
                <w:div w:id="1520117024">
                  <w:marLeft w:val="0"/>
                  <w:marRight w:val="0"/>
                  <w:marTop w:val="0"/>
                  <w:marBottom w:val="0"/>
                  <w:divBdr>
                    <w:top w:val="none" w:sz="0" w:space="0" w:color="auto"/>
                    <w:left w:val="none" w:sz="0" w:space="0" w:color="auto"/>
                    <w:bottom w:val="none" w:sz="0" w:space="0" w:color="auto"/>
                    <w:right w:val="none" w:sz="0" w:space="0" w:color="auto"/>
                  </w:divBdr>
                  <w:divsChild>
                    <w:div w:id="2004237789">
                      <w:marLeft w:val="0"/>
                      <w:marRight w:val="0"/>
                      <w:marTop w:val="0"/>
                      <w:marBottom w:val="0"/>
                      <w:divBdr>
                        <w:top w:val="none" w:sz="0" w:space="0" w:color="auto"/>
                        <w:left w:val="none" w:sz="0" w:space="0" w:color="auto"/>
                        <w:bottom w:val="none" w:sz="0" w:space="0" w:color="auto"/>
                        <w:right w:val="none" w:sz="0" w:space="0" w:color="auto"/>
                      </w:divBdr>
                      <w:divsChild>
                        <w:div w:id="10091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354852">
      <w:bodyDiv w:val="1"/>
      <w:marLeft w:val="0"/>
      <w:marRight w:val="0"/>
      <w:marTop w:val="0"/>
      <w:marBottom w:val="0"/>
      <w:divBdr>
        <w:top w:val="none" w:sz="0" w:space="0" w:color="auto"/>
        <w:left w:val="none" w:sz="0" w:space="0" w:color="auto"/>
        <w:bottom w:val="none" w:sz="0" w:space="0" w:color="auto"/>
        <w:right w:val="none" w:sz="0" w:space="0" w:color="auto"/>
      </w:divBdr>
      <w:divsChild>
        <w:div w:id="1437867564">
          <w:marLeft w:val="0"/>
          <w:marRight w:val="0"/>
          <w:marTop w:val="0"/>
          <w:marBottom w:val="450"/>
          <w:divBdr>
            <w:top w:val="none" w:sz="0" w:space="0" w:color="auto"/>
            <w:left w:val="none" w:sz="0" w:space="0" w:color="auto"/>
            <w:bottom w:val="none" w:sz="0" w:space="0" w:color="auto"/>
            <w:right w:val="none" w:sz="0" w:space="0" w:color="auto"/>
          </w:divBdr>
        </w:div>
      </w:divsChild>
    </w:div>
    <w:div w:id="217203935">
      <w:bodyDiv w:val="1"/>
      <w:marLeft w:val="0"/>
      <w:marRight w:val="0"/>
      <w:marTop w:val="0"/>
      <w:marBottom w:val="0"/>
      <w:divBdr>
        <w:top w:val="none" w:sz="0" w:space="0" w:color="auto"/>
        <w:left w:val="none" w:sz="0" w:space="0" w:color="auto"/>
        <w:bottom w:val="none" w:sz="0" w:space="0" w:color="auto"/>
        <w:right w:val="none" w:sz="0" w:space="0" w:color="auto"/>
      </w:divBdr>
    </w:div>
    <w:div w:id="218708587">
      <w:bodyDiv w:val="1"/>
      <w:marLeft w:val="0"/>
      <w:marRight w:val="0"/>
      <w:marTop w:val="0"/>
      <w:marBottom w:val="0"/>
      <w:divBdr>
        <w:top w:val="none" w:sz="0" w:space="0" w:color="auto"/>
        <w:left w:val="none" w:sz="0" w:space="0" w:color="auto"/>
        <w:bottom w:val="none" w:sz="0" w:space="0" w:color="auto"/>
        <w:right w:val="none" w:sz="0" w:space="0" w:color="auto"/>
      </w:divBdr>
      <w:divsChild>
        <w:div w:id="567106523">
          <w:marLeft w:val="0"/>
          <w:marRight w:val="0"/>
          <w:marTop w:val="0"/>
          <w:marBottom w:val="0"/>
          <w:divBdr>
            <w:top w:val="none" w:sz="0" w:space="0" w:color="auto"/>
            <w:left w:val="none" w:sz="0" w:space="0" w:color="auto"/>
            <w:bottom w:val="none" w:sz="0" w:space="0" w:color="auto"/>
            <w:right w:val="none" w:sz="0" w:space="0" w:color="auto"/>
          </w:divBdr>
        </w:div>
      </w:divsChild>
    </w:div>
    <w:div w:id="220215839">
      <w:bodyDiv w:val="1"/>
      <w:marLeft w:val="0"/>
      <w:marRight w:val="0"/>
      <w:marTop w:val="0"/>
      <w:marBottom w:val="0"/>
      <w:divBdr>
        <w:top w:val="none" w:sz="0" w:space="0" w:color="auto"/>
        <w:left w:val="none" w:sz="0" w:space="0" w:color="auto"/>
        <w:bottom w:val="none" w:sz="0" w:space="0" w:color="auto"/>
        <w:right w:val="none" w:sz="0" w:space="0" w:color="auto"/>
      </w:divBdr>
      <w:divsChild>
        <w:div w:id="791290519">
          <w:marLeft w:val="0"/>
          <w:marRight w:val="0"/>
          <w:marTop w:val="150"/>
          <w:marBottom w:val="0"/>
          <w:divBdr>
            <w:top w:val="none" w:sz="0" w:space="0" w:color="auto"/>
            <w:left w:val="none" w:sz="0" w:space="0" w:color="auto"/>
            <w:bottom w:val="none" w:sz="0" w:space="0" w:color="auto"/>
            <w:right w:val="none" w:sz="0" w:space="0" w:color="auto"/>
          </w:divBdr>
          <w:divsChild>
            <w:div w:id="73017011">
              <w:marLeft w:val="2"/>
              <w:marRight w:val="2"/>
              <w:marTop w:val="0"/>
              <w:marBottom w:val="0"/>
              <w:divBdr>
                <w:top w:val="none" w:sz="0" w:space="0" w:color="auto"/>
                <w:left w:val="none" w:sz="0" w:space="0" w:color="auto"/>
                <w:bottom w:val="none" w:sz="0" w:space="0" w:color="auto"/>
                <w:right w:val="none" w:sz="0" w:space="0" w:color="auto"/>
              </w:divBdr>
              <w:divsChild>
                <w:div w:id="600258153">
                  <w:marLeft w:val="0"/>
                  <w:marRight w:val="0"/>
                  <w:marTop w:val="0"/>
                  <w:marBottom w:val="0"/>
                  <w:divBdr>
                    <w:top w:val="none" w:sz="0" w:space="0" w:color="auto"/>
                    <w:left w:val="none" w:sz="0" w:space="0" w:color="auto"/>
                    <w:bottom w:val="none" w:sz="0" w:space="0" w:color="auto"/>
                    <w:right w:val="none" w:sz="0" w:space="0" w:color="auto"/>
                  </w:divBdr>
                  <w:divsChild>
                    <w:div w:id="441849298">
                      <w:marLeft w:val="0"/>
                      <w:marRight w:val="0"/>
                      <w:marTop w:val="0"/>
                      <w:marBottom w:val="0"/>
                      <w:divBdr>
                        <w:top w:val="none" w:sz="0" w:space="0" w:color="auto"/>
                        <w:left w:val="none" w:sz="0" w:space="0" w:color="auto"/>
                        <w:bottom w:val="none" w:sz="0" w:space="0" w:color="auto"/>
                        <w:right w:val="none" w:sz="0" w:space="0" w:color="auto"/>
                      </w:divBdr>
                      <w:divsChild>
                        <w:div w:id="1228953600">
                          <w:marLeft w:val="0"/>
                          <w:marRight w:val="0"/>
                          <w:marTop w:val="0"/>
                          <w:marBottom w:val="0"/>
                          <w:divBdr>
                            <w:top w:val="none" w:sz="0" w:space="0" w:color="auto"/>
                            <w:left w:val="none" w:sz="0" w:space="0" w:color="auto"/>
                            <w:bottom w:val="none" w:sz="0" w:space="0" w:color="auto"/>
                            <w:right w:val="none" w:sz="0" w:space="0" w:color="auto"/>
                          </w:divBdr>
                          <w:divsChild>
                            <w:div w:id="586113606">
                              <w:marLeft w:val="0"/>
                              <w:marRight w:val="0"/>
                              <w:marTop w:val="0"/>
                              <w:marBottom w:val="0"/>
                              <w:divBdr>
                                <w:top w:val="none" w:sz="0" w:space="0" w:color="auto"/>
                                <w:left w:val="none" w:sz="0" w:space="0" w:color="auto"/>
                                <w:bottom w:val="none" w:sz="0" w:space="0" w:color="auto"/>
                                <w:right w:val="none" w:sz="0" w:space="0" w:color="auto"/>
                              </w:divBdr>
                              <w:divsChild>
                                <w:div w:id="1412042841">
                                  <w:marLeft w:val="0"/>
                                  <w:marRight w:val="0"/>
                                  <w:marTop w:val="0"/>
                                  <w:marBottom w:val="0"/>
                                  <w:divBdr>
                                    <w:top w:val="none" w:sz="0" w:space="0" w:color="auto"/>
                                    <w:left w:val="none" w:sz="0" w:space="0" w:color="auto"/>
                                    <w:bottom w:val="none" w:sz="0" w:space="0" w:color="auto"/>
                                    <w:right w:val="none" w:sz="0" w:space="0" w:color="auto"/>
                                  </w:divBdr>
                                  <w:divsChild>
                                    <w:div w:id="29913935">
                                      <w:marLeft w:val="0"/>
                                      <w:marRight w:val="0"/>
                                      <w:marTop w:val="0"/>
                                      <w:marBottom w:val="0"/>
                                      <w:divBdr>
                                        <w:top w:val="none" w:sz="0" w:space="0" w:color="auto"/>
                                        <w:left w:val="none" w:sz="0" w:space="0" w:color="auto"/>
                                        <w:bottom w:val="none" w:sz="0" w:space="0" w:color="auto"/>
                                        <w:right w:val="none" w:sz="0" w:space="0" w:color="auto"/>
                                      </w:divBdr>
                                      <w:divsChild>
                                        <w:div w:id="1881162059">
                                          <w:marLeft w:val="0"/>
                                          <w:marRight w:val="0"/>
                                          <w:marTop w:val="0"/>
                                          <w:marBottom w:val="0"/>
                                          <w:divBdr>
                                            <w:top w:val="none" w:sz="0" w:space="0" w:color="auto"/>
                                            <w:left w:val="none" w:sz="0" w:space="0" w:color="auto"/>
                                            <w:bottom w:val="none" w:sz="0" w:space="0" w:color="auto"/>
                                            <w:right w:val="none" w:sz="0" w:space="0" w:color="auto"/>
                                          </w:divBdr>
                                          <w:divsChild>
                                            <w:div w:id="1594703637">
                                              <w:marLeft w:val="0"/>
                                              <w:marRight w:val="0"/>
                                              <w:marTop w:val="0"/>
                                              <w:marBottom w:val="0"/>
                                              <w:divBdr>
                                                <w:top w:val="none" w:sz="0" w:space="0" w:color="auto"/>
                                                <w:left w:val="none" w:sz="0" w:space="0" w:color="auto"/>
                                                <w:bottom w:val="none" w:sz="0" w:space="0" w:color="auto"/>
                                                <w:right w:val="none" w:sz="0" w:space="0" w:color="auto"/>
                                              </w:divBdr>
                                              <w:divsChild>
                                                <w:div w:id="354163339">
                                                  <w:marLeft w:val="0"/>
                                                  <w:marRight w:val="0"/>
                                                  <w:marTop w:val="0"/>
                                                  <w:marBottom w:val="0"/>
                                                  <w:divBdr>
                                                    <w:top w:val="none" w:sz="0" w:space="0" w:color="auto"/>
                                                    <w:left w:val="none" w:sz="0" w:space="0" w:color="auto"/>
                                                    <w:bottom w:val="none" w:sz="0" w:space="0" w:color="auto"/>
                                                    <w:right w:val="none" w:sz="0" w:space="0" w:color="auto"/>
                                                  </w:divBdr>
                                                </w:div>
                                              </w:divsChild>
                                            </w:div>
                                            <w:div w:id="1113861435">
                                              <w:marLeft w:val="0"/>
                                              <w:marRight w:val="0"/>
                                              <w:marTop w:val="0"/>
                                              <w:marBottom w:val="0"/>
                                              <w:divBdr>
                                                <w:top w:val="none" w:sz="0" w:space="0" w:color="auto"/>
                                                <w:left w:val="none" w:sz="0" w:space="0" w:color="auto"/>
                                                <w:bottom w:val="none" w:sz="0" w:space="0" w:color="auto"/>
                                                <w:right w:val="none" w:sz="0" w:space="0" w:color="auto"/>
                                              </w:divBdr>
                                              <w:divsChild>
                                                <w:div w:id="721100804">
                                                  <w:marLeft w:val="0"/>
                                                  <w:marRight w:val="0"/>
                                                  <w:marTop w:val="0"/>
                                                  <w:marBottom w:val="0"/>
                                                  <w:divBdr>
                                                    <w:top w:val="none" w:sz="0" w:space="0" w:color="auto"/>
                                                    <w:left w:val="none" w:sz="0" w:space="0" w:color="auto"/>
                                                    <w:bottom w:val="none" w:sz="0" w:space="0" w:color="auto"/>
                                                    <w:right w:val="none" w:sz="0" w:space="0" w:color="auto"/>
                                                  </w:divBdr>
                                                </w:div>
                                              </w:divsChild>
                                            </w:div>
                                            <w:div w:id="393897985">
                                              <w:marLeft w:val="0"/>
                                              <w:marRight w:val="0"/>
                                              <w:marTop w:val="0"/>
                                              <w:marBottom w:val="0"/>
                                              <w:divBdr>
                                                <w:top w:val="none" w:sz="0" w:space="0" w:color="auto"/>
                                                <w:left w:val="none" w:sz="0" w:space="0" w:color="auto"/>
                                                <w:bottom w:val="none" w:sz="0" w:space="0" w:color="auto"/>
                                                <w:right w:val="none" w:sz="0" w:space="0" w:color="auto"/>
                                              </w:divBdr>
                                              <w:divsChild>
                                                <w:div w:id="1298607087">
                                                  <w:marLeft w:val="0"/>
                                                  <w:marRight w:val="0"/>
                                                  <w:marTop w:val="0"/>
                                                  <w:marBottom w:val="0"/>
                                                  <w:divBdr>
                                                    <w:top w:val="none" w:sz="0" w:space="0" w:color="auto"/>
                                                    <w:left w:val="none" w:sz="0" w:space="0" w:color="auto"/>
                                                    <w:bottom w:val="none" w:sz="0" w:space="0" w:color="auto"/>
                                                    <w:right w:val="none" w:sz="0" w:space="0" w:color="auto"/>
                                                  </w:divBdr>
                                                </w:div>
                                              </w:divsChild>
                                            </w:div>
                                            <w:div w:id="592665102">
                                              <w:marLeft w:val="0"/>
                                              <w:marRight w:val="0"/>
                                              <w:marTop w:val="0"/>
                                              <w:marBottom w:val="0"/>
                                              <w:divBdr>
                                                <w:top w:val="none" w:sz="0" w:space="0" w:color="auto"/>
                                                <w:left w:val="none" w:sz="0" w:space="0" w:color="auto"/>
                                                <w:bottom w:val="none" w:sz="0" w:space="0" w:color="auto"/>
                                                <w:right w:val="none" w:sz="0" w:space="0" w:color="auto"/>
                                              </w:divBdr>
                                              <w:divsChild>
                                                <w:div w:id="4339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sChild>
        <w:div w:id="1501777163">
          <w:marLeft w:val="0"/>
          <w:marRight w:val="0"/>
          <w:marTop w:val="0"/>
          <w:marBottom w:val="0"/>
          <w:divBdr>
            <w:top w:val="none" w:sz="0" w:space="0" w:color="auto"/>
            <w:left w:val="none" w:sz="0" w:space="0" w:color="auto"/>
            <w:bottom w:val="none" w:sz="0" w:space="0" w:color="auto"/>
            <w:right w:val="none" w:sz="0" w:space="0" w:color="auto"/>
          </w:divBdr>
          <w:divsChild>
            <w:div w:id="1439182009">
              <w:marLeft w:val="0"/>
              <w:marRight w:val="0"/>
              <w:marTop w:val="0"/>
              <w:marBottom w:val="0"/>
              <w:divBdr>
                <w:top w:val="none" w:sz="0" w:space="0" w:color="auto"/>
                <w:left w:val="none" w:sz="0" w:space="0" w:color="auto"/>
                <w:bottom w:val="none" w:sz="0" w:space="0" w:color="auto"/>
                <w:right w:val="none" w:sz="0" w:space="0" w:color="auto"/>
              </w:divBdr>
              <w:divsChild>
                <w:div w:id="1834105115">
                  <w:marLeft w:val="0"/>
                  <w:marRight w:val="0"/>
                  <w:marTop w:val="0"/>
                  <w:marBottom w:val="0"/>
                  <w:divBdr>
                    <w:top w:val="none" w:sz="0" w:space="0" w:color="auto"/>
                    <w:left w:val="none" w:sz="0" w:space="0" w:color="auto"/>
                    <w:bottom w:val="none" w:sz="0" w:space="0" w:color="auto"/>
                    <w:right w:val="none" w:sz="0" w:space="0" w:color="auto"/>
                  </w:divBdr>
                  <w:divsChild>
                    <w:div w:id="1919634664">
                      <w:marLeft w:val="0"/>
                      <w:marRight w:val="0"/>
                      <w:marTop w:val="0"/>
                      <w:marBottom w:val="0"/>
                      <w:divBdr>
                        <w:top w:val="none" w:sz="0" w:space="0" w:color="auto"/>
                        <w:left w:val="none" w:sz="0" w:space="0" w:color="auto"/>
                        <w:bottom w:val="none" w:sz="0" w:space="0" w:color="auto"/>
                        <w:right w:val="none" w:sz="0" w:space="0" w:color="auto"/>
                      </w:divBdr>
                      <w:divsChild>
                        <w:div w:id="793259157">
                          <w:marLeft w:val="0"/>
                          <w:marRight w:val="0"/>
                          <w:marTop w:val="0"/>
                          <w:marBottom w:val="0"/>
                          <w:divBdr>
                            <w:top w:val="none" w:sz="0" w:space="0" w:color="auto"/>
                            <w:left w:val="none" w:sz="0" w:space="0" w:color="auto"/>
                            <w:bottom w:val="none" w:sz="0" w:space="0" w:color="auto"/>
                            <w:right w:val="none" w:sz="0" w:space="0" w:color="auto"/>
                          </w:divBdr>
                          <w:divsChild>
                            <w:div w:id="17679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609707">
          <w:marLeft w:val="0"/>
          <w:marRight w:val="0"/>
          <w:marTop w:val="0"/>
          <w:marBottom w:val="0"/>
          <w:divBdr>
            <w:top w:val="none" w:sz="0" w:space="0" w:color="auto"/>
            <w:left w:val="none" w:sz="0" w:space="0" w:color="auto"/>
            <w:bottom w:val="none" w:sz="0" w:space="0" w:color="auto"/>
            <w:right w:val="none" w:sz="0" w:space="0" w:color="auto"/>
          </w:divBdr>
          <w:divsChild>
            <w:div w:id="1121455353">
              <w:marLeft w:val="0"/>
              <w:marRight w:val="-225"/>
              <w:marTop w:val="0"/>
              <w:marBottom w:val="0"/>
              <w:divBdr>
                <w:top w:val="none" w:sz="0" w:space="0" w:color="auto"/>
                <w:left w:val="none" w:sz="0" w:space="0" w:color="auto"/>
                <w:bottom w:val="none" w:sz="0" w:space="0" w:color="auto"/>
                <w:right w:val="none" w:sz="0" w:space="0" w:color="auto"/>
              </w:divBdr>
              <w:divsChild>
                <w:div w:id="1506480973">
                  <w:marLeft w:val="0"/>
                  <w:marRight w:val="0"/>
                  <w:marTop w:val="0"/>
                  <w:marBottom w:val="0"/>
                  <w:divBdr>
                    <w:top w:val="none" w:sz="0" w:space="0" w:color="auto"/>
                    <w:left w:val="none" w:sz="0" w:space="0" w:color="auto"/>
                    <w:bottom w:val="none" w:sz="0" w:space="0" w:color="auto"/>
                    <w:right w:val="none" w:sz="0" w:space="0" w:color="auto"/>
                  </w:divBdr>
                  <w:divsChild>
                    <w:div w:id="2042514716">
                      <w:marLeft w:val="0"/>
                      <w:marRight w:val="150"/>
                      <w:marTop w:val="0"/>
                      <w:marBottom w:val="75"/>
                      <w:divBdr>
                        <w:top w:val="none" w:sz="0" w:space="0" w:color="auto"/>
                        <w:left w:val="none" w:sz="0" w:space="0" w:color="auto"/>
                        <w:bottom w:val="none" w:sz="0" w:space="0" w:color="auto"/>
                        <w:right w:val="none" w:sz="0" w:space="0" w:color="auto"/>
                      </w:divBdr>
                      <w:divsChild>
                        <w:div w:id="11716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6678">
                  <w:marLeft w:val="0"/>
                  <w:marRight w:val="0"/>
                  <w:marTop w:val="0"/>
                  <w:marBottom w:val="0"/>
                  <w:divBdr>
                    <w:top w:val="none" w:sz="0" w:space="0" w:color="auto"/>
                    <w:left w:val="none" w:sz="0" w:space="0" w:color="auto"/>
                    <w:bottom w:val="none" w:sz="0" w:space="0" w:color="auto"/>
                    <w:right w:val="none" w:sz="0" w:space="0" w:color="auto"/>
                  </w:divBdr>
                  <w:divsChild>
                    <w:div w:id="1949654043">
                      <w:marLeft w:val="0"/>
                      <w:marRight w:val="0"/>
                      <w:marTop w:val="0"/>
                      <w:marBottom w:val="0"/>
                      <w:divBdr>
                        <w:top w:val="none" w:sz="0" w:space="0" w:color="auto"/>
                        <w:left w:val="none" w:sz="0" w:space="0" w:color="auto"/>
                        <w:bottom w:val="none" w:sz="0" w:space="0" w:color="auto"/>
                        <w:right w:val="none" w:sz="0" w:space="0" w:color="auto"/>
                      </w:divBdr>
                    </w:div>
                    <w:div w:id="1862473126">
                      <w:marLeft w:val="0"/>
                      <w:marRight w:val="0"/>
                      <w:marTop w:val="0"/>
                      <w:marBottom w:val="0"/>
                      <w:divBdr>
                        <w:top w:val="none" w:sz="0" w:space="0" w:color="auto"/>
                        <w:left w:val="none" w:sz="0" w:space="0" w:color="auto"/>
                        <w:bottom w:val="none" w:sz="0" w:space="0" w:color="auto"/>
                        <w:right w:val="none" w:sz="0" w:space="0" w:color="auto"/>
                      </w:divBdr>
                      <w:divsChild>
                        <w:div w:id="1565094763">
                          <w:marLeft w:val="0"/>
                          <w:marRight w:val="0"/>
                          <w:marTop w:val="0"/>
                          <w:marBottom w:val="0"/>
                          <w:divBdr>
                            <w:top w:val="none" w:sz="0" w:space="0" w:color="auto"/>
                            <w:left w:val="none" w:sz="0" w:space="0" w:color="auto"/>
                            <w:bottom w:val="none" w:sz="0" w:space="0" w:color="auto"/>
                            <w:right w:val="none" w:sz="0" w:space="0" w:color="auto"/>
                          </w:divBdr>
                          <w:divsChild>
                            <w:div w:id="500237743">
                              <w:marLeft w:val="0"/>
                              <w:marRight w:val="0"/>
                              <w:marTop w:val="0"/>
                              <w:marBottom w:val="0"/>
                              <w:divBdr>
                                <w:top w:val="none" w:sz="0" w:space="0" w:color="auto"/>
                                <w:left w:val="none" w:sz="0" w:space="0" w:color="auto"/>
                                <w:bottom w:val="none" w:sz="0" w:space="0" w:color="auto"/>
                                <w:right w:val="none" w:sz="0" w:space="0" w:color="auto"/>
                              </w:divBdr>
                            </w:div>
                            <w:div w:id="3025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5997">
      <w:bodyDiv w:val="1"/>
      <w:marLeft w:val="0"/>
      <w:marRight w:val="0"/>
      <w:marTop w:val="0"/>
      <w:marBottom w:val="0"/>
      <w:divBdr>
        <w:top w:val="none" w:sz="0" w:space="0" w:color="auto"/>
        <w:left w:val="none" w:sz="0" w:space="0" w:color="auto"/>
        <w:bottom w:val="none" w:sz="0" w:space="0" w:color="auto"/>
        <w:right w:val="none" w:sz="0" w:space="0" w:color="auto"/>
      </w:divBdr>
    </w:div>
    <w:div w:id="222954618">
      <w:bodyDiv w:val="1"/>
      <w:marLeft w:val="0"/>
      <w:marRight w:val="0"/>
      <w:marTop w:val="0"/>
      <w:marBottom w:val="0"/>
      <w:divBdr>
        <w:top w:val="none" w:sz="0" w:space="0" w:color="auto"/>
        <w:left w:val="none" w:sz="0" w:space="0" w:color="auto"/>
        <w:bottom w:val="none" w:sz="0" w:space="0" w:color="auto"/>
        <w:right w:val="none" w:sz="0" w:space="0" w:color="auto"/>
      </w:divBdr>
    </w:div>
    <w:div w:id="223180559">
      <w:bodyDiv w:val="1"/>
      <w:marLeft w:val="0"/>
      <w:marRight w:val="0"/>
      <w:marTop w:val="0"/>
      <w:marBottom w:val="0"/>
      <w:divBdr>
        <w:top w:val="none" w:sz="0" w:space="0" w:color="auto"/>
        <w:left w:val="none" w:sz="0" w:space="0" w:color="auto"/>
        <w:bottom w:val="none" w:sz="0" w:space="0" w:color="auto"/>
        <w:right w:val="none" w:sz="0" w:space="0" w:color="auto"/>
      </w:divBdr>
      <w:divsChild>
        <w:div w:id="898444918">
          <w:marLeft w:val="0"/>
          <w:marRight w:val="0"/>
          <w:marTop w:val="0"/>
          <w:marBottom w:val="0"/>
          <w:divBdr>
            <w:top w:val="none" w:sz="0" w:space="0" w:color="auto"/>
            <w:left w:val="none" w:sz="0" w:space="0" w:color="auto"/>
            <w:bottom w:val="none" w:sz="0" w:space="0" w:color="auto"/>
            <w:right w:val="none" w:sz="0" w:space="0" w:color="auto"/>
          </w:divBdr>
          <w:divsChild>
            <w:div w:id="1352418280">
              <w:marLeft w:val="0"/>
              <w:marRight w:val="0"/>
              <w:marTop w:val="0"/>
              <w:marBottom w:val="0"/>
              <w:divBdr>
                <w:top w:val="none" w:sz="0" w:space="0" w:color="auto"/>
                <w:left w:val="none" w:sz="0" w:space="0" w:color="auto"/>
                <w:bottom w:val="none" w:sz="0" w:space="0" w:color="auto"/>
                <w:right w:val="none" w:sz="0" w:space="0" w:color="auto"/>
              </w:divBdr>
              <w:divsChild>
                <w:div w:id="2017028309">
                  <w:marLeft w:val="0"/>
                  <w:marRight w:val="0"/>
                  <w:marTop w:val="0"/>
                  <w:marBottom w:val="0"/>
                  <w:divBdr>
                    <w:top w:val="none" w:sz="0" w:space="0" w:color="auto"/>
                    <w:left w:val="none" w:sz="0" w:space="0" w:color="auto"/>
                    <w:bottom w:val="none" w:sz="0" w:space="0" w:color="auto"/>
                    <w:right w:val="none" w:sz="0" w:space="0" w:color="auto"/>
                  </w:divBdr>
                  <w:divsChild>
                    <w:div w:id="824198789">
                      <w:marLeft w:val="0"/>
                      <w:marRight w:val="0"/>
                      <w:marTop w:val="0"/>
                      <w:marBottom w:val="0"/>
                      <w:divBdr>
                        <w:top w:val="none" w:sz="0" w:space="0" w:color="auto"/>
                        <w:left w:val="none" w:sz="0" w:space="0" w:color="auto"/>
                        <w:bottom w:val="none" w:sz="0" w:space="0" w:color="auto"/>
                        <w:right w:val="none" w:sz="0" w:space="0" w:color="auto"/>
                      </w:divBdr>
                      <w:divsChild>
                        <w:div w:id="1697804470">
                          <w:marLeft w:val="0"/>
                          <w:marRight w:val="0"/>
                          <w:marTop w:val="0"/>
                          <w:marBottom w:val="0"/>
                          <w:divBdr>
                            <w:top w:val="none" w:sz="0" w:space="0" w:color="auto"/>
                            <w:left w:val="none" w:sz="0" w:space="0" w:color="auto"/>
                            <w:bottom w:val="none" w:sz="0" w:space="0" w:color="auto"/>
                            <w:right w:val="none" w:sz="0" w:space="0" w:color="auto"/>
                          </w:divBdr>
                          <w:divsChild>
                            <w:div w:id="971591838">
                              <w:marLeft w:val="570"/>
                              <w:marRight w:val="720"/>
                              <w:marTop w:val="120"/>
                              <w:marBottom w:val="120"/>
                              <w:divBdr>
                                <w:top w:val="none" w:sz="0" w:space="0" w:color="auto"/>
                                <w:left w:val="none" w:sz="0" w:space="0" w:color="auto"/>
                                <w:bottom w:val="none" w:sz="0" w:space="0" w:color="auto"/>
                                <w:right w:val="none" w:sz="0" w:space="0" w:color="auto"/>
                              </w:divBdr>
                              <w:divsChild>
                                <w:div w:id="4864903">
                                  <w:marLeft w:val="0"/>
                                  <w:marRight w:val="0"/>
                                  <w:marTop w:val="0"/>
                                  <w:marBottom w:val="0"/>
                                  <w:divBdr>
                                    <w:top w:val="none" w:sz="0" w:space="0" w:color="auto"/>
                                    <w:left w:val="none" w:sz="0" w:space="0" w:color="auto"/>
                                    <w:bottom w:val="none" w:sz="0" w:space="0" w:color="auto"/>
                                    <w:right w:val="none" w:sz="0" w:space="0" w:color="auto"/>
                                  </w:divBdr>
                                  <w:divsChild>
                                    <w:div w:id="798497527">
                                      <w:marLeft w:val="0"/>
                                      <w:marRight w:val="0"/>
                                      <w:marTop w:val="0"/>
                                      <w:marBottom w:val="0"/>
                                      <w:divBdr>
                                        <w:top w:val="none" w:sz="0" w:space="0" w:color="auto"/>
                                        <w:left w:val="none" w:sz="0" w:space="0" w:color="auto"/>
                                        <w:bottom w:val="none" w:sz="0" w:space="0" w:color="auto"/>
                                        <w:right w:val="none" w:sz="0" w:space="0" w:color="auto"/>
                                      </w:divBdr>
                                      <w:divsChild>
                                        <w:div w:id="457992307">
                                          <w:marLeft w:val="0"/>
                                          <w:marRight w:val="0"/>
                                          <w:marTop w:val="0"/>
                                          <w:marBottom w:val="150"/>
                                          <w:divBdr>
                                            <w:top w:val="none" w:sz="0" w:space="0" w:color="auto"/>
                                            <w:left w:val="none" w:sz="0" w:space="0" w:color="auto"/>
                                            <w:bottom w:val="none" w:sz="0" w:space="0" w:color="auto"/>
                                            <w:right w:val="none" w:sz="0" w:space="0" w:color="auto"/>
                                          </w:divBdr>
                                          <w:divsChild>
                                            <w:div w:id="222105482">
                                              <w:marLeft w:val="0"/>
                                              <w:marRight w:val="0"/>
                                              <w:marTop w:val="0"/>
                                              <w:marBottom w:val="0"/>
                                              <w:divBdr>
                                                <w:top w:val="none" w:sz="0" w:space="0" w:color="auto"/>
                                                <w:left w:val="none" w:sz="0" w:space="0" w:color="auto"/>
                                                <w:bottom w:val="none" w:sz="0" w:space="0" w:color="auto"/>
                                                <w:right w:val="none" w:sz="0" w:space="0" w:color="auto"/>
                                              </w:divBdr>
                                              <w:divsChild>
                                                <w:div w:id="2093308951">
                                                  <w:marLeft w:val="0"/>
                                                  <w:marRight w:val="0"/>
                                                  <w:marTop w:val="0"/>
                                                  <w:marBottom w:val="240"/>
                                                  <w:divBdr>
                                                    <w:top w:val="none" w:sz="0" w:space="0" w:color="auto"/>
                                                    <w:left w:val="none" w:sz="0" w:space="0" w:color="auto"/>
                                                    <w:bottom w:val="none" w:sz="0" w:space="0" w:color="auto"/>
                                                    <w:right w:val="none" w:sz="0" w:space="0" w:color="auto"/>
                                                  </w:divBdr>
                                                </w:div>
                                                <w:div w:id="212391924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293628">
      <w:bodyDiv w:val="1"/>
      <w:marLeft w:val="0"/>
      <w:marRight w:val="0"/>
      <w:marTop w:val="0"/>
      <w:marBottom w:val="0"/>
      <w:divBdr>
        <w:top w:val="none" w:sz="0" w:space="0" w:color="auto"/>
        <w:left w:val="none" w:sz="0" w:space="0" w:color="auto"/>
        <w:bottom w:val="none" w:sz="0" w:space="0" w:color="auto"/>
        <w:right w:val="none" w:sz="0" w:space="0" w:color="auto"/>
      </w:divBdr>
      <w:divsChild>
        <w:div w:id="1220628739">
          <w:marLeft w:val="0"/>
          <w:marRight w:val="0"/>
          <w:marTop w:val="0"/>
          <w:marBottom w:val="0"/>
          <w:divBdr>
            <w:top w:val="none" w:sz="0" w:space="0" w:color="auto"/>
            <w:left w:val="none" w:sz="0" w:space="0" w:color="auto"/>
            <w:bottom w:val="none" w:sz="0" w:space="0" w:color="auto"/>
            <w:right w:val="none" w:sz="0" w:space="0" w:color="auto"/>
          </w:divBdr>
        </w:div>
        <w:div w:id="316882205">
          <w:marLeft w:val="0"/>
          <w:marRight w:val="0"/>
          <w:marTop w:val="0"/>
          <w:marBottom w:val="150"/>
          <w:divBdr>
            <w:top w:val="none" w:sz="0" w:space="0" w:color="auto"/>
            <w:left w:val="none" w:sz="0" w:space="0" w:color="auto"/>
            <w:bottom w:val="none" w:sz="0" w:space="0" w:color="auto"/>
            <w:right w:val="none" w:sz="0" w:space="0" w:color="auto"/>
          </w:divBdr>
          <w:divsChild>
            <w:div w:id="2145852219">
              <w:marLeft w:val="0"/>
              <w:marRight w:val="0"/>
              <w:marTop w:val="240"/>
              <w:marBottom w:val="240"/>
              <w:divBdr>
                <w:top w:val="single" w:sz="6" w:space="6" w:color="F2F2F2"/>
                <w:left w:val="none" w:sz="0" w:space="0" w:color="auto"/>
                <w:bottom w:val="single" w:sz="6" w:space="6" w:color="F2F2F2"/>
                <w:right w:val="none" w:sz="0" w:space="0" w:color="auto"/>
              </w:divBdr>
            </w:div>
            <w:div w:id="1018890394">
              <w:marLeft w:val="0"/>
              <w:marRight w:val="0"/>
              <w:marTop w:val="0"/>
              <w:marBottom w:val="0"/>
              <w:divBdr>
                <w:top w:val="none" w:sz="0" w:space="0" w:color="auto"/>
                <w:left w:val="none" w:sz="0" w:space="0" w:color="auto"/>
                <w:bottom w:val="none" w:sz="0" w:space="0" w:color="auto"/>
                <w:right w:val="none" w:sz="0" w:space="0" w:color="auto"/>
              </w:divBdr>
              <w:divsChild>
                <w:div w:id="7146980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5993450">
      <w:bodyDiv w:val="1"/>
      <w:marLeft w:val="0"/>
      <w:marRight w:val="0"/>
      <w:marTop w:val="0"/>
      <w:marBottom w:val="0"/>
      <w:divBdr>
        <w:top w:val="none" w:sz="0" w:space="0" w:color="auto"/>
        <w:left w:val="none" w:sz="0" w:space="0" w:color="auto"/>
        <w:bottom w:val="none" w:sz="0" w:space="0" w:color="auto"/>
        <w:right w:val="none" w:sz="0" w:space="0" w:color="auto"/>
      </w:divBdr>
      <w:divsChild>
        <w:div w:id="1902983596">
          <w:marLeft w:val="0"/>
          <w:marRight w:val="0"/>
          <w:marTop w:val="0"/>
          <w:marBottom w:val="0"/>
          <w:divBdr>
            <w:top w:val="none" w:sz="0" w:space="0" w:color="auto"/>
            <w:left w:val="none" w:sz="0" w:space="0" w:color="auto"/>
            <w:bottom w:val="none" w:sz="0" w:space="0" w:color="auto"/>
            <w:right w:val="none" w:sz="0" w:space="0" w:color="auto"/>
          </w:divBdr>
          <w:divsChild>
            <w:div w:id="1317804977">
              <w:marLeft w:val="0"/>
              <w:marRight w:val="0"/>
              <w:marTop w:val="0"/>
              <w:marBottom w:val="0"/>
              <w:divBdr>
                <w:top w:val="none" w:sz="0" w:space="0" w:color="auto"/>
                <w:left w:val="none" w:sz="0" w:space="0" w:color="auto"/>
                <w:bottom w:val="none" w:sz="0" w:space="0" w:color="auto"/>
                <w:right w:val="none" w:sz="0" w:space="0" w:color="auto"/>
              </w:divBdr>
              <w:divsChild>
                <w:div w:id="624122168">
                  <w:marLeft w:val="0"/>
                  <w:marRight w:val="0"/>
                  <w:marTop w:val="0"/>
                  <w:marBottom w:val="0"/>
                  <w:divBdr>
                    <w:top w:val="none" w:sz="0" w:space="0" w:color="auto"/>
                    <w:left w:val="single" w:sz="6" w:space="0" w:color="FFFFFF"/>
                    <w:bottom w:val="none" w:sz="0" w:space="0" w:color="auto"/>
                    <w:right w:val="single" w:sz="6" w:space="0" w:color="FFFFFF"/>
                  </w:divBdr>
                  <w:divsChild>
                    <w:div w:id="530194191">
                      <w:marLeft w:val="0"/>
                      <w:marRight w:val="0"/>
                      <w:marTop w:val="0"/>
                      <w:marBottom w:val="0"/>
                      <w:divBdr>
                        <w:top w:val="none" w:sz="0" w:space="0" w:color="auto"/>
                        <w:left w:val="single" w:sz="6" w:space="0" w:color="DCE1E4"/>
                        <w:bottom w:val="none" w:sz="0" w:space="0" w:color="auto"/>
                        <w:right w:val="single" w:sz="6" w:space="0" w:color="DCE1E4"/>
                      </w:divBdr>
                      <w:divsChild>
                        <w:div w:id="636834786">
                          <w:marLeft w:val="0"/>
                          <w:marRight w:val="0"/>
                          <w:marTop w:val="0"/>
                          <w:marBottom w:val="0"/>
                          <w:divBdr>
                            <w:top w:val="none" w:sz="0" w:space="0" w:color="auto"/>
                            <w:left w:val="none" w:sz="0" w:space="0" w:color="auto"/>
                            <w:bottom w:val="none" w:sz="0" w:space="0" w:color="auto"/>
                            <w:right w:val="none" w:sz="0" w:space="0" w:color="auto"/>
                          </w:divBdr>
                          <w:divsChild>
                            <w:div w:id="983002468">
                              <w:marLeft w:val="0"/>
                              <w:marRight w:val="0"/>
                              <w:marTop w:val="195"/>
                              <w:marBottom w:val="180"/>
                              <w:divBdr>
                                <w:top w:val="none" w:sz="0" w:space="0" w:color="auto"/>
                                <w:left w:val="none" w:sz="0" w:space="0" w:color="auto"/>
                                <w:bottom w:val="none" w:sz="0" w:space="0" w:color="auto"/>
                                <w:right w:val="none" w:sz="0" w:space="0" w:color="auto"/>
                              </w:divBdr>
                              <w:divsChild>
                                <w:div w:id="1893417309">
                                  <w:marLeft w:val="0"/>
                                  <w:marRight w:val="0"/>
                                  <w:marTop w:val="0"/>
                                  <w:marBottom w:val="0"/>
                                  <w:divBdr>
                                    <w:top w:val="none" w:sz="0" w:space="0" w:color="auto"/>
                                    <w:left w:val="none" w:sz="0" w:space="0" w:color="auto"/>
                                    <w:bottom w:val="none" w:sz="0" w:space="0" w:color="auto"/>
                                    <w:right w:val="none" w:sz="0" w:space="0" w:color="auto"/>
                                  </w:divBdr>
                                  <w:divsChild>
                                    <w:div w:id="763569224">
                                      <w:marLeft w:val="0"/>
                                      <w:marRight w:val="0"/>
                                      <w:marTop w:val="0"/>
                                      <w:marBottom w:val="0"/>
                                      <w:divBdr>
                                        <w:top w:val="none" w:sz="0" w:space="0" w:color="auto"/>
                                        <w:left w:val="none" w:sz="0" w:space="0" w:color="auto"/>
                                        <w:bottom w:val="none" w:sz="0" w:space="0" w:color="auto"/>
                                        <w:right w:val="none" w:sz="0" w:space="0" w:color="auto"/>
                                      </w:divBdr>
                                    </w:div>
                                  </w:divsChild>
                                </w:div>
                                <w:div w:id="865026084">
                                  <w:marLeft w:val="0"/>
                                  <w:marRight w:val="0"/>
                                  <w:marTop w:val="0"/>
                                  <w:marBottom w:val="0"/>
                                  <w:divBdr>
                                    <w:top w:val="none" w:sz="0" w:space="0" w:color="auto"/>
                                    <w:left w:val="none" w:sz="0" w:space="0" w:color="auto"/>
                                    <w:bottom w:val="none" w:sz="0" w:space="0" w:color="auto"/>
                                    <w:right w:val="none" w:sz="0" w:space="0" w:color="auto"/>
                                  </w:divBdr>
                                  <w:divsChild>
                                    <w:div w:id="758334106">
                                      <w:marLeft w:val="0"/>
                                      <w:marRight w:val="0"/>
                                      <w:marTop w:val="0"/>
                                      <w:marBottom w:val="0"/>
                                      <w:divBdr>
                                        <w:top w:val="none" w:sz="0" w:space="0" w:color="auto"/>
                                        <w:left w:val="none" w:sz="0" w:space="0" w:color="auto"/>
                                        <w:bottom w:val="none" w:sz="0" w:space="0" w:color="auto"/>
                                        <w:right w:val="none" w:sz="0" w:space="0" w:color="auto"/>
                                      </w:divBdr>
                                      <w:divsChild>
                                        <w:div w:id="1373842479">
                                          <w:marLeft w:val="0"/>
                                          <w:marRight w:val="0"/>
                                          <w:marTop w:val="0"/>
                                          <w:marBottom w:val="0"/>
                                          <w:divBdr>
                                            <w:top w:val="none" w:sz="0" w:space="0" w:color="auto"/>
                                            <w:left w:val="none" w:sz="0" w:space="0" w:color="auto"/>
                                            <w:bottom w:val="none" w:sz="0" w:space="0" w:color="auto"/>
                                            <w:right w:val="none" w:sz="0" w:space="0" w:color="auto"/>
                                          </w:divBdr>
                                          <w:divsChild>
                                            <w:div w:id="5153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330310">
                              <w:marLeft w:val="0"/>
                              <w:marRight w:val="0"/>
                              <w:marTop w:val="375"/>
                              <w:marBottom w:val="180"/>
                              <w:divBdr>
                                <w:top w:val="single" w:sz="6" w:space="0" w:color="D9DDE1"/>
                                <w:left w:val="single" w:sz="6" w:space="0" w:color="D9DDE1"/>
                                <w:bottom w:val="none" w:sz="0" w:space="0" w:color="auto"/>
                                <w:right w:val="single" w:sz="6" w:space="0" w:color="D9DDE1"/>
                              </w:divBdr>
                              <w:divsChild>
                                <w:div w:id="1308976088">
                                  <w:marLeft w:val="0"/>
                                  <w:marRight w:val="0"/>
                                  <w:marTop w:val="0"/>
                                  <w:marBottom w:val="0"/>
                                  <w:divBdr>
                                    <w:top w:val="none" w:sz="0" w:space="0" w:color="auto"/>
                                    <w:left w:val="none" w:sz="0" w:space="0" w:color="auto"/>
                                    <w:bottom w:val="single" w:sz="6" w:space="0" w:color="D9DDE1"/>
                                    <w:right w:val="none" w:sz="0" w:space="0" w:color="auto"/>
                                  </w:divBdr>
                                  <w:divsChild>
                                    <w:div w:id="2096516574">
                                      <w:marLeft w:val="0"/>
                                      <w:marRight w:val="0"/>
                                      <w:marTop w:val="0"/>
                                      <w:marBottom w:val="0"/>
                                      <w:divBdr>
                                        <w:top w:val="single" w:sz="6" w:space="0" w:color="DBE1E4"/>
                                        <w:left w:val="none" w:sz="0" w:space="0" w:color="auto"/>
                                        <w:bottom w:val="none" w:sz="0" w:space="0" w:color="auto"/>
                                        <w:right w:val="none" w:sz="0" w:space="0" w:color="auto"/>
                                      </w:divBdr>
                                      <w:divsChild>
                                        <w:div w:id="407458274">
                                          <w:marLeft w:val="0"/>
                                          <w:marRight w:val="0"/>
                                          <w:marTop w:val="0"/>
                                          <w:marBottom w:val="0"/>
                                          <w:divBdr>
                                            <w:top w:val="none" w:sz="0" w:space="0" w:color="auto"/>
                                            <w:left w:val="none" w:sz="0" w:space="0" w:color="auto"/>
                                            <w:bottom w:val="none" w:sz="0" w:space="0" w:color="auto"/>
                                            <w:right w:val="none" w:sz="0" w:space="0" w:color="auto"/>
                                          </w:divBdr>
                                          <w:divsChild>
                                            <w:div w:id="196240593">
                                              <w:marLeft w:val="0"/>
                                              <w:marRight w:val="0"/>
                                              <w:marTop w:val="0"/>
                                              <w:marBottom w:val="0"/>
                                              <w:divBdr>
                                                <w:top w:val="none" w:sz="0" w:space="0" w:color="auto"/>
                                                <w:left w:val="none" w:sz="0" w:space="0" w:color="auto"/>
                                                <w:bottom w:val="none" w:sz="0" w:space="0" w:color="auto"/>
                                                <w:right w:val="none" w:sz="0" w:space="0" w:color="auto"/>
                                              </w:divBdr>
                                              <w:divsChild>
                                                <w:div w:id="752243698">
                                                  <w:marLeft w:val="0"/>
                                                  <w:marRight w:val="0"/>
                                                  <w:marTop w:val="0"/>
                                                  <w:marBottom w:val="0"/>
                                                  <w:divBdr>
                                                    <w:top w:val="none" w:sz="0" w:space="0" w:color="auto"/>
                                                    <w:left w:val="none" w:sz="0" w:space="0" w:color="auto"/>
                                                    <w:bottom w:val="none" w:sz="0" w:space="0" w:color="auto"/>
                                                    <w:right w:val="none" w:sz="0" w:space="0" w:color="auto"/>
                                                  </w:divBdr>
                                                </w:div>
                                              </w:divsChild>
                                            </w:div>
                                            <w:div w:id="1819103922">
                                              <w:marLeft w:val="0"/>
                                              <w:marRight w:val="0"/>
                                              <w:marTop w:val="0"/>
                                              <w:marBottom w:val="0"/>
                                              <w:divBdr>
                                                <w:top w:val="none" w:sz="0" w:space="0" w:color="auto"/>
                                                <w:left w:val="none" w:sz="0" w:space="0" w:color="auto"/>
                                                <w:bottom w:val="none" w:sz="0" w:space="0" w:color="auto"/>
                                                <w:right w:val="none" w:sz="0" w:space="0" w:color="auto"/>
                                              </w:divBdr>
                                              <w:divsChild>
                                                <w:div w:id="1753235747">
                                                  <w:marLeft w:val="0"/>
                                                  <w:marRight w:val="0"/>
                                                  <w:marTop w:val="0"/>
                                                  <w:marBottom w:val="0"/>
                                                  <w:divBdr>
                                                    <w:top w:val="none" w:sz="0" w:space="0" w:color="auto"/>
                                                    <w:left w:val="none" w:sz="0" w:space="0" w:color="auto"/>
                                                    <w:bottom w:val="none" w:sz="0" w:space="0" w:color="auto"/>
                                                    <w:right w:val="none" w:sz="0" w:space="0" w:color="auto"/>
                                                  </w:divBdr>
                                                </w:div>
                                                <w:div w:id="1773434827">
                                                  <w:marLeft w:val="0"/>
                                                  <w:marRight w:val="0"/>
                                                  <w:marTop w:val="0"/>
                                                  <w:marBottom w:val="0"/>
                                                  <w:divBdr>
                                                    <w:top w:val="none" w:sz="0" w:space="0" w:color="auto"/>
                                                    <w:left w:val="none" w:sz="0" w:space="0" w:color="auto"/>
                                                    <w:bottom w:val="none" w:sz="0" w:space="0" w:color="auto"/>
                                                    <w:right w:val="none" w:sz="0" w:space="0" w:color="auto"/>
                                                  </w:divBdr>
                                                </w:div>
                                                <w:div w:id="424153231">
                                                  <w:marLeft w:val="0"/>
                                                  <w:marRight w:val="0"/>
                                                  <w:marTop w:val="0"/>
                                                  <w:marBottom w:val="0"/>
                                                  <w:divBdr>
                                                    <w:top w:val="none" w:sz="0" w:space="0" w:color="auto"/>
                                                    <w:left w:val="none" w:sz="0" w:space="0" w:color="auto"/>
                                                    <w:bottom w:val="none" w:sz="0" w:space="0" w:color="auto"/>
                                                    <w:right w:val="none" w:sz="0" w:space="0" w:color="auto"/>
                                                  </w:divBdr>
                                                </w:div>
                                                <w:div w:id="987368201">
                                                  <w:marLeft w:val="0"/>
                                                  <w:marRight w:val="0"/>
                                                  <w:marTop w:val="0"/>
                                                  <w:marBottom w:val="0"/>
                                                  <w:divBdr>
                                                    <w:top w:val="none" w:sz="0" w:space="0" w:color="auto"/>
                                                    <w:left w:val="none" w:sz="0" w:space="0" w:color="auto"/>
                                                    <w:bottom w:val="none" w:sz="0" w:space="0" w:color="auto"/>
                                                    <w:right w:val="none" w:sz="0" w:space="0" w:color="auto"/>
                                                  </w:divBdr>
                                                </w:div>
                                                <w:div w:id="1731803067">
                                                  <w:marLeft w:val="0"/>
                                                  <w:marRight w:val="0"/>
                                                  <w:marTop w:val="0"/>
                                                  <w:marBottom w:val="0"/>
                                                  <w:divBdr>
                                                    <w:top w:val="none" w:sz="0" w:space="0" w:color="auto"/>
                                                    <w:left w:val="none" w:sz="0" w:space="0" w:color="auto"/>
                                                    <w:bottom w:val="none" w:sz="0" w:space="0" w:color="auto"/>
                                                    <w:right w:val="none" w:sz="0" w:space="0" w:color="auto"/>
                                                  </w:divBdr>
                                                </w:div>
                                                <w:div w:id="560797781">
                                                  <w:marLeft w:val="0"/>
                                                  <w:marRight w:val="0"/>
                                                  <w:marTop w:val="0"/>
                                                  <w:marBottom w:val="0"/>
                                                  <w:divBdr>
                                                    <w:top w:val="none" w:sz="0" w:space="0" w:color="auto"/>
                                                    <w:left w:val="none" w:sz="0" w:space="0" w:color="auto"/>
                                                    <w:bottom w:val="none" w:sz="0" w:space="0" w:color="auto"/>
                                                    <w:right w:val="none" w:sz="0" w:space="0" w:color="auto"/>
                                                  </w:divBdr>
                                                </w:div>
                                                <w:div w:id="271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930906">
      <w:bodyDiv w:val="1"/>
      <w:marLeft w:val="0"/>
      <w:marRight w:val="0"/>
      <w:marTop w:val="0"/>
      <w:marBottom w:val="0"/>
      <w:divBdr>
        <w:top w:val="none" w:sz="0" w:space="0" w:color="auto"/>
        <w:left w:val="none" w:sz="0" w:space="0" w:color="auto"/>
        <w:bottom w:val="none" w:sz="0" w:space="0" w:color="auto"/>
        <w:right w:val="none" w:sz="0" w:space="0" w:color="auto"/>
      </w:divBdr>
      <w:divsChild>
        <w:div w:id="1525702836">
          <w:marLeft w:val="0"/>
          <w:marRight w:val="0"/>
          <w:marTop w:val="0"/>
          <w:marBottom w:val="0"/>
          <w:divBdr>
            <w:top w:val="none" w:sz="0" w:space="0" w:color="auto"/>
            <w:left w:val="none" w:sz="0" w:space="0" w:color="auto"/>
            <w:bottom w:val="none" w:sz="0" w:space="0" w:color="auto"/>
            <w:right w:val="none" w:sz="0" w:space="0" w:color="auto"/>
          </w:divBdr>
          <w:divsChild>
            <w:div w:id="1338730132">
              <w:marLeft w:val="0"/>
              <w:marRight w:val="0"/>
              <w:marTop w:val="0"/>
              <w:marBottom w:val="0"/>
              <w:divBdr>
                <w:top w:val="none" w:sz="0" w:space="0" w:color="auto"/>
                <w:left w:val="none" w:sz="0" w:space="0" w:color="auto"/>
                <w:bottom w:val="none" w:sz="0" w:space="0" w:color="auto"/>
                <w:right w:val="none" w:sz="0" w:space="0" w:color="auto"/>
              </w:divBdr>
              <w:divsChild>
                <w:div w:id="2133942147">
                  <w:marLeft w:val="0"/>
                  <w:marRight w:val="0"/>
                  <w:marTop w:val="0"/>
                  <w:marBottom w:val="0"/>
                  <w:divBdr>
                    <w:top w:val="none" w:sz="0" w:space="0" w:color="auto"/>
                    <w:left w:val="none" w:sz="0" w:space="0" w:color="auto"/>
                    <w:bottom w:val="none" w:sz="0" w:space="0" w:color="auto"/>
                    <w:right w:val="none" w:sz="0" w:space="0" w:color="auto"/>
                  </w:divBdr>
                  <w:divsChild>
                    <w:div w:id="2112048991">
                      <w:marLeft w:val="0"/>
                      <w:marRight w:val="0"/>
                      <w:marTop w:val="0"/>
                      <w:marBottom w:val="0"/>
                      <w:divBdr>
                        <w:top w:val="none" w:sz="0" w:space="0" w:color="auto"/>
                        <w:left w:val="none" w:sz="0" w:space="0" w:color="auto"/>
                        <w:bottom w:val="none" w:sz="0" w:space="0" w:color="auto"/>
                        <w:right w:val="none" w:sz="0" w:space="0" w:color="auto"/>
                      </w:divBdr>
                      <w:divsChild>
                        <w:div w:id="6144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45015820">
          <w:marLeft w:val="0"/>
          <w:marRight w:val="0"/>
          <w:marTop w:val="0"/>
          <w:marBottom w:val="0"/>
          <w:divBdr>
            <w:top w:val="none" w:sz="0" w:space="0" w:color="auto"/>
            <w:left w:val="none" w:sz="0" w:space="0" w:color="auto"/>
            <w:bottom w:val="none" w:sz="0" w:space="0" w:color="auto"/>
            <w:right w:val="none" w:sz="0" w:space="0" w:color="auto"/>
          </w:divBdr>
          <w:divsChild>
            <w:div w:id="1871186640">
              <w:marLeft w:val="210"/>
              <w:marRight w:val="0"/>
              <w:marTop w:val="0"/>
              <w:marBottom w:val="0"/>
              <w:divBdr>
                <w:top w:val="none" w:sz="0" w:space="0" w:color="auto"/>
                <w:left w:val="none" w:sz="0" w:space="0" w:color="auto"/>
                <w:bottom w:val="none" w:sz="0" w:space="0" w:color="auto"/>
                <w:right w:val="none" w:sz="0" w:space="0" w:color="auto"/>
              </w:divBdr>
              <w:divsChild>
                <w:div w:id="13482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979">
      <w:bodyDiv w:val="1"/>
      <w:marLeft w:val="0"/>
      <w:marRight w:val="0"/>
      <w:marTop w:val="0"/>
      <w:marBottom w:val="0"/>
      <w:divBdr>
        <w:top w:val="none" w:sz="0" w:space="0" w:color="auto"/>
        <w:left w:val="none" w:sz="0" w:space="0" w:color="auto"/>
        <w:bottom w:val="none" w:sz="0" w:space="0" w:color="auto"/>
        <w:right w:val="none" w:sz="0" w:space="0" w:color="auto"/>
      </w:divBdr>
      <w:divsChild>
        <w:div w:id="434834500">
          <w:marLeft w:val="0"/>
          <w:marRight w:val="0"/>
          <w:marTop w:val="0"/>
          <w:marBottom w:val="0"/>
          <w:divBdr>
            <w:top w:val="none" w:sz="0" w:space="0" w:color="auto"/>
            <w:left w:val="none" w:sz="0" w:space="0" w:color="auto"/>
            <w:bottom w:val="none" w:sz="0" w:space="0" w:color="auto"/>
            <w:right w:val="none" w:sz="0" w:space="0" w:color="auto"/>
          </w:divBdr>
          <w:divsChild>
            <w:div w:id="1362894934">
              <w:marLeft w:val="0"/>
              <w:marRight w:val="0"/>
              <w:marTop w:val="0"/>
              <w:marBottom w:val="0"/>
              <w:divBdr>
                <w:top w:val="none" w:sz="0" w:space="0" w:color="auto"/>
                <w:left w:val="none" w:sz="0" w:space="0" w:color="auto"/>
                <w:bottom w:val="none" w:sz="0" w:space="0" w:color="auto"/>
                <w:right w:val="none" w:sz="0" w:space="0" w:color="auto"/>
              </w:divBdr>
              <w:divsChild>
                <w:div w:id="1879583225">
                  <w:marLeft w:val="0"/>
                  <w:marRight w:val="0"/>
                  <w:marTop w:val="0"/>
                  <w:marBottom w:val="0"/>
                  <w:divBdr>
                    <w:top w:val="none" w:sz="0" w:space="0" w:color="auto"/>
                    <w:left w:val="none" w:sz="0" w:space="0" w:color="auto"/>
                    <w:bottom w:val="none" w:sz="0" w:space="0" w:color="auto"/>
                    <w:right w:val="none" w:sz="0" w:space="0" w:color="auto"/>
                  </w:divBdr>
                  <w:divsChild>
                    <w:div w:id="1700468290">
                      <w:marLeft w:val="0"/>
                      <w:marRight w:val="0"/>
                      <w:marTop w:val="0"/>
                      <w:marBottom w:val="0"/>
                      <w:divBdr>
                        <w:top w:val="none" w:sz="0" w:space="0" w:color="auto"/>
                        <w:left w:val="none" w:sz="0" w:space="0" w:color="auto"/>
                        <w:bottom w:val="none" w:sz="0" w:space="0" w:color="auto"/>
                        <w:right w:val="none" w:sz="0" w:space="0" w:color="auto"/>
                      </w:divBdr>
                      <w:divsChild>
                        <w:div w:id="1945112149">
                          <w:marLeft w:val="0"/>
                          <w:marRight w:val="0"/>
                          <w:marTop w:val="0"/>
                          <w:marBottom w:val="0"/>
                          <w:divBdr>
                            <w:top w:val="none" w:sz="0" w:space="0" w:color="auto"/>
                            <w:left w:val="none" w:sz="0" w:space="0" w:color="auto"/>
                            <w:bottom w:val="none" w:sz="0" w:space="0" w:color="auto"/>
                            <w:right w:val="none" w:sz="0" w:space="0" w:color="auto"/>
                          </w:divBdr>
                          <w:divsChild>
                            <w:div w:id="256521429">
                              <w:marLeft w:val="0"/>
                              <w:marRight w:val="0"/>
                              <w:marTop w:val="0"/>
                              <w:marBottom w:val="0"/>
                              <w:divBdr>
                                <w:top w:val="none" w:sz="0" w:space="0" w:color="auto"/>
                                <w:left w:val="none" w:sz="0" w:space="0" w:color="auto"/>
                                <w:bottom w:val="none" w:sz="0" w:space="0" w:color="auto"/>
                                <w:right w:val="none" w:sz="0" w:space="0" w:color="auto"/>
                              </w:divBdr>
                              <w:divsChild>
                                <w:div w:id="1092121115">
                                  <w:marLeft w:val="0"/>
                                  <w:marRight w:val="0"/>
                                  <w:marTop w:val="0"/>
                                  <w:marBottom w:val="0"/>
                                  <w:divBdr>
                                    <w:top w:val="none" w:sz="0" w:space="0" w:color="auto"/>
                                    <w:left w:val="none" w:sz="0" w:space="0" w:color="auto"/>
                                    <w:bottom w:val="none" w:sz="0" w:space="0" w:color="auto"/>
                                    <w:right w:val="none" w:sz="0" w:space="0" w:color="auto"/>
                                  </w:divBdr>
                                  <w:divsChild>
                                    <w:div w:id="625742104">
                                      <w:marLeft w:val="0"/>
                                      <w:marRight w:val="0"/>
                                      <w:marTop w:val="0"/>
                                      <w:marBottom w:val="0"/>
                                      <w:divBdr>
                                        <w:top w:val="none" w:sz="0" w:space="0" w:color="auto"/>
                                        <w:left w:val="none" w:sz="0" w:space="0" w:color="auto"/>
                                        <w:bottom w:val="none" w:sz="0" w:space="0" w:color="auto"/>
                                        <w:right w:val="none" w:sz="0" w:space="0" w:color="auto"/>
                                      </w:divBdr>
                                      <w:divsChild>
                                        <w:div w:id="1866405730">
                                          <w:marLeft w:val="0"/>
                                          <w:marRight w:val="0"/>
                                          <w:marTop w:val="0"/>
                                          <w:marBottom w:val="0"/>
                                          <w:divBdr>
                                            <w:top w:val="none" w:sz="0" w:space="0" w:color="auto"/>
                                            <w:left w:val="none" w:sz="0" w:space="0" w:color="auto"/>
                                            <w:bottom w:val="none" w:sz="0" w:space="0" w:color="auto"/>
                                            <w:right w:val="none" w:sz="0" w:space="0" w:color="auto"/>
                                          </w:divBdr>
                                          <w:divsChild>
                                            <w:div w:id="870529358">
                                              <w:marLeft w:val="0"/>
                                              <w:marRight w:val="0"/>
                                              <w:marTop w:val="0"/>
                                              <w:marBottom w:val="0"/>
                                              <w:divBdr>
                                                <w:top w:val="none" w:sz="0" w:space="0" w:color="auto"/>
                                                <w:left w:val="none" w:sz="0" w:space="0" w:color="auto"/>
                                                <w:bottom w:val="none" w:sz="0" w:space="0" w:color="auto"/>
                                                <w:right w:val="none" w:sz="0" w:space="0" w:color="auto"/>
                                              </w:divBdr>
                                              <w:divsChild>
                                                <w:div w:id="1463228486">
                                                  <w:marLeft w:val="0"/>
                                                  <w:marRight w:val="0"/>
                                                  <w:marTop w:val="0"/>
                                                  <w:marBottom w:val="0"/>
                                                  <w:divBdr>
                                                    <w:top w:val="none" w:sz="0" w:space="0" w:color="auto"/>
                                                    <w:left w:val="none" w:sz="0" w:space="0" w:color="auto"/>
                                                    <w:bottom w:val="none" w:sz="0" w:space="0" w:color="auto"/>
                                                    <w:right w:val="none" w:sz="0" w:space="0" w:color="auto"/>
                                                  </w:divBdr>
                                                  <w:divsChild>
                                                    <w:div w:id="552469470">
                                                      <w:marLeft w:val="0"/>
                                                      <w:marRight w:val="0"/>
                                                      <w:marTop w:val="0"/>
                                                      <w:marBottom w:val="0"/>
                                                      <w:divBdr>
                                                        <w:top w:val="none" w:sz="0" w:space="0" w:color="auto"/>
                                                        <w:left w:val="none" w:sz="0" w:space="0" w:color="auto"/>
                                                        <w:bottom w:val="none" w:sz="0" w:space="0" w:color="auto"/>
                                                        <w:right w:val="none" w:sz="0" w:space="0" w:color="auto"/>
                                                      </w:divBdr>
                                                      <w:divsChild>
                                                        <w:div w:id="1245411862">
                                                          <w:marLeft w:val="0"/>
                                                          <w:marRight w:val="0"/>
                                                          <w:marTop w:val="0"/>
                                                          <w:marBottom w:val="0"/>
                                                          <w:divBdr>
                                                            <w:top w:val="none" w:sz="0" w:space="0" w:color="auto"/>
                                                            <w:left w:val="none" w:sz="0" w:space="0" w:color="auto"/>
                                                            <w:bottom w:val="none" w:sz="0" w:space="0" w:color="auto"/>
                                                            <w:right w:val="none" w:sz="0" w:space="0" w:color="auto"/>
                                                          </w:divBdr>
                                                        </w:div>
                                                        <w:div w:id="1182814925">
                                                          <w:marLeft w:val="0"/>
                                                          <w:marRight w:val="0"/>
                                                          <w:marTop w:val="0"/>
                                                          <w:marBottom w:val="0"/>
                                                          <w:divBdr>
                                                            <w:top w:val="none" w:sz="0" w:space="0" w:color="auto"/>
                                                            <w:left w:val="none" w:sz="0" w:space="0" w:color="auto"/>
                                                            <w:bottom w:val="none" w:sz="0" w:space="0" w:color="auto"/>
                                                            <w:right w:val="none" w:sz="0" w:space="0" w:color="auto"/>
                                                          </w:divBdr>
                                                          <w:divsChild>
                                                            <w:div w:id="20512273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0313760">
      <w:bodyDiv w:val="1"/>
      <w:marLeft w:val="0"/>
      <w:marRight w:val="0"/>
      <w:marTop w:val="0"/>
      <w:marBottom w:val="0"/>
      <w:divBdr>
        <w:top w:val="none" w:sz="0" w:space="0" w:color="auto"/>
        <w:left w:val="none" w:sz="0" w:space="0" w:color="auto"/>
        <w:bottom w:val="none" w:sz="0" w:space="0" w:color="auto"/>
        <w:right w:val="none" w:sz="0" w:space="0" w:color="auto"/>
      </w:divBdr>
    </w:div>
    <w:div w:id="230848784">
      <w:bodyDiv w:val="1"/>
      <w:marLeft w:val="0"/>
      <w:marRight w:val="0"/>
      <w:marTop w:val="0"/>
      <w:marBottom w:val="0"/>
      <w:divBdr>
        <w:top w:val="none" w:sz="0" w:space="0" w:color="auto"/>
        <w:left w:val="none" w:sz="0" w:space="0" w:color="auto"/>
        <w:bottom w:val="none" w:sz="0" w:space="0" w:color="auto"/>
        <w:right w:val="none" w:sz="0" w:space="0" w:color="auto"/>
      </w:divBdr>
      <w:divsChild>
        <w:div w:id="2054034604">
          <w:marLeft w:val="0"/>
          <w:marRight w:val="0"/>
          <w:marTop w:val="0"/>
          <w:marBottom w:val="0"/>
          <w:divBdr>
            <w:top w:val="none" w:sz="0" w:space="0" w:color="auto"/>
            <w:left w:val="none" w:sz="0" w:space="0" w:color="auto"/>
            <w:bottom w:val="none" w:sz="0" w:space="0" w:color="auto"/>
            <w:right w:val="none" w:sz="0" w:space="0" w:color="auto"/>
          </w:divBdr>
          <w:divsChild>
            <w:div w:id="1154419209">
              <w:marLeft w:val="0"/>
              <w:marRight w:val="0"/>
              <w:marTop w:val="0"/>
              <w:marBottom w:val="0"/>
              <w:divBdr>
                <w:top w:val="none" w:sz="0" w:space="0" w:color="auto"/>
                <w:left w:val="none" w:sz="0" w:space="0" w:color="auto"/>
                <w:bottom w:val="none" w:sz="0" w:space="0" w:color="auto"/>
                <w:right w:val="none" w:sz="0" w:space="0" w:color="auto"/>
              </w:divBdr>
              <w:divsChild>
                <w:div w:id="1353803074">
                  <w:marLeft w:val="0"/>
                  <w:marRight w:val="0"/>
                  <w:marTop w:val="0"/>
                  <w:marBottom w:val="0"/>
                  <w:divBdr>
                    <w:top w:val="none" w:sz="0" w:space="0" w:color="auto"/>
                    <w:left w:val="none" w:sz="0" w:space="0" w:color="auto"/>
                    <w:bottom w:val="none" w:sz="0" w:space="0" w:color="auto"/>
                    <w:right w:val="none" w:sz="0" w:space="0" w:color="auto"/>
                  </w:divBdr>
                  <w:divsChild>
                    <w:div w:id="154341049">
                      <w:marLeft w:val="0"/>
                      <w:marRight w:val="0"/>
                      <w:marTop w:val="0"/>
                      <w:marBottom w:val="0"/>
                      <w:divBdr>
                        <w:top w:val="none" w:sz="0" w:space="0" w:color="auto"/>
                        <w:left w:val="none" w:sz="0" w:space="0" w:color="auto"/>
                        <w:bottom w:val="none" w:sz="0" w:space="0" w:color="auto"/>
                        <w:right w:val="none" w:sz="0" w:space="0" w:color="auto"/>
                      </w:divBdr>
                      <w:divsChild>
                        <w:div w:id="699672055">
                          <w:marLeft w:val="0"/>
                          <w:marRight w:val="0"/>
                          <w:marTop w:val="0"/>
                          <w:marBottom w:val="0"/>
                          <w:divBdr>
                            <w:top w:val="none" w:sz="0" w:space="0" w:color="auto"/>
                            <w:left w:val="none" w:sz="0" w:space="0" w:color="auto"/>
                            <w:bottom w:val="none" w:sz="0" w:space="0" w:color="auto"/>
                            <w:right w:val="none" w:sz="0" w:space="0" w:color="auto"/>
                          </w:divBdr>
                          <w:divsChild>
                            <w:div w:id="896815558">
                              <w:marLeft w:val="0"/>
                              <w:marRight w:val="0"/>
                              <w:marTop w:val="0"/>
                              <w:marBottom w:val="0"/>
                              <w:divBdr>
                                <w:top w:val="none" w:sz="0" w:space="0" w:color="auto"/>
                                <w:left w:val="none" w:sz="0" w:space="0" w:color="auto"/>
                                <w:bottom w:val="none" w:sz="0" w:space="0" w:color="auto"/>
                                <w:right w:val="none" w:sz="0" w:space="0" w:color="auto"/>
                              </w:divBdr>
                              <w:divsChild>
                                <w:div w:id="2087416411">
                                  <w:marLeft w:val="0"/>
                                  <w:marRight w:val="0"/>
                                  <w:marTop w:val="0"/>
                                  <w:marBottom w:val="0"/>
                                  <w:divBdr>
                                    <w:top w:val="none" w:sz="0" w:space="0" w:color="auto"/>
                                    <w:left w:val="none" w:sz="0" w:space="0" w:color="auto"/>
                                    <w:bottom w:val="none" w:sz="0" w:space="0" w:color="auto"/>
                                    <w:right w:val="none" w:sz="0" w:space="0" w:color="auto"/>
                                  </w:divBdr>
                                  <w:divsChild>
                                    <w:div w:id="1956018231">
                                      <w:marLeft w:val="0"/>
                                      <w:marRight w:val="0"/>
                                      <w:marTop w:val="0"/>
                                      <w:marBottom w:val="0"/>
                                      <w:divBdr>
                                        <w:top w:val="none" w:sz="0" w:space="0" w:color="auto"/>
                                        <w:left w:val="none" w:sz="0" w:space="0" w:color="auto"/>
                                        <w:bottom w:val="none" w:sz="0" w:space="0" w:color="auto"/>
                                        <w:right w:val="none" w:sz="0" w:space="0" w:color="auto"/>
                                      </w:divBdr>
                                      <w:divsChild>
                                        <w:div w:id="231699487">
                                          <w:marLeft w:val="0"/>
                                          <w:marRight w:val="0"/>
                                          <w:marTop w:val="0"/>
                                          <w:marBottom w:val="0"/>
                                          <w:divBdr>
                                            <w:top w:val="none" w:sz="0" w:space="0" w:color="auto"/>
                                            <w:left w:val="none" w:sz="0" w:space="0" w:color="auto"/>
                                            <w:bottom w:val="none" w:sz="0" w:space="0" w:color="auto"/>
                                            <w:right w:val="none" w:sz="0" w:space="0" w:color="auto"/>
                                          </w:divBdr>
                                          <w:divsChild>
                                            <w:div w:id="899288198">
                                              <w:marLeft w:val="0"/>
                                              <w:marRight w:val="0"/>
                                              <w:marTop w:val="0"/>
                                              <w:marBottom w:val="0"/>
                                              <w:divBdr>
                                                <w:top w:val="none" w:sz="0" w:space="0" w:color="auto"/>
                                                <w:left w:val="none" w:sz="0" w:space="0" w:color="auto"/>
                                                <w:bottom w:val="none" w:sz="0" w:space="0" w:color="auto"/>
                                                <w:right w:val="none" w:sz="0" w:space="0" w:color="auto"/>
                                              </w:divBdr>
                                              <w:divsChild>
                                                <w:div w:id="2017612250">
                                                  <w:marLeft w:val="0"/>
                                                  <w:marRight w:val="0"/>
                                                  <w:marTop w:val="0"/>
                                                  <w:marBottom w:val="0"/>
                                                  <w:divBdr>
                                                    <w:top w:val="none" w:sz="0" w:space="0" w:color="auto"/>
                                                    <w:left w:val="none" w:sz="0" w:space="0" w:color="auto"/>
                                                    <w:bottom w:val="none" w:sz="0" w:space="0" w:color="auto"/>
                                                    <w:right w:val="none" w:sz="0" w:space="0" w:color="auto"/>
                                                  </w:divBdr>
                                                  <w:divsChild>
                                                    <w:div w:id="1142582903">
                                                      <w:marLeft w:val="0"/>
                                                      <w:marRight w:val="0"/>
                                                      <w:marTop w:val="0"/>
                                                      <w:marBottom w:val="0"/>
                                                      <w:divBdr>
                                                        <w:top w:val="none" w:sz="0" w:space="0" w:color="auto"/>
                                                        <w:left w:val="none" w:sz="0" w:space="0" w:color="auto"/>
                                                        <w:bottom w:val="none" w:sz="0" w:space="0" w:color="auto"/>
                                                        <w:right w:val="none" w:sz="0" w:space="0" w:color="auto"/>
                                                      </w:divBdr>
                                                      <w:divsChild>
                                                        <w:div w:id="1009604657">
                                                          <w:marLeft w:val="0"/>
                                                          <w:marRight w:val="0"/>
                                                          <w:marTop w:val="0"/>
                                                          <w:marBottom w:val="0"/>
                                                          <w:divBdr>
                                                            <w:top w:val="none" w:sz="0" w:space="0" w:color="auto"/>
                                                            <w:left w:val="none" w:sz="0" w:space="0" w:color="auto"/>
                                                            <w:bottom w:val="none" w:sz="0" w:space="0" w:color="auto"/>
                                                            <w:right w:val="none" w:sz="0" w:space="0" w:color="auto"/>
                                                          </w:divBdr>
                                                        </w:div>
                                                        <w:div w:id="512258761">
                                                          <w:marLeft w:val="0"/>
                                                          <w:marRight w:val="0"/>
                                                          <w:marTop w:val="0"/>
                                                          <w:marBottom w:val="0"/>
                                                          <w:divBdr>
                                                            <w:top w:val="none" w:sz="0" w:space="0" w:color="auto"/>
                                                            <w:left w:val="none" w:sz="0" w:space="0" w:color="auto"/>
                                                            <w:bottom w:val="none" w:sz="0" w:space="0" w:color="auto"/>
                                                            <w:right w:val="none" w:sz="0" w:space="0" w:color="auto"/>
                                                          </w:divBdr>
                                                          <w:divsChild>
                                                            <w:div w:id="17460241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2011008">
      <w:bodyDiv w:val="1"/>
      <w:marLeft w:val="0"/>
      <w:marRight w:val="0"/>
      <w:marTop w:val="0"/>
      <w:marBottom w:val="0"/>
      <w:divBdr>
        <w:top w:val="none" w:sz="0" w:space="0" w:color="auto"/>
        <w:left w:val="none" w:sz="0" w:space="0" w:color="auto"/>
        <w:bottom w:val="none" w:sz="0" w:space="0" w:color="auto"/>
        <w:right w:val="none" w:sz="0" w:space="0" w:color="auto"/>
      </w:divBdr>
    </w:div>
    <w:div w:id="232357299">
      <w:bodyDiv w:val="1"/>
      <w:marLeft w:val="0"/>
      <w:marRight w:val="0"/>
      <w:marTop w:val="0"/>
      <w:marBottom w:val="0"/>
      <w:divBdr>
        <w:top w:val="none" w:sz="0" w:space="0" w:color="auto"/>
        <w:left w:val="none" w:sz="0" w:space="0" w:color="auto"/>
        <w:bottom w:val="none" w:sz="0" w:space="0" w:color="auto"/>
        <w:right w:val="none" w:sz="0" w:space="0" w:color="auto"/>
      </w:divBdr>
      <w:divsChild>
        <w:div w:id="212888694">
          <w:marLeft w:val="0"/>
          <w:marRight w:val="0"/>
          <w:marTop w:val="0"/>
          <w:marBottom w:val="0"/>
          <w:divBdr>
            <w:top w:val="none" w:sz="0" w:space="0" w:color="auto"/>
            <w:left w:val="none" w:sz="0" w:space="0" w:color="auto"/>
            <w:bottom w:val="none" w:sz="0" w:space="0" w:color="auto"/>
            <w:right w:val="none" w:sz="0" w:space="0" w:color="auto"/>
          </w:divBdr>
          <w:divsChild>
            <w:div w:id="145976845">
              <w:marLeft w:val="0"/>
              <w:marRight w:val="0"/>
              <w:marTop w:val="150"/>
              <w:marBottom w:val="0"/>
              <w:divBdr>
                <w:top w:val="none" w:sz="0" w:space="0" w:color="auto"/>
                <w:left w:val="none" w:sz="0" w:space="0" w:color="auto"/>
                <w:bottom w:val="none" w:sz="0" w:space="0" w:color="auto"/>
                <w:right w:val="none" w:sz="0" w:space="0" w:color="auto"/>
              </w:divBdr>
              <w:divsChild>
                <w:div w:id="3019771">
                  <w:marLeft w:val="0"/>
                  <w:marRight w:val="0"/>
                  <w:marTop w:val="0"/>
                  <w:marBottom w:val="0"/>
                  <w:divBdr>
                    <w:top w:val="none" w:sz="0" w:space="0" w:color="auto"/>
                    <w:left w:val="none" w:sz="0" w:space="0" w:color="auto"/>
                    <w:bottom w:val="none" w:sz="0" w:space="0" w:color="auto"/>
                    <w:right w:val="none" w:sz="0" w:space="0" w:color="auto"/>
                  </w:divBdr>
                  <w:divsChild>
                    <w:div w:id="1632899580">
                      <w:marLeft w:val="0"/>
                      <w:marRight w:val="0"/>
                      <w:marTop w:val="0"/>
                      <w:marBottom w:val="0"/>
                      <w:divBdr>
                        <w:top w:val="none" w:sz="0" w:space="0" w:color="auto"/>
                        <w:left w:val="none" w:sz="0" w:space="0" w:color="auto"/>
                        <w:bottom w:val="none" w:sz="0" w:space="0" w:color="auto"/>
                        <w:right w:val="none" w:sz="0" w:space="0" w:color="auto"/>
                      </w:divBdr>
                      <w:divsChild>
                        <w:div w:id="6847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128594">
      <w:bodyDiv w:val="1"/>
      <w:marLeft w:val="0"/>
      <w:marRight w:val="0"/>
      <w:marTop w:val="0"/>
      <w:marBottom w:val="0"/>
      <w:divBdr>
        <w:top w:val="none" w:sz="0" w:space="0" w:color="auto"/>
        <w:left w:val="none" w:sz="0" w:space="0" w:color="auto"/>
        <w:bottom w:val="none" w:sz="0" w:space="0" w:color="auto"/>
        <w:right w:val="none" w:sz="0" w:space="0" w:color="auto"/>
      </w:divBdr>
      <w:divsChild>
        <w:div w:id="1688408566">
          <w:marLeft w:val="0"/>
          <w:marRight w:val="0"/>
          <w:marTop w:val="0"/>
          <w:marBottom w:val="0"/>
          <w:divBdr>
            <w:top w:val="none" w:sz="0" w:space="0" w:color="auto"/>
            <w:left w:val="none" w:sz="0" w:space="0" w:color="auto"/>
            <w:bottom w:val="none" w:sz="0" w:space="0" w:color="auto"/>
            <w:right w:val="none" w:sz="0" w:space="0" w:color="auto"/>
          </w:divBdr>
          <w:divsChild>
            <w:div w:id="1818911126">
              <w:marLeft w:val="0"/>
              <w:marRight w:val="0"/>
              <w:marTop w:val="0"/>
              <w:marBottom w:val="0"/>
              <w:divBdr>
                <w:top w:val="none" w:sz="0" w:space="0" w:color="auto"/>
                <w:left w:val="none" w:sz="0" w:space="0" w:color="auto"/>
                <w:bottom w:val="none" w:sz="0" w:space="0" w:color="auto"/>
                <w:right w:val="none" w:sz="0" w:space="0" w:color="auto"/>
              </w:divBdr>
              <w:divsChild>
                <w:div w:id="898830386">
                  <w:marLeft w:val="0"/>
                  <w:marRight w:val="0"/>
                  <w:marTop w:val="0"/>
                  <w:marBottom w:val="0"/>
                  <w:divBdr>
                    <w:top w:val="none" w:sz="0" w:space="0" w:color="auto"/>
                    <w:left w:val="none" w:sz="0" w:space="0" w:color="auto"/>
                    <w:bottom w:val="none" w:sz="0" w:space="0" w:color="auto"/>
                    <w:right w:val="none" w:sz="0" w:space="0" w:color="auto"/>
                  </w:divBdr>
                  <w:divsChild>
                    <w:div w:id="1847667963">
                      <w:marLeft w:val="0"/>
                      <w:marRight w:val="0"/>
                      <w:marTop w:val="0"/>
                      <w:marBottom w:val="0"/>
                      <w:divBdr>
                        <w:top w:val="none" w:sz="0" w:space="0" w:color="auto"/>
                        <w:left w:val="none" w:sz="0" w:space="0" w:color="auto"/>
                        <w:bottom w:val="none" w:sz="0" w:space="0" w:color="auto"/>
                        <w:right w:val="none" w:sz="0" w:space="0" w:color="auto"/>
                      </w:divBdr>
                      <w:divsChild>
                        <w:div w:id="1032726176">
                          <w:marLeft w:val="0"/>
                          <w:marRight w:val="0"/>
                          <w:marTop w:val="0"/>
                          <w:marBottom w:val="0"/>
                          <w:divBdr>
                            <w:top w:val="none" w:sz="0" w:space="0" w:color="auto"/>
                            <w:left w:val="none" w:sz="0" w:space="0" w:color="auto"/>
                            <w:bottom w:val="none" w:sz="0" w:space="0" w:color="auto"/>
                            <w:right w:val="none" w:sz="0" w:space="0" w:color="auto"/>
                          </w:divBdr>
                          <w:divsChild>
                            <w:div w:id="2024433518">
                              <w:marLeft w:val="0"/>
                              <w:marRight w:val="0"/>
                              <w:marTop w:val="0"/>
                              <w:marBottom w:val="0"/>
                              <w:divBdr>
                                <w:top w:val="none" w:sz="0" w:space="0" w:color="auto"/>
                                <w:left w:val="none" w:sz="0" w:space="0" w:color="auto"/>
                                <w:bottom w:val="none" w:sz="0" w:space="0" w:color="auto"/>
                                <w:right w:val="none" w:sz="0" w:space="0" w:color="auto"/>
                              </w:divBdr>
                            </w:div>
                            <w:div w:id="3639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1410">
      <w:bodyDiv w:val="1"/>
      <w:marLeft w:val="0"/>
      <w:marRight w:val="0"/>
      <w:marTop w:val="0"/>
      <w:marBottom w:val="0"/>
      <w:divBdr>
        <w:top w:val="none" w:sz="0" w:space="0" w:color="auto"/>
        <w:left w:val="none" w:sz="0" w:space="0" w:color="auto"/>
        <w:bottom w:val="none" w:sz="0" w:space="0" w:color="auto"/>
        <w:right w:val="none" w:sz="0" w:space="0" w:color="auto"/>
      </w:divBdr>
      <w:divsChild>
        <w:div w:id="1704667393">
          <w:marLeft w:val="0"/>
          <w:marRight w:val="0"/>
          <w:marTop w:val="0"/>
          <w:marBottom w:val="0"/>
          <w:divBdr>
            <w:top w:val="single" w:sz="2" w:space="0" w:color="AAAAAA"/>
            <w:left w:val="single" w:sz="6" w:space="8" w:color="AAAAAA"/>
            <w:bottom w:val="single" w:sz="2" w:space="0" w:color="AAAAAA"/>
            <w:right w:val="single" w:sz="6" w:space="8" w:color="AAAAAA"/>
          </w:divBdr>
          <w:divsChild>
            <w:div w:id="1081415931">
              <w:marLeft w:val="0"/>
              <w:marRight w:val="0"/>
              <w:marTop w:val="0"/>
              <w:marBottom w:val="0"/>
              <w:divBdr>
                <w:top w:val="none" w:sz="0" w:space="0" w:color="auto"/>
                <w:left w:val="none" w:sz="0" w:space="0" w:color="auto"/>
                <w:bottom w:val="none" w:sz="0" w:space="0" w:color="auto"/>
                <w:right w:val="none" w:sz="0" w:space="0" w:color="auto"/>
              </w:divBdr>
              <w:divsChild>
                <w:div w:id="356194798">
                  <w:marLeft w:val="0"/>
                  <w:marRight w:val="0"/>
                  <w:marTop w:val="0"/>
                  <w:marBottom w:val="0"/>
                  <w:divBdr>
                    <w:top w:val="none" w:sz="0" w:space="0" w:color="auto"/>
                    <w:left w:val="none" w:sz="0" w:space="0" w:color="auto"/>
                    <w:bottom w:val="none" w:sz="0" w:space="0" w:color="auto"/>
                    <w:right w:val="none" w:sz="0" w:space="0" w:color="auto"/>
                  </w:divBdr>
                  <w:divsChild>
                    <w:div w:id="62947221">
                      <w:marLeft w:val="0"/>
                      <w:marRight w:val="2550"/>
                      <w:marTop w:val="0"/>
                      <w:marBottom w:val="48"/>
                      <w:divBdr>
                        <w:top w:val="none" w:sz="0" w:space="0" w:color="auto"/>
                        <w:left w:val="none" w:sz="0" w:space="0" w:color="auto"/>
                        <w:bottom w:val="none" w:sz="0" w:space="0" w:color="auto"/>
                        <w:right w:val="none" w:sz="0" w:space="0" w:color="auto"/>
                      </w:divBdr>
                      <w:divsChild>
                        <w:div w:id="1945650001">
                          <w:marLeft w:val="0"/>
                          <w:marRight w:val="0"/>
                          <w:marTop w:val="0"/>
                          <w:marBottom w:val="48"/>
                          <w:divBdr>
                            <w:top w:val="none" w:sz="0" w:space="0" w:color="auto"/>
                            <w:left w:val="none" w:sz="0" w:space="0" w:color="auto"/>
                            <w:bottom w:val="none" w:sz="0" w:space="0" w:color="auto"/>
                            <w:right w:val="none" w:sz="0" w:space="0" w:color="auto"/>
                          </w:divBdr>
                          <w:divsChild>
                            <w:div w:id="123385707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2484">
      <w:bodyDiv w:val="1"/>
      <w:marLeft w:val="0"/>
      <w:marRight w:val="0"/>
      <w:marTop w:val="0"/>
      <w:marBottom w:val="0"/>
      <w:divBdr>
        <w:top w:val="none" w:sz="0" w:space="0" w:color="auto"/>
        <w:left w:val="none" w:sz="0" w:space="0" w:color="auto"/>
        <w:bottom w:val="none" w:sz="0" w:space="0" w:color="auto"/>
        <w:right w:val="none" w:sz="0" w:space="0" w:color="auto"/>
      </w:divBdr>
      <w:divsChild>
        <w:div w:id="449208207">
          <w:marLeft w:val="0"/>
          <w:marRight w:val="0"/>
          <w:marTop w:val="0"/>
          <w:marBottom w:val="0"/>
          <w:divBdr>
            <w:top w:val="none" w:sz="0" w:space="0" w:color="auto"/>
            <w:left w:val="none" w:sz="0" w:space="0" w:color="auto"/>
            <w:bottom w:val="none" w:sz="0" w:space="0" w:color="auto"/>
            <w:right w:val="none" w:sz="0" w:space="0" w:color="auto"/>
          </w:divBdr>
          <w:divsChild>
            <w:div w:id="1666592595">
              <w:marLeft w:val="0"/>
              <w:marRight w:val="0"/>
              <w:marTop w:val="0"/>
              <w:marBottom w:val="0"/>
              <w:divBdr>
                <w:top w:val="none" w:sz="0" w:space="0" w:color="auto"/>
                <w:left w:val="none" w:sz="0" w:space="0" w:color="auto"/>
                <w:bottom w:val="none" w:sz="0" w:space="0" w:color="auto"/>
                <w:right w:val="none" w:sz="0" w:space="0" w:color="auto"/>
              </w:divBdr>
              <w:divsChild>
                <w:div w:id="796021295">
                  <w:marLeft w:val="0"/>
                  <w:marRight w:val="0"/>
                  <w:marTop w:val="0"/>
                  <w:marBottom w:val="0"/>
                  <w:divBdr>
                    <w:top w:val="none" w:sz="0" w:space="0" w:color="auto"/>
                    <w:left w:val="none" w:sz="0" w:space="0" w:color="auto"/>
                    <w:bottom w:val="none" w:sz="0" w:space="0" w:color="auto"/>
                    <w:right w:val="none" w:sz="0" w:space="0" w:color="auto"/>
                  </w:divBdr>
                  <w:divsChild>
                    <w:div w:id="1601180818">
                      <w:marLeft w:val="0"/>
                      <w:marRight w:val="0"/>
                      <w:marTop w:val="0"/>
                      <w:marBottom w:val="0"/>
                      <w:divBdr>
                        <w:top w:val="none" w:sz="0" w:space="0" w:color="auto"/>
                        <w:left w:val="none" w:sz="0" w:space="0" w:color="auto"/>
                        <w:bottom w:val="none" w:sz="0" w:space="0" w:color="auto"/>
                        <w:right w:val="none" w:sz="0" w:space="0" w:color="auto"/>
                      </w:divBdr>
                      <w:divsChild>
                        <w:div w:id="1832019791">
                          <w:marLeft w:val="0"/>
                          <w:marRight w:val="0"/>
                          <w:marTop w:val="0"/>
                          <w:marBottom w:val="0"/>
                          <w:divBdr>
                            <w:top w:val="none" w:sz="0" w:space="0" w:color="auto"/>
                            <w:left w:val="none" w:sz="0" w:space="0" w:color="auto"/>
                            <w:bottom w:val="none" w:sz="0" w:space="0" w:color="auto"/>
                            <w:right w:val="none" w:sz="0" w:space="0" w:color="auto"/>
                          </w:divBdr>
                          <w:divsChild>
                            <w:div w:id="1166475347">
                              <w:marLeft w:val="0"/>
                              <w:marRight w:val="0"/>
                              <w:marTop w:val="0"/>
                              <w:marBottom w:val="0"/>
                              <w:divBdr>
                                <w:top w:val="none" w:sz="0" w:space="0" w:color="auto"/>
                                <w:left w:val="none" w:sz="0" w:space="0" w:color="auto"/>
                                <w:bottom w:val="none" w:sz="0" w:space="0" w:color="auto"/>
                                <w:right w:val="none" w:sz="0" w:space="0" w:color="auto"/>
                              </w:divBdr>
                              <w:divsChild>
                                <w:div w:id="211426074">
                                  <w:marLeft w:val="0"/>
                                  <w:marRight w:val="0"/>
                                  <w:marTop w:val="0"/>
                                  <w:marBottom w:val="0"/>
                                  <w:divBdr>
                                    <w:top w:val="none" w:sz="0" w:space="0" w:color="auto"/>
                                    <w:left w:val="none" w:sz="0" w:space="0" w:color="auto"/>
                                    <w:bottom w:val="none" w:sz="0" w:space="0" w:color="auto"/>
                                    <w:right w:val="none" w:sz="0" w:space="0" w:color="auto"/>
                                  </w:divBdr>
                                  <w:divsChild>
                                    <w:div w:id="1534995556">
                                      <w:marLeft w:val="0"/>
                                      <w:marRight w:val="0"/>
                                      <w:marTop w:val="0"/>
                                      <w:marBottom w:val="0"/>
                                      <w:divBdr>
                                        <w:top w:val="none" w:sz="0" w:space="0" w:color="auto"/>
                                        <w:left w:val="none" w:sz="0" w:space="0" w:color="auto"/>
                                        <w:bottom w:val="none" w:sz="0" w:space="0" w:color="auto"/>
                                        <w:right w:val="none" w:sz="0" w:space="0" w:color="auto"/>
                                      </w:divBdr>
                                      <w:divsChild>
                                        <w:div w:id="1864048097">
                                          <w:marLeft w:val="0"/>
                                          <w:marRight w:val="0"/>
                                          <w:marTop w:val="0"/>
                                          <w:marBottom w:val="0"/>
                                          <w:divBdr>
                                            <w:top w:val="none" w:sz="0" w:space="0" w:color="auto"/>
                                            <w:left w:val="none" w:sz="0" w:space="0" w:color="auto"/>
                                            <w:bottom w:val="none" w:sz="0" w:space="0" w:color="auto"/>
                                            <w:right w:val="none" w:sz="0" w:space="0" w:color="auto"/>
                                          </w:divBdr>
                                          <w:divsChild>
                                            <w:div w:id="1801341486">
                                              <w:marLeft w:val="0"/>
                                              <w:marRight w:val="0"/>
                                              <w:marTop w:val="0"/>
                                              <w:marBottom w:val="0"/>
                                              <w:divBdr>
                                                <w:top w:val="none" w:sz="0" w:space="0" w:color="auto"/>
                                                <w:left w:val="none" w:sz="0" w:space="0" w:color="auto"/>
                                                <w:bottom w:val="none" w:sz="0" w:space="0" w:color="auto"/>
                                                <w:right w:val="none" w:sz="0" w:space="0" w:color="auto"/>
                                              </w:divBdr>
                                              <w:divsChild>
                                                <w:div w:id="936719313">
                                                  <w:marLeft w:val="0"/>
                                                  <w:marRight w:val="0"/>
                                                  <w:marTop w:val="0"/>
                                                  <w:marBottom w:val="0"/>
                                                  <w:divBdr>
                                                    <w:top w:val="none" w:sz="0" w:space="0" w:color="auto"/>
                                                    <w:left w:val="none" w:sz="0" w:space="0" w:color="auto"/>
                                                    <w:bottom w:val="none" w:sz="0" w:space="0" w:color="auto"/>
                                                    <w:right w:val="none" w:sz="0" w:space="0" w:color="auto"/>
                                                  </w:divBdr>
                                                  <w:divsChild>
                                                    <w:div w:id="1810049892">
                                                      <w:marLeft w:val="0"/>
                                                      <w:marRight w:val="0"/>
                                                      <w:marTop w:val="0"/>
                                                      <w:marBottom w:val="0"/>
                                                      <w:divBdr>
                                                        <w:top w:val="none" w:sz="0" w:space="0" w:color="auto"/>
                                                        <w:left w:val="none" w:sz="0" w:space="0" w:color="auto"/>
                                                        <w:bottom w:val="none" w:sz="0" w:space="0" w:color="auto"/>
                                                        <w:right w:val="none" w:sz="0" w:space="0" w:color="auto"/>
                                                      </w:divBdr>
                                                      <w:divsChild>
                                                        <w:div w:id="798764512">
                                                          <w:marLeft w:val="0"/>
                                                          <w:marRight w:val="0"/>
                                                          <w:marTop w:val="0"/>
                                                          <w:marBottom w:val="0"/>
                                                          <w:divBdr>
                                                            <w:top w:val="none" w:sz="0" w:space="0" w:color="auto"/>
                                                            <w:left w:val="none" w:sz="0" w:space="0" w:color="auto"/>
                                                            <w:bottom w:val="none" w:sz="0" w:space="0" w:color="auto"/>
                                                            <w:right w:val="none" w:sz="0" w:space="0" w:color="auto"/>
                                                          </w:divBdr>
                                                        </w:div>
                                                        <w:div w:id="831066266">
                                                          <w:marLeft w:val="0"/>
                                                          <w:marRight w:val="0"/>
                                                          <w:marTop w:val="0"/>
                                                          <w:marBottom w:val="0"/>
                                                          <w:divBdr>
                                                            <w:top w:val="none" w:sz="0" w:space="0" w:color="auto"/>
                                                            <w:left w:val="none" w:sz="0" w:space="0" w:color="auto"/>
                                                            <w:bottom w:val="none" w:sz="0" w:space="0" w:color="auto"/>
                                                            <w:right w:val="none" w:sz="0" w:space="0" w:color="auto"/>
                                                          </w:divBdr>
                                                          <w:divsChild>
                                                            <w:div w:id="4757579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4432845">
      <w:bodyDiv w:val="1"/>
      <w:marLeft w:val="0"/>
      <w:marRight w:val="0"/>
      <w:marTop w:val="0"/>
      <w:marBottom w:val="0"/>
      <w:divBdr>
        <w:top w:val="none" w:sz="0" w:space="0" w:color="auto"/>
        <w:left w:val="none" w:sz="0" w:space="0" w:color="auto"/>
        <w:bottom w:val="none" w:sz="0" w:space="0" w:color="auto"/>
        <w:right w:val="none" w:sz="0" w:space="0" w:color="auto"/>
      </w:divBdr>
      <w:divsChild>
        <w:div w:id="1310013124">
          <w:marLeft w:val="0"/>
          <w:marRight w:val="0"/>
          <w:marTop w:val="0"/>
          <w:marBottom w:val="0"/>
          <w:divBdr>
            <w:top w:val="none" w:sz="0" w:space="0" w:color="auto"/>
            <w:left w:val="none" w:sz="0" w:space="0" w:color="auto"/>
            <w:bottom w:val="none" w:sz="0" w:space="0" w:color="auto"/>
            <w:right w:val="none" w:sz="0" w:space="0" w:color="auto"/>
          </w:divBdr>
          <w:divsChild>
            <w:div w:id="1256743151">
              <w:marLeft w:val="0"/>
              <w:marRight w:val="0"/>
              <w:marTop w:val="0"/>
              <w:marBottom w:val="0"/>
              <w:divBdr>
                <w:top w:val="none" w:sz="0" w:space="0" w:color="auto"/>
                <w:left w:val="none" w:sz="0" w:space="0" w:color="auto"/>
                <w:bottom w:val="none" w:sz="0" w:space="0" w:color="auto"/>
                <w:right w:val="none" w:sz="0" w:space="0" w:color="auto"/>
              </w:divBdr>
              <w:divsChild>
                <w:div w:id="1075322127">
                  <w:marLeft w:val="-225"/>
                  <w:marRight w:val="-225"/>
                  <w:marTop w:val="0"/>
                  <w:marBottom w:val="0"/>
                  <w:divBdr>
                    <w:top w:val="none" w:sz="0" w:space="0" w:color="auto"/>
                    <w:left w:val="none" w:sz="0" w:space="0" w:color="auto"/>
                    <w:bottom w:val="none" w:sz="0" w:space="0" w:color="auto"/>
                    <w:right w:val="none" w:sz="0" w:space="0" w:color="auto"/>
                  </w:divBdr>
                  <w:divsChild>
                    <w:div w:id="52318455">
                      <w:marLeft w:val="0"/>
                      <w:marRight w:val="0"/>
                      <w:marTop w:val="0"/>
                      <w:marBottom w:val="0"/>
                      <w:divBdr>
                        <w:top w:val="none" w:sz="0" w:space="0" w:color="auto"/>
                        <w:left w:val="none" w:sz="0" w:space="0" w:color="auto"/>
                        <w:bottom w:val="none" w:sz="0" w:space="0" w:color="auto"/>
                        <w:right w:val="none" w:sz="0" w:space="0" w:color="auto"/>
                      </w:divBdr>
                      <w:divsChild>
                        <w:div w:id="1618222005">
                          <w:marLeft w:val="0"/>
                          <w:marRight w:val="0"/>
                          <w:marTop w:val="1200"/>
                          <w:marBottom w:val="750"/>
                          <w:divBdr>
                            <w:top w:val="none" w:sz="0" w:space="0" w:color="auto"/>
                            <w:left w:val="none" w:sz="0" w:space="0" w:color="auto"/>
                            <w:bottom w:val="none" w:sz="0" w:space="0" w:color="auto"/>
                            <w:right w:val="none" w:sz="0" w:space="0" w:color="auto"/>
                          </w:divBdr>
                          <w:divsChild>
                            <w:div w:id="2434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559521">
      <w:bodyDiv w:val="1"/>
      <w:marLeft w:val="0"/>
      <w:marRight w:val="0"/>
      <w:marTop w:val="0"/>
      <w:marBottom w:val="0"/>
      <w:divBdr>
        <w:top w:val="none" w:sz="0" w:space="0" w:color="auto"/>
        <w:left w:val="none" w:sz="0" w:space="0" w:color="auto"/>
        <w:bottom w:val="none" w:sz="0" w:space="0" w:color="auto"/>
        <w:right w:val="none" w:sz="0" w:space="0" w:color="auto"/>
      </w:divBdr>
      <w:divsChild>
        <w:div w:id="1498884696">
          <w:marLeft w:val="0"/>
          <w:marRight w:val="0"/>
          <w:marTop w:val="0"/>
          <w:marBottom w:val="0"/>
          <w:divBdr>
            <w:top w:val="none" w:sz="0" w:space="0" w:color="auto"/>
            <w:left w:val="none" w:sz="0" w:space="0" w:color="auto"/>
            <w:bottom w:val="none" w:sz="0" w:space="0" w:color="auto"/>
            <w:right w:val="none" w:sz="0" w:space="0" w:color="auto"/>
          </w:divBdr>
          <w:divsChild>
            <w:div w:id="188421104">
              <w:marLeft w:val="0"/>
              <w:marRight w:val="0"/>
              <w:marTop w:val="0"/>
              <w:marBottom w:val="0"/>
              <w:divBdr>
                <w:top w:val="none" w:sz="0" w:space="0" w:color="auto"/>
                <w:left w:val="none" w:sz="0" w:space="0" w:color="auto"/>
                <w:bottom w:val="none" w:sz="0" w:space="0" w:color="auto"/>
                <w:right w:val="none" w:sz="0" w:space="0" w:color="auto"/>
              </w:divBdr>
              <w:divsChild>
                <w:div w:id="405079751">
                  <w:marLeft w:val="0"/>
                  <w:marRight w:val="0"/>
                  <w:marTop w:val="0"/>
                  <w:marBottom w:val="0"/>
                  <w:divBdr>
                    <w:top w:val="none" w:sz="0" w:space="0" w:color="auto"/>
                    <w:left w:val="none" w:sz="0" w:space="0" w:color="auto"/>
                    <w:bottom w:val="none" w:sz="0" w:space="0" w:color="auto"/>
                    <w:right w:val="none" w:sz="0" w:space="0" w:color="auto"/>
                  </w:divBdr>
                  <w:divsChild>
                    <w:div w:id="1179854991">
                      <w:marLeft w:val="0"/>
                      <w:marRight w:val="0"/>
                      <w:marTop w:val="0"/>
                      <w:marBottom w:val="0"/>
                      <w:divBdr>
                        <w:top w:val="none" w:sz="0" w:space="0" w:color="auto"/>
                        <w:left w:val="none" w:sz="0" w:space="0" w:color="auto"/>
                        <w:bottom w:val="none" w:sz="0" w:space="0" w:color="auto"/>
                        <w:right w:val="none" w:sz="0" w:space="0" w:color="auto"/>
                      </w:divBdr>
                      <w:divsChild>
                        <w:div w:id="4505155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36667743">
      <w:bodyDiv w:val="1"/>
      <w:marLeft w:val="0"/>
      <w:marRight w:val="0"/>
      <w:marTop w:val="0"/>
      <w:marBottom w:val="0"/>
      <w:divBdr>
        <w:top w:val="none" w:sz="0" w:space="0" w:color="auto"/>
        <w:left w:val="none" w:sz="0" w:space="0" w:color="auto"/>
        <w:bottom w:val="none" w:sz="0" w:space="0" w:color="auto"/>
        <w:right w:val="none" w:sz="0" w:space="0" w:color="auto"/>
      </w:divBdr>
    </w:div>
    <w:div w:id="238567019">
      <w:bodyDiv w:val="1"/>
      <w:marLeft w:val="0"/>
      <w:marRight w:val="0"/>
      <w:marTop w:val="0"/>
      <w:marBottom w:val="0"/>
      <w:divBdr>
        <w:top w:val="none" w:sz="0" w:space="0" w:color="auto"/>
        <w:left w:val="none" w:sz="0" w:space="0" w:color="auto"/>
        <w:bottom w:val="none" w:sz="0" w:space="0" w:color="auto"/>
        <w:right w:val="none" w:sz="0" w:space="0" w:color="auto"/>
      </w:divBdr>
    </w:div>
    <w:div w:id="239994970">
      <w:bodyDiv w:val="1"/>
      <w:marLeft w:val="0"/>
      <w:marRight w:val="0"/>
      <w:marTop w:val="0"/>
      <w:marBottom w:val="0"/>
      <w:divBdr>
        <w:top w:val="none" w:sz="0" w:space="0" w:color="auto"/>
        <w:left w:val="none" w:sz="0" w:space="0" w:color="auto"/>
        <w:bottom w:val="none" w:sz="0" w:space="0" w:color="auto"/>
        <w:right w:val="none" w:sz="0" w:space="0" w:color="auto"/>
      </w:divBdr>
    </w:div>
    <w:div w:id="241181265">
      <w:bodyDiv w:val="1"/>
      <w:marLeft w:val="0"/>
      <w:marRight w:val="0"/>
      <w:marTop w:val="0"/>
      <w:marBottom w:val="0"/>
      <w:divBdr>
        <w:top w:val="none" w:sz="0" w:space="0" w:color="auto"/>
        <w:left w:val="none" w:sz="0" w:space="0" w:color="auto"/>
        <w:bottom w:val="none" w:sz="0" w:space="0" w:color="auto"/>
        <w:right w:val="none" w:sz="0" w:space="0" w:color="auto"/>
      </w:divBdr>
      <w:divsChild>
        <w:div w:id="1786147882">
          <w:marLeft w:val="0"/>
          <w:marRight w:val="0"/>
          <w:marTop w:val="0"/>
          <w:marBottom w:val="0"/>
          <w:divBdr>
            <w:top w:val="none" w:sz="0" w:space="0" w:color="auto"/>
            <w:left w:val="none" w:sz="0" w:space="0" w:color="auto"/>
            <w:bottom w:val="none" w:sz="0" w:space="0" w:color="auto"/>
            <w:right w:val="none" w:sz="0" w:space="0" w:color="auto"/>
          </w:divBdr>
          <w:divsChild>
            <w:div w:id="1944072955">
              <w:marLeft w:val="0"/>
              <w:marRight w:val="0"/>
              <w:marTop w:val="0"/>
              <w:marBottom w:val="0"/>
              <w:divBdr>
                <w:top w:val="none" w:sz="0" w:space="0" w:color="auto"/>
                <w:left w:val="none" w:sz="0" w:space="0" w:color="auto"/>
                <w:bottom w:val="none" w:sz="0" w:space="0" w:color="auto"/>
                <w:right w:val="none" w:sz="0" w:space="0" w:color="auto"/>
              </w:divBdr>
              <w:divsChild>
                <w:div w:id="1524784788">
                  <w:marLeft w:val="0"/>
                  <w:marRight w:val="0"/>
                  <w:marTop w:val="0"/>
                  <w:marBottom w:val="0"/>
                  <w:divBdr>
                    <w:top w:val="none" w:sz="0" w:space="0" w:color="auto"/>
                    <w:left w:val="none" w:sz="0" w:space="0" w:color="auto"/>
                    <w:bottom w:val="none" w:sz="0" w:space="0" w:color="auto"/>
                    <w:right w:val="none" w:sz="0" w:space="0" w:color="auto"/>
                  </w:divBdr>
                  <w:divsChild>
                    <w:div w:id="391931880">
                      <w:marLeft w:val="0"/>
                      <w:marRight w:val="0"/>
                      <w:marTop w:val="0"/>
                      <w:marBottom w:val="0"/>
                      <w:divBdr>
                        <w:top w:val="none" w:sz="0" w:space="0" w:color="auto"/>
                        <w:left w:val="none" w:sz="0" w:space="0" w:color="auto"/>
                        <w:bottom w:val="none" w:sz="0" w:space="0" w:color="auto"/>
                        <w:right w:val="none" w:sz="0" w:space="0" w:color="auto"/>
                      </w:divBdr>
                      <w:divsChild>
                        <w:div w:id="518349398">
                          <w:marLeft w:val="0"/>
                          <w:marRight w:val="0"/>
                          <w:marTop w:val="0"/>
                          <w:marBottom w:val="0"/>
                          <w:divBdr>
                            <w:top w:val="none" w:sz="0" w:space="0" w:color="auto"/>
                            <w:left w:val="none" w:sz="0" w:space="0" w:color="auto"/>
                            <w:bottom w:val="none" w:sz="0" w:space="0" w:color="auto"/>
                            <w:right w:val="none" w:sz="0" w:space="0" w:color="auto"/>
                          </w:divBdr>
                          <w:divsChild>
                            <w:div w:id="1967615898">
                              <w:marLeft w:val="0"/>
                              <w:marRight w:val="0"/>
                              <w:marTop w:val="0"/>
                              <w:marBottom w:val="0"/>
                              <w:divBdr>
                                <w:top w:val="none" w:sz="0" w:space="0" w:color="auto"/>
                                <w:left w:val="none" w:sz="0" w:space="0" w:color="auto"/>
                                <w:bottom w:val="none" w:sz="0" w:space="0" w:color="auto"/>
                                <w:right w:val="none" w:sz="0" w:space="0" w:color="auto"/>
                              </w:divBdr>
                              <w:divsChild>
                                <w:div w:id="1732075159">
                                  <w:marLeft w:val="120"/>
                                  <w:marRight w:val="720"/>
                                  <w:marTop w:val="120"/>
                                  <w:marBottom w:val="120"/>
                                  <w:divBdr>
                                    <w:top w:val="none" w:sz="0" w:space="0" w:color="auto"/>
                                    <w:left w:val="none" w:sz="0" w:space="0" w:color="auto"/>
                                    <w:bottom w:val="none" w:sz="0" w:space="0" w:color="auto"/>
                                    <w:right w:val="none" w:sz="0" w:space="0" w:color="auto"/>
                                  </w:divBdr>
                                  <w:divsChild>
                                    <w:div w:id="1438450928">
                                      <w:marLeft w:val="0"/>
                                      <w:marRight w:val="0"/>
                                      <w:marTop w:val="0"/>
                                      <w:marBottom w:val="0"/>
                                      <w:divBdr>
                                        <w:top w:val="none" w:sz="0" w:space="0" w:color="auto"/>
                                        <w:left w:val="none" w:sz="0" w:space="0" w:color="auto"/>
                                        <w:bottom w:val="none" w:sz="0" w:space="0" w:color="auto"/>
                                        <w:right w:val="none" w:sz="0" w:space="0" w:color="auto"/>
                                      </w:divBdr>
                                      <w:divsChild>
                                        <w:div w:id="1839688317">
                                          <w:marLeft w:val="0"/>
                                          <w:marRight w:val="0"/>
                                          <w:marTop w:val="0"/>
                                          <w:marBottom w:val="0"/>
                                          <w:divBdr>
                                            <w:top w:val="none" w:sz="0" w:space="0" w:color="auto"/>
                                            <w:left w:val="none" w:sz="0" w:space="0" w:color="auto"/>
                                            <w:bottom w:val="none" w:sz="0" w:space="0" w:color="auto"/>
                                            <w:right w:val="none" w:sz="0" w:space="0" w:color="auto"/>
                                          </w:divBdr>
                                          <w:divsChild>
                                            <w:div w:id="126358118">
                                              <w:marLeft w:val="0"/>
                                              <w:marRight w:val="0"/>
                                              <w:marTop w:val="0"/>
                                              <w:marBottom w:val="0"/>
                                              <w:divBdr>
                                                <w:top w:val="none" w:sz="0" w:space="0" w:color="auto"/>
                                                <w:left w:val="none" w:sz="0" w:space="0" w:color="auto"/>
                                                <w:bottom w:val="none" w:sz="0" w:space="0" w:color="auto"/>
                                                <w:right w:val="none" w:sz="0" w:space="0" w:color="auto"/>
                                              </w:divBdr>
                                              <w:divsChild>
                                                <w:div w:id="450781675">
                                                  <w:marLeft w:val="0"/>
                                                  <w:marRight w:val="0"/>
                                                  <w:marTop w:val="240"/>
                                                  <w:marBottom w:val="240"/>
                                                  <w:divBdr>
                                                    <w:top w:val="single" w:sz="6" w:space="6" w:color="F2F2F2"/>
                                                    <w:left w:val="none" w:sz="0" w:space="0" w:color="auto"/>
                                                    <w:bottom w:val="single" w:sz="6" w:space="6" w:color="F2F2F2"/>
                                                    <w:right w:val="none" w:sz="0" w:space="0" w:color="auto"/>
                                                  </w:divBdr>
                                                </w:div>
                                                <w:div w:id="198397654">
                                                  <w:marLeft w:val="0"/>
                                                  <w:marRight w:val="0"/>
                                                  <w:marTop w:val="0"/>
                                                  <w:marBottom w:val="0"/>
                                                  <w:divBdr>
                                                    <w:top w:val="none" w:sz="0" w:space="0" w:color="auto"/>
                                                    <w:left w:val="none" w:sz="0" w:space="0" w:color="auto"/>
                                                    <w:bottom w:val="none" w:sz="0" w:space="0" w:color="auto"/>
                                                    <w:right w:val="none" w:sz="0" w:space="0" w:color="auto"/>
                                                  </w:divBdr>
                                                  <w:divsChild>
                                                    <w:div w:id="2615676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5765656">
      <w:bodyDiv w:val="1"/>
      <w:marLeft w:val="0"/>
      <w:marRight w:val="0"/>
      <w:marTop w:val="0"/>
      <w:marBottom w:val="0"/>
      <w:divBdr>
        <w:top w:val="none" w:sz="0" w:space="0" w:color="auto"/>
        <w:left w:val="none" w:sz="0" w:space="0" w:color="auto"/>
        <w:bottom w:val="none" w:sz="0" w:space="0" w:color="auto"/>
        <w:right w:val="none" w:sz="0" w:space="0" w:color="auto"/>
      </w:divBdr>
    </w:div>
    <w:div w:id="247008453">
      <w:bodyDiv w:val="1"/>
      <w:marLeft w:val="0"/>
      <w:marRight w:val="0"/>
      <w:marTop w:val="0"/>
      <w:marBottom w:val="0"/>
      <w:divBdr>
        <w:top w:val="none" w:sz="0" w:space="0" w:color="auto"/>
        <w:left w:val="none" w:sz="0" w:space="0" w:color="auto"/>
        <w:bottom w:val="none" w:sz="0" w:space="0" w:color="auto"/>
        <w:right w:val="none" w:sz="0" w:space="0" w:color="auto"/>
      </w:divBdr>
      <w:divsChild>
        <w:div w:id="1158376476">
          <w:marLeft w:val="0"/>
          <w:marRight w:val="0"/>
          <w:marTop w:val="0"/>
          <w:marBottom w:val="0"/>
          <w:divBdr>
            <w:top w:val="none" w:sz="0" w:space="0" w:color="auto"/>
            <w:left w:val="none" w:sz="0" w:space="0" w:color="auto"/>
            <w:bottom w:val="none" w:sz="0" w:space="0" w:color="auto"/>
            <w:right w:val="none" w:sz="0" w:space="0" w:color="auto"/>
          </w:divBdr>
          <w:divsChild>
            <w:div w:id="2006929242">
              <w:marLeft w:val="0"/>
              <w:marRight w:val="0"/>
              <w:marTop w:val="0"/>
              <w:marBottom w:val="0"/>
              <w:divBdr>
                <w:top w:val="none" w:sz="0" w:space="0" w:color="auto"/>
                <w:left w:val="none" w:sz="0" w:space="0" w:color="auto"/>
                <w:bottom w:val="none" w:sz="0" w:space="0" w:color="auto"/>
                <w:right w:val="none" w:sz="0" w:space="0" w:color="auto"/>
              </w:divBdr>
              <w:divsChild>
                <w:div w:id="1321886867">
                  <w:marLeft w:val="0"/>
                  <w:marRight w:val="0"/>
                  <w:marTop w:val="0"/>
                  <w:marBottom w:val="0"/>
                  <w:divBdr>
                    <w:top w:val="none" w:sz="0" w:space="0" w:color="auto"/>
                    <w:left w:val="none" w:sz="0" w:space="0" w:color="auto"/>
                    <w:bottom w:val="none" w:sz="0" w:space="0" w:color="auto"/>
                    <w:right w:val="none" w:sz="0" w:space="0" w:color="auto"/>
                  </w:divBdr>
                  <w:divsChild>
                    <w:div w:id="1100564650">
                      <w:marLeft w:val="0"/>
                      <w:marRight w:val="0"/>
                      <w:marTop w:val="0"/>
                      <w:marBottom w:val="0"/>
                      <w:divBdr>
                        <w:top w:val="none" w:sz="0" w:space="0" w:color="auto"/>
                        <w:left w:val="none" w:sz="0" w:space="0" w:color="auto"/>
                        <w:bottom w:val="none" w:sz="0" w:space="0" w:color="auto"/>
                        <w:right w:val="none" w:sz="0" w:space="0" w:color="auto"/>
                      </w:divBdr>
                      <w:divsChild>
                        <w:div w:id="1968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153895">
      <w:bodyDiv w:val="1"/>
      <w:marLeft w:val="0"/>
      <w:marRight w:val="0"/>
      <w:marTop w:val="0"/>
      <w:marBottom w:val="0"/>
      <w:divBdr>
        <w:top w:val="none" w:sz="0" w:space="0" w:color="auto"/>
        <w:left w:val="none" w:sz="0" w:space="0" w:color="auto"/>
        <w:bottom w:val="none" w:sz="0" w:space="0" w:color="auto"/>
        <w:right w:val="none" w:sz="0" w:space="0" w:color="auto"/>
      </w:divBdr>
      <w:divsChild>
        <w:div w:id="1735276081">
          <w:marLeft w:val="0"/>
          <w:marRight w:val="0"/>
          <w:marTop w:val="0"/>
          <w:marBottom w:val="0"/>
          <w:divBdr>
            <w:top w:val="none" w:sz="0" w:space="0" w:color="auto"/>
            <w:left w:val="none" w:sz="0" w:space="0" w:color="auto"/>
            <w:bottom w:val="none" w:sz="0" w:space="0" w:color="auto"/>
            <w:right w:val="none" w:sz="0" w:space="0" w:color="auto"/>
          </w:divBdr>
          <w:divsChild>
            <w:div w:id="1742946538">
              <w:marLeft w:val="0"/>
              <w:marRight w:val="0"/>
              <w:marTop w:val="0"/>
              <w:marBottom w:val="0"/>
              <w:divBdr>
                <w:top w:val="none" w:sz="0" w:space="0" w:color="auto"/>
                <w:left w:val="none" w:sz="0" w:space="0" w:color="auto"/>
                <w:bottom w:val="none" w:sz="0" w:space="0" w:color="auto"/>
                <w:right w:val="none" w:sz="0" w:space="0" w:color="auto"/>
              </w:divBdr>
              <w:divsChild>
                <w:div w:id="520315303">
                  <w:marLeft w:val="-375"/>
                  <w:marRight w:val="0"/>
                  <w:marTop w:val="0"/>
                  <w:marBottom w:val="0"/>
                  <w:divBdr>
                    <w:top w:val="none" w:sz="0" w:space="0" w:color="auto"/>
                    <w:left w:val="none" w:sz="0" w:space="0" w:color="auto"/>
                    <w:bottom w:val="none" w:sz="0" w:space="0" w:color="auto"/>
                    <w:right w:val="none" w:sz="0" w:space="0" w:color="auto"/>
                  </w:divBdr>
                  <w:divsChild>
                    <w:div w:id="731347934">
                      <w:marLeft w:val="0"/>
                      <w:marRight w:val="0"/>
                      <w:marTop w:val="0"/>
                      <w:marBottom w:val="0"/>
                      <w:divBdr>
                        <w:top w:val="none" w:sz="0" w:space="0" w:color="auto"/>
                        <w:left w:val="none" w:sz="0" w:space="0" w:color="auto"/>
                        <w:bottom w:val="none" w:sz="0" w:space="0" w:color="auto"/>
                        <w:right w:val="none" w:sz="0" w:space="0" w:color="auto"/>
                      </w:divBdr>
                      <w:divsChild>
                        <w:div w:id="627317122">
                          <w:marLeft w:val="0"/>
                          <w:marRight w:val="0"/>
                          <w:marTop w:val="0"/>
                          <w:marBottom w:val="0"/>
                          <w:divBdr>
                            <w:top w:val="none" w:sz="0" w:space="0" w:color="auto"/>
                            <w:left w:val="none" w:sz="0" w:space="0" w:color="auto"/>
                            <w:bottom w:val="none" w:sz="0" w:space="0" w:color="auto"/>
                            <w:right w:val="none" w:sz="0" w:space="0" w:color="auto"/>
                          </w:divBdr>
                          <w:divsChild>
                            <w:div w:id="1660886880">
                              <w:marLeft w:val="-375"/>
                              <w:marRight w:val="0"/>
                              <w:marTop w:val="0"/>
                              <w:marBottom w:val="0"/>
                              <w:divBdr>
                                <w:top w:val="none" w:sz="0" w:space="0" w:color="auto"/>
                                <w:left w:val="none" w:sz="0" w:space="0" w:color="auto"/>
                                <w:bottom w:val="none" w:sz="0" w:space="0" w:color="auto"/>
                                <w:right w:val="none" w:sz="0" w:space="0" w:color="auto"/>
                              </w:divBdr>
                              <w:divsChild>
                                <w:div w:id="13896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468407">
      <w:bodyDiv w:val="1"/>
      <w:marLeft w:val="0"/>
      <w:marRight w:val="0"/>
      <w:marTop w:val="0"/>
      <w:marBottom w:val="0"/>
      <w:divBdr>
        <w:top w:val="none" w:sz="0" w:space="0" w:color="auto"/>
        <w:left w:val="none" w:sz="0" w:space="0" w:color="auto"/>
        <w:bottom w:val="none" w:sz="0" w:space="0" w:color="auto"/>
        <w:right w:val="none" w:sz="0" w:space="0" w:color="auto"/>
      </w:divBdr>
      <w:divsChild>
        <w:div w:id="1861892177">
          <w:marLeft w:val="0"/>
          <w:marRight w:val="0"/>
          <w:marTop w:val="0"/>
          <w:marBottom w:val="0"/>
          <w:divBdr>
            <w:top w:val="none" w:sz="0" w:space="0" w:color="auto"/>
            <w:left w:val="none" w:sz="0" w:space="0" w:color="auto"/>
            <w:bottom w:val="none" w:sz="0" w:space="0" w:color="auto"/>
            <w:right w:val="none" w:sz="0" w:space="0" w:color="auto"/>
          </w:divBdr>
        </w:div>
        <w:div w:id="93478435">
          <w:marLeft w:val="0"/>
          <w:marRight w:val="0"/>
          <w:marTop w:val="0"/>
          <w:marBottom w:val="0"/>
          <w:divBdr>
            <w:top w:val="none" w:sz="0" w:space="0" w:color="auto"/>
            <w:left w:val="none" w:sz="0" w:space="0" w:color="auto"/>
            <w:bottom w:val="none" w:sz="0" w:space="0" w:color="auto"/>
            <w:right w:val="none" w:sz="0" w:space="0" w:color="auto"/>
          </w:divBdr>
          <w:divsChild>
            <w:div w:id="16500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6095">
      <w:bodyDiv w:val="1"/>
      <w:marLeft w:val="0"/>
      <w:marRight w:val="0"/>
      <w:marTop w:val="0"/>
      <w:marBottom w:val="0"/>
      <w:divBdr>
        <w:top w:val="none" w:sz="0" w:space="0" w:color="auto"/>
        <w:left w:val="none" w:sz="0" w:space="0" w:color="auto"/>
        <w:bottom w:val="none" w:sz="0" w:space="0" w:color="auto"/>
        <w:right w:val="none" w:sz="0" w:space="0" w:color="auto"/>
      </w:divBdr>
      <w:divsChild>
        <w:div w:id="1478182016">
          <w:marLeft w:val="0"/>
          <w:marRight w:val="0"/>
          <w:marTop w:val="0"/>
          <w:marBottom w:val="0"/>
          <w:divBdr>
            <w:top w:val="none" w:sz="0" w:space="0" w:color="auto"/>
            <w:left w:val="none" w:sz="0" w:space="0" w:color="auto"/>
            <w:bottom w:val="none" w:sz="0" w:space="0" w:color="auto"/>
            <w:right w:val="none" w:sz="0" w:space="0" w:color="auto"/>
          </w:divBdr>
        </w:div>
      </w:divsChild>
    </w:div>
    <w:div w:id="249698336">
      <w:bodyDiv w:val="1"/>
      <w:marLeft w:val="0"/>
      <w:marRight w:val="0"/>
      <w:marTop w:val="0"/>
      <w:marBottom w:val="0"/>
      <w:divBdr>
        <w:top w:val="none" w:sz="0" w:space="0" w:color="auto"/>
        <w:left w:val="none" w:sz="0" w:space="0" w:color="auto"/>
        <w:bottom w:val="none" w:sz="0" w:space="0" w:color="auto"/>
        <w:right w:val="none" w:sz="0" w:space="0" w:color="auto"/>
      </w:divBdr>
      <w:divsChild>
        <w:div w:id="399058183">
          <w:marLeft w:val="0"/>
          <w:marRight w:val="0"/>
          <w:marTop w:val="0"/>
          <w:marBottom w:val="0"/>
          <w:divBdr>
            <w:top w:val="none" w:sz="0" w:space="0" w:color="auto"/>
            <w:left w:val="none" w:sz="0" w:space="0" w:color="auto"/>
            <w:bottom w:val="none" w:sz="0" w:space="0" w:color="auto"/>
            <w:right w:val="none" w:sz="0" w:space="0" w:color="auto"/>
          </w:divBdr>
          <w:divsChild>
            <w:div w:id="1230188695">
              <w:marLeft w:val="0"/>
              <w:marRight w:val="0"/>
              <w:marTop w:val="0"/>
              <w:marBottom w:val="0"/>
              <w:divBdr>
                <w:top w:val="none" w:sz="0" w:space="0" w:color="auto"/>
                <w:left w:val="none" w:sz="0" w:space="0" w:color="auto"/>
                <w:bottom w:val="none" w:sz="0" w:space="0" w:color="auto"/>
                <w:right w:val="none" w:sz="0" w:space="0" w:color="auto"/>
              </w:divBdr>
              <w:divsChild>
                <w:div w:id="1872499842">
                  <w:marLeft w:val="0"/>
                  <w:marRight w:val="0"/>
                  <w:marTop w:val="0"/>
                  <w:marBottom w:val="0"/>
                  <w:divBdr>
                    <w:top w:val="none" w:sz="0" w:space="0" w:color="auto"/>
                    <w:left w:val="none" w:sz="0" w:space="0" w:color="auto"/>
                    <w:bottom w:val="none" w:sz="0" w:space="0" w:color="auto"/>
                    <w:right w:val="none" w:sz="0" w:space="0" w:color="auto"/>
                  </w:divBdr>
                  <w:divsChild>
                    <w:div w:id="1837912369">
                      <w:marLeft w:val="0"/>
                      <w:marRight w:val="0"/>
                      <w:marTop w:val="0"/>
                      <w:marBottom w:val="0"/>
                      <w:divBdr>
                        <w:top w:val="none" w:sz="0" w:space="0" w:color="auto"/>
                        <w:left w:val="none" w:sz="0" w:space="0" w:color="auto"/>
                        <w:bottom w:val="none" w:sz="0" w:space="0" w:color="auto"/>
                        <w:right w:val="none" w:sz="0" w:space="0" w:color="auto"/>
                      </w:divBdr>
                      <w:divsChild>
                        <w:div w:id="1122458533">
                          <w:marLeft w:val="0"/>
                          <w:marRight w:val="0"/>
                          <w:marTop w:val="0"/>
                          <w:marBottom w:val="0"/>
                          <w:divBdr>
                            <w:top w:val="none" w:sz="0" w:space="0" w:color="auto"/>
                            <w:left w:val="none" w:sz="0" w:space="0" w:color="auto"/>
                            <w:bottom w:val="none" w:sz="0" w:space="0" w:color="auto"/>
                            <w:right w:val="none" w:sz="0" w:space="0" w:color="auto"/>
                          </w:divBdr>
                          <w:divsChild>
                            <w:div w:id="1020201419">
                              <w:marLeft w:val="0"/>
                              <w:marRight w:val="0"/>
                              <w:marTop w:val="0"/>
                              <w:marBottom w:val="0"/>
                              <w:divBdr>
                                <w:top w:val="none" w:sz="0" w:space="0" w:color="auto"/>
                                <w:left w:val="none" w:sz="0" w:space="0" w:color="auto"/>
                                <w:bottom w:val="none" w:sz="0" w:space="0" w:color="auto"/>
                                <w:right w:val="none" w:sz="0" w:space="0" w:color="auto"/>
                              </w:divBdr>
                              <w:divsChild>
                                <w:div w:id="1369716898">
                                  <w:marLeft w:val="0"/>
                                  <w:marRight w:val="0"/>
                                  <w:marTop w:val="0"/>
                                  <w:marBottom w:val="0"/>
                                  <w:divBdr>
                                    <w:top w:val="none" w:sz="0" w:space="0" w:color="auto"/>
                                    <w:left w:val="none" w:sz="0" w:space="0" w:color="auto"/>
                                    <w:bottom w:val="none" w:sz="0" w:space="0" w:color="auto"/>
                                    <w:right w:val="none" w:sz="0" w:space="0" w:color="auto"/>
                                  </w:divBdr>
                                  <w:divsChild>
                                    <w:div w:id="649330707">
                                      <w:marLeft w:val="0"/>
                                      <w:marRight w:val="0"/>
                                      <w:marTop w:val="0"/>
                                      <w:marBottom w:val="0"/>
                                      <w:divBdr>
                                        <w:top w:val="none" w:sz="0" w:space="0" w:color="auto"/>
                                        <w:left w:val="none" w:sz="0" w:space="0" w:color="auto"/>
                                        <w:bottom w:val="none" w:sz="0" w:space="0" w:color="auto"/>
                                        <w:right w:val="none" w:sz="0" w:space="0" w:color="auto"/>
                                      </w:divBdr>
                                      <w:divsChild>
                                        <w:div w:id="1385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236519">
      <w:bodyDiv w:val="1"/>
      <w:marLeft w:val="0"/>
      <w:marRight w:val="0"/>
      <w:marTop w:val="0"/>
      <w:marBottom w:val="0"/>
      <w:divBdr>
        <w:top w:val="none" w:sz="0" w:space="0" w:color="auto"/>
        <w:left w:val="none" w:sz="0" w:space="0" w:color="auto"/>
        <w:bottom w:val="none" w:sz="0" w:space="0" w:color="auto"/>
        <w:right w:val="none" w:sz="0" w:space="0" w:color="auto"/>
      </w:divBdr>
      <w:divsChild>
        <w:div w:id="281613988">
          <w:marLeft w:val="0"/>
          <w:marRight w:val="0"/>
          <w:marTop w:val="0"/>
          <w:marBottom w:val="0"/>
          <w:divBdr>
            <w:top w:val="single" w:sz="2" w:space="0" w:color="AAAAAA"/>
            <w:left w:val="single" w:sz="6" w:space="8" w:color="AAAAAA"/>
            <w:bottom w:val="single" w:sz="2" w:space="0" w:color="AAAAAA"/>
            <w:right w:val="single" w:sz="6" w:space="8" w:color="AAAAAA"/>
          </w:divBdr>
          <w:divsChild>
            <w:div w:id="2083016707">
              <w:marLeft w:val="0"/>
              <w:marRight w:val="0"/>
              <w:marTop w:val="0"/>
              <w:marBottom w:val="0"/>
              <w:divBdr>
                <w:top w:val="none" w:sz="0" w:space="0" w:color="auto"/>
                <w:left w:val="none" w:sz="0" w:space="0" w:color="auto"/>
                <w:bottom w:val="none" w:sz="0" w:space="0" w:color="auto"/>
                <w:right w:val="none" w:sz="0" w:space="0" w:color="auto"/>
              </w:divBdr>
              <w:divsChild>
                <w:div w:id="630672045">
                  <w:marLeft w:val="0"/>
                  <w:marRight w:val="0"/>
                  <w:marTop w:val="0"/>
                  <w:marBottom w:val="0"/>
                  <w:divBdr>
                    <w:top w:val="none" w:sz="0" w:space="0" w:color="auto"/>
                    <w:left w:val="none" w:sz="0" w:space="0" w:color="auto"/>
                    <w:bottom w:val="none" w:sz="0" w:space="0" w:color="auto"/>
                    <w:right w:val="none" w:sz="0" w:space="0" w:color="auto"/>
                  </w:divBdr>
                  <w:divsChild>
                    <w:div w:id="1633825983">
                      <w:marLeft w:val="0"/>
                      <w:marRight w:val="2550"/>
                      <w:marTop w:val="0"/>
                      <w:marBottom w:val="48"/>
                      <w:divBdr>
                        <w:top w:val="none" w:sz="0" w:space="0" w:color="auto"/>
                        <w:left w:val="none" w:sz="0" w:space="0" w:color="auto"/>
                        <w:bottom w:val="none" w:sz="0" w:space="0" w:color="auto"/>
                        <w:right w:val="none" w:sz="0" w:space="0" w:color="auto"/>
                      </w:divBdr>
                      <w:divsChild>
                        <w:div w:id="18725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50356197">
      <w:bodyDiv w:val="1"/>
      <w:marLeft w:val="0"/>
      <w:marRight w:val="0"/>
      <w:marTop w:val="0"/>
      <w:marBottom w:val="0"/>
      <w:divBdr>
        <w:top w:val="none" w:sz="0" w:space="0" w:color="auto"/>
        <w:left w:val="none" w:sz="0" w:space="0" w:color="auto"/>
        <w:bottom w:val="none" w:sz="0" w:space="0" w:color="auto"/>
        <w:right w:val="none" w:sz="0" w:space="0" w:color="auto"/>
      </w:divBdr>
    </w:div>
    <w:div w:id="250428485">
      <w:bodyDiv w:val="1"/>
      <w:marLeft w:val="0"/>
      <w:marRight w:val="0"/>
      <w:marTop w:val="0"/>
      <w:marBottom w:val="0"/>
      <w:divBdr>
        <w:top w:val="none" w:sz="0" w:space="0" w:color="auto"/>
        <w:left w:val="none" w:sz="0" w:space="0" w:color="auto"/>
        <w:bottom w:val="none" w:sz="0" w:space="0" w:color="auto"/>
        <w:right w:val="none" w:sz="0" w:space="0" w:color="auto"/>
      </w:divBdr>
      <w:divsChild>
        <w:div w:id="815492331">
          <w:marLeft w:val="0"/>
          <w:marRight w:val="0"/>
          <w:marTop w:val="0"/>
          <w:marBottom w:val="0"/>
          <w:divBdr>
            <w:top w:val="none" w:sz="0" w:space="0" w:color="auto"/>
            <w:left w:val="none" w:sz="0" w:space="0" w:color="auto"/>
            <w:bottom w:val="none" w:sz="0" w:space="0" w:color="auto"/>
            <w:right w:val="none" w:sz="0" w:space="0" w:color="auto"/>
          </w:divBdr>
          <w:divsChild>
            <w:div w:id="1187670094">
              <w:marLeft w:val="0"/>
              <w:marRight w:val="0"/>
              <w:marTop w:val="0"/>
              <w:marBottom w:val="0"/>
              <w:divBdr>
                <w:top w:val="none" w:sz="0" w:space="0" w:color="auto"/>
                <w:left w:val="none" w:sz="0" w:space="0" w:color="auto"/>
                <w:bottom w:val="none" w:sz="0" w:space="0" w:color="auto"/>
                <w:right w:val="none" w:sz="0" w:space="0" w:color="auto"/>
              </w:divBdr>
              <w:divsChild>
                <w:div w:id="1293440371">
                  <w:marLeft w:val="0"/>
                  <w:marRight w:val="0"/>
                  <w:marTop w:val="0"/>
                  <w:marBottom w:val="0"/>
                  <w:divBdr>
                    <w:top w:val="none" w:sz="0" w:space="0" w:color="auto"/>
                    <w:left w:val="none" w:sz="0" w:space="0" w:color="auto"/>
                    <w:bottom w:val="none" w:sz="0" w:space="0" w:color="auto"/>
                    <w:right w:val="none" w:sz="0" w:space="0" w:color="auto"/>
                  </w:divBdr>
                  <w:divsChild>
                    <w:div w:id="365954127">
                      <w:marLeft w:val="0"/>
                      <w:marRight w:val="0"/>
                      <w:marTop w:val="0"/>
                      <w:marBottom w:val="0"/>
                      <w:divBdr>
                        <w:top w:val="none" w:sz="0" w:space="0" w:color="auto"/>
                        <w:left w:val="none" w:sz="0" w:space="0" w:color="auto"/>
                        <w:bottom w:val="none" w:sz="0" w:space="0" w:color="auto"/>
                        <w:right w:val="none" w:sz="0" w:space="0" w:color="auto"/>
                      </w:divBdr>
                      <w:divsChild>
                        <w:div w:id="1653367232">
                          <w:marLeft w:val="-225"/>
                          <w:marRight w:val="-225"/>
                          <w:marTop w:val="0"/>
                          <w:marBottom w:val="0"/>
                          <w:divBdr>
                            <w:top w:val="none" w:sz="0" w:space="0" w:color="auto"/>
                            <w:left w:val="none" w:sz="0" w:space="0" w:color="auto"/>
                            <w:bottom w:val="none" w:sz="0" w:space="0" w:color="auto"/>
                            <w:right w:val="none" w:sz="0" w:space="0" w:color="auto"/>
                          </w:divBdr>
                          <w:divsChild>
                            <w:div w:id="523598158">
                              <w:marLeft w:val="0"/>
                              <w:marRight w:val="0"/>
                              <w:marTop w:val="0"/>
                              <w:marBottom w:val="0"/>
                              <w:divBdr>
                                <w:top w:val="none" w:sz="0" w:space="0" w:color="auto"/>
                                <w:left w:val="none" w:sz="0" w:space="0" w:color="auto"/>
                                <w:bottom w:val="none" w:sz="0" w:space="0" w:color="auto"/>
                                <w:right w:val="none" w:sz="0" w:space="0" w:color="auto"/>
                              </w:divBdr>
                              <w:divsChild>
                                <w:div w:id="1245995496">
                                  <w:marLeft w:val="0"/>
                                  <w:marRight w:val="0"/>
                                  <w:marTop w:val="0"/>
                                  <w:marBottom w:val="0"/>
                                  <w:divBdr>
                                    <w:top w:val="none" w:sz="0" w:space="0" w:color="auto"/>
                                    <w:left w:val="none" w:sz="0" w:space="0" w:color="auto"/>
                                    <w:bottom w:val="none" w:sz="0" w:space="0" w:color="auto"/>
                                    <w:right w:val="none" w:sz="0" w:space="0" w:color="auto"/>
                                  </w:divBdr>
                                  <w:divsChild>
                                    <w:div w:id="14713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10283">
      <w:bodyDiv w:val="1"/>
      <w:marLeft w:val="0"/>
      <w:marRight w:val="0"/>
      <w:marTop w:val="0"/>
      <w:marBottom w:val="0"/>
      <w:divBdr>
        <w:top w:val="none" w:sz="0" w:space="0" w:color="auto"/>
        <w:left w:val="none" w:sz="0" w:space="0" w:color="auto"/>
        <w:bottom w:val="none" w:sz="0" w:space="0" w:color="auto"/>
        <w:right w:val="none" w:sz="0" w:space="0" w:color="auto"/>
      </w:divBdr>
    </w:div>
    <w:div w:id="251358161">
      <w:bodyDiv w:val="1"/>
      <w:marLeft w:val="0"/>
      <w:marRight w:val="0"/>
      <w:marTop w:val="0"/>
      <w:marBottom w:val="0"/>
      <w:divBdr>
        <w:top w:val="none" w:sz="0" w:space="0" w:color="auto"/>
        <w:left w:val="none" w:sz="0" w:space="0" w:color="auto"/>
        <w:bottom w:val="none" w:sz="0" w:space="0" w:color="auto"/>
        <w:right w:val="none" w:sz="0" w:space="0" w:color="auto"/>
      </w:divBdr>
      <w:divsChild>
        <w:div w:id="54088143">
          <w:marLeft w:val="0"/>
          <w:marRight w:val="0"/>
          <w:marTop w:val="0"/>
          <w:marBottom w:val="0"/>
          <w:divBdr>
            <w:top w:val="single" w:sz="6" w:space="0" w:color="0E477A"/>
            <w:left w:val="single" w:sz="6" w:space="0" w:color="0E477A"/>
            <w:bottom w:val="single" w:sz="6" w:space="0" w:color="0E477A"/>
            <w:right w:val="single" w:sz="6" w:space="0" w:color="0E477A"/>
          </w:divBdr>
          <w:divsChild>
            <w:div w:id="233124464">
              <w:marLeft w:val="2925"/>
              <w:marRight w:val="0"/>
              <w:marTop w:val="0"/>
              <w:marBottom w:val="0"/>
              <w:divBdr>
                <w:top w:val="none" w:sz="0" w:space="0" w:color="auto"/>
                <w:left w:val="none" w:sz="0" w:space="0" w:color="auto"/>
                <w:bottom w:val="none" w:sz="0" w:space="0" w:color="auto"/>
                <w:right w:val="none" w:sz="0" w:space="0" w:color="auto"/>
              </w:divBdr>
              <w:divsChild>
                <w:div w:id="1031344650">
                  <w:marLeft w:val="0"/>
                  <w:marRight w:val="0"/>
                  <w:marTop w:val="0"/>
                  <w:marBottom w:val="0"/>
                  <w:divBdr>
                    <w:top w:val="none" w:sz="0" w:space="0" w:color="auto"/>
                    <w:left w:val="none" w:sz="0" w:space="0" w:color="auto"/>
                    <w:bottom w:val="none" w:sz="0" w:space="0" w:color="auto"/>
                    <w:right w:val="none" w:sz="0" w:space="0" w:color="auto"/>
                  </w:divBdr>
                  <w:divsChild>
                    <w:div w:id="534463558">
                      <w:marLeft w:val="0"/>
                      <w:marRight w:val="150"/>
                      <w:marTop w:val="0"/>
                      <w:marBottom w:val="0"/>
                      <w:divBdr>
                        <w:top w:val="single" w:sz="6" w:space="0" w:color="CCCCCC"/>
                        <w:left w:val="single" w:sz="6" w:space="8" w:color="CCCCCC"/>
                        <w:bottom w:val="single" w:sz="6" w:space="8" w:color="CCCCCC"/>
                        <w:right w:val="single" w:sz="6" w:space="8" w:color="CCCCCC"/>
                      </w:divBdr>
                      <w:divsChild>
                        <w:div w:id="931208606">
                          <w:marLeft w:val="0"/>
                          <w:marRight w:val="0"/>
                          <w:marTop w:val="0"/>
                          <w:marBottom w:val="0"/>
                          <w:divBdr>
                            <w:top w:val="none" w:sz="0" w:space="0" w:color="auto"/>
                            <w:left w:val="none" w:sz="0" w:space="0" w:color="auto"/>
                            <w:bottom w:val="none" w:sz="0" w:space="0" w:color="auto"/>
                            <w:right w:val="none" w:sz="0" w:space="0" w:color="auto"/>
                          </w:divBdr>
                        </w:div>
                        <w:div w:id="1470054432">
                          <w:marLeft w:val="0"/>
                          <w:marRight w:val="0"/>
                          <w:marTop w:val="0"/>
                          <w:marBottom w:val="0"/>
                          <w:divBdr>
                            <w:top w:val="none" w:sz="0" w:space="0" w:color="auto"/>
                            <w:left w:val="none" w:sz="0" w:space="0" w:color="auto"/>
                            <w:bottom w:val="none" w:sz="0" w:space="0" w:color="auto"/>
                            <w:right w:val="none" w:sz="0" w:space="0" w:color="auto"/>
                          </w:divBdr>
                        </w:div>
                        <w:div w:id="791485446">
                          <w:marLeft w:val="0"/>
                          <w:marRight w:val="0"/>
                          <w:marTop w:val="0"/>
                          <w:marBottom w:val="0"/>
                          <w:divBdr>
                            <w:top w:val="none" w:sz="0" w:space="0" w:color="auto"/>
                            <w:left w:val="none" w:sz="0" w:space="0" w:color="auto"/>
                            <w:bottom w:val="none" w:sz="0" w:space="0" w:color="auto"/>
                            <w:right w:val="none" w:sz="0" w:space="0" w:color="auto"/>
                          </w:divBdr>
                        </w:div>
                        <w:div w:id="488137543">
                          <w:marLeft w:val="0"/>
                          <w:marRight w:val="0"/>
                          <w:marTop w:val="0"/>
                          <w:marBottom w:val="0"/>
                          <w:divBdr>
                            <w:top w:val="none" w:sz="0" w:space="0" w:color="auto"/>
                            <w:left w:val="none" w:sz="0" w:space="0" w:color="auto"/>
                            <w:bottom w:val="none" w:sz="0" w:space="0" w:color="auto"/>
                            <w:right w:val="none" w:sz="0" w:space="0" w:color="auto"/>
                          </w:divBdr>
                        </w:div>
                        <w:div w:id="1284270762">
                          <w:marLeft w:val="0"/>
                          <w:marRight w:val="0"/>
                          <w:marTop w:val="0"/>
                          <w:marBottom w:val="0"/>
                          <w:divBdr>
                            <w:top w:val="none" w:sz="0" w:space="0" w:color="auto"/>
                            <w:left w:val="none" w:sz="0" w:space="0" w:color="auto"/>
                            <w:bottom w:val="none" w:sz="0" w:space="0" w:color="auto"/>
                            <w:right w:val="none" w:sz="0" w:space="0" w:color="auto"/>
                          </w:divBdr>
                        </w:div>
                        <w:div w:id="350297853">
                          <w:marLeft w:val="0"/>
                          <w:marRight w:val="0"/>
                          <w:marTop w:val="0"/>
                          <w:marBottom w:val="0"/>
                          <w:divBdr>
                            <w:top w:val="none" w:sz="0" w:space="0" w:color="auto"/>
                            <w:left w:val="none" w:sz="0" w:space="0" w:color="auto"/>
                            <w:bottom w:val="none" w:sz="0" w:space="0" w:color="auto"/>
                            <w:right w:val="none" w:sz="0" w:space="0" w:color="auto"/>
                          </w:divBdr>
                        </w:div>
                        <w:div w:id="1801336270">
                          <w:marLeft w:val="0"/>
                          <w:marRight w:val="0"/>
                          <w:marTop w:val="0"/>
                          <w:marBottom w:val="0"/>
                          <w:divBdr>
                            <w:top w:val="none" w:sz="0" w:space="0" w:color="auto"/>
                            <w:left w:val="none" w:sz="0" w:space="0" w:color="auto"/>
                            <w:bottom w:val="none" w:sz="0" w:space="0" w:color="auto"/>
                            <w:right w:val="none" w:sz="0" w:space="0" w:color="auto"/>
                          </w:divBdr>
                        </w:div>
                        <w:div w:id="1176113920">
                          <w:marLeft w:val="0"/>
                          <w:marRight w:val="0"/>
                          <w:marTop w:val="0"/>
                          <w:marBottom w:val="0"/>
                          <w:divBdr>
                            <w:top w:val="none" w:sz="0" w:space="0" w:color="auto"/>
                            <w:left w:val="none" w:sz="0" w:space="0" w:color="auto"/>
                            <w:bottom w:val="none" w:sz="0" w:space="0" w:color="auto"/>
                            <w:right w:val="none" w:sz="0" w:space="0" w:color="auto"/>
                          </w:divBdr>
                        </w:div>
                        <w:div w:id="123230423">
                          <w:marLeft w:val="0"/>
                          <w:marRight w:val="0"/>
                          <w:marTop w:val="0"/>
                          <w:marBottom w:val="0"/>
                          <w:divBdr>
                            <w:top w:val="none" w:sz="0" w:space="0" w:color="auto"/>
                            <w:left w:val="none" w:sz="0" w:space="0" w:color="auto"/>
                            <w:bottom w:val="none" w:sz="0" w:space="0" w:color="auto"/>
                            <w:right w:val="none" w:sz="0" w:space="0" w:color="auto"/>
                          </w:divBdr>
                        </w:div>
                        <w:div w:id="12687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899445">
      <w:bodyDiv w:val="1"/>
      <w:marLeft w:val="0"/>
      <w:marRight w:val="0"/>
      <w:marTop w:val="0"/>
      <w:marBottom w:val="0"/>
      <w:divBdr>
        <w:top w:val="none" w:sz="0" w:space="0" w:color="auto"/>
        <w:left w:val="none" w:sz="0" w:space="0" w:color="auto"/>
        <w:bottom w:val="none" w:sz="0" w:space="0" w:color="auto"/>
        <w:right w:val="none" w:sz="0" w:space="0" w:color="auto"/>
      </w:divBdr>
      <w:divsChild>
        <w:div w:id="1169249453">
          <w:marLeft w:val="0"/>
          <w:marRight w:val="0"/>
          <w:marTop w:val="0"/>
          <w:marBottom w:val="0"/>
          <w:divBdr>
            <w:top w:val="none" w:sz="0" w:space="0" w:color="auto"/>
            <w:left w:val="none" w:sz="0" w:space="0" w:color="auto"/>
            <w:bottom w:val="none" w:sz="0" w:space="0" w:color="auto"/>
            <w:right w:val="none" w:sz="0" w:space="0" w:color="auto"/>
          </w:divBdr>
          <w:divsChild>
            <w:div w:id="797337435">
              <w:marLeft w:val="0"/>
              <w:marRight w:val="0"/>
              <w:marTop w:val="0"/>
              <w:marBottom w:val="0"/>
              <w:divBdr>
                <w:top w:val="none" w:sz="0" w:space="0" w:color="auto"/>
                <w:left w:val="none" w:sz="0" w:space="0" w:color="auto"/>
                <w:bottom w:val="none" w:sz="0" w:space="0" w:color="auto"/>
                <w:right w:val="none" w:sz="0" w:space="0" w:color="auto"/>
              </w:divBdr>
              <w:divsChild>
                <w:div w:id="1554542110">
                  <w:marLeft w:val="0"/>
                  <w:marRight w:val="0"/>
                  <w:marTop w:val="0"/>
                  <w:marBottom w:val="0"/>
                  <w:divBdr>
                    <w:top w:val="none" w:sz="0" w:space="0" w:color="auto"/>
                    <w:left w:val="none" w:sz="0" w:space="0" w:color="auto"/>
                    <w:bottom w:val="none" w:sz="0" w:space="0" w:color="auto"/>
                    <w:right w:val="none" w:sz="0" w:space="0" w:color="auto"/>
                  </w:divBdr>
                  <w:divsChild>
                    <w:div w:id="471873572">
                      <w:marLeft w:val="0"/>
                      <w:marRight w:val="0"/>
                      <w:marTop w:val="0"/>
                      <w:marBottom w:val="0"/>
                      <w:divBdr>
                        <w:top w:val="none" w:sz="0" w:space="0" w:color="auto"/>
                        <w:left w:val="none" w:sz="0" w:space="0" w:color="auto"/>
                        <w:bottom w:val="none" w:sz="0" w:space="0" w:color="auto"/>
                        <w:right w:val="none" w:sz="0" w:space="0" w:color="auto"/>
                      </w:divBdr>
                      <w:divsChild>
                        <w:div w:id="1645162263">
                          <w:marLeft w:val="0"/>
                          <w:marRight w:val="0"/>
                          <w:marTop w:val="0"/>
                          <w:marBottom w:val="0"/>
                          <w:divBdr>
                            <w:top w:val="none" w:sz="0" w:space="0" w:color="auto"/>
                            <w:left w:val="none" w:sz="0" w:space="0" w:color="auto"/>
                            <w:bottom w:val="none" w:sz="0" w:space="0" w:color="auto"/>
                            <w:right w:val="none" w:sz="0" w:space="0" w:color="auto"/>
                          </w:divBdr>
                          <w:divsChild>
                            <w:div w:id="1588151330">
                              <w:marLeft w:val="0"/>
                              <w:marRight w:val="0"/>
                              <w:marTop w:val="0"/>
                              <w:marBottom w:val="0"/>
                              <w:divBdr>
                                <w:top w:val="none" w:sz="0" w:space="0" w:color="auto"/>
                                <w:left w:val="none" w:sz="0" w:space="0" w:color="auto"/>
                                <w:bottom w:val="none" w:sz="0" w:space="0" w:color="auto"/>
                                <w:right w:val="none" w:sz="0" w:space="0" w:color="auto"/>
                              </w:divBdr>
                              <w:divsChild>
                                <w:div w:id="558831697">
                                  <w:marLeft w:val="0"/>
                                  <w:marRight w:val="0"/>
                                  <w:marTop w:val="0"/>
                                  <w:marBottom w:val="0"/>
                                  <w:divBdr>
                                    <w:top w:val="none" w:sz="0" w:space="0" w:color="auto"/>
                                    <w:left w:val="none" w:sz="0" w:space="0" w:color="auto"/>
                                    <w:bottom w:val="none" w:sz="0" w:space="0" w:color="auto"/>
                                    <w:right w:val="none" w:sz="0" w:space="0" w:color="auto"/>
                                  </w:divBdr>
                                  <w:divsChild>
                                    <w:div w:id="40445762">
                                      <w:marLeft w:val="0"/>
                                      <w:marRight w:val="0"/>
                                      <w:marTop w:val="0"/>
                                      <w:marBottom w:val="0"/>
                                      <w:divBdr>
                                        <w:top w:val="none" w:sz="0" w:space="0" w:color="auto"/>
                                        <w:left w:val="none" w:sz="0" w:space="0" w:color="auto"/>
                                        <w:bottom w:val="none" w:sz="0" w:space="0" w:color="auto"/>
                                        <w:right w:val="none" w:sz="0" w:space="0" w:color="auto"/>
                                      </w:divBdr>
                                      <w:divsChild>
                                        <w:div w:id="507866877">
                                          <w:marLeft w:val="0"/>
                                          <w:marRight w:val="0"/>
                                          <w:marTop w:val="0"/>
                                          <w:marBottom w:val="0"/>
                                          <w:divBdr>
                                            <w:top w:val="none" w:sz="0" w:space="0" w:color="auto"/>
                                            <w:left w:val="none" w:sz="0" w:space="0" w:color="auto"/>
                                            <w:bottom w:val="none" w:sz="0" w:space="0" w:color="auto"/>
                                            <w:right w:val="none" w:sz="0" w:space="0" w:color="auto"/>
                                          </w:divBdr>
                                          <w:divsChild>
                                            <w:div w:id="772284185">
                                              <w:marLeft w:val="0"/>
                                              <w:marRight w:val="0"/>
                                              <w:marTop w:val="0"/>
                                              <w:marBottom w:val="0"/>
                                              <w:divBdr>
                                                <w:top w:val="none" w:sz="0" w:space="0" w:color="auto"/>
                                                <w:left w:val="none" w:sz="0" w:space="0" w:color="auto"/>
                                                <w:bottom w:val="none" w:sz="0" w:space="0" w:color="auto"/>
                                                <w:right w:val="none" w:sz="0" w:space="0" w:color="auto"/>
                                              </w:divBdr>
                                              <w:divsChild>
                                                <w:div w:id="1144393970">
                                                  <w:marLeft w:val="0"/>
                                                  <w:marRight w:val="0"/>
                                                  <w:marTop w:val="0"/>
                                                  <w:marBottom w:val="0"/>
                                                  <w:divBdr>
                                                    <w:top w:val="none" w:sz="0" w:space="0" w:color="auto"/>
                                                    <w:left w:val="none" w:sz="0" w:space="0" w:color="auto"/>
                                                    <w:bottom w:val="none" w:sz="0" w:space="0" w:color="auto"/>
                                                    <w:right w:val="none" w:sz="0" w:space="0" w:color="auto"/>
                                                  </w:divBdr>
                                                  <w:divsChild>
                                                    <w:div w:id="1845852904">
                                                      <w:marLeft w:val="0"/>
                                                      <w:marRight w:val="0"/>
                                                      <w:marTop w:val="0"/>
                                                      <w:marBottom w:val="0"/>
                                                      <w:divBdr>
                                                        <w:top w:val="none" w:sz="0" w:space="0" w:color="auto"/>
                                                        <w:left w:val="none" w:sz="0" w:space="0" w:color="auto"/>
                                                        <w:bottom w:val="none" w:sz="0" w:space="0" w:color="auto"/>
                                                        <w:right w:val="none" w:sz="0" w:space="0" w:color="auto"/>
                                                      </w:divBdr>
                                                      <w:divsChild>
                                                        <w:div w:id="1138646026">
                                                          <w:marLeft w:val="0"/>
                                                          <w:marRight w:val="0"/>
                                                          <w:marTop w:val="0"/>
                                                          <w:marBottom w:val="0"/>
                                                          <w:divBdr>
                                                            <w:top w:val="none" w:sz="0" w:space="0" w:color="auto"/>
                                                            <w:left w:val="none" w:sz="0" w:space="0" w:color="auto"/>
                                                            <w:bottom w:val="none" w:sz="0" w:space="0" w:color="auto"/>
                                                            <w:right w:val="none" w:sz="0" w:space="0" w:color="auto"/>
                                                          </w:divBdr>
                                                        </w:div>
                                                        <w:div w:id="397634687">
                                                          <w:marLeft w:val="0"/>
                                                          <w:marRight w:val="0"/>
                                                          <w:marTop w:val="0"/>
                                                          <w:marBottom w:val="0"/>
                                                          <w:divBdr>
                                                            <w:top w:val="none" w:sz="0" w:space="0" w:color="auto"/>
                                                            <w:left w:val="none" w:sz="0" w:space="0" w:color="auto"/>
                                                            <w:bottom w:val="none" w:sz="0" w:space="0" w:color="auto"/>
                                                            <w:right w:val="none" w:sz="0" w:space="0" w:color="auto"/>
                                                          </w:divBdr>
                                                          <w:divsChild>
                                                            <w:div w:id="7535502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216258">
      <w:bodyDiv w:val="1"/>
      <w:marLeft w:val="0"/>
      <w:marRight w:val="0"/>
      <w:marTop w:val="0"/>
      <w:marBottom w:val="0"/>
      <w:divBdr>
        <w:top w:val="none" w:sz="0" w:space="0" w:color="auto"/>
        <w:left w:val="none" w:sz="0" w:space="0" w:color="auto"/>
        <w:bottom w:val="none" w:sz="0" w:space="0" w:color="auto"/>
        <w:right w:val="none" w:sz="0" w:space="0" w:color="auto"/>
      </w:divBdr>
      <w:divsChild>
        <w:div w:id="1271010609">
          <w:marLeft w:val="0"/>
          <w:marRight w:val="0"/>
          <w:marTop w:val="0"/>
          <w:marBottom w:val="0"/>
          <w:divBdr>
            <w:top w:val="none" w:sz="0" w:space="0" w:color="auto"/>
            <w:left w:val="none" w:sz="0" w:space="0" w:color="auto"/>
            <w:bottom w:val="none" w:sz="0" w:space="0" w:color="auto"/>
            <w:right w:val="none" w:sz="0" w:space="0" w:color="auto"/>
          </w:divBdr>
          <w:divsChild>
            <w:div w:id="1657341444">
              <w:marLeft w:val="0"/>
              <w:marRight w:val="0"/>
              <w:marTop w:val="0"/>
              <w:marBottom w:val="0"/>
              <w:divBdr>
                <w:top w:val="none" w:sz="0" w:space="0" w:color="auto"/>
                <w:left w:val="none" w:sz="0" w:space="0" w:color="auto"/>
                <w:bottom w:val="none" w:sz="0" w:space="0" w:color="auto"/>
                <w:right w:val="none" w:sz="0" w:space="0" w:color="auto"/>
              </w:divBdr>
              <w:divsChild>
                <w:div w:id="708145316">
                  <w:marLeft w:val="0"/>
                  <w:marRight w:val="0"/>
                  <w:marTop w:val="0"/>
                  <w:marBottom w:val="0"/>
                  <w:divBdr>
                    <w:top w:val="none" w:sz="0" w:space="0" w:color="auto"/>
                    <w:left w:val="none" w:sz="0" w:space="0" w:color="auto"/>
                    <w:bottom w:val="none" w:sz="0" w:space="0" w:color="auto"/>
                    <w:right w:val="none" w:sz="0" w:space="0" w:color="auto"/>
                  </w:divBdr>
                  <w:divsChild>
                    <w:div w:id="970591894">
                      <w:marLeft w:val="0"/>
                      <w:marRight w:val="0"/>
                      <w:marTop w:val="0"/>
                      <w:marBottom w:val="0"/>
                      <w:divBdr>
                        <w:top w:val="none" w:sz="0" w:space="0" w:color="auto"/>
                        <w:left w:val="none" w:sz="0" w:space="0" w:color="auto"/>
                        <w:bottom w:val="none" w:sz="0" w:space="0" w:color="auto"/>
                        <w:right w:val="none" w:sz="0" w:space="0" w:color="auto"/>
                      </w:divBdr>
                      <w:divsChild>
                        <w:div w:id="1782456334">
                          <w:marLeft w:val="0"/>
                          <w:marRight w:val="0"/>
                          <w:marTop w:val="0"/>
                          <w:marBottom w:val="0"/>
                          <w:divBdr>
                            <w:top w:val="none" w:sz="0" w:space="0" w:color="auto"/>
                            <w:left w:val="none" w:sz="0" w:space="0" w:color="auto"/>
                            <w:bottom w:val="none" w:sz="0" w:space="0" w:color="auto"/>
                            <w:right w:val="none" w:sz="0" w:space="0" w:color="auto"/>
                          </w:divBdr>
                          <w:divsChild>
                            <w:div w:id="1578438079">
                              <w:marLeft w:val="570"/>
                              <w:marRight w:val="720"/>
                              <w:marTop w:val="120"/>
                              <w:marBottom w:val="120"/>
                              <w:divBdr>
                                <w:top w:val="none" w:sz="0" w:space="0" w:color="auto"/>
                                <w:left w:val="none" w:sz="0" w:space="0" w:color="auto"/>
                                <w:bottom w:val="none" w:sz="0" w:space="0" w:color="auto"/>
                                <w:right w:val="none" w:sz="0" w:space="0" w:color="auto"/>
                              </w:divBdr>
                              <w:divsChild>
                                <w:div w:id="1967808781">
                                  <w:marLeft w:val="0"/>
                                  <w:marRight w:val="0"/>
                                  <w:marTop w:val="0"/>
                                  <w:marBottom w:val="0"/>
                                  <w:divBdr>
                                    <w:top w:val="none" w:sz="0" w:space="0" w:color="auto"/>
                                    <w:left w:val="none" w:sz="0" w:space="0" w:color="auto"/>
                                    <w:bottom w:val="none" w:sz="0" w:space="0" w:color="auto"/>
                                    <w:right w:val="none" w:sz="0" w:space="0" w:color="auto"/>
                                  </w:divBdr>
                                  <w:divsChild>
                                    <w:div w:id="1686781786">
                                      <w:marLeft w:val="0"/>
                                      <w:marRight w:val="0"/>
                                      <w:marTop w:val="0"/>
                                      <w:marBottom w:val="0"/>
                                      <w:divBdr>
                                        <w:top w:val="none" w:sz="0" w:space="0" w:color="auto"/>
                                        <w:left w:val="none" w:sz="0" w:space="0" w:color="auto"/>
                                        <w:bottom w:val="none" w:sz="0" w:space="0" w:color="auto"/>
                                        <w:right w:val="none" w:sz="0" w:space="0" w:color="auto"/>
                                      </w:divBdr>
                                      <w:divsChild>
                                        <w:div w:id="939026123">
                                          <w:marLeft w:val="0"/>
                                          <w:marRight w:val="0"/>
                                          <w:marTop w:val="0"/>
                                          <w:marBottom w:val="0"/>
                                          <w:divBdr>
                                            <w:top w:val="none" w:sz="0" w:space="0" w:color="auto"/>
                                            <w:left w:val="none" w:sz="0" w:space="0" w:color="auto"/>
                                            <w:bottom w:val="none" w:sz="0" w:space="0" w:color="auto"/>
                                            <w:right w:val="none" w:sz="0" w:space="0" w:color="auto"/>
                                          </w:divBdr>
                                        </w:div>
                                        <w:div w:id="1067533156">
                                          <w:marLeft w:val="0"/>
                                          <w:marRight w:val="0"/>
                                          <w:marTop w:val="0"/>
                                          <w:marBottom w:val="150"/>
                                          <w:divBdr>
                                            <w:top w:val="none" w:sz="0" w:space="0" w:color="auto"/>
                                            <w:left w:val="none" w:sz="0" w:space="0" w:color="auto"/>
                                            <w:bottom w:val="none" w:sz="0" w:space="0" w:color="auto"/>
                                            <w:right w:val="none" w:sz="0" w:space="0" w:color="auto"/>
                                          </w:divBdr>
                                          <w:divsChild>
                                            <w:div w:id="234321504">
                                              <w:marLeft w:val="0"/>
                                              <w:marRight w:val="0"/>
                                              <w:marTop w:val="240"/>
                                              <w:marBottom w:val="240"/>
                                              <w:divBdr>
                                                <w:top w:val="single" w:sz="6" w:space="6" w:color="F2F2F2"/>
                                                <w:left w:val="none" w:sz="0" w:space="0" w:color="auto"/>
                                                <w:bottom w:val="single" w:sz="6" w:space="6" w:color="F2F2F2"/>
                                                <w:right w:val="none" w:sz="0" w:space="0" w:color="auto"/>
                                              </w:divBdr>
                                            </w:div>
                                            <w:div w:id="350104077">
                                              <w:marLeft w:val="0"/>
                                              <w:marRight w:val="0"/>
                                              <w:marTop w:val="0"/>
                                              <w:marBottom w:val="0"/>
                                              <w:divBdr>
                                                <w:top w:val="none" w:sz="0" w:space="0" w:color="auto"/>
                                                <w:left w:val="none" w:sz="0" w:space="0" w:color="auto"/>
                                                <w:bottom w:val="none" w:sz="0" w:space="0" w:color="auto"/>
                                                <w:right w:val="none" w:sz="0" w:space="0" w:color="auto"/>
                                              </w:divBdr>
                                              <w:divsChild>
                                                <w:div w:id="15436357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060446">
      <w:bodyDiv w:val="1"/>
      <w:marLeft w:val="0"/>
      <w:marRight w:val="0"/>
      <w:marTop w:val="0"/>
      <w:marBottom w:val="0"/>
      <w:divBdr>
        <w:top w:val="none" w:sz="0" w:space="0" w:color="auto"/>
        <w:left w:val="none" w:sz="0" w:space="0" w:color="auto"/>
        <w:bottom w:val="none" w:sz="0" w:space="0" w:color="auto"/>
        <w:right w:val="none" w:sz="0" w:space="0" w:color="auto"/>
      </w:divBdr>
    </w:div>
    <w:div w:id="256907732">
      <w:bodyDiv w:val="1"/>
      <w:marLeft w:val="0"/>
      <w:marRight w:val="0"/>
      <w:marTop w:val="0"/>
      <w:marBottom w:val="0"/>
      <w:divBdr>
        <w:top w:val="none" w:sz="0" w:space="0" w:color="auto"/>
        <w:left w:val="none" w:sz="0" w:space="0" w:color="auto"/>
        <w:bottom w:val="none" w:sz="0" w:space="0" w:color="auto"/>
        <w:right w:val="none" w:sz="0" w:space="0" w:color="auto"/>
      </w:divBdr>
      <w:divsChild>
        <w:div w:id="1300453439">
          <w:marLeft w:val="0"/>
          <w:marRight w:val="0"/>
          <w:marTop w:val="0"/>
          <w:marBottom w:val="0"/>
          <w:divBdr>
            <w:top w:val="none" w:sz="0" w:space="0" w:color="auto"/>
            <w:left w:val="none" w:sz="0" w:space="0" w:color="auto"/>
            <w:bottom w:val="none" w:sz="0" w:space="0" w:color="auto"/>
            <w:right w:val="none" w:sz="0" w:space="0" w:color="auto"/>
          </w:divBdr>
        </w:div>
      </w:divsChild>
    </w:div>
    <w:div w:id="257491996">
      <w:bodyDiv w:val="1"/>
      <w:marLeft w:val="0"/>
      <w:marRight w:val="0"/>
      <w:marTop w:val="0"/>
      <w:marBottom w:val="0"/>
      <w:divBdr>
        <w:top w:val="none" w:sz="0" w:space="0" w:color="auto"/>
        <w:left w:val="none" w:sz="0" w:space="0" w:color="auto"/>
        <w:bottom w:val="none" w:sz="0" w:space="0" w:color="auto"/>
        <w:right w:val="none" w:sz="0" w:space="0" w:color="auto"/>
      </w:divBdr>
      <w:divsChild>
        <w:div w:id="497429601">
          <w:marLeft w:val="0"/>
          <w:marRight w:val="0"/>
          <w:marTop w:val="0"/>
          <w:marBottom w:val="0"/>
          <w:divBdr>
            <w:top w:val="none" w:sz="0" w:space="0" w:color="auto"/>
            <w:left w:val="none" w:sz="0" w:space="0" w:color="auto"/>
            <w:bottom w:val="none" w:sz="0" w:space="0" w:color="auto"/>
            <w:right w:val="none" w:sz="0" w:space="0" w:color="auto"/>
          </w:divBdr>
          <w:divsChild>
            <w:div w:id="1819569531">
              <w:marLeft w:val="210"/>
              <w:marRight w:val="0"/>
              <w:marTop w:val="0"/>
              <w:marBottom w:val="0"/>
              <w:divBdr>
                <w:top w:val="none" w:sz="0" w:space="0" w:color="auto"/>
                <w:left w:val="none" w:sz="0" w:space="0" w:color="auto"/>
                <w:bottom w:val="none" w:sz="0" w:space="0" w:color="auto"/>
                <w:right w:val="none" w:sz="0" w:space="0" w:color="auto"/>
              </w:divBdr>
              <w:divsChild>
                <w:div w:id="18763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8718">
      <w:bodyDiv w:val="1"/>
      <w:marLeft w:val="0"/>
      <w:marRight w:val="0"/>
      <w:marTop w:val="0"/>
      <w:marBottom w:val="0"/>
      <w:divBdr>
        <w:top w:val="none" w:sz="0" w:space="0" w:color="auto"/>
        <w:left w:val="none" w:sz="0" w:space="0" w:color="auto"/>
        <w:bottom w:val="none" w:sz="0" w:space="0" w:color="auto"/>
        <w:right w:val="none" w:sz="0" w:space="0" w:color="auto"/>
      </w:divBdr>
      <w:divsChild>
        <w:div w:id="176389216">
          <w:marLeft w:val="0"/>
          <w:marRight w:val="0"/>
          <w:marTop w:val="0"/>
          <w:marBottom w:val="0"/>
          <w:divBdr>
            <w:top w:val="single" w:sz="2" w:space="0" w:color="ECECEC"/>
            <w:left w:val="single" w:sz="2" w:space="0" w:color="ECECEC"/>
            <w:bottom w:val="single" w:sz="2" w:space="0" w:color="ECECEC"/>
            <w:right w:val="single" w:sz="2" w:space="0" w:color="ECECEC"/>
          </w:divBdr>
          <w:divsChild>
            <w:div w:id="146330903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651176245">
          <w:marLeft w:val="0"/>
          <w:marRight w:val="0"/>
          <w:marTop w:val="0"/>
          <w:marBottom w:val="0"/>
          <w:divBdr>
            <w:top w:val="single" w:sz="2" w:space="0" w:color="ECECEC"/>
            <w:left w:val="single" w:sz="2" w:space="0" w:color="ECECEC"/>
            <w:bottom w:val="single" w:sz="2" w:space="0" w:color="ECECEC"/>
            <w:right w:val="single" w:sz="2" w:space="0" w:color="ECECEC"/>
          </w:divBdr>
        </w:div>
        <w:div w:id="1950157532">
          <w:marLeft w:val="0"/>
          <w:marRight w:val="0"/>
          <w:marTop w:val="0"/>
          <w:marBottom w:val="0"/>
          <w:divBdr>
            <w:top w:val="single" w:sz="2" w:space="0" w:color="ECECEC"/>
            <w:left w:val="single" w:sz="2" w:space="0" w:color="ECECEC"/>
            <w:bottom w:val="single" w:sz="2" w:space="0" w:color="ECECEC"/>
            <w:right w:val="single" w:sz="2" w:space="0" w:color="ECECEC"/>
          </w:divBdr>
        </w:div>
        <w:div w:id="394206794">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0990450">
      <w:bodyDiv w:val="1"/>
      <w:marLeft w:val="0"/>
      <w:marRight w:val="0"/>
      <w:marTop w:val="0"/>
      <w:marBottom w:val="0"/>
      <w:divBdr>
        <w:top w:val="none" w:sz="0" w:space="0" w:color="auto"/>
        <w:left w:val="none" w:sz="0" w:space="0" w:color="auto"/>
        <w:bottom w:val="none" w:sz="0" w:space="0" w:color="auto"/>
        <w:right w:val="none" w:sz="0" w:space="0" w:color="auto"/>
      </w:divBdr>
      <w:divsChild>
        <w:div w:id="1204441988">
          <w:marLeft w:val="0"/>
          <w:marRight w:val="0"/>
          <w:marTop w:val="150"/>
          <w:marBottom w:val="0"/>
          <w:divBdr>
            <w:top w:val="none" w:sz="0" w:space="0" w:color="auto"/>
            <w:left w:val="none" w:sz="0" w:space="0" w:color="auto"/>
            <w:bottom w:val="none" w:sz="0" w:space="0" w:color="auto"/>
            <w:right w:val="none" w:sz="0" w:space="0" w:color="auto"/>
          </w:divBdr>
          <w:divsChild>
            <w:div w:id="1683626371">
              <w:marLeft w:val="2"/>
              <w:marRight w:val="2"/>
              <w:marTop w:val="0"/>
              <w:marBottom w:val="0"/>
              <w:divBdr>
                <w:top w:val="none" w:sz="0" w:space="0" w:color="auto"/>
                <w:left w:val="none" w:sz="0" w:space="0" w:color="auto"/>
                <w:bottom w:val="none" w:sz="0" w:space="0" w:color="auto"/>
                <w:right w:val="none" w:sz="0" w:space="0" w:color="auto"/>
              </w:divBdr>
              <w:divsChild>
                <w:div w:id="264381862">
                  <w:marLeft w:val="0"/>
                  <w:marRight w:val="0"/>
                  <w:marTop w:val="0"/>
                  <w:marBottom w:val="0"/>
                  <w:divBdr>
                    <w:top w:val="none" w:sz="0" w:space="0" w:color="auto"/>
                    <w:left w:val="none" w:sz="0" w:space="0" w:color="auto"/>
                    <w:bottom w:val="none" w:sz="0" w:space="0" w:color="auto"/>
                    <w:right w:val="none" w:sz="0" w:space="0" w:color="auto"/>
                  </w:divBdr>
                  <w:divsChild>
                    <w:div w:id="1246721463">
                      <w:marLeft w:val="0"/>
                      <w:marRight w:val="0"/>
                      <w:marTop w:val="0"/>
                      <w:marBottom w:val="0"/>
                      <w:divBdr>
                        <w:top w:val="none" w:sz="0" w:space="0" w:color="auto"/>
                        <w:left w:val="none" w:sz="0" w:space="0" w:color="auto"/>
                        <w:bottom w:val="none" w:sz="0" w:space="0" w:color="auto"/>
                        <w:right w:val="none" w:sz="0" w:space="0" w:color="auto"/>
                      </w:divBdr>
                      <w:divsChild>
                        <w:div w:id="1001274854">
                          <w:marLeft w:val="0"/>
                          <w:marRight w:val="0"/>
                          <w:marTop w:val="0"/>
                          <w:marBottom w:val="0"/>
                          <w:divBdr>
                            <w:top w:val="none" w:sz="0" w:space="0" w:color="auto"/>
                            <w:left w:val="none" w:sz="0" w:space="0" w:color="auto"/>
                            <w:bottom w:val="none" w:sz="0" w:space="0" w:color="auto"/>
                            <w:right w:val="none" w:sz="0" w:space="0" w:color="auto"/>
                          </w:divBdr>
                          <w:divsChild>
                            <w:div w:id="2087800005">
                              <w:marLeft w:val="0"/>
                              <w:marRight w:val="0"/>
                              <w:marTop w:val="0"/>
                              <w:marBottom w:val="0"/>
                              <w:divBdr>
                                <w:top w:val="none" w:sz="0" w:space="0" w:color="auto"/>
                                <w:left w:val="none" w:sz="0" w:space="0" w:color="auto"/>
                                <w:bottom w:val="none" w:sz="0" w:space="0" w:color="auto"/>
                                <w:right w:val="none" w:sz="0" w:space="0" w:color="auto"/>
                              </w:divBdr>
                              <w:divsChild>
                                <w:div w:id="1240561195">
                                  <w:marLeft w:val="0"/>
                                  <w:marRight w:val="0"/>
                                  <w:marTop w:val="0"/>
                                  <w:marBottom w:val="0"/>
                                  <w:divBdr>
                                    <w:top w:val="none" w:sz="0" w:space="0" w:color="auto"/>
                                    <w:left w:val="none" w:sz="0" w:space="0" w:color="auto"/>
                                    <w:bottom w:val="none" w:sz="0" w:space="0" w:color="auto"/>
                                    <w:right w:val="none" w:sz="0" w:space="0" w:color="auto"/>
                                  </w:divBdr>
                                  <w:divsChild>
                                    <w:div w:id="1503279977">
                                      <w:marLeft w:val="0"/>
                                      <w:marRight w:val="0"/>
                                      <w:marTop w:val="0"/>
                                      <w:marBottom w:val="0"/>
                                      <w:divBdr>
                                        <w:top w:val="none" w:sz="0" w:space="0" w:color="auto"/>
                                        <w:left w:val="none" w:sz="0" w:space="0" w:color="auto"/>
                                        <w:bottom w:val="none" w:sz="0" w:space="0" w:color="auto"/>
                                        <w:right w:val="none" w:sz="0" w:space="0" w:color="auto"/>
                                      </w:divBdr>
                                      <w:divsChild>
                                        <w:div w:id="1861777655">
                                          <w:marLeft w:val="0"/>
                                          <w:marRight w:val="0"/>
                                          <w:marTop w:val="0"/>
                                          <w:marBottom w:val="0"/>
                                          <w:divBdr>
                                            <w:top w:val="none" w:sz="0" w:space="0" w:color="auto"/>
                                            <w:left w:val="none" w:sz="0" w:space="0" w:color="auto"/>
                                            <w:bottom w:val="none" w:sz="0" w:space="0" w:color="auto"/>
                                            <w:right w:val="none" w:sz="0" w:space="0" w:color="auto"/>
                                          </w:divBdr>
                                          <w:divsChild>
                                            <w:div w:id="1585870385">
                                              <w:marLeft w:val="0"/>
                                              <w:marRight w:val="0"/>
                                              <w:marTop w:val="0"/>
                                              <w:marBottom w:val="0"/>
                                              <w:divBdr>
                                                <w:top w:val="none" w:sz="0" w:space="0" w:color="auto"/>
                                                <w:left w:val="none" w:sz="0" w:space="0" w:color="auto"/>
                                                <w:bottom w:val="none" w:sz="0" w:space="0" w:color="auto"/>
                                                <w:right w:val="none" w:sz="0" w:space="0" w:color="auto"/>
                                              </w:divBdr>
                                              <w:divsChild>
                                                <w:div w:id="8206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06455">
      <w:bodyDiv w:val="1"/>
      <w:marLeft w:val="0"/>
      <w:marRight w:val="0"/>
      <w:marTop w:val="0"/>
      <w:marBottom w:val="0"/>
      <w:divBdr>
        <w:top w:val="none" w:sz="0" w:space="0" w:color="auto"/>
        <w:left w:val="none" w:sz="0" w:space="0" w:color="auto"/>
        <w:bottom w:val="none" w:sz="0" w:space="0" w:color="auto"/>
        <w:right w:val="none" w:sz="0" w:space="0" w:color="auto"/>
      </w:divBdr>
      <w:divsChild>
        <w:div w:id="676931650">
          <w:marLeft w:val="0"/>
          <w:marRight w:val="0"/>
          <w:marTop w:val="0"/>
          <w:marBottom w:val="0"/>
          <w:divBdr>
            <w:top w:val="none" w:sz="0" w:space="0" w:color="auto"/>
            <w:left w:val="none" w:sz="0" w:space="0" w:color="auto"/>
            <w:bottom w:val="none" w:sz="0" w:space="0" w:color="auto"/>
            <w:right w:val="none" w:sz="0" w:space="0" w:color="auto"/>
          </w:divBdr>
          <w:divsChild>
            <w:div w:id="1371149384">
              <w:marLeft w:val="2"/>
              <w:marRight w:val="2"/>
              <w:marTop w:val="0"/>
              <w:marBottom w:val="0"/>
              <w:divBdr>
                <w:top w:val="none" w:sz="0" w:space="0" w:color="auto"/>
                <w:left w:val="none" w:sz="0" w:space="0" w:color="auto"/>
                <w:bottom w:val="none" w:sz="0" w:space="0" w:color="auto"/>
                <w:right w:val="none" w:sz="0" w:space="0" w:color="auto"/>
              </w:divBdr>
              <w:divsChild>
                <w:div w:id="485710166">
                  <w:marLeft w:val="0"/>
                  <w:marRight w:val="0"/>
                  <w:marTop w:val="0"/>
                  <w:marBottom w:val="0"/>
                  <w:divBdr>
                    <w:top w:val="none" w:sz="0" w:space="0" w:color="auto"/>
                    <w:left w:val="none" w:sz="0" w:space="0" w:color="auto"/>
                    <w:bottom w:val="none" w:sz="0" w:space="0" w:color="auto"/>
                    <w:right w:val="none" w:sz="0" w:space="0" w:color="auto"/>
                  </w:divBdr>
                  <w:divsChild>
                    <w:div w:id="641156271">
                      <w:marLeft w:val="0"/>
                      <w:marRight w:val="0"/>
                      <w:marTop w:val="0"/>
                      <w:marBottom w:val="0"/>
                      <w:divBdr>
                        <w:top w:val="none" w:sz="0" w:space="0" w:color="auto"/>
                        <w:left w:val="none" w:sz="0" w:space="0" w:color="auto"/>
                        <w:bottom w:val="none" w:sz="0" w:space="0" w:color="auto"/>
                        <w:right w:val="none" w:sz="0" w:space="0" w:color="auto"/>
                      </w:divBdr>
                      <w:divsChild>
                        <w:div w:id="1365980545">
                          <w:marLeft w:val="0"/>
                          <w:marRight w:val="0"/>
                          <w:marTop w:val="0"/>
                          <w:marBottom w:val="0"/>
                          <w:divBdr>
                            <w:top w:val="none" w:sz="0" w:space="0" w:color="auto"/>
                            <w:left w:val="none" w:sz="0" w:space="0" w:color="auto"/>
                            <w:bottom w:val="none" w:sz="0" w:space="0" w:color="auto"/>
                            <w:right w:val="none" w:sz="0" w:space="0" w:color="auto"/>
                          </w:divBdr>
                          <w:divsChild>
                            <w:div w:id="744760">
                              <w:marLeft w:val="0"/>
                              <w:marRight w:val="0"/>
                              <w:marTop w:val="0"/>
                              <w:marBottom w:val="0"/>
                              <w:divBdr>
                                <w:top w:val="none" w:sz="0" w:space="0" w:color="auto"/>
                                <w:left w:val="none" w:sz="0" w:space="0" w:color="auto"/>
                                <w:bottom w:val="none" w:sz="0" w:space="0" w:color="auto"/>
                                <w:right w:val="none" w:sz="0" w:space="0" w:color="auto"/>
                              </w:divBdr>
                              <w:divsChild>
                                <w:div w:id="1028869389">
                                  <w:marLeft w:val="0"/>
                                  <w:marRight w:val="0"/>
                                  <w:marTop w:val="0"/>
                                  <w:marBottom w:val="0"/>
                                  <w:divBdr>
                                    <w:top w:val="none" w:sz="0" w:space="0" w:color="auto"/>
                                    <w:left w:val="none" w:sz="0" w:space="0" w:color="auto"/>
                                    <w:bottom w:val="none" w:sz="0" w:space="0" w:color="auto"/>
                                    <w:right w:val="none" w:sz="0" w:space="0" w:color="auto"/>
                                  </w:divBdr>
                                  <w:divsChild>
                                    <w:div w:id="896932667">
                                      <w:marLeft w:val="0"/>
                                      <w:marRight w:val="0"/>
                                      <w:marTop w:val="0"/>
                                      <w:marBottom w:val="0"/>
                                      <w:divBdr>
                                        <w:top w:val="none" w:sz="0" w:space="0" w:color="auto"/>
                                        <w:left w:val="none" w:sz="0" w:space="0" w:color="auto"/>
                                        <w:bottom w:val="none" w:sz="0" w:space="0" w:color="auto"/>
                                        <w:right w:val="none" w:sz="0" w:space="0" w:color="auto"/>
                                      </w:divBdr>
                                      <w:divsChild>
                                        <w:div w:id="1550921187">
                                          <w:marLeft w:val="0"/>
                                          <w:marRight w:val="0"/>
                                          <w:marTop w:val="0"/>
                                          <w:marBottom w:val="0"/>
                                          <w:divBdr>
                                            <w:top w:val="none" w:sz="0" w:space="0" w:color="auto"/>
                                            <w:left w:val="none" w:sz="0" w:space="0" w:color="auto"/>
                                            <w:bottom w:val="none" w:sz="0" w:space="0" w:color="auto"/>
                                            <w:right w:val="none" w:sz="0" w:space="0" w:color="auto"/>
                                          </w:divBdr>
                                          <w:divsChild>
                                            <w:div w:id="90469944">
                                              <w:marLeft w:val="0"/>
                                              <w:marRight w:val="0"/>
                                              <w:marTop w:val="0"/>
                                              <w:marBottom w:val="0"/>
                                              <w:divBdr>
                                                <w:top w:val="none" w:sz="0" w:space="0" w:color="auto"/>
                                                <w:left w:val="none" w:sz="0" w:space="0" w:color="auto"/>
                                                <w:bottom w:val="none" w:sz="0" w:space="0" w:color="auto"/>
                                                <w:right w:val="none" w:sz="0" w:space="0" w:color="auto"/>
                                              </w:divBdr>
                                            </w:div>
                                          </w:divsChild>
                                        </w:div>
                                        <w:div w:id="1777671725">
                                          <w:marLeft w:val="0"/>
                                          <w:marRight w:val="0"/>
                                          <w:marTop w:val="0"/>
                                          <w:marBottom w:val="0"/>
                                          <w:divBdr>
                                            <w:top w:val="none" w:sz="0" w:space="0" w:color="auto"/>
                                            <w:left w:val="none" w:sz="0" w:space="0" w:color="auto"/>
                                            <w:bottom w:val="none" w:sz="0" w:space="0" w:color="auto"/>
                                            <w:right w:val="none" w:sz="0" w:space="0" w:color="auto"/>
                                          </w:divBdr>
                                          <w:divsChild>
                                            <w:div w:id="1938755371">
                                              <w:marLeft w:val="0"/>
                                              <w:marRight w:val="0"/>
                                              <w:marTop w:val="0"/>
                                              <w:marBottom w:val="0"/>
                                              <w:divBdr>
                                                <w:top w:val="none" w:sz="0" w:space="0" w:color="auto"/>
                                                <w:left w:val="none" w:sz="0" w:space="0" w:color="auto"/>
                                                <w:bottom w:val="none" w:sz="0" w:space="0" w:color="auto"/>
                                                <w:right w:val="none" w:sz="0" w:space="0" w:color="auto"/>
                                              </w:divBdr>
                                            </w:div>
                                          </w:divsChild>
                                        </w:div>
                                        <w:div w:id="1695036296">
                                          <w:marLeft w:val="0"/>
                                          <w:marRight w:val="0"/>
                                          <w:marTop w:val="0"/>
                                          <w:marBottom w:val="0"/>
                                          <w:divBdr>
                                            <w:top w:val="none" w:sz="0" w:space="0" w:color="auto"/>
                                            <w:left w:val="none" w:sz="0" w:space="0" w:color="auto"/>
                                            <w:bottom w:val="none" w:sz="0" w:space="0" w:color="auto"/>
                                            <w:right w:val="none" w:sz="0" w:space="0" w:color="auto"/>
                                          </w:divBdr>
                                          <w:divsChild>
                                            <w:div w:id="845290050">
                                              <w:marLeft w:val="0"/>
                                              <w:marRight w:val="0"/>
                                              <w:marTop w:val="0"/>
                                              <w:marBottom w:val="0"/>
                                              <w:divBdr>
                                                <w:top w:val="none" w:sz="0" w:space="0" w:color="auto"/>
                                                <w:left w:val="none" w:sz="0" w:space="0" w:color="auto"/>
                                                <w:bottom w:val="none" w:sz="0" w:space="0" w:color="auto"/>
                                                <w:right w:val="none" w:sz="0" w:space="0" w:color="auto"/>
                                              </w:divBdr>
                                            </w:div>
                                          </w:divsChild>
                                        </w:div>
                                        <w:div w:id="1656030299">
                                          <w:marLeft w:val="0"/>
                                          <w:marRight w:val="0"/>
                                          <w:marTop w:val="0"/>
                                          <w:marBottom w:val="0"/>
                                          <w:divBdr>
                                            <w:top w:val="none" w:sz="0" w:space="0" w:color="auto"/>
                                            <w:left w:val="none" w:sz="0" w:space="0" w:color="auto"/>
                                            <w:bottom w:val="none" w:sz="0" w:space="0" w:color="auto"/>
                                            <w:right w:val="none" w:sz="0" w:space="0" w:color="auto"/>
                                          </w:divBdr>
                                          <w:divsChild>
                                            <w:div w:id="237600659">
                                              <w:marLeft w:val="0"/>
                                              <w:marRight w:val="0"/>
                                              <w:marTop w:val="0"/>
                                              <w:marBottom w:val="0"/>
                                              <w:divBdr>
                                                <w:top w:val="none" w:sz="0" w:space="0" w:color="auto"/>
                                                <w:left w:val="none" w:sz="0" w:space="0" w:color="auto"/>
                                                <w:bottom w:val="none" w:sz="0" w:space="0" w:color="auto"/>
                                                <w:right w:val="none" w:sz="0" w:space="0" w:color="auto"/>
                                              </w:divBdr>
                                            </w:div>
                                          </w:divsChild>
                                        </w:div>
                                        <w:div w:id="223953099">
                                          <w:marLeft w:val="0"/>
                                          <w:marRight w:val="0"/>
                                          <w:marTop w:val="0"/>
                                          <w:marBottom w:val="0"/>
                                          <w:divBdr>
                                            <w:top w:val="none" w:sz="0" w:space="0" w:color="auto"/>
                                            <w:left w:val="none" w:sz="0" w:space="0" w:color="auto"/>
                                            <w:bottom w:val="none" w:sz="0" w:space="0" w:color="auto"/>
                                            <w:right w:val="none" w:sz="0" w:space="0" w:color="auto"/>
                                          </w:divBdr>
                                          <w:divsChild>
                                            <w:div w:id="515653213">
                                              <w:marLeft w:val="0"/>
                                              <w:marRight w:val="0"/>
                                              <w:marTop w:val="0"/>
                                              <w:marBottom w:val="0"/>
                                              <w:divBdr>
                                                <w:top w:val="none" w:sz="0" w:space="0" w:color="auto"/>
                                                <w:left w:val="none" w:sz="0" w:space="0" w:color="auto"/>
                                                <w:bottom w:val="none" w:sz="0" w:space="0" w:color="auto"/>
                                                <w:right w:val="none" w:sz="0" w:space="0" w:color="auto"/>
                                              </w:divBdr>
                                            </w:div>
                                          </w:divsChild>
                                        </w:div>
                                        <w:div w:id="1062097380">
                                          <w:marLeft w:val="0"/>
                                          <w:marRight w:val="0"/>
                                          <w:marTop w:val="0"/>
                                          <w:marBottom w:val="0"/>
                                          <w:divBdr>
                                            <w:top w:val="none" w:sz="0" w:space="0" w:color="auto"/>
                                            <w:left w:val="none" w:sz="0" w:space="0" w:color="auto"/>
                                            <w:bottom w:val="none" w:sz="0" w:space="0" w:color="auto"/>
                                            <w:right w:val="none" w:sz="0" w:space="0" w:color="auto"/>
                                          </w:divBdr>
                                          <w:divsChild>
                                            <w:div w:id="10548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874">
                                      <w:marLeft w:val="0"/>
                                      <w:marRight w:val="0"/>
                                      <w:marTop w:val="0"/>
                                      <w:marBottom w:val="0"/>
                                      <w:divBdr>
                                        <w:top w:val="none" w:sz="0" w:space="0" w:color="auto"/>
                                        <w:left w:val="none" w:sz="0" w:space="0" w:color="auto"/>
                                        <w:bottom w:val="none" w:sz="0" w:space="0" w:color="auto"/>
                                        <w:right w:val="none" w:sz="0" w:space="0" w:color="auto"/>
                                      </w:divBdr>
                                      <w:divsChild>
                                        <w:div w:id="1935504501">
                                          <w:marLeft w:val="0"/>
                                          <w:marRight w:val="0"/>
                                          <w:marTop w:val="0"/>
                                          <w:marBottom w:val="0"/>
                                          <w:divBdr>
                                            <w:top w:val="none" w:sz="0" w:space="0" w:color="auto"/>
                                            <w:left w:val="none" w:sz="0" w:space="0" w:color="auto"/>
                                            <w:bottom w:val="none" w:sz="0" w:space="0" w:color="auto"/>
                                            <w:right w:val="none" w:sz="0" w:space="0" w:color="auto"/>
                                          </w:divBdr>
                                          <w:divsChild>
                                            <w:div w:id="1176532763">
                                              <w:marLeft w:val="0"/>
                                              <w:marRight w:val="0"/>
                                              <w:marTop w:val="0"/>
                                              <w:marBottom w:val="0"/>
                                              <w:divBdr>
                                                <w:top w:val="none" w:sz="0" w:space="0" w:color="auto"/>
                                                <w:left w:val="none" w:sz="0" w:space="0" w:color="auto"/>
                                                <w:bottom w:val="none" w:sz="0" w:space="0" w:color="auto"/>
                                                <w:right w:val="none" w:sz="0" w:space="0" w:color="auto"/>
                                              </w:divBdr>
                                            </w:div>
                                          </w:divsChild>
                                        </w:div>
                                        <w:div w:id="1239751839">
                                          <w:marLeft w:val="0"/>
                                          <w:marRight w:val="0"/>
                                          <w:marTop w:val="0"/>
                                          <w:marBottom w:val="0"/>
                                          <w:divBdr>
                                            <w:top w:val="none" w:sz="0" w:space="0" w:color="auto"/>
                                            <w:left w:val="none" w:sz="0" w:space="0" w:color="auto"/>
                                            <w:bottom w:val="none" w:sz="0" w:space="0" w:color="auto"/>
                                            <w:right w:val="none" w:sz="0" w:space="0" w:color="auto"/>
                                          </w:divBdr>
                                          <w:divsChild>
                                            <w:div w:id="1519152828">
                                              <w:marLeft w:val="0"/>
                                              <w:marRight w:val="0"/>
                                              <w:marTop w:val="0"/>
                                              <w:marBottom w:val="0"/>
                                              <w:divBdr>
                                                <w:top w:val="none" w:sz="0" w:space="0" w:color="auto"/>
                                                <w:left w:val="none" w:sz="0" w:space="0" w:color="auto"/>
                                                <w:bottom w:val="none" w:sz="0" w:space="0" w:color="auto"/>
                                                <w:right w:val="none" w:sz="0" w:space="0" w:color="auto"/>
                                              </w:divBdr>
                                            </w:div>
                                          </w:divsChild>
                                        </w:div>
                                        <w:div w:id="374235928">
                                          <w:marLeft w:val="0"/>
                                          <w:marRight w:val="0"/>
                                          <w:marTop w:val="0"/>
                                          <w:marBottom w:val="0"/>
                                          <w:divBdr>
                                            <w:top w:val="none" w:sz="0" w:space="0" w:color="auto"/>
                                            <w:left w:val="none" w:sz="0" w:space="0" w:color="auto"/>
                                            <w:bottom w:val="none" w:sz="0" w:space="0" w:color="auto"/>
                                            <w:right w:val="none" w:sz="0" w:space="0" w:color="auto"/>
                                          </w:divBdr>
                                          <w:divsChild>
                                            <w:div w:id="539438557">
                                              <w:marLeft w:val="0"/>
                                              <w:marRight w:val="0"/>
                                              <w:marTop w:val="0"/>
                                              <w:marBottom w:val="0"/>
                                              <w:divBdr>
                                                <w:top w:val="none" w:sz="0" w:space="0" w:color="auto"/>
                                                <w:left w:val="none" w:sz="0" w:space="0" w:color="auto"/>
                                                <w:bottom w:val="none" w:sz="0" w:space="0" w:color="auto"/>
                                                <w:right w:val="none" w:sz="0" w:space="0" w:color="auto"/>
                                              </w:divBdr>
                                            </w:div>
                                          </w:divsChild>
                                        </w:div>
                                        <w:div w:id="180826735">
                                          <w:marLeft w:val="0"/>
                                          <w:marRight w:val="0"/>
                                          <w:marTop w:val="0"/>
                                          <w:marBottom w:val="0"/>
                                          <w:divBdr>
                                            <w:top w:val="none" w:sz="0" w:space="0" w:color="auto"/>
                                            <w:left w:val="none" w:sz="0" w:space="0" w:color="auto"/>
                                            <w:bottom w:val="none" w:sz="0" w:space="0" w:color="auto"/>
                                            <w:right w:val="none" w:sz="0" w:space="0" w:color="auto"/>
                                          </w:divBdr>
                                          <w:divsChild>
                                            <w:div w:id="1180923352">
                                              <w:marLeft w:val="0"/>
                                              <w:marRight w:val="0"/>
                                              <w:marTop w:val="0"/>
                                              <w:marBottom w:val="0"/>
                                              <w:divBdr>
                                                <w:top w:val="none" w:sz="0" w:space="0" w:color="auto"/>
                                                <w:left w:val="none" w:sz="0" w:space="0" w:color="auto"/>
                                                <w:bottom w:val="none" w:sz="0" w:space="0" w:color="auto"/>
                                                <w:right w:val="none" w:sz="0" w:space="0" w:color="auto"/>
                                              </w:divBdr>
                                            </w:div>
                                          </w:divsChild>
                                        </w:div>
                                        <w:div w:id="1145508905">
                                          <w:marLeft w:val="0"/>
                                          <w:marRight w:val="0"/>
                                          <w:marTop w:val="0"/>
                                          <w:marBottom w:val="0"/>
                                          <w:divBdr>
                                            <w:top w:val="none" w:sz="0" w:space="0" w:color="auto"/>
                                            <w:left w:val="none" w:sz="0" w:space="0" w:color="auto"/>
                                            <w:bottom w:val="none" w:sz="0" w:space="0" w:color="auto"/>
                                            <w:right w:val="none" w:sz="0" w:space="0" w:color="auto"/>
                                          </w:divBdr>
                                          <w:divsChild>
                                            <w:div w:id="16163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036637">
      <w:bodyDiv w:val="1"/>
      <w:marLeft w:val="0"/>
      <w:marRight w:val="0"/>
      <w:marTop w:val="0"/>
      <w:marBottom w:val="0"/>
      <w:divBdr>
        <w:top w:val="none" w:sz="0" w:space="0" w:color="auto"/>
        <w:left w:val="none" w:sz="0" w:space="0" w:color="auto"/>
        <w:bottom w:val="none" w:sz="0" w:space="0" w:color="auto"/>
        <w:right w:val="none" w:sz="0" w:space="0" w:color="auto"/>
      </w:divBdr>
      <w:divsChild>
        <w:div w:id="2027978224">
          <w:marLeft w:val="0"/>
          <w:marRight w:val="0"/>
          <w:marTop w:val="0"/>
          <w:marBottom w:val="0"/>
          <w:divBdr>
            <w:top w:val="single" w:sz="2" w:space="0" w:color="ECECEC"/>
            <w:left w:val="single" w:sz="2" w:space="0" w:color="ECECEC"/>
            <w:bottom w:val="single" w:sz="2" w:space="0" w:color="ECECEC"/>
            <w:right w:val="single" w:sz="2" w:space="0" w:color="ECECEC"/>
          </w:divBdr>
          <w:divsChild>
            <w:div w:id="2061397413">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79244346">
          <w:marLeft w:val="0"/>
          <w:marRight w:val="0"/>
          <w:marTop w:val="0"/>
          <w:marBottom w:val="0"/>
          <w:divBdr>
            <w:top w:val="single" w:sz="2" w:space="0" w:color="ECECEC"/>
            <w:left w:val="single" w:sz="2" w:space="0" w:color="ECECEC"/>
            <w:bottom w:val="single" w:sz="2" w:space="0" w:color="ECECEC"/>
            <w:right w:val="single" w:sz="2" w:space="0" w:color="ECECEC"/>
          </w:divBdr>
        </w:div>
        <w:div w:id="9286616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3077064">
      <w:bodyDiv w:val="1"/>
      <w:marLeft w:val="0"/>
      <w:marRight w:val="0"/>
      <w:marTop w:val="0"/>
      <w:marBottom w:val="0"/>
      <w:divBdr>
        <w:top w:val="none" w:sz="0" w:space="0" w:color="auto"/>
        <w:left w:val="none" w:sz="0" w:space="0" w:color="auto"/>
        <w:bottom w:val="none" w:sz="0" w:space="0" w:color="auto"/>
        <w:right w:val="none" w:sz="0" w:space="0" w:color="auto"/>
      </w:divBdr>
      <w:divsChild>
        <w:div w:id="82578096">
          <w:marLeft w:val="0"/>
          <w:marRight w:val="0"/>
          <w:marTop w:val="150"/>
          <w:marBottom w:val="0"/>
          <w:divBdr>
            <w:top w:val="none" w:sz="0" w:space="0" w:color="auto"/>
            <w:left w:val="none" w:sz="0" w:space="0" w:color="auto"/>
            <w:bottom w:val="none" w:sz="0" w:space="0" w:color="auto"/>
            <w:right w:val="none" w:sz="0" w:space="0" w:color="auto"/>
          </w:divBdr>
          <w:divsChild>
            <w:div w:id="1425496067">
              <w:marLeft w:val="2"/>
              <w:marRight w:val="2"/>
              <w:marTop w:val="0"/>
              <w:marBottom w:val="0"/>
              <w:divBdr>
                <w:top w:val="none" w:sz="0" w:space="0" w:color="auto"/>
                <w:left w:val="none" w:sz="0" w:space="0" w:color="auto"/>
                <w:bottom w:val="none" w:sz="0" w:space="0" w:color="auto"/>
                <w:right w:val="none" w:sz="0" w:space="0" w:color="auto"/>
              </w:divBdr>
              <w:divsChild>
                <w:div w:id="205680370">
                  <w:marLeft w:val="0"/>
                  <w:marRight w:val="0"/>
                  <w:marTop w:val="0"/>
                  <w:marBottom w:val="0"/>
                  <w:divBdr>
                    <w:top w:val="none" w:sz="0" w:space="0" w:color="auto"/>
                    <w:left w:val="none" w:sz="0" w:space="0" w:color="auto"/>
                    <w:bottom w:val="none" w:sz="0" w:space="0" w:color="auto"/>
                    <w:right w:val="none" w:sz="0" w:space="0" w:color="auto"/>
                  </w:divBdr>
                  <w:divsChild>
                    <w:div w:id="171115567">
                      <w:marLeft w:val="0"/>
                      <w:marRight w:val="0"/>
                      <w:marTop w:val="0"/>
                      <w:marBottom w:val="0"/>
                      <w:divBdr>
                        <w:top w:val="none" w:sz="0" w:space="0" w:color="auto"/>
                        <w:left w:val="none" w:sz="0" w:space="0" w:color="auto"/>
                        <w:bottom w:val="none" w:sz="0" w:space="0" w:color="auto"/>
                        <w:right w:val="none" w:sz="0" w:space="0" w:color="auto"/>
                      </w:divBdr>
                      <w:divsChild>
                        <w:div w:id="211967600">
                          <w:marLeft w:val="0"/>
                          <w:marRight w:val="0"/>
                          <w:marTop w:val="0"/>
                          <w:marBottom w:val="0"/>
                          <w:divBdr>
                            <w:top w:val="none" w:sz="0" w:space="0" w:color="auto"/>
                            <w:left w:val="none" w:sz="0" w:space="0" w:color="auto"/>
                            <w:bottom w:val="none" w:sz="0" w:space="0" w:color="auto"/>
                            <w:right w:val="none" w:sz="0" w:space="0" w:color="auto"/>
                          </w:divBdr>
                          <w:divsChild>
                            <w:div w:id="1911383287">
                              <w:marLeft w:val="0"/>
                              <w:marRight w:val="0"/>
                              <w:marTop w:val="0"/>
                              <w:marBottom w:val="0"/>
                              <w:divBdr>
                                <w:top w:val="none" w:sz="0" w:space="0" w:color="auto"/>
                                <w:left w:val="none" w:sz="0" w:space="0" w:color="auto"/>
                                <w:bottom w:val="none" w:sz="0" w:space="0" w:color="auto"/>
                                <w:right w:val="none" w:sz="0" w:space="0" w:color="auto"/>
                              </w:divBdr>
                              <w:divsChild>
                                <w:div w:id="1207988311">
                                  <w:marLeft w:val="0"/>
                                  <w:marRight w:val="0"/>
                                  <w:marTop w:val="0"/>
                                  <w:marBottom w:val="0"/>
                                  <w:divBdr>
                                    <w:top w:val="none" w:sz="0" w:space="0" w:color="auto"/>
                                    <w:left w:val="none" w:sz="0" w:space="0" w:color="auto"/>
                                    <w:bottom w:val="none" w:sz="0" w:space="0" w:color="auto"/>
                                    <w:right w:val="none" w:sz="0" w:space="0" w:color="auto"/>
                                  </w:divBdr>
                                  <w:divsChild>
                                    <w:div w:id="1931498440">
                                      <w:marLeft w:val="0"/>
                                      <w:marRight w:val="0"/>
                                      <w:marTop w:val="0"/>
                                      <w:marBottom w:val="0"/>
                                      <w:divBdr>
                                        <w:top w:val="none" w:sz="0" w:space="0" w:color="auto"/>
                                        <w:left w:val="none" w:sz="0" w:space="0" w:color="auto"/>
                                        <w:bottom w:val="none" w:sz="0" w:space="0" w:color="auto"/>
                                        <w:right w:val="none" w:sz="0" w:space="0" w:color="auto"/>
                                      </w:divBdr>
                                      <w:divsChild>
                                        <w:div w:id="1095128590">
                                          <w:marLeft w:val="0"/>
                                          <w:marRight w:val="0"/>
                                          <w:marTop w:val="0"/>
                                          <w:marBottom w:val="0"/>
                                          <w:divBdr>
                                            <w:top w:val="none" w:sz="0" w:space="0" w:color="auto"/>
                                            <w:left w:val="none" w:sz="0" w:space="0" w:color="auto"/>
                                            <w:bottom w:val="none" w:sz="0" w:space="0" w:color="auto"/>
                                            <w:right w:val="none" w:sz="0" w:space="0" w:color="auto"/>
                                          </w:divBdr>
                                          <w:divsChild>
                                            <w:div w:id="1145581980">
                                              <w:marLeft w:val="0"/>
                                              <w:marRight w:val="0"/>
                                              <w:marTop w:val="0"/>
                                              <w:marBottom w:val="0"/>
                                              <w:divBdr>
                                                <w:top w:val="none" w:sz="0" w:space="0" w:color="auto"/>
                                                <w:left w:val="none" w:sz="0" w:space="0" w:color="auto"/>
                                                <w:bottom w:val="none" w:sz="0" w:space="0" w:color="auto"/>
                                                <w:right w:val="none" w:sz="0" w:space="0" w:color="auto"/>
                                              </w:divBdr>
                                              <w:divsChild>
                                                <w:div w:id="988361276">
                                                  <w:marLeft w:val="0"/>
                                                  <w:marRight w:val="0"/>
                                                  <w:marTop w:val="0"/>
                                                  <w:marBottom w:val="0"/>
                                                  <w:divBdr>
                                                    <w:top w:val="none" w:sz="0" w:space="0" w:color="auto"/>
                                                    <w:left w:val="none" w:sz="0" w:space="0" w:color="auto"/>
                                                    <w:bottom w:val="none" w:sz="0" w:space="0" w:color="auto"/>
                                                    <w:right w:val="none" w:sz="0" w:space="0" w:color="auto"/>
                                                  </w:divBdr>
                                                </w:div>
                                              </w:divsChild>
                                            </w:div>
                                            <w:div w:id="741678254">
                                              <w:marLeft w:val="0"/>
                                              <w:marRight w:val="0"/>
                                              <w:marTop w:val="0"/>
                                              <w:marBottom w:val="0"/>
                                              <w:divBdr>
                                                <w:top w:val="none" w:sz="0" w:space="0" w:color="auto"/>
                                                <w:left w:val="none" w:sz="0" w:space="0" w:color="auto"/>
                                                <w:bottom w:val="none" w:sz="0" w:space="0" w:color="auto"/>
                                                <w:right w:val="none" w:sz="0" w:space="0" w:color="auto"/>
                                              </w:divBdr>
                                              <w:divsChild>
                                                <w:div w:id="1348559693">
                                                  <w:marLeft w:val="0"/>
                                                  <w:marRight w:val="0"/>
                                                  <w:marTop w:val="0"/>
                                                  <w:marBottom w:val="0"/>
                                                  <w:divBdr>
                                                    <w:top w:val="none" w:sz="0" w:space="0" w:color="auto"/>
                                                    <w:left w:val="none" w:sz="0" w:space="0" w:color="auto"/>
                                                    <w:bottom w:val="none" w:sz="0" w:space="0" w:color="auto"/>
                                                    <w:right w:val="none" w:sz="0" w:space="0" w:color="auto"/>
                                                  </w:divBdr>
                                                </w:div>
                                              </w:divsChild>
                                            </w:div>
                                            <w:div w:id="1354067469">
                                              <w:marLeft w:val="0"/>
                                              <w:marRight w:val="0"/>
                                              <w:marTop w:val="0"/>
                                              <w:marBottom w:val="0"/>
                                              <w:divBdr>
                                                <w:top w:val="none" w:sz="0" w:space="0" w:color="auto"/>
                                                <w:left w:val="none" w:sz="0" w:space="0" w:color="auto"/>
                                                <w:bottom w:val="none" w:sz="0" w:space="0" w:color="auto"/>
                                                <w:right w:val="none" w:sz="0" w:space="0" w:color="auto"/>
                                              </w:divBdr>
                                              <w:divsChild>
                                                <w:div w:id="1207066493">
                                                  <w:marLeft w:val="0"/>
                                                  <w:marRight w:val="0"/>
                                                  <w:marTop w:val="0"/>
                                                  <w:marBottom w:val="0"/>
                                                  <w:divBdr>
                                                    <w:top w:val="none" w:sz="0" w:space="0" w:color="auto"/>
                                                    <w:left w:val="none" w:sz="0" w:space="0" w:color="auto"/>
                                                    <w:bottom w:val="none" w:sz="0" w:space="0" w:color="auto"/>
                                                    <w:right w:val="none" w:sz="0" w:space="0" w:color="auto"/>
                                                  </w:divBdr>
                                                </w:div>
                                              </w:divsChild>
                                            </w:div>
                                            <w:div w:id="390352416">
                                              <w:marLeft w:val="0"/>
                                              <w:marRight w:val="0"/>
                                              <w:marTop w:val="0"/>
                                              <w:marBottom w:val="0"/>
                                              <w:divBdr>
                                                <w:top w:val="none" w:sz="0" w:space="0" w:color="auto"/>
                                                <w:left w:val="none" w:sz="0" w:space="0" w:color="auto"/>
                                                <w:bottom w:val="none" w:sz="0" w:space="0" w:color="auto"/>
                                                <w:right w:val="none" w:sz="0" w:space="0" w:color="auto"/>
                                              </w:divBdr>
                                              <w:divsChild>
                                                <w:div w:id="1325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773234">
      <w:bodyDiv w:val="1"/>
      <w:marLeft w:val="0"/>
      <w:marRight w:val="0"/>
      <w:marTop w:val="0"/>
      <w:marBottom w:val="0"/>
      <w:divBdr>
        <w:top w:val="none" w:sz="0" w:space="0" w:color="auto"/>
        <w:left w:val="none" w:sz="0" w:space="0" w:color="auto"/>
        <w:bottom w:val="none" w:sz="0" w:space="0" w:color="auto"/>
        <w:right w:val="none" w:sz="0" w:space="0" w:color="auto"/>
      </w:divBdr>
      <w:divsChild>
        <w:div w:id="935793742">
          <w:marLeft w:val="0"/>
          <w:marRight w:val="0"/>
          <w:marTop w:val="0"/>
          <w:marBottom w:val="150"/>
          <w:divBdr>
            <w:top w:val="none" w:sz="0" w:space="0" w:color="auto"/>
            <w:left w:val="none" w:sz="0" w:space="0" w:color="auto"/>
            <w:bottom w:val="none" w:sz="0" w:space="0" w:color="auto"/>
            <w:right w:val="none" w:sz="0" w:space="0" w:color="auto"/>
          </w:divBdr>
          <w:divsChild>
            <w:div w:id="20640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4832">
      <w:bodyDiv w:val="1"/>
      <w:marLeft w:val="0"/>
      <w:marRight w:val="0"/>
      <w:marTop w:val="0"/>
      <w:marBottom w:val="0"/>
      <w:divBdr>
        <w:top w:val="none" w:sz="0" w:space="0" w:color="auto"/>
        <w:left w:val="none" w:sz="0" w:space="0" w:color="auto"/>
        <w:bottom w:val="none" w:sz="0" w:space="0" w:color="auto"/>
        <w:right w:val="none" w:sz="0" w:space="0" w:color="auto"/>
      </w:divBdr>
    </w:div>
    <w:div w:id="265895148">
      <w:bodyDiv w:val="1"/>
      <w:marLeft w:val="0"/>
      <w:marRight w:val="0"/>
      <w:marTop w:val="0"/>
      <w:marBottom w:val="0"/>
      <w:divBdr>
        <w:top w:val="none" w:sz="0" w:space="0" w:color="auto"/>
        <w:left w:val="none" w:sz="0" w:space="0" w:color="auto"/>
        <w:bottom w:val="none" w:sz="0" w:space="0" w:color="auto"/>
        <w:right w:val="none" w:sz="0" w:space="0" w:color="auto"/>
      </w:divBdr>
    </w:div>
    <w:div w:id="266155370">
      <w:bodyDiv w:val="1"/>
      <w:marLeft w:val="0"/>
      <w:marRight w:val="0"/>
      <w:marTop w:val="0"/>
      <w:marBottom w:val="0"/>
      <w:divBdr>
        <w:top w:val="none" w:sz="0" w:space="0" w:color="auto"/>
        <w:left w:val="none" w:sz="0" w:space="0" w:color="auto"/>
        <w:bottom w:val="none" w:sz="0" w:space="0" w:color="auto"/>
        <w:right w:val="none" w:sz="0" w:space="0" w:color="auto"/>
      </w:divBdr>
      <w:divsChild>
        <w:div w:id="679159975">
          <w:marLeft w:val="0"/>
          <w:marRight w:val="0"/>
          <w:marTop w:val="0"/>
          <w:marBottom w:val="0"/>
          <w:divBdr>
            <w:top w:val="none" w:sz="0" w:space="0" w:color="auto"/>
            <w:left w:val="none" w:sz="0" w:space="0" w:color="auto"/>
            <w:bottom w:val="none" w:sz="0" w:space="0" w:color="auto"/>
            <w:right w:val="none" w:sz="0" w:space="0" w:color="auto"/>
          </w:divBdr>
          <w:divsChild>
            <w:div w:id="666447059">
              <w:marLeft w:val="0"/>
              <w:marRight w:val="0"/>
              <w:marTop w:val="0"/>
              <w:marBottom w:val="0"/>
              <w:divBdr>
                <w:top w:val="none" w:sz="0" w:space="0" w:color="auto"/>
                <w:left w:val="none" w:sz="0" w:space="0" w:color="auto"/>
                <w:bottom w:val="none" w:sz="0" w:space="0" w:color="auto"/>
                <w:right w:val="none" w:sz="0" w:space="0" w:color="auto"/>
              </w:divBdr>
              <w:divsChild>
                <w:div w:id="239801620">
                  <w:marLeft w:val="0"/>
                  <w:marRight w:val="0"/>
                  <w:marTop w:val="0"/>
                  <w:marBottom w:val="0"/>
                  <w:divBdr>
                    <w:top w:val="none" w:sz="0" w:space="0" w:color="auto"/>
                    <w:left w:val="none" w:sz="0" w:space="0" w:color="auto"/>
                    <w:bottom w:val="none" w:sz="0" w:space="0" w:color="auto"/>
                    <w:right w:val="none" w:sz="0" w:space="0" w:color="auto"/>
                  </w:divBdr>
                  <w:divsChild>
                    <w:div w:id="269289269">
                      <w:marLeft w:val="0"/>
                      <w:marRight w:val="0"/>
                      <w:marTop w:val="0"/>
                      <w:marBottom w:val="0"/>
                      <w:divBdr>
                        <w:top w:val="none" w:sz="0" w:space="0" w:color="auto"/>
                        <w:left w:val="none" w:sz="0" w:space="0" w:color="auto"/>
                        <w:bottom w:val="none" w:sz="0" w:space="0" w:color="auto"/>
                        <w:right w:val="none" w:sz="0" w:space="0" w:color="auto"/>
                      </w:divBdr>
                      <w:divsChild>
                        <w:div w:id="2090416863">
                          <w:marLeft w:val="570"/>
                          <w:marRight w:val="720"/>
                          <w:marTop w:val="120"/>
                          <w:marBottom w:val="120"/>
                          <w:divBdr>
                            <w:top w:val="none" w:sz="0" w:space="0" w:color="auto"/>
                            <w:left w:val="none" w:sz="0" w:space="0" w:color="auto"/>
                            <w:bottom w:val="none" w:sz="0" w:space="0" w:color="auto"/>
                            <w:right w:val="none" w:sz="0" w:space="0" w:color="auto"/>
                          </w:divBdr>
                          <w:divsChild>
                            <w:div w:id="387800047">
                              <w:marLeft w:val="0"/>
                              <w:marRight w:val="0"/>
                              <w:marTop w:val="0"/>
                              <w:marBottom w:val="0"/>
                              <w:divBdr>
                                <w:top w:val="none" w:sz="0" w:space="0" w:color="auto"/>
                                <w:left w:val="none" w:sz="0" w:space="0" w:color="auto"/>
                                <w:bottom w:val="none" w:sz="0" w:space="0" w:color="auto"/>
                                <w:right w:val="none" w:sz="0" w:space="0" w:color="auto"/>
                              </w:divBdr>
                              <w:divsChild>
                                <w:div w:id="404302334">
                                  <w:marLeft w:val="0"/>
                                  <w:marRight w:val="0"/>
                                  <w:marTop w:val="0"/>
                                  <w:marBottom w:val="0"/>
                                  <w:divBdr>
                                    <w:top w:val="none" w:sz="0" w:space="0" w:color="auto"/>
                                    <w:left w:val="none" w:sz="0" w:space="0" w:color="auto"/>
                                    <w:bottom w:val="none" w:sz="0" w:space="0" w:color="auto"/>
                                    <w:right w:val="none" w:sz="0" w:space="0" w:color="auto"/>
                                  </w:divBdr>
                                  <w:divsChild>
                                    <w:div w:id="634454330">
                                      <w:marLeft w:val="0"/>
                                      <w:marRight w:val="0"/>
                                      <w:marTop w:val="0"/>
                                      <w:marBottom w:val="0"/>
                                      <w:divBdr>
                                        <w:top w:val="none" w:sz="0" w:space="0" w:color="auto"/>
                                        <w:left w:val="none" w:sz="0" w:space="0" w:color="auto"/>
                                        <w:bottom w:val="none" w:sz="0" w:space="0" w:color="auto"/>
                                        <w:right w:val="none" w:sz="0" w:space="0" w:color="auto"/>
                                      </w:divBdr>
                                      <w:divsChild>
                                        <w:div w:id="743333974">
                                          <w:marLeft w:val="0"/>
                                          <w:marRight w:val="0"/>
                                          <w:marTop w:val="240"/>
                                          <w:marBottom w:val="240"/>
                                          <w:divBdr>
                                            <w:top w:val="single" w:sz="6" w:space="6" w:color="F2F2F2"/>
                                            <w:left w:val="none" w:sz="0" w:space="0" w:color="auto"/>
                                            <w:bottom w:val="single" w:sz="6" w:space="6" w:color="F2F2F2"/>
                                            <w:right w:val="none" w:sz="0" w:space="0" w:color="auto"/>
                                          </w:divBdr>
                                        </w:div>
                                        <w:div w:id="1582567793">
                                          <w:marLeft w:val="0"/>
                                          <w:marRight w:val="0"/>
                                          <w:marTop w:val="0"/>
                                          <w:marBottom w:val="0"/>
                                          <w:divBdr>
                                            <w:top w:val="none" w:sz="0" w:space="0" w:color="auto"/>
                                            <w:left w:val="none" w:sz="0" w:space="0" w:color="auto"/>
                                            <w:bottom w:val="none" w:sz="0" w:space="0" w:color="auto"/>
                                            <w:right w:val="none" w:sz="0" w:space="0" w:color="auto"/>
                                          </w:divBdr>
                                          <w:divsChild>
                                            <w:div w:id="18276226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692009">
      <w:bodyDiv w:val="1"/>
      <w:marLeft w:val="0"/>
      <w:marRight w:val="0"/>
      <w:marTop w:val="0"/>
      <w:marBottom w:val="0"/>
      <w:divBdr>
        <w:top w:val="none" w:sz="0" w:space="0" w:color="auto"/>
        <w:left w:val="none" w:sz="0" w:space="0" w:color="auto"/>
        <w:bottom w:val="none" w:sz="0" w:space="0" w:color="auto"/>
        <w:right w:val="none" w:sz="0" w:space="0" w:color="auto"/>
      </w:divBdr>
    </w:div>
    <w:div w:id="267272885">
      <w:bodyDiv w:val="1"/>
      <w:marLeft w:val="0"/>
      <w:marRight w:val="0"/>
      <w:marTop w:val="0"/>
      <w:marBottom w:val="0"/>
      <w:divBdr>
        <w:top w:val="none" w:sz="0" w:space="0" w:color="auto"/>
        <w:left w:val="none" w:sz="0" w:space="0" w:color="auto"/>
        <w:bottom w:val="none" w:sz="0" w:space="0" w:color="auto"/>
        <w:right w:val="none" w:sz="0" w:space="0" w:color="auto"/>
      </w:divBdr>
      <w:divsChild>
        <w:div w:id="445469455">
          <w:marLeft w:val="0"/>
          <w:marRight w:val="0"/>
          <w:marTop w:val="0"/>
          <w:marBottom w:val="0"/>
          <w:divBdr>
            <w:top w:val="none" w:sz="0" w:space="0" w:color="auto"/>
            <w:left w:val="none" w:sz="0" w:space="0" w:color="auto"/>
            <w:bottom w:val="none" w:sz="0" w:space="0" w:color="auto"/>
            <w:right w:val="none" w:sz="0" w:space="0" w:color="auto"/>
          </w:divBdr>
          <w:divsChild>
            <w:div w:id="1062022458">
              <w:marLeft w:val="0"/>
              <w:marRight w:val="0"/>
              <w:marTop w:val="0"/>
              <w:marBottom w:val="0"/>
              <w:divBdr>
                <w:top w:val="none" w:sz="0" w:space="0" w:color="auto"/>
                <w:left w:val="none" w:sz="0" w:space="0" w:color="auto"/>
                <w:bottom w:val="none" w:sz="0" w:space="0" w:color="auto"/>
                <w:right w:val="none" w:sz="0" w:space="0" w:color="auto"/>
              </w:divBdr>
              <w:divsChild>
                <w:div w:id="547185549">
                  <w:marLeft w:val="0"/>
                  <w:marRight w:val="0"/>
                  <w:marTop w:val="0"/>
                  <w:marBottom w:val="0"/>
                  <w:divBdr>
                    <w:top w:val="none" w:sz="0" w:space="0" w:color="auto"/>
                    <w:left w:val="none" w:sz="0" w:space="0" w:color="auto"/>
                    <w:bottom w:val="none" w:sz="0" w:space="0" w:color="auto"/>
                    <w:right w:val="none" w:sz="0" w:space="0" w:color="auto"/>
                  </w:divBdr>
                  <w:divsChild>
                    <w:div w:id="1873570921">
                      <w:marLeft w:val="0"/>
                      <w:marRight w:val="0"/>
                      <w:marTop w:val="0"/>
                      <w:marBottom w:val="0"/>
                      <w:divBdr>
                        <w:top w:val="none" w:sz="0" w:space="0" w:color="auto"/>
                        <w:left w:val="none" w:sz="0" w:space="0" w:color="auto"/>
                        <w:bottom w:val="none" w:sz="0" w:space="0" w:color="auto"/>
                        <w:right w:val="none" w:sz="0" w:space="0" w:color="auto"/>
                      </w:divBdr>
                      <w:divsChild>
                        <w:div w:id="1262252289">
                          <w:marLeft w:val="0"/>
                          <w:marRight w:val="0"/>
                          <w:marTop w:val="0"/>
                          <w:marBottom w:val="0"/>
                          <w:divBdr>
                            <w:top w:val="none" w:sz="0" w:space="0" w:color="auto"/>
                            <w:left w:val="none" w:sz="0" w:space="0" w:color="auto"/>
                            <w:bottom w:val="none" w:sz="0" w:space="0" w:color="auto"/>
                            <w:right w:val="none" w:sz="0" w:space="0" w:color="auto"/>
                          </w:divBdr>
                          <w:divsChild>
                            <w:div w:id="1572498431">
                              <w:marLeft w:val="570"/>
                              <w:marRight w:val="720"/>
                              <w:marTop w:val="120"/>
                              <w:marBottom w:val="120"/>
                              <w:divBdr>
                                <w:top w:val="none" w:sz="0" w:space="0" w:color="auto"/>
                                <w:left w:val="none" w:sz="0" w:space="0" w:color="auto"/>
                                <w:bottom w:val="none" w:sz="0" w:space="0" w:color="auto"/>
                                <w:right w:val="none" w:sz="0" w:space="0" w:color="auto"/>
                              </w:divBdr>
                              <w:divsChild>
                                <w:div w:id="1641685210">
                                  <w:marLeft w:val="0"/>
                                  <w:marRight w:val="0"/>
                                  <w:marTop w:val="0"/>
                                  <w:marBottom w:val="0"/>
                                  <w:divBdr>
                                    <w:top w:val="none" w:sz="0" w:space="0" w:color="auto"/>
                                    <w:left w:val="none" w:sz="0" w:space="0" w:color="auto"/>
                                    <w:bottom w:val="none" w:sz="0" w:space="0" w:color="auto"/>
                                    <w:right w:val="none" w:sz="0" w:space="0" w:color="auto"/>
                                  </w:divBdr>
                                  <w:divsChild>
                                    <w:div w:id="383454628">
                                      <w:marLeft w:val="0"/>
                                      <w:marRight w:val="0"/>
                                      <w:marTop w:val="0"/>
                                      <w:marBottom w:val="0"/>
                                      <w:divBdr>
                                        <w:top w:val="none" w:sz="0" w:space="0" w:color="auto"/>
                                        <w:left w:val="none" w:sz="0" w:space="0" w:color="auto"/>
                                        <w:bottom w:val="none" w:sz="0" w:space="0" w:color="auto"/>
                                        <w:right w:val="none" w:sz="0" w:space="0" w:color="auto"/>
                                      </w:divBdr>
                                      <w:divsChild>
                                        <w:div w:id="1752849792">
                                          <w:marLeft w:val="0"/>
                                          <w:marRight w:val="0"/>
                                          <w:marTop w:val="0"/>
                                          <w:marBottom w:val="0"/>
                                          <w:divBdr>
                                            <w:top w:val="none" w:sz="0" w:space="0" w:color="auto"/>
                                            <w:left w:val="none" w:sz="0" w:space="0" w:color="auto"/>
                                            <w:bottom w:val="none" w:sz="0" w:space="0" w:color="auto"/>
                                            <w:right w:val="none" w:sz="0" w:space="0" w:color="auto"/>
                                          </w:divBdr>
                                        </w:div>
                                        <w:div w:id="634530836">
                                          <w:marLeft w:val="0"/>
                                          <w:marRight w:val="0"/>
                                          <w:marTop w:val="0"/>
                                          <w:marBottom w:val="150"/>
                                          <w:divBdr>
                                            <w:top w:val="none" w:sz="0" w:space="0" w:color="auto"/>
                                            <w:left w:val="none" w:sz="0" w:space="0" w:color="auto"/>
                                            <w:bottom w:val="none" w:sz="0" w:space="0" w:color="auto"/>
                                            <w:right w:val="none" w:sz="0" w:space="0" w:color="auto"/>
                                          </w:divBdr>
                                          <w:divsChild>
                                            <w:div w:id="608706373">
                                              <w:marLeft w:val="0"/>
                                              <w:marRight w:val="0"/>
                                              <w:marTop w:val="240"/>
                                              <w:marBottom w:val="240"/>
                                              <w:divBdr>
                                                <w:top w:val="single" w:sz="6" w:space="6" w:color="F2F2F2"/>
                                                <w:left w:val="none" w:sz="0" w:space="0" w:color="auto"/>
                                                <w:bottom w:val="single" w:sz="6" w:space="6" w:color="F2F2F2"/>
                                                <w:right w:val="none" w:sz="0" w:space="0" w:color="auto"/>
                                              </w:divBdr>
                                            </w:div>
                                            <w:div w:id="141972230">
                                              <w:marLeft w:val="0"/>
                                              <w:marRight w:val="0"/>
                                              <w:marTop w:val="0"/>
                                              <w:marBottom w:val="0"/>
                                              <w:divBdr>
                                                <w:top w:val="none" w:sz="0" w:space="0" w:color="auto"/>
                                                <w:left w:val="none" w:sz="0" w:space="0" w:color="auto"/>
                                                <w:bottom w:val="none" w:sz="0" w:space="0" w:color="auto"/>
                                                <w:right w:val="none" w:sz="0" w:space="0" w:color="auto"/>
                                              </w:divBdr>
                                              <w:divsChild>
                                                <w:div w:id="6386535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660334">
      <w:bodyDiv w:val="1"/>
      <w:marLeft w:val="0"/>
      <w:marRight w:val="0"/>
      <w:marTop w:val="0"/>
      <w:marBottom w:val="0"/>
      <w:divBdr>
        <w:top w:val="none" w:sz="0" w:space="0" w:color="auto"/>
        <w:left w:val="none" w:sz="0" w:space="0" w:color="auto"/>
        <w:bottom w:val="none" w:sz="0" w:space="0" w:color="auto"/>
        <w:right w:val="none" w:sz="0" w:space="0" w:color="auto"/>
      </w:divBdr>
      <w:divsChild>
        <w:div w:id="1204830233">
          <w:marLeft w:val="0"/>
          <w:marRight w:val="0"/>
          <w:marTop w:val="0"/>
          <w:marBottom w:val="0"/>
          <w:divBdr>
            <w:top w:val="none" w:sz="0" w:space="0" w:color="auto"/>
            <w:left w:val="none" w:sz="0" w:space="0" w:color="auto"/>
            <w:bottom w:val="none" w:sz="0" w:space="0" w:color="auto"/>
            <w:right w:val="none" w:sz="0" w:space="0" w:color="auto"/>
          </w:divBdr>
          <w:divsChild>
            <w:div w:id="1552110553">
              <w:marLeft w:val="0"/>
              <w:marRight w:val="0"/>
              <w:marTop w:val="0"/>
              <w:marBottom w:val="0"/>
              <w:divBdr>
                <w:top w:val="none" w:sz="0" w:space="0" w:color="auto"/>
                <w:left w:val="none" w:sz="0" w:space="0" w:color="auto"/>
                <w:bottom w:val="none" w:sz="0" w:space="0" w:color="auto"/>
                <w:right w:val="none" w:sz="0" w:space="0" w:color="auto"/>
              </w:divBdr>
              <w:divsChild>
                <w:div w:id="309987227">
                  <w:marLeft w:val="0"/>
                  <w:marRight w:val="0"/>
                  <w:marTop w:val="0"/>
                  <w:marBottom w:val="0"/>
                  <w:divBdr>
                    <w:top w:val="none" w:sz="0" w:space="0" w:color="auto"/>
                    <w:left w:val="none" w:sz="0" w:space="0" w:color="auto"/>
                    <w:bottom w:val="none" w:sz="0" w:space="0" w:color="auto"/>
                    <w:right w:val="none" w:sz="0" w:space="0" w:color="auto"/>
                  </w:divBdr>
                  <w:divsChild>
                    <w:div w:id="1836455995">
                      <w:marLeft w:val="0"/>
                      <w:marRight w:val="0"/>
                      <w:marTop w:val="0"/>
                      <w:marBottom w:val="0"/>
                      <w:divBdr>
                        <w:top w:val="none" w:sz="0" w:space="0" w:color="auto"/>
                        <w:left w:val="none" w:sz="0" w:space="0" w:color="auto"/>
                        <w:bottom w:val="none" w:sz="0" w:space="0" w:color="auto"/>
                        <w:right w:val="none" w:sz="0" w:space="0" w:color="auto"/>
                      </w:divBdr>
                      <w:divsChild>
                        <w:div w:id="1557080550">
                          <w:marLeft w:val="0"/>
                          <w:marRight w:val="0"/>
                          <w:marTop w:val="0"/>
                          <w:marBottom w:val="0"/>
                          <w:divBdr>
                            <w:top w:val="none" w:sz="0" w:space="0" w:color="auto"/>
                            <w:left w:val="none" w:sz="0" w:space="0" w:color="auto"/>
                            <w:bottom w:val="none" w:sz="0" w:space="0" w:color="auto"/>
                            <w:right w:val="none" w:sz="0" w:space="0" w:color="auto"/>
                          </w:divBdr>
                          <w:divsChild>
                            <w:div w:id="10644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01914">
      <w:bodyDiv w:val="1"/>
      <w:marLeft w:val="0"/>
      <w:marRight w:val="0"/>
      <w:marTop w:val="0"/>
      <w:marBottom w:val="0"/>
      <w:divBdr>
        <w:top w:val="none" w:sz="0" w:space="0" w:color="auto"/>
        <w:left w:val="none" w:sz="0" w:space="0" w:color="auto"/>
        <w:bottom w:val="none" w:sz="0" w:space="0" w:color="auto"/>
        <w:right w:val="none" w:sz="0" w:space="0" w:color="auto"/>
      </w:divBdr>
    </w:div>
    <w:div w:id="268780606">
      <w:bodyDiv w:val="1"/>
      <w:marLeft w:val="0"/>
      <w:marRight w:val="0"/>
      <w:marTop w:val="0"/>
      <w:marBottom w:val="0"/>
      <w:divBdr>
        <w:top w:val="none" w:sz="0" w:space="0" w:color="auto"/>
        <w:left w:val="none" w:sz="0" w:space="0" w:color="auto"/>
        <w:bottom w:val="none" w:sz="0" w:space="0" w:color="auto"/>
        <w:right w:val="none" w:sz="0" w:space="0" w:color="auto"/>
      </w:divBdr>
    </w:div>
    <w:div w:id="270550536">
      <w:bodyDiv w:val="1"/>
      <w:marLeft w:val="0"/>
      <w:marRight w:val="0"/>
      <w:marTop w:val="0"/>
      <w:marBottom w:val="0"/>
      <w:divBdr>
        <w:top w:val="none" w:sz="0" w:space="0" w:color="auto"/>
        <w:left w:val="none" w:sz="0" w:space="0" w:color="auto"/>
        <w:bottom w:val="none" w:sz="0" w:space="0" w:color="auto"/>
        <w:right w:val="none" w:sz="0" w:space="0" w:color="auto"/>
      </w:divBdr>
      <w:divsChild>
        <w:div w:id="1998919465">
          <w:marLeft w:val="0"/>
          <w:marRight w:val="0"/>
          <w:marTop w:val="0"/>
          <w:marBottom w:val="0"/>
          <w:divBdr>
            <w:top w:val="none" w:sz="0" w:space="0" w:color="auto"/>
            <w:left w:val="none" w:sz="0" w:space="0" w:color="auto"/>
            <w:bottom w:val="none" w:sz="0" w:space="0" w:color="auto"/>
            <w:right w:val="none" w:sz="0" w:space="0" w:color="auto"/>
          </w:divBdr>
          <w:divsChild>
            <w:div w:id="1330256404">
              <w:marLeft w:val="0"/>
              <w:marRight w:val="0"/>
              <w:marTop w:val="0"/>
              <w:marBottom w:val="0"/>
              <w:divBdr>
                <w:top w:val="none" w:sz="0" w:space="0" w:color="auto"/>
                <w:left w:val="none" w:sz="0" w:space="0" w:color="auto"/>
                <w:bottom w:val="none" w:sz="0" w:space="0" w:color="auto"/>
                <w:right w:val="none" w:sz="0" w:space="0" w:color="auto"/>
              </w:divBdr>
              <w:divsChild>
                <w:div w:id="1222714095">
                  <w:marLeft w:val="0"/>
                  <w:marRight w:val="0"/>
                  <w:marTop w:val="0"/>
                  <w:marBottom w:val="0"/>
                  <w:divBdr>
                    <w:top w:val="none" w:sz="0" w:space="0" w:color="auto"/>
                    <w:left w:val="none" w:sz="0" w:space="0" w:color="auto"/>
                    <w:bottom w:val="none" w:sz="0" w:space="0" w:color="auto"/>
                    <w:right w:val="none" w:sz="0" w:space="0" w:color="auto"/>
                  </w:divBdr>
                  <w:divsChild>
                    <w:div w:id="1549605365">
                      <w:marLeft w:val="0"/>
                      <w:marRight w:val="0"/>
                      <w:marTop w:val="0"/>
                      <w:marBottom w:val="0"/>
                      <w:divBdr>
                        <w:top w:val="none" w:sz="0" w:space="0" w:color="auto"/>
                        <w:left w:val="none" w:sz="0" w:space="0" w:color="auto"/>
                        <w:bottom w:val="none" w:sz="0" w:space="0" w:color="auto"/>
                        <w:right w:val="none" w:sz="0" w:space="0" w:color="auto"/>
                      </w:divBdr>
                      <w:divsChild>
                        <w:div w:id="437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742924">
      <w:bodyDiv w:val="1"/>
      <w:marLeft w:val="0"/>
      <w:marRight w:val="0"/>
      <w:marTop w:val="0"/>
      <w:marBottom w:val="0"/>
      <w:divBdr>
        <w:top w:val="none" w:sz="0" w:space="0" w:color="auto"/>
        <w:left w:val="none" w:sz="0" w:space="0" w:color="auto"/>
        <w:bottom w:val="none" w:sz="0" w:space="0" w:color="auto"/>
        <w:right w:val="none" w:sz="0" w:space="0" w:color="auto"/>
      </w:divBdr>
      <w:divsChild>
        <w:div w:id="1097096145">
          <w:marLeft w:val="0"/>
          <w:marRight w:val="0"/>
          <w:marTop w:val="0"/>
          <w:marBottom w:val="0"/>
          <w:divBdr>
            <w:top w:val="none" w:sz="0" w:space="0" w:color="auto"/>
            <w:left w:val="none" w:sz="0" w:space="0" w:color="auto"/>
            <w:bottom w:val="none" w:sz="0" w:space="0" w:color="auto"/>
            <w:right w:val="none" w:sz="0" w:space="0" w:color="auto"/>
          </w:divBdr>
          <w:divsChild>
            <w:div w:id="1724327990">
              <w:marLeft w:val="0"/>
              <w:marRight w:val="0"/>
              <w:marTop w:val="0"/>
              <w:marBottom w:val="0"/>
              <w:divBdr>
                <w:top w:val="none" w:sz="0" w:space="0" w:color="auto"/>
                <w:left w:val="none" w:sz="0" w:space="0" w:color="auto"/>
                <w:bottom w:val="none" w:sz="0" w:space="0" w:color="auto"/>
                <w:right w:val="none" w:sz="0" w:space="0" w:color="auto"/>
              </w:divBdr>
              <w:divsChild>
                <w:div w:id="746347052">
                  <w:marLeft w:val="-225"/>
                  <w:marRight w:val="-225"/>
                  <w:marTop w:val="0"/>
                  <w:marBottom w:val="0"/>
                  <w:divBdr>
                    <w:top w:val="none" w:sz="0" w:space="0" w:color="auto"/>
                    <w:left w:val="none" w:sz="0" w:space="0" w:color="auto"/>
                    <w:bottom w:val="none" w:sz="0" w:space="0" w:color="auto"/>
                    <w:right w:val="none" w:sz="0" w:space="0" w:color="auto"/>
                  </w:divBdr>
                  <w:divsChild>
                    <w:div w:id="3320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055544">
      <w:bodyDiv w:val="1"/>
      <w:marLeft w:val="0"/>
      <w:marRight w:val="0"/>
      <w:marTop w:val="0"/>
      <w:marBottom w:val="0"/>
      <w:divBdr>
        <w:top w:val="none" w:sz="0" w:space="0" w:color="auto"/>
        <w:left w:val="none" w:sz="0" w:space="0" w:color="auto"/>
        <w:bottom w:val="none" w:sz="0" w:space="0" w:color="auto"/>
        <w:right w:val="none" w:sz="0" w:space="0" w:color="auto"/>
      </w:divBdr>
      <w:divsChild>
        <w:div w:id="768739746">
          <w:marLeft w:val="0"/>
          <w:marRight w:val="0"/>
          <w:marTop w:val="0"/>
          <w:marBottom w:val="0"/>
          <w:divBdr>
            <w:top w:val="none" w:sz="0" w:space="0" w:color="auto"/>
            <w:left w:val="none" w:sz="0" w:space="0" w:color="auto"/>
            <w:bottom w:val="none" w:sz="0" w:space="0" w:color="auto"/>
            <w:right w:val="none" w:sz="0" w:space="0" w:color="auto"/>
          </w:divBdr>
          <w:divsChild>
            <w:div w:id="1793983793">
              <w:marLeft w:val="0"/>
              <w:marRight w:val="0"/>
              <w:marTop w:val="0"/>
              <w:marBottom w:val="0"/>
              <w:divBdr>
                <w:top w:val="none" w:sz="0" w:space="0" w:color="auto"/>
                <w:left w:val="none" w:sz="0" w:space="0" w:color="auto"/>
                <w:bottom w:val="none" w:sz="0" w:space="0" w:color="auto"/>
                <w:right w:val="none" w:sz="0" w:space="0" w:color="auto"/>
              </w:divBdr>
              <w:divsChild>
                <w:div w:id="372002360">
                  <w:marLeft w:val="0"/>
                  <w:marRight w:val="0"/>
                  <w:marTop w:val="0"/>
                  <w:marBottom w:val="0"/>
                  <w:divBdr>
                    <w:top w:val="none" w:sz="0" w:space="0" w:color="auto"/>
                    <w:left w:val="none" w:sz="0" w:space="0" w:color="auto"/>
                    <w:bottom w:val="none" w:sz="0" w:space="0" w:color="auto"/>
                    <w:right w:val="none" w:sz="0" w:space="0" w:color="auto"/>
                  </w:divBdr>
                  <w:divsChild>
                    <w:div w:id="1436825501">
                      <w:marLeft w:val="0"/>
                      <w:marRight w:val="0"/>
                      <w:marTop w:val="0"/>
                      <w:marBottom w:val="0"/>
                      <w:divBdr>
                        <w:top w:val="none" w:sz="0" w:space="0" w:color="auto"/>
                        <w:left w:val="none" w:sz="0" w:space="0" w:color="auto"/>
                        <w:bottom w:val="none" w:sz="0" w:space="0" w:color="auto"/>
                        <w:right w:val="none" w:sz="0" w:space="0" w:color="auto"/>
                      </w:divBdr>
                      <w:divsChild>
                        <w:div w:id="1086920327">
                          <w:marLeft w:val="0"/>
                          <w:marRight w:val="0"/>
                          <w:marTop w:val="0"/>
                          <w:marBottom w:val="0"/>
                          <w:divBdr>
                            <w:top w:val="none" w:sz="0" w:space="0" w:color="auto"/>
                            <w:left w:val="none" w:sz="0" w:space="0" w:color="auto"/>
                            <w:bottom w:val="none" w:sz="0" w:space="0" w:color="auto"/>
                            <w:right w:val="none" w:sz="0" w:space="0" w:color="auto"/>
                          </w:divBdr>
                          <w:divsChild>
                            <w:div w:id="1254897559">
                              <w:marLeft w:val="0"/>
                              <w:marRight w:val="0"/>
                              <w:marTop w:val="0"/>
                              <w:marBottom w:val="0"/>
                              <w:divBdr>
                                <w:top w:val="none" w:sz="0" w:space="0" w:color="auto"/>
                                <w:left w:val="none" w:sz="0" w:space="0" w:color="auto"/>
                                <w:bottom w:val="none" w:sz="0" w:space="0" w:color="auto"/>
                                <w:right w:val="none" w:sz="0" w:space="0" w:color="auto"/>
                              </w:divBdr>
                              <w:divsChild>
                                <w:div w:id="1809930852">
                                  <w:marLeft w:val="0"/>
                                  <w:marRight w:val="0"/>
                                  <w:marTop w:val="0"/>
                                  <w:marBottom w:val="0"/>
                                  <w:divBdr>
                                    <w:top w:val="none" w:sz="0" w:space="0" w:color="auto"/>
                                    <w:left w:val="none" w:sz="0" w:space="0" w:color="auto"/>
                                    <w:bottom w:val="none" w:sz="0" w:space="0" w:color="auto"/>
                                    <w:right w:val="none" w:sz="0" w:space="0" w:color="auto"/>
                                  </w:divBdr>
                                  <w:divsChild>
                                    <w:div w:id="487676180">
                                      <w:marLeft w:val="0"/>
                                      <w:marRight w:val="0"/>
                                      <w:marTop w:val="0"/>
                                      <w:marBottom w:val="0"/>
                                      <w:divBdr>
                                        <w:top w:val="none" w:sz="0" w:space="0" w:color="auto"/>
                                        <w:left w:val="none" w:sz="0" w:space="0" w:color="auto"/>
                                        <w:bottom w:val="none" w:sz="0" w:space="0" w:color="auto"/>
                                        <w:right w:val="none" w:sz="0" w:space="0" w:color="auto"/>
                                      </w:divBdr>
                                      <w:divsChild>
                                        <w:div w:id="261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406853">
      <w:bodyDiv w:val="1"/>
      <w:marLeft w:val="0"/>
      <w:marRight w:val="0"/>
      <w:marTop w:val="0"/>
      <w:marBottom w:val="0"/>
      <w:divBdr>
        <w:top w:val="none" w:sz="0" w:space="0" w:color="auto"/>
        <w:left w:val="none" w:sz="0" w:space="0" w:color="auto"/>
        <w:bottom w:val="none" w:sz="0" w:space="0" w:color="auto"/>
        <w:right w:val="none" w:sz="0" w:space="0" w:color="auto"/>
      </w:divBdr>
      <w:divsChild>
        <w:div w:id="1041129349">
          <w:marLeft w:val="0"/>
          <w:marRight w:val="0"/>
          <w:marTop w:val="0"/>
          <w:marBottom w:val="0"/>
          <w:divBdr>
            <w:top w:val="none" w:sz="0" w:space="0" w:color="auto"/>
            <w:left w:val="none" w:sz="0" w:space="0" w:color="auto"/>
            <w:bottom w:val="none" w:sz="0" w:space="0" w:color="auto"/>
            <w:right w:val="none" w:sz="0" w:space="0" w:color="auto"/>
          </w:divBdr>
          <w:divsChild>
            <w:div w:id="1263807533">
              <w:marLeft w:val="0"/>
              <w:marRight w:val="0"/>
              <w:marTop w:val="0"/>
              <w:marBottom w:val="0"/>
              <w:divBdr>
                <w:top w:val="none" w:sz="0" w:space="0" w:color="auto"/>
                <w:left w:val="none" w:sz="0" w:space="0" w:color="auto"/>
                <w:bottom w:val="none" w:sz="0" w:space="0" w:color="auto"/>
                <w:right w:val="none" w:sz="0" w:space="0" w:color="auto"/>
              </w:divBdr>
              <w:divsChild>
                <w:div w:id="111945195">
                  <w:marLeft w:val="-375"/>
                  <w:marRight w:val="0"/>
                  <w:marTop w:val="0"/>
                  <w:marBottom w:val="0"/>
                  <w:divBdr>
                    <w:top w:val="none" w:sz="0" w:space="0" w:color="auto"/>
                    <w:left w:val="none" w:sz="0" w:space="0" w:color="auto"/>
                    <w:bottom w:val="none" w:sz="0" w:space="0" w:color="auto"/>
                    <w:right w:val="none" w:sz="0" w:space="0" w:color="auto"/>
                  </w:divBdr>
                  <w:divsChild>
                    <w:div w:id="1115715946">
                      <w:marLeft w:val="0"/>
                      <w:marRight w:val="0"/>
                      <w:marTop w:val="0"/>
                      <w:marBottom w:val="0"/>
                      <w:divBdr>
                        <w:top w:val="none" w:sz="0" w:space="0" w:color="auto"/>
                        <w:left w:val="none" w:sz="0" w:space="0" w:color="auto"/>
                        <w:bottom w:val="none" w:sz="0" w:space="0" w:color="auto"/>
                        <w:right w:val="none" w:sz="0" w:space="0" w:color="auto"/>
                      </w:divBdr>
                      <w:divsChild>
                        <w:div w:id="1969697036">
                          <w:marLeft w:val="0"/>
                          <w:marRight w:val="0"/>
                          <w:marTop w:val="0"/>
                          <w:marBottom w:val="0"/>
                          <w:divBdr>
                            <w:top w:val="none" w:sz="0" w:space="0" w:color="auto"/>
                            <w:left w:val="none" w:sz="0" w:space="0" w:color="auto"/>
                            <w:bottom w:val="none" w:sz="0" w:space="0" w:color="auto"/>
                            <w:right w:val="none" w:sz="0" w:space="0" w:color="auto"/>
                          </w:divBdr>
                          <w:divsChild>
                            <w:div w:id="19781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679870">
      <w:bodyDiv w:val="1"/>
      <w:marLeft w:val="0"/>
      <w:marRight w:val="0"/>
      <w:marTop w:val="0"/>
      <w:marBottom w:val="0"/>
      <w:divBdr>
        <w:top w:val="none" w:sz="0" w:space="0" w:color="auto"/>
        <w:left w:val="none" w:sz="0" w:space="0" w:color="auto"/>
        <w:bottom w:val="none" w:sz="0" w:space="0" w:color="auto"/>
        <w:right w:val="none" w:sz="0" w:space="0" w:color="auto"/>
      </w:divBdr>
      <w:divsChild>
        <w:div w:id="2106680534">
          <w:marLeft w:val="0"/>
          <w:marRight w:val="0"/>
          <w:marTop w:val="0"/>
          <w:marBottom w:val="0"/>
          <w:divBdr>
            <w:top w:val="none" w:sz="0" w:space="0" w:color="auto"/>
            <w:left w:val="none" w:sz="0" w:space="0" w:color="auto"/>
            <w:bottom w:val="none" w:sz="0" w:space="0" w:color="auto"/>
            <w:right w:val="none" w:sz="0" w:space="0" w:color="auto"/>
          </w:divBdr>
          <w:divsChild>
            <w:div w:id="1013653062">
              <w:marLeft w:val="0"/>
              <w:marRight w:val="0"/>
              <w:marTop w:val="0"/>
              <w:marBottom w:val="0"/>
              <w:divBdr>
                <w:top w:val="none" w:sz="0" w:space="0" w:color="auto"/>
                <w:left w:val="none" w:sz="0" w:space="0" w:color="auto"/>
                <w:bottom w:val="none" w:sz="0" w:space="0" w:color="auto"/>
                <w:right w:val="none" w:sz="0" w:space="0" w:color="auto"/>
              </w:divBdr>
              <w:divsChild>
                <w:div w:id="554658278">
                  <w:marLeft w:val="0"/>
                  <w:marRight w:val="0"/>
                  <w:marTop w:val="0"/>
                  <w:marBottom w:val="0"/>
                  <w:divBdr>
                    <w:top w:val="none" w:sz="0" w:space="0" w:color="auto"/>
                    <w:left w:val="none" w:sz="0" w:space="0" w:color="auto"/>
                    <w:bottom w:val="none" w:sz="0" w:space="0" w:color="auto"/>
                    <w:right w:val="none" w:sz="0" w:space="0" w:color="auto"/>
                  </w:divBdr>
                  <w:divsChild>
                    <w:div w:id="152140406">
                      <w:marLeft w:val="0"/>
                      <w:marRight w:val="0"/>
                      <w:marTop w:val="0"/>
                      <w:marBottom w:val="0"/>
                      <w:divBdr>
                        <w:top w:val="none" w:sz="0" w:space="0" w:color="auto"/>
                        <w:left w:val="none" w:sz="0" w:space="0" w:color="auto"/>
                        <w:bottom w:val="none" w:sz="0" w:space="0" w:color="auto"/>
                        <w:right w:val="none" w:sz="0" w:space="0" w:color="auto"/>
                      </w:divBdr>
                      <w:divsChild>
                        <w:div w:id="1269774136">
                          <w:marLeft w:val="0"/>
                          <w:marRight w:val="0"/>
                          <w:marTop w:val="0"/>
                          <w:marBottom w:val="0"/>
                          <w:divBdr>
                            <w:top w:val="none" w:sz="0" w:space="0" w:color="auto"/>
                            <w:left w:val="none" w:sz="0" w:space="0" w:color="auto"/>
                            <w:bottom w:val="none" w:sz="0" w:space="0" w:color="auto"/>
                            <w:right w:val="none" w:sz="0" w:space="0" w:color="auto"/>
                          </w:divBdr>
                          <w:divsChild>
                            <w:div w:id="745803749">
                              <w:marLeft w:val="570"/>
                              <w:marRight w:val="720"/>
                              <w:marTop w:val="120"/>
                              <w:marBottom w:val="120"/>
                              <w:divBdr>
                                <w:top w:val="none" w:sz="0" w:space="0" w:color="auto"/>
                                <w:left w:val="none" w:sz="0" w:space="0" w:color="auto"/>
                                <w:bottom w:val="none" w:sz="0" w:space="0" w:color="auto"/>
                                <w:right w:val="none" w:sz="0" w:space="0" w:color="auto"/>
                              </w:divBdr>
                              <w:divsChild>
                                <w:div w:id="997851330">
                                  <w:marLeft w:val="0"/>
                                  <w:marRight w:val="0"/>
                                  <w:marTop w:val="0"/>
                                  <w:marBottom w:val="0"/>
                                  <w:divBdr>
                                    <w:top w:val="none" w:sz="0" w:space="0" w:color="auto"/>
                                    <w:left w:val="none" w:sz="0" w:space="0" w:color="auto"/>
                                    <w:bottom w:val="none" w:sz="0" w:space="0" w:color="auto"/>
                                    <w:right w:val="none" w:sz="0" w:space="0" w:color="auto"/>
                                  </w:divBdr>
                                  <w:divsChild>
                                    <w:div w:id="457846438">
                                      <w:marLeft w:val="0"/>
                                      <w:marRight w:val="0"/>
                                      <w:marTop w:val="0"/>
                                      <w:marBottom w:val="0"/>
                                      <w:divBdr>
                                        <w:top w:val="none" w:sz="0" w:space="0" w:color="auto"/>
                                        <w:left w:val="none" w:sz="0" w:space="0" w:color="auto"/>
                                        <w:bottom w:val="none" w:sz="0" w:space="0" w:color="auto"/>
                                        <w:right w:val="none" w:sz="0" w:space="0" w:color="auto"/>
                                      </w:divBdr>
                                      <w:divsChild>
                                        <w:div w:id="1252088065">
                                          <w:marLeft w:val="0"/>
                                          <w:marRight w:val="0"/>
                                          <w:marTop w:val="0"/>
                                          <w:marBottom w:val="150"/>
                                          <w:divBdr>
                                            <w:top w:val="none" w:sz="0" w:space="0" w:color="auto"/>
                                            <w:left w:val="none" w:sz="0" w:space="0" w:color="auto"/>
                                            <w:bottom w:val="none" w:sz="0" w:space="0" w:color="auto"/>
                                            <w:right w:val="none" w:sz="0" w:space="0" w:color="auto"/>
                                          </w:divBdr>
                                          <w:divsChild>
                                            <w:div w:id="220799007">
                                              <w:marLeft w:val="0"/>
                                              <w:marRight w:val="0"/>
                                              <w:marTop w:val="240"/>
                                              <w:marBottom w:val="240"/>
                                              <w:divBdr>
                                                <w:top w:val="single" w:sz="6" w:space="6" w:color="F2F2F2"/>
                                                <w:left w:val="none" w:sz="0" w:space="0" w:color="auto"/>
                                                <w:bottom w:val="single" w:sz="6" w:space="6" w:color="F2F2F2"/>
                                                <w:right w:val="none" w:sz="0" w:space="0" w:color="auto"/>
                                              </w:divBdr>
                                            </w:div>
                                            <w:div w:id="1070076311">
                                              <w:marLeft w:val="0"/>
                                              <w:marRight w:val="0"/>
                                              <w:marTop w:val="0"/>
                                              <w:marBottom w:val="0"/>
                                              <w:divBdr>
                                                <w:top w:val="none" w:sz="0" w:space="0" w:color="auto"/>
                                                <w:left w:val="none" w:sz="0" w:space="0" w:color="auto"/>
                                                <w:bottom w:val="none" w:sz="0" w:space="0" w:color="auto"/>
                                                <w:right w:val="none" w:sz="0" w:space="0" w:color="auto"/>
                                              </w:divBdr>
                                              <w:divsChild>
                                                <w:div w:id="1711228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332567">
      <w:bodyDiv w:val="1"/>
      <w:marLeft w:val="0"/>
      <w:marRight w:val="0"/>
      <w:marTop w:val="0"/>
      <w:marBottom w:val="0"/>
      <w:divBdr>
        <w:top w:val="none" w:sz="0" w:space="0" w:color="auto"/>
        <w:left w:val="none" w:sz="0" w:space="0" w:color="auto"/>
        <w:bottom w:val="none" w:sz="0" w:space="0" w:color="auto"/>
        <w:right w:val="none" w:sz="0" w:space="0" w:color="auto"/>
      </w:divBdr>
    </w:div>
    <w:div w:id="275522147">
      <w:bodyDiv w:val="1"/>
      <w:marLeft w:val="0"/>
      <w:marRight w:val="0"/>
      <w:marTop w:val="0"/>
      <w:marBottom w:val="0"/>
      <w:divBdr>
        <w:top w:val="none" w:sz="0" w:space="0" w:color="auto"/>
        <w:left w:val="none" w:sz="0" w:space="0" w:color="auto"/>
        <w:bottom w:val="none" w:sz="0" w:space="0" w:color="auto"/>
        <w:right w:val="none" w:sz="0" w:space="0" w:color="auto"/>
      </w:divBdr>
      <w:divsChild>
        <w:div w:id="1229002991">
          <w:marLeft w:val="0"/>
          <w:marRight w:val="0"/>
          <w:marTop w:val="0"/>
          <w:marBottom w:val="0"/>
          <w:divBdr>
            <w:top w:val="none" w:sz="0" w:space="0" w:color="auto"/>
            <w:left w:val="none" w:sz="0" w:space="0" w:color="auto"/>
            <w:bottom w:val="none" w:sz="0" w:space="0" w:color="auto"/>
            <w:right w:val="none" w:sz="0" w:space="0" w:color="auto"/>
          </w:divBdr>
          <w:divsChild>
            <w:div w:id="473944">
              <w:marLeft w:val="0"/>
              <w:marRight w:val="0"/>
              <w:marTop w:val="0"/>
              <w:marBottom w:val="0"/>
              <w:divBdr>
                <w:top w:val="none" w:sz="0" w:space="0" w:color="auto"/>
                <w:left w:val="none" w:sz="0" w:space="0" w:color="auto"/>
                <w:bottom w:val="none" w:sz="0" w:space="0" w:color="auto"/>
                <w:right w:val="none" w:sz="0" w:space="0" w:color="auto"/>
              </w:divBdr>
              <w:divsChild>
                <w:div w:id="1249925820">
                  <w:marLeft w:val="0"/>
                  <w:marRight w:val="0"/>
                  <w:marTop w:val="0"/>
                  <w:marBottom w:val="0"/>
                  <w:divBdr>
                    <w:top w:val="none" w:sz="0" w:space="0" w:color="auto"/>
                    <w:left w:val="none" w:sz="0" w:space="0" w:color="auto"/>
                    <w:bottom w:val="none" w:sz="0" w:space="0" w:color="auto"/>
                    <w:right w:val="none" w:sz="0" w:space="0" w:color="auto"/>
                  </w:divBdr>
                  <w:divsChild>
                    <w:div w:id="1138573986">
                      <w:marLeft w:val="0"/>
                      <w:marRight w:val="0"/>
                      <w:marTop w:val="0"/>
                      <w:marBottom w:val="0"/>
                      <w:divBdr>
                        <w:top w:val="none" w:sz="0" w:space="0" w:color="auto"/>
                        <w:left w:val="none" w:sz="0" w:space="0" w:color="auto"/>
                        <w:bottom w:val="none" w:sz="0" w:space="0" w:color="auto"/>
                        <w:right w:val="none" w:sz="0" w:space="0" w:color="auto"/>
                      </w:divBdr>
                      <w:divsChild>
                        <w:div w:id="395713913">
                          <w:marLeft w:val="0"/>
                          <w:marRight w:val="0"/>
                          <w:marTop w:val="0"/>
                          <w:marBottom w:val="0"/>
                          <w:divBdr>
                            <w:top w:val="none" w:sz="0" w:space="0" w:color="auto"/>
                            <w:left w:val="none" w:sz="0" w:space="0" w:color="auto"/>
                            <w:bottom w:val="none" w:sz="0" w:space="0" w:color="auto"/>
                            <w:right w:val="none" w:sz="0" w:space="0" w:color="auto"/>
                          </w:divBdr>
                          <w:divsChild>
                            <w:div w:id="823621314">
                              <w:marLeft w:val="0"/>
                              <w:marRight w:val="0"/>
                              <w:marTop w:val="0"/>
                              <w:marBottom w:val="0"/>
                              <w:divBdr>
                                <w:top w:val="none" w:sz="0" w:space="0" w:color="auto"/>
                                <w:left w:val="none" w:sz="0" w:space="0" w:color="auto"/>
                                <w:bottom w:val="none" w:sz="0" w:space="0" w:color="auto"/>
                                <w:right w:val="none" w:sz="0" w:space="0" w:color="auto"/>
                              </w:divBdr>
                              <w:divsChild>
                                <w:div w:id="310446172">
                                  <w:marLeft w:val="0"/>
                                  <w:marRight w:val="0"/>
                                  <w:marTop w:val="0"/>
                                  <w:marBottom w:val="0"/>
                                  <w:divBdr>
                                    <w:top w:val="none" w:sz="0" w:space="0" w:color="auto"/>
                                    <w:left w:val="none" w:sz="0" w:space="0" w:color="auto"/>
                                    <w:bottom w:val="none" w:sz="0" w:space="0" w:color="auto"/>
                                    <w:right w:val="none" w:sz="0" w:space="0" w:color="auto"/>
                                  </w:divBdr>
                                  <w:divsChild>
                                    <w:div w:id="1867597673">
                                      <w:marLeft w:val="0"/>
                                      <w:marRight w:val="0"/>
                                      <w:marTop w:val="0"/>
                                      <w:marBottom w:val="0"/>
                                      <w:divBdr>
                                        <w:top w:val="none" w:sz="0" w:space="0" w:color="auto"/>
                                        <w:left w:val="none" w:sz="0" w:space="0" w:color="auto"/>
                                        <w:bottom w:val="none" w:sz="0" w:space="0" w:color="auto"/>
                                        <w:right w:val="none" w:sz="0" w:space="0" w:color="auto"/>
                                      </w:divBdr>
                                      <w:divsChild>
                                        <w:div w:id="382297381">
                                          <w:marLeft w:val="0"/>
                                          <w:marRight w:val="0"/>
                                          <w:marTop w:val="0"/>
                                          <w:marBottom w:val="0"/>
                                          <w:divBdr>
                                            <w:top w:val="none" w:sz="0" w:space="0" w:color="auto"/>
                                            <w:left w:val="none" w:sz="0" w:space="0" w:color="auto"/>
                                            <w:bottom w:val="none" w:sz="0" w:space="0" w:color="auto"/>
                                            <w:right w:val="none" w:sz="0" w:space="0" w:color="auto"/>
                                          </w:divBdr>
                                          <w:divsChild>
                                            <w:div w:id="529998697">
                                              <w:marLeft w:val="0"/>
                                              <w:marRight w:val="0"/>
                                              <w:marTop w:val="0"/>
                                              <w:marBottom w:val="0"/>
                                              <w:divBdr>
                                                <w:top w:val="none" w:sz="0" w:space="0" w:color="auto"/>
                                                <w:left w:val="none" w:sz="0" w:space="0" w:color="auto"/>
                                                <w:bottom w:val="none" w:sz="0" w:space="0" w:color="auto"/>
                                                <w:right w:val="none" w:sz="0" w:space="0" w:color="auto"/>
                                              </w:divBdr>
                                              <w:divsChild>
                                                <w:div w:id="1975985562">
                                                  <w:marLeft w:val="0"/>
                                                  <w:marRight w:val="0"/>
                                                  <w:marTop w:val="0"/>
                                                  <w:marBottom w:val="0"/>
                                                  <w:divBdr>
                                                    <w:top w:val="none" w:sz="0" w:space="0" w:color="auto"/>
                                                    <w:left w:val="none" w:sz="0" w:space="0" w:color="auto"/>
                                                    <w:bottom w:val="none" w:sz="0" w:space="0" w:color="auto"/>
                                                    <w:right w:val="none" w:sz="0" w:space="0" w:color="auto"/>
                                                  </w:divBdr>
                                                  <w:divsChild>
                                                    <w:div w:id="1583487888">
                                                      <w:marLeft w:val="0"/>
                                                      <w:marRight w:val="0"/>
                                                      <w:marTop w:val="0"/>
                                                      <w:marBottom w:val="0"/>
                                                      <w:divBdr>
                                                        <w:top w:val="none" w:sz="0" w:space="0" w:color="auto"/>
                                                        <w:left w:val="none" w:sz="0" w:space="0" w:color="auto"/>
                                                        <w:bottom w:val="none" w:sz="0" w:space="0" w:color="auto"/>
                                                        <w:right w:val="none" w:sz="0" w:space="0" w:color="auto"/>
                                                      </w:divBdr>
                                                      <w:divsChild>
                                                        <w:div w:id="1116563990">
                                                          <w:marLeft w:val="0"/>
                                                          <w:marRight w:val="0"/>
                                                          <w:marTop w:val="0"/>
                                                          <w:marBottom w:val="0"/>
                                                          <w:divBdr>
                                                            <w:top w:val="none" w:sz="0" w:space="0" w:color="auto"/>
                                                            <w:left w:val="none" w:sz="0" w:space="0" w:color="auto"/>
                                                            <w:bottom w:val="none" w:sz="0" w:space="0" w:color="auto"/>
                                                            <w:right w:val="none" w:sz="0" w:space="0" w:color="auto"/>
                                                          </w:divBdr>
                                                        </w:div>
                                                        <w:div w:id="383329832">
                                                          <w:marLeft w:val="0"/>
                                                          <w:marRight w:val="0"/>
                                                          <w:marTop w:val="0"/>
                                                          <w:marBottom w:val="0"/>
                                                          <w:divBdr>
                                                            <w:top w:val="none" w:sz="0" w:space="0" w:color="auto"/>
                                                            <w:left w:val="none" w:sz="0" w:space="0" w:color="auto"/>
                                                            <w:bottom w:val="none" w:sz="0" w:space="0" w:color="auto"/>
                                                            <w:right w:val="none" w:sz="0" w:space="0" w:color="auto"/>
                                                          </w:divBdr>
                                                          <w:divsChild>
                                                            <w:div w:id="15406264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6832575">
      <w:bodyDiv w:val="1"/>
      <w:marLeft w:val="0"/>
      <w:marRight w:val="0"/>
      <w:marTop w:val="0"/>
      <w:marBottom w:val="0"/>
      <w:divBdr>
        <w:top w:val="none" w:sz="0" w:space="0" w:color="auto"/>
        <w:left w:val="none" w:sz="0" w:space="0" w:color="auto"/>
        <w:bottom w:val="none" w:sz="0" w:space="0" w:color="auto"/>
        <w:right w:val="none" w:sz="0" w:space="0" w:color="auto"/>
      </w:divBdr>
      <w:divsChild>
        <w:div w:id="115413684">
          <w:marLeft w:val="0"/>
          <w:marRight w:val="0"/>
          <w:marTop w:val="0"/>
          <w:marBottom w:val="0"/>
          <w:divBdr>
            <w:top w:val="single" w:sz="2" w:space="0" w:color="AAAAAA"/>
            <w:left w:val="single" w:sz="6" w:space="8" w:color="AAAAAA"/>
            <w:bottom w:val="single" w:sz="2" w:space="0" w:color="AAAAAA"/>
            <w:right w:val="single" w:sz="6" w:space="8" w:color="AAAAAA"/>
          </w:divBdr>
          <w:divsChild>
            <w:div w:id="686633944">
              <w:marLeft w:val="0"/>
              <w:marRight w:val="0"/>
              <w:marTop w:val="0"/>
              <w:marBottom w:val="0"/>
              <w:divBdr>
                <w:top w:val="none" w:sz="0" w:space="0" w:color="auto"/>
                <w:left w:val="none" w:sz="0" w:space="0" w:color="auto"/>
                <w:bottom w:val="none" w:sz="0" w:space="0" w:color="auto"/>
                <w:right w:val="none" w:sz="0" w:space="0" w:color="auto"/>
              </w:divBdr>
              <w:divsChild>
                <w:div w:id="184247511">
                  <w:marLeft w:val="0"/>
                  <w:marRight w:val="0"/>
                  <w:marTop w:val="0"/>
                  <w:marBottom w:val="0"/>
                  <w:divBdr>
                    <w:top w:val="none" w:sz="0" w:space="0" w:color="auto"/>
                    <w:left w:val="none" w:sz="0" w:space="0" w:color="auto"/>
                    <w:bottom w:val="none" w:sz="0" w:space="0" w:color="auto"/>
                    <w:right w:val="none" w:sz="0" w:space="0" w:color="auto"/>
                  </w:divBdr>
                  <w:divsChild>
                    <w:div w:id="1461993146">
                      <w:marLeft w:val="0"/>
                      <w:marRight w:val="2550"/>
                      <w:marTop w:val="0"/>
                      <w:marBottom w:val="48"/>
                      <w:divBdr>
                        <w:top w:val="none" w:sz="0" w:space="0" w:color="auto"/>
                        <w:left w:val="none" w:sz="0" w:space="0" w:color="auto"/>
                        <w:bottom w:val="none" w:sz="0" w:space="0" w:color="auto"/>
                        <w:right w:val="none" w:sz="0" w:space="0" w:color="auto"/>
                      </w:divBdr>
                      <w:divsChild>
                        <w:div w:id="79980600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78269052">
      <w:bodyDiv w:val="1"/>
      <w:marLeft w:val="0"/>
      <w:marRight w:val="0"/>
      <w:marTop w:val="0"/>
      <w:marBottom w:val="0"/>
      <w:divBdr>
        <w:top w:val="none" w:sz="0" w:space="0" w:color="auto"/>
        <w:left w:val="none" w:sz="0" w:space="0" w:color="auto"/>
        <w:bottom w:val="none" w:sz="0" w:space="0" w:color="auto"/>
        <w:right w:val="none" w:sz="0" w:space="0" w:color="auto"/>
      </w:divBdr>
      <w:divsChild>
        <w:div w:id="18748394">
          <w:marLeft w:val="0"/>
          <w:marRight w:val="0"/>
          <w:marTop w:val="0"/>
          <w:marBottom w:val="0"/>
          <w:divBdr>
            <w:top w:val="none" w:sz="0" w:space="0" w:color="auto"/>
            <w:left w:val="none" w:sz="0" w:space="0" w:color="auto"/>
            <w:bottom w:val="none" w:sz="0" w:space="0" w:color="auto"/>
            <w:right w:val="none" w:sz="0" w:space="0" w:color="auto"/>
          </w:divBdr>
          <w:divsChild>
            <w:div w:id="1135218080">
              <w:marLeft w:val="-225"/>
              <w:marRight w:val="-225"/>
              <w:marTop w:val="0"/>
              <w:marBottom w:val="0"/>
              <w:divBdr>
                <w:top w:val="none" w:sz="0" w:space="0" w:color="auto"/>
                <w:left w:val="none" w:sz="0" w:space="0" w:color="auto"/>
                <w:bottom w:val="none" w:sz="0" w:space="0" w:color="auto"/>
                <w:right w:val="none" w:sz="0" w:space="0" w:color="auto"/>
              </w:divBdr>
              <w:divsChild>
                <w:div w:id="2061632260">
                  <w:marLeft w:val="0"/>
                  <w:marRight w:val="0"/>
                  <w:marTop w:val="0"/>
                  <w:marBottom w:val="0"/>
                  <w:divBdr>
                    <w:top w:val="none" w:sz="0" w:space="0" w:color="auto"/>
                    <w:left w:val="none" w:sz="0" w:space="0" w:color="auto"/>
                    <w:bottom w:val="none" w:sz="0" w:space="0" w:color="auto"/>
                    <w:right w:val="none" w:sz="0" w:space="0" w:color="auto"/>
                  </w:divBdr>
                </w:div>
              </w:divsChild>
            </w:div>
            <w:div w:id="481779892">
              <w:marLeft w:val="-225"/>
              <w:marRight w:val="-225"/>
              <w:marTop w:val="0"/>
              <w:marBottom w:val="0"/>
              <w:divBdr>
                <w:top w:val="none" w:sz="0" w:space="0" w:color="auto"/>
                <w:left w:val="none" w:sz="0" w:space="0" w:color="auto"/>
                <w:bottom w:val="none" w:sz="0" w:space="0" w:color="auto"/>
                <w:right w:val="none" w:sz="0" w:space="0" w:color="auto"/>
              </w:divBdr>
              <w:divsChild>
                <w:div w:id="1095327951">
                  <w:marLeft w:val="0"/>
                  <w:marRight w:val="0"/>
                  <w:marTop w:val="0"/>
                  <w:marBottom w:val="0"/>
                  <w:divBdr>
                    <w:top w:val="none" w:sz="0" w:space="0" w:color="auto"/>
                    <w:left w:val="none" w:sz="0" w:space="0" w:color="auto"/>
                    <w:bottom w:val="none" w:sz="0" w:space="0" w:color="auto"/>
                    <w:right w:val="none" w:sz="0" w:space="0" w:color="auto"/>
                  </w:divBdr>
                </w:div>
              </w:divsChild>
            </w:div>
            <w:div w:id="1874803225">
              <w:marLeft w:val="-225"/>
              <w:marRight w:val="-225"/>
              <w:marTop w:val="0"/>
              <w:marBottom w:val="0"/>
              <w:divBdr>
                <w:top w:val="none" w:sz="0" w:space="0" w:color="auto"/>
                <w:left w:val="none" w:sz="0" w:space="0" w:color="auto"/>
                <w:bottom w:val="none" w:sz="0" w:space="0" w:color="auto"/>
                <w:right w:val="none" w:sz="0" w:space="0" w:color="auto"/>
              </w:divBdr>
            </w:div>
            <w:div w:id="1572738286">
              <w:marLeft w:val="-225"/>
              <w:marRight w:val="-225"/>
              <w:marTop w:val="0"/>
              <w:marBottom w:val="0"/>
              <w:divBdr>
                <w:top w:val="none" w:sz="0" w:space="0" w:color="auto"/>
                <w:left w:val="none" w:sz="0" w:space="0" w:color="auto"/>
                <w:bottom w:val="none" w:sz="0" w:space="0" w:color="auto"/>
                <w:right w:val="none" w:sz="0" w:space="0" w:color="auto"/>
              </w:divBdr>
            </w:div>
            <w:div w:id="1149639906">
              <w:marLeft w:val="-225"/>
              <w:marRight w:val="-225"/>
              <w:marTop w:val="0"/>
              <w:marBottom w:val="0"/>
              <w:divBdr>
                <w:top w:val="none" w:sz="0" w:space="0" w:color="auto"/>
                <w:left w:val="none" w:sz="0" w:space="0" w:color="auto"/>
                <w:bottom w:val="none" w:sz="0" w:space="0" w:color="auto"/>
                <w:right w:val="none" w:sz="0" w:space="0" w:color="auto"/>
              </w:divBdr>
              <w:divsChild>
                <w:div w:id="2092465966">
                  <w:marLeft w:val="0"/>
                  <w:marRight w:val="0"/>
                  <w:marTop w:val="300"/>
                  <w:marBottom w:val="0"/>
                  <w:divBdr>
                    <w:top w:val="none" w:sz="0" w:space="0" w:color="auto"/>
                    <w:left w:val="none" w:sz="0" w:space="0" w:color="auto"/>
                    <w:bottom w:val="none" w:sz="0" w:space="0" w:color="auto"/>
                    <w:right w:val="none" w:sz="0" w:space="0" w:color="auto"/>
                  </w:divBdr>
                </w:div>
              </w:divsChild>
            </w:div>
            <w:div w:id="471604966">
              <w:marLeft w:val="-225"/>
              <w:marRight w:val="-225"/>
              <w:marTop w:val="375"/>
              <w:marBottom w:val="0"/>
              <w:divBdr>
                <w:top w:val="none" w:sz="0" w:space="0" w:color="auto"/>
                <w:left w:val="none" w:sz="0" w:space="0" w:color="auto"/>
                <w:bottom w:val="none" w:sz="0" w:space="0" w:color="auto"/>
                <w:right w:val="none" w:sz="0" w:space="0" w:color="auto"/>
              </w:divBdr>
            </w:div>
          </w:divsChild>
        </w:div>
        <w:div w:id="23141755">
          <w:marLeft w:val="0"/>
          <w:marRight w:val="0"/>
          <w:marTop w:val="300"/>
          <w:marBottom w:val="0"/>
          <w:divBdr>
            <w:top w:val="none" w:sz="0" w:space="0" w:color="auto"/>
            <w:left w:val="none" w:sz="0" w:space="0" w:color="auto"/>
            <w:bottom w:val="none" w:sz="0" w:space="0" w:color="auto"/>
            <w:right w:val="none" w:sz="0" w:space="0" w:color="auto"/>
          </w:divBdr>
          <w:divsChild>
            <w:div w:id="622156403">
              <w:marLeft w:val="-225"/>
              <w:marRight w:val="-225"/>
              <w:marTop w:val="0"/>
              <w:marBottom w:val="0"/>
              <w:divBdr>
                <w:top w:val="none" w:sz="0" w:space="0" w:color="auto"/>
                <w:left w:val="none" w:sz="0" w:space="0" w:color="auto"/>
                <w:bottom w:val="none" w:sz="0" w:space="0" w:color="auto"/>
                <w:right w:val="none" w:sz="0" w:space="0" w:color="auto"/>
              </w:divBdr>
              <w:divsChild>
                <w:div w:id="729765074">
                  <w:marLeft w:val="0"/>
                  <w:marRight w:val="0"/>
                  <w:marTop w:val="600"/>
                  <w:marBottom w:val="0"/>
                  <w:divBdr>
                    <w:top w:val="none" w:sz="0" w:space="0" w:color="auto"/>
                    <w:left w:val="none" w:sz="0" w:space="0" w:color="auto"/>
                    <w:bottom w:val="none" w:sz="0" w:space="0" w:color="auto"/>
                    <w:right w:val="none" w:sz="0" w:space="0" w:color="auto"/>
                  </w:divBdr>
                </w:div>
                <w:div w:id="787702712">
                  <w:marLeft w:val="0"/>
                  <w:marRight w:val="0"/>
                  <w:marTop w:val="555"/>
                  <w:marBottom w:val="0"/>
                  <w:divBdr>
                    <w:top w:val="none" w:sz="0" w:space="0" w:color="auto"/>
                    <w:left w:val="none" w:sz="0" w:space="0" w:color="auto"/>
                    <w:bottom w:val="none" w:sz="0" w:space="0" w:color="auto"/>
                    <w:right w:val="none" w:sz="0" w:space="0" w:color="auto"/>
                  </w:divBdr>
                </w:div>
              </w:divsChild>
            </w:div>
          </w:divsChild>
        </w:div>
        <w:div w:id="201019808">
          <w:marLeft w:val="225"/>
          <w:marRight w:val="0"/>
          <w:marTop w:val="0"/>
          <w:marBottom w:val="0"/>
          <w:divBdr>
            <w:top w:val="none" w:sz="0" w:space="0" w:color="auto"/>
            <w:left w:val="none" w:sz="0" w:space="0" w:color="auto"/>
            <w:bottom w:val="none" w:sz="0" w:space="0" w:color="auto"/>
            <w:right w:val="none" w:sz="0" w:space="0" w:color="auto"/>
          </w:divBdr>
          <w:divsChild>
            <w:div w:id="155653145">
              <w:marLeft w:val="-225"/>
              <w:marRight w:val="-225"/>
              <w:marTop w:val="0"/>
              <w:marBottom w:val="0"/>
              <w:divBdr>
                <w:top w:val="none" w:sz="0" w:space="0" w:color="auto"/>
                <w:left w:val="none" w:sz="0" w:space="0" w:color="auto"/>
                <w:bottom w:val="none" w:sz="0" w:space="0" w:color="auto"/>
                <w:right w:val="none" w:sz="0" w:space="0" w:color="auto"/>
              </w:divBdr>
              <w:divsChild>
                <w:div w:id="21029929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78999955">
      <w:bodyDiv w:val="1"/>
      <w:marLeft w:val="0"/>
      <w:marRight w:val="0"/>
      <w:marTop w:val="0"/>
      <w:marBottom w:val="0"/>
      <w:divBdr>
        <w:top w:val="none" w:sz="0" w:space="0" w:color="auto"/>
        <w:left w:val="none" w:sz="0" w:space="0" w:color="auto"/>
        <w:bottom w:val="none" w:sz="0" w:space="0" w:color="auto"/>
        <w:right w:val="none" w:sz="0" w:space="0" w:color="auto"/>
      </w:divBdr>
    </w:div>
    <w:div w:id="279529755">
      <w:bodyDiv w:val="1"/>
      <w:marLeft w:val="0"/>
      <w:marRight w:val="0"/>
      <w:marTop w:val="0"/>
      <w:marBottom w:val="0"/>
      <w:divBdr>
        <w:top w:val="none" w:sz="0" w:space="0" w:color="auto"/>
        <w:left w:val="none" w:sz="0" w:space="0" w:color="auto"/>
        <w:bottom w:val="none" w:sz="0" w:space="0" w:color="auto"/>
        <w:right w:val="none" w:sz="0" w:space="0" w:color="auto"/>
      </w:divBdr>
      <w:divsChild>
        <w:div w:id="1708484092">
          <w:marLeft w:val="0"/>
          <w:marRight w:val="0"/>
          <w:marTop w:val="0"/>
          <w:marBottom w:val="0"/>
          <w:divBdr>
            <w:top w:val="none" w:sz="0" w:space="0" w:color="auto"/>
            <w:left w:val="none" w:sz="0" w:space="0" w:color="auto"/>
            <w:bottom w:val="none" w:sz="0" w:space="0" w:color="auto"/>
            <w:right w:val="none" w:sz="0" w:space="0" w:color="auto"/>
          </w:divBdr>
          <w:divsChild>
            <w:div w:id="2041858860">
              <w:marLeft w:val="2"/>
              <w:marRight w:val="2"/>
              <w:marTop w:val="0"/>
              <w:marBottom w:val="0"/>
              <w:divBdr>
                <w:top w:val="none" w:sz="0" w:space="0" w:color="auto"/>
                <w:left w:val="none" w:sz="0" w:space="0" w:color="auto"/>
                <w:bottom w:val="none" w:sz="0" w:space="0" w:color="auto"/>
                <w:right w:val="none" w:sz="0" w:space="0" w:color="auto"/>
              </w:divBdr>
              <w:divsChild>
                <w:div w:id="605426289">
                  <w:marLeft w:val="0"/>
                  <w:marRight w:val="0"/>
                  <w:marTop w:val="0"/>
                  <w:marBottom w:val="0"/>
                  <w:divBdr>
                    <w:top w:val="none" w:sz="0" w:space="0" w:color="auto"/>
                    <w:left w:val="none" w:sz="0" w:space="0" w:color="auto"/>
                    <w:bottom w:val="none" w:sz="0" w:space="0" w:color="auto"/>
                    <w:right w:val="none" w:sz="0" w:space="0" w:color="auto"/>
                  </w:divBdr>
                  <w:divsChild>
                    <w:div w:id="1944262308">
                      <w:marLeft w:val="0"/>
                      <w:marRight w:val="0"/>
                      <w:marTop w:val="0"/>
                      <w:marBottom w:val="0"/>
                      <w:divBdr>
                        <w:top w:val="none" w:sz="0" w:space="0" w:color="auto"/>
                        <w:left w:val="none" w:sz="0" w:space="0" w:color="auto"/>
                        <w:bottom w:val="none" w:sz="0" w:space="0" w:color="auto"/>
                        <w:right w:val="none" w:sz="0" w:space="0" w:color="auto"/>
                      </w:divBdr>
                      <w:divsChild>
                        <w:div w:id="172646950">
                          <w:marLeft w:val="0"/>
                          <w:marRight w:val="0"/>
                          <w:marTop w:val="0"/>
                          <w:marBottom w:val="0"/>
                          <w:divBdr>
                            <w:top w:val="none" w:sz="0" w:space="0" w:color="auto"/>
                            <w:left w:val="none" w:sz="0" w:space="0" w:color="auto"/>
                            <w:bottom w:val="none" w:sz="0" w:space="0" w:color="auto"/>
                            <w:right w:val="none" w:sz="0" w:space="0" w:color="auto"/>
                          </w:divBdr>
                          <w:divsChild>
                            <w:div w:id="2070226994">
                              <w:marLeft w:val="0"/>
                              <w:marRight w:val="0"/>
                              <w:marTop w:val="0"/>
                              <w:marBottom w:val="0"/>
                              <w:divBdr>
                                <w:top w:val="none" w:sz="0" w:space="0" w:color="auto"/>
                                <w:left w:val="none" w:sz="0" w:space="0" w:color="auto"/>
                                <w:bottom w:val="none" w:sz="0" w:space="0" w:color="auto"/>
                                <w:right w:val="none" w:sz="0" w:space="0" w:color="auto"/>
                              </w:divBdr>
                              <w:divsChild>
                                <w:div w:id="395471419">
                                  <w:marLeft w:val="0"/>
                                  <w:marRight w:val="0"/>
                                  <w:marTop w:val="0"/>
                                  <w:marBottom w:val="0"/>
                                  <w:divBdr>
                                    <w:top w:val="none" w:sz="0" w:space="0" w:color="auto"/>
                                    <w:left w:val="none" w:sz="0" w:space="0" w:color="auto"/>
                                    <w:bottom w:val="none" w:sz="0" w:space="0" w:color="auto"/>
                                    <w:right w:val="none" w:sz="0" w:space="0" w:color="auto"/>
                                  </w:divBdr>
                                  <w:divsChild>
                                    <w:div w:id="56051257">
                                      <w:marLeft w:val="0"/>
                                      <w:marRight w:val="0"/>
                                      <w:marTop w:val="0"/>
                                      <w:marBottom w:val="0"/>
                                      <w:divBdr>
                                        <w:top w:val="none" w:sz="0" w:space="0" w:color="auto"/>
                                        <w:left w:val="none" w:sz="0" w:space="0" w:color="auto"/>
                                        <w:bottom w:val="none" w:sz="0" w:space="0" w:color="auto"/>
                                        <w:right w:val="none" w:sz="0" w:space="0" w:color="auto"/>
                                      </w:divBdr>
                                      <w:divsChild>
                                        <w:div w:id="2123645300">
                                          <w:marLeft w:val="0"/>
                                          <w:marRight w:val="0"/>
                                          <w:marTop w:val="0"/>
                                          <w:marBottom w:val="0"/>
                                          <w:divBdr>
                                            <w:top w:val="none" w:sz="0" w:space="0" w:color="auto"/>
                                            <w:left w:val="none" w:sz="0" w:space="0" w:color="auto"/>
                                            <w:bottom w:val="none" w:sz="0" w:space="0" w:color="auto"/>
                                            <w:right w:val="none" w:sz="0" w:space="0" w:color="auto"/>
                                          </w:divBdr>
                                          <w:divsChild>
                                            <w:div w:id="1005128248">
                                              <w:marLeft w:val="0"/>
                                              <w:marRight w:val="0"/>
                                              <w:marTop w:val="0"/>
                                              <w:marBottom w:val="0"/>
                                              <w:divBdr>
                                                <w:top w:val="none" w:sz="0" w:space="0" w:color="auto"/>
                                                <w:left w:val="none" w:sz="0" w:space="0" w:color="auto"/>
                                                <w:bottom w:val="none" w:sz="0" w:space="0" w:color="auto"/>
                                                <w:right w:val="none" w:sz="0" w:space="0" w:color="auto"/>
                                              </w:divBdr>
                                            </w:div>
                                          </w:divsChild>
                                        </w:div>
                                        <w:div w:id="1034428586">
                                          <w:marLeft w:val="0"/>
                                          <w:marRight w:val="0"/>
                                          <w:marTop w:val="0"/>
                                          <w:marBottom w:val="0"/>
                                          <w:divBdr>
                                            <w:top w:val="none" w:sz="0" w:space="0" w:color="auto"/>
                                            <w:left w:val="none" w:sz="0" w:space="0" w:color="auto"/>
                                            <w:bottom w:val="none" w:sz="0" w:space="0" w:color="auto"/>
                                            <w:right w:val="none" w:sz="0" w:space="0" w:color="auto"/>
                                          </w:divBdr>
                                          <w:divsChild>
                                            <w:div w:id="201939899">
                                              <w:marLeft w:val="0"/>
                                              <w:marRight w:val="0"/>
                                              <w:marTop w:val="0"/>
                                              <w:marBottom w:val="0"/>
                                              <w:divBdr>
                                                <w:top w:val="none" w:sz="0" w:space="0" w:color="auto"/>
                                                <w:left w:val="none" w:sz="0" w:space="0" w:color="auto"/>
                                                <w:bottom w:val="none" w:sz="0" w:space="0" w:color="auto"/>
                                                <w:right w:val="none" w:sz="0" w:space="0" w:color="auto"/>
                                              </w:divBdr>
                                            </w:div>
                                          </w:divsChild>
                                        </w:div>
                                        <w:div w:id="1830553827">
                                          <w:marLeft w:val="0"/>
                                          <w:marRight w:val="0"/>
                                          <w:marTop w:val="0"/>
                                          <w:marBottom w:val="0"/>
                                          <w:divBdr>
                                            <w:top w:val="none" w:sz="0" w:space="0" w:color="auto"/>
                                            <w:left w:val="none" w:sz="0" w:space="0" w:color="auto"/>
                                            <w:bottom w:val="none" w:sz="0" w:space="0" w:color="auto"/>
                                            <w:right w:val="none" w:sz="0" w:space="0" w:color="auto"/>
                                          </w:divBdr>
                                          <w:divsChild>
                                            <w:div w:id="556820246">
                                              <w:marLeft w:val="0"/>
                                              <w:marRight w:val="0"/>
                                              <w:marTop w:val="0"/>
                                              <w:marBottom w:val="0"/>
                                              <w:divBdr>
                                                <w:top w:val="none" w:sz="0" w:space="0" w:color="auto"/>
                                                <w:left w:val="none" w:sz="0" w:space="0" w:color="auto"/>
                                                <w:bottom w:val="none" w:sz="0" w:space="0" w:color="auto"/>
                                                <w:right w:val="none" w:sz="0" w:space="0" w:color="auto"/>
                                              </w:divBdr>
                                            </w:div>
                                          </w:divsChild>
                                        </w:div>
                                        <w:div w:id="1198661939">
                                          <w:marLeft w:val="0"/>
                                          <w:marRight w:val="0"/>
                                          <w:marTop w:val="0"/>
                                          <w:marBottom w:val="0"/>
                                          <w:divBdr>
                                            <w:top w:val="none" w:sz="0" w:space="0" w:color="auto"/>
                                            <w:left w:val="none" w:sz="0" w:space="0" w:color="auto"/>
                                            <w:bottom w:val="none" w:sz="0" w:space="0" w:color="auto"/>
                                            <w:right w:val="none" w:sz="0" w:space="0" w:color="auto"/>
                                          </w:divBdr>
                                          <w:divsChild>
                                            <w:div w:id="1714773397">
                                              <w:marLeft w:val="0"/>
                                              <w:marRight w:val="0"/>
                                              <w:marTop w:val="0"/>
                                              <w:marBottom w:val="0"/>
                                              <w:divBdr>
                                                <w:top w:val="none" w:sz="0" w:space="0" w:color="auto"/>
                                                <w:left w:val="none" w:sz="0" w:space="0" w:color="auto"/>
                                                <w:bottom w:val="none" w:sz="0" w:space="0" w:color="auto"/>
                                                <w:right w:val="none" w:sz="0" w:space="0" w:color="auto"/>
                                              </w:divBdr>
                                            </w:div>
                                          </w:divsChild>
                                        </w:div>
                                        <w:div w:id="1795513110">
                                          <w:marLeft w:val="0"/>
                                          <w:marRight w:val="0"/>
                                          <w:marTop w:val="0"/>
                                          <w:marBottom w:val="0"/>
                                          <w:divBdr>
                                            <w:top w:val="none" w:sz="0" w:space="0" w:color="auto"/>
                                            <w:left w:val="none" w:sz="0" w:space="0" w:color="auto"/>
                                            <w:bottom w:val="none" w:sz="0" w:space="0" w:color="auto"/>
                                            <w:right w:val="none" w:sz="0" w:space="0" w:color="auto"/>
                                          </w:divBdr>
                                          <w:divsChild>
                                            <w:div w:id="8396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724211">
      <w:bodyDiv w:val="1"/>
      <w:marLeft w:val="0"/>
      <w:marRight w:val="0"/>
      <w:marTop w:val="0"/>
      <w:marBottom w:val="0"/>
      <w:divBdr>
        <w:top w:val="none" w:sz="0" w:space="0" w:color="auto"/>
        <w:left w:val="none" w:sz="0" w:space="0" w:color="auto"/>
        <w:bottom w:val="none" w:sz="0" w:space="0" w:color="auto"/>
        <w:right w:val="none" w:sz="0" w:space="0" w:color="auto"/>
      </w:divBdr>
      <w:divsChild>
        <w:div w:id="1605500978">
          <w:marLeft w:val="0"/>
          <w:marRight w:val="0"/>
          <w:marTop w:val="0"/>
          <w:marBottom w:val="0"/>
          <w:divBdr>
            <w:top w:val="none" w:sz="0" w:space="0" w:color="auto"/>
            <w:left w:val="none" w:sz="0" w:space="0" w:color="auto"/>
            <w:bottom w:val="none" w:sz="0" w:space="0" w:color="auto"/>
            <w:right w:val="none" w:sz="0" w:space="0" w:color="auto"/>
          </w:divBdr>
          <w:divsChild>
            <w:div w:id="908810552">
              <w:marLeft w:val="0"/>
              <w:marRight w:val="0"/>
              <w:marTop w:val="0"/>
              <w:marBottom w:val="0"/>
              <w:divBdr>
                <w:top w:val="none" w:sz="0" w:space="0" w:color="auto"/>
                <w:left w:val="none" w:sz="0" w:space="0" w:color="auto"/>
                <w:bottom w:val="none" w:sz="0" w:space="0" w:color="auto"/>
                <w:right w:val="none" w:sz="0" w:space="0" w:color="auto"/>
              </w:divBdr>
              <w:divsChild>
                <w:div w:id="600841836">
                  <w:marLeft w:val="0"/>
                  <w:marRight w:val="0"/>
                  <w:marTop w:val="0"/>
                  <w:marBottom w:val="0"/>
                  <w:divBdr>
                    <w:top w:val="none" w:sz="0" w:space="0" w:color="auto"/>
                    <w:left w:val="none" w:sz="0" w:space="0" w:color="auto"/>
                    <w:bottom w:val="none" w:sz="0" w:space="0" w:color="auto"/>
                    <w:right w:val="none" w:sz="0" w:space="0" w:color="auto"/>
                  </w:divBdr>
                  <w:divsChild>
                    <w:div w:id="1992784765">
                      <w:marLeft w:val="0"/>
                      <w:marRight w:val="0"/>
                      <w:marTop w:val="0"/>
                      <w:marBottom w:val="0"/>
                      <w:divBdr>
                        <w:top w:val="none" w:sz="0" w:space="0" w:color="auto"/>
                        <w:left w:val="none" w:sz="0" w:space="0" w:color="auto"/>
                        <w:bottom w:val="none" w:sz="0" w:space="0" w:color="auto"/>
                        <w:right w:val="none" w:sz="0" w:space="0" w:color="auto"/>
                      </w:divBdr>
                      <w:divsChild>
                        <w:div w:id="374426015">
                          <w:marLeft w:val="0"/>
                          <w:marRight w:val="0"/>
                          <w:marTop w:val="0"/>
                          <w:marBottom w:val="0"/>
                          <w:divBdr>
                            <w:top w:val="none" w:sz="0" w:space="0" w:color="auto"/>
                            <w:left w:val="none" w:sz="0" w:space="0" w:color="auto"/>
                            <w:bottom w:val="none" w:sz="0" w:space="0" w:color="auto"/>
                            <w:right w:val="none" w:sz="0" w:space="0" w:color="auto"/>
                          </w:divBdr>
                          <w:divsChild>
                            <w:div w:id="993028190">
                              <w:marLeft w:val="0"/>
                              <w:marRight w:val="0"/>
                              <w:marTop w:val="0"/>
                              <w:marBottom w:val="0"/>
                              <w:divBdr>
                                <w:top w:val="none" w:sz="0" w:space="0" w:color="auto"/>
                                <w:left w:val="none" w:sz="0" w:space="0" w:color="auto"/>
                                <w:bottom w:val="none" w:sz="0" w:space="0" w:color="auto"/>
                                <w:right w:val="none" w:sz="0" w:space="0" w:color="auto"/>
                              </w:divBdr>
                              <w:divsChild>
                                <w:div w:id="1468471713">
                                  <w:marLeft w:val="0"/>
                                  <w:marRight w:val="0"/>
                                  <w:marTop w:val="0"/>
                                  <w:marBottom w:val="0"/>
                                  <w:divBdr>
                                    <w:top w:val="none" w:sz="0" w:space="0" w:color="auto"/>
                                    <w:left w:val="none" w:sz="0" w:space="0" w:color="auto"/>
                                    <w:bottom w:val="none" w:sz="0" w:space="0" w:color="auto"/>
                                    <w:right w:val="none" w:sz="0" w:space="0" w:color="auto"/>
                                  </w:divBdr>
                                  <w:divsChild>
                                    <w:div w:id="1729956600">
                                      <w:marLeft w:val="0"/>
                                      <w:marRight w:val="0"/>
                                      <w:marTop w:val="0"/>
                                      <w:marBottom w:val="0"/>
                                      <w:divBdr>
                                        <w:top w:val="none" w:sz="0" w:space="0" w:color="auto"/>
                                        <w:left w:val="none" w:sz="0" w:space="0" w:color="auto"/>
                                        <w:bottom w:val="none" w:sz="0" w:space="0" w:color="auto"/>
                                        <w:right w:val="none" w:sz="0" w:space="0" w:color="auto"/>
                                      </w:divBdr>
                                      <w:divsChild>
                                        <w:div w:id="139228021">
                                          <w:marLeft w:val="0"/>
                                          <w:marRight w:val="0"/>
                                          <w:marTop w:val="0"/>
                                          <w:marBottom w:val="0"/>
                                          <w:divBdr>
                                            <w:top w:val="none" w:sz="0" w:space="0" w:color="auto"/>
                                            <w:left w:val="none" w:sz="0" w:space="0" w:color="auto"/>
                                            <w:bottom w:val="none" w:sz="0" w:space="0" w:color="auto"/>
                                            <w:right w:val="none" w:sz="0" w:space="0" w:color="auto"/>
                                          </w:divBdr>
                                          <w:divsChild>
                                            <w:div w:id="1606384165">
                                              <w:marLeft w:val="0"/>
                                              <w:marRight w:val="0"/>
                                              <w:marTop w:val="0"/>
                                              <w:marBottom w:val="0"/>
                                              <w:divBdr>
                                                <w:top w:val="none" w:sz="0" w:space="0" w:color="auto"/>
                                                <w:left w:val="none" w:sz="0" w:space="0" w:color="auto"/>
                                                <w:bottom w:val="none" w:sz="0" w:space="0" w:color="auto"/>
                                                <w:right w:val="none" w:sz="0" w:space="0" w:color="auto"/>
                                              </w:divBdr>
                                              <w:divsChild>
                                                <w:div w:id="1750544740">
                                                  <w:marLeft w:val="0"/>
                                                  <w:marRight w:val="0"/>
                                                  <w:marTop w:val="0"/>
                                                  <w:marBottom w:val="0"/>
                                                  <w:divBdr>
                                                    <w:top w:val="none" w:sz="0" w:space="0" w:color="auto"/>
                                                    <w:left w:val="none" w:sz="0" w:space="0" w:color="auto"/>
                                                    <w:bottom w:val="none" w:sz="0" w:space="0" w:color="auto"/>
                                                    <w:right w:val="none" w:sz="0" w:space="0" w:color="auto"/>
                                                  </w:divBdr>
                                                  <w:divsChild>
                                                    <w:div w:id="1896309266">
                                                      <w:marLeft w:val="0"/>
                                                      <w:marRight w:val="0"/>
                                                      <w:marTop w:val="0"/>
                                                      <w:marBottom w:val="0"/>
                                                      <w:divBdr>
                                                        <w:top w:val="none" w:sz="0" w:space="0" w:color="auto"/>
                                                        <w:left w:val="none" w:sz="0" w:space="0" w:color="auto"/>
                                                        <w:bottom w:val="none" w:sz="0" w:space="0" w:color="auto"/>
                                                        <w:right w:val="none" w:sz="0" w:space="0" w:color="auto"/>
                                                      </w:divBdr>
                                                      <w:divsChild>
                                                        <w:div w:id="9190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2344827">
      <w:bodyDiv w:val="1"/>
      <w:marLeft w:val="0"/>
      <w:marRight w:val="0"/>
      <w:marTop w:val="0"/>
      <w:marBottom w:val="0"/>
      <w:divBdr>
        <w:top w:val="none" w:sz="0" w:space="0" w:color="auto"/>
        <w:left w:val="none" w:sz="0" w:space="0" w:color="auto"/>
        <w:bottom w:val="none" w:sz="0" w:space="0" w:color="auto"/>
        <w:right w:val="none" w:sz="0" w:space="0" w:color="auto"/>
      </w:divBdr>
      <w:divsChild>
        <w:div w:id="1859394732">
          <w:marLeft w:val="0"/>
          <w:marRight w:val="0"/>
          <w:marTop w:val="0"/>
          <w:marBottom w:val="0"/>
          <w:divBdr>
            <w:top w:val="none" w:sz="0" w:space="0" w:color="auto"/>
            <w:left w:val="none" w:sz="0" w:space="0" w:color="auto"/>
            <w:bottom w:val="none" w:sz="0" w:space="0" w:color="auto"/>
            <w:right w:val="none" w:sz="0" w:space="0" w:color="auto"/>
          </w:divBdr>
          <w:divsChild>
            <w:div w:id="12974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6856">
      <w:bodyDiv w:val="1"/>
      <w:marLeft w:val="0"/>
      <w:marRight w:val="0"/>
      <w:marTop w:val="0"/>
      <w:marBottom w:val="0"/>
      <w:divBdr>
        <w:top w:val="none" w:sz="0" w:space="0" w:color="auto"/>
        <w:left w:val="none" w:sz="0" w:space="0" w:color="auto"/>
        <w:bottom w:val="none" w:sz="0" w:space="0" w:color="auto"/>
        <w:right w:val="none" w:sz="0" w:space="0" w:color="auto"/>
      </w:divBdr>
      <w:divsChild>
        <w:div w:id="1685401767">
          <w:marLeft w:val="0"/>
          <w:marRight w:val="0"/>
          <w:marTop w:val="150"/>
          <w:marBottom w:val="0"/>
          <w:divBdr>
            <w:top w:val="none" w:sz="0" w:space="0" w:color="auto"/>
            <w:left w:val="none" w:sz="0" w:space="0" w:color="auto"/>
            <w:bottom w:val="none" w:sz="0" w:space="0" w:color="auto"/>
            <w:right w:val="none" w:sz="0" w:space="0" w:color="auto"/>
          </w:divBdr>
          <w:divsChild>
            <w:div w:id="1117723028">
              <w:marLeft w:val="2"/>
              <w:marRight w:val="2"/>
              <w:marTop w:val="0"/>
              <w:marBottom w:val="0"/>
              <w:divBdr>
                <w:top w:val="none" w:sz="0" w:space="0" w:color="auto"/>
                <w:left w:val="none" w:sz="0" w:space="0" w:color="auto"/>
                <w:bottom w:val="none" w:sz="0" w:space="0" w:color="auto"/>
                <w:right w:val="none" w:sz="0" w:space="0" w:color="auto"/>
              </w:divBdr>
              <w:divsChild>
                <w:div w:id="1338801599">
                  <w:marLeft w:val="0"/>
                  <w:marRight w:val="0"/>
                  <w:marTop w:val="0"/>
                  <w:marBottom w:val="0"/>
                  <w:divBdr>
                    <w:top w:val="none" w:sz="0" w:space="0" w:color="auto"/>
                    <w:left w:val="none" w:sz="0" w:space="0" w:color="auto"/>
                    <w:bottom w:val="none" w:sz="0" w:space="0" w:color="auto"/>
                    <w:right w:val="none" w:sz="0" w:space="0" w:color="auto"/>
                  </w:divBdr>
                  <w:divsChild>
                    <w:div w:id="169763789">
                      <w:marLeft w:val="0"/>
                      <w:marRight w:val="0"/>
                      <w:marTop w:val="0"/>
                      <w:marBottom w:val="0"/>
                      <w:divBdr>
                        <w:top w:val="none" w:sz="0" w:space="0" w:color="auto"/>
                        <w:left w:val="none" w:sz="0" w:space="0" w:color="auto"/>
                        <w:bottom w:val="none" w:sz="0" w:space="0" w:color="auto"/>
                        <w:right w:val="none" w:sz="0" w:space="0" w:color="auto"/>
                      </w:divBdr>
                      <w:divsChild>
                        <w:div w:id="248972952">
                          <w:marLeft w:val="0"/>
                          <w:marRight w:val="0"/>
                          <w:marTop w:val="0"/>
                          <w:marBottom w:val="0"/>
                          <w:divBdr>
                            <w:top w:val="none" w:sz="0" w:space="0" w:color="auto"/>
                            <w:left w:val="none" w:sz="0" w:space="0" w:color="auto"/>
                            <w:bottom w:val="none" w:sz="0" w:space="0" w:color="auto"/>
                            <w:right w:val="none" w:sz="0" w:space="0" w:color="auto"/>
                          </w:divBdr>
                          <w:divsChild>
                            <w:div w:id="1425609993">
                              <w:marLeft w:val="0"/>
                              <w:marRight w:val="0"/>
                              <w:marTop w:val="0"/>
                              <w:marBottom w:val="0"/>
                              <w:divBdr>
                                <w:top w:val="none" w:sz="0" w:space="0" w:color="auto"/>
                                <w:left w:val="none" w:sz="0" w:space="0" w:color="auto"/>
                                <w:bottom w:val="none" w:sz="0" w:space="0" w:color="auto"/>
                                <w:right w:val="none" w:sz="0" w:space="0" w:color="auto"/>
                              </w:divBdr>
                              <w:divsChild>
                                <w:div w:id="1367410207">
                                  <w:marLeft w:val="0"/>
                                  <w:marRight w:val="0"/>
                                  <w:marTop w:val="0"/>
                                  <w:marBottom w:val="0"/>
                                  <w:divBdr>
                                    <w:top w:val="none" w:sz="0" w:space="0" w:color="auto"/>
                                    <w:left w:val="none" w:sz="0" w:space="0" w:color="auto"/>
                                    <w:bottom w:val="none" w:sz="0" w:space="0" w:color="auto"/>
                                    <w:right w:val="none" w:sz="0" w:space="0" w:color="auto"/>
                                  </w:divBdr>
                                  <w:divsChild>
                                    <w:div w:id="166289437">
                                      <w:marLeft w:val="0"/>
                                      <w:marRight w:val="0"/>
                                      <w:marTop w:val="0"/>
                                      <w:marBottom w:val="0"/>
                                      <w:divBdr>
                                        <w:top w:val="none" w:sz="0" w:space="0" w:color="auto"/>
                                        <w:left w:val="none" w:sz="0" w:space="0" w:color="auto"/>
                                        <w:bottom w:val="none" w:sz="0" w:space="0" w:color="auto"/>
                                        <w:right w:val="none" w:sz="0" w:space="0" w:color="auto"/>
                                      </w:divBdr>
                                      <w:divsChild>
                                        <w:div w:id="1192499409">
                                          <w:marLeft w:val="0"/>
                                          <w:marRight w:val="0"/>
                                          <w:marTop w:val="0"/>
                                          <w:marBottom w:val="0"/>
                                          <w:divBdr>
                                            <w:top w:val="none" w:sz="0" w:space="0" w:color="auto"/>
                                            <w:left w:val="none" w:sz="0" w:space="0" w:color="auto"/>
                                            <w:bottom w:val="none" w:sz="0" w:space="0" w:color="auto"/>
                                            <w:right w:val="none" w:sz="0" w:space="0" w:color="auto"/>
                                          </w:divBdr>
                                          <w:divsChild>
                                            <w:div w:id="413085867">
                                              <w:marLeft w:val="0"/>
                                              <w:marRight w:val="0"/>
                                              <w:marTop w:val="0"/>
                                              <w:marBottom w:val="0"/>
                                              <w:divBdr>
                                                <w:top w:val="none" w:sz="0" w:space="0" w:color="auto"/>
                                                <w:left w:val="none" w:sz="0" w:space="0" w:color="auto"/>
                                                <w:bottom w:val="none" w:sz="0" w:space="0" w:color="auto"/>
                                                <w:right w:val="none" w:sz="0" w:space="0" w:color="auto"/>
                                              </w:divBdr>
                                              <w:divsChild>
                                                <w:div w:id="1833063354">
                                                  <w:marLeft w:val="0"/>
                                                  <w:marRight w:val="0"/>
                                                  <w:marTop w:val="0"/>
                                                  <w:marBottom w:val="0"/>
                                                  <w:divBdr>
                                                    <w:top w:val="none" w:sz="0" w:space="0" w:color="auto"/>
                                                    <w:left w:val="none" w:sz="0" w:space="0" w:color="auto"/>
                                                    <w:bottom w:val="none" w:sz="0" w:space="0" w:color="auto"/>
                                                    <w:right w:val="none" w:sz="0" w:space="0" w:color="auto"/>
                                                  </w:divBdr>
                                                </w:div>
                                              </w:divsChild>
                                            </w:div>
                                            <w:div w:id="1561557780">
                                              <w:marLeft w:val="0"/>
                                              <w:marRight w:val="0"/>
                                              <w:marTop w:val="0"/>
                                              <w:marBottom w:val="0"/>
                                              <w:divBdr>
                                                <w:top w:val="none" w:sz="0" w:space="0" w:color="auto"/>
                                                <w:left w:val="none" w:sz="0" w:space="0" w:color="auto"/>
                                                <w:bottom w:val="none" w:sz="0" w:space="0" w:color="auto"/>
                                                <w:right w:val="none" w:sz="0" w:space="0" w:color="auto"/>
                                              </w:divBdr>
                                              <w:divsChild>
                                                <w:div w:id="957613572">
                                                  <w:marLeft w:val="0"/>
                                                  <w:marRight w:val="0"/>
                                                  <w:marTop w:val="0"/>
                                                  <w:marBottom w:val="0"/>
                                                  <w:divBdr>
                                                    <w:top w:val="none" w:sz="0" w:space="0" w:color="auto"/>
                                                    <w:left w:val="none" w:sz="0" w:space="0" w:color="auto"/>
                                                    <w:bottom w:val="none" w:sz="0" w:space="0" w:color="auto"/>
                                                    <w:right w:val="none" w:sz="0" w:space="0" w:color="auto"/>
                                                  </w:divBdr>
                                                </w:div>
                                              </w:divsChild>
                                            </w:div>
                                            <w:div w:id="1403719684">
                                              <w:marLeft w:val="0"/>
                                              <w:marRight w:val="0"/>
                                              <w:marTop w:val="0"/>
                                              <w:marBottom w:val="0"/>
                                              <w:divBdr>
                                                <w:top w:val="none" w:sz="0" w:space="0" w:color="auto"/>
                                                <w:left w:val="none" w:sz="0" w:space="0" w:color="auto"/>
                                                <w:bottom w:val="none" w:sz="0" w:space="0" w:color="auto"/>
                                                <w:right w:val="none" w:sz="0" w:space="0" w:color="auto"/>
                                              </w:divBdr>
                                              <w:divsChild>
                                                <w:div w:id="1842159860">
                                                  <w:marLeft w:val="0"/>
                                                  <w:marRight w:val="0"/>
                                                  <w:marTop w:val="0"/>
                                                  <w:marBottom w:val="0"/>
                                                  <w:divBdr>
                                                    <w:top w:val="none" w:sz="0" w:space="0" w:color="auto"/>
                                                    <w:left w:val="none" w:sz="0" w:space="0" w:color="auto"/>
                                                    <w:bottom w:val="none" w:sz="0" w:space="0" w:color="auto"/>
                                                    <w:right w:val="none" w:sz="0" w:space="0" w:color="auto"/>
                                                  </w:divBdr>
                                                </w:div>
                                              </w:divsChild>
                                            </w:div>
                                            <w:div w:id="643974714">
                                              <w:marLeft w:val="0"/>
                                              <w:marRight w:val="0"/>
                                              <w:marTop w:val="0"/>
                                              <w:marBottom w:val="0"/>
                                              <w:divBdr>
                                                <w:top w:val="none" w:sz="0" w:space="0" w:color="auto"/>
                                                <w:left w:val="none" w:sz="0" w:space="0" w:color="auto"/>
                                                <w:bottom w:val="none" w:sz="0" w:space="0" w:color="auto"/>
                                                <w:right w:val="none" w:sz="0" w:space="0" w:color="auto"/>
                                              </w:divBdr>
                                              <w:divsChild>
                                                <w:div w:id="21058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10076">
      <w:bodyDiv w:val="1"/>
      <w:marLeft w:val="0"/>
      <w:marRight w:val="0"/>
      <w:marTop w:val="0"/>
      <w:marBottom w:val="0"/>
      <w:divBdr>
        <w:top w:val="none" w:sz="0" w:space="0" w:color="auto"/>
        <w:left w:val="none" w:sz="0" w:space="0" w:color="auto"/>
        <w:bottom w:val="none" w:sz="0" w:space="0" w:color="auto"/>
        <w:right w:val="none" w:sz="0" w:space="0" w:color="auto"/>
      </w:divBdr>
      <w:divsChild>
        <w:div w:id="1117061244">
          <w:marLeft w:val="0"/>
          <w:marRight w:val="0"/>
          <w:marTop w:val="0"/>
          <w:marBottom w:val="0"/>
          <w:divBdr>
            <w:top w:val="none" w:sz="0" w:space="0" w:color="auto"/>
            <w:left w:val="none" w:sz="0" w:space="0" w:color="auto"/>
            <w:bottom w:val="none" w:sz="0" w:space="0" w:color="auto"/>
            <w:right w:val="none" w:sz="0" w:space="0" w:color="auto"/>
          </w:divBdr>
          <w:divsChild>
            <w:div w:id="11788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2265">
      <w:bodyDiv w:val="1"/>
      <w:marLeft w:val="0"/>
      <w:marRight w:val="0"/>
      <w:marTop w:val="0"/>
      <w:marBottom w:val="0"/>
      <w:divBdr>
        <w:top w:val="none" w:sz="0" w:space="0" w:color="auto"/>
        <w:left w:val="none" w:sz="0" w:space="0" w:color="auto"/>
        <w:bottom w:val="none" w:sz="0" w:space="0" w:color="auto"/>
        <w:right w:val="none" w:sz="0" w:space="0" w:color="auto"/>
      </w:divBdr>
      <w:divsChild>
        <w:div w:id="1723214614">
          <w:marLeft w:val="0"/>
          <w:marRight w:val="0"/>
          <w:marTop w:val="0"/>
          <w:marBottom w:val="0"/>
          <w:divBdr>
            <w:top w:val="none" w:sz="0" w:space="0" w:color="auto"/>
            <w:left w:val="none" w:sz="0" w:space="0" w:color="auto"/>
            <w:bottom w:val="none" w:sz="0" w:space="0" w:color="auto"/>
            <w:right w:val="none" w:sz="0" w:space="0" w:color="auto"/>
          </w:divBdr>
          <w:divsChild>
            <w:div w:id="1843467335">
              <w:marLeft w:val="0"/>
              <w:marRight w:val="0"/>
              <w:marTop w:val="0"/>
              <w:marBottom w:val="0"/>
              <w:divBdr>
                <w:top w:val="none" w:sz="0" w:space="0" w:color="auto"/>
                <w:left w:val="none" w:sz="0" w:space="0" w:color="auto"/>
                <w:bottom w:val="none" w:sz="0" w:space="0" w:color="auto"/>
                <w:right w:val="none" w:sz="0" w:space="0" w:color="auto"/>
              </w:divBdr>
              <w:divsChild>
                <w:div w:id="1966151724">
                  <w:marLeft w:val="0"/>
                  <w:marRight w:val="0"/>
                  <w:marTop w:val="0"/>
                  <w:marBottom w:val="0"/>
                  <w:divBdr>
                    <w:top w:val="none" w:sz="0" w:space="0" w:color="auto"/>
                    <w:left w:val="none" w:sz="0" w:space="0" w:color="auto"/>
                    <w:bottom w:val="none" w:sz="0" w:space="0" w:color="auto"/>
                    <w:right w:val="none" w:sz="0" w:space="0" w:color="auto"/>
                  </w:divBdr>
                  <w:divsChild>
                    <w:div w:id="1907761117">
                      <w:marLeft w:val="0"/>
                      <w:marRight w:val="0"/>
                      <w:marTop w:val="0"/>
                      <w:marBottom w:val="0"/>
                      <w:divBdr>
                        <w:top w:val="none" w:sz="0" w:space="0" w:color="auto"/>
                        <w:left w:val="none" w:sz="0" w:space="0" w:color="auto"/>
                        <w:bottom w:val="none" w:sz="0" w:space="0" w:color="auto"/>
                        <w:right w:val="none" w:sz="0" w:space="0" w:color="auto"/>
                      </w:divBdr>
                      <w:divsChild>
                        <w:div w:id="1746148921">
                          <w:marLeft w:val="0"/>
                          <w:marRight w:val="0"/>
                          <w:marTop w:val="0"/>
                          <w:marBottom w:val="0"/>
                          <w:divBdr>
                            <w:top w:val="none" w:sz="0" w:space="0" w:color="auto"/>
                            <w:left w:val="none" w:sz="0" w:space="0" w:color="auto"/>
                            <w:bottom w:val="none" w:sz="0" w:space="0" w:color="auto"/>
                            <w:right w:val="none" w:sz="0" w:space="0" w:color="auto"/>
                          </w:divBdr>
                          <w:divsChild>
                            <w:div w:id="1750804042">
                              <w:marLeft w:val="0"/>
                              <w:marRight w:val="0"/>
                              <w:marTop w:val="0"/>
                              <w:marBottom w:val="0"/>
                              <w:divBdr>
                                <w:top w:val="none" w:sz="0" w:space="0" w:color="auto"/>
                                <w:left w:val="none" w:sz="0" w:space="0" w:color="auto"/>
                                <w:bottom w:val="none" w:sz="0" w:space="0" w:color="auto"/>
                                <w:right w:val="none" w:sz="0" w:space="0" w:color="auto"/>
                              </w:divBdr>
                              <w:divsChild>
                                <w:div w:id="124004854">
                                  <w:marLeft w:val="0"/>
                                  <w:marRight w:val="0"/>
                                  <w:marTop w:val="0"/>
                                  <w:marBottom w:val="0"/>
                                  <w:divBdr>
                                    <w:top w:val="none" w:sz="0" w:space="0" w:color="auto"/>
                                    <w:left w:val="none" w:sz="0" w:space="0" w:color="auto"/>
                                    <w:bottom w:val="none" w:sz="0" w:space="0" w:color="auto"/>
                                    <w:right w:val="none" w:sz="0" w:space="0" w:color="auto"/>
                                  </w:divBdr>
                                  <w:divsChild>
                                    <w:div w:id="2099907355">
                                      <w:marLeft w:val="0"/>
                                      <w:marRight w:val="0"/>
                                      <w:marTop w:val="0"/>
                                      <w:marBottom w:val="0"/>
                                      <w:divBdr>
                                        <w:top w:val="none" w:sz="0" w:space="0" w:color="auto"/>
                                        <w:left w:val="none" w:sz="0" w:space="0" w:color="auto"/>
                                        <w:bottom w:val="none" w:sz="0" w:space="0" w:color="auto"/>
                                        <w:right w:val="none" w:sz="0" w:space="0" w:color="auto"/>
                                      </w:divBdr>
                                      <w:divsChild>
                                        <w:div w:id="882329535">
                                          <w:marLeft w:val="0"/>
                                          <w:marRight w:val="0"/>
                                          <w:marTop w:val="0"/>
                                          <w:marBottom w:val="0"/>
                                          <w:divBdr>
                                            <w:top w:val="none" w:sz="0" w:space="0" w:color="auto"/>
                                            <w:left w:val="none" w:sz="0" w:space="0" w:color="auto"/>
                                            <w:bottom w:val="none" w:sz="0" w:space="0" w:color="auto"/>
                                            <w:right w:val="none" w:sz="0" w:space="0" w:color="auto"/>
                                          </w:divBdr>
                                          <w:divsChild>
                                            <w:div w:id="1192037511">
                                              <w:marLeft w:val="0"/>
                                              <w:marRight w:val="0"/>
                                              <w:marTop w:val="0"/>
                                              <w:marBottom w:val="0"/>
                                              <w:divBdr>
                                                <w:top w:val="none" w:sz="0" w:space="0" w:color="auto"/>
                                                <w:left w:val="none" w:sz="0" w:space="0" w:color="auto"/>
                                                <w:bottom w:val="none" w:sz="0" w:space="0" w:color="auto"/>
                                                <w:right w:val="none" w:sz="0" w:space="0" w:color="auto"/>
                                              </w:divBdr>
                                              <w:divsChild>
                                                <w:div w:id="1215847342">
                                                  <w:marLeft w:val="0"/>
                                                  <w:marRight w:val="0"/>
                                                  <w:marTop w:val="0"/>
                                                  <w:marBottom w:val="0"/>
                                                  <w:divBdr>
                                                    <w:top w:val="none" w:sz="0" w:space="0" w:color="auto"/>
                                                    <w:left w:val="none" w:sz="0" w:space="0" w:color="auto"/>
                                                    <w:bottom w:val="none" w:sz="0" w:space="0" w:color="auto"/>
                                                    <w:right w:val="none" w:sz="0" w:space="0" w:color="auto"/>
                                                  </w:divBdr>
                                                  <w:divsChild>
                                                    <w:div w:id="611933549">
                                                      <w:marLeft w:val="0"/>
                                                      <w:marRight w:val="0"/>
                                                      <w:marTop w:val="0"/>
                                                      <w:marBottom w:val="0"/>
                                                      <w:divBdr>
                                                        <w:top w:val="none" w:sz="0" w:space="0" w:color="auto"/>
                                                        <w:left w:val="none" w:sz="0" w:space="0" w:color="auto"/>
                                                        <w:bottom w:val="none" w:sz="0" w:space="0" w:color="auto"/>
                                                        <w:right w:val="none" w:sz="0" w:space="0" w:color="auto"/>
                                                      </w:divBdr>
                                                      <w:divsChild>
                                                        <w:div w:id="445586759">
                                                          <w:marLeft w:val="0"/>
                                                          <w:marRight w:val="0"/>
                                                          <w:marTop w:val="0"/>
                                                          <w:marBottom w:val="0"/>
                                                          <w:divBdr>
                                                            <w:top w:val="none" w:sz="0" w:space="0" w:color="auto"/>
                                                            <w:left w:val="none" w:sz="0" w:space="0" w:color="auto"/>
                                                            <w:bottom w:val="none" w:sz="0" w:space="0" w:color="auto"/>
                                                            <w:right w:val="none" w:sz="0" w:space="0" w:color="auto"/>
                                                          </w:divBdr>
                                                        </w:div>
                                                        <w:div w:id="266811393">
                                                          <w:marLeft w:val="0"/>
                                                          <w:marRight w:val="0"/>
                                                          <w:marTop w:val="0"/>
                                                          <w:marBottom w:val="0"/>
                                                          <w:divBdr>
                                                            <w:top w:val="none" w:sz="0" w:space="0" w:color="auto"/>
                                                            <w:left w:val="none" w:sz="0" w:space="0" w:color="auto"/>
                                                            <w:bottom w:val="none" w:sz="0" w:space="0" w:color="auto"/>
                                                            <w:right w:val="none" w:sz="0" w:space="0" w:color="auto"/>
                                                          </w:divBdr>
                                                          <w:divsChild>
                                                            <w:div w:id="1851944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080308">
      <w:bodyDiv w:val="1"/>
      <w:marLeft w:val="0"/>
      <w:marRight w:val="0"/>
      <w:marTop w:val="0"/>
      <w:marBottom w:val="0"/>
      <w:divBdr>
        <w:top w:val="none" w:sz="0" w:space="0" w:color="auto"/>
        <w:left w:val="none" w:sz="0" w:space="0" w:color="auto"/>
        <w:bottom w:val="none" w:sz="0" w:space="0" w:color="auto"/>
        <w:right w:val="none" w:sz="0" w:space="0" w:color="auto"/>
      </w:divBdr>
      <w:divsChild>
        <w:div w:id="571307594">
          <w:marLeft w:val="0"/>
          <w:marRight w:val="0"/>
          <w:marTop w:val="0"/>
          <w:marBottom w:val="0"/>
          <w:divBdr>
            <w:top w:val="none" w:sz="0" w:space="0" w:color="auto"/>
            <w:left w:val="none" w:sz="0" w:space="0" w:color="auto"/>
            <w:bottom w:val="none" w:sz="0" w:space="0" w:color="auto"/>
            <w:right w:val="none" w:sz="0" w:space="0" w:color="auto"/>
          </w:divBdr>
          <w:divsChild>
            <w:div w:id="1842232976">
              <w:marLeft w:val="0"/>
              <w:marRight w:val="0"/>
              <w:marTop w:val="0"/>
              <w:marBottom w:val="0"/>
              <w:divBdr>
                <w:top w:val="none" w:sz="0" w:space="0" w:color="auto"/>
                <w:left w:val="none" w:sz="0" w:space="0" w:color="auto"/>
                <w:bottom w:val="none" w:sz="0" w:space="0" w:color="auto"/>
                <w:right w:val="none" w:sz="0" w:space="0" w:color="auto"/>
              </w:divBdr>
              <w:divsChild>
                <w:div w:id="710616333">
                  <w:marLeft w:val="0"/>
                  <w:marRight w:val="0"/>
                  <w:marTop w:val="0"/>
                  <w:marBottom w:val="0"/>
                  <w:divBdr>
                    <w:top w:val="none" w:sz="0" w:space="0" w:color="auto"/>
                    <w:left w:val="none" w:sz="0" w:space="0" w:color="auto"/>
                    <w:bottom w:val="none" w:sz="0" w:space="0" w:color="auto"/>
                    <w:right w:val="none" w:sz="0" w:space="0" w:color="auto"/>
                  </w:divBdr>
                  <w:divsChild>
                    <w:div w:id="434443089">
                      <w:marLeft w:val="0"/>
                      <w:marRight w:val="0"/>
                      <w:marTop w:val="0"/>
                      <w:marBottom w:val="0"/>
                      <w:divBdr>
                        <w:top w:val="none" w:sz="0" w:space="0" w:color="auto"/>
                        <w:left w:val="none" w:sz="0" w:space="0" w:color="auto"/>
                        <w:bottom w:val="none" w:sz="0" w:space="0" w:color="auto"/>
                        <w:right w:val="none" w:sz="0" w:space="0" w:color="auto"/>
                      </w:divBdr>
                      <w:divsChild>
                        <w:div w:id="1675913751">
                          <w:marLeft w:val="0"/>
                          <w:marRight w:val="0"/>
                          <w:marTop w:val="0"/>
                          <w:marBottom w:val="0"/>
                          <w:divBdr>
                            <w:top w:val="none" w:sz="0" w:space="0" w:color="auto"/>
                            <w:left w:val="none" w:sz="0" w:space="0" w:color="auto"/>
                            <w:bottom w:val="none" w:sz="0" w:space="0" w:color="auto"/>
                            <w:right w:val="none" w:sz="0" w:space="0" w:color="auto"/>
                          </w:divBdr>
                          <w:divsChild>
                            <w:div w:id="632491235">
                              <w:marLeft w:val="0"/>
                              <w:marRight w:val="0"/>
                              <w:marTop w:val="0"/>
                              <w:marBottom w:val="0"/>
                              <w:divBdr>
                                <w:top w:val="none" w:sz="0" w:space="0" w:color="auto"/>
                                <w:left w:val="none" w:sz="0" w:space="0" w:color="auto"/>
                                <w:bottom w:val="none" w:sz="0" w:space="0" w:color="auto"/>
                                <w:right w:val="none" w:sz="0" w:space="0" w:color="auto"/>
                              </w:divBdr>
                              <w:divsChild>
                                <w:div w:id="416830751">
                                  <w:marLeft w:val="0"/>
                                  <w:marRight w:val="0"/>
                                  <w:marTop w:val="0"/>
                                  <w:marBottom w:val="0"/>
                                  <w:divBdr>
                                    <w:top w:val="none" w:sz="0" w:space="0" w:color="auto"/>
                                    <w:left w:val="none" w:sz="0" w:space="0" w:color="auto"/>
                                    <w:bottom w:val="none" w:sz="0" w:space="0" w:color="auto"/>
                                    <w:right w:val="none" w:sz="0" w:space="0" w:color="auto"/>
                                  </w:divBdr>
                                  <w:divsChild>
                                    <w:div w:id="1866824690">
                                      <w:marLeft w:val="0"/>
                                      <w:marRight w:val="0"/>
                                      <w:marTop w:val="0"/>
                                      <w:marBottom w:val="0"/>
                                      <w:divBdr>
                                        <w:top w:val="none" w:sz="0" w:space="0" w:color="auto"/>
                                        <w:left w:val="none" w:sz="0" w:space="0" w:color="auto"/>
                                        <w:bottom w:val="none" w:sz="0" w:space="0" w:color="auto"/>
                                        <w:right w:val="none" w:sz="0" w:space="0" w:color="auto"/>
                                      </w:divBdr>
                                      <w:divsChild>
                                        <w:div w:id="1858077606">
                                          <w:marLeft w:val="0"/>
                                          <w:marRight w:val="0"/>
                                          <w:marTop w:val="0"/>
                                          <w:marBottom w:val="0"/>
                                          <w:divBdr>
                                            <w:top w:val="none" w:sz="0" w:space="0" w:color="auto"/>
                                            <w:left w:val="none" w:sz="0" w:space="0" w:color="auto"/>
                                            <w:bottom w:val="none" w:sz="0" w:space="0" w:color="auto"/>
                                            <w:right w:val="none" w:sz="0" w:space="0" w:color="auto"/>
                                          </w:divBdr>
                                        </w:div>
                                        <w:div w:id="462501951">
                                          <w:marLeft w:val="0"/>
                                          <w:marRight w:val="0"/>
                                          <w:marTop w:val="0"/>
                                          <w:marBottom w:val="0"/>
                                          <w:divBdr>
                                            <w:top w:val="none" w:sz="0" w:space="0" w:color="auto"/>
                                            <w:left w:val="none" w:sz="0" w:space="0" w:color="auto"/>
                                            <w:bottom w:val="none" w:sz="0" w:space="0" w:color="auto"/>
                                            <w:right w:val="none" w:sz="0" w:space="0" w:color="auto"/>
                                          </w:divBdr>
                                          <w:divsChild>
                                            <w:div w:id="56887925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316113">
      <w:bodyDiv w:val="1"/>
      <w:marLeft w:val="0"/>
      <w:marRight w:val="0"/>
      <w:marTop w:val="0"/>
      <w:marBottom w:val="0"/>
      <w:divBdr>
        <w:top w:val="none" w:sz="0" w:space="0" w:color="auto"/>
        <w:left w:val="none" w:sz="0" w:space="0" w:color="auto"/>
        <w:bottom w:val="none" w:sz="0" w:space="0" w:color="auto"/>
        <w:right w:val="none" w:sz="0" w:space="0" w:color="auto"/>
      </w:divBdr>
      <w:divsChild>
        <w:div w:id="532574420">
          <w:marLeft w:val="0"/>
          <w:marRight w:val="0"/>
          <w:marTop w:val="0"/>
          <w:marBottom w:val="0"/>
          <w:divBdr>
            <w:top w:val="none" w:sz="0" w:space="0" w:color="auto"/>
            <w:left w:val="none" w:sz="0" w:space="0" w:color="auto"/>
            <w:bottom w:val="none" w:sz="0" w:space="0" w:color="auto"/>
            <w:right w:val="none" w:sz="0" w:space="0" w:color="auto"/>
          </w:divBdr>
          <w:divsChild>
            <w:div w:id="1877691745">
              <w:marLeft w:val="0"/>
              <w:marRight w:val="0"/>
              <w:marTop w:val="0"/>
              <w:marBottom w:val="0"/>
              <w:divBdr>
                <w:top w:val="none" w:sz="0" w:space="0" w:color="auto"/>
                <w:left w:val="none" w:sz="0" w:space="0" w:color="auto"/>
                <w:bottom w:val="none" w:sz="0" w:space="0" w:color="auto"/>
                <w:right w:val="none" w:sz="0" w:space="0" w:color="auto"/>
              </w:divBdr>
              <w:divsChild>
                <w:div w:id="541524965">
                  <w:marLeft w:val="0"/>
                  <w:marRight w:val="0"/>
                  <w:marTop w:val="0"/>
                  <w:marBottom w:val="0"/>
                  <w:divBdr>
                    <w:top w:val="none" w:sz="0" w:space="0" w:color="auto"/>
                    <w:left w:val="none" w:sz="0" w:space="0" w:color="auto"/>
                    <w:bottom w:val="none" w:sz="0" w:space="0" w:color="auto"/>
                    <w:right w:val="none" w:sz="0" w:space="0" w:color="auto"/>
                  </w:divBdr>
                  <w:divsChild>
                    <w:div w:id="1320697297">
                      <w:marLeft w:val="0"/>
                      <w:marRight w:val="0"/>
                      <w:marTop w:val="0"/>
                      <w:marBottom w:val="0"/>
                      <w:divBdr>
                        <w:top w:val="none" w:sz="0" w:space="0" w:color="auto"/>
                        <w:left w:val="none" w:sz="0" w:space="0" w:color="auto"/>
                        <w:bottom w:val="none" w:sz="0" w:space="0" w:color="auto"/>
                        <w:right w:val="none" w:sz="0" w:space="0" w:color="auto"/>
                      </w:divBdr>
                      <w:divsChild>
                        <w:div w:id="1651130955">
                          <w:marLeft w:val="0"/>
                          <w:marRight w:val="0"/>
                          <w:marTop w:val="0"/>
                          <w:marBottom w:val="0"/>
                          <w:divBdr>
                            <w:top w:val="none" w:sz="0" w:space="0" w:color="auto"/>
                            <w:left w:val="none" w:sz="0" w:space="0" w:color="auto"/>
                            <w:bottom w:val="none" w:sz="0" w:space="0" w:color="auto"/>
                            <w:right w:val="none" w:sz="0" w:space="0" w:color="auto"/>
                          </w:divBdr>
                          <w:divsChild>
                            <w:div w:id="123350812">
                              <w:marLeft w:val="0"/>
                              <w:marRight w:val="0"/>
                              <w:marTop w:val="0"/>
                              <w:marBottom w:val="0"/>
                              <w:divBdr>
                                <w:top w:val="none" w:sz="0" w:space="0" w:color="auto"/>
                                <w:left w:val="none" w:sz="0" w:space="0" w:color="auto"/>
                                <w:bottom w:val="none" w:sz="0" w:space="0" w:color="auto"/>
                                <w:right w:val="none" w:sz="0" w:space="0" w:color="auto"/>
                              </w:divBdr>
                              <w:divsChild>
                                <w:div w:id="570190485">
                                  <w:marLeft w:val="0"/>
                                  <w:marRight w:val="0"/>
                                  <w:marTop w:val="0"/>
                                  <w:marBottom w:val="0"/>
                                  <w:divBdr>
                                    <w:top w:val="none" w:sz="0" w:space="0" w:color="auto"/>
                                    <w:left w:val="none" w:sz="0" w:space="0" w:color="auto"/>
                                    <w:bottom w:val="none" w:sz="0" w:space="0" w:color="auto"/>
                                    <w:right w:val="none" w:sz="0" w:space="0" w:color="auto"/>
                                  </w:divBdr>
                                  <w:divsChild>
                                    <w:div w:id="1837914039">
                                      <w:marLeft w:val="0"/>
                                      <w:marRight w:val="0"/>
                                      <w:marTop w:val="0"/>
                                      <w:marBottom w:val="0"/>
                                      <w:divBdr>
                                        <w:top w:val="none" w:sz="0" w:space="0" w:color="auto"/>
                                        <w:left w:val="none" w:sz="0" w:space="0" w:color="auto"/>
                                        <w:bottom w:val="none" w:sz="0" w:space="0" w:color="auto"/>
                                        <w:right w:val="none" w:sz="0" w:space="0" w:color="auto"/>
                                      </w:divBdr>
                                      <w:divsChild>
                                        <w:div w:id="670177037">
                                          <w:marLeft w:val="0"/>
                                          <w:marRight w:val="0"/>
                                          <w:marTop w:val="0"/>
                                          <w:marBottom w:val="0"/>
                                          <w:divBdr>
                                            <w:top w:val="none" w:sz="0" w:space="0" w:color="auto"/>
                                            <w:left w:val="none" w:sz="0" w:space="0" w:color="auto"/>
                                            <w:bottom w:val="none" w:sz="0" w:space="0" w:color="auto"/>
                                            <w:right w:val="none" w:sz="0" w:space="0" w:color="auto"/>
                                          </w:divBdr>
                                          <w:divsChild>
                                            <w:div w:id="1632789138">
                                              <w:marLeft w:val="0"/>
                                              <w:marRight w:val="0"/>
                                              <w:marTop w:val="0"/>
                                              <w:marBottom w:val="0"/>
                                              <w:divBdr>
                                                <w:top w:val="none" w:sz="0" w:space="0" w:color="auto"/>
                                                <w:left w:val="none" w:sz="0" w:space="0" w:color="auto"/>
                                                <w:bottom w:val="none" w:sz="0" w:space="0" w:color="auto"/>
                                                <w:right w:val="none" w:sz="0" w:space="0" w:color="auto"/>
                                              </w:divBdr>
                                              <w:divsChild>
                                                <w:div w:id="994380299">
                                                  <w:marLeft w:val="0"/>
                                                  <w:marRight w:val="0"/>
                                                  <w:marTop w:val="0"/>
                                                  <w:marBottom w:val="0"/>
                                                  <w:divBdr>
                                                    <w:top w:val="none" w:sz="0" w:space="0" w:color="auto"/>
                                                    <w:left w:val="none" w:sz="0" w:space="0" w:color="auto"/>
                                                    <w:bottom w:val="none" w:sz="0" w:space="0" w:color="auto"/>
                                                    <w:right w:val="none" w:sz="0" w:space="0" w:color="auto"/>
                                                  </w:divBdr>
                                                  <w:divsChild>
                                                    <w:div w:id="1534925627">
                                                      <w:marLeft w:val="0"/>
                                                      <w:marRight w:val="0"/>
                                                      <w:marTop w:val="0"/>
                                                      <w:marBottom w:val="0"/>
                                                      <w:divBdr>
                                                        <w:top w:val="none" w:sz="0" w:space="0" w:color="auto"/>
                                                        <w:left w:val="none" w:sz="0" w:space="0" w:color="auto"/>
                                                        <w:bottom w:val="none" w:sz="0" w:space="0" w:color="auto"/>
                                                        <w:right w:val="none" w:sz="0" w:space="0" w:color="auto"/>
                                                      </w:divBdr>
                                                      <w:divsChild>
                                                        <w:div w:id="15614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8704889">
      <w:bodyDiv w:val="1"/>
      <w:marLeft w:val="0"/>
      <w:marRight w:val="0"/>
      <w:marTop w:val="0"/>
      <w:marBottom w:val="0"/>
      <w:divBdr>
        <w:top w:val="none" w:sz="0" w:space="0" w:color="auto"/>
        <w:left w:val="none" w:sz="0" w:space="0" w:color="auto"/>
        <w:bottom w:val="none" w:sz="0" w:space="0" w:color="auto"/>
        <w:right w:val="none" w:sz="0" w:space="0" w:color="auto"/>
      </w:divBdr>
      <w:divsChild>
        <w:div w:id="2129423051">
          <w:marLeft w:val="0"/>
          <w:marRight w:val="0"/>
          <w:marTop w:val="0"/>
          <w:marBottom w:val="0"/>
          <w:divBdr>
            <w:top w:val="single" w:sz="2" w:space="0" w:color="AAAAAA"/>
            <w:left w:val="single" w:sz="6" w:space="8" w:color="AAAAAA"/>
            <w:bottom w:val="single" w:sz="2" w:space="0" w:color="AAAAAA"/>
            <w:right w:val="single" w:sz="6" w:space="8" w:color="AAAAAA"/>
          </w:divBdr>
          <w:divsChild>
            <w:div w:id="1340738574">
              <w:marLeft w:val="0"/>
              <w:marRight w:val="0"/>
              <w:marTop w:val="0"/>
              <w:marBottom w:val="0"/>
              <w:divBdr>
                <w:top w:val="none" w:sz="0" w:space="0" w:color="auto"/>
                <w:left w:val="none" w:sz="0" w:space="0" w:color="auto"/>
                <w:bottom w:val="none" w:sz="0" w:space="0" w:color="auto"/>
                <w:right w:val="none" w:sz="0" w:space="0" w:color="auto"/>
              </w:divBdr>
              <w:divsChild>
                <w:div w:id="1779712557">
                  <w:marLeft w:val="0"/>
                  <w:marRight w:val="0"/>
                  <w:marTop w:val="0"/>
                  <w:marBottom w:val="0"/>
                  <w:divBdr>
                    <w:top w:val="none" w:sz="0" w:space="0" w:color="auto"/>
                    <w:left w:val="none" w:sz="0" w:space="0" w:color="auto"/>
                    <w:bottom w:val="none" w:sz="0" w:space="0" w:color="auto"/>
                    <w:right w:val="none" w:sz="0" w:space="0" w:color="auto"/>
                  </w:divBdr>
                  <w:divsChild>
                    <w:div w:id="1297494142">
                      <w:marLeft w:val="0"/>
                      <w:marRight w:val="2550"/>
                      <w:marTop w:val="0"/>
                      <w:marBottom w:val="48"/>
                      <w:divBdr>
                        <w:top w:val="none" w:sz="0" w:space="0" w:color="auto"/>
                        <w:left w:val="none" w:sz="0" w:space="0" w:color="auto"/>
                        <w:bottom w:val="none" w:sz="0" w:space="0" w:color="auto"/>
                        <w:right w:val="none" w:sz="0" w:space="0" w:color="auto"/>
                      </w:divBdr>
                      <w:divsChild>
                        <w:div w:id="8118261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9365038">
      <w:bodyDiv w:val="1"/>
      <w:marLeft w:val="0"/>
      <w:marRight w:val="0"/>
      <w:marTop w:val="0"/>
      <w:marBottom w:val="0"/>
      <w:divBdr>
        <w:top w:val="none" w:sz="0" w:space="0" w:color="auto"/>
        <w:left w:val="none" w:sz="0" w:space="0" w:color="auto"/>
        <w:bottom w:val="none" w:sz="0" w:space="0" w:color="auto"/>
        <w:right w:val="none" w:sz="0" w:space="0" w:color="auto"/>
      </w:divBdr>
      <w:divsChild>
        <w:div w:id="750732346">
          <w:marLeft w:val="0"/>
          <w:marRight w:val="0"/>
          <w:marTop w:val="150"/>
          <w:marBottom w:val="0"/>
          <w:divBdr>
            <w:top w:val="none" w:sz="0" w:space="0" w:color="auto"/>
            <w:left w:val="none" w:sz="0" w:space="0" w:color="auto"/>
            <w:bottom w:val="none" w:sz="0" w:space="0" w:color="auto"/>
            <w:right w:val="none" w:sz="0" w:space="0" w:color="auto"/>
          </w:divBdr>
          <w:divsChild>
            <w:div w:id="1087963921">
              <w:marLeft w:val="2"/>
              <w:marRight w:val="2"/>
              <w:marTop w:val="0"/>
              <w:marBottom w:val="0"/>
              <w:divBdr>
                <w:top w:val="none" w:sz="0" w:space="0" w:color="auto"/>
                <w:left w:val="none" w:sz="0" w:space="0" w:color="auto"/>
                <w:bottom w:val="none" w:sz="0" w:space="0" w:color="auto"/>
                <w:right w:val="none" w:sz="0" w:space="0" w:color="auto"/>
              </w:divBdr>
              <w:divsChild>
                <w:div w:id="845554856">
                  <w:marLeft w:val="0"/>
                  <w:marRight w:val="0"/>
                  <w:marTop w:val="0"/>
                  <w:marBottom w:val="0"/>
                  <w:divBdr>
                    <w:top w:val="none" w:sz="0" w:space="0" w:color="auto"/>
                    <w:left w:val="none" w:sz="0" w:space="0" w:color="auto"/>
                    <w:bottom w:val="none" w:sz="0" w:space="0" w:color="auto"/>
                    <w:right w:val="none" w:sz="0" w:space="0" w:color="auto"/>
                  </w:divBdr>
                  <w:divsChild>
                    <w:div w:id="673383449">
                      <w:marLeft w:val="0"/>
                      <w:marRight w:val="0"/>
                      <w:marTop w:val="0"/>
                      <w:marBottom w:val="0"/>
                      <w:divBdr>
                        <w:top w:val="none" w:sz="0" w:space="0" w:color="auto"/>
                        <w:left w:val="none" w:sz="0" w:space="0" w:color="auto"/>
                        <w:bottom w:val="none" w:sz="0" w:space="0" w:color="auto"/>
                        <w:right w:val="none" w:sz="0" w:space="0" w:color="auto"/>
                      </w:divBdr>
                      <w:divsChild>
                        <w:div w:id="237180227">
                          <w:marLeft w:val="0"/>
                          <w:marRight w:val="0"/>
                          <w:marTop w:val="0"/>
                          <w:marBottom w:val="0"/>
                          <w:divBdr>
                            <w:top w:val="none" w:sz="0" w:space="0" w:color="auto"/>
                            <w:left w:val="none" w:sz="0" w:space="0" w:color="auto"/>
                            <w:bottom w:val="none" w:sz="0" w:space="0" w:color="auto"/>
                            <w:right w:val="none" w:sz="0" w:space="0" w:color="auto"/>
                          </w:divBdr>
                          <w:divsChild>
                            <w:div w:id="1642808946">
                              <w:marLeft w:val="0"/>
                              <w:marRight w:val="0"/>
                              <w:marTop w:val="0"/>
                              <w:marBottom w:val="0"/>
                              <w:divBdr>
                                <w:top w:val="none" w:sz="0" w:space="0" w:color="auto"/>
                                <w:left w:val="none" w:sz="0" w:space="0" w:color="auto"/>
                                <w:bottom w:val="none" w:sz="0" w:space="0" w:color="auto"/>
                                <w:right w:val="none" w:sz="0" w:space="0" w:color="auto"/>
                              </w:divBdr>
                              <w:divsChild>
                                <w:div w:id="1303341740">
                                  <w:marLeft w:val="0"/>
                                  <w:marRight w:val="0"/>
                                  <w:marTop w:val="0"/>
                                  <w:marBottom w:val="0"/>
                                  <w:divBdr>
                                    <w:top w:val="none" w:sz="0" w:space="0" w:color="auto"/>
                                    <w:left w:val="none" w:sz="0" w:space="0" w:color="auto"/>
                                    <w:bottom w:val="none" w:sz="0" w:space="0" w:color="auto"/>
                                    <w:right w:val="none" w:sz="0" w:space="0" w:color="auto"/>
                                  </w:divBdr>
                                  <w:divsChild>
                                    <w:div w:id="106706149">
                                      <w:marLeft w:val="0"/>
                                      <w:marRight w:val="0"/>
                                      <w:marTop w:val="0"/>
                                      <w:marBottom w:val="0"/>
                                      <w:divBdr>
                                        <w:top w:val="none" w:sz="0" w:space="0" w:color="auto"/>
                                        <w:left w:val="none" w:sz="0" w:space="0" w:color="auto"/>
                                        <w:bottom w:val="none" w:sz="0" w:space="0" w:color="auto"/>
                                        <w:right w:val="none" w:sz="0" w:space="0" w:color="auto"/>
                                      </w:divBdr>
                                      <w:divsChild>
                                        <w:div w:id="699553898">
                                          <w:marLeft w:val="0"/>
                                          <w:marRight w:val="0"/>
                                          <w:marTop w:val="0"/>
                                          <w:marBottom w:val="0"/>
                                          <w:divBdr>
                                            <w:top w:val="none" w:sz="0" w:space="0" w:color="auto"/>
                                            <w:left w:val="none" w:sz="0" w:space="0" w:color="auto"/>
                                            <w:bottom w:val="none" w:sz="0" w:space="0" w:color="auto"/>
                                            <w:right w:val="none" w:sz="0" w:space="0" w:color="auto"/>
                                          </w:divBdr>
                                          <w:divsChild>
                                            <w:div w:id="1587767978">
                                              <w:marLeft w:val="0"/>
                                              <w:marRight w:val="0"/>
                                              <w:marTop w:val="0"/>
                                              <w:marBottom w:val="0"/>
                                              <w:divBdr>
                                                <w:top w:val="none" w:sz="0" w:space="0" w:color="auto"/>
                                                <w:left w:val="none" w:sz="0" w:space="0" w:color="auto"/>
                                                <w:bottom w:val="none" w:sz="0" w:space="0" w:color="auto"/>
                                                <w:right w:val="none" w:sz="0" w:space="0" w:color="auto"/>
                                              </w:divBdr>
                                              <w:divsChild>
                                                <w:div w:id="872036352">
                                                  <w:marLeft w:val="0"/>
                                                  <w:marRight w:val="0"/>
                                                  <w:marTop w:val="0"/>
                                                  <w:marBottom w:val="0"/>
                                                  <w:divBdr>
                                                    <w:top w:val="none" w:sz="0" w:space="0" w:color="auto"/>
                                                    <w:left w:val="none" w:sz="0" w:space="0" w:color="auto"/>
                                                    <w:bottom w:val="none" w:sz="0" w:space="0" w:color="auto"/>
                                                    <w:right w:val="none" w:sz="0" w:space="0" w:color="auto"/>
                                                  </w:divBdr>
                                                </w:div>
                                              </w:divsChild>
                                            </w:div>
                                            <w:div w:id="1907718227">
                                              <w:marLeft w:val="0"/>
                                              <w:marRight w:val="0"/>
                                              <w:marTop w:val="0"/>
                                              <w:marBottom w:val="0"/>
                                              <w:divBdr>
                                                <w:top w:val="none" w:sz="0" w:space="0" w:color="auto"/>
                                                <w:left w:val="none" w:sz="0" w:space="0" w:color="auto"/>
                                                <w:bottom w:val="none" w:sz="0" w:space="0" w:color="auto"/>
                                                <w:right w:val="none" w:sz="0" w:space="0" w:color="auto"/>
                                              </w:divBdr>
                                              <w:divsChild>
                                                <w:div w:id="429006950">
                                                  <w:marLeft w:val="0"/>
                                                  <w:marRight w:val="0"/>
                                                  <w:marTop w:val="0"/>
                                                  <w:marBottom w:val="0"/>
                                                  <w:divBdr>
                                                    <w:top w:val="none" w:sz="0" w:space="0" w:color="auto"/>
                                                    <w:left w:val="none" w:sz="0" w:space="0" w:color="auto"/>
                                                    <w:bottom w:val="none" w:sz="0" w:space="0" w:color="auto"/>
                                                    <w:right w:val="none" w:sz="0" w:space="0" w:color="auto"/>
                                                  </w:divBdr>
                                                </w:div>
                                              </w:divsChild>
                                            </w:div>
                                            <w:div w:id="1292328148">
                                              <w:marLeft w:val="0"/>
                                              <w:marRight w:val="0"/>
                                              <w:marTop w:val="0"/>
                                              <w:marBottom w:val="0"/>
                                              <w:divBdr>
                                                <w:top w:val="none" w:sz="0" w:space="0" w:color="auto"/>
                                                <w:left w:val="none" w:sz="0" w:space="0" w:color="auto"/>
                                                <w:bottom w:val="none" w:sz="0" w:space="0" w:color="auto"/>
                                                <w:right w:val="none" w:sz="0" w:space="0" w:color="auto"/>
                                              </w:divBdr>
                                              <w:divsChild>
                                                <w:div w:id="907765846">
                                                  <w:marLeft w:val="0"/>
                                                  <w:marRight w:val="0"/>
                                                  <w:marTop w:val="0"/>
                                                  <w:marBottom w:val="0"/>
                                                  <w:divBdr>
                                                    <w:top w:val="none" w:sz="0" w:space="0" w:color="auto"/>
                                                    <w:left w:val="none" w:sz="0" w:space="0" w:color="auto"/>
                                                    <w:bottom w:val="none" w:sz="0" w:space="0" w:color="auto"/>
                                                    <w:right w:val="none" w:sz="0" w:space="0" w:color="auto"/>
                                                  </w:divBdr>
                                                </w:div>
                                              </w:divsChild>
                                            </w:div>
                                            <w:div w:id="264004533">
                                              <w:marLeft w:val="0"/>
                                              <w:marRight w:val="0"/>
                                              <w:marTop w:val="0"/>
                                              <w:marBottom w:val="0"/>
                                              <w:divBdr>
                                                <w:top w:val="none" w:sz="0" w:space="0" w:color="auto"/>
                                                <w:left w:val="none" w:sz="0" w:space="0" w:color="auto"/>
                                                <w:bottom w:val="none" w:sz="0" w:space="0" w:color="auto"/>
                                                <w:right w:val="none" w:sz="0" w:space="0" w:color="auto"/>
                                              </w:divBdr>
                                              <w:divsChild>
                                                <w:div w:id="17021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52781">
      <w:bodyDiv w:val="1"/>
      <w:marLeft w:val="0"/>
      <w:marRight w:val="0"/>
      <w:marTop w:val="0"/>
      <w:marBottom w:val="0"/>
      <w:divBdr>
        <w:top w:val="none" w:sz="0" w:space="0" w:color="auto"/>
        <w:left w:val="none" w:sz="0" w:space="0" w:color="auto"/>
        <w:bottom w:val="none" w:sz="0" w:space="0" w:color="auto"/>
        <w:right w:val="none" w:sz="0" w:space="0" w:color="auto"/>
      </w:divBdr>
      <w:divsChild>
        <w:div w:id="1254391594">
          <w:marLeft w:val="0"/>
          <w:marRight w:val="0"/>
          <w:marTop w:val="0"/>
          <w:marBottom w:val="0"/>
          <w:divBdr>
            <w:top w:val="single" w:sz="4" w:space="0" w:color="0E477A"/>
            <w:left w:val="single" w:sz="4" w:space="0" w:color="0E477A"/>
            <w:bottom w:val="single" w:sz="4" w:space="0" w:color="0E477A"/>
            <w:right w:val="single" w:sz="4" w:space="0" w:color="0E477A"/>
          </w:divBdr>
          <w:divsChild>
            <w:div w:id="721372740">
              <w:marLeft w:val="2442"/>
              <w:marRight w:val="0"/>
              <w:marTop w:val="0"/>
              <w:marBottom w:val="0"/>
              <w:divBdr>
                <w:top w:val="none" w:sz="0" w:space="0" w:color="auto"/>
                <w:left w:val="none" w:sz="0" w:space="0" w:color="auto"/>
                <w:bottom w:val="none" w:sz="0" w:space="0" w:color="auto"/>
                <w:right w:val="none" w:sz="0" w:space="0" w:color="auto"/>
              </w:divBdr>
              <w:divsChild>
                <w:div w:id="1685011241">
                  <w:marLeft w:val="0"/>
                  <w:marRight w:val="0"/>
                  <w:marTop w:val="0"/>
                  <w:marBottom w:val="0"/>
                  <w:divBdr>
                    <w:top w:val="none" w:sz="0" w:space="0" w:color="auto"/>
                    <w:left w:val="none" w:sz="0" w:space="0" w:color="auto"/>
                    <w:bottom w:val="none" w:sz="0" w:space="0" w:color="auto"/>
                    <w:right w:val="none" w:sz="0" w:space="0" w:color="auto"/>
                  </w:divBdr>
                  <w:divsChild>
                    <w:div w:id="1471939864">
                      <w:marLeft w:val="0"/>
                      <w:marRight w:val="125"/>
                      <w:marTop w:val="0"/>
                      <w:marBottom w:val="0"/>
                      <w:divBdr>
                        <w:top w:val="single" w:sz="4" w:space="0" w:color="CCCCCC"/>
                        <w:left w:val="single" w:sz="4" w:space="6" w:color="CCCCCC"/>
                        <w:bottom w:val="single" w:sz="4" w:space="6" w:color="CCCCCC"/>
                        <w:right w:val="single" w:sz="4" w:space="6" w:color="CCCCCC"/>
                      </w:divBdr>
                      <w:divsChild>
                        <w:div w:id="971985197">
                          <w:marLeft w:val="0"/>
                          <w:marRight w:val="0"/>
                          <w:marTop w:val="0"/>
                          <w:marBottom w:val="0"/>
                          <w:divBdr>
                            <w:top w:val="none" w:sz="0" w:space="0" w:color="auto"/>
                            <w:left w:val="none" w:sz="0" w:space="0" w:color="auto"/>
                            <w:bottom w:val="none" w:sz="0" w:space="0" w:color="auto"/>
                            <w:right w:val="none" w:sz="0" w:space="0" w:color="auto"/>
                          </w:divBdr>
                        </w:div>
                        <w:div w:id="1512836345">
                          <w:marLeft w:val="0"/>
                          <w:marRight w:val="0"/>
                          <w:marTop w:val="0"/>
                          <w:marBottom w:val="0"/>
                          <w:divBdr>
                            <w:top w:val="none" w:sz="0" w:space="0" w:color="auto"/>
                            <w:left w:val="none" w:sz="0" w:space="0" w:color="auto"/>
                            <w:bottom w:val="none" w:sz="0" w:space="0" w:color="auto"/>
                            <w:right w:val="none" w:sz="0" w:space="0" w:color="auto"/>
                          </w:divBdr>
                        </w:div>
                        <w:div w:id="1008404467">
                          <w:marLeft w:val="0"/>
                          <w:marRight w:val="0"/>
                          <w:marTop w:val="0"/>
                          <w:marBottom w:val="0"/>
                          <w:divBdr>
                            <w:top w:val="none" w:sz="0" w:space="0" w:color="auto"/>
                            <w:left w:val="none" w:sz="0" w:space="0" w:color="auto"/>
                            <w:bottom w:val="none" w:sz="0" w:space="0" w:color="auto"/>
                            <w:right w:val="none" w:sz="0" w:space="0" w:color="auto"/>
                          </w:divBdr>
                        </w:div>
                        <w:div w:id="2079863468">
                          <w:marLeft w:val="0"/>
                          <w:marRight w:val="0"/>
                          <w:marTop w:val="0"/>
                          <w:marBottom w:val="0"/>
                          <w:divBdr>
                            <w:top w:val="none" w:sz="0" w:space="0" w:color="auto"/>
                            <w:left w:val="none" w:sz="0" w:space="0" w:color="auto"/>
                            <w:bottom w:val="none" w:sz="0" w:space="0" w:color="auto"/>
                            <w:right w:val="none" w:sz="0" w:space="0" w:color="auto"/>
                          </w:divBdr>
                        </w:div>
                        <w:div w:id="233592856">
                          <w:marLeft w:val="0"/>
                          <w:marRight w:val="0"/>
                          <w:marTop w:val="0"/>
                          <w:marBottom w:val="0"/>
                          <w:divBdr>
                            <w:top w:val="none" w:sz="0" w:space="0" w:color="auto"/>
                            <w:left w:val="none" w:sz="0" w:space="0" w:color="auto"/>
                            <w:bottom w:val="none" w:sz="0" w:space="0" w:color="auto"/>
                            <w:right w:val="none" w:sz="0" w:space="0" w:color="auto"/>
                          </w:divBdr>
                        </w:div>
                        <w:div w:id="931354917">
                          <w:marLeft w:val="0"/>
                          <w:marRight w:val="0"/>
                          <w:marTop w:val="0"/>
                          <w:marBottom w:val="0"/>
                          <w:divBdr>
                            <w:top w:val="none" w:sz="0" w:space="0" w:color="auto"/>
                            <w:left w:val="none" w:sz="0" w:space="0" w:color="auto"/>
                            <w:bottom w:val="none" w:sz="0" w:space="0" w:color="auto"/>
                            <w:right w:val="none" w:sz="0" w:space="0" w:color="auto"/>
                          </w:divBdr>
                        </w:div>
                        <w:div w:id="254897932">
                          <w:marLeft w:val="0"/>
                          <w:marRight w:val="0"/>
                          <w:marTop w:val="0"/>
                          <w:marBottom w:val="0"/>
                          <w:divBdr>
                            <w:top w:val="none" w:sz="0" w:space="0" w:color="auto"/>
                            <w:left w:val="none" w:sz="0" w:space="0" w:color="auto"/>
                            <w:bottom w:val="none" w:sz="0" w:space="0" w:color="auto"/>
                            <w:right w:val="none" w:sz="0" w:space="0" w:color="auto"/>
                          </w:divBdr>
                        </w:div>
                        <w:div w:id="1304771363">
                          <w:marLeft w:val="0"/>
                          <w:marRight w:val="0"/>
                          <w:marTop w:val="0"/>
                          <w:marBottom w:val="0"/>
                          <w:divBdr>
                            <w:top w:val="none" w:sz="0" w:space="0" w:color="auto"/>
                            <w:left w:val="none" w:sz="0" w:space="0" w:color="auto"/>
                            <w:bottom w:val="none" w:sz="0" w:space="0" w:color="auto"/>
                            <w:right w:val="none" w:sz="0" w:space="0" w:color="auto"/>
                          </w:divBdr>
                        </w:div>
                        <w:div w:id="1428189083">
                          <w:marLeft w:val="0"/>
                          <w:marRight w:val="0"/>
                          <w:marTop w:val="0"/>
                          <w:marBottom w:val="0"/>
                          <w:divBdr>
                            <w:top w:val="none" w:sz="0" w:space="0" w:color="auto"/>
                            <w:left w:val="none" w:sz="0" w:space="0" w:color="auto"/>
                            <w:bottom w:val="none" w:sz="0" w:space="0" w:color="auto"/>
                            <w:right w:val="none" w:sz="0" w:space="0" w:color="auto"/>
                          </w:divBdr>
                        </w:div>
                        <w:div w:id="7686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08195">
      <w:bodyDiv w:val="1"/>
      <w:marLeft w:val="0"/>
      <w:marRight w:val="0"/>
      <w:marTop w:val="0"/>
      <w:marBottom w:val="0"/>
      <w:divBdr>
        <w:top w:val="none" w:sz="0" w:space="0" w:color="auto"/>
        <w:left w:val="none" w:sz="0" w:space="0" w:color="auto"/>
        <w:bottom w:val="none" w:sz="0" w:space="0" w:color="auto"/>
        <w:right w:val="none" w:sz="0" w:space="0" w:color="auto"/>
      </w:divBdr>
    </w:div>
    <w:div w:id="290743651">
      <w:bodyDiv w:val="1"/>
      <w:marLeft w:val="0"/>
      <w:marRight w:val="0"/>
      <w:marTop w:val="0"/>
      <w:marBottom w:val="0"/>
      <w:divBdr>
        <w:top w:val="none" w:sz="0" w:space="0" w:color="auto"/>
        <w:left w:val="none" w:sz="0" w:space="0" w:color="auto"/>
        <w:bottom w:val="none" w:sz="0" w:space="0" w:color="auto"/>
        <w:right w:val="none" w:sz="0" w:space="0" w:color="auto"/>
      </w:divBdr>
      <w:divsChild>
        <w:div w:id="1532382294">
          <w:marLeft w:val="0"/>
          <w:marRight w:val="0"/>
          <w:marTop w:val="0"/>
          <w:marBottom w:val="0"/>
          <w:divBdr>
            <w:top w:val="none" w:sz="0" w:space="0" w:color="auto"/>
            <w:left w:val="none" w:sz="0" w:space="0" w:color="auto"/>
            <w:bottom w:val="none" w:sz="0" w:space="0" w:color="auto"/>
            <w:right w:val="none" w:sz="0" w:space="0" w:color="auto"/>
          </w:divBdr>
          <w:divsChild>
            <w:div w:id="170294563">
              <w:marLeft w:val="-225"/>
              <w:marRight w:val="-225"/>
              <w:marTop w:val="0"/>
              <w:marBottom w:val="0"/>
              <w:divBdr>
                <w:top w:val="none" w:sz="0" w:space="0" w:color="auto"/>
                <w:left w:val="none" w:sz="0" w:space="0" w:color="auto"/>
                <w:bottom w:val="none" w:sz="0" w:space="0" w:color="auto"/>
                <w:right w:val="none" w:sz="0" w:space="0" w:color="auto"/>
              </w:divBdr>
              <w:divsChild>
                <w:div w:id="350959587">
                  <w:marLeft w:val="0"/>
                  <w:marRight w:val="0"/>
                  <w:marTop w:val="0"/>
                  <w:marBottom w:val="0"/>
                  <w:divBdr>
                    <w:top w:val="none" w:sz="0" w:space="0" w:color="auto"/>
                    <w:left w:val="none" w:sz="0" w:space="0" w:color="auto"/>
                    <w:bottom w:val="none" w:sz="0" w:space="0" w:color="auto"/>
                    <w:right w:val="none" w:sz="0" w:space="0" w:color="auto"/>
                  </w:divBdr>
                  <w:divsChild>
                    <w:div w:id="2037732068">
                      <w:marLeft w:val="0"/>
                      <w:marRight w:val="0"/>
                      <w:marTop w:val="0"/>
                      <w:marBottom w:val="0"/>
                      <w:divBdr>
                        <w:top w:val="none" w:sz="0" w:space="0" w:color="auto"/>
                        <w:left w:val="none" w:sz="0" w:space="0" w:color="auto"/>
                        <w:bottom w:val="none" w:sz="0" w:space="0" w:color="auto"/>
                        <w:right w:val="none" w:sz="0" w:space="0" w:color="auto"/>
                      </w:divBdr>
                      <w:divsChild>
                        <w:div w:id="375551391">
                          <w:marLeft w:val="0"/>
                          <w:marRight w:val="0"/>
                          <w:marTop w:val="0"/>
                          <w:marBottom w:val="0"/>
                          <w:divBdr>
                            <w:top w:val="none" w:sz="0" w:space="0" w:color="auto"/>
                            <w:left w:val="none" w:sz="0" w:space="0" w:color="auto"/>
                            <w:bottom w:val="none" w:sz="0" w:space="0" w:color="auto"/>
                            <w:right w:val="none" w:sz="0" w:space="0" w:color="auto"/>
                          </w:divBdr>
                          <w:divsChild>
                            <w:div w:id="1184516272">
                              <w:marLeft w:val="0"/>
                              <w:marRight w:val="0"/>
                              <w:marTop w:val="0"/>
                              <w:marBottom w:val="0"/>
                              <w:divBdr>
                                <w:top w:val="none" w:sz="0" w:space="0" w:color="auto"/>
                                <w:left w:val="none" w:sz="0" w:space="0" w:color="auto"/>
                                <w:bottom w:val="none" w:sz="0" w:space="0" w:color="auto"/>
                                <w:right w:val="none" w:sz="0" w:space="0" w:color="auto"/>
                              </w:divBdr>
                              <w:divsChild>
                                <w:div w:id="498664754">
                                  <w:marLeft w:val="0"/>
                                  <w:marRight w:val="0"/>
                                  <w:marTop w:val="0"/>
                                  <w:marBottom w:val="0"/>
                                  <w:divBdr>
                                    <w:top w:val="none" w:sz="0" w:space="0" w:color="auto"/>
                                    <w:left w:val="none" w:sz="0" w:space="0" w:color="auto"/>
                                    <w:bottom w:val="none" w:sz="0" w:space="0" w:color="auto"/>
                                    <w:right w:val="none" w:sz="0" w:space="0" w:color="auto"/>
                                  </w:divBdr>
                                  <w:divsChild>
                                    <w:div w:id="102609994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096466">
      <w:bodyDiv w:val="1"/>
      <w:marLeft w:val="0"/>
      <w:marRight w:val="0"/>
      <w:marTop w:val="0"/>
      <w:marBottom w:val="0"/>
      <w:divBdr>
        <w:top w:val="none" w:sz="0" w:space="0" w:color="auto"/>
        <w:left w:val="none" w:sz="0" w:space="0" w:color="auto"/>
        <w:bottom w:val="none" w:sz="0" w:space="0" w:color="auto"/>
        <w:right w:val="none" w:sz="0" w:space="0" w:color="auto"/>
      </w:divBdr>
      <w:divsChild>
        <w:div w:id="1924803124">
          <w:marLeft w:val="0"/>
          <w:marRight w:val="0"/>
          <w:marTop w:val="0"/>
          <w:marBottom w:val="0"/>
          <w:divBdr>
            <w:top w:val="single" w:sz="2" w:space="0" w:color="AAAAAA"/>
            <w:left w:val="single" w:sz="6" w:space="8" w:color="AAAAAA"/>
            <w:bottom w:val="single" w:sz="2" w:space="0" w:color="AAAAAA"/>
            <w:right w:val="single" w:sz="6" w:space="8" w:color="AAAAAA"/>
          </w:divBdr>
          <w:divsChild>
            <w:div w:id="158666319">
              <w:marLeft w:val="0"/>
              <w:marRight w:val="0"/>
              <w:marTop w:val="0"/>
              <w:marBottom w:val="0"/>
              <w:divBdr>
                <w:top w:val="none" w:sz="0" w:space="0" w:color="auto"/>
                <w:left w:val="none" w:sz="0" w:space="0" w:color="auto"/>
                <w:bottom w:val="none" w:sz="0" w:space="0" w:color="auto"/>
                <w:right w:val="none" w:sz="0" w:space="0" w:color="auto"/>
              </w:divBdr>
              <w:divsChild>
                <w:div w:id="1570461232">
                  <w:marLeft w:val="0"/>
                  <w:marRight w:val="0"/>
                  <w:marTop w:val="0"/>
                  <w:marBottom w:val="0"/>
                  <w:divBdr>
                    <w:top w:val="none" w:sz="0" w:space="0" w:color="auto"/>
                    <w:left w:val="none" w:sz="0" w:space="0" w:color="auto"/>
                    <w:bottom w:val="none" w:sz="0" w:space="0" w:color="auto"/>
                    <w:right w:val="none" w:sz="0" w:space="0" w:color="auto"/>
                  </w:divBdr>
                  <w:divsChild>
                    <w:div w:id="153231338">
                      <w:marLeft w:val="0"/>
                      <w:marRight w:val="2550"/>
                      <w:marTop w:val="0"/>
                      <w:marBottom w:val="48"/>
                      <w:divBdr>
                        <w:top w:val="none" w:sz="0" w:space="0" w:color="auto"/>
                        <w:left w:val="none" w:sz="0" w:space="0" w:color="auto"/>
                        <w:bottom w:val="none" w:sz="0" w:space="0" w:color="auto"/>
                        <w:right w:val="none" w:sz="0" w:space="0" w:color="auto"/>
                      </w:divBdr>
                      <w:divsChild>
                        <w:div w:id="12952841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4533554">
      <w:bodyDiv w:val="1"/>
      <w:marLeft w:val="0"/>
      <w:marRight w:val="0"/>
      <w:marTop w:val="0"/>
      <w:marBottom w:val="0"/>
      <w:divBdr>
        <w:top w:val="none" w:sz="0" w:space="0" w:color="auto"/>
        <w:left w:val="none" w:sz="0" w:space="0" w:color="auto"/>
        <w:bottom w:val="none" w:sz="0" w:space="0" w:color="auto"/>
        <w:right w:val="none" w:sz="0" w:space="0" w:color="auto"/>
      </w:divBdr>
      <w:divsChild>
        <w:div w:id="1707826703">
          <w:marLeft w:val="0"/>
          <w:marRight w:val="0"/>
          <w:marTop w:val="0"/>
          <w:marBottom w:val="0"/>
          <w:divBdr>
            <w:top w:val="single" w:sz="2" w:space="0" w:color="AAAAAA"/>
            <w:left w:val="single" w:sz="6" w:space="8" w:color="AAAAAA"/>
            <w:bottom w:val="single" w:sz="2" w:space="0" w:color="AAAAAA"/>
            <w:right w:val="single" w:sz="6" w:space="8" w:color="AAAAAA"/>
          </w:divBdr>
          <w:divsChild>
            <w:div w:id="1541747868">
              <w:marLeft w:val="0"/>
              <w:marRight w:val="0"/>
              <w:marTop w:val="0"/>
              <w:marBottom w:val="0"/>
              <w:divBdr>
                <w:top w:val="none" w:sz="0" w:space="0" w:color="auto"/>
                <w:left w:val="none" w:sz="0" w:space="0" w:color="auto"/>
                <w:bottom w:val="none" w:sz="0" w:space="0" w:color="auto"/>
                <w:right w:val="none" w:sz="0" w:space="0" w:color="auto"/>
              </w:divBdr>
              <w:divsChild>
                <w:div w:id="998925071">
                  <w:marLeft w:val="0"/>
                  <w:marRight w:val="0"/>
                  <w:marTop w:val="0"/>
                  <w:marBottom w:val="0"/>
                  <w:divBdr>
                    <w:top w:val="none" w:sz="0" w:space="0" w:color="auto"/>
                    <w:left w:val="none" w:sz="0" w:space="0" w:color="auto"/>
                    <w:bottom w:val="none" w:sz="0" w:space="0" w:color="auto"/>
                    <w:right w:val="none" w:sz="0" w:space="0" w:color="auto"/>
                  </w:divBdr>
                  <w:divsChild>
                    <w:div w:id="308171680">
                      <w:marLeft w:val="0"/>
                      <w:marRight w:val="2550"/>
                      <w:marTop w:val="0"/>
                      <w:marBottom w:val="48"/>
                      <w:divBdr>
                        <w:top w:val="none" w:sz="0" w:space="0" w:color="auto"/>
                        <w:left w:val="none" w:sz="0" w:space="0" w:color="auto"/>
                        <w:bottom w:val="none" w:sz="0" w:space="0" w:color="auto"/>
                        <w:right w:val="none" w:sz="0" w:space="0" w:color="auto"/>
                      </w:divBdr>
                      <w:divsChild>
                        <w:div w:id="132793289">
                          <w:marLeft w:val="0"/>
                          <w:marRight w:val="0"/>
                          <w:marTop w:val="0"/>
                          <w:marBottom w:val="48"/>
                          <w:divBdr>
                            <w:top w:val="none" w:sz="0" w:space="0" w:color="auto"/>
                            <w:left w:val="none" w:sz="0" w:space="0" w:color="auto"/>
                            <w:bottom w:val="none" w:sz="0" w:space="0" w:color="auto"/>
                            <w:right w:val="none" w:sz="0" w:space="0" w:color="auto"/>
                          </w:divBdr>
                          <w:divsChild>
                            <w:div w:id="8449024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78204">
      <w:bodyDiv w:val="1"/>
      <w:marLeft w:val="0"/>
      <w:marRight w:val="0"/>
      <w:marTop w:val="0"/>
      <w:marBottom w:val="0"/>
      <w:divBdr>
        <w:top w:val="none" w:sz="0" w:space="0" w:color="auto"/>
        <w:left w:val="none" w:sz="0" w:space="0" w:color="auto"/>
        <w:bottom w:val="none" w:sz="0" w:space="0" w:color="auto"/>
        <w:right w:val="none" w:sz="0" w:space="0" w:color="auto"/>
      </w:divBdr>
    </w:div>
    <w:div w:id="299111720">
      <w:bodyDiv w:val="1"/>
      <w:marLeft w:val="0"/>
      <w:marRight w:val="0"/>
      <w:marTop w:val="0"/>
      <w:marBottom w:val="0"/>
      <w:divBdr>
        <w:top w:val="none" w:sz="0" w:space="0" w:color="auto"/>
        <w:left w:val="none" w:sz="0" w:space="0" w:color="auto"/>
        <w:bottom w:val="none" w:sz="0" w:space="0" w:color="auto"/>
        <w:right w:val="none" w:sz="0" w:space="0" w:color="auto"/>
      </w:divBdr>
      <w:divsChild>
        <w:div w:id="1113207215">
          <w:marLeft w:val="0"/>
          <w:marRight w:val="0"/>
          <w:marTop w:val="0"/>
          <w:marBottom w:val="0"/>
          <w:divBdr>
            <w:top w:val="none" w:sz="0" w:space="0" w:color="auto"/>
            <w:left w:val="none" w:sz="0" w:space="0" w:color="auto"/>
            <w:bottom w:val="none" w:sz="0" w:space="0" w:color="auto"/>
            <w:right w:val="none" w:sz="0" w:space="0" w:color="auto"/>
          </w:divBdr>
          <w:divsChild>
            <w:div w:id="18442718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99461431">
      <w:bodyDiv w:val="1"/>
      <w:marLeft w:val="0"/>
      <w:marRight w:val="0"/>
      <w:marTop w:val="0"/>
      <w:marBottom w:val="0"/>
      <w:divBdr>
        <w:top w:val="none" w:sz="0" w:space="0" w:color="auto"/>
        <w:left w:val="none" w:sz="0" w:space="0" w:color="auto"/>
        <w:bottom w:val="none" w:sz="0" w:space="0" w:color="auto"/>
        <w:right w:val="none" w:sz="0" w:space="0" w:color="auto"/>
      </w:divBdr>
    </w:div>
    <w:div w:id="300306948">
      <w:bodyDiv w:val="1"/>
      <w:marLeft w:val="0"/>
      <w:marRight w:val="0"/>
      <w:marTop w:val="0"/>
      <w:marBottom w:val="0"/>
      <w:divBdr>
        <w:top w:val="none" w:sz="0" w:space="0" w:color="auto"/>
        <w:left w:val="none" w:sz="0" w:space="0" w:color="auto"/>
        <w:bottom w:val="none" w:sz="0" w:space="0" w:color="auto"/>
        <w:right w:val="none" w:sz="0" w:space="0" w:color="auto"/>
      </w:divBdr>
      <w:divsChild>
        <w:div w:id="1505246920">
          <w:marLeft w:val="0"/>
          <w:marRight w:val="0"/>
          <w:marTop w:val="150"/>
          <w:marBottom w:val="0"/>
          <w:divBdr>
            <w:top w:val="none" w:sz="0" w:space="0" w:color="auto"/>
            <w:left w:val="none" w:sz="0" w:space="0" w:color="auto"/>
            <w:bottom w:val="none" w:sz="0" w:space="0" w:color="auto"/>
            <w:right w:val="none" w:sz="0" w:space="0" w:color="auto"/>
          </w:divBdr>
          <w:divsChild>
            <w:div w:id="188223118">
              <w:marLeft w:val="2"/>
              <w:marRight w:val="2"/>
              <w:marTop w:val="0"/>
              <w:marBottom w:val="0"/>
              <w:divBdr>
                <w:top w:val="none" w:sz="0" w:space="0" w:color="auto"/>
                <w:left w:val="none" w:sz="0" w:space="0" w:color="auto"/>
                <w:bottom w:val="none" w:sz="0" w:space="0" w:color="auto"/>
                <w:right w:val="none" w:sz="0" w:space="0" w:color="auto"/>
              </w:divBdr>
              <w:divsChild>
                <w:div w:id="397555583">
                  <w:marLeft w:val="0"/>
                  <w:marRight w:val="0"/>
                  <w:marTop w:val="0"/>
                  <w:marBottom w:val="0"/>
                  <w:divBdr>
                    <w:top w:val="none" w:sz="0" w:space="0" w:color="auto"/>
                    <w:left w:val="none" w:sz="0" w:space="0" w:color="auto"/>
                    <w:bottom w:val="none" w:sz="0" w:space="0" w:color="auto"/>
                    <w:right w:val="none" w:sz="0" w:space="0" w:color="auto"/>
                  </w:divBdr>
                  <w:divsChild>
                    <w:div w:id="1713263466">
                      <w:marLeft w:val="0"/>
                      <w:marRight w:val="0"/>
                      <w:marTop w:val="0"/>
                      <w:marBottom w:val="0"/>
                      <w:divBdr>
                        <w:top w:val="none" w:sz="0" w:space="0" w:color="auto"/>
                        <w:left w:val="none" w:sz="0" w:space="0" w:color="auto"/>
                        <w:bottom w:val="none" w:sz="0" w:space="0" w:color="auto"/>
                        <w:right w:val="none" w:sz="0" w:space="0" w:color="auto"/>
                      </w:divBdr>
                      <w:divsChild>
                        <w:div w:id="890507057">
                          <w:marLeft w:val="0"/>
                          <w:marRight w:val="0"/>
                          <w:marTop w:val="0"/>
                          <w:marBottom w:val="0"/>
                          <w:divBdr>
                            <w:top w:val="none" w:sz="0" w:space="0" w:color="auto"/>
                            <w:left w:val="none" w:sz="0" w:space="0" w:color="auto"/>
                            <w:bottom w:val="none" w:sz="0" w:space="0" w:color="auto"/>
                            <w:right w:val="none" w:sz="0" w:space="0" w:color="auto"/>
                          </w:divBdr>
                          <w:divsChild>
                            <w:div w:id="877934364">
                              <w:marLeft w:val="0"/>
                              <w:marRight w:val="0"/>
                              <w:marTop w:val="0"/>
                              <w:marBottom w:val="0"/>
                              <w:divBdr>
                                <w:top w:val="none" w:sz="0" w:space="0" w:color="auto"/>
                                <w:left w:val="none" w:sz="0" w:space="0" w:color="auto"/>
                                <w:bottom w:val="none" w:sz="0" w:space="0" w:color="auto"/>
                                <w:right w:val="none" w:sz="0" w:space="0" w:color="auto"/>
                              </w:divBdr>
                              <w:divsChild>
                                <w:div w:id="227767746">
                                  <w:marLeft w:val="0"/>
                                  <w:marRight w:val="0"/>
                                  <w:marTop w:val="0"/>
                                  <w:marBottom w:val="0"/>
                                  <w:divBdr>
                                    <w:top w:val="none" w:sz="0" w:space="0" w:color="auto"/>
                                    <w:left w:val="none" w:sz="0" w:space="0" w:color="auto"/>
                                    <w:bottom w:val="none" w:sz="0" w:space="0" w:color="auto"/>
                                    <w:right w:val="none" w:sz="0" w:space="0" w:color="auto"/>
                                  </w:divBdr>
                                  <w:divsChild>
                                    <w:div w:id="1910728301">
                                      <w:marLeft w:val="0"/>
                                      <w:marRight w:val="0"/>
                                      <w:marTop w:val="0"/>
                                      <w:marBottom w:val="0"/>
                                      <w:divBdr>
                                        <w:top w:val="none" w:sz="0" w:space="0" w:color="auto"/>
                                        <w:left w:val="none" w:sz="0" w:space="0" w:color="auto"/>
                                        <w:bottom w:val="none" w:sz="0" w:space="0" w:color="auto"/>
                                        <w:right w:val="none" w:sz="0" w:space="0" w:color="auto"/>
                                      </w:divBdr>
                                      <w:divsChild>
                                        <w:div w:id="1677079465">
                                          <w:marLeft w:val="0"/>
                                          <w:marRight w:val="0"/>
                                          <w:marTop w:val="0"/>
                                          <w:marBottom w:val="0"/>
                                          <w:divBdr>
                                            <w:top w:val="none" w:sz="0" w:space="0" w:color="auto"/>
                                            <w:left w:val="none" w:sz="0" w:space="0" w:color="auto"/>
                                            <w:bottom w:val="none" w:sz="0" w:space="0" w:color="auto"/>
                                            <w:right w:val="none" w:sz="0" w:space="0" w:color="auto"/>
                                          </w:divBdr>
                                          <w:divsChild>
                                            <w:div w:id="1215431020">
                                              <w:marLeft w:val="0"/>
                                              <w:marRight w:val="0"/>
                                              <w:marTop w:val="0"/>
                                              <w:marBottom w:val="0"/>
                                              <w:divBdr>
                                                <w:top w:val="none" w:sz="0" w:space="0" w:color="auto"/>
                                                <w:left w:val="none" w:sz="0" w:space="0" w:color="auto"/>
                                                <w:bottom w:val="none" w:sz="0" w:space="0" w:color="auto"/>
                                                <w:right w:val="none" w:sz="0" w:space="0" w:color="auto"/>
                                              </w:divBdr>
                                              <w:divsChild>
                                                <w:div w:id="2054380192">
                                                  <w:marLeft w:val="0"/>
                                                  <w:marRight w:val="0"/>
                                                  <w:marTop w:val="0"/>
                                                  <w:marBottom w:val="0"/>
                                                  <w:divBdr>
                                                    <w:top w:val="none" w:sz="0" w:space="0" w:color="auto"/>
                                                    <w:left w:val="none" w:sz="0" w:space="0" w:color="auto"/>
                                                    <w:bottom w:val="none" w:sz="0" w:space="0" w:color="auto"/>
                                                    <w:right w:val="none" w:sz="0" w:space="0" w:color="auto"/>
                                                  </w:divBdr>
                                                </w:div>
                                              </w:divsChild>
                                            </w:div>
                                            <w:div w:id="1202666467">
                                              <w:marLeft w:val="0"/>
                                              <w:marRight w:val="0"/>
                                              <w:marTop w:val="0"/>
                                              <w:marBottom w:val="0"/>
                                              <w:divBdr>
                                                <w:top w:val="none" w:sz="0" w:space="0" w:color="auto"/>
                                                <w:left w:val="none" w:sz="0" w:space="0" w:color="auto"/>
                                                <w:bottom w:val="none" w:sz="0" w:space="0" w:color="auto"/>
                                                <w:right w:val="none" w:sz="0" w:space="0" w:color="auto"/>
                                              </w:divBdr>
                                              <w:divsChild>
                                                <w:div w:id="544367374">
                                                  <w:marLeft w:val="0"/>
                                                  <w:marRight w:val="0"/>
                                                  <w:marTop w:val="0"/>
                                                  <w:marBottom w:val="0"/>
                                                  <w:divBdr>
                                                    <w:top w:val="none" w:sz="0" w:space="0" w:color="auto"/>
                                                    <w:left w:val="none" w:sz="0" w:space="0" w:color="auto"/>
                                                    <w:bottom w:val="none" w:sz="0" w:space="0" w:color="auto"/>
                                                    <w:right w:val="none" w:sz="0" w:space="0" w:color="auto"/>
                                                  </w:divBdr>
                                                </w:div>
                                              </w:divsChild>
                                            </w:div>
                                            <w:div w:id="723406679">
                                              <w:marLeft w:val="0"/>
                                              <w:marRight w:val="0"/>
                                              <w:marTop w:val="0"/>
                                              <w:marBottom w:val="0"/>
                                              <w:divBdr>
                                                <w:top w:val="none" w:sz="0" w:space="0" w:color="auto"/>
                                                <w:left w:val="none" w:sz="0" w:space="0" w:color="auto"/>
                                                <w:bottom w:val="none" w:sz="0" w:space="0" w:color="auto"/>
                                                <w:right w:val="none" w:sz="0" w:space="0" w:color="auto"/>
                                              </w:divBdr>
                                              <w:divsChild>
                                                <w:div w:id="21208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0379895">
      <w:bodyDiv w:val="1"/>
      <w:marLeft w:val="0"/>
      <w:marRight w:val="0"/>
      <w:marTop w:val="0"/>
      <w:marBottom w:val="0"/>
      <w:divBdr>
        <w:top w:val="none" w:sz="0" w:space="0" w:color="auto"/>
        <w:left w:val="none" w:sz="0" w:space="0" w:color="auto"/>
        <w:bottom w:val="none" w:sz="0" w:space="0" w:color="auto"/>
        <w:right w:val="none" w:sz="0" w:space="0" w:color="auto"/>
      </w:divBdr>
      <w:divsChild>
        <w:div w:id="15038158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303196626">
      <w:bodyDiv w:val="1"/>
      <w:marLeft w:val="0"/>
      <w:marRight w:val="0"/>
      <w:marTop w:val="0"/>
      <w:marBottom w:val="0"/>
      <w:divBdr>
        <w:top w:val="none" w:sz="0" w:space="0" w:color="auto"/>
        <w:left w:val="none" w:sz="0" w:space="0" w:color="auto"/>
        <w:bottom w:val="none" w:sz="0" w:space="0" w:color="auto"/>
        <w:right w:val="none" w:sz="0" w:space="0" w:color="auto"/>
      </w:divBdr>
      <w:divsChild>
        <w:div w:id="1062868360">
          <w:marLeft w:val="0"/>
          <w:marRight w:val="0"/>
          <w:marTop w:val="0"/>
          <w:marBottom w:val="0"/>
          <w:divBdr>
            <w:top w:val="single" w:sz="6" w:space="0" w:color="0E477A"/>
            <w:left w:val="single" w:sz="6" w:space="0" w:color="0E477A"/>
            <w:bottom w:val="single" w:sz="6" w:space="0" w:color="0E477A"/>
            <w:right w:val="single" w:sz="6" w:space="0" w:color="0E477A"/>
          </w:divBdr>
          <w:divsChild>
            <w:div w:id="539324515">
              <w:marLeft w:val="2925"/>
              <w:marRight w:val="0"/>
              <w:marTop w:val="0"/>
              <w:marBottom w:val="0"/>
              <w:divBdr>
                <w:top w:val="none" w:sz="0" w:space="0" w:color="auto"/>
                <w:left w:val="none" w:sz="0" w:space="0" w:color="auto"/>
                <w:bottom w:val="none" w:sz="0" w:space="0" w:color="auto"/>
                <w:right w:val="none" w:sz="0" w:space="0" w:color="auto"/>
              </w:divBdr>
              <w:divsChild>
                <w:div w:id="502402944">
                  <w:marLeft w:val="0"/>
                  <w:marRight w:val="0"/>
                  <w:marTop w:val="0"/>
                  <w:marBottom w:val="0"/>
                  <w:divBdr>
                    <w:top w:val="none" w:sz="0" w:space="0" w:color="auto"/>
                    <w:left w:val="none" w:sz="0" w:space="0" w:color="auto"/>
                    <w:bottom w:val="none" w:sz="0" w:space="0" w:color="auto"/>
                    <w:right w:val="none" w:sz="0" w:space="0" w:color="auto"/>
                  </w:divBdr>
                  <w:divsChild>
                    <w:div w:id="992835319">
                      <w:marLeft w:val="0"/>
                      <w:marRight w:val="150"/>
                      <w:marTop w:val="0"/>
                      <w:marBottom w:val="0"/>
                      <w:divBdr>
                        <w:top w:val="single" w:sz="6" w:space="0" w:color="CCCCCC"/>
                        <w:left w:val="single" w:sz="6" w:space="8" w:color="CCCCCC"/>
                        <w:bottom w:val="single" w:sz="6" w:space="8" w:color="CCCCCC"/>
                        <w:right w:val="single" w:sz="6" w:space="8" w:color="CCCCCC"/>
                      </w:divBdr>
                      <w:divsChild>
                        <w:div w:id="1871988319">
                          <w:marLeft w:val="0"/>
                          <w:marRight w:val="0"/>
                          <w:marTop w:val="0"/>
                          <w:marBottom w:val="0"/>
                          <w:divBdr>
                            <w:top w:val="none" w:sz="0" w:space="0" w:color="auto"/>
                            <w:left w:val="none" w:sz="0" w:space="0" w:color="auto"/>
                            <w:bottom w:val="none" w:sz="0" w:space="0" w:color="auto"/>
                            <w:right w:val="none" w:sz="0" w:space="0" w:color="auto"/>
                          </w:divBdr>
                        </w:div>
                        <w:div w:id="1411266916">
                          <w:marLeft w:val="0"/>
                          <w:marRight w:val="0"/>
                          <w:marTop w:val="0"/>
                          <w:marBottom w:val="0"/>
                          <w:divBdr>
                            <w:top w:val="none" w:sz="0" w:space="0" w:color="auto"/>
                            <w:left w:val="none" w:sz="0" w:space="0" w:color="auto"/>
                            <w:bottom w:val="none" w:sz="0" w:space="0" w:color="auto"/>
                            <w:right w:val="none" w:sz="0" w:space="0" w:color="auto"/>
                          </w:divBdr>
                        </w:div>
                        <w:div w:id="1004478406">
                          <w:marLeft w:val="0"/>
                          <w:marRight w:val="0"/>
                          <w:marTop w:val="0"/>
                          <w:marBottom w:val="0"/>
                          <w:divBdr>
                            <w:top w:val="none" w:sz="0" w:space="0" w:color="auto"/>
                            <w:left w:val="none" w:sz="0" w:space="0" w:color="auto"/>
                            <w:bottom w:val="none" w:sz="0" w:space="0" w:color="auto"/>
                            <w:right w:val="none" w:sz="0" w:space="0" w:color="auto"/>
                          </w:divBdr>
                        </w:div>
                        <w:div w:id="4944097">
                          <w:marLeft w:val="0"/>
                          <w:marRight w:val="0"/>
                          <w:marTop w:val="0"/>
                          <w:marBottom w:val="0"/>
                          <w:divBdr>
                            <w:top w:val="none" w:sz="0" w:space="0" w:color="auto"/>
                            <w:left w:val="none" w:sz="0" w:space="0" w:color="auto"/>
                            <w:bottom w:val="none" w:sz="0" w:space="0" w:color="auto"/>
                            <w:right w:val="none" w:sz="0" w:space="0" w:color="auto"/>
                          </w:divBdr>
                        </w:div>
                        <w:div w:id="513500045">
                          <w:marLeft w:val="0"/>
                          <w:marRight w:val="0"/>
                          <w:marTop w:val="0"/>
                          <w:marBottom w:val="0"/>
                          <w:divBdr>
                            <w:top w:val="none" w:sz="0" w:space="0" w:color="auto"/>
                            <w:left w:val="none" w:sz="0" w:space="0" w:color="auto"/>
                            <w:bottom w:val="none" w:sz="0" w:space="0" w:color="auto"/>
                            <w:right w:val="none" w:sz="0" w:space="0" w:color="auto"/>
                          </w:divBdr>
                        </w:div>
                        <w:div w:id="1213152332">
                          <w:marLeft w:val="0"/>
                          <w:marRight w:val="0"/>
                          <w:marTop w:val="0"/>
                          <w:marBottom w:val="0"/>
                          <w:divBdr>
                            <w:top w:val="none" w:sz="0" w:space="0" w:color="auto"/>
                            <w:left w:val="none" w:sz="0" w:space="0" w:color="auto"/>
                            <w:bottom w:val="none" w:sz="0" w:space="0" w:color="auto"/>
                            <w:right w:val="none" w:sz="0" w:space="0" w:color="auto"/>
                          </w:divBdr>
                        </w:div>
                        <w:div w:id="1380475325">
                          <w:marLeft w:val="0"/>
                          <w:marRight w:val="0"/>
                          <w:marTop w:val="0"/>
                          <w:marBottom w:val="0"/>
                          <w:divBdr>
                            <w:top w:val="none" w:sz="0" w:space="0" w:color="auto"/>
                            <w:left w:val="none" w:sz="0" w:space="0" w:color="auto"/>
                            <w:bottom w:val="none" w:sz="0" w:space="0" w:color="auto"/>
                            <w:right w:val="none" w:sz="0" w:space="0" w:color="auto"/>
                          </w:divBdr>
                        </w:div>
                        <w:div w:id="908003695">
                          <w:marLeft w:val="0"/>
                          <w:marRight w:val="0"/>
                          <w:marTop w:val="0"/>
                          <w:marBottom w:val="0"/>
                          <w:divBdr>
                            <w:top w:val="none" w:sz="0" w:space="0" w:color="auto"/>
                            <w:left w:val="none" w:sz="0" w:space="0" w:color="auto"/>
                            <w:bottom w:val="none" w:sz="0" w:space="0" w:color="auto"/>
                            <w:right w:val="none" w:sz="0" w:space="0" w:color="auto"/>
                          </w:divBdr>
                        </w:div>
                        <w:div w:id="1650281666">
                          <w:marLeft w:val="0"/>
                          <w:marRight w:val="0"/>
                          <w:marTop w:val="0"/>
                          <w:marBottom w:val="0"/>
                          <w:divBdr>
                            <w:top w:val="none" w:sz="0" w:space="0" w:color="auto"/>
                            <w:left w:val="none" w:sz="0" w:space="0" w:color="auto"/>
                            <w:bottom w:val="none" w:sz="0" w:space="0" w:color="auto"/>
                            <w:right w:val="none" w:sz="0" w:space="0" w:color="auto"/>
                          </w:divBdr>
                        </w:div>
                        <w:div w:id="13772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975256">
      <w:bodyDiv w:val="1"/>
      <w:marLeft w:val="0"/>
      <w:marRight w:val="0"/>
      <w:marTop w:val="0"/>
      <w:marBottom w:val="0"/>
      <w:divBdr>
        <w:top w:val="none" w:sz="0" w:space="0" w:color="auto"/>
        <w:left w:val="none" w:sz="0" w:space="0" w:color="auto"/>
        <w:bottom w:val="none" w:sz="0" w:space="0" w:color="auto"/>
        <w:right w:val="none" w:sz="0" w:space="0" w:color="auto"/>
      </w:divBdr>
    </w:div>
    <w:div w:id="304117598">
      <w:bodyDiv w:val="1"/>
      <w:marLeft w:val="0"/>
      <w:marRight w:val="0"/>
      <w:marTop w:val="0"/>
      <w:marBottom w:val="0"/>
      <w:divBdr>
        <w:top w:val="none" w:sz="0" w:space="0" w:color="auto"/>
        <w:left w:val="none" w:sz="0" w:space="0" w:color="auto"/>
        <w:bottom w:val="none" w:sz="0" w:space="0" w:color="auto"/>
        <w:right w:val="none" w:sz="0" w:space="0" w:color="auto"/>
      </w:divBdr>
    </w:div>
    <w:div w:id="304429475">
      <w:bodyDiv w:val="1"/>
      <w:marLeft w:val="0"/>
      <w:marRight w:val="0"/>
      <w:marTop w:val="0"/>
      <w:marBottom w:val="0"/>
      <w:divBdr>
        <w:top w:val="none" w:sz="0" w:space="0" w:color="auto"/>
        <w:left w:val="none" w:sz="0" w:space="0" w:color="auto"/>
        <w:bottom w:val="none" w:sz="0" w:space="0" w:color="auto"/>
        <w:right w:val="none" w:sz="0" w:space="0" w:color="auto"/>
      </w:divBdr>
    </w:div>
    <w:div w:id="304622989">
      <w:bodyDiv w:val="1"/>
      <w:marLeft w:val="0"/>
      <w:marRight w:val="0"/>
      <w:marTop w:val="0"/>
      <w:marBottom w:val="0"/>
      <w:divBdr>
        <w:top w:val="none" w:sz="0" w:space="0" w:color="auto"/>
        <w:left w:val="none" w:sz="0" w:space="0" w:color="auto"/>
        <w:bottom w:val="none" w:sz="0" w:space="0" w:color="auto"/>
        <w:right w:val="none" w:sz="0" w:space="0" w:color="auto"/>
      </w:divBdr>
      <w:divsChild>
        <w:div w:id="1344820727">
          <w:marLeft w:val="0"/>
          <w:marRight w:val="0"/>
          <w:marTop w:val="0"/>
          <w:marBottom w:val="0"/>
          <w:divBdr>
            <w:top w:val="none" w:sz="0" w:space="0" w:color="auto"/>
            <w:left w:val="none" w:sz="0" w:space="0" w:color="auto"/>
            <w:bottom w:val="none" w:sz="0" w:space="0" w:color="auto"/>
            <w:right w:val="none" w:sz="0" w:space="0" w:color="auto"/>
          </w:divBdr>
        </w:div>
        <w:div w:id="2081512038">
          <w:marLeft w:val="0"/>
          <w:marRight w:val="0"/>
          <w:marTop w:val="750"/>
          <w:marBottom w:val="375"/>
          <w:divBdr>
            <w:top w:val="none" w:sz="0" w:space="0" w:color="auto"/>
            <w:left w:val="none" w:sz="0" w:space="0" w:color="auto"/>
            <w:bottom w:val="none" w:sz="0" w:space="0" w:color="auto"/>
            <w:right w:val="none" w:sz="0" w:space="0" w:color="auto"/>
          </w:divBdr>
        </w:div>
      </w:divsChild>
    </w:div>
    <w:div w:id="306250785">
      <w:bodyDiv w:val="1"/>
      <w:marLeft w:val="0"/>
      <w:marRight w:val="0"/>
      <w:marTop w:val="0"/>
      <w:marBottom w:val="0"/>
      <w:divBdr>
        <w:top w:val="none" w:sz="0" w:space="0" w:color="auto"/>
        <w:left w:val="none" w:sz="0" w:space="0" w:color="auto"/>
        <w:bottom w:val="none" w:sz="0" w:space="0" w:color="auto"/>
        <w:right w:val="none" w:sz="0" w:space="0" w:color="auto"/>
      </w:divBdr>
      <w:divsChild>
        <w:div w:id="1366057961">
          <w:marLeft w:val="0"/>
          <w:marRight w:val="0"/>
          <w:marTop w:val="150"/>
          <w:marBottom w:val="0"/>
          <w:divBdr>
            <w:top w:val="none" w:sz="0" w:space="0" w:color="auto"/>
            <w:left w:val="none" w:sz="0" w:space="0" w:color="auto"/>
            <w:bottom w:val="none" w:sz="0" w:space="0" w:color="auto"/>
            <w:right w:val="none" w:sz="0" w:space="0" w:color="auto"/>
          </w:divBdr>
          <w:divsChild>
            <w:div w:id="1253129986">
              <w:marLeft w:val="2"/>
              <w:marRight w:val="2"/>
              <w:marTop w:val="0"/>
              <w:marBottom w:val="0"/>
              <w:divBdr>
                <w:top w:val="none" w:sz="0" w:space="0" w:color="auto"/>
                <w:left w:val="none" w:sz="0" w:space="0" w:color="auto"/>
                <w:bottom w:val="none" w:sz="0" w:space="0" w:color="auto"/>
                <w:right w:val="none" w:sz="0" w:space="0" w:color="auto"/>
              </w:divBdr>
              <w:divsChild>
                <w:div w:id="1541818238">
                  <w:marLeft w:val="0"/>
                  <w:marRight w:val="0"/>
                  <w:marTop w:val="0"/>
                  <w:marBottom w:val="0"/>
                  <w:divBdr>
                    <w:top w:val="none" w:sz="0" w:space="0" w:color="auto"/>
                    <w:left w:val="none" w:sz="0" w:space="0" w:color="auto"/>
                    <w:bottom w:val="none" w:sz="0" w:space="0" w:color="auto"/>
                    <w:right w:val="none" w:sz="0" w:space="0" w:color="auto"/>
                  </w:divBdr>
                  <w:divsChild>
                    <w:div w:id="906261271">
                      <w:marLeft w:val="0"/>
                      <w:marRight w:val="0"/>
                      <w:marTop w:val="0"/>
                      <w:marBottom w:val="0"/>
                      <w:divBdr>
                        <w:top w:val="none" w:sz="0" w:space="0" w:color="auto"/>
                        <w:left w:val="none" w:sz="0" w:space="0" w:color="auto"/>
                        <w:bottom w:val="none" w:sz="0" w:space="0" w:color="auto"/>
                        <w:right w:val="none" w:sz="0" w:space="0" w:color="auto"/>
                      </w:divBdr>
                      <w:divsChild>
                        <w:div w:id="406389531">
                          <w:marLeft w:val="0"/>
                          <w:marRight w:val="0"/>
                          <w:marTop w:val="0"/>
                          <w:marBottom w:val="0"/>
                          <w:divBdr>
                            <w:top w:val="none" w:sz="0" w:space="0" w:color="auto"/>
                            <w:left w:val="none" w:sz="0" w:space="0" w:color="auto"/>
                            <w:bottom w:val="none" w:sz="0" w:space="0" w:color="auto"/>
                            <w:right w:val="none" w:sz="0" w:space="0" w:color="auto"/>
                          </w:divBdr>
                          <w:divsChild>
                            <w:div w:id="1876699893">
                              <w:marLeft w:val="0"/>
                              <w:marRight w:val="0"/>
                              <w:marTop w:val="0"/>
                              <w:marBottom w:val="0"/>
                              <w:divBdr>
                                <w:top w:val="none" w:sz="0" w:space="0" w:color="auto"/>
                                <w:left w:val="none" w:sz="0" w:space="0" w:color="auto"/>
                                <w:bottom w:val="none" w:sz="0" w:space="0" w:color="auto"/>
                                <w:right w:val="none" w:sz="0" w:space="0" w:color="auto"/>
                              </w:divBdr>
                              <w:divsChild>
                                <w:div w:id="664745924">
                                  <w:marLeft w:val="0"/>
                                  <w:marRight w:val="0"/>
                                  <w:marTop w:val="0"/>
                                  <w:marBottom w:val="0"/>
                                  <w:divBdr>
                                    <w:top w:val="none" w:sz="0" w:space="0" w:color="auto"/>
                                    <w:left w:val="none" w:sz="0" w:space="0" w:color="auto"/>
                                    <w:bottom w:val="none" w:sz="0" w:space="0" w:color="auto"/>
                                    <w:right w:val="none" w:sz="0" w:space="0" w:color="auto"/>
                                  </w:divBdr>
                                  <w:divsChild>
                                    <w:div w:id="1645893532">
                                      <w:marLeft w:val="0"/>
                                      <w:marRight w:val="0"/>
                                      <w:marTop w:val="0"/>
                                      <w:marBottom w:val="0"/>
                                      <w:divBdr>
                                        <w:top w:val="none" w:sz="0" w:space="0" w:color="auto"/>
                                        <w:left w:val="none" w:sz="0" w:space="0" w:color="auto"/>
                                        <w:bottom w:val="none" w:sz="0" w:space="0" w:color="auto"/>
                                        <w:right w:val="none" w:sz="0" w:space="0" w:color="auto"/>
                                      </w:divBdr>
                                      <w:divsChild>
                                        <w:div w:id="1370298245">
                                          <w:marLeft w:val="0"/>
                                          <w:marRight w:val="0"/>
                                          <w:marTop w:val="0"/>
                                          <w:marBottom w:val="0"/>
                                          <w:divBdr>
                                            <w:top w:val="none" w:sz="0" w:space="0" w:color="auto"/>
                                            <w:left w:val="none" w:sz="0" w:space="0" w:color="auto"/>
                                            <w:bottom w:val="none" w:sz="0" w:space="0" w:color="auto"/>
                                            <w:right w:val="none" w:sz="0" w:space="0" w:color="auto"/>
                                          </w:divBdr>
                                          <w:divsChild>
                                            <w:div w:id="962658347">
                                              <w:marLeft w:val="0"/>
                                              <w:marRight w:val="0"/>
                                              <w:marTop w:val="0"/>
                                              <w:marBottom w:val="0"/>
                                              <w:divBdr>
                                                <w:top w:val="none" w:sz="0" w:space="0" w:color="auto"/>
                                                <w:left w:val="none" w:sz="0" w:space="0" w:color="auto"/>
                                                <w:bottom w:val="none" w:sz="0" w:space="0" w:color="auto"/>
                                                <w:right w:val="none" w:sz="0" w:space="0" w:color="auto"/>
                                              </w:divBdr>
                                              <w:divsChild>
                                                <w:div w:id="1823963546">
                                                  <w:marLeft w:val="0"/>
                                                  <w:marRight w:val="0"/>
                                                  <w:marTop w:val="0"/>
                                                  <w:marBottom w:val="0"/>
                                                  <w:divBdr>
                                                    <w:top w:val="none" w:sz="0" w:space="0" w:color="auto"/>
                                                    <w:left w:val="none" w:sz="0" w:space="0" w:color="auto"/>
                                                    <w:bottom w:val="none" w:sz="0" w:space="0" w:color="auto"/>
                                                    <w:right w:val="none" w:sz="0" w:space="0" w:color="auto"/>
                                                  </w:divBdr>
                                                </w:div>
                                              </w:divsChild>
                                            </w:div>
                                            <w:div w:id="1130436046">
                                              <w:marLeft w:val="0"/>
                                              <w:marRight w:val="0"/>
                                              <w:marTop w:val="0"/>
                                              <w:marBottom w:val="0"/>
                                              <w:divBdr>
                                                <w:top w:val="none" w:sz="0" w:space="0" w:color="auto"/>
                                                <w:left w:val="none" w:sz="0" w:space="0" w:color="auto"/>
                                                <w:bottom w:val="none" w:sz="0" w:space="0" w:color="auto"/>
                                                <w:right w:val="none" w:sz="0" w:space="0" w:color="auto"/>
                                              </w:divBdr>
                                              <w:divsChild>
                                                <w:div w:id="2048262319">
                                                  <w:marLeft w:val="0"/>
                                                  <w:marRight w:val="0"/>
                                                  <w:marTop w:val="0"/>
                                                  <w:marBottom w:val="0"/>
                                                  <w:divBdr>
                                                    <w:top w:val="none" w:sz="0" w:space="0" w:color="auto"/>
                                                    <w:left w:val="none" w:sz="0" w:space="0" w:color="auto"/>
                                                    <w:bottom w:val="none" w:sz="0" w:space="0" w:color="auto"/>
                                                    <w:right w:val="none" w:sz="0" w:space="0" w:color="auto"/>
                                                  </w:divBdr>
                                                </w:div>
                                              </w:divsChild>
                                            </w:div>
                                            <w:div w:id="2094008577">
                                              <w:marLeft w:val="0"/>
                                              <w:marRight w:val="0"/>
                                              <w:marTop w:val="0"/>
                                              <w:marBottom w:val="0"/>
                                              <w:divBdr>
                                                <w:top w:val="none" w:sz="0" w:space="0" w:color="auto"/>
                                                <w:left w:val="none" w:sz="0" w:space="0" w:color="auto"/>
                                                <w:bottom w:val="none" w:sz="0" w:space="0" w:color="auto"/>
                                                <w:right w:val="none" w:sz="0" w:space="0" w:color="auto"/>
                                              </w:divBdr>
                                              <w:divsChild>
                                                <w:div w:id="2076775489">
                                                  <w:marLeft w:val="0"/>
                                                  <w:marRight w:val="0"/>
                                                  <w:marTop w:val="0"/>
                                                  <w:marBottom w:val="0"/>
                                                  <w:divBdr>
                                                    <w:top w:val="none" w:sz="0" w:space="0" w:color="auto"/>
                                                    <w:left w:val="none" w:sz="0" w:space="0" w:color="auto"/>
                                                    <w:bottom w:val="none" w:sz="0" w:space="0" w:color="auto"/>
                                                    <w:right w:val="none" w:sz="0" w:space="0" w:color="auto"/>
                                                  </w:divBdr>
                                                </w:div>
                                              </w:divsChild>
                                            </w:div>
                                            <w:div w:id="1103840393">
                                              <w:marLeft w:val="0"/>
                                              <w:marRight w:val="0"/>
                                              <w:marTop w:val="0"/>
                                              <w:marBottom w:val="0"/>
                                              <w:divBdr>
                                                <w:top w:val="none" w:sz="0" w:space="0" w:color="auto"/>
                                                <w:left w:val="none" w:sz="0" w:space="0" w:color="auto"/>
                                                <w:bottom w:val="none" w:sz="0" w:space="0" w:color="auto"/>
                                                <w:right w:val="none" w:sz="0" w:space="0" w:color="auto"/>
                                              </w:divBdr>
                                              <w:divsChild>
                                                <w:div w:id="20501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397078">
      <w:bodyDiv w:val="1"/>
      <w:marLeft w:val="0"/>
      <w:marRight w:val="0"/>
      <w:marTop w:val="0"/>
      <w:marBottom w:val="0"/>
      <w:divBdr>
        <w:top w:val="none" w:sz="0" w:space="0" w:color="auto"/>
        <w:left w:val="none" w:sz="0" w:space="0" w:color="auto"/>
        <w:bottom w:val="none" w:sz="0" w:space="0" w:color="auto"/>
        <w:right w:val="none" w:sz="0" w:space="0" w:color="auto"/>
      </w:divBdr>
      <w:divsChild>
        <w:div w:id="1325477381">
          <w:marLeft w:val="0"/>
          <w:marRight w:val="0"/>
          <w:marTop w:val="0"/>
          <w:marBottom w:val="0"/>
          <w:divBdr>
            <w:top w:val="single" w:sz="2" w:space="0" w:color="AAAAAA"/>
            <w:left w:val="single" w:sz="6" w:space="8" w:color="AAAAAA"/>
            <w:bottom w:val="single" w:sz="2" w:space="0" w:color="AAAAAA"/>
            <w:right w:val="single" w:sz="6" w:space="8" w:color="AAAAAA"/>
          </w:divBdr>
          <w:divsChild>
            <w:div w:id="145901922">
              <w:marLeft w:val="0"/>
              <w:marRight w:val="0"/>
              <w:marTop w:val="0"/>
              <w:marBottom w:val="0"/>
              <w:divBdr>
                <w:top w:val="none" w:sz="0" w:space="0" w:color="auto"/>
                <w:left w:val="none" w:sz="0" w:space="0" w:color="auto"/>
                <w:bottom w:val="none" w:sz="0" w:space="0" w:color="auto"/>
                <w:right w:val="none" w:sz="0" w:space="0" w:color="auto"/>
              </w:divBdr>
              <w:divsChild>
                <w:div w:id="2098282674">
                  <w:marLeft w:val="0"/>
                  <w:marRight w:val="0"/>
                  <w:marTop w:val="0"/>
                  <w:marBottom w:val="0"/>
                  <w:divBdr>
                    <w:top w:val="none" w:sz="0" w:space="0" w:color="auto"/>
                    <w:left w:val="none" w:sz="0" w:space="0" w:color="auto"/>
                    <w:bottom w:val="none" w:sz="0" w:space="0" w:color="auto"/>
                    <w:right w:val="none" w:sz="0" w:space="0" w:color="auto"/>
                  </w:divBdr>
                  <w:divsChild>
                    <w:div w:id="1124615469">
                      <w:marLeft w:val="0"/>
                      <w:marRight w:val="2550"/>
                      <w:marTop w:val="0"/>
                      <w:marBottom w:val="48"/>
                      <w:divBdr>
                        <w:top w:val="none" w:sz="0" w:space="0" w:color="auto"/>
                        <w:left w:val="none" w:sz="0" w:space="0" w:color="auto"/>
                        <w:bottom w:val="none" w:sz="0" w:space="0" w:color="auto"/>
                        <w:right w:val="none" w:sz="0" w:space="0" w:color="auto"/>
                      </w:divBdr>
                      <w:divsChild>
                        <w:div w:id="50701707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306711535">
      <w:bodyDiv w:val="1"/>
      <w:marLeft w:val="0"/>
      <w:marRight w:val="0"/>
      <w:marTop w:val="0"/>
      <w:marBottom w:val="0"/>
      <w:divBdr>
        <w:top w:val="none" w:sz="0" w:space="0" w:color="auto"/>
        <w:left w:val="none" w:sz="0" w:space="0" w:color="auto"/>
        <w:bottom w:val="none" w:sz="0" w:space="0" w:color="auto"/>
        <w:right w:val="none" w:sz="0" w:space="0" w:color="auto"/>
      </w:divBdr>
      <w:divsChild>
        <w:div w:id="1585451106">
          <w:marLeft w:val="0"/>
          <w:marRight w:val="0"/>
          <w:marTop w:val="0"/>
          <w:marBottom w:val="0"/>
          <w:divBdr>
            <w:top w:val="single" w:sz="6" w:space="0" w:color="0E477A"/>
            <w:left w:val="single" w:sz="6" w:space="0" w:color="0E477A"/>
            <w:bottom w:val="single" w:sz="6" w:space="0" w:color="0E477A"/>
            <w:right w:val="single" w:sz="6" w:space="0" w:color="0E477A"/>
          </w:divBdr>
          <w:divsChild>
            <w:div w:id="2048097902">
              <w:marLeft w:val="2925"/>
              <w:marRight w:val="0"/>
              <w:marTop w:val="0"/>
              <w:marBottom w:val="0"/>
              <w:divBdr>
                <w:top w:val="none" w:sz="0" w:space="0" w:color="auto"/>
                <w:left w:val="none" w:sz="0" w:space="0" w:color="auto"/>
                <w:bottom w:val="none" w:sz="0" w:space="0" w:color="auto"/>
                <w:right w:val="none" w:sz="0" w:space="0" w:color="auto"/>
              </w:divBdr>
              <w:divsChild>
                <w:div w:id="868224538">
                  <w:marLeft w:val="0"/>
                  <w:marRight w:val="0"/>
                  <w:marTop w:val="0"/>
                  <w:marBottom w:val="0"/>
                  <w:divBdr>
                    <w:top w:val="none" w:sz="0" w:space="0" w:color="auto"/>
                    <w:left w:val="none" w:sz="0" w:space="0" w:color="auto"/>
                    <w:bottom w:val="none" w:sz="0" w:space="0" w:color="auto"/>
                    <w:right w:val="none" w:sz="0" w:space="0" w:color="auto"/>
                  </w:divBdr>
                  <w:divsChild>
                    <w:div w:id="807404305">
                      <w:marLeft w:val="0"/>
                      <w:marRight w:val="150"/>
                      <w:marTop w:val="0"/>
                      <w:marBottom w:val="0"/>
                      <w:divBdr>
                        <w:top w:val="single" w:sz="6" w:space="0" w:color="CCCCCC"/>
                        <w:left w:val="single" w:sz="6" w:space="8" w:color="CCCCCC"/>
                        <w:bottom w:val="single" w:sz="6" w:space="8" w:color="CCCCCC"/>
                        <w:right w:val="single" w:sz="6" w:space="8" w:color="CCCCCC"/>
                      </w:divBdr>
                      <w:divsChild>
                        <w:div w:id="1805811597">
                          <w:marLeft w:val="0"/>
                          <w:marRight w:val="0"/>
                          <w:marTop w:val="0"/>
                          <w:marBottom w:val="0"/>
                          <w:divBdr>
                            <w:top w:val="none" w:sz="0" w:space="0" w:color="auto"/>
                            <w:left w:val="none" w:sz="0" w:space="0" w:color="auto"/>
                            <w:bottom w:val="none" w:sz="0" w:space="0" w:color="auto"/>
                            <w:right w:val="none" w:sz="0" w:space="0" w:color="auto"/>
                          </w:divBdr>
                        </w:div>
                        <w:div w:id="19163560">
                          <w:marLeft w:val="0"/>
                          <w:marRight w:val="0"/>
                          <w:marTop w:val="0"/>
                          <w:marBottom w:val="0"/>
                          <w:divBdr>
                            <w:top w:val="none" w:sz="0" w:space="0" w:color="auto"/>
                            <w:left w:val="none" w:sz="0" w:space="0" w:color="auto"/>
                            <w:bottom w:val="none" w:sz="0" w:space="0" w:color="auto"/>
                            <w:right w:val="none" w:sz="0" w:space="0" w:color="auto"/>
                          </w:divBdr>
                        </w:div>
                        <w:div w:id="17786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857487">
      <w:bodyDiv w:val="1"/>
      <w:marLeft w:val="0"/>
      <w:marRight w:val="0"/>
      <w:marTop w:val="0"/>
      <w:marBottom w:val="0"/>
      <w:divBdr>
        <w:top w:val="none" w:sz="0" w:space="0" w:color="auto"/>
        <w:left w:val="none" w:sz="0" w:space="0" w:color="auto"/>
        <w:bottom w:val="none" w:sz="0" w:space="0" w:color="auto"/>
        <w:right w:val="none" w:sz="0" w:space="0" w:color="auto"/>
      </w:divBdr>
    </w:div>
    <w:div w:id="306865186">
      <w:bodyDiv w:val="1"/>
      <w:marLeft w:val="0"/>
      <w:marRight w:val="0"/>
      <w:marTop w:val="0"/>
      <w:marBottom w:val="0"/>
      <w:divBdr>
        <w:top w:val="none" w:sz="0" w:space="0" w:color="auto"/>
        <w:left w:val="none" w:sz="0" w:space="0" w:color="auto"/>
        <w:bottom w:val="none" w:sz="0" w:space="0" w:color="auto"/>
        <w:right w:val="none" w:sz="0" w:space="0" w:color="auto"/>
      </w:divBdr>
      <w:divsChild>
        <w:div w:id="37972903">
          <w:marLeft w:val="0"/>
          <w:marRight w:val="0"/>
          <w:marTop w:val="0"/>
          <w:marBottom w:val="0"/>
          <w:divBdr>
            <w:top w:val="none" w:sz="0" w:space="0" w:color="auto"/>
            <w:left w:val="none" w:sz="0" w:space="0" w:color="auto"/>
            <w:bottom w:val="none" w:sz="0" w:space="0" w:color="auto"/>
            <w:right w:val="none" w:sz="0" w:space="0" w:color="auto"/>
          </w:divBdr>
          <w:divsChild>
            <w:div w:id="1995834738">
              <w:marLeft w:val="0"/>
              <w:marRight w:val="0"/>
              <w:marTop w:val="0"/>
              <w:marBottom w:val="0"/>
              <w:divBdr>
                <w:top w:val="none" w:sz="0" w:space="0" w:color="auto"/>
                <w:left w:val="none" w:sz="0" w:space="0" w:color="auto"/>
                <w:bottom w:val="none" w:sz="0" w:space="0" w:color="auto"/>
                <w:right w:val="none" w:sz="0" w:space="0" w:color="auto"/>
              </w:divBdr>
              <w:divsChild>
                <w:div w:id="1247229362">
                  <w:marLeft w:val="0"/>
                  <w:marRight w:val="0"/>
                  <w:marTop w:val="0"/>
                  <w:marBottom w:val="0"/>
                  <w:divBdr>
                    <w:top w:val="none" w:sz="0" w:space="0" w:color="auto"/>
                    <w:left w:val="none" w:sz="0" w:space="0" w:color="auto"/>
                    <w:bottom w:val="none" w:sz="0" w:space="0" w:color="auto"/>
                    <w:right w:val="none" w:sz="0" w:space="0" w:color="auto"/>
                  </w:divBdr>
                  <w:divsChild>
                    <w:div w:id="1052852521">
                      <w:marLeft w:val="0"/>
                      <w:marRight w:val="0"/>
                      <w:marTop w:val="0"/>
                      <w:marBottom w:val="0"/>
                      <w:divBdr>
                        <w:top w:val="none" w:sz="0" w:space="0" w:color="auto"/>
                        <w:left w:val="none" w:sz="0" w:space="0" w:color="auto"/>
                        <w:bottom w:val="none" w:sz="0" w:space="0" w:color="auto"/>
                        <w:right w:val="none" w:sz="0" w:space="0" w:color="auto"/>
                      </w:divBdr>
                      <w:divsChild>
                        <w:div w:id="156583322">
                          <w:marLeft w:val="0"/>
                          <w:marRight w:val="0"/>
                          <w:marTop w:val="0"/>
                          <w:marBottom w:val="0"/>
                          <w:divBdr>
                            <w:top w:val="none" w:sz="0" w:space="0" w:color="auto"/>
                            <w:left w:val="none" w:sz="0" w:space="0" w:color="auto"/>
                            <w:bottom w:val="none" w:sz="0" w:space="0" w:color="auto"/>
                            <w:right w:val="none" w:sz="0" w:space="0" w:color="auto"/>
                          </w:divBdr>
                          <w:divsChild>
                            <w:div w:id="1481313231">
                              <w:marLeft w:val="0"/>
                              <w:marRight w:val="0"/>
                              <w:marTop w:val="0"/>
                              <w:marBottom w:val="0"/>
                              <w:divBdr>
                                <w:top w:val="none" w:sz="0" w:space="0" w:color="auto"/>
                                <w:left w:val="none" w:sz="0" w:space="0" w:color="auto"/>
                                <w:bottom w:val="none" w:sz="0" w:space="0" w:color="auto"/>
                                <w:right w:val="none" w:sz="0" w:space="0" w:color="auto"/>
                              </w:divBdr>
                              <w:divsChild>
                                <w:div w:id="215628890">
                                  <w:marLeft w:val="0"/>
                                  <w:marRight w:val="0"/>
                                  <w:marTop w:val="0"/>
                                  <w:marBottom w:val="0"/>
                                  <w:divBdr>
                                    <w:top w:val="none" w:sz="0" w:space="0" w:color="auto"/>
                                    <w:left w:val="none" w:sz="0" w:space="0" w:color="auto"/>
                                    <w:bottom w:val="none" w:sz="0" w:space="0" w:color="auto"/>
                                    <w:right w:val="none" w:sz="0" w:space="0" w:color="auto"/>
                                  </w:divBdr>
                                  <w:divsChild>
                                    <w:div w:id="1617833060">
                                      <w:marLeft w:val="0"/>
                                      <w:marRight w:val="0"/>
                                      <w:marTop w:val="0"/>
                                      <w:marBottom w:val="0"/>
                                      <w:divBdr>
                                        <w:top w:val="none" w:sz="0" w:space="0" w:color="auto"/>
                                        <w:left w:val="none" w:sz="0" w:space="0" w:color="auto"/>
                                        <w:bottom w:val="none" w:sz="0" w:space="0" w:color="auto"/>
                                        <w:right w:val="none" w:sz="0" w:space="0" w:color="auto"/>
                                      </w:divBdr>
                                      <w:divsChild>
                                        <w:div w:id="1219434717">
                                          <w:marLeft w:val="0"/>
                                          <w:marRight w:val="0"/>
                                          <w:marTop w:val="0"/>
                                          <w:marBottom w:val="0"/>
                                          <w:divBdr>
                                            <w:top w:val="none" w:sz="0" w:space="0" w:color="auto"/>
                                            <w:left w:val="none" w:sz="0" w:space="0" w:color="auto"/>
                                            <w:bottom w:val="none" w:sz="0" w:space="0" w:color="auto"/>
                                            <w:right w:val="none" w:sz="0" w:space="0" w:color="auto"/>
                                          </w:divBdr>
                                        </w:div>
                                        <w:div w:id="1669362361">
                                          <w:marLeft w:val="0"/>
                                          <w:marRight w:val="0"/>
                                          <w:marTop w:val="0"/>
                                          <w:marBottom w:val="0"/>
                                          <w:divBdr>
                                            <w:top w:val="none" w:sz="0" w:space="0" w:color="auto"/>
                                            <w:left w:val="none" w:sz="0" w:space="0" w:color="auto"/>
                                            <w:bottom w:val="none" w:sz="0" w:space="0" w:color="auto"/>
                                            <w:right w:val="none" w:sz="0" w:space="0" w:color="auto"/>
                                          </w:divBdr>
                                          <w:divsChild>
                                            <w:div w:id="9066444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051264">
      <w:bodyDiv w:val="1"/>
      <w:marLeft w:val="0"/>
      <w:marRight w:val="0"/>
      <w:marTop w:val="0"/>
      <w:marBottom w:val="0"/>
      <w:divBdr>
        <w:top w:val="none" w:sz="0" w:space="0" w:color="auto"/>
        <w:left w:val="none" w:sz="0" w:space="0" w:color="auto"/>
        <w:bottom w:val="none" w:sz="0" w:space="0" w:color="auto"/>
        <w:right w:val="none" w:sz="0" w:space="0" w:color="auto"/>
      </w:divBdr>
      <w:divsChild>
        <w:div w:id="1419256024">
          <w:marLeft w:val="0"/>
          <w:marRight w:val="0"/>
          <w:marTop w:val="0"/>
          <w:marBottom w:val="0"/>
          <w:divBdr>
            <w:top w:val="none" w:sz="0" w:space="0" w:color="auto"/>
            <w:left w:val="none" w:sz="0" w:space="0" w:color="auto"/>
            <w:bottom w:val="none" w:sz="0" w:space="0" w:color="auto"/>
            <w:right w:val="none" w:sz="0" w:space="0" w:color="auto"/>
          </w:divBdr>
          <w:divsChild>
            <w:div w:id="1595094068">
              <w:marLeft w:val="0"/>
              <w:marRight w:val="0"/>
              <w:marTop w:val="0"/>
              <w:marBottom w:val="0"/>
              <w:divBdr>
                <w:top w:val="none" w:sz="0" w:space="0" w:color="auto"/>
                <w:left w:val="none" w:sz="0" w:space="0" w:color="auto"/>
                <w:bottom w:val="none" w:sz="0" w:space="0" w:color="auto"/>
                <w:right w:val="none" w:sz="0" w:space="0" w:color="auto"/>
              </w:divBdr>
              <w:divsChild>
                <w:div w:id="615874475">
                  <w:marLeft w:val="-225"/>
                  <w:marRight w:val="-225"/>
                  <w:marTop w:val="0"/>
                  <w:marBottom w:val="0"/>
                  <w:divBdr>
                    <w:top w:val="none" w:sz="0" w:space="0" w:color="auto"/>
                    <w:left w:val="none" w:sz="0" w:space="0" w:color="auto"/>
                    <w:bottom w:val="none" w:sz="0" w:space="0" w:color="auto"/>
                    <w:right w:val="none" w:sz="0" w:space="0" w:color="auto"/>
                  </w:divBdr>
                  <w:divsChild>
                    <w:div w:id="762259673">
                      <w:marLeft w:val="0"/>
                      <w:marRight w:val="0"/>
                      <w:marTop w:val="0"/>
                      <w:marBottom w:val="0"/>
                      <w:divBdr>
                        <w:top w:val="none" w:sz="0" w:space="0" w:color="auto"/>
                        <w:left w:val="none" w:sz="0" w:space="0" w:color="auto"/>
                        <w:bottom w:val="none" w:sz="0" w:space="0" w:color="auto"/>
                        <w:right w:val="none" w:sz="0" w:space="0" w:color="auto"/>
                      </w:divBdr>
                      <w:divsChild>
                        <w:div w:id="575557685">
                          <w:marLeft w:val="0"/>
                          <w:marRight w:val="0"/>
                          <w:marTop w:val="300"/>
                          <w:marBottom w:val="0"/>
                          <w:divBdr>
                            <w:top w:val="none" w:sz="0" w:space="0" w:color="auto"/>
                            <w:left w:val="none" w:sz="0" w:space="0" w:color="auto"/>
                            <w:bottom w:val="none" w:sz="0" w:space="0" w:color="auto"/>
                            <w:right w:val="none" w:sz="0" w:space="0" w:color="auto"/>
                          </w:divBdr>
                          <w:divsChild>
                            <w:div w:id="1573389286">
                              <w:marLeft w:val="0"/>
                              <w:marRight w:val="0"/>
                              <w:marTop w:val="0"/>
                              <w:marBottom w:val="0"/>
                              <w:divBdr>
                                <w:top w:val="none" w:sz="0" w:space="0" w:color="auto"/>
                                <w:left w:val="none" w:sz="0" w:space="0" w:color="auto"/>
                                <w:bottom w:val="none" w:sz="0" w:space="0" w:color="auto"/>
                                <w:right w:val="none" w:sz="0" w:space="0" w:color="auto"/>
                              </w:divBdr>
                              <w:divsChild>
                                <w:div w:id="4982420">
                                  <w:marLeft w:val="0"/>
                                  <w:marRight w:val="0"/>
                                  <w:marTop w:val="0"/>
                                  <w:marBottom w:val="0"/>
                                  <w:divBdr>
                                    <w:top w:val="none" w:sz="0" w:space="0" w:color="auto"/>
                                    <w:left w:val="none" w:sz="0" w:space="0" w:color="auto"/>
                                    <w:bottom w:val="none" w:sz="0" w:space="0" w:color="auto"/>
                                    <w:right w:val="none" w:sz="0" w:space="0" w:color="auto"/>
                                  </w:divBdr>
                                  <w:divsChild>
                                    <w:div w:id="521094866">
                                      <w:marLeft w:val="0"/>
                                      <w:marRight w:val="0"/>
                                      <w:marTop w:val="0"/>
                                      <w:marBottom w:val="0"/>
                                      <w:divBdr>
                                        <w:top w:val="none" w:sz="0" w:space="0" w:color="auto"/>
                                        <w:left w:val="none" w:sz="0" w:space="0" w:color="auto"/>
                                        <w:bottom w:val="none" w:sz="0" w:space="0" w:color="auto"/>
                                        <w:right w:val="none" w:sz="0" w:space="0" w:color="auto"/>
                                      </w:divBdr>
                                      <w:divsChild>
                                        <w:div w:id="5017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097333">
      <w:bodyDiv w:val="1"/>
      <w:marLeft w:val="0"/>
      <w:marRight w:val="0"/>
      <w:marTop w:val="0"/>
      <w:marBottom w:val="0"/>
      <w:divBdr>
        <w:top w:val="none" w:sz="0" w:space="0" w:color="auto"/>
        <w:left w:val="none" w:sz="0" w:space="0" w:color="auto"/>
        <w:bottom w:val="none" w:sz="0" w:space="0" w:color="auto"/>
        <w:right w:val="none" w:sz="0" w:space="0" w:color="auto"/>
      </w:divBdr>
      <w:divsChild>
        <w:div w:id="251209838">
          <w:marLeft w:val="0"/>
          <w:marRight w:val="0"/>
          <w:marTop w:val="0"/>
          <w:marBottom w:val="0"/>
          <w:divBdr>
            <w:top w:val="single" w:sz="6" w:space="0" w:color="0E477A"/>
            <w:left w:val="single" w:sz="6" w:space="0" w:color="0E477A"/>
            <w:bottom w:val="single" w:sz="6" w:space="0" w:color="0E477A"/>
            <w:right w:val="single" w:sz="6" w:space="0" w:color="0E477A"/>
          </w:divBdr>
          <w:divsChild>
            <w:div w:id="297803792">
              <w:marLeft w:val="0"/>
              <w:marRight w:val="0"/>
              <w:marTop w:val="0"/>
              <w:marBottom w:val="0"/>
              <w:divBdr>
                <w:top w:val="none" w:sz="0" w:space="0" w:color="auto"/>
                <w:left w:val="none" w:sz="0" w:space="0" w:color="auto"/>
                <w:bottom w:val="none" w:sz="0" w:space="0" w:color="auto"/>
                <w:right w:val="none" w:sz="0" w:space="0" w:color="auto"/>
              </w:divBdr>
              <w:divsChild>
                <w:div w:id="276301948">
                  <w:marLeft w:val="0"/>
                  <w:marRight w:val="0"/>
                  <w:marTop w:val="0"/>
                  <w:marBottom w:val="0"/>
                  <w:divBdr>
                    <w:top w:val="none" w:sz="0" w:space="0" w:color="auto"/>
                    <w:left w:val="none" w:sz="0" w:space="0" w:color="auto"/>
                    <w:bottom w:val="none" w:sz="0" w:space="0" w:color="auto"/>
                    <w:right w:val="none" w:sz="0" w:space="0" w:color="auto"/>
                  </w:divBdr>
                  <w:divsChild>
                    <w:div w:id="646981141">
                      <w:marLeft w:val="0"/>
                      <w:marRight w:val="0"/>
                      <w:marTop w:val="0"/>
                      <w:marBottom w:val="0"/>
                      <w:divBdr>
                        <w:top w:val="none" w:sz="0" w:space="0" w:color="auto"/>
                        <w:left w:val="none" w:sz="0" w:space="0" w:color="auto"/>
                        <w:bottom w:val="none" w:sz="0" w:space="0" w:color="auto"/>
                        <w:right w:val="none" w:sz="0" w:space="0" w:color="auto"/>
                      </w:divBdr>
                      <w:divsChild>
                        <w:div w:id="901913723">
                          <w:marLeft w:val="0"/>
                          <w:marRight w:val="0"/>
                          <w:marTop w:val="0"/>
                          <w:marBottom w:val="0"/>
                          <w:divBdr>
                            <w:top w:val="none" w:sz="0" w:space="0" w:color="auto"/>
                            <w:left w:val="none" w:sz="0" w:space="0" w:color="auto"/>
                            <w:bottom w:val="none" w:sz="0" w:space="0" w:color="auto"/>
                            <w:right w:val="none" w:sz="0" w:space="0" w:color="auto"/>
                          </w:divBdr>
                          <w:divsChild>
                            <w:div w:id="407578004">
                              <w:marLeft w:val="0"/>
                              <w:marRight w:val="0"/>
                              <w:marTop w:val="0"/>
                              <w:marBottom w:val="0"/>
                              <w:divBdr>
                                <w:top w:val="none" w:sz="0" w:space="0" w:color="auto"/>
                                <w:left w:val="none" w:sz="0" w:space="0" w:color="auto"/>
                                <w:bottom w:val="none" w:sz="0" w:space="0" w:color="auto"/>
                                <w:right w:val="none" w:sz="0" w:space="0" w:color="auto"/>
                              </w:divBdr>
                              <w:divsChild>
                                <w:div w:id="1218399104">
                                  <w:marLeft w:val="0"/>
                                  <w:marRight w:val="0"/>
                                  <w:marTop w:val="0"/>
                                  <w:marBottom w:val="0"/>
                                  <w:divBdr>
                                    <w:top w:val="none" w:sz="0" w:space="0" w:color="auto"/>
                                    <w:left w:val="none" w:sz="0" w:space="0" w:color="auto"/>
                                    <w:bottom w:val="none" w:sz="0" w:space="0" w:color="auto"/>
                                    <w:right w:val="none" w:sz="0" w:space="0" w:color="auto"/>
                                  </w:divBdr>
                                  <w:divsChild>
                                    <w:div w:id="431363335">
                                      <w:marLeft w:val="0"/>
                                      <w:marRight w:val="0"/>
                                      <w:marTop w:val="0"/>
                                      <w:marBottom w:val="0"/>
                                      <w:divBdr>
                                        <w:top w:val="none" w:sz="0" w:space="0" w:color="auto"/>
                                        <w:left w:val="none" w:sz="0" w:space="0" w:color="auto"/>
                                        <w:bottom w:val="none" w:sz="0" w:space="0" w:color="auto"/>
                                        <w:right w:val="none" w:sz="0" w:space="0" w:color="auto"/>
                                      </w:divBdr>
                                      <w:divsChild>
                                        <w:div w:id="583418325">
                                          <w:marLeft w:val="0"/>
                                          <w:marRight w:val="0"/>
                                          <w:marTop w:val="0"/>
                                          <w:marBottom w:val="0"/>
                                          <w:divBdr>
                                            <w:top w:val="none" w:sz="0" w:space="0" w:color="auto"/>
                                            <w:left w:val="none" w:sz="0" w:space="0" w:color="auto"/>
                                            <w:bottom w:val="none" w:sz="0" w:space="0" w:color="auto"/>
                                            <w:right w:val="none" w:sz="0" w:space="0" w:color="auto"/>
                                          </w:divBdr>
                                          <w:divsChild>
                                            <w:div w:id="255748781">
                                              <w:marLeft w:val="0"/>
                                              <w:marRight w:val="0"/>
                                              <w:marTop w:val="0"/>
                                              <w:marBottom w:val="0"/>
                                              <w:divBdr>
                                                <w:top w:val="none" w:sz="0" w:space="0" w:color="auto"/>
                                                <w:left w:val="none" w:sz="0" w:space="0" w:color="auto"/>
                                                <w:bottom w:val="none" w:sz="0" w:space="0" w:color="auto"/>
                                                <w:right w:val="none" w:sz="0" w:space="0" w:color="auto"/>
                                              </w:divBdr>
                                              <w:divsChild>
                                                <w:div w:id="1331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023182">
      <w:bodyDiv w:val="1"/>
      <w:marLeft w:val="0"/>
      <w:marRight w:val="0"/>
      <w:marTop w:val="0"/>
      <w:marBottom w:val="0"/>
      <w:divBdr>
        <w:top w:val="none" w:sz="0" w:space="0" w:color="auto"/>
        <w:left w:val="none" w:sz="0" w:space="0" w:color="auto"/>
        <w:bottom w:val="none" w:sz="0" w:space="0" w:color="auto"/>
        <w:right w:val="none" w:sz="0" w:space="0" w:color="auto"/>
      </w:divBdr>
      <w:divsChild>
        <w:div w:id="1849521117">
          <w:marLeft w:val="0"/>
          <w:marRight w:val="0"/>
          <w:marTop w:val="0"/>
          <w:marBottom w:val="0"/>
          <w:divBdr>
            <w:top w:val="none" w:sz="0" w:space="0" w:color="auto"/>
            <w:left w:val="none" w:sz="0" w:space="0" w:color="auto"/>
            <w:bottom w:val="none" w:sz="0" w:space="0" w:color="auto"/>
            <w:right w:val="none" w:sz="0" w:space="0" w:color="auto"/>
          </w:divBdr>
          <w:divsChild>
            <w:div w:id="1723141377">
              <w:marLeft w:val="0"/>
              <w:marRight w:val="0"/>
              <w:marTop w:val="0"/>
              <w:marBottom w:val="0"/>
              <w:divBdr>
                <w:top w:val="none" w:sz="0" w:space="0" w:color="auto"/>
                <w:left w:val="none" w:sz="0" w:space="0" w:color="auto"/>
                <w:bottom w:val="none" w:sz="0" w:space="0" w:color="auto"/>
                <w:right w:val="none" w:sz="0" w:space="0" w:color="auto"/>
              </w:divBdr>
              <w:divsChild>
                <w:div w:id="2045910568">
                  <w:marLeft w:val="0"/>
                  <w:marRight w:val="0"/>
                  <w:marTop w:val="0"/>
                  <w:marBottom w:val="0"/>
                  <w:divBdr>
                    <w:top w:val="none" w:sz="0" w:space="0" w:color="auto"/>
                    <w:left w:val="none" w:sz="0" w:space="0" w:color="auto"/>
                    <w:bottom w:val="none" w:sz="0" w:space="0" w:color="auto"/>
                    <w:right w:val="none" w:sz="0" w:space="0" w:color="auto"/>
                  </w:divBdr>
                  <w:divsChild>
                    <w:div w:id="1494831760">
                      <w:marLeft w:val="0"/>
                      <w:marRight w:val="0"/>
                      <w:marTop w:val="0"/>
                      <w:marBottom w:val="0"/>
                      <w:divBdr>
                        <w:top w:val="none" w:sz="0" w:space="0" w:color="auto"/>
                        <w:left w:val="none" w:sz="0" w:space="0" w:color="auto"/>
                        <w:bottom w:val="none" w:sz="0" w:space="0" w:color="auto"/>
                        <w:right w:val="none" w:sz="0" w:space="0" w:color="auto"/>
                      </w:divBdr>
                      <w:divsChild>
                        <w:div w:id="983697107">
                          <w:marLeft w:val="570"/>
                          <w:marRight w:val="720"/>
                          <w:marTop w:val="120"/>
                          <w:marBottom w:val="120"/>
                          <w:divBdr>
                            <w:top w:val="none" w:sz="0" w:space="0" w:color="auto"/>
                            <w:left w:val="none" w:sz="0" w:space="0" w:color="auto"/>
                            <w:bottom w:val="none" w:sz="0" w:space="0" w:color="auto"/>
                            <w:right w:val="none" w:sz="0" w:space="0" w:color="auto"/>
                          </w:divBdr>
                          <w:divsChild>
                            <w:div w:id="2028674699">
                              <w:marLeft w:val="0"/>
                              <w:marRight w:val="0"/>
                              <w:marTop w:val="0"/>
                              <w:marBottom w:val="0"/>
                              <w:divBdr>
                                <w:top w:val="none" w:sz="0" w:space="0" w:color="auto"/>
                                <w:left w:val="none" w:sz="0" w:space="0" w:color="auto"/>
                                <w:bottom w:val="none" w:sz="0" w:space="0" w:color="auto"/>
                                <w:right w:val="none" w:sz="0" w:space="0" w:color="auto"/>
                              </w:divBdr>
                              <w:divsChild>
                                <w:div w:id="465706379">
                                  <w:marLeft w:val="0"/>
                                  <w:marRight w:val="0"/>
                                  <w:marTop w:val="0"/>
                                  <w:marBottom w:val="0"/>
                                  <w:divBdr>
                                    <w:top w:val="none" w:sz="0" w:space="0" w:color="auto"/>
                                    <w:left w:val="none" w:sz="0" w:space="0" w:color="auto"/>
                                    <w:bottom w:val="none" w:sz="0" w:space="0" w:color="auto"/>
                                    <w:right w:val="none" w:sz="0" w:space="0" w:color="auto"/>
                                  </w:divBdr>
                                  <w:divsChild>
                                    <w:div w:id="112020639">
                                      <w:marLeft w:val="0"/>
                                      <w:marRight w:val="0"/>
                                      <w:marTop w:val="0"/>
                                      <w:marBottom w:val="0"/>
                                      <w:divBdr>
                                        <w:top w:val="none" w:sz="0" w:space="0" w:color="auto"/>
                                        <w:left w:val="none" w:sz="0" w:space="0" w:color="auto"/>
                                        <w:bottom w:val="none" w:sz="0" w:space="0" w:color="auto"/>
                                        <w:right w:val="none" w:sz="0" w:space="0" w:color="auto"/>
                                      </w:divBdr>
                                      <w:divsChild>
                                        <w:div w:id="382024826">
                                          <w:marLeft w:val="0"/>
                                          <w:marRight w:val="0"/>
                                          <w:marTop w:val="240"/>
                                          <w:marBottom w:val="240"/>
                                          <w:divBdr>
                                            <w:top w:val="single" w:sz="6" w:space="6" w:color="F2F2F2"/>
                                            <w:left w:val="none" w:sz="0" w:space="0" w:color="auto"/>
                                            <w:bottom w:val="single" w:sz="6" w:space="6" w:color="F2F2F2"/>
                                            <w:right w:val="none" w:sz="0" w:space="0" w:color="auto"/>
                                          </w:divBdr>
                                        </w:div>
                                        <w:div w:id="534387631">
                                          <w:marLeft w:val="0"/>
                                          <w:marRight w:val="0"/>
                                          <w:marTop w:val="0"/>
                                          <w:marBottom w:val="0"/>
                                          <w:divBdr>
                                            <w:top w:val="none" w:sz="0" w:space="0" w:color="auto"/>
                                            <w:left w:val="none" w:sz="0" w:space="0" w:color="auto"/>
                                            <w:bottom w:val="none" w:sz="0" w:space="0" w:color="auto"/>
                                            <w:right w:val="none" w:sz="0" w:space="0" w:color="auto"/>
                                          </w:divBdr>
                                          <w:divsChild>
                                            <w:div w:id="8125262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410981">
      <w:bodyDiv w:val="1"/>
      <w:marLeft w:val="0"/>
      <w:marRight w:val="0"/>
      <w:marTop w:val="0"/>
      <w:marBottom w:val="0"/>
      <w:divBdr>
        <w:top w:val="none" w:sz="0" w:space="0" w:color="auto"/>
        <w:left w:val="none" w:sz="0" w:space="0" w:color="auto"/>
        <w:bottom w:val="none" w:sz="0" w:space="0" w:color="auto"/>
        <w:right w:val="none" w:sz="0" w:space="0" w:color="auto"/>
      </w:divBdr>
      <w:divsChild>
        <w:div w:id="1815754373">
          <w:marLeft w:val="0"/>
          <w:marRight w:val="0"/>
          <w:marTop w:val="0"/>
          <w:marBottom w:val="0"/>
          <w:divBdr>
            <w:top w:val="none" w:sz="0" w:space="0" w:color="auto"/>
            <w:left w:val="none" w:sz="0" w:space="0" w:color="auto"/>
            <w:bottom w:val="none" w:sz="0" w:space="0" w:color="auto"/>
            <w:right w:val="none" w:sz="0" w:space="0" w:color="auto"/>
          </w:divBdr>
          <w:divsChild>
            <w:div w:id="947857927">
              <w:marLeft w:val="0"/>
              <w:marRight w:val="0"/>
              <w:marTop w:val="0"/>
              <w:marBottom w:val="0"/>
              <w:divBdr>
                <w:top w:val="none" w:sz="0" w:space="0" w:color="auto"/>
                <w:left w:val="none" w:sz="0" w:space="0" w:color="auto"/>
                <w:bottom w:val="none" w:sz="0" w:space="0" w:color="auto"/>
                <w:right w:val="none" w:sz="0" w:space="0" w:color="auto"/>
              </w:divBdr>
              <w:divsChild>
                <w:div w:id="1495879327">
                  <w:marLeft w:val="0"/>
                  <w:marRight w:val="0"/>
                  <w:marTop w:val="0"/>
                  <w:marBottom w:val="0"/>
                  <w:divBdr>
                    <w:top w:val="none" w:sz="0" w:space="0" w:color="auto"/>
                    <w:left w:val="none" w:sz="0" w:space="0" w:color="auto"/>
                    <w:bottom w:val="none" w:sz="0" w:space="0" w:color="auto"/>
                    <w:right w:val="none" w:sz="0" w:space="0" w:color="auto"/>
                  </w:divBdr>
                  <w:divsChild>
                    <w:div w:id="1448623914">
                      <w:marLeft w:val="0"/>
                      <w:marRight w:val="0"/>
                      <w:marTop w:val="0"/>
                      <w:marBottom w:val="0"/>
                      <w:divBdr>
                        <w:top w:val="none" w:sz="0" w:space="0" w:color="auto"/>
                        <w:left w:val="none" w:sz="0" w:space="0" w:color="auto"/>
                        <w:bottom w:val="none" w:sz="0" w:space="0" w:color="auto"/>
                        <w:right w:val="none" w:sz="0" w:space="0" w:color="auto"/>
                      </w:divBdr>
                      <w:divsChild>
                        <w:div w:id="874849965">
                          <w:marLeft w:val="0"/>
                          <w:marRight w:val="0"/>
                          <w:marTop w:val="0"/>
                          <w:marBottom w:val="0"/>
                          <w:divBdr>
                            <w:top w:val="none" w:sz="0" w:space="0" w:color="auto"/>
                            <w:left w:val="none" w:sz="0" w:space="0" w:color="auto"/>
                            <w:bottom w:val="none" w:sz="0" w:space="0" w:color="auto"/>
                            <w:right w:val="none" w:sz="0" w:space="0" w:color="auto"/>
                          </w:divBdr>
                          <w:divsChild>
                            <w:div w:id="243341325">
                              <w:marLeft w:val="0"/>
                              <w:marRight w:val="0"/>
                              <w:marTop w:val="0"/>
                              <w:marBottom w:val="0"/>
                              <w:divBdr>
                                <w:top w:val="none" w:sz="0" w:space="0" w:color="auto"/>
                                <w:left w:val="none" w:sz="0" w:space="0" w:color="auto"/>
                                <w:bottom w:val="none" w:sz="0" w:space="0" w:color="auto"/>
                                <w:right w:val="none" w:sz="0" w:space="0" w:color="auto"/>
                              </w:divBdr>
                              <w:divsChild>
                                <w:div w:id="743915963">
                                  <w:marLeft w:val="-375"/>
                                  <w:marRight w:val="0"/>
                                  <w:marTop w:val="0"/>
                                  <w:marBottom w:val="0"/>
                                  <w:divBdr>
                                    <w:top w:val="none" w:sz="0" w:space="0" w:color="auto"/>
                                    <w:left w:val="none" w:sz="0" w:space="0" w:color="auto"/>
                                    <w:bottom w:val="none" w:sz="0" w:space="0" w:color="auto"/>
                                    <w:right w:val="none" w:sz="0" w:space="0" w:color="auto"/>
                                  </w:divBdr>
                                  <w:divsChild>
                                    <w:div w:id="1060784488">
                                      <w:marLeft w:val="0"/>
                                      <w:marRight w:val="0"/>
                                      <w:marTop w:val="0"/>
                                      <w:marBottom w:val="0"/>
                                      <w:divBdr>
                                        <w:top w:val="none" w:sz="0" w:space="0" w:color="auto"/>
                                        <w:left w:val="none" w:sz="0" w:space="0" w:color="auto"/>
                                        <w:bottom w:val="none" w:sz="0" w:space="0" w:color="auto"/>
                                        <w:right w:val="none" w:sz="0" w:space="0" w:color="auto"/>
                                      </w:divBdr>
                                    </w:div>
                                  </w:divsChild>
                                </w:div>
                                <w:div w:id="1212883450">
                                  <w:marLeft w:val="-375"/>
                                  <w:marRight w:val="0"/>
                                  <w:marTop w:val="0"/>
                                  <w:marBottom w:val="0"/>
                                  <w:divBdr>
                                    <w:top w:val="none" w:sz="0" w:space="0" w:color="auto"/>
                                    <w:left w:val="none" w:sz="0" w:space="0" w:color="auto"/>
                                    <w:bottom w:val="none" w:sz="0" w:space="0" w:color="auto"/>
                                    <w:right w:val="none" w:sz="0" w:space="0" w:color="auto"/>
                                  </w:divBdr>
                                  <w:divsChild>
                                    <w:div w:id="1916671873">
                                      <w:marLeft w:val="0"/>
                                      <w:marRight w:val="0"/>
                                      <w:marTop w:val="0"/>
                                      <w:marBottom w:val="0"/>
                                      <w:divBdr>
                                        <w:top w:val="none" w:sz="0" w:space="0" w:color="auto"/>
                                        <w:left w:val="none" w:sz="0" w:space="0" w:color="auto"/>
                                        <w:bottom w:val="none" w:sz="0" w:space="0" w:color="auto"/>
                                        <w:right w:val="none" w:sz="0" w:space="0" w:color="auto"/>
                                      </w:divBdr>
                                      <w:divsChild>
                                        <w:div w:id="9069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016786">
      <w:bodyDiv w:val="1"/>
      <w:marLeft w:val="0"/>
      <w:marRight w:val="0"/>
      <w:marTop w:val="0"/>
      <w:marBottom w:val="0"/>
      <w:divBdr>
        <w:top w:val="none" w:sz="0" w:space="0" w:color="auto"/>
        <w:left w:val="none" w:sz="0" w:space="0" w:color="auto"/>
        <w:bottom w:val="none" w:sz="0" w:space="0" w:color="auto"/>
        <w:right w:val="none" w:sz="0" w:space="0" w:color="auto"/>
      </w:divBdr>
      <w:divsChild>
        <w:div w:id="78992060">
          <w:marLeft w:val="0"/>
          <w:marRight w:val="0"/>
          <w:marTop w:val="0"/>
          <w:marBottom w:val="0"/>
          <w:divBdr>
            <w:top w:val="none" w:sz="0" w:space="0" w:color="auto"/>
            <w:left w:val="none" w:sz="0" w:space="0" w:color="auto"/>
            <w:bottom w:val="none" w:sz="0" w:space="0" w:color="auto"/>
            <w:right w:val="none" w:sz="0" w:space="0" w:color="auto"/>
          </w:divBdr>
          <w:divsChild>
            <w:div w:id="1137339923">
              <w:marLeft w:val="0"/>
              <w:marRight w:val="0"/>
              <w:marTop w:val="0"/>
              <w:marBottom w:val="0"/>
              <w:divBdr>
                <w:top w:val="none" w:sz="0" w:space="0" w:color="auto"/>
                <w:left w:val="none" w:sz="0" w:space="0" w:color="auto"/>
                <w:bottom w:val="none" w:sz="0" w:space="0" w:color="auto"/>
                <w:right w:val="none" w:sz="0" w:space="0" w:color="auto"/>
              </w:divBdr>
              <w:divsChild>
                <w:div w:id="160971555">
                  <w:marLeft w:val="0"/>
                  <w:marRight w:val="0"/>
                  <w:marTop w:val="0"/>
                  <w:marBottom w:val="0"/>
                  <w:divBdr>
                    <w:top w:val="none" w:sz="0" w:space="0" w:color="auto"/>
                    <w:left w:val="none" w:sz="0" w:space="0" w:color="auto"/>
                    <w:bottom w:val="none" w:sz="0" w:space="0" w:color="auto"/>
                    <w:right w:val="none" w:sz="0" w:space="0" w:color="auto"/>
                  </w:divBdr>
                  <w:divsChild>
                    <w:div w:id="2518144">
                      <w:marLeft w:val="0"/>
                      <w:marRight w:val="0"/>
                      <w:marTop w:val="0"/>
                      <w:marBottom w:val="0"/>
                      <w:divBdr>
                        <w:top w:val="none" w:sz="0" w:space="0" w:color="auto"/>
                        <w:left w:val="none" w:sz="0" w:space="0" w:color="auto"/>
                        <w:bottom w:val="none" w:sz="0" w:space="0" w:color="auto"/>
                        <w:right w:val="none" w:sz="0" w:space="0" w:color="auto"/>
                      </w:divBdr>
                      <w:divsChild>
                        <w:div w:id="418796907">
                          <w:marLeft w:val="0"/>
                          <w:marRight w:val="0"/>
                          <w:marTop w:val="0"/>
                          <w:marBottom w:val="0"/>
                          <w:divBdr>
                            <w:top w:val="none" w:sz="0" w:space="0" w:color="auto"/>
                            <w:left w:val="none" w:sz="0" w:space="0" w:color="auto"/>
                            <w:bottom w:val="none" w:sz="0" w:space="0" w:color="auto"/>
                            <w:right w:val="none" w:sz="0" w:space="0" w:color="auto"/>
                          </w:divBdr>
                          <w:divsChild>
                            <w:div w:id="755787734">
                              <w:marLeft w:val="0"/>
                              <w:marRight w:val="0"/>
                              <w:marTop w:val="0"/>
                              <w:marBottom w:val="0"/>
                              <w:divBdr>
                                <w:top w:val="none" w:sz="0" w:space="0" w:color="auto"/>
                                <w:left w:val="none" w:sz="0" w:space="0" w:color="auto"/>
                                <w:bottom w:val="none" w:sz="0" w:space="0" w:color="auto"/>
                                <w:right w:val="none" w:sz="0" w:space="0" w:color="auto"/>
                              </w:divBdr>
                              <w:divsChild>
                                <w:div w:id="228197547">
                                  <w:marLeft w:val="0"/>
                                  <w:marRight w:val="0"/>
                                  <w:marTop w:val="0"/>
                                  <w:marBottom w:val="0"/>
                                  <w:divBdr>
                                    <w:top w:val="none" w:sz="0" w:space="0" w:color="auto"/>
                                    <w:left w:val="none" w:sz="0" w:space="0" w:color="auto"/>
                                    <w:bottom w:val="none" w:sz="0" w:space="0" w:color="auto"/>
                                    <w:right w:val="none" w:sz="0" w:space="0" w:color="auto"/>
                                  </w:divBdr>
                                  <w:divsChild>
                                    <w:div w:id="1770273616">
                                      <w:marLeft w:val="0"/>
                                      <w:marRight w:val="0"/>
                                      <w:marTop w:val="0"/>
                                      <w:marBottom w:val="0"/>
                                      <w:divBdr>
                                        <w:top w:val="none" w:sz="0" w:space="0" w:color="auto"/>
                                        <w:left w:val="none" w:sz="0" w:space="0" w:color="auto"/>
                                        <w:bottom w:val="none" w:sz="0" w:space="0" w:color="auto"/>
                                        <w:right w:val="none" w:sz="0" w:space="0" w:color="auto"/>
                                      </w:divBdr>
                                      <w:divsChild>
                                        <w:div w:id="18288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327390">
      <w:bodyDiv w:val="1"/>
      <w:marLeft w:val="0"/>
      <w:marRight w:val="0"/>
      <w:marTop w:val="0"/>
      <w:marBottom w:val="0"/>
      <w:divBdr>
        <w:top w:val="none" w:sz="0" w:space="0" w:color="auto"/>
        <w:left w:val="none" w:sz="0" w:space="0" w:color="auto"/>
        <w:bottom w:val="none" w:sz="0" w:space="0" w:color="auto"/>
        <w:right w:val="none" w:sz="0" w:space="0" w:color="auto"/>
      </w:divBdr>
    </w:div>
    <w:div w:id="312218467">
      <w:bodyDiv w:val="1"/>
      <w:marLeft w:val="0"/>
      <w:marRight w:val="0"/>
      <w:marTop w:val="0"/>
      <w:marBottom w:val="0"/>
      <w:divBdr>
        <w:top w:val="none" w:sz="0" w:space="0" w:color="auto"/>
        <w:left w:val="none" w:sz="0" w:space="0" w:color="auto"/>
        <w:bottom w:val="none" w:sz="0" w:space="0" w:color="auto"/>
        <w:right w:val="none" w:sz="0" w:space="0" w:color="auto"/>
      </w:divBdr>
      <w:divsChild>
        <w:div w:id="200632177">
          <w:marLeft w:val="0"/>
          <w:marRight w:val="0"/>
          <w:marTop w:val="0"/>
          <w:marBottom w:val="0"/>
          <w:divBdr>
            <w:top w:val="none" w:sz="0" w:space="0" w:color="auto"/>
            <w:left w:val="none" w:sz="0" w:space="0" w:color="auto"/>
            <w:bottom w:val="none" w:sz="0" w:space="0" w:color="auto"/>
            <w:right w:val="none" w:sz="0" w:space="0" w:color="auto"/>
          </w:divBdr>
          <w:divsChild>
            <w:div w:id="1660890959">
              <w:marLeft w:val="0"/>
              <w:marRight w:val="0"/>
              <w:marTop w:val="0"/>
              <w:marBottom w:val="0"/>
              <w:divBdr>
                <w:top w:val="none" w:sz="0" w:space="0" w:color="auto"/>
                <w:left w:val="none" w:sz="0" w:space="0" w:color="auto"/>
                <w:bottom w:val="none" w:sz="0" w:space="0" w:color="auto"/>
                <w:right w:val="none" w:sz="0" w:space="0" w:color="auto"/>
              </w:divBdr>
              <w:divsChild>
                <w:div w:id="1362591355">
                  <w:marLeft w:val="0"/>
                  <w:marRight w:val="0"/>
                  <w:marTop w:val="0"/>
                  <w:marBottom w:val="0"/>
                  <w:divBdr>
                    <w:top w:val="none" w:sz="0" w:space="0" w:color="auto"/>
                    <w:left w:val="none" w:sz="0" w:space="0" w:color="auto"/>
                    <w:bottom w:val="none" w:sz="0" w:space="0" w:color="auto"/>
                    <w:right w:val="none" w:sz="0" w:space="0" w:color="auto"/>
                  </w:divBdr>
                  <w:divsChild>
                    <w:div w:id="1998218669">
                      <w:marLeft w:val="0"/>
                      <w:marRight w:val="0"/>
                      <w:marTop w:val="300"/>
                      <w:marBottom w:val="600"/>
                      <w:divBdr>
                        <w:top w:val="none" w:sz="0" w:space="0" w:color="auto"/>
                        <w:left w:val="none" w:sz="0" w:space="0" w:color="auto"/>
                        <w:bottom w:val="none" w:sz="0" w:space="0" w:color="auto"/>
                        <w:right w:val="none" w:sz="0" w:space="0" w:color="auto"/>
                      </w:divBdr>
                      <w:divsChild>
                        <w:div w:id="697659343">
                          <w:marLeft w:val="0"/>
                          <w:marRight w:val="0"/>
                          <w:marTop w:val="0"/>
                          <w:marBottom w:val="0"/>
                          <w:divBdr>
                            <w:top w:val="none" w:sz="0" w:space="0" w:color="auto"/>
                            <w:left w:val="none" w:sz="0" w:space="0" w:color="auto"/>
                            <w:bottom w:val="none" w:sz="0" w:space="0" w:color="auto"/>
                            <w:right w:val="none" w:sz="0" w:space="0" w:color="auto"/>
                          </w:divBdr>
                          <w:divsChild>
                            <w:div w:id="1969700696">
                              <w:marLeft w:val="0"/>
                              <w:marRight w:val="0"/>
                              <w:marTop w:val="0"/>
                              <w:marBottom w:val="0"/>
                              <w:divBdr>
                                <w:top w:val="none" w:sz="0" w:space="0" w:color="auto"/>
                                <w:left w:val="none" w:sz="0" w:space="0" w:color="auto"/>
                                <w:bottom w:val="none" w:sz="0" w:space="0" w:color="auto"/>
                                <w:right w:val="none" w:sz="0" w:space="0" w:color="auto"/>
                              </w:divBdr>
                              <w:divsChild>
                                <w:div w:id="882794469">
                                  <w:marLeft w:val="0"/>
                                  <w:marRight w:val="0"/>
                                  <w:marTop w:val="0"/>
                                  <w:marBottom w:val="0"/>
                                  <w:divBdr>
                                    <w:top w:val="none" w:sz="0" w:space="0" w:color="auto"/>
                                    <w:left w:val="none" w:sz="0" w:space="0" w:color="auto"/>
                                    <w:bottom w:val="none" w:sz="0" w:space="0" w:color="auto"/>
                                    <w:right w:val="none" w:sz="0" w:space="0" w:color="auto"/>
                                  </w:divBdr>
                                  <w:divsChild>
                                    <w:div w:id="2136672932">
                                      <w:marLeft w:val="0"/>
                                      <w:marRight w:val="0"/>
                                      <w:marTop w:val="150"/>
                                      <w:marBottom w:val="0"/>
                                      <w:divBdr>
                                        <w:top w:val="none" w:sz="0" w:space="0" w:color="auto"/>
                                        <w:left w:val="none" w:sz="0" w:space="0" w:color="auto"/>
                                        <w:bottom w:val="none" w:sz="0" w:space="0" w:color="auto"/>
                                        <w:right w:val="none" w:sz="0" w:space="0" w:color="auto"/>
                                      </w:divBdr>
                                      <w:divsChild>
                                        <w:div w:id="913320980">
                                          <w:marLeft w:val="0"/>
                                          <w:marRight w:val="0"/>
                                          <w:marTop w:val="0"/>
                                          <w:marBottom w:val="0"/>
                                          <w:divBdr>
                                            <w:top w:val="none" w:sz="0" w:space="0" w:color="auto"/>
                                            <w:left w:val="none" w:sz="0" w:space="0" w:color="auto"/>
                                            <w:bottom w:val="none" w:sz="0" w:space="0" w:color="auto"/>
                                            <w:right w:val="none" w:sz="0" w:space="0" w:color="auto"/>
                                          </w:divBdr>
                                          <w:divsChild>
                                            <w:div w:id="778066998">
                                              <w:marLeft w:val="0"/>
                                              <w:marRight w:val="0"/>
                                              <w:marTop w:val="0"/>
                                              <w:marBottom w:val="0"/>
                                              <w:divBdr>
                                                <w:top w:val="none" w:sz="0" w:space="0" w:color="auto"/>
                                                <w:left w:val="none" w:sz="0" w:space="0" w:color="auto"/>
                                                <w:bottom w:val="none" w:sz="0" w:space="0" w:color="auto"/>
                                                <w:right w:val="none" w:sz="0" w:space="0" w:color="auto"/>
                                              </w:divBdr>
                                              <w:divsChild>
                                                <w:div w:id="2936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922691">
      <w:bodyDiv w:val="1"/>
      <w:marLeft w:val="0"/>
      <w:marRight w:val="0"/>
      <w:marTop w:val="0"/>
      <w:marBottom w:val="0"/>
      <w:divBdr>
        <w:top w:val="none" w:sz="0" w:space="0" w:color="auto"/>
        <w:left w:val="none" w:sz="0" w:space="0" w:color="auto"/>
        <w:bottom w:val="none" w:sz="0" w:space="0" w:color="auto"/>
        <w:right w:val="none" w:sz="0" w:space="0" w:color="auto"/>
      </w:divBdr>
      <w:divsChild>
        <w:div w:id="1497837508">
          <w:marLeft w:val="0"/>
          <w:marRight w:val="0"/>
          <w:marTop w:val="0"/>
          <w:marBottom w:val="0"/>
          <w:divBdr>
            <w:top w:val="none" w:sz="0" w:space="0" w:color="auto"/>
            <w:left w:val="none" w:sz="0" w:space="0" w:color="auto"/>
            <w:bottom w:val="none" w:sz="0" w:space="0" w:color="auto"/>
            <w:right w:val="none" w:sz="0" w:space="0" w:color="auto"/>
          </w:divBdr>
          <w:divsChild>
            <w:div w:id="1879125865">
              <w:marLeft w:val="0"/>
              <w:marRight w:val="0"/>
              <w:marTop w:val="0"/>
              <w:marBottom w:val="0"/>
              <w:divBdr>
                <w:top w:val="none" w:sz="0" w:space="0" w:color="auto"/>
                <w:left w:val="none" w:sz="0" w:space="0" w:color="auto"/>
                <w:bottom w:val="none" w:sz="0" w:space="0" w:color="auto"/>
                <w:right w:val="none" w:sz="0" w:space="0" w:color="auto"/>
              </w:divBdr>
              <w:divsChild>
                <w:div w:id="24142524">
                  <w:marLeft w:val="0"/>
                  <w:marRight w:val="0"/>
                  <w:marTop w:val="0"/>
                  <w:marBottom w:val="0"/>
                  <w:divBdr>
                    <w:top w:val="none" w:sz="0" w:space="0" w:color="auto"/>
                    <w:left w:val="none" w:sz="0" w:space="0" w:color="auto"/>
                    <w:bottom w:val="none" w:sz="0" w:space="0" w:color="auto"/>
                    <w:right w:val="none" w:sz="0" w:space="0" w:color="auto"/>
                  </w:divBdr>
                  <w:divsChild>
                    <w:div w:id="1155881210">
                      <w:marLeft w:val="0"/>
                      <w:marRight w:val="0"/>
                      <w:marTop w:val="0"/>
                      <w:marBottom w:val="0"/>
                      <w:divBdr>
                        <w:top w:val="none" w:sz="0" w:space="0" w:color="auto"/>
                        <w:left w:val="none" w:sz="0" w:space="0" w:color="auto"/>
                        <w:bottom w:val="none" w:sz="0" w:space="0" w:color="auto"/>
                        <w:right w:val="none" w:sz="0" w:space="0" w:color="auto"/>
                      </w:divBdr>
                      <w:divsChild>
                        <w:div w:id="17248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426308">
      <w:bodyDiv w:val="1"/>
      <w:marLeft w:val="0"/>
      <w:marRight w:val="0"/>
      <w:marTop w:val="0"/>
      <w:marBottom w:val="0"/>
      <w:divBdr>
        <w:top w:val="none" w:sz="0" w:space="0" w:color="auto"/>
        <w:left w:val="none" w:sz="0" w:space="0" w:color="auto"/>
        <w:bottom w:val="none" w:sz="0" w:space="0" w:color="auto"/>
        <w:right w:val="none" w:sz="0" w:space="0" w:color="auto"/>
      </w:divBdr>
    </w:div>
    <w:div w:id="319431436">
      <w:bodyDiv w:val="1"/>
      <w:marLeft w:val="0"/>
      <w:marRight w:val="0"/>
      <w:marTop w:val="0"/>
      <w:marBottom w:val="0"/>
      <w:divBdr>
        <w:top w:val="none" w:sz="0" w:space="0" w:color="auto"/>
        <w:left w:val="none" w:sz="0" w:space="0" w:color="auto"/>
        <w:bottom w:val="none" w:sz="0" w:space="0" w:color="auto"/>
        <w:right w:val="none" w:sz="0" w:space="0" w:color="auto"/>
      </w:divBdr>
      <w:divsChild>
        <w:div w:id="2094929535">
          <w:marLeft w:val="0"/>
          <w:marRight w:val="0"/>
          <w:marTop w:val="0"/>
          <w:marBottom w:val="0"/>
          <w:divBdr>
            <w:top w:val="none" w:sz="0" w:space="0" w:color="auto"/>
            <w:left w:val="none" w:sz="0" w:space="0" w:color="auto"/>
            <w:bottom w:val="none" w:sz="0" w:space="0" w:color="auto"/>
            <w:right w:val="none" w:sz="0" w:space="0" w:color="auto"/>
          </w:divBdr>
          <w:divsChild>
            <w:div w:id="876157407">
              <w:marLeft w:val="210"/>
              <w:marRight w:val="0"/>
              <w:marTop w:val="0"/>
              <w:marBottom w:val="0"/>
              <w:divBdr>
                <w:top w:val="none" w:sz="0" w:space="0" w:color="auto"/>
                <w:left w:val="none" w:sz="0" w:space="0" w:color="auto"/>
                <w:bottom w:val="none" w:sz="0" w:space="0" w:color="auto"/>
                <w:right w:val="none" w:sz="0" w:space="0" w:color="auto"/>
              </w:divBdr>
              <w:divsChild>
                <w:div w:id="18003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6300">
      <w:bodyDiv w:val="1"/>
      <w:marLeft w:val="0"/>
      <w:marRight w:val="0"/>
      <w:marTop w:val="0"/>
      <w:marBottom w:val="0"/>
      <w:divBdr>
        <w:top w:val="none" w:sz="0" w:space="0" w:color="auto"/>
        <w:left w:val="none" w:sz="0" w:space="0" w:color="auto"/>
        <w:bottom w:val="none" w:sz="0" w:space="0" w:color="auto"/>
        <w:right w:val="none" w:sz="0" w:space="0" w:color="auto"/>
      </w:divBdr>
    </w:div>
    <w:div w:id="320277770">
      <w:bodyDiv w:val="1"/>
      <w:marLeft w:val="0"/>
      <w:marRight w:val="0"/>
      <w:marTop w:val="0"/>
      <w:marBottom w:val="0"/>
      <w:divBdr>
        <w:top w:val="none" w:sz="0" w:space="0" w:color="auto"/>
        <w:left w:val="none" w:sz="0" w:space="0" w:color="auto"/>
        <w:bottom w:val="none" w:sz="0" w:space="0" w:color="auto"/>
        <w:right w:val="none" w:sz="0" w:space="0" w:color="auto"/>
      </w:divBdr>
    </w:div>
    <w:div w:id="320475359">
      <w:bodyDiv w:val="1"/>
      <w:marLeft w:val="0"/>
      <w:marRight w:val="0"/>
      <w:marTop w:val="0"/>
      <w:marBottom w:val="0"/>
      <w:divBdr>
        <w:top w:val="none" w:sz="0" w:space="0" w:color="auto"/>
        <w:left w:val="none" w:sz="0" w:space="0" w:color="auto"/>
        <w:bottom w:val="none" w:sz="0" w:space="0" w:color="auto"/>
        <w:right w:val="none" w:sz="0" w:space="0" w:color="auto"/>
      </w:divBdr>
    </w:div>
    <w:div w:id="321782492">
      <w:bodyDiv w:val="1"/>
      <w:marLeft w:val="0"/>
      <w:marRight w:val="0"/>
      <w:marTop w:val="0"/>
      <w:marBottom w:val="0"/>
      <w:divBdr>
        <w:top w:val="none" w:sz="0" w:space="0" w:color="auto"/>
        <w:left w:val="none" w:sz="0" w:space="0" w:color="auto"/>
        <w:bottom w:val="none" w:sz="0" w:space="0" w:color="auto"/>
        <w:right w:val="none" w:sz="0" w:space="0" w:color="auto"/>
      </w:divBdr>
      <w:divsChild>
        <w:div w:id="581571192">
          <w:marLeft w:val="0"/>
          <w:marRight w:val="0"/>
          <w:marTop w:val="0"/>
          <w:marBottom w:val="0"/>
          <w:divBdr>
            <w:top w:val="none" w:sz="0" w:space="0" w:color="auto"/>
            <w:left w:val="none" w:sz="0" w:space="0" w:color="auto"/>
            <w:bottom w:val="none" w:sz="0" w:space="0" w:color="auto"/>
            <w:right w:val="none" w:sz="0" w:space="0" w:color="auto"/>
          </w:divBdr>
        </w:div>
      </w:divsChild>
    </w:div>
    <w:div w:id="321928474">
      <w:bodyDiv w:val="1"/>
      <w:marLeft w:val="0"/>
      <w:marRight w:val="0"/>
      <w:marTop w:val="0"/>
      <w:marBottom w:val="0"/>
      <w:divBdr>
        <w:top w:val="none" w:sz="0" w:space="0" w:color="auto"/>
        <w:left w:val="none" w:sz="0" w:space="0" w:color="auto"/>
        <w:bottom w:val="none" w:sz="0" w:space="0" w:color="auto"/>
        <w:right w:val="none" w:sz="0" w:space="0" w:color="auto"/>
      </w:divBdr>
      <w:divsChild>
        <w:div w:id="1383098266">
          <w:marLeft w:val="0"/>
          <w:marRight w:val="0"/>
          <w:marTop w:val="0"/>
          <w:marBottom w:val="0"/>
          <w:divBdr>
            <w:top w:val="none" w:sz="0" w:space="0" w:color="auto"/>
            <w:left w:val="none" w:sz="0" w:space="0" w:color="auto"/>
            <w:bottom w:val="none" w:sz="0" w:space="0" w:color="auto"/>
            <w:right w:val="none" w:sz="0" w:space="0" w:color="auto"/>
          </w:divBdr>
          <w:divsChild>
            <w:div w:id="573199475">
              <w:marLeft w:val="0"/>
              <w:marRight w:val="0"/>
              <w:marTop w:val="0"/>
              <w:marBottom w:val="0"/>
              <w:divBdr>
                <w:top w:val="none" w:sz="0" w:space="0" w:color="auto"/>
                <w:left w:val="none" w:sz="0" w:space="0" w:color="auto"/>
                <w:bottom w:val="none" w:sz="0" w:space="0" w:color="auto"/>
                <w:right w:val="none" w:sz="0" w:space="0" w:color="auto"/>
              </w:divBdr>
              <w:divsChild>
                <w:div w:id="1588148115">
                  <w:marLeft w:val="0"/>
                  <w:marRight w:val="0"/>
                  <w:marTop w:val="0"/>
                  <w:marBottom w:val="0"/>
                  <w:divBdr>
                    <w:top w:val="none" w:sz="0" w:space="0" w:color="auto"/>
                    <w:left w:val="none" w:sz="0" w:space="0" w:color="auto"/>
                    <w:bottom w:val="none" w:sz="0" w:space="0" w:color="auto"/>
                    <w:right w:val="none" w:sz="0" w:space="0" w:color="auto"/>
                  </w:divBdr>
                  <w:divsChild>
                    <w:div w:id="1633289219">
                      <w:marLeft w:val="0"/>
                      <w:marRight w:val="0"/>
                      <w:marTop w:val="0"/>
                      <w:marBottom w:val="0"/>
                      <w:divBdr>
                        <w:top w:val="none" w:sz="0" w:space="0" w:color="auto"/>
                        <w:left w:val="none" w:sz="0" w:space="0" w:color="auto"/>
                        <w:bottom w:val="none" w:sz="0" w:space="0" w:color="auto"/>
                        <w:right w:val="none" w:sz="0" w:space="0" w:color="auto"/>
                      </w:divBdr>
                      <w:divsChild>
                        <w:div w:id="47724954">
                          <w:marLeft w:val="0"/>
                          <w:marRight w:val="0"/>
                          <w:marTop w:val="0"/>
                          <w:marBottom w:val="0"/>
                          <w:divBdr>
                            <w:top w:val="none" w:sz="0" w:space="0" w:color="auto"/>
                            <w:left w:val="none" w:sz="0" w:space="0" w:color="auto"/>
                            <w:bottom w:val="none" w:sz="0" w:space="0" w:color="auto"/>
                            <w:right w:val="none" w:sz="0" w:space="0" w:color="auto"/>
                          </w:divBdr>
                          <w:divsChild>
                            <w:div w:id="515509956">
                              <w:marLeft w:val="0"/>
                              <w:marRight w:val="0"/>
                              <w:marTop w:val="0"/>
                              <w:marBottom w:val="0"/>
                              <w:divBdr>
                                <w:top w:val="none" w:sz="0" w:space="0" w:color="auto"/>
                                <w:left w:val="none" w:sz="0" w:space="0" w:color="auto"/>
                                <w:bottom w:val="none" w:sz="0" w:space="0" w:color="auto"/>
                                <w:right w:val="none" w:sz="0" w:space="0" w:color="auto"/>
                              </w:divBdr>
                              <w:divsChild>
                                <w:div w:id="127359084">
                                  <w:marLeft w:val="0"/>
                                  <w:marRight w:val="0"/>
                                  <w:marTop w:val="0"/>
                                  <w:marBottom w:val="0"/>
                                  <w:divBdr>
                                    <w:top w:val="none" w:sz="0" w:space="0" w:color="auto"/>
                                    <w:left w:val="none" w:sz="0" w:space="0" w:color="auto"/>
                                    <w:bottom w:val="none" w:sz="0" w:space="0" w:color="auto"/>
                                    <w:right w:val="none" w:sz="0" w:space="0" w:color="auto"/>
                                  </w:divBdr>
                                </w:div>
                                <w:div w:id="18541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04319">
      <w:bodyDiv w:val="1"/>
      <w:marLeft w:val="0"/>
      <w:marRight w:val="0"/>
      <w:marTop w:val="0"/>
      <w:marBottom w:val="0"/>
      <w:divBdr>
        <w:top w:val="none" w:sz="0" w:space="0" w:color="auto"/>
        <w:left w:val="none" w:sz="0" w:space="0" w:color="auto"/>
        <w:bottom w:val="none" w:sz="0" w:space="0" w:color="auto"/>
        <w:right w:val="none" w:sz="0" w:space="0" w:color="auto"/>
      </w:divBdr>
      <w:divsChild>
        <w:div w:id="1448817549">
          <w:marLeft w:val="0"/>
          <w:marRight w:val="0"/>
          <w:marTop w:val="240"/>
          <w:marBottom w:val="240"/>
          <w:divBdr>
            <w:top w:val="single" w:sz="6" w:space="6" w:color="F2F2F2"/>
            <w:left w:val="none" w:sz="0" w:space="0" w:color="auto"/>
            <w:bottom w:val="single" w:sz="6" w:space="6" w:color="F2F2F2"/>
            <w:right w:val="none" w:sz="0" w:space="0" w:color="auto"/>
          </w:divBdr>
        </w:div>
        <w:div w:id="973099161">
          <w:marLeft w:val="0"/>
          <w:marRight w:val="0"/>
          <w:marTop w:val="0"/>
          <w:marBottom w:val="0"/>
          <w:divBdr>
            <w:top w:val="none" w:sz="0" w:space="0" w:color="auto"/>
            <w:left w:val="none" w:sz="0" w:space="0" w:color="auto"/>
            <w:bottom w:val="none" w:sz="0" w:space="0" w:color="auto"/>
            <w:right w:val="none" w:sz="0" w:space="0" w:color="auto"/>
          </w:divBdr>
          <w:divsChild>
            <w:div w:id="9082251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2006234">
      <w:bodyDiv w:val="1"/>
      <w:marLeft w:val="0"/>
      <w:marRight w:val="0"/>
      <w:marTop w:val="0"/>
      <w:marBottom w:val="0"/>
      <w:divBdr>
        <w:top w:val="none" w:sz="0" w:space="0" w:color="auto"/>
        <w:left w:val="none" w:sz="0" w:space="0" w:color="auto"/>
        <w:bottom w:val="none" w:sz="0" w:space="0" w:color="auto"/>
        <w:right w:val="none" w:sz="0" w:space="0" w:color="auto"/>
      </w:divBdr>
      <w:divsChild>
        <w:div w:id="55955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03209">
      <w:bodyDiv w:val="1"/>
      <w:marLeft w:val="0"/>
      <w:marRight w:val="0"/>
      <w:marTop w:val="0"/>
      <w:marBottom w:val="0"/>
      <w:divBdr>
        <w:top w:val="none" w:sz="0" w:space="0" w:color="auto"/>
        <w:left w:val="none" w:sz="0" w:space="0" w:color="auto"/>
        <w:bottom w:val="none" w:sz="0" w:space="0" w:color="auto"/>
        <w:right w:val="none" w:sz="0" w:space="0" w:color="auto"/>
      </w:divBdr>
      <w:divsChild>
        <w:div w:id="1789081482">
          <w:marLeft w:val="0"/>
          <w:marRight w:val="0"/>
          <w:marTop w:val="0"/>
          <w:marBottom w:val="75"/>
          <w:divBdr>
            <w:top w:val="none" w:sz="0" w:space="0" w:color="auto"/>
            <w:left w:val="none" w:sz="0" w:space="0" w:color="auto"/>
            <w:bottom w:val="none" w:sz="0" w:space="0" w:color="auto"/>
            <w:right w:val="none" w:sz="0" w:space="0" w:color="auto"/>
          </w:divBdr>
        </w:div>
        <w:div w:id="1048333435">
          <w:marLeft w:val="0"/>
          <w:marRight w:val="0"/>
          <w:marTop w:val="150"/>
          <w:marBottom w:val="0"/>
          <w:divBdr>
            <w:top w:val="none" w:sz="0" w:space="0" w:color="auto"/>
            <w:left w:val="none" w:sz="0" w:space="0" w:color="auto"/>
            <w:bottom w:val="none" w:sz="0" w:space="0" w:color="auto"/>
            <w:right w:val="none" w:sz="0" w:space="0" w:color="auto"/>
          </w:divBdr>
        </w:div>
        <w:div w:id="927807432">
          <w:marLeft w:val="0"/>
          <w:marRight w:val="0"/>
          <w:marTop w:val="45"/>
          <w:marBottom w:val="0"/>
          <w:divBdr>
            <w:top w:val="none" w:sz="0" w:space="0" w:color="auto"/>
            <w:left w:val="none" w:sz="0" w:space="0" w:color="auto"/>
            <w:bottom w:val="none" w:sz="0" w:space="0" w:color="auto"/>
            <w:right w:val="none" w:sz="0" w:space="0" w:color="auto"/>
          </w:divBdr>
        </w:div>
      </w:divsChild>
    </w:div>
    <w:div w:id="323749795">
      <w:bodyDiv w:val="1"/>
      <w:marLeft w:val="0"/>
      <w:marRight w:val="0"/>
      <w:marTop w:val="0"/>
      <w:marBottom w:val="0"/>
      <w:divBdr>
        <w:top w:val="none" w:sz="0" w:space="0" w:color="auto"/>
        <w:left w:val="none" w:sz="0" w:space="0" w:color="auto"/>
        <w:bottom w:val="none" w:sz="0" w:space="0" w:color="auto"/>
        <w:right w:val="none" w:sz="0" w:space="0" w:color="auto"/>
      </w:divBdr>
      <w:divsChild>
        <w:div w:id="2021546608">
          <w:marLeft w:val="0"/>
          <w:marRight w:val="0"/>
          <w:marTop w:val="0"/>
          <w:marBottom w:val="0"/>
          <w:divBdr>
            <w:top w:val="none" w:sz="0" w:space="0" w:color="auto"/>
            <w:left w:val="none" w:sz="0" w:space="0" w:color="auto"/>
            <w:bottom w:val="none" w:sz="0" w:space="0" w:color="auto"/>
            <w:right w:val="none" w:sz="0" w:space="0" w:color="auto"/>
          </w:divBdr>
          <w:divsChild>
            <w:div w:id="1711882291">
              <w:marLeft w:val="0"/>
              <w:marRight w:val="0"/>
              <w:marTop w:val="0"/>
              <w:marBottom w:val="0"/>
              <w:divBdr>
                <w:top w:val="none" w:sz="0" w:space="0" w:color="auto"/>
                <w:left w:val="none" w:sz="0" w:space="0" w:color="auto"/>
                <w:bottom w:val="none" w:sz="0" w:space="0" w:color="auto"/>
                <w:right w:val="none" w:sz="0" w:space="0" w:color="auto"/>
              </w:divBdr>
              <w:divsChild>
                <w:div w:id="1345984886">
                  <w:marLeft w:val="0"/>
                  <w:marRight w:val="0"/>
                  <w:marTop w:val="0"/>
                  <w:marBottom w:val="0"/>
                  <w:divBdr>
                    <w:top w:val="none" w:sz="0" w:space="0" w:color="auto"/>
                    <w:left w:val="none" w:sz="0" w:space="0" w:color="auto"/>
                    <w:bottom w:val="none" w:sz="0" w:space="0" w:color="auto"/>
                    <w:right w:val="none" w:sz="0" w:space="0" w:color="auto"/>
                  </w:divBdr>
                  <w:divsChild>
                    <w:div w:id="825123585">
                      <w:marLeft w:val="0"/>
                      <w:marRight w:val="0"/>
                      <w:marTop w:val="0"/>
                      <w:marBottom w:val="0"/>
                      <w:divBdr>
                        <w:top w:val="none" w:sz="0" w:space="0" w:color="auto"/>
                        <w:left w:val="none" w:sz="0" w:space="0" w:color="auto"/>
                        <w:bottom w:val="none" w:sz="0" w:space="0" w:color="auto"/>
                        <w:right w:val="none" w:sz="0" w:space="0" w:color="auto"/>
                      </w:divBdr>
                      <w:divsChild>
                        <w:div w:id="1648316176">
                          <w:marLeft w:val="0"/>
                          <w:marRight w:val="0"/>
                          <w:marTop w:val="0"/>
                          <w:marBottom w:val="0"/>
                          <w:divBdr>
                            <w:top w:val="none" w:sz="0" w:space="0" w:color="auto"/>
                            <w:left w:val="none" w:sz="0" w:space="0" w:color="auto"/>
                            <w:bottom w:val="none" w:sz="0" w:space="0" w:color="auto"/>
                            <w:right w:val="none" w:sz="0" w:space="0" w:color="auto"/>
                          </w:divBdr>
                          <w:divsChild>
                            <w:div w:id="1726563005">
                              <w:marLeft w:val="0"/>
                              <w:marRight w:val="0"/>
                              <w:marTop w:val="0"/>
                              <w:marBottom w:val="0"/>
                              <w:divBdr>
                                <w:top w:val="none" w:sz="0" w:space="0" w:color="auto"/>
                                <w:left w:val="none" w:sz="0" w:space="0" w:color="auto"/>
                                <w:bottom w:val="none" w:sz="0" w:space="0" w:color="auto"/>
                                <w:right w:val="none" w:sz="0" w:space="0" w:color="auto"/>
                              </w:divBdr>
                              <w:divsChild>
                                <w:div w:id="970594443">
                                  <w:marLeft w:val="0"/>
                                  <w:marRight w:val="0"/>
                                  <w:marTop w:val="0"/>
                                  <w:marBottom w:val="0"/>
                                  <w:divBdr>
                                    <w:top w:val="none" w:sz="0" w:space="0" w:color="auto"/>
                                    <w:left w:val="none" w:sz="0" w:space="0" w:color="auto"/>
                                    <w:bottom w:val="none" w:sz="0" w:space="0" w:color="auto"/>
                                    <w:right w:val="none" w:sz="0" w:space="0" w:color="auto"/>
                                  </w:divBdr>
                                </w:div>
                                <w:div w:id="566648118">
                                  <w:marLeft w:val="0"/>
                                  <w:marRight w:val="0"/>
                                  <w:marTop w:val="0"/>
                                  <w:marBottom w:val="0"/>
                                  <w:divBdr>
                                    <w:top w:val="none" w:sz="0" w:space="0" w:color="auto"/>
                                    <w:left w:val="none" w:sz="0" w:space="0" w:color="auto"/>
                                    <w:bottom w:val="none" w:sz="0" w:space="0" w:color="auto"/>
                                    <w:right w:val="none" w:sz="0" w:space="0" w:color="auto"/>
                                  </w:divBdr>
                                </w:div>
                                <w:div w:id="19935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15988">
      <w:bodyDiv w:val="1"/>
      <w:marLeft w:val="0"/>
      <w:marRight w:val="0"/>
      <w:marTop w:val="0"/>
      <w:marBottom w:val="0"/>
      <w:divBdr>
        <w:top w:val="none" w:sz="0" w:space="0" w:color="auto"/>
        <w:left w:val="none" w:sz="0" w:space="0" w:color="auto"/>
        <w:bottom w:val="none" w:sz="0" w:space="0" w:color="auto"/>
        <w:right w:val="none" w:sz="0" w:space="0" w:color="auto"/>
      </w:divBdr>
      <w:divsChild>
        <w:div w:id="1543053231">
          <w:marLeft w:val="0"/>
          <w:marRight w:val="0"/>
          <w:marTop w:val="150"/>
          <w:marBottom w:val="0"/>
          <w:divBdr>
            <w:top w:val="none" w:sz="0" w:space="0" w:color="auto"/>
            <w:left w:val="none" w:sz="0" w:space="0" w:color="auto"/>
            <w:bottom w:val="none" w:sz="0" w:space="0" w:color="auto"/>
            <w:right w:val="none" w:sz="0" w:space="0" w:color="auto"/>
          </w:divBdr>
          <w:divsChild>
            <w:div w:id="1512063026">
              <w:marLeft w:val="2"/>
              <w:marRight w:val="2"/>
              <w:marTop w:val="0"/>
              <w:marBottom w:val="0"/>
              <w:divBdr>
                <w:top w:val="none" w:sz="0" w:space="0" w:color="auto"/>
                <w:left w:val="none" w:sz="0" w:space="0" w:color="auto"/>
                <w:bottom w:val="none" w:sz="0" w:space="0" w:color="auto"/>
                <w:right w:val="none" w:sz="0" w:space="0" w:color="auto"/>
              </w:divBdr>
              <w:divsChild>
                <w:div w:id="846139909">
                  <w:marLeft w:val="0"/>
                  <w:marRight w:val="0"/>
                  <w:marTop w:val="0"/>
                  <w:marBottom w:val="0"/>
                  <w:divBdr>
                    <w:top w:val="none" w:sz="0" w:space="0" w:color="auto"/>
                    <w:left w:val="none" w:sz="0" w:space="0" w:color="auto"/>
                    <w:bottom w:val="none" w:sz="0" w:space="0" w:color="auto"/>
                    <w:right w:val="none" w:sz="0" w:space="0" w:color="auto"/>
                  </w:divBdr>
                  <w:divsChild>
                    <w:div w:id="1054541332">
                      <w:marLeft w:val="0"/>
                      <w:marRight w:val="0"/>
                      <w:marTop w:val="0"/>
                      <w:marBottom w:val="0"/>
                      <w:divBdr>
                        <w:top w:val="none" w:sz="0" w:space="0" w:color="auto"/>
                        <w:left w:val="none" w:sz="0" w:space="0" w:color="auto"/>
                        <w:bottom w:val="none" w:sz="0" w:space="0" w:color="auto"/>
                        <w:right w:val="none" w:sz="0" w:space="0" w:color="auto"/>
                      </w:divBdr>
                      <w:divsChild>
                        <w:div w:id="1094014206">
                          <w:marLeft w:val="0"/>
                          <w:marRight w:val="0"/>
                          <w:marTop w:val="0"/>
                          <w:marBottom w:val="0"/>
                          <w:divBdr>
                            <w:top w:val="none" w:sz="0" w:space="0" w:color="auto"/>
                            <w:left w:val="none" w:sz="0" w:space="0" w:color="auto"/>
                            <w:bottom w:val="none" w:sz="0" w:space="0" w:color="auto"/>
                            <w:right w:val="none" w:sz="0" w:space="0" w:color="auto"/>
                          </w:divBdr>
                          <w:divsChild>
                            <w:div w:id="716703816">
                              <w:marLeft w:val="0"/>
                              <w:marRight w:val="0"/>
                              <w:marTop w:val="0"/>
                              <w:marBottom w:val="0"/>
                              <w:divBdr>
                                <w:top w:val="none" w:sz="0" w:space="0" w:color="auto"/>
                                <w:left w:val="none" w:sz="0" w:space="0" w:color="auto"/>
                                <w:bottom w:val="none" w:sz="0" w:space="0" w:color="auto"/>
                                <w:right w:val="none" w:sz="0" w:space="0" w:color="auto"/>
                              </w:divBdr>
                              <w:divsChild>
                                <w:div w:id="579289757">
                                  <w:marLeft w:val="0"/>
                                  <w:marRight w:val="0"/>
                                  <w:marTop w:val="0"/>
                                  <w:marBottom w:val="0"/>
                                  <w:divBdr>
                                    <w:top w:val="none" w:sz="0" w:space="0" w:color="auto"/>
                                    <w:left w:val="none" w:sz="0" w:space="0" w:color="auto"/>
                                    <w:bottom w:val="none" w:sz="0" w:space="0" w:color="auto"/>
                                    <w:right w:val="none" w:sz="0" w:space="0" w:color="auto"/>
                                  </w:divBdr>
                                  <w:divsChild>
                                    <w:div w:id="587006974">
                                      <w:marLeft w:val="0"/>
                                      <w:marRight w:val="0"/>
                                      <w:marTop w:val="0"/>
                                      <w:marBottom w:val="0"/>
                                      <w:divBdr>
                                        <w:top w:val="none" w:sz="0" w:space="0" w:color="auto"/>
                                        <w:left w:val="none" w:sz="0" w:space="0" w:color="auto"/>
                                        <w:bottom w:val="none" w:sz="0" w:space="0" w:color="auto"/>
                                        <w:right w:val="none" w:sz="0" w:space="0" w:color="auto"/>
                                      </w:divBdr>
                                      <w:divsChild>
                                        <w:div w:id="193157434">
                                          <w:marLeft w:val="0"/>
                                          <w:marRight w:val="0"/>
                                          <w:marTop w:val="0"/>
                                          <w:marBottom w:val="0"/>
                                          <w:divBdr>
                                            <w:top w:val="none" w:sz="0" w:space="0" w:color="auto"/>
                                            <w:left w:val="none" w:sz="0" w:space="0" w:color="auto"/>
                                            <w:bottom w:val="none" w:sz="0" w:space="0" w:color="auto"/>
                                            <w:right w:val="none" w:sz="0" w:space="0" w:color="auto"/>
                                          </w:divBdr>
                                          <w:divsChild>
                                            <w:div w:id="966085185">
                                              <w:marLeft w:val="0"/>
                                              <w:marRight w:val="0"/>
                                              <w:marTop w:val="0"/>
                                              <w:marBottom w:val="0"/>
                                              <w:divBdr>
                                                <w:top w:val="none" w:sz="0" w:space="0" w:color="auto"/>
                                                <w:left w:val="none" w:sz="0" w:space="0" w:color="auto"/>
                                                <w:bottom w:val="none" w:sz="0" w:space="0" w:color="auto"/>
                                                <w:right w:val="none" w:sz="0" w:space="0" w:color="auto"/>
                                              </w:divBdr>
                                              <w:divsChild>
                                                <w:div w:id="1560555648">
                                                  <w:marLeft w:val="0"/>
                                                  <w:marRight w:val="0"/>
                                                  <w:marTop w:val="0"/>
                                                  <w:marBottom w:val="0"/>
                                                  <w:divBdr>
                                                    <w:top w:val="none" w:sz="0" w:space="0" w:color="auto"/>
                                                    <w:left w:val="none" w:sz="0" w:space="0" w:color="auto"/>
                                                    <w:bottom w:val="none" w:sz="0" w:space="0" w:color="auto"/>
                                                    <w:right w:val="none" w:sz="0" w:space="0" w:color="auto"/>
                                                  </w:divBdr>
                                                </w:div>
                                              </w:divsChild>
                                            </w:div>
                                            <w:div w:id="1134182438">
                                              <w:marLeft w:val="0"/>
                                              <w:marRight w:val="0"/>
                                              <w:marTop w:val="0"/>
                                              <w:marBottom w:val="0"/>
                                              <w:divBdr>
                                                <w:top w:val="none" w:sz="0" w:space="0" w:color="auto"/>
                                                <w:left w:val="none" w:sz="0" w:space="0" w:color="auto"/>
                                                <w:bottom w:val="none" w:sz="0" w:space="0" w:color="auto"/>
                                                <w:right w:val="none" w:sz="0" w:space="0" w:color="auto"/>
                                              </w:divBdr>
                                              <w:divsChild>
                                                <w:div w:id="962855384">
                                                  <w:marLeft w:val="0"/>
                                                  <w:marRight w:val="0"/>
                                                  <w:marTop w:val="0"/>
                                                  <w:marBottom w:val="0"/>
                                                  <w:divBdr>
                                                    <w:top w:val="none" w:sz="0" w:space="0" w:color="auto"/>
                                                    <w:left w:val="none" w:sz="0" w:space="0" w:color="auto"/>
                                                    <w:bottom w:val="none" w:sz="0" w:space="0" w:color="auto"/>
                                                    <w:right w:val="none" w:sz="0" w:space="0" w:color="auto"/>
                                                  </w:divBdr>
                                                </w:div>
                                              </w:divsChild>
                                            </w:div>
                                            <w:div w:id="1484545419">
                                              <w:marLeft w:val="0"/>
                                              <w:marRight w:val="0"/>
                                              <w:marTop w:val="0"/>
                                              <w:marBottom w:val="0"/>
                                              <w:divBdr>
                                                <w:top w:val="none" w:sz="0" w:space="0" w:color="auto"/>
                                                <w:left w:val="none" w:sz="0" w:space="0" w:color="auto"/>
                                                <w:bottom w:val="none" w:sz="0" w:space="0" w:color="auto"/>
                                                <w:right w:val="none" w:sz="0" w:space="0" w:color="auto"/>
                                              </w:divBdr>
                                              <w:divsChild>
                                                <w:div w:id="451750690">
                                                  <w:marLeft w:val="0"/>
                                                  <w:marRight w:val="0"/>
                                                  <w:marTop w:val="0"/>
                                                  <w:marBottom w:val="0"/>
                                                  <w:divBdr>
                                                    <w:top w:val="none" w:sz="0" w:space="0" w:color="auto"/>
                                                    <w:left w:val="none" w:sz="0" w:space="0" w:color="auto"/>
                                                    <w:bottom w:val="none" w:sz="0" w:space="0" w:color="auto"/>
                                                    <w:right w:val="none" w:sz="0" w:space="0" w:color="auto"/>
                                                  </w:divBdr>
                                                </w:div>
                                              </w:divsChild>
                                            </w:div>
                                            <w:div w:id="1911382060">
                                              <w:marLeft w:val="0"/>
                                              <w:marRight w:val="0"/>
                                              <w:marTop w:val="0"/>
                                              <w:marBottom w:val="0"/>
                                              <w:divBdr>
                                                <w:top w:val="none" w:sz="0" w:space="0" w:color="auto"/>
                                                <w:left w:val="none" w:sz="0" w:space="0" w:color="auto"/>
                                                <w:bottom w:val="none" w:sz="0" w:space="0" w:color="auto"/>
                                                <w:right w:val="none" w:sz="0" w:space="0" w:color="auto"/>
                                              </w:divBdr>
                                              <w:divsChild>
                                                <w:div w:id="11633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206698">
      <w:bodyDiv w:val="1"/>
      <w:marLeft w:val="0"/>
      <w:marRight w:val="0"/>
      <w:marTop w:val="0"/>
      <w:marBottom w:val="0"/>
      <w:divBdr>
        <w:top w:val="none" w:sz="0" w:space="0" w:color="auto"/>
        <w:left w:val="none" w:sz="0" w:space="0" w:color="auto"/>
        <w:bottom w:val="none" w:sz="0" w:space="0" w:color="auto"/>
        <w:right w:val="none" w:sz="0" w:space="0" w:color="auto"/>
      </w:divBdr>
    </w:div>
    <w:div w:id="325284505">
      <w:bodyDiv w:val="1"/>
      <w:marLeft w:val="0"/>
      <w:marRight w:val="0"/>
      <w:marTop w:val="0"/>
      <w:marBottom w:val="0"/>
      <w:divBdr>
        <w:top w:val="none" w:sz="0" w:space="0" w:color="auto"/>
        <w:left w:val="none" w:sz="0" w:space="0" w:color="auto"/>
        <w:bottom w:val="none" w:sz="0" w:space="0" w:color="auto"/>
        <w:right w:val="none" w:sz="0" w:space="0" w:color="auto"/>
      </w:divBdr>
      <w:divsChild>
        <w:div w:id="901983285">
          <w:marLeft w:val="0"/>
          <w:marRight w:val="0"/>
          <w:marTop w:val="0"/>
          <w:marBottom w:val="0"/>
          <w:divBdr>
            <w:top w:val="none" w:sz="0" w:space="0" w:color="auto"/>
            <w:left w:val="none" w:sz="0" w:space="0" w:color="auto"/>
            <w:bottom w:val="none" w:sz="0" w:space="0" w:color="auto"/>
            <w:right w:val="none" w:sz="0" w:space="0" w:color="auto"/>
          </w:divBdr>
          <w:divsChild>
            <w:div w:id="1462501697">
              <w:marLeft w:val="0"/>
              <w:marRight w:val="0"/>
              <w:marTop w:val="0"/>
              <w:marBottom w:val="0"/>
              <w:divBdr>
                <w:top w:val="none" w:sz="0" w:space="0" w:color="auto"/>
                <w:left w:val="none" w:sz="0" w:space="0" w:color="auto"/>
                <w:bottom w:val="none" w:sz="0" w:space="0" w:color="auto"/>
                <w:right w:val="none" w:sz="0" w:space="0" w:color="auto"/>
              </w:divBdr>
              <w:divsChild>
                <w:div w:id="137066583">
                  <w:marLeft w:val="0"/>
                  <w:marRight w:val="0"/>
                  <w:marTop w:val="0"/>
                  <w:marBottom w:val="0"/>
                  <w:divBdr>
                    <w:top w:val="none" w:sz="0" w:space="0" w:color="auto"/>
                    <w:left w:val="none" w:sz="0" w:space="0" w:color="auto"/>
                    <w:bottom w:val="none" w:sz="0" w:space="0" w:color="auto"/>
                    <w:right w:val="none" w:sz="0" w:space="0" w:color="auto"/>
                  </w:divBdr>
                  <w:divsChild>
                    <w:div w:id="1584216025">
                      <w:marLeft w:val="0"/>
                      <w:marRight w:val="0"/>
                      <w:marTop w:val="0"/>
                      <w:marBottom w:val="0"/>
                      <w:divBdr>
                        <w:top w:val="none" w:sz="0" w:space="0" w:color="auto"/>
                        <w:left w:val="none" w:sz="0" w:space="0" w:color="auto"/>
                        <w:bottom w:val="none" w:sz="0" w:space="0" w:color="auto"/>
                        <w:right w:val="none" w:sz="0" w:space="0" w:color="auto"/>
                      </w:divBdr>
                      <w:divsChild>
                        <w:div w:id="1061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060666">
      <w:bodyDiv w:val="1"/>
      <w:marLeft w:val="0"/>
      <w:marRight w:val="0"/>
      <w:marTop w:val="0"/>
      <w:marBottom w:val="0"/>
      <w:divBdr>
        <w:top w:val="none" w:sz="0" w:space="0" w:color="auto"/>
        <w:left w:val="none" w:sz="0" w:space="0" w:color="auto"/>
        <w:bottom w:val="none" w:sz="0" w:space="0" w:color="auto"/>
        <w:right w:val="none" w:sz="0" w:space="0" w:color="auto"/>
      </w:divBdr>
      <w:divsChild>
        <w:div w:id="592856036">
          <w:marLeft w:val="0"/>
          <w:marRight w:val="0"/>
          <w:marTop w:val="0"/>
          <w:marBottom w:val="0"/>
          <w:divBdr>
            <w:top w:val="none" w:sz="0" w:space="0" w:color="auto"/>
            <w:left w:val="none" w:sz="0" w:space="0" w:color="auto"/>
            <w:bottom w:val="none" w:sz="0" w:space="0" w:color="auto"/>
            <w:right w:val="none" w:sz="0" w:space="0" w:color="auto"/>
          </w:divBdr>
          <w:divsChild>
            <w:div w:id="1311205187">
              <w:marLeft w:val="0"/>
              <w:marRight w:val="0"/>
              <w:marTop w:val="0"/>
              <w:marBottom w:val="0"/>
              <w:divBdr>
                <w:top w:val="none" w:sz="0" w:space="0" w:color="auto"/>
                <w:left w:val="none" w:sz="0" w:space="0" w:color="auto"/>
                <w:bottom w:val="none" w:sz="0" w:space="0" w:color="auto"/>
                <w:right w:val="none" w:sz="0" w:space="0" w:color="auto"/>
              </w:divBdr>
              <w:divsChild>
                <w:div w:id="1507210262">
                  <w:marLeft w:val="0"/>
                  <w:marRight w:val="0"/>
                  <w:marTop w:val="0"/>
                  <w:marBottom w:val="0"/>
                  <w:divBdr>
                    <w:top w:val="none" w:sz="0" w:space="0" w:color="auto"/>
                    <w:left w:val="none" w:sz="0" w:space="0" w:color="auto"/>
                    <w:bottom w:val="none" w:sz="0" w:space="0" w:color="auto"/>
                    <w:right w:val="none" w:sz="0" w:space="0" w:color="auto"/>
                  </w:divBdr>
                  <w:divsChild>
                    <w:div w:id="1529834739">
                      <w:marLeft w:val="0"/>
                      <w:marRight w:val="0"/>
                      <w:marTop w:val="0"/>
                      <w:marBottom w:val="0"/>
                      <w:divBdr>
                        <w:top w:val="none" w:sz="0" w:space="0" w:color="auto"/>
                        <w:left w:val="none" w:sz="0" w:space="0" w:color="auto"/>
                        <w:bottom w:val="none" w:sz="0" w:space="0" w:color="auto"/>
                        <w:right w:val="none" w:sz="0" w:space="0" w:color="auto"/>
                      </w:divBdr>
                      <w:divsChild>
                        <w:div w:id="146318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255314">
      <w:bodyDiv w:val="1"/>
      <w:marLeft w:val="0"/>
      <w:marRight w:val="0"/>
      <w:marTop w:val="0"/>
      <w:marBottom w:val="0"/>
      <w:divBdr>
        <w:top w:val="none" w:sz="0" w:space="0" w:color="auto"/>
        <w:left w:val="none" w:sz="0" w:space="0" w:color="auto"/>
        <w:bottom w:val="none" w:sz="0" w:space="0" w:color="auto"/>
        <w:right w:val="none" w:sz="0" w:space="0" w:color="auto"/>
      </w:divBdr>
      <w:divsChild>
        <w:div w:id="2018774377">
          <w:marLeft w:val="0"/>
          <w:marRight w:val="0"/>
          <w:marTop w:val="0"/>
          <w:marBottom w:val="0"/>
          <w:divBdr>
            <w:top w:val="none" w:sz="0" w:space="0" w:color="auto"/>
            <w:left w:val="none" w:sz="0" w:space="0" w:color="auto"/>
            <w:bottom w:val="none" w:sz="0" w:space="0" w:color="auto"/>
            <w:right w:val="none" w:sz="0" w:space="0" w:color="auto"/>
          </w:divBdr>
          <w:divsChild>
            <w:div w:id="2110619623">
              <w:marLeft w:val="210"/>
              <w:marRight w:val="0"/>
              <w:marTop w:val="0"/>
              <w:marBottom w:val="0"/>
              <w:divBdr>
                <w:top w:val="none" w:sz="0" w:space="0" w:color="auto"/>
                <w:left w:val="none" w:sz="0" w:space="0" w:color="auto"/>
                <w:bottom w:val="none" w:sz="0" w:space="0" w:color="auto"/>
                <w:right w:val="none" w:sz="0" w:space="0" w:color="auto"/>
              </w:divBdr>
              <w:divsChild>
                <w:div w:id="9753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4940">
      <w:bodyDiv w:val="1"/>
      <w:marLeft w:val="0"/>
      <w:marRight w:val="0"/>
      <w:marTop w:val="0"/>
      <w:marBottom w:val="0"/>
      <w:divBdr>
        <w:top w:val="none" w:sz="0" w:space="0" w:color="auto"/>
        <w:left w:val="none" w:sz="0" w:space="0" w:color="auto"/>
        <w:bottom w:val="none" w:sz="0" w:space="0" w:color="auto"/>
        <w:right w:val="none" w:sz="0" w:space="0" w:color="auto"/>
      </w:divBdr>
      <w:divsChild>
        <w:div w:id="198594316">
          <w:marLeft w:val="0"/>
          <w:marRight w:val="0"/>
          <w:marTop w:val="0"/>
          <w:marBottom w:val="0"/>
          <w:divBdr>
            <w:top w:val="none" w:sz="0" w:space="0" w:color="auto"/>
            <w:left w:val="none" w:sz="0" w:space="0" w:color="auto"/>
            <w:bottom w:val="none" w:sz="0" w:space="0" w:color="auto"/>
            <w:right w:val="none" w:sz="0" w:space="0" w:color="auto"/>
          </w:divBdr>
          <w:divsChild>
            <w:div w:id="708920785">
              <w:marLeft w:val="0"/>
              <w:marRight w:val="0"/>
              <w:marTop w:val="0"/>
              <w:marBottom w:val="0"/>
              <w:divBdr>
                <w:top w:val="none" w:sz="0" w:space="0" w:color="auto"/>
                <w:left w:val="none" w:sz="0" w:space="0" w:color="auto"/>
                <w:bottom w:val="none" w:sz="0" w:space="0" w:color="auto"/>
                <w:right w:val="none" w:sz="0" w:space="0" w:color="auto"/>
              </w:divBdr>
              <w:divsChild>
                <w:div w:id="941255058">
                  <w:marLeft w:val="0"/>
                  <w:marRight w:val="0"/>
                  <w:marTop w:val="0"/>
                  <w:marBottom w:val="0"/>
                  <w:divBdr>
                    <w:top w:val="none" w:sz="0" w:space="0" w:color="auto"/>
                    <w:left w:val="none" w:sz="0" w:space="0" w:color="auto"/>
                    <w:bottom w:val="none" w:sz="0" w:space="0" w:color="auto"/>
                    <w:right w:val="none" w:sz="0" w:space="0" w:color="auto"/>
                  </w:divBdr>
                  <w:divsChild>
                    <w:div w:id="1475952182">
                      <w:marLeft w:val="0"/>
                      <w:marRight w:val="0"/>
                      <w:marTop w:val="0"/>
                      <w:marBottom w:val="0"/>
                      <w:divBdr>
                        <w:top w:val="none" w:sz="0" w:space="0" w:color="auto"/>
                        <w:left w:val="none" w:sz="0" w:space="0" w:color="auto"/>
                        <w:bottom w:val="none" w:sz="0" w:space="0" w:color="auto"/>
                        <w:right w:val="none" w:sz="0" w:space="0" w:color="auto"/>
                      </w:divBdr>
                      <w:divsChild>
                        <w:div w:id="321548955">
                          <w:marLeft w:val="0"/>
                          <w:marRight w:val="0"/>
                          <w:marTop w:val="0"/>
                          <w:marBottom w:val="0"/>
                          <w:divBdr>
                            <w:top w:val="none" w:sz="0" w:space="0" w:color="auto"/>
                            <w:left w:val="none" w:sz="0" w:space="0" w:color="auto"/>
                            <w:bottom w:val="none" w:sz="0" w:space="0" w:color="auto"/>
                            <w:right w:val="none" w:sz="0" w:space="0" w:color="auto"/>
                          </w:divBdr>
                          <w:divsChild>
                            <w:div w:id="1502964554">
                              <w:marLeft w:val="570"/>
                              <w:marRight w:val="720"/>
                              <w:marTop w:val="120"/>
                              <w:marBottom w:val="120"/>
                              <w:divBdr>
                                <w:top w:val="none" w:sz="0" w:space="0" w:color="auto"/>
                                <w:left w:val="none" w:sz="0" w:space="0" w:color="auto"/>
                                <w:bottom w:val="none" w:sz="0" w:space="0" w:color="auto"/>
                                <w:right w:val="none" w:sz="0" w:space="0" w:color="auto"/>
                              </w:divBdr>
                              <w:divsChild>
                                <w:div w:id="1897930366">
                                  <w:marLeft w:val="0"/>
                                  <w:marRight w:val="0"/>
                                  <w:marTop w:val="0"/>
                                  <w:marBottom w:val="0"/>
                                  <w:divBdr>
                                    <w:top w:val="none" w:sz="0" w:space="0" w:color="auto"/>
                                    <w:left w:val="none" w:sz="0" w:space="0" w:color="auto"/>
                                    <w:bottom w:val="none" w:sz="0" w:space="0" w:color="auto"/>
                                    <w:right w:val="none" w:sz="0" w:space="0" w:color="auto"/>
                                  </w:divBdr>
                                  <w:divsChild>
                                    <w:div w:id="478960993">
                                      <w:marLeft w:val="0"/>
                                      <w:marRight w:val="0"/>
                                      <w:marTop w:val="0"/>
                                      <w:marBottom w:val="0"/>
                                      <w:divBdr>
                                        <w:top w:val="none" w:sz="0" w:space="0" w:color="auto"/>
                                        <w:left w:val="none" w:sz="0" w:space="0" w:color="auto"/>
                                        <w:bottom w:val="none" w:sz="0" w:space="0" w:color="auto"/>
                                        <w:right w:val="none" w:sz="0" w:space="0" w:color="auto"/>
                                      </w:divBdr>
                                      <w:divsChild>
                                        <w:div w:id="75440434">
                                          <w:marLeft w:val="0"/>
                                          <w:marRight w:val="0"/>
                                          <w:marTop w:val="0"/>
                                          <w:marBottom w:val="0"/>
                                          <w:divBdr>
                                            <w:top w:val="none" w:sz="0" w:space="0" w:color="auto"/>
                                            <w:left w:val="none" w:sz="0" w:space="0" w:color="auto"/>
                                            <w:bottom w:val="none" w:sz="0" w:space="0" w:color="auto"/>
                                            <w:right w:val="none" w:sz="0" w:space="0" w:color="auto"/>
                                          </w:divBdr>
                                        </w:div>
                                        <w:div w:id="1271203004">
                                          <w:marLeft w:val="0"/>
                                          <w:marRight w:val="0"/>
                                          <w:marTop w:val="0"/>
                                          <w:marBottom w:val="150"/>
                                          <w:divBdr>
                                            <w:top w:val="none" w:sz="0" w:space="0" w:color="auto"/>
                                            <w:left w:val="none" w:sz="0" w:space="0" w:color="auto"/>
                                            <w:bottom w:val="none" w:sz="0" w:space="0" w:color="auto"/>
                                            <w:right w:val="none" w:sz="0" w:space="0" w:color="auto"/>
                                          </w:divBdr>
                                          <w:divsChild>
                                            <w:div w:id="148601237">
                                              <w:marLeft w:val="0"/>
                                              <w:marRight w:val="0"/>
                                              <w:marTop w:val="240"/>
                                              <w:marBottom w:val="240"/>
                                              <w:divBdr>
                                                <w:top w:val="single" w:sz="6" w:space="6" w:color="F2F2F2"/>
                                                <w:left w:val="none" w:sz="0" w:space="0" w:color="auto"/>
                                                <w:bottom w:val="single" w:sz="6" w:space="6" w:color="F2F2F2"/>
                                                <w:right w:val="none" w:sz="0" w:space="0" w:color="auto"/>
                                              </w:divBdr>
                                            </w:div>
                                            <w:div w:id="1869829041">
                                              <w:marLeft w:val="0"/>
                                              <w:marRight w:val="0"/>
                                              <w:marTop w:val="0"/>
                                              <w:marBottom w:val="0"/>
                                              <w:divBdr>
                                                <w:top w:val="none" w:sz="0" w:space="0" w:color="auto"/>
                                                <w:left w:val="none" w:sz="0" w:space="0" w:color="auto"/>
                                                <w:bottom w:val="none" w:sz="0" w:space="0" w:color="auto"/>
                                                <w:right w:val="none" w:sz="0" w:space="0" w:color="auto"/>
                                              </w:divBdr>
                                              <w:divsChild>
                                                <w:div w:id="18276995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481742">
      <w:bodyDiv w:val="1"/>
      <w:marLeft w:val="0"/>
      <w:marRight w:val="0"/>
      <w:marTop w:val="0"/>
      <w:marBottom w:val="0"/>
      <w:divBdr>
        <w:top w:val="none" w:sz="0" w:space="0" w:color="auto"/>
        <w:left w:val="none" w:sz="0" w:space="0" w:color="auto"/>
        <w:bottom w:val="none" w:sz="0" w:space="0" w:color="auto"/>
        <w:right w:val="none" w:sz="0" w:space="0" w:color="auto"/>
      </w:divBdr>
      <w:divsChild>
        <w:div w:id="1364985436">
          <w:marLeft w:val="0"/>
          <w:marRight w:val="0"/>
          <w:marTop w:val="0"/>
          <w:marBottom w:val="0"/>
          <w:divBdr>
            <w:top w:val="single" w:sz="2" w:space="0" w:color="AAAAAA"/>
            <w:left w:val="single" w:sz="6" w:space="8" w:color="AAAAAA"/>
            <w:bottom w:val="single" w:sz="2" w:space="0" w:color="AAAAAA"/>
            <w:right w:val="single" w:sz="6" w:space="8" w:color="AAAAAA"/>
          </w:divBdr>
          <w:divsChild>
            <w:div w:id="346445212">
              <w:marLeft w:val="0"/>
              <w:marRight w:val="0"/>
              <w:marTop w:val="0"/>
              <w:marBottom w:val="0"/>
              <w:divBdr>
                <w:top w:val="none" w:sz="0" w:space="0" w:color="auto"/>
                <w:left w:val="none" w:sz="0" w:space="0" w:color="auto"/>
                <w:bottom w:val="none" w:sz="0" w:space="0" w:color="auto"/>
                <w:right w:val="none" w:sz="0" w:space="0" w:color="auto"/>
              </w:divBdr>
              <w:divsChild>
                <w:div w:id="228273639">
                  <w:marLeft w:val="0"/>
                  <w:marRight w:val="0"/>
                  <w:marTop w:val="0"/>
                  <w:marBottom w:val="0"/>
                  <w:divBdr>
                    <w:top w:val="none" w:sz="0" w:space="0" w:color="auto"/>
                    <w:left w:val="none" w:sz="0" w:space="0" w:color="auto"/>
                    <w:bottom w:val="none" w:sz="0" w:space="0" w:color="auto"/>
                    <w:right w:val="none" w:sz="0" w:space="0" w:color="auto"/>
                  </w:divBdr>
                  <w:divsChild>
                    <w:div w:id="1500921597">
                      <w:marLeft w:val="0"/>
                      <w:marRight w:val="2550"/>
                      <w:marTop w:val="0"/>
                      <w:marBottom w:val="48"/>
                      <w:divBdr>
                        <w:top w:val="none" w:sz="0" w:space="0" w:color="auto"/>
                        <w:left w:val="none" w:sz="0" w:space="0" w:color="auto"/>
                        <w:bottom w:val="none" w:sz="0" w:space="0" w:color="auto"/>
                        <w:right w:val="none" w:sz="0" w:space="0" w:color="auto"/>
                      </w:divBdr>
                      <w:divsChild>
                        <w:div w:id="12910895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28563528">
      <w:bodyDiv w:val="1"/>
      <w:marLeft w:val="0"/>
      <w:marRight w:val="0"/>
      <w:marTop w:val="0"/>
      <w:marBottom w:val="0"/>
      <w:divBdr>
        <w:top w:val="none" w:sz="0" w:space="0" w:color="auto"/>
        <w:left w:val="none" w:sz="0" w:space="0" w:color="auto"/>
        <w:bottom w:val="none" w:sz="0" w:space="0" w:color="auto"/>
        <w:right w:val="none" w:sz="0" w:space="0" w:color="auto"/>
      </w:divBdr>
    </w:div>
    <w:div w:id="329212997">
      <w:bodyDiv w:val="1"/>
      <w:marLeft w:val="0"/>
      <w:marRight w:val="0"/>
      <w:marTop w:val="0"/>
      <w:marBottom w:val="0"/>
      <w:divBdr>
        <w:top w:val="none" w:sz="0" w:space="0" w:color="auto"/>
        <w:left w:val="none" w:sz="0" w:space="0" w:color="auto"/>
        <w:bottom w:val="none" w:sz="0" w:space="0" w:color="auto"/>
        <w:right w:val="none" w:sz="0" w:space="0" w:color="auto"/>
      </w:divBdr>
      <w:divsChild>
        <w:div w:id="147670279">
          <w:marLeft w:val="0"/>
          <w:marRight w:val="0"/>
          <w:marTop w:val="0"/>
          <w:marBottom w:val="0"/>
          <w:divBdr>
            <w:top w:val="single" w:sz="6" w:space="0" w:color="818181"/>
            <w:left w:val="single" w:sz="6" w:space="0" w:color="818181"/>
            <w:bottom w:val="single" w:sz="6" w:space="0" w:color="818181"/>
            <w:right w:val="single" w:sz="6" w:space="0" w:color="818181"/>
          </w:divBdr>
          <w:divsChild>
            <w:div w:id="43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0425">
      <w:bodyDiv w:val="1"/>
      <w:marLeft w:val="0"/>
      <w:marRight w:val="0"/>
      <w:marTop w:val="0"/>
      <w:marBottom w:val="0"/>
      <w:divBdr>
        <w:top w:val="none" w:sz="0" w:space="0" w:color="auto"/>
        <w:left w:val="none" w:sz="0" w:space="0" w:color="auto"/>
        <w:bottom w:val="none" w:sz="0" w:space="0" w:color="auto"/>
        <w:right w:val="none" w:sz="0" w:space="0" w:color="auto"/>
      </w:divBdr>
      <w:divsChild>
        <w:div w:id="701979148">
          <w:marLeft w:val="0"/>
          <w:marRight w:val="0"/>
          <w:marTop w:val="0"/>
          <w:marBottom w:val="0"/>
          <w:divBdr>
            <w:top w:val="none" w:sz="0" w:space="0" w:color="auto"/>
            <w:left w:val="none" w:sz="0" w:space="0" w:color="auto"/>
            <w:bottom w:val="none" w:sz="0" w:space="0" w:color="auto"/>
            <w:right w:val="none" w:sz="0" w:space="0" w:color="auto"/>
          </w:divBdr>
          <w:divsChild>
            <w:div w:id="1440106659">
              <w:marLeft w:val="0"/>
              <w:marRight w:val="0"/>
              <w:marTop w:val="0"/>
              <w:marBottom w:val="0"/>
              <w:divBdr>
                <w:top w:val="none" w:sz="0" w:space="0" w:color="auto"/>
                <w:left w:val="none" w:sz="0" w:space="0" w:color="auto"/>
                <w:bottom w:val="none" w:sz="0" w:space="0" w:color="auto"/>
                <w:right w:val="none" w:sz="0" w:space="0" w:color="auto"/>
              </w:divBdr>
              <w:divsChild>
                <w:div w:id="2009210130">
                  <w:marLeft w:val="0"/>
                  <w:marRight w:val="0"/>
                  <w:marTop w:val="0"/>
                  <w:marBottom w:val="0"/>
                  <w:divBdr>
                    <w:top w:val="none" w:sz="0" w:space="0" w:color="auto"/>
                    <w:left w:val="none" w:sz="0" w:space="0" w:color="auto"/>
                    <w:bottom w:val="none" w:sz="0" w:space="0" w:color="auto"/>
                    <w:right w:val="none" w:sz="0" w:space="0" w:color="auto"/>
                  </w:divBdr>
                  <w:divsChild>
                    <w:div w:id="791285791">
                      <w:marLeft w:val="-360"/>
                      <w:marRight w:val="-360"/>
                      <w:marTop w:val="0"/>
                      <w:marBottom w:val="0"/>
                      <w:divBdr>
                        <w:top w:val="none" w:sz="0" w:space="0" w:color="auto"/>
                        <w:left w:val="none" w:sz="0" w:space="0" w:color="auto"/>
                        <w:bottom w:val="none" w:sz="0" w:space="0" w:color="auto"/>
                        <w:right w:val="none" w:sz="0" w:space="0" w:color="auto"/>
                      </w:divBdr>
                      <w:divsChild>
                        <w:div w:id="1348797204">
                          <w:marLeft w:val="0"/>
                          <w:marRight w:val="0"/>
                          <w:marTop w:val="0"/>
                          <w:marBottom w:val="0"/>
                          <w:divBdr>
                            <w:top w:val="none" w:sz="0" w:space="0" w:color="auto"/>
                            <w:left w:val="none" w:sz="0" w:space="0" w:color="auto"/>
                            <w:bottom w:val="none" w:sz="0" w:space="0" w:color="auto"/>
                            <w:right w:val="none" w:sz="0" w:space="0" w:color="auto"/>
                          </w:divBdr>
                          <w:divsChild>
                            <w:div w:id="1552110340">
                              <w:marLeft w:val="0"/>
                              <w:marRight w:val="0"/>
                              <w:marTop w:val="0"/>
                              <w:marBottom w:val="0"/>
                              <w:divBdr>
                                <w:top w:val="none" w:sz="0" w:space="0" w:color="auto"/>
                                <w:left w:val="none" w:sz="0" w:space="0" w:color="auto"/>
                                <w:bottom w:val="none" w:sz="0" w:space="0" w:color="auto"/>
                                <w:right w:val="none" w:sz="0" w:space="0" w:color="auto"/>
                              </w:divBdr>
                              <w:divsChild>
                                <w:div w:id="96635419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488557">
      <w:bodyDiv w:val="1"/>
      <w:marLeft w:val="0"/>
      <w:marRight w:val="0"/>
      <w:marTop w:val="0"/>
      <w:marBottom w:val="0"/>
      <w:divBdr>
        <w:top w:val="none" w:sz="0" w:space="0" w:color="auto"/>
        <w:left w:val="none" w:sz="0" w:space="0" w:color="auto"/>
        <w:bottom w:val="none" w:sz="0" w:space="0" w:color="auto"/>
        <w:right w:val="none" w:sz="0" w:space="0" w:color="auto"/>
      </w:divBdr>
      <w:divsChild>
        <w:div w:id="1405495973">
          <w:marLeft w:val="0"/>
          <w:marRight w:val="0"/>
          <w:marTop w:val="0"/>
          <w:marBottom w:val="0"/>
          <w:divBdr>
            <w:top w:val="none" w:sz="0" w:space="0" w:color="auto"/>
            <w:left w:val="none" w:sz="0" w:space="0" w:color="auto"/>
            <w:bottom w:val="none" w:sz="0" w:space="0" w:color="auto"/>
            <w:right w:val="none" w:sz="0" w:space="0" w:color="auto"/>
          </w:divBdr>
          <w:divsChild>
            <w:div w:id="860244452">
              <w:marLeft w:val="0"/>
              <w:marRight w:val="0"/>
              <w:marTop w:val="0"/>
              <w:marBottom w:val="0"/>
              <w:divBdr>
                <w:top w:val="none" w:sz="0" w:space="0" w:color="auto"/>
                <w:left w:val="none" w:sz="0" w:space="0" w:color="auto"/>
                <w:bottom w:val="none" w:sz="0" w:space="0" w:color="auto"/>
                <w:right w:val="none" w:sz="0" w:space="0" w:color="auto"/>
              </w:divBdr>
              <w:divsChild>
                <w:div w:id="844443482">
                  <w:marLeft w:val="0"/>
                  <w:marRight w:val="0"/>
                  <w:marTop w:val="0"/>
                  <w:marBottom w:val="0"/>
                  <w:divBdr>
                    <w:top w:val="none" w:sz="0" w:space="0" w:color="auto"/>
                    <w:left w:val="none" w:sz="0" w:space="0" w:color="auto"/>
                    <w:bottom w:val="none" w:sz="0" w:space="0" w:color="auto"/>
                    <w:right w:val="none" w:sz="0" w:space="0" w:color="auto"/>
                  </w:divBdr>
                  <w:divsChild>
                    <w:div w:id="331376635">
                      <w:marLeft w:val="-225"/>
                      <w:marRight w:val="-225"/>
                      <w:marTop w:val="0"/>
                      <w:marBottom w:val="0"/>
                      <w:divBdr>
                        <w:top w:val="none" w:sz="0" w:space="0" w:color="auto"/>
                        <w:left w:val="none" w:sz="0" w:space="0" w:color="auto"/>
                        <w:bottom w:val="none" w:sz="0" w:space="0" w:color="auto"/>
                        <w:right w:val="none" w:sz="0" w:space="0" w:color="auto"/>
                      </w:divBdr>
                      <w:divsChild>
                        <w:div w:id="589586933">
                          <w:marLeft w:val="0"/>
                          <w:marRight w:val="0"/>
                          <w:marTop w:val="0"/>
                          <w:marBottom w:val="0"/>
                          <w:divBdr>
                            <w:top w:val="none" w:sz="0" w:space="0" w:color="auto"/>
                            <w:left w:val="none" w:sz="0" w:space="0" w:color="auto"/>
                            <w:bottom w:val="none" w:sz="0" w:space="0" w:color="auto"/>
                            <w:right w:val="none" w:sz="0" w:space="0" w:color="auto"/>
                          </w:divBdr>
                          <w:divsChild>
                            <w:div w:id="755438287">
                              <w:marLeft w:val="0"/>
                              <w:marRight w:val="0"/>
                              <w:marTop w:val="0"/>
                              <w:marBottom w:val="0"/>
                              <w:divBdr>
                                <w:top w:val="none" w:sz="0" w:space="0" w:color="auto"/>
                                <w:left w:val="none" w:sz="0" w:space="0" w:color="auto"/>
                                <w:bottom w:val="none" w:sz="0" w:space="0" w:color="auto"/>
                                <w:right w:val="none" w:sz="0" w:space="0" w:color="auto"/>
                              </w:divBdr>
                              <w:divsChild>
                                <w:div w:id="1563441597">
                                  <w:marLeft w:val="0"/>
                                  <w:marRight w:val="0"/>
                                  <w:marTop w:val="0"/>
                                  <w:marBottom w:val="0"/>
                                  <w:divBdr>
                                    <w:top w:val="none" w:sz="0" w:space="0" w:color="auto"/>
                                    <w:left w:val="none" w:sz="0" w:space="0" w:color="auto"/>
                                    <w:bottom w:val="none" w:sz="0" w:space="0" w:color="auto"/>
                                    <w:right w:val="none" w:sz="0" w:space="0" w:color="auto"/>
                                  </w:divBdr>
                                  <w:divsChild>
                                    <w:div w:id="13119807">
                                      <w:marLeft w:val="0"/>
                                      <w:marRight w:val="0"/>
                                      <w:marTop w:val="0"/>
                                      <w:marBottom w:val="0"/>
                                      <w:divBdr>
                                        <w:top w:val="none" w:sz="0" w:space="0" w:color="auto"/>
                                        <w:left w:val="none" w:sz="0" w:space="0" w:color="auto"/>
                                        <w:bottom w:val="none" w:sz="0" w:space="0" w:color="auto"/>
                                        <w:right w:val="none" w:sz="0" w:space="0" w:color="auto"/>
                                      </w:divBdr>
                                      <w:divsChild>
                                        <w:div w:id="1408529059">
                                          <w:marLeft w:val="150"/>
                                          <w:marRight w:val="150"/>
                                          <w:marTop w:val="150"/>
                                          <w:marBottom w:val="150"/>
                                          <w:divBdr>
                                            <w:top w:val="none" w:sz="0" w:space="0" w:color="auto"/>
                                            <w:left w:val="none" w:sz="0" w:space="0" w:color="auto"/>
                                            <w:bottom w:val="none" w:sz="0" w:space="0" w:color="auto"/>
                                            <w:right w:val="none" w:sz="0" w:space="0" w:color="auto"/>
                                          </w:divBdr>
                                          <w:divsChild>
                                            <w:div w:id="19739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684287">
      <w:bodyDiv w:val="1"/>
      <w:marLeft w:val="0"/>
      <w:marRight w:val="0"/>
      <w:marTop w:val="0"/>
      <w:marBottom w:val="0"/>
      <w:divBdr>
        <w:top w:val="none" w:sz="0" w:space="0" w:color="auto"/>
        <w:left w:val="none" w:sz="0" w:space="0" w:color="auto"/>
        <w:bottom w:val="none" w:sz="0" w:space="0" w:color="auto"/>
        <w:right w:val="none" w:sz="0" w:space="0" w:color="auto"/>
      </w:divBdr>
    </w:div>
    <w:div w:id="334193000">
      <w:bodyDiv w:val="1"/>
      <w:marLeft w:val="0"/>
      <w:marRight w:val="0"/>
      <w:marTop w:val="0"/>
      <w:marBottom w:val="0"/>
      <w:divBdr>
        <w:top w:val="none" w:sz="0" w:space="0" w:color="auto"/>
        <w:left w:val="none" w:sz="0" w:space="0" w:color="auto"/>
        <w:bottom w:val="none" w:sz="0" w:space="0" w:color="auto"/>
        <w:right w:val="none" w:sz="0" w:space="0" w:color="auto"/>
      </w:divBdr>
      <w:divsChild>
        <w:div w:id="1405759048">
          <w:marLeft w:val="0"/>
          <w:marRight w:val="0"/>
          <w:marTop w:val="0"/>
          <w:marBottom w:val="0"/>
          <w:divBdr>
            <w:top w:val="none" w:sz="0" w:space="0" w:color="auto"/>
            <w:left w:val="none" w:sz="0" w:space="0" w:color="auto"/>
            <w:bottom w:val="none" w:sz="0" w:space="0" w:color="auto"/>
            <w:right w:val="none" w:sz="0" w:space="0" w:color="auto"/>
          </w:divBdr>
          <w:divsChild>
            <w:div w:id="1376733705">
              <w:marLeft w:val="0"/>
              <w:marRight w:val="0"/>
              <w:marTop w:val="0"/>
              <w:marBottom w:val="0"/>
              <w:divBdr>
                <w:top w:val="none" w:sz="0" w:space="0" w:color="auto"/>
                <w:left w:val="none" w:sz="0" w:space="0" w:color="auto"/>
                <w:bottom w:val="none" w:sz="0" w:space="0" w:color="auto"/>
                <w:right w:val="none" w:sz="0" w:space="0" w:color="auto"/>
              </w:divBdr>
              <w:divsChild>
                <w:div w:id="989603408">
                  <w:marLeft w:val="0"/>
                  <w:marRight w:val="0"/>
                  <w:marTop w:val="0"/>
                  <w:marBottom w:val="0"/>
                  <w:divBdr>
                    <w:top w:val="none" w:sz="0" w:space="0" w:color="auto"/>
                    <w:left w:val="none" w:sz="0" w:space="0" w:color="auto"/>
                    <w:bottom w:val="none" w:sz="0" w:space="0" w:color="auto"/>
                    <w:right w:val="none" w:sz="0" w:space="0" w:color="auto"/>
                  </w:divBdr>
                  <w:divsChild>
                    <w:div w:id="869681956">
                      <w:marLeft w:val="0"/>
                      <w:marRight w:val="0"/>
                      <w:marTop w:val="0"/>
                      <w:marBottom w:val="0"/>
                      <w:divBdr>
                        <w:top w:val="none" w:sz="0" w:space="0" w:color="auto"/>
                        <w:left w:val="none" w:sz="0" w:space="0" w:color="auto"/>
                        <w:bottom w:val="none" w:sz="0" w:space="0" w:color="auto"/>
                        <w:right w:val="none" w:sz="0" w:space="0" w:color="auto"/>
                      </w:divBdr>
                      <w:divsChild>
                        <w:div w:id="1074084689">
                          <w:marLeft w:val="0"/>
                          <w:marRight w:val="0"/>
                          <w:marTop w:val="0"/>
                          <w:marBottom w:val="0"/>
                          <w:divBdr>
                            <w:top w:val="none" w:sz="0" w:space="0" w:color="auto"/>
                            <w:left w:val="none" w:sz="0" w:space="0" w:color="auto"/>
                            <w:bottom w:val="none" w:sz="0" w:space="0" w:color="auto"/>
                            <w:right w:val="none" w:sz="0" w:space="0" w:color="auto"/>
                          </w:divBdr>
                          <w:divsChild>
                            <w:div w:id="28535283">
                              <w:marLeft w:val="0"/>
                              <w:marRight w:val="0"/>
                              <w:marTop w:val="0"/>
                              <w:marBottom w:val="0"/>
                              <w:divBdr>
                                <w:top w:val="none" w:sz="0" w:space="0" w:color="auto"/>
                                <w:left w:val="none" w:sz="0" w:space="0" w:color="auto"/>
                                <w:bottom w:val="none" w:sz="0" w:space="0" w:color="auto"/>
                                <w:right w:val="none" w:sz="0" w:space="0" w:color="auto"/>
                              </w:divBdr>
                              <w:divsChild>
                                <w:div w:id="1300108359">
                                  <w:marLeft w:val="0"/>
                                  <w:marRight w:val="0"/>
                                  <w:marTop w:val="0"/>
                                  <w:marBottom w:val="0"/>
                                  <w:divBdr>
                                    <w:top w:val="none" w:sz="0" w:space="0" w:color="auto"/>
                                    <w:left w:val="none" w:sz="0" w:space="0" w:color="auto"/>
                                    <w:bottom w:val="none" w:sz="0" w:space="0" w:color="auto"/>
                                    <w:right w:val="none" w:sz="0" w:space="0" w:color="auto"/>
                                  </w:divBdr>
                                  <w:divsChild>
                                    <w:div w:id="1766026253">
                                      <w:marLeft w:val="0"/>
                                      <w:marRight w:val="0"/>
                                      <w:marTop w:val="0"/>
                                      <w:marBottom w:val="0"/>
                                      <w:divBdr>
                                        <w:top w:val="none" w:sz="0" w:space="0" w:color="auto"/>
                                        <w:left w:val="none" w:sz="0" w:space="0" w:color="auto"/>
                                        <w:bottom w:val="none" w:sz="0" w:space="0" w:color="auto"/>
                                        <w:right w:val="none" w:sz="0" w:space="0" w:color="auto"/>
                                      </w:divBdr>
                                      <w:divsChild>
                                        <w:div w:id="1507015867">
                                          <w:marLeft w:val="0"/>
                                          <w:marRight w:val="0"/>
                                          <w:marTop w:val="0"/>
                                          <w:marBottom w:val="0"/>
                                          <w:divBdr>
                                            <w:top w:val="none" w:sz="0" w:space="0" w:color="auto"/>
                                            <w:left w:val="none" w:sz="0" w:space="0" w:color="auto"/>
                                            <w:bottom w:val="none" w:sz="0" w:space="0" w:color="auto"/>
                                            <w:right w:val="none" w:sz="0" w:space="0" w:color="auto"/>
                                          </w:divBdr>
                                          <w:divsChild>
                                            <w:div w:id="1626543655">
                                              <w:marLeft w:val="0"/>
                                              <w:marRight w:val="0"/>
                                              <w:marTop w:val="0"/>
                                              <w:marBottom w:val="0"/>
                                              <w:divBdr>
                                                <w:top w:val="none" w:sz="0" w:space="0" w:color="auto"/>
                                                <w:left w:val="none" w:sz="0" w:space="0" w:color="auto"/>
                                                <w:bottom w:val="none" w:sz="0" w:space="0" w:color="auto"/>
                                                <w:right w:val="none" w:sz="0" w:space="0" w:color="auto"/>
                                              </w:divBdr>
                                              <w:divsChild>
                                                <w:div w:id="376468731">
                                                  <w:marLeft w:val="0"/>
                                                  <w:marRight w:val="0"/>
                                                  <w:marTop w:val="0"/>
                                                  <w:marBottom w:val="0"/>
                                                  <w:divBdr>
                                                    <w:top w:val="none" w:sz="0" w:space="0" w:color="auto"/>
                                                    <w:left w:val="none" w:sz="0" w:space="0" w:color="auto"/>
                                                    <w:bottom w:val="none" w:sz="0" w:space="0" w:color="auto"/>
                                                    <w:right w:val="none" w:sz="0" w:space="0" w:color="auto"/>
                                                  </w:divBdr>
                                                  <w:divsChild>
                                                    <w:div w:id="1724597287">
                                                      <w:marLeft w:val="0"/>
                                                      <w:marRight w:val="0"/>
                                                      <w:marTop w:val="0"/>
                                                      <w:marBottom w:val="0"/>
                                                      <w:divBdr>
                                                        <w:top w:val="none" w:sz="0" w:space="0" w:color="auto"/>
                                                        <w:left w:val="none" w:sz="0" w:space="0" w:color="auto"/>
                                                        <w:bottom w:val="none" w:sz="0" w:space="0" w:color="auto"/>
                                                        <w:right w:val="none" w:sz="0" w:space="0" w:color="auto"/>
                                                      </w:divBdr>
                                                      <w:divsChild>
                                                        <w:div w:id="249579294">
                                                          <w:marLeft w:val="0"/>
                                                          <w:marRight w:val="0"/>
                                                          <w:marTop w:val="0"/>
                                                          <w:marBottom w:val="0"/>
                                                          <w:divBdr>
                                                            <w:top w:val="none" w:sz="0" w:space="0" w:color="auto"/>
                                                            <w:left w:val="none" w:sz="0" w:space="0" w:color="auto"/>
                                                            <w:bottom w:val="none" w:sz="0" w:space="0" w:color="auto"/>
                                                            <w:right w:val="none" w:sz="0" w:space="0" w:color="auto"/>
                                                          </w:divBdr>
                                                          <w:divsChild>
                                                            <w:div w:id="381297336">
                                                              <w:marLeft w:val="0"/>
                                                              <w:marRight w:val="0"/>
                                                              <w:marTop w:val="0"/>
                                                              <w:marBottom w:val="0"/>
                                                              <w:divBdr>
                                                                <w:top w:val="none" w:sz="0" w:space="0" w:color="auto"/>
                                                                <w:left w:val="none" w:sz="0" w:space="0" w:color="auto"/>
                                                                <w:bottom w:val="none" w:sz="0" w:space="0" w:color="auto"/>
                                                                <w:right w:val="none" w:sz="0" w:space="0" w:color="auto"/>
                                                              </w:divBdr>
                                                              <w:divsChild>
                                                                <w:div w:id="647825489">
                                                                  <w:marLeft w:val="0"/>
                                                                  <w:marRight w:val="0"/>
                                                                  <w:marTop w:val="0"/>
                                                                  <w:marBottom w:val="0"/>
                                                                  <w:divBdr>
                                                                    <w:top w:val="none" w:sz="0" w:space="0" w:color="auto"/>
                                                                    <w:left w:val="none" w:sz="0" w:space="0" w:color="auto"/>
                                                                    <w:bottom w:val="none" w:sz="0" w:space="0" w:color="auto"/>
                                                                    <w:right w:val="none" w:sz="0" w:space="0" w:color="auto"/>
                                                                  </w:divBdr>
                                                                  <w:divsChild>
                                                                    <w:div w:id="2133862153">
                                                                      <w:marLeft w:val="0"/>
                                                                      <w:marRight w:val="0"/>
                                                                      <w:marTop w:val="0"/>
                                                                      <w:marBottom w:val="0"/>
                                                                      <w:divBdr>
                                                                        <w:top w:val="none" w:sz="0" w:space="0" w:color="auto"/>
                                                                        <w:left w:val="none" w:sz="0" w:space="0" w:color="auto"/>
                                                                        <w:bottom w:val="none" w:sz="0" w:space="0" w:color="auto"/>
                                                                        <w:right w:val="none" w:sz="0" w:space="0" w:color="auto"/>
                                                                      </w:divBdr>
                                                                      <w:divsChild>
                                                                        <w:div w:id="1800108734">
                                                                          <w:marLeft w:val="0"/>
                                                                          <w:marRight w:val="0"/>
                                                                          <w:marTop w:val="0"/>
                                                                          <w:marBottom w:val="0"/>
                                                                          <w:divBdr>
                                                                            <w:top w:val="none" w:sz="0" w:space="0" w:color="auto"/>
                                                                            <w:left w:val="none" w:sz="0" w:space="0" w:color="auto"/>
                                                                            <w:bottom w:val="none" w:sz="0" w:space="0" w:color="auto"/>
                                                                            <w:right w:val="none" w:sz="0" w:space="0" w:color="auto"/>
                                                                          </w:divBdr>
                                                                          <w:divsChild>
                                                                            <w:div w:id="85149420">
                                                                              <w:marLeft w:val="0"/>
                                                                              <w:marRight w:val="0"/>
                                                                              <w:marTop w:val="0"/>
                                                                              <w:marBottom w:val="0"/>
                                                                              <w:divBdr>
                                                                                <w:top w:val="none" w:sz="0" w:space="0" w:color="auto"/>
                                                                                <w:left w:val="none" w:sz="0" w:space="0" w:color="auto"/>
                                                                                <w:bottom w:val="none" w:sz="0" w:space="0" w:color="auto"/>
                                                                                <w:right w:val="none" w:sz="0" w:space="0" w:color="auto"/>
                                                                              </w:divBdr>
                                                                              <w:divsChild>
                                                                                <w:div w:id="810247759">
                                                                                  <w:marLeft w:val="0"/>
                                                                                  <w:marRight w:val="0"/>
                                                                                  <w:marTop w:val="0"/>
                                                                                  <w:marBottom w:val="0"/>
                                                                                  <w:divBdr>
                                                                                    <w:top w:val="none" w:sz="0" w:space="0" w:color="auto"/>
                                                                                    <w:left w:val="none" w:sz="0" w:space="0" w:color="auto"/>
                                                                                    <w:bottom w:val="none" w:sz="0" w:space="0" w:color="auto"/>
                                                                                    <w:right w:val="none" w:sz="0" w:space="0" w:color="auto"/>
                                                                                  </w:divBdr>
                                                                                  <w:divsChild>
                                                                                    <w:div w:id="1609968070">
                                                                                      <w:marLeft w:val="600"/>
                                                                                      <w:marRight w:val="0"/>
                                                                                      <w:marTop w:val="280"/>
                                                                                      <w:marBottom w:val="280"/>
                                                                                      <w:divBdr>
                                                                                        <w:top w:val="none" w:sz="0" w:space="0" w:color="auto"/>
                                                                                        <w:left w:val="none" w:sz="0" w:space="0" w:color="auto"/>
                                                                                        <w:bottom w:val="none" w:sz="0" w:space="0" w:color="auto"/>
                                                                                        <w:right w:val="none" w:sz="0" w:space="0" w:color="auto"/>
                                                                                      </w:divBdr>
                                                                                      <w:divsChild>
                                                                                        <w:div w:id="1734354669">
                                                                                          <w:marLeft w:val="600"/>
                                                                                          <w:marRight w:val="0"/>
                                                                                          <w:marTop w:val="280"/>
                                                                                          <w:marBottom w:val="280"/>
                                                                                          <w:divBdr>
                                                                                            <w:top w:val="none" w:sz="0" w:space="0" w:color="auto"/>
                                                                                            <w:left w:val="none" w:sz="0" w:space="0" w:color="auto"/>
                                                                                            <w:bottom w:val="none" w:sz="0" w:space="0" w:color="auto"/>
                                                                                            <w:right w:val="none" w:sz="0" w:space="0" w:color="auto"/>
                                                                                          </w:divBdr>
                                                                                          <w:divsChild>
                                                                                            <w:div w:id="925192217">
                                                                                              <w:marLeft w:val="0"/>
                                                                                              <w:marRight w:val="0"/>
                                                                                              <w:marTop w:val="0"/>
                                                                                              <w:marBottom w:val="0"/>
                                                                                              <w:divBdr>
                                                                                                <w:top w:val="none" w:sz="0" w:space="0" w:color="auto"/>
                                                                                                <w:left w:val="none" w:sz="0" w:space="0" w:color="auto"/>
                                                                                                <w:bottom w:val="none" w:sz="0" w:space="0" w:color="auto"/>
                                                                                                <w:right w:val="none" w:sz="0" w:space="0" w:color="auto"/>
                                                                                              </w:divBdr>
                                                                                            </w:div>
                                                                                            <w:div w:id="2055734312">
                                                                                              <w:marLeft w:val="0"/>
                                                                                              <w:marRight w:val="0"/>
                                                                                              <w:marTop w:val="0"/>
                                                                                              <w:marBottom w:val="0"/>
                                                                                              <w:divBdr>
                                                                                                <w:top w:val="none" w:sz="0" w:space="0" w:color="auto"/>
                                                                                                <w:left w:val="none" w:sz="0" w:space="0" w:color="auto"/>
                                                                                                <w:bottom w:val="none" w:sz="0" w:space="0" w:color="auto"/>
                                                                                                <w:right w:val="none" w:sz="0" w:space="0" w:color="auto"/>
                                                                                              </w:divBdr>
                                                                                            </w:div>
                                                                                            <w:div w:id="207646324">
                                                                                              <w:marLeft w:val="0"/>
                                                                                              <w:marRight w:val="0"/>
                                                                                              <w:marTop w:val="0"/>
                                                                                              <w:marBottom w:val="0"/>
                                                                                              <w:divBdr>
                                                                                                <w:top w:val="none" w:sz="0" w:space="0" w:color="auto"/>
                                                                                                <w:left w:val="none" w:sz="0" w:space="0" w:color="auto"/>
                                                                                                <w:bottom w:val="none" w:sz="0" w:space="0" w:color="auto"/>
                                                                                                <w:right w:val="none" w:sz="0" w:space="0" w:color="auto"/>
                                                                                              </w:divBdr>
                                                                                            </w:div>
                                                                                            <w:div w:id="1946645911">
                                                                                              <w:marLeft w:val="0"/>
                                                                                              <w:marRight w:val="0"/>
                                                                                              <w:marTop w:val="0"/>
                                                                                              <w:marBottom w:val="0"/>
                                                                                              <w:divBdr>
                                                                                                <w:top w:val="none" w:sz="0" w:space="0" w:color="auto"/>
                                                                                                <w:left w:val="none" w:sz="0" w:space="0" w:color="auto"/>
                                                                                                <w:bottom w:val="none" w:sz="0" w:space="0" w:color="auto"/>
                                                                                                <w:right w:val="none" w:sz="0" w:space="0" w:color="auto"/>
                                                                                              </w:divBdr>
                                                                                            </w:div>
                                                                                            <w:div w:id="1093018436">
                                                                                              <w:marLeft w:val="0"/>
                                                                                              <w:marRight w:val="0"/>
                                                                                              <w:marTop w:val="0"/>
                                                                                              <w:marBottom w:val="0"/>
                                                                                              <w:divBdr>
                                                                                                <w:top w:val="none" w:sz="0" w:space="0" w:color="auto"/>
                                                                                                <w:left w:val="none" w:sz="0" w:space="0" w:color="auto"/>
                                                                                                <w:bottom w:val="none" w:sz="0" w:space="0" w:color="auto"/>
                                                                                                <w:right w:val="none" w:sz="0" w:space="0" w:color="auto"/>
                                                                                              </w:divBdr>
                                                                                            </w:div>
                                                                                            <w:div w:id="1774932841">
                                                                                              <w:marLeft w:val="0"/>
                                                                                              <w:marRight w:val="0"/>
                                                                                              <w:marTop w:val="0"/>
                                                                                              <w:marBottom w:val="0"/>
                                                                                              <w:divBdr>
                                                                                                <w:top w:val="none" w:sz="0" w:space="0" w:color="auto"/>
                                                                                                <w:left w:val="none" w:sz="0" w:space="0" w:color="auto"/>
                                                                                                <w:bottom w:val="none" w:sz="0" w:space="0" w:color="auto"/>
                                                                                                <w:right w:val="none" w:sz="0" w:space="0" w:color="auto"/>
                                                                                              </w:divBdr>
                                                                                            </w:div>
                                                                                            <w:div w:id="1998534955">
                                                                                              <w:marLeft w:val="0"/>
                                                                                              <w:marRight w:val="0"/>
                                                                                              <w:marTop w:val="0"/>
                                                                                              <w:marBottom w:val="0"/>
                                                                                              <w:divBdr>
                                                                                                <w:top w:val="none" w:sz="0" w:space="0" w:color="auto"/>
                                                                                                <w:left w:val="none" w:sz="0" w:space="0" w:color="auto"/>
                                                                                                <w:bottom w:val="none" w:sz="0" w:space="0" w:color="auto"/>
                                                                                                <w:right w:val="none" w:sz="0" w:space="0" w:color="auto"/>
                                                                                              </w:divBdr>
                                                                                            </w:div>
                                                                                            <w:div w:id="1251350333">
                                                                                              <w:marLeft w:val="0"/>
                                                                                              <w:marRight w:val="0"/>
                                                                                              <w:marTop w:val="0"/>
                                                                                              <w:marBottom w:val="0"/>
                                                                                              <w:divBdr>
                                                                                                <w:top w:val="none" w:sz="0" w:space="0" w:color="auto"/>
                                                                                                <w:left w:val="none" w:sz="0" w:space="0" w:color="auto"/>
                                                                                                <w:bottom w:val="none" w:sz="0" w:space="0" w:color="auto"/>
                                                                                                <w:right w:val="none" w:sz="0" w:space="0" w:color="auto"/>
                                                                                              </w:divBdr>
                                                                                            </w:div>
                                                                                            <w:div w:id="256713144">
                                                                                              <w:marLeft w:val="0"/>
                                                                                              <w:marRight w:val="0"/>
                                                                                              <w:marTop w:val="0"/>
                                                                                              <w:marBottom w:val="0"/>
                                                                                              <w:divBdr>
                                                                                                <w:top w:val="none" w:sz="0" w:space="0" w:color="auto"/>
                                                                                                <w:left w:val="none" w:sz="0" w:space="0" w:color="auto"/>
                                                                                                <w:bottom w:val="none" w:sz="0" w:space="0" w:color="auto"/>
                                                                                                <w:right w:val="none" w:sz="0" w:space="0" w:color="auto"/>
                                                                                              </w:divBdr>
                                                                                            </w:div>
                                                                                            <w:div w:id="6434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67582">
      <w:bodyDiv w:val="1"/>
      <w:marLeft w:val="0"/>
      <w:marRight w:val="0"/>
      <w:marTop w:val="0"/>
      <w:marBottom w:val="0"/>
      <w:divBdr>
        <w:top w:val="none" w:sz="0" w:space="0" w:color="auto"/>
        <w:left w:val="none" w:sz="0" w:space="0" w:color="auto"/>
        <w:bottom w:val="none" w:sz="0" w:space="0" w:color="auto"/>
        <w:right w:val="none" w:sz="0" w:space="0" w:color="auto"/>
      </w:divBdr>
    </w:div>
    <w:div w:id="336080044">
      <w:bodyDiv w:val="1"/>
      <w:marLeft w:val="0"/>
      <w:marRight w:val="0"/>
      <w:marTop w:val="0"/>
      <w:marBottom w:val="0"/>
      <w:divBdr>
        <w:top w:val="none" w:sz="0" w:space="0" w:color="auto"/>
        <w:left w:val="none" w:sz="0" w:space="0" w:color="auto"/>
        <w:bottom w:val="none" w:sz="0" w:space="0" w:color="auto"/>
        <w:right w:val="none" w:sz="0" w:space="0" w:color="auto"/>
      </w:divBdr>
      <w:divsChild>
        <w:div w:id="356850564">
          <w:marLeft w:val="0"/>
          <w:marRight w:val="0"/>
          <w:marTop w:val="0"/>
          <w:marBottom w:val="0"/>
          <w:divBdr>
            <w:top w:val="none" w:sz="0" w:space="0" w:color="auto"/>
            <w:left w:val="none" w:sz="0" w:space="0" w:color="auto"/>
            <w:bottom w:val="none" w:sz="0" w:space="0" w:color="auto"/>
            <w:right w:val="none" w:sz="0" w:space="0" w:color="auto"/>
          </w:divBdr>
          <w:divsChild>
            <w:div w:id="943146336">
              <w:marLeft w:val="0"/>
              <w:marRight w:val="0"/>
              <w:marTop w:val="0"/>
              <w:marBottom w:val="0"/>
              <w:divBdr>
                <w:top w:val="none" w:sz="0" w:space="0" w:color="auto"/>
                <w:left w:val="none" w:sz="0" w:space="0" w:color="auto"/>
                <w:bottom w:val="none" w:sz="0" w:space="0" w:color="auto"/>
                <w:right w:val="none" w:sz="0" w:space="0" w:color="auto"/>
              </w:divBdr>
              <w:divsChild>
                <w:div w:id="236868085">
                  <w:marLeft w:val="0"/>
                  <w:marRight w:val="0"/>
                  <w:marTop w:val="0"/>
                  <w:marBottom w:val="0"/>
                  <w:divBdr>
                    <w:top w:val="none" w:sz="0" w:space="0" w:color="auto"/>
                    <w:left w:val="none" w:sz="0" w:space="0" w:color="auto"/>
                    <w:bottom w:val="none" w:sz="0" w:space="0" w:color="auto"/>
                    <w:right w:val="none" w:sz="0" w:space="0" w:color="auto"/>
                  </w:divBdr>
                  <w:divsChild>
                    <w:div w:id="1013847052">
                      <w:marLeft w:val="0"/>
                      <w:marRight w:val="0"/>
                      <w:marTop w:val="0"/>
                      <w:marBottom w:val="0"/>
                      <w:divBdr>
                        <w:top w:val="none" w:sz="0" w:space="0" w:color="auto"/>
                        <w:left w:val="none" w:sz="0" w:space="0" w:color="auto"/>
                        <w:bottom w:val="none" w:sz="0" w:space="0" w:color="auto"/>
                        <w:right w:val="none" w:sz="0" w:space="0" w:color="auto"/>
                      </w:divBdr>
                      <w:divsChild>
                        <w:div w:id="236673359">
                          <w:marLeft w:val="570"/>
                          <w:marRight w:val="720"/>
                          <w:marTop w:val="120"/>
                          <w:marBottom w:val="120"/>
                          <w:divBdr>
                            <w:top w:val="none" w:sz="0" w:space="0" w:color="auto"/>
                            <w:left w:val="none" w:sz="0" w:space="0" w:color="auto"/>
                            <w:bottom w:val="none" w:sz="0" w:space="0" w:color="auto"/>
                            <w:right w:val="none" w:sz="0" w:space="0" w:color="auto"/>
                          </w:divBdr>
                          <w:divsChild>
                            <w:div w:id="49156898">
                              <w:marLeft w:val="0"/>
                              <w:marRight w:val="0"/>
                              <w:marTop w:val="0"/>
                              <w:marBottom w:val="0"/>
                              <w:divBdr>
                                <w:top w:val="none" w:sz="0" w:space="0" w:color="auto"/>
                                <w:left w:val="none" w:sz="0" w:space="0" w:color="auto"/>
                                <w:bottom w:val="none" w:sz="0" w:space="0" w:color="auto"/>
                                <w:right w:val="none" w:sz="0" w:space="0" w:color="auto"/>
                              </w:divBdr>
                              <w:divsChild>
                                <w:div w:id="520508235">
                                  <w:marLeft w:val="0"/>
                                  <w:marRight w:val="0"/>
                                  <w:marTop w:val="0"/>
                                  <w:marBottom w:val="0"/>
                                  <w:divBdr>
                                    <w:top w:val="none" w:sz="0" w:space="0" w:color="auto"/>
                                    <w:left w:val="none" w:sz="0" w:space="0" w:color="auto"/>
                                    <w:bottom w:val="none" w:sz="0" w:space="0" w:color="auto"/>
                                    <w:right w:val="none" w:sz="0" w:space="0" w:color="auto"/>
                                  </w:divBdr>
                                  <w:divsChild>
                                    <w:div w:id="86662094">
                                      <w:marLeft w:val="0"/>
                                      <w:marRight w:val="0"/>
                                      <w:marTop w:val="0"/>
                                      <w:marBottom w:val="0"/>
                                      <w:divBdr>
                                        <w:top w:val="none" w:sz="0" w:space="0" w:color="auto"/>
                                        <w:left w:val="none" w:sz="0" w:space="0" w:color="auto"/>
                                        <w:bottom w:val="none" w:sz="0" w:space="0" w:color="auto"/>
                                        <w:right w:val="none" w:sz="0" w:space="0" w:color="auto"/>
                                      </w:divBdr>
                                      <w:divsChild>
                                        <w:div w:id="188110694">
                                          <w:marLeft w:val="0"/>
                                          <w:marRight w:val="0"/>
                                          <w:marTop w:val="0"/>
                                          <w:marBottom w:val="0"/>
                                          <w:divBdr>
                                            <w:top w:val="none" w:sz="0" w:space="0" w:color="auto"/>
                                            <w:left w:val="none" w:sz="0" w:space="0" w:color="auto"/>
                                            <w:bottom w:val="none" w:sz="0" w:space="0" w:color="auto"/>
                                            <w:right w:val="none" w:sz="0" w:space="0" w:color="auto"/>
                                          </w:divBdr>
                                          <w:divsChild>
                                            <w:div w:id="16746469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851469">
      <w:bodyDiv w:val="1"/>
      <w:marLeft w:val="0"/>
      <w:marRight w:val="0"/>
      <w:marTop w:val="0"/>
      <w:marBottom w:val="0"/>
      <w:divBdr>
        <w:top w:val="none" w:sz="0" w:space="0" w:color="auto"/>
        <w:left w:val="none" w:sz="0" w:space="0" w:color="auto"/>
        <w:bottom w:val="none" w:sz="0" w:space="0" w:color="auto"/>
        <w:right w:val="none" w:sz="0" w:space="0" w:color="auto"/>
      </w:divBdr>
      <w:divsChild>
        <w:div w:id="1036272178">
          <w:marLeft w:val="0"/>
          <w:marRight w:val="0"/>
          <w:marTop w:val="0"/>
          <w:marBottom w:val="0"/>
          <w:divBdr>
            <w:top w:val="none" w:sz="0" w:space="0" w:color="auto"/>
            <w:left w:val="none" w:sz="0" w:space="0" w:color="auto"/>
            <w:bottom w:val="none" w:sz="0" w:space="0" w:color="auto"/>
            <w:right w:val="none" w:sz="0" w:space="0" w:color="auto"/>
          </w:divBdr>
          <w:divsChild>
            <w:div w:id="1853951232">
              <w:marLeft w:val="210"/>
              <w:marRight w:val="0"/>
              <w:marTop w:val="0"/>
              <w:marBottom w:val="0"/>
              <w:divBdr>
                <w:top w:val="none" w:sz="0" w:space="0" w:color="auto"/>
                <w:left w:val="none" w:sz="0" w:space="0" w:color="auto"/>
                <w:bottom w:val="none" w:sz="0" w:space="0" w:color="auto"/>
                <w:right w:val="none" w:sz="0" w:space="0" w:color="auto"/>
              </w:divBdr>
              <w:divsChild>
                <w:div w:id="7734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06984">
      <w:bodyDiv w:val="1"/>
      <w:marLeft w:val="0"/>
      <w:marRight w:val="0"/>
      <w:marTop w:val="0"/>
      <w:marBottom w:val="0"/>
      <w:divBdr>
        <w:top w:val="none" w:sz="0" w:space="0" w:color="auto"/>
        <w:left w:val="none" w:sz="0" w:space="0" w:color="auto"/>
        <w:bottom w:val="none" w:sz="0" w:space="0" w:color="auto"/>
        <w:right w:val="none" w:sz="0" w:space="0" w:color="auto"/>
      </w:divBdr>
      <w:divsChild>
        <w:div w:id="732849336">
          <w:marLeft w:val="0"/>
          <w:marRight w:val="0"/>
          <w:marTop w:val="0"/>
          <w:marBottom w:val="0"/>
          <w:divBdr>
            <w:top w:val="none" w:sz="0" w:space="0" w:color="auto"/>
            <w:left w:val="none" w:sz="0" w:space="0" w:color="auto"/>
            <w:bottom w:val="none" w:sz="0" w:space="0" w:color="auto"/>
            <w:right w:val="none" w:sz="0" w:space="0" w:color="auto"/>
          </w:divBdr>
          <w:divsChild>
            <w:div w:id="697782035">
              <w:marLeft w:val="0"/>
              <w:marRight w:val="0"/>
              <w:marTop w:val="0"/>
              <w:marBottom w:val="0"/>
              <w:divBdr>
                <w:top w:val="none" w:sz="0" w:space="0" w:color="auto"/>
                <w:left w:val="none" w:sz="0" w:space="0" w:color="auto"/>
                <w:bottom w:val="none" w:sz="0" w:space="0" w:color="auto"/>
                <w:right w:val="none" w:sz="0" w:space="0" w:color="auto"/>
              </w:divBdr>
              <w:divsChild>
                <w:div w:id="1344816387">
                  <w:marLeft w:val="0"/>
                  <w:marRight w:val="0"/>
                  <w:marTop w:val="0"/>
                  <w:marBottom w:val="0"/>
                  <w:divBdr>
                    <w:top w:val="none" w:sz="0" w:space="0" w:color="auto"/>
                    <w:left w:val="none" w:sz="0" w:space="0" w:color="auto"/>
                    <w:bottom w:val="none" w:sz="0" w:space="0" w:color="auto"/>
                    <w:right w:val="none" w:sz="0" w:space="0" w:color="auto"/>
                  </w:divBdr>
                  <w:divsChild>
                    <w:div w:id="657227013">
                      <w:marLeft w:val="0"/>
                      <w:marRight w:val="0"/>
                      <w:marTop w:val="0"/>
                      <w:marBottom w:val="0"/>
                      <w:divBdr>
                        <w:top w:val="none" w:sz="0" w:space="0" w:color="auto"/>
                        <w:left w:val="none" w:sz="0" w:space="0" w:color="auto"/>
                        <w:bottom w:val="none" w:sz="0" w:space="0" w:color="auto"/>
                        <w:right w:val="none" w:sz="0" w:space="0" w:color="auto"/>
                      </w:divBdr>
                      <w:divsChild>
                        <w:div w:id="747311526">
                          <w:marLeft w:val="0"/>
                          <w:marRight w:val="0"/>
                          <w:marTop w:val="0"/>
                          <w:marBottom w:val="0"/>
                          <w:divBdr>
                            <w:top w:val="none" w:sz="0" w:space="0" w:color="auto"/>
                            <w:left w:val="none" w:sz="0" w:space="0" w:color="auto"/>
                            <w:bottom w:val="none" w:sz="0" w:space="0" w:color="auto"/>
                            <w:right w:val="none" w:sz="0" w:space="0" w:color="auto"/>
                          </w:divBdr>
                          <w:divsChild>
                            <w:div w:id="852115318">
                              <w:marLeft w:val="0"/>
                              <w:marRight w:val="0"/>
                              <w:marTop w:val="0"/>
                              <w:marBottom w:val="0"/>
                              <w:divBdr>
                                <w:top w:val="none" w:sz="0" w:space="0" w:color="auto"/>
                                <w:left w:val="none" w:sz="0" w:space="0" w:color="auto"/>
                                <w:bottom w:val="none" w:sz="0" w:space="0" w:color="auto"/>
                                <w:right w:val="none" w:sz="0" w:space="0" w:color="auto"/>
                              </w:divBdr>
                              <w:divsChild>
                                <w:div w:id="1567572311">
                                  <w:marLeft w:val="0"/>
                                  <w:marRight w:val="0"/>
                                  <w:marTop w:val="0"/>
                                  <w:marBottom w:val="0"/>
                                  <w:divBdr>
                                    <w:top w:val="none" w:sz="0" w:space="0" w:color="auto"/>
                                    <w:left w:val="none" w:sz="0" w:space="0" w:color="auto"/>
                                    <w:bottom w:val="none" w:sz="0" w:space="0" w:color="auto"/>
                                    <w:right w:val="none" w:sz="0" w:space="0" w:color="auto"/>
                                  </w:divBdr>
                                  <w:divsChild>
                                    <w:div w:id="96339360">
                                      <w:marLeft w:val="0"/>
                                      <w:marRight w:val="0"/>
                                      <w:marTop w:val="0"/>
                                      <w:marBottom w:val="0"/>
                                      <w:divBdr>
                                        <w:top w:val="none" w:sz="0" w:space="0" w:color="auto"/>
                                        <w:left w:val="none" w:sz="0" w:space="0" w:color="auto"/>
                                        <w:bottom w:val="none" w:sz="0" w:space="0" w:color="auto"/>
                                        <w:right w:val="none" w:sz="0" w:space="0" w:color="auto"/>
                                      </w:divBdr>
                                      <w:divsChild>
                                        <w:div w:id="255598214">
                                          <w:marLeft w:val="0"/>
                                          <w:marRight w:val="0"/>
                                          <w:marTop w:val="0"/>
                                          <w:marBottom w:val="0"/>
                                          <w:divBdr>
                                            <w:top w:val="none" w:sz="0" w:space="0" w:color="auto"/>
                                            <w:left w:val="none" w:sz="0" w:space="0" w:color="auto"/>
                                            <w:bottom w:val="none" w:sz="0" w:space="0" w:color="auto"/>
                                            <w:right w:val="none" w:sz="0" w:space="0" w:color="auto"/>
                                          </w:divBdr>
                                          <w:divsChild>
                                            <w:div w:id="1020424737">
                                              <w:marLeft w:val="0"/>
                                              <w:marRight w:val="0"/>
                                              <w:marTop w:val="0"/>
                                              <w:marBottom w:val="0"/>
                                              <w:divBdr>
                                                <w:top w:val="none" w:sz="0" w:space="0" w:color="auto"/>
                                                <w:left w:val="none" w:sz="0" w:space="0" w:color="auto"/>
                                                <w:bottom w:val="none" w:sz="0" w:space="0" w:color="auto"/>
                                                <w:right w:val="none" w:sz="0" w:space="0" w:color="auto"/>
                                              </w:divBdr>
                                              <w:divsChild>
                                                <w:div w:id="2067755751">
                                                  <w:marLeft w:val="0"/>
                                                  <w:marRight w:val="0"/>
                                                  <w:marTop w:val="0"/>
                                                  <w:marBottom w:val="0"/>
                                                  <w:divBdr>
                                                    <w:top w:val="none" w:sz="0" w:space="0" w:color="auto"/>
                                                    <w:left w:val="none" w:sz="0" w:space="0" w:color="auto"/>
                                                    <w:bottom w:val="none" w:sz="0" w:space="0" w:color="auto"/>
                                                    <w:right w:val="none" w:sz="0" w:space="0" w:color="auto"/>
                                                  </w:divBdr>
                                                  <w:divsChild>
                                                    <w:div w:id="754280025">
                                                      <w:marLeft w:val="0"/>
                                                      <w:marRight w:val="0"/>
                                                      <w:marTop w:val="0"/>
                                                      <w:marBottom w:val="0"/>
                                                      <w:divBdr>
                                                        <w:top w:val="none" w:sz="0" w:space="0" w:color="auto"/>
                                                        <w:left w:val="none" w:sz="0" w:space="0" w:color="auto"/>
                                                        <w:bottom w:val="none" w:sz="0" w:space="0" w:color="auto"/>
                                                        <w:right w:val="none" w:sz="0" w:space="0" w:color="auto"/>
                                                      </w:divBdr>
                                                      <w:divsChild>
                                                        <w:div w:id="1047073467">
                                                          <w:marLeft w:val="0"/>
                                                          <w:marRight w:val="0"/>
                                                          <w:marTop w:val="0"/>
                                                          <w:marBottom w:val="0"/>
                                                          <w:divBdr>
                                                            <w:top w:val="none" w:sz="0" w:space="0" w:color="auto"/>
                                                            <w:left w:val="none" w:sz="0" w:space="0" w:color="auto"/>
                                                            <w:bottom w:val="none" w:sz="0" w:space="0" w:color="auto"/>
                                                            <w:right w:val="none" w:sz="0" w:space="0" w:color="auto"/>
                                                          </w:divBdr>
                                                          <w:divsChild>
                                                            <w:div w:id="227034206">
                                                              <w:marLeft w:val="0"/>
                                                              <w:marRight w:val="0"/>
                                                              <w:marTop w:val="0"/>
                                                              <w:marBottom w:val="0"/>
                                                              <w:divBdr>
                                                                <w:top w:val="none" w:sz="0" w:space="0" w:color="auto"/>
                                                                <w:left w:val="none" w:sz="0" w:space="0" w:color="auto"/>
                                                                <w:bottom w:val="none" w:sz="0" w:space="0" w:color="auto"/>
                                                                <w:right w:val="none" w:sz="0" w:space="0" w:color="auto"/>
                                                              </w:divBdr>
                                                            </w:div>
                                                            <w:div w:id="1540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0662283">
      <w:bodyDiv w:val="1"/>
      <w:marLeft w:val="0"/>
      <w:marRight w:val="0"/>
      <w:marTop w:val="0"/>
      <w:marBottom w:val="0"/>
      <w:divBdr>
        <w:top w:val="none" w:sz="0" w:space="0" w:color="auto"/>
        <w:left w:val="none" w:sz="0" w:space="0" w:color="auto"/>
        <w:bottom w:val="none" w:sz="0" w:space="0" w:color="auto"/>
        <w:right w:val="none" w:sz="0" w:space="0" w:color="auto"/>
      </w:divBdr>
      <w:divsChild>
        <w:div w:id="1651862736">
          <w:marLeft w:val="0"/>
          <w:marRight w:val="0"/>
          <w:marTop w:val="0"/>
          <w:marBottom w:val="0"/>
          <w:divBdr>
            <w:top w:val="none" w:sz="0" w:space="0" w:color="auto"/>
            <w:left w:val="none" w:sz="0" w:space="0" w:color="auto"/>
            <w:bottom w:val="none" w:sz="0" w:space="0" w:color="auto"/>
            <w:right w:val="none" w:sz="0" w:space="0" w:color="auto"/>
          </w:divBdr>
          <w:divsChild>
            <w:div w:id="1277105413">
              <w:marLeft w:val="0"/>
              <w:marRight w:val="0"/>
              <w:marTop w:val="0"/>
              <w:marBottom w:val="0"/>
              <w:divBdr>
                <w:top w:val="none" w:sz="0" w:space="0" w:color="auto"/>
                <w:left w:val="none" w:sz="0" w:space="0" w:color="auto"/>
                <w:bottom w:val="none" w:sz="0" w:space="0" w:color="auto"/>
                <w:right w:val="none" w:sz="0" w:space="0" w:color="auto"/>
              </w:divBdr>
              <w:divsChild>
                <w:div w:id="12222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1041">
      <w:bodyDiv w:val="1"/>
      <w:marLeft w:val="0"/>
      <w:marRight w:val="0"/>
      <w:marTop w:val="0"/>
      <w:marBottom w:val="0"/>
      <w:divBdr>
        <w:top w:val="none" w:sz="0" w:space="0" w:color="auto"/>
        <w:left w:val="none" w:sz="0" w:space="0" w:color="auto"/>
        <w:bottom w:val="none" w:sz="0" w:space="0" w:color="auto"/>
        <w:right w:val="none" w:sz="0" w:space="0" w:color="auto"/>
      </w:divBdr>
    </w:div>
    <w:div w:id="341248601">
      <w:bodyDiv w:val="1"/>
      <w:marLeft w:val="0"/>
      <w:marRight w:val="0"/>
      <w:marTop w:val="0"/>
      <w:marBottom w:val="0"/>
      <w:divBdr>
        <w:top w:val="none" w:sz="0" w:space="0" w:color="auto"/>
        <w:left w:val="none" w:sz="0" w:space="0" w:color="auto"/>
        <w:bottom w:val="none" w:sz="0" w:space="0" w:color="auto"/>
        <w:right w:val="none" w:sz="0" w:space="0" w:color="auto"/>
      </w:divBdr>
      <w:divsChild>
        <w:div w:id="1592858493">
          <w:marLeft w:val="0"/>
          <w:marRight w:val="0"/>
          <w:marTop w:val="0"/>
          <w:marBottom w:val="0"/>
          <w:divBdr>
            <w:top w:val="none" w:sz="0" w:space="0" w:color="auto"/>
            <w:left w:val="none" w:sz="0" w:space="0" w:color="auto"/>
            <w:bottom w:val="none" w:sz="0" w:space="0" w:color="auto"/>
            <w:right w:val="none" w:sz="0" w:space="0" w:color="auto"/>
          </w:divBdr>
          <w:divsChild>
            <w:div w:id="451364544">
              <w:marLeft w:val="0"/>
              <w:marRight w:val="0"/>
              <w:marTop w:val="0"/>
              <w:marBottom w:val="0"/>
              <w:divBdr>
                <w:top w:val="none" w:sz="0" w:space="0" w:color="auto"/>
                <w:left w:val="none" w:sz="0" w:space="0" w:color="auto"/>
                <w:bottom w:val="none" w:sz="0" w:space="0" w:color="auto"/>
                <w:right w:val="none" w:sz="0" w:space="0" w:color="auto"/>
              </w:divBdr>
              <w:divsChild>
                <w:div w:id="101386348">
                  <w:marLeft w:val="0"/>
                  <w:marRight w:val="0"/>
                  <w:marTop w:val="0"/>
                  <w:marBottom w:val="0"/>
                  <w:divBdr>
                    <w:top w:val="none" w:sz="0" w:space="0" w:color="auto"/>
                    <w:left w:val="none" w:sz="0" w:space="0" w:color="auto"/>
                    <w:bottom w:val="none" w:sz="0" w:space="0" w:color="auto"/>
                    <w:right w:val="none" w:sz="0" w:space="0" w:color="auto"/>
                  </w:divBdr>
                  <w:divsChild>
                    <w:div w:id="1207331027">
                      <w:marLeft w:val="0"/>
                      <w:marRight w:val="0"/>
                      <w:marTop w:val="0"/>
                      <w:marBottom w:val="0"/>
                      <w:divBdr>
                        <w:top w:val="none" w:sz="0" w:space="0" w:color="auto"/>
                        <w:left w:val="none" w:sz="0" w:space="0" w:color="auto"/>
                        <w:bottom w:val="none" w:sz="0" w:space="0" w:color="auto"/>
                        <w:right w:val="none" w:sz="0" w:space="0" w:color="auto"/>
                      </w:divBdr>
                      <w:divsChild>
                        <w:div w:id="1376193498">
                          <w:marLeft w:val="0"/>
                          <w:marRight w:val="0"/>
                          <w:marTop w:val="0"/>
                          <w:marBottom w:val="0"/>
                          <w:divBdr>
                            <w:top w:val="none" w:sz="0" w:space="0" w:color="auto"/>
                            <w:left w:val="none" w:sz="0" w:space="0" w:color="auto"/>
                            <w:bottom w:val="none" w:sz="0" w:space="0" w:color="auto"/>
                            <w:right w:val="none" w:sz="0" w:space="0" w:color="auto"/>
                          </w:divBdr>
                          <w:divsChild>
                            <w:div w:id="439498091">
                              <w:marLeft w:val="0"/>
                              <w:marRight w:val="0"/>
                              <w:marTop w:val="0"/>
                              <w:marBottom w:val="0"/>
                              <w:divBdr>
                                <w:top w:val="none" w:sz="0" w:space="0" w:color="auto"/>
                                <w:left w:val="none" w:sz="0" w:space="0" w:color="auto"/>
                                <w:bottom w:val="none" w:sz="0" w:space="0" w:color="auto"/>
                                <w:right w:val="none" w:sz="0" w:space="0" w:color="auto"/>
                              </w:divBdr>
                              <w:divsChild>
                                <w:div w:id="12668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662590">
      <w:bodyDiv w:val="1"/>
      <w:marLeft w:val="0"/>
      <w:marRight w:val="0"/>
      <w:marTop w:val="0"/>
      <w:marBottom w:val="0"/>
      <w:divBdr>
        <w:top w:val="none" w:sz="0" w:space="0" w:color="auto"/>
        <w:left w:val="none" w:sz="0" w:space="0" w:color="auto"/>
        <w:bottom w:val="none" w:sz="0" w:space="0" w:color="auto"/>
        <w:right w:val="none" w:sz="0" w:space="0" w:color="auto"/>
      </w:divBdr>
      <w:divsChild>
        <w:div w:id="260190763">
          <w:marLeft w:val="0"/>
          <w:marRight w:val="0"/>
          <w:marTop w:val="0"/>
          <w:marBottom w:val="0"/>
          <w:divBdr>
            <w:top w:val="none" w:sz="0" w:space="0" w:color="auto"/>
            <w:left w:val="none" w:sz="0" w:space="0" w:color="auto"/>
            <w:bottom w:val="none" w:sz="0" w:space="0" w:color="auto"/>
            <w:right w:val="none" w:sz="0" w:space="0" w:color="auto"/>
          </w:divBdr>
        </w:div>
        <w:div w:id="718210973">
          <w:marLeft w:val="0"/>
          <w:marRight w:val="0"/>
          <w:marTop w:val="0"/>
          <w:marBottom w:val="150"/>
          <w:divBdr>
            <w:top w:val="none" w:sz="0" w:space="0" w:color="auto"/>
            <w:left w:val="none" w:sz="0" w:space="0" w:color="auto"/>
            <w:bottom w:val="none" w:sz="0" w:space="0" w:color="auto"/>
            <w:right w:val="none" w:sz="0" w:space="0" w:color="auto"/>
          </w:divBdr>
          <w:divsChild>
            <w:div w:id="1150827853">
              <w:marLeft w:val="0"/>
              <w:marRight w:val="0"/>
              <w:marTop w:val="240"/>
              <w:marBottom w:val="240"/>
              <w:divBdr>
                <w:top w:val="single" w:sz="6" w:space="6" w:color="F2F2F2"/>
                <w:left w:val="none" w:sz="0" w:space="0" w:color="auto"/>
                <w:bottom w:val="single" w:sz="6" w:space="6" w:color="F2F2F2"/>
                <w:right w:val="none" w:sz="0" w:space="0" w:color="auto"/>
              </w:divBdr>
            </w:div>
            <w:div w:id="151069749">
              <w:marLeft w:val="0"/>
              <w:marRight w:val="0"/>
              <w:marTop w:val="0"/>
              <w:marBottom w:val="0"/>
              <w:divBdr>
                <w:top w:val="none" w:sz="0" w:space="0" w:color="auto"/>
                <w:left w:val="none" w:sz="0" w:space="0" w:color="auto"/>
                <w:bottom w:val="none" w:sz="0" w:space="0" w:color="auto"/>
                <w:right w:val="none" w:sz="0" w:space="0" w:color="auto"/>
              </w:divBdr>
              <w:divsChild>
                <w:div w:id="11702956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1857879">
      <w:bodyDiv w:val="1"/>
      <w:marLeft w:val="0"/>
      <w:marRight w:val="0"/>
      <w:marTop w:val="0"/>
      <w:marBottom w:val="0"/>
      <w:divBdr>
        <w:top w:val="none" w:sz="0" w:space="0" w:color="auto"/>
        <w:left w:val="none" w:sz="0" w:space="0" w:color="auto"/>
        <w:bottom w:val="none" w:sz="0" w:space="0" w:color="auto"/>
        <w:right w:val="none" w:sz="0" w:space="0" w:color="auto"/>
      </w:divBdr>
      <w:divsChild>
        <w:div w:id="1384326314">
          <w:marLeft w:val="0"/>
          <w:marRight w:val="0"/>
          <w:marTop w:val="0"/>
          <w:marBottom w:val="0"/>
          <w:divBdr>
            <w:top w:val="none" w:sz="0" w:space="0" w:color="auto"/>
            <w:left w:val="none" w:sz="0" w:space="0" w:color="auto"/>
            <w:bottom w:val="none" w:sz="0" w:space="0" w:color="auto"/>
            <w:right w:val="none" w:sz="0" w:space="0" w:color="auto"/>
          </w:divBdr>
          <w:divsChild>
            <w:div w:id="576132306">
              <w:marLeft w:val="0"/>
              <w:marRight w:val="0"/>
              <w:marTop w:val="0"/>
              <w:marBottom w:val="0"/>
              <w:divBdr>
                <w:top w:val="none" w:sz="0" w:space="0" w:color="auto"/>
                <w:left w:val="none" w:sz="0" w:space="0" w:color="auto"/>
                <w:bottom w:val="none" w:sz="0" w:space="0" w:color="auto"/>
                <w:right w:val="none" w:sz="0" w:space="0" w:color="auto"/>
              </w:divBdr>
              <w:divsChild>
                <w:div w:id="2051569456">
                  <w:marLeft w:val="0"/>
                  <w:marRight w:val="0"/>
                  <w:marTop w:val="0"/>
                  <w:marBottom w:val="0"/>
                  <w:divBdr>
                    <w:top w:val="none" w:sz="0" w:space="0" w:color="auto"/>
                    <w:left w:val="none" w:sz="0" w:space="0" w:color="auto"/>
                    <w:bottom w:val="none" w:sz="0" w:space="0" w:color="auto"/>
                    <w:right w:val="none" w:sz="0" w:space="0" w:color="auto"/>
                  </w:divBdr>
                  <w:divsChild>
                    <w:div w:id="1553418405">
                      <w:marLeft w:val="0"/>
                      <w:marRight w:val="0"/>
                      <w:marTop w:val="0"/>
                      <w:marBottom w:val="0"/>
                      <w:divBdr>
                        <w:top w:val="none" w:sz="0" w:space="0" w:color="auto"/>
                        <w:left w:val="none" w:sz="0" w:space="0" w:color="auto"/>
                        <w:bottom w:val="none" w:sz="0" w:space="0" w:color="auto"/>
                        <w:right w:val="none" w:sz="0" w:space="0" w:color="auto"/>
                      </w:divBdr>
                      <w:divsChild>
                        <w:div w:id="659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99465">
      <w:bodyDiv w:val="1"/>
      <w:marLeft w:val="0"/>
      <w:marRight w:val="0"/>
      <w:marTop w:val="0"/>
      <w:marBottom w:val="0"/>
      <w:divBdr>
        <w:top w:val="none" w:sz="0" w:space="0" w:color="auto"/>
        <w:left w:val="none" w:sz="0" w:space="0" w:color="auto"/>
        <w:bottom w:val="none" w:sz="0" w:space="0" w:color="auto"/>
        <w:right w:val="none" w:sz="0" w:space="0" w:color="auto"/>
      </w:divBdr>
      <w:divsChild>
        <w:div w:id="2101827724">
          <w:marLeft w:val="0"/>
          <w:marRight w:val="0"/>
          <w:marTop w:val="150"/>
          <w:marBottom w:val="0"/>
          <w:divBdr>
            <w:top w:val="none" w:sz="0" w:space="0" w:color="auto"/>
            <w:left w:val="none" w:sz="0" w:space="0" w:color="auto"/>
            <w:bottom w:val="none" w:sz="0" w:space="0" w:color="auto"/>
            <w:right w:val="none" w:sz="0" w:space="0" w:color="auto"/>
          </w:divBdr>
          <w:divsChild>
            <w:div w:id="426074666">
              <w:marLeft w:val="0"/>
              <w:marRight w:val="0"/>
              <w:marTop w:val="0"/>
              <w:marBottom w:val="0"/>
              <w:divBdr>
                <w:top w:val="none" w:sz="0" w:space="0" w:color="auto"/>
                <w:left w:val="none" w:sz="0" w:space="0" w:color="auto"/>
                <w:bottom w:val="none" w:sz="0" w:space="0" w:color="auto"/>
                <w:right w:val="none" w:sz="0" w:space="0" w:color="auto"/>
              </w:divBdr>
              <w:divsChild>
                <w:div w:id="337122710">
                  <w:marLeft w:val="0"/>
                  <w:marRight w:val="0"/>
                  <w:marTop w:val="0"/>
                  <w:marBottom w:val="0"/>
                  <w:divBdr>
                    <w:top w:val="none" w:sz="0" w:space="0" w:color="auto"/>
                    <w:left w:val="none" w:sz="0" w:space="0" w:color="auto"/>
                    <w:bottom w:val="none" w:sz="0" w:space="0" w:color="auto"/>
                    <w:right w:val="none" w:sz="0" w:space="0" w:color="auto"/>
                  </w:divBdr>
                  <w:divsChild>
                    <w:div w:id="10418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4804">
      <w:bodyDiv w:val="1"/>
      <w:marLeft w:val="0"/>
      <w:marRight w:val="0"/>
      <w:marTop w:val="0"/>
      <w:marBottom w:val="0"/>
      <w:divBdr>
        <w:top w:val="none" w:sz="0" w:space="0" w:color="auto"/>
        <w:left w:val="none" w:sz="0" w:space="0" w:color="auto"/>
        <w:bottom w:val="none" w:sz="0" w:space="0" w:color="auto"/>
        <w:right w:val="none" w:sz="0" w:space="0" w:color="auto"/>
      </w:divBdr>
      <w:divsChild>
        <w:div w:id="862208842">
          <w:marLeft w:val="0"/>
          <w:marRight w:val="0"/>
          <w:marTop w:val="0"/>
          <w:marBottom w:val="0"/>
          <w:divBdr>
            <w:top w:val="none" w:sz="0" w:space="0" w:color="auto"/>
            <w:left w:val="none" w:sz="0" w:space="0" w:color="auto"/>
            <w:bottom w:val="none" w:sz="0" w:space="0" w:color="auto"/>
            <w:right w:val="none" w:sz="0" w:space="0" w:color="auto"/>
          </w:divBdr>
          <w:divsChild>
            <w:div w:id="1619725194">
              <w:marLeft w:val="0"/>
              <w:marRight w:val="0"/>
              <w:marTop w:val="0"/>
              <w:marBottom w:val="0"/>
              <w:divBdr>
                <w:top w:val="none" w:sz="0" w:space="0" w:color="auto"/>
                <w:left w:val="none" w:sz="0" w:space="0" w:color="auto"/>
                <w:bottom w:val="none" w:sz="0" w:space="0" w:color="auto"/>
                <w:right w:val="none" w:sz="0" w:space="0" w:color="auto"/>
              </w:divBdr>
              <w:divsChild>
                <w:div w:id="143590740">
                  <w:marLeft w:val="150"/>
                  <w:marRight w:val="0"/>
                  <w:marTop w:val="0"/>
                  <w:marBottom w:val="0"/>
                  <w:divBdr>
                    <w:top w:val="none" w:sz="0" w:space="0" w:color="auto"/>
                    <w:left w:val="none" w:sz="0" w:space="0" w:color="auto"/>
                    <w:bottom w:val="none" w:sz="0" w:space="0" w:color="auto"/>
                    <w:right w:val="none" w:sz="0" w:space="0" w:color="auto"/>
                  </w:divBdr>
                  <w:divsChild>
                    <w:div w:id="9278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3176">
      <w:bodyDiv w:val="1"/>
      <w:marLeft w:val="0"/>
      <w:marRight w:val="0"/>
      <w:marTop w:val="0"/>
      <w:marBottom w:val="0"/>
      <w:divBdr>
        <w:top w:val="none" w:sz="0" w:space="0" w:color="auto"/>
        <w:left w:val="none" w:sz="0" w:space="0" w:color="auto"/>
        <w:bottom w:val="none" w:sz="0" w:space="0" w:color="auto"/>
        <w:right w:val="none" w:sz="0" w:space="0" w:color="auto"/>
      </w:divBdr>
      <w:divsChild>
        <w:div w:id="57096713">
          <w:marLeft w:val="0"/>
          <w:marRight w:val="0"/>
          <w:marTop w:val="0"/>
          <w:marBottom w:val="0"/>
          <w:divBdr>
            <w:top w:val="none" w:sz="0" w:space="0" w:color="auto"/>
            <w:left w:val="none" w:sz="0" w:space="0" w:color="auto"/>
            <w:bottom w:val="none" w:sz="0" w:space="0" w:color="auto"/>
            <w:right w:val="none" w:sz="0" w:space="0" w:color="auto"/>
          </w:divBdr>
          <w:divsChild>
            <w:div w:id="544372287">
              <w:marLeft w:val="0"/>
              <w:marRight w:val="0"/>
              <w:marTop w:val="0"/>
              <w:marBottom w:val="0"/>
              <w:divBdr>
                <w:top w:val="none" w:sz="0" w:space="0" w:color="auto"/>
                <w:left w:val="none" w:sz="0" w:space="0" w:color="auto"/>
                <w:bottom w:val="none" w:sz="0" w:space="0" w:color="auto"/>
                <w:right w:val="none" w:sz="0" w:space="0" w:color="auto"/>
              </w:divBdr>
              <w:divsChild>
                <w:div w:id="1435007949">
                  <w:marLeft w:val="0"/>
                  <w:marRight w:val="0"/>
                  <w:marTop w:val="0"/>
                  <w:marBottom w:val="0"/>
                  <w:divBdr>
                    <w:top w:val="none" w:sz="0" w:space="0" w:color="auto"/>
                    <w:left w:val="none" w:sz="0" w:space="0" w:color="auto"/>
                    <w:bottom w:val="none" w:sz="0" w:space="0" w:color="auto"/>
                    <w:right w:val="none" w:sz="0" w:space="0" w:color="auto"/>
                  </w:divBdr>
                  <w:divsChild>
                    <w:div w:id="538011110">
                      <w:marLeft w:val="0"/>
                      <w:marRight w:val="0"/>
                      <w:marTop w:val="0"/>
                      <w:marBottom w:val="0"/>
                      <w:divBdr>
                        <w:top w:val="none" w:sz="0" w:space="0" w:color="auto"/>
                        <w:left w:val="none" w:sz="0" w:space="0" w:color="auto"/>
                        <w:bottom w:val="none" w:sz="0" w:space="0" w:color="auto"/>
                        <w:right w:val="none" w:sz="0" w:space="0" w:color="auto"/>
                      </w:divBdr>
                      <w:divsChild>
                        <w:div w:id="217280003">
                          <w:marLeft w:val="0"/>
                          <w:marRight w:val="0"/>
                          <w:marTop w:val="0"/>
                          <w:marBottom w:val="0"/>
                          <w:divBdr>
                            <w:top w:val="none" w:sz="0" w:space="0" w:color="auto"/>
                            <w:left w:val="none" w:sz="0" w:space="0" w:color="auto"/>
                            <w:bottom w:val="none" w:sz="0" w:space="0" w:color="auto"/>
                            <w:right w:val="none" w:sz="0" w:space="0" w:color="auto"/>
                          </w:divBdr>
                          <w:divsChild>
                            <w:div w:id="51736207">
                              <w:marLeft w:val="570"/>
                              <w:marRight w:val="720"/>
                              <w:marTop w:val="120"/>
                              <w:marBottom w:val="120"/>
                              <w:divBdr>
                                <w:top w:val="none" w:sz="0" w:space="0" w:color="auto"/>
                                <w:left w:val="none" w:sz="0" w:space="0" w:color="auto"/>
                                <w:bottom w:val="none" w:sz="0" w:space="0" w:color="auto"/>
                                <w:right w:val="none" w:sz="0" w:space="0" w:color="auto"/>
                              </w:divBdr>
                              <w:divsChild>
                                <w:div w:id="917783677">
                                  <w:marLeft w:val="0"/>
                                  <w:marRight w:val="0"/>
                                  <w:marTop w:val="0"/>
                                  <w:marBottom w:val="0"/>
                                  <w:divBdr>
                                    <w:top w:val="none" w:sz="0" w:space="0" w:color="auto"/>
                                    <w:left w:val="none" w:sz="0" w:space="0" w:color="auto"/>
                                    <w:bottom w:val="none" w:sz="0" w:space="0" w:color="auto"/>
                                    <w:right w:val="none" w:sz="0" w:space="0" w:color="auto"/>
                                  </w:divBdr>
                                  <w:divsChild>
                                    <w:div w:id="1487937042">
                                      <w:marLeft w:val="0"/>
                                      <w:marRight w:val="0"/>
                                      <w:marTop w:val="0"/>
                                      <w:marBottom w:val="0"/>
                                      <w:divBdr>
                                        <w:top w:val="none" w:sz="0" w:space="0" w:color="auto"/>
                                        <w:left w:val="none" w:sz="0" w:space="0" w:color="auto"/>
                                        <w:bottom w:val="none" w:sz="0" w:space="0" w:color="auto"/>
                                        <w:right w:val="none" w:sz="0" w:space="0" w:color="auto"/>
                                      </w:divBdr>
                                      <w:divsChild>
                                        <w:div w:id="1591233657">
                                          <w:marLeft w:val="0"/>
                                          <w:marRight w:val="0"/>
                                          <w:marTop w:val="0"/>
                                          <w:marBottom w:val="150"/>
                                          <w:divBdr>
                                            <w:top w:val="none" w:sz="0" w:space="0" w:color="auto"/>
                                            <w:left w:val="none" w:sz="0" w:space="0" w:color="auto"/>
                                            <w:bottom w:val="none" w:sz="0" w:space="0" w:color="auto"/>
                                            <w:right w:val="none" w:sz="0" w:space="0" w:color="auto"/>
                                          </w:divBdr>
                                          <w:divsChild>
                                            <w:div w:id="339937713">
                                              <w:marLeft w:val="0"/>
                                              <w:marRight w:val="0"/>
                                              <w:marTop w:val="240"/>
                                              <w:marBottom w:val="240"/>
                                              <w:divBdr>
                                                <w:top w:val="single" w:sz="6" w:space="6" w:color="F2F2F2"/>
                                                <w:left w:val="none" w:sz="0" w:space="0" w:color="auto"/>
                                                <w:bottom w:val="single" w:sz="6" w:space="6" w:color="F2F2F2"/>
                                                <w:right w:val="none" w:sz="0" w:space="0" w:color="auto"/>
                                              </w:divBdr>
                                            </w:div>
                                            <w:div w:id="1118331186">
                                              <w:marLeft w:val="0"/>
                                              <w:marRight w:val="0"/>
                                              <w:marTop w:val="0"/>
                                              <w:marBottom w:val="0"/>
                                              <w:divBdr>
                                                <w:top w:val="none" w:sz="0" w:space="0" w:color="auto"/>
                                                <w:left w:val="none" w:sz="0" w:space="0" w:color="auto"/>
                                                <w:bottom w:val="none" w:sz="0" w:space="0" w:color="auto"/>
                                                <w:right w:val="none" w:sz="0" w:space="0" w:color="auto"/>
                                              </w:divBdr>
                                              <w:divsChild>
                                                <w:div w:id="16457440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5333316">
      <w:bodyDiv w:val="1"/>
      <w:marLeft w:val="0"/>
      <w:marRight w:val="0"/>
      <w:marTop w:val="0"/>
      <w:marBottom w:val="0"/>
      <w:divBdr>
        <w:top w:val="none" w:sz="0" w:space="0" w:color="auto"/>
        <w:left w:val="none" w:sz="0" w:space="0" w:color="auto"/>
        <w:bottom w:val="none" w:sz="0" w:space="0" w:color="auto"/>
        <w:right w:val="none" w:sz="0" w:space="0" w:color="auto"/>
      </w:divBdr>
      <w:divsChild>
        <w:div w:id="199245999">
          <w:marLeft w:val="0"/>
          <w:marRight w:val="0"/>
          <w:marTop w:val="0"/>
          <w:marBottom w:val="0"/>
          <w:divBdr>
            <w:top w:val="none" w:sz="0" w:space="0" w:color="auto"/>
            <w:left w:val="none" w:sz="0" w:space="0" w:color="auto"/>
            <w:bottom w:val="none" w:sz="0" w:space="0" w:color="auto"/>
            <w:right w:val="none" w:sz="0" w:space="0" w:color="auto"/>
          </w:divBdr>
          <w:divsChild>
            <w:div w:id="1565023279">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347025857">
      <w:bodyDiv w:val="1"/>
      <w:marLeft w:val="0"/>
      <w:marRight w:val="0"/>
      <w:marTop w:val="0"/>
      <w:marBottom w:val="0"/>
      <w:divBdr>
        <w:top w:val="none" w:sz="0" w:space="0" w:color="auto"/>
        <w:left w:val="none" w:sz="0" w:space="0" w:color="auto"/>
        <w:bottom w:val="none" w:sz="0" w:space="0" w:color="auto"/>
        <w:right w:val="none" w:sz="0" w:space="0" w:color="auto"/>
      </w:divBdr>
      <w:divsChild>
        <w:div w:id="981038339">
          <w:marLeft w:val="0"/>
          <w:marRight w:val="0"/>
          <w:marTop w:val="0"/>
          <w:marBottom w:val="0"/>
          <w:divBdr>
            <w:top w:val="none" w:sz="0" w:space="0" w:color="auto"/>
            <w:left w:val="none" w:sz="0" w:space="0" w:color="auto"/>
            <w:bottom w:val="none" w:sz="0" w:space="0" w:color="auto"/>
            <w:right w:val="none" w:sz="0" w:space="0" w:color="auto"/>
          </w:divBdr>
          <w:divsChild>
            <w:div w:id="1497649820">
              <w:marLeft w:val="0"/>
              <w:marRight w:val="0"/>
              <w:marTop w:val="0"/>
              <w:marBottom w:val="0"/>
              <w:divBdr>
                <w:top w:val="none" w:sz="0" w:space="0" w:color="auto"/>
                <w:left w:val="none" w:sz="0" w:space="0" w:color="auto"/>
                <w:bottom w:val="none" w:sz="0" w:space="0" w:color="auto"/>
                <w:right w:val="none" w:sz="0" w:space="0" w:color="auto"/>
              </w:divBdr>
              <w:divsChild>
                <w:div w:id="1177575933">
                  <w:marLeft w:val="0"/>
                  <w:marRight w:val="0"/>
                  <w:marTop w:val="0"/>
                  <w:marBottom w:val="0"/>
                  <w:divBdr>
                    <w:top w:val="none" w:sz="0" w:space="0" w:color="auto"/>
                    <w:left w:val="none" w:sz="0" w:space="0" w:color="auto"/>
                    <w:bottom w:val="none" w:sz="0" w:space="0" w:color="auto"/>
                    <w:right w:val="none" w:sz="0" w:space="0" w:color="auto"/>
                  </w:divBdr>
                  <w:divsChild>
                    <w:div w:id="1651714917">
                      <w:marLeft w:val="0"/>
                      <w:marRight w:val="0"/>
                      <w:marTop w:val="0"/>
                      <w:marBottom w:val="0"/>
                      <w:divBdr>
                        <w:top w:val="none" w:sz="0" w:space="0" w:color="auto"/>
                        <w:left w:val="none" w:sz="0" w:space="0" w:color="auto"/>
                        <w:bottom w:val="none" w:sz="0" w:space="0" w:color="auto"/>
                        <w:right w:val="none" w:sz="0" w:space="0" w:color="auto"/>
                      </w:divBdr>
                      <w:divsChild>
                        <w:div w:id="551190156">
                          <w:marLeft w:val="0"/>
                          <w:marRight w:val="0"/>
                          <w:marTop w:val="0"/>
                          <w:marBottom w:val="0"/>
                          <w:divBdr>
                            <w:top w:val="none" w:sz="0" w:space="0" w:color="auto"/>
                            <w:left w:val="none" w:sz="0" w:space="0" w:color="auto"/>
                            <w:bottom w:val="none" w:sz="0" w:space="0" w:color="auto"/>
                            <w:right w:val="none" w:sz="0" w:space="0" w:color="auto"/>
                          </w:divBdr>
                          <w:divsChild>
                            <w:div w:id="1851220266">
                              <w:marLeft w:val="570"/>
                              <w:marRight w:val="720"/>
                              <w:marTop w:val="120"/>
                              <w:marBottom w:val="120"/>
                              <w:divBdr>
                                <w:top w:val="none" w:sz="0" w:space="0" w:color="auto"/>
                                <w:left w:val="none" w:sz="0" w:space="0" w:color="auto"/>
                                <w:bottom w:val="none" w:sz="0" w:space="0" w:color="auto"/>
                                <w:right w:val="none" w:sz="0" w:space="0" w:color="auto"/>
                              </w:divBdr>
                              <w:divsChild>
                                <w:div w:id="657609857">
                                  <w:marLeft w:val="0"/>
                                  <w:marRight w:val="0"/>
                                  <w:marTop w:val="0"/>
                                  <w:marBottom w:val="0"/>
                                  <w:divBdr>
                                    <w:top w:val="none" w:sz="0" w:space="0" w:color="auto"/>
                                    <w:left w:val="none" w:sz="0" w:space="0" w:color="auto"/>
                                    <w:bottom w:val="none" w:sz="0" w:space="0" w:color="auto"/>
                                    <w:right w:val="none" w:sz="0" w:space="0" w:color="auto"/>
                                  </w:divBdr>
                                  <w:divsChild>
                                    <w:div w:id="867254354">
                                      <w:marLeft w:val="0"/>
                                      <w:marRight w:val="0"/>
                                      <w:marTop w:val="0"/>
                                      <w:marBottom w:val="0"/>
                                      <w:divBdr>
                                        <w:top w:val="none" w:sz="0" w:space="0" w:color="auto"/>
                                        <w:left w:val="none" w:sz="0" w:space="0" w:color="auto"/>
                                        <w:bottom w:val="none" w:sz="0" w:space="0" w:color="auto"/>
                                        <w:right w:val="none" w:sz="0" w:space="0" w:color="auto"/>
                                      </w:divBdr>
                                      <w:divsChild>
                                        <w:div w:id="419449862">
                                          <w:marLeft w:val="0"/>
                                          <w:marRight w:val="0"/>
                                          <w:marTop w:val="0"/>
                                          <w:marBottom w:val="0"/>
                                          <w:divBdr>
                                            <w:top w:val="none" w:sz="0" w:space="0" w:color="auto"/>
                                            <w:left w:val="none" w:sz="0" w:space="0" w:color="auto"/>
                                            <w:bottom w:val="none" w:sz="0" w:space="0" w:color="auto"/>
                                            <w:right w:val="none" w:sz="0" w:space="0" w:color="auto"/>
                                          </w:divBdr>
                                          <w:divsChild>
                                            <w:div w:id="1925071690">
                                              <w:marLeft w:val="0"/>
                                              <w:marRight w:val="0"/>
                                              <w:marTop w:val="0"/>
                                              <w:marBottom w:val="0"/>
                                              <w:divBdr>
                                                <w:top w:val="none" w:sz="0" w:space="0" w:color="auto"/>
                                                <w:left w:val="none" w:sz="0" w:space="0" w:color="auto"/>
                                                <w:bottom w:val="none" w:sz="0" w:space="0" w:color="auto"/>
                                                <w:right w:val="none" w:sz="0" w:space="0" w:color="auto"/>
                                              </w:divBdr>
                                              <w:divsChild>
                                                <w:div w:id="1307777166">
                                                  <w:marLeft w:val="0"/>
                                                  <w:marRight w:val="0"/>
                                                  <w:marTop w:val="0"/>
                                                  <w:marBottom w:val="0"/>
                                                  <w:divBdr>
                                                    <w:top w:val="none" w:sz="0" w:space="0" w:color="auto"/>
                                                    <w:left w:val="none" w:sz="0" w:space="0" w:color="auto"/>
                                                    <w:bottom w:val="none" w:sz="0" w:space="0" w:color="auto"/>
                                                    <w:right w:val="none" w:sz="0" w:space="0" w:color="auto"/>
                                                  </w:divBdr>
                                                </w:div>
                                                <w:div w:id="77220399">
                                                  <w:marLeft w:val="0"/>
                                                  <w:marRight w:val="0"/>
                                                  <w:marTop w:val="0"/>
                                                  <w:marBottom w:val="0"/>
                                                  <w:divBdr>
                                                    <w:top w:val="none" w:sz="0" w:space="0" w:color="auto"/>
                                                    <w:left w:val="none" w:sz="0" w:space="0" w:color="auto"/>
                                                    <w:bottom w:val="none" w:sz="0" w:space="0" w:color="auto"/>
                                                    <w:right w:val="none" w:sz="0" w:space="0" w:color="auto"/>
                                                  </w:divBdr>
                                                </w:div>
                                                <w:div w:id="371544046">
                                                  <w:marLeft w:val="0"/>
                                                  <w:marRight w:val="0"/>
                                                  <w:marTop w:val="0"/>
                                                  <w:marBottom w:val="0"/>
                                                  <w:divBdr>
                                                    <w:top w:val="none" w:sz="0" w:space="0" w:color="auto"/>
                                                    <w:left w:val="none" w:sz="0" w:space="0" w:color="auto"/>
                                                    <w:bottom w:val="none" w:sz="0" w:space="0" w:color="auto"/>
                                                    <w:right w:val="none" w:sz="0" w:space="0" w:color="auto"/>
                                                  </w:divBdr>
                                                  <w:divsChild>
                                                    <w:div w:id="4994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760115">
      <w:bodyDiv w:val="1"/>
      <w:marLeft w:val="0"/>
      <w:marRight w:val="0"/>
      <w:marTop w:val="0"/>
      <w:marBottom w:val="0"/>
      <w:divBdr>
        <w:top w:val="none" w:sz="0" w:space="0" w:color="auto"/>
        <w:left w:val="none" w:sz="0" w:space="0" w:color="auto"/>
        <w:bottom w:val="none" w:sz="0" w:space="0" w:color="auto"/>
        <w:right w:val="none" w:sz="0" w:space="0" w:color="auto"/>
      </w:divBdr>
      <w:divsChild>
        <w:div w:id="1966497929">
          <w:marLeft w:val="0"/>
          <w:marRight w:val="0"/>
          <w:marTop w:val="0"/>
          <w:marBottom w:val="405"/>
          <w:divBdr>
            <w:top w:val="none" w:sz="0" w:space="0" w:color="auto"/>
            <w:left w:val="none" w:sz="0" w:space="0" w:color="auto"/>
            <w:bottom w:val="none" w:sz="0" w:space="0" w:color="auto"/>
            <w:right w:val="none" w:sz="0" w:space="0" w:color="auto"/>
          </w:divBdr>
          <w:divsChild>
            <w:div w:id="910576788">
              <w:marLeft w:val="0"/>
              <w:marRight w:val="0"/>
              <w:marTop w:val="0"/>
              <w:marBottom w:val="0"/>
              <w:divBdr>
                <w:top w:val="none" w:sz="0" w:space="0" w:color="auto"/>
                <w:left w:val="none" w:sz="0" w:space="0" w:color="auto"/>
                <w:bottom w:val="none" w:sz="0" w:space="0" w:color="auto"/>
                <w:right w:val="none" w:sz="0" w:space="0" w:color="auto"/>
              </w:divBdr>
              <w:divsChild>
                <w:div w:id="436407041">
                  <w:marLeft w:val="0"/>
                  <w:marRight w:val="-14460"/>
                  <w:marTop w:val="0"/>
                  <w:marBottom w:val="0"/>
                  <w:divBdr>
                    <w:top w:val="none" w:sz="0" w:space="0" w:color="auto"/>
                    <w:left w:val="none" w:sz="0" w:space="0" w:color="auto"/>
                    <w:bottom w:val="none" w:sz="0" w:space="0" w:color="auto"/>
                    <w:right w:val="none" w:sz="0" w:space="0" w:color="auto"/>
                  </w:divBdr>
                  <w:divsChild>
                    <w:div w:id="127476776">
                      <w:marLeft w:val="180"/>
                      <w:marRight w:val="0"/>
                      <w:marTop w:val="0"/>
                      <w:marBottom w:val="0"/>
                      <w:divBdr>
                        <w:top w:val="none" w:sz="0" w:space="0" w:color="auto"/>
                        <w:left w:val="none" w:sz="0" w:space="0" w:color="auto"/>
                        <w:bottom w:val="none" w:sz="0" w:space="0" w:color="auto"/>
                        <w:right w:val="none" w:sz="0" w:space="0" w:color="auto"/>
                      </w:divBdr>
                      <w:divsChild>
                        <w:div w:id="1982692981">
                          <w:marLeft w:val="0"/>
                          <w:marRight w:val="0"/>
                          <w:marTop w:val="0"/>
                          <w:marBottom w:val="0"/>
                          <w:divBdr>
                            <w:top w:val="none" w:sz="0" w:space="0" w:color="auto"/>
                            <w:left w:val="none" w:sz="0" w:space="0" w:color="auto"/>
                            <w:bottom w:val="none" w:sz="0" w:space="0" w:color="auto"/>
                            <w:right w:val="none" w:sz="0" w:space="0" w:color="auto"/>
                          </w:divBdr>
                          <w:divsChild>
                            <w:div w:id="1524787794">
                              <w:marLeft w:val="0"/>
                              <w:marRight w:val="0"/>
                              <w:marTop w:val="0"/>
                              <w:marBottom w:val="0"/>
                              <w:divBdr>
                                <w:top w:val="none" w:sz="0" w:space="0" w:color="auto"/>
                                <w:left w:val="none" w:sz="0" w:space="0" w:color="auto"/>
                                <w:bottom w:val="none" w:sz="0" w:space="0" w:color="auto"/>
                                <w:right w:val="none" w:sz="0" w:space="0" w:color="auto"/>
                              </w:divBdr>
                              <w:divsChild>
                                <w:div w:id="4357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877150">
      <w:bodyDiv w:val="1"/>
      <w:marLeft w:val="0"/>
      <w:marRight w:val="0"/>
      <w:marTop w:val="0"/>
      <w:marBottom w:val="0"/>
      <w:divBdr>
        <w:top w:val="none" w:sz="0" w:space="0" w:color="auto"/>
        <w:left w:val="none" w:sz="0" w:space="0" w:color="auto"/>
        <w:bottom w:val="none" w:sz="0" w:space="0" w:color="auto"/>
        <w:right w:val="none" w:sz="0" w:space="0" w:color="auto"/>
      </w:divBdr>
      <w:divsChild>
        <w:div w:id="2059745691">
          <w:marLeft w:val="0"/>
          <w:marRight w:val="0"/>
          <w:marTop w:val="0"/>
          <w:marBottom w:val="0"/>
          <w:divBdr>
            <w:top w:val="none" w:sz="0" w:space="0" w:color="auto"/>
            <w:left w:val="none" w:sz="0" w:space="0" w:color="auto"/>
            <w:bottom w:val="none" w:sz="0" w:space="0" w:color="auto"/>
            <w:right w:val="none" w:sz="0" w:space="0" w:color="auto"/>
          </w:divBdr>
          <w:divsChild>
            <w:div w:id="1546602291">
              <w:marLeft w:val="0"/>
              <w:marRight w:val="0"/>
              <w:marTop w:val="150"/>
              <w:marBottom w:val="0"/>
              <w:divBdr>
                <w:top w:val="none" w:sz="0" w:space="0" w:color="auto"/>
                <w:left w:val="none" w:sz="0" w:space="0" w:color="auto"/>
                <w:bottom w:val="none" w:sz="0" w:space="0" w:color="auto"/>
                <w:right w:val="none" w:sz="0" w:space="0" w:color="auto"/>
              </w:divBdr>
              <w:divsChild>
                <w:div w:id="326133469">
                  <w:marLeft w:val="0"/>
                  <w:marRight w:val="0"/>
                  <w:marTop w:val="0"/>
                  <w:marBottom w:val="0"/>
                  <w:divBdr>
                    <w:top w:val="none" w:sz="0" w:space="0" w:color="auto"/>
                    <w:left w:val="none" w:sz="0" w:space="0" w:color="auto"/>
                    <w:bottom w:val="none" w:sz="0" w:space="0" w:color="auto"/>
                    <w:right w:val="none" w:sz="0" w:space="0" w:color="auto"/>
                  </w:divBdr>
                  <w:divsChild>
                    <w:div w:id="1710759745">
                      <w:marLeft w:val="0"/>
                      <w:marRight w:val="0"/>
                      <w:marTop w:val="0"/>
                      <w:marBottom w:val="0"/>
                      <w:divBdr>
                        <w:top w:val="none" w:sz="0" w:space="0" w:color="auto"/>
                        <w:left w:val="none" w:sz="0" w:space="0" w:color="auto"/>
                        <w:bottom w:val="none" w:sz="0" w:space="0" w:color="auto"/>
                        <w:right w:val="none" w:sz="0" w:space="0" w:color="auto"/>
                      </w:divBdr>
                      <w:divsChild>
                        <w:div w:id="18206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763316">
      <w:bodyDiv w:val="1"/>
      <w:marLeft w:val="0"/>
      <w:marRight w:val="0"/>
      <w:marTop w:val="0"/>
      <w:marBottom w:val="0"/>
      <w:divBdr>
        <w:top w:val="none" w:sz="0" w:space="0" w:color="auto"/>
        <w:left w:val="none" w:sz="0" w:space="0" w:color="auto"/>
        <w:bottom w:val="none" w:sz="0" w:space="0" w:color="auto"/>
        <w:right w:val="none" w:sz="0" w:space="0" w:color="auto"/>
      </w:divBdr>
    </w:div>
    <w:div w:id="351423883">
      <w:bodyDiv w:val="1"/>
      <w:marLeft w:val="0"/>
      <w:marRight w:val="0"/>
      <w:marTop w:val="0"/>
      <w:marBottom w:val="0"/>
      <w:divBdr>
        <w:top w:val="none" w:sz="0" w:space="0" w:color="auto"/>
        <w:left w:val="none" w:sz="0" w:space="0" w:color="auto"/>
        <w:bottom w:val="none" w:sz="0" w:space="0" w:color="auto"/>
        <w:right w:val="none" w:sz="0" w:space="0" w:color="auto"/>
      </w:divBdr>
    </w:div>
    <w:div w:id="352390331">
      <w:bodyDiv w:val="1"/>
      <w:marLeft w:val="0"/>
      <w:marRight w:val="0"/>
      <w:marTop w:val="0"/>
      <w:marBottom w:val="0"/>
      <w:divBdr>
        <w:top w:val="none" w:sz="0" w:space="0" w:color="auto"/>
        <w:left w:val="none" w:sz="0" w:space="0" w:color="auto"/>
        <w:bottom w:val="none" w:sz="0" w:space="0" w:color="auto"/>
        <w:right w:val="none" w:sz="0" w:space="0" w:color="auto"/>
      </w:divBdr>
    </w:div>
    <w:div w:id="353070410">
      <w:bodyDiv w:val="1"/>
      <w:marLeft w:val="0"/>
      <w:marRight w:val="0"/>
      <w:marTop w:val="0"/>
      <w:marBottom w:val="0"/>
      <w:divBdr>
        <w:top w:val="none" w:sz="0" w:space="0" w:color="auto"/>
        <w:left w:val="none" w:sz="0" w:space="0" w:color="auto"/>
        <w:bottom w:val="none" w:sz="0" w:space="0" w:color="auto"/>
        <w:right w:val="none" w:sz="0" w:space="0" w:color="auto"/>
      </w:divBdr>
      <w:divsChild>
        <w:div w:id="661853539">
          <w:marLeft w:val="0"/>
          <w:marRight w:val="0"/>
          <w:marTop w:val="0"/>
          <w:marBottom w:val="0"/>
          <w:divBdr>
            <w:top w:val="single" w:sz="4" w:space="0" w:color="0E477A"/>
            <w:left w:val="single" w:sz="4" w:space="0" w:color="0E477A"/>
            <w:bottom w:val="single" w:sz="4" w:space="0" w:color="0E477A"/>
            <w:right w:val="single" w:sz="4" w:space="0" w:color="0E477A"/>
          </w:divBdr>
          <w:divsChild>
            <w:div w:id="1798061091">
              <w:marLeft w:val="0"/>
              <w:marRight w:val="0"/>
              <w:marTop w:val="0"/>
              <w:marBottom w:val="0"/>
              <w:divBdr>
                <w:top w:val="none" w:sz="0" w:space="0" w:color="auto"/>
                <w:left w:val="none" w:sz="0" w:space="0" w:color="auto"/>
                <w:bottom w:val="none" w:sz="0" w:space="0" w:color="auto"/>
                <w:right w:val="none" w:sz="0" w:space="0" w:color="auto"/>
              </w:divBdr>
              <w:divsChild>
                <w:div w:id="968706279">
                  <w:marLeft w:val="63"/>
                  <w:marRight w:val="0"/>
                  <w:marTop w:val="0"/>
                  <w:marBottom w:val="0"/>
                  <w:divBdr>
                    <w:top w:val="none" w:sz="0" w:space="0" w:color="auto"/>
                    <w:left w:val="none" w:sz="0" w:space="0" w:color="auto"/>
                    <w:bottom w:val="none" w:sz="0" w:space="0" w:color="auto"/>
                    <w:right w:val="none" w:sz="0" w:space="0" w:color="auto"/>
                  </w:divBdr>
                  <w:divsChild>
                    <w:div w:id="1605990503">
                      <w:marLeft w:val="0"/>
                      <w:marRight w:val="0"/>
                      <w:marTop w:val="0"/>
                      <w:marBottom w:val="0"/>
                      <w:divBdr>
                        <w:top w:val="none" w:sz="0" w:space="0" w:color="auto"/>
                        <w:left w:val="none" w:sz="0" w:space="0" w:color="auto"/>
                        <w:bottom w:val="none" w:sz="0" w:space="0" w:color="auto"/>
                        <w:right w:val="none" w:sz="0" w:space="0" w:color="auto"/>
                      </w:divBdr>
                      <w:divsChild>
                        <w:div w:id="1746300595">
                          <w:marLeft w:val="0"/>
                          <w:marRight w:val="188"/>
                          <w:marTop w:val="125"/>
                          <w:marBottom w:val="125"/>
                          <w:divBdr>
                            <w:top w:val="single" w:sz="4" w:space="0" w:color="CCCCCC"/>
                            <w:left w:val="single" w:sz="4" w:space="6" w:color="CCCCCC"/>
                            <w:bottom w:val="single" w:sz="4" w:space="6" w:color="CCCCCC"/>
                            <w:right w:val="single" w:sz="4" w:space="6" w:color="CCCCCC"/>
                          </w:divBdr>
                          <w:divsChild>
                            <w:div w:id="892932910">
                              <w:marLeft w:val="-125"/>
                              <w:marRight w:val="0"/>
                              <w:marTop w:val="0"/>
                              <w:marBottom w:val="0"/>
                              <w:divBdr>
                                <w:top w:val="none" w:sz="0" w:space="0" w:color="auto"/>
                                <w:left w:val="none" w:sz="0" w:space="0" w:color="auto"/>
                                <w:bottom w:val="none" w:sz="0" w:space="0" w:color="auto"/>
                                <w:right w:val="none" w:sz="0" w:space="0" w:color="auto"/>
                              </w:divBdr>
                              <w:divsChild>
                                <w:div w:id="20925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817462">
      <w:bodyDiv w:val="1"/>
      <w:marLeft w:val="0"/>
      <w:marRight w:val="0"/>
      <w:marTop w:val="0"/>
      <w:marBottom w:val="0"/>
      <w:divBdr>
        <w:top w:val="none" w:sz="0" w:space="0" w:color="auto"/>
        <w:left w:val="none" w:sz="0" w:space="0" w:color="auto"/>
        <w:bottom w:val="none" w:sz="0" w:space="0" w:color="auto"/>
        <w:right w:val="none" w:sz="0" w:space="0" w:color="auto"/>
      </w:divBdr>
      <w:divsChild>
        <w:div w:id="311905930">
          <w:marLeft w:val="0"/>
          <w:marRight w:val="0"/>
          <w:marTop w:val="0"/>
          <w:marBottom w:val="0"/>
          <w:divBdr>
            <w:top w:val="none" w:sz="0" w:space="0" w:color="auto"/>
            <w:left w:val="none" w:sz="0" w:space="0" w:color="auto"/>
            <w:bottom w:val="none" w:sz="0" w:space="0" w:color="auto"/>
            <w:right w:val="none" w:sz="0" w:space="0" w:color="auto"/>
          </w:divBdr>
        </w:div>
      </w:divsChild>
    </w:div>
    <w:div w:id="356780330">
      <w:bodyDiv w:val="1"/>
      <w:marLeft w:val="0"/>
      <w:marRight w:val="0"/>
      <w:marTop w:val="0"/>
      <w:marBottom w:val="0"/>
      <w:divBdr>
        <w:top w:val="none" w:sz="0" w:space="0" w:color="auto"/>
        <w:left w:val="none" w:sz="0" w:space="0" w:color="auto"/>
        <w:bottom w:val="none" w:sz="0" w:space="0" w:color="auto"/>
        <w:right w:val="none" w:sz="0" w:space="0" w:color="auto"/>
      </w:divBdr>
    </w:div>
    <w:div w:id="359548622">
      <w:bodyDiv w:val="1"/>
      <w:marLeft w:val="0"/>
      <w:marRight w:val="0"/>
      <w:marTop w:val="0"/>
      <w:marBottom w:val="0"/>
      <w:divBdr>
        <w:top w:val="none" w:sz="0" w:space="0" w:color="auto"/>
        <w:left w:val="none" w:sz="0" w:space="0" w:color="auto"/>
        <w:bottom w:val="none" w:sz="0" w:space="0" w:color="auto"/>
        <w:right w:val="none" w:sz="0" w:space="0" w:color="auto"/>
      </w:divBdr>
      <w:divsChild>
        <w:div w:id="1993756952">
          <w:marLeft w:val="0"/>
          <w:marRight w:val="0"/>
          <w:marTop w:val="0"/>
          <w:marBottom w:val="0"/>
          <w:divBdr>
            <w:top w:val="none" w:sz="0" w:space="0" w:color="auto"/>
            <w:left w:val="none" w:sz="0" w:space="0" w:color="auto"/>
            <w:bottom w:val="none" w:sz="0" w:space="0" w:color="auto"/>
            <w:right w:val="none" w:sz="0" w:space="0" w:color="auto"/>
          </w:divBdr>
          <w:divsChild>
            <w:div w:id="297338790">
              <w:marLeft w:val="0"/>
              <w:marRight w:val="0"/>
              <w:marTop w:val="0"/>
              <w:marBottom w:val="0"/>
              <w:divBdr>
                <w:top w:val="none" w:sz="0" w:space="0" w:color="auto"/>
                <w:left w:val="none" w:sz="0" w:space="0" w:color="auto"/>
                <w:bottom w:val="none" w:sz="0" w:space="0" w:color="auto"/>
                <w:right w:val="none" w:sz="0" w:space="0" w:color="auto"/>
              </w:divBdr>
              <w:divsChild>
                <w:div w:id="263078033">
                  <w:marLeft w:val="0"/>
                  <w:marRight w:val="0"/>
                  <w:marTop w:val="0"/>
                  <w:marBottom w:val="0"/>
                  <w:divBdr>
                    <w:top w:val="none" w:sz="0" w:space="0" w:color="auto"/>
                    <w:left w:val="none" w:sz="0" w:space="0" w:color="auto"/>
                    <w:bottom w:val="none" w:sz="0" w:space="0" w:color="auto"/>
                    <w:right w:val="none" w:sz="0" w:space="0" w:color="auto"/>
                  </w:divBdr>
                  <w:divsChild>
                    <w:div w:id="1100442799">
                      <w:marLeft w:val="0"/>
                      <w:marRight w:val="0"/>
                      <w:marTop w:val="0"/>
                      <w:marBottom w:val="0"/>
                      <w:divBdr>
                        <w:top w:val="none" w:sz="0" w:space="0" w:color="auto"/>
                        <w:left w:val="none" w:sz="0" w:space="0" w:color="auto"/>
                        <w:bottom w:val="none" w:sz="0" w:space="0" w:color="auto"/>
                        <w:right w:val="none" w:sz="0" w:space="0" w:color="auto"/>
                      </w:divBdr>
                      <w:divsChild>
                        <w:div w:id="8654061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59938698">
      <w:bodyDiv w:val="1"/>
      <w:marLeft w:val="0"/>
      <w:marRight w:val="0"/>
      <w:marTop w:val="0"/>
      <w:marBottom w:val="0"/>
      <w:divBdr>
        <w:top w:val="none" w:sz="0" w:space="0" w:color="auto"/>
        <w:left w:val="none" w:sz="0" w:space="0" w:color="auto"/>
        <w:bottom w:val="none" w:sz="0" w:space="0" w:color="auto"/>
        <w:right w:val="none" w:sz="0" w:space="0" w:color="auto"/>
      </w:divBdr>
      <w:divsChild>
        <w:div w:id="144978371">
          <w:marLeft w:val="0"/>
          <w:marRight w:val="0"/>
          <w:marTop w:val="0"/>
          <w:marBottom w:val="0"/>
          <w:divBdr>
            <w:top w:val="single" w:sz="6" w:space="0" w:color="0E477A"/>
            <w:left w:val="single" w:sz="6" w:space="0" w:color="0E477A"/>
            <w:bottom w:val="single" w:sz="6" w:space="0" w:color="0E477A"/>
            <w:right w:val="single" w:sz="6" w:space="0" w:color="0E477A"/>
          </w:divBdr>
          <w:divsChild>
            <w:div w:id="993266248">
              <w:marLeft w:val="0"/>
              <w:marRight w:val="0"/>
              <w:marTop w:val="0"/>
              <w:marBottom w:val="0"/>
              <w:divBdr>
                <w:top w:val="none" w:sz="0" w:space="0" w:color="auto"/>
                <w:left w:val="none" w:sz="0" w:space="0" w:color="auto"/>
                <w:bottom w:val="none" w:sz="0" w:space="0" w:color="auto"/>
                <w:right w:val="none" w:sz="0" w:space="0" w:color="auto"/>
              </w:divBdr>
              <w:divsChild>
                <w:div w:id="1980262963">
                  <w:marLeft w:val="75"/>
                  <w:marRight w:val="0"/>
                  <w:marTop w:val="0"/>
                  <w:marBottom w:val="0"/>
                  <w:divBdr>
                    <w:top w:val="none" w:sz="0" w:space="0" w:color="auto"/>
                    <w:left w:val="none" w:sz="0" w:space="0" w:color="auto"/>
                    <w:bottom w:val="none" w:sz="0" w:space="0" w:color="auto"/>
                    <w:right w:val="none" w:sz="0" w:space="0" w:color="auto"/>
                  </w:divBdr>
                  <w:divsChild>
                    <w:div w:id="531504039">
                      <w:marLeft w:val="0"/>
                      <w:marRight w:val="0"/>
                      <w:marTop w:val="0"/>
                      <w:marBottom w:val="0"/>
                      <w:divBdr>
                        <w:top w:val="none" w:sz="0" w:space="0" w:color="auto"/>
                        <w:left w:val="none" w:sz="0" w:space="0" w:color="auto"/>
                        <w:bottom w:val="none" w:sz="0" w:space="0" w:color="auto"/>
                        <w:right w:val="none" w:sz="0" w:space="0" w:color="auto"/>
                      </w:divBdr>
                      <w:divsChild>
                        <w:div w:id="662005214">
                          <w:marLeft w:val="0"/>
                          <w:marRight w:val="225"/>
                          <w:marTop w:val="150"/>
                          <w:marBottom w:val="150"/>
                          <w:divBdr>
                            <w:top w:val="single" w:sz="6" w:space="0" w:color="CCCCCC"/>
                            <w:left w:val="single" w:sz="6" w:space="8" w:color="CCCCCC"/>
                            <w:bottom w:val="single" w:sz="6" w:space="8" w:color="CCCCCC"/>
                            <w:right w:val="single" w:sz="6" w:space="8" w:color="CCCCCC"/>
                          </w:divBdr>
                          <w:divsChild>
                            <w:div w:id="3018073">
                              <w:marLeft w:val="-150"/>
                              <w:marRight w:val="0"/>
                              <w:marTop w:val="0"/>
                              <w:marBottom w:val="0"/>
                              <w:divBdr>
                                <w:top w:val="none" w:sz="0" w:space="0" w:color="auto"/>
                                <w:left w:val="none" w:sz="0" w:space="0" w:color="auto"/>
                                <w:bottom w:val="none" w:sz="0" w:space="0" w:color="auto"/>
                                <w:right w:val="none" w:sz="0" w:space="0" w:color="auto"/>
                              </w:divBdr>
                              <w:divsChild>
                                <w:div w:id="1904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175223">
      <w:bodyDiv w:val="1"/>
      <w:marLeft w:val="0"/>
      <w:marRight w:val="0"/>
      <w:marTop w:val="0"/>
      <w:marBottom w:val="0"/>
      <w:divBdr>
        <w:top w:val="none" w:sz="0" w:space="0" w:color="auto"/>
        <w:left w:val="none" w:sz="0" w:space="0" w:color="auto"/>
        <w:bottom w:val="none" w:sz="0" w:space="0" w:color="auto"/>
        <w:right w:val="none" w:sz="0" w:space="0" w:color="auto"/>
      </w:divBdr>
      <w:divsChild>
        <w:div w:id="1892576117">
          <w:marLeft w:val="0"/>
          <w:marRight w:val="0"/>
          <w:marTop w:val="0"/>
          <w:marBottom w:val="0"/>
          <w:divBdr>
            <w:top w:val="none" w:sz="0" w:space="0" w:color="auto"/>
            <w:left w:val="none" w:sz="0" w:space="0" w:color="auto"/>
            <w:bottom w:val="none" w:sz="0" w:space="0" w:color="auto"/>
            <w:right w:val="none" w:sz="0" w:space="0" w:color="auto"/>
          </w:divBdr>
          <w:divsChild>
            <w:div w:id="250235205">
              <w:marLeft w:val="-225"/>
              <w:marRight w:val="-225"/>
              <w:marTop w:val="0"/>
              <w:marBottom w:val="0"/>
              <w:divBdr>
                <w:top w:val="none" w:sz="0" w:space="0" w:color="auto"/>
                <w:left w:val="none" w:sz="0" w:space="0" w:color="auto"/>
                <w:bottom w:val="none" w:sz="0" w:space="0" w:color="auto"/>
                <w:right w:val="none" w:sz="0" w:space="0" w:color="auto"/>
              </w:divBdr>
              <w:divsChild>
                <w:div w:id="10188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19372">
      <w:bodyDiv w:val="1"/>
      <w:marLeft w:val="0"/>
      <w:marRight w:val="0"/>
      <w:marTop w:val="0"/>
      <w:marBottom w:val="0"/>
      <w:divBdr>
        <w:top w:val="none" w:sz="0" w:space="0" w:color="auto"/>
        <w:left w:val="none" w:sz="0" w:space="0" w:color="auto"/>
        <w:bottom w:val="none" w:sz="0" w:space="0" w:color="auto"/>
        <w:right w:val="none" w:sz="0" w:space="0" w:color="auto"/>
      </w:divBdr>
      <w:divsChild>
        <w:div w:id="1745451224">
          <w:marLeft w:val="0"/>
          <w:marRight w:val="0"/>
          <w:marTop w:val="0"/>
          <w:marBottom w:val="0"/>
          <w:divBdr>
            <w:top w:val="none" w:sz="0" w:space="0" w:color="auto"/>
            <w:left w:val="none" w:sz="0" w:space="0" w:color="auto"/>
            <w:bottom w:val="none" w:sz="0" w:space="0" w:color="auto"/>
            <w:right w:val="none" w:sz="0" w:space="0" w:color="auto"/>
          </w:divBdr>
          <w:divsChild>
            <w:div w:id="789014468">
              <w:marLeft w:val="0"/>
              <w:marRight w:val="0"/>
              <w:marTop w:val="0"/>
              <w:marBottom w:val="0"/>
              <w:divBdr>
                <w:top w:val="none" w:sz="0" w:space="0" w:color="auto"/>
                <w:left w:val="none" w:sz="0" w:space="0" w:color="auto"/>
                <w:bottom w:val="none" w:sz="0" w:space="0" w:color="auto"/>
                <w:right w:val="none" w:sz="0" w:space="0" w:color="auto"/>
              </w:divBdr>
              <w:divsChild>
                <w:div w:id="471364220">
                  <w:marLeft w:val="0"/>
                  <w:marRight w:val="0"/>
                  <w:marTop w:val="0"/>
                  <w:marBottom w:val="0"/>
                  <w:divBdr>
                    <w:top w:val="none" w:sz="0" w:space="0" w:color="auto"/>
                    <w:left w:val="none" w:sz="0" w:space="0" w:color="auto"/>
                    <w:bottom w:val="none" w:sz="0" w:space="0" w:color="auto"/>
                    <w:right w:val="none" w:sz="0" w:space="0" w:color="auto"/>
                  </w:divBdr>
                  <w:divsChild>
                    <w:div w:id="408776592">
                      <w:marLeft w:val="0"/>
                      <w:marRight w:val="0"/>
                      <w:marTop w:val="0"/>
                      <w:marBottom w:val="0"/>
                      <w:divBdr>
                        <w:top w:val="none" w:sz="0" w:space="0" w:color="auto"/>
                        <w:left w:val="none" w:sz="0" w:space="0" w:color="auto"/>
                        <w:bottom w:val="none" w:sz="0" w:space="0" w:color="auto"/>
                        <w:right w:val="none" w:sz="0" w:space="0" w:color="auto"/>
                      </w:divBdr>
                      <w:divsChild>
                        <w:div w:id="1201668100">
                          <w:marLeft w:val="0"/>
                          <w:marRight w:val="0"/>
                          <w:marTop w:val="0"/>
                          <w:marBottom w:val="0"/>
                          <w:divBdr>
                            <w:top w:val="none" w:sz="0" w:space="0" w:color="auto"/>
                            <w:left w:val="none" w:sz="0" w:space="0" w:color="auto"/>
                            <w:bottom w:val="none" w:sz="0" w:space="0" w:color="auto"/>
                            <w:right w:val="none" w:sz="0" w:space="0" w:color="auto"/>
                          </w:divBdr>
                          <w:divsChild>
                            <w:div w:id="2077778215">
                              <w:marLeft w:val="0"/>
                              <w:marRight w:val="0"/>
                              <w:marTop w:val="0"/>
                              <w:marBottom w:val="0"/>
                              <w:divBdr>
                                <w:top w:val="none" w:sz="0" w:space="0" w:color="auto"/>
                                <w:left w:val="none" w:sz="0" w:space="0" w:color="auto"/>
                                <w:bottom w:val="none" w:sz="0" w:space="0" w:color="auto"/>
                                <w:right w:val="none" w:sz="0" w:space="0" w:color="auto"/>
                              </w:divBdr>
                              <w:divsChild>
                                <w:div w:id="566652532">
                                  <w:marLeft w:val="0"/>
                                  <w:marRight w:val="0"/>
                                  <w:marTop w:val="0"/>
                                  <w:marBottom w:val="0"/>
                                  <w:divBdr>
                                    <w:top w:val="none" w:sz="0" w:space="0" w:color="auto"/>
                                    <w:left w:val="none" w:sz="0" w:space="0" w:color="auto"/>
                                    <w:bottom w:val="none" w:sz="0" w:space="0" w:color="auto"/>
                                    <w:right w:val="none" w:sz="0" w:space="0" w:color="auto"/>
                                  </w:divBdr>
                                  <w:divsChild>
                                    <w:div w:id="1319453778">
                                      <w:marLeft w:val="0"/>
                                      <w:marRight w:val="0"/>
                                      <w:marTop w:val="0"/>
                                      <w:marBottom w:val="0"/>
                                      <w:divBdr>
                                        <w:top w:val="none" w:sz="0" w:space="0" w:color="auto"/>
                                        <w:left w:val="none" w:sz="0" w:space="0" w:color="auto"/>
                                        <w:bottom w:val="none" w:sz="0" w:space="0" w:color="auto"/>
                                        <w:right w:val="none" w:sz="0" w:space="0" w:color="auto"/>
                                      </w:divBdr>
                                      <w:divsChild>
                                        <w:div w:id="1348212159">
                                          <w:marLeft w:val="0"/>
                                          <w:marRight w:val="0"/>
                                          <w:marTop w:val="0"/>
                                          <w:marBottom w:val="0"/>
                                          <w:divBdr>
                                            <w:top w:val="none" w:sz="0" w:space="0" w:color="auto"/>
                                            <w:left w:val="none" w:sz="0" w:space="0" w:color="auto"/>
                                            <w:bottom w:val="none" w:sz="0" w:space="0" w:color="auto"/>
                                            <w:right w:val="none" w:sz="0" w:space="0" w:color="auto"/>
                                          </w:divBdr>
                                          <w:divsChild>
                                            <w:div w:id="1704283757">
                                              <w:marLeft w:val="0"/>
                                              <w:marRight w:val="0"/>
                                              <w:marTop w:val="0"/>
                                              <w:marBottom w:val="0"/>
                                              <w:divBdr>
                                                <w:top w:val="none" w:sz="0" w:space="0" w:color="auto"/>
                                                <w:left w:val="none" w:sz="0" w:space="0" w:color="auto"/>
                                                <w:bottom w:val="none" w:sz="0" w:space="0" w:color="auto"/>
                                                <w:right w:val="none" w:sz="0" w:space="0" w:color="auto"/>
                                              </w:divBdr>
                                              <w:divsChild>
                                                <w:div w:id="212037849">
                                                  <w:marLeft w:val="0"/>
                                                  <w:marRight w:val="0"/>
                                                  <w:marTop w:val="0"/>
                                                  <w:marBottom w:val="0"/>
                                                  <w:divBdr>
                                                    <w:top w:val="none" w:sz="0" w:space="0" w:color="auto"/>
                                                    <w:left w:val="none" w:sz="0" w:space="0" w:color="auto"/>
                                                    <w:bottom w:val="none" w:sz="0" w:space="0" w:color="auto"/>
                                                    <w:right w:val="none" w:sz="0" w:space="0" w:color="auto"/>
                                                  </w:divBdr>
                                                  <w:divsChild>
                                                    <w:div w:id="1021013534">
                                                      <w:marLeft w:val="0"/>
                                                      <w:marRight w:val="0"/>
                                                      <w:marTop w:val="0"/>
                                                      <w:marBottom w:val="0"/>
                                                      <w:divBdr>
                                                        <w:top w:val="none" w:sz="0" w:space="0" w:color="auto"/>
                                                        <w:left w:val="none" w:sz="0" w:space="0" w:color="auto"/>
                                                        <w:bottom w:val="none" w:sz="0" w:space="0" w:color="auto"/>
                                                        <w:right w:val="none" w:sz="0" w:space="0" w:color="auto"/>
                                                      </w:divBdr>
                                                      <w:divsChild>
                                                        <w:div w:id="1099569341">
                                                          <w:marLeft w:val="0"/>
                                                          <w:marRight w:val="0"/>
                                                          <w:marTop w:val="0"/>
                                                          <w:marBottom w:val="0"/>
                                                          <w:divBdr>
                                                            <w:top w:val="none" w:sz="0" w:space="0" w:color="auto"/>
                                                            <w:left w:val="none" w:sz="0" w:space="0" w:color="auto"/>
                                                            <w:bottom w:val="none" w:sz="0" w:space="0" w:color="auto"/>
                                                            <w:right w:val="none" w:sz="0" w:space="0" w:color="auto"/>
                                                          </w:divBdr>
                                                        </w:div>
                                                        <w:div w:id="1680308998">
                                                          <w:marLeft w:val="0"/>
                                                          <w:marRight w:val="0"/>
                                                          <w:marTop w:val="0"/>
                                                          <w:marBottom w:val="0"/>
                                                          <w:divBdr>
                                                            <w:top w:val="none" w:sz="0" w:space="0" w:color="auto"/>
                                                            <w:left w:val="none" w:sz="0" w:space="0" w:color="auto"/>
                                                            <w:bottom w:val="none" w:sz="0" w:space="0" w:color="auto"/>
                                                            <w:right w:val="none" w:sz="0" w:space="0" w:color="auto"/>
                                                          </w:divBdr>
                                                          <w:divsChild>
                                                            <w:div w:id="175993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2676854">
      <w:bodyDiv w:val="1"/>
      <w:marLeft w:val="0"/>
      <w:marRight w:val="0"/>
      <w:marTop w:val="0"/>
      <w:marBottom w:val="0"/>
      <w:divBdr>
        <w:top w:val="none" w:sz="0" w:space="0" w:color="auto"/>
        <w:left w:val="none" w:sz="0" w:space="0" w:color="auto"/>
        <w:bottom w:val="none" w:sz="0" w:space="0" w:color="auto"/>
        <w:right w:val="none" w:sz="0" w:space="0" w:color="auto"/>
      </w:divBdr>
      <w:divsChild>
        <w:div w:id="1195343651">
          <w:marLeft w:val="2400"/>
          <w:marRight w:val="0"/>
          <w:marTop w:val="0"/>
          <w:marBottom w:val="0"/>
          <w:divBdr>
            <w:top w:val="none" w:sz="0" w:space="0" w:color="auto"/>
            <w:left w:val="none" w:sz="0" w:space="0" w:color="auto"/>
            <w:bottom w:val="none" w:sz="0" w:space="0" w:color="auto"/>
            <w:right w:val="none" w:sz="0" w:space="0" w:color="auto"/>
          </w:divBdr>
          <w:divsChild>
            <w:div w:id="2131505824">
              <w:marLeft w:val="0"/>
              <w:marRight w:val="0"/>
              <w:marTop w:val="0"/>
              <w:marBottom w:val="0"/>
              <w:divBdr>
                <w:top w:val="none" w:sz="0" w:space="0" w:color="auto"/>
                <w:left w:val="none" w:sz="0" w:space="0" w:color="auto"/>
                <w:bottom w:val="none" w:sz="0" w:space="0" w:color="auto"/>
                <w:right w:val="none" w:sz="0" w:space="0" w:color="auto"/>
              </w:divBdr>
              <w:divsChild>
                <w:div w:id="2087452925">
                  <w:marLeft w:val="0"/>
                  <w:marRight w:val="0"/>
                  <w:marTop w:val="0"/>
                  <w:marBottom w:val="0"/>
                  <w:divBdr>
                    <w:top w:val="none" w:sz="0" w:space="0" w:color="auto"/>
                    <w:left w:val="none" w:sz="0" w:space="0" w:color="auto"/>
                    <w:bottom w:val="none" w:sz="0" w:space="0" w:color="auto"/>
                    <w:right w:val="none" w:sz="0" w:space="0" w:color="auto"/>
                  </w:divBdr>
                  <w:divsChild>
                    <w:div w:id="15472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1464">
      <w:bodyDiv w:val="1"/>
      <w:marLeft w:val="0"/>
      <w:marRight w:val="0"/>
      <w:marTop w:val="0"/>
      <w:marBottom w:val="0"/>
      <w:divBdr>
        <w:top w:val="none" w:sz="0" w:space="0" w:color="auto"/>
        <w:left w:val="none" w:sz="0" w:space="0" w:color="auto"/>
        <w:bottom w:val="none" w:sz="0" w:space="0" w:color="auto"/>
        <w:right w:val="none" w:sz="0" w:space="0" w:color="auto"/>
      </w:divBdr>
      <w:divsChild>
        <w:div w:id="646782011">
          <w:marLeft w:val="0"/>
          <w:marRight w:val="0"/>
          <w:marTop w:val="0"/>
          <w:marBottom w:val="0"/>
          <w:divBdr>
            <w:top w:val="none" w:sz="0" w:space="0" w:color="auto"/>
            <w:left w:val="none" w:sz="0" w:space="0" w:color="auto"/>
            <w:bottom w:val="none" w:sz="0" w:space="0" w:color="auto"/>
            <w:right w:val="none" w:sz="0" w:space="0" w:color="auto"/>
          </w:divBdr>
          <w:divsChild>
            <w:div w:id="1384137423">
              <w:marLeft w:val="0"/>
              <w:marRight w:val="0"/>
              <w:marTop w:val="0"/>
              <w:marBottom w:val="0"/>
              <w:divBdr>
                <w:top w:val="none" w:sz="0" w:space="0" w:color="auto"/>
                <w:left w:val="none" w:sz="0" w:space="0" w:color="auto"/>
                <w:bottom w:val="none" w:sz="0" w:space="0" w:color="auto"/>
                <w:right w:val="none" w:sz="0" w:space="0" w:color="auto"/>
              </w:divBdr>
              <w:divsChild>
                <w:div w:id="715743207">
                  <w:marLeft w:val="0"/>
                  <w:marRight w:val="0"/>
                  <w:marTop w:val="0"/>
                  <w:marBottom w:val="0"/>
                  <w:divBdr>
                    <w:top w:val="none" w:sz="0" w:space="0" w:color="auto"/>
                    <w:left w:val="none" w:sz="0" w:space="0" w:color="auto"/>
                    <w:bottom w:val="none" w:sz="0" w:space="0" w:color="auto"/>
                    <w:right w:val="none" w:sz="0" w:space="0" w:color="auto"/>
                  </w:divBdr>
                  <w:divsChild>
                    <w:div w:id="1157766844">
                      <w:marLeft w:val="0"/>
                      <w:marRight w:val="0"/>
                      <w:marTop w:val="0"/>
                      <w:marBottom w:val="0"/>
                      <w:divBdr>
                        <w:top w:val="none" w:sz="0" w:space="0" w:color="auto"/>
                        <w:left w:val="none" w:sz="0" w:space="0" w:color="auto"/>
                        <w:bottom w:val="none" w:sz="0" w:space="0" w:color="auto"/>
                        <w:right w:val="none" w:sz="0" w:space="0" w:color="auto"/>
                      </w:divBdr>
                      <w:divsChild>
                        <w:div w:id="1533373352">
                          <w:marLeft w:val="0"/>
                          <w:marRight w:val="0"/>
                          <w:marTop w:val="0"/>
                          <w:marBottom w:val="0"/>
                          <w:divBdr>
                            <w:top w:val="none" w:sz="0" w:space="0" w:color="auto"/>
                            <w:left w:val="none" w:sz="0" w:space="0" w:color="auto"/>
                            <w:bottom w:val="none" w:sz="0" w:space="0" w:color="auto"/>
                            <w:right w:val="none" w:sz="0" w:space="0" w:color="auto"/>
                          </w:divBdr>
                          <w:divsChild>
                            <w:div w:id="108428256">
                              <w:marLeft w:val="0"/>
                              <w:marRight w:val="0"/>
                              <w:marTop w:val="0"/>
                              <w:marBottom w:val="0"/>
                              <w:divBdr>
                                <w:top w:val="none" w:sz="0" w:space="0" w:color="auto"/>
                                <w:left w:val="none" w:sz="0" w:space="0" w:color="auto"/>
                                <w:bottom w:val="none" w:sz="0" w:space="0" w:color="auto"/>
                                <w:right w:val="none" w:sz="0" w:space="0" w:color="auto"/>
                              </w:divBdr>
                              <w:divsChild>
                                <w:div w:id="732118731">
                                  <w:marLeft w:val="0"/>
                                  <w:marRight w:val="0"/>
                                  <w:marTop w:val="0"/>
                                  <w:marBottom w:val="0"/>
                                  <w:divBdr>
                                    <w:top w:val="none" w:sz="0" w:space="0" w:color="auto"/>
                                    <w:left w:val="none" w:sz="0" w:space="0" w:color="auto"/>
                                    <w:bottom w:val="none" w:sz="0" w:space="0" w:color="auto"/>
                                    <w:right w:val="none" w:sz="0" w:space="0" w:color="auto"/>
                                  </w:divBdr>
                                  <w:divsChild>
                                    <w:div w:id="221530108">
                                      <w:marLeft w:val="0"/>
                                      <w:marRight w:val="0"/>
                                      <w:marTop w:val="0"/>
                                      <w:marBottom w:val="0"/>
                                      <w:divBdr>
                                        <w:top w:val="none" w:sz="0" w:space="0" w:color="auto"/>
                                        <w:left w:val="none" w:sz="0" w:space="0" w:color="auto"/>
                                        <w:bottom w:val="none" w:sz="0" w:space="0" w:color="auto"/>
                                        <w:right w:val="none" w:sz="0" w:space="0" w:color="auto"/>
                                      </w:divBdr>
                                      <w:divsChild>
                                        <w:div w:id="2006738300">
                                          <w:marLeft w:val="0"/>
                                          <w:marRight w:val="0"/>
                                          <w:marTop w:val="0"/>
                                          <w:marBottom w:val="0"/>
                                          <w:divBdr>
                                            <w:top w:val="none" w:sz="0" w:space="0" w:color="auto"/>
                                            <w:left w:val="none" w:sz="0" w:space="0" w:color="auto"/>
                                            <w:bottom w:val="none" w:sz="0" w:space="0" w:color="auto"/>
                                            <w:right w:val="none" w:sz="0" w:space="0" w:color="auto"/>
                                          </w:divBdr>
                                        </w:div>
                                        <w:div w:id="1888180828">
                                          <w:marLeft w:val="0"/>
                                          <w:marRight w:val="0"/>
                                          <w:marTop w:val="0"/>
                                          <w:marBottom w:val="0"/>
                                          <w:divBdr>
                                            <w:top w:val="none" w:sz="0" w:space="0" w:color="auto"/>
                                            <w:left w:val="none" w:sz="0" w:space="0" w:color="auto"/>
                                            <w:bottom w:val="none" w:sz="0" w:space="0" w:color="auto"/>
                                            <w:right w:val="none" w:sz="0" w:space="0" w:color="auto"/>
                                          </w:divBdr>
                                          <w:divsChild>
                                            <w:div w:id="21290843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989426">
      <w:bodyDiv w:val="1"/>
      <w:marLeft w:val="0"/>
      <w:marRight w:val="0"/>
      <w:marTop w:val="0"/>
      <w:marBottom w:val="0"/>
      <w:divBdr>
        <w:top w:val="none" w:sz="0" w:space="0" w:color="auto"/>
        <w:left w:val="none" w:sz="0" w:space="0" w:color="auto"/>
        <w:bottom w:val="none" w:sz="0" w:space="0" w:color="auto"/>
        <w:right w:val="none" w:sz="0" w:space="0" w:color="auto"/>
      </w:divBdr>
      <w:divsChild>
        <w:div w:id="274679971">
          <w:marLeft w:val="0"/>
          <w:marRight w:val="0"/>
          <w:marTop w:val="0"/>
          <w:marBottom w:val="0"/>
          <w:divBdr>
            <w:top w:val="none" w:sz="0" w:space="0" w:color="auto"/>
            <w:left w:val="none" w:sz="0" w:space="0" w:color="auto"/>
            <w:bottom w:val="none" w:sz="0" w:space="0" w:color="auto"/>
            <w:right w:val="none" w:sz="0" w:space="0" w:color="auto"/>
          </w:divBdr>
          <w:divsChild>
            <w:div w:id="1635062095">
              <w:marLeft w:val="0"/>
              <w:marRight w:val="0"/>
              <w:marTop w:val="0"/>
              <w:marBottom w:val="0"/>
              <w:divBdr>
                <w:top w:val="none" w:sz="0" w:space="0" w:color="auto"/>
                <w:left w:val="none" w:sz="0" w:space="0" w:color="auto"/>
                <w:bottom w:val="none" w:sz="0" w:space="0" w:color="auto"/>
                <w:right w:val="none" w:sz="0" w:space="0" w:color="auto"/>
              </w:divBdr>
              <w:divsChild>
                <w:div w:id="1358507667">
                  <w:marLeft w:val="0"/>
                  <w:marRight w:val="0"/>
                  <w:marTop w:val="0"/>
                  <w:marBottom w:val="0"/>
                  <w:divBdr>
                    <w:top w:val="none" w:sz="0" w:space="0" w:color="auto"/>
                    <w:left w:val="none" w:sz="0" w:space="0" w:color="auto"/>
                    <w:bottom w:val="none" w:sz="0" w:space="0" w:color="auto"/>
                    <w:right w:val="none" w:sz="0" w:space="0" w:color="auto"/>
                  </w:divBdr>
                  <w:divsChild>
                    <w:div w:id="1779986282">
                      <w:marLeft w:val="0"/>
                      <w:marRight w:val="0"/>
                      <w:marTop w:val="0"/>
                      <w:marBottom w:val="0"/>
                      <w:divBdr>
                        <w:top w:val="none" w:sz="0" w:space="0" w:color="auto"/>
                        <w:left w:val="none" w:sz="0" w:space="0" w:color="auto"/>
                        <w:bottom w:val="none" w:sz="0" w:space="0" w:color="auto"/>
                        <w:right w:val="none" w:sz="0" w:space="0" w:color="auto"/>
                      </w:divBdr>
                      <w:divsChild>
                        <w:div w:id="515537531">
                          <w:marLeft w:val="0"/>
                          <w:marRight w:val="0"/>
                          <w:marTop w:val="0"/>
                          <w:marBottom w:val="0"/>
                          <w:divBdr>
                            <w:top w:val="none" w:sz="0" w:space="0" w:color="auto"/>
                            <w:left w:val="none" w:sz="0" w:space="0" w:color="auto"/>
                            <w:bottom w:val="none" w:sz="0" w:space="0" w:color="auto"/>
                            <w:right w:val="none" w:sz="0" w:space="0" w:color="auto"/>
                          </w:divBdr>
                          <w:divsChild>
                            <w:div w:id="1707214619">
                              <w:marLeft w:val="0"/>
                              <w:marRight w:val="0"/>
                              <w:marTop w:val="0"/>
                              <w:marBottom w:val="0"/>
                              <w:divBdr>
                                <w:top w:val="single" w:sz="6" w:space="0" w:color="auto"/>
                                <w:left w:val="single" w:sz="6" w:space="0" w:color="auto"/>
                                <w:bottom w:val="single" w:sz="6" w:space="0" w:color="auto"/>
                                <w:right w:val="single" w:sz="6" w:space="0" w:color="auto"/>
                              </w:divBdr>
                              <w:divsChild>
                                <w:div w:id="1221132808">
                                  <w:marLeft w:val="0"/>
                                  <w:marRight w:val="0"/>
                                  <w:marTop w:val="0"/>
                                  <w:marBottom w:val="0"/>
                                  <w:divBdr>
                                    <w:top w:val="none" w:sz="0" w:space="0" w:color="auto"/>
                                    <w:left w:val="none" w:sz="0" w:space="0" w:color="auto"/>
                                    <w:bottom w:val="none" w:sz="0" w:space="0" w:color="auto"/>
                                    <w:right w:val="none" w:sz="0" w:space="0" w:color="auto"/>
                                  </w:divBdr>
                                  <w:divsChild>
                                    <w:div w:id="1492216855">
                                      <w:marLeft w:val="0"/>
                                      <w:marRight w:val="0"/>
                                      <w:marTop w:val="0"/>
                                      <w:marBottom w:val="0"/>
                                      <w:divBdr>
                                        <w:top w:val="none" w:sz="0" w:space="0" w:color="auto"/>
                                        <w:left w:val="none" w:sz="0" w:space="0" w:color="auto"/>
                                        <w:bottom w:val="none" w:sz="0" w:space="0" w:color="auto"/>
                                        <w:right w:val="none" w:sz="0" w:space="0" w:color="auto"/>
                                      </w:divBdr>
                                      <w:divsChild>
                                        <w:div w:id="1977442416">
                                          <w:marLeft w:val="0"/>
                                          <w:marRight w:val="0"/>
                                          <w:marTop w:val="0"/>
                                          <w:marBottom w:val="0"/>
                                          <w:divBdr>
                                            <w:top w:val="none" w:sz="0" w:space="0" w:color="auto"/>
                                            <w:left w:val="none" w:sz="0" w:space="0" w:color="auto"/>
                                            <w:bottom w:val="none" w:sz="0" w:space="0" w:color="auto"/>
                                            <w:right w:val="none" w:sz="0" w:space="0" w:color="auto"/>
                                          </w:divBdr>
                                          <w:divsChild>
                                            <w:div w:id="1368749684">
                                              <w:marLeft w:val="0"/>
                                              <w:marRight w:val="0"/>
                                              <w:marTop w:val="0"/>
                                              <w:marBottom w:val="0"/>
                                              <w:divBdr>
                                                <w:top w:val="none" w:sz="0" w:space="0" w:color="auto"/>
                                                <w:left w:val="none" w:sz="0" w:space="0" w:color="auto"/>
                                                <w:bottom w:val="none" w:sz="0" w:space="0" w:color="auto"/>
                                                <w:right w:val="none" w:sz="0" w:space="0" w:color="auto"/>
                                              </w:divBdr>
                                              <w:divsChild>
                                                <w:div w:id="210969311">
                                                  <w:marLeft w:val="0"/>
                                                  <w:marRight w:val="0"/>
                                                  <w:marTop w:val="0"/>
                                                  <w:marBottom w:val="0"/>
                                                  <w:divBdr>
                                                    <w:top w:val="none" w:sz="0" w:space="0" w:color="auto"/>
                                                    <w:left w:val="none" w:sz="0" w:space="0" w:color="auto"/>
                                                    <w:bottom w:val="none" w:sz="0" w:space="0" w:color="auto"/>
                                                    <w:right w:val="none" w:sz="0" w:space="0" w:color="auto"/>
                                                  </w:divBdr>
                                                  <w:divsChild>
                                                    <w:div w:id="1056122783">
                                                      <w:marLeft w:val="0"/>
                                                      <w:marRight w:val="0"/>
                                                      <w:marTop w:val="0"/>
                                                      <w:marBottom w:val="0"/>
                                                      <w:divBdr>
                                                        <w:top w:val="none" w:sz="0" w:space="0" w:color="auto"/>
                                                        <w:left w:val="none" w:sz="0" w:space="0" w:color="auto"/>
                                                        <w:bottom w:val="none" w:sz="0" w:space="0" w:color="auto"/>
                                                        <w:right w:val="none" w:sz="0" w:space="0" w:color="auto"/>
                                                      </w:divBdr>
                                                      <w:divsChild>
                                                        <w:div w:id="1506164872">
                                                          <w:marLeft w:val="0"/>
                                                          <w:marRight w:val="0"/>
                                                          <w:marTop w:val="0"/>
                                                          <w:marBottom w:val="0"/>
                                                          <w:divBdr>
                                                            <w:top w:val="none" w:sz="0" w:space="0" w:color="auto"/>
                                                            <w:left w:val="none" w:sz="0" w:space="0" w:color="auto"/>
                                                            <w:bottom w:val="none" w:sz="0" w:space="0" w:color="auto"/>
                                                            <w:right w:val="none" w:sz="0" w:space="0" w:color="auto"/>
                                                          </w:divBdr>
                                                          <w:divsChild>
                                                            <w:div w:id="563372952">
                                                              <w:marLeft w:val="0"/>
                                                              <w:marRight w:val="0"/>
                                                              <w:marTop w:val="0"/>
                                                              <w:marBottom w:val="0"/>
                                                              <w:divBdr>
                                                                <w:top w:val="none" w:sz="0" w:space="0" w:color="auto"/>
                                                                <w:left w:val="none" w:sz="0" w:space="0" w:color="auto"/>
                                                                <w:bottom w:val="none" w:sz="0" w:space="0" w:color="auto"/>
                                                                <w:right w:val="none" w:sz="0" w:space="0" w:color="auto"/>
                                                              </w:divBdr>
                                                              <w:divsChild>
                                                                <w:div w:id="1865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4901310">
          <w:marLeft w:val="0"/>
          <w:marRight w:val="0"/>
          <w:marTop w:val="0"/>
          <w:marBottom w:val="0"/>
          <w:divBdr>
            <w:top w:val="none" w:sz="0" w:space="0" w:color="auto"/>
            <w:left w:val="none" w:sz="0" w:space="0" w:color="auto"/>
            <w:bottom w:val="none" w:sz="0" w:space="0" w:color="auto"/>
            <w:right w:val="none" w:sz="0" w:space="0" w:color="auto"/>
          </w:divBdr>
          <w:divsChild>
            <w:div w:id="1663898693">
              <w:marLeft w:val="0"/>
              <w:marRight w:val="0"/>
              <w:marTop w:val="0"/>
              <w:marBottom w:val="0"/>
              <w:divBdr>
                <w:top w:val="none" w:sz="0" w:space="0" w:color="auto"/>
                <w:left w:val="none" w:sz="0" w:space="0" w:color="auto"/>
                <w:bottom w:val="none" w:sz="0" w:space="0" w:color="auto"/>
                <w:right w:val="none" w:sz="0" w:space="0" w:color="auto"/>
              </w:divBdr>
              <w:divsChild>
                <w:div w:id="1035347226">
                  <w:marLeft w:val="0"/>
                  <w:marRight w:val="0"/>
                  <w:marTop w:val="0"/>
                  <w:marBottom w:val="0"/>
                  <w:divBdr>
                    <w:top w:val="none" w:sz="0" w:space="0" w:color="auto"/>
                    <w:left w:val="none" w:sz="0" w:space="0" w:color="auto"/>
                    <w:bottom w:val="none" w:sz="0" w:space="0" w:color="auto"/>
                    <w:right w:val="none" w:sz="0" w:space="0" w:color="auto"/>
                  </w:divBdr>
                  <w:divsChild>
                    <w:div w:id="745954362">
                      <w:marLeft w:val="0"/>
                      <w:marRight w:val="0"/>
                      <w:marTop w:val="0"/>
                      <w:marBottom w:val="0"/>
                      <w:divBdr>
                        <w:top w:val="none" w:sz="0" w:space="0" w:color="auto"/>
                        <w:left w:val="none" w:sz="0" w:space="0" w:color="auto"/>
                        <w:bottom w:val="none" w:sz="0" w:space="0" w:color="auto"/>
                        <w:right w:val="none" w:sz="0" w:space="0" w:color="auto"/>
                      </w:divBdr>
                      <w:divsChild>
                        <w:div w:id="1771509195">
                          <w:marLeft w:val="0"/>
                          <w:marRight w:val="0"/>
                          <w:marTop w:val="0"/>
                          <w:marBottom w:val="0"/>
                          <w:divBdr>
                            <w:top w:val="none" w:sz="0" w:space="0" w:color="auto"/>
                            <w:left w:val="none" w:sz="0" w:space="0" w:color="auto"/>
                            <w:bottom w:val="none" w:sz="0" w:space="0" w:color="auto"/>
                            <w:right w:val="none" w:sz="0" w:space="0" w:color="auto"/>
                          </w:divBdr>
                          <w:divsChild>
                            <w:div w:id="533659651">
                              <w:marLeft w:val="0"/>
                              <w:marRight w:val="0"/>
                              <w:marTop w:val="0"/>
                              <w:marBottom w:val="0"/>
                              <w:divBdr>
                                <w:top w:val="single" w:sz="6" w:space="0" w:color="auto"/>
                                <w:left w:val="single" w:sz="6" w:space="0" w:color="auto"/>
                                <w:bottom w:val="single" w:sz="6" w:space="0" w:color="auto"/>
                                <w:right w:val="single" w:sz="6" w:space="0" w:color="auto"/>
                              </w:divBdr>
                              <w:divsChild>
                                <w:div w:id="1890726149">
                                  <w:marLeft w:val="0"/>
                                  <w:marRight w:val="0"/>
                                  <w:marTop w:val="0"/>
                                  <w:marBottom w:val="0"/>
                                  <w:divBdr>
                                    <w:top w:val="none" w:sz="0" w:space="0" w:color="auto"/>
                                    <w:left w:val="none" w:sz="0" w:space="0" w:color="auto"/>
                                    <w:bottom w:val="none" w:sz="0" w:space="0" w:color="auto"/>
                                    <w:right w:val="none" w:sz="0" w:space="0" w:color="auto"/>
                                  </w:divBdr>
                                  <w:divsChild>
                                    <w:div w:id="1921523220">
                                      <w:marLeft w:val="0"/>
                                      <w:marRight w:val="0"/>
                                      <w:marTop w:val="0"/>
                                      <w:marBottom w:val="0"/>
                                      <w:divBdr>
                                        <w:top w:val="none" w:sz="0" w:space="0" w:color="auto"/>
                                        <w:left w:val="none" w:sz="0" w:space="0" w:color="auto"/>
                                        <w:bottom w:val="none" w:sz="0" w:space="0" w:color="auto"/>
                                        <w:right w:val="none" w:sz="0" w:space="0" w:color="auto"/>
                                      </w:divBdr>
                                      <w:divsChild>
                                        <w:div w:id="1444570906">
                                          <w:marLeft w:val="0"/>
                                          <w:marRight w:val="0"/>
                                          <w:marTop w:val="0"/>
                                          <w:marBottom w:val="0"/>
                                          <w:divBdr>
                                            <w:top w:val="none" w:sz="0" w:space="0" w:color="auto"/>
                                            <w:left w:val="none" w:sz="0" w:space="0" w:color="auto"/>
                                            <w:bottom w:val="none" w:sz="0" w:space="0" w:color="auto"/>
                                            <w:right w:val="none" w:sz="0" w:space="0" w:color="auto"/>
                                          </w:divBdr>
                                          <w:divsChild>
                                            <w:div w:id="155074396">
                                              <w:marLeft w:val="0"/>
                                              <w:marRight w:val="0"/>
                                              <w:marTop w:val="0"/>
                                              <w:marBottom w:val="300"/>
                                              <w:divBdr>
                                                <w:top w:val="none" w:sz="0" w:space="0" w:color="auto"/>
                                                <w:left w:val="none" w:sz="0" w:space="0" w:color="auto"/>
                                                <w:bottom w:val="none" w:sz="0" w:space="0" w:color="auto"/>
                                                <w:right w:val="none" w:sz="0" w:space="0" w:color="auto"/>
                                              </w:divBdr>
                                              <w:divsChild>
                                                <w:div w:id="1866870631">
                                                  <w:marLeft w:val="0"/>
                                                  <w:marRight w:val="0"/>
                                                  <w:marTop w:val="0"/>
                                                  <w:marBottom w:val="0"/>
                                                  <w:divBdr>
                                                    <w:top w:val="none" w:sz="0" w:space="0" w:color="auto"/>
                                                    <w:left w:val="none" w:sz="0" w:space="0" w:color="auto"/>
                                                    <w:bottom w:val="none" w:sz="0" w:space="0" w:color="auto"/>
                                                    <w:right w:val="none" w:sz="0" w:space="0" w:color="auto"/>
                                                  </w:divBdr>
                                                  <w:divsChild>
                                                    <w:div w:id="2064132635">
                                                      <w:marLeft w:val="-225"/>
                                                      <w:marRight w:val="-225"/>
                                                      <w:marTop w:val="0"/>
                                                      <w:marBottom w:val="0"/>
                                                      <w:divBdr>
                                                        <w:top w:val="none" w:sz="0" w:space="0" w:color="auto"/>
                                                        <w:left w:val="none" w:sz="0" w:space="0" w:color="auto"/>
                                                        <w:bottom w:val="none" w:sz="0" w:space="0" w:color="auto"/>
                                                        <w:right w:val="none" w:sz="0" w:space="0" w:color="auto"/>
                                                      </w:divBdr>
                                                      <w:divsChild>
                                                        <w:div w:id="1994723322">
                                                          <w:marLeft w:val="0"/>
                                                          <w:marRight w:val="0"/>
                                                          <w:marTop w:val="0"/>
                                                          <w:marBottom w:val="0"/>
                                                          <w:divBdr>
                                                            <w:top w:val="none" w:sz="0" w:space="0" w:color="auto"/>
                                                            <w:left w:val="none" w:sz="0" w:space="0" w:color="auto"/>
                                                            <w:bottom w:val="none" w:sz="0" w:space="0" w:color="auto"/>
                                                            <w:right w:val="none" w:sz="0" w:space="0" w:color="auto"/>
                                                          </w:divBdr>
                                                          <w:divsChild>
                                                            <w:div w:id="78216474">
                                                              <w:marLeft w:val="0"/>
                                                              <w:marRight w:val="150"/>
                                                              <w:marTop w:val="0"/>
                                                              <w:marBottom w:val="75"/>
                                                              <w:divBdr>
                                                                <w:top w:val="none" w:sz="0" w:space="0" w:color="auto"/>
                                                                <w:left w:val="none" w:sz="0" w:space="0" w:color="auto"/>
                                                                <w:bottom w:val="none" w:sz="0" w:space="0" w:color="auto"/>
                                                                <w:right w:val="none" w:sz="0" w:space="0" w:color="auto"/>
                                                              </w:divBdr>
                                                              <w:divsChild>
                                                                <w:div w:id="7380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1953">
                                                          <w:marLeft w:val="0"/>
                                                          <w:marRight w:val="0"/>
                                                          <w:marTop w:val="0"/>
                                                          <w:marBottom w:val="0"/>
                                                          <w:divBdr>
                                                            <w:top w:val="none" w:sz="0" w:space="0" w:color="auto"/>
                                                            <w:left w:val="none" w:sz="0" w:space="0" w:color="auto"/>
                                                            <w:bottom w:val="none" w:sz="0" w:space="0" w:color="auto"/>
                                                            <w:right w:val="none" w:sz="0" w:space="0" w:color="auto"/>
                                                          </w:divBdr>
                                                          <w:divsChild>
                                                            <w:div w:id="41253492">
                                                              <w:marLeft w:val="0"/>
                                                              <w:marRight w:val="0"/>
                                                              <w:marTop w:val="0"/>
                                                              <w:marBottom w:val="0"/>
                                                              <w:divBdr>
                                                                <w:top w:val="none" w:sz="0" w:space="0" w:color="auto"/>
                                                                <w:left w:val="none" w:sz="0" w:space="0" w:color="auto"/>
                                                                <w:bottom w:val="none" w:sz="0" w:space="0" w:color="auto"/>
                                                                <w:right w:val="none" w:sz="0" w:space="0" w:color="auto"/>
                                                              </w:divBdr>
                                                            </w:div>
                                                            <w:div w:id="987519650">
                                                              <w:marLeft w:val="0"/>
                                                              <w:marRight w:val="0"/>
                                                              <w:marTop w:val="0"/>
                                                              <w:marBottom w:val="0"/>
                                                              <w:divBdr>
                                                                <w:top w:val="none" w:sz="0" w:space="0" w:color="auto"/>
                                                                <w:left w:val="none" w:sz="0" w:space="0" w:color="auto"/>
                                                                <w:bottom w:val="none" w:sz="0" w:space="0" w:color="auto"/>
                                                                <w:right w:val="none" w:sz="0" w:space="0" w:color="auto"/>
                                                              </w:divBdr>
                                                              <w:divsChild>
                                                                <w:div w:id="1360084484">
                                                                  <w:marLeft w:val="0"/>
                                                                  <w:marRight w:val="0"/>
                                                                  <w:marTop w:val="0"/>
                                                                  <w:marBottom w:val="0"/>
                                                                  <w:divBdr>
                                                                    <w:top w:val="none" w:sz="0" w:space="0" w:color="auto"/>
                                                                    <w:left w:val="none" w:sz="0" w:space="0" w:color="auto"/>
                                                                    <w:bottom w:val="none" w:sz="0" w:space="0" w:color="auto"/>
                                                                    <w:right w:val="none" w:sz="0" w:space="0" w:color="auto"/>
                                                                  </w:divBdr>
                                                                  <w:divsChild>
                                                                    <w:div w:id="1314261140">
                                                                      <w:marLeft w:val="0"/>
                                                                      <w:marRight w:val="0"/>
                                                                      <w:marTop w:val="0"/>
                                                                      <w:marBottom w:val="0"/>
                                                                      <w:divBdr>
                                                                        <w:top w:val="none" w:sz="0" w:space="0" w:color="auto"/>
                                                                        <w:left w:val="none" w:sz="0" w:space="0" w:color="auto"/>
                                                                        <w:bottom w:val="none" w:sz="0" w:space="0" w:color="auto"/>
                                                                        <w:right w:val="none" w:sz="0" w:space="0" w:color="auto"/>
                                                                      </w:divBdr>
                                                                    </w:div>
                                                                    <w:div w:id="2355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4018548">
      <w:bodyDiv w:val="1"/>
      <w:marLeft w:val="0"/>
      <w:marRight w:val="0"/>
      <w:marTop w:val="0"/>
      <w:marBottom w:val="0"/>
      <w:divBdr>
        <w:top w:val="none" w:sz="0" w:space="0" w:color="auto"/>
        <w:left w:val="none" w:sz="0" w:space="0" w:color="auto"/>
        <w:bottom w:val="none" w:sz="0" w:space="0" w:color="auto"/>
        <w:right w:val="none" w:sz="0" w:space="0" w:color="auto"/>
      </w:divBdr>
    </w:div>
    <w:div w:id="365376599">
      <w:bodyDiv w:val="1"/>
      <w:marLeft w:val="0"/>
      <w:marRight w:val="0"/>
      <w:marTop w:val="0"/>
      <w:marBottom w:val="0"/>
      <w:divBdr>
        <w:top w:val="none" w:sz="0" w:space="0" w:color="auto"/>
        <w:left w:val="none" w:sz="0" w:space="0" w:color="auto"/>
        <w:bottom w:val="none" w:sz="0" w:space="0" w:color="auto"/>
        <w:right w:val="none" w:sz="0" w:space="0" w:color="auto"/>
      </w:divBdr>
      <w:divsChild>
        <w:div w:id="650908884">
          <w:marLeft w:val="0"/>
          <w:marRight w:val="0"/>
          <w:marTop w:val="0"/>
          <w:marBottom w:val="0"/>
          <w:divBdr>
            <w:top w:val="none" w:sz="0" w:space="0" w:color="auto"/>
            <w:left w:val="none" w:sz="0" w:space="0" w:color="auto"/>
            <w:bottom w:val="none" w:sz="0" w:space="0" w:color="auto"/>
            <w:right w:val="none" w:sz="0" w:space="0" w:color="auto"/>
          </w:divBdr>
          <w:divsChild>
            <w:div w:id="2040887899">
              <w:marLeft w:val="0"/>
              <w:marRight w:val="0"/>
              <w:marTop w:val="0"/>
              <w:marBottom w:val="0"/>
              <w:divBdr>
                <w:top w:val="none" w:sz="0" w:space="0" w:color="auto"/>
                <w:left w:val="none" w:sz="0" w:space="0" w:color="auto"/>
                <w:bottom w:val="none" w:sz="0" w:space="0" w:color="auto"/>
                <w:right w:val="none" w:sz="0" w:space="0" w:color="auto"/>
              </w:divBdr>
              <w:divsChild>
                <w:div w:id="1535653191">
                  <w:marLeft w:val="0"/>
                  <w:marRight w:val="0"/>
                  <w:marTop w:val="0"/>
                  <w:marBottom w:val="0"/>
                  <w:divBdr>
                    <w:top w:val="none" w:sz="0" w:space="0" w:color="auto"/>
                    <w:left w:val="none" w:sz="0" w:space="0" w:color="auto"/>
                    <w:bottom w:val="none" w:sz="0" w:space="0" w:color="auto"/>
                    <w:right w:val="none" w:sz="0" w:space="0" w:color="auto"/>
                  </w:divBdr>
                  <w:divsChild>
                    <w:div w:id="240992496">
                      <w:marLeft w:val="0"/>
                      <w:marRight w:val="0"/>
                      <w:marTop w:val="0"/>
                      <w:marBottom w:val="0"/>
                      <w:divBdr>
                        <w:top w:val="none" w:sz="0" w:space="0" w:color="auto"/>
                        <w:left w:val="none" w:sz="0" w:space="0" w:color="auto"/>
                        <w:bottom w:val="none" w:sz="0" w:space="0" w:color="auto"/>
                        <w:right w:val="none" w:sz="0" w:space="0" w:color="auto"/>
                      </w:divBdr>
                      <w:divsChild>
                        <w:div w:id="62975193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65571453">
      <w:bodyDiv w:val="1"/>
      <w:marLeft w:val="0"/>
      <w:marRight w:val="0"/>
      <w:marTop w:val="0"/>
      <w:marBottom w:val="0"/>
      <w:divBdr>
        <w:top w:val="none" w:sz="0" w:space="0" w:color="auto"/>
        <w:left w:val="none" w:sz="0" w:space="0" w:color="auto"/>
        <w:bottom w:val="none" w:sz="0" w:space="0" w:color="auto"/>
        <w:right w:val="none" w:sz="0" w:space="0" w:color="auto"/>
      </w:divBdr>
      <w:divsChild>
        <w:div w:id="290673030">
          <w:marLeft w:val="0"/>
          <w:marRight w:val="0"/>
          <w:marTop w:val="0"/>
          <w:marBottom w:val="0"/>
          <w:divBdr>
            <w:top w:val="none" w:sz="0" w:space="0" w:color="auto"/>
            <w:left w:val="none" w:sz="0" w:space="0" w:color="auto"/>
            <w:bottom w:val="none" w:sz="0" w:space="0" w:color="auto"/>
            <w:right w:val="none" w:sz="0" w:space="0" w:color="auto"/>
          </w:divBdr>
          <w:divsChild>
            <w:div w:id="227037220">
              <w:marLeft w:val="0"/>
              <w:marRight w:val="0"/>
              <w:marTop w:val="150"/>
              <w:marBottom w:val="0"/>
              <w:divBdr>
                <w:top w:val="none" w:sz="0" w:space="0" w:color="auto"/>
                <w:left w:val="none" w:sz="0" w:space="0" w:color="auto"/>
                <w:bottom w:val="none" w:sz="0" w:space="0" w:color="auto"/>
                <w:right w:val="none" w:sz="0" w:space="0" w:color="auto"/>
              </w:divBdr>
              <w:divsChild>
                <w:div w:id="1460803966">
                  <w:marLeft w:val="0"/>
                  <w:marRight w:val="0"/>
                  <w:marTop w:val="0"/>
                  <w:marBottom w:val="0"/>
                  <w:divBdr>
                    <w:top w:val="none" w:sz="0" w:space="0" w:color="auto"/>
                    <w:left w:val="none" w:sz="0" w:space="0" w:color="auto"/>
                    <w:bottom w:val="none" w:sz="0" w:space="0" w:color="auto"/>
                    <w:right w:val="none" w:sz="0" w:space="0" w:color="auto"/>
                  </w:divBdr>
                  <w:divsChild>
                    <w:div w:id="1854802817">
                      <w:marLeft w:val="0"/>
                      <w:marRight w:val="0"/>
                      <w:marTop w:val="0"/>
                      <w:marBottom w:val="0"/>
                      <w:divBdr>
                        <w:top w:val="none" w:sz="0" w:space="0" w:color="auto"/>
                        <w:left w:val="none" w:sz="0" w:space="0" w:color="auto"/>
                        <w:bottom w:val="none" w:sz="0" w:space="0" w:color="auto"/>
                        <w:right w:val="none" w:sz="0" w:space="0" w:color="auto"/>
                      </w:divBdr>
                      <w:divsChild>
                        <w:div w:id="24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10635">
      <w:bodyDiv w:val="1"/>
      <w:marLeft w:val="0"/>
      <w:marRight w:val="0"/>
      <w:marTop w:val="0"/>
      <w:marBottom w:val="0"/>
      <w:divBdr>
        <w:top w:val="none" w:sz="0" w:space="0" w:color="auto"/>
        <w:left w:val="none" w:sz="0" w:space="0" w:color="auto"/>
        <w:bottom w:val="none" w:sz="0" w:space="0" w:color="auto"/>
        <w:right w:val="none" w:sz="0" w:space="0" w:color="auto"/>
      </w:divBdr>
      <w:divsChild>
        <w:div w:id="1441413898">
          <w:marLeft w:val="0"/>
          <w:marRight w:val="0"/>
          <w:marTop w:val="0"/>
          <w:marBottom w:val="0"/>
          <w:divBdr>
            <w:top w:val="none" w:sz="0" w:space="0" w:color="auto"/>
            <w:left w:val="none" w:sz="0" w:space="0" w:color="auto"/>
            <w:bottom w:val="none" w:sz="0" w:space="0" w:color="auto"/>
            <w:right w:val="none" w:sz="0" w:space="0" w:color="auto"/>
          </w:divBdr>
        </w:div>
      </w:divsChild>
    </w:div>
    <w:div w:id="367223729">
      <w:bodyDiv w:val="1"/>
      <w:marLeft w:val="0"/>
      <w:marRight w:val="0"/>
      <w:marTop w:val="0"/>
      <w:marBottom w:val="0"/>
      <w:divBdr>
        <w:top w:val="none" w:sz="0" w:space="0" w:color="auto"/>
        <w:left w:val="none" w:sz="0" w:space="0" w:color="auto"/>
        <w:bottom w:val="none" w:sz="0" w:space="0" w:color="auto"/>
        <w:right w:val="none" w:sz="0" w:space="0" w:color="auto"/>
      </w:divBdr>
      <w:divsChild>
        <w:div w:id="2136748130">
          <w:marLeft w:val="0"/>
          <w:marRight w:val="0"/>
          <w:marTop w:val="0"/>
          <w:marBottom w:val="0"/>
          <w:divBdr>
            <w:top w:val="none" w:sz="0" w:space="0" w:color="auto"/>
            <w:left w:val="none" w:sz="0" w:space="0" w:color="auto"/>
            <w:bottom w:val="none" w:sz="0" w:space="0" w:color="auto"/>
            <w:right w:val="none" w:sz="0" w:space="0" w:color="auto"/>
          </w:divBdr>
          <w:divsChild>
            <w:div w:id="341250809">
              <w:marLeft w:val="0"/>
              <w:marRight w:val="0"/>
              <w:marTop w:val="0"/>
              <w:marBottom w:val="0"/>
              <w:divBdr>
                <w:top w:val="none" w:sz="0" w:space="0" w:color="auto"/>
                <w:left w:val="none" w:sz="0" w:space="0" w:color="auto"/>
                <w:bottom w:val="none" w:sz="0" w:space="0" w:color="auto"/>
                <w:right w:val="none" w:sz="0" w:space="0" w:color="auto"/>
              </w:divBdr>
              <w:divsChild>
                <w:div w:id="1518541032">
                  <w:marLeft w:val="0"/>
                  <w:marRight w:val="0"/>
                  <w:marTop w:val="0"/>
                  <w:marBottom w:val="0"/>
                  <w:divBdr>
                    <w:top w:val="none" w:sz="0" w:space="0" w:color="auto"/>
                    <w:left w:val="none" w:sz="0" w:space="0" w:color="auto"/>
                    <w:bottom w:val="none" w:sz="0" w:space="0" w:color="auto"/>
                    <w:right w:val="none" w:sz="0" w:space="0" w:color="auto"/>
                  </w:divBdr>
                  <w:divsChild>
                    <w:div w:id="1889412786">
                      <w:marLeft w:val="0"/>
                      <w:marRight w:val="0"/>
                      <w:marTop w:val="0"/>
                      <w:marBottom w:val="0"/>
                      <w:divBdr>
                        <w:top w:val="none" w:sz="0" w:space="0" w:color="auto"/>
                        <w:left w:val="none" w:sz="0" w:space="0" w:color="auto"/>
                        <w:bottom w:val="none" w:sz="0" w:space="0" w:color="auto"/>
                        <w:right w:val="none" w:sz="0" w:space="0" w:color="auto"/>
                      </w:divBdr>
                    </w:div>
                    <w:div w:id="10537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36596">
      <w:bodyDiv w:val="1"/>
      <w:marLeft w:val="0"/>
      <w:marRight w:val="0"/>
      <w:marTop w:val="0"/>
      <w:marBottom w:val="0"/>
      <w:divBdr>
        <w:top w:val="none" w:sz="0" w:space="0" w:color="auto"/>
        <w:left w:val="none" w:sz="0" w:space="0" w:color="auto"/>
        <w:bottom w:val="none" w:sz="0" w:space="0" w:color="auto"/>
        <w:right w:val="none" w:sz="0" w:space="0" w:color="auto"/>
      </w:divBdr>
      <w:divsChild>
        <w:div w:id="431440241">
          <w:marLeft w:val="0"/>
          <w:marRight w:val="0"/>
          <w:marTop w:val="0"/>
          <w:marBottom w:val="0"/>
          <w:divBdr>
            <w:top w:val="none" w:sz="0" w:space="0" w:color="auto"/>
            <w:left w:val="none" w:sz="0" w:space="0" w:color="auto"/>
            <w:bottom w:val="none" w:sz="0" w:space="0" w:color="auto"/>
            <w:right w:val="none" w:sz="0" w:space="0" w:color="auto"/>
          </w:divBdr>
          <w:divsChild>
            <w:div w:id="661349901">
              <w:marLeft w:val="0"/>
              <w:marRight w:val="0"/>
              <w:marTop w:val="0"/>
              <w:marBottom w:val="0"/>
              <w:divBdr>
                <w:top w:val="none" w:sz="0" w:space="0" w:color="auto"/>
                <w:left w:val="none" w:sz="0" w:space="0" w:color="auto"/>
                <w:bottom w:val="none" w:sz="0" w:space="0" w:color="auto"/>
                <w:right w:val="none" w:sz="0" w:space="0" w:color="auto"/>
              </w:divBdr>
              <w:divsChild>
                <w:div w:id="568536652">
                  <w:marLeft w:val="0"/>
                  <w:marRight w:val="0"/>
                  <w:marTop w:val="0"/>
                  <w:marBottom w:val="0"/>
                  <w:divBdr>
                    <w:top w:val="none" w:sz="0" w:space="0" w:color="auto"/>
                    <w:left w:val="none" w:sz="0" w:space="0" w:color="auto"/>
                    <w:bottom w:val="none" w:sz="0" w:space="0" w:color="auto"/>
                    <w:right w:val="none" w:sz="0" w:space="0" w:color="auto"/>
                  </w:divBdr>
                  <w:divsChild>
                    <w:div w:id="1466967927">
                      <w:marLeft w:val="0"/>
                      <w:marRight w:val="0"/>
                      <w:marTop w:val="0"/>
                      <w:marBottom w:val="0"/>
                      <w:divBdr>
                        <w:top w:val="none" w:sz="0" w:space="0" w:color="auto"/>
                        <w:left w:val="none" w:sz="0" w:space="0" w:color="auto"/>
                        <w:bottom w:val="none" w:sz="0" w:space="0" w:color="auto"/>
                        <w:right w:val="none" w:sz="0" w:space="0" w:color="auto"/>
                      </w:divBdr>
                      <w:divsChild>
                        <w:div w:id="665404059">
                          <w:marLeft w:val="570"/>
                          <w:marRight w:val="720"/>
                          <w:marTop w:val="120"/>
                          <w:marBottom w:val="120"/>
                          <w:divBdr>
                            <w:top w:val="none" w:sz="0" w:space="0" w:color="auto"/>
                            <w:left w:val="none" w:sz="0" w:space="0" w:color="auto"/>
                            <w:bottom w:val="none" w:sz="0" w:space="0" w:color="auto"/>
                            <w:right w:val="none" w:sz="0" w:space="0" w:color="auto"/>
                          </w:divBdr>
                          <w:divsChild>
                            <w:div w:id="948507133">
                              <w:marLeft w:val="0"/>
                              <w:marRight w:val="0"/>
                              <w:marTop w:val="0"/>
                              <w:marBottom w:val="0"/>
                              <w:divBdr>
                                <w:top w:val="none" w:sz="0" w:space="0" w:color="auto"/>
                                <w:left w:val="none" w:sz="0" w:space="0" w:color="auto"/>
                                <w:bottom w:val="none" w:sz="0" w:space="0" w:color="auto"/>
                                <w:right w:val="none" w:sz="0" w:space="0" w:color="auto"/>
                              </w:divBdr>
                              <w:divsChild>
                                <w:div w:id="1778524994">
                                  <w:marLeft w:val="0"/>
                                  <w:marRight w:val="0"/>
                                  <w:marTop w:val="0"/>
                                  <w:marBottom w:val="0"/>
                                  <w:divBdr>
                                    <w:top w:val="none" w:sz="0" w:space="0" w:color="auto"/>
                                    <w:left w:val="none" w:sz="0" w:space="0" w:color="auto"/>
                                    <w:bottom w:val="none" w:sz="0" w:space="0" w:color="auto"/>
                                    <w:right w:val="none" w:sz="0" w:space="0" w:color="auto"/>
                                  </w:divBdr>
                                  <w:divsChild>
                                    <w:div w:id="1246955156">
                                      <w:marLeft w:val="0"/>
                                      <w:marRight w:val="0"/>
                                      <w:marTop w:val="0"/>
                                      <w:marBottom w:val="0"/>
                                      <w:divBdr>
                                        <w:top w:val="none" w:sz="0" w:space="0" w:color="auto"/>
                                        <w:left w:val="none" w:sz="0" w:space="0" w:color="auto"/>
                                        <w:bottom w:val="none" w:sz="0" w:space="0" w:color="auto"/>
                                        <w:right w:val="none" w:sz="0" w:space="0" w:color="auto"/>
                                      </w:divBdr>
                                      <w:divsChild>
                                        <w:div w:id="1773934139">
                                          <w:marLeft w:val="0"/>
                                          <w:marRight w:val="0"/>
                                          <w:marTop w:val="240"/>
                                          <w:marBottom w:val="240"/>
                                          <w:divBdr>
                                            <w:top w:val="single" w:sz="6" w:space="6" w:color="F2F2F2"/>
                                            <w:left w:val="none" w:sz="0" w:space="0" w:color="auto"/>
                                            <w:bottom w:val="single" w:sz="6" w:space="6" w:color="F2F2F2"/>
                                            <w:right w:val="none" w:sz="0" w:space="0" w:color="auto"/>
                                          </w:divBdr>
                                        </w:div>
                                        <w:div w:id="743525904">
                                          <w:marLeft w:val="0"/>
                                          <w:marRight w:val="0"/>
                                          <w:marTop w:val="0"/>
                                          <w:marBottom w:val="0"/>
                                          <w:divBdr>
                                            <w:top w:val="none" w:sz="0" w:space="0" w:color="auto"/>
                                            <w:left w:val="none" w:sz="0" w:space="0" w:color="auto"/>
                                            <w:bottom w:val="none" w:sz="0" w:space="0" w:color="auto"/>
                                            <w:right w:val="none" w:sz="0" w:space="0" w:color="auto"/>
                                          </w:divBdr>
                                          <w:divsChild>
                                            <w:div w:id="18231612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260699">
      <w:bodyDiv w:val="1"/>
      <w:marLeft w:val="0"/>
      <w:marRight w:val="0"/>
      <w:marTop w:val="0"/>
      <w:marBottom w:val="0"/>
      <w:divBdr>
        <w:top w:val="none" w:sz="0" w:space="0" w:color="auto"/>
        <w:left w:val="none" w:sz="0" w:space="0" w:color="auto"/>
        <w:bottom w:val="none" w:sz="0" w:space="0" w:color="auto"/>
        <w:right w:val="none" w:sz="0" w:space="0" w:color="auto"/>
      </w:divBdr>
      <w:divsChild>
        <w:div w:id="1981615">
          <w:marLeft w:val="0"/>
          <w:marRight w:val="0"/>
          <w:marTop w:val="0"/>
          <w:marBottom w:val="0"/>
          <w:divBdr>
            <w:top w:val="none" w:sz="0" w:space="0" w:color="auto"/>
            <w:left w:val="none" w:sz="0" w:space="0" w:color="auto"/>
            <w:bottom w:val="none" w:sz="0" w:space="0" w:color="auto"/>
            <w:right w:val="none" w:sz="0" w:space="0" w:color="auto"/>
          </w:divBdr>
          <w:divsChild>
            <w:div w:id="1615332779">
              <w:marLeft w:val="0"/>
              <w:marRight w:val="0"/>
              <w:marTop w:val="0"/>
              <w:marBottom w:val="0"/>
              <w:divBdr>
                <w:top w:val="none" w:sz="0" w:space="0" w:color="auto"/>
                <w:left w:val="none" w:sz="0" w:space="0" w:color="auto"/>
                <w:bottom w:val="none" w:sz="0" w:space="0" w:color="auto"/>
                <w:right w:val="none" w:sz="0" w:space="0" w:color="auto"/>
              </w:divBdr>
              <w:divsChild>
                <w:div w:id="95640398">
                  <w:marLeft w:val="0"/>
                  <w:marRight w:val="0"/>
                  <w:marTop w:val="0"/>
                  <w:marBottom w:val="0"/>
                  <w:divBdr>
                    <w:top w:val="none" w:sz="0" w:space="0" w:color="auto"/>
                    <w:left w:val="none" w:sz="0" w:space="0" w:color="auto"/>
                    <w:bottom w:val="none" w:sz="0" w:space="0" w:color="auto"/>
                    <w:right w:val="none" w:sz="0" w:space="0" w:color="auto"/>
                  </w:divBdr>
                  <w:divsChild>
                    <w:div w:id="912667578">
                      <w:marLeft w:val="0"/>
                      <w:marRight w:val="0"/>
                      <w:marTop w:val="0"/>
                      <w:marBottom w:val="0"/>
                      <w:divBdr>
                        <w:top w:val="none" w:sz="0" w:space="0" w:color="auto"/>
                        <w:left w:val="none" w:sz="0" w:space="0" w:color="auto"/>
                        <w:bottom w:val="none" w:sz="0" w:space="0" w:color="auto"/>
                        <w:right w:val="none" w:sz="0" w:space="0" w:color="auto"/>
                      </w:divBdr>
                      <w:divsChild>
                        <w:div w:id="1741250338">
                          <w:marLeft w:val="0"/>
                          <w:marRight w:val="0"/>
                          <w:marTop w:val="0"/>
                          <w:marBottom w:val="0"/>
                          <w:divBdr>
                            <w:top w:val="none" w:sz="0" w:space="0" w:color="auto"/>
                            <w:left w:val="none" w:sz="0" w:space="0" w:color="auto"/>
                            <w:bottom w:val="none" w:sz="0" w:space="0" w:color="auto"/>
                            <w:right w:val="none" w:sz="0" w:space="0" w:color="auto"/>
                          </w:divBdr>
                          <w:divsChild>
                            <w:div w:id="1503079743">
                              <w:marLeft w:val="0"/>
                              <w:marRight w:val="0"/>
                              <w:marTop w:val="0"/>
                              <w:marBottom w:val="0"/>
                              <w:divBdr>
                                <w:top w:val="none" w:sz="0" w:space="0" w:color="auto"/>
                                <w:left w:val="none" w:sz="0" w:space="0" w:color="auto"/>
                                <w:bottom w:val="none" w:sz="0" w:space="0" w:color="auto"/>
                                <w:right w:val="none" w:sz="0" w:space="0" w:color="auto"/>
                              </w:divBdr>
                              <w:divsChild>
                                <w:div w:id="1928805179">
                                  <w:marLeft w:val="0"/>
                                  <w:marRight w:val="0"/>
                                  <w:marTop w:val="0"/>
                                  <w:marBottom w:val="0"/>
                                  <w:divBdr>
                                    <w:top w:val="none" w:sz="0" w:space="0" w:color="auto"/>
                                    <w:left w:val="none" w:sz="0" w:space="0" w:color="auto"/>
                                    <w:bottom w:val="none" w:sz="0" w:space="0" w:color="auto"/>
                                    <w:right w:val="none" w:sz="0" w:space="0" w:color="auto"/>
                                  </w:divBdr>
                                  <w:divsChild>
                                    <w:div w:id="1130896979">
                                      <w:marLeft w:val="0"/>
                                      <w:marRight w:val="0"/>
                                      <w:marTop w:val="0"/>
                                      <w:marBottom w:val="0"/>
                                      <w:divBdr>
                                        <w:top w:val="none" w:sz="0" w:space="0" w:color="auto"/>
                                        <w:left w:val="none" w:sz="0" w:space="0" w:color="auto"/>
                                        <w:bottom w:val="none" w:sz="0" w:space="0" w:color="auto"/>
                                        <w:right w:val="none" w:sz="0" w:space="0" w:color="auto"/>
                                      </w:divBdr>
                                      <w:divsChild>
                                        <w:div w:id="18361012">
                                          <w:marLeft w:val="0"/>
                                          <w:marRight w:val="0"/>
                                          <w:marTop w:val="0"/>
                                          <w:marBottom w:val="0"/>
                                          <w:divBdr>
                                            <w:top w:val="none" w:sz="0" w:space="0" w:color="auto"/>
                                            <w:left w:val="none" w:sz="0" w:space="0" w:color="auto"/>
                                            <w:bottom w:val="none" w:sz="0" w:space="0" w:color="auto"/>
                                            <w:right w:val="none" w:sz="0" w:space="0" w:color="auto"/>
                                          </w:divBdr>
                                          <w:divsChild>
                                            <w:div w:id="1190097925">
                                              <w:marLeft w:val="0"/>
                                              <w:marRight w:val="0"/>
                                              <w:marTop w:val="0"/>
                                              <w:marBottom w:val="0"/>
                                              <w:divBdr>
                                                <w:top w:val="none" w:sz="0" w:space="0" w:color="auto"/>
                                                <w:left w:val="none" w:sz="0" w:space="0" w:color="auto"/>
                                                <w:bottom w:val="none" w:sz="0" w:space="0" w:color="auto"/>
                                                <w:right w:val="none" w:sz="0" w:space="0" w:color="auto"/>
                                              </w:divBdr>
                                              <w:divsChild>
                                                <w:div w:id="811872394">
                                                  <w:marLeft w:val="0"/>
                                                  <w:marRight w:val="0"/>
                                                  <w:marTop w:val="0"/>
                                                  <w:marBottom w:val="0"/>
                                                  <w:divBdr>
                                                    <w:top w:val="none" w:sz="0" w:space="0" w:color="auto"/>
                                                    <w:left w:val="none" w:sz="0" w:space="0" w:color="auto"/>
                                                    <w:bottom w:val="none" w:sz="0" w:space="0" w:color="auto"/>
                                                    <w:right w:val="none" w:sz="0" w:space="0" w:color="auto"/>
                                                  </w:divBdr>
                                                  <w:divsChild>
                                                    <w:div w:id="679965532">
                                                      <w:marLeft w:val="0"/>
                                                      <w:marRight w:val="0"/>
                                                      <w:marTop w:val="0"/>
                                                      <w:marBottom w:val="0"/>
                                                      <w:divBdr>
                                                        <w:top w:val="none" w:sz="0" w:space="0" w:color="auto"/>
                                                        <w:left w:val="none" w:sz="0" w:space="0" w:color="auto"/>
                                                        <w:bottom w:val="none" w:sz="0" w:space="0" w:color="auto"/>
                                                        <w:right w:val="none" w:sz="0" w:space="0" w:color="auto"/>
                                                      </w:divBdr>
                                                      <w:divsChild>
                                                        <w:div w:id="1308821366">
                                                          <w:marLeft w:val="0"/>
                                                          <w:marRight w:val="0"/>
                                                          <w:marTop w:val="0"/>
                                                          <w:marBottom w:val="0"/>
                                                          <w:divBdr>
                                                            <w:top w:val="none" w:sz="0" w:space="0" w:color="auto"/>
                                                            <w:left w:val="none" w:sz="0" w:space="0" w:color="auto"/>
                                                            <w:bottom w:val="none" w:sz="0" w:space="0" w:color="auto"/>
                                                            <w:right w:val="none" w:sz="0" w:space="0" w:color="auto"/>
                                                          </w:divBdr>
                                                        </w:div>
                                                        <w:div w:id="1082488207">
                                                          <w:marLeft w:val="0"/>
                                                          <w:marRight w:val="0"/>
                                                          <w:marTop w:val="0"/>
                                                          <w:marBottom w:val="0"/>
                                                          <w:divBdr>
                                                            <w:top w:val="none" w:sz="0" w:space="0" w:color="auto"/>
                                                            <w:left w:val="none" w:sz="0" w:space="0" w:color="auto"/>
                                                            <w:bottom w:val="none" w:sz="0" w:space="0" w:color="auto"/>
                                                            <w:right w:val="none" w:sz="0" w:space="0" w:color="auto"/>
                                                          </w:divBdr>
                                                          <w:divsChild>
                                                            <w:div w:id="14971088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0150877">
      <w:bodyDiv w:val="1"/>
      <w:marLeft w:val="0"/>
      <w:marRight w:val="0"/>
      <w:marTop w:val="0"/>
      <w:marBottom w:val="0"/>
      <w:divBdr>
        <w:top w:val="none" w:sz="0" w:space="0" w:color="auto"/>
        <w:left w:val="none" w:sz="0" w:space="0" w:color="auto"/>
        <w:bottom w:val="none" w:sz="0" w:space="0" w:color="auto"/>
        <w:right w:val="none" w:sz="0" w:space="0" w:color="auto"/>
      </w:divBdr>
      <w:divsChild>
        <w:div w:id="457260487">
          <w:marLeft w:val="0"/>
          <w:marRight w:val="0"/>
          <w:marTop w:val="0"/>
          <w:marBottom w:val="0"/>
          <w:divBdr>
            <w:top w:val="none" w:sz="0" w:space="0" w:color="auto"/>
            <w:left w:val="none" w:sz="0" w:space="0" w:color="auto"/>
            <w:bottom w:val="none" w:sz="0" w:space="0" w:color="auto"/>
            <w:right w:val="none" w:sz="0" w:space="0" w:color="auto"/>
          </w:divBdr>
          <w:divsChild>
            <w:div w:id="831457501">
              <w:marLeft w:val="0"/>
              <w:marRight w:val="0"/>
              <w:marTop w:val="0"/>
              <w:marBottom w:val="0"/>
              <w:divBdr>
                <w:top w:val="none" w:sz="0" w:space="0" w:color="auto"/>
                <w:left w:val="none" w:sz="0" w:space="0" w:color="auto"/>
                <w:bottom w:val="none" w:sz="0" w:space="0" w:color="auto"/>
                <w:right w:val="none" w:sz="0" w:space="0" w:color="auto"/>
              </w:divBdr>
              <w:divsChild>
                <w:div w:id="87896265">
                  <w:marLeft w:val="0"/>
                  <w:marRight w:val="0"/>
                  <w:marTop w:val="0"/>
                  <w:marBottom w:val="0"/>
                  <w:divBdr>
                    <w:top w:val="none" w:sz="0" w:space="0" w:color="auto"/>
                    <w:left w:val="none" w:sz="0" w:space="0" w:color="auto"/>
                    <w:bottom w:val="none" w:sz="0" w:space="0" w:color="auto"/>
                    <w:right w:val="none" w:sz="0" w:space="0" w:color="auto"/>
                  </w:divBdr>
                  <w:divsChild>
                    <w:div w:id="338435167">
                      <w:marLeft w:val="0"/>
                      <w:marRight w:val="0"/>
                      <w:marTop w:val="0"/>
                      <w:marBottom w:val="0"/>
                      <w:divBdr>
                        <w:top w:val="none" w:sz="0" w:space="0" w:color="auto"/>
                        <w:left w:val="none" w:sz="0" w:space="0" w:color="auto"/>
                        <w:bottom w:val="none" w:sz="0" w:space="0" w:color="auto"/>
                        <w:right w:val="none" w:sz="0" w:space="0" w:color="auto"/>
                      </w:divBdr>
                      <w:divsChild>
                        <w:div w:id="1957175082">
                          <w:marLeft w:val="0"/>
                          <w:marRight w:val="0"/>
                          <w:marTop w:val="0"/>
                          <w:marBottom w:val="0"/>
                          <w:divBdr>
                            <w:top w:val="none" w:sz="0" w:space="0" w:color="auto"/>
                            <w:left w:val="none" w:sz="0" w:space="0" w:color="auto"/>
                            <w:bottom w:val="none" w:sz="0" w:space="0" w:color="auto"/>
                            <w:right w:val="none" w:sz="0" w:space="0" w:color="auto"/>
                          </w:divBdr>
                          <w:divsChild>
                            <w:div w:id="1108508400">
                              <w:marLeft w:val="0"/>
                              <w:marRight w:val="0"/>
                              <w:marTop w:val="0"/>
                              <w:marBottom w:val="0"/>
                              <w:divBdr>
                                <w:top w:val="none" w:sz="0" w:space="0" w:color="auto"/>
                                <w:left w:val="none" w:sz="0" w:space="0" w:color="auto"/>
                                <w:bottom w:val="none" w:sz="0" w:space="0" w:color="auto"/>
                                <w:right w:val="none" w:sz="0" w:space="0" w:color="auto"/>
                              </w:divBdr>
                              <w:divsChild>
                                <w:div w:id="248931377">
                                  <w:marLeft w:val="0"/>
                                  <w:marRight w:val="0"/>
                                  <w:marTop w:val="0"/>
                                  <w:marBottom w:val="0"/>
                                  <w:divBdr>
                                    <w:top w:val="none" w:sz="0" w:space="0" w:color="auto"/>
                                    <w:left w:val="none" w:sz="0" w:space="0" w:color="auto"/>
                                    <w:bottom w:val="none" w:sz="0" w:space="0" w:color="auto"/>
                                    <w:right w:val="none" w:sz="0" w:space="0" w:color="auto"/>
                                  </w:divBdr>
                                  <w:divsChild>
                                    <w:div w:id="1195314981">
                                      <w:marLeft w:val="0"/>
                                      <w:marRight w:val="0"/>
                                      <w:marTop w:val="0"/>
                                      <w:marBottom w:val="0"/>
                                      <w:divBdr>
                                        <w:top w:val="none" w:sz="0" w:space="0" w:color="auto"/>
                                        <w:left w:val="none" w:sz="0" w:space="0" w:color="auto"/>
                                        <w:bottom w:val="none" w:sz="0" w:space="0" w:color="auto"/>
                                        <w:right w:val="none" w:sz="0" w:space="0" w:color="auto"/>
                                      </w:divBdr>
                                      <w:divsChild>
                                        <w:div w:id="5402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075406">
      <w:bodyDiv w:val="1"/>
      <w:marLeft w:val="0"/>
      <w:marRight w:val="0"/>
      <w:marTop w:val="0"/>
      <w:marBottom w:val="0"/>
      <w:divBdr>
        <w:top w:val="none" w:sz="0" w:space="0" w:color="auto"/>
        <w:left w:val="none" w:sz="0" w:space="0" w:color="auto"/>
        <w:bottom w:val="none" w:sz="0" w:space="0" w:color="auto"/>
        <w:right w:val="none" w:sz="0" w:space="0" w:color="auto"/>
      </w:divBdr>
      <w:divsChild>
        <w:div w:id="1846243640">
          <w:marLeft w:val="0"/>
          <w:marRight w:val="0"/>
          <w:marTop w:val="150"/>
          <w:marBottom w:val="0"/>
          <w:divBdr>
            <w:top w:val="none" w:sz="0" w:space="0" w:color="auto"/>
            <w:left w:val="none" w:sz="0" w:space="0" w:color="auto"/>
            <w:bottom w:val="none" w:sz="0" w:space="0" w:color="auto"/>
            <w:right w:val="none" w:sz="0" w:space="0" w:color="auto"/>
          </w:divBdr>
          <w:divsChild>
            <w:div w:id="192033832">
              <w:marLeft w:val="2"/>
              <w:marRight w:val="2"/>
              <w:marTop w:val="0"/>
              <w:marBottom w:val="0"/>
              <w:divBdr>
                <w:top w:val="none" w:sz="0" w:space="0" w:color="auto"/>
                <w:left w:val="none" w:sz="0" w:space="0" w:color="auto"/>
                <w:bottom w:val="none" w:sz="0" w:space="0" w:color="auto"/>
                <w:right w:val="none" w:sz="0" w:space="0" w:color="auto"/>
              </w:divBdr>
              <w:divsChild>
                <w:div w:id="1922450133">
                  <w:marLeft w:val="0"/>
                  <w:marRight w:val="0"/>
                  <w:marTop w:val="0"/>
                  <w:marBottom w:val="0"/>
                  <w:divBdr>
                    <w:top w:val="none" w:sz="0" w:space="0" w:color="auto"/>
                    <w:left w:val="none" w:sz="0" w:space="0" w:color="auto"/>
                    <w:bottom w:val="none" w:sz="0" w:space="0" w:color="auto"/>
                    <w:right w:val="none" w:sz="0" w:space="0" w:color="auto"/>
                  </w:divBdr>
                  <w:divsChild>
                    <w:div w:id="428965096">
                      <w:marLeft w:val="0"/>
                      <w:marRight w:val="0"/>
                      <w:marTop w:val="0"/>
                      <w:marBottom w:val="0"/>
                      <w:divBdr>
                        <w:top w:val="none" w:sz="0" w:space="0" w:color="auto"/>
                        <w:left w:val="none" w:sz="0" w:space="0" w:color="auto"/>
                        <w:bottom w:val="none" w:sz="0" w:space="0" w:color="auto"/>
                        <w:right w:val="none" w:sz="0" w:space="0" w:color="auto"/>
                      </w:divBdr>
                      <w:divsChild>
                        <w:div w:id="1606960554">
                          <w:marLeft w:val="0"/>
                          <w:marRight w:val="0"/>
                          <w:marTop w:val="0"/>
                          <w:marBottom w:val="0"/>
                          <w:divBdr>
                            <w:top w:val="none" w:sz="0" w:space="0" w:color="auto"/>
                            <w:left w:val="none" w:sz="0" w:space="0" w:color="auto"/>
                            <w:bottom w:val="none" w:sz="0" w:space="0" w:color="auto"/>
                            <w:right w:val="none" w:sz="0" w:space="0" w:color="auto"/>
                          </w:divBdr>
                          <w:divsChild>
                            <w:div w:id="1586260715">
                              <w:marLeft w:val="0"/>
                              <w:marRight w:val="0"/>
                              <w:marTop w:val="0"/>
                              <w:marBottom w:val="0"/>
                              <w:divBdr>
                                <w:top w:val="none" w:sz="0" w:space="0" w:color="auto"/>
                                <w:left w:val="none" w:sz="0" w:space="0" w:color="auto"/>
                                <w:bottom w:val="none" w:sz="0" w:space="0" w:color="auto"/>
                                <w:right w:val="none" w:sz="0" w:space="0" w:color="auto"/>
                              </w:divBdr>
                              <w:divsChild>
                                <w:div w:id="2003661951">
                                  <w:marLeft w:val="0"/>
                                  <w:marRight w:val="0"/>
                                  <w:marTop w:val="0"/>
                                  <w:marBottom w:val="0"/>
                                  <w:divBdr>
                                    <w:top w:val="none" w:sz="0" w:space="0" w:color="auto"/>
                                    <w:left w:val="none" w:sz="0" w:space="0" w:color="auto"/>
                                    <w:bottom w:val="none" w:sz="0" w:space="0" w:color="auto"/>
                                    <w:right w:val="none" w:sz="0" w:space="0" w:color="auto"/>
                                  </w:divBdr>
                                  <w:divsChild>
                                    <w:div w:id="253393111">
                                      <w:marLeft w:val="0"/>
                                      <w:marRight w:val="0"/>
                                      <w:marTop w:val="0"/>
                                      <w:marBottom w:val="0"/>
                                      <w:divBdr>
                                        <w:top w:val="none" w:sz="0" w:space="0" w:color="auto"/>
                                        <w:left w:val="none" w:sz="0" w:space="0" w:color="auto"/>
                                        <w:bottom w:val="none" w:sz="0" w:space="0" w:color="auto"/>
                                        <w:right w:val="none" w:sz="0" w:space="0" w:color="auto"/>
                                      </w:divBdr>
                                      <w:divsChild>
                                        <w:div w:id="99029434">
                                          <w:marLeft w:val="0"/>
                                          <w:marRight w:val="0"/>
                                          <w:marTop w:val="0"/>
                                          <w:marBottom w:val="0"/>
                                          <w:divBdr>
                                            <w:top w:val="none" w:sz="0" w:space="0" w:color="auto"/>
                                            <w:left w:val="none" w:sz="0" w:space="0" w:color="auto"/>
                                            <w:bottom w:val="none" w:sz="0" w:space="0" w:color="auto"/>
                                            <w:right w:val="none" w:sz="0" w:space="0" w:color="auto"/>
                                          </w:divBdr>
                                          <w:divsChild>
                                            <w:div w:id="1018853598">
                                              <w:marLeft w:val="0"/>
                                              <w:marRight w:val="0"/>
                                              <w:marTop w:val="0"/>
                                              <w:marBottom w:val="0"/>
                                              <w:divBdr>
                                                <w:top w:val="none" w:sz="0" w:space="0" w:color="auto"/>
                                                <w:left w:val="none" w:sz="0" w:space="0" w:color="auto"/>
                                                <w:bottom w:val="none" w:sz="0" w:space="0" w:color="auto"/>
                                                <w:right w:val="none" w:sz="0" w:space="0" w:color="auto"/>
                                              </w:divBdr>
                                            </w:div>
                                            <w:div w:id="438916802">
                                              <w:marLeft w:val="0"/>
                                              <w:marRight w:val="0"/>
                                              <w:marTop w:val="0"/>
                                              <w:marBottom w:val="0"/>
                                              <w:divBdr>
                                                <w:top w:val="none" w:sz="0" w:space="0" w:color="auto"/>
                                                <w:left w:val="none" w:sz="0" w:space="0" w:color="auto"/>
                                                <w:bottom w:val="none" w:sz="0" w:space="0" w:color="auto"/>
                                                <w:right w:val="none" w:sz="0" w:space="0" w:color="auto"/>
                                              </w:divBdr>
                                            </w:div>
                                            <w:div w:id="1627811919">
                                              <w:marLeft w:val="0"/>
                                              <w:marRight w:val="0"/>
                                              <w:marTop w:val="0"/>
                                              <w:marBottom w:val="0"/>
                                              <w:divBdr>
                                                <w:top w:val="none" w:sz="0" w:space="0" w:color="auto"/>
                                                <w:left w:val="none" w:sz="0" w:space="0" w:color="auto"/>
                                                <w:bottom w:val="none" w:sz="0" w:space="0" w:color="auto"/>
                                                <w:right w:val="none" w:sz="0" w:space="0" w:color="auto"/>
                                              </w:divBdr>
                                            </w:div>
                                            <w:div w:id="6860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199377">
      <w:bodyDiv w:val="1"/>
      <w:marLeft w:val="0"/>
      <w:marRight w:val="0"/>
      <w:marTop w:val="0"/>
      <w:marBottom w:val="0"/>
      <w:divBdr>
        <w:top w:val="none" w:sz="0" w:space="0" w:color="auto"/>
        <w:left w:val="none" w:sz="0" w:space="0" w:color="auto"/>
        <w:bottom w:val="none" w:sz="0" w:space="0" w:color="auto"/>
        <w:right w:val="none" w:sz="0" w:space="0" w:color="auto"/>
      </w:divBdr>
      <w:divsChild>
        <w:div w:id="92633180">
          <w:marLeft w:val="0"/>
          <w:marRight w:val="0"/>
          <w:marTop w:val="0"/>
          <w:marBottom w:val="0"/>
          <w:divBdr>
            <w:top w:val="none" w:sz="0" w:space="0" w:color="auto"/>
            <w:left w:val="none" w:sz="0" w:space="0" w:color="auto"/>
            <w:bottom w:val="none" w:sz="0" w:space="0" w:color="auto"/>
            <w:right w:val="none" w:sz="0" w:space="0" w:color="auto"/>
          </w:divBdr>
          <w:divsChild>
            <w:div w:id="660815373">
              <w:marLeft w:val="0"/>
              <w:marRight w:val="0"/>
              <w:marTop w:val="0"/>
              <w:marBottom w:val="0"/>
              <w:divBdr>
                <w:top w:val="none" w:sz="0" w:space="0" w:color="auto"/>
                <w:left w:val="none" w:sz="0" w:space="0" w:color="auto"/>
                <w:bottom w:val="none" w:sz="0" w:space="0" w:color="auto"/>
                <w:right w:val="none" w:sz="0" w:space="0" w:color="auto"/>
              </w:divBdr>
              <w:divsChild>
                <w:div w:id="340938688">
                  <w:marLeft w:val="0"/>
                  <w:marRight w:val="0"/>
                  <w:marTop w:val="0"/>
                  <w:marBottom w:val="0"/>
                  <w:divBdr>
                    <w:top w:val="none" w:sz="0" w:space="0" w:color="auto"/>
                    <w:left w:val="none" w:sz="0" w:space="0" w:color="auto"/>
                    <w:bottom w:val="none" w:sz="0" w:space="0" w:color="auto"/>
                    <w:right w:val="none" w:sz="0" w:space="0" w:color="auto"/>
                  </w:divBdr>
                  <w:divsChild>
                    <w:div w:id="659161425">
                      <w:marLeft w:val="0"/>
                      <w:marRight w:val="0"/>
                      <w:marTop w:val="0"/>
                      <w:marBottom w:val="0"/>
                      <w:divBdr>
                        <w:top w:val="none" w:sz="0" w:space="0" w:color="auto"/>
                        <w:left w:val="none" w:sz="0" w:space="0" w:color="auto"/>
                        <w:bottom w:val="none" w:sz="0" w:space="0" w:color="auto"/>
                        <w:right w:val="none" w:sz="0" w:space="0" w:color="auto"/>
                      </w:divBdr>
                      <w:divsChild>
                        <w:div w:id="721713849">
                          <w:marLeft w:val="0"/>
                          <w:marRight w:val="0"/>
                          <w:marTop w:val="0"/>
                          <w:marBottom w:val="0"/>
                          <w:divBdr>
                            <w:top w:val="none" w:sz="0" w:space="0" w:color="auto"/>
                            <w:left w:val="none" w:sz="0" w:space="0" w:color="auto"/>
                            <w:bottom w:val="none" w:sz="0" w:space="0" w:color="auto"/>
                            <w:right w:val="none" w:sz="0" w:space="0" w:color="auto"/>
                          </w:divBdr>
                          <w:divsChild>
                            <w:div w:id="1094785597">
                              <w:marLeft w:val="0"/>
                              <w:marRight w:val="0"/>
                              <w:marTop w:val="0"/>
                              <w:marBottom w:val="0"/>
                              <w:divBdr>
                                <w:top w:val="none" w:sz="0" w:space="0" w:color="auto"/>
                                <w:left w:val="none" w:sz="0" w:space="0" w:color="auto"/>
                                <w:bottom w:val="none" w:sz="0" w:space="0" w:color="auto"/>
                                <w:right w:val="none" w:sz="0" w:space="0" w:color="auto"/>
                              </w:divBdr>
                              <w:divsChild>
                                <w:div w:id="901063954">
                                  <w:marLeft w:val="0"/>
                                  <w:marRight w:val="0"/>
                                  <w:marTop w:val="0"/>
                                  <w:marBottom w:val="0"/>
                                  <w:divBdr>
                                    <w:top w:val="none" w:sz="0" w:space="0" w:color="auto"/>
                                    <w:left w:val="none" w:sz="0" w:space="0" w:color="auto"/>
                                    <w:bottom w:val="none" w:sz="0" w:space="0" w:color="auto"/>
                                    <w:right w:val="none" w:sz="0" w:space="0" w:color="auto"/>
                                  </w:divBdr>
                                  <w:divsChild>
                                    <w:div w:id="1642806204">
                                      <w:marLeft w:val="0"/>
                                      <w:marRight w:val="0"/>
                                      <w:marTop w:val="0"/>
                                      <w:marBottom w:val="0"/>
                                      <w:divBdr>
                                        <w:top w:val="none" w:sz="0" w:space="0" w:color="auto"/>
                                        <w:left w:val="none" w:sz="0" w:space="0" w:color="auto"/>
                                        <w:bottom w:val="none" w:sz="0" w:space="0" w:color="auto"/>
                                        <w:right w:val="none" w:sz="0" w:space="0" w:color="auto"/>
                                      </w:divBdr>
                                      <w:divsChild>
                                        <w:div w:id="517742750">
                                          <w:marLeft w:val="0"/>
                                          <w:marRight w:val="0"/>
                                          <w:marTop w:val="0"/>
                                          <w:marBottom w:val="0"/>
                                          <w:divBdr>
                                            <w:top w:val="none" w:sz="0" w:space="0" w:color="auto"/>
                                            <w:left w:val="none" w:sz="0" w:space="0" w:color="auto"/>
                                            <w:bottom w:val="none" w:sz="0" w:space="0" w:color="auto"/>
                                            <w:right w:val="none" w:sz="0" w:space="0" w:color="auto"/>
                                          </w:divBdr>
                                          <w:divsChild>
                                            <w:div w:id="302587503">
                                              <w:marLeft w:val="0"/>
                                              <w:marRight w:val="0"/>
                                              <w:marTop w:val="0"/>
                                              <w:marBottom w:val="0"/>
                                              <w:divBdr>
                                                <w:top w:val="none" w:sz="0" w:space="0" w:color="auto"/>
                                                <w:left w:val="none" w:sz="0" w:space="0" w:color="auto"/>
                                                <w:bottom w:val="none" w:sz="0" w:space="0" w:color="auto"/>
                                                <w:right w:val="none" w:sz="0" w:space="0" w:color="auto"/>
                                              </w:divBdr>
                                              <w:divsChild>
                                                <w:div w:id="1166096865">
                                                  <w:marLeft w:val="0"/>
                                                  <w:marRight w:val="0"/>
                                                  <w:marTop w:val="0"/>
                                                  <w:marBottom w:val="0"/>
                                                  <w:divBdr>
                                                    <w:top w:val="none" w:sz="0" w:space="0" w:color="auto"/>
                                                    <w:left w:val="none" w:sz="0" w:space="0" w:color="auto"/>
                                                    <w:bottom w:val="none" w:sz="0" w:space="0" w:color="auto"/>
                                                    <w:right w:val="none" w:sz="0" w:space="0" w:color="auto"/>
                                                  </w:divBdr>
                                                  <w:divsChild>
                                                    <w:div w:id="1159811576">
                                                      <w:marLeft w:val="0"/>
                                                      <w:marRight w:val="0"/>
                                                      <w:marTop w:val="0"/>
                                                      <w:marBottom w:val="0"/>
                                                      <w:divBdr>
                                                        <w:top w:val="none" w:sz="0" w:space="0" w:color="auto"/>
                                                        <w:left w:val="none" w:sz="0" w:space="0" w:color="auto"/>
                                                        <w:bottom w:val="none" w:sz="0" w:space="0" w:color="auto"/>
                                                        <w:right w:val="none" w:sz="0" w:space="0" w:color="auto"/>
                                                      </w:divBdr>
                                                      <w:divsChild>
                                                        <w:div w:id="19128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4235144">
      <w:bodyDiv w:val="1"/>
      <w:marLeft w:val="0"/>
      <w:marRight w:val="0"/>
      <w:marTop w:val="0"/>
      <w:marBottom w:val="0"/>
      <w:divBdr>
        <w:top w:val="none" w:sz="0" w:space="0" w:color="auto"/>
        <w:left w:val="none" w:sz="0" w:space="0" w:color="auto"/>
        <w:bottom w:val="none" w:sz="0" w:space="0" w:color="auto"/>
        <w:right w:val="none" w:sz="0" w:space="0" w:color="auto"/>
      </w:divBdr>
      <w:divsChild>
        <w:div w:id="1305430799">
          <w:marLeft w:val="0"/>
          <w:marRight w:val="0"/>
          <w:marTop w:val="0"/>
          <w:marBottom w:val="0"/>
          <w:divBdr>
            <w:top w:val="single" w:sz="6" w:space="0" w:color="0E477A"/>
            <w:left w:val="single" w:sz="6" w:space="0" w:color="0E477A"/>
            <w:bottom w:val="single" w:sz="6" w:space="0" w:color="0E477A"/>
            <w:right w:val="single" w:sz="6" w:space="0" w:color="0E477A"/>
          </w:divBdr>
          <w:divsChild>
            <w:div w:id="1596085379">
              <w:marLeft w:val="2925"/>
              <w:marRight w:val="0"/>
              <w:marTop w:val="0"/>
              <w:marBottom w:val="0"/>
              <w:divBdr>
                <w:top w:val="none" w:sz="0" w:space="0" w:color="auto"/>
                <w:left w:val="none" w:sz="0" w:space="0" w:color="auto"/>
                <w:bottom w:val="none" w:sz="0" w:space="0" w:color="auto"/>
                <w:right w:val="none" w:sz="0" w:space="0" w:color="auto"/>
              </w:divBdr>
              <w:divsChild>
                <w:div w:id="519665575">
                  <w:marLeft w:val="0"/>
                  <w:marRight w:val="0"/>
                  <w:marTop w:val="0"/>
                  <w:marBottom w:val="0"/>
                  <w:divBdr>
                    <w:top w:val="none" w:sz="0" w:space="0" w:color="auto"/>
                    <w:left w:val="none" w:sz="0" w:space="0" w:color="auto"/>
                    <w:bottom w:val="none" w:sz="0" w:space="0" w:color="auto"/>
                    <w:right w:val="none" w:sz="0" w:space="0" w:color="auto"/>
                  </w:divBdr>
                  <w:divsChild>
                    <w:div w:id="744884092">
                      <w:marLeft w:val="0"/>
                      <w:marRight w:val="150"/>
                      <w:marTop w:val="0"/>
                      <w:marBottom w:val="0"/>
                      <w:divBdr>
                        <w:top w:val="single" w:sz="6" w:space="0" w:color="CCCCCC"/>
                        <w:left w:val="single" w:sz="6" w:space="8" w:color="CCCCCC"/>
                        <w:bottom w:val="single" w:sz="6" w:space="8" w:color="CCCCCC"/>
                        <w:right w:val="single" w:sz="6" w:space="8" w:color="CCCCCC"/>
                      </w:divBdr>
                      <w:divsChild>
                        <w:div w:id="129596966">
                          <w:marLeft w:val="0"/>
                          <w:marRight w:val="0"/>
                          <w:marTop w:val="0"/>
                          <w:marBottom w:val="0"/>
                          <w:divBdr>
                            <w:top w:val="none" w:sz="0" w:space="0" w:color="auto"/>
                            <w:left w:val="none" w:sz="0" w:space="0" w:color="auto"/>
                            <w:bottom w:val="none" w:sz="0" w:space="0" w:color="auto"/>
                            <w:right w:val="none" w:sz="0" w:space="0" w:color="auto"/>
                          </w:divBdr>
                        </w:div>
                        <w:div w:id="751632490">
                          <w:marLeft w:val="0"/>
                          <w:marRight w:val="0"/>
                          <w:marTop w:val="0"/>
                          <w:marBottom w:val="0"/>
                          <w:divBdr>
                            <w:top w:val="none" w:sz="0" w:space="0" w:color="auto"/>
                            <w:left w:val="none" w:sz="0" w:space="0" w:color="auto"/>
                            <w:bottom w:val="none" w:sz="0" w:space="0" w:color="auto"/>
                            <w:right w:val="none" w:sz="0" w:space="0" w:color="auto"/>
                          </w:divBdr>
                        </w:div>
                        <w:div w:id="2091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349335">
      <w:bodyDiv w:val="1"/>
      <w:marLeft w:val="0"/>
      <w:marRight w:val="0"/>
      <w:marTop w:val="0"/>
      <w:marBottom w:val="0"/>
      <w:divBdr>
        <w:top w:val="none" w:sz="0" w:space="0" w:color="auto"/>
        <w:left w:val="none" w:sz="0" w:space="0" w:color="auto"/>
        <w:bottom w:val="none" w:sz="0" w:space="0" w:color="auto"/>
        <w:right w:val="none" w:sz="0" w:space="0" w:color="auto"/>
      </w:divBdr>
      <w:divsChild>
        <w:div w:id="1986662882">
          <w:marLeft w:val="0"/>
          <w:marRight w:val="0"/>
          <w:marTop w:val="150"/>
          <w:marBottom w:val="0"/>
          <w:divBdr>
            <w:top w:val="none" w:sz="0" w:space="0" w:color="auto"/>
            <w:left w:val="none" w:sz="0" w:space="0" w:color="auto"/>
            <w:bottom w:val="none" w:sz="0" w:space="0" w:color="auto"/>
            <w:right w:val="none" w:sz="0" w:space="0" w:color="auto"/>
          </w:divBdr>
          <w:divsChild>
            <w:div w:id="1515071183">
              <w:marLeft w:val="2"/>
              <w:marRight w:val="2"/>
              <w:marTop w:val="0"/>
              <w:marBottom w:val="0"/>
              <w:divBdr>
                <w:top w:val="none" w:sz="0" w:space="0" w:color="auto"/>
                <w:left w:val="none" w:sz="0" w:space="0" w:color="auto"/>
                <w:bottom w:val="none" w:sz="0" w:space="0" w:color="auto"/>
                <w:right w:val="none" w:sz="0" w:space="0" w:color="auto"/>
              </w:divBdr>
              <w:divsChild>
                <w:div w:id="1112482677">
                  <w:marLeft w:val="0"/>
                  <w:marRight w:val="0"/>
                  <w:marTop w:val="0"/>
                  <w:marBottom w:val="0"/>
                  <w:divBdr>
                    <w:top w:val="none" w:sz="0" w:space="0" w:color="auto"/>
                    <w:left w:val="none" w:sz="0" w:space="0" w:color="auto"/>
                    <w:bottom w:val="none" w:sz="0" w:space="0" w:color="auto"/>
                    <w:right w:val="none" w:sz="0" w:space="0" w:color="auto"/>
                  </w:divBdr>
                  <w:divsChild>
                    <w:div w:id="1367222353">
                      <w:marLeft w:val="0"/>
                      <w:marRight w:val="0"/>
                      <w:marTop w:val="0"/>
                      <w:marBottom w:val="0"/>
                      <w:divBdr>
                        <w:top w:val="none" w:sz="0" w:space="0" w:color="auto"/>
                        <w:left w:val="none" w:sz="0" w:space="0" w:color="auto"/>
                        <w:bottom w:val="none" w:sz="0" w:space="0" w:color="auto"/>
                        <w:right w:val="none" w:sz="0" w:space="0" w:color="auto"/>
                      </w:divBdr>
                      <w:divsChild>
                        <w:div w:id="2090152659">
                          <w:marLeft w:val="0"/>
                          <w:marRight w:val="0"/>
                          <w:marTop w:val="0"/>
                          <w:marBottom w:val="0"/>
                          <w:divBdr>
                            <w:top w:val="none" w:sz="0" w:space="0" w:color="auto"/>
                            <w:left w:val="none" w:sz="0" w:space="0" w:color="auto"/>
                            <w:bottom w:val="none" w:sz="0" w:space="0" w:color="auto"/>
                            <w:right w:val="none" w:sz="0" w:space="0" w:color="auto"/>
                          </w:divBdr>
                          <w:divsChild>
                            <w:div w:id="342318660">
                              <w:marLeft w:val="0"/>
                              <w:marRight w:val="0"/>
                              <w:marTop w:val="0"/>
                              <w:marBottom w:val="0"/>
                              <w:divBdr>
                                <w:top w:val="none" w:sz="0" w:space="0" w:color="auto"/>
                                <w:left w:val="none" w:sz="0" w:space="0" w:color="auto"/>
                                <w:bottom w:val="none" w:sz="0" w:space="0" w:color="auto"/>
                                <w:right w:val="none" w:sz="0" w:space="0" w:color="auto"/>
                              </w:divBdr>
                              <w:divsChild>
                                <w:div w:id="1297374919">
                                  <w:marLeft w:val="0"/>
                                  <w:marRight w:val="0"/>
                                  <w:marTop w:val="0"/>
                                  <w:marBottom w:val="0"/>
                                  <w:divBdr>
                                    <w:top w:val="none" w:sz="0" w:space="0" w:color="auto"/>
                                    <w:left w:val="none" w:sz="0" w:space="0" w:color="auto"/>
                                    <w:bottom w:val="none" w:sz="0" w:space="0" w:color="auto"/>
                                    <w:right w:val="none" w:sz="0" w:space="0" w:color="auto"/>
                                  </w:divBdr>
                                  <w:divsChild>
                                    <w:div w:id="761340015">
                                      <w:marLeft w:val="0"/>
                                      <w:marRight w:val="0"/>
                                      <w:marTop w:val="0"/>
                                      <w:marBottom w:val="0"/>
                                      <w:divBdr>
                                        <w:top w:val="none" w:sz="0" w:space="0" w:color="auto"/>
                                        <w:left w:val="none" w:sz="0" w:space="0" w:color="auto"/>
                                        <w:bottom w:val="none" w:sz="0" w:space="0" w:color="auto"/>
                                        <w:right w:val="none" w:sz="0" w:space="0" w:color="auto"/>
                                      </w:divBdr>
                                      <w:divsChild>
                                        <w:div w:id="437452871">
                                          <w:marLeft w:val="0"/>
                                          <w:marRight w:val="0"/>
                                          <w:marTop w:val="0"/>
                                          <w:marBottom w:val="0"/>
                                          <w:divBdr>
                                            <w:top w:val="none" w:sz="0" w:space="0" w:color="auto"/>
                                            <w:left w:val="none" w:sz="0" w:space="0" w:color="auto"/>
                                            <w:bottom w:val="none" w:sz="0" w:space="0" w:color="auto"/>
                                            <w:right w:val="none" w:sz="0" w:space="0" w:color="auto"/>
                                          </w:divBdr>
                                          <w:divsChild>
                                            <w:div w:id="767390538">
                                              <w:marLeft w:val="0"/>
                                              <w:marRight w:val="0"/>
                                              <w:marTop w:val="0"/>
                                              <w:marBottom w:val="0"/>
                                              <w:divBdr>
                                                <w:top w:val="none" w:sz="0" w:space="0" w:color="auto"/>
                                                <w:left w:val="none" w:sz="0" w:space="0" w:color="auto"/>
                                                <w:bottom w:val="none" w:sz="0" w:space="0" w:color="auto"/>
                                                <w:right w:val="none" w:sz="0" w:space="0" w:color="auto"/>
                                              </w:divBdr>
                                              <w:divsChild>
                                                <w:div w:id="1357654410">
                                                  <w:marLeft w:val="0"/>
                                                  <w:marRight w:val="0"/>
                                                  <w:marTop w:val="0"/>
                                                  <w:marBottom w:val="0"/>
                                                  <w:divBdr>
                                                    <w:top w:val="none" w:sz="0" w:space="0" w:color="auto"/>
                                                    <w:left w:val="none" w:sz="0" w:space="0" w:color="auto"/>
                                                    <w:bottom w:val="none" w:sz="0" w:space="0" w:color="auto"/>
                                                    <w:right w:val="none" w:sz="0" w:space="0" w:color="auto"/>
                                                  </w:divBdr>
                                                </w:div>
                                              </w:divsChild>
                                            </w:div>
                                            <w:div w:id="1412890924">
                                              <w:marLeft w:val="0"/>
                                              <w:marRight w:val="0"/>
                                              <w:marTop w:val="0"/>
                                              <w:marBottom w:val="0"/>
                                              <w:divBdr>
                                                <w:top w:val="none" w:sz="0" w:space="0" w:color="auto"/>
                                                <w:left w:val="none" w:sz="0" w:space="0" w:color="auto"/>
                                                <w:bottom w:val="none" w:sz="0" w:space="0" w:color="auto"/>
                                                <w:right w:val="none" w:sz="0" w:space="0" w:color="auto"/>
                                              </w:divBdr>
                                              <w:divsChild>
                                                <w:div w:id="2026128531">
                                                  <w:marLeft w:val="0"/>
                                                  <w:marRight w:val="0"/>
                                                  <w:marTop w:val="0"/>
                                                  <w:marBottom w:val="0"/>
                                                  <w:divBdr>
                                                    <w:top w:val="none" w:sz="0" w:space="0" w:color="auto"/>
                                                    <w:left w:val="none" w:sz="0" w:space="0" w:color="auto"/>
                                                    <w:bottom w:val="none" w:sz="0" w:space="0" w:color="auto"/>
                                                    <w:right w:val="none" w:sz="0" w:space="0" w:color="auto"/>
                                                  </w:divBdr>
                                                </w:div>
                                              </w:divsChild>
                                            </w:div>
                                            <w:div w:id="312224794">
                                              <w:marLeft w:val="0"/>
                                              <w:marRight w:val="0"/>
                                              <w:marTop w:val="0"/>
                                              <w:marBottom w:val="0"/>
                                              <w:divBdr>
                                                <w:top w:val="none" w:sz="0" w:space="0" w:color="auto"/>
                                                <w:left w:val="none" w:sz="0" w:space="0" w:color="auto"/>
                                                <w:bottom w:val="none" w:sz="0" w:space="0" w:color="auto"/>
                                                <w:right w:val="none" w:sz="0" w:space="0" w:color="auto"/>
                                              </w:divBdr>
                                              <w:divsChild>
                                                <w:div w:id="257562766">
                                                  <w:marLeft w:val="0"/>
                                                  <w:marRight w:val="0"/>
                                                  <w:marTop w:val="0"/>
                                                  <w:marBottom w:val="0"/>
                                                  <w:divBdr>
                                                    <w:top w:val="none" w:sz="0" w:space="0" w:color="auto"/>
                                                    <w:left w:val="none" w:sz="0" w:space="0" w:color="auto"/>
                                                    <w:bottom w:val="none" w:sz="0" w:space="0" w:color="auto"/>
                                                    <w:right w:val="none" w:sz="0" w:space="0" w:color="auto"/>
                                                  </w:divBdr>
                                                </w:div>
                                              </w:divsChild>
                                            </w:div>
                                            <w:div w:id="1057782500">
                                              <w:marLeft w:val="0"/>
                                              <w:marRight w:val="0"/>
                                              <w:marTop w:val="0"/>
                                              <w:marBottom w:val="0"/>
                                              <w:divBdr>
                                                <w:top w:val="none" w:sz="0" w:space="0" w:color="auto"/>
                                                <w:left w:val="none" w:sz="0" w:space="0" w:color="auto"/>
                                                <w:bottom w:val="none" w:sz="0" w:space="0" w:color="auto"/>
                                                <w:right w:val="none" w:sz="0" w:space="0" w:color="auto"/>
                                              </w:divBdr>
                                              <w:divsChild>
                                                <w:div w:id="581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245517">
      <w:bodyDiv w:val="1"/>
      <w:marLeft w:val="0"/>
      <w:marRight w:val="0"/>
      <w:marTop w:val="0"/>
      <w:marBottom w:val="0"/>
      <w:divBdr>
        <w:top w:val="none" w:sz="0" w:space="0" w:color="auto"/>
        <w:left w:val="none" w:sz="0" w:space="0" w:color="auto"/>
        <w:bottom w:val="none" w:sz="0" w:space="0" w:color="auto"/>
        <w:right w:val="none" w:sz="0" w:space="0" w:color="auto"/>
      </w:divBdr>
      <w:divsChild>
        <w:div w:id="651367906">
          <w:marLeft w:val="0"/>
          <w:marRight w:val="0"/>
          <w:marTop w:val="0"/>
          <w:marBottom w:val="0"/>
          <w:divBdr>
            <w:top w:val="none" w:sz="0" w:space="0" w:color="auto"/>
            <w:left w:val="none" w:sz="0" w:space="0" w:color="auto"/>
            <w:bottom w:val="none" w:sz="0" w:space="0" w:color="auto"/>
            <w:right w:val="none" w:sz="0" w:space="0" w:color="auto"/>
          </w:divBdr>
          <w:divsChild>
            <w:div w:id="1993212932">
              <w:marLeft w:val="0"/>
              <w:marRight w:val="0"/>
              <w:marTop w:val="0"/>
              <w:marBottom w:val="0"/>
              <w:divBdr>
                <w:top w:val="none" w:sz="0" w:space="0" w:color="auto"/>
                <w:left w:val="none" w:sz="0" w:space="0" w:color="auto"/>
                <w:bottom w:val="none" w:sz="0" w:space="0" w:color="auto"/>
                <w:right w:val="none" w:sz="0" w:space="0" w:color="auto"/>
              </w:divBdr>
              <w:divsChild>
                <w:div w:id="403914339">
                  <w:marLeft w:val="0"/>
                  <w:marRight w:val="0"/>
                  <w:marTop w:val="0"/>
                  <w:marBottom w:val="0"/>
                  <w:divBdr>
                    <w:top w:val="none" w:sz="0" w:space="0" w:color="auto"/>
                    <w:left w:val="none" w:sz="0" w:space="0" w:color="auto"/>
                    <w:bottom w:val="none" w:sz="0" w:space="0" w:color="auto"/>
                    <w:right w:val="none" w:sz="0" w:space="0" w:color="auto"/>
                  </w:divBdr>
                  <w:divsChild>
                    <w:div w:id="961769620">
                      <w:marLeft w:val="0"/>
                      <w:marRight w:val="0"/>
                      <w:marTop w:val="0"/>
                      <w:marBottom w:val="0"/>
                      <w:divBdr>
                        <w:top w:val="none" w:sz="0" w:space="0" w:color="auto"/>
                        <w:left w:val="none" w:sz="0" w:space="0" w:color="auto"/>
                        <w:bottom w:val="none" w:sz="0" w:space="0" w:color="auto"/>
                        <w:right w:val="none" w:sz="0" w:space="0" w:color="auto"/>
                      </w:divBdr>
                      <w:divsChild>
                        <w:div w:id="1998025964">
                          <w:marLeft w:val="0"/>
                          <w:marRight w:val="0"/>
                          <w:marTop w:val="0"/>
                          <w:marBottom w:val="0"/>
                          <w:divBdr>
                            <w:top w:val="none" w:sz="0" w:space="0" w:color="auto"/>
                            <w:left w:val="none" w:sz="0" w:space="0" w:color="auto"/>
                            <w:bottom w:val="none" w:sz="0" w:space="0" w:color="auto"/>
                            <w:right w:val="none" w:sz="0" w:space="0" w:color="auto"/>
                          </w:divBdr>
                          <w:divsChild>
                            <w:div w:id="16083571">
                              <w:marLeft w:val="0"/>
                              <w:marRight w:val="0"/>
                              <w:marTop w:val="0"/>
                              <w:marBottom w:val="0"/>
                              <w:divBdr>
                                <w:top w:val="none" w:sz="0" w:space="0" w:color="auto"/>
                                <w:left w:val="none" w:sz="0" w:space="0" w:color="auto"/>
                                <w:bottom w:val="none" w:sz="0" w:space="0" w:color="auto"/>
                                <w:right w:val="none" w:sz="0" w:space="0" w:color="auto"/>
                              </w:divBdr>
                              <w:divsChild>
                                <w:div w:id="843713313">
                                  <w:marLeft w:val="0"/>
                                  <w:marRight w:val="0"/>
                                  <w:marTop w:val="0"/>
                                  <w:marBottom w:val="0"/>
                                  <w:divBdr>
                                    <w:top w:val="none" w:sz="0" w:space="0" w:color="auto"/>
                                    <w:left w:val="none" w:sz="0" w:space="0" w:color="auto"/>
                                    <w:bottom w:val="none" w:sz="0" w:space="0" w:color="auto"/>
                                    <w:right w:val="none" w:sz="0" w:space="0" w:color="auto"/>
                                  </w:divBdr>
                                  <w:divsChild>
                                    <w:div w:id="1019114979">
                                      <w:marLeft w:val="0"/>
                                      <w:marRight w:val="0"/>
                                      <w:marTop w:val="0"/>
                                      <w:marBottom w:val="0"/>
                                      <w:divBdr>
                                        <w:top w:val="none" w:sz="0" w:space="0" w:color="auto"/>
                                        <w:left w:val="none" w:sz="0" w:space="0" w:color="auto"/>
                                        <w:bottom w:val="none" w:sz="0" w:space="0" w:color="auto"/>
                                        <w:right w:val="none" w:sz="0" w:space="0" w:color="auto"/>
                                      </w:divBdr>
                                      <w:divsChild>
                                        <w:div w:id="42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865392">
      <w:bodyDiv w:val="1"/>
      <w:marLeft w:val="0"/>
      <w:marRight w:val="0"/>
      <w:marTop w:val="0"/>
      <w:marBottom w:val="0"/>
      <w:divBdr>
        <w:top w:val="none" w:sz="0" w:space="0" w:color="auto"/>
        <w:left w:val="none" w:sz="0" w:space="0" w:color="auto"/>
        <w:bottom w:val="none" w:sz="0" w:space="0" w:color="auto"/>
        <w:right w:val="none" w:sz="0" w:space="0" w:color="auto"/>
      </w:divBdr>
    </w:div>
    <w:div w:id="379866803">
      <w:bodyDiv w:val="1"/>
      <w:marLeft w:val="0"/>
      <w:marRight w:val="0"/>
      <w:marTop w:val="0"/>
      <w:marBottom w:val="0"/>
      <w:divBdr>
        <w:top w:val="none" w:sz="0" w:space="0" w:color="auto"/>
        <w:left w:val="none" w:sz="0" w:space="0" w:color="auto"/>
        <w:bottom w:val="none" w:sz="0" w:space="0" w:color="auto"/>
        <w:right w:val="none" w:sz="0" w:space="0" w:color="auto"/>
      </w:divBdr>
      <w:divsChild>
        <w:div w:id="1305699946">
          <w:marLeft w:val="0"/>
          <w:marRight w:val="0"/>
          <w:marTop w:val="0"/>
          <w:marBottom w:val="0"/>
          <w:divBdr>
            <w:top w:val="none" w:sz="0" w:space="0" w:color="auto"/>
            <w:left w:val="none" w:sz="0" w:space="0" w:color="auto"/>
            <w:bottom w:val="none" w:sz="0" w:space="0" w:color="auto"/>
            <w:right w:val="none" w:sz="0" w:space="0" w:color="auto"/>
          </w:divBdr>
          <w:divsChild>
            <w:div w:id="1717468975">
              <w:marLeft w:val="0"/>
              <w:marRight w:val="0"/>
              <w:marTop w:val="0"/>
              <w:marBottom w:val="0"/>
              <w:divBdr>
                <w:top w:val="none" w:sz="0" w:space="0" w:color="auto"/>
                <w:left w:val="none" w:sz="0" w:space="0" w:color="auto"/>
                <w:bottom w:val="none" w:sz="0" w:space="0" w:color="auto"/>
                <w:right w:val="none" w:sz="0" w:space="0" w:color="auto"/>
              </w:divBdr>
              <w:divsChild>
                <w:div w:id="1283919942">
                  <w:marLeft w:val="300"/>
                  <w:marRight w:val="300"/>
                  <w:marTop w:val="330"/>
                  <w:marBottom w:val="0"/>
                  <w:divBdr>
                    <w:top w:val="none" w:sz="0" w:space="0" w:color="auto"/>
                    <w:left w:val="none" w:sz="0" w:space="0" w:color="auto"/>
                    <w:bottom w:val="none" w:sz="0" w:space="0" w:color="auto"/>
                    <w:right w:val="none" w:sz="0" w:space="0" w:color="auto"/>
                  </w:divBdr>
                  <w:divsChild>
                    <w:div w:id="573978883">
                      <w:marLeft w:val="0"/>
                      <w:marRight w:val="0"/>
                      <w:marTop w:val="0"/>
                      <w:marBottom w:val="0"/>
                      <w:divBdr>
                        <w:top w:val="none" w:sz="0" w:space="0" w:color="auto"/>
                        <w:left w:val="none" w:sz="0" w:space="0" w:color="auto"/>
                        <w:bottom w:val="none" w:sz="0" w:space="0" w:color="auto"/>
                        <w:right w:val="none" w:sz="0" w:space="0" w:color="auto"/>
                      </w:divBdr>
                    </w:div>
                    <w:div w:id="13825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50890">
      <w:bodyDiv w:val="1"/>
      <w:marLeft w:val="0"/>
      <w:marRight w:val="0"/>
      <w:marTop w:val="0"/>
      <w:marBottom w:val="0"/>
      <w:divBdr>
        <w:top w:val="none" w:sz="0" w:space="0" w:color="auto"/>
        <w:left w:val="none" w:sz="0" w:space="0" w:color="auto"/>
        <w:bottom w:val="none" w:sz="0" w:space="0" w:color="auto"/>
        <w:right w:val="none" w:sz="0" w:space="0" w:color="auto"/>
      </w:divBdr>
      <w:divsChild>
        <w:div w:id="1628242387">
          <w:marLeft w:val="0"/>
          <w:marRight w:val="0"/>
          <w:marTop w:val="0"/>
          <w:marBottom w:val="0"/>
          <w:divBdr>
            <w:top w:val="none" w:sz="0" w:space="0" w:color="auto"/>
            <w:left w:val="none" w:sz="0" w:space="0" w:color="auto"/>
            <w:bottom w:val="none" w:sz="0" w:space="0" w:color="auto"/>
            <w:right w:val="none" w:sz="0" w:space="0" w:color="auto"/>
          </w:divBdr>
          <w:divsChild>
            <w:div w:id="1733886201">
              <w:marLeft w:val="0"/>
              <w:marRight w:val="0"/>
              <w:marTop w:val="0"/>
              <w:marBottom w:val="0"/>
              <w:divBdr>
                <w:top w:val="none" w:sz="0" w:space="0" w:color="auto"/>
                <w:left w:val="none" w:sz="0" w:space="0" w:color="auto"/>
                <w:bottom w:val="none" w:sz="0" w:space="0" w:color="auto"/>
                <w:right w:val="none" w:sz="0" w:space="0" w:color="auto"/>
              </w:divBdr>
              <w:divsChild>
                <w:div w:id="772827106">
                  <w:marLeft w:val="0"/>
                  <w:marRight w:val="0"/>
                  <w:marTop w:val="0"/>
                  <w:marBottom w:val="0"/>
                  <w:divBdr>
                    <w:top w:val="none" w:sz="0" w:space="0" w:color="auto"/>
                    <w:left w:val="none" w:sz="0" w:space="0" w:color="auto"/>
                    <w:bottom w:val="none" w:sz="0" w:space="0" w:color="auto"/>
                    <w:right w:val="none" w:sz="0" w:space="0" w:color="auto"/>
                  </w:divBdr>
                  <w:divsChild>
                    <w:div w:id="1179463521">
                      <w:marLeft w:val="0"/>
                      <w:marRight w:val="0"/>
                      <w:marTop w:val="0"/>
                      <w:marBottom w:val="0"/>
                      <w:divBdr>
                        <w:top w:val="none" w:sz="0" w:space="0" w:color="auto"/>
                        <w:left w:val="none" w:sz="0" w:space="0" w:color="auto"/>
                        <w:bottom w:val="none" w:sz="0" w:space="0" w:color="auto"/>
                        <w:right w:val="none" w:sz="0" w:space="0" w:color="auto"/>
                      </w:divBdr>
                      <w:divsChild>
                        <w:div w:id="1216503610">
                          <w:marLeft w:val="0"/>
                          <w:marRight w:val="0"/>
                          <w:marTop w:val="0"/>
                          <w:marBottom w:val="0"/>
                          <w:divBdr>
                            <w:top w:val="none" w:sz="0" w:space="0" w:color="auto"/>
                            <w:left w:val="none" w:sz="0" w:space="0" w:color="auto"/>
                            <w:bottom w:val="none" w:sz="0" w:space="0" w:color="auto"/>
                            <w:right w:val="none" w:sz="0" w:space="0" w:color="auto"/>
                          </w:divBdr>
                          <w:divsChild>
                            <w:div w:id="1009405816">
                              <w:marLeft w:val="0"/>
                              <w:marRight w:val="0"/>
                              <w:marTop w:val="0"/>
                              <w:marBottom w:val="0"/>
                              <w:divBdr>
                                <w:top w:val="none" w:sz="0" w:space="0" w:color="auto"/>
                                <w:left w:val="none" w:sz="0" w:space="0" w:color="auto"/>
                                <w:bottom w:val="none" w:sz="0" w:space="0" w:color="auto"/>
                                <w:right w:val="none" w:sz="0" w:space="0" w:color="auto"/>
                              </w:divBdr>
                              <w:divsChild>
                                <w:div w:id="361900890">
                                  <w:marLeft w:val="0"/>
                                  <w:marRight w:val="0"/>
                                  <w:marTop w:val="0"/>
                                  <w:marBottom w:val="0"/>
                                  <w:divBdr>
                                    <w:top w:val="none" w:sz="0" w:space="0" w:color="auto"/>
                                    <w:left w:val="none" w:sz="0" w:space="0" w:color="auto"/>
                                    <w:bottom w:val="none" w:sz="0" w:space="0" w:color="auto"/>
                                    <w:right w:val="none" w:sz="0" w:space="0" w:color="auto"/>
                                  </w:divBdr>
                                  <w:divsChild>
                                    <w:div w:id="140119295">
                                      <w:marLeft w:val="0"/>
                                      <w:marRight w:val="0"/>
                                      <w:marTop w:val="0"/>
                                      <w:marBottom w:val="0"/>
                                      <w:divBdr>
                                        <w:top w:val="none" w:sz="0" w:space="0" w:color="auto"/>
                                        <w:left w:val="none" w:sz="0" w:space="0" w:color="auto"/>
                                        <w:bottom w:val="none" w:sz="0" w:space="0" w:color="auto"/>
                                        <w:right w:val="none" w:sz="0" w:space="0" w:color="auto"/>
                                      </w:divBdr>
                                      <w:divsChild>
                                        <w:div w:id="77599245">
                                          <w:marLeft w:val="0"/>
                                          <w:marRight w:val="0"/>
                                          <w:marTop w:val="0"/>
                                          <w:marBottom w:val="0"/>
                                          <w:divBdr>
                                            <w:top w:val="none" w:sz="0" w:space="0" w:color="auto"/>
                                            <w:left w:val="none" w:sz="0" w:space="0" w:color="auto"/>
                                            <w:bottom w:val="none" w:sz="0" w:space="0" w:color="auto"/>
                                            <w:right w:val="none" w:sz="0" w:space="0" w:color="auto"/>
                                          </w:divBdr>
                                          <w:divsChild>
                                            <w:div w:id="1006401361">
                                              <w:marLeft w:val="0"/>
                                              <w:marRight w:val="0"/>
                                              <w:marTop w:val="0"/>
                                              <w:marBottom w:val="0"/>
                                              <w:divBdr>
                                                <w:top w:val="none" w:sz="0" w:space="0" w:color="auto"/>
                                                <w:left w:val="none" w:sz="0" w:space="0" w:color="auto"/>
                                                <w:bottom w:val="none" w:sz="0" w:space="0" w:color="auto"/>
                                                <w:right w:val="none" w:sz="0" w:space="0" w:color="auto"/>
                                              </w:divBdr>
                                              <w:divsChild>
                                                <w:div w:id="1021275989">
                                                  <w:marLeft w:val="0"/>
                                                  <w:marRight w:val="0"/>
                                                  <w:marTop w:val="0"/>
                                                  <w:marBottom w:val="0"/>
                                                  <w:divBdr>
                                                    <w:top w:val="none" w:sz="0" w:space="0" w:color="auto"/>
                                                    <w:left w:val="none" w:sz="0" w:space="0" w:color="auto"/>
                                                    <w:bottom w:val="none" w:sz="0" w:space="0" w:color="auto"/>
                                                    <w:right w:val="none" w:sz="0" w:space="0" w:color="auto"/>
                                                  </w:divBdr>
                                                  <w:divsChild>
                                                    <w:div w:id="118229768">
                                                      <w:marLeft w:val="0"/>
                                                      <w:marRight w:val="0"/>
                                                      <w:marTop w:val="0"/>
                                                      <w:marBottom w:val="0"/>
                                                      <w:divBdr>
                                                        <w:top w:val="none" w:sz="0" w:space="0" w:color="auto"/>
                                                        <w:left w:val="none" w:sz="0" w:space="0" w:color="auto"/>
                                                        <w:bottom w:val="none" w:sz="0" w:space="0" w:color="auto"/>
                                                        <w:right w:val="none" w:sz="0" w:space="0" w:color="auto"/>
                                                      </w:divBdr>
                                                      <w:divsChild>
                                                        <w:div w:id="641816289">
                                                          <w:marLeft w:val="0"/>
                                                          <w:marRight w:val="0"/>
                                                          <w:marTop w:val="0"/>
                                                          <w:marBottom w:val="0"/>
                                                          <w:divBdr>
                                                            <w:top w:val="none" w:sz="0" w:space="0" w:color="auto"/>
                                                            <w:left w:val="none" w:sz="0" w:space="0" w:color="auto"/>
                                                            <w:bottom w:val="none" w:sz="0" w:space="0" w:color="auto"/>
                                                            <w:right w:val="none" w:sz="0" w:space="0" w:color="auto"/>
                                                          </w:divBdr>
                                                        </w:div>
                                                        <w:div w:id="1324818534">
                                                          <w:marLeft w:val="0"/>
                                                          <w:marRight w:val="0"/>
                                                          <w:marTop w:val="0"/>
                                                          <w:marBottom w:val="0"/>
                                                          <w:divBdr>
                                                            <w:top w:val="none" w:sz="0" w:space="0" w:color="auto"/>
                                                            <w:left w:val="none" w:sz="0" w:space="0" w:color="auto"/>
                                                            <w:bottom w:val="none" w:sz="0" w:space="0" w:color="auto"/>
                                                            <w:right w:val="none" w:sz="0" w:space="0" w:color="auto"/>
                                                          </w:divBdr>
                                                          <w:divsChild>
                                                            <w:div w:id="1139492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1910354">
      <w:bodyDiv w:val="1"/>
      <w:marLeft w:val="0"/>
      <w:marRight w:val="0"/>
      <w:marTop w:val="0"/>
      <w:marBottom w:val="0"/>
      <w:divBdr>
        <w:top w:val="none" w:sz="0" w:space="0" w:color="auto"/>
        <w:left w:val="none" w:sz="0" w:space="0" w:color="auto"/>
        <w:bottom w:val="none" w:sz="0" w:space="0" w:color="auto"/>
        <w:right w:val="none" w:sz="0" w:space="0" w:color="auto"/>
      </w:divBdr>
      <w:divsChild>
        <w:div w:id="1599362291">
          <w:marLeft w:val="0"/>
          <w:marRight w:val="0"/>
          <w:marTop w:val="0"/>
          <w:marBottom w:val="0"/>
          <w:divBdr>
            <w:top w:val="none" w:sz="0" w:space="0" w:color="auto"/>
            <w:left w:val="none" w:sz="0" w:space="0" w:color="auto"/>
            <w:bottom w:val="none" w:sz="0" w:space="0" w:color="auto"/>
            <w:right w:val="none" w:sz="0" w:space="0" w:color="auto"/>
          </w:divBdr>
          <w:divsChild>
            <w:div w:id="2074424920">
              <w:marLeft w:val="0"/>
              <w:marRight w:val="0"/>
              <w:marTop w:val="0"/>
              <w:marBottom w:val="0"/>
              <w:divBdr>
                <w:top w:val="none" w:sz="0" w:space="0" w:color="auto"/>
                <w:left w:val="none" w:sz="0" w:space="0" w:color="auto"/>
                <w:bottom w:val="none" w:sz="0" w:space="0" w:color="auto"/>
                <w:right w:val="none" w:sz="0" w:space="0" w:color="auto"/>
              </w:divBdr>
              <w:divsChild>
                <w:div w:id="823011808">
                  <w:marLeft w:val="0"/>
                  <w:marRight w:val="0"/>
                  <w:marTop w:val="0"/>
                  <w:marBottom w:val="0"/>
                  <w:divBdr>
                    <w:top w:val="none" w:sz="0" w:space="0" w:color="auto"/>
                    <w:left w:val="none" w:sz="0" w:space="0" w:color="auto"/>
                    <w:bottom w:val="none" w:sz="0" w:space="0" w:color="auto"/>
                    <w:right w:val="none" w:sz="0" w:space="0" w:color="auto"/>
                  </w:divBdr>
                  <w:divsChild>
                    <w:div w:id="1447042031">
                      <w:marLeft w:val="0"/>
                      <w:marRight w:val="0"/>
                      <w:marTop w:val="0"/>
                      <w:marBottom w:val="0"/>
                      <w:divBdr>
                        <w:top w:val="none" w:sz="0" w:space="0" w:color="auto"/>
                        <w:left w:val="none" w:sz="0" w:space="0" w:color="auto"/>
                        <w:bottom w:val="none" w:sz="0" w:space="0" w:color="auto"/>
                        <w:right w:val="none" w:sz="0" w:space="0" w:color="auto"/>
                      </w:divBdr>
                      <w:divsChild>
                        <w:div w:id="974020206">
                          <w:marLeft w:val="0"/>
                          <w:marRight w:val="0"/>
                          <w:marTop w:val="0"/>
                          <w:marBottom w:val="0"/>
                          <w:divBdr>
                            <w:top w:val="none" w:sz="0" w:space="0" w:color="auto"/>
                            <w:left w:val="none" w:sz="0" w:space="0" w:color="auto"/>
                            <w:bottom w:val="none" w:sz="0" w:space="0" w:color="auto"/>
                            <w:right w:val="none" w:sz="0" w:space="0" w:color="auto"/>
                          </w:divBdr>
                          <w:divsChild>
                            <w:div w:id="1848902975">
                              <w:marLeft w:val="0"/>
                              <w:marRight w:val="0"/>
                              <w:marTop w:val="0"/>
                              <w:marBottom w:val="0"/>
                              <w:divBdr>
                                <w:top w:val="none" w:sz="0" w:space="0" w:color="auto"/>
                                <w:left w:val="none" w:sz="0" w:space="0" w:color="auto"/>
                                <w:bottom w:val="none" w:sz="0" w:space="0" w:color="auto"/>
                                <w:right w:val="none" w:sz="0" w:space="0" w:color="auto"/>
                              </w:divBdr>
                              <w:divsChild>
                                <w:div w:id="200023021">
                                  <w:marLeft w:val="0"/>
                                  <w:marRight w:val="0"/>
                                  <w:marTop w:val="0"/>
                                  <w:marBottom w:val="0"/>
                                  <w:divBdr>
                                    <w:top w:val="none" w:sz="0" w:space="0" w:color="auto"/>
                                    <w:left w:val="none" w:sz="0" w:space="0" w:color="auto"/>
                                    <w:bottom w:val="none" w:sz="0" w:space="0" w:color="auto"/>
                                    <w:right w:val="none" w:sz="0" w:space="0" w:color="auto"/>
                                  </w:divBdr>
                                  <w:divsChild>
                                    <w:div w:id="1929078428">
                                      <w:marLeft w:val="0"/>
                                      <w:marRight w:val="0"/>
                                      <w:marTop w:val="0"/>
                                      <w:marBottom w:val="0"/>
                                      <w:divBdr>
                                        <w:top w:val="none" w:sz="0" w:space="0" w:color="auto"/>
                                        <w:left w:val="none" w:sz="0" w:space="0" w:color="auto"/>
                                        <w:bottom w:val="none" w:sz="0" w:space="0" w:color="auto"/>
                                        <w:right w:val="none" w:sz="0" w:space="0" w:color="auto"/>
                                      </w:divBdr>
                                      <w:divsChild>
                                        <w:div w:id="3609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4888">
      <w:bodyDiv w:val="1"/>
      <w:marLeft w:val="0"/>
      <w:marRight w:val="0"/>
      <w:marTop w:val="0"/>
      <w:marBottom w:val="0"/>
      <w:divBdr>
        <w:top w:val="none" w:sz="0" w:space="0" w:color="auto"/>
        <w:left w:val="none" w:sz="0" w:space="0" w:color="auto"/>
        <w:bottom w:val="none" w:sz="0" w:space="0" w:color="auto"/>
        <w:right w:val="none" w:sz="0" w:space="0" w:color="auto"/>
      </w:divBdr>
      <w:divsChild>
        <w:div w:id="445776623">
          <w:marLeft w:val="0"/>
          <w:marRight w:val="0"/>
          <w:marTop w:val="0"/>
          <w:marBottom w:val="0"/>
          <w:divBdr>
            <w:top w:val="single" w:sz="6" w:space="0" w:color="0E477A"/>
            <w:left w:val="single" w:sz="6" w:space="0" w:color="0E477A"/>
            <w:bottom w:val="single" w:sz="6" w:space="0" w:color="0E477A"/>
            <w:right w:val="single" w:sz="6" w:space="0" w:color="0E477A"/>
          </w:divBdr>
          <w:divsChild>
            <w:div w:id="854152332">
              <w:marLeft w:val="2925"/>
              <w:marRight w:val="0"/>
              <w:marTop w:val="0"/>
              <w:marBottom w:val="0"/>
              <w:divBdr>
                <w:top w:val="none" w:sz="0" w:space="0" w:color="auto"/>
                <w:left w:val="none" w:sz="0" w:space="0" w:color="auto"/>
                <w:bottom w:val="none" w:sz="0" w:space="0" w:color="auto"/>
                <w:right w:val="none" w:sz="0" w:space="0" w:color="auto"/>
              </w:divBdr>
              <w:divsChild>
                <w:div w:id="1966960889">
                  <w:marLeft w:val="0"/>
                  <w:marRight w:val="0"/>
                  <w:marTop w:val="0"/>
                  <w:marBottom w:val="0"/>
                  <w:divBdr>
                    <w:top w:val="none" w:sz="0" w:space="0" w:color="auto"/>
                    <w:left w:val="none" w:sz="0" w:space="0" w:color="auto"/>
                    <w:bottom w:val="none" w:sz="0" w:space="0" w:color="auto"/>
                    <w:right w:val="none" w:sz="0" w:space="0" w:color="auto"/>
                  </w:divBdr>
                  <w:divsChild>
                    <w:div w:id="407309759">
                      <w:marLeft w:val="0"/>
                      <w:marRight w:val="150"/>
                      <w:marTop w:val="0"/>
                      <w:marBottom w:val="0"/>
                      <w:divBdr>
                        <w:top w:val="single" w:sz="6" w:space="0" w:color="CCCCCC"/>
                        <w:left w:val="single" w:sz="6" w:space="8" w:color="CCCCCC"/>
                        <w:bottom w:val="single" w:sz="6" w:space="8" w:color="CCCCCC"/>
                        <w:right w:val="single" w:sz="6" w:space="8" w:color="CCCCCC"/>
                      </w:divBdr>
                      <w:divsChild>
                        <w:div w:id="610480171">
                          <w:marLeft w:val="0"/>
                          <w:marRight w:val="0"/>
                          <w:marTop w:val="0"/>
                          <w:marBottom w:val="0"/>
                          <w:divBdr>
                            <w:top w:val="none" w:sz="0" w:space="0" w:color="auto"/>
                            <w:left w:val="none" w:sz="0" w:space="0" w:color="auto"/>
                            <w:bottom w:val="none" w:sz="0" w:space="0" w:color="auto"/>
                            <w:right w:val="none" w:sz="0" w:space="0" w:color="auto"/>
                          </w:divBdr>
                        </w:div>
                        <w:div w:id="1785926114">
                          <w:marLeft w:val="0"/>
                          <w:marRight w:val="0"/>
                          <w:marTop w:val="0"/>
                          <w:marBottom w:val="0"/>
                          <w:divBdr>
                            <w:top w:val="none" w:sz="0" w:space="0" w:color="auto"/>
                            <w:left w:val="none" w:sz="0" w:space="0" w:color="auto"/>
                            <w:bottom w:val="none" w:sz="0" w:space="0" w:color="auto"/>
                            <w:right w:val="none" w:sz="0" w:space="0" w:color="auto"/>
                          </w:divBdr>
                        </w:div>
                        <w:div w:id="681318018">
                          <w:marLeft w:val="0"/>
                          <w:marRight w:val="0"/>
                          <w:marTop w:val="0"/>
                          <w:marBottom w:val="0"/>
                          <w:divBdr>
                            <w:top w:val="none" w:sz="0" w:space="0" w:color="auto"/>
                            <w:left w:val="none" w:sz="0" w:space="0" w:color="auto"/>
                            <w:bottom w:val="none" w:sz="0" w:space="0" w:color="auto"/>
                            <w:right w:val="none" w:sz="0" w:space="0" w:color="auto"/>
                          </w:divBdr>
                        </w:div>
                        <w:div w:id="415249566">
                          <w:marLeft w:val="0"/>
                          <w:marRight w:val="0"/>
                          <w:marTop w:val="0"/>
                          <w:marBottom w:val="0"/>
                          <w:divBdr>
                            <w:top w:val="none" w:sz="0" w:space="0" w:color="auto"/>
                            <w:left w:val="none" w:sz="0" w:space="0" w:color="auto"/>
                            <w:bottom w:val="none" w:sz="0" w:space="0" w:color="auto"/>
                            <w:right w:val="none" w:sz="0" w:space="0" w:color="auto"/>
                          </w:divBdr>
                        </w:div>
                        <w:div w:id="647125749">
                          <w:marLeft w:val="0"/>
                          <w:marRight w:val="0"/>
                          <w:marTop w:val="0"/>
                          <w:marBottom w:val="0"/>
                          <w:divBdr>
                            <w:top w:val="none" w:sz="0" w:space="0" w:color="auto"/>
                            <w:left w:val="none" w:sz="0" w:space="0" w:color="auto"/>
                            <w:bottom w:val="none" w:sz="0" w:space="0" w:color="auto"/>
                            <w:right w:val="none" w:sz="0" w:space="0" w:color="auto"/>
                          </w:divBdr>
                        </w:div>
                        <w:div w:id="53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3005">
      <w:bodyDiv w:val="1"/>
      <w:marLeft w:val="0"/>
      <w:marRight w:val="0"/>
      <w:marTop w:val="0"/>
      <w:marBottom w:val="0"/>
      <w:divBdr>
        <w:top w:val="none" w:sz="0" w:space="0" w:color="auto"/>
        <w:left w:val="none" w:sz="0" w:space="0" w:color="auto"/>
        <w:bottom w:val="none" w:sz="0" w:space="0" w:color="auto"/>
        <w:right w:val="none" w:sz="0" w:space="0" w:color="auto"/>
      </w:divBdr>
    </w:div>
    <w:div w:id="383021866">
      <w:bodyDiv w:val="1"/>
      <w:marLeft w:val="0"/>
      <w:marRight w:val="0"/>
      <w:marTop w:val="0"/>
      <w:marBottom w:val="0"/>
      <w:divBdr>
        <w:top w:val="none" w:sz="0" w:space="0" w:color="auto"/>
        <w:left w:val="none" w:sz="0" w:space="0" w:color="auto"/>
        <w:bottom w:val="none" w:sz="0" w:space="0" w:color="auto"/>
        <w:right w:val="none" w:sz="0" w:space="0" w:color="auto"/>
      </w:divBdr>
    </w:div>
    <w:div w:id="384648891">
      <w:bodyDiv w:val="1"/>
      <w:marLeft w:val="0"/>
      <w:marRight w:val="0"/>
      <w:marTop w:val="0"/>
      <w:marBottom w:val="0"/>
      <w:divBdr>
        <w:top w:val="none" w:sz="0" w:space="0" w:color="auto"/>
        <w:left w:val="none" w:sz="0" w:space="0" w:color="auto"/>
        <w:bottom w:val="none" w:sz="0" w:space="0" w:color="auto"/>
        <w:right w:val="none" w:sz="0" w:space="0" w:color="auto"/>
      </w:divBdr>
      <w:divsChild>
        <w:div w:id="319770213">
          <w:marLeft w:val="0"/>
          <w:marRight w:val="0"/>
          <w:marTop w:val="0"/>
          <w:marBottom w:val="0"/>
          <w:divBdr>
            <w:top w:val="none" w:sz="0" w:space="0" w:color="auto"/>
            <w:left w:val="none" w:sz="0" w:space="0" w:color="auto"/>
            <w:bottom w:val="none" w:sz="0" w:space="0" w:color="auto"/>
            <w:right w:val="none" w:sz="0" w:space="0" w:color="auto"/>
          </w:divBdr>
          <w:divsChild>
            <w:div w:id="1873955419">
              <w:marLeft w:val="0"/>
              <w:marRight w:val="0"/>
              <w:marTop w:val="0"/>
              <w:marBottom w:val="0"/>
              <w:divBdr>
                <w:top w:val="none" w:sz="0" w:space="0" w:color="auto"/>
                <w:left w:val="none" w:sz="0" w:space="0" w:color="auto"/>
                <w:bottom w:val="none" w:sz="0" w:space="0" w:color="auto"/>
                <w:right w:val="none" w:sz="0" w:space="0" w:color="auto"/>
              </w:divBdr>
              <w:divsChild>
                <w:div w:id="1957247847">
                  <w:marLeft w:val="0"/>
                  <w:marRight w:val="0"/>
                  <w:marTop w:val="0"/>
                  <w:marBottom w:val="0"/>
                  <w:divBdr>
                    <w:top w:val="none" w:sz="0" w:space="0" w:color="auto"/>
                    <w:left w:val="none" w:sz="0" w:space="0" w:color="auto"/>
                    <w:bottom w:val="none" w:sz="0" w:space="0" w:color="auto"/>
                    <w:right w:val="none" w:sz="0" w:space="0" w:color="auto"/>
                  </w:divBdr>
                  <w:divsChild>
                    <w:div w:id="1511869568">
                      <w:marLeft w:val="0"/>
                      <w:marRight w:val="0"/>
                      <w:marTop w:val="0"/>
                      <w:marBottom w:val="0"/>
                      <w:divBdr>
                        <w:top w:val="none" w:sz="0" w:space="0" w:color="auto"/>
                        <w:left w:val="none" w:sz="0" w:space="0" w:color="auto"/>
                        <w:bottom w:val="none" w:sz="0" w:space="0" w:color="auto"/>
                        <w:right w:val="none" w:sz="0" w:space="0" w:color="auto"/>
                      </w:divBdr>
                      <w:divsChild>
                        <w:div w:id="1864856800">
                          <w:marLeft w:val="0"/>
                          <w:marRight w:val="0"/>
                          <w:marTop w:val="0"/>
                          <w:marBottom w:val="0"/>
                          <w:divBdr>
                            <w:top w:val="none" w:sz="0" w:space="0" w:color="auto"/>
                            <w:left w:val="none" w:sz="0" w:space="0" w:color="auto"/>
                            <w:bottom w:val="none" w:sz="0" w:space="0" w:color="auto"/>
                            <w:right w:val="none" w:sz="0" w:space="0" w:color="auto"/>
                          </w:divBdr>
                          <w:divsChild>
                            <w:div w:id="23024635">
                              <w:marLeft w:val="0"/>
                              <w:marRight w:val="0"/>
                              <w:marTop w:val="0"/>
                              <w:marBottom w:val="0"/>
                              <w:divBdr>
                                <w:top w:val="none" w:sz="0" w:space="0" w:color="auto"/>
                                <w:left w:val="none" w:sz="0" w:space="0" w:color="auto"/>
                                <w:bottom w:val="none" w:sz="0" w:space="0" w:color="auto"/>
                                <w:right w:val="none" w:sz="0" w:space="0" w:color="auto"/>
                              </w:divBdr>
                              <w:divsChild>
                                <w:div w:id="1281689719">
                                  <w:marLeft w:val="0"/>
                                  <w:marRight w:val="0"/>
                                  <w:marTop w:val="0"/>
                                  <w:marBottom w:val="0"/>
                                  <w:divBdr>
                                    <w:top w:val="none" w:sz="0" w:space="0" w:color="auto"/>
                                    <w:left w:val="none" w:sz="0" w:space="0" w:color="auto"/>
                                    <w:bottom w:val="none" w:sz="0" w:space="0" w:color="auto"/>
                                    <w:right w:val="none" w:sz="0" w:space="0" w:color="auto"/>
                                  </w:divBdr>
                                </w:div>
                                <w:div w:id="994838285">
                                  <w:marLeft w:val="0"/>
                                  <w:marRight w:val="0"/>
                                  <w:marTop w:val="0"/>
                                  <w:marBottom w:val="120"/>
                                  <w:divBdr>
                                    <w:top w:val="none" w:sz="0" w:space="0" w:color="auto"/>
                                    <w:left w:val="none" w:sz="0" w:space="0" w:color="auto"/>
                                    <w:bottom w:val="none" w:sz="0" w:space="0" w:color="auto"/>
                                    <w:right w:val="none" w:sz="0" w:space="0" w:color="auto"/>
                                  </w:divBdr>
                                </w:div>
                                <w:div w:id="322784572">
                                  <w:marLeft w:val="0"/>
                                  <w:marRight w:val="0"/>
                                  <w:marTop w:val="0"/>
                                  <w:marBottom w:val="120"/>
                                  <w:divBdr>
                                    <w:top w:val="none" w:sz="0" w:space="0" w:color="auto"/>
                                    <w:left w:val="none" w:sz="0" w:space="0" w:color="auto"/>
                                    <w:bottom w:val="none" w:sz="0" w:space="0" w:color="auto"/>
                                    <w:right w:val="none" w:sz="0" w:space="0" w:color="auto"/>
                                  </w:divBdr>
                                </w:div>
                                <w:div w:id="198058444">
                                  <w:marLeft w:val="0"/>
                                  <w:marRight w:val="0"/>
                                  <w:marTop w:val="0"/>
                                  <w:marBottom w:val="0"/>
                                  <w:divBdr>
                                    <w:top w:val="none" w:sz="0" w:space="0" w:color="auto"/>
                                    <w:left w:val="none" w:sz="0" w:space="0" w:color="auto"/>
                                    <w:bottom w:val="none" w:sz="0" w:space="0" w:color="auto"/>
                                    <w:right w:val="none" w:sz="0" w:space="0" w:color="auto"/>
                                  </w:divBdr>
                                </w:div>
                                <w:div w:id="634606664">
                                  <w:marLeft w:val="0"/>
                                  <w:marRight w:val="0"/>
                                  <w:marTop w:val="0"/>
                                  <w:marBottom w:val="0"/>
                                  <w:divBdr>
                                    <w:top w:val="none" w:sz="0" w:space="0" w:color="auto"/>
                                    <w:left w:val="none" w:sz="0" w:space="0" w:color="auto"/>
                                    <w:bottom w:val="none" w:sz="0" w:space="0" w:color="auto"/>
                                    <w:right w:val="none" w:sz="0" w:space="0" w:color="auto"/>
                                  </w:divBdr>
                                </w:div>
                                <w:div w:id="1988322133">
                                  <w:marLeft w:val="0"/>
                                  <w:marRight w:val="0"/>
                                  <w:marTop w:val="0"/>
                                  <w:marBottom w:val="0"/>
                                  <w:divBdr>
                                    <w:top w:val="none" w:sz="0" w:space="0" w:color="auto"/>
                                    <w:left w:val="none" w:sz="0" w:space="0" w:color="auto"/>
                                    <w:bottom w:val="none" w:sz="0" w:space="0" w:color="auto"/>
                                    <w:right w:val="none" w:sz="0" w:space="0" w:color="auto"/>
                                  </w:divBdr>
                                </w:div>
                                <w:div w:id="1390037597">
                                  <w:marLeft w:val="0"/>
                                  <w:marRight w:val="0"/>
                                  <w:marTop w:val="0"/>
                                  <w:marBottom w:val="0"/>
                                  <w:divBdr>
                                    <w:top w:val="none" w:sz="0" w:space="0" w:color="auto"/>
                                    <w:left w:val="none" w:sz="0" w:space="0" w:color="auto"/>
                                    <w:bottom w:val="none" w:sz="0" w:space="0" w:color="auto"/>
                                    <w:right w:val="none" w:sz="0" w:space="0" w:color="auto"/>
                                  </w:divBdr>
                                </w:div>
                                <w:div w:id="1889493088">
                                  <w:marLeft w:val="0"/>
                                  <w:marRight w:val="0"/>
                                  <w:marTop w:val="0"/>
                                  <w:marBottom w:val="0"/>
                                  <w:divBdr>
                                    <w:top w:val="none" w:sz="0" w:space="0" w:color="auto"/>
                                    <w:left w:val="none" w:sz="0" w:space="0" w:color="auto"/>
                                    <w:bottom w:val="none" w:sz="0" w:space="0" w:color="auto"/>
                                    <w:right w:val="none" w:sz="0" w:space="0" w:color="auto"/>
                                  </w:divBdr>
                                </w:div>
                                <w:div w:id="1526672024">
                                  <w:marLeft w:val="0"/>
                                  <w:marRight w:val="0"/>
                                  <w:marTop w:val="0"/>
                                  <w:marBottom w:val="0"/>
                                  <w:divBdr>
                                    <w:top w:val="none" w:sz="0" w:space="0" w:color="auto"/>
                                    <w:left w:val="none" w:sz="0" w:space="0" w:color="auto"/>
                                    <w:bottom w:val="none" w:sz="0" w:space="0" w:color="auto"/>
                                    <w:right w:val="none" w:sz="0" w:space="0" w:color="auto"/>
                                  </w:divBdr>
                                </w:div>
                                <w:div w:id="5177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840281">
      <w:bodyDiv w:val="1"/>
      <w:marLeft w:val="0"/>
      <w:marRight w:val="0"/>
      <w:marTop w:val="0"/>
      <w:marBottom w:val="0"/>
      <w:divBdr>
        <w:top w:val="none" w:sz="0" w:space="0" w:color="auto"/>
        <w:left w:val="none" w:sz="0" w:space="0" w:color="auto"/>
        <w:bottom w:val="none" w:sz="0" w:space="0" w:color="auto"/>
        <w:right w:val="none" w:sz="0" w:space="0" w:color="auto"/>
      </w:divBdr>
      <w:divsChild>
        <w:div w:id="891039794">
          <w:marLeft w:val="0"/>
          <w:marRight w:val="0"/>
          <w:marTop w:val="0"/>
          <w:marBottom w:val="0"/>
          <w:divBdr>
            <w:top w:val="none" w:sz="0" w:space="0" w:color="auto"/>
            <w:left w:val="none" w:sz="0" w:space="0" w:color="auto"/>
            <w:bottom w:val="none" w:sz="0" w:space="0" w:color="auto"/>
            <w:right w:val="none" w:sz="0" w:space="0" w:color="auto"/>
          </w:divBdr>
          <w:divsChild>
            <w:div w:id="1424885612">
              <w:marLeft w:val="0"/>
              <w:marRight w:val="0"/>
              <w:marTop w:val="0"/>
              <w:marBottom w:val="0"/>
              <w:divBdr>
                <w:top w:val="none" w:sz="0" w:space="0" w:color="auto"/>
                <w:left w:val="none" w:sz="0" w:space="0" w:color="auto"/>
                <w:bottom w:val="none" w:sz="0" w:space="0" w:color="auto"/>
                <w:right w:val="none" w:sz="0" w:space="0" w:color="auto"/>
              </w:divBdr>
              <w:divsChild>
                <w:div w:id="1719818622">
                  <w:marLeft w:val="0"/>
                  <w:marRight w:val="0"/>
                  <w:marTop w:val="0"/>
                  <w:marBottom w:val="0"/>
                  <w:divBdr>
                    <w:top w:val="none" w:sz="0" w:space="0" w:color="auto"/>
                    <w:left w:val="none" w:sz="0" w:space="0" w:color="auto"/>
                    <w:bottom w:val="none" w:sz="0" w:space="0" w:color="auto"/>
                    <w:right w:val="none" w:sz="0" w:space="0" w:color="auto"/>
                  </w:divBdr>
                  <w:divsChild>
                    <w:div w:id="1319770183">
                      <w:marLeft w:val="0"/>
                      <w:marRight w:val="0"/>
                      <w:marTop w:val="0"/>
                      <w:marBottom w:val="0"/>
                      <w:divBdr>
                        <w:top w:val="none" w:sz="0" w:space="0" w:color="auto"/>
                        <w:left w:val="none" w:sz="0" w:space="0" w:color="auto"/>
                        <w:bottom w:val="none" w:sz="0" w:space="0" w:color="auto"/>
                        <w:right w:val="none" w:sz="0" w:space="0" w:color="auto"/>
                      </w:divBdr>
                      <w:divsChild>
                        <w:div w:id="14517769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86685402">
      <w:bodyDiv w:val="1"/>
      <w:marLeft w:val="0"/>
      <w:marRight w:val="0"/>
      <w:marTop w:val="0"/>
      <w:marBottom w:val="0"/>
      <w:divBdr>
        <w:top w:val="none" w:sz="0" w:space="0" w:color="auto"/>
        <w:left w:val="none" w:sz="0" w:space="0" w:color="auto"/>
        <w:bottom w:val="none" w:sz="0" w:space="0" w:color="auto"/>
        <w:right w:val="none" w:sz="0" w:space="0" w:color="auto"/>
      </w:divBdr>
      <w:divsChild>
        <w:div w:id="327828969">
          <w:marLeft w:val="0"/>
          <w:marRight w:val="0"/>
          <w:marTop w:val="0"/>
          <w:marBottom w:val="0"/>
          <w:divBdr>
            <w:top w:val="none" w:sz="0" w:space="0" w:color="auto"/>
            <w:left w:val="none" w:sz="0" w:space="0" w:color="auto"/>
            <w:bottom w:val="none" w:sz="0" w:space="0" w:color="auto"/>
            <w:right w:val="none" w:sz="0" w:space="0" w:color="auto"/>
          </w:divBdr>
          <w:divsChild>
            <w:div w:id="1712027223">
              <w:marLeft w:val="0"/>
              <w:marRight w:val="0"/>
              <w:marTop w:val="0"/>
              <w:marBottom w:val="0"/>
              <w:divBdr>
                <w:top w:val="none" w:sz="0" w:space="0" w:color="auto"/>
                <w:left w:val="none" w:sz="0" w:space="0" w:color="auto"/>
                <w:bottom w:val="none" w:sz="0" w:space="0" w:color="auto"/>
                <w:right w:val="none" w:sz="0" w:space="0" w:color="auto"/>
              </w:divBdr>
              <w:divsChild>
                <w:div w:id="1406759970">
                  <w:marLeft w:val="0"/>
                  <w:marRight w:val="0"/>
                  <w:marTop w:val="0"/>
                  <w:marBottom w:val="0"/>
                  <w:divBdr>
                    <w:top w:val="none" w:sz="0" w:space="0" w:color="auto"/>
                    <w:left w:val="none" w:sz="0" w:space="0" w:color="auto"/>
                    <w:bottom w:val="none" w:sz="0" w:space="0" w:color="auto"/>
                    <w:right w:val="none" w:sz="0" w:space="0" w:color="auto"/>
                  </w:divBdr>
                  <w:divsChild>
                    <w:div w:id="583337339">
                      <w:marLeft w:val="0"/>
                      <w:marRight w:val="0"/>
                      <w:marTop w:val="0"/>
                      <w:marBottom w:val="0"/>
                      <w:divBdr>
                        <w:top w:val="none" w:sz="0" w:space="0" w:color="auto"/>
                        <w:left w:val="none" w:sz="0" w:space="0" w:color="auto"/>
                        <w:bottom w:val="none" w:sz="0" w:space="0" w:color="auto"/>
                        <w:right w:val="none" w:sz="0" w:space="0" w:color="auto"/>
                      </w:divBdr>
                      <w:divsChild>
                        <w:div w:id="605115732">
                          <w:marLeft w:val="0"/>
                          <w:marRight w:val="0"/>
                          <w:marTop w:val="0"/>
                          <w:marBottom w:val="0"/>
                          <w:divBdr>
                            <w:top w:val="none" w:sz="0" w:space="0" w:color="auto"/>
                            <w:left w:val="none" w:sz="0" w:space="0" w:color="auto"/>
                            <w:bottom w:val="none" w:sz="0" w:space="0" w:color="auto"/>
                            <w:right w:val="none" w:sz="0" w:space="0" w:color="auto"/>
                          </w:divBdr>
                          <w:divsChild>
                            <w:div w:id="712004795">
                              <w:marLeft w:val="0"/>
                              <w:marRight w:val="0"/>
                              <w:marTop w:val="0"/>
                              <w:marBottom w:val="0"/>
                              <w:divBdr>
                                <w:top w:val="none" w:sz="0" w:space="0" w:color="auto"/>
                                <w:left w:val="none" w:sz="0" w:space="0" w:color="auto"/>
                                <w:bottom w:val="none" w:sz="0" w:space="0" w:color="auto"/>
                                <w:right w:val="none" w:sz="0" w:space="0" w:color="auto"/>
                              </w:divBdr>
                              <w:divsChild>
                                <w:div w:id="367796914">
                                  <w:marLeft w:val="120"/>
                                  <w:marRight w:val="720"/>
                                  <w:marTop w:val="120"/>
                                  <w:marBottom w:val="120"/>
                                  <w:divBdr>
                                    <w:top w:val="none" w:sz="0" w:space="0" w:color="auto"/>
                                    <w:left w:val="none" w:sz="0" w:space="0" w:color="auto"/>
                                    <w:bottom w:val="none" w:sz="0" w:space="0" w:color="auto"/>
                                    <w:right w:val="none" w:sz="0" w:space="0" w:color="auto"/>
                                  </w:divBdr>
                                  <w:divsChild>
                                    <w:div w:id="1391999781">
                                      <w:marLeft w:val="0"/>
                                      <w:marRight w:val="0"/>
                                      <w:marTop w:val="0"/>
                                      <w:marBottom w:val="0"/>
                                      <w:divBdr>
                                        <w:top w:val="none" w:sz="0" w:space="0" w:color="auto"/>
                                        <w:left w:val="none" w:sz="0" w:space="0" w:color="auto"/>
                                        <w:bottom w:val="none" w:sz="0" w:space="0" w:color="auto"/>
                                        <w:right w:val="none" w:sz="0" w:space="0" w:color="auto"/>
                                      </w:divBdr>
                                      <w:divsChild>
                                        <w:div w:id="1675959190">
                                          <w:marLeft w:val="0"/>
                                          <w:marRight w:val="0"/>
                                          <w:marTop w:val="0"/>
                                          <w:marBottom w:val="0"/>
                                          <w:divBdr>
                                            <w:top w:val="none" w:sz="0" w:space="0" w:color="auto"/>
                                            <w:left w:val="none" w:sz="0" w:space="0" w:color="auto"/>
                                            <w:bottom w:val="none" w:sz="0" w:space="0" w:color="auto"/>
                                            <w:right w:val="none" w:sz="0" w:space="0" w:color="auto"/>
                                          </w:divBdr>
                                          <w:divsChild>
                                            <w:div w:id="1634942576">
                                              <w:marLeft w:val="0"/>
                                              <w:marRight w:val="0"/>
                                              <w:marTop w:val="0"/>
                                              <w:marBottom w:val="0"/>
                                              <w:divBdr>
                                                <w:top w:val="none" w:sz="0" w:space="0" w:color="auto"/>
                                                <w:left w:val="none" w:sz="0" w:space="0" w:color="auto"/>
                                                <w:bottom w:val="none" w:sz="0" w:space="0" w:color="auto"/>
                                                <w:right w:val="none" w:sz="0" w:space="0" w:color="auto"/>
                                              </w:divBdr>
                                              <w:divsChild>
                                                <w:div w:id="2067028139">
                                                  <w:marLeft w:val="0"/>
                                                  <w:marRight w:val="0"/>
                                                  <w:marTop w:val="240"/>
                                                  <w:marBottom w:val="240"/>
                                                  <w:divBdr>
                                                    <w:top w:val="single" w:sz="6" w:space="6" w:color="F2F2F2"/>
                                                    <w:left w:val="none" w:sz="0" w:space="0" w:color="auto"/>
                                                    <w:bottom w:val="single" w:sz="6" w:space="6" w:color="F2F2F2"/>
                                                    <w:right w:val="none" w:sz="0" w:space="0" w:color="auto"/>
                                                  </w:divBdr>
                                                </w:div>
                                                <w:div w:id="1135949734">
                                                  <w:marLeft w:val="0"/>
                                                  <w:marRight w:val="0"/>
                                                  <w:marTop w:val="0"/>
                                                  <w:marBottom w:val="0"/>
                                                  <w:divBdr>
                                                    <w:top w:val="none" w:sz="0" w:space="0" w:color="auto"/>
                                                    <w:left w:val="none" w:sz="0" w:space="0" w:color="auto"/>
                                                    <w:bottom w:val="none" w:sz="0" w:space="0" w:color="auto"/>
                                                    <w:right w:val="none" w:sz="0" w:space="0" w:color="auto"/>
                                                  </w:divBdr>
                                                  <w:divsChild>
                                                    <w:div w:id="8072392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153745">
      <w:bodyDiv w:val="1"/>
      <w:marLeft w:val="0"/>
      <w:marRight w:val="0"/>
      <w:marTop w:val="0"/>
      <w:marBottom w:val="0"/>
      <w:divBdr>
        <w:top w:val="none" w:sz="0" w:space="0" w:color="auto"/>
        <w:left w:val="none" w:sz="0" w:space="0" w:color="auto"/>
        <w:bottom w:val="none" w:sz="0" w:space="0" w:color="auto"/>
        <w:right w:val="none" w:sz="0" w:space="0" w:color="auto"/>
      </w:divBdr>
    </w:div>
    <w:div w:id="390616163">
      <w:bodyDiv w:val="1"/>
      <w:marLeft w:val="0"/>
      <w:marRight w:val="0"/>
      <w:marTop w:val="0"/>
      <w:marBottom w:val="0"/>
      <w:divBdr>
        <w:top w:val="none" w:sz="0" w:space="0" w:color="auto"/>
        <w:left w:val="none" w:sz="0" w:space="0" w:color="auto"/>
        <w:bottom w:val="none" w:sz="0" w:space="0" w:color="auto"/>
        <w:right w:val="none" w:sz="0" w:space="0" w:color="auto"/>
      </w:divBdr>
      <w:divsChild>
        <w:div w:id="218051505">
          <w:marLeft w:val="0"/>
          <w:marRight w:val="0"/>
          <w:marTop w:val="0"/>
          <w:marBottom w:val="0"/>
          <w:divBdr>
            <w:top w:val="none" w:sz="0" w:space="0" w:color="auto"/>
            <w:left w:val="none" w:sz="0" w:space="0" w:color="auto"/>
            <w:bottom w:val="none" w:sz="0" w:space="0" w:color="auto"/>
            <w:right w:val="none" w:sz="0" w:space="0" w:color="auto"/>
          </w:divBdr>
          <w:divsChild>
            <w:div w:id="112291981">
              <w:marLeft w:val="0"/>
              <w:marRight w:val="0"/>
              <w:marTop w:val="0"/>
              <w:marBottom w:val="0"/>
              <w:divBdr>
                <w:top w:val="none" w:sz="0" w:space="0" w:color="auto"/>
                <w:left w:val="none" w:sz="0" w:space="0" w:color="auto"/>
                <w:bottom w:val="none" w:sz="0" w:space="0" w:color="auto"/>
                <w:right w:val="none" w:sz="0" w:space="0" w:color="auto"/>
              </w:divBdr>
              <w:divsChild>
                <w:div w:id="736706968">
                  <w:marLeft w:val="-375"/>
                  <w:marRight w:val="0"/>
                  <w:marTop w:val="0"/>
                  <w:marBottom w:val="0"/>
                  <w:divBdr>
                    <w:top w:val="none" w:sz="0" w:space="0" w:color="auto"/>
                    <w:left w:val="none" w:sz="0" w:space="0" w:color="auto"/>
                    <w:bottom w:val="none" w:sz="0" w:space="0" w:color="auto"/>
                    <w:right w:val="none" w:sz="0" w:space="0" w:color="auto"/>
                  </w:divBdr>
                  <w:divsChild>
                    <w:div w:id="1075476626">
                      <w:marLeft w:val="0"/>
                      <w:marRight w:val="0"/>
                      <w:marTop w:val="0"/>
                      <w:marBottom w:val="0"/>
                      <w:divBdr>
                        <w:top w:val="none" w:sz="0" w:space="0" w:color="auto"/>
                        <w:left w:val="none" w:sz="0" w:space="0" w:color="auto"/>
                        <w:bottom w:val="none" w:sz="0" w:space="0" w:color="auto"/>
                        <w:right w:val="none" w:sz="0" w:space="0" w:color="auto"/>
                      </w:divBdr>
                      <w:divsChild>
                        <w:div w:id="1208445524">
                          <w:marLeft w:val="0"/>
                          <w:marRight w:val="0"/>
                          <w:marTop w:val="0"/>
                          <w:marBottom w:val="0"/>
                          <w:divBdr>
                            <w:top w:val="none" w:sz="0" w:space="0" w:color="auto"/>
                            <w:left w:val="none" w:sz="0" w:space="0" w:color="auto"/>
                            <w:bottom w:val="none" w:sz="0" w:space="0" w:color="auto"/>
                            <w:right w:val="none" w:sz="0" w:space="0" w:color="auto"/>
                          </w:divBdr>
                          <w:divsChild>
                            <w:div w:id="2078892107">
                              <w:marLeft w:val="-375"/>
                              <w:marRight w:val="0"/>
                              <w:marTop w:val="0"/>
                              <w:marBottom w:val="0"/>
                              <w:divBdr>
                                <w:top w:val="none" w:sz="0" w:space="0" w:color="auto"/>
                                <w:left w:val="none" w:sz="0" w:space="0" w:color="auto"/>
                                <w:bottom w:val="none" w:sz="0" w:space="0" w:color="auto"/>
                                <w:right w:val="none" w:sz="0" w:space="0" w:color="auto"/>
                              </w:divBdr>
                              <w:divsChild>
                                <w:div w:id="2128619316">
                                  <w:marLeft w:val="0"/>
                                  <w:marRight w:val="0"/>
                                  <w:marTop w:val="0"/>
                                  <w:marBottom w:val="0"/>
                                  <w:divBdr>
                                    <w:top w:val="none" w:sz="0" w:space="0" w:color="auto"/>
                                    <w:left w:val="none" w:sz="0" w:space="0" w:color="auto"/>
                                    <w:bottom w:val="none" w:sz="0" w:space="0" w:color="auto"/>
                                    <w:right w:val="none" w:sz="0" w:space="0" w:color="auto"/>
                                  </w:divBdr>
                                  <w:divsChild>
                                    <w:div w:id="1048067093">
                                      <w:marLeft w:val="-375"/>
                                      <w:marRight w:val="0"/>
                                      <w:marTop w:val="0"/>
                                      <w:marBottom w:val="0"/>
                                      <w:divBdr>
                                        <w:top w:val="none" w:sz="0" w:space="0" w:color="auto"/>
                                        <w:left w:val="none" w:sz="0" w:space="0" w:color="auto"/>
                                        <w:bottom w:val="none" w:sz="0" w:space="0" w:color="auto"/>
                                        <w:right w:val="none" w:sz="0" w:space="0" w:color="auto"/>
                                      </w:divBdr>
                                      <w:divsChild>
                                        <w:div w:id="646587906">
                                          <w:marLeft w:val="0"/>
                                          <w:marRight w:val="0"/>
                                          <w:marTop w:val="0"/>
                                          <w:marBottom w:val="0"/>
                                          <w:divBdr>
                                            <w:top w:val="none" w:sz="0" w:space="0" w:color="auto"/>
                                            <w:left w:val="none" w:sz="0" w:space="0" w:color="auto"/>
                                            <w:bottom w:val="none" w:sz="0" w:space="0" w:color="auto"/>
                                            <w:right w:val="none" w:sz="0" w:space="0" w:color="auto"/>
                                          </w:divBdr>
                                        </w:div>
                                      </w:divsChild>
                                    </w:div>
                                    <w:div w:id="396243194">
                                      <w:marLeft w:val="-375"/>
                                      <w:marRight w:val="0"/>
                                      <w:marTop w:val="0"/>
                                      <w:marBottom w:val="0"/>
                                      <w:divBdr>
                                        <w:top w:val="none" w:sz="0" w:space="0" w:color="auto"/>
                                        <w:left w:val="none" w:sz="0" w:space="0" w:color="auto"/>
                                        <w:bottom w:val="none" w:sz="0" w:space="0" w:color="auto"/>
                                        <w:right w:val="none" w:sz="0" w:space="0" w:color="auto"/>
                                      </w:divBdr>
                                      <w:divsChild>
                                        <w:div w:id="363216599">
                                          <w:marLeft w:val="0"/>
                                          <w:marRight w:val="0"/>
                                          <w:marTop w:val="0"/>
                                          <w:marBottom w:val="0"/>
                                          <w:divBdr>
                                            <w:top w:val="none" w:sz="0" w:space="0" w:color="auto"/>
                                            <w:left w:val="none" w:sz="0" w:space="0" w:color="auto"/>
                                            <w:bottom w:val="none" w:sz="0" w:space="0" w:color="auto"/>
                                            <w:right w:val="none" w:sz="0" w:space="0" w:color="auto"/>
                                          </w:divBdr>
                                        </w:div>
                                        <w:div w:id="16895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167663">
      <w:bodyDiv w:val="1"/>
      <w:marLeft w:val="0"/>
      <w:marRight w:val="0"/>
      <w:marTop w:val="0"/>
      <w:marBottom w:val="0"/>
      <w:divBdr>
        <w:top w:val="none" w:sz="0" w:space="0" w:color="auto"/>
        <w:left w:val="none" w:sz="0" w:space="0" w:color="auto"/>
        <w:bottom w:val="none" w:sz="0" w:space="0" w:color="auto"/>
        <w:right w:val="none" w:sz="0" w:space="0" w:color="auto"/>
      </w:divBdr>
      <w:divsChild>
        <w:div w:id="318653962">
          <w:marLeft w:val="0"/>
          <w:marRight w:val="0"/>
          <w:marTop w:val="0"/>
          <w:marBottom w:val="0"/>
          <w:divBdr>
            <w:top w:val="none" w:sz="0" w:space="0" w:color="auto"/>
            <w:left w:val="none" w:sz="0" w:space="0" w:color="auto"/>
            <w:bottom w:val="none" w:sz="0" w:space="0" w:color="auto"/>
            <w:right w:val="none" w:sz="0" w:space="0" w:color="auto"/>
          </w:divBdr>
          <w:divsChild>
            <w:div w:id="980423939">
              <w:marLeft w:val="2"/>
              <w:marRight w:val="2"/>
              <w:marTop w:val="0"/>
              <w:marBottom w:val="0"/>
              <w:divBdr>
                <w:top w:val="none" w:sz="0" w:space="0" w:color="auto"/>
                <w:left w:val="none" w:sz="0" w:space="0" w:color="auto"/>
                <w:bottom w:val="none" w:sz="0" w:space="0" w:color="auto"/>
                <w:right w:val="none" w:sz="0" w:space="0" w:color="auto"/>
              </w:divBdr>
              <w:divsChild>
                <w:div w:id="1933391420">
                  <w:marLeft w:val="0"/>
                  <w:marRight w:val="0"/>
                  <w:marTop w:val="0"/>
                  <w:marBottom w:val="0"/>
                  <w:divBdr>
                    <w:top w:val="none" w:sz="0" w:space="0" w:color="auto"/>
                    <w:left w:val="none" w:sz="0" w:space="0" w:color="auto"/>
                    <w:bottom w:val="none" w:sz="0" w:space="0" w:color="auto"/>
                    <w:right w:val="none" w:sz="0" w:space="0" w:color="auto"/>
                  </w:divBdr>
                  <w:divsChild>
                    <w:div w:id="1064572879">
                      <w:marLeft w:val="0"/>
                      <w:marRight w:val="0"/>
                      <w:marTop w:val="0"/>
                      <w:marBottom w:val="0"/>
                      <w:divBdr>
                        <w:top w:val="none" w:sz="0" w:space="0" w:color="auto"/>
                        <w:left w:val="none" w:sz="0" w:space="0" w:color="auto"/>
                        <w:bottom w:val="none" w:sz="0" w:space="0" w:color="auto"/>
                        <w:right w:val="none" w:sz="0" w:space="0" w:color="auto"/>
                      </w:divBdr>
                      <w:divsChild>
                        <w:div w:id="1350764346">
                          <w:marLeft w:val="0"/>
                          <w:marRight w:val="0"/>
                          <w:marTop w:val="0"/>
                          <w:marBottom w:val="0"/>
                          <w:divBdr>
                            <w:top w:val="none" w:sz="0" w:space="0" w:color="auto"/>
                            <w:left w:val="none" w:sz="0" w:space="0" w:color="auto"/>
                            <w:bottom w:val="none" w:sz="0" w:space="0" w:color="auto"/>
                            <w:right w:val="none" w:sz="0" w:space="0" w:color="auto"/>
                          </w:divBdr>
                          <w:divsChild>
                            <w:div w:id="192884111">
                              <w:marLeft w:val="0"/>
                              <w:marRight w:val="0"/>
                              <w:marTop w:val="0"/>
                              <w:marBottom w:val="0"/>
                              <w:divBdr>
                                <w:top w:val="none" w:sz="0" w:space="0" w:color="auto"/>
                                <w:left w:val="none" w:sz="0" w:space="0" w:color="auto"/>
                                <w:bottom w:val="none" w:sz="0" w:space="0" w:color="auto"/>
                                <w:right w:val="none" w:sz="0" w:space="0" w:color="auto"/>
                              </w:divBdr>
                              <w:divsChild>
                                <w:div w:id="802582589">
                                  <w:marLeft w:val="0"/>
                                  <w:marRight w:val="0"/>
                                  <w:marTop w:val="0"/>
                                  <w:marBottom w:val="0"/>
                                  <w:divBdr>
                                    <w:top w:val="none" w:sz="0" w:space="0" w:color="auto"/>
                                    <w:left w:val="none" w:sz="0" w:space="0" w:color="auto"/>
                                    <w:bottom w:val="none" w:sz="0" w:space="0" w:color="auto"/>
                                    <w:right w:val="none" w:sz="0" w:space="0" w:color="auto"/>
                                  </w:divBdr>
                                  <w:divsChild>
                                    <w:div w:id="1938128235">
                                      <w:marLeft w:val="0"/>
                                      <w:marRight w:val="0"/>
                                      <w:marTop w:val="0"/>
                                      <w:marBottom w:val="0"/>
                                      <w:divBdr>
                                        <w:top w:val="none" w:sz="0" w:space="0" w:color="auto"/>
                                        <w:left w:val="none" w:sz="0" w:space="0" w:color="auto"/>
                                        <w:bottom w:val="none" w:sz="0" w:space="0" w:color="auto"/>
                                        <w:right w:val="none" w:sz="0" w:space="0" w:color="auto"/>
                                      </w:divBdr>
                                      <w:divsChild>
                                        <w:div w:id="708721575">
                                          <w:marLeft w:val="0"/>
                                          <w:marRight w:val="0"/>
                                          <w:marTop w:val="0"/>
                                          <w:marBottom w:val="0"/>
                                          <w:divBdr>
                                            <w:top w:val="none" w:sz="0" w:space="0" w:color="auto"/>
                                            <w:left w:val="none" w:sz="0" w:space="0" w:color="auto"/>
                                            <w:bottom w:val="none" w:sz="0" w:space="0" w:color="auto"/>
                                            <w:right w:val="none" w:sz="0" w:space="0" w:color="auto"/>
                                          </w:divBdr>
                                          <w:divsChild>
                                            <w:div w:id="443035689">
                                              <w:marLeft w:val="0"/>
                                              <w:marRight w:val="0"/>
                                              <w:marTop w:val="0"/>
                                              <w:marBottom w:val="0"/>
                                              <w:divBdr>
                                                <w:top w:val="none" w:sz="0" w:space="0" w:color="auto"/>
                                                <w:left w:val="none" w:sz="0" w:space="0" w:color="auto"/>
                                                <w:bottom w:val="none" w:sz="0" w:space="0" w:color="auto"/>
                                                <w:right w:val="none" w:sz="0" w:space="0" w:color="auto"/>
                                              </w:divBdr>
                                            </w:div>
                                          </w:divsChild>
                                        </w:div>
                                        <w:div w:id="986132505">
                                          <w:marLeft w:val="0"/>
                                          <w:marRight w:val="0"/>
                                          <w:marTop w:val="0"/>
                                          <w:marBottom w:val="0"/>
                                          <w:divBdr>
                                            <w:top w:val="none" w:sz="0" w:space="0" w:color="auto"/>
                                            <w:left w:val="none" w:sz="0" w:space="0" w:color="auto"/>
                                            <w:bottom w:val="none" w:sz="0" w:space="0" w:color="auto"/>
                                            <w:right w:val="none" w:sz="0" w:space="0" w:color="auto"/>
                                          </w:divBdr>
                                          <w:divsChild>
                                            <w:div w:id="304742625">
                                              <w:marLeft w:val="0"/>
                                              <w:marRight w:val="0"/>
                                              <w:marTop w:val="0"/>
                                              <w:marBottom w:val="0"/>
                                              <w:divBdr>
                                                <w:top w:val="none" w:sz="0" w:space="0" w:color="auto"/>
                                                <w:left w:val="none" w:sz="0" w:space="0" w:color="auto"/>
                                                <w:bottom w:val="none" w:sz="0" w:space="0" w:color="auto"/>
                                                <w:right w:val="none" w:sz="0" w:space="0" w:color="auto"/>
                                              </w:divBdr>
                                            </w:div>
                                          </w:divsChild>
                                        </w:div>
                                        <w:div w:id="1896891720">
                                          <w:marLeft w:val="0"/>
                                          <w:marRight w:val="0"/>
                                          <w:marTop w:val="0"/>
                                          <w:marBottom w:val="0"/>
                                          <w:divBdr>
                                            <w:top w:val="none" w:sz="0" w:space="0" w:color="auto"/>
                                            <w:left w:val="none" w:sz="0" w:space="0" w:color="auto"/>
                                            <w:bottom w:val="none" w:sz="0" w:space="0" w:color="auto"/>
                                            <w:right w:val="none" w:sz="0" w:space="0" w:color="auto"/>
                                          </w:divBdr>
                                          <w:divsChild>
                                            <w:div w:id="1235706233">
                                              <w:marLeft w:val="0"/>
                                              <w:marRight w:val="0"/>
                                              <w:marTop w:val="0"/>
                                              <w:marBottom w:val="0"/>
                                              <w:divBdr>
                                                <w:top w:val="none" w:sz="0" w:space="0" w:color="auto"/>
                                                <w:left w:val="none" w:sz="0" w:space="0" w:color="auto"/>
                                                <w:bottom w:val="none" w:sz="0" w:space="0" w:color="auto"/>
                                                <w:right w:val="none" w:sz="0" w:space="0" w:color="auto"/>
                                              </w:divBdr>
                                            </w:div>
                                          </w:divsChild>
                                        </w:div>
                                        <w:div w:id="1621953186">
                                          <w:marLeft w:val="0"/>
                                          <w:marRight w:val="0"/>
                                          <w:marTop w:val="0"/>
                                          <w:marBottom w:val="0"/>
                                          <w:divBdr>
                                            <w:top w:val="none" w:sz="0" w:space="0" w:color="auto"/>
                                            <w:left w:val="none" w:sz="0" w:space="0" w:color="auto"/>
                                            <w:bottom w:val="none" w:sz="0" w:space="0" w:color="auto"/>
                                            <w:right w:val="none" w:sz="0" w:space="0" w:color="auto"/>
                                          </w:divBdr>
                                          <w:divsChild>
                                            <w:div w:id="19180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818001">
      <w:bodyDiv w:val="1"/>
      <w:marLeft w:val="0"/>
      <w:marRight w:val="0"/>
      <w:marTop w:val="0"/>
      <w:marBottom w:val="0"/>
      <w:divBdr>
        <w:top w:val="none" w:sz="0" w:space="0" w:color="auto"/>
        <w:left w:val="none" w:sz="0" w:space="0" w:color="auto"/>
        <w:bottom w:val="none" w:sz="0" w:space="0" w:color="auto"/>
        <w:right w:val="none" w:sz="0" w:space="0" w:color="auto"/>
      </w:divBdr>
      <w:divsChild>
        <w:div w:id="195437274">
          <w:marLeft w:val="0"/>
          <w:marRight w:val="0"/>
          <w:marTop w:val="0"/>
          <w:marBottom w:val="0"/>
          <w:divBdr>
            <w:top w:val="none" w:sz="0" w:space="0" w:color="auto"/>
            <w:left w:val="none" w:sz="0" w:space="0" w:color="auto"/>
            <w:bottom w:val="none" w:sz="0" w:space="0" w:color="auto"/>
            <w:right w:val="none" w:sz="0" w:space="0" w:color="auto"/>
          </w:divBdr>
          <w:divsChild>
            <w:div w:id="1525483424">
              <w:marLeft w:val="0"/>
              <w:marRight w:val="0"/>
              <w:marTop w:val="0"/>
              <w:marBottom w:val="0"/>
              <w:divBdr>
                <w:top w:val="none" w:sz="0" w:space="0" w:color="auto"/>
                <w:left w:val="none" w:sz="0" w:space="0" w:color="auto"/>
                <w:bottom w:val="none" w:sz="0" w:space="0" w:color="auto"/>
                <w:right w:val="none" w:sz="0" w:space="0" w:color="auto"/>
              </w:divBdr>
              <w:divsChild>
                <w:div w:id="611743765">
                  <w:marLeft w:val="-375"/>
                  <w:marRight w:val="0"/>
                  <w:marTop w:val="0"/>
                  <w:marBottom w:val="0"/>
                  <w:divBdr>
                    <w:top w:val="none" w:sz="0" w:space="0" w:color="auto"/>
                    <w:left w:val="none" w:sz="0" w:space="0" w:color="auto"/>
                    <w:bottom w:val="none" w:sz="0" w:space="0" w:color="auto"/>
                    <w:right w:val="none" w:sz="0" w:space="0" w:color="auto"/>
                  </w:divBdr>
                  <w:divsChild>
                    <w:div w:id="86705106">
                      <w:marLeft w:val="0"/>
                      <w:marRight w:val="0"/>
                      <w:marTop w:val="0"/>
                      <w:marBottom w:val="0"/>
                      <w:divBdr>
                        <w:top w:val="none" w:sz="0" w:space="0" w:color="auto"/>
                        <w:left w:val="none" w:sz="0" w:space="0" w:color="auto"/>
                        <w:bottom w:val="none" w:sz="0" w:space="0" w:color="auto"/>
                        <w:right w:val="none" w:sz="0" w:space="0" w:color="auto"/>
                      </w:divBdr>
                      <w:divsChild>
                        <w:div w:id="863131667">
                          <w:marLeft w:val="0"/>
                          <w:marRight w:val="0"/>
                          <w:marTop w:val="0"/>
                          <w:marBottom w:val="0"/>
                          <w:divBdr>
                            <w:top w:val="none" w:sz="0" w:space="0" w:color="auto"/>
                            <w:left w:val="none" w:sz="0" w:space="0" w:color="auto"/>
                            <w:bottom w:val="none" w:sz="0" w:space="0" w:color="auto"/>
                            <w:right w:val="none" w:sz="0" w:space="0" w:color="auto"/>
                          </w:divBdr>
                          <w:divsChild>
                            <w:div w:id="21421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19960">
      <w:bodyDiv w:val="1"/>
      <w:marLeft w:val="0"/>
      <w:marRight w:val="0"/>
      <w:marTop w:val="0"/>
      <w:marBottom w:val="0"/>
      <w:divBdr>
        <w:top w:val="none" w:sz="0" w:space="0" w:color="auto"/>
        <w:left w:val="none" w:sz="0" w:space="0" w:color="auto"/>
        <w:bottom w:val="none" w:sz="0" w:space="0" w:color="auto"/>
        <w:right w:val="none" w:sz="0" w:space="0" w:color="auto"/>
      </w:divBdr>
      <w:divsChild>
        <w:div w:id="1190412470">
          <w:marLeft w:val="0"/>
          <w:marRight w:val="0"/>
          <w:marTop w:val="0"/>
          <w:marBottom w:val="0"/>
          <w:divBdr>
            <w:top w:val="none" w:sz="0" w:space="0" w:color="auto"/>
            <w:left w:val="none" w:sz="0" w:space="0" w:color="auto"/>
            <w:bottom w:val="none" w:sz="0" w:space="0" w:color="auto"/>
            <w:right w:val="none" w:sz="0" w:space="0" w:color="auto"/>
          </w:divBdr>
          <w:divsChild>
            <w:div w:id="2094468552">
              <w:marLeft w:val="0"/>
              <w:marRight w:val="0"/>
              <w:marTop w:val="0"/>
              <w:marBottom w:val="0"/>
              <w:divBdr>
                <w:top w:val="none" w:sz="0" w:space="0" w:color="auto"/>
                <w:left w:val="none" w:sz="0" w:space="0" w:color="auto"/>
                <w:bottom w:val="none" w:sz="0" w:space="0" w:color="auto"/>
                <w:right w:val="none" w:sz="0" w:space="0" w:color="auto"/>
              </w:divBdr>
              <w:divsChild>
                <w:div w:id="1361778222">
                  <w:marLeft w:val="0"/>
                  <w:marRight w:val="0"/>
                  <w:marTop w:val="0"/>
                  <w:marBottom w:val="0"/>
                  <w:divBdr>
                    <w:top w:val="none" w:sz="0" w:space="0" w:color="auto"/>
                    <w:left w:val="none" w:sz="0" w:space="0" w:color="auto"/>
                    <w:bottom w:val="none" w:sz="0" w:space="0" w:color="auto"/>
                    <w:right w:val="none" w:sz="0" w:space="0" w:color="auto"/>
                  </w:divBdr>
                  <w:divsChild>
                    <w:div w:id="1676686368">
                      <w:marLeft w:val="0"/>
                      <w:marRight w:val="0"/>
                      <w:marTop w:val="0"/>
                      <w:marBottom w:val="0"/>
                      <w:divBdr>
                        <w:top w:val="none" w:sz="0" w:space="0" w:color="auto"/>
                        <w:left w:val="none" w:sz="0" w:space="0" w:color="auto"/>
                        <w:bottom w:val="none" w:sz="0" w:space="0" w:color="auto"/>
                        <w:right w:val="none" w:sz="0" w:space="0" w:color="auto"/>
                      </w:divBdr>
                      <w:divsChild>
                        <w:div w:id="222178179">
                          <w:marLeft w:val="0"/>
                          <w:marRight w:val="0"/>
                          <w:marTop w:val="0"/>
                          <w:marBottom w:val="450"/>
                          <w:divBdr>
                            <w:top w:val="none" w:sz="0" w:space="0" w:color="auto"/>
                            <w:left w:val="none" w:sz="0" w:space="0" w:color="auto"/>
                            <w:bottom w:val="none" w:sz="0" w:space="0" w:color="auto"/>
                            <w:right w:val="none" w:sz="0" w:space="0" w:color="auto"/>
                          </w:divBdr>
                          <w:divsChild>
                            <w:div w:id="1543906867">
                              <w:marLeft w:val="0"/>
                              <w:marRight w:val="0"/>
                              <w:marTop w:val="0"/>
                              <w:marBottom w:val="0"/>
                              <w:divBdr>
                                <w:top w:val="none" w:sz="0" w:space="0" w:color="auto"/>
                                <w:left w:val="none" w:sz="0" w:space="0" w:color="auto"/>
                                <w:bottom w:val="none" w:sz="0" w:space="0" w:color="auto"/>
                                <w:right w:val="none" w:sz="0" w:space="0" w:color="auto"/>
                              </w:divBdr>
                              <w:divsChild>
                                <w:div w:id="19083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67091">
      <w:bodyDiv w:val="1"/>
      <w:marLeft w:val="0"/>
      <w:marRight w:val="0"/>
      <w:marTop w:val="0"/>
      <w:marBottom w:val="0"/>
      <w:divBdr>
        <w:top w:val="none" w:sz="0" w:space="0" w:color="auto"/>
        <w:left w:val="none" w:sz="0" w:space="0" w:color="auto"/>
        <w:bottom w:val="none" w:sz="0" w:space="0" w:color="auto"/>
        <w:right w:val="none" w:sz="0" w:space="0" w:color="auto"/>
      </w:divBdr>
      <w:divsChild>
        <w:div w:id="732698330">
          <w:marLeft w:val="0"/>
          <w:marRight w:val="0"/>
          <w:marTop w:val="0"/>
          <w:marBottom w:val="0"/>
          <w:divBdr>
            <w:top w:val="none" w:sz="0" w:space="0" w:color="auto"/>
            <w:left w:val="none" w:sz="0" w:space="0" w:color="auto"/>
            <w:bottom w:val="none" w:sz="0" w:space="0" w:color="auto"/>
            <w:right w:val="none" w:sz="0" w:space="0" w:color="auto"/>
          </w:divBdr>
          <w:divsChild>
            <w:div w:id="1046368600">
              <w:marLeft w:val="0"/>
              <w:marRight w:val="0"/>
              <w:marTop w:val="0"/>
              <w:marBottom w:val="450"/>
              <w:divBdr>
                <w:top w:val="none" w:sz="0" w:space="0" w:color="auto"/>
                <w:left w:val="none" w:sz="0" w:space="0" w:color="auto"/>
                <w:bottom w:val="none" w:sz="0" w:space="0" w:color="auto"/>
                <w:right w:val="none" w:sz="0" w:space="0" w:color="auto"/>
              </w:divBdr>
            </w:div>
          </w:divsChild>
        </w:div>
        <w:div w:id="882252262">
          <w:marLeft w:val="0"/>
          <w:marRight w:val="0"/>
          <w:marTop w:val="0"/>
          <w:marBottom w:val="0"/>
          <w:divBdr>
            <w:top w:val="none" w:sz="0" w:space="0" w:color="auto"/>
            <w:left w:val="none" w:sz="0" w:space="0" w:color="auto"/>
            <w:bottom w:val="none" w:sz="0" w:space="0" w:color="auto"/>
            <w:right w:val="none" w:sz="0" w:space="0" w:color="auto"/>
          </w:divBdr>
          <w:divsChild>
            <w:div w:id="890771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94816426">
      <w:bodyDiv w:val="1"/>
      <w:marLeft w:val="0"/>
      <w:marRight w:val="0"/>
      <w:marTop w:val="0"/>
      <w:marBottom w:val="0"/>
      <w:divBdr>
        <w:top w:val="none" w:sz="0" w:space="0" w:color="auto"/>
        <w:left w:val="none" w:sz="0" w:space="0" w:color="auto"/>
        <w:bottom w:val="none" w:sz="0" w:space="0" w:color="auto"/>
        <w:right w:val="none" w:sz="0" w:space="0" w:color="auto"/>
      </w:divBdr>
    </w:div>
    <w:div w:id="398478943">
      <w:bodyDiv w:val="1"/>
      <w:marLeft w:val="0"/>
      <w:marRight w:val="0"/>
      <w:marTop w:val="0"/>
      <w:marBottom w:val="0"/>
      <w:divBdr>
        <w:top w:val="none" w:sz="0" w:space="0" w:color="auto"/>
        <w:left w:val="none" w:sz="0" w:space="0" w:color="auto"/>
        <w:bottom w:val="none" w:sz="0" w:space="0" w:color="auto"/>
        <w:right w:val="none" w:sz="0" w:space="0" w:color="auto"/>
      </w:divBdr>
      <w:divsChild>
        <w:div w:id="606696306">
          <w:marLeft w:val="0"/>
          <w:marRight w:val="0"/>
          <w:marTop w:val="150"/>
          <w:marBottom w:val="0"/>
          <w:divBdr>
            <w:top w:val="none" w:sz="0" w:space="0" w:color="auto"/>
            <w:left w:val="none" w:sz="0" w:space="0" w:color="auto"/>
            <w:bottom w:val="none" w:sz="0" w:space="0" w:color="auto"/>
            <w:right w:val="none" w:sz="0" w:space="0" w:color="auto"/>
          </w:divBdr>
          <w:divsChild>
            <w:div w:id="618612632">
              <w:marLeft w:val="2"/>
              <w:marRight w:val="2"/>
              <w:marTop w:val="0"/>
              <w:marBottom w:val="0"/>
              <w:divBdr>
                <w:top w:val="none" w:sz="0" w:space="0" w:color="auto"/>
                <w:left w:val="none" w:sz="0" w:space="0" w:color="auto"/>
                <w:bottom w:val="none" w:sz="0" w:space="0" w:color="auto"/>
                <w:right w:val="none" w:sz="0" w:space="0" w:color="auto"/>
              </w:divBdr>
              <w:divsChild>
                <w:div w:id="771705272">
                  <w:marLeft w:val="0"/>
                  <w:marRight w:val="0"/>
                  <w:marTop w:val="0"/>
                  <w:marBottom w:val="0"/>
                  <w:divBdr>
                    <w:top w:val="none" w:sz="0" w:space="0" w:color="auto"/>
                    <w:left w:val="none" w:sz="0" w:space="0" w:color="auto"/>
                    <w:bottom w:val="none" w:sz="0" w:space="0" w:color="auto"/>
                    <w:right w:val="none" w:sz="0" w:space="0" w:color="auto"/>
                  </w:divBdr>
                  <w:divsChild>
                    <w:div w:id="582450609">
                      <w:marLeft w:val="0"/>
                      <w:marRight w:val="0"/>
                      <w:marTop w:val="0"/>
                      <w:marBottom w:val="0"/>
                      <w:divBdr>
                        <w:top w:val="none" w:sz="0" w:space="0" w:color="auto"/>
                        <w:left w:val="none" w:sz="0" w:space="0" w:color="auto"/>
                        <w:bottom w:val="none" w:sz="0" w:space="0" w:color="auto"/>
                        <w:right w:val="none" w:sz="0" w:space="0" w:color="auto"/>
                      </w:divBdr>
                      <w:divsChild>
                        <w:div w:id="279459795">
                          <w:marLeft w:val="0"/>
                          <w:marRight w:val="0"/>
                          <w:marTop w:val="0"/>
                          <w:marBottom w:val="0"/>
                          <w:divBdr>
                            <w:top w:val="none" w:sz="0" w:space="0" w:color="auto"/>
                            <w:left w:val="none" w:sz="0" w:space="0" w:color="auto"/>
                            <w:bottom w:val="none" w:sz="0" w:space="0" w:color="auto"/>
                            <w:right w:val="none" w:sz="0" w:space="0" w:color="auto"/>
                          </w:divBdr>
                          <w:divsChild>
                            <w:div w:id="996301607">
                              <w:marLeft w:val="0"/>
                              <w:marRight w:val="0"/>
                              <w:marTop w:val="0"/>
                              <w:marBottom w:val="0"/>
                              <w:divBdr>
                                <w:top w:val="none" w:sz="0" w:space="0" w:color="auto"/>
                                <w:left w:val="none" w:sz="0" w:space="0" w:color="auto"/>
                                <w:bottom w:val="none" w:sz="0" w:space="0" w:color="auto"/>
                                <w:right w:val="none" w:sz="0" w:space="0" w:color="auto"/>
                              </w:divBdr>
                              <w:divsChild>
                                <w:div w:id="1468623878">
                                  <w:marLeft w:val="0"/>
                                  <w:marRight w:val="0"/>
                                  <w:marTop w:val="0"/>
                                  <w:marBottom w:val="0"/>
                                  <w:divBdr>
                                    <w:top w:val="none" w:sz="0" w:space="0" w:color="auto"/>
                                    <w:left w:val="none" w:sz="0" w:space="0" w:color="auto"/>
                                    <w:bottom w:val="none" w:sz="0" w:space="0" w:color="auto"/>
                                    <w:right w:val="none" w:sz="0" w:space="0" w:color="auto"/>
                                  </w:divBdr>
                                  <w:divsChild>
                                    <w:div w:id="192772987">
                                      <w:marLeft w:val="0"/>
                                      <w:marRight w:val="0"/>
                                      <w:marTop w:val="0"/>
                                      <w:marBottom w:val="0"/>
                                      <w:divBdr>
                                        <w:top w:val="none" w:sz="0" w:space="0" w:color="auto"/>
                                        <w:left w:val="none" w:sz="0" w:space="0" w:color="auto"/>
                                        <w:bottom w:val="none" w:sz="0" w:space="0" w:color="auto"/>
                                        <w:right w:val="none" w:sz="0" w:space="0" w:color="auto"/>
                                      </w:divBdr>
                                      <w:divsChild>
                                        <w:div w:id="1108962558">
                                          <w:marLeft w:val="0"/>
                                          <w:marRight w:val="0"/>
                                          <w:marTop w:val="0"/>
                                          <w:marBottom w:val="0"/>
                                          <w:divBdr>
                                            <w:top w:val="none" w:sz="0" w:space="0" w:color="auto"/>
                                            <w:left w:val="none" w:sz="0" w:space="0" w:color="auto"/>
                                            <w:bottom w:val="none" w:sz="0" w:space="0" w:color="auto"/>
                                            <w:right w:val="none" w:sz="0" w:space="0" w:color="auto"/>
                                          </w:divBdr>
                                          <w:divsChild>
                                            <w:div w:id="989141203">
                                              <w:marLeft w:val="0"/>
                                              <w:marRight w:val="0"/>
                                              <w:marTop w:val="0"/>
                                              <w:marBottom w:val="0"/>
                                              <w:divBdr>
                                                <w:top w:val="none" w:sz="0" w:space="0" w:color="auto"/>
                                                <w:left w:val="none" w:sz="0" w:space="0" w:color="auto"/>
                                                <w:bottom w:val="none" w:sz="0" w:space="0" w:color="auto"/>
                                                <w:right w:val="none" w:sz="0" w:space="0" w:color="auto"/>
                                              </w:divBdr>
                                              <w:divsChild>
                                                <w:div w:id="2017147763">
                                                  <w:marLeft w:val="0"/>
                                                  <w:marRight w:val="0"/>
                                                  <w:marTop w:val="0"/>
                                                  <w:marBottom w:val="0"/>
                                                  <w:divBdr>
                                                    <w:top w:val="none" w:sz="0" w:space="0" w:color="auto"/>
                                                    <w:left w:val="none" w:sz="0" w:space="0" w:color="auto"/>
                                                    <w:bottom w:val="none" w:sz="0" w:space="0" w:color="auto"/>
                                                    <w:right w:val="none" w:sz="0" w:space="0" w:color="auto"/>
                                                  </w:divBdr>
                                                  <w:divsChild>
                                                    <w:div w:id="8150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8818">
                                              <w:marLeft w:val="0"/>
                                              <w:marRight w:val="0"/>
                                              <w:marTop w:val="0"/>
                                              <w:marBottom w:val="0"/>
                                              <w:divBdr>
                                                <w:top w:val="none" w:sz="0" w:space="0" w:color="auto"/>
                                                <w:left w:val="none" w:sz="0" w:space="0" w:color="auto"/>
                                                <w:bottom w:val="none" w:sz="0" w:space="0" w:color="auto"/>
                                                <w:right w:val="none" w:sz="0" w:space="0" w:color="auto"/>
                                              </w:divBdr>
                                              <w:divsChild>
                                                <w:div w:id="1543133747">
                                                  <w:marLeft w:val="0"/>
                                                  <w:marRight w:val="0"/>
                                                  <w:marTop w:val="0"/>
                                                  <w:marBottom w:val="0"/>
                                                  <w:divBdr>
                                                    <w:top w:val="none" w:sz="0" w:space="0" w:color="auto"/>
                                                    <w:left w:val="none" w:sz="0" w:space="0" w:color="auto"/>
                                                    <w:bottom w:val="none" w:sz="0" w:space="0" w:color="auto"/>
                                                    <w:right w:val="none" w:sz="0" w:space="0" w:color="auto"/>
                                                  </w:divBdr>
                                                </w:div>
                                                <w:div w:id="1354108522">
                                                  <w:marLeft w:val="0"/>
                                                  <w:marRight w:val="0"/>
                                                  <w:marTop w:val="0"/>
                                                  <w:marBottom w:val="0"/>
                                                  <w:divBdr>
                                                    <w:top w:val="none" w:sz="0" w:space="0" w:color="auto"/>
                                                    <w:left w:val="none" w:sz="0" w:space="0" w:color="auto"/>
                                                    <w:bottom w:val="none" w:sz="0" w:space="0" w:color="auto"/>
                                                    <w:right w:val="none" w:sz="0" w:space="0" w:color="auto"/>
                                                  </w:divBdr>
                                                  <w:divsChild>
                                                    <w:div w:id="924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55">
                                          <w:marLeft w:val="0"/>
                                          <w:marRight w:val="0"/>
                                          <w:marTop w:val="0"/>
                                          <w:marBottom w:val="0"/>
                                          <w:divBdr>
                                            <w:top w:val="none" w:sz="0" w:space="0" w:color="auto"/>
                                            <w:left w:val="none" w:sz="0" w:space="0" w:color="auto"/>
                                            <w:bottom w:val="none" w:sz="0" w:space="0" w:color="auto"/>
                                            <w:right w:val="none" w:sz="0" w:space="0" w:color="auto"/>
                                          </w:divBdr>
                                          <w:divsChild>
                                            <w:div w:id="1366369046">
                                              <w:marLeft w:val="0"/>
                                              <w:marRight w:val="0"/>
                                              <w:marTop w:val="0"/>
                                              <w:marBottom w:val="0"/>
                                              <w:divBdr>
                                                <w:top w:val="none" w:sz="0" w:space="0" w:color="auto"/>
                                                <w:left w:val="none" w:sz="0" w:space="0" w:color="auto"/>
                                                <w:bottom w:val="none" w:sz="0" w:space="0" w:color="auto"/>
                                                <w:right w:val="none" w:sz="0" w:space="0" w:color="auto"/>
                                              </w:divBdr>
                                              <w:divsChild>
                                                <w:div w:id="779571715">
                                                  <w:marLeft w:val="0"/>
                                                  <w:marRight w:val="0"/>
                                                  <w:marTop w:val="0"/>
                                                  <w:marBottom w:val="0"/>
                                                  <w:divBdr>
                                                    <w:top w:val="none" w:sz="0" w:space="0" w:color="auto"/>
                                                    <w:left w:val="none" w:sz="0" w:space="0" w:color="auto"/>
                                                    <w:bottom w:val="none" w:sz="0" w:space="0" w:color="auto"/>
                                                    <w:right w:val="none" w:sz="0" w:space="0" w:color="auto"/>
                                                  </w:divBdr>
                                                  <w:divsChild>
                                                    <w:div w:id="690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749099">
      <w:bodyDiv w:val="1"/>
      <w:marLeft w:val="0"/>
      <w:marRight w:val="0"/>
      <w:marTop w:val="0"/>
      <w:marBottom w:val="0"/>
      <w:divBdr>
        <w:top w:val="none" w:sz="0" w:space="0" w:color="auto"/>
        <w:left w:val="none" w:sz="0" w:space="0" w:color="auto"/>
        <w:bottom w:val="none" w:sz="0" w:space="0" w:color="auto"/>
        <w:right w:val="none" w:sz="0" w:space="0" w:color="auto"/>
      </w:divBdr>
      <w:divsChild>
        <w:div w:id="444692262">
          <w:marLeft w:val="0"/>
          <w:marRight w:val="0"/>
          <w:marTop w:val="150"/>
          <w:marBottom w:val="0"/>
          <w:divBdr>
            <w:top w:val="none" w:sz="0" w:space="0" w:color="auto"/>
            <w:left w:val="none" w:sz="0" w:space="0" w:color="auto"/>
            <w:bottom w:val="none" w:sz="0" w:space="0" w:color="auto"/>
            <w:right w:val="none" w:sz="0" w:space="0" w:color="auto"/>
          </w:divBdr>
          <w:divsChild>
            <w:div w:id="268316289">
              <w:marLeft w:val="2"/>
              <w:marRight w:val="2"/>
              <w:marTop w:val="0"/>
              <w:marBottom w:val="0"/>
              <w:divBdr>
                <w:top w:val="none" w:sz="0" w:space="0" w:color="auto"/>
                <w:left w:val="none" w:sz="0" w:space="0" w:color="auto"/>
                <w:bottom w:val="none" w:sz="0" w:space="0" w:color="auto"/>
                <w:right w:val="none" w:sz="0" w:space="0" w:color="auto"/>
              </w:divBdr>
              <w:divsChild>
                <w:div w:id="1407340113">
                  <w:marLeft w:val="0"/>
                  <w:marRight w:val="0"/>
                  <w:marTop w:val="0"/>
                  <w:marBottom w:val="0"/>
                  <w:divBdr>
                    <w:top w:val="none" w:sz="0" w:space="0" w:color="auto"/>
                    <w:left w:val="none" w:sz="0" w:space="0" w:color="auto"/>
                    <w:bottom w:val="none" w:sz="0" w:space="0" w:color="auto"/>
                    <w:right w:val="none" w:sz="0" w:space="0" w:color="auto"/>
                  </w:divBdr>
                  <w:divsChild>
                    <w:div w:id="1240334498">
                      <w:marLeft w:val="0"/>
                      <w:marRight w:val="0"/>
                      <w:marTop w:val="0"/>
                      <w:marBottom w:val="0"/>
                      <w:divBdr>
                        <w:top w:val="none" w:sz="0" w:space="0" w:color="auto"/>
                        <w:left w:val="none" w:sz="0" w:space="0" w:color="auto"/>
                        <w:bottom w:val="none" w:sz="0" w:space="0" w:color="auto"/>
                        <w:right w:val="none" w:sz="0" w:space="0" w:color="auto"/>
                      </w:divBdr>
                      <w:divsChild>
                        <w:div w:id="799344862">
                          <w:marLeft w:val="0"/>
                          <w:marRight w:val="0"/>
                          <w:marTop w:val="0"/>
                          <w:marBottom w:val="0"/>
                          <w:divBdr>
                            <w:top w:val="none" w:sz="0" w:space="0" w:color="auto"/>
                            <w:left w:val="none" w:sz="0" w:space="0" w:color="auto"/>
                            <w:bottom w:val="none" w:sz="0" w:space="0" w:color="auto"/>
                            <w:right w:val="none" w:sz="0" w:space="0" w:color="auto"/>
                          </w:divBdr>
                          <w:divsChild>
                            <w:div w:id="2000306172">
                              <w:marLeft w:val="0"/>
                              <w:marRight w:val="0"/>
                              <w:marTop w:val="0"/>
                              <w:marBottom w:val="0"/>
                              <w:divBdr>
                                <w:top w:val="none" w:sz="0" w:space="0" w:color="auto"/>
                                <w:left w:val="none" w:sz="0" w:space="0" w:color="auto"/>
                                <w:bottom w:val="none" w:sz="0" w:space="0" w:color="auto"/>
                                <w:right w:val="none" w:sz="0" w:space="0" w:color="auto"/>
                              </w:divBdr>
                              <w:divsChild>
                                <w:div w:id="677075727">
                                  <w:marLeft w:val="0"/>
                                  <w:marRight w:val="0"/>
                                  <w:marTop w:val="0"/>
                                  <w:marBottom w:val="0"/>
                                  <w:divBdr>
                                    <w:top w:val="none" w:sz="0" w:space="0" w:color="auto"/>
                                    <w:left w:val="none" w:sz="0" w:space="0" w:color="auto"/>
                                    <w:bottom w:val="none" w:sz="0" w:space="0" w:color="auto"/>
                                    <w:right w:val="none" w:sz="0" w:space="0" w:color="auto"/>
                                  </w:divBdr>
                                  <w:divsChild>
                                    <w:div w:id="2067099487">
                                      <w:marLeft w:val="0"/>
                                      <w:marRight w:val="0"/>
                                      <w:marTop w:val="0"/>
                                      <w:marBottom w:val="0"/>
                                      <w:divBdr>
                                        <w:top w:val="none" w:sz="0" w:space="0" w:color="auto"/>
                                        <w:left w:val="none" w:sz="0" w:space="0" w:color="auto"/>
                                        <w:bottom w:val="none" w:sz="0" w:space="0" w:color="auto"/>
                                        <w:right w:val="none" w:sz="0" w:space="0" w:color="auto"/>
                                      </w:divBdr>
                                      <w:divsChild>
                                        <w:div w:id="1951546459">
                                          <w:marLeft w:val="0"/>
                                          <w:marRight w:val="0"/>
                                          <w:marTop w:val="0"/>
                                          <w:marBottom w:val="0"/>
                                          <w:divBdr>
                                            <w:top w:val="none" w:sz="0" w:space="0" w:color="auto"/>
                                            <w:left w:val="none" w:sz="0" w:space="0" w:color="auto"/>
                                            <w:bottom w:val="none" w:sz="0" w:space="0" w:color="auto"/>
                                            <w:right w:val="none" w:sz="0" w:space="0" w:color="auto"/>
                                          </w:divBdr>
                                          <w:divsChild>
                                            <w:div w:id="485360110">
                                              <w:marLeft w:val="0"/>
                                              <w:marRight w:val="0"/>
                                              <w:marTop w:val="0"/>
                                              <w:marBottom w:val="0"/>
                                              <w:divBdr>
                                                <w:top w:val="none" w:sz="0" w:space="0" w:color="auto"/>
                                                <w:left w:val="none" w:sz="0" w:space="0" w:color="auto"/>
                                                <w:bottom w:val="none" w:sz="0" w:space="0" w:color="auto"/>
                                                <w:right w:val="none" w:sz="0" w:space="0" w:color="auto"/>
                                              </w:divBdr>
                                              <w:divsChild>
                                                <w:div w:id="1486164126">
                                                  <w:marLeft w:val="0"/>
                                                  <w:marRight w:val="0"/>
                                                  <w:marTop w:val="0"/>
                                                  <w:marBottom w:val="0"/>
                                                  <w:divBdr>
                                                    <w:top w:val="none" w:sz="0" w:space="0" w:color="auto"/>
                                                    <w:left w:val="none" w:sz="0" w:space="0" w:color="auto"/>
                                                    <w:bottom w:val="none" w:sz="0" w:space="0" w:color="auto"/>
                                                    <w:right w:val="none" w:sz="0" w:space="0" w:color="auto"/>
                                                  </w:divBdr>
                                                </w:div>
                                              </w:divsChild>
                                            </w:div>
                                            <w:div w:id="1115052947">
                                              <w:marLeft w:val="0"/>
                                              <w:marRight w:val="0"/>
                                              <w:marTop w:val="0"/>
                                              <w:marBottom w:val="0"/>
                                              <w:divBdr>
                                                <w:top w:val="none" w:sz="0" w:space="0" w:color="auto"/>
                                                <w:left w:val="none" w:sz="0" w:space="0" w:color="auto"/>
                                                <w:bottom w:val="none" w:sz="0" w:space="0" w:color="auto"/>
                                                <w:right w:val="none" w:sz="0" w:space="0" w:color="auto"/>
                                              </w:divBdr>
                                              <w:divsChild>
                                                <w:div w:id="358630440">
                                                  <w:marLeft w:val="0"/>
                                                  <w:marRight w:val="0"/>
                                                  <w:marTop w:val="0"/>
                                                  <w:marBottom w:val="0"/>
                                                  <w:divBdr>
                                                    <w:top w:val="none" w:sz="0" w:space="0" w:color="auto"/>
                                                    <w:left w:val="none" w:sz="0" w:space="0" w:color="auto"/>
                                                    <w:bottom w:val="none" w:sz="0" w:space="0" w:color="auto"/>
                                                    <w:right w:val="none" w:sz="0" w:space="0" w:color="auto"/>
                                                  </w:divBdr>
                                                </w:div>
                                              </w:divsChild>
                                            </w:div>
                                            <w:div w:id="1402413036">
                                              <w:marLeft w:val="0"/>
                                              <w:marRight w:val="0"/>
                                              <w:marTop w:val="0"/>
                                              <w:marBottom w:val="0"/>
                                              <w:divBdr>
                                                <w:top w:val="none" w:sz="0" w:space="0" w:color="auto"/>
                                                <w:left w:val="none" w:sz="0" w:space="0" w:color="auto"/>
                                                <w:bottom w:val="none" w:sz="0" w:space="0" w:color="auto"/>
                                                <w:right w:val="none" w:sz="0" w:space="0" w:color="auto"/>
                                              </w:divBdr>
                                              <w:divsChild>
                                                <w:div w:id="882593823">
                                                  <w:marLeft w:val="0"/>
                                                  <w:marRight w:val="0"/>
                                                  <w:marTop w:val="0"/>
                                                  <w:marBottom w:val="0"/>
                                                  <w:divBdr>
                                                    <w:top w:val="none" w:sz="0" w:space="0" w:color="auto"/>
                                                    <w:left w:val="none" w:sz="0" w:space="0" w:color="auto"/>
                                                    <w:bottom w:val="none" w:sz="0" w:space="0" w:color="auto"/>
                                                    <w:right w:val="none" w:sz="0" w:space="0" w:color="auto"/>
                                                  </w:divBdr>
                                                </w:div>
                                              </w:divsChild>
                                            </w:div>
                                            <w:div w:id="1755390744">
                                              <w:marLeft w:val="0"/>
                                              <w:marRight w:val="0"/>
                                              <w:marTop w:val="0"/>
                                              <w:marBottom w:val="0"/>
                                              <w:divBdr>
                                                <w:top w:val="none" w:sz="0" w:space="0" w:color="auto"/>
                                                <w:left w:val="none" w:sz="0" w:space="0" w:color="auto"/>
                                                <w:bottom w:val="none" w:sz="0" w:space="0" w:color="auto"/>
                                                <w:right w:val="none" w:sz="0" w:space="0" w:color="auto"/>
                                              </w:divBdr>
                                              <w:divsChild>
                                                <w:div w:id="9274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869878">
      <w:bodyDiv w:val="1"/>
      <w:marLeft w:val="0"/>
      <w:marRight w:val="0"/>
      <w:marTop w:val="0"/>
      <w:marBottom w:val="0"/>
      <w:divBdr>
        <w:top w:val="none" w:sz="0" w:space="0" w:color="auto"/>
        <w:left w:val="none" w:sz="0" w:space="0" w:color="auto"/>
        <w:bottom w:val="none" w:sz="0" w:space="0" w:color="auto"/>
        <w:right w:val="none" w:sz="0" w:space="0" w:color="auto"/>
      </w:divBdr>
      <w:divsChild>
        <w:div w:id="545146485">
          <w:marLeft w:val="0"/>
          <w:marRight w:val="0"/>
          <w:marTop w:val="0"/>
          <w:marBottom w:val="0"/>
          <w:divBdr>
            <w:top w:val="none" w:sz="0" w:space="0" w:color="auto"/>
            <w:left w:val="none" w:sz="0" w:space="0" w:color="auto"/>
            <w:bottom w:val="none" w:sz="0" w:space="0" w:color="auto"/>
            <w:right w:val="none" w:sz="0" w:space="0" w:color="auto"/>
          </w:divBdr>
          <w:divsChild>
            <w:div w:id="1570995033">
              <w:marLeft w:val="0"/>
              <w:marRight w:val="0"/>
              <w:marTop w:val="0"/>
              <w:marBottom w:val="0"/>
              <w:divBdr>
                <w:top w:val="none" w:sz="0" w:space="0" w:color="auto"/>
                <w:left w:val="none" w:sz="0" w:space="0" w:color="auto"/>
                <w:bottom w:val="none" w:sz="0" w:space="0" w:color="auto"/>
                <w:right w:val="none" w:sz="0" w:space="0" w:color="auto"/>
              </w:divBdr>
              <w:divsChild>
                <w:div w:id="911889690">
                  <w:marLeft w:val="0"/>
                  <w:marRight w:val="0"/>
                  <w:marTop w:val="0"/>
                  <w:marBottom w:val="0"/>
                  <w:divBdr>
                    <w:top w:val="none" w:sz="0" w:space="0" w:color="auto"/>
                    <w:left w:val="none" w:sz="0" w:space="0" w:color="auto"/>
                    <w:bottom w:val="none" w:sz="0" w:space="0" w:color="auto"/>
                    <w:right w:val="none" w:sz="0" w:space="0" w:color="auto"/>
                  </w:divBdr>
                  <w:divsChild>
                    <w:div w:id="1723090016">
                      <w:marLeft w:val="0"/>
                      <w:marRight w:val="0"/>
                      <w:marTop w:val="0"/>
                      <w:marBottom w:val="0"/>
                      <w:divBdr>
                        <w:top w:val="none" w:sz="0" w:space="0" w:color="auto"/>
                        <w:left w:val="none" w:sz="0" w:space="0" w:color="auto"/>
                        <w:bottom w:val="none" w:sz="0" w:space="0" w:color="auto"/>
                        <w:right w:val="none" w:sz="0" w:space="0" w:color="auto"/>
                      </w:divBdr>
                      <w:divsChild>
                        <w:div w:id="7308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408004">
      <w:bodyDiv w:val="1"/>
      <w:marLeft w:val="0"/>
      <w:marRight w:val="0"/>
      <w:marTop w:val="0"/>
      <w:marBottom w:val="0"/>
      <w:divBdr>
        <w:top w:val="none" w:sz="0" w:space="0" w:color="auto"/>
        <w:left w:val="none" w:sz="0" w:space="0" w:color="auto"/>
        <w:bottom w:val="none" w:sz="0" w:space="0" w:color="auto"/>
        <w:right w:val="none" w:sz="0" w:space="0" w:color="auto"/>
      </w:divBdr>
      <w:divsChild>
        <w:div w:id="2036151451">
          <w:marLeft w:val="0"/>
          <w:marRight w:val="0"/>
          <w:marTop w:val="0"/>
          <w:marBottom w:val="0"/>
          <w:divBdr>
            <w:top w:val="none" w:sz="0" w:space="0" w:color="auto"/>
            <w:left w:val="none" w:sz="0" w:space="0" w:color="auto"/>
            <w:bottom w:val="none" w:sz="0" w:space="0" w:color="auto"/>
            <w:right w:val="none" w:sz="0" w:space="0" w:color="auto"/>
          </w:divBdr>
          <w:divsChild>
            <w:div w:id="1582328616">
              <w:marLeft w:val="0"/>
              <w:marRight w:val="0"/>
              <w:marTop w:val="0"/>
              <w:marBottom w:val="0"/>
              <w:divBdr>
                <w:top w:val="none" w:sz="0" w:space="0" w:color="auto"/>
                <w:left w:val="none" w:sz="0" w:space="0" w:color="auto"/>
                <w:bottom w:val="none" w:sz="0" w:space="0" w:color="auto"/>
                <w:right w:val="none" w:sz="0" w:space="0" w:color="auto"/>
              </w:divBdr>
              <w:divsChild>
                <w:div w:id="17320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9189">
          <w:marLeft w:val="0"/>
          <w:marRight w:val="0"/>
          <w:marTop w:val="0"/>
          <w:marBottom w:val="0"/>
          <w:divBdr>
            <w:top w:val="none" w:sz="0" w:space="0" w:color="auto"/>
            <w:left w:val="none" w:sz="0" w:space="0" w:color="auto"/>
            <w:bottom w:val="none" w:sz="0" w:space="0" w:color="auto"/>
            <w:right w:val="none" w:sz="0" w:space="0" w:color="auto"/>
          </w:divBdr>
          <w:divsChild>
            <w:div w:id="9073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0851">
      <w:bodyDiv w:val="1"/>
      <w:marLeft w:val="0"/>
      <w:marRight w:val="0"/>
      <w:marTop w:val="0"/>
      <w:marBottom w:val="0"/>
      <w:divBdr>
        <w:top w:val="none" w:sz="0" w:space="0" w:color="auto"/>
        <w:left w:val="none" w:sz="0" w:space="0" w:color="auto"/>
        <w:bottom w:val="none" w:sz="0" w:space="0" w:color="auto"/>
        <w:right w:val="none" w:sz="0" w:space="0" w:color="auto"/>
      </w:divBdr>
      <w:divsChild>
        <w:div w:id="779882271">
          <w:marLeft w:val="0"/>
          <w:marRight w:val="0"/>
          <w:marTop w:val="0"/>
          <w:marBottom w:val="0"/>
          <w:divBdr>
            <w:top w:val="single" w:sz="6" w:space="0" w:color="0E477A"/>
            <w:left w:val="single" w:sz="6" w:space="0" w:color="0E477A"/>
            <w:bottom w:val="single" w:sz="6" w:space="0" w:color="0E477A"/>
            <w:right w:val="single" w:sz="6" w:space="0" w:color="0E477A"/>
          </w:divBdr>
          <w:divsChild>
            <w:div w:id="1207376802">
              <w:marLeft w:val="0"/>
              <w:marRight w:val="0"/>
              <w:marTop w:val="0"/>
              <w:marBottom w:val="0"/>
              <w:divBdr>
                <w:top w:val="none" w:sz="0" w:space="0" w:color="auto"/>
                <w:left w:val="none" w:sz="0" w:space="0" w:color="auto"/>
                <w:bottom w:val="none" w:sz="0" w:space="0" w:color="auto"/>
                <w:right w:val="none" w:sz="0" w:space="0" w:color="auto"/>
              </w:divBdr>
              <w:divsChild>
                <w:div w:id="1973974593">
                  <w:marLeft w:val="0"/>
                  <w:marRight w:val="0"/>
                  <w:marTop w:val="0"/>
                  <w:marBottom w:val="0"/>
                  <w:divBdr>
                    <w:top w:val="none" w:sz="0" w:space="0" w:color="auto"/>
                    <w:left w:val="none" w:sz="0" w:space="0" w:color="auto"/>
                    <w:bottom w:val="none" w:sz="0" w:space="0" w:color="auto"/>
                    <w:right w:val="none" w:sz="0" w:space="0" w:color="auto"/>
                  </w:divBdr>
                  <w:divsChild>
                    <w:div w:id="1977098856">
                      <w:marLeft w:val="0"/>
                      <w:marRight w:val="0"/>
                      <w:marTop w:val="0"/>
                      <w:marBottom w:val="0"/>
                      <w:divBdr>
                        <w:top w:val="none" w:sz="0" w:space="0" w:color="auto"/>
                        <w:left w:val="none" w:sz="0" w:space="0" w:color="auto"/>
                        <w:bottom w:val="none" w:sz="0" w:space="0" w:color="auto"/>
                        <w:right w:val="none" w:sz="0" w:space="0" w:color="auto"/>
                      </w:divBdr>
                      <w:divsChild>
                        <w:div w:id="59333495">
                          <w:marLeft w:val="0"/>
                          <w:marRight w:val="0"/>
                          <w:marTop w:val="0"/>
                          <w:marBottom w:val="0"/>
                          <w:divBdr>
                            <w:top w:val="none" w:sz="0" w:space="0" w:color="auto"/>
                            <w:left w:val="none" w:sz="0" w:space="0" w:color="auto"/>
                            <w:bottom w:val="none" w:sz="0" w:space="0" w:color="auto"/>
                            <w:right w:val="none" w:sz="0" w:space="0" w:color="auto"/>
                          </w:divBdr>
                          <w:divsChild>
                            <w:div w:id="851455686">
                              <w:marLeft w:val="0"/>
                              <w:marRight w:val="0"/>
                              <w:marTop w:val="0"/>
                              <w:marBottom w:val="0"/>
                              <w:divBdr>
                                <w:top w:val="none" w:sz="0" w:space="0" w:color="auto"/>
                                <w:left w:val="none" w:sz="0" w:space="0" w:color="auto"/>
                                <w:bottom w:val="none" w:sz="0" w:space="0" w:color="auto"/>
                                <w:right w:val="none" w:sz="0" w:space="0" w:color="auto"/>
                              </w:divBdr>
                              <w:divsChild>
                                <w:div w:id="771633167">
                                  <w:marLeft w:val="0"/>
                                  <w:marRight w:val="0"/>
                                  <w:marTop w:val="0"/>
                                  <w:marBottom w:val="0"/>
                                  <w:divBdr>
                                    <w:top w:val="none" w:sz="0" w:space="0" w:color="auto"/>
                                    <w:left w:val="none" w:sz="0" w:space="0" w:color="auto"/>
                                    <w:bottom w:val="none" w:sz="0" w:space="0" w:color="auto"/>
                                    <w:right w:val="none" w:sz="0" w:space="0" w:color="auto"/>
                                  </w:divBdr>
                                  <w:divsChild>
                                    <w:div w:id="285425800">
                                      <w:marLeft w:val="0"/>
                                      <w:marRight w:val="0"/>
                                      <w:marTop w:val="0"/>
                                      <w:marBottom w:val="0"/>
                                      <w:divBdr>
                                        <w:top w:val="none" w:sz="0" w:space="0" w:color="auto"/>
                                        <w:left w:val="none" w:sz="0" w:space="0" w:color="auto"/>
                                        <w:bottom w:val="none" w:sz="0" w:space="0" w:color="auto"/>
                                        <w:right w:val="none" w:sz="0" w:space="0" w:color="auto"/>
                                      </w:divBdr>
                                      <w:divsChild>
                                        <w:div w:id="978152559">
                                          <w:marLeft w:val="0"/>
                                          <w:marRight w:val="0"/>
                                          <w:marTop w:val="0"/>
                                          <w:marBottom w:val="0"/>
                                          <w:divBdr>
                                            <w:top w:val="none" w:sz="0" w:space="0" w:color="auto"/>
                                            <w:left w:val="none" w:sz="0" w:space="0" w:color="auto"/>
                                            <w:bottom w:val="none" w:sz="0" w:space="0" w:color="auto"/>
                                            <w:right w:val="none" w:sz="0" w:space="0" w:color="auto"/>
                                          </w:divBdr>
                                          <w:divsChild>
                                            <w:div w:id="73670032">
                                              <w:marLeft w:val="0"/>
                                              <w:marRight w:val="0"/>
                                              <w:marTop w:val="0"/>
                                              <w:marBottom w:val="0"/>
                                              <w:divBdr>
                                                <w:top w:val="none" w:sz="0" w:space="0" w:color="auto"/>
                                                <w:left w:val="none" w:sz="0" w:space="0" w:color="auto"/>
                                                <w:bottom w:val="none" w:sz="0" w:space="0" w:color="auto"/>
                                                <w:right w:val="none" w:sz="0" w:space="0" w:color="auto"/>
                                              </w:divBdr>
                                              <w:divsChild>
                                                <w:div w:id="11738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984358">
      <w:bodyDiv w:val="1"/>
      <w:marLeft w:val="0"/>
      <w:marRight w:val="0"/>
      <w:marTop w:val="0"/>
      <w:marBottom w:val="0"/>
      <w:divBdr>
        <w:top w:val="none" w:sz="0" w:space="0" w:color="auto"/>
        <w:left w:val="none" w:sz="0" w:space="0" w:color="auto"/>
        <w:bottom w:val="none" w:sz="0" w:space="0" w:color="auto"/>
        <w:right w:val="none" w:sz="0" w:space="0" w:color="auto"/>
      </w:divBdr>
      <w:divsChild>
        <w:div w:id="2142309904">
          <w:marLeft w:val="0"/>
          <w:marRight w:val="0"/>
          <w:marTop w:val="0"/>
          <w:marBottom w:val="0"/>
          <w:divBdr>
            <w:top w:val="none" w:sz="0" w:space="0" w:color="auto"/>
            <w:left w:val="none" w:sz="0" w:space="0" w:color="auto"/>
            <w:bottom w:val="none" w:sz="0" w:space="0" w:color="auto"/>
            <w:right w:val="none" w:sz="0" w:space="0" w:color="auto"/>
          </w:divBdr>
        </w:div>
        <w:div w:id="60753946">
          <w:marLeft w:val="0"/>
          <w:marRight w:val="0"/>
          <w:marTop w:val="0"/>
          <w:marBottom w:val="150"/>
          <w:divBdr>
            <w:top w:val="none" w:sz="0" w:space="0" w:color="auto"/>
            <w:left w:val="none" w:sz="0" w:space="0" w:color="auto"/>
            <w:bottom w:val="none" w:sz="0" w:space="0" w:color="auto"/>
            <w:right w:val="none" w:sz="0" w:space="0" w:color="auto"/>
          </w:divBdr>
          <w:divsChild>
            <w:div w:id="1547644324">
              <w:marLeft w:val="0"/>
              <w:marRight w:val="0"/>
              <w:marTop w:val="0"/>
              <w:marBottom w:val="0"/>
              <w:divBdr>
                <w:top w:val="none" w:sz="0" w:space="0" w:color="auto"/>
                <w:left w:val="none" w:sz="0" w:space="0" w:color="auto"/>
                <w:bottom w:val="none" w:sz="0" w:space="0" w:color="auto"/>
                <w:right w:val="none" w:sz="0" w:space="0" w:color="auto"/>
              </w:divBdr>
              <w:divsChild>
                <w:div w:id="399254810">
                  <w:marLeft w:val="0"/>
                  <w:marRight w:val="225"/>
                  <w:marTop w:val="0"/>
                  <w:marBottom w:val="0"/>
                  <w:divBdr>
                    <w:top w:val="none" w:sz="0" w:space="0" w:color="auto"/>
                    <w:left w:val="none" w:sz="0" w:space="0" w:color="auto"/>
                    <w:bottom w:val="none" w:sz="0" w:space="0" w:color="auto"/>
                    <w:right w:val="none" w:sz="0" w:space="0" w:color="auto"/>
                  </w:divBdr>
                  <w:divsChild>
                    <w:div w:id="20206455">
                      <w:marLeft w:val="0"/>
                      <w:marRight w:val="0"/>
                      <w:marTop w:val="0"/>
                      <w:marBottom w:val="0"/>
                      <w:divBdr>
                        <w:top w:val="none" w:sz="0" w:space="0" w:color="auto"/>
                        <w:left w:val="none" w:sz="0" w:space="0" w:color="auto"/>
                        <w:bottom w:val="none" w:sz="0" w:space="0" w:color="auto"/>
                        <w:right w:val="none" w:sz="0" w:space="0" w:color="auto"/>
                      </w:divBdr>
                    </w:div>
                  </w:divsChild>
                </w:div>
                <w:div w:id="815220068">
                  <w:marLeft w:val="0"/>
                  <w:marRight w:val="225"/>
                  <w:marTop w:val="0"/>
                  <w:marBottom w:val="0"/>
                  <w:divBdr>
                    <w:top w:val="none" w:sz="0" w:space="0" w:color="auto"/>
                    <w:left w:val="none" w:sz="0" w:space="0" w:color="auto"/>
                    <w:bottom w:val="none" w:sz="0" w:space="0" w:color="auto"/>
                    <w:right w:val="none" w:sz="0" w:space="0" w:color="auto"/>
                  </w:divBdr>
                  <w:divsChild>
                    <w:div w:id="1758818089">
                      <w:marLeft w:val="0"/>
                      <w:marRight w:val="0"/>
                      <w:marTop w:val="0"/>
                      <w:marBottom w:val="0"/>
                      <w:divBdr>
                        <w:top w:val="none" w:sz="0" w:space="0" w:color="auto"/>
                        <w:left w:val="none" w:sz="0" w:space="0" w:color="auto"/>
                        <w:bottom w:val="none" w:sz="0" w:space="0" w:color="auto"/>
                        <w:right w:val="none" w:sz="0" w:space="0" w:color="auto"/>
                      </w:divBdr>
                    </w:div>
                  </w:divsChild>
                </w:div>
                <w:div w:id="1379357464">
                  <w:marLeft w:val="0"/>
                  <w:marRight w:val="225"/>
                  <w:marTop w:val="0"/>
                  <w:marBottom w:val="0"/>
                  <w:divBdr>
                    <w:top w:val="none" w:sz="0" w:space="0" w:color="auto"/>
                    <w:left w:val="none" w:sz="0" w:space="0" w:color="auto"/>
                    <w:bottom w:val="none" w:sz="0" w:space="0" w:color="auto"/>
                    <w:right w:val="none" w:sz="0" w:space="0" w:color="auto"/>
                  </w:divBdr>
                  <w:divsChild>
                    <w:div w:id="6860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6258">
          <w:marLeft w:val="0"/>
          <w:marRight w:val="0"/>
          <w:marTop w:val="0"/>
          <w:marBottom w:val="150"/>
          <w:divBdr>
            <w:top w:val="none" w:sz="0" w:space="0" w:color="auto"/>
            <w:left w:val="none" w:sz="0" w:space="0" w:color="auto"/>
            <w:bottom w:val="none" w:sz="0" w:space="0" w:color="auto"/>
            <w:right w:val="none" w:sz="0" w:space="0" w:color="auto"/>
          </w:divBdr>
        </w:div>
      </w:divsChild>
    </w:div>
    <w:div w:id="402334696">
      <w:bodyDiv w:val="1"/>
      <w:marLeft w:val="0"/>
      <w:marRight w:val="0"/>
      <w:marTop w:val="0"/>
      <w:marBottom w:val="0"/>
      <w:divBdr>
        <w:top w:val="none" w:sz="0" w:space="0" w:color="auto"/>
        <w:left w:val="none" w:sz="0" w:space="0" w:color="auto"/>
        <w:bottom w:val="none" w:sz="0" w:space="0" w:color="auto"/>
        <w:right w:val="none" w:sz="0" w:space="0" w:color="auto"/>
      </w:divBdr>
    </w:div>
    <w:div w:id="403138809">
      <w:bodyDiv w:val="1"/>
      <w:marLeft w:val="0"/>
      <w:marRight w:val="0"/>
      <w:marTop w:val="0"/>
      <w:marBottom w:val="0"/>
      <w:divBdr>
        <w:top w:val="none" w:sz="0" w:space="0" w:color="auto"/>
        <w:left w:val="none" w:sz="0" w:space="0" w:color="auto"/>
        <w:bottom w:val="none" w:sz="0" w:space="0" w:color="auto"/>
        <w:right w:val="none" w:sz="0" w:space="0" w:color="auto"/>
      </w:divBdr>
      <w:divsChild>
        <w:div w:id="650905678">
          <w:marLeft w:val="0"/>
          <w:marRight w:val="0"/>
          <w:marTop w:val="0"/>
          <w:marBottom w:val="0"/>
          <w:divBdr>
            <w:top w:val="none" w:sz="0" w:space="0" w:color="auto"/>
            <w:left w:val="none" w:sz="0" w:space="0" w:color="auto"/>
            <w:bottom w:val="none" w:sz="0" w:space="0" w:color="auto"/>
            <w:right w:val="none" w:sz="0" w:space="0" w:color="auto"/>
          </w:divBdr>
          <w:divsChild>
            <w:div w:id="385375123">
              <w:marLeft w:val="0"/>
              <w:marRight w:val="0"/>
              <w:marTop w:val="0"/>
              <w:marBottom w:val="0"/>
              <w:divBdr>
                <w:top w:val="none" w:sz="0" w:space="0" w:color="auto"/>
                <w:left w:val="none" w:sz="0" w:space="0" w:color="auto"/>
                <w:bottom w:val="none" w:sz="0" w:space="0" w:color="auto"/>
                <w:right w:val="none" w:sz="0" w:space="0" w:color="auto"/>
              </w:divBdr>
              <w:divsChild>
                <w:div w:id="574246574">
                  <w:marLeft w:val="0"/>
                  <w:marRight w:val="0"/>
                  <w:marTop w:val="0"/>
                  <w:marBottom w:val="0"/>
                  <w:divBdr>
                    <w:top w:val="none" w:sz="0" w:space="0" w:color="auto"/>
                    <w:left w:val="none" w:sz="0" w:space="0" w:color="auto"/>
                    <w:bottom w:val="none" w:sz="0" w:space="0" w:color="auto"/>
                    <w:right w:val="none" w:sz="0" w:space="0" w:color="auto"/>
                  </w:divBdr>
                  <w:divsChild>
                    <w:div w:id="18398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6443">
      <w:bodyDiv w:val="1"/>
      <w:marLeft w:val="0"/>
      <w:marRight w:val="0"/>
      <w:marTop w:val="0"/>
      <w:marBottom w:val="0"/>
      <w:divBdr>
        <w:top w:val="none" w:sz="0" w:space="0" w:color="auto"/>
        <w:left w:val="none" w:sz="0" w:space="0" w:color="auto"/>
        <w:bottom w:val="none" w:sz="0" w:space="0" w:color="auto"/>
        <w:right w:val="none" w:sz="0" w:space="0" w:color="auto"/>
      </w:divBdr>
    </w:div>
    <w:div w:id="405810576">
      <w:bodyDiv w:val="1"/>
      <w:marLeft w:val="0"/>
      <w:marRight w:val="0"/>
      <w:marTop w:val="0"/>
      <w:marBottom w:val="0"/>
      <w:divBdr>
        <w:top w:val="none" w:sz="0" w:space="0" w:color="auto"/>
        <w:left w:val="none" w:sz="0" w:space="0" w:color="auto"/>
        <w:bottom w:val="none" w:sz="0" w:space="0" w:color="auto"/>
        <w:right w:val="none" w:sz="0" w:space="0" w:color="auto"/>
      </w:divBdr>
      <w:divsChild>
        <w:div w:id="841706147">
          <w:marLeft w:val="0"/>
          <w:marRight w:val="0"/>
          <w:marTop w:val="0"/>
          <w:marBottom w:val="0"/>
          <w:divBdr>
            <w:top w:val="none" w:sz="0" w:space="0" w:color="auto"/>
            <w:left w:val="none" w:sz="0" w:space="0" w:color="auto"/>
            <w:bottom w:val="none" w:sz="0" w:space="0" w:color="auto"/>
            <w:right w:val="none" w:sz="0" w:space="0" w:color="auto"/>
          </w:divBdr>
          <w:divsChild>
            <w:div w:id="520975950">
              <w:marLeft w:val="0"/>
              <w:marRight w:val="0"/>
              <w:marTop w:val="0"/>
              <w:marBottom w:val="0"/>
              <w:divBdr>
                <w:top w:val="none" w:sz="0" w:space="0" w:color="auto"/>
                <w:left w:val="none" w:sz="0" w:space="0" w:color="auto"/>
                <w:bottom w:val="none" w:sz="0" w:space="0" w:color="auto"/>
                <w:right w:val="none" w:sz="0" w:space="0" w:color="auto"/>
              </w:divBdr>
              <w:divsChild>
                <w:div w:id="1178351033">
                  <w:marLeft w:val="0"/>
                  <w:marRight w:val="0"/>
                  <w:marTop w:val="0"/>
                  <w:marBottom w:val="0"/>
                  <w:divBdr>
                    <w:top w:val="none" w:sz="0" w:space="0" w:color="auto"/>
                    <w:left w:val="none" w:sz="0" w:space="0" w:color="auto"/>
                    <w:bottom w:val="none" w:sz="0" w:space="0" w:color="auto"/>
                    <w:right w:val="none" w:sz="0" w:space="0" w:color="auto"/>
                  </w:divBdr>
                  <w:divsChild>
                    <w:div w:id="1227842742">
                      <w:marLeft w:val="0"/>
                      <w:marRight w:val="0"/>
                      <w:marTop w:val="0"/>
                      <w:marBottom w:val="0"/>
                      <w:divBdr>
                        <w:top w:val="none" w:sz="0" w:space="0" w:color="auto"/>
                        <w:left w:val="none" w:sz="0" w:space="0" w:color="auto"/>
                        <w:bottom w:val="none" w:sz="0" w:space="0" w:color="auto"/>
                        <w:right w:val="none" w:sz="0" w:space="0" w:color="auto"/>
                      </w:divBdr>
                      <w:divsChild>
                        <w:div w:id="1305816669">
                          <w:marLeft w:val="0"/>
                          <w:marRight w:val="0"/>
                          <w:marTop w:val="0"/>
                          <w:marBottom w:val="0"/>
                          <w:divBdr>
                            <w:top w:val="none" w:sz="0" w:space="0" w:color="auto"/>
                            <w:left w:val="none" w:sz="0" w:space="0" w:color="auto"/>
                            <w:bottom w:val="none" w:sz="0" w:space="0" w:color="auto"/>
                            <w:right w:val="none" w:sz="0" w:space="0" w:color="auto"/>
                          </w:divBdr>
                          <w:divsChild>
                            <w:div w:id="6947378">
                              <w:marLeft w:val="0"/>
                              <w:marRight w:val="0"/>
                              <w:marTop w:val="0"/>
                              <w:marBottom w:val="0"/>
                              <w:divBdr>
                                <w:top w:val="none" w:sz="0" w:space="0" w:color="auto"/>
                                <w:left w:val="none" w:sz="0" w:space="0" w:color="auto"/>
                                <w:bottom w:val="none" w:sz="0" w:space="0" w:color="auto"/>
                                <w:right w:val="none" w:sz="0" w:space="0" w:color="auto"/>
                              </w:divBdr>
                              <w:divsChild>
                                <w:div w:id="1869173719">
                                  <w:marLeft w:val="0"/>
                                  <w:marRight w:val="0"/>
                                  <w:marTop w:val="0"/>
                                  <w:marBottom w:val="0"/>
                                  <w:divBdr>
                                    <w:top w:val="none" w:sz="0" w:space="0" w:color="auto"/>
                                    <w:left w:val="none" w:sz="0" w:space="0" w:color="auto"/>
                                    <w:bottom w:val="none" w:sz="0" w:space="0" w:color="auto"/>
                                    <w:right w:val="none" w:sz="0" w:space="0" w:color="auto"/>
                                  </w:divBdr>
                                  <w:divsChild>
                                    <w:div w:id="843209520">
                                      <w:marLeft w:val="0"/>
                                      <w:marRight w:val="0"/>
                                      <w:marTop w:val="0"/>
                                      <w:marBottom w:val="0"/>
                                      <w:divBdr>
                                        <w:top w:val="none" w:sz="0" w:space="0" w:color="auto"/>
                                        <w:left w:val="none" w:sz="0" w:space="0" w:color="auto"/>
                                        <w:bottom w:val="none" w:sz="0" w:space="0" w:color="auto"/>
                                        <w:right w:val="none" w:sz="0" w:space="0" w:color="auto"/>
                                      </w:divBdr>
                                      <w:divsChild>
                                        <w:div w:id="1750497480">
                                          <w:marLeft w:val="0"/>
                                          <w:marRight w:val="0"/>
                                          <w:marTop w:val="0"/>
                                          <w:marBottom w:val="0"/>
                                          <w:divBdr>
                                            <w:top w:val="none" w:sz="0" w:space="0" w:color="auto"/>
                                            <w:left w:val="none" w:sz="0" w:space="0" w:color="auto"/>
                                            <w:bottom w:val="none" w:sz="0" w:space="0" w:color="auto"/>
                                            <w:right w:val="none" w:sz="0" w:space="0" w:color="auto"/>
                                          </w:divBdr>
                                        </w:div>
                                        <w:div w:id="1344867186">
                                          <w:marLeft w:val="0"/>
                                          <w:marRight w:val="0"/>
                                          <w:marTop w:val="0"/>
                                          <w:marBottom w:val="0"/>
                                          <w:divBdr>
                                            <w:top w:val="none" w:sz="0" w:space="0" w:color="auto"/>
                                            <w:left w:val="none" w:sz="0" w:space="0" w:color="auto"/>
                                            <w:bottom w:val="none" w:sz="0" w:space="0" w:color="auto"/>
                                            <w:right w:val="none" w:sz="0" w:space="0" w:color="auto"/>
                                          </w:divBdr>
                                          <w:divsChild>
                                            <w:div w:id="17963420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999907">
      <w:bodyDiv w:val="1"/>
      <w:marLeft w:val="0"/>
      <w:marRight w:val="0"/>
      <w:marTop w:val="0"/>
      <w:marBottom w:val="0"/>
      <w:divBdr>
        <w:top w:val="none" w:sz="0" w:space="0" w:color="auto"/>
        <w:left w:val="none" w:sz="0" w:space="0" w:color="auto"/>
        <w:bottom w:val="none" w:sz="0" w:space="0" w:color="auto"/>
        <w:right w:val="none" w:sz="0" w:space="0" w:color="auto"/>
      </w:divBdr>
    </w:div>
    <w:div w:id="408236356">
      <w:bodyDiv w:val="1"/>
      <w:marLeft w:val="0"/>
      <w:marRight w:val="0"/>
      <w:marTop w:val="0"/>
      <w:marBottom w:val="0"/>
      <w:divBdr>
        <w:top w:val="none" w:sz="0" w:space="0" w:color="auto"/>
        <w:left w:val="none" w:sz="0" w:space="0" w:color="auto"/>
        <w:bottom w:val="none" w:sz="0" w:space="0" w:color="auto"/>
        <w:right w:val="none" w:sz="0" w:space="0" w:color="auto"/>
      </w:divBdr>
      <w:divsChild>
        <w:div w:id="1941907641">
          <w:marLeft w:val="-225"/>
          <w:marRight w:val="-225"/>
          <w:marTop w:val="0"/>
          <w:marBottom w:val="0"/>
          <w:divBdr>
            <w:top w:val="none" w:sz="0" w:space="0" w:color="auto"/>
            <w:left w:val="none" w:sz="0" w:space="0" w:color="auto"/>
            <w:bottom w:val="none" w:sz="0" w:space="0" w:color="auto"/>
            <w:right w:val="none" w:sz="0" w:space="0" w:color="auto"/>
          </w:divBdr>
          <w:divsChild>
            <w:div w:id="436826960">
              <w:marLeft w:val="0"/>
              <w:marRight w:val="0"/>
              <w:marTop w:val="0"/>
              <w:marBottom w:val="0"/>
              <w:divBdr>
                <w:top w:val="none" w:sz="0" w:space="0" w:color="auto"/>
                <w:left w:val="none" w:sz="0" w:space="0" w:color="auto"/>
                <w:bottom w:val="none" w:sz="0" w:space="0" w:color="auto"/>
                <w:right w:val="none" w:sz="0" w:space="0" w:color="auto"/>
              </w:divBdr>
              <w:divsChild>
                <w:div w:id="673266936">
                  <w:marLeft w:val="0"/>
                  <w:marRight w:val="0"/>
                  <w:marTop w:val="0"/>
                  <w:marBottom w:val="0"/>
                  <w:divBdr>
                    <w:top w:val="none" w:sz="0" w:space="0" w:color="auto"/>
                    <w:left w:val="none" w:sz="0" w:space="0" w:color="auto"/>
                    <w:bottom w:val="none" w:sz="0" w:space="0" w:color="auto"/>
                    <w:right w:val="none" w:sz="0" w:space="0" w:color="auto"/>
                  </w:divBdr>
                  <w:divsChild>
                    <w:div w:id="64646416">
                      <w:marLeft w:val="0"/>
                      <w:marRight w:val="0"/>
                      <w:marTop w:val="0"/>
                      <w:marBottom w:val="0"/>
                      <w:divBdr>
                        <w:top w:val="none" w:sz="0" w:space="0" w:color="auto"/>
                        <w:left w:val="none" w:sz="0" w:space="0" w:color="auto"/>
                        <w:bottom w:val="none" w:sz="0" w:space="0" w:color="auto"/>
                        <w:right w:val="none" w:sz="0" w:space="0" w:color="auto"/>
                      </w:divBdr>
                      <w:divsChild>
                        <w:div w:id="551573176">
                          <w:marLeft w:val="0"/>
                          <w:marRight w:val="0"/>
                          <w:marTop w:val="0"/>
                          <w:marBottom w:val="525"/>
                          <w:divBdr>
                            <w:top w:val="none" w:sz="0" w:space="0" w:color="auto"/>
                            <w:left w:val="none" w:sz="0" w:space="0" w:color="auto"/>
                            <w:bottom w:val="none" w:sz="0" w:space="0" w:color="auto"/>
                            <w:right w:val="none" w:sz="0" w:space="0" w:color="auto"/>
                          </w:divBdr>
                          <w:divsChild>
                            <w:div w:id="15057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18691">
          <w:marLeft w:val="-225"/>
          <w:marRight w:val="-225"/>
          <w:marTop w:val="0"/>
          <w:marBottom w:val="0"/>
          <w:divBdr>
            <w:top w:val="none" w:sz="0" w:space="0" w:color="auto"/>
            <w:left w:val="none" w:sz="0" w:space="0" w:color="auto"/>
            <w:bottom w:val="none" w:sz="0" w:space="0" w:color="auto"/>
            <w:right w:val="none" w:sz="0" w:space="0" w:color="auto"/>
          </w:divBdr>
          <w:divsChild>
            <w:div w:id="1192456172">
              <w:marLeft w:val="0"/>
              <w:marRight w:val="0"/>
              <w:marTop w:val="0"/>
              <w:marBottom w:val="0"/>
              <w:divBdr>
                <w:top w:val="none" w:sz="0" w:space="0" w:color="auto"/>
                <w:left w:val="none" w:sz="0" w:space="0" w:color="auto"/>
                <w:bottom w:val="none" w:sz="0" w:space="0" w:color="auto"/>
                <w:right w:val="none" w:sz="0" w:space="0" w:color="auto"/>
              </w:divBdr>
              <w:divsChild>
                <w:div w:id="554321710">
                  <w:marLeft w:val="0"/>
                  <w:marRight w:val="0"/>
                  <w:marTop w:val="0"/>
                  <w:marBottom w:val="0"/>
                  <w:divBdr>
                    <w:top w:val="none" w:sz="0" w:space="0" w:color="auto"/>
                    <w:left w:val="none" w:sz="0" w:space="0" w:color="auto"/>
                    <w:bottom w:val="none" w:sz="0" w:space="0" w:color="auto"/>
                    <w:right w:val="none" w:sz="0" w:space="0" w:color="auto"/>
                  </w:divBdr>
                  <w:divsChild>
                    <w:div w:id="657877637">
                      <w:marLeft w:val="0"/>
                      <w:marRight w:val="0"/>
                      <w:marTop w:val="0"/>
                      <w:marBottom w:val="0"/>
                      <w:divBdr>
                        <w:top w:val="none" w:sz="0" w:space="0" w:color="auto"/>
                        <w:left w:val="none" w:sz="0" w:space="0" w:color="auto"/>
                        <w:bottom w:val="none" w:sz="0" w:space="0" w:color="auto"/>
                        <w:right w:val="none" w:sz="0" w:space="0" w:color="auto"/>
                      </w:divBdr>
                      <w:divsChild>
                        <w:div w:id="1399791409">
                          <w:marLeft w:val="0"/>
                          <w:marRight w:val="0"/>
                          <w:marTop w:val="0"/>
                          <w:marBottom w:val="0"/>
                          <w:divBdr>
                            <w:top w:val="none" w:sz="0" w:space="0" w:color="auto"/>
                            <w:left w:val="none" w:sz="0" w:space="0" w:color="auto"/>
                            <w:bottom w:val="none" w:sz="0" w:space="0" w:color="auto"/>
                            <w:right w:val="none" w:sz="0" w:space="0" w:color="auto"/>
                          </w:divBdr>
                          <w:divsChild>
                            <w:div w:id="13957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813835">
      <w:bodyDiv w:val="1"/>
      <w:marLeft w:val="0"/>
      <w:marRight w:val="0"/>
      <w:marTop w:val="0"/>
      <w:marBottom w:val="0"/>
      <w:divBdr>
        <w:top w:val="none" w:sz="0" w:space="0" w:color="auto"/>
        <w:left w:val="none" w:sz="0" w:space="0" w:color="auto"/>
        <w:bottom w:val="none" w:sz="0" w:space="0" w:color="auto"/>
        <w:right w:val="none" w:sz="0" w:space="0" w:color="auto"/>
      </w:divBdr>
      <w:divsChild>
        <w:div w:id="225534523">
          <w:marLeft w:val="0"/>
          <w:marRight w:val="0"/>
          <w:marTop w:val="0"/>
          <w:marBottom w:val="0"/>
          <w:divBdr>
            <w:top w:val="none" w:sz="0" w:space="0" w:color="auto"/>
            <w:left w:val="none" w:sz="0" w:space="0" w:color="auto"/>
            <w:bottom w:val="none" w:sz="0" w:space="0" w:color="auto"/>
            <w:right w:val="none" w:sz="0" w:space="0" w:color="auto"/>
          </w:divBdr>
          <w:divsChild>
            <w:div w:id="145826181">
              <w:marLeft w:val="0"/>
              <w:marRight w:val="0"/>
              <w:marTop w:val="0"/>
              <w:marBottom w:val="0"/>
              <w:divBdr>
                <w:top w:val="none" w:sz="0" w:space="0" w:color="auto"/>
                <w:left w:val="none" w:sz="0" w:space="0" w:color="auto"/>
                <w:bottom w:val="none" w:sz="0" w:space="0" w:color="auto"/>
                <w:right w:val="none" w:sz="0" w:space="0" w:color="auto"/>
              </w:divBdr>
              <w:divsChild>
                <w:div w:id="570895917">
                  <w:marLeft w:val="0"/>
                  <w:marRight w:val="0"/>
                  <w:marTop w:val="0"/>
                  <w:marBottom w:val="0"/>
                  <w:divBdr>
                    <w:top w:val="none" w:sz="0" w:space="0" w:color="auto"/>
                    <w:left w:val="none" w:sz="0" w:space="0" w:color="auto"/>
                    <w:bottom w:val="none" w:sz="0" w:space="0" w:color="auto"/>
                    <w:right w:val="none" w:sz="0" w:space="0" w:color="auto"/>
                  </w:divBdr>
                  <w:divsChild>
                    <w:div w:id="1704360319">
                      <w:marLeft w:val="0"/>
                      <w:marRight w:val="0"/>
                      <w:marTop w:val="300"/>
                      <w:marBottom w:val="600"/>
                      <w:divBdr>
                        <w:top w:val="none" w:sz="0" w:space="0" w:color="auto"/>
                        <w:left w:val="none" w:sz="0" w:space="0" w:color="auto"/>
                        <w:bottom w:val="none" w:sz="0" w:space="0" w:color="auto"/>
                        <w:right w:val="none" w:sz="0" w:space="0" w:color="auto"/>
                      </w:divBdr>
                      <w:divsChild>
                        <w:div w:id="381368600">
                          <w:marLeft w:val="0"/>
                          <w:marRight w:val="0"/>
                          <w:marTop w:val="0"/>
                          <w:marBottom w:val="0"/>
                          <w:divBdr>
                            <w:top w:val="none" w:sz="0" w:space="0" w:color="auto"/>
                            <w:left w:val="none" w:sz="0" w:space="0" w:color="auto"/>
                            <w:bottom w:val="none" w:sz="0" w:space="0" w:color="auto"/>
                            <w:right w:val="none" w:sz="0" w:space="0" w:color="auto"/>
                          </w:divBdr>
                          <w:divsChild>
                            <w:div w:id="516575518">
                              <w:marLeft w:val="0"/>
                              <w:marRight w:val="0"/>
                              <w:marTop w:val="0"/>
                              <w:marBottom w:val="0"/>
                              <w:divBdr>
                                <w:top w:val="none" w:sz="0" w:space="0" w:color="auto"/>
                                <w:left w:val="none" w:sz="0" w:space="0" w:color="auto"/>
                                <w:bottom w:val="none" w:sz="0" w:space="0" w:color="auto"/>
                                <w:right w:val="none" w:sz="0" w:space="0" w:color="auto"/>
                              </w:divBdr>
                              <w:divsChild>
                                <w:div w:id="1511019086">
                                  <w:marLeft w:val="0"/>
                                  <w:marRight w:val="0"/>
                                  <w:marTop w:val="0"/>
                                  <w:marBottom w:val="0"/>
                                  <w:divBdr>
                                    <w:top w:val="none" w:sz="0" w:space="0" w:color="auto"/>
                                    <w:left w:val="none" w:sz="0" w:space="0" w:color="auto"/>
                                    <w:bottom w:val="none" w:sz="0" w:space="0" w:color="auto"/>
                                    <w:right w:val="none" w:sz="0" w:space="0" w:color="auto"/>
                                  </w:divBdr>
                                  <w:divsChild>
                                    <w:div w:id="2029214085">
                                      <w:marLeft w:val="0"/>
                                      <w:marRight w:val="0"/>
                                      <w:marTop w:val="150"/>
                                      <w:marBottom w:val="0"/>
                                      <w:divBdr>
                                        <w:top w:val="none" w:sz="0" w:space="0" w:color="auto"/>
                                        <w:left w:val="none" w:sz="0" w:space="0" w:color="auto"/>
                                        <w:bottom w:val="none" w:sz="0" w:space="0" w:color="auto"/>
                                        <w:right w:val="none" w:sz="0" w:space="0" w:color="auto"/>
                                      </w:divBdr>
                                      <w:divsChild>
                                        <w:div w:id="625550772">
                                          <w:marLeft w:val="0"/>
                                          <w:marRight w:val="0"/>
                                          <w:marTop w:val="0"/>
                                          <w:marBottom w:val="0"/>
                                          <w:divBdr>
                                            <w:top w:val="none" w:sz="0" w:space="0" w:color="auto"/>
                                            <w:left w:val="none" w:sz="0" w:space="0" w:color="auto"/>
                                            <w:bottom w:val="none" w:sz="0" w:space="0" w:color="auto"/>
                                            <w:right w:val="none" w:sz="0" w:space="0" w:color="auto"/>
                                          </w:divBdr>
                                          <w:divsChild>
                                            <w:div w:id="2033071552">
                                              <w:marLeft w:val="0"/>
                                              <w:marRight w:val="0"/>
                                              <w:marTop w:val="0"/>
                                              <w:marBottom w:val="0"/>
                                              <w:divBdr>
                                                <w:top w:val="none" w:sz="0" w:space="0" w:color="auto"/>
                                                <w:left w:val="none" w:sz="0" w:space="0" w:color="auto"/>
                                                <w:bottom w:val="none" w:sz="0" w:space="0" w:color="auto"/>
                                                <w:right w:val="none" w:sz="0" w:space="0" w:color="auto"/>
                                              </w:divBdr>
                                              <w:divsChild>
                                                <w:div w:id="7175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278633">
      <w:bodyDiv w:val="1"/>
      <w:marLeft w:val="0"/>
      <w:marRight w:val="0"/>
      <w:marTop w:val="0"/>
      <w:marBottom w:val="0"/>
      <w:divBdr>
        <w:top w:val="none" w:sz="0" w:space="0" w:color="auto"/>
        <w:left w:val="none" w:sz="0" w:space="0" w:color="auto"/>
        <w:bottom w:val="none" w:sz="0" w:space="0" w:color="auto"/>
        <w:right w:val="none" w:sz="0" w:space="0" w:color="auto"/>
      </w:divBdr>
      <w:divsChild>
        <w:div w:id="1136751521">
          <w:marLeft w:val="0"/>
          <w:marRight w:val="0"/>
          <w:marTop w:val="0"/>
          <w:marBottom w:val="0"/>
          <w:divBdr>
            <w:top w:val="none" w:sz="0" w:space="0" w:color="auto"/>
            <w:left w:val="none" w:sz="0" w:space="0" w:color="auto"/>
            <w:bottom w:val="none" w:sz="0" w:space="0" w:color="auto"/>
            <w:right w:val="none" w:sz="0" w:space="0" w:color="auto"/>
          </w:divBdr>
          <w:divsChild>
            <w:div w:id="1255626700">
              <w:marLeft w:val="0"/>
              <w:marRight w:val="0"/>
              <w:marTop w:val="0"/>
              <w:marBottom w:val="0"/>
              <w:divBdr>
                <w:top w:val="none" w:sz="0" w:space="0" w:color="auto"/>
                <w:left w:val="none" w:sz="0" w:space="0" w:color="auto"/>
                <w:bottom w:val="none" w:sz="0" w:space="0" w:color="auto"/>
                <w:right w:val="none" w:sz="0" w:space="0" w:color="auto"/>
              </w:divBdr>
              <w:divsChild>
                <w:div w:id="126893873">
                  <w:marLeft w:val="0"/>
                  <w:marRight w:val="0"/>
                  <w:marTop w:val="0"/>
                  <w:marBottom w:val="0"/>
                  <w:divBdr>
                    <w:top w:val="none" w:sz="0" w:space="0" w:color="auto"/>
                    <w:left w:val="none" w:sz="0" w:space="0" w:color="auto"/>
                    <w:bottom w:val="none" w:sz="0" w:space="0" w:color="auto"/>
                    <w:right w:val="none" w:sz="0" w:space="0" w:color="auto"/>
                  </w:divBdr>
                  <w:divsChild>
                    <w:div w:id="721177302">
                      <w:marLeft w:val="0"/>
                      <w:marRight w:val="0"/>
                      <w:marTop w:val="0"/>
                      <w:marBottom w:val="0"/>
                      <w:divBdr>
                        <w:top w:val="none" w:sz="0" w:space="0" w:color="auto"/>
                        <w:left w:val="none" w:sz="0" w:space="0" w:color="auto"/>
                        <w:bottom w:val="none" w:sz="0" w:space="0" w:color="auto"/>
                        <w:right w:val="none" w:sz="0" w:space="0" w:color="auto"/>
                      </w:divBdr>
                      <w:divsChild>
                        <w:div w:id="1553881382">
                          <w:marLeft w:val="0"/>
                          <w:marRight w:val="0"/>
                          <w:marTop w:val="0"/>
                          <w:marBottom w:val="0"/>
                          <w:divBdr>
                            <w:top w:val="none" w:sz="0" w:space="0" w:color="auto"/>
                            <w:left w:val="none" w:sz="0" w:space="0" w:color="auto"/>
                            <w:bottom w:val="none" w:sz="0" w:space="0" w:color="auto"/>
                            <w:right w:val="none" w:sz="0" w:space="0" w:color="auto"/>
                          </w:divBdr>
                          <w:divsChild>
                            <w:div w:id="1205022128">
                              <w:marLeft w:val="0"/>
                              <w:marRight w:val="0"/>
                              <w:marTop w:val="0"/>
                              <w:marBottom w:val="0"/>
                              <w:divBdr>
                                <w:top w:val="none" w:sz="0" w:space="0" w:color="auto"/>
                                <w:left w:val="none" w:sz="0" w:space="0" w:color="auto"/>
                                <w:bottom w:val="none" w:sz="0" w:space="0" w:color="auto"/>
                                <w:right w:val="none" w:sz="0" w:space="0" w:color="auto"/>
                              </w:divBdr>
                              <w:divsChild>
                                <w:div w:id="2058967408">
                                  <w:marLeft w:val="0"/>
                                  <w:marRight w:val="0"/>
                                  <w:marTop w:val="0"/>
                                  <w:marBottom w:val="0"/>
                                  <w:divBdr>
                                    <w:top w:val="none" w:sz="0" w:space="0" w:color="auto"/>
                                    <w:left w:val="none" w:sz="0" w:space="0" w:color="auto"/>
                                    <w:bottom w:val="none" w:sz="0" w:space="0" w:color="auto"/>
                                    <w:right w:val="none" w:sz="0" w:space="0" w:color="auto"/>
                                  </w:divBdr>
                                  <w:divsChild>
                                    <w:div w:id="586693289">
                                      <w:marLeft w:val="0"/>
                                      <w:marRight w:val="0"/>
                                      <w:marTop w:val="0"/>
                                      <w:marBottom w:val="0"/>
                                      <w:divBdr>
                                        <w:top w:val="none" w:sz="0" w:space="0" w:color="auto"/>
                                        <w:left w:val="none" w:sz="0" w:space="0" w:color="auto"/>
                                        <w:bottom w:val="none" w:sz="0" w:space="0" w:color="auto"/>
                                        <w:right w:val="none" w:sz="0" w:space="0" w:color="auto"/>
                                      </w:divBdr>
                                      <w:divsChild>
                                        <w:div w:id="10982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816092">
      <w:bodyDiv w:val="1"/>
      <w:marLeft w:val="0"/>
      <w:marRight w:val="0"/>
      <w:marTop w:val="0"/>
      <w:marBottom w:val="0"/>
      <w:divBdr>
        <w:top w:val="none" w:sz="0" w:space="0" w:color="auto"/>
        <w:left w:val="none" w:sz="0" w:space="0" w:color="auto"/>
        <w:bottom w:val="none" w:sz="0" w:space="0" w:color="auto"/>
        <w:right w:val="none" w:sz="0" w:space="0" w:color="auto"/>
      </w:divBdr>
      <w:divsChild>
        <w:div w:id="1972319430">
          <w:marLeft w:val="0"/>
          <w:marRight w:val="0"/>
          <w:marTop w:val="150"/>
          <w:marBottom w:val="0"/>
          <w:divBdr>
            <w:top w:val="none" w:sz="0" w:space="0" w:color="auto"/>
            <w:left w:val="none" w:sz="0" w:space="0" w:color="auto"/>
            <w:bottom w:val="none" w:sz="0" w:space="0" w:color="auto"/>
            <w:right w:val="none" w:sz="0" w:space="0" w:color="auto"/>
          </w:divBdr>
          <w:divsChild>
            <w:div w:id="259339641">
              <w:marLeft w:val="2"/>
              <w:marRight w:val="2"/>
              <w:marTop w:val="0"/>
              <w:marBottom w:val="0"/>
              <w:divBdr>
                <w:top w:val="none" w:sz="0" w:space="0" w:color="auto"/>
                <w:left w:val="none" w:sz="0" w:space="0" w:color="auto"/>
                <w:bottom w:val="none" w:sz="0" w:space="0" w:color="auto"/>
                <w:right w:val="none" w:sz="0" w:space="0" w:color="auto"/>
              </w:divBdr>
              <w:divsChild>
                <w:div w:id="1644502832">
                  <w:marLeft w:val="0"/>
                  <w:marRight w:val="0"/>
                  <w:marTop w:val="0"/>
                  <w:marBottom w:val="0"/>
                  <w:divBdr>
                    <w:top w:val="none" w:sz="0" w:space="0" w:color="auto"/>
                    <w:left w:val="none" w:sz="0" w:space="0" w:color="auto"/>
                    <w:bottom w:val="none" w:sz="0" w:space="0" w:color="auto"/>
                    <w:right w:val="none" w:sz="0" w:space="0" w:color="auto"/>
                  </w:divBdr>
                  <w:divsChild>
                    <w:div w:id="850603931">
                      <w:marLeft w:val="0"/>
                      <w:marRight w:val="0"/>
                      <w:marTop w:val="0"/>
                      <w:marBottom w:val="0"/>
                      <w:divBdr>
                        <w:top w:val="none" w:sz="0" w:space="0" w:color="auto"/>
                        <w:left w:val="none" w:sz="0" w:space="0" w:color="auto"/>
                        <w:bottom w:val="none" w:sz="0" w:space="0" w:color="auto"/>
                        <w:right w:val="none" w:sz="0" w:space="0" w:color="auto"/>
                      </w:divBdr>
                      <w:divsChild>
                        <w:div w:id="600070732">
                          <w:marLeft w:val="0"/>
                          <w:marRight w:val="0"/>
                          <w:marTop w:val="0"/>
                          <w:marBottom w:val="0"/>
                          <w:divBdr>
                            <w:top w:val="none" w:sz="0" w:space="0" w:color="auto"/>
                            <w:left w:val="none" w:sz="0" w:space="0" w:color="auto"/>
                            <w:bottom w:val="none" w:sz="0" w:space="0" w:color="auto"/>
                            <w:right w:val="none" w:sz="0" w:space="0" w:color="auto"/>
                          </w:divBdr>
                          <w:divsChild>
                            <w:div w:id="1973633580">
                              <w:marLeft w:val="0"/>
                              <w:marRight w:val="0"/>
                              <w:marTop w:val="0"/>
                              <w:marBottom w:val="0"/>
                              <w:divBdr>
                                <w:top w:val="none" w:sz="0" w:space="0" w:color="auto"/>
                                <w:left w:val="none" w:sz="0" w:space="0" w:color="auto"/>
                                <w:bottom w:val="none" w:sz="0" w:space="0" w:color="auto"/>
                                <w:right w:val="none" w:sz="0" w:space="0" w:color="auto"/>
                              </w:divBdr>
                              <w:divsChild>
                                <w:div w:id="1472332419">
                                  <w:marLeft w:val="0"/>
                                  <w:marRight w:val="0"/>
                                  <w:marTop w:val="0"/>
                                  <w:marBottom w:val="0"/>
                                  <w:divBdr>
                                    <w:top w:val="none" w:sz="0" w:space="0" w:color="auto"/>
                                    <w:left w:val="none" w:sz="0" w:space="0" w:color="auto"/>
                                    <w:bottom w:val="none" w:sz="0" w:space="0" w:color="auto"/>
                                    <w:right w:val="none" w:sz="0" w:space="0" w:color="auto"/>
                                  </w:divBdr>
                                  <w:divsChild>
                                    <w:div w:id="1384476619">
                                      <w:marLeft w:val="0"/>
                                      <w:marRight w:val="0"/>
                                      <w:marTop w:val="0"/>
                                      <w:marBottom w:val="0"/>
                                      <w:divBdr>
                                        <w:top w:val="none" w:sz="0" w:space="0" w:color="auto"/>
                                        <w:left w:val="none" w:sz="0" w:space="0" w:color="auto"/>
                                        <w:bottom w:val="none" w:sz="0" w:space="0" w:color="auto"/>
                                        <w:right w:val="none" w:sz="0" w:space="0" w:color="auto"/>
                                      </w:divBdr>
                                      <w:divsChild>
                                        <w:div w:id="460078647">
                                          <w:marLeft w:val="0"/>
                                          <w:marRight w:val="0"/>
                                          <w:marTop w:val="0"/>
                                          <w:marBottom w:val="0"/>
                                          <w:divBdr>
                                            <w:top w:val="none" w:sz="0" w:space="0" w:color="auto"/>
                                            <w:left w:val="none" w:sz="0" w:space="0" w:color="auto"/>
                                            <w:bottom w:val="none" w:sz="0" w:space="0" w:color="auto"/>
                                            <w:right w:val="none" w:sz="0" w:space="0" w:color="auto"/>
                                          </w:divBdr>
                                          <w:divsChild>
                                            <w:div w:id="679508013">
                                              <w:marLeft w:val="0"/>
                                              <w:marRight w:val="0"/>
                                              <w:marTop w:val="0"/>
                                              <w:marBottom w:val="0"/>
                                              <w:divBdr>
                                                <w:top w:val="none" w:sz="0" w:space="0" w:color="auto"/>
                                                <w:left w:val="none" w:sz="0" w:space="0" w:color="auto"/>
                                                <w:bottom w:val="none" w:sz="0" w:space="0" w:color="auto"/>
                                                <w:right w:val="none" w:sz="0" w:space="0" w:color="auto"/>
                                              </w:divBdr>
                                              <w:divsChild>
                                                <w:div w:id="252445303">
                                                  <w:marLeft w:val="0"/>
                                                  <w:marRight w:val="0"/>
                                                  <w:marTop w:val="0"/>
                                                  <w:marBottom w:val="0"/>
                                                  <w:divBdr>
                                                    <w:top w:val="none" w:sz="0" w:space="0" w:color="auto"/>
                                                    <w:left w:val="none" w:sz="0" w:space="0" w:color="auto"/>
                                                    <w:bottom w:val="none" w:sz="0" w:space="0" w:color="auto"/>
                                                    <w:right w:val="none" w:sz="0" w:space="0" w:color="auto"/>
                                                  </w:divBdr>
                                                </w:div>
                                              </w:divsChild>
                                            </w:div>
                                            <w:div w:id="1303803415">
                                              <w:marLeft w:val="0"/>
                                              <w:marRight w:val="0"/>
                                              <w:marTop w:val="0"/>
                                              <w:marBottom w:val="0"/>
                                              <w:divBdr>
                                                <w:top w:val="none" w:sz="0" w:space="0" w:color="auto"/>
                                                <w:left w:val="none" w:sz="0" w:space="0" w:color="auto"/>
                                                <w:bottom w:val="none" w:sz="0" w:space="0" w:color="auto"/>
                                                <w:right w:val="none" w:sz="0" w:space="0" w:color="auto"/>
                                              </w:divBdr>
                                              <w:divsChild>
                                                <w:div w:id="1896967751">
                                                  <w:marLeft w:val="0"/>
                                                  <w:marRight w:val="0"/>
                                                  <w:marTop w:val="0"/>
                                                  <w:marBottom w:val="0"/>
                                                  <w:divBdr>
                                                    <w:top w:val="none" w:sz="0" w:space="0" w:color="auto"/>
                                                    <w:left w:val="none" w:sz="0" w:space="0" w:color="auto"/>
                                                    <w:bottom w:val="none" w:sz="0" w:space="0" w:color="auto"/>
                                                    <w:right w:val="none" w:sz="0" w:space="0" w:color="auto"/>
                                                  </w:divBdr>
                                                </w:div>
                                              </w:divsChild>
                                            </w:div>
                                            <w:div w:id="1888957266">
                                              <w:marLeft w:val="0"/>
                                              <w:marRight w:val="0"/>
                                              <w:marTop w:val="0"/>
                                              <w:marBottom w:val="0"/>
                                              <w:divBdr>
                                                <w:top w:val="none" w:sz="0" w:space="0" w:color="auto"/>
                                                <w:left w:val="none" w:sz="0" w:space="0" w:color="auto"/>
                                                <w:bottom w:val="none" w:sz="0" w:space="0" w:color="auto"/>
                                                <w:right w:val="none" w:sz="0" w:space="0" w:color="auto"/>
                                              </w:divBdr>
                                              <w:divsChild>
                                                <w:div w:id="2072656449">
                                                  <w:marLeft w:val="0"/>
                                                  <w:marRight w:val="0"/>
                                                  <w:marTop w:val="0"/>
                                                  <w:marBottom w:val="0"/>
                                                  <w:divBdr>
                                                    <w:top w:val="none" w:sz="0" w:space="0" w:color="auto"/>
                                                    <w:left w:val="none" w:sz="0" w:space="0" w:color="auto"/>
                                                    <w:bottom w:val="none" w:sz="0" w:space="0" w:color="auto"/>
                                                    <w:right w:val="none" w:sz="0" w:space="0" w:color="auto"/>
                                                  </w:divBdr>
                                                </w:div>
                                              </w:divsChild>
                                            </w:div>
                                            <w:div w:id="122818648">
                                              <w:marLeft w:val="0"/>
                                              <w:marRight w:val="0"/>
                                              <w:marTop w:val="0"/>
                                              <w:marBottom w:val="0"/>
                                              <w:divBdr>
                                                <w:top w:val="none" w:sz="0" w:space="0" w:color="auto"/>
                                                <w:left w:val="none" w:sz="0" w:space="0" w:color="auto"/>
                                                <w:bottom w:val="none" w:sz="0" w:space="0" w:color="auto"/>
                                                <w:right w:val="none" w:sz="0" w:space="0" w:color="auto"/>
                                              </w:divBdr>
                                              <w:divsChild>
                                                <w:div w:id="15292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547972">
      <w:bodyDiv w:val="1"/>
      <w:marLeft w:val="0"/>
      <w:marRight w:val="0"/>
      <w:marTop w:val="0"/>
      <w:marBottom w:val="0"/>
      <w:divBdr>
        <w:top w:val="none" w:sz="0" w:space="0" w:color="auto"/>
        <w:left w:val="none" w:sz="0" w:space="0" w:color="auto"/>
        <w:bottom w:val="none" w:sz="0" w:space="0" w:color="auto"/>
        <w:right w:val="none" w:sz="0" w:space="0" w:color="auto"/>
      </w:divBdr>
      <w:divsChild>
        <w:div w:id="1108233032">
          <w:marLeft w:val="0"/>
          <w:marRight w:val="0"/>
          <w:marTop w:val="0"/>
          <w:marBottom w:val="0"/>
          <w:divBdr>
            <w:top w:val="none" w:sz="0" w:space="0" w:color="auto"/>
            <w:left w:val="none" w:sz="0" w:space="0" w:color="auto"/>
            <w:bottom w:val="none" w:sz="0" w:space="0" w:color="auto"/>
            <w:right w:val="none" w:sz="0" w:space="0" w:color="auto"/>
          </w:divBdr>
          <w:divsChild>
            <w:div w:id="15936443">
              <w:marLeft w:val="0"/>
              <w:marRight w:val="0"/>
              <w:marTop w:val="0"/>
              <w:marBottom w:val="0"/>
              <w:divBdr>
                <w:top w:val="none" w:sz="0" w:space="0" w:color="auto"/>
                <w:left w:val="none" w:sz="0" w:space="0" w:color="auto"/>
                <w:bottom w:val="none" w:sz="0" w:space="0" w:color="auto"/>
                <w:right w:val="none" w:sz="0" w:space="0" w:color="auto"/>
              </w:divBdr>
              <w:divsChild>
                <w:div w:id="1237857090">
                  <w:marLeft w:val="0"/>
                  <w:marRight w:val="0"/>
                  <w:marTop w:val="0"/>
                  <w:marBottom w:val="0"/>
                  <w:divBdr>
                    <w:top w:val="none" w:sz="0" w:space="0" w:color="auto"/>
                    <w:left w:val="none" w:sz="0" w:space="0" w:color="auto"/>
                    <w:bottom w:val="none" w:sz="0" w:space="0" w:color="auto"/>
                    <w:right w:val="none" w:sz="0" w:space="0" w:color="auto"/>
                  </w:divBdr>
                  <w:divsChild>
                    <w:div w:id="570651531">
                      <w:marLeft w:val="0"/>
                      <w:marRight w:val="0"/>
                      <w:marTop w:val="0"/>
                      <w:marBottom w:val="0"/>
                      <w:divBdr>
                        <w:top w:val="none" w:sz="0" w:space="0" w:color="auto"/>
                        <w:left w:val="none" w:sz="0" w:space="0" w:color="auto"/>
                        <w:bottom w:val="none" w:sz="0" w:space="0" w:color="auto"/>
                        <w:right w:val="none" w:sz="0" w:space="0" w:color="auto"/>
                      </w:divBdr>
                      <w:divsChild>
                        <w:div w:id="151652183">
                          <w:marLeft w:val="0"/>
                          <w:marRight w:val="0"/>
                          <w:marTop w:val="0"/>
                          <w:marBottom w:val="0"/>
                          <w:divBdr>
                            <w:top w:val="none" w:sz="0" w:space="0" w:color="auto"/>
                            <w:left w:val="none" w:sz="0" w:space="0" w:color="auto"/>
                            <w:bottom w:val="none" w:sz="0" w:space="0" w:color="auto"/>
                            <w:right w:val="none" w:sz="0" w:space="0" w:color="auto"/>
                          </w:divBdr>
                          <w:divsChild>
                            <w:div w:id="1161316831">
                              <w:marLeft w:val="0"/>
                              <w:marRight w:val="0"/>
                              <w:marTop w:val="0"/>
                              <w:marBottom w:val="0"/>
                              <w:divBdr>
                                <w:top w:val="none" w:sz="0" w:space="0" w:color="auto"/>
                                <w:left w:val="none" w:sz="0" w:space="0" w:color="auto"/>
                                <w:bottom w:val="none" w:sz="0" w:space="0" w:color="auto"/>
                                <w:right w:val="none" w:sz="0" w:space="0" w:color="auto"/>
                              </w:divBdr>
                              <w:divsChild>
                                <w:div w:id="1096169835">
                                  <w:marLeft w:val="0"/>
                                  <w:marRight w:val="0"/>
                                  <w:marTop w:val="0"/>
                                  <w:marBottom w:val="0"/>
                                  <w:divBdr>
                                    <w:top w:val="none" w:sz="0" w:space="0" w:color="auto"/>
                                    <w:left w:val="none" w:sz="0" w:space="0" w:color="auto"/>
                                    <w:bottom w:val="none" w:sz="0" w:space="0" w:color="auto"/>
                                    <w:right w:val="none" w:sz="0" w:space="0" w:color="auto"/>
                                  </w:divBdr>
                                  <w:divsChild>
                                    <w:div w:id="706220795">
                                      <w:marLeft w:val="0"/>
                                      <w:marRight w:val="0"/>
                                      <w:marTop w:val="0"/>
                                      <w:marBottom w:val="0"/>
                                      <w:divBdr>
                                        <w:top w:val="none" w:sz="0" w:space="0" w:color="auto"/>
                                        <w:left w:val="none" w:sz="0" w:space="0" w:color="auto"/>
                                        <w:bottom w:val="none" w:sz="0" w:space="0" w:color="auto"/>
                                        <w:right w:val="none" w:sz="0" w:space="0" w:color="auto"/>
                                      </w:divBdr>
                                      <w:divsChild>
                                        <w:div w:id="1805198683">
                                          <w:marLeft w:val="0"/>
                                          <w:marRight w:val="0"/>
                                          <w:marTop w:val="0"/>
                                          <w:marBottom w:val="0"/>
                                          <w:divBdr>
                                            <w:top w:val="none" w:sz="0" w:space="0" w:color="auto"/>
                                            <w:left w:val="none" w:sz="0" w:space="0" w:color="auto"/>
                                            <w:bottom w:val="none" w:sz="0" w:space="0" w:color="auto"/>
                                            <w:right w:val="none" w:sz="0" w:space="0" w:color="auto"/>
                                          </w:divBdr>
                                          <w:divsChild>
                                            <w:div w:id="1599145063">
                                              <w:marLeft w:val="0"/>
                                              <w:marRight w:val="0"/>
                                              <w:marTop w:val="0"/>
                                              <w:marBottom w:val="0"/>
                                              <w:divBdr>
                                                <w:top w:val="none" w:sz="0" w:space="0" w:color="auto"/>
                                                <w:left w:val="none" w:sz="0" w:space="0" w:color="auto"/>
                                                <w:bottom w:val="none" w:sz="0" w:space="0" w:color="auto"/>
                                                <w:right w:val="none" w:sz="0" w:space="0" w:color="auto"/>
                                              </w:divBdr>
                                              <w:divsChild>
                                                <w:div w:id="867766039">
                                                  <w:marLeft w:val="0"/>
                                                  <w:marRight w:val="0"/>
                                                  <w:marTop w:val="0"/>
                                                  <w:marBottom w:val="0"/>
                                                  <w:divBdr>
                                                    <w:top w:val="none" w:sz="0" w:space="0" w:color="auto"/>
                                                    <w:left w:val="none" w:sz="0" w:space="0" w:color="auto"/>
                                                    <w:bottom w:val="none" w:sz="0" w:space="0" w:color="auto"/>
                                                    <w:right w:val="none" w:sz="0" w:space="0" w:color="auto"/>
                                                  </w:divBdr>
                                                  <w:divsChild>
                                                    <w:div w:id="976031006">
                                                      <w:marLeft w:val="0"/>
                                                      <w:marRight w:val="0"/>
                                                      <w:marTop w:val="0"/>
                                                      <w:marBottom w:val="0"/>
                                                      <w:divBdr>
                                                        <w:top w:val="none" w:sz="0" w:space="0" w:color="auto"/>
                                                        <w:left w:val="none" w:sz="0" w:space="0" w:color="auto"/>
                                                        <w:bottom w:val="none" w:sz="0" w:space="0" w:color="auto"/>
                                                        <w:right w:val="none" w:sz="0" w:space="0" w:color="auto"/>
                                                      </w:divBdr>
                                                      <w:divsChild>
                                                        <w:div w:id="17835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1780164">
      <w:bodyDiv w:val="1"/>
      <w:marLeft w:val="0"/>
      <w:marRight w:val="0"/>
      <w:marTop w:val="0"/>
      <w:marBottom w:val="0"/>
      <w:divBdr>
        <w:top w:val="none" w:sz="0" w:space="0" w:color="auto"/>
        <w:left w:val="none" w:sz="0" w:space="0" w:color="auto"/>
        <w:bottom w:val="none" w:sz="0" w:space="0" w:color="auto"/>
        <w:right w:val="none" w:sz="0" w:space="0" w:color="auto"/>
      </w:divBdr>
      <w:divsChild>
        <w:div w:id="807169639">
          <w:marLeft w:val="0"/>
          <w:marRight w:val="0"/>
          <w:marTop w:val="0"/>
          <w:marBottom w:val="0"/>
          <w:divBdr>
            <w:top w:val="none" w:sz="0" w:space="0" w:color="auto"/>
            <w:left w:val="none" w:sz="0" w:space="0" w:color="auto"/>
            <w:bottom w:val="none" w:sz="0" w:space="0" w:color="auto"/>
            <w:right w:val="none" w:sz="0" w:space="0" w:color="auto"/>
          </w:divBdr>
          <w:divsChild>
            <w:div w:id="1261908803">
              <w:marLeft w:val="0"/>
              <w:marRight w:val="0"/>
              <w:marTop w:val="0"/>
              <w:marBottom w:val="0"/>
              <w:divBdr>
                <w:top w:val="none" w:sz="0" w:space="0" w:color="auto"/>
                <w:left w:val="none" w:sz="0" w:space="0" w:color="auto"/>
                <w:bottom w:val="none" w:sz="0" w:space="0" w:color="auto"/>
                <w:right w:val="none" w:sz="0" w:space="0" w:color="auto"/>
              </w:divBdr>
              <w:divsChild>
                <w:div w:id="1000281575">
                  <w:marLeft w:val="0"/>
                  <w:marRight w:val="0"/>
                  <w:marTop w:val="0"/>
                  <w:marBottom w:val="0"/>
                  <w:divBdr>
                    <w:top w:val="none" w:sz="0" w:space="0" w:color="auto"/>
                    <w:left w:val="none" w:sz="0" w:space="0" w:color="auto"/>
                    <w:bottom w:val="none" w:sz="0" w:space="0" w:color="auto"/>
                    <w:right w:val="none" w:sz="0" w:space="0" w:color="auto"/>
                  </w:divBdr>
                  <w:divsChild>
                    <w:div w:id="1203207285">
                      <w:marLeft w:val="0"/>
                      <w:marRight w:val="0"/>
                      <w:marTop w:val="0"/>
                      <w:marBottom w:val="0"/>
                      <w:divBdr>
                        <w:top w:val="none" w:sz="0" w:space="0" w:color="auto"/>
                        <w:left w:val="none" w:sz="0" w:space="0" w:color="auto"/>
                        <w:bottom w:val="none" w:sz="0" w:space="0" w:color="auto"/>
                        <w:right w:val="none" w:sz="0" w:space="0" w:color="auto"/>
                      </w:divBdr>
                      <w:divsChild>
                        <w:div w:id="1718512052">
                          <w:marLeft w:val="0"/>
                          <w:marRight w:val="0"/>
                          <w:marTop w:val="0"/>
                          <w:marBottom w:val="0"/>
                          <w:divBdr>
                            <w:top w:val="none" w:sz="0" w:space="0" w:color="auto"/>
                            <w:left w:val="none" w:sz="0" w:space="0" w:color="auto"/>
                            <w:bottom w:val="none" w:sz="0" w:space="0" w:color="auto"/>
                            <w:right w:val="none" w:sz="0" w:space="0" w:color="auto"/>
                          </w:divBdr>
                          <w:divsChild>
                            <w:div w:id="1354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775318">
      <w:bodyDiv w:val="1"/>
      <w:marLeft w:val="0"/>
      <w:marRight w:val="0"/>
      <w:marTop w:val="0"/>
      <w:marBottom w:val="0"/>
      <w:divBdr>
        <w:top w:val="none" w:sz="0" w:space="0" w:color="auto"/>
        <w:left w:val="none" w:sz="0" w:space="0" w:color="auto"/>
        <w:bottom w:val="none" w:sz="0" w:space="0" w:color="auto"/>
        <w:right w:val="none" w:sz="0" w:space="0" w:color="auto"/>
      </w:divBdr>
    </w:div>
    <w:div w:id="415171804">
      <w:bodyDiv w:val="1"/>
      <w:marLeft w:val="0"/>
      <w:marRight w:val="0"/>
      <w:marTop w:val="0"/>
      <w:marBottom w:val="0"/>
      <w:divBdr>
        <w:top w:val="none" w:sz="0" w:space="0" w:color="auto"/>
        <w:left w:val="none" w:sz="0" w:space="0" w:color="auto"/>
        <w:bottom w:val="none" w:sz="0" w:space="0" w:color="auto"/>
        <w:right w:val="none" w:sz="0" w:space="0" w:color="auto"/>
      </w:divBdr>
    </w:div>
    <w:div w:id="415248856">
      <w:bodyDiv w:val="1"/>
      <w:marLeft w:val="0"/>
      <w:marRight w:val="0"/>
      <w:marTop w:val="0"/>
      <w:marBottom w:val="0"/>
      <w:divBdr>
        <w:top w:val="none" w:sz="0" w:space="0" w:color="auto"/>
        <w:left w:val="none" w:sz="0" w:space="0" w:color="auto"/>
        <w:bottom w:val="none" w:sz="0" w:space="0" w:color="auto"/>
        <w:right w:val="none" w:sz="0" w:space="0" w:color="auto"/>
      </w:divBdr>
      <w:divsChild>
        <w:div w:id="1511338285">
          <w:marLeft w:val="0"/>
          <w:marRight w:val="0"/>
          <w:marTop w:val="0"/>
          <w:marBottom w:val="0"/>
          <w:divBdr>
            <w:top w:val="none" w:sz="0" w:space="0" w:color="auto"/>
            <w:left w:val="none" w:sz="0" w:space="0" w:color="auto"/>
            <w:bottom w:val="none" w:sz="0" w:space="0" w:color="auto"/>
            <w:right w:val="none" w:sz="0" w:space="0" w:color="auto"/>
          </w:divBdr>
          <w:divsChild>
            <w:div w:id="1800343479">
              <w:marLeft w:val="0"/>
              <w:marRight w:val="0"/>
              <w:marTop w:val="0"/>
              <w:marBottom w:val="0"/>
              <w:divBdr>
                <w:top w:val="none" w:sz="0" w:space="0" w:color="auto"/>
                <w:left w:val="none" w:sz="0" w:space="0" w:color="auto"/>
                <w:bottom w:val="none" w:sz="0" w:space="0" w:color="auto"/>
                <w:right w:val="none" w:sz="0" w:space="0" w:color="auto"/>
              </w:divBdr>
              <w:divsChild>
                <w:div w:id="424880133">
                  <w:marLeft w:val="0"/>
                  <w:marRight w:val="0"/>
                  <w:marTop w:val="0"/>
                  <w:marBottom w:val="0"/>
                  <w:divBdr>
                    <w:top w:val="none" w:sz="0" w:space="0" w:color="auto"/>
                    <w:left w:val="none" w:sz="0" w:space="0" w:color="auto"/>
                    <w:bottom w:val="none" w:sz="0" w:space="0" w:color="auto"/>
                    <w:right w:val="none" w:sz="0" w:space="0" w:color="auto"/>
                  </w:divBdr>
                  <w:divsChild>
                    <w:div w:id="1796605566">
                      <w:marLeft w:val="0"/>
                      <w:marRight w:val="0"/>
                      <w:marTop w:val="0"/>
                      <w:marBottom w:val="0"/>
                      <w:divBdr>
                        <w:top w:val="none" w:sz="0" w:space="0" w:color="auto"/>
                        <w:left w:val="none" w:sz="0" w:space="0" w:color="auto"/>
                        <w:bottom w:val="none" w:sz="0" w:space="0" w:color="auto"/>
                        <w:right w:val="none" w:sz="0" w:space="0" w:color="auto"/>
                      </w:divBdr>
                      <w:divsChild>
                        <w:div w:id="1383627957">
                          <w:marLeft w:val="0"/>
                          <w:marRight w:val="0"/>
                          <w:marTop w:val="0"/>
                          <w:marBottom w:val="0"/>
                          <w:divBdr>
                            <w:top w:val="none" w:sz="0" w:space="0" w:color="auto"/>
                            <w:left w:val="none" w:sz="0" w:space="0" w:color="auto"/>
                            <w:bottom w:val="none" w:sz="0" w:space="0" w:color="auto"/>
                            <w:right w:val="none" w:sz="0" w:space="0" w:color="auto"/>
                          </w:divBdr>
                          <w:divsChild>
                            <w:div w:id="26761738">
                              <w:marLeft w:val="0"/>
                              <w:marRight w:val="0"/>
                              <w:marTop w:val="0"/>
                              <w:marBottom w:val="0"/>
                              <w:divBdr>
                                <w:top w:val="none" w:sz="0" w:space="0" w:color="auto"/>
                                <w:left w:val="none" w:sz="0" w:space="0" w:color="auto"/>
                                <w:bottom w:val="none" w:sz="0" w:space="0" w:color="auto"/>
                                <w:right w:val="none" w:sz="0" w:space="0" w:color="auto"/>
                              </w:divBdr>
                              <w:divsChild>
                                <w:div w:id="1336228938">
                                  <w:marLeft w:val="0"/>
                                  <w:marRight w:val="0"/>
                                  <w:marTop w:val="0"/>
                                  <w:marBottom w:val="0"/>
                                  <w:divBdr>
                                    <w:top w:val="none" w:sz="0" w:space="0" w:color="auto"/>
                                    <w:left w:val="none" w:sz="0" w:space="0" w:color="auto"/>
                                    <w:bottom w:val="none" w:sz="0" w:space="0" w:color="auto"/>
                                    <w:right w:val="none" w:sz="0" w:space="0" w:color="auto"/>
                                  </w:divBdr>
                                  <w:divsChild>
                                    <w:div w:id="1364014192">
                                      <w:marLeft w:val="0"/>
                                      <w:marRight w:val="0"/>
                                      <w:marTop w:val="0"/>
                                      <w:marBottom w:val="0"/>
                                      <w:divBdr>
                                        <w:top w:val="none" w:sz="0" w:space="0" w:color="auto"/>
                                        <w:left w:val="none" w:sz="0" w:space="0" w:color="auto"/>
                                        <w:bottom w:val="none" w:sz="0" w:space="0" w:color="auto"/>
                                        <w:right w:val="none" w:sz="0" w:space="0" w:color="auto"/>
                                      </w:divBdr>
                                      <w:divsChild>
                                        <w:div w:id="3161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589622">
      <w:bodyDiv w:val="1"/>
      <w:marLeft w:val="0"/>
      <w:marRight w:val="0"/>
      <w:marTop w:val="0"/>
      <w:marBottom w:val="0"/>
      <w:divBdr>
        <w:top w:val="none" w:sz="0" w:space="0" w:color="auto"/>
        <w:left w:val="none" w:sz="0" w:space="0" w:color="auto"/>
        <w:bottom w:val="none" w:sz="0" w:space="0" w:color="auto"/>
        <w:right w:val="none" w:sz="0" w:space="0" w:color="auto"/>
      </w:divBdr>
    </w:div>
    <w:div w:id="415830534">
      <w:bodyDiv w:val="1"/>
      <w:marLeft w:val="0"/>
      <w:marRight w:val="0"/>
      <w:marTop w:val="0"/>
      <w:marBottom w:val="0"/>
      <w:divBdr>
        <w:top w:val="none" w:sz="0" w:space="0" w:color="auto"/>
        <w:left w:val="none" w:sz="0" w:space="0" w:color="auto"/>
        <w:bottom w:val="none" w:sz="0" w:space="0" w:color="auto"/>
        <w:right w:val="none" w:sz="0" w:space="0" w:color="auto"/>
      </w:divBdr>
      <w:divsChild>
        <w:div w:id="1943370508">
          <w:marLeft w:val="0"/>
          <w:marRight w:val="0"/>
          <w:marTop w:val="150"/>
          <w:marBottom w:val="0"/>
          <w:divBdr>
            <w:top w:val="none" w:sz="0" w:space="0" w:color="auto"/>
            <w:left w:val="none" w:sz="0" w:space="0" w:color="auto"/>
            <w:bottom w:val="none" w:sz="0" w:space="0" w:color="auto"/>
            <w:right w:val="none" w:sz="0" w:space="0" w:color="auto"/>
          </w:divBdr>
          <w:divsChild>
            <w:div w:id="604852026">
              <w:marLeft w:val="2"/>
              <w:marRight w:val="2"/>
              <w:marTop w:val="0"/>
              <w:marBottom w:val="0"/>
              <w:divBdr>
                <w:top w:val="none" w:sz="0" w:space="0" w:color="auto"/>
                <w:left w:val="none" w:sz="0" w:space="0" w:color="auto"/>
                <w:bottom w:val="none" w:sz="0" w:space="0" w:color="auto"/>
                <w:right w:val="none" w:sz="0" w:space="0" w:color="auto"/>
              </w:divBdr>
              <w:divsChild>
                <w:div w:id="841313992">
                  <w:marLeft w:val="0"/>
                  <w:marRight w:val="0"/>
                  <w:marTop w:val="0"/>
                  <w:marBottom w:val="0"/>
                  <w:divBdr>
                    <w:top w:val="none" w:sz="0" w:space="0" w:color="auto"/>
                    <w:left w:val="none" w:sz="0" w:space="0" w:color="auto"/>
                    <w:bottom w:val="none" w:sz="0" w:space="0" w:color="auto"/>
                    <w:right w:val="none" w:sz="0" w:space="0" w:color="auto"/>
                  </w:divBdr>
                  <w:divsChild>
                    <w:div w:id="1433475956">
                      <w:marLeft w:val="0"/>
                      <w:marRight w:val="0"/>
                      <w:marTop w:val="0"/>
                      <w:marBottom w:val="0"/>
                      <w:divBdr>
                        <w:top w:val="none" w:sz="0" w:space="0" w:color="auto"/>
                        <w:left w:val="none" w:sz="0" w:space="0" w:color="auto"/>
                        <w:bottom w:val="none" w:sz="0" w:space="0" w:color="auto"/>
                        <w:right w:val="none" w:sz="0" w:space="0" w:color="auto"/>
                      </w:divBdr>
                      <w:divsChild>
                        <w:div w:id="1430002482">
                          <w:marLeft w:val="0"/>
                          <w:marRight w:val="0"/>
                          <w:marTop w:val="0"/>
                          <w:marBottom w:val="0"/>
                          <w:divBdr>
                            <w:top w:val="none" w:sz="0" w:space="0" w:color="auto"/>
                            <w:left w:val="none" w:sz="0" w:space="0" w:color="auto"/>
                            <w:bottom w:val="none" w:sz="0" w:space="0" w:color="auto"/>
                            <w:right w:val="none" w:sz="0" w:space="0" w:color="auto"/>
                          </w:divBdr>
                          <w:divsChild>
                            <w:div w:id="1753967062">
                              <w:marLeft w:val="0"/>
                              <w:marRight w:val="0"/>
                              <w:marTop w:val="0"/>
                              <w:marBottom w:val="0"/>
                              <w:divBdr>
                                <w:top w:val="none" w:sz="0" w:space="0" w:color="auto"/>
                                <w:left w:val="none" w:sz="0" w:space="0" w:color="auto"/>
                                <w:bottom w:val="none" w:sz="0" w:space="0" w:color="auto"/>
                                <w:right w:val="none" w:sz="0" w:space="0" w:color="auto"/>
                              </w:divBdr>
                              <w:divsChild>
                                <w:div w:id="778259354">
                                  <w:marLeft w:val="0"/>
                                  <w:marRight w:val="0"/>
                                  <w:marTop w:val="0"/>
                                  <w:marBottom w:val="0"/>
                                  <w:divBdr>
                                    <w:top w:val="none" w:sz="0" w:space="0" w:color="auto"/>
                                    <w:left w:val="none" w:sz="0" w:space="0" w:color="auto"/>
                                    <w:bottom w:val="none" w:sz="0" w:space="0" w:color="auto"/>
                                    <w:right w:val="none" w:sz="0" w:space="0" w:color="auto"/>
                                  </w:divBdr>
                                  <w:divsChild>
                                    <w:div w:id="371467755">
                                      <w:marLeft w:val="0"/>
                                      <w:marRight w:val="0"/>
                                      <w:marTop w:val="0"/>
                                      <w:marBottom w:val="0"/>
                                      <w:divBdr>
                                        <w:top w:val="none" w:sz="0" w:space="0" w:color="auto"/>
                                        <w:left w:val="none" w:sz="0" w:space="0" w:color="auto"/>
                                        <w:bottom w:val="none" w:sz="0" w:space="0" w:color="auto"/>
                                        <w:right w:val="none" w:sz="0" w:space="0" w:color="auto"/>
                                      </w:divBdr>
                                      <w:divsChild>
                                        <w:div w:id="11273046">
                                          <w:marLeft w:val="0"/>
                                          <w:marRight w:val="0"/>
                                          <w:marTop w:val="0"/>
                                          <w:marBottom w:val="0"/>
                                          <w:divBdr>
                                            <w:top w:val="none" w:sz="0" w:space="0" w:color="auto"/>
                                            <w:left w:val="none" w:sz="0" w:space="0" w:color="auto"/>
                                            <w:bottom w:val="none" w:sz="0" w:space="0" w:color="auto"/>
                                            <w:right w:val="none" w:sz="0" w:space="0" w:color="auto"/>
                                          </w:divBdr>
                                          <w:divsChild>
                                            <w:div w:id="1762674725">
                                              <w:marLeft w:val="0"/>
                                              <w:marRight w:val="0"/>
                                              <w:marTop w:val="0"/>
                                              <w:marBottom w:val="0"/>
                                              <w:divBdr>
                                                <w:top w:val="none" w:sz="0" w:space="0" w:color="auto"/>
                                                <w:left w:val="none" w:sz="0" w:space="0" w:color="auto"/>
                                                <w:bottom w:val="none" w:sz="0" w:space="0" w:color="auto"/>
                                                <w:right w:val="none" w:sz="0" w:space="0" w:color="auto"/>
                                              </w:divBdr>
                                              <w:divsChild>
                                                <w:div w:id="993875980">
                                                  <w:marLeft w:val="0"/>
                                                  <w:marRight w:val="0"/>
                                                  <w:marTop w:val="0"/>
                                                  <w:marBottom w:val="0"/>
                                                  <w:divBdr>
                                                    <w:top w:val="none" w:sz="0" w:space="0" w:color="auto"/>
                                                    <w:left w:val="none" w:sz="0" w:space="0" w:color="auto"/>
                                                    <w:bottom w:val="none" w:sz="0" w:space="0" w:color="auto"/>
                                                    <w:right w:val="none" w:sz="0" w:space="0" w:color="auto"/>
                                                  </w:divBdr>
                                                </w:div>
                                              </w:divsChild>
                                            </w:div>
                                            <w:div w:id="897205015">
                                              <w:marLeft w:val="0"/>
                                              <w:marRight w:val="0"/>
                                              <w:marTop w:val="0"/>
                                              <w:marBottom w:val="0"/>
                                              <w:divBdr>
                                                <w:top w:val="none" w:sz="0" w:space="0" w:color="auto"/>
                                                <w:left w:val="none" w:sz="0" w:space="0" w:color="auto"/>
                                                <w:bottom w:val="none" w:sz="0" w:space="0" w:color="auto"/>
                                                <w:right w:val="none" w:sz="0" w:space="0" w:color="auto"/>
                                              </w:divBdr>
                                              <w:divsChild>
                                                <w:div w:id="1565262002">
                                                  <w:marLeft w:val="0"/>
                                                  <w:marRight w:val="0"/>
                                                  <w:marTop w:val="0"/>
                                                  <w:marBottom w:val="0"/>
                                                  <w:divBdr>
                                                    <w:top w:val="none" w:sz="0" w:space="0" w:color="auto"/>
                                                    <w:left w:val="none" w:sz="0" w:space="0" w:color="auto"/>
                                                    <w:bottom w:val="none" w:sz="0" w:space="0" w:color="auto"/>
                                                    <w:right w:val="none" w:sz="0" w:space="0" w:color="auto"/>
                                                  </w:divBdr>
                                                </w:div>
                                              </w:divsChild>
                                            </w:div>
                                            <w:div w:id="498228808">
                                              <w:marLeft w:val="0"/>
                                              <w:marRight w:val="0"/>
                                              <w:marTop w:val="0"/>
                                              <w:marBottom w:val="0"/>
                                              <w:divBdr>
                                                <w:top w:val="none" w:sz="0" w:space="0" w:color="auto"/>
                                                <w:left w:val="none" w:sz="0" w:space="0" w:color="auto"/>
                                                <w:bottom w:val="none" w:sz="0" w:space="0" w:color="auto"/>
                                                <w:right w:val="none" w:sz="0" w:space="0" w:color="auto"/>
                                              </w:divBdr>
                                              <w:divsChild>
                                                <w:div w:id="1461149256">
                                                  <w:marLeft w:val="0"/>
                                                  <w:marRight w:val="0"/>
                                                  <w:marTop w:val="0"/>
                                                  <w:marBottom w:val="0"/>
                                                  <w:divBdr>
                                                    <w:top w:val="none" w:sz="0" w:space="0" w:color="auto"/>
                                                    <w:left w:val="none" w:sz="0" w:space="0" w:color="auto"/>
                                                    <w:bottom w:val="none" w:sz="0" w:space="0" w:color="auto"/>
                                                    <w:right w:val="none" w:sz="0" w:space="0" w:color="auto"/>
                                                  </w:divBdr>
                                                </w:div>
                                              </w:divsChild>
                                            </w:div>
                                            <w:div w:id="973633628">
                                              <w:marLeft w:val="0"/>
                                              <w:marRight w:val="0"/>
                                              <w:marTop w:val="0"/>
                                              <w:marBottom w:val="0"/>
                                              <w:divBdr>
                                                <w:top w:val="none" w:sz="0" w:space="0" w:color="auto"/>
                                                <w:left w:val="none" w:sz="0" w:space="0" w:color="auto"/>
                                                <w:bottom w:val="none" w:sz="0" w:space="0" w:color="auto"/>
                                                <w:right w:val="none" w:sz="0" w:space="0" w:color="auto"/>
                                              </w:divBdr>
                                              <w:divsChild>
                                                <w:div w:id="18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905948">
      <w:bodyDiv w:val="1"/>
      <w:marLeft w:val="0"/>
      <w:marRight w:val="0"/>
      <w:marTop w:val="0"/>
      <w:marBottom w:val="0"/>
      <w:divBdr>
        <w:top w:val="none" w:sz="0" w:space="0" w:color="auto"/>
        <w:left w:val="none" w:sz="0" w:space="0" w:color="auto"/>
        <w:bottom w:val="none" w:sz="0" w:space="0" w:color="auto"/>
        <w:right w:val="none" w:sz="0" w:space="0" w:color="auto"/>
      </w:divBdr>
      <w:divsChild>
        <w:div w:id="739640978">
          <w:marLeft w:val="0"/>
          <w:marRight w:val="0"/>
          <w:marTop w:val="0"/>
          <w:marBottom w:val="0"/>
          <w:divBdr>
            <w:top w:val="none" w:sz="0" w:space="0" w:color="auto"/>
            <w:left w:val="none" w:sz="0" w:space="0" w:color="auto"/>
            <w:bottom w:val="none" w:sz="0" w:space="0" w:color="auto"/>
            <w:right w:val="none" w:sz="0" w:space="0" w:color="auto"/>
          </w:divBdr>
          <w:divsChild>
            <w:div w:id="1420757691">
              <w:marLeft w:val="0"/>
              <w:marRight w:val="0"/>
              <w:marTop w:val="0"/>
              <w:marBottom w:val="0"/>
              <w:divBdr>
                <w:top w:val="none" w:sz="0" w:space="0" w:color="auto"/>
                <w:left w:val="none" w:sz="0" w:space="0" w:color="auto"/>
                <w:bottom w:val="none" w:sz="0" w:space="0" w:color="auto"/>
                <w:right w:val="none" w:sz="0" w:space="0" w:color="auto"/>
              </w:divBdr>
              <w:divsChild>
                <w:div w:id="758058871">
                  <w:marLeft w:val="0"/>
                  <w:marRight w:val="0"/>
                  <w:marTop w:val="0"/>
                  <w:marBottom w:val="0"/>
                  <w:divBdr>
                    <w:top w:val="none" w:sz="0" w:space="0" w:color="auto"/>
                    <w:left w:val="none" w:sz="0" w:space="0" w:color="auto"/>
                    <w:bottom w:val="none" w:sz="0" w:space="0" w:color="auto"/>
                    <w:right w:val="none" w:sz="0" w:space="0" w:color="auto"/>
                  </w:divBdr>
                  <w:divsChild>
                    <w:div w:id="603808132">
                      <w:marLeft w:val="0"/>
                      <w:marRight w:val="0"/>
                      <w:marTop w:val="0"/>
                      <w:marBottom w:val="0"/>
                      <w:divBdr>
                        <w:top w:val="none" w:sz="0" w:space="0" w:color="auto"/>
                        <w:left w:val="none" w:sz="0" w:space="0" w:color="auto"/>
                        <w:bottom w:val="none" w:sz="0" w:space="0" w:color="auto"/>
                        <w:right w:val="none" w:sz="0" w:space="0" w:color="auto"/>
                      </w:divBdr>
                      <w:divsChild>
                        <w:div w:id="2089496330">
                          <w:marLeft w:val="0"/>
                          <w:marRight w:val="0"/>
                          <w:marTop w:val="0"/>
                          <w:marBottom w:val="0"/>
                          <w:divBdr>
                            <w:top w:val="none" w:sz="0" w:space="0" w:color="auto"/>
                            <w:left w:val="none" w:sz="0" w:space="0" w:color="auto"/>
                            <w:bottom w:val="none" w:sz="0" w:space="0" w:color="auto"/>
                            <w:right w:val="none" w:sz="0" w:space="0" w:color="auto"/>
                          </w:divBdr>
                          <w:divsChild>
                            <w:div w:id="134682649">
                              <w:marLeft w:val="570"/>
                              <w:marRight w:val="720"/>
                              <w:marTop w:val="120"/>
                              <w:marBottom w:val="120"/>
                              <w:divBdr>
                                <w:top w:val="none" w:sz="0" w:space="0" w:color="auto"/>
                                <w:left w:val="none" w:sz="0" w:space="0" w:color="auto"/>
                                <w:bottom w:val="none" w:sz="0" w:space="0" w:color="auto"/>
                                <w:right w:val="none" w:sz="0" w:space="0" w:color="auto"/>
                              </w:divBdr>
                              <w:divsChild>
                                <w:div w:id="1502429095">
                                  <w:marLeft w:val="0"/>
                                  <w:marRight w:val="0"/>
                                  <w:marTop w:val="0"/>
                                  <w:marBottom w:val="0"/>
                                  <w:divBdr>
                                    <w:top w:val="none" w:sz="0" w:space="0" w:color="auto"/>
                                    <w:left w:val="none" w:sz="0" w:space="0" w:color="auto"/>
                                    <w:bottom w:val="none" w:sz="0" w:space="0" w:color="auto"/>
                                    <w:right w:val="none" w:sz="0" w:space="0" w:color="auto"/>
                                  </w:divBdr>
                                  <w:divsChild>
                                    <w:div w:id="79453506">
                                      <w:marLeft w:val="0"/>
                                      <w:marRight w:val="0"/>
                                      <w:marTop w:val="0"/>
                                      <w:marBottom w:val="0"/>
                                      <w:divBdr>
                                        <w:top w:val="none" w:sz="0" w:space="0" w:color="auto"/>
                                        <w:left w:val="none" w:sz="0" w:space="0" w:color="auto"/>
                                        <w:bottom w:val="none" w:sz="0" w:space="0" w:color="auto"/>
                                        <w:right w:val="none" w:sz="0" w:space="0" w:color="auto"/>
                                      </w:divBdr>
                                      <w:divsChild>
                                        <w:div w:id="815951576">
                                          <w:marLeft w:val="0"/>
                                          <w:marRight w:val="0"/>
                                          <w:marTop w:val="0"/>
                                          <w:marBottom w:val="150"/>
                                          <w:divBdr>
                                            <w:top w:val="none" w:sz="0" w:space="0" w:color="auto"/>
                                            <w:left w:val="none" w:sz="0" w:space="0" w:color="auto"/>
                                            <w:bottom w:val="none" w:sz="0" w:space="0" w:color="auto"/>
                                            <w:right w:val="none" w:sz="0" w:space="0" w:color="auto"/>
                                          </w:divBdr>
                                          <w:divsChild>
                                            <w:div w:id="2038193483">
                                              <w:marLeft w:val="0"/>
                                              <w:marRight w:val="0"/>
                                              <w:marTop w:val="0"/>
                                              <w:marBottom w:val="0"/>
                                              <w:divBdr>
                                                <w:top w:val="none" w:sz="0" w:space="0" w:color="auto"/>
                                                <w:left w:val="none" w:sz="0" w:space="0" w:color="auto"/>
                                                <w:bottom w:val="none" w:sz="0" w:space="0" w:color="auto"/>
                                                <w:right w:val="none" w:sz="0" w:space="0" w:color="auto"/>
                                              </w:divBdr>
                                              <w:divsChild>
                                                <w:div w:id="6257010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826983">
      <w:bodyDiv w:val="1"/>
      <w:marLeft w:val="0"/>
      <w:marRight w:val="0"/>
      <w:marTop w:val="0"/>
      <w:marBottom w:val="0"/>
      <w:divBdr>
        <w:top w:val="none" w:sz="0" w:space="0" w:color="auto"/>
        <w:left w:val="none" w:sz="0" w:space="0" w:color="auto"/>
        <w:bottom w:val="none" w:sz="0" w:space="0" w:color="auto"/>
        <w:right w:val="none" w:sz="0" w:space="0" w:color="auto"/>
      </w:divBdr>
    </w:div>
    <w:div w:id="419984094">
      <w:bodyDiv w:val="1"/>
      <w:marLeft w:val="0"/>
      <w:marRight w:val="0"/>
      <w:marTop w:val="0"/>
      <w:marBottom w:val="0"/>
      <w:divBdr>
        <w:top w:val="none" w:sz="0" w:space="0" w:color="auto"/>
        <w:left w:val="none" w:sz="0" w:space="0" w:color="auto"/>
        <w:bottom w:val="none" w:sz="0" w:space="0" w:color="auto"/>
        <w:right w:val="none" w:sz="0" w:space="0" w:color="auto"/>
      </w:divBdr>
      <w:divsChild>
        <w:div w:id="2031947290">
          <w:marLeft w:val="0"/>
          <w:marRight w:val="0"/>
          <w:marTop w:val="0"/>
          <w:marBottom w:val="0"/>
          <w:divBdr>
            <w:top w:val="single" w:sz="2" w:space="0" w:color="AAAAAA"/>
            <w:left w:val="single" w:sz="6" w:space="8" w:color="AAAAAA"/>
            <w:bottom w:val="single" w:sz="2" w:space="0" w:color="AAAAAA"/>
            <w:right w:val="single" w:sz="6" w:space="8" w:color="AAAAAA"/>
          </w:divBdr>
          <w:divsChild>
            <w:div w:id="348917721">
              <w:marLeft w:val="0"/>
              <w:marRight w:val="0"/>
              <w:marTop w:val="0"/>
              <w:marBottom w:val="0"/>
              <w:divBdr>
                <w:top w:val="none" w:sz="0" w:space="0" w:color="auto"/>
                <w:left w:val="none" w:sz="0" w:space="0" w:color="auto"/>
                <w:bottom w:val="none" w:sz="0" w:space="0" w:color="auto"/>
                <w:right w:val="none" w:sz="0" w:space="0" w:color="auto"/>
              </w:divBdr>
              <w:divsChild>
                <w:div w:id="1587298929">
                  <w:marLeft w:val="0"/>
                  <w:marRight w:val="0"/>
                  <w:marTop w:val="0"/>
                  <w:marBottom w:val="0"/>
                  <w:divBdr>
                    <w:top w:val="none" w:sz="0" w:space="0" w:color="auto"/>
                    <w:left w:val="none" w:sz="0" w:space="0" w:color="auto"/>
                    <w:bottom w:val="none" w:sz="0" w:space="0" w:color="auto"/>
                    <w:right w:val="none" w:sz="0" w:space="0" w:color="auto"/>
                  </w:divBdr>
                  <w:divsChild>
                    <w:div w:id="1551653470">
                      <w:marLeft w:val="0"/>
                      <w:marRight w:val="2550"/>
                      <w:marTop w:val="0"/>
                      <w:marBottom w:val="48"/>
                      <w:divBdr>
                        <w:top w:val="none" w:sz="0" w:space="0" w:color="auto"/>
                        <w:left w:val="none" w:sz="0" w:space="0" w:color="auto"/>
                        <w:bottom w:val="none" w:sz="0" w:space="0" w:color="auto"/>
                        <w:right w:val="none" w:sz="0" w:space="0" w:color="auto"/>
                      </w:divBdr>
                      <w:divsChild>
                        <w:div w:id="3813677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21536339">
      <w:bodyDiv w:val="1"/>
      <w:marLeft w:val="0"/>
      <w:marRight w:val="0"/>
      <w:marTop w:val="0"/>
      <w:marBottom w:val="0"/>
      <w:divBdr>
        <w:top w:val="none" w:sz="0" w:space="0" w:color="auto"/>
        <w:left w:val="none" w:sz="0" w:space="0" w:color="auto"/>
        <w:bottom w:val="none" w:sz="0" w:space="0" w:color="auto"/>
        <w:right w:val="none" w:sz="0" w:space="0" w:color="auto"/>
      </w:divBdr>
      <w:divsChild>
        <w:div w:id="1487935357">
          <w:marLeft w:val="0"/>
          <w:marRight w:val="0"/>
          <w:marTop w:val="0"/>
          <w:marBottom w:val="0"/>
          <w:divBdr>
            <w:top w:val="none" w:sz="0" w:space="0" w:color="auto"/>
            <w:left w:val="none" w:sz="0" w:space="0" w:color="auto"/>
            <w:bottom w:val="none" w:sz="0" w:space="0" w:color="auto"/>
            <w:right w:val="none" w:sz="0" w:space="0" w:color="auto"/>
          </w:divBdr>
          <w:divsChild>
            <w:div w:id="8486389">
              <w:marLeft w:val="0"/>
              <w:marRight w:val="0"/>
              <w:marTop w:val="0"/>
              <w:marBottom w:val="0"/>
              <w:divBdr>
                <w:top w:val="none" w:sz="0" w:space="0" w:color="auto"/>
                <w:left w:val="none" w:sz="0" w:space="0" w:color="auto"/>
                <w:bottom w:val="none" w:sz="0" w:space="0" w:color="auto"/>
                <w:right w:val="none" w:sz="0" w:space="0" w:color="auto"/>
              </w:divBdr>
              <w:divsChild>
                <w:div w:id="1863395077">
                  <w:marLeft w:val="0"/>
                  <w:marRight w:val="0"/>
                  <w:marTop w:val="0"/>
                  <w:marBottom w:val="0"/>
                  <w:divBdr>
                    <w:top w:val="none" w:sz="0" w:space="0" w:color="auto"/>
                    <w:left w:val="none" w:sz="0" w:space="0" w:color="auto"/>
                    <w:bottom w:val="none" w:sz="0" w:space="0" w:color="auto"/>
                    <w:right w:val="none" w:sz="0" w:space="0" w:color="auto"/>
                  </w:divBdr>
                  <w:divsChild>
                    <w:div w:id="1911845936">
                      <w:marLeft w:val="0"/>
                      <w:marRight w:val="0"/>
                      <w:marTop w:val="0"/>
                      <w:marBottom w:val="0"/>
                      <w:divBdr>
                        <w:top w:val="none" w:sz="0" w:space="0" w:color="auto"/>
                        <w:left w:val="none" w:sz="0" w:space="0" w:color="auto"/>
                        <w:bottom w:val="none" w:sz="0" w:space="0" w:color="auto"/>
                        <w:right w:val="none" w:sz="0" w:space="0" w:color="auto"/>
                      </w:divBdr>
                      <w:divsChild>
                        <w:div w:id="1695037734">
                          <w:marLeft w:val="0"/>
                          <w:marRight w:val="0"/>
                          <w:marTop w:val="0"/>
                          <w:marBottom w:val="0"/>
                          <w:divBdr>
                            <w:top w:val="none" w:sz="0" w:space="0" w:color="auto"/>
                            <w:left w:val="none" w:sz="0" w:space="0" w:color="auto"/>
                            <w:bottom w:val="none" w:sz="0" w:space="0" w:color="auto"/>
                            <w:right w:val="none" w:sz="0" w:space="0" w:color="auto"/>
                          </w:divBdr>
                          <w:divsChild>
                            <w:div w:id="517626202">
                              <w:marLeft w:val="0"/>
                              <w:marRight w:val="0"/>
                              <w:marTop w:val="0"/>
                              <w:marBottom w:val="0"/>
                              <w:divBdr>
                                <w:top w:val="none" w:sz="0" w:space="0" w:color="auto"/>
                                <w:left w:val="none" w:sz="0" w:space="0" w:color="auto"/>
                                <w:bottom w:val="none" w:sz="0" w:space="0" w:color="auto"/>
                                <w:right w:val="none" w:sz="0" w:space="0" w:color="auto"/>
                              </w:divBdr>
                              <w:divsChild>
                                <w:div w:id="2087919235">
                                  <w:marLeft w:val="0"/>
                                  <w:marRight w:val="0"/>
                                  <w:marTop w:val="0"/>
                                  <w:marBottom w:val="0"/>
                                  <w:divBdr>
                                    <w:top w:val="none" w:sz="0" w:space="0" w:color="auto"/>
                                    <w:left w:val="none" w:sz="0" w:space="0" w:color="auto"/>
                                    <w:bottom w:val="none" w:sz="0" w:space="0" w:color="auto"/>
                                    <w:right w:val="none" w:sz="0" w:space="0" w:color="auto"/>
                                  </w:divBdr>
                                  <w:divsChild>
                                    <w:div w:id="733435693">
                                      <w:marLeft w:val="0"/>
                                      <w:marRight w:val="0"/>
                                      <w:marTop w:val="0"/>
                                      <w:marBottom w:val="0"/>
                                      <w:divBdr>
                                        <w:top w:val="none" w:sz="0" w:space="0" w:color="auto"/>
                                        <w:left w:val="none" w:sz="0" w:space="0" w:color="auto"/>
                                        <w:bottom w:val="none" w:sz="0" w:space="0" w:color="auto"/>
                                        <w:right w:val="none" w:sz="0" w:space="0" w:color="auto"/>
                                      </w:divBdr>
                                      <w:divsChild>
                                        <w:div w:id="825442056">
                                          <w:marLeft w:val="0"/>
                                          <w:marRight w:val="0"/>
                                          <w:marTop w:val="0"/>
                                          <w:marBottom w:val="0"/>
                                          <w:divBdr>
                                            <w:top w:val="none" w:sz="0" w:space="0" w:color="auto"/>
                                            <w:left w:val="none" w:sz="0" w:space="0" w:color="auto"/>
                                            <w:bottom w:val="none" w:sz="0" w:space="0" w:color="auto"/>
                                            <w:right w:val="none" w:sz="0" w:space="0" w:color="auto"/>
                                          </w:divBdr>
                                          <w:divsChild>
                                            <w:div w:id="1891647290">
                                              <w:marLeft w:val="0"/>
                                              <w:marRight w:val="0"/>
                                              <w:marTop w:val="0"/>
                                              <w:marBottom w:val="0"/>
                                              <w:divBdr>
                                                <w:top w:val="none" w:sz="0" w:space="0" w:color="auto"/>
                                                <w:left w:val="none" w:sz="0" w:space="0" w:color="auto"/>
                                                <w:bottom w:val="none" w:sz="0" w:space="0" w:color="auto"/>
                                                <w:right w:val="none" w:sz="0" w:space="0" w:color="auto"/>
                                              </w:divBdr>
                                              <w:divsChild>
                                                <w:div w:id="218640687">
                                                  <w:marLeft w:val="0"/>
                                                  <w:marRight w:val="0"/>
                                                  <w:marTop w:val="0"/>
                                                  <w:marBottom w:val="0"/>
                                                  <w:divBdr>
                                                    <w:top w:val="none" w:sz="0" w:space="0" w:color="auto"/>
                                                    <w:left w:val="none" w:sz="0" w:space="0" w:color="auto"/>
                                                    <w:bottom w:val="none" w:sz="0" w:space="0" w:color="auto"/>
                                                    <w:right w:val="none" w:sz="0" w:space="0" w:color="auto"/>
                                                  </w:divBdr>
                                                  <w:divsChild>
                                                    <w:div w:id="1783264288">
                                                      <w:marLeft w:val="0"/>
                                                      <w:marRight w:val="0"/>
                                                      <w:marTop w:val="0"/>
                                                      <w:marBottom w:val="0"/>
                                                      <w:divBdr>
                                                        <w:top w:val="none" w:sz="0" w:space="0" w:color="auto"/>
                                                        <w:left w:val="none" w:sz="0" w:space="0" w:color="auto"/>
                                                        <w:bottom w:val="none" w:sz="0" w:space="0" w:color="auto"/>
                                                        <w:right w:val="none" w:sz="0" w:space="0" w:color="auto"/>
                                                      </w:divBdr>
                                                      <w:divsChild>
                                                        <w:div w:id="1295602816">
                                                          <w:marLeft w:val="0"/>
                                                          <w:marRight w:val="0"/>
                                                          <w:marTop w:val="0"/>
                                                          <w:marBottom w:val="0"/>
                                                          <w:divBdr>
                                                            <w:top w:val="none" w:sz="0" w:space="0" w:color="auto"/>
                                                            <w:left w:val="none" w:sz="0" w:space="0" w:color="auto"/>
                                                            <w:bottom w:val="none" w:sz="0" w:space="0" w:color="auto"/>
                                                            <w:right w:val="none" w:sz="0" w:space="0" w:color="auto"/>
                                                          </w:divBdr>
                                                        </w:div>
                                                        <w:div w:id="2089304755">
                                                          <w:marLeft w:val="0"/>
                                                          <w:marRight w:val="0"/>
                                                          <w:marTop w:val="0"/>
                                                          <w:marBottom w:val="0"/>
                                                          <w:divBdr>
                                                            <w:top w:val="none" w:sz="0" w:space="0" w:color="auto"/>
                                                            <w:left w:val="none" w:sz="0" w:space="0" w:color="auto"/>
                                                            <w:bottom w:val="none" w:sz="0" w:space="0" w:color="auto"/>
                                                            <w:right w:val="none" w:sz="0" w:space="0" w:color="auto"/>
                                                          </w:divBdr>
                                                          <w:divsChild>
                                                            <w:div w:id="15768173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1950946">
      <w:bodyDiv w:val="1"/>
      <w:marLeft w:val="0"/>
      <w:marRight w:val="0"/>
      <w:marTop w:val="0"/>
      <w:marBottom w:val="0"/>
      <w:divBdr>
        <w:top w:val="none" w:sz="0" w:space="0" w:color="auto"/>
        <w:left w:val="none" w:sz="0" w:space="0" w:color="auto"/>
        <w:bottom w:val="none" w:sz="0" w:space="0" w:color="auto"/>
        <w:right w:val="none" w:sz="0" w:space="0" w:color="auto"/>
      </w:divBdr>
      <w:divsChild>
        <w:div w:id="1427190138">
          <w:marLeft w:val="0"/>
          <w:marRight w:val="0"/>
          <w:marTop w:val="0"/>
          <w:marBottom w:val="0"/>
          <w:divBdr>
            <w:top w:val="none" w:sz="0" w:space="0" w:color="auto"/>
            <w:left w:val="none" w:sz="0" w:space="0" w:color="auto"/>
            <w:bottom w:val="none" w:sz="0" w:space="0" w:color="auto"/>
            <w:right w:val="none" w:sz="0" w:space="0" w:color="auto"/>
          </w:divBdr>
          <w:divsChild>
            <w:div w:id="1631667724">
              <w:marLeft w:val="0"/>
              <w:marRight w:val="0"/>
              <w:marTop w:val="0"/>
              <w:marBottom w:val="0"/>
              <w:divBdr>
                <w:top w:val="none" w:sz="0" w:space="0" w:color="auto"/>
                <w:left w:val="none" w:sz="0" w:space="0" w:color="auto"/>
                <w:bottom w:val="none" w:sz="0" w:space="0" w:color="auto"/>
                <w:right w:val="none" w:sz="0" w:space="0" w:color="auto"/>
              </w:divBdr>
              <w:divsChild>
                <w:div w:id="970936398">
                  <w:marLeft w:val="0"/>
                  <w:marRight w:val="0"/>
                  <w:marTop w:val="100"/>
                  <w:marBottom w:val="100"/>
                  <w:divBdr>
                    <w:top w:val="none" w:sz="0" w:space="0" w:color="auto"/>
                    <w:left w:val="none" w:sz="0" w:space="0" w:color="auto"/>
                    <w:bottom w:val="none" w:sz="0" w:space="0" w:color="auto"/>
                    <w:right w:val="none" w:sz="0" w:space="0" w:color="auto"/>
                  </w:divBdr>
                  <w:divsChild>
                    <w:div w:id="1492524919">
                      <w:marLeft w:val="0"/>
                      <w:marRight w:val="0"/>
                      <w:marTop w:val="0"/>
                      <w:marBottom w:val="0"/>
                      <w:divBdr>
                        <w:top w:val="none" w:sz="0" w:space="0" w:color="auto"/>
                        <w:left w:val="none" w:sz="0" w:space="0" w:color="auto"/>
                        <w:bottom w:val="none" w:sz="0" w:space="0" w:color="auto"/>
                        <w:right w:val="none" w:sz="0" w:space="0" w:color="auto"/>
                      </w:divBdr>
                      <w:divsChild>
                        <w:div w:id="2044551164">
                          <w:marLeft w:val="0"/>
                          <w:marRight w:val="0"/>
                          <w:marTop w:val="0"/>
                          <w:marBottom w:val="0"/>
                          <w:divBdr>
                            <w:top w:val="none" w:sz="0" w:space="0" w:color="auto"/>
                            <w:left w:val="none" w:sz="0" w:space="0" w:color="auto"/>
                            <w:bottom w:val="none" w:sz="0" w:space="0" w:color="auto"/>
                            <w:right w:val="none" w:sz="0" w:space="0" w:color="auto"/>
                          </w:divBdr>
                          <w:divsChild>
                            <w:div w:id="456605640">
                              <w:marLeft w:val="0"/>
                              <w:marRight w:val="0"/>
                              <w:marTop w:val="0"/>
                              <w:marBottom w:val="0"/>
                              <w:divBdr>
                                <w:top w:val="none" w:sz="0" w:space="0" w:color="auto"/>
                                <w:left w:val="none" w:sz="0" w:space="0" w:color="auto"/>
                                <w:bottom w:val="none" w:sz="0" w:space="0" w:color="auto"/>
                                <w:right w:val="none" w:sz="0" w:space="0" w:color="auto"/>
                              </w:divBdr>
                              <w:divsChild>
                                <w:div w:id="1950816505">
                                  <w:marLeft w:val="0"/>
                                  <w:marRight w:val="0"/>
                                  <w:marTop w:val="0"/>
                                  <w:marBottom w:val="0"/>
                                  <w:divBdr>
                                    <w:top w:val="none" w:sz="0" w:space="0" w:color="auto"/>
                                    <w:left w:val="none" w:sz="0" w:space="0" w:color="auto"/>
                                    <w:bottom w:val="none" w:sz="0" w:space="0" w:color="auto"/>
                                    <w:right w:val="none" w:sz="0" w:space="0" w:color="auto"/>
                                  </w:divBdr>
                                  <w:divsChild>
                                    <w:div w:id="63798657">
                                      <w:marLeft w:val="0"/>
                                      <w:marRight w:val="0"/>
                                      <w:marTop w:val="0"/>
                                      <w:marBottom w:val="0"/>
                                      <w:divBdr>
                                        <w:top w:val="none" w:sz="0" w:space="0" w:color="auto"/>
                                        <w:left w:val="none" w:sz="0" w:space="0" w:color="auto"/>
                                        <w:bottom w:val="none" w:sz="0" w:space="0" w:color="auto"/>
                                        <w:right w:val="none" w:sz="0" w:space="0" w:color="auto"/>
                                      </w:divBdr>
                                      <w:divsChild>
                                        <w:div w:id="34474512">
                                          <w:marLeft w:val="0"/>
                                          <w:marRight w:val="0"/>
                                          <w:marTop w:val="0"/>
                                          <w:marBottom w:val="0"/>
                                          <w:divBdr>
                                            <w:top w:val="none" w:sz="0" w:space="0" w:color="auto"/>
                                            <w:left w:val="none" w:sz="0" w:space="0" w:color="auto"/>
                                            <w:bottom w:val="none" w:sz="0" w:space="0" w:color="auto"/>
                                            <w:right w:val="none" w:sz="0" w:space="0" w:color="auto"/>
                                          </w:divBdr>
                                          <w:divsChild>
                                            <w:div w:id="1828784058">
                                              <w:marLeft w:val="0"/>
                                              <w:marRight w:val="0"/>
                                              <w:marTop w:val="0"/>
                                              <w:marBottom w:val="0"/>
                                              <w:divBdr>
                                                <w:top w:val="single" w:sz="4" w:space="0" w:color="B6D444"/>
                                                <w:left w:val="none" w:sz="0" w:space="0" w:color="auto"/>
                                                <w:bottom w:val="none" w:sz="0" w:space="0" w:color="auto"/>
                                                <w:right w:val="none" w:sz="0" w:space="0" w:color="auto"/>
                                              </w:divBdr>
                                              <w:divsChild>
                                                <w:div w:id="15146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109879">
      <w:bodyDiv w:val="1"/>
      <w:marLeft w:val="0"/>
      <w:marRight w:val="0"/>
      <w:marTop w:val="0"/>
      <w:marBottom w:val="0"/>
      <w:divBdr>
        <w:top w:val="none" w:sz="0" w:space="0" w:color="auto"/>
        <w:left w:val="none" w:sz="0" w:space="0" w:color="auto"/>
        <w:bottom w:val="none" w:sz="0" w:space="0" w:color="auto"/>
        <w:right w:val="none" w:sz="0" w:space="0" w:color="auto"/>
      </w:divBdr>
      <w:divsChild>
        <w:div w:id="1997682806">
          <w:marLeft w:val="0"/>
          <w:marRight w:val="0"/>
          <w:marTop w:val="0"/>
          <w:marBottom w:val="0"/>
          <w:divBdr>
            <w:top w:val="none" w:sz="0" w:space="0" w:color="auto"/>
            <w:left w:val="none" w:sz="0" w:space="0" w:color="auto"/>
            <w:bottom w:val="none" w:sz="0" w:space="0" w:color="auto"/>
            <w:right w:val="none" w:sz="0" w:space="0" w:color="auto"/>
          </w:divBdr>
          <w:divsChild>
            <w:div w:id="808547556">
              <w:marLeft w:val="0"/>
              <w:marRight w:val="0"/>
              <w:marTop w:val="0"/>
              <w:marBottom w:val="0"/>
              <w:divBdr>
                <w:top w:val="none" w:sz="0" w:space="0" w:color="auto"/>
                <w:left w:val="none" w:sz="0" w:space="0" w:color="auto"/>
                <w:bottom w:val="none" w:sz="0" w:space="0" w:color="auto"/>
                <w:right w:val="none" w:sz="0" w:space="0" w:color="auto"/>
              </w:divBdr>
              <w:divsChild>
                <w:div w:id="1825856863">
                  <w:marLeft w:val="0"/>
                  <w:marRight w:val="0"/>
                  <w:marTop w:val="0"/>
                  <w:marBottom w:val="0"/>
                  <w:divBdr>
                    <w:top w:val="none" w:sz="0" w:space="0" w:color="auto"/>
                    <w:left w:val="none" w:sz="0" w:space="0" w:color="auto"/>
                    <w:bottom w:val="none" w:sz="0" w:space="0" w:color="auto"/>
                    <w:right w:val="none" w:sz="0" w:space="0" w:color="auto"/>
                  </w:divBdr>
                  <w:divsChild>
                    <w:div w:id="343023694">
                      <w:marLeft w:val="0"/>
                      <w:marRight w:val="0"/>
                      <w:marTop w:val="0"/>
                      <w:marBottom w:val="0"/>
                      <w:divBdr>
                        <w:top w:val="none" w:sz="0" w:space="0" w:color="auto"/>
                        <w:left w:val="none" w:sz="0" w:space="0" w:color="auto"/>
                        <w:bottom w:val="none" w:sz="0" w:space="0" w:color="auto"/>
                        <w:right w:val="none" w:sz="0" w:space="0" w:color="auto"/>
                      </w:divBdr>
                      <w:divsChild>
                        <w:div w:id="3964432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5544818">
      <w:bodyDiv w:val="1"/>
      <w:marLeft w:val="0"/>
      <w:marRight w:val="0"/>
      <w:marTop w:val="0"/>
      <w:marBottom w:val="0"/>
      <w:divBdr>
        <w:top w:val="none" w:sz="0" w:space="0" w:color="auto"/>
        <w:left w:val="none" w:sz="0" w:space="0" w:color="auto"/>
        <w:bottom w:val="none" w:sz="0" w:space="0" w:color="auto"/>
        <w:right w:val="none" w:sz="0" w:space="0" w:color="auto"/>
      </w:divBdr>
      <w:divsChild>
        <w:div w:id="307787328">
          <w:marLeft w:val="0"/>
          <w:marRight w:val="0"/>
          <w:marTop w:val="0"/>
          <w:marBottom w:val="0"/>
          <w:divBdr>
            <w:top w:val="none" w:sz="0" w:space="0" w:color="auto"/>
            <w:left w:val="none" w:sz="0" w:space="0" w:color="auto"/>
            <w:bottom w:val="none" w:sz="0" w:space="0" w:color="auto"/>
            <w:right w:val="none" w:sz="0" w:space="0" w:color="auto"/>
          </w:divBdr>
          <w:divsChild>
            <w:div w:id="1262908184">
              <w:marLeft w:val="0"/>
              <w:marRight w:val="0"/>
              <w:marTop w:val="150"/>
              <w:marBottom w:val="0"/>
              <w:divBdr>
                <w:top w:val="none" w:sz="0" w:space="0" w:color="auto"/>
                <w:left w:val="none" w:sz="0" w:space="0" w:color="auto"/>
                <w:bottom w:val="none" w:sz="0" w:space="0" w:color="auto"/>
                <w:right w:val="none" w:sz="0" w:space="0" w:color="auto"/>
              </w:divBdr>
              <w:divsChild>
                <w:div w:id="752703870">
                  <w:marLeft w:val="0"/>
                  <w:marRight w:val="0"/>
                  <w:marTop w:val="0"/>
                  <w:marBottom w:val="0"/>
                  <w:divBdr>
                    <w:top w:val="none" w:sz="0" w:space="0" w:color="auto"/>
                    <w:left w:val="none" w:sz="0" w:space="0" w:color="auto"/>
                    <w:bottom w:val="none" w:sz="0" w:space="0" w:color="auto"/>
                    <w:right w:val="none" w:sz="0" w:space="0" w:color="auto"/>
                  </w:divBdr>
                  <w:divsChild>
                    <w:div w:id="1103846107">
                      <w:marLeft w:val="0"/>
                      <w:marRight w:val="0"/>
                      <w:marTop w:val="0"/>
                      <w:marBottom w:val="0"/>
                      <w:divBdr>
                        <w:top w:val="none" w:sz="0" w:space="0" w:color="auto"/>
                        <w:left w:val="none" w:sz="0" w:space="0" w:color="auto"/>
                        <w:bottom w:val="none" w:sz="0" w:space="0" w:color="auto"/>
                        <w:right w:val="none" w:sz="0" w:space="0" w:color="auto"/>
                      </w:divBdr>
                      <w:divsChild>
                        <w:div w:id="2592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73401">
      <w:bodyDiv w:val="1"/>
      <w:marLeft w:val="0"/>
      <w:marRight w:val="0"/>
      <w:marTop w:val="0"/>
      <w:marBottom w:val="0"/>
      <w:divBdr>
        <w:top w:val="none" w:sz="0" w:space="0" w:color="auto"/>
        <w:left w:val="none" w:sz="0" w:space="0" w:color="auto"/>
        <w:bottom w:val="none" w:sz="0" w:space="0" w:color="auto"/>
        <w:right w:val="none" w:sz="0" w:space="0" w:color="auto"/>
      </w:divBdr>
      <w:divsChild>
        <w:div w:id="1431467270">
          <w:marLeft w:val="0"/>
          <w:marRight w:val="0"/>
          <w:marTop w:val="0"/>
          <w:marBottom w:val="0"/>
          <w:divBdr>
            <w:top w:val="none" w:sz="0" w:space="0" w:color="auto"/>
            <w:left w:val="none" w:sz="0" w:space="0" w:color="auto"/>
            <w:bottom w:val="none" w:sz="0" w:space="0" w:color="auto"/>
            <w:right w:val="none" w:sz="0" w:space="0" w:color="auto"/>
          </w:divBdr>
          <w:divsChild>
            <w:div w:id="1409158174">
              <w:marLeft w:val="0"/>
              <w:marRight w:val="0"/>
              <w:marTop w:val="0"/>
              <w:marBottom w:val="0"/>
              <w:divBdr>
                <w:top w:val="none" w:sz="0" w:space="0" w:color="auto"/>
                <w:left w:val="none" w:sz="0" w:space="0" w:color="auto"/>
                <w:bottom w:val="none" w:sz="0" w:space="0" w:color="auto"/>
                <w:right w:val="none" w:sz="0" w:space="0" w:color="auto"/>
              </w:divBdr>
              <w:divsChild>
                <w:div w:id="991637800">
                  <w:marLeft w:val="0"/>
                  <w:marRight w:val="0"/>
                  <w:marTop w:val="0"/>
                  <w:marBottom w:val="0"/>
                  <w:divBdr>
                    <w:top w:val="none" w:sz="0" w:space="0" w:color="auto"/>
                    <w:left w:val="none" w:sz="0" w:space="0" w:color="auto"/>
                    <w:bottom w:val="none" w:sz="0" w:space="0" w:color="auto"/>
                    <w:right w:val="none" w:sz="0" w:space="0" w:color="auto"/>
                  </w:divBdr>
                  <w:divsChild>
                    <w:div w:id="587346912">
                      <w:marLeft w:val="0"/>
                      <w:marRight w:val="0"/>
                      <w:marTop w:val="0"/>
                      <w:marBottom w:val="0"/>
                      <w:divBdr>
                        <w:top w:val="none" w:sz="0" w:space="0" w:color="auto"/>
                        <w:left w:val="none" w:sz="0" w:space="0" w:color="auto"/>
                        <w:bottom w:val="none" w:sz="0" w:space="0" w:color="auto"/>
                        <w:right w:val="none" w:sz="0" w:space="0" w:color="auto"/>
                      </w:divBdr>
                      <w:divsChild>
                        <w:div w:id="1301610907">
                          <w:marLeft w:val="0"/>
                          <w:marRight w:val="0"/>
                          <w:marTop w:val="0"/>
                          <w:marBottom w:val="0"/>
                          <w:divBdr>
                            <w:top w:val="none" w:sz="0" w:space="0" w:color="auto"/>
                            <w:left w:val="none" w:sz="0" w:space="0" w:color="auto"/>
                            <w:bottom w:val="none" w:sz="0" w:space="0" w:color="auto"/>
                            <w:right w:val="none" w:sz="0" w:space="0" w:color="auto"/>
                          </w:divBdr>
                          <w:divsChild>
                            <w:div w:id="1721443539">
                              <w:marLeft w:val="0"/>
                              <w:marRight w:val="0"/>
                              <w:marTop w:val="0"/>
                              <w:marBottom w:val="0"/>
                              <w:divBdr>
                                <w:top w:val="none" w:sz="0" w:space="0" w:color="auto"/>
                                <w:left w:val="none" w:sz="0" w:space="0" w:color="auto"/>
                                <w:bottom w:val="none" w:sz="0" w:space="0" w:color="auto"/>
                                <w:right w:val="none" w:sz="0" w:space="0" w:color="auto"/>
                              </w:divBdr>
                              <w:divsChild>
                                <w:div w:id="1904440721">
                                  <w:marLeft w:val="0"/>
                                  <w:marRight w:val="0"/>
                                  <w:marTop w:val="0"/>
                                  <w:marBottom w:val="0"/>
                                  <w:divBdr>
                                    <w:top w:val="none" w:sz="0" w:space="0" w:color="auto"/>
                                    <w:left w:val="none" w:sz="0" w:space="0" w:color="auto"/>
                                    <w:bottom w:val="none" w:sz="0" w:space="0" w:color="auto"/>
                                    <w:right w:val="none" w:sz="0" w:space="0" w:color="auto"/>
                                  </w:divBdr>
                                  <w:divsChild>
                                    <w:div w:id="716780250">
                                      <w:marLeft w:val="0"/>
                                      <w:marRight w:val="0"/>
                                      <w:marTop w:val="0"/>
                                      <w:marBottom w:val="0"/>
                                      <w:divBdr>
                                        <w:top w:val="none" w:sz="0" w:space="0" w:color="auto"/>
                                        <w:left w:val="none" w:sz="0" w:space="0" w:color="auto"/>
                                        <w:bottom w:val="none" w:sz="0" w:space="0" w:color="auto"/>
                                        <w:right w:val="none" w:sz="0" w:space="0" w:color="auto"/>
                                      </w:divBdr>
                                      <w:divsChild>
                                        <w:div w:id="4336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772858">
      <w:bodyDiv w:val="1"/>
      <w:marLeft w:val="0"/>
      <w:marRight w:val="0"/>
      <w:marTop w:val="0"/>
      <w:marBottom w:val="0"/>
      <w:divBdr>
        <w:top w:val="none" w:sz="0" w:space="0" w:color="auto"/>
        <w:left w:val="none" w:sz="0" w:space="0" w:color="auto"/>
        <w:bottom w:val="none" w:sz="0" w:space="0" w:color="auto"/>
        <w:right w:val="none" w:sz="0" w:space="0" w:color="auto"/>
      </w:divBdr>
      <w:divsChild>
        <w:div w:id="1347095376">
          <w:marLeft w:val="0"/>
          <w:marRight w:val="0"/>
          <w:marTop w:val="0"/>
          <w:marBottom w:val="0"/>
          <w:divBdr>
            <w:top w:val="none" w:sz="0" w:space="0" w:color="auto"/>
            <w:left w:val="none" w:sz="0" w:space="0" w:color="auto"/>
            <w:bottom w:val="none" w:sz="0" w:space="0" w:color="auto"/>
            <w:right w:val="none" w:sz="0" w:space="0" w:color="auto"/>
          </w:divBdr>
          <w:divsChild>
            <w:div w:id="1237203060">
              <w:marLeft w:val="0"/>
              <w:marRight w:val="0"/>
              <w:marTop w:val="0"/>
              <w:marBottom w:val="0"/>
              <w:divBdr>
                <w:top w:val="none" w:sz="0" w:space="0" w:color="auto"/>
                <w:left w:val="none" w:sz="0" w:space="0" w:color="auto"/>
                <w:bottom w:val="none" w:sz="0" w:space="0" w:color="auto"/>
                <w:right w:val="none" w:sz="0" w:space="0" w:color="auto"/>
              </w:divBdr>
              <w:divsChild>
                <w:div w:id="1758018409">
                  <w:marLeft w:val="0"/>
                  <w:marRight w:val="0"/>
                  <w:marTop w:val="0"/>
                  <w:marBottom w:val="0"/>
                  <w:divBdr>
                    <w:top w:val="none" w:sz="0" w:space="0" w:color="auto"/>
                    <w:left w:val="none" w:sz="0" w:space="0" w:color="auto"/>
                    <w:bottom w:val="none" w:sz="0" w:space="0" w:color="auto"/>
                    <w:right w:val="none" w:sz="0" w:space="0" w:color="auto"/>
                  </w:divBdr>
                  <w:divsChild>
                    <w:div w:id="117993476">
                      <w:marLeft w:val="0"/>
                      <w:marRight w:val="0"/>
                      <w:marTop w:val="0"/>
                      <w:marBottom w:val="0"/>
                      <w:divBdr>
                        <w:top w:val="none" w:sz="0" w:space="0" w:color="auto"/>
                        <w:left w:val="none" w:sz="0" w:space="0" w:color="auto"/>
                        <w:bottom w:val="none" w:sz="0" w:space="0" w:color="auto"/>
                        <w:right w:val="none" w:sz="0" w:space="0" w:color="auto"/>
                      </w:divBdr>
                      <w:divsChild>
                        <w:div w:id="1866360723">
                          <w:marLeft w:val="0"/>
                          <w:marRight w:val="0"/>
                          <w:marTop w:val="0"/>
                          <w:marBottom w:val="0"/>
                          <w:divBdr>
                            <w:top w:val="none" w:sz="0" w:space="0" w:color="auto"/>
                            <w:left w:val="none" w:sz="0" w:space="0" w:color="auto"/>
                            <w:bottom w:val="none" w:sz="0" w:space="0" w:color="auto"/>
                            <w:right w:val="none" w:sz="0" w:space="0" w:color="auto"/>
                          </w:divBdr>
                          <w:divsChild>
                            <w:div w:id="1307514377">
                              <w:marLeft w:val="0"/>
                              <w:marRight w:val="0"/>
                              <w:marTop w:val="0"/>
                              <w:marBottom w:val="0"/>
                              <w:divBdr>
                                <w:top w:val="none" w:sz="0" w:space="0" w:color="auto"/>
                                <w:left w:val="none" w:sz="0" w:space="0" w:color="auto"/>
                                <w:bottom w:val="none" w:sz="0" w:space="0" w:color="auto"/>
                                <w:right w:val="none" w:sz="0" w:space="0" w:color="auto"/>
                              </w:divBdr>
                              <w:divsChild>
                                <w:div w:id="1833452364">
                                  <w:marLeft w:val="0"/>
                                  <w:marRight w:val="0"/>
                                  <w:marTop w:val="0"/>
                                  <w:marBottom w:val="0"/>
                                  <w:divBdr>
                                    <w:top w:val="none" w:sz="0" w:space="0" w:color="auto"/>
                                    <w:left w:val="none" w:sz="0" w:space="0" w:color="auto"/>
                                    <w:bottom w:val="none" w:sz="0" w:space="0" w:color="auto"/>
                                    <w:right w:val="none" w:sz="0" w:space="0" w:color="auto"/>
                                  </w:divBdr>
                                  <w:divsChild>
                                    <w:div w:id="1687974833">
                                      <w:marLeft w:val="0"/>
                                      <w:marRight w:val="0"/>
                                      <w:marTop w:val="0"/>
                                      <w:marBottom w:val="0"/>
                                      <w:divBdr>
                                        <w:top w:val="none" w:sz="0" w:space="0" w:color="auto"/>
                                        <w:left w:val="none" w:sz="0" w:space="0" w:color="auto"/>
                                        <w:bottom w:val="none" w:sz="0" w:space="0" w:color="auto"/>
                                        <w:right w:val="none" w:sz="0" w:space="0" w:color="auto"/>
                                      </w:divBdr>
                                      <w:divsChild>
                                        <w:div w:id="1311715634">
                                          <w:marLeft w:val="0"/>
                                          <w:marRight w:val="0"/>
                                          <w:marTop w:val="0"/>
                                          <w:marBottom w:val="0"/>
                                          <w:divBdr>
                                            <w:top w:val="none" w:sz="0" w:space="0" w:color="auto"/>
                                            <w:left w:val="none" w:sz="0" w:space="0" w:color="auto"/>
                                            <w:bottom w:val="none" w:sz="0" w:space="0" w:color="auto"/>
                                            <w:right w:val="none" w:sz="0" w:space="0" w:color="auto"/>
                                          </w:divBdr>
                                          <w:divsChild>
                                            <w:div w:id="1888643148">
                                              <w:marLeft w:val="0"/>
                                              <w:marRight w:val="0"/>
                                              <w:marTop w:val="0"/>
                                              <w:marBottom w:val="0"/>
                                              <w:divBdr>
                                                <w:top w:val="none" w:sz="0" w:space="0" w:color="auto"/>
                                                <w:left w:val="none" w:sz="0" w:space="0" w:color="auto"/>
                                                <w:bottom w:val="none" w:sz="0" w:space="0" w:color="auto"/>
                                                <w:right w:val="none" w:sz="0" w:space="0" w:color="auto"/>
                                              </w:divBdr>
                                              <w:divsChild>
                                                <w:div w:id="2089570172">
                                                  <w:marLeft w:val="0"/>
                                                  <w:marRight w:val="0"/>
                                                  <w:marTop w:val="0"/>
                                                  <w:marBottom w:val="0"/>
                                                  <w:divBdr>
                                                    <w:top w:val="none" w:sz="0" w:space="0" w:color="auto"/>
                                                    <w:left w:val="none" w:sz="0" w:space="0" w:color="auto"/>
                                                    <w:bottom w:val="none" w:sz="0" w:space="0" w:color="auto"/>
                                                    <w:right w:val="none" w:sz="0" w:space="0" w:color="auto"/>
                                                  </w:divBdr>
                                                  <w:divsChild>
                                                    <w:div w:id="395738344">
                                                      <w:marLeft w:val="0"/>
                                                      <w:marRight w:val="0"/>
                                                      <w:marTop w:val="0"/>
                                                      <w:marBottom w:val="0"/>
                                                      <w:divBdr>
                                                        <w:top w:val="none" w:sz="0" w:space="0" w:color="auto"/>
                                                        <w:left w:val="none" w:sz="0" w:space="0" w:color="auto"/>
                                                        <w:bottom w:val="none" w:sz="0" w:space="0" w:color="auto"/>
                                                        <w:right w:val="none" w:sz="0" w:space="0" w:color="auto"/>
                                                      </w:divBdr>
                                                      <w:divsChild>
                                                        <w:div w:id="19376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6774891">
      <w:bodyDiv w:val="1"/>
      <w:marLeft w:val="0"/>
      <w:marRight w:val="0"/>
      <w:marTop w:val="0"/>
      <w:marBottom w:val="0"/>
      <w:divBdr>
        <w:top w:val="none" w:sz="0" w:space="0" w:color="auto"/>
        <w:left w:val="none" w:sz="0" w:space="0" w:color="auto"/>
        <w:bottom w:val="none" w:sz="0" w:space="0" w:color="auto"/>
        <w:right w:val="none" w:sz="0" w:space="0" w:color="auto"/>
      </w:divBdr>
      <w:divsChild>
        <w:div w:id="883718517">
          <w:marLeft w:val="0"/>
          <w:marRight w:val="0"/>
          <w:marTop w:val="0"/>
          <w:marBottom w:val="0"/>
          <w:divBdr>
            <w:top w:val="none" w:sz="0" w:space="0" w:color="auto"/>
            <w:left w:val="none" w:sz="0" w:space="0" w:color="auto"/>
            <w:bottom w:val="none" w:sz="0" w:space="0" w:color="auto"/>
            <w:right w:val="none" w:sz="0" w:space="0" w:color="auto"/>
          </w:divBdr>
          <w:divsChild>
            <w:div w:id="1344547727">
              <w:marLeft w:val="0"/>
              <w:marRight w:val="0"/>
              <w:marTop w:val="0"/>
              <w:marBottom w:val="0"/>
              <w:divBdr>
                <w:top w:val="none" w:sz="0" w:space="0" w:color="auto"/>
                <w:left w:val="none" w:sz="0" w:space="0" w:color="auto"/>
                <w:bottom w:val="none" w:sz="0" w:space="0" w:color="auto"/>
                <w:right w:val="none" w:sz="0" w:space="0" w:color="auto"/>
              </w:divBdr>
              <w:divsChild>
                <w:div w:id="1380399010">
                  <w:marLeft w:val="0"/>
                  <w:marRight w:val="0"/>
                  <w:marTop w:val="0"/>
                  <w:marBottom w:val="0"/>
                  <w:divBdr>
                    <w:top w:val="none" w:sz="0" w:space="0" w:color="auto"/>
                    <w:left w:val="none" w:sz="0" w:space="0" w:color="auto"/>
                    <w:bottom w:val="none" w:sz="0" w:space="0" w:color="auto"/>
                    <w:right w:val="none" w:sz="0" w:space="0" w:color="auto"/>
                  </w:divBdr>
                  <w:divsChild>
                    <w:div w:id="1395352735">
                      <w:marLeft w:val="0"/>
                      <w:marRight w:val="0"/>
                      <w:marTop w:val="0"/>
                      <w:marBottom w:val="0"/>
                      <w:divBdr>
                        <w:top w:val="none" w:sz="0" w:space="0" w:color="auto"/>
                        <w:left w:val="none" w:sz="0" w:space="0" w:color="auto"/>
                        <w:bottom w:val="none" w:sz="0" w:space="0" w:color="auto"/>
                        <w:right w:val="none" w:sz="0" w:space="0" w:color="auto"/>
                      </w:divBdr>
                      <w:divsChild>
                        <w:div w:id="163644793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7122143">
      <w:bodyDiv w:val="1"/>
      <w:marLeft w:val="0"/>
      <w:marRight w:val="0"/>
      <w:marTop w:val="0"/>
      <w:marBottom w:val="0"/>
      <w:divBdr>
        <w:top w:val="none" w:sz="0" w:space="0" w:color="auto"/>
        <w:left w:val="none" w:sz="0" w:space="0" w:color="auto"/>
        <w:bottom w:val="none" w:sz="0" w:space="0" w:color="auto"/>
        <w:right w:val="none" w:sz="0" w:space="0" w:color="auto"/>
      </w:divBdr>
      <w:divsChild>
        <w:div w:id="1078869744">
          <w:marLeft w:val="0"/>
          <w:marRight w:val="0"/>
          <w:marTop w:val="0"/>
          <w:marBottom w:val="450"/>
          <w:divBdr>
            <w:top w:val="none" w:sz="0" w:space="0" w:color="auto"/>
            <w:left w:val="none" w:sz="0" w:space="0" w:color="auto"/>
            <w:bottom w:val="none" w:sz="0" w:space="0" w:color="auto"/>
            <w:right w:val="none" w:sz="0" w:space="0" w:color="auto"/>
          </w:divBdr>
        </w:div>
      </w:divsChild>
    </w:div>
    <w:div w:id="427772796">
      <w:bodyDiv w:val="1"/>
      <w:marLeft w:val="0"/>
      <w:marRight w:val="0"/>
      <w:marTop w:val="0"/>
      <w:marBottom w:val="0"/>
      <w:divBdr>
        <w:top w:val="none" w:sz="0" w:space="0" w:color="auto"/>
        <w:left w:val="none" w:sz="0" w:space="0" w:color="auto"/>
        <w:bottom w:val="none" w:sz="0" w:space="0" w:color="auto"/>
        <w:right w:val="none" w:sz="0" w:space="0" w:color="auto"/>
      </w:divBdr>
      <w:divsChild>
        <w:div w:id="522597390">
          <w:marLeft w:val="0"/>
          <w:marRight w:val="0"/>
          <w:marTop w:val="0"/>
          <w:marBottom w:val="0"/>
          <w:divBdr>
            <w:top w:val="none" w:sz="0" w:space="0" w:color="auto"/>
            <w:left w:val="none" w:sz="0" w:space="0" w:color="auto"/>
            <w:bottom w:val="none" w:sz="0" w:space="0" w:color="auto"/>
            <w:right w:val="none" w:sz="0" w:space="0" w:color="auto"/>
          </w:divBdr>
          <w:divsChild>
            <w:div w:id="591285601">
              <w:marLeft w:val="0"/>
              <w:marRight w:val="0"/>
              <w:marTop w:val="0"/>
              <w:marBottom w:val="0"/>
              <w:divBdr>
                <w:top w:val="none" w:sz="0" w:space="0" w:color="auto"/>
                <w:left w:val="none" w:sz="0" w:space="0" w:color="auto"/>
                <w:bottom w:val="none" w:sz="0" w:space="0" w:color="auto"/>
                <w:right w:val="none" w:sz="0" w:space="0" w:color="auto"/>
              </w:divBdr>
              <w:divsChild>
                <w:div w:id="1055157837">
                  <w:marLeft w:val="0"/>
                  <w:marRight w:val="0"/>
                  <w:marTop w:val="100"/>
                  <w:marBottom w:val="100"/>
                  <w:divBdr>
                    <w:top w:val="none" w:sz="0" w:space="0" w:color="auto"/>
                    <w:left w:val="none" w:sz="0" w:space="0" w:color="auto"/>
                    <w:bottom w:val="none" w:sz="0" w:space="0" w:color="auto"/>
                    <w:right w:val="none" w:sz="0" w:space="0" w:color="auto"/>
                  </w:divBdr>
                  <w:divsChild>
                    <w:div w:id="927807450">
                      <w:marLeft w:val="0"/>
                      <w:marRight w:val="0"/>
                      <w:marTop w:val="0"/>
                      <w:marBottom w:val="0"/>
                      <w:divBdr>
                        <w:top w:val="none" w:sz="0" w:space="0" w:color="auto"/>
                        <w:left w:val="none" w:sz="0" w:space="0" w:color="auto"/>
                        <w:bottom w:val="none" w:sz="0" w:space="0" w:color="auto"/>
                        <w:right w:val="none" w:sz="0" w:space="0" w:color="auto"/>
                      </w:divBdr>
                      <w:divsChild>
                        <w:div w:id="1269433753">
                          <w:marLeft w:val="0"/>
                          <w:marRight w:val="0"/>
                          <w:marTop w:val="0"/>
                          <w:marBottom w:val="0"/>
                          <w:divBdr>
                            <w:top w:val="none" w:sz="0" w:space="0" w:color="auto"/>
                            <w:left w:val="none" w:sz="0" w:space="0" w:color="auto"/>
                            <w:bottom w:val="none" w:sz="0" w:space="0" w:color="auto"/>
                            <w:right w:val="none" w:sz="0" w:space="0" w:color="auto"/>
                          </w:divBdr>
                          <w:divsChild>
                            <w:div w:id="370766091">
                              <w:marLeft w:val="0"/>
                              <w:marRight w:val="0"/>
                              <w:marTop w:val="0"/>
                              <w:marBottom w:val="0"/>
                              <w:divBdr>
                                <w:top w:val="none" w:sz="0" w:space="0" w:color="auto"/>
                                <w:left w:val="none" w:sz="0" w:space="0" w:color="auto"/>
                                <w:bottom w:val="none" w:sz="0" w:space="0" w:color="auto"/>
                                <w:right w:val="none" w:sz="0" w:space="0" w:color="auto"/>
                              </w:divBdr>
                              <w:divsChild>
                                <w:div w:id="1369142831">
                                  <w:marLeft w:val="0"/>
                                  <w:marRight w:val="0"/>
                                  <w:marTop w:val="0"/>
                                  <w:marBottom w:val="0"/>
                                  <w:divBdr>
                                    <w:top w:val="none" w:sz="0" w:space="0" w:color="auto"/>
                                    <w:left w:val="none" w:sz="0" w:space="0" w:color="auto"/>
                                    <w:bottom w:val="none" w:sz="0" w:space="0" w:color="auto"/>
                                    <w:right w:val="none" w:sz="0" w:space="0" w:color="auto"/>
                                  </w:divBdr>
                                  <w:divsChild>
                                    <w:div w:id="1761951714">
                                      <w:marLeft w:val="0"/>
                                      <w:marRight w:val="0"/>
                                      <w:marTop w:val="0"/>
                                      <w:marBottom w:val="0"/>
                                      <w:divBdr>
                                        <w:top w:val="none" w:sz="0" w:space="0" w:color="auto"/>
                                        <w:left w:val="none" w:sz="0" w:space="0" w:color="auto"/>
                                        <w:bottom w:val="none" w:sz="0" w:space="0" w:color="auto"/>
                                        <w:right w:val="none" w:sz="0" w:space="0" w:color="auto"/>
                                      </w:divBdr>
                                      <w:divsChild>
                                        <w:div w:id="2070030758">
                                          <w:marLeft w:val="0"/>
                                          <w:marRight w:val="0"/>
                                          <w:marTop w:val="0"/>
                                          <w:marBottom w:val="0"/>
                                          <w:divBdr>
                                            <w:top w:val="none" w:sz="0" w:space="0" w:color="auto"/>
                                            <w:left w:val="none" w:sz="0" w:space="0" w:color="auto"/>
                                            <w:bottom w:val="none" w:sz="0" w:space="0" w:color="auto"/>
                                            <w:right w:val="none" w:sz="0" w:space="0" w:color="auto"/>
                                          </w:divBdr>
                                          <w:divsChild>
                                            <w:div w:id="1347639309">
                                              <w:marLeft w:val="0"/>
                                              <w:marRight w:val="0"/>
                                              <w:marTop w:val="0"/>
                                              <w:marBottom w:val="0"/>
                                              <w:divBdr>
                                                <w:top w:val="single" w:sz="4" w:space="0" w:color="B6D444"/>
                                                <w:left w:val="none" w:sz="0" w:space="0" w:color="auto"/>
                                                <w:bottom w:val="none" w:sz="0" w:space="0" w:color="auto"/>
                                                <w:right w:val="none" w:sz="0" w:space="0" w:color="auto"/>
                                              </w:divBdr>
                                              <w:divsChild>
                                                <w:div w:id="8418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434323">
      <w:bodyDiv w:val="1"/>
      <w:marLeft w:val="0"/>
      <w:marRight w:val="0"/>
      <w:marTop w:val="0"/>
      <w:marBottom w:val="0"/>
      <w:divBdr>
        <w:top w:val="none" w:sz="0" w:space="0" w:color="auto"/>
        <w:left w:val="none" w:sz="0" w:space="0" w:color="auto"/>
        <w:bottom w:val="none" w:sz="0" w:space="0" w:color="auto"/>
        <w:right w:val="none" w:sz="0" w:space="0" w:color="auto"/>
      </w:divBdr>
      <w:divsChild>
        <w:div w:id="2002659475">
          <w:marLeft w:val="0"/>
          <w:marRight w:val="0"/>
          <w:marTop w:val="0"/>
          <w:marBottom w:val="0"/>
          <w:divBdr>
            <w:top w:val="none" w:sz="0" w:space="0" w:color="auto"/>
            <w:left w:val="none" w:sz="0" w:space="0" w:color="auto"/>
            <w:bottom w:val="none" w:sz="0" w:space="0" w:color="auto"/>
            <w:right w:val="none" w:sz="0" w:space="0" w:color="auto"/>
          </w:divBdr>
          <w:divsChild>
            <w:div w:id="1527795804">
              <w:marLeft w:val="0"/>
              <w:marRight w:val="0"/>
              <w:marTop w:val="0"/>
              <w:marBottom w:val="0"/>
              <w:divBdr>
                <w:top w:val="none" w:sz="0" w:space="0" w:color="auto"/>
                <w:left w:val="none" w:sz="0" w:space="0" w:color="auto"/>
                <w:bottom w:val="none" w:sz="0" w:space="0" w:color="auto"/>
                <w:right w:val="none" w:sz="0" w:space="0" w:color="auto"/>
              </w:divBdr>
              <w:divsChild>
                <w:div w:id="694844534">
                  <w:marLeft w:val="0"/>
                  <w:marRight w:val="0"/>
                  <w:marTop w:val="0"/>
                  <w:marBottom w:val="0"/>
                  <w:divBdr>
                    <w:top w:val="none" w:sz="0" w:space="0" w:color="auto"/>
                    <w:left w:val="none" w:sz="0" w:space="0" w:color="auto"/>
                    <w:bottom w:val="none" w:sz="0" w:space="0" w:color="auto"/>
                    <w:right w:val="none" w:sz="0" w:space="0" w:color="auto"/>
                  </w:divBdr>
                  <w:divsChild>
                    <w:div w:id="640042587">
                      <w:marLeft w:val="0"/>
                      <w:marRight w:val="0"/>
                      <w:marTop w:val="0"/>
                      <w:marBottom w:val="0"/>
                      <w:divBdr>
                        <w:top w:val="none" w:sz="0" w:space="0" w:color="auto"/>
                        <w:left w:val="none" w:sz="0" w:space="0" w:color="auto"/>
                        <w:bottom w:val="none" w:sz="0" w:space="0" w:color="auto"/>
                        <w:right w:val="none" w:sz="0" w:space="0" w:color="auto"/>
                      </w:divBdr>
                      <w:divsChild>
                        <w:div w:id="1939559928">
                          <w:marLeft w:val="0"/>
                          <w:marRight w:val="0"/>
                          <w:marTop w:val="0"/>
                          <w:marBottom w:val="0"/>
                          <w:divBdr>
                            <w:top w:val="none" w:sz="0" w:space="0" w:color="auto"/>
                            <w:left w:val="none" w:sz="0" w:space="0" w:color="auto"/>
                            <w:bottom w:val="none" w:sz="0" w:space="0" w:color="auto"/>
                            <w:right w:val="none" w:sz="0" w:space="0" w:color="auto"/>
                          </w:divBdr>
                          <w:divsChild>
                            <w:div w:id="1839886874">
                              <w:marLeft w:val="0"/>
                              <w:marRight w:val="0"/>
                              <w:marTop w:val="0"/>
                              <w:marBottom w:val="0"/>
                              <w:divBdr>
                                <w:top w:val="none" w:sz="0" w:space="0" w:color="auto"/>
                                <w:left w:val="none" w:sz="0" w:space="0" w:color="auto"/>
                                <w:bottom w:val="none" w:sz="0" w:space="0" w:color="auto"/>
                                <w:right w:val="none" w:sz="0" w:space="0" w:color="auto"/>
                              </w:divBdr>
                              <w:divsChild>
                                <w:div w:id="540629555">
                                  <w:marLeft w:val="0"/>
                                  <w:marRight w:val="0"/>
                                  <w:marTop w:val="0"/>
                                  <w:marBottom w:val="0"/>
                                  <w:divBdr>
                                    <w:top w:val="none" w:sz="0" w:space="0" w:color="auto"/>
                                    <w:left w:val="none" w:sz="0" w:space="0" w:color="auto"/>
                                    <w:bottom w:val="none" w:sz="0" w:space="0" w:color="auto"/>
                                    <w:right w:val="none" w:sz="0" w:space="0" w:color="auto"/>
                                  </w:divBdr>
                                  <w:divsChild>
                                    <w:div w:id="2079861774">
                                      <w:marLeft w:val="0"/>
                                      <w:marRight w:val="0"/>
                                      <w:marTop w:val="0"/>
                                      <w:marBottom w:val="0"/>
                                      <w:divBdr>
                                        <w:top w:val="none" w:sz="0" w:space="0" w:color="auto"/>
                                        <w:left w:val="none" w:sz="0" w:space="0" w:color="auto"/>
                                        <w:bottom w:val="none" w:sz="0" w:space="0" w:color="auto"/>
                                        <w:right w:val="none" w:sz="0" w:space="0" w:color="auto"/>
                                      </w:divBdr>
                                      <w:divsChild>
                                        <w:div w:id="1090465408">
                                          <w:marLeft w:val="0"/>
                                          <w:marRight w:val="0"/>
                                          <w:marTop w:val="0"/>
                                          <w:marBottom w:val="0"/>
                                          <w:divBdr>
                                            <w:top w:val="none" w:sz="0" w:space="0" w:color="auto"/>
                                            <w:left w:val="none" w:sz="0" w:space="0" w:color="auto"/>
                                            <w:bottom w:val="none" w:sz="0" w:space="0" w:color="auto"/>
                                            <w:right w:val="none" w:sz="0" w:space="0" w:color="auto"/>
                                          </w:divBdr>
                                          <w:divsChild>
                                            <w:div w:id="1423186370">
                                              <w:marLeft w:val="0"/>
                                              <w:marRight w:val="0"/>
                                              <w:marTop w:val="0"/>
                                              <w:marBottom w:val="0"/>
                                              <w:divBdr>
                                                <w:top w:val="none" w:sz="0" w:space="0" w:color="auto"/>
                                                <w:left w:val="none" w:sz="0" w:space="0" w:color="auto"/>
                                                <w:bottom w:val="none" w:sz="0" w:space="0" w:color="auto"/>
                                                <w:right w:val="none" w:sz="0" w:space="0" w:color="auto"/>
                                              </w:divBdr>
                                              <w:divsChild>
                                                <w:div w:id="949438621">
                                                  <w:marLeft w:val="0"/>
                                                  <w:marRight w:val="0"/>
                                                  <w:marTop w:val="0"/>
                                                  <w:marBottom w:val="0"/>
                                                  <w:divBdr>
                                                    <w:top w:val="none" w:sz="0" w:space="0" w:color="auto"/>
                                                    <w:left w:val="none" w:sz="0" w:space="0" w:color="auto"/>
                                                    <w:bottom w:val="none" w:sz="0" w:space="0" w:color="auto"/>
                                                    <w:right w:val="none" w:sz="0" w:space="0" w:color="auto"/>
                                                  </w:divBdr>
                                                  <w:divsChild>
                                                    <w:div w:id="1975334200">
                                                      <w:marLeft w:val="0"/>
                                                      <w:marRight w:val="0"/>
                                                      <w:marTop w:val="0"/>
                                                      <w:marBottom w:val="0"/>
                                                      <w:divBdr>
                                                        <w:top w:val="none" w:sz="0" w:space="0" w:color="auto"/>
                                                        <w:left w:val="none" w:sz="0" w:space="0" w:color="auto"/>
                                                        <w:bottom w:val="none" w:sz="0" w:space="0" w:color="auto"/>
                                                        <w:right w:val="none" w:sz="0" w:space="0" w:color="auto"/>
                                                      </w:divBdr>
                                                      <w:divsChild>
                                                        <w:div w:id="2145586025">
                                                          <w:marLeft w:val="0"/>
                                                          <w:marRight w:val="0"/>
                                                          <w:marTop w:val="0"/>
                                                          <w:marBottom w:val="0"/>
                                                          <w:divBdr>
                                                            <w:top w:val="none" w:sz="0" w:space="0" w:color="auto"/>
                                                            <w:left w:val="none" w:sz="0" w:space="0" w:color="auto"/>
                                                            <w:bottom w:val="none" w:sz="0" w:space="0" w:color="auto"/>
                                                            <w:right w:val="none" w:sz="0" w:space="0" w:color="auto"/>
                                                          </w:divBdr>
                                                        </w:div>
                                                        <w:div w:id="1431049507">
                                                          <w:marLeft w:val="0"/>
                                                          <w:marRight w:val="0"/>
                                                          <w:marTop w:val="0"/>
                                                          <w:marBottom w:val="0"/>
                                                          <w:divBdr>
                                                            <w:top w:val="none" w:sz="0" w:space="0" w:color="auto"/>
                                                            <w:left w:val="none" w:sz="0" w:space="0" w:color="auto"/>
                                                            <w:bottom w:val="none" w:sz="0" w:space="0" w:color="auto"/>
                                                            <w:right w:val="none" w:sz="0" w:space="0" w:color="auto"/>
                                                          </w:divBdr>
                                                          <w:divsChild>
                                                            <w:div w:id="6253522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436641">
      <w:bodyDiv w:val="1"/>
      <w:marLeft w:val="0"/>
      <w:marRight w:val="0"/>
      <w:marTop w:val="0"/>
      <w:marBottom w:val="0"/>
      <w:divBdr>
        <w:top w:val="none" w:sz="0" w:space="0" w:color="auto"/>
        <w:left w:val="none" w:sz="0" w:space="0" w:color="auto"/>
        <w:bottom w:val="none" w:sz="0" w:space="0" w:color="auto"/>
        <w:right w:val="none" w:sz="0" w:space="0" w:color="auto"/>
      </w:divBdr>
      <w:divsChild>
        <w:div w:id="1812819833">
          <w:marLeft w:val="0"/>
          <w:marRight w:val="0"/>
          <w:marTop w:val="0"/>
          <w:marBottom w:val="0"/>
          <w:divBdr>
            <w:top w:val="none" w:sz="0" w:space="0" w:color="auto"/>
            <w:left w:val="single" w:sz="6" w:space="15" w:color="B4B4B4"/>
            <w:bottom w:val="single" w:sz="6" w:space="0" w:color="B4B4B4"/>
            <w:right w:val="single" w:sz="6" w:space="15" w:color="B4B4B4"/>
          </w:divBdr>
          <w:divsChild>
            <w:div w:id="1044476492">
              <w:marLeft w:val="0"/>
              <w:marRight w:val="0"/>
              <w:marTop w:val="0"/>
              <w:marBottom w:val="0"/>
              <w:divBdr>
                <w:top w:val="none" w:sz="0" w:space="0" w:color="auto"/>
                <w:left w:val="none" w:sz="0" w:space="0" w:color="auto"/>
                <w:bottom w:val="none" w:sz="0" w:space="0" w:color="auto"/>
                <w:right w:val="none" w:sz="0" w:space="0" w:color="auto"/>
              </w:divBdr>
              <w:divsChild>
                <w:div w:id="1182863843">
                  <w:marLeft w:val="-300"/>
                  <w:marRight w:val="0"/>
                  <w:marTop w:val="0"/>
                  <w:marBottom w:val="0"/>
                  <w:divBdr>
                    <w:top w:val="none" w:sz="0" w:space="0" w:color="auto"/>
                    <w:left w:val="none" w:sz="0" w:space="0" w:color="auto"/>
                    <w:bottom w:val="none" w:sz="0" w:space="0" w:color="auto"/>
                    <w:right w:val="none" w:sz="0" w:space="0" w:color="auto"/>
                  </w:divBdr>
                  <w:divsChild>
                    <w:div w:id="228081200">
                      <w:marLeft w:val="0"/>
                      <w:marRight w:val="0"/>
                      <w:marTop w:val="0"/>
                      <w:marBottom w:val="0"/>
                      <w:divBdr>
                        <w:top w:val="none" w:sz="0" w:space="0" w:color="auto"/>
                        <w:left w:val="none" w:sz="0" w:space="0" w:color="auto"/>
                        <w:bottom w:val="none" w:sz="0" w:space="0" w:color="auto"/>
                        <w:right w:val="none" w:sz="0" w:space="0" w:color="auto"/>
                      </w:divBdr>
                      <w:divsChild>
                        <w:div w:id="2009095849">
                          <w:marLeft w:val="-300"/>
                          <w:marRight w:val="0"/>
                          <w:marTop w:val="0"/>
                          <w:marBottom w:val="0"/>
                          <w:divBdr>
                            <w:top w:val="none" w:sz="0" w:space="0" w:color="auto"/>
                            <w:left w:val="none" w:sz="0" w:space="0" w:color="auto"/>
                            <w:bottom w:val="none" w:sz="0" w:space="0" w:color="auto"/>
                            <w:right w:val="none" w:sz="0" w:space="0" w:color="auto"/>
                          </w:divBdr>
                          <w:divsChild>
                            <w:div w:id="1985620965">
                              <w:marLeft w:val="0"/>
                              <w:marRight w:val="0"/>
                              <w:marTop w:val="0"/>
                              <w:marBottom w:val="0"/>
                              <w:divBdr>
                                <w:top w:val="none" w:sz="0" w:space="0" w:color="auto"/>
                                <w:left w:val="none" w:sz="0" w:space="0" w:color="auto"/>
                                <w:bottom w:val="none" w:sz="0" w:space="0" w:color="auto"/>
                                <w:right w:val="none" w:sz="0" w:space="0" w:color="auto"/>
                              </w:divBdr>
                              <w:divsChild>
                                <w:div w:id="1235318185">
                                  <w:marLeft w:val="0"/>
                                  <w:marRight w:val="0"/>
                                  <w:marTop w:val="0"/>
                                  <w:marBottom w:val="0"/>
                                  <w:divBdr>
                                    <w:top w:val="none" w:sz="0" w:space="0" w:color="auto"/>
                                    <w:left w:val="none" w:sz="0" w:space="0" w:color="auto"/>
                                    <w:bottom w:val="none" w:sz="0" w:space="0" w:color="auto"/>
                                    <w:right w:val="none" w:sz="0" w:space="0" w:color="auto"/>
                                  </w:divBdr>
                                  <w:divsChild>
                                    <w:div w:id="183599139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431508810">
      <w:bodyDiv w:val="1"/>
      <w:marLeft w:val="0"/>
      <w:marRight w:val="0"/>
      <w:marTop w:val="0"/>
      <w:marBottom w:val="0"/>
      <w:divBdr>
        <w:top w:val="none" w:sz="0" w:space="0" w:color="auto"/>
        <w:left w:val="none" w:sz="0" w:space="0" w:color="auto"/>
        <w:bottom w:val="none" w:sz="0" w:space="0" w:color="auto"/>
        <w:right w:val="none" w:sz="0" w:space="0" w:color="auto"/>
      </w:divBdr>
      <w:divsChild>
        <w:div w:id="1914244067">
          <w:marLeft w:val="0"/>
          <w:marRight w:val="0"/>
          <w:marTop w:val="0"/>
          <w:marBottom w:val="0"/>
          <w:divBdr>
            <w:top w:val="none" w:sz="0" w:space="0" w:color="auto"/>
            <w:left w:val="none" w:sz="0" w:space="0" w:color="auto"/>
            <w:bottom w:val="none" w:sz="0" w:space="0" w:color="auto"/>
            <w:right w:val="none" w:sz="0" w:space="0" w:color="auto"/>
          </w:divBdr>
          <w:divsChild>
            <w:div w:id="946498157">
              <w:marLeft w:val="0"/>
              <w:marRight w:val="0"/>
              <w:marTop w:val="0"/>
              <w:marBottom w:val="0"/>
              <w:divBdr>
                <w:top w:val="none" w:sz="0" w:space="0" w:color="auto"/>
                <w:left w:val="none" w:sz="0" w:space="0" w:color="auto"/>
                <w:bottom w:val="none" w:sz="0" w:space="0" w:color="auto"/>
                <w:right w:val="none" w:sz="0" w:space="0" w:color="auto"/>
              </w:divBdr>
              <w:divsChild>
                <w:div w:id="959608021">
                  <w:marLeft w:val="0"/>
                  <w:marRight w:val="0"/>
                  <w:marTop w:val="0"/>
                  <w:marBottom w:val="0"/>
                  <w:divBdr>
                    <w:top w:val="none" w:sz="0" w:space="0" w:color="auto"/>
                    <w:left w:val="none" w:sz="0" w:space="0" w:color="auto"/>
                    <w:bottom w:val="none" w:sz="0" w:space="0" w:color="auto"/>
                    <w:right w:val="none" w:sz="0" w:space="0" w:color="auto"/>
                  </w:divBdr>
                  <w:divsChild>
                    <w:div w:id="1691755687">
                      <w:marLeft w:val="0"/>
                      <w:marRight w:val="0"/>
                      <w:marTop w:val="0"/>
                      <w:marBottom w:val="0"/>
                      <w:divBdr>
                        <w:top w:val="none" w:sz="0" w:space="0" w:color="auto"/>
                        <w:left w:val="none" w:sz="0" w:space="0" w:color="auto"/>
                        <w:bottom w:val="none" w:sz="0" w:space="0" w:color="auto"/>
                        <w:right w:val="none" w:sz="0" w:space="0" w:color="auto"/>
                      </w:divBdr>
                      <w:divsChild>
                        <w:div w:id="268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13812">
      <w:bodyDiv w:val="1"/>
      <w:marLeft w:val="0"/>
      <w:marRight w:val="0"/>
      <w:marTop w:val="0"/>
      <w:marBottom w:val="0"/>
      <w:divBdr>
        <w:top w:val="none" w:sz="0" w:space="0" w:color="auto"/>
        <w:left w:val="none" w:sz="0" w:space="0" w:color="auto"/>
        <w:bottom w:val="none" w:sz="0" w:space="0" w:color="auto"/>
        <w:right w:val="none" w:sz="0" w:space="0" w:color="auto"/>
      </w:divBdr>
      <w:divsChild>
        <w:div w:id="61297640">
          <w:marLeft w:val="0"/>
          <w:marRight w:val="0"/>
          <w:marTop w:val="0"/>
          <w:marBottom w:val="0"/>
          <w:divBdr>
            <w:top w:val="none" w:sz="0" w:space="0" w:color="auto"/>
            <w:left w:val="none" w:sz="0" w:space="0" w:color="auto"/>
            <w:bottom w:val="none" w:sz="0" w:space="0" w:color="auto"/>
            <w:right w:val="none" w:sz="0" w:space="0" w:color="auto"/>
          </w:divBdr>
          <w:divsChild>
            <w:div w:id="307440269">
              <w:marLeft w:val="0"/>
              <w:marRight w:val="0"/>
              <w:marTop w:val="0"/>
              <w:marBottom w:val="0"/>
              <w:divBdr>
                <w:top w:val="none" w:sz="0" w:space="0" w:color="auto"/>
                <w:left w:val="none" w:sz="0" w:space="0" w:color="auto"/>
                <w:bottom w:val="none" w:sz="0" w:space="0" w:color="auto"/>
                <w:right w:val="none" w:sz="0" w:space="0" w:color="auto"/>
              </w:divBdr>
              <w:divsChild>
                <w:div w:id="336003606">
                  <w:marLeft w:val="0"/>
                  <w:marRight w:val="0"/>
                  <w:marTop w:val="0"/>
                  <w:marBottom w:val="0"/>
                  <w:divBdr>
                    <w:top w:val="none" w:sz="0" w:space="0" w:color="auto"/>
                    <w:left w:val="none" w:sz="0" w:space="0" w:color="auto"/>
                    <w:bottom w:val="none" w:sz="0" w:space="0" w:color="auto"/>
                    <w:right w:val="none" w:sz="0" w:space="0" w:color="auto"/>
                  </w:divBdr>
                  <w:divsChild>
                    <w:div w:id="527107843">
                      <w:marLeft w:val="0"/>
                      <w:marRight w:val="0"/>
                      <w:marTop w:val="0"/>
                      <w:marBottom w:val="0"/>
                      <w:divBdr>
                        <w:top w:val="none" w:sz="0" w:space="0" w:color="auto"/>
                        <w:left w:val="none" w:sz="0" w:space="0" w:color="auto"/>
                        <w:bottom w:val="none" w:sz="0" w:space="0" w:color="auto"/>
                        <w:right w:val="none" w:sz="0" w:space="0" w:color="auto"/>
                      </w:divBdr>
                      <w:divsChild>
                        <w:div w:id="1614479467">
                          <w:marLeft w:val="0"/>
                          <w:marRight w:val="0"/>
                          <w:marTop w:val="0"/>
                          <w:marBottom w:val="0"/>
                          <w:divBdr>
                            <w:top w:val="none" w:sz="0" w:space="0" w:color="auto"/>
                            <w:left w:val="none" w:sz="0" w:space="0" w:color="auto"/>
                            <w:bottom w:val="none" w:sz="0" w:space="0" w:color="auto"/>
                            <w:right w:val="none" w:sz="0" w:space="0" w:color="auto"/>
                          </w:divBdr>
                          <w:divsChild>
                            <w:div w:id="217282544">
                              <w:marLeft w:val="0"/>
                              <w:marRight w:val="0"/>
                              <w:marTop w:val="0"/>
                              <w:marBottom w:val="0"/>
                              <w:divBdr>
                                <w:top w:val="none" w:sz="0" w:space="0" w:color="auto"/>
                                <w:left w:val="none" w:sz="0" w:space="0" w:color="auto"/>
                                <w:bottom w:val="none" w:sz="0" w:space="0" w:color="auto"/>
                                <w:right w:val="none" w:sz="0" w:space="0" w:color="auto"/>
                              </w:divBdr>
                              <w:divsChild>
                                <w:div w:id="459105994">
                                  <w:marLeft w:val="0"/>
                                  <w:marRight w:val="0"/>
                                  <w:marTop w:val="0"/>
                                  <w:marBottom w:val="0"/>
                                  <w:divBdr>
                                    <w:top w:val="none" w:sz="0" w:space="0" w:color="auto"/>
                                    <w:left w:val="none" w:sz="0" w:space="0" w:color="auto"/>
                                    <w:bottom w:val="none" w:sz="0" w:space="0" w:color="auto"/>
                                    <w:right w:val="none" w:sz="0" w:space="0" w:color="auto"/>
                                  </w:divBdr>
                                  <w:divsChild>
                                    <w:div w:id="413820679">
                                      <w:marLeft w:val="0"/>
                                      <w:marRight w:val="0"/>
                                      <w:marTop w:val="0"/>
                                      <w:marBottom w:val="0"/>
                                      <w:divBdr>
                                        <w:top w:val="none" w:sz="0" w:space="0" w:color="auto"/>
                                        <w:left w:val="none" w:sz="0" w:space="0" w:color="auto"/>
                                        <w:bottom w:val="none" w:sz="0" w:space="0" w:color="auto"/>
                                        <w:right w:val="none" w:sz="0" w:space="0" w:color="auto"/>
                                      </w:divBdr>
                                      <w:divsChild>
                                        <w:div w:id="611782711">
                                          <w:marLeft w:val="0"/>
                                          <w:marRight w:val="0"/>
                                          <w:marTop w:val="0"/>
                                          <w:marBottom w:val="0"/>
                                          <w:divBdr>
                                            <w:top w:val="none" w:sz="0" w:space="0" w:color="auto"/>
                                            <w:left w:val="none" w:sz="0" w:space="0" w:color="auto"/>
                                            <w:bottom w:val="none" w:sz="0" w:space="0" w:color="auto"/>
                                            <w:right w:val="none" w:sz="0" w:space="0" w:color="auto"/>
                                          </w:divBdr>
                                          <w:divsChild>
                                            <w:div w:id="263079928">
                                              <w:marLeft w:val="0"/>
                                              <w:marRight w:val="0"/>
                                              <w:marTop w:val="0"/>
                                              <w:marBottom w:val="0"/>
                                              <w:divBdr>
                                                <w:top w:val="none" w:sz="0" w:space="0" w:color="auto"/>
                                                <w:left w:val="none" w:sz="0" w:space="0" w:color="auto"/>
                                                <w:bottom w:val="none" w:sz="0" w:space="0" w:color="auto"/>
                                                <w:right w:val="none" w:sz="0" w:space="0" w:color="auto"/>
                                              </w:divBdr>
                                              <w:divsChild>
                                                <w:div w:id="770857477">
                                                  <w:marLeft w:val="0"/>
                                                  <w:marRight w:val="0"/>
                                                  <w:marTop w:val="0"/>
                                                  <w:marBottom w:val="0"/>
                                                  <w:divBdr>
                                                    <w:top w:val="none" w:sz="0" w:space="0" w:color="auto"/>
                                                    <w:left w:val="none" w:sz="0" w:space="0" w:color="auto"/>
                                                    <w:bottom w:val="none" w:sz="0" w:space="0" w:color="auto"/>
                                                    <w:right w:val="none" w:sz="0" w:space="0" w:color="auto"/>
                                                  </w:divBdr>
                                                  <w:divsChild>
                                                    <w:div w:id="363217102">
                                                      <w:marLeft w:val="0"/>
                                                      <w:marRight w:val="0"/>
                                                      <w:marTop w:val="0"/>
                                                      <w:marBottom w:val="0"/>
                                                      <w:divBdr>
                                                        <w:top w:val="none" w:sz="0" w:space="0" w:color="auto"/>
                                                        <w:left w:val="none" w:sz="0" w:space="0" w:color="auto"/>
                                                        <w:bottom w:val="none" w:sz="0" w:space="0" w:color="auto"/>
                                                        <w:right w:val="none" w:sz="0" w:space="0" w:color="auto"/>
                                                      </w:divBdr>
                                                      <w:divsChild>
                                                        <w:div w:id="1849832298">
                                                          <w:marLeft w:val="0"/>
                                                          <w:marRight w:val="0"/>
                                                          <w:marTop w:val="0"/>
                                                          <w:marBottom w:val="0"/>
                                                          <w:divBdr>
                                                            <w:top w:val="none" w:sz="0" w:space="0" w:color="auto"/>
                                                            <w:left w:val="none" w:sz="0" w:space="0" w:color="auto"/>
                                                            <w:bottom w:val="none" w:sz="0" w:space="0" w:color="auto"/>
                                                            <w:right w:val="none" w:sz="0" w:space="0" w:color="auto"/>
                                                          </w:divBdr>
                                                        </w:div>
                                                        <w:div w:id="1631088521">
                                                          <w:marLeft w:val="0"/>
                                                          <w:marRight w:val="0"/>
                                                          <w:marTop w:val="0"/>
                                                          <w:marBottom w:val="0"/>
                                                          <w:divBdr>
                                                            <w:top w:val="none" w:sz="0" w:space="0" w:color="auto"/>
                                                            <w:left w:val="none" w:sz="0" w:space="0" w:color="auto"/>
                                                            <w:bottom w:val="none" w:sz="0" w:space="0" w:color="auto"/>
                                                            <w:right w:val="none" w:sz="0" w:space="0" w:color="auto"/>
                                                          </w:divBdr>
                                                          <w:divsChild>
                                                            <w:div w:id="10474134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3593131">
      <w:bodyDiv w:val="1"/>
      <w:marLeft w:val="0"/>
      <w:marRight w:val="0"/>
      <w:marTop w:val="0"/>
      <w:marBottom w:val="0"/>
      <w:divBdr>
        <w:top w:val="none" w:sz="0" w:space="0" w:color="auto"/>
        <w:left w:val="none" w:sz="0" w:space="0" w:color="auto"/>
        <w:bottom w:val="none" w:sz="0" w:space="0" w:color="auto"/>
        <w:right w:val="none" w:sz="0" w:space="0" w:color="auto"/>
      </w:divBdr>
    </w:div>
    <w:div w:id="436220438">
      <w:bodyDiv w:val="1"/>
      <w:marLeft w:val="0"/>
      <w:marRight w:val="0"/>
      <w:marTop w:val="0"/>
      <w:marBottom w:val="0"/>
      <w:divBdr>
        <w:top w:val="none" w:sz="0" w:space="0" w:color="auto"/>
        <w:left w:val="none" w:sz="0" w:space="0" w:color="auto"/>
        <w:bottom w:val="none" w:sz="0" w:space="0" w:color="auto"/>
        <w:right w:val="none" w:sz="0" w:space="0" w:color="auto"/>
      </w:divBdr>
    </w:div>
    <w:div w:id="437137213">
      <w:bodyDiv w:val="1"/>
      <w:marLeft w:val="0"/>
      <w:marRight w:val="0"/>
      <w:marTop w:val="0"/>
      <w:marBottom w:val="0"/>
      <w:divBdr>
        <w:top w:val="none" w:sz="0" w:space="0" w:color="auto"/>
        <w:left w:val="none" w:sz="0" w:space="0" w:color="auto"/>
        <w:bottom w:val="none" w:sz="0" w:space="0" w:color="auto"/>
        <w:right w:val="none" w:sz="0" w:space="0" w:color="auto"/>
      </w:divBdr>
      <w:divsChild>
        <w:div w:id="1299072089">
          <w:marLeft w:val="0"/>
          <w:marRight w:val="0"/>
          <w:marTop w:val="0"/>
          <w:marBottom w:val="0"/>
          <w:divBdr>
            <w:top w:val="none" w:sz="0" w:space="0" w:color="auto"/>
            <w:left w:val="none" w:sz="0" w:space="0" w:color="auto"/>
            <w:bottom w:val="none" w:sz="0" w:space="0" w:color="auto"/>
            <w:right w:val="none" w:sz="0" w:space="0" w:color="auto"/>
          </w:divBdr>
          <w:divsChild>
            <w:div w:id="667055171">
              <w:marLeft w:val="0"/>
              <w:marRight w:val="0"/>
              <w:marTop w:val="0"/>
              <w:marBottom w:val="0"/>
              <w:divBdr>
                <w:top w:val="none" w:sz="0" w:space="0" w:color="auto"/>
                <w:left w:val="none" w:sz="0" w:space="0" w:color="auto"/>
                <w:bottom w:val="none" w:sz="0" w:space="0" w:color="auto"/>
                <w:right w:val="none" w:sz="0" w:space="0" w:color="auto"/>
              </w:divBdr>
              <w:divsChild>
                <w:div w:id="1522745453">
                  <w:marLeft w:val="0"/>
                  <w:marRight w:val="0"/>
                  <w:marTop w:val="0"/>
                  <w:marBottom w:val="0"/>
                  <w:divBdr>
                    <w:top w:val="none" w:sz="0" w:space="0" w:color="auto"/>
                    <w:left w:val="none" w:sz="0" w:space="0" w:color="auto"/>
                    <w:bottom w:val="none" w:sz="0" w:space="0" w:color="auto"/>
                    <w:right w:val="none" w:sz="0" w:space="0" w:color="auto"/>
                  </w:divBdr>
                  <w:divsChild>
                    <w:div w:id="851341429">
                      <w:marLeft w:val="0"/>
                      <w:marRight w:val="0"/>
                      <w:marTop w:val="0"/>
                      <w:marBottom w:val="0"/>
                      <w:divBdr>
                        <w:top w:val="none" w:sz="0" w:space="0" w:color="auto"/>
                        <w:left w:val="none" w:sz="0" w:space="0" w:color="auto"/>
                        <w:bottom w:val="none" w:sz="0" w:space="0" w:color="auto"/>
                        <w:right w:val="none" w:sz="0" w:space="0" w:color="auto"/>
                      </w:divBdr>
                      <w:divsChild>
                        <w:div w:id="642850919">
                          <w:marLeft w:val="0"/>
                          <w:marRight w:val="0"/>
                          <w:marTop w:val="0"/>
                          <w:marBottom w:val="0"/>
                          <w:divBdr>
                            <w:top w:val="none" w:sz="0" w:space="0" w:color="auto"/>
                            <w:left w:val="none" w:sz="0" w:space="0" w:color="auto"/>
                            <w:bottom w:val="none" w:sz="0" w:space="0" w:color="auto"/>
                            <w:right w:val="none" w:sz="0" w:space="0" w:color="auto"/>
                          </w:divBdr>
                          <w:divsChild>
                            <w:div w:id="1595356608">
                              <w:marLeft w:val="0"/>
                              <w:marRight w:val="0"/>
                              <w:marTop w:val="0"/>
                              <w:marBottom w:val="0"/>
                              <w:divBdr>
                                <w:top w:val="none" w:sz="0" w:space="0" w:color="auto"/>
                                <w:left w:val="none" w:sz="0" w:space="0" w:color="auto"/>
                                <w:bottom w:val="none" w:sz="0" w:space="0" w:color="auto"/>
                                <w:right w:val="none" w:sz="0" w:space="0" w:color="auto"/>
                              </w:divBdr>
                              <w:divsChild>
                                <w:div w:id="947586044">
                                  <w:marLeft w:val="0"/>
                                  <w:marRight w:val="0"/>
                                  <w:marTop w:val="0"/>
                                  <w:marBottom w:val="0"/>
                                  <w:divBdr>
                                    <w:top w:val="none" w:sz="0" w:space="0" w:color="auto"/>
                                    <w:left w:val="none" w:sz="0" w:space="0" w:color="auto"/>
                                    <w:bottom w:val="none" w:sz="0" w:space="0" w:color="auto"/>
                                    <w:right w:val="none" w:sz="0" w:space="0" w:color="auto"/>
                                  </w:divBdr>
                                  <w:divsChild>
                                    <w:div w:id="1466194431">
                                      <w:marLeft w:val="0"/>
                                      <w:marRight w:val="0"/>
                                      <w:marTop w:val="0"/>
                                      <w:marBottom w:val="0"/>
                                      <w:divBdr>
                                        <w:top w:val="none" w:sz="0" w:space="0" w:color="auto"/>
                                        <w:left w:val="none" w:sz="0" w:space="0" w:color="auto"/>
                                        <w:bottom w:val="none" w:sz="0" w:space="0" w:color="auto"/>
                                        <w:right w:val="none" w:sz="0" w:space="0" w:color="auto"/>
                                      </w:divBdr>
                                      <w:divsChild>
                                        <w:div w:id="18299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525413">
      <w:bodyDiv w:val="1"/>
      <w:marLeft w:val="0"/>
      <w:marRight w:val="0"/>
      <w:marTop w:val="0"/>
      <w:marBottom w:val="0"/>
      <w:divBdr>
        <w:top w:val="none" w:sz="0" w:space="0" w:color="auto"/>
        <w:left w:val="none" w:sz="0" w:space="0" w:color="auto"/>
        <w:bottom w:val="none" w:sz="0" w:space="0" w:color="auto"/>
        <w:right w:val="none" w:sz="0" w:space="0" w:color="auto"/>
      </w:divBdr>
      <w:divsChild>
        <w:div w:id="1232812947">
          <w:marLeft w:val="2400"/>
          <w:marRight w:val="0"/>
          <w:marTop w:val="0"/>
          <w:marBottom w:val="0"/>
          <w:divBdr>
            <w:top w:val="none" w:sz="0" w:space="0" w:color="auto"/>
            <w:left w:val="none" w:sz="0" w:space="0" w:color="auto"/>
            <w:bottom w:val="none" w:sz="0" w:space="0" w:color="auto"/>
            <w:right w:val="none" w:sz="0" w:space="0" w:color="auto"/>
          </w:divBdr>
          <w:divsChild>
            <w:div w:id="1759860967">
              <w:marLeft w:val="0"/>
              <w:marRight w:val="0"/>
              <w:marTop w:val="0"/>
              <w:marBottom w:val="0"/>
              <w:divBdr>
                <w:top w:val="none" w:sz="0" w:space="0" w:color="auto"/>
                <w:left w:val="none" w:sz="0" w:space="0" w:color="auto"/>
                <w:bottom w:val="none" w:sz="0" w:space="0" w:color="auto"/>
                <w:right w:val="none" w:sz="0" w:space="0" w:color="auto"/>
              </w:divBdr>
              <w:divsChild>
                <w:div w:id="1956210581">
                  <w:marLeft w:val="0"/>
                  <w:marRight w:val="0"/>
                  <w:marTop w:val="0"/>
                  <w:marBottom w:val="0"/>
                  <w:divBdr>
                    <w:top w:val="none" w:sz="0" w:space="0" w:color="auto"/>
                    <w:left w:val="none" w:sz="0" w:space="0" w:color="auto"/>
                    <w:bottom w:val="none" w:sz="0" w:space="0" w:color="auto"/>
                    <w:right w:val="none" w:sz="0" w:space="0" w:color="auto"/>
                  </w:divBdr>
                  <w:divsChild>
                    <w:div w:id="3710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7766">
      <w:bodyDiv w:val="1"/>
      <w:marLeft w:val="0"/>
      <w:marRight w:val="0"/>
      <w:marTop w:val="0"/>
      <w:marBottom w:val="0"/>
      <w:divBdr>
        <w:top w:val="none" w:sz="0" w:space="0" w:color="auto"/>
        <w:left w:val="none" w:sz="0" w:space="0" w:color="auto"/>
        <w:bottom w:val="none" w:sz="0" w:space="0" w:color="auto"/>
        <w:right w:val="none" w:sz="0" w:space="0" w:color="auto"/>
      </w:divBdr>
    </w:div>
    <w:div w:id="438913437">
      <w:bodyDiv w:val="1"/>
      <w:marLeft w:val="0"/>
      <w:marRight w:val="0"/>
      <w:marTop w:val="0"/>
      <w:marBottom w:val="0"/>
      <w:divBdr>
        <w:top w:val="none" w:sz="0" w:space="0" w:color="auto"/>
        <w:left w:val="none" w:sz="0" w:space="0" w:color="auto"/>
        <w:bottom w:val="none" w:sz="0" w:space="0" w:color="auto"/>
        <w:right w:val="none" w:sz="0" w:space="0" w:color="auto"/>
      </w:divBdr>
    </w:div>
    <w:div w:id="439836531">
      <w:bodyDiv w:val="1"/>
      <w:marLeft w:val="0"/>
      <w:marRight w:val="0"/>
      <w:marTop w:val="0"/>
      <w:marBottom w:val="0"/>
      <w:divBdr>
        <w:top w:val="none" w:sz="0" w:space="0" w:color="auto"/>
        <w:left w:val="none" w:sz="0" w:space="0" w:color="auto"/>
        <w:bottom w:val="none" w:sz="0" w:space="0" w:color="auto"/>
        <w:right w:val="none" w:sz="0" w:space="0" w:color="auto"/>
      </w:divBdr>
      <w:divsChild>
        <w:div w:id="1183519479">
          <w:marLeft w:val="0"/>
          <w:marRight w:val="0"/>
          <w:marTop w:val="0"/>
          <w:marBottom w:val="0"/>
          <w:divBdr>
            <w:top w:val="single" w:sz="6" w:space="0" w:color="0E477A"/>
            <w:left w:val="single" w:sz="6" w:space="0" w:color="0E477A"/>
            <w:bottom w:val="single" w:sz="6" w:space="0" w:color="0E477A"/>
            <w:right w:val="single" w:sz="6" w:space="0" w:color="0E477A"/>
          </w:divBdr>
          <w:divsChild>
            <w:div w:id="1408115202">
              <w:marLeft w:val="0"/>
              <w:marRight w:val="0"/>
              <w:marTop w:val="0"/>
              <w:marBottom w:val="0"/>
              <w:divBdr>
                <w:top w:val="none" w:sz="0" w:space="0" w:color="auto"/>
                <w:left w:val="none" w:sz="0" w:space="0" w:color="auto"/>
                <w:bottom w:val="none" w:sz="0" w:space="0" w:color="auto"/>
                <w:right w:val="none" w:sz="0" w:space="0" w:color="auto"/>
              </w:divBdr>
              <w:divsChild>
                <w:div w:id="1713532898">
                  <w:marLeft w:val="0"/>
                  <w:marRight w:val="0"/>
                  <w:marTop w:val="0"/>
                  <w:marBottom w:val="0"/>
                  <w:divBdr>
                    <w:top w:val="none" w:sz="0" w:space="0" w:color="auto"/>
                    <w:left w:val="none" w:sz="0" w:space="0" w:color="auto"/>
                    <w:bottom w:val="none" w:sz="0" w:space="0" w:color="auto"/>
                    <w:right w:val="none" w:sz="0" w:space="0" w:color="auto"/>
                  </w:divBdr>
                  <w:divsChild>
                    <w:div w:id="783158692">
                      <w:marLeft w:val="0"/>
                      <w:marRight w:val="0"/>
                      <w:marTop w:val="0"/>
                      <w:marBottom w:val="0"/>
                      <w:divBdr>
                        <w:top w:val="none" w:sz="0" w:space="0" w:color="auto"/>
                        <w:left w:val="none" w:sz="0" w:space="0" w:color="auto"/>
                        <w:bottom w:val="none" w:sz="0" w:space="0" w:color="auto"/>
                        <w:right w:val="none" w:sz="0" w:space="0" w:color="auto"/>
                      </w:divBdr>
                      <w:divsChild>
                        <w:div w:id="907233309">
                          <w:marLeft w:val="0"/>
                          <w:marRight w:val="0"/>
                          <w:marTop w:val="0"/>
                          <w:marBottom w:val="0"/>
                          <w:divBdr>
                            <w:top w:val="none" w:sz="0" w:space="0" w:color="auto"/>
                            <w:left w:val="none" w:sz="0" w:space="0" w:color="auto"/>
                            <w:bottom w:val="none" w:sz="0" w:space="0" w:color="auto"/>
                            <w:right w:val="none" w:sz="0" w:space="0" w:color="auto"/>
                          </w:divBdr>
                          <w:divsChild>
                            <w:div w:id="1380977389">
                              <w:marLeft w:val="0"/>
                              <w:marRight w:val="0"/>
                              <w:marTop w:val="0"/>
                              <w:marBottom w:val="0"/>
                              <w:divBdr>
                                <w:top w:val="none" w:sz="0" w:space="0" w:color="auto"/>
                                <w:left w:val="none" w:sz="0" w:space="0" w:color="auto"/>
                                <w:bottom w:val="none" w:sz="0" w:space="0" w:color="auto"/>
                                <w:right w:val="none" w:sz="0" w:space="0" w:color="auto"/>
                              </w:divBdr>
                              <w:divsChild>
                                <w:div w:id="255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838207">
      <w:bodyDiv w:val="1"/>
      <w:marLeft w:val="0"/>
      <w:marRight w:val="0"/>
      <w:marTop w:val="0"/>
      <w:marBottom w:val="0"/>
      <w:divBdr>
        <w:top w:val="none" w:sz="0" w:space="0" w:color="auto"/>
        <w:left w:val="none" w:sz="0" w:space="0" w:color="auto"/>
        <w:bottom w:val="none" w:sz="0" w:space="0" w:color="auto"/>
        <w:right w:val="none" w:sz="0" w:space="0" w:color="auto"/>
      </w:divBdr>
    </w:div>
    <w:div w:id="441151967">
      <w:bodyDiv w:val="1"/>
      <w:marLeft w:val="0"/>
      <w:marRight w:val="0"/>
      <w:marTop w:val="0"/>
      <w:marBottom w:val="0"/>
      <w:divBdr>
        <w:top w:val="none" w:sz="0" w:space="0" w:color="auto"/>
        <w:left w:val="none" w:sz="0" w:space="0" w:color="auto"/>
        <w:bottom w:val="none" w:sz="0" w:space="0" w:color="auto"/>
        <w:right w:val="none" w:sz="0" w:space="0" w:color="auto"/>
      </w:divBdr>
      <w:divsChild>
        <w:div w:id="964198343">
          <w:marLeft w:val="0"/>
          <w:marRight w:val="0"/>
          <w:marTop w:val="0"/>
          <w:marBottom w:val="0"/>
          <w:divBdr>
            <w:top w:val="single" w:sz="2" w:space="0" w:color="AAAAAA"/>
            <w:left w:val="single" w:sz="4" w:space="6" w:color="AAAAAA"/>
            <w:bottom w:val="single" w:sz="2" w:space="0" w:color="AAAAAA"/>
            <w:right w:val="single" w:sz="4" w:space="6" w:color="AAAAAA"/>
          </w:divBdr>
          <w:divsChild>
            <w:div w:id="1628732833">
              <w:marLeft w:val="0"/>
              <w:marRight w:val="0"/>
              <w:marTop w:val="0"/>
              <w:marBottom w:val="0"/>
              <w:divBdr>
                <w:top w:val="none" w:sz="0" w:space="0" w:color="auto"/>
                <w:left w:val="none" w:sz="0" w:space="0" w:color="auto"/>
                <w:bottom w:val="none" w:sz="0" w:space="0" w:color="auto"/>
                <w:right w:val="none" w:sz="0" w:space="0" w:color="auto"/>
              </w:divBdr>
              <w:divsChild>
                <w:div w:id="1139803849">
                  <w:marLeft w:val="0"/>
                  <w:marRight w:val="0"/>
                  <w:marTop w:val="0"/>
                  <w:marBottom w:val="0"/>
                  <w:divBdr>
                    <w:top w:val="none" w:sz="0" w:space="0" w:color="auto"/>
                    <w:left w:val="none" w:sz="0" w:space="0" w:color="auto"/>
                    <w:bottom w:val="none" w:sz="0" w:space="0" w:color="auto"/>
                    <w:right w:val="none" w:sz="0" w:space="0" w:color="auto"/>
                  </w:divBdr>
                  <w:divsChild>
                    <w:div w:id="1049762232">
                      <w:marLeft w:val="0"/>
                      <w:marRight w:val="2129"/>
                      <w:marTop w:val="0"/>
                      <w:marBottom w:val="48"/>
                      <w:divBdr>
                        <w:top w:val="none" w:sz="0" w:space="0" w:color="auto"/>
                        <w:left w:val="none" w:sz="0" w:space="0" w:color="auto"/>
                        <w:bottom w:val="none" w:sz="0" w:space="0" w:color="auto"/>
                        <w:right w:val="none" w:sz="0" w:space="0" w:color="auto"/>
                      </w:divBdr>
                      <w:divsChild>
                        <w:div w:id="1550340590">
                          <w:marLeft w:val="0"/>
                          <w:marRight w:val="0"/>
                          <w:marTop w:val="0"/>
                          <w:marBottom w:val="48"/>
                          <w:divBdr>
                            <w:top w:val="none" w:sz="0" w:space="0" w:color="auto"/>
                            <w:left w:val="none" w:sz="0" w:space="0" w:color="auto"/>
                            <w:bottom w:val="none" w:sz="0" w:space="0" w:color="auto"/>
                            <w:right w:val="none" w:sz="0" w:space="0" w:color="auto"/>
                          </w:divBdr>
                          <w:divsChild>
                            <w:div w:id="45583320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4966">
      <w:bodyDiv w:val="1"/>
      <w:marLeft w:val="0"/>
      <w:marRight w:val="0"/>
      <w:marTop w:val="0"/>
      <w:marBottom w:val="0"/>
      <w:divBdr>
        <w:top w:val="none" w:sz="0" w:space="0" w:color="auto"/>
        <w:left w:val="none" w:sz="0" w:space="0" w:color="auto"/>
        <w:bottom w:val="none" w:sz="0" w:space="0" w:color="auto"/>
        <w:right w:val="none" w:sz="0" w:space="0" w:color="auto"/>
      </w:divBdr>
    </w:div>
    <w:div w:id="441610485">
      <w:bodyDiv w:val="1"/>
      <w:marLeft w:val="0"/>
      <w:marRight w:val="0"/>
      <w:marTop w:val="0"/>
      <w:marBottom w:val="0"/>
      <w:divBdr>
        <w:top w:val="none" w:sz="0" w:space="0" w:color="auto"/>
        <w:left w:val="none" w:sz="0" w:space="0" w:color="auto"/>
        <w:bottom w:val="none" w:sz="0" w:space="0" w:color="auto"/>
        <w:right w:val="none" w:sz="0" w:space="0" w:color="auto"/>
      </w:divBdr>
      <w:divsChild>
        <w:div w:id="1496342735">
          <w:marLeft w:val="0"/>
          <w:marRight w:val="0"/>
          <w:marTop w:val="0"/>
          <w:marBottom w:val="0"/>
          <w:divBdr>
            <w:top w:val="none" w:sz="0" w:space="0" w:color="auto"/>
            <w:left w:val="none" w:sz="0" w:space="0" w:color="auto"/>
            <w:bottom w:val="none" w:sz="0" w:space="0" w:color="auto"/>
            <w:right w:val="none" w:sz="0" w:space="0" w:color="auto"/>
          </w:divBdr>
          <w:divsChild>
            <w:div w:id="425077362">
              <w:marLeft w:val="0"/>
              <w:marRight w:val="0"/>
              <w:marTop w:val="0"/>
              <w:marBottom w:val="0"/>
              <w:divBdr>
                <w:top w:val="none" w:sz="0" w:space="0" w:color="auto"/>
                <w:left w:val="none" w:sz="0" w:space="0" w:color="auto"/>
                <w:bottom w:val="none" w:sz="0" w:space="0" w:color="auto"/>
                <w:right w:val="none" w:sz="0" w:space="0" w:color="auto"/>
              </w:divBdr>
              <w:divsChild>
                <w:div w:id="2056543990">
                  <w:marLeft w:val="0"/>
                  <w:marRight w:val="0"/>
                  <w:marTop w:val="0"/>
                  <w:marBottom w:val="0"/>
                  <w:divBdr>
                    <w:top w:val="none" w:sz="0" w:space="0" w:color="auto"/>
                    <w:left w:val="none" w:sz="0" w:space="0" w:color="auto"/>
                    <w:bottom w:val="none" w:sz="0" w:space="0" w:color="auto"/>
                    <w:right w:val="none" w:sz="0" w:space="0" w:color="auto"/>
                  </w:divBdr>
                  <w:divsChild>
                    <w:div w:id="653602178">
                      <w:marLeft w:val="0"/>
                      <w:marRight w:val="0"/>
                      <w:marTop w:val="0"/>
                      <w:marBottom w:val="0"/>
                      <w:divBdr>
                        <w:top w:val="none" w:sz="0" w:space="0" w:color="auto"/>
                        <w:left w:val="none" w:sz="0" w:space="0" w:color="auto"/>
                        <w:bottom w:val="none" w:sz="0" w:space="0" w:color="auto"/>
                        <w:right w:val="none" w:sz="0" w:space="0" w:color="auto"/>
                      </w:divBdr>
                      <w:divsChild>
                        <w:div w:id="5957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615990">
      <w:bodyDiv w:val="1"/>
      <w:marLeft w:val="0"/>
      <w:marRight w:val="0"/>
      <w:marTop w:val="0"/>
      <w:marBottom w:val="0"/>
      <w:divBdr>
        <w:top w:val="none" w:sz="0" w:space="0" w:color="auto"/>
        <w:left w:val="none" w:sz="0" w:space="0" w:color="auto"/>
        <w:bottom w:val="none" w:sz="0" w:space="0" w:color="auto"/>
        <w:right w:val="none" w:sz="0" w:space="0" w:color="auto"/>
      </w:divBdr>
    </w:div>
    <w:div w:id="445466460">
      <w:bodyDiv w:val="1"/>
      <w:marLeft w:val="0"/>
      <w:marRight w:val="0"/>
      <w:marTop w:val="0"/>
      <w:marBottom w:val="0"/>
      <w:divBdr>
        <w:top w:val="none" w:sz="0" w:space="0" w:color="auto"/>
        <w:left w:val="none" w:sz="0" w:space="0" w:color="auto"/>
        <w:bottom w:val="none" w:sz="0" w:space="0" w:color="auto"/>
        <w:right w:val="none" w:sz="0" w:space="0" w:color="auto"/>
      </w:divBdr>
      <w:divsChild>
        <w:div w:id="1990741702">
          <w:marLeft w:val="0"/>
          <w:marRight w:val="0"/>
          <w:marTop w:val="0"/>
          <w:marBottom w:val="0"/>
          <w:divBdr>
            <w:top w:val="single" w:sz="6" w:space="0" w:color="0E477A"/>
            <w:left w:val="single" w:sz="6" w:space="0" w:color="0E477A"/>
            <w:bottom w:val="single" w:sz="6" w:space="0" w:color="0E477A"/>
            <w:right w:val="single" w:sz="6" w:space="0" w:color="0E477A"/>
          </w:divBdr>
          <w:divsChild>
            <w:div w:id="1786659744">
              <w:marLeft w:val="2925"/>
              <w:marRight w:val="0"/>
              <w:marTop w:val="0"/>
              <w:marBottom w:val="0"/>
              <w:divBdr>
                <w:top w:val="none" w:sz="0" w:space="0" w:color="auto"/>
                <w:left w:val="none" w:sz="0" w:space="0" w:color="auto"/>
                <w:bottom w:val="none" w:sz="0" w:space="0" w:color="auto"/>
                <w:right w:val="none" w:sz="0" w:space="0" w:color="auto"/>
              </w:divBdr>
              <w:divsChild>
                <w:div w:id="852693156">
                  <w:marLeft w:val="0"/>
                  <w:marRight w:val="0"/>
                  <w:marTop w:val="0"/>
                  <w:marBottom w:val="0"/>
                  <w:divBdr>
                    <w:top w:val="none" w:sz="0" w:space="0" w:color="auto"/>
                    <w:left w:val="none" w:sz="0" w:space="0" w:color="auto"/>
                    <w:bottom w:val="none" w:sz="0" w:space="0" w:color="auto"/>
                    <w:right w:val="none" w:sz="0" w:space="0" w:color="auto"/>
                  </w:divBdr>
                  <w:divsChild>
                    <w:div w:id="1065835087">
                      <w:marLeft w:val="0"/>
                      <w:marRight w:val="150"/>
                      <w:marTop w:val="0"/>
                      <w:marBottom w:val="0"/>
                      <w:divBdr>
                        <w:top w:val="single" w:sz="6" w:space="0" w:color="CCCCCC"/>
                        <w:left w:val="single" w:sz="6" w:space="8" w:color="CCCCCC"/>
                        <w:bottom w:val="single" w:sz="6" w:space="8" w:color="CCCCCC"/>
                        <w:right w:val="single" w:sz="6" w:space="8" w:color="CCCCCC"/>
                      </w:divBdr>
                      <w:divsChild>
                        <w:div w:id="2040660188">
                          <w:marLeft w:val="0"/>
                          <w:marRight w:val="0"/>
                          <w:marTop w:val="0"/>
                          <w:marBottom w:val="0"/>
                          <w:divBdr>
                            <w:top w:val="none" w:sz="0" w:space="0" w:color="auto"/>
                            <w:left w:val="none" w:sz="0" w:space="0" w:color="auto"/>
                            <w:bottom w:val="none" w:sz="0" w:space="0" w:color="auto"/>
                            <w:right w:val="none" w:sz="0" w:space="0" w:color="auto"/>
                          </w:divBdr>
                        </w:div>
                        <w:div w:id="19008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80875">
      <w:bodyDiv w:val="1"/>
      <w:marLeft w:val="0"/>
      <w:marRight w:val="0"/>
      <w:marTop w:val="0"/>
      <w:marBottom w:val="0"/>
      <w:divBdr>
        <w:top w:val="none" w:sz="0" w:space="0" w:color="auto"/>
        <w:left w:val="none" w:sz="0" w:space="0" w:color="auto"/>
        <w:bottom w:val="none" w:sz="0" w:space="0" w:color="auto"/>
        <w:right w:val="none" w:sz="0" w:space="0" w:color="auto"/>
      </w:divBdr>
      <w:divsChild>
        <w:div w:id="584261221">
          <w:marLeft w:val="0"/>
          <w:marRight w:val="0"/>
          <w:marTop w:val="0"/>
          <w:marBottom w:val="0"/>
          <w:divBdr>
            <w:top w:val="none" w:sz="0" w:space="0" w:color="auto"/>
            <w:left w:val="none" w:sz="0" w:space="0" w:color="auto"/>
            <w:bottom w:val="none" w:sz="0" w:space="0" w:color="auto"/>
            <w:right w:val="none" w:sz="0" w:space="0" w:color="auto"/>
          </w:divBdr>
          <w:divsChild>
            <w:div w:id="1466847322">
              <w:marLeft w:val="0"/>
              <w:marRight w:val="0"/>
              <w:marTop w:val="0"/>
              <w:marBottom w:val="0"/>
              <w:divBdr>
                <w:top w:val="none" w:sz="0" w:space="0" w:color="auto"/>
                <w:left w:val="none" w:sz="0" w:space="0" w:color="auto"/>
                <w:bottom w:val="none" w:sz="0" w:space="0" w:color="auto"/>
                <w:right w:val="none" w:sz="0" w:space="0" w:color="auto"/>
              </w:divBdr>
              <w:divsChild>
                <w:div w:id="1716269268">
                  <w:marLeft w:val="0"/>
                  <w:marRight w:val="0"/>
                  <w:marTop w:val="0"/>
                  <w:marBottom w:val="0"/>
                  <w:divBdr>
                    <w:top w:val="none" w:sz="0" w:space="0" w:color="auto"/>
                    <w:left w:val="none" w:sz="0" w:space="0" w:color="auto"/>
                    <w:bottom w:val="none" w:sz="0" w:space="0" w:color="auto"/>
                    <w:right w:val="none" w:sz="0" w:space="0" w:color="auto"/>
                  </w:divBdr>
                  <w:divsChild>
                    <w:div w:id="374045704">
                      <w:marLeft w:val="0"/>
                      <w:marRight w:val="0"/>
                      <w:marTop w:val="0"/>
                      <w:marBottom w:val="0"/>
                      <w:divBdr>
                        <w:top w:val="none" w:sz="0" w:space="0" w:color="auto"/>
                        <w:left w:val="none" w:sz="0" w:space="0" w:color="auto"/>
                        <w:bottom w:val="none" w:sz="0" w:space="0" w:color="auto"/>
                        <w:right w:val="none" w:sz="0" w:space="0" w:color="auto"/>
                      </w:divBdr>
                      <w:divsChild>
                        <w:div w:id="11898360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46848693">
      <w:bodyDiv w:val="1"/>
      <w:marLeft w:val="0"/>
      <w:marRight w:val="0"/>
      <w:marTop w:val="0"/>
      <w:marBottom w:val="0"/>
      <w:divBdr>
        <w:top w:val="none" w:sz="0" w:space="0" w:color="auto"/>
        <w:left w:val="none" w:sz="0" w:space="0" w:color="auto"/>
        <w:bottom w:val="none" w:sz="0" w:space="0" w:color="auto"/>
        <w:right w:val="none" w:sz="0" w:space="0" w:color="auto"/>
      </w:divBdr>
    </w:div>
    <w:div w:id="447041866">
      <w:bodyDiv w:val="1"/>
      <w:marLeft w:val="0"/>
      <w:marRight w:val="0"/>
      <w:marTop w:val="0"/>
      <w:marBottom w:val="0"/>
      <w:divBdr>
        <w:top w:val="none" w:sz="0" w:space="0" w:color="auto"/>
        <w:left w:val="none" w:sz="0" w:space="0" w:color="auto"/>
        <w:bottom w:val="none" w:sz="0" w:space="0" w:color="auto"/>
        <w:right w:val="none" w:sz="0" w:space="0" w:color="auto"/>
      </w:divBdr>
      <w:divsChild>
        <w:div w:id="741753651">
          <w:marLeft w:val="0"/>
          <w:marRight w:val="0"/>
          <w:marTop w:val="0"/>
          <w:marBottom w:val="0"/>
          <w:divBdr>
            <w:top w:val="none" w:sz="0" w:space="0" w:color="auto"/>
            <w:left w:val="none" w:sz="0" w:space="0" w:color="auto"/>
            <w:bottom w:val="none" w:sz="0" w:space="0" w:color="auto"/>
            <w:right w:val="none" w:sz="0" w:space="0" w:color="auto"/>
          </w:divBdr>
        </w:div>
      </w:divsChild>
    </w:div>
    <w:div w:id="447159506">
      <w:bodyDiv w:val="1"/>
      <w:marLeft w:val="0"/>
      <w:marRight w:val="0"/>
      <w:marTop w:val="0"/>
      <w:marBottom w:val="0"/>
      <w:divBdr>
        <w:top w:val="none" w:sz="0" w:space="0" w:color="auto"/>
        <w:left w:val="none" w:sz="0" w:space="0" w:color="auto"/>
        <w:bottom w:val="none" w:sz="0" w:space="0" w:color="auto"/>
        <w:right w:val="none" w:sz="0" w:space="0" w:color="auto"/>
      </w:divBdr>
    </w:div>
    <w:div w:id="448820226">
      <w:bodyDiv w:val="1"/>
      <w:marLeft w:val="0"/>
      <w:marRight w:val="0"/>
      <w:marTop w:val="0"/>
      <w:marBottom w:val="0"/>
      <w:divBdr>
        <w:top w:val="none" w:sz="0" w:space="0" w:color="auto"/>
        <w:left w:val="none" w:sz="0" w:space="0" w:color="auto"/>
        <w:bottom w:val="none" w:sz="0" w:space="0" w:color="auto"/>
        <w:right w:val="none" w:sz="0" w:space="0" w:color="auto"/>
      </w:divBdr>
      <w:divsChild>
        <w:div w:id="705644496">
          <w:marLeft w:val="0"/>
          <w:marRight w:val="0"/>
          <w:marTop w:val="0"/>
          <w:marBottom w:val="0"/>
          <w:divBdr>
            <w:top w:val="none" w:sz="0" w:space="0" w:color="auto"/>
            <w:left w:val="none" w:sz="0" w:space="0" w:color="auto"/>
            <w:bottom w:val="none" w:sz="0" w:space="0" w:color="auto"/>
            <w:right w:val="none" w:sz="0" w:space="0" w:color="auto"/>
          </w:divBdr>
          <w:divsChild>
            <w:div w:id="1326519445">
              <w:marLeft w:val="210"/>
              <w:marRight w:val="0"/>
              <w:marTop w:val="0"/>
              <w:marBottom w:val="0"/>
              <w:divBdr>
                <w:top w:val="none" w:sz="0" w:space="0" w:color="auto"/>
                <w:left w:val="none" w:sz="0" w:space="0" w:color="auto"/>
                <w:bottom w:val="none" w:sz="0" w:space="0" w:color="auto"/>
                <w:right w:val="none" w:sz="0" w:space="0" w:color="auto"/>
              </w:divBdr>
              <w:divsChild>
                <w:div w:id="13140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8778">
      <w:bodyDiv w:val="1"/>
      <w:marLeft w:val="0"/>
      <w:marRight w:val="0"/>
      <w:marTop w:val="100"/>
      <w:marBottom w:val="100"/>
      <w:divBdr>
        <w:top w:val="none" w:sz="0" w:space="0" w:color="auto"/>
        <w:left w:val="none" w:sz="0" w:space="0" w:color="auto"/>
        <w:bottom w:val="none" w:sz="0" w:space="0" w:color="auto"/>
        <w:right w:val="none" w:sz="0" w:space="0" w:color="auto"/>
      </w:divBdr>
      <w:divsChild>
        <w:div w:id="1370109713">
          <w:marLeft w:val="0"/>
          <w:marRight w:val="0"/>
          <w:marTop w:val="0"/>
          <w:marBottom w:val="0"/>
          <w:divBdr>
            <w:top w:val="none" w:sz="0" w:space="0" w:color="auto"/>
            <w:left w:val="none" w:sz="0" w:space="0" w:color="auto"/>
            <w:bottom w:val="none" w:sz="0" w:space="0" w:color="auto"/>
            <w:right w:val="none" w:sz="0" w:space="0" w:color="auto"/>
          </w:divBdr>
          <w:divsChild>
            <w:div w:id="1177840096">
              <w:marLeft w:val="0"/>
              <w:marRight w:val="0"/>
              <w:marTop w:val="0"/>
              <w:marBottom w:val="0"/>
              <w:divBdr>
                <w:top w:val="none" w:sz="0" w:space="0" w:color="auto"/>
                <w:left w:val="none" w:sz="0" w:space="0" w:color="auto"/>
                <w:bottom w:val="none" w:sz="0" w:space="0" w:color="auto"/>
                <w:right w:val="none" w:sz="0" w:space="0" w:color="auto"/>
              </w:divBdr>
              <w:divsChild>
                <w:div w:id="523175561">
                  <w:marLeft w:val="0"/>
                  <w:marRight w:val="0"/>
                  <w:marTop w:val="0"/>
                  <w:marBottom w:val="0"/>
                  <w:divBdr>
                    <w:top w:val="none" w:sz="0" w:space="0" w:color="auto"/>
                    <w:left w:val="single" w:sz="4" w:space="0" w:color="0B5092"/>
                    <w:bottom w:val="none" w:sz="0" w:space="0" w:color="auto"/>
                    <w:right w:val="single" w:sz="4" w:space="0" w:color="0B5092"/>
                  </w:divBdr>
                  <w:divsChild>
                    <w:div w:id="1332179923">
                      <w:marLeft w:val="0"/>
                      <w:marRight w:val="0"/>
                      <w:marTop w:val="0"/>
                      <w:marBottom w:val="0"/>
                      <w:divBdr>
                        <w:top w:val="none" w:sz="0" w:space="0" w:color="auto"/>
                        <w:left w:val="none" w:sz="0" w:space="0" w:color="auto"/>
                        <w:bottom w:val="none" w:sz="0" w:space="0" w:color="auto"/>
                        <w:right w:val="none" w:sz="0" w:space="0" w:color="auto"/>
                      </w:divBdr>
                      <w:divsChild>
                        <w:div w:id="215707341">
                          <w:marLeft w:val="0"/>
                          <w:marRight w:val="0"/>
                          <w:marTop w:val="0"/>
                          <w:marBottom w:val="0"/>
                          <w:divBdr>
                            <w:top w:val="none" w:sz="0" w:space="0" w:color="auto"/>
                            <w:left w:val="none" w:sz="0" w:space="0" w:color="auto"/>
                            <w:bottom w:val="none" w:sz="0" w:space="0" w:color="auto"/>
                            <w:right w:val="none" w:sz="0" w:space="0" w:color="auto"/>
                          </w:divBdr>
                          <w:divsChild>
                            <w:div w:id="1408650846">
                              <w:marLeft w:val="0"/>
                              <w:marRight w:val="0"/>
                              <w:marTop w:val="0"/>
                              <w:marBottom w:val="0"/>
                              <w:divBdr>
                                <w:top w:val="none" w:sz="0" w:space="0" w:color="auto"/>
                                <w:left w:val="none" w:sz="0" w:space="0" w:color="auto"/>
                                <w:bottom w:val="none" w:sz="0" w:space="0" w:color="auto"/>
                                <w:right w:val="none" w:sz="0" w:space="0" w:color="auto"/>
                              </w:divBdr>
                              <w:divsChild>
                                <w:div w:id="1875653024">
                                  <w:marLeft w:val="0"/>
                                  <w:marRight w:val="0"/>
                                  <w:marTop w:val="0"/>
                                  <w:marBottom w:val="0"/>
                                  <w:divBdr>
                                    <w:top w:val="none" w:sz="0" w:space="0" w:color="auto"/>
                                    <w:left w:val="none" w:sz="0" w:space="0" w:color="auto"/>
                                    <w:bottom w:val="none" w:sz="0" w:space="0" w:color="auto"/>
                                    <w:right w:val="none" w:sz="0" w:space="0" w:color="auto"/>
                                  </w:divBdr>
                                  <w:divsChild>
                                    <w:div w:id="100539353">
                                      <w:marLeft w:val="0"/>
                                      <w:marRight w:val="0"/>
                                      <w:marTop w:val="0"/>
                                      <w:marBottom w:val="0"/>
                                      <w:divBdr>
                                        <w:top w:val="none" w:sz="0" w:space="0" w:color="auto"/>
                                        <w:left w:val="none" w:sz="0" w:space="0" w:color="auto"/>
                                        <w:bottom w:val="none" w:sz="0" w:space="0" w:color="auto"/>
                                        <w:right w:val="none" w:sz="0" w:space="0" w:color="auto"/>
                                      </w:divBdr>
                                      <w:divsChild>
                                        <w:div w:id="8607794">
                                          <w:marLeft w:val="0"/>
                                          <w:marRight w:val="0"/>
                                          <w:marTop w:val="0"/>
                                          <w:marBottom w:val="0"/>
                                          <w:divBdr>
                                            <w:top w:val="none" w:sz="0" w:space="0" w:color="auto"/>
                                            <w:left w:val="none" w:sz="0" w:space="0" w:color="auto"/>
                                            <w:bottom w:val="none" w:sz="0" w:space="0" w:color="auto"/>
                                            <w:right w:val="none" w:sz="0" w:space="0" w:color="auto"/>
                                          </w:divBdr>
                                          <w:divsChild>
                                            <w:div w:id="1677609445">
                                              <w:marLeft w:val="100"/>
                                              <w:marRight w:val="100"/>
                                              <w:marTop w:val="0"/>
                                              <w:marBottom w:val="100"/>
                                              <w:divBdr>
                                                <w:top w:val="none" w:sz="0" w:space="0" w:color="auto"/>
                                                <w:left w:val="none" w:sz="0" w:space="0" w:color="auto"/>
                                                <w:bottom w:val="none" w:sz="0" w:space="0" w:color="auto"/>
                                                <w:right w:val="none" w:sz="0" w:space="0" w:color="auto"/>
                                              </w:divBdr>
                                              <w:divsChild>
                                                <w:div w:id="502471367">
                                                  <w:marLeft w:val="0"/>
                                                  <w:marRight w:val="0"/>
                                                  <w:marTop w:val="0"/>
                                                  <w:marBottom w:val="0"/>
                                                  <w:divBdr>
                                                    <w:top w:val="none" w:sz="0" w:space="0" w:color="auto"/>
                                                    <w:left w:val="none" w:sz="0" w:space="0" w:color="auto"/>
                                                    <w:bottom w:val="none" w:sz="0" w:space="0" w:color="auto"/>
                                                    <w:right w:val="none" w:sz="0" w:space="0" w:color="auto"/>
                                                  </w:divBdr>
                                                  <w:divsChild>
                                                    <w:div w:id="527255134">
                                                      <w:marLeft w:val="0"/>
                                                      <w:marRight w:val="75"/>
                                                      <w:marTop w:val="0"/>
                                                      <w:marBottom w:val="0"/>
                                                      <w:divBdr>
                                                        <w:top w:val="none" w:sz="0" w:space="0" w:color="auto"/>
                                                        <w:left w:val="none" w:sz="0" w:space="0" w:color="auto"/>
                                                        <w:bottom w:val="none" w:sz="0" w:space="0" w:color="auto"/>
                                                        <w:right w:val="none" w:sz="0" w:space="0" w:color="auto"/>
                                                      </w:divBdr>
                                                      <w:divsChild>
                                                        <w:div w:id="2010060192">
                                                          <w:marLeft w:val="50"/>
                                                          <w:marRight w:val="-75"/>
                                                          <w:marTop w:val="0"/>
                                                          <w:marBottom w:val="0"/>
                                                          <w:divBdr>
                                                            <w:top w:val="none" w:sz="0" w:space="0" w:color="auto"/>
                                                            <w:left w:val="none" w:sz="0" w:space="0" w:color="auto"/>
                                                            <w:bottom w:val="none" w:sz="0" w:space="0" w:color="auto"/>
                                                            <w:right w:val="none" w:sz="0" w:space="0" w:color="auto"/>
                                                          </w:divBdr>
                                                          <w:divsChild>
                                                            <w:div w:id="597451546">
                                                              <w:marLeft w:val="0"/>
                                                              <w:marRight w:val="0"/>
                                                              <w:marTop w:val="0"/>
                                                              <w:marBottom w:val="0"/>
                                                              <w:divBdr>
                                                                <w:top w:val="none" w:sz="0" w:space="0" w:color="auto"/>
                                                                <w:left w:val="none" w:sz="0" w:space="0" w:color="auto"/>
                                                                <w:bottom w:val="none" w:sz="0" w:space="0" w:color="auto"/>
                                                                <w:right w:val="none" w:sz="0" w:space="0" w:color="auto"/>
                                                              </w:divBdr>
                                                              <w:divsChild>
                                                                <w:div w:id="285745215">
                                                                  <w:marLeft w:val="0"/>
                                                                  <w:marRight w:val="0"/>
                                                                  <w:marTop w:val="0"/>
                                                                  <w:marBottom w:val="0"/>
                                                                  <w:divBdr>
                                                                    <w:top w:val="none" w:sz="0" w:space="0" w:color="auto"/>
                                                                    <w:left w:val="none" w:sz="0" w:space="0" w:color="auto"/>
                                                                    <w:bottom w:val="none" w:sz="0" w:space="0" w:color="auto"/>
                                                                    <w:right w:val="none" w:sz="0" w:space="0" w:color="auto"/>
                                                                  </w:divBdr>
                                                                  <w:divsChild>
                                                                    <w:div w:id="1989285059">
                                                                      <w:marLeft w:val="0"/>
                                                                      <w:marRight w:val="0"/>
                                                                      <w:marTop w:val="0"/>
                                                                      <w:marBottom w:val="0"/>
                                                                      <w:divBdr>
                                                                        <w:top w:val="none" w:sz="0" w:space="0" w:color="auto"/>
                                                                        <w:left w:val="none" w:sz="0" w:space="0" w:color="auto"/>
                                                                        <w:bottom w:val="none" w:sz="0" w:space="0" w:color="auto"/>
                                                                        <w:right w:val="none" w:sz="0" w:space="0" w:color="auto"/>
                                                                      </w:divBdr>
                                                                      <w:divsChild>
                                                                        <w:div w:id="1481732285">
                                                                          <w:marLeft w:val="0"/>
                                                                          <w:marRight w:val="0"/>
                                                                          <w:marTop w:val="0"/>
                                                                          <w:marBottom w:val="0"/>
                                                                          <w:divBdr>
                                                                            <w:top w:val="none" w:sz="0" w:space="0" w:color="auto"/>
                                                                            <w:left w:val="none" w:sz="0" w:space="0" w:color="auto"/>
                                                                            <w:bottom w:val="none" w:sz="0" w:space="0" w:color="auto"/>
                                                                            <w:right w:val="none" w:sz="0" w:space="0" w:color="auto"/>
                                                                          </w:divBdr>
                                                                          <w:divsChild>
                                                                            <w:div w:id="434063284">
                                                                              <w:marLeft w:val="0"/>
                                                                              <w:marRight w:val="0"/>
                                                                              <w:marTop w:val="0"/>
                                                                              <w:marBottom w:val="0"/>
                                                                              <w:divBdr>
                                                                                <w:top w:val="none" w:sz="0" w:space="0" w:color="auto"/>
                                                                                <w:left w:val="none" w:sz="0" w:space="0" w:color="auto"/>
                                                                                <w:bottom w:val="none" w:sz="0" w:space="0" w:color="auto"/>
                                                                                <w:right w:val="none" w:sz="0" w:space="0" w:color="auto"/>
                                                                              </w:divBdr>
                                                                            </w:div>
                                                                            <w:div w:id="952326916">
                                                                              <w:marLeft w:val="0"/>
                                                                              <w:marRight w:val="0"/>
                                                                              <w:marTop w:val="0"/>
                                                                              <w:marBottom w:val="240"/>
                                                                              <w:divBdr>
                                                                                <w:top w:val="none" w:sz="0" w:space="0" w:color="auto"/>
                                                                                <w:left w:val="none" w:sz="0" w:space="0" w:color="auto"/>
                                                                                <w:bottom w:val="none" w:sz="0" w:space="0" w:color="auto"/>
                                                                                <w:right w:val="none" w:sz="0" w:space="0" w:color="auto"/>
                                                                              </w:divBdr>
                                                                              <w:divsChild>
                                                                                <w:div w:id="1468162806">
                                                                                  <w:marLeft w:val="0"/>
                                                                                  <w:marRight w:val="0"/>
                                                                                  <w:marTop w:val="0"/>
                                                                                  <w:marBottom w:val="0"/>
                                                                                  <w:divBdr>
                                                                                    <w:top w:val="none" w:sz="0" w:space="0" w:color="auto"/>
                                                                                    <w:left w:val="none" w:sz="0" w:space="0" w:color="auto"/>
                                                                                    <w:bottom w:val="none" w:sz="0" w:space="0" w:color="auto"/>
                                                                                    <w:right w:val="none" w:sz="0" w:space="0" w:color="auto"/>
                                                                                  </w:divBdr>
                                                                                </w:div>
                                                                                <w:div w:id="6301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3518">
                                                                          <w:marLeft w:val="0"/>
                                                                          <w:marRight w:val="0"/>
                                                                          <w:marTop w:val="0"/>
                                                                          <w:marBottom w:val="0"/>
                                                                          <w:divBdr>
                                                                            <w:top w:val="none" w:sz="0" w:space="0" w:color="auto"/>
                                                                            <w:left w:val="none" w:sz="0" w:space="0" w:color="auto"/>
                                                                            <w:bottom w:val="none" w:sz="0" w:space="0" w:color="auto"/>
                                                                            <w:right w:val="none" w:sz="0" w:space="0" w:color="auto"/>
                                                                          </w:divBdr>
                                                                        </w:div>
                                                                        <w:div w:id="302275412">
                                                                          <w:marLeft w:val="0"/>
                                                                          <w:marRight w:val="0"/>
                                                                          <w:marTop w:val="0"/>
                                                                          <w:marBottom w:val="0"/>
                                                                          <w:divBdr>
                                                                            <w:top w:val="none" w:sz="0" w:space="0" w:color="auto"/>
                                                                            <w:left w:val="none" w:sz="0" w:space="0" w:color="auto"/>
                                                                            <w:bottom w:val="none" w:sz="0" w:space="0" w:color="auto"/>
                                                                            <w:right w:val="none" w:sz="0" w:space="0" w:color="auto"/>
                                                                          </w:divBdr>
                                                                        </w:div>
                                                                        <w:div w:id="1382093421">
                                                                          <w:marLeft w:val="0"/>
                                                                          <w:marRight w:val="0"/>
                                                                          <w:marTop w:val="0"/>
                                                                          <w:marBottom w:val="0"/>
                                                                          <w:divBdr>
                                                                            <w:top w:val="none" w:sz="0" w:space="0" w:color="auto"/>
                                                                            <w:left w:val="none" w:sz="0" w:space="0" w:color="auto"/>
                                                                            <w:bottom w:val="none" w:sz="0" w:space="0" w:color="auto"/>
                                                                            <w:right w:val="none" w:sz="0" w:space="0" w:color="auto"/>
                                                                          </w:divBdr>
                                                                        </w:div>
                                                                        <w:div w:id="16222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740634">
      <w:bodyDiv w:val="1"/>
      <w:marLeft w:val="0"/>
      <w:marRight w:val="0"/>
      <w:marTop w:val="0"/>
      <w:marBottom w:val="0"/>
      <w:divBdr>
        <w:top w:val="none" w:sz="0" w:space="0" w:color="auto"/>
        <w:left w:val="none" w:sz="0" w:space="0" w:color="auto"/>
        <w:bottom w:val="none" w:sz="0" w:space="0" w:color="auto"/>
        <w:right w:val="none" w:sz="0" w:space="0" w:color="auto"/>
      </w:divBdr>
      <w:divsChild>
        <w:div w:id="154149278">
          <w:marLeft w:val="0"/>
          <w:marRight w:val="0"/>
          <w:marTop w:val="0"/>
          <w:marBottom w:val="0"/>
          <w:divBdr>
            <w:top w:val="none" w:sz="0" w:space="0" w:color="auto"/>
            <w:left w:val="none" w:sz="0" w:space="0" w:color="auto"/>
            <w:bottom w:val="none" w:sz="0" w:space="0" w:color="auto"/>
            <w:right w:val="none" w:sz="0" w:space="0" w:color="auto"/>
          </w:divBdr>
        </w:div>
        <w:div w:id="960960040">
          <w:marLeft w:val="0"/>
          <w:marRight w:val="0"/>
          <w:marTop w:val="0"/>
          <w:marBottom w:val="0"/>
          <w:divBdr>
            <w:top w:val="none" w:sz="0" w:space="0" w:color="auto"/>
            <w:left w:val="none" w:sz="0" w:space="0" w:color="auto"/>
            <w:bottom w:val="none" w:sz="0" w:space="0" w:color="auto"/>
            <w:right w:val="none" w:sz="0" w:space="0" w:color="auto"/>
          </w:divBdr>
        </w:div>
        <w:div w:id="1367481711">
          <w:marLeft w:val="0"/>
          <w:marRight w:val="0"/>
          <w:marTop w:val="0"/>
          <w:marBottom w:val="0"/>
          <w:divBdr>
            <w:top w:val="none" w:sz="0" w:space="0" w:color="auto"/>
            <w:left w:val="none" w:sz="0" w:space="0" w:color="auto"/>
            <w:bottom w:val="none" w:sz="0" w:space="0" w:color="auto"/>
            <w:right w:val="none" w:sz="0" w:space="0" w:color="auto"/>
          </w:divBdr>
        </w:div>
        <w:div w:id="972950919">
          <w:marLeft w:val="0"/>
          <w:marRight w:val="0"/>
          <w:marTop w:val="0"/>
          <w:marBottom w:val="0"/>
          <w:divBdr>
            <w:top w:val="none" w:sz="0" w:space="0" w:color="auto"/>
            <w:left w:val="none" w:sz="0" w:space="0" w:color="auto"/>
            <w:bottom w:val="none" w:sz="0" w:space="0" w:color="auto"/>
            <w:right w:val="none" w:sz="0" w:space="0" w:color="auto"/>
          </w:divBdr>
        </w:div>
      </w:divsChild>
    </w:div>
    <w:div w:id="452988786">
      <w:bodyDiv w:val="1"/>
      <w:marLeft w:val="0"/>
      <w:marRight w:val="0"/>
      <w:marTop w:val="0"/>
      <w:marBottom w:val="0"/>
      <w:divBdr>
        <w:top w:val="none" w:sz="0" w:space="0" w:color="auto"/>
        <w:left w:val="none" w:sz="0" w:space="0" w:color="auto"/>
        <w:bottom w:val="none" w:sz="0" w:space="0" w:color="auto"/>
        <w:right w:val="none" w:sz="0" w:space="0" w:color="auto"/>
      </w:divBdr>
      <w:divsChild>
        <w:div w:id="1941835577">
          <w:marLeft w:val="0"/>
          <w:marRight w:val="0"/>
          <w:marTop w:val="150"/>
          <w:marBottom w:val="0"/>
          <w:divBdr>
            <w:top w:val="none" w:sz="0" w:space="0" w:color="auto"/>
            <w:left w:val="none" w:sz="0" w:space="0" w:color="auto"/>
            <w:bottom w:val="none" w:sz="0" w:space="0" w:color="auto"/>
            <w:right w:val="none" w:sz="0" w:space="0" w:color="auto"/>
          </w:divBdr>
          <w:divsChild>
            <w:div w:id="1936160769">
              <w:marLeft w:val="2"/>
              <w:marRight w:val="2"/>
              <w:marTop w:val="0"/>
              <w:marBottom w:val="0"/>
              <w:divBdr>
                <w:top w:val="none" w:sz="0" w:space="0" w:color="auto"/>
                <w:left w:val="none" w:sz="0" w:space="0" w:color="auto"/>
                <w:bottom w:val="none" w:sz="0" w:space="0" w:color="auto"/>
                <w:right w:val="none" w:sz="0" w:space="0" w:color="auto"/>
              </w:divBdr>
              <w:divsChild>
                <w:div w:id="142891204">
                  <w:marLeft w:val="0"/>
                  <w:marRight w:val="0"/>
                  <w:marTop w:val="0"/>
                  <w:marBottom w:val="0"/>
                  <w:divBdr>
                    <w:top w:val="none" w:sz="0" w:space="0" w:color="auto"/>
                    <w:left w:val="none" w:sz="0" w:space="0" w:color="auto"/>
                    <w:bottom w:val="none" w:sz="0" w:space="0" w:color="auto"/>
                    <w:right w:val="none" w:sz="0" w:space="0" w:color="auto"/>
                  </w:divBdr>
                  <w:divsChild>
                    <w:div w:id="926113599">
                      <w:marLeft w:val="0"/>
                      <w:marRight w:val="0"/>
                      <w:marTop w:val="0"/>
                      <w:marBottom w:val="0"/>
                      <w:divBdr>
                        <w:top w:val="none" w:sz="0" w:space="0" w:color="auto"/>
                        <w:left w:val="none" w:sz="0" w:space="0" w:color="auto"/>
                        <w:bottom w:val="none" w:sz="0" w:space="0" w:color="auto"/>
                        <w:right w:val="none" w:sz="0" w:space="0" w:color="auto"/>
                      </w:divBdr>
                      <w:divsChild>
                        <w:div w:id="75060311">
                          <w:marLeft w:val="0"/>
                          <w:marRight w:val="0"/>
                          <w:marTop w:val="0"/>
                          <w:marBottom w:val="0"/>
                          <w:divBdr>
                            <w:top w:val="none" w:sz="0" w:space="0" w:color="auto"/>
                            <w:left w:val="none" w:sz="0" w:space="0" w:color="auto"/>
                            <w:bottom w:val="none" w:sz="0" w:space="0" w:color="auto"/>
                            <w:right w:val="none" w:sz="0" w:space="0" w:color="auto"/>
                          </w:divBdr>
                          <w:divsChild>
                            <w:div w:id="1047340949">
                              <w:marLeft w:val="0"/>
                              <w:marRight w:val="0"/>
                              <w:marTop w:val="0"/>
                              <w:marBottom w:val="0"/>
                              <w:divBdr>
                                <w:top w:val="none" w:sz="0" w:space="0" w:color="auto"/>
                                <w:left w:val="none" w:sz="0" w:space="0" w:color="auto"/>
                                <w:bottom w:val="none" w:sz="0" w:space="0" w:color="auto"/>
                                <w:right w:val="none" w:sz="0" w:space="0" w:color="auto"/>
                              </w:divBdr>
                              <w:divsChild>
                                <w:div w:id="163866246">
                                  <w:marLeft w:val="0"/>
                                  <w:marRight w:val="0"/>
                                  <w:marTop w:val="0"/>
                                  <w:marBottom w:val="0"/>
                                  <w:divBdr>
                                    <w:top w:val="none" w:sz="0" w:space="0" w:color="auto"/>
                                    <w:left w:val="none" w:sz="0" w:space="0" w:color="auto"/>
                                    <w:bottom w:val="none" w:sz="0" w:space="0" w:color="auto"/>
                                    <w:right w:val="none" w:sz="0" w:space="0" w:color="auto"/>
                                  </w:divBdr>
                                  <w:divsChild>
                                    <w:div w:id="649483740">
                                      <w:marLeft w:val="0"/>
                                      <w:marRight w:val="0"/>
                                      <w:marTop w:val="0"/>
                                      <w:marBottom w:val="0"/>
                                      <w:divBdr>
                                        <w:top w:val="none" w:sz="0" w:space="0" w:color="auto"/>
                                        <w:left w:val="none" w:sz="0" w:space="0" w:color="auto"/>
                                        <w:bottom w:val="none" w:sz="0" w:space="0" w:color="auto"/>
                                        <w:right w:val="none" w:sz="0" w:space="0" w:color="auto"/>
                                      </w:divBdr>
                                      <w:divsChild>
                                        <w:div w:id="2034574900">
                                          <w:marLeft w:val="0"/>
                                          <w:marRight w:val="0"/>
                                          <w:marTop w:val="0"/>
                                          <w:marBottom w:val="0"/>
                                          <w:divBdr>
                                            <w:top w:val="none" w:sz="0" w:space="0" w:color="auto"/>
                                            <w:left w:val="none" w:sz="0" w:space="0" w:color="auto"/>
                                            <w:bottom w:val="none" w:sz="0" w:space="0" w:color="auto"/>
                                            <w:right w:val="none" w:sz="0" w:space="0" w:color="auto"/>
                                          </w:divBdr>
                                          <w:divsChild>
                                            <w:div w:id="1270698916">
                                              <w:marLeft w:val="0"/>
                                              <w:marRight w:val="0"/>
                                              <w:marTop w:val="0"/>
                                              <w:marBottom w:val="0"/>
                                              <w:divBdr>
                                                <w:top w:val="none" w:sz="0" w:space="0" w:color="auto"/>
                                                <w:left w:val="none" w:sz="0" w:space="0" w:color="auto"/>
                                                <w:bottom w:val="none" w:sz="0" w:space="0" w:color="auto"/>
                                                <w:right w:val="none" w:sz="0" w:space="0" w:color="auto"/>
                                              </w:divBdr>
                                              <w:divsChild>
                                                <w:div w:id="1370454350">
                                                  <w:marLeft w:val="0"/>
                                                  <w:marRight w:val="0"/>
                                                  <w:marTop w:val="0"/>
                                                  <w:marBottom w:val="0"/>
                                                  <w:divBdr>
                                                    <w:top w:val="none" w:sz="0" w:space="0" w:color="auto"/>
                                                    <w:left w:val="none" w:sz="0" w:space="0" w:color="auto"/>
                                                    <w:bottom w:val="none" w:sz="0" w:space="0" w:color="auto"/>
                                                    <w:right w:val="none" w:sz="0" w:space="0" w:color="auto"/>
                                                  </w:divBdr>
                                                </w:div>
                                              </w:divsChild>
                                            </w:div>
                                            <w:div w:id="166753123">
                                              <w:marLeft w:val="0"/>
                                              <w:marRight w:val="0"/>
                                              <w:marTop w:val="0"/>
                                              <w:marBottom w:val="0"/>
                                              <w:divBdr>
                                                <w:top w:val="none" w:sz="0" w:space="0" w:color="auto"/>
                                                <w:left w:val="none" w:sz="0" w:space="0" w:color="auto"/>
                                                <w:bottom w:val="none" w:sz="0" w:space="0" w:color="auto"/>
                                                <w:right w:val="none" w:sz="0" w:space="0" w:color="auto"/>
                                              </w:divBdr>
                                              <w:divsChild>
                                                <w:div w:id="1432703662">
                                                  <w:marLeft w:val="0"/>
                                                  <w:marRight w:val="0"/>
                                                  <w:marTop w:val="0"/>
                                                  <w:marBottom w:val="0"/>
                                                  <w:divBdr>
                                                    <w:top w:val="none" w:sz="0" w:space="0" w:color="auto"/>
                                                    <w:left w:val="none" w:sz="0" w:space="0" w:color="auto"/>
                                                    <w:bottom w:val="none" w:sz="0" w:space="0" w:color="auto"/>
                                                    <w:right w:val="none" w:sz="0" w:space="0" w:color="auto"/>
                                                  </w:divBdr>
                                                </w:div>
                                              </w:divsChild>
                                            </w:div>
                                            <w:div w:id="2064910567">
                                              <w:marLeft w:val="0"/>
                                              <w:marRight w:val="0"/>
                                              <w:marTop w:val="0"/>
                                              <w:marBottom w:val="0"/>
                                              <w:divBdr>
                                                <w:top w:val="none" w:sz="0" w:space="0" w:color="auto"/>
                                                <w:left w:val="none" w:sz="0" w:space="0" w:color="auto"/>
                                                <w:bottom w:val="none" w:sz="0" w:space="0" w:color="auto"/>
                                                <w:right w:val="none" w:sz="0" w:space="0" w:color="auto"/>
                                              </w:divBdr>
                                              <w:divsChild>
                                                <w:div w:id="1321084473">
                                                  <w:marLeft w:val="0"/>
                                                  <w:marRight w:val="0"/>
                                                  <w:marTop w:val="0"/>
                                                  <w:marBottom w:val="0"/>
                                                  <w:divBdr>
                                                    <w:top w:val="none" w:sz="0" w:space="0" w:color="auto"/>
                                                    <w:left w:val="none" w:sz="0" w:space="0" w:color="auto"/>
                                                    <w:bottom w:val="none" w:sz="0" w:space="0" w:color="auto"/>
                                                    <w:right w:val="none" w:sz="0" w:space="0" w:color="auto"/>
                                                  </w:divBdr>
                                                </w:div>
                                              </w:divsChild>
                                            </w:div>
                                            <w:div w:id="1993484199">
                                              <w:marLeft w:val="0"/>
                                              <w:marRight w:val="0"/>
                                              <w:marTop w:val="0"/>
                                              <w:marBottom w:val="0"/>
                                              <w:divBdr>
                                                <w:top w:val="none" w:sz="0" w:space="0" w:color="auto"/>
                                                <w:left w:val="none" w:sz="0" w:space="0" w:color="auto"/>
                                                <w:bottom w:val="none" w:sz="0" w:space="0" w:color="auto"/>
                                                <w:right w:val="none" w:sz="0" w:space="0" w:color="auto"/>
                                              </w:divBdr>
                                              <w:divsChild>
                                                <w:div w:id="2129006102">
                                                  <w:marLeft w:val="0"/>
                                                  <w:marRight w:val="0"/>
                                                  <w:marTop w:val="0"/>
                                                  <w:marBottom w:val="0"/>
                                                  <w:divBdr>
                                                    <w:top w:val="none" w:sz="0" w:space="0" w:color="auto"/>
                                                    <w:left w:val="none" w:sz="0" w:space="0" w:color="auto"/>
                                                    <w:bottom w:val="none" w:sz="0" w:space="0" w:color="auto"/>
                                                    <w:right w:val="none" w:sz="0" w:space="0" w:color="auto"/>
                                                  </w:divBdr>
                                                </w:div>
                                              </w:divsChild>
                                            </w:div>
                                            <w:div w:id="1116170520">
                                              <w:marLeft w:val="0"/>
                                              <w:marRight w:val="0"/>
                                              <w:marTop w:val="0"/>
                                              <w:marBottom w:val="0"/>
                                              <w:divBdr>
                                                <w:top w:val="none" w:sz="0" w:space="0" w:color="auto"/>
                                                <w:left w:val="none" w:sz="0" w:space="0" w:color="auto"/>
                                                <w:bottom w:val="none" w:sz="0" w:space="0" w:color="auto"/>
                                                <w:right w:val="none" w:sz="0" w:space="0" w:color="auto"/>
                                              </w:divBdr>
                                              <w:divsChild>
                                                <w:div w:id="1241913290">
                                                  <w:marLeft w:val="0"/>
                                                  <w:marRight w:val="0"/>
                                                  <w:marTop w:val="0"/>
                                                  <w:marBottom w:val="0"/>
                                                  <w:divBdr>
                                                    <w:top w:val="none" w:sz="0" w:space="0" w:color="auto"/>
                                                    <w:left w:val="none" w:sz="0" w:space="0" w:color="auto"/>
                                                    <w:bottom w:val="none" w:sz="0" w:space="0" w:color="auto"/>
                                                    <w:right w:val="none" w:sz="0" w:space="0" w:color="auto"/>
                                                  </w:divBdr>
                                                </w:div>
                                              </w:divsChild>
                                            </w:div>
                                            <w:div w:id="1743143193">
                                              <w:marLeft w:val="0"/>
                                              <w:marRight w:val="0"/>
                                              <w:marTop w:val="0"/>
                                              <w:marBottom w:val="0"/>
                                              <w:divBdr>
                                                <w:top w:val="none" w:sz="0" w:space="0" w:color="auto"/>
                                                <w:left w:val="none" w:sz="0" w:space="0" w:color="auto"/>
                                                <w:bottom w:val="none" w:sz="0" w:space="0" w:color="auto"/>
                                                <w:right w:val="none" w:sz="0" w:space="0" w:color="auto"/>
                                              </w:divBdr>
                                              <w:divsChild>
                                                <w:div w:id="13802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719254">
      <w:bodyDiv w:val="1"/>
      <w:marLeft w:val="0"/>
      <w:marRight w:val="0"/>
      <w:marTop w:val="0"/>
      <w:marBottom w:val="0"/>
      <w:divBdr>
        <w:top w:val="none" w:sz="0" w:space="0" w:color="auto"/>
        <w:left w:val="none" w:sz="0" w:space="0" w:color="auto"/>
        <w:bottom w:val="none" w:sz="0" w:space="0" w:color="auto"/>
        <w:right w:val="none" w:sz="0" w:space="0" w:color="auto"/>
      </w:divBdr>
      <w:divsChild>
        <w:div w:id="45685129">
          <w:marLeft w:val="0"/>
          <w:marRight w:val="0"/>
          <w:marTop w:val="0"/>
          <w:marBottom w:val="0"/>
          <w:divBdr>
            <w:top w:val="none" w:sz="0" w:space="0" w:color="auto"/>
            <w:left w:val="none" w:sz="0" w:space="0" w:color="auto"/>
            <w:bottom w:val="none" w:sz="0" w:space="0" w:color="auto"/>
            <w:right w:val="none" w:sz="0" w:space="0" w:color="auto"/>
          </w:divBdr>
          <w:divsChild>
            <w:div w:id="1273055741">
              <w:marLeft w:val="0"/>
              <w:marRight w:val="0"/>
              <w:marTop w:val="0"/>
              <w:marBottom w:val="0"/>
              <w:divBdr>
                <w:top w:val="none" w:sz="0" w:space="0" w:color="auto"/>
                <w:left w:val="none" w:sz="0" w:space="0" w:color="auto"/>
                <w:bottom w:val="none" w:sz="0" w:space="0" w:color="auto"/>
                <w:right w:val="none" w:sz="0" w:space="0" w:color="auto"/>
              </w:divBdr>
              <w:divsChild>
                <w:div w:id="224950639">
                  <w:marLeft w:val="0"/>
                  <w:marRight w:val="0"/>
                  <w:marTop w:val="0"/>
                  <w:marBottom w:val="0"/>
                  <w:divBdr>
                    <w:top w:val="none" w:sz="0" w:space="0" w:color="auto"/>
                    <w:left w:val="none" w:sz="0" w:space="0" w:color="auto"/>
                    <w:bottom w:val="none" w:sz="0" w:space="0" w:color="auto"/>
                    <w:right w:val="none" w:sz="0" w:space="0" w:color="auto"/>
                  </w:divBdr>
                  <w:divsChild>
                    <w:div w:id="522785623">
                      <w:marLeft w:val="0"/>
                      <w:marRight w:val="0"/>
                      <w:marTop w:val="0"/>
                      <w:marBottom w:val="0"/>
                      <w:divBdr>
                        <w:top w:val="none" w:sz="0" w:space="0" w:color="auto"/>
                        <w:left w:val="none" w:sz="0" w:space="0" w:color="auto"/>
                        <w:bottom w:val="none" w:sz="0" w:space="0" w:color="auto"/>
                        <w:right w:val="none" w:sz="0" w:space="0" w:color="auto"/>
                      </w:divBdr>
                      <w:divsChild>
                        <w:div w:id="438528705">
                          <w:marLeft w:val="0"/>
                          <w:marRight w:val="0"/>
                          <w:marTop w:val="0"/>
                          <w:marBottom w:val="0"/>
                          <w:divBdr>
                            <w:top w:val="none" w:sz="0" w:space="0" w:color="auto"/>
                            <w:left w:val="none" w:sz="0" w:space="0" w:color="auto"/>
                            <w:bottom w:val="none" w:sz="0" w:space="0" w:color="auto"/>
                            <w:right w:val="none" w:sz="0" w:space="0" w:color="auto"/>
                          </w:divBdr>
                          <w:divsChild>
                            <w:div w:id="1827167079">
                              <w:marLeft w:val="0"/>
                              <w:marRight w:val="0"/>
                              <w:marTop w:val="0"/>
                              <w:marBottom w:val="0"/>
                              <w:divBdr>
                                <w:top w:val="none" w:sz="0" w:space="0" w:color="auto"/>
                                <w:left w:val="none" w:sz="0" w:space="0" w:color="auto"/>
                                <w:bottom w:val="none" w:sz="0" w:space="0" w:color="auto"/>
                                <w:right w:val="none" w:sz="0" w:space="0" w:color="auto"/>
                              </w:divBdr>
                              <w:divsChild>
                                <w:div w:id="1310406145">
                                  <w:marLeft w:val="0"/>
                                  <w:marRight w:val="0"/>
                                  <w:marTop w:val="0"/>
                                  <w:marBottom w:val="0"/>
                                  <w:divBdr>
                                    <w:top w:val="none" w:sz="0" w:space="0" w:color="auto"/>
                                    <w:left w:val="none" w:sz="0" w:space="0" w:color="auto"/>
                                    <w:bottom w:val="none" w:sz="0" w:space="0" w:color="auto"/>
                                    <w:right w:val="none" w:sz="0" w:space="0" w:color="auto"/>
                                  </w:divBdr>
                                  <w:divsChild>
                                    <w:div w:id="869337674">
                                      <w:marLeft w:val="0"/>
                                      <w:marRight w:val="0"/>
                                      <w:marTop w:val="0"/>
                                      <w:marBottom w:val="0"/>
                                      <w:divBdr>
                                        <w:top w:val="none" w:sz="0" w:space="0" w:color="auto"/>
                                        <w:left w:val="none" w:sz="0" w:space="0" w:color="auto"/>
                                        <w:bottom w:val="none" w:sz="0" w:space="0" w:color="auto"/>
                                        <w:right w:val="none" w:sz="0" w:space="0" w:color="auto"/>
                                      </w:divBdr>
                                      <w:divsChild>
                                        <w:div w:id="1446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792924">
      <w:bodyDiv w:val="1"/>
      <w:marLeft w:val="0"/>
      <w:marRight w:val="0"/>
      <w:marTop w:val="0"/>
      <w:marBottom w:val="0"/>
      <w:divBdr>
        <w:top w:val="none" w:sz="0" w:space="0" w:color="auto"/>
        <w:left w:val="none" w:sz="0" w:space="0" w:color="auto"/>
        <w:bottom w:val="none" w:sz="0" w:space="0" w:color="auto"/>
        <w:right w:val="none" w:sz="0" w:space="0" w:color="auto"/>
      </w:divBdr>
      <w:divsChild>
        <w:div w:id="861283853">
          <w:marLeft w:val="0"/>
          <w:marRight w:val="0"/>
          <w:marTop w:val="0"/>
          <w:marBottom w:val="0"/>
          <w:divBdr>
            <w:top w:val="none" w:sz="0" w:space="0" w:color="auto"/>
            <w:left w:val="none" w:sz="0" w:space="0" w:color="auto"/>
            <w:bottom w:val="none" w:sz="0" w:space="0" w:color="auto"/>
            <w:right w:val="none" w:sz="0" w:space="0" w:color="auto"/>
          </w:divBdr>
        </w:div>
        <w:div w:id="229075152">
          <w:marLeft w:val="0"/>
          <w:marRight w:val="0"/>
          <w:marTop w:val="360"/>
          <w:marBottom w:val="360"/>
          <w:divBdr>
            <w:top w:val="none" w:sz="0" w:space="0" w:color="auto"/>
            <w:left w:val="none" w:sz="0" w:space="0" w:color="auto"/>
            <w:bottom w:val="none" w:sz="0" w:space="0" w:color="auto"/>
            <w:right w:val="none" w:sz="0" w:space="0" w:color="auto"/>
          </w:divBdr>
          <w:divsChild>
            <w:div w:id="14395658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55835606">
      <w:bodyDiv w:val="1"/>
      <w:marLeft w:val="0"/>
      <w:marRight w:val="0"/>
      <w:marTop w:val="100"/>
      <w:marBottom w:val="100"/>
      <w:divBdr>
        <w:top w:val="none" w:sz="0" w:space="0" w:color="auto"/>
        <w:left w:val="none" w:sz="0" w:space="0" w:color="auto"/>
        <w:bottom w:val="none" w:sz="0" w:space="0" w:color="auto"/>
        <w:right w:val="none" w:sz="0" w:space="0" w:color="auto"/>
      </w:divBdr>
      <w:divsChild>
        <w:div w:id="2061662951">
          <w:marLeft w:val="0"/>
          <w:marRight w:val="0"/>
          <w:marTop w:val="0"/>
          <w:marBottom w:val="0"/>
          <w:divBdr>
            <w:top w:val="none" w:sz="0" w:space="0" w:color="auto"/>
            <w:left w:val="none" w:sz="0" w:space="0" w:color="auto"/>
            <w:bottom w:val="none" w:sz="0" w:space="0" w:color="auto"/>
            <w:right w:val="none" w:sz="0" w:space="0" w:color="auto"/>
          </w:divBdr>
          <w:divsChild>
            <w:div w:id="1915166251">
              <w:marLeft w:val="0"/>
              <w:marRight w:val="0"/>
              <w:marTop w:val="0"/>
              <w:marBottom w:val="0"/>
              <w:divBdr>
                <w:top w:val="none" w:sz="0" w:space="0" w:color="auto"/>
                <w:left w:val="none" w:sz="0" w:space="0" w:color="auto"/>
                <w:bottom w:val="none" w:sz="0" w:space="0" w:color="auto"/>
                <w:right w:val="none" w:sz="0" w:space="0" w:color="auto"/>
              </w:divBdr>
              <w:divsChild>
                <w:div w:id="164323648">
                  <w:marLeft w:val="0"/>
                  <w:marRight w:val="0"/>
                  <w:marTop w:val="0"/>
                  <w:marBottom w:val="0"/>
                  <w:divBdr>
                    <w:top w:val="none" w:sz="0" w:space="0" w:color="auto"/>
                    <w:left w:val="single" w:sz="6" w:space="0" w:color="0B5092"/>
                    <w:bottom w:val="none" w:sz="0" w:space="0" w:color="auto"/>
                    <w:right w:val="single" w:sz="6" w:space="0" w:color="0B5092"/>
                  </w:divBdr>
                  <w:divsChild>
                    <w:div w:id="1771580129">
                      <w:marLeft w:val="0"/>
                      <w:marRight w:val="0"/>
                      <w:marTop w:val="0"/>
                      <w:marBottom w:val="0"/>
                      <w:divBdr>
                        <w:top w:val="none" w:sz="0" w:space="0" w:color="auto"/>
                        <w:left w:val="none" w:sz="0" w:space="0" w:color="auto"/>
                        <w:bottom w:val="none" w:sz="0" w:space="0" w:color="auto"/>
                        <w:right w:val="none" w:sz="0" w:space="0" w:color="auto"/>
                      </w:divBdr>
                      <w:divsChild>
                        <w:div w:id="651758305">
                          <w:marLeft w:val="0"/>
                          <w:marRight w:val="0"/>
                          <w:marTop w:val="0"/>
                          <w:marBottom w:val="0"/>
                          <w:divBdr>
                            <w:top w:val="none" w:sz="0" w:space="0" w:color="auto"/>
                            <w:left w:val="none" w:sz="0" w:space="0" w:color="auto"/>
                            <w:bottom w:val="none" w:sz="0" w:space="0" w:color="auto"/>
                            <w:right w:val="none" w:sz="0" w:space="0" w:color="auto"/>
                          </w:divBdr>
                          <w:divsChild>
                            <w:div w:id="656422029">
                              <w:marLeft w:val="0"/>
                              <w:marRight w:val="0"/>
                              <w:marTop w:val="0"/>
                              <w:marBottom w:val="0"/>
                              <w:divBdr>
                                <w:top w:val="none" w:sz="0" w:space="0" w:color="auto"/>
                                <w:left w:val="none" w:sz="0" w:space="0" w:color="auto"/>
                                <w:bottom w:val="none" w:sz="0" w:space="0" w:color="auto"/>
                                <w:right w:val="none" w:sz="0" w:space="0" w:color="auto"/>
                              </w:divBdr>
                              <w:divsChild>
                                <w:div w:id="1689020751">
                                  <w:marLeft w:val="0"/>
                                  <w:marRight w:val="0"/>
                                  <w:marTop w:val="0"/>
                                  <w:marBottom w:val="0"/>
                                  <w:divBdr>
                                    <w:top w:val="none" w:sz="0" w:space="0" w:color="auto"/>
                                    <w:left w:val="none" w:sz="0" w:space="0" w:color="auto"/>
                                    <w:bottom w:val="none" w:sz="0" w:space="0" w:color="auto"/>
                                    <w:right w:val="none" w:sz="0" w:space="0" w:color="auto"/>
                                  </w:divBdr>
                                  <w:divsChild>
                                    <w:div w:id="1967930905">
                                      <w:marLeft w:val="0"/>
                                      <w:marRight w:val="0"/>
                                      <w:marTop w:val="0"/>
                                      <w:marBottom w:val="0"/>
                                      <w:divBdr>
                                        <w:top w:val="none" w:sz="0" w:space="0" w:color="auto"/>
                                        <w:left w:val="none" w:sz="0" w:space="0" w:color="auto"/>
                                        <w:bottom w:val="none" w:sz="0" w:space="0" w:color="auto"/>
                                        <w:right w:val="none" w:sz="0" w:space="0" w:color="auto"/>
                                      </w:divBdr>
                                      <w:divsChild>
                                        <w:div w:id="1622613120">
                                          <w:marLeft w:val="0"/>
                                          <w:marRight w:val="0"/>
                                          <w:marTop w:val="0"/>
                                          <w:marBottom w:val="0"/>
                                          <w:divBdr>
                                            <w:top w:val="none" w:sz="0" w:space="0" w:color="auto"/>
                                            <w:left w:val="none" w:sz="0" w:space="0" w:color="auto"/>
                                            <w:bottom w:val="none" w:sz="0" w:space="0" w:color="auto"/>
                                            <w:right w:val="none" w:sz="0" w:space="0" w:color="auto"/>
                                          </w:divBdr>
                                          <w:divsChild>
                                            <w:div w:id="690573747">
                                              <w:marLeft w:val="120"/>
                                              <w:marRight w:val="120"/>
                                              <w:marTop w:val="0"/>
                                              <w:marBottom w:val="120"/>
                                              <w:divBdr>
                                                <w:top w:val="none" w:sz="0" w:space="0" w:color="auto"/>
                                                <w:left w:val="none" w:sz="0" w:space="0" w:color="auto"/>
                                                <w:bottom w:val="none" w:sz="0" w:space="0" w:color="auto"/>
                                                <w:right w:val="none" w:sz="0" w:space="0" w:color="auto"/>
                                              </w:divBdr>
                                              <w:divsChild>
                                                <w:div w:id="1287390559">
                                                  <w:marLeft w:val="0"/>
                                                  <w:marRight w:val="0"/>
                                                  <w:marTop w:val="0"/>
                                                  <w:marBottom w:val="0"/>
                                                  <w:divBdr>
                                                    <w:top w:val="none" w:sz="0" w:space="0" w:color="auto"/>
                                                    <w:left w:val="none" w:sz="0" w:space="0" w:color="auto"/>
                                                    <w:bottom w:val="none" w:sz="0" w:space="0" w:color="auto"/>
                                                    <w:right w:val="none" w:sz="0" w:space="0" w:color="auto"/>
                                                  </w:divBdr>
                                                  <w:divsChild>
                                                    <w:div w:id="425074128">
                                                      <w:marLeft w:val="0"/>
                                                      <w:marRight w:val="90"/>
                                                      <w:marTop w:val="0"/>
                                                      <w:marBottom w:val="0"/>
                                                      <w:divBdr>
                                                        <w:top w:val="none" w:sz="0" w:space="0" w:color="auto"/>
                                                        <w:left w:val="none" w:sz="0" w:space="0" w:color="auto"/>
                                                        <w:bottom w:val="none" w:sz="0" w:space="0" w:color="auto"/>
                                                        <w:right w:val="none" w:sz="0" w:space="0" w:color="auto"/>
                                                      </w:divBdr>
                                                      <w:divsChild>
                                                        <w:div w:id="21984328">
                                                          <w:marLeft w:val="60"/>
                                                          <w:marRight w:val="-90"/>
                                                          <w:marTop w:val="0"/>
                                                          <w:marBottom w:val="0"/>
                                                          <w:divBdr>
                                                            <w:top w:val="none" w:sz="0" w:space="0" w:color="auto"/>
                                                            <w:left w:val="none" w:sz="0" w:space="0" w:color="auto"/>
                                                            <w:bottom w:val="none" w:sz="0" w:space="0" w:color="auto"/>
                                                            <w:right w:val="none" w:sz="0" w:space="0" w:color="auto"/>
                                                          </w:divBdr>
                                                          <w:divsChild>
                                                            <w:div w:id="1572933129">
                                                              <w:marLeft w:val="0"/>
                                                              <w:marRight w:val="0"/>
                                                              <w:marTop w:val="0"/>
                                                              <w:marBottom w:val="0"/>
                                                              <w:divBdr>
                                                                <w:top w:val="none" w:sz="0" w:space="0" w:color="auto"/>
                                                                <w:left w:val="none" w:sz="0" w:space="0" w:color="auto"/>
                                                                <w:bottom w:val="none" w:sz="0" w:space="0" w:color="auto"/>
                                                                <w:right w:val="none" w:sz="0" w:space="0" w:color="auto"/>
                                                              </w:divBdr>
                                                              <w:divsChild>
                                                                <w:div w:id="706564584">
                                                                  <w:marLeft w:val="0"/>
                                                                  <w:marRight w:val="0"/>
                                                                  <w:marTop w:val="0"/>
                                                                  <w:marBottom w:val="0"/>
                                                                  <w:divBdr>
                                                                    <w:top w:val="none" w:sz="0" w:space="0" w:color="auto"/>
                                                                    <w:left w:val="none" w:sz="0" w:space="0" w:color="auto"/>
                                                                    <w:bottom w:val="none" w:sz="0" w:space="0" w:color="auto"/>
                                                                    <w:right w:val="none" w:sz="0" w:space="0" w:color="auto"/>
                                                                  </w:divBdr>
                                                                  <w:divsChild>
                                                                    <w:div w:id="54818282">
                                                                      <w:marLeft w:val="0"/>
                                                                      <w:marRight w:val="0"/>
                                                                      <w:marTop w:val="0"/>
                                                                      <w:marBottom w:val="0"/>
                                                                      <w:divBdr>
                                                                        <w:top w:val="none" w:sz="0" w:space="0" w:color="auto"/>
                                                                        <w:left w:val="none" w:sz="0" w:space="0" w:color="auto"/>
                                                                        <w:bottom w:val="none" w:sz="0" w:space="0" w:color="auto"/>
                                                                        <w:right w:val="none" w:sz="0" w:space="0" w:color="auto"/>
                                                                      </w:divBdr>
                                                                      <w:divsChild>
                                                                        <w:div w:id="798110898">
                                                                          <w:marLeft w:val="0"/>
                                                                          <w:marRight w:val="0"/>
                                                                          <w:marTop w:val="0"/>
                                                                          <w:marBottom w:val="0"/>
                                                                          <w:divBdr>
                                                                            <w:top w:val="none" w:sz="0" w:space="0" w:color="auto"/>
                                                                            <w:left w:val="none" w:sz="0" w:space="0" w:color="auto"/>
                                                                            <w:bottom w:val="none" w:sz="0" w:space="0" w:color="auto"/>
                                                                            <w:right w:val="none" w:sz="0" w:space="0" w:color="auto"/>
                                                                          </w:divBdr>
                                                                        </w:div>
                                                                        <w:div w:id="730226829">
                                                                          <w:marLeft w:val="0"/>
                                                                          <w:marRight w:val="0"/>
                                                                          <w:marTop w:val="0"/>
                                                                          <w:marBottom w:val="0"/>
                                                                          <w:divBdr>
                                                                            <w:top w:val="none" w:sz="0" w:space="0" w:color="auto"/>
                                                                            <w:left w:val="none" w:sz="0" w:space="0" w:color="auto"/>
                                                                            <w:bottom w:val="none" w:sz="0" w:space="0" w:color="auto"/>
                                                                            <w:right w:val="none" w:sz="0" w:space="0" w:color="auto"/>
                                                                          </w:divBdr>
                                                                        </w:div>
                                                                        <w:div w:id="480729944">
                                                                          <w:marLeft w:val="0"/>
                                                                          <w:marRight w:val="0"/>
                                                                          <w:marTop w:val="0"/>
                                                                          <w:marBottom w:val="0"/>
                                                                          <w:divBdr>
                                                                            <w:top w:val="none" w:sz="0" w:space="0" w:color="auto"/>
                                                                            <w:left w:val="none" w:sz="0" w:space="0" w:color="auto"/>
                                                                            <w:bottom w:val="none" w:sz="0" w:space="0" w:color="auto"/>
                                                                            <w:right w:val="none" w:sz="0" w:space="0" w:color="auto"/>
                                                                          </w:divBdr>
                                                                        </w:div>
                                                                        <w:div w:id="14802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220219">
      <w:bodyDiv w:val="1"/>
      <w:marLeft w:val="0"/>
      <w:marRight w:val="0"/>
      <w:marTop w:val="0"/>
      <w:marBottom w:val="0"/>
      <w:divBdr>
        <w:top w:val="none" w:sz="0" w:space="0" w:color="auto"/>
        <w:left w:val="none" w:sz="0" w:space="0" w:color="auto"/>
        <w:bottom w:val="none" w:sz="0" w:space="0" w:color="auto"/>
        <w:right w:val="none" w:sz="0" w:space="0" w:color="auto"/>
      </w:divBdr>
      <w:divsChild>
        <w:div w:id="977144273">
          <w:marLeft w:val="0"/>
          <w:marRight w:val="0"/>
          <w:marTop w:val="0"/>
          <w:marBottom w:val="0"/>
          <w:divBdr>
            <w:top w:val="none" w:sz="0" w:space="0" w:color="auto"/>
            <w:left w:val="none" w:sz="0" w:space="0" w:color="auto"/>
            <w:bottom w:val="none" w:sz="0" w:space="0" w:color="auto"/>
            <w:right w:val="none" w:sz="0" w:space="0" w:color="auto"/>
          </w:divBdr>
          <w:divsChild>
            <w:div w:id="1464347619">
              <w:marLeft w:val="0"/>
              <w:marRight w:val="0"/>
              <w:marTop w:val="0"/>
              <w:marBottom w:val="0"/>
              <w:divBdr>
                <w:top w:val="none" w:sz="0" w:space="0" w:color="auto"/>
                <w:left w:val="none" w:sz="0" w:space="0" w:color="auto"/>
                <w:bottom w:val="none" w:sz="0" w:space="0" w:color="auto"/>
                <w:right w:val="none" w:sz="0" w:space="0" w:color="auto"/>
              </w:divBdr>
              <w:divsChild>
                <w:div w:id="377827327">
                  <w:marLeft w:val="0"/>
                  <w:marRight w:val="0"/>
                  <w:marTop w:val="0"/>
                  <w:marBottom w:val="0"/>
                  <w:divBdr>
                    <w:top w:val="none" w:sz="0" w:space="0" w:color="auto"/>
                    <w:left w:val="none" w:sz="0" w:space="0" w:color="auto"/>
                    <w:bottom w:val="none" w:sz="0" w:space="0" w:color="auto"/>
                    <w:right w:val="none" w:sz="0" w:space="0" w:color="auto"/>
                  </w:divBdr>
                  <w:divsChild>
                    <w:div w:id="665288190">
                      <w:marLeft w:val="0"/>
                      <w:marRight w:val="0"/>
                      <w:marTop w:val="0"/>
                      <w:marBottom w:val="0"/>
                      <w:divBdr>
                        <w:top w:val="none" w:sz="0" w:space="0" w:color="auto"/>
                        <w:left w:val="none" w:sz="0" w:space="0" w:color="auto"/>
                        <w:bottom w:val="none" w:sz="0" w:space="0" w:color="auto"/>
                        <w:right w:val="single" w:sz="6" w:space="7" w:color="D1D2D0"/>
                      </w:divBdr>
                      <w:divsChild>
                        <w:div w:id="965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375438">
      <w:bodyDiv w:val="1"/>
      <w:marLeft w:val="0"/>
      <w:marRight w:val="0"/>
      <w:marTop w:val="0"/>
      <w:marBottom w:val="0"/>
      <w:divBdr>
        <w:top w:val="none" w:sz="0" w:space="0" w:color="auto"/>
        <w:left w:val="none" w:sz="0" w:space="0" w:color="auto"/>
        <w:bottom w:val="none" w:sz="0" w:space="0" w:color="auto"/>
        <w:right w:val="none" w:sz="0" w:space="0" w:color="auto"/>
      </w:divBdr>
      <w:divsChild>
        <w:div w:id="1748503310">
          <w:marLeft w:val="0"/>
          <w:marRight w:val="0"/>
          <w:marTop w:val="0"/>
          <w:marBottom w:val="0"/>
          <w:divBdr>
            <w:top w:val="none" w:sz="0" w:space="0" w:color="auto"/>
            <w:left w:val="none" w:sz="0" w:space="0" w:color="auto"/>
            <w:bottom w:val="none" w:sz="0" w:space="0" w:color="auto"/>
            <w:right w:val="none" w:sz="0" w:space="0" w:color="auto"/>
          </w:divBdr>
          <w:divsChild>
            <w:div w:id="695619592">
              <w:marLeft w:val="0"/>
              <w:marRight w:val="0"/>
              <w:marTop w:val="0"/>
              <w:marBottom w:val="0"/>
              <w:divBdr>
                <w:top w:val="none" w:sz="0" w:space="0" w:color="auto"/>
                <w:left w:val="none" w:sz="0" w:space="0" w:color="auto"/>
                <w:bottom w:val="none" w:sz="0" w:space="0" w:color="auto"/>
                <w:right w:val="none" w:sz="0" w:space="0" w:color="auto"/>
              </w:divBdr>
              <w:divsChild>
                <w:div w:id="11963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4653">
      <w:bodyDiv w:val="1"/>
      <w:marLeft w:val="0"/>
      <w:marRight w:val="0"/>
      <w:marTop w:val="0"/>
      <w:marBottom w:val="0"/>
      <w:divBdr>
        <w:top w:val="none" w:sz="0" w:space="0" w:color="auto"/>
        <w:left w:val="none" w:sz="0" w:space="0" w:color="auto"/>
        <w:bottom w:val="none" w:sz="0" w:space="0" w:color="auto"/>
        <w:right w:val="none" w:sz="0" w:space="0" w:color="auto"/>
      </w:divBdr>
      <w:divsChild>
        <w:div w:id="513881613">
          <w:marLeft w:val="0"/>
          <w:marRight w:val="0"/>
          <w:marTop w:val="150"/>
          <w:marBottom w:val="0"/>
          <w:divBdr>
            <w:top w:val="none" w:sz="0" w:space="0" w:color="auto"/>
            <w:left w:val="none" w:sz="0" w:space="0" w:color="auto"/>
            <w:bottom w:val="none" w:sz="0" w:space="0" w:color="auto"/>
            <w:right w:val="none" w:sz="0" w:space="0" w:color="auto"/>
          </w:divBdr>
          <w:divsChild>
            <w:div w:id="1018433354">
              <w:marLeft w:val="2"/>
              <w:marRight w:val="2"/>
              <w:marTop w:val="0"/>
              <w:marBottom w:val="0"/>
              <w:divBdr>
                <w:top w:val="none" w:sz="0" w:space="0" w:color="auto"/>
                <w:left w:val="none" w:sz="0" w:space="0" w:color="auto"/>
                <w:bottom w:val="none" w:sz="0" w:space="0" w:color="auto"/>
                <w:right w:val="none" w:sz="0" w:space="0" w:color="auto"/>
              </w:divBdr>
              <w:divsChild>
                <w:div w:id="1440567910">
                  <w:marLeft w:val="0"/>
                  <w:marRight w:val="0"/>
                  <w:marTop w:val="0"/>
                  <w:marBottom w:val="0"/>
                  <w:divBdr>
                    <w:top w:val="none" w:sz="0" w:space="0" w:color="auto"/>
                    <w:left w:val="none" w:sz="0" w:space="0" w:color="auto"/>
                    <w:bottom w:val="none" w:sz="0" w:space="0" w:color="auto"/>
                    <w:right w:val="none" w:sz="0" w:space="0" w:color="auto"/>
                  </w:divBdr>
                  <w:divsChild>
                    <w:div w:id="468673065">
                      <w:marLeft w:val="0"/>
                      <w:marRight w:val="0"/>
                      <w:marTop w:val="0"/>
                      <w:marBottom w:val="0"/>
                      <w:divBdr>
                        <w:top w:val="none" w:sz="0" w:space="0" w:color="auto"/>
                        <w:left w:val="none" w:sz="0" w:space="0" w:color="auto"/>
                        <w:bottom w:val="none" w:sz="0" w:space="0" w:color="auto"/>
                        <w:right w:val="none" w:sz="0" w:space="0" w:color="auto"/>
                      </w:divBdr>
                      <w:divsChild>
                        <w:div w:id="1036351784">
                          <w:marLeft w:val="0"/>
                          <w:marRight w:val="0"/>
                          <w:marTop w:val="0"/>
                          <w:marBottom w:val="0"/>
                          <w:divBdr>
                            <w:top w:val="none" w:sz="0" w:space="0" w:color="auto"/>
                            <w:left w:val="none" w:sz="0" w:space="0" w:color="auto"/>
                            <w:bottom w:val="none" w:sz="0" w:space="0" w:color="auto"/>
                            <w:right w:val="none" w:sz="0" w:space="0" w:color="auto"/>
                          </w:divBdr>
                          <w:divsChild>
                            <w:div w:id="615715416">
                              <w:marLeft w:val="0"/>
                              <w:marRight w:val="0"/>
                              <w:marTop w:val="0"/>
                              <w:marBottom w:val="0"/>
                              <w:divBdr>
                                <w:top w:val="none" w:sz="0" w:space="0" w:color="auto"/>
                                <w:left w:val="none" w:sz="0" w:space="0" w:color="auto"/>
                                <w:bottom w:val="none" w:sz="0" w:space="0" w:color="auto"/>
                                <w:right w:val="none" w:sz="0" w:space="0" w:color="auto"/>
                              </w:divBdr>
                              <w:divsChild>
                                <w:div w:id="2039819094">
                                  <w:marLeft w:val="0"/>
                                  <w:marRight w:val="0"/>
                                  <w:marTop w:val="0"/>
                                  <w:marBottom w:val="0"/>
                                  <w:divBdr>
                                    <w:top w:val="none" w:sz="0" w:space="0" w:color="auto"/>
                                    <w:left w:val="none" w:sz="0" w:space="0" w:color="auto"/>
                                    <w:bottom w:val="none" w:sz="0" w:space="0" w:color="auto"/>
                                    <w:right w:val="none" w:sz="0" w:space="0" w:color="auto"/>
                                  </w:divBdr>
                                  <w:divsChild>
                                    <w:div w:id="788859221">
                                      <w:marLeft w:val="0"/>
                                      <w:marRight w:val="0"/>
                                      <w:marTop w:val="0"/>
                                      <w:marBottom w:val="0"/>
                                      <w:divBdr>
                                        <w:top w:val="none" w:sz="0" w:space="0" w:color="auto"/>
                                        <w:left w:val="none" w:sz="0" w:space="0" w:color="auto"/>
                                        <w:bottom w:val="none" w:sz="0" w:space="0" w:color="auto"/>
                                        <w:right w:val="none" w:sz="0" w:space="0" w:color="auto"/>
                                      </w:divBdr>
                                      <w:divsChild>
                                        <w:div w:id="627052059">
                                          <w:marLeft w:val="0"/>
                                          <w:marRight w:val="0"/>
                                          <w:marTop w:val="0"/>
                                          <w:marBottom w:val="0"/>
                                          <w:divBdr>
                                            <w:top w:val="none" w:sz="0" w:space="0" w:color="auto"/>
                                            <w:left w:val="none" w:sz="0" w:space="0" w:color="auto"/>
                                            <w:bottom w:val="none" w:sz="0" w:space="0" w:color="auto"/>
                                            <w:right w:val="none" w:sz="0" w:space="0" w:color="auto"/>
                                          </w:divBdr>
                                          <w:divsChild>
                                            <w:div w:id="2143619452">
                                              <w:marLeft w:val="0"/>
                                              <w:marRight w:val="0"/>
                                              <w:marTop w:val="0"/>
                                              <w:marBottom w:val="0"/>
                                              <w:divBdr>
                                                <w:top w:val="none" w:sz="0" w:space="0" w:color="auto"/>
                                                <w:left w:val="none" w:sz="0" w:space="0" w:color="auto"/>
                                                <w:bottom w:val="none" w:sz="0" w:space="0" w:color="auto"/>
                                                <w:right w:val="none" w:sz="0" w:space="0" w:color="auto"/>
                                              </w:divBdr>
                                              <w:divsChild>
                                                <w:div w:id="1715349473">
                                                  <w:marLeft w:val="0"/>
                                                  <w:marRight w:val="0"/>
                                                  <w:marTop w:val="0"/>
                                                  <w:marBottom w:val="0"/>
                                                  <w:divBdr>
                                                    <w:top w:val="none" w:sz="0" w:space="0" w:color="auto"/>
                                                    <w:left w:val="none" w:sz="0" w:space="0" w:color="auto"/>
                                                    <w:bottom w:val="none" w:sz="0" w:space="0" w:color="auto"/>
                                                    <w:right w:val="none" w:sz="0" w:space="0" w:color="auto"/>
                                                  </w:divBdr>
                                                </w:div>
                                              </w:divsChild>
                                            </w:div>
                                            <w:div w:id="1011564990">
                                              <w:marLeft w:val="0"/>
                                              <w:marRight w:val="0"/>
                                              <w:marTop w:val="0"/>
                                              <w:marBottom w:val="0"/>
                                              <w:divBdr>
                                                <w:top w:val="none" w:sz="0" w:space="0" w:color="auto"/>
                                                <w:left w:val="none" w:sz="0" w:space="0" w:color="auto"/>
                                                <w:bottom w:val="none" w:sz="0" w:space="0" w:color="auto"/>
                                                <w:right w:val="none" w:sz="0" w:space="0" w:color="auto"/>
                                              </w:divBdr>
                                              <w:divsChild>
                                                <w:div w:id="1893618642">
                                                  <w:marLeft w:val="0"/>
                                                  <w:marRight w:val="0"/>
                                                  <w:marTop w:val="0"/>
                                                  <w:marBottom w:val="0"/>
                                                  <w:divBdr>
                                                    <w:top w:val="none" w:sz="0" w:space="0" w:color="auto"/>
                                                    <w:left w:val="none" w:sz="0" w:space="0" w:color="auto"/>
                                                    <w:bottom w:val="none" w:sz="0" w:space="0" w:color="auto"/>
                                                    <w:right w:val="none" w:sz="0" w:space="0" w:color="auto"/>
                                                  </w:divBdr>
                                                </w:div>
                                              </w:divsChild>
                                            </w:div>
                                            <w:div w:id="1987775688">
                                              <w:marLeft w:val="0"/>
                                              <w:marRight w:val="0"/>
                                              <w:marTop w:val="0"/>
                                              <w:marBottom w:val="0"/>
                                              <w:divBdr>
                                                <w:top w:val="none" w:sz="0" w:space="0" w:color="auto"/>
                                                <w:left w:val="none" w:sz="0" w:space="0" w:color="auto"/>
                                                <w:bottom w:val="none" w:sz="0" w:space="0" w:color="auto"/>
                                                <w:right w:val="none" w:sz="0" w:space="0" w:color="auto"/>
                                              </w:divBdr>
                                              <w:divsChild>
                                                <w:div w:id="1010183191">
                                                  <w:marLeft w:val="0"/>
                                                  <w:marRight w:val="0"/>
                                                  <w:marTop w:val="0"/>
                                                  <w:marBottom w:val="0"/>
                                                  <w:divBdr>
                                                    <w:top w:val="none" w:sz="0" w:space="0" w:color="auto"/>
                                                    <w:left w:val="none" w:sz="0" w:space="0" w:color="auto"/>
                                                    <w:bottom w:val="none" w:sz="0" w:space="0" w:color="auto"/>
                                                    <w:right w:val="none" w:sz="0" w:space="0" w:color="auto"/>
                                                  </w:divBdr>
                                                </w:div>
                                              </w:divsChild>
                                            </w:div>
                                            <w:div w:id="1646008499">
                                              <w:marLeft w:val="0"/>
                                              <w:marRight w:val="0"/>
                                              <w:marTop w:val="0"/>
                                              <w:marBottom w:val="0"/>
                                              <w:divBdr>
                                                <w:top w:val="none" w:sz="0" w:space="0" w:color="auto"/>
                                                <w:left w:val="none" w:sz="0" w:space="0" w:color="auto"/>
                                                <w:bottom w:val="none" w:sz="0" w:space="0" w:color="auto"/>
                                                <w:right w:val="none" w:sz="0" w:space="0" w:color="auto"/>
                                              </w:divBdr>
                                              <w:divsChild>
                                                <w:div w:id="18054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8885963">
      <w:bodyDiv w:val="1"/>
      <w:marLeft w:val="0"/>
      <w:marRight w:val="0"/>
      <w:marTop w:val="0"/>
      <w:marBottom w:val="0"/>
      <w:divBdr>
        <w:top w:val="none" w:sz="0" w:space="0" w:color="auto"/>
        <w:left w:val="none" w:sz="0" w:space="0" w:color="auto"/>
        <w:bottom w:val="none" w:sz="0" w:space="0" w:color="auto"/>
        <w:right w:val="none" w:sz="0" w:space="0" w:color="auto"/>
      </w:divBdr>
      <w:divsChild>
        <w:div w:id="1261333916">
          <w:marLeft w:val="0"/>
          <w:marRight w:val="0"/>
          <w:marTop w:val="0"/>
          <w:marBottom w:val="0"/>
          <w:divBdr>
            <w:top w:val="none" w:sz="0" w:space="0" w:color="auto"/>
            <w:left w:val="none" w:sz="0" w:space="0" w:color="auto"/>
            <w:bottom w:val="none" w:sz="0" w:space="0" w:color="auto"/>
            <w:right w:val="none" w:sz="0" w:space="0" w:color="auto"/>
          </w:divBdr>
          <w:divsChild>
            <w:div w:id="1703164901">
              <w:marLeft w:val="0"/>
              <w:marRight w:val="0"/>
              <w:marTop w:val="0"/>
              <w:marBottom w:val="0"/>
              <w:divBdr>
                <w:top w:val="none" w:sz="0" w:space="0" w:color="auto"/>
                <w:left w:val="none" w:sz="0" w:space="0" w:color="auto"/>
                <w:bottom w:val="none" w:sz="0" w:space="0" w:color="auto"/>
                <w:right w:val="none" w:sz="0" w:space="0" w:color="auto"/>
              </w:divBdr>
              <w:divsChild>
                <w:div w:id="1032917359">
                  <w:marLeft w:val="0"/>
                  <w:marRight w:val="0"/>
                  <w:marTop w:val="0"/>
                  <w:marBottom w:val="0"/>
                  <w:divBdr>
                    <w:top w:val="none" w:sz="0" w:space="0" w:color="auto"/>
                    <w:left w:val="none" w:sz="0" w:space="0" w:color="auto"/>
                    <w:bottom w:val="none" w:sz="0" w:space="0" w:color="auto"/>
                    <w:right w:val="none" w:sz="0" w:space="0" w:color="auto"/>
                  </w:divBdr>
                  <w:divsChild>
                    <w:div w:id="374701363">
                      <w:marLeft w:val="0"/>
                      <w:marRight w:val="0"/>
                      <w:marTop w:val="0"/>
                      <w:marBottom w:val="0"/>
                      <w:divBdr>
                        <w:top w:val="none" w:sz="0" w:space="0" w:color="auto"/>
                        <w:left w:val="none" w:sz="0" w:space="0" w:color="auto"/>
                        <w:bottom w:val="none" w:sz="0" w:space="0" w:color="auto"/>
                        <w:right w:val="none" w:sz="0" w:space="0" w:color="auto"/>
                      </w:divBdr>
                      <w:divsChild>
                        <w:div w:id="1777483437">
                          <w:marLeft w:val="0"/>
                          <w:marRight w:val="0"/>
                          <w:marTop w:val="0"/>
                          <w:marBottom w:val="0"/>
                          <w:divBdr>
                            <w:top w:val="none" w:sz="0" w:space="0" w:color="auto"/>
                            <w:left w:val="none" w:sz="0" w:space="0" w:color="auto"/>
                            <w:bottom w:val="none" w:sz="0" w:space="0" w:color="auto"/>
                            <w:right w:val="none" w:sz="0" w:space="0" w:color="auto"/>
                          </w:divBdr>
                          <w:divsChild>
                            <w:div w:id="146242304">
                              <w:marLeft w:val="0"/>
                              <w:marRight w:val="0"/>
                              <w:marTop w:val="0"/>
                              <w:marBottom w:val="0"/>
                              <w:divBdr>
                                <w:top w:val="none" w:sz="0" w:space="0" w:color="auto"/>
                                <w:left w:val="none" w:sz="0" w:space="0" w:color="auto"/>
                                <w:bottom w:val="none" w:sz="0" w:space="0" w:color="auto"/>
                                <w:right w:val="none" w:sz="0" w:space="0" w:color="auto"/>
                              </w:divBdr>
                              <w:divsChild>
                                <w:div w:id="1703557154">
                                  <w:marLeft w:val="0"/>
                                  <w:marRight w:val="0"/>
                                  <w:marTop w:val="0"/>
                                  <w:marBottom w:val="0"/>
                                  <w:divBdr>
                                    <w:top w:val="none" w:sz="0" w:space="0" w:color="auto"/>
                                    <w:left w:val="none" w:sz="0" w:space="0" w:color="auto"/>
                                    <w:bottom w:val="none" w:sz="0" w:space="0" w:color="auto"/>
                                    <w:right w:val="none" w:sz="0" w:space="0" w:color="auto"/>
                                  </w:divBdr>
                                  <w:divsChild>
                                    <w:div w:id="1836916357">
                                      <w:marLeft w:val="0"/>
                                      <w:marRight w:val="0"/>
                                      <w:marTop w:val="0"/>
                                      <w:marBottom w:val="0"/>
                                      <w:divBdr>
                                        <w:top w:val="none" w:sz="0" w:space="0" w:color="auto"/>
                                        <w:left w:val="none" w:sz="0" w:space="0" w:color="auto"/>
                                        <w:bottom w:val="none" w:sz="0" w:space="0" w:color="auto"/>
                                        <w:right w:val="none" w:sz="0" w:space="0" w:color="auto"/>
                                      </w:divBdr>
                                      <w:divsChild>
                                        <w:div w:id="2118790130">
                                          <w:marLeft w:val="0"/>
                                          <w:marRight w:val="0"/>
                                          <w:marTop w:val="0"/>
                                          <w:marBottom w:val="0"/>
                                          <w:divBdr>
                                            <w:top w:val="none" w:sz="0" w:space="0" w:color="auto"/>
                                            <w:left w:val="none" w:sz="0" w:space="0" w:color="auto"/>
                                            <w:bottom w:val="none" w:sz="0" w:space="0" w:color="auto"/>
                                            <w:right w:val="none" w:sz="0" w:space="0" w:color="auto"/>
                                          </w:divBdr>
                                          <w:divsChild>
                                            <w:div w:id="1358656413">
                                              <w:marLeft w:val="0"/>
                                              <w:marRight w:val="0"/>
                                              <w:marTop w:val="0"/>
                                              <w:marBottom w:val="0"/>
                                              <w:divBdr>
                                                <w:top w:val="none" w:sz="0" w:space="0" w:color="auto"/>
                                                <w:left w:val="none" w:sz="0" w:space="0" w:color="auto"/>
                                                <w:bottom w:val="none" w:sz="0" w:space="0" w:color="auto"/>
                                                <w:right w:val="none" w:sz="0" w:space="0" w:color="auto"/>
                                              </w:divBdr>
                                              <w:divsChild>
                                                <w:div w:id="1984121673">
                                                  <w:marLeft w:val="0"/>
                                                  <w:marRight w:val="0"/>
                                                  <w:marTop w:val="0"/>
                                                  <w:marBottom w:val="0"/>
                                                  <w:divBdr>
                                                    <w:top w:val="none" w:sz="0" w:space="0" w:color="auto"/>
                                                    <w:left w:val="none" w:sz="0" w:space="0" w:color="auto"/>
                                                    <w:bottom w:val="none" w:sz="0" w:space="0" w:color="auto"/>
                                                    <w:right w:val="none" w:sz="0" w:space="0" w:color="auto"/>
                                                  </w:divBdr>
                                                  <w:divsChild>
                                                    <w:div w:id="1669207862">
                                                      <w:marLeft w:val="0"/>
                                                      <w:marRight w:val="0"/>
                                                      <w:marTop w:val="0"/>
                                                      <w:marBottom w:val="0"/>
                                                      <w:divBdr>
                                                        <w:top w:val="none" w:sz="0" w:space="0" w:color="auto"/>
                                                        <w:left w:val="none" w:sz="0" w:space="0" w:color="auto"/>
                                                        <w:bottom w:val="none" w:sz="0" w:space="0" w:color="auto"/>
                                                        <w:right w:val="none" w:sz="0" w:space="0" w:color="auto"/>
                                                      </w:divBdr>
                                                      <w:divsChild>
                                                        <w:div w:id="531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151034">
      <w:bodyDiv w:val="1"/>
      <w:marLeft w:val="0"/>
      <w:marRight w:val="0"/>
      <w:marTop w:val="0"/>
      <w:marBottom w:val="0"/>
      <w:divBdr>
        <w:top w:val="none" w:sz="0" w:space="0" w:color="auto"/>
        <w:left w:val="none" w:sz="0" w:space="0" w:color="auto"/>
        <w:bottom w:val="none" w:sz="0" w:space="0" w:color="auto"/>
        <w:right w:val="none" w:sz="0" w:space="0" w:color="auto"/>
      </w:divBdr>
      <w:divsChild>
        <w:div w:id="872811385">
          <w:marLeft w:val="0"/>
          <w:marRight w:val="0"/>
          <w:marTop w:val="0"/>
          <w:marBottom w:val="0"/>
          <w:divBdr>
            <w:top w:val="none" w:sz="0" w:space="0" w:color="auto"/>
            <w:left w:val="none" w:sz="0" w:space="0" w:color="auto"/>
            <w:bottom w:val="none" w:sz="0" w:space="0" w:color="auto"/>
            <w:right w:val="none" w:sz="0" w:space="0" w:color="auto"/>
          </w:divBdr>
          <w:divsChild>
            <w:div w:id="359403315">
              <w:marLeft w:val="0"/>
              <w:marRight w:val="0"/>
              <w:marTop w:val="0"/>
              <w:marBottom w:val="0"/>
              <w:divBdr>
                <w:top w:val="none" w:sz="0" w:space="0" w:color="auto"/>
                <w:left w:val="none" w:sz="0" w:space="0" w:color="auto"/>
                <w:bottom w:val="none" w:sz="0" w:space="0" w:color="auto"/>
                <w:right w:val="none" w:sz="0" w:space="0" w:color="auto"/>
              </w:divBdr>
              <w:divsChild>
                <w:div w:id="382213086">
                  <w:marLeft w:val="0"/>
                  <w:marRight w:val="0"/>
                  <w:marTop w:val="0"/>
                  <w:marBottom w:val="0"/>
                  <w:divBdr>
                    <w:top w:val="none" w:sz="0" w:space="0" w:color="auto"/>
                    <w:left w:val="none" w:sz="0" w:space="0" w:color="auto"/>
                    <w:bottom w:val="none" w:sz="0" w:space="0" w:color="auto"/>
                    <w:right w:val="none" w:sz="0" w:space="0" w:color="auto"/>
                  </w:divBdr>
                  <w:divsChild>
                    <w:div w:id="1570995650">
                      <w:marLeft w:val="0"/>
                      <w:marRight w:val="0"/>
                      <w:marTop w:val="0"/>
                      <w:marBottom w:val="0"/>
                      <w:divBdr>
                        <w:top w:val="none" w:sz="0" w:space="0" w:color="auto"/>
                        <w:left w:val="none" w:sz="0" w:space="0" w:color="auto"/>
                        <w:bottom w:val="none" w:sz="0" w:space="0" w:color="auto"/>
                        <w:right w:val="none" w:sz="0" w:space="0" w:color="auto"/>
                      </w:divBdr>
                      <w:divsChild>
                        <w:div w:id="78409491">
                          <w:marLeft w:val="0"/>
                          <w:marRight w:val="0"/>
                          <w:marTop w:val="0"/>
                          <w:marBottom w:val="0"/>
                          <w:divBdr>
                            <w:top w:val="none" w:sz="0" w:space="0" w:color="auto"/>
                            <w:left w:val="none" w:sz="0" w:space="0" w:color="auto"/>
                            <w:bottom w:val="none" w:sz="0" w:space="0" w:color="auto"/>
                            <w:right w:val="none" w:sz="0" w:space="0" w:color="auto"/>
                          </w:divBdr>
                          <w:divsChild>
                            <w:div w:id="2114206617">
                              <w:marLeft w:val="0"/>
                              <w:marRight w:val="0"/>
                              <w:marTop w:val="0"/>
                              <w:marBottom w:val="0"/>
                              <w:divBdr>
                                <w:top w:val="none" w:sz="0" w:space="0" w:color="auto"/>
                                <w:left w:val="none" w:sz="0" w:space="0" w:color="auto"/>
                                <w:bottom w:val="none" w:sz="0" w:space="0" w:color="auto"/>
                                <w:right w:val="none" w:sz="0" w:space="0" w:color="auto"/>
                              </w:divBdr>
                              <w:divsChild>
                                <w:div w:id="805316080">
                                  <w:marLeft w:val="0"/>
                                  <w:marRight w:val="0"/>
                                  <w:marTop w:val="0"/>
                                  <w:marBottom w:val="0"/>
                                  <w:divBdr>
                                    <w:top w:val="none" w:sz="0" w:space="0" w:color="auto"/>
                                    <w:left w:val="none" w:sz="0" w:space="0" w:color="auto"/>
                                    <w:bottom w:val="none" w:sz="0" w:space="0" w:color="auto"/>
                                    <w:right w:val="none" w:sz="0" w:space="0" w:color="auto"/>
                                  </w:divBdr>
                                  <w:divsChild>
                                    <w:div w:id="618221511">
                                      <w:marLeft w:val="0"/>
                                      <w:marRight w:val="0"/>
                                      <w:marTop w:val="0"/>
                                      <w:marBottom w:val="0"/>
                                      <w:divBdr>
                                        <w:top w:val="none" w:sz="0" w:space="0" w:color="auto"/>
                                        <w:left w:val="none" w:sz="0" w:space="0" w:color="auto"/>
                                        <w:bottom w:val="none" w:sz="0" w:space="0" w:color="auto"/>
                                        <w:right w:val="none" w:sz="0" w:space="0" w:color="auto"/>
                                      </w:divBdr>
                                      <w:divsChild>
                                        <w:div w:id="18771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686304">
      <w:bodyDiv w:val="1"/>
      <w:marLeft w:val="0"/>
      <w:marRight w:val="0"/>
      <w:marTop w:val="0"/>
      <w:marBottom w:val="0"/>
      <w:divBdr>
        <w:top w:val="none" w:sz="0" w:space="0" w:color="auto"/>
        <w:left w:val="none" w:sz="0" w:space="0" w:color="auto"/>
        <w:bottom w:val="none" w:sz="0" w:space="0" w:color="auto"/>
        <w:right w:val="none" w:sz="0" w:space="0" w:color="auto"/>
      </w:divBdr>
    </w:div>
    <w:div w:id="459689221">
      <w:bodyDiv w:val="1"/>
      <w:marLeft w:val="0"/>
      <w:marRight w:val="0"/>
      <w:marTop w:val="0"/>
      <w:marBottom w:val="0"/>
      <w:divBdr>
        <w:top w:val="none" w:sz="0" w:space="0" w:color="auto"/>
        <w:left w:val="none" w:sz="0" w:space="0" w:color="auto"/>
        <w:bottom w:val="none" w:sz="0" w:space="0" w:color="auto"/>
        <w:right w:val="none" w:sz="0" w:space="0" w:color="auto"/>
      </w:divBdr>
      <w:divsChild>
        <w:div w:id="2116486448">
          <w:marLeft w:val="0"/>
          <w:marRight w:val="0"/>
          <w:marTop w:val="0"/>
          <w:marBottom w:val="0"/>
          <w:divBdr>
            <w:top w:val="none" w:sz="0" w:space="0" w:color="auto"/>
            <w:left w:val="none" w:sz="0" w:space="0" w:color="auto"/>
            <w:bottom w:val="none" w:sz="0" w:space="0" w:color="auto"/>
            <w:right w:val="none" w:sz="0" w:space="0" w:color="auto"/>
          </w:divBdr>
          <w:divsChild>
            <w:div w:id="1233663787">
              <w:marLeft w:val="0"/>
              <w:marRight w:val="0"/>
              <w:marTop w:val="0"/>
              <w:marBottom w:val="0"/>
              <w:divBdr>
                <w:top w:val="none" w:sz="0" w:space="0" w:color="auto"/>
                <w:left w:val="none" w:sz="0" w:space="0" w:color="auto"/>
                <w:bottom w:val="none" w:sz="0" w:space="0" w:color="auto"/>
                <w:right w:val="none" w:sz="0" w:space="0" w:color="auto"/>
              </w:divBdr>
              <w:divsChild>
                <w:div w:id="274674470">
                  <w:marLeft w:val="0"/>
                  <w:marRight w:val="0"/>
                  <w:marTop w:val="0"/>
                  <w:marBottom w:val="0"/>
                  <w:divBdr>
                    <w:top w:val="none" w:sz="0" w:space="0" w:color="auto"/>
                    <w:left w:val="none" w:sz="0" w:space="0" w:color="auto"/>
                    <w:bottom w:val="none" w:sz="0" w:space="0" w:color="auto"/>
                    <w:right w:val="none" w:sz="0" w:space="0" w:color="auto"/>
                  </w:divBdr>
                  <w:divsChild>
                    <w:div w:id="283777643">
                      <w:marLeft w:val="0"/>
                      <w:marRight w:val="0"/>
                      <w:marTop w:val="0"/>
                      <w:marBottom w:val="0"/>
                      <w:divBdr>
                        <w:top w:val="none" w:sz="0" w:space="0" w:color="auto"/>
                        <w:left w:val="none" w:sz="0" w:space="0" w:color="auto"/>
                        <w:bottom w:val="none" w:sz="0" w:space="0" w:color="auto"/>
                        <w:right w:val="none" w:sz="0" w:space="0" w:color="auto"/>
                      </w:divBdr>
                      <w:divsChild>
                        <w:div w:id="122818324">
                          <w:marLeft w:val="0"/>
                          <w:marRight w:val="0"/>
                          <w:marTop w:val="0"/>
                          <w:marBottom w:val="0"/>
                          <w:divBdr>
                            <w:top w:val="none" w:sz="0" w:space="0" w:color="auto"/>
                            <w:left w:val="none" w:sz="0" w:space="0" w:color="auto"/>
                            <w:bottom w:val="single" w:sz="6" w:space="15" w:color="CCCCCC"/>
                            <w:right w:val="none" w:sz="0" w:space="0" w:color="auto"/>
                          </w:divBdr>
                          <w:divsChild>
                            <w:div w:id="721293310">
                              <w:marLeft w:val="0"/>
                              <w:marRight w:val="0"/>
                              <w:marTop w:val="0"/>
                              <w:marBottom w:val="0"/>
                              <w:divBdr>
                                <w:top w:val="none" w:sz="0" w:space="0" w:color="auto"/>
                                <w:left w:val="none" w:sz="0" w:space="0" w:color="auto"/>
                                <w:bottom w:val="none" w:sz="0" w:space="0" w:color="auto"/>
                                <w:right w:val="none" w:sz="0" w:space="0" w:color="auto"/>
                              </w:divBdr>
                              <w:divsChild>
                                <w:div w:id="5100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581255">
      <w:bodyDiv w:val="1"/>
      <w:marLeft w:val="0"/>
      <w:marRight w:val="0"/>
      <w:marTop w:val="0"/>
      <w:marBottom w:val="0"/>
      <w:divBdr>
        <w:top w:val="none" w:sz="0" w:space="0" w:color="auto"/>
        <w:left w:val="none" w:sz="0" w:space="0" w:color="auto"/>
        <w:bottom w:val="none" w:sz="0" w:space="0" w:color="auto"/>
        <w:right w:val="none" w:sz="0" w:space="0" w:color="auto"/>
      </w:divBdr>
    </w:div>
    <w:div w:id="464274318">
      <w:bodyDiv w:val="1"/>
      <w:marLeft w:val="0"/>
      <w:marRight w:val="0"/>
      <w:marTop w:val="0"/>
      <w:marBottom w:val="0"/>
      <w:divBdr>
        <w:top w:val="none" w:sz="0" w:space="0" w:color="auto"/>
        <w:left w:val="none" w:sz="0" w:space="0" w:color="auto"/>
        <w:bottom w:val="none" w:sz="0" w:space="0" w:color="auto"/>
        <w:right w:val="none" w:sz="0" w:space="0" w:color="auto"/>
      </w:divBdr>
    </w:div>
    <w:div w:id="465590825">
      <w:bodyDiv w:val="1"/>
      <w:marLeft w:val="0"/>
      <w:marRight w:val="0"/>
      <w:marTop w:val="0"/>
      <w:marBottom w:val="0"/>
      <w:divBdr>
        <w:top w:val="none" w:sz="0" w:space="0" w:color="auto"/>
        <w:left w:val="none" w:sz="0" w:space="0" w:color="auto"/>
        <w:bottom w:val="none" w:sz="0" w:space="0" w:color="auto"/>
        <w:right w:val="none" w:sz="0" w:space="0" w:color="auto"/>
      </w:divBdr>
      <w:divsChild>
        <w:div w:id="818351127">
          <w:marLeft w:val="0"/>
          <w:marRight w:val="0"/>
          <w:marTop w:val="0"/>
          <w:marBottom w:val="0"/>
          <w:divBdr>
            <w:top w:val="none" w:sz="0" w:space="0" w:color="auto"/>
            <w:left w:val="none" w:sz="0" w:space="0" w:color="auto"/>
            <w:bottom w:val="none" w:sz="0" w:space="0" w:color="auto"/>
            <w:right w:val="none" w:sz="0" w:space="0" w:color="auto"/>
          </w:divBdr>
          <w:divsChild>
            <w:div w:id="1274897343">
              <w:marLeft w:val="0"/>
              <w:marRight w:val="0"/>
              <w:marTop w:val="0"/>
              <w:marBottom w:val="0"/>
              <w:divBdr>
                <w:top w:val="none" w:sz="0" w:space="0" w:color="auto"/>
                <w:left w:val="none" w:sz="0" w:space="0" w:color="auto"/>
                <w:bottom w:val="none" w:sz="0" w:space="0" w:color="auto"/>
                <w:right w:val="none" w:sz="0" w:space="0" w:color="auto"/>
              </w:divBdr>
              <w:divsChild>
                <w:div w:id="566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4813">
          <w:marLeft w:val="0"/>
          <w:marRight w:val="0"/>
          <w:marTop w:val="0"/>
          <w:marBottom w:val="0"/>
          <w:divBdr>
            <w:top w:val="none" w:sz="0" w:space="0" w:color="auto"/>
            <w:left w:val="none" w:sz="0" w:space="0" w:color="auto"/>
            <w:bottom w:val="none" w:sz="0" w:space="0" w:color="auto"/>
            <w:right w:val="none" w:sz="0" w:space="0" w:color="auto"/>
          </w:divBdr>
          <w:divsChild>
            <w:div w:id="1029838337">
              <w:marLeft w:val="0"/>
              <w:marRight w:val="0"/>
              <w:marTop w:val="0"/>
              <w:marBottom w:val="0"/>
              <w:divBdr>
                <w:top w:val="none" w:sz="0" w:space="0" w:color="auto"/>
                <w:left w:val="none" w:sz="0" w:space="0" w:color="auto"/>
                <w:bottom w:val="none" w:sz="0" w:space="0" w:color="auto"/>
                <w:right w:val="none" w:sz="0" w:space="0" w:color="auto"/>
              </w:divBdr>
              <w:divsChild>
                <w:div w:id="16576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41429">
          <w:marLeft w:val="0"/>
          <w:marRight w:val="0"/>
          <w:marTop w:val="0"/>
          <w:marBottom w:val="0"/>
          <w:divBdr>
            <w:top w:val="none" w:sz="0" w:space="0" w:color="auto"/>
            <w:left w:val="none" w:sz="0" w:space="0" w:color="auto"/>
            <w:bottom w:val="none" w:sz="0" w:space="0" w:color="auto"/>
            <w:right w:val="none" w:sz="0" w:space="0" w:color="auto"/>
          </w:divBdr>
          <w:divsChild>
            <w:div w:id="1341347346">
              <w:marLeft w:val="0"/>
              <w:marRight w:val="0"/>
              <w:marTop w:val="0"/>
              <w:marBottom w:val="0"/>
              <w:divBdr>
                <w:top w:val="none" w:sz="0" w:space="0" w:color="auto"/>
                <w:left w:val="none" w:sz="0" w:space="0" w:color="auto"/>
                <w:bottom w:val="none" w:sz="0" w:space="0" w:color="auto"/>
                <w:right w:val="none" w:sz="0" w:space="0" w:color="auto"/>
              </w:divBdr>
              <w:divsChild>
                <w:div w:id="3985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4521">
          <w:marLeft w:val="0"/>
          <w:marRight w:val="0"/>
          <w:marTop w:val="0"/>
          <w:marBottom w:val="0"/>
          <w:divBdr>
            <w:top w:val="none" w:sz="0" w:space="0" w:color="auto"/>
            <w:left w:val="none" w:sz="0" w:space="0" w:color="auto"/>
            <w:bottom w:val="none" w:sz="0" w:space="0" w:color="auto"/>
            <w:right w:val="none" w:sz="0" w:space="0" w:color="auto"/>
          </w:divBdr>
          <w:divsChild>
            <w:div w:id="1168594901">
              <w:marLeft w:val="0"/>
              <w:marRight w:val="0"/>
              <w:marTop w:val="0"/>
              <w:marBottom w:val="0"/>
              <w:divBdr>
                <w:top w:val="none" w:sz="0" w:space="0" w:color="auto"/>
                <w:left w:val="none" w:sz="0" w:space="0" w:color="auto"/>
                <w:bottom w:val="none" w:sz="0" w:space="0" w:color="auto"/>
                <w:right w:val="none" w:sz="0" w:space="0" w:color="auto"/>
              </w:divBdr>
              <w:divsChild>
                <w:div w:id="19708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2982">
          <w:marLeft w:val="0"/>
          <w:marRight w:val="0"/>
          <w:marTop w:val="0"/>
          <w:marBottom w:val="0"/>
          <w:divBdr>
            <w:top w:val="none" w:sz="0" w:space="0" w:color="auto"/>
            <w:left w:val="none" w:sz="0" w:space="0" w:color="auto"/>
            <w:bottom w:val="none" w:sz="0" w:space="0" w:color="auto"/>
            <w:right w:val="none" w:sz="0" w:space="0" w:color="auto"/>
          </w:divBdr>
          <w:divsChild>
            <w:div w:id="1265452990">
              <w:marLeft w:val="0"/>
              <w:marRight w:val="0"/>
              <w:marTop w:val="0"/>
              <w:marBottom w:val="0"/>
              <w:divBdr>
                <w:top w:val="none" w:sz="0" w:space="0" w:color="auto"/>
                <w:left w:val="none" w:sz="0" w:space="0" w:color="auto"/>
                <w:bottom w:val="none" w:sz="0" w:space="0" w:color="auto"/>
                <w:right w:val="none" w:sz="0" w:space="0" w:color="auto"/>
              </w:divBdr>
              <w:divsChild>
                <w:div w:id="3259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4593">
          <w:marLeft w:val="0"/>
          <w:marRight w:val="0"/>
          <w:marTop w:val="0"/>
          <w:marBottom w:val="0"/>
          <w:divBdr>
            <w:top w:val="none" w:sz="0" w:space="0" w:color="auto"/>
            <w:left w:val="none" w:sz="0" w:space="0" w:color="auto"/>
            <w:bottom w:val="none" w:sz="0" w:space="0" w:color="auto"/>
            <w:right w:val="none" w:sz="0" w:space="0" w:color="auto"/>
          </w:divBdr>
          <w:divsChild>
            <w:div w:id="918515189">
              <w:marLeft w:val="0"/>
              <w:marRight w:val="0"/>
              <w:marTop w:val="0"/>
              <w:marBottom w:val="0"/>
              <w:divBdr>
                <w:top w:val="none" w:sz="0" w:space="0" w:color="auto"/>
                <w:left w:val="none" w:sz="0" w:space="0" w:color="auto"/>
                <w:bottom w:val="none" w:sz="0" w:space="0" w:color="auto"/>
                <w:right w:val="none" w:sz="0" w:space="0" w:color="auto"/>
              </w:divBdr>
              <w:divsChild>
                <w:div w:id="20499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4779">
          <w:marLeft w:val="0"/>
          <w:marRight w:val="0"/>
          <w:marTop w:val="0"/>
          <w:marBottom w:val="0"/>
          <w:divBdr>
            <w:top w:val="none" w:sz="0" w:space="0" w:color="auto"/>
            <w:left w:val="none" w:sz="0" w:space="0" w:color="auto"/>
            <w:bottom w:val="none" w:sz="0" w:space="0" w:color="auto"/>
            <w:right w:val="none" w:sz="0" w:space="0" w:color="auto"/>
          </w:divBdr>
          <w:divsChild>
            <w:div w:id="148642432">
              <w:marLeft w:val="0"/>
              <w:marRight w:val="0"/>
              <w:marTop w:val="0"/>
              <w:marBottom w:val="0"/>
              <w:divBdr>
                <w:top w:val="none" w:sz="0" w:space="0" w:color="auto"/>
                <w:left w:val="none" w:sz="0" w:space="0" w:color="auto"/>
                <w:bottom w:val="none" w:sz="0" w:space="0" w:color="auto"/>
                <w:right w:val="none" w:sz="0" w:space="0" w:color="auto"/>
              </w:divBdr>
              <w:divsChild>
                <w:div w:id="4950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0551">
          <w:marLeft w:val="0"/>
          <w:marRight w:val="0"/>
          <w:marTop w:val="0"/>
          <w:marBottom w:val="0"/>
          <w:divBdr>
            <w:top w:val="none" w:sz="0" w:space="0" w:color="auto"/>
            <w:left w:val="none" w:sz="0" w:space="0" w:color="auto"/>
            <w:bottom w:val="none" w:sz="0" w:space="0" w:color="auto"/>
            <w:right w:val="none" w:sz="0" w:space="0" w:color="auto"/>
          </w:divBdr>
          <w:divsChild>
            <w:div w:id="116410249">
              <w:marLeft w:val="0"/>
              <w:marRight w:val="0"/>
              <w:marTop w:val="0"/>
              <w:marBottom w:val="0"/>
              <w:divBdr>
                <w:top w:val="none" w:sz="0" w:space="0" w:color="auto"/>
                <w:left w:val="none" w:sz="0" w:space="0" w:color="auto"/>
                <w:bottom w:val="none" w:sz="0" w:space="0" w:color="auto"/>
                <w:right w:val="none" w:sz="0" w:space="0" w:color="auto"/>
              </w:divBdr>
              <w:divsChild>
                <w:div w:id="16190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1954">
      <w:bodyDiv w:val="1"/>
      <w:marLeft w:val="0"/>
      <w:marRight w:val="0"/>
      <w:marTop w:val="0"/>
      <w:marBottom w:val="0"/>
      <w:divBdr>
        <w:top w:val="none" w:sz="0" w:space="0" w:color="auto"/>
        <w:left w:val="none" w:sz="0" w:space="0" w:color="auto"/>
        <w:bottom w:val="none" w:sz="0" w:space="0" w:color="auto"/>
        <w:right w:val="none" w:sz="0" w:space="0" w:color="auto"/>
      </w:divBdr>
    </w:div>
    <w:div w:id="469900408">
      <w:bodyDiv w:val="1"/>
      <w:marLeft w:val="0"/>
      <w:marRight w:val="0"/>
      <w:marTop w:val="0"/>
      <w:marBottom w:val="0"/>
      <w:divBdr>
        <w:top w:val="none" w:sz="0" w:space="0" w:color="auto"/>
        <w:left w:val="none" w:sz="0" w:space="0" w:color="auto"/>
        <w:bottom w:val="none" w:sz="0" w:space="0" w:color="auto"/>
        <w:right w:val="none" w:sz="0" w:space="0" w:color="auto"/>
      </w:divBdr>
    </w:div>
    <w:div w:id="470249300">
      <w:bodyDiv w:val="1"/>
      <w:marLeft w:val="0"/>
      <w:marRight w:val="0"/>
      <w:marTop w:val="0"/>
      <w:marBottom w:val="0"/>
      <w:divBdr>
        <w:top w:val="none" w:sz="0" w:space="0" w:color="auto"/>
        <w:left w:val="none" w:sz="0" w:space="0" w:color="auto"/>
        <w:bottom w:val="none" w:sz="0" w:space="0" w:color="auto"/>
        <w:right w:val="none" w:sz="0" w:space="0" w:color="auto"/>
      </w:divBdr>
      <w:divsChild>
        <w:div w:id="2120295477">
          <w:marLeft w:val="2400"/>
          <w:marRight w:val="0"/>
          <w:marTop w:val="0"/>
          <w:marBottom w:val="0"/>
          <w:divBdr>
            <w:top w:val="none" w:sz="0" w:space="0" w:color="auto"/>
            <w:left w:val="none" w:sz="0" w:space="0" w:color="auto"/>
            <w:bottom w:val="none" w:sz="0" w:space="0" w:color="auto"/>
            <w:right w:val="none" w:sz="0" w:space="0" w:color="auto"/>
          </w:divBdr>
          <w:divsChild>
            <w:div w:id="62725776">
              <w:marLeft w:val="0"/>
              <w:marRight w:val="0"/>
              <w:marTop w:val="0"/>
              <w:marBottom w:val="0"/>
              <w:divBdr>
                <w:top w:val="none" w:sz="0" w:space="0" w:color="auto"/>
                <w:left w:val="none" w:sz="0" w:space="0" w:color="auto"/>
                <w:bottom w:val="none" w:sz="0" w:space="0" w:color="auto"/>
                <w:right w:val="none" w:sz="0" w:space="0" w:color="auto"/>
              </w:divBdr>
              <w:divsChild>
                <w:div w:id="1021205657">
                  <w:marLeft w:val="0"/>
                  <w:marRight w:val="0"/>
                  <w:marTop w:val="0"/>
                  <w:marBottom w:val="0"/>
                  <w:divBdr>
                    <w:top w:val="none" w:sz="0" w:space="0" w:color="auto"/>
                    <w:left w:val="none" w:sz="0" w:space="0" w:color="auto"/>
                    <w:bottom w:val="none" w:sz="0" w:space="0" w:color="auto"/>
                    <w:right w:val="none" w:sz="0" w:space="0" w:color="auto"/>
                  </w:divBdr>
                  <w:divsChild>
                    <w:div w:id="10391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141457">
      <w:bodyDiv w:val="1"/>
      <w:marLeft w:val="0"/>
      <w:marRight w:val="0"/>
      <w:marTop w:val="0"/>
      <w:marBottom w:val="0"/>
      <w:divBdr>
        <w:top w:val="none" w:sz="0" w:space="0" w:color="auto"/>
        <w:left w:val="none" w:sz="0" w:space="0" w:color="auto"/>
        <w:bottom w:val="none" w:sz="0" w:space="0" w:color="auto"/>
        <w:right w:val="none" w:sz="0" w:space="0" w:color="auto"/>
      </w:divBdr>
      <w:divsChild>
        <w:div w:id="1848062089">
          <w:marLeft w:val="0"/>
          <w:marRight w:val="0"/>
          <w:marTop w:val="0"/>
          <w:marBottom w:val="0"/>
          <w:divBdr>
            <w:top w:val="none" w:sz="0" w:space="0" w:color="auto"/>
            <w:left w:val="single" w:sz="6" w:space="15" w:color="B4B4B4"/>
            <w:bottom w:val="single" w:sz="6" w:space="0" w:color="B4B4B4"/>
            <w:right w:val="single" w:sz="6" w:space="15" w:color="B4B4B4"/>
          </w:divBdr>
          <w:divsChild>
            <w:div w:id="2055349740">
              <w:marLeft w:val="0"/>
              <w:marRight w:val="0"/>
              <w:marTop w:val="0"/>
              <w:marBottom w:val="0"/>
              <w:divBdr>
                <w:top w:val="none" w:sz="0" w:space="0" w:color="auto"/>
                <w:left w:val="none" w:sz="0" w:space="0" w:color="auto"/>
                <w:bottom w:val="none" w:sz="0" w:space="0" w:color="auto"/>
                <w:right w:val="none" w:sz="0" w:space="0" w:color="auto"/>
              </w:divBdr>
              <w:divsChild>
                <w:div w:id="1875461208">
                  <w:marLeft w:val="-300"/>
                  <w:marRight w:val="0"/>
                  <w:marTop w:val="0"/>
                  <w:marBottom w:val="0"/>
                  <w:divBdr>
                    <w:top w:val="none" w:sz="0" w:space="0" w:color="auto"/>
                    <w:left w:val="none" w:sz="0" w:space="0" w:color="auto"/>
                    <w:bottom w:val="none" w:sz="0" w:space="0" w:color="auto"/>
                    <w:right w:val="none" w:sz="0" w:space="0" w:color="auto"/>
                  </w:divBdr>
                  <w:divsChild>
                    <w:div w:id="231283613">
                      <w:marLeft w:val="0"/>
                      <w:marRight w:val="0"/>
                      <w:marTop w:val="0"/>
                      <w:marBottom w:val="0"/>
                      <w:divBdr>
                        <w:top w:val="none" w:sz="0" w:space="0" w:color="auto"/>
                        <w:left w:val="none" w:sz="0" w:space="0" w:color="auto"/>
                        <w:bottom w:val="none" w:sz="0" w:space="0" w:color="auto"/>
                        <w:right w:val="none" w:sz="0" w:space="0" w:color="auto"/>
                      </w:divBdr>
                      <w:divsChild>
                        <w:div w:id="67852084">
                          <w:marLeft w:val="-300"/>
                          <w:marRight w:val="0"/>
                          <w:marTop w:val="0"/>
                          <w:marBottom w:val="0"/>
                          <w:divBdr>
                            <w:top w:val="none" w:sz="0" w:space="0" w:color="auto"/>
                            <w:left w:val="none" w:sz="0" w:space="0" w:color="auto"/>
                            <w:bottom w:val="none" w:sz="0" w:space="0" w:color="auto"/>
                            <w:right w:val="none" w:sz="0" w:space="0" w:color="auto"/>
                          </w:divBdr>
                          <w:divsChild>
                            <w:div w:id="1467629212">
                              <w:marLeft w:val="0"/>
                              <w:marRight w:val="0"/>
                              <w:marTop w:val="0"/>
                              <w:marBottom w:val="0"/>
                              <w:divBdr>
                                <w:top w:val="none" w:sz="0" w:space="0" w:color="auto"/>
                                <w:left w:val="none" w:sz="0" w:space="0" w:color="auto"/>
                                <w:bottom w:val="none" w:sz="0" w:space="0" w:color="auto"/>
                                <w:right w:val="none" w:sz="0" w:space="0" w:color="auto"/>
                              </w:divBdr>
                              <w:divsChild>
                                <w:div w:id="2124569118">
                                  <w:marLeft w:val="0"/>
                                  <w:marRight w:val="0"/>
                                  <w:marTop w:val="0"/>
                                  <w:marBottom w:val="0"/>
                                  <w:divBdr>
                                    <w:top w:val="none" w:sz="0" w:space="0" w:color="auto"/>
                                    <w:left w:val="none" w:sz="0" w:space="0" w:color="auto"/>
                                    <w:bottom w:val="none" w:sz="0" w:space="0" w:color="auto"/>
                                    <w:right w:val="none" w:sz="0" w:space="0" w:color="auto"/>
                                  </w:divBdr>
                                  <w:divsChild>
                                    <w:div w:id="122162273">
                                      <w:marLeft w:val="0"/>
                                      <w:marRight w:val="0"/>
                                      <w:marTop w:val="0"/>
                                      <w:marBottom w:val="0"/>
                                      <w:divBdr>
                                        <w:top w:val="none" w:sz="0" w:space="0" w:color="auto"/>
                                        <w:left w:val="none" w:sz="0" w:space="0" w:color="auto"/>
                                        <w:bottom w:val="none" w:sz="0" w:space="0" w:color="auto"/>
                                        <w:right w:val="none" w:sz="0" w:space="0" w:color="auto"/>
                                      </w:divBdr>
                                      <w:divsChild>
                                        <w:div w:id="1263878816">
                                          <w:marLeft w:val="0"/>
                                          <w:marRight w:val="0"/>
                                          <w:marTop w:val="0"/>
                                          <w:marBottom w:val="0"/>
                                          <w:divBdr>
                                            <w:top w:val="none" w:sz="0" w:space="0" w:color="auto"/>
                                            <w:left w:val="none" w:sz="0" w:space="0" w:color="auto"/>
                                            <w:bottom w:val="none" w:sz="0" w:space="0" w:color="auto"/>
                                            <w:right w:val="none" w:sz="0" w:space="0" w:color="auto"/>
                                          </w:divBdr>
                                          <w:divsChild>
                                            <w:div w:id="836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791897">
      <w:bodyDiv w:val="1"/>
      <w:marLeft w:val="0"/>
      <w:marRight w:val="0"/>
      <w:marTop w:val="0"/>
      <w:marBottom w:val="0"/>
      <w:divBdr>
        <w:top w:val="none" w:sz="0" w:space="0" w:color="auto"/>
        <w:left w:val="none" w:sz="0" w:space="0" w:color="auto"/>
        <w:bottom w:val="none" w:sz="0" w:space="0" w:color="auto"/>
        <w:right w:val="none" w:sz="0" w:space="0" w:color="auto"/>
      </w:divBdr>
      <w:divsChild>
        <w:div w:id="2107799851">
          <w:marLeft w:val="0"/>
          <w:marRight w:val="0"/>
          <w:marTop w:val="0"/>
          <w:marBottom w:val="0"/>
          <w:divBdr>
            <w:top w:val="single" w:sz="2" w:space="0" w:color="AAAAAA"/>
            <w:left w:val="single" w:sz="6" w:space="8" w:color="AAAAAA"/>
            <w:bottom w:val="single" w:sz="2" w:space="0" w:color="AAAAAA"/>
            <w:right w:val="single" w:sz="6" w:space="8" w:color="AAAAAA"/>
          </w:divBdr>
          <w:divsChild>
            <w:div w:id="1638685429">
              <w:marLeft w:val="0"/>
              <w:marRight w:val="0"/>
              <w:marTop w:val="0"/>
              <w:marBottom w:val="0"/>
              <w:divBdr>
                <w:top w:val="none" w:sz="0" w:space="0" w:color="auto"/>
                <w:left w:val="none" w:sz="0" w:space="0" w:color="auto"/>
                <w:bottom w:val="none" w:sz="0" w:space="0" w:color="auto"/>
                <w:right w:val="none" w:sz="0" w:space="0" w:color="auto"/>
              </w:divBdr>
              <w:divsChild>
                <w:div w:id="85812010">
                  <w:marLeft w:val="0"/>
                  <w:marRight w:val="0"/>
                  <w:marTop w:val="0"/>
                  <w:marBottom w:val="0"/>
                  <w:divBdr>
                    <w:top w:val="none" w:sz="0" w:space="0" w:color="auto"/>
                    <w:left w:val="none" w:sz="0" w:space="0" w:color="auto"/>
                    <w:bottom w:val="none" w:sz="0" w:space="0" w:color="auto"/>
                    <w:right w:val="none" w:sz="0" w:space="0" w:color="auto"/>
                  </w:divBdr>
                  <w:divsChild>
                    <w:div w:id="1721855140">
                      <w:marLeft w:val="0"/>
                      <w:marRight w:val="2550"/>
                      <w:marTop w:val="0"/>
                      <w:marBottom w:val="48"/>
                      <w:divBdr>
                        <w:top w:val="none" w:sz="0" w:space="0" w:color="auto"/>
                        <w:left w:val="none" w:sz="0" w:space="0" w:color="auto"/>
                        <w:bottom w:val="none" w:sz="0" w:space="0" w:color="auto"/>
                        <w:right w:val="none" w:sz="0" w:space="0" w:color="auto"/>
                      </w:divBdr>
                      <w:divsChild>
                        <w:div w:id="1881540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739579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81">
          <w:marLeft w:val="0"/>
          <w:marRight w:val="0"/>
          <w:marTop w:val="0"/>
          <w:marBottom w:val="0"/>
          <w:divBdr>
            <w:top w:val="none" w:sz="0" w:space="0" w:color="auto"/>
            <w:left w:val="none" w:sz="0" w:space="0" w:color="auto"/>
            <w:bottom w:val="none" w:sz="0" w:space="0" w:color="auto"/>
            <w:right w:val="none" w:sz="0" w:space="0" w:color="auto"/>
          </w:divBdr>
          <w:divsChild>
            <w:div w:id="713622012">
              <w:marLeft w:val="0"/>
              <w:marRight w:val="0"/>
              <w:marTop w:val="0"/>
              <w:marBottom w:val="0"/>
              <w:divBdr>
                <w:top w:val="none" w:sz="0" w:space="0" w:color="auto"/>
                <w:left w:val="none" w:sz="0" w:space="0" w:color="auto"/>
                <w:bottom w:val="none" w:sz="0" w:space="0" w:color="auto"/>
                <w:right w:val="none" w:sz="0" w:space="0" w:color="auto"/>
              </w:divBdr>
              <w:divsChild>
                <w:div w:id="1604846740">
                  <w:marLeft w:val="0"/>
                  <w:marRight w:val="0"/>
                  <w:marTop w:val="0"/>
                  <w:marBottom w:val="0"/>
                  <w:divBdr>
                    <w:top w:val="none" w:sz="0" w:space="0" w:color="auto"/>
                    <w:left w:val="none" w:sz="0" w:space="0" w:color="auto"/>
                    <w:bottom w:val="none" w:sz="0" w:space="0" w:color="auto"/>
                    <w:right w:val="none" w:sz="0" w:space="0" w:color="auto"/>
                  </w:divBdr>
                  <w:divsChild>
                    <w:div w:id="140464416">
                      <w:marLeft w:val="0"/>
                      <w:marRight w:val="0"/>
                      <w:marTop w:val="0"/>
                      <w:marBottom w:val="0"/>
                      <w:divBdr>
                        <w:top w:val="none" w:sz="0" w:space="0" w:color="auto"/>
                        <w:left w:val="none" w:sz="0" w:space="0" w:color="auto"/>
                        <w:bottom w:val="none" w:sz="0" w:space="0" w:color="auto"/>
                        <w:right w:val="none" w:sz="0" w:space="0" w:color="auto"/>
                      </w:divBdr>
                      <w:divsChild>
                        <w:div w:id="1442190638">
                          <w:marLeft w:val="0"/>
                          <w:marRight w:val="0"/>
                          <w:marTop w:val="0"/>
                          <w:marBottom w:val="0"/>
                          <w:divBdr>
                            <w:top w:val="none" w:sz="0" w:space="0" w:color="auto"/>
                            <w:left w:val="none" w:sz="0" w:space="0" w:color="auto"/>
                            <w:bottom w:val="none" w:sz="0" w:space="0" w:color="auto"/>
                            <w:right w:val="none" w:sz="0" w:space="0" w:color="auto"/>
                          </w:divBdr>
                          <w:divsChild>
                            <w:div w:id="1438452205">
                              <w:marLeft w:val="0"/>
                              <w:marRight w:val="0"/>
                              <w:marTop w:val="0"/>
                              <w:marBottom w:val="0"/>
                              <w:divBdr>
                                <w:top w:val="none" w:sz="0" w:space="0" w:color="auto"/>
                                <w:left w:val="none" w:sz="0" w:space="0" w:color="auto"/>
                                <w:bottom w:val="none" w:sz="0" w:space="0" w:color="auto"/>
                                <w:right w:val="none" w:sz="0" w:space="0" w:color="auto"/>
                              </w:divBdr>
                              <w:divsChild>
                                <w:div w:id="666370364">
                                  <w:marLeft w:val="0"/>
                                  <w:marRight w:val="0"/>
                                  <w:marTop w:val="0"/>
                                  <w:marBottom w:val="0"/>
                                  <w:divBdr>
                                    <w:top w:val="none" w:sz="0" w:space="0" w:color="auto"/>
                                    <w:left w:val="none" w:sz="0" w:space="0" w:color="auto"/>
                                    <w:bottom w:val="none" w:sz="0" w:space="0" w:color="auto"/>
                                    <w:right w:val="none" w:sz="0" w:space="0" w:color="auto"/>
                                  </w:divBdr>
                                  <w:divsChild>
                                    <w:div w:id="1708261987">
                                      <w:marLeft w:val="0"/>
                                      <w:marRight w:val="0"/>
                                      <w:marTop w:val="0"/>
                                      <w:marBottom w:val="0"/>
                                      <w:divBdr>
                                        <w:top w:val="none" w:sz="0" w:space="0" w:color="auto"/>
                                        <w:left w:val="none" w:sz="0" w:space="0" w:color="auto"/>
                                        <w:bottom w:val="none" w:sz="0" w:space="0" w:color="auto"/>
                                        <w:right w:val="none" w:sz="0" w:space="0" w:color="auto"/>
                                      </w:divBdr>
                                      <w:divsChild>
                                        <w:div w:id="1617591341">
                                          <w:marLeft w:val="0"/>
                                          <w:marRight w:val="0"/>
                                          <w:marTop w:val="0"/>
                                          <w:marBottom w:val="0"/>
                                          <w:divBdr>
                                            <w:top w:val="none" w:sz="0" w:space="0" w:color="auto"/>
                                            <w:left w:val="none" w:sz="0" w:space="0" w:color="auto"/>
                                            <w:bottom w:val="none" w:sz="0" w:space="0" w:color="auto"/>
                                            <w:right w:val="none" w:sz="0" w:space="0" w:color="auto"/>
                                          </w:divBdr>
                                          <w:divsChild>
                                            <w:div w:id="1892618070">
                                              <w:marLeft w:val="0"/>
                                              <w:marRight w:val="0"/>
                                              <w:marTop w:val="0"/>
                                              <w:marBottom w:val="0"/>
                                              <w:divBdr>
                                                <w:top w:val="none" w:sz="0" w:space="0" w:color="auto"/>
                                                <w:left w:val="none" w:sz="0" w:space="0" w:color="auto"/>
                                                <w:bottom w:val="none" w:sz="0" w:space="0" w:color="auto"/>
                                                <w:right w:val="none" w:sz="0" w:space="0" w:color="auto"/>
                                              </w:divBdr>
                                              <w:divsChild>
                                                <w:div w:id="700327404">
                                                  <w:marLeft w:val="0"/>
                                                  <w:marRight w:val="0"/>
                                                  <w:marTop w:val="0"/>
                                                  <w:marBottom w:val="0"/>
                                                  <w:divBdr>
                                                    <w:top w:val="none" w:sz="0" w:space="0" w:color="auto"/>
                                                    <w:left w:val="none" w:sz="0" w:space="0" w:color="auto"/>
                                                    <w:bottom w:val="none" w:sz="0" w:space="0" w:color="auto"/>
                                                    <w:right w:val="none" w:sz="0" w:space="0" w:color="auto"/>
                                                  </w:divBdr>
                                                  <w:divsChild>
                                                    <w:div w:id="512450875">
                                                      <w:marLeft w:val="0"/>
                                                      <w:marRight w:val="0"/>
                                                      <w:marTop w:val="0"/>
                                                      <w:marBottom w:val="0"/>
                                                      <w:divBdr>
                                                        <w:top w:val="none" w:sz="0" w:space="0" w:color="auto"/>
                                                        <w:left w:val="none" w:sz="0" w:space="0" w:color="auto"/>
                                                        <w:bottom w:val="none" w:sz="0" w:space="0" w:color="auto"/>
                                                        <w:right w:val="none" w:sz="0" w:space="0" w:color="auto"/>
                                                      </w:divBdr>
                                                      <w:divsChild>
                                                        <w:div w:id="1466436523">
                                                          <w:marLeft w:val="0"/>
                                                          <w:marRight w:val="0"/>
                                                          <w:marTop w:val="0"/>
                                                          <w:marBottom w:val="0"/>
                                                          <w:divBdr>
                                                            <w:top w:val="none" w:sz="0" w:space="0" w:color="auto"/>
                                                            <w:left w:val="none" w:sz="0" w:space="0" w:color="auto"/>
                                                            <w:bottom w:val="none" w:sz="0" w:space="0" w:color="auto"/>
                                                            <w:right w:val="none" w:sz="0" w:space="0" w:color="auto"/>
                                                          </w:divBdr>
                                                        </w:div>
                                                        <w:div w:id="441724962">
                                                          <w:marLeft w:val="0"/>
                                                          <w:marRight w:val="0"/>
                                                          <w:marTop w:val="0"/>
                                                          <w:marBottom w:val="0"/>
                                                          <w:divBdr>
                                                            <w:top w:val="none" w:sz="0" w:space="0" w:color="auto"/>
                                                            <w:left w:val="none" w:sz="0" w:space="0" w:color="auto"/>
                                                            <w:bottom w:val="none" w:sz="0" w:space="0" w:color="auto"/>
                                                            <w:right w:val="none" w:sz="0" w:space="0" w:color="auto"/>
                                                          </w:divBdr>
                                                          <w:divsChild>
                                                            <w:div w:id="1181089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3958390">
      <w:bodyDiv w:val="1"/>
      <w:marLeft w:val="0"/>
      <w:marRight w:val="0"/>
      <w:marTop w:val="0"/>
      <w:marBottom w:val="0"/>
      <w:divBdr>
        <w:top w:val="none" w:sz="0" w:space="0" w:color="auto"/>
        <w:left w:val="none" w:sz="0" w:space="0" w:color="auto"/>
        <w:bottom w:val="none" w:sz="0" w:space="0" w:color="auto"/>
        <w:right w:val="none" w:sz="0" w:space="0" w:color="auto"/>
      </w:divBdr>
      <w:divsChild>
        <w:div w:id="1637753946">
          <w:marLeft w:val="0"/>
          <w:marRight w:val="0"/>
          <w:marTop w:val="150"/>
          <w:marBottom w:val="0"/>
          <w:divBdr>
            <w:top w:val="none" w:sz="0" w:space="0" w:color="auto"/>
            <w:left w:val="none" w:sz="0" w:space="0" w:color="auto"/>
            <w:bottom w:val="none" w:sz="0" w:space="0" w:color="auto"/>
            <w:right w:val="none" w:sz="0" w:space="0" w:color="auto"/>
          </w:divBdr>
          <w:divsChild>
            <w:div w:id="1987394970">
              <w:marLeft w:val="2"/>
              <w:marRight w:val="2"/>
              <w:marTop w:val="0"/>
              <w:marBottom w:val="0"/>
              <w:divBdr>
                <w:top w:val="none" w:sz="0" w:space="0" w:color="auto"/>
                <w:left w:val="none" w:sz="0" w:space="0" w:color="auto"/>
                <w:bottom w:val="none" w:sz="0" w:space="0" w:color="auto"/>
                <w:right w:val="none" w:sz="0" w:space="0" w:color="auto"/>
              </w:divBdr>
              <w:divsChild>
                <w:div w:id="443039625">
                  <w:marLeft w:val="0"/>
                  <w:marRight w:val="0"/>
                  <w:marTop w:val="0"/>
                  <w:marBottom w:val="0"/>
                  <w:divBdr>
                    <w:top w:val="none" w:sz="0" w:space="0" w:color="auto"/>
                    <w:left w:val="none" w:sz="0" w:space="0" w:color="auto"/>
                    <w:bottom w:val="none" w:sz="0" w:space="0" w:color="auto"/>
                    <w:right w:val="none" w:sz="0" w:space="0" w:color="auto"/>
                  </w:divBdr>
                  <w:divsChild>
                    <w:div w:id="160779607">
                      <w:marLeft w:val="0"/>
                      <w:marRight w:val="0"/>
                      <w:marTop w:val="0"/>
                      <w:marBottom w:val="0"/>
                      <w:divBdr>
                        <w:top w:val="none" w:sz="0" w:space="0" w:color="auto"/>
                        <w:left w:val="none" w:sz="0" w:space="0" w:color="auto"/>
                        <w:bottom w:val="none" w:sz="0" w:space="0" w:color="auto"/>
                        <w:right w:val="none" w:sz="0" w:space="0" w:color="auto"/>
                      </w:divBdr>
                      <w:divsChild>
                        <w:div w:id="1812281695">
                          <w:marLeft w:val="0"/>
                          <w:marRight w:val="0"/>
                          <w:marTop w:val="0"/>
                          <w:marBottom w:val="0"/>
                          <w:divBdr>
                            <w:top w:val="none" w:sz="0" w:space="0" w:color="auto"/>
                            <w:left w:val="none" w:sz="0" w:space="0" w:color="auto"/>
                            <w:bottom w:val="none" w:sz="0" w:space="0" w:color="auto"/>
                            <w:right w:val="none" w:sz="0" w:space="0" w:color="auto"/>
                          </w:divBdr>
                          <w:divsChild>
                            <w:div w:id="1499081153">
                              <w:marLeft w:val="0"/>
                              <w:marRight w:val="0"/>
                              <w:marTop w:val="0"/>
                              <w:marBottom w:val="0"/>
                              <w:divBdr>
                                <w:top w:val="none" w:sz="0" w:space="0" w:color="auto"/>
                                <w:left w:val="none" w:sz="0" w:space="0" w:color="auto"/>
                                <w:bottom w:val="none" w:sz="0" w:space="0" w:color="auto"/>
                                <w:right w:val="none" w:sz="0" w:space="0" w:color="auto"/>
                              </w:divBdr>
                              <w:divsChild>
                                <w:div w:id="796222423">
                                  <w:marLeft w:val="0"/>
                                  <w:marRight w:val="0"/>
                                  <w:marTop w:val="0"/>
                                  <w:marBottom w:val="0"/>
                                  <w:divBdr>
                                    <w:top w:val="none" w:sz="0" w:space="0" w:color="auto"/>
                                    <w:left w:val="none" w:sz="0" w:space="0" w:color="auto"/>
                                    <w:bottom w:val="none" w:sz="0" w:space="0" w:color="auto"/>
                                    <w:right w:val="none" w:sz="0" w:space="0" w:color="auto"/>
                                  </w:divBdr>
                                  <w:divsChild>
                                    <w:div w:id="1887985832">
                                      <w:marLeft w:val="0"/>
                                      <w:marRight w:val="0"/>
                                      <w:marTop w:val="0"/>
                                      <w:marBottom w:val="0"/>
                                      <w:divBdr>
                                        <w:top w:val="none" w:sz="0" w:space="0" w:color="auto"/>
                                        <w:left w:val="none" w:sz="0" w:space="0" w:color="auto"/>
                                        <w:bottom w:val="none" w:sz="0" w:space="0" w:color="auto"/>
                                        <w:right w:val="none" w:sz="0" w:space="0" w:color="auto"/>
                                      </w:divBdr>
                                      <w:divsChild>
                                        <w:div w:id="1096555815">
                                          <w:marLeft w:val="0"/>
                                          <w:marRight w:val="0"/>
                                          <w:marTop w:val="0"/>
                                          <w:marBottom w:val="0"/>
                                          <w:divBdr>
                                            <w:top w:val="none" w:sz="0" w:space="0" w:color="auto"/>
                                            <w:left w:val="none" w:sz="0" w:space="0" w:color="auto"/>
                                            <w:bottom w:val="none" w:sz="0" w:space="0" w:color="auto"/>
                                            <w:right w:val="none" w:sz="0" w:space="0" w:color="auto"/>
                                          </w:divBdr>
                                          <w:divsChild>
                                            <w:div w:id="2095206068">
                                              <w:marLeft w:val="0"/>
                                              <w:marRight w:val="0"/>
                                              <w:marTop w:val="0"/>
                                              <w:marBottom w:val="0"/>
                                              <w:divBdr>
                                                <w:top w:val="none" w:sz="0" w:space="0" w:color="auto"/>
                                                <w:left w:val="none" w:sz="0" w:space="0" w:color="auto"/>
                                                <w:bottom w:val="none" w:sz="0" w:space="0" w:color="auto"/>
                                                <w:right w:val="none" w:sz="0" w:space="0" w:color="auto"/>
                                              </w:divBdr>
                                              <w:divsChild>
                                                <w:div w:id="697390993">
                                                  <w:marLeft w:val="0"/>
                                                  <w:marRight w:val="0"/>
                                                  <w:marTop w:val="0"/>
                                                  <w:marBottom w:val="0"/>
                                                  <w:divBdr>
                                                    <w:top w:val="none" w:sz="0" w:space="0" w:color="auto"/>
                                                    <w:left w:val="none" w:sz="0" w:space="0" w:color="auto"/>
                                                    <w:bottom w:val="none" w:sz="0" w:space="0" w:color="auto"/>
                                                    <w:right w:val="none" w:sz="0" w:space="0" w:color="auto"/>
                                                  </w:divBdr>
                                                </w:div>
                                              </w:divsChild>
                                            </w:div>
                                            <w:div w:id="1375084769">
                                              <w:marLeft w:val="0"/>
                                              <w:marRight w:val="0"/>
                                              <w:marTop w:val="0"/>
                                              <w:marBottom w:val="0"/>
                                              <w:divBdr>
                                                <w:top w:val="none" w:sz="0" w:space="0" w:color="auto"/>
                                                <w:left w:val="none" w:sz="0" w:space="0" w:color="auto"/>
                                                <w:bottom w:val="none" w:sz="0" w:space="0" w:color="auto"/>
                                                <w:right w:val="none" w:sz="0" w:space="0" w:color="auto"/>
                                              </w:divBdr>
                                              <w:divsChild>
                                                <w:div w:id="1789814870">
                                                  <w:marLeft w:val="0"/>
                                                  <w:marRight w:val="0"/>
                                                  <w:marTop w:val="0"/>
                                                  <w:marBottom w:val="0"/>
                                                  <w:divBdr>
                                                    <w:top w:val="none" w:sz="0" w:space="0" w:color="auto"/>
                                                    <w:left w:val="none" w:sz="0" w:space="0" w:color="auto"/>
                                                    <w:bottom w:val="none" w:sz="0" w:space="0" w:color="auto"/>
                                                    <w:right w:val="none" w:sz="0" w:space="0" w:color="auto"/>
                                                  </w:divBdr>
                                                </w:div>
                                              </w:divsChild>
                                            </w:div>
                                            <w:div w:id="1911497088">
                                              <w:marLeft w:val="0"/>
                                              <w:marRight w:val="0"/>
                                              <w:marTop w:val="0"/>
                                              <w:marBottom w:val="0"/>
                                              <w:divBdr>
                                                <w:top w:val="none" w:sz="0" w:space="0" w:color="auto"/>
                                                <w:left w:val="none" w:sz="0" w:space="0" w:color="auto"/>
                                                <w:bottom w:val="none" w:sz="0" w:space="0" w:color="auto"/>
                                                <w:right w:val="none" w:sz="0" w:space="0" w:color="auto"/>
                                              </w:divBdr>
                                              <w:divsChild>
                                                <w:div w:id="1693915517">
                                                  <w:marLeft w:val="0"/>
                                                  <w:marRight w:val="0"/>
                                                  <w:marTop w:val="0"/>
                                                  <w:marBottom w:val="0"/>
                                                  <w:divBdr>
                                                    <w:top w:val="none" w:sz="0" w:space="0" w:color="auto"/>
                                                    <w:left w:val="none" w:sz="0" w:space="0" w:color="auto"/>
                                                    <w:bottom w:val="none" w:sz="0" w:space="0" w:color="auto"/>
                                                    <w:right w:val="none" w:sz="0" w:space="0" w:color="auto"/>
                                                  </w:divBdr>
                                                </w:div>
                                              </w:divsChild>
                                            </w:div>
                                            <w:div w:id="183901655">
                                              <w:marLeft w:val="0"/>
                                              <w:marRight w:val="0"/>
                                              <w:marTop w:val="0"/>
                                              <w:marBottom w:val="0"/>
                                              <w:divBdr>
                                                <w:top w:val="none" w:sz="0" w:space="0" w:color="auto"/>
                                                <w:left w:val="none" w:sz="0" w:space="0" w:color="auto"/>
                                                <w:bottom w:val="none" w:sz="0" w:space="0" w:color="auto"/>
                                                <w:right w:val="none" w:sz="0" w:space="0" w:color="auto"/>
                                              </w:divBdr>
                                              <w:divsChild>
                                                <w:div w:id="9009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262971">
      <w:bodyDiv w:val="1"/>
      <w:marLeft w:val="0"/>
      <w:marRight w:val="0"/>
      <w:marTop w:val="0"/>
      <w:marBottom w:val="0"/>
      <w:divBdr>
        <w:top w:val="none" w:sz="0" w:space="0" w:color="auto"/>
        <w:left w:val="none" w:sz="0" w:space="0" w:color="auto"/>
        <w:bottom w:val="none" w:sz="0" w:space="0" w:color="auto"/>
        <w:right w:val="none" w:sz="0" w:space="0" w:color="auto"/>
      </w:divBdr>
      <w:divsChild>
        <w:div w:id="586689610">
          <w:marLeft w:val="0"/>
          <w:marRight w:val="0"/>
          <w:marTop w:val="0"/>
          <w:marBottom w:val="0"/>
          <w:divBdr>
            <w:top w:val="none" w:sz="0" w:space="0" w:color="auto"/>
            <w:left w:val="none" w:sz="0" w:space="0" w:color="auto"/>
            <w:bottom w:val="none" w:sz="0" w:space="0" w:color="auto"/>
            <w:right w:val="none" w:sz="0" w:space="0" w:color="auto"/>
          </w:divBdr>
          <w:divsChild>
            <w:div w:id="463813343">
              <w:marLeft w:val="0"/>
              <w:marRight w:val="0"/>
              <w:marTop w:val="0"/>
              <w:marBottom w:val="0"/>
              <w:divBdr>
                <w:top w:val="none" w:sz="0" w:space="0" w:color="auto"/>
                <w:left w:val="none" w:sz="0" w:space="0" w:color="auto"/>
                <w:bottom w:val="none" w:sz="0" w:space="0" w:color="auto"/>
                <w:right w:val="none" w:sz="0" w:space="0" w:color="auto"/>
              </w:divBdr>
              <w:divsChild>
                <w:div w:id="1096899815">
                  <w:marLeft w:val="0"/>
                  <w:marRight w:val="0"/>
                  <w:marTop w:val="0"/>
                  <w:marBottom w:val="0"/>
                  <w:divBdr>
                    <w:top w:val="none" w:sz="0" w:space="0" w:color="auto"/>
                    <w:left w:val="none" w:sz="0" w:space="0" w:color="auto"/>
                    <w:bottom w:val="none" w:sz="0" w:space="0" w:color="auto"/>
                    <w:right w:val="none" w:sz="0" w:space="0" w:color="auto"/>
                  </w:divBdr>
                  <w:divsChild>
                    <w:div w:id="2044934733">
                      <w:marLeft w:val="0"/>
                      <w:marRight w:val="0"/>
                      <w:marTop w:val="300"/>
                      <w:marBottom w:val="600"/>
                      <w:divBdr>
                        <w:top w:val="none" w:sz="0" w:space="0" w:color="auto"/>
                        <w:left w:val="none" w:sz="0" w:space="0" w:color="auto"/>
                        <w:bottom w:val="none" w:sz="0" w:space="0" w:color="auto"/>
                        <w:right w:val="none" w:sz="0" w:space="0" w:color="auto"/>
                      </w:divBdr>
                      <w:divsChild>
                        <w:div w:id="903486015">
                          <w:marLeft w:val="0"/>
                          <w:marRight w:val="0"/>
                          <w:marTop w:val="0"/>
                          <w:marBottom w:val="0"/>
                          <w:divBdr>
                            <w:top w:val="none" w:sz="0" w:space="0" w:color="auto"/>
                            <w:left w:val="none" w:sz="0" w:space="0" w:color="auto"/>
                            <w:bottom w:val="none" w:sz="0" w:space="0" w:color="auto"/>
                            <w:right w:val="none" w:sz="0" w:space="0" w:color="auto"/>
                          </w:divBdr>
                          <w:divsChild>
                            <w:div w:id="1353842726">
                              <w:marLeft w:val="0"/>
                              <w:marRight w:val="0"/>
                              <w:marTop w:val="0"/>
                              <w:marBottom w:val="0"/>
                              <w:divBdr>
                                <w:top w:val="none" w:sz="0" w:space="0" w:color="auto"/>
                                <w:left w:val="none" w:sz="0" w:space="0" w:color="auto"/>
                                <w:bottom w:val="none" w:sz="0" w:space="0" w:color="auto"/>
                                <w:right w:val="none" w:sz="0" w:space="0" w:color="auto"/>
                              </w:divBdr>
                              <w:divsChild>
                                <w:div w:id="1585845622">
                                  <w:marLeft w:val="0"/>
                                  <w:marRight w:val="0"/>
                                  <w:marTop w:val="0"/>
                                  <w:marBottom w:val="0"/>
                                  <w:divBdr>
                                    <w:top w:val="none" w:sz="0" w:space="0" w:color="auto"/>
                                    <w:left w:val="none" w:sz="0" w:space="0" w:color="auto"/>
                                    <w:bottom w:val="none" w:sz="0" w:space="0" w:color="auto"/>
                                    <w:right w:val="none" w:sz="0" w:space="0" w:color="auto"/>
                                  </w:divBdr>
                                  <w:divsChild>
                                    <w:div w:id="1459376276">
                                      <w:marLeft w:val="0"/>
                                      <w:marRight w:val="0"/>
                                      <w:marTop w:val="150"/>
                                      <w:marBottom w:val="0"/>
                                      <w:divBdr>
                                        <w:top w:val="none" w:sz="0" w:space="0" w:color="auto"/>
                                        <w:left w:val="none" w:sz="0" w:space="0" w:color="auto"/>
                                        <w:bottom w:val="none" w:sz="0" w:space="0" w:color="auto"/>
                                        <w:right w:val="none" w:sz="0" w:space="0" w:color="auto"/>
                                      </w:divBdr>
                                      <w:divsChild>
                                        <w:div w:id="817766868">
                                          <w:marLeft w:val="0"/>
                                          <w:marRight w:val="0"/>
                                          <w:marTop w:val="0"/>
                                          <w:marBottom w:val="0"/>
                                          <w:divBdr>
                                            <w:top w:val="none" w:sz="0" w:space="0" w:color="auto"/>
                                            <w:left w:val="none" w:sz="0" w:space="0" w:color="auto"/>
                                            <w:bottom w:val="none" w:sz="0" w:space="0" w:color="auto"/>
                                            <w:right w:val="none" w:sz="0" w:space="0" w:color="auto"/>
                                          </w:divBdr>
                                          <w:divsChild>
                                            <w:div w:id="2049645554">
                                              <w:marLeft w:val="0"/>
                                              <w:marRight w:val="0"/>
                                              <w:marTop w:val="0"/>
                                              <w:marBottom w:val="0"/>
                                              <w:divBdr>
                                                <w:top w:val="none" w:sz="0" w:space="0" w:color="auto"/>
                                                <w:left w:val="none" w:sz="0" w:space="0" w:color="auto"/>
                                                <w:bottom w:val="none" w:sz="0" w:space="0" w:color="auto"/>
                                                <w:right w:val="none" w:sz="0" w:space="0" w:color="auto"/>
                                              </w:divBdr>
                                              <w:divsChild>
                                                <w:div w:id="17250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916338">
      <w:bodyDiv w:val="1"/>
      <w:marLeft w:val="0"/>
      <w:marRight w:val="0"/>
      <w:marTop w:val="0"/>
      <w:marBottom w:val="0"/>
      <w:divBdr>
        <w:top w:val="none" w:sz="0" w:space="0" w:color="auto"/>
        <w:left w:val="none" w:sz="0" w:space="0" w:color="auto"/>
        <w:bottom w:val="none" w:sz="0" w:space="0" w:color="auto"/>
        <w:right w:val="none" w:sz="0" w:space="0" w:color="auto"/>
      </w:divBdr>
      <w:divsChild>
        <w:div w:id="40950110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479230051">
      <w:bodyDiv w:val="1"/>
      <w:marLeft w:val="0"/>
      <w:marRight w:val="0"/>
      <w:marTop w:val="0"/>
      <w:marBottom w:val="0"/>
      <w:divBdr>
        <w:top w:val="none" w:sz="0" w:space="0" w:color="auto"/>
        <w:left w:val="none" w:sz="0" w:space="0" w:color="auto"/>
        <w:bottom w:val="none" w:sz="0" w:space="0" w:color="auto"/>
        <w:right w:val="none" w:sz="0" w:space="0" w:color="auto"/>
      </w:divBdr>
      <w:divsChild>
        <w:div w:id="1238786114">
          <w:marLeft w:val="0"/>
          <w:marRight w:val="0"/>
          <w:marTop w:val="375"/>
          <w:marBottom w:val="375"/>
          <w:divBdr>
            <w:top w:val="none" w:sz="0" w:space="0" w:color="auto"/>
            <w:left w:val="none" w:sz="0" w:space="0" w:color="auto"/>
            <w:bottom w:val="none" w:sz="0" w:space="0" w:color="auto"/>
            <w:right w:val="none" w:sz="0" w:space="0" w:color="auto"/>
          </w:divBdr>
        </w:div>
        <w:div w:id="1457404690">
          <w:marLeft w:val="0"/>
          <w:marRight w:val="0"/>
          <w:marTop w:val="0"/>
          <w:marBottom w:val="375"/>
          <w:divBdr>
            <w:top w:val="none" w:sz="0" w:space="0" w:color="auto"/>
            <w:left w:val="none" w:sz="0" w:space="0" w:color="auto"/>
            <w:bottom w:val="none" w:sz="0" w:space="0" w:color="auto"/>
            <w:right w:val="none" w:sz="0" w:space="0" w:color="auto"/>
          </w:divBdr>
        </w:div>
        <w:div w:id="1029797447">
          <w:marLeft w:val="0"/>
          <w:marRight w:val="0"/>
          <w:marTop w:val="375"/>
          <w:marBottom w:val="375"/>
          <w:divBdr>
            <w:top w:val="none" w:sz="0" w:space="0" w:color="auto"/>
            <w:left w:val="none" w:sz="0" w:space="0" w:color="auto"/>
            <w:bottom w:val="none" w:sz="0" w:space="0" w:color="auto"/>
            <w:right w:val="none" w:sz="0" w:space="0" w:color="auto"/>
          </w:divBdr>
        </w:div>
      </w:divsChild>
    </w:div>
    <w:div w:id="479927094">
      <w:bodyDiv w:val="1"/>
      <w:marLeft w:val="0"/>
      <w:marRight w:val="0"/>
      <w:marTop w:val="0"/>
      <w:marBottom w:val="0"/>
      <w:divBdr>
        <w:top w:val="none" w:sz="0" w:space="0" w:color="auto"/>
        <w:left w:val="none" w:sz="0" w:space="0" w:color="auto"/>
        <w:bottom w:val="none" w:sz="0" w:space="0" w:color="auto"/>
        <w:right w:val="none" w:sz="0" w:space="0" w:color="auto"/>
      </w:divBdr>
      <w:divsChild>
        <w:div w:id="397019874">
          <w:marLeft w:val="0"/>
          <w:marRight w:val="0"/>
          <w:marTop w:val="0"/>
          <w:marBottom w:val="0"/>
          <w:divBdr>
            <w:top w:val="none" w:sz="0" w:space="0" w:color="auto"/>
            <w:left w:val="none" w:sz="0" w:space="0" w:color="auto"/>
            <w:bottom w:val="none" w:sz="0" w:space="0" w:color="auto"/>
            <w:right w:val="none" w:sz="0" w:space="0" w:color="auto"/>
          </w:divBdr>
          <w:divsChild>
            <w:div w:id="1239828953">
              <w:marLeft w:val="0"/>
              <w:marRight w:val="0"/>
              <w:marTop w:val="0"/>
              <w:marBottom w:val="0"/>
              <w:divBdr>
                <w:top w:val="none" w:sz="0" w:space="0" w:color="auto"/>
                <w:left w:val="none" w:sz="0" w:space="0" w:color="auto"/>
                <w:bottom w:val="none" w:sz="0" w:space="0" w:color="auto"/>
                <w:right w:val="none" w:sz="0" w:space="0" w:color="auto"/>
              </w:divBdr>
              <w:divsChild>
                <w:div w:id="760642157">
                  <w:marLeft w:val="-225"/>
                  <w:marRight w:val="-225"/>
                  <w:marTop w:val="0"/>
                  <w:marBottom w:val="0"/>
                  <w:divBdr>
                    <w:top w:val="none" w:sz="0" w:space="0" w:color="auto"/>
                    <w:left w:val="none" w:sz="0" w:space="0" w:color="auto"/>
                    <w:bottom w:val="none" w:sz="0" w:space="0" w:color="auto"/>
                    <w:right w:val="none" w:sz="0" w:space="0" w:color="auto"/>
                  </w:divBdr>
                  <w:divsChild>
                    <w:div w:id="500043371">
                      <w:marLeft w:val="0"/>
                      <w:marRight w:val="0"/>
                      <w:marTop w:val="0"/>
                      <w:marBottom w:val="0"/>
                      <w:divBdr>
                        <w:top w:val="none" w:sz="0" w:space="0" w:color="auto"/>
                        <w:left w:val="none" w:sz="0" w:space="0" w:color="auto"/>
                        <w:bottom w:val="none" w:sz="0" w:space="0" w:color="auto"/>
                        <w:right w:val="none" w:sz="0" w:space="0" w:color="auto"/>
                      </w:divBdr>
                      <w:divsChild>
                        <w:div w:id="386688285">
                          <w:marLeft w:val="0"/>
                          <w:marRight w:val="0"/>
                          <w:marTop w:val="1200"/>
                          <w:marBottom w:val="750"/>
                          <w:divBdr>
                            <w:top w:val="none" w:sz="0" w:space="0" w:color="auto"/>
                            <w:left w:val="none" w:sz="0" w:space="0" w:color="auto"/>
                            <w:bottom w:val="none" w:sz="0" w:space="0" w:color="auto"/>
                            <w:right w:val="none" w:sz="0" w:space="0" w:color="auto"/>
                          </w:divBdr>
                          <w:divsChild>
                            <w:div w:id="8142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17469">
      <w:bodyDiv w:val="1"/>
      <w:marLeft w:val="0"/>
      <w:marRight w:val="0"/>
      <w:marTop w:val="0"/>
      <w:marBottom w:val="0"/>
      <w:divBdr>
        <w:top w:val="none" w:sz="0" w:space="0" w:color="auto"/>
        <w:left w:val="none" w:sz="0" w:space="0" w:color="auto"/>
        <w:bottom w:val="none" w:sz="0" w:space="0" w:color="auto"/>
        <w:right w:val="none" w:sz="0" w:space="0" w:color="auto"/>
      </w:divBdr>
    </w:div>
    <w:div w:id="482040604">
      <w:bodyDiv w:val="1"/>
      <w:marLeft w:val="0"/>
      <w:marRight w:val="0"/>
      <w:marTop w:val="0"/>
      <w:marBottom w:val="0"/>
      <w:divBdr>
        <w:top w:val="none" w:sz="0" w:space="0" w:color="auto"/>
        <w:left w:val="none" w:sz="0" w:space="0" w:color="auto"/>
        <w:bottom w:val="none" w:sz="0" w:space="0" w:color="auto"/>
        <w:right w:val="none" w:sz="0" w:space="0" w:color="auto"/>
      </w:divBdr>
      <w:divsChild>
        <w:div w:id="906303584">
          <w:marLeft w:val="0"/>
          <w:marRight w:val="0"/>
          <w:marTop w:val="0"/>
          <w:marBottom w:val="0"/>
          <w:divBdr>
            <w:top w:val="none" w:sz="0" w:space="0" w:color="auto"/>
            <w:left w:val="none" w:sz="0" w:space="0" w:color="auto"/>
            <w:bottom w:val="none" w:sz="0" w:space="0" w:color="auto"/>
            <w:right w:val="none" w:sz="0" w:space="0" w:color="auto"/>
          </w:divBdr>
          <w:divsChild>
            <w:div w:id="811874803">
              <w:marLeft w:val="0"/>
              <w:marRight w:val="0"/>
              <w:marTop w:val="0"/>
              <w:marBottom w:val="0"/>
              <w:divBdr>
                <w:top w:val="none" w:sz="0" w:space="0" w:color="auto"/>
                <w:left w:val="none" w:sz="0" w:space="0" w:color="auto"/>
                <w:bottom w:val="none" w:sz="0" w:space="0" w:color="auto"/>
                <w:right w:val="none" w:sz="0" w:space="0" w:color="auto"/>
              </w:divBdr>
              <w:divsChild>
                <w:div w:id="696199996">
                  <w:marLeft w:val="0"/>
                  <w:marRight w:val="0"/>
                  <w:marTop w:val="0"/>
                  <w:marBottom w:val="0"/>
                  <w:divBdr>
                    <w:top w:val="single" w:sz="6" w:space="0" w:color="F4F2F2"/>
                    <w:left w:val="single" w:sz="6" w:space="0" w:color="F4F2F2"/>
                    <w:bottom w:val="single" w:sz="6" w:space="0" w:color="F4F2F2"/>
                    <w:right w:val="single" w:sz="6" w:space="0" w:color="F4F2F2"/>
                  </w:divBdr>
                  <w:divsChild>
                    <w:div w:id="1770194617">
                      <w:marLeft w:val="0"/>
                      <w:marRight w:val="0"/>
                      <w:marTop w:val="0"/>
                      <w:marBottom w:val="0"/>
                      <w:divBdr>
                        <w:top w:val="none" w:sz="0" w:space="0" w:color="auto"/>
                        <w:left w:val="none" w:sz="0" w:space="0" w:color="auto"/>
                        <w:bottom w:val="none" w:sz="0" w:space="0" w:color="auto"/>
                        <w:right w:val="none" w:sz="0" w:space="0" w:color="auto"/>
                      </w:divBdr>
                    </w:div>
                    <w:div w:id="17077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46217">
      <w:bodyDiv w:val="1"/>
      <w:marLeft w:val="0"/>
      <w:marRight w:val="0"/>
      <w:marTop w:val="0"/>
      <w:marBottom w:val="0"/>
      <w:divBdr>
        <w:top w:val="none" w:sz="0" w:space="0" w:color="auto"/>
        <w:left w:val="none" w:sz="0" w:space="0" w:color="auto"/>
        <w:bottom w:val="none" w:sz="0" w:space="0" w:color="auto"/>
        <w:right w:val="none" w:sz="0" w:space="0" w:color="auto"/>
      </w:divBdr>
      <w:divsChild>
        <w:div w:id="1050224403">
          <w:marLeft w:val="0"/>
          <w:marRight w:val="0"/>
          <w:marTop w:val="0"/>
          <w:marBottom w:val="0"/>
          <w:divBdr>
            <w:top w:val="none" w:sz="0" w:space="0" w:color="auto"/>
            <w:left w:val="none" w:sz="0" w:space="0" w:color="auto"/>
            <w:bottom w:val="none" w:sz="0" w:space="0" w:color="auto"/>
            <w:right w:val="none" w:sz="0" w:space="0" w:color="auto"/>
          </w:divBdr>
          <w:divsChild>
            <w:div w:id="954948286">
              <w:marLeft w:val="0"/>
              <w:marRight w:val="0"/>
              <w:marTop w:val="150"/>
              <w:marBottom w:val="0"/>
              <w:divBdr>
                <w:top w:val="none" w:sz="0" w:space="0" w:color="auto"/>
                <w:left w:val="none" w:sz="0" w:space="0" w:color="auto"/>
                <w:bottom w:val="none" w:sz="0" w:space="0" w:color="auto"/>
                <w:right w:val="none" w:sz="0" w:space="0" w:color="auto"/>
              </w:divBdr>
              <w:divsChild>
                <w:div w:id="1743480037">
                  <w:marLeft w:val="0"/>
                  <w:marRight w:val="0"/>
                  <w:marTop w:val="0"/>
                  <w:marBottom w:val="0"/>
                  <w:divBdr>
                    <w:top w:val="none" w:sz="0" w:space="0" w:color="auto"/>
                    <w:left w:val="none" w:sz="0" w:space="0" w:color="auto"/>
                    <w:bottom w:val="none" w:sz="0" w:space="0" w:color="auto"/>
                    <w:right w:val="none" w:sz="0" w:space="0" w:color="auto"/>
                  </w:divBdr>
                  <w:divsChild>
                    <w:div w:id="2145416713">
                      <w:marLeft w:val="0"/>
                      <w:marRight w:val="0"/>
                      <w:marTop w:val="0"/>
                      <w:marBottom w:val="0"/>
                      <w:divBdr>
                        <w:top w:val="none" w:sz="0" w:space="0" w:color="auto"/>
                        <w:left w:val="none" w:sz="0" w:space="0" w:color="auto"/>
                        <w:bottom w:val="none" w:sz="0" w:space="0" w:color="auto"/>
                        <w:right w:val="none" w:sz="0" w:space="0" w:color="auto"/>
                      </w:divBdr>
                      <w:divsChild>
                        <w:div w:id="11065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964175">
      <w:bodyDiv w:val="1"/>
      <w:marLeft w:val="0"/>
      <w:marRight w:val="0"/>
      <w:marTop w:val="0"/>
      <w:marBottom w:val="0"/>
      <w:divBdr>
        <w:top w:val="none" w:sz="0" w:space="0" w:color="auto"/>
        <w:left w:val="none" w:sz="0" w:space="0" w:color="auto"/>
        <w:bottom w:val="none" w:sz="0" w:space="0" w:color="auto"/>
        <w:right w:val="none" w:sz="0" w:space="0" w:color="auto"/>
      </w:divBdr>
      <w:divsChild>
        <w:div w:id="91974561">
          <w:marLeft w:val="0"/>
          <w:marRight w:val="0"/>
          <w:marTop w:val="0"/>
          <w:marBottom w:val="0"/>
          <w:divBdr>
            <w:top w:val="none" w:sz="0" w:space="0" w:color="auto"/>
            <w:left w:val="none" w:sz="0" w:space="0" w:color="auto"/>
            <w:bottom w:val="none" w:sz="0" w:space="0" w:color="auto"/>
            <w:right w:val="none" w:sz="0" w:space="0" w:color="auto"/>
          </w:divBdr>
          <w:divsChild>
            <w:div w:id="1237521289">
              <w:marLeft w:val="0"/>
              <w:marRight w:val="0"/>
              <w:marTop w:val="0"/>
              <w:marBottom w:val="0"/>
              <w:divBdr>
                <w:top w:val="none" w:sz="0" w:space="0" w:color="auto"/>
                <w:left w:val="none" w:sz="0" w:space="0" w:color="auto"/>
                <w:bottom w:val="none" w:sz="0" w:space="0" w:color="auto"/>
                <w:right w:val="none" w:sz="0" w:space="0" w:color="auto"/>
              </w:divBdr>
              <w:divsChild>
                <w:div w:id="36778169">
                  <w:marLeft w:val="0"/>
                  <w:marRight w:val="0"/>
                  <w:marTop w:val="0"/>
                  <w:marBottom w:val="0"/>
                  <w:divBdr>
                    <w:top w:val="none" w:sz="0" w:space="0" w:color="auto"/>
                    <w:left w:val="none" w:sz="0" w:space="0" w:color="auto"/>
                    <w:bottom w:val="none" w:sz="0" w:space="0" w:color="auto"/>
                    <w:right w:val="none" w:sz="0" w:space="0" w:color="auto"/>
                  </w:divBdr>
                  <w:divsChild>
                    <w:div w:id="1709183798">
                      <w:marLeft w:val="0"/>
                      <w:marRight w:val="0"/>
                      <w:marTop w:val="300"/>
                      <w:marBottom w:val="0"/>
                      <w:divBdr>
                        <w:top w:val="none" w:sz="0" w:space="0" w:color="auto"/>
                        <w:left w:val="none" w:sz="0" w:space="0" w:color="auto"/>
                        <w:bottom w:val="none" w:sz="0" w:space="0" w:color="auto"/>
                        <w:right w:val="none" w:sz="0" w:space="0" w:color="auto"/>
                      </w:divBdr>
                      <w:divsChild>
                        <w:div w:id="1996643317">
                          <w:marLeft w:val="0"/>
                          <w:marRight w:val="0"/>
                          <w:marTop w:val="0"/>
                          <w:marBottom w:val="0"/>
                          <w:divBdr>
                            <w:top w:val="none" w:sz="0" w:space="0" w:color="auto"/>
                            <w:left w:val="none" w:sz="0" w:space="0" w:color="auto"/>
                            <w:bottom w:val="none" w:sz="0" w:space="0" w:color="auto"/>
                            <w:right w:val="none" w:sz="0" w:space="0" w:color="auto"/>
                          </w:divBdr>
                        </w:div>
                      </w:divsChild>
                    </w:div>
                    <w:div w:id="21371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1208">
      <w:bodyDiv w:val="1"/>
      <w:marLeft w:val="0"/>
      <w:marRight w:val="0"/>
      <w:marTop w:val="0"/>
      <w:marBottom w:val="0"/>
      <w:divBdr>
        <w:top w:val="none" w:sz="0" w:space="0" w:color="auto"/>
        <w:left w:val="none" w:sz="0" w:space="0" w:color="auto"/>
        <w:bottom w:val="none" w:sz="0" w:space="0" w:color="auto"/>
        <w:right w:val="none" w:sz="0" w:space="0" w:color="auto"/>
      </w:divBdr>
    </w:div>
    <w:div w:id="484666409">
      <w:bodyDiv w:val="1"/>
      <w:marLeft w:val="0"/>
      <w:marRight w:val="0"/>
      <w:marTop w:val="0"/>
      <w:marBottom w:val="0"/>
      <w:divBdr>
        <w:top w:val="none" w:sz="0" w:space="0" w:color="auto"/>
        <w:left w:val="none" w:sz="0" w:space="0" w:color="auto"/>
        <w:bottom w:val="none" w:sz="0" w:space="0" w:color="auto"/>
        <w:right w:val="none" w:sz="0" w:space="0" w:color="auto"/>
      </w:divBdr>
      <w:divsChild>
        <w:div w:id="1063024769">
          <w:marLeft w:val="0"/>
          <w:marRight w:val="0"/>
          <w:marTop w:val="0"/>
          <w:marBottom w:val="0"/>
          <w:divBdr>
            <w:top w:val="none" w:sz="0" w:space="0" w:color="auto"/>
            <w:left w:val="none" w:sz="0" w:space="0" w:color="auto"/>
            <w:bottom w:val="none" w:sz="0" w:space="0" w:color="auto"/>
            <w:right w:val="none" w:sz="0" w:space="0" w:color="auto"/>
          </w:divBdr>
          <w:divsChild>
            <w:div w:id="1422800574">
              <w:marLeft w:val="0"/>
              <w:marRight w:val="0"/>
              <w:marTop w:val="0"/>
              <w:marBottom w:val="0"/>
              <w:divBdr>
                <w:top w:val="none" w:sz="0" w:space="0" w:color="auto"/>
                <w:left w:val="none" w:sz="0" w:space="0" w:color="auto"/>
                <w:bottom w:val="none" w:sz="0" w:space="0" w:color="auto"/>
                <w:right w:val="none" w:sz="0" w:space="0" w:color="auto"/>
              </w:divBdr>
              <w:divsChild>
                <w:div w:id="1677147396">
                  <w:marLeft w:val="0"/>
                  <w:marRight w:val="0"/>
                  <w:marTop w:val="0"/>
                  <w:marBottom w:val="0"/>
                  <w:divBdr>
                    <w:top w:val="none" w:sz="0" w:space="0" w:color="auto"/>
                    <w:left w:val="none" w:sz="0" w:space="0" w:color="auto"/>
                    <w:bottom w:val="none" w:sz="0" w:space="0" w:color="auto"/>
                    <w:right w:val="none" w:sz="0" w:space="0" w:color="auto"/>
                  </w:divBdr>
                  <w:divsChild>
                    <w:div w:id="566039259">
                      <w:marLeft w:val="0"/>
                      <w:marRight w:val="0"/>
                      <w:marTop w:val="0"/>
                      <w:marBottom w:val="0"/>
                      <w:divBdr>
                        <w:top w:val="none" w:sz="0" w:space="0" w:color="auto"/>
                        <w:left w:val="none" w:sz="0" w:space="0" w:color="auto"/>
                        <w:bottom w:val="none" w:sz="0" w:space="0" w:color="auto"/>
                        <w:right w:val="none" w:sz="0" w:space="0" w:color="auto"/>
                      </w:divBdr>
                      <w:divsChild>
                        <w:div w:id="1969311253">
                          <w:marLeft w:val="0"/>
                          <w:marRight w:val="0"/>
                          <w:marTop w:val="0"/>
                          <w:marBottom w:val="0"/>
                          <w:divBdr>
                            <w:top w:val="none" w:sz="0" w:space="0" w:color="auto"/>
                            <w:left w:val="none" w:sz="0" w:space="0" w:color="auto"/>
                            <w:bottom w:val="none" w:sz="0" w:space="0" w:color="auto"/>
                            <w:right w:val="none" w:sz="0" w:space="0" w:color="auto"/>
                          </w:divBdr>
                          <w:divsChild>
                            <w:div w:id="2083286490">
                              <w:marLeft w:val="0"/>
                              <w:marRight w:val="0"/>
                              <w:marTop w:val="0"/>
                              <w:marBottom w:val="0"/>
                              <w:divBdr>
                                <w:top w:val="none" w:sz="0" w:space="0" w:color="auto"/>
                                <w:left w:val="none" w:sz="0" w:space="0" w:color="auto"/>
                                <w:bottom w:val="none" w:sz="0" w:space="0" w:color="auto"/>
                                <w:right w:val="none" w:sz="0" w:space="0" w:color="auto"/>
                              </w:divBdr>
                              <w:divsChild>
                                <w:div w:id="1231890738">
                                  <w:marLeft w:val="0"/>
                                  <w:marRight w:val="0"/>
                                  <w:marTop w:val="0"/>
                                  <w:marBottom w:val="0"/>
                                  <w:divBdr>
                                    <w:top w:val="none" w:sz="0" w:space="0" w:color="auto"/>
                                    <w:left w:val="none" w:sz="0" w:space="0" w:color="auto"/>
                                    <w:bottom w:val="none" w:sz="0" w:space="0" w:color="auto"/>
                                    <w:right w:val="none" w:sz="0" w:space="0" w:color="auto"/>
                                  </w:divBdr>
                                  <w:divsChild>
                                    <w:div w:id="416749712">
                                      <w:marLeft w:val="0"/>
                                      <w:marRight w:val="0"/>
                                      <w:marTop w:val="0"/>
                                      <w:marBottom w:val="0"/>
                                      <w:divBdr>
                                        <w:top w:val="none" w:sz="0" w:space="0" w:color="auto"/>
                                        <w:left w:val="none" w:sz="0" w:space="0" w:color="auto"/>
                                        <w:bottom w:val="none" w:sz="0" w:space="0" w:color="auto"/>
                                        <w:right w:val="none" w:sz="0" w:space="0" w:color="auto"/>
                                      </w:divBdr>
                                      <w:divsChild>
                                        <w:div w:id="19361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711568">
      <w:bodyDiv w:val="1"/>
      <w:marLeft w:val="0"/>
      <w:marRight w:val="0"/>
      <w:marTop w:val="0"/>
      <w:marBottom w:val="0"/>
      <w:divBdr>
        <w:top w:val="none" w:sz="0" w:space="0" w:color="auto"/>
        <w:left w:val="none" w:sz="0" w:space="0" w:color="auto"/>
        <w:bottom w:val="none" w:sz="0" w:space="0" w:color="auto"/>
        <w:right w:val="none" w:sz="0" w:space="0" w:color="auto"/>
      </w:divBdr>
      <w:divsChild>
        <w:div w:id="1373967445">
          <w:marLeft w:val="0"/>
          <w:marRight w:val="0"/>
          <w:marTop w:val="0"/>
          <w:marBottom w:val="0"/>
          <w:divBdr>
            <w:top w:val="single" w:sz="2" w:space="0" w:color="AAAAAA"/>
            <w:left w:val="single" w:sz="6" w:space="8" w:color="AAAAAA"/>
            <w:bottom w:val="single" w:sz="2" w:space="0" w:color="AAAAAA"/>
            <w:right w:val="single" w:sz="6" w:space="8" w:color="AAAAAA"/>
          </w:divBdr>
          <w:divsChild>
            <w:div w:id="69158492">
              <w:marLeft w:val="0"/>
              <w:marRight w:val="0"/>
              <w:marTop w:val="0"/>
              <w:marBottom w:val="0"/>
              <w:divBdr>
                <w:top w:val="none" w:sz="0" w:space="0" w:color="auto"/>
                <w:left w:val="none" w:sz="0" w:space="0" w:color="auto"/>
                <w:bottom w:val="none" w:sz="0" w:space="0" w:color="auto"/>
                <w:right w:val="none" w:sz="0" w:space="0" w:color="auto"/>
              </w:divBdr>
              <w:divsChild>
                <w:div w:id="1340887489">
                  <w:marLeft w:val="0"/>
                  <w:marRight w:val="0"/>
                  <w:marTop w:val="0"/>
                  <w:marBottom w:val="0"/>
                  <w:divBdr>
                    <w:top w:val="none" w:sz="0" w:space="0" w:color="auto"/>
                    <w:left w:val="none" w:sz="0" w:space="0" w:color="auto"/>
                    <w:bottom w:val="none" w:sz="0" w:space="0" w:color="auto"/>
                    <w:right w:val="none" w:sz="0" w:space="0" w:color="auto"/>
                  </w:divBdr>
                  <w:divsChild>
                    <w:div w:id="1669746906">
                      <w:marLeft w:val="0"/>
                      <w:marRight w:val="2550"/>
                      <w:marTop w:val="0"/>
                      <w:marBottom w:val="48"/>
                      <w:divBdr>
                        <w:top w:val="none" w:sz="0" w:space="0" w:color="auto"/>
                        <w:left w:val="none" w:sz="0" w:space="0" w:color="auto"/>
                        <w:bottom w:val="none" w:sz="0" w:space="0" w:color="auto"/>
                        <w:right w:val="none" w:sz="0" w:space="0" w:color="auto"/>
                      </w:divBdr>
                      <w:divsChild>
                        <w:div w:id="573782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5828059">
      <w:bodyDiv w:val="1"/>
      <w:marLeft w:val="0"/>
      <w:marRight w:val="0"/>
      <w:marTop w:val="0"/>
      <w:marBottom w:val="0"/>
      <w:divBdr>
        <w:top w:val="none" w:sz="0" w:space="0" w:color="auto"/>
        <w:left w:val="none" w:sz="0" w:space="0" w:color="auto"/>
        <w:bottom w:val="none" w:sz="0" w:space="0" w:color="auto"/>
        <w:right w:val="none" w:sz="0" w:space="0" w:color="auto"/>
      </w:divBdr>
    </w:div>
    <w:div w:id="487480545">
      <w:bodyDiv w:val="1"/>
      <w:marLeft w:val="0"/>
      <w:marRight w:val="0"/>
      <w:marTop w:val="0"/>
      <w:marBottom w:val="0"/>
      <w:divBdr>
        <w:top w:val="none" w:sz="0" w:space="0" w:color="auto"/>
        <w:left w:val="none" w:sz="0" w:space="0" w:color="auto"/>
        <w:bottom w:val="none" w:sz="0" w:space="0" w:color="auto"/>
        <w:right w:val="none" w:sz="0" w:space="0" w:color="auto"/>
      </w:divBdr>
    </w:div>
    <w:div w:id="487791260">
      <w:bodyDiv w:val="1"/>
      <w:marLeft w:val="0"/>
      <w:marRight w:val="0"/>
      <w:marTop w:val="0"/>
      <w:marBottom w:val="0"/>
      <w:divBdr>
        <w:top w:val="none" w:sz="0" w:space="0" w:color="auto"/>
        <w:left w:val="none" w:sz="0" w:space="0" w:color="auto"/>
        <w:bottom w:val="none" w:sz="0" w:space="0" w:color="auto"/>
        <w:right w:val="none" w:sz="0" w:space="0" w:color="auto"/>
      </w:divBdr>
      <w:divsChild>
        <w:div w:id="294987019">
          <w:marLeft w:val="0"/>
          <w:marRight w:val="0"/>
          <w:marTop w:val="0"/>
          <w:marBottom w:val="0"/>
          <w:divBdr>
            <w:top w:val="none" w:sz="0" w:space="0" w:color="auto"/>
            <w:left w:val="none" w:sz="0" w:space="0" w:color="auto"/>
            <w:bottom w:val="none" w:sz="0" w:space="0" w:color="auto"/>
            <w:right w:val="none" w:sz="0" w:space="0" w:color="auto"/>
          </w:divBdr>
          <w:divsChild>
            <w:div w:id="632297107">
              <w:marLeft w:val="0"/>
              <w:marRight w:val="0"/>
              <w:marTop w:val="0"/>
              <w:marBottom w:val="0"/>
              <w:divBdr>
                <w:top w:val="none" w:sz="0" w:space="0" w:color="auto"/>
                <w:left w:val="none" w:sz="0" w:space="0" w:color="auto"/>
                <w:bottom w:val="none" w:sz="0" w:space="0" w:color="auto"/>
                <w:right w:val="none" w:sz="0" w:space="0" w:color="auto"/>
              </w:divBdr>
              <w:divsChild>
                <w:div w:id="602301628">
                  <w:marLeft w:val="0"/>
                  <w:marRight w:val="0"/>
                  <w:marTop w:val="0"/>
                  <w:marBottom w:val="0"/>
                  <w:divBdr>
                    <w:top w:val="none" w:sz="0" w:space="0" w:color="auto"/>
                    <w:left w:val="none" w:sz="0" w:space="0" w:color="auto"/>
                    <w:bottom w:val="none" w:sz="0" w:space="0" w:color="auto"/>
                    <w:right w:val="none" w:sz="0" w:space="0" w:color="auto"/>
                  </w:divBdr>
                  <w:divsChild>
                    <w:div w:id="239170339">
                      <w:marLeft w:val="0"/>
                      <w:marRight w:val="0"/>
                      <w:marTop w:val="0"/>
                      <w:marBottom w:val="0"/>
                      <w:divBdr>
                        <w:top w:val="none" w:sz="0" w:space="0" w:color="auto"/>
                        <w:left w:val="none" w:sz="0" w:space="0" w:color="auto"/>
                        <w:bottom w:val="none" w:sz="0" w:space="0" w:color="auto"/>
                        <w:right w:val="none" w:sz="0" w:space="0" w:color="auto"/>
                      </w:divBdr>
                      <w:divsChild>
                        <w:div w:id="664892665">
                          <w:marLeft w:val="0"/>
                          <w:marRight w:val="0"/>
                          <w:marTop w:val="0"/>
                          <w:marBottom w:val="0"/>
                          <w:divBdr>
                            <w:top w:val="none" w:sz="0" w:space="0" w:color="auto"/>
                            <w:left w:val="none" w:sz="0" w:space="0" w:color="auto"/>
                            <w:bottom w:val="none" w:sz="0" w:space="0" w:color="auto"/>
                            <w:right w:val="none" w:sz="0" w:space="0" w:color="auto"/>
                          </w:divBdr>
                          <w:divsChild>
                            <w:div w:id="442455037">
                              <w:marLeft w:val="0"/>
                              <w:marRight w:val="0"/>
                              <w:marTop w:val="0"/>
                              <w:marBottom w:val="0"/>
                              <w:divBdr>
                                <w:top w:val="none" w:sz="0" w:space="0" w:color="auto"/>
                                <w:left w:val="none" w:sz="0" w:space="0" w:color="auto"/>
                                <w:bottom w:val="none" w:sz="0" w:space="0" w:color="auto"/>
                                <w:right w:val="none" w:sz="0" w:space="0" w:color="auto"/>
                              </w:divBdr>
                              <w:divsChild>
                                <w:div w:id="884760290">
                                  <w:marLeft w:val="0"/>
                                  <w:marRight w:val="0"/>
                                  <w:marTop w:val="0"/>
                                  <w:marBottom w:val="0"/>
                                  <w:divBdr>
                                    <w:top w:val="none" w:sz="0" w:space="0" w:color="auto"/>
                                    <w:left w:val="none" w:sz="0" w:space="0" w:color="auto"/>
                                    <w:bottom w:val="none" w:sz="0" w:space="0" w:color="auto"/>
                                    <w:right w:val="none" w:sz="0" w:space="0" w:color="auto"/>
                                  </w:divBdr>
                                  <w:divsChild>
                                    <w:div w:id="1682705640">
                                      <w:marLeft w:val="0"/>
                                      <w:marRight w:val="0"/>
                                      <w:marTop w:val="0"/>
                                      <w:marBottom w:val="0"/>
                                      <w:divBdr>
                                        <w:top w:val="none" w:sz="0" w:space="0" w:color="auto"/>
                                        <w:left w:val="none" w:sz="0" w:space="0" w:color="auto"/>
                                        <w:bottom w:val="none" w:sz="0" w:space="0" w:color="auto"/>
                                        <w:right w:val="none" w:sz="0" w:space="0" w:color="auto"/>
                                      </w:divBdr>
                                      <w:divsChild>
                                        <w:div w:id="1495686320">
                                          <w:marLeft w:val="0"/>
                                          <w:marRight w:val="0"/>
                                          <w:marTop w:val="0"/>
                                          <w:marBottom w:val="0"/>
                                          <w:divBdr>
                                            <w:top w:val="none" w:sz="0" w:space="0" w:color="auto"/>
                                            <w:left w:val="none" w:sz="0" w:space="0" w:color="auto"/>
                                            <w:bottom w:val="none" w:sz="0" w:space="0" w:color="auto"/>
                                            <w:right w:val="none" w:sz="0" w:space="0" w:color="auto"/>
                                          </w:divBdr>
                                          <w:divsChild>
                                            <w:div w:id="591276264">
                                              <w:marLeft w:val="0"/>
                                              <w:marRight w:val="0"/>
                                              <w:marTop w:val="0"/>
                                              <w:marBottom w:val="0"/>
                                              <w:divBdr>
                                                <w:top w:val="none" w:sz="0" w:space="0" w:color="auto"/>
                                                <w:left w:val="none" w:sz="0" w:space="0" w:color="auto"/>
                                                <w:bottom w:val="none" w:sz="0" w:space="0" w:color="auto"/>
                                                <w:right w:val="none" w:sz="0" w:space="0" w:color="auto"/>
                                              </w:divBdr>
                                              <w:divsChild>
                                                <w:div w:id="479542754">
                                                  <w:marLeft w:val="0"/>
                                                  <w:marRight w:val="0"/>
                                                  <w:marTop w:val="0"/>
                                                  <w:marBottom w:val="0"/>
                                                  <w:divBdr>
                                                    <w:top w:val="none" w:sz="0" w:space="0" w:color="auto"/>
                                                    <w:left w:val="none" w:sz="0" w:space="0" w:color="auto"/>
                                                    <w:bottom w:val="none" w:sz="0" w:space="0" w:color="auto"/>
                                                    <w:right w:val="none" w:sz="0" w:space="0" w:color="auto"/>
                                                  </w:divBdr>
                                                  <w:divsChild>
                                                    <w:div w:id="1659110711">
                                                      <w:marLeft w:val="0"/>
                                                      <w:marRight w:val="0"/>
                                                      <w:marTop w:val="0"/>
                                                      <w:marBottom w:val="0"/>
                                                      <w:divBdr>
                                                        <w:top w:val="none" w:sz="0" w:space="0" w:color="auto"/>
                                                        <w:left w:val="none" w:sz="0" w:space="0" w:color="auto"/>
                                                        <w:bottom w:val="none" w:sz="0" w:space="0" w:color="auto"/>
                                                        <w:right w:val="none" w:sz="0" w:space="0" w:color="auto"/>
                                                      </w:divBdr>
                                                      <w:divsChild>
                                                        <w:div w:id="1493519033">
                                                          <w:marLeft w:val="0"/>
                                                          <w:marRight w:val="0"/>
                                                          <w:marTop w:val="0"/>
                                                          <w:marBottom w:val="0"/>
                                                          <w:divBdr>
                                                            <w:top w:val="none" w:sz="0" w:space="0" w:color="auto"/>
                                                            <w:left w:val="none" w:sz="0" w:space="0" w:color="auto"/>
                                                            <w:bottom w:val="none" w:sz="0" w:space="0" w:color="auto"/>
                                                            <w:right w:val="none" w:sz="0" w:space="0" w:color="auto"/>
                                                          </w:divBdr>
                                                        </w:div>
                                                        <w:div w:id="418989971">
                                                          <w:marLeft w:val="0"/>
                                                          <w:marRight w:val="0"/>
                                                          <w:marTop w:val="0"/>
                                                          <w:marBottom w:val="0"/>
                                                          <w:divBdr>
                                                            <w:top w:val="none" w:sz="0" w:space="0" w:color="auto"/>
                                                            <w:left w:val="none" w:sz="0" w:space="0" w:color="auto"/>
                                                            <w:bottom w:val="none" w:sz="0" w:space="0" w:color="auto"/>
                                                            <w:right w:val="none" w:sz="0" w:space="0" w:color="auto"/>
                                                          </w:divBdr>
                                                          <w:divsChild>
                                                            <w:div w:id="96377443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7862530">
      <w:bodyDiv w:val="1"/>
      <w:marLeft w:val="0"/>
      <w:marRight w:val="0"/>
      <w:marTop w:val="0"/>
      <w:marBottom w:val="0"/>
      <w:divBdr>
        <w:top w:val="none" w:sz="0" w:space="0" w:color="auto"/>
        <w:left w:val="none" w:sz="0" w:space="0" w:color="auto"/>
        <w:bottom w:val="none" w:sz="0" w:space="0" w:color="auto"/>
        <w:right w:val="none" w:sz="0" w:space="0" w:color="auto"/>
      </w:divBdr>
    </w:div>
    <w:div w:id="487943102">
      <w:bodyDiv w:val="1"/>
      <w:marLeft w:val="0"/>
      <w:marRight w:val="0"/>
      <w:marTop w:val="0"/>
      <w:marBottom w:val="0"/>
      <w:divBdr>
        <w:top w:val="none" w:sz="0" w:space="0" w:color="auto"/>
        <w:left w:val="none" w:sz="0" w:space="0" w:color="auto"/>
        <w:bottom w:val="none" w:sz="0" w:space="0" w:color="auto"/>
        <w:right w:val="none" w:sz="0" w:space="0" w:color="auto"/>
      </w:divBdr>
      <w:divsChild>
        <w:div w:id="933132901">
          <w:marLeft w:val="0"/>
          <w:marRight w:val="105"/>
          <w:marTop w:val="0"/>
          <w:marBottom w:val="0"/>
          <w:divBdr>
            <w:top w:val="single" w:sz="6" w:space="0" w:color="D1D1D1"/>
            <w:left w:val="single" w:sz="6" w:space="0" w:color="D1D1D1"/>
            <w:bottom w:val="none" w:sz="0" w:space="0" w:color="auto"/>
            <w:right w:val="none" w:sz="0" w:space="0" w:color="auto"/>
          </w:divBdr>
          <w:divsChild>
            <w:div w:id="434136446">
              <w:marLeft w:val="0"/>
              <w:marRight w:val="0"/>
              <w:marTop w:val="0"/>
              <w:marBottom w:val="0"/>
              <w:divBdr>
                <w:top w:val="none" w:sz="0" w:space="0" w:color="auto"/>
                <w:left w:val="none" w:sz="0" w:space="0" w:color="auto"/>
                <w:bottom w:val="none" w:sz="0" w:space="0" w:color="auto"/>
                <w:right w:val="none" w:sz="0" w:space="0" w:color="auto"/>
              </w:divBdr>
              <w:divsChild>
                <w:div w:id="14036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1368">
      <w:bodyDiv w:val="1"/>
      <w:marLeft w:val="0"/>
      <w:marRight w:val="0"/>
      <w:marTop w:val="0"/>
      <w:marBottom w:val="0"/>
      <w:divBdr>
        <w:top w:val="none" w:sz="0" w:space="0" w:color="auto"/>
        <w:left w:val="none" w:sz="0" w:space="0" w:color="auto"/>
        <w:bottom w:val="none" w:sz="0" w:space="0" w:color="auto"/>
        <w:right w:val="none" w:sz="0" w:space="0" w:color="auto"/>
      </w:divBdr>
      <w:divsChild>
        <w:div w:id="1524172297">
          <w:marLeft w:val="0"/>
          <w:marRight w:val="0"/>
          <w:marTop w:val="0"/>
          <w:marBottom w:val="0"/>
          <w:divBdr>
            <w:top w:val="none" w:sz="0" w:space="0" w:color="auto"/>
            <w:left w:val="none" w:sz="0" w:space="0" w:color="auto"/>
            <w:bottom w:val="none" w:sz="0" w:space="0" w:color="auto"/>
            <w:right w:val="none" w:sz="0" w:space="0" w:color="auto"/>
          </w:divBdr>
          <w:divsChild>
            <w:div w:id="2064021174">
              <w:marLeft w:val="0"/>
              <w:marRight w:val="0"/>
              <w:marTop w:val="0"/>
              <w:marBottom w:val="0"/>
              <w:divBdr>
                <w:top w:val="none" w:sz="0" w:space="0" w:color="auto"/>
                <w:left w:val="none" w:sz="0" w:space="0" w:color="auto"/>
                <w:bottom w:val="none" w:sz="0" w:space="0" w:color="auto"/>
                <w:right w:val="none" w:sz="0" w:space="0" w:color="auto"/>
              </w:divBdr>
              <w:divsChild>
                <w:div w:id="960767102">
                  <w:marLeft w:val="0"/>
                  <w:marRight w:val="0"/>
                  <w:marTop w:val="0"/>
                  <w:marBottom w:val="0"/>
                  <w:divBdr>
                    <w:top w:val="none" w:sz="0" w:space="0" w:color="auto"/>
                    <w:left w:val="none" w:sz="0" w:space="0" w:color="auto"/>
                    <w:bottom w:val="none" w:sz="0" w:space="0" w:color="auto"/>
                    <w:right w:val="none" w:sz="0" w:space="0" w:color="auto"/>
                  </w:divBdr>
                  <w:divsChild>
                    <w:div w:id="506334894">
                      <w:marLeft w:val="0"/>
                      <w:marRight w:val="0"/>
                      <w:marTop w:val="0"/>
                      <w:marBottom w:val="0"/>
                      <w:divBdr>
                        <w:top w:val="none" w:sz="0" w:space="0" w:color="auto"/>
                        <w:left w:val="none" w:sz="0" w:space="0" w:color="auto"/>
                        <w:bottom w:val="none" w:sz="0" w:space="0" w:color="auto"/>
                        <w:right w:val="none" w:sz="0" w:space="0" w:color="auto"/>
                      </w:divBdr>
                      <w:divsChild>
                        <w:div w:id="1994482028">
                          <w:marLeft w:val="0"/>
                          <w:marRight w:val="0"/>
                          <w:marTop w:val="0"/>
                          <w:marBottom w:val="0"/>
                          <w:divBdr>
                            <w:top w:val="none" w:sz="0" w:space="0" w:color="auto"/>
                            <w:left w:val="none" w:sz="0" w:space="0" w:color="auto"/>
                            <w:bottom w:val="none" w:sz="0" w:space="0" w:color="auto"/>
                            <w:right w:val="none" w:sz="0" w:space="0" w:color="auto"/>
                          </w:divBdr>
                          <w:divsChild>
                            <w:div w:id="1613240712">
                              <w:marLeft w:val="0"/>
                              <w:marRight w:val="0"/>
                              <w:marTop w:val="0"/>
                              <w:marBottom w:val="0"/>
                              <w:divBdr>
                                <w:top w:val="none" w:sz="0" w:space="0" w:color="auto"/>
                                <w:left w:val="none" w:sz="0" w:space="0" w:color="auto"/>
                                <w:bottom w:val="none" w:sz="0" w:space="0" w:color="auto"/>
                                <w:right w:val="none" w:sz="0" w:space="0" w:color="auto"/>
                              </w:divBdr>
                              <w:divsChild>
                                <w:div w:id="1061832481">
                                  <w:marLeft w:val="120"/>
                                  <w:marRight w:val="720"/>
                                  <w:marTop w:val="120"/>
                                  <w:marBottom w:val="120"/>
                                  <w:divBdr>
                                    <w:top w:val="none" w:sz="0" w:space="0" w:color="auto"/>
                                    <w:left w:val="none" w:sz="0" w:space="0" w:color="auto"/>
                                    <w:bottom w:val="none" w:sz="0" w:space="0" w:color="auto"/>
                                    <w:right w:val="none" w:sz="0" w:space="0" w:color="auto"/>
                                  </w:divBdr>
                                  <w:divsChild>
                                    <w:div w:id="88552346">
                                      <w:marLeft w:val="0"/>
                                      <w:marRight w:val="0"/>
                                      <w:marTop w:val="0"/>
                                      <w:marBottom w:val="0"/>
                                      <w:divBdr>
                                        <w:top w:val="none" w:sz="0" w:space="0" w:color="auto"/>
                                        <w:left w:val="none" w:sz="0" w:space="0" w:color="auto"/>
                                        <w:bottom w:val="none" w:sz="0" w:space="0" w:color="auto"/>
                                        <w:right w:val="none" w:sz="0" w:space="0" w:color="auto"/>
                                      </w:divBdr>
                                      <w:divsChild>
                                        <w:div w:id="395787508">
                                          <w:marLeft w:val="0"/>
                                          <w:marRight w:val="0"/>
                                          <w:marTop w:val="0"/>
                                          <w:marBottom w:val="0"/>
                                          <w:divBdr>
                                            <w:top w:val="none" w:sz="0" w:space="0" w:color="auto"/>
                                            <w:left w:val="none" w:sz="0" w:space="0" w:color="auto"/>
                                            <w:bottom w:val="none" w:sz="0" w:space="0" w:color="auto"/>
                                            <w:right w:val="none" w:sz="0" w:space="0" w:color="auto"/>
                                          </w:divBdr>
                                          <w:divsChild>
                                            <w:div w:id="974064114">
                                              <w:marLeft w:val="0"/>
                                              <w:marRight w:val="0"/>
                                              <w:marTop w:val="0"/>
                                              <w:marBottom w:val="0"/>
                                              <w:divBdr>
                                                <w:top w:val="none" w:sz="0" w:space="0" w:color="auto"/>
                                                <w:left w:val="none" w:sz="0" w:space="0" w:color="auto"/>
                                                <w:bottom w:val="none" w:sz="0" w:space="0" w:color="auto"/>
                                                <w:right w:val="none" w:sz="0" w:space="0" w:color="auto"/>
                                              </w:divBdr>
                                              <w:divsChild>
                                                <w:div w:id="101733802">
                                                  <w:marLeft w:val="0"/>
                                                  <w:marRight w:val="0"/>
                                                  <w:marTop w:val="240"/>
                                                  <w:marBottom w:val="240"/>
                                                  <w:divBdr>
                                                    <w:top w:val="single" w:sz="6" w:space="6" w:color="F2F2F2"/>
                                                    <w:left w:val="none" w:sz="0" w:space="0" w:color="auto"/>
                                                    <w:bottom w:val="single" w:sz="6" w:space="6" w:color="F2F2F2"/>
                                                    <w:right w:val="none" w:sz="0" w:space="0" w:color="auto"/>
                                                  </w:divBdr>
                                                </w:div>
                                                <w:div w:id="338969429">
                                                  <w:marLeft w:val="0"/>
                                                  <w:marRight w:val="0"/>
                                                  <w:marTop w:val="0"/>
                                                  <w:marBottom w:val="0"/>
                                                  <w:divBdr>
                                                    <w:top w:val="none" w:sz="0" w:space="0" w:color="auto"/>
                                                    <w:left w:val="none" w:sz="0" w:space="0" w:color="auto"/>
                                                    <w:bottom w:val="none" w:sz="0" w:space="0" w:color="auto"/>
                                                    <w:right w:val="none" w:sz="0" w:space="0" w:color="auto"/>
                                                  </w:divBdr>
                                                  <w:divsChild>
                                                    <w:div w:id="1878736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442690">
      <w:bodyDiv w:val="1"/>
      <w:marLeft w:val="0"/>
      <w:marRight w:val="0"/>
      <w:marTop w:val="0"/>
      <w:marBottom w:val="0"/>
      <w:divBdr>
        <w:top w:val="none" w:sz="0" w:space="0" w:color="auto"/>
        <w:left w:val="none" w:sz="0" w:space="0" w:color="auto"/>
        <w:bottom w:val="none" w:sz="0" w:space="0" w:color="auto"/>
        <w:right w:val="none" w:sz="0" w:space="0" w:color="auto"/>
      </w:divBdr>
      <w:divsChild>
        <w:div w:id="51466860">
          <w:marLeft w:val="0"/>
          <w:marRight w:val="0"/>
          <w:marTop w:val="0"/>
          <w:marBottom w:val="0"/>
          <w:divBdr>
            <w:top w:val="single" w:sz="4" w:space="0" w:color="0E477A"/>
            <w:left w:val="single" w:sz="4" w:space="0" w:color="0E477A"/>
            <w:bottom w:val="single" w:sz="4" w:space="0" w:color="0E477A"/>
            <w:right w:val="single" w:sz="4" w:space="0" w:color="0E477A"/>
          </w:divBdr>
          <w:divsChild>
            <w:div w:id="21369390">
              <w:marLeft w:val="2442"/>
              <w:marRight w:val="0"/>
              <w:marTop w:val="0"/>
              <w:marBottom w:val="0"/>
              <w:divBdr>
                <w:top w:val="none" w:sz="0" w:space="0" w:color="auto"/>
                <w:left w:val="none" w:sz="0" w:space="0" w:color="auto"/>
                <w:bottom w:val="none" w:sz="0" w:space="0" w:color="auto"/>
                <w:right w:val="none" w:sz="0" w:space="0" w:color="auto"/>
              </w:divBdr>
              <w:divsChild>
                <w:div w:id="1966502476">
                  <w:marLeft w:val="0"/>
                  <w:marRight w:val="0"/>
                  <w:marTop w:val="0"/>
                  <w:marBottom w:val="0"/>
                  <w:divBdr>
                    <w:top w:val="none" w:sz="0" w:space="0" w:color="auto"/>
                    <w:left w:val="none" w:sz="0" w:space="0" w:color="auto"/>
                    <w:bottom w:val="none" w:sz="0" w:space="0" w:color="auto"/>
                    <w:right w:val="none" w:sz="0" w:space="0" w:color="auto"/>
                  </w:divBdr>
                  <w:divsChild>
                    <w:div w:id="750732566">
                      <w:marLeft w:val="0"/>
                      <w:marRight w:val="125"/>
                      <w:marTop w:val="0"/>
                      <w:marBottom w:val="0"/>
                      <w:divBdr>
                        <w:top w:val="single" w:sz="4" w:space="0" w:color="CCCCCC"/>
                        <w:left w:val="single" w:sz="4" w:space="6" w:color="CCCCCC"/>
                        <w:bottom w:val="single" w:sz="4" w:space="6" w:color="CCCCCC"/>
                        <w:right w:val="single" w:sz="4" w:space="6" w:color="CCCCCC"/>
                      </w:divBdr>
                      <w:divsChild>
                        <w:div w:id="1552955787">
                          <w:marLeft w:val="0"/>
                          <w:marRight w:val="0"/>
                          <w:marTop w:val="0"/>
                          <w:marBottom w:val="0"/>
                          <w:divBdr>
                            <w:top w:val="none" w:sz="0" w:space="0" w:color="auto"/>
                            <w:left w:val="none" w:sz="0" w:space="0" w:color="auto"/>
                            <w:bottom w:val="none" w:sz="0" w:space="0" w:color="auto"/>
                            <w:right w:val="none" w:sz="0" w:space="0" w:color="auto"/>
                          </w:divBdr>
                        </w:div>
                        <w:div w:id="488642371">
                          <w:marLeft w:val="0"/>
                          <w:marRight w:val="0"/>
                          <w:marTop w:val="0"/>
                          <w:marBottom w:val="0"/>
                          <w:divBdr>
                            <w:top w:val="none" w:sz="0" w:space="0" w:color="auto"/>
                            <w:left w:val="none" w:sz="0" w:space="0" w:color="auto"/>
                            <w:bottom w:val="none" w:sz="0" w:space="0" w:color="auto"/>
                            <w:right w:val="none" w:sz="0" w:space="0" w:color="auto"/>
                          </w:divBdr>
                        </w:div>
                        <w:div w:id="1814829970">
                          <w:marLeft w:val="0"/>
                          <w:marRight w:val="0"/>
                          <w:marTop w:val="0"/>
                          <w:marBottom w:val="0"/>
                          <w:divBdr>
                            <w:top w:val="none" w:sz="0" w:space="0" w:color="auto"/>
                            <w:left w:val="none" w:sz="0" w:space="0" w:color="auto"/>
                            <w:bottom w:val="none" w:sz="0" w:space="0" w:color="auto"/>
                            <w:right w:val="none" w:sz="0" w:space="0" w:color="auto"/>
                          </w:divBdr>
                        </w:div>
                        <w:div w:id="848526623">
                          <w:marLeft w:val="0"/>
                          <w:marRight w:val="0"/>
                          <w:marTop w:val="0"/>
                          <w:marBottom w:val="0"/>
                          <w:divBdr>
                            <w:top w:val="none" w:sz="0" w:space="0" w:color="auto"/>
                            <w:left w:val="none" w:sz="0" w:space="0" w:color="auto"/>
                            <w:bottom w:val="none" w:sz="0" w:space="0" w:color="auto"/>
                            <w:right w:val="none" w:sz="0" w:space="0" w:color="auto"/>
                          </w:divBdr>
                        </w:div>
                        <w:div w:id="866721667">
                          <w:marLeft w:val="0"/>
                          <w:marRight w:val="0"/>
                          <w:marTop w:val="0"/>
                          <w:marBottom w:val="0"/>
                          <w:divBdr>
                            <w:top w:val="none" w:sz="0" w:space="0" w:color="auto"/>
                            <w:left w:val="none" w:sz="0" w:space="0" w:color="auto"/>
                            <w:bottom w:val="none" w:sz="0" w:space="0" w:color="auto"/>
                            <w:right w:val="none" w:sz="0" w:space="0" w:color="auto"/>
                          </w:divBdr>
                        </w:div>
                        <w:div w:id="2018459990">
                          <w:marLeft w:val="0"/>
                          <w:marRight w:val="0"/>
                          <w:marTop w:val="0"/>
                          <w:marBottom w:val="0"/>
                          <w:divBdr>
                            <w:top w:val="none" w:sz="0" w:space="0" w:color="auto"/>
                            <w:left w:val="none" w:sz="0" w:space="0" w:color="auto"/>
                            <w:bottom w:val="none" w:sz="0" w:space="0" w:color="auto"/>
                            <w:right w:val="none" w:sz="0" w:space="0" w:color="auto"/>
                          </w:divBdr>
                        </w:div>
                        <w:div w:id="5738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263611">
      <w:bodyDiv w:val="1"/>
      <w:marLeft w:val="0"/>
      <w:marRight w:val="0"/>
      <w:marTop w:val="0"/>
      <w:marBottom w:val="0"/>
      <w:divBdr>
        <w:top w:val="none" w:sz="0" w:space="0" w:color="auto"/>
        <w:left w:val="none" w:sz="0" w:space="0" w:color="auto"/>
        <w:bottom w:val="none" w:sz="0" w:space="0" w:color="auto"/>
        <w:right w:val="none" w:sz="0" w:space="0" w:color="auto"/>
      </w:divBdr>
    </w:div>
    <w:div w:id="492258217">
      <w:bodyDiv w:val="1"/>
      <w:marLeft w:val="0"/>
      <w:marRight w:val="0"/>
      <w:marTop w:val="0"/>
      <w:marBottom w:val="0"/>
      <w:divBdr>
        <w:top w:val="none" w:sz="0" w:space="0" w:color="auto"/>
        <w:left w:val="none" w:sz="0" w:space="0" w:color="auto"/>
        <w:bottom w:val="none" w:sz="0" w:space="0" w:color="auto"/>
        <w:right w:val="none" w:sz="0" w:space="0" w:color="auto"/>
      </w:divBdr>
      <w:divsChild>
        <w:div w:id="2014330952">
          <w:marLeft w:val="0"/>
          <w:marRight w:val="0"/>
          <w:marTop w:val="0"/>
          <w:marBottom w:val="0"/>
          <w:divBdr>
            <w:top w:val="none" w:sz="0" w:space="0" w:color="auto"/>
            <w:left w:val="none" w:sz="0" w:space="0" w:color="auto"/>
            <w:bottom w:val="none" w:sz="0" w:space="0" w:color="auto"/>
            <w:right w:val="none" w:sz="0" w:space="0" w:color="auto"/>
          </w:divBdr>
          <w:divsChild>
            <w:div w:id="138419749">
              <w:marLeft w:val="0"/>
              <w:marRight w:val="0"/>
              <w:marTop w:val="0"/>
              <w:marBottom w:val="0"/>
              <w:divBdr>
                <w:top w:val="none" w:sz="0" w:space="0" w:color="auto"/>
                <w:left w:val="none" w:sz="0" w:space="0" w:color="auto"/>
                <w:bottom w:val="none" w:sz="0" w:space="0" w:color="auto"/>
                <w:right w:val="none" w:sz="0" w:space="0" w:color="auto"/>
              </w:divBdr>
              <w:divsChild>
                <w:div w:id="1194073787">
                  <w:marLeft w:val="0"/>
                  <w:marRight w:val="0"/>
                  <w:marTop w:val="0"/>
                  <w:marBottom w:val="0"/>
                  <w:divBdr>
                    <w:top w:val="none" w:sz="0" w:space="0" w:color="auto"/>
                    <w:left w:val="none" w:sz="0" w:space="0" w:color="auto"/>
                    <w:bottom w:val="none" w:sz="0" w:space="0" w:color="auto"/>
                    <w:right w:val="none" w:sz="0" w:space="0" w:color="auto"/>
                  </w:divBdr>
                  <w:divsChild>
                    <w:div w:id="507520641">
                      <w:marLeft w:val="0"/>
                      <w:marRight w:val="0"/>
                      <w:marTop w:val="0"/>
                      <w:marBottom w:val="0"/>
                      <w:divBdr>
                        <w:top w:val="none" w:sz="0" w:space="0" w:color="auto"/>
                        <w:left w:val="none" w:sz="0" w:space="0" w:color="auto"/>
                        <w:bottom w:val="none" w:sz="0" w:space="0" w:color="auto"/>
                        <w:right w:val="none" w:sz="0" w:space="0" w:color="auto"/>
                      </w:divBdr>
                      <w:divsChild>
                        <w:div w:id="772017227">
                          <w:marLeft w:val="0"/>
                          <w:marRight w:val="0"/>
                          <w:marTop w:val="0"/>
                          <w:marBottom w:val="0"/>
                          <w:divBdr>
                            <w:top w:val="none" w:sz="0" w:space="0" w:color="auto"/>
                            <w:left w:val="none" w:sz="0" w:space="0" w:color="auto"/>
                            <w:bottom w:val="none" w:sz="0" w:space="0" w:color="auto"/>
                            <w:right w:val="none" w:sz="0" w:space="0" w:color="auto"/>
                          </w:divBdr>
                          <w:divsChild>
                            <w:div w:id="6017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334573">
      <w:bodyDiv w:val="1"/>
      <w:marLeft w:val="0"/>
      <w:marRight w:val="0"/>
      <w:marTop w:val="0"/>
      <w:marBottom w:val="0"/>
      <w:divBdr>
        <w:top w:val="none" w:sz="0" w:space="0" w:color="auto"/>
        <w:left w:val="none" w:sz="0" w:space="0" w:color="auto"/>
        <w:bottom w:val="none" w:sz="0" w:space="0" w:color="auto"/>
        <w:right w:val="none" w:sz="0" w:space="0" w:color="auto"/>
      </w:divBdr>
      <w:divsChild>
        <w:div w:id="1040789641">
          <w:marLeft w:val="0"/>
          <w:marRight w:val="0"/>
          <w:marTop w:val="0"/>
          <w:marBottom w:val="0"/>
          <w:divBdr>
            <w:top w:val="none" w:sz="0" w:space="0" w:color="auto"/>
            <w:left w:val="none" w:sz="0" w:space="0" w:color="auto"/>
            <w:bottom w:val="none" w:sz="0" w:space="0" w:color="auto"/>
            <w:right w:val="none" w:sz="0" w:space="0" w:color="auto"/>
          </w:divBdr>
          <w:divsChild>
            <w:div w:id="1920753098">
              <w:marLeft w:val="0"/>
              <w:marRight w:val="0"/>
              <w:marTop w:val="0"/>
              <w:marBottom w:val="0"/>
              <w:divBdr>
                <w:top w:val="none" w:sz="0" w:space="0" w:color="auto"/>
                <w:left w:val="none" w:sz="0" w:space="0" w:color="auto"/>
                <w:bottom w:val="none" w:sz="0" w:space="0" w:color="auto"/>
                <w:right w:val="none" w:sz="0" w:space="0" w:color="auto"/>
              </w:divBdr>
              <w:divsChild>
                <w:div w:id="321857605">
                  <w:marLeft w:val="0"/>
                  <w:marRight w:val="0"/>
                  <w:marTop w:val="0"/>
                  <w:marBottom w:val="0"/>
                  <w:divBdr>
                    <w:top w:val="none" w:sz="0" w:space="0" w:color="auto"/>
                    <w:left w:val="none" w:sz="0" w:space="0" w:color="auto"/>
                    <w:bottom w:val="none" w:sz="0" w:space="0" w:color="auto"/>
                    <w:right w:val="none" w:sz="0" w:space="0" w:color="auto"/>
                  </w:divBdr>
                  <w:divsChild>
                    <w:div w:id="2741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75312">
      <w:bodyDiv w:val="1"/>
      <w:marLeft w:val="0"/>
      <w:marRight w:val="0"/>
      <w:marTop w:val="0"/>
      <w:marBottom w:val="0"/>
      <w:divBdr>
        <w:top w:val="none" w:sz="0" w:space="0" w:color="auto"/>
        <w:left w:val="none" w:sz="0" w:space="0" w:color="auto"/>
        <w:bottom w:val="none" w:sz="0" w:space="0" w:color="auto"/>
        <w:right w:val="none" w:sz="0" w:space="0" w:color="auto"/>
      </w:divBdr>
      <w:divsChild>
        <w:div w:id="108816018">
          <w:marLeft w:val="0"/>
          <w:marRight w:val="0"/>
          <w:marTop w:val="0"/>
          <w:marBottom w:val="0"/>
          <w:divBdr>
            <w:top w:val="single" w:sz="6" w:space="0" w:color="0E477A"/>
            <w:left w:val="single" w:sz="6" w:space="0" w:color="0E477A"/>
            <w:bottom w:val="single" w:sz="6" w:space="0" w:color="0E477A"/>
            <w:right w:val="single" w:sz="6" w:space="0" w:color="0E477A"/>
          </w:divBdr>
          <w:divsChild>
            <w:div w:id="1569880346">
              <w:marLeft w:val="0"/>
              <w:marRight w:val="0"/>
              <w:marTop w:val="0"/>
              <w:marBottom w:val="0"/>
              <w:divBdr>
                <w:top w:val="none" w:sz="0" w:space="0" w:color="auto"/>
                <w:left w:val="none" w:sz="0" w:space="0" w:color="auto"/>
                <w:bottom w:val="none" w:sz="0" w:space="0" w:color="auto"/>
                <w:right w:val="none" w:sz="0" w:space="0" w:color="auto"/>
              </w:divBdr>
              <w:divsChild>
                <w:div w:id="960578280">
                  <w:marLeft w:val="75"/>
                  <w:marRight w:val="0"/>
                  <w:marTop w:val="0"/>
                  <w:marBottom w:val="0"/>
                  <w:divBdr>
                    <w:top w:val="none" w:sz="0" w:space="0" w:color="auto"/>
                    <w:left w:val="none" w:sz="0" w:space="0" w:color="auto"/>
                    <w:bottom w:val="none" w:sz="0" w:space="0" w:color="auto"/>
                    <w:right w:val="none" w:sz="0" w:space="0" w:color="auto"/>
                  </w:divBdr>
                  <w:divsChild>
                    <w:div w:id="312221142">
                      <w:marLeft w:val="0"/>
                      <w:marRight w:val="0"/>
                      <w:marTop w:val="0"/>
                      <w:marBottom w:val="0"/>
                      <w:divBdr>
                        <w:top w:val="none" w:sz="0" w:space="0" w:color="auto"/>
                        <w:left w:val="none" w:sz="0" w:space="0" w:color="auto"/>
                        <w:bottom w:val="none" w:sz="0" w:space="0" w:color="auto"/>
                        <w:right w:val="none" w:sz="0" w:space="0" w:color="auto"/>
                      </w:divBdr>
                      <w:divsChild>
                        <w:div w:id="1612393442">
                          <w:marLeft w:val="0"/>
                          <w:marRight w:val="225"/>
                          <w:marTop w:val="150"/>
                          <w:marBottom w:val="150"/>
                          <w:divBdr>
                            <w:top w:val="single" w:sz="6" w:space="0" w:color="CCCCCC"/>
                            <w:left w:val="single" w:sz="6" w:space="8" w:color="CCCCCC"/>
                            <w:bottom w:val="single" w:sz="6" w:space="8" w:color="CCCCCC"/>
                            <w:right w:val="single" w:sz="6" w:space="8" w:color="CCCCCC"/>
                          </w:divBdr>
                          <w:divsChild>
                            <w:div w:id="1521504130">
                              <w:marLeft w:val="-150"/>
                              <w:marRight w:val="0"/>
                              <w:marTop w:val="0"/>
                              <w:marBottom w:val="0"/>
                              <w:divBdr>
                                <w:top w:val="none" w:sz="0" w:space="0" w:color="auto"/>
                                <w:left w:val="none" w:sz="0" w:space="0" w:color="auto"/>
                                <w:bottom w:val="none" w:sz="0" w:space="0" w:color="auto"/>
                                <w:right w:val="none" w:sz="0" w:space="0" w:color="auto"/>
                              </w:divBdr>
                              <w:divsChild>
                                <w:div w:id="7418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650765">
      <w:bodyDiv w:val="1"/>
      <w:marLeft w:val="0"/>
      <w:marRight w:val="0"/>
      <w:marTop w:val="0"/>
      <w:marBottom w:val="0"/>
      <w:divBdr>
        <w:top w:val="none" w:sz="0" w:space="0" w:color="auto"/>
        <w:left w:val="none" w:sz="0" w:space="0" w:color="auto"/>
        <w:bottom w:val="none" w:sz="0" w:space="0" w:color="auto"/>
        <w:right w:val="none" w:sz="0" w:space="0" w:color="auto"/>
      </w:divBdr>
      <w:divsChild>
        <w:div w:id="106655826">
          <w:marLeft w:val="0"/>
          <w:marRight w:val="0"/>
          <w:marTop w:val="0"/>
          <w:marBottom w:val="0"/>
          <w:divBdr>
            <w:top w:val="none" w:sz="0" w:space="0" w:color="auto"/>
            <w:left w:val="none" w:sz="0" w:space="0" w:color="auto"/>
            <w:bottom w:val="none" w:sz="0" w:space="0" w:color="auto"/>
            <w:right w:val="none" w:sz="0" w:space="0" w:color="auto"/>
          </w:divBdr>
          <w:divsChild>
            <w:div w:id="1907253251">
              <w:marLeft w:val="0"/>
              <w:marRight w:val="0"/>
              <w:marTop w:val="0"/>
              <w:marBottom w:val="0"/>
              <w:divBdr>
                <w:top w:val="none" w:sz="0" w:space="0" w:color="auto"/>
                <w:left w:val="none" w:sz="0" w:space="0" w:color="auto"/>
                <w:bottom w:val="none" w:sz="0" w:space="0" w:color="auto"/>
                <w:right w:val="none" w:sz="0" w:space="0" w:color="auto"/>
              </w:divBdr>
              <w:divsChild>
                <w:div w:id="1728449490">
                  <w:marLeft w:val="0"/>
                  <w:marRight w:val="0"/>
                  <w:marTop w:val="0"/>
                  <w:marBottom w:val="0"/>
                  <w:divBdr>
                    <w:top w:val="none" w:sz="0" w:space="0" w:color="auto"/>
                    <w:left w:val="none" w:sz="0" w:space="0" w:color="auto"/>
                    <w:bottom w:val="none" w:sz="0" w:space="0" w:color="auto"/>
                    <w:right w:val="none" w:sz="0" w:space="0" w:color="auto"/>
                  </w:divBdr>
                  <w:divsChild>
                    <w:div w:id="1624342216">
                      <w:marLeft w:val="0"/>
                      <w:marRight w:val="0"/>
                      <w:marTop w:val="0"/>
                      <w:marBottom w:val="0"/>
                      <w:divBdr>
                        <w:top w:val="none" w:sz="0" w:space="0" w:color="auto"/>
                        <w:left w:val="none" w:sz="0" w:space="0" w:color="auto"/>
                        <w:bottom w:val="none" w:sz="0" w:space="0" w:color="auto"/>
                        <w:right w:val="none" w:sz="0" w:space="0" w:color="auto"/>
                      </w:divBdr>
                      <w:divsChild>
                        <w:div w:id="13140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963089">
      <w:bodyDiv w:val="1"/>
      <w:marLeft w:val="0"/>
      <w:marRight w:val="0"/>
      <w:marTop w:val="0"/>
      <w:marBottom w:val="0"/>
      <w:divBdr>
        <w:top w:val="none" w:sz="0" w:space="0" w:color="auto"/>
        <w:left w:val="none" w:sz="0" w:space="0" w:color="auto"/>
        <w:bottom w:val="none" w:sz="0" w:space="0" w:color="auto"/>
        <w:right w:val="none" w:sz="0" w:space="0" w:color="auto"/>
      </w:divBdr>
    </w:div>
    <w:div w:id="498235048">
      <w:bodyDiv w:val="1"/>
      <w:marLeft w:val="0"/>
      <w:marRight w:val="0"/>
      <w:marTop w:val="0"/>
      <w:marBottom w:val="0"/>
      <w:divBdr>
        <w:top w:val="none" w:sz="0" w:space="0" w:color="auto"/>
        <w:left w:val="none" w:sz="0" w:space="0" w:color="auto"/>
        <w:bottom w:val="none" w:sz="0" w:space="0" w:color="auto"/>
        <w:right w:val="none" w:sz="0" w:space="0" w:color="auto"/>
      </w:divBdr>
      <w:divsChild>
        <w:div w:id="2088771470">
          <w:marLeft w:val="0"/>
          <w:marRight w:val="0"/>
          <w:marTop w:val="0"/>
          <w:marBottom w:val="0"/>
          <w:divBdr>
            <w:top w:val="none" w:sz="0" w:space="0" w:color="auto"/>
            <w:left w:val="none" w:sz="0" w:space="0" w:color="auto"/>
            <w:bottom w:val="none" w:sz="0" w:space="0" w:color="auto"/>
            <w:right w:val="none" w:sz="0" w:space="0" w:color="auto"/>
          </w:divBdr>
          <w:divsChild>
            <w:div w:id="831221581">
              <w:marLeft w:val="0"/>
              <w:marRight w:val="0"/>
              <w:marTop w:val="0"/>
              <w:marBottom w:val="0"/>
              <w:divBdr>
                <w:top w:val="none" w:sz="0" w:space="0" w:color="auto"/>
                <w:left w:val="none" w:sz="0" w:space="0" w:color="auto"/>
                <w:bottom w:val="none" w:sz="0" w:space="0" w:color="auto"/>
                <w:right w:val="none" w:sz="0" w:space="0" w:color="auto"/>
              </w:divBdr>
              <w:divsChild>
                <w:div w:id="257297940">
                  <w:marLeft w:val="0"/>
                  <w:marRight w:val="0"/>
                  <w:marTop w:val="0"/>
                  <w:marBottom w:val="0"/>
                  <w:divBdr>
                    <w:top w:val="none" w:sz="0" w:space="0" w:color="auto"/>
                    <w:left w:val="none" w:sz="0" w:space="0" w:color="auto"/>
                    <w:bottom w:val="none" w:sz="0" w:space="0" w:color="auto"/>
                    <w:right w:val="none" w:sz="0" w:space="0" w:color="auto"/>
                  </w:divBdr>
                  <w:divsChild>
                    <w:div w:id="1644193259">
                      <w:marLeft w:val="0"/>
                      <w:marRight w:val="0"/>
                      <w:marTop w:val="0"/>
                      <w:marBottom w:val="0"/>
                      <w:divBdr>
                        <w:top w:val="none" w:sz="0" w:space="0" w:color="auto"/>
                        <w:left w:val="none" w:sz="0" w:space="0" w:color="auto"/>
                        <w:bottom w:val="none" w:sz="0" w:space="0" w:color="auto"/>
                        <w:right w:val="none" w:sz="0" w:space="0" w:color="auto"/>
                      </w:divBdr>
                      <w:divsChild>
                        <w:div w:id="801507328">
                          <w:marLeft w:val="0"/>
                          <w:marRight w:val="0"/>
                          <w:marTop w:val="0"/>
                          <w:marBottom w:val="0"/>
                          <w:divBdr>
                            <w:top w:val="none" w:sz="0" w:space="0" w:color="auto"/>
                            <w:left w:val="none" w:sz="0" w:space="0" w:color="auto"/>
                            <w:bottom w:val="none" w:sz="0" w:space="0" w:color="auto"/>
                            <w:right w:val="none" w:sz="0" w:space="0" w:color="auto"/>
                          </w:divBdr>
                          <w:divsChild>
                            <w:div w:id="870073423">
                              <w:marLeft w:val="570"/>
                              <w:marRight w:val="720"/>
                              <w:marTop w:val="120"/>
                              <w:marBottom w:val="120"/>
                              <w:divBdr>
                                <w:top w:val="none" w:sz="0" w:space="0" w:color="auto"/>
                                <w:left w:val="none" w:sz="0" w:space="0" w:color="auto"/>
                                <w:bottom w:val="none" w:sz="0" w:space="0" w:color="auto"/>
                                <w:right w:val="none" w:sz="0" w:space="0" w:color="auto"/>
                              </w:divBdr>
                              <w:divsChild>
                                <w:div w:id="1680233753">
                                  <w:marLeft w:val="0"/>
                                  <w:marRight w:val="0"/>
                                  <w:marTop w:val="0"/>
                                  <w:marBottom w:val="0"/>
                                  <w:divBdr>
                                    <w:top w:val="none" w:sz="0" w:space="0" w:color="auto"/>
                                    <w:left w:val="none" w:sz="0" w:space="0" w:color="auto"/>
                                    <w:bottom w:val="none" w:sz="0" w:space="0" w:color="auto"/>
                                    <w:right w:val="none" w:sz="0" w:space="0" w:color="auto"/>
                                  </w:divBdr>
                                  <w:divsChild>
                                    <w:div w:id="1952858850">
                                      <w:marLeft w:val="0"/>
                                      <w:marRight w:val="0"/>
                                      <w:marTop w:val="0"/>
                                      <w:marBottom w:val="0"/>
                                      <w:divBdr>
                                        <w:top w:val="none" w:sz="0" w:space="0" w:color="auto"/>
                                        <w:left w:val="none" w:sz="0" w:space="0" w:color="auto"/>
                                        <w:bottom w:val="none" w:sz="0" w:space="0" w:color="auto"/>
                                        <w:right w:val="none" w:sz="0" w:space="0" w:color="auto"/>
                                      </w:divBdr>
                                      <w:divsChild>
                                        <w:div w:id="2025547814">
                                          <w:marLeft w:val="0"/>
                                          <w:marRight w:val="0"/>
                                          <w:marTop w:val="0"/>
                                          <w:marBottom w:val="0"/>
                                          <w:divBdr>
                                            <w:top w:val="none" w:sz="0" w:space="0" w:color="auto"/>
                                            <w:left w:val="none" w:sz="0" w:space="0" w:color="auto"/>
                                            <w:bottom w:val="none" w:sz="0" w:space="0" w:color="auto"/>
                                            <w:right w:val="none" w:sz="0" w:space="0" w:color="auto"/>
                                          </w:divBdr>
                                        </w:div>
                                        <w:div w:id="1978870269">
                                          <w:marLeft w:val="0"/>
                                          <w:marRight w:val="0"/>
                                          <w:marTop w:val="0"/>
                                          <w:marBottom w:val="150"/>
                                          <w:divBdr>
                                            <w:top w:val="none" w:sz="0" w:space="0" w:color="auto"/>
                                            <w:left w:val="none" w:sz="0" w:space="0" w:color="auto"/>
                                            <w:bottom w:val="none" w:sz="0" w:space="0" w:color="auto"/>
                                            <w:right w:val="none" w:sz="0" w:space="0" w:color="auto"/>
                                          </w:divBdr>
                                          <w:divsChild>
                                            <w:div w:id="585697404">
                                              <w:marLeft w:val="0"/>
                                              <w:marRight w:val="0"/>
                                              <w:marTop w:val="240"/>
                                              <w:marBottom w:val="240"/>
                                              <w:divBdr>
                                                <w:top w:val="single" w:sz="6" w:space="6" w:color="F2F2F2"/>
                                                <w:left w:val="none" w:sz="0" w:space="0" w:color="auto"/>
                                                <w:bottom w:val="single" w:sz="6" w:space="6" w:color="F2F2F2"/>
                                                <w:right w:val="none" w:sz="0" w:space="0" w:color="auto"/>
                                              </w:divBdr>
                                            </w:div>
                                            <w:div w:id="2097901145">
                                              <w:marLeft w:val="0"/>
                                              <w:marRight w:val="0"/>
                                              <w:marTop w:val="0"/>
                                              <w:marBottom w:val="0"/>
                                              <w:divBdr>
                                                <w:top w:val="none" w:sz="0" w:space="0" w:color="auto"/>
                                                <w:left w:val="none" w:sz="0" w:space="0" w:color="auto"/>
                                                <w:bottom w:val="none" w:sz="0" w:space="0" w:color="auto"/>
                                                <w:right w:val="none" w:sz="0" w:space="0" w:color="auto"/>
                                              </w:divBdr>
                                              <w:divsChild>
                                                <w:div w:id="337735838">
                                                  <w:marLeft w:val="0"/>
                                                  <w:marRight w:val="0"/>
                                                  <w:marTop w:val="0"/>
                                                  <w:marBottom w:val="240"/>
                                                  <w:divBdr>
                                                    <w:top w:val="none" w:sz="0" w:space="0" w:color="auto"/>
                                                    <w:left w:val="none" w:sz="0" w:space="0" w:color="auto"/>
                                                    <w:bottom w:val="none" w:sz="0" w:space="0" w:color="auto"/>
                                                    <w:right w:val="none" w:sz="0" w:space="0" w:color="auto"/>
                                                  </w:divBdr>
                                                </w:div>
                                                <w:div w:id="390275871">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620346">
      <w:bodyDiv w:val="1"/>
      <w:marLeft w:val="0"/>
      <w:marRight w:val="0"/>
      <w:marTop w:val="0"/>
      <w:marBottom w:val="0"/>
      <w:divBdr>
        <w:top w:val="none" w:sz="0" w:space="0" w:color="auto"/>
        <w:left w:val="none" w:sz="0" w:space="0" w:color="auto"/>
        <w:bottom w:val="none" w:sz="0" w:space="0" w:color="auto"/>
        <w:right w:val="none" w:sz="0" w:space="0" w:color="auto"/>
      </w:divBdr>
      <w:divsChild>
        <w:div w:id="303581957">
          <w:marLeft w:val="0"/>
          <w:marRight w:val="0"/>
          <w:marTop w:val="0"/>
          <w:marBottom w:val="0"/>
          <w:divBdr>
            <w:top w:val="none" w:sz="0" w:space="0" w:color="auto"/>
            <w:left w:val="none" w:sz="0" w:space="0" w:color="auto"/>
            <w:bottom w:val="none" w:sz="0" w:space="0" w:color="auto"/>
            <w:right w:val="none" w:sz="0" w:space="0" w:color="auto"/>
          </w:divBdr>
        </w:div>
        <w:div w:id="1596475721">
          <w:marLeft w:val="0"/>
          <w:marRight w:val="0"/>
          <w:marTop w:val="0"/>
          <w:marBottom w:val="0"/>
          <w:divBdr>
            <w:top w:val="none" w:sz="0" w:space="0" w:color="auto"/>
            <w:left w:val="none" w:sz="0" w:space="0" w:color="auto"/>
            <w:bottom w:val="none" w:sz="0" w:space="0" w:color="auto"/>
            <w:right w:val="none" w:sz="0" w:space="0" w:color="auto"/>
          </w:divBdr>
          <w:divsChild>
            <w:div w:id="7054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7039">
      <w:bodyDiv w:val="1"/>
      <w:marLeft w:val="0"/>
      <w:marRight w:val="0"/>
      <w:marTop w:val="0"/>
      <w:marBottom w:val="0"/>
      <w:divBdr>
        <w:top w:val="none" w:sz="0" w:space="0" w:color="auto"/>
        <w:left w:val="none" w:sz="0" w:space="0" w:color="auto"/>
        <w:bottom w:val="none" w:sz="0" w:space="0" w:color="auto"/>
        <w:right w:val="none" w:sz="0" w:space="0" w:color="auto"/>
      </w:divBdr>
    </w:div>
    <w:div w:id="501630993">
      <w:bodyDiv w:val="1"/>
      <w:marLeft w:val="0"/>
      <w:marRight w:val="0"/>
      <w:marTop w:val="0"/>
      <w:marBottom w:val="0"/>
      <w:divBdr>
        <w:top w:val="none" w:sz="0" w:space="0" w:color="auto"/>
        <w:left w:val="none" w:sz="0" w:space="0" w:color="auto"/>
        <w:bottom w:val="none" w:sz="0" w:space="0" w:color="auto"/>
        <w:right w:val="none" w:sz="0" w:space="0" w:color="auto"/>
      </w:divBdr>
      <w:divsChild>
        <w:div w:id="939029780">
          <w:marLeft w:val="0"/>
          <w:marRight w:val="0"/>
          <w:marTop w:val="0"/>
          <w:marBottom w:val="0"/>
          <w:divBdr>
            <w:top w:val="none" w:sz="0" w:space="0" w:color="auto"/>
            <w:left w:val="none" w:sz="0" w:space="0" w:color="auto"/>
            <w:bottom w:val="none" w:sz="0" w:space="0" w:color="auto"/>
            <w:right w:val="none" w:sz="0" w:space="0" w:color="auto"/>
          </w:divBdr>
          <w:divsChild>
            <w:div w:id="1732995201">
              <w:marLeft w:val="0"/>
              <w:marRight w:val="0"/>
              <w:marTop w:val="0"/>
              <w:marBottom w:val="0"/>
              <w:divBdr>
                <w:top w:val="none" w:sz="0" w:space="0" w:color="auto"/>
                <w:left w:val="none" w:sz="0" w:space="0" w:color="auto"/>
                <w:bottom w:val="none" w:sz="0" w:space="0" w:color="auto"/>
                <w:right w:val="none" w:sz="0" w:space="0" w:color="auto"/>
              </w:divBdr>
              <w:divsChild>
                <w:div w:id="1482111857">
                  <w:marLeft w:val="0"/>
                  <w:marRight w:val="0"/>
                  <w:marTop w:val="0"/>
                  <w:marBottom w:val="0"/>
                  <w:divBdr>
                    <w:top w:val="none" w:sz="0" w:space="0" w:color="auto"/>
                    <w:left w:val="none" w:sz="0" w:space="0" w:color="auto"/>
                    <w:bottom w:val="none" w:sz="0" w:space="0" w:color="auto"/>
                    <w:right w:val="none" w:sz="0" w:space="0" w:color="auto"/>
                  </w:divBdr>
                  <w:divsChild>
                    <w:div w:id="1660503908">
                      <w:marLeft w:val="0"/>
                      <w:marRight w:val="0"/>
                      <w:marTop w:val="0"/>
                      <w:marBottom w:val="0"/>
                      <w:divBdr>
                        <w:top w:val="none" w:sz="0" w:space="0" w:color="auto"/>
                        <w:left w:val="none" w:sz="0" w:space="0" w:color="auto"/>
                        <w:bottom w:val="none" w:sz="0" w:space="0" w:color="auto"/>
                        <w:right w:val="none" w:sz="0" w:space="0" w:color="auto"/>
                      </w:divBdr>
                      <w:divsChild>
                        <w:div w:id="897321036">
                          <w:marLeft w:val="0"/>
                          <w:marRight w:val="0"/>
                          <w:marTop w:val="0"/>
                          <w:marBottom w:val="0"/>
                          <w:divBdr>
                            <w:top w:val="none" w:sz="0" w:space="0" w:color="auto"/>
                            <w:left w:val="none" w:sz="0" w:space="0" w:color="auto"/>
                            <w:bottom w:val="none" w:sz="0" w:space="0" w:color="auto"/>
                            <w:right w:val="none" w:sz="0" w:space="0" w:color="auto"/>
                          </w:divBdr>
                          <w:divsChild>
                            <w:div w:id="893469125">
                              <w:marLeft w:val="0"/>
                              <w:marRight w:val="0"/>
                              <w:marTop w:val="0"/>
                              <w:marBottom w:val="0"/>
                              <w:divBdr>
                                <w:top w:val="none" w:sz="0" w:space="0" w:color="auto"/>
                                <w:left w:val="none" w:sz="0" w:space="0" w:color="auto"/>
                                <w:bottom w:val="none" w:sz="0" w:space="0" w:color="auto"/>
                                <w:right w:val="none" w:sz="0" w:space="0" w:color="auto"/>
                              </w:divBdr>
                              <w:divsChild>
                                <w:div w:id="931856705">
                                  <w:marLeft w:val="0"/>
                                  <w:marRight w:val="0"/>
                                  <w:marTop w:val="0"/>
                                  <w:marBottom w:val="0"/>
                                  <w:divBdr>
                                    <w:top w:val="none" w:sz="0" w:space="0" w:color="auto"/>
                                    <w:left w:val="none" w:sz="0" w:space="0" w:color="auto"/>
                                    <w:bottom w:val="none" w:sz="0" w:space="0" w:color="auto"/>
                                    <w:right w:val="none" w:sz="0" w:space="0" w:color="auto"/>
                                  </w:divBdr>
                                  <w:divsChild>
                                    <w:div w:id="2044790252">
                                      <w:marLeft w:val="0"/>
                                      <w:marRight w:val="0"/>
                                      <w:marTop w:val="0"/>
                                      <w:marBottom w:val="0"/>
                                      <w:divBdr>
                                        <w:top w:val="none" w:sz="0" w:space="0" w:color="auto"/>
                                        <w:left w:val="none" w:sz="0" w:space="0" w:color="auto"/>
                                        <w:bottom w:val="none" w:sz="0" w:space="0" w:color="auto"/>
                                        <w:right w:val="none" w:sz="0" w:space="0" w:color="auto"/>
                                      </w:divBdr>
                                      <w:divsChild>
                                        <w:div w:id="1614938909">
                                          <w:marLeft w:val="0"/>
                                          <w:marRight w:val="0"/>
                                          <w:marTop w:val="0"/>
                                          <w:marBottom w:val="0"/>
                                          <w:divBdr>
                                            <w:top w:val="none" w:sz="0" w:space="0" w:color="auto"/>
                                            <w:left w:val="none" w:sz="0" w:space="0" w:color="auto"/>
                                            <w:bottom w:val="none" w:sz="0" w:space="0" w:color="auto"/>
                                            <w:right w:val="none" w:sz="0" w:space="0" w:color="auto"/>
                                          </w:divBdr>
                                          <w:divsChild>
                                            <w:div w:id="2053799861">
                                              <w:marLeft w:val="0"/>
                                              <w:marRight w:val="0"/>
                                              <w:marTop w:val="0"/>
                                              <w:marBottom w:val="0"/>
                                              <w:divBdr>
                                                <w:top w:val="none" w:sz="0" w:space="0" w:color="auto"/>
                                                <w:left w:val="none" w:sz="0" w:space="0" w:color="auto"/>
                                                <w:bottom w:val="none" w:sz="0" w:space="0" w:color="auto"/>
                                                <w:right w:val="none" w:sz="0" w:space="0" w:color="auto"/>
                                              </w:divBdr>
                                              <w:divsChild>
                                                <w:div w:id="1556742224">
                                                  <w:marLeft w:val="0"/>
                                                  <w:marRight w:val="0"/>
                                                  <w:marTop w:val="0"/>
                                                  <w:marBottom w:val="0"/>
                                                  <w:divBdr>
                                                    <w:top w:val="none" w:sz="0" w:space="0" w:color="auto"/>
                                                    <w:left w:val="none" w:sz="0" w:space="0" w:color="auto"/>
                                                    <w:bottom w:val="none" w:sz="0" w:space="0" w:color="auto"/>
                                                    <w:right w:val="none" w:sz="0" w:space="0" w:color="auto"/>
                                                  </w:divBdr>
                                                  <w:divsChild>
                                                    <w:div w:id="71046358">
                                                      <w:marLeft w:val="0"/>
                                                      <w:marRight w:val="0"/>
                                                      <w:marTop w:val="0"/>
                                                      <w:marBottom w:val="0"/>
                                                      <w:divBdr>
                                                        <w:top w:val="none" w:sz="0" w:space="0" w:color="auto"/>
                                                        <w:left w:val="none" w:sz="0" w:space="0" w:color="auto"/>
                                                        <w:bottom w:val="none" w:sz="0" w:space="0" w:color="auto"/>
                                                        <w:right w:val="none" w:sz="0" w:space="0" w:color="auto"/>
                                                      </w:divBdr>
                                                      <w:divsChild>
                                                        <w:div w:id="7466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2357588">
      <w:bodyDiv w:val="1"/>
      <w:marLeft w:val="0"/>
      <w:marRight w:val="0"/>
      <w:marTop w:val="0"/>
      <w:marBottom w:val="0"/>
      <w:divBdr>
        <w:top w:val="none" w:sz="0" w:space="0" w:color="auto"/>
        <w:left w:val="none" w:sz="0" w:space="0" w:color="auto"/>
        <w:bottom w:val="none" w:sz="0" w:space="0" w:color="auto"/>
        <w:right w:val="none" w:sz="0" w:space="0" w:color="auto"/>
      </w:divBdr>
      <w:divsChild>
        <w:div w:id="1893156756">
          <w:marLeft w:val="0"/>
          <w:marRight w:val="0"/>
          <w:marTop w:val="0"/>
          <w:marBottom w:val="0"/>
          <w:divBdr>
            <w:top w:val="none" w:sz="0" w:space="0" w:color="auto"/>
            <w:left w:val="none" w:sz="0" w:space="0" w:color="auto"/>
            <w:bottom w:val="none" w:sz="0" w:space="0" w:color="auto"/>
            <w:right w:val="none" w:sz="0" w:space="0" w:color="auto"/>
          </w:divBdr>
          <w:divsChild>
            <w:div w:id="346097103">
              <w:marLeft w:val="0"/>
              <w:marRight w:val="0"/>
              <w:marTop w:val="0"/>
              <w:marBottom w:val="0"/>
              <w:divBdr>
                <w:top w:val="none" w:sz="0" w:space="0" w:color="auto"/>
                <w:left w:val="none" w:sz="0" w:space="0" w:color="auto"/>
                <w:bottom w:val="none" w:sz="0" w:space="0" w:color="auto"/>
                <w:right w:val="none" w:sz="0" w:space="0" w:color="auto"/>
              </w:divBdr>
              <w:divsChild>
                <w:div w:id="2074696137">
                  <w:marLeft w:val="0"/>
                  <w:marRight w:val="0"/>
                  <w:marTop w:val="0"/>
                  <w:marBottom w:val="0"/>
                  <w:divBdr>
                    <w:top w:val="none" w:sz="0" w:space="0" w:color="auto"/>
                    <w:left w:val="none" w:sz="0" w:space="0" w:color="auto"/>
                    <w:bottom w:val="none" w:sz="0" w:space="0" w:color="auto"/>
                    <w:right w:val="none" w:sz="0" w:space="0" w:color="auto"/>
                  </w:divBdr>
                  <w:divsChild>
                    <w:div w:id="991060295">
                      <w:marLeft w:val="0"/>
                      <w:marRight w:val="0"/>
                      <w:marTop w:val="0"/>
                      <w:marBottom w:val="0"/>
                      <w:divBdr>
                        <w:top w:val="none" w:sz="0" w:space="0" w:color="auto"/>
                        <w:left w:val="none" w:sz="0" w:space="0" w:color="auto"/>
                        <w:bottom w:val="none" w:sz="0" w:space="0" w:color="auto"/>
                        <w:right w:val="none" w:sz="0" w:space="0" w:color="auto"/>
                      </w:divBdr>
                      <w:divsChild>
                        <w:div w:id="16153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243055">
      <w:bodyDiv w:val="1"/>
      <w:marLeft w:val="0"/>
      <w:marRight w:val="0"/>
      <w:marTop w:val="0"/>
      <w:marBottom w:val="0"/>
      <w:divBdr>
        <w:top w:val="none" w:sz="0" w:space="0" w:color="auto"/>
        <w:left w:val="none" w:sz="0" w:space="0" w:color="auto"/>
        <w:bottom w:val="none" w:sz="0" w:space="0" w:color="auto"/>
        <w:right w:val="none" w:sz="0" w:space="0" w:color="auto"/>
      </w:divBdr>
      <w:divsChild>
        <w:div w:id="690568901">
          <w:marLeft w:val="0"/>
          <w:marRight w:val="0"/>
          <w:marTop w:val="0"/>
          <w:marBottom w:val="0"/>
          <w:divBdr>
            <w:top w:val="none" w:sz="0" w:space="0" w:color="auto"/>
            <w:left w:val="none" w:sz="0" w:space="0" w:color="auto"/>
            <w:bottom w:val="none" w:sz="0" w:space="0" w:color="auto"/>
            <w:right w:val="none" w:sz="0" w:space="0" w:color="auto"/>
          </w:divBdr>
          <w:divsChild>
            <w:div w:id="1439327467">
              <w:marLeft w:val="0"/>
              <w:marRight w:val="0"/>
              <w:marTop w:val="0"/>
              <w:marBottom w:val="0"/>
              <w:divBdr>
                <w:top w:val="none" w:sz="0" w:space="0" w:color="auto"/>
                <w:left w:val="none" w:sz="0" w:space="0" w:color="auto"/>
                <w:bottom w:val="none" w:sz="0" w:space="0" w:color="auto"/>
                <w:right w:val="none" w:sz="0" w:space="0" w:color="auto"/>
              </w:divBdr>
              <w:divsChild>
                <w:div w:id="163327261">
                  <w:marLeft w:val="0"/>
                  <w:marRight w:val="0"/>
                  <w:marTop w:val="0"/>
                  <w:marBottom w:val="0"/>
                  <w:divBdr>
                    <w:top w:val="none" w:sz="0" w:space="0" w:color="auto"/>
                    <w:left w:val="none" w:sz="0" w:space="0" w:color="auto"/>
                    <w:bottom w:val="none" w:sz="0" w:space="0" w:color="auto"/>
                    <w:right w:val="none" w:sz="0" w:space="0" w:color="auto"/>
                  </w:divBdr>
                  <w:divsChild>
                    <w:div w:id="2141533104">
                      <w:marLeft w:val="0"/>
                      <w:marRight w:val="0"/>
                      <w:marTop w:val="0"/>
                      <w:marBottom w:val="0"/>
                      <w:divBdr>
                        <w:top w:val="none" w:sz="0" w:space="0" w:color="auto"/>
                        <w:left w:val="none" w:sz="0" w:space="0" w:color="auto"/>
                        <w:bottom w:val="none" w:sz="0" w:space="0" w:color="auto"/>
                        <w:right w:val="none" w:sz="0" w:space="0" w:color="auto"/>
                      </w:divBdr>
                      <w:divsChild>
                        <w:div w:id="532156050">
                          <w:marLeft w:val="0"/>
                          <w:marRight w:val="0"/>
                          <w:marTop w:val="0"/>
                          <w:marBottom w:val="0"/>
                          <w:divBdr>
                            <w:top w:val="none" w:sz="0" w:space="0" w:color="auto"/>
                            <w:left w:val="none" w:sz="0" w:space="0" w:color="auto"/>
                            <w:bottom w:val="none" w:sz="0" w:space="0" w:color="auto"/>
                            <w:right w:val="none" w:sz="0" w:space="0" w:color="auto"/>
                          </w:divBdr>
                          <w:divsChild>
                            <w:div w:id="949315792">
                              <w:marLeft w:val="0"/>
                              <w:marRight w:val="0"/>
                              <w:marTop w:val="0"/>
                              <w:marBottom w:val="0"/>
                              <w:divBdr>
                                <w:top w:val="none" w:sz="0" w:space="0" w:color="auto"/>
                                <w:left w:val="none" w:sz="0" w:space="0" w:color="auto"/>
                                <w:bottom w:val="none" w:sz="0" w:space="0" w:color="auto"/>
                                <w:right w:val="none" w:sz="0" w:space="0" w:color="auto"/>
                              </w:divBdr>
                              <w:divsChild>
                                <w:div w:id="180164935">
                                  <w:marLeft w:val="0"/>
                                  <w:marRight w:val="0"/>
                                  <w:marTop w:val="0"/>
                                  <w:marBottom w:val="0"/>
                                  <w:divBdr>
                                    <w:top w:val="none" w:sz="0" w:space="0" w:color="auto"/>
                                    <w:left w:val="none" w:sz="0" w:space="0" w:color="auto"/>
                                    <w:bottom w:val="none" w:sz="0" w:space="0" w:color="auto"/>
                                    <w:right w:val="none" w:sz="0" w:space="0" w:color="auto"/>
                                  </w:divBdr>
                                  <w:divsChild>
                                    <w:div w:id="55472613">
                                      <w:marLeft w:val="0"/>
                                      <w:marRight w:val="0"/>
                                      <w:marTop w:val="0"/>
                                      <w:marBottom w:val="0"/>
                                      <w:divBdr>
                                        <w:top w:val="none" w:sz="0" w:space="0" w:color="auto"/>
                                        <w:left w:val="none" w:sz="0" w:space="0" w:color="auto"/>
                                        <w:bottom w:val="none" w:sz="0" w:space="0" w:color="auto"/>
                                        <w:right w:val="none" w:sz="0" w:space="0" w:color="auto"/>
                                      </w:divBdr>
                                      <w:divsChild>
                                        <w:div w:id="20812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484785">
      <w:bodyDiv w:val="1"/>
      <w:marLeft w:val="0"/>
      <w:marRight w:val="0"/>
      <w:marTop w:val="0"/>
      <w:marBottom w:val="0"/>
      <w:divBdr>
        <w:top w:val="none" w:sz="0" w:space="0" w:color="auto"/>
        <w:left w:val="none" w:sz="0" w:space="0" w:color="auto"/>
        <w:bottom w:val="none" w:sz="0" w:space="0" w:color="auto"/>
        <w:right w:val="none" w:sz="0" w:space="0" w:color="auto"/>
      </w:divBdr>
      <w:divsChild>
        <w:div w:id="1094209265">
          <w:marLeft w:val="0"/>
          <w:marRight w:val="0"/>
          <w:marTop w:val="0"/>
          <w:marBottom w:val="0"/>
          <w:divBdr>
            <w:top w:val="none" w:sz="0" w:space="0" w:color="auto"/>
            <w:left w:val="none" w:sz="0" w:space="0" w:color="auto"/>
            <w:bottom w:val="none" w:sz="0" w:space="0" w:color="auto"/>
            <w:right w:val="none" w:sz="0" w:space="0" w:color="auto"/>
          </w:divBdr>
          <w:divsChild>
            <w:div w:id="1625040397">
              <w:marLeft w:val="0"/>
              <w:marRight w:val="0"/>
              <w:marTop w:val="0"/>
              <w:marBottom w:val="0"/>
              <w:divBdr>
                <w:top w:val="none" w:sz="0" w:space="0" w:color="auto"/>
                <w:left w:val="none" w:sz="0" w:space="0" w:color="auto"/>
                <w:bottom w:val="none" w:sz="0" w:space="0" w:color="auto"/>
                <w:right w:val="none" w:sz="0" w:space="0" w:color="auto"/>
              </w:divBdr>
              <w:divsChild>
                <w:div w:id="2060321815">
                  <w:marLeft w:val="0"/>
                  <w:marRight w:val="0"/>
                  <w:marTop w:val="0"/>
                  <w:marBottom w:val="0"/>
                  <w:divBdr>
                    <w:top w:val="none" w:sz="0" w:space="0" w:color="auto"/>
                    <w:left w:val="none" w:sz="0" w:space="0" w:color="auto"/>
                    <w:bottom w:val="none" w:sz="0" w:space="0" w:color="auto"/>
                    <w:right w:val="none" w:sz="0" w:space="0" w:color="auto"/>
                  </w:divBdr>
                  <w:divsChild>
                    <w:div w:id="2028559860">
                      <w:marLeft w:val="0"/>
                      <w:marRight w:val="0"/>
                      <w:marTop w:val="0"/>
                      <w:marBottom w:val="0"/>
                      <w:divBdr>
                        <w:top w:val="none" w:sz="0" w:space="0" w:color="auto"/>
                        <w:left w:val="none" w:sz="0" w:space="0" w:color="auto"/>
                        <w:bottom w:val="none" w:sz="0" w:space="0" w:color="auto"/>
                        <w:right w:val="none" w:sz="0" w:space="0" w:color="auto"/>
                      </w:divBdr>
                      <w:divsChild>
                        <w:div w:id="1501656656">
                          <w:marLeft w:val="0"/>
                          <w:marRight w:val="0"/>
                          <w:marTop w:val="0"/>
                          <w:marBottom w:val="0"/>
                          <w:divBdr>
                            <w:top w:val="none" w:sz="0" w:space="0" w:color="auto"/>
                            <w:left w:val="none" w:sz="0" w:space="0" w:color="auto"/>
                            <w:bottom w:val="none" w:sz="0" w:space="0" w:color="auto"/>
                            <w:right w:val="none" w:sz="0" w:space="0" w:color="auto"/>
                          </w:divBdr>
                          <w:divsChild>
                            <w:div w:id="2090274446">
                              <w:marLeft w:val="0"/>
                              <w:marRight w:val="0"/>
                              <w:marTop w:val="0"/>
                              <w:marBottom w:val="0"/>
                              <w:divBdr>
                                <w:top w:val="none" w:sz="0" w:space="0" w:color="auto"/>
                                <w:left w:val="none" w:sz="0" w:space="0" w:color="auto"/>
                                <w:bottom w:val="none" w:sz="0" w:space="0" w:color="auto"/>
                                <w:right w:val="none" w:sz="0" w:space="0" w:color="auto"/>
                              </w:divBdr>
                              <w:divsChild>
                                <w:div w:id="20364166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636908">
      <w:bodyDiv w:val="1"/>
      <w:marLeft w:val="0"/>
      <w:marRight w:val="0"/>
      <w:marTop w:val="0"/>
      <w:marBottom w:val="0"/>
      <w:divBdr>
        <w:top w:val="none" w:sz="0" w:space="0" w:color="auto"/>
        <w:left w:val="none" w:sz="0" w:space="0" w:color="auto"/>
        <w:bottom w:val="none" w:sz="0" w:space="0" w:color="auto"/>
        <w:right w:val="none" w:sz="0" w:space="0" w:color="auto"/>
      </w:divBdr>
      <w:divsChild>
        <w:div w:id="1448310623">
          <w:marLeft w:val="0"/>
          <w:marRight w:val="0"/>
          <w:marTop w:val="0"/>
          <w:marBottom w:val="0"/>
          <w:divBdr>
            <w:top w:val="none" w:sz="0" w:space="0" w:color="auto"/>
            <w:left w:val="none" w:sz="0" w:space="0" w:color="auto"/>
            <w:bottom w:val="none" w:sz="0" w:space="0" w:color="auto"/>
            <w:right w:val="none" w:sz="0" w:space="0" w:color="auto"/>
          </w:divBdr>
          <w:divsChild>
            <w:div w:id="1648044768">
              <w:marLeft w:val="0"/>
              <w:marRight w:val="0"/>
              <w:marTop w:val="0"/>
              <w:marBottom w:val="0"/>
              <w:divBdr>
                <w:top w:val="none" w:sz="0" w:space="0" w:color="auto"/>
                <w:left w:val="none" w:sz="0" w:space="0" w:color="auto"/>
                <w:bottom w:val="none" w:sz="0" w:space="0" w:color="auto"/>
                <w:right w:val="none" w:sz="0" w:space="0" w:color="auto"/>
              </w:divBdr>
              <w:divsChild>
                <w:div w:id="1029525756">
                  <w:marLeft w:val="0"/>
                  <w:marRight w:val="0"/>
                  <w:marTop w:val="0"/>
                  <w:marBottom w:val="0"/>
                  <w:divBdr>
                    <w:top w:val="none" w:sz="0" w:space="0" w:color="auto"/>
                    <w:left w:val="none" w:sz="0" w:space="0" w:color="auto"/>
                    <w:bottom w:val="none" w:sz="0" w:space="0" w:color="auto"/>
                    <w:right w:val="none" w:sz="0" w:space="0" w:color="auto"/>
                  </w:divBdr>
                  <w:divsChild>
                    <w:div w:id="1674448652">
                      <w:marLeft w:val="0"/>
                      <w:marRight w:val="0"/>
                      <w:marTop w:val="0"/>
                      <w:marBottom w:val="0"/>
                      <w:divBdr>
                        <w:top w:val="none" w:sz="0" w:space="0" w:color="auto"/>
                        <w:left w:val="none" w:sz="0" w:space="0" w:color="auto"/>
                        <w:bottom w:val="none" w:sz="0" w:space="0" w:color="auto"/>
                        <w:right w:val="none" w:sz="0" w:space="0" w:color="auto"/>
                      </w:divBdr>
                      <w:divsChild>
                        <w:div w:id="1054475317">
                          <w:marLeft w:val="0"/>
                          <w:marRight w:val="0"/>
                          <w:marTop w:val="0"/>
                          <w:marBottom w:val="0"/>
                          <w:divBdr>
                            <w:top w:val="none" w:sz="0" w:space="0" w:color="auto"/>
                            <w:left w:val="none" w:sz="0" w:space="0" w:color="auto"/>
                            <w:bottom w:val="none" w:sz="0" w:space="0" w:color="auto"/>
                            <w:right w:val="none" w:sz="0" w:space="0" w:color="auto"/>
                          </w:divBdr>
                          <w:divsChild>
                            <w:div w:id="830174872">
                              <w:marLeft w:val="0"/>
                              <w:marRight w:val="0"/>
                              <w:marTop w:val="0"/>
                              <w:marBottom w:val="0"/>
                              <w:divBdr>
                                <w:top w:val="none" w:sz="0" w:space="0" w:color="auto"/>
                                <w:left w:val="none" w:sz="0" w:space="0" w:color="auto"/>
                                <w:bottom w:val="none" w:sz="0" w:space="0" w:color="auto"/>
                                <w:right w:val="none" w:sz="0" w:space="0" w:color="auto"/>
                              </w:divBdr>
                              <w:divsChild>
                                <w:div w:id="1144858731">
                                  <w:marLeft w:val="0"/>
                                  <w:marRight w:val="0"/>
                                  <w:marTop w:val="0"/>
                                  <w:marBottom w:val="0"/>
                                  <w:divBdr>
                                    <w:top w:val="none" w:sz="0" w:space="0" w:color="auto"/>
                                    <w:left w:val="none" w:sz="0" w:space="0" w:color="auto"/>
                                    <w:bottom w:val="none" w:sz="0" w:space="0" w:color="auto"/>
                                    <w:right w:val="none" w:sz="0" w:space="0" w:color="auto"/>
                                  </w:divBdr>
                                  <w:divsChild>
                                    <w:div w:id="859666259">
                                      <w:marLeft w:val="0"/>
                                      <w:marRight w:val="0"/>
                                      <w:marTop w:val="0"/>
                                      <w:marBottom w:val="0"/>
                                      <w:divBdr>
                                        <w:top w:val="none" w:sz="0" w:space="0" w:color="auto"/>
                                        <w:left w:val="none" w:sz="0" w:space="0" w:color="auto"/>
                                        <w:bottom w:val="none" w:sz="0" w:space="0" w:color="auto"/>
                                        <w:right w:val="none" w:sz="0" w:space="0" w:color="auto"/>
                                      </w:divBdr>
                                      <w:divsChild>
                                        <w:div w:id="1497109553">
                                          <w:marLeft w:val="0"/>
                                          <w:marRight w:val="0"/>
                                          <w:marTop w:val="0"/>
                                          <w:marBottom w:val="0"/>
                                          <w:divBdr>
                                            <w:top w:val="none" w:sz="0" w:space="0" w:color="auto"/>
                                            <w:left w:val="none" w:sz="0" w:space="0" w:color="auto"/>
                                            <w:bottom w:val="none" w:sz="0" w:space="0" w:color="auto"/>
                                            <w:right w:val="none" w:sz="0" w:space="0" w:color="auto"/>
                                          </w:divBdr>
                                          <w:divsChild>
                                            <w:div w:id="703673847">
                                              <w:marLeft w:val="0"/>
                                              <w:marRight w:val="0"/>
                                              <w:marTop w:val="0"/>
                                              <w:marBottom w:val="0"/>
                                              <w:divBdr>
                                                <w:top w:val="none" w:sz="0" w:space="0" w:color="auto"/>
                                                <w:left w:val="none" w:sz="0" w:space="0" w:color="auto"/>
                                                <w:bottom w:val="none" w:sz="0" w:space="0" w:color="auto"/>
                                                <w:right w:val="none" w:sz="0" w:space="0" w:color="auto"/>
                                              </w:divBdr>
                                              <w:divsChild>
                                                <w:div w:id="427434041">
                                                  <w:marLeft w:val="0"/>
                                                  <w:marRight w:val="0"/>
                                                  <w:marTop w:val="0"/>
                                                  <w:marBottom w:val="0"/>
                                                  <w:divBdr>
                                                    <w:top w:val="none" w:sz="0" w:space="0" w:color="auto"/>
                                                    <w:left w:val="none" w:sz="0" w:space="0" w:color="auto"/>
                                                    <w:bottom w:val="none" w:sz="0" w:space="0" w:color="auto"/>
                                                    <w:right w:val="none" w:sz="0" w:space="0" w:color="auto"/>
                                                  </w:divBdr>
                                                  <w:divsChild>
                                                    <w:div w:id="1598904787">
                                                      <w:marLeft w:val="0"/>
                                                      <w:marRight w:val="0"/>
                                                      <w:marTop w:val="0"/>
                                                      <w:marBottom w:val="0"/>
                                                      <w:divBdr>
                                                        <w:top w:val="none" w:sz="0" w:space="0" w:color="auto"/>
                                                        <w:left w:val="none" w:sz="0" w:space="0" w:color="auto"/>
                                                        <w:bottom w:val="none" w:sz="0" w:space="0" w:color="auto"/>
                                                        <w:right w:val="none" w:sz="0" w:space="0" w:color="auto"/>
                                                      </w:divBdr>
                                                      <w:divsChild>
                                                        <w:div w:id="1447044464">
                                                          <w:marLeft w:val="0"/>
                                                          <w:marRight w:val="0"/>
                                                          <w:marTop w:val="0"/>
                                                          <w:marBottom w:val="0"/>
                                                          <w:divBdr>
                                                            <w:top w:val="none" w:sz="0" w:space="0" w:color="auto"/>
                                                            <w:left w:val="none" w:sz="0" w:space="0" w:color="auto"/>
                                                            <w:bottom w:val="none" w:sz="0" w:space="0" w:color="auto"/>
                                                            <w:right w:val="none" w:sz="0" w:space="0" w:color="auto"/>
                                                          </w:divBdr>
                                                          <w:divsChild>
                                                            <w:div w:id="974606922">
                                                              <w:marLeft w:val="0"/>
                                                              <w:marRight w:val="0"/>
                                                              <w:marTop w:val="0"/>
                                                              <w:marBottom w:val="0"/>
                                                              <w:divBdr>
                                                                <w:top w:val="none" w:sz="0" w:space="0" w:color="auto"/>
                                                                <w:left w:val="none" w:sz="0" w:space="0" w:color="auto"/>
                                                                <w:bottom w:val="none" w:sz="0" w:space="0" w:color="auto"/>
                                                                <w:right w:val="none" w:sz="0" w:space="0" w:color="auto"/>
                                                              </w:divBdr>
                                                            </w:div>
                                                            <w:div w:id="2042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6285977">
      <w:bodyDiv w:val="1"/>
      <w:marLeft w:val="0"/>
      <w:marRight w:val="0"/>
      <w:marTop w:val="0"/>
      <w:marBottom w:val="0"/>
      <w:divBdr>
        <w:top w:val="none" w:sz="0" w:space="0" w:color="auto"/>
        <w:left w:val="none" w:sz="0" w:space="0" w:color="auto"/>
        <w:bottom w:val="none" w:sz="0" w:space="0" w:color="auto"/>
        <w:right w:val="none" w:sz="0" w:space="0" w:color="auto"/>
      </w:divBdr>
      <w:divsChild>
        <w:div w:id="1775323002">
          <w:marLeft w:val="0"/>
          <w:marRight w:val="0"/>
          <w:marTop w:val="0"/>
          <w:marBottom w:val="0"/>
          <w:divBdr>
            <w:top w:val="none" w:sz="0" w:space="0" w:color="auto"/>
            <w:left w:val="none" w:sz="0" w:space="0" w:color="auto"/>
            <w:bottom w:val="none" w:sz="0" w:space="0" w:color="auto"/>
            <w:right w:val="none" w:sz="0" w:space="0" w:color="auto"/>
          </w:divBdr>
          <w:divsChild>
            <w:div w:id="21830103">
              <w:marLeft w:val="0"/>
              <w:marRight w:val="0"/>
              <w:marTop w:val="0"/>
              <w:marBottom w:val="0"/>
              <w:divBdr>
                <w:top w:val="none" w:sz="0" w:space="0" w:color="auto"/>
                <w:left w:val="none" w:sz="0" w:space="0" w:color="auto"/>
                <w:bottom w:val="none" w:sz="0" w:space="0" w:color="auto"/>
                <w:right w:val="none" w:sz="0" w:space="0" w:color="auto"/>
              </w:divBdr>
              <w:divsChild>
                <w:div w:id="1592006391">
                  <w:marLeft w:val="0"/>
                  <w:marRight w:val="0"/>
                  <w:marTop w:val="0"/>
                  <w:marBottom w:val="0"/>
                  <w:divBdr>
                    <w:top w:val="none" w:sz="0" w:space="0" w:color="auto"/>
                    <w:left w:val="none" w:sz="0" w:space="0" w:color="auto"/>
                    <w:bottom w:val="none" w:sz="0" w:space="0" w:color="auto"/>
                    <w:right w:val="none" w:sz="0" w:space="0" w:color="auto"/>
                  </w:divBdr>
                  <w:divsChild>
                    <w:div w:id="713502108">
                      <w:marLeft w:val="0"/>
                      <w:marRight w:val="0"/>
                      <w:marTop w:val="0"/>
                      <w:marBottom w:val="0"/>
                      <w:divBdr>
                        <w:top w:val="none" w:sz="0" w:space="0" w:color="auto"/>
                        <w:left w:val="none" w:sz="0" w:space="0" w:color="auto"/>
                        <w:bottom w:val="none" w:sz="0" w:space="0" w:color="auto"/>
                        <w:right w:val="none" w:sz="0" w:space="0" w:color="auto"/>
                      </w:divBdr>
                      <w:divsChild>
                        <w:div w:id="8384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869131">
      <w:bodyDiv w:val="1"/>
      <w:marLeft w:val="0"/>
      <w:marRight w:val="0"/>
      <w:marTop w:val="0"/>
      <w:marBottom w:val="0"/>
      <w:divBdr>
        <w:top w:val="none" w:sz="0" w:space="0" w:color="auto"/>
        <w:left w:val="none" w:sz="0" w:space="0" w:color="auto"/>
        <w:bottom w:val="none" w:sz="0" w:space="0" w:color="auto"/>
        <w:right w:val="none" w:sz="0" w:space="0" w:color="auto"/>
      </w:divBdr>
    </w:div>
    <w:div w:id="510729001">
      <w:bodyDiv w:val="1"/>
      <w:marLeft w:val="0"/>
      <w:marRight w:val="0"/>
      <w:marTop w:val="0"/>
      <w:marBottom w:val="0"/>
      <w:divBdr>
        <w:top w:val="none" w:sz="0" w:space="0" w:color="auto"/>
        <w:left w:val="none" w:sz="0" w:space="0" w:color="auto"/>
        <w:bottom w:val="none" w:sz="0" w:space="0" w:color="auto"/>
        <w:right w:val="none" w:sz="0" w:space="0" w:color="auto"/>
      </w:divBdr>
      <w:divsChild>
        <w:div w:id="128087688">
          <w:marLeft w:val="0"/>
          <w:marRight w:val="0"/>
          <w:marTop w:val="0"/>
          <w:marBottom w:val="150"/>
          <w:divBdr>
            <w:top w:val="none" w:sz="0" w:space="0" w:color="auto"/>
            <w:left w:val="none" w:sz="0" w:space="0" w:color="auto"/>
            <w:bottom w:val="single" w:sz="6" w:space="8" w:color="F0F0F0"/>
            <w:right w:val="none" w:sz="0" w:space="0" w:color="auto"/>
          </w:divBdr>
        </w:div>
        <w:div w:id="1023166773">
          <w:marLeft w:val="0"/>
          <w:marRight w:val="0"/>
          <w:marTop w:val="288"/>
          <w:marBottom w:val="288"/>
          <w:divBdr>
            <w:top w:val="none" w:sz="0" w:space="0" w:color="auto"/>
            <w:left w:val="none" w:sz="0" w:space="0" w:color="auto"/>
            <w:bottom w:val="none" w:sz="0" w:space="0" w:color="auto"/>
            <w:right w:val="none" w:sz="0" w:space="0" w:color="auto"/>
          </w:divBdr>
        </w:div>
      </w:divsChild>
    </w:div>
    <w:div w:id="511336602">
      <w:bodyDiv w:val="1"/>
      <w:marLeft w:val="0"/>
      <w:marRight w:val="0"/>
      <w:marTop w:val="0"/>
      <w:marBottom w:val="0"/>
      <w:divBdr>
        <w:top w:val="none" w:sz="0" w:space="0" w:color="auto"/>
        <w:left w:val="none" w:sz="0" w:space="0" w:color="auto"/>
        <w:bottom w:val="none" w:sz="0" w:space="0" w:color="auto"/>
        <w:right w:val="none" w:sz="0" w:space="0" w:color="auto"/>
      </w:divBdr>
      <w:divsChild>
        <w:div w:id="127406269">
          <w:marLeft w:val="0"/>
          <w:marRight w:val="0"/>
          <w:marTop w:val="0"/>
          <w:marBottom w:val="0"/>
          <w:divBdr>
            <w:top w:val="none" w:sz="0" w:space="0" w:color="auto"/>
            <w:left w:val="none" w:sz="0" w:space="0" w:color="auto"/>
            <w:bottom w:val="none" w:sz="0" w:space="0" w:color="auto"/>
            <w:right w:val="none" w:sz="0" w:space="0" w:color="auto"/>
          </w:divBdr>
          <w:divsChild>
            <w:div w:id="1089888913">
              <w:marLeft w:val="0"/>
              <w:marRight w:val="0"/>
              <w:marTop w:val="0"/>
              <w:marBottom w:val="0"/>
              <w:divBdr>
                <w:top w:val="none" w:sz="0" w:space="0" w:color="auto"/>
                <w:left w:val="none" w:sz="0" w:space="0" w:color="auto"/>
                <w:bottom w:val="none" w:sz="0" w:space="0" w:color="auto"/>
                <w:right w:val="none" w:sz="0" w:space="0" w:color="auto"/>
              </w:divBdr>
              <w:divsChild>
                <w:div w:id="775373550">
                  <w:marLeft w:val="0"/>
                  <w:marRight w:val="0"/>
                  <w:marTop w:val="0"/>
                  <w:marBottom w:val="0"/>
                  <w:divBdr>
                    <w:top w:val="none" w:sz="0" w:space="0" w:color="auto"/>
                    <w:left w:val="none" w:sz="0" w:space="0" w:color="auto"/>
                    <w:bottom w:val="none" w:sz="0" w:space="0" w:color="auto"/>
                    <w:right w:val="none" w:sz="0" w:space="0" w:color="auto"/>
                  </w:divBdr>
                  <w:divsChild>
                    <w:div w:id="1051730784">
                      <w:marLeft w:val="0"/>
                      <w:marRight w:val="0"/>
                      <w:marTop w:val="0"/>
                      <w:marBottom w:val="0"/>
                      <w:divBdr>
                        <w:top w:val="none" w:sz="0" w:space="0" w:color="auto"/>
                        <w:left w:val="none" w:sz="0" w:space="0" w:color="auto"/>
                        <w:bottom w:val="none" w:sz="0" w:space="0" w:color="auto"/>
                        <w:right w:val="none" w:sz="0" w:space="0" w:color="auto"/>
                      </w:divBdr>
                      <w:divsChild>
                        <w:div w:id="200166784">
                          <w:marLeft w:val="0"/>
                          <w:marRight w:val="0"/>
                          <w:marTop w:val="0"/>
                          <w:marBottom w:val="0"/>
                          <w:divBdr>
                            <w:top w:val="none" w:sz="0" w:space="0" w:color="auto"/>
                            <w:left w:val="none" w:sz="0" w:space="0" w:color="auto"/>
                            <w:bottom w:val="none" w:sz="0" w:space="0" w:color="auto"/>
                            <w:right w:val="none" w:sz="0" w:space="0" w:color="auto"/>
                          </w:divBdr>
                          <w:divsChild>
                            <w:div w:id="1872062825">
                              <w:marLeft w:val="570"/>
                              <w:marRight w:val="720"/>
                              <w:marTop w:val="120"/>
                              <w:marBottom w:val="120"/>
                              <w:divBdr>
                                <w:top w:val="none" w:sz="0" w:space="0" w:color="auto"/>
                                <w:left w:val="none" w:sz="0" w:space="0" w:color="auto"/>
                                <w:bottom w:val="none" w:sz="0" w:space="0" w:color="auto"/>
                                <w:right w:val="none" w:sz="0" w:space="0" w:color="auto"/>
                              </w:divBdr>
                              <w:divsChild>
                                <w:div w:id="215163072">
                                  <w:marLeft w:val="0"/>
                                  <w:marRight w:val="0"/>
                                  <w:marTop w:val="0"/>
                                  <w:marBottom w:val="0"/>
                                  <w:divBdr>
                                    <w:top w:val="none" w:sz="0" w:space="0" w:color="auto"/>
                                    <w:left w:val="none" w:sz="0" w:space="0" w:color="auto"/>
                                    <w:bottom w:val="none" w:sz="0" w:space="0" w:color="auto"/>
                                    <w:right w:val="none" w:sz="0" w:space="0" w:color="auto"/>
                                  </w:divBdr>
                                  <w:divsChild>
                                    <w:div w:id="1014069523">
                                      <w:marLeft w:val="0"/>
                                      <w:marRight w:val="0"/>
                                      <w:marTop w:val="0"/>
                                      <w:marBottom w:val="0"/>
                                      <w:divBdr>
                                        <w:top w:val="none" w:sz="0" w:space="0" w:color="auto"/>
                                        <w:left w:val="none" w:sz="0" w:space="0" w:color="auto"/>
                                        <w:bottom w:val="none" w:sz="0" w:space="0" w:color="auto"/>
                                        <w:right w:val="none" w:sz="0" w:space="0" w:color="auto"/>
                                      </w:divBdr>
                                      <w:divsChild>
                                        <w:div w:id="2114861719">
                                          <w:marLeft w:val="0"/>
                                          <w:marRight w:val="0"/>
                                          <w:marTop w:val="0"/>
                                          <w:marBottom w:val="0"/>
                                          <w:divBdr>
                                            <w:top w:val="none" w:sz="0" w:space="0" w:color="auto"/>
                                            <w:left w:val="none" w:sz="0" w:space="0" w:color="auto"/>
                                            <w:bottom w:val="none" w:sz="0" w:space="0" w:color="auto"/>
                                            <w:right w:val="none" w:sz="0" w:space="0" w:color="auto"/>
                                          </w:divBdr>
                                        </w:div>
                                        <w:div w:id="444471816">
                                          <w:marLeft w:val="0"/>
                                          <w:marRight w:val="0"/>
                                          <w:marTop w:val="0"/>
                                          <w:marBottom w:val="150"/>
                                          <w:divBdr>
                                            <w:top w:val="none" w:sz="0" w:space="0" w:color="auto"/>
                                            <w:left w:val="none" w:sz="0" w:space="0" w:color="auto"/>
                                            <w:bottom w:val="none" w:sz="0" w:space="0" w:color="auto"/>
                                            <w:right w:val="none" w:sz="0" w:space="0" w:color="auto"/>
                                          </w:divBdr>
                                          <w:divsChild>
                                            <w:div w:id="1329210803">
                                              <w:marLeft w:val="0"/>
                                              <w:marRight w:val="0"/>
                                              <w:marTop w:val="240"/>
                                              <w:marBottom w:val="240"/>
                                              <w:divBdr>
                                                <w:top w:val="single" w:sz="6" w:space="6" w:color="F2F2F2"/>
                                                <w:left w:val="none" w:sz="0" w:space="0" w:color="auto"/>
                                                <w:bottom w:val="single" w:sz="6" w:space="6" w:color="F2F2F2"/>
                                                <w:right w:val="none" w:sz="0" w:space="0" w:color="auto"/>
                                              </w:divBdr>
                                            </w:div>
                                            <w:div w:id="136192753">
                                              <w:marLeft w:val="0"/>
                                              <w:marRight w:val="0"/>
                                              <w:marTop w:val="0"/>
                                              <w:marBottom w:val="0"/>
                                              <w:divBdr>
                                                <w:top w:val="none" w:sz="0" w:space="0" w:color="auto"/>
                                                <w:left w:val="none" w:sz="0" w:space="0" w:color="auto"/>
                                                <w:bottom w:val="none" w:sz="0" w:space="0" w:color="auto"/>
                                                <w:right w:val="none" w:sz="0" w:space="0" w:color="auto"/>
                                              </w:divBdr>
                                              <w:divsChild>
                                                <w:div w:id="1589189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530868">
      <w:bodyDiv w:val="1"/>
      <w:marLeft w:val="0"/>
      <w:marRight w:val="0"/>
      <w:marTop w:val="0"/>
      <w:marBottom w:val="0"/>
      <w:divBdr>
        <w:top w:val="none" w:sz="0" w:space="0" w:color="auto"/>
        <w:left w:val="none" w:sz="0" w:space="0" w:color="auto"/>
        <w:bottom w:val="none" w:sz="0" w:space="0" w:color="auto"/>
        <w:right w:val="none" w:sz="0" w:space="0" w:color="auto"/>
      </w:divBdr>
      <w:divsChild>
        <w:div w:id="1585189495">
          <w:marLeft w:val="0"/>
          <w:marRight w:val="0"/>
          <w:marTop w:val="0"/>
          <w:marBottom w:val="0"/>
          <w:divBdr>
            <w:top w:val="none" w:sz="0" w:space="0" w:color="auto"/>
            <w:left w:val="none" w:sz="0" w:space="0" w:color="auto"/>
            <w:bottom w:val="none" w:sz="0" w:space="0" w:color="auto"/>
            <w:right w:val="none" w:sz="0" w:space="0" w:color="auto"/>
          </w:divBdr>
        </w:div>
        <w:div w:id="1128862792">
          <w:marLeft w:val="0"/>
          <w:marRight w:val="0"/>
          <w:marTop w:val="360"/>
          <w:marBottom w:val="360"/>
          <w:divBdr>
            <w:top w:val="none" w:sz="0" w:space="0" w:color="auto"/>
            <w:left w:val="none" w:sz="0" w:space="0" w:color="auto"/>
            <w:bottom w:val="none" w:sz="0" w:space="0" w:color="auto"/>
            <w:right w:val="none" w:sz="0" w:space="0" w:color="auto"/>
          </w:divBdr>
          <w:divsChild>
            <w:div w:id="55863238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13037639">
      <w:bodyDiv w:val="1"/>
      <w:marLeft w:val="0"/>
      <w:marRight w:val="0"/>
      <w:marTop w:val="0"/>
      <w:marBottom w:val="0"/>
      <w:divBdr>
        <w:top w:val="none" w:sz="0" w:space="0" w:color="auto"/>
        <w:left w:val="none" w:sz="0" w:space="0" w:color="auto"/>
        <w:bottom w:val="none" w:sz="0" w:space="0" w:color="auto"/>
        <w:right w:val="none" w:sz="0" w:space="0" w:color="auto"/>
      </w:divBdr>
    </w:div>
    <w:div w:id="513737775">
      <w:bodyDiv w:val="1"/>
      <w:marLeft w:val="0"/>
      <w:marRight w:val="0"/>
      <w:marTop w:val="0"/>
      <w:marBottom w:val="0"/>
      <w:divBdr>
        <w:top w:val="none" w:sz="0" w:space="0" w:color="auto"/>
        <w:left w:val="none" w:sz="0" w:space="0" w:color="auto"/>
        <w:bottom w:val="none" w:sz="0" w:space="0" w:color="auto"/>
        <w:right w:val="none" w:sz="0" w:space="0" w:color="auto"/>
      </w:divBdr>
      <w:divsChild>
        <w:div w:id="840314618">
          <w:marLeft w:val="0"/>
          <w:marRight w:val="0"/>
          <w:marTop w:val="0"/>
          <w:marBottom w:val="0"/>
          <w:divBdr>
            <w:top w:val="none" w:sz="0" w:space="0" w:color="auto"/>
            <w:left w:val="none" w:sz="0" w:space="0" w:color="auto"/>
            <w:bottom w:val="none" w:sz="0" w:space="0" w:color="auto"/>
            <w:right w:val="none" w:sz="0" w:space="0" w:color="auto"/>
          </w:divBdr>
          <w:divsChild>
            <w:div w:id="973216467">
              <w:marLeft w:val="0"/>
              <w:marRight w:val="0"/>
              <w:marTop w:val="0"/>
              <w:marBottom w:val="0"/>
              <w:divBdr>
                <w:top w:val="none" w:sz="0" w:space="0" w:color="auto"/>
                <w:left w:val="none" w:sz="0" w:space="0" w:color="auto"/>
                <w:bottom w:val="none" w:sz="0" w:space="0" w:color="auto"/>
                <w:right w:val="none" w:sz="0" w:space="0" w:color="auto"/>
              </w:divBdr>
              <w:divsChild>
                <w:div w:id="12106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73334">
          <w:marLeft w:val="0"/>
          <w:marRight w:val="0"/>
          <w:marTop w:val="0"/>
          <w:marBottom w:val="0"/>
          <w:divBdr>
            <w:top w:val="none" w:sz="0" w:space="0" w:color="auto"/>
            <w:left w:val="none" w:sz="0" w:space="0" w:color="auto"/>
            <w:bottom w:val="none" w:sz="0" w:space="0" w:color="auto"/>
            <w:right w:val="none" w:sz="0" w:space="0" w:color="auto"/>
          </w:divBdr>
          <w:divsChild>
            <w:div w:id="8774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2061">
      <w:bodyDiv w:val="1"/>
      <w:marLeft w:val="0"/>
      <w:marRight w:val="0"/>
      <w:marTop w:val="0"/>
      <w:marBottom w:val="0"/>
      <w:divBdr>
        <w:top w:val="none" w:sz="0" w:space="0" w:color="auto"/>
        <w:left w:val="none" w:sz="0" w:space="0" w:color="auto"/>
        <w:bottom w:val="none" w:sz="0" w:space="0" w:color="auto"/>
        <w:right w:val="none" w:sz="0" w:space="0" w:color="auto"/>
      </w:divBdr>
      <w:divsChild>
        <w:div w:id="1775515656">
          <w:marLeft w:val="0"/>
          <w:marRight w:val="0"/>
          <w:marTop w:val="0"/>
          <w:marBottom w:val="0"/>
          <w:divBdr>
            <w:top w:val="none" w:sz="0" w:space="0" w:color="auto"/>
            <w:left w:val="none" w:sz="0" w:space="0" w:color="auto"/>
            <w:bottom w:val="none" w:sz="0" w:space="0" w:color="auto"/>
            <w:right w:val="none" w:sz="0" w:space="0" w:color="auto"/>
          </w:divBdr>
          <w:divsChild>
            <w:div w:id="1211530378">
              <w:marLeft w:val="0"/>
              <w:marRight w:val="0"/>
              <w:marTop w:val="0"/>
              <w:marBottom w:val="0"/>
              <w:divBdr>
                <w:top w:val="none" w:sz="0" w:space="0" w:color="auto"/>
                <w:left w:val="none" w:sz="0" w:space="0" w:color="auto"/>
                <w:bottom w:val="none" w:sz="0" w:space="0" w:color="auto"/>
                <w:right w:val="none" w:sz="0" w:space="0" w:color="auto"/>
              </w:divBdr>
              <w:divsChild>
                <w:div w:id="728311759">
                  <w:marLeft w:val="0"/>
                  <w:marRight w:val="0"/>
                  <w:marTop w:val="0"/>
                  <w:marBottom w:val="0"/>
                  <w:divBdr>
                    <w:top w:val="none" w:sz="0" w:space="0" w:color="auto"/>
                    <w:left w:val="none" w:sz="0" w:space="0" w:color="auto"/>
                    <w:bottom w:val="none" w:sz="0" w:space="0" w:color="auto"/>
                    <w:right w:val="none" w:sz="0" w:space="0" w:color="auto"/>
                  </w:divBdr>
                  <w:divsChild>
                    <w:div w:id="443959722">
                      <w:marLeft w:val="0"/>
                      <w:marRight w:val="0"/>
                      <w:marTop w:val="0"/>
                      <w:marBottom w:val="0"/>
                      <w:divBdr>
                        <w:top w:val="none" w:sz="0" w:space="0" w:color="auto"/>
                        <w:left w:val="none" w:sz="0" w:space="0" w:color="auto"/>
                        <w:bottom w:val="none" w:sz="0" w:space="0" w:color="auto"/>
                        <w:right w:val="none" w:sz="0" w:space="0" w:color="auto"/>
                      </w:divBdr>
                      <w:divsChild>
                        <w:div w:id="17765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732451">
      <w:bodyDiv w:val="1"/>
      <w:marLeft w:val="0"/>
      <w:marRight w:val="0"/>
      <w:marTop w:val="0"/>
      <w:marBottom w:val="0"/>
      <w:divBdr>
        <w:top w:val="none" w:sz="0" w:space="0" w:color="auto"/>
        <w:left w:val="none" w:sz="0" w:space="0" w:color="auto"/>
        <w:bottom w:val="none" w:sz="0" w:space="0" w:color="auto"/>
        <w:right w:val="none" w:sz="0" w:space="0" w:color="auto"/>
      </w:divBdr>
      <w:divsChild>
        <w:div w:id="657272182">
          <w:marLeft w:val="0"/>
          <w:marRight w:val="0"/>
          <w:marTop w:val="0"/>
          <w:marBottom w:val="0"/>
          <w:divBdr>
            <w:top w:val="none" w:sz="0" w:space="0" w:color="auto"/>
            <w:left w:val="none" w:sz="0" w:space="0" w:color="auto"/>
            <w:bottom w:val="none" w:sz="0" w:space="0" w:color="auto"/>
            <w:right w:val="none" w:sz="0" w:space="0" w:color="auto"/>
          </w:divBdr>
          <w:divsChild>
            <w:div w:id="20978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6147">
      <w:bodyDiv w:val="1"/>
      <w:marLeft w:val="0"/>
      <w:marRight w:val="0"/>
      <w:marTop w:val="0"/>
      <w:marBottom w:val="0"/>
      <w:divBdr>
        <w:top w:val="none" w:sz="0" w:space="0" w:color="auto"/>
        <w:left w:val="none" w:sz="0" w:space="0" w:color="auto"/>
        <w:bottom w:val="none" w:sz="0" w:space="0" w:color="auto"/>
        <w:right w:val="none" w:sz="0" w:space="0" w:color="auto"/>
      </w:divBdr>
      <w:divsChild>
        <w:div w:id="792137109">
          <w:marLeft w:val="0"/>
          <w:marRight w:val="0"/>
          <w:marTop w:val="0"/>
          <w:marBottom w:val="0"/>
          <w:divBdr>
            <w:top w:val="none" w:sz="0" w:space="0" w:color="auto"/>
            <w:left w:val="none" w:sz="0" w:space="0" w:color="auto"/>
            <w:bottom w:val="none" w:sz="0" w:space="0" w:color="auto"/>
            <w:right w:val="none" w:sz="0" w:space="0" w:color="auto"/>
          </w:divBdr>
          <w:divsChild>
            <w:div w:id="2033725828">
              <w:marLeft w:val="0"/>
              <w:marRight w:val="0"/>
              <w:marTop w:val="0"/>
              <w:marBottom w:val="0"/>
              <w:divBdr>
                <w:top w:val="none" w:sz="0" w:space="0" w:color="auto"/>
                <w:left w:val="none" w:sz="0" w:space="0" w:color="auto"/>
                <w:bottom w:val="none" w:sz="0" w:space="0" w:color="auto"/>
                <w:right w:val="none" w:sz="0" w:space="0" w:color="auto"/>
              </w:divBdr>
              <w:divsChild>
                <w:div w:id="1402099881">
                  <w:marLeft w:val="0"/>
                  <w:marRight w:val="0"/>
                  <w:marTop w:val="0"/>
                  <w:marBottom w:val="0"/>
                  <w:divBdr>
                    <w:top w:val="none" w:sz="0" w:space="0" w:color="auto"/>
                    <w:left w:val="none" w:sz="0" w:space="0" w:color="auto"/>
                    <w:bottom w:val="none" w:sz="0" w:space="0" w:color="auto"/>
                    <w:right w:val="none" w:sz="0" w:space="0" w:color="auto"/>
                  </w:divBdr>
                  <w:divsChild>
                    <w:div w:id="871382142">
                      <w:marLeft w:val="0"/>
                      <w:marRight w:val="0"/>
                      <w:marTop w:val="0"/>
                      <w:marBottom w:val="0"/>
                      <w:divBdr>
                        <w:top w:val="none" w:sz="0" w:space="0" w:color="auto"/>
                        <w:left w:val="none" w:sz="0" w:space="0" w:color="auto"/>
                        <w:bottom w:val="none" w:sz="0" w:space="0" w:color="auto"/>
                        <w:right w:val="none" w:sz="0" w:space="0" w:color="auto"/>
                      </w:divBdr>
                      <w:divsChild>
                        <w:div w:id="10984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616877">
      <w:bodyDiv w:val="1"/>
      <w:marLeft w:val="0"/>
      <w:marRight w:val="0"/>
      <w:marTop w:val="0"/>
      <w:marBottom w:val="0"/>
      <w:divBdr>
        <w:top w:val="none" w:sz="0" w:space="0" w:color="auto"/>
        <w:left w:val="none" w:sz="0" w:space="0" w:color="auto"/>
        <w:bottom w:val="none" w:sz="0" w:space="0" w:color="auto"/>
        <w:right w:val="none" w:sz="0" w:space="0" w:color="auto"/>
      </w:divBdr>
    </w:div>
    <w:div w:id="519393221">
      <w:bodyDiv w:val="1"/>
      <w:marLeft w:val="0"/>
      <w:marRight w:val="0"/>
      <w:marTop w:val="0"/>
      <w:marBottom w:val="0"/>
      <w:divBdr>
        <w:top w:val="none" w:sz="0" w:space="0" w:color="auto"/>
        <w:left w:val="none" w:sz="0" w:space="0" w:color="auto"/>
        <w:bottom w:val="none" w:sz="0" w:space="0" w:color="auto"/>
        <w:right w:val="none" w:sz="0" w:space="0" w:color="auto"/>
      </w:divBdr>
      <w:divsChild>
        <w:div w:id="471022239">
          <w:marLeft w:val="0"/>
          <w:marRight w:val="225"/>
          <w:marTop w:val="0"/>
          <w:marBottom w:val="0"/>
          <w:divBdr>
            <w:top w:val="none" w:sz="0" w:space="0" w:color="auto"/>
            <w:left w:val="none" w:sz="0" w:space="0" w:color="auto"/>
            <w:bottom w:val="none" w:sz="0" w:space="0" w:color="auto"/>
            <w:right w:val="none" w:sz="0" w:space="0" w:color="auto"/>
          </w:divBdr>
        </w:div>
        <w:div w:id="2072804501">
          <w:marLeft w:val="0"/>
          <w:marRight w:val="225"/>
          <w:marTop w:val="0"/>
          <w:marBottom w:val="0"/>
          <w:divBdr>
            <w:top w:val="none" w:sz="0" w:space="0" w:color="auto"/>
            <w:left w:val="none" w:sz="0" w:space="0" w:color="auto"/>
            <w:bottom w:val="none" w:sz="0" w:space="0" w:color="auto"/>
            <w:right w:val="none" w:sz="0" w:space="0" w:color="auto"/>
          </w:divBdr>
          <w:divsChild>
            <w:div w:id="18545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5324">
      <w:bodyDiv w:val="1"/>
      <w:marLeft w:val="0"/>
      <w:marRight w:val="0"/>
      <w:marTop w:val="0"/>
      <w:marBottom w:val="0"/>
      <w:divBdr>
        <w:top w:val="none" w:sz="0" w:space="0" w:color="auto"/>
        <w:left w:val="none" w:sz="0" w:space="0" w:color="auto"/>
        <w:bottom w:val="none" w:sz="0" w:space="0" w:color="auto"/>
        <w:right w:val="none" w:sz="0" w:space="0" w:color="auto"/>
      </w:divBdr>
    </w:div>
    <w:div w:id="520242486">
      <w:bodyDiv w:val="1"/>
      <w:marLeft w:val="0"/>
      <w:marRight w:val="0"/>
      <w:marTop w:val="0"/>
      <w:marBottom w:val="0"/>
      <w:divBdr>
        <w:top w:val="none" w:sz="0" w:space="0" w:color="auto"/>
        <w:left w:val="none" w:sz="0" w:space="0" w:color="auto"/>
        <w:bottom w:val="none" w:sz="0" w:space="0" w:color="auto"/>
        <w:right w:val="none" w:sz="0" w:space="0" w:color="auto"/>
      </w:divBdr>
      <w:divsChild>
        <w:div w:id="2120299267">
          <w:marLeft w:val="0"/>
          <w:marRight w:val="0"/>
          <w:marTop w:val="0"/>
          <w:marBottom w:val="0"/>
          <w:divBdr>
            <w:top w:val="none" w:sz="0" w:space="0" w:color="auto"/>
            <w:left w:val="none" w:sz="0" w:space="0" w:color="auto"/>
            <w:bottom w:val="none" w:sz="0" w:space="0" w:color="auto"/>
            <w:right w:val="none" w:sz="0" w:space="0" w:color="auto"/>
          </w:divBdr>
          <w:divsChild>
            <w:div w:id="1755781235">
              <w:marLeft w:val="0"/>
              <w:marRight w:val="0"/>
              <w:marTop w:val="0"/>
              <w:marBottom w:val="0"/>
              <w:divBdr>
                <w:top w:val="none" w:sz="0" w:space="0" w:color="auto"/>
                <w:left w:val="none" w:sz="0" w:space="0" w:color="auto"/>
                <w:bottom w:val="none" w:sz="0" w:space="0" w:color="auto"/>
                <w:right w:val="none" w:sz="0" w:space="0" w:color="auto"/>
              </w:divBdr>
              <w:divsChild>
                <w:div w:id="896278913">
                  <w:marLeft w:val="0"/>
                  <w:marRight w:val="0"/>
                  <w:marTop w:val="0"/>
                  <w:marBottom w:val="0"/>
                  <w:divBdr>
                    <w:top w:val="none" w:sz="0" w:space="0" w:color="auto"/>
                    <w:left w:val="none" w:sz="0" w:space="0" w:color="auto"/>
                    <w:bottom w:val="none" w:sz="0" w:space="0" w:color="auto"/>
                    <w:right w:val="none" w:sz="0" w:space="0" w:color="auto"/>
                  </w:divBdr>
                  <w:divsChild>
                    <w:div w:id="1532961856">
                      <w:marLeft w:val="0"/>
                      <w:marRight w:val="0"/>
                      <w:marTop w:val="0"/>
                      <w:marBottom w:val="0"/>
                      <w:divBdr>
                        <w:top w:val="none" w:sz="0" w:space="0" w:color="auto"/>
                        <w:left w:val="none" w:sz="0" w:space="0" w:color="auto"/>
                        <w:bottom w:val="none" w:sz="0" w:space="0" w:color="auto"/>
                        <w:right w:val="none" w:sz="0" w:space="0" w:color="auto"/>
                      </w:divBdr>
                      <w:divsChild>
                        <w:div w:id="2015106569">
                          <w:marLeft w:val="0"/>
                          <w:marRight w:val="0"/>
                          <w:marTop w:val="0"/>
                          <w:marBottom w:val="0"/>
                          <w:divBdr>
                            <w:top w:val="none" w:sz="0" w:space="0" w:color="auto"/>
                            <w:left w:val="none" w:sz="0" w:space="0" w:color="auto"/>
                            <w:bottom w:val="none" w:sz="0" w:space="0" w:color="auto"/>
                            <w:right w:val="none" w:sz="0" w:space="0" w:color="auto"/>
                          </w:divBdr>
                          <w:divsChild>
                            <w:div w:id="167604819">
                              <w:marLeft w:val="0"/>
                              <w:marRight w:val="0"/>
                              <w:marTop w:val="0"/>
                              <w:marBottom w:val="0"/>
                              <w:divBdr>
                                <w:top w:val="none" w:sz="0" w:space="0" w:color="auto"/>
                                <w:left w:val="none" w:sz="0" w:space="0" w:color="auto"/>
                                <w:bottom w:val="none" w:sz="0" w:space="0" w:color="auto"/>
                                <w:right w:val="none" w:sz="0" w:space="0" w:color="auto"/>
                              </w:divBdr>
                              <w:divsChild>
                                <w:div w:id="1412004990">
                                  <w:marLeft w:val="0"/>
                                  <w:marRight w:val="0"/>
                                  <w:marTop w:val="0"/>
                                  <w:marBottom w:val="0"/>
                                  <w:divBdr>
                                    <w:top w:val="none" w:sz="0" w:space="0" w:color="auto"/>
                                    <w:left w:val="none" w:sz="0" w:space="0" w:color="auto"/>
                                    <w:bottom w:val="none" w:sz="0" w:space="0" w:color="auto"/>
                                    <w:right w:val="none" w:sz="0" w:space="0" w:color="auto"/>
                                  </w:divBdr>
                                  <w:divsChild>
                                    <w:div w:id="989097373">
                                      <w:marLeft w:val="0"/>
                                      <w:marRight w:val="0"/>
                                      <w:marTop w:val="0"/>
                                      <w:marBottom w:val="0"/>
                                      <w:divBdr>
                                        <w:top w:val="none" w:sz="0" w:space="0" w:color="auto"/>
                                        <w:left w:val="none" w:sz="0" w:space="0" w:color="auto"/>
                                        <w:bottom w:val="none" w:sz="0" w:space="0" w:color="auto"/>
                                        <w:right w:val="none" w:sz="0" w:space="0" w:color="auto"/>
                                      </w:divBdr>
                                      <w:divsChild>
                                        <w:div w:id="264076445">
                                          <w:marLeft w:val="0"/>
                                          <w:marRight w:val="0"/>
                                          <w:marTop w:val="0"/>
                                          <w:marBottom w:val="0"/>
                                          <w:divBdr>
                                            <w:top w:val="none" w:sz="0" w:space="0" w:color="auto"/>
                                            <w:left w:val="none" w:sz="0" w:space="0" w:color="auto"/>
                                            <w:bottom w:val="none" w:sz="0" w:space="0" w:color="auto"/>
                                            <w:right w:val="none" w:sz="0" w:space="0" w:color="auto"/>
                                          </w:divBdr>
                                          <w:divsChild>
                                            <w:div w:id="563369143">
                                              <w:marLeft w:val="0"/>
                                              <w:marRight w:val="0"/>
                                              <w:marTop w:val="0"/>
                                              <w:marBottom w:val="0"/>
                                              <w:divBdr>
                                                <w:top w:val="none" w:sz="0" w:space="0" w:color="auto"/>
                                                <w:left w:val="none" w:sz="0" w:space="0" w:color="auto"/>
                                                <w:bottom w:val="none" w:sz="0" w:space="0" w:color="auto"/>
                                                <w:right w:val="none" w:sz="0" w:space="0" w:color="auto"/>
                                              </w:divBdr>
                                              <w:divsChild>
                                                <w:div w:id="727995539">
                                                  <w:marLeft w:val="0"/>
                                                  <w:marRight w:val="0"/>
                                                  <w:marTop w:val="0"/>
                                                  <w:marBottom w:val="0"/>
                                                  <w:divBdr>
                                                    <w:top w:val="none" w:sz="0" w:space="0" w:color="auto"/>
                                                    <w:left w:val="none" w:sz="0" w:space="0" w:color="auto"/>
                                                    <w:bottom w:val="none" w:sz="0" w:space="0" w:color="auto"/>
                                                    <w:right w:val="none" w:sz="0" w:space="0" w:color="auto"/>
                                                  </w:divBdr>
                                                  <w:divsChild>
                                                    <w:div w:id="1737975086">
                                                      <w:marLeft w:val="0"/>
                                                      <w:marRight w:val="0"/>
                                                      <w:marTop w:val="0"/>
                                                      <w:marBottom w:val="0"/>
                                                      <w:divBdr>
                                                        <w:top w:val="none" w:sz="0" w:space="0" w:color="auto"/>
                                                        <w:left w:val="none" w:sz="0" w:space="0" w:color="auto"/>
                                                        <w:bottom w:val="none" w:sz="0" w:space="0" w:color="auto"/>
                                                        <w:right w:val="none" w:sz="0" w:space="0" w:color="auto"/>
                                                      </w:divBdr>
                                                      <w:divsChild>
                                                        <w:div w:id="214972548">
                                                          <w:marLeft w:val="0"/>
                                                          <w:marRight w:val="0"/>
                                                          <w:marTop w:val="0"/>
                                                          <w:marBottom w:val="0"/>
                                                          <w:divBdr>
                                                            <w:top w:val="none" w:sz="0" w:space="0" w:color="auto"/>
                                                            <w:left w:val="none" w:sz="0" w:space="0" w:color="auto"/>
                                                            <w:bottom w:val="none" w:sz="0" w:space="0" w:color="auto"/>
                                                            <w:right w:val="none" w:sz="0" w:space="0" w:color="auto"/>
                                                          </w:divBdr>
                                                        </w:div>
                                                        <w:div w:id="403727136">
                                                          <w:marLeft w:val="0"/>
                                                          <w:marRight w:val="0"/>
                                                          <w:marTop w:val="0"/>
                                                          <w:marBottom w:val="0"/>
                                                          <w:divBdr>
                                                            <w:top w:val="none" w:sz="0" w:space="0" w:color="auto"/>
                                                            <w:left w:val="none" w:sz="0" w:space="0" w:color="auto"/>
                                                            <w:bottom w:val="none" w:sz="0" w:space="0" w:color="auto"/>
                                                            <w:right w:val="none" w:sz="0" w:space="0" w:color="auto"/>
                                                          </w:divBdr>
                                                          <w:divsChild>
                                                            <w:div w:id="14910164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0971213">
      <w:bodyDiv w:val="1"/>
      <w:marLeft w:val="0"/>
      <w:marRight w:val="0"/>
      <w:marTop w:val="0"/>
      <w:marBottom w:val="0"/>
      <w:divBdr>
        <w:top w:val="none" w:sz="0" w:space="0" w:color="auto"/>
        <w:left w:val="none" w:sz="0" w:space="0" w:color="auto"/>
        <w:bottom w:val="none" w:sz="0" w:space="0" w:color="auto"/>
        <w:right w:val="none" w:sz="0" w:space="0" w:color="auto"/>
      </w:divBdr>
      <w:divsChild>
        <w:div w:id="747267224">
          <w:marLeft w:val="0"/>
          <w:marRight w:val="0"/>
          <w:marTop w:val="0"/>
          <w:marBottom w:val="0"/>
          <w:divBdr>
            <w:top w:val="none" w:sz="0" w:space="0" w:color="auto"/>
            <w:left w:val="none" w:sz="0" w:space="0" w:color="auto"/>
            <w:bottom w:val="none" w:sz="0" w:space="0" w:color="auto"/>
            <w:right w:val="none" w:sz="0" w:space="0" w:color="auto"/>
          </w:divBdr>
        </w:div>
        <w:div w:id="1140997825">
          <w:marLeft w:val="0"/>
          <w:marRight w:val="0"/>
          <w:marTop w:val="0"/>
          <w:marBottom w:val="150"/>
          <w:divBdr>
            <w:top w:val="none" w:sz="0" w:space="0" w:color="auto"/>
            <w:left w:val="none" w:sz="0" w:space="0" w:color="auto"/>
            <w:bottom w:val="none" w:sz="0" w:space="0" w:color="auto"/>
            <w:right w:val="none" w:sz="0" w:space="0" w:color="auto"/>
          </w:divBdr>
          <w:divsChild>
            <w:div w:id="1121877468">
              <w:marLeft w:val="0"/>
              <w:marRight w:val="0"/>
              <w:marTop w:val="240"/>
              <w:marBottom w:val="240"/>
              <w:divBdr>
                <w:top w:val="single" w:sz="6" w:space="6" w:color="F2F2F2"/>
                <w:left w:val="none" w:sz="0" w:space="0" w:color="auto"/>
                <w:bottom w:val="single" w:sz="6" w:space="6" w:color="F2F2F2"/>
                <w:right w:val="none" w:sz="0" w:space="0" w:color="auto"/>
              </w:divBdr>
            </w:div>
            <w:div w:id="1138185000">
              <w:marLeft w:val="0"/>
              <w:marRight w:val="0"/>
              <w:marTop w:val="0"/>
              <w:marBottom w:val="0"/>
              <w:divBdr>
                <w:top w:val="none" w:sz="0" w:space="0" w:color="auto"/>
                <w:left w:val="none" w:sz="0" w:space="0" w:color="auto"/>
                <w:bottom w:val="none" w:sz="0" w:space="0" w:color="auto"/>
                <w:right w:val="none" w:sz="0" w:space="0" w:color="auto"/>
              </w:divBdr>
              <w:divsChild>
                <w:div w:id="190536231">
                  <w:marLeft w:val="0"/>
                  <w:marRight w:val="0"/>
                  <w:marTop w:val="0"/>
                  <w:marBottom w:val="240"/>
                  <w:divBdr>
                    <w:top w:val="none" w:sz="0" w:space="0" w:color="auto"/>
                    <w:left w:val="none" w:sz="0" w:space="0" w:color="auto"/>
                    <w:bottom w:val="none" w:sz="0" w:space="0" w:color="auto"/>
                    <w:right w:val="none" w:sz="0" w:space="0" w:color="auto"/>
                  </w:divBdr>
                </w:div>
                <w:div w:id="519440730">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2594569">
      <w:bodyDiv w:val="1"/>
      <w:marLeft w:val="0"/>
      <w:marRight w:val="0"/>
      <w:marTop w:val="0"/>
      <w:marBottom w:val="0"/>
      <w:divBdr>
        <w:top w:val="none" w:sz="0" w:space="0" w:color="auto"/>
        <w:left w:val="none" w:sz="0" w:space="0" w:color="auto"/>
        <w:bottom w:val="none" w:sz="0" w:space="0" w:color="auto"/>
        <w:right w:val="none" w:sz="0" w:space="0" w:color="auto"/>
      </w:divBdr>
      <w:divsChild>
        <w:div w:id="1296645805">
          <w:marLeft w:val="0"/>
          <w:marRight w:val="0"/>
          <w:marTop w:val="0"/>
          <w:marBottom w:val="0"/>
          <w:divBdr>
            <w:top w:val="single" w:sz="6" w:space="0" w:color="0E477A"/>
            <w:left w:val="single" w:sz="6" w:space="0" w:color="0E477A"/>
            <w:bottom w:val="single" w:sz="6" w:space="0" w:color="0E477A"/>
            <w:right w:val="single" w:sz="6" w:space="0" w:color="0E477A"/>
          </w:divBdr>
          <w:divsChild>
            <w:div w:id="664086199">
              <w:marLeft w:val="0"/>
              <w:marRight w:val="0"/>
              <w:marTop w:val="0"/>
              <w:marBottom w:val="0"/>
              <w:divBdr>
                <w:top w:val="none" w:sz="0" w:space="0" w:color="auto"/>
                <w:left w:val="none" w:sz="0" w:space="0" w:color="auto"/>
                <w:bottom w:val="none" w:sz="0" w:space="0" w:color="auto"/>
                <w:right w:val="none" w:sz="0" w:space="0" w:color="auto"/>
              </w:divBdr>
              <w:divsChild>
                <w:div w:id="210188750">
                  <w:marLeft w:val="0"/>
                  <w:marRight w:val="0"/>
                  <w:marTop w:val="0"/>
                  <w:marBottom w:val="0"/>
                  <w:divBdr>
                    <w:top w:val="none" w:sz="0" w:space="0" w:color="auto"/>
                    <w:left w:val="none" w:sz="0" w:space="0" w:color="auto"/>
                    <w:bottom w:val="none" w:sz="0" w:space="0" w:color="auto"/>
                    <w:right w:val="none" w:sz="0" w:space="0" w:color="auto"/>
                  </w:divBdr>
                  <w:divsChild>
                    <w:div w:id="1729454891">
                      <w:marLeft w:val="0"/>
                      <w:marRight w:val="0"/>
                      <w:marTop w:val="0"/>
                      <w:marBottom w:val="0"/>
                      <w:divBdr>
                        <w:top w:val="none" w:sz="0" w:space="0" w:color="auto"/>
                        <w:left w:val="none" w:sz="0" w:space="0" w:color="auto"/>
                        <w:bottom w:val="none" w:sz="0" w:space="0" w:color="auto"/>
                        <w:right w:val="none" w:sz="0" w:space="0" w:color="auto"/>
                      </w:divBdr>
                      <w:divsChild>
                        <w:div w:id="714233237">
                          <w:marLeft w:val="0"/>
                          <w:marRight w:val="0"/>
                          <w:marTop w:val="0"/>
                          <w:marBottom w:val="0"/>
                          <w:divBdr>
                            <w:top w:val="none" w:sz="0" w:space="0" w:color="auto"/>
                            <w:left w:val="none" w:sz="0" w:space="0" w:color="auto"/>
                            <w:bottom w:val="none" w:sz="0" w:space="0" w:color="auto"/>
                            <w:right w:val="none" w:sz="0" w:space="0" w:color="auto"/>
                          </w:divBdr>
                          <w:divsChild>
                            <w:div w:id="121118630">
                              <w:marLeft w:val="0"/>
                              <w:marRight w:val="0"/>
                              <w:marTop w:val="0"/>
                              <w:marBottom w:val="0"/>
                              <w:divBdr>
                                <w:top w:val="none" w:sz="0" w:space="0" w:color="auto"/>
                                <w:left w:val="none" w:sz="0" w:space="0" w:color="auto"/>
                                <w:bottom w:val="none" w:sz="0" w:space="0" w:color="auto"/>
                                <w:right w:val="none" w:sz="0" w:space="0" w:color="auto"/>
                              </w:divBdr>
                              <w:divsChild>
                                <w:div w:id="1164970642">
                                  <w:marLeft w:val="0"/>
                                  <w:marRight w:val="0"/>
                                  <w:marTop w:val="0"/>
                                  <w:marBottom w:val="0"/>
                                  <w:divBdr>
                                    <w:top w:val="none" w:sz="0" w:space="0" w:color="auto"/>
                                    <w:left w:val="none" w:sz="0" w:space="0" w:color="auto"/>
                                    <w:bottom w:val="none" w:sz="0" w:space="0" w:color="auto"/>
                                    <w:right w:val="none" w:sz="0" w:space="0" w:color="auto"/>
                                  </w:divBdr>
                                  <w:divsChild>
                                    <w:div w:id="293408310">
                                      <w:marLeft w:val="0"/>
                                      <w:marRight w:val="0"/>
                                      <w:marTop w:val="0"/>
                                      <w:marBottom w:val="0"/>
                                      <w:divBdr>
                                        <w:top w:val="none" w:sz="0" w:space="0" w:color="auto"/>
                                        <w:left w:val="none" w:sz="0" w:space="0" w:color="auto"/>
                                        <w:bottom w:val="none" w:sz="0" w:space="0" w:color="auto"/>
                                        <w:right w:val="none" w:sz="0" w:space="0" w:color="auto"/>
                                      </w:divBdr>
                                      <w:divsChild>
                                        <w:div w:id="890381305">
                                          <w:marLeft w:val="0"/>
                                          <w:marRight w:val="0"/>
                                          <w:marTop w:val="0"/>
                                          <w:marBottom w:val="0"/>
                                          <w:divBdr>
                                            <w:top w:val="none" w:sz="0" w:space="0" w:color="auto"/>
                                            <w:left w:val="none" w:sz="0" w:space="0" w:color="auto"/>
                                            <w:bottom w:val="none" w:sz="0" w:space="0" w:color="auto"/>
                                            <w:right w:val="none" w:sz="0" w:space="0" w:color="auto"/>
                                          </w:divBdr>
                                          <w:divsChild>
                                            <w:div w:id="1044796493">
                                              <w:marLeft w:val="0"/>
                                              <w:marRight w:val="0"/>
                                              <w:marTop w:val="0"/>
                                              <w:marBottom w:val="0"/>
                                              <w:divBdr>
                                                <w:top w:val="none" w:sz="0" w:space="0" w:color="auto"/>
                                                <w:left w:val="none" w:sz="0" w:space="0" w:color="auto"/>
                                                <w:bottom w:val="none" w:sz="0" w:space="0" w:color="auto"/>
                                                <w:right w:val="none" w:sz="0" w:space="0" w:color="auto"/>
                                              </w:divBdr>
                                              <w:divsChild>
                                                <w:div w:id="21135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669497">
      <w:bodyDiv w:val="1"/>
      <w:marLeft w:val="0"/>
      <w:marRight w:val="0"/>
      <w:marTop w:val="0"/>
      <w:marBottom w:val="0"/>
      <w:divBdr>
        <w:top w:val="none" w:sz="0" w:space="0" w:color="auto"/>
        <w:left w:val="none" w:sz="0" w:space="0" w:color="auto"/>
        <w:bottom w:val="none" w:sz="0" w:space="0" w:color="auto"/>
        <w:right w:val="none" w:sz="0" w:space="0" w:color="auto"/>
      </w:divBdr>
      <w:divsChild>
        <w:div w:id="1893542175">
          <w:marLeft w:val="0"/>
          <w:marRight w:val="0"/>
          <w:marTop w:val="0"/>
          <w:marBottom w:val="0"/>
          <w:divBdr>
            <w:top w:val="none" w:sz="0" w:space="0" w:color="auto"/>
            <w:left w:val="none" w:sz="0" w:space="0" w:color="auto"/>
            <w:bottom w:val="none" w:sz="0" w:space="0" w:color="auto"/>
            <w:right w:val="none" w:sz="0" w:space="0" w:color="auto"/>
          </w:divBdr>
          <w:divsChild>
            <w:div w:id="1164668899">
              <w:marLeft w:val="0"/>
              <w:marRight w:val="0"/>
              <w:marTop w:val="0"/>
              <w:marBottom w:val="0"/>
              <w:divBdr>
                <w:top w:val="none" w:sz="0" w:space="0" w:color="auto"/>
                <w:left w:val="none" w:sz="0" w:space="0" w:color="auto"/>
                <w:bottom w:val="none" w:sz="0" w:space="0" w:color="auto"/>
                <w:right w:val="none" w:sz="0" w:space="0" w:color="auto"/>
              </w:divBdr>
              <w:divsChild>
                <w:div w:id="2053456288">
                  <w:marLeft w:val="0"/>
                  <w:marRight w:val="0"/>
                  <w:marTop w:val="0"/>
                  <w:marBottom w:val="0"/>
                  <w:divBdr>
                    <w:top w:val="none" w:sz="0" w:space="0" w:color="auto"/>
                    <w:left w:val="none" w:sz="0" w:space="0" w:color="auto"/>
                    <w:bottom w:val="none" w:sz="0" w:space="0" w:color="auto"/>
                    <w:right w:val="none" w:sz="0" w:space="0" w:color="auto"/>
                  </w:divBdr>
                  <w:divsChild>
                    <w:div w:id="257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51472">
      <w:bodyDiv w:val="1"/>
      <w:marLeft w:val="0"/>
      <w:marRight w:val="0"/>
      <w:marTop w:val="0"/>
      <w:marBottom w:val="0"/>
      <w:divBdr>
        <w:top w:val="none" w:sz="0" w:space="0" w:color="auto"/>
        <w:left w:val="none" w:sz="0" w:space="0" w:color="auto"/>
        <w:bottom w:val="none" w:sz="0" w:space="0" w:color="auto"/>
        <w:right w:val="none" w:sz="0" w:space="0" w:color="auto"/>
      </w:divBdr>
    </w:div>
    <w:div w:id="523327682">
      <w:bodyDiv w:val="1"/>
      <w:marLeft w:val="0"/>
      <w:marRight w:val="0"/>
      <w:marTop w:val="0"/>
      <w:marBottom w:val="0"/>
      <w:divBdr>
        <w:top w:val="none" w:sz="0" w:space="0" w:color="auto"/>
        <w:left w:val="none" w:sz="0" w:space="0" w:color="auto"/>
        <w:bottom w:val="none" w:sz="0" w:space="0" w:color="auto"/>
        <w:right w:val="none" w:sz="0" w:space="0" w:color="auto"/>
      </w:divBdr>
    </w:div>
    <w:div w:id="524245205">
      <w:bodyDiv w:val="1"/>
      <w:marLeft w:val="0"/>
      <w:marRight w:val="0"/>
      <w:marTop w:val="0"/>
      <w:marBottom w:val="0"/>
      <w:divBdr>
        <w:top w:val="none" w:sz="0" w:space="0" w:color="auto"/>
        <w:left w:val="none" w:sz="0" w:space="0" w:color="auto"/>
        <w:bottom w:val="none" w:sz="0" w:space="0" w:color="auto"/>
        <w:right w:val="none" w:sz="0" w:space="0" w:color="auto"/>
      </w:divBdr>
    </w:div>
    <w:div w:id="528954258">
      <w:bodyDiv w:val="1"/>
      <w:marLeft w:val="0"/>
      <w:marRight w:val="0"/>
      <w:marTop w:val="0"/>
      <w:marBottom w:val="0"/>
      <w:divBdr>
        <w:top w:val="none" w:sz="0" w:space="0" w:color="auto"/>
        <w:left w:val="none" w:sz="0" w:space="0" w:color="auto"/>
        <w:bottom w:val="none" w:sz="0" w:space="0" w:color="auto"/>
        <w:right w:val="none" w:sz="0" w:space="0" w:color="auto"/>
      </w:divBdr>
      <w:divsChild>
        <w:div w:id="1855655748">
          <w:marLeft w:val="0"/>
          <w:marRight w:val="0"/>
          <w:marTop w:val="0"/>
          <w:marBottom w:val="0"/>
          <w:divBdr>
            <w:top w:val="none" w:sz="0" w:space="0" w:color="auto"/>
            <w:left w:val="none" w:sz="0" w:space="0" w:color="auto"/>
            <w:bottom w:val="none" w:sz="0" w:space="0" w:color="auto"/>
            <w:right w:val="none" w:sz="0" w:space="0" w:color="auto"/>
          </w:divBdr>
        </w:div>
      </w:divsChild>
    </w:div>
    <w:div w:id="531307604">
      <w:bodyDiv w:val="1"/>
      <w:marLeft w:val="0"/>
      <w:marRight w:val="0"/>
      <w:marTop w:val="0"/>
      <w:marBottom w:val="0"/>
      <w:divBdr>
        <w:top w:val="none" w:sz="0" w:space="0" w:color="auto"/>
        <w:left w:val="none" w:sz="0" w:space="0" w:color="auto"/>
        <w:bottom w:val="none" w:sz="0" w:space="0" w:color="auto"/>
        <w:right w:val="none" w:sz="0" w:space="0" w:color="auto"/>
      </w:divBdr>
      <w:divsChild>
        <w:div w:id="362367412">
          <w:marLeft w:val="0"/>
          <w:marRight w:val="0"/>
          <w:marTop w:val="0"/>
          <w:marBottom w:val="450"/>
          <w:divBdr>
            <w:top w:val="none" w:sz="0" w:space="0" w:color="auto"/>
            <w:left w:val="none" w:sz="0" w:space="0" w:color="auto"/>
            <w:bottom w:val="none" w:sz="0" w:space="0" w:color="auto"/>
            <w:right w:val="none" w:sz="0" w:space="0" w:color="auto"/>
          </w:divBdr>
        </w:div>
      </w:divsChild>
    </w:div>
    <w:div w:id="531309433">
      <w:bodyDiv w:val="1"/>
      <w:marLeft w:val="0"/>
      <w:marRight w:val="0"/>
      <w:marTop w:val="0"/>
      <w:marBottom w:val="0"/>
      <w:divBdr>
        <w:top w:val="none" w:sz="0" w:space="0" w:color="auto"/>
        <w:left w:val="none" w:sz="0" w:space="0" w:color="auto"/>
        <w:bottom w:val="none" w:sz="0" w:space="0" w:color="auto"/>
        <w:right w:val="none" w:sz="0" w:space="0" w:color="auto"/>
      </w:divBdr>
      <w:divsChild>
        <w:div w:id="1444767622">
          <w:marLeft w:val="0"/>
          <w:marRight w:val="0"/>
          <w:marTop w:val="0"/>
          <w:marBottom w:val="0"/>
          <w:divBdr>
            <w:top w:val="none" w:sz="0" w:space="0" w:color="auto"/>
            <w:left w:val="none" w:sz="0" w:space="0" w:color="auto"/>
            <w:bottom w:val="none" w:sz="0" w:space="0" w:color="auto"/>
            <w:right w:val="none" w:sz="0" w:space="0" w:color="auto"/>
          </w:divBdr>
          <w:divsChild>
            <w:div w:id="1214124329">
              <w:marLeft w:val="0"/>
              <w:marRight w:val="0"/>
              <w:marTop w:val="0"/>
              <w:marBottom w:val="0"/>
              <w:divBdr>
                <w:top w:val="none" w:sz="0" w:space="0" w:color="auto"/>
                <w:left w:val="none" w:sz="0" w:space="0" w:color="auto"/>
                <w:bottom w:val="none" w:sz="0" w:space="0" w:color="auto"/>
                <w:right w:val="none" w:sz="0" w:space="0" w:color="auto"/>
              </w:divBdr>
              <w:divsChild>
                <w:div w:id="772286972">
                  <w:marLeft w:val="0"/>
                  <w:marRight w:val="0"/>
                  <w:marTop w:val="0"/>
                  <w:marBottom w:val="0"/>
                  <w:divBdr>
                    <w:top w:val="none" w:sz="0" w:space="0" w:color="auto"/>
                    <w:left w:val="none" w:sz="0" w:space="0" w:color="auto"/>
                    <w:bottom w:val="none" w:sz="0" w:space="0" w:color="auto"/>
                    <w:right w:val="none" w:sz="0" w:space="0" w:color="auto"/>
                  </w:divBdr>
                  <w:divsChild>
                    <w:div w:id="1023557050">
                      <w:marLeft w:val="0"/>
                      <w:marRight w:val="0"/>
                      <w:marTop w:val="0"/>
                      <w:marBottom w:val="0"/>
                      <w:divBdr>
                        <w:top w:val="none" w:sz="0" w:space="0" w:color="auto"/>
                        <w:left w:val="none" w:sz="0" w:space="0" w:color="auto"/>
                        <w:bottom w:val="none" w:sz="0" w:space="0" w:color="auto"/>
                        <w:right w:val="none" w:sz="0" w:space="0" w:color="auto"/>
                      </w:divBdr>
                      <w:divsChild>
                        <w:div w:id="125515571">
                          <w:marLeft w:val="0"/>
                          <w:marRight w:val="0"/>
                          <w:marTop w:val="0"/>
                          <w:marBottom w:val="0"/>
                          <w:divBdr>
                            <w:top w:val="none" w:sz="0" w:space="0" w:color="auto"/>
                            <w:left w:val="none" w:sz="0" w:space="0" w:color="auto"/>
                            <w:bottom w:val="none" w:sz="0" w:space="0" w:color="auto"/>
                            <w:right w:val="none" w:sz="0" w:space="0" w:color="auto"/>
                          </w:divBdr>
                          <w:divsChild>
                            <w:div w:id="288359718">
                              <w:marLeft w:val="0"/>
                              <w:marRight w:val="0"/>
                              <w:marTop w:val="0"/>
                              <w:marBottom w:val="0"/>
                              <w:divBdr>
                                <w:top w:val="none" w:sz="0" w:space="0" w:color="auto"/>
                                <w:left w:val="none" w:sz="0" w:space="0" w:color="auto"/>
                                <w:bottom w:val="none" w:sz="0" w:space="0" w:color="auto"/>
                                <w:right w:val="none" w:sz="0" w:space="0" w:color="auto"/>
                              </w:divBdr>
                              <w:divsChild>
                                <w:div w:id="1248268503">
                                  <w:marLeft w:val="0"/>
                                  <w:marRight w:val="0"/>
                                  <w:marTop w:val="0"/>
                                  <w:marBottom w:val="0"/>
                                  <w:divBdr>
                                    <w:top w:val="none" w:sz="0" w:space="0" w:color="auto"/>
                                    <w:left w:val="none" w:sz="0" w:space="0" w:color="auto"/>
                                    <w:bottom w:val="none" w:sz="0" w:space="0" w:color="auto"/>
                                    <w:right w:val="none" w:sz="0" w:space="0" w:color="auto"/>
                                  </w:divBdr>
                                  <w:divsChild>
                                    <w:div w:id="1470172566">
                                      <w:marLeft w:val="0"/>
                                      <w:marRight w:val="0"/>
                                      <w:marTop w:val="0"/>
                                      <w:marBottom w:val="0"/>
                                      <w:divBdr>
                                        <w:top w:val="none" w:sz="0" w:space="0" w:color="auto"/>
                                        <w:left w:val="none" w:sz="0" w:space="0" w:color="auto"/>
                                        <w:bottom w:val="none" w:sz="0" w:space="0" w:color="auto"/>
                                        <w:right w:val="none" w:sz="0" w:space="0" w:color="auto"/>
                                      </w:divBdr>
                                      <w:divsChild>
                                        <w:div w:id="992678702">
                                          <w:marLeft w:val="0"/>
                                          <w:marRight w:val="0"/>
                                          <w:marTop w:val="0"/>
                                          <w:marBottom w:val="0"/>
                                          <w:divBdr>
                                            <w:top w:val="none" w:sz="0" w:space="0" w:color="auto"/>
                                            <w:left w:val="none" w:sz="0" w:space="0" w:color="auto"/>
                                            <w:bottom w:val="none" w:sz="0" w:space="0" w:color="auto"/>
                                            <w:right w:val="none" w:sz="0" w:space="0" w:color="auto"/>
                                          </w:divBdr>
                                          <w:divsChild>
                                            <w:div w:id="818806812">
                                              <w:marLeft w:val="0"/>
                                              <w:marRight w:val="0"/>
                                              <w:marTop w:val="0"/>
                                              <w:marBottom w:val="0"/>
                                              <w:divBdr>
                                                <w:top w:val="none" w:sz="0" w:space="0" w:color="auto"/>
                                                <w:left w:val="none" w:sz="0" w:space="0" w:color="auto"/>
                                                <w:bottom w:val="none" w:sz="0" w:space="0" w:color="auto"/>
                                                <w:right w:val="none" w:sz="0" w:space="0" w:color="auto"/>
                                              </w:divBdr>
                                              <w:divsChild>
                                                <w:div w:id="2005818753">
                                                  <w:marLeft w:val="0"/>
                                                  <w:marRight w:val="0"/>
                                                  <w:marTop w:val="0"/>
                                                  <w:marBottom w:val="0"/>
                                                  <w:divBdr>
                                                    <w:top w:val="none" w:sz="0" w:space="0" w:color="auto"/>
                                                    <w:left w:val="none" w:sz="0" w:space="0" w:color="auto"/>
                                                    <w:bottom w:val="none" w:sz="0" w:space="0" w:color="auto"/>
                                                    <w:right w:val="none" w:sz="0" w:space="0" w:color="auto"/>
                                                  </w:divBdr>
                                                  <w:divsChild>
                                                    <w:div w:id="1915894468">
                                                      <w:marLeft w:val="0"/>
                                                      <w:marRight w:val="0"/>
                                                      <w:marTop w:val="0"/>
                                                      <w:marBottom w:val="0"/>
                                                      <w:divBdr>
                                                        <w:top w:val="none" w:sz="0" w:space="0" w:color="auto"/>
                                                        <w:left w:val="none" w:sz="0" w:space="0" w:color="auto"/>
                                                        <w:bottom w:val="none" w:sz="0" w:space="0" w:color="auto"/>
                                                        <w:right w:val="none" w:sz="0" w:space="0" w:color="auto"/>
                                                      </w:divBdr>
                                                      <w:divsChild>
                                                        <w:div w:id="1199394684">
                                                          <w:marLeft w:val="0"/>
                                                          <w:marRight w:val="0"/>
                                                          <w:marTop w:val="0"/>
                                                          <w:marBottom w:val="0"/>
                                                          <w:divBdr>
                                                            <w:top w:val="none" w:sz="0" w:space="0" w:color="auto"/>
                                                            <w:left w:val="none" w:sz="0" w:space="0" w:color="auto"/>
                                                            <w:bottom w:val="none" w:sz="0" w:space="0" w:color="auto"/>
                                                            <w:right w:val="none" w:sz="0" w:space="0" w:color="auto"/>
                                                          </w:divBdr>
                                                        </w:div>
                                                        <w:div w:id="1646154804">
                                                          <w:marLeft w:val="0"/>
                                                          <w:marRight w:val="0"/>
                                                          <w:marTop w:val="0"/>
                                                          <w:marBottom w:val="0"/>
                                                          <w:divBdr>
                                                            <w:top w:val="none" w:sz="0" w:space="0" w:color="auto"/>
                                                            <w:left w:val="none" w:sz="0" w:space="0" w:color="auto"/>
                                                            <w:bottom w:val="none" w:sz="0" w:space="0" w:color="auto"/>
                                                            <w:right w:val="none" w:sz="0" w:space="0" w:color="auto"/>
                                                          </w:divBdr>
                                                          <w:divsChild>
                                                            <w:div w:id="8844096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1693751">
      <w:bodyDiv w:val="1"/>
      <w:marLeft w:val="0"/>
      <w:marRight w:val="0"/>
      <w:marTop w:val="0"/>
      <w:marBottom w:val="0"/>
      <w:divBdr>
        <w:top w:val="none" w:sz="0" w:space="0" w:color="auto"/>
        <w:left w:val="none" w:sz="0" w:space="0" w:color="auto"/>
        <w:bottom w:val="none" w:sz="0" w:space="0" w:color="auto"/>
        <w:right w:val="none" w:sz="0" w:space="0" w:color="auto"/>
      </w:divBdr>
      <w:divsChild>
        <w:div w:id="1011953725">
          <w:marLeft w:val="0"/>
          <w:marRight w:val="0"/>
          <w:marTop w:val="0"/>
          <w:marBottom w:val="480"/>
          <w:divBdr>
            <w:top w:val="none" w:sz="0" w:space="0" w:color="auto"/>
            <w:left w:val="none" w:sz="0" w:space="0" w:color="auto"/>
            <w:bottom w:val="none" w:sz="0" w:space="0" w:color="auto"/>
            <w:right w:val="none" w:sz="0" w:space="0" w:color="auto"/>
          </w:divBdr>
        </w:div>
      </w:divsChild>
    </w:div>
    <w:div w:id="532496669">
      <w:bodyDiv w:val="1"/>
      <w:marLeft w:val="0"/>
      <w:marRight w:val="0"/>
      <w:marTop w:val="0"/>
      <w:marBottom w:val="0"/>
      <w:divBdr>
        <w:top w:val="none" w:sz="0" w:space="0" w:color="auto"/>
        <w:left w:val="none" w:sz="0" w:space="0" w:color="auto"/>
        <w:bottom w:val="none" w:sz="0" w:space="0" w:color="auto"/>
        <w:right w:val="none" w:sz="0" w:space="0" w:color="auto"/>
      </w:divBdr>
    </w:div>
    <w:div w:id="532688896">
      <w:bodyDiv w:val="1"/>
      <w:marLeft w:val="0"/>
      <w:marRight w:val="0"/>
      <w:marTop w:val="0"/>
      <w:marBottom w:val="0"/>
      <w:divBdr>
        <w:top w:val="none" w:sz="0" w:space="0" w:color="auto"/>
        <w:left w:val="none" w:sz="0" w:space="0" w:color="auto"/>
        <w:bottom w:val="none" w:sz="0" w:space="0" w:color="auto"/>
        <w:right w:val="none" w:sz="0" w:space="0" w:color="auto"/>
      </w:divBdr>
      <w:divsChild>
        <w:div w:id="507599762">
          <w:marLeft w:val="0"/>
          <w:marRight w:val="0"/>
          <w:marTop w:val="0"/>
          <w:marBottom w:val="0"/>
          <w:divBdr>
            <w:top w:val="single" w:sz="2" w:space="0" w:color="AAAAAA"/>
            <w:left w:val="single" w:sz="6" w:space="8" w:color="AAAAAA"/>
            <w:bottom w:val="single" w:sz="2" w:space="0" w:color="AAAAAA"/>
            <w:right w:val="single" w:sz="6" w:space="8" w:color="AAAAAA"/>
          </w:divBdr>
          <w:divsChild>
            <w:div w:id="1338312341">
              <w:marLeft w:val="0"/>
              <w:marRight w:val="0"/>
              <w:marTop w:val="0"/>
              <w:marBottom w:val="0"/>
              <w:divBdr>
                <w:top w:val="none" w:sz="0" w:space="0" w:color="auto"/>
                <w:left w:val="none" w:sz="0" w:space="0" w:color="auto"/>
                <w:bottom w:val="none" w:sz="0" w:space="0" w:color="auto"/>
                <w:right w:val="none" w:sz="0" w:space="0" w:color="auto"/>
              </w:divBdr>
              <w:divsChild>
                <w:div w:id="483814973">
                  <w:marLeft w:val="0"/>
                  <w:marRight w:val="0"/>
                  <w:marTop w:val="0"/>
                  <w:marBottom w:val="0"/>
                  <w:divBdr>
                    <w:top w:val="none" w:sz="0" w:space="0" w:color="auto"/>
                    <w:left w:val="none" w:sz="0" w:space="0" w:color="auto"/>
                    <w:bottom w:val="none" w:sz="0" w:space="0" w:color="auto"/>
                    <w:right w:val="none" w:sz="0" w:space="0" w:color="auto"/>
                  </w:divBdr>
                  <w:divsChild>
                    <w:div w:id="1798260682">
                      <w:marLeft w:val="0"/>
                      <w:marRight w:val="2550"/>
                      <w:marTop w:val="0"/>
                      <w:marBottom w:val="48"/>
                      <w:divBdr>
                        <w:top w:val="none" w:sz="0" w:space="0" w:color="auto"/>
                        <w:left w:val="none" w:sz="0" w:space="0" w:color="auto"/>
                        <w:bottom w:val="none" w:sz="0" w:space="0" w:color="auto"/>
                        <w:right w:val="none" w:sz="0" w:space="0" w:color="auto"/>
                      </w:divBdr>
                      <w:divsChild>
                        <w:div w:id="18916443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32838977">
      <w:bodyDiv w:val="1"/>
      <w:marLeft w:val="0"/>
      <w:marRight w:val="0"/>
      <w:marTop w:val="0"/>
      <w:marBottom w:val="0"/>
      <w:divBdr>
        <w:top w:val="none" w:sz="0" w:space="0" w:color="auto"/>
        <w:left w:val="none" w:sz="0" w:space="0" w:color="auto"/>
        <w:bottom w:val="none" w:sz="0" w:space="0" w:color="auto"/>
        <w:right w:val="none" w:sz="0" w:space="0" w:color="auto"/>
      </w:divBdr>
      <w:divsChild>
        <w:div w:id="1371682567">
          <w:marLeft w:val="0"/>
          <w:marRight w:val="0"/>
          <w:marTop w:val="0"/>
          <w:marBottom w:val="0"/>
          <w:divBdr>
            <w:top w:val="none" w:sz="0" w:space="0" w:color="auto"/>
            <w:left w:val="none" w:sz="0" w:space="0" w:color="auto"/>
            <w:bottom w:val="none" w:sz="0" w:space="0" w:color="auto"/>
            <w:right w:val="none" w:sz="0" w:space="0" w:color="auto"/>
          </w:divBdr>
        </w:div>
      </w:divsChild>
    </w:div>
    <w:div w:id="534315657">
      <w:bodyDiv w:val="1"/>
      <w:marLeft w:val="0"/>
      <w:marRight w:val="0"/>
      <w:marTop w:val="0"/>
      <w:marBottom w:val="0"/>
      <w:divBdr>
        <w:top w:val="none" w:sz="0" w:space="0" w:color="auto"/>
        <w:left w:val="none" w:sz="0" w:space="0" w:color="auto"/>
        <w:bottom w:val="none" w:sz="0" w:space="0" w:color="auto"/>
        <w:right w:val="none" w:sz="0" w:space="0" w:color="auto"/>
      </w:divBdr>
    </w:div>
    <w:div w:id="535777630">
      <w:bodyDiv w:val="1"/>
      <w:marLeft w:val="0"/>
      <w:marRight w:val="0"/>
      <w:marTop w:val="0"/>
      <w:marBottom w:val="0"/>
      <w:divBdr>
        <w:top w:val="none" w:sz="0" w:space="0" w:color="auto"/>
        <w:left w:val="none" w:sz="0" w:space="0" w:color="auto"/>
        <w:bottom w:val="none" w:sz="0" w:space="0" w:color="auto"/>
        <w:right w:val="none" w:sz="0" w:space="0" w:color="auto"/>
      </w:divBdr>
    </w:div>
    <w:div w:id="535970418">
      <w:bodyDiv w:val="1"/>
      <w:marLeft w:val="0"/>
      <w:marRight w:val="0"/>
      <w:marTop w:val="0"/>
      <w:marBottom w:val="0"/>
      <w:divBdr>
        <w:top w:val="none" w:sz="0" w:space="0" w:color="auto"/>
        <w:left w:val="none" w:sz="0" w:space="0" w:color="auto"/>
        <w:bottom w:val="none" w:sz="0" w:space="0" w:color="auto"/>
        <w:right w:val="none" w:sz="0" w:space="0" w:color="auto"/>
      </w:divBdr>
      <w:divsChild>
        <w:div w:id="469859741">
          <w:marLeft w:val="0"/>
          <w:marRight w:val="0"/>
          <w:marTop w:val="0"/>
          <w:marBottom w:val="450"/>
          <w:divBdr>
            <w:top w:val="none" w:sz="0" w:space="0" w:color="auto"/>
            <w:left w:val="none" w:sz="0" w:space="0" w:color="auto"/>
            <w:bottom w:val="none" w:sz="0" w:space="0" w:color="auto"/>
            <w:right w:val="none" w:sz="0" w:space="0" w:color="auto"/>
          </w:divBdr>
        </w:div>
      </w:divsChild>
    </w:div>
    <w:div w:id="536746255">
      <w:bodyDiv w:val="1"/>
      <w:marLeft w:val="0"/>
      <w:marRight w:val="0"/>
      <w:marTop w:val="0"/>
      <w:marBottom w:val="0"/>
      <w:divBdr>
        <w:top w:val="none" w:sz="0" w:space="0" w:color="auto"/>
        <w:left w:val="none" w:sz="0" w:space="0" w:color="auto"/>
        <w:bottom w:val="none" w:sz="0" w:space="0" w:color="auto"/>
        <w:right w:val="none" w:sz="0" w:space="0" w:color="auto"/>
      </w:divBdr>
      <w:divsChild>
        <w:div w:id="649284184">
          <w:marLeft w:val="0"/>
          <w:marRight w:val="0"/>
          <w:marTop w:val="0"/>
          <w:marBottom w:val="0"/>
          <w:divBdr>
            <w:top w:val="none" w:sz="0" w:space="0" w:color="auto"/>
            <w:left w:val="none" w:sz="0" w:space="0" w:color="auto"/>
            <w:bottom w:val="none" w:sz="0" w:space="0" w:color="auto"/>
            <w:right w:val="none" w:sz="0" w:space="0" w:color="auto"/>
          </w:divBdr>
          <w:divsChild>
            <w:div w:id="248585015">
              <w:marLeft w:val="0"/>
              <w:marRight w:val="0"/>
              <w:marTop w:val="0"/>
              <w:marBottom w:val="0"/>
              <w:divBdr>
                <w:top w:val="none" w:sz="0" w:space="0" w:color="auto"/>
                <w:left w:val="none" w:sz="0" w:space="0" w:color="auto"/>
                <w:bottom w:val="none" w:sz="0" w:space="0" w:color="auto"/>
                <w:right w:val="none" w:sz="0" w:space="0" w:color="auto"/>
              </w:divBdr>
              <w:divsChild>
                <w:div w:id="527644066">
                  <w:marLeft w:val="0"/>
                  <w:marRight w:val="0"/>
                  <w:marTop w:val="0"/>
                  <w:marBottom w:val="0"/>
                  <w:divBdr>
                    <w:top w:val="none" w:sz="0" w:space="0" w:color="auto"/>
                    <w:left w:val="none" w:sz="0" w:space="0" w:color="auto"/>
                    <w:bottom w:val="none" w:sz="0" w:space="0" w:color="auto"/>
                    <w:right w:val="none" w:sz="0" w:space="0" w:color="auto"/>
                  </w:divBdr>
                  <w:divsChild>
                    <w:div w:id="1295603529">
                      <w:marLeft w:val="0"/>
                      <w:marRight w:val="0"/>
                      <w:marTop w:val="0"/>
                      <w:marBottom w:val="0"/>
                      <w:divBdr>
                        <w:top w:val="none" w:sz="0" w:space="0" w:color="auto"/>
                        <w:left w:val="none" w:sz="0" w:space="0" w:color="auto"/>
                        <w:bottom w:val="none" w:sz="0" w:space="0" w:color="auto"/>
                        <w:right w:val="none" w:sz="0" w:space="0" w:color="auto"/>
                      </w:divBdr>
                      <w:divsChild>
                        <w:div w:id="1995571609">
                          <w:marLeft w:val="0"/>
                          <w:marRight w:val="0"/>
                          <w:marTop w:val="0"/>
                          <w:marBottom w:val="0"/>
                          <w:divBdr>
                            <w:top w:val="none" w:sz="0" w:space="0" w:color="auto"/>
                            <w:left w:val="none" w:sz="0" w:space="0" w:color="auto"/>
                            <w:bottom w:val="none" w:sz="0" w:space="0" w:color="auto"/>
                            <w:right w:val="none" w:sz="0" w:space="0" w:color="auto"/>
                          </w:divBdr>
                          <w:divsChild>
                            <w:div w:id="702901842">
                              <w:marLeft w:val="0"/>
                              <w:marRight w:val="0"/>
                              <w:marTop w:val="0"/>
                              <w:marBottom w:val="0"/>
                              <w:divBdr>
                                <w:top w:val="none" w:sz="0" w:space="0" w:color="auto"/>
                                <w:left w:val="none" w:sz="0" w:space="0" w:color="auto"/>
                                <w:bottom w:val="none" w:sz="0" w:space="0" w:color="auto"/>
                                <w:right w:val="none" w:sz="0" w:space="0" w:color="auto"/>
                              </w:divBdr>
                              <w:divsChild>
                                <w:div w:id="1980265244">
                                  <w:marLeft w:val="570"/>
                                  <w:marRight w:val="720"/>
                                  <w:marTop w:val="120"/>
                                  <w:marBottom w:val="120"/>
                                  <w:divBdr>
                                    <w:top w:val="none" w:sz="0" w:space="0" w:color="auto"/>
                                    <w:left w:val="none" w:sz="0" w:space="0" w:color="auto"/>
                                    <w:bottom w:val="none" w:sz="0" w:space="0" w:color="auto"/>
                                    <w:right w:val="none" w:sz="0" w:space="0" w:color="auto"/>
                                  </w:divBdr>
                                  <w:divsChild>
                                    <w:div w:id="316155086">
                                      <w:marLeft w:val="0"/>
                                      <w:marRight w:val="0"/>
                                      <w:marTop w:val="0"/>
                                      <w:marBottom w:val="0"/>
                                      <w:divBdr>
                                        <w:top w:val="none" w:sz="0" w:space="0" w:color="auto"/>
                                        <w:left w:val="none" w:sz="0" w:space="0" w:color="auto"/>
                                        <w:bottom w:val="none" w:sz="0" w:space="0" w:color="auto"/>
                                        <w:right w:val="none" w:sz="0" w:space="0" w:color="auto"/>
                                      </w:divBdr>
                                      <w:divsChild>
                                        <w:div w:id="1294212098">
                                          <w:marLeft w:val="0"/>
                                          <w:marRight w:val="0"/>
                                          <w:marTop w:val="0"/>
                                          <w:marBottom w:val="0"/>
                                          <w:divBdr>
                                            <w:top w:val="none" w:sz="0" w:space="0" w:color="auto"/>
                                            <w:left w:val="none" w:sz="0" w:space="0" w:color="auto"/>
                                            <w:bottom w:val="none" w:sz="0" w:space="0" w:color="auto"/>
                                            <w:right w:val="none" w:sz="0" w:space="0" w:color="auto"/>
                                          </w:divBdr>
                                          <w:divsChild>
                                            <w:div w:id="1496528218">
                                              <w:marLeft w:val="0"/>
                                              <w:marRight w:val="0"/>
                                              <w:marTop w:val="0"/>
                                              <w:marBottom w:val="0"/>
                                              <w:divBdr>
                                                <w:top w:val="none" w:sz="0" w:space="0" w:color="auto"/>
                                                <w:left w:val="none" w:sz="0" w:space="0" w:color="auto"/>
                                                <w:bottom w:val="none" w:sz="0" w:space="0" w:color="auto"/>
                                                <w:right w:val="none" w:sz="0" w:space="0" w:color="auto"/>
                                              </w:divBdr>
                                              <w:divsChild>
                                                <w:div w:id="168184455">
                                                  <w:marLeft w:val="0"/>
                                                  <w:marRight w:val="0"/>
                                                  <w:marTop w:val="240"/>
                                                  <w:marBottom w:val="240"/>
                                                  <w:divBdr>
                                                    <w:top w:val="single" w:sz="6" w:space="6" w:color="F2F2F2"/>
                                                    <w:left w:val="none" w:sz="0" w:space="0" w:color="auto"/>
                                                    <w:bottom w:val="single" w:sz="6" w:space="6" w:color="F2F2F2"/>
                                                    <w:right w:val="none" w:sz="0" w:space="0" w:color="auto"/>
                                                  </w:divBdr>
                                                </w:div>
                                                <w:div w:id="1453983607">
                                                  <w:marLeft w:val="0"/>
                                                  <w:marRight w:val="0"/>
                                                  <w:marTop w:val="0"/>
                                                  <w:marBottom w:val="0"/>
                                                  <w:divBdr>
                                                    <w:top w:val="none" w:sz="0" w:space="0" w:color="auto"/>
                                                    <w:left w:val="none" w:sz="0" w:space="0" w:color="auto"/>
                                                    <w:bottom w:val="none" w:sz="0" w:space="0" w:color="auto"/>
                                                    <w:right w:val="none" w:sz="0" w:space="0" w:color="auto"/>
                                                  </w:divBdr>
                                                  <w:divsChild>
                                                    <w:div w:id="7764135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743253">
      <w:bodyDiv w:val="1"/>
      <w:marLeft w:val="0"/>
      <w:marRight w:val="0"/>
      <w:marTop w:val="0"/>
      <w:marBottom w:val="0"/>
      <w:divBdr>
        <w:top w:val="none" w:sz="0" w:space="0" w:color="auto"/>
        <w:left w:val="none" w:sz="0" w:space="0" w:color="auto"/>
        <w:bottom w:val="none" w:sz="0" w:space="0" w:color="auto"/>
        <w:right w:val="none" w:sz="0" w:space="0" w:color="auto"/>
      </w:divBdr>
    </w:div>
    <w:div w:id="538981295">
      <w:bodyDiv w:val="1"/>
      <w:marLeft w:val="0"/>
      <w:marRight w:val="0"/>
      <w:marTop w:val="0"/>
      <w:marBottom w:val="0"/>
      <w:divBdr>
        <w:top w:val="none" w:sz="0" w:space="0" w:color="auto"/>
        <w:left w:val="none" w:sz="0" w:space="0" w:color="auto"/>
        <w:bottom w:val="none" w:sz="0" w:space="0" w:color="auto"/>
        <w:right w:val="none" w:sz="0" w:space="0" w:color="auto"/>
      </w:divBdr>
      <w:divsChild>
        <w:div w:id="1811701404">
          <w:marLeft w:val="0"/>
          <w:marRight w:val="0"/>
          <w:marTop w:val="0"/>
          <w:marBottom w:val="0"/>
          <w:divBdr>
            <w:top w:val="none" w:sz="0" w:space="0" w:color="auto"/>
            <w:left w:val="none" w:sz="0" w:space="0" w:color="auto"/>
            <w:bottom w:val="none" w:sz="0" w:space="0" w:color="auto"/>
            <w:right w:val="none" w:sz="0" w:space="0" w:color="auto"/>
          </w:divBdr>
          <w:divsChild>
            <w:div w:id="893272485">
              <w:marLeft w:val="175"/>
              <w:marRight w:val="0"/>
              <w:marTop w:val="0"/>
              <w:marBottom w:val="0"/>
              <w:divBdr>
                <w:top w:val="none" w:sz="0" w:space="0" w:color="auto"/>
                <w:left w:val="none" w:sz="0" w:space="0" w:color="auto"/>
                <w:bottom w:val="none" w:sz="0" w:space="0" w:color="auto"/>
                <w:right w:val="none" w:sz="0" w:space="0" w:color="auto"/>
              </w:divBdr>
              <w:divsChild>
                <w:div w:id="17757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10561">
      <w:bodyDiv w:val="1"/>
      <w:marLeft w:val="0"/>
      <w:marRight w:val="0"/>
      <w:marTop w:val="0"/>
      <w:marBottom w:val="0"/>
      <w:divBdr>
        <w:top w:val="none" w:sz="0" w:space="0" w:color="auto"/>
        <w:left w:val="none" w:sz="0" w:space="0" w:color="auto"/>
        <w:bottom w:val="none" w:sz="0" w:space="0" w:color="auto"/>
        <w:right w:val="none" w:sz="0" w:space="0" w:color="auto"/>
      </w:divBdr>
      <w:divsChild>
        <w:div w:id="1500655150">
          <w:marLeft w:val="0"/>
          <w:marRight w:val="0"/>
          <w:marTop w:val="0"/>
          <w:marBottom w:val="0"/>
          <w:divBdr>
            <w:top w:val="single" w:sz="2" w:space="0" w:color="2F3F45"/>
            <w:left w:val="single" w:sz="2" w:space="0" w:color="2F3F45"/>
            <w:bottom w:val="single" w:sz="2" w:space="0" w:color="2F3F45"/>
            <w:right w:val="single" w:sz="12" w:space="0" w:color="2F3F45"/>
          </w:divBdr>
          <w:divsChild>
            <w:div w:id="2090299312">
              <w:marLeft w:val="0"/>
              <w:marRight w:val="0"/>
              <w:marTop w:val="0"/>
              <w:marBottom w:val="0"/>
              <w:divBdr>
                <w:top w:val="single" w:sz="2" w:space="0" w:color="2F3F45"/>
                <w:left w:val="single" w:sz="12" w:space="0" w:color="2F3F45"/>
                <w:bottom w:val="single" w:sz="2" w:space="0" w:color="2F3F45"/>
                <w:right w:val="single" w:sz="2" w:space="0" w:color="2F3F45"/>
              </w:divBdr>
              <w:divsChild>
                <w:div w:id="1086147616">
                  <w:marLeft w:val="0"/>
                  <w:marRight w:val="0"/>
                  <w:marTop w:val="0"/>
                  <w:marBottom w:val="0"/>
                  <w:divBdr>
                    <w:top w:val="none" w:sz="0" w:space="0" w:color="auto"/>
                    <w:left w:val="none" w:sz="0" w:space="0" w:color="auto"/>
                    <w:bottom w:val="none" w:sz="0" w:space="0" w:color="auto"/>
                    <w:right w:val="none" w:sz="0" w:space="0" w:color="auto"/>
                  </w:divBdr>
                  <w:divsChild>
                    <w:div w:id="344795841">
                      <w:marLeft w:val="0"/>
                      <w:marRight w:val="0"/>
                      <w:marTop w:val="0"/>
                      <w:marBottom w:val="0"/>
                      <w:divBdr>
                        <w:top w:val="none" w:sz="0" w:space="0" w:color="auto"/>
                        <w:left w:val="none" w:sz="0" w:space="0" w:color="auto"/>
                        <w:bottom w:val="none" w:sz="0" w:space="0" w:color="auto"/>
                        <w:right w:val="none" w:sz="0" w:space="0" w:color="auto"/>
                      </w:divBdr>
                      <w:divsChild>
                        <w:div w:id="2080860898">
                          <w:marLeft w:val="0"/>
                          <w:marRight w:val="0"/>
                          <w:marTop w:val="0"/>
                          <w:marBottom w:val="0"/>
                          <w:divBdr>
                            <w:top w:val="none" w:sz="0" w:space="0" w:color="auto"/>
                            <w:left w:val="none" w:sz="0" w:space="0" w:color="auto"/>
                            <w:bottom w:val="none" w:sz="0" w:space="0" w:color="auto"/>
                            <w:right w:val="none" w:sz="0" w:space="0" w:color="auto"/>
                          </w:divBdr>
                          <w:divsChild>
                            <w:div w:id="1031105110">
                              <w:marLeft w:val="0"/>
                              <w:marRight w:val="150"/>
                              <w:marTop w:val="0"/>
                              <w:marBottom w:val="0"/>
                              <w:divBdr>
                                <w:top w:val="none" w:sz="0" w:space="0" w:color="auto"/>
                                <w:left w:val="none" w:sz="0" w:space="0" w:color="auto"/>
                                <w:bottom w:val="none" w:sz="0" w:space="0" w:color="auto"/>
                                <w:right w:val="none" w:sz="0" w:space="0" w:color="auto"/>
                              </w:divBdr>
                              <w:divsChild>
                                <w:div w:id="926422232">
                                  <w:marLeft w:val="0"/>
                                  <w:marRight w:val="0"/>
                                  <w:marTop w:val="0"/>
                                  <w:marBottom w:val="0"/>
                                  <w:divBdr>
                                    <w:top w:val="none" w:sz="0" w:space="0" w:color="auto"/>
                                    <w:left w:val="none" w:sz="0" w:space="0" w:color="auto"/>
                                    <w:bottom w:val="none" w:sz="0" w:space="0" w:color="auto"/>
                                    <w:right w:val="none" w:sz="0" w:space="0" w:color="auto"/>
                                  </w:divBdr>
                                  <w:divsChild>
                                    <w:div w:id="1500123022">
                                      <w:marLeft w:val="0"/>
                                      <w:marRight w:val="0"/>
                                      <w:marTop w:val="0"/>
                                      <w:marBottom w:val="0"/>
                                      <w:divBdr>
                                        <w:top w:val="none" w:sz="0" w:space="0" w:color="auto"/>
                                        <w:left w:val="none" w:sz="0" w:space="0" w:color="auto"/>
                                        <w:bottom w:val="none" w:sz="0" w:space="0" w:color="auto"/>
                                        <w:right w:val="none" w:sz="0" w:space="0" w:color="auto"/>
                                      </w:divBdr>
                                      <w:divsChild>
                                        <w:div w:id="2037580846">
                                          <w:marLeft w:val="0"/>
                                          <w:marRight w:val="0"/>
                                          <w:marTop w:val="150"/>
                                          <w:marBottom w:val="150"/>
                                          <w:divBdr>
                                            <w:top w:val="none" w:sz="0" w:space="0" w:color="auto"/>
                                            <w:left w:val="none" w:sz="0" w:space="0" w:color="auto"/>
                                            <w:bottom w:val="none" w:sz="0" w:space="0" w:color="auto"/>
                                            <w:right w:val="none" w:sz="0" w:space="0" w:color="auto"/>
                                          </w:divBdr>
                                          <w:divsChild>
                                            <w:div w:id="1514568325">
                                              <w:marLeft w:val="0"/>
                                              <w:marRight w:val="0"/>
                                              <w:marTop w:val="0"/>
                                              <w:marBottom w:val="0"/>
                                              <w:divBdr>
                                                <w:top w:val="none" w:sz="0" w:space="0" w:color="auto"/>
                                                <w:left w:val="none" w:sz="0" w:space="0" w:color="auto"/>
                                                <w:bottom w:val="none" w:sz="0" w:space="0" w:color="auto"/>
                                                <w:right w:val="none" w:sz="0" w:space="0" w:color="auto"/>
                                              </w:divBdr>
                                              <w:divsChild>
                                                <w:div w:id="1150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1090006">
      <w:bodyDiv w:val="1"/>
      <w:marLeft w:val="0"/>
      <w:marRight w:val="0"/>
      <w:marTop w:val="0"/>
      <w:marBottom w:val="0"/>
      <w:divBdr>
        <w:top w:val="none" w:sz="0" w:space="0" w:color="auto"/>
        <w:left w:val="none" w:sz="0" w:space="0" w:color="auto"/>
        <w:bottom w:val="none" w:sz="0" w:space="0" w:color="auto"/>
        <w:right w:val="none" w:sz="0" w:space="0" w:color="auto"/>
      </w:divBdr>
      <w:divsChild>
        <w:div w:id="101146344">
          <w:marLeft w:val="0"/>
          <w:marRight w:val="0"/>
          <w:marTop w:val="0"/>
          <w:marBottom w:val="0"/>
          <w:divBdr>
            <w:top w:val="none" w:sz="0" w:space="0" w:color="auto"/>
            <w:left w:val="none" w:sz="0" w:space="0" w:color="auto"/>
            <w:bottom w:val="none" w:sz="0" w:space="0" w:color="auto"/>
            <w:right w:val="none" w:sz="0" w:space="0" w:color="auto"/>
          </w:divBdr>
          <w:divsChild>
            <w:div w:id="730153402">
              <w:marLeft w:val="0"/>
              <w:marRight w:val="0"/>
              <w:marTop w:val="0"/>
              <w:marBottom w:val="0"/>
              <w:divBdr>
                <w:top w:val="none" w:sz="0" w:space="0" w:color="auto"/>
                <w:left w:val="none" w:sz="0" w:space="0" w:color="auto"/>
                <w:bottom w:val="none" w:sz="0" w:space="0" w:color="auto"/>
                <w:right w:val="none" w:sz="0" w:space="0" w:color="auto"/>
              </w:divBdr>
              <w:divsChild>
                <w:div w:id="343945477">
                  <w:marLeft w:val="0"/>
                  <w:marRight w:val="0"/>
                  <w:marTop w:val="0"/>
                  <w:marBottom w:val="0"/>
                  <w:divBdr>
                    <w:top w:val="none" w:sz="0" w:space="0" w:color="auto"/>
                    <w:left w:val="none" w:sz="0" w:space="0" w:color="auto"/>
                    <w:bottom w:val="none" w:sz="0" w:space="0" w:color="auto"/>
                    <w:right w:val="none" w:sz="0" w:space="0" w:color="auto"/>
                  </w:divBdr>
                  <w:divsChild>
                    <w:div w:id="987515553">
                      <w:marLeft w:val="0"/>
                      <w:marRight w:val="0"/>
                      <w:marTop w:val="0"/>
                      <w:marBottom w:val="0"/>
                      <w:divBdr>
                        <w:top w:val="none" w:sz="0" w:space="0" w:color="auto"/>
                        <w:left w:val="none" w:sz="0" w:space="0" w:color="auto"/>
                        <w:bottom w:val="none" w:sz="0" w:space="0" w:color="auto"/>
                        <w:right w:val="none" w:sz="0" w:space="0" w:color="auto"/>
                      </w:divBdr>
                      <w:divsChild>
                        <w:div w:id="1782913487">
                          <w:marLeft w:val="0"/>
                          <w:marRight w:val="0"/>
                          <w:marTop w:val="0"/>
                          <w:marBottom w:val="0"/>
                          <w:divBdr>
                            <w:top w:val="none" w:sz="0" w:space="0" w:color="auto"/>
                            <w:left w:val="none" w:sz="0" w:space="0" w:color="auto"/>
                            <w:bottom w:val="none" w:sz="0" w:space="0" w:color="auto"/>
                            <w:right w:val="none" w:sz="0" w:space="0" w:color="auto"/>
                          </w:divBdr>
                          <w:divsChild>
                            <w:div w:id="1610089418">
                              <w:marLeft w:val="0"/>
                              <w:marRight w:val="0"/>
                              <w:marTop w:val="0"/>
                              <w:marBottom w:val="0"/>
                              <w:divBdr>
                                <w:top w:val="none" w:sz="0" w:space="0" w:color="auto"/>
                                <w:left w:val="none" w:sz="0" w:space="0" w:color="auto"/>
                                <w:bottom w:val="none" w:sz="0" w:space="0" w:color="auto"/>
                                <w:right w:val="none" w:sz="0" w:space="0" w:color="auto"/>
                              </w:divBdr>
                              <w:divsChild>
                                <w:div w:id="1316762920">
                                  <w:marLeft w:val="0"/>
                                  <w:marRight w:val="0"/>
                                  <w:marTop w:val="0"/>
                                  <w:marBottom w:val="0"/>
                                  <w:divBdr>
                                    <w:top w:val="none" w:sz="0" w:space="0" w:color="auto"/>
                                    <w:left w:val="none" w:sz="0" w:space="0" w:color="auto"/>
                                    <w:bottom w:val="none" w:sz="0" w:space="0" w:color="auto"/>
                                    <w:right w:val="none" w:sz="0" w:space="0" w:color="auto"/>
                                  </w:divBdr>
                                  <w:divsChild>
                                    <w:div w:id="619266555">
                                      <w:marLeft w:val="0"/>
                                      <w:marRight w:val="0"/>
                                      <w:marTop w:val="0"/>
                                      <w:marBottom w:val="0"/>
                                      <w:divBdr>
                                        <w:top w:val="none" w:sz="0" w:space="0" w:color="auto"/>
                                        <w:left w:val="none" w:sz="0" w:space="0" w:color="auto"/>
                                        <w:bottom w:val="none" w:sz="0" w:space="0" w:color="auto"/>
                                        <w:right w:val="none" w:sz="0" w:space="0" w:color="auto"/>
                                      </w:divBdr>
                                      <w:divsChild>
                                        <w:div w:id="15250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333668">
      <w:bodyDiv w:val="1"/>
      <w:marLeft w:val="0"/>
      <w:marRight w:val="0"/>
      <w:marTop w:val="0"/>
      <w:marBottom w:val="0"/>
      <w:divBdr>
        <w:top w:val="none" w:sz="0" w:space="0" w:color="auto"/>
        <w:left w:val="none" w:sz="0" w:space="0" w:color="auto"/>
        <w:bottom w:val="none" w:sz="0" w:space="0" w:color="auto"/>
        <w:right w:val="none" w:sz="0" w:space="0" w:color="auto"/>
      </w:divBdr>
      <w:divsChild>
        <w:div w:id="259947262">
          <w:marLeft w:val="0"/>
          <w:marRight w:val="0"/>
          <w:marTop w:val="0"/>
          <w:marBottom w:val="0"/>
          <w:divBdr>
            <w:top w:val="none" w:sz="0" w:space="0" w:color="auto"/>
            <w:left w:val="none" w:sz="0" w:space="0" w:color="auto"/>
            <w:bottom w:val="none" w:sz="0" w:space="0" w:color="auto"/>
            <w:right w:val="none" w:sz="0" w:space="0" w:color="auto"/>
          </w:divBdr>
          <w:divsChild>
            <w:div w:id="770517562">
              <w:marLeft w:val="0"/>
              <w:marRight w:val="0"/>
              <w:marTop w:val="0"/>
              <w:marBottom w:val="0"/>
              <w:divBdr>
                <w:top w:val="none" w:sz="0" w:space="0" w:color="auto"/>
                <w:left w:val="none" w:sz="0" w:space="0" w:color="auto"/>
                <w:bottom w:val="none" w:sz="0" w:space="0" w:color="auto"/>
                <w:right w:val="none" w:sz="0" w:space="0" w:color="auto"/>
              </w:divBdr>
              <w:divsChild>
                <w:div w:id="1051687499">
                  <w:marLeft w:val="0"/>
                  <w:marRight w:val="0"/>
                  <w:marTop w:val="0"/>
                  <w:marBottom w:val="0"/>
                  <w:divBdr>
                    <w:top w:val="none" w:sz="0" w:space="0" w:color="auto"/>
                    <w:left w:val="none" w:sz="0" w:space="0" w:color="auto"/>
                    <w:bottom w:val="none" w:sz="0" w:space="0" w:color="auto"/>
                    <w:right w:val="none" w:sz="0" w:space="0" w:color="auto"/>
                  </w:divBdr>
                  <w:divsChild>
                    <w:div w:id="1082684085">
                      <w:marLeft w:val="0"/>
                      <w:marRight w:val="0"/>
                      <w:marTop w:val="0"/>
                      <w:marBottom w:val="0"/>
                      <w:divBdr>
                        <w:top w:val="none" w:sz="0" w:space="0" w:color="auto"/>
                        <w:left w:val="none" w:sz="0" w:space="0" w:color="auto"/>
                        <w:bottom w:val="none" w:sz="0" w:space="0" w:color="auto"/>
                        <w:right w:val="none" w:sz="0" w:space="0" w:color="auto"/>
                      </w:divBdr>
                      <w:divsChild>
                        <w:div w:id="423653669">
                          <w:marLeft w:val="0"/>
                          <w:marRight w:val="0"/>
                          <w:marTop w:val="0"/>
                          <w:marBottom w:val="0"/>
                          <w:divBdr>
                            <w:top w:val="none" w:sz="0" w:space="0" w:color="auto"/>
                            <w:left w:val="none" w:sz="0" w:space="0" w:color="auto"/>
                            <w:bottom w:val="none" w:sz="0" w:space="0" w:color="auto"/>
                            <w:right w:val="none" w:sz="0" w:space="0" w:color="auto"/>
                          </w:divBdr>
                          <w:divsChild>
                            <w:div w:id="276254783">
                              <w:marLeft w:val="0"/>
                              <w:marRight w:val="0"/>
                              <w:marTop w:val="0"/>
                              <w:marBottom w:val="0"/>
                              <w:divBdr>
                                <w:top w:val="none" w:sz="0" w:space="0" w:color="auto"/>
                                <w:left w:val="none" w:sz="0" w:space="0" w:color="auto"/>
                                <w:bottom w:val="none" w:sz="0" w:space="0" w:color="auto"/>
                                <w:right w:val="none" w:sz="0" w:space="0" w:color="auto"/>
                              </w:divBdr>
                              <w:divsChild>
                                <w:div w:id="1479767075">
                                  <w:marLeft w:val="0"/>
                                  <w:marRight w:val="0"/>
                                  <w:marTop w:val="0"/>
                                  <w:marBottom w:val="0"/>
                                  <w:divBdr>
                                    <w:top w:val="none" w:sz="0" w:space="0" w:color="auto"/>
                                    <w:left w:val="none" w:sz="0" w:space="0" w:color="auto"/>
                                    <w:bottom w:val="none" w:sz="0" w:space="0" w:color="auto"/>
                                    <w:right w:val="none" w:sz="0" w:space="0" w:color="auto"/>
                                  </w:divBdr>
                                  <w:divsChild>
                                    <w:div w:id="1657372149">
                                      <w:marLeft w:val="0"/>
                                      <w:marRight w:val="0"/>
                                      <w:marTop w:val="0"/>
                                      <w:marBottom w:val="0"/>
                                      <w:divBdr>
                                        <w:top w:val="none" w:sz="0" w:space="0" w:color="auto"/>
                                        <w:left w:val="none" w:sz="0" w:space="0" w:color="auto"/>
                                        <w:bottom w:val="none" w:sz="0" w:space="0" w:color="auto"/>
                                        <w:right w:val="none" w:sz="0" w:space="0" w:color="auto"/>
                                      </w:divBdr>
                                      <w:divsChild>
                                        <w:div w:id="9905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1896">
      <w:bodyDiv w:val="1"/>
      <w:marLeft w:val="0"/>
      <w:marRight w:val="0"/>
      <w:marTop w:val="0"/>
      <w:marBottom w:val="0"/>
      <w:divBdr>
        <w:top w:val="none" w:sz="0" w:space="0" w:color="auto"/>
        <w:left w:val="none" w:sz="0" w:space="0" w:color="auto"/>
        <w:bottom w:val="none" w:sz="0" w:space="0" w:color="auto"/>
        <w:right w:val="none" w:sz="0" w:space="0" w:color="auto"/>
      </w:divBdr>
      <w:divsChild>
        <w:div w:id="822894826">
          <w:marLeft w:val="0"/>
          <w:marRight w:val="0"/>
          <w:marTop w:val="0"/>
          <w:marBottom w:val="0"/>
          <w:divBdr>
            <w:top w:val="none" w:sz="0" w:space="0" w:color="auto"/>
            <w:left w:val="none" w:sz="0" w:space="0" w:color="auto"/>
            <w:bottom w:val="none" w:sz="0" w:space="0" w:color="auto"/>
            <w:right w:val="none" w:sz="0" w:space="0" w:color="auto"/>
          </w:divBdr>
          <w:divsChild>
            <w:div w:id="1299186763">
              <w:marLeft w:val="0"/>
              <w:marRight w:val="0"/>
              <w:marTop w:val="0"/>
              <w:marBottom w:val="0"/>
              <w:divBdr>
                <w:top w:val="none" w:sz="0" w:space="0" w:color="auto"/>
                <w:left w:val="none" w:sz="0" w:space="0" w:color="auto"/>
                <w:bottom w:val="none" w:sz="0" w:space="0" w:color="auto"/>
                <w:right w:val="none" w:sz="0" w:space="0" w:color="auto"/>
              </w:divBdr>
              <w:divsChild>
                <w:div w:id="1371610243">
                  <w:marLeft w:val="0"/>
                  <w:marRight w:val="0"/>
                  <w:marTop w:val="0"/>
                  <w:marBottom w:val="0"/>
                  <w:divBdr>
                    <w:top w:val="none" w:sz="0" w:space="0" w:color="auto"/>
                    <w:left w:val="none" w:sz="0" w:space="0" w:color="auto"/>
                    <w:bottom w:val="none" w:sz="0" w:space="0" w:color="auto"/>
                    <w:right w:val="none" w:sz="0" w:space="0" w:color="auto"/>
                  </w:divBdr>
                  <w:divsChild>
                    <w:div w:id="725031696">
                      <w:marLeft w:val="0"/>
                      <w:marRight w:val="0"/>
                      <w:marTop w:val="0"/>
                      <w:marBottom w:val="0"/>
                      <w:divBdr>
                        <w:top w:val="none" w:sz="0" w:space="0" w:color="auto"/>
                        <w:left w:val="none" w:sz="0" w:space="0" w:color="auto"/>
                        <w:bottom w:val="none" w:sz="0" w:space="0" w:color="auto"/>
                        <w:right w:val="none" w:sz="0" w:space="0" w:color="auto"/>
                      </w:divBdr>
                      <w:divsChild>
                        <w:div w:id="652829958">
                          <w:marLeft w:val="0"/>
                          <w:marRight w:val="0"/>
                          <w:marTop w:val="0"/>
                          <w:marBottom w:val="0"/>
                          <w:divBdr>
                            <w:top w:val="none" w:sz="0" w:space="0" w:color="auto"/>
                            <w:left w:val="none" w:sz="0" w:space="0" w:color="auto"/>
                            <w:bottom w:val="none" w:sz="0" w:space="0" w:color="auto"/>
                            <w:right w:val="none" w:sz="0" w:space="0" w:color="auto"/>
                          </w:divBdr>
                          <w:divsChild>
                            <w:div w:id="82578180">
                              <w:marLeft w:val="0"/>
                              <w:marRight w:val="0"/>
                              <w:marTop w:val="0"/>
                              <w:marBottom w:val="0"/>
                              <w:divBdr>
                                <w:top w:val="none" w:sz="0" w:space="0" w:color="auto"/>
                                <w:left w:val="none" w:sz="0" w:space="0" w:color="auto"/>
                                <w:bottom w:val="none" w:sz="0" w:space="0" w:color="auto"/>
                                <w:right w:val="none" w:sz="0" w:space="0" w:color="auto"/>
                              </w:divBdr>
                              <w:divsChild>
                                <w:div w:id="323896185">
                                  <w:marLeft w:val="0"/>
                                  <w:marRight w:val="0"/>
                                  <w:marTop w:val="0"/>
                                  <w:marBottom w:val="0"/>
                                  <w:divBdr>
                                    <w:top w:val="none" w:sz="0" w:space="0" w:color="auto"/>
                                    <w:left w:val="none" w:sz="0" w:space="0" w:color="auto"/>
                                    <w:bottom w:val="none" w:sz="0" w:space="0" w:color="auto"/>
                                    <w:right w:val="none" w:sz="0" w:space="0" w:color="auto"/>
                                  </w:divBdr>
                                  <w:divsChild>
                                    <w:div w:id="496117346">
                                      <w:marLeft w:val="0"/>
                                      <w:marRight w:val="0"/>
                                      <w:marTop w:val="0"/>
                                      <w:marBottom w:val="0"/>
                                      <w:divBdr>
                                        <w:top w:val="none" w:sz="0" w:space="0" w:color="auto"/>
                                        <w:left w:val="none" w:sz="0" w:space="0" w:color="auto"/>
                                        <w:bottom w:val="none" w:sz="0" w:space="0" w:color="auto"/>
                                        <w:right w:val="none" w:sz="0" w:space="0" w:color="auto"/>
                                      </w:divBdr>
                                      <w:divsChild>
                                        <w:div w:id="13610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055326">
      <w:bodyDiv w:val="1"/>
      <w:marLeft w:val="0"/>
      <w:marRight w:val="0"/>
      <w:marTop w:val="0"/>
      <w:marBottom w:val="0"/>
      <w:divBdr>
        <w:top w:val="none" w:sz="0" w:space="0" w:color="auto"/>
        <w:left w:val="none" w:sz="0" w:space="0" w:color="auto"/>
        <w:bottom w:val="none" w:sz="0" w:space="0" w:color="auto"/>
        <w:right w:val="none" w:sz="0" w:space="0" w:color="auto"/>
      </w:divBdr>
      <w:divsChild>
        <w:div w:id="115569202">
          <w:marLeft w:val="0"/>
          <w:marRight w:val="0"/>
          <w:marTop w:val="0"/>
          <w:marBottom w:val="0"/>
          <w:divBdr>
            <w:top w:val="none" w:sz="0" w:space="0" w:color="auto"/>
            <w:left w:val="none" w:sz="0" w:space="0" w:color="auto"/>
            <w:bottom w:val="none" w:sz="0" w:space="0" w:color="auto"/>
            <w:right w:val="none" w:sz="0" w:space="0" w:color="auto"/>
          </w:divBdr>
          <w:divsChild>
            <w:div w:id="1084103702">
              <w:marLeft w:val="0"/>
              <w:marRight w:val="0"/>
              <w:marTop w:val="0"/>
              <w:marBottom w:val="0"/>
              <w:divBdr>
                <w:top w:val="none" w:sz="0" w:space="0" w:color="auto"/>
                <w:left w:val="none" w:sz="0" w:space="0" w:color="auto"/>
                <w:bottom w:val="none" w:sz="0" w:space="0" w:color="auto"/>
                <w:right w:val="none" w:sz="0" w:space="0" w:color="auto"/>
              </w:divBdr>
              <w:divsChild>
                <w:div w:id="917060300">
                  <w:marLeft w:val="0"/>
                  <w:marRight w:val="0"/>
                  <w:marTop w:val="0"/>
                  <w:marBottom w:val="0"/>
                  <w:divBdr>
                    <w:top w:val="none" w:sz="0" w:space="0" w:color="auto"/>
                    <w:left w:val="none" w:sz="0" w:space="0" w:color="auto"/>
                    <w:bottom w:val="none" w:sz="0" w:space="0" w:color="auto"/>
                    <w:right w:val="none" w:sz="0" w:space="0" w:color="auto"/>
                  </w:divBdr>
                  <w:divsChild>
                    <w:div w:id="711616717">
                      <w:marLeft w:val="0"/>
                      <w:marRight w:val="0"/>
                      <w:marTop w:val="0"/>
                      <w:marBottom w:val="0"/>
                      <w:divBdr>
                        <w:top w:val="none" w:sz="0" w:space="0" w:color="auto"/>
                        <w:left w:val="none" w:sz="0" w:space="0" w:color="auto"/>
                        <w:bottom w:val="none" w:sz="0" w:space="0" w:color="auto"/>
                        <w:right w:val="none" w:sz="0" w:space="0" w:color="auto"/>
                      </w:divBdr>
                      <w:divsChild>
                        <w:div w:id="322782347">
                          <w:marLeft w:val="0"/>
                          <w:marRight w:val="0"/>
                          <w:marTop w:val="0"/>
                          <w:marBottom w:val="0"/>
                          <w:divBdr>
                            <w:top w:val="none" w:sz="0" w:space="0" w:color="auto"/>
                            <w:left w:val="none" w:sz="0" w:space="0" w:color="auto"/>
                            <w:bottom w:val="none" w:sz="0" w:space="0" w:color="auto"/>
                            <w:right w:val="none" w:sz="0" w:space="0" w:color="auto"/>
                          </w:divBdr>
                          <w:divsChild>
                            <w:div w:id="239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90623">
      <w:bodyDiv w:val="1"/>
      <w:marLeft w:val="0"/>
      <w:marRight w:val="0"/>
      <w:marTop w:val="0"/>
      <w:marBottom w:val="0"/>
      <w:divBdr>
        <w:top w:val="none" w:sz="0" w:space="0" w:color="auto"/>
        <w:left w:val="none" w:sz="0" w:space="0" w:color="auto"/>
        <w:bottom w:val="none" w:sz="0" w:space="0" w:color="auto"/>
        <w:right w:val="none" w:sz="0" w:space="0" w:color="auto"/>
      </w:divBdr>
      <w:divsChild>
        <w:div w:id="1109469841">
          <w:marLeft w:val="0"/>
          <w:marRight w:val="0"/>
          <w:marTop w:val="0"/>
          <w:marBottom w:val="0"/>
          <w:divBdr>
            <w:top w:val="none" w:sz="0" w:space="0" w:color="auto"/>
            <w:left w:val="none" w:sz="0" w:space="0" w:color="auto"/>
            <w:bottom w:val="none" w:sz="0" w:space="0" w:color="auto"/>
            <w:right w:val="none" w:sz="0" w:space="0" w:color="auto"/>
          </w:divBdr>
          <w:divsChild>
            <w:div w:id="2008093869">
              <w:marLeft w:val="0"/>
              <w:marRight w:val="0"/>
              <w:marTop w:val="0"/>
              <w:marBottom w:val="0"/>
              <w:divBdr>
                <w:top w:val="none" w:sz="0" w:space="0" w:color="auto"/>
                <w:left w:val="none" w:sz="0" w:space="0" w:color="auto"/>
                <w:bottom w:val="none" w:sz="0" w:space="0" w:color="auto"/>
                <w:right w:val="none" w:sz="0" w:space="0" w:color="auto"/>
              </w:divBdr>
              <w:divsChild>
                <w:div w:id="133448648">
                  <w:marLeft w:val="0"/>
                  <w:marRight w:val="0"/>
                  <w:marTop w:val="0"/>
                  <w:marBottom w:val="0"/>
                  <w:divBdr>
                    <w:top w:val="none" w:sz="0" w:space="0" w:color="auto"/>
                    <w:left w:val="none" w:sz="0" w:space="0" w:color="auto"/>
                    <w:bottom w:val="none" w:sz="0" w:space="0" w:color="auto"/>
                    <w:right w:val="none" w:sz="0" w:space="0" w:color="auto"/>
                  </w:divBdr>
                  <w:divsChild>
                    <w:div w:id="1196769808">
                      <w:marLeft w:val="0"/>
                      <w:marRight w:val="0"/>
                      <w:marTop w:val="0"/>
                      <w:marBottom w:val="0"/>
                      <w:divBdr>
                        <w:top w:val="none" w:sz="0" w:space="0" w:color="auto"/>
                        <w:left w:val="none" w:sz="0" w:space="0" w:color="auto"/>
                        <w:bottom w:val="none" w:sz="0" w:space="0" w:color="auto"/>
                        <w:right w:val="none" w:sz="0" w:space="0" w:color="auto"/>
                      </w:divBdr>
                      <w:divsChild>
                        <w:div w:id="1339845137">
                          <w:marLeft w:val="0"/>
                          <w:marRight w:val="0"/>
                          <w:marTop w:val="0"/>
                          <w:marBottom w:val="0"/>
                          <w:divBdr>
                            <w:top w:val="none" w:sz="0" w:space="0" w:color="auto"/>
                            <w:left w:val="none" w:sz="0" w:space="0" w:color="auto"/>
                            <w:bottom w:val="none" w:sz="0" w:space="0" w:color="auto"/>
                            <w:right w:val="none" w:sz="0" w:space="0" w:color="auto"/>
                          </w:divBdr>
                          <w:divsChild>
                            <w:div w:id="1530951827">
                              <w:marLeft w:val="0"/>
                              <w:marRight w:val="0"/>
                              <w:marTop w:val="0"/>
                              <w:marBottom w:val="0"/>
                              <w:divBdr>
                                <w:top w:val="none" w:sz="0" w:space="0" w:color="auto"/>
                                <w:left w:val="none" w:sz="0" w:space="0" w:color="auto"/>
                                <w:bottom w:val="none" w:sz="0" w:space="0" w:color="auto"/>
                                <w:right w:val="none" w:sz="0" w:space="0" w:color="auto"/>
                              </w:divBdr>
                              <w:divsChild>
                                <w:div w:id="1854879136">
                                  <w:marLeft w:val="0"/>
                                  <w:marRight w:val="0"/>
                                  <w:marTop w:val="0"/>
                                  <w:marBottom w:val="0"/>
                                  <w:divBdr>
                                    <w:top w:val="none" w:sz="0" w:space="0" w:color="auto"/>
                                    <w:left w:val="none" w:sz="0" w:space="0" w:color="auto"/>
                                    <w:bottom w:val="none" w:sz="0" w:space="0" w:color="auto"/>
                                    <w:right w:val="none" w:sz="0" w:space="0" w:color="auto"/>
                                  </w:divBdr>
                                  <w:divsChild>
                                    <w:div w:id="657540811">
                                      <w:marLeft w:val="0"/>
                                      <w:marRight w:val="0"/>
                                      <w:marTop w:val="0"/>
                                      <w:marBottom w:val="0"/>
                                      <w:divBdr>
                                        <w:top w:val="none" w:sz="0" w:space="0" w:color="auto"/>
                                        <w:left w:val="none" w:sz="0" w:space="0" w:color="auto"/>
                                        <w:bottom w:val="none" w:sz="0" w:space="0" w:color="auto"/>
                                        <w:right w:val="none" w:sz="0" w:space="0" w:color="auto"/>
                                      </w:divBdr>
                                      <w:divsChild>
                                        <w:div w:id="10225946">
                                          <w:marLeft w:val="0"/>
                                          <w:marRight w:val="0"/>
                                          <w:marTop w:val="0"/>
                                          <w:marBottom w:val="0"/>
                                          <w:divBdr>
                                            <w:top w:val="none" w:sz="0" w:space="0" w:color="auto"/>
                                            <w:left w:val="none" w:sz="0" w:space="0" w:color="auto"/>
                                            <w:bottom w:val="none" w:sz="0" w:space="0" w:color="auto"/>
                                            <w:right w:val="none" w:sz="0" w:space="0" w:color="auto"/>
                                          </w:divBdr>
                                          <w:divsChild>
                                            <w:div w:id="2005163965">
                                              <w:marLeft w:val="0"/>
                                              <w:marRight w:val="0"/>
                                              <w:marTop w:val="0"/>
                                              <w:marBottom w:val="0"/>
                                              <w:divBdr>
                                                <w:top w:val="none" w:sz="0" w:space="0" w:color="auto"/>
                                                <w:left w:val="none" w:sz="0" w:space="0" w:color="auto"/>
                                                <w:bottom w:val="none" w:sz="0" w:space="0" w:color="auto"/>
                                                <w:right w:val="none" w:sz="0" w:space="0" w:color="auto"/>
                                              </w:divBdr>
                                              <w:divsChild>
                                                <w:div w:id="684092944">
                                                  <w:marLeft w:val="0"/>
                                                  <w:marRight w:val="0"/>
                                                  <w:marTop w:val="0"/>
                                                  <w:marBottom w:val="0"/>
                                                  <w:divBdr>
                                                    <w:top w:val="none" w:sz="0" w:space="0" w:color="auto"/>
                                                    <w:left w:val="none" w:sz="0" w:space="0" w:color="auto"/>
                                                    <w:bottom w:val="none" w:sz="0" w:space="0" w:color="auto"/>
                                                    <w:right w:val="none" w:sz="0" w:space="0" w:color="auto"/>
                                                  </w:divBdr>
                                                  <w:divsChild>
                                                    <w:div w:id="459881744">
                                                      <w:marLeft w:val="0"/>
                                                      <w:marRight w:val="0"/>
                                                      <w:marTop w:val="0"/>
                                                      <w:marBottom w:val="0"/>
                                                      <w:divBdr>
                                                        <w:top w:val="none" w:sz="0" w:space="0" w:color="auto"/>
                                                        <w:left w:val="none" w:sz="0" w:space="0" w:color="auto"/>
                                                        <w:bottom w:val="none" w:sz="0" w:space="0" w:color="auto"/>
                                                        <w:right w:val="none" w:sz="0" w:space="0" w:color="auto"/>
                                                      </w:divBdr>
                                                      <w:divsChild>
                                                        <w:div w:id="3306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5988719">
      <w:bodyDiv w:val="1"/>
      <w:marLeft w:val="0"/>
      <w:marRight w:val="0"/>
      <w:marTop w:val="0"/>
      <w:marBottom w:val="0"/>
      <w:divBdr>
        <w:top w:val="none" w:sz="0" w:space="0" w:color="auto"/>
        <w:left w:val="none" w:sz="0" w:space="0" w:color="auto"/>
        <w:bottom w:val="none" w:sz="0" w:space="0" w:color="auto"/>
        <w:right w:val="none" w:sz="0" w:space="0" w:color="auto"/>
      </w:divBdr>
      <w:divsChild>
        <w:div w:id="1197237953">
          <w:marLeft w:val="0"/>
          <w:marRight w:val="0"/>
          <w:marTop w:val="0"/>
          <w:marBottom w:val="0"/>
          <w:divBdr>
            <w:top w:val="none" w:sz="0" w:space="0" w:color="auto"/>
            <w:left w:val="none" w:sz="0" w:space="0" w:color="auto"/>
            <w:bottom w:val="none" w:sz="0" w:space="0" w:color="auto"/>
            <w:right w:val="none" w:sz="0" w:space="0" w:color="auto"/>
          </w:divBdr>
          <w:divsChild>
            <w:div w:id="2003124631">
              <w:marLeft w:val="0"/>
              <w:marRight w:val="0"/>
              <w:marTop w:val="0"/>
              <w:marBottom w:val="0"/>
              <w:divBdr>
                <w:top w:val="none" w:sz="0" w:space="0" w:color="auto"/>
                <w:left w:val="none" w:sz="0" w:space="0" w:color="auto"/>
                <w:bottom w:val="none" w:sz="0" w:space="0" w:color="auto"/>
                <w:right w:val="none" w:sz="0" w:space="0" w:color="auto"/>
              </w:divBdr>
              <w:divsChild>
                <w:div w:id="2004427608">
                  <w:marLeft w:val="0"/>
                  <w:marRight w:val="0"/>
                  <w:marTop w:val="0"/>
                  <w:marBottom w:val="0"/>
                  <w:divBdr>
                    <w:top w:val="none" w:sz="0" w:space="0" w:color="auto"/>
                    <w:left w:val="none" w:sz="0" w:space="0" w:color="auto"/>
                    <w:bottom w:val="none" w:sz="0" w:space="0" w:color="auto"/>
                    <w:right w:val="none" w:sz="0" w:space="0" w:color="auto"/>
                  </w:divBdr>
                  <w:divsChild>
                    <w:div w:id="1248806720">
                      <w:marLeft w:val="0"/>
                      <w:marRight w:val="0"/>
                      <w:marTop w:val="0"/>
                      <w:marBottom w:val="0"/>
                      <w:divBdr>
                        <w:top w:val="none" w:sz="0" w:space="0" w:color="auto"/>
                        <w:left w:val="none" w:sz="0" w:space="0" w:color="auto"/>
                        <w:bottom w:val="none" w:sz="0" w:space="0" w:color="auto"/>
                        <w:right w:val="none" w:sz="0" w:space="0" w:color="auto"/>
                      </w:divBdr>
                      <w:divsChild>
                        <w:div w:id="1820459687">
                          <w:marLeft w:val="0"/>
                          <w:marRight w:val="0"/>
                          <w:marTop w:val="0"/>
                          <w:marBottom w:val="0"/>
                          <w:divBdr>
                            <w:top w:val="none" w:sz="0" w:space="0" w:color="auto"/>
                            <w:left w:val="none" w:sz="0" w:space="0" w:color="auto"/>
                            <w:bottom w:val="none" w:sz="0" w:space="0" w:color="auto"/>
                            <w:right w:val="none" w:sz="0" w:space="0" w:color="auto"/>
                          </w:divBdr>
                          <w:divsChild>
                            <w:div w:id="999578066">
                              <w:marLeft w:val="0"/>
                              <w:marRight w:val="0"/>
                              <w:marTop w:val="0"/>
                              <w:marBottom w:val="0"/>
                              <w:divBdr>
                                <w:top w:val="none" w:sz="0" w:space="0" w:color="auto"/>
                                <w:left w:val="none" w:sz="0" w:space="0" w:color="auto"/>
                                <w:bottom w:val="none" w:sz="0" w:space="0" w:color="auto"/>
                                <w:right w:val="none" w:sz="0" w:space="0" w:color="auto"/>
                              </w:divBdr>
                              <w:divsChild>
                                <w:div w:id="1843812576">
                                  <w:marLeft w:val="0"/>
                                  <w:marRight w:val="0"/>
                                  <w:marTop w:val="0"/>
                                  <w:marBottom w:val="0"/>
                                  <w:divBdr>
                                    <w:top w:val="none" w:sz="0" w:space="0" w:color="auto"/>
                                    <w:left w:val="none" w:sz="0" w:space="0" w:color="auto"/>
                                    <w:bottom w:val="none" w:sz="0" w:space="0" w:color="auto"/>
                                    <w:right w:val="none" w:sz="0" w:space="0" w:color="auto"/>
                                  </w:divBdr>
                                  <w:divsChild>
                                    <w:div w:id="2109033180">
                                      <w:marLeft w:val="0"/>
                                      <w:marRight w:val="0"/>
                                      <w:marTop w:val="0"/>
                                      <w:marBottom w:val="0"/>
                                      <w:divBdr>
                                        <w:top w:val="none" w:sz="0" w:space="0" w:color="auto"/>
                                        <w:left w:val="none" w:sz="0" w:space="0" w:color="auto"/>
                                        <w:bottom w:val="none" w:sz="0" w:space="0" w:color="auto"/>
                                        <w:right w:val="none" w:sz="0" w:space="0" w:color="auto"/>
                                      </w:divBdr>
                                      <w:divsChild>
                                        <w:div w:id="1110583651">
                                          <w:marLeft w:val="0"/>
                                          <w:marRight w:val="0"/>
                                          <w:marTop w:val="0"/>
                                          <w:marBottom w:val="0"/>
                                          <w:divBdr>
                                            <w:top w:val="none" w:sz="0" w:space="0" w:color="auto"/>
                                            <w:left w:val="none" w:sz="0" w:space="0" w:color="auto"/>
                                            <w:bottom w:val="none" w:sz="0" w:space="0" w:color="auto"/>
                                            <w:right w:val="none" w:sz="0" w:space="0" w:color="auto"/>
                                          </w:divBdr>
                                        </w:div>
                                        <w:div w:id="1735085532">
                                          <w:marLeft w:val="0"/>
                                          <w:marRight w:val="0"/>
                                          <w:marTop w:val="0"/>
                                          <w:marBottom w:val="0"/>
                                          <w:divBdr>
                                            <w:top w:val="none" w:sz="0" w:space="0" w:color="auto"/>
                                            <w:left w:val="none" w:sz="0" w:space="0" w:color="auto"/>
                                            <w:bottom w:val="none" w:sz="0" w:space="0" w:color="auto"/>
                                            <w:right w:val="none" w:sz="0" w:space="0" w:color="auto"/>
                                          </w:divBdr>
                                          <w:divsChild>
                                            <w:div w:id="1539467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79334">
      <w:bodyDiv w:val="1"/>
      <w:marLeft w:val="0"/>
      <w:marRight w:val="0"/>
      <w:marTop w:val="0"/>
      <w:marBottom w:val="0"/>
      <w:divBdr>
        <w:top w:val="none" w:sz="0" w:space="0" w:color="auto"/>
        <w:left w:val="none" w:sz="0" w:space="0" w:color="auto"/>
        <w:bottom w:val="none" w:sz="0" w:space="0" w:color="auto"/>
        <w:right w:val="none" w:sz="0" w:space="0" w:color="auto"/>
      </w:divBdr>
      <w:divsChild>
        <w:div w:id="616988522">
          <w:marLeft w:val="0"/>
          <w:marRight w:val="0"/>
          <w:marTop w:val="0"/>
          <w:marBottom w:val="0"/>
          <w:divBdr>
            <w:top w:val="none" w:sz="0" w:space="0" w:color="auto"/>
            <w:left w:val="none" w:sz="0" w:space="0" w:color="auto"/>
            <w:bottom w:val="none" w:sz="0" w:space="0" w:color="auto"/>
            <w:right w:val="none" w:sz="0" w:space="0" w:color="auto"/>
          </w:divBdr>
          <w:divsChild>
            <w:div w:id="493879474">
              <w:marLeft w:val="0"/>
              <w:marRight w:val="0"/>
              <w:marTop w:val="0"/>
              <w:marBottom w:val="0"/>
              <w:divBdr>
                <w:top w:val="none" w:sz="0" w:space="0" w:color="auto"/>
                <w:left w:val="none" w:sz="0" w:space="0" w:color="auto"/>
                <w:bottom w:val="none" w:sz="0" w:space="0" w:color="auto"/>
                <w:right w:val="none" w:sz="0" w:space="0" w:color="auto"/>
              </w:divBdr>
              <w:divsChild>
                <w:div w:id="220411101">
                  <w:marLeft w:val="0"/>
                  <w:marRight w:val="0"/>
                  <w:marTop w:val="0"/>
                  <w:marBottom w:val="0"/>
                  <w:divBdr>
                    <w:top w:val="none" w:sz="0" w:space="0" w:color="auto"/>
                    <w:left w:val="none" w:sz="0" w:space="0" w:color="auto"/>
                    <w:bottom w:val="none" w:sz="0" w:space="0" w:color="auto"/>
                    <w:right w:val="none" w:sz="0" w:space="0" w:color="auto"/>
                  </w:divBdr>
                  <w:divsChild>
                    <w:div w:id="820003935">
                      <w:marLeft w:val="0"/>
                      <w:marRight w:val="0"/>
                      <w:marTop w:val="0"/>
                      <w:marBottom w:val="0"/>
                      <w:divBdr>
                        <w:top w:val="none" w:sz="0" w:space="0" w:color="auto"/>
                        <w:left w:val="none" w:sz="0" w:space="0" w:color="auto"/>
                        <w:bottom w:val="none" w:sz="0" w:space="0" w:color="auto"/>
                        <w:right w:val="none" w:sz="0" w:space="0" w:color="auto"/>
                      </w:divBdr>
                      <w:divsChild>
                        <w:div w:id="1069615950">
                          <w:marLeft w:val="0"/>
                          <w:marRight w:val="0"/>
                          <w:marTop w:val="0"/>
                          <w:marBottom w:val="0"/>
                          <w:divBdr>
                            <w:top w:val="none" w:sz="0" w:space="0" w:color="auto"/>
                            <w:left w:val="none" w:sz="0" w:space="0" w:color="auto"/>
                            <w:bottom w:val="none" w:sz="0" w:space="0" w:color="auto"/>
                            <w:right w:val="none" w:sz="0" w:space="0" w:color="auto"/>
                          </w:divBdr>
                          <w:divsChild>
                            <w:div w:id="1647204099">
                              <w:marLeft w:val="0"/>
                              <w:marRight w:val="0"/>
                              <w:marTop w:val="0"/>
                              <w:marBottom w:val="0"/>
                              <w:divBdr>
                                <w:top w:val="none" w:sz="0" w:space="0" w:color="auto"/>
                                <w:left w:val="none" w:sz="0" w:space="0" w:color="auto"/>
                                <w:bottom w:val="none" w:sz="0" w:space="0" w:color="auto"/>
                                <w:right w:val="none" w:sz="0" w:space="0" w:color="auto"/>
                              </w:divBdr>
                              <w:divsChild>
                                <w:div w:id="6610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15450">
      <w:bodyDiv w:val="1"/>
      <w:marLeft w:val="0"/>
      <w:marRight w:val="0"/>
      <w:marTop w:val="0"/>
      <w:marBottom w:val="0"/>
      <w:divBdr>
        <w:top w:val="none" w:sz="0" w:space="0" w:color="auto"/>
        <w:left w:val="none" w:sz="0" w:space="0" w:color="auto"/>
        <w:bottom w:val="none" w:sz="0" w:space="0" w:color="auto"/>
        <w:right w:val="none" w:sz="0" w:space="0" w:color="auto"/>
      </w:divBdr>
      <w:divsChild>
        <w:div w:id="1691175014">
          <w:marLeft w:val="0"/>
          <w:marRight w:val="0"/>
          <w:marTop w:val="0"/>
          <w:marBottom w:val="0"/>
          <w:divBdr>
            <w:top w:val="none" w:sz="0" w:space="0" w:color="auto"/>
            <w:left w:val="none" w:sz="0" w:space="0" w:color="auto"/>
            <w:bottom w:val="none" w:sz="0" w:space="0" w:color="auto"/>
            <w:right w:val="none" w:sz="0" w:space="0" w:color="auto"/>
          </w:divBdr>
          <w:divsChild>
            <w:div w:id="2137331960">
              <w:marLeft w:val="0"/>
              <w:marRight w:val="0"/>
              <w:marTop w:val="0"/>
              <w:marBottom w:val="0"/>
              <w:divBdr>
                <w:top w:val="none" w:sz="0" w:space="0" w:color="auto"/>
                <w:left w:val="none" w:sz="0" w:space="0" w:color="auto"/>
                <w:bottom w:val="none" w:sz="0" w:space="0" w:color="auto"/>
                <w:right w:val="none" w:sz="0" w:space="0" w:color="auto"/>
              </w:divBdr>
              <w:divsChild>
                <w:div w:id="189808034">
                  <w:marLeft w:val="0"/>
                  <w:marRight w:val="0"/>
                  <w:marTop w:val="0"/>
                  <w:marBottom w:val="0"/>
                  <w:divBdr>
                    <w:top w:val="none" w:sz="0" w:space="0" w:color="auto"/>
                    <w:left w:val="none" w:sz="0" w:space="0" w:color="auto"/>
                    <w:bottom w:val="none" w:sz="0" w:space="0" w:color="auto"/>
                    <w:right w:val="none" w:sz="0" w:space="0" w:color="auto"/>
                  </w:divBdr>
                  <w:divsChild>
                    <w:div w:id="549147827">
                      <w:marLeft w:val="0"/>
                      <w:marRight w:val="0"/>
                      <w:marTop w:val="0"/>
                      <w:marBottom w:val="0"/>
                      <w:divBdr>
                        <w:top w:val="none" w:sz="0" w:space="0" w:color="auto"/>
                        <w:left w:val="none" w:sz="0" w:space="0" w:color="auto"/>
                        <w:bottom w:val="none" w:sz="0" w:space="0" w:color="auto"/>
                        <w:right w:val="none" w:sz="0" w:space="0" w:color="auto"/>
                      </w:divBdr>
                      <w:divsChild>
                        <w:div w:id="202909216">
                          <w:marLeft w:val="0"/>
                          <w:marRight w:val="0"/>
                          <w:marTop w:val="0"/>
                          <w:marBottom w:val="0"/>
                          <w:divBdr>
                            <w:top w:val="none" w:sz="0" w:space="0" w:color="auto"/>
                            <w:left w:val="none" w:sz="0" w:space="0" w:color="auto"/>
                            <w:bottom w:val="none" w:sz="0" w:space="0" w:color="auto"/>
                            <w:right w:val="none" w:sz="0" w:space="0" w:color="auto"/>
                          </w:divBdr>
                          <w:divsChild>
                            <w:div w:id="700394816">
                              <w:marLeft w:val="0"/>
                              <w:marRight w:val="0"/>
                              <w:marTop w:val="0"/>
                              <w:marBottom w:val="0"/>
                              <w:divBdr>
                                <w:top w:val="none" w:sz="0" w:space="0" w:color="auto"/>
                                <w:left w:val="none" w:sz="0" w:space="0" w:color="auto"/>
                                <w:bottom w:val="none" w:sz="0" w:space="0" w:color="auto"/>
                                <w:right w:val="none" w:sz="0" w:space="0" w:color="auto"/>
                              </w:divBdr>
                              <w:divsChild>
                                <w:div w:id="1974477634">
                                  <w:marLeft w:val="0"/>
                                  <w:marRight w:val="0"/>
                                  <w:marTop w:val="0"/>
                                  <w:marBottom w:val="0"/>
                                  <w:divBdr>
                                    <w:top w:val="none" w:sz="0" w:space="0" w:color="auto"/>
                                    <w:left w:val="none" w:sz="0" w:space="0" w:color="auto"/>
                                    <w:bottom w:val="none" w:sz="0" w:space="0" w:color="auto"/>
                                    <w:right w:val="none" w:sz="0" w:space="0" w:color="auto"/>
                                  </w:divBdr>
                                  <w:divsChild>
                                    <w:div w:id="397939029">
                                      <w:marLeft w:val="0"/>
                                      <w:marRight w:val="0"/>
                                      <w:marTop w:val="0"/>
                                      <w:marBottom w:val="0"/>
                                      <w:divBdr>
                                        <w:top w:val="none" w:sz="0" w:space="0" w:color="auto"/>
                                        <w:left w:val="none" w:sz="0" w:space="0" w:color="auto"/>
                                        <w:bottom w:val="none" w:sz="0" w:space="0" w:color="auto"/>
                                        <w:right w:val="none" w:sz="0" w:space="0" w:color="auto"/>
                                      </w:divBdr>
                                      <w:divsChild>
                                        <w:div w:id="1495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539961">
      <w:bodyDiv w:val="1"/>
      <w:marLeft w:val="0"/>
      <w:marRight w:val="0"/>
      <w:marTop w:val="0"/>
      <w:marBottom w:val="0"/>
      <w:divBdr>
        <w:top w:val="none" w:sz="0" w:space="0" w:color="auto"/>
        <w:left w:val="none" w:sz="0" w:space="0" w:color="auto"/>
        <w:bottom w:val="none" w:sz="0" w:space="0" w:color="auto"/>
        <w:right w:val="none" w:sz="0" w:space="0" w:color="auto"/>
      </w:divBdr>
      <w:divsChild>
        <w:div w:id="820390082">
          <w:marLeft w:val="0"/>
          <w:marRight w:val="0"/>
          <w:marTop w:val="0"/>
          <w:marBottom w:val="0"/>
          <w:divBdr>
            <w:top w:val="none" w:sz="0" w:space="0" w:color="auto"/>
            <w:left w:val="none" w:sz="0" w:space="0" w:color="auto"/>
            <w:bottom w:val="none" w:sz="0" w:space="0" w:color="auto"/>
            <w:right w:val="none" w:sz="0" w:space="0" w:color="auto"/>
          </w:divBdr>
          <w:divsChild>
            <w:div w:id="1705248162">
              <w:marLeft w:val="0"/>
              <w:marRight w:val="0"/>
              <w:marTop w:val="0"/>
              <w:marBottom w:val="0"/>
              <w:divBdr>
                <w:top w:val="none" w:sz="0" w:space="0" w:color="auto"/>
                <w:left w:val="none" w:sz="0" w:space="0" w:color="auto"/>
                <w:bottom w:val="none" w:sz="0" w:space="0" w:color="auto"/>
                <w:right w:val="none" w:sz="0" w:space="0" w:color="auto"/>
              </w:divBdr>
              <w:divsChild>
                <w:div w:id="1598321578">
                  <w:marLeft w:val="0"/>
                  <w:marRight w:val="0"/>
                  <w:marTop w:val="0"/>
                  <w:marBottom w:val="0"/>
                  <w:divBdr>
                    <w:top w:val="none" w:sz="0" w:space="0" w:color="auto"/>
                    <w:left w:val="none" w:sz="0" w:space="0" w:color="auto"/>
                    <w:bottom w:val="none" w:sz="0" w:space="0" w:color="auto"/>
                    <w:right w:val="none" w:sz="0" w:space="0" w:color="auto"/>
                  </w:divBdr>
                  <w:divsChild>
                    <w:div w:id="1394036310">
                      <w:marLeft w:val="0"/>
                      <w:marRight w:val="0"/>
                      <w:marTop w:val="0"/>
                      <w:marBottom w:val="0"/>
                      <w:divBdr>
                        <w:top w:val="none" w:sz="0" w:space="0" w:color="auto"/>
                        <w:left w:val="none" w:sz="0" w:space="0" w:color="auto"/>
                        <w:bottom w:val="none" w:sz="0" w:space="0" w:color="auto"/>
                        <w:right w:val="none" w:sz="0" w:space="0" w:color="auto"/>
                      </w:divBdr>
                      <w:divsChild>
                        <w:div w:id="992173612">
                          <w:marLeft w:val="0"/>
                          <w:marRight w:val="0"/>
                          <w:marTop w:val="0"/>
                          <w:marBottom w:val="0"/>
                          <w:divBdr>
                            <w:top w:val="none" w:sz="0" w:space="0" w:color="auto"/>
                            <w:left w:val="none" w:sz="0" w:space="0" w:color="auto"/>
                            <w:bottom w:val="none" w:sz="0" w:space="0" w:color="auto"/>
                            <w:right w:val="none" w:sz="0" w:space="0" w:color="auto"/>
                          </w:divBdr>
                          <w:divsChild>
                            <w:div w:id="1002052014">
                              <w:marLeft w:val="0"/>
                              <w:marRight w:val="0"/>
                              <w:marTop w:val="0"/>
                              <w:marBottom w:val="0"/>
                              <w:divBdr>
                                <w:top w:val="none" w:sz="0" w:space="0" w:color="auto"/>
                                <w:left w:val="none" w:sz="0" w:space="0" w:color="auto"/>
                                <w:bottom w:val="none" w:sz="0" w:space="0" w:color="auto"/>
                                <w:right w:val="none" w:sz="0" w:space="0" w:color="auto"/>
                              </w:divBdr>
                              <w:divsChild>
                                <w:div w:id="499153643">
                                  <w:marLeft w:val="0"/>
                                  <w:marRight w:val="0"/>
                                  <w:marTop w:val="0"/>
                                  <w:marBottom w:val="0"/>
                                  <w:divBdr>
                                    <w:top w:val="none" w:sz="0" w:space="0" w:color="auto"/>
                                    <w:left w:val="none" w:sz="0" w:space="0" w:color="auto"/>
                                    <w:bottom w:val="none" w:sz="0" w:space="0" w:color="auto"/>
                                    <w:right w:val="none" w:sz="0" w:space="0" w:color="auto"/>
                                  </w:divBdr>
                                  <w:divsChild>
                                    <w:div w:id="1137801856">
                                      <w:marLeft w:val="0"/>
                                      <w:marRight w:val="0"/>
                                      <w:marTop w:val="0"/>
                                      <w:marBottom w:val="0"/>
                                      <w:divBdr>
                                        <w:top w:val="none" w:sz="0" w:space="0" w:color="auto"/>
                                        <w:left w:val="none" w:sz="0" w:space="0" w:color="auto"/>
                                        <w:bottom w:val="none" w:sz="0" w:space="0" w:color="auto"/>
                                        <w:right w:val="none" w:sz="0" w:space="0" w:color="auto"/>
                                      </w:divBdr>
                                      <w:divsChild>
                                        <w:div w:id="986863973">
                                          <w:marLeft w:val="0"/>
                                          <w:marRight w:val="0"/>
                                          <w:marTop w:val="0"/>
                                          <w:marBottom w:val="0"/>
                                          <w:divBdr>
                                            <w:top w:val="none" w:sz="0" w:space="0" w:color="auto"/>
                                            <w:left w:val="none" w:sz="0" w:space="0" w:color="auto"/>
                                            <w:bottom w:val="none" w:sz="0" w:space="0" w:color="auto"/>
                                            <w:right w:val="none" w:sz="0" w:space="0" w:color="auto"/>
                                          </w:divBdr>
                                        </w:div>
                                        <w:div w:id="1128818437">
                                          <w:marLeft w:val="0"/>
                                          <w:marRight w:val="0"/>
                                          <w:marTop w:val="0"/>
                                          <w:marBottom w:val="0"/>
                                          <w:divBdr>
                                            <w:top w:val="none" w:sz="0" w:space="0" w:color="auto"/>
                                            <w:left w:val="none" w:sz="0" w:space="0" w:color="auto"/>
                                            <w:bottom w:val="none" w:sz="0" w:space="0" w:color="auto"/>
                                            <w:right w:val="none" w:sz="0" w:space="0" w:color="auto"/>
                                          </w:divBdr>
                                          <w:divsChild>
                                            <w:div w:id="15087838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879214">
      <w:bodyDiv w:val="1"/>
      <w:marLeft w:val="0"/>
      <w:marRight w:val="0"/>
      <w:marTop w:val="0"/>
      <w:marBottom w:val="0"/>
      <w:divBdr>
        <w:top w:val="none" w:sz="0" w:space="0" w:color="auto"/>
        <w:left w:val="none" w:sz="0" w:space="0" w:color="auto"/>
        <w:bottom w:val="none" w:sz="0" w:space="0" w:color="auto"/>
        <w:right w:val="none" w:sz="0" w:space="0" w:color="auto"/>
      </w:divBdr>
      <w:divsChild>
        <w:div w:id="585916694">
          <w:marLeft w:val="0"/>
          <w:marRight w:val="0"/>
          <w:marTop w:val="0"/>
          <w:marBottom w:val="0"/>
          <w:divBdr>
            <w:top w:val="none" w:sz="0" w:space="0" w:color="auto"/>
            <w:left w:val="none" w:sz="0" w:space="0" w:color="auto"/>
            <w:bottom w:val="none" w:sz="0" w:space="0" w:color="auto"/>
            <w:right w:val="none" w:sz="0" w:space="0" w:color="auto"/>
          </w:divBdr>
          <w:divsChild>
            <w:div w:id="257295618">
              <w:marLeft w:val="0"/>
              <w:marRight w:val="0"/>
              <w:marTop w:val="150"/>
              <w:marBottom w:val="0"/>
              <w:divBdr>
                <w:top w:val="none" w:sz="0" w:space="0" w:color="auto"/>
                <w:left w:val="none" w:sz="0" w:space="0" w:color="auto"/>
                <w:bottom w:val="none" w:sz="0" w:space="0" w:color="auto"/>
                <w:right w:val="none" w:sz="0" w:space="0" w:color="auto"/>
              </w:divBdr>
              <w:divsChild>
                <w:div w:id="677853785">
                  <w:marLeft w:val="0"/>
                  <w:marRight w:val="0"/>
                  <w:marTop w:val="0"/>
                  <w:marBottom w:val="0"/>
                  <w:divBdr>
                    <w:top w:val="none" w:sz="0" w:space="0" w:color="auto"/>
                    <w:left w:val="none" w:sz="0" w:space="0" w:color="auto"/>
                    <w:bottom w:val="none" w:sz="0" w:space="0" w:color="auto"/>
                    <w:right w:val="none" w:sz="0" w:space="0" w:color="auto"/>
                  </w:divBdr>
                  <w:divsChild>
                    <w:div w:id="1327322152">
                      <w:marLeft w:val="0"/>
                      <w:marRight w:val="0"/>
                      <w:marTop w:val="0"/>
                      <w:marBottom w:val="0"/>
                      <w:divBdr>
                        <w:top w:val="none" w:sz="0" w:space="0" w:color="auto"/>
                        <w:left w:val="none" w:sz="0" w:space="0" w:color="auto"/>
                        <w:bottom w:val="none" w:sz="0" w:space="0" w:color="auto"/>
                        <w:right w:val="none" w:sz="0" w:space="0" w:color="auto"/>
                      </w:divBdr>
                      <w:divsChild>
                        <w:div w:id="15760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463318">
      <w:bodyDiv w:val="1"/>
      <w:marLeft w:val="0"/>
      <w:marRight w:val="0"/>
      <w:marTop w:val="0"/>
      <w:marBottom w:val="0"/>
      <w:divBdr>
        <w:top w:val="none" w:sz="0" w:space="0" w:color="auto"/>
        <w:left w:val="none" w:sz="0" w:space="0" w:color="auto"/>
        <w:bottom w:val="none" w:sz="0" w:space="0" w:color="auto"/>
        <w:right w:val="none" w:sz="0" w:space="0" w:color="auto"/>
      </w:divBdr>
      <w:divsChild>
        <w:div w:id="291593030">
          <w:marLeft w:val="0"/>
          <w:marRight w:val="0"/>
          <w:marTop w:val="0"/>
          <w:marBottom w:val="0"/>
          <w:divBdr>
            <w:top w:val="single" w:sz="6" w:space="0" w:color="0E477A"/>
            <w:left w:val="single" w:sz="6" w:space="0" w:color="0E477A"/>
            <w:bottom w:val="single" w:sz="6" w:space="0" w:color="0E477A"/>
            <w:right w:val="single" w:sz="6" w:space="0" w:color="0E477A"/>
          </w:divBdr>
          <w:divsChild>
            <w:div w:id="1671103459">
              <w:marLeft w:val="2925"/>
              <w:marRight w:val="0"/>
              <w:marTop w:val="0"/>
              <w:marBottom w:val="0"/>
              <w:divBdr>
                <w:top w:val="none" w:sz="0" w:space="0" w:color="auto"/>
                <w:left w:val="none" w:sz="0" w:space="0" w:color="auto"/>
                <w:bottom w:val="none" w:sz="0" w:space="0" w:color="auto"/>
                <w:right w:val="none" w:sz="0" w:space="0" w:color="auto"/>
              </w:divBdr>
              <w:divsChild>
                <w:div w:id="856583452">
                  <w:marLeft w:val="0"/>
                  <w:marRight w:val="0"/>
                  <w:marTop w:val="0"/>
                  <w:marBottom w:val="0"/>
                  <w:divBdr>
                    <w:top w:val="none" w:sz="0" w:space="0" w:color="auto"/>
                    <w:left w:val="none" w:sz="0" w:space="0" w:color="auto"/>
                    <w:bottom w:val="none" w:sz="0" w:space="0" w:color="auto"/>
                    <w:right w:val="none" w:sz="0" w:space="0" w:color="auto"/>
                  </w:divBdr>
                  <w:divsChild>
                    <w:div w:id="895898064">
                      <w:marLeft w:val="0"/>
                      <w:marRight w:val="150"/>
                      <w:marTop w:val="0"/>
                      <w:marBottom w:val="0"/>
                      <w:divBdr>
                        <w:top w:val="single" w:sz="6" w:space="0" w:color="CCCCCC"/>
                        <w:left w:val="single" w:sz="6" w:space="8" w:color="CCCCCC"/>
                        <w:bottom w:val="single" w:sz="6" w:space="8" w:color="CCCCCC"/>
                        <w:right w:val="single" w:sz="6" w:space="8" w:color="CCCCCC"/>
                      </w:divBdr>
                      <w:divsChild>
                        <w:div w:id="1723673663">
                          <w:marLeft w:val="0"/>
                          <w:marRight w:val="0"/>
                          <w:marTop w:val="0"/>
                          <w:marBottom w:val="0"/>
                          <w:divBdr>
                            <w:top w:val="none" w:sz="0" w:space="0" w:color="auto"/>
                            <w:left w:val="none" w:sz="0" w:space="0" w:color="auto"/>
                            <w:bottom w:val="none" w:sz="0" w:space="0" w:color="auto"/>
                            <w:right w:val="none" w:sz="0" w:space="0" w:color="auto"/>
                          </w:divBdr>
                        </w:div>
                        <w:div w:id="312564043">
                          <w:marLeft w:val="0"/>
                          <w:marRight w:val="0"/>
                          <w:marTop w:val="0"/>
                          <w:marBottom w:val="0"/>
                          <w:divBdr>
                            <w:top w:val="none" w:sz="0" w:space="0" w:color="auto"/>
                            <w:left w:val="none" w:sz="0" w:space="0" w:color="auto"/>
                            <w:bottom w:val="none" w:sz="0" w:space="0" w:color="auto"/>
                            <w:right w:val="none" w:sz="0" w:space="0" w:color="auto"/>
                          </w:divBdr>
                        </w:div>
                        <w:div w:id="1194265740">
                          <w:marLeft w:val="0"/>
                          <w:marRight w:val="0"/>
                          <w:marTop w:val="0"/>
                          <w:marBottom w:val="0"/>
                          <w:divBdr>
                            <w:top w:val="none" w:sz="0" w:space="0" w:color="auto"/>
                            <w:left w:val="none" w:sz="0" w:space="0" w:color="auto"/>
                            <w:bottom w:val="none" w:sz="0" w:space="0" w:color="auto"/>
                            <w:right w:val="none" w:sz="0" w:space="0" w:color="auto"/>
                          </w:divBdr>
                        </w:div>
                        <w:div w:id="1884098910">
                          <w:marLeft w:val="0"/>
                          <w:marRight w:val="0"/>
                          <w:marTop w:val="0"/>
                          <w:marBottom w:val="0"/>
                          <w:divBdr>
                            <w:top w:val="none" w:sz="0" w:space="0" w:color="auto"/>
                            <w:left w:val="none" w:sz="0" w:space="0" w:color="auto"/>
                            <w:bottom w:val="none" w:sz="0" w:space="0" w:color="auto"/>
                            <w:right w:val="none" w:sz="0" w:space="0" w:color="auto"/>
                          </w:divBdr>
                        </w:div>
                        <w:div w:id="12637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81567">
      <w:bodyDiv w:val="1"/>
      <w:marLeft w:val="0"/>
      <w:marRight w:val="0"/>
      <w:marTop w:val="0"/>
      <w:marBottom w:val="0"/>
      <w:divBdr>
        <w:top w:val="none" w:sz="0" w:space="0" w:color="auto"/>
        <w:left w:val="none" w:sz="0" w:space="0" w:color="auto"/>
        <w:bottom w:val="none" w:sz="0" w:space="0" w:color="auto"/>
        <w:right w:val="none" w:sz="0" w:space="0" w:color="auto"/>
      </w:divBdr>
    </w:div>
    <w:div w:id="554319210">
      <w:bodyDiv w:val="1"/>
      <w:marLeft w:val="0"/>
      <w:marRight w:val="0"/>
      <w:marTop w:val="0"/>
      <w:marBottom w:val="0"/>
      <w:divBdr>
        <w:top w:val="none" w:sz="0" w:space="0" w:color="auto"/>
        <w:left w:val="none" w:sz="0" w:space="0" w:color="auto"/>
        <w:bottom w:val="none" w:sz="0" w:space="0" w:color="auto"/>
        <w:right w:val="none" w:sz="0" w:space="0" w:color="auto"/>
      </w:divBdr>
    </w:div>
    <w:div w:id="554852443">
      <w:bodyDiv w:val="1"/>
      <w:marLeft w:val="0"/>
      <w:marRight w:val="0"/>
      <w:marTop w:val="0"/>
      <w:marBottom w:val="0"/>
      <w:divBdr>
        <w:top w:val="none" w:sz="0" w:space="0" w:color="auto"/>
        <w:left w:val="none" w:sz="0" w:space="0" w:color="auto"/>
        <w:bottom w:val="none" w:sz="0" w:space="0" w:color="auto"/>
        <w:right w:val="none" w:sz="0" w:space="0" w:color="auto"/>
      </w:divBdr>
      <w:divsChild>
        <w:div w:id="883828536">
          <w:marLeft w:val="0"/>
          <w:marRight w:val="0"/>
          <w:marTop w:val="0"/>
          <w:marBottom w:val="0"/>
          <w:divBdr>
            <w:top w:val="none" w:sz="0" w:space="0" w:color="auto"/>
            <w:left w:val="none" w:sz="0" w:space="0" w:color="auto"/>
            <w:bottom w:val="none" w:sz="0" w:space="0" w:color="auto"/>
            <w:right w:val="none" w:sz="0" w:space="0" w:color="auto"/>
          </w:divBdr>
          <w:divsChild>
            <w:div w:id="2073654508">
              <w:marLeft w:val="0"/>
              <w:marRight w:val="0"/>
              <w:marTop w:val="0"/>
              <w:marBottom w:val="0"/>
              <w:divBdr>
                <w:top w:val="none" w:sz="0" w:space="0" w:color="auto"/>
                <w:left w:val="none" w:sz="0" w:space="0" w:color="auto"/>
                <w:bottom w:val="none" w:sz="0" w:space="0" w:color="auto"/>
                <w:right w:val="none" w:sz="0" w:space="0" w:color="auto"/>
              </w:divBdr>
              <w:divsChild>
                <w:div w:id="2122723815">
                  <w:marLeft w:val="0"/>
                  <w:marRight w:val="0"/>
                  <w:marTop w:val="0"/>
                  <w:marBottom w:val="0"/>
                  <w:divBdr>
                    <w:top w:val="none" w:sz="0" w:space="0" w:color="auto"/>
                    <w:left w:val="none" w:sz="0" w:space="0" w:color="auto"/>
                    <w:bottom w:val="none" w:sz="0" w:space="0" w:color="auto"/>
                    <w:right w:val="none" w:sz="0" w:space="0" w:color="auto"/>
                  </w:divBdr>
                  <w:divsChild>
                    <w:div w:id="1586837034">
                      <w:marLeft w:val="0"/>
                      <w:marRight w:val="0"/>
                      <w:marTop w:val="0"/>
                      <w:marBottom w:val="0"/>
                      <w:divBdr>
                        <w:top w:val="none" w:sz="0" w:space="0" w:color="auto"/>
                        <w:left w:val="none" w:sz="0" w:space="0" w:color="auto"/>
                        <w:bottom w:val="none" w:sz="0" w:space="0" w:color="auto"/>
                        <w:right w:val="none" w:sz="0" w:space="0" w:color="auto"/>
                      </w:divBdr>
                      <w:divsChild>
                        <w:div w:id="1029140073">
                          <w:marLeft w:val="0"/>
                          <w:marRight w:val="0"/>
                          <w:marTop w:val="0"/>
                          <w:marBottom w:val="0"/>
                          <w:divBdr>
                            <w:top w:val="none" w:sz="0" w:space="0" w:color="auto"/>
                            <w:left w:val="none" w:sz="0" w:space="0" w:color="auto"/>
                            <w:bottom w:val="none" w:sz="0" w:space="0" w:color="auto"/>
                            <w:right w:val="none" w:sz="0" w:space="0" w:color="auto"/>
                          </w:divBdr>
                          <w:divsChild>
                            <w:div w:id="1553079086">
                              <w:marLeft w:val="0"/>
                              <w:marRight w:val="0"/>
                              <w:marTop w:val="0"/>
                              <w:marBottom w:val="0"/>
                              <w:divBdr>
                                <w:top w:val="none" w:sz="0" w:space="0" w:color="auto"/>
                                <w:left w:val="none" w:sz="0" w:space="0" w:color="auto"/>
                                <w:bottom w:val="none" w:sz="0" w:space="0" w:color="auto"/>
                                <w:right w:val="none" w:sz="0" w:space="0" w:color="auto"/>
                              </w:divBdr>
                              <w:divsChild>
                                <w:div w:id="1986887061">
                                  <w:marLeft w:val="0"/>
                                  <w:marRight w:val="0"/>
                                  <w:marTop w:val="0"/>
                                  <w:marBottom w:val="0"/>
                                  <w:divBdr>
                                    <w:top w:val="none" w:sz="0" w:space="0" w:color="auto"/>
                                    <w:left w:val="none" w:sz="0" w:space="0" w:color="auto"/>
                                    <w:bottom w:val="none" w:sz="0" w:space="0" w:color="auto"/>
                                    <w:right w:val="none" w:sz="0" w:space="0" w:color="auto"/>
                                  </w:divBdr>
                                  <w:divsChild>
                                    <w:div w:id="51933081">
                                      <w:marLeft w:val="0"/>
                                      <w:marRight w:val="0"/>
                                      <w:marTop w:val="0"/>
                                      <w:marBottom w:val="0"/>
                                      <w:divBdr>
                                        <w:top w:val="none" w:sz="0" w:space="0" w:color="auto"/>
                                        <w:left w:val="none" w:sz="0" w:space="0" w:color="auto"/>
                                        <w:bottom w:val="none" w:sz="0" w:space="0" w:color="auto"/>
                                        <w:right w:val="none" w:sz="0" w:space="0" w:color="auto"/>
                                      </w:divBdr>
                                      <w:divsChild>
                                        <w:div w:id="52969276">
                                          <w:marLeft w:val="0"/>
                                          <w:marRight w:val="0"/>
                                          <w:marTop w:val="0"/>
                                          <w:marBottom w:val="0"/>
                                          <w:divBdr>
                                            <w:top w:val="none" w:sz="0" w:space="0" w:color="auto"/>
                                            <w:left w:val="none" w:sz="0" w:space="0" w:color="auto"/>
                                            <w:bottom w:val="none" w:sz="0" w:space="0" w:color="auto"/>
                                            <w:right w:val="none" w:sz="0" w:space="0" w:color="auto"/>
                                          </w:divBdr>
                                        </w:div>
                                        <w:div w:id="810831604">
                                          <w:marLeft w:val="0"/>
                                          <w:marRight w:val="0"/>
                                          <w:marTop w:val="0"/>
                                          <w:marBottom w:val="0"/>
                                          <w:divBdr>
                                            <w:top w:val="none" w:sz="0" w:space="0" w:color="auto"/>
                                            <w:left w:val="none" w:sz="0" w:space="0" w:color="auto"/>
                                            <w:bottom w:val="none" w:sz="0" w:space="0" w:color="auto"/>
                                            <w:right w:val="none" w:sz="0" w:space="0" w:color="auto"/>
                                          </w:divBdr>
                                          <w:divsChild>
                                            <w:div w:id="12205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239200">
      <w:bodyDiv w:val="1"/>
      <w:marLeft w:val="0"/>
      <w:marRight w:val="0"/>
      <w:marTop w:val="0"/>
      <w:marBottom w:val="0"/>
      <w:divBdr>
        <w:top w:val="none" w:sz="0" w:space="0" w:color="auto"/>
        <w:left w:val="none" w:sz="0" w:space="0" w:color="auto"/>
        <w:bottom w:val="none" w:sz="0" w:space="0" w:color="auto"/>
        <w:right w:val="none" w:sz="0" w:space="0" w:color="auto"/>
      </w:divBdr>
    </w:div>
    <w:div w:id="556402905">
      <w:bodyDiv w:val="1"/>
      <w:marLeft w:val="0"/>
      <w:marRight w:val="0"/>
      <w:marTop w:val="0"/>
      <w:marBottom w:val="0"/>
      <w:divBdr>
        <w:top w:val="none" w:sz="0" w:space="0" w:color="auto"/>
        <w:left w:val="none" w:sz="0" w:space="0" w:color="auto"/>
        <w:bottom w:val="none" w:sz="0" w:space="0" w:color="auto"/>
        <w:right w:val="none" w:sz="0" w:space="0" w:color="auto"/>
      </w:divBdr>
    </w:div>
    <w:div w:id="556431650">
      <w:bodyDiv w:val="1"/>
      <w:marLeft w:val="0"/>
      <w:marRight w:val="0"/>
      <w:marTop w:val="0"/>
      <w:marBottom w:val="0"/>
      <w:divBdr>
        <w:top w:val="none" w:sz="0" w:space="0" w:color="auto"/>
        <w:left w:val="none" w:sz="0" w:space="0" w:color="auto"/>
        <w:bottom w:val="none" w:sz="0" w:space="0" w:color="auto"/>
        <w:right w:val="none" w:sz="0" w:space="0" w:color="auto"/>
      </w:divBdr>
      <w:divsChild>
        <w:div w:id="1618947456">
          <w:marLeft w:val="0"/>
          <w:marRight w:val="0"/>
          <w:marTop w:val="0"/>
          <w:marBottom w:val="0"/>
          <w:divBdr>
            <w:top w:val="single" w:sz="6" w:space="0" w:color="0E477A"/>
            <w:left w:val="single" w:sz="6" w:space="0" w:color="0E477A"/>
            <w:bottom w:val="single" w:sz="6" w:space="0" w:color="0E477A"/>
            <w:right w:val="single" w:sz="6" w:space="0" w:color="0E477A"/>
          </w:divBdr>
          <w:divsChild>
            <w:div w:id="1914460946">
              <w:marLeft w:val="2925"/>
              <w:marRight w:val="0"/>
              <w:marTop w:val="0"/>
              <w:marBottom w:val="0"/>
              <w:divBdr>
                <w:top w:val="none" w:sz="0" w:space="0" w:color="auto"/>
                <w:left w:val="none" w:sz="0" w:space="0" w:color="auto"/>
                <w:bottom w:val="none" w:sz="0" w:space="0" w:color="auto"/>
                <w:right w:val="none" w:sz="0" w:space="0" w:color="auto"/>
              </w:divBdr>
              <w:divsChild>
                <w:div w:id="408699765">
                  <w:marLeft w:val="0"/>
                  <w:marRight w:val="0"/>
                  <w:marTop w:val="0"/>
                  <w:marBottom w:val="0"/>
                  <w:divBdr>
                    <w:top w:val="none" w:sz="0" w:space="0" w:color="auto"/>
                    <w:left w:val="none" w:sz="0" w:space="0" w:color="auto"/>
                    <w:bottom w:val="none" w:sz="0" w:space="0" w:color="auto"/>
                    <w:right w:val="none" w:sz="0" w:space="0" w:color="auto"/>
                  </w:divBdr>
                  <w:divsChild>
                    <w:div w:id="1633242151">
                      <w:marLeft w:val="0"/>
                      <w:marRight w:val="150"/>
                      <w:marTop w:val="0"/>
                      <w:marBottom w:val="0"/>
                      <w:divBdr>
                        <w:top w:val="single" w:sz="6" w:space="0" w:color="CCCCCC"/>
                        <w:left w:val="single" w:sz="6" w:space="8" w:color="CCCCCC"/>
                        <w:bottom w:val="single" w:sz="6" w:space="8" w:color="CCCCCC"/>
                        <w:right w:val="single" w:sz="6" w:space="8" w:color="CCCCCC"/>
                      </w:divBdr>
                      <w:divsChild>
                        <w:div w:id="1154373681">
                          <w:marLeft w:val="0"/>
                          <w:marRight w:val="0"/>
                          <w:marTop w:val="0"/>
                          <w:marBottom w:val="0"/>
                          <w:divBdr>
                            <w:top w:val="none" w:sz="0" w:space="0" w:color="auto"/>
                            <w:left w:val="none" w:sz="0" w:space="0" w:color="auto"/>
                            <w:bottom w:val="none" w:sz="0" w:space="0" w:color="auto"/>
                            <w:right w:val="none" w:sz="0" w:space="0" w:color="auto"/>
                          </w:divBdr>
                        </w:div>
                        <w:div w:id="1874149931">
                          <w:marLeft w:val="0"/>
                          <w:marRight w:val="0"/>
                          <w:marTop w:val="0"/>
                          <w:marBottom w:val="0"/>
                          <w:divBdr>
                            <w:top w:val="none" w:sz="0" w:space="0" w:color="auto"/>
                            <w:left w:val="none" w:sz="0" w:space="0" w:color="auto"/>
                            <w:bottom w:val="none" w:sz="0" w:space="0" w:color="auto"/>
                            <w:right w:val="none" w:sz="0" w:space="0" w:color="auto"/>
                          </w:divBdr>
                        </w:div>
                        <w:div w:id="92484098">
                          <w:marLeft w:val="0"/>
                          <w:marRight w:val="0"/>
                          <w:marTop w:val="0"/>
                          <w:marBottom w:val="0"/>
                          <w:divBdr>
                            <w:top w:val="none" w:sz="0" w:space="0" w:color="auto"/>
                            <w:left w:val="none" w:sz="0" w:space="0" w:color="auto"/>
                            <w:bottom w:val="none" w:sz="0" w:space="0" w:color="auto"/>
                            <w:right w:val="none" w:sz="0" w:space="0" w:color="auto"/>
                          </w:divBdr>
                        </w:div>
                        <w:div w:id="521743209">
                          <w:marLeft w:val="0"/>
                          <w:marRight w:val="0"/>
                          <w:marTop w:val="0"/>
                          <w:marBottom w:val="0"/>
                          <w:divBdr>
                            <w:top w:val="none" w:sz="0" w:space="0" w:color="auto"/>
                            <w:left w:val="none" w:sz="0" w:space="0" w:color="auto"/>
                            <w:bottom w:val="none" w:sz="0" w:space="0" w:color="auto"/>
                            <w:right w:val="none" w:sz="0" w:space="0" w:color="auto"/>
                          </w:divBdr>
                        </w:div>
                        <w:div w:id="1871261773">
                          <w:marLeft w:val="0"/>
                          <w:marRight w:val="0"/>
                          <w:marTop w:val="0"/>
                          <w:marBottom w:val="0"/>
                          <w:divBdr>
                            <w:top w:val="none" w:sz="0" w:space="0" w:color="auto"/>
                            <w:left w:val="none" w:sz="0" w:space="0" w:color="auto"/>
                            <w:bottom w:val="none" w:sz="0" w:space="0" w:color="auto"/>
                            <w:right w:val="none" w:sz="0" w:space="0" w:color="auto"/>
                          </w:divBdr>
                        </w:div>
                        <w:div w:id="387339765">
                          <w:marLeft w:val="0"/>
                          <w:marRight w:val="0"/>
                          <w:marTop w:val="0"/>
                          <w:marBottom w:val="0"/>
                          <w:divBdr>
                            <w:top w:val="none" w:sz="0" w:space="0" w:color="auto"/>
                            <w:left w:val="none" w:sz="0" w:space="0" w:color="auto"/>
                            <w:bottom w:val="none" w:sz="0" w:space="0" w:color="auto"/>
                            <w:right w:val="none" w:sz="0" w:space="0" w:color="auto"/>
                          </w:divBdr>
                        </w:div>
                        <w:div w:id="1108357643">
                          <w:marLeft w:val="0"/>
                          <w:marRight w:val="0"/>
                          <w:marTop w:val="0"/>
                          <w:marBottom w:val="0"/>
                          <w:divBdr>
                            <w:top w:val="none" w:sz="0" w:space="0" w:color="auto"/>
                            <w:left w:val="none" w:sz="0" w:space="0" w:color="auto"/>
                            <w:bottom w:val="none" w:sz="0" w:space="0" w:color="auto"/>
                            <w:right w:val="none" w:sz="0" w:space="0" w:color="auto"/>
                          </w:divBdr>
                        </w:div>
                        <w:div w:id="1542551511">
                          <w:marLeft w:val="0"/>
                          <w:marRight w:val="0"/>
                          <w:marTop w:val="0"/>
                          <w:marBottom w:val="0"/>
                          <w:divBdr>
                            <w:top w:val="none" w:sz="0" w:space="0" w:color="auto"/>
                            <w:left w:val="none" w:sz="0" w:space="0" w:color="auto"/>
                            <w:bottom w:val="none" w:sz="0" w:space="0" w:color="auto"/>
                            <w:right w:val="none" w:sz="0" w:space="0" w:color="auto"/>
                          </w:divBdr>
                        </w:div>
                        <w:div w:id="473332978">
                          <w:marLeft w:val="0"/>
                          <w:marRight w:val="0"/>
                          <w:marTop w:val="0"/>
                          <w:marBottom w:val="0"/>
                          <w:divBdr>
                            <w:top w:val="none" w:sz="0" w:space="0" w:color="auto"/>
                            <w:left w:val="none" w:sz="0" w:space="0" w:color="auto"/>
                            <w:bottom w:val="none" w:sz="0" w:space="0" w:color="auto"/>
                            <w:right w:val="none" w:sz="0" w:space="0" w:color="auto"/>
                          </w:divBdr>
                        </w:div>
                        <w:div w:id="20324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861466">
      <w:bodyDiv w:val="1"/>
      <w:marLeft w:val="0"/>
      <w:marRight w:val="0"/>
      <w:marTop w:val="0"/>
      <w:marBottom w:val="0"/>
      <w:divBdr>
        <w:top w:val="none" w:sz="0" w:space="0" w:color="auto"/>
        <w:left w:val="none" w:sz="0" w:space="0" w:color="auto"/>
        <w:bottom w:val="none" w:sz="0" w:space="0" w:color="auto"/>
        <w:right w:val="none" w:sz="0" w:space="0" w:color="auto"/>
      </w:divBdr>
      <w:divsChild>
        <w:div w:id="2136025559">
          <w:marLeft w:val="0"/>
          <w:marRight w:val="0"/>
          <w:marTop w:val="0"/>
          <w:marBottom w:val="0"/>
          <w:divBdr>
            <w:top w:val="none" w:sz="0" w:space="0" w:color="auto"/>
            <w:left w:val="none" w:sz="0" w:space="0" w:color="auto"/>
            <w:bottom w:val="none" w:sz="0" w:space="0" w:color="auto"/>
            <w:right w:val="none" w:sz="0" w:space="0" w:color="auto"/>
          </w:divBdr>
          <w:divsChild>
            <w:div w:id="1616063718">
              <w:marLeft w:val="0"/>
              <w:marRight w:val="0"/>
              <w:marTop w:val="0"/>
              <w:marBottom w:val="0"/>
              <w:divBdr>
                <w:top w:val="none" w:sz="0" w:space="0" w:color="auto"/>
                <w:left w:val="none" w:sz="0" w:space="0" w:color="auto"/>
                <w:bottom w:val="none" w:sz="0" w:space="0" w:color="auto"/>
                <w:right w:val="none" w:sz="0" w:space="0" w:color="auto"/>
              </w:divBdr>
              <w:divsChild>
                <w:div w:id="1972052189">
                  <w:marLeft w:val="0"/>
                  <w:marRight w:val="0"/>
                  <w:marTop w:val="0"/>
                  <w:marBottom w:val="0"/>
                  <w:divBdr>
                    <w:top w:val="none" w:sz="0" w:space="0" w:color="auto"/>
                    <w:left w:val="none" w:sz="0" w:space="0" w:color="auto"/>
                    <w:bottom w:val="none" w:sz="0" w:space="0" w:color="auto"/>
                    <w:right w:val="none" w:sz="0" w:space="0" w:color="auto"/>
                  </w:divBdr>
                  <w:divsChild>
                    <w:div w:id="1409498466">
                      <w:marLeft w:val="0"/>
                      <w:marRight w:val="0"/>
                      <w:marTop w:val="0"/>
                      <w:marBottom w:val="0"/>
                      <w:divBdr>
                        <w:top w:val="none" w:sz="0" w:space="0" w:color="auto"/>
                        <w:left w:val="none" w:sz="0" w:space="0" w:color="auto"/>
                        <w:bottom w:val="none" w:sz="0" w:space="0" w:color="auto"/>
                        <w:right w:val="none" w:sz="0" w:space="0" w:color="auto"/>
                      </w:divBdr>
                      <w:divsChild>
                        <w:div w:id="755128802">
                          <w:marLeft w:val="0"/>
                          <w:marRight w:val="0"/>
                          <w:marTop w:val="0"/>
                          <w:marBottom w:val="0"/>
                          <w:divBdr>
                            <w:top w:val="none" w:sz="0" w:space="0" w:color="auto"/>
                            <w:left w:val="none" w:sz="0" w:space="0" w:color="auto"/>
                            <w:bottom w:val="none" w:sz="0" w:space="0" w:color="auto"/>
                            <w:right w:val="none" w:sz="0" w:space="0" w:color="auto"/>
                          </w:divBdr>
                          <w:divsChild>
                            <w:div w:id="1199078173">
                              <w:marLeft w:val="0"/>
                              <w:marRight w:val="0"/>
                              <w:marTop w:val="0"/>
                              <w:marBottom w:val="0"/>
                              <w:divBdr>
                                <w:top w:val="none" w:sz="0" w:space="0" w:color="auto"/>
                                <w:left w:val="none" w:sz="0" w:space="0" w:color="auto"/>
                                <w:bottom w:val="none" w:sz="0" w:space="0" w:color="auto"/>
                                <w:right w:val="none" w:sz="0" w:space="0" w:color="auto"/>
                              </w:divBdr>
                              <w:divsChild>
                                <w:div w:id="1787582819">
                                  <w:marLeft w:val="0"/>
                                  <w:marRight w:val="0"/>
                                  <w:marTop w:val="0"/>
                                  <w:marBottom w:val="0"/>
                                  <w:divBdr>
                                    <w:top w:val="none" w:sz="0" w:space="0" w:color="auto"/>
                                    <w:left w:val="none" w:sz="0" w:space="0" w:color="auto"/>
                                    <w:bottom w:val="none" w:sz="0" w:space="0" w:color="auto"/>
                                    <w:right w:val="none" w:sz="0" w:space="0" w:color="auto"/>
                                  </w:divBdr>
                                  <w:divsChild>
                                    <w:div w:id="831722393">
                                      <w:marLeft w:val="0"/>
                                      <w:marRight w:val="0"/>
                                      <w:marTop w:val="0"/>
                                      <w:marBottom w:val="0"/>
                                      <w:divBdr>
                                        <w:top w:val="none" w:sz="0" w:space="0" w:color="auto"/>
                                        <w:left w:val="none" w:sz="0" w:space="0" w:color="auto"/>
                                        <w:bottom w:val="none" w:sz="0" w:space="0" w:color="auto"/>
                                        <w:right w:val="none" w:sz="0" w:space="0" w:color="auto"/>
                                      </w:divBdr>
                                      <w:divsChild>
                                        <w:div w:id="1019546679">
                                          <w:marLeft w:val="0"/>
                                          <w:marRight w:val="0"/>
                                          <w:marTop w:val="0"/>
                                          <w:marBottom w:val="0"/>
                                          <w:divBdr>
                                            <w:top w:val="none" w:sz="0" w:space="0" w:color="auto"/>
                                            <w:left w:val="none" w:sz="0" w:space="0" w:color="auto"/>
                                            <w:bottom w:val="none" w:sz="0" w:space="0" w:color="auto"/>
                                            <w:right w:val="none" w:sz="0" w:space="0" w:color="auto"/>
                                          </w:divBdr>
                                          <w:divsChild>
                                            <w:div w:id="1086540076">
                                              <w:marLeft w:val="0"/>
                                              <w:marRight w:val="0"/>
                                              <w:marTop w:val="0"/>
                                              <w:marBottom w:val="0"/>
                                              <w:divBdr>
                                                <w:top w:val="none" w:sz="0" w:space="0" w:color="auto"/>
                                                <w:left w:val="none" w:sz="0" w:space="0" w:color="auto"/>
                                                <w:bottom w:val="none" w:sz="0" w:space="0" w:color="auto"/>
                                                <w:right w:val="none" w:sz="0" w:space="0" w:color="auto"/>
                                              </w:divBdr>
                                              <w:divsChild>
                                                <w:div w:id="512496119">
                                                  <w:marLeft w:val="0"/>
                                                  <w:marRight w:val="0"/>
                                                  <w:marTop w:val="0"/>
                                                  <w:marBottom w:val="0"/>
                                                  <w:divBdr>
                                                    <w:top w:val="none" w:sz="0" w:space="0" w:color="auto"/>
                                                    <w:left w:val="none" w:sz="0" w:space="0" w:color="auto"/>
                                                    <w:bottom w:val="none" w:sz="0" w:space="0" w:color="auto"/>
                                                    <w:right w:val="none" w:sz="0" w:space="0" w:color="auto"/>
                                                  </w:divBdr>
                                                  <w:divsChild>
                                                    <w:div w:id="1179155352">
                                                      <w:marLeft w:val="0"/>
                                                      <w:marRight w:val="0"/>
                                                      <w:marTop w:val="0"/>
                                                      <w:marBottom w:val="0"/>
                                                      <w:divBdr>
                                                        <w:top w:val="none" w:sz="0" w:space="0" w:color="auto"/>
                                                        <w:left w:val="none" w:sz="0" w:space="0" w:color="auto"/>
                                                        <w:bottom w:val="none" w:sz="0" w:space="0" w:color="auto"/>
                                                        <w:right w:val="none" w:sz="0" w:space="0" w:color="auto"/>
                                                      </w:divBdr>
                                                      <w:divsChild>
                                                        <w:div w:id="9050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322689">
      <w:bodyDiv w:val="1"/>
      <w:marLeft w:val="0"/>
      <w:marRight w:val="0"/>
      <w:marTop w:val="0"/>
      <w:marBottom w:val="0"/>
      <w:divBdr>
        <w:top w:val="none" w:sz="0" w:space="0" w:color="auto"/>
        <w:left w:val="none" w:sz="0" w:space="0" w:color="auto"/>
        <w:bottom w:val="none" w:sz="0" w:space="0" w:color="auto"/>
        <w:right w:val="none" w:sz="0" w:space="0" w:color="auto"/>
      </w:divBdr>
      <w:divsChild>
        <w:div w:id="1955863792">
          <w:marLeft w:val="0"/>
          <w:marRight w:val="0"/>
          <w:marTop w:val="0"/>
          <w:marBottom w:val="0"/>
          <w:divBdr>
            <w:top w:val="single" w:sz="2" w:space="0" w:color="AAAAAA"/>
            <w:left w:val="single" w:sz="6" w:space="8" w:color="AAAAAA"/>
            <w:bottom w:val="single" w:sz="2" w:space="0" w:color="AAAAAA"/>
            <w:right w:val="single" w:sz="6" w:space="8" w:color="AAAAAA"/>
          </w:divBdr>
          <w:divsChild>
            <w:div w:id="1311524321">
              <w:marLeft w:val="0"/>
              <w:marRight w:val="0"/>
              <w:marTop w:val="0"/>
              <w:marBottom w:val="0"/>
              <w:divBdr>
                <w:top w:val="none" w:sz="0" w:space="0" w:color="auto"/>
                <w:left w:val="none" w:sz="0" w:space="0" w:color="auto"/>
                <w:bottom w:val="none" w:sz="0" w:space="0" w:color="auto"/>
                <w:right w:val="none" w:sz="0" w:space="0" w:color="auto"/>
              </w:divBdr>
              <w:divsChild>
                <w:div w:id="1449856356">
                  <w:marLeft w:val="0"/>
                  <w:marRight w:val="0"/>
                  <w:marTop w:val="0"/>
                  <w:marBottom w:val="0"/>
                  <w:divBdr>
                    <w:top w:val="none" w:sz="0" w:space="0" w:color="auto"/>
                    <w:left w:val="none" w:sz="0" w:space="0" w:color="auto"/>
                    <w:bottom w:val="none" w:sz="0" w:space="0" w:color="auto"/>
                    <w:right w:val="none" w:sz="0" w:space="0" w:color="auto"/>
                  </w:divBdr>
                  <w:divsChild>
                    <w:div w:id="928003885">
                      <w:marLeft w:val="0"/>
                      <w:marRight w:val="2550"/>
                      <w:marTop w:val="0"/>
                      <w:marBottom w:val="48"/>
                      <w:divBdr>
                        <w:top w:val="none" w:sz="0" w:space="0" w:color="auto"/>
                        <w:left w:val="none" w:sz="0" w:space="0" w:color="auto"/>
                        <w:bottom w:val="none" w:sz="0" w:space="0" w:color="auto"/>
                        <w:right w:val="none" w:sz="0" w:space="0" w:color="auto"/>
                      </w:divBdr>
                      <w:divsChild>
                        <w:div w:id="1293219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558826251">
      <w:bodyDiv w:val="1"/>
      <w:marLeft w:val="0"/>
      <w:marRight w:val="0"/>
      <w:marTop w:val="0"/>
      <w:marBottom w:val="0"/>
      <w:divBdr>
        <w:top w:val="none" w:sz="0" w:space="0" w:color="auto"/>
        <w:left w:val="none" w:sz="0" w:space="0" w:color="auto"/>
        <w:bottom w:val="none" w:sz="0" w:space="0" w:color="auto"/>
        <w:right w:val="none" w:sz="0" w:space="0" w:color="auto"/>
      </w:divBdr>
      <w:divsChild>
        <w:div w:id="55786541">
          <w:marLeft w:val="0"/>
          <w:marRight w:val="0"/>
          <w:marTop w:val="0"/>
          <w:marBottom w:val="0"/>
          <w:divBdr>
            <w:top w:val="single" w:sz="6" w:space="0" w:color="0E477A"/>
            <w:left w:val="single" w:sz="6" w:space="0" w:color="0E477A"/>
            <w:bottom w:val="single" w:sz="6" w:space="0" w:color="0E477A"/>
            <w:right w:val="single" w:sz="6" w:space="0" w:color="0E477A"/>
          </w:divBdr>
          <w:divsChild>
            <w:div w:id="2093701133">
              <w:marLeft w:val="2925"/>
              <w:marRight w:val="0"/>
              <w:marTop w:val="0"/>
              <w:marBottom w:val="0"/>
              <w:divBdr>
                <w:top w:val="none" w:sz="0" w:space="0" w:color="auto"/>
                <w:left w:val="none" w:sz="0" w:space="0" w:color="auto"/>
                <w:bottom w:val="none" w:sz="0" w:space="0" w:color="auto"/>
                <w:right w:val="none" w:sz="0" w:space="0" w:color="auto"/>
              </w:divBdr>
              <w:divsChild>
                <w:div w:id="795485623">
                  <w:marLeft w:val="0"/>
                  <w:marRight w:val="0"/>
                  <w:marTop w:val="0"/>
                  <w:marBottom w:val="0"/>
                  <w:divBdr>
                    <w:top w:val="none" w:sz="0" w:space="0" w:color="auto"/>
                    <w:left w:val="none" w:sz="0" w:space="0" w:color="auto"/>
                    <w:bottom w:val="none" w:sz="0" w:space="0" w:color="auto"/>
                    <w:right w:val="none" w:sz="0" w:space="0" w:color="auto"/>
                  </w:divBdr>
                  <w:divsChild>
                    <w:div w:id="102262422">
                      <w:marLeft w:val="0"/>
                      <w:marRight w:val="150"/>
                      <w:marTop w:val="0"/>
                      <w:marBottom w:val="0"/>
                      <w:divBdr>
                        <w:top w:val="single" w:sz="6" w:space="0" w:color="CCCCCC"/>
                        <w:left w:val="single" w:sz="6" w:space="8" w:color="CCCCCC"/>
                        <w:bottom w:val="single" w:sz="6" w:space="8" w:color="CCCCCC"/>
                        <w:right w:val="single" w:sz="6" w:space="8" w:color="CCCCCC"/>
                      </w:divBdr>
                      <w:divsChild>
                        <w:div w:id="1680039784">
                          <w:marLeft w:val="0"/>
                          <w:marRight w:val="0"/>
                          <w:marTop w:val="0"/>
                          <w:marBottom w:val="0"/>
                          <w:divBdr>
                            <w:top w:val="none" w:sz="0" w:space="0" w:color="auto"/>
                            <w:left w:val="none" w:sz="0" w:space="0" w:color="auto"/>
                            <w:bottom w:val="none" w:sz="0" w:space="0" w:color="auto"/>
                            <w:right w:val="none" w:sz="0" w:space="0" w:color="auto"/>
                          </w:divBdr>
                        </w:div>
                        <w:div w:id="1334725630">
                          <w:marLeft w:val="0"/>
                          <w:marRight w:val="0"/>
                          <w:marTop w:val="0"/>
                          <w:marBottom w:val="0"/>
                          <w:divBdr>
                            <w:top w:val="none" w:sz="0" w:space="0" w:color="auto"/>
                            <w:left w:val="none" w:sz="0" w:space="0" w:color="auto"/>
                            <w:bottom w:val="none" w:sz="0" w:space="0" w:color="auto"/>
                            <w:right w:val="none" w:sz="0" w:space="0" w:color="auto"/>
                          </w:divBdr>
                        </w:div>
                        <w:div w:id="2043510739">
                          <w:marLeft w:val="0"/>
                          <w:marRight w:val="0"/>
                          <w:marTop w:val="0"/>
                          <w:marBottom w:val="0"/>
                          <w:divBdr>
                            <w:top w:val="none" w:sz="0" w:space="0" w:color="auto"/>
                            <w:left w:val="none" w:sz="0" w:space="0" w:color="auto"/>
                            <w:bottom w:val="none" w:sz="0" w:space="0" w:color="auto"/>
                            <w:right w:val="none" w:sz="0" w:space="0" w:color="auto"/>
                          </w:divBdr>
                        </w:div>
                        <w:div w:id="1623726746">
                          <w:marLeft w:val="0"/>
                          <w:marRight w:val="0"/>
                          <w:marTop w:val="0"/>
                          <w:marBottom w:val="0"/>
                          <w:divBdr>
                            <w:top w:val="none" w:sz="0" w:space="0" w:color="auto"/>
                            <w:left w:val="none" w:sz="0" w:space="0" w:color="auto"/>
                            <w:bottom w:val="none" w:sz="0" w:space="0" w:color="auto"/>
                            <w:right w:val="none" w:sz="0" w:space="0" w:color="auto"/>
                          </w:divBdr>
                        </w:div>
                        <w:div w:id="504782987">
                          <w:marLeft w:val="0"/>
                          <w:marRight w:val="0"/>
                          <w:marTop w:val="0"/>
                          <w:marBottom w:val="0"/>
                          <w:divBdr>
                            <w:top w:val="none" w:sz="0" w:space="0" w:color="auto"/>
                            <w:left w:val="none" w:sz="0" w:space="0" w:color="auto"/>
                            <w:bottom w:val="none" w:sz="0" w:space="0" w:color="auto"/>
                            <w:right w:val="none" w:sz="0" w:space="0" w:color="auto"/>
                          </w:divBdr>
                        </w:div>
                        <w:div w:id="1802382653">
                          <w:marLeft w:val="0"/>
                          <w:marRight w:val="0"/>
                          <w:marTop w:val="0"/>
                          <w:marBottom w:val="0"/>
                          <w:divBdr>
                            <w:top w:val="none" w:sz="0" w:space="0" w:color="auto"/>
                            <w:left w:val="none" w:sz="0" w:space="0" w:color="auto"/>
                            <w:bottom w:val="none" w:sz="0" w:space="0" w:color="auto"/>
                            <w:right w:val="none" w:sz="0" w:space="0" w:color="auto"/>
                          </w:divBdr>
                        </w:div>
                        <w:div w:id="308752727">
                          <w:marLeft w:val="0"/>
                          <w:marRight w:val="0"/>
                          <w:marTop w:val="0"/>
                          <w:marBottom w:val="0"/>
                          <w:divBdr>
                            <w:top w:val="none" w:sz="0" w:space="0" w:color="auto"/>
                            <w:left w:val="none" w:sz="0" w:space="0" w:color="auto"/>
                            <w:bottom w:val="none" w:sz="0" w:space="0" w:color="auto"/>
                            <w:right w:val="none" w:sz="0" w:space="0" w:color="auto"/>
                          </w:divBdr>
                        </w:div>
                        <w:div w:id="21442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04082">
      <w:bodyDiv w:val="1"/>
      <w:marLeft w:val="0"/>
      <w:marRight w:val="0"/>
      <w:marTop w:val="0"/>
      <w:marBottom w:val="0"/>
      <w:divBdr>
        <w:top w:val="none" w:sz="0" w:space="0" w:color="auto"/>
        <w:left w:val="none" w:sz="0" w:space="0" w:color="auto"/>
        <w:bottom w:val="none" w:sz="0" w:space="0" w:color="auto"/>
        <w:right w:val="none" w:sz="0" w:space="0" w:color="auto"/>
      </w:divBdr>
      <w:divsChild>
        <w:div w:id="1986275465">
          <w:marLeft w:val="0"/>
          <w:marRight w:val="0"/>
          <w:marTop w:val="0"/>
          <w:marBottom w:val="0"/>
          <w:divBdr>
            <w:top w:val="none" w:sz="0" w:space="0" w:color="auto"/>
            <w:left w:val="none" w:sz="0" w:space="0" w:color="auto"/>
            <w:bottom w:val="none" w:sz="0" w:space="0" w:color="auto"/>
            <w:right w:val="none" w:sz="0" w:space="0" w:color="auto"/>
          </w:divBdr>
          <w:divsChild>
            <w:div w:id="1879050484">
              <w:marLeft w:val="0"/>
              <w:marRight w:val="0"/>
              <w:marTop w:val="0"/>
              <w:marBottom w:val="0"/>
              <w:divBdr>
                <w:top w:val="none" w:sz="0" w:space="0" w:color="auto"/>
                <w:left w:val="none" w:sz="0" w:space="0" w:color="auto"/>
                <w:bottom w:val="none" w:sz="0" w:space="0" w:color="auto"/>
                <w:right w:val="none" w:sz="0" w:space="0" w:color="auto"/>
              </w:divBdr>
              <w:divsChild>
                <w:div w:id="878666545">
                  <w:marLeft w:val="0"/>
                  <w:marRight w:val="0"/>
                  <w:marTop w:val="0"/>
                  <w:marBottom w:val="0"/>
                  <w:divBdr>
                    <w:top w:val="none" w:sz="0" w:space="0" w:color="auto"/>
                    <w:left w:val="none" w:sz="0" w:space="0" w:color="auto"/>
                    <w:bottom w:val="none" w:sz="0" w:space="0" w:color="auto"/>
                    <w:right w:val="none" w:sz="0" w:space="0" w:color="auto"/>
                  </w:divBdr>
                  <w:divsChild>
                    <w:div w:id="496581334">
                      <w:marLeft w:val="0"/>
                      <w:marRight w:val="0"/>
                      <w:marTop w:val="0"/>
                      <w:marBottom w:val="0"/>
                      <w:divBdr>
                        <w:top w:val="none" w:sz="0" w:space="0" w:color="auto"/>
                        <w:left w:val="none" w:sz="0" w:space="0" w:color="auto"/>
                        <w:bottom w:val="none" w:sz="0" w:space="0" w:color="auto"/>
                        <w:right w:val="none" w:sz="0" w:space="0" w:color="auto"/>
                      </w:divBdr>
                      <w:divsChild>
                        <w:div w:id="484669909">
                          <w:marLeft w:val="0"/>
                          <w:marRight w:val="0"/>
                          <w:marTop w:val="0"/>
                          <w:marBottom w:val="0"/>
                          <w:divBdr>
                            <w:top w:val="none" w:sz="0" w:space="0" w:color="auto"/>
                            <w:left w:val="none" w:sz="0" w:space="0" w:color="auto"/>
                            <w:bottom w:val="none" w:sz="0" w:space="0" w:color="auto"/>
                            <w:right w:val="none" w:sz="0" w:space="0" w:color="auto"/>
                          </w:divBdr>
                          <w:divsChild>
                            <w:div w:id="185289694">
                              <w:marLeft w:val="0"/>
                              <w:marRight w:val="0"/>
                              <w:marTop w:val="0"/>
                              <w:marBottom w:val="0"/>
                              <w:divBdr>
                                <w:top w:val="none" w:sz="0" w:space="0" w:color="auto"/>
                                <w:left w:val="none" w:sz="0" w:space="0" w:color="auto"/>
                                <w:bottom w:val="none" w:sz="0" w:space="0" w:color="auto"/>
                                <w:right w:val="none" w:sz="0" w:space="0" w:color="auto"/>
                              </w:divBdr>
                              <w:divsChild>
                                <w:div w:id="1981421630">
                                  <w:marLeft w:val="0"/>
                                  <w:marRight w:val="0"/>
                                  <w:marTop w:val="0"/>
                                  <w:marBottom w:val="0"/>
                                  <w:divBdr>
                                    <w:top w:val="none" w:sz="0" w:space="0" w:color="auto"/>
                                    <w:left w:val="none" w:sz="0" w:space="0" w:color="auto"/>
                                    <w:bottom w:val="none" w:sz="0" w:space="0" w:color="auto"/>
                                    <w:right w:val="none" w:sz="0" w:space="0" w:color="auto"/>
                                  </w:divBdr>
                                  <w:divsChild>
                                    <w:div w:id="1549947542">
                                      <w:marLeft w:val="0"/>
                                      <w:marRight w:val="0"/>
                                      <w:marTop w:val="0"/>
                                      <w:marBottom w:val="0"/>
                                      <w:divBdr>
                                        <w:top w:val="none" w:sz="0" w:space="0" w:color="auto"/>
                                        <w:left w:val="none" w:sz="0" w:space="0" w:color="auto"/>
                                        <w:bottom w:val="none" w:sz="0" w:space="0" w:color="auto"/>
                                        <w:right w:val="none" w:sz="0" w:space="0" w:color="auto"/>
                                      </w:divBdr>
                                      <w:divsChild>
                                        <w:div w:id="334918626">
                                          <w:marLeft w:val="0"/>
                                          <w:marRight w:val="0"/>
                                          <w:marTop w:val="0"/>
                                          <w:marBottom w:val="0"/>
                                          <w:divBdr>
                                            <w:top w:val="none" w:sz="0" w:space="0" w:color="auto"/>
                                            <w:left w:val="none" w:sz="0" w:space="0" w:color="auto"/>
                                            <w:bottom w:val="none" w:sz="0" w:space="0" w:color="auto"/>
                                            <w:right w:val="none" w:sz="0" w:space="0" w:color="auto"/>
                                          </w:divBdr>
                                          <w:divsChild>
                                            <w:div w:id="1981223524">
                                              <w:marLeft w:val="0"/>
                                              <w:marRight w:val="0"/>
                                              <w:marTop w:val="0"/>
                                              <w:marBottom w:val="0"/>
                                              <w:divBdr>
                                                <w:top w:val="none" w:sz="0" w:space="0" w:color="auto"/>
                                                <w:left w:val="none" w:sz="0" w:space="0" w:color="auto"/>
                                                <w:bottom w:val="none" w:sz="0" w:space="0" w:color="auto"/>
                                                <w:right w:val="none" w:sz="0" w:space="0" w:color="auto"/>
                                              </w:divBdr>
                                              <w:divsChild>
                                                <w:div w:id="1175614048">
                                                  <w:marLeft w:val="0"/>
                                                  <w:marRight w:val="0"/>
                                                  <w:marTop w:val="0"/>
                                                  <w:marBottom w:val="0"/>
                                                  <w:divBdr>
                                                    <w:top w:val="none" w:sz="0" w:space="0" w:color="auto"/>
                                                    <w:left w:val="none" w:sz="0" w:space="0" w:color="auto"/>
                                                    <w:bottom w:val="none" w:sz="0" w:space="0" w:color="auto"/>
                                                    <w:right w:val="none" w:sz="0" w:space="0" w:color="auto"/>
                                                  </w:divBdr>
                                                  <w:divsChild>
                                                    <w:div w:id="154806303">
                                                      <w:marLeft w:val="0"/>
                                                      <w:marRight w:val="0"/>
                                                      <w:marTop w:val="0"/>
                                                      <w:marBottom w:val="0"/>
                                                      <w:divBdr>
                                                        <w:top w:val="none" w:sz="0" w:space="0" w:color="auto"/>
                                                        <w:left w:val="none" w:sz="0" w:space="0" w:color="auto"/>
                                                        <w:bottom w:val="none" w:sz="0" w:space="0" w:color="auto"/>
                                                        <w:right w:val="none" w:sz="0" w:space="0" w:color="auto"/>
                                                      </w:divBdr>
                                                      <w:divsChild>
                                                        <w:div w:id="11638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975469">
      <w:bodyDiv w:val="1"/>
      <w:marLeft w:val="0"/>
      <w:marRight w:val="0"/>
      <w:marTop w:val="0"/>
      <w:marBottom w:val="0"/>
      <w:divBdr>
        <w:top w:val="none" w:sz="0" w:space="0" w:color="auto"/>
        <w:left w:val="none" w:sz="0" w:space="0" w:color="auto"/>
        <w:bottom w:val="none" w:sz="0" w:space="0" w:color="auto"/>
        <w:right w:val="none" w:sz="0" w:space="0" w:color="auto"/>
      </w:divBdr>
      <w:divsChild>
        <w:div w:id="1899785358">
          <w:marLeft w:val="0"/>
          <w:marRight w:val="0"/>
          <w:marTop w:val="0"/>
          <w:marBottom w:val="0"/>
          <w:divBdr>
            <w:top w:val="none" w:sz="0" w:space="0" w:color="auto"/>
            <w:left w:val="none" w:sz="0" w:space="0" w:color="auto"/>
            <w:bottom w:val="none" w:sz="0" w:space="0" w:color="auto"/>
            <w:right w:val="none" w:sz="0" w:space="0" w:color="auto"/>
          </w:divBdr>
          <w:divsChild>
            <w:div w:id="64645344">
              <w:marLeft w:val="0"/>
              <w:marRight w:val="0"/>
              <w:marTop w:val="0"/>
              <w:marBottom w:val="0"/>
              <w:divBdr>
                <w:top w:val="none" w:sz="0" w:space="0" w:color="auto"/>
                <w:left w:val="none" w:sz="0" w:space="0" w:color="auto"/>
                <w:bottom w:val="none" w:sz="0" w:space="0" w:color="auto"/>
                <w:right w:val="none" w:sz="0" w:space="0" w:color="auto"/>
              </w:divBdr>
              <w:divsChild>
                <w:div w:id="136995196">
                  <w:marLeft w:val="0"/>
                  <w:marRight w:val="0"/>
                  <w:marTop w:val="0"/>
                  <w:marBottom w:val="0"/>
                  <w:divBdr>
                    <w:top w:val="none" w:sz="0" w:space="0" w:color="auto"/>
                    <w:left w:val="none" w:sz="0" w:space="0" w:color="auto"/>
                    <w:bottom w:val="none" w:sz="0" w:space="0" w:color="auto"/>
                    <w:right w:val="none" w:sz="0" w:space="0" w:color="auto"/>
                  </w:divBdr>
                  <w:divsChild>
                    <w:div w:id="897201292">
                      <w:marLeft w:val="0"/>
                      <w:marRight w:val="0"/>
                      <w:marTop w:val="0"/>
                      <w:marBottom w:val="0"/>
                      <w:divBdr>
                        <w:top w:val="none" w:sz="0" w:space="0" w:color="auto"/>
                        <w:left w:val="none" w:sz="0" w:space="0" w:color="auto"/>
                        <w:bottom w:val="none" w:sz="0" w:space="0" w:color="auto"/>
                        <w:right w:val="none" w:sz="0" w:space="0" w:color="auto"/>
                      </w:divBdr>
                      <w:divsChild>
                        <w:div w:id="20900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363174">
      <w:bodyDiv w:val="1"/>
      <w:marLeft w:val="0"/>
      <w:marRight w:val="0"/>
      <w:marTop w:val="0"/>
      <w:marBottom w:val="0"/>
      <w:divBdr>
        <w:top w:val="none" w:sz="0" w:space="0" w:color="auto"/>
        <w:left w:val="none" w:sz="0" w:space="0" w:color="auto"/>
        <w:bottom w:val="none" w:sz="0" w:space="0" w:color="auto"/>
        <w:right w:val="none" w:sz="0" w:space="0" w:color="auto"/>
      </w:divBdr>
      <w:divsChild>
        <w:div w:id="999699147">
          <w:marLeft w:val="0"/>
          <w:marRight w:val="0"/>
          <w:marTop w:val="0"/>
          <w:marBottom w:val="0"/>
          <w:divBdr>
            <w:top w:val="none" w:sz="0" w:space="0" w:color="auto"/>
            <w:left w:val="none" w:sz="0" w:space="0" w:color="auto"/>
            <w:bottom w:val="none" w:sz="0" w:space="0" w:color="auto"/>
            <w:right w:val="none" w:sz="0" w:space="0" w:color="auto"/>
          </w:divBdr>
          <w:divsChild>
            <w:div w:id="269091408">
              <w:marLeft w:val="0"/>
              <w:marRight w:val="0"/>
              <w:marTop w:val="0"/>
              <w:marBottom w:val="0"/>
              <w:divBdr>
                <w:top w:val="none" w:sz="0" w:space="0" w:color="auto"/>
                <w:left w:val="none" w:sz="0" w:space="0" w:color="auto"/>
                <w:bottom w:val="none" w:sz="0" w:space="0" w:color="auto"/>
                <w:right w:val="none" w:sz="0" w:space="0" w:color="auto"/>
              </w:divBdr>
              <w:divsChild>
                <w:div w:id="98570468">
                  <w:marLeft w:val="0"/>
                  <w:marRight w:val="0"/>
                  <w:marTop w:val="0"/>
                  <w:marBottom w:val="0"/>
                  <w:divBdr>
                    <w:top w:val="none" w:sz="0" w:space="0" w:color="auto"/>
                    <w:left w:val="none" w:sz="0" w:space="0" w:color="auto"/>
                    <w:bottom w:val="none" w:sz="0" w:space="0" w:color="auto"/>
                    <w:right w:val="none" w:sz="0" w:space="0" w:color="auto"/>
                  </w:divBdr>
                  <w:divsChild>
                    <w:div w:id="159124501">
                      <w:marLeft w:val="0"/>
                      <w:marRight w:val="0"/>
                      <w:marTop w:val="0"/>
                      <w:marBottom w:val="0"/>
                      <w:divBdr>
                        <w:top w:val="none" w:sz="0" w:space="0" w:color="auto"/>
                        <w:left w:val="none" w:sz="0" w:space="0" w:color="auto"/>
                        <w:bottom w:val="none" w:sz="0" w:space="0" w:color="auto"/>
                        <w:right w:val="none" w:sz="0" w:space="0" w:color="auto"/>
                      </w:divBdr>
                      <w:divsChild>
                        <w:div w:id="395926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559370612">
      <w:bodyDiv w:val="1"/>
      <w:marLeft w:val="0"/>
      <w:marRight w:val="0"/>
      <w:marTop w:val="0"/>
      <w:marBottom w:val="0"/>
      <w:divBdr>
        <w:top w:val="none" w:sz="0" w:space="0" w:color="auto"/>
        <w:left w:val="none" w:sz="0" w:space="0" w:color="auto"/>
        <w:bottom w:val="none" w:sz="0" w:space="0" w:color="auto"/>
        <w:right w:val="none" w:sz="0" w:space="0" w:color="auto"/>
      </w:divBdr>
      <w:divsChild>
        <w:div w:id="453603727">
          <w:marLeft w:val="0"/>
          <w:marRight w:val="0"/>
          <w:marTop w:val="0"/>
          <w:marBottom w:val="0"/>
          <w:divBdr>
            <w:top w:val="none" w:sz="0" w:space="0" w:color="auto"/>
            <w:left w:val="single" w:sz="6" w:space="15" w:color="B4B4B4"/>
            <w:bottom w:val="single" w:sz="6" w:space="0" w:color="B4B4B4"/>
            <w:right w:val="single" w:sz="6" w:space="15" w:color="B4B4B4"/>
          </w:divBdr>
          <w:divsChild>
            <w:div w:id="396825896">
              <w:marLeft w:val="0"/>
              <w:marRight w:val="0"/>
              <w:marTop w:val="0"/>
              <w:marBottom w:val="0"/>
              <w:divBdr>
                <w:top w:val="none" w:sz="0" w:space="0" w:color="auto"/>
                <w:left w:val="none" w:sz="0" w:space="0" w:color="auto"/>
                <w:bottom w:val="none" w:sz="0" w:space="0" w:color="auto"/>
                <w:right w:val="none" w:sz="0" w:space="0" w:color="auto"/>
              </w:divBdr>
              <w:divsChild>
                <w:div w:id="248782567">
                  <w:marLeft w:val="-300"/>
                  <w:marRight w:val="0"/>
                  <w:marTop w:val="0"/>
                  <w:marBottom w:val="0"/>
                  <w:divBdr>
                    <w:top w:val="none" w:sz="0" w:space="0" w:color="auto"/>
                    <w:left w:val="none" w:sz="0" w:space="0" w:color="auto"/>
                    <w:bottom w:val="none" w:sz="0" w:space="0" w:color="auto"/>
                    <w:right w:val="none" w:sz="0" w:space="0" w:color="auto"/>
                  </w:divBdr>
                  <w:divsChild>
                    <w:div w:id="1302999604">
                      <w:marLeft w:val="0"/>
                      <w:marRight w:val="0"/>
                      <w:marTop w:val="0"/>
                      <w:marBottom w:val="0"/>
                      <w:divBdr>
                        <w:top w:val="none" w:sz="0" w:space="0" w:color="auto"/>
                        <w:left w:val="none" w:sz="0" w:space="0" w:color="auto"/>
                        <w:bottom w:val="none" w:sz="0" w:space="0" w:color="auto"/>
                        <w:right w:val="none" w:sz="0" w:space="0" w:color="auto"/>
                      </w:divBdr>
                      <w:divsChild>
                        <w:div w:id="704449328">
                          <w:marLeft w:val="-300"/>
                          <w:marRight w:val="0"/>
                          <w:marTop w:val="0"/>
                          <w:marBottom w:val="0"/>
                          <w:divBdr>
                            <w:top w:val="none" w:sz="0" w:space="0" w:color="auto"/>
                            <w:left w:val="none" w:sz="0" w:space="0" w:color="auto"/>
                            <w:bottom w:val="none" w:sz="0" w:space="0" w:color="auto"/>
                            <w:right w:val="none" w:sz="0" w:space="0" w:color="auto"/>
                          </w:divBdr>
                          <w:divsChild>
                            <w:div w:id="622229186">
                              <w:marLeft w:val="0"/>
                              <w:marRight w:val="0"/>
                              <w:marTop w:val="0"/>
                              <w:marBottom w:val="0"/>
                              <w:divBdr>
                                <w:top w:val="none" w:sz="0" w:space="0" w:color="auto"/>
                                <w:left w:val="none" w:sz="0" w:space="0" w:color="auto"/>
                                <w:bottom w:val="none" w:sz="0" w:space="0" w:color="auto"/>
                                <w:right w:val="none" w:sz="0" w:space="0" w:color="auto"/>
                              </w:divBdr>
                              <w:divsChild>
                                <w:div w:id="1501114869">
                                  <w:marLeft w:val="0"/>
                                  <w:marRight w:val="0"/>
                                  <w:marTop w:val="0"/>
                                  <w:marBottom w:val="0"/>
                                  <w:divBdr>
                                    <w:top w:val="none" w:sz="0" w:space="0" w:color="auto"/>
                                    <w:left w:val="none" w:sz="0" w:space="0" w:color="auto"/>
                                    <w:bottom w:val="none" w:sz="0" w:space="0" w:color="auto"/>
                                    <w:right w:val="none" w:sz="0" w:space="0" w:color="auto"/>
                                  </w:divBdr>
                                  <w:divsChild>
                                    <w:div w:id="1809855083">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560218568">
      <w:bodyDiv w:val="1"/>
      <w:marLeft w:val="0"/>
      <w:marRight w:val="0"/>
      <w:marTop w:val="0"/>
      <w:marBottom w:val="0"/>
      <w:divBdr>
        <w:top w:val="none" w:sz="0" w:space="0" w:color="auto"/>
        <w:left w:val="none" w:sz="0" w:space="0" w:color="auto"/>
        <w:bottom w:val="none" w:sz="0" w:space="0" w:color="auto"/>
        <w:right w:val="none" w:sz="0" w:space="0" w:color="auto"/>
      </w:divBdr>
      <w:divsChild>
        <w:div w:id="52701028">
          <w:marLeft w:val="0"/>
          <w:marRight w:val="0"/>
          <w:marTop w:val="0"/>
          <w:marBottom w:val="0"/>
          <w:divBdr>
            <w:top w:val="none" w:sz="0" w:space="0" w:color="auto"/>
            <w:left w:val="none" w:sz="0" w:space="0" w:color="auto"/>
            <w:bottom w:val="none" w:sz="0" w:space="0" w:color="auto"/>
            <w:right w:val="none" w:sz="0" w:space="0" w:color="auto"/>
          </w:divBdr>
          <w:divsChild>
            <w:div w:id="770203258">
              <w:marLeft w:val="0"/>
              <w:marRight w:val="0"/>
              <w:marTop w:val="0"/>
              <w:marBottom w:val="0"/>
              <w:divBdr>
                <w:top w:val="none" w:sz="0" w:space="0" w:color="auto"/>
                <w:left w:val="none" w:sz="0" w:space="0" w:color="auto"/>
                <w:bottom w:val="none" w:sz="0" w:space="0" w:color="auto"/>
                <w:right w:val="none" w:sz="0" w:space="0" w:color="auto"/>
              </w:divBdr>
            </w:div>
          </w:divsChild>
        </w:div>
        <w:div w:id="165368587">
          <w:marLeft w:val="0"/>
          <w:marRight w:val="0"/>
          <w:marTop w:val="0"/>
          <w:marBottom w:val="0"/>
          <w:divBdr>
            <w:top w:val="none" w:sz="0" w:space="0" w:color="auto"/>
            <w:left w:val="none" w:sz="0" w:space="0" w:color="auto"/>
            <w:bottom w:val="none" w:sz="0" w:space="0" w:color="auto"/>
            <w:right w:val="none" w:sz="0" w:space="0" w:color="auto"/>
          </w:divBdr>
        </w:div>
        <w:div w:id="261494077">
          <w:marLeft w:val="0"/>
          <w:marRight w:val="0"/>
          <w:marTop w:val="0"/>
          <w:marBottom w:val="0"/>
          <w:divBdr>
            <w:top w:val="none" w:sz="0" w:space="0" w:color="auto"/>
            <w:left w:val="none" w:sz="0" w:space="0" w:color="auto"/>
            <w:bottom w:val="none" w:sz="0" w:space="0" w:color="auto"/>
            <w:right w:val="none" w:sz="0" w:space="0" w:color="auto"/>
          </w:divBdr>
        </w:div>
        <w:div w:id="661659945">
          <w:marLeft w:val="0"/>
          <w:marRight w:val="0"/>
          <w:marTop w:val="0"/>
          <w:marBottom w:val="0"/>
          <w:divBdr>
            <w:top w:val="none" w:sz="0" w:space="0" w:color="auto"/>
            <w:left w:val="none" w:sz="0" w:space="0" w:color="auto"/>
            <w:bottom w:val="none" w:sz="0" w:space="0" w:color="auto"/>
            <w:right w:val="none" w:sz="0" w:space="0" w:color="auto"/>
          </w:divBdr>
          <w:divsChild>
            <w:div w:id="1814449842">
              <w:marLeft w:val="0"/>
              <w:marRight w:val="0"/>
              <w:marTop w:val="0"/>
              <w:marBottom w:val="0"/>
              <w:divBdr>
                <w:top w:val="none" w:sz="0" w:space="0" w:color="auto"/>
                <w:left w:val="none" w:sz="0" w:space="0" w:color="auto"/>
                <w:bottom w:val="none" w:sz="0" w:space="0" w:color="auto"/>
                <w:right w:val="none" w:sz="0" w:space="0" w:color="auto"/>
              </w:divBdr>
              <w:divsChild>
                <w:div w:id="1789928697">
                  <w:marLeft w:val="0"/>
                  <w:marRight w:val="0"/>
                  <w:marTop w:val="0"/>
                  <w:marBottom w:val="0"/>
                  <w:divBdr>
                    <w:top w:val="none" w:sz="0" w:space="0" w:color="auto"/>
                    <w:left w:val="none" w:sz="0" w:space="0" w:color="auto"/>
                    <w:bottom w:val="none" w:sz="0" w:space="0" w:color="auto"/>
                    <w:right w:val="none" w:sz="0" w:space="0" w:color="auto"/>
                  </w:divBdr>
                  <w:divsChild>
                    <w:div w:id="1254586686">
                      <w:marLeft w:val="0"/>
                      <w:marRight w:val="0"/>
                      <w:marTop w:val="0"/>
                      <w:marBottom w:val="0"/>
                      <w:divBdr>
                        <w:top w:val="none" w:sz="0" w:space="0" w:color="auto"/>
                        <w:left w:val="none" w:sz="0" w:space="0" w:color="auto"/>
                        <w:bottom w:val="none" w:sz="0" w:space="0" w:color="auto"/>
                        <w:right w:val="none" w:sz="0" w:space="0" w:color="auto"/>
                      </w:divBdr>
                    </w:div>
                    <w:div w:id="2091659954">
                      <w:marLeft w:val="0"/>
                      <w:marRight w:val="0"/>
                      <w:marTop w:val="300"/>
                      <w:marBottom w:val="375"/>
                      <w:divBdr>
                        <w:top w:val="none" w:sz="0" w:space="0" w:color="auto"/>
                        <w:left w:val="none" w:sz="0" w:space="0" w:color="auto"/>
                        <w:bottom w:val="none" w:sz="0" w:space="0" w:color="auto"/>
                        <w:right w:val="none" w:sz="0" w:space="0" w:color="auto"/>
                      </w:divBdr>
                    </w:div>
                    <w:div w:id="1691057955">
                      <w:marLeft w:val="0"/>
                      <w:marRight w:val="0"/>
                      <w:marTop w:val="0"/>
                      <w:marBottom w:val="0"/>
                      <w:divBdr>
                        <w:top w:val="none" w:sz="0" w:space="0" w:color="auto"/>
                        <w:left w:val="none" w:sz="0" w:space="0" w:color="auto"/>
                        <w:bottom w:val="none" w:sz="0" w:space="0" w:color="auto"/>
                        <w:right w:val="none" w:sz="0" w:space="0" w:color="auto"/>
                      </w:divBdr>
                    </w:div>
                    <w:div w:id="312830779">
                      <w:marLeft w:val="0"/>
                      <w:marRight w:val="0"/>
                      <w:marTop w:val="450"/>
                      <w:marBottom w:val="450"/>
                      <w:divBdr>
                        <w:top w:val="none" w:sz="0" w:space="0" w:color="auto"/>
                        <w:left w:val="none" w:sz="0" w:space="0" w:color="auto"/>
                        <w:bottom w:val="none" w:sz="0" w:space="0" w:color="auto"/>
                        <w:right w:val="none" w:sz="0" w:space="0" w:color="auto"/>
                      </w:divBdr>
                    </w:div>
                    <w:div w:id="1849714044">
                      <w:marLeft w:val="0"/>
                      <w:marRight w:val="0"/>
                      <w:marTop w:val="0"/>
                      <w:marBottom w:val="0"/>
                      <w:divBdr>
                        <w:top w:val="none" w:sz="0" w:space="0" w:color="auto"/>
                        <w:left w:val="none" w:sz="0" w:space="0" w:color="auto"/>
                        <w:bottom w:val="none" w:sz="0" w:space="0" w:color="auto"/>
                        <w:right w:val="none" w:sz="0" w:space="0" w:color="auto"/>
                      </w:divBdr>
                      <w:divsChild>
                        <w:div w:id="101385926">
                          <w:marLeft w:val="0"/>
                          <w:marRight w:val="0"/>
                          <w:marTop w:val="0"/>
                          <w:marBottom w:val="0"/>
                          <w:divBdr>
                            <w:top w:val="none" w:sz="0" w:space="0" w:color="auto"/>
                            <w:left w:val="none" w:sz="0" w:space="0" w:color="auto"/>
                            <w:bottom w:val="none" w:sz="0" w:space="0" w:color="auto"/>
                            <w:right w:val="none" w:sz="0" w:space="0" w:color="auto"/>
                          </w:divBdr>
                          <w:divsChild>
                            <w:div w:id="728964895">
                              <w:marLeft w:val="0"/>
                              <w:marRight w:val="0"/>
                              <w:marTop w:val="0"/>
                              <w:marBottom w:val="0"/>
                              <w:divBdr>
                                <w:top w:val="none" w:sz="0" w:space="0" w:color="auto"/>
                                <w:left w:val="none" w:sz="0" w:space="0" w:color="auto"/>
                                <w:bottom w:val="none" w:sz="0" w:space="0" w:color="auto"/>
                                <w:right w:val="none" w:sz="0" w:space="0" w:color="auto"/>
                              </w:divBdr>
                              <w:divsChild>
                                <w:div w:id="928729779">
                                  <w:marLeft w:val="0"/>
                                  <w:marRight w:val="0"/>
                                  <w:marTop w:val="0"/>
                                  <w:marBottom w:val="150"/>
                                  <w:divBdr>
                                    <w:top w:val="none" w:sz="0" w:space="0" w:color="auto"/>
                                    <w:left w:val="none" w:sz="0" w:space="0" w:color="auto"/>
                                    <w:bottom w:val="double" w:sz="6" w:space="0" w:color="CCCCCC"/>
                                    <w:right w:val="none" w:sz="0" w:space="0" w:color="auto"/>
                                  </w:divBdr>
                                  <w:divsChild>
                                    <w:div w:id="1697002724">
                                      <w:marLeft w:val="0"/>
                                      <w:marRight w:val="0"/>
                                      <w:marTop w:val="0"/>
                                      <w:marBottom w:val="0"/>
                                      <w:divBdr>
                                        <w:top w:val="none" w:sz="0" w:space="0" w:color="auto"/>
                                        <w:left w:val="none" w:sz="0" w:space="0" w:color="auto"/>
                                        <w:bottom w:val="none" w:sz="0" w:space="0" w:color="auto"/>
                                        <w:right w:val="none" w:sz="0" w:space="0" w:color="auto"/>
                                      </w:divBdr>
                                    </w:div>
                                  </w:divsChild>
                                </w:div>
                                <w:div w:id="18978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485667">
      <w:bodyDiv w:val="1"/>
      <w:marLeft w:val="0"/>
      <w:marRight w:val="0"/>
      <w:marTop w:val="0"/>
      <w:marBottom w:val="0"/>
      <w:divBdr>
        <w:top w:val="none" w:sz="0" w:space="0" w:color="auto"/>
        <w:left w:val="none" w:sz="0" w:space="0" w:color="auto"/>
        <w:bottom w:val="none" w:sz="0" w:space="0" w:color="auto"/>
        <w:right w:val="none" w:sz="0" w:space="0" w:color="auto"/>
      </w:divBdr>
      <w:divsChild>
        <w:div w:id="698359972">
          <w:marLeft w:val="2970"/>
          <w:marRight w:val="2970"/>
          <w:marTop w:val="0"/>
          <w:marBottom w:val="0"/>
          <w:divBdr>
            <w:top w:val="none" w:sz="0" w:space="0" w:color="auto"/>
            <w:left w:val="none" w:sz="0" w:space="0" w:color="auto"/>
            <w:bottom w:val="none" w:sz="0" w:space="0" w:color="auto"/>
            <w:right w:val="none" w:sz="0" w:space="0" w:color="auto"/>
          </w:divBdr>
        </w:div>
        <w:div w:id="1184325549">
          <w:marLeft w:val="2850"/>
          <w:marRight w:val="2850"/>
          <w:marTop w:val="0"/>
          <w:marBottom w:val="0"/>
          <w:divBdr>
            <w:top w:val="none" w:sz="0" w:space="0" w:color="auto"/>
            <w:left w:val="none" w:sz="0" w:space="0" w:color="auto"/>
            <w:bottom w:val="none" w:sz="0" w:space="0" w:color="auto"/>
            <w:right w:val="none" w:sz="0" w:space="0" w:color="auto"/>
          </w:divBdr>
          <w:divsChild>
            <w:div w:id="247034072">
              <w:marLeft w:val="-225"/>
              <w:marRight w:val="-225"/>
              <w:marTop w:val="0"/>
              <w:marBottom w:val="0"/>
              <w:divBdr>
                <w:top w:val="none" w:sz="0" w:space="0" w:color="auto"/>
                <w:left w:val="none" w:sz="0" w:space="0" w:color="auto"/>
                <w:bottom w:val="none" w:sz="0" w:space="0" w:color="auto"/>
                <w:right w:val="none" w:sz="0" w:space="0" w:color="auto"/>
              </w:divBdr>
              <w:divsChild>
                <w:div w:id="2122142379">
                  <w:marLeft w:val="0"/>
                  <w:marRight w:val="0"/>
                  <w:marTop w:val="0"/>
                  <w:marBottom w:val="0"/>
                  <w:divBdr>
                    <w:top w:val="none" w:sz="0" w:space="0" w:color="auto"/>
                    <w:left w:val="none" w:sz="0" w:space="0" w:color="auto"/>
                    <w:bottom w:val="none" w:sz="0" w:space="0" w:color="auto"/>
                    <w:right w:val="none" w:sz="0" w:space="0" w:color="auto"/>
                  </w:divBdr>
                  <w:divsChild>
                    <w:div w:id="963848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61212160">
      <w:bodyDiv w:val="1"/>
      <w:marLeft w:val="0"/>
      <w:marRight w:val="0"/>
      <w:marTop w:val="0"/>
      <w:marBottom w:val="0"/>
      <w:divBdr>
        <w:top w:val="none" w:sz="0" w:space="0" w:color="auto"/>
        <w:left w:val="none" w:sz="0" w:space="0" w:color="auto"/>
        <w:bottom w:val="none" w:sz="0" w:space="0" w:color="auto"/>
        <w:right w:val="none" w:sz="0" w:space="0" w:color="auto"/>
      </w:divBdr>
      <w:divsChild>
        <w:div w:id="917716677">
          <w:marLeft w:val="0"/>
          <w:marRight w:val="0"/>
          <w:marTop w:val="0"/>
          <w:marBottom w:val="0"/>
          <w:divBdr>
            <w:top w:val="none" w:sz="0" w:space="0" w:color="auto"/>
            <w:left w:val="none" w:sz="0" w:space="0" w:color="auto"/>
            <w:bottom w:val="none" w:sz="0" w:space="0" w:color="auto"/>
            <w:right w:val="none" w:sz="0" w:space="0" w:color="auto"/>
          </w:divBdr>
          <w:divsChild>
            <w:div w:id="248851854">
              <w:marLeft w:val="0"/>
              <w:marRight w:val="0"/>
              <w:marTop w:val="150"/>
              <w:marBottom w:val="0"/>
              <w:divBdr>
                <w:top w:val="none" w:sz="0" w:space="0" w:color="auto"/>
                <w:left w:val="none" w:sz="0" w:space="0" w:color="auto"/>
                <w:bottom w:val="none" w:sz="0" w:space="0" w:color="auto"/>
                <w:right w:val="none" w:sz="0" w:space="0" w:color="auto"/>
              </w:divBdr>
              <w:divsChild>
                <w:div w:id="172889393">
                  <w:marLeft w:val="0"/>
                  <w:marRight w:val="0"/>
                  <w:marTop w:val="0"/>
                  <w:marBottom w:val="0"/>
                  <w:divBdr>
                    <w:top w:val="none" w:sz="0" w:space="0" w:color="auto"/>
                    <w:left w:val="none" w:sz="0" w:space="0" w:color="auto"/>
                    <w:bottom w:val="none" w:sz="0" w:space="0" w:color="auto"/>
                    <w:right w:val="none" w:sz="0" w:space="0" w:color="auto"/>
                  </w:divBdr>
                  <w:divsChild>
                    <w:div w:id="425270611">
                      <w:marLeft w:val="0"/>
                      <w:marRight w:val="0"/>
                      <w:marTop w:val="0"/>
                      <w:marBottom w:val="0"/>
                      <w:divBdr>
                        <w:top w:val="none" w:sz="0" w:space="0" w:color="auto"/>
                        <w:left w:val="none" w:sz="0" w:space="0" w:color="auto"/>
                        <w:bottom w:val="none" w:sz="0" w:space="0" w:color="auto"/>
                        <w:right w:val="none" w:sz="0" w:space="0" w:color="auto"/>
                      </w:divBdr>
                      <w:divsChild>
                        <w:div w:id="2220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450706">
      <w:bodyDiv w:val="1"/>
      <w:marLeft w:val="0"/>
      <w:marRight w:val="0"/>
      <w:marTop w:val="0"/>
      <w:marBottom w:val="0"/>
      <w:divBdr>
        <w:top w:val="none" w:sz="0" w:space="0" w:color="auto"/>
        <w:left w:val="none" w:sz="0" w:space="0" w:color="auto"/>
        <w:bottom w:val="none" w:sz="0" w:space="0" w:color="auto"/>
        <w:right w:val="none" w:sz="0" w:space="0" w:color="auto"/>
      </w:divBdr>
    </w:div>
    <w:div w:id="562260083">
      <w:bodyDiv w:val="1"/>
      <w:marLeft w:val="0"/>
      <w:marRight w:val="0"/>
      <w:marTop w:val="0"/>
      <w:marBottom w:val="0"/>
      <w:divBdr>
        <w:top w:val="none" w:sz="0" w:space="0" w:color="auto"/>
        <w:left w:val="none" w:sz="0" w:space="0" w:color="auto"/>
        <w:bottom w:val="none" w:sz="0" w:space="0" w:color="auto"/>
        <w:right w:val="none" w:sz="0" w:space="0" w:color="auto"/>
      </w:divBdr>
      <w:divsChild>
        <w:div w:id="788738643">
          <w:marLeft w:val="0"/>
          <w:marRight w:val="0"/>
          <w:marTop w:val="0"/>
          <w:marBottom w:val="0"/>
          <w:divBdr>
            <w:top w:val="none" w:sz="0" w:space="0" w:color="auto"/>
            <w:left w:val="none" w:sz="0" w:space="0" w:color="auto"/>
            <w:bottom w:val="none" w:sz="0" w:space="0" w:color="auto"/>
            <w:right w:val="none" w:sz="0" w:space="0" w:color="auto"/>
          </w:divBdr>
          <w:divsChild>
            <w:div w:id="1789008178">
              <w:marLeft w:val="0"/>
              <w:marRight w:val="0"/>
              <w:marTop w:val="0"/>
              <w:marBottom w:val="0"/>
              <w:divBdr>
                <w:top w:val="none" w:sz="0" w:space="0" w:color="auto"/>
                <w:left w:val="none" w:sz="0" w:space="0" w:color="auto"/>
                <w:bottom w:val="none" w:sz="0" w:space="0" w:color="auto"/>
                <w:right w:val="none" w:sz="0" w:space="0" w:color="auto"/>
              </w:divBdr>
              <w:divsChild>
                <w:div w:id="1799839273">
                  <w:marLeft w:val="0"/>
                  <w:marRight w:val="0"/>
                  <w:marTop w:val="0"/>
                  <w:marBottom w:val="0"/>
                  <w:divBdr>
                    <w:top w:val="none" w:sz="0" w:space="0" w:color="auto"/>
                    <w:left w:val="none" w:sz="0" w:space="0" w:color="auto"/>
                    <w:bottom w:val="none" w:sz="0" w:space="0" w:color="auto"/>
                    <w:right w:val="none" w:sz="0" w:space="0" w:color="auto"/>
                  </w:divBdr>
                  <w:divsChild>
                    <w:div w:id="1337686671">
                      <w:marLeft w:val="0"/>
                      <w:marRight w:val="0"/>
                      <w:marTop w:val="300"/>
                      <w:marBottom w:val="600"/>
                      <w:divBdr>
                        <w:top w:val="none" w:sz="0" w:space="0" w:color="auto"/>
                        <w:left w:val="none" w:sz="0" w:space="0" w:color="auto"/>
                        <w:bottom w:val="none" w:sz="0" w:space="0" w:color="auto"/>
                        <w:right w:val="none" w:sz="0" w:space="0" w:color="auto"/>
                      </w:divBdr>
                      <w:divsChild>
                        <w:div w:id="1317882120">
                          <w:marLeft w:val="0"/>
                          <w:marRight w:val="0"/>
                          <w:marTop w:val="0"/>
                          <w:marBottom w:val="0"/>
                          <w:divBdr>
                            <w:top w:val="none" w:sz="0" w:space="0" w:color="auto"/>
                            <w:left w:val="none" w:sz="0" w:space="0" w:color="auto"/>
                            <w:bottom w:val="none" w:sz="0" w:space="0" w:color="auto"/>
                            <w:right w:val="none" w:sz="0" w:space="0" w:color="auto"/>
                          </w:divBdr>
                          <w:divsChild>
                            <w:div w:id="1345747628">
                              <w:marLeft w:val="0"/>
                              <w:marRight w:val="0"/>
                              <w:marTop w:val="0"/>
                              <w:marBottom w:val="0"/>
                              <w:divBdr>
                                <w:top w:val="none" w:sz="0" w:space="0" w:color="auto"/>
                                <w:left w:val="none" w:sz="0" w:space="0" w:color="auto"/>
                                <w:bottom w:val="none" w:sz="0" w:space="0" w:color="auto"/>
                                <w:right w:val="none" w:sz="0" w:space="0" w:color="auto"/>
                              </w:divBdr>
                              <w:divsChild>
                                <w:div w:id="1753627207">
                                  <w:marLeft w:val="0"/>
                                  <w:marRight w:val="0"/>
                                  <w:marTop w:val="0"/>
                                  <w:marBottom w:val="0"/>
                                  <w:divBdr>
                                    <w:top w:val="none" w:sz="0" w:space="0" w:color="auto"/>
                                    <w:left w:val="none" w:sz="0" w:space="0" w:color="auto"/>
                                    <w:bottom w:val="none" w:sz="0" w:space="0" w:color="auto"/>
                                    <w:right w:val="none" w:sz="0" w:space="0" w:color="auto"/>
                                  </w:divBdr>
                                  <w:divsChild>
                                    <w:div w:id="58598428">
                                      <w:marLeft w:val="0"/>
                                      <w:marRight w:val="0"/>
                                      <w:marTop w:val="150"/>
                                      <w:marBottom w:val="0"/>
                                      <w:divBdr>
                                        <w:top w:val="none" w:sz="0" w:space="0" w:color="auto"/>
                                        <w:left w:val="none" w:sz="0" w:space="0" w:color="auto"/>
                                        <w:bottom w:val="none" w:sz="0" w:space="0" w:color="auto"/>
                                        <w:right w:val="none" w:sz="0" w:space="0" w:color="auto"/>
                                      </w:divBdr>
                                      <w:divsChild>
                                        <w:div w:id="2108842791">
                                          <w:marLeft w:val="0"/>
                                          <w:marRight w:val="0"/>
                                          <w:marTop w:val="0"/>
                                          <w:marBottom w:val="0"/>
                                          <w:divBdr>
                                            <w:top w:val="none" w:sz="0" w:space="0" w:color="auto"/>
                                            <w:left w:val="none" w:sz="0" w:space="0" w:color="auto"/>
                                            <w:bottom w:val="none" w:sz="0" w:space="0" w:color="auto"/>
                                            <w:right w:val="none" w:sz="0" w:space="0" w:color="auto"/>
                                          </w:divBdr>
                                          <w:divsChild>
                                            <w:div w:id="908076792">
                                              <w:marLeft w:val="0"/>
                                              <w:marRight w:val="0"/>
                                              <w:marTop w:val="0"/>
                                              <w:marBottom w:val="0"/>
                                              <w:divBdr>
                                                <w:top w:val="none" w:sz="0" w:space="0" w:color="auto"/>
                                                <w:left w:val="none" w:sz="0" w:space="0" w:color="auto"/>
                                                <w:bottom w:val="none" w:sz="0" w:space="0" w:color="auto"/>
                                                <w:right w:val="none" w:sz="0" w:space="0" w:color="auto"/>
                                              </w:divBdr>
                                              <w:divsChild>
                                                <w:div w:id="12433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2303026">
      <w:bodyDiv w:val="1"/>
      <w:marLeft w:val="0"/>
      <w:marRight w:val="0"/>
      <w:marTop w:val="0"/>
      <w:marBottom w:val="0"/>
      <w:divBdr>
        <w:top w:val="none" w:sz="0" w:space="0" w:color="auto"/>
        <w:left w:val="none" w:sz="0" w:space="0" w:color="auto"/>
        <w:bottom w:val="none" w:sz="0" w:space="0" w:color="auto"/>
        <w:right w:val="none" w:sz="0" w:space="0" w:color="auto"/>
      </w:divBdr>
    </w:div>
    <w:div w:id="562523073">
      <w:bodyDiv w:val="1"/>
      <w:marLeft w:val="0"/>
      <w:marRight w:val="0"/>
      <w:marTop w:val="0"/>
      <w:marBottom w:val="0"/>
      <w:divBdr>
        <w:top w:val="none" w:sz="0" w:space="0" w:color="auto"/>
        <w:left w:val="none" w:sz="0" w:space="0" w:color="auto"/>
        <w:bottom w:val="none" w:sz="0" w:space="0" w:color="auto"/>
        <w:right w:val="none" w:sz="0" w:space="0" w:color="auto"/>
      </w:divBdr>
      <w:divsChild>
        <w:div w:id="1048531287">
          <w:marLeft w:val="0"/>
          <w:marRight w:val="0"/>
          <w:marTop w:val="0"/>
          <w:marBottom w:val="0"/>
          <w:divBdr>
            <w:top w:val="none" w:sz="0" w:space="0" w:color="auto"/>
            <w:left w:val="none" w:sz="0" w:space="0" w:color="auto"/>
            <w:bottom w:val="none" w:sz="0" w:space="0" w:color="auto"/>
            <w:right w:val="none" w:sz="0" w:space="0" w:color="auto"/>
          </w:divBdr>
          <w:divsChild>
            <w:div w:id="1557667286">
              <w:marLeft w:val="0"/>
              <w:marRight w:val="0"/>
              <w:marTop w:val="0"/>
              <w:marBottom w:val="0"/>
              <w:divBdr>
                <w:top w:val="none" w:sz="0" w:space="0" w:color="auto"/>
                <w:left w:val="none" w:sz="0" w:space="0" w:color="auto"/>
                <w:bottom w:val="none" w:sz="0" w:space="0" w:color="auto"/>
                <w:right w:val="none" w:sz="0" w:space="0" w:color="auto"/>
              </w:divBdr>
              <w:divsChild>
                <w:div w:id="165945125">
                  <w:marLeft w:val="0"/>
                  <w:marRight w:val="0"/>
                  <w:marTop w:val="0"/>
                  <w:marBottom w:val="0"/>
                  <w:divBdr>
                    <w:top w:val="none" w:sz="0" w:space="0" w:color="auto"/>
                    <w:left w:val="none" w:sz="0" w:space="0" w:color="auto"/>
                    <w:bottom w:val="none" w:sz="0" w:space="0" w:color="auto"/>
                    <w:right w:val="none" w:sz="0" w:space="0" w:color="auto"/>
                  </w:divBdr>
                  <w:divsChild>
                    <w:div w:id="103116111">
                      <w:marLeft w:val="0"/>
                      <w:marRight w:val="0"/>
                      <w:marTop w:val="0"/>
                      <w:marBottom w:val="0"/>
                      <w:divBdr>
                        <w:top w:val="none" w:sz="0" w:space="0" w:color="auto"/>
                        <w:left w:val="none" w:sz="0" w:space="0" w:color="auto"/>
                        <w:bottom w:val="none" w:sz="0" w:space="0" w:color="auto"/>
                        <w:right w:val="none" w:sz="0" w:space="0" w:color="auto"/>
                      </w:divBdr>
                      <w:divsChild>
                        <w:div w:id="1828788226">
                          <w:marLeft w:val="0"/>
                          <w:marRight w:val="0"/>
                          <w:marTop w:val="0"/>
                          <w:marBottom w:val="0"/>
                          <w:divBdr>
                            <w:top w:val="none" w:sz="0" w:space="0" w:color="auto"/>
                            <w:left w:val="none" w:sz="0" w:space="0" w:color="auto"/>
                            <w:bottom w:val="none" w:sz="0" w:space="0" w:color="auto"/>
                            <w:right w:val="none" w:sz="0" w:space="0" w:color="auto"/>
                          </w:divBdr>
                          <w:divsChild>
                            <w:div w:id="1999767639">
                              <w:marLeft w:val="0"/>
                              <w:marRight w:val="0"/>
                              <w:marTop w:val="0"/>
                              <w:marBottom w:val="0"/>
                              <w:divBdr>
                                <w:top w:val="none" w:sz="0" w:space="0" w:color="auto"/>
                                <w:left w:val="none" w:sz="0" w:space="0" w:color="auto"/>
                                <w:bottom w:val="none" w:sz="0" w:space="0" w:color="auto"/>
                                <w:right w:val="none" w:sz="0" w:space="0" w:color="auto"/>
                              </w:divBdr>
                              <w:divsChild>
                                <w:div w:id="335619628">
                                  <w:marLeft w:val="0"/>
                                  <w:marRight w:val="0"/>
                                  <w:marTop w:val="0"/>
                                  <w:marBottom w:val="0"/>
                                  <w:divBdr>
                                    <w:top w:val="none" w:sz="0" w:space="0" w:color="auto"/>
                                    <w:left w:val="none" w:sz="0" w:space="0" w:color="auto"/>
                                    <w:bottom w:val="none" w:sz="0" w:space="0" w:color="auto"/>
                                    <w:right w:val="none" w:sz="0" w:space="0" w:color="auto"/>
                                  </w:divBdr>
                                  <w:divsChild>
                                    <w:div w:id="1951231291">
                                      <w:marLeft w:val="0"/>
                                      <w:marRight w:val="0"/>
                                      <w:marTop w:val="0"/>
                                      <w:marBottom w:val="0"/>
                                      <w:divBdr>
                                        <w:top w:val="none" w:sz="0" w:space="0" w:color="auto"/>
                                        <w:left w:val="none" w:sz="0" w:space="0" w:color="auto"/>
                                        <w:bottom w:val="none" w:sz="0" w:space="0" w:color="auto"/>
                                        <w:right w:val="none" w:sz="0" w:space="0" w:color="auto"/>
                                      </w:divBdr>
                                      <w:divsChild>
                                        <w:div w:id="1959799731">
                                          <w:marLeft w:val="0"/>
                                          <w:marRight w:val="0"/>
                                          <w:marTop w:val="0"/>
                                          <w:marBottom w:val="0"/>
                                          <w:divBdr>
                                            <w:top w:val="none" w:sz="0" w:space="0" w:color="auto"/>
                                            <w:left w:val="none" w:sz="0" w:space="0" w:color="auto"/>
                                            <w:bottom w:val="none" w:sz="0" w:space="0" w:color="auto"/>
                                            <w:right w:val="none" w:sz="0" w:space="0" w:color="auto"/>
                                          </w:divBdr>
                                          <w:divsChild>
                                            <w:div w:id="259801322">
                                              <w:marLeft w:val="0"/>
                                              <w:marRight w:val="0"/>
                                              <w:marTop w:val="0"/>
                                              <w:marBottom w:val="0"/>
                                              <w:divBdr>
                                                <w:top w:val="none" w:sz="0" w:space="0" w:color="auto"/>
                                                <w:left w:val="none" w:sz="0" w:space="0" w:color="auto"/>
                                                <w:bottom w:val="none" w:sz="0" w:space="0" w:color="auto"/>
                                                <w:right w:val="none" w:sz="0" w:space="0" w:color="auto"/>
                                              </w:divBdr>
                                              <w:divsChild>
                                                <w:div w:id="1221818397">
                                                  <w:marLeft w:val="0"/>
                                                  <w:marRight w:val="0"/>
                                                  <w:marTop w:val="0"/>
                                                  <w:marBottom w:val="0"/>
                                                  <w:divBdr>
                                                    <w:top w:val="none" w:sz="0" w:space="0" w:color="auto"/>
                                                    <w:left w:val="none" w:sz="0" w:space="0" w:color="auto"/>
                                                    <w:bottom w:val="none" w:sz="0" w:space="0" w:color="auto"/>
                                                    <w:right w:val="none" w:sz="0" w:space="0" w:color="auto"/>
                                                  </w:divBdr>
                                                  <w:divsChild>
                                                    <w:div w:id="81993635">
                                                      <w:marLeft w:val="0"/>
                                                      <w:marRight w:val="0"/>
                                                      <w:marTop w:val="0"/>
                                                      <w:marBottom w:val="0"/>
                                                      <w:divBdr>
                                                        <w:top w:val="none" w:sz="0" w:space="0" w:color="auto"/>
                                                        <w:left w:val="none" w:sz="0" w:space="0" w:color="auto"/>
                                                        <w:bottom w:val="none" w:sz="0" w:space="0" w:color="auto"/>
                                                        <w:right w:val="none" w:sz="0" w:space="0" w:color="auto"/>
                                                      </w:divBdr>
                                                      <w:divsChild>
                                                        <w:div w:id="7322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2639984">
      <w:bodyDiv w:val="1"/>
      <w:marLeft w:val="0"/>
      <w:marRight w:val="0"/>
      <w:marTop w:val="0"/>
      <w:marBottom w:val="0"/>
      <w:divBdr>
        <w:top w:val="none" w:sz="0" w:space="0" w:color="auto"/>
        <w:left w:val="none" w:sz="0" w:space="0" w:color="auto"/>
        <w:bottom w:val="none" w:sz="0" w:space="0" w:color="auto"/>
        <w:right w:val="none" w:sz="0" w:space="0" w:color="auto"/>
      </w:divBdr>
      <w:divsChild>
        <w:div w:id="1317146209">
          <w:marLeft w:val="0"/>
          <w:marRight w:val="0"/>
          <w:marTop w:val="150"/>
          <w:marBottom w:val="0"/>
          <w:divBdr>
            <w:top w:val="none" w:sz="0" w:space="0" w:color="auto"/>
            <w:left w:val="none" w:sz="0" w:space="0" w:color="auto"/>
            <w:bottom w:val="none" w:sz="0" w:space="0" w:color="auto"/>
            <w:right w:val="none" w:sz="0" w:space="0" w:color="auto"/>
          </w:divBdr>
          <w:divsChild>
            <w:div w:id="1184437602">
              <w:marLeft w:val="2"/>
              <w:marRight w:val="2"/>
              <w:marTop w:val="0"/>
              <w:marBottom w:val="0"/>
              <w:divBdr>
                <w:top w:val="none" w:sz="0" w:space="0" w:color="auto"/>
                <w:left w:val="none" w:sz="0" w:space="0" w:color="auto"/>
                <w:bottom w:val="none" w:sz="0" w:space="0" w:color="auto"/>
                <w:right w:val="none" w:sz="0" w:space="0" w:color="auto"/>
              </w:divBdr>
              <w:divsChild>
                <w:div w:id="835806821">
                  <w:marLeft w:val="0"/>
                  <w:marRight w:val="0"/>
                  <w:marTop w:val="0"/>
                  <w:marBottom w:val="0"/>
                  <w:divBdr>
                    <w:top w:val="none" w:sz="0" w:space="0" w:color="auto"/>
                    <w:left w:val="none" w:sz="0" w:space="0" w:color="auto"/>
                    <w:bottom w:val="none" w:sz="0" w:space="0" w:color="auto"/>
                    <w:right w:val="none" w:sz="0" w:space="0" w:color="auto"/>
                  </w:divBdr>
                  <w:divsChild>
                    <w:div w:id="399057477">
                      <w:marLeft w:val="0"/>
                      <w:marRight w:val="0"/>
                      <w:marTop w:val="0"/>
                      <w:marBottom w:val="0"/>
                      <w:divBdr>
                        <w:top w:val="none" w:sz="0" w:space="0" w:color="auto"/>
                        <w:left w:val="none" w:sz="0" w:space="0" w:color="auto"/>
                        <w:bottom w:val="none" w:sz="0" w:space="0" w:color="auto"/>
                        <w:right w:val="none" w:sz="0" w:space="0" w:color="auto"/>
                      </w:divBdr>
                      <w:divsChild>
                        <w:div w:id="1958179979">
                          <w:marLeft w:val="0"/>
                          <w:marRight w:val="0"/>
                          <w:marTop w:val="0"/>
                          <w:marBottom w:val="0"/>
                          <w:divBdr>
                            <w:top w:val="none" w:sz="0" w:space="0" w:color="auto"/>
                            <w:left w:val="none" w:sz="0" w:space="0" w:color="auto"/>
                            <w:bottom w:val="none" w:sz="0" w:space="0" w:color="auto"/>
                            <w:right w:val="none" w:sz="0" w:space="0" w:color="auto"/>
                          </w:divBdr>
                          <w:divsChild>
                            <w:div w:id="327903012">
                              <w:marLeft w:val="0"/>
                              <w:marRight w:val="0"/>
                              <w:marTop w:val="0"/>
                              <w:marBottom w:val="0"/>
                              <w:divBdr>
                                <w:top w:val="none" w:sz="0" w:space="0" w:color="auto"/>
                                <w:left w:val="none" w:sz="0" w:space="0" w:color="auto"/>
                                <w:bottom w:val="none" w:sz="0" w:space="0" w:color="auto"/>
                                <w:right w:val="none" w:sz="0" w:space="0" w:color="auto"/>
                              </w:divBdr>
                              <w:divsChild>
                                <w:div w:id="875854867">
                                  <w:marLeft w:val="0"/>
                                  <w:marRight w:val="0"/>
                                  <w:marTop w:val="0"/>
                                  <w:marBottom w:val="0"/>
                                  <w:divBdr>
                                    <w:top w:val="none" w:sz="0" w:space="0" w:color="auto"/>
                                    <w:left w:val="none" w:sz="0" w:space="0" w:color="auto"/>
                                    <w:bottom w:val="none" w:sz="0" w:space="0" w:color="auto"/>
                                    <w:right w:val="none" w:sz="0" w:space="0" w:color="auto"/>
                                  </w:divBdr>
                                  <w:divsChild>
                                    <w:div w:id="1660035306">
                                      <w:marLeft w:val="0"/>
                                      <w:marRight w:val="0"/>
                                      <w:marTop w:val="0"/>
                                      <w:marBottom w:val="0"/>
                                      <w:divBdr>
                                        <w:top w:val="none" w:sz="0" w:space="0" w:color="auto"/>
                                        <w:left w:val="none" w:sz="0" w:space="0" w:color="auto"/>
                                        <w:bottom w:val="none" w:sz="0" w:space="0" w:color="auto"/>
                                        <w:right w:val="none" w:sz="0" w:space="0" w:color="auto"/>
                                      </w:divBdr>
                                      <w:divsChild>
                                        <w:div w:id="48042488">
                                          <w:marLeft w:val="0"/>
                                          <w:marRight w:val="0"/>
                                          <w:marTop w:val="0"/>
                                          <w:marBottom w:val="0"/>
                                          <w:divBdr>
                                            <w:top w:val="none" w:sz="0" w:space="0" w:color="auto"/>
                                            <w:left w:val="none" w:sz="0" w:space="0" w:color="auto"/>
                                            <w:bottom w:val="none" w:sz="0" w:space="0" w:color="auto"/>
                                            <w:right w:val="none" w:sz="0" w:space="0" w:color="auto"/>
                                          </w:divBdr>
                                          <w:divsChild>
                                            <w:div w:id="1549606862">
                                              <w:marLeft w:val="0"/>
                                              <w:marRight w:val="0"/>
                                              <w:marTop w:val="0"/>
                                              <w:marBottom w:val="0"/>
                                              <w:divBdr>
                                                <w:top w:val="none" w:sz="0" w:space="0" w:color="auto"/>
                                                <w:left w:val="none" w:sz="0" w:space="0" w:color="auto"/>
                                                <w:bottom w:val="none" w:sz="0" w:space="0" w:color="auto"/>
                                                <w:right w:val="none" w:sz="0" w:space="0" w:color="auto"/>
                                              </w:divBdr>
                                              <w:divsChild>
                                                <w:div w:id="919366462">
                                                  <w:marLeft w:val="0"/>
                                                  <w:marRight w:val="0"/>
                                                  <w:marTop w:val="0"/>
                                                  <w:marBottom w:val="0"/>
                                                  <w:divBdr>
                                                    <w:top w:val="none" w:sz="0" w:space="0" w:color="auto"/>
                                                    <w:left w:val="none" w:sz="0" w:space="0" w:color="auto"/>
                                                    <w:bottom w:val="none" w:sz="0" w:space="0" w:color="auto"/>
                                                    <w:right w:val="none" w:sz="0" w:space="0" w:color="auto"/>
                                                  </w:divBdr>
                                                </w:div>
                                              </w:divsChild>
                                            </w:div>
                                            <w:div w:id="682630530">
                                              <w:marLeft w:val="0"/>
                                              <w:marRight w:val="0"/>
                                              <w:marTop w:val="0"/>
                                              <w:marBottom w:val="0"/>
                                              <w:divBdr>
                                                <w:top w:val="none" w:sz="0" w:space="0" w:color="auto"/>
                                                <w:left w:val="none" w:sz="0" w:space="0" w:color="auto"/>
                                                <w:bottom w:val="none" w:sz="0" w:space="0" w:color="auto"/>
                                                <w:right w:val="none" w:sz="0" w:space="0" w:color="auto"/>
                                              </w:divBdr>
                                              <w:divsChild>
                                                <w:div w:id="833911167">
                                                  <w:marLeft w:val="0"/>
                                                  <w:marRight w:val="0"/>
                                                  <w:marTop w:val="0"/>
                                                  <w:marBottom w:val="0"/>
                                                  <w:divBdr>
                                                    <w:top w:val="none" w:sz="0" w:space="0" w:color="auto"/>
                                                    <w:left w:val="none" w:sz="0" w:space="0" w:color="auto"/>
                                                    <w:bottom w:val="none" w:sz="0" w:space="0" w:color="auto"/>
                                                    <w:right w:val="none" w:sz="0" w:space="0" w:color="auto"/>
                                                  </w:divBdr>
                                                </w:div>
                                              </w:divsChild>
                                            </w:div>
                                            <w:div w:id="666978190">
                                              <w:marLeft w:val="0"/>
                                              <w:marRight w:val="0"/>
                                              <w:marTop w:val="0"/>
                                              <w:marBottom w:val="0"/>
                                              <w:divBdr>
                                                <w:top w:val="none" w:sz="0" w:space="0" w:color="auto"/>
                                                <w:left w:val="none" w:sz="0" w:space="0" w:color="auto"/>
                                                <w:bottom w:val="none" w:sz="0" w:space="0" w:color="auto"/>
                                                <w:right w:val="none" w:sz="0" w:space="0" w:color="auto"/>
                                              </w:divBdr>
                                              <w:divsChild>
                                                <w:div w:id="486409401">
                                                  <w:marLeft w:val="0"/>
                                                  <w:marRight w:val="0"/>
                                                  <w:marTop w:val="0"/>
                                                  <w:marBottom w:val="0"/>
                                                  <w:divBdr>
                                                    <w:top w:val="none" w:sz="0" w:space="0" w:color="auto"/>
                                                    <w:left w:val="none" w:sz="0" w:space="0" w:color="auto"/>
                                                    <w:bottom w:val="none" w:sz="0" w:space="0" w:color="auto"/>
                                                    <w:right w:val="none" w:sz="0" w:space="0" w:color="auto"/>
                                                  </w:divBdr>
                                                </w:div>
                                              </w:divsChild>
                                            </w:div>
                                            <w:div w:id="1305240176">
                                              <w:marLeft w:val="0"/>
                                              <w:marRight w:val="0"/>
                                              <w:marTop w:val="0"/>
                                              <w:marBottom w:val="0"/>
                                              <w:divBdr>
                                                <w:top w:val="none" w:sz="0" w:space="0" w:color="auto"/>
                                                <w:left w:val="none" w:sz="0" w:space="0" w:color="auto"/>
                                                <w:bottom w:val="none" w:sz="0" w:space="0" w:color="auto"/>
                                                <w:right w:val="none" w:sz="0" w:space="0" w:color="auto"/>
                                              </w:divBdr>
                                              <w:divsChild>
                                                <w:div w:id="9473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185692">
      <w:bodyDiv w:val="1"/>
      <w:marLeft w:val="0"/>
      <w:marRight w:val="0"/>
      <w:marTop w:val="0"/>
      <w:marBottom w:val="0"/>
      <w:divBdr>
        <w:top w:val="none" w:sz="0" w:space="0" w:color="auto"/>
        <w:left w:val="none" w:sz="0" w:space="0" w:color="auto"/>
        <w:bottom w:val="none" w:sz="0" w:space="0" w:color="auto"/>
        <w:right w:val="none" w:sz="0" w:space="0" w:color="auto"/>
      </w:divBdr>
      <w:divsChild>
        <w:div w:id="1169831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722896">
      <w:bodyDiv w:val="1"/>
      <w:marLeft w:val="0"/>
      <w:marRight w:val="0"/>
      <w:marTop w:val="0"/>
      <w:marBottom w:val="0"/>
      <w:divBdr>
        <w:top w:val="none" w:sz="0" w:space="0" w:color="auto"/>
        <w:left w:val="none" w:sz="0" w:space="0" w:color="auto"/>
        <w:bottom w:val="none" w:sz="0" w:space="0" w:color="auto"/>
        <w:right w:val="none" w:sz="0" w:space="0" w:color="auto"/>
      </w:divBdr>
      <w:divsChild>
        <w:div w:id="981472061">
          <w:marLeft w:val="0"/>
          <w:marRight w:val="0"/>
          <w:marTop w:val="0"/>
          <w:marBottom w:val="0"/>
          <w:divBdr>
            <w:top w:val="none" w:sz="0" w:space="0" w:color="auto"/>
            <w:left w:val="none" w:sz="0" w:space="0" w:color="auto"/>
            <w:bottom w:val="none" w:sz="0" w:space="0" w:color="auto"/>
            <w:right w:val="none" w:sz="0" w:space="0" w:color="auto"/>
          </w:divBdr>
          <w:divsChild>
            <w:div w:id="1316491400">
              <w:marLeft w:val="0"/>
              <w:marRight w:val="0"/>
              <w:marTop w:val="0"/>
              <w:marBottom w:val="0"/>
              <w:divBdr>
                <w:top w:val="none" w:sz="0" w:space="0" w:color="auto"/>
                <w:left w:val="none" w:sz="0" w:space="0" w:color="auto"/>
                <w:bottom w:val="none" w:sz="0" w:space="0" w:color="auto"/>
                <w:right w:val="none" w:sz="0" w:space="0" w:color="auto"/>
              </w:divBdr>
              <w:divsChild>
                <w:div w:id="152380167">
                  <w:marLeft w:val="0"/>
                  <w:marRight w:val="0"/>
                  <w:marTop w:val="0"/>
                  <w:marBottom w:val="0"/>
                  <w:divBdr>
                    <w:top w:val="none" w:sz="0" w:space="0" w:color="auto"/>
                    <w:left w:val="none" w:sz="0" w:space="0" w:color="auto"/>
                    <w:bottom w:val="none" w:sz="0" w:space="0" w:color="auto"/>
                    <w:right w:val="none" w:sz="0" w:space="0" w:color="auto"/>
                  </w:divBdr>
                  <w:divsChild>
                    <w:div w:id="1009988248">
                      <w:marLeft w:val="0"/>
                      <w:marRight w:val="0"/>
                      <w:marTop w:val="0"/>
                      <w:marBottom w:val="0"/>
                      <w:divBdr>
                        <w:top w:val="none" w:sz="0" w:space="0" w:color="auto"/>
                        <w:left w:val="none" w:sz="0" w:space="0" w:color="auto"/>
                        <w:bottom w:val="none" w:sz="0" w:space="0" w:color="auto"/>
                        <w:right w:val="none" w:sz="0" w:space="0" w:color="auto"/>
                      </w:divBdr>
                      <w:divsChild>
                        <w:div w:id="421947808">
                          <w:marLeft w:val="0"/>
                          <w:marRight w:val="0"/>
                          <w:marTop w:val="0"/>
                          <w:marBottom w:val="0"/>
                          <w:divBdr>
                            <w:top w:val="none" w:sz="0" w:space="0" w:color="auto"/>
                            <w:left w:val="none" w:sz="0" w:space="0" w:color="auto"/>
                            <w:bottom w:val="none" w:sz="0" w:space="0" w:color="auto"/>
                            <w:right w:val="none" w:sz="0" w:space="0" w:color="auto"/>
                          </w:divBdr>
                          <w:divsChild>
                            <w:div w:id="251092669">
                              <w:marLeft w:val="0"/>
                              <w:marRight w:val="0"/>
                              <w:marTop w:val="0"/>
                              <w:marBottom w:val="0"/>
                              <w:divBdr>
                                <w:top w:val="none" w:sz="0" w:space="0" w:color="auto"/>
                                <w:left w:val="none" w:sz="0" w:space="0" w:color="auto"/>
                                <w:bottom w:val="none" w:sz="0" w:space="0" w:color="auto"/>
                                <w:right w:val="none" w:sz="0" w:space="0" w:color="auto"/>
                              </w:divBdr>
                              <w:divsChild>
                                <w:div w:id="715617792">
                                  <w:marLeft w:val="0"/>
                                  <w:marRight w:val="0"/>
                                  <w:marTop w:val="0"/>
                                  <w:marBottom w:val="0"/>
                                  <w:divBdr>
                                    <w:top w:val="none" w:sz="0" w:space="0" w:color="auto"/>
                                    <w:left w:val="none" w:sz="0" w:space="0" w:color="auto"/>
                                    <w:bottom w:val="none" w:sz="0" w:space="0" w:color="auto"/>
                                    <w:right w:val="none" w:sz="0" w:space="0" w:color="auto"/>
                                  </w:divBdr>
                                  <w:divsChild>
                                    <w:div w:id="2137602073">
                                      <w:marLeft w:val="0"/>
                                      <w:marRight w:val="0"/>
                                      <w:marTop w:val="0"/>
                                      <w:marBottom w:val="0"/>
                                      <w:divBdr>
                                        <w:top w:val="none" w:sz="0" w:space="0" w:color="auto"/>
                                        <w:left w:val="none" w:sz="0" w:space="0" w:color="auto"/>
                                        <w:bottom w:val="none" w:sz="0" w:space="0" w:color="auto"/>
                                        <w:right w:val="none" w:sz="0" w:space="0" w:color="auto"/>
                                      </w:divBdr>
                                      <w:divsChild>
                                        <w:div w:id="1687563010">
                                          <w:marLeft w:val="0"/>
                                          <w:marRight w:val="0"/>
                                          <w:marTop w:val="0"/>
                                          <w:marBottom w:val="0"/>
                                          <w:divBdr>
                                            <w:top w:val="none" w:sz="0" w:space="0" w:color="auto"/>
                                            <w:left w:val="none" w:sz="0" w:space="0" w:color="auto"/>
                                            <w:bottom w:val="none" w:sz="0" w:space="0" w:color="auto"/>
                                            <w:right w:val="none" w:sz="0" w:space="0" w:color="auto"/>
                                          </w:divBdr>
                                          <w:divsChild>
                                            <w:div w:id="1292517446">
                                              <w:marLeft w:val="0"/>
                                              <w:marRight w:val="0"/>
                                              <w:marTop w:val="0"/>
                                              <w:marBottom w:val="0"/>
                                              <w:divBdr>
                                                <w:top w:val="none" w:sz="0" w:space="0" w:color="auto"/>
                                                <w:left w:val="none" w:sz="0" w:space="0" w:color="auto"/>
                                                <w:bottom w:val="none" w:sz="0" w:space="0" w:color="auto"/>
                                                <w:right w:val="none" w:sz="0" w:space="0" w:color="auto"/>
                                              </w:divBdr>
                                              <w:divsChild>
                                                <w:div w:id="995763862">
                                                  <w:marLeft w:val="0"/>
                                                  <w:marRight w:val="0"/>
                                                  <w:marTop w:val="0"/>
                                                  <w:marBottom w:val="0"/>
                                                  <w:divBdr>
                                                    <w:top w:val="none" w:sz="0" w:space="0" w:color="auto"/>
                                                    <w:left w:val="none" w:sz="0" w:space="0" w:color="auto"/>
                                                    <w:bottom w:val="none" w:sz="0" w:space="0" w:color="auto"/>
                                                    <w:right w:val="none" w:sz="0" w:space="0" w:color="auto"/>
                                                  </w:divBdr>
                                                  <w:divsChild>
                                                    <w:div w:id="488908904">
                                                      <w:marLeft w:val="0"/>
                                                      <w:marRight w:val="0"/>
                                                      <w:marTop w:val="0"/>
                                                      <w:marBottom w:val="0"/>
                                                      <w:divBdr>
                                                        <w:top w:val="none" w:sz="0" w:space="0" w:color="auto"/>
                                                        <w:left w:val="none" w:sz="0" w:space="0" w:color="auto"/>
                                                        <w:bottom w:val="none" w:sz="0" w:space="0" w:color="auto"/>
                                                        <w:right w:val="none" w:sz="0" w:space="0" w:color="auto"/>
                                                      </w:divBdr>
                                                      <w:divsChild>
                                                        <w:div w:id="1774859687">
                                                          <w:marLeft w:val="0"/>
                                                          <w:marRight w:val="0"/>
                                                          <w:marTop w:val="0"/>
                                                          <w:marBottom w:val="0"/>
                                                          <w:divBdr>
                                                            <w:top w:val="none" w:sz="0" w:space="0" w:color="auto"/>
                                                            <w:left w:val="none" w:sz="0" w:space="0" w:color="auto"/>
                                                            <w:bottom w:val="none" w:sz="0" w:space="0" w:color="auto"/>
                                                            <w:right w:val="none" w:sz="0" w:space="0" w:color="auto"/>
                                                          </w:divBdr>
                                                        </w:div>
                                                        <w:div w:id="1682705343">
                                                          <w:marLeft w:val="0"/>
                                                          <w:marRight w:val="0"/>
                                                          <w:marTop w:val="0"/>
                                                          <w:marBottom w:val="0"/>
                                                          <w:divBdr>
                                                            <w:top w:val="none" w:sz="0" w:space="0" w:color="auto"/>
                                                            <w:left w:val="none" w:sz="0" w:space="0" w:color="auto"/>
                                                            <w:bottom w:val="none" w:sz="0" w:space="0" w:color="auto"/>
                                                            <w:right w:val="none" w:sz="0" w:space="0" w:color="auto"/>
                                                          </w:divBdr>
                                                          <w:divsChild>
                                                            <w:div w:id="14093079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6233970">
      <w:bodyDiv w:val="1"/>
      <w:marLeft w:val="0"/>
      <w:marRight w:val="0"/>
      <w:marTop w:val="0"/>
      <w:marBottom w:val="0"/>
      <w:divBdr>
        <w:top w:val="none" w:sz="0" w:space="0" w:color="auto"/>
        <w:left w:val="none" w:sz="0" w:space="0" w:color="auto"/>
        <w:bottom w:val="none" w:sz="0" w:space="0" w:color="auto"/>
        <w:right w:val="none" w:sz="0" w:space="0" w:color="auto"/>
      </w:divBdr>
    </w:div>
    <w:div w:id="56665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0681">
          <w:marLeft w:val="0"/>
          <w:marRight w:val="0"/>
          <w:marTop w:val="0"/>
          <w:marBottom w:val="0"/>
          <w:divBdr>
            <w:top w:val="none" w:sz="0" w:space="0" w:color="auto"/>
            <w:left w:val="none" w:sz="0" w:space="0" w:color="auto"/>
            <w:bottom w:val="none" w:sz="0" w:space="0" w:color="auto"/>
            <w:right w:val="none" w:sz="0" w:space="0" w:color="auto"/>
          </w:divBdr>
          <w:divsChild>
            <w:div w:id="1916356419">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568080862">
      <w:bodyDiv w:val="1"/>
      <w:marLeft w:val="0"/>
      <w:marRight w:val="0"/>
      <w:marTop w:val="0"/>
      <w:marBottom w:val="0"/>
      <w:divBdr>
        <w:top w:val="none" w:sz="0" w:space="0" w:color="auto"/>
        <w:left w:val="none" w:sz="0" w:space="0" w:color="auto"/>
        <w:bottom w:val="none" w:sz="0" w:space="0" w:color="auto"/>
        <w:right w:val="none" w:sz="0" w:space="0" w:color="auto"/>
      </w:divBdr>
      <w:divsChild>
        <w:div w:id="620646129">
          <w:marLeft w:val="0"/>
          <w:marRight w:val="0"/>
          <w:marTop w:val="0"/>
          <w:marBottom w:val="0"/>
          <w:divBdr>
            <w:top w:val="none" w:sz="0" w:space="0" w:color="auto"/>
            <w:left w:val="none" w:sz="0" w:space="0" w:color="auto"/>
            <w:bottom w:val="none" w:sz="0" w:space="0" w:color="auto"/>
            <w:right w:val="none" w:sz="0" w:space="0" w:color="auto"/>
          </w:divBdr>
          <w:divsChild>
            <w:div w:id="1839081128">
              <w:marLeft w:val="0"/>
              <w:marRight w:val="0"/>
              <w:marTop w:val="0"/>
              <w:marBottom w:val="0"/>
              <w:divBdr>
                <w:top w:val="none" w:sz="0" w:space="0" w:color="auto"/>
                <w:left w:val="none" w:sz="0" w:space="0" w:color="auto"/>
                <w:bottom w:val="none" w:sz="0" w:space="0" w:color="auto"/>
                <w:right w:val="none" w:sz="0" w:space="0" w:color="auto"/>
              </w:divBdr>
            </w:div>
            <w:div w:id="1214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17602">
      <w:bodyDiv w:val="1"/>
      <w:marLeft w:val="0"/>
      <w:marRight w:val="0"/>
      <w:marTop w:val="0"/>
      <w:marBottom w:val="0"/>
      <w:divBdr>
        <w:top w:val="none" w:sz="0" w:space="0" w:color="auto"/>
        <w:left w:val="none" w:sz="0" w:space="0" w:color="auto"/>
        <w:bottom w:val="none" w:sz="0" w:space="0" w:color="auto"/>
        <w:right w:val="none" w:sz="0" w:space="0" w:color="auto"/>
      </w:divBdr>
      <w:divsChild>
        <w:div w:id="353388963">
          <w:marLeft w:val="0"/>
          <w:marRight w:val="0"/>
          <w:marTop w:val="0"/>
          <w:marBottom w:val="0"/>
          <w:divBdr>
            <w:top w:val="single" w:sz="2" w:space="0" w:color="AAAAAA"/>
            <w:left w:val="single" w:sz="6" w:space="8" w:color="AAAAAA"/>
            <w:bottom w:val="single" w:sz="2" w:space="0" w:color="AAAAAA"/>
            <w:right w:val="single" w:sz="6" w:space="8" w:color="AAAAAA"/>
          </w:divBdr>
          <w:divsChild>
            <w:div w:id="162204923">
              <w:marLeft w:val="0"/>
              <w:marRight w:val="0"/>
              <w:marTop w:val="0"/>
              <w:marBottom w:val="0"/>
              <w:divBdr>
                <w:top w:val="none" w:sz="0" w:space="0" w:color="auto"/>
                <w:left w:val="none" w:sz="0" w:space="0" w:color="auto"/>
                <w:bottom w:val="none" w:sz="0" w:space="0" w:color="auto"/>
                <w:right w:val="none" w:sz="0" w:space="0" w:color="auto"/>
              </w:divBdr>
              <w:divsChild>
                <w:div w:id="1741557701">
                  <w:marLeft w:val="0"/>
                  <w:marRight w:val="0"/>
                  <w:marTop w:val="0"/>
                  <w:marBottom w:val="0"/>
                  <w:divBdr>
                    <w:top w:val="none" w:sz="0" w:space="0" w:color="auto"/>
                    <w:left w:val="none" w:sz="0" w:space="0" w:color="auto"/>
                    <w:bottom w:val="none" w:sz="0" w:space="0" w:color="auto"/>
                    <w:right w:val="none" w:sz="0" w:space="0" w:color="auto"/>
                  </w:divBdr>
                  <w:divsChild>
                    <w:div w:id="118493775">
                      <w:marLeft w:val="0"/>
                      <w:marRight w:val="2550"/>
                      <w:marTop w:val="0"/>
                      <w:marBottom w:val="48"/>
                      <w:divBdr>
                        <w:top w:val="none" w:sz="0" w:space="0" w:color="auto"/>
                        <w:left w:val="none" w:sz="0" w:space="0" w:color="auto"/>
                        <w:bottom w:val="none" w:sz="0" w:space="0" w:color="auto"/>
                        <w:right w:val="none" w:sz="0" w:space="0" w:color="auto"/>
                      </w:divBdr>
                      <w:divsChild>
                        <w:div w:id="425536952">
                          <w:marLeft w:val="0"/>
                          <w:marRight w:val="0"/>
                          <w:marTop w:val="0"/>
                          <w:marBottom w:val="48"/>
                          <w:divBdr>
                            <w:top w:val="none" w:sz="0" w:space="0" w:color="auto"/>
                            <w:left w:val="none" w:sz="0" w:space="0" w:color="auto"/>
                            <w:bottom w:val="none" w:sz="0" w:space="0" w:color="auto"/>
                            <w:right w:val="none" w:sz="0" w:space="0" w:color="auto"/>
                          </w:divBdr>
                          <w:divsChild>
                            <w:div w:id="1132140246">
                              <w:marLeft w:val="0"/>
                              <w:marRight w:val="0"/>
                              <w:marTop w:val="0"/>
                              <w:marBottom w:val="48"/>
                              <w:divBdr>
                                <w:top w:val="none" w:sz="0" w:space="0" w:color="auto"/>
                                <w:left w:val="none" w:sz="0" w:space="0" w:color="auto"/>
                                <w:bottom w:val="none" w:sz="0" w:space="0" w:color="auto"/>
                                <w:right w:val="none" w:sz="0" w:space="0" w:color="auto"/>
                              </w:divBdr>
                              <w:divsChild>
                                <w:div w:id="76974188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98995">
      <w:bodyDiv w:val="1"/>
      <w:marLeft w:val="0"/>
      <w:marRight w:val="0"/>
      <w:marTop w:val="0"/>
      <w:marBottom w:val="0"/>
      <w:divBdr>
        <w:top w:val="none" w:sz="0" w:space="0" w:color="auto"/>
        <w:left w:val="none" w:sz="0" w:space="0" w:color="auto"/>
        <w:bottom w:val="none" w:sz="0" w:space="0" w:color="auto"/>
        <w:right w:val="none" w:sz="0" w:space="0" w:color="auto"/>
      </w:divBdr>
      <w:divsChild>
        <w:div w:id="2083139561">
          <w:marLeft w:val="0"/>
          <w:marRight w:val="0"/>
          <w:marTop w:val="0"/>
          <w:marBottom w:val="0"/>
          <w:divBdr>
            <w:top w:val="none" w:sz="0" w:space="0" w:color="auto"/>
            <w:left w:val="none" w:sz="0" w:space="0" w:color="auto"/>
            <w:bottom w:val="none" w:sz="0" w:space="0" w:color="auto"/>
            <w:right w:val="none" w:sz="0" w:space="0" w:color="auto"/>
          </w:divBdr>
          <w:divsChild>
            <w:div w:id="1090739860">
              <w:marLeft w:val="0"/>
              <w:marRight w:val="0"/>
              <w:marTop w:val="0"/>
              <w:marBottom w:val="0"/>
              <w:divBdr>
                <w:top w:val="none" w:sz="0" w:space="0" w:color="auto"/>
                <w:left w:val="none" w:sz="0" w:space="0" w:color="auto"/>
                <w:bottom w:val="none" w:sz="0" w:space="0" w:color="auto"/>
                <w:right w:val="none" w:sz="0" w:space="0" w:color="auto"/>
              </w:divBdr>
              <w:divsChild>
                <w:div w:id="435252910">
                  <w:marLeft w:val="-225"/>
                  <w:marRight w:val="-225"/>
                  <w:marTop w:val="0"/>
                  <w:marBottom w:val="0"/>
                  <w:divBdr>
                    <w:top w:val="none" w:sz="0" w:space="0" w:color="auto"/>
                    <w:left w:val="none" w:sz="0" w:space="0" w:color="auto"/>
                    <w:bottom w:val="none" w:sz="0" w:space="0" w:color="auto"/>
                    <w:right w:val="none" w:sz="0" w:space="0" w:color="auto"/>
                  </w:divBdr>
                  <w:divsChild>
                    <w:div w:id="20870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7602">
      <w:bodyDiv w:val="1"/>
      <w:marLeft w:val="0"/>
      <w:marRight w:val="0"/>
      <w:marTop w:val="0"/>
      <w:marBottom w:val="0"/>
      <w:divBdr>
        <w:top w:val="none" w:sz="0" w:space="0" w:color="auto"/>
        <w:left w:val="none" w:sz="0" w:space="0" w:color="auto"/>
        <w:bottom w:val="none" w:sz="0" w:space="0" w:color="auto"/>
        <w:right w:val="none" w:sz="0" w:space="0" w:color="auto"/>
      </w:divBdr>
      <w:divsChild>
        <w:div w:id="2000884481">
          <w:marLeft w:val="0"/>
          <w:marRight w:val="0"/>
          <w:marTop w:val="0"/>
          <w:marBottom w:val="0"/>
          <w:divBdr>
            <w:top w:val="none" w:sz="0" w:space="0" w:color="auto"/>
            <w:left w:val="none" w:sz="0" w:space="0" w:color="auto"/>
            <w:bottom w:val="none" w:sz="0" w:space="0" w:color="auto"/>
            <w:right w:val="none" w:sz="0" w:space="0" w:color="auto"/>
          </w:divBdr>
          <w:divsChild>
            <w:div w:id="1780877686">
              <w:marLeft w:val="0"/>
              <w:marRight w:val="0"/>
              <w:marTop w:val="0"/>
              <w:marBottom w:val="450"/>
              <w:divBdr>
                <w:top w:val="none" w:sz="0" w:space="0" w:color="auto"/>
                <w:left w:val="none" w:sz="0" w:space="0" w:color="auto"/>
                <w:bottom w:val="none" w:sz="0" w:space="0" w:color="auto"/>
                <w:right w:val="none" w:sz="0" w:space="0" w:color="auto"/>
              </w:divBdr>
            </w:div>
          </w:divsChild>
        </w:div>
        <w:div w:id="252279754">
          <w:marLeft w:val="0"/>
          <w:marRight w:val="0"/>
          <w:marTop w:val="0"/>
          <w:marBottom w:val="0"/>
          <w:divBdr>
            <w:top w:val="none" w:sz="0" w:space="0" w:color="auto"/>
            <w:left w:val="none" w:sz="0" w:space="0" w:color="auto"/>
            <w:bottom w:val="none" w:sz="0" w:space="0" w:color="auto"/>
            <w:right w:val="none" w:sz="0" w:space="0" w:color="auto"/>
          </w:divBdr>
        </w:div>
      </w:divsChild>
    </w:div>
    <w:div w:id="572591090">
      <w:bodyDiv w:val="1"/>
      <w:marLeft w:val="0"/>
      <w:marRight w:val="0"/>
      <w:marTop w:val="0"/>
      <w:marBottom w:val="0"/>
      <w:divBdr>
        <w:top w:val="none" w:sz="0" w:space="0" w:color="auto"/>
        <w:left w:val="none" w:sz="0" w:space="0" w:color="auto"/>
        <w:bottom w:val="none" w:sz="0" w:space="0" w:color="auto"/>
        <w:right w:val="none" w:sz="0" w:space="0" w:color="auto"/>
      </w:divBdr>
      <w:divsChild>
        <w:div w:id="2087804792">
          <w:marLeft w:val="0"/>
          <w:marRight w:val="0"/>
          <w:marTop w:val="0"/>
          <w:marBottom w:val="0"/>
          <w:divBdr>
            <w:top w:val="none" w:sz="0" w:space="0" w:color="auto"/>
            <w:left w:val="none" w:sz="0" w:space="0" w:color="auto"/>
            <w:bottom w:val="none" w:sz="0" w:space="0" w:color="auto"/>
            <w:right w:val="none" w:sz="0" w:space="0" w:color="auto"/>
          </w:divBdr>
          <w:divsChild>
            <w:div w:id="1739399280">
              <w:marLeft w:val="0"/>
              <w:marRight w:val="0"/>
              <w:marTop w:val="0"/>
              <w:marBottom w:val="0"/>
              <w:divBdr>
                <w:top w:val="none" w:sz="0" w:space="0" w:color="auto"/>
                <w:left w:val="none" w:sz="0" w:space="0" w:color="auto"/>
                <w:bottom w:val="none" w:sz="0" w:space="0" w:color="auto"/>
                <w:right w:val="none" w:sz="0" w:space="0" w:color="auto"/>
              </w:divBdr>
              <w:divsChild>
                <w:div w:id="1852137952">
                  <w:marLeft w:val="0"/>
                  <w:marRight w:val="0"/>
                  <w:marTop w:val="0"/>
                  <w:marBottom w:val="0"/>
                  <w:divBdr>
                    <w:top w:val="none" w:sz="0" w:space="0" w:color="auto"/>
                    <w:left w:val="none" w:sz="0" w:space="0" w:color="auto"/>
                    <w:bottom w:val="none" w:sz="0" w:space="0" w:color="auto"/>
                    <w:right w:val="none" w:sz="0" w:space="0" w:color="auto"/>
                  </w:divBdr>
                  <w:divsChild>
                    <w:div w:id="1468861937">
                      <w:marLeft w:val="0"/>
                      <w:marRight w:val="0"/>
                      <w:marTop w:val="0"/>
                      <w:marBottom w:val="0"/>
                      <w:divBdr>
                        <w:top w:val="none" w:sz="0" w:space="0" w:color="auto"/>
                        <w:left w:val="none" w:sz="0" w:space="0" w:color="auto"/>
                        <w:bottom w:val="none" w:sz="0" w:space="0" w:color="auto"/>
                        <w:right w:val="none" w:sz="0" w:space="0" w:color="auto"/>
                      </w:divBdr>
                      <w:divsChild>
                        <w:div w:id="13964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242628">
      <w:bodyDiv w:val="1"/>
      <w:marLeft w:val="0"/>
      <w:marRight w:val="0"/>
      <w:marTop w:val="0"/>
      <w:marBottom w:val="0"/>
      <w:divBdr>
        <w:top w:val="none" w:sz="0" w:space="0" w:color="auto"/>
        <w:left w:val="none" w:sz="0" w:space="0" w:color="auto"/>
        <w:bottom w:val="none" w:sz="0" w:space="0" w:color="auto"/>
        <w:right w:val="none" w:sz="0" w:space="0" w:color="auto"/>
      </w:divBdr>
    </w:div>
    <w:div w:id="574753041">
      <w:bodyDiv w:val="1"/>
      <w:marLeft w:val="0"/>
      <w:marRight w:val="0"/>
      <w:marTop w:val="0"/>
      <w:marBottom w:val="0"/>
      <w:divBdr>
        <w:top w:val="none" w:sz="0" w:space="0" w:color="auto"/>
        <w:left w:val="none" w:sz="0" w:space="0" w:color="auto"/>
        <w:bottom w:val="none" w:sz="0" w:space="0" w:color="auto"/>
        <w:right w:val="none" w:sz="0" w:space="0" w:color="auto"/>
      </w:divBdr>
      <w:divsChild>
        <w:div w:id="1990859108">
          <w:marLeft w:val="0"/>
          <w:marRight w:val="0"/>
          <w:marTop w:val="0"/>
          <w:marBottom w:val="0"/>
          <w:divBdr>
            <w:top w:val="none" w:sz="0" w:space="0" w:color="auto"/>
            <w:left w:val="none" w:sz="0" w:space="0" w:color="auto"/>
            <w:bottom w:val="none" w:sz="0" w:space="0" w:color="auto"/>
            <w:right w:val="none" w:sz="0" w:space="0" w:color="auto"/>
          </w:divBdr>
          <w:divsChild>
            <w:div w:id="142082832">
              <w:marLeft w:val="0"/>
              <w:marRight w:val="0"/>
              <w:marTop w:val="150"/>
              <w:marBottom w:val="0"/>
              <w:divBdr>
                <w:top w:val="none" w:sz="0" w:space="0" w:color="auto"/>
                <w:left w:val="none" w:sz="0" w:space="0" w:color="auto"/>
                <w:bottom w:val="none" w:sz="0" w:space="0" w:color="auto"/>
                <w:right w:val="none" w:sz="0" w:space="0" w:color="auto"/>
              </w:divBdr>
              <w:divsChild>
                <w:div w:id="490146390">
                  <w:marLeft w:val="0"/>
                  <w:marRight w:val="0"/>
                  <w:marTop w:val="0"/>
                  <w:marBottom w:val="0"/>
                  <w:divBdr>
                    <w:top w:val="none" w:sz="0" w:space="0" w:color="auto"/>
                    <w:left w:val="none" w:sz="0" w:space="0" w:color="auto"/>
                    <w:bottom w:val="none" w:sz="0" w:space="0" w:color="auto"/>
                    <w:right w:val="none" w:sz="0" w:space="0" w:color="auto"/>
                  </w:divBdr>
                  <w:divsChild>
                    <w:div w:id="1272786684">
                      <w:marLeft w:val="0"/>
                      <w:marRight w:val="0"/>
                      <w:marTop w:val="0"/>
                      <w:marBottom w:val="0"/>
                      <w:divBdr>
                        <w:top w:val="none" w:sz="0" w:space="0" w:color="auto"/>
                        <w:left w:val="none" w:sz="0" w:space="0" w:color="auto"/>
                        <w:bottom w:val="none" w:sz="0" w:space="0" w:color="auto"/>
                        <w:right w:val="none" w:sz="0" w:space="0" w:color="auto"/>
                      </w:divBdr>
                      <w:divsChild>
                        <w:div w:id="16667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013038">
      <w:bodyDiv w:val="1"/>
      <w:marLeft w:val="0"/>
      <w:marRight w:val="0"/>
      <w:marTop w:val="0"/>
      <w:marBottom w:val="0"/>
      <w:divBdr>
        <w:top w:val="none" w:sz="0" w:space="0" w:color="auto"/>
        <w:left w:val="none" w:sz="0" w:space="0" w:color="auto"/>
        <w:bottom w:val="none" w:sz="0" w:space="0" w:color="auto"/>
        <w:right w:val="none" w:sz="0" w:space="0" w:color="auto"/>
      </w:divBdr>
    </w:div>
    <w:div w:id="575361926">
      <w:bodyDiv w:val="1"/>
      <w:marLeft w:val="0"/>
      <w:marRight w:val="0"/>
      <w:marTop w:val="0"/>
      <w:marBottom w:val="0"/>
      <w:divBdr>
        <w:top w:val="none" w:sz="0" w:space="0" w:color="auto"/>
        <w:left w:val="none" w:sz="0" w:space="0" w:color="auto"/>
        <w:bottom w:val="none" w:sz="0" w:space="0" w:color="auto"/>
        <w:right w:val="none" w:sz="0" w:space="0" w:color="auto"/>
      </w:divBdr>
      <w:divsChild>
        <w:div w:id="1768621964">
          <w:marLeft w:val="0"/>
          <w:marRight w:val="0"/>
          <w:marTop w:val="240"/>
          <w:marBottom w:val="240"/>
          <w:divBdr>
            <w:top w:val="single" w:sz="6" w:space="6" w:color="F2F2F2"/>
            <w:left w:val="none" w:sz="0" w:space="0" w:color="auto"/>
            <w:bottom w:val="single" w:sz="6" w:space="6" w:color="F2F2F2"/>
            <w:right w:val="none" w:sz="0" w:space="0" w:color="auto"/>
          </w:divBdr>
        </w:div>
        <w:div w:id="2014990042">
          <w:marLeft w:val="0"/>
          <w:marRight w:val="0"/>
          <w:marTop w:val="0"/>
          <w:marBottom w:val="0"/>
          <w:divBdr>
            <w:top w:val="none" w:sz="0" w:space="0" w:color="auto"/>
            <w:left w:val="none" w:sz="0" w:space="0" w:color="auto"/>
            <w:bottom w:val="none" w:sz="0" w:space="0" w:color="auto"/>
            <w:right w:val="none" w:sz="0" w:space="0" w:color="auto"/>
          </w:divBdr>
          <w:divsChild>
            <w:div w:id="3968306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76718769">
      <w:bodyDiv w:val="1"/>
      <w:marLeft w:val="0"/>
      <w:marRight w:val="0"/>
      <w:marTop w:val="0"/>
      <w:marBottom w:val="0"/>
      <w:divBdr>
        <w:top w:val="none" w:sz="0" w:space="0" w:color="auto"/>
        <w:left w:val="none" w:sz="0" w:space="0" w:color="auto"/>
        <w:bottom w:val="none" w:sz="0" w:space="0" w:color="auto"/>
        <w:right w:val="none" w:sz="0" w:space="0" w:color="auto"/>
      </w:divBdr>
      <w:divsChild>
        <w:div w:id="748962168">
          <w:marLeft w:val="0"/>
          <w:marRight w:val="0"/>
          <w:marTop w:val="150"/>
          <w:marBottom w:val="0"/>
          <w:divBdr>
            <w:top w:val="none" w:sz="0" w:space="0" w:color="auto"/>
            <w:left w:val="none" w:sz="0" w:space="0" w:color="auto"/>
            <w:bottom w:val="none" w:sz="0" w:space="0" w:color="auto"/>
            <w:right w:val="none" w:sz="0" w:space="0" w:color="auto"/>
          </w:divBdr>
          <w:divsChild>
            <w:div w:id="1198620472">
              <w:marLeft w:val="0"/>
              <w:marRight w:val="0"/>
              <w:marTop w:val="0"/>
              <w:marBottom w:val="0"/>
              <w:divBdr>
                <w:top w:val="none" w:sz="0" w:space="0" w:color="auto"/>
                <w:left w:val="none" w:sz="0" w:space="0" w:color="auto"/>
                <w:bottom w:val="none" w:sz="0" w:space="0" w:color="auto"/>
                <w:right w:val="none" w:sz="0" w:space="0" w:color="auto"/>
              </w:divBdr>
              <w:divsChild>
                <w:div w:id="360127201">
                  <w:marLeft w:val="0"/>
                  <w:marRight w:val="0"/>
                  <w:marTop w:val="0"/>
                  <w:marBottom w:val="0"/>
                  <w:divBdr>
                    <w:top w:val="none" w:sz="0" w:space="0" w:color="auto"/>
                    <w:left w:val="none" w:sz="0" w:space="0" w:color="auto"/>
                    <w:bottom w:val="none" w:sz="0" w:space="0" w:color="auto"/>
                    <w:right w:val="none" w:sz="0" w:space="0" w:color="auto"/>
                  </w:divBdr>
                  <w:divsChild>
                    <w:div w:id="19225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6012">
      <w:bodyDiv w:val="1"/>
      <w:marLeft w:val="0"/>
      <w:marRight w:val="0"/>
      <w:marTop w:val="0"/>
      <w:marBottom w:val="0"/>
      <w:divBdr>
        <w:top w:val="none" w:sz="0" w:space="0" w:color="auto"/>
        <w:left w:val="none" w:sz="0" w:space="0" w:color="auto"/>
        <w:bottom w:val="none" w:sz="0" w:space="0" w:color="auto"/>
        <w:right w:val="none" w:sz="0" w:space="0" w:color="auto"/>
      </w:divBdr>
    </w:div>
    <w:div w:id="580791692">
      <w:bodyDiv w:val="1"/>
      <w:marLeft w:val="0"/>
      <w:marRight w:val="0"/>
      <w:marTop w:val="0"/>
      <w:marBottom w:val="0"/>
      <w:divBdr>
        <w:top w:val="none" w:sz="0" w:space="0" w:color="auto"/>
        <w:left w:val="none" w:sz="0" w:space="0" w:color="auto"/>
        <w:bottom w:val="none" w:sz="0" w:space="0" w:color="auto"/>
        <w:right w:val="none" w:sz="0" w:space="0" w:color="auto"/>
      </w:divBdr>
      <w:divsChild>
        <w:div w:id="1701541887">
          <w:marLeft w:val="0"/>
          <w:marRight w:val="0"/>
          <w:marTop w:val="0"/>
          <w:marBottom w:val="0"/>
          <w:divBdr>
            <w:top w:val="single" w:sz="6" w:space="0" w:color="0E477A"/>
            <w:left w:val="single" w:sz="6" w:space="0" w:color="0E477A"/>
            <w:bottom w:val="single" w:sz="6" w:space="0" w:color="0E477A"/>
            <w:right w:val="single" w:sz="6" w:space="0" w:color="0E477A"/>
          </w:divBdr>
          <w:divsChild>
            <w:div w:id="1799447395">
              <w:marLeft w:val="2925"/>
              <w:marRight w:val="0"/>
              <w:marTop w:val="0"/>
              <w:marBottom w:val="0"/>
              <w:divBdr>
                <w:top w:val="none" w:sz="0" w:space="0" w:color="auto"/>
                <w:left w:val="none" w:sz="0" w:space="0" w:color="auto"/>
                <w:bottom w:val="none" w:sz="0" w:space="0" w:color="auto"/>
                <w:right w:val="none" w:sz="0" w:space="0" w:color="auto"/>
              </w:divBdr>
              <w:divsChild>
                <w:div w:id="737243357">
                  <w:marLeft w:val="0"/>
                  <w:marRight w:val="0"/>
                  <w:marTop w:val="0"/>
                  <w:marBottom w:val="0"/>
                  <w:divBdr>
                    <w:top w:val="none" w:sz="0" w:space="0" w:color="auto"/>
                    <w:left w:val="none" w:sz="0" w:space="0" w:color="auto"/>
                    <w:bottom w:val="none" w:sz="0" w:space="0" w:color="auto"/>
                    <w:right w:val="none" w:sz="0" w:space="0" w:color="auto"/>
                  </w:divBdr>
                  <w:divsChild>
                    <w:div w:id="58134620">
                      <w:marLeft w:val="0"/>
                      <w:marRight w:val="150"/>
                      <w:marTop w:val="0"/>
                      <w:marBottom w:val="0"/>
                      <w:divBdr>
                        <w:top w:val="single" w:sz="6" w:space="0" w:color="CCCCCC"/>
                        <w:left w:val="single" w:sz="6" w:space="8" w:color="CCCCCC"/>
                        <w:bottom w:val="single" w:sz="6" w:space="8" w:color="CCCCCC"/>
                        <w:right w:val="single" w:sz="6" w:space="8" w:color="CCCCCC"/>
                      </w:divBdr>
                      <w:divsChild>
                        <w:div w:id="7295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186635">
      <w:bodyDiv w:val="1"/>
      <w:marLeft w:val="0"/>
      <w:marRight w:val="0"/>
      <w:marTop w:val="0"/>
      <w:marBottom w:val="0"/>
      <w:divBdr>
        <w:top w:val="none" w:sz="0" w:space="0" w:color="auto"/>
        <w:left w:val="none" w:sz="0" w:space="0" w:color="auto"/>
        <w:bottom w:val="none" w:sz="0" w:space="0" w:color="auto"/>
        <w:right w:val="none" w:sz="0" w:space="0" w:color="auto"/>
      </w:divBdr>
      <w:divsChild>
        <w:div w:id="1286304590">
          <w:marLeft w:val="0"/>
          <w:marRight w:val="0"/>
          <w:marTop w:val="150"/>
          <w:marBottom w:val="0"/>
          <w:divBdr>
            <w:top w:val="none" w:sz="0" w:space="0" w:color="auto"/>
            <w:left w:val="none" w:sz="0" w:space="0" w:color="auto"/>
            <w:bottom w:val="none" w:sz="0" w:space="0" w:color="auto"/>
            <w:right w:val="none" w:sz="0" w:space="0" w:color="auto"/>
          </w:divBdr>
          <w:divsChild>
            <w:div w:id="1493252142">
              <w:marLeft w:val="2"/>
              <w:marRight w:val="2"/>
              <w:marTop w:val="0"/>
              <w:marBottom w:val="0"/>
              <w:divBdr>
                <w:top w:val="none" w:sz="0" w:space="0" w:color="auto"/>
                <w:left w:val="none" w:sz="0" w:space="0" w:color="auto"/>
                <w:bottom w:val="none" w:sz="0" w:space="0" w:color="auto"/>
                <w:right w:val="none" w:sz="0" w:space="0" w:color="auto"/>
              </w:divBdr>
              <w:divsChild>
                <w:div w:id="182130612">
                  <w:marLeft w:val="0"/>
                  <w:marRight w:val="0"/>
                  <w:marTop w:val="0"/>
                  <w:marBottom w:val="0"/>
                  <w:divBdr>
                    <w:top w:val="none" w:sz="0" w:space="0" w:color="auto"/>
                    <w:left w:val="none" w:sz="0" w:space="0" w:color="auto"/>
                    <w:bottom w:val="none" w:sz="0" w:space="0" w:color="auto"/>
                    <w:right w:val="none" w:sz="0" w:space="0" w:color="auto"/>
                  </w:divBdr>
                  <w:divsChild>
                    <w:div w:id="1521965946">
                      <w:marLeft w:val="0"/>
                      <w:marRight w:val="0"/>
                      <w:marTop w:val="0"/>
                      <w:marBottom w:val="0"/>
                      <w:divBdr>
                        <w:top w:val="none" w:sz="0" w:space="0" w:color="auto"/>
                        <w:left w:val="none" w:sz="0" w:space="0" w:color="auto"/>
                        <w:bottom w:val="none" w:sz="0" w:space="0" w:color="auto"/>
                        <w:right w:val="none" w:sz="0" w:space="0" w:color="auto"/>
                      </w:divBdr>
                      <w:divsChild>
                        <w:div w:id="604919933">
                          <w:marLeft w:val="0"/>
                          <w:marRight w:val="0"/>
                          <w:marTop w:val="0"/>
                          <w:marBottom w:val="0"/>
                          <w:divBdr>
                            <w:top w:val="none" w:sz="0" w:space="0" w:color="auto"/>
                            <w:left w:val="none" w:sz="0" w:space="0" w:color="auto"/>
                            <w:bottom w:val="none" w:sz="0" w:space="0" w:color="auto"/>
                            <w:right w:val="none" w:sz="0" w:space="0" w:color="auto"/>
                          </w:divBdr>
                          <w:divsChild>
                            <w:div w:id="858784242">
                              <w:marLeft w:val="0"/>
                              <w:marRight w:val="0"/>
                              <w:marTop w:val="0"/>
                              <w:marBottom w:val="0"/>
                              <w:divBdr>
                                <w:top w:val="none" w:sz="0" w:space="0" w:color="auto"/>
                                <w:left w:val="none" w:sz="0" w:space="0" w:color="auto"/>
                                <w:bottom w:val="none" w:sz="0" w:space="0" w:color="auto"/>
                                <w:right w:val="none" w:sz="0" w:space="0" w:color="auto"/>
                              </w:divBdr>
                              <w:divsChild>
                                <w:div w:id="619144994">
                                  <w:marLeft w:val="0"/>
                                  <w:marRight w:val="0"/>
                                  <w:marTop w:val="0"/>
                                  <w:marBottom w:val="0"/>
                                  <w:divBdr>
                                    <w:top w:val="none" w:sz="0" w:space="0" w:color="auto"/>
                                    <w:left w:val="none" w:sz="0" w:space="0" w:color="auto"/>
                                    <w:bottom w:val="none" w:sz="0" w:space="0" w:color="auto"/>
                                    <w:right w:val="none" w:sz="0" w:space="0" w:color="auto"/>
                                  </w:divBdr>
                                  <w:divsChild>
                                    <w:div w:id="815613044">
                                      <w:marLeft w:val="0"/>
                                      <w:marRight w:val="0"/>
                                      <w:marTop w:val="0"/>
                                      <w:marBottom w:val="0"/>
                                      <w:divBdr>
                                        <w:top w:val="none" w:sz="0" w:space="0" w:color="auto"/>
                                        <w:left w:val="none" w:sz="0" w:space="0" w:color="auto"/>
                                        <w:bottom w:val="none" w:sz="0" w:space="0" w:color="auto"/>
                                        <w:right w:val="none" w:sz="0" w:space="0" w:color="auto"/>
                                      </w:divBdr>
                                      <w:divsChild>
                                        <w:div w:id="1255628111">
                                          <w:marLeft w:val="0"/>
                                          <w:marRight w:val="0"/>
                                          <w:marTop w:val="0"/>
                                          <w:marBottom w:val="0"/>
                                          <w:divBdr>
                                            <w:top w:val="none" w:sz="0" w:space="0" w:color="auto"/>
                                            <w:left w:val="none" w:sz="0" w:space="0" w:color="auto"/>
                                            <w:bottom w:val="none" w:sz="0" w:space="0" w:color="auto"/>
                                            <w:right w:val="none" w:sz="0" w:space="0" w:color="auto"/>
                                          </w:divBdr>
                                          <w:divsChild>
                                            <w:div w:id="1275135033">
                                              <w:marLeft w:val="0"/>
                                              <w:marRight w:val="0"/>
                                              <w:marTop w:val="0"/>
                                              <w:marBottom w:val="0"/>
                                              <w:divBdr>
                                                <w:top w:val="none" w:sz="0" w:space="0" w:color="auto"/>
                                                <w:left w:val="none" w:sz="0" w:space="0" w:color="auto"/>
                                                <w:bottom w:val="none" w:sz="0" w:space="0" w:color="auto"/>
                                                <w:right w:val="none" w:sz="0" w:space="0" w:color="auto"/>
                                              </w:divBdr>
                                              <w:divsChild>
                                                <w:div w:id="444077099">
                                                  <w:marLeft w:val="0"/>
                                                  <w:marRight w:val="0"/>
                                                  <w:marTop w:val="0"/>
                                                  <w:marBottom w:val="0"/>
                                                  <w:divBdr>
                                                    <w:top w:val="none" w:sz="0" w:space="0" w:color="auto"/>
                                                    <w:left w:val="none" w:sz="0" w:space="0" w:color="auto"/>
                                                    <w:bottom w:val="none" w:sz="0" w:space="0" w:color="auto"/>
                                                    <w:right w:val="none" w:sz="0" w:space="0" w:color="auto"/>
                                                  </w:divBdr>
                                                </w:div>
                                              </w:divsChild>
                                            </w:div>
                                            <w:div w:id="1415515094">
                                              <w:marLeft w:val="0"/>
                                              <w:marRight w:val="0"/>
                                              <w:marTop w:val="0"/>
                                              <w:marBottom w:val="0"/>
                                              <w:divBdr>
                                                <w:top w:val="none" w:sz="0" w:space="0" w:color="auto"/>
                                                <w:left w:val="none" w:sz="0" w:space="0" w:color="auto"/>
                                                <w:bottom w:val="none" w:sz="0" w:space="0" w:color="auto"/>
                                                <w:right w:val="none" w:sz="0" w:space="0" w:color="auto"/>
                                              </w:divBdr>
                                              <w:divsChild>
                                                <w:div w:id="66150679">
                                                  <w:marLeft w:val="0"/>
                                                  <w:marRight w:val="0"/>
                                                  <w:marTop w:val="0"/>
                                                  <w:marBottom w:val="0"/>
                                                  <w:divBdr>
                                                    <w:top w:val="none" w:sz="0" w:space="0" w:color="auto"/>
                                                    <w:left w:val="none" w:sz="0" w:space="0" w:color="auto"/>
                                                    <w:bottom w:val="none" w:sz="0" w:space="0" w:color="auto"/>
                                                    <w:right w:val="none" w:sz="0" w:space="0" w:color="auto"/>
                                                  </w:divBdr>
                                                </w:div>
                                              </w:divsChild>
                                            </w:div>
                                            <w:div w:id="1539077646">
                                              <w:marLeft w:val="0"/>
                                              <w:marRight w:val="0"/>
                                              <w:marTop w:val="0"/>
                                              <w:marBottom w:val="0"/>
                                              <w:divBdr>
                                                <w:top w:val="none" w:sz="0" w:space="0" w:color="auto"/>
                                                <w:left w:val="none" w:sz="0" w:space="0" w:color="auto"/>
                                                <w:bottom w:val="none" w:sz="0" w:space="0" w:color="auto"/>
                                                <w:right w:val="none" w:sz="0" w:space="0" w:color="auto"/>
                                              </w:divBdr>
                                              <w:divsChild>
                                                <w:div w:id="687682522">
                                                  <w:marLeft w:val="0"/>
                                                  <w:marRight w:val="0"/>
                                                  <w:marTop w:val="0"/>
                                                  <w:marBottom w:val="0"/>
                                                  <w:divBdr>
                                                    <w:top w:val="none" w:sz="0" w:space="0" w:color="auto"/>
                                                    <w:left w:val="none" w:sz="0" w:space="0" w:color="auto"/>
                                                    <w:bottom w:val="none" w:sz="0" w:space="0" w:color="auto"/>
                                                    <w:right w:val="none" w:sz="0" w:space="0" w:color="auto"/>
                                                  </w:divBdr>
                                                </w:div>
                                              </w:divsChild>
                                            </w:div>
                                            <w:div w:id="768427678">
                                              <w:marLeft w:val="0"/>
                                              <w:marRight w:val="0"/>
                                              <w:marTop w:val="0"/>
                                              <w:marBottom w:val="0"/>
                                              <w:divBdr>
                                                <w:top w:val="none" w:sz="0" w:space="0" w:color="auto"/>
                                                <w:left w:val="none" w:sz="0" w:space="0" w:color="auto"/>
                                                <w:bottom w:val="none" w:sz="0" w:space="0" w:color="auto"/>
                                                <w:right w:val="none" w:sz="0" w:space="0" w:color="auto"/>
                                              </w:divBdr>
                                              <w:divsChild>
                                                <w:div w:id="606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334011">
      <w:bodyDiv w:val="1"/>
      <w:marLeft w:val="0"/>
      <w:marRight w:val="0"/>
      <w:marTop w:val="0"/>
      <w:marBottom w:val="0"/>
      <w:divBdr>
        <w:top w:val="none" w:sz="0" w:space="0" w:color="auto"/>
        <w:left w:val="none" w:sz="0" w:space="0" w:color="auto"/>
        <w:bottom w:val="none" w:sz="0" w:space="0" w:color="auto"/>
        <w:right w:val="none" w:sz="0" w:space="0" w:color="auto"/>
      </w:divBdr>
      <w:divsChild>
        <w:div w:id="1136726515">
          <w:marLeft w:val="0"/>
          <w:marRight w:val="0"/>
          <w:marTop w:val="0"/>
          <w:marBottom w:val="0"/>
          <w:divBdr>
            <w:top w:val="none" w:sz="0" w:space="0" w:color="auto"/>
            <w:left w:val="none" w:sz="0" w:space="0" w:color="auto"/>
            <w:bottom w:val="none" w:sz="0" w:space="0" w:color="auto"/>
            <w:right w:val="none" w:sz="0" w:space="0" w:color="auto"/>
          </w:divBdr>
        </w:div>
      </w:divsChild>
    </w:div>
    <w:div w:id="581376059">
      <w:bodyDiv w:val="1"/>
      <w:marLeft w:val="0"/>
      <w:marRight w:val="0"/>
      <w:marTop w:val="0"/>
      <w:marBottom w:val="0"/>
      <w:divBdr>
        <w:top w:val="none" w:sz="0" w:space="0" w:color="auto"/>
        <w:left w:val="none" w:sz="0" w:space="0" w:color="auto"/>
        <w:bottom w:val="none" w:sz="0" w:space="0" w:color="auto"/>
        <w:right w:val="none" w:sz="0" w:space="0" w:color="auto"/>
      </w:divBdr>
      <w:divsChild>
        <w:div w:id="1598632264">
          <w:marLeft w:val="0"/>
          <w:marRight w:val="0"/>
          <w:marTop w:val="0"/>
          <w:marBottom w:val="0"/>
          <w:divBdr>
            <w:top w:val="none" w:sz="0" w:space="0" w:color="auto"/>
            <w:left w:val="none" w:sz="0" w:space="0" w:color="auto"/>
            <w:bottom w:val="none" w:sz="0" w:space="0" w:color="auto"/>
            <w:right w:val="none" w:sz="0" w:space="0" w:color="auto"/>
          </w:divBdr>
          <w:divsChild>
            <w:div w:id="584728870">
              <w:marLeft w:val="0"/>
              <w:marRight w:val="0"/>
              <w:marTop w:val="0"/>
              <w:marBottom w:val="0"/>
              <w:divBdr>
                <w:top w:val="none" w:sz="0" w:space="0" w:color="auto"/>
                <w:left w:val="none" w:sz="0" w:space="0" w:color="auto"/>
                <w:bottom w:val="none" w:sz="0" w:space="0" w:color="auto"/>
                <w:right w:val="none" w:sz="0" w:space="0" w:color="auto"/>
              </w:divBdr>
              <w:divsChild>
                <w:div w:id="1132674600">
                  <w:marLeft w:val="0"/>
                  <w:marRight w:val="0"/>
                  <w:marTop w:val="0"/>
                  <w:marBottom w:val="0"/>
                  <w:divBdr>
                    <w:top w:val="none" w:sz="0" w:space="0" w:color="auto"/>
                    <w:left w:val="none" w:sz="0" w:space="0" w:color="auto"/>
                    <w:bottom w:val="none" w:sz="0" w:space="0" w:color="auto"/>
                    <w:right w:val="none" w:sz="0" w:space="0" w:color="auto"/>
                  </w:divBdr>
                  <w:divsChild>
                    <w:div w:id="1098719970">
                      <w:marLeft w:val="0"/>
                      <w:marRight w:val="0"/>
                      <w:marTop w:val="0"/>
                      <w:marBottom w:val="0"/>
                      <w:divBdr>
                        <w:top w:val="none" w:sz="0" w:space="0" w:color="auto"/>
                        <w:left w:val="none" w:sz="0" w:space="0" w:color="auto"/>
                        <w:bottom w:val="none" w:sz="0" w:space="0" w:color="auto"/>
                        <w:right w:val="none" w:sz="0" w:space="0" w:color="auto"/>
                      </w:divBdr>
                      <w:divsChild>
                        <w:div w:id="661737960">
                          <w:marLeft w:val="0"/>
                          <w:marRight w:val="0"/>
                          <w:marTop w:val="0"/>
                          <w:marBottom w:val="0"/>
                          <w:divBdr>
                            <w:top w:val="none" w:sz="0" w:space="0" w:color="auto"/>
                            <w:left w:val="none" w:sz="0" w:space="0" w:color="auto"/>
                            <w:bottom w:val="none" w:sz="0" w:space="0" w:color="auto"/>
                            <w:right w:val="none" w:sz="0" w:space="0" w:color="auto"/>
                          </w:divBdr>
                          <w:divsChild>
                            <w:div w:id="1972706660">
                              <w:marLeft w:val="0"/>
                              <w:marRight w:val="0"/>
                              <w:marTop w:val="0"/>
                              <w:marBottom w:val="0"/>
                              <w:divBdr>
                                <w:top w:val="none" w:sz="0" w:space="0" w:color="auto"/>
                                <w:left w:val="none" w:sz="0" w:space="0" w:color="auto"/>
                                <w:bottom w:val="none" w:sz="0" w:space="0" w:color="auto"/>
                                <w:right w:val="none" w:sz="0" w:space="0" w:color="auto"/>
                              </w:divBdr>
                              <w:divsChild>
                                <w:div w:id="2090230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763638">
      <w:bodyDiv w:val="1"/>
      <w:marLeft w:val="0"/>
      <w:marRight w:val="0"/>
      <w:marTop w:val="0"/>
      <w:marBottom w:val="0"/>
      <w:divBdr>
        <w:top w:val="none" w:sz="0" w:space="0" w:color="auto"/>
        <w:left w:val="none" w:sz="0" w:space="0" w:color="auto"/>
        <w:bottom w:val="none" w:sz="0" w:space="0" w:color="auto"/>
        <w:right w:val="none" w:sz="0" w:space="0" w:color="auto"/>
      </w:divBdr>
      <w:divsChild>
        <w:div w:id="1988432711">
          <w:marLeft w:val="0"/>
          <w:marRight w:val="0"/>
          <w:marTop w:val="150"/>
          <w:marBottom w:val="0"/>
          <w:divBdr>
            <w:top w:val="none" w:sz="0" w:space="0" w:color="auto"/>
            <w:left w:val="none" w:sz="0" w:space="0" w:color="auto"/>
            <w:bottom w:val="none" w:sz="0" w:space="0" w:color="auto"/>
            <w:right w:val="none" w:sz="0" w:space="0" w:color="auto"/>
          </w:divBdr>
          <w:divsChild>
            <w:div w:id="1113094606">
              <w:marLeft w:val="2"/>
              <w:marRight w:val="2"/>
              <w:marTop w:val="0"/>
              <w:marBottom w:val="0"/>
              <w:divBdr>
                <w:top w:val="none" w:sz="0" w:space="0" w:color="auto"/>
                <w:left w:val="none" w:sz="0" w:space="0" w:color="auto"/>
                <w:bottom w:val="none" w:sz="0" w:space="0" w:color="auto"/>
                <w:right w:val="none" w:sz="0" w:space="0" w:color="auto"/>
              </w:divBdr>
              <w:divsChild>
                <w:div w:id="1297488526">
                  <w:marLeft w:val="0"/>
                  <w:marRight w:val="0"/>
                  <w:marTop w:val="0"/>
                  <w:marBottom w:val="0"/>
                  <w:divBdr>
                    <w:top w:val="none" w:sz="0" w:space="0" w:color="auto"/>
                    <w:left w:val="none" w:sz="0" w:space="0" w:color="auto"/>
                    <w:bottom w:val="none" w:sz="0" w:space="0" w:color="auto"/>
                    <w:right w:val="none" w:sz="0" w:space="0" w:color="auto"/>
                  </w:divBdr>
                  <w:divsChild>
                    <w:div w:id="1420369023">
                      <w:marLeft w:val="0"/>
                      <w:marRight w:val="0"/>
                      <w:marTop w:val="0"/>
                      <w:marBottom w:val="0"/>
                      <w:divBdr>
                        <w:top w:val="none" w:sz="0" w:space="0" w:color="auto"/>
                        <w:left w:val="none" w:sz="0" w:space="0" w:color="auto"/>
                        <w:bottom w:val="none" w:sz="0" w:space="0" w:color="auto"/>
                        <w:right w:val="none" w:sz="0" w:space="0" w:color="auto"/>
                      </w:divBdr>
                      <w:divsChild>
                        <w:div w:id="589629112">
                          <w:marLeft w:val="0"/>
                          <w:marRight w:val="0"/>
                          <w:marTop w:val="0"/>
                          <w:marBottom w:val="0"/>
                          <w:divBdr>
                            <w:top w:val="none" w:sz="0" w:space="0" w:color="auto"/>
                            <w:left w:val="none" w:sz="0" w:space="0" w:color="auto"/>
                            <w:bottom w:val="none" w:sz="0" w:space="0" w:color="auto"/>
                            <w:right w:val="none" w:sz="0" w:space="0" w:color="auto"/>
                          </w:divBdr>
                          <w:divsChild>
                            <w:div w:id="352850816">
                              <w:marLeft w:val="0"/>
                              <w:marRight w:val="0"/>
                              <w:marTop w:val="0"/>
                              <w:marBottom w:val="0"/>
                              <w:divBdr>
                                <w:top w:val="none" w:sz="0" w:space="0" w:color="auto"/>
                                <w:left w:val="none" w:sz="0" w:space="0" w:color="auto"/>
                                <w:bottom w:val="none" w:sz="0" w:space="0" w:color="auto"/>
                                <w:right w:val="none" w:sz="0" w:space="0" w:color="auto"/>
                              </w:divBdr>
                              <w:divsChild>
                                <w:div w:id="468517198">
                                  <w:marLeft w:val="0"/>
                                  <w:marRight w:val="0"/>
                                  <w:marTop w:val="0"/>
                                  <w:marBottom w:val="0"/>
                                  <w:divBdr>
                                    <w:top w:val="none" w:sz="0" w:space="0" w:color="auto"/>
                                    <w:left w:val="none" w:sz="0" w:space="0" w:color="auto"/>
                                    <w:bottom w:val="none" w:sz="0" w:space="0" w:color="auto"/>
                                    <w:right w:val="none" w:sz="0" w:space="0" w:color="auto"/>
                                  </w:divBdr>
                                  <w:divsChild>
                                    <w:div w:id="321543435">
                                      <w:marLeft w:val="0"/>
                                      <w:marRight w:val="0"/>
                                      <w:marTop w:val="0"/>
                                      <w:marBottom w:val="0"/>
                                      <w:divBdr>
                                        <w:top w:val="none" w:sz="0" w:space="0" w:color="auto"/>
                                        <w:left w:val="none" w:sz="0" w:space="0" w:color="auto"/>
                                        <w:bottom w:val="none" w:sz="0" w:space="0" w:color="auto"/>
                                        <w:right w:val="none" w:sz="0" w:space="0" w:color="auto"/>
                                      </w:divBdr>
                                      <w:divsChild>
                                        <w:div w:id="1431924534">
                                          <w:marLeft w:val="0"/>
                                          <w:marRight w:val="0"/>
                                          <w:marTop w:val="0"/>
                                          <w:marBottom w:val="0"/>
                                          <w:divBdr>
                                            <w:top w:val="none" w:sz="0" w:space="0" w:color="auto"/>
                                            <w:left w:val="none" w:sz="0" w:space="0" w:color="auto"/>
                                            <w:bottom w:val="none" w:sz="0" w:space="0" w:color="auto"/>
                                            <w:right w:val="none" w:sz="0" w:space="0" w:color="auto"/>
                                          </w:divBdr>
                                          <w:divsChild>
                                            <w:div w:id="505562904">
                                              <w:marLeft w:val="0"/>
                                              <w:marRight w:val="0"/>
                                              <w:marTop w:val="0"/>
                                              <w:marBottom w:val="0"/>
                                              <w:divBdr>
                                                <w:top w:val="none" w:sz="0" w:space="0" w:color="auto"/>
                                                <w:left w:val="none" w:sz="0" w:space="0" w:color="auto"/>
                                                <w:bottom w:val="none" w:sz="0" w:space="0" w:color="auto"/>
                                                <w:right w:val="none" w:sz="0" w:space="0" w:color="auto"/>
                                              </w:divBdr>
                                              <w:divsChild>
                                                <w:div w:id="374938413">
                                                  <w:marLeft w:val="0"/>
                                                  <w:marRight w:val="0"/>
                                                  <w:marTop w:val="0"/>
                                                  <w:marBottom w:val="0"/>
                                                  <w:divBdr>
                                                    <w:top w:val="none" w:sz="0" w:space="0" w:color="auto"/>
                                                    <w:left w:val="none" w:sz="0" w:space="0" w:color="auto"/>
                                                    <w:bottom w:val="none" w:sz="0" w:space="0" w:color="auto"/>
                                                    <w:right w:val="none" w:sz="0" w:space="0" w:color="auto"/>
                                                  </w:divBdr>
                                                </w:div>
                                              </w:divsChild>
                                            </w:div>
                                            <w:div w:id="2119399503">
                                              <w:marLeft w:val="0"/>
                                              <w:marRight w:val="0"/>
                                              <w:marTop w:val="0"/>
                                              <w:marBottom w:val="0"/>
                                              <w:divBdr>
                                                <w:top w:val="none" w:sz="0" w:space="0" w:color="auto"/>
                                                <w:left w:val="none" w:sz="0" w:space="0" w:color="auto"/>
                                                <w:bottom w:val="none" w:sz="0" w:space="0" w:color="auto"/>
                                                <w:right w:val="none" w:sz="0" w:space="0" w:color="auto"/>
                                              </w:divBdr>
                                              <w:divsChild>
                                                <w:div w:id="203182419">
                                                  <w:marLeft w:val="0"/>
                                                  <w:marRight w:val="0"/>
                                                  <w:marTop w:val="0"/>
                                                  <w:marBottom w:val="0"/>
                                                  <w:divBdr>
                                                    <w:top w:val="none" w:sz="0" w:space="0" w:color="auto"/>
                                                    <w:left w:val="none" w:sz="0" w:space="0" w:color="auto"/>
                                                    <w:bottom w:val="none" w:sz="0" w:space="0" w:color="auto"/>
                                                    <w:right w:val="none" w:sz="0" w:space="0" w:color="auto"/>
                                                  </w:divBdr>
                                                </w:div>
                                              </w:divsChild>
                                            </w:div>
                                            <w:div w:id="1162425937">
                                              <w:marLeft w:val="0"/>
                                              <w:marRight w:val="0"/>
                                              <w:marTop w:val="0"/>
                                              <w:marBottom w:val="0"/>
                                              <w:divBdr>
                                                <w:top w:val="none" w:sz="0" w:space="0" w:color="auto"/>
                                                <w:left w:val="none" w:sz="0" w:space="0" w:color="auto"/>
                                                <w:bottom w:val="none" w:sz="0" w:space="0" w:color="auto"/>
                                                <w:right w:val="none" w:sz="0" w:space="0" w:color="auto"/>
                                              </w:divBdr>
                                              <w:divsChild>
                                                <w:div w:id="545684434">
                                                  <w:marLeft w:val="0"/>
                                                  <w:marRight w:val="0"/>
                                                  <w:marTop w:val="0"/>
                                                  <w:marBottom w:val="0"/>
                                                  <w:divBdr>
                                                    <w:top w:val="none" w:sz="0" w:space="0" w:color="auto"/>
                                                    <w:left w:val="none" w:sz="0" w:space="0" w:color="auto"/>
                                                    <w:bottom w:val="none" w:sz="0" w:space="0" w:color="auto"/>
                                                    <w:right w:val="none" w:sz="0" w:space="0" w:color="auto"/>
                                                  </w:divBdr>
                                                </w:div>
                                              </w:divsChild>
                                            </w:div>
                                            <w:div w:id="1161778948">
                                              <w:marLeft w:val="0"/>
                                              <w:marRight w:val="0"/>
                                              <w:marTop w:val="0"/>
                                              <w:marBottom w:val="0"/>
                                              <w:divBdr>
                                                <w:top w:val="none" w:sz="0" w:space="0" w:color="auto"/>
                                                <w:left w:val="none" w:sz="0" w:space="0" w:color="auto"/>
                                                <w:bottom w:val="none" w:sz="0" w:space="0" w:color="auto"/>
                                                <w:right w:val="none" w:sz="0" w:space="0" w:color="auto"/>
                                              </w:divBdr>
                                              <w:divsChild>
                                                <w:div w:id="16670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767713">
      <w:bodyDiv w:val="1"/>
      <w:marLeft w:val="0"/>
      <w:marRight w:val="0"/>
      <w:marTop w:val="0"/>
      <w:marBottom w:val="0"/>
      <w:divBdr>
        <w:top w:val="none" w:sz="0" w:space="0" w:color="auto"/>
        <w:left w:val="none" w:sz="0" w:space="0" w:color="auto"/>
        <w:bottom w:val="none" w:sz="0" w:space="0" w:color="auto"/>
        <w:right w:val="none" w:sz="0" w:space="0" w:color="auto"/>
      </w:divBdr>
    </w:div>
    <w:div w:id="582571419">
      <w:bodyDiv w:val="1"/>
      <w:marLeft w:val="0"/>
      <w:marRight w:val="0"/>
      <w:marTop w:val="0"/>
      <w:marBottom w:val="0"/>
      <w:divBdr>
        <w:top w:val="none" w:sz="0" w:space="0" w:color="auto"/>
        <w:left w:val="none" w:sz="0" w:space="0" w:color="auto"/>
        <w:bottom w:val="none" w:sz="0" w:space="0" w:color="auto"/>
        <w:right w:val="none" w:sz="0" w:space="0" w:color="auto"/>
      </w:divBdr>
      <w:divsChild>
        <w:div w:id="1446582384">
          <w:marLeft w:val="0"/>
          <w:marRight w:val="0"/>
          <w:marTop w:val="0"/>
          <w:marBottom w:val="0"/>
          <w:divBdr>
            <w:top w:val="none" w:sz="0" w:space="0" w:color="auto"/>
            <w:left w:val="none" w:sz="0" w:space="0" w:color="auto"/>
            <w:bottom w:val="none" w:sz="0" w:space="0" w:color="auto"/>
            <w:right w:val="none" w:sz="0" w:space="0" w:color="auto"/>
          </w:divBdr>
          <w:divsChild>
            <w:div w:id="922375463">
              <w:marLeft w:val="0"/>
              <w:marRight w:val="0"/>
              <w:marTop w:val="0"/>
              <w:marBottom w:val="0"/>
              <w:divBdr>
                <w:top w:val="none" w:sz="0" w:space="0" w:color="auto"/>
                <w:left w:val="none" w:sz="0" w:space="0" w:color="auto"/>
                <w:bottom w:val="none" w:sz="0" w:space="0" w:color="auto"/>
                <w:right w:val="none" w:sz="0" w:space="0" w:color="auto"/>
              </w:divBdr>
              <w:divsChild>
                <w:div w:id="1303387039">
                  <w:marLeft w:val="0"/>
                  <w:marRight w:val="0"/>
                  <w:marTop w:val="0"/>
                  <w:marBottom w:val="0"/>
                  <w:divBdr>
                    <w:top w:val="none" w:sz="0" w:space="0" w:color="auto"/>
                    <w:left w:val="none" w:sz="0" w:space="0" w:color="auto"/>
                    <w:bottom w:val="none" w:sz="0" w:space="0" w:color="auto"/>
                    <w:right w:val="none" w:sz="0" w:space="0" w:color="auto"/>
                  </w:divBdr>
                  <w:divsChild>
                    <w:div w:id="264196254">
                      <w:marLeft w:val="0"/>
                      <w:marRight w:val="0"/>
                      <w:marTop w:val="0"/>
                      <w:marBottom w:val="0"/>
                      <w:divBdr>
                        <w:top w:val="none" w:sz="0" w:space="0" w:color="auto"/>
                        <w:left w:val="none" w:sz="0" w:space="0" w:color="auto"/>
                        <w:bottom w:val="none" w:sz="0" w:space="0" w:color="auto"/>
                        <w:right w:val="none" w:sz="0" w:space="0" w:color="auto"/>
                      </w:divBdr>
                      <w:divsChild>
                        <w:div w:id="2223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106180">
      <w:bodyDiv w:val="1"/>
      <w:marLeft w:val="0"/>
      <w:marRight w:val="0"/>
      <w:marTop w:val="0"/>
      <w:marBottom w:val="0"/>
      <w:divBdr>
        <w:top w:val="none" w:sz="0" w:space="0" w:color="auto"/>
        <w:left w:val="none" w:sz="0" w:space="0" w:color="auto"/>
        <w:bottom w:val="none" w:sz="0" w:space="0" w:color="auto"/>
        <w:right w:val="none" w:sz="0" w:space="0" w:color="auto"/>
      </w:divBdr>
      <w:divsChild>
        <w:div w:id="1882201891">
          <w:marLeft w:val="0"/>
          <w:marRight w:val="0"/>
          <w:marTop w:val="0"/>
          <w:marBottom w:val="0"/>
          <w:divBdr>
            <w:top w:val="none" w:sz="0" w:space="0" w:color="auto"/>
            <w:left w:val="none" w:sz="0" w:space="0" w:color="auto"/>
            <w:bottom w:val="none" w:sz="0" w:space="0" w:color="auto"/>
            <w:right w:val="none" w:sz="0" w:space="0" w:color="auto"/>
          </w:divBdr>
          <w:divsChild>
            <w:div w:id="1401516897">
              <w:marLeft w:val="0"/>
              <w:marRight w:val="0"/>
              <w:marTop w:val="0"/>
              <w:marBottom w:val="0"/>
              <w:divBdr>
                <w:top w:val="none" w:sz="0" w:space="0" w:color="auto"/>
                <w:left w:val="none" w:sz="0" w:space="0" w:color="auto"/>
                <w:bottom w:val="none" w:sz="0" w:space="0" w:color="auto"/>
                <w:right w:val="none" w:sz="0" w:space="0" w:color="auto"/>
              </w:divBdr>
              <w:divsChild>
                <w:div w:id="1966349700">
                  <w:marLeft w:val="0"/>
                  <w:marRight w:val="0"/>
                  <w:marTop w:val="0"/>
                  <w:marBottom w:val="0"/>
                  <w:divBdr>
                    <w:top w:val="none" w:sz="0" w:space="0" w:color="auto"/>
                    <w:left w:val="none" w:sz="0" w:space="0" w:color="auto"/>
                    <w:bottom w:val="none" w:sz="0" w:space="0" w:color="auto"/>
                    <w:right w:val="none" w:sz="0" w:space="0" w:color="auto"/>
                  </w:divBdr>
                  <w:divsChild>
                    <w:div w:id="333337716">
                      <w:marLeft w:val="0"/>
                      <w:marRight w:val="0"/>
                      <w:marTop w:val="0"/>
                      <w:marBottom w:val="0"/>
                      <w:divBdr>
                        <w:top w:val="none" w:sz="0" w:space="0" w:color="auto"/>
                        <w:left w:val="none" w:sz="0" w:space="0" w:color="auto"/>
                        <w:bottom w:val="none" w:sz="0" w:space="0" w:color="auto"/>
                        <w:right w:val="none" w:sz="0" w:space="0" w:color="auto"/>
                      </w:divBdr>
                      <w:divsChild>
                        <w:div w:id="479077946">
                          <w:marLeft w:val="0"/>
                          <w:marRight w:val="0"/>
                          <w:marTop w:val="0"/>
                          <w:marBottom w:val="0"/>
                          <w:divBdr>
                            <w:top w:val="none" w:sz="0" w:space="0" w:color="auto"/>
                            <w:left w:val="none" w:sz="0" w:space="0" w:color="auto"/>
                            <w:bottom w:val="none" w:sz="0" w:space="0" w:color="auto"/>
                            <w:right w:val="none" w:sz="0" w:space="0" w:color="auto"/>
                          </w:divBdr>
                          <w:divsChild>
                            <w:div w:id="895354908">
                              <w:marLeft w:val="0"/>
                              <w:marRight w:val="0"/>
                              <w:marTop w:val="0"/>
                              <w:marBottom w:val="0"/>
                              <w:divBdr>
                                <w:top w:val="none" w:sz="0" w:space="0" w:color="auto"/>
                                <w:left w:val="none" w:sz="0" w:space="0" w:color="auto"/>
                                <w:bottom w:val="none" w:sz="0" w:space="0" w:color="auto"/>
                                <w:right w:val="none" w:sz="0" w:space="0" w:color="auto"/>
                              </w:divBdr>
                              <w:divsChild>
                                <w:div w:id="260450248">
                                  <w:marLeft w:val="0"/>
                                  <w:marRight w:val="0"/>
                                  <w:marTop w:val="0"/>
                                  <w:marBottom w:val="0"/>
                                  <w:divBdr>
                                    <w:top w:val="none" w:sz="0" w:space="0" w:color="auto"/>
                                    <w:left w:val="none" w:sz="0" w:space="0" w:color="auto"/>
                                    <w:bottom w:val="none" w:sz="0" w:space="0" w:color="auto"/>
                                    <w:right w:val="none" w:sz="0" w:space="0" w:color="auto"/>
                                  </w:divBdr>
                                  <w:divsChild>
                                    <w:div w:id="746540651">
                                      <w:marLeft w:val="0"/>
                                      <w:marRight w:val="0"/>
                                      <w:marTop w:val="0"/>
                                      <w:marBottom w:val="0"/>
                                      <w:divBdr>
                                        <w:top w:val="none" w:sz="0" w:space="0" w:color="auto"/>
                                        <w:left w:val="none" w:sz="0" w:space="0" w:color="auto"/>
                                        <w:bottom w:val="none" w:sz="0" w:space="0" w:color="auto"/>
                                        <w:right w:val="none" w:sz="0" w:space="0" w:color="auto"/>
                                      </w:divBdr>
                                      <w:divsChild>
                                        <w:div w:id="9024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883739">
      <w:bodyDiv w:val="1"/>
      <w:marLeft w:val="0"/>
      <w:marRight w:val="0"/>
      <w:marTop w:val="0"/>
      <w:marBottom w:val="0"/>
      <w:divBdr>
        <w:top w:val="none" w:sz="0" w:space="0" w:color="auto"/>
        <w:left w:val="none" w:sz="0" w:space="0" w:color="auto"/>
        <w:bottom w:val="none" w:sz="0" w:space="0" w:color="auto"/>
        <w:right w:val="none" w:sz="0" w:space="0" w:color="auto"/>
      </w:divBdr>
    </w:div>
    <w:div w:id="585960288">
      <w:bodyDiv w:val="1"/>
      <w:marLeft w:val="0"/>
      <w:marRight w:val="0"/>
      <w:marTop w:val="0"/>
      <w:marBottom w:val="0"/>
      <w:divBdr>
        <w:top w:val="none" w:sz="0" w:space="0" w:color="auto"/>
        <w:left w:val="none" w:sz="0" w:space="0" w:color="auto"/>
        <w:bottom w:val="none" w:sz="0" w:space="0" w:color="auto"/>
        <w:right w:val="none" w:sz="0" w:space="0" w:color="auto"/>
      </w:divBdr>
      <w:divsChild>
        <w:div w:id="976763202">
          <w:marLeft w:val="2400"/>
          <w:marRight w:val="0"/>
          <w:marTop w:val="0"/>
          <w:marBottom w:val="0"/>
          <w:divBdr>
            <w:top w:val="none" w:sz="0" w:space="0" w:color="auto"/>
            <w:left w:val="none" w:sz="0" w:space="0" w:color="auto"/>
            <w:bottom w:val="none" w:sz="0" w:space="0" w:color="auto"/>
            <w:right w:val="none" w:sz="0" w:space="0" w:color="auto"/>
          </w:divBdr>
          <w:divsChild>
            <w:div w:id="1712729406">
              <w:marLeft w:val="0"/>
              <w:marRight w:val="0"/>
              <w:marTop w:val="0"/>
              <w:marBottom w:val="0"/>
              <w:divBdr>
                <w:top w:val="none" w:sz="0" w:space="0" w:color="auto"/>
                <w:left w:val="none" w:sz="0" w:space="0" w:color="auto"/>
                <w:bottom w:val="none" w:sz="0" w:space="0" w:color="auto"/>
                <w:right w:val="none" w:sz="0" w:space="0" w:color="auto"/>
              </w:divBdr>
              <w:divsChild>
                <w:div w:id="1623801709">
                  <w:marLeft w:val="0"/>
                  <w:marRight w:val="0"/>
                  <w:marTop w:val="0"/>
                  <w:marBottom w:val="0"/>
                  <w:divBdr>
                    <w:top w:val="none" w:sz="0" w:space="0" w:color="auto"/>
                    <w:left w:val="none" w:sz="0" w:space="0" w:color="auto"/>
                    <w:bottom w:val="none" w:sz="0" w:space="0" w:color="auto"/>
                    <w:right w:val="none" w:sz="0" w:space="0" w:color="auto"/>
                  </w:divBdr>
                  <w:divsChild>
                    <w:div w:id="407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16194">
      <w:bodyDiv w:val="1"/>
      <w:marLeft w:val="0"/>
      <w:marRight w:val="0"/>
      <w:marTop w:val="0"/>
      <w:marBottom w:val="0"/>
      <w:divBdr>
        <w:top w:val="none" w:sz="0" w:space="0" w:color="auto"/>
        <w:left w:val="none" w:sz="0" w:space="0" w:color="auto"/>
        <w:bottom w:val="none" w:sz="0" w:space="0" w:color="auto"/>
        <w:right w:val="none" w:sz="0" w:space="0" w:color="auto"/>
      </w:divBdr>
      <w:divsChild>
        <w:div w:id="1507476005">
          <w:marLeft w:val="0"/>
          <w:marRight w:val="0"/>
          <w:marTop w:val="0"/>
          <w:marBottom w:val="0"/>
          <w:divBdr>
            <w:top w:val="none" w:sz="0" w:space="0" w:color="auto"/>
            <w:left w:val="none" w:sz="0" w:space="0" w:color="auto"/>
            <w:bottom w:val="none" w:sz="0" w:space="0" w:color="auto"/>
            <w:right w:val="none" w:sz="0" w:space="0" w:color="auto"/>
          </w:divBdr>
          <w:divsChild>
            <w:div w:id="837693826">
              <w:marLeft w:val="0"/>
              <w:marRight w:val="0"/>
              <w:marTop w:val="0"/>
              <w:marBottom w:val="0"/>
              <w:divBdr>
                <w:top w:val="none" w:sz="0" w:space="0" w:color="auto"/>
                <w:left w:val="none" w:sz="0" w:space="0" w:color="auto"/>
                <w:bottom w:val="none" w:sz="0" w:space="0" w:color="auto"/>
                <w:right w:val="none" w:sz="0" w:space="0" w:color="auto"/>
              </w:divBdr>
              <w:divsChild>
                <w:div w:id="1545870783">
                  <w:marLeft w:val="0"/>
                  <w:marRight w:val="0"/>
                  <w:marTop w:val="100"/>
                  <w:marBottom w:val="100"/>
                  <w:divBdr>
                    <w:top w:val="none" w:sz="0" w:space="0" w:color="auto"/>
                    <w:left w:val="none" w:sz="0" w:space="0" w:color="auto"/>
                    <w:bottom w:val="none" w:sz="0" w:space="0" w:color="auto"/>
                    <w:right w:val="none" w:sz="0" w:space="0" w:color="auto"/>
                  </w:divBdr>
                  <w:divsChild>
                    <w:div w:id="50232568">
                      <w:marLeft w:val="0"/>
                      <w:marRight w:val="0"/>
                      <w:marTop w:val="0"/>
                      <w:marBottom w:val="0"/>
                      <w:divBdr>
                        <w:top w:val="none" w:sz="0" w:space="0" w:color="auto"/>
                        <w:left w:val="none" w:sz="0" w:space="0" w:color="auto"/>
                        <w:bottom w:val="none" w:sz="0" w:space="0" w:color="auto"/>
                        <w:right w:val="none" w:sz="0" w:space="0" w:color="auto"/>
                      </w:divBdr>
                      <w:divsChild>
                        <w:div w:id="1886717068">
                          <w:marLeft w:val="0"/>
                          <w:marRight w:val="0"/>
                          <w:marTop w:val="0"/>
                          <w:marBottom w:val="0"/>
                          <w:divBdr>
                            <w:top w:val="none" w:sz="0" w:space="0" w:color="auto"/>
                            <w:left w:val="none" w:sz="0" w:space="0" w:color="auto"/>
                            <w:bottom w:val="none" w:sz="0" w:space="0" w:color="auto"/>
                            <w:right w:val="none" w:sz="0" w:space="0" w:color="auto"/>
                          </w:divBdr>
                          <w:divsChild>
                            <w:div w:id="2034570805">
                              <w:marLeft w:val="0"/>
                              <w:marRight w:val="0"/>
                              <w:marTop w:val="0"/>
                              <w:marBottom w:val="0"/>
                              <w:divBdr>
                                <w:top w:val="none" w:sz="0" w:space="0" w:color="auto"/>
                                <w:left w:val="none" w:sz="0" w:space="0" w:color="auto"/>
                                <w:bottom w:val="none" w:sz="0" w:space="0" w:color="auto"/>
                                <w:right w:val="none" w:sz="0" w:space="0" w:color="auto"/>
                              </w:divBdr>
                              <w:divsChild>
                                <w:div w:id="2048066713">
                                  <w:marLeft w:val="0"/>
                                  <w:marRight w:val="0"/>
                                  <w:marTop w:val="0"/>
                                  <w:marBottom w:val="0"/>
                                  <w:divBdr>
                                    <w:top w:val="none" w:sz="0" w:space="0" w:color="auto"/>
                                    <w:left w:val="none" w:sz="0" w:space="0" w:color="auto"/>
                                    <w:bottom w:val="none" w:sz="0" w:space="0" w:color="auto"/>
                                    <w:right w:val="none" w:sz="0" w:space="0" w:color="auto"/>
                                  </w:divBdr>
                                  <w:divsChild>
                                    <w:div w:id="312569882">
                                      <w:marLeft w:val="0"/>
                                      <w:marRight w:val="0"/>
                                      <w:marTop w:val="0"/>
                                      <w:marBottom w:val="0"/>
                                      <w:divBdr>
                                        <w:top w:val="none" w:sz="0" w:space="0" w:color="auto"/>
                                        <w:left w:val="none" w:sz="0" w:space="0" w:color="auto"/>
                                        <w:bottom w:val="none" w:sz="0" w:space="0" w:color="auto"/>
                                        <w:right w:val="none" w:sz="0" w:space="0" w:color="auto"/>
                                      </w:divBdr>
                                    </w:div>
                                    <w:div w:id="1457992043">
                                      <w:marLeft w:val="0"/>
                                      <w:marRight w:val="0"/>
                                      <w:marTop w:val="0"/>
                                      <w:marBottom w:val="0"/>
                                      <w:divBdr>
                                        <w:top w:val="none" w:sz="0" w:space="0" w:color="auto"/>
                                        <w:left w:val="none" w:sz="0" w:space="0" w:color="auto"/>
                                        <w:bottom w:val="none" w:sz="0" w:space="0" w:color="auto"/>
                                        <w:right w:val="none" w:sz="0" w:space="0" w:color="auto"/>
                                      </w:divBdr>
                                      <w:divsChild>
                                        <w:div w:id="1528635617">
                                          <w:marLeft w:val="0"/>
                                          <w:marRight w:val="0"/>
                                          <w:marTop w:val="0"/>
                                          <w:marBottom w:val="0"/>
                                          <w:divBdr>
                                            <w:top w:val="single" w:sz="6" w:space="4" w:color="CCCCCC"/>
                                            <w:left w:val="none" w:sz="0" w:space="0" w:color="auto"/>
                                            <w:bottom w:val="none" w:sz="0" w:space="0" w:color="auto"/>
                                            <w:right w:val="none" w:sz="0" w:space="0" w:color="auto"/>
                                          </w:divBdr>
                                          <w:divsChild>
                                            <w:div w:id="892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809863">
      <w:bodyDiv w:val="1"/>
      <w:marLeft w:val="0"/>
      <w:marRight w:val="0"/>
      <w:marTop w:val="0"/>
      <w:marBottom w:val="0"/>
      <w:divBdr>
        <w:top w:val="none" w:sz="0" w:space="0" w:color="auto"/>
        <w:left w:val="none" w:sz="0" w:space="0" w:color="auto"/>
        <w:bottom w:val="none" w:sz="0" w:space="0" w:color="auto"/>
        <w:right w:val="none" w:sz="0" w:space="0" w:color="auto"/>
      </w:divBdr>
      <w:divsChild>
        <w:div w:id="1933079401">
          <w:marLeft w:val="0"/>
          <w:marRight w:val="0"/>
          <w:marTop w:val="0"/>
          <w:marBottom w:val="0"/>
          <w:divBdr>
            <w:top w:val="none" w:sz="0" w:space="0" w:color="auto"/>
            <w:left w:val="none" w:sz="0" w:space="0" w:color="auto"/>
            <w:bottom w:val="none" w:sz="0" w:space="0" w:color="auto"/>
            <w:right w:val="none" w:sz="0" w:space="0" w:color="auto"/>
          </w:divBdr>
          <w:divsChild>
            <w:div w:id="1975134040">
              <w:marLeft w:val="0"/>
              <w:marRight w:val="0"/>
              <w:marTop w:val="0"/>
              <w:marBottom w:val="0"/>
              <w:divBdr>
                <w:top w:val="none" w:sz="0" w:space="0" w:color="auto"/>
                <w:left w:val="none" w:sz="0" w:space="0" w:color="auto"/>
                <w:bottom w:val="none" w:sz="0" w:space="0" w:color="auto"/>
                <w:right w:val="none" w:sz="0" w:space="0" w:color="auto"/>
              </w:divBdr>
              <w:divsChild>
                <w:div w:id="210114017">
                  <w:marLeft w:val="0"/>
                  <w:marRight w:val="0"/>
                  <w:marTop w:val="100"/>
                  <w:marBottom w:val="100"/>
                  <w:divBdr>
                    <w:top w:val="none" w:sz="0" w:space="0" w:color="auto"/>
                    <w:left w:val="none" w:sz="0" w:space="0" w:color="auto"/>
                    <w:bottom w:val="none" w:sz="0" w:space="0" w:color="auto"/>
                    <w:right w:val="none" w:sz="0" w:space="0" w:color="auto"/>
                  </w:divBdr>
                  <w:divsChild>
                    <w:div w:id="420952689">
                      <w:marLeft w:val="0"/>
                      <w:marRight w:val="0"/>
                      <w:marTop w:val="0"/>
                      <w:marBottom w:val="0"/>
                      <w:divBdr>
                        <w:top w:val="none" w:sz="0" w:space="0" w:color="auto"/>
                        <w:left w:val="none" w:sz="0" w:space="0" w:color="auto"/>
                        <w:bottom w:val="none" w:sz="0" w:space="0" w:color="auto"/>
                        <w:right w:val="none" w:sz="0" w:space="0" w:color="auto"/>
                      </w:divBdr>
                      <w:divsChild>
                        <w:div w:id="1966765712">
                          <w:marLeft w:val="0"/>
                          <w:marRight w:val="0"/>
                          <w:marTop w:val="0"/>
                          <w:marBottom w:val="0"/>
                          <w:divBdr>
                            <w:top w:val="none" w:sz="0" w:space="0" w:color="auto"/>
                            <w:left w:val="none" w:sz="0" w:space="0" w:color="auto"/>
                            <w:bottom w:val="none" w:sz="0" w:space="0" w:color="auto"/>
                            <w:right w:val="none" w:sz="0" w:space="0" w:color="auto"/>
                          </w:divBdr>
                          <w:divsChild>
                            <w:div w:id="978464257">
                              <w:marLeft w:val="0"/>
                              <w:marRight w:val="0"/>
                              <w:marTop w:val="0"/>
                              <w:marBottom w:val="0"/>
                              <w:divBdr>
                                <w:top w:val="none" w:sz="0" w:space="0" w:color="auto"/>
                                <w:left w:val="none" w:sz="0" w:space="0" w:color="auto"/>
                                <w:bottom w:val="none" w:sz="0" w:space="0" w:color="auto"/>
                                <w:right w:val="none" w:sz="0" w:space="0" w:color="auto"/>
                              </w:divBdr>
                              <w:divsChild>
                                <w:div w:id="1662466200">
                                  <w:marLeft w:val="0"/>
                                  <w:marRight w:val="0"/>
                                  <w:marTop w:val="0"/>
                                  <w:marBottom w:val="0"/>
                                  <w:divBdr>
                                    <w:top w:val="none" w:sz="0" w:space="0" w:color="auto"/>
                                    <w:left w:val="none" w:sz="0" w:space="0" w:color="auto"/>
                                    <w:bottom w:val="none" w:sz="0" w:space="0" w:color="auto"/>
                                    <w:right w:val="none" w:sz="0" w:space="0" w:color="auto"/>
                                  </w:divBdr>
                                  <w:divsChild>
                                    <w:div w:id="20173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470459">
      <w:bodyDiv w:val="1"/>
      <w:marLeft w:val="0"/>
      <w:marRight w:val="0"/>
      <w:marTop w:val="0"/>
      <w:marBottom w:val="0"/>
      <w:divBdr>
        <w:top w:val="none" w:sz="0" w:space="0" w:color="auto"/>
        <w:left w:val="none" w:sz="0" w:space="0" w:color="auto"/>
        <w:bottom w:val="none" w:sz="0" w:space="0" w:color="auto"/>
        <w:right w:val="none" w:sz="0" w:space="0" w:color="auto"/>
      </w:divBdr>
    </w:div>
    <w:div w:id="590167731">
      <w:bodyDiv w:val="1"/>
      <w:marLeft w:val="0"/>
      <w:marRight w:val="0"/>
      <w:marTop w:val="0"/>
      <w:marBottom w:val="0"/>
      <w:divBdr>
        <w:top w:val="none" w:sz="0" w:space="0" w:color="auto"/>
        <w:left w:val="none" w:sz="0" w:space="0" w:color="auto"/>
        <w:bottom w:val="none" w:sz="0" w:space="0" w:color="auto"/>
        <w:right w:val="none" w:sz="0" w:space="0" w:color="auto"/>
      </w:divBdr>
      <w:divsChild>
        <w:div w:id="1612973127">
          <w:marLeft w:val="0"/>
          <w:marRight w:val="0"/>
          <w:marTop w:val="0"/>
          <w:marBottom w:val="0"/>
          <w:divBdr>
            <w:top w:val="none" w:sz="0" w:space="0" w:color="auto"/>
            <w:left w:val="none" w:sz="0" w:space="0" w:color="auto"/>
            <w:bottom w:val="none" w:sz="0" w:space="0" w:color="auto"/>
            <w:right w:val="none" w:sz="0" w:space="0" w:color="auto"/>
          </w:divBdr>
          <w:divsChild>
            <w:div w:id="493034831">
              <w:marLeft w:val="0"/>
              <w:marRight w:val="-100"/>
              <w:marTop w:val="1050"/>
              <w:marBottom w:val="0"/>
              <w:divBdr>
                <w:top w:val="none" w:sz="0" w:space="0" w:color="auto"/>
                <w:left w:val="none" w:sz="0" w:space="0" w:color="auto"/>
                <w:bottom w:val="none" w:sz="0" w:space="0" w:color="auto"/>
                <w:right w:val="none" w:sz="0" w:space="0" w:color="auto"/>
              </w:divBdr>
              <w:divsChild>
                <w:div w:id="84308841">
                  <w:marLeft w:val="3450"/>
                  <w:marRight w:val="0"/>
                  <w:marTop w:val="330"/>
                  <w:marBottom w:val="0"/>
                  <w:divBdr>
                    <w:top w:val="none" w:sz="0" w:space="0" w:color="auto"/>
                    <w:left w:val="none" w:sz="0" w:space="0" w:color="auto"/>
                    <w:bottom w:val="none" w:sz="0" w:space="0" w:color="auto"/>
                    <w:right w:val="none" w:sz="0" w:space="0" w:color="auto"/>
                  </w:divBdr>
                  <w:divsChild>
                    <w:div w:id="1236624124">
                      <w:marLeft w:val="0"/>
                      <w:marRight w:val="0"/>
                      <w:marTop w:val="0"/>
                      <w:marBottom w:val="0"/>
                      <w:divBdr>
                        <w:top w:val="none" w:sz="0" w:space="0" w:color="auto"/>
                        <w:left w:val="none" w:sz="0" w:space="0" w:color="auto"/>
                        <w:bottom w:val="none" w:sz="0" w:space="0" w:color="auto"/>
                        <w:right w:val="none" w:sz="0" w:space="0" w:color="auto"/>
                      </w:divBdr>
                      <w:divsChild>
                        <w:div w:id="19722477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03310">
      <w:bodyDiv w:val="1"/>
      <w:marLeft w:val="0"/>
      <w:marRight w:val="0"/>
      <w:marTop w:val="0"/>
      <w:marBottom w:val="0"/>
      <w:divBdr>
        <w:top w:val="none" w:sz="0" w:space="0" w:color="auto"/>
        <w:left w:val="none" w:sz="0" w:space="0" w:color="auto"/>
        <w:bottom w:val="none" w:sz="0" w:space="0" w:color="auto"/>
        <w:right w:val="none" w:sz="0" w:space="0" w:color="auto"/>
      </w:divBdr>
      <w:divsChild>
        <w:div w:id="217327152">
          <w:marLeft w:val="0"/>
          <w:marRight w:val="0"/>
          <w:marTop w:val="0"/>
          <w:marBottom w:val="0"/>
          <w:divBdr>
            <w:top w:val="none" w:sz="0" w:space="0" w:color="auto"/>
            <w:left w:val="none" w:sz="0" w:space="0" w:color="auto"/>
            <w:bottom w:val="none" w:sz="0" w:space="0" w:color="auto"/>
            <w:right w:val="none" w:sz="0" w:space="0" w:color="auto"/>
          </w:divBdr>
          <w:divsChild>
            <w:div w:id="909313742">
              <w:marLeft w:val="0"/>
              <w:marRight w:val="0"/>
              <w:marTop w:val="0"/>
              <w:marBottom w:val="0"/>
              <w:divBdr>
                <w:top w:val="none" w:sz="0" w:space="0" w:color="auto"/>
                <w:left w:val="none" w:sz="0" w:space="0" w:color="auto"/>
                <w:bottom w:val="none" w:sz="0" w:space="0" w:color="auto"/>
                <w:right w:val="none" w:sz="0" w:space="0" w:color="auto"/>
              </w:divBdr>
              <w:divsChild>
                <w:div w:id="771974900">
                  <w:marLeft w:val="0"/>
                  <w:marRight w:val="0"/>
                  <w:marTop w:val="0"/>
                  <w:marBottom w:val="0"/>
                  <w:divBdr>
                    <w:top w:val="none" w:sz="0" w:space="0" w:color="auto"/>
                    <w:left w:val="none" w:sz="0" w:space="0" w:color="auto"/>
                    <w:bottom w:val="none" w:sz="0" w:space="0" w:color="auto"/>
                    <w:right w:val="none" w:sz="0" w:space="0" w:color="auto"/>
                  </w:divBdr>
                  <w:divsChild>
                    <w:div w:id="321587889">
                      <w:marLeft w:val="0"/>
                      <w:marRight w:val="0"/>
                      <w:marTop w:val="0"/>
                      <w:marBottom w:val="0"/>
                      <w:divBdr>
                        <w:top w:val="none" w:sz="0" w:space="0" w:color="auto"/>
                        <w:left w:val="none" w:sz="0" w:space="0" w:color="auto"/>
                        <w:bottom w:val="none" w:sz="0" w:space="0" w:color="auto"/>
                        <w:right w:val="none" w:sz="0" w:space="0" w:color="auto"/>
                      </w:divBdr>
                      <w:divsChild>
                        <w:div w:id="1859274931">
                          <w:marLeft w:val="0"/>
                          <w:marRight w:val="0"/>
                          <w:marTop w:val="0"/>
                          <w:marBottom w:val="0"/>
                          <w:divBdr>
                            <w:top w:val="none" w:sz="0" w:space="0" w:color="auto"/>
                            <w:left w:val="none" w:sz="0" w:space="0" w:color="auto"/>
                            <w:bottom w:val="none" w:sz="0" w:space="0" w:color="auto"/>
                            <w:right w:val="none" w:sz="0" w:space="0" w:color="auto"/>
                          </w:divBdr>
                          <w:divsChild>
                            <w:div w:id="215051214">
                              <w:marLeft w:val="0"/>
                              <w:marRight w:val="0"/>
                              <w:marTop w:val="0"/>
                              <w:marBottom w:val="0"/>
                              <w:divBdr>
                                <w:top w:val="none" w:sz="0" w:space="0" w:color="auto"/>
                                <w:left w:val="none" w:sz="0" w:space="0" w:color="auto"/>
                                <w:bottom w:val="none" w:sz="0" w:space="0" w:color="auto"/>
                                <w:right w:val="none" w:sz="0" w:space="0" w:color="auto"/>
                              </w:divBdr>
                              <w:divsChild>
                                <w:div w:id="96296667">
                                  <w:marLeft w:val="0"/>
                                  <w:marRight w:val="0"/>
                                  <w:marTop w:val="0"/>
                                  <w:marBottom w:val="0"/>
                                  <w:divBdr>
                                    <w:top w:val="none" w:sz="0" w:space="0" w:color="auto"/>
                                    <w:left w:val="none" w:sz="0" w:space="0" w:color="auto"/>
                                    <w:bottom w:val="none" w:sz="0" w:space="0" w:color="auto"/>
                                    <w:right w:val="none" w:sz="0" w:space="0" w:color="auto"/>
                                  </w:divBdr>
                                  <w:divsChild>
                                    <w:div w:id="108010882">
                                      <w:marLeft w:val="0"/>
                                      <w:marRight w:val="0"/>
                                      <w:marTop w:val="0"/>
                                      <w:marBottom w:val="0"/>
                                      <w:divBdr>
                                        <w:top w:val="none" w:sz="0" w:space="0" w:color="auto"/>
                                        <w:left w:val="none" w:sz="0" w:space="0" w:color="auto"/>
                                        <w:bottom w:val="none" w:sz="0" w:space="0" w:color="auto"/>
                                        <w:right w:val="none" w:sz="0" w:space="0" w:color="auto"/>
                                      </w:divBdr>
                                      <w:divsChild>
                                        <w:div w:id="1106196207">
                                          <w:marLeft w:val="0"/>
                                          <w:marRight w:val="0"/>
                                          <w:marTop w:val="0"/>
                                          <w:marBottom w:val="0"/>
                                          <w:divBdr>
                                            <w:top w:val="none" w:sz="0" w:space="0" w:color="auto"/>
                                            <w:left w:val="none" w:sz="0" w:space="0" w:color="auto"/>
                                            <w:bottom w:val="none" w:sz="0" w:space="0" w:color="auto"/>
                                            <w:right w:val="none" w:sz="0" w:space="0" w:color="auto"/>
                                          </w:divBdr>
                                          <w:divsChild>
                                            <w:div w:id="1159151892">
                                              <w:marLeft w:val="0"/>
                                              <w:marRight w:val="0"/>
                                              <w:marTop w:val="0"/>
                                              <w:marBottom w:val="0"/>
                                              <w:divBdr>
                                                <w:top w:val="none" w:sz="0" w:space="0" w:color="auto"/>
                                                <w:left w:val="none" w:sz="0" w:space="0" w:color="auto"/>
                                                <w:bottom w:val="none" w:sz="0" w:space="0" w:color="auto"/>
                                                <w:right w:val="none" w:sz="0" w:space="0" w:color="auto"/>
                                              </w:divBdr>
                                              <w:divsChild>
                                                <w:div w:id="344551003">
                                                  <w:marLeft w:val="0"/>
                                                  <w:marRight w:val="0"/>
                                                  <w:marTop w:val="0"/>
                                                  <w:marBottom w:val="0"/>
                                                  <w:divBdr>
                                                    <w:top w:val="none" w:sz="0" w:space="0" w:color="auto"/>
                                                    <w:left w:val="none" w:sz="0" w:space="0" w:color="auto"/>
                                                    <w:bottom w:val="none" w:sz="0" w:space="0" w:color="auto"/>
                                                    <w:right w:val="none" w:sz="0" w:space="0" w:color="auto"/>
                                                  </w:divBdr>
                                                  <w:divsChild>
                                                    <w:div w:id="1443456174">
                                                      <w:marLeft w:val="0"/>
                                                      <w:marRight w:val="0"/>
                                                      <w:marTop w:val="0"/>
                                                      <w:marBottom w:val="0"/>
                                                      <w:divBdr>
                                                        <w:top w:val="none" w:sz="0" w:space="0" w:color="auto"/>
                                                        <w:left w:val="none" w:sz="0" w:space="0" w:color="auto"/>
                                                        <w:bottom w:val="none" w:sz="0" w:space="0" w:color="auto"/>
                                                        <w:right w:val="none" w:sz="0" w:space="0" w:color="auto"/>
                                                      </w:divBdr>
                                                      <w:divsChild>
                                                        <w:div w:id="4029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1664237">
      <w:bodyDiv w:val="1"/>
      <w:marLeft w:val="0"/>
      <w:marRight w:val="0"/>
      <w:marTop w:val="0"/>
      <w:marBottom w:val="0"/>
      <w:divBdr>
        <w:top w:val="none" w:sz="0" w:space="0" w:color="auto"/>
        <w:left w:val="none" w:sz="0" w:space="0" w:color="auto"/>
        <w:bottom w:val="none" w:sz="0" w:space="0" w:color="auto"/>
        <w:right w:val="none" w:sz="0" w:space="0" w:color="auto"/>
      </w:divBdr>
      <w:divsChild>
        <w:div w:id="1905406680">
          <w:marLeft w:val="0"/>
          <w:marRight w:val="0"/>
          <w:marTop w:val="0"/>
          <w:marBottom w:val="0"/>
          <w:divBdr>
            <w:top w:val="none" w:sz="0" w:space="0" w:color="auto"/>
            <w:left w:val="none" w:sz="0" w:space="0" w:color="auto"/>
            <w:bottom w:val="none" w:sz="0" w:space="0" w:color="auto"/>
            <w:right w:val="none" w:sz="0" w:space="0" w:color="auto"/>
          </w:divBdr>
          <w:divsChild>
            <w:div w:id="1887137609">
              <w:marLeft w:val="0"/>
              <w:marRight w:val="0"/>
              <w:marTop w:val="150"/>
              <w:marBottom w:val="0"/>
              <w:divBdr>
                <w:top w:val="none" w:sz="0" w:space="0" w:color="auto"/>
                <w:left w:val="none" w:sz="0" w:space="0" w:color="auto"/>
                <w:bottom w:val="none" w:sz="0" w:space="0" w:color="auto"/>
                <w:right w:val="none" w:sz="0" w:space="0" w:color="auto"/>
              </w:divBdr>
              <w:divsChild>
                <w:div w:id="380062721">
                  <w:marLeft w:val="0"/>
                  <w:marRight w:val="0"/>
                  <w:marTop w:val="0"/>
                  <w:marBottom w:val="0"/>
                  <w:divBdr>
                    <w:top w:val="none" w:sz="0" w:space="0" w:color="auto"/>
                    <w:left w:val="none" w:sz="0" w:space="0" w:color="auto"/>
                    <w:bottom w:val="none" w:sz="0" w:space="0" w:color="auto"/>
                    <w:right w:val="none" w:sz="0" w:space="0" w:color="auto"/>
                  </w:divBdr>
                  <w:divsChild>
                    <w:div w:id="433021656">
                      <w:marLeft w:val="0"/>
                      <w:marRight w:val="0"/>
                      <w:marTop w:val="0"/>
                      <w:marBottom w:val="0"/>
                      <w:divBdr>
                        <w:top w:val="none" w:sz="0" w:space="0" w:color="auto"/>
                        <w:left w:val="none" w:sz="0" w:space="0" w:color="auto"/>
                        <w:bottom w:val="none" w:sz="0" w:space="0" w:color="auto"/>
                        <w:right w:val="none" w:sz="0" w:space="0" w:color="auto"/>
                      </w:divBdr>
                      <w:divsChild>
                        <w:div w:id="952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049656">
      <w:bodyDiv w:val="1"/>
      <w:marLeft w:val="0"/>
      <w:marRight w:val="0"/>
      <w:marTop w:val="0"/>
      <w:marBottom w:val="0"/>
      <w:divBdr>
        <w:top w:val="none" w:sz="0" w:space="0" w:color="auto"/>
        <w:left w:val="none" w:sz="0" w:space="0" w:color="auto"/>
        <w:bottom w:val="none" w:sz="0" w:space="0" w:color="auto"/>
        <w:right w:val="none" w:sz="0" w:space="0" w:color="auto"/>
      </w:divBdr>
      <w:divsChild>
        <w:div w:id="891233143">
          <w:marLeft w:val="0"/>
          <w:marRight w:val="0"/>
          <w:marTop w:val="0"/>
          <w:marBottom w:val="0"/>
          <w:divBdr>
            <w:top w:val="none" w:sz="0" w:space="0" w:color="auto"/>
            <w:left w:val="none" w:sz="0" w:space="0" w:color="auto"/>
            <w:bottom w:val="none" w:sz="0" w:space="0" w:color="auto"/>
            <w:right w:val="none" w:sz="0" w:space="0" w:color="auto"/>
          </w:divBdr>
          <w:divsChild>
            <w:div w:id="472410411">
              <w:marLeft w:val="0"/>
              <w:marRight w:val="0"/>
              <w:marTop w:val="0"/>
              <w:marBottom w:val="0"/>
              <w:divBdr>
                <w:top w:val="none" w:sz="0" w:space="0" w:color="auto"/>
                <w:left w:val="none" w:sz="0" w:space="0" w:color="auto"/>
                <w:bottom w:val="none" w:sz="0" w:space="0" w:color="auto"/>
                <w:right w:val="none" w:sz="0" w:space="0" w:color="auto"/>
              </w:divBdr>
              <w:divsChild>
                <w:div w:id="1701391354">
                  <w:marLeft w:val="0"/>
                  <w:marRight w:val="0"/>
                  <w:marTop w:val="0"/>
                  <w:marBottom w:val="0"/>
                  <w:divBdr>
                    <w:top w:val="none" w:sz="0" w:space="0" w:color="auto"/>
                    <w:left w:val="none" w:sz="0" w:space="0" w:color="auto"/>
                    <w:bottom w:val="none" w:sz="0" w:space="0" w:color="auto"/>
                    <w:right w:val="none" w:sz="0" w:space="0" w:color="auto"/>
                  </w:divBdr>
                  <w:divsChild>
                    <w:div w:id="1009600803">
                      <w:marLeft w:val="0"/>
                      <w:marRight w:val="0"/>
                      <w:marTop w:val="0"/>
                      <w:marBottom w:val="0"/>
                      <w:divBdr>
                        <w:top w:val="none" w:sz="0" w:space="0" w:color="auto"/>
                        <w:left w:val="none" w:sz="0" w:space="0" w:color="auto"/>
                        <w:bottom w:val="none" w:sz="0" w:space="0" w:color="auto"/>
                        <w:right w:val="none" w:sz="0" w:space="0" w:color="auto"/>
                      </w:divBdr>
                      <w:divsChild>
                        <w:div w:id="458648231">
                          <w:marLeft w:val="0"/>
                          <w:marRight w:val="0"/>
                          <w:marTop w:val="0"/>
                          <w:marBottom w:val="0"/>
                          <w:divBdr>
                            <w:top w:val="none" w:sz="0" w:space="0" w:color="auto"/>
                            <w:left w:val="none" w:sz="0" w:space="0" w:color="auto"/>
                            <w:bottom w:val="none" w:sz="0" w:space="0" w:color="auto"/>
                            <w:right w:val="none" w:sz="0" w:space="0" w:color="auto"/>
                          </w:divBdr>
                          <w:divsChild>
                            <w:div w:id="407969581">
                              <w:marLeft w:val="0"/>
                              <w:marRight w:val="0"/>
                              <w:marTop w:val="0"/>
                              <w:marBottom w:val="0"/>
                              <w:divBdr>
                                <w:top w:val="none" w:sz="0" w:space="0" w:color="auto"/>
                                <w:left w:val="none" w:sz="0" w:space="0" w:color="auto"/>
                                <w:bottom w:val="none" w:sz="0" w:space="0" w:color="auto"/>
                                <w:right w:val="none" w:sz="0" w:space="0" w:color="auto"/>
                              </w:divBdr>
                              <w:divsChild>
                                <w:div w:id="939799506">
                                  <w:marLeft w:val="0"/>
                                  <w:marRight w:val="0"/>
                                  <w:marTop w:val="0"/>
                                  <w:marBottom w:val="0"/>
                                  <w:divBdr>
                                    <w:top w:val="none" w:sz="0" w:space="0" w:color="auto"/>
                                    <w:left w:val="none" w:sz="0" w:space="0" w:color="auto"/>
                                    <w:bottom w:val="none" w:sz="0" w:space="0" w:color="auto"/>
                                    <w:right w:val="none" w:sz="0" w:space="0" w:color="auto"/>
                                  </w:divBdr>
                                  <w:divsChild>
                                    <w:div w:id="1684942192">
                                      <w:marLeft w:val="0"/>
                                      <w:marRight w:val="0"/>
                                      <w:marTop w:val="0"/>
                                      <w:marBottom w:val="0"/>
                                      <w:divBdr>
                                        <w:top w:val="none" w:sz="0" w:space="0" w:color="auto"/>
                                        <w:left w:val="none" w:sz="0" w:space="0" w:color="auto"/>
                                        <w:bottom w:val="none" w:sz="0" w:space="0" w:color="auto"/>
                                        <w:right w:val="none" w:sz="0" w:space="0" w:color="auto"/>
                                      </w:divBdr>
                                      <w:divsChild>
                                        <w:div w:id="1520969773">
                                          <w:marLeft w:val="0"/>
                                          <w:marRight w:val="0"/>
                                          <w:marTop w:val="0"/>
                                          <w:marBottom w:val="0"/>
                                          <w:divBdr>
                                            <w:top w:val="none" w:sz="0" w:space="0" w:color="auto"/>
                                            <w:left w:val="none" w:sz="0" w:space="0" w:color="auto"/>
                                            <w:bottom w:val="none" w:sz="0" w:space="0" w:color="auto"/>
                                            <w:right w:val="none" w:sz="0" w:space="0" w:color="auto"/>
                                          </w:divBdr>
                                          <w:divsChild>
                                            <w:div w:id="1719666010">
                                              <w:marLeft w:val="0"/>
                                              <w:marRight w:val="0"/>
                                              <w:marTop w:val="0"/>
                                              <w:marBottom w:val="0"/>
                                              <w:divBdr>
                                                <w:top w:val="none" w:sz="0" w:space="0" w:color="auto"/>
                                                <w:left w:val="none" w:sz="0" w:space="0" w:color="auto"/>
                                                <w:bottom w:val="none" w:sz="0" w:space="0" w:color="auto"/>
                                                <w:right w:val="none" w:sz="0" w:space="0" w:color="auto"/>
                                              </w:divBdr>
                                              <w:divsChild>
                                                <w:div w:id="515071472">
                                                  <w:marLeft w:val="0"/>
                                                  <w:marRight w:val="0"/>
                                                  <w:marTop w:val="0"/>
                                                  <w:marBottom w:val="0"/>
                                                  <w:divBdr>
                                                    <w:top w:val="none" w:sz="0" w:space="0" w:color="auto"/>
                                                    <w:left w:val="none" w:sz="0" w:space="0" w:color="auto"/>
                                                    <w:bottom w:val="none" w:sz="0" w:space="0" w:color="auto"/>
                                                    <w:right w:val="none" w:sz="0" w:space="0" w:color="auto"/>
                                                  </w:divBdr>
                                                  <w:divsChild>
                                                    <w:div w:id="269506820">
                                                      <w:marLeft w:val="0"/>
                                                      <w:marRight w:val="0"/>
                                                      <w:marTop w:val="0"/>
                                                      <w:marBottom w:val="0"/>
                                                      <w:divBdr>
                                                        <w:top w:val="none" w:sz="0" w:space="0" w:color="auto"/>
                                                        <w:left w:val="none" w:sz="0" w:space="0" w:color="auto"/>
                                                        <w:bottom w:val="none" w:sz="0" w:space="0" w:color="auto"/>
                                                        <w:right w:val="none" w:sz="0" w:space="0" w:color="auto"/>
                                                      </w:divBdr>
                                                      <w:divsChild>
                                                        <w:div w:id="438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3127634">
      <w:bodyDiv w:val="1"/>
      <w:marLeft w:val="0"/>
      <w:marRight w:val="0"/>
      <w:marTop w:val="0"/>
      <w:marBottom w:val="0"/>
      <w:divBdr>
        <w:top w:val="none" w:sz="0" w:space="0" w:color="auto"/>
        <w:left w:val="none" w:sz="0" w:space="0" w:color="auto"/>
        <w:bottom w:val="none" w:sz="0" w:space="0" w:color="auto"/>
        <w:right w:val="none" w:sz="0" w:space="0" w:color="auto"/>
      </w:divBdr>
      <w:divsChild>
        <w:div w:id="451091916">
          <w:marLeft w:val="0"/>
          <w:marRight w:val="0"/>
          <w:marTop w:val="0"/>
          <w:marBottom w:val="0"/>
          <w:divBdr>
            <w:top w:val="none" w:sz="0" w:space="0" w:color="auto"/>
            <w:left w:val="none" w:sz="0" w:space="0" w:color="auto"/>
            <w:bottom w:val="none" w:sz="0" w:space="0" w:color="auto"/>
            <w:right w:val="none" w:sz="0" w:space="0" w:color="auto"/>
          </w:divBdr>
          <w:divsChild>
            <w:div w:id="217787265">
              <w:marLeft w:val="0"/>
              <w:marRight w:val="0"/>
              <w:marTop w:val="0"/>
              <w:marBottom w:val="0"/>
              <w:divBdr>
                <w:top w:val="none" w:sz="0" w:space="0" w:color="auto"/>
                <w:left w:val="none" w:sz="0" w:space="0" w:color="auto"/>
                <w:bottom w:val="none" w:sz="0" w:space="0" w:color="auto"/>
                <w:right w:val="none" w:sz="0" w:space="0" w:color="auto"/>
              </w:divBdr>
              <w:divsChild>
                <w:div w:id="1204296146">
                  <w:marLeft w:val="0"/>
                  <w:marRight w:val="0"/>
                  <w:marTop w:val="0"/>
                  <w:marBottom w:val="0"/>
                  <w:divBdr>
                    <w:top w:val="none" w:sz="0" w:space="0" w:color="auto"/>
                    <w:left w:val="none" w:sz="0" w:space="0" w:color="auto"/>
                    <w:bottom w:val="none" w:sz="0" w:space="0" w:color="auto"/>
                    <w:right w:val="none" w:sz="0" w:space="0" w:color="auto"/>
                  </w:divBdr>
                  <w:divsChild>
                    <w:div w:id="760294401">
                      <w:marLeft w:val="0"/>
                      <w:marRight w:val="0"/>
                      <w:marTop w:val="0"/>
                      <w:marBottom w:val="0"/>
                      <w:divBdr>
                        <w:top w:val="none" w:sz="0" w:space="0" w:color="auto"/>
                        <w:left w:val="none" w:sz="0" w:space="0" w:color="auto"/>
                        <w:bottom w:val="none" w:sz="0" w:space="0" w:color="auto"/>
                        <w:right w:val="none" w:sz="0" w:space="0" w:color="auto"/>
                      </w:divBdr>
                      <w:divsChild>
                        <w:div w:id="807825297">
                          <w:marLeft w:val="570"/>
                          <w:marRight w:val="720"/>
                          <w:marTop w:val="120"/>
                          <w:marBottom w:val="120"/>
                          <w:divBdr>
                            <w:top w:val="none" w:sz="0" w:space="0" w:color="auto"/>
                            <w:left w:val="none" w:sz="0" w:space="0" w:color="auto"/>
                            <w:bottom w:val="none" w:sz="0" w:space="0" w:color="auto"/>
                            <w:right w:val="none" w:sz="0" w:space="0" w:color="auto"/>
                          </w:divBdr>
                          <w:divsChild>
                            <w:div w:id="1062145213">
                              <w:marLeft w:val="0"/>
                              <w:marRight w:val="0"/>
                              <w:marTop w:val="0"/>
                              <w:marBottom w:val="0"/>
                              <w:divBdr>
                                <w:top w:val="none" w:sz="0" w:space="0" w:color="auto"/>
                                <w:left w:val="none" w:sz="0" w:space="0" w:color="auto"/>
                                <w:bottom w:val="none" w:sz="0" w:space="0" w:color="auto"/>
                                <w:right w:val="none" w:sz="0" w:space="0" w:color="auto"/>
                              </w:divBdr>
                              <w:divsChild>
                                <w:div w:id="1607810314">
                                  <w:marLeft w:val="0"/>
                                  <w:marRight w:val="0"/>
                                  <w:marTop w:val="0"/>
                                  <w:marBottom w:val="0"/>
                                  <w:divBdr>
                                    <w:top w:val="none" w:sz="0" w:space="0" w:color="auto"/>
                                    <w:left w:val="none" w:sz="0" w:space="0" w:color="auto"/>
                                    <w:bottom w:val="none" w:sz="0" w:space="0" w:color="auto"/>
                                    <w:right w:val="none" w:sz="0" w:space="0" w:color="auto"/>
                                  </w:divBdr>
                                  <w:divsChild>
                                    <w:div w:id="2112583404">
                                      <w:marLeft w:val="0"/>
                                      <w:marRight w:val="0"/>
                                      <w:marTop w:val="0"/>
                                      <w:marBottom w:val="0"/>
                                      <w:divBdr>
                                        <w:top w:val="none" w:sz="0" w:space="0" w:color="auto"/>
                                        <w:left w:val="none" w:sz="0" w:space="0" w:color="auto"/>
                                        <w:bottom w:val="none" w:sz="0" w:space="0" w:color="auto"/>
                                        <w:right w:val="none" w:sz="0" w:space="0" w:color="auto"/>
                                      </w:divBdr>
                                      <w:divsChild>
                                        <w:div w:id="1408724822">
                                          <w:marLeft w:val="0"/>
                                          <w:marRight w:val="0"/>
                                          <w:marTop w:val="240"/>
                                          <w:marBottom w:val="240"/>
                                          <w:divBdr>
                                            <w:top w:val="single" w:sz="6" w:space="6" w:color="F2F2F2"/>
                                            <w:left w:val="none" w:sz="0" w:space="0" w:color="auto"/>
                                            <w:bottom w:val="single" w:sz="6" w:space="6" w:color="F2F2F2"/>
                                            <w:right w:val="none" w:sz="0" w:space="0" w:color="auto"/>
                                          </w:divBdr>
                                        </w:div>
                                        <w:div w:id="335693579">
                                          <w:marLeft w:val="0"/>
                                          <w:marRight w:val="0"/>
                                          <w:marTop w:val="0"/>
                                          <w:marBottom w:val="0"/>
                                          <w:divBdr>
                                            <w:top w:val="none" w:sz="0" w:space="0" w:color="auto"/>
                                            <w:left w:val="none" w:sz="0" w:space="0" w:color="auto"/>
                                            <w:bottom w:val="none" w:sz="0" w:space="0" w:color="auto"/>
                                            <w:right w:val="none" w:sz="0" w:space="0" w:color="auto"/>
                                          </w:divBdr>
                                          <w:divsChild>
                                            <w:div w:id="13964658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783939">
      <w:bodyDiv w:val="1"/>
      <w:marLeft w:val="0"/>
      <w:marRight w:val="0"/>
      <w:marTop w:val="0"/>
      <w:marBottom w:val="0"/>
      <w:divBdr>
        <w:top w:val="none" w:sz="0" w:space="0" w:color="auto"/>
        <w:left w:val="none" w:sz="0" w:space="0" w:color="auto"/>
        <w:bottom w:val="none" w:sz="0" w:space="0" w:color="auto"/>
        <w:right w:val="none" w:sz="0" w:space="0" w:color="auto"/>
      </w:divBdr>
    </w:div>
    <w:div w:id="594361127">
      <w:bodyDiv w:val="1"/>
      <w:marLeft w:val="0"/>
      <w:marRight w:val="0"/>
      <w:marTop w:val="0"/>
      <w:marBottom w:val="0"/>
      <w:divBdr>
        <w:top w:val="none" w:sz="0" w:space="0" w:color="auto"/>
        <w:left w:val="none" w:sz="0" w:space="0" w:color="auto"/>
        <w:bottom w:val="none" w:sz="0" w:space="0" w:color="auto"/>
        <w:right w:val="none" w:sz="0" w:space="0" w:color="auto"/>
      </w:divBdr>
      <w:divsChild>
        <w:div w:id="1475681022">
          <w:marLeft w:val="0"/>
          <w:marRight w:val="0"/>
          <w:marTop w:val="0"/>
          <w:marBottom w:val="0"/>
          <w:divBdr>
            <w:top w:val="none" w:sz="0" w:space="0" w:color="auto"/>
            <w:left w:val="none" w:sz="0" w:space="0" w:color="auto"/>
            <w:bottom w:val="none" w:sz="0" w:space="0" w:color="auto"/>
            <w:right w:val="none" w:sz="0" w:space="0" w:color="auto"/>
          </w:divBdr>
          <w:divsChild>
            <w:div w:id="1149790911">
              <w:marLeft w:val="2"/>
              <w:marRight w:val="2"/>
              <w:marTop w:val="0"/>
              <w:marBottom w:val="0"/>
              <w:divBdr>
                <w:top w:val="none" w:sz="0" w:space="0" w:color="auto"/>
                <w:left w:val="none" w:sz="0" w:space="0" w:color="auto"/>
                <w:bottom w:val="none" w:sz="0" w:space="0" w:color="auto"/>
                <w:right w:val="none" w:sz="0" w:space="0" w:color="auto"/>
              </w:divBdr>
              <w:divsChild>
                <w:div w:id="303589415">
                  <w:marLeft w:val="0"/>
                  <w:marRight w:val="0"/>
                  <w:marTop w:val="0"/>
                  <w:marBottom w:val="0"/>
                  <w:divBdr>
                    <w:top w:val="none" w:sz="0" w:space="0" w:color="auto"/>
                    <w:left w:val="none" w:sz="0" w:space="0" w:color="auto"/>
                    <w:bottom w:val="none" w:sz="0" w:space="0" w:color="auto"/>
                    <w:right w:val="none" w:sz="0" w:space="0" w:color="auto"/>
                  </w:divBdr>
                  <w:divsChild>
                    <w:div w:id="764885804">
                      <w:marLeft w:val="0"/>
                      <w:marRight w:val="0"/>
                      <w:marTop w:val="0"/>
                      <w:marBottom w:val="0"/>
                      <w:divBdr>
                        <w:top w:val="none" w:sz="0" w:space="0" w:color="auto"/>
                        <w:left w:val="none" w:sz="0" w:space="0" w:color="auto"/>
                        <w:bottom w:val="none" w:sz="0" w:space="0" w:color="auto"/>
                        <w:right w:val="none" w:sz="0" w:space="0" w:color="auto"/>
                      </w:divBdr>
                      <w:divsChild>
                        <w:div w:id="1697853224">
                          <w:marLeft w:val="0"/>
                          <w:marRight w:val="0"/>
                          <w:marTop w:val="0"/>
                          <w:marBottom w:val="0"/>
                          <w:divBdr>
                            <w:top w:val="none" w:sz="0" w:space="0" w:color="auto"/>
                            <w:left w:val="none" w:sz="0" w:space="0" w:color="auto"/>
                            <w:bottom w:val="none" w:sz="0" w:space="0" w:color="auto"/>
                            <w:right w:val="none" w:sz="0" w:space="0" w:color="auto"/>
                          </w:divBdr>
                          <w:divsChild>
                            <w:div w:id="495465485">
                              <w:marLeft w:val="0"/>
                              <w:marRight w:val="0"/>
                              <w:marTop w:val="0"/>
                              <w:marBottom w:val="0"/>
                              <w:divBdr>
                                <w:top w:val="none" w:sz="0" w:space="0" w:color="auto"/>
                                <w:left w:val="none" w:sz="0" w:space="0" w:color="auto"/>
                                <w:bottom w:val="none" w:sz="0" w:space="0" w:color="auto"/>
                                <w:right w:val="none" w:sz="0" w:space="0" w:color="auto"/>
                              </w:divBdr>
                              <w:divsChild>
                                <w:div w:id="2087608087">
                                  <w:marLeft w:val="0"/>
                                  <w:marRight w:val="0"/>
                                  <w:marTop w:val="0"/>
                                  <w:marBottom w:val="0"/>
                                  <w:divBdr>
                                    <w:top w:val="none" w:sz="0" w:space="0" w:color="auto"/>
                                    <w:left w:val="none" w:sz="0" w:space="0" w:color="auto"/>
                                    <w:bottom w:val="none" w:sz="0" w:space="0" w:color="auto"/>
                                    <w:right w:val="none" w:sz="0" w:space="0" w:color="auto"/>
                                  </w:divBdr>
                                  <w:divsChild>
                                    <w:div w:id="798766077">
                                      <w:marLeft w:val="0"/>
                                      <w:marRight w:val="0"/>
                                      <w:marTop w:val="0"/>
                                      <w:marBottom w:val="0"/>
                                      <w:divBdr>
                                        <w:top w:val="none" w:sz="0" w:space="0" w:color="auto"/>
                                        <w:left w:val="none" w:sz="0" w:space="0" w:color="auto"/>
                                        <w:bottom w:val="none" w:sz="0" w:space="0" w:color="auto"/>
                                        <w:right w:val="none" w:sz="0" w:space="0" w:color="auto"/>
                                      </w:divBdr>
                                      <w:divsChild>
                                        <w:div w:id="1410149960">
                                          <w:marLeft w:val="0"/>
                                          <w:marRight w:val="0"/>
                                          <w:marTop w:val="0"/>
                                          <w:marBottom w:val="0"/>
                                          <w:divBdr>
                                            <w:top w:val="none" w:sz="0" w:space="0" w:color="auto"/>
                                            <w:left w:val="none" w:sz="0" w:space="0" w:color="auto"/>
                                            <w:bottom w:val="none" w:sz="0" w:space="0" w:color="auto"/>
                                            <w:right w:val="none" w:sz="0" w:space="0" w:color="auto"/>
                                          </w:divBdr>
                                          <w:divsChild>
                                            <w:div w:id="1012756330">
                                              <w:marLeft w:val="0"/>
                                              <w:marRight w:val="0"/>
                                              <w:marTop w:val="0"/>
                                              <w:marBottom w:val="0"/>
                                              <w:divBdr>
                                                <w:top w:val="none" w:sz="0" w:space="0" w:color="auto"/>
                                                <w:left w:val="none" w:sz="0" w:space="0" w:color="auto"/>
                                                <w:bottom w:val="none" w:sz="0" w:space="0" w:color="auto"/>
                                                <w:right w:val="none" w:sz="0" w:space="0" w:color="auto"/>
                                              </w:divBdr>
                                            </w:div>
                                          </w:divsChild>
                                        </w:div>
                                        <w:div w:id="1700013163">
                                          <w:marLeft w:val="0"/>
                                          <w:marRight w:val="0"/>
                                          <w:marTop w:val="0"/>
                                          <w:marBottom w:val="0"/>
                                          <w:divBdr>
                                            <w:top w:val="none" w:sz="0" w:space="0" w:color="auto"/>
                                            <w:left w:val="none" w:sz="0" w:space="0" w:color="auto"/>
                                            <w:bottom w:val="none" w:sz="0" w:space="0" w:color="auto"/>
                                            <w:right w:val="none" w:sz="0" w:space="0" w:color="auto"/>
                                          </w:divBdr>
                                          <w:divsChild>
                                            <w:div w:id="562913319">
                                              <w:marLeft w:val="0"/>
                                              <w:marRight w:val="0"/>
                                              <w:marTop w:val="0"/>
                                              <w:marBottom w:val="0"/>
                                              <w:divBdr>
                                                <w:top w:val="none" w:sz="0" w:space="0" w:color="auto"/>
                                                <w:left w:val="none" w:sz="0" w:space="0" w:color="auto"/>
                                                <w:bottom w:val="none" w:sz="0" w:space="0" w:color="auto"/>
                                                <w:right w:val="none" w:sz="0" w:space="0" w:color="auto"/>
                                              </w:divBdr>
                                            </w:div>
                                          </w:divsChild>
                                        </w:div>
                                        <w:div w:id="2121099905">
                                          <w:marLeft w:val="0"/>
                                          <w:marRight w:val="0"/>
                                          <w:marTop w:val="0"/>
                                          <w:marBottom w:val="0"/>
                                          <w:divBdr>
                                            <w:top w:val="none" w:sz="0" w:space="0" w:color="auto"/>
                                            <w:left w:val="none" w:sz="0" w:space="0" w:color="auto"/>
                                            <w:bottom w:val="none" w:sz="0" w:space="0" w:color="auto"/>
                                            <w:right w:val="none" w:sz="0" w:space="0" w:color="auto"/>
                                          </w:divBdr>
                                          <w:divsChild>
                                            <w:div w:id="494760347">
                                              <w:marLeft w:val="0"/>
                                              <w:marRight w:val="0"/>
                                              <w:marTop w:val="0"/>
                                              <w:marBottom w:val="0"/>
                                              <w:divBdr>
                                                <w:top w:val="none" w:sz="0" w:space="0" w:color="auto"/>
                                                <w:left w:val="none" w:sz="0" w:space="0" w:color="auto"/>
                                                <w:bottom w:val="none" w:sz="0" w:space="0" w:color="auto"/>
                                                <w:right w:val="none" w:sz="0" w:space="0" w:color="auto"/>
                                              </w:divBdr>
                                            </w:div>
                                          </w:divsChild>
                                        </w:div>
                                        <w:div w:id="2035765595">
                                          <w:marLeft w:val="0"/>
                                          <w:marRight w:val="0"/>
                                          <w:marTop w:val="0"/>
                                          <w:marBottom w:val="0"/>
                                          <w:divBdr>
                                            <w:top w:val="none" w:sz="0" w:space="0" w:color="auto"/>
                                            <w:left w:val="none" w:sz="0" w:space="0" w:color="auto"/>
                                            <w:bottom w:val="none" w:sz="0" w:space="0" w:color="auto"/>
                                            <w:right w:val="none" w:sz="0" w:space="0" w:color="auto"/>
                                          </w:divBdr>
                                          <w:divsChild>
                                            <w:div w:id="1832942253">
                                              <w:marLeft w:val="0"/>
                                              <w:marRight w:val="0"/>
                                              <w:marTop w:val="0"/>
                                              <w:marBottom w:val="0"/>
                                              <w:divBdr>
                                                <w:top w:val="none" w:sz="0" w:space="0" w:color="auto"/>
                                                <w:left w:val="none" w:sz="0" w:space="0" w:color="auto"/>
                                                <w:bottom w:val="none" w:sz="0" w:space="0" w:color="auto"/>
                                                <w:right w:val="none" w:sz="0" w:space="0" w:color="auto"/>
                                              </w:divBdr>
                                            </w:div>
                                          </w:divsChild>
                                        </w:div>
                                        <w:div w:id="1752118737">
                                          <w:marLeft w:val="0"/>
                                          <w:marRight w:val="0"/>
                                          <w:marTop w:val="0"/>
                                          <w:marBottom w:val="0"/>
                                          <w:divBdr>
                                            <w:top w:val="none" w:sz="0" w:space="0" w:color="auto"/>
                                            <w:left w:val="none" w:sz="0" w:space="0" w:color="auto"/>
                                            <w:bottom w:val="none" w:sz="0" w:space="0" w:color="auto"/>
                                            <w:right w:val="none" w:sz="0" w:space="0" w:color="auto"/>
                                          </w:divBdr>
                                          <w:divsChild>
                                            <w:div w:id="6080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704635">
      <w:bodyDiv w:val="1"/>
      <w:marLeft w:val="0"/>
      <w:marRight w:val="0"/>
      <w:marTop w:val="0"/>
      <w:marBottom w:val="0"/>
      <w:divBdr>
        <w:top w:val="none" w:sz="0" w:space="0" w:color="auto"/>
        <w:left w:val="none" w:sz="0" w:space="0" w:color="auto"/>
        <w:bottom w:val="none" w:sz="0" w:space="0" w:color="auto"/>
        <w:right w:val="none" w:sz="0" w:space="0" w:color="auto"/>
      </w:divBdr>
      <w:divsChild>
        <w:div w:id="177542727">
          <w:marLeft w:val="0"/>
          <w:marRight w:val="0"/>
          <w:marTop w:val="0"/>
          <w:marBottom w:val="0"/>
          <w:divBdr>
            <w:top w:val="none" w:sz="0" w:space="0" w:color="auto"/>
            <w:left w:val="none" w:sz="0" w:space="0" w:color="auto"/>
            <w:bottom w:val="none" w:sz="0" w:space="0" w:color="auto"/>
            <w:right w:val="none" w:sz="0" w:space="0" w:color="auto"/>
          </w:divBdr>
          <w:divsChild>
            <w:div w:id="1578249336">
              <w:marLeft w:val="0"/>
              <w:marRight w:val="0"/>
              <w:marTop w:val="0"/>
              <w:marBottom w:val="0"/>
              <w:divBdr>
                <w:top w:val="none" w:sz="0" w:space="0" w:color="auto"/>
                <w:left w:val="none" w:sz="0" w:space="0" w:color="auto"/>
                <w:bottom w:val="none" w:sz="0" w:space="0" w:color="auto"/>
                <w:right w:val="none" w:sz="0" w:space="0" w:color="auto"/>
              </w:divBdr>
              <w:divsChild>
                <w:div w:id="1165125645">
                  <w:marLeft w:val="0"/>
                  <w:marRight w:val="0"/>
                  <w:marTop w:val="0"/>
                  <w:marBottom w:val="0"/>
                  <w:divBdr>
                    <w:top w:val="none" w:sz="0" w:space="0" w:color="auto"/>
                    <w:left w:val="none" w:sz="0" w:space="0" w:color="auto"/>
                    <w:bottom w:val="none" w:sz="0" w:space="0" w:color="auto"/>
                    <w:right w:val="none" w:sz="0" w:space="0" w:color="auto"/>
                  </w:divBdr>
                  <w:divsChild>
                    <w:div w:id="1804349432">
                      <w:marLeft w:val="0"/>
                      <w:marRight w:val="0"/>
                      <w:marTop w:val="0"/>
                      <w:marBottom w:val="0"/>
                      <w:divBdr>
                        <w:top w:val="none" w:sz="0" w:space="0" w:color="auto"/>
                        <w:left w:val="none" w:sz="0" w:space="0" w:color="auto"/>
                        <w:bottom w:val="none" w:sz="0" w:space="0" w:color="auto"/>
                        <w:right w:val="none" w:sz="0" w:space="0" w:color="auto"/>
                      </w:divBdr>
                      <w:divsChild>
                        <w:div w:id="13422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944518">
      <w:bodyDiv w:val="1"/>
      <w:marLeft w:val="0"/>
      <w:marRight w:val="0"/>
      <w:marTop w:val="0"/>
      <w:marBottom w:val="0"/>
      <w:divBdr>
        <w:top w:val="none" w:sz="0" w:space="0" w:color="auto"/>
        <w:left w:val="none" w:sz="0" w:space="0" w:color="auto"/>
        <w:bottom w:val="none" w:sz="0" w:space="0" w:color="auto"/>
        <w:right w:val="none" w:sz="0" w:space="0" w:color="auto"/>
      </w:divBdr>
      <w:divsChild>
        <w:div w:id="1803959901">
          <w:marLeft w:val="0"/>
          <w:marRight w:val="0"/>
          <w:marTop w:val="0"/>
          <w:marBottom w:val="0"/>
          <w:divBdr>
            <w:top w:val="none" w:sz="0" w:space="0" w:color="auto"/>
            <w:left w:val="none" w:sz="0" w:space="0" w:color="auto"/>
            <w:bottom w:val="none" w:sz="0" w:space="0" w:color="auto"/>
            <w:right w:val="none" w:sz="0" w:space="0" w:color="auto"/>
          </w:divBdr>
          <w:divsChild>
            <w:div w:id="1322030">
              <w:marLeft w:val="0"/>
              <w:marRight w:val="0"/>
              <w:marTop w:val="0"/>
              <w:marBottom w:val="0"/>
              <w:divBdr>
                <w:top w:val="none" w:sz="0" w:space="0" w:color="auto"/>
                <w:left w:val="none" w:sz="0" w:space="0" w:color="auto"/>
                <w:bottom w:val="none" w:sz="0" w:space="0" w:color="auto"/>
                <w:right w:val="none" w:sz="0" w:space="0" w:color="auto"/>
              </w:divBdr>
              <w:divsChild>
                <w:div w:id="1797867121">
                  <w:marLeft w:val="0"/>
                  <w:marRight w:val="0"/>
                  <w:marTop w:val="0"/>
                  <w:marBottom w:val="0"/>
                  <w:divBdr>
                    <w:top w:val="none" w:sz="0" w:space="0" w:color="auto"/>
                    <w:left w:val="none" w:sz="0" w:space="0" w:color="auto"/>
                    <w:bottom w:val="none" w:sz="0" w:space="0" w:color="auto"/>
                    <w:right w:val="none" w:sz="0" w:space="0" w:color="auto"/>
                  </w:divBdr>
                  <w:divsChild>
                    <w:div w:id="1418209599">
                      <w:marLeft w:val="0"/>
                      <w:marRight w:val="0"/>
                      <w:marTop w:val="0"/>
                      <w:marBottom w:val="0"/>
                      <w:divBdr>
                        <w:top w:val="none" w:sz="0" w:space="0" w:color="auto"/>
                        <w:left w:val="none" w:sz="0" w:space="0" w:color="auto"/>
                        <w:bottom w:val="none" w:sz="0" w:space="0" w:color="auto"/>
                        <w:right w:val="none" w:sz="0" w:space="0" w:color="auto"/>
                      </w:divBdr>
                      <w:divsChild>
                        <w:div w:id="1299188465">
                          <w:marLeft w:val="0"/>
                          <w:marRight w:val="0"/>
                          <w:marTop w:val="0"/>
                          <w:marBottom w:val="0"/>
                          <w:divBdr>
                            <w:top w:val="none" w:sz="0" w:space="0" w:color="auto"/>
                            <w:left w:val="none" w:sz="0" w:space="0" w:color="auto"/>
                            <w:bottom w:val="none" w:sz="0" w:space="0" w:color="auto"/>
                            <w:right w:val="none" w:sz="0" w:space="0" w:color="auto"/>
                          </w:divBdr>
                          <w:divsChild>
                            <w:div w:id="765005040">
                              <w:marLeft w:val="0"/>
                              <w:marRight w:val="0"/>
                              <w:marTop w:val="0"/>
                              <w:marBottom w:val="0"/>
                              <w:divBdr>
                                <w:top w:val="none" w:sz="0" w:space="0" w:color="auto"/>
                                <w:left w:val="none" w:sz="0" w:space="0" w:color="auto"/>
                                <w:bottom w:val="none" w:sz="0" w:space="0" w:color="auto"/>
                                <w:right w:val="none" w:sz="0" w:space="0" w:color="auto"/>
                              </w:divBdr>
                              <w:divsChild>
                                <w:div w:id="1705279044">
                                  <w:marLeft w:val="0"/>
                                  <w:marRight w:val="0"/>
                                  <w:marTop w:val="0"/>
                                  <w:marBottom w:val="0"/>
                                  <w:divBdr>
                                    <w:top w:val="none" w:sz="0" w:space="0" w:color="auto"/>
                                    <w:left w:val="none" w:sz="0" w:space="0" w:color="auto"/>
                                    <w:bottom w:val="none" w:sz="0" w:space="0" w:color="auto"/>
                                    <w:right w:val="none" w:sz="0" w:space="0" w:color="auto"/>
                                  </w:divBdr>
                                  <w:divsChild>
                                    <w:div w:id="624431021">
                                      <w:marLeft w:val="0"/>
                                      <w:marRight w:val="0"/>
                                      <w:marTop w:val="0"/>
                                      <w:marBottom w:val="0"/>
                                      <w:divBdr>
                                        <w:top w:val="none" w:sz="0" w:space="0" w:color="auto"/>
                                        <w:left w:val="none" w:sz="0" w:space="0" w:color="auto"/>
                                        <w:bottom w:val="none" w:sz="0" w:space="0" w:color="auto"/>
                                        <w:right w:val="none" w:sz="0" w:space="0" w:color="auto"/>
                                      </w:divBdr>
                                      <w:divsChild>
                                        <w:div w:id="1087573682">
                                          <w:marLeft w:val="0"/>
                                          <w:marRight w:val="0"/>
                                          <w:marTop w:val="0"/>
                                          <w:marBottom w:val="0"/>
                                          <w:divBdr>
                                            <w:top w:val="none" w:sz="0" w:space="0" w:color="auto"/>
                                            <w:left w:val="none" w:sz="0" w:space="0" w:color="auto"/>
                                            <w:bottom w:val="none" w:sz="0" w:space="0" w:color="auto"/>
                                            <w:right w:val="none" w:sz="0" w:space="0" w:color="auto"/>
                                          </w:divBdr>
                                        </w:div>
                                        <w:div w:id="1726445747">
                                          <w:marLeft w:val="0"/>
                                          <w:marRight w:val="0"/>
                                          <w:marTop w:val="0"/>
                                          <w:marBottom w:val="0"/>
                                          <w:divBdr>
                                            <w:top w:val="none" w:sz="0" w:space="0" w:color="auto"/>
                                            <w:left w:val="none" w:sz="0" w:space="0" w:color="auto"/>
                                            <w:bottom w:val="none" w:sz="0" w:space="0" w:color="auto"/>
                                            <w:right w:val="none" w:sz="0" w:space="0" w:color="auto"/>
                                          </w:divBdr>
                                          <w:divsChild>
                                            <w:div w:id="730036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060168">
      <w:bodyDiv w:val="1"/>
      <w:marLeft w:val="0"/>
      <w:marRight w:val="0"/>
      <w:marTop w:val="0"/>
      <w:marBottom w:val="0"/>
      <w:divBdr>
        <w:top w:val="none" w:sz="0" w:space="0" w:color="auto"/>
        <w:left w:val="none" w:sz="0" w:space="0" w:color="auto"/>
        <w:bottom w:val="none" w:sz="0" w:space="0" w:color="auto"/>
        <w:right w:val="none" w:sz="0" w:space="0" w:color="auto"/>
      </w:divBdr>
      <w:divsChild>
        <w:div w:id="1831748331">
          <w:marLeft w:val="0"/>
          <w:marRight w:val="0"/>
          <w:marTop w:val="0"/>
          <w:marBottom w:val="0"/>
          <w:divBdr>
            <w:top w:val="none" w:sz="0" w:space="0" w:color="auto"/>
            <w:left w:val="none" w:sz="0" w:space="0" w:color="auto"/>
            <w:bottom w:val="none" w:sz="0" w:space="0" w:color="auto"/>
            <w:right w:val="none" w:sz="0" w:space="0" w:color="auto"/>
          </w:divBdr>
        </w:div>
      </w:divsChild>
    </w:div>
    <w:div w:id="599029340">
      <w:bodyDiv w:val="1"/>
      <w:marLeft w:val="0"/>
      <w:marRight w:val="0"/>
      <w:marTop w:val="0"/>
      <w:marBottom w:val="0"/>
      <w:divBdr>
        <w:top w:val="none" w:sz="0" w:space="0" w:color="auto"/>
        <w:left w:val="none" w:sz="0" w:space="0" w:color="auto"/>
        <w:bottom w:val="none" w:sz="0" w:space="0" w:color="auto"/>
        <w:right w:val="none" w:sz="0" w:space="0" w:color="auto"/>
      </w:divBdr>
    </w:div>
    <w:div w:id="599602430">
      <w:bodyDiv w:val="1"/>
      <w:marLeft w:val="0"/>
      <w:marRight w:val="0"/>
      <w:marTop w:val="0"/>
      <w:marBottom w:val="0"/>
      <w:divBdr>
        <w:top w:val="none" w:sz="0" w:space="0" w:color="auto"/>
        <w:left w:val="none" w:sz="0" w:space="0" w:color="auto"/>
        <w:bottom w:val="none" w:sz="0" w:space="0" w:color="auto"/>
        <w:right w:val="none" w:sz="0" w:space="0" w:color="auto"/>
      </w:divBdr>
      <w:divsChild>
        <w:div w:id="494607866">
          <w:marLeft w:val="0"/>
          <w:marRight w:val="0"/>
          <w:marTop w:val="0"/>
          <w:marBottom w:val="0"/>
          <w:divBdr>
            <w:top w:val="none" w:sz="0" w:space="0" w:color="auto"/>
            <w:left w:val="none" w:sz="0" w:space="0" w:color="auto"/>
            <w:bottom w:val="none" w:sz="0" w:space="0" w:color="auto"/>
            <w:right w:val="none" w:sz="0" w:space="0" w:color="auto"/>
          </w:divBdr>
          <w:divsChild>
            <w:div w:id="864102433">
              <w:marLeft w:val="0"/>
              <w:marRight w:val="0"/>
              <w:marTop w:val="0"/>
              <w:marBottom w:val="0"/>
              <w:divBdr>
                <w:top w:val="none" w:sz="0" w:space="0" w:color="auto"/>
                <w:left w:val="none" w:sz="0" w:space="0" w:color="auto"/>
                <w:bottom w:val="none" w:sz="0" w:space="0" w:color="auto"/>
                <w:right w:val="none" w:sz="0" w:space="0" w:color="auto"/>
              </w:divBdr>
              <w:divsChild>
                <w:div w:id="1379472527">
                  <w:marLeft w:val="0"/>
                  <w:marRight w:val="0"/>
                  <w:marTop w:val="0"/>
                  <w:marBottom w:val="0"/>
                  <w:divBdr>
                    <w:top w:val="none" w:sz="0" w:space="0" w:color="auto"/>
                    <w:left w:val="none" w:sz="0" w:space="0" w:color="auto"/>
                    <w:bottom w:val="none" w:sz="0" w:space="0" w:color="auto"/>
                    <w:right w:val="none" w:sz="0" w:space="0" w:color="auto"/>
                  </w:divBdr>
                  <w:divsChild>
                    <w:div w:id="1669940825">
                      <w:marLeft w:val="0"/>
                      <w:marRight w:val="0"/>
                      <w:marTop w:val="0"/>
                      <w:marBottom w:val="0"/>
                      <w:divBdr>
                        <w:top w:val="none" w:sz="0" w:space="0" w:color="auto"/>
                        <w:left w:val="none" w:sz="0" w:space="0" w:color="auto"/>
                        <w:bottom w:val="none" w:sz="0" w:space="0" w:color="auto"/>
                        <w:right w:val="none" w:sz="0" w:space="0" w:color="auto"/>
                      </w:divBdr>
                      <w:divsChild>
                        <w:div w:id="470444142">
                          <w:marLeft w:val="0"/>
                          <w:marRight w:val="0"/>
                          <w:marTop w:val="0"/>
                          <w:marBottom w:val="0"/>
                          <w:divBdr>
                            <w:top w:val="none" w:sz="0" w:space="0" w:color="auto"/>
                            <w:left w:val="none" w:sz="0" w:space="0" w:color="auto"/>
                            <w:bottom w:val="none" w:sz="0" w:space="0" w:color="auto"/>
                            <w:right w:val="none" w:sz="0" w:space="0" w:color="auto"/>
                          </w:divBdr>
                          <w:divsChild>
                            <w:div w:id="1823348084">
                              <w:marLeft w:val="0"/>
                              <w:marRight w:val="0"/>
                              <w:marTop w:val="0"/>
                              <w:marBottom w:val="0"/>
                              <w:divBdr>
                                <w:top w:val="none" w:sz="0" w:space="0" w:color="auto"/>
                                <w:left w:val="none" w:sz="0" w:space="0" w:color="auto"/>
                                <w:bottom w:val="none" w:sz="0" w:space="0" w:color="auto"/>
                                <w:right w:val="none" w:sz="0" w:space="0" w:color="auto"/>
                              </w:divBdr>
                              <w:divsChild>
                                <w:div w:id="78605936">
                                  <w:marLeft w:val="0"/>
                                  <w:marRight w:val="0"/>
                                  <w:marTop w:val="0"/>
                                  <w:marBottom w:val="0"/>
                                  <w:divBdr>
                                    <w:top w:val="none" w:sz="0" w:space="0" w:color="auto"/>
                                    <w:left w:val="none" w:sz="0" w:space="0" w:color="auto"/>
                                    <w:bottom w:val="none" w:sz="0" w:space="0" w:color="auto"/>
                                    <w:right w:val="none" w:sz="0" w:space="0" w:color="auto"/>
                                  </w:divBdr>
                                  <w:divsChild>
                                    <w:div w:id="1691642804">
                                      <w:marLeft w:val="0"/>
                                      <w:marRight w:val="0"/>
                                      <w:marTop w:val="0"/>
                                      <w:marBottom w:val="0"/>
                                      <w:divBdr>
                                        <w:top w:val="none" w:sz="0" w:space="0" w:color="auto"/>
                                        <w:left w:val="none" w:sz="0" w:space="0" w:color="auto"/>
                                        <w:bottom w:val="none" w:sz="0" w:space="0" w:color="auto"/>
                                        <w:right w:val="none" w:sz="0" w:space="0" w:color="auto"/>
                                      </w:divBdr>
                                      <w:divsChild>
                                        <w:div w:id="2099016741">
                                          <w:marLeft w:val="0"/>
                                          <w:marRight w:val="0"/>
                                          <w:marTop w:val="0"/>
                                          <w:marBottom w:val="0"/>
                                          <w:divBdr>
                                            <w:top w:val="none" w:sz="0" w:space="0" w:color="auto"/>
                                            <w:left w:val="none" w:sz="0" w:space="0" w:color="auto"/>
                                            <w:bottom w:val="none" w:sz="0" w:space="0" w:color="auto"/>
                                            <w:right w:val="none" w:sz="0" w:space="0" w:color="auto"/>
                                          </w:divBdr>
                                          <w:divsChild>
                                            <w:div w:id="266891572">
                                              <w:marLeft w:val="0"/>
                                              <w:marRight w:val="0"/>
                                              <w:marTop w:val="0"/>
                                              <w:marBottom w:val="0"/>
                                              <w:divBdr>
                                                <w:top w:val="none" w:sz="0" w:space="0" w:color="auto"/>
                                                <w:left w:val="none" w:sz="0" w:space="0" w:color="auto"/>
                                                <w:bottom w:val="none" w:sz="0" w:space="0" w:color="auto"/>
                                                <w:right w:val="none" w:sz="0" w:space="0" w:color="auto"/>
                                              </w:divBdr>
                                              <w:divsChild>
                                                <w:div w:id="562986984">
                                                  <w:marLeft w:val="0"/>
                                                  <w:marRight w:val="0"/>
                                                  <w:marTop w:val="0"/>
                                                  <w:marBottom w:val="0"/>
                                                  <w:divBdr>
                                                    <w:top w:val="none" w:sz="0" w:space="0" w:color="auto"/>
                                                    <w:left w:val="none" w:sz="0" w:space="0" w:color="auto"/>
                                                    <w:bottom w:val="none" w:sz="0" w:space="0" w:color="auto"/>
                                                    <w:right w:val="none" w:sz="0" w:space="0" w:color="auto"/>
                                                  </w:divBdr>
                                                  <w:divsChild>
                                                    <w:div w:id="190917662">
                                                      <w:marLeft w:val="0"/>
                                                      <w:marRight w:val="0"/>
                                                      <w:marTop w:val="0"/>
                                                      <w:marBottom w:val="0"/>
                                                      <w:divBdr>
                                                        <w:top w:val="none" w:sz="0" w:space="0" w:color="auto"/>
                                                        <w:left w:val="none" w:sz="0" w:space="0" w:color="auto"/>
                                                        <w:bottom w:val="none" w:sz="0" w:space="0" w:color="auto"/>
                                                        <w:right w:val="none" w:sz="0" w:space="0" w:color="auto"/>
                                                      </w:divBdr>
                                                      <w:divsChild>
                                                        <w:div w:id="558134587">
                                                          <w:marLeft w:val="0"/>
                                                          <w:marRight w:val="0"/>
                                                          <w:marTop w:val="0"/>
                                                          <w:marBottom w:val="0"/>
                                                          <w:divBdr>
                                                            <w:top w:val="none" w:sz="0" w:space="0" w:color="auto"/>
                                                            <w:left w:val="none" w:sz="0" w:space="0" w:color="auto"/>
                                                            <w:bottom w:val="none" w:sz="0" w:space="0" w:color="auto"/>
                                                            <w:right w:val="none" w:sz="0" w:space="0" w:color="auto"/>
                                                          </w:divBdr>
                                                          <w:divsChild>
                                                            <w:div w:id="408504129">
                                                              <w:marLeft w:val="0"/>
                                                              <w:marRight w:val="0"/>
                                                              <w:marTop w:val="0"/>
                                                              <w:marBottom w:val="0"/>
                                                              <w:divBdr>
                                                                <w:top w:val="none" w:sz="0" w:space="0" w:color="auto"/>
                                                                <w:left w:val="none" w:sz="0" w:space="0" w:color="auto"/>
                                                                <w:bottom w:val="none" w:sz="0" w:space="0" w:color="auto"/>
                                                                <w:right w:val="none" w:sz="0" w:space="0" w:color="auto"/>
                                                              </w:divBdr>
                                                              <w:divsChild>
                                                                <w:div w:id="2032148106">
                                                                  <w:marLeft w:val="0"/>
                                                                  <w:marRight w:val="0"/>
                                                                  <w:marTop w:val="0"/>
                                                                  <w:marBottom w:val="0"/>
                                                                  <w:divBdr>
                                                                    <w:top w:val="none" w:sz="0" w:space="0" w:color="auto"/>
                                                                    <w:left w:val="none" w:sz="0" w:space="0" w:color="auto"/>
                                                                    <w:bottom w:val="none" w:sz="0" w:space="0" w:color="auto"/>
                                                                    <w:right w:val="none" w:sz="0" w:space="0" w:color="auto"/>
                                                                  </w:divBdr>
                                                                  <w:divsChild>
                                                                    <w:div w:id="109738783">
                                                                      <w:marLeft w:val="0"/>
                                                                      <w:marRight w:val="0"/>
                                                                      <w:marTop w:val="0"/>
                                                                      <w:marBottom w:val="0"/>
                                                                      <w:divBdr>
                                                                        <w:top w:val="single" w:sz="6" w:space="8" w:color="E0E0E0"/>
                                                                        <w:left w:val="none" w:sz="0" w:space="0" w:color="auto"/>
                                                                        <w:bottom w:val="none" w:sz="0" w:space="0" w:color="auto"/>
                                                                        <w:right w:val="none" w:sz="0" w:space="0" w:color="auto"/>
                                                                      </w:divBdr>
                                                                      <w:divsChild>
                                                                        <w:div w:id="1541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571626">
      <w:bodyDiv w:val="1"/>
      <w:marLeft w:val="0"/>
      <w:marRight w:val="0"/>
      <w:marTop w:val="0"/>
      <w:marBottom w:val="0"/>
      <w:divBdr>
        <w:top w:val="none" w:sz="0" w:space="0" w:color="auto"/>
        <w:left w:val="none" w:sz="0" w:space="0" w:color="auto"/>
        <w:bottom w:val="none" w:sz="0" w:space="0" w:color="auto"/>
        <w:right w:val="none" w:sz="0" w:space="0" w:color="auto"/>
      </w:divBdr>
    </w:div>
    <w:div w:id="602149053">
      <w:bodyDiv w:val="1"/>
      <w:marLeft w:val="0"/>
      <w:marRight w:val="0"/>
      <w:marTop w:val="0"/>
      <w:marBottom w:val="0"/>
      <w:divBdr>
        <w:top w:val="none" w:sz="0" w:space="0" w:color="auto"/>
        <w:left w:val="none" w:sz="0" w:space="0" w:color="auto"/>
        <w:bottom w:val="none" w:sz="0" w:space="0" w:color="auto"/>
        <w:right w:val="none" w:sz="0" w:space="0" w:color="auto"/>
      </w:divBdr>
      <w:divsChild>
        <w:div w:id="2090227849">
          <w:marLeft w:val="0"/>
          <w:marRight w:val="0"/>
          <w:marTop w:val="0"/>
          <w:marBottom w:val="0"/>
          <w:divBdr>
            <w:top w:val="none" w:sz="0" w:space="0" w:color="auto"/>
            <w:left w:val="none" w:sz="0" w:space="0" w:color="auto"/>
            <w:bottom w:val="none" w:sz="0" w:space="0" w:color="auto"/>
            <w:right w:val="none" w:sz="0" w:space="0" w:color="auto"/>
          </w:divBdr>
          <w:divsChild>
            <w:div w:id="1808619232">
              <w:marLeft w:val="0"/>
              <w:marRight w:val="0"/>
              <w:marTop w:val="0"/>
              <w:marBottom w:val="0"/>
              <w:divBdr>
                <w:top w:val="none" w:sz="0" w:space="0" w:color="auto"/>
                <w:left w:val="none" w:sz="0" w:space="0" w:color="auto"/>
                <w:bottom w:val="none" w:sz="0" w:space="0" w:color="auto"/>
                <w:right w:val="none" w:sz="0" w:space="0" w:color="auto"/>
              </w:divBdr>
              <w:divsChild>
                <w:div w:id="1091508138">
                  <w:marLeft w:val="0"/>
                  <w:marRight w:val="0"/>
                  <w:marTop w:val="0"/>
                  <w:marBottom w:val="0"/>
                  <w:divBdr>
                    <w:top w:val="none" w:sz="0" w:space="0" w:color="auto"/>
                    <w:left w:val="none" w:sz="0" w:space="0" w:color="auto"/>
                    <w:bottom w:val="none" w:sz="0" w:space="0" w:color="auto"/>
                    <w:right w:val="none" w:sz="0" w:space="0" w:color="auto"/>
                  </w:divBdr>
                  <w:divsChild>
                    <w:div w:id="1228342217">
                      <w:marLeft w:val="0"/>
                      <w:marRight w:val="0"/>
                      <w:marTop w:val="0"/>
                      <w:marBottom w:val="0"/>
                      <w:divBdr>
                        <w:top w:val="none" w:sz="0" w:space="0" w:color="auto"/>
                        <w:left w:val="none" w:sz="0" w:space="0" w:color="auto"/>
                        <w:bottom w:val="none" w:sz="0" w:space="0" w:color="auto"/>
                        <w:right w:val="none" w:sz="0" w:space="0" w:color="auto"/>
                      </w:divBdr>
                      <w:divsChild>
                        <w:div w:id="1029338305">
                          <w:marLeft w:val="0"/>
                          <w:marRight w:val="0"/>
                          <w:marTop w:val="0"/>
                          <w:marBottom w:val="0"/>
                          <w:divBdr>
                            <w:top w:val="none" w:sz="0" w:space="0" w:color="auto"/>
                            <w:left w:val="none" w:sz="0" w:space="0" w:color="auto"/>
                            <w:bottom w:val="none" w:sz="0" w:space="0" w:color="auto"/>
                            <w:right w:val="none" w:sz="0" w:space="0" w:color="auto"/>
                          </w:divBdr>
                          <w:divsChild>
                            <w:div w:id="983899443">
                              <w:marLeft w:val="570"/>
                              <w:marRight w:val="720"/>
                              <w:marTop w:val="120"/>
                              <w:marBottom w:val="120"/>
                              <w:divBdr>
                                <w:top w:val="none" w:sz="0" w:space="0" w:color="auto"/>
                                <w:left w:val="none" w:sz="0" w:space="0" w:color="auto"/>
                                <w:bottom w:val="none" w:sz="0" w:space="0" w:color="auto"/>
                                <w:right w:val="none" w:sz="0" w:space="0" w:color="auto"/>
                              </w:divBdr>
                              <w:divsChild>
                                <w:div w:id="1223567431">
                                  <w:marLeft w:val="0"/>
                                  <w:marRight w:val="0"/>
                                  <w:marTop w:val="0"/>
                                  <w:marBottom w:val="0"/>
                                  <w:divBdr>
                                    <w:top w:val="none" w:sz="0" w:space="0" w:color="auto"/>
                                    <w:left w:val="none" w:sz="0" w:space="0" w:color="auto"/>
                                    <w:bottom w:val="none" w:sz="0" w:space="0" w:color="auto"/>
                                    <w:right w:val="none" w:sz="0" w:space="0" w:color="auto"/>
                                  </w:divBdr>
                                  <w:divsChild>
                                    <w:div w:id="1984651730">
                                      <w:marLeft w:val="0"/>
                                      <w:marRight w:val="0"/>
                                      <w:marTop w:val="0"/>
                                      <w:marBottom w:val="0"/>
                                      <w:divBdr>
                                        <w:top w:val="none" w:sz="0" w:space="0" w:color="auto"/>
                                        <w:left w:val="none" w:sz="0" w:space="0" w:color="auto"/>
                                        <w:bottom w:val="none" w:sz="0" w:space="0" w:color="auto"/>
                                        <w:right w:val="none" w:sz="0" w:space="0" w:color="auto"/>
                                      </w:divBdr>
                                      <w:divsChild>
                                        <w:div w:id="733819397">
                                          <w:marLeft w:val="0"/>
                                          <w:marRight w:val="0"/>
                                          <w:marTop w:val="0"/>
                                          <w:marBottom w:val="0"/>
                                          <w:divBdr>
                                            <w:top w:val="none" w:sz="0" w:space="0" w:color="auto"/>
                                            <w:left w:val="none" w:sz="0" w:space="0" w:color="auto"/>
                                            <w:bottom w:val="none" w:sz="0" w:space="0" w:color="auto"/>
                                            <w:right w:val="none" w:sz="0" w:space="0" w:color="auto"/>
                                          </w:divBdr>
                                        </w:div>
                                        <w:div w:id="350954531">
                                          <w:marLeft w:val="0"/>
                                          <w:marRight w:val="0"/>
                                          <w:marTop w:val="0"/>
                                          <w:marBottom w:val="150"/>
                                          <w:divBdr>
                                            <w:top w:val="none" w:sz="0" w:space="0" w:color="auto"/>
                                            <w:left w:val="none" w:sz="0" w:space="0" w:color="auto"/>
                                            <w:bottom w:val="none" w:sz="0" w:space="0" w:color="auto"/>
                                            <w:right w:val="none" w:sz="0" w:space="0" w:color="auto"/>
                                          </w:divBdr>
                                          <w:divsChild>
                                            <w:div w:id="238488143">
                                              <w:marLeft w:val="0"/>
                                              <w:marRight w:val="0"/>
                                              <w:marTop w:val="240"/>
                                              <w:marBottom w:val="240"/>
                                              <w:divBdr>
                                                <w:top w:val="single" w:sz="6" w:space="6" w:color="F2F2F2"/>
                                                <w:left w:val="none" w:sz="0" w:space="0" w:color="auto"/>
                                                <w:bottom w:val="single" w:sz="6" w:space="6" w:color="F2F2F2"/>
                                                <w:right w:val="none" w:sz="0" w:space="0" w:color="auto"/>
                                              </w:divBdr>
                                            </w:div>
                                            <w:div w:id="801920380">
                                              <w:marLeft w:val="0"/>
                                              <w:marRight w:val="0"/>
                                              <w:marTop w:val="0"/>
                                              <w:marBottom w:val="0"/>
                                              <w:divBdr>
                                                <w:top w:val="none" w:sz="0" w:space="0" w:color="auto"/>
                                                <w:left w:val="none" w:sz="0" w:space="0" w:color="auto"/>
                                                <w:bottom w:val="none" w:sz="0" w:space="0" w:color="auto"/>
                                                <w:right w:val="none" w:sz="0" w:space="0" w:color="auto"/>
                                              </w:divBdr>
                                              <w:divsChild>
                                                <w:div w:id="1966426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48748">
      <w:bodyDiv w:val="1"/>
      <w:marLeft w:val="0"/>
      <w:marRight w:val="0"/>
      <w:marTop w:val="0"/>
      <w:marBottom w:val="0"/>
      <w:divBdr>
        <w:top w:val="none" w:sz="0" w:space="0" w:color="auto"/>
        <w:left w:val="none" w:sz="0" w:space="0" w:color="auto"/>
        <w:bottom w:val="none" w:sz="0" w:space="0" w:color="auto"/>
        <w:right w:val="none" w:sz="0" w:space="0" w:color="auto"/>
      </w:divBdr>
      <w:divsChild>
        <w:div w:id="646670391">
          <w:marLeft w:val="0"/>
          <w:marRight w:val="0"/>
          <w:marTop w:val="150"/>
          <w:marBottom w:val="0"/>
          <w:divBdr>
            <w:top w:val="none" w:sz="0" w:space="0" w:color="auto"/>
            <w:left w:val="none" w:sz="0" w:space="0" w:color="auto"/>
            <w:bottom w:val="none" w:sz="0" w:space="0" w:color="auto"/>
            <w:right w:val="none" w:sz="0" w:space="0" w:color="auto"/>
          </w:divBdr>
          <w:divsChild>
            <w:div w:id="1290941097">
              <w:marLeft w:val="2"/>
              <w:marRight w:val="2"/>
              <w:marTop w:val="0"/>
              <w:marBottom w:val="0"/>
              <w:divBdr>
                <w:top w:val="none" w:sz="0" w:space="0" w:color="auto"/>
                <w:left w:val="none" w:sz="0" w:space="0" w:color="auto"/>
                <w:bottom w:val="none" w:sz="0" w:space="0" w:color="auto"/>
                <w:right w:val="none" w:sz="0" w:space="0" w:color="auto"/>
              </w:divBdr>
              <w:divsChild>
                <w:div w:id="1535650664">
                  <w:marLeft w:val="0"/>
                  <w:marRight w:val="0"/>
                  <w:marTop w:val="0"/>
                  <w:marBottom w:val="0"/>
                  <w:divBdr>
                    <w:top w:val="none" w:sz="0" w:space="0" w:color="auto"/>
                    <w:left w:val="none" w:sz="0" w:space="0" w:color="auto"/>
                    <w:bottom w:val="none" w:sz="0" w:space="0" w:color="auto"/>
                    <w:right w:val="none" w:sz="0" w:space="0" w:color="auto"/>
                  </w:divBdr>
                  <w:divsChild>
                    <w:div w:id="1896353201">
                      <w:marLeft w:val="0"/>
                      <w:marRight w:val="0"/>
                      <w:marTop w:val="0"/>
                      <w:marBottom w:val="0"/>
                      <w:divBdr>
                        <w:top w:val="none" w:sz="0" w:space="0" w:color="auto"/>
                        <w:left w:val="none" w:sz="0" w:space="0" w:color="auto"/>
                        <w:bottom w:val="none" w:sz="0" w:space="0" w:color="auto"/>
                        <w:right w:val="none" w:sz="0" w:space="0" w:color="auto"/>
                      </w:divBdr>
                      <w:divsChild>
                        <w:div w:id="1340430282">
                          <w:marLeft w:val="0"/>
                          <w:marRight w:val="0"/>
                          <w:marTop w:val="0"/>
                          <w:marBottom w:val="0"/>
                          <w:divBdr>
                            <w:top w:val="none" w:sz="0" w:space="0" w:color="auto"/>
                            <w:left w:val="none" w:sz="0" w:space="0" w:color="auto"/>
                            <w:bottom w:val="none" w:sz="0" w:space="0" w:color="auto"/>
                            <w:right w:val="none" w:sz="0" w:space="0" w:color="auto"/>
                          </w:divBdr>
                          <w:divsChild>
                            <w:div w:id="3243796">
                              <w:marLeft w:val="0"/>
                              <w:marRight w:val="0"/>
                              <w:marTop w:val="0"/>
                              <w:marBottom w:val="0"/>
                              <w:divBdr>
                                <w:top w:val="none" w:sz="0" w:space="0" w:color="auto"/>
                                <w:left w:val="none" w:sz="0" w:space="0" w:color="auto"/>
                                <w:bottom w:val="none" w:sz="0" w:space="0" w:color="auto"/>
                                <w:right w:val="none" w:sz="0" w:space="0" w:color="auto"/>
                              </w:divBdr>
                              <w:divsChild>
                                <w:div w:id="19206412">
                                  <w:marLeft w:val="0"/>
                                  <w:marRight w:val="0"/>
                                  <w:marTop w:val="0"/>
                                  <w:marBottom w:val="0"/>
                                  <w:divBdr>
                                    <w:top w:val="none" w:sz="0" w:space="0" w:color="auto"/>
                                    <w:left w:val="none" w:sz="0" w:space="0" w:color="auto"/>
                                    <w:bottom w:val="none" w:sz="0" w:space="0" w:color="auto"/>
                                    <w:right w:val="none" w:sz="0" w:space="0" w:color="auto"/>
                                  </w:divBdr>
                                  <w:divsChild>
                                    <w:div w:id="157187775">
                                      <w:marLeft w:val="0"/>
                                      <w:marRight w:val="0"/>
                                      <w:marTop w:val="0"/>
                                      <w:marBottom w:val="0"/>
                                      <w:divBdr>
                                        <w:top w:val="none" w:sz="0" w:space="0" w:color="auto"/>
                                        <w:left w:val="none" w:sz="0" w:space="0" w:color="auto"/>
                                        <w:bottom w:val="none" w:sz="0" w:space="0" w:color="auto"/>
                                        <w:right w:val="none" w:sz="0" w:space="0" w:color="auto"/>
                                      </w:divBdr>
                                      <w:divsChild>
                                        <w:div w:id="1254434162">
                                          <w:marLeft w:val="0"/>
                                          <w:marRight w:val="0"/>
                                          <w:marTop w:val="0"/>
                                          <w:marBottom w:val="0"/>
                                          <w:divBdr>
                                            <w:top w:val="none" w:sz="0" w:space="0" w:color="auto"/>
                                            <w:left w:val="none" w:sz="0" w:space="0" w:color="auto"/>
                                            <w:bottom w:val="none" w:sz="0" w:space="0" w:color="auto"/>
                                            <w:right w:val="none" w:sz="0" w:space="0" w:color="auto"/>
                                          </w:divBdr>
                                          <w:divsChild>
                                            <w:div w:id="219245477">
                                              <w:marLeft w:val="0"/>
                                              <w:marRight w:val="0"/>
                                              <w:marTop w:val="0"/>
                                              <w:marBottom w:val="0"/>
                                              <w:divBdr>
                                                <w:top w:val="none" w:sz="0" w:space="0" w:color="auto"/>
                                                <w:left w:val="none" w:sz="0" w:space="0" w:color="auto"/>
                                                <w:bottom w:val="none" w:sz="0" w:space="0" w:color="auto"/>
                                                <w:right w:val="none" w:sz="0" w:space="0" w:color="auto"/>
                                              </w:divBdr>
                                              <w:divsChild>
                                                <w:div w:id="1845316654">
                                                  <w:marLeft w:val="0"/>
                                                  <w:marRight w:val="0"/>
                                                  <w:marTop w:val="0"/>
                                                  <w:marBottom w:val="0"/>
                                                  <w:divBdr>
                                                    <w:top w:val="none" w:sz="0" w:space="0" w:color="auto"/>
                                                    <w:left w:val="none" w:sz="0" w:space="0" w:color="auto"/>
                                                    <w:bottom w:val="none" w:sz="0" w:space="0" w:color="auto"/>
                                                    <w:right w:val="none" w:sz="0" w:space="0" w:color="auto"/>
                                                  </w:divBdr>
                                                </w:div>
                                              </w:divsChild>
                                            </w:div>
                                            <w:div w:id="1957903586">
                                              <w:marLeft w:val="0"/>
                                              <w:marRight w:val="0"/>
                                              <w:marTop w:val="0"/>
                                              <w:marBottom w:val="0"/>
                                              <w:divBdr>
                                                <w:top w:val="none" w:sz="0" w:space="0" w:color="auto"/>
                                                <w:left w:val="none" w:sz="0" w:space="0" w:color="auto"/>
                                                <w:bottom w:val="none" w:sz="0" w:space="0" w:color="auto"/>
                                                <w:right w:val="none" w:sz="0" w:space="0" w:color="auto"/>
                                              </w:divBdr>
                                              <w:divsChild>
                                                <w:div w:id="1382902761">
                                                  <w:marLeft w:val="0"/>
                                                  <w:marRight w:val="0"/>
                                                  <w:marTop w:val="0"/>
                                                  <w:marBottom w:val="0"/>
                                                  <w:divBdr>
                                                    <w:top w:val="none" w:sz="0" w:space="0" w:color="auto"/>
                                                    <w:left w:val="none" w:sz="0" w:space="0" w:color="auto"/>
                                                    <w:bottom w:val="none" w:sz="0" w:space="0" w:color="auto"/>
                                                    <w:right w:val="none" w:sz="0" w:space="0" w:color="auto"/>
                                                  </w:divBdr>
                                                </w:div>
                                              </w:divsChild>
                                            </w:div>
                                            <w:div w:id="1119648312">
                                              <w:marLeft w:val="0"/>
                                              <w:marRight w:val="0"/>
                                              <w:marTop w:val="0"/>
                                              <w:marBottom w:val="0"/>
                                              <w:divBdr>
                                                <w:top w:val="none" w:sz="0" w:space="0" w:color="auto"/>
                                                <w:left w:val="none" w:sz="0" w:space="0" w:color="auto"/>
                                                <w:bottom w:val="none" w:sz="0" w:space="0" w:color="auto"/>
                                                <w:right w:val="none" w:sz="0" w:space="0" w:color="auto"/>
                                              </w:divBdr>
                                              <w:divsChild>
                                                <w:div w:id="940843536">
                                                  <w:marLeft w:val="0"/>
                                                  <w:marRight w:val="0"/>
                                                  <w:marTop w:val="0"/>
                                                  <w:marBottom w:val="0"/>
                                                  <w:divBdr>
                                                    <w:top w:val="none" w:sz="0" w:space="0" w:color="auto"/>
                                                    <w:left w:val="none" w:sz="0" w:space="0" w:color="auto"/>
                                                    <w:bottom w:val="none" w:sz="0" w:space="0" w:color="auto"/>
                                                    <w:right w:val="none" w:sz="0" w:space="0" w:color="auto"/>
                                                  </w:divBdr>
                                                </w:div>
                                              </w:divsChild>
                                            </w:div>
                                            <w:div w:id="598417832">
                                              <w:marLeft w:val="0"/>
                                              <w:marRight w:val="0"/>
                                              <w:marTop w:val="0"/>
                                              <w:marBottom w:val="0"/>
                                              <w:divBdr>
                                                <w:top w:val="none" w:sz="0" w:space="0" w:color="auto"/>
                                                <w:left w:val="none" w:sz="0" w:space="0" w:color="auto"/>
                                                <w:bottom w:val="none" w:sz="0" w:space="0" w:color="auto"/>
                                                <w:right w:val="none" w:sz="0" w:space="0" w:color="auto"/>
                                              </w:divBdr>
                                              <w:divsChild>
                                                <w:div w:id="15439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94330">
      <w:bodyDiv w:val="1"/>
      <w:marLeft w:val="0"/>
      <w:marRight w:val="0"/>
      <w:marTop w:val="0"/>
      <w:marBottom w:val="0"/>
      <w:divBdr>
        <w:top w:val="none" w:sz="0" w:space="0" w:color="auto"/>
        <w:left w:val="none" w:sz="0" w:space="0" w:color="auto"/>
        <w:bottom w:val="none" w:sz="0" w:space="0" w:color="auto"/>
        <w:right w:val="none" w:sz="0" w:space="0" w:color="auto"/>
      </w:divBdr>
    </w:div>
    <w:div w:id="604654022">
      <w:bodyDiv w:val="1"/>
      <w:marLeft w:val="0"/>
      <w:marRight w:val="0"/>
      <w:marTop w:val="0"/>
      <w:marBottom w:val="0"/>
      <w:divBdr>
        <w:top w:val="none" w:sz="0" w:space="0" w:color="auto"/>
        <w:left w:val="none" w:sz="0" w:space="0" w:color="auto"/>
        <w:bottom w:val="none" w:sz="0" w:space="0" w:color="auto"/>
        <w:right w:val="none" w:sz="0" w:space="0" w:color="auto"/>
      </w:divBdr>
      <w:divsChild>
        <w:div w:id="1940260796">
          <w:marLeft w:val="-225"/>
          <w:marRight w:val="-225"/>
          <w:marTop w:val="0"/>
          <w:marBottom w:val="0"/>
          <w:divBdr>
            <w:top w:val="none" w:sz="0" w:space="0" w:color="auto"/>
            <w:left w:val="none" w:sz="0" w:space="0" w:color="auto"/>
            <w:bottom w:val="none" w:sz="0" w:space="0" w:color="auto"/>
            <w:right w:val="none" w:sz="0" w:space="0" w:color="auto"/>
          </w:divBdr>
          <w:divsChild>
            <w:div w:id="451945247">
              <w:marLeft w:val="0"/>
              <w:marRight w:val="0"/>
              <w:marTop w:val="0"/>
              <w:marBottom w:val="0"/>
              <w:divBdr>
                <w:top w:val="none" w:sz="0" w:space="0" w:color="auto"/>
                <w:left w:val="none" w:sz="0" w:space="0" w:color="auto"/>
                <w:bottom w:val="none" w:sz="0" w:space="0" w:color="auto"/>
                <w:right w:val="none" w:sz="0" w:space="0" w:color="auto"/>
              </w:divBdr>
              <w:divsChild>
                <w:div w:id="1530604034">
                  <w:marLeft w:val="0"/>
                  <w:marRight w:val="0"/>
                  <w:marTop w:val="0"/>
                  <w:marBottom w:val="0"/>
                  <w:divBdr>
                    <w:top w:val="none" w:sz="0" w:space="0" w:color="auto"/>
                    <w:left w:val="none" w:sz="0" w:space="0" w:color="auto"/>
                    <w:bottom w:val="none" w:sz="0" w:space="0" w:color="auto"/>
                    <w:right w:val="none" w:sz="0" w:space="0" w:color="auto"/>
                  </w:divBdr>
                  <w:divsChild>
                    <w:div w:id="637104548">
                      <w:marLeft w:val="0"/>
                      <w:marRight w:val="0"/>
                      <w:marTop w:val="0"/>
                      <w:marBottom w:val="0"/>
                      <w:divBdr>
                        <w:top w:val="none" w:sz="0" w:space="0" w:color="auto"/>
                        <w:left w:val="none" w:sz="0" w:space="0" w:color="auto"/>
                        <w:bottom w:val="none" w:sz="0" w:space="0" w:color="auto"/>
                        <w:right w:val="none" w:sz="0" w:space="0" w:color="auto"/>
                      </w:divBdr>
                      <w:divsChild>
                        <w:div w:id="1520201166">
                          <w:marLeft w:val="0"/>
                          <w:marRight w:val="0"/>
                          <w:marTop w:val="0"/>
                          <w:marBottom w:val="525"/>
                          <w:divBdr>
                            <w:top w:val="none" w:sz="0" w:space="0" w:color="auto"/>
                            <w:left w:val="none" w:sz="0" w:space="0" w:color="auto"/>
                            <w:bottom w:val="none" w:sz="0" w:space="0" w:color="auto"/>
                            <w:right w:val="none" w:sz="0" w:space="0" w:color="auto"/>
                          </w:divBdr>
                          <w:divsChild>
                            <w:div w:id="14753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93549">
          <w:marLeft w:val="-225"/>
          <w:marRight w:val="-225"/>
          <w:marTop w:val="0"/>
          <w:marBottom w:val="0"/>
          <w:divBdr>
            <w:top w:val="none" w:sz="0" w:space="0" w:color="auto"/>
            <w:left w:val="none" w:sz="0" w:space="0" w:color="auto"/>
            <w:bottom w:val="none" w:sz="0" w:space="0" w:color="auto"/>
            <w:right w:val="none" w:sz="0" w:space="0" w:color="auto"/>
          </w:divBdr>
          <w:divsChild>
            <w:div w:id="246423172">
              <w:marLeft w:val="0"/>
              <w:marRight w:val="0"/>
              <w:marTop w:val="0"/>
              <w:marBottom w:val="0"/>
              <w:divBdr>
                <w:top w:val="none" w:sz="0" w:space="0" w:color="auto"/>
                <w:left w:val="none" w:sz="0" w:space="0" w:color="auto"/>
                <w:bottom w:val="none" w:sz="0" w:space="0" w:color="auto"/>
                <w:right w:val="none" w:sz="0" w:space="0" w:color="auto"/>
              </w:divBdr>
              <w:divsChild>
                <w:div w:id="32467395">
                  <w:marLeft w:val="0"/>
                  <w:marRight w:val="0"/>
                  <w:marTop w:val="0"/>
                  <w:marBottom w:val="0"/>
                  <w:divBdr>
                    <w:top w:val="none" w:sz="0" w:space="0" w:color="auto"/>
                    <w:left w:val="none" w:sz="0" w:space="0" w:color="auto"/>
                    <w:bottom w:val="none" w:sz="0" w:space="0" w:color="auto"/>
                    <w:right w:val="none" w:sz="0" w:space="0" w:color="auto"/>
                  </w:divBdr>
                  <w:divsChild>
                    <w:div w:id="784930684">
                      <w:marLeft w:val="0"/>
                      <w:marRight w:val="0"/>
                      <w:marTop w:val="0"/>
                      <w:marBottom w:val="0"/>
                      <w:divBdr>
                        <w:top w:val="none" w:sz="0" w:space="0" w:color="auto"/>
                        <w:left w:val="none" w:sz="0" w:space="0" w:color="auto"/>
                        <w:bottom w:val="none" w:sz="0" w:space="0" w:color="auto"/>
                        <w:right w:val="none" w:sz="0" w:space="0" w:color="auto"/>
                      </w:divBdr>
                      <w:divsChild>
                        <w:div w:id="1949043594">
                          <w:marLeft w:val="0"/>
                          <w:marRight w:val="0"/>
                          <w:marTop w:val="0"/>
                          <w:marBottom w:val="0"/>
                          <w:divBdr>
                            <w:top w:val="none" w:sz="0" w:space="0" w:color="auto"/>
                            <w:left w:val="none" w:sz="0" w:space="0" w:color="auto"/>
                            <w:bottom w:val="none" w:sz="0" w:space="0" w:color="auto"/>
                            <w:right w:val="none" w:sz="0" w:space="0" w:color="auto"/>
                          </w:divBdr>
                          <w:divsChild>
                            <w:div w:id="12850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384633">
      <w:bodyDiv w:val="1"/>
      <w:marLeft w:val="0"/>
      <w:marRight w:val="0"/>
      <w:marTop w:val="0"/>
      <w:marBottom w:val="0"/>
      <w:divBdr>
        <w:top w:val="none" w:sz="0" w:space="0" w:color="auto"/>
        <w:left w:val="none" w:sz="0" w:space="0" w:color="auto"/>
        <w:bottom w:val="none" w:sz="0" w:space="0" w:color="auto"/>
        <w:right w:val="none" w:sz="0" w:space="0" w:color="auto"/>
      </w:divBdr>
      <w:divsChild>
        <w:div w:id="608002863">
          <w:marLeft w:val="0"/>
          <w:marRight w:val="0"/>
          <w:marTop w:val="0"/>
          <w:marBottom w:val="0"/>
          <w:divBdr>
            <w:top w:val="none" w:sz="0" w:space="0" w:color="auto"/>
            <w:left w:val="none" w:sz="0" w:space="0" w:color="auto"/>
            <w:bottom w:val="none" w:sz="0" w:space="0" w:color="auto"/>
            <w:right w:val="none" w:sz="0" w:space="0" w:color="auto"/>
          </w:divBdr>
          <w:divsChild>
            <w:div w:id="134831829">
              <w:marLeft w:val="0"/>
              <w:marRight w:val="0"/>
              <w:marTop w:val="0"/>
              <w:marBottom w:val="0"/>
              <w:divBdr>
                <w:top w:val="none" w:sz="0" w:space="0" w:color="auto"/>
                <w:left w:val="none" w:sz="0" w:space="0" w:color="auto"/>
                <w:bottom w:val="none" w:sz="0" w:space="0" w:color="auto"/>
                <w:right w:val="none" w:sz="0" w:space="0" w:color="auto"/>
              </w:divBdr>
              <w:divsChild>
                <w:div w:id="256597426">
                  <w:marLeft w:val="0"/>
                  <w:marRight w:val="0"/>
                  <w:marTop w:val="0"/>
                  <w:marBottom w:val="0"/>
                  <w:divBdr>
                    <w:top w:val="none" w:sz="0" w:space="0" w:color="auto"/>
                    <w:left w:val="none" w:sz="0" w:space="0" w:color="auto"/>
                    <w:bottom w:val="none" w:sz="0" w:space="0" w:color="auto"/>
                    <w:right w:val="none" w:sz="0" w:space="0" w:color="auto"/>
                  </w:divBdr>
                  <w:divsChild>
                    <w:div w:id="140660255">
                      <w:marLeft w:val="0"/>
                      <w:marRight w:val="0"/>
                      <w:marTop w:val="0"/>
                      <w:marBottom w:val="0"/>
                      <w:divBdr>
                        <w:top w:val="none" w:sz="0" w:space="0" w:color="auto"/>
                        <w:left w:val="none" w:sz="0" w:space="0" w:color="auto"/>
                        <w:bottom w:val="none" w:sz="0" w:space="0" w:color="auto"/>
                        <w:right w:val="none" w:sz="0" w:space="0" w:color="auto"/>
                      </w:divBdr>
                      <w:divsChild>
                        <w:div w:id="14006681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06621921">
      <w:bodyDiv w:val="1"/>
      <w:marLeft w:val="0"/>
      <w:marRight w:val="0"/>
      <w:marTop w:val="0"/>
      <w:marBottom w:val="0"/>
      <w:divBdr>
        <w:top w:val="none" w:sz="0" w:space="0" w:color="auto"/>
        <w:left w:val="none" w:sz="0" w:space="0" w:color="auto"/>
        <w:bottom w:val="none" w:sz="0" w:space="0" w:color="auto"/>
        <w:right w:val="none" w:sz="0" w:space="0" w:color="auto"/>
      </w:divBdr>
      <w:divsChild>
        <w:div w:id="1205949100">
          <w:marLeft w:val="0"/>
          <w:marRight w:val="0"/>
          <w:marTop w:val="0"/>
          <w:marBottom w:val="0"/>
          <w:divBdr>
            <w:top w:val="single" w:sz="2" w:space="0" w:color="AAAAAA"/>
            <w:left w:val="single" w:sz="6" w:space="8" w:color="AAAAAA"/>
            <w:bottom w:val="single" w:sz="2" w:space="0" w:color="AAAAAA"/>
            <w:right w:val="single" w:sz="6" w:space="8" w:color="AAAAAA"/>
          </w:divBdr>
          <w:divsChild>
            <w:div w:id="1058866275">
              <w:marLeft w:val="0"/>
              <w:marRight w:val="0"/>
              <w:marTop w:val="0"/>
              <w:marBottom w:val="0"/>
              <w:divBdr>
                <w:top w:val="none" w:sz="0" w:space="0" w:color="auto"/>
                <w:left w:val="none" w:sz="0" w:space="0" w:color="auto"/>
                <w:bottom w:val="none" w:sz="0" w:space="0" w:color="auto"/>
                <w:right w:val="none" w:sz="0" w:space="0" w:color="auto"/>
              </w:divBdr>
              <w:divsChild>
                <w:div w:id="1404839336">
                  <w:marLeft w:val="0"/>
                  <w:marRight w:val="0"/>
                  <w:marTop w:val="0"/>
                  <w:marBottom w:val="0"/>
                  <w:divBdr>
                    <w:top w:val="none" w:sz="0" w:space="0" w:color="auto"/>
                    <w:left w:val="none" w:sz="0" w:space="0" w:color="auto"/>
                    <w:bottom w:val="none" w:sz="0" w:space="0" w:color="auto"/>
                    <w:right w:val="none" w:sz="0" w:space="0" w:color="auto"/>
                  </w:divBdr>
                  <w:divsChild>
                    <w:div w:id="98304075">
                      <w:marLeft w:val="0"/>
                      <w:marRight w:val="2550"/>
                      <w:marTop w:val="0"/>
                      <w:marBottom w:val="48"/>
                      <w:divBdr>
                        <w:top w:val="none" w:sz="0" w:space="0" w:color="auto"/>
                        <w:left w:val="none" w:sz="0" w:space="0" w:color="auto"/>
                        <w:bottom w:val="none" w:sz="0" w:space="0" w:color="auto"/>
                        <w:right w:val="none" w:sz="0" w:space="0" w:color="auto"/>
                      </w:divBdr>
                      <w:divsChild>
                        <w:div w:id="11223046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09320589">
      <w:bodyDiv w:val="1"/>
      <w:marLeft w:val="0"/>
      <w:marRight w:val="0"/>
      <w:marTop w:val="0"/>
      <w:marBottom w:val="0"/>
      <w:divBdr>
        <w:top w:val="none" w:sz="0" w:space="0" w:color="auto"/>
        <w:left w:val="none" w:sz="0" w:space="0" w:color="auto"/>
        <w:bottom w:val="none" w:sz="0" w:space="0" w:color="auto"/>
        <w:right w:val="none" w:sz="0" w:space="0" w:color="auto"/>
      </w:divBdr>
      <w:divsChild>
        <w:div w:id="354505588">
          <w:marLeft w:val="0"/>
          <w:marRight w:val="0"/>
          <w:marTop w:val="0"/>
          <w:marBottom w:val="0"/>
          <w:divBdr>
            <w:top w:val="none" w:sz="0" w:space="0" w:color="auto"/>
            <w:left w:val="none" w:sz="0" w:space="0" w:color="auto"/>
            <w:bottom w:val="single" w:sz="6" w:space="11" w:color="D4D4D4"/>
            <w:right w:val="none" w:sz="0" w:space="0" w:color="auto"/>
          </w:divBdr>
        </w:div>
      </w:divsChild>
    </w:div>
    <w:div w:id="610941775">
      <w:bodyDiv w:val="1"/>
      <w:marLeft w:val="0"/>
      <w:marRight w:val="0"/>
      <w:marTop w:val="0"/>
      <w:marBottom w:val="0"/>
      <w:divBdr>
        <w:top w:val="none" w:sz="0" w:space="0" w:color="auto"/>
        <w:left w:val="none" w:sz="0" w:space="0" w:color="auto"/>
        <w:bottom w:val="none" w:sz="0" w:space="0" w:color="auto"/>
        <w:right w:val="none" w:sz="0" w:space="0" w:color="auto"/>
      </w:divBdr>
      <w:divsChild>
        <w:div w:id="873229811">
          <w:marLeft w:val="0"/>
          <w:marRight w:val="0"/>
          <w:marTop w:val="0"/>
          <w:marBottom w:val="0"/>
          <w:divBdr>
            <w:top w:val="none" w:sz="0" w:space="0" w:color="auto"/>
            <w:left w:val="none" w:sz="0" w:space="0" w:color="auto"/>
            <w:bottom w:val="none" w:sz="0" w:space="0" w:color="auto"/>
            <w:right w:val="none" w:sz="0" w:space="0" w:color="auto"/>
          </w:divBdr>
        </w:div>
      </w:divsChild>
    </w:div>
    <w:div w:id="611281495">
      <w:bodyDiv w:val="1"/>
      <w:marLeft w:val="0"/>
      <w:marRight w:val="0"/>
      <w:marTop w:val="0"/>
      <w:marBottom w:val="0"/>
      <w:divBdr>
        <w:top w:val="none" w:sz="0" w:space="0" w:color="auto"/>
        <w:left w:val="none" w:sz="0" w:space="0" w:color="auto"/>
        <w:bottom w:val="none" w:sz="0" w:space="0" w:color="auto"/>
        <w:right w:val="none" w:sz="0" w:space="0" w:color="auto"/>
      </w:divBdr>
      <w:divsChild>
        <w:div w:id="1927107214">
          <w:marLeft w:val="0"/>
          <w:marRight w:val="0"/>
          <w:marTop w:val="0"/>
          <w:marBottom w:val="0"/>
          <w:divBdr>
            <w:top w:val="none" w:sz="0" w:space="0" w:color="auto"/>
            <w:left w:val="none" w:sz="0" w:space="0" w:color="auto"/>
            <w:bottom w:val="none" w:sz="0" w:space="0" w:color="auto"/>
            <w:right w:val="none" w:sz="0" w:space="0" w:color="auto"/>
          </w:divBdr>
          <w:divsChild>
            <w:div w:id="1176916287">
              <w:marLeft w:val="0"/>
              <w:marRight w:val="0"/>
              <w:marTop w:val="0"/>
              <w:marBottom w:val="0"/>
              <w:divBdr>
                <w:top w:val="none" w:sz="0" w:space="0" w:color="auto"/>
                <w:left w:val="none" w:sz="0" w:space="0" w:color="auto"/>
                <w:bottom w:val="none" w:sz="0" w:space="0" w:color="auto"/>
                <w:right w:val="none" w:sz="0" w:space="0" w:color="auto"/>
              </w:divBdr>
              <w:divsChild>
                <w:div w:id="815414742">
                  <w:marLeft w:val="0"/>
                  <w:marRight w:val="0"/>
                  <w:marTop w:val="0"/>
                  <w:marBottom w:val="0"/>
                  <w:divBdr>
                    <w:top w:val="none" w:sz="0" w:space="0" w:color="auto"/>
                    <w:left w:val="none" w:sz="0" w:space="0" w:color="auto"/>
                    <w:bottom w:val="none" w:sz="0" w:space="0" w:color="auto"/>
                    <w:right w:val="none" w:sz="0" w:space="0" w:color="auto"/>
                  </w:divBdr>
                  <w:divsChild>
                    <w:div w:id="712654226">
                      <w:marLeft w:val="0"/>
                      <w:marRight w:val="0"/>
                      <w:marTop w:val="0"/>
                      <w:marBottom w:val="0"/>
                      <w:divBdr>
                        <w:top w:val="none" w:sz="0" w:space="0" w:color="auto"/>
                        <w:left w:val="none" w:sz="0" w:space="0" w:color="auto"/>
                        <w:bottom w:val="none" w:sz="0" w:space="0" w:color="auto"/>
                        <w:right w:val="none" w:sz="0" w:space="0" w:color="auto"/>
                      </w:divBdr>
                      <w:divsChild>
                        <w:div w:id="80951114">
                          <w:marLeft w:val="0"/>
                          <w:marRight w:val="0"/>
                          <w:marTop w:val="0"/>
                          <w:marBottom w:val="0"/>
                          <w:divBdr>
                            <w:top w:val="none" w:sz="0" w:space="0" w:color="auto"/>
                            <w:left w:val="none" w:sz="0" w:space="0" w:color="auto"/>
                            <w:bottom w:val="none" w:sz="0" w:space="0" w:color="auto"/>
                            <w:right w:val="none" w:sz="0" w:space="0" w:color="auto"/>
                          </w:divBdr>
                          <w:divsChild>
                            <w:div w:id="760176360">
                              <w:marLeft w:val="0"/>
                              <w:marRight w:val="0"/>
                              <w:marTop w:val="0"/>
                              <w:marBottom w:val="0"/>
                              <w:divBdr>
                                <w:top w:val="none" w:sz="0" w:space="0" w:color="auto"/>
                                <w:left w:val="none" w:sz="0" w:space="0" w:color="auto"/>
                                <w:bottom w:val="none" w:sz="0" w:space="0" w:color="auto"/>
                                <w:right w:val="none" w:sz="0" w:space="0" w:color="auto"/>
                              </w:divBdr>
                              <w:divsChild>
                                <w:div w:id="311059694">
                                  <w:marLeft w:val="0"/>
                                  <w:marRight w:val="0"/>
                                  <w:marTop w:val="0"/>
                                  <w:marBottom w:val="0"/>
                                  <w:divBdr>
                                    <w:top w:val="none" w:sz="0" w:space="0" w:color="auto"/>
                                    <w:left w:val="none" w:sz="0" w:space="0" w:color="auto"/>
                                    <w:bottom w:val="none" w:sz="0" w:space="0" w:color="auto"/>
                                    <w:right w:val="none" w:sz="0" w:space="0" w:color="auto"/>
                                  </w:divBdr>
                                  <w:divsChild>
                                    <w:div w:id="1283028590">
                                      <w:marLeft w:val="0"/>
                                      <w:marRight w:val="0"/>
                                      <w:marTop w:val="0"/>
                                      <w:marBottom w:val="0"/>
                                      <w:divBdr>
                                        <w:top w:val="none" w:sz="0" w:space="0" w:color="auto"/>
                                        <w:left w:val="none" w:sz="0" w:space="0" w:color="auto"/>
                                        <w:bottom w:val="none" w:sz="0" w:space="0" w:color="auto"/>
                                        <w:right w:val="none" w:sz="0" w:space="0" w:color="auto"/>
                                      </w:divBdr>
                                      <w:divsChild>
                                        <w:div w:id="127674786">
                                          <w:marLeft w:val="0"/>
                                          <w:marRight w:val="0"/>
                                          <w:marTop w:val="0"/>
                                          <w:marBottom w:val="0"/>
                                          <w:divBdr>
                                            <w:top w:val="none" w:sz="0" w:space="0" w:color="auto"/>
                                            <w:left w:val="none" w:sz="0" w:space="0" w:color="auto"/>
                                            <w:bottom w:val="none" w:sz="0" w:space="0" w:color="auto"/>
                                            <w:right w:val="none" w:sz="0" w:space="0" w:color="auto"/>
                                          </w:divBdr>
                                          <w:divsChild>
                                            <w:div w:id="2079209239">
                                              <w:marLeft w:val="0"/>
                                              <w:marRight w:val="0"/>
                                              <w:marTop w:val="0"/>
                                              <w:marBottom w:val="0"/>
                                              <w:divBdr>
                                                <w:top w:val="none" w:sz="0" w:space="0" w:color="auto"/>
                                                <w:left w:val="none" w:sz="0" w:space="0" w:color="auto"/>
                                                <w:bottom w:val="none" w:sz="0" w:space="0" w:color="auto"/>
                                                <w:right w:val="none" w:sz="0" w:space="0" w:color="auto"/>
                                              </w:divBdr>
                                              <w:divsChild>
                                                <w:div w:id="520051768">
                                                  <w:marLeft w:val="0"/>
                                                  <w:marRight w:val="0"/>
                                                  <w:marTop w:val="0"/>
                                                  <w:marBottom w:val="0"/>
                                                  <w:divBdr>
                                                    <w:top w:val="none" w:sz="0" w:space="0" w:color="auto"/>
                                                    <w:left w:val="none" w:sz="0" w:space="0" w:color="auto"/>
                                                    <w:bottom w:val="none" w:sz="0" w:space="0" w:color="auto"/>
                                                    <w:right w:val="none" w:sz="0" w:space="0" w:color="auto"/>
                                                  </w:divBdr>
                                                  <w:divsChild>
                                                    <w:div w:id="1973825113">
                                                      <w:marLeft w:val="0"/>
                                                      <w:marRight w:val="0"/>
                                                      <w:marTop w:val="0"/>
                                                      <w:marBottom w:val="0"/>
                                                      <w:divBdr>
                                                        <w:top w:val="none" w:sz="0" w:space="0" w:color="auto"/>
                                                        <w:left w:val="none" w:sz="0" w:space="0" w:color="auto"/>
                                                        <w:bottom w:val="none" w:sz="0" w:space="0" w:color="auto"/>
                                                        <w:right w:val="none" w:sz="0" w:space="0" w:color="auto"/>
                                                      </w:divBdr>
                                                      <w:divsChild>
                                                        <w:div w:id="8390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5132">
      <w:bodyDiv w:val="1"/>
      <w:marLeft w:val="0"/>
      <w:marRight w:val="0"/>
      <w:marTop w:val="0"/>
      <w:marBottom w:val="0"/>
      <w:divBdr>
        <w:top w:val="none" w:sz="0" w:space="0" w:color="auto"/>
        <w:left w:val="none" w:sz="0" w:space="0" w:color="auto"/>
        <w:bottom w:val="none" w:sz="0" w:space="0" w:color="auto"/>
        <w:right w:val="none" w:sz="0" w:space="0" w:color="auto"/>
      </w:divBdr>
    </w:div>
    <w:div w:id="612589820">
      <w:bodyDiv w:val="1"/>
      <w:marLeft w:val="0"/>
      <w:marRight w:val="0"/>
      <w:marTop w:val="0"/>
      <w:marBottom w:val="0"/>
      <w:divBdr>
        <w:top w:val="none" w:sz="0" w:space="0" w:color="auto"/>
        <w:left w:val="none" w:sz="0" w:space="0" w:color="auto"/>
        <w:bottom w:val="none" w:sz="0" w:space="0" w:color="auto"/>
        <w:right w:val="none" w:sz="0" w:space="0" w:color="auto"/>
      </w:divBdr>
      <w:divsChild>
        <w:div w:id="386296213">
          <w:marLeft w:val="0"/>
          <w:marRight w:val="0"/>
          <w:marTop w:val="0"/>
          <w:marBottom w:val="0"/>
          <w:divBdr>
            <w:top w:val="none" w:sz="0" w:space="0" w:color="auto"/>
            <w:left w:val="none" w:sz="0" w:space="0" w:color="auto"/>
            <w:bottom w:val="none" w:sz="0" w:space="0" w:color="auto"/>
            <w:right w:val="none" w:sz="0" w:space="0" w:color="auto"/>
          </w:divBdr>
          <w:divsChild>
            <w:div w:id="493303389">
              <w:marLeft w:val="0"/>
              <w:marRight w:val="0"/>
              <w:marTop w:val="0"/>
              <w:marBottom w:val="0"/>
              <w:divBdr>
                <w:top w:val="none" w:sz="0" w:space="0" w:color="auto"/>
                <w:left w:val="none" w:sz="0" w:space="0" w:color="auto"/>
                <w:bottom w:val="none" w:sz="0" w:space="0" w:color="auto"/>
                <w:right w:val="none" w:sz="0" w:space="0" w:color="auto"/>
              </w:divBdr>
              <w:divsChild>
                <w:div w:id="912550657">
                  <w:marLeft w:val="0"/>
                  <w:marRight w:val="0"/>
                  <w:marTop w:val="0"/>
                  <w:marBottom w:val="0"/>
                  <w:divBdr>
                    <w:top w:val="none" w:sz="0" w:space="0" w:color="auto"/>
                    <w:left w:val="none" w:sz="0" w:space="0" w:color="auto"/>
                    <w:bottom w:val="none" w:sz="0" w:space="0" w:color="auto"/>
                    <w:right w:val="none" w:sz="0" w:space="0" w:color="auto"/>
                  </w:divBdr>
                  <w:divsChild>
                    <w:div w:id="1816216595">
                      <w:marLeft w:val="0"/>
                      <w:marRight w:val="0"/>
                      <w:marTop w:val="0"/>
                      <w:marBottom w:val="0"/>
                      <w:divBdr>
                        <w:top w:val="none" w:sz="0" w:space="0" w:color="auto"/>
                        <w:left w:val="none" w:sz="0" w:space="0" w:color="auto"/>
                        <w:bottom w:val="none" w:sz="0" w:space="0" w:color="auto"/>
                        <w:right w:val="none" w:sz="0" w:space="0" w:color="auto"/>
                      </w:divBdr>
                      <w:divsChild>
                        <w:div w:id="1172570652">
                          <w:marLeft w:val="0"/>
                          <w:marRight w:val="0"/>
                          <w:marTop w:val="0"/>
                          <w:marBottom w:val="0"/>
                          <w:divBdr>
                            <w:top w:val="none" w:sz="0" w:space="0" w:color="auto"/>
                            <w:left w:val="none" w:sz="0" w:space="0" w:color="auto"/>
                            <w:bottom w:val="none" w:sz="0" w:space="0" w:color="auto"/>
                            <w:right w:val="none" w:sz="0" w:space="0" w:color="auto"/>
                          </w:divBdr>
                          <w:divsChild>
                            <w:div w:id="317924066">
                              <w:marLeft w:val="0"/>
                              <w:marRight w:val="0"/>
                              <w:marTop w:val="0"/>
                              <w:marBottom w:val="0"/>
                              <w:divBdr>
                                <w:top w:val="none" w:sz="0" w:space="0" w:color="auto"/>
                                <w:left w:val="none" w:sz="0" w:space="0" w:color="auto"/>
                                <w:bottom w:val="none" w:sz="0" w:space="0" w:color="auto"/>
                                <w:right w:val="none" w:sz="0" w:space="0" w:color="auto"/>
                              </w:divBdr>
                              <w:divsChild>
                                <w:div w:id="1973318681">
                                  <w:marLeft w:val="0"/>
                                  <w:marRight w:val="0"/>
                                  <w:marTop w:val="0"/>
                                  <w:marBottom w:val="0"/>
                                  <w:divBdr>
                                    <w:top w:val="none" w:sz="0" w:space="0" w:color="auto"/>
                                    <w:left w:val="none" w:sz="0" w:space="0" w:color="auto"/>
                                    <w:bottom w:val="none" w:sz="0" w:space="0" w:color="auto"/>
                                    <w:right w:val="none" w:sz="0" w:space="0" w:color="auto"/>
                                  </w:divBdr>
                                  <w:divsChild>
                                    <w:div w:id="295451198">
                                      <w:marLeft w:val="0"/>
                                      <w:marRight w:val="0"/>
                                      <w:marTop w:val="0"/>
                                      <w:marBottom w:val="0"/>
                                      <w:divBdr>
                                        <w:top w:val="none" w:sz="0" w:space="0" w:color="auto"/>
                                        <w:left w:val="none" w:sz="0" w:space="0" w:color="auto"/>
                                        <w:bottom w:val="none" w:sz="0" w:space="0" w:color="auto"/>
                                        <w:right w:val="none" w:sz="0" w:space="0" w:color="auto"/>
                                      </w:divBdr>
                                      <w:divsChild>
                                        <w:div w:id="906380523">
                                          <w:marLeft w:val="0"/>
                                          <w:marRight w:val="0"/>
                                          <w:marTop w:val="0"/>
                                          <w:marBottom w:val="0"/>
                                          <w:divBdr>
                                            <w:top w:val="none" w:sz="0" w:space="0" w:color="auto"/>
                                            <w:left w:val="none" w:sz="0" w:space="0" w:color="auto"/>
                                            <w:bottom w:val="none" w:sz="0" w:space="0" w:color="auto"/>
                                            <w:right w:val="none" w:sz="0" w:space="0" w:color="auto"/>
                                          </w:divBdr>
                                          <w:divsChild>
                                            <w:div w:id="1789659675">
                                              <w:marLeft w:val="0"/>
                                              <w:marRight w:val="0"/>
                                              <w:marTop w:val="0"/>
                                              <w:marBottom w:val="0"/>
                                              <w:divBdr>
                                                <w:top w:val="none" w:sz="0" w:space="0" w:color="auto"/>
                                                <w:left w:val="none" w:sz="0" w:space="0" w:color="auto"/>
                                                <w:bottom w:val="none" w:sz="0" w:space="0" w:color="auto"/>
                                                <w:right w:val="none" w:sz="0" w:space="0" w:color="auto"/>
                                              </w:divBdr>
                                              <w:divsChild>
                                                <w:div w:id="350255162">
                                                  <w:marLeft w:val="0"/>
                                                  <w:marRight w:val="0"/>
                                                  <w:marTop w:val="0"/>
                                                  <w:marBottom w:val="0"/>
                                                  <w:divBdr>
                                                    <w:top w:val="none" w:sz="0" w:space="0" w:color="auto"/>
                                                    <w:left w:val="none" w:sz="0" w:space="0" w:color="auto"/>
                                                    <w:bottom w:val="none" w:sz="0" w:space="0" w:color="auto"/>
                                                    <w:right w:val="none" w:sz="0" w:space="0" w:color="auto"/>
                                                  </w:divBdr>
                                                  <w:divsChild>
                                                    <w:div w:id="1264877220">
                                                      <w:marLeft w:val="0"/>
                                                      <w:marRight w:val="0"/>
                                                      <w:marTop w:val="0"/>
                                                      <w:marBottom w:val="0"/>
                                                      <w:divBdr>
                                                        <w:top w:val="none" w:sz="0" w:space="0" w:color="auto"/>
                                                        <w:left w:val="none" w:sz="0" w:space="0" w:color="auto"/>
                                                        <w:bottom w:val="none" w:sz="0" w:space="0" w:color="auto"/>
                                                        <w:right w:val="none" w:sz="0" w:space="0" w:color="auto"/>
                                                      </w:divBdr>
                                                      <w:divsChild>
                                                        <w:div w:id="16443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2636147">
      <w:bodyDiv w:val="1"/>
      <w:marLeft w:val="0"/>
      <w:marRight w:val="0"/>
      <w:marTop w:val="0"/>
      <w:marBottom w:val="0"/>
      <w:divBdr>
        <w:top w:val="none" w:sz="0" w:space="0" w:color="auto"/>
        <w:left w:val="none" w:sz="0" w:space="0" w:color="auto"/>
        <w:bottom w:val="none" w:sz="0" w:space="0" w:color="auto"/>
        <w:right w:val="none" w:sz="0" w:space="0" w:color="auto"/>
      </w:divBdr>
      <w:divsChild>
        <w:div w:id="1670056458">
          <w:marLeft w:val="0"/>
          <w:marRight w:val="0"/>
          <w:marTop w:val="0"/>
          <w:marBottom w:val="0"/>
          <w:divBdr>
            <w:top w:val="single" w:sz="4" w:space="0" w:color="0E477A"/>
            <w:left w:val="single" w:sz="4" w:space="0" w:color="0E477A"/>
            <w:bottom w:val="single" w:sz="4" w:space="0" w:color="0E477A"/>
            <w:right w:val="single" w:sz="4" w:space="0" w:color="0E477A"/>
          </w:divBdr>
          <w:divsChild>
            <w:div w:id="728263103">
              <w:marLeft w:val="2442"/>
              <w:marRight w:val="0"/>
              <w:marTop w:val="0"/>
              <w:marBottom w:val="0"/>
              <w:divBdr>
                <w:top w:val="none" w:sz="0" w:space="0" w:color="auto"/>
                <w:left w:val="none" w:sz="0" w:space="0" w:color="auto"/>
                <w:bottom w:val="none" w:sz="0" w:space="0" w:color="auto"/>
                <w:right w:val="none" w:sz="0" w:space="0" w:color="auto"/>
              </w:divBdr>
              <w:divsChild>
                <w:div w:id="1694964605">
                  <w:marLeft w:val="0"/>
                  <w:marRight w:val="0"/>
                  <w:marTop w:val="0"/>
                  <w:marBottom w:val="0"/>
                  <w:divBdr>
                    <w:top w:val="none" w:sz="0" w:space="0" w:color="auto"/>
                    <w:left w:val="none" w:sz="0" w:space="0" w:color="auto"/>
                    <w:bottom w:val="none" w:sz="0" w:space="0" w:color="auto"/>
                    <w:right w:val="none" w:sz="0" w:space="0" w:color="auto"/>
                  </w:divBdr>
                  <w:divsChild>
                    <w:div w:id="1023166285">
                      <w:marLeft w:val="0"/>
                      <w:marRight w:val="125"/>
                      <w:marTop w:val="0"/>
                      <w:marBottom w:val="0"/>
                      <w:divBdr>
                        <w:top w:val="single" w:sz="4" w:space="0" w:color="CCCCCC"/>
                        <w:left w:val="single" w:sz="4" w:space="6" w:color="CCCCCC"/>
                        <w:bottom w:val="single" w:sz="4" w:space="6" w:color="CCCCCC"/>
                        <w:right w:val="single" w:sz="4" w:space="6" w:color="CCCCCC"/>
                      </w:divBdr>
                      <w:divsChild>
                        <w:div w:id="192306588">
                          <w:marLeft w:val="0"/>
                          <w:marRight w:val="0"/>
                          <w:marTop w:val="0"/>
                          <w:marBottom w:val="0"/>
                          <w:divBdr>
                            <w:top w:val="none" w:sz="0" w:space="0" w:color="auto"/>
                            <w:left w:val="none" w:sz="0" w:space="0" w:color="auto"/>
                            <w:bottom w:val="none" w:sz="0" w:space="0" w:color="auto"/>
                            <w:right w:val="none" w:sz="0" w:space="0" w:color="auto"/>
                          </w:divBdr>
                        </w:div>
                        <w:div w:id="1594973506">
                          <w:marLeft w:val="0"/>
                          <w:marRight w:val="0"/>
                          <w:marTop w:val="0"/>
                          <w:marBottom w:val="0"/>
                          <w:divBdr>
                            <w:top w:val="none" w:sz="0" w:space="0" w:color="auto"/>
                            <w:left w:val="none" w:sz="0" w:space="0" w:color="auto"/>
                            <w:bottom w:val="none" w:sz="0" w:space="0" w:color="auto"/>
                            <w:right w:val="none" w:sz="0" w:space="0" w:color="auto"/>
                          </w:divBdr>
                        </w:div>
                        <w:div w:id="1420442369">
                          <w:marLeft w:val="0"/>
                          <w:marRight w:val="0"/>
                          <w:marTop w:val="0"/>
                          <w:marBottom w:val="0"/>
                          <w:divBdr>
                            <w:top w:val="none" w:sz="0" w:space="0" w:color="auto"/>
                            <w:left w:val="none" w:sz="0" w:space="0" w:color="auto"/>
                            <w:bottom w:val="none" w:sz="0" w:space="0" w:color="auto"/>
                            <w:right w:val="none" w:sz="0" w:space="0" w:color="auto"/>
                          </w:divBdr>
                        </w:div>
                        <w:div w:id="1040395422">
                          <w:marLeft w:val="0"/>
                          <w:marRight w:val="0"/>
                          <w:marTop w:val="0"/>
                          <w:marBottom w:val="0"/>
                          <w:divBdr>
                            <w:top w:val="none" w:sz="0" w:space="0" w:color="auto"/>
                            <w:left w:val="none" w:sz="0" w:space="0" w:color="auto"/>
                            <w:bottom w:val="none" w:sz="0" w:space="0" w:color="auto"/>
                            <w:right w:val="none" w:sz="0" w:space="0" w:color="auto"/>
                          </w:divBdr>
                        </w:div>
                        <w:div w:id="1114178987">
                          <w:marLeft w:val="0"/>
                          <w:marRight w:val="0"/>
                          <w:marTop w:val="0"/>
                          <w:marBottom w:val="0"/>
                          <w:divBdr>
                            <w:top w:val="none" w:sz="0" w:space="0" w:color="auto"/>
                            <w:left w:val="none" w:sz="0" w:space="0" w:color="auto"/>
                            <w:bottom w:val="none" w:sz="0" w:space="0" w:color="auto"/>
                            <w:right w:val="none" w:sz="0" w:space="0" w:color="auto"/>
                          </w:divBdr>
                        </w:div>
                        <w:div w:id="2092043723">
                          <w:marLeft w:val="0"/>
                          <w:marRight w:val="0"/>
                          <w:marTop w:val="0"/>
                          <w:marBottom w:val="0"/>
                          <w:divBdr>
                            <w:top w:val="none" w:sz="0" w:space="0" w:color="auto"/>
                            <w:left w:val="none" w:sz="0" w:space="0" w:color="auto"/>
                            <w:bottom w:val="none" w:sz="0" w:space="0" w:color="auto"/>
                            <w:right w:val="none" w:sz="0" w:space="0" w:color="auto"/>
                          </w:divBdr>
                        </w:div>
                        <w:div w:id="760370356">
                          <w:marLeft w:val="0"/>
                          <w:marRight w:val="0"/>
                          <w:marTop w:val="0"/>
                          <w:marBottom w:val="0"/>
                          <w:divBdr>
                            <w:top w:val="none" w:sz="0" w:space="0" w:color="auto"/>
                            <w:left w:val="none" w:sz="0" w:space="0" w:color="auto"/>
                            <w:bottom w:val="none" w:sz="0" w:space="0" w:color="auto"/>
                            <w:right w:val="none" w:sz="0" w:space="0" w:color="auto"/>
                          </w:divBdr>
                        </w:div>
                        <w:div w:id="597955825">
                          <w:marLeft w:val="0"/>
                          <w:marRight w:val="0"/>
                          <w:marTop w:val="0"/>
                          <w:marBottom w:val="0"/>
                          <w:divBdr>
                            <w:top w:val="none" w:sz="0" w:space="0" w:color="auto"/>
                            <w:left w:val="none" w:sz="0" w:space="0" w:color="auto"/>
                            <w:bottom w:val="none" w:sz="0" w:space="0" w:color="auto"/>
                            <w:right w:val="none" w:sz="0" w:space="0" w:color="auto"/>
                          </w:divBdr>
                        </w:div>
                        <w:div w:id="1804497297">
                          <w:marLeft w:val="0"/>
                          <w:marRight w:val="0"/>
                          <w:marTop w:val="0"/>
                          <w:marBottom w:val="0"/>
                          <w:divBdr>
                            <w:top w:val="none" w:sz="0" w:space="0" w:color="auto"/>
                            <w:left w:val="none" w:sz="0" w:space="0" w:color="auto"/>
                            <w:bottom w:val="none" w:sz="0" w:space="0" w:color="auto"/>
                            <w:right w:val="none" w:sz="0" w:space="0" w:color="auto"/>
                          </w:divBdr>
                        </w:div>
                        <w:div w:id="16241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94773">
      <w:bodyDiv w:val="1"/>
      <w:marLeft w:val="0"/>
      <w:marRight w:val="0"/>
      <w:marTop w:val="0"/>
      <w:marBottom w:val="0"/>
      <w:divBdr>
        <w:top w:val="none" w:sz="0" w:space="0" w:color="auto"/>
        <w:left w:val="none" w:sz="0" w:space="0" w:color="auto"/>
        <w:bottom w:val="none" w:sz="0" w:space="0" w:color="auto"/>
        <w:right w:val="none" w:sz="0" w:space="0" w:color="auto"/>
      </w:divBdr>
      <w:divsChild>
        <w:div w:id="671228441">
          <w:marLeft w:val="0"/>
          <w:marRight w:val="0"/>
          <w:marTop w:val="0"/>
          <w:marBottom w:val="0"/>
          <w:divBdr>
            <w:top w:val="none" w:sz="0" w:space="0" w:color="auto"/>
            <w:left w:val="none" w:sz="0" w:space="0" w:color="auto"/>
            <w:bottom w:val="none" w:sz="0" w:space="0" w:color="auto"/>
            <w:right w:val="none" w:sz="0" w:space="0" w:color="auto"/>
          </w:divBdr>
          <w:divsChild>
            <w:div w:id="1570573734">
              <w:marLeft w:val="210"/>
              <w:marRight w:val="0"/>
              <w:marTop w:val="0"/>
              <w:marBottom w:val="0"/>
              <w:divBdr>
                <w:top w:val="none" w:sz="0" w:space="0" w:color="auto"/>
                <w:left w:val="none" w:sz="0" w:space="0" w:color="auto"/>
                <w:bottom w:val="none" w:sz="0" w:space="0" w:color="auto"/>
                <w:right w:val="none" w:sz="0" w:space="0" w:color="auto"/>
              </w:divBdr>
              <w:divsChild>
                <w:div w:id="6617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3429">
      <w:bodyDiv w:val="1"/>
      <w:marLeft w:val="0"/>
      <w:marRight w:val="0"/>
      <w:marTop w:val="0"/>
      <w:marBottom w:val="0"/>
      <w:divBdr>
        <w:top w:val="none" w:sz="0" w:space="0" w:color="auto"/>
        <w:left w:val="none" w:sz="0" w:space="0" w:color="auto"/>
        <w:bottom w:val="none" w:sz="0" w:space="0" w:color="auto"/>
        <w:right w:val="none" w:sz="0" w:space="0" w:color="auto"/>
      </w:divBdr>
      <w:divsChild>
        <w:div w:id="409625117">
          <w:marLeft w:val="0"/>
          <w:marRight w:val="0"/>
          <w:marTop w:val="0"/>
          <w:marBottom w:val="0"/>
          <w:divBdr>
            <w:top w:val="none" w:sz="0" w:space="0" w:color="auto"/>
            <w:left w:val="none" w:sz="0" w:space="0" w:color="auto"/>
            <w:bottom w:val="none" w:sz="0" w:space="0" w:color="auto"/>
            <w:right w:val="none" w:sz="0" w:space="0" w:color="auto"/>
          </w:divBdr>
          <w:divsChild>
            <w:div w:id="2103061294">
              <w:marLeft w:val="2"/>
              <w:marRight w:val="2"/>
              <w:marTop w:val="0"/>
              <w:marBottom w:val="0"/>
              <w:divBdr>
                <w:top w:val="none" w:sz="0" w:space="0" w:color="auto"/>
                <w:left w:val="none" w:sz="0" w:space="0" w:color="auto"/>
                <w:bottom w:val="none" w:sz="0" w:space="0" w:color="auto"/>
                <w:right w:val="none" w:sz="0" w:space="0" w:color="auto"/>
              </w:divBdr>
              <w:divsChild>
                <w:div w:id="1236085396">
                  <w:marLeft w:val="0"/>
                  <w:marRight w:val="0"/>
                  <w:marTop w:val="0"/>
                  <w:marBottom w:val="0"/>
                  <w:divBdr>
                    <w:top w:val="none" w:sz="0" w:space="0" w:color="auto"/>
                    <w:left w:val="none" w:sz="0" w:space="0" w:color="auto"/>
                    <w:bottom w:val="none" w:sz="0" w:space="0" w:color="auto"/>
                    <w:right w:val="none" w:sz="0" w:space="0" w:color="auto"/>
                  </w:divBdr>
                  <w:divsChild>
                    <w:div w:id="645088686">
                      <w:marLeft w:val="0"/>
                      <w:marRight w:val="0"/>
                      <w:marTop w:val="0"/>
                      <w:marBottom w:val="0"/>
                      <w:divBdr>
                        <w:top w:val="none" w:sz="0" w:space="0" w:color="auto"/>
                        <w:left w:val="none" w:sz="0" w:space="0" w:color="auto"/>
                        <w:bottom w:val="none" w:sz="0" w:space="0" w:color="auto"/>
                        <w:right w:val="none" w:sz="0" w:space="0" w:color="auto"/>
                      </w:divBdr>
                      <w:divsChild>
                        <w:div w:id="423956735">
                          <w:marLeft w:val="0"/>
                          <w:marRight w:val="0"/>
                          <w:marTop w:val="0"/>
                          <w:marBottom w:val="0"/>
                          <w:divBdr>
                            <w:top w:val="none" w:sz="0" w:space="0" w:color="auto"/>
                            <w:left w:val="none" w:sz="0" w:space="0" w:color="auto"/>
                            <w:bottom w:val="none" w:sz="0" w:space="0" w:color="auto"/>
                            <w:right w:val="none" w:sz="0" w:space="0" w:color="auto"/>
                          </w:divBdr>
                          <w:divsChild>
                            <w:div w:id="1763256483">
                              <w:marLeft w:val="0"/>
                              <w:marRight w:val="0"/>
                              <w:marTop w:val="0"/>
                              <w:marBottom w:val="0"/>
                              <w:divBdr>
                                <w:top w:val="none" w:sz="0" w:space="0" w:color="auto"/>
                                <w:left w:val="none" w:sz="0" w:space="0" w:color="auto"/>
                                <w:bottom w:val="none" w:sz="0" w:space="0" w:color="auto"/>
                                <w:right w:val="none" w:sz="0" w:space="0" w:color="auto"/>
                              </w:divBdr>
                              <w:divsChild>
                                <w:div w:id="1312058245">
                                  <w:marLeft w:val="0"/>
                                  <w:marRight w:val="0"/>
                                  <w:marTop w:val="0"/>
                                  <w:marBottom w:val="0"/>
                                  <w:divBdr>
                                    <w:top w:val="none" w:sz="0" w:space="0" w:color="auto"/>
                                    <w:left w:val="none" w:sz="0" w:space="0" w:color="auto"/>
                                    <w:bottom w:val="none" w:sz="0" w:space="0" w:color="auto"/>
                                    <w:right w:val="none" w:sz="0" w:space="0" w:color="auto"/>
                                  </w:divBdr>
                                  <w:divsChild>
                                    <w:div w:id="510802670">
                                      <w:marLeft w:val="0"/>
                                      <w:marRight w:val="0"/>
                                      <w:marTop w:val="0"/>
                                      <w:marBottom w:val="0"/>
                                      <w:divBdr>
                                        <w:top w:val="none" w:sz="0" w:space="0" w:color="auto"/>
                                        <w:left w:val="none" w:sz="0" w:space="0" w:color="auto"/>
                                        <w:bottom w:val="none" w:sz="0" w:space="0" w:color="auto"/>
                                        <w:right w:val="none" w:sz="0" w:space="0" w:color="auto"/>
                                      </w:divBdr>
                                      <w:divsChild>
                                        <w:div w:id="1788499031">
                                          <w:marLeft w:val="0"/>
                                          <w:marRight w:val="0"/>
                                          <w:marTop w:val="0"/>
                                          <w:marBottom w:val="0"/>
                                          <w:divBdr>
                                            <w:top w:val="none" w:sz="0" w:space="0" w:color="auto"/>
                                            <w:left w:val="none" w:sz="0" w:space="0" w:color="auto"/>
                                            <w:bottom w:val="none" w:sz="0" w:space="0" w:color="auto"/>
                                            <w:right w:val="none" w:sz="0" w:space="0" w:color="auto"/>
                                          </w:divBdr>
                                          <w:divsChild>
                                            <w:div w:id="826021966">
                                              <w:marLeft w:val="0"/>
                                              <w:marRight w:val="0"/>
                                              <w:marTop w:val="0"/>
                                              <w:marBottom w:val="0"/>
                                              <w:divBdr>
                                                <w:top w:val="none" w:sz="0" w:space="0" w:color="auto"/>
                                                <w:left w:val="none" w:sz="0" w:space="0" w:color="auto"/>
                                                <w:bottom w:val="none" w:sz="0" w:space="0" w:color="auto"/>
                                                <w:right w:val="none" w:sz="0" w:space="0" w:color="auto"/>
                                              </w:divBdr>
                                            </w:div>
                                          </w:divsChild>
                                        </w:div>
                                        <w:div w:id="1832479984">
                                          <w:marLeft w:val="0"/>
                                          <w:marRight w:val="0"/>
                                          <w:marTop w:val="0"/>
                                          <w:marBottom w:val="0"/>
                                          <w:divBdr>
                                            <w:top w:val="none" w:sz="0" w:space="0" w:color="auto"/>
                                            <w:left w:val="none" w:sz="0" w:space="0" w:color="auto"/>
                                            <w:bottom w:val="none" w:sz="0" w:space="0" w:color="auto"/>
                                            <w:right w:val="none" w:sz="0" w:space="0" w:color="auto"/>
                                          </w:divBdr>
                                          <w:divsChild>
                                            <w:div w:id="980035546">
                                              <w:marLeft w:val="0"/>
                                              <w:marRight w:val="0"/>
                                              <w:marTop w:val="0"/>
                                              <w:marBottom w:val="0"/>
                                              <w:divBdr>
                                                <w:top w:val="none" w:sz="0" w:space="0" w:color="auto"/>
                                                <w:left w:val="none" w:sz="0" w:space="0" w:color="auto"/>
                                                <w:bottom w:val="none" w:sz="0" w:space="0" w:color="auto"/>
                                                <w:right w:val="none" w:sz="0" w:space="0" w:color="auto"/>
                                              </w:divBdr>
                                            </w:div>
                                          </w:divsChild>
                                        </w:div>
                                        <w:div w:id="540289418">
                                          <w:marLeft w:val="0"/>
                                          <w:marRight w:val="0"/>
                                          <w:marTop w:val="0"/>
                                          <w:marBottom w:val="0"/>
                                          <w:divBdr>
                                            <w:top w:val="none" w:sz="0" w:space="0" w:color="auto"/>
                                            <w:left w:val="none" w:sz="0" w:space="0" w:color="auto"/>
                                            <w:bottom w:val="none" w:sz="0" w:space="0" w:color="auto"/>
                                            <w:right w:val="none" w:sz="0" w:space="0" w:color="auto"/>
                                          </w:divBdr>
                                          <w:divsChild>
                                            <w:div w:id="1834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597699">
      <w:bodyDiv w:val="1"/>
      <w:marLeft w:val="0"/>
      <w:marRight w:val="0"/>
      <w:marTop w:val="0"/>
      <w:marBottom w:val="0"/>
      <w:divBdr>
        <w:top w:val="none" w:sz="0" w:space="0" w:color="auto"/>
        <w:left w:val="none" w:sz="0" w:space="0" w:color="auto"/>
        <w:bottom w:val="none" w:sz="0" w:space="0" w:color="auto"/>
        <w:right w:val="none" w:sz="0" w:space="0" w:color="auto"/>
      </w:divBdr>
    </w:div>
    <w:div w:id="614601518">
      <w:bodyDiv w:val="1"/>
      <w:marLeft w:val="0"/>
      <w:marRight w:val="0"/>
      <w:marTop w:val="0"/>
      <w:marBottom w:val="0"/>
      <w:divBdr>
        <w:top w:val="none" w:sz="0" w:space="0" w:color="auto"/>
        <w:left w:val="none" w:sz="0" w:space="0" w:color="auto"/>
        <w:bottom w:val="none" w:sz="0" w:space="0" w:color="auto"/>
        <w:right w:val="none" w:sz="0" w:space="0" w:color="auto"/>
      </w:divBdr>
      <w:divsChild>
        <w:div w:id="302270680">
          <w:marLeft w:val="0"/>
          <w:marRight w:val="0"/>
          <w:marTop w:val="0"/>
          <w:marBottom w:val="0"/>
          <w:divBdr>
            <w:top w:val="none" w:sz="0" w:space="0" w:color="auto"/>
            <w:left w:val="none" w:sz="0" w:space="0" w:color="auto"/>
            <w:bottom w:val="none" w:sz="0" w:space="0" w:color="auto"/>
            <w:right w:val="none" w:sz="0" w:space="0" w:color="auto"/>
          </w:divBdr>
          <w:divsChild>
            <w:div w:id="563564783">
              <w:marLeft w:val="0"/>
              <w:marRight w:val="0"/>
              <w:marTop w:val="0"/>
              <w:marBottom w:val="0"/>
              <w:divBdr>
                <w:top w:val="none" w:sz="0" w:space="0" w:color="auto"/>
                <w:left w:val="none" w:sz="0" w:space="0" w:color="auto"/>
                <w:bottom w:val="none" w:sz="0" w:space="0" w:color="auto"/>
                <w:right w:val="none" w:sz="0" w:space="0" w:color="auto"/>
              </w:divBdr>
              <w:divsChild>
                <w:div w:id="1635519763">
                  <w:marLeft w:val="0"/>
                  <w:marRight w:val="0"/>
                  <w:marTop w:val="0"/>
                  <w:marBottom w:val="0"/>
                  <w:divBdr>
                    <w:top w:val="none" w:sz="0" w:space="0" w:color="auto"/>
                    <w:left w:val="none" w:sz="0" w:space="0" w:color="auto"/>
                    <w:bottom w:val="none" w:sz="0" w:space="0" w:color="auto"/>
                    <w:right w:val="none" w:sz="0" w:space="0" w:color="auto"/>
                  </w:divBdr>
                  <w:divsChild>
                    <w:div w:id="1531920828">
                      <w:marLeft w:val="0"/>
                      <w:marRight w:val="0"/>
                      <w:marTop w:val="0"/>
                      <w:marBottom w:val="0"/>
                      <w:divBdr>
                        <w:top w:val="none" w:sz="0" w:space="0" w:color="auto"/>
                        <w:left w:val="none" w:sz="0" w:space="0" w:color="auto"/>
                        <w:bottom w:val="none" w:sz="0" w:space="0" w:color="auto"/>
                        <w:right w:val="none" w:sz="0" w:space="0" w:color="auto"/>
                      </w:divBdr>
                      <w:divsChild>
                        <w:div w:id="467288494">
                          <w:marLeft w:val="0"/>
                          <w:marRight w:val="0"/>
                          <w:marTop w:val="0"/>
                          <w:marBottom w:val="0"/>
                          <w:divBdr>
                            <w:top w:val="none" w:sz="0" w:space="0" w:color="auto"/>
                            <w:left w:val="none" w:sz="0" w:space="0" w:color="auto"/>
                            <w:bottom w:val="none" w:sz="0" w:space="0" w:color="auto"/>
                            <w:right w:val="none" w:sz="0" w:space="0" w:color="auto"/>
                          </w:divBdr>
                          <w:divsChild>
                            <w:div w:id="1386372130">
                              <w:marLeft w:val="0"/>
                              <w:marRight w:val="0"/>
                              <w:marTop w:val="0"/>
                              <w:marBottom w:val="0"/>
                              <w:divBdr>
                                <w:top w:val="none" w:sz="0" w:space="0" w:color="auto"/>
                                <w:left w:val="none" w:sz="0" w:space="0" w:color="auto"/>
                                <w:bottom w:val="none" w:sz="0" w:space="0" w:color="auto"/>
                                <w:right w:val="none" w:sz="0" w:space="0" w:color="auto"/>
                              </w:divBdr>
                              <w:divsChild>
                                <w:div w:id="751051540">
                                  <w:marLeft w:val="0"/>
                                  <w:marRight w:val="0"/>
                                  <w:marTop w:val="0"/>
                                  <w:marBottom w:val="0"/>
                                  <w:divBdr>
                                    <w:top w:val="none" w:sz="0" w:space="0" w:color="auto"/>
                                    <w:left w:val="none" w:sz="0" w:space="0" w:color="auto"/>
                                    <w:bottom w:val="none" w:sz="0" w:space="0" w:color="auto"/>
                                    <w:right w:val="none" w:sz="0" w:space="0" w:color="auto"/>
                                  </w:divBdr>
                                  <w:divsChild>
                                    <w:div w:id="718819885">
                                      <w:marLeft w:val="0"/>
                                      <w:marRight w:val="0"/>
                                      <w:marTop w:val="0"/>
                                      <w:marBottom w:val="0"/>
                                      <w:divBdr>
                                        <w:top w:val="none" w:sz="0" w:space="0" w:color="auto"/>
                                        <w:left w:val="none" w:sz="0" w:space="0" w:color="auto"/>
                                        <w:bottom w:val="none" w:sz="0" w:space="0" w:color="auto"/>
                                        <w:right w:val="none" w:sz="0" w:space="0" w:color="auto"/>
                                      </w:divBdr>
                                      <w:divsChild>
                                        <w:div w:id="176581467">
                                          <w:marLeft w:val="0"/>
                                          <w:marRight w:val="0"/>
                                          <w:marTop w:val="0"/>
                                          <w:marBottom w:val="0"/>
                                          <w:divBdr>
                                            <w:top w:val="none" w:sz="0" w:space="0" w:color="auto"/>
                                            <w:left w:val="none" w:sz="0" w:space="0" w:color="auto"/>
                                            <w:bottom w:val="none" w:sz="0" w:space="0" w:color="auto"/>
                                            <w:right w:val="none" w:sz="0" w:space="0" w:color="auto"/>
                                          </w:divBdr>
                                          <w:divsChild>
                                            <w:div w:id="2020155171">
                                              <w:marLeft w:val="0"/>
                                              <w:marRight w:val="0"/>
                                              <w:marTop w:val="0"/>
                                              <w:marBottom w:val="0"/>
                                              <w:divBdr>
                                                <w:top w:val="none" w:sz="0" w:space="0" w:color="auto"/>
                                                <w:left w:val="none" w:sz="0" w:space="0" w:color="auto"/>
                                                <w:bottom w:val="none" w:sz="0" w:space="0" w:color="auto"/>
                                                <w:right w:val="none" w:sz="0" w:space="0" w:color="auto"/>
                                              </w:divBdr>
                                              <w:divsChild>
                                                <w:div w:id="1955407514">
                                                  <w:marLeft w:val="0"/>
                                                  <w:marRight w:val="0"/>
                                                  <w:marTop w:val="0"/>
                                                  <w:marBottom w:val="0"/>
                                                  <w:divBdr>
                                                    <w:top w:val="none" w:sz="0" w:space="0" w:color="auto"/>
                                                    <w:left w:val="none" w:sz="0" w:space="0" w:color="auto"/>
                                                    <w:bottom w:val="none" w:sz="0" w:space="0" w:color="auto"/>
                                                    <w:right w:val="none" w:sz="0" w:space="0" w:color="auto"/>
                                                  </w:divBdr>
                                                  <w:divsChild>
                                                    <w:div w:id="1733456503">
                                                      <w:marLeft w:val="0"/>
                                                      <w:marRight w:val="0"/>
                                                      <w:marTop w:val="0"/>
                                                      <w:marBottom w:val="0"/>
                                                      <w:divBdr>
                                                        <w:top w:val="none" w:sz="0" w:space="0" w:color="auto"/>
                                                        <w:left w:val="none" w:sz="0" w:space="0" w:color="auto"/>
                                                        <w:bottom w:val="none" w:sz="0" w:space="0" w:color="auto"/>
                                                        <w:right w:val="none" w:sz="0" w:space="0" w:color="auto"/>
                                                      </w:divBdr>
                                                      <w:divsChild>
                                                        <w:div w:id="9011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4869973">
      <w:bodyDiv w:val="1"/>
      <w:marLeft w:val="0"/>
      <w:marRight w:val="0"/>
      <w:marTop w:val="0"/>
      <w:marBottom w:val="0"/>
      <w:divBdr>
        <w:top w:val="none" w:sz="0" w:space="0" w:color="auto"/>
        <w:left w:val="none" w:sz="0" w:space="0" w:color="auto"/>
        <w:bottom w:val="none" w:sz="0" w:space="0" w:color="auto"/>
        <w:right w:val="none" w:sz="0" w:space="0" w:color="auto"/>
      </w:divBdr>
      <w:divsChild>
        <w:div w:id="1852987669">
          <w:marLeft w:val="0"/>
          <w:marRight w:val="0"/>
          <w:marTop w:val="0"/>
          <w:marBottom w:val="0"/>
          <w:divBdr>
            <w:top w:val="none" w:sz="0" w:space="0" w:color="auto"/>
            <w:left w:val="none" w:sz="0" w:space="0" w:color="auto"/>
            <w:bottom w:val="none" w:sz="0" w:space="0" w:color="auto"/>
            <w:right w:val="none" w:sz="0" w:space="0" w:color="auto"/>
          </w:divBdr>
          <w:divsChild>
            <w:div w:id="1359047614">
              <w:marLeft w:val="0"/>
              <w:marRight w:val="0"/>
              <w:marTop w:val="0"/>
              <w:marBottom w:val="0"/>
              <w:divBdr>
                <w:top w:val="none" w:sz="0" w:space="0" w:color="auto"/>
                <w:left w:val="none" w:sz="0" w:space="0" w:color="auto"/>
                <w:bottom w:val="none" w:sz="0" w:space="0" w:color="auto"/>
                <w:right w:val="none" w:sz="0" w:space="0" w:color="auto"/>
              </w:divBdr>
              <w:divsChild>
                <w:div w:id="1517965773">
                  <w:marLeft w:val="0"/>
                  <w:marRight w:val="0"/>
                  <w:marTop w:val="0"/>
                  <w:marBottom w:val="0"/>
                  <w:divBdr>
                    <w:top w:val="none" w:sz="0" w:space="0" w:color="auto"/>
                    <w:left w:val="none" w:sz="0" w:space="0" w:color="auto"/>
                    <w:bottom w:val="none" w:sz="0" w:space="0" w:color="auto"/>
                    <w:right w:val="none" w:sz="0" w:space="0" w:color="auto"/>
                  </w:divBdr>
                  <w:divsChild>
                    <w:div w:id="1492983552">
                      <w:marLeft w:val="0"/>
                      <w:marRight w:val="0"/>
                      <w:marTop w:val="125"/>
                      <w:marBottom w:val="0"/>
                      <w:divBdr>
                        <w:top w:val="none" w:sz="0" w:space="0" w:color="auto"/>
                        <w:left w:val="none" w:sz="0" w:space="0" w:color="auto"/>
                        <w:bottom w:val="none" w:sz="0" w:space="0" w:color="auto"/>
                        <w:right w:val="none" w:sz="0" w:space="0" w:color="auto"/>
                      </w:divBdr>
                      <w:divsChild>
                        <w:div w:id="560210989">
                          <w:marLeft w:val="1878"/>
                          <w:marRight w:val="0"/>
                          <w:marTop w:val="0"/>
                          <w:marBottom w:val="0"/>
                          <w:divBdr>
                            <w:top w:val="none" w:sz="0" w:space="0" w:color="auto"/>
                            <w:left w:val="none" w:sz="0" w:space="0" w:color="auto"/>
                            <w:bottom w:val="none" w:sz="0" w:space="0" w:color="auto"/>
                            <w:right w:val="none" w:sz="0" w:space="0" w:color="auto"/>
                          </w:divBdr>
                          <w:divsChild>
                            <w:div w:id="1442490">
                              <w:marLeft w:val="-1878"/>
                              <w:marRight w:val="0"/>
                              <w:marTop w:val="0"/>
                              <w:marBottom w:val="0"/>
                              <w:divBdr>
                                <w:top w:val="none" w:sz="0" w:space="0" w:color="auto"/>
                                <w:left w:val="none" w:sz="0" w:space="0" w:color="auto"/>
                                <w:bottom w:val="none" w:sz="0" w:space="0" w:color="auto"/>
                                <w:right w:val="none" w:sz="0" w:space="0" w:color="auto"/>
                              </w:divBdr>
                              <w:divsChild>
                                <w:div w:id="7609686">
                                  <w:marLeft w:val="0"/>
                                  <w:marRight w:val="0"/>
                                  <w:marTop w:val="0"/>
                                  <w:marBottom w:val="0"/>
                                  <w:divBdr>
                                    <w:top w:val="none" w:sz="0" w:space="0" w:color="auto"/>
                                    <w:left w:val="none" w:sz="0" w:space="0" w:color="auto"/>
                                    <w:bottom w:val="none" w:sz="0" w:space="0" w:color="auto"/>
                                    <w:right w:val="none" w:sz="0" w:space="0" w:color="auto"/>
                                  </w:divBdr>
                                  <w:divsChild>
                                    <w:div w:id="153646251">
                                      <w:marLeft w:val="0"/>
                                      <w:marRight w:val="0"/>
                                      <w:marTop w:val="0"/>
                                      <w:marBottom w:val="0"/>
                                      <w:divBdr>
                                        <w:top w:val="none" w:sz="0" w:space="0" w:color="auto"/>
                                        <w:left w:val="none" w:sz="0" w:space="0" w:color="auto"/>
                                        <w:bottom w:val="none" w:sz="0" w:space="0" w:color="auto"/>
                                        <w:right w:val="none" w:sz="0" w:space="0" w:color="auto"/>
                                      </w:divBdr>
                                      <w:divsChild>
                                        <w:div w:id="630936795">
                                          <w:marLeft w:val="0"/>
                                          <w:marRight w:val="0"/>
                                          <w:marTop w:val="0"/>
                                          <w:marBottom w:val="0"/>
                                          <w:divBdr>
                                            <w:top w:val="none" w:sz="0" w:space="0" w:color="auto"/>
                                            <w:left w:val="none" w:sz="0" w:space="0" w:color="auto"/>
                                            <w:bottom w:val="none" w:sz="0" w:space="0" w:color="auto"/>
                                            <w:right w:val="none" w:sz="0" w:space="0" w:color="auto"/>
                                          </w:divBdr>
                                        </w:div>
                                        <w:div w:id="2064138019">
                                          <w:marLeft w:val="0"/>
                                          <w:marRight w:val="0"/>
                                          <w:marTop w:val="0"/>
                                          <w:marBottom w:val="0"/>
                                          <w:divBdr>
                                            <w:top w:val="none" w:sz="0" w:space="0" w:color="auto"/>
                                            <w:left w:val="none" w:sz="0" w:space="0" w:color="auto"/>
                                            <w:bottom w:val="none" w:sz="0" w:space="0" w:color="auto"/>
                                            <w:right w:val="none" w:sz="0" w:space="0" w:color="auto"/>
                                          </w:divBdr>
                                        </w:div>
                                        <w:div w:id="1054741493">
                                          <w:marLeft w:val="0"/>
                                          <w:marRight w:val="0"/>
                                          <w:marTop w:val="0"/>
                                          <w:marBottom w:val="0"/>
                                          <w:divBdr>
                                            <w:top w:val="none" w:sz="0" w:space="0" w:color="auto"/>
                                            <w:left w:val="none" w:sz="0" w:space="0" w:color="auto"/>
                                            <w:bottom w:val="none" w:sz="0" w:space="0" w:color="auto"/>
                                            <w:right w:val="none" w:sz="0" w:space="0" w:color="auto"/>
                                          </w:divBdr>
                                        </w:div>
                                        <w:div w:id="922569967">
                                          <w:marLeft w:val="0"/>
                                          <w:marRight w:val="0"/>
                                          <w:marTop w:val="0"/>
                                          <w:marBottom w:val="0"/>
                                          <w:divBdr>
                                            <w:top w:val="none" w:sz="0" w:space="0" w:color="auto"/>
                                            <w:left w:val="none" w:sz="0" w:space="0" w:color="auto"/>
                                            <w:bottom w:val="none" w:sz="0" w:space="0" w:color="auto"/>
                                            <w:right w:val="none" w:sz="0" w:space="0" w:color="auto"/>
                                          </w:divBdr>
                                        </w:div>
                                        <w:div w:id="1297251647">
                                          <w:marLeft w:val="0"/>
                                          <w:marRight w:val="0"/>
                                          <w:marTop w:val="0"/>
                                          <w:marBottom w:val="0"/>
                                          <w:divBdr>
                                            <w:top w:val="none" w:sz="0" w:space="0" w:color="auto"/>
                                            <w:left w:val="none" w:sz="0" w:space="0" w:color="auto"/>
                                            <w:bottom w:val="none" w:sz="0" w:space="0" w:color="auto"/>
                                            <w:right w:val="none" w:sz="0" w:space="0" w:color="auto"/>
                                          </w:divBdr>
                                          <w:divsChild>
                                            <w:div w:id="4706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261004">
      <w:bodyDiv w:val="1"/>
      <w:marLeft w:val="0"/>
      <w:marRight w:val="0"/>
      <w:marTop w:val="0"/>
      <w:marBottom w:val="0"/>
      <w:divBdr>
        <w:top w:val="none" w:sz="0" w:space="0" w:color="auto"/>
        <w:left w:val="none" w:sz="0" w:space="0" w:color="auto"/>
        <w:bottom w:val="none" w:sz="0" w:space="0" w:color="auto"/>
        <w:right w:val="none" w:sz="0" w:space="0" w:color="auto"/>
      </w:divBdr>
      <w:divsChild>
        <w:div w:id="944919956">
          <w:marLeft w:val="0"/>
          <w:marRight w:val="0"/>
          <w:marTop w:val="0"/>
          <w:marBottom w:val="0"/>
          <w:divBdr>
            <w:top w:val="none" w:sz="0" w:space="0" w:color="auto"/>
            <w:left w:val="none" w:sz="0" w:space="0" w:color="auto"/>
            <w:bottom w:val="none" w:sz="0" w:space="0" w:color="auto"/>
            <w:right w:val="none" w:sz="0" w:space="0" w:color="auto"/>
          </w:divBdr>
          <w:divsChild>
            <w:div w:id="1167359356">
              <w:marLeft w:val="0"/>
              <w:marRight w:val="0"/>
              <w:marTop w:val="0"/>
              <w:marBottom w:val="0"/>
              <w:divBdr>
                <w:top w:val="none" w:sz="0" w:space="0" w:color="auto"/>
                <w:left w:val="none" w:sz="0" w:space="0" w:color="auto"/>
                <w:bottom w:val="none" w:sz="0" w:space="0" w:color="auto"/>
                <w:right w:val="none" w:sz="0" w:space="0" w:color="auto"/>
              </w:divBdr>
              <w:divsChild>
                <w:div w:id="414520914">
                  <w:marLeft w:val="0"/>
                  <w:marRight w:val="0"/>
                  <w:marTop w:val="0"/>
                  <w:marBottom w:val="0"/>
                  <w:divBdr>
                    <w:top w:val="none" w:sz="0" w:space="0" w:color="auto"/>
                    <w:left w:val="none" w:sz="0" w:space="0" w:color="auto"/>
                    <w:bottom w:val="none" w:sz="0" w:space="0" w:color="auto"/>
                    <w:right w:val="none" w:sz="0" w:space="0" w:color="auto"/>
                  </w:divBdr>
                  <w:divsChild>
                    <w:div w:id="314262194">
                      <w:marLeft w:val="0"/>
                      <w:marRight w:val="0"/>
                      <w:marTop w:val="0"/>
                      <w:marBottom w:val="0"/>
                      <w:divBdr>
                        <w:top w:val="none" w:sz="0" w:space="0" w:color="auto"/>
                        <w:left w:val="none" w:sz="0" w:space="0" w:color="auto"/>
                        <w:bottom w:val="none" w:sz="0" w:space="0" w:color="auto"/>
                        <w:right w:val="none" w:sz="0" w:space="0" w:color="auto"/>
                      </w:divBdr>
                    </w:div>
                    <w:div w:id="12027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26551">
          <w:marLeft w:val="0"/>
          <w:marRight w:val="0"/>
          <w:marTop w:val="0"/>
          <w:marBottom w:val="0"/>
          <w:divBdr>
            <w:top w:val="none" w:sz="0" w:space="0" w:color="auto"/>
            <w:left w:val="none" w:sz="0" w:space="0" w:color="auto"/>
            <w:bottom w:val="none" w:sz="0" w:space="0" w:color="auto"/>
            <w:right w:val="none" w:sz="0" w:space="0" w:color="auto"/>
          </w:divBdr>
          <w:divsChild>
            <w:div w:id="1865746398">
              <w:marLeft w:val="0"/>
              <w:marRight w:val="0"/>
              <w:marTop w:val="0"/>
              <w:marBottom w:val="0"/>
              <w:divBdr>
                <w:top w:val="none" w:sz="0" w:space="0" w:color="auto"/>
                <w:left w:val="none" w:sz="0" w:space="0" w:color="auto"/>
                <w:bottom w:val="none" w:sz="0" w:space="0" w:color="auto"/>
                <w:right w:val="none" w:sz="0" w:space="0" w:color="auto"/>
              </w:divBdr>
              <w:divsChild>
                <w:div w:id="607854927">
                  <w:marLeft w:val="0"/>
                  <w:marRight w:val="0"/>
                  <w:marTop w:val="0"/>
                  <w:marBottom w:val="0"/>
                  <w:divBdr>
                    <w:top w:val="none" w:sz="0" w:space="0" w:color="auto"/>
                    <w:left w:val="none" w:sz="0" w:space="0" w:color="auto"/>
                    <w:bottom w:val="none" w:sz="0" w:space="0" w:color="auto"/>
                    <w:right w:val="none" w:sz="0" w:space="0" w:color="auto"/>
                  </w:divBdr>
                  <w:divsChild>
                    <w:div w:id="858006034">
                      <w:marLeft w:val="0"/>
                      <w:marRight w:val="0"/>
                      <w:marTop w:val="0"/>
                      <w:marBottom w:val="0"/>
                      <w:divBdr>
                        <w:top w:val="none" w:sz="0" w:space="0" w:color="auto"/>
                        <w:left w:val="none" w:sz="0" w:space="0" w:color="auto"/>
                        <w:bottom w:val="none" w:sz="0" w:space="0" w:color="auto"/>
                        <w:right w:val="none" w:sz="0" w:space="0" w:color="auto"/>
                      </w:divBdr>
                      <w:divsChild>
                        <w:div w:id="1235092415">
                          <w:marLeft w:val="0"/>
                          <w:marRight w:val="0"/>
                          <w:marTop w:val="0"/>
                          <w:marBottom w:val="0"/>
                          <w:divBdr>
                            <w:top w:val="none" w:sz="0" w:space="0" w:color="auto"/>
                            <w:left w:val="none" w:sz="0" w:space="0" w:color="auto"/>
                            <w:bottom w:val="none" w:sz="0" w:space="0" w:color="auto"/>
                            <w:right w:val="none" w:sz="0" w:space="0" w:color="auto"/>
                          </w:divBdr>
                          <w:divsChild>
                            <w:div w:id="1547373357">
                              <w:marLeft w:val="0"/>
                              <w:marRight w:val="0"/>
                              <w:marTop w:val="0"/>
                              <w:marBottom w:val="0"/>
                              <w:divBdr>
                                <w:top w:val="none" w:sz="0" w:space="0" w:color="auto"/>
                                <w:left w:val="none" w:sz="0" w:space="0" w:color="auto"/>
                                <w:bottom w:val="none" w:sz="0" w:space="0" w:color="auto"/>
                                <w:right w:val="none" w:sz="0" w:space="0" w:color="auto"/>
                              </w:divBdr>
                            </w:div>
                          </w:divsChild>
                        </w:div>
                        <w:div w:id="171071198">
                          <w:marLeft w:val="0"/>
                          <w:marRight w:val="0"/>
                          <w:marTop w:val="0"/>
                          <w:marBottom w:val="0"/>
                          <w:divBdr>
                            <w:top w:val="none" w:sz="0" w:space="0" w:color="auto"/>
                            <w:left w:val="none" w:sz="0" w:space="0" w:color="auto"/>
                            <w:bottom w:val="none" w:sz="0" w:space="0" w:color="auto"/>
                            <w:right w:val="none" w:sz="0" w:space="0" w:color="auto"/>
                          </w:divBdr>
                          <w:divsChild>
                            <w:div w:id="1457992634">
                              <w:marLeft w:val="0"/>
                              <w:marRight w:val="0"/>
                              <w:marTop w:val="0"/>
                              <w:marBottom w:val="0"/>
                              <w:divBdr>
                                <w:top w:val="none" w:sz="0" w:space="0" w:color="auto"/>
                                <w:left w:val="none" w:sz="0" w:space="0" w:color="auto"/>
                                <w:bottom w:val="none" w:sz="0" w:space="0" w:color="auto"/>
                                <w:right w:val="none" w:sz="0" w:space="0" w:color="auto"/>
                              </w:divBdr>
                              <w:divsChild>
                                <w:div w:id="942684660">
                                  <w:marLeft w:val="0"/>
                                  <w:marRight w:val="0"/>
                                  <w:marTop w:val="0"/>
                                  <w:marBottom w:val="0"/>
                                  <w:divBdr>
                                    <w:top w:val="none" w:sz="0" w:space="0" w:color="auto"/>
                                    <w:left w:val="none" w:sz="0" w:space="0" w:color="auto"/>
                                    <w:bottom w:val="none" w:sz="0" w:space="0" w:color="auto"/>
                                    <w:right w:val="none" w:sz="0" w:space="0" w:color="auto"/>
                                  </w:divBdr>
                                  <w:divsChild>
                                    <w:div w:id="999890077">
                                      <w:marLeft w:val="0"/>
                                      <w:marRight w:val="0"/>
                                      <w:marTop w:val="0"/>
                                      <w:marBottom w:val="0"/>
                                      <w:divBdr>
                                        <w:top w:val="none" w:sz="0" w:space="0" w:color="auto"/>
                                        <w:left w:val="none" w:sz="0" w:space="0" w:color="auto"/>
                                        <w:bottom w:val="none" w:sz="0" w:space="0" w:color="auto"/>
                                        <w:right w:val="none" w:sz="0" w:space="0" w:color="auto"/>
                                      </w:divBdr>
                                      <w:divsChild>
                                        <w:div w:id="858736036">
                                          <w:marLeft w:val="0"/>
                                          <w:marRight w:val="0"/>
                                          <w:marTop w:val="0"/>
                                          <w:marBottom w:val="0"/>
                                          <w:divBdr>
                                            <w:top w:val="none" w:sz="0" w:space="0" w:color="auto"/>
                                            <w:left w:val="none" w:sz="0" w:space="0" w:color="auto"/>
                                            <w:bottom w:val="none" w:sz="0" w:space="0" w:color="auto"/>
                                            <w:right w:val="none" w:sz="0" w:space="0" w:color="auto"/>
                                          </w:divBdr>
                                        </w:div>
                                        <w:div w:id="1047296345">
                                          <w:marLeft w:val="0"/>
                                          <w:marRight w:val="0"/>
                                          <w:marTop w:val="0"/>
                                          <w:marBottom w:val="0"/>
                                          <w:divBdr>
                                            <w:top w:val="none" w:sz="0" w:space="0" w:color="auto"/>
                                            <w:left w:val="none" w:sz="0" w:space="0" w:color="auto"/>
                                            <w:bottom w:val="none" w:sz="0" w:space="0" w:color="auto"/>
                                            <w:right w:val="none" w:sz="0" w:space="0" w:color="auto"/>
                                          </w:divBdr>
                                        </w:div>
                                        <w:div w:id="2022006796">
                                          <w:marLeft w:val="0"/>
                                          <w:marRight w:val="0"/>
                                          <w:marTop w:val="0"/>
                                          <w:marBottom w:val="0"/>
                                          <w:divBdr>
                                            <w:top w:val="none" w:sz="0" w:space="0" w:color="auto"/>
                                            <w:left w:val="none" w:sz="0" w:space="0" w:color="auto"/>
                                            <w:bottom w:val="none" w:sz="0" w:space="0" w:color="auto"/>
                                            <w:right w:val="none" w:sz="0" w:space="0" w:color="auto"/>
                                          </w:divBdr>
                                        </w:div>
                                        <w:div w:id="1276672321">
                                          <w:marLeft w:val="0"/>
                                          <w:marRight w:val="0"/>
                                          <w:marTop w:val="0"/>
                                          <w:marBottom w:val="0"/>
                                          <w:divBdr>
                                            <w:top w:val="none" w:sz="0" w:space="0" w:color="auto"/>
                                            <w:left w:val="none" w:sz="0" w:space="0" w:color="auto"/>
                                            <w:bottom w:val="none" w:sz="0" w:space="0" w:color="auto"/>
                                            <w:right w:val="none" w:sz="0" w:space="0" w:color="auto"/>
                                          </w:divBdr>
                                        </w:div>
                                        <w:div w:id="1702780192">
                                          <w:marLeft w:val="0"/>
                                          <w:marRight w:val="0"/>
                                          <w:marTop w:val="0"/>
                                          <w:marBottom w:val="0"/>
                                          <w:divBdr>
                                            <w:top w:val="none" w:sz="0" w:space="0" w:color="auto"/>
                                            <w:left w:val="none" w:sz="0" w:space="0" w:color="auto"/>
                                            <w:bottom w:val="none" w:sz="0" w:space="0" w:color="auto"/>
                                            <w:right w:val="none" w:sz="0" w:space="0" w:color="auto"/>
                                          </w:divBdr>
                                          <w:divsChild>
                                            <w:div w:id="18036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67161">
                                      <w:marLeft w:val="0"/>
                                      <w:marRight w:val="0"/>
                                      <w:marTop w:val="0"/>
                                      <w:marBottom w:val="0"/>
                                      <w:divBdr>
                                        <w:top w:val="none" w:sz="0" w:space="0" w:color="auto"/>
                                        <w:left w:val="none" w:sz="0" w:space="0" w:color="auto"/>
                                        <w:bottom w:val="none" w:sz="0" w:space="0" w:color="auto"/>
                                        <w:right w:val="none" w:sz="0" w:space="0" w:color="auto"/>
                                      </w:divBdr>
                                      <w:divsChild>
                                        <w:div w:id="18466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327798">
      <w:bodyDiv w:val="1"/>
      <w:marLeft w:val="0"/>
      <w:marRight w:val="0"/>
      <w:marTop w:val="0"/>
      <w:marBottom w:val="0"/>
      <w:divBdr>
        <w:top w:val="none" w:sz="0" w:space="0" w:color="auto"/>
        <w:left w:val="none" w:sz="0" w:space="0" w:color="auto"/>
        <w:bottom w:val="none" w:sz="0" w:space="0" w:color="auto"/>
        <w:right w:val="none" w:sz="0" w:space="0" w:color="auto"/>
      </w:divBdr>
    </w:div>
    <w:div w:id="616721301">
      <w:bodyDiv w:val="1"/>
      <w:marLeft w:val="0"/>
      <w:marRight w:val="0"/>
      <w:marTop w:val="0"/>
      <w:marBottom w:val="0"/>
      <w:divBdr>
        <w:top w:val="none" w:sz="0" w:space="0" w:color="auto"/>
        <w:left w:val="none" w:sz="0" w:space="0" w:color="auto"/>
        <w:bottom w:val="none" w:sz="0" w:space="0" w:color="auto"/>
        <w:right w:val="none" w:sz="0" w:space="0" w:color="auto"/>
      </w:divBdr>
    </w:div>
    <w:div w:id="617491435">
      <w:bodyDiv w:val="1"/>
      <w:marLeft w:val="0"/>
      <w:marRight w:val="0"/>
      <w:marTop w:val="0"/>
      <w:marBottom w:val="0"/>
      <w:divBdr>
        <w:top w:val="none" w:sz="0" w:space="0" w:color="auto"/>
        <w:left w:val="none" w:sz="0" w:space="0" w:color="auto"/>
        <w:bottom w:val="none" w:sz="0" w:space="0" w:color="auto"/>
        <w:right w:val="none" w:sz="0" w:space="0" w:color="auto"/>
      </w:divBdr>
    </w:div>
    <w:div w:id="619460366">
      <w:bodyDiv w:val="1"/>
      <w:marLeft w:val="0"/>
      <w:marRight w:val="0"/>
      <w:marTop w:val="0"/>
      <w:marBottom w:val="0"/>
      <w:divBdr>
        <w:top w:val="none" w:sz="0" w:space="0" w:color="auto"/>
        <w:left w:val="none" w:sz="0" w:space="0" w:color="auto"/>
        <w:bottom w:val="none" w:sz="0" w:space="0" w:color="auto"/>
        <w:right w:val="none" w:sz="0" w:space="0" w:color="auto"/>
      </w:divBdr>
      <w:divsChild>
        <w:div w:id="955871331">
          <w:marLeft w:val="0"/>
          <w:marRight w:val="0"/>
          <w:marTop w:val="0"/>
          <w:marBottom w:val="0"/>
          <w:divBdr>
            <w:top w:val="none" w:sz="0" w:space="0" w:color="auto"/>
            <w:left w:val="none" w:sz="0" w:space="0" w:color="auto"/>
            <w:bottom w:val="none" w:sz="0" w:space="0" w:color="auto"/>
            <w:right w:val="none" w:sz="0" w:space="0" w:color="auto"/>
          </w:divBdr>
          <w:divsChild>
            <w:div w:id="914432304">
              <w:marLeft w:val="0"/>
              <w:marRight w:val="0"/>
              <w:marTop w:val="0"/>
              <w:marBottom w:val="0"/>
              <w:divBdr>
                <w:top w:val="none" w:sz="0" w:space="0" w:color="auto"/>
                <w:left w:val="none" w:sz="0" w:space="0" w:color="auto"/>
                <w:bottom w:val="none" w:sz="0" w:space="0" w:color="auto"/>
                <w:right w:val="none" w:sz="0" w:space="0" w:color="auto"/>
              </w:divBdr>
              <w:divsChild>
                <w:div w:id="279269286">
                  <w:marLeft w:val="0"/>
                  <w:marRight w:val="0"/>
                  <w:marTop w:val="0"/>
                  <w:marBottom w:val="0"/>
                  <w:divBdr>
                    <w:top w:val="none" w:sz="0" w:space="0" w:color="auto"/>
                    <w:left w:val="none" w:sz="0" w:space="0" w:color="auto"/>
                    <w:bottom w:val="none" w:sz="0" w:space="0" w:color="auto"/>
                    <w:right w:val="none" w:sz="0" w:space="0" w:color="auto"/>
                  </w:divBdr>
                  <w:divsChild>
                    <w:div w:id="1316373659">
                      <w:marLeft w:val="0"/>
                      <w:marRight w:val="0"/>
                      <w:marTop w:val="0"/>
                      <w:marBottom w:val="0"/>
                      <w:divBdr>
                        <w:top w:val="none" w:sz="0" w:space="0" w:color="auto"/>
                        <w:left w:val="none" w:sz="0" w:space="0" w:color="auto"/>
                        <w:bottom w:val="none" w:sz="0" w:space="0" w:color="auto"/>
                        <w:right w:val="none" w:sz="0" w:space="0" w:color="auto"/>
                      </w:divBdr>
                      <w:divsChild>
                        <w:div w:id="19123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038037">
      <w:bodyDiv w:val="1"/>
      <w:marLeft w:val="0"/>
      <w:marRight w:val="0"/>
      <w:marTop w:val="0"/>
      <w:marBottom w:val="0"/>
      <w:divBdr>
        <w:top w:val="none" w:sz="0" w:space="0" w:color="auto"/>
        <w:left w:val="none" w:sz="0" w:space="0" w:color="auto"/>
        <w:bottom w:val="none" w:sz="0" w:space="0" w:color="auto"/>
        <w:right w:val="none" w:sz="0" w:space="0" w:color="auto"/>
      </w:divBdr>
    </w:div>
    <w:div w:id="621620668">
      <w:bodyDiv w:val="1"/>
      <w:marLeft w:val="0"/>
      <w:marRight w:val="0"/>
      <w:marTop w:val="0"/>
      <w:marBottom w:val="0"/>
      <w:divBdr>
        <w:top w:val="none" w:sz="0" w:space="0" w:color="auto"/>
        <w:left w:val="none" w:sz="0" w:space="0" w:color="auto"/>
        <w:bottom w:val="none" w:sz="0" w:space="0" w:color="auto"/>
        <w:right w:val="none" w:sz="0" w:space="0" w:color="auto"/>
      </w:divBdr>
      <w:divsChild>
        <w:div w:id="992681510">
          <w:marLeft w:val="0"/>
          <w:marRight w:val="0"/>
          <w:marTop w:val="0"/>
          <w:marBottom w:val="0"/>
          <w:divBdr>
            <w:top w:val="none" w:sz="0" w:space="0" w:color="auto"/>
            <w:left w:val="none" w:sz="0" w:space="0" w:color="auto"/>
            <w:bottom w:val="none" w:sz="0" w:space="0" w:color="auto"/>
            <w:right w:val="none" w:sz="0" w:space="0" w:color="auto"/>
          </w:divBdr>
          <w:divsChild>
            <w:div w:id="2131507959">
              <w:marLeft w:val="0"/>
              <w:marRight w:val="0"/>
              <w:marTop w:val="0"/>
              <w:marBottom w:val="0"/>
              <w:divBdr>
                <w:top w:val="none" w:sz="0" w:space="0" w:color="auto"/>
                <w:left w:val="none" w:sz="0" w:space="0" w:color="auto"/>
                <w:bottom w:val="none" w:sz="0" w:space="0" w:color="auto"/>
                <w:right w:val="none" w:sz="0" w:space="0" w:color="auto"/>
              </w:divBdr>
              <w:divsChild>
                <w:div w:id="1384252970">
                  <w:marLeft w:val="0"/>
                  <w:marRight w:val="0"/>
                  <w:marTop w:val="0"/>
                  <w:marBottom w:val="0"/>
                  <w:divBdr>
                    <w:top w:val="none" w:sz="0" w:space="0" w:color="auto"/>
                    <w:left w:val="none" w:sz="0" w:space="0" w:color="auto"/>
                    <w:bottom w:val="none" w:sz="0" w:space="0" w:color="auto"/>
                    <w:right w:val="none" w:sz="0" w:space="0" w:color="auto"/>
                  </w:divBdr>
                  <w:divsChild>
                    <w:div w:id="1875655076">
                      <w:marLeft w:val="0"/>
                      <w:marRight w:val="0"/>
                      <w:marTop w:val="0"/>
                      <w:marBottom w:val="0"/>
                      <w:divBdr>
                        <w:top w:val="none" w:sz="0" w:space="0" w:color="auto"/>
                        <w:left w:val="none" w:sz="0" w:space="0" w:color="auto"/>
                        <w:bottom w:val="none" w:sz="0" w:space="0" w:color="auto"/>
                        <w:right w:val="none" w:sz="0" w:space="0" w:color="auto"/>
                      </w:divBdr>
                      <w:divsChild>
                        <w:div w:id="923490436">
                          <w:marLeft w:val="0"/>
                          <w:marRight w:val="0"/>
                          <w:marTop w:val="0"/>
                          <w:marBottom w:val="0"/>
                          <w:divBdr>
                            <w:top w:val="none" w:sz="0" w:space="0" w:color="auto"/>
                            <w:left w:val="none" w:sz="0" w:space="0" w:color="auto"/>
                            <w:bottom w:val="none" w:sz="0" w:space="0" w:color="auto"/>
                            <w:right w:val="none" w:sz="0" w:space="0" w:color="auto"/>
                          </w:divBdr>
                          <w:divsChild>
                            <w:div w:id="1418017497">
                              <w:marLeft w:val="0"/>
                              <w:marRight w:val="0"/>
                              <w:marTop w:val="0"/>
                              <w:marBottom w:val="0"/>
                              <w:divBdr>
                                <w:top w:val="none" w:sz="0" w:space="0" w:color="auto"/>
                                <w:left w:val="none" w:sz="0" w:space="0" w:color="auto"/>
                                <w:bottom w:val="none" w:sz="0" w:space="0" w:color="auto"/>
                                <w:right w:val="none" w:sz="0" w:space="0" w:color="auto"/>
                              </w:divBdr>
                              <w:divsChild>
                                <w:div w:id="1498962439">
                                  <w:marLeft w:val="0"/>
                                  <w:marRight w:val="0"/>
                                  <w:marTop w:val="0"/>
                                  <w:marBottom w:val="0"/>
                                  <w:divBdr>
                                    <w:top w:val="none" w:sz="0" w:space="0" w:color="auto"/>
                                    <w:left w:val="none" w:sz="0" w:space="0" w:color="auto"/>
                                    <w:bottom w:val="none" w:sz="0" w:space="0" w:color="auto"/>
                                    <w:right w:val="none" w:sz="0" w:space="0" w:color="auto"/>
                                  </w:divBdr>
                                  <w:divsChild>
                                    <w:div w:id="1637880732">
                                      <w:marLeft w:val="0"/>
                                      <w:marRight w:val="0"/>
                                      <w:marTop w:val="0"/>
                                      <w:marBottom w:val="0"/>
                                      <w:divBdr>
                                        <w:top w:val="none" w:sz="0" w:space="0" w:color="auto"/>
                                        <w:left w:val="none" w:sz="0" w:space="0" w:color="auto"/>
                                        <w:bottom w:val="none" w:sz="0" w:space="0" w:color="auto"/>
                                        <w:right w:val="none" w:sz="0" w:space="0" w:color="auto"/>
                                      </w:divBdr>
                                      <w:divsChild>
                                        <w:div w:id="335153532">
                                          <w:marLeft w:val="0"/>
                                          <w:marRight w:val="0"/>
                                          <w:marTop w:val="0"/>
                                          <w:marBottom w:val="0"/>
                                          <w:divBdr>
                                            <w:top w:val="none" w:sz="0" w:space="0" w:color="auto"/>
                                            <w:left w:val="none" w:sz="0" w:space="0" w:color="auto"/>
                                            <w:bottom w:val="none" w:sz="0" w:space="0" w:color="auto"/>
                                            <w:right w:val="none" w:sz="0" w:space="0" w:color="auto"/>
                                          </w:divBdr>
                                          <w:divsChild>
                                            <w:div w:id="41104622">
                                              <w:marLeft w:val="0"/>
                                              <w:marRight w:val="0"/>
                                              <w:marTop w:val="0"/>
                                              <w:marBottom w:val="0"/>
                                              <w:divBdr>
                                                <w:top w:val="none" w:sz="0" w:space="0" w:color="auto"/>
                                                <w:left w:val="none" w:sz="0" w:space="0" w:color="auto"/>
                                                <w:bottom w:val="none" w:sz="0" w:space="0" w:color="auto"/>
                                                <w:right w:val="none" w:sz="0" w:space="0" w:color="auto"/>
                                              </w:divBdr>
                                              <w:divsChild>
                                                <w:div w:id="888960749">
                                                  <w:marLeft w:val="0"/>
                                                  <w:marRight w:val="0"/>
                                                  <w:marTop w:val="0"/>
                                                  <w:marBottom w:val="0"/>
                                                  <w:divBdr>
                                                    <w:top w:val="none" w:sz="0" w:space="0" w:color="auto"/>
                                                    <w:left w:val="none" w:sz="0" w:space="0" w:color="auto"/>
                                                    <w:bottom w:val="none" w:sz="0" w:space="0" w:color="auto"/>
                                                    <w:right w:val="none" w:sz="0" w:space="0" w:color="auto"/>
                                                  </w:divBdr>
                                                  <w:divsChild>
                                                    <w:div w:id="1365329576">
                                                      <w:marLeft w:val="0"/>
                                                      <w:marRight w:val="0"/>
                                                      <w:marTop w:val="0"/>
                                                      <w:marBottom w:val="0"/>
                                                      <w:divBdr>
                                                        <w:top w:val="none" w:sz="0" w:space="0" w:color="auto"/>
                                                        <w:left w:val="none" w:sz="0" w:space="0" w:color="auto"/>
                                                        <w:bottom w:val="none" w:sz="0" w:space="0" w:color="auto"/>
                                                        <w:right w:val="none" w:sz="0" w:space="0" w:color="auto"/>
                                                      </w:divBdr>
                                                      <w:divsChild>
                                                        <w:div w:id="1644264690">
                                                          <w:marLeft w:val="0"/>
                                                          <w:marRight w:val="0"/>
                                                          <w:marTop w:val="0"/>
                                                          <w:marBottom w:val="0"/>
                                                          <w:divBdr>
                                                            <w:top w:val="none" w:sz="0" w:space="0" w:color="auto"/>
                                                            <w:left w:val="none" w:sz="0" w:space="0" w:color="auto"/>
                                                            <w:bottom w:val="none" w:sz="0" w:space="0" w:color="auto"/>
                                                            <w:right w:val="none" w:sz="0" w:space="0" w:color="auto"/>
                                                          </w:divBdr>
                                                        </w:div>
                                                        <w:div w:id="455176672">
                                                          <w:marLeft w:val="0"/>
                                                          <w:marRight w:val="0"/>
                                                          <w:marTop w:val="0"/>
                                                          <w:marBottom w:val="0"/>
                                                          <w:divBdr>
                                                            <w:top w:val="none" w:sz="0" w:space="0" w:color="auto"/>
                                                            <w:left w:val="none" w:sz="0" w:space="0" w:color="auto"/>
                                                            <w:bottom w:val="none" w:sz="0" w:space="0" w:color="auto"/>
                                                            <w:right w:val="none" w:sz="0" w:space="0" w:color="auto"/>
                                                          </w:divBdr>
                                                          <w:divsChild>
                                                            <w:div w:id="2106986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2688038">
      <w:bodyDiv w:val="1"/>
      <w:marLeft w:val="0"/>
      <w:marRight w:val="0"/>
      <w:marTop w:val="0"/>
      <w:marBottom w:val="0"/>
      <w:divBdr>
        <w:top w:val="none" w:sz="0" w:space="0" w:color="auto"/>
        <w:left w:val="none" w:sz="0" w:space="0" w:color="auto"/>
        <w:bottom w:val="none" w:sz="0" w:space="0" w:color="auto"/>
        <w:right w:val="none" w:sz="0" w:space="0" w:color="auto"/>
      </w:divBdr>
    </w:div>
    <w:div w:id="622736543">
      <w:bodyDiv w:val="1"/>
      <w:marLeft w:val="0"/>
      <w:marRight w:val="0"/>
      <w:marTop w:val="0"/>
      <w:marBottom w:val="0"/>
      <w:divBdr>
        <w:top w:val="none" w:sz="0" w:space="0" w:color="auto"/>
        <w:left w:val="none" w:sz="0" w:space="0" w:color="auto"/>
        <w:bottom w:val="none" w:sz="0" w:space="0" w:color="auto"/>
        <w:right w:val="none" w:sz="0" w:space="0" w:color="auto"/>
      </w:divBdr>
    </w:div>
    <w:div w:id="623853015">
      <w:bodyDiv w:val="1"/>
      <w:marLeft w:val="0"/>
      <w:marRight w:val="0"/>
      <w:marTop w:val="0"/>
      <w:marBottom w:val="0"/>
      <w:divBdr>
        <w:top w:val="none" w:sz="0" w:space="0" w:color="auto"/>
        <w:left w:val="none" w:sz="0" w:space="0" w:color="auto"/>
        <w:bottom w:val="none" w:sz="0" w:space="0" w:color="auto"/>
        <w:right w:val="none" w:sz="0" w:space="0" w:color="auto"/>
      </w:divBdr>
      <w:divsChild>
        <w:div w:id="221448794">
          <w:marLeft w:val="0"/>
          <w:marRight w:val="0"/>
          <w:marTop w:val="0"/>
          <w:marBottom w:val="0"/>
          <w:divBdr>
            <w:top w:val="single" w:sz="6" w:space="0" w:color="0E477A"/>
            <w:left w:val="single" w:sz="6" w:space="0" w:color="0E477A"/>
            <w:bottom w:val="single" w:sz="6" w:space="0" w:color="0E477A"/>
            <w:right w:val="single" w:sz="6" w:space="0" w:color="0E477A"/>
          </w:divBdr>
          <w:divsChild>
            <w:div w:id="964774334">
              <w:marLeft w:val="2925"/>
              <w:marRight w:val="0"/>
              <w:marTop w:val="0"/>
              <w:marBottom w:val="0"/>
              <w:divBdr>
                <w:top w:val="none" w:sz="0" w:space="0" w:color="auto"/>
                <w:left w:val="none" w:sz="0" w:space="0" w:color="auto"/>
                <w:bottom w:val="none" w:sz="0" w:space="0" w:color="auto"/>
                <w:right w:val="none" w:sz="0" w:space="0" w:color="auto"/>
              </w:divBdr>
              <w:divsChild>
                <w:div w:id="413824563">
                  <w:marLeft w:val="0"/>
                  <w:marRight w:val="0"/>
                  <w:marTop w:val="0"/>
                  <w:marBottom w:val="0"/>
                  <w:divBdr>
                    <w:top w:val="none" w:sz="0" w:space="0" w:color="auto"/>
                    <w:left w:val="none" w:sz="0" w:space="0" w:color="auto"/>
                    <w:bottom w:val="none" w:sz="0" w:space="0" w:color="auto"/>
                    <w:right w:val="none" w:sz="0" w:space="0" w:color="auto"/>
                  </w:divBdr>
                  <w:divsChild>
                    <w:div w:id="990449872">
                      <w:marLeft w:val="0"/>
                      <w:marRight w:val="150"/>
                      <w:marTop w:val="0"/>
                      <w:marBottom w:val="0"/>
                      <w:divBdr>
                        <w:top w:val="single" w:sz="6" w:space="0" w:color="CCCCCC"/>
                        <w:left w:val="single" w:sz="6" w:space="8" w:color="CCCCCC"/>
                        <w:bottom w:val="single" w:sz="6" w:space="8" w:color="CCCCCC"/>
                        <w:right w:val="single" w:sz="6" w:space="8" w:color="CCCCCC"/>
                      </w:divBdr>
                      <w:divsChild>
                        <w:div w:id="1278223045">
                          <w:marLeft w:val="0"/>
                          <w:marRight w:val="0"/>
                          <w:marTop w:val="0"/>
                          <w:marBottom w:val="0"/>
                          <w:divBdr>
                            <w:top w:val="none" w:sz="0" w:space="0" w:color="auto"/>
                            <w:left w:val="none" w:sz="0" w:space="0" w:color="auto"/>
                            <w:bottom w:val="none" w:sz="0" w:space="0" w:color="auto"/>
                            <w:right w:val="none" w:sz="0" w:space="0" w:color="auto"/>
                          </w:divBdr>
                        </w:div>
                        <w:div w:id="2114662802">
                          <w:marLeft w:val="0"/>
                          <w:marRight w:val="0"/>
                          <w:marTop w:val="0"/>
                          <w:marBottom w:val="0"/>
                          <w:divBdr>
                            <w:top w:val="none" w:sz="0" w:space="0" w:color="auto"/>
                            <w:left w:val="none" w:sz="0" w:space="0" w:color="auto"/>
                            <w:bottom w:val="none" w:sz="0" w:space="0" w:color="auto"/>
                            <w:right w:val="none" w:sz="0" w:space="0" w:color="auto"/>
                          </w:divBdr>
                        </w:div>
                        <w:div w:id="1307784784">
                          <w:marLeft w:val="0"/>
                          <w:marRight w:val="0"/>
                          <w:marTop w:val="0"/>
                          <w:marBottom w:val="0"/>
                          <w:divBdr>
                            <w:top w:val="none" w:sz="0" w:space="0" w:color="auto"/>
                            <w:left w:val="none" w:sz="0" w:space="0" w:color="auto"/>
                            <w:bottom w:val="none" w:sz="0" w:space="0" w:color="auto"/>
                            <w:right w:val="none" w:sz="0" w:space="0" w:color="auto"/>
                          </w:divBdr>
                        </w:div>
                        <w:div w:id="718625992">
                          <w:marLeft w:val="0"/>
                          <w:marRight w:val="0"/>
                          <w:marTop w:val="0"/>
                          <w:marBottom w:val="0"/>
                          <w:divBdr>
                            <w:top w:val="none" w:sz="0" w:space="0" w:color="auto"/>
                            <w:left w:val="none" w:sz="0" w:space="0" w:color="auto"/>
                            <w:bottom w:val="none" w:sz="0" w:space="0" w:color="auto"/>
                            <w:right w:val="none" w:sz="0" w:space="0" w:color="auto"/>
                          </w:divBdr>
                        </w:div>
                        <w:div w:id="2059935785">
                          <w:marLeft w:val="0"/>
                          <w:marRight w:val="0"/>
                          <w:marTop w:val="0"/>
                          <w:marBottom w:val="0"/>
                          <w:divBdr>
                            <w:top w:val="none" w:sz="0" w:space="0" w:color="auto"/>
                            <w:left w:val="none" w:sz="0" w:space="0" w:color="auto"/>
                            <w:bottom w:val="none" w:sz="0" w:space="0" w:color="auto"/>
                            <w:right w:val="none" w:sz="0" w:space="0" w:color="auto"/>
                          </w:divBdr>
                        </w:div>
                        <w:div w:id="1425032154">
                          <w:marLeft w:val="0"/>
                          <w:marRight w:val="0"/>
                          <w:marTop w:val="0"/>
                          <w:marBottom w:val="0"/>
                          <w:divBdr>
                            <w:top w:val="none" w:sz="0" w:space="0" w:color="auto"/>
                            <w:left w:val="none" w:sz="0" w:space="0" w:color="auto"/>
                            <w:bottom w:val="none" w:sz="0" w:space="0" w:color="auto"/>
                            <w:right w:val="none" w:sz="0" w:space="0" w:color="auto"/>
                          </w:divBdr>
                        </w:div>
                        <w:div w:id="757989875">
                          <w:marLeft w:val="0"/>
                          <w:marRight w:val="0"/>
                          <w:marTop w:val="0"/>
                          <w:marBottom w:val="0"/>
                          <w:divBdr>
                            <w:top w:val="none" w:sz="0" w:space="0" w:color="auto"/>
                            <w:left w:val="none" w:sz="0" w:space="0" w:color="auto"/>
                            <w:bottom w:val="none" w:sz="0" w:space="0" w:color="auto"/>
                            <w:right w:val="none" w:sz="0" w:space="0" w:color="auto"/>
                          </w:divBdr>
                        </w:div>
                        <w:div w:id="1118649369">
                          <w:marLeft w:val="0"/>
                          <w:marRight w:val="0"/>
                          <w:marTop w:val="0"/>
                          <w:marBottom w:val="0"/>
                          <w:divBdr>
                            <w:top w:val="none" w:sz="0" w:space="0" w:color="auto"/>
                            <w:left w:val="none" w:sz="0" w:space="0" w:color="auto"/>
                            <w:bottom w:val="none" w:sz="0" w:space="0" w:color="auto"/>
                            <w:right w:val="none" w:sz="0" w:space="0" w:color="auto"/>
                          </w:divBdr>
                        </w:div>
                        <w:div w:id="790632727">
                          <w:marLeft w:val="0"/>
                          <w:marRight w:val="0"/>
                          <w:marTop w:val="0"/>
                          <w:marBottom w:val="0"/>
                          <w:divBdr>
                            <w:top w:val="none" w:sz="0" w:space="0" w:color="auto"/>
                            <w:left w:val="none" w:sz="0" w:space="0" w:color="auto"/>
                            <w:bottom w:val="none" w:sz="0" w:space="0" w:color="auto"/>
                            <w:right w:val="none" w:sz="0" w:space="0" w:color="auto"/>
                          </w:divBdr>
                        </w:div>
                        <w:div w:id="4699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23639">
      <w:bodyDiv w:val="1"/>
      <w:marLeft w:val="0"/>
      <w:marRight w:val="0"/>
      <w:marTop w:val="0"/>
      <w:marBottom w:val="0"/>
      <w:divBdr>
        <w:top w:val="none" w:sz="0" w:space="0" w:color="auto"/>
        <w:left w:val="none" w:sz="0" w:space="0" w:color="auto"/>
        <w:bottom w:val="none" w:sz="0" w:space="0" w:color="auto"/>
        <w:right w:val="none" w:sz="0" w:space="0" w:color="auto"/>
      </w:divBdr>
      <w:divsChild>
        <w:div w:id="450712426">
          <w:marLeft w:val="0"/>
          <w:marRight w:val="0"/>
          <w:marTop w:val="0"/>
          <w:marBottom w:val="450"/>
          <w:divBdr>
            <w:top w:val="none" w:sz="0" w:space="0" w:color="auto"/>
            <w:left w:val="none" w:sz="0" w:space="0" w:color="auto"/>
            <w:bottom w:val="none" w:sz="0" w:space="0" w:color="auto"/>
            <w:right w:val="none" w:sz="0" w:space="0" w:color="auto"/>
          </w:divBdr>
        </w:div>
      </w:divsChild>
    </w:div>
    <w:div w:id="624890021">
      <w:bodyDiv w:val="1"/>
      <w:marLeft w:val="0"/>
      <w:marRight w:val="0"/>
      <w:marTop w:val="0"/>
      <w:marBottom w:val="0"/>
      <w:divBdr>
        <w:top w:val="none" w:sz="0" w:space="0" w:color="auto"/>
        <w:left w:val="none" w:sz="0" w:space="0" w:color="auto"/>
        <w:bottom w:val="none" w:sz="0" w:space="0" w:color="auto"/>
        <w:right w:val="none" w:sz="0" w:space="0" w:color="auto"/>
      </w:divBdr>
    </w:div>
    <w:div w:id="626933325">
      <w:bodyDiv w:val="1"/>
      <w:marLeft w:val="0"/>
      <w:marRight w:val="0"/>
      <w:marTop w:val="0"/>
      <w:marBottom w:val="0"/>
      <w:divBdr>
        <w:top w:val="none" w:sz="0" w:space="0" w:color="auto"/>
        <w:left w:val="none" w:sz="0" w:space="0" w:color="auto"/>
        <w:bottom w:val="none" w:sz="0" w:space="0" w:color="auto"/>
        <w:right w:val="none" w:sz="0" w:space="0" w:color="auto"/>
      </w:divBdr>
      <w:divsChild>
        <w:div w:id="1489712923">
          <w:marLeft w:val="0"/>
          <w:marRight w:val="0"/>
          <w:marTop w:val="0"/>
          <w:marBottom w:val="0"/>
          <w:divBdr>
            <w:top w:val="none" w:sz="0" w:space="0" w:color="auto"/>
            <w:left w:val="none" w:sz="0" w:space="0" w:color="auto"/>
            <w:bottom w:val="none" w:sz="0" w:space="0" w:color="auto"/>
            <w:right w:val="none" w:sz="0" w:space="0" w:color="auto"/>
          </w:divBdr>
          <w:divsChild>
            <w:div w:id="243227233">
              <w:marLeft w:val="0"/>
              <w:marRight w:val="0"/>
              <w:marTop w:val="0"/>
              <w:marBottom w:val="0"/>
              <w:divBdr>
                <w:top w:val="none" w:sz="0" w:space="0" w:color="auto"/>
                <w:left w:val="none" w:sz="0" w:space="0" w:color="auto"/>
                <w:bottom w:val="none" w:sz="0" w:space="0" w:color="auto"/>
                <w:right w:val="none" w:sz="0" w:space="0" w:color="auto"/>
              </w:divBdr>
              <w:divsChild>
                <w:div w:id="1753963367">
                  <w:marLeft w:val="0"/>
                  <w:marRight w:val="0"/>
                  <w:marTop w:val="0"/>
                  <w:marBottom w:val="0"/>
                  <w:divBdr>
                    <w:top w:val="none" w:sz="0" w:space="0" w:color="auto"/>
                    <w:left w:val="none" w:sz="0" w:space="0" w:color="auto"/>
                    <w:bottom w:val="none" w:sz="0" w:space="0" w:color="auto"/>
                    <w:right w:val="none" w:sz="0" w:space="0" w:color="auto"/>
                  </w:divBdr>
                  <w:divsChild>
                    <w:div w:id="616759572">
                      <w:marLeft w:val="0"/>
                      <w:marRight w:val="0"/>
                      <w:marTop w:val="0"/>
                      <w:marBottom w:val="0"/>
                      <w:divBdr>
                        <w:top w:val="none" w:sz="0" w:space="0" w:color="auto"/>
                        <w:left w:val="none" w:sz="0" w:space="0" w:color="auto"/>
                        <w:bottom w:val="none" w:sz="0" w:space="0" w:color="auto"/>
                        <w:right w:val="none" w:sz="0" w:space="0" w:color="auto"/>
                      </w:divBdr>
                      <w:divsChild>
                        <w:div w:id="679351942">
                          <w:marLeft w:val="0"/>
                          <w:marRight w:val="0"/>
                          <w:marTop w:val="0"/>
                          <w:marBottom w:val="0"/>
                          <w:divBdr>
                            <w:top w:val="none" w:sz="0" w:space="0" w:color="auto"/>
                            <w:left w:val="none" w:sz="0" w:space="0" w:color="auto"/>
                            <w:bottom w:val="none" w:sz="0" w:space="0" w:color="auto"/>
                            <w:right w:val="none" w:sz="0" w:space="0" w:color="auto"/>
                          </w:divBdr>
                          <w:divsChild>
                            <w:div w:id="827212902">
                              <w:marLeft w:val="0"/>
                              <w:marRight w:val="0"/>
                              <w:marTop w:val="0"/>
                              <w:marBottom w:val="0"/>
                              <w:divBdr>
                                <w:top w:val="none" w:sz="0" w:space="0" w:color="auto"/>
                                <w:left w:val="none" w:sz="0" w:space="0" w:color="auto"/>
                                <w:bottom w:val="none" w:sz="0" w:space="0" w:color="auto"/>
                                <w:right w:val="none" w:sz="0" w:space="0" w:color="auto"/>
                              </w:divBdr>
                              <w:divsChild>
                                <w:div w:id="623001339">
                                  <w:marLeft w:val="0"/>
                                  <w:marRight w:val="0"/>
                                  <w:marTop w:val="0"/>
                                  <w:marBottom w:val="0"/>
                                  <w:divBdr>
                                    <w:top w:val="none" w:sz="0" w:space="0" w:color="auto"/>
                                    <w:left w:val="none" w:sz="0" w:space="0" w:color="auto"/>
                                    <w:bottom w:val="none" w:sz="0" w:space="0" w:color="auto"/>
                                    <w:right w:val="none" w:sz="0" w:space="0" w:color="auto"/>
                                  </w:divBdr>
                                  <w:divsChild>
                                    <w:div w:id="1015039115">
                                      <w:marLeft w:val="0"/>
                                      <w:marRight w:val="0"/>
                                      <w:marTop w:val="0"/>
                                      <w:marBottom w:val="0"/>
                                      <w:divBdr>
                                        <w:top w:val="none" w:sz="0" w:space="0" w:color="auto"/>
                                        <w:left w:val="none" w:sz="0" w:space="0" w:color="auto"/>
                                        <w:bottom w:val="none" w:sz="0" w:space="0" w:color="auto"/>
                                        <w:right w:val="none" w:sz="0" w:space="0" w:color="auto"/>
                                      </w:divBdr>
                                      <w:divsChild>
                                        <w:div w:id="20642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857753">
      <w:bodyDiv w:val="1"/>
      <w:marLeft w:val="0"/>
      <w:marRight w:val="0"/>
      <w:marTop w:val="0"/>
      <w:marBottom w:val="0"/>
      <w:divBdr>
        <w:top w:val="none" w:sz="0" w:space="0" w:color="auto"/>
        <w:left w:val="none" w:sz="0" w:space="0" w:color="auto"/>
        <w:bottom w:val="none" w:sz="0" w:space="0" w:color="auto"/>
        <w:right w:val="none" w:sz="0" w:space="0" w:color="auto"/>
      </w:divBdr>
    </w:div>
    <w:div w:id="631400343">
      <w:bodyDiv w:val="1"/>
      <w:marLeft w:val="0"/>
      <w:marRight w:val="0"/>
      <w:marTop w:val="0"/>
      <w:marBottom w:val="0"/>
      <w:divBdr>
        <w:top w:val="none" w:sz="0" w:space="0" w:color="auto"/>
        <w:left w:val="none" w:sz="0" w:space="0" w:color="auto"/>
        <w:bottom w:val="none" w:sz="0" w:space="0" w:color="auto"/>
        <w:right w:val="none" w:sz="0" w:space="0" w:color="auto"/>
      </w:divBdr>
      <w:divsChild>
        <w:div w:id="177043605">
          <w:marLeft w:val="0"/>
          <w:marRight w:val="0"/>
          <w:marTop w:val="0"/>
          <w:marBottom w:val="0"/>
          <w:divBdr>
            <w:top w:val="none" w:sz="0" w:space="0" w:color="auto"/>
            <w:left w:val="none" w:sz="0" w:space="0" w:color="auto"/>
            <w:bottom w:val="none" w:sz="0" w:space="0" w:color="auto"/>
            <w:right w:val="none" w:sz="0" w:space="0" w:color="auto"/>
          </w:divBdr>
          <w:divsChild>
            <w:div w:id="577711901">
              <w:marLeft w:val="0"/>
              <w:marRight w:val="0"/>
              <w:marTop w:val="150"/>
              <w:marBottom w:val="0"/>
              <w:divBdr>
                <w:top w:val="none" w:sz="0" w:space="0" w:color="auto"/>
                <w:left w:val="none" w:sz="0" w:space="0" w:color="auto"/>
                <w:bottom w:val="none" w:sz="0" w:space="0" w:color="auto"/>
                <w:right w:val="none" w:sz="0" w:space="0" w:color="auto"/>
              </w:divBdr>
              <w:divsChild>
                <w:div w:id="2062241812">
                  <w:marLeft w:val="0"/>
                  <w:marRight w:val="0"/>
                  <w:marTop w:val="0"/>
                  <w:marBottom w:val="0"/>
                  <w:divBdr>
                    <w:top w:val="none" w:sz="0" w:space="0" w:color="auto"/>
                    <w:left w:val="none" w:sz="0" w:space="0" w:color="auto"/>
                    <w:bottom w:val="none" w:sz="0" w:space="0" w:color="auto"/>
                    <w:right w:val="none" w:sz="0" w:space="0" w:color="auto"/>
                  </w:divBdr>
                  <w:divsChild>
                    <w:div w:id="1989480405">
                      <w:marLeft w:val="0"/>
                      <w:marRight w:val="0"/>
                      <w:marTop w:val="0"/>
                      <w:marBottom w:val="0"/>
                      <w:divBdr>
                        <w:top w:val="none" w:sz="0" w:space="0" w:color="auto"/>
                        <w:left w:val="none" w:sz="0" w:space="0" w:color="auto"/>
                        <w:bottom w:val="none" w:sz="0" w:space="0" w:color="auto"/>
                        <w:right w:val="none" w:sz="0" w:space="0" w:color="auto"/>
                      </w:divBdr>
                      <w:divsChild>
                        <w:div w:id="11885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722452">
      <w:bodyDiv w:val="1"/>
      <w:marLeft w:val="0"/>
      <w:marRight w:val="0"/>
      <w:marTop w:val="0"/>
      <w:marBottom w:val="0"/>
      <w:divBdr>
        <w:top w:val="none" w:sz="0" w:space="0" w:color="auto"/>
        <w:left w:val="none" w:sz="0" w:space="0" w:color="auto"/>
        <w:bottom w:val="none" w:sz="0" w:space="0" w:color="auto"/>
        <w:right w:val="none" w:sz="0" w:space="0" w:color="auto"/>
      </w:divBdr>
      <w:divsChild>
        <w:div w:id="853419825">
          <w:marLeft w:val="0"/>
          <w:marRight w:val="0"/>
          <w:marTop w:val="0"/>
          <w:marBottom w:val="0"/>
          <w:divBdr>
            <w:top w:val="none" w:sz="0" w:space="0" w:color="auto"/>
            <w:left w:val="none" w:sz="0" w:space="0" w:color="auto"/>
            <w:bottom w:val="none" w:sz="0" w:space="0" w:color="auto"/>
            <w:right w:val="none" w:sz="0" w:space="0" w:color="auto"/>
          </w:divBdr>
          <w:divsChild>
            <w:div w:id="715665009">
              <w:marLeft w:val="0"/>
              <w:marRight w:val="0"/>
              <w:marTop w:val="0"/>
              <w:marBottom w:val="0"/>
              <w:divBdr>
                <w:top w:val="none" w:sz="0" w:space="0" w:color="auto"/>
                <w:left w:val="none" w:sz="0" w:space="0" w:color="auto"/>
                <w:bottom w:val="none" w:sz="0" w:space="0" w:color="auto"/>
                <w:right w:val="none" w:sz="0" w:space="0" w:color="auto"/>
              </w:divBdr>
              <w:divsChild>
                <w:div w:id="1953976997">
                  <w:marLeft w:val="0"/>
                  <w:marRight w:val="0"/>
                  <w:marTop w:val="0"/>
                  <w:marBottom w:val="0"/>
                  <w:divBdr>
                    <w:top w:val="none" w:sz="0" w:space="0" w:color="auto"/>
                    <w:left w:val="none" w:sz="0" w:space="0" w:color="auto"/>
                    <w:bottom w:val="none" w:sz="0" w:space="0" w:color="auto"/>
                    <w:right w:val="none" w:sz="0" w:space="0" w:color="auto"/>
                  </w:divBdr>
                  <w:divsChild>
                    <w:div w:id="580870484">
                      <w:marLeft w:val="0"/>
                      <w:marRight w:val="0"/>
                      <w:marTop w:val="0"/>
                      <w:marBottom w:val="0"/>
                      <w:divBdr>
                        <w:top w:val="none" w:sz="0" w:space="0" w:color="auto"/>
                        <w:left w:val="none" w:sz="0" w:space="0" w:color="auto"/>
                        <w:bottom w:val="none" w:sz="0" w:space="0" w:color="auto"/>
                        <w:right w:val="none" w:sz="0" w:space="0" w:color="auto"/>
                      </w:divBdr>
                      <w:divsChild>
                        <w:div w:id="62409891">
                          <w:marLeft w:val="0"/>
                          <w:marRight w:val="0"/>
                          <w:marTop w:val="0"/>
                          <w:marBottom w:val="0"/>
                          <w:divBdr>
                            <w:top w:val="none" w:sz="0" w:space="0" w:color="auto"/>
                            <w:left w:val="none" w:sz="0" w:space="0" w:color="auto"/>
                            <w:bottom w:val="none" w:sz="0" w:space="0" w:color="auto"/>
                            <w:right w:val="none" w:sz="0" w:space="0" w:color="auto"/>
                          </w:divBdr>
                          <w:divsChild>
                            <w:div w:id="1785424300">
                              <w:marLeft w:val="0"/>
                              <w:marRight w:val="0"/>
                              <w:marTop w:val="0"/>
                              <w:marBottom w:val="0"/>
                              <w:divBdr>
                                <w:top w:val="none" w:sz="0" w:space="0" w:color="auto"/>
                                <w:left w:val="none" w:sz="0" w:space="0" w:color="auto"/>
                                <w:bottom w:val="none" w:sz="0" w:space="0" w:color="auto"/>
                                <w:right w:val="none" w:sz="0" w:space="0" w:color="auto"/>
                              </w:divBdr>
                              <w:divsChild>
                                <w:div w:id="1300576896">
                                  <w:marLeft w:val="0"/>
                                  <w:marRight w:val="0"/>
                                  <w:marTop w:val="0"/>
                                  <w:marBottom w:val="0"/>
                                  <w:divBdr>
                                    <w:top w:val="none" w:sz="0" w:space="0" w:color="auto"/>
                                    <w:left w:val="none" w:sz="0" w:space="0" w:color="auto"/>
                                    <w:bottom w:val="none" w:sz="0" w:space="0" w:color="auto"/>
                                    <w:right w:val="none" w:sz="0" w:space="0" w:color="auto"/>
                                  </w:divBdr>
                                  <w:divsChild>
                                    <w:div w:id="1195189866">
                                      <w:marLeft w:val="0"/>
                                      <w:marRight w:val="0"/>
                                      <w:marTop w:val="0"/>
                                      <w:marBottom w:val="0"/>
                                      <w:divBdr>
                                        <w:top w:val="none" w:sz="0" w:space="0" w:color="auto"/>
                                        <w:left w:val="none" w:sz="0" w:space="0" w:color="auto"/>
                                        <w:bottom w:val="none" w:sz="0" w:space="0" w:color="auto"/>
                                        <w:right w:val="none" w:sz="0" w:space="0" w:color="auto"/>
                                      </w:divBdr>
                                      <w:divsChild>
                                        <w:div w:id="1426993793">
                                          <w:marLeft w:val="0"/>
                                          <w:marRight w:val="0"/>
                                          <w:marTop w:val="0"/>
                                          <w:marBottom w:val="0"/>
                                          <w:divBdr>
                                            <w:top w:val="none" w:sz="0" w:space="0" w:color="auto"/>
                                            <w:left w:val="none" w:sz="0" w:space="0" w:color="auto"/>
                                            <w:bottom w:val="none" w:sz="0" w:space="0" w:color="auto"/>
                                            <w:right w:val="none" w:sz="0" w:space="0" w:color="auto"/>
                                          </w:divBdr>
                                        </w:div>
                                        <w:div w:id="210313443">
                                          <w:marLeft w:val="0"/>
                                          <w:marRight w:val="0"/>
                                          <w:marTop w:val="0"/>
                                          <w:marBottom w:val="0"/>
                                          <w:divBdr>
                                            <w:top w:val="none" w:sz="0" w:space="0" w:color="auto"/>
                                            <w:left w:val="none" w:sz="0" w:space="0" w:color="auto"/>
                                            <w:bottom w:val="none" w:sz="0" w:space="0" w:color="auto"/>
                                            <w:right w:val="none" w:sz="0" w:space="0" w:color="auto"/>
                                          </w:divBdr>
                                          <w:divsChild>
                                            <w:div w:id="21438848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642283">
      <w:bodyDiv w:val="1"/>
      <w:marLeft w:val="0"/>
      <w:marRight w:val="0"/>
      <w:marTop w:val="0"/>
      <w:marBottom w:val="0"/>
      <w:divBdr>
        <w:top w:val="none" w:sz="0" w:space="0" w:color="auto"/>
        <w:left w:val="none" w:sz="0" w:space="0" w:color="auto"/>
        <w:bottom w:val="none" w:sz="0" w:space="0" w:color="auto"/>
        <w:right w:val="none" w:sz="0" w:space="0" w:color="auto"/>
      </w:divBdr>
    </w:div>
    <w:div w:id="635985360">
      <w:bodyDiv w:val="1"/>
      <w:marLeft w:val="0"/>
      <w:marRight w:val="0"/>
      <w:marTop w:val="0"/>
      <w:marBottom w:val="0"/>
      <w:divBdr>
        <w:top w:val="none" w:sz="0" w:space="0" w:color="auto"/>
        <w:left w:val="none" w:sz="0" w:space="0" w:color="auto"/>
        <w:bottom w:val="none" w:sz="0" w:space="0" w:color="auto"/>
        <w:right w:val="none" w:sz="0" w:space="0" w:color="auto"/>
      </w:divBdr>
      <w:divsChild>
        <w:div w:id="88280896">
          <w:marLeft w:val="0"/>
          <w:marRight w:val="0"/>
          <w:marTop w:val="375"/>
          <w:marBottom w:val="375"/>
          <w:divBdr>
            <w:top w:val="none" w:sz="0" w:space="0" w:color="auto"/>
            <w:left w:val="none" w:sz="0" w:space="0" w:color="auto"/>
            <w:bottom w:val="none" w:sz="0" w:space="0" w:color="auto"/>
            <w:right w:val="none" w:sz="0" w:space="0" w:color="auto"/>
          </w:divBdr>
        </w:div>
      </w:divsChild>
    </w:div>
    <w:div w:id="636185880">
      <w:bodyDiv w:val="1"/>
      <w:marLeft w:val="0"/>
      <w:marRight w:val="0"/>
      <w:marTop w:val="0"/>
      <w:marBottom w:val="0"/>
      <w:divBdr>
        <w:top w:val="none" w:sz="0" w:space="0" w:color="auto"/>
        <w:left w:val="none" w:sz="0" w:space="0" w:color="auto"/>
        <w:bottom w:val="none" w:sz="0" w:space="0" w:color="auto"/>
        <w:right w:val="none" w:sz="0" w:space="0" w:color="auto"/>
      </w:divBdr>
    </w:div>
    <w:div w:id="636381118">
      <w:bodyDiv w:val="1"/>
      <w:marLeft w:val="0"/>
      <w:marRight w:val="0"/>
      <w:marTop w:val="0"/>
      <w:marBottom w:val="0"/>
      <w:divBdr>
        <w:top w:val="none" w:sz="0" w:space="0" w:color="auto"/>
        <w:left w:val="none" w:sz="0" w:space="0" w:color="auto"/>
        <w:bottom w:val="none" w:sz="0" w:space="0" w:color="auto"/>
        <w:right w:val="none" w:sz="0" w:space="0" w:color="auto"/>
      </w:divBdr>
    </w:div>
    <w:div w:id="636909322">
      <w:bodyDiv w:val="1"/>
      <w:marLeft w:val="0"/>
      <w:marRight w:val="0"/>
      <w:marTop w:val="0"/>
      <w:marBottom w:val="0"/>
      <w:divBdr>
        <w:top w:val="none" w:sz="0" w:space="0" w:color="auto"/>
        <w:left w:val="none" w:sz="0" w:space="0" w:color="auto"/>
        <w:bottom w:val="none" w:sz="0" w:space="0" w:color="auto"/>
        <w:right w:val="none" w:sz="0" w:space="0" w:color="auto"/>
      </w:divBdr>
    </w:div>
    <w:div w:id="637614368">
      <w:bodyDiv w:val="1"/>
      <w:marLeft w:val="0"/>
      <w:marRight w:val="0"/>
      <w:marTop w:val="0"/>
      <w:marBottom w:val="0"/>
      <w:divBdr>
        <w:top w:val="none" w:sz="0" w:space="0" w:color="auto"/>
        <w:left w:val="none" w:sz="0" w:space="0" w:color="auto"/>
        <w:bottom w:val="none" w:sz="0" w:space="0" w:color="auto"/>
        <w:right w:val="none" w:sz="0" w:space="0" w:color="auto"/>
      </w:divBdr>
      <w:divsChild>
        <w:div w:id="1613591748">
          <w:marLeft w:val="0"/>
          <w:marRight w:val="0"/>
          <w:marTop w:val="0"/>
          <w:marBottom w:val="0"/>
          <w:divBdr>
            <w:top w:val="none" w:sz="0" w:space="0" w:color="auto"/>
            <w:left w:val="none" w:sz="0" w:space="0" w:color="auto"/>
            <w:bottom w:val="none" w:sz="0" w:space="0" w:color="auto"/>
            <w:right w:val="none" w:sz="0" w:space="0" w:color="auto"/>
          </w:divBdr>
          <w:divsChild>
            <w:div w:id="1218712125">
              <w:marLeft w:val="0"/>
              <w:marRight w:val="0"/>
              <w:marTop w:val="0"/>
              <w:marBottom w:val="0"/>
              <w:divBdr>
                <w:top w:val="none" w:sz="0" w:space="0" w:color="auto"/>
                <w:left w:val="none" w:sz="0" w:space="0" w:color="auto"/>
                <w:bottom w:val="none" w:sz="0" w:space="0" w:color="auto"/>
                <w:right w:val="none" w:sz="0" w:space="0" w:color="auto"/>
              </w:divBdr>
              <w:divsChild>
                <w:div w:id="924844641">
                  <w:marLeft w:val="0"/>
                  <w:marRight w:val="0"/>
                  <w:marTop w:val="0"/>
                  <w:marBottom w:val="225"/>
                  <w:divBdr>
                    <w:top w:val="none" w:sz="0" w:space="0" w:color="auto"/>
                    <w:left w:val="none" w:sz="0" w:space="0" w:color="auto"/>
                    <w:bottom w:val="none" w:sz="0" w:space="0" w:color="auto"/>
                    <w:right w:val="none" w:sz="0" w:space="0" w:color="auto"/>
                  </w:divBdr>
                </w:div>
              </w:divsChild>
            </w:div>
            <w:div w:id="1237741932">
              <w:marLeft w:val="210"/>
              <w:marRight w:val="0"/>
              <w:marTop w:val="0"/>
              <w:marBottom w:val="0"/>
              <w:divBdr>
                <w:top w:val="none" w:sz="0" w:space="0" w:color="auto"/>
                <w:left w:val="none" w:sz="0" w:space="0" w:color="auto"/>
                <w:bottom w:val="none" w:sz="0" w:space="0" w:color="auto"/>
                <w:right w:val="none" w:sz="0" w:space="0" w:color="auto"/>
              </w:divBdr>
              <w:divsChild>
                <w:div w:id="713433368">
                  <w:marLeft w:val="0"/>
                  <w:marRight w:val="0"/>
                  <w:marTop w:val="0"/>
                  <w:marBottom w:val="0"/>
                  <w:divBdr>
                    <w:top w:val="none" w:sz="0" w:space="0" w:color="auto"/>
                    <w:left w:val="none" w:sz="0" w:space="0" w:color="auto"/>
                    <w:bottom w:val="none" w:sz="0" w:space="0" w:color="auto"/>
                    <w:right w:val="none" w:sz="0" w:space="0" w:color="auto"/>
                  </w:divBdr>
                  <w:divsChild>
                    <w:div w:id="65303791">
                      <w:marLeft w:val="0"/>
                      <w:marRight w:val="0"/>
                      <w:marTop w:val="0"/>
                      <w:marBottom w:val="0"/>
                      <w:divBdr>
                        <w:top w:val="none" w:sz="0" w:space="0" w:color="auto"/>
                        <w:left w:val="none" w:sz="0" w:space="0" w:color="auto"/>
                        <w:bottom w:val="none" w:sz="0" w:space="0" w:color="auto"/>
                        <w:right w:val="none" w:sz="0" w:space="0" w:color="auto"/>
                      </w:divBdr>
                      <w:divsChild>
                        <w:div w:id="18505671">
                          <w:marLeft w:val="0"/>
                          <w:marRight w:val="0"/>
                          <w:marTop w:val="0"/>
                          <w:marBottom w:val="0"/>
                          <w:divBdr>
                            <w:top w:val="none" w:sz="0" w:space="0" w:color="auto"/>
                            <w:left w:val="none" w:sz="0" w:space="0" w:color="auto"/>
                            <w:bottom w:val="none" w:sz="0" w:space="0" w:color="auto"/>
                            <w:right w:val="none" w:sz="0" w:space="0" w:color="auto"/>
                          </w:divBdr>
                          <w:divsChild>
                            <w:div w:id="1242444287">
                              <w:marLeft w:val="0"/>
                              <w:marRight w:val="0"/>
                              <w:marTop w:val="0"/>
                              <w:marBottom w:val="0"/>
                              <w:divBdr>
                                <w:top w:val="none" w:sz="0" w:space="0" w:color="auto"/>
                                <w:left w:val="none" w:sz="0" w:space="0" w:color="auto"/>
                                <w:bottom w:val="none" w:sz="0" w:space="0" w:color="auto"/>
                                <w:right w:val="none" w:sz="0" w:space="0" w:color="auto"/>
                              </w:divBdr>
                            </w:div>
                            <w:div w:id="221715118">
                              <w:marLeft w:val="0"/>
                              <w:marRight w:val="0"/>
                              <w:marTop w:val="0"/>
                              <w:marBottom w:val="0"/>
                              <w:divBdr>
                                <w:top w:val="none" w:sz="0" w:space="0" w:color="auto"/>
                                <w:left w:val="none" w:sz="0" w:space="0" w:color="auto"/>
                                <w:bottom w:val="none" w:sz="0" w:space="0" w:color="auto"/>
                                <w:right w:val="none" w:sz="0" w:space="0" w:color="auto"/>
                              </w:divBdr>
                            </w:div>
                            <w:div w:id="1234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8552">
      <w:bodyDiv w:val="1"/>
      <w:marLeft w:val="0"/>
      <w:marRight w:val="0"/>
      <w:marTop w:val="0"/>
      <w:marBottom w:val="0"/>
      <w:divBdr>
        <w:top w:val="none" w:sz="0" w:space="0" w:color="auto"/>
        <w:left w:val="none" w:sz="0" w:space="0" w:color="auto"/>
        <w:bottom w:val="none" w:sz="0" w:space="0" w:color="auto"/>
        <w:right w:val="none" w:sz="0" w:space="0" w:color="auto"/>
      </w:divBdr>
    </w:div>
    <w:div w:id="638456797">
      <w:bodyDiv w:val="1"/>
      <w:marLeft w:val="0"/>
      <w:marRight w:val="0"/>
      <w:marTop w:val="0"/>
      <w:marBottom w:val="0"/>
      <w:divBdr>
        <w:top w:val="none" w:sz="0" w:space="0" w:color="auto"/>
        <w:left w:val="none" w:sz="0" w:space="0" w:color="auto"/>
        <w:bottom w:val="none" w:sz="0" w:space="0" w:color="auto"/>
        <w:right w:val="none" w:sz="0" w:space="0" w:color="auto"/>
      </w:divBdr>
    </w:div>
    <w:div w:id="638808413">
      <w:bodyDiv w:val="1"/>
      <w:marLeft w:val="0"/>
      <w:marRight w:val="0"/>
      <w:marTop w:val="0"/>
      <w:marBottom w:val="0"/>
      <w:divBdr>
        <w:top w:val="none" w:sz="0" w:space="0" w:color="auto"/>
        <w:left w:val="none" w:sz="0" w:space="0" w:color="auto"/>
        <w:bottom w:val="none" w:sz="0" w:space="0" w:color="auto"/>
        <w:right w:val="none" w:sz="0" w:space="0" w:color="auto"/>
      </w:divBdr>
      <w:divsChild>
        <w:div w:id="55904064">
          <w:marLeft w:val="0"/>
          <w:marRight w:val="0"/>
          <w:marTop w:val="0"/>
          <w:marBottom w:val="0"/>
          <w:divBdr>
            <w:top w:val="none" w:sz="0" w:space="0" w:color="auto"/>
            <w:left w:val="none" w:sz="0" w:space="0" w:color="auto"/>
            <w:bottom w:val="none" w:sz="0" w:space="0" w:color="auto"/>
            <w:right w:val="none" w:sz="0" w:space="0" w:color="auto"/>
          </w:divBdr>
          <w:divsChild>
            <w:div w:id="286665808">
              <w:marLeft w:val="0"/>
              <w:marRight w:val="0"/>
              <w:marTop w:val="0"/>
              <w:marBottom w:val="0"/>
              <w:divBdr>
                <w:top w:val="none" w:sz="0" w:space="0" w:color="auto"/>
                <w:left w:val="none" w:sz="0" w:space="0" w:color="auto"/>
                <w:bottom w:val="none" w:sz="0" w:space="0" w:color="auto"/>
                <w:right w:val="none" w:sz="0" w:space="0" w:color="auto"/>
              </w:divBdr>
              <w:divsChild>
                <w:div w:id="874929733">
                  <w:marLeft w:val="0"/>
                  <w:marRight w:val="0"/>
                  <w:marTop w:val="0"/>
                  <w:marBottom w:val="0"/>
                  <w:divBdr>
                    <w:top w:val="none" w:sz="0" w:space="0" w:color="auto"/>
                    <w:left w:val="none" w:sz="0" w:space="0" w:color="auto"/>
                    <w:bottom w:val="none" w:sz="0" w:space="0" w:color="auto"/>
                    <w:right w:val="none" w:sz="0" w:space="0" w:color="auto"/>
                  </w:divBdr>
                  <w:divsChild>
                    <w:div w:id="1949310582">
                      <w:marLeft w:val="0"/>
                      <w:marRight w:val="0"/>
                      <w:marTop w:val="0"/>
                      <w:marBottom w:val="0"/>
                      <w:divBdr>
                        <w:top w:val="none" w:sz="0" w:space="0" w:color="auto"/>
                        <w:left w:val="none" w:sz="0" w:space="0" w:color="auto"/>
                        <w:bottom w:val="none" w:sz="0" w:space="0" w:color="auto"/>
                        <w:right w:val="none" w:sz="0" w:space="0" w:color="auto"/>
                      </w:divBdr>
                      <w:divsChild>
                        <w:div w:id="494220725">
                          <w:marLeft w:val="0"/>
                          <w:marRight w:val="0"/>
                          <w:marTop w:val="0"/>
                          <w:marBottom w:val="0"/>
                          <w:divBdr>
                            <w:top w:val="none" w:sz="0" w:space="0" w:color="auto"/>
                            <w:left w:val="none" w:sz="0" w:space="0" w:color="auto"/>
                            <w:bottom w:val="none" w:sz="0" w:space="0" w:color="auto"/>
                            <w:right w:val="none" w:sz="0" w:space="0" w:color="auto"/>
                          </w:divBdr>
                          <w:divsChild>
                            <w:div w:id="1348823648">
                              <w:marLeft w:val="0"/>
                              <w:marRight w:val="0"/>
                              <w:marTop w:val="0"/>
                              <w:marBottom w:val="0"/>
                              <w:divBdr>
                                <w:top w:val="none" w:sz="0" w:space="0" w:color="auto"/>
                                <w:left w:val="none" w:sz="0" w:space="0" w:color="auto"/>
                                <w:bottom w:val="none" w:sz="0" w:space="0" w:color="auto"/>
                                <w:right w:val="none" w:sz="0" w:space="0" w:color="auto"/>
                              </w:divBdr>
                              <w:divsChild>
                                <w:div w:id="961813998">
                                  <w:marLeft w:val="0"/>
                                  <w:marRight w:val="0"/>
                                  <w:marTop w:val="0"/>
                                  <w:marBottom w:val="0"/>
                                  <w:divBdr>
                                    <w:top w:val="none" w:sz="0" w:space="0" w:color="auto"/>
                                    <w:left w:val="none" w:sz="0" w:space="0" w:color="auto"/>
                                    <w:bottom w:val="none" w:sz="0" w:space="0" w:color="auto"/>
                                    <w:right w:val="none" w:sz="0" w:space="0" w:color="auto"/>
                                  </w:divBdr>
                                  <w:divsChild>
                                    <w:div w:id="411242792">
                                      <w:marLeft w:val="0"/>
                                      <w:marRight w:val="0"/>
                                      <w:marTop w:val="0"/>
                                      <w:marBottom w:val="0"/>
                                      <w:divBdr>
                                        <w:top w:val="none" w:sz="0" w:space="0" w:color="auto"/>
                                        <w:left w:val="none" w:sz="0" w:space="0" w:color="auto"/>
                                        <w:bottom w:val="none" w:sz="0" w:space="0" w:color="auto"/>
                                        <w:right w:val="none" w:sz="0" w:space="0" w:color="auto"/>
                                      </w:divBdr>
                                      <w:divsChild>
                                        <w:div w:id="448672749">
                                          <w:marLeft w:val="0"/>
                                          <w:marRight w:val="0"/>
                                          <w:marTop w:val="0"/>
                                          <w:marBottom w:val="0"/>
                                          <w:divBdr>
                                            <w:top w:val="none" w:sz="0" w:space="0" w:color="auto"/>
                                            <w:left w:val="none" w:sz="0" w:space="0" w:color="auto"/>
                                            <w:bottom w:val="none" w:sz="0" w:space="0" w:color="auto"/>
                                            <w:right w:val="none" w:sz="0" w:space="0" w:color="auto"/>
                                          </w:divBdr>
                                          <w:divsChild>
                                            <w:div w:id="1072582302">
                                              <w:marLeft w:val="0"/>
                                              <w:marRight w:val="0"/>
                                              <w:marTop w:val="0"/>
                                              <w:marBottom w:val="0"/>
                                              <w:divBdr>
                                                <w:top w:val="none" w:sz="0" w:space="0" w:color="auto"/>
                                                <w:left w:val="none" w:sz="0" w:space="0" w:color="auto"/>
                                                <w:bottom w:val="none" w:sz="0" w:space="0" w:color="auto"/>
                                                <w:right w:val="none" w:sz="0" w:space="0" w:color="auto"/>
                                              </w:divBdr>
                                              <w:divsChild>
                                                <w:div w:id="971061033">
                                                  <w:marLeft w:val="0"/>
                                                  <w:marRight w:val="0"/>
                                                  <w:marTop w:val="0"/>
                                                  <w:marBottom w:val="0"/>
                                                  <w:divBdr>
                                                    <w:top w:val="none" w:sz="0" w:space="0" w:color="auto"/>
                                                    <w:left w:val="none" w:sz="0" w:space="0" w:color="auto"/>
                                                    <w:bottom w:val="none" w:sz="0" w:space="0" w:color="auto"/>
                                                    <w:right w:val="none" w:sz="0" w:space="0" w:color="auto"/>
                                                  </w:divBdr>
                                                  <w:divsChild>
                                                    <w:div w:id="1219708104">
                                                      <w:marLeft w:val="0"/>
                                                      <w:marRight w:val="0"/>
                                                      <w:marTop w:val="0"/>
                                                      <w:marBottom w:val="0"/>
                                                      <w:divBdr>
                                                        <w:top w:val="none" w:sz="0" w:space="0" w:color="auto"/>
                                                        <w:left w:val="none" w:sz="0" w:space="0" w:color="auto"/>
                                                        <w:bottom w:val="none" w:sz="0" w:space="0" w:color="auto"/>
                                                        <w:right w:val="none" w:sz="0" w:space="0" w:color="auto"/>
                                                      </w:divBdr>
                                                      <w:divsChild>
                                                        <w:div w:id="17668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875322">
      <w:bodyDiv w:val="1"/>
      <w:marLeft w:val="0"/>
      <w:marRight w:val="0"/>
      <w:marTop w:val="0"/>
      <w:marBottom w:val="0"/>
      <w:divBdr>
        <w:top w:val="none" w:sz="0" w:space="0" w:color="auto"/>
        <w:left w:val="none" w:sz="0" w:space="0" w:color="auto"/>
        <w:bottom w:val="none" w:sz="0" w:space="0" w:color="auto"/>
        <w:right w:val="none" w:sz="0" w:space="0" w:color="auto"/>
      </w:divBdr>
      <w:divsChild>
        <w:div w:id="697008088">
          <w:marLeft w:val="0"/>
          <w:marRight w:val="0"/>
          <w:marTop w:val="0"/>
          <w:marBottom w:val="0"/>
          <w:divBdr>
            <w:top w:val="none" w:sz="0" w:space="0" w:color="auto"/>
            <w:left w:val="none" w:sz="0" w:space="0" w:color="auto"/>
            <w:bottom w:val="none" w:sz="0" w:space="0" w:color="auto"/>
            <w:right w:val="none" w:sz="0" w:space="0" w:color="auto"/>
          </w:divBdr>
          <w:divsChild>
            <w:div w:id="1957368417">
              <w:marLeft w:val="0"/>
              <w:marRight w:val="0"/>
              <w:marTop w:val="0"/>
              <w:marBottom w:val="0"/>
              <w:divBdr>
                <w:top w:val="none" w:sz="0" w:space="0" w:color="auto"/>
                <w:left w:val="none" w:sz="0" w:space="0" w:color="auto"/>
                <w:bottom w:val="none" w:sz="0" w:space="0" w:color="auto"/>
                <w:right w:val="none" w:sz="0" w:space="0" w:color="auto"/>
              </w:divBdr>
              <w:divsChild>
                <w:div w:id="8147990">
                  <w:marLeft w:val="0"/>
                  <w:marRight w:val="0"/>
                  <w:marTop w:val="0"/>
                  <w:marBottom w:val="0"/>
                  <w:divBdr>
                    <w:top w:val="none" w:sz="0" w:space="0" w:color="auto"/>
                    <w:left w:val="none" w:sz="0" w:space="0" w:color="auto"/>
                    <w:bottom w:val="none" w:sz="0" w:space="0" w:color="auto"/>
                    <w:right w:val="none" w:sz="0" w:space="0" w:color="auto"/>
                  </w:divBdr>
                  <w:divsChild>
                    <w:div w:id="1221404878">
                      <w:marLeft w:val="0"/>
                      <w:marRight w:val="0"/>
                      <w:marTop w:val="0"/>
                      <w:marBottom w:val="0"/>
                      <w:divBdr>
                        <w:top w:val="none" w:sz="0" w:space="0" w:color="auto"/>
                        <w:left w:val="none" w:sz="0" w:space="0" w:color="auto"/>
                        <w:bottom w:val="none" w:sz="0" w:space="0" w:color="auto"/>
                        <w:right w:val="none" w:sz="0" w:space="0" w:color="auto"/>
                      </w:divBdr>
                      <w:divsChild>
                        <w:div w:id="8652868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42001771">
      <w:bodyDiv w:val="1"/>
      <w:marLeft w:val="0"/>
      <w:marRight w:val="0"/>
      <w:marTop w:val="0"/>
      <w:marBottom w:val="0"/>
      <w:divBdr>
        <w:top w:val="none" w:sz="0" w:space="0" w:color="auto"/>
        <w:left w:val="none" w:sz="0" w:space="0" w:color="auto"/>
        <w:bottom w:val="none" w:sz="0" w:space="0" w:color="auto"/>
        <w:right w:val="none" w:sz="0" w:space="0" w:color="auto"/>
      </w:divBdr>
      <w:divsChild>
        <w:div w:id="2016614136">
          <w:marLeft w:val="0"/>
          <w:marRight w:val="0"/>
          <w:marTop w:val="0"/>
          <w:marBottom w:val="0"/>
          <w:divBdr>
            <w:top w:val="none" w:sz="0" w:space="0" w:color="auto"/>
            <w:left w:val="none" w:sz="0" w:space="0" w:color="auto"/>
            <w:bottom w:val="none" w:sz="0" w:space="0" w:color="auto"/>
            <w:right w:val="none" w:sz="0" w:space="0" w:color="auto"/>
          </w:divBdr>
          <w:divsChild>
            <w:div w:id="975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4000">
      <w:bodyDiv w:val="1"/>
      <w:marLeft w:val="0"/>
      <w:marRight w:val="0"/>
      <w:marTop w:val="0"/>
      <w:marBottom w:val="0"/>
      <w:divBdr>
        <w:top w:val="none" w:sz="0" w:space="0" w:color="auto"/>
        <w:left w:val="none" w:sz="0" w:space="0" w:color="auto"/>
        <w:bottom w:val="none" w:sz="0" w:space="0" w:color="auto"/>
        <w:right w:val="none" w:sz="0" w:space="0" w:color="auto"/>
      </w:divBdr>
      <w:divsChild>
        <w:div w:id="2121098722">
          <w:marLeft w:val="0"/>
          <w:marRight w:val="0"/>
          <w:marTop w:val="0"/>
          <w:marBottom w:val="0"/>
          <w:divBdr>
            <w:top w:val="single" w:sz="2" w:space="0" w:color="AAAAAA"/>
            <w:left w:val="single" w:sz="6" w:space="8" w:color="AAAAAA"/>
            <w:bottom w:val="single" w:sz="2" w:space="0" w:color="AAAAAA"/>
            <w:right w:val="single" w:sz="6" w:space="8" w:color="AAAAAA"/>
          </w:divBdr>
          <w:divsChild>
            <w:div w:id="799542286">
              <w:marLeft w:val="0"/>
              <w:marRight w:val="0"/>
              <w:marTop w:val="0"/>
              <w:marBottom w:val="0"/>
              <w:divBdr>
                <w:top w:val="none" w:sz="0" w:space="0" w:color="auto"/>
                <w:left w:val="none" w:sz="0" w:space="0" w:color="auto"/>
                <w:bottom w:val="none" w:sz="0" w:space="0" w:color="auto"/>
                <w:right w:val="none" w:sz="0" w:space="0" w:color="auto"/>
              </w:divBdr>
              <w:divsChild>
                <w:div w:id="1400445138">
                  <w:marLeft w:val="0"/>
                  <w:marRight w:val="0"/>
                  <w:marTop w:val="0"/>
                  <w:marBottom w:val="0"/>
                  <w:divBdr>
                    <w:top w:val="none" w:sz="0" w:space="0" w:color="auto"/>
                    <w:left w:val="none" w:sz="0" w:space="0" w:color="auto"/>
                    <w:bottom w:val="none" w:sz="0" w:space="0" w:color="auto"/>
                    <w:right w:val="none" w:sz="0" w:space="0" w:color="auto"/>
                  </w:divBdr>
                  <w:divsChild>
                    <w:div w:id="659427354">
                      <w:marLeft w:val="0"/>
                      <w:marRight w:val="2550"/>
                      <w:marTop w:val="0"/>
                      <w:marBottom w:val="48"/>
                      <w:divBdr>
                        <w:top w:val="none" w:sz="0" w:space="0" w:color="auto"/>
                        <w:left w:val="none" w:sz="0" w:space="0" w:color="auto"/>
                        <w:bottom w:val="none" w:sz="0" w:space="0" w:color="auto"/>
                        <w:right w:val="none" w:sz="0" w:space="0" w:color="auto"/>
                      </w:divBdr>
                      <w:divsChild>
                        <w:div w:id="20466339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743879">
      <w:bodyDiv w:val="1"/>
      <w:marLeft w:val="0"/>
      <w:marRight w:val="0"/>
      <w:marTop w:val="0"/>
      <w:marBottom w:val="0"/>
      <w:divBdr>
        <w:top w:val="none" w:sz="0" w:space="0" w:color="auto"/>
        <w:left w:val="none" w:sz="0" w:space="0" w:color="auto"/>
        <w:bottom w:val="none" w:sz="0" w:space="0" w:color="auto"/>
        <w:right w:val="none" w:sz="0" w:space="0" w:color="auto"/>
      </w:divBdr>
      <w:divsChild>
        <w:div w:id="1680617520">
          <w:marLeft w:val="0"/>
          <w:marRight w:val="0"/>
          <w:marTop w:val="0"/>
          <w:marBottom w:val="0"/>
          <w:divBdr>
            <w:top w:val="none" w:sz="0" w:space="0" w:color="auto"/>
            <w:left w:val="none" w:sz="0" w:space="0" w:color="auto"/>
            <w:bottom w:val="none" w:sz="0" w:space="0" w:color="auto"/>
            <w:right w:val="none" w:sz="0" w:space="0" w:color="auto"/>
          </w:divBdr>
          <w:divsChild>
            <w:div w:id="108009773">
              <w:marLeft w:val="0"/>
              <w:marRight w:val="0"/>
              <w:marTop w:val="0"/>
              <w:marBottom w:val="0"/>
              <w:divBdr>
                <w:top w:val="none" w:sz="0" w:space="0" w:color="auto"/>
                <w:left w:val="none" w:sz="0" w:space="0" w:color="auto"/>
                <w:bottom w:val="none" w:sz="0" w:space="0" w:color="auto"/>
                <w:right w:val="none" w:sz="0" w:space="0" w:color="auto"/>
              </w:divBdr>
              <w:divsChild>
                <w:div w:id="1349452040">
                  <w:marLeft w:val="0"/>
                  <w:marRight w:val="0"/>
                  <w:marTop w:val="0"/>
                  <w:marBottom w:val="0"/>
                  <w:divBdr>
                    <w:top w:val="none" w:sz="0" w:space="0" w:color="auto"/>
                    <w:left w:val="none" w:sz="0" w:space="0" w:color="auto"/>
                    <w:bottom w:val="none" w:sz="0" w:space="0" w:color="auto"/>
                    <w:right w:val="none" w:sz="0" w:space="0" w:color="auto"/>
                  </w:divBdr>
                  <w:divsChild>
                    <w:div w:id="410853220">
                      <w:marLeft w:val="0"/>
                      <w:marRight w:val="0"/>
                      <w:marTop w:val="0"/>
                      <w:marBottom w:val="0"/>
                      <w:divBdr>
                        <w:top w:val="none" w:sz="0" w:space="0" w:color="auto"/>
                        <w:left w:val="none" w:sz="0" w:space="0" w:color="auto"/>
                        <w:bottom w:val="none" w:sz="0" w:space="0" w:color="auto"/>
                        <w:right w:val="none" w:sz="0" w:space="0" w:color="auto"/>
                      </w:divBdr>
                      <w:divsChild>
                        <w:div w:id="351958839">
                          <w:marLeft w:val="0"/>
                          <w:marRight w:val="0"/>
                          <w:marTop w:val="0"/>
                          <w:marBottom w:val="0"/>
                          <w:divBdr>
                            <w:top w:val="none" w:sz="0" w:space="0" w:color="auto"/>
                            <w:left w:val="none" w:sz="0" w:space="0" w:color="auto"/>
                            <w:bottom w:val="none" w:sz="0" w:space="0" w:color="auto"/>
                            <w:right w:val="none" w:sz="0" w:space="0" w:color="auto"/>
                          </w:divBdr>
                          <w:divsChild>
                            <w:div w:id="1160005587">
                              <w:marLeft w:val="0"/>
                              <w:marRight w:val="0"/>
                              <w:marTop w:val="0"/>
                              <w:marBottom w:val="0"/>
                              <w:divBdr>
                                <w:top w:val="none" w:sz="0" w:space="0" w:color="auto"/>
                                <w:left w:val="none" w:sz="0" w:space="0" w:color="auto"/>
                                <w:bottom w:val="none" w:sz="0" w:space="0" w:color="auto"/>
                                <w:right w:val="none" w:sz="0" w:space="0" w:color="auto"/>
                              </w:divBdr>
                              <w:divsChild>
                                <w:div w:id="722875611">
                                  <w:marLeft w:val="0"/>
                                  <w:marRight w:val="0"/>
                                  <w:marTop w:val="0"/>
                                  <w:marBottom w:val="0"/>
                                  <w:divBdr>
                                    <w:top w:val="none" w:sz="0" w:space="0" w:color="auto"/>
                                    <w:left w:val="none" w:sz="0" w:space="0" w:color="auto"/>
                                    <w:bottom w:val="none" w:sz="0" w:space="0" w:color="auto"/>
                                    <w:right w:val="none" w:sz="0" w:space="0" w:color="auto"/>
                                  </w:divBdr>
                                  <w:divsChild>
                                    <w:div w:id="1988901923">
                                      <w:marLeft w:val="0"/>
                                      <w:marRight w:val="0"/>
                                      <w:marTop w:val="0"/>
                                      <w:marBottom w:val="0"/>
                                      <w:divBdr>
                                        <w:top w:val="none" w:sz="0" w:space="0" w:color="auto"/>
                                        <w:left w:val="none" w:sz="0" w:space="0" w:color="auto"/>
                                        <w:bottom w:val="none" w:sz="0" w:space="0" w:color="auto"/>
                                        <w:right w:val="none" w:sz="0" w:space="0" w:color="auto"/>
                                      </w:divBdr>
                                      <w:divsChild>
                                        <w:div w:id="11159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209755">
      <w:bodyDiv w:val="1"/>
      <w:marLeft w:val="0"/>
      <w:marRight w:val="0"/>
      <w:marTop w:val="0"/>
      <w:marBottom w:val="0"/>
      <w:divBdr>
        <w:top w:val="none" w:sz="0" w:space="0" w:color="auto"/>
        <w:left w:val="none" w:sz="0" w:space="0" w:color="auto"/>
        <w:bottom w:val="none" w:sz="0" w:space="0" w:color="auto"/>
        <w:right w:val="none" w:sz="0" w:space="0" w:color="auto"/>
      </w:divBdr>
      <w:divsChild>
        <w:div w:id="1691376911">
          <w:marLeft w:val="0"/>
          <w:marRight w:val="0"/>
          <w:marTop w:val="150"/>
          <w:marBottom w:val="0"/>
          <w:divBdr>
            <w:top w:val="none" w:sz="0" w:space="0" w:color="auto"/>
            <w:left w:val="none" w:sz="0" w:space="0" w:color="auto"/>
            <w:bottom w:val="none" w:sz="0" w:space="0" w:color="auto"/>
            <w:right w:val="none" w:sz="0" w:space="0" w:color="auto"/>
          </w:divBdr>
          <w:divsChild>
            <w:div w:id="103355336">
              <w:marLeft w:val="2"/>
              <w:marRight w:val="2"/>
              <w:marTop w:val="0"/>
              <w:marBottom w:val="0"/>
              <w:divBdr>
                <w:top w:val="none" w:sz="0" w:space="0" w:color="auto"/>
                <w:left w:val="none" w:sz="0" w:space="0" w:color="auto"/>
                <w:bottom w:val="none" w:sz="0" w:space="0" w:color="auto"/>
                <w:right w:val="none" w:sz="0" w:space="0" w:color="auto"/>
              </w:divBdr>
              <w:divsChild>
                <w:div w:id="2140419456">
                  <w:marLeft w:val="0"/>
                  <w:marRight w:val="0"/>
                  <w:marTop w:val="0"/>
                  <w:marBottom w:val="0"/>
                  <w:divBdr>
                    <w:top w:val="none" w:sz="0" w:space="0" w:color="auto"/>
                    <w:left w:val="none" w:sz="0" w:space="0" w:color="auto"/>
                    <w:bottom w:val="none" w:sz="0" w:space="0" w:color="auto"/>
                    <w:right w:val="none" w:sz="0" w:space="0" w:color="auto"/>
                  </w:divBdr>
                  <w:divsChild>
                    <w:div w:id="2044404191">
                      <w:marLeft w:val="0"/>
                      <w:marRight w:val="0"/>
                      <w:marTop w:val="0"/>
                      <w:marBottom w:val="0"/>
                      <w:divBdr>
                        <w:top w:val="none" w:sz="0" w:space="0" w:color="auto"/>
                        <w:left w:val="none" w:sz="0" w:space="0" w:color="auto"/>
                        <w:bottom w:val="none" w:sz="0" w:space="0" w:color="auto"/>
                        <w:right w:val="none" w:sz="0" w:space="0" w:color="auto"/>
                      </w:divBdr>
                      <w:divsChild>
                        <w:div w:id="278222033">
                          <w:marLeft w:val="0"/>
                          <w:marRight w:val="0"/>
                          <w:marTop w:val="0"/>
                          <w:marBottom w:val="0"/>
                          <w:divBdr>
                            <w:top w:val="none" w:sz="0" w:space="0" w:color="auto"/>
                            <w:left w:val="none" w:sz="0" w:space="0" w:color="auto"/>
                            <w:bottom w:val="none" w:sz="0" w:space="0" w:color="auto"/>
                            <w:right w:val="none" w:sz="0" w:space="0" w:color="auto"/>
                          </w:divBdr>
                          <w:divsChild>
                            <w:div w:id="1305501546">
                              <w:marLeft w:val="0"/>
                              <w:marRight w:val="0"/>
                              <w:marTop w:val="0"/>
                              <w:marBottom w:val="0"/>
                              <w:divBdr>
                                <w:top w:val="none" w:sz="0" w:space="0" w:color="auto"/>
                                <w:left w:val="none" w:sz="0" w:space="0" w:color="auto"/>
                                <w:bottom w:val="none" w:sz="0" w:space="0" w:color="auto"/>
                                <w:right w:val="none" w:sz="0" w:space="0" w:color="auto"/>
                              </w:divBdr>
                              <w:divsChild>
                                <w:div w:id="113670384">
                                  <w:marLeft w:val="0"/>
                                  <w:marRight w:val="0"/>
                                  <w:marTop w:val="0"/>
                                  <w:marBottom w:val="0"/>
                                  <w:divBdr>
                                    <w:top w:val="none" w:sz="0" w:space="0" w:color="auto"/>
                                    <w:left w:val="none" w:sz="0" w:space="0" w:color="auto"/>
                                    <w:bottom w:val="none" w:sz="0" w:space="0" w:color="auto"/>
                                    <w:right w:val="none" w:sz="0" w:space="0" w:color="auto"/>
                                  </w:divBdr>
                                  <w:divsChild>
                                    <w:div w:id="714353630">
                                      <w:marLeft w:val="0"/>
                                      <w:marRight w:val="0"/>
                                      <w:marTop w:val="0"/>
                                      <w:marBottom w:val="0"/>
                                      <w:divBdr>
                                        <w:top w:val="none" w:sz="0" w:space="0" w:color="auto"/>
                                        <w:left w:val="none" w:sz="0" w:space="0" w:color="auto"/>
                                        <w:bottom w:val="none" w:sz="0" w:space="0" w:color="auto"/>
                                        <w:right w:val="none" w:sz="0" w:space="0" w:color="auto"/>
                                      </w:divBdr>
                                      <w:divsChild>
                                        <w:div w:id="1749689518">
                                          <w:marLeft w:val="0"/>
                                          <w:marRight w:val="0"/>
                                          <w:marTop w:val="0"/>
                                          <w:marBottom w:val="0"/>
                                          <w:divBdr>
                                            <w:top w:val="none" w:sz="0" w:space="0" w:color="auto"/>
                                            <w:left w:val="none" w:sz="0" w:space="0" w:color="auto"/>
                                            <w:bottom w:val="none" w:sz="0" w:space="0" w:color="auto"/>
                                            <w:right w:val="none" w:sz="0" w:space="0" w:color="auto"/>
                                          </w:divBdr>
                                          <w:divsChild>
                                            <w:div w:id="1694727855">
                                              <w:marLeft w:val="0"/>
                                              <w:marRight w:val="0"/>
                                              <w:marTop w:val="0"/>
                                              <w:marBottom w:val="0"/>
                                              <w:divBdr>
                                                <w:top w:val="none" w:sz="0" w:space="0" w:color="auto"/>
                                                <w:left w:val="none" w:sz="0" w:space="0" w:color="auto"/>
                                                <w:bottom w:val="none" w:sz="0" w:space="0" w:color="auto"/>
                                                <w:right w:val="none" w:sz="0" w:space="0" w:color="auto"/>
                                              </w:divBdr>
                                              <w:divsChild>
                                                <w:div w:id="360321521">
                                                  <w:marLeft w:val="0"/>
                                                  <w:marRight w:val="0"/>
                                                  <w:marTop w:val="0"/>
                                                  <w:marBottom w:val="0"/>
                                                  <w:divBdr>
                                                    <w:top w:val="none" w:sz="0" w:space="0" w:color="auto"/>
                                                    <w:left w:val="none" w:sz="0" w:space="0" w:color="auto"/>
                                                    <w:bottom w:val="none" w:sz="0" w:space="0" w:color="auto"/>
                                                    <w:right w:val="none" w:sz="0" w:space="0" w:color="auto"/>
                                                  </w:divBdr>
                                                </w:div>
                                              </w:divsChild>
                                            </w:div>
                                            <w:div w:id="1184058123">
                                              <w:marLeft w:val="0"/>
                                              <w:marRight w:val="0"/>
                                              <w:marTop w:val="0"/>
                                              <w:marBottom w:val="0"/>
                                              <w:divBdr>
                                                <w:top w:val="none" w:sz="0" w:space="0" w:color="auto"/>
                                                <w:left w:val="none" w:sz="0" w:space="0" w:color="auto"/>
                                                <w:bottom w:val="none" w:sz="0" w:space="0" w:color="auto"/>
                                                <w:right w:val="none" w:sz="0" w:space="0" w:color="auto"/>
                                              </w:divBdr>
                                              <w:divsChild>
                                                <w:div w:id="851646027">
                                                  <w:marLeft w:val="0"/>
                                                  <w:marRight w:val="0"/>
                                                  <w:marTop w:val="0"/>
                                                  <w:marBottom w:val="0"/>
                                                  <w:divBdr>
                                                    <w:top w:val="none" w:sz="0" w:space="0" w:color="auto"/>
                                                    <w:left w:val="none" w:sz="0" w:space="0" w:color="auto"/>
                                                    <w:bottom w:val="none" w:sz="0" w:space="0" w:color="auto"/>
                                                    <w:right w:val="none" w:sz="0" w:space="0" w:color="auto"/>
                                                  </w:divBdr>
                                                </w:div>
                                              </w:divsChild>
                                            </w:div>
                                            <w:div w:id="843670993">
                                              <w:marLeft w:val="0"/>
                                              <w:marRight w:val="0"/>
                                              <w:marTop w:val="0"/>
                                              <w:marBottom w:val="0"/>
                                              <w:divBdr>
                                                <w:top w:val="none" w:sz="0" w:space="0" w:color="auto"/>
                                                <w:left w:val="none" w:sz="0" w:space="0" w:color="auto"/>
                                                <w:bottom w:val="none" w:sz="0" w:space="0" w:color="auto"/>
                                                <w:right w:val="none" w:sz="0" w:space="0" w:color="auto"/>
                                              </w:divBdr>
                                              <w:divsChild>
                                                <w:div w:id="150753397">
                                                  <w:marLeft w:val="0"/>
                                                  <w:marRight w:val="0"/>
                                                  <w:marTop w:val="0"/>
                                                  <w:marBottom w:val="0"/>
                                                  <w:divBdr>
                                                    <w:top w:val="none" w:sz="0" w:space="0" w:color="auto"/>
                                                    <w:left w:val="none" w:sz="0" w:space="0" w:color="auto"/>
                                                    <w:bottom w:val="none" w:sz="0" w:space="0" w:color="auto"/>
                                                    <w:right w:val="none" w:sz="0" w:space="0" w:color="auto"/>
                                                  </w:divBdr>
                                                </w:div>
                                              </w:divsChild>
                                            </w:div>
                                            <w:div w:id="2009357815">
                                              <w:marLeft w:val="0"/>
                                              <w:marRight w:val="0"/>
                                              <w:marTop w:val="0"/>
                                              <w:marBottom w:val="0"/>
                                              <w:divBdr>
                                                <w:top w:val="none" w:sz="0" w:space="0" w:color="auto"/>
                                                <w:left w:val="none" w:sz="0" w:space="0" w:color="auto"/>
                                                <w:bottom w:val="none" w:sz="0" w:space="0" w:color="auto"/>
                                                <w:right w:val="none" w:sz="0" w:space="0" w:color="auto"/>
                                              </w:divBdr>
                                              <w:divsChild>
                                                <w:div w:id="513033367">
                                                  <w:marLeft w:val="0"/>
                                                  <w:marRight w:val="0"/>
                                                  <w:marTop w:val="0"/>
                                                  <w:marBottom w:val="0"/>
                                                  <w:divBdr>
                                                    <w:top w:val="none" w:sz="0" w:space="0" w:color="auto"/>
                                                    <w:left w:val="none" w:sz="0" w:space="0" w:color="auto"/>
                                                    <w:bottom w:val="none" w:sz="0" w:space="0" w:color="auto"/>
                                                    <w:right w:val="none" w:sz="0" w:space="0" w:color="auto"/>
                                                  </w:divBdr>
                                                </w:div>
                                              </w:divsChild>
                                            </w:div>
                                            <w:div w:id="391738926">
                                              <w:marLeft w:val="0"/>
                                              <w:marRight w:val="0"/>
                                              <w:marTop w:val="0"/>
                                              <w:marBottom w:val="0"/>
                                              <w:divBdr>
                                                <w:top w:val="none" w:sz="0" w:space="0" w:color="auto"/>
                                                <w:left w:val="none" w:sz="0" w:space="0" w:color="auto"/>
                                                <w:bottom w:val="none" w:sz="0" w:space="0" w:color="auto"/>
                                                <w:right w:val="none" w:sz="0" w:space="0" w:color="auto"/>
                                              </w:divBdr>
                                              <w:divsChild>
                                                <w:div w:id="18721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427725">
      <w:bodyDiv w:val="1"/>
      <w:marLeft w:val="0"/>
      <w:marRight w:val="0"/>
      <w:marTop w:val="0"/>
      <w:marBottom w:val="0"/>
      <w:divBdr>
        <w:top w:val="none" w:sz="0" w:space="0" w:color="auto"/>
        <w:left w:val="none" w:sz="0" w:space="0" w:color="auto"/>
        <w:bottom w:val="none" w:sz="0" w:space="0" w:color="auto"/>
        <w:right w:val="none" w:sz="0" w:space="0" w:color="auto"/>
      </w:divBdr>
      <w:divsChild>
        <w:div w:id="1205101716">
          <w:marLeft w:val="0"/>
          <w:marRight w:val="0"/>
          <w:marTop w:val="0"/>
          <w:marBottom w:val="0"/>
          <w:divBdr>
            <w:top w:val="none" w:sz="0" w:space="0" w:color="auto"/>
            <w:left w:val="none" w:sz="0" w:space="0" w:color="auto"/>
            <w:bottom w:val="none" w:sz="0" w:space="0" w:color="auto"/>
            <w:right w:val="none" w:sz="0" w:space="0" w:color="auto"/>
          </w:divBdr>
          <w:divsChild>
            <w:div w:id="1258709961">
              <w:marLeft w:val="0"/>
              <w:marRight w:val="0"/>
              <w:marTop w:val="0"/>
              <w:marBottom w:val="0"/>
              <w:divBdr>
                <w:top w:val="none" w:sz="0" w:space="0" w:color="auto"/>
                <w:left w:val="none" w:sz="0" w:space="0" w:color="auto"/>
                <w:bottom w:val="none" w:sz="0" w:space="0" w:color="auto"/>
                <w:right w:val="none" w:sz="0" w:space="0" w:color="auto"/>
              </w:divBdr>
              <w:divsChild>
                <w:div w:id="1893466417">
                  <w:marLeft w:val="0"/>
                  <w:marRight w:val="0"/>
                  <w:marTop w:val="0"/>
                  <w:marBottom w:val="0"/>
                  <w:divBdr>
                    <w:top w:val="none" w:sz="0" w:space="0" w:color="auto"/>
                    <w:left w:val="none" w:sz="0" w:space="0" w:color="auto"/>
                    <w:bottom w:val="none" w:sz="0" w:space="0" w:color="auto"/>
                    <w:right w:val="none" w:sz="0" w:space="0" w:color="auto"/>
                  </w:divBdr>
                  <w:divsChild>
                    <w:div w:id="1066419861">
                      <w:marLeft w:val="0"/>
                      <w:marRight w:val="0"/>
                      <w:marTop w:val="0"/>
                      <w:marBottom w:val="0"/>
                      <w:divBdr>
                        <w:top w:val="none" w:sz="0" w:space="0" w:color="auto"/>
                        <w:left w:val="none" w:sz="0" w:space="0" w:color="auto"/>
                        <w:bottom w:val="none" w:sz="0" w:space="0" w:color="auto"/>
                        <w:right w:val="none" w:sz="0" w:space="0" w:color="auto"/>
                      </w:divBdr>
                      <w:divsChild>
                        <w:div w:id="818113739">
                          <w:marLeft w:val="0"/>
                          <w:marRight w:val="0"/>
                          <w:marTop w:val="0"/>
                          <w:marBottom w:val="0"/>
                          <w:divBdr>
                            <w:top w:val="none" w:sz="0" w:space="0" w:color="auto"/>
                            <w:left w:val="none" w:sz="0" w:space="0" w:color="auto"/>
                            <w:bottom w:val="none" w:sz="0" w:space="0" w:color="auto"/>
                            <w:right w:val="none" w:sz="0" w:space="0" w:color="auto"/>
                          </w:divBdr>
                          <w:divsChild>
                            <w:div w:id="730885409">
                              <w:marLeft w:val="0"/>
                              <w:marRight w:val="0"/>
                              <w:marTop w:val="0"/>
                              <w:marBottom w:val="0"/>
                              <w:divBdr>
                                <w:top w:val="none" w:sz="0" w:space="0" w:color="auto"/>
                                <w:left w:val="none" w:sz="0" w:space="0" w:color="auto"/>
                                <w:bottom w:val="none" w:sz="0" w:space="0" w:color="auto"/>
                                <w:right w:val="none" w:sz="0" w:space="0" w:color="auto"/>
                              </w:divBdr>
                              <w:divsChild>
                                <w:div w:id="1574775165">
                                  <w:marLeft w:val="0"/>
                                  <w:marRight w:val="0"/>
                                  <w:marTop w:val="0"/>
                                  <w:marBottom w:val="0"/>
                                  <w:divBdr>
                                    <w:top w:val="none" w:sz="0" w:space="0" w:color="auto"/>
                                    <w:left w:val="none" w:sz="0" w:space="0" w:color="auto"/>
                                    <w:bottom w:val="none" w:sz="0" w:space="0" w:color="auto"/>
                                    <w:right w:val="none" w:sz="0" w:space="0" w:color="auto"/>
                                  </w:divBdr>
                                  <w:divsChild>
                                    <w:div w:id="1084187681">
                                      <w:marLeft w:val="0"/>
                                      <w:marRight w:val="0"/>
                                      <w:marTop w:val="0"/>
                                      <w:marBottom w:val="0"/>
                                      <w:divBdr>
                                        <w:top w:val="none" w:sz="0" w:space="0" w:color="auto"/>
                                        <w:left w:val="none" w:sz="0" w:space="0" w:color="auto"/>
                                        <w:bottom w:val="none" w:sz="0" w:space="0" w:color="auto"/>
                                        <w:right w:val="none" w:sz="0" w:space="0" w:color="auto"/>
                                      </w:divBdr>
                                      <w:divsChild>
                                        <w:div w:id="210727227">
                                          <w:marLeft w:val="0"/>
                                          <w:marRight w:val="0"/>
                                          <w:marTop w:val="0"/>
                                          <w:marBottom w:val="0"/>
                                          <w:divBdr>
                                            <w:top w:val="none" w:sz="0" w:space="0" w:color="auto"/>
                                            <w:left w:val="none" w:sz="0" w:space="0" w:color="auto"/>
                                            <w:bottom w:val="none" w:sz="0" w:space="0" w:color="auto"/>
                                            <w:right w:val="none" w:sz="0" w:space="0" w:color="auto"/>
                                          </w:divBdr>
                                        </w:div>
                                        <w:div w:id="962153692">
                                          <w:marLeft w:val="0"/>
                                          <w:marRight w:val="0"/>
                                          <w:marTop w:val="0"/>
                                          <w:marBottom w:val="0"/>
                                          <w:divBdr>
                                            <w:top w:val="none" w:sz="0" w:space="0" w:color="auto"/>
                                            <w:left w:val="none" w:sz="0" w:space="0" w:color="auto"/>
                                            <w:bottom w:val="none" w:sz="0" w:space="0" w:color="auto"/>
                                            <w:right w:val="none" w:sz="0" w:space="0" w:color="auto"/>
                                          </w:divBdr>
                                          <w:divsChild>
                                            <w:div w:id="198901925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931820">
      <w:bodyDiv w:val="1"/>
      <w:marLeft w:val="0"/>
      <w:marRight w:val="0"/>
      <w:marTop w:val="0"/>
      <w:marBottom w:val="0"/>
      <w:divBdr>
        <w:top w:val="none" w:sz="0" w:space="0" w:color="auto"/>
        <w:left w:val="none" w:sz="0" w:space="0" w:color="auto"/>
        <w:bottom w:val="none" w:sz="0" w:space="0" w:color="auto"/>
        <w:right w:val="none" w:sz="0" w:space="0" w:color="auto"/>
      </w:divBdr>
      <w:divsChild>
        <w:div w:id="1407344437">
          <w:marLeft w:val="0"/>
          <w:marRight w:val="0"/>
          <w:marTop w:val="0"/>
          <w:marBottom w:val="0"/>
          <w:divBdr>
            <w:top w:val="none" w:sz="0" w:space="0" w:color="auto"/>
            <w:left w:val="none" w:sz="0" w:space="0" w:color="auto"/>
            <w:bottom w:val="none" w:sz="0" w:space="0" w:color="auto"/>
            <w:right w:val="none" w:sz="0" w:space="0" w:color="auto"/>
          </w:divBdr>
          <w:divsChild>
            <w:div w:id="141700298">
              <w:marLeft w:val="210"/>
              <w:marRight w:val="0"/>
              <w:marTop w:val="0"/>
              <w:marBottom w:val="0"/>
              <w:divBdr>
                <w:top w:val="none" w:sz="0" w:space="0" w:color="auto"/>
                <w:left w:val="none" w:sz="0" w:space="0" w:color="auto"/>
                <w:bottom w:val="none" w:sz="0" w:space="0" w:color="auto"/>
                <w:right w:val="none" w:sz="0" w:space="0" w:color="auto"/>
              </w:divBdr>
              <w:divsChild>
                <w:div w:id="254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997">
      <w:bodyDiv w:val="1"/>
      <w:marLeft w:val="0"/>
      <w:marRight w:val="0"/>
      <w:marTop w:val="0"/>
      <w:marBottom w:val="0"/>
      <w:divBdr>
        <w:top w:val="none" w:sz="0" w:space="0" w:color="auto"/>
        <w:left w:val="none" w:sz="0" w:space="0" w:color="auto"/>
        <w:bottom w:val="none" w:sz="0" w:space="0" w:color="auto"/>
        <w:right w:val="none" w:sz="0" w:space="0" w:color="auto"/>
      </w:divBdr>
      <w:divsChild>
        <w:div w:id="381028790">
          <w:marLeft w:val="0"/>
          <w:marRight w:val="0"/>
          <w:marTop w:val="0"/>
          <w:marBottom w:val="0"/>
          <w:divBdr>
            <w:top w:val="none" w:sz="0" w:space="0" w:color="auto"/>
            <w:left w:val="none" w:sz="0" w:space="0" w:color="auto"/>
            <w:bottom w:val="none" w:sz="0" w:space="0" w:color="auto"/>
            <w:right w:val="none" w:sz="0" w:space="0" w:color="auto"/>
          </w:divBdr>
          <w:divsChild>
            <w:div w:id="1104303394">
              <w:marLeft w:val="0"/>
              <w:marRight w:val="0"/>
              <w:marTop w:val="0"/>
              <w:marBottom w:val="0"/>
              <w:divBdr>
                <w:top w:val="none" w:sz="0" w:space="0" w:color="auto"/>
                <w:left w:val="none" w:sz="0" w:space="0" w:color="auto"/>
                <w:bottom w:val="none" w:sz="0" w:space="0" w:color="auto"/>
                <w:right w:val="none" w:sz="0" w:space="0" w:color="auto"/>
              </w:divBdr>
              <w:divsChild>
                <w:div w:id="411316212">
                  <w:marLeft w:val="0"/>
                  <w:marRight w:val="0"/>
                  <w:marTop w:val="0"/>
                  <w:marBottom w:val="0"/>
                  <w:divBdr>
                    <w:top w:val="none" w:sz="0" w:space="0" w:color="auto"/>
                    <w:left w:val="none" w:sz="0" w:space="0" w:color="auto"/>
                    <w:bottom w:val="none" w:sz="0" w:space="0" w:color="auto"/>
                    <w:right w:val="none" w:sz="0" w:space="0" w:color="auto"/>
                  </w:divBdr>
                  <w:divsChild>
                    <w:div w:id="976495646">
                      <w:marLeft w:val="0"/>
                      <w:marRight w:val="0"/>
                      <w:marTop w:val="0"/>
                      <w:marBottom w:val="0"/>
                      <w:divBdr>
                        <w:top w:val="none" w:sz="0" w:space="0" w:color="auto"/>
                        <w:left w:val="none" w:sz="0" w:space="0" w:color="auto"/>
                        <w:bottom w:val="none" w:sz="0" w:space="0" w:color="auto"/>
                        <w:right w:val="none" w:sz="0" w:space="0" w:color="auto"/>
                      </w:divBdr>
                      <w:divsChild>
                        <w:div w:id="1456751052">
                          <w:marLeft w:val="0"/>
                          <w:marRight w:val="0"/>
                          <w:marTop w:val="0"/>
                          <w:marBottom w:val="0"/>
                          <w:divBdr>
                            <w:top w:val="none" w:sz="0" w:space="0" w:color="auto"/>
                            <w:left w:val="none" w:sz="0" w:space="0" w:color="auto"/>
                            <w:bottom w:val="single" w:sz="4" w:space="13" w:color="CCCCCC"/>
                            <w:right w:val="none" w:sz="0" w:space="0" w:color="auto"/>
                          </w:divBdr>
                          <w:divsChild>
                            <w:div w:id="17491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520330">
      <w:bodyDiv w:val="1"/>
      <w:marLeft w:val="0"/>
      <w:marRight w:val="0"/>
      <w:marTop w:val="0"/>
      <w:marBottom w:val="0"/>
      <w:divBdr>
        <w:top w:val="none" w:sz="0" w:space="0" w:color="auto"/>
        <w:left w:val="none" w:sz="0" w:space="0" w:color="auto"/>
        <w:bottom w:val="none" w:sz="0" w:space="0" w:color="auto"/>
        <w:right w:val="none" w:sz="0" w:space="0" w:color="auto"/>
      </w:divBdr>
      <w:divsChild>
        <w:div w:id="275018097">
          <w:marLeft w:val="0"/>
          <w:marRight w:val="0"/>
          <w:marTop w:val="0"/>
          <w:marBottom w:val="0"/>
          <w:divBdr>
            <w:top w:val="none" w:sz="0" w:space="0" w:color="auto"/>
            <w:left w:val="none" w:sz="0" w:space="0" w:color="auto"/>
            <w:bottom w:val="none" w:sz="0" w:space="0" w:color="auto"/>
            <w:right w:val="none" w:sz="0" w:space="0" w:color="auto"/>
          </w:divBdr>
          <w:divsChild>
            <w:div w:id="745491755">
              <w:marLeft w:val="0"/>
              <w:marRight w:val="0"/>
              <w:marTop w:val="0"/>
              <w:marBottom w:val="0"/>
              <w:divBdr>
                <w:top w:val="none" w:sz="0" w:space="0" w:color="auto"/>
                <w:left w:val="none" w:sz="0" w:space="0" w:color="auto"/>
                <w:bottom w:val="none" w:sz="0" w:space="0" w:color="auto"/>
                <w:right w:val="none" w:sz="0" w:space="0" w:color="auto"/>
              </w:divBdr>
              <w:divsChild>
                <w:div w:id="1109205392">
                  <w:marLeft w:val="0"/>
                  <w:marRight w:val="0"/>
                  <w:marTop w:val="0"/>
                  <w:marBottom w:val="0"/>
                  <w:divBdr>
                    <w:top w:val="none" w:sz="0" w:space="0" w:color="auto"/>
                    <w:left w:val="none" w:sz="0" w:space="0" w:color="auto"/>
                    <w:bottom w:val="none" w:sz="0" w:space="0" w:color="auto"/>
                    <w:right w:val="none" w:sz="0" w:space="0" w:color="auto"/>
                  </w:divBdr>
                  <w:divsChild>
                    <w:div w:id="1666471513">
                      <w:marLeft w:val="0"/>
                      <w:marRight w:val="0"/>
                      <w:marTop w:val="300"/>
                      <w:marBottom w:val="600"/>
                      <w:divBdr>
                        <w:top w:val="none" w:sz="0" w:space="0" w:color="auto"/>
                        <w:left w:val="none" w:sz="0" w:space="0" w:color="auto"/>
                        <w:bottom w:val="none" w:sz="0" w:space="0" w:color="auto"/>
                        <w:right w:val="none" w:sz="0" w:space="0" w:color="auto"/>
                      </w:divBdr>
                      <w:divsChild>
                        <w:div w:id="208034037">
                          <w:marLeft w:val="0"/>
                          <w:marRight w:val="0"/>
                          <w:marTop w:val="0"/>
                          <w:marBottom w:val="0"/>
                          <w:divBdr>
                            <w:top w:val="none" w:sz="0" w:space="0" w:color="auto"/>
                            <w:left w:val="none" w:sz="0" w:space="0" w:color="auto"/>
                            <w:bottom w:val="none" w:sz="0" w:space="0" w:color="auto"/>
                            <w:right w:val="none" w:sz="0" w:space="0" w:color="auto"/>
                          </w:divBdr>
                          <w:divsChild>
                            <w:div w:id="77601614">
                              <w:marLeft w:val="0"/>
                              <w:marRight w:val="0"/>
                              <w:marTop w:val="0"/>
                              <w:marBottom w:val="0"/>
                              <w:divBdr>
                                <w:top w:val="none" w:sz="0" w:space="0" w:color="auto"/>
                                <w:left w:val="none" w:sz="0" w:space="0" w:color="auto"/>
                                <w:bottom w:val="none" w:sz="0" w:space="0" w:color="auto"/>
                                <w:right w:val="none" w:sz="0" w:space="0" w:color="auto"/>
                              </w:divBdr>
                              <w:divsChild>
                                <w:div w:id="364797762">
                                  <w:marLeft w:val="0"/>
                                  <w:marRight w:val="0"/>
                                  <w:marTop w:val="0"/>
                                  <w:marBottom w:val="0"/>
                                  <w:divBdr>
                                    <w:top w:val="none" w:sz="0" w:space="0" w:color="auto"/>
                                    <w:left w:val="none" w:sz="0" w:space="0" w:color="auto"/>
                                    <w:bottom w:val="none" w:sz="0" w:space="0" w:color="auto"/>
                                    <w:right w:val="none" w:sz="0" w:space="0" w:color="auto"/>
                                  </w:divBdr>
                                  <w:divsChild>
                                    <w:div w:id="499976890">
                                      <w:marLeft w:val="0"/>
                                      <w:marRight w:val="0"/>
                                      <w:marTop w:val="150"/>
                                      <w:marBottom w:val="0"/>
                                      <w:divBdr>
                                        <w:top w:val="none" w:sz="0" w:space="0" w:color="auto"/>
                                        <w:left w:val="none" w:sz="0" w:space="0" w:color="auto"/>
                                        <w:bottom w:val="none" w:sz="0" w:space="0" w:color="auto"/>
                                        <w:right w:val="none" w:sz="0" w:space="0" w:color="auto"/>
                                      </w:divBdr>
                                      <w:divsChild>
                                        <w:div w:id="160389924">
                                          <w:marLeft w:val="0"/>
                                          <w:marRight w:val="0"/>
                                          <w:marTop w:val="0"/>
                                          <w:marBottom w:val="0"/>
                                          <w:divBdr>
                                            <w:top w:val="none" w:sz="0" w:space="0" w:color="auto"/>
                                            <w:left w:val="none" w:sz="0" w:space="0" w:color="auto"/>
                                            <w:bottom w:val="none" w:sz="0" w:space="0" w:color="auto"/>
                                            <w:right w:val="none" w:sz="0" w:space="0" w:color="auto"/>
                                          </w:divBdr>
                                          <w:divsChild>
                                            <w:div w:id="1958641306">
                                              <w:marLeft w:val="0"/>
                                              <w:marRight w:val="0"/>
                                              <w:marTop w:val="0"/>
                                              <w:marBottom w:val="0"/>
                                              <w:divBdr>
                                                <w:top w:val="none" w:sz="0" w:space="0" w:color="auto"/>
                                                <w:left w:val="none" w:sz="0" w:space="0" w:color="auto"/>
                                                <w:bottom w:val="none" w:sz="0" w:space="0" w:color="auto"/>
                                                <w:right w:val="none" w:sz="0" w:space="0" w:color="auto"/>
                                              </w:divBdr>
                                              <w:divsChild>
                                                <w:div w:id="17828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590123">
      <w:bodyDiv w:val="1"/>
      <w:marLeft w:val="0"/>
      <w:marRight w:val="0"/>
      <w:marTop w:val="0"/>
      <w:marBottom w:val="0"/>
      <w:divBdr>
        <w:top w:val="none" w:sz="0" w:space="0" w:color="auto"/>
        <w:left w:val="none" w:sz="0" w:space="0" w:color="auto"/>
        <w:bottom w:val="none" w:sz="0" w:space="0" w:color="auto"/>
        <w:right w:val="none" w:sz="0" w:space="0" w:color="auto"/>
      </w:divBdr>
      <w:divsChild>
        <w:div w:id="1741904753">
          <w:marLeft w:val="0"/>
          <w:marRight w:val="0"/>
          <w:marTop w:val="0"/>
          <w:marBottom w:val="0"/>
          <w:divBdr>
            <w:top w:val="none" w:sz="0" w:space="0" w:color="auto"/>
            <w:left w:val="none" w:sz="0" w:space="0" w:color="auto"/>
            <w:bottom w:val="none" w:sz="0" w:space="0" w:color="auto"/>
            <w:right w:val="none" w:sz="0" w:space="0" w:color="auto"/>
          </w:divBdr>
          <w:divsChild>
            <w:div w:id="880704947">
              <w:marLeft w:val="0"/>
              <w:marRight w:val="0"/>
              <w:marTop w:val="0"/>
              <w:marBottom w:val="0"/>
              <w:divBdr>
                <w:top w:val="none" w:sz="0" w:space="0" w:color="auto"/>
                <w:left w:val="none" w:sz="0" w:space="0" w:color="auto"/>
                <w:bottom w:val="none" w:sz="0" w:space="0" w:color="auto"/>
                <w:right w:val="none" w:sz="0" w:space="0" w:color="auto"/>
              </w:divBdr>
              <w:divsChild>
                <w:div w:id="1779908073">
                  <w:marLeft w:val="0"/>
                  <w:marRight w:val="0"/>
                  <w:marTop w:val="0"/>
                  <w:marBottom w:val="0"/>
                  <w:divBdr>
                    <w:top w:val="none" w:sz="0" w:space="0" w:color="auto"/>
                    <w:left w:val="none" w:sz="0" w:space="0" w:color="auto"/>
                    <w:bottom w:val="none" w:sz="0" w:space="0" w:color="auto"/>
                    <w:right w:val="none" w:sz="0" w:space="0" w:color="auto"/>
                  </w:divBdr>
                  <w:divsChild>
                    <w:div w:id="18366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7243">
          <w:marLeft w:val="0"/>
          <w:marRight w:val="0"/>
          <w:marTop w:val="0"/>
          <w:marBottom w:val="0"/>
          <w:divBdr>
            <w:top w:val="none" w:sz="0" w:space="0" w:color="auto"/>
            <w:left w:val="none" w:sz="0" w:space="0" w:color="auto"/>
            <w:bottom w:val="none" w:sz="0" w:space="0" w:color="auto"/>
            <w:right w:val="none" w:sz="0" w:space="0" w:color="auto"/>
          </w:divBdr>
          <w:divsChild>
            <w:div w:id="930940329">
              <w:marLeft w:val="0"/>
              <w:marRight w:val="0"/>
              <w:marTop w:val="0"/>
              <w:marBottom w:val="0"/>
              <w:divBdr>
                <w:top w:val="none" w:sz="0" w:space="0" w:color="auto"/>
                <w:left w:val="none" w:sz="0" w:space="0" w:color="auto"/>
                <w:bottom w:val="none" w:sz="0" w:space="0" w:color="auto"/>
                <w:right w:val="none" w:sz="0" w:space="0" w:color="auto"/>
              </w:divBdr>
              <w:divsChild>
                <w:div w:id="1223442308">
                  <w:marLeft w:val="0"/>
                  <w:marRight w:val="0"/>
                  <w:marTop w:val="0"/>
                  <w:marBottom w:val="0"/>
                  <w:divBdr>
                    <w:top w:val="none" w:sz="0" w:space="0" w:color="auto"/>
                    <w:left w:val="none" w:sz="0" w:space="0" w:color="auto"/>
                    <w:bottom w:val="none" w:sz="0" w:space="0" w:color="auto"/>
                    <w:right w:val="none" w:sz="0" w:space="0" w:color="auto"/>
                  </w:divBdr>
                  <w:divsChild>
                    <w:div w:id="1170832184">
                      <w:marLeft w:val="0"/>
                      <w:marRight w:val="0"/>
                      <w:marTop w:val="0"/>
                      <w:marBottom w:val="0"/>
                      <w:divBdr>
                        <w:top w:val="none" w:sz="0" w:space="0" w:color="auto"/>
                        <w:left w:val="none" w:sz="0" w:space="0" w:color="auto"/>
                        <w:bottom w:val="none" w:sz="0" w:space="0" w:color="auto"/>
                        <w:right w:val="none" w:sz="0" w:space="0" w:color="auto"/>
                      </w:divBdr>
                      <w:divsChild>
                        <w:div w:id="1383212156">
                          <w:marLeft w:val="0"/>
                          <w:marRight w:val="0"/>
                          <w:marTop w:val="0"/>
                          <w:marBottom w:val="0"/>
                          <w:divBdr>
                            <w:top w:val="none" w:sz="0" w:space="0" w:color="auto"/>
                            <w:left w:val="none" w:sz="0" w:space="0" w:color="auto"/>
                            <w:bottom w:val="none" w:sz="0" w:space="0" w:color="auto"/>
                            <w:right w:val="none" w:sz="0" w:space="0" w:color="auto"/>
                          </w:divBdr>
                          <w:divsChild>
                            <w:div w:id="883447356">
                              <w:marLeft w:val="0"/>
                              <w:marRight w:val="0"/>
                              <w:marTop w:val="0"/>
                              <w:marBottom w:val="0"/>
                              <w:divBdr>
                                <w:top w:val="none" w:sz="0" w:space="0" w:color="auto"/>
                                <w:left w:val="none" w:sz="0" w:space="0" w:color="auto"/>
                                <w:bottom w:val="none" w:sz="0" w:space="0" w:color="auto"/>
                                <w:right w:val="none" w:sz="0" w:space="0" w:color="auto"/>
                              </w:divBdr>
                              <w:divsChild>
                                <w:div w:id="452141713">
                                  <w:marLeft w:val="0"/>
                                  <w:marRight w:val="0"/>
                                  <w:marTop w:val="0"/>
                                  <w:marBottom w:val="0"/>
                                  <w:divBdr>
                                    <w:top w:val="none" w:sz="0" w:space="0" w:color="auto"/>
                                    <w:left w:val="none" w:sz="0" w:space="0" w:color="auto"/>
                                    <w:bottom w:val="none" w:sz="0" w:space="0" w:color="auto"/>
                                    <w:right w:val="none" w:sz="0" w:space="0" w:color="auto"/>
                                  </w:divBdr>
                                  <w:divsChild>
                                    <w:div w:id="1024019495">
                                      <w:marLeft w:val="0"/>
                                      <w:marRight w:val="0"/>
                                      <w:marTop w:val="0"/>
                                      <w:marBottom w:val="0"/>
                                      <w:divBdr>
                                        <w:top w:val="none" w:sz="0" w:space="0" w:color="auto"/>
                                        <w:left w:val="none" w:sz="0" w:space="0" w:color="auto"/>
                                        <w:bottom w:val="none" w:sz="0" w:space="0" w:color="auto"/>
                                        <w:right w:val="none" w:sz="0" w:space="0" w:color="auto"/>
                                      </w:divBdr>
                                      <w:divsChild>
                                        <w:div w:id="1747876077">
                                          <w:marLeft w:val="0"/>
                                          <w:marRight w:val="0"/>
                                          <w:marTop w:val="0"/>
                                          <w:marBottom w:val="0"/>
                                          <w:divBdr>
                                            <w:top w:val="none" w:sz="0" w:space="0" w:color="auto"/>
                                            <w:left w:val="none" w:sz="0" w:space="0" w:color="auto"/>
                                            <w:bottom w:val="none" w:sz="0" w:space="0" w:color="auto"/>
                                            <w:right w:val="none" w:sz="0" w:space="0" w:color="auto"/>
                                          </w:divBdr>
                                          <w:divsChild>
                                            <w:div w:id="4587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941765">
      <w:bodyDiv w:val="1"/>
      <w:marLeft w:val="0"/>
      <w:marRight w:val="0"/>
      <w:marTop w:val="0"/>
      <w:marBottom w:val="0"/>
      <w:divBdr>
        <w:top w:val="none" w:sz="0" w:space="0" w:color="auto"/>
        <w:left w:val="none" w:sz="0" w:space="0" w:color="auto"/>
        <w:bottom w:val="none" w:sz="0" w:space="0" w:color="auto"/>
        <w:right w:val="none" w:sz="0" w:space="0" w:color="auto"/>
      </w:divBdr>
      <w:divsChild>
        <w:div w:id="1401369745">
          <w:marLeft w:val="0"/>
          <w:marRight w:val="0"/>
          <w:marTop w:val="0"/>
          <w:marBottom w:val="0"/>
          <w:divBdr>
            <w:top w:val="single" w:sz="6" w:space="0" w:color="0E477A"/>
            <w:left w:val="single" w:sz="6" w:space="0" w:color="0E477A"/>
            <w:bottom w:val="single" w:sz="6" w:space="0" w:color="0E477A"/>
            <w:right w:val="single" w:sz="6" w:space="0" w:color="0E477A"/>
          </w:divBdr>
          <w:divsChild>
            <w:div w:id="484275998">
              <w:marLeft w:val="0"/>
              <w:marRight w:val="0"/>
              <w:marTop w:val="0"/>
              <w:marBottom w:val="0"/>
              <w:divBdr>
                <w:top w:val="none" w:sz="0" w:space="0" w:color="auto"/>
                <w:left w:val="none" w:sz="0" w:space="0" w:color="auto"/>
                <w:bottom w:val="none" w:sz="0" w:space="0" w:color="auto"/>
                <w:right w:val="none" w:sz="0" w:space="0" w:color="auto"/>
              </w:divBdr>
              <w:divsChild>
                <w:div w:id="28648177">
                  <w:marLeft w:val="75"/>
                  <w:marRight w:val="0"/>
                  <w:marTop w:val="0"/>
                  <w:marBottom w:val="0"/>
                  <w:divBdr>
                    <w:top w:val="none" w:sz="0" w:space="0" w:color="auto"/>
                    <w:left w:val="none" w:sz="0" w:space="0" w:color="auto"/>
                    <w:bottom w:val="none" w:sz="0" w:space="0" w:color="auto"/>
                    <w:right w:val="none" w:sz="0" w:space="0" w:color="auto"/>
                  </w:divBdr>
                  <w:divsChild>
                    <w:div w:id="2046565561">
                      <w:marLeft w:val="0"/>
                      <w:marRight w:val="0"/>
                      <w:marTop w:val="0"/>
                      <w:marBottom w:val="0"/>
                      <w:divBdr>
                        <w:top w:val="none" w:sz="0" w:space="0" w:color="auto"/>
                        <w:left w:val="none" w:sz="0" w:space="0" w:color="auto"/>
                        <w:bottom w:val="none" w:sz="0" w:space="0" w:color="auto"/>
                        <w:right w:val="none" w:sz="0" w:space="0" w:color="auto"/>
                      </w:divBdr>
                      <w:divsChild>
                        <w:div w:id="1729107519">
                          <w:marLeft w:val="0"/>
                          <w:marRight w:val="225"/>
                          <w:marTop w:val="150"/>
                          <w:marBottom w:val="150"/>
                          <w:divBdr>
                            <w:top w:val="single" w:sz="6" w:space="0" w:color="CCCCCC"/>
                            <w:left w:val="single" w:sz="6" w:space="8" w:color="CCCCCC"/>
                            <w:bottom w:val="single" w:sz="6" w:space="8" w:color="CCCCCC"/>
                            <w:right w:val="single" w:sz="6" w:space="8" w:color="CCCCCC"/>
                          </w:divBdr>
                          <w:divsChild>
                            <w:div w:id="51347181">
                              <w:marLeft w:val="-150"/>
                              <w:marRight w:val="0"/>
                              <w:marTop w:val="0"/>
                              <w:marBottom w:val="0"/>
                              <w:divBdr>
                                <w:top w:val="none" w:sz="0" w:space="0" w:color="auto"/>
                                <w:left w:val="none" w:sz="0" w:space="0" w:color="auto"/>
                                <w:bottom w:val="none" w:sz="0" w:space="0" w:color="auto"/>
                                <w:right w:val="none" w:sz="0" w:space="0" w:color="auto"/>
                              </w:divBdr>
                              <w:divsChild>
                                <w:div w:id="404379647">
                                  <w:marLeft w:val="0"/>
                                  <w:marRight w:val="0"/>
                                  <w:marTop w:val="0"/>
                                  <w:marBottom w:val="0"/>
                                  <w:divBdr>
                                    <w:top w:val="none" w:sz="0" w:space="0" w:color="auto"/>
                                    <w:left w:val="none" w:sz="0" w:space="0" w:color="auto"/>
                                    <w:bottom w:val="none" w:sz="0" w:space="0" w:color="auto"/>
                                    <w:right w:val="none" w:sz="0" w:space="0" w:color="auto"/>
                                  </w:divBdr>
                                </w:div>
                              </w:divsChild>
                            </w:div>
                            <w:div w:id="61949558">
                              <w:marLeft w:val="0"/>
                              <w:marRight w:val="0"/>
                              <w:marTop w:val="300"/>
                              <w:marBottom w:val="300"/>
                              <w:divBdr>
                                <w:top w:val="none" w:sz="0" w:space="0" w:color="auto"/>
                                <w:left w:val="none" w:sz="0" w:space="0" w:color="auto"/>
                                <w:bottom w:val="none" w:sz="0" w:space="0" w:color="auto"/>
                                <w:right w:val="none" w:sz="0" w:space="0" w:color="auto"/>
                              </w:divBdr>
                            </w:div>
                            <w:div w:id="1932083699">
                              <w:marLeft w:val="-150"/>
                              <w:marRight w:val="0"/>
                              <w:marTop w:val="0"/>
                              <w:marBottom w:val="0"/>
                              <w:divBdr>
                                <w:top w:val="none" w:sz="0" w:space="0" w:color="auto"/>
                                <w:left w:val="none" w:sz="0" w:space="0" w:color="auto"/>
                                <w:bottom w:val="none" w:sz="0" w:space="0" w:color="auto"/>
                                <w:right w:val="none" w:sz="0" w:space="0" w:color="auto"/>
                              </w:divBdr>
                              <w:divsChild>
                                <w:div w:id="706947605">
                                  <w:marLeft w:val="0"/>
                                  <w:marRight w:val="0"/>
                                  <w:marTop w:val="0"/>
                                  <w:marBottom w:val="0"/>
                                  <w:divBdr>
                                    <w:top w:val="none" w:sz="0" w:space="0" w:color="auto"/>
                                    <w:left w:val="none" w:sz="0" w:space="0" w:color="auto"/>
                                    <w:bottom w:val="none" w:sz="0" w:space="0" w:color="auto"/>
                                    <w:right w:val="none" w:sz="0" w:space="0" w:color="auto"/>
                                  </w:divBdr>
                                </w:div>
                              </w:divsChild>
                            </w:div>
                            <w:div w:id="1350790171">
                              <w:marLeft w:val="-150"/>
                              <w:marRight w:val="0"/>
                              <w:marTop w:val="0"/>
                              <w:marBottom w:val="0"/>
                              <w:divBdr>
                                <w:top w:val="none" w:sz="0" w:space="0" w:color="auto"/>
                                <w:left w:val="none" w:sz="0" w:space="0" w:color="auto"/>
                                <w:bottom w:val="none" w:sz="0" w:space="0" w:color="auto"/>
                                <w:right w:val="none" w:sz="0" w:space="0" w:color="auto"/>
                              </w:divBdr>
                              <w:divsChild>
                                <w:div w:id="714963972">
                                  <w:marLeft w:val="0"/>
                                  <w:marRight w:val="0"/>
                                  <w:marTop w:val="0"/>
                                  <w:marBottom w:val="0"/>
                                  <w:divBdr>
                                    <w:top w:val="none" w:sz="0" w:space="0" w:color="auto"/>
                                    <w:left w:val="none" w:sz="0" w:space="0" w:color="auto"/>
                                    <w:bottom w:val="none" w:sz="0" w:space="0" w:color="auto"/>
                                    <w:right w:val="none" w:sz="0" w:space="0" w:color="auto"/>
                                  </w:divBdr>
                                </w:div>
                              </w:divsChild>
                            </w:div>
                            <w:div w:id="202447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641551">
      <w:bodyDiv w:val="1"/>
      <w:marLeft w:val="0"/>
      <w:marRight w:val="0"/>
      <w:marTop w:val="0"/>
      <w:marBottom w:val="0"/>
      <w:divBdr>
        <w:top w:val="none" w:sz="0" w:space="0" w:color="auto"/>
        <w:left w:val="none" w:sz="0" w:space="0" w:color="auto"/>
        <w:bottom w:val="none" w:sz="0" w:space="0" w:color="auto"/>
        <w:right w:val="none" w:sz="0" w:space="0" w:color="auto"/>
      </w:divBdr>
    </w:div>
    <w:div w:id="651713430">
      <w:bodyDiv w:val="1"/>
      <w:marLeft w:val="0"/>
      <w:marRight w:val="0"/>
      <w:marTop w:val="0"/>
      <w:marBottom w:val="0"/>
      <w:divBdr>
        <w:top w:val="none" w:sz="0" w:space="0" w:color="auto"/>
        <w:left w:val="none" w:sz="0" w:space="0" w:color="auto"/>
        <w:bottom w:val="none" w:sz="0" w:space="0" w:color="auto"/>
        <w:right w:val="none" w:sz="0" w:space="0" w:color="auto"/>
      </w:divBdr>
      <w:divsChild>
        <w:div w:id="409474574">
          <w:marLeft w:val="0"/>
          <w:marRight w:val="0"/>
          <w:marTop w:val="0"/>
          <w:marBottom w:val="0"/>
          <w:divBdr>
            <w:top w:val="none" w:sz="0" w:space="0" w:color="auto"/>
            <w:left w:val="none" w:sz="0" w:space="0" w:color="auto"/>
            <w:bottom w:val="none" w:sz="0" w:space="0" w:color="auto"/>
            <w:right w:val="none" w:sz="0" w:space="0" w:color="auto"/>
          </w:divBdr>
          <w:divsChild>
            <w:div w:id="1470707369">
              <w:marLeft w:val="0"/>
              <w:marRight w:val="0"/>
              <w:marTop w:val="0"/>
              <w:marBottom w:val="0"/>
              <w:divBdr>
                <w:top w:val="none" w:sz="0" w:space="0" w:color="auto"/>
                <w:left w:val="none" w:sz="0" w:space="0" w:color="auto"/>
                <w:bottom w:val="none" w:sz="0" w:space="0" w:color="auto"/>
                <w:right w:val="none" w:sz="0" w:space="0" w:color="auto"/>
              </w:divBdr>
              <w:divsChild>
                <w:div w:id="1288076382">
                  <w:marLeft w:val="0"/>
                  <w:marRight w:val="0"/>
                  <w:marTop w:val="0"/>
                  <w:marBottom w:val="0"/>
                  <w:divBdr>
                    <w:top w:val="none" w:sz="0" w:space="0" w:color="auto"/>
                    <w:left w:val="none" w:sz="0" w:space="0" w:color="auto"/>
                    <w:bottom w:val="none" w:sz="0" w:space="0" w:color="auto"/>
                    <w:right w:val="none" w:sz="0" w:space="0" w:color="auto"/>
                  </w:divBdr>
                  <w:divsChild>
                    <w:div w:id="1372220415">
                      <w:marLeft w:val="0"/>
                      <w:marRight w:val="0"/>
                      <w:marTop w:val="0"/>
                      <w:marBottom w:val="0"/>
                      <w:divBdr>
                        <w:top w:val="none" w:sz="0" w:space="0" w:color="auto"/>
                        <w:left w:val="none" w:sz="0" w:space="0" w:color="auto"/>
                        <w:bottom w:val="none" w:sz="0" w:space="0" w:color="auto"/>
                        <w:right w:val="none" w:sz="0" w:space="0" w:color="auto"/>
                      </w:divBdr>
                      <w:divsChild>
                        <w:div w:id="17343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223676">
      <w:bodyDiv w:val="1"/>
      <w:marLeft w:val="0"/>
      <w:marRight w:val="0"/>
      <w:marTop w:val="0"/>
      <w:marBottom w:val="0"/>
      <w:divBdr>
        <w:top w:val="none" w:sz="0" w:space="0" w:color="auto"/>
        <w:left w:val="none" w:sz="0" w:space="0" w:color="auto"/>
        <w:bottom w:val="none" w:sz="0" w:space="0" w:color="auto"/>
        <w:right w:val="none" w:sz="0" w:space="0" w:color="auto"/>
      </w:divBdr>
      <w:divsChild>
        <w:div w:id="896014826">
          <w:marLeft w:val="0"/>
          <w:marRight w:val="0"/>
          <w:marTop w:val="0"/>
          <w:marBottom w:val="0"/>
          <w:divBdr>
            <w:top w:val="none" w:sz="0" w:space="0" w:color="auto"/>
            <w:left w:val="none" w:sz="0" w:space="0" w:color="auto"/>
            <w:bottom w:val="none" w:sz="0" w:space="0" w:color="auto"/>
            <w:right w:val="none" w:sz="0" w:space="0" w:color="auto"/>
          </w:divBdr>
          <w:divsChild>
            <w:div w:id="554777275">
              <w:marLeft w:val="0"/>
              <w:marRight w:val="0"/>
              <w:marTop w:val="150"/>
              <w:marBottom w:val="0"/>
              <w:divBdr>
                <w:top w:val="none" w:sz="0" w:space="0" w:color="auto"/>
                <w:left w:val="none" w:sz="0" w:space="0" w:color="auto"/>
                <w:bottom w:val="none" w:sz="0" w:space="0" w:color="auto"/>
                <w:right w:val="none" w:sz="0" w:space="0" w:color="auto"/>
              </w:divBdr>
              <w:divsChild>
                <w:div w:id="1181236853">
                  <w:marLeft w:val="0"/>
                  <w:marRight w:val="0"/>
                  <w:marTop w:val="0"/>
                  <w:marBottom w:val="0"/>
                  <w:divBdr>
                    <w:top w:val="none" w:sz="0" w:space="0" w:color="auto"/>
                    <w:left w:val="none" w:sz="0" w:space="0" w:color="auto"/>
                    <w:bottom w:val="none" w:sz="0" w:space="0" w:color="auto"/>
                    <w:right w:val="none" w:sz="0" w:space="0" w:color="auto"/>
                  </w:divBdr>
                  <w:divsChild>
                    <w:div w:id="1492795902">
                      <w:marLeft w:val="0"/>
                      <w:marRight w:val="0"/>
                      <w:marTop w:val="0"/>
                      <w:marBottom w:val="0"/>
                      <w:divBdr>
                        <w:top w:val="none" w:sz="0" w:space="0" w:color="auto"/>
                        <w:left w:val="none" w:sz="0" w:space="0" w:color="auto"/>
                        <w:bottom w:val="none" w:sz="0" w:space="0" w:color="auto"/>
                        <w:right w:val="none" w:sz="0" w:space="0" w:color="auto"/>
                      </w:divBdr>
                      <w:divsChild>
                        <w:div w:id="5062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418104">
      <w:bodyDiv w:val="1"/>
      <w:marLeft w:val="0"/>
      <w:marRight w:val="0"/>
      <w:marTop w:val="0"/>
      <w:marBottom w:val="0"/>
      <w:divBdr>
        <w:top w:val="none" w:sz="0" w:space="0" w:color="auto"/>
        <w:left w:val="none" w:sz="0" w:space="0" w:color="auto"/>
        <w:bottom w:val="none" w:sz="0" w:space="0" w:color="auto"/>
        <w:right w:val="none" w:sz="0" w:space="0" w:color="auto"/>
      </w:divBdr>
      <w:divsChild>
        <w:div w:id="1613051782">
          <w:marLeft w:val="0"/>
          <w:marRight w:val="0"/>
          <w:marTop w:val="0"/>
          <w:marBottom w:val="0"/>
          <w:divBdr>
            <w:top w:val="single" w:sz="2" w:space="0" w:color="AAAAAA"/>
            <w:left w:val="single" w:sz="6" w:space="8" w:color="AAAAAA"/>
            <w:bottom w:val="single" w:sz="2" w:space="0" w:color="AAAAAA"/>
            <w:right w:val="single" w:sz="6" w:space="8" w:color="AAAAAA"/>
          </w:divBdr>
          <w:divsChild>
            <w:div w:id="1899629578">
              <w:marLeft w:val="0"/>
              <w:marRight w:val="0"/>
              <w:marTop w:val="0"/>
              <w:marBottom w:val="0"/>
              <w:divBdr>
                <w:top w:val="none" w:sz="0" w:space="0" w:color="auto"/>
                <w:left w:val="none" w:sz="0" w:space="0" w:color="auto"/>
                <w:bottom w:val="none" w:sz="0" w:space="0" w:color="auto"/>
                <w:right w:val="none" w:sz="0" w:space="0" w:color="auto"/>
              </w:divBdr>
              <w:divsChild>
                <w:div w:id="404957150">
                  <w:marLeft w:val="0"/>
                  <w:marRight w:val="0"/>
                  <w:marTop w:val="0"/>
                  <w:marBottom w:val="0"/>
                  <w:divBdr>
                    <w:top w:val="none" w:sz="0" w:space="0" w:color="auto"/>
                    <w:left w:val="none" w:sz="0" w:space="0" w:color="auto"/>
                    <w:bottom w:val="none" w:sz="0" w:space="0" w:color="auto"/>
                    <w:right w:val="none" w:sz="0" w:space="0" w:color="auto"/>
                  </w:divBdr>
                  <w:divsChild>
                    <w:div w:id="1579360612">
                      <w:marLeft w:val="0"/>
                      <w:marRight w:val="2550"/>
                      <w:marTop w:val="0"/>
                      <w:marBottom w:val="48"/>
                      <w:divBdr>
                        <w:top w:val="none" w:sz="0" w:space="0" w:color="auto"/>
                        <w:left w:val="none" w:sz="0" w:space="0" w:color="auto"/>
                        <w:bottom w:val="none" w:sz="0" w:space="0" w:color="auto"/>
                        <w:right w:val="none" w:sz="0" w:space="0" w:color="auto"/>
                      </w:divBdr>
                      <w:divsChild>
                        <w:div w:id="11157149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52563973">
      <w:bodyDiv w:val="1"/>
      <w:marLeft w:val="0"/>
      <w:marRight w:val="0"/>
      <w:marTop w:val="0"/>
      <w:marBottom w:val="0"/>
      <w:divBdr>
        <w:top w:val="none" w:sz="0" w:space="0" w:color="auto"/>
        <w:left w:val="none" w:sz="0" w:space="0" w:color="auto"/>
        <w:bottom w:val="none" w:sz="0" w:space="0" w:color="auto"/>
        <w:right w:val="none" w:sz="0" w:space="0" w:color="auto"/>
      </w:divBdr>
      <w:divsChild>
        <w:div w:id="69474373">
          <w:marLeft w:val="0"/>
          <w:marRight w:val="0"/>
          <w:marTop w:val="0"/>
          <w:marBottom w:val="0"/>
          <w:divBdr>
            <w:top w:val="none" w:sz="0" w:space="0" w:color="auto"/>
            <w:left w:val="none" w:sz="0" w:space="0" w:color="auto"/>
            <w:bottom w:val="none" w:sz="0" w:space="0" w:color="auto"/>
            <w:right w:val="none" w:sz="0" w:space="0" w:color="auto"/>
          </w:divBdr>
          <w:divsChild>
            <w:div w:id="923807837">
              <w:marLeft w:val="0"/>
              <w:marRight w:val="0"/>
              <w:marTop w:val="0"/>
              <w:marBottom w:val="0"/>
              <w:divBdr>
                <w:top w:val="none" w:sz="0" w:space="0" w:color="auto"/>
                <w:left w:val="none" w:sz="0" w:space="0" w:color="auto"/>
                <w:bottom w:val="none" w:sz="0" w:space="0" w:color="auto"/>
                <w:right w:val="none" w:sz="0" w:space="0" w:color="auto"/>
              </w:divBdr>
              <w:divsChild>
                <w:div w:id="194393150">
                  <w:marLeft w:val="0"/>
                  <w:marRight w:val="0"/>
                  <w:marTop w:val="0"/>
                  <w:marBottom w:val="0"/>
                  <w:divBdr>
                    <w:top w:val="none" w:sz="0" w:space="0" w:color="auto"/>
                    <w:left w:val="none" w:sz="0" w:space="0" w:color="auto"/>
                    <w:bottom w:val="none" w:sz="0" w:space="0" w:color="auto"/>
                    <w:right w:val="none" w:sz="0" w:space="0" w:color="auto"/>
                  </w:divBdr>
                  <w:divsChild>
                    <w:div w:id="1557089042">
                      <w:marLeft w:val="0"/>
                      <w:marRight w:val="0"/>
                      <w:marTop w:val="0"/>
                      <w:marBottom w:val="0"/>
                      <w:divBdr>
                        <w:top w:val="none" w:sz="0" w:space="0" w:color="auto"/>
                        <w:left w:val="none" w:sz="0" w:space="0" w:color="auto"/>
                        <w:bottom w:val="none" w:sz="0" w:space="0" w:color="auto"/>
                        <w:right w:val="none" w:sz="0" w:space="0" w:color="auto"/>
                      </w:divBdr>
                      <w:divsChild>
                        <w:div w:id="673534340">
                          <w:marLeft w:val="0"/>
                          <w:marRight w:val="0"/>
                          <w:marTop w:val="0"/>
                          <w:marBottom w:val="0"/>
                          <w:divBdr>
                            <w:top w:val="none" w:sz="0" w:space="0" w:color="auto"/>
                            <w:left w:val="none" w:sz="0" w:space="0" w:color="auto"/>
                            <w:bottom w:val="single" w:sz="6" w:space="15" w:color="CCCCCC"/>
                            <w:right w:val="none" w:sz="0" w:space="0" w:color="auto"/>
                          </w:divBdr>
                          <w:divsChild>
                            <w:div w:id="10098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993513">
      <w:bodyDiv w:val="1"/>
      <w:marLeft w:val="0"/>
      <w:marRight w:val="0"/>
      <w:marTop w:val="0"/>
      <w:marBottom w:val="0"/>
      <w:divBdr>
        <w:top w:val="none" w:sz="0" w:space="0" w:color="auto"/>
        <w:left w:val="none" w:sz="0" w:space="0" w:color="auto"/>
        <w:bottom w:val="none" w:sz="0" w:space="0" w:color="auto"/>
        <w:right w:val="none" w:sz="0" w:space="0" w:color="auto"/>
      </w:divBdr>
    </w:div>
    <w:div w:id="655720237">
      <w:bodyDiv w:val="1"/>
      <w:marLeft w:val="0"/>
      <w:marRight w:val="0"/>
      <w:marTop w:val="0"/>
      <w:marBottom w:val="0"/>
      <w:divBdr>
        <w:top w:val="none" w:sz="0" w:space="0" w:color="auto"/>
        <w:left w:val="none" w:sz="0" w:space="0" w:color="auto"/>
        <w:bottom w:val="none" w:sz="0" w:space="0" w:color="auto"/>
        <w:right w:val="none" w:sz="0" w:space="0" w:color="auto"/>
      </w:divBdr>
      <w:divsChild>
        <w:div w:id="2002810689">
          <w:marLeft w:val="0"/>
          <w:marRight w:val="0"/>
          <w:marTop w:val="0"/>
          <w:marBottom w:val="0"/>
          <w:divBdr>
            <w:top w:val="single" w:sz="2" w:space="0" w:color="AAAAAA"/>
            <w:left w:val="single" w:sz="6" w:space="8" w:color="AAAAAA"/>
            <w:bottom w:val="single" w:sz="2" w:space="0" w:color="AAAAAA"/>
            <w:right w:val="single" w:sz="6" w:space="8" w:color="AAAAAA"/>
          </w:divBdr>
          <w:divsChild>
            <w:div w:id="494760364">
              <w:marLeft w:val="0"/>
              <w:marRight w:val="0"/>
              <w:marTop w:val="0"/>
              <w:marBottom w:val="0"/>
              <w:divBdr>
                <w:top w:val="none" w:sz="0" w:space="0" w:color="auto"/>
                <w:left w:val="none" w:sz="0" w:space="0" w:color="auto"/>
                <w:bottom w:val="none" w:sz="0" w:space="0" w:color="auto"/>
                <w:right w:val="none" w:sz="0" w:space="0" w:color="auto"/>
              </w:divBdr>
              <w:divsChild>
                <w:div w:id="911740329">
                  <w:marLeft w:val="0"/>
                  <w:marRight w:val="0"/>
                  <w:marTop w:val="0"/>
                  <w:marBottom w:val="0"/>
                  <w:divBdr>
                    <w:top w:val="none" w:sz="0" w:space="0" w:color="auto"/>
                    <w:left w:val="none" w:sz="0" w:space="0" w:color="auto"/>
                    <w:bottom w:val="none" w:sz="0" w:space="0" w:color="auto"/>
                    <w:right w:val="none" w:sz="0" w:space="0" w:color="auto"/>
                  </w:divBdr>
                  <w:divsChild>
                    <w:div w:id="699431362">
                      <w:marLeft w:val="0"/>
                      <w:marRight w:val="2550"/>
                      <w:marTop w:val="0"/>
                      <w:marBottom w:val="48"/>
                      <w:divBdr>
                        <w:top w:val="none" w:sz="0" w:space="0" w:color="auto"/>
                        <w:left w:val="none" w:sz="0" w:space="0" w:color="auto"/>
                        <w:bottom w:val="none" w:sz="0" w:space="0" w:color="auto"/>
                        <w:right w:val="none" w:sz="0" w:space="0" w:color="auto"/>
                      </w:divBdr>
                      <w:divsChild>
                        <w:div w:id="170401583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657806892">
      <w:bodyDiv w:val="1"/>
      <w:marLeft w:val="0"/>
      <w:marRight w:val="0"/>
      <w:marTop w:val="0"/>
      <w:marBottom w:val="0"/>
      <w:divBdr>
        <w:top w:val="none" w:sz="0" w:space="0" w:color="auto"/>
        <w:left w:val="none" w:sz="0" w:space="0" w:color="auto"/>
        <w:bottom w:val="none" w:sz="0" w:space="0" w:color="auto"/>
        <w:right w:val="none" w:sz="0" w:space="0" w:color="auto"/>
      </w:divBdr>
      <w:divsChild>
        <w:div w:id="365565651">
          <w:marLeft w:val="0"/>
          <w:marRight w:val="0"/>
          <w:marTop w:val="0"/>
          <w:marBottom w:val="0"/>
          <w:divBdr>
            <w:top w:val="none" w:sz="0" w:space="0" w:color="auto"/>
            <w:left w:val="none" w:sz="0" w:space="0" w:color="auto"/>
            <w:bottom w:val="none" w:sz="0" w:space="0" w:color="auto"/>
            <w:right w:val="none" w:sz="0" w:space="0" w:color="auto"/>
          </w:divBdr>
          <w:divsChild>
            <w:div w:id="1475444028">
              <w:marLeft w:val="0"/>
              <w:marRight w:val="0"/>
              <w:marTop w:val="0"/>
              <w:marBottom w:val="0"/>
              <w:divBdr>
                <w:top w:val="none" w:sz="0" w:space="0" w:color="auto"/>
                <w:left w:val="none" w:sz="0" w:space="0" w:color="auto"/>
                <w:bottom w:val="none" w:sz="0" w:space="0" w:color="auto"/>
                <w:right w:val="none" w:sz="0" w:space="0" w:color="auto"/>
              </w:divBdr>
              <w:divsChild>
                <w:div w:id="446124230">
                  <w:marLeft w:val="0"/>
                  <w:marRight w:val="0"/>
                  <w:marTop w:val="0"/>
                  <w:marBottom w:val="0"/>
                  <w:divBdr>
                    <w:top w:val="none" w:sz="0" w:space="0" w:color="auto"/>
                    <w:left w:val="none" w:sz="0" w:space="0" w:color="auto"/>
                    <w:bottom w:val="none" w:sz="0" w:space="0" w:color="auto"/>
                    <w:right w:val="none" w:sz="0" w:space="0" w:color="auto"/>
                  </w:divBdr>
                  <w:divsChild>
                    <w:div w:id="273245392">
                      <w:marLeft w:val="0"/>
                      <w:marRight w:val="0"/>
                      <w:marTop w:val="0"/>
                      <w:marBottom w:val="0"/>
                      <w:divBdr>
                        <w:top w:val="none" w:sz="0" w:space="0" w:color="auto"/>
                        <w:left w:val="none" w:sz="0" w:space="0" w:color="auto"/>
                        <w:bottom w:val="none" w:sz="0" w:space="0" w:color="auto"/>
                        <w:right w:val="none" w:sz="0" w:space="0" w:color="auto"/>
                      </w:divBdr>
                      <w:divsChild>
                        <w:div w:id="1547377232">
                          <w:marLeft w:val="0"/>
                          <w:marRight w:val="0"/>
                          <w:marTop w:val="0"/>
                          <w:marBottom w:val="0"/>
                          <w:divBdr>
                            <w:top w:val="none" w:sz="0" w:space="0" w:color="auto"/>
                            <w:left w:val="none" w:sz="0" w:space="0" w:color="auto"/>
                            <w:bottom w:val="none" w:sz="0" w:space="0" w:color="auto"/>
                            <w:right w:val="none" w:sz="0" w:space="0" w:color="auto"/>
                          </w:divBdr>
                          <w:divsChild>
                            <w:div w:id="290745721">
                              <w:marLeft w:val="570"/>
                              <w:marRight w:val="720"/>
                              <w:marTop w:val="120"/>
                              <w:marBottom w:val="120"/>
                              <w:divBdr>
                                <w:top w:val="none" w:sz="0" w:space="0" w:color="auto"/>
                                <w:left w:val="none" w:sz="0" w:space="0" w:color="auto"/>
                                <w:bottom w:val="none" w:sz="0" w:space="0" w:color="auto"/>
                                <w:right w:val="none" w:sz="0" w:space="0" w:color="auto"/>
                              </w:divBdr>
                              <w:divsChild>
                                <w:div w:id="475419464">
                                  <w:marLeft w:val="0"/>
                                  <w:marRight w:val="0"/>
                                  <w:marTop w:val="0"/>
                                  <w:marBottom w:val="0"/>
                                  <w:divBdr>
                                    <w:top w:val="none" w:sz="0" w:space="0" w:color="auto"/>
                                    <w:left w:val="none" w:sz="0" w:space="0" w:color="auto"/>
                                    <w:bottom w:val="none" w:sz="0" w:space="0" w:color="auto"/>
                                    <w:right w:val="none" w:sz="0" w:space="0" w:color="auto"/>
                                  </w:divBdr>
                                  <w:divsChild>
                                    <w:div w:id="1740058201">
                                      <w:marLeft w:val="0"/>
                                      <w:marRight w:val="0"/>
                                      <w:marTop w:val="0"/>
                                      <w:marBottom w:val="0"/>
                                      <w:divBdr>
                                        <w:top w:val="none" w:sz="0" w:space="0" w:color="auto"/>
                                        <w:left w:val="none" w:sz="0" w:space="0" w:color="auto"/>
                                        <w:bottom w:val="none" w:sz="0" w:space="0" w:color="auto"/>
                                        <w:right w:val="none" w:sz="0" w:space="0" w:color="auto"/>
                                      </w:divBdr>
                                      <w:divsChild>
                                        <w:div w:id="1991903165">
                                          <w:marLeft w:val="0"/>
                                          <w:marRight w:val="0"/>
                                          <w:marTop w:val="0"/>
                                          <w:marBottom w:val="0"/>
                                          <w:divBdr>
                                            <w:top w:val="none" w:sz="0" w:space="0" w:color="auto"/>
                                            <w:left w:val="none" w:sz="0" w:space="0" w:color="auto"/>
                                            <w:bottom w:val="none" w:sz="0" w:space="0" w:color="auto"/>
                                            <w:right w:val="none" w:sz="0" w:space="0" w:color="auto"/>
                                          </w:divBdr>
                                        </w:div>
                                        <w:div w:id="1496259295">
                                          <w:marLeft w:val="0"/>
                                          <w:marRight w:val="0"/>
                                          <w:marTop w:val="0"/>
                                          <w:marBottom w:val="150"/>
                                          <w:divBdr>
                                            <w:top w:val="none" w:sz="0" w:space="0" w:color="auto"/>
                                            <w:left w:val="none" w:sz="0" w:space="0" w:color="auto"/>
                                            <w:bottom w:val="none" w:sz="0" w:space="0" w:color="auto"/>
                                            <w:right w:val="none" w:sz="0" w:space="0" w:color="auto"/>
                                          </w:divBdr>
                                          <w:divsChild>
                                            <w:div w:id="1717001526">
                                              <w:marLeft w:val="0"/>
                                              <w:marRight w:val="0"/>
                                              <w:marTop w:val="240"/>
                                              <w:marBottom w:val="240"/>
                                              <w:divBdr>
                                                <w:top w:val="single" w:sz="6" w:space="6" w:color="F2F2F2"/>
                                                <w:left w:val="none" w:sz="0" w:space="0" w:color="auto"/>
                                                <w:bottom w:val="single" w:sz="6" w:space="6" w:color="F2F2F2"/>
                                                <w:right w:val="none" w:sz="0" w:space="0" w:color="auto"/>
                                              </w:divBdr>
                                            </w:div>
                                            <w:div w:id="1757558807">
                                              <w:marLeft w:val="0"/>
                                              <w:marRight w:val="0"/>
                                              <w:marTop w:val="0"/>
                                              <w:marBottom w:val="0"/>
                                              <w:divBdr>
                                                <w:top w:val="none" w:sz="0" w:space="0" w:color="auto"/>
                                                <w:left w:val="none" w:sz="0" w:space="0" w:color="auto"/>
                                                <w:bottom w:val="none" w:sz="0" w:space="0" w:color="auto"/>
                                                <w:right w:val="none" w:sz="0" w:space="0" w:color="auto"/>
                                              </w:divBdr>
                                              <w:divsChild>
                                                <w:div w:id="283970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810287">
      <w:bodyDiv w:val="1"/>
      <w:marLeft w:val="0"/>
      <w:marRight w:val="0"/>
      <w:marTop w:val="0"/>
      <w:marBottom w:val="0"/>
      <w:divBdr>
        <w:top w:val="none" w:sz="0" w:space="0" w:color="auto"/>
        <w:left w:val="none" w:sz="0" w:space="0" w:color="auto"/>
        <w:bottom w:val="none" w:sz="0" w:space="0" w:color="auto"/>
        <w:right w:val="none" w:sz="0" w:space="0" w:color="auto"/>
      </w:divBdr>
      <w:divsChild>
        <w:div w:id="599946473">
          <w:marLeft w:val="1710"/>
          <w:marRight w:val="0"/>
          <w:marTop w:val="0"/>
          <w:marBottom w:val="0"/>
          <w:divBdr>
            <w:top w:val="none" w:sz="0" w:space="0" w:color="auto"/>
            <w:left w:val="none" w:sz="0" w:space="0" w:color="auto"/>
            <w:bottom w:val="none" w:sz="0" w:space="0" w:color="auto"/>
            <w:right w:val="none" w:sz="0" w:space="0" w:color="auto"/>
          </w:divBdr>
          <w:divsChild>
            <w:div w:id="17087979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57925629">
      <w:bodyDiv w:val="1"/>
      <w:marLeft w:val="0"/>
      <w:marRight w:val="0"/>
      <w:marTop w:val="0"/>
      <w:marBottom w:val="0"/>
      <w:divBdr>
        <w:top w:val="none" w:sz="0" w:space="0" w:color="auto"/>
        <w:left w:val="none" w:sz="0" w:space="0" w:color="auto"/>
        <w:bottom w:val="none" w:sz="0" w:space="0" w:color="auto"/>
        <w:right w:val="none" w:sz="0" w:space="0" w:color="auto"/>
      </w:divBdr>
    </w:div>
    <w:div w:id="658731021">
      <w:bodyDiv w:val="1"/>
      <w:marLeft w:val="0"/>
      <w:marRight w:val="0"/>
      <w:marTop w:val="0"/>
      <w:marBottom w:val="0"/>
      <w:divBdr>
        <w:top w:val="none" w:sz="0" w:space="0" w:color="auto"/>
        <w:left w:val="none" w:sz="0" w:space="0" w:color="auto"/>
        <w:bottom w:val="none" w:sz="0" w:space="0" w:color="auto"/>
        <w:right w:val="none" w:sz="0" w:space="0" w:color="auto"/>
      </w:divBdr>
      <w:divsChild>
        <w:div w:id="593363993">
          <w:marLeft w:val="0"/>
          <w:marRight w:val="0"/>
          <w:marTop w:val="0"/>
          <w:marBottom w:val="0"/>
          <w:divBdr>
            <w:top w:val="single" w:sz="2" w:space="0" w:color="auto"/>
            <w:left w:val="single" w:sz="2" w:space="0" w:color="auto"/>
            <w:bottom w:val="single" w:sz="2" w:space="0" w:color="auto"/>
            <w:right w:val="single" w:sz="2" w:space="0" w:color="auto"/>
          </w:divBdr>
          <w:divsChild>
            <w:div w:id="1977448647">
              <w:marLeft w:val="0"/>
              <w:marRight w:val="0"/>
              <w:marTop w:val="0"/>
              <w:marBottom w:val="0"/>
              <w:divBdr>
                <w:top w:val="single" w:sz="2" w:space="0" w:color="auto"/>
                <w:left w:val="single" w:sz="2" w:space="0" w:color="auto"/>
                <w:bottom w:val="single" w:sz="2" w:space="0" w:color="auto"/>
                <w:right w:val="single" w:sz="2" w:space="0" w:color="auto"/>
              </w:divBdr>
            </w:div>
          </w:divsChild>
        </w:div>
        <w:div w:id="897670528">
          <w:marLeft w:val="0"/>
          <w:marRight w:val="0"/>
          <w:marTop w:val="0"/>
          <w:marBottom w:val="0"/>
          <w:divBdr>
            <w:top w:val="single" w:sz="2" w:space="0" w:color="auto"/>
            <w:left w:val="single" w:sz="2" w:space="0" w:color="auto"/>
            <w:bottom w:val="single" w:sz="2" w:space="0" w:color="auto"/>
            <w:right w:val="single" w:sz="2" w:space="0" w:color="auto"/>
          </w:divBdr>
        </w:div>
        <w:div w:id="396368715">
          <w:marLeft w:val="0"/>
          <w:marRight w:val="0"/>
          <w:marTop w:val="0"/>
          <w:marBottom w:val="0"/>
          <w:divBdr>
            <w:top w:val="single" w:sz="2" w:space="0" w:color="auto"/>
            <w:left w:val="single" w:sz="2" w:space="0" w:color="auto"/>
            <w:bottom w:val="single" w:sz="2" w:space="0" w:color="auto"/>
            <w:right w:val="single" w:sz="2" w:space="0" w:color="auto"/>
          </w:divBdr>
        </w:div>
        <w:div w:id="324674587">
          <w:marLeft w:val="0"/>
          <w:marRight w:val="0"/>
          <w:marTop w:val="0"/>
          <w:marBottom w:val="0"/>
          <w:divBdr>
            <w:top w:val="single" w:sz="2" w:space="0" w:color="auto"/>
            <w:left w:val="single" w:sz="2" w:space="0" w:color="auto"/>
            <w:bottom w:val="single" w:sz="2" w:space="0" w:color="auto"/>
            <w:right w:val="single" w:sz="2" w:space="0" w:color="auto"/>
          </w:divBdr>
        </w:div>
      </w:divsChild>
    </w:div>
    <w:div w:id="659309709">
      <w:bodyDiv w:val="1"/>
      <w:marLeft w:val="0"/>
      <w:marRight w:val="0"/>
      <w:marTop w:val="0"/>
      <w:marBottom w:val="0"/>
      <w:divBdr>
        <w:top w:val="none" w:sz="0" w:space="0" w:color="auto"/>
        <w:left w:val="none" w:sz="0" w:space="0" w:color="auto"/>
        <w:bottom w:val="none" w:sz="0" w:space="0" w:color="auto"/>
        <w:right w:val="none" w:sz="0" w:space="0" w:color="auto"/>
      </w:divBdr>
      <w:divsChild>
        <w:div w:id="372774014">
          <w:marLeft w:val="0"/>
          <w:marRight w:val="0"/>
          <w:marTop w:val="0"/>
          <w:marBottom w:val="0"/>
          <w:divBdr>
            <w:top w:val="single" w:sz="6" w:space="0" w:color="0E477A"/>
            <w:left w:val="single" w:sz="6" w:space="0" w:color="0E477A"/>
            <w:bottom w:val="single" w:sz="6" w:space="0" w:color="0E477A"/>
            <w:right w:val="single" w:sz="6" w:space="0" w:color="0E477A"/>
          </w:divBdr>
          <w:divsChild>
            <w:div w:id="1658269706">
              <w:marLeft w:val="0"/>
              <w:marRight w:val="0"/>
              <w:marTop w:val="0"/>
              <w:marBottom w:val="0"/>
              <w:divBdr>
                <w:top w:val="none" w:sz="0" w:space="0" w:color="auto"/>
                <w:left w:val="none" w:sz="0" w:space="0" w:color="auto"/>
                <w:bottom w:val="none" w:sz="0" w:space="0" w:color="auto"/>
                <w:right w:val="none" w:sz="0" w:space="0" w:color="auto"/>
              </w:divBdr>
              <w:divsChild>
                <w:div w:id="1677146539">
                  <w:marLeft w:val="0"/>
                  <w:marRight w:val="0"/>
                  <w:marTop w:val="0"/>
                  <w:marBottom w:val="0"/>
                  <w:divBdr>
                    <w:top w:val="none" w:sz="0" w:space="0" w:color="auto"/>
                    <w:left w:val="none" w:sz="0" w:space="0" w:color="auto"/>
                    <w:bottom w:val="none" w:sz="0" w:space="0" w:color="auto"/>
                    <w:right w:val="none" w:sz="0" w:space="0" w:color="auto"/>
                  </w:divBdr>
                  <w:divsChild>
                    <w:div w:id="106197009">
                      <w:marLeft w:val="0"/>
                      <w:marRight w:val="0"/>
                      <w:marTop w:val="0"/>
                      <w:marBottom w:val="0"/>
                      <w:divBdr>
                        <w:top w:val="none" w:sz="0" w:space="0" w:color="auto"/>
                        <w:left w:val="none" w:sz="0" w:space="0" w:color="auto"/>
                        <w:bottom w:val="none" w:sz="0" w:space="0" w:color="auto"/>
                        <w:right w:val="none" w:sz="0" w:space="0" w:color="auto"/>
                      </w:divBdr>
                      <w:divsChild>
                        <w:div w:id="659771528">
                          <w:marLeft w:val="0"/>
                          <w:marRight w:val="0"/>
                          <w:marTop w:val="0"/>
                          <w:marBottom w:val="0"/>
                          <w:divBdr>
                            <w:top w:val="none" w:sz="0" w:space="0" w:color="auto"/>
                            <w:left w:val="none" w:sz="0" w:space="0" w:color="auto"/>
                            <w:bottom w:val="none" w:sz="0" w:space="0" w:color="auto"/>
                            <w:right w:val="none" w:sz="0" w:space="0" w:color="auto"/>
                          </w:divBdr>
                          <w:divsChild>
                            <w:div w:id="1493906949">
                              <w:marLeft w:val="0"/>
                              <w:marRight w:val="0"/>
                              <w:marTop w:val="0"/>
                              <w:marBottom w:val="0"/>
                              <w:divBdr>
                                <w:top w:val="none" w:sz="0" w:space="0" w:color="auto"/>
                                <w:left w:val="none" w:sz="0" w:space="0" w:color="auto"/>
                                <w:bottom w:val="none" w:sz="0" w:space="0" w:color="auto"/>
                                <w:right w:val="none" w:sz="0" w:space="0" w:color="auto"/>
                              </w:divBdr>
                              <w:divsChild>
                                <w:div w:id="896745702">
                                  <w:marLeft w:val="0"/>
                                  <w:marRight w:val="0"/>
                                  <w:marTop w:val="0"/>
                                  <w:marBottom w:val="0"/>
                                  <w:divBdr>
                                    <w:top w:val="none" w:sz="0" w:space="0" w:color="auto"/>
                                    <w:left w:val="none" w:sz="0" w:space="0" w:color="auto"/>
                                    <w:bottom w:val="none" w:sz="0" w:space="0" w:color="auto"/>
                                    <w:right w:val="none" w:sz="0" w:space="0" w:color="auto"/>
                                  </w:divBdr>
                                </w:div>
                              </w:divsChild>
                            </w:div>
                            <w:div w:id="1547641496">
                              <w:marLeft w:val="0"/>
                              <w:marRight w:val="0"/>
                              <w:marTop w:val="0"/>
                              <w:marBottom w:val="0"/>
                              <w:divBdr>
                                <w:top w:val="none" w:sz="0" w:space="0" w:color="auto"/>
                                <w:left w:val="none" w:sz="0" w:space="0" w:color="auto"/>
                                <w:bottom w:val="none" w:sz="0" w:space="0" w:color="auto"/>
                                <w:right w:val="none" w:sz="0" w:space="0" w:color="auto"/>
                              </w:divBdr>
                              <w:divsChild>
                                <w:div w:id="7158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384195">
      <w:bodyDiv w:val="1"/>
      <w:marLeft w:val="0"/>
      <w:marRight w:val="0"/>
      <w:marTop w:val="0"/>
      <w:marBottom w:val="0"/>
      <w:divBdr>
        <w:top w:val="none" w:sz="0" w:space="0" w:color="auto"/>
        <w:left w:val="none" w:sz="0" w:space="0" w:color="auto"/>
        <w:bottom w:val="none" w:sz="0" w:space="0" w:color="auto"/>
        <w:right w:val="none" w:sz="0" w:space="0" w:color="auto"/>
      </w:divBdr>
      <w:divsChild>
        <w:div w:id="1688601571">
          <w:marLeft w:val="0"/>
          <w:marRight w:val="0"/>
          <w:marTop w:val="150"/>
          <w:marBottom w:val="0"/>
          <w:divBdr>
            <w:top w:val="none" w:sz="0" w:space="0" w:color="auto"/>
            <w:left w:val="none" w:sz="0" w:space="0" w:color="auto"/>
            <w:bottom w:val="none" w:sz="0" w:space="0" w:color="auto"/>
            <w:right w:val="none" w:sz="0" w:space="0" w:color="auto"/>
          </w:divBdr>
          <w:divsChild>
            <w:div w:id="1264337413">
              <w:marLeft w:val="2"/>
              <w:marRight w:val="2"/>
              <w:marTop w:val="0"/>
              <w:marBottom w:val="0"/>
              <w:divBdr>
                <w:top w:val="none" w:sz="0" w:space="0" w:color="auto"/>
                <w:left w:val="none" w:sz="0" w:space="0" w:color="auto"/>
                <w:bottom w:val="none" w:sz="0" w:space="0" w:color="auto"/>
                <w:right w:val="none" w:sz="0" w:space="0" w:color="auto"/>
              </w:divBdr>
              <w:divsChild>
                <w:div w:id="415714948">
                  <w:marLeft w:val="0"/>
                  <w:marRight w:val="0"/>
                  <w:marTop w:val="0"/>
                  <w:marBottom w:val="0"/>
                  <w:divBdr>
                    <w:top w:val="none" w:sz="0" w:space="0" w:color="auto"/>
                    <w:left w:val="none" w:sz="0" w:space="0" w:color="auto"/>
                    <w:bottom w:val="none" w:sz="0" w:space="0" w:color="auto"/>
                    <w:right w:val="none" w:sz="0" w:space="0" w:color="auto"/>
                  </w:divBdr>
                  <w:divsChild>
                    <w:div w:id="92820963">
                      <w:marLeft w:val="0"/>
                      <w:marRight w:val="0"/>
                      <w:marTop w:val="0"/>
                      <w:marBottom w:val="0"/>
                      <w:divBdr>
                        <w:top w:val="none" w:sz="0" w:space="0" w:color="auto"/>
                        <w:left w:val="none" w:sz="0" w:space="0" w:color="auto"/>
                        <w:bottom w:val="none" w:sz="0" w:space="0" w:color="auto"/>
                        <w:right w:val="none" w:sz="0" w:space="0" w:color="auto"/>
                      </w:divBdr>
                      <w:divsChild>
                        <w:div w:id="794258136">
                          <w:marLeft w:val="0"/>
                          <w:marRight w:val="0"/>
                          <w:marTop w:val="0"/>
                          <w:marBottom w:val="0"/>
                          <w:divBdr>
                            <w:top w:val="none" w:sz="0" w:space="0" w:color="auto"/>
                            <w:left w:val="none" w:sz="0" w:space="0" w:color="auto"/>
                            <w:bottom w:val="none" w:sz="0" w:space="0" w:color="auto"/>
                            <w:right w:val="none" w:sz="0" w:space="0" w:color="auto"/>
                          </w:divBdr>
                          <w:divsChild>
                            <w:div w:id="320043081">
                              <w:marLeft w:val="0"/>
                              <w:marRight w:val="0"/>
                              <w:marTop w:val="0"/>
                              <w:marBottom w:val="0"/>
                              <w:divBdr>
                                <w:top w:val="none" w:sz="0" w:space="0" w:color="auto"/>
                                <w:left w:val="none" w:sz="0" w:space="0" w:color="auto"/>
                                <w:bottom w:val="none" w:sz="0" w:space="0" w:color="auto"/>
                                <w:right w:val="none" w:sz="0" w:space="0" w:color="auto"/>
                              </w:divBdr>
                              <w:divsChild>
                                <w:div w:id="1356076724">
                                  <w:marLeft w:val="0"/>
                                  <w:marRight w:val="0"/>
                                  <w:marTop w:val="0"/>
                                  <w:marBottom w:val="0"/>
                                  <w:divBdr>
                                    <w:top w:val="none" w:sz="0" w:space="0" w:color="auto"/>
                                    <w:left w:val="none" w:sz="0" w:space="0" w:color="auto"/>
                                    <w:bottom w:val="none" w:sz="0" w:space="0" w:color="auto"/>
                                    <w:right w:val="none" w:sz="0" w:space="0" w:color="auto"/>
                                  </w:divBdr>
                                  <w:divsChild>
                                    <w:div w:id="195316390">
                                      <w:marLeft w:val="0"/>
                                      <w:marRight w:val="0"/>
                                      <w:marTop w:val="0"/>
                                      <w:marBottom w:val="0"/>
                                      <w:divBdr>
                                        <w:top w:val="none" w:sz="0" w:space="0" w:color="auto"/>
                                        <w:left w:val="none" w:sz="0" w:space="0" w:color="auto"/>
                                        <w:bottom w:val="none" w:sz="0" w:space="0" w:color="auto"/>
                                        <w:right w:val="none" w:sz="0" w:space="0" w:color="auto"/>
                                      </w:divBdr>
                                      <w:divsChild>
                                        <w:div w:id="1349794333">
                                          <w:marLeft w:val="0"/>
                                          <w:marRight w:val="0"/>
                                          <w:marTop w:val="0"/>
                                          <w:marBottom w:val="0"/>
                                          <w:divBdr>
                                            <w:top w:val="none" w:sz="0" w:space="0" w:color="auto"/>
                                            <w:left w:val="none" w:sz="0" w:space="0" w:color="auto"/>
                                            <w:bottom w:val="none" w:sz="0" w:space="0" w:color="auto"/>
                                            <w:right w:val="none" w:sz="0" w:space="0" w:color="auto"/>
                                          </w:divBdr>
                                          <w:divsChild>
                                            <w:div w:id="1630084420">
                                              <w:marLeft w:val="0"/>
                                              <w:marRight w:val="0"/>
                                              <w:marTop w:val="0"/>
                                              <w:marBottom w:val="0"/>
                                              <w:divBdr>
                                                <w:top w:val="none" w:sz="0" w:space="0" w:color="auto"/>
                                                <w:left w:val="none" w:sz="0" w:space="0" w:color="auto"/>
                                                <w:bottom w:val="none" w:sz="0" w:space="0" w:color="auto"/>
                                                <w:right w:val="none" w:sz="0" w:space="0" w:color="auto"/>
                                              </w:divBdr>
                                              <w:divsChild>
                                                <w:div w:id="1290476141">
                                                  <w:marLeft w:val="0"/>
                                                  <w:marRight w:val="0"/>
                                                  <w:marTop w:val="0"/>
                                                  <w:marBottom w:val="0"/>
                                                  <w:divBdr>
                                                    <w:top w:val="none" w:sz="0" w:space="0" w:color="auto"/>
                                                    <w:left w:val="none" w:sz="0" w:space="0" w:color="auto"/>
                                                    <w:bottom w:val="none" w:sz="0" w:space="0" w:color="auto"/>
                                                    <w:right w:val="none" w:sz="0" w:space="0" w:color="auto"/>
                                                  </w:divBdr>
                                                  <w:divsChild>
                                                    <w:div w:id="12423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6870">
                                          <w:marLeft w:val="0"/>
                                          <w:marRight w:val="0"/>
                                          <w:marTop w:val="0"/>
                                          <w:marBottom w:val="0"/>
                                          <w:divBdr>
                                            <w:top w:val="none" w:sz="0" w:space="0" w:color="auto"/>
                                            <w:left w:val="none" w:sz="0" w:space="0" w:color="auto"/>
                                            <w:bottom w:val="none" w:sz="0" w:space="0" w:color="auto"/>
                                            <w:right w:val="none" w:sz="0" w:space="0" w:color="auto"/>
                                          </w:divBdr>
                                          <w:divsChild>
                                            <w:div w:id="492454670">
                                              <w:marLeft w:val="0"/>
                                              <w:marRight w:val="0"/>
                                              <w:marTop w:val="0"/>
                                              <w:marBottom w:val="0"/>
                                              <w:divBdr>
                                                <w:top w:val="none" w:sz="0" w:space="0" w:color="auto"/>
                                                <w:left w:val="none" w:sz="0" w:space="0" w:color="auto"/>
                                                <w:bottom w:val="none" w:sz="0" w:space="0" w:color="auto"/>
                                                <w:right w:val="none" w:sz="0" w:space="0" w:color="auto"/>
                                              </w:divBdr>
                                              <w:divsChild>
                                                <w:div w:id="21045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428929">
      <w:bodyDiv w:val="1"/>
      <w:marLeft w:val="0"/>
      <w:marRight w:val="0"/>
      <w:marTop w:val="0"/>
      <w:marBottom w:val="0"/>
      <w:divBdr>
        <w:top w:val="none" w:sz="0" w:space="0" w:color="auto"/>
        <w:left w:val="none" w:sz="0" w:space="0" w:color="auto"/>
        <w:bottom w:val="none" w:sz="0" w:space="0" w:color="auto"/>
        <w:right w:val="none" w:sz="0" w:space="0" w:color="auto"/>
      </w:divBdr>
      <w:divsChild>
        <w:div w:id="1555771483">
          <w:marLeft w:val="0"/>
          <w:marRight w:val="0"/>
          <w:marTop w:val="0"/>
          <w:marBottom w:val="0"/>
          <w:divBdr>
            <w:top w:val="none" w:sz="0" w:space="0" w:color="auto"/>
            <w:left w:val="none" w:sz="0" w:space="0" w:color="auto"/>
            <w:bottom w:val="none" w:sz="0" w:space="0" w:color="auto"/>
            <w:right w:val="none" w:sz="0" w:space="0" w:color="auto"/>
          </w:divBdr>
          <w:divsChild>
            <w:div w:id="2139564447">
              <w:marLeft w:val="0"/>
              <w:marRight w:val="0"/>
              <w:marTop w:val="0"/>
              <w:marBottom w:val="0"/>
              <w:divBdr>
                <w:top w:val="none" w:sz="0" w:space="0" w:color="auto"/>
                <w:left w:val="none" w:sz="0" w:space="0" w:color="auto"/>
                <w:bottom w:val="none" w:sz="0" w:space="0" w:color="auto"/>
                <w:right w:val="none" w:sz="0" w:space="0" w:color="auto"/>
              </w:divBdr>
              <w:divsChild>
                <w:div w:id="1760327431">
                  <w:marLeft w:val="0"/>
                  <w:marRight w:val="0"/>
                  <w:marTop w:val="0"/>
                  <w:marBottom w:val="0"/>
                  <w:divBdr>
                    <w:top w:val="none" w:sz="0" w:space="0" w:color="auto"/>
                    <w:left w:val="none" w:sz="0" w:space="0" w:color="auto"/>
                    <w:bottom w:val="none" w:sz="0" w:space="0" w:color="auto"/>
                    <w:right w:val="none" w:sz="0" w:space="0" w:color="auto"/>
                  </w:divBdr>
                  <w:divsChild>
                    <w:div w:id="1360475890">
                      <w:marLeft w:val="0"/>
                      <w:marRight w:val="0"/>
                      <w:marTop w:val="0"/>
                      <w:marBottom w:val="0"/>
                      <w:divBdr>
                        <w:top w:val="none" w:sz="0" w:space="0" w:color="auto"/>
                        <w:left w:val="none" w:sz="0" w:space="0" w:color="auto"/>
                        <w:bottom w:val="none" w:sz="0" w:space="0" w:color="auto"/>
                        <w:right w:val="none" w:sz="0" w:space="0" w:color="auto"/>
                      </w:divBdr>
                      <w:divsChild>
                        <w:div w:id="639648858">
                          <w:marLeft w:val="0"/>
                          <w:marRight w:val="0"/>
                          <w:marTop w:val="0"/>
                          <w:marBottom w:val="0"/>
                          <w:divBdr>
                            <w:top w:val="none" w:sz="0" w:space="0" w:color="auto"/>
                            <w:left w:val="none" w:sz="0" w:space="0" w:color="auto"/>
                            <w:bottom w:val="none" w:sz="0" w:space="0" w:color="auto"/>
                            <w:right w:val="none" w:sz="0" w:space="0" w:color="auto"/>
                          </w:divBdr>
                          <w:divsChild>
                            <w:div w:id="1343170700">
                              <w:marLeft w:val="0"/>
                              <w:marRight w:val="0"/>
                              <w:marTop w:val="0"/>
                              <w:marBottom w:val="0"/>
                              <w:divBdr>
                                <w:top w:val="none" w:sz="0" w:space="0" w:color="auto"/>
                                <w:left w:val="none" w:sz="0" w:space="0" w:color="auto"/>
                                <w:bottom w:val="none" w:sz="0" w:space="0" w:color="auto"/>
                                <w:right w:val="none" w:sz="0" w:space="0" w:color="auto"/>
                              </w:divBdr>
                              <w:divsChild>
                                <w:div w:id="305938342">
                                  <w:marLeft w:val="0"/>
                                  <w:marRight w:val="0"/>
                                  <w:marTop w:val="0"/>
                                  <w:marBottom w:val="0"/>
                                  <w:divBdr>
                                    <w:top w:val="none" w:sz="0" w:space="0" w:color="auto"/>
                                    <w:left w:val="none" w:sz="0" w:space="0" w:color="auto"/>
                                    <w:bottom w:val="none" w:sz="0" w:space="0" w:color="auto"/>
                                    <w:right w:val="none" w:sz="0" w:space="0" w:color="auto"/>
                                  </w:divBdr>
                                  <w:divsChild>
                                    <w:div w:id="296684175">
                                      <w:marLeft w:val="0"/>
                                      <w:marRight w:val="0"/>
                                      <w:marTop w:val="0"/>
                                      <w:marBottom w:val="0"/>
                                      <w:divBdr>
                                        <w:top w:val="none" w:sz="0" w:space="0" w:color="auto"/>
                                        <w:left w:val="none" w:sz="0" w:space="0" w:color="auto"/>
                                        <w:bottom w:val="none" w:sz="0" w:space="0" w:color="auto"/>
                                        <w:right w:val="none" w:sz="0" w:space="0" w:color="auto"/>
                                      </w:divBdr>
                                      <w:divsChild>
                                        <w:div w:id="17800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815814">
      <w:bodyDiv w:val="1"/>
      <w:marLeft w:val="0"/>
      <w:marRight w:val="0"/>
      <w:marTop w:val="0"/>
      <w:marBottom w:val="0"/>
      <w:divBdr>
        <w:top w:val="none" w:sz="0" w:space="0" w:color="auto"/>
        <w:left w:val="none" w:sz="0" w:space="0" w:color="auto"/>
        <w:bottom w:val="none" w:sz="0" w:space="0" w:color="auto"/>
        <w:right w:val="none" w:sz="0" w:space="0" w:color="auto"/>
      </w:divBdr>
    </w:div>
    <w:div w:id="661851957">
      <w:bodyDiv w:val="1"/>
      <w:marLeft w:val="0"/>
      <w:marRight w:val="0"/>
      <w:marTop w:val="0"/>
      <w:marBottom w:val="0"/>
      <w:divBdr>
        <w:top w:val="none" w:sz="0" w:space="0" w:color="auto"/>
        <w:left w:val="none" w:sz="0" w:space="0" w:color="auto"/>
        <w:bottom w:val="none" w:sz="0" w:space="0" w:color="auto"/>
        <w:right w:val="none" w:sz="0" w:space="0" w:color="auto"/>
      </w:divBdr>
      <w:divsChild>
        <w:div w:id="2110461774">
          <w:marLeft w:val="0"/>
          <w:marRight w:val="0"/>
          <w:marTop w:val="0"/>
          <w:marBottom w:val="0"/>
          <w:divBdr>
            <w:top w:val="none" w:sz="0" w:space="0" w:color="auto"/>
            <w:left w:val="none" w:sz="0" w:space="0" w:color="auto"/>
            <w:bottom w:val="none" w:sz="0" w:space="0" w:color="auto"/>
            <w:right w:val="none" w:sz="0" w:space="0" w:color="auto"/>
          </w:divBdr>
          <w:divsChild>
            <w:div w:id="1301031078">
              <w:marLeft w:val="0"/>
              <w:marRight w:val="0"/>
              <w:marTop w:val="0"/>
              <w:marBottom w:val="0"/>
              <w:divBdr>
                <w:top w:val="none" w:sz="0" w:space="0" w:color="auto"/>
                <w:left w:val="none" w:sz="0" w:space="0" w:color="auto"/>
                <w:bottom w:val="none" w:sz="0" w:space="0" w:color="auto"/>
                <w:right w:val="none" w:sz="0" w:space="0" w:color="auto"/>
              </w:divBdr>
              <w:divsChild>
                <w:div w:id="1551964701">
                  <w:marLeft w:val="0"/>
                  <w:marRight w:val="0"/>
                  <w:marTop w:val="0"/>
                  <w:marBottom w:val="0"/>
                  <w:divBdr>
                    <w:top w:val="none" w:sz="0" w:space="0" w:color="auto"/>
                    <w:left w:val="none" w:sz="0" w:space="0" w:color="auto"/>
                    <w:bottom w:val="none" w:sz="0" w:space="0" w:color="auto"/>
                    <w:right w:val="none" w:sz="0" w:space="0" w:color="auto"/>
                  </w:divBdr>
                  <w:divsChild>
                    <w:div w:id="255291672">
                      <w:marLeft w:val="0"/>
                      <w:marRight w:val="0"/>
                      <w:marTop w:val="0"/>
                      <w:marBottom w:val="0"/>
                      <w:divBdr>
                        <w:top w:val="none" w:sz="0" w:space="0" w:color="auto"/>
                        <w:left w:val="none" w:sz="0" w:space="0" w:color="auto"/>
                        <w:bottom w:val="none" w:sz="0" w:space="0" w:color="auto"/>
                        <w:right w:val="none" w:sz="0" w:space="0" w:color="auto"/>
                      </w:divBdr>
                      <w:divsChild>
                        <w:div w:id="11733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08236">
      <w:bodyDiv w:val="1"/>
      <w:marLeft w:val="0"/>
      <w:marRight w:val="0"/>
      <w:marTop w:val="0"/>
      <w:marBottom w:val="0"/>
      <w:divBdr>
        <w:top w:val="none" w:sz="0" w:space="0" w:color="auto"/>
        <w:left w:val="none" w:sz="0" w:space="0" w:color="auto"/>
        <w:bottom w:val="none" w:sz="0" w:space="0" w:color="auto"/>
        <w:right w:val="none" w:sz="0" w:space="0" w:color="auto"/>
      </w:divBdr>
      <w:divsChild>
        <w:div w:id="688024204">
          <w:marLeft w:val="0"/>
          <w:marRight w:val="0"/>
          <w:marTop w:val="0"/>
          <w:marBottom w:val="0"/>
          <w:divBdr>
            <w:top w:val="none" w:sz="0" w:space="0" w:color="auto"/>
            <w:left w:val="none" w:sz="0" w:space="0" w:color="auto"/>
            <w:bottom w:val="none" w:sz="0" w:space="0" w:color="auto"/>
            <w:right w:val="none" w:sz="0" w:space="0" w:color="auto"/>
          </w:divBdr>
          <w:divsChild>
            <w:div w:id="22681456">
              <w:marLeft w:val="0"/>
              <w:marRight w:val="0"/>
              <w:marTop w:val="0"/>
              <w:marBottom w:val="0"/>
              <w:divBdr>
                <w:top w:val="none" w:sz="0" w:space="0" w:color="auto"/>
                <w:left w:val="none" w:sz="0" w:space="0" w:color="auto"/>
                <w:bottom w:val="none" w:sz="0" w:space="0" w:color="auto"/>
                <w:right w:val="none" w:sz="0" w:space="0" w:color="auto"/>
              </w:divBdr>
              <w:divsChild>
                <w:div w:id="131169422">
                  <w:marLeft w:val="0"/>
                  <w:marRight w:val="0"/>
                  <w:marTop w:val="0"/>
                  <w:marBottom w:val="0"/>
                  <w:divBdr>
                    <w:top w:val="none" w:sz="0" w:space="0" w:color="auto"/>
                    <w:left w:val="none" w:sz="0" w:space="0" w:color="auto"/>
                    <w:bottom w:val="none" w:sz="0" w:space="0" w:color="auto"/>
                    <w:right w:val="none" w:sz="0" w:space="0" w:color="auto"/>
                  </w:divBdr>
                  <w:divsChild>
                    <w:div w:id="711072446">
                      <w:marLeft w:val="0"/>
                      <w:marRight w:val="0"/>
                      <w:marTop w:val="0"/>
                      <w:marBottom w:val="0"/>
                      <w:divBdr>
                        <w:top w:val="none" w:sz="0" w:space="0" w:color="auto"/>
                        <w:left w:val="none" w:sz="0" w:space="0" w:color="auto"/>
                        <w:bottom w:val="none" w:sz="0" w:space="0" w:color="auto"/>
                        <w:right w:val="none" w:sz="0" w:space="0" w:color="auto"/>
                      </w:divBdr>
                      <w:divsChild>
                        <w:div w:id="3219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094806">
      <w:bodyDiv w:val="1"/>
      <w:marLeft w:val="0"/>
      <w:marRight w:val="0"/>
      <w:marTop w:val="0"/>
      <w:marBottom w:val="0"/>
      <w:divBdr>
        <w:top w:val="none" w:sz="0" w:space="0" w:color="auto"/>
        <w:left w:val="none" w:sz="0" w:space="0" w:color="auto"/>
        <w:bottom w:val="none" w:sz="0" w:space="0" w:color="auto"/>
        <w:right w:val="none" w:sz="0" w:space="0" w:color="auto"/>
      </w:divBdr>
      <w:divsChild>
        <w:div w:id="1037662744">
          <w:marLeft w:val="0"/>
          <w:marRight w:val="0"/>
          <w:marTop w:val="0"/>
          <w:marBottom w:val="0"/>
          <w:divBdr>
            <w:top w:val="none" w:sz="0" w:space="0" w:color="auto"/>
            <w:left w:val="none" w:sz="0" w:space="0" w:color="auto"/>
            <w:bottom w:val="none" w:sz="0" w:space="0" w:color="auto"/>
            <w:right w:val="none" w:sz="0" w:space="0" w:color="auto"/>
          </w:divBdr>
          <w:divsChild>
            <w:div w:id="2126927463">
              <w:marLeft w:val="0"/>
              <w:marRight w:val="0"/>
              <w:marTop w:val="0"/>
              <w:marBottom w:val="0"/>
              <w:divBdr>
                <w:top w:val="none" w:sz="0" w:space="0" w:color="auto"/>
                <w:left w:val="none" w:sz="0" w:space="0" w:color="auto"/>
                <w:bottom w:val="none" w:sz="0" w:space="0" w:color="auto"/>
                <w:right w:val="none" w:sz="0" w:space="0" w:color="auto"/>
              </w:divBdr>
              <w:divsChild>
                <w:div w:id="958872460">
                  <w:marLeft w:val="0"/>
                  <w:marRight w:val="0"/>
                  <w:marTop w:val="0"/>
                  <w:marBottom w:val="0"/>
                  <w:divBdr>
                    <w:top w:val="none" w:sz="0" w:space="0" w:color="auto"/>
                    <w:left w:val="none" w:sz="0" w:space="0" w:color="auto"/>
                    <w:bottom w:val="none" w:sz="0" w:space="0" w:color="auto"/>
                    <w:right w:val="none" w:sz="0" w:space="0" w:color="auto"/>
                  </w:divBdr>
                  <w:divsChild>
                    <w:div w:id="1637374336">
                      <w:marLeft w:val="0"/>
                      <w:marRight w:val="0"/>
                      <w:marTop w:val="0"/>
                      <w:marBottom w:val="0"/>
                      <w:divBdr>
                        <w:top w:val="none" w:sz="0" w:space="0" w:color="auto"/>
                        <w:left w:val="none" w:sz="0" w:space="0" w:color="auto"/>
                        <w:bottom w:val="none" w:sz="0" w:space="0" w:color="auto"/>
                        <w:right w:val="none" w:sz="0" w:space="0" w:color="auto"/>
                      </w:divBdr>
                      <w:divsChild>
                        <w:div w:id="1295140294">
                          <w:marLeft w:val="0"/>
                          <w:marRight w:val="0"/>
                          <w:marTop w:val="0"/>
                          <w:marBottom w:val="0"/>
                          <w:divBdr>
                            <w:top w:val="none" w:sz="0" w:space="0" w:color="auto"/>
                            <w:left w:val="none" w:sz="0" w:space="0" w:color="auto"/>
                            <w:bottom w:val="none" w:sz="0" w:space="0" w:color="auto"/>
                            <w:right w:val="none" w:sz="0" w:space="0" w:color="auto"/>
                          </w:divBdr>
                          <w:divsChild>
                            <w:div w:id="1654212208">
                              <w:marLeft w:val="0"/>
                              <w:marRight w:val="0"/>
                              <w:marTop w:val="0"/>
                              <w:marBottom w:val="0"/>
                              <w:divBdr>
                                <w:top w:val="none" w:sz="0" w:space="0" w:color="auto"/>
                                <w:left w:val="none" w:sz="0" w:space="0" w:color="auto"/>
                                <w:bottom w:val="none" w:sz="0" w:space="0" w:color="auto"/>
                                <w:right w:val="none" w:sz="0" w:space="0" w:color="auto"/>
                              </w:divBdr>
                              <w:divsChild>
                                <w:div w:id="1540632208">
                                  <w:marLeft w:val="0"/>
                                  <w:marRight w:val="0"/>
                                  <w:marTop w:val="0"/>
                                  <w:marBottom w:val="0"/>
                                  <w:divBdr>
                                    <w:top w:val="none" w:sz="0" w:space="0" w:color="auto"/>
                                    <w:left w:val="none" w:sz="0" w:space="0" w:color="auto"/>
                                    <w:bottom w:val="none" w:sz="0" w:space="0" w:color="auto"/>
                                    <w:right w:val="none" w:sz="0" w:space="0" w:color="auto"/>
                                  </w:divBdr>
                                  <w:divsChild>
                                    <w:div w:id="921568882">
                                      <w:marLeft w:val="0"/>
                                      <w:marRight w:val="0"/>
                                      <w:marTop w:val="0"/>
                                      <w:marBottom w:val="0"/>
                                      <w:divBdr>
                                        <w:top w:val="none" w:sz="0" w:space="0" w:color="auto"/>
                                        <w:left w:val="none" w:sz="0" w:space="0" w:color="auto"/>
                                        <w:bottom w:val="none" w:sz="0" w:space="0" w:color="auto"/>
                                        <w:right w:val="none" w:sz="0" w:space="0" w:color="auto"/>
                                      </w:divBdr>
                                      <w:divsChild>
                                        <w:div w:id="17272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318077">
      <w:bodyDiv w:val="1"/>
      <w:marLeft w:val="0"/>
      <w:marRight w:val="0"/>
      <w:marTop w:val="0"/>
      <w:marBottom w:val="0"/>
      <w:divBdr>
        <w:top w:val="none" w:sz="0" w:space="0" w:color="auto"/>
        <w:left w:val="none" w:sz="0" w:space="0" w:color="auto"/>
        <w:bottom w:val="none" w:sz="0" w:space="0" w:color="auto"/>
        <w:right w:val="none" w:sz="0" w:space="0" w:color="auto"/>
      </w:divBdr>
      <w:divsChild>
        <w:div w:id="812599698">
          <w:marLeft w:val="0"/>
          <w:marRight w:val="0"/>
          <w:marTop w:val="375"/>
          <w:marBottom w:val="375"/>
          <w:divBdr>
            <w:top w:val="none" w:sz="0" w:space="0" w:color="auto"/>
            <w:left w:val="none" w:sz="0" w:space="0" w:color="auto"/>
            <w:bottom w:val="none" w:sz="0" w:space="0" w:color="auto"/>
            <w:right w:val="none" w:sz="0" w:space="0" w:color="auto"/>
          </w:divBdr>
          <w:divsChild>
            <w:div w:id="1835337743">
              <w:marLeft w:val="0"/>
              <w:marRight w:val="0"/>
              <w:marTop w:val="375"/>
              <w:marBottom w:val="375"/>
              <w:divBdr>
                <w:top w:val="none" w:sz="0" w:space="0" w:color="auto"/>
                <w:left w:val="none" w:sz="0" w:space="0" w:color="auto"/>
                <w:bottom w:val="none" w:sz="0" w:space="0" w:color="auto"/>
                <w:right w:val="none" w:sz="0" w:space="0" w:color="auto"/>
              </w:divBdr>
            </w:div>
          </w:divsChild>
        </w:div>
        <w:div w:id="386802409">
          <w:marLeft w:val="0"/>
          <w:marRight w:val="0"/>
          <w:marTop w:val="0"/>
          <w:marBottom w:val="375"/>
          <w:divBdr>
            <w:top w:val="none" w:sz="0" w:space="0" w:color="auto"/>
            <w:left w:val="none" w:sz="0" w:space="0" w:color="auto"/>
            <w:bottom w:val="none" w:sz="0" w:space="0" w:color="auto"/>
            <w:right w:val="none" w:sz="0" w:space="0" w:color="auto"/>
          </w:divBdr>
        </w:div>
        <w:div w:id="1413428956">
          <w:marLeft w:val="0"/>
          <w:marRight w:val="0"/>
          <w:marTop w:val="375"/>
          <w:marBottom w:val="375"/>
          <w:divBdr>
            <w:top w:val="none" w:sz="0" w:space="0" w:color="auto"/>
            <w:left w:val="none" w:sz="0" w:space="0" w:color="auto"/>
            <w:bottom w:val="none" w:sz="0" w:space="0" w:color="auto"/>
            <w:right w:val="none" w:sz="0" w:space="0" w:color="auto"/>
          </w:divBdr>
        </w:div>
      </w:divsChild>
    </w:div>
    <w:div w:id="66377716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02">
          <w:marLeft w:val="0"/>
          <w:marRight w:val="0"/>
          <w:marTop w:val="0"/>
          <w:marBottom w:val="0"/>
          <w:divBdr>
            <w:top w:val="none" w:sz="0" w:space="0" w:color="auto"/>
            <w:left w:val="none" w:sz="0" w:space="0" w:color="auto"/>
            <w:bottom w:val="none" w:sz="0" w:space="0" w:color="auto"/>
            <w:right w:val="none" w:sz="0" w:space="0" w:color="auto"/>
          </w:divBdr>
          <w:divsChild>
            <w:div w:id="1188105135">
              <w:marLeft w:val="0"/>
              <w:marRight w:val="0"/>
              <w:marTop w:val="0"/>
              <w:marBottom w:val="0"/>
              <w:divBdr>
                <w:top w:val="none" w:sz="0" w:space="0" w:color="auto"/>
                <w:left w:val="none" w:sz="0" w:space="0" w:color="auto"/>
                <w:bottom w:val="none" w:sz="0" w:space="0" w:color="auto"/>
                <w:right w:val="none" w:sz="0" w:space="0" w:color="auto"/>
              </w:divBdr>
              <w:divsChild>
                <w:div w:id="1916360642">
                  <w:marLeft w:val="-225"/>
                  <w:marRight w:val="-225"/>
                  <w:marTop w:val="0"/>
                  <w:marBottom w:val="0"/>
                  <w:divBdr>
                    <w:top w:val="none" w:sz="0" w:space="0" w:color="auto"/>
                    <w:left w:val="none" w:sz="0" w:space="0" w:color="auto"/>
                    <w:bottom w:val="none" w:sz="0" w:space="0" w:color="auto"/>
                    <w:right w:val="none" w:sz="0" w:space="0" w:color="auto"/>
                  </w:divBdr>
                  <w:divsChild>
                    <w:div w:id="20876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2434">
      <w:bodyDiv w:val="1"/>
      <w:marLeft w:val="0"/>
      <w:marRight w:val="0"/>
      <w:marTop w:val="0"/>
      <w:marBottom w:val="0"/>
      <w:divBdr>
        <w:top w:val="none" w:sz="0" w:space="0" w:color="auto"/>
        <w:left w:val="none" w:sz="0" w:space="0" w:color="auto"/>
        <w:bottom w:val="none" w:sz="0" w:space="0" w:color="auto"/>
        <w:right w:val="none" w:sz="0" w:space="0" w:color="auto"/>
      </w:divBdr>
      <w:divsChild>
        <w:div w:id="1319580360">
          <w:marLeft w:val="0"/>
          <w:marRight w:val="0"/>
          <w:marTop w:val="0"/>
          <w:marBottom w:val="0"/>
          <w:divBdr>
            <w:top w:val="none" w:sz="0" w:space="0" w:color="auto"/>
            <w:left w:val="none" w:sz="0" w:space="0" w:color="auto"/>
            <w:bottom w:val="none" w:sz="0" w:space="0" w:color="auto"/>
            <w:right w:val="none" w:sz="0" w:space="0" w:color="auto"/>
          </w:divBdr>
          <w:divsChild>
            <w:div w:id="305823218">
              <w:marLeft w:val="0"/>
              <w:marRight w:val="0"/>
              <w:marTop w:val="0"/>
              <w:marBottom w:val="0"/>
              <w:divBdr>
                <w:top w:val="none" w:sz="0" w:space="0" w:color="auto"/>
                <w:left w:val="none" w:sz="0" w:space="0" w:color="auto"/>
                <w:bottom w:val="none" w:sz="0" w:space="0" w:color="auto"/>
                <w:right w:val="none" w:sz="0" w:space="0" w:color="auto"/>
              </w:divBdr>
              <w:divsChild>
                <w:div w:id="1085223376">
                  <w:marLeft w:val="0"/>
                  <w:marRight w:val="0"/>
                  <w:marTop w:val="0"/>
                  <w:marBottom w:val="0"/>
                  <w:divBdr>
                    <w:top w:val="none" w:sz="0" w:space="0" w:color="auto"/>
                    <w:left w:val="none" w:sz="0" w:space="0" w:color="auto"/>
                    <w:bottom w:val="none" w:sz="0" w:space="0" w:color="auto"/>
                    <w:right w:val="none" w:sz="0" w:space="0" w:color="auto"/>
                  </w:divBdr>
                  <w:divsChild>
                    <w:div w:id="809786433">
                      <w:marLeft w:val="0"/>
                      <w:marRight w:val="0"/>
                      <w:marTop w:val="0"/>
                      <w:marBottom w:val="0"/>
                      <w:divBdr>
                        <w:top w:val="none" w:sz="0" w:space="0" w:color="auto"/>
                        <w:left w:val="none" w:sz="0" w:space="0" w:color="auto"/>
                        <w:bottom w:val="none" w:sz="0" w:space="0" w:color="auto"/>
                        <w:right w:val="none" w:sz="0" w:space="0" w:color="auto"/>
                      </w:divBdr>
                      <w:divsChild>
                        <w:div w:id="487870321">
                          <w:marLeft w:val="0"/>
                          <w:marRight w:val="0"/>
                          <w:marTop w:val="0"/>
                          <w:marBottom w:val="0"/>
                          <w:divBdr>
                            <w:top w:val="none" w:sz="0" w:space="0" w:color="auto"/>
                            <w:left w:val="none" w:sz="0" w:space="0" w:color="auto"/>
                            <w:bottom w:val="none" w:sz="0" w:space="0" w:color="auto"/>
                            <w:right w:val="none" w:sz="0" w:space="0" w:color="auto"/>
                          </w:divBdr>
                          <w:divsChild>
                            <w:div w:id="339086561">
                              <w:marLeft w:val="0"/>
                              <w:marRight w:val="0"/>
                              <w:marTop w:val="0"/>
                              <w:marBottom w:val="0"/>
                              <w:divBdr>
                                <w:top w:val="none" w:sz="0" w:space="0" w:color="auto"/>
                                <w:left w:val="none" w:sz="0" w:space="0" w:color="auto"/>
                                <w:bottom w:val="none" w:sz="0" w:space="0" w:color="auto"/>
                                <w:right w:val="none" w:sz="0" w:space="0" w:color="auto"/>
                              </w:divBdr>
                              <w:divsChild>
                                <w:div w:id="761493930">
                                  <w:marLeft w:val="120"/>
                                  <w:marRight w:val="720"/>
                                  <w:marTop w:val="120"/>
                                  <w:marBottom w:val="120"/>
                                  <w:divBdr>
                                    <w:top w:val="none" w:sz="0" w:space="0" w:color="auto"/>
                                    <w:left w:val="none" w:sz="0" w:space="0" w:color="auto"/>
                                    <w:bottom w:val="none" w:sz="0" w:space="0" w:color="auto"/>
                                    <w:right w:val="none" w:sz="0" w:space="0" w:color="auto"/>
                                  </w:divBdr>
                                  <w:divsChild>
                                    <w:div w:id="1779177091">
                                      <w:marLeft w:val="0"/>
                                      <w:marRight w:val="0"/>
                                      <w:marTop w:val="0"/>
                                      <w:marBottom w:val="0"/>
                                      <w:divBdr>
                                        <w:top w:val="none" w:sz="0" w:space="0" w:color="auto"/>
                                        <w:left w:val="none" w:sz="0" w:space="0" w:color="auto"/>
                                        <w:bottom w:val="none" w:sz="0" w:space="0" w:color="auto"/>
                                        <w:right w:val="none" w:sz="0" w:space="0" w:color="auto"/>
                                      </w:divBdr>
                                      <w:divsChild>
                                        <w:div w:id="2070490311">
                                          <w:marLeft w:val="0"/>
                                          <w:marRight w:val="0"/>
                                          <w:marTop w:val="0"/>
                                          <w:marBottom w:val="0"/>
                                          <w:divBdr>
                                            <w:top w:val="none" w:sz="0" w:space="0" w:color="auto"/>
                                            <w:left w:val="none" w:sz="0" w:space="0" w:color="auto"/>
                                            <w:bottom w:val="none" w:sz="0" w:space="0" w:color="auto"/>
                                            <w:right w:val="none" w:sz="0" w:space="0" w:color="auto"/>
                                          </w:divBdr>
                                          <w:divsChild>
                                            <w:div w:id="832527049">
                                              <w:marLeft w:val="0"/>
                                              <w:marRight w:val="0"/>
                                              <w:marTop w:val="0"/>
                                              <w:marBottom w:val="0"/>
                                              <w:divBdr>
                                                <w:top w:val="none" w:sz="0" w:space="0" w:color="auto"/>
                                                <w:left w:val="none" w:sz="0" w:space="0" w:color="auto"/>
                                                <w:bottom w:val="none" w:sz="0" w:space="0" w:color="auto"/>
                                                <w:right w:val="none" w:sz="0" w:space="0" w:color="auto"/>
                                              </w:divBdr>
                                              <w:divsChild>
                                                <w:div w:id="966202362">
                                                  <w:marLeft w:val="0"/>
                                                  <w:marRight w:val="0"/>
                                                  <w:marTop w:val="240"/>
                                                  <w:marBottom w:val="240"/>
                                                  <w:divBdr>
                                                    <w:top w:val="single" w:sz="6" w:space="6" w:color="F2F2F2"/>
                                                    <w:left w:val="none" w:sz="0" w:space="0" w:color="auto"/>
                                                    <w:bottom w:val="single" w:sz="6" w:space="6" w:color="F2F2F2"/>
                                                    <w:right w:val="none" w:sz="0" w:space="0" w:color="auto"/>
                                                  </w:divBdr>
                                                </w:div>
                                                <w:div w:id="145704956">
                                                  <w:marLeft w:val="0"/>
                                                  <w:marRight w:val="0"/>
                                                  <w:marTop w:val="0"/>
                                                  <w:marBottom w:val="0"/>
                                                  <w:divBdr>
                                                    <w:top w:val="none" w:sz="0" w:space="0" w:color="auto"/>
                                                    <w:left w:val="none" w:sz="0" w:space="0" w:color="auto"/>
                                                    <w:bottom w:val="none" w:sz="0" w:space="0" w:color="auto"/>
                                                    <w:right w:val="none" w:sz="0" w:space="0" w:color="auto"/>
                                                  </w:divBdr>
                                                  <w:divsChild>
                                                    <w:div w:id="1989705167">
                                                      <w:marLeft w:val="0"/>
                                                      <w:marRight w:val="0"/>
                                                      <w:marTop w:val="0"/>
                                                      <w:marBottom w:val="240"/>
                                                      <w:divBdr>
                                                        <w:top w:val="none" w:sz="0" w:space="0" w:color="auto"/>
                                                        <w:left w:val="none" w:sz="0" w:space="0" w:color="auto"/>
                                                        <w:bottom w:val="none" w:sz="0" w:space="0" w:color="auto"/>
                                                        <w:right w:val="none" w:sz="0" w:space="0" w:color="auto"/>
                                                      </w:divBdr>
                                                    </w:div>
                                                    <w:div w:id="2191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599611">
      <w:bodyDiv w:val="1"/>
      <w:marLeft w:val="0"/>
      <w:marRight w:val="0"/>
      <w:marTop w:val="0"/>
      <w:marBottom w:val="0"/>
      <w:divBdr>
        <w:top w:val="none" w:sz="0" w:space="0" w:color="auto"/>
        <w:left w:val="none" w:sz="0" w:space="0" w:color="auto"/>
        <w:bottom w:val="none" w:sz="0" w:space="0" w:color="auto"/>
        <w:right w:val="none" w:sz="0" w:space="0" w:color="auto"/>
      </w:divBdr>
      <w:divsChild>
        <w:div w:id="418644102">
          <w:marLeft w:val="0"/>
          <w:marRight w:val="0"/>
          <w:marTop w:val="0"/>
          <w:marBottom w:val="0"/>
          <w:divBdr>
            <w:top w:val="none" w:sz="0" w:space="0" w:color="auto"/>
            <w:left w:val="none" w:sz="0" w:space="0" w:color="auto"/>
            <w:bottom w:val="none" w:sz="0" w:space="0" w:color="auto"/>
            <w:right w:val="none" w:sz="0" w:space="0" w:color="auto"/>
          </w:divBdr>
          <w:divsChild>
            <w:div w:id="1105341500">
              <w:marLeft w:val="0"/>
              <w:marRight w:val="0"/>
              <w:marTop w:val="0"/>
              <w:marBottom w:val="0"/>
              <w:divBdr>
                <w:top w:val="none" w:sz="0" w:space="0" w:color="auto"/>
                <w:left w:val="none" w:sz="0" w:space="0" w:color="auto"/>
                <w:bottom w:val="none" w:sz="0" w:space="0" w:color="auto"/>
                <w:right w:val="none" w:sz="0" w:space="0" w:color="auto"/>
              </w:divBdr>
              <w:divsChild>
                <w:div w:id="2136753655">
                  <w:marLeft w:val="0"/>
                  <w:marRight w:val="0"/>
                  <w:marTop w:val="100"/>
                  <w:marBottom w:val="100"/>
                  <w:divBdr>
                    <w:top w:val="none" w:sz="0" w:space="0" w:color="auto"/>
                    <w:left w:val="none" w:sz="0" w:space="0" w:color="auto"/>
                    <w:bottom w:val="none" w:sz="0" w:space="0" w:color="auto"/>
                    <w:right w:val="none" w:sz="0" w:space="0" w:color="auto"/>
                  </w:divBdr>
                  <w:divsChild>
                    <w:div w:id="1215266047">
                      <w:marLeft w:val="0"/>
                      <w:marRight w:val="0"/>
                      <w:marTop w:val="0"/>
                      <w:marBottom w:val="0"/>
                      <w:divBdr>
                        <w:top w:val="none" w:sz="0" w:space="0" w:color="auto"/>
                        <w:left w:val="none" w:sz="0" w:space="0" w:color="auto"/>
                        <w:bottom w:val="none" w:sz="0" w:space="0" w:color="auto"/>
                        <w:right w:val="none" w:sz="0" w:space="0" w:color="auto"/>
                      </w:divBdr>
                      <w:divsChild>
                        <w:div w:id="582951697">
                          <w:marLeft w:val="0"/>
                          <w:marRight w:val="0"/>
                          <w:marTop w:val="0"/>
                          <w:marBottom w:val="0"/>
                          <w:divBdr>
                            <w:top w:val="none" w:sz="0" w:space="0" w:color="auto"/>
                            <w:left w:val="none" w:sz="0" w:space="0" w:color="auto"/>
                            <w:bottom w:val="none" w:sz="0" w:space="0" w:color="auto"/>
                            <w:right w:val="none" w:sz="0" w:space="0" w:color="auto"/>
                          </w:divBdr>
                          <w:divsChild>
                            <w:div w:id="70471826">
                              <w:marLeft w:val="0"/>
                              <w:marRight w:val="0"/>
                              <w:marTop w:val="0"/>
                              <w:marBottom w:val="0"/>
                              <w:divBdr>
                                <w:top w:val="none" w:sz="0" w:space="0" w:color="auto"/>
                                <w:left w:val="none" w:sz="0" w:space="0" w:color="auto"/>
                                <w:bottom w:val="none" w:sz="0" w:space="0" w:color="auto"/>
                                <w:right w:val="none" w:sz="0" w:space="0" w:color="auto"/>
                              </w:divBdr>
                              <w:divsChild>
                                <w:div w:id="1918174675">
                                  <w:marLeft w:val="0"/>
                                  <w:marRight w:val="0"/>
                                  <w:marTop w:val="0"/>
                                  <w:marBottom w:val="0"/>
                                  <w:divBdr>
                                    <w:top w:val="none" w:sz="0" w:space="0" w:color="auto"/>
                                    <w:left w:val="none" w:sz="0" w:space="0" w:color="auto"/>
                                    <w:bottom w:val="none" w:sz="0" w:space="0" w:color="auto"/>
                                    <w:right w:val="none" w:sz="0" w:space="0" w:color="auto"/>
                                  </w:divBdr>
                                  <w:divsChild>
                                    <w:div w:id="1528517234">
                                      <w:marLeft w:val="0"/>
                                      <w:marRight w:val="0"/>
                                      <w:marTop w:val="0"/>
                                      <w:marBottom w:val="0"/>
                                      <w:divBdr>
                                        <w:top w:val="none" w:sz="0" w:space="0" w:color="auto"/>
                                        <w:left w:val="none" w:sz="0" w:space="0" w:color="auto"/>
                                        <w:bottom w:val="none" w:sz="0" w:space="0" w:color="auto"/>
                                        <w:right w:val="none" w:sz="0" w:space="0" w:color="auto"/>
                                      </w:divBdr>
                                      <w:divsChild>
                                        <w:div w:id="1984968356">
                                          <w:marLeft w:val="0"/>
                                          <w:marRight w:val="0"/>
                                          <w:marTop w:val="0"/>
                                          <w:marBottom w:val="0"/>
                                          <w:divBdr>
                                            <w:top w:val="none" w:sz="0" w:space="0" w:color="auto"/>
                                            <w:left w:val="none" w:sz="0" w:space="0" w:color="auto"/>
                                            <w:bottom w:val="none" w:sz="0" w:space="0" w:color="auto"/>
                                            <w:right w:val="none" w:sz="0" w:space="0" w:color="auto"/>
                                          </w:divBdr>
                                          <w:divsChild>
                                            <w:div w:id="1496022738">
                                              <w:marLeft w:val="0"/>
                                              <w:marRight w:val="0"/>
                                              <w:marTop w:val="0"/>
                                              <w:marBottom w:val="0"/>
                                              <w:divBdr>
                                                <w:top w:val="single" w:sz="4" w:space="0" w:color="B6D444"/>
                                                <w:left w:val="none" w:sz="0" w:space="0" w:color="auto"/>
                                                <w:bottom w:val="none" w:sz="0" w:space="0" w:color="auto"/>
                                                <w:right w:val="none" w:sz="0" w:space="0" w:color="auto"/>
                                              </w:divBdr>
                                              <w:divsChild>
                                                <w:div w:id="9398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606106">
      <w:bodyDiv w:val="1"/>
      <w:marLeft w:val="0"/>
      <w:marRight w:val="0"/>
      <w:marTop w:val="0"/>
      <w:marBottom w:val="0"/>
      <w:divBdr>
        <w:top w:val="none" w:sz="0" w:space="0" w:color="auto"/>
        <w:left w:val="none" w:sz="0" w:space="0" w:color="auto"/>
        <w:bottom w:val="none" w:sz="0" w:space="0" w:color="auto"/>
        <w:right w:val="none" w:sz="0" w:space="0" w:color="auto"/>
      </w:divBdr>
      <w:divsChild>
        <w:div w:id="2028367524">
          <w:marLeft w:val="0"/>
          <w:marRight w:val="0"/>
          <w:marTop w:val="0"/>
          <w:marBottom w:val="0"/>
          <w:divBdr>
            <w:top w:val="none" w:sz="0" w:space="0" w:color="auto"/>
            <w:left w:val="none" w:sz="0" w:space="0" w:color="auto"/>
            <w:bottom w:val="none" w:sz="0" w:space="0" w:color="auto"/>
            <w:right w:val="none" w:sz="0" w:space="0" w:color="auto"/>
          </w:divBdr>
          <w:divsChild>
            <w:div w:id="1600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81176">
      <w:bodyDiv w:val="1"/>
      <w:marLeft w:val="0"/>
      <w:marRight w:val="0"/>
      <w:marTop w:val="0"/>
      <w:marBottom w:val="0"/>
      <w:divBdr>
        <w:top w:val="none" w:sz="0" w:space="0" w:color="auto"/>
        <w:left w:val="none" w:sz="0" w:space="0" w:color="auto"/>
        <w:bottom w:val="none" w:sz="0" w:space="0" w:color="auto"/>
        <w:right w:val="none" w:sz="0" w:space="0" w:color="auto"/>
      </w:divBdr>
    </w:div>
    <w:div w:id="670136524">
      <w:bodyDiv w:val="1"/>
      <w:marLeft w:val="0"/>
      <w:marRight w:val="0"/>
      <w:marTop w:val="0"/>
      <w:marBottom w:val="0"/>
      <w:divBdr>
        <w:top w:val="none" w:sz="0" w:space="0" w:color="auto"/>
        <w:left w:val="none" w:sz="0" w:space="0" w:color="auto"/>
        <w:bottom w:val="none" w:sz="0" w:space="0" w:color="auto"/>
        <w:right w:val="none" w:sz="0" w:space="0" w:color="auto"/>
      </w:divBdr>
      <w:divsChild>
        <w:div w:id="778260360">
          <w:marLeft w:val="0"/>
          <w:marRight w:val="0"/>
          <w:marTop w:val="0"/>
          <w:marBottom w:val="0"/>
          <w:divBdr>
            <w:top w:val="none" w:sz="0" w:space="0" w:color="auto"/>
            <w:left w:val="none" w:sz="0" w:space="0" w:color="auto"/>
            <w:bottom w:val="none" w:sz="0" w:space="0" w:color="auto"/>
            <w:right w:val="none" w:sz="0" w:space="0" w:color="auto"/>
          </w:divBdr>
          <w:divsChild>
            <w:div w:id="687952282">
              <w:marLeft w:val="0"/>
              <w:marRight w:val="0"/>
              <w:marTop w:val="0"/>
              <w:marBottom w:val="0"/>
              <w:divBdr>
                <w:top w:val="none" w:sz="0" w:space="0" w:color="auto"/>
                <w:left w:val="none" w:sz="0" w:space="0" w:color="auto"/>
                <w:bottom w:val="none" w:sz="0" w:space="0" w:color="auto"/>
                <w:right w:val="none" w:sz="0" w:space="0" w:color="auto"/>
              </w:divBdr>
              <w:divsChild>
                <w:div w:id="193731123">
                  <w:marLeft w:val="0"/>
                  <w:marRight w:val="0"/>
                  <w:marTop w:val="100"/>
                  <w:marBottom w:val="100"/>
                  <w:divBdr>
                    <w:top w:val="none" w:sz="0" w:space="0" w:color="auto"/>
                    <w:left w:val="none" w:sz="0" w:space="0" w:color="auto"/>
                    <w:bottom w:val="none" w:sz="0" w:space="0" w:color="auto"/>
                    <w:right w:val="none" w:sz="0" w:space="0" w:color="auto"/>
                  </w:divBdr>
                  <w:divsChild>
                    <w:div w:id="484203814">
                      <w:marLeft w:val="0"/>
                      <w:marRight w:val="0"/>
                      <w:marTop w:val="0"/>
                      <w:marBottom w:val="0"/>
                      <w:divBdr>
                        <w:top w:val="none" w:sz="0" w:space="0" w:color="auto"/>
                        <w:left w:val="none" w:sz="0" w:space="0" w:color="auto"/>
                        <w:bottom w:val="none" w:sz="0" w:space="0" w:color="auto"/>
                        <w:right w:val="none" w:sz="0" w:space="0" w:color="auto"/>
                      </w:divBdr>
                      <w:divsChild>
                        <w:div w:id="1857886714">
                          <w:marLeft w:val="0"/>
                          <w:marRight w:val="0"/>
                          <w:marTop w:val="0"/>
                          <w:marBottom w:val="0"/>
                          <w:divBdr>
                            <w:top w:val="none" w:sz="0" w:space="0" w:color="auto"/>
                            <w:left w:val="none" w:sz="0" w:space="0" w:color="auto"/>
                            <w:bottom w:val="none" w:sz="0" w:space="0" w:color="auto"/>
                            <w:right w:val="none" w:sz="0" w:space="0" w:color="auto"/>
                          </w:divBdr>
                          <w:divsChild>
                            <w:div w:id="729115912">
                              <w:marLeft w:val="0"/>
                              <w:marRight w:val="0"/>
                              <w:marTop w:val="0"/>
                              <w:marBottom w:val="0"/>
                              <w:divBdr>
                                <w:top w:val="none" w:sz="0" w:space="0" w:color="auto"/>
                                <w:left w:val="none" w:sz="0" w:space="0" w:color="auto"/>
                                <w:bottom w:val="none" w:sz="0" w:space="0" w:color="auto"/>
                                <w:right w:val="none" w:sz="0" w:space="0" w:color="auto"/>
                              </w:divBdr>
                              <w:divsChild>
                                <w:div w:id="1355956183">
                                  <w:marLeft w:val="0"/>
                                  <w:marRight w:val="0"/>
                                  <w:marTop w:val="0"/>
                                  <w:marBottom w:val="0"/>
                                  <w:divBdr>
                                    <w:top w:val="none" w:sz="0" w:space="0" w:color="auto"/>
                                    <w:left w:val="none" w:sz="0" w:space="0" w:color="auto"/>
                                    <w:bottom w:val="none" w:sz="0" w:space="0" w:color="auto"/>
                                    <w:right w:val="none" w:sz="0" w:space="0" w:color="auto"/>
                                  </w:divBdr>
                                  <w:divsChild>
                                    <w:div w:id="972444616">
                                      <w:marLeft w:val="0"/>
                                      <w:marRight w:val="0"/>
                                      <w:marTop w:val="0"/>
                                      <w:marBottom w:val="0"/>
                                      <w:divBdr>
                                        <w:top w:val="none" w:sz="0" w:space="0" w:color="auto"/>
                                        <w:left w:val="none" w:sz="0" w:space="0" w:color="auto"/>
                                        <w:bottom w:val="none" w:sz="0" w:space="0" w:color="auto"/>
                                        <w:right w:val="none" w:sz="0" w:space="0" w:color="auto"/>
                                      </w:divBdr>
                                      <w:divsChild>
                                        <w:div w:id="1959528977">
                                          <w:marLeft w:val="0"/>
                                          <w:marRight w:val="0"/>
                                          <w:marTop w:val="0"/>
                                          <w:marBottom w:val="0"/>
                                          <w:divBdr>
                                            <w:top w:val="none" w:sz="0" w:space="0" w:color="auto"/>
                                            <w:left w:val="none" w:sz="0" w:space="0" w:color="auto"/>
                                            <w:bottom w:val="none" w:sz="0" w:space="0" w:color="auto"/>
                                            <w:right w:val="none" w:sz="0" w:space="0" w:color="auto"/>
                                          </w:divBdr>
                                          <w:divsChild>
                                            <w:div w:id="766736879">
                                              <w:marLeft w:val="0"/>
                                              <w:marRight w:val="0"/>
                                              <w:marTop w:val="0"/>
                                              <w:marBottom w:val="0"/>
                                              <w:divBdr>
                                                <w:top w:val="single" w:sz="4" w:space="0" w:color="B6D444"/>
                                                <w:left w:val="none" w:sz="0" w:space="0" w:color="auto"/>
                                                <w:bottom w:val="none" w:sz="0" w:space="0" w:color="auto"/>
                                                <w:right w:val="none" w:sz="0" w:space="0" w:color="auto"/>
                                              </w:divBdr>
                                              <w:divsChild>
                                                <w:div w:id="19680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487632">
      <w:bodyDiv w:val="1"/>
      <w:marLeft w:val="0"/>
      <w:marRight w:val="0"/>
      <w:marTop w:val="0"/>
      <w:marBottom w:val="0"/>
      <w:divBdr>
        <w:top w:val="none" w:sz="0" w:space="0" w:color="auto"/>
        <w:left w:val="none" w:sz="0" w:space="0" w:color="auto"/>
        <w:bottom w:val="none" w:sz="0" w:space="0" w:color="auto"/>
        <w:right w:val="none" w:sz="0" w:space="0" w:color="auto"/>
      </w:divBdr>
      <w:divsChild>
        <w:div w:id="2042851393">
          <w:marLeft w:val="0"/>
          <w:marRight w:val="0"/>
          <w:marTop w:val="0"/>
          <w:marBottom w:val="0"/>
          <w:divBdr>
            <w:top w:val="single" w:sz="4" w:space="0" w:color="0E477A"/>
            <w:left w:val="single" w:sz="4" w:space="0" w:color="0E477A"/>
            <w:bottom w:val="single" w:sz="4" w:space="0" w:color="0E477A"/>
            <w:right w:val="single" w:sz="4" w:space="0" w:color="0E477A"/>
          </w:divBdr>
          <w:divsChild>
            <w:div w:id="929852487">
              <w:marLeft w:val="2442"/>
              <w:marRight w:val="0"/>
              <w:marTop w:val="0"/>
              <w:marBottom w:val="0"/>
              <w:divBdr>
                <w:top w:val="none" w:sz="0" w:space="0" w:color="auto"/>
                <w:left w:val="none" w:sz="0" w:space="0" w:color="auto"/>
                <w:bottom w:val="none" w:sz="0" w:space="0" w:color="auto"/>
                <w:right w:val="none" w:sz="0" w:space="0" w:color="auto"/>
              </w:divBdr>
              <w:divsChild>
                <w:div w:id="1211499625">
                  <w:marLeft w:val="0"/>
                  <w:marRight w:val="0"/>
                  <w:marTop w:val="0"/>
                  <w:marBottom w:val="0"/>
                  <w:divBdr>
                    <w:top w:val="none" w:sz="0" w:space="0" w:color="auto"/>
                    <w:left w:val="none" w:sz="0" w:space="0" w:color="auto"/>
                    <w:bottom w:val="none" w:sz="0" w:space="0" w:color="auto"/>
                    <w:right w:val="none" w:sz="0" w:space="0" w:color="auto"/>
                  </w:divBdr>
                  <w:divsChild>
                    <w:div w:id="967928161">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671956291">
      <w:bodyDiv w:val="1"/>
      <w:marLeft w:val="0"/>
      <w:marRight w:val="0"/>
      <w:marTop w:val="0"/>
      <w:marBottom w:val="0"/>
      <w:divBdr>
        <w:top w:val="none" w:sz="0" w:space="0" w:color="auto"/>
        <w:left w:val="none" w:sz="0" w:space="0" w:color="auto"/>
        <w:bottom w:val="none" w:sz="0" w:space="0" w:color="auto"/>
        <w:right w:val="none" w:sz="0" w:space="0" w:color="auto"/>
      </w:divBdr>
      <w:divsChild>
        <w:div w:id="397754433">
          <w:marLeft w:val="0"/>
          <w:marRight w:val="0"/>
          <w:marTop w:val="0"/>
          <w:marBottom w:val="0"/>
          <w:divBdr>
            <w:top w:val="none" w:sz="0" w:space="0" w:color="auto"/>
            <w:left w:val="none" w:sz="0" w:space="0" w:color="auto"/>
            <w:bottom w:val="none" w:sz="0" w:space="0" w:color="auto"/>
            <w:right w:val="none" w:sz="0" w:space="0" w:color="auto"/>
          </w:divBdr>
          <w:divsChild>
            <w:div w:id="99878089">
              <w:marLeft w:val="0"/>
              <w:marRight w:val="0"/>
              <w:marTop w:val="0"/>
              <w:marBottom w:val="0"/>
              <w:divBdr>
                <w:top w:val="none" w:sz="0" w:space="0" w:color="auto"/>
                <w:left w:val="none" w:sz="0" w:space="0" w:color="auto"/>
                <w:bottom w:val="none" w:sz="0" w:space="0" w:color="auto"/>
                <w:right w:val="none" w:sz="0" w:space="0" w:color="auto"/>
              </w:divBdr>
              <w:divsChild>
                <w:div w:id="7505447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57618">
      <w:bodyDiv w:val="1"/>
      <w:marLeft w:val="0"/>
      <w:marRight w:val="0"/>
      <w:marTop w:val="0"/>
      <w:marBottom w:val="0"/>
      <w:divBdr>
        <w:top w:val="none" w:sz="0" w:space="0" w:color="auto"/>
        <w:left w:val="none" w:sz="0" w:space="0" w:color="auto"/>
        <w:bottom w:val="none" w:sz="0" w:space="0" w:color="auto"/>
        <w:right w:val="none" w:sz="0" w:space="0" w:color="auto"/>
      </w:divBdr>
      <w:divsChild>
        <w:div w:id="803737755">
          <w:marLeft w:val="0"/>
          <w:marRight w:val="0"/>
          <w:marTop w:val="0"/>
          <w:marBottom w:val="0"/>
          <w:divBdr>
            <w:top w:val="single" w:sz="2" w:space="0" w:color="AAAAAA"/>
            <w:left w:val="single" w:sz="6" w:space="8" w:color="AAAAAA"/>
            <w:bottom w:val="single" w:sz="2" w:space="0" w:color="AAAAAA"/>
            <w:right w:val="single" w:sz="6" w:space="8" w:color="AAAAAA"/>
          </w:divBdr>
          <w:divsChild>
            <w:div w:id="536238144">
              <w:marLeft w:val="0"/>
              <w:marRight w:val="0"/>
              <w:marTop w:val="0"/>
              <w:marBottom w:val="0"/>
              <w:divBdr>
                <w:top w:val="none" w:sz="0" w:space="0" w:color="auto"/>
                <w:left w:val="none" w:sz="0" w:space="0" w:color="auto"/>
                <w:bottom w:val="none" w:sz="0" w:space="0" w:color="auto"/>
                <w:right w:val="none" w:sz="0" w:space="0" w:color="auto"/>
              </w:divBdr>
              <w:divsChild>
                <w:div w:id="1423839978">
                  <w:marLeft w:val="0"/>
                  <w:marRight w:val="0"/>
                  <w:marTop w:val="0"/>
                  <w:marBottom w:val="0"/>
                  <w:divBdr>
                    <w:top w:val="none" w:sz="0" w:space="0" w:color="auto"/>
                    <w:left w:val="none" w:sz="0" w:space="0" w:color="auto"/>
                    <w:bottom w:val="none" w:sz="0" w:space="0" w:color="auto"/>
                    <w:right w:val="none" w:sz="0" w:space="0" w:color="auto"/>
                  </w:divBdr>
                  <w:divsChild>
                    <w:div w:id="583611578">
                      <w:marLeft w:val="0"/>
                      <w:marRight w:val="2550"/>
                      <w:marTop w:val="0"/>
                      <w:marBottom w:val="48"/>
                      <w:divBdr>
                        <w:top w:val="none" w:sz="0" w:space="0" w:color="auto"/>
                        <w:left w:val="none" w:sz="0" w:space="0" w:color="auto"/>
                        <w:bottom w:val="none" w:sz="0" w:space="0" w:color="auto"/>
                        <w:right w:val="none" w:sz="0" w:space="0" w:color="auto"/>
                      </w:divBdr>
                      <w:divsChild>
                        <w:div w:id="5905106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3727222">
      <w:bodyDiv w:val="1"/>
      <w:marLeft w:val="0"/>
      <w:marRight w:val="0"/>
      <w:marTop w:val="0"/>
      <w:marBottom w:val="0"/>
      <w:divBdr>
        <w:top w:val="none" w:sz="0" w:space="0" w:color="auto"/>
        <w:left w:val="none" w:sz="0" w:space="0" w:color="auto"/>
        <w:bottom w:val="none" w:sz="0" w:space="0" w:color="auto"/>
        <w:right w:val="none" w:sz="0" w:space="0" w:color="auto"/>
      </w:divBdr>
      <w:divsChild>
        <w:div w:id="2131586353">
          <w:marLeft w:val="0"/>
          <w:marRight w:val="0"/>
          <w:marTop w:val="0"/>
          <w:marBottom w:val="0"/>
          <w:divBdr>
            <w:top w:val="single" w:sz="2" w:space="0" w:color="AAAAAA"/>
            <w:left w:val="single" w:sz="6" w:space="8" w:color="AAAAAA"/>
            <w:bottom w:val="single" w:sz="2" w:space="0" w:color="AAAAAA"/>
            <w:right w:val="single" w:sz="6" w:space="8" w:color="AAAAAA"/>
          </w:divBdr>
          <w:divsChild>
            <w:div w:id="1160803990">
              <w:marLeft w:val="0"/>
              <w:marRight w:val="0"/>
              <w:marTop w:val="0"/>
              <w:marBottom w:val="0"/>
              <w:divBdr>
                <w:top w:val="none" w:sz="0" w:space="0" w:color="auto"/>
                <w:left w:val="none" w:sz="0" w:space="0" w:color="auto"/>
                <w:bottom w:val="none" w:sz="0" w:space="0" w:color="auto"/>
                <w:right w:val="none" w:sz="0" w:space="0" w:color="auto"/>
              </w:divBdr>
              <w:divsChild>
                <w:div w:id="262035988">
                  <w:marLeft w:val="0"/>
                  <w:marRight w:val="0"/>
                  <w:marTop w:val="0"/>
                  <w:marBottom w:val="0"/>
                  <w:divBdr>
                    <w:top w:val="none" w:sz="0" w:space="0" w:color="auto"/>
                    <w:left w:val="none" w:sz="0" w:space="0" w:color="auto"/>
                    <w:bottom w:val="none" w:sz="0" w:space="0" w:color="auto"/>
                    <w:right w:val="none" w:sz="0" w:space="0" w:color="auto"/>
                  </w:divBdr>
                  <w:divsChild>
                    <w:div w:id="936713248">
                      <w:marLeft w:val="0"/>
                      <w:marRight w:val="2550"/>
                      <w:marTop w:val="0"/>
                      <w:marBottom w:val="48"/>
                      <w:divBdr>
                        <w:top w:val="none" w:sz="0" w:space="0" w:color="auto"/>
                        <w:left w:val="none" w:sz="0" w:space="0" w:color="auto"/>
                        <w:bottom w:val="none" w:sz="0" w:space="0" w:color="auto"/>
                        <w:right w:val="none" w:sz="0" w:space="0" w:color="auto"/>
                      </w:divBdr>
                      <w:divsChild>
                        <w:div w:id="9407970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4040802">
      <w:bodyDiv w:val="1"/>
      <w:marLeft w:val="0"/>
      <w:marRight w:val="0"/>
      <w:marTop w:val="0"/>
      <w:marBottom w:val="0"/>
      <w:divBdr>
        <w:top w:val="none" w:sz="0" w:space="0" w:color="auto"/>
        <w:left w:val="none" w:sz="0" w:space="0" w:color="auto"/>
        <w:bottom w:val="none" w:sz="0" w:space="0" w:color="auto"/>
        <w:right w:val="none" w:sz="0" w:space="0" w:color="auto"/>
      </w:divBdr>
      <w:divsChild>
        <w:div w:id="1074859917">
          <w:marLeft w:val="0"/>
          <w:marRight w:val="0"/>
          <w:marTop w:val="0"/>
          <w:marBottom w:val="0"/>
          <w:divBdr>
            <w:top w:val="single" w:sz="6" w:space="0" w:color="0E477A"/>
            <w:left w:val="single" w:sz="6" w:space="0" w:color="0E477A"/>
            <w:bottom w:val="single" w:sz="6" w:space="0" w:color="0E477A"/>
            <w:right w:val="single" w:sz="6" w:space="0" w:color="0E477A"/>
          </w:divBdr>
          <w:divsChild>
            <w:div w:id="730228091">
              <w:marLeft w:val="2925"/>
              <w:marRight w:val="0"/>
              <w:marTop w:val="0"/>
              <w:marBottom w:val="0"/>
              <w:divBdr>
                <w:top w:val="none" w:sz="0" w:space="0" w:color="auto"/>
                <w:left w:val="none" w:sz="0" w:space="0" w:color="auto"/>
                <w:bottom w:val="none" w:sz="0" w:space="0" w:color="auto"/>
                <w:right w:val="none" w:sz="0" w:space="0" w:color="auto"/>
              </w:divBdr>
              <w:divsChild>
                <w:div w:id="146095917">
                  <w:marLeft w:val="0"/>
                  <w:marRight w:val="0"/>
                  <w:marTop w:val="0"/>
                  <w:marBottom w:val="0"/>
                  <w:divBdr>
                    <w:top w:val="none" w:sz="0" w:space="0" w:color="auto"/>
                    <w:left w:val="none" w:sz="0" w:space="0" w:color="auto"/>
                    <w:bottom w:val="none" w:sz="0" w:space="0" w:color="auto"/>
                    <w:right w:val="none" w:sz="0" w:space="0" w:color="auto"/>
                  </w:divBdr>
                  <w:divsChild>
                    <w:div w:id="2048020255">
                      <w:marLeft w:val="0"/>
                      <w:marRight w:val="150"/>
                      <w:marTop w:val="0"/>
                      <w:marBottom w:val="0"/>
                      <w:divBdr>
                        <w:top w:val="single" w:sz="6" w:space="0" w:color="CCCCCC"/>
                        <w:left w:val="single" w:sz="6" w:space="8" w:color="CCCCCC"/>
                        <w:bottom w:val="single" w:sz="6" w:space="8" w:color="CCCCCC"/>
                        <w:right w:val="single" w:sz="6" w:space="8" w:color="CCCCCC"/>
                      </w:divBdr>
                      <w:divsChild>
                        <w:div w:id="664892534">
                          <w:marLeft w:val="0"/>
                          <w:marRight w:val="0"/>
                          <w:marTop w:val="0"/>
                          <w:marBottom w:val="0"/>
                          <w:divBdr>
                            <w:top w:val="none" w:sz="0" w:space="0" w:color="auto"/>
                            <w:left w:val="none" w:sz="0" w:space="0" w:color="auto"/>
                            <w:bottom w:val="none" w:sz="0" w:space="0" w:color="auto"/>
                            <w:right w:val="none" w:sz="0" w:space="0" w:color="auto"/>
                          </w:divBdr>
                        </w:div>
                        <w:div w:id="189226558">
                          <w:marLeft w:val="0"/>
                          <w:marRight w:val="0"/>
                          <w:marTop w:val="0"/>
                          <w:marBottom w:val="0"/>
                          <w:divBdr>
                            <w:top w:val="none" w:sz="0" w:space="0" w:color="auto"/>
                            <w:left w:val="none" w:sz="0" w:space="0" w:color="auto"/>
                            <w:bottom w:val="none" w:sz="0" w:space="0" w:color="auto"/>
                            <w:right w:val="none" w:sz="0" w:space="0" w:color="auto"/>
                          </w:divBdr>
                        </w:div>
                        <w:div w:id="322511948">
                          <w:marLeft w:val="0"/>
                          <w:marRight w:val="0"/>
                          <w:marTop w:val="0"/>
                          <w:marBottom w:val="0"/>
                          <w:divBdr>
                            <w:top w:val="none" w:sz="0" w:space="0" w:color="auto"/>
                            <w:left w:val="none" w:sz="0" w:space="0" w:color="auto"/>
                            <w:bottom w:val="none" w:sz="0" w:space="0" w:color="auto"/>
                            <w:right w:val="none" w:sz="0" w:space="0" w:color="auto"/>
                          </w:divBdr>
                        </w:div>
                        <w:div w:id="2093695668">
                          <w:marLeft w:val="0"/>
                          <w:marRight w:val="0"/>
                          <w:marTop w:val="0"/>
                          <w:marBottom w:val="0"/>
                          <w:divBdr>
                            <w:top w:val="none" w:sz="0" w:space="0" w:color="auto"/>
                            <w:left w:val="none" w:sz="0" w:space="0" w:color="auto"/>
                            <w:bottom w:val="none" w:sz="0" w:space="0" w:color="auto"/>
                            <w:right w:val="none" w:sz="0" w:space="0" w:color="auto"/>
                          </w:divBdr>
                        </w:div>
                        <w:div w:id="51973774">
                          <w:marLeft w:val="0"/>
                          <w:marRight w:val="0"/>
                          <w:marTop w:val="0"/>
                          <w:marBottom w:val="0"/>
                          <w:divBdr>
                            <w:top w:val="none" w:sz="0" w:space="0" w:color="auto"/>
                            <w:left w:val="none" w:sz="0" w:space="0" w:color="auto"/>
                            <w:bottom w:val="none" w:sz="0" w:space="0" w:color="auto"/>
                            <w:right w:val="none" w:sz="0" w:space="0" w:color="auto"/>
                          </w:divBdr>
                        </w:div>
                        <w:div w:id="1592466636">
                          <w:marLeft w:val="0"/>
                          <w:marRight w:val="0"/>
                          <w:marTop w:val="0"/>
                          <w:marBottom w:val="0"/>
                          <w:divBdr>
                            <w:top w:val="none" w:sz="0" w:space="0" w:color="auto"/>
                            <w:left w:val="none" w:sz="0" w:space="0" w:color="auto"/>
                            <w:bottom w:val="none" w:sz="0" w:space="0" w:color="auto"/>
                            <w:right w:val="none" w:sz="0" w:space="0" w:color="auto"/>
                          </w:divBdr>
                        </w:div>
                        <w:div w:id="1186553351">
                          <w:marLeft w:val="0"/>
                          <w:marRight w:val="0"/>
                          <w:marTop w:val="0"/>
                          <w:marBottom w:val="0"/>
                          <w:divBdr>
                            <w:top w:val="none" w:sz="0" w:space="0" w:color="auto"/>
                            <w:left w:val="none" w:sz="0" w:space="0" w:color="auto"/>
                            <w:bottom w:val="none" w:sz="0" w:space="0" w:color="auto"/>
                            <w:right w:val="none" w:sz="0" w:space="0" w:color="auto"/>
                          </w:divBdr>
                        </w:div>
                        <w:div w:id="15825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962838">
      <w:bodyDiv w:val="1"/>
      <w:marLeft w:val="0"/>
      <w:marRight w:val="0"/>
      <w:marTop w:val="0"/>
      <w:marBottom w:val="0"/>
      <w:divBdr>
        <w:top w:val="none" w:sz="0" w:space="0" w:color="auto"/>
        <w:left w:val="none" w:sz="0" w:space="0" w:color="auto"/>
        <w:bottom w:val="none" w:sz="0" w:space="0" w:color="auto"/>
        <w:right w:val="none" w:sz="0" w:space="0" w:color="auto"/>
      </w:divBdr>
    </w:div>
    <w:div w:id="676231346">
      <w:bodyDiv w:val="1"/>
      <w:marLeft w:val="0"/>
      <w:marRight w:val="0"/>
      <w:marTop w:val="0"/>
      <w:marBottom w:val="0"/>
      <w:divBdr>
        <w:top w:val="none" w:sz="0" w:space="0" w:color="auto"/>
        <w:left w:val="none" w:sz="0" w:space="0" w:color="auto"/>
        <w:bottom w:val="none" w:sz="0" w:space="0" w:color="auto"/>
        <w:right w:val="none" w:sz="0" w:space="0" w:color="auto"/>
      </w:divBdr>
      <w:divsChild>
        <w:div w:id="1069040379">
          <w:marLeft w:val="0"/>
          <w:marRight w:val="0"/>
          <w:marTop w:val="0"/>
          <w:marBottom w:val="0"/>
          <w:divBdr>
            <w:top w:val="none" w:sz="0" w:space="0" w:color="auto"/>
            <w:left w:val="none" w:sz="0" w:space="0" w:color="auto"/>
            <w:bottom w:val="none" w:sz="0" w:space="0" w:color="auto"/>
            <w:right w:val="none" w:sz="0" w:space="0" w:color="auto"/>
          </w:divBdr>
        </w:div>
      </w:divsChild>
    </w:div>
    <w:div w:id="676663602">
      <w:bodyDiv w:val="1"/>
      <w:marLeft w:val="0"/>
      <w:marRight w:val="0"/>
      <w:marTop w:val="0"/>
      <w:marBottom w:val="0"/>
      <w:divBdr>
        <w:top w:val="none" w:sz="0" w:space="0" w:color="auto"/>
        <w:left w:val="none" w:sz="0" w:space="0" w:color="auto"/>
        <w:bottom w:val="none" w:sz="0" w:space="0" w:color="auto"/>
        <w:right w:val="none" w:sz="0" w:space="0" w:color="auto"/>
      </w:divBdr>
      <w:divsChild>
        <w:div w:id="1682468382">
          <w:marLeft w:val="0"/>
          <w:marRight w:val="0"/>
          <w:marTop w:val="0"/>
          <w:marBottom w:val="0"/>
          <w:divBdr>
            <w:top w:val="none" w:sz="0" w:space="0" w:color="auto"/>
            <w:left w:val="none" w:sz="0" w:space="0" w:color="auto"/>
            <w:bottom w:val="none" w:sz="0" w:space="0" w:color="auto"/>
            <w:right w:val="none" w:sz="0" w:space="0" w:color="auto"/>
          </w:divBdr>
          <w:divsChild>
            <w:div w:id="1965573801">
              <w:marLeft w:val="0"/>
              <w:marRight w:val="0"/>
              <w:marTop w:val="0"/>
              <w:marBottom w:val="0"/>
              <w:divBdr>
                <w:top w:val="none" w:sz="0" w:space="0" w:color="auto"/>
                <w:left w:val="none" w:sz="0" w:space="0" w:color="auto"/>
                <w:bottom w:val="none" w:sz="0" w:space="0" w:color="auto"/>
                <w:right w:val="none" w:sz="0" w:space="0" w:color="auto"/>
              </w:divBdr>
              <w:divsChild>
                <w:div w:id="436365993">
                  <w:marLeft w:val="0"/>
                  <w:marRight w:val="0"/>
                  <w:marTop w:val="0"/>
                  <w:marBottom w:val="0"/>
                  <w:divBdr>
                    <w:top w:val="none" w:sz="0" w:space="0" w:color="auto"/>
                    <w:left w:val="none" w:sz="0" w:space="0" w:color="auto"/>
                    <w:bottom w:val="none" w:sz="0" w:space="0" w:color="auto"/>
                    <w:right w:val="none" w:sz="0" w:space="0" w:color="auto"/>
                  </w:divBdr>
                  <w:divsChild>
                    <w:div w:id="1696730751">
                      <w:marLeft w:val="0"/>
                      <w:marRight w:val="0"/>
                      <w:marTop w:val="0"/>
                      <w:marBottom w:val="0"/>
                      <w:divBdr>
                        <w:top w:val="none" w:sz="0" w:space="0" w:color="auto"/>
                        <w:left w:val="none" w:sz="0" w:space="0" w:color="auto"/>
                        <w:bottom w:val="none" w:sz="0" w:space="0" w:color="auto"/>
                        <w:right w:val="none" w:sz="0" w:space="0" w:color="auto"/>
                      </w:divBdr>
                      <w:divsChild>
                        <w:div w:id="140209365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77196257">
      <w:bodyDiv w:val="1"/>
      <w:marLeft w:val="0"/>
      <w:marRight w:val="0"/>
      <w:marTop w:val="0"/>
      <w:marBottom w:val="0"/>
      <w:divBdr>
        <w:top w:val="none" w:sz="0" w:space="0" w:color="auto"/>
        <w:left w:val="none" w:sz="0" w:space="0" w:color="auto"/>
        <w:bottom w:val="none" w:sz="0" w:space="0" w:color="auto"/>
        <w:right w:val="none" w:sz="0" w:space="0" w:color="auto"/>
      </w:divBdr>
      <w:divsChild>
        <w:div w:id="661851908">
          <w:marLeft w:val="0"/>
          <w:marRight w:val="0"/>
          <w:marTop w:val="0"/>
          <w:marBottom w:val="0"/>
          <w:divBdr>
            <w:top w:val="none" w:sz="0" w:space="0" w:color="auto"/>
            <w:left w:val="none" w:sz="0" w:space="0" w:color="auto"/>
            <w:bottom w:val="none" w:sz="0" w:space="0" w:color="auto"/>
            <w:right w:val="none" w:sz="0" w:space="0" w:color="auto"/>
          </w:divBdr>
          <w:divsChild>
            <w:div w:id="493496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677737248">
      <w:bodyDiv w:val="1"/>
      <w:marLeft w:val="0"/>
      <w:marRight w:val="0"/>
      <w:marTop w:val="0"/>
      <w:marBottom w:val="0"/>
      <w:divBdr>
        <w:top w:val="none" w:sz="0" w:space="0" w:color="auto"/>
        <w:left w:val="none" w:sz="0" w:space="0" w:color="auto"/>
        <w:bottom w:val="none" w:sz="0" w:space="0" w:color="auto"/>
        <w:right w:val="none" w:sz="0" w:space="0" w:color="auto"/>
      </w:divBdr>
    </w:div>
    <w:div w:id="677774906">
      <w:bodyDiv w:val="1"/>
      <w:marLeft w:val="0"/>
      <w:marRight w:val="0"/>
      <w:marTop w:val="0"/>
      <w:marBottom w:val="0"/>
      <w:divBdr>
        <w:top w:val="none" w:sz="0" w:space="0" w:color="auto"/>
        <w:left w:val="none" w:sz="0" w:space="0" w:color="auto"/>
        <w:bottom w:val="none" w:sz="0" w:space="0" w:color="auto"/>
        <w:right w:val="none" w:sz="0" w:space="0" w:color="auto"/>
      </w:divBdr>
      <w:divsChild>
        <w:div w:id="333656459">
          <w:marLeft w:val="0"/>
          <w:marRight w:val="0"/>
          <w:marTop w:val="0"/>
          <w:marBottom w:val="0"/>
          <w:divBdr>
            <w:top w:val="none" w:sz="0" w:space="0" w:color="auto"/>
            <w:left w:val="none" w:sz="0" w:space="0" w:color="auto"/>
            <w:bottom w:val="none" w:sz="0" w:space="0" w:color="auto"/>
            <w:right w:val="none" w:sz="0" w:space="0" w:color="auto"/>
          </w:divBdr>
          <w:divsChild>
            <w:div w:id="1587836173">
              <w:marLeft w:val="0"/>
              <w:marRight w:val="0"/>
              <w:marTop w:val="0"/>
              <w:marBottom w:val="0"/>
              <w:divBdr>
                <w:top w:val="none" w:sz="0" w:space="0" w:color="auto"/>
                <w:left w:val="none" w:sz="0" w:space="0" w:color="auto"/>
                <w:bottom w:val="none" w:sz="0" w:space="0" w:color="auto"/>
                <w:right w:val="none" w:sz="0" w:space="0" w:color="auto"/>
              </w:divBdr>
              <w:divsChild>
                <w:div w:id="1185830146">
                  <w:marLeft w:val="0"/>
                  <w:marRight w:val="0"/>
                  <w:marTop w:val="0"/>
                  <w:marBottom w:val="0"/>
                  <w:divBdr>
                    <w:top w:val="none" w:sz="0" w:space="0" w:color="auto"/>
                    <w:left w:val="none" w:sz="0" w:space="0" w:color="auto"/>
                    <w:bottom w:val="none" w:sz="0" w:space="0" w:color="auto"/>
                    <w:right w:val="none" w:sz="0" w:space="0" w:color="auto"/>
                  </w:divBdr>
                  <w:divsChild>
                    <w:div w:id="369040771">
                      <w:marLeft w:val="0"/>
                      <w:marRight w:val="0"/>
                      <w:marTop w:val="300"/>
                      <w:marBottom w:val="600"/>
                      <w:divBdr>
                        <w:top w:val="none" w:sz="0" w:space="0" w:color="auto"/>
                        <w:left w:val="none" w:sz="0" w:space="0" w:color="auto"/>
                        <w:bottom w:val="none" w:sz="0" w:space="0" w:color="auto"/>
                        <w:right w:val="none" w:sz="0" w:space="0" w:color="auto"/>
                      </w:divBdr>
                      <w:divsChild>
                        <w:div w:id="1532694102">
                          <w:marLeft w:val="0"/>
                          <w:marRight w:val="0"/>
                          <w:marTop w:val="0"/>
                          <w:marBottom w:val="0"/>
                          <w:divBdr>
                            <w:top w:val="none" w:sz="0" w:space="0" w:color="auto"/>
                            <w:left w:val="none" w:sz="0" w:space="0" w:color="auto"/>
                            <w:bottom w:val="none" w:sz="0" w:space="0" w:color="auto"/>
                            <w:right w:val="none" w:sz="0" w:space="0" w:color="auto"/>
                          </w:divBdr>
                          <w:divsChild>
                            <w:div w:id="927539288">
                              <w:marLeft w:val="0"/>
                              <w:marRight w:val="0"/>
                              <w:marTop w:val="0"/>
                              <w:marBottom w:val="0"/>
                              <w:divBdr>
                                <w:top w:val="none" w:sz="0" w:space="0" w:color="auto"/>
                                <w:left w:val="none" w:sz="0" w:space="0" w:color="auto"/>
                                <w:bottom w:val="none" w:sz="0" w:space="0" w:color="auto"/>
                                <w:right w:val="none" w:sz="0" w:space="0" w:color="auto"/>
                              </w:divBdr>
                              <w:divsChild>
                                <w:div w:id="1114667578">
                                  <w:marLeft w:val="0"/>
                                  <w:marRight w:val="0"/>
                                  <w:marTop w:val="0"/>
                                  <w:marBottom w:val="0"/>
                                  <w:divBdr>
                                    <w:top w:val="none" w:sz="0" w:space="0" w:color="auto"/>
                                    <w:left w:val="none" w:sz="0" w:space="0" w:color="auto"/>
                                    <w:bottom w:val="none" w:sz="0" w:space="0" w:color="auto"/>
                                    <w:right w:val="none" w:sz="0" w:space="0" w:color="auto"/>
                                  </w:divBdr>
                                  <w:divsChild>
                                    <w:div w:id="1572422142">
                                      <w:marLeft w:val="0"/>
                                      <w:marRight w:val="0"/>
                                      <w:marTop w:val="150"/>
                                      <w:marBottom w:val="0"/>
                                      <w:divBdr>
                                        <w:top w:val="none" w:sz="0" w:space="0" w:color="auto"/>
                                        <w:left w:val="none" w:sz="0" w:space="0" w:color="auto"/>
                                        <w:bottom w:val="none" w:sz="0" w:space="0" w:color="auto"/>
                                        <w:right w:val="none" w:sz="0" w:space="0" w:color="auto"/>
                                      </w:divBdr>
                                      <w:divsChild>
                                        <w:div w:id="2028603949">
                                          <w:marLeft w:val="0"/>
                                          <w:marRight w:val="0"/>
                                          <w:marTop w:val="0"/>
                                          <w:marBottom w:val="0"/>
                                          <w:divBdr>
                                            <w:top w:val="none" w:sz="0" w:space="0" w:color="auto"/>
                                            <w:left w:val="none" w:sz="0" w:space="0" w:color="auto"/>
                                            <w:bottom w:val="none" w:sz="0" w:space="0" w:color="auto"/>
                                            <w:right w:val="none" w:sz="0" w:space="0" w:color="auto"/>
                                          </w:divBdr>
                                          <w:divsChild>
                                            <w:div w:id="473524738">
                                              <w:marLeft w:val="0"/>
                                              <w:marRight w:val="0"/>
                                              <w:marTop w:val="0"/>
                                              <w:marBottom w:val="0"/>
                                              <w:divBdr>
                                                <w:top w:val="none" w:sz="0" w:space="0" w:color="auto"/>
                                                <w:left w:val="none" w:sz="0" w:space="0" w:color="auto"/>
                                                <w:bottom w:val="none" w:sz="0" w:space="0" w:color="auto"/>
                                                <w:right w:val="none" w:sz="0" w:space="0" w:color="auto"/>
                                              </w:divBdr>
                                              <w:divsChild>
                                                <w:div w:id="19950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776019">
      <w:bodyDiv w:val="1"/>
      <w:marLeft w:val="0"/>
      <w:marRight w:val="0"/>
      <w:marTop w:val="0"/>
      <w:marBottom w:val="0"/>
      <w:divBdr>
        <w:top w:val="none" w:sz="0" w:space="0" w:color="auto"/>
        <w:left w:val="none" w:sz="0" w:space="0" w:color="auto"/>
        <w:bottom w:val="none" w:sz="0" w:space="0" w:color="auto"/>
        <w:right w:val="none" w:sz="0" w:space="0" w:color="auto"/>
      </w:divBdr>
      <w:divsChild>
        <w:div w:id="1042898478">
          <w:marLeft w:val="0"/>
          <w:marRight w:val="0"/>
          <w:marTop w:val="0"/>
          <w:marBottom w:val="0"/>
          <w:divBdr>
            <w:top w:val="none" w:sz="0" w:space="0" w:color="auto"/>
            <w:left w:val="single" w:sz="6" w:space="15" w:color="B4B4B4"/>
            <w:bottom w:val="single" w:sz="6" w:space="0" w:color="B4B4B4"/>
            <w:right w:val="single" w:sz="6" w:space="15" w:color="B4B4B4"/>
          </w:divBdr>
          <w:divsChild>
            <w:div w:id="1357464072">
              <w:marLeft w:val="0"/>
              <w:marRight w:val="0"/>
              <w:marTop w:val="0"/>
              <w:marBottom w:val="0"/>
              <w:divBdr>
                <w:top w:val="none" w:sz="0" w:space="0" w:color="auto"/>
                <w:left w:val="none" w:sz="0" w:space="0" w:color="auto"/>
                <w:bottom w:val="none" w:sz="0" w:space="0" w:color="auto"/>
                <w:right w:val="none" w:sz="0" w:space="0" w:color="auto"/>
              </w:divBdr>
              <w:divsChild>
                <w:div w:id="60056725">
                  <w:marLeft w:val="-300"/>
                  <w:marRight w:val="0"/>
                  <w:marTop w:val="0"/>
                  <w:marBottom w:val="0"/>
                  <w:divBdr>
                    <w:top w:val="none" w:sz="0" w:space="0" w:color="auto"/>
                    <w:left w:val="none" w:sz="0" w:space="0" w:color="auto"/>
                    <w:bottom w:val="none" w:sz="0" w:space="0" w:color="auto"/>
                    <w:right w:val="none" w:sz="0" w:space="0" w:color="auto"/>
                  </w:divBdr>
                  <w:divsChild>
                    <w:div w:id="2006471085">
                      <w:marLeft w:val="0"/>
                      <w:marRight w:val="0"/>
                      <w:marTop w:val="0"/>
                      <w:marBottom w:val="0"/>
                      <w:divBdr>
                        <w:top w:val="none" w:sz="0" w:space="0" w:color="auto"/>
                        <w:left w:val="none" w:sz="0" w:space="0" w:color="auto"/>
                        <w:bottom w:val="none" w:sz="0" w:space="0" w:color="auto"/>
                        <w:right w:val="none" w:sz="0" w:space="0" w:color="auto"/>
                      </w:divBdr>
                      <w:divsChild>
                        <w:div w:id="1936548547">
                          <w:marLeft w:val="-300"/>
                          <w:marRight w:val="0"/>
                          <w:marTop w:val="0"/>
                          <w:marBottom w:val="0"/>
                          <w:divBdr>
                            <w:top w:val="none" w:sz="0" w:space="0" w:color="auto"/>
                            <w:left w:val="none" w:sz="0" w:space="0" w:color="auto"/>
                            <w:bottom w:val="none" w:sz="0" w:space="0" w:color="auto"/>
                            <w:right w:val="none" w:sz="0" w:space="0" w:color="auto"/>
                          </w:divBdr>
                          <w:divsChild>
                            <w:div w:id="255752036">
                              <w:marLeft w:val="0"/>
                              <w:marRight w:val="0"/>
                              <w:marTop w:val="0"/>
                              <w:marBottom w:val="0"/>
                              <w:divBdr>
                                <w:top w:val="none" w:sz="0" w:space="0" w:color="auto"/>
                                <w:left w:val="none" w:sz="0" w:space="0" w:color="auto"/>
                                <w:bottom w:val="none" w:sz="0" w:space="0" w:color="auto"/>
                                <w:right w:val="none" w:sz="0" w:space="0" w:color="auto"/>
                              </w:divBdr>
                              <w:divsChild>
                                <w:div w:id="1083261824">
                                  <w:marLeft w:val="0"/>
                                  <w:marRight w:val="0"/>
                                  <w:marTop w:val="0"/>
                                  <w:marBottom w:val="0"/>
                                  <w:divBdr>
                                    <w:top w:val="none" w:sz="0" w:space="0" w:color="auto"/>
                                    <w:left w:val="none" w:sz="0" w:space="0" w:color="auto"/>
                                    <w:bottom w:val="none" w:sz="0" w:space="0" w:color="auto"/>
                                    <w:right w:val="none" w:sz="0" w:space="0" w:color="auto"/>
                                  </w:divBdr>
                                  <w:divsChild>
                                    <w:div w:id="28077234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681934227">
      <w:bodyDiv w:val="1"/>
      <w:marLeft w:val="0"/>
      <w:marRight w:val="0"/>
      <w:marTop w:val="0"/>
      <w:marBottom w:val="0"/>
      <w:divBdr>
        <w:top w:val="none" w:sz="0" w:space="0" w:color="auto"/>
        <w:left w:val="none" w:sz="0" w:space="0" w:color="auto"/>
        <w:bottom w:val="none" w:sz="0" w:space="0" w:color="auto"/>
        <w:right w:val="none" w:sz="0" w:space="0" w:color="auto"/>
      </w:divBdr>
    </w:div>
    <w:div w:id="682977223">
      <w:bodyDiv w:val="1"/>
      <w:marLeft w:val="0"/>
      <w:marRight w:val="0"/>
      <w:marTop w:val="0"/>
      <w:marBottom w:val="0"/>
      <w:divBdr>
        <w:top w:val="none" w:sz="0" w:space="0" w:color="auto"/>
        <w:left w:val="none" w:sz="0" w:space="0" w:color="auto"/>
        <w:bottom w:val="none" w:sz="0" w:space="0" w:color="auto"/>
        <w:right w:val="none" w:sz="0" w:space="0" w:color="auto"/>
      </w:divBdr>
      <w:divsChild>
        <w:div w:id="1328435173">
          <w:marLeft w:val="0"/>
          <w:marRight w:val="0"/>
          <w:marTop w:val="0"/>
          <w:marBottom w:val="150"/>
          <w:divBdr>
            <w:top w:val="none" w:sz="0" w:space="0" w:color="auto"/>
            <w:left w:val="none" w:sz="0" w:space="0" w:color="auto"/>
            <w:bottom w:val="none" w:sz="0" w:space="0" w:color="auto"/>
            <w:right w:val="none" w:sz="0" w:space="0" w:color="auto"/>
          </w:divBdr>
          <w:divsChild>
            <w:div w:id="1061291619">
              <w:marLeft w:val="0"/>
              <w:marRight w:val="0"/>
              <w:marTop w:val="240"/>
              <w:marBottom w:val="240"/>
              <w:divBdr>
                <w:top w:val="single" w:sz="6" w:space="6" w:color="F2F2F2"/>
                <w:left w:val="none" w:sz="0" w:space="0" w:color="auto"/>
                <w:bottom w:val="single" w:sz="6" w:space="6" w:color="F2F2F2"/>
                <w:right w:val="none" w:sz="0" w:space="0" w:color="auto"/>
              </w:divBdr>
            </w:div>
            <w:div w:id="1026255518">
              <w:marLeft w:val="0"/>
              <w:marRight w:val="0"/>
              <w:marTop w:val="0"/>
              <w:marBottom w:val="0"/>
              <w:divBdr>
                <w:top w:val="none" w:sz="0" w:space="0" w:color="auto"/>
                <w:left w:val="none" w:sz="0" w:space="0" w:color="auto"/>
                <w:bottom w:val="none" w:sz="0" w:space="0" w:color="auto"/>
                <w:right w:val="none" w:sz="0" w:space="0" w:color="auto"/>
              </w:divBdr>
              <w:divsChild>
                <w:div w:id="346755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4210930">
      <w:bodyDiv w:val="1"/>
      <w:marLeft w:val="0"/>
      <w:marRight w:val="0"/>
      <w:marTop w:val="0"/>
      <w:marBottom w:val="0"/>
      <w:divBdr>
        <w:top w:val="none" w:sz="0" w:space="0" w:color="auto"/>
        <w:left w:val="none" w:sz="0" w:space="0" w:color="auto"/>
        <w:bottom w:val="none" w:sz="0" w:space="0" w:color="auto"/>
        <w:right w:val="none" w:sz="0" w:space="0" w:color="auto"/>
      </w:divBdr>
    </w:div>
    <w:div w:id="684281767">
      <w:bodyDiv w:val="1"/>
      <w:marLeft w:val="0"/>
      <w:marRight w:val="0"/>
      <w:marTop w:val="0"/>
      <w:marBottom w:val="0"/>
      <w:divBdr>
        <w:top w:val="none" w:sz="0" w:space="0" w:color="auto"/>
        <w:left w:val="none" w:sz="0" w:space="0" w:color="auto"/>
        <w:bottom w:val="none" w:sz="0" w:space="0" w:color="auto"/>
        <w:right w:val="none" w:sz="0" w:space="0" w:color="auto"/>
      </w:divBdr>
    </w:div>
    <w:div w:id="685518741">
      <w:bodyDiv w:val="1"/>
      <w:marLeft w:val="0"/>
      <w:marRight w:val="0"/>
      <w:marTop w:val="0"/>
      <w:marBottom w:val="0"/>
      <w:divBdr>
        <w:top w:val="none" w:sz="0" w:space="0" w:color="auto"/>
        <w:left w:val="none" w:sz="0" w:space="0" w:color="auto"/>
        <w:bottom w:val="none" w:sz="0" w:space="0" w:color="auto"/>
        <w:right w:val="none" w:sz="0" w:space="0" w:color="auto"/>
      </w:divBdr>
      <w:divsChild>
        <w:div w:id="976183270">
          <w:marLeft w:val="0"/>
          <w:marRight w:val="0"/>
          <w:marTop w:val="0"/>
          <w:marBottom w:val="0"/>
          <w:divBdr>
            <w:top w:val="none" w:sz="0" w:space="0" w:color="auto"/>
            <w:left w:val="none" w:sz="0" w:space="0" w:color="auto"/>
            <w:bottom w:val="none" w:sz="0" w:space="0" w:color="auto"/>
            <w:right w:val="none" w:sz="0" w:space="0" w:color="auto"/>
          </w:divBdr>
          <w:divsChild>
            <w:div w:id="2132359123">
              <w:marLeft w:val="0"/>
              <w:marRight w:val="0"/>
              <w:marTop w:val="0"/>
              <w:marBottom w:val="0"/>
              <w:divBdr>
                <w:top w:val="none" w:sz="0" w:space="0" w:color="auto"/>
                <w:left w:val="none" w:sz="0" w:space="0" w:color="auto"/>
                <w:bottom w:val="none" w:sz="0" w:space="0" w:color="auto"/>
                <w:right w:val="none" w:sz="0" w:space="0" w:color="auto"/>
              </w:divBdr>
              <w:divsChild>
                <w:div w:id="185755558">
                  <w:marLeft w:val="0"/>
                  <w:marRight w:val="0"/>
                  <w:marTop w:val="0"/>
                  <w:marBottom w:val="0"/>
                  <w:divBdr>
                    <w:top w:val="none" w:sz="0" w:space="0" w:color="auto"/>
                    <w:left w:val="none" w:sz="0" w:space="0" w:color="auto"/>
                    <w:bottom w:val="none" w:sz="0" w:space="0" w:color="auto"/>
                    <w:right w:val="none" w:sz="0" w:space="0" w:color="auto"/>
                  </w:divBdr>
                  <w:divsChild>
                    <w:div w:id="1513177403">
                      <w:marLeft w:val="0"/>
                      <w:marRight w:val="0"/>
                      <w:marTop w:val="0"/>
                      <w:marBottom w:val="0"/>
                      <w:divBdr>
                        <w:top w:val="none" w:sz="0" w:space="0" w:color="auto"/>
                        <w:left w:val="none" w:sz="0" w:space="0" w:color="auto"/>
                        <w:bottom w:val="none" w:sz="0" w:space="0" w:color="auto"/>
                        <w:right w:val="none" w:sz="0" w:space="0" w:color="auto"/>
                      </w:divBdr>
                      <w:divsChild>
                        <w:div w:id="69962166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88529722">
      <w:bodyDiv w:val="1"/>
      <w:marLeft w:val="0"/>
      <w:marRight w:val="0"/>
      <w:marTop w:val="0"/>
      <w:marBottom w:val="0"/>
      <w:divBdr>
        <w:top w:val="none" w:sz="0" w:space="0" w:color="auto"/>
        <w:left w:val="none" w:sz="0" w:space="0" w:color="auto"/>
        <w:bottom w:val="none" w:sz="0" w:space="0" w:color="auto"/>
        <w:right w:val="none" w:sz="0" w:space="0" w:color="auto"/>
      </w:divBdr>
      <w:divsChild>
        <w:div w:id="2124109644">
          <w:marLeft w:val="0"/>
          <w:marRight w:val="0"/>
          <w:marTop w:val="150"/>
          <w:marBottom w:val="0"/>
          <w:divBdr>
            <w:top w:val="none" w:sz="0" w:space="0" w:color="auto"/>
            <w:left w:val="none" w:sz="0" w:space="0" w:color="auto"/>
            <w:bottom w:val="none" w:sz="0" w:space="0" w:color="auto"/>
            <w:right w:val="none" w:sz="0" w:space="0" w:color="auto"/>
          </w:divBdr>
          <w:divsChild>
            <w:div w:id="1911186662">
              <w:marLeft w:val="2"/>
              <w:marRight w:val="2"/>
              <w:marTop w:val="0"/>
              <w:marBottom w:val="0"/>
              <w:divBdr>
                <w:top w:val="none" w:sz="0" w:space="0" w:color="auto"/>
                <w:left w:val="none" w:sz="0" w:space="0" w:color="auto"/>
                <w:bottom w:val="none" w:sz="0" w:space="0" w:color="auto"/>
                <w:right w:val="none" w:sz="0" w:space="0" w:color="auto"/>
              </w:divBdr>
              <w:divsChild>
                <w:div w:id="1251622502">
                  <w:marLeft w:val="0"/>
                  <w:marRight w:val="0"/>
                  <w:marTop w:val="0"/>
                  <w:marBottom w:val="0"/>
                  <w:divBdr>
                    <w:top w:val="none" w:sz="0" w:space="0" w:color="auto"/>
                    <w:left w:val="none" w:sz="0" w:space="0" w:color="auto"/>
                    <w:bottom w:val="none" w:sz="0" w:space="0" w:color="auto"/>
                    <w:right w:val="none" w:sz="0" w:space="0" w:color="auto"/>
                  </w:divBdr>
                  <w:divsChild>
                    <w:div w:id="13264054">
                      <w:marLeft w:val="0"/>
                      <w:marRight w:val="0"/>
                      <w:marTop w:val="0"/>
                      <w:marBottom w:val="0"/>
                      <w:divBdr>
                        <w:top w:val="none" w:sz="0" w:space="0" w:color="auto"/>
                        <w:left w:val="none" w:sz="0" w:space="0" w:color="auto"/>
                        <w:bottom w:val="none" w:sz="0" w:space="0" w:color="auto"/>
                        <w:right w:val="none" w:sz="0" w:space="0" w:color="auto"/>
                      </w:divBdr>
                      <w:divsChild>
                        <w:div w:id="29186468">
                          <w:marLeft w:val="0"/>
                          <w:marRight w:val="0"/>
                          <w:marTop w:val="0"/>
                          <w:marBottom w:val="0"/>
                          <w:divBdr>
                            <w:top w:val="none" w:sz="0" w:space="0" w:color="auto"/>
                            <w:left w:val="none" w:sz="0" w:space="0" w:color="auto"/>
                            <w:bottom w:val="none" w:sz="0" w:space="0" w:color="auto"/>
                            <w:right w:val="none" w:sz="0" w:space="0" w:color="auto"/>
                          </w:divBdr>
                          <w:divsChild>
                            <w:div w:id="837114209">
                              <w:marLeft w:val="0"/>
                              <w:marRight w:val="0"/>
                              <w:marTop w:val="0"/>
                              <w:marBottom w:val="0"/>
                              <w:divBdr>
                                <w:top w:val="none" w:sz="0" w:space="0" w:color="auto"/>
                                <w:left w:val="none" w:sz="0" w:space="0" w:color="auto"/>
                                <w:bottom w:val="none" w:sz="0" w:space="0" w:color="auto"/>
                                <w:right w:val="none" w:sz="0" w:space="0" w:color="auto"/>
                              </w:divBdr>
                              <w:divsChild>
                                <w:div w:id="1980956943">
                                  <w:marLeft w:val="0"/>
                                  <w:marRight w:val="0"/>
                                  <w:marTop w:val="0"/>
                                  <w:marBottom w:val="0"/>
                                  <w:divBdr>
                                    <w:top w:val="none" w:sz="0" w:space="0" w:color="auto"/>
                                    <w:left w:val="none" w:sz="0" w:space="0" w:color="auto"/>
                                    <w:bottom w:val="none" w:sz="0" w:space="0" w:color="auto"/>
                                    <w:right w:val="none" w:sz="0" w:space="0" w:color="auto"/>
                                  </w:divBdr>
                                  <w:divsChild>
                                    <w:div w:id="721562916">
                                      <w:marLeft w:val="0"/>
                                      <w:marRight w:val="0"/>
                                      <w:marTop w:val="0"/>
                                      <w:marBottom w:val="0"/>
                                      <w:divBdr>
                                        <w:top w:val="none" w:sz="0" w:space="0" w:color="auto"/>
                                        <w:left w:val="none" w:sz="0" w:space="0" w:color="auto"/>
                                        <w:bottom w:val="none" w:sz="0" w:space="0" w:color="auto"/>
                                        <w:right w:val="none" w:sz="0" w:space="0" w:color="auto"/>
                                      </w:divBdr>
                                      <w:divsChild>
                                        <w:div w:id="1989161301">
                                          <w:marLeft w:val="0"/>
                                          <w:marRight w:val="0"/>
                                          <w:marTop w:val="0"/>
                                          <w:marBottom w:val="0"/>
                                          <w:divBdr>
                                            <w:top w:val="none" w:sz="0" w:space="0" w:color="auto"/>
                                            <w:left w:val="none" w:sz="0" w:space="0" w:color="auto"/>
                                            <w:bottom w:val="none" w:sz="0" w:space="0" w:color="auto"/>
                                            <w:right w:val="none" w:sz="0" w:space="0" w:color="auto"/>
                                          </w:divBdr>
                                        </w:div>
                                      </w:divsChild>
                                    </w:div>
                                    <w:div w:id="975640851">
                                      <w:marLeft w:val="0"/>
                                      <w:marRight w:val="0"/>
                                      <w:marTop w:val="0"/>
                                      <w:marBottom w:val="0"/>
                                      <w:divBdr>
                                        <w:top w:val="none" w:sz="0" w:space="0" w:color="auto"/>
                                        <w:left w:val="none" w:sz="0" w:space="0" w:color="auto"/>
                                        <w:bottom w:val="none" w:sz="0" w:space="0" w:color="auto"/>
                                        <w:right w:val="none" w:sz="0" w:space="0" w:color="auto"/>
                                      </w:divBdr>
                                      <w:divsChild>
                                        <w:div w:id="928932062">
                                          <w:marLeft w:val="0"/>
                                          <w:marRight w:val="0"/>
                                          <w:marTop w:val="0"/>
                                          <w:marBottom w:val="0"/>
                                          <w:divBdr>
                                            <w:top w:val="none" w:sz="0" w:space="0" w:color="auto"/>
                                            <w:left w:val="none" w:sz="0" w:space="0" w:color="auto"/>
                                            <w:bottom w:val="none" w:sz="0" w:space="0" w:color="auto"/>
                                            <w:right w:val="none" w:sz="0" w:space="0" w:color="auto"/>
                                          </w:divBdr>
                                          <w:divsChild>
                                            <w:div w:id="1088232400">
                                              <w:marLeft w:val="0"/>
                                              <w:marRight w:val="0"/>
                                              <w:marTop w:val="0"/>
                                              <w:marBottom w:val="0"/>
                                              <w:divBdr>
                                                <w:top w:val="none" w:sz="0" w:space="0" w:color="auto"/>
                                                <w:left w:val="none" w:sz="0" w:space="0" w:color="auto"/>
                                                <w:bottom w:val="none" w:sz="0" w:space="0" w:color="auto"/>
                                                <w:right w:val="none" w:sz="0" w:space="0" w:color="auto"/>
                                              </w:divBdr>
                                              <w:divsChild>
                                                <w:div w:id="1686126011">
                                                  <w:marLeft w:val="0"/>
                                                  <w:marRight w:val="0"/>
                                                  <w:marTop w:val="0"/>
                                                  <w:marBottom w:val="0"/>
                                                  <w:divBdr>
                                                    <w:top w:val="none" w:sz="0" w:space="0" w:color="auto"/>
                                                    <w:left w:val="none" w:sz="0" w:space="0" w:color="auto"/>
                                                    <w:bottom w:val="none" w:sz="0" w:space="0" w:color="auto"/>
                                                    <w:right w:val="none" w:sz="0" w:space="0" w:color="auto"/>
                                                  </w:divBdr>
                                                  <w:divsChild>
                                                    <w:div w:id="13267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5793">
                                              <w:marLeft w:val="0"/>
                                              <w:marRight w:val="0"/>
                                              <w:marTop w:val="0"/>
                                              <w:marBottom w:val="0"/>
                                              <w:divBdr>
                                                <w:top w:val="none" w:sz="0" w:space="0" w:color="auto"/>
                                                <w:left w:val="none" w:sz="0" w:space="0" w:color="auto"/>
                                                <w:bottom w:val="none" w:sz="0" w:space="0" w:color="auto"/>
                                                <w:right w:val="none" w:sz="0" w:space="0" w:color="auto"/>
                                              </w:divBdr>
                                              <w:divsChild>
                                                <w:div w:id="820345997">
                                                  <w:marLeft w:val="0"/>
                                                  <w:marRight w:val="0"/>
                                                  <w:marTop w:val="0"/>
                                                  <w:marBottom w:val="0"/>
                                                  <w:divBdr>
                                                    <w:top w:val="none" w:sz="0" w:space="0" w:color="auto"/>
                                                    <w:left w:val="none" w:sz="0" w:space="0" w:color="auto"/>
                                                    <w:bottom w:val="none" w:sz="0" w:space="0" w:color="auto"/>
                                                    <w:right w:val="none" w:sz="0" w:space="0" w:color="auto"/>
                                                  </w:divBdr>
                                                  <w:divsChild>
                                                    <w:div w:id="3695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691406">
      <w:bodyDiv w:val="1"/>
      <w:marLeft w:val="0"/>
      <w:marRight w:val="0"/>
      <w:marTop w:val="0"/>
      <w:marBottom w:val="0"/>
      <w:divBdr>
        <w:top w:val="none" w:sz="0" w:space="0" w:color="auto"/>
        <w:left w:val="none" w:sz="0" w:space="0" w:color="auto"/>
        <w:bottom w:val="none" w:sz="0" w:space="0" w:color="auto"/>
        <w:right w:val="none" w:sz="0" w:space="0" w:color="auto"/>
      </w:divBdr>
      <w:divsChild>
        <w:div w:id="1360201169">
          <w:marLeft w:val="0"/>
          <w:marRight w:val="0"/>
          <w:marTop w:val="0"/>
          <w:marBottom w:val="450"/>
          <w:divBdr>
            <w:top w:val="none" w:sz="0" w:space="0" w:color="auto"/>
            <w:left w:val="none" w:sz="0" w:space="0" w:color="auto"/>
            <w:bottom w:val="none" w:sz="0" w:space="0" w:color="auto"/>
            <w:right w:val="none" w:sz="0" w:space="0" w:color="auto"/>
          </w:divBdr>
        </w:div>
      </w:divsChild>
    </w:div>
    <w:div w:id="691418413">
      <w:bodyDiv w:val="1"/>
      <w:marLeft w:val="0"/>
      <w:marRight w:val="0"/>
      <w:marTop w:val="0"/>
      <w:marBottom w:val="0"/>
      <w:divBdr>
        <w:top w:val="none" w:sz="0" w:space="0" w:color="auto"/>
        <w:left w:val="none" w:sz="0" w:space="0" w:color="auto"/>
        <w:bottom w:val="none" w:sz="0" w:space="0" w:color="auto"/>
        <w:right w:val="none" w:sz="0" w:space="0" w:color="auto"/>
      </w:divBdr>
      <w:divsChild>
        <w:div w:id="29570306">
          <w:marLeft w:val="0"/>
          <w:marRight w:val="0"/>
          <w:marTop w:val="0"/>
          <w:marBottom w:val="0"/>
          <w:divBdr>
            <w:top w:val="none" w:sz="0" w:space="0" w:color="auto"/>
            <w:left w:val="none" w:sz="0" w:space="0" w:color="auto"/>
            <w:bottom w:val="none" w:sz="0" w:space="0" w:color="auto"/>
            <w:right w:val="none" w:sz="0" w:space="0" w:color="auto"/>
          </w:divBdr>
          <w:divsChild>
            <w:div w:id="961229577">
              <w:marLeft w:val="0"/>
              <w:marRight w:val="0"/>
              <w:marTop w:val="0"/>
              <w:marBottom w:val="0"/>
              <w:divBdr>
                <w:top w:val="none" w:sz="0" w:space="0" w:color="auto"/>
                <w:left w:val="none" w:sz="0" w:space="0" w:color="auto"/>
                <w:bottom w:val="none" w:sz="0" w:space="0" w:color="auto"/>
                <w:right w:val="none" w:sz="0" w:space="0" w:color="auto"/>
              </w:divBdr>
              <w:divsChild>
                <w:div w:id="2010517153">
                  <w:marLeft w:val="0"/>
                  <w:marRight w:val="0"/>
                  <w:marTop w:val="0"/>
                  <w:marBottom w:val="0"/>
                  <w:divBdr>
                    <w:top w:val="none" w:sz="0" w:space="0" w:color="auto"/>
                    <w:left w:val="none" w:sz="0" w:space="0" w:color="auto"/>
                    <w:bottom w:val="none" w:sz="0" w:space="0" w:color="auto"/>
                    <w:right w:val="none" w:sz="0" w:space="0" w:color="auto"/>
                  </w:divBdr>
                  <w:divsChild>
                    <w:div w:id="243879641">
                      <w:marLeft w:val="0"/>
                      <w:marRight w:val="0"/>
                      <w:marTop w:val="300"/>
                      <w:marBottom w:val="600"/>
                      <w:divBdr>
                        <w:top w:val="none" w:sz="0" w:space="0" w:color="auto"/>
                        <w:left w:val="none" w:sz="0" w:space="0" w:color="auto"/>
                        <w:bottom w:val="none" w:sz="0" w:space="0" w:color="auto"/>
                        <w:right w:val="none" w:sz="0" w:space="0" w:color="auto"/>
                      </w:divBdr>
                      <w:divsChild>
                        <w:div w:id="2061125861">
                          <w:marLeft w:val="0"/>
                          <w:marRight w:val="0"/>
                          <w:marTop w:val="0"/>
                          <w:marBottom w:val="0"/>
                          <w:divBdr>
                            <w:top w:val="none" w:sz="0" w:space="0" w:color="auto"/>
                            <w:left w:val="none" w:sz="0" w:space="0" w:color="auto"/>
                            <w:bottom w:val="none" w:sz="0" w:space="0" w:color="auto"/>
                            <w:right w:val="none" w:sz="0" w:space="0" w:color="auto"/>
                          </w:divBdr>
                          <w:divsChild>
                            <w:div w:id="415639164">
                              <w:marLeft w:val="0"/>
                              <w:marRight w:val="0"/>
                              <w:marTop w:val="0"/>
                              <w:marBottom w:val="0"/>
                              <w:divBdr>
                                <w:top w:val="none" w:sz="0" w:space="0" w:color="auto"/>
                                <w:left w:val="none" w:sz="0" w:space="0" w:color="auto"/>
                                <w:bottom w:val="none" w:sz="0" w:space="0" w:color="auto"/>
                                <w:right w:val="none" w:sz="0" w:space="0" w:color="auto"/>
                              </w:divBdr>
                              <w:divsChild>
                                <w:div w:id="1001155832">
                                  <w:marLeft w:val="0"/>
                                  <w:marRight w:val="0"/>
                                  <w:marTop w:val="0"/>
                                  <w:marBottom w:val="0"/>
                                  <w:divBdr>
                                    <w:top w:val="none" w:sz="0" w:space="0" w:color="auto"/>
                                    <w:left w:val="none" w:sz="0" w:space="0" w:color="auto"/>
                                    <w:bottom w:val="none" w:sz="0" w:space="0" w:color="auto"/>
                                    <w:right w:val="none" w:sz="0" w:space="0" w:color="auto"/>
                                  </w:divBdr>
                                  <w:divsChild>
                                    <w:div w:id="1822653277">
                                      <w:marLeft w:val="0"/>
                                      <w:marRight w:val="0"/>
                                      <w:marTop w:val="150"/>
                                      <w:marBottom w:val="0"/>
                                      <w:divBdr>
                                        <w:top w:val="none" w:sz="0" w:space="0" w:color="auto"/>
                                        <w:left w:val="none" w:sz="0" w:space="0" w:color="auto"/>
                                        <w:bottom w:val="none" w:sz="0" w:space="0" w:color="auto"/>
                                        <w:right w:val="none" w:sz="0" w:space="0" w:color="auto"/>
                                      </w:divBdr>
                                      <w:divsChild>
                                        <w:div w:id="131295242">
                                          <w:marLeft w:val="0"/>
                                          <w:marRight w:val="0"/>
                                          <w:marTop w:val="0"/>
                                          <w:marBottom w:val="0"/>
                                          <w:divBdr>
                                            <w:top w:val="none" w:sz="0" w:space="0" w:color="auto"/>
                                            <w:left w:val="none" w:sz="0" w:space="0" w:color="auto"/>
                                            <w:bottom w:val="none" w:sz="0" w:space="0" w:color="auto"/>
                                            <w:right w:val="none" w:sz="0" w:space="0" w:color="auto"/>
                                          </w:divBdr>
                                          <w:divsChild>
                                            <w:div w:id="1572158341">
                                              <w:marLeft w:val="0"/>
                                              <w:marRight w:val="0"/>
                                              <w:marTop w:val="0"/>
                                              <w:marBottom w:val="0"/>
                                              <w:divBdr>
                                                <w:top w:val="none" w:sz="0" w:space="0" w:color="auto"/>
                                                <w:left w:val="none" w:sz="0" w:space="0" w:color="auto"/>
                                                <w:bottom w:val="none" w:sz="0" w:space="0" w:color="auto"/>
                                                <w:right w:val="none" w:sz="0" w:space="0" w:color="auto"/>
                                              </w:divBdr>
                                              <w:divsChild>
                                                <w:div w:id="17914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536689">
      <w:bodyDiv w:val="1"/>
      <w:marLeft w:val="0"/>
      <w:marRight w:val="0"/>
      <w:marTop w:val="0"/>
      <w:marBottom w:val="0"/>
      <w:divBdr>
        <w:top w:val="none" w:sz="0" w:space="0" w:color="auto"/>
        <w:left w:val="none" w:sz="0" w:space="0" w:color="auto"/>
        <w:bottom w:val="none" w:sz="0" w:space="0" w:color="auto"/>
        <w:right w:val="none" w:sz="0" w:space="0" w:color="auto"/>
      </w:divBdr>
      <w:divsChild>
        <w:div w:id="829489957">
          <w:marLeft w:val="0"/>
          <w:marRight w:val="0"/>
          <w:marTop w:val="0"/>
          <w:marBottom w:val="0"/>
          <w:divBdr>
            <w:top w:val="single" w:sz="6" w:space="0" w:color="0E477A"/>
            <w:left w:val="single" w:sz="6" w:space="0" w:color="0E477A"/>
            <w:bottom w:val="single" w:sz="6" w:space="0" w:color="0E477A"/>
            <w:right w:val="single" w:sz="6" w:space="0" w:color="0E477A"/>
          </w:divBdr>
          <w:divsChild>
            <w:div w:id="1764493978">
              <w:marLeft w:val="2925"/>
              <w:marRight w:val="0"/>
              <w:marTop w:val="0"/>
              <w:marBottom w:val="0"/>
              <w:divBdr>
                <w:top w:val="none" w:sz="0" w:space="0" w:color="auto"/>
                <w:left w:val="none" w:sz="0" w:space="0" w:color="auto"/>
                <w:bottom w:val="none" w:sz="0" w:space="0" w:color="auto"/>
                <w:right w:val="none" w:sz="0" w:space="0" w:color="auto"/>
              </w:divBdr>
              <w:divsChild>
                <w:div w:id="936449118">
                  <w:marLeft w:val="0"/>
                  <w:marRight w:val="0"/>
                  <w:marTop w:val="0"/>
                  <w:marBottom w:val="0"/>
                  <w:divBdr>
                    <w:top w:val="none" w:sz="0" w:space="0" w:color="auto"/>
                    <w:left w:val="none" w:sz="0" w:space="0" w:color="auto"/>
                    <w:bottom w:val="none" w:sz="0" w:space="0" w:color="auto"/>
                    <w:right w:val="none" w:sz="0" w:space="0" w:color="auto"/>
                  </w:divBdr>
                  <w:divsChild>
                    <w:div w:id="1876499102">
                      <w:marLeft w:val="0"/>
                      <w:marRight w:val="150"/>
                      <w:marTop w:val="0"/>
                      <w:marBottom w:val="0"/>
                      <w:divBdr>
                        <w:top w:val="single" w:sz="6" w:space="0" w:color="CCCCCC"/>
                        <w:left w:val="single" w:sz="6" w:space="8" w:color="CCCCCC"/>
                        <w:bottom w:val="single" w:sz="6" w:space="8" w:color="CCCCCC"/>
                        <w:right w:val="single" w:sz="6" w:space="8" w:color="CCCCCC"/>
                      </w:divBdr>
                      <w:divsChild>
                        <w:div w:id="1940672884">
                          <w:marLeft w:val="0"/>
                          <w:marRight w:val="0"/>
                          <w:marTop w:val="0"/>
                          <w:marBottom w:val="0"/>
                          <w:divBdr>
                            <w:top w:val="none" w:sz="0" w:space="0" w:color="auto"/>
                            <w:left w:val="none" w:sz="0" w:space="0" w:color="auto"/>
                            <w:bottom w:val="none" w:sz="0" w:space="0" w:color="auto"/>
                            <w:right w:val="none" w:sz="0" w:space="0" w:color="auto"/>
                          </w:divBdr>
                        </w:div>
                        <w:div w:id="2129658762">
                          <w:marLeft w:val="0"/>
                          <w:marRight w:val="0"/>
                          <w:marTop w:val="0"/>
                          <w:marBottom w:val="0"/>
                          <w:divBdr>
                            <w:top w:val="none" w:sz="0" w:space="0" w:color="auto"/>
                            <w:left w:val="none" w:sz="0" w:space="0" w:color="auto"/>
                            <w:bottom w:val="none" w:sz="0" w:space="0" w:color="auto"/>
                            <w:right w:val="none" w:sz="0" w:space="0" w:color="auto"/>
                          </w:divBdr>
                        </w:div>
                        <w:div w:id="1390762451">
                          <w:marLeft w:val="0"/>
                          <w:marRight w:val="0"/>
                          <w:marTop w:val="0"/>
                          <w:marBottom w:val="0"/>
                          <w:divBdr>
                            <w:top w:val="none" w:sz="0" w:space="0" w:color="auto"/>
                            <w:left w:val="none" w:sz="0" w:space="0" w:color="auto"/>
                            <w:bottom w:val="none" w:sz="0" w:space="0" w:color="auto"/>
                            <w:right w:val="none" w:sz="0" w:space="0" w:color="auto"/>
                          </w:divBdr>
                        </w:div>
                        <w:div w:id="470639077">
                          <w:marLeft w:val="0"/>
                          <w:marRight w:val="0"/>
                          <w:marTop w:val="0"/>
                          <w:marBottom w:val="0"/>
                          <w:divBdr>
                            <w:top w:val="none" w:sz="0" w:space="0" w:color="auto"/>
                            <w:left w:val="none" w:sz="0" w:space="0" w:color="auto"/>
                            <w:bottom w:val="none" w:sz="0" w:space="0" w:color="auto"/>
                            <w:right w:val="none" w:sz="0" w:space="0" w:color="auto"/>
                          </w:divBdr>
                        </w:div>
                        <w:div w:id="905383548">
                          <w:marLeft w:val="0"/>
                          <w:marRight w:val="0"/>
                          <w:marTop w:val="0"/>
                          <w:marBottom w:val="0"/>
                          <w:divBdr>
                            <w:top w:val="none" w:sz="0" w:space="0" w:color="auto"/>
                            <w:left w:val="none" w:sz="0" w:space="0" w:color="auto"/>
                            <w:bottom w:val="none" w:sz="0" w:space="0" w:color="auto"/>
                            <w:right w:val="none" w:sz="0" w:space="0" w:color="auto"/>
                          </w:divBdr>
                        </w:div>
                        <w:div w:id="1140539999">
                          <w:marLeft w:val="0"/>
                          <w:marRight w:val="0"/>
                          <w:marTop w:val="0"/>
                          <w:marBottom w:val="0"/>
                          <w:divBdr>
                            <w:top w:val="none" w:sz="0" w:space="0" w:color="auto"/>
                            <w:left w:val="none" w:sz="0" w:space="0" w:color="auto"/>
                            <w:bottom w:val="none" w:sz="0" w:space="0" w:color="auto"/>
                            <w:right w:val="none" w:sz="0" w:space="0" w:color="auto"/>
                          </w:divBdr>
                        </w:div>
                        <w:div w:id="1079863263">
                          <w:marLeft w:val="0"/>
                          <w:marRight w:val="0"/>
                          <w:marTop w:val="0"/>
                          <w:marBottom w:val="0"/>
                          <w:divBdr>
                            <w:top w:val="none" w:sz="0" w:space="0" w:color="auto"/>
                            <w:left w:val="none" w:sz="0" w:space="0" w:color="auto"/>
                            <w:bottom w:val="none" w:sz="0" w:space="0" w:color="auto"/>
                            <w:right w:val="none" w:sz="0" w:space="0" w:color="auto"/>
                          </w:divBdr>
                        </w:div>
                        <w:div w:id="2130975756">
                          <w:marLeft w:val="0"/>
                          <w:marRight w:val="0"/>
                          <w:marTop w:val="0"/>
                          <w:marBottom w:val="0"/>
                          <w:divBdr>
                            <w:top w:val="none" w:sz="0" w:space="0" w:color="auto"/>
                            <w:left w:val="none" w:sz="0" w:space="0" w:color="auto"/>
                            <w:bottom w:val="none" w:sz="0" w:space="0" w:color="auto"/>
                            <w:right w:val="none" w:sz="0" w:space="0" w:color="auto"/>
                          </w:divBdr>
                        </w:div>
                        <w:div w:id="19205592">
                          <w:marLeft w:val="0"/>
                          <w:marRight w:val="0"/>
                          <w:marTop w:val="0"/>
                          <w:marBottom w:val="0"/>
                          <w:divBdr>
                            <w:top w:val="none" w:sz="0" w:space="0" w:color="auto"/>
                            <w:left w:val="none" w:sz="0" w:space="0" w:color="auto"/>
                            <w:bottom w:val="none" w:sz="0" w:space="0" w:color="auto"/>
                            <w:right w:val="none" w:sz="0" w:space="0" w:color="auto"/>
                          </w:divBdr>
                        </w:div>
                        <w:div w:id="7840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145256">
      <w:bodyDiv w:val="1"/>
      <w:marLeft w:val="0"/>
      <w:marRight w:val="0"/>
      <w:marTop w:val="0"/>
      <w:marBottom w:val="0"/>
      <w:divBdr>
        <w:top w:val="none" w:sz="0" w:space="0" w:color="auto"/>
        <w:left w:val="none" w:sz="0" w:space="0" w:color="auto"/>
        <w:bottom w:val="none" w:sz="0" w:space="0" w:color="auto"/>
        <w:right w:val="none" w:sz="0" w:space="0" w:color="auto"/>
      </w:divBdr>
      <w:divsChild>
        <w:div w:id="1318532274">
          <w:marLeft w:val="0"/>
          <w:marRight w:val="0"/>
          <w:marTop w:val="0"/>
          <w:marBottom w:val="0"/>
          <w:divBdr>
            <w:top w:val="none" w:sz="0" w:space="0" w:color="auto"/>
            <w:left w:val="none" w:sz="0" w:space="0" w:color="auto"/>
            <w:bottom w:val="none" w:sz="0" w:space="0" w:color="auto"/>
            <w:right w:val="none" w:sz="0" w:space="0" w:color="auto"/>
          </w:divBdr>
          <w:divsChild>
            <w:div w:id="686441685">
              <w:marLeft w:val="-225"/>
              <w:marRight w:val="-225"/>
              <w:marTop w:val="0"/>
              <w:marBottom w:val="0"/>
              <w:divBdr>
                <w:top w:val="none" w:sz="0" w:space="0" w:color="auto"/>
                <w:left w:val="none" w:sz="0" w:space="0" w:color="auto"/>
                <w:bottom w:val="none" w:sz="0" w:space="0" w:color="auto"/>
                <w:right w:val="none" w:sz="0" w:space="0" w:color="auto"/>
              </w:divBdr>
              <w:divsChild>
                <w:div w:id="2112892906">
                  <w:marLeft w:val="0"/>
                  <w:marRight w:val="0"/>
                  <w:marTop w:val="0"/>
                  <w:marBottom w:val="0"/>
                  <w:divBdr>
                    <w:top w:val="none" w:sz="0" w:space="0" w:color="auto"/>
                    <w:left w:val="none" w:sz="0" w:space="0" w:color="auto"/>
                    <w:bottom w:val="none" w:sz="0" w:space="0" w:color="auto"/>
                    <w:right w:val="none" w:sz="0" w:space="0" w:color="auto"/>
                  </w:divBdr>
                  <w:divsChild>
                    <w:div w:id="116336766">
                      <w:marLeft w:val="0"/>
                      <w:marRight w:val="0"/>
                      <w:marTop w:val="0"/>
                      <w:marBottom w:val="0"/>
                      <w:divBdr>
                        <w:top w:val="none" w:sz="0" w:space="0" w:color="auto"/>
                        <w:left w:val="none" w:sz="0" w:space="0" w:color="auto"/>
                        <w:bottom w:val="none" w:sz="0" w:space="0" w:color="auto"/>
                        <w:right w:val="none" w:sz="0" w:space="0" w:color="auto"/>
                      </w:divBdr>
                      <w:divsChild>
                        <w:div w:id="559095500">
                          <w:marLeft w:val="0"/>
                          <w:marRight w:val="0"/>
                          <w:marTop w:val="0"/>
                          <w:marBottom w:val="0"/>
                          <w:divBdr>
                            <w:top w:val="none" w:sz="0" w:space="0" w:color="auto"/>
                            <w:left w:val="none" w:sz="0" w:space="0" w:color="auto"/>
                            <w:bottom w:val="none" w:sz="0" w:space="0" w:color="auto"/>
                            <w:right w:val="none" w:sz="0" w:space="0" w:color="auto"/>
                          </w:divBdr>
                          <w:divsChild>
                            <w:div w:id="1491018525">
                              <w:marLeft w:val="0"/>
                              <w:marRight w:val="0"/>
                              <w:marTop w:val="0"/>
                              <w:marBottom w:val="0"/>
                              <w:divBdr>
                                <w:top w:val="none" w:sz="0" w:space="0" w:color="auto"/>
                                <w:left w:val="none" w:sz="0" w:space="0" w:color="auto"/>
                                <w:bottom w:val="none" w:sz="0" w:space="0" w:color="auto"/>
                                <w:right w:val="none" w:sz="0" w:space="0" w:color="auto"/>
                              </w:divBdr>
                              <w:divsChild>
                                <w:div w:id="184562197">
                                  <w:marLeft w:val="0"/>
                                  <w:marRight w:val="0"/>
                                  <w:marTop w:val="0"/>
                                  <w:marBottom w:val="0"/>
                                  <w:divBdr>
                                    <w:top w:val="none" w:sz="0" w:space="0" w:color="auto"/>
                                    <w:left w:val="none" w:sz="0" w:space="0" w:color="auto"/>
                                    <w:bottom w:val="none" w:sz="0" w:space="0" w:color="auto"/>
                                    <w:right w:val="none" w:sz="0" w:space="0" w:color="auto"/>
                                  </w:divBdr>
                                  <w:divsChild>
                                    <w:div w:id="289944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265742">
      <w:bodyDiv w:val="1"/>
      <w:marLeft w:val="0"/>
      <w:marRight w:val="0"/>
      <w:marTop w:val="0"/>
      <w:marBottom w:val="0"/>
      <w:divBdr>
        <w:top w:val="none" w:sz="0" w:space="0" w:color="auto"/>
        <w:left w:val="none" w:sz="0" w:space="0" w:color="auto"/>
        <w:bottom w:val="none" w:sz="0" w:space="0" w:color="auto"/>
        <w:right w:val="none" w:sz="0" w:space="0" w:color="auto"/>
      </w:divBdr>
      <w:divsChild>
        <w:div w:id="328601976">
          <w:marLeft w:val="0"/>
          <w:marRight w:val="0"/>
          <w:marTop w:val="0"/>
          <w:marBottom w:val="0"/>
          <w:divBdr>
            <w:top w:val="none" w:sz="0" w:space="0" w:color="auto"/>
            <w:left w:val="none" w:sz="0" w:space="0" w:color="auto"/>
            <w:bottom w:val="none" w:sz="0" w:space="0" w:color="auto"/>
            <w:right w:val="none" w:sz="0" w:space="0" w:color="auto"/>
          </w:divBdr>
          <w:divsChild>
            <w:div w:id="465707321">
              <w:marLeft w:val="0"/>
              <w:marRight w:val="0"/>
              <w:marTop w:val="0"/>
              <w:marBottom w:val="0"/>
              <w:divBdr>
                <w:top w:val="none" w:sz="0" w:space="0" w:color="auto"/>
                <w:left w:val="none" w:sz="0" w:space="0" w:color="auto"/>
                <w:bottom w:val="none" w:sz="0" w:space="0" w:color="auto"/>
                <w:right w:val="none" w:sz="0" w:space="0" w:color="auto"/>
              </w:divBdr>
              <w:divsChild>
                <w:div w:id="86078112">
                  <w:marLeft w:val="0"/>
                  <w:marRight w:val="0"/>
                  <w:marTop w:val="0"/>
                  <w:marBottom w:val="0"/>
                  <w:divBdr>
                    <w:top w:val="none" w:sz="0" w:space="0" w:color="auto"/>
                    <w:left w:val="none" w:sz="0" w:space="0" w:color="auto"/>
                    <w:bottom w:val="none" w:sz="0" w:space="0" w:color="auto"/>
                    <w:right w:val="none" w:sz="0" w:space="0" w:color="auto"/>
                  </w:divBdr>
                  <w:divsChild>
                    <w:div w:id="2003311348">
                      <w:marLeft w:val="0"/>
                      <w:marRight w:val="0"/>
                      <w:marTop w:val="0"/>
                      <w:marBottom w:val="0"/>
                      <w:divBdr>
                        <w:top w:val="none" w:sz="0" w:space="0" w:color="auto"/>
                        <w:left w:val="none" w:sz="0" w:space="0" w:color="auto"/>
                        <w:bottom w:val="none" w:sz="0" w:space="0" w:color="auto"/>
                        <w:right w:val="none" w:sz="0" w:space="0" w:color="auto"/>
                      </w:divBdr>
                      <w:divsChild>
                        <w:div w:id="1498155215">
                          <w:marLeft w:val="0"/>
                          <w:marRight w:val="0"/>
                          <w:marTop w:val="0"/>
                          <w:marBottom w:val="0"/>
                          <w:divBdr>
                            <w:top w:val="none" w:sz="0" w:space="0" w:color="auto"/>
                            <w:left w:val="none" w:sz="0" w:space="0" w:color="auto"/>
                            <w:bottom w:val="none" w:sz="0" w:space="0" w:color="auto"/>
                            <w:right w:val="none" w:sz="0" w:space="0" w:color="auto"/>
                          </w:divBdr>
                          <w:divsChild>
                            <w:div w:id="307637694">
                              <w:marLeft w:val="570"/>
                              <w:marRight w:val="720"/>
                              <w:marTop w:val="120"/>
                              <w:marBottom w:val="120"/>
                              <w:divBdr>
                                <w:top w:val="none" w:sz="0" w:space="0" w:color="auto"/>
                                <w:left w:val="none" w:sz="0" w:space="0" w:color="auto"/>
                                <w:bottom w:val="none" w:sz="0" w:space="0" w:color="auto"/>
                                <w:right w:val="none" w:sz="0" w:space="0" w:color="auto"/>
                              </w:divBdr>
                              <w:divsChild>
                                <w:div w:id="1430546466">
                                  <w:marLeft w:val="0"/>
                                  <w:marRight w:val="0"/>
                                  <w:marTop w:val="0"/>
                                  <w:marBottom w:val="0"/>
                                  <w:divBdr>
                                    <w:top w:val="none" w:sz="0" w:space="0" w:color="auto"/>
                                    <w:left w:val="none" w:sz="0" w:space="0" w:color="auto"/>
                                    <w:bottom w:val="none" w:sz="0" w:space="0" w:color="auto"/>
                                    <w:right w:val="none" w:sz="0" w:space="0" w:color="auto"/>
                                  </w:divBdr>
                                  <w:divsChild>
                                    <w:div w:id="1445807244">
                                      <w:marLeft w:val="0"/>
                                      <w:marRight w:val="0"/>
                                      <w:marTop w:val="0"/>
                                      <w:marBottom w:val="0"/>
                                      <w:divBdr>
                                        <w:top w:val="none" w:sz="0" w:space="0" w:color="auto"/>
                                        <w:left w:val="none" w:sz="0" w:space="0" w:color="auto"/>
                                        <w:bottom w:val="none" w:sz="0" w:space="0" w:color="auto"/>
                                        <w:right w:val="none" w:sz="0" w:space="0" w:color="auto"/>
                                      </w:divBdr>
                                      <w:divsChild>
                                        <w:div w:id="1781223028">
                                          <w:marLeft w:val="0"/>
                                          <w:marRight w:val="0"/>
                                          <w:marTop w:val="0"/>
                                          <w:marBottom w:val="0"/>
                                          <w:divBdr>
                                            <w:top w:val="none" w:sz="0" w:space="0" w:color="auto"/>
                                            <w:left w:val="none" w:sz="0" w:space="0" w:color="auto"/>
                                            <w:bottom w:val="none" w:sz="0" w:space="0" w:color="auto"/>
                                            <w:right w:val="none" w:sz="0" w:space="0" w:color="auto"/>
                                          </w:divBdr>
                                          <w:divsChild>
                                            <w:div w:id="527332670">
                                              <w:marLeft w:val="0"/>
                                              <w:marRight w:val="0"/>
                                              <w:marTop w:val="0"/>
                                              <w:marBottom w:val="0"/>
                                              <w:divBdr>
                                                <w:top w:val="none" w:sz="0" w:space="0" w:color="auto"/>
                                                <w:left w:val="none" w:sz="0" w:space="0" w:color="auto"/>
                                                <w:bottom w:val="none" w:sz="0" w:space="0" w:color="auto"/>
                                                <w:right w:val="none" w:sz="0" w:space="0" w:color="auto"/>
                                              </w:divBdr>
                                              <w:divsChild>
                                                <w:div w:id="500774125">
                                                  <w:marLeft w:val="0"/>
                                                  <w:marRight w:val="0"/>
                                                  <w:marTop w:val="0"/>
                                                  <w:marBottom w:val="0"/>
                                                  <w:divBdr>
                                                    <w:top w:val="none" w:sz="0" w:space="0" w:color="auto"/>
                                                    <w:left w:val="none" w:sz="0" w:space="0" w:color="auto"/>
                                                    <w:bottom w:val="none" w:sz="0" w:space="0" w:color="auto"/>
                                                    <w:right w:val="none" w:sz="0" w:space="0" w:color="auto"/>
                                                  </w:divBdr>
                                                </w:div>
                                                <w:div w:id="183708884">
                                                  <w:marLeft w:val="0"/>
                                                  <w:marRight w:val="0"/>
                                                  <w:marTop w:val="0"/>
                                                  <w:marBottom w:val="0"/>
                                                  <w:divBdr>
                                                    <w:top w:val="none" w:sz="0" w:space="0" w:color="auto"/>
                                                    <w:left w:val="none" w:sz="0" w:space="0" w:color="auto"/>
                                                    <w:bottom w:val="none" w:sz="0" w:space="0" w:color="auto"/>
                                                    <w:right w:val="none" w:sz="0" w:space="0" w:color="auto"/>
                                                  </w:divBdr>
                                                </w:div>
                                                <w:div w:id="827795132">
                                                  <w:marLeft w:val="0"/>
                                                  <w:marRight w:val="0"/>
                                                  <w:marTop w:val="0"/>
                                                  <w:marBottom w:val="0"/>
                                                  <w:divBdr>
                                                    <w:top w:val="none" w:sz="0" w:space="0" w:color="auto"/>
                                                    <w:left w:val="none" w:sz="0" w:space="0" w:color="auto"/>
                                                    <w:bottom w:val="none" w:sz="0" w:space="0" w:color="auto"/>
                                                    <w:right w:val="none" w:sz="0" w:space="0" w:color="auto"/>
                                                  </w:divBdr>
                                                  <w:divsChild>
                                                    <w:div w:id="14176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926760">
      <w:bodyDiv w:val="1"/>
      <w:marLeft w:val="0"/>
      <w:marRight w:val="0"/>
      <w:marTop w:val="0"/>
      <w:marBottom w:val="0"/>
      <w:divBdr>
        <w:top w:val="none" w:sz="0" w:space="0" w:color="auto"/>
        <w:left w:val="none" w:sz="0" w:space="0" w:color="auto"/>
        <w:bottom w:val="none" w:sz="0" w:space="0" w:color="auto"/>
        <w:right w:val="none" w:sz="0" w:space="0" w:color="auto"/>
      </w:divBdr>
      <w:divsChild>
        <w:div w:id="1721898977">
          <w:marLeft w:val="0"/>
          <w:marRight w:val="0"/>
          <w:marTop w:val="0"/>
          <w:marBottom w:val="0"/>
          <w:divBdr>
            <w:top w:val="none" w:sz="0" w:space="0" w:color="auto"/>
            <w:left w:val="none" w:sz="0" w:space="0" w:color="auto"/>
            <w:bottom w:val="none" w:sz="0" w:space="0" w:color="auto"/>
            <w:right w:val="none" w:sz="0" w:space="0" w:color="auto"/>
          </w:divBdr>
          <w:divsChild>
            <w:div w:id="195311753">
              <w:marLeft w:val="0"/>
              <w:marRight w:val="0"/>
              <w:marTop w:val="0"/>
              <w:marBottom w:val="0"/>
              <w:divBdr>
                <w:top w:val="none" w:sz="0" w:space="0" w:color="auto"/>
                <w:left w:val="none" w:sz="0" w:space="0" w:color="auto"/>
                <w:bottom w:val="none" w:sz="0" w:space="0" w:color="auto"/>
                <w:right w:val="none" w:sz="0" w:space="0" w:color="auto"/>
              </w:divBdr>
              <w:divsChild>
                <w:div w:id="1674726125">
                  <w:marLeft w:val="0"/>
                  <w:marRight w:val="0"/>
                  <w:marTop w:val="0"/>
                  <w:marBottom w:val="0"/>
                  <w:divBdr>
                    <w:top w:val="none" w:sz="0" w:space="0" w:color="auto"/>
                    <w:left w:val="none" w:sz="0" w:space="0" w:color="auto"/>
                    <w:bottom w:val="none" w:sz="0" w:space="0" w:color="auto"/>
                    <w:right w:val="none" w:sz="0" w:space="0" w:color="auto"/>
                  </w:divBdr>
                  <w:divsChild>
                    <w:div w:id="321012309">
                      <w:marLeft w:val="0"/>
                      <w:marRight w:val="0"/>
                      <w:marTop w:val="0"/>
                      <w:marBottom w:val="0"/>
                      <w:divBdr>
                        <w:top w:val="none" w:sz="0" w:space="0" w:color="auto"/>
                        <w:left w:val="none" w:sz="0" w:space="0" w:color="auto"/>
                        <w:bottom w:val="none" w:sz="0" w:space="0" w:color="auto"/>
                        <w:right w:val="none" w:sz="0" w:space="0" w:color="auto"/>
                      </w:divBdr>
                      <w:divsChild>
                        <w:div w:id="60325524">
                          <w:marLeft w:val="0"/>
                          <w:marRight w:val="0"/>
                          <w:marTop w:val="0"/>
                          <w:marBottom w:val="0"/>
                          <w:divBdr>
                            <w:top w:val="none" w:sz="0" w:space="0" w:color="auto"/>
                            <w:left w:val="none" w:sz="0" w:space="0" w:color="auto"/>
                            <w:bottom w:val="none" w:sz="0" w:space="0" w:color="auto"/>
                            <w:right w:val="none" w:sz="0" w:space="0" w:color="auto"/>
                          </w:divBdr>
                          <w:divsChild>
                            <w:div w:id="1143426167">
                              <w:marLeft w:val="0"/>
                              <w:marRight w:val="0"/>
                              <w:marTop w:val="0"/>
                              <w:marBottom w:val="0"/>
                              <w:divBdr>
                                <w:top w:val="none" w:sz="0" w:space="0" w:color="auto"/>
                                <w:left w:val="none" w:sz="0" w:space="0" w:color="auto"/>
                                <w:bottom w:val="none" w:sz="0" w:space="0" w:color="auto"/>
                                <w:right w:val="none" w:sz="0" w:space="0" w:color="auto"/>
                              </w:divBdr>
                              <w:divsChild>
                                <w:div w:id="12712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001364">
      <w:bodyDiv w:val="1"/>
      <w:marLeft w:val="0"/>
      <w:marRight w:val="0"/>
      <w:marTop w:val="100"/>
      <w:marBottom w:val="100"/>
      <w:divBdr>
        <w:top w:val="none" w:sz="0" w:space="0" w:color="auto"/>
        <w:left w:val="none" w:sz="0" w:space="0" w:color="auto"/>
        <w:bottom w:val="none" w:sz="0" w:space="0" w:color="auto"/>
        <w:right w:val="none" w:sz="0" w:space="0" w:color="auto"/>
      </w:divBdr>
      <w:divsChild>
        <w:div w:id="234706037">
          <w:marLeft w:val="0"/>
          <w:marRight w:val="0"/>
          <w:marTop w:val="0"/>
          <w:marBottom w:val="0"/>
          <w:divBdr>
            <w:top w:val="none" w:sz="0" w:space="0" w:color="auto"/>
            <w:left w:val="none" w:sz="0" w:space="0" w:color="auto"/>
            <w:bottom w:val="none" w:sz="0" w:space="0" w:color="auto"/>
            <w:right w:val="none" w:sz="0" w:space="0" w:color="auto"/>
          </w:divBdr>
          <w:divsChild>
            <w:div w:id="560752644">
              <w:marLeft w:val="0"/>
              <w:marRight w:val="0"/>
              <w:marTop w:val="0"/>
              <w:marBottom w:val="0"/>
              <w:divBdr>
                <w:top w:val="none" w:sz="0" w:space="0" w:color="auto"/>
                <w:left w:val="none" w:sz="0" w:space="0" w:color="auto"/>
                <w:bottom w:val="none" w:sz="0" w:space="0" w:color="auto"/>
                <w:right w:val="none" w:sz="0" w:space="0" w:color="auto"/>
              </w:divBdr>
              <w:divsChild>
                <w:div w:id="1577281070">
                  <w:marLeft w:val="0"/>
                  <w:marRight w:val="0"/>
                  <w:marTop w:val="0"/>
                  <w:marBottom w:val="0"/>
                  <w:divBdr>
                    <w:top w:val="none" w:sz="0" w:space="0" w:color="auto"/>
                    <w:left w:val="single" w:sz="6" w:space="0" w:color="0B5092"/>
                    <w:bottom w:val="none" w:sz="0" w:space="0" w:color="auto"/>
                    <w:right w:val="single" w:sz="6" w:space="0" w:color="0B5092"/>
                  </w:divBdr>
                  <w:divsChild>
                    <w:div w:id="754320910">
                      <w:marLeft w:val="0"/>
                      <w:marRight w:val="0"/>
                      <w:marTop w:val="0"/>
                      <w:marBottom w:val="0"/>
                      <w:divBdr>
                        <w:top w:val="none" w:sz="0" w:space="0" w:color="auto"/>
                        <w:left w:val="none" w:sz="0" w:space="0" w:color="auto"/>
                        <w:bottom w:val="none" w:sz="0" w:space="0" w:color="auto"/>
                        <w:right w:val="none" w:sz="0" w:space="0" w:color="auto"/>
                      </w:divBdr>
                      <w:divsChild>
                        <w:div w:id="2021466099">
                          <w:marLeft w:val="0"/>
                          <w:marRight w:val="0"/>
                          <w:marTop w:val="0"/>
                          <w:marBottom w:val="0"/>
                          <w:divBdr>
                            <w:top w:val="none" w:sz="0" w:space="0" w:color="auto"/>
                            <w:left w:val="none" w:sz="0" w:space="0" w:color="auto"/>
                            <w:bottom w:val="none" w:sz="0" w:space="0" w:color="auto"/>
                            <w:right w:val="none" w:sz="0" w:space="0" w:color="auto"/>
                          </w:divBdr>
                          <w:divsChild>
                            <w:div w:id="702486733">
                              <w:marLeft w:val="0"/>
                              <w:marRight w:val="0"/>
                              <w:marTop w:val="0"/>
                              <w:marBottom w:val="0"/>
                              <w:divBdr>
                                <w:top w:val="none" w:sz="0" w:space="0" w:color="auto"/>
                                <w:left w:val="none" w:sz="0" w:space="0" w:color="auto"/>
                                <w:bottom w:val="none" w:sz="0" w:space="0" w:color="auto"/>
                                <w:right w:val="none" w:sz="0" w:space="0" w:color="auto"/>
                              </w:divBdr>
                              <w:divsChild>
                                <w:div w:id="622923955">
                                  <w:marLeft w:val="0"/>
                                  <w:marRight w:val="0"/>
                                  <w:marTop w:val="0"/>
                                  <w:marBottom w:val="0"/>
                                  <w:divBdr>
                                    <w:top w:val="none" w:sz="0" w:space="0" w:color="auto"/>
                                    <w:left w:val="none" w:sz="0" w:space="0" w:color="auto"/>
                                    <w:bottom w:val="none" w:sz="0" w:space="0" w:color="auto"/>
                                    <w:right w:val="none" w:sz="0" w:space="0" w:color="auto"/>
                                  </w:divBdr>
                                  <w:divsChild>
                                    <w:div w:id="506991381">
                                      <w:marLeft w:val="0"/>
                                      <w:marRight w:val="0"/>
                                      <w:marTop w:val="0"/>
                                      <w:marBottom w:val="0"/>
                                      <w:divBdr>
                                        <w:top w:val="none" w:sz="0" w:space="0" w:color="auto"/>
                                        <w:left w:val="none" w:sz="0" w:space="0" w:color="auto"/>
                                        <w:bottom w:val="none" w:sz="0" w:space="0" w:color="auto"/>
                                        <w:right w:val="none" w:sz="0" w:space="0" w:color="auto"/>
                                      </w:divBdr>
                                      <w:divsChild>
                                        <w:div w:id="296842903">
                                          <w:marLeft w:val="0"/>
                                          <w:marRight w:val="0"/>
                                          <w:marTop w:val="0"/>
                                          <w:marBottom w:val="0"/>
                                          <w:divBdr>
                                            <w:top w:val="none" w:sz="0" w:space="0" w:color="auto"/>
                                            <w:left w:val="none" w:sz="0" w:space="0" w:color="auto"/>
                                            <w:bottom w:val="none" w:sz="0" w:space="0" w:color="auto"/>
                                            <w:right w:val="none" w:sz="0" w:space="0" w:color="auto"/>
                                          </w:divBdr>
                                          <w:divsChild>
                                            <w:div w:id="625549461">
                                              <w:marLeft w:val="120"/>
                                              <w:marRight w:val="120"/>
                                              <w:marTop w:val="0"/>
                                              <w:marBottom w:val="120"/>
                                              <w:divBdr>
                                                <w:top w:val="none" w:sz="0" w:space="0" w:color="auto"/>
                                                <w:left w:val="none" w:sz="0" w:space="0" w:color="auto"/>
                                                <w:bottom w:val="none" w:sz="0" w:space="0" w:color="auto"/>
                                                <w:right w:val="none" w:sz="0" w:space="0" w:color="auto"/>
                                              </w:divBdr>
                                              <w:divsChild>
                                                <w:div w:id="1193418418">
                                                  <w:marLeft w:val="0"/>
                                                  <w:marRight w:val="0"/>
                                                  <w:marTop w:val="0"/>
                                                  <w:marBottom w:val="0"/>
                                                  <w:divBdr>
                                                    <w:top w:val="none" w:sz="0" w:space="0" w:color="auto"/>
                                                    <w:left w:val="none" w:sz="0" w:space="0" w:color="auto"/>
                                                    <w:bottom w:val="none" w:sz="0" w:space="0" w:color="auto"/>
                                                    <w:right w:val="none" w:sz="0" w:space="0" w:color="auto"/>
                                                  </w:divBdr>
                                                  <w:divsChild>
                                                    <w:div w:id="136185912">
                                                      <w:marLeft w:val="0"/>
                                                      <w:marRight w:val="90"/>
                                                      <w:marTop w:val="0"/>
                                                      <w:marBottom w:val="0"/>
                                                      <w:divBdr>
                                                        <w:top w:val="none" w:sz="0" w:space="0" w:color="auto"/>
                                                        <w:left w:val="none" w:sz="0" w:space="0" w:color="auto"/>
                                                        <w:bottom w:val="none" w:sz="0" w:space="0" w:color="auto"/>
                                                        <w:right w:val="none" w:sz="0" w:space="0" w:color="auto"/>
                                                      </w:divBdr>
                                                      <w:divsChild>
                                                        <w:div w:id="699013535">
                                                          <w:marLeft w:val="60"/>
                                                          <w:marRight w:val="-90"/>
                                                          <w:marTop w:val="0"/>
                                                          <w:marBottom w:val="0"/>
                                                          <w:divBdr>
                                                            <w:top w:val="none" w:sz="0" w:space="0" w:color="auto"/>
                                                            <w:left w:val="none" w:sz="0" w:space="0" w:color="auto"/>
                                                            <w:bottom w:val="none" w:sz="0" w:space="0" w:color="auto"/>
                                                            <w:right w:val="none" w:sz="0" w:space="0" w:color="auto"/>
                                                          </w:divBdr>
                                                          <w:divsChild>
                                                            <w:div w:id="1550611879">
                                                              <w:marLeft w:val="0"/>
                                                              <w:marRight w:val="0"/>
                                                              <w:marTop w:val="0"/>
                                                              <w:marBottom w:val="0"/>
                                                              <w:divBdr>
                                                                <w:top w:val="none" w:sz="0" w:space="0" w:color="auto"/>
                                                                <w:left w:val="none" w:sz="0" w:space="0" w:color="auto"/>
                                                                <w:bottom w:val="none" w:sz="0" w:space="0" w:color="auto"/>
                                                                <w:right w:val="none" w:sz="0" w:space="0" w:color="auto"/>
                                                              </w:divBdr>
                                                              <w:divsChild>
                                                                <w:div w:id="2128229589">
                                                                  <w:marLeft w:val="0"/>
                                                                  <w:marRight w:val="0"/>
                                                                  <w:marTop w:val="0"/>
                                                                  <w:marBottom w:val="0"/>
                                                                  <w:divBdr>
                                                                    <w:top w:val="none" w:sz="0" w:space="0" w:color="auto"/>
                                                                    <w:left w:val="none" w:sz="0" w:space="0" w:color="auto"/>
                                                                    <w:bottom w:val="none" w:sz="0" w:space="0" w:color="auto"/>
                                                                    <w:right w:val="none" w:sz="0" w:space="0" w:color="auto"/>
                                                                  </w:divBdr>
                                                                  <w:divsChild>
                                                                    <w:div w:id="799568684">
                                                                      <w:marLeft w:val="0"/>
                                                                      <w:marRight w:val="0"/>
                                                                      <w:marTop w:val="0"/>
                                                                      <w:marBottom w:val="0"/>
                                                                      <w:divBdr>
                                                                        <w:top w:val="none" w:sz="0" w:space="0" w:color="auto"/>
                                                                        <w:left w:val="none" w:sz="0" w:space="0" w:color="auto"/>
                                                                        <w:bottom w:val="none" w:sz="0" w:space="0" w:color="auto"/>
                                                                        <w:right w:val="none" w:sz="0" w:space="0" w:color="auto"/>
                                                                      </w:divBdr>
                                                                      <w:divsChild>
                                                                        <w:div w:id="1440947203">
                                                                          <w:marLeft w:val="0"/>
                                                                          <w:marRight w:val="0"/>
                                                                          <w:marTop w:val="0"/>
                                                                          <w:marBottom w:val="0"/>
                                                                          <w:divBdr>
                                                                            <w:top w:val="none" w:sz="0" w:space="0" w:color="auto"/>
                                                                            <w:left w:val="none" w:sz="0" w:space="0" w:color="auto"/>
                                                                            <w:bottom w:val="none" w:sz="0" w:space="0" w:color="auto"/>
                                                                            <w:right w:val="none" w:sz="0" w:space="0" w:color="auto"/>
                                                                          </w:divBdr>
                                                                        </w:div>
                                                                        <w:div w:id="660741621">
                                                                          <w:marLeft w:val="0"/>
                                                                          <w:marRight w:val="0"/>
                                                                          <w:marTop w:val="0"/>
                                                                          <w:marBottom w:val="0"/>
                                                                          <w:divBdr>
                                                                            <w:top w:val="none" w:sz="0" w:space="0" w:color="auto"/>
                                                                            <w:left w:val="none" w:sz="0" w:space="0" w:color="auto"/>
                                                                            <w:bottom w:val="none" w:sz="0" w:space="0" w:color="auto"/>
                                                                            <w:right w:val="none" w:sz="0" w:space="0" w:color="auto"/>
                                                                          </w:divBdr>
                                                                        </w:div>
                                                                        <w:div w:id="1546258123">
                                                                          <w:marLeft w:val="0"/>
                                                                          <w:marRight w:val="0"/>
                                                                          <w:marTop w:val="0"/>
                                                                          <w:marBottom w:val="0"/>
                                                                          <w:divBdr>
                                                                            <w:top w:val="none" w:sz="0" w:space="0" w:color="auto"/>
                                                                            <w:left w:val="none" w:sz="0" w:space="0" w:color="auto"/>
                                                                            <w:bottom w:val="none" w:sz="0" w:space="0" w:color="auto"/>
                                                                            <w:right w:val="none" w:sz="0" w:space="0" w:color="auto"/>
                                                                          </w:divBdr>
                                                                        </w:div>
                                                                        <w:div w:id="7692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118291">
      <w:bodyDiv w:val="1"/>
      <w:marLeft w:val="0"/>
      <w:marRight w:val="0"/>
      <w:marTop w:val="0"/>
      <w:marBottom w:val="0"/>
      <w:divBdr>
        <w:top w:val="none" w:sz="0" w:space="0" w:color="auto"/>
        <w:left w:val="none" w:sz="0" w:space="0" w:color="auto"/>
        <w:bottom w:val="none" w:sz="0" w:space="0" w:color="auto"/>
        <w:right w:val="none" w:sz="0" w:space="0" w:color="auto"/>
      </w:divBdr>
      <w:divsChild>
        <w:div w:id="311715825">
          <w:marLeft w:val="0"/>
          <w:marRight w:val="0"/>
          <w:marTop w:val="0"/>
          <w:marBottom w:val="0"/>
          <w:divBdr>
            <w:top w:val="single" w:sz="6" w:space="0" w:color="0E477A"/>
            <w:left w:val="single" w:sz="6" w:space="0" w:color="0E477A"/>
            <w:bottom w:val="single" w:sz="6" w:space="0" w:color="0E477A"/>
            <w:right w:val="single" w:sz="6" w:space="0" w:color="0E477A"/>
          </w:divBdr>
          <w:divsChild>
            <w:div w:id="1777097441">
              <w:marLeft w:val="0"/>
              <w:marRight w:val="0"/>
              <w:marTop w:val="0"/>
              <w:marBottom w:val="0"/>
              <w:divBdr>
                <w:top w:val="none" w:sz="0" w:space="0" w:color="auto"/>
                <w:left w:val="none" w:sz="0" w:space="0" w:color="auto"/>
                <w:bottom w:val="none" w:sz="0" w:space="0" w:color="auto"/>
                <w:right w:val="none" w:sz="0" w:space="0" w:color="auto"/>
              </w:divBdr>
              <w:divsChild>
                <w:div w:id="1023824221">
                  <w:marLeft w:val="75"/>
                  <w:marRight w:val="0"/>
                  <w:marTop w:val="0"/>
                  <w:marBottom w:val="0"/>
                  <w:divBdr>
                    <w:top w:val="none" w:sz="0" w:space="0" w:color="auto"/>
                    <w:left w:val="none" w:sz="0" w:space="0" w:color="auto"/>
                    <w:bottom w:val="none" w:sz="0" w:space="0" w:color="auto"/>
                    <w:right w:val="none" w:sz="0" w:space="0" w:color="auto"/>
                  </w:divBdr>
                  <w:divsChild>
                    <w:div w:id="1755589533">
                      <w:marLeft w:val="0"/>
                      <w:marRight w:val="0"/>
                      <w:marTop w:val="0"/>
                      <w:marBottom w:val="0"/>
                      <w:divBdr>
                        <w:top w:val="none" w:sz="0" w:space="0" w:color="auto"/>
                        <w:left w:val="none" w:sz="0" w:space="0" w:color="auto"/>
                        <w:bottom w:val="none" w:sz="0" w:space="0" w:color="auto"/>
                        <w:right w:val="none" w:sz="0" w:space="0" w:color="auto"/>
                      </w:divBdr>
                      <w:divsChild>
                        <w:div w:id="180360426">
                          <w:marLeft w:val="0"/>
                          <w:marRight w:val="225"/>
                          <w:marTop w:val="150"/>
                          <w:marBottom w:val="150"/>
                          <w:divBdr>
                            <w:top w:val="single" w:sz="6" w:space="0" w:color="CCCCCC"/>
                            <w:left w:val="single" w:sz="6" w:space="8" w:color="CCCCCC"/>
                            <w:bottom w:val="single" w:sz="6" w:space="8" w:color="CCCCCC"/>
                            <w:right w:val="single" w:sz="6" w:space="8" w:color="CCCCCC"/>
                          </w:divBdr>
                          <w:divsChild>
                            <w:div w:id="1140265418">
                              <w:marLeft w:val="-150"/>
                              <w:marRight w:val="0"/>
                              <w:marTop w:val="0"/>
                              <w:marBottom w:val="0"/>
                              <w:divBdr>
                                <w:top w:val="none" w:sz="0" w:space="0" w:color="auto"/>
                                <w:left w:val="none" w:sz="0" w:space="0" w:color="auto"/>
                                <w:bottom w:val="none" w:sz="0" w:space="0" w:color="auto"/>
                                <w:right w:val="none" w:sz="0" w:space="0" w:color="auto"/>
                              </w:divBdr>
                              <w:divsChild>
                                <w:div w:id="9319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533391">
      <w:bodyDiv w:val="1"/>
      <w:marLeft w:val="0"/>
      <w:marRight w:val="0"/>
      <w:marTop w:val="0"/>
      <w:marBottom w:val="0"/>
      <w:divBdr>
        <w:top w:val="none" w:sz="0" w:space="0" w:color="auto"/>
        <w:left w:val="none" w:sz="0" w:space="0" w:color="auto"/>
        <w:bottom w:val="none" w:sz="0" w:space="0" w:color="auto"/>
        <w:right w:val="none" w:sz="0" w:space="0" w:color="auto"/>
      </w:divBdr>
      <w:divsChild>
        <w:div w:id="188836636">
          <w:marLeft w:val="0"/>
          <w:marRight w:val="0"/>
          <w:marTop w:val="150"/>
          <w:marBottom w:val="0"/>
          <w:divBdr>
            <w:top w:val="none" w:sz="0" w:space="0" w:color="auto"/>
            <w:left w:val="none" w:sz="0" w:space="0" w:color="auto"/>
            <w:bottom w:val="none" w:sz="0" w:space="0" w:color="auto"/>
            <w:right w:val="none" w:sz="0" w:space="0" w:color="auto"/>
          </w:divBdr>
          <w:divsChild>
            <w:div w:id="325717824">
              <w:marLeft w:val="2"/>
              <w:marRight w:val="2"/>
              <w:marTop w:val="0"/>
              <w:marBottom w:val="0"/>
              <w:divBdr>
                <w:top w:val="none" w:sz="0" w:space="0" w:color="auto"/>
                <w:left w:val="none" w:sz="0" w:space="0" w:color="auto"/>
                <w:bottom w:val="none" w:sz="0" w:space="0" w:color="auto"/>
                <w:right w:val="none" w:sz="0" w:space="0" w:color="auto"/>
              </w:divBdr>
              <w:divsChild>
                <w:div w:id="1809669877">
                  <w:marLeft w:val="0"/>
                  <w:marRight w:val="0"/>
                  <w:marTop w:val="0"/>
                  <w:marBottom w:val="0"/>
                  <w:divBdr>
                    <w:top w:val="none" w:sz="0" w:space="0" w:color="auto"/>
                    <w:left w:val="none" w:sz="0" w:space="0" w:color="auto"/>
                    <w:bottom w:val="none" w:sz="0" w:space="0" w:color="auto"/>
                    <w:right w:val="none" w:sz="0" w:space="0" w:color="auto"/>
                  </w:divBdr>
                  <w:divsChild>
                    <w:div w:id="1723669142">
                      <w:marLeft w:val="0"/>
                      <w:marRight w:val="0"/>
                      <w:marTop w:val="0"/>
                      <w:marBottom w:val="0"/>
                      <w:divBdr>
                        <w:top w:val="none" w:sz="0" w:space="0" w:color="auto"/>
                        <w:left w:val="none" w:sz="0" w:space="0" w:color="auto"/>
                        <w:bottom w:val="none" w:sz="0" w:space="0" w:color="auto"/>
                        <w:right w:val="none" w:sz="0" w:space="0" w:color="auto"/>
                      </w:divBdr>
                      <w:divsChild>
                        <w:div w:id="1780370507">
                          <w:marLeft w:val="0"/>
                          <w:marRight w:val="0"/>
                          <w:marTop w:val="0"/>
                          <w:marBottom w:val="0"/>
                          <w:divBdr>
                            <w:top w:val="none" w:sz="0" w:space="0" w:color="auto"/>
                            <w:left w:val="none" w:sz="0" w:space="0" w:color="auto"/>
                            <w:bottom w:val="none" w:sz="0" w:space="0" w:color="auto"/>
                            <w:right w:val="none" w:sz="0" w:space="0" w:color="auto"/>
                          </w:divBdr>
                          <w:divsChild>
                            <w:div w:id="238905721">
                              <w:marLeft w:val="0"/>
                              <w:marRight w:val="0"/>
                              <w:marTop w:val="0"/>
                              <w:marBottom w:val="0"/>
                              <w:divBdr>
                                <w:top w:val="none" w:sz="0" w:space="0" w:color="auto"/>
                                <w:left w:val="none" w:sz="0" w:space="0" w:color="auto"/>
                                <w:bottom w:val="none" w:sz="0" w:space="0" w:color="auto"/>
                                <w:right w:val="none" w:sz="0" w:space="0" w:color="auto"/>
                              </w:divBdr>
                              <w:divsChild>
                                <w:div w:id="1456942530">
                                  <w:marLeft w:val="0"/>
                                  <w:marRight w:val="0"/>
                                  <w:marTop w:val="0"/>
                                  <w:marBottom w:val="0"/>
                                  <w:divBdr>
                                    <w:top w:val="none" w:sz="0" w:space="0" w:color="auto"/>
                                    <w:left w:val="none" w:sz="0" w:space="0" w:color="auto"/>
                                    <w:bottom w:val="none" w:sz="0" w:space="0" w:color="auto"/>
                                    <w:right w:val="none" w:sz="0" w:space="0" w:color="auto"/>
                                  </w:divBdr>
                                  <w:divsChild>
                                    <w:div w:id="1148281515">
                                      <w:marLeft w:val="0"/>
                                      <w:marRight w:val="0"/>
                                      <w:marTop w:val="0"/>
                                      <w:marBottom w:val="0"/>
                                      <w:divBdr>
                                        <w:top w:val="none" w:sz="0" w:space="0" w:color="auto"/>
                                        <w:left w:val="none" w:sz="0" w:space="0" w:color="auto"/>
                                        <w:bottom w:val="none" w:sz="0" w:space="0" w:color="auto"/>
                                        <w:right w:val="none" w:sz="0" w:space="0" w:color="auto"/>
                                      </w:divBdr>
                                      <w:divsChild>
                                        <w:div w:id="778647097">
                                          <w:marLeft w:val="0"/>
                                          <w:marRight w:val="0"/>
                                          <w:marTop w:val="0"/>
                                          <w:marBottom w:val="0"/>
                                          <w:divBdr>
                                            <w:top w:val="none" w:sz="0" w:space="0" w:color="auto"/>
                                            <w:left w:val="none" w:sz="0" w:space="0" w:color="auto"/>
                                            <w:bottom w:val="none" w:sz="0" w:space="0" w:color="auto"/>
                                            <w:right w:val="none" w:sz="0" w:space="0" w:color="auto"/>
                                          </w:divBdr>
                                          <w:divsChild>
                                            <w:div w:id="1158377281">
                                              <w:marLeft w:val="0"/>
                                              <w:marRight w:val="0"/>
                                              <w:marTop w:val="0"/>
                                              <w:marBottom w:val="0"/>
                                              <w:divBdr>
                                                <w:top w:val="none" w:sz="0" w:space="0" w:color="auto"/>
                                                <w:left w:val="none" w:sz="0" w:space="0" w:color="auto"/>
                                                <w:bottom w:val="none" w:sz="0" w:space="0" w:color="auto"/>
                                                <w:right w:val="none" w:sz="0" w:space="0" w:color="auto"/>
                                              </w:divBdr>
                                              <w:divsChild>
                                                <w:div w:id="1463690594">
                                                  <w:marLeft w:val="0"/>
                                                  <w:marRight w:val="0"/>
                                                  <w:marTop w:val="0"/>
                                                  <w:marBottom w:val="0"/>
                                                  <w:divBdr>
                                                    <w:top w:val="none" w:sz="0" w:space="0" w:color="auto"/>
                                                    <w:left w:val="none" w:sz="0" w:space="0" w:color="auto"/>
                                                    <w:bottom w:val="none" w:sz="0" w:space="0" w:color="auto"/>
                                                    <w:right w:val="none" w:sz="0" w:space="0" w:color="auto"/>
                                                  </w:divBdr>
                                                </w:div>
                                              </w:divsChild>
                                            </w:div>
                                            <w:div w:id="1406802274">
                                              <w:marLeft w:val="0"/>
                                              <w:marRight w:val="0"/>
                                              <w:marTop w:val="0"/>
                                              <w:marBottom w:val="0"/>
                                              <w:divBdr>
                                                <w:top w:val="none" w:sz="0" w:space="0" w:color="auto"/>
                                                <w:left w:val="none" w:sz="0" w:space="0" w:color="auto"/>
                                                <w:bottom w:val="none" w:sz="0" w:space="0" w:color="auto"/>
                                                <w:right w:val="none" w:sz="0" w:space="0" w:color="auto"/>
                                              </w:divBdr>
                                              <w:divsChild>
                                                <w:div w:id="1219054790">
                                                  <w:marLeft w:val="0"/>
                                                  <w:marRight w:val="0"/>
                                                  <w:marTop w:val="0"/>
                                                  <w:marBottom w:val="0"/>
                                                  <w:divBdr>
                                                    <w:top w:val="none" w:sz="0" w:space="0" w:color="auto"/>
                                                    <w:left w:val="none" w:sz="0" w:space="0" w:color="auto"/>
                                                    <w:bottom w:val="none" w:sz="0" w:space="0" w:color="auto"/>
                                                    <w:right w:val="none" w:sz="0" w:space="0" w:color="auto"/>
                                                  </w:divBdr>
                                                </w:div>
                                              </w:divsChild>
                                            </w:div>
                                            <w:div w:id="1360010667">
                                              <w:marLeft w:val="0"/>
                                              <w:marRight w:val="0"/>
                                              <w:marTop w:val="0"/>
                                              <w:marBottom w:val="0"/>
                                              <w:divBdr>
                                                <w:top w:val="none" w:sz="0" w:space="0" w:color="auto"/>
                                                <w:left w:val="none" w:sz="0" w:space="0" w:color="auto"/>
                                                <w:bottom w:val="none" w:sz="0" w:space="0" w:color="auto"/>
                                                <w:right w:val="none" w:sz="0" w:space="0" w:color="auto"/>
                                              </w:divBdr>
                                              <w:divsChild>
                                                <w:div w:id="1625308617">
                                                  <w:marLeft w:val="0"/>
                                                  <w:marRight w:val="0"/>
                                                  <w:marTop w:val="0"/>
                                                  <w:marBottom w:val="0"/>
                                                  <w:divBdr>
                                                    <w:top w:val="none" w:sz="0" w:space="0" w:color="auto"/>
                                                    <w:left w:val="none" w:sz="0" w:space="0" w:color="auto"/>
                                                    <w:bottom w:val="none" w:sz="0" w:space="0" w:color="auto"/>
                                                    <w:right w:val="none" w:sz="0" w:space="0" w:color="auto"/>
                                                  </w:divBdr>
                                                </w:div>
                                              </w:divsChild>
                                            </w:div>
                                            <w:div w:id="1266229074">
                                              <w:marLeft w:val="0"/>
                                              <w:marRight w:val="0"/>
                                              <w:marTop w:val="0"/>
                                              <w:marBottom w:val="0"/>
                                              <w:divBdr>
                                                <w:top w:val="none" w:sz="0" w:space="0" w:color="auto"/>
                                                <w:left w:val="none" w:sz="0" w:space="0" w:color="auto"/>
                                                <w:bottom w:val="none" w:sz="0" w:space="0" w:color="auto"/>
                                                <w:right w:val="none" w:sz="0" w:space="0" w:color="auto"/>
                                              </w:divBdr>
                                              <w:divsChild>
                                                <w:div w:id="7739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228948">
      <w:bodyDiv w:val="1"/>
      <w:marLeft w:val="0"/>
      <w:marRight w:val="0"/>
      <w:marTop w:val="0"/>
      <w:marBottom w:val="0"/>
      <w:divBdr>
        <w:top w:val="none" w:sz="0" w:space="0" w:color="auto"/>
        <w:left w:val="none" w:sz="0" w:space="0" w:color="auto"/>
        <w:bottom w:val="none" w:sz="0" w:space="0" w:color="auto"/>
        <w:right w:val="none" w:sz="0" w:space="0" w:color="auto"/>
      </w:divBdr>
      <w:divsChild>
        <w:div w:id="1111120713">
          <w:marLeft w:val="0"/>
          <w:marRight w:val="0"/>
          <w:marTop w:val="0"/>
          <w:marBottom w:val="0"/>
          <w:divBdr>
            <w:top w:val="none" w:sz="0" w:space="0" w:color="auto"/>
            <w:left w:val="none" w:sz="0" w:space="0" w:color="auto"/>
            <w:bottom w:val="none" w:sz="0" w:space="0" w:color="auto"/>
            <w:right w:val="none" w:sz="0" w:space="0" w:color="auto"/>
          </w:divBdr>
          <w:divsChild>
            <w:div w:id="415368437">
              <w:marLeft w:val="0"/>
              <w:marRight w:val="0"/>
              <w:marTop w:val="150"/>
              <w:marBottom w:val="0"/>
              <w:divBdr>
                <w:top w:val="none" w:sz="0" w:space="0" w:color="auto"/>
                <w:left w:val="none" w:sz="0" w:space="0" w:color="auto"/>
                <w:bottom w:val="none" w:sz="0" w:space="0" w:color="auto"/>
                <w:right w:val="none" w:sz="0" w:space="0" w:color="auto"/>
              </w:divBdr>
              <w:divsChild>
                <w:div w:id="1996375959">
                  <w:marLeft w:val="0"/>
                  <w:marRight w:val="0"/>
                  <w:marTop w:val="0"/>
                  <w:marBottom w:val="0"/>
                  <w:divBdr>
                    <w:top w:val="none" w:sz="0" w:space="0" w:color="auto"/>
                    <w:left w:val="none" w:sz="0" w:space="0" w:color="auto"/>
                    <w:bottom w:val="none" w:sz="0" w:space="0" w:color="auto"/>
                    <w:right w:val="none" w:sz="0" w:space="0" w:color="auto"/>
                  </w:divBdr>
                  <w:divsChild>
                    <w:div w:id="1589577738">
                      <w:marLeft w:val="0"/>
                      <w:marRight w:val="0"/>
                      <w:marTop w:val="0"/>
                      <w:marBottom w:val="0"/>
                      <w:divBdr>
                        <w:top w:val="none" w:sz="0" w:space="0" w:color="auto"/>
                        <w:left w:val="none" w:sz="0" w:space="0" w:color="auto"/>
                        <w:bottom w:val="none" w:sz="0" w:space="0" w:color="auto"/>
                        <w:right w:val="none" w:sz="0" w:space="0" w:color="auto"/>
                      </w:divBdr>
                      <w:divsChild>
                        <w:div w:id="13196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22225">
      <w:bodyDiv w:val="1"/>
      <w:marLeft w:val="0"/>
      <w:marRight w:val="0"/>
      <w:marTop w:val="0"/>
      <w:marBottom w:val="0"/>
      <w:divBdr>
        <w:top w:val="none" w:sz="0" w:space="0" w:color="auto"/>
        <w:left w:val="none" w:sz="0" w:space="0" w:color="auto"/>
        <w:bottom w:val="none" w:sz="0" w:space="0" w:color="auto"/>
        <w:right w:val="none" w:sz="0" w:space="0" w:color="auto"/>
      </w:divBdr>
      <w:divsChild>
        <w:div w:id="1910722697">
          <w:marLeft w:val="0"/>
          <w:marRight w:val="0"/>
          <w:marTop w:val="0"/>
          <w:marBottom w:val="0"/>
          <w:divBdr>
            <w:top w:val="none" w:sz="0" w:space="0" w:color="auto"/>
            <w:left w:val="none" w:sz="0" w:space="0" w:color="auto"/>
            <w:bottom w:val="none" w:sz="0" w:space="0" w:color="auto"/>
            <w:right w:val="none" w:sz="0" w:space="0" w:color="auto"/>
          </w:divBdr>
          <w:divsChild>
            <w:div w:id="156072971">
              <w:marLeft w:val="0"/>
              <w:marRight w:val="0"/>
              <w:marTop w:val="0"/>
              <w:marBottom w:val="0"/>
              <w:divBdr>
                <w:top w:val="none" w:sz="0" w:space="0" w:color="auto"/>
                <w:left w:val="none" w:sz="0" w:space="0" w:color="auto"/>
                <w:bottom w:val="none" w:sz="0" w:space="0" w:color="auto"/>
                <w:right w:val="none" w:sz="0" w:space="0" w:color="auto"/>
              </w:divBdr>
              <w:divsChild>
                <w:div w:id="637802611">
                  <w:marLeft w:val="0"/>
                  <w:marRight w:val="0"/>
                  <w:marTop w:val="0"/>
                  <w:marBottom w:val="0"/>
                  <w:divBdr>
                    <w:top w:val="none" w:sz="0" w:space="0" w:color="auto"/>
                    <w:left w:val="none" w:sz="0" w:space="0" w:color="auto"/>
                    <w:bottom w:val="none" w:sz="0" w:space="0" w:color="auto"/>
                    <w:right w:val="none" w:sz="0" w:space="0" w:color="auto"/>
                  </w:divBdr>
                  <w:divsChild>
                    <w:div w:id="849025964">
                      <w:marLeft w:val="0"/>
                      <w:marRight w:val="0"/>
                      <w:marTop w:val="300"/>
                      <w:marBottom w:val="600"/>
                      <w:divBdr>
                        <w:top w:val="none" w:sz="0" w:space="0" w:color="auto"/>
                        <w:left w:val="none" w:sz="0" w:space="0" w:color="auto"/>
                        <w:bottom w:val="none" w:sz="0" w:space="0" w:color="auto"/>
                        <w:right w:val="none" w:sz="0" w:space="0" w:color="auto"/>
                      </w:divBdr>
                      <w:divsChild>
                        <w:div w:id="1018392418">
                          <w:marLeft w:val="0"/>
                          <w:marRight w:val="0"/>
                          <w:marTop w:val="0"/>
                          <w:marBottom w:val="0"/>
                          <w:divBdr>
                            <w:top w:val="none" w:sz="0" w:space="0" w:color="auto"/>
                            <w:left w:val="none" w:sz="0" w:space="0" w:color="auto"/>
                            <w:bottom w:val="none" w:sz="0" w:space="0" w:color="auto"/>
                            <w:right w:val="none" w:sz="0" w:space="0" w:color="auto"/>
                          </w:divBdr>
                          <w:divsChild>
                            <w:div w:id="142741964">
                              <w:marLeft w:val="0"/>
                              <w:marRight w:val="0"/>
                              <w:marTop w:val="0"/>
                              <w:marBottom w:val="0"/>
                              <w:divBdr>
                                <w:top w:val="none" w:sz="0" w:space="0" w:color="auto"/>
                                <w:left w:val="none" w:sz="0" w:space="0" w:color="auto"/>
                                <w:bottom w:val="none" w:sz="0" w:space="0" w:color="auto"/>
                                <w:right w:val="none" w:sz="0" w:space="0" w:color="auto"/>
                              </w:divBdr>
                              <w:divsChild>
                                <w:div w:id="788935173">
                                  <w:marLeft w:val="0"/>
                                  <w:marRight w:val="0"/>
                                  <w:marTop w:val="0"/>
                                  <w:marBottom w:val="0"/>
                                  <w:divBdr>
                                    <w:top w:val="none" w:sz="0" w:space="0" w:color="auto"/>
                                    <w:left w:val="none" w:sz="0" w:space="0" w:color="auto"/>
                                    <w:bottom w:val="none" w:sz="0" w:space="0" w:color="auto"/>
                                    <w:right w:val="none" w:sz="0" w:space="0" w:color="auto"/>
                                  </w:divBdr>
                                  <w:divsChild>
                                    <w:div w:id="465123179">
                                      <w:marLeft w:val="0"/>
                                      <w:marRight w:val="0"/>
                                      <w:marTop w:val="150"/>
                                      <w:marBottom w:val="0"/>
                                      <w:divBdr>
                                        <w:top w:val="none" w:sz="0" w:space="0" w:color="auto"/>
                                        <w:left w:val="none" w:sz="0" w:space="0" w:color="auto"/>
                                        <w:bottom w:val="none" w:sz="0" w:space="0" w:color="auto"/>
                                        <w:right w:val="none" w:sz="0" w:space="0" w:color="auto"/>
                                      </w:divBdr>
                                      <w:divsChild>
                                        <w:div w:id="1788155009">
                                          <w:marLeft w:val="0"/>
                                          <w:marRight w:val="0"/>
                                          <w:marTop w:val="0"/>
                                          <w:marBottom w:val="0"/>
                                          <w:divBdr>
                                            <w:top w:val="none" w:sz="0" w:space="0" w:color="auto"/>
                                            <w:left w:val="none" w:sz="0" w:space="0" w:color="auto"/>
                                            <w:bottom w:val="none" w:sz="0" w:space="0" w:color="auto"/>
                                            <w:right w:val="none" w:sz="0" w:space="0" w:color="auto"/>
                                          </w:divBdr>
                                          <w:divsChild>
                                            <w:div w:id="309556101">
                                              <w:marLeft w:val="0"/>
                                              <w:marRight w:val="0"/>
                                              <w:marTop w:val="0"/>
                                              <w:marBottom w:val="0"/>
                                              <w:divBdr>
                                                <w:top w:val="none" w:sz="0" w:space="0" w:color="auto"/>
                                                <w:left w:val="none" w:sz="0" w:space="0" w:color="auto"/>
                                                <w:bottom w:val="none" w:sz="0" w:space="0" w:color="auto"/>
                                                <w:right w:val="none" w:sz="0" w:space="0" w:color="auto"/>
                                              </w:divBdr>
                                              <w:divsChild>
                                                <w:div w:id="9190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464840">
      <w:bodyDiv w:val="1"/>
      <w:marLeft w:val="0"/>
      <w:marRight w:val="0"/>
      <w:marTop w:val="0"/>
      <w:marBottom w:val="0"/>
      <w:divBdr>
        <w:top w:val="none" w:sz="0" w:space="0" w:color="auto"/>
        <w:left w:val="none" w:sz="0" w:space="0" w:color="auto"/>
        <w:bottom w:val="none" w:sz="0" w:space="0" w:color="auto"/>
        <w:right w:val="none" w:sz="0" w:space="0" w:color="auto"/>
      </w:divBdr>
    </w:div>
    <w:div w:id="696543773">
      <w:bodyDiv w:val="1"/>
      <w:marLeft w:val="0"/>
      <w:marRight w:val="0"/>
      <w:marTop w:val="0"/>
      <w:marBottom w:val="0"/>
      <w:divBdr>
        <w:top w:val="none" w:sz="0" w:space="0" w:color="auto"/>
        <w:left w:val="none" w:sz="0" w:space="0" w:color="auto"/>
        <w:bottom w:val="none" w:sz="0" w:space="0" w:color="auto"/>
        <w:right w:val="none" w:sz="0" w:space="0" w:color="auto"/>
      </w:divBdr>
      <w:divsChild>
        <w:div w:id="614026727">
          <w:marLeft w:val="0"/>
          <w:marRight w:val="0"/>
          <w:marTop w:val="0"/>
          <w:marBottom w:val="0"/>
          <w:divBdr>
            <w:top w:val="none" w:sz="0" w:space="0" w:color="auto"/>
            <w:left w:val="none" w:sz="0" w:space="0" w:color="auto"/>
            <w:bottom w:val="none" w:sz="0" w:space="0" w:color="auto"/>
            <w:right w:val="none" w:sz="0" w:space="0" w:color="auto"/>
          </w:divBdr>
          <w:divsChild>
            <w:div w:id="108664464">
              <w:marLeft w:val="0"/>
              <w:marRight w:val="0"/>
              <w:marTop w:val="0"/>
              <w:marBottom w:val="0"/>
              <w:divBdr>
                <w:top w:val="none" w:sz="0" w:space="0" w:color="auto"/>
                <w:left w:val="none" w:sz="0" w:space="0" w:color="auto"/>
                <w:bottom w:val="none" w:sz="0" w:space="0" w:color="auto"/>
                <w:right w:val="none" w:sz="0" w:space="0" w:color="auto"/>
              </w:divBdr>
              <w:divsChild>
                <w:div w:id="1973363808">
                  <w:marLeft w:val="0"/>
                  <w:marRight w:val="0"/>
                  <w:marTop w:val="0"/>
                  <w:marBottom w:val="0"/>
                  <w:divBdr>
                    <w:top w:val="none" w:sz="0" w:space="0" w:color="auto"/>
                    <w:left w:val="none" w:sz="0" w:space="0" w:color="auto"/>
                    <w:bottom w:val="none" w:sz="0" w:space="0" w:color="auto"/>
                    <w:right w:val="none" w:sz="0" w:space="0" w:color="auto"/>
                  </w:divBdr>
                  <w:divsChild>
                    <w:div w:id="1149396542">
                      <w:marLeft w:val="0"/>
                      <w:marRight w:val="0"/>
                      <w:marTop w:val="0"/>
                      <w:marBottom w:val="0"/>
                      <w:divBdr>
                        <w:top w:val="none" w:sz="0" w:space="0" w:color="auto"/>
                        <w:left w:val="none" w:sz="0" w:space="0" w:color="auto"/>
                        <w:bottom w:val="none" w:sz="0" w:space="0" w:color="auto"/>
                        <w:right w:val="none" w:sz="0" w:space="0" w:color="auto"/>
                      </w:divBdr>
                      <w:divsChild>
                        <w:div w:id="1378702947">
                          <w:marLeft w:val="0"/>
                          <w:marRight w:val="0"/>
                          <w:marTop w:val="0"/>
                          <w:marBottom w:val="0"/>
                          <w:divBdr>
                            <w:top w:val="none" w:sz="0" w:space="0" w:color="auto"/>
                            <w:left w:val="none" w:sz="0" w:space="0" w:color="auto"/>
                            <w:bottom w:val="none" w:sz="0" w:space="0" w:color="auto"/>
                            <w:right w:val="none" w:sz="0" w:space="0" w:color="auto"/>
                          </w:divBdr>
                          <w:divsChild>
                            <w:div w:id="1049719558">
                              <w:marLeft w:val="0"/>
                              <w:marRight w:val="0"/>
                              <w:marTop w:val="0"/>
                              <w:marBottom w:val="0"/>
                              <w:divBdr>
                                <w:top w:val="none" w:sz="0" w:space="0" w:color="auto"/>
                                <w:left w:val="none" w:sz="0" w:space="0" w:color="auto"/>
                                <w:bottom w:val="none" w:sz="0" w:space="0" w:color="auto"/>
                                <w:right w:val="none" w:sz="0" w:space="0" w:color="auto"/>
                              </w:divBdr>
                              <w:divsChild>
                                <w:div w:id="1309893914">
                                  <w:marLeft w:val="0"/>
                                  <w:marRight w:val="0"/>
                                  <w:marTop w:val="0"/>
                                  <w:marBottom w:val="0"/>
                                  <w:divBdr>
                                    <w:top w:val="none" w:sz="0" w:space="0" w:color="auto"/>
                                    <w:left w:val="none" w:sz="0" w:space="0" w:color="auto"/>
                                    <w:bottom w:val="none" w:sz="0" w:space="0" w:color="auto"/>
                                    <w:right w:val="none" w:sz="0" w:space="0" w:color="auto"/>
                                  </w:divBdr>
                                  <w:divsChild>
                                    <w:div w:id="1274826776">
                                      <w:marLeft w:val="0"/>
                                      <w:marRight w:val="0"/>
                                      <w:marTop w:val="0"/>
                                      <w:marBottom w:val="0"/>
                                      <w:divBdr>
                                        <w:top w:val="none" w:sz="0" w:space="0" w:color="auto"/>
                                        <w:left w:val="none" w:sz="0" w:space="0" w:color="auto"/>
                                        <w:bottom w:val="none" w:sz="0" w:space="0" w:color="auto"/>
                                        <w:right w:val="none" w:sz="0" w:space="0" w:color="auto"/>
                                      </w:divBdr>
                                      <w:divsChild>
                                        <w:div w:id="1649171367">
                                          <w:marLeft w:val="0"/>
                                          <w:marRight w:val="0"/>
                                          <w:marTop w:val="0"/>
                                          <w:marBottom w:val="0"/>
                                          <w:divBdr>
                                            <w:top w:val="none" w:sz="0" w:space="0" w:color="auto"/>
                                            <w:left w:val="none" w:sz="0" w:space="0" w:color="auto"/>
                                            <w:bottom w:val="none" w:sz="0" w:space="0" w:color="auto"/>
                                            <w:right w:val="none" w:sz="0" w:space="0" w:color="auto"/>
                                          </w:divBdr>
                                          <w:divsChild>
                                            <w:div w:id="1218735885">
                                              <w:marLeft w:val="0"/>
                                              <w:marRight w:val="0"/>
                                              <w:marTop w:val="0"/>
                                              <w:marBottom w:val="0"/>
                                              <w:divBdr>
                                                <w:top w:val="none" w:sz="0" w:space="0" w:color="auto"/>
                                                <w:left w:val="none" w:sz="0" w:space="0" w:color="auto"/>
                                                <w:bottom w:val="none" w:sz="0" w:space="0" w:color="auto"/>
                                                <w:right w:val="none" w:sz="0" w:space="0" w:color="auto"/>
                                              </w:divBdr>
                                              <w:divsChild>
                                                <w:div w:id="289557141">
                                                  <w:marLeft w:val="0"/>
                                                  <w:marRight w:val="0"/>
                                                  <w:marTop w:val="0"/>
                                                  <w:marBottom w:val="0"/>
                                                  <w:divBdr>
                                                    <w:top w:val="none" w:sz="0" w:space="0" w:color="auto"/>
                                                    <w:left w:val="none" w:sz="0" w:space="0" w:color="auto"/>
                                                    <w:bottom w:val="none" w:sz="0" w:space="0" w:color="auto"/>
                                                    <w:right w:val="none" w:sz="0" w:space="0" w:color="auto"/>
                                                  </w:divBdr>
                                                  <w:divsChild>
                                                    <w:div w:id="1231114046">
                                                      <w:marLeft w:val="0"/>
                                                      <w:marRight w:val="0"/>
                                                      <w:marTop w:val="0"/>
                                                      <w:marBottom w:val="0"/>
                                                      <w:divBdr>
                                                        <w:top w:val="none" w:sz="0" w:space="0" w:color="auto"/>
                                                        <w:left w:val="none" w:sz="0" w:space="0" w:color="auto"/>
                                                        <w:bottom w:val="none" w:sz="0" w:space="0" w:color="auto"/>
                                                        <w:right w:val="none" w:sz="0" w:space="0" w:color="auto"/>
                                                      </w:divBdr>
                                                      <w:divsChild>
                                                        <w:div w:id="979186887">
                                                          <w:marLeft w:val="0"/>
                                                          <w:marRight w:val="0"/>
                                                          <w:marTop w:val="0"/>
                                                          <w:marBottom w:val="0"/>
                                                          <w:divBdr>
                                                            <w:top w:val="none" w:sz="0" w:space="0" w:color="auto"/>
                                                            <w:left w:val="none" w:sz="0" w:space="0" w:color="auto"/>
                                                            <w:bottom w:val="none" w:sz="0" w:space="0" w:color="auto"/>
                                                            <w:right w:val="none" w:sz="0" w:space="0" w:color="auto"/>
                                                          </w:divBdr>
                                                        </w:div>
                                                        <w:div w:id="1895115587">
                                                          <w:marLeft w:val="0"/>
                                                          <w:marRight w:val="0"/>
                                                          <w:marTop w:val="0"/>
                                                          <w:marBottom w:val="0"/>
                                                          <w:divBdr>
                                                            <w:top w:val="none" w:sz="0" w:space="0" w:color="auto"/>
                                                            <w:left w:val="none" w:sz="0" w:space="0" w:color="auto"/>
                                                            <w:bottom w:val="none" w:sz="0" w:space="0" w:color="auto"/>
                                                            <w:right w:val="none" w:sz="0" w:space="0" w:color="auto"/>
                                                          </w:divBdr>
                                                          <w:divsChild>
                                                            <w:div w:id="21273066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6660849">
      <w:bodyDiv w:val="1"/>
      <w:marLeft w:val="0"/>
      <w:marRight w:val="0"/>
      <w:marTop w:val="0"/>
      <w:marBottom w:val="0"/>
      <w:divBdr>
        <w:top w:val="none" w:sz="0" w:space="0" w:color="auto"/>
        <w:left w:val="none" w:sz="0" w:space="0" w:color="auto"/>
        <w:bottom w:val="none" w:sz="0" w:space="0" w:color="auto"/>
        <w:right w:val="none" w:sz="0" w:space="0" w:color="auto"/>
      </w:divBdr>
    </w:div>
    <w:div w:id="697663325">
      <w:bodyDiv w:val="1"/>
      <w:marLeft w:val="0"/>
      <w:marRight w:val="0"/>
      <w:marTop w:val="0"/>
      <w:marBottom w:val="0"/>
      <w:divBdr>
        <w:top w:val="none" w:sz="0" w:space="0" w:color="auto"/>
        <w:left w:val="none" w:sz="0" w:space="0" w:color="auto"/>
        <w:bottom w:val="none" w:sz="0" w:space="0" w:color="auto"/>
        <w:right w:val="none" w:sz="0" w:space="0" w:color="auto"/>
      </w:divBdr>
    </w:div>
    <w:div w:id="700132990">
      <w:bodyDiv w:val="1"/>
      <w:marLeft w:val="0"/>
      <w:marRight w:val="0"/>
      <w:marTop w:val="0"/>
      <w:marBottom w:val="0"/>
      <w:divBdr>
        <w:top w:val="none" w:sz="0" w:space="0" w:color="auto"/>
        <w:left w:val="none" w:sz="0" w:space="0" w:color="auto"/>
        <w:bottom w:val="none" w:sz="0" w:space="0" w:color="auto"/>
        <w:right w:val="none" w:sz="0" w:space="0" w:color="auto"/>
      </w:divBdr>
      <w:divsChild>
        <w:div w:id="1538815315">
          <w:marLeft w:val="0"/>
          <w:marRight w:val="0"/>
          <w:marTop w:val="150"/>
          <w:marBottom w:val="0"/>
          <w:divBdr>
            <w:top w:val="none" w:sz="0" w:space="0" w:color="auto"/>
            <w:left w:val="none" w:sz="0" w:space="0" w:color="auto"/>
            <w:bottom w:val="none" w:sz="0" w:space="0" w:color="auto"/>
            <w:right w:val="none" w:sz="0" w:space="0" w:color="auto"/>
          </w:divBdr>
          <w:divsChild>
            <w:div w:id="360471584">
              <w:marLeft w:val="2"/>
              <w:marRight w:val="2"/>
              <w:marTop w:val="0"/>
              <w:marBottom w:val="0"/>
              <w:divBdr>
                <w:top w:val="none" w:sz="0" w:space="0" w:color="auto"/>
                <w:left w:val="none" w:sz="0" w:space="0" w:color="auto"/>
                <w:bottom w:val="none" w:sz="0" w:space="0" w:color="auto"/>
                <w:right w:val="none" w:sz="0" w:space="0" w:color="auto"/>
              </w:divBdr>
              <w:divsChild>
                <w:div w:id="320476015">
                  <w:marLeft w:val="0"/>
                  <w:marRight w:val="0"/>
                  <w:marTop w:val="0"/>
                  <w:marBottom w:val="0"/>
                  <w:divBdr>
                    <w:top w:val="none" w:sz="0" w:space="0" w:color="auto"/>
                    <w:left w:val="none" w:sz="0" w:space="0" w:color="auto"/>
                    <w:bottom w:val="none" w:sz="0" w:space="0" w:color="auto"/>
                    <w:right w:val="none" w:sz="0" w:space="0" w:color="auto"/>
                  </w:divBdr>
                  <w:divsChild>
                    <w:div w:id="113868139">
                      <w:marLeft w:val="0"/>
                      <w:marRight w:val="0"/>
                      <w:marTop w:val="0"/>
                      <w:marBottom w:val="0"/>
                      <w:divBdr>
                        <w:top w:val="none" w:sz="0" w:space="0" w:color="auto"/>
                        <w:left w:val="none" w:sz="0" w:space="0" w:color="auto"/>
                        <w:bottom w:val="none" w:sz="0" w:space="0" w:color="auto"/>
                        <w:right w:val="none" w:sz="0" w:space="0" w:color="auto"/>
                      </w:divBdr>
                      <w:divsChild>
                        <w:div w:id="2006591291">
                          <w:marLeft w:val="0"/>
                          <w:marRight w:val="0"/>
                          <w:marTop w:val="0"/>
                          <w:marBottom w:val="0"/>
                          <w:divBdr>
                            <w:top w:val="none" w:sz="0" w:space="0" w:color="auto"/>
                            <w:left w:val="none" w:sz="0" w:space="0" w:color="auto"/>
                            <w:bottom w:val="none" w:sz="0" w:space="0" w:color="auto"/>
                            <w:right w:val="none" w:sz="0" w:space="0" w:color="auto"/>
                          </w:divBdr>
                          <w:divsChild>
                            <w:div w:id="1670057347">
                              <w:marLeft w:val="0"/>
                              <w:marRight w:val="0"/>
                              <w:marTop w:val="0"/>
                              <w:marBottom w:val="0"/>
                              <w:divBdr>
                                <w:top w:val="none" w:sz="0" w:space="0" w:color="auto"/>
                                <w:left w:val="none" w:sz="0" w:space="0" w:color="auto"/>
                                <w:bottom w:val="none" w:sz="0" w:space="0" w:color="auto"/>
                                <w:right w:val="none" w:sz="0" w:space="0" w:color="auto"/>
                              </w:divBdr>
                              <w:divsChild>
                                <w:div w:id="1890723905">
                                  <w:marLeft w:val="0"/>
                                  <w:marRight w:val="0"/>
                                  <w:marTop w:val="0"/>
                                  <w:marBottom w:val="0"/>
                                  <w:divBdr>
                                    <w:top w:val="none" w:sz="0" w:space="0" w:color="auto"/>
                                    <w:left w:val="none" w:sz="0" w:space="0" w:color="auto"/>
                                    <w:bottom w:val="none" w:sz="0" w:space="0" w:color="auto"/>
                                    <w:right w:val="none" w:sz="0" w:space="0" w:color="auto"/>
                                  </w:divBdr>
                                  <w:divsChild>
                                    <w:div w:id="1667829373">
                                      <w:marLeft w:val="0"/>
                                      <w:marRight w:val="0"/>
                                      <w:marTop w:val="0"/>
                                      <w:marBottom w:val="0"/>
                                      <w:divBdr>
                                        <w:top w:val="none" w:sz="0" w:space="0" w:color="auto"/>
                                        <w:left w:val="none" w:sz="0" w:space="0" w:color="auto"/>
                                        <w:bottom w:val="none" w:sz="0" w:space="0" w:color="auto"/>
                                        <w:right w:val="none" w:sz="0" w:space="0" w:color="auto"/>
                                      </w:divBdr>
                                      <w:divsChild>
                                        <w:div w:id="1292515918">
                                          <w:marLeft w:val="0"/>
                                          <w:marRight w:val="0"/>
                                          <w:marTop w:val="0"/>
                                          <w:marBottom w:val="0"/>
                                          <w:divBdr>
                                            <w:top w:val="none" w:sz="0" w:space="0" w:color="auto"/>
                                            <w:left w:val="none" w:sz="0" w:space="0" w:color="auto"/>
                                            <w:bottom w:val="none" w:sz="0" w:space="0" w:color="auto"/>
                                            <w:right w:val="none" w:sz="0" w:space="0" w:color="auto"/>
                                          </w:divBdr>
                                          <w:divsChild>
                                            <w:div w:id="211114428">
                                              <w:marLeft w:val="0"/>
                                              <w:marRight w:val="0"/>
                                              <w:marTop w:val="0"/>
                                              <w:marBottom w:val="0"/>
                                              <w:divBdr>
                                                <w:top w:val="none" w:sz="0" w:space="0" w:color="auto"/>
                                                <w:left w:val="none" w:sz="0" w:space="0" w:color="auto"/>
                                                <w:bottom w:val="none" w:sz="0" w:space="0" w:color="auto"/>
                                                <w:right w:val="none" w:sz="0" w:space="0" w:color="auto"/>
                                              </w:divBdr>
                                              <w:divsChild>
                                                <w:div w:id="83496524">
                                                  <w:marLeft w:val="0"/>
                                                  <w:marRight w:val="0"/>
                                                  <w:marTop w:val="0"/>
                                                  <w:marBottom w:val="0"/>
                                                  <w:divBdr>
                                                    <w:top w:val="none" w:sz="0" w:space="0" w:color="auto"/>
                                                    <w:left w:val="none" w:sz="0" w:space="0" w:color="auto"/>
                                                    <w:bottom w:val="none" w:sz="0" w:space="0" w:color="auto"/>
                                                    <w:right w:val="none" w:sz="0" w:space="0" w:color="auto"/>
                                                  </w:divBdr>
                                                </w:div>
                                              </w:divsChild>
                                            </w:div>
                                            <w:div w:id="459613394">
                                              <w:marLeft w:val="0"/>
                                              <w:marRight w:val="0"/>
                                              <w:marTop w:val="0"/>
                                              <w:marBottom w:val="0"/>
                                              <w:divBdr>
                                                <w:top w:val="none" w:sz="0" w:space="0" w:color="auto"/>
                                                <w:left w:val="none" w:sz="0" w:space="0" w:color="auto"/>
                                                <w:bottom w:val="none" w:sz="0" w:space="0" w:color="auto"/>
                                                <w:right w:val="none" w:sz="0" w:space="0" w:color="auto"/>
                                              </w:divBdr>
                                              <w:divsChild>
                                                <w:div w:id="357395517">
                                                  <w:marLeft w:val="0"/>
                                                  <w:marRight w:val="0"/>
                                                  <w:marTop w:val="0"/>
                                                  <w:marBottom w:val="0"/>
                                                  <w:divBdr>
                                                    <w:top w:val="none" w:sz="0" w:space="0" w:color="auto"/>
                                                    <w:left w:val="none" w:sz="0" w:space="0" w:color="auto"/>
                                                    <w:bottom w:val="none" w:sz="0" w:space="0" w:color="auto"/>
                                                    <w:right w:val="none" w:sz="0" w:space="0" w:color="auto"/>
                                                  </w:divBdr>
                                                </w:div>
                                              </w:divsChild>
                                            </w:div>
                                            <w:div w:id="767845051">
                                              <w:marLeft w:val="0"/>
                                              <w:marRight w:val="0"/>
                                              <w:marTop w:val="0"/>
                                              <w:marBottom w:val="0"/>
                                              <w:divBdr>
                                                <w:top w:val="none" w:sz="0" w:space="0" w:color="auto"/>
                                                <w:left w:val="none" w:sz="0" w:space="0" w:color="auto"/>
                                                <w:bottom w:val="none" w:sz="0" w:space="0" w:color="auto"/>
                                                <w:right w:val="none" w:sz="0" w:space="0" w:color="auto"/>
                                              </w:divBdr>
                                              <w:divsChild>
                                                <w:div w:id="695040867">
                                                  <w:marLeft w:val="0"/>
                                                  <w:marRight w:val="0"/>
                                                  <w:marTop w:val="0"/>
                                                  <w:marBottom w:val="0"/>
                                                  <w:divBdr>
                                                    <w:top w:val="none" w:sz="0" w:space="0" w:color="auto"/>
                                                    <w:left w:val="none" w:sz="0" w:space="0" w:color="auto"/>
                                                    <w:bottom w:val="none" w:sz="0" w:space="0" w:color="auto"/>
                                                    <w:right w:val="none" w:sz="0" w:space="0" w:color="auto"/>
                                                  </w:divBdr>
                                                </w:div>
                                              </w:divsChild>
                                            </w:div>
                                            <w:div w:id="1366102536">
                                              <w:marLeft w:val="0"/>
                                              <w:marRight w:val="0"/>
                                              <w:marTop w:val="0"/>
                                              <w:marBottom w:val="0"/>
                                              <w:divBdr>
                                                <w:top w:val="none" w:sz="0" w:space="0" w:color="auto"/>
                                                <w:left w:val="none" w:sz="0" w:space="0" w:color="auto"/>
                                                <w:bottom w:val="none" w:sz="0" w:space="0" w:color="auto"/>
                                                <w:right w:val="none" w:sz="0" w:space="0" w:color="auto"/>
                                              </w:divBdr>
                                              <w:divsChild>
                                                <w:div w:id="11749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480418">
      <w:bodyDiv w:val="1"/>
      <w:marLeft w:val="0"/>
      <w:marRight w:val="0"/>
      <w:marTop w:val="0"/>
      <w:marBottom w:val="0"/>
      <w:divBdr>
        <w:top w:val="none" w:sz="0" w:space="0" w:color="auto"/>
        <w:left w:val="none" w:sz="0" w:space="0" w:color="auto"/>
        <w:bottom w:val="none" w:sz="0" w:space="0" w:color="auto"/>
        <w:right w:val="none" w:sz="0" w:space="0" w:color="auto"/>
      </w:divBdr>
    </w:div>
    <w:div w:id="702480919">
      <w:bodyDiv w:val="1"/>
      <w:marLeft w:val="0"/>
      <w:marRight w:val="0"/>
      <w:marTop w:val="0"/>
      <w:marBottom w:val="0"/>
      <w:divBdr>
        <w:top w:val="none" w:sz="0" w:space="0" w:color="auto"/>
        <w:left w:val="none" w:sz="0" w:space="0" w:color="auto"/>
        <w:bottom w:val="none" w:sz="0" w:space="0" w:color="auto"/>
        <w:right w:val="none" w:sz="0" w:space="0" w:color="auto"/>
      </w:divBdr>
    </w:div>
    <w:div w:id="702630035">
      <w:bodyDiv w:val="1"/>
      <w:marLeft w:val="0"/>
      <w:marRight w:val="0"/>
      <w:marTop w:val="0"/>
      <w:marBottom w:val="0"/>
      <w:divBdr>
        <w:top w:val="none" w:sz="0" w:space="0" w:color="auto"/>
        <w:left w:val="none" w:sz="0" w:space="0" w:color="auto"/>
        <w:bottom w:val="none" w:sz="0" w:space="0" w:color="auto"/>
        <w:right w:val="none" w:sz="0" w:space="0" w:color="auto"/>
      </w:divBdr>
      <w:divsChild>
        <w:div w:id="780029628">
          <w:marLeft w:val="0"/>
          <w:marRight w:val="0"/>
          <w:marTop w:val="0"/>
          <w:marBottom w:val="0"/>
          <w:divBdr>
            <w:top w:val="none" w:sz="0" w:space="0" w:color="auto"/>
            <w:left w:val="none" w:sz="0" w:space="0" w:color="auto"/>
            <w:bottom w:val="none" w:sz="0" w:space="0" w:color="auto"/>
            <w:right w:val="none" w:sz="0" w:space="0" w:color="auto"/>
          </w:divBdr>
          <w:divsChild>
            <w:div w:id="1845515258">
              <w:marLeft w:val="0"/>
              <w:marRight w:val="0"/>
              <w:marTop w:val="0"/>
              <w:marBottom w:val="0"/>
              <w:divBdr>
                <w:top w:val="none" w:sz="0" w:space="0" w:color="auto"/>
                <w:left w:val="none" w:sz="0" w:space="0" w:color="auto"/>
                <w:bottom w:val="none" w:sz="0" w:space="0" w:color="auto"/>
                <w:right w:val="none" w:sz="0" w:space="0" w:color="auto"/>
              </w:divBdr>
              <w:divsChild>
                <w:div w:id="2121140077">
                  <w:marLeft w:val="0"/>
                  <w:marRight w:val="0"/>
                  <w:marTop w:val="0"/>
                  <w:marBottom w:val="0"/>
                  <w:divBdr>
                    <w:top w:val="none" w:sz="0" w:space="0" w:color="auto"/>
                    <w:left w:val="none" w:sz="0" w:space="0" w:color="auto"/>
                    <w:bottom w:val="none" w:sz="0" w:space="0" w:color="auto"/>
                    <w:right w:val="none" w:sz="0" w:space="0" w:color="auto"/>
                  </w:divBdr>
                  <w:divsChild>
                    <w:div w:id="1412116089">
                      <w:marLeft w:val="0"/>
                      <w:marRight w:val="0"/>
                      <w:marTop w:val="0"/>
                      <w:marBottom w:val="0"/>
                      <w:divBdr>
                        <w:top w:val="none" w:sz="0" w:space="0" w:color="auto"/>
                        <w:left w:val="none" w:sz="0" w:space="0" w:color="auto"/>
                        <w:bottom w:val="none" w:sz="0" w:space="0" w:color="auto"/>
                        <w:right w:val="none" w:sz="0" w:space="0" w:color="auto"/>
                      </w:divBdr>
                      <w:divsChild>
                        <w:div w:id="13034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360649">
      <w:bodyDiv w:val="1"/>
      <w:marLeft w:val="0"/>
      <w:marRight w:val="0"/>
      <w:marTop w:val="0"/>
      <w:marBottom w:val="0"/>
      <w:divBdr>
        <w:top w:val="none" w:sz="0" w:space="0" w:color="auto"/>
        <w:left w:val="none" w:sz="0" w:space="0" w:color="auto"/>
        <w:bottom w:val="none" w:sz="0" w:space="0" w:color="auto"/>
        <w:right w:val="none" w:sz="0" w:space="0" w:color="auto"/>
      </w:divBdr>
      <w:divsChild>
        <w:div w:id="770123898">
          <w:marLeft w:val="0"/>
          <w:marRight w:val="0"/>
          <w:marTop w:val="0"/>
          <w:marBottom w:val="0"/>
          <w:divBdr>
            <w:top w:val="none" w:sz="0" w:space="0" w:color="auto"/>
            <w:left w:val="none" w:sz="0" w:space="0" w:color="auto"/>
            <w:bottom w:val="none" w:sz="0" w:space="0" w:color="auto"/>
            <w:right w:val="none" w:sz="0" w:space="0" w:color="auto"/>
          </w:divBdr>
        </w:div>
        <w:div w:id="620110148">
          <w:marLeft w:val="0"/>
          <w:marRight w:val="0"/>
          <w:marTop w:val="0"/>
          <w:marBottom w:val="150"/>
          <w:divBdr>
            <w:top w:val="none" w:sz="0" w:space="0" w:color="auto"/>
            <w:left w:val="none" w:sz="0" w:space="0" w:color="auto"/>
            <w:bottom w:val="none" w:sz="0" w:space="0" w:color="auto"/>
            <w:right w:val="none" w:sz="0" w:space="0" w:color="auto"/>
          </w:divBdr>
          <w:divsChild>
            <w:div w:id="599949245">
              <w:marLeft w:val="0"/>
              <w:marRight w:val="0"/>
              <w:marTop w:val="0"/>
              <w:marBottom w:val="0"/>
              <w:divBdr>
                <w:top w:val="none" w:sz="0" w:space="0" w:color="auto"/>
                <w:left w:val="none" w:sz="0" w:space="0" w:color="auto"/>
                <w:bottom w:val="none" w:sz="0" w:space="0" w:color="auto"/>
                <w:right w:val="none" w:sz="0" w:space="0" w:color="auto"/>
              </w:divBdr>
              <w:divsChild>
                <w:div w:id="2056192855">
                  <w:marLeft w:val="0"/>
                  <w:marRight w:val="225"/>
                  <w:marTop w:val="0"/>
                  <w:marBottom w:val="0"/>
                  <w:divBdr>
                    <w:top w:val="none" w:sz="0" w:space="0" w:color="auto"/>
                    <w:left w:val="none" w:sz="0" w:space="0" w:color="auto"/>
                    <w:bottom w:val="none" w:sz="0" w:space="0" w:color="auto"/>
                    <w:right w:val="none" w:sz="0" w:space="0" w:color="auto"/>
                  </w:divBdr>
                  <w:divsChild>
                    <w:div w:id="17064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6525">
          <w:marLeft w:val="0"/>
          <w:marRight w:val="0"/>
          <w:marTop w:val="0"/>
          <w:marBottom w:val="150"/>
          <w:divBdr>
            <w:top w:val="none" w:sz="0" w:space="0" w:color="auto"/>
            <w:left w:val="none" w:sz="0" w:space="0" w:color="auto"/>
            <w:bottom w:val="none" w:sz="0" w:space="0" w:color="auto"/>
            <w:right w:val="none" w:sz="0" w:space="0" w:color="auto"/>
          </w:divBdr>
        </w:div>
      </w:divsChild>
    </w:div>
    <w:div w:id="704871859">
      <w:bodyDiv w:val="1"/>
      <w:marLeft w:val="0"/>
      <w:marRight w:val="0"/>
      <w:marTop w:val="0"/>
      <w:marBottom w:val="0"/>
      <w:divBdr>
        <w:top w:val="none" w:sz="0" w:space="0" w:color="auto"/>
        <w:left w:val="none" w:sz="0" w:space="0" w:color="auto"/>
        <w:bottom w:val="none" w:sz="0" w:space="0" w:color="auto"/>
        <w:right w:val="none" w:sz="0" w:space="0" w:color="auto"/>
      </w:divBdr>
      <w:divsChild>
        <w:div w:id="704335612">
          <w:marLeft w:val="0"/>
          <w:marRight w:val="0"/>
          <w:marTop w:val="0"/>
          <w:marBottom w:val="0"/>
          <w:divBdr>
            <w:top w:val="none" w:sz="0" w:space="0" w:color="auto"/>
            <w:left w:val="none" w:sz="0" w:space="0" w:color="auto"/>
            <w:bottom w:val="none" w:sz="0" w:space="0" w:color="auto"/>
            <w:right w:val="none" w:sz="0" w:space="0" w:color="auto"/>
          </w:divBdr>
          <w:divsChild>
            <w:div w:id="1584997776">
              <w:marLeft w:val="0"/>
              <w:marRight w:val="0"/>
              <w:marTop w:val="0"/>
              <w:marBottom w:val="0"/>
              <w:divBdr>
                <w:top w:val="none" w:sz="0" w:space="0" w:color="auto"/>
                <w:left w:val="none" w:sz="0" w:space="0" w:color="auto"/>
                <w:bottom w:val="none" w:sz="0" w:space="0" w:color="auto"/>
                <w:right w:val="none" w:sz="0" w:space="0" w:color="auto"/>
              </w:divBdr>
              <w:divsChild>
                <w:div w:id="999770039">
                  <w:marLeft w:val="0"/>
                  <w:marRight w:val="0"/>
                  <w:marTop w:val="0"/>
                  <w:marBottom w:val="0"/>
                  <w:divBdr>
                    <w:top w:val="none" w:sz="0" w:space="0" w:color="auto"/>
                    <w:left w:val="none" w:sz="0" w:space="0" w:color="auto"/>
                    <w:bottom w:val="none" w:sz="0" w:space="0" w:color="auto"/>
                    <w:right w:val="none" w:sz="0" w:space="0" w:color="auto"/>
                  </w:divBdr>
                  <w:divsChild>
                    <w:div w:id="2089304574">
                      <w:marLeft w:val="0"/>
                      <w:marRight w:val="0"/>
                      <w:marTop w:val="0"/>
                      <w:marBottom w:val="0"/>
                      <w:divBdr>
                        <w:top w:val="none" w:sz="0" w:space="0" w:color="auto"/>
                        <w:left w:val="none" w:sz="0" w:space="0" w:color="auto"/>
                        <w:bottom w:val="none" w:sz="0" w:space="0" w:color="auto"/>
                        <w:right w:val="none" w:sz="0" w:space="0" w:color="auto"/>
                      </w:divBdr>
                      <w:divsChild>
                        <w:div w:id="884682225">
                          <w:marLeft w:val="0"/>
                          <w:marRight w:val="0"/>
                          <w:marTop w:val="0"/>
                          <w:marBottom w:val="0"/>
                          <w:divBdr>
                            <w:top w:val="none" w:sz="0" w:space="0" w:color="auto"/>
                            <w:left w:val="none" w:sz="0" w:space="0" w:color="auto"/>
                            <w:bottom w:val="none" w:sz="0" w:space="0" w:color="auto"/>
                            <w:right w:val="none" w:sz="0" w:space="0" w:color="auto"/>
                          </w:divBdr>
                          <w:divsChild>
                            <w:div w:id="6059595">
                              <w:marLeft w:val="570"/>
                              <w:marRight w:val="720"/>
                              <w:marTop w:val="120"/>
                              <w:marBottom w:val="120"/>
                              <w:divBdr>
                                <w:top w:val="none" w:sz="0" w:space="0" w:color="auto"/>
                                <w:left w:val="none" w:sz="0" w:space="0" w:color="auto"/>
                                <w:bottom w:val="none" w:sz="0" w:space="0" w:color="auto"/>
                                <w:right w:val="none" w:sz="0" w:space="0" w:color="auto"/>
                              </w:divBdr>
                              <w:divsChild>
                                <w:div w:id="359817256">
                                  <w:marLeft w:val="0"/>
                                  <w:marRight w:val="0"/>
                                  <w:marTop w:val="0"/>
                                  <w:marBottom w:val="0"/>
                                  <w:divBdr>
                                    <w:top w:val="none" w:sz="0" w:space="0" w:color="auto"/>
                                    <w:left w:val="none" w:sz="0" w:space="0" w:color="auto"/>
                                    <w:bottom w:val="none" w:sz="0" w:space="0" w:color="auto"/>
                                    <w:right w:val="none" w:sz="0" w:space="0" w:color="auto"/>
                                  </w:divBdr>
                                  <w:divsChild>
                                    <w:div w:id="1934583742">
                                      <w:marLeft w:val="0"/>
                                      <w:marRight w:val="0"/>
                                      <w:marTop w:val="0"/>
                                      <w:marBottom w:val="0"/>
                                      <w:divBdr>
                                        <w:top w:val="none" w:sz="0" w:space="0" w:color="auto"/>
                                        <w:left w:val="none" w:sz="0" w:space="0" w:color="auto"/>
                                        <w:bottom w:val="none" w:sz="0" w:space="0" w:color="auto"/>
                                        <w:right w:val="none" w:sz="0" w:space="0" w:color="auto"/>
                                      </w:divBdr>
                                      <w:divsChild>
                                        <w:div w:id="1709068988">
                                          <w:marLeft w:val="0"/>
                                          <w:marRight w:val="0"/>
                                          <w:marTop w:val="0"/>
                                          <w:marBottom w:val="0"/>
                                          <w:divBdr>
                                            <w:top w:val="none" w:sz="0" w:space="0" w:color="auto"/>
                                            <w:left w:val="none" w:sz="0" w:space="0" w:color="auto"/>
                                            <w:bottom w:val="none" w:sz="0" w:space="0" w:color="auto"/>
                                            <w:right w:val="none" w:sz="0" w:space="0" w:color="auto"/>
                                          </w:divBdr>
                                        </w:div>
                                        <w:div w:id="836388071">
                                          <w:marLeft w:val="0"/>
                                          <w:marRight w:val="0"/>
                                          <w:marTop w:val="0"/>
                                          <w:marBottom w:val="150"/>
                                          <w:divBdr>
                                            <w:top w:val="none" w:sz="0" w:space="0" w:color="auto"/>
                                            <w:left w:val="none" w:sz="0" w:space="0" w:color="auto"/>
                                            <w:bottom w:val="none" w:sz="0" w:space="0" w:color="auto"/>
                                            <w:right w:val="none" w:sz="0" w:space="0" w:color="auto"/>
                                          </w:divBdr>
                                          <w:divsChild>
                                            <w:div w:id="484980515">
                                              <w:marLeft w:val="0"/>
                                              <w:marRight w:val="0"/>
                                              <w:marTop w:val="240"/>
                                              <w:marBottom w:val="240"/>
                                              <w:divBdr>
                                                <w:top w:val="single" w:sz="6" w:space="6" w:color="F2F2F2"/>
                                                <w:left w:val="none" w:sz="0" w:space="0" w:color="auto"/>
                                                <w:bottom w:val="single" w:sz="6" w:space="6" w:color="F2F2F2"/>
                                                <w:right w:val="none" w:sz="0" w:space="0" w:color="auto"/>
                                              </w:divBdr>
                                            </w:div>
                                            <w:div w:id="1572932847">
                                              <w:marLeft w:val="0"/>
                                              <w:marRight w:val="0"/>
                                              <w:marTop w:val="0"/>
                                              <w:marBottom w:val="0"/>
                                              <w:divBdr>
                                                <w:top w:val="none" w:sz="0" w:space="0" w:color="auto"/>
                                                <w:left w:val="none" w:sz="0" w:space="0" w:color="auto"/>
                                                <w:bottom w:val="none" w:sz="0" w:space="0" w:color="auto"/>
                                                <w:right w:val="none" w:sz="0" w:space="0" w:color="auto"/>
                                              </w:divBdr>
                                              <w:divsChild>
                                                <w:div w:id="1452282520">
                                                  <w:marLeft w:val="0"/>
                                                  <w:marRight w:val="0"/>
                                                  <w:marTop w:val="0"/>
                                                  <w:marBottom w:val="240"/>
                                                  <w:divBdr>
                                                    <w:top w:val="none" w:sz="0" w:space="0" w:color="auto"/>
                                                    <w:left w:val="none" w:sz="0" w:space="0" w:color="auto"/>
                                                    <w:bottom w:val="none" w:sz="0" w:space="0" w:color="auto"/>
                                                    <w:right w:val="none" w:sz="0" w:space="0" w:color="auto"/>
                                                  </w:divBdr>
                                                </w:div>
                                                <w:div w:id="140136305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328008">
      <w:bodyDiv w:val="1"/>
      <w:marLeft w:val="0"/>
      <w:marRight w:val="0"/>
      <w:marTop w:val="0"/>
      <w:marBottom w:val="0"/>
      <w:divBdr>
        <w:top w:val="none" w:sz="0" w:space="0" w:color="auto"/>
        <w:left w:val="none" w:sz="0" w:space="0" w:color="auto"/>
        <w:bottom w:val="none" w:sz="0" w:space="0" w:color="auto"/>
        <w:right w:val="none" w:sz="0" w:space="0" w:color="auto"/>
      </w:divBdr>
    </w:div>
    <w:div w:id="705495384">
      <w:bodyDiv w:val="1"/>
      <w:marLeft w:val="0"/>
      <w:marRight w:val="0"/>
      <w:marTop w:val="0"/>
      <w:marBottom w:val="0"/>
      <w:divBdr>
        <w:top w:val="none" w:sz="0" w:space="0" w:color="auto"/>
        <w:left w:val="none" w:sz="0" w:space="0" w:color="auto"/>
        <w:bottom w:val="none" w:sz="0" w:space="0" w:color="auto"/>
        <w:right w:val="none" w:sz="0" w:space="0" w:color="auto"/>
      </w:divBdr>
    </w:div>
    <w:div w:id="706368407">
      <w:bodyDiv w:val="1"/>
      <w:marLeft w:val="0"/>
      <w:marRight w:val="0"/>
      <w:marTop w:val="0"/>
      <w:marBottom w:val="0"/>
      <w:divBdr>
        <w:top w:val="none" w:sz="0" w:space="0" w:color="auto"/>
        <w:left w:val="none" w:sz="0" w:space="0" w:color="auto"/>
        <w:bottom w:val="none" w:sz="0" w:space="0" w:color="auto"/>
        <w:right w:val="none" w:sz="0" w:space="0" w:color="auto"/>
      </w:divBdr>
    </w:div>
    <w:div w:id="706682304">
      <w:bodyDiv w:val="1"/>
      <w:marLeft w:val="0"/>
      <w:marRight w:val="0"/>
      <w:marTop w:val="0"/>
      <w:marBottom w:val="0"/>
      <w:divBdr>
        <w:top w:val="none" w:sz="0" w:space="0" w:color="auto"/>
        <w:left w:val="none" w:sz="0" w:space="0" w:color="auto"/>
        <w:bottom w:val="none" w:sz="0" w:space="0" w:color="auto"/>
        <w:right w:val="none" w:sz="0" w:space="0" w:color="auto"/>
      </w:divBdr>
      <w:divsChild>
        <w:div w:id="1063021760">
          <w:marLeft w:val="0"/>
          <w:marRight w:val="0"/>
          <w:marTop w:val="0"/>
          <w:marBottom w:val="0"/>
          <w:divBdr>
            <w:top w:val="none" w:sz="0" w:space="0" w:color="auto"/>
            <w:left w:val="none" w:sz="0" w:space="0" w:color="auto"/>
            <w:bottom w:val="none" w:sz="0" w:space="0" w:color="auto"/>
            <w:right w:val="none" w:sz="0" w:space="0" w:color="auto"/>
          </w:divBdr>
          <w:divsChild>
            <w:div w:id="456414652">
              <w:marLeft w:val="0"/>
              <w:marRight w:val="0"/>
              <w:marTop w:val="0"/>
              <w:marBottom w:val="0"/>
              <w:divBdr>
                <w:top w:val="none" w:sz="0" w:space="0" w:color="auto"/>
                <w:left w:val="none" w:sz="0" w:space="0" w:color="auto"/>
                <w:bottom w:val="none" w:sz="0" w:space="0" w:color="auto"/>
                <w:right w:val="none" w:sz="0" w:space="0" w:color="auto"/>
              </w:divBdr>
              <w:divsChild>
                <w:div w:id="658311493">
                  <w:marLeft w:val="0"/>
                  <w:marRight w:val="0"/>
                  <w:marTop w:val="0"/>
                  <w:marBottom w:val="0"/>
                  <w:divBdr>
                    <w:top w:val="none" w:sz="0" w:space="0" w:color="auto"/>
                    <w:left w:val="none" w:sz="0" w:space="0" w:color="auto"/>
                    <w:bottom w:val="none" w:sz="0" w:space="0" w:color="auto"/>
                    <w:right w:val="none" w:sz="0" w:space="0" w:color="auto"/>
                  </w:divBdr>
                  <w:divsChild>
                    <w:div w:id="878589079">
                      <w:marLeft w:val="0"/>
                      <w:marRight w:val="0"/>
                      <w:marTop w:val="0"/>
                      <w:marBottom w:val="0"/>
                      <w:divBdr>
                        <w:top w:val="none" w:sz="0" w:space="0" w:color="auto"/>
                        <w:left w:val="none" w:sz="0" w:space="0" w:color="auto"/>
                        <w:bottom w:val="none" w:sz="0" w:space="0" w:color="auto"/>
                        <w:right w:val="none" w:sz="0" w:space="0" w:color="auto"/>
                      </w:divBdr>
                      <w:divsChild>
                        <w:div w:id="1824155963">
                          <w:marLeft w:val="0"/>
                          <w:marRight w:val="0"/>
                          <w:marTop w:val="0"/>
                          <w:marBottom w:val="0"/>
                          <w:divBdr>
                            <w:top w:val="none" w:sz="0" w:space="0" w:color="auto"/>
                            <w:left w:val="none" w:sz="0" w:space="0" w:color="auto"/>
                            <w:bottom w:val="none" w:sz="0" w:space="0" w:color="auto"/>
                            <w:right w:val="none" w:sz="0" w:space="0" w:color="auto"/>
                          </w:divBdr>
                          <w:divsChild>
                            <w:div w:id="168570709">
                              <w:marLeft w:val="0"/>
                              <w:marRight w:val="0"/>
                              <w:marTop w:val="0"/>
                              <w:marBottom w:val="0"/>
                              <w:divBdr>
                                <w:top w:val="none" w:sz="0" w:space="0" w:color="auto"/>
                                <w:left w:val="none" w:sz="0" w:space="0" w:color="auto"/>
                                <w:bottom w:val="none" w:sz="0" w:space="0" w:color="auto"/>
                                <w:right w:val="none" w:sz="0" w:space="0" w:color="auto"/>
                              </w:divBdr>
                              <w:divsChild>
                                <w:div w:id="1253198313">
                                  <w:marLeft w:val="0"/>
                                  <w:marRight w:val="0"/>
                                  <w:marTop w:val="0"/>
                                  <w:marBottom w:val="0"/>
                                  <w:divBdr>
                                    <w:top w:val="none" w:sz="0" w:space="0" w:color="auto"/>
                                    <w:left w:val="none" w:sz="0" w:space="0" w:color="auto"/>
                                    <w:bottom w:val="none" w:sz="0" w:space="0" w:color="auto"/>
                                    <w:right w:val="none" w:sz="0" w:space="0" w:color="auto"/>
                                  </w:divBdr>
                                  <w:divsChild>
                                    <w:div w:id="347566797">
                                      <w:marLeft w:val="0"/>
                                      <w:marRight w:val="0"/>
                                      <w:marTop w:val="0"/>
                                      <w:marBottom w:val="0"/>
                                      <w:divBdr>
                                        <w:top w:val="none" w:sz="0" w:space="0" w:color="auto"/>
                                        <w:left w:val="none" w:sz="0" w:space="0" w:color="auto"/>
                                        <w:bottom w:val="none" w:sz="0" w:space="0" w:color="auto"/>
                                        <w:right w:val="none" w:sz="0" w:space="0" w:color="auto"/>
                                      </w:divBdr>
                                      <w:divsChild>
                                        <w:div w:id="796601822">
                                          <w:marLeft w:val="0"/>
                                          <w:marRight w:val="0"/>
                                          <w:marTop w:val="0"/>
                                          <w:marBottom w:val="0"/>
                                          <w:divBdr>
                                            <w:top w:val="none" w:sz="0" w:space="0" w:color="auto"/>
                                            <w:left w:val="none" w:sz="0" w:space="0" w:color="auto"/>
                                            <w:bottom w:val="none" w:sz="0" w:space="0" w:color="auto"/>
                                            <w:right w:val="none" w:sz="0" w:space="0" w:color="auto"/>
                                          </w:divBdr>
                                        </w:div>
                                        <w:div w:id="798765680">
                                          <w:marLeft w:val="0"/>
                                          <w:marRight w:val="0"/>
                                          <w:marTop w:val="0"/>
                                          <w:marBottom w:val="0"/>
                                          <w:divBdr>
                                            <w:top w:val="none" w:sz="0" w:space="0" w:color="auto"/>
                                            <w:left w:val="none" w:sz="0" w:space="0" w:color="auto"/>
                                            <w:bottom w:val="none" w:sz="0" w:space="0" w:color="auto"/>
                                            <w:right w:val="none" w:sz="0" w:space="0" w:color="auto"/>
                                          </w:divBdr>
                                          <w:divsChild>
                                            <w:div w:id="145093305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222784">
      <w:bodyDiv w:val="1"/>
      <w:marLeft w:val="0"/>
      <w:marRight w:val="0"/>
      <w:marTop w:val="0"/>
      <w:marBottom w:val="0"/>
      <w:divBdr>
        <w:top w:val="none" w:sz="0" w:space="0" w:color="auto"/>
        <w:left w:val="none" w:sz="0" w:space="0" w:color="auto"/>
        <w:bottom w:val="none" w:sz="0" w:space="0" w:color="auto"/>
        <w:right w:val="none" w:sz="0" w:space="0" w:color="auto"/>
      </w:divBdr>
    </w:div>
    <w:div w:id="708191354">
      <w:bodyDiv w:val="1"/>
      <w:marLeft w:val="0"/>
      <w:marRight w:val="0"/>
      <w:marTop w:val="0"/>
      <w:marBottom w:val="0"/>
      <w:divBdr>
        <w:top w:val="none" w:sz="0" w:space="0" w:color="auto"/>
        <w:left w:val="none" w:sz="0" w:space="0" w:color="auto"/>
        <w:bottom w:val="none" w:sz="0" w:space="0" w:color="auto"/>
        <w:right w:val="none" w:sz="0" w:space="0" w:color="auto"/>
      </w:divBdr>
    </w:div>
    <w:div w:id="710954898">
      <w:bodyDiv w:val="1"/>
      <w:marLeft w:val="0"/>
      <w:marRight w:val="0"/>
      <w:marTop w:val="0"/>
      <w:marBottom w:val="0"/>
      <w:divBdr>
        <w:top w:val="none" w:sz="0" w:space="0" w:color="auto"/>
        <w:left w:val="none" w:sz="0" w:space="0" w:color="auto"/>
        <w:bottom w:val="none" w:sz="0" w:space="0" w:color="auto"/>
        <w:right w:val="none" w:sz="0" w:space="0" w:color="auto"/>
      </w:divBdr>
    </w:div>
    <w:div w:id="711269254">
      <w:bodyDiv w:val="1"/>
      <w:marLeft w:val="0"/>
      <w:marRight w:val="0"/>
      <w:marTop w:val="0"/>
      <w:marBottom w:val="0"/>
      <w:divBdr>
        <w:top w:val="none" w:sz="0" w:space="0" w:color="auto"/>
        <w:left w:val="none" w:sz="0" w:space="0" w:color="auto"/>
        <w:bottom w:val="none" w:sz="0" w:space="0" w:color="auto"/>
        <w:right w:val="none" w:sz="0" w:space="0" w:color="auto"/>
      </w:divBdr>
      <w:divsChild>
        <w:div w:id="1147554715">
          <w:marLeft w:val="0"/>
          <w:marRight w:val="0"/>
          <w:marTop w:val="0"/>
          <w:marBottom w:val="0"/>
          <w:divBdr>
            <w:top w:val="single" w:sz="2" w:space="0" w:color="AAAAAA"/>
            <w:left w:val="single" w:sz="6" w:space="8" w:color="AAAAAA"/>
            <w:bottom w:val="single" w:sz="2" w:space="0" w:color="AAAAAA"/>
            <w:right w:val="single" w:sz="6" w:space="8" w:color="AAAAAA"/>
          </w:divBdr>
          <w:divsChild>
            <w:div w:id="1938369317">
              <w:marLeft w:val="0"/>
              <w:marRight w:val="0"/>
              <w:marTop w:val="0"/>
              <w:marBottom w:val="0"/>
              <w:divBdr>
                <w:top w:val="none" w:sz="0" w:space="0" w:color="auto"/>
                <w:left w:val="none" w:sz="0" w:space="0" w:color="auto"/>
                <w:bottom w:val="none" w:sz="0" w:space="0" w:color="auto"/>
                <w:right w:val="none" w:sz="0" w:space="0" w:color="auto"/>
              </w:divBdr>
              <w:divsChild>
                <w:div w:id="190807809">
                  <w:marLeft w:val="0"/>
                  <w:marRight w:val="0"/>
                  <w:marTop w:val="0"/>
                  <w:marBottom w:val="0"/>
                  <w:divBdr>
                    <w:top w:val="none" w:sz="0" w:space="0" w:color="auto"/>
                    <w:left w:val="none" w:sz="0" w:space="0" w:color="auto"/>
                    <w:bottom w:val="none" w:sz="0" w:space="0" w:color="auto"/>
                    <w:right w:val="none" w:sz="0" w:space="0" w:color="auto"/>
                  </w:divBdr>
                  <w:divsChild>
                    <w:div w:id="404693215">
                      <w:marLeft w:val="0"/>
                      <w:marRight w:val="2550"/>
                      <w:marTop w:val="0"/>
                      <w:marBottom w:val="48"/>
                      <w:divBdr>
                        <w:top w:val="none" w:sz="0" w:space="0" w:color="auto"/>
                        <w:left w:val="none" w:sz="0" w:space="0" w:color="auto"/>
                        <w:bottom w:val="none" w:sz="0" w:space="0" w:color="auto"/>
                        <w:right w:val="none" w:sz="0" w:space="0" w:color="auto"/>
                      </w:divBdr>
                      <w:divsChild>
                        <w:div w:id="970329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1346709">
      <w:bodyDiv w:val="1"/>
      <w:marLeft w:val="0"/>
      <w:marRight w:val="0"/>
      <w:marTop w:val="0"/>
      <w:marBottom w:val="0"/>
      <w:divBdr>
        <w:top w:val="none" w:sz="0" w:space="0" w:color="auto"/>
        <w:left w:val="none" w:sz="0" w:space="0" w:color="auto"/>
        <w:bottom w:val="none" w:sz="0" w:space="0" w:color="auto"/>
        <w:right w:val="none" w:sz="0" w:space="0" w:color="auto"/>
      </w:divBdr>
    </w:div>
    <w:div w:id="711731966">
      <w:bodyDiv w:val="1"/>
      <w:marLeft w:val="0"/>
      <w:marRight w:val="0"/>
      <w:marTop w:val="0"/>
      <w:marBottom w:val="0"/>
      <w:divBdr>
        <w:top w:val="none" w:sz="0" w:space="0" w:color="auto"/>
        <w:left w:val="none" w:sz="0" w:space="0" w:color="auto"/>
        <w:bottom w:val="none" w:sz="0" w:space="0" w:color="auto"/>
        <w:right w:val="none" w:sz="0" w:space="0" w:color="auto"/>
      </w:divBdr>
      <w:divsChild>
        <w:div w:id="1527209515">
          <w:marLeft w:val="2400"/>
          <w:marRight w:val="0"/>
          <w:marTop w:val="0"/>
          <w:marBottom w:val="0"/>
          <w:divBdr>
            <w:top w:val="none" w:sz="0" w:space="0" w:color="auto"/>
            <w:left w:val="none" w:sz="0" w:space="0" w:color="auto"/>
            <w:bottom w:val="none" w:sz="0" w:space="0" w:color="auto"/>
            <w:right w:val="none" w:sz="0" w:space="0" w:color="auto"/>
          </w:divBdr>
          <w:divsChild>
            <w:div w:id="2082562554">
              <w:marLeft w:val="0"/>
              <w:marRight w:val="0"/>
              <w:marTop w:val="0"/>
              <w:marBottom w:val="0"/>
              <w:divBdr>
                <w:top w:val="none" w:sz="0" w:space="0" w:color="auto"/>
                <w:left w:val="none" w:sz="0" w:space="0" w:color="auto"/>
                <w:bottom w:val="none" w:sz="0" w:space="0" w:color="auto"/>
                <w:right w:val="none" w:sz="0" w:space="0" w:color="auto"/>
              </w:divBdr>
              <w:divsChild>
                <w:div w:id="315962341">
                  <w:marLeft w:val="0"/>
                  <w:marRight w:val="0"/>
                  <w:marTop w:val="0"/>
                  <w:marBottom w:val="0"/>
                  <w:divBdr>
                    <w:top w:val="none" w:sz="0" w:space="0" w:color="auto"/>
                    <w:left w:val="none" w:sz="0" w:space="0" w:color="auto"/>
                    <w:bottom w:val="none" w:sz="0" w:space="0" w:color="auto"/>
                    <w:right w:val="none" w:sz="0" w:space="0" w:color="auto"/>
                  </w:divBdr>
                  <w:divsChild>
                    <w:div w:id="413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72751">
      <w:bodyDiv w:val="1"/>
      <w:marLeft w:val="0"/>
      <w:marRight w:val="0"/>
      <w:marTop w:val="0"/>
      <w:marBottom w:val="0"/>
      <w:divBdr>
        <w:top w:val="none" w:sz="0" w:space="0" w:color="auto"/>
        <w:left w:val="none" w:sz="0" w:space="0" w:color="auto"/>
        <w:bottom w:val="none" w:sz="0" w:space="0" w:color="auto"/>
        <w:right w:val="none" w:sz="0" w:space="0" w:color="auto"/>
      </w:divBdr>
      <w:divsChild>
        <w:div w:id="1686595058">
          <w:marLeft w:val="0"/>
          <w:marRight w:val="0"/>
          <w:marTop w:val="0"/>
          <w:marBottom w:val="0"/>
          <w:divBdr>
            <w:top w:val="none" w:sz="0" w:space="0" w:color="auto"/>
            <w:left w:val="none" w:sz="0" w:space="0" w:color="auto"/>
            <w:bottom w:val="none" w:sz="0" w:space="0" w:color="auto"/>
            <w:right w:val="none" w:sz="0" w:space="0" w:color="auto"/>
          </w:divBdr>
          <w:divsChild>
            <w:div w:id="1756778534">
              <w:marLeft w:val="0"/>
              <w:marRight w:val="0"/>
              <w:marTop w:val="0"/>
              <w:marBottom w:val="0"/>
              <w:divBdr>
                <w:top w:val="none" w:sz="0" w:space="0" w:color="auto"/>
                <w:left w:val="none" w:sz="0" w:space="0" w:color="auto"/>
                <w:bottom w:val="none" w:sz="0" w:space="0" w:color="auto"/>
                <w:right w:val="none" w:sz="0" w:space="0" w:color="auto"/>
              </w:divBdr>
              <w:divsChild>
                <w:div w:id="428165308">
                  <w:marLeft w:val="0"/>
                  <w:marRight w:val="0"/>
                  <w:marTop w:val="0"/>
                  <w:marBottom w:val="0"/>
                  <w:divBdr>
                    <w:top w:val="none" w:sz="0" w:space="0" w:color="auto"/>
                    <w:left w:val="none" w:sz="0" w:space="0" w:color="auto"/>
                    <w:bottom w:val="none" w:sz="0" w:space="0" w:color="auto"/>
                    <w:right w:val="none" w:sz="0" w:space="0" w:color="auto"/>
                  </w:divBdr>
                  <w:divsChild>
                    <w:div w:id="1086027668">
                      <w:marLeft w:val="0"/>
                      <w:marRight w:val="0"/>
                      <w:marTop w:val="0"/>
                      <w:marBottom w:val="0"/>
                      <w:divBdr>
                        <w:top w:val="none" w:sz="0" w:space="0" w:color="auto"/>
                        <w:left w:val="none" w:sz="0" w:space="0" w:color="auto"/>
                        <w:bottom w:val="none" w:sz="0" w:space="0" w:color="auto"/>
                        <w:right w:val="none" w:sz="0" w:space="0" w:color="auto"/>
                      </w:divBdr>
                      <w:divsChild>
                        <w:div w:id="2016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457405">
      <w:bodyDiv w:val="1"/>
      <w:marLeft w:val="0"/>
      <w:marRight w:val="0"/>
      <w:marTop w:val="0"/>
      <w:marBottom w:val="0"/>
      <w:divBdr>
        <w:top w:val="none" w:sz="0" w:space="0" w:color="auto"/>
        <w:left w:val="none" w:sz="0" w:space="0" w:color="auto"/>
        <w:bottom w:val="none" w:sz="0" w:space="0" w:color="auto"/>
        <w:right w:val="none" w:sz="0" w:space="0" w:color="auto"/>
      </w:divBdr>
      <w:divsChild>
        <w:div w:id="74713857">
          <w:marLeft w:val="0"/>
          <w:marRight w:val="0"/>
          <w:marTop w:val="150"/>
          <w:marBottom w:val="0"/>
          <w:divBdr>
            <w:top w:val="none" w:sz="0" w:space="0" w:color="auto"/>
            <w:left w:val="none" w:sz="0" w:space="0" w:color="auto"/>
            <w:bottom w:val="none" w:sz="0" w:space="0" w:color="auto"/>
            <w:right w:val="none" w:sz="0" w:space="0" w:color="auto"/>
          </w:divBdr>
          <w:divsChild>
            <w:div w:id="246766111">
              <w:marLeft w:val="2"/>
              <w:marRight w:val="2"/>
              <w:marTop w:val="0"/>
              <w:marBottom w:val="0"/>
              <w:divBdr>
                <w:top w:val="none" w:sz="0" w:space="0" w:color="auto"/>
                <w:left w:val="none" w:sz="0" w:space="0" w:color="auto"/>
                <w:bottom w:val="none" w:sz="0" w:space="0" w:color="auto"/>
                <w:right w:val="none" w:sz="0" w:space="0" w:color="auto"/>
              </w:divBdr>
              <w:divsChild>
                <w:div w:id="913585907">
                  <w:marLeft w:val="0"/>
                  <w:marRight w:val="0"/>
                  <w:marTop w:val="0"/>
                  <w:marBottom w:val="0"/>
                  <w:divBdr>
                    <w:top w:val="none" w:sz="0" w:space="0" w:color="auto"/>
                    <w:left w:val="none" w:sz="0" w:space="0" w:color="auto"/>
                    <w:bottom w:val="none" w:sz="0" w:space="0" w:color="auto"/>
                    <w:right w:val="none" w:sz="0" w:space="0" w:color="auto"/>
                  </w:divBdr>
                  <w:divsChild>
                    <w:div w:id="444927592">
                      <w:marLeft w:val="0"/>
                      <w:marRight w:val="0"/>
                      <w:marTop w:val="0"/>
                      <w:marBottom w:val="0"/>
                      <w:divBdr>
                        <w:top w:val="none" w:sz="0" w:space="0" w:color="auto"/>
                        <w:left w:val="none" w:sz="0" w:space="0" w:color="auto"/>
                        <w:bottom w:val="none" w:sz="0" w:space="0" w:color="auto"/>
                        <w:right w:val="none" w:sz="0" w:space="0" w:color="auto"/>
                      </w:divBdr>
                      <w:divsChild>
                        <w:div w:id="966665322">
                          <w:marLeft w:val="0"/>
                          <w:marRight w:val="0"/>
                          <w:marTop w:val="0"/>
                          <w:marBottom w:val="0"/>
                          <w:divBdr>
                            <w:top w:val="none" w:sz="0" w:space="0" w:color="auto"/>
                            <w:left w:val="none" w:sz="0" w:space="0" w:color="auto"/>
                            <w:bottom w:val="none" w:sz="0" w:space="0" w:color="auto"/>
                            <w:right w:val="none" w:sz="0" w:space="0" w:color="auto"/>
                          </w:divBdr>
                          <w:divsChild>
                            <w:div w:id="555549314">
                              <w:marLeft w:val="0"/>
                              <w:marRight w:val="0"/>
                              <w:marTop w:val="0"/>
                              <w:marBottom w:val="0"/>
                              <w:divBdr>
                                <w:top w:val="none" w:sz="0" w:space="0" w:color="auto"/>
                                <w:left w:val="none" w:sz="0" w:space="0" w:color="auto"/>
                                <w:bottom w:val="none" w:sz="0" w:space="0" w:color="auto"/>
                                <w:right w:val="none" w:sz="0" w:space="0" w:color="auto"/>
                              </w:divBdr>
                              <w:divsChild>
                                <w:div w:id="1790318234">
                                  <w:marLeft w:val="0"/>
                                  <w:marRight w:val="0"/>
                                  <w:marTop w:val="0"/>
                                  <w:marBottom w:val="0"/>
                                  <w:divBdr>
                                    <w:top w:val="none" w:sz="0" w:space="0" w:color="auto"/>
                                    <w:left w:val="none" w:sz="0" w:space="0" w:color="auto"/>
                                    <w:bottom w:val="none" w:sz="0" w:space="0" w:color="auto"/>
                                    <w:right w:val="none" w:sz="0" w:space="0" w:color="auto"/>
                                  </w:divBdr>
                                  <w:divsChild>
                                    <w:div w:id="955407883">
                                      <w:marLeft w:val="0"/>
                                      <w:marRight w:val="0"/>
                                      <w:marTop w:val="0"/>
                                      <w:marBottom w:val="0"/>
                                      <w:divBdr>
                                        <w:top w:val="none" w:sz="0" w:space="0" w:color="auto"/>
                                        <w:left w:val="none" w:sz="0" w:space="0" w:color="auto"/>
                                        <w:bottom w:val="none" w:sz="0" w:space="0" w:color="auto"/>
                                        <w:right w:val="none" w:sz="0" w:space="0" w:color="auto"/>
                                      </w:divBdr>
                                      <w:divsChild>
                                        <w:div w:id="921719662">
                                          <w:marLeft w:val="0"/>
                                          <w:marRight w:val="0"/>
                                          <w:marTop w:val="0"/>
                                          <w:marBottom w:val="0"/>
                                          <w:divBdr>
                                            <w:top w:val="none" w:sz="0" w:space="0" w:color="auto"/>
                                            <w:left w:val="none" w:sz="0" w:space="0" w:color="auto"/>
                                            <w:bottom w:val="none" w:sz="0" w:space="0" w:color="auto"/>
                                            <w:right w:val="none" w:sz="0" w:space="0" w:color="auto"/>
                                          </w:divBdr>
                                          <w:divsChild>
                                            <w:div w:id="97330833">
                                              <w:marLeft w:val="0"/>
                                              <w:marRight w:val="0"/>
                                              <w:marTop w:val="0"/>
                                              <w:marBottom w:val="0"/>
                                              <w:divBdr>
                                                <w:top w:val="none" w:sz="0" w:space="0" w:color="auto"/>
                                                <w:left w:val="none" w:sz="0" w:space="0" w:color="auto"/>
                                                <w:bottom w:val="none" w:sz="0" w:space="0" w:color="auto"/>
                                                <w:right w:val="none" w:sz="0" w:space="0" w:color="auto"/>
                                              </w:divBdr>
                                              <w:divsChild>
                                                <w:div w:id="824319575">
                                                  <w:marLeft w:val="0"/>
                                                  <w:marRight w:val="0"/>
                                                  <w:marTop w:val="0"/>
                                                  <w:marBottom w:val="0"/>
                                                  <w:divBdr>
                                                    <w:top w:val="none" w:sz="0" w:space="0" w:color="auto"/>
                                                    <w:left w:val="none" w:sz="0" w:space="0" w:color="auto"/>
                                                    <w:bottom w:val="none" w:sz="0" w:space="0" w:color="auto"/>
                                                    <w:right w:val="none" w:sz="0" w:space="0" w:color="auto"/>
                                                  </w:divBdr>
                                                </w:div>
                                              </w:divsChild>
                                            </w:div>
                                            <w:div w:id="520704083">
                                              <w:marLeft w:val="0"/>
                                              <w:marRight w:val="0"/>
                                              <w:marTop w:val="0"/>
                                              <w:marBottom w:val="0"/>
                                              <w:divBdr>
                                                <w:top w:val="none" w:sz="0" w:space="0" w:color="auto"/>
                                                <w:left w:val="none" w:sz="0" w:space="0" w:color="auto"/>
                                                <w:bottom w:val="none" w:sz="0" w:space="0" w:color="auto"/>
                                                <w:right w:val="none" w:sz="0" w:space="0" w:color="auto"/>
                                              </w:divBdr>
                                              <w:divsChild>
                                                <w:div w:id="475948730">
                                                  <w:marLeft w:val="0"/>
                                                  <w:marRight w:val="0"/>
                                                  <w:marTop w:val="0"/>
                                                  <w:marBottom w:val="0"/>
                                                  <w:divBdr>
                                                    <w:top w:val="none" w:sz="0" w:space="0" w:color="auto"/>
                                                    <w:left w:val="none" w:sz="0" w:space="0" w:color="auto"/>
                                                    <w:bottom w:val="none" w:sz="0" w:space="0" w:color="auto"/>
                                                    <w:right w:val="none" w:sz="0" w:space="0" w:color="auto"/>
                                                  </w:divBdr>
                                                </w:div>
                                              </w:divsChild>
                                            </w:div>
                                            <w:div w:id="799952921">
                                              <w:marLeft w:val="0"/>
                                              <w:marRight w:val="0"/>
                                              <w:marTop w:val="0"/>
                                              <w:marBottom w:val="0"/>
                                              <w:divBdr>
                                                <w:top w:val="none" w:sz="0" w:space="0" w:color="auto"/>
                                                <w:left w:val="none" w:sz="0" w:space="0" w:color="auto"/>
                                                <w:bottom w:val="none" w:sz="0" w:space="0" w:color="auto"/>
                                                <w:right w:val="none" w:sz="0" w:space="0" w:color="auto"/>
                                              </w:divBdr>
                                              <w:divsChild>
                                                <w:div w:id="521865761">
                                                  <w:marLeft w:val="0"/>
                                                  <w:marRight w:val="0"/>
                                                  <w:marTop w:val="0"/>
                                                  <w:marBottom w:val="0"/>
                                                  <w:divBdr>
                                                    <w:top w:val="none" w:sz="0" w:space="0" w:color="auto"/>
                                                    <w:left w:val="none" w:sz="0" w:space="0" w:color="auto"/>
                                                    <w:bottom w:val="none" w:sz="0" w:space="0" w:color="auto"/>
                                                    <w:right w:val="none" w:sz="0" w:space="0" w:color="auto"/>
                                                  </w:divBdr>
                                                </w:div>
                                              </w:divsChild>
                                            </w:div>
                                            <w:div w:id="1801847126">
                                              <w:marLeft w:val="0"/>
                                              <w:marRight w:val="0"/>
                                              <w:marTop w:val="0"/>
                                              <w:marBottom w:val="0"/>
                                              <w:divBdr>
                                                <w:top w:val="none" w:sz="0" w:space="0" w:color="auto"/>
                                                <w:left w:val="none" w:sz="0" w:space="0" w:color="auto"/>
                                                <w:bottom w:val="none" w:sz="0" w:space="0" w:color="auto"/>
                                                <w:right w:val="none" w:sz="0" w:space="0" w:color="auto"/>
                                              </w:divBdr>
                                              <w:divsChild>
                                                <w:div w:id="16242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4655">
      <w:bodyDiv w:val="1"/>
      <w:marLeft w:val="0"/>
      <w:marRight w:val="0"/>
      <w:marTop w:val="0"/>
      <w:marBottom w:val="0"/>
      <w:divBdr>
        <w:top w:val="none" w:sz="0" w:space="0" w:color="auto"/>
        <w:left w:val="none" w:sz="0" w:space="0" w:color="auto"/>
        <w:bottom w:val="none" w:sz="0" w:space="0" w:color="auto"/>
        <w:right w:val="none" w:sz="0" w:space="0" w:color="auto"/>
      </w:divBdr>
      <w:divsChild>
        <w:div w:id="886575209">
          <w:marLeft w:val="0"/>
          <w:marRight w:val="0"/>
          <w:marTop w:val="0"/>
          <w:marBottom w:val="0"/>
          <w:divBdr>
            <w:top w:val="none" w:sz="0" w:space="0" w:color="auto"/>
            <w:left w:val="none" w:sz="0" w:space="0" w:color="auto"/>
            <w:bottom w:val="none" w:sz="0" w:space="0" w:color="auto"/>
            <w:right w:val="none" w:sz="0" w:space="0" w:color="auto"/>
          </w:divBdr>
          <w:divsChild>
            <w:div w:id="484861900">
              <w:marLeft w:val="0"/>
              <w:marRight w:val="0"/>
              <w:marTop w:val="0"/>
              <w:marBottom w:val="0"/>
              <w:divBdr>
                <w:top w:val="none" w:sz="0" w:space="0" w:color="auto"/>
                <w:left w:val="none" w:sz="0" w:space="0" w:color="auto"/>
                <w:bottom w:val="none" w:sz="0" w:space="0" w:color="auto"/>
                <w:right w:val="none" w:sz="0" w:space="0" w:color="auto"/>
              </w:divBdr>
              <w:divsChild>
                <w:div w:id="757360905">
                  <w:marLeft w:val="0"/>
                  <w:marRight w:val="0"/>
                  <w:marTop w:val="100"/>
                  <w:marBottom w:val="100"/>
                  <w:divBdr>
                    <w:top w:val="none" w:sz="0" w:space="0" w:color="auto"/>
                    <w:left w:val="none" w:sz="0" w:space="0" w:color="auto"/>
                    <w:bottom w:val="none" w:sz="0" w:space="0" w:color="auto"/>
                    <w:right w:val="none" w:sz="0" w:space="0" w:color="auto"/>
                  </w:divBdr>
                  <w:divsChild>
                    <w:div w:id="426075358">
                      <w:marLeft w:val="0"/>
                      <w:marRight w:val="0"/>
                      <w:marTop w:val="0"/>
                      <w:marBottom w:val="0"/>
                      <w:divBdr>
                        <w:top w:val="none" w:sz="0" w:space="0" w:color="auto"/>
                        <w:left w:val="none" w:sz="0" w:space="0" w:color="auto"/>
                        <w:bottom w:val="none" w:sz="0" w:space="0" w:color="auto"/>
                        <w:right w:val="none" w:sz="0" w:space="0" w:color="auto"/>
                      </w:divBdr>
                      <w:divsChild>
                        <w:div w:id="192963695">
                          <w:marLeft w:val="0"/>
                          <w:marRight w:val="0"/>
                          <w:marTop w:val="0"/>
                          <w:marBottom w:val="0"/>
                          <w:divBdr>
                            <w:top w:val="none" w:sz="0" w:space="0" w:color="auto"/>
                            <w:left w:val="none" w:sz="0" w:space="0" w:color="auto"/>
                            <w:bottom w:val="none" w:sz="0" w:space="0" w:color="auto"/>
                            <w:right w:val="none" w:sz="0" w:space="0" w:color="auto"/>
                          </w:divBdr>
                          <w:divsChild>
                            <w:div w:id="1099908815">
                              <w:marLeft w:val="0"/>
                              <w:marRight w:val="0"/>
                              <w:marTop w:val="0"/>
                              <w:marBottom w:val="0"/>
                              <w:divBdr>
                                <w:top w:val="none" w:sz="0" w:space="0" w:color="auto"/>
                                <w:left w:val="none" w:sz="0" w:space="0" w:color="auto"/>
                                <w:bottom w:val="none" w:sz="0" w:space="0" w:color="auto"/>
                                <w:right w:val="none" w:sz="0" w:space="0" w:color="auto"/>
                              </w:divBdr>
                              <w:divsChild>
                                <w:div w:id="1868912758">
                                  <w:marLeft w:val="0"/>
                                  <w:marRight w:val="0"/>
                                  <w:marTop w:val="0"/>
                                  <w:marBottom w:val="0"/>
                                  <w:divBdr>
                                    <w:top w:val="none" w:sz="0" w:space="0" w:color="auto"/>
                                    <w:left w:val="none" w:sz="0" w:space="0" w:color="auto"/>
                                    <w:bottom w:val="none" w:sz="0" w:space="0" w:color="auto"/>
                                    <w:right w:val="none" w:sz="0" w:space="0" w:color="auto"/>
                                  </w:divBdr>
                                  <w:divsChild>
                                    <w:div w:id="895094064">
                                      <w:marLeft w:val="0"/>
                                      <w:marRight w:val="0"/>
                                      <w:marTop w:val="0"/>
                                      <w:marBottom w:val="0"/>
                                      <w:divBdr>
                                        <w:top w:val="none" w:sz="0" w:space="0" w:color="auto"/>
                                        <w:left w:val="none" w:sz="0" w:space="0" w:color="auto"/>
                                        <w:bottom w:val="none" w:sz="0" w:space="0" w:color="auto"/>
                                        <w:right w:val="none" w:sz="0" w:space="0" w:color="auto"/>
                                      </w:divBdr>
                                      <w:divsChild>
                                        <w:div w:id="598828474">
                                          <w:marLeft w:val="0"/>
                                          <w:marRight w:val="0"/>
                                          <w:marTop w:val="0"/>
                                          <w:marBottom w:val="0"/>
                                          <w:divBdr>
                                            <w:top w:val="none" w:sz="0" w:space="0" w:color="auto"/>
                                            <w:left w:val="none" w:sz="0" w:space="0" w:color="auto"/>
                                            <w:bottom w:val="none" w:sz="0" w:space="0" w:color="auto"/>
                                            <w:right w:val="none" w:sz="0" w:space="0" w:color="auto"/>
                                          </w:divBdr>
                                          <w:divsChild>
                                            <w:div w:id="1032653632">
                                              <w:marLeft w:val="0"/>
                                              <w:marRight w:val="0"/>
                                              <w:marTop w:val="0"/>
                                              <w:marBottom w:val="0"/>
                                              <w:divBdr>
                                                <w:top w:val="single" w:sz="6" w:space="0" w:color="B6D444"/>
                                                <w:left w:val="none" w:sz="0" w:space="0" w:color="auto"/>
                                                <w:bottom w:val="none" w:sz="0" w:space="0" w:color="auto"/>
                                                <w:right w:val="none" w:sz="0" w:space="0" w:color="auto"/>
                                              </w:divBdr>
                                              <w:divsChild>
                                                <w:div w:id="10540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811992">
      <w:bodyDiv w:val="1"/>
      <w:marLeft w:val="0"/>
      <w:marRight w:val="0"/>
      <w:marTop w:val="0"/>
      <w:marBottom w:val="0"/>
      <w:divBdr>
        <w:top w:val="none" w:sz="0" w:space="0" w:color="auto"/>
        <w:left w:val="none" w:sz="0" w:space="0" w:color="auto"/>
        <w:bottom w:val="none" w:sz="0" w:space="0" w:color="auto"/>
        <w:right w:val="none" w:sz="0" w:space="0" w:color="auto"/>
      </w:divBdr>
      <w:divsChild>
        <w:div w:id="1313557507">
          <w:marLeft w:val="0"/>
          <w:marRight w:val="0"/>
          <w:marTop w:val="0"/>
          <w:marBottom w:val="0"/>
          <w:divBdr>
            <w:top w:val="none" w:sz="0" w:space="0" w:color="auto"/>
            <w:left w:val="none" w:sz="0" w:space="0" w:color="auto"/>
            <w:bottom w:val="none" w:sz="0" w:space="0" w:color="auto"/>
            <w:right w:val="none" w:sz="0" w:space="0" w:color="auto"/>
          </w:divBdr>
          <w:divsChild>
            <w:div w:id="524444087">
              <w:marLeft w:val="0"/>
              <w:marRight w:val="0"/>
              <w:marTop w:val="150"/>
              <w:marBottom w:val="0"/>
              <w:divBdr>
                <w:top w:val="none" w:sz="0" w:space="0" w:color="auto"/>
                <w:left w:val="none" w:sz="0" w:space="0" w:color="auto"/>
                <w:bottom w:val="none" w:sz="0" w:space="0" w:color="auto"/>
                <w:right w:val="none" w:sz="0" w:space="0" w:color="auto"/>
              </w:divBdr>
              <w:divsChild>
                <w:div w:id="441388013">
                  <w:marLeft w:val="0"/>
                  <w:marRight w:val="0"/>
                  <w:marTop w:val="0"/>
                  <w:marBottom w:val="0"/>
                  <w:divBdr>
                    <w:top w:val="none" w:sz="0" w:space="0" w:color="auto"/>
                    <w:left w:val="none" w:sz="0" w:space="0" w:color="auto"/>
                    <w:bottom w:val="none" w:sz="0" w:space="0" w:color="auto"/>
                    <w:right w:val="none" w:sz="0" w:space="0" w:color="auto"/>
                  </w:divBdr>
                  <w:divsChild>
                    <w:div w:id="1053115911">
                      <w:marLeft w:val="0"/>
                      <w:marRight w:val="0"/>
                      <w:marTop w:val="0"/>
                      <w:marBottom w:val="0"/>
                      <w:divBdr>
                        <w:top w:val="none" w:sz="0" w:space="0" w:color="auto"/>
                        <w:left w:val="none" w:sz="0" w:space="0" w:color="auto"/>
                        <w:bottom w:val="none" w:sz="0" w:space="0" w:color="auto"/>
                        <w:right w:val="none" w:sz="0" w:space="0" w:color="auto"/>
                      </w:divBdr>
                      <w:divsChild>
                        <w:div w:id="9253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055114">
      <w:bodyDiv w:val="1"/>
      <w:marLeft w:val="0"/>
      <w:marRight w:val="0"/>
      <w:marTop w:val="0"/>
      <w:marBottom w:val="0"/>
      <w:divBdr>
        <w:top w:val="none" w:sz="0" w:space="0" w:color="auto"/>
        <w:left w:val="none" w:sz="0" w:space="0" w:color="auto"/>
        <w:bottom w:val="none" w:sz="0" w:space="0" w:color="auto"/>
        <w:right w:val="none" w:sz="0" w:space="0" w:color="auto"/>
      </w:divBdr>
      <w:divsChild>
        <w:div w:id="836311951">
          <w:marLeft w:val="0"/>
          <w:marRight w:val="0"/>
          <w:marTop w:val="0"/>
          <w:marBottom w:val="100"/>
          <w:divBdr>
            <w:top w:val="none" w:sz="0" w:space="0" w:color="auto"/>
            <w:left w:val="none" w:sz="0" w:space="0" w:color="auto"/>
            <w:bottom w:val="none" w:sz="0" w:space="0" w:color="auto"/>
            <w:right w:val="none" w:sz="0" w:space="0" w:color="auto"/>
          </w:divBdr>
        </w:div>
      </w:divsChild>
    </w:div>
    <w:div w:id="716973953">
      <w:bodyDiv w:val="1"/>
      <w:marLeft w:val="0"/>
      <w:marRight w:val="0"/>
      <w:marTop w:val="0"/>
      <w:marBottom w:val="0"/>
      <w:divBdr>
        <w:top w:val="none" w:sz="0" w:space="0" w:color="auto"/>
        <w:left w:val="none" w:sz="0" w:space="0" w:color="auto"/>
        <w:bottom w:val="none" w:sz="0" w:space="0" w:color="auto"/>
        <w:right w:val="none" w:sz="0" w:space="0" w:color="auto"/>
      </w:divBdr>
    </w:div>
    <w:div w:id="719330680">
      <w:bodyDiv w:val="1"/>
      <w:marLeft w:val="0"/>
      <w:marRight w:val="0"/>
      <w:marTop w:val="0"/>
      <w:marBottom w:val="0"/>
      <w:divBdr>
        <w:top w:val="none" w:sz="0" w:space="0" w:color="auto"/>
        <w:left w:val="none" w:sz="0" w:space="0" w:color="auto"/>
        <w:bottom w:val="none" w:sz="0" w:space="0" w:color="auto"/>
        <w:right w:val="none" w:sz="0" w:space="0" w:color="auto"/>
      </w:divBdr>
      <w:divsChild>
        <w:div w:id="1112019223">
          <w:marLeft w:val="0"/>
          <w:marRight w:val="0"/>
          <w:marTop w:val="0"/>
          <w:marBottom w:val="0"/>
          <w:divBdr>
            <w:top w:val="none" w:sz="0" w:space="0" w:color="auto"/>
            <w:left w:val="none" w:sz="0" w:space="0" w:color="auto"/>
            <w:bottom w:val="none" w:sz="0" w:space="0" w:color="auto"/>
            <w:right w:val="none" w:sz="0" w:space="0" w:color="auto"/>
          </w:divBdr>
          <w:divsChild>
            <w:div w:id="109563587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20910433">
      <w:bodyDiv w:val="1"/>
      <w:marLeft w:val="0"/>
      <w:marRight w:val="0"/>
      <w:marTop w:val="0"/>
      <w:marBottom w:val="0"/>
      <w:divBdr>
        <w:top w:val="none" w:sz="0" w:space="0" w:color="auto"/>
        <w:left w:val="none" w:sz="0" w:space="0" w:color="auto"/>
        <w:bottom w:val="none" w:sz="0" w:space="0" w:color="auto"/>
        <w:right w:val="none" w:sz="0" w:space="0" w:color="auto"/>
      </w:divBdr>
      <w:divsChild>
        <w:div w:id="1938512470">
          <w:marLeft w:val="0"/>
          <w:marRight w:val="0"/>
          <w:marTop w:val="0"/>
          <w:marBottom w:val="0"/>
          <w:divBdr>
            <w:top w:val="none" w:sz="0" w:space="0" w:color="auto"/>
            <w:left w:val="none" w:sz="0" w:space="0" w:color="auto"/>
            <w:bottom w:val="none" w:sz="0" w:space="0" w:color="auto"/>
            <w:right w:val="none" w:sz="0" w:space="0" w:color="auto"/>
          </w:divBdr>
          <w:divsChild>
            <w:div w:id="1486360003">
              <w:marLeft w:val="0"/>
              <w:marRight w:val="0"/>
              <w:marTop w:val="0"/>
              <w:marBottom w:val="0"/>
              <w:divBdr>
                <w:top w:val="none" w:sz="0" w:space="0" w:color="auto"/>
                <w:left w:val="none" w:sz="0" w:space="0" w:color="auto"/>
                <w:bottom w:val="none" w:sz="0" w:space="0" w:color="auto"/>
                <w:right w:val="none" w:sz="0" w:space="0" w:color="auto"/>
              </w:divBdr>
              <w:divsChild>
                <w:div w:id="940797735">
                  <w:marLeft w:val="0"/>
                  <w:marRight w:val="0"/>
                  <w:marTop w:val="0"/>
                  <w:marBottom w:val="0"/>
                  <w:divBdr>
                    <w:top w:val="none" w:sz="0" w:space="0" w:color="auto"/>
                    <w:left w:val="none" w:sz="0" w:space="0" w:color="auto"/>
                    <w:bottom w:val="none" w:sz="0" w:space="0" w:color="auto"/>
                    <w:right w:val="none" w:sz="0" w:space="0" w:color="auto"/>
                  </w:divBdr>
                  <w:divsChild>
                    <w:div w:id="1095249761">
                      <w:marLeft w:val="0"/>
                      <w:marRight w:val="0"/>
                      <w:marTop w:val="0"/>
                      <w:marBottom w:val="0"/>
                      <w:divBdr>
                        <w:top w:val="none" w:sz="0" w:space="0" w:color="auto"/>
                        <w:left w:val="none" w:sz="0" w:space="0" w:color="auto"/>
                        <w:bottom w:val="none" w:sz="0" w:space="0" w:color="auto"/>
                        <w:right w:val="none" w:sz="0" w:space="0" w:color="auto"/>
                      </w:divBdr>
                      <w:divsChild>
                        <w:div w:id="2013950302">
                          <w:marLeft w:val="0"/>
                          <w:marRight w:val="0"/>
                          <w:marTop w:val="0"/>
                          <w:marBottom w:val="0"/>
                          <w:divBdr>
                            <w:top w:val="none" w:sz="0" w:space="0" w:color="auto"/>
                            <w:left w:val="none" w:sz="0" w:space="0" w:color="auto"/>
                            <w:bottom w:val="none" w:sz="0" w:space="0" w:color="auto"/>
                            <w:right w:val="none" w:sz="0" w:space="0" w:color="auto"/>
                          </w:divBdr>
                          <w:divsChild>
                            <w:div w:id="977228122">
                              <w:marLeft w:val="570"/>
                              <w:marRight w:val="720"/>
                              <w:marTop w:val="120"/>
                              <w:marBottom w:val="120"/>
                              <w:divBdr>
                                <w:top w:val="none" w:sz="0" w:space="0" w:color="auto"/>
                                <w:left w:val="none" w:sz="0" w:space="0" w:color="auto"/>
                                <w:bottom w:val="none" w:sz="0" w:space="0" w:color="auto"/>
                                <w:right w:val="none" w:sz="0" w:space="0" w:color="auto"/>
                              </w:divBdr>
                              <w:divsChild>
                                <w:div w:id="757021298">
                                  <w:marLeft w:val="0"/>
                                  <w:marRight w:val="0"/>
                                  <w:marTop w:val="0"/>
                                  <w:marBottom w:val="0"/>
                                  <w:divBdr>
                                    <w:top w:val="none" w:sz="0" w:space="0" w:color="auto"/>
                                    <w:left w:val="none" w:sz="0" w:space="0" w:color="auto"/>
                                    <w:bottom w:val="none" w:sz="0" w:space="0" w:color="auto"/>
                                    <w:right w:val="none" w:sz="0" w:space="0" w:color="auto"/>
                                  </w:divBdr>
                                  <w:divsChild>
                                    <w:div w:id="1625651877">
                                      <w:marLeft w:val="0"/>
                                      <w:marRight w:val="0"/>
                                      <w:marTop w:val="0"/>
                                      <w:marBottom w:val="0"/>
                                      <w:divBdr>
                                        <w:top w:val="none" w:sz="0" w:space="0" w:color="auto"/>
                                        <w:left w:val="none" w:sz="0" w:space="0" w:color="auto"/>
                                        <w:bottom w:val="none" w:sz="0" w:space="0" w:color="auto"/>
                                        <w:right w:val="none" w:sz="0" w:space="0" w:color="auto"/>
                                      </w:divBdr>
                                      <w:divsChild>
                                        <w:div w:id="183251243">
                                          <w:marLeft w:val="0"/>
                                          <w:marRight w:val="0"/>
                                          <w:marTop w:val="0"/>
                                          <w:marBottom w:val="0"/>
                                          <w:divBdr>
                                            <w:top w:val="none" w:sz="0" w:space="0" w:color="auto"/>
                                            <w:left w:val="none" w:sz="0" w:space="0" w:color="auto"/>
                                            <w:bottom w:val="none" w:sz="0" w:space="0" w:color="auto"/>
                                            <w:right w:val="none" w:sz="0" w:space="0" w:color="auto"/>
                                          </w:divBdr>
                                          <w:divsChild>
                                            <w:div w:id="225184982">
                                              <w:marLeft w:val="0"/>
                                              <w:marRight w:val="0"/>
                                              <w:marTop w:val="0"/>
                                              <w:marBottom w:val="0"/>
                                              <w:divBdr>
                                                <w:top w:val="none" w:sz="0" w:space="0" w:color="auto"/>
                                                <w:left w:val="none" w:sz="0" w:space="0" w:color="auto"/>
                                                <w:bottom w:val="none" w:sz="0" w:space="0" w:color="auto"/>
                                                <w:right w:val="none" w:sz="0" w:space="0" w:color="auto"/>
                                              </w:divBdr>
                                              <w:divsChild>
                                                <w:div w:id="1112474317">
                                                  <w:marLeft w:val="0"/>
                                                  <w:marRight w:val="0"/>
                                                  <w:marTop w:val="0"/>
                                                  <w:marBottom w:val="0"/>
                                                  <w:divBdr>
                                                    <w:top w:val="none" w:sz="0" w:space="0" w:color="auto"/>
                                                    <w:left w:val="none" w:sz="0" w:space="0" w:color="auto"/>
                                                    <w:bottom w:val="none" w:sz="0" w:space="0" w:color="auto"/>
                                                    <w:right w:val="none" w:sz="0" w:space="0" w:color="auto"/>
                                                  </w:divBdr>
                                                </w:div>
                                                <w:div w:id="2019384086">
                                                  <w:marLeft w:val="0"/>
                                                  <w:marRight w:val="0"/>
                                                  <w:marTop w:val="0"/>
                                                  <w:marBottom w:val="0"/>
                                                  <w:divBdr>
                                                    <w:top w:val="none" w:sz="0" w:space="0" w:color="auto"/>
                                                    <w:left w:val="none" w:sz="0" w:space="0" w:color="auto"/>
                                                    <w:bottom w:val="none" w:sz="0" w:space="0" w:color="auto"/>
                                                    <w:right w:val="none" w:sz="0" w:space="0" w:color="auto"/>
                                                  </w:divBdr>
                                                </w:div>
                                                <w:div w:id="984814717">
                                                  <w:marLeft w:val="0"/>
                                                  <w:marRight w:val="0"/>
                                                  <w:marTop w:val="0"/>
                                                  <w:marBottom w:val="0"/>
                                                  <w:divBdr>
                                                    <w:top w:val="none" w:sz="0" w:space="0" w:color="auto"/>
                                                    <w:left w:val="none" w:sz="0" w:space="0" w:color="auto"/>
                                                    <w:bottom w:val="none" w:sz="0" w:space="0" w:color="auto"/>
                                                    <w:right w:val="none" w:sz="0" w:space="0" w:color="auto"/>
                                                  </w:divBdr>
                                                  <w:divsChild>
                                                    <w:div w:id="1056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372065">
      <w:bodyDiv w:val="1"/>
      <w:marLeft w:val="0"/>
      <w:marRight w:val="0"/>
      <w:marTop w:val="0"/>
      <w:marBottom w:val="0"/>
      <w:divBdr>
        <w:top w:val="none" w:sz="0" w:space="0" w:color="auto"/>
        <w:left w:val="none" w:sz="0" w:space="0" w:color="auto"/>
        <w:bottom w:val="none" w:sz="0" w:space="0" w:color="auto"/>
        <w:right w:val="none" w:sz="0" w:space="0" w:color="auto"/>
      </w:divBdr>
    </w:div>
    <w:div w:id="723405793">
      <w:bodyDiv w:val="1"/>
      <w:marLeft w:val="0"/>
      <w:marRight w:val="0"/>
      <w:marTop w:val="0"/>
      <w:marBottom w:val="0"/>
      <w:divBdr>
        <w:top w:val="none" w:sz="0" w:space="0" w:color="auto"/>
        <w:left w:val="none" w:sz="0" w:space="0" w:color="auto"/>
        <w:bottom w:val="none" w:sz="0" w:space="0" w:color="auto"/>
        <w:right w:val="none" w:sz="0" w:space="0" w:color="auto"/>
      </w:divBdr>
    </w:div>
    <w:div w:id="723790981">
      <w:bodyDiv w:val="1"/>
      <w:marLeft w:val="0"/>
      <w:marRight w:val="0"/>
      <w:marTop w:val="0"/>
      <w:marBottom w:val="0"/>
      <w:divBdr>
        <w:top w:val="none" w:sz="0" w:space="0" w:color="auto"/>
        <w:left w:val="none" w:sz="0" w:space="0" w:color="auto"/>
        <w:bottom w:val="none" w:sz="0" w:space="0" w:color="auto"/>
        <w:right w:val="none" w:sz="0" w:space="0" w:color="auto"/>
      </w:divBdr>
      <w:divsChild>
        <w:div w:id="1869636402">
          <w:marLeft w:val="0"/>
          <w:marRight w:val="0"/>
          <w:marTop w:val="150"/>
          <w:marBottom w:val="0"/>
          <w:divBdr>
            <w:top w:val="none" w:sz="0" w:space="0" w:color="auto"/>
            <w:left w:val="none" w:sz="0" w:space="0" w:color="auto"/>
            <w:bottom w:val="none" w:sz="0" w:space="0" w:color="auto"/>
            <w:right w:val="none" w:sz="0" w:space="0" w:color="auto"/>
          </w:divBdr>
          <w:divsChild>
            <w:div w:id="1492330969">
              <w:marLeft w:val="2"/>
              <w:marRight w:val="2"/>
              <w:marTop w:val="0"/>
              <w:marBottom w:val="0"/>
              <w:divBdr>
                <w:top w:val="none" w:sz="0" w:space="0" w:color="auto"/>
                <w:left w:val="none" w:sz="0" w:space="0" w:color="auto"/>
                <w:bottom w:val="none" w:sz="0" w:space="0" w:color="auto"/>
                <w:right w:val="none" w:sz="0" w:space="0" w:color="auto"/>
              </w:divBdr>
              <w:divsChild>
                <w:div w:id="183785344">
                  <w:marLeft w:val="0"/>
                  <w:marRight w:val="0"/>
                  <w:marTop w:val="0"/>
                  <w:marBottom w:val="0"/>
                  <w:divBdr>
                    <w:top w:val="none" w:sz="0" w:space="0" w:color="auto"/>
                    <w:left w:val="none" w:sz="0" w:space="0" w:color="auto"/>
                    <w:bottom w:val="none" w:sz="0" w:space="0" w:color="auto"/>
                    <w:right w:val="none" w:sz="0" w:space="0" w:color="auto"/>
                  </w:divBdr>
                  <w:divsChild>
                    <w:div w:id="917010911">
                      <w:marLeft w:val="0"/>
                      <w:marRight w:val="0"/>
                      <w:marTop w:val="0"/>
                      <w:marBottom w:val="0"/>
                      <w:divBdr>
                        <w:top w:val="none" w:sz="0" w:space="0" w:color="auto"/>
                        <w:left w:val="none" w:sz="0" w:space="0" w:color="auto"/>
                        <w:bottom w:val="none" w:sz="0" w:space="0" w:color="auto"/>
                        <w:right w:val="none" w:sz="0" w:space="0" w:color="auto"/>
                      </w:divBdr>
                      <w:divsChild>
                        <w:div w:id="92870355">
                          <w:marLeft w:val="0"/>
                          <w:marRight w:val="0"/>
                          <w:marTop w:val="0"/>
                          <w:marBottom w:val="0"/>
                          <w:divBdr>
                            <w:top w:val="none" w:sz="0" w:space="0" w:color="auto"/>
                            <w:left w:val="none" w:sz="0" w:space="0" w:color="auto"/>
                            <w:bottom w:val="none" w:sz="0" w:space="0" w:color="auto"/>
                            <w:right w:val="none" w:sz="0" w:space="0" w:color="auto"/>
                          </w:divBdr>
                          <w:divsChild>
                            <w:div w:id="90443867">
                              <w:marLeft w:val="0"/>
                              <w:marRight w:val="0"/>
                              <w:marTop w:val="0"/>
                              <w:marBottom w:val="0"/>
                              <w:divBdr>
                                <w:top w:val="none" w:sz="0" w:space="0" w:color="auto"/>
                                <w:left w:val="none" w:sz="0" w:space="0" w:color="auto"/>
                                <w:bottom w:val="none" w:sz="0" w:space="0" w:color="auto"/>
                                <w:right w:val="none" w:sz="0" w:space="0" w:color="auto"/>
                              </w:divBdr>
                              <w:divsChild>
                                <w:div w:id="660963173">
                                  <w:marLeft w:val="0"/>
                                  <w:marRight w:val="0"/>
                                  <w:marTop w:val="0"/>
                                  <w:marBottom w:val="0"/>
                                  <w:divBdr>
                                    <w:top w:val="none" w:sz="0" w:space="0" w:color="auto"/>
                                    <w:left w:val="none" w:sz="0" w:space="0" w:color="auto"/>
                                    <w:bottom w:val="none" w:sz="0" w:space="0" w:color="auto"/>
                                    <w:right w:val="none" w:sz="0" w:space="0" w:color="auto"/>
                                  </w:divBdr>
                                  <w:divsChild>
                                    <w:div w:id="1975216066">
                                      <w:marLeft w:val="0"/>
                                      <w:marRight w:val="0"/>
                                      <w:marTop w:val="0"/>
                                      <w:marBottom w:val="0"/>
                                      <w:divBdr>
                                        <w:top w:val="none" w:sz="0" w:space="0" w:color="auto"/>
                                        <w:left w:val="none" w:sz="0" w:space="0" w:color="auto"/>
                                        <w:bottom w:val="none" w:sz="0" w:space="0" w:color="auto"/>
                                        <w:right w:val="none" w:sz="0" w:space="0" w:color="auto"/>
                                      </w:divBdr>
                                      <w:divsChild>
                                        <w:div w:id="91441377">
                                          <w:marLeft w:val="0"/>
                                          <w:marRight w:val="0"/>
                                          <w:marTop w:val="0"/>
                                          <w:marBottom w:val="0"/>
                                          <w:divBdr>
                                            <w:top w:val="none" w:sz="0" w:space="0" w:color="auto"/>
                                            <w:left w:val="none" w:sz="0" w:space="0" w:color="auto"/>
                                            <w:bottom w:val="none" w:sz="0" w:space="0" w:color="auto"/>
                                            <w:right w:val="none" w:sz="0" w:space="0" w:color="auto"/>
                                          </w:divBdr>
                                          <w:divsChild>
                                            <w:div w:id="1251397">
                                              <w:marLeft w:val="0"/>
                                              <w:marRight w:val="0"/>
                                              <w:marTop w:val="0"/>
                                              <w:marBottom w:val="0"/>
                                              <w:divBdr>
                                                <w:top w:val="none" w:sz="0" w:space="0" w:color="auto"/>
                                                <w:left w:val="none" w:sz="0" w:space="0" w:color="auto"/>
                                                <w:bottom w:val="none" w:sz="0" w:space="0" w:color="auto"/>
                                                <w:right w:val="none" w:sz="0" w:space="0" w:color="auto"/>
                                              </w:divBdr>
                                              <w:divsChild>
                                                <w:div w:id="342558787">
                                                  <w:marLeft w:val="0"/>
                                                  <w:marRight w:val="0"/>
                                                  <w:marTop w:val="0"/>
                                                  <w:marBottom w:val="0"/>
                                                  <w:divBdr>
                                                    <w:top w:val="none" w:sz="0" w:space="0" w:color="auto"/>
                                                    <w:left w:val="none" w:sz="0" w:space="0" w:color="auto"/>
                                                    <w:bottom w:val="none" w:sz="0" w:space="0" w:color="auto"/>
                                                    <w:right w:val="none" w:sz="0" w:space="0" w:color="auto"/>
                                                  </w:divBdr>
                                                </w:div>
                                              </w:divsChild>
                                            </w:div>
                                            <w:div w:id="1745225395">
                                              <w:marLeft w:val="0"/>
                                              <w:marRight w:val="0"/>
                                              <w:marTop w:val="0"/>
                                              <w:marBottom w:val="0"/>
                                              <w:divBdr>
                                                <w:top w:val="none" w:sz="0" w:space="0" w:color="auto"/>
                                                <w:left w:val="none" w:sz="0" w:space="0" w:color="auto"/>
                                                <w:bottom w:val="none" w:sz="0" w:space="0" w:color="auto"/>
                                                <w:right w:val="none" w:sz="0" w:space="0" w:color="auto"/>
                                              </w:divBdr>
                                              <w:divsChild>
                                                <w:div w:id="559899898">
                                                  <w:marLeft w:val="0"/>
                                                  <w:marRight w:val="0"/>
                                                  <w:marTop w:val="0"/>
                                                  <w:marBottom w:val="0"/>
                                                  <w:divBdr>
                                                    <w:top w:val="none" w:sz="0" w:space="0" w:color="auto"/>
                                                    <w:left w:val="none" w:sz="0" w:space="0" w:color="auto"/>
                                                    <w:bottom w:val="none" w:sz="0" w:space="0" w:color="auto"/>
                                                    <w:right w:val="none" w:sz="0" w:space="0" w:color="auto"/>
                                                  </w:divBdr>
                                                </w:div>
                                              </w:divsChild>
                                            </w:div>
                                            <w:div w:id="1572276349">
                                              <w:marLeft w:val="0"/>
                                              <w:marRight w:val="0"/>
                                              <w:marTop w:val="0"/>
                                              <w:marBottom w:val="0"/>
                                              <w:divBdr>
                                                <w:top w:val="none" w:sz="0" w:space="0" w:color="auto"/>
                                                <w:left w:val="none" w:sz="0" w:space="0" w:color="auto"/>
                                                <w:bottom w:val="none" w:sz="0" w:space="0" w:color="auto"/>
                                                <w:right w:val="none" w:sz="0" w:space="0" w:color="auto"/>
                                              </w:divBdr>
                                              <w:divsChild>
                                                <w:div w:id="478500155">
                                                  <w:marLeft w:val="0"/>
                                                  <w:marRight w:val="0"/>
                                                  <w:marTop w:val="0"/>
                                                  <w:marBottom w:val="0"/>
                                                  <w:divBdr>
                                                    <w:top w:val="none" w:sz="0" w:space="0" w:color="auto"/>
                                                    <w:left w:val="none" w:sz="0" w:space="0" w:color="auto"/>
                                                    <w:bottom w:val="none" w:sz="0" w:space="0" w:color="auto"/>
                                                    <w:right w:val="none" w:sz="0" w:space="0" w:color="auto"/>
                                                  </w:divBdr>
                                                </w:div>
                                              </w:divsChild>
                                            </w:div>
                                            <w:div w:id="1844317332">
                                              <w:marLeft w:val="0"/>
                                              <w:marRight w:val="0"/>
                                              <w:marTop w:val="0"/>
                                              <w:marBottom w:val="0"/>
                                              <w:divBdr>
                                                <w:top w:val="none" w:sz="0" w:space="0" w:color="auto"/>
                                                <w:left w:val="none" w:sz="0" w:space="0" w:color="auto"/>
                                                <w:bottom w:val="none" w:sz="0" w:space="0" w:color="auto"/>
                                                <w:right w:val="none" w:sz="0" w:space="0" w:color="auto"/>
                                              </w:divBdr>
                                              <w:divsChild>
                                                <w:div w:id="7831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187086">
      <w:bodyDiv w:val="1"/>
      <w:marLeft w:val="0"/>
      <w:marRight w:val="0"/>
      <w:marTop w:val="0"/>
      <w:marBottom w:val="0"/>
      <w:divBdr>
        <w:top w:val="none" w:sz="0" w:space="0" w:color="auto"/>
        <w:left w:val="none" w:sz="0" w:space="0" w:color="auto"/>
        <w:bottom w:val="none" w:sz="0" w:space="0" w:color="auto"/>
        <w:right w:val="none" w:sz="0" w:space="0" w:color="auto"/>
      </w:divBdr>
      <w:divsChild>
        <w:div w:id="1277178047">
          <w:marLeft w:val="2400"/>
          <w:marRight w:val="0"/>
          <w:marTop w:val="0"/>
          <w:marBottom w:val="0"/>
          <w:divBdr>
            <w:top w:val="none" w:sz="0" w:space="0" w:color="auto"/>
            <w:left w:val="none" w:sz="0" w:space="0" w:color="auto"/>
            <w:bottom w:val="none" w:sz="0" w:space="0" w:color="auto"/>
            <w:right w:val="none" w:sz="0" w:space="0" w:color="auto"/>
          </w:divBdr>
          <w:divsChild>
            <w:div w:id="2035954186">
              <w:marLeft w:val="0"/>
              <w:marRight w:val="0"/>
              <w:marTop w:val="0"/>
              <w:marBottom w:val="0"/>
              <w:divBdr>
                <w:top w:val="none" w:sz="0" w:space="0" w:color="auto"/>
                <w:left w:val="none" w:sz="0" w:space="0" w:color="auto"/>
                <w:bottom w:val="none" w:sz="0" w:space="0" w:color="auto"/>
                <w:right w:val="none" w:sz="0" w:space="0" w:color="auto"/>
              </w:divBdr>
              <w:divsChild>
                <w:div w:id="1262840339">
                  <w:marLeft w:val="0"/>
                  <w:marRight w:val="0"/>
                  <w:marTop w:val="0"/>
                  <w:marBottom w:val="0"/>
                  <w:divBdr>
                    <w:top w:val="none" w:sz="0" w:space="0" w:color="auto"/>
                    <w:left w:val="none" w:sz="0" w:space="0" w:color="auto"/>
                    <w:bottom w:val="none" w:sz="0" w:space="0" w:color="auto"/>
                    <w:right w:val="none" w:sz="0" w:space="0" w:color="auto"/>
                  </w:divBdr>
                  <w:divsChild>
                    <w:div w:id="4086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412">
      <w:bodyDiv w:val="1"/>
      <w:marLeft w:val="0"/>
      <w:marRight w:val="0"/>
      <w:marTop w:val="0"/>
      <w:marBottom w:val="0"/>
      <w:divBdr>
        <w:top w:val="none" w:sz="0" w:space="0" w:color="auto"/>
        <w:left w:val="none" w:sz="0" w:space="0" w:color="auto"/>
        <w:bottom w:val="none" w:sz="0" w:space="0" w:color="auto"/>
        <w:right w:val="none" w:sz="0" w:space="0" w:color="auto"/>
      </w:divBdr>
    </w:div>
    <w:div w:id="725177885">
      <w:bodyDiv w:val="1"/>
      <w:marLeft w:val="0"/>
      <w:marRight w:val="0"/>
      <w:marTop w:val="0"/>
      <w:marBottom w:val="0"/>
      <w:divBdr>
        <w:top w:val="none" w:sz="0" w:space="0" w:color="auto"/>
        <w:left w:val="none" w:sz="0" w:space="0" w:color="auto"/>
        <w:bottom w:val="none" w:sz="0" w:space="0" w:color="auto"/>
        <w:right w:val="none" w:sz="0" w:space="0" w:color="auto"/>
      </w:divBdr>
      <w:divsChild>
        <w:div w:id="791873024">
          <w:marLeft w:val="0"/>
          <w:marRight w:val="0"/>
          <w:marTop w:val="150"/>
          <w:marBottom w:val="0"/>
          <w:divBdr>
            <w:top w:val="none" w:sz="0" w:space="0" w:color="auto"/>
            <w:left w:val="none" w:sz="0" w:space="0" w:color="auto"/>
            <w:bottom w:val="none" w:sz="0" w:space="0" w:color="auto"/>
            <w:right w:val="none" w:sz="0" w:space="0" w:color="auto"/>
          </w:divBdr>
          <w:divsChild>
            <w:div w:id="345793941">
              <w:marLeft w:val="2"/>
              <w:marRight w:val="2"/>
              <w:marTop w:val="0"/>
              <w:marBottom w:val="0"/>
              <w:divBdr>
                <w:top w:val="none" w:sz="0" w:space="0" w:color="auto"/>
                <w:left w:val="none" w:sz="0" w:space="0" w:color="auto"/>
                <w:bottom w:val="none" w:sz="0" w:space="0" w:color="auto"/>
                <w:right w:val="none" w:sz="0" w:space="0" w:color="auto"/>
              </w:divBdr>
              <w:divsChild>
                <w:div w:id="1216162469">
                  <w:marLeft w:val="0"/>
                  <w:marRight w:val="0"/>
                  <w:marTop w:val="0"/>
                  <w:marBottom w:val="0"/>
                  <w:divBdr>
                    <w:top w:val="none" w:sz="0" w:space="0" w:color="auto"/>
                    <w:left w:val="none" w:sz="0" w:space="0" w:color="auto"/>
                    <w:bottom w:val="none" w:sz="0" w:space="0" w:color="auto"/>
                    <w:right w:val="none" w:sz="0" w:space="0" w:color="auto"/>
                  </w:divBdr>
                  <w:divsChild>
                    <w:div w:id="1880193788">
                      <w:marLeft w:val="0"/>
                      <w:marRight w:val="0"/>
                      <w:marTop w:val="0"/>
                      <w:marBottom w:val="0"/>
                      <w:divBdr>
                        <w:top w:val="none" w:sz="0" w:space="0" w:color="auto"/>
                        <w:left w:val="none" w:sz="0" w:space="0" w:color="auto"/>
                        <w:bottom w:val="none" w:sz="0" w:space="0" w:color="auto"/>
                        <w:right w:val="none" w:sz="0" w:space="0" w:color="auto"/>
                      </w:divBdr>
                      <w:divsChild>
                        <w:div w:id="2138137410">
                          <w:marLeft w:val="0"/>
                          <w:marRight w:val="0"/>
                          <w:marTop w:val="0"/>
                          <w:marBottom w:val="0"/>
                          <w:divBdr>
                            <w:top w:val="none" w:sz="0" w:space="0" w:color="auto"/>
                            <w:left w:val="none" w:sz="0" w:space="0" w:color="auto"/>
                            <w:bottom w:val="none" w:sz="0" w:space="0" w:color="auto"/>
                            <w:right w:val="none" w:sz="0" w:space="0" w:color="auto"/>
                          </w:divBdr>
                          <w:divsChild>
                            <w:div w:id="324868751">
                              <w:marLeft w:val="0"/>
                              <w:marRight w:val="0"/>
                              <w:marTop w:val="0"/>
                              <w:marBottom w:val="0"/>
                              <w:divBdr>
                                <w:top w:val="none" w:sz="0" w:space="0" w:color="auto"/>
                                <w:left w:val="none" w:sz="0" w:space="0" w:color="auto"/>
                                <w:bottom w:val="none" w:sz="0" w:space="0" w:color="auto"/>
                                <w:right w:val="none" w:sz="0" w:space="0" w:color="auto"/>
                              </w:divBdr>
                              <w:divsChild>
                                <w:div w:id="590969638">
                                  <w:marLeft w:val="0"/>
                                  <w:marRight w:val="0"/>
                                  <w:marTop w:val="0"/>
                                  <w:marBottom w:val="0"/>
                                  <w:divBdr>
                                    <w:top w:val="none" w:sz="0" w:space="0" w:color="auto"/>
                                    <w:left w:val="none" w:sz="0" w:space="0" w:color="auto"/>
                                    <w:bottom w:val="none" w:sz="0" w:space="0" w:color="auto"/>
                                    <w:right w:val="none" w:sz="0" w:space="0" w:color="auto"/>
                                  </w:divBdr>
                                  <w:divsChild>
                                    <w:div w:id="239218872">
                                      <w:marLeft w:val="0"/>
                                      <w:marRight w:val="0"/>
                                      <w:marTop w:val="0"/>
                                      <w:marBottom w:val="0"/>
                                      <w:divBdr>
                                        <w:top w:val="none" w:sz="0" w:space="0" w:color="auto"/>
                                        <w:left w:val="none" w:sz="0" w:space="0" w:color="auto"/>
                                        <w:bottom w:val="none" w:sz="0" w:space="0" w:color="auto"/>
                                        <w:right w:val="none" w:sz="0" w:space="0" w:color="auto"/>
                                      </w:divBdr>
                                      <w:divsChild>
                                        <w:div w:id="1120881266">
                                          <w:marLeft w:val="0"/>
                                          <w:marRight w:val="0"/>
                                          <w:marTop w:val="0"/>
                                          <w:marBottom w:val="0"/>
                                          <w:divBdr>
                                            <w:top w:val="none" w:sz="0" w:space="0" w:color="auto"/>
                                            <w:left w:val="none" w:sz="0" w:space="0" w:color="auto"/>
                                            <w:bottom w:val="none" w:sz="0" w:space="0" w:color="auto"/>
                                            <w:right w:val="none" w:sz="0" w:space="0" w:color="auto"/>
                                          </w:divBdr>
                                          <w:divsChild>
                                            <w:div w:id="1717587451">
                                              <w:marLeft w:val="0"/>
                                              <w:marRight w:val="0"/>
                                              <w:marTop w:val="0"/>
                                              <w:marBottom w:val="0"/>
                                              <w:divBdr>
                                                <w:top w:val="none" w:sz="0" w:space="0" w:color="auto"/>
                                                <w:left w:val="none" w:sz="0" w:space="0" w:color="auto"/>
                                                <w:bottom w:val="none" w:sz="0" w:space="0" w:color="auto"/>
                                                <w:right w:val="none" w:sz="0" w:space="0" w:color="auto"/>
                                              </w:divBdr>
                                              <w:divsChild>
                                                <w:div w:id="111480799">
                                                  <w:marLeft w:val="0"/>
                                                  <w:marRight w:val="0"/>
                                                  <w:marTop w:val="0"/>
                                                  <w:marBottom w:val="0"/>
                                                  <w:divBdr>
                                                    <w:top w:val="none" w:sz="0" w:space="0" w:color="auto"/>
                                                    <w:left w:val="none" w:sz="0" w:space="0" w:color="auto"/>
                                                    <w:bottom w:val="none" w:sz="0" w:space="0" w:color="auto"/>
                                                    <w:right w:val="none" w:sz="0" w:space="0" w:color="auto"/>
                                                  </w:divBdr>
                                                  <w:divsChild>
                                                    <w:div w:id="13701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8363">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
                                                <w:div w:id="1468084465">
                                                  <w:marLeft w:val="0"/>
                                                  <w:marRight w:val="0"/>
                                                  <w:marTop w:val="0"/>
                                                  <w:marBottom w:val="0"/>
                                                  <w:divBdr>
                                                    <w:top w:val="none" w:sz="0" w:space="0" w:color="auto"/>
                                                    <w:left w:val="none" w:sz="0" w:space="0" w:color="auto"/>
                                                    <w:bottom w:val="none" w:sz="0" w:space="0" w:color="auto"/>
                                                    <w:right w:val="none" w:sz="0" w:space="0" w:color="auto"/>
                                                  </w:divBdr>
                                                  <w:divsChild>
                                                    <w:div w:id="8079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5373656">
      <w:bodyDiv w:val="1"/>
      <w:marLeft w:val="0"/>
      <w:marRight w:val="0"/>
      <w:marTop w:val="100"/>
      <w:marBottom w:val="100"/>
      <w:divBdr>
        <w:top w:val="none" w:sz="0" w:space="0" w:color="auto"/>
        <w:left w:val="none" w:sz="0" w:space="0" w:color="auto"/>
        <w:bottom w:val="none" w:sz="0" w:space="0" w:color="auto"/>
        <w:right w:val="none" w:sz="0" w:space="0" w:color="auto"/>
      </w:divBdr>
      <w:divsChild>
        <w:div w:id="892272988">
          <w:marLeft w:val="0"/>
          <w:marRight w:val="0"/>
          <w:marTop w:val="0"/>
          <w:marBottom w:val="0"/>
          <w:divBdr>
            <w:top w:val="none" w:sz="0" w:space="0" w:color="auto"/>
            <w:left w:val="none" w:sz="0" w:space="0" w:color="auto"/>
            <w:bottom w:val="none" w:sz="0" w:space="0" w:color="auto"/>
            <w:right w:val="none" w:sz="0" w:space="0" w:color="auto"/>
          </w:divBdr>
          <w:divsChild>
            <w:div w:id="604508696">
              <w:marLeft w:val="0"/>
              <w:marRight w:val="0"/>
              <w:marTop w:val="0"/>
              <w:marBottom w:val="0"/>
              <w:divBdr>
                <w:top w:val="none" w:sz="0" w:space="0" w:color="auto"/>
                <w:left w:val="none" w:sz="0" w:space="0" w:color="auto"/>
                <w:bottom w:val="none" w:sz="0" w:space="0" w:color="auto"/>
                <w:right w:val="none" w:sz="0" w:space="0" w:color="auto"/>
              </w:divBdr>
              <w:divsChild>
                <w:div w:id="137840432">
                  <w:marLeft w:val="0"/>
                  <w:marRight w:val="0"/>
                  <w:marTop w:val="0"/>
                  <w:marBottom w:val="0"/>
                  <w:divBdr>
                    <w:top w:val="none" w:sz="0" w:space="0" w:color="auto"/>
                    <w:left w:val="single" w:sz="4" w:space="0" w:color="0B5092"/>
                    <w:bottom w:val="none" w:sz="0" w:space="0" w:color="auto"/>
                    <w:right w:val="single" w:sz="4" w:space="0" w:color="0B5092"/>
                  </w:divBdr>
                  <w:divsChild>
                    <w:div w:id="113259147">
                      <w:marLeft w:val="0"/>
                      <w:marRight w:val="0"/>
                      <w:marTop w:val="0"/>
                      <w:marBottom w:val="0"/>
                      <w:divBdr>
                        <w:top w:val="none" w:sz="0" w:space="0" w:color="auto"/>
                        <w:left w:val="none" w:sz="0" w:space="0" w:color="auto"/>
                        <w:bottom w:val="none" w:sz="0" w:space="0" w:color="auto"/>
                        <w:right w:val="none" w:sz="0" w:space="0" w:color="auto"/>
                      </w:divBdr>
                      <w:divsChild>
                        <w:div w:id="1761027381">
                          <w:marLeft w:val="0"/>
                          <w:marRight w:val="0"/>
                          <w:marTop w:val="0"/>
                          <w:marBottom w:val="0"/>
                          <w:divBdr>
                            <w:top w:val="none" w:sz="0" w:space="0" w:color="auto"/>
                            <w:left w:val="none" w:sz="0" w:space="0" w:color="auto"/>
                            <w:bottom w:val="none" w:sz="0" w:space="0" w:color="auto"/>
                            <w:right w:val="none" w:sz="0" w:space="0" w:color="auto"/>
                          </w:divBdr>
                          <w:divsChild>
                            <w:div w:id="1350371191">
                              <w:marLeft w:val="0"/>
                              <w:marRight w:val="0"/>
                              <w:marTop w:val="0"/>
                              <w:marBottom w:val="0"/>
                              <w:divBdr>
                                <w:top w:val="none" w:sz="0" w:space="0" w:color="auto"/>
                                <w:left w:val="none" w:sz="0" w:space="0" w:color="auto"/>
                                <w:bottom w:val="none" w:sz="0" w:space="0" w:color="auto"/>
                                <w:right w:val="none" w:sz="0" w:space="0" w:color="auto"/>
                              </w:divBdr>
                              <w:divsChild>
                                <w:div w:id="1308243120">
                                  <w:marLeft w:val="0"/>
                                  <w:marRight w:val="0"/>
                                  <w:marTop w:val="0"/>
                                  <w:marBottom w:val="0"/>
                                  <w:divBdr>
                                    <w:top w:val="none" w:sz="0" w:space="0" w:color="auto"/>
                                    <w:left w:val="none" w:sz="0" w:space="0" w:color="auto"/>
                                    <w:bottom w:val="none" w:sz="0" w:space="0" w:color="auto"/>
                                    <w:right w:val="none" w:sz="0" w:space="0" w:color="auto"/>
                                  </w:divBdr>
                                  <w:divsChild>
                                    <w:div w:id="1309824295">
                                      <w:marLeft w:val="0"/>
                                      <w:marRight w:val="0"/>
                                      <w:marTop w:val="0"/>
                                      <w:marBottom w:val="0"/>
                                      <w:divBdr>
                                        <w:top w:val="none" w:sz="0" w:space="0" w:color="auto"/>
                                        <w:left w:val="none" w:sz="0" w:space="0" w:color="auto"/>
                                        <w:bottom w:val="none" w:sz="0" w:space="0" w:color="auto"/>
                                        <w:right w:val="none" w:sz="0" w:space="0" w:color="auto"/>
                                      </w:divBdr>
                                      <w:divsChild>
                                        <w:div w:id="690112492">
                                          <w:marLeft w:val="0"/>
                                          <w:marRight w:val="0"/>
                                          <w:marTop w:val="0"/>
                                          <w:marBottom w:val="0"/>
                                          <w:divBdr>
                                            <w:top w:val="none" w:sz="0" w:space="0" w:color="auto"/>
                                            <w:left w:val="none" w:sz="0" w:space="0" w:color="auto"/>
                                            <w:bottom w:val="none" w:sz="0" w:space="0" w:color="auto"/>
                                            <w:right w:val="none" w:sz="0" w:space="0" w:color="auto"/>
                                          </w:divBdr>
                                          <w:divsChild>
                                            <w:div w:id="2064718814">
                                              <w:marLeft w:val="100"/>
                                              <w:marRight w:val="100"/>
                                              <w:marTop w:val="100"/>
                                              <w:marBottom w:val="100"/>
                                              <w:divBdr>
                                                <w:top w:val="none" w:sz="0" w:space="0" w:color="auto"/>
                                                <w:left w:val="none" w:sz="0" w:space="0" w:color="auto"/>
                                                <w:bottom w:val="none" w:sz="0" w:space="0" w:color="auto"/>
                                                <w:right w:val="none" w:sz="0" w:space="0" w:color="auto"/>
                                              </w:divBdr>
                                              <w:divsChild>
                                                <w:div w:id="1990328463">
                                                  <w:marLeft w:val="0"/>
                                                  <w:marRight w:val="0"/>
                                                  <w:marTop w:val="0"/>
                                                  <w:marBottom w:val="0"/>
                                                  <w:divBdr>
                                                    <w:top w:val="none" w:sz="0" w:space="0" w:color="auto"/>
                                                    <w:left w:val="none" w:sz="0" w:space="0" w:color="auto"/>
                                                    <w:bottom w:val="none" w:sz="0" w:space="0" w:color="auto"/>
                                                    <w:right w:val="none" w:sz="0" w:space="0" w:color="auto"/>
                                                  </w:divBdr>
                                                  <w:divsChild>
                                                    <w:div w:id="688024837">
                                                      <w:marLeft w:val="0"/>
                                                      <w:marRight w:val="75"/>
                                                      <w:marTop w:val="0"/>
                                                      <w:marBottom w:val="0"/>
                                                      <w:divBdr>
                                                        <w:top w:val="none" w:sz="0" w:space="0" w:color="auto"/>
                                                        <w:left w:val="none" w:sz="0" w:space="0" w:color="auto"/>
                                                        <w:bottom w:val="none" w:sz="0" w:space="0" w:color="auto"/>
                                                        <w:right w:val="none" w:sz="0" w:space="0" w:color="auto"/>
                                                      </w:divBdr>
                                                      <w:divsChild>
                                                        <w:div w:id="445000378">
                                                          <w:marLeft w:val="50"/>
                                                          <w:marRight w:val="-75"/>
                                                          <w:marTop w:val="0"/>
                                                          <w:marBottom w:val="0"/>
                                                          <w:divBdr>
                                                            <w:top w:val="none" w:sz="0" w:space="0" w:color="auto"/>
                                                            <w:left w:val="none" w:sz="0" w:space="0" w:color="auto"/>
                                                            <w:bottom w:val="none" w:sz="0" w:space="0" w:color="auto"/>
                                                            <w:right w:val="none" w:sz="0" w:space="0" w:color="auto"/>
                                                          </w:divBdr>
                                                          <w:divsChild>
                                                            <w:div w:id="5157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956820">
      <w:bodyDiv w:val="1"/>
      <w:marLeft w:val="0"/>
      <w:marRight w:val="0"/>
      <w:marTop w:val="0"/>
      <w:marBottom w:val="0"/>
      <w:divBdr>
        <w:top w:val="none" w:sz="0" w:space="0" w:color="auto"/>
        <w:left w:val="none" w:sz="0" w:space="0" w:color="auto"/>
        <w:bottom w:val="none" w:sz="0" w:space="0" w:color="auto"/>
        <w:right w:val="none" w:sz="0" w:space="0" w:color="auto"/>
      </w:divBdr>
      <w:divsChild>
        <w:div w:id="926227032">
          <w:marLeft w:val="0"/>
          <w:marRight w:val="0"/>
          <w:marTop w:val="0"/>
          <w:marBottom w:val="0"/>
          <w:divBdr>
            <w:top w:val="none" w:sz="0" w:space="0" w:color="auto"/>
            <w:left w:val="none" w:sz="0" w:space="0" w:color="auto"/>
            <w:bottom w:val="none" w:sz="0" w:space="0" w:color="auto"/>
            <w:right w:val="none" w:sz="0" w:space="0" w:color="auto"/>
          </w:divBdr>
          <w:divsChild>
            <w:div w:id="1904101085">
              <w:marLeft w:val="0"/>
              <w:marRight w:val="0"/>
              <w:marTop w:val="0"/>
              <w:marBottom w:val="0"/>
              <w:divBdr>
                <w:top w:val="none" w:sz="0" w:space="0" w:color="auto"/>
                <w:left w:val="none" w:sz="0" w:space="0" w:color="auto"/>
                <w:bottom w:val="none" w:sz="0" w:space="0" w:color="auto"/>
                <w:right w:val="none" w:sz="0" w:space="0" w:color="auto"/>
              </w:divBdr>
              <w:divsChild>
                <w:div w:id="540172021">
                  <w:marLeft w:val="0"/>
                  <w:marRight w:val="0"/>
                  <w:marTop w:val="0"/>
                  <w:marBottom w:val="0"/>
                  <w:divBdr>
                    <w:top w:val="none" w:sz="0" w:space="0" w:color="auto"/>
                    <w:left w:val="none" w:sz="0" w:space="0" w:color="auto"/>
                    <w:bottom w:val="none" w:sz="0" w:space="0" w:color="auto"/>
                    <w:right w:val="none" w:sz="0" w:space="0" w:color="auto"/>
                  </w:divBdr>
                  <w:divsChild>
                    <w:div w:id="198393804">
                      <w:marLeft w:val="0"/>
                      <w:marRight w:val="0"/>
                      <w:marTop w:val="0"/>
                      <w:marBottom w:val="0"/>
                      <w:divBdr>
                        <w:top w:val="none" w:sz="0" w:space="0" w:color="auto"/>
                        <w:left w:val="none" w:sz="0" w:space="0" w:color="auto"/>
                        <w:bottom w:val="none" w:sz="0" w:space="0" w:color="auto"/>
                        <w:right w:val="none" w:sz="0" w:space="0" w:color="auto"/>
                      </w:divBdr>
                      <w:divsChild>
                        <w:div w:id="1167359719">
                          <w:marLeft w:val="0"/>
                          <w:marRight w:val="0"/>
                          <w:marTop w:val="0"/>
                          <w:marBottom w:val="0"/>
                          <w:divBdr>
                            <w:top w:val="none" w:sz="0" w:space="0" w:color="auto"/>
                            <w:left w:val="none" w:sz="0" w:space="0" w:color="auto"/>
                            <w:bottom w:val="none" w:sz="0" w:space="0" w:color="auto"/>
                            <w:right w:val="none" w:sz="0" w:space="0" w:color="auto"/>
                          </w:divBdr>
                          <w:divsChild>
                            <w:div w:id="1681471934">
                              <w:marLeft w:val="570"/>
                              <w:marRight w:val="720"/>
                              <w:marTop w:val="120"/>
                              <w:marBottom w:val="120"/>
                              <w:divBdr>
                                <w:top w:val="none" w:sz="0" w:space="0" w:color="auto"/>
                                <w:left w:val="none" w:sz="0" w:space="0" w:color="auto"/>
                                <w:bottom w:val="none" w:sz="0" w:space="0" w:color="auto"/>
                                <w:right w:val="none" w:sz="0" w:space="0" w:color="auto"/>
                              </w:divBdr>
                              <w:divsChild>
                                <w:div w:id="556354628">
                                  <w:marLeft w:val="0"/>
                                  <w:marRight w:val="0"/>
                                  <w:marTop w:val="0"/>
                                  <w:marBottom w:val="0"/>
                                  <w:divBdr>
                                    <w:top w:val="none" w:sz="0" w:space="0" w:color="auto"/>
                                    <w:left w:val="none" w:sz="0" w:space="0" w:color="auto"/>
                                    <w:bottom w:val="none" w:sz="0" w:space="0" w:color="auto"/>
                                    <w:right w:val="none" w:sz="0" w:space="0" w:color="auto"/>
                                  </w:divBdr>
                                  <w:divsChild>
                                    <w:div w:id="1306547040">
                                      <w:marLeft w:val="0"/>
                                      <w:marRight w:val="0"/>
                                      <w:marTop w:val="0"/>
                                      <w:marBottom w:val="0"/>
                                      <w:divBdr>
                                        <w:top w:val="none" w:sz="0" w:space="0" w:color="auto"/>
                                        <w:left w:val="none" w:sz="0" w:space="0" w:color="auto"/>
                                        <w:bottom w:val="none" w:sz="0" w:space="0" w:color="auto"/>
                                        <w:right w:val="none" w:sz="0" w:space="0" w:color="auto"/>
                                      </w:divBdr>
                                      <w:divsChild>
                                        <w:div w:id="108545803">
                                          <w:marLeft w:val="0"/>
                                          <w:marRight w:val="0"/>
                                          <w:marTop w:val="0"/>
                                          <w:marBottom w:val="0"/>
                                          <w:divBdr>
                                            <w:top w:val="none" w:sz="0" w:space="0" w:color="auto"/>
                                            <w:left w:val="none" w:sz="0" w:space="0" w:color="auto"/>
                                            <w:bottom w:val="none" w:sz="0" w:space="0" w:color="auto"/>
                                            <w:right w:val="none" w:sz="0" w:space="0" w:color="auto"/>
                                          </w:divBdr>
                                        </w:div>
                                        <w:div w:id="1757828077">
                                          <w:marLeft w:val="0"/>
                                          <w:marRight w:val="0"/>
                                          <w:marTop w:val="0"/>
                                          <w:marBottom w:val="150"/>
                                          <w:divBdr>
                                            <w:top w:val="none" w:sz="0" w:space="0" w:color="auto"/>
                                            <w:left w:val="none" w:sz="0" w:space="0" w:color="auto"/>
                                            <w:bottom w:val="none" w:sz="0" w:space="0" w:color="auto"/>
                                            <w:right w:val="none" w:sz="0" w:space="0" w:color="auto"/>
                                          </w:divBdr>
                                          <w:divsChild>
                                            <w:div w:id="13121903">
                                              <w:marLeft w:val="0"/>
                                              <w:marRight w:val="0"/>
                                              <w:marTop w:val="240"/>
                                              <w:marBottom w:val="240"/>
                                              <w:divBdr>
                                                <w:top w:val="single" w:sz="6" w:space="6" w:color="F2F2F2"/>
                                                <w:left w:val="none" w:sz="0" w:space="0" w:color="auto"/>
                                                <w:bottom w:val="single" w:sz="6" w:space="6" w:color="F2F2F2"/>
                                                <w:right w:val="none" w:sz="0" w:space="0" w:color="auto"/>
                                              </w:divBdr>
                                            </w:div>
                                            <w:div w:id="310864783">
                                              <w:marLeft w:val="0"/>
                                              <w:marRight w:val="0"/>
                                              <w:marTop w:val="0"/>
                                              <w:marBottom w:val="0"/>
                                              <w:divBdr>
                                                <w:top w:val="none" w:sz="0" w:space="0" w:color="auto"/>
                                                <w:left w:val="none" w:sz="0" w:space="0" w:color="auto"/>
                                                <w:bottom w:val="none" w:sz="0" w:space="0" w:color="auto"/>
                                                <w:right w:val="none" w:sz="0" w:space="0" w:color="auto"/>
                                              </w:divBdr>
                                              <w:divsChild>
                                                <w:div w:id="51971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800684">
      <w:bodyDiv w:val="1"/>
      <w:marLeft w:val="0"/>
      <w:marRight w:val="0"/>
      <w:marTop w:val="0"/>
      <w:marBottom w:val="0"/>
      <w:divBdr>
        <w:top w:val="none" w:sz="0" w:space="0" w:color="auto"/>
        <w:left w:val="none" w:sz="0" w:space="0" w:color="auto"/>
        <w:bottom w:val="none" w:sz="0" w:space="0" w:color="auto"/>
        <w:right w:val="none" w:sz="0" w:space="0" w:color="auto"/>
      </w:divBdr>
    </w:div>
    <w:div w:id="727923933">
      <w:bodyDiv w:val="1"/>
      <w:marLeft w:val="0"/>
      <w:marRight w:val="0"/>
      <w:marTop w:val="0"/>
      <w:marBottom w:val="0"/>
      <w:divBdr>
        <w:top w:val="none" w:sz="0" w:space="0" w:color="auto"/>
        <w:left w:val="none" w:sz="0" w:space="0" w:color="auto"/>
        <w:bottom w:val="none" w:sz="0" w:space="0" w:color="auto"/>
        <w:right w:val="none" w:sz="0" w:space="0" w:color="auto"/>
      </w:divBdr>
      <w:divsChild>
        <w:div w:id="993068323">
          <w:marLeft w:val="0"/>
          <w:marRight w:val="0"/>
          <w:marTop w:val="0"/>
          <w:marBottom w:val="0"/>
          <w:divBdr>
            <w:top w:val="none" w:sz="0" w:space="0" w:color="auto"/>
            <w:left w:val="none" w:sz="0" w:space="0" w:color="auto"/>
            <w:bottom w:val="none" w:sz="0" w:space="0" w:color="auto"/>
            <w:right w:val="none" w:sz="0" w:space="0" w:color="auto"/>
          </w:divBdr>
          <w:divsChild>
            <w:div w:id="43872362">
              <w:marLeft w:val="0"/>
              <w:marRight w:val="0"/>
              <w:marTop w:val="0"/>
              <w:marBottom w:val="0"/>
              <w:divBdr>
                <w:top w:val="none" w:sz="0" w:space="0" w:color="auto"/>
                <w:left w:val="none" w:sz="0" w:space="0" w:color="auto"/>
                <w:bottom w:val="none" w:sz="0" w:space="0" w:color="auto"/>
                <w:right w:val="none" w:sz="0" w:space="0" w:color="auto"/>
              </w:divBdr>
              <w:divsChild>
                <w:div w:id="575673335">
                  <w:marLeft w:val="0"/>
                  <w:marRight w:val="0"/>
                  <w:marTop w:val="100"/>
                  <w:marBottom w:val="100"/>
                  <w:divBdr>
                    <w:top w:val="none" w:sz="0" w:space="0" w:color="auto"/>
                    <w:left w:val="none" w:sz="0" w:space="0" w:color="auto"/>
                    <w:bottom w:val="none" w:sz="0" w:space="0" w:color="auto"/>
                    <w:right w:val="none" w:sz="0" w:space="0" w:color="auto"/>
                  </w:divBdr>
                  <w:divsChild>
                    <w:div w:id="766803571">
                      <w:marLeft w:val="0"/>
                      <w:marRight w:val="0"/>
                      <w:marTop w:val="0"/>
                      <w:marBottom w:val="0"/>
                      <w:divBdr>
                        <w:top w:val="none" w:sz="0" w:space="0" w:color="auto"/>
                        <w:left w:val="none" w:sz="0" w:space="0" w:color="auto"/>
                        <w:bottom w:val="none" w:sz="0" w:space="0" w:color="auto"/>
                        <w:right w:val="none" w:sz="0" w:space="0" w:color="auto"/>
                      </w:divBdr>
                      <w:divsChild>
                        <w:div w:id="2145614327">
                          <w:marLeft w:val="0"/>
                          <w:marRight w:val="0"/>
                          <w:marTop w:val="0"/>
                          <w:marBottom w:val="0"/>
                          <w:divBdr>
                            <w:top w:val="none" w:sz="0" w:space="0" w:color="auto"/>
                            <w:left w:val="none" w:sz="0" w:space="0" w:color="auto"/>
                            <w:bottom w:val="none" w:sz="0" w:space="0" w:color="auto"/>
                            <w:right w:val="none" w:sz="0" w:space="0" w:color="auto"/>
                          </w:divBdr>
                          <w:divsChild>
                            <w:div w:id="614871617">
                              <w:marLeft w:val="0"/>
                              <w:marRight w:val="0"/>
                              <w:marTop w:val="0"/>
                              <w:marBottom w:val="0"/>
                              <w:divBdr>
                                <w:top w:val="none" w:sz="0" w:space="0" w:color="auto"/>
                                <w:left w:val="none" w:sz="0" w:space="0" w:color="auto"/>
                                <w:bottom w:val="none" w:sz="0" w:space="0" w:color="auto"/>
                                <w:right w:val="none" w:sz="0" w:space="0" w:color="auto"/>
                              </w:divBdr>
                              <w:divsChild>
                                <w:div w:id="1762600870">
                                  <w:marLeft w:val="0"/>
                                  <w:marRight w:val="0"/>
                                  <w:marTop w:val="0"/>
                                  <w:marBottom w:val="0"/>
                                  <w:divBdr>
                                    <w:top w:val="none" w:sz="0" w:space="0" w:color="auto"/>
                                    <w:left w:val="none" w:sz="0" w:space="0" w:color="auto"/>
                                    <w:bottom w:val="none" w:sz="0" w:space="0" w:color="auto"/>
                                    <w:right w:val="none" w:sz="0" w:space="0" w:color="auto"/>
                                  </w:divBdr>
                                  <w:divsChild>
                                    <w:div w:id="428234607">
                                      <w:marLeft w:val="0"/>
                                      <w:marRight w:val="0"/>
                                      <w:marTop w:val="0"/>
                                      <w:marBottom w:val="0"/>
                                      <w:divBdr>
                                        <w:top w:val="none" w:sz="0" w:space="0" w:color="auto"/>
                                        <w:left w:val="none" w:sz="0" w:space="0" w:color="auto"/>
                                        <w:bottom w:val="none" w:sz="0" w:space="0" w:color="auto"/>
                                        <w:right w:val="none" w:sz="0" w:space="0" w:color="auto"/>
                                      </w:divBdr>
                                      <w:divsChild>
                                        <w:div w:id="848837697">
                                          <w:marLeft w:val="0"/>
                                          <w:marRight w:val="0"/>
                                          <w:marTop w:val="0"/>
                                          <w:marBottom w:val="0"/>
                                          <w:divBdr>
                                            <w:top w:val="none" w:sz="0" w:space="0" w:color="auto"/>
                                            <w:left w:val="none" w:sz="0" w:space="0" w:color="auto"/>
                                            <w:bottom w:val="none" w:sz="0" w:space="0" w:color="auto"/>
                                            <w:right w:val="none" w:sz="0" w:space="0" w:color="auto"/>
                                          </w:divBdr>
                                          <w:divsChild>
                                            <w:div w:id="551621234">
                                              <w:marLeft w:val="0"/>
                                              <w:marRight w:val="0"/>
                                              <w:marTop w:val="0"/>
                                              <w:marBottom w:val="0"/>
                                              <w:divBdr>
                                                <w:top w:val="single" w:sz="6" w:space="0" w:color="B6D444"/>
                                                <w:left w:val="none" w:sz="0" w:space="0" w:color="auto"/>
                                                <w:bottom w:val="none" w:sz="0" w:space="0" w:color="auto"/>
                                                <w:right w:val="none" w:sz="0" w:space="0" w:color="auto"/>
                                              </w:divBdr>
                                              <w:divsChild>
                                                <w:div w:id="16565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992645">
      <w:bodyDiv w:val="1"/>
      <w:marLeft w:val="0"/>
      <w:marRight w:val="0"/>
      <w:marTop w:val="0"/>
      <w:marBottom w:val="0"/>
      <w:divBdr>
        <w:top w:val="none" w:sz="0" w:space="0" w:color="auto"/>
        <w:left w:val="none" w:sz="0" w:space="0" w:color="auto"/>
        <w:bottom w:val="none" w:sz="0" w:space="0" w:color="auto"/>
        <w:right w:val="none" w:sz="0" w:space="0" w:color="auto"/>
      </w:divBdr>
      <w:divsChild>
        <w:div w:id="2070882551">
          <w:marLeft w:val="0"/>
          <w:marRight w:val="0"/>
          <w:marTop w:val="0"/>
          <w:marBottom w:val="0"/>
          <w:divBdr>
            <w:top w:val="none" w:sz="0" w:space="0" w:color="auto"/>
            <w:left w:val="none" w:sz="0" w:space="0" w:color="auto"/>
            <w:bottom w:val="none" w:sz="0" w:space="0" w:color="auto"/>
            <w:right w:val="none" w:sz="0" w:space="0" w:color="auto"/>
          </w:divBdr>
          <w:divsChild>
            <w:div w:id="1605185529">
              <w:marLeft w:val="0"/>
              <w:marRight w:val="0"/>
              <w:marTop w:val="0"/>
              <w:marBottom w:val="0"/>
              <w:divBdr>
                <w:top w:val="none" w:sz="0" w:space="0" w:color="auto"/>
                <w:left w:val="none" w:sz="0" w:space="0" w:color="auto"/>
                <w:bottom w:val="none" w:sz="0" w:space="0" w:color="auto"/>
                <w:right w:val="none" w:sz="0" w:space="0" w:color="auto"/>
              </w:divBdr>
              <w:divsChild>
                <w:div w:id="339505639">
                  <w:marLeft w:val="0"/>
                  <w:marRight w:val="0"/>
                  <w:marTop w:val="0"/>
                  <w:marBottom w:val="0"/>
                  <w:divBdr>
                    <w:top w:val="none" w:sz="0" w:space="0" w:color="auto"/>
                    <w:left w:val="none" w:sz="0" w:space="0" w:color="auto"/>
                    <w:bottom w:val="none" w:sz="0" w:space="0" w:color="auto"/>
                    <w:right w:val="none" w:sz="0" w:space="0" w:color="auto"/>
                  </w:divBdr>
                  <w:divsChild>
                    <w:div w:id="1264266984">
                      <w:marLeft w:val="0"/>
                      <w:marRight w:val="0"/>
                      <w:marTop w:val="0"/>
                      <w:marBottom w:val="0"/>
                      <w:divBdr>
                        <w:top w:val="none" w:sz="0" w:space="0" w:color="auto"/>
                        <w:left w:val="none" w:sz="0" w:space="0" w:color="auto"/>
                        <w:bottom w:val="none" w:sz="0" w:space="0" w:color="auto"/>
                        <w:right w:val="none" w:sz="0" w:space="0" w:color="auto"/>
                      </w:divBdr>
                      <w:divsChild>
                        <w:div w:id="1910381018">
                          <w:marLeft w:val="0"/>
                          <w:marRight w:val="0"/>
                          <w:marTop w:val="0"/>
                          <w:marBottom w:val="0"/>
                          <w:divBdr>
                            <w:top w:val="none" w:sz="0" w:space="0" w:color="auto"/>
                            <w:left w:val="none" w:sz="0" w:space="0" w:color="auto"/>
                            <w:bottom w:val="none" w:sz="0" w:space="0" w:color="auto"/>
                            <w:right w:val="none" w:sz="0" w:space="0" w:color="auto"/>
                          </w:divBdr>
                          <w:divsChild>
                            <w:div w:id="1701737696">
                              <w:marLeft w:val="0"/>
                              <w:marRight w:val="0"/>
                              <w:marTop w:val="0"/>
                              <w:marBottom w:val="0"/>
                              <w:divBdr>
                                <w:top w:val="none" w:sz="0" w:space="0" w:color="auto"/>
                                <w:left w:val="none" w:sz="0" w:space="0" w:color="auto"/>
                                <w:bottom w:val="none" w:sz="0" w:space="0" w:color="auto"/>
                                <w:right w:val="none" w:sz="0" w:space="0" w:color="auto"/>
                              </w:divBdr>
                              <w:divsChild>
                                <w:div w:id="841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722053">
      <w:bodyDiv w:val="1"/>
      <w:marLeft w:val="0"/>
      <w:marRight w:val="0"/>
      <w:marTop w:val="0"/>
      <w:marBottom w:val="0"/>
      <w:divBdr>
        <w:top w:val="none" w:sz="0" w:space="0" w:color="auto"/>
        <w:left w:val="none" w:sz="0" w:space="0" w:color="auto"/>
        <w:bottom w:val="none" w:sz="0" w:space="0" w:color="auto"/>
        <w:right w:val="none" w:sz="0" w:space="0" w:color="auto"/>
      </w:divBdr>
      <w:divsChild>
        <w:div w:id="2125147237">
          <w:marLeft w:val="2400"/>
          <w:marRight w:val="0"/>
          <w:marTop w:val="0"/>
          <w:marBottom w:val="0"/>
          <w:divBdr>
            <w:top w:val="none" w:sz="0" w:space="0" w:color="auto"/>
            <w:left w:val="none" w:sz="0" w:space="0" w:color="auto"/>
            <w:bottom w:val="none" w:sz="0" w:space="0" w:color="auto"/>
            <w:right w:val="none" w:sz="0" w:space="0" w:color="auto"/>
          </w:divBdr>
          <w:divsChild>
            <w:div w:id="1108508544">
              <w:marLeft w:val="0"/>
              <w:marRight w:val="0"/>
              <w:marTop w:val="0"/>
              <w:marBottom w:val="0"/>
              <w:divBdr>
                <w:top w:val="none" w:sz="0" w:space="0" w:color="auto"/>
                <w:left w:val="none" w:sz="0" w:space="0" w:color="auto"/>
                <w:bottom w:val="none" w:sz="0" w:space="0" w:color="auto"/>
                <w:right w:val="none" w:sz="0" w:space="0" w:color="auto"/>
              </w:divBdr>
              <w:divsChild>
                <w:div w:id="502861046">
                  <w:marLeft w:val="0"/>
                  <w:marRight w:val="0"/>
                  <w:marTop w:val="0"/>
                  <w:marBottom w:val="0"/>
                  <w:divBdr>
                    <w:top w:val="none" w:sz="0" w:space="0" w:color="auto"/>
                    <w:left w:val="none" w:sz="0" w:space="0" w:color="auto"/>
                    <w:bottom w:val="none" w:sz="0" w:space="0" w:color="auto"/>
                    <w:right w:val="none" w:sz="0" w:space="0" w:color="auto"/>
                  </w:divBdr>
                  <w:divsChild>
                    <w:div w:id="1160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2763">
      <w:bodyDiv w:val="1"/>
      <w:marLeft w:val="0"/>
      <w:marRight w:val="0"/>
      <w:marTop w:val="0"/>
      <w:marBottom w:val="0"/>
      <w:divBdr>
        <w:top w:val="none" w:sz="0" w:space="0" w:color="auto"/>
        <w:left w:val="none" w:sz="0" w:space="0" w:color="auto"/>
        <w:bottom w:val="none" w:sz="0" w:space="0" w:color="auto"/>
        <w:right w:val="none" w:sz="0" w:space="0" w:color="auto"/>
      </w:divBdr>
      <w:divsChild>
        <w:div w:id="2049259028">
          <w:marLeft w:val="2400"/>
          <w:marRight w:val="0"/>
          <w:marTop w:val="0"/>
          <w:marBottom w:val="0"/>
          <w:divBdr>
            <w:top w:val="none" w:sz="0" w:space="0" w:color="auto"/>
            <w:left w:val="none" w:sz="0" w:space="0" w:color="auto"/>
            <w:bottom w:val="none" w:sz="0" w:space="0" w:color="auto"/>
            <w:right w:val="none" w:sz="0" w:space="0" w:color="auto"/>
          </w:divBdr>
          <w:divsChild>
            <w:div w:id="1089546096">
              <w:marLeft w:val="0"/>
              <w:marRight w:val="0"/>
              <w:marTop w:val="0"/>
              <w:marBottom w:val="0"/>
              <w:divBdr>
                <w:top w:val="none" w:sz="0" w:space="0" w:color="auto"/>
                <w:left w:val="none" w:sz="0" w:space="0" w:color="auto"/>
                <w:bottom w:val="none" w:sz="0" w:space="0" w:color="auto"/>
                <w:right w:val="none" w:sz="0" w:space="0" w:color="auto"/>
              </w:divBdr>
              <w:divsChild>
                <w:div w:id="1645044761">
                  <w:marLeft w:val="0"/>
                  <w:marRight w:val="0"/>
                  <w:marTop w:val="0"/>
                  <w:marBottom w:val="0"/>
                  <w:divBdr>
                    <w:top w:val="none" w:sz="0" w:space="0" w:color="auto"/>
                    <w:left w:val="none" w:sz="0" w:space="0" w:color="auto"/>
                    <w:bottom w:val="none" w:sz="0" w:space="0" w:color="auto"/>
                    <w:right w:val="none" w:sz="0" w:space="0" w:color="auto"/>
                  </w:divBdr>
                  <w:divsChild>
                    <w:div w:id="12216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14843">
      <w:bodyDiv w:val="1"/>
      <w:marLeft w:val="0"/>
      <w:marRight w:val="0"/>
      <w:marTop w:val="0"/>
      <w:marBottom w:val="0"/>
      <w:divBdr>
        <w:top w:val="none" w:sz="0" w:space="0" w:color="auto"/>
        <w:left w:val="none" w:sz="0" w:space="0" w:color="auto"/>
        <w:bottom w:val="none" w:sz="0" w:space="0" w:color="auto"/>
        <w:right w:val="none" w:sz="0" w:space="0" w:color="auto"/>
      </w:divBdr>
      <w:divsChild>
        <w:div w:id="2098012113">
          <w:marLeft w:val="0"/>
          <w:marRight w:val="0"/>
          <w:marTop w:val="0"/>
          <w:marBottom w:val="480"/>
          <w:divBdr>
            <w:top w:val="none" w:sz="0" w:space="0" w:color="auto"/>
            <w:left w:val="none" w:sz="0" w:space="0" w:color="auto"/>
            <w:bottom w:val="none" w:sz="0" w:space="0" w:color="auto"/>
            <w:right w:val="none" w:sz="0" w:space="0" w:color="auto"/>
          </w:divBdr>
        </w:div>
      </w:divsChild>
    </w:div>
    <w:div w:id="729309006">
      <w:bodyDiv w:val="1"/>
      <w:marLeft w:val="0"/>
      <w:marRight w:val="0"/>
      <w:marTop w:val="0"/>
      <w:marBottom w:val="0"/>
      <w:divBdr>
        <w:top w:val="none" w:sz="0" w:space="0" w:color="auto"/>
        <w:left w:val="none" w:sz="0" w:space="0" w:color="auto"/>
        <w:bottom w:val="none" w:sz="0" w:space="0" w:color="auto"/>
        <w:right w:val="none" w:sz="0" w:space="0" w:color="auto"/>
      </w:divBdr>
      <w:divsChild>
        <w:div w:id="1517571008">
          <w:marLeft w:val="0"/>
          <w:marRight w:val="0"/>
          <w:marTop w:val="0"/>
          <w:marBottom w:val="0"/>
          <w:divBdr>
            <w:top w:val="none" w:sz="0" w:space="0" w:color="auto"/>
            <w:left w:val="none" w:sz="0" w:space="0" w:color="auto"/>
            <w:bottom w:val="none" w:sz="0" w:space="0" w:color="auto"/>
            <w:right w:val="none" w:sz="0" w:space="0" w:color="auto"/>
          </w:divBdr>
          <w:divsChild>
            <w:div w:id="1472136048">
              <w:marLeft w:val="0"/>
              <w:marRight w:val="0"/>
              <w:marTop w:val="0"/>
              <w:marBottom w:val="0"/>
              <w:divBdr>
                <w:top w:val="none" w:sz="0" w:space="0" w:color="auto"/>
                <w:left w:val="none" w:sz="0" w:space="0" w:color="auto"/>
                <w:bottom w:val="none" w:sz="0" w:space="0" w:color="auto"/>
                <w:right w:val="none" w:sz="0" w:space="0" w:color="auto"/>
              </w:divBdr>
              <w:divsChild>
                <w:div w:id="600723968">
                  <w:marLeft w:val="0"/>
                  <w:marRight w:val="0"/>
                  <w:marTop w:val="0"/>
                  <w:marBottom w:val="0"/>
                  <w:divBdr>
                    <w:top w:val="none" w:sz="0" w:space="0" w:color="auto"/>
                    <w:left w:val="none" w:sz="0" w:space="0" w:color="auto"/>
                    <w:bottom w:val="none" w:sz="0" w:space="0" w:color="auto"/>
                    <w:right w:val="none" w:sz="0" w:space="0" w:color="auto"/>
                  </w:divBdr>
                  <w:divsChild>
                    <w:div w:id="1118178643">
                      <w:marLeft w:val="0"/>
                      <w:marRight w:val="0"/>
                      <w:marTop w:val="0"/>
                      <w:marBottom w:val="0"/>
                      <w:divBdr>
                        <w:top w:val="none" w:sz="0" w:space="0" w:color="auto"/>
                        <w:left w:val="none" w:sz="0" w:space="0" w:color="auto"/>
                        <w:bottom w:val="none" w:sz="0" w:space="0" w:color="auto"/>
                        <w:right w:val="none" w:sz="0" w:space="0" w:color="auto"/>
                      </w:divBdr>
                      <w:divsChild>
                        <w:div w:id="725253487">
                          <w:marLeft w:val="0"/>
                          <w:marRight w:val="0"/>
                          <w:marTop w:val="0"/>
                          <w:marBottom w:val="0"/>
                          <w:divBdr>
                            <w:top w:val="none" w:sz="0" w:space="0" w:color="auto"/>
                            <w:left w:val="none" w:sz="0" w:space="0" w:color="auto"/>
                            <w:bottom w:val="single" w:sz="4" w:space="13" w:color="CCCCCC"/>
                            <w:right w:val="none" w:sz="0" w:space="0" w:color="auto"/>
                          </w:divBdr>
                          <w:divsChild>
                            <w:div w:id="8418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079358">
      <w:bodyDiv w:val="1"/>
      <w:marLeft w:val="0"/>
      <w:marRight w:val="0"/>
      <w:marTop w:val="0"/>
      <w:marBottom w:val="0"/>
      <w:divBdr>
        <w:top w:val="none" w:sz="0" w:space="0" w:color="auto"/>
        <w:left w:val="none" w:sz="0" w:space="0" w:color="auto"/>
        <w:bottom w:val="none" w:sz="0" w:space="0" w:color="auto"/>
        <w:right w:val="none" w:sz="0" w:space="0" w:color="auto"/>
      </w:divBdr>
      <w:divsChild>
        <w:div w:id="1466853785">
          <w:marLeft w:val="0"/>
          <w:marRight w:val="0"/>
          <w:marTop w:val="0"/>
          <w:marBottom w:val="0"/>
          <w:divBdr>
            <w:top w:val="none" w:sz="0" w:space="0" w:color="auto"/>
            <w:left w:val="none" w:sz="0" w:space="0" w:color="auto"/>
            <w:bottom w:val="none" w:sz="0" w:space="0" w:color="auto"/>
            <w:right w:val="none" w:sz="0" w:space="0" w:color="auto"/>
          </w:divBdr>
          <w:divsChild>
            <w:div w:id="615021429">
              <w:marLeft w:val="0"/>
              <w:marRight w:val="0"/>
              <w:marTop w:val="0"/>
              <w:marBottom w:val="0"/>
              <w:divBdr>
                <w:top w:val="none" w:sz="0" w:space="0" w:color="auto"/>
                <w:left w:val="none" w:sz="0" w:space="0" w:color="auto"/>
                <w:bottom w:val="none" w:sz="0" w:space="0" w:color="auto"/>
                <w:right w:val="none" w:sz="0" w:space="0" w:color="auto"/>
              </w:divBdr>
              <w:divsChild>
                <w:div w:id="189728829">
                  <w:marLeft w:val="0"/>
                  <w:marRight w:val="0"/>
                  <w:marTop w:val="0"/>
                  <w:marBottom w:val="0"/>
                  <w:divBdr>
                    <w:top w:val="none" w:sz="0" w:space="0" w:color="auto"/>
                    <w:left w:val="none" w:sz="0" w:space="0" w:color="auto"/>
                    <w:bottom w:val="none" w:sz="0" w:space="0" w:color="auto"/>
                    <w:right w:val="none" w:sz="0" w:space="0" w:color="auto"/>
                  </w:divBdr>
                  <w:divsChild>
                    <w:div w:id="1640528675">
                      <w:marLeft w:val="0"/>
                      <w:marRight w:val="0"/>
                      <w:marTop w:val="0"/>
                      <w:marBottom w:val="0"/>
                      <w:divBdr>
                        <w:top w:val="none" w:sz="0" w:space="0" w:color="auto"/>
                        <w:left w:val="none" w:sz="0" w:space="0" w:color="auto"/>
                        <w:bottom w:val="none" w:sz="0" w:space="0" w:color="auto"/>
                        <w:right w:val="none" w:sz="0" w:space="0" w:color="auto"/>
                      </w:divBdr>
                      <w:divsChild>
                        <w:div w:id="1907567818">
                          <w:marLeft w:val="0"/>
                          <w:marRight w:val="0"/>
                          <w:marTop w:val="0"/>
                          <w:marBottom w:val="0"/>
                          <w:divBdr>
                            <w:top w:val="none" w:sz="0" w:space="0" w:color="auto"/>
                            <w:left w:val="none" w:sz="0" w:space="0" w:color="auto"/>
                            <w:bottom w:val="none" w:sz="0" w:space="0" w:color="auto"/>
                            <w:right w:val="none" w:sz="0" w:space="0" w:color="auto"/>
                          </w:divBdr>
                          <w:divsChild>
                            <w:div w:id="501287586">
                              <w:marLeft w:val="0"/>
                              <w:marRight w:val="0"/>
                              <w:marTop w:val="0"/>
                              <w:marBottom w:val="0"/>
                              <w:divBdr>
                                <w:top w:val="none" w:sz="0" w:space="0" w:color="auto"/>
                                <w:left w:val="none" w:sz="0" w:space="0" w:color="auto"/>
                                <w:bottom w:val="none" w:sz="0" w:space="0" w:color="auto"/>
                                <w:right w:val="none" w:sz="0" w:space="0" w:color="auto"/>
                              </w:divBdr>
                              <w:divsChild>
                                <w:div w:id="1401248295">
                                  <w:marLeft w:val="0"/>
                                  <w:marRight w:val="0"/>
                                  <w:marTop w:val="0"/>
                                  <w:marBottom w:val="0"/>
                                  <w:divBdr>
                                    <w:top w:val="none" w:sz="0" w:space="0" w:color="auto"/>
                                    <w:left w:val="none" w:sz="0" w:space="0" w:color="auto"/>
                                    <w:bottom w:val="none" w:sz="0" w:space="0" w:color="auto"/>
                                    <w:right w:val="none" w:sz="0" w:space="0" w:color="auto"/>
                                  </w:divBdr>
                                  <w:divsChild>
                                    <w:div w:id="1538348971">
                                      <w:marLeft w:val="0"/>
                                      <w:marRight w:val="0"/>
                                      <w:marTop w:val="0"/>
                                      <w:marBottom w:val="0"/>
                                      <w:divBdr>
                                        <w:top w:val="none" w:sz="0" w:space="0" w:color="auto"/>
                                        <w:left w:val="none" w:sz="0" w:space="0" w:color="auto"/>
                                        <w:bottom w:val="none" w:sz="0" w:space="0" w:color="auto"/>
                                        <w:right w:val="none" w:sz="0" w:space="0" w:color="auto"/>
                                      </w:divBdr>
                                      <w:divsChild>
                                        <w:div w:id="17351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353411">
      <w:bodyDiv w:val="1"/>
      <w:marLeft w:val="0"/>
      <w:marRight w:val="0"/>
      <w:marTop w:val="0"/>
      <w:marBottom w:val="0"/>
      <w:divBdr>
        <w:top w:val="none" w:sz="0" w:space="0" w:color="auto"/>
        <w:left w:val="none" w:sz="0" w:space="0" w:color="auto"/>
        <w:bottom w:val="none" w:sz="0" w:space="0" w:color="auto"/>
        <w:right w:val="none" w:sz="0" w:space="0" w:color="auto"/>
      </w:divBdr>
      <w:divsChild>
        <w:div w:id="311564870">
          <w:marLeft w:val="0"/>
          <w:marRight w:val="0"/>
          <w:marTop w:val="0"/>
          <w:marBottom w:val="0"/>
          <w:divBdr>
            <w:top w:val="single" w:sz="2" w:space="0" w:color="auto"/>
            <w:left w:val="single" w:sz="2" w:space="0" w:color="auto"/>
            <w:bottom w:val="single" w:sz="2" w:space="0" w:color="auto"/>
            <w:right w:val="single" w:sz="2" w:space="0" w:color="auto"/>
          </w:divBdr>
          <w:divsChild>
            <w:div w:id="715008444">
              <w:marLeft w:val="0"/>
              <w:marRight w:val="0"/>
              <w:marTop w:val="0"/>
              <w:marBottom w:val="0"/>
              <w:divBdr>
                <w:top w:val="single" w:sz="2" w:space="0" w:color="auto"/>
                <w:left w:val="single" w:sz="2" w:space="0" w:color="auto"/>
                <w:bottom w:val="single" w:sz="2" w:space="0" w:color="auto"/>
                <w:right w:val="single" w:sz="2" w:space="0" w:color="auto"/>
              </w:divBdr>
            </w:div>
          </w:divsChild>
        </w:div>
        <w:div w:id="1951890948">
          <w:marLeft w:val="0"/>
          <w:marRight w:val="0"/>
          <w:marTop w:val="0"/>
          <w:marBottom w:val="0"/>
          <w:divBdr>
            <w:top w:val="single" w:sz="2" w:space="0" w:color="auto"/>
            <w:left w:val="single" w:sz="2" w:space="0" w:color="auto"/>
            <w:bottom w:val="single" w:sz="2" w:space="0" w:color="auto"/>
            <w:right w:val="single" w:sz="2" w:space="0" w:color="auto"/>
          </w:divBdr>
        </w:div>
        <w:div w:id="408816800">
          <w:marLeft w:val="0"/>
          <w:marRight w:val="0"/>
          <w:marTop w:val="0"/>
          <w:marBottom w:val="0"/>
          <w:divBdr>
            <w:top w:val="single" w:sz="2" w:space="0" w:color="auto"/>
            <w:left w:val="single" w:sz="2" w:space="0" w:color="auto"/>
            <w:bottom w:val="single" w:sz="2" w:space="0" w:color="auto"/>
            <w:right w:val="single" w:sz="2" w:space="0" w:color="auto"/>
          </w:divBdr>
        </w:div>
        <w:div w:id="1921327961">
          <w:marLeft w:val="0"/>
          <w:marRight w:val="0"/>
          <w:marTop w:val="0"/>
          <w:marBottom w:val="0"/>
          <w:divBdr>
            <w:top w:val="single" w:sz="2" w:space="0" w:color="auto"/>
            <w:left w:val="single" w:sz="2" w:space="0" w:color="auto"/>
            <w:bottom w:val="single" w:sz="2" w:space="0" w:color="auto"/>
            <w:right w:val="single" w:sz="2" w:space="0" w:color="auto"/>
          </w:divBdr>
        </w:div>
      </w:divsChild>
    </w:div>
    <w:div w:id="733889424">
      <w:bodyDiv w:val="1"/>
      <w:marLeft w:val="0"/>
      <w:marRight w:val="0"/>
      <w:marTop w:val="0"/>
      <w:marBottom w:val="0"/>
      <w:divBdr>
        <w:top w:val="none" w:sz="0" w:space="0" w:color="auto"/>
        <w:left w:val="none" w:sz="0" w:space="0" w:color="auto"/>
        <w:bottom w:val="none" w:sz="0" w:space="0" w:color="auto"/>
        <w:right w:val="none" w:sz="0" w:space="0" w:color="auto"/>
      </w:divBdr>
      <w:divsChild>
        <w:div w:id="1931307573">
          <w:marLeft w:val="0"/>
          <w:marRight w:val="0"/>
          <w:marTop w:val="0"/>
          <w:marBottom w:val="0"/>
          <w:divBdr>
            <w:top w:val="none" w:sz="0" w:space="0" w:color="auto"/>
            <w:left w:val="none" w:sz="0" w:space="0" w:color="auto"/>
            <w:bottom w:val="none" w:sz="0" w:space="0" w:color="auto"/>
            <w:right w:val="none" w:sz="0" w:space="0" w:color="auto"/>
          </w:divBdr>
          <w:divsChild>
            <w:div w:id="1572348927">
              <w:marLeft w:val="0"/>
              <w:marRight w:val="0"/>
              <w:marTop w:val="0"/>
              <w:marBottom w:val="0"/>
              <w:divBdr>
                <w:top w:val="none" w:sz="0" w:space="0" w:color="auto"/>
                <w:left w:val="none" w:sz="0" w:space="0" w:color="auto"/>
                <w:bottom w:val="none" w:sz="0" w:space="0" w:color="auto"/>
                <w:right w:val="none" w:sz="0" w:space="0" w:color="auto"/>
              </w:divBdr>
              <w:divsChild>
                <w:div w:id="1119228925">
                  <w:marLeft w:val="0"/>
                  <w:marRight w:val="0"/>
                  <w:marTop w:val="0"/>
                  <w:marBottom w:val="0"/>
                  <w:divBdr>
                    <w:top w:val="none" w:sz="0" w:space="0" w:color="auto"/>
                    <w:left w:val="none" w:sz="0" w:space="0" w:color="auto"/>
                    <w:bottom w:val="none" w:sz="0" w:space="0" w:color="auto"/>
                    <w:right w:val="none" w:sz="0" w:space="0" w:color="auto"/>
                  </w:divBdr>
                  <w:divsChild>
                    <w:div w:id="797065636">
                      <w:marLeft w:val="0"/>
                      <w:marRight w:val="0"/>
                      <w:marTop w:val="0"/>
                      <w:marBottom w:val="0"/>
                      <w:divBdr>
                        <w:top w:val="none" w:sz="0" w:space="0" w:color="auto"/>
                        <w:left w:val="none" w:sz="0" w:space="0" w:color="auto"/>
                        <w:bottom w:val="none" w:sz="0" w:space="0" w:color="auto"/>
                        <w:right w:val="none" w:sz="0" w:space="0" w:color="auto"/>
                      </w:divBdr>
                      <w:divsChild>
                        <w:div w:id="1291134316">
                          <w:marLeft w:val="0"/>
                          <w:marRight w:val="0"/>
                          <w:marTop w:val="0"/>
                          <w:marBottom w:val="0"/>
                          <w:divBdr>
                            <w:top w:val="none" w:sz="0" w:space="0" w:color="auto"/>
                            <w:left w:val="none" w:sz="0" w:space="0" w:color="auto"/>
                            <w:bottom w:val="none" w:sz="0" w:space="0" w:color="auto"/>
                            <w:right w:val="none" w:sz="0" w:space="0" w:color="auto"/>
                          </w:divBdr>
                          <w:divsChild>
                            <w:div w:id="1663240108">
                              <w:marLeft w:val="0"/>
                              <w:marRight w:val="0"/>
                              <w:marTop w:val="0"/>
                              <w:marBottom w:val="0"/>
                              <w:divBdr>
                                <w:top w:val="none" w:sz="0" w:space="0" w:color="auto"/>
                                <w:left w:val="none" w:sz="0" w:space="0" w:color="auto"/>
                                <w:bottom w:val="none" w:sz="0" w:space="0" w:color="auto"/>
                                <w:right w:val="none" w:sz="0" w:space="0" w:color="auto"/>
                              </w:divBdr>
                              <w:divsChild>
                                <w:div w:id="1038706244">
                                  <w:marLeft w:val="570"/>
                                  <w:marRight w:val="720"/>
                                  <w:marTop w:val="120"/>
                                  <w:marBottom w:val="120"/>
                                  <w:divBdr>
                                    <w:top w:val="none" w:sz="0" w:space="0" w:color="auto"/>
                                    <w:left w:val="none" w:sz="0" w:space="0" w:color="auto"/>
                                    <w:bottom w:val="none" w:sz="0" w:space="0" w:color="auto"/>
                                    <w:right w:val="none" w:sz="0" w:space="0" w:color="auto"/>
                                  </w:divBdr>
                                  <w:divsChild>
                                    <w:div w:id="18627823">
                                      <w:marLeft w:val="0"/>
                                      <w:marRight w:val="0"/>
                                      <w:marTop w:val="0"/>
                                      <w:marBottom w:val="0"/>
                                      <w:divBdr>
                                        <w:top w:val="none" w:sz="0" w:space="0" w:color="auto"/>
                                        <w:left w:val="none" w:sz="0" w:space="0" w:color="auto"/>
                                        <w:bottom w:val="none" w:sz="0" w:space="0" w:color="auto"/>
                                        <w:right w:val="none" w:sz="0" w:space="0" w:color="auto"/>
                                      </w:divBdr>
                                      <w:divsChild>
                                        <w:div w:id="420100086">
                                          <w:marLeft w:val="0"/>
                                          <w:marRight w:val="0"/>
                                          <w:marTop w:val="0"/>
                                          <w:marBottom w:val="0"/>
                                          <w:divBdr>
                                            <w:top w:val="none" w:sz="0" w:space="0" w:color="auto"/>
                                            <w:left w:val="none" w:sz="0" w:space="0" w:color="auto"/>
                                            <w:bottom w:val="none" w:sz="0" w:space="0" w:color="auto"/>
                                            <w:right w:val="none" w:sz="0" w:space="0" w:color="auto"/>
                                          </w:divBdr>
                                          <w:divsChild>
                                            <w:div w:id="817645754">
                                              <w:marLeft w:val="0"/>
                                              <w:marRight w:val="0"/>
                                              <w:marTop w:val="0"/>
                                              <w:marBottom w:val="0"/>
                                              <w:divBdr>
                                                <w:top w:val="none" w:sz="0" w:space="0" w:color="auto"/>
                                                <w:left w:val="none" w:sz="0" w:space="0" w:color="auto"/>
                                                <w:bottom w:val="none" w:sz="0" w:space="0" w:color="auto"/>
                                                <w:right w:val="none" w:sz="0" w:space="0" w:color="auto"/>
                                              </w:divBdr>
                                              <w:divsChild>
                                                <w:div w:id="2084839511">
                                                  <w:marLeft w:val="0"/>
                                                  <w:marRight w:val="0"/>
                                                  <w:marTop w:val="240"/>
                                                  <w:marBottom w:val="240"/>
                                                  <w:divBdr>
                                                    <w:top w:val="single" w:sz="6" w:space="6" w:color="F2F2F2"/>
                                                    <w:left w:val="none" w:sz="0" w:space="0" w:color="auto"/>
                                                    <w:bottom w:val="single" w:sz="6" w:space="6" w:color="F2F2F2"/>
                                                    <w:right w:val="none" w:sz="0" w:space="0" w:color="auto"/>
                                                  </w:divBdr>
                                                </w:div>
                                                <w:div w:id="1425609016">
                                                  <w:marLeft w:val="0"/>
                                                  <w:marRight w:val="0"/>
                                                  <w:marTop w:val="0"/>
                                                  <w:marBottom w:val="0"/>
                                                  <w:divBdr>
                                                    <w:top w:val="none" w:sz="0" w:space="0" w:color="auto"/>
                                                    <w:left w:val="none" w:sz="0" w:space="0" w:color="auto"/>
                                                    <w:bottom w:val="none" w:sz="0" w:space="0" w:color="auto"/>
                                                    <w:right w:val="none" w:sz="0" w:space="0" w:color="auto"/>
                                                  </w:divBdr>
                                                  <w:divsChild>
                                                    <w:div w:id="10839927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856333">
      <w:bodyDiv w:val="1"/>
      <w:marLeft w:val="0"/>
      <w:marRight w:val="0"/>
      <w:marTop w:val="0"/>
      <w:marBottom w:val="0"/>
      <w:divBdr>
        <w:top w:val="none" w:sz="0" w:space="0" w:color="auto"/>
        <w:left w:val="none" w:sz="0" w:space="0" w:color="auto"/>
        <w:bottom w:val="none" w:sz="0" w:space="0" w:color="auto"/>
        <w:right w:val="none" w:sz="0" w:space="0" w:color="auto"/>
      </w:divBdr>
      <w:divsChild>
        <w:div w:id="585040450">
          <w:marLeft w:val="0"/>
          <w:marRight w:val="0"/>
          <w:marTop w:val="0"/>
          <w:marBottom w:val="0"/>
          <w:divBdr>
            <w:top w:val="none" w:sz="0" w:space="0" w:color="auto"/>
            <w:left w:val="none" w:sz="0" w:space="0" w:color="auto"/>
            <w:bottom w:val="none" w:sz="0" w:space="0" w:color="auto"/>
            <w:right w:val="none" w:sz="0" w:space="0" w:color="auto"/>
          </w:divBdr>
          <w:divsChild>
            <w:div w:id="1978486934">
              <w:marLeft w:val="0"/>
              <w:marRight w:val="0"/>
              <w:marTop w:val="0"/>
              <w:marBottom w:val="0"/>
              <w:divBdr>
                <w:top w:val="none" w:sz="0" w:space="0" w:color="auto"/>
                <w:left w:val="none" w:sz="0" w:space="0" w:color="auto"/>
                <w:bottom w:val="none" w:sz="0" w:space="0" w:color="auto"/>
                <w:right w:val="none" w:sz="0" w:space="0" w:color="auto"/>
              </w:divBdr>
              <w:divsChild>
                <w:div w:id="1064454769">
                  <w:marLeft w:val="0"/>
                  <w:marRight w:val="0"/>
                  <w:marTop w:val="0"/>
                  <w:marBottom w:val="0"/>
                  <w:divBdr>
                    <w:top w:val="none" w:sz="0" w:space="0" w:color="auto"/>
                    <w:left w:val="none" w:sz="0" w:space="0" w:color="auto"/>
                    <w:bottom w:val="none" w:sz="0" w:space="0" w:color="auto"/>
                    <w:right w:val="none" w:sz="0" w:space="0" w:color="auto"/>
                  </w:divBdr>
                  <w:divsChild>
                    <w:div w:id="1755008631">
                      <w:marLeft w:val="0"/>
                      <w:marRight w:val="0"/>
                      <w:marTop w:val="0"/>
                      <w:marBottom w:val="0"/>
                      <w:divBdr>
                        <w:top w:val="none" w:sz="0" w:space="0" w:color="auto"/>
                        <w:left w:val="none" w:sz="0" w:space="0" w:color="auto"/>
                        <w:bottom w:val="none" w:sz="0" w:space="0" w:color="auto"/>
                        <w:right w:val="none" w:sz="0" w:space="0" w:color="auto"/>
                      </w:divBdr>
                      <w:divsChild>
                        <w:div w:id="1756437909">
                          <w:marLeft w:val="0"/>
                          <w:marRight w:val="0"/>
                          <w:marTop w:val="0"/>
                          <w:marBottom w:val="0"/>
                          <w:divBdr>
                            <w:top w:val="none" w:sz="0" w:space="0" w:color="auto"/>
                            <w:left w:val="none" w:sz="0" w:space="0" w:color="auto"/>
                            <w:bottom w:val="none" w:sz="0" w:space="0" w:color="auto"/>
                            <w:right w:val="none" w:sz="0" w:space="0" w:color="auto"/>
                          </w:divBdr>
                          <w:divsChild>
                            <w:div w:id="453913486">
                              <w:marLeft w:val="0"/>
                              <w:marRight w:val="0"/>
                              <w:marTop w:val="0"/>
                              <w:marBottom w:val="0"/>
                              <w:divBdr>
                                <w:top w:val="none" w:sz="0" w:space="0" w:color="auto"/>
                                <w:left w:val="none" w:sz="0" w:space="0" w:color="auto"/>
                                <w:bottom w:val="none" w:sz="0" w:space="0" w:color="auto"/>
                                <w:right w:val="none" w:sz="0" w:space="0" w:color="auto"/>
                              </w:divBdr>
                              <w:divsChild>
                                <w:div w:id="1716929338">
                                  <w:marLeft w:val="0"/>
                                  <w:marRight w:val="0"/>
                                  <w:marTop w:val="0"/>
                                  <w:marBottom w:val="0"/>
                                  <w:divBdr>
                                    <w:top w:val="none" w:sz="0" w:space="0" w:color="auto"/>
                                    <w:left w:val="none" w:sz="0" w:space="0" w:color="auto"/>
                                    <w:bottom w:val="none" w:sz="0" w:space="0" w:color="auto"/>
                                    <w:right w:val="none" w:sz="0" w:space="0" w:color="auto"/>
                                  </w:divBdr>
                                  <w:divsChild>
                                    <w:div w:id="934752349">
                                      <w:marLeft w:val="0"/>
                                      <w:marRight w:val="0"/>
                                      <w:marTop w:val="0"/>
                                      <w:marBottom w:val="0"/>
                                      <w:divBdr>
                                        <w:top w:val="none" w:sz="0" w:space="0" w:color="auto"/>
                                        <w:left w:val="none" w:sz="0" w:space="0" w:color="auto"/>
                                        <w:bottom w:val="none" w:sz="0" w:space="0" w:color="auto"/>
                                        <w:right w:val="none" w:sz="0" w:space="0" w:color="auto"/>
                                      </w:divBdr>
                                      <w:divsChild>
                                        <w:div w:id="1288900881">
                                          <w:marLeft w:val="0"/>
                                          <w:marRight w:val="0"/>
                                          <w:marTop w:val="0"/>
                                          <w:marBottom w:val="0"/>
                                          <w:divBdr>
                                            <w:top w:val="none" w:sz="0" w:space="0" w:color="auto"/>
                                            <w:left w:val="none" w:sz="0" w:space="0" w:color="auto"/>
                                            <w:bottom w:val="none" w:sz="0" w:space="0" w:color="auto"/>
                                            <w:right w:val="none" w:sz="0" w:space="0" w:color="auto"/>
                                          </w:divBdr>
                                          <w:divsChild>
                                            <w:div w:id="2029746847">
                                              <w:marLeft w:val="0"/>
                                              <w:marRight w:val="0"/>
                                              <w:marTop w:val="0"/>
                                              <w:marBottom w:val="0"/>
                                              <w:divBdr>
                                                <w:top w:val="none" w:sz="0" w:space="0" w:color="auto"/>
                                                <w:left w:val="none" w:sz="0" w:space="0" w:color="auto"/>
                                                <w:bottom w:val="none" w:sz="0" w:space="0" w:color="auto"/>
                                                <w:right w:val="none" w:sz="0" w:space="0" w:color="auto"/>
                                              </w:divBdr>
                                              <w:divsChild>
                                                <w:div w:id="317272771">
                                                  <w:marLeft w:val="0"/>
                                                  <w:marRight w:val="0"/>
                                                  <w:marTop w:val="0"/>
                                                  <w:marBottom w:val="0"/>
                                                  <w:divBdr>
                                                    <w:top w:val="none" w:sz="0" w:space="0" w:color="auto"/>
                                                    <w:left w:val="none" w:sz="0" w:space="0" w:color="auto"/>
                                                    <w:bottom w:val="none" w:sz="0" w:space="0" w:color="auto"/>
                                                    <w:right w:val="none" w:sz="0" w:space="0" w:color="auto"/>
                                                  </w:divBdr>
                                                  <w:divsChild>
                                                    <w:div w:id="261688872">
                                                      <w:marLeft w:val="0"/>
                                                      <w:marRight w:val="0"/>
                                                      <w:marTop w:val="0"/>
                                                      <w:marBottom w:val="0"/>
                                                      <w:divBdr>
                                                        <w:top w:val="none" w:sz="0" w:space="0" w:color="auto"/>
                                                        <w:left w:val="none" w:sz="0" w:space="0" w:color="auto"/>
                                                        <w:bottom w:val="none" w:sz="0" w:space="0" w:color="auto"/>
                                                        <w:right w:val="none" w:sz="0" w:space="0" w:color="auto"/>
                                                      </w:divBdr>
                                                      <w:divsChild>
                                                        <w:div w:id="1566834722">
                                                          <w:marLeft w:val="0"/>
                                                          <w:marRight w:val="0"/>
                                                          <w:marTop w:val="0"/>
                                                          <w:marBottom w:val="0"/>
                                                          <w:divBdr>
                                                            <w:top w:val="none" w:sz="0" w:space="0" w:color="auto"/>
                                                            <w:left w:val="none" w:sz="0" w:space="0" w:color="auto"/>
                                                            <w:bottom w:val="none" w:sz="0" w:space="0" w:color="auto"/>
                                                            <w:right w:val="none" w:sz="0" w:space="0" w:color="auto"/>
                                                          </w:divBdr>
                                                          <w:divsChild>
                                                            <w:div w:id="555091804">
                                                              <w:marLeft w:val="0"/>
                                                              <w:marRight w:val="0"/>
                                                              <w:marTop w:val="0"/>
                                                              <w:marBottom w:val="0"/>
                                                              <w:divBdr>
                                                                <w:top w:val="none" w:sz="0" w:space="0" w:color="auto"/>
                                                                <w:left w:val="none" w:sz="0" w:space="0" w:color="auto"/>
                                                                <w:bottom w:val="none" w:sz="0" w:space="0" w:color="auto"/>
                                                                <w:right w:val="none" w:sz="0" w:space="0" w:color="auto"/>
                                                              </w:divBdr>
                                                              <w:divsChild>
                                                                <w:div w:id="1842693069">
                                                                  <w:marLeft w:val="0"/>
                                                                  <w:marRight w:val="0"/>
                                                                  <w:marTop w:val="0"/>
                                                                  <w:marBottom w:val="0"/>
                                                                  <w:divBdr>
                                                                    <w:top w:val="none" w:sz="0" w:space="0" w:color="auto"/>
                                                                    <w:left w:val="none" w:sz="0" w:space="0" w:color="auto"/>
                                                                    <w:bottom w:val="none" w:sz="0" w:space="0" w:color="auto"/>
                                                                    <w:right w:val="none" w:sz="0" w:space="0" w:color="auto"/>
                                                                  </w:divBdr>
                                                                  <w:divsChild>
                                                                    <w:div w:id="1714114655">
                                                                      <w:marLeft w:val="0"/>
                                                                      <w:marRight w:val="0"/>
                                                                      <w:marTop w:val="0"/>
                                                                      <w:marBottom w:val="0"/>
                                                                      <w:divBdr>
                                                                        <w:top w:val="none" w:sz="0" w:space="0" w:color="auto"/>
                                                                        <w:left w:val="none" w:sz="0" w:space="0" w:color="auto"/>
                                                                        <w:bottom w:val="none" w:sz="0" w:space="0" w:color="auto"/>
                                                                        <w:right w:val="none" w:sz="0" w:space="0" w:color="auto"/>
                                                                      </w:divBdr>
                                                                      <w:divsChild>
                                                                        <w:div w:id="1311638838">
                                                                          <w:marLeft w:val="0"/>
                                                                          <w:marRight w:val="0"/>
                                                                          <w:marTop w:val="0"/>
                                                                          <w:marBottom w:val="0"/>
                                                                          <w:divBdr>
                                                                            <w:top w:val="none" w:sz="0" w:space="0" w:color="auto"/>
                                                                            <w:left w:val="none" w:sz="0" w:space="0" w:color="auto"/>
                                                                            <w:bottom w:val="none" w:sz="0" w:space="0" w:color="auto"/>
                                                                            <w:right w:val="none" w:sz="0" w:space="0" w:color="auto"/>
                                                                          </w:divBdr>
                                                                          <w:divsChild>
                                                                            <w:div w:id="933123674">
                                                                              <w:marLeft w:val="0"/>
                                                                              <w:marRight w:val="0"/>
                                                                              <w:marTop w:val="0"/>
                                                                              <w:marBottom w:val="0"/>
                                                                              <w:divBdr>
                                                                                <w:top w:val="none" w:sz="0" w:space="0" w:color="auto"/>
                                                                                <w:left w:val="none" w:sz="0" w:space="0" w:color="auto"/>
                                                                                <w:bottom w:val="none" w:sz="0" w:space="0" w:color="auto"/>
                                                                                <w:right w:val="none" w:sz="0" w:space="0" w:color="auto"/>
                                                                              </w:divBdr>
                                                                              <w:divsChild>
                                                                                <w:div w:id="480929710">
                                                                                  <w:marLeft w:val="0"/>
                                                                                  <w:marRight w:val="0"/>
                                                                                  <w:marTop w:val="0"/>
                                                                                  <w:marBottom w:val="0"/>
                                                                                  <w:divBdr>
                                                                                    <w:top w:val="none" w:sz="0" w:space="0" w:color="auto"/>
                                                                                    <w:left w:val="none" w:sz="0" w:space="0" w:color="auto"/>
                                                                                    <w:bottom w:val="none" w:sz="0" w:space="0" w:color="auto"/>
                                                                                    <w:right w:val="none" w:sz="0" w:space="0" w:color="auto"/>
                                                                                  </w:divBdr>
                                                                                  <w:divsChild>
                                                                                    <w:div w:id="631012463">
                                                                                      <w:marLeft w:val="0"/>
                                                                                      <w:marRight w:val="0"/>
                                                                                      <w:marTop w:val="0"/>
                                                                                      <w:marBottom w:val="0"/>
                                                                                      <w:divBdr>
                                                                                        <w:top w:val="none" w:sz="0" w:space="0" w:color="auto"/>
                                                                                        <w:left w:val="none" w:sz="0" w:space="0" w:color="auto"/>
                                                                                        <w:bottom w:val="none" w:sz="0" w:space="0" w:color="auto"/>
                                                                                        <w:right w:val="none" w:sz="0" w:space="0" w:color="auto"/>
                                                                                      </w:divBdr>
                                                                                    </w:div>
                                                                                    <w:div w:id="1256787133">
                                                                                      <w:marLeft w:val="0"/>
                                                                                      <w:marRight w:val="0"/>
                                                                                      <w:marTop w:val="0"/>
                                                                                      <w:marBottom w:val="0"/>
                                                                                      <w:divBdr>
                                                                                        <w:top w:val="none" w:sz="0" w:space="0" w:color="auto"/>
                                                                                        <w:left w:val="none" w:sz="0" w:space="0" w:color="auto"/>
                                                                                        <w:bottom w:val="none" w:sz="0" w:space="0" w:color="auto"/>
                                                                                        <w:right w:val="none" w:sz="0" w:space="0" w:color="auto"/>
                                                                                      </w:divBdr>
                                                                                    </w:div>
                                                                                    <w:div w:id="677075273">
                                                                                      <w:marLeft w:val="0"/>
                                                                                      <w:marRight w:val="0"/>
                                                                                      <w:marTop w:val="0"/>
                                                                                      <w:marBottom w:val="0"/>
                                                                                      <w:divBdr>
                                                                                        <w:top w:val="none" w:sz="0" w:space="0" w:color="auto"/>
                                                                                        <w:left w:val="none" w:sz="0" w:space="0" w:color="auto"/>
                                                                                        <w:bottom w:val="none" w:sz="0" w:space="0" w:color="auto"/>
                                                                                        <w:right w:val="none" w:sz="0" w:space="0" w:color="auto"/>
                                                                                      </w:divBdr>
                                                                                    </w:div>
                                                                                    <w:div w:id="2037848158">
                                                                                      <w:marLeft w:val="0"/>
                                                                                      <w:marRight w:val="0"/>
                                                                                      <w:marTop w:val="0"/>
                                                                                      <w:marBottom w:val="0"/>
                                                                                      <w:divBdr>
                                                                                        <w:top w:val="none" w:sz="0" w:space="0" w:color="auto"/>
                                                                                        <w:left w:val="none" w:sz="0" w:space="0" w:color="auto"/>
                                                                                        <w:bottom w:val="none" w:sz="0" w:space="0" w:color="auto"/>
                                                                                        <w:right w:val="none" w:sz="0" w:space="0" w:color="auto"/>
                                                                                      </w:divBdr>
                                                                                    </w:div>
                                                                                    <w:div w:id="1714235375">
                                                                                      <w:marLeft w:val="0"/>
                                                                                      <w:marRight w:val="0"/>
                                                                                      <w:marTop w:val="0"/>
                                                                                      <w:marBottom w:val="0"/>
                                                                                      <w:divBdr>
                                                                                        <w:top w:val="none" w:sz="0" w:space="0" w:color="auto"/>
                                                                                        <w:left w:val="none" w:sz="0" w:space="0" w:color="auto"/>
                                                                                        <w:bottom w:val="none" w:sz="0" w:space="0" w:color="auto"/>
                                                                                        <w:right w:val="none" w:sz="0" w:space="0" w:color="auto"/>
                                                                                      </w:divBdr>
                                                                                    </w:div>
                                                                                    <w:div w:id="145515700">
                                                                                      <w:marLeft w:val="0"/>
                                                                                      <w:marRight w:val="0"/>
                                                                                      <w:marTop w:val="0"/>
                                                                                      <w:marBottom w:val="0"/>
                                                                                      <w:divBdr>
                                                                                        <w:top w:val="none" w:sz="0" w:space="0" w:color="auto"/>
                                                                                        <w:left w:val="none" w:sz="0" w:space="0" w:color="auto"/>
                                                                                        <w:bottom w:val="none" w:sz="0" w:space="0" w:color="auto"/>
                                                                                        <w:right w:val="none" w:sz="0" w:space="0" w:color="auto"/>
                                                                                      </w:divBdr>
                                                                                    </w:div>
                                                                                    <w:div w:id="1661806736">
                                                                                      <w:marLeft w:val="0"/>
                                                                                      <w:marRight w:val="0"/>
                                                                                      <w:marTop w:val="0"/>
                                                                                      <w:marBottom w:val="0"/>
                                                                                      <w:divBdr>
                                                                                        <w:top w:val="none" w:sz="0" w:space="0" w:color="auto"/>
                                                                                        <w:left w:val="none" w:sz="0" w:space="0" w:color="auto"/>
                                                                                        <w:bottom w:val="none" w:sz="0" w:space="0" w:color="auto"/>
                                                                                        <w:right w:val="none" w:sz="0" w:space="0" w:color="auto"/>
                                                                                      </w:divBdr>
                                                                                    </w:div>
                                                                                    <w:div w:id="5273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321214">
      <w:bodyDiv w:val="1"/>
      <w:marLeft w:val="0"/>
      <w:marRight w:val="0"/>
      <w:marTop w:val="0"/>
      <w:marBottom w:val="0"/>
      <w:divBdr>
        <w:top w:val="none" w:sz="0" w:space="0" w:color="auto"/>
        <w:left w:val="none" w:sz="0" w:space="0" w:color="auto"/>
        <w:bottom w:val="none" w:sz="0" w:space="0" w:color="auto"/>
        <w:right w:val="none" w:sz="0" w:space="0" w:color="auto"/>
      </w:divBdr>
      <w:divsChild>
        <w:div w:id="762800827">
          <w:marLeft w:val="0"/>
          <w:marRight w:val="0"/>
          <w:marTop w:val="0"/>
          <w:marBottom w:val="0"/>
          <w:divBdr>
            <w:top w:val="none" w:sz="0" w:space="0" w:color="auto"/>
            <w:left w:val="none" w:sz="0" w:space="0" w:color="auto"/>
            <w:bottom w:val="none" w:sz="0" w:space="0" w:color="auto"/>
            <w:right w:val="none" w:sz="0" w:space="0" w:color="auto"/>
          </w:divBdr>
          <w:divsChild>
            <w:div w:id="896362174">
              <w:marLeft w:val="0"/>
              <w:marRight w:val="0"/>
              <w:marTop w:val="0"/>
              <w:marBottom w:val="0"/>
              <w:divBdr>
                <w:top w:val="none" w:sz="0" w:space="0" w:color="auto"/>
                <w:left w:val="none" w:sz="0" w:space="0" w:color="auto"/>
                <w:bottom w:val="none" w:sz="0" w:space="0" w:color="auto"/>
                <w:right w:val="none" w:sz="0" w:space="0" w:color="auto"/>
              </w:divBdr>
              <w:divsChild>
                <w:div w:id="583730114">
                  <w:marLeft w:val="0"/>
                  <w:marRight w:val="0"/>
                  <w:marTop w:val="100"/>
                  <w:marBottom w:val="100"/>
                  <w:divBdr>
                    <w:top w:val="none" w:sz="0" w:space="0" w:color="auto"/>
                    <w:left w:val="none" w:sz="0" w:space="0" w:color="auto"/>
                    <w:bottom w:val="none" w:sz="0" w:space="0" w:color="auto"/>
                    <w:right w:val="none" w:sz="0" w:space="0" w:color="auto"/>
                  </w:divBdr>
                  <w:divsChild>
                    <w:div w:id="65886782">
                      <w:marLeft w:val="0"/>
                      <w:marRight w:val="0"/>
                      <w:marTop w:val="0"/>
                      <w:marBottom w:val="0"/>
                      <w:divBdr>
                        <w:top w:val="none" w:sz="0" w:space="0" w:color="auto"/>
                        <w:left w:val="none" w:sz="0" w:space="0" w:color="auto"/>
                        <w:bottom w:val="none" w:sz="0" w:space="0" w:color="auto"/>
                        <w:right w:val="none" w:sz="0" w:space="0" w:color="auto"/>
                      </w:divBdr>
                      <w:divsChild>
                        <w:div w:id="1697804359">
                          <w:marLeft w:val="0"/>
                          <w:marRight w:val="0"/>
                          <w:marTop w:val="0"/>
                          <w:marBottom w:val="0"/>
                          <w:divBdr>
                            <w:top w:val="none" w:sz="0" w:space="0" w:color="auto"/>
                            <w:left w:val="none" w:sz="0" w:space="0" w:color="auto"/>
                            <w:bottom w:val="none" w:sz="0" w:space="0" w:color="auto"/>
                            <w:right w:val="none" w:sz="0" w:space="0" w:color="auto"/>
                          </w:divBdr>
                          <w:divsChild>
                            <w:div w:id="1652294826">
                              <w:marLeft w:val="0"/>
                              <w:marRight w:val="0"/>
                              <w:marTop w:val="0"/>
                              <w:marBottom w:val="0"/>
                              <w:divBdr>
                                <w:top w:val="none" w:sz="0" w:space="0" w:color="auto"/>
                                <w:left w:val="none" w:sz="0" w:space="0" w:color="auto"/>
                                <w:bottom w:val="none" w:sz="0" w:space="0" w:color="auto"/>
                                <w:right w:val="none" w:sz="0" w:space="0" w:color="auto"/>
                              </w:divBdr>
                              <w:divsChild>
                                <w:div w:id="1027289034">
                                  <w:marLeft w:val="0"/>
                                  <w:marRight w:val="0"/>
                                  <w:marTop w:val="0"/>
                                  <w:marBottom w:val="0"/>
                                  <w:divBdr>
                                    <w:top w:val="none" w:sz="0" w:space="0" w:color="auto"/>
                                    <w:left w:val="none" w:sz="0" w:space="0" w:color="auto"/>
                                    <w:bottom w:val="none" w:sz="0" w:space="0" w:color="auto"/>
                                    <w:right w:val="none" w:sz="0" w:space="0" w:color="auto"/>
                                  </w:divBdr>
                                  <w:divsChild>
                                    <w:div w:id="1827549566">
                                      <w:marLeft w:val="0"/>
                                      <w:marRight w:val="0"/>
                                      <w:marTop w:val="0"/>
                                      <w:marBottom w:val="0"/>
                                      <w:divBdr>
                                        <w:top w:val="none" w:sz="0" w:space="0" w:color="auto"/>
                                        <w:left w:val="none" w:sz="0" w:space="0" w:color="auto"/>
                                        <w:bottom w:val="none" w:sz="0" w:space="0" w:color="auto"/>
                                        <w:right w:val="none" w:sz="0" w:space="0" w:color="auto"/>
                                      </w:divBdr>
                                      <w:divsChild>
                                        <w:div w:id="271478434">
                                          <w:marLeft w:val="0"/>
                                          <w:marRight w:val="0"/>
                                          <w:marTop w:val="0"/>
                                          <w:marBottom w:val="0"/>
                                          <w:divBdr>
                                            <w:top w:val="none" w:sz="0" w:space="0" w:color="auto"/>
                                            <w:left w:val="none" w:sz="0" w:space="0" w:color="auto"/>
                                            <w:bottom w:val="none" w:sz="0" w:space="0" w:color="auto"/>
                                            <w:right w:val="none" w:sz="0" w:space="0" w:color="auto"/>
                                          </w:divBdr>
                                          <w:divsChild>
                                            <w:div w:id="1789854804">
                                              <w:marLeft w:val="0"/>
                                              <w:marRight w:val="0"/>
                                              <w:marTop w:val="0"/>
                                              <w:marBottom w:val="0"/>
                                              <w:divBdr>
                                                <w:top w:val="single" w:sz="4" w:space="0" w:color="B6D444"/>
                                                <w:left w:val="none" w:sz="0" w:space="0" w:color="auto"/>
                                                <w:bottom w:val="none" w:sz="0" w:space="0" w:color="auto"/>
                                                <w:right w:val="none" w:sz="0" w:space="0" w:color="auto"/>
                                              </w:divBdr>
                                              <w:divsChild>
                                                <w:div w:id="4058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394742">
      <w:bodyDiv w:val="1"/>
      <w:marLeft w:val="0"/>
      <w:marRight w:val="0"/>
      <w:marTop w:val="0"/>
      <w:marBottom w:val="0"/>
      <w:divBdr>
        <w:top w:val="none" w:sz="0" w:space="0" w:color="auto"/>
        <w:left w:val="none" w:sz="0" w:space="0" w:color="auto"/>
        <w:bottom w:val="none" w:sz="0" w:space="0" w:color="auto"/>
        <w:right w:val="none" w:sz="0" w:space="0" w:color="auto"/>
      </w:divBdr>
      <w:divsChild>
        <w:div w:id="1043562039">
          <w:marLeft w:val="0"/>
          <w:marRight w:val="0"/>
          <w:marTop w:val="0"/>
          <w:marBottom w:val="0"/>
          <w:divBdr>
            <w:top w:val="none" w:sz="0" w:space="0" w:color="auto"/>
            <w:left w:val="none" w:sz="0" w:space="0" w:color="auto"/>
            <w:bottom w:val="none" w:sz="0" w:space="0" w:color="auto"/>
            <w:right w:val="none" w:sz="0" w:space="0" w:color="auto"/>
          </w:divBdr>
        </w:div>
      </w:divsChild>
    </w:div>
    <w:div w:id="735586189">
      <w:bodyDiv w:val="1"/>
      <w:marLeft w:val="0"/>
      <w:marRight w:val="0"/>
      <w:marTop w:val="0"/>
      <w:marBottom w:val="0"/>
      <w:divBdr>
        <w:top w:val="none" w:sz="0" w:space="0" w:color="auto"/>
        <w:left w:val="none" w:sz="0" w:space="0" w:color="auto"/>
        <w:bottom w:val="none" w:sz="0" w:space="0" w:color="auto"/>
        <w:right w:val="none" w:sz="0" w:space="0" w:color="auto"/>
      </w:divBdr>
      <w:divsChild>
        <w:div w:id="1424913187">
          <w:marLeft w:val="0"/>
          <w:marRight w:val="0"/>
          <w:marTop w:val="0"/>
          <w:marBottom w:val="0"/>
          <w:divBdr>
            <w:top w:val="none" w:sz="0" w:space="0" w:color="auto"/>
            <w:left w:val="none" w:sz="0" w:space="0" w:color="auto"/>
            <w:bottom w:val="none" w:sz="0" w:space="0" w:color="auto"/>
            <w:right w:val="none" w:sz="0" w:space="0" w:color="auto"/>
          </w:divBdr>
        </w:div>
        <w:div w:id="599946586">
          <w:marLeft w:val="0"/>
          <w:marRight w:val="0"/>
          <w:marTop w:val="0"/>
          <w:marBottom w:val="150"/>
          <w:divBdr>
            <w:top w:val="none" w:sz="0" w:space="0" w:color="auto"/>
            <w:left w:val="none" w:sz="0" w:space="0" w:color="auto"/>
            <w:bottom w:val="none" w:sz="0" w:space="0" w:color="auto"/>
            <w:right w:val="none" w:sz="0" w:space="0" w:color="auto"/>
          </w:divBdr>
          <w:divsChild>
            <w:div w:id="961153676">
              <w:marLeft w:val="0"/>
              <w:marRight w:val="0"/>
              <w:marTop w:val="240"/>
              <w:marBottom w:val="240"/>
              <w:divBdr>
                <w:top w:val="single" w:sz="6" w:space="6" w:color="F2F2F2"/>
                <w:left w:val="none" w:sz="0" w:space="0" w:color="auto"/>
                <w:bottom w:val="single" w:sz="6" w:space="6" w:color="F2F2F2"/>
                <w:right w:val="none" w:sz="0" w:space="0" w:color="auto"/>
              </w:divBdr>
            </w:div>
            <w:div w:id="427235547">
              <w:marLeft w:val="0"/>
              <w:marRight w:val="0"/>
              <w:marTop w:val="0"/>
              <w:marBottom w:val="0"/>
              <w:divBdr>
                <w:top w:val="none" w:sz="0" w:space="0" w:color="auto"/>
                <w:left w:val="none" w:sz="0" w:space="0" w:color="auto"/>
                <w:bottom w:val="none" w:sz="0" w:space="0" w:color="auto"/>
                <w:right w:val="none" w:sz="0" w:space="0" w:color="auto"/>
              </w:divBdr>
              <w:divsChild>
                <w:div w:id="913706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6519230">
      <w:bodyDiv w:val="1"/>
      <w:marLeft w:val="0"/>
      <w:marRight w:val="0"/>
      <w:marTop w:val="0"/>
      <w:marBottom w:val="0"/>
      <w:divBdr>
        <w:top w:val="none" w:sz="0" w:space="0" w:color="auto"/>
        <w:left w:val="none" w:sz="0" w:space="0" w:color="auto"/>
        <w:bottom w:val="none" w:sz="0" w:space="0" w:color="auto"/>
        <w:right w:val="none" w:sz="0" w:space="0" w:color="auto"/>
      </w:divBdr>
      <w:divsChild>
        <w:div w:id="350373177">
          <w:marLeft w:val="0"/>
          <w:marRight w:val="0"/>
          <w:marTop w:val="0"/>
          <w:marBottom w:val="100"/>
          <w:divBdr>
            <w:top w:val="none" w:sz="0" w:space="0" w:color="auto"/>
            <w:left w:val="none" w:sz="0" w:space="0" w:color="auto"/>
            <w:bottom w:val="none" w:sz="0" w:space="0" w:color="auto"/>
            <w:right w:val="none" w:sz="0" w:space="0" w:color="auto"/>
          </w:divBdr>
        </w:div>
      </w:divsChild>
    </w:div>
    <w:div w:id="736826150">
      <w:bodyDiv w:val="1"/>
      <w:marLeft w:val="0"/>
      <w:marRight w:val="0"/>
      <w:marTop w:val="0"/>
      <w:marBottom w:val="0"/>
      <w:divBdr>
        <w:top w:val="none" w:sz="0" w:space="0" w:color="auto"/>
        <w:left w:val="none" w:sz="0" w:space="0" w:color="auto"/>
        <w:bottom w:val="none" w:sz="0" w:space="0" w:color="auto"/>
        <w:right w:val="none" w:sz="0" w:space="0" w:color="auto"/>
      </w:divBdr>
      <w:divsChild>
        <w:div w:id="777675210">
          <w:marLeft w:val="0"/>
          <w:marRight w:val="0"/>
          <w:marTop w:val="0"/>
          <w:marBottom w:val="0"/>
          <w:divBdr>
            <w:top w:val="single" w:sz="2" w:space="0" w:color="AAAAAA"/>
            <w:left w:val="single" w:sz="6" w:space="8" w:color="AAAAAA"/>
            <w:bottom w:val="single" w:sz="2" w:space="0" w:color="AAAAAA"/>
            <w:right w:val="single" w:sz="6" w:space="8" w:color="AAAAAA"/>
          </w:divBdr>
          <w:divsChild>
            <w:div w:id="1898347600">
              <w:marLeft w:val="0"/>
              <w:marRight w:val="0"/>
              <w:marTop w:val="0"/>
              <w:marBottom w:val="0"/>
              <w:divBdr>
                <w:top w:val="none" w:sz="0" w:space="0" w:color="auto"/>
                <w:left w:val="none" w:sz="0" w:space="0" w:color="auto"/>
                <w:bottom w:val="none" w:sz="0" w:space="0" w:color="auto"/>
                <w:right w:val="none" w:sz="0" w:space="0" w:color="auto"/>
              </w:divBdr>
              <w:divsChild>
                <w:div w:id="1679042866">
                  <w:marLeft w:val="0"/>
                  <w:marRight w:val="0"/>
                  <w:marTop w:val="0"/>
                  <w:marBottom w:val="0"/>
                  <w:divBdr>
                    <w:top w:val="none" w:sz="0" w:space="0" w:color="auto"/>
                    <w:left w:val="none" w:sz="0" w:space="0" w:color="auto"/>
                    <w:bottom w:val="none" w:sz="0" w:space="0" w:color="auto"/>
                    <w:right w:val="none" w:sz="0" w:space="0" w:color="auto"/>
                  </w:divBdr>
                  <w:divsChild>
                    <w:div w:id="503135045">
                      <w:marLeft w:val="0"/>
                      <w:marRight w:val="2550"/>
                      <w:marTop w:val="0"/>
                      <w:marBottom w:val="48"/>
                      <w:divBdr>
                        <w:top w:val="none" w:sz="0" w:space="0" w:color="auto"/>
                        <w:left w:val="none" w:sz="0" w:space="0" w:color="auto"/>
                        <w:bottom w:val="none" w:sz="0" w:space="0" w:color="auto"/>
                        <w:right w:val="none" w:sz="0" w:space="0" w:color="auto"/>
                      </w:divBdr>
                      <w:divsChild>
                        <w:div w:id="988558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38749119">
      <w:bodyDiv w:val="1"/>
      <w:marLeft w:val="0"/>
      <w:marRight w:val="0"/>
      <w:marTop w:val="0"/>
      <w:marBottom w:val="0"/>
      <w:divBdr>
        <w:top w:val="none" w:sz="0" w:space="0" w:color="auto"/>
        <w:left w:val="none" w:sz="0" w:space="0" w:color="auto"/>
        <w:bottom w:val="none" w:sz="0" w:space="0" w:color="auto"/>
        <w:right w:val="none" w:sz="0" w:space="0" w:color="auto"/>
      </w:divBdr>
      <w:divsChild>
        <w:div w:id="1488474522">
          <w:marLeft w:val="0"/>
          <w:marRight w:val="0"/>
          <w:marTop w:val="0"/>
          <w:marBottom w:val="0"/>
          <w:divBdr>
            <w:top w:val="none" w:sz="0" w:space="0" w:color="auto"/>
            <w:left w:val="none" w:sz="0" w:space="0" w:color="auto"/>
            <w:bottom w:val="none" w:sz="0" w:space="0" w:color="auto"/>
            <w:right w:val="none" w:sz="0" w:space="0" w:color="auto"/>
          </w:divBdr>
          <w:divsChild>
            <w:div w:id="1347636679">
              <w:marLeft w:val="0"/>
              <w:marRight w:val="0"/>
              <w:marTop w:val="0"/>
              <w:marBottom w:val="0"/>
              <w:divBdr>
                <w:top w:val="none" w:sz="0" w:space="0" w:color="auto"/>
                <w:left w:val="none" w:sz="0" w:space="0" w:color="auto"/>
                <w:bottom w:val="none" w:sz="0" w:space="0" w:color="auto"/>
                <w:right w:val="none" w:sz="0" w:space="0" w:color="auto"/>
              </w:divBdr>
              <w:divsChild>
                <w:div w:id="192767692">
                  <w:marLeft w:val="0"/>
                  <w:marRight w:val="0"/>
                  <w:marTop w:val="0"/>
                  <w:marBottom w:val="0"/>
                  <w:divBdr>
                    <w:top w:val="none" w:sz="0" w:space="0" w:color="auto"/>
                    <w:left w:val="none" w:sz="0" w:space="0" w:color="auto"/>
                    <w:bottom w:val="none" w:sz="0" w:space="0" w:color="auto"/>
                    <w:right w:val="none" w:sz="0" w:space="0" w:color="auto"/>
                  </w:divBdr>
                  <w:divsChild>
                    <w:div w:id="1962764375">
                      <w:marLeft w:val="0"/>
                      <w:marRight w:val="0"/>
                      <w:marTop w:val="0"/>
                      <w:marBottom w:val="0"/>
                      <w:divBdr>
                        <w:top w:val="none" w:sz="0" w:space="0" w:color="auto"/>
                        <w:left w:val="none" w:sz="0" w:space="0" w:color="auto"/>
                        <w:bottom w:val="none" w:sz="0" w:space="0" w:color="auto"/>
                        <w:right w:val="none" w:sz="0" w:space="0" w:color="auto"/>
                      </w:divBdr>
                      <w:divsChild>
                        <w:div w:id="263224155">
                          <w:marLeft w:val="0"/>
                          <w:marRight w:val="0"/>
                          <w:marTop w:val="0"/>
                          <w:marBottom w:val="0"/>
                          <w:divBdr>
                            <w:top w:val="none" w:sz="0" w:space="0" w:color="auto"/>
                            <w:left w:val="none" w:sz="0" w:space="0" w:color="auto"/>
                            <w:bottom w:val="none" w:sz="0" w:space="0" w:color="auto"/>
                            <w:right w:val="none" w:sz="0" w:space="0" w:color="auto"/>
                          </w:divBdr>
                          <w:divsChild>
                            <w:div w:id="733433034">
                              <w:marLeft w:val="0"/>
                              <w:marRight w:val="0"/>
                              <w:marTop w:val="0"/>
                              <w:marBottom w:val="0"/>
                              <w:divBdr>
                                <w:top w:val="none" w:sz="0" w:space="0" w:color="auto"/>
                                <w:left w:val="none" w:sz="0" w:space="0" w:color="auto"/>
                                <w:bottom w:val="none" w:sz="0" w:space="0" w:color="auto"/>
                                <w:right w:val="none" w:sz="0" w:space="0" w:color="auto"/>
                              </w:divBdr>
                              <w:divsChild>
                                <w:div w:id="467627203">
                                  <w:marLeft w:val="0"/>
                                  <w:marRight w:val="0"/>
                                  <w:marTop w:val="0"/>
                                  <w:marBottom w:val="0"/>
                                  <w:divBdr>
                                    <w:top w:val="none" w:sz="0" w:space="0" w:color="auto"/>
                                    <w:left w:val="none" w:sz="0" w:space="0" w:color="auto"/>
                                    <w:bottom w:val="none" w:sz="0" w:space="0" w:color="auto"/>
                                    <w:right w:val="none" w:sz="0" w:space="0" w:color="auto"/>
                                  </w:divBdr>
                                  <w:divsChild>
                                    <w:div w:id="74741949">
                                      <w:marLeft w:val="0"/>
                                      <w:marRight w:val="0"/>
                                      <w:marTop w:val="0"/>
                                      <w:marBottom w:val="0"/>
                                      <w:divBdr>
                                        <w:top w:val="none" w:sz="0" w:space="0" w:color="auto"/>
                                        <w:left w:val="none" w:sz="0" w:space="0" w:color="auto"/>
                                        <w:bottom w:val="none" w:sz="0" w:space="0" w:color="auto"/>
                                        <w:right w:val="none" w:sz="0" w:space="0" w:color="auto"/>
                                      </w:divBdr>
                                      <w:divsChild>
                                        <w:div w:id="1970741093">
                                          <w:marLeft w:val="0"/>
                                          <w:marRight w:val="0"/>
                                          <w:marTop w:val="0"/>
                                          <w:marBottom w:val="0"/>
                                          <w:divBdr>
                                            <w:top w:val="none" w:sz="0" w:space="0" w:color="auto"/>
                                            <w:left w:val="none" w:sz="0" w:space="0" w:color="auto"/>
                                            <w:bottom w:val="none" w:sz="0" w:space="0" w:color="auto"/>
                                            <w:right w:val="none" w:sz="0" w:space="0" w:color="auto"/>
                                          </w:divBdr>
                                          <w:divsChild>
                                            <w:div w:id="417144330">
                                              <w:marLeft w:val="0"/>
                                              <w:marRight w:val="0"/>
                                              <w:marTop w:val="0"/>
                                              <w:marBottom w:val="0"/>
                                              <w:divBdr>
                                                <w:top w:val="none" w:sz="0" w:space="0" w:color="auto"/>
                                                <w:left w:val="none" w:sz="0" w:space="0" w:color="auto"/>
                                                <w:bottom w:val="none" w:sz="0" w:space="0" w:color="auto"/>
                                                <w:right w:val="none" w:sz="0" w:space="0" w:color="auto"/>
                                              </w:divBdr>
                                              <w:divsChild>
                                                <w:div w:id="1838298863">
                                                  <w:marLeft w:val="0"/>
                                                  <w:marRight w:val="0"/>
                                                  <w:marTop w:val="0"/>
                                                  <w:marBottom w:val="0"/>
                                                  <w:divBdr>
                                                    <w:top w:val="none" w:sz="0" w:space="0" w:color="auto"/>
                                                    <w:left w:val="none" w:sz="0" w:space="0" w:color="auto"/>
                                                    <w:bottom w:val="none" w:sz="0" w:space="0" w:color="auto"/>
                                                    <w:right w:val="none" w:sz="0" w:space="0" w:color="auto"/>
                                                  </w:divBdr>
                                                  <w:divsChild>
                                                    <w:div w:id="730007569">
                                                      <w:marLeft w:val="0"/>
                                                      <w:marRight w:val="0"/>
                                                      <w:marTop w:val="0"/>
                                                      <w:marBottom w:val="0"/>
                                                      <w:divBdr>
                                                        <w:top w:val="none" w:sz="0" w:space="0" w:color="auto"/>
                                                        <w:left w:val="none" w:sz="0" w:space="0" w:color="auto"/>
                                                        <w:bottom w:val="none" w:sz="0" w:space="0" w:color="auto"/>
                                                        <w:right w:val="none" w:sz="0" w:space="0" w:color="auto"/>
                                                      </w:divBdr>
                                                      <w:divsChild>
                                                        <w:div w:id="12541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600261">
      <w:bodyDiv w:val="1"/>
      <w:marLeft w:val="0"/>
      <w:marRight w:val="0"/>
      <w:marTop w:val="0"/>
      <w:marBottom w:val="0"/>
      <w:divBdr>
        <w:top w:val="none" w:sz="0" w:space="0" w:color="auto"/>
        <w:left w:val="none" w:sz="0" w:space="0" w:color="auto"/>
        <w:bottom w:val="none" w:sz="0" w:space="0" w:color="auto"/>
        <w:right w:val="none" w:sz="0" w:space="0" w:color="auto"/>
      </w:divBdr>
    </w:div>
    <w:div w:id="740636429">
      <w:bodyDiv w:val="1"/>
      <w:marLeft w:val="0"/>
      <w:marRight w:val="0"/>
      <w:marTop w:val="0"/>
      <w:marBottom w:val="0"/>
      <w:divBdr>
        <w:top w:val="none" w:sz="0" w:space="0" w:color="auto"/>
        <w:left w:val="none" w:sz="0" w:space="0" w:color="auto"/>
        <w:bottom w:val="none" w:sz="0" w:space="0" w:color="auto"/>
        <w:right w:val="none" w:sz="0" w:space="0" w:color="auto"/>
      </w:divBdr>
      <w:divsChild>
        <w:div w:id="1409381595">
          <w:marLeft w:val="0"/>
          <w:marRight w:val="0"/>
          <w:marTop w:val="0"/>
          <w:marBottom w:val="0"/>
          <w:divBdr>
            <w:top w:val="none" w:sz="0" w:space="0" w:color="auto"/>
            <w:left w:val="none" w:sz="0" w:space="0" w:color="auto"/>
            <w:bottom w:val="none" w:sz="0" w:space="0" w:color="auto"/>
            <w:right w:val="none" w:sz="0" w:space="0" w:color="auto"/>
          </w:divBdr>
          <w:divsChild>
            <w:div w:id="1648435948">
              <w:marLeft w:val="0"/>
              <w:marRight w:val="0"/>
              <w:marTop w:val="0"/>
              <w:marBottom w:val="0"/>
              <w:divBdr>
                <w:top w:val="none" w:sz="0" w:space="0" w:color="auto"/>
                <w:left w:val="none" w:sz="0" w:space="0" w:color="auto"/>
                <w:bottom w:val="none" w:sz="0" w:space="0" w:color="auto"/>
                <w:right w:val="none" w:sz="0" w:space="0" w:color="auto"/>
              </w:divBdr>
              <w:divsChild>
                <w:div w:id="18237447">
                  <w:marLeft w:val="0"/>
                  <w:marRight w:val="0"/>
                  <w:marTop w:val="0"/>
                  <w:marBottom w:val="0"/>
                  <w:divBdr>
                    <w:top w:val="none" w:sz="0" w:space="0" w:color="auto"/>
                    <w:left w:val="none" w:sz="0" w:space="0" w:color="auto"/>
                    <w:bottom w:val="none" w:sz="0" w:space="0" w:color="auto"/>
                    <w:right w:val="none" w:sz="0" w:space="0" w:color="auto"/>
                  </w:divBdr>
                  <w:divsChild>
                    <w:div w:id="891387883">
                      <w:marLeft w:val="0"/>
                      <w:marRight w:val="0"/>
                      <w:marTop w:val="0"/>
                      <w:marBottom w:val="0"/>
                      <w:divBdr>
                        <w:top w:val="none" w:sz="0" w:space="0" w:color="auto"/>
                        <w:left w:val="none" w:sz="0" w:space="0" w:color="auto"/>
                        <w:bottom w:val="none" w:sz="0" w:space="0" w:color="auto"/>
                        <w:right w:val="none" w:sz="0" w:space="0" w:color="auto"/>
                      </w:divBdr>
                      <w:divsChild>
                        <w:div w:id="4671187">
                          <w:marLeft w:val="0"/>
                          <w:marRight w:val="0"/>
                          <w:marTop w:val="0"/>
                          <w:marBottom w:val="0"/>
                          <w:divBdr>
                            <w:top w:val="none" w:sz="0" w:space="0" w:color="auto"/>
                            <w:left w:val="none" w:sz="0" w:space="0" w:color="auto"/>
                            <w:bottom w:val="none" w:sz="0" w:space="0" w:color="auto"/>
                            <w:right w:val="none" w:sz="0" w:space="0" w:color="auto"/>
                          </w:divBdr>
                          <w:divsChild>
                            <w:div w:id="372340968">
                              <w:marLeft w:val="0"/>
                              <w:marRight w:val="0"/>
                              <w:marTop w:val="0"/>
                              <w:marBottom w:val="0"/>
                              <w:divBdr>
                                <w:top w:val="none" w:sz="0" w:space="0" w:color="auto"/>
                                <w:left w:val="none" w:sz="0" w:space="0" w:color="auto"/>
                                <w:bottom w:val="none" w:sz="0" w:space="0" w:color="auto"/>
                                <w:right w:val="none" w:sz="0" w:space="0" w:color="auto"/>
                              </w:divBdr>
                              <w:divsChild>
                                <w:div w:id="996151297">
                                  <w:marLeft w:val="0"/>
                                  <w:marRight w:val="0"/>
                                  <w:marTop w:val="0"/>
                                  <w:marBottom w:val="0"/>
                                  <w:divBdr>
                                    <w:top w:val="none" w:sz="0" w:space="0" w:color="auto"/>
                                    <w:left w:val="none" w:sz="0" w:space="0" w:color="auto"/>
                                    <w:bottom w:val="none" w:sz="0" w:space="0" w:color="auto"/>
                                    <w:right w:val="none" w:sz="0" w:space="0" w:color="auto"/>
                                  </w:divBdr>
                                  <w:divsChild>
                                    <w:div w:id="1768652076">
                                      <w:marLeft w:val="0"/>
                                      <w:marRight w:val="0"/>
                                      <w:marTop w:val="0"/>
                                      <w:marBottom w:val="0"/>
                                      <w:divBdr>
                                        <w:top w:val="none" w:sz="0" w:space="0" w:color="auto"/>
                                        <w:left w:val="none" w:sz="0" w:space="0" w:color="auto"/>
                                        <w:bottom w:val="none" w:sz="0" w:space="0" w:color="auto"/>
                                        <w:right w:val="none" w:sz="0" w:space="0" w:color="auto"/>
                                      </w:divBdr>
                                      <w:divsChild>
                                        <w:div w:id="1860391374">
                                          <w:marLeft w:val="0"/>
                                          <w:marRight w:val="0"/>
                                          <w:marTop w:val="0"/>
                                          <w:marBottom w:val="0"/>
                                          <w:divBdr>
                                            <w:top w:val="none" w:sz="0" w:space="0" w:color="auto"/>
                                            <w:left w:val="none" w:sz="0" w:space="0" w:color="auto"/>
                                            <w:bottom w:val="none" w:sz="0" w:space="0" w:color="auto"/>
                                            <w:right w:val="none" w:sz="0" w:space="0" w:color="auto"/>
                                          </w:divBdr>
                                          <w:divsChild>
                                            <w:div w:id="1834375661">
                                              <w:marLeft w:val="0"/>
                                              <w:marRight w:val="0"/>
                                              <w:marTop w:val="0"/>
                                              <w:marBottom w:val="0"/>
                                              <w:divBdr>
                                                <w:top w:val="none" w:sz="0" w:space="0" w:color="auto"/>
                                                <w:left w:val="none" w:sz="0" w:space="0" w:color="auto"/>
                                                <w:bottom w:val="none" w:sz="0" w:space="0" w:color="auto"/>
                                                <w:right w:val="none" w:sz="0" w:space="0" w:color="auto"/>
                                              </w:divBdr>
                                              <w:divsChild>
                                                <w:div w:id="797722919">
                                                  <w:marLeft w:val="0"/>
                                                  <w:marRight w:val="0"/>
                                                  <w:marTop w:val="0"/>
                                                  <w:marBottom w:val="0"/>
                                                  <w:divBdr>
                                                    <w:top w:val="none" w:sz="0" w:space="0" w:color="auto"/>
                                                    <w:left w:val="none" w:sz="0" w:space="0" w:color="auto"/>
                                                    <w:bottom w:val="none" w:sz="0" w:space="0" w:color="auto"/>
                                                    <w:right w:val="none" w:sz="0" w:space="0" w:color="auto"/>
                                                  </w:divBdr>
                                                  <w:divsChild>
                                                    <w:div w:id="1152218622">
                                                      <w:marLeft w:val="0"/>
                                                      <w:marRight w:val="0"/>
                                                      <w:marTop w:val="0"/>
                                                      <w:marBottom w:val="0"/>
                                                      <w:divBdr>
                                                        <w:top w:val="none" w:sz="0" w:space="0" w:color="auto"/>
                                                        <w:left w:val="none" w:sz="0" w:space="0" w:color="auto"/>
                                                        <w:bottom w:val="none" w:sz="0" w:space="0" w:color="auto"/>
                                                        <w:right w:val="none" w:sz="0" w:space="0" w:color="auto"/>
                                                      </w:divBdr>
                                                      <w:divsChild>
                                                        <w:div w:id="11768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0906433">
      <w:bodyDiv w:val="1"/>
      <w:marLeft w:val="0"/>
      <w:marRight w:val="0"/>
      <w:marTop w:val="0"/>
      <w:marBottom w:val="0"/>
      <w:divBdr>
        <w:top w:val="none" w:sz="0" w:space="0" w:color="auto"/>
        <w:left w:val="none" w:sz="0" w:space="0" w:color="auto"/>
        <w:bottom w:val="none" w:sz="0" w:space="0" w:color="auto"/>
        <w:right w:val="none" w:sz="0" w:space="0" w:color="auto"/>
      </w:divBdr>
      <w:divsChild>
        <w:div w:id="1558123342">
          <w:marLeft w:val="0"/>
          <w:marRight w:val="0"/>
          <w:marTop w:val="0"/>
          <w:marBottom w:val="0"/>
          <w:divBdr>
            <w:top w:val="none" w:sz="0" w:space="0" w:color="auto"/>
            <w:left w:val="none" w:sz="0" w:space="0" w:color="auto"/>
            <w:bottom w:val="none" w:sz="0" w:space="0" w:color="auto"/>
            <w:right w:val="none" w:sz="0" w:space="0" w:color="auto"/>
          </w:divBdr>
          <w:divsChild>
            <w:div w:id="1372605594">
              <w:marLeft w:val="0"/>
              <w:marRight w:val="0"/>
              <w:marTop w:val="0"/>
              <w:marBottom w:val="0"/>
              <w:divBdr>
                <w:top w:val="none" w:sz="0" w:space="0" w:color="auto"/>
                <w:left w:val="none" w:sz="0" w:space="0" w:color="auto"/>
                <w:bottom w:val="none" w:sz="0" w:space="0" w:color="auto"/>
                <w:right w:val="none" w:sz="0" w:space="0" w:color="auto"/>
              </w:divBdr>
              <w:divsChild>
                <w:div w:id="566887693">
                  <w:marLeft w:val="0"/>
                  <w:marRight w:val="0"/>
                  <w:marTop w:val="0"/>
                  <w:marBottom w:val="0"/>
                  <w:divBdr>
                    <w:top w:val="none" w:sz="0" w:space="0" w:color="auto"/>
                    <w:left w:val="none" w:sz="0" w:space="0" w:color="auto"/>
                    <w:bottom w:val="none" w:sz="0" w:space="0" w:color="auto"/>
                    <w:right w:val="none" w:sz="0" w:space="0" w:color="auto"/>
                  </w:divBdr>
                  <w:divsChild>
                    <w:div w:id="1922594802">
                      <w:marLeft w:val="0"/>
                      <w:marRight w:val="0"/>
                      <w:marTop w:val="0"/>
                      <w:marBottom w:val="0"/>
                      <w:divBdr>
                        <w:top w:val="none" w:sz="0" w:space="0" w:color="auto"/>
                        <w:left w:val="none" w:sz="0" w:space="0" w:color="auto"/>
                        <w:bottom w:val="none" w:sz="0" w:space="0" w:color="auto"/>
                        <w:right w:val="none" w:sz="0" w:space="0" w:color="auto"/>
                      </w:divBdr>
                      <w:divsChild>
                        <w:div w:id="1774132059">
                          <w:marLeft w:val="0"/>
                          <w:marRight w:val="0"/>
                          <w:marTop w:val="0"/>
                          <w:marBottom w:val="0"/>
                          <w:divBdr>
                            <w:top w:val="none" w:sz="0" w:space="0" w:color="auto"/>
                            <w:left w:val="none" w:sz="0" w:space="0" w:color="auto"/>
                            <w:bottom w:val="none" w:sz="0" w:space="0" w:color="auto"/>
                            <w:right w:val="none" w:sz="0" w:space="0" w:color="auto"/>
                          </w:divBdr>
                          <w:divsChild>
                            <w:div w:id="1473644120">
                              <w:marLeft w:val="0"/>
                              <w:marRight w:val="0"/>
                              <w:marTop w:val="0"/>
                              <w:marBottom w:val="0"/>
                              <w:divBdr>
                                <w:top w:val="none" w:sz="0" w:space="0" w:color="auto"/>
                                <w:left w:val="none" w:sz="0" w:space="0" w:color="auto"/>
                                <w:bottom w:val="none" w:sz="0" w:space="0" w:color="auto"/>
                                <w:right w:val="none" w:sz="0" w:space="0" w:color="auto"/>
                              </w:divBdr>
                              <w:divsChild>
                                <w:div w:id="2018534212">
                                  <w:marLeft w:val="0"/>
                                  <w:marRight w:val="0"/>
                                  <w:marTop w:val="0"/>
                                  <w:marBottom w:val="0"/>
                                  <w:divBdr>
                                    <w:top w:val="none" w:sz="0" w:space="0" w:color="auto"/>
                                    <w:left w:val="none" w:sz="0" w:space="0" w:color="auto"/>
                                    <w:bottom w:val="none" w:sz="0" w:space="0" w:color="auto"/>
                                    <w:right w:val="none" w:sz="0" w:space="0" w:color="auto"/>
                                  </w:divBdr>
                                  <w:divsChild>
                                    <w:div w:id="513543792">
                                      <w:marLeft w:val="0"/>
                                      <w:marRight w:val="0"/>
                                      <w:marTop w:val="0"/>
                                      <w:marBottom w:val="0"/>
                                      <w:divBdr>
                                        <w:top w:val="none" w:sz="0" w:space="0" w:color="auto"/>
                                        <w:left w:val="none" w:sz="0" w:space="0" w:color="auto"/>
                                        <w:bottom w:val="none" w:sz="0" w:space="0" w:color="auto"/>
                                        <w:right w:val="none" w:sz="0" w:space="0" w:color="auto"/>
                                      </w:divBdr>
                                      <w:divsChild>
                                        <w:div w:id="1897549280">
                                          <w:marLeft w:val="0"/>
                                          <w:marRight w:val="0"/>
                                          <w:marTop w:val="0"/>
                                          <w:marBottom w:val="0"/>
                                          <w:divBdr>
                                            <w:top w:val="none" w:sz="0" w:space="0" w:color="auto"/>
                                            <w:left w:val="none" w:sz="0" w:space="0" w:color="auto"/>
                                            <w:bottom w:val="none" w:sz="0" w:space="0" w:color="auto"/>
                                            <w:right w:val="none" w:sz="0" w:space="0" w:color="auto"/>
                                          </w:divBdr>
                                          <w:divsChild>
                                            <w:div w:id="1977027064">
                                              <w:marLeft w:val="0"/>
                                              <w:marRight w:val="0"/>
                                              <w:marTop w:val="0"/>
                                              <w:marBottom w:val="0"/>
                                              <w:divBdr>
                                                <w:top w:val="none" w:sz="0" w:space="0" w:color="auto"/>
                                                <w:left w:val="none" w:sz="0" w:space="0" w:color="auto"/>
                                                <w:bottom w:val="none" w:sz="0" w:space="0" w:color="auto"/>
                                                <w:right w:val="none" w:sz="0" w:space="0" w:color="auto"/>
                                              </w:divBdr>
                                              <w:divsChild>
                                                <w:div w:id="77868992">
                                                  <w:marLeft w:val="0"/>
                                                  <w:marRight w:val="0"/>
                                                  <w:marTop w:val="0"/>
                                                  <w:marBottom w:val="0"/>
                                                  <w:divBdr>
                                                    <w:top w:val="none" w:sz="0" w:space="0" w:color="auto"/>
                                                    <w:left w:val="none" w:sz="0" w:space="0" w:color="auto"/>
                                                    <w:bottom w:val="none" w:sz="0" w:space="0" w:color="auto"/>
                                                    <w:right w:val="none" w:sz="0" w:space="0" w:color="auto"/>
                                                  </w:divBdr>
                                                  <w:divsChild>
                                                    <w:div w:id="277612238">
                                                      <w:marLeft w:val="0"/>
                                                      <w:marRight w:val="0"/>
                                                      <w:marTop w:val="0"/>
                                                      <w:marBottom w:val="0"/>
                                                      <w:divBdr>
                                                        <w:top w:val="none" w:sz="0" w:space="0" w:color="auto"/>
                                                        <w:left w:val="none" w:sz="0" w:space="0" w:color="auto"/>
                                                        <w:bottom w:val="none" w:sz="0" w:space="0" w:color="auto"/>
                                                        <w:right w:val="none" w:sz="0" w:space="0" w:color="auto"/>
                                                      </w:divBdr>
                                                      <w:divsChild>
                                                        <w:div w:id="10737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408970">
      <w:bodyDiv w:val="1"/>
      <w:marLeft w:val="0"/>
      <w:marRight w:val="0"/>
      <w:marTop w:val="0"/>
      <w:marBottom w:val="0"/>
      <w:divBdr>
        <w:top w:val="none" w:sz="0" w:space="0" w:color="auto"/>
        <w:left w:val="none" w:sz="0" w:space="0" w:color="auto"/>
        <w:bottom w:val="none" w:sz="0" w:space="0" w:color="auto"/>
        <w:right w:val="none" w:sz="0" w:space="0" w:color="auto"/>
      </w:divBdr>
      <w:divsChild>
        <w:div w:id="945960067">
          <w:marLeft w:val="0"/>
          <w:marRight w:val="0"/>
          <w:marTop w:val="0"/>
          <w:marBottom w:val="0"/>
          <w:divBdr>
            <w:top w:val="none" w:sz="0" w:space="0" w:color="auto"/>
            <w:left w:val="none" w:sz="0" w:space="0" w:color="auto"/>
            <w:bottom w:val="none" w:sz="0" w:space="0" w:color="auto"/>
            <w:right w:val="none" w:sz="0" w:space="0" w:color="auto"/>
          </w:divBdr>
          <w:divsChild>
            <w:div w:id="1423841987">
              <w:marLeft w:val="0"/>
              <w:marRight w:val="0"/>
              <w:marTop w:val="0"/>
              <w:marBottom w:val="0"/>
              <w:divBdr>
                <w:top w:val="none" w:sz="0" w:space="0" w:color="auto"/>
                <w:left w:val="none" w:sz="0" w:space="0" w:color="auto"/>
                <w:bottom w:val="none" w:sz="0" w:space="0" w:color="auto"/>
                <w:right w:val="none" w:sz="0" w:space="0" w:color="auto"/>
              </w:divBdr>
              <w:divsChild>
                <w:div w:id="109587932">
                  <w:marLeft w:val="0"/>
                  <w:marRight w:val="0"/>
                  <w:marTop w:val="0"/>
                  <w:marBottom w:val="0"/>
                  <w:divBdr>
                    <w:top w:val="none" w:sz="0" w:space="0" w:color="auto"/>
                    <w:left w:val="none" w:sz="0" w:space="0" w:color="auto"/>
                    <w:bottom w:val="none" w:sz="0" w:space="0" w:color="auto"/>
                    <w:right w:val="none" w:sz="0" w:space="0" w:color="auto"/>
                  </w:divBdr>
                  <w:divsChild>
                    <w:div w:id="1867253967">
                      <w:marLeft w:val="0"/>
                      <w:marRight w:val="0"/>
                      <w:marTop w:val="0"/>
                      <w:marBottom w:val="0"/>
                      <w:divBdr>
                        <w:top w:val="none" w:sz="0" w:space="0" w:color="auto"/>
                        <w:left w:val="none" w:sz="0" w:space="0" w:color="auto"/>
                        <w:bottom w:val="none" w:sz="0" w:space="0" w:color="auto"/>
                        <w:right w:val="none" w:sz="0" w:space="0" w:color="auto"/>
                      </w:divBdr>
                      <w:divsChild>
                        <w:div w:id="705066062">
                          <w:marLeft w:val="0"/>
                          <w:marRight w:val="0"/>
                          <w:marTop w:val="0"/>
                          <w:marBottom w:val="0"/>
                          <w:divBdr>
                            <w:top w:val="none" w:sz="0" w:space="0" w:color="auto"/>
                            <w:left w:val="none" w:sz="0" w:space="0" w:color="auto"/>
                            <w:bottom w:val="none" w:sz="0" w:space="0" w:color="auto"/>
                            <w:right w:val="none" w:sz="0" w:space="0" w:color="auto"/>
                          </w:divBdr>
                          <w:divsChild>
                            <w:div w:id="1020082281">
                              <w:marLeft w:val="0"/>
                              <w:marRight w:val="0"/>
                              <w:marTop w:val="0"/>
                              <w:marBottom w:val="0"/>
                              <w:divBdr>
                                <w:top w:val="none" w:sz="0" w:space="0" w:color="auto"/>
                                <w:left w:val="none" w:sz="0" w:space="0" w:color="auto"/>
                                <w:bottom w:val="none" w:sz="0" w:space="0" w:color="auto"/>
                                <w:right w:val="none" w:sz="0" w:space="0" w:color="auto"/>
                              </w:divBdr>
                              <w:divsChild>
                                <w:div w:id="1749186880">
                                  <w:marLeft w:val="0"/>
                                  <w:marRight w:val="0"/>
                                  <w:marTop w:val="0"/>
                                  <w:marBottom w:val="0"/>
                                  <w:divBdr>
                                    <w:top w:val="none" w:sz="0" w:space="0" w:color="auto"/>
                                    <w:left w:val="none" w:sz="0" w:space="0" w:color="auto"/>
                                    <w:bottom w:val="none" w:sz="0" w:space="0" w:color="auto"/>
                                    <w:right w:val="none" w:sz="0" w:space="0" w:color="auto"/>
                                  </w:divBdr>
                                  <w:divsChild>
                                    <w:div w:id="107892340">
                                      <w:marLeft w:val="0"/>
                                      <w:marRight w:val="0"/>
                                      <w:marTop w:val="0"/>
                                      <w:marBottom w:val="0"/>
                                      <w:divBdr>
                                        <w:top w:val="none" w:sz="0" w:space="0" w:color="auto"/>
                                        <w:left w:val="none" w:sz="0" w:space="0" w:color="auto"/>
                                        <w:bottom w:val="none" w:sz="0" w:space="0" w:color="auto"/>
                                        <w:right w:val="none" w:sz="0" w:space="0" w:color="auto"/>
                                      </w:divBdr>
                                      <w:divsChild>
                                        <w:div w:id="1871801021">
                                          <w:marLeft w:val="0"/>
                                          <w:marRight w:val="0"/>
                                          <w:marTop w:val="0"/>
                                          <w:marBottom w:val="0"/>
                                          <w:divBdr>
                                            <w:top w:val="none" w:sz="0" w:space="0" w:color="auto"/>
                                            <w:left w:val="none" w:sz="0" w:space="0" w:color="auto"/>
                                            <w:bottom w:val="none" w:sz="0" w:space="0" w:color="auto"/>
                                            <w:right w:val="none" w:sz="0" w:space="0" w:color="auto"/>
                                          </w:divBdr>
                                          <w:divsChild>
                                            <w:div w:id="349333110">
                                              <w:marLeft w:val="0"/>
                                              <w:marRight w:val="0"/>
                                              <w:marTop w:val="0"/>
                                              <w:marBottom w:val="0"/>
                                              <w:divBdr>
                                                <w:top w:val="none" w:sz="0" w:space="0" w:color="auto"/>
                                                <w:left w:val="none" w:sz="0" w:space="0" w:color="auto"/>
                                                <w:bottom w:val="none" w:sz="0" w:space="0" w:color="auto"/>
                                                <w:right w:val="none" w:sz="0" w:space="0" w:color="auto"/>
                                              </w:divBdr>
                                              <w:divsChild>
                                                <w:div w:id="2032367935">
                                                  <w:marLeft w:val="0"/>
                                                  <w:marRight w:val="0"/>
                                                  <w:marTop w:val="0"/>
                                                  <w:marBottom w:val="0"/>
                                                  <w:divBdr>
                                                    <w:top w:val="none" w:sz="0" w:space="0" w:color="auto"/>
                                                    <w:left w:val="none" w:sz="0" w:space="0" w:color="auto"/>
                                                    <w:bottom w:val="none" w:sz="0" w:space="0" w:color="auto"/>
                                                    <w:right w:val="none" w:sz="0" w:space="0" w:color="auto"/>
                                                  </w:divBdr>
                                                  <w:divsChild>
                                                    <w:div w:id="330110881">
                                                      <w:marLeft w:val="0"/>
                                                      <w:marRight w:val="0"/>
                                                      <w:marTop w:val="0"/>
                                                      <w:marBottom w:val="0"/>
                                                      <w:divBdr>
                                                        <w:top w:val="none" w:sz="0" w:space="0" w:color="auto"/>
                                                        <w:left w:val="none" w:sz="0" w:space="0" w:color="auto"/>
                                                        <w:bottom w:val="none" w:sz="0" w:space="0" w:color="auto"/>
                                                        <w:right w:val="none" w:sz="0" w:space="0" w:color="auto"/>
                                                      </w:divBdr>
                                                      <w:divsChild>
                                                        <w:div w:id="202795932">
                                                          <w:marLeft w:val="0"/>
                                                          <w:marRight w:val="0"/>
                                                          <w:marTop w:val="0"/>
                                                          <w:marBottom w:val="0"/>
                                                          <w:divBdr>
                                                            <w:top w:val="none" w:sz="0" w:space="0" w:color="auto"/>
                                                            <w:left w:val="none" w:sz="0" w:space="0" w:color="auto"/>
                                                            <w:bottom w:val="none" w:sz="0" w:space="0" w:color="auto"/>
                                                            <w:right w:val="none" w:sz="0" w:space="0" w:color="auto"/>
                                                          </w:divBdr>
                                                        </w:div>
                                                        <w:div w:id="1579706980">
                                                          <w:marLeft w:val="0"/>
                                                          <w:marRight w:val="0"/>
                                                          <w:marTop w:val="0"/>
                                                          <w:marBottom w:val="0"/>
                                                          <w:divBdr>
                                                            <w:top w:val="none" w:sz="0" w:space="0" w:color="auto"/>
                                                            <w:left w:val="none" w:sz="0" w:space="0" w:color="auto"/>
                                                            <w:bottom w:val="none" w:sz="0" w:space="0" w:color="auto"/>
                                                            <w:right w:val="none" w:sz="0" w:space="0" w:color="auto"/>
                                                          </w:divBdr>
                                                          <w:divsChild>
                                                            <w:div w:id="18029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2485236">
      <w:bodyDiv w:val="1"/>
      <w:marLeft w:val="0"/>
      <w:marRight w:val="0"/>
      <w:marTop w:val="0"/>
      <w:marBottom w:val="0"/>
      <w:divBdr>
        <w:top w:val="none" w:sz="0" w:space="0" w:color="auto"/>
        <w:left w:val="none" w:sz="0" w:space="0" w:color="auto"/>
        <w:bottom w:val="none" w:sz="0" w:space="0" w:color="auto"/>
        <w:right w:val="none" w:sz="0" w:space="0" w:color="auto"/>
      </w:divBdr>
      <w:divsChild>
        <w:div w:id="432937376">
          <w:marLeft w:val="0"/>
          <w:marRight w:val="0"/>
          <w:marTop w:val="0"/>
          <w:marBottom w:val="0"/>
          <w:divBdr>
            <w:top w:val="none" w:sz="0" w:space="0" w:color="auto"/>
            <w:left w:val="none" w:sz="0" w:space="0" w:color="auto"/>
            <w:bottom w:val="none" w:sz="0" w:space="0" w:color="auto"/>
            <w:right w:val="none" w:sz="0" w:space="0" w:color="auto"/>
          </w:divBdr>
          <w:divsChild>
            <w:div w:id="1565331891">
              <w:marLeft w:val="0"/>
              <w:marRight w:val="0"/>
              <w:marTop w:val="0"/>
              <w:marBottom w:val="0"/>
              <w:divBdr>
                <w:top w:val="none" w:sz="0" w:space="0" w:color="auto"/>
                <w:left w:val="none" w:sz="0" w:space="0" w:color="auto"/>
                <w:bottom w:val="none" w:sz="0" w:space="0" w:color="auto"/>
                <w:right w:val="none" w:sz="0" w:space="0" w:color="auto"/>
              </w:divBdr>
              <w:divsChild>
                <w:div w:id="519048629">
                  <w:marLeft w:val="0"/>
                  <w:marRight w:val="0"/>
                  <w:marTop w:val="0"/>
                  <w:marBottom w:val="0"/>
                  <w:divBdr>
                    <w:top w:val="none" w:sz="0" w:space="0" w:color="auto"/>
                    <w:left w:val="none" w:sz="0" w:space="0" w:color="auto"/>
                    <w:bottom w:val="none" w:sz="0" w:space="0" w:color="auto"/>
                    <w:right w:val="none" w:sz="0" w:space="0" w:color="auto"/>
                  </w:divBdr>
                  <w:divsChild>
                    <w:div w:id="1483035978">
                      <w:marLeft w:val="0"/>
                      <w:marRight w:val="0"/>
                      <w:marTop w:val="0"/>
                      <w:marBottom w:val="0"/>
                      <w:divBdr>
                        <w:top w:val="none" w:sz="0" w:space="0" w:color="auto"/>
                        <w:left w:val="none" w:sz="0" w:space="0" w:color="auto"/>
                        <w:bottom w:val="none" w:sz="0" w:space="0" w:color="auto"/>
                        <w:right w:val="none" w:sz="0" w:space="0" w:color="auto"/>
                      </w:divBdr>
                      <w:divsChild>
                        <w:div w:id="109056283">
                          <w:marLeft w:val="0"/>
                          <w:marRight w:val="0"/>
                          <w:marTop w:val="0"/>
                          <w:marBottom w:val="0"/>
                          <w:divBdr>
                            <w:top w:val="none" w:sz="0" w:space="0" w:color="auto"/>
                            <w:left w:val="none" w:sz="0" w:space="0" w:color="auto"/>
                            <w:bottom w:val="none" w:sz="0" w:space="0" w:color="auto"/>
                            <w:right w:val="none" w:sz="0" w:space="0" w:color="auto"/>
                          </w:divBdr>
                          <w:divsChild>
                            <w:div w:id="260451244">
                              <w:marLeft w:val="0"/>
                              <w:marRight w:val="0"/>
                              <w:marTop w:val="0"/>
                              <w:marBottom w:val="0"/>
                              <w:divBdr>
                                <w:top w:val="none" w:sz="0" w:space="0" w:color="auto"/>
                                <w:left w:val="none" w:sz="0" w:space="0" w:color="auto"/>
                                <w:bottom w:val="none" w:sz="0" w:space="0" w:color="auto"/>
                                <w:right w:val="none" w:sz="0" w:space="0" w:color="auto"/>
                              </w:divBdr>
                              <w:divsChild>
                                <w:div w:id="1380397123">
                                  <w:marLeft w:val="570"/>
                                  <w:marRight w:val="720"/>
                                  <w:marTop w:val="120"/>
                                  <w:marBottom w:val="120"/>
                                  <w:divBdr>
                                    <w:top w:val="none" w:sz="0" w:space="0" w:color="auto"/>
                                    <w:left w:val="none" w:sz="0" w:space="0" w:color="auto"/>
                                    <w:bottom w:val="none" w:sz="0" w:space="0" w:color="auto"/>
                                    <w:right w:val="none" w:sz="0" w:space="0" w:color="auto"/>
                                  </w:divBdr>
                                  <w:divsChild>
                                    <w:div w:id="1433821937">
                                      <w:marLeft w:val="0"/>
                                      <w:marRight w:val="0"/>
                                      <w:marTop w:val="0"/>
                                      <w:marBottom w:val="0"/>
                                      <w:divBdr>
                                        <w:top w:val="none" w:sz="0" w:space="0" w:color="auto"/>
                                        <w:left w:val="none" w:sz="0" w:space="0" w:color="auto"/>
                                        <w:bottom w:val="none" w:sz="0" w:space="0" w:color="auto"/>
                                        <w:right w:val="none" w:sz="0" w:space="0" w:color="auto"/>
                                      </w:divBdr>
                                      <w:divsChild>
                                        <w:div w:id="1678575705">
                                          <w:marLeft w:val="0"/>
                                          <w:marRight w:val="0"/>
                                          <w:marTop w:val="0"/>
                                          <w:marBottom w:val="0"/>
                                          <w:divBdr>
                                            <w:top w:val="none" w:sz="0" w:space="0" w:color="auto"/>
                                            <w:left w:val="none" w:sz="0" w:space="0" w:color="auto"/>
                                            <w:bottom w:val="none" w:sz="0" w:space="0" w:color="auto"/>
                                            <w:right w:val="none" w:sz="0" w:space="0" w:color="auto"/>
                                          </w:divBdr>
                                          <w:divsChild>
                                            <w:div w:id="2056153541">
                                              <w:marLeft w:val="0"/>
                                              <w:marRight w:val="0"/>
                                              <w:marTop w:val="0"/>
                                              <w:marBottom w:val="0"/>
                                              <w:divBdr>
                                                <w:top w:val="none" w:sz="0" w:space="0" w:color="auto"/>
                                                <w:left w:val="none" w:sz="0" w:space="0" w:color="auto"/>
                                                <w:bottom w:val="none" w:sz="0" w:space="0" w:color="auto"/>
                                                <w:right w:val="none" w:sz="0" w:space="0" w:color="auto"/>
                                              </w:divBdr>
                                              <w:divsChild>
                                                <w:div w:id="596865514">
                                                  <w:marLeft w:val="0"/>
                                                  <w:marRight w:val="0"/>
                                                  <w:marTop w:val="240"/>
                                                  <w:marBottom w:val="240"/>
                                                  <w:divBdr>
                                                    <w:top w:val="single" w:sz="6" w:space="6" w:color="F2F2F2"/>
                                                    <w:left w:val="none" w:sz="0" w:space="0" w:color="auto"/>
                                                    <w:bottom w:val="single" w:sz="6" w:space="6" w:color="F2F2F2"/>
                                                    <w:right w:val="none" w:sz="0" w:space="0" w:color="auto"/>
                                                  </w:divBdr>
                                                </w:div>
                                                <w:div w:id="1162813108">
                                                  <w:marLeft w:val="0"/>
                                                  <w:marRight w:val="0"/>
                                                  <w:marTop w:val="0"/>
                                                  <w:marBottom w:val="0"/>
                                                  <w:divBdr>
                                                    <w:top w:val="none" w:sz="0" w:space="0" w:color="auto"/>
                                                    <w:left w:val="none" w:sz="0" w:space="0" w:color="auto"/>
                                                    <w:bottom w:val="none" w:sz="0" w:space="0" w:color="auto"/>
                                                    <w:right w:val="none" w:sz="0" w:space="0" w:color="auto"/>
                                                  </w:divBdr>
                                                  <w:divsChild>
                                                    <w:div w:id="1244726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079297">
      <w:bodyDiv w:val="1"/>
      <w:marLeft w:val="0"/>
      <w:marRight w:val="0"/>
      <w:marTop w:val="0"/>
      <w:marBottom w:val="0"/>
      <w:divBdr>
        <w:top w:val="none" w:sz="0" w:space="0" w:color="auto"/>
        <w:left w:val="none" w:sz="0" w:space="0" w:color="auto"/>
        <w:bottom w:val="none" w:sz="0" w:space="0" w:color="auto"/>
        <w:right w:val="none" w:sz="0" w:space="0" w:color="auto"/>
      </w:divBdr>
      <w:divsChild>
        <w:div w:id="1719546554">
          <w:marLeft w:val="0"/>
          <w:marRight w:val="0"/>
          <w:marTop w:val="150"/>
          <w:marBottom w:val="0"/>
          <w:divBdr>
            <w:top w:val="none" w:sz="0" w:space="0" w:color="auto"/>
            <w:left w:val="none" w:sz="0" w:space="0" w:color="auto"/>
            <w:bottom w:val="none" w:sz="0" w:space="0" w:color="auto"/>
            <w:right w:val="none" w:sz="0" w:space="0" w:color="auto"/>
          </w:divBdr>
          <w:divsChild>
            <w:div w:id="129204212">
              <w:marLeft w:val="2"/>
              <w:marRight w:val="2"/>
              <w:marTop w:val="0"/>
              <w:marBottom w:val="0"/>
              <w:divBdr>
                <w:top w:val="none" w:sz="0" w:space="0" w:color="auto"/>
                <w:left w:val="none" w:sz="0" w:space="0" w:color="auto"/>
                <w:bottom w:val="none" w:sz="0" w:space="0" w:color="auto"/>
                <w:right w:val="none" w:sz="0" w:space="0" w:color="auto"/>
              </w:divBdr>
              <w:divsChild>
                <w:div w:id="1397128805">
                  <w:marLeft w:val="0"/>
                  <w:marRight w:val="0"/>
                  <w:marTop w:val="0"/>
                  <w:marBottom w:val="0"/>
                  <w:divBdr>
                    <w:top w:val="none" w:sz="0" w:space="0" w:color="auto"/>
                    <w:left w:val="none" w:sz="0" w:space="0" w:color="auto"/>
                    <w:bottom w:val="none" w:sz="0" w:space="0" w:color="auto"/>
                    <w:right w:val="none" w:sz="0" w:space="0" w:color="auto"/>
                  </w:divBdr>
                  <w:divsChild>
                    <w:div w:id="1433355971">
                      <w:marLeft w:val="0"/>
                      <w:marRight w:val="0"/>
                      <w:marTop w:val="0"/>
                      <w:marBottom w:val="0"/>
                      <w:divBdr>
                        <w:top w:val="none" w:sz="0" w:space="0" w:color="auto"/>
                        <w:left w:val="none" w:sz="0" w:space="0" w:color="auto"/>
                        <w:bottom w:val="none" w:sz="0" w:space="0" w:color="auto"/>
                        <w:right w:val="none" w:sz="0" w:space="0" w:color="auto"/>
                      </w:divBdr>
                      <w:divsChild>
                        <w:div w:id="1944603051">
                          <w:marLeft w:val="0"/>
                          <w:marRight w:val="0"/>
                          <w:marTop w:val="0"/>
                          <w:marBottom w:val="0"/>
                          <w:divBdr>
                            <w:top w:val="none" w:sz="0" w:space="0" w:color="auto"/>
                            <w:left w:val="none" w:sz="0" w:space="0" w:color="auto"/>
                            <w:bottom w:val="none" w:sz="0" w:space="0" w:color="auto"/>
                            <w:right w:val="none" w:sz="0" w:space="0" w:color="auto"/>
                          </w:divBdr>
                          <w:divsChild>
                            <w:div w:id="651787119">
                              <w:marLeft w:val="0"/>
                              <w:marRight w:val="0"/>
                              <w:marTop w:val="0"/>
                              <w:marBottom w:val="0"/>
                              <w:divBdr>
                                <w:top w:val="none" w:sz="0" w:space="0" w:color="auto"/>
                                <w:left w:val="none" w:sz="0" w:space="0" w:color="auto"/>
                                <w:bottom w:val="none" w:sz="0" w:space="0" w:color="auto"/>
                                <w:right w:val="none" w:sz="0" w:space="0" w:color="auto"/>
                              </w:divBdr>
                              <w:divsChild>
                                <w:div w:id="1140075057">
                                  <w:marLeft w:val="0"/>
                                  <w:marRight w:val="0"/>
                                  <w:marTop w:val="0"/>
                                  <w:marBottom w:val="0"/>
                                  <w:divBdr>
                                    <w:top w:val="none" w:sz="0" w:space="0" w:color="auto"/>
                                    <w:left w:val="none" w:sz="0" w:space="0" w:color="auto"/>
                                    <w:bottom w:val="none" w:sz="0" w:space="0" w:color="auto"/>
                                    <w:right w:val="none" w:sz="0" w:space="0" w:color="auto"/>
                                  </w:divBdr>
                                  <w:divsChild>
                                    <w:div w:id="1876576910">
                                      <w:marLeft w:val="0"/>
                                      <w:marRight w:val="0"/>
                                      <w:marTop w:val="0"/>
                                      <w:marBottom w:val="0"/>
                                      <w:divBdr>
                                        <w:top w:val="none" w:sz="0" w:space="0" w:color="auto"/>
                                        <w:left w:val="none" w:sz="0" w:space="0" w:color="auto"/>
                                        <w:bottom w:val="none" w:sz="0" w:space="0" w:color="auto"/>
                                        <w:right w:val="none" w:sz="0" w:space="0" w:color="auto"/>
                                      </w:divBdr>
                                      <w:divsChild>
                                        <w:div w:id="1739474341">
                                          <w:marLeft w:val="0"/>
                                          <w:marRight w:val="0"/>
                                          <w:marTop w:val="0"/>
                                          <w:marBottom w:val="0"/>
                                          <w:divBdr>
                                            <w:top w:val="none" w:sz="0" w:space="0" w:color="auto"/>
                                            <w:left w:val="none" w:sz="0" w:space="0" w:color="auto"/>
                                            <w:bottom w:val="none" w:sz="0" w:space="0" w:color="auto"/>
                                            <w:right w:val="none" w:sz="0" w:space="0" w:color="auto"/>
                                          </w:divBdr>
                                          <w:divsChild>
                                            <w:div w:id="1390149977">
                                              <w:marLeft w:val="0"/>
                                              <w:marRight w:val="0"/>
                                              <w:marTop w:val="0"/>
                                              <w:marBottom w:val="0"/>
                                              <w:divBdr>
                                                <w:top w:val="none" w:sz="0" w:space="0" w:color="auto"/>
                                                <w:left w:val="none" w:sz="0" w:space="0" w:color="auto"/>
                                                <w:bottom w:val="none" w:sz="0" w:space="0" w:color="auto"/>
                                                <w:right w:val="none" w:sz="0" w:space="0" w:color="auto"/>
                                              </w:divBdr>
                                              <w:divsChild>
                                                <w:div w:id="494104696">
                                                  <w:marLeft w:val="0"/>
                                                  <w:marRight w:val="0"/>
                                                  <w:marTop w:val="0"/>
                                                  <w:marBottom w:val="0"/>
                                                  <w:divBdr>
                                                    <w:top w:val="none" w:sz="0" w:space="0" w:color="auto"/>
                                                    <w:left w:val="none" w:sz="0" w:space="0" w:color="auto"/>
                                                    <w:bottom w:val="none" w:sz="0" w:space="0" w:color="auto"/>
                                                    <w:right w:val="none" w:sz="0" w:space="0" w:color="auto"/>
                                                  </w:divBdr>
                                                </w:div>
                                              </w:divsChild>
                                            </w:div>
                                            <w:div w:id="1566187117">
                                              <w:marLeft w:val="0"/>
                                              <w:marRight w:val="0"/>
                                              <w:marTop w:val="0"/>
                                              <w:marBottom w:val="0"/>
                                              <w:divBdr>
                                                <w:top w:val="none" w:sz="0" w:space="0" w:color="auto"/>
                                                <w:left w:val="none" w:sz="0" w:space="0" w:color="auto"/>
                                                <w:bottom w:val="none" w:sz="0" w:space="0" w:color="auto"/>
                                                <w:right w:val="none" w:sz="0" w:space="0" w:color="auto"/>
                                              </w:divBdr>
                                              <w:divsChild>
                                                <w:div w:id="1018508401">
                                                  <w:marLeft w:val="0"/>
                                                  <w:marRight w:val="0"/>
                                                  <w:marTop w:val="0"/>
                                                  <w:marBottom w:val="0"/>
                                                  <w:divBdr>
                                                    <w:top w:val="none" w:sz="0" w:space="0" w:color="auto"/>
                                                    <w:left w:val="none" w:sz="0" w:space="0" w:color="auto"/>
                                                    <w:bottom w:val="none" w:sz="0" w:space="0" w:color="auto"/>
                                                    <w:right w:val="none" w:sz="0" w:space="0" w:color="auto"/>
                                                  </w:divBdr>
                                                </w:div>
                                              </w:divsChild>
                                            </w:div>
                                            <w:div w:id="831599010">
                                              <w:marLeft w:val="0"/>
                                              <w:marRight w:val="0"/>
                                              <w:marTop w:val="0"/>
                                              <w:marBottom w:val="0"/>
                                              <w:divBdr>
                                                <w:top w:val="none" w:sz="0" w:space="0" w:color="auto"/>
                                                <w:left w:val="none" w:sz="0" w:space="0" w:color="auto"/>
                                                <w:bottom w:val="none" w:sz="0" w:space="0" w:color="auto"/>
                                                <w:right w:val="none" w:sz="0" w:space="0" w:color="auto"/>
                                              </w:divBdr>
                                              <w:divsChild>
                                                <w:div w:id="1071274755">
                                                  <w:marLeft w:val="0"/>
                                                  <w:marRight w:val="0"/>
                                                  <w:marTop w:val="0"/>
                                                  <w:marBottom w:val="0"/>
                                                  <w:divBdr>
                                                    <w:top w:val="none" w:sz="0" w:space="0" w:color="auto"/>
                                                    <w:left w:val="none" w:sz="0" w:space="0" w:color="auto"/>
                                                    <w:bottom w:val="none" w:sz="0" w:space="0" w:color="auto"/>
                                                    <w:right w:val="none" w:sz="0" w:space="0" w:color="auto"/>
                                                  </w:divBdr>
                                                </w:div>
                                              </w:divsChild>
                                            </w:div>
                                            <w:div w:id="590435830">
                                              <w:marLeft w:val="0"/>
                                              <w:marRight w:val="0"/>
                                              <w:marTop w:val="0"/>
                                              <w:marBottom w:val="0"/>
                                              <w:divBdr>
                                                <w:top w:val="none" w:sz="0" w:space="0" w:color="auto"/>
                                                <w:left w:val="none" w:sz="0" w:space="0" w:color="auto"/>
                                                <w:bottom w:val="none" w:sz="0" w:space="0" w:color="auto"/>
                                                <w:right w:val="none" w:sz="0" w:space="0" w:color="auto"/>
                                              </w:divBdr>
                                              <w:divsChild>
                                                <w:div w:id="6020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106842">
      <w:bodyDiv w:val="1"/>
      <w:marLeft w:val="0"/>
      <w:marRight w:val="0"/>
      <w:marTop w:val="0"/>
      <w:marBottom w:val="0"/>
      <w:divBdr>
        <w:top w:val="none" w:sz="0" w:space="0" w:color="auto"/>
        <w:left w:val="none" w:sz="0" w:space="0" w:color="auto"/>
        <w:bottom w:val="none" w:sz="0" w:space="0" w:color="auto"/>
        <w:right w:val="none" w:sz="0" w:space="0" w:color="auto"/>
      </w:divBdr>
    </w:div>
    <w:div w:id="745760790">
      <w:bodyDiv w:val="1"/>
      <w:marLeft w:val="0"/>
      <w:marRight w:val="0"/>
      <w:marTop w:val="0"/>
      <w:marBottom w:val="0"/>
      <w:divBdr>
        <w:top w:val="none" w:sz="0" w:space="0" w:color="auto"/>
        <w:left w:val="none" w:sz="0" w:space="0" w:color="auto"/>
        <w:bottom w:val="none" w:sz="0" w:space="0" w:color="auto"/>
        <w:right w:val="none" w:sz="0" w:space="0" w:color="auto"/>
      </w:divBdr>
      <w:divsChild>
        <w:div w:id="1398749069">
          <w:marLeft w:val="0"/>
          <w:marRight w:val="0"/>
          <w:marTop w:val="0"/>
          <w:marBottom w:val="0"/>
          <w:divBdr>
            <w:top w:val="none" w:sz="0" w:space="0" w:color="auto"/>
            <w:left w:val="none" w:sz="0" w:space="0" w:color="auto"/>
            <w:bottom w:val="none" w:sz="0" w:space="0" w:color="auto"/>
            <w:right w:val="none" w:sz="0" w:space="0" w:color="auto"/>
          </w:divBdr>
          <w:divsChild>
            <w:div w:id="757024124">
              <w:marLeft w:val="0"/>
              <w:marRight w:val="0"/>
              <w:marTop w:val="0"/>
              <w:marBottom w:val="0"/>
              <w:divBdr>
                <w:top w:val="none" w:sz="0" w:space="0" w:color="auto"/>
                <w:left w:val="none" w:sz="0" w:space="0" w:color="auto"/>
                <w:bottom w:val="none" w:sz="0" w:space="0" w:color="auto"/>
                <w:right w:val="none" w:sz="0" w:space="0" w:color="auto"/>
              </w:divBdr>
              <w:divsChild>
                <w:div w:id="2130932785">
                  <w:marLeft w:val="0"/>
                  <w:marRight w:val="0"/>
                  <w:marTop w:val="0"/>
                  <w:marBottom w:val="0"/>
                  <w:divBdr>
                    <w:top w:val="none" w:sz="0" w:space="0" w:color="auto"/>
                    <w:left w:val="none" w:sz="0" w:space="0" w:color="auto"/>
                    <w:bottom w:val="none" w:sz="0" w:space="0" w:color="auto"/>
                    <w:right w:val="none" w:sz="0" w:space="0" w:color="auto"/>
                  </w:divBdr>
                  <w:divsChild>
                    <w:div w:id="873228212">
                      <w:marLeft w:val="0"/>
                      <w:marRight w:val="0"/>
                      <w:marTop w:val="0"/>
                      <w:marBottom w:val="0"/>
                      <w:divBdr>
                        <w:top w:val="none" w:sz="0" w:space="0" w:color="auto"/>
                        <w:left w:val="none" w:sz="0" w:space="0" w:color="auto"/>
                        <w:bottom w:val="none" w:sz="0" w:space="0" w:color="auto"/>
                        <w:right w:val="none" w:sz="0" w:space="0" w:color="auto"/>
                      </w:divBdr>
                      <w:divsChild>
                        <w:div w:id="1508474169">
                          <w:marLeft w:val="0"/>
                          <w:marRight w:val="0"/>
                          <w:marTop w:val="0"/>
                          <w:marBottom w:val="0"/>
                          <w:divBdr>
                            <w:top w:val="none" w:sz="0" w:space="0" w:color="auto"/>
                            <w:left w:val="none" w:sz="0" w:space="0" w:color="auto"/>
                            <w:bottom w:val="none" w:sz="0" w:space="0" w:color="auto"/>
                            <w:right w:val="none" w:sz="0" w:space="0" w:color="auto"/>
                          </w:divBdr>
                          <w:divsChild>
                            <w:div w:id="2104759560">
                              <w:marLeft w:val="0"/>
                              <w:marRight w:val="0"/>
                              <w:marTop w:val="0"/>
                              <w:marBottom w:val="0"/>
                              <w:divBdr>
                                <w:top w:val="none" w:sz="0" w:space="0" w:color="auto"/>
                                <w:left w:val="none" w:sz="0" w:space="0" w:color="auto"/>
                                <w:bottom w:val="none" w:sz="0" w:space="0" w:color="auto"/>
                                <w:right w:val="none" w:sz="0" w:space="0" w:color="auto"/>
                              </w:divBdr>
                              <w:divsChild>
                                <w:div w:id="1215199847">
                                  <w:marLeft w:val="0"/>
                                  <w:marRight w:val="0"/>
                                  <w:marTop w:val="0"/>
                                  <w:marBottom w:val="0"/>
                                  <w:divBdr>
                                    <w:top w:val="none" w:sz="0" w:space="0" w:color="auto"/>
                                    <w:left w:val="none" w:sz="0" w:space="0" w:color="auto"/>
                                    <w:bottom w:val="none" w:sz="0" w:space="0" w:color="auto"/>
                                    <w:right w:val="none" w:sz="0" w:space="0" w:color="auto"/>
                                  </w:divBdr>
                                  <w:divsChild>
                                    <w:div w:id="2092702377">
                                      <w:marLeft w:val="0"/>
                                      <w:marRight w:val="0"/>
                                      <w:marTop w:val="0"/>
                                      <w:marBottom w:val="0"/>
                                      <w:divBdr>
                                        <w:top w:val="none" w:sz="0" w:space="0" w:color="auto"/>
                                        <w:left w:val="none" w:sz="0" w:space="0" w:color="auto"/>
                                        <w:bottom w:val="none" w:sz="0" w:space="0" w:color="auto"/>
                                        <w:right w:val="none" w:sz="0" w:space="0" w:color="auto"/>
                                      </w:divBdr>
                                      <w:divsChild>
                                        <w:div w:id="17767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072024">
      <w:bodyDiv w:val="1"/>
      <w:marLeft w:val="0"/>
      <w:marRight w:val="0"/>
      <w:marTop w:val="0"/>
      <w:marBottom w:val="0"/>
      <w:divBdr>
        <w:top w:val="none" w:sz="0" w:space="0" w:color="auto"/>
        <w:left w:val="none" w:sz="0" w:space="0" w:color="auto"/>
        <w:bottom w:val="none" w:sz="0" w:space="0" w:color="auto"/>
        <w:right w:val="none" w:sz="0" w:space="0" w:color="auto"/>
      </w:divBdr>
    </w:div>
    <w:div w:id="747577909">
      <w:bodyDiv w:val="1"/>
      <w:marLeft w:val="0"/>
      <w:marRight w:val="0"/>
      <w:marTop w:val="0"/>
      <w:marBottom w:val="0"/>
      <w:divBdr>
        <w:top w:val="none" w:sz="0" w:space="0" w:color="auto"/>
        <w:left w:val="none" w:sz="0" w:space="0" w:color="auto"/>
        <w:bottom w:val="none" w:sz="0" w:space="0" w:color="auto"/>
        <w:right w:val="none" w:sz="0" w:space="0" w:color="auto"/>
      </w:divBdr>
      <w:divsChild>
        <w:div w:id="81529608">
          <w:marLeft w:val="0"/>
          <w:marRight w:val="0"/>
          <w:marTop w:val="0"/>
          <w:marBottom w:val="0"/>
          <w:divBdr>
            <w:top w:val="single" w:sz="2" w:space="0" w:color="AAAAAA"/>
            <w:left w:val="single" w:sz="6" w:space="8" w:color="AAAAAA"/>
            <w:bottom w:val="single" w:sz="2" w:space="0" w:color="AAAAAA"/>
            <w:right w:val="single" w:sz="6" w:space="8" w:color="AAAAAA"/>
          </w:divBdr>
          <w:divsChild>
            <w:div w:id="2112387454">
              <w:marLeft w:val="0"/>
              <w:marRight w:val="0"/>
              <w:marTop w:val="0"/>
              <w:marBottom w:val="0"/>
              <w:divBdr>
                <w:top w:val="none" w:sz="0" w:space="0" w:color="auto"/>
                <w:left w:val="none" w:sz="0" w:space="0" w:color="auto"/>
                <w:bottom w:val="none" w:sz="0" w:space="0" w:color="auto"/>
                <w:right w:val="none" w:sz="0" w:space="0" w:color="auto"/>
              </w:divBdr>
              <w:divsChild>
                <w:div w:id="1181971461">
                  <w:marLeft w:val="0"/>
                  <w:marRight w:val="0"/>
                  <w:marTop w:val="0"/>
                  <w:marBottom w:val="0"/>
                  <w:divBdr>
                    <w:top w:val="none" w:sz="0" w:space="0" w:color="auto"/>
                    <w:left w:val="none" w:sz="0" w:space="0" w:color="auto"/>
                    <w:bottom w:val="none" w:sz="0" w:space="0" w:color="auto"/>
                    <w:right w:val="none" w:sz="0" w:space="0" w:color="auto"/>
                  </w:divBdr>
                  <w:divsChild>
                    <w:div w:id="243029056">
                      <w:marLeft w:val="0"/>
                      <w:marRight w:val="2550"/>
                      <w:marTop w:val="0"/>
                      <w:marBottom w:val="48"/>
                      <w:divBdr>
                        <w:top w:val="none" w:sz="0" w:space="0" w:color="auto"/>
                        <w:left w:val="none" w:sz="0" w:space="0" w:color="auto"/>
                        <w:bottom w:val="none" w:sz="0" w:space="0" w:color="auto"/>
                        <w:right w:val="none" w:sz="0" w:space="0" w:color="auto"/>
                      </w:divBdr>
                      <w:divsChild>
                        <w:div w:id="18388857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48384281">
      <w:bodyDiv w:val="1"/>
      <w:marLeft w:val="0"/>
      <w:marRight w:val="0"/>
      <w:marTop w:val="0"/>
      <w:marBottom w:val="0"/>
      <w:divBdr>
        <w:top w:val="none" w:sz="0" w:space="0" w:color="auto"/>
        <w:left w:val="none" w:sz="0" w:space="0" w:color="auto"/>
        <w:bottom w:val="none" w:sz="0" w:space="0" w:color="auto"/>
        <w:right w:val="none" w:sz="0" w:space="0" w:color="auto"/>
      </w:divBdr>
    </w:div>
    <w:div w:id="748650115">
      <w:bodyDiv w:val="1"/>
      <w:marLeft w:val="0"/>
      <w:marRight w:val="0"/>
      <w:marTop w:val="0"/>
      <w:marBottom w:val="0"/>
      <w:divBdr>
        <w:top w:val="none" w:sz="0" w:space="0" w:color="auto"/>
        <w:left w:val="none" w:sz="0" w:space="0" w:color="auto"/>
        <w:bottom w:val="none" w:sz="0" w:space="0" w:color="auto"/>
        <w:right w:val="none" w:sz="0" w:space="0" w:color="auto"/>
      </w:divBdr>
      <w:divsChild>
        <w:div w:id="1321041843">
          <w:marLeft w:val="0"/>
          <w:marRight w:val="0"/>
          <w:marTop w:val="0"/>
          <w:marBottom w:val="0"/>
          <w:divBdr>
            <w:top w:val="none" w:sz="0" w:space="0" w:color="auto"/>
            <w:left w:val="none" w:sz="0" w:space="0" w:color="auto"/>
            <w:bottom w:val="none" w:sz="0" w:space="0" w:color="auto"/>
            <w:right w:val="none" w:sz="0" w:space="0" w:color="auto"/>
          </w:divBdr>
          <w:divsChild>
            <w:div w:id="924875646">
              <w:marLeft w:val="0"/>
              <w:marRight w:val="0"/>
              <w:marTop w:val="0"/>
              <w:marBottom w:val="0"/>
              <w:divBdr>
                <w:top w:val="none" w:sz="0" w:space="0" w:color="auto"/>
                <w:left w:val="none" w:sz="0" w:space="0" w:color="auto"/>
                <w:bottom w:val="none" w:sz="0" w:space="0" w:color="auto"/>
                <w:right w:val="none" w:sz="0" w:space="0" w:color="auto"/>
              </w:divBdr>
              <w:divsChild>
                <w:div w:id="1861621089">
                  <w:marLeft w:val="0"/>
                  <w:marRight w:val="0"/>
                  <w:marTop w:val="0"/>
                  <w:marBottom w:val="0"/>
                  <w:divBdr>
                    <w:top w:val="none" w:sz="0" w:space="0" w:color="auto"/>
                    <w:left w:val="none" w:sz="0" w:space="0" w:color="auto"/>
                    <w:bottom w:val="none" w:sz="0" w:space="0" w:color="auto"/>
                    <w:right w:val="none" w:sz="0" w:space="0" w:color="auto"/>
                  </w:divBdr>
                  <w:divsChild>
                    <w:div w:id="1177967251">
                      <w:marLeft w:val="0"/>
                      <w:marRight w:val="0"/>
                      <w:marTop w:val="0"/>
                      <w:marBottom w:val="0"/>
                      <w:divBdr>
                        <w:top w:val="none" w:sz="0" w:space="0" w:color="auto"/>
                        <w:left w:val="none" w:sz="0" w:space="0" w:color="auto"/>
                        <w:bottom w:val="none" w:sz="0" w:space="0" w:color="auto"/>
                        <w:right w:val="none" w:sz="0" w:space="0" w:color="auto"/>
                      </w:divBdr>
                      <w:divsChild>
                        <w:div w:id="196703322">
                          <w:marLeft w:val="0"/>
                          <w:marRight w:val="0"/>
                          <w:marTop w:val="0"/>
                          <w:marBottom w:val="0"/>
                          <w:divBdr>
                            <w:top w:val="none" w:sz="0" w:space="0" w:color="auto"/>
                            <w:left w:val="none" w:sz="0" w:space="0" w:color="auto"/>
                            <w:bottom w:val="none" w:sz="0" w:space="0" w:color="auto"/>
                            <w:right w:val="none" w:sz="0" w:space="0" w:color="auto"/>
                          </w:divBdr>
                          <w:divsChild>
                            <w:div w:id="952707662">
                              <w:marLeft w:val="0"/>
                              <w:marRight w:val="0"/>
                              <w:marTop w:val="0"/>
                              <w:marBottom w:val="0"/>
                              <w:divBdr>
                                <w:top w:val="none" w:sz="0" w:space="0" w:color="auto"/>
                                <w:left w:val="none" w:sz="0" w:space="0" w:color="auto"/>
                                <w:bottom w:val="none" w:sz="0" w:space="0" w:color="auto"/>
                                <w:right w:val="none" w:sz="0" w:space="0" w:color="auto"/>
                              </w:divBdr>
                              <w:divsChild>
                                <w:div w:id="825589310">
                                  <w:marLeft w:val="0"/>
                                  <w:marRight w:val="0"/>
                                  <w:marTop w:val="0"/>
                                  <w:marBottom w:val="0"/>
                                  <w:divBdr>
                                    <w:top w:val="none" w:sz="0" w:space="0" w:color="auto"/>
                                    <w:left w:val="none" w:sz="0" w:space="0" w:color="auto"/>
                                    <w:bottom w:val="none" w:sz="0" w:space="0" w:color="auto"/>
                                    <w:right w:val="none" w:sz="0" w:space="0" w:color="auto"/>
                                  </w:divBdr>
                                  <w:divsChild>
                                    <w:div w:id="1534079364">
                                      <w:marLeft w:val="0"/>
                                      <w:marRight w:val="0"/>
                                      <w:marTop w:val="0"/>
                                      <w:marBottom w:val="0"/>
                                      <w:divBdr>
                                        <w:top w:val="none" w:sz="0" w:space="0" w:color="auto"/>
                                        <w:left w:val="none" w:sz="0" w:space="0" w:color="auto"/>
                                        <w:bottom w:val="none" w:sz="0" w:space="0" w:color="auto"/>
                                        <w:right w:val="none" w:sz="0" w:space="0" w:color="auto"/>
                                      </w:divBdr>
                                      <w:divsChild>
                                        <w:div w:id="8669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893189">
      <w:bodyDiv w:val="1"/>
      <w:marLeft w:val="0"/>
      <w:marRight w:val="0"/>
      <w:marTop w:val="0"/>
      <w:marBottom w:val="0"/>
      <w:divBdr>
        <w:top w:val="none" w:sz="0" w:space="0" w:color="auto"/>
        <w:left w:val="none" w:sz="0" w:space="0" w:color="auto"/>
        <w:bottom w:val="none" w:sz="0" w:space="0" w:color="auto"/>
        <w:right w:val="none" w:sz="0" w:space="0" w:color="auto"/>
      </w:divBdr>
      <w:divsChild>
        <w:div w:id="134835579">
          <w:marLeft w:val="0"/>
          <w:marRight w:val="0"/>
          <w:marTop w:val="0"/>
          <w:marBottom w:val="0"/>
          <w:divBdr>
            <w:top w:val="none" w:sz="0" w:space="0" w:color="auto"/>
            <w:left w:val="none" w:sz="0" w:space="0" w:color="auto"/>
            <w:bottom w:val="none" w:sz="0" w:space="0" w:color="auto"/>
            <w:right w:val="none" w:sz="0" w:space="0" w:color="auto"/>
          </w:divBdr>
          <w:divsChild>
            <w:div w:id="596718395">
              <w:marLeft w:val="0"/>
              <w:marRight w:val="0"/>
              <w:marTop w:val="0"/>
              <w:marBottom w:val="0"/>
              <w:divBdr>
                <w:top w:val="none" w:sz="0" w:space="0" w:color="auto"/>
                <w:left w:val="none" w:sz="0" w:space="0" w:color="auto"/>
                <w:bottom w:val="none" w:sz="0" w:space="0" w:color="auto"/>
                <w:right w:val="none" w:sz="0" w:space="0" w:color="auto"/>
              </w:divBdr>
              <w:divsChild>
                <w:div w:id="390082321">
                  <w:marLeft w:val="0"/>
                  <w:marRight w:val="0"/>
                  <w:marTop w:val="0"/>
                  <w:marBottom w:val="0"/>
                  <w:divBdr>
                    <w:top w:val="none" w:sz="0" w:space="0" w:color="auto"/>
                    <w:left w:val="none" w:sz="0" w:space="0" w:color="auto"/>
                    <w:bottom w:val="none" w:sz="0" w:space="0" w:color="auto"/>
                    <w:right w:val="none" w:sz="0" w:space="0" w:color="auto"/>
                  </w:divBdr>
                  <w:divsChild>
                    <w:div w:id="1779831359">
                      <w:marLeft w:val="0"/>
                      <w:marRight w:val="0"/>
                      <w:marTop w:val="0"/>
                      <w:marBottom w:val="0"/>
                      <w:divBdr>
                        <w:top w:val="none" w:sz="0" w:space="0" w:color="auto"/>
                        <w:left w:val="none" w:sz="0" w:space="0" w:color="auto"/>
                        <w:bottom w:val="none" w:sz="0" w:space="0" w:color="auto"/>
                        <w:right w:val="none" w:sz="0" w:space="0" w:color="auto"/>
                      </w:divBdr>
                      <w:divsChild>
                        <w:div w:id="11958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194868">
      <w:bodyDiv w:val="1"/>
      <w:marLeft w:val="0"/>
      <w:marRight w:val="0"/>
      <w:marTop w:val="0"/>
      <w:marBottom w:val="0"/>
      <w:divBdr>
        <w:top w:val="none" w:sz="0" w:space="0" w:color="auto"/>
        <w:left w:val="none" w:sz="0" w:space="0" w:color="auto"/>
        <w:bottom w:val="none" w:sz="0" w:space="0" w:color="auto"/>
        <w:right w:val="none" w:sz="0" w:space="0" w:color="auto"/>
      </w:divBdr>
      <w:divsChild>
        <w:div w:id="1274245613">
          <w:marLeft w:val="0"/>
          <w:marRight w:val="0"/>
          <w:marTop w:val="0"/>
          <w:marBottom w:val="0"/>
          <w:divBdr>
            <w:top w:val="none" w:sz="0" w:space="0" w:color="auto"/>
            <w:left w:val="none" w:sz="0" w:space="0" w:color="auto"/>
            <w:bottom w:val="none" w:sz="0" w:space="0" w:color="auto"/>
            <w:right w:val="none" w:sz="0" w:space="0" w:color="auto"/>
          </w:divBdr>
          <w:divsChild>
            <w:div w:id="2000034977">
              <w:marLeft w:val="0"/>
              <w:marRight w:val="0"/>
              <w:marTop w:val="0"/>
              <w:marBottom w:val="0"/>
              <w:divBdr>
                <w:top w:val="none" w:sz="0" w:space="0" w:color="auto"/>
                <w:left w:val="none" w:sz="0" w:space="0" w:color="auto"/>
                <w:bottom w:val="none" w:sz="0" w:space="0" w:color="auto"/>
                <w:right w:val="none" w:sz="0" w:space="0" w:color="auto"/>
              </w:divBdr>
              <w:divsChild>
                <w:div w:id="649945868">
                  <w:marLeft w:val="0"/>
                  <w:marRight w:val="0"/>
                  <w:marTop w:val="0"/>
                  <w:marBottom w:val="0"/>
                  <w:divBdr>
                    <w:top w:val="none" w:sz="0" w:space="0" w:color="auto"/>
                    <w:left w:val="none" w:sz="0" w:space="0" w:color="auto"/>
                    <w:bottom w:val="none" w:sz="0" w:space="0" w:color="auto"/>
                    <w:right w:val="none" w:sz="0" w:space="0" w:color="auto"/>
                  </w:divBdr>
                  <w:divsChild>
                    <w:div w:id="1511489442">
                      <w:marLeft w:val="0"/>
                      <w:marRight w:val="0"/>
                      <w:marTop w:val="0"/>
                      <w:marBottom w:val="0"/>
                      <w:divBdr>
                        <w:top w:val="none" w:sz="0" w:space="0" w:color="auto"/>
                        <w:left w:val="none" w:sz="0" w:space="0" w:color="auto"/>
                        <w:bottom w:val="none" w:sz="0" w:space="0" w:color="auto"/>
                        <w:right w:val="none" w:sz="0" w:space="0" w:color="auto"/>
                      </w:divBdr>
                      <w:divsChild>
                        <w:div w:id="60294904">
                          <w:marLeft w:val="0"/>
                          <w:marRight w:val="0"/>
                          <w:marTop w:val="0"/>
                          <w:marBottom w:val="0"/>
                          <w:divBdr>
                            <w:top w:val="none" w:sz="0" w:space="0" w:color="auto"/>
                            <w:left w:val="none" w:sz="0" w:space="0" w:color="auto"/>
                            <w:bottom w:val="none" w:sz="0" w:space="0" w:color="auto"/>
                            <w:right w:val="none" w:sz="0" w:space="0" w:color="auto"/>
                          </w:divBdr>
                          <w:divsChild>
                            <w:div w:id="369696280">
                              <w:marLeft w:val="0"/>
                              <w:marRight w:val="0"/>
                              <w:marTop w:val="0"/>
                              <w:marBottom w:val="0"/>
                              <w:divBdr>
                                <w:top w:val="none" w:sz="0" w:space="0" w:color="auto"/>
                                <w:left w:val="none" w:sz="0" w:space="0" w:color="auto"/>
                                <w:bottom w:val="none" w:sz="0" w:space="0" w:color="auto"/>
                                <w:right w:val="none" w:sz="0" w:space="0" w:color="auto"/>
                              </w:divBdr>
                              <w:divsChild>
                                <w:div w:id="789056640">
                                  <w:marLeft w:val="0"/>
                                  <w:marRight w:val="0"/>
                                  <w:marTop w:val="0"/>
                                  <w:marBottom w:val="0"/>
                                  <w:divBdr>
                                    <w:top w:val="none" w:sz="0" w:space="0" w:color="auto"/>
                                    <w:left w:val="none" w:sz="0" w:space="0" w:color="auto"/>
                                    <w:bottom w:val="none" w:sz="0" w:space="0" w:color="auto"/>
                                    <w:right w:val="none" w:sz="0" w:space="0" w:color="auto"/>
                                  </w:divBdr>
                                  <w:divsChild>
                                    <w:div w:id="1420520827">
                                      <w:marLeft w:val="0"/>
                                      <w:marRight w:val="0"/>
                                      <w:marTop w:val="0"/>
                                      <w:marBottom w:val="0"/>
                                      <w:divBdr>
                                        <w:top w:val="none" w:sz="0" w:space="0" w:color="auto"/>
                                        <w:left w:val="none" w:sz="0" w:space="0" w:color="auto"/>
                                        <w:bottom w:val="none" w:sz="0" w:space="0" w:color="auto"/>
                                        <w:right w:val="none" w:sz="0" w:space="0" w:color="auto"/>
                                      </w:divBdr>
                                      <w:divsChild>
                                        <w:div w:id="970404009">
                                          <w:marLeft w:val="0"/>
                                          <w:marRight w:val="0"/>
                                          <w:marTop w:val="0"/>
                                          <w:marBottom w:val="0"/>
                                          <w:divBdr>
                                            <w:top w:val="none" w:sz="0" w:space="0" w:color="auto"/>
                                            <w:left w:val="none" w:sz="0" w:space="0" w:color="auto"/>
                                            <w:bottom w:val="none" w:sz="0" w:space="0" w:color="auto"/>
                                            <w:right w:val="none" w:sz="0" w:space="0" w:color="auto"/>
                                          </w:divBdr>
                                          <w:divsChild>
                                            <w:div w:id="1521312359">
                                              <w:marLeft w:val="0"/>
                                              <w:marRight w:val="0"/>
                                              <w:marTop w:val="0"/>
                                              <w:marBottom w:val="0"/>
                                              <w:divBdr>
                                                <w:top w:val="none" w:sz="0" w:space="0" w:color="auto"/>
                                                <w:left w:val="none" w:sz="0" w:space="0" w:color="auto"/>
                                                <w:bottom w:val="none" w:sz="0" w:space="0" w:color="auto"/>
                                                <w:right w:val="none" w:sz="0" w:space="0" w:color="auto"/>
                                              </w:divBdr>
                                              <w:divsChild>
                                                <w:div w:id="1445884548">
                                                  <w:marLeft w:val="0"/>
                                                  <w:marRight w:val="0"/>
                                                  <w:marTop w:val="0"/>
                                                  <w:marBottom w:val="0"/>
                                                  <w:divBdr>
                                                    <w:top w:val="none" w:sz="0" w:space="0" w:color="auto"/>
                                                    <w:left w:val="none" w:sz="0" w:space="0" w:color="auto"/>
                                                    <w:bottom w:val="none" w:sz="0" w:space="0" w:color="auto"/>
                                                    <w:right w:val="none" w:sz="0" w:space="0" w:color="auto"/>
                                                  </w:divBdr>
                                                  <w:divsChild>
                                                    <w:div w:id="1932545398">
                                                      <w:marLeft w:val="0"/>
                                                      <w:marRight w:val="0"/>
                                                      <w:marTop w:val="0"/>
                                                      <w:marBottom w:val="0"/>
                                                      <w:divBdr>
                                                        <w:top w:val="none" w:sz="0" w:space="0" w:color="auto"/>
                                                        <w:left w:val="none" w:sz="0" w:space="0" w:color="auto"/>
                                                        <w:bottom w:val="none" w:sz="0" w:space="0" w:color="auto"/>
                                                        <w:right w:val="none" w:sz="0" w:space="0" w:color="auto"/>
                                                      </w:divBdr>
                                                      <w:divsChild>
                                                        <w:div w:id="10373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4592942">
      <w:bodyDiv w:val="1"/>
      <w:marLeft w:val="0"/>
      <w:marRight w:val="0"/>
      <w:marTop w:val="0"/>
      <w:marBottom w:val="0"/>
      <w:divBdr>
        <w:top w:val="none" w:sz="0" w:space="0" w:color="auto"/>
        <w:left w:val="none" w:sz="0" w:space="0" w:color="auto"/>
        <w:bottom w:val="none" w:sz="0" w:space="0" w:color="auto"/>
        <w:right w:val="none" w:sz="0" w:space="0" w:color="auto"/>
      </w:divBdr>
      <w:divsChild>
        <w:div w:id="390540155">
          <w:marLeft w:val="0"/>
          <w:marRight w:val="0"/>
          <w:marTop w:val="0"/>
          <w:marBottom w:val="0"/>
          <w:divBdr>
            <w:top w:val="none" w:sz="0" w:space="0" w:color="auto"/>
            <w:left w:val="none" w:sz="0" w:space="0" w:color="auto"/>
            <w:bottom w:val="none" w:sz="0" w:space="0" w:color="auto"/>
            <w:right w:val="none" w:sz="0" w:space="0" w:color="auto"/>
          </w:divBdr>
          <w:divsChild>
            <w:div w:id="1766030939">
              <w:marLeft w:val="0"/>
              <w:marRight w:val="0"/>
              <w:marTop w:val="0"/>
              <w:marBottom w:val="0"/>
              <w:divBdr>
                <w:top w:val="none" w:sz="0" w:space="0" w:color="auto"/>
                <w:left w:val="none" w:sz="0" w:space="0" w:color="auto"/>
                <w:bottom w:val="none" w:sz="0" w:space="0" w:color="auto"/>
                <w:right w:val="none" w:sz="0" w:space="0" w:color="auto"/>
              </w:divBdr>
              <w:divsChild>
                <w:div w:id="2009551900">
                  <w:marLeft w:val="0"/>
                  <w:marRight w:val="0"/>
                  <w:marTop w:val="0"/>
                  <w:marBottom w:val="0"/>
                  <w:divBdr>
                    <w:top w:val="none" w:sz="0" w:space="0" w:color="auto"/>
                    <w:left w:val="none" w:sz="0" w:space="0" w:color="auto"/>
                    <w:bottom w:val="none" w:sz="0" w:space="0" w:color="auto"/>
                    <w:right w:val="none" w:sz="0" w:space="0" w:color="auto"/>
                  </w:divBdr>
                  <w:divsChild>
                    <w:div w:id="826435891">
                      <w:marLeft w:val="0"/>
                      <w:marRight w:val="0"/>
                      <w:marTop w:val="0"/>
                      <w:marBottom w:val="0"/>
                      <w:divBdr>
                        <w:top w:val="none" w:sz="0" w:space="0" w:color="auto"/>
                        <w:left w:val="none" w:sz="0" w:space="0" w:color="auto"/>
                        <w:bottom w:val="none" w:sz="0" w:space="0" w:color="auto"/>
                        <w:right w:val="none" w:sz="0" w:space="0" w:color="auto"/>
                      </w:divBdr>
                      <w:divsChild>
                        <w:div w:id="1894654543">
                          <w:marLeft w:val="0"/>
                          <w:marRight w:val="0"/>
                          <w:marTop w:val="0"/>
                          <w:marBottom w:val="0"/>
                          <w:divBdr>
                            <w:top w:val="none" w:sz="0" w:space="0" w:color="auto"/>
                            <w:left w:val="none" w:sz="0" w:space="0" w:color="auto"/>
                            <w:bottom w:val="none" w:sz="0" w:space="0" w:color="auto"/>
                            <w:right w:val="none" w:sz="0" w:space="0" w:color="auto"/>
                          </w:divBdr>
                          <w:divsChild>
                            <w:div w:id="722338135">
                              <w:marLeft w:val="0"/>
                              <w:marRight w:val="0"/>
                              <w:marTop w:val="0"/>
                              <w:marBottom w:val="0"/>
                              <w:divBdr>
                                <w:top w:val="none" w:sz="0" w:space="0" w:color="auto"/>
                                <w:left w:val="none" w:sz="0" w:space="0" w:color="auto"/>
                                <w:bottom w:val="none" w:sz="0" w:space="0" w:color="auto"/>
                                <w:right w:val="none" w:sz="0" w:space="0" w:color="auto"/>
                              </w:divBdr>
                              <w:divsChild>
                                <w:div w:id="742142123">
                                  <w:marLeft w:val="0"/>
                                  <w:marRight w:val="0"/>
                                  <w:marTop w:val="0"/>
                                  <w:marBottom w:val="0"/>
                                  <w:divBdr>
                                    <w:top w:val="none" w:sz="0" w:space="0" w:color="auto"/>
                                    <w:left w:val="none" w:sz="0" w:space="0" w:color="auto"/>
                                    <w:bottom w:val="none" w:sz="0" w:space="0" w:color="auto"/>
                                    <w:right w:val="none" w:sz="0" w:space="0" w:color="auto"/>
                                  </w:divBdr>
                                  <w:divsChild>
                                    <w:div w:id="1935088139">
                                      <w:marLeft w:val="0"/>
                                      <w:marRight w:val="0"/>
                                      <w:marTop w:val="0"/>
                                      <w:marBottom w:val="0"/>
                                      <w:divBdr>
                                        <w:top w:val="none" w:sz="0" w:space="0" w:color="auto"/>
                                        <w:left w:val="none" w:sz="0" w:space="0" w:color="auto"/>
                                        <w:bottom w:val="none" w:sz="0" w:space="0" w:color="auto"/>
                                        <w:right w:val="none" w:sz="0" w:space="0" w:color="auto"/>
                                      </w:divBdr>
                                      <w:divsChild>
                                        <w:div w:id="2689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445498">
      <w:bodyDiv w:val="1"/>
      <w:marLeft w:val="0"/>
      <w:marRight w:val="0"/>
      <w:marTop w:val="0"/>
      <w:marBottom w:val="0"/>
      <w:divBdr>
        <w:top w:val="none" w:sz="0" w:space="0" w:color="auto"/>
        <w:left w:val="none" w:sz="0" w:space="0" w:color="auto"/>
        <w:bottom w:val="none" w:sz="0" w:space="0" w:color="auto"/>
        <w:right w:val="none" w:sz="0" w:space="0" w:color="auto"/>
      </w:divBdr>
    </w:div>
    <w:div w:id="755514386">
      <w:bodyDiv w:val="1"/>
      <w:marLeft w:val="0"/>
      <w:marRight w:val="0"/>
      <w:marTop w:val="0"/>
      <w:marBottom w:val="0"/>
      <w:divBdr>
        <w:top w:val="none" w:sz="0" w:space="0" w:color="auto"/>
        <w:left w:val="none" w:sz="0" w:space="0" w:color="auto"/>
        <w:bottom w:val="none" w:sz="0" w:space="0" w:color="auto"/>
        <w:right w:val="none" w:sz="0" w:space="0" w:color="auto"/>
      </w:divBdr>
      <w:divsChild>
        <w:div w:id="410735306">
          <w:marLeft w:val="0"/>
          <w:marRight w:val="0"/>
          <w:marTop w:val="0"/>
          <w:marBottom w:val="0"/>
          <w:divBdr>
            <w:top w:val="none" w:sz="0" w:space="0" w:color="auto"/>
            <w:left w:val="none" w:sz="0" w:space="0" w:color="auto"/>
            <w:bottom w:val="none" w:sz="0" w:space="0" w:color="auto"/>
            <w:right w:val="none" w:sz="0" w:space="0" w:color="auto"/>
          </w:divBdr>
          <w:divsChild>
            <w:div w:id="455368051">
              <w:marLeft w:val="0"/>
              <w:marRight w:val="0"/>
              <w:marTop w:val="0"/>
              <w:marBottom w:val="0"/>
              <w:divBdr>
                <w:top w:val="none" w:sz="0" w:space="0" w:color="auto"/>
                <w:left w:val="none" w:sz="0" w:space="0" w:color="auto"/>
                <w:bottom w:val="none" w:sz="0" w:space="0" w:color="auto"/>
                <w:right w:val="none" w:sz="0" w:space="0" w:color="auto"/>
              </w:divBdr>
              <w:divsChild>
                <w:div w:id="1478376908">
                  <w:marLeft w:val="0"/>
                  <w:marRight w:val="0"/>
                  <w:marTop w:val="0"/>
                  <w:marBottom w:val="0"/>
                  <w:divBdr>
                    <w:top w:val="none" w:sz="0" w:space="0" w:color="auto"/>
                    <w:left w:val="none" w:sz="0" w:space="0" w:color="auto"/>
                    <w:bottom w:val="none" w:sz="0" w:space="0" w:color="auto"/>
                    <w:right w:val="none" w:sz="0" w:space="0" w:color="auto"/>
                  </w:divBdr>
                  <w:divsChild>
                    <w:div w:id="1499619127">
                      <w:marLeft w:val="0"/>
                      <w:marRight w:val="0"/>
                      <w:marTop w:val="0"/>
                      <w:marBottom w:val="0"/>
                      <w:divBdr>
                        <w:top w:val="none" w:sz="0" w:space="0" w:color="auto"/>
                        <w:left w:val="none" w:sz="0" w:space="0" w:color="auto"/>
                        <w:bottom w:val="none" w:sz="0" w:space="0" w:color="auto"/>
                        <w:right w:val="none" w:sz="0" w:space="0" w:color="auto"/>
                      </w:divBdr>
                      <w:divsChild>
                        <w:div w:id="7072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14143">
                  <w:marLeft w:val="0"/>
                  <w:marRight w:val="0"/>
                  <w:marTop w:val="0"/>
                  <w:marBottom w:val="0"/>
                  <w:divBdr>
                    <w:top w:val="none" w:sz="0" w:space="0" w:color="auto"/>
                    <w:left w:val="none" w:sz="0" w:space="0" w:color="auto"/>
                    <w:bottom w:val="none" w:sz="0" w:space="0" w:color="auto"/>
                    <w:right w:val="none" w:sz="0" w:space="0" w:color="auto"/>
                  </w:divBdr>
                  <w:divsChild>
                    <w:div w:id="833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92564">
      <w:bodyDiv w:val="1"/>
      <w:marLeft w:val="0"/>
      <w:marRight w:val="0"/>
      <w:marTop w:val="0"/>
      <w:marBottom w:val="0"/>
      <w:divBdr>
        <w:top w:val="none" w:sz="0" w:space="0" w:color="auto"/>
        <w:left w:val="none" w:sz="0" w:space="0" w:color="auto"/>
        <w:bottom w:val="none" w:sz="0" w:space="0" w:color="auto"/>
        <w:right w:val="none" w:sz="0" w:space="0" w:color="auto"/>
      </w:divBdr>
      <w:divsChild>
        <w:div w:id="1494836586">
          <w:marLeft w:val="0"/>
          <w:marRight w:val="0"/>
          <w:marTop w:val="0"/>
          <w:marBottom w:val="0"/>
          <w:divBdr>
            <w:top w:val="single" w:sz="2" w:space="0" w:color="AAAAAA"/>
            <w:left w:val="single" w:sz="6" w:space="8" w:color="AAAAAA"/>
            <w:bottom w:val="single" w:sz="2" w:space="0" w:color="AAAAAA"/>
            <w:right w:val="single" w:sz="6" w:space="8" w:color="AAAAAA"/>
          </w:divBdr>
          <w:divsChild>
            <w:div w:id="2008558727">
              <w:marLeft w:val="0"/>
              <w:marRight w:val="0"/>
              <w:marTop w:val="0"/>
              <w:marBottom w:val="0"/>
              <w:divBdr>
                <w:top w:val="none" w:sz="0" w:space="0" w:color="auto"/>
                <w:left w:val="none" w:sz="0" w:space="0" w:color="auto"/>
                <w:bottom w:val="none" w:sz="0" w:space="0" w:color="auto"/>
                <w:right w:val="none" w:sz="0" w:space="0" w:color="auto"/>
              </w:divBdr>
              <w:divsChild>
                <w:div w:id="201990153">
                  <w:marLeft w:val="0"/>
                  <w:marRight w:val="0"/>
                  <w:marTop w:val="0"/>
                  <w:marBottom w:val="0"/>
                  <w:divBdr>
                    <w:top w:val="none" w:sz="0" w:space="0" w:color="auto"/>
                    <w:left w:val="none" w:sz="0" w:space="0" w:color="auto"/>
                    <w:bottom w:val="none" w:sz="0" w:space="0" w:color="auto"/>
                    <w:right w:val="none" w:sz="0" w:space="0" w:color="auto"/>
                  </w:divBdr>
                  <w:divsChild>
                    <w:div w:id="929850739">
                      <w:marLeft w:val="0"/>
                      <w:marRight w:val="2550"/>
                      <w:marTop w:val="0"/>
                      <w:marBottom w:val="48"/>
                      <w:divBdr>
                        <w:top w:val="none" w:sz="0" w:space="0" w:color="auto"/>
                        <w:left w:val="none" w:sz="0" w:space="0" w:color="auto"/>
                        <w:bottom w:val="none" w:sz="0" w:space="0" w:color="auto"/>
                        <w:right w:val="none" w:sz="0" w:space="0" w:color="auto"/>
                      </w:divBdr>
                      <w:divsChild>
                        <w:div w:id="8696053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56945220">
      <w:bodyDiv w:val="1"/>
      <w:marLeft w:val="0"/>
      <w:marRight w:val="0"/>
      <w:marTop w:val="0"/>
      <w:marBottom w:val="0"/>
      <w:divBdr>
        <w:top w:val="none" w:sz="0" w:space="0" w:color="auto"/>
        <w:left w:val="none" w:sz="0" w:space="0" w:color="auto"/>
        <w:bottom w:val="none" w:sz="0" w:space="0" w:color="auto"/>
        <w:right w:val="none" w:sz="0" w:space="0" w:color="auto"/>
      </w:divBdr>
      <w:divsChild>
        <w:div w:id="155727957">
          <w:marLeft w:val="0"/>
          <w:marRight w:val="0"/>
          <w:marTop w:val="0"/>
          <w:marBottom w:val="0"/>
          <w:divBdr>
            <w:top w:val="none" w:sz="0" w:space="0" w:color="auto"/>
            <w:left w:val="none" w:sz="0" w:space="0" w:color="auto"/>
            <w:bottom w:val="none" w:sz="0" w:space="0" w:color="auto"/>
            <w:right w:val="none" w:sz="0" w:space="0" w:color="auto"/>
          </w:divBdr>
          <w:divsChild>
            <w:div w:id="1308441297">
              <w:marLeft w:val="0"/>
              <w:marRight w:val="0"/>
              <w:marTop w:val="0"/>
              <w:marBottom w:val="0"/>
              <w:divBdr>
                <w:top w:val="none" w:sz="0" w:space="0" w:color="auto"/>
                <w:left w:val="none" w:sz="0" w:space="0" w:color="auto"/>
                <w:bottom w:val="none" w:sz="0" w:space="0" w:color="auto"/>
                <w:right w:val="none" w:sz="0" w:space="0" w:color="auto"/>
              </w:divBdr>
              <w:divsChild>
                <w:div w:id="1567446528">
                  <w:marLeft w:val="0"/>
                  <w:marRight w:val="0"/>
                  <w:marTop w:val="0"/>
                  <w:marBottom w:val="0"/>
                  <w:divBdr>
                    <w:top w:val="none" w:sz="0" w:space="0" w:color="auto"/>
                    <w:left w:val="none" w:sz="0" w:space="0" w:color="auto"/>
                    <w:bottom w:val="none" w:sz="0" w:space="0" w:color="auto"/>
                    <w:right w:val="none" w:sz="0" w:space="0" w:color="auto"/>
                  </w:divBdr>
                  <w:divsChild>
                    <w:div w:id="645161556">
                      <w:marLeft w:val="0"/>
                      <w:marRight w:val="0"/>
                      <w:marTop w:val="0"/>
                      <w:marBottom w:val="0"/>
                      <w:divBdr>
                        <w:top w:val="none" w:sz="0" w:space="0" w:color="auto"/>
                        <w:left w:val="none" w:sz="0" w:space="0" w:color="auto"/>
                        <w:bottom w:val="none" w:sz="0" w:space="0" w:color="auto"/>
                        <w:right w:val="none" w:sz="0" w:space="0" w:color="auto"/>
                      </w:divBdr>
                      <w:divsChild>
                        <w:div w:id="1131249584">
                          <w:marLeft w:val="0"/>
                          <w:marRight w:val="0"/>
                          <w:marTop w:val="0"/>
                          <w:marBottom w:val="0"/>
                          <w:divBdr>
                            <w:top w:val="none" w:sz="0" w:space="0" w:color="auto"/>
                            <w:left w:val="none" w:sz="0" w:space="0" w:color="auto"/>
                            <w:bottom w:val="none" w:sz="0" w:space="0" w:color="auto"/>
                            <w:right w:val="none" w:sz="0" w:space="0" w:color="auto"/>
                          </w:divBdr>
                          <w:divsChild>
                            <w:div w:id="481309428">
                              <w:marLeft w:val="0"/>
                              <w:marRight w:val="0"/>
                              <w:marTop w:val="0"/>
                              <w:marBottom w:val="0"/>
                              <w:divBdr>
                                <w:top w:val="none" w:sz="0" w:space="0" w:color="auto"/>
                                <w:left w:val="none" w:sz="0" w:space="0" w:color="auto"/>
                                <w:bottom w:val="none" w:sz="0" w:space="0" w:color="auto"/>
                                <w:right w:val="none" w:sz="0" w:space="0" w:color="auto"/>
                              </w:divBdr>
                              <w:divsChild>
                                <w:div w:id="1377124831">
                                  <w:marLeft w:val="0"/>
                                  <w:marRight w:val="0"/>
                                  <w:marTop w:val="0"/>
                                  <w:marBottom w:val="0"/>
                                  <w:divBdr>
                                    <w:top w:val="none" w:sz="0" w:space="0" w:color="auto"/>
                                    <w:left w:val="none" w:sz="0" w:space="0" w:color="auto"/>
                                    <w:bottom w:val="none" w:sz="0" w:space="0" w:color="auto"/>
                                    <w:right w:val="none" w:sz="0" w:space="0" w:color="auto"/>
                                  </w:divBdr>
                                  <w:divsChild>
                                    <w:div w:id="1301881684">
                                      <w:marLeft w:val="0"/>
                                      <w:marRight w:val="0"/>
                                      <w:marTop w:val="0"/>
                                      <w:marBottom w:val="0"/>
                                      <w:divBdr>
                                        <w:top w:val="none" w:sz="0" w:space="0" w:color="auto"/>
                                        <w:left w:val="none" w:sz="0" w:space="0" w:color="auto"/>
                                        <w:bottom w:val="none" w:sz="0" w:space="0" w:color="auto"/>
                                        <w:right w:val="none" w:sz="0" w:space="0" w:color="auto"/>
                                      </w:divBdr>
                                      <w:divsChild>
                                        <w:div w:id="953168001">
                                          <w:marLeft w:val="0"/>
                                          <w:marRight w:val="0"/>
                                          <w:marTop w:val="0"/>
                                          <w:marBottom w:val="0"/>
                                          <w:divBdr>
                                            <w:top w:val="none" w:sz="0" w:space="0" w:color="auto"/>
                                            <w:left w:val="none" w:sz="0" w:space="0" w:color="auto"/>
                                            <w:bottom w:val="none" w:sz="0" w:space="0" w:color="auto"/>
                                            <w:right w:val="none" w:sz="0" w:space="0" w:color="auto"/>
                                          </w:divBdr>
                                          <w:divsChild>
                                            <w:div w:id="1481967431">
                                              <w:marLeft w:val="0"/>
                                              <w:marRight w:val="0"/>
                                              <w:marTop w:val="0"/>
                                              <w:marBottom w:val="0"/>
                                              <w:divBdr>
                                                <w:top w:val="none" w:sz="0" w:space="0" w:color="auto"/>
                                                <w:left w:val="none" w:sz="0" w:space="0" w:color="auto"/>
                                                <w:bottom w:val="none" w:sz="0" w:space="0" w:color="auto"/>
                                                <w:right w:val="none" w:sz="0" w:space="0" w:color="auto"/>
                                              </w:divBdr>
                                              <w:divsChild>
                                                <w:div w:id="844366367">
                                                  <w:marLeft w:val="0"/>
                                                  <w:marRight w:val="0"/>
                                                  <w:marTop w:val="0"/>
                                                  <w:marBottom w:val="0"/>
                                                  <w:divBdr>
                                                    <w:top w:val="none" w:sz="0" w:space="0" w:color="auto"/>
                                                    <w:left w:val="none" w:sz="0" w:space="0" w:color="auto"/>
                                                    <w:bottom w:val="none" w:sz="0" w:space="0" w:color="auto"/>
                                                    <w:right w:val="none" w:sz="0" w:space="0" w:color="auto"/>
                                                  </w:divBdr>
                                                  <w:divsChild>
                                                    <w:div w:id="219244899">
                                                      <w:marLeft w:val="0"/>
                                                      <w:marRight w:val="0"/>
                                                      <w:marTop w:val="0"/>
                                                      <w:marBottom w:val="0"/>
                                                      <w:divBdr>
                                                        <w:top w:val="none" w:sz="0" w:space="0" w:color="auto"/>
                                                        <w:left w:val="none" w:sz="0" w:space="0" w:color="auto"/>
                                                        <w:bottom w:val="none" w:sz="0" w:space="0" w:color="auto"/>
                                                        <w:right w:val="none" w:sz="0" w:space="0" w:color="auto"/>
                                                      </w:divBdr>
                                                      <w:divsChild>
                                                        <w:div w:id="9182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097335225">
          <w:marLeft w:val="0"/>
          <w:marRight w:val="0"/>
          <w:marTop w:val="0"/>
          <w:marBottom w:val="0"/>
          <w:divBdr>
            <w:top w:val="single" w:sz="6" w:space="0" w:color="0E477A"/>
            <w:left w:val="single" w:sz="6" w:space="0" w:color="0E477A"/>
            <w:bottom w:val="single" w:sz="6" w:space="0" w:color="0E477A"/>
            <w:right w:val="single" w:sz="6" w:space="0" w:color="0E477A"/>
          </w:divBdr>
          <w:divsChild>
            <w:div w:id="301814838">
              <w:marLeft w:val="2925"/>
              <w:marRight w:val="0"/>
              <w:marTop w:val="0"/>
              <w:marBottom w:val="0"/>
              <w:divBdr>
                <w:top w:val="none" w:sz="0" w:space="0" w:color="auto"/>
                <w:left w:val="none" w:sz="0" w:space="0" w:color="auto"/>
                <w:bottom w:val="none" w:sz="0" w:space="0" w:color="auto"/>
                <w:right w:val="none" w:sz="0" w:space="0" w:color="auto"/>
              </w:divBdr>
              <w:divsChild>
                <w:div w:id="357463429">
                  <w:marLeft w:val="0"/>
                  <w:marRight w:val="0"/>
                  <w:marTop w:val="0"/>
                  <w:marBottom w:val="0"/>
                  <w:divBdr>
                    <w:top w:val="none" w:sz="0" w:space="0" w:color="auto"/>
                    <w:left w:val="none" w:sz="0" w:space="0" w:color="auto"/>
                    <w:bottom w:val="none" w:sz="0" w:space="0" w:color="auto"/>
                    <w:right w:val="none" w:sz="0" w:space="0" w:color="auto"/>
                  </w:divBdr>
                  <w:divsChild>
                    <w:div w:id="1316640671">
                      <w:marLeft w:val="0"/>
                      <w:marRight w:val="150"/>
                      <w:marTop w:val="0"/>
                      <w:marBottom w:val="0"/>
                      <w:divBdr>
                        <w:top w:val="single" w:sz="6" w:space="0" w:color="CCCCCC"/>
                        <w:left w:val="single" w:sz="6" w:space="8" w:color="CCCCCC"/>
                        <w:bottom w:val="single" w:sz="6" w:space="8" w:color="CCCCCC"/>
                        <w:right w:val="single" w:sz="6" w:space="8" w:color="CCCCCC"/>
                      </w:divBdr>
                      <w:divsChild>
                        <w:div w:id="1470905061">
                          <w:marLeft w:val="0"/>
                          <w:marRight w:val="0"/>
                          <w:marTop w:val="0"/>
                          <w:marBottom w:val="0"/>
                          <w:divBdr>
                            <w:top w:val="none" w:sz="0" w:space="0" w:color="auto"/>
                            <w:left w:val="none" w:sz="0" w:space="0" w:color="auto"/>
                            <w:bottom w:val="none" w:sz="0" w:space="0" w:color="auto"/>
                            <w:right w:val="none" w:sz="0" w:space="0" w:color="auto"/>
                          </w:divBdr>
                        </w:div>
                        <w:div w:id="5450752">
                          <w:marLeft w:val="0"/>
                          <w:marRight w:val="0"/>
                          <w:marTop w:val="0"/>
                          <w:marBottom w:val="0"/>
                          <w:divBdr>
                            <w:top w:val="none" w:sz="0" w:space="0" w:color="auto"/>
                            <w:left w:val="none" w:sz="0" w:space="0" w:color="auto"/>
                            <w:bottom w:val="none" w:sz="0" w:space="0" w:color="auto"/>
                            <w:right w:val="none" w:sz="0" w:space="0" w:color="auto"/>
                          </w:divBdr>
                        </w:div>
                        <w:div w:id="211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143540">
      <w:bodyDiv w:val="1"/>
      <w:marLeft w:val="0"/>
      <w:marRight w:val="0"/>
      <w:marTop w:val="0"/>
      <w:marBottom w:val="0"/>
      <w:divBdr>
        <w:top w:val="none" w:sz="0" w:space="0" w:color="auto"/>
        <w:left w:val="none" w:sz="0" w:space="0" w:color="auto"/>
        <w:bottom w:val="none" w:sz="0" w:space="0" w:color="auto"/>
        <w:right w:val="none" w:sz="0" w:space="0" w:color="auto"/>
      </w:divBdr>
      <w:divsChild>
        <w:div w:id="746731999">
          <w:marLeft w:val="0"/>
          <w:marRight w:val="0"/>
          <w:marTop w:val="0"/>
          <w:marBottom w:val="0"/>
          <w:divBdr>
            <w:top w:val="single" w:sz="6" w:space="0" w:color="0E477A"/>
            <w:left w:val="single" w:sz="6" w:space="0" w:color="0E477A"/>
            <w:bottom w:val="single" w:sz="6" w:space="0" w:color="0E477A"/>
            <w:right w:val="single" w:sz="6" w:space="0" w:color="0E477A"/>
          </w:divBdr>
          <w:divsChild>
            <w:div w:id="1584335500">
              <w:marLeft w:val="0"/>
              <w:marRight w:val="0"/>
              <w:marTop w:val="0"/>
              <w:marBottom w:val="0"/>
              <w:divBdr>
                <w:top w:val="none" w:sz="0" w:space="0" w:color="auto"/>
                <w:left w:val="none" w:sz="0" w:space="0" w:color="auto"/>
                <w:bottom w:val="none" w:sz="0" w:space="0" w:color="auto"/>
                <w:right w:val="none" w:sz="0" w:space="0" w:color="auto"/>
              </w:divBdr>
              <w:divsChild>
                <w:div w:id="111024212">
                  <w:marLeft w:val="0"/>
                  <w:marRight w:val="0"/>
                  <w:marTop w:val="0"/>
                  <w:marBottom w:val="0"/>
                  <w:divBdr>
                    <w:top w:val="none" w:sz="0" w:space="0" w:color="auto"/>
                    <w:left w:val="none" w:sz="0" w:space="0" w:color="auto"/>
                    <w:bottom w:val="none" w:sz="0" w:space="0" w:color="auto"/>
                    <w:right w:val="none" w:sz="0" w:space="0" w:color="auto"/>
                  </w:divBdr>
                  <w:divsChild>
                    <w:div w:id="1732117034">
                      <w:marLeft w:val="0"/>
                      <w:marRight w:val="0"/>
                      <w:marTop w:val="0"/>
                      <w:marBottom w:val="0"/>
                      <w:divBdr>
                        <w:top w:val="none" w:sz="0" w:space="0" w:color="auto"/>
                        <w:left w:val="none" w:sz="0" w:space="0" w:color="auto"/>
                        <w:bottom w:val="none" w:sz="0" w:space="0" w:color="auto"/>
                        <w:right w:val="none" w:sz="0" w:space="0" w:color="auto"/>
                      </w:divBdr>
                      <w:divsChild>
                        <w:div w:id="298386815">
                          <w:marLeft w:val="0"/>
                          <w:marRight w:val="0"/>
                          <w:marTop w:val="0"/>
                          <w:marBottom w:val="0"/>
                          <w:divBdr>
                            <w:top w:val="none" w:sz="0" w:space="0" w:color="auto"/>
                            <w:left w:val="none" w:sz="0" w:space="0" w:color="auto"/>
                            <w:bottom w:val="none" w:sz="0" w:space="0" w:color="auto"/>
                            <w:right w:val="none" w:sz="0" w:space="0" w:color="auto"/>
                          </w:divBdr>
                          <w:divsChild>
                            <w:div w:id="1067194220">
                              <w:marLeft w:val="0"/>
                              <w:marRight w:val="0"/>
                              <w:marTop w:val="0"/>
                              <w:marBottom w:val="0"/>
                              <w:divBdr>
                                <w:top w:val="none" w:sz="0" w:space="0" w:color="auto"/>
                                <w:left w:val="none" w:sz="0" w:space="0" w:color="auto"/>
                                <w:bottom w:val="none" w:sz="0" w:space="0" w:color="auto"/>
                                <w:right w:val="none" w:sz="0" w:space="0" w:color="auto"/>
                              </w:divBdr>
                              <w:divsChild>
                                <w:div w:id="2012558785">
                                  <w:marLeft w:val="0"/>
                                  <w:marRight w:val="0"/>
                                  <w:marTop w:val="0"/>
                                  <w:marBottom w:val="0"/>
                                  <w:divBdr>
                                    <w:top w:val="none" w:sz="0" w:space="0" w:color="auto"/>
                                    <w:left w:val="none" w:sz="0" w:space="0" w:color="auto"/>
                                    <w:bottom w:val="none" w:sz="0" w:space="0" w:color="auto"/>
                                    <w:right w:val="none" w:sz="0" w:space="0" w:color="auto"/>
                                  </w:divBdr>
                                  <w:divsChild>
                                    <w:div w:id="287781247">
                                      <w:marLeft w:val="0"/>
                                      <w:marRight w:val="0"/>
                                      <w:marTop w:val="0"/>
                                      <w:marBottom w:val="0"/>
                                      <w:divBdr>
                                        <w:top w:val="none" w:sz="0" w:space="0" w:color="auto"/>
                                        <w:left w:val="none" w:sz="0" w:space="0" w:color="auto"/>
                                        <w:bottom w:val="none" w:sz="0" w:space="0" w:color="auto"/>
                                        <w:right w:val="none" w:sz="0" w:space="0" w:color="auto"/>
                                      </w:divBdr>
                                      <w:divsChild>
                                        <w:div w:id="1677801556">
                                          <w:marLeft w:val="0"/>
                                          <w:marRight w:val="0"/>
                                          <w:marTop w:val="0"/>
                                          <w:marBottom w:val="0"/>
                                          <w:divBdr>
                                            <w:top w:val="none" w:sz="0" w:space="0" w:color="auto"/>
                                            <w:left w:val="none" w:sz="0" w:space="0" w:color="auto"/>
                                            <w:bottom w:val="none" w:sz="0" w:space="0" w:color="auto"/>
                                            <w:right w:val="none" w:sz="0" w:space="0" w:color="auto"/>
                                          </w:divBdr>
                                          <w:divsChild>
                                            <w:div w:id="2101102052">
                                              <w:marLeft w:val="0"/>
                                              <w:marRight w:val="0"/>
                                              <w:marTop w:val="0"/>
                                              <w:marBottom w:val="0"/>
                                              <w:divBdr>
                                                <w:top w:val="none" w:sz="0" w:space="0" w:color="auto"/>
                                                <w:left w:val="none" w:sz="0" w:space="0" w:color="auto"/>
                                                <w:bottom w:val="none" w:sz="0" w:space="0" w:color="auto"/>
                                                <w:right w:val="none" w:sz="0" w:space="0" w:color="auto"/>
                                              </w:divBdr>
                                              <w:divsChild>
                                                <w:div w:id="3519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450644">
      <w:bodyDiv w:val="1"/>
      <w:marLeft w:val="0"/>
      <w:marRight w:val="0"/>
      <w:marTop w:val="0"/>
      <w:marBottom w:val="0"/>
      <w:divBdr>
        <w:top w:val="none" w:sz="0" w:space="0" w:color="auto"/>
        <w:left w:val="none" w:sz="0" w:space="0" w:color="auto"/>
        <w:bottom w:val="none" w:sz="0" w:space="0" w:color="auto"/>
        <w:right w:val="none" w:sz="0" w:space="0" w:color="auto"/>
      </w:divBdr>
      <w:divsChild>
        <w:div w:id="800726813">
          <w:marLeft w:val="0"/>
          <w:marRight w:val="0"/>
          <w:marTop w:val="0"/>
          <w:marBottom w:val="0"/>
          <w:divBdr>
            <w:top w:val="none" w:sz="0" w:space="0" w:color="auto"/>
            <w:left w:val="none" w:sz="0" w:space="0" w:color="auto"/>
            <w:bottom w:val="none" w:sz="0" w:space="0" w:color="auto"/>
            <w:right w:val="none" w:sz="0" w:space="0" w:color="auto"/>
          </w:divBdr>
          <w:divsChild>
            <w:div w:id="649482223">
              <w:marLeft w:val="0"/>
              <w:marRight w:val="0"/>
              <w:marTop w:val="0"/>
              <w:marBottom w:val="0"/>
              <w:divBdr>
                <w:top w:val="none" w:sz="0" w:space="0" w:color="auto"/>
                <w:left w:val="none" w:sz="0" w:space="0" w:color="auto"/>
                <w:bottom w:val="none" w:sz="0" w:space="0" w:color="auto"/>
                <w:right w:val="none" w:sz="0" w:space="0" w:color="auto"/>
              </w:divBdr>
              <w:divsChild>
                <w:div w:id="768428932">
                  <w:marLeft w:val="0"/>
                  <w:marRight w:val="0"/>
                  <w:marTop w:val="100"/>
                  <w:marBottom w:val="100"/>
                  <w:divBdr>
                    <w:top w:val="none" w:sz="0" w:space="0" w:color="auto"/>
                    <w:left w:val="none" w:sz="0" w:space="0" w:color="auto"/>
                    <w:bottom w:val="none" w:sz="0" w:space="0" w:color="auto"/>
                    <w:right w:val="none" w:sz="0" w:space="0" w:color="auto"/>
                  </w:divBdr>
                  <w:divsChild>
                    <w:div w:id="882015048">
                      <w:marLeft w:val="0"/>
                      <w:marRight w:val="0"/>
                      <w:marTop w:val="0"/>
                      <w:marBottom w:val="0"/>
                      <w:divBdr>
                        <w:top w:val="none" w:sz="0" w:space="0" w:color="auto"/>
                        <w:left w:val="none" w:sz="0" w:space="0" w:color="auto"/>
                        <w:bottom w:val="none" w:sz="0" w:space="0" w:color="auto"/>
                        <w:right w:val="none" w:sz="0" w:space="0" w:color="auto"/>
                      </w:divBdr>
                      <w:divsChild>
                        <w:div w:id="181013666">
                          <w:marLeft w:val="0"/>
                          <w:marRight w:val="0"/>
                          <w:marTop w:val="0"/>
                          <w:marBottom w:val="0"/>
                          <w:divBdr>
                            <w:top w:val="none" w:sz="0" w:space="0" w:color="auto"/>
                            <w:left w:val="none" w:sz="0" w:space="0" w:color="auto"/>
                            <w:bottom w:val="none" w:sz="0" w:space="0" w:color="auto"/>
                            <w:right w:val="none" w:sz="0" w:space="0" w:color="auto"/>
                          </w:divBdr>
                          <w:divsChild>
                            <w:div w:id="1227573714">
                              <w:marLeft w:val="0"/>
                              <w:marRight w:val="0"/>
                              <w:marTop w:val="0"/>
                              <w:marBottom w:val="0"/>
                              <w:divBdr>
                                <w:top w:val="none" w:sz="0" w:space="0" w:color="auto"/>
                                <w:left w:val="none" w:sz="0" w:space="0" w:color="auto"/>
                                <w:bottom w:val="none" w:sz="0" w:space="0" w:color="auto"/>
                                <w:right w:val="none" w:sz="0" w:space="0" w:color="auto"/>
                              </w:divBdr>
                              <w:divsChild>
                                <w:div w:id="316229519">
                                  <w:marLeft w:val="0"/>
                                  <w:marRight w:val="0"/>
                                  <w:marTop w:val="0"/>
                                  <w:marBottom w:val="0"/>
                                  <w:divBdr>
                                    <w:top w:val="none" w:sz="0" w:space="0" w:color="auto"/>
                                    <w:left w:val="none" w:sz="0" w:space="0" w:color="auto"/>
                                    <w:bottom w:val="none" w:sz="0" w:space="0" w:color="auto"/>
                                    <w:right w:val="none" w:sz="0" w:space="0" w:color="auto"/>
                                  </w:divBdr>
                                  <w:divsChild>
                                    <w:div w:id="6516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025890">
      <w:bodyDiv w:val="1"/>
      <w:marLeft w:val="0"/>
      <w:marRight w:val="0"/>
      <w:marTop w:val="0"/>
      <w:marBottom w:val="0"/>
      <w:divBdr>
        <w:top w:val="none" w:sz="0" w:space="0" w:color="auto"/>
        <w:left w:val="none" w:sz="0" w:space="0" w:color="auto"/>
        <w:bottom w:val="none" w:sz="0" w:space="0" w:color="auto"/>
        <w:right w:val="none" w:sz="0" w:space="0" w:color="auto"/>
      </w:divBdr>
      <w:divsChild>
        <w:div w:id="1823234062">
          <w:marLeft w:val="0"/>
          <w:marRight w:val="0"/>
          <w:marTop w:val="0"/>
          <w:marBottom w:val="0"/>
          <w:divBdr>
            <w:top w:val="none" w:sz="0" w:space="0" w:color="auto"/>
            <w:left w:val="none" w:sz="0" w:space="0" w:color="auto"/>
            <w:bottom w:val="none" w:sz="0" w:space="0" w:color="auto"/>
            <w:right w:val="none" w:sz="0" w:space="0" w:color="auto"/>
          </w:divBdr>
          <w:divsChild>
            <w:div w:id="1609115470">
              <w:marLeft w:val="0"/>
              <w:marRight w:val="0"/>
              <w:marTop w:val="0"/>
              <w:marBottom w:val="0"/>
              <w:divBdr>
                <w:top w:val="none" w:sz="0" w:space="0" w:color="auto"/>
                <w:left w:val="none" w:sz="0" w:space="0" w:color="auto"/>
                <w:bottom w:val="none" w:sz="0" w:space="0" w:color="auto"/>
                <w:right w:val="none" w:sz="0" w:space="0" w:color="auto"/>
              </w:divBdr>
              <w:divsChild>
                <w:div w:id="1789205368">
                  <w:marLeft w:val="0"/>
                  <w:marRight w:val="0"/>
                  <w:marTop w:val="0"/>
                  <w:marBottom w:val="0"/>
                  <w:divBdr>
                    <w:top w:val="none" w:sz="0" w:space="0" w:color="auto"/>
                    <w:left w:val="none" w:sz="0" w:space="0" w:color="auto"/>
                    <w:bottom w:val="none" w:sz="0" w:space="0" w:color="auto"/>
                    <w:right w:val="none" w:sz="0" w:space="0" w:color="auto"/>
                  </w:divBdr>
                  <w:divsChild>
                    <w:div w:id="1923948305">
                      <w:marLeft w:val="0"/>
                      <w:marRight w:val="0"/>
                      <w:marTop w:val="0"/>
                      <w:marBottom w:val="0"/>
                      <w:divBdr>
                        <w:top w:val="none" w:sz="0" w:space="0" w:color="auto"/>
                        <w:left w:val="none" w:sz="0" w:space="0" w:color="auto"/>
                        <w:bottom w:val="none" w:sz="0" w:space="0" w:color="auto"/>
                        <w:right w:val="none" w:sz="0" w:space="0" w:color="auto"/>
                      </w:divBdr>
                      <w:divsChild>
                        <w:div w:id="320424738">
                          <w:marLeft w:val="0"/>
                          <w:marRight w:val="0"/>
                          <w:marTop w:val="0"/>
                          <w:marBottom w:val="0"/>
                          <w:divBdr>
                            <w:top w:val="none" w:sz="0" w:space="0" w:color="auto"/>
                            <w:left w:val="none" w:sz="0" w:space="0" w:color="auto"/>
                            <w:bottom w:val="none" w:sz="0" w:space="0" w:color="auto"/>
                            <w:right w:val="none" w:sz="0" w:space="0" w:color="auto"/>
                          </w:divBdr>
                          <w:divsChild>
                            <w:div w:id="2019306579">
                              <w:marLeft w:val="0"/>
                              <w:marRight w:val="0"/>
                              <w:marTop w:val="0"/>
                              <w:marBottom w:val="0"/>
                              <w:divBdr>
                                <w:top w:val="none" w:sz="0" w:space="0" w:color="auto"/>
                                <w:left w:val="none" w:sz="0" w:space="0" w:color="auto"/>
                                <w:bottom w:val="none" w:sz="0" w:space="0" w:color="auto"/>
                                <w:right w:val="none" w:sz="0" w:space="0" w:color="auto"/>
                              </w:divBdr>
                              <w:divsChild>
                                <w:div w:id="1519394968">
                                  <w:marLeft w:val="0"/>
                                  <w:marRight w:val="0"/>
                                  <w:marTop w:val="0"/>
                                  <w:marBottom w:val="0"/>
                                  <w:divBdr>
                                    <w:top w:val="none" w:sz="0" w:space="0" w:color="auto"/>
                                    <w:left w:val="none" w:sz="0" w:space="0" w:color="auto"/>
                                    <w:bottom w:val="none" w:sz="0" w:space="0" w:color="auto"/>
                                    <w:right w:val="none" w:sz="0" w:space="0" w:color="auto"/>
                                  </w:divBdr>
                                  <w:divsChild>
                                    <w:div w:id="1876186651">
                                      <w:marLeft w:val="0"/>
                                      <w:marRight w:val="0"/>
                                      <w:marTop w:val="0"/>
                                      <w:marBottom w:val="0"/>
                                      <w:divBdr>
                                        <w:top w:val="none" w:sz="0" w:space="0" w:color="auto"/>
                                        <w:left w:val="none" w:sz="0" w:space="0" w:color="auto"/>
                                        <w:bottom w:val="none" w:sz="0" w:space="0" w:color="auto"/>
                                        <w:right w:val="none" w:sz="0" w:space="0" w:color="auto"/>
                                      </w:divBdr>
                                      <w:divsChild>
                                        <w:div w:id="14091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530809">
      <w:bodyDiv w:val="1"/>
      <w:marLeft w:val="0"/>
      <w:marRight w:val="0"/>
      <w:marTop w:val="0"/>
      <w:marBottom w:val="0"/>
      <w:divBdr>
        <w:top w:val="none" w:sz="0" w:space="0" w:color="auto"/>
        <w:left w:val="none" w:sz="0" w:space="0" w:color="auto"/>
        <w:bottom w:val="none" w:sz="0" w:space="0" w:color="auto"/>
        <w:right w:val="none" w:sz="0" w:space="0" w:color="auto"/>
      </w:divBdr>
    </w:div>
    <w:div w:id="762648654">
      <w:bodyDiv w:val="1"/>
      <w:marLeft w:val="0"/>
      <w:marRight w:val="0"/>
      <w:marTop w:val="0"/>
      <w:marBottom w:val="0"/>
      <w:divBdr>
        <w:top w:val="none" w:sz="0" w:space="0" w:color="auto"/>
        <w:left w:val="none" w:sz="0" w:space="0" w:color="auto"/>
        <w:bottom w:val="none" w:sz="0" w:space="0" w:color="auto"/>
        <w:right w:val="none" w:sz="0" w:space="0" w:color="auto"/>
      </w:divBdr>
      <w:divsChild>
        <w:div w:id="1029335993">
          <w:marLeft w:val="0"/>
          <w:marRight w:val="0"/>
          <w:marTop w:val="0"/>
          <w:marBottom w:val="0"/>
          <w:divBdr>
            <w:top w:val="none" w:sz="0" w:space="0" w:color="auto"/>
            <w:left w:val="none" w:sz="0" w:space="0" w:color="auto"/>
            <w:bottom w:val="none" w:sz="0" w:space="0" w:color="auto"/>
            <w:right w:val="none" w:sz="0" w:space="0" w:color="auto"/>
          </w:divBdr>
          <w:divsChild>
            <w:div w:id="625427419">
              <w:marLeft w:val="0"/>
              <w:marRight w:val="0"/>
              <w:marTop w:val="0"/>
              <w:marBottom w:val="0"/>
              <w:divBdr>
                <w:top w:val="none" w:sz="0" w:space="0" w:color="auto"/>
                <w:left w:val="none" w:sz="0" w:space="0" w:color="auto"/>
                <w:bottom w:val="none" w:sz="0" w:space="0" w:color="auto"/>
                <w:right w:val="none" w:sz="0" w:space="0" w:color="auto"/>
              </w:divBdr>
              <w:divsChild>
                <w:div w:id="1209952424">
                  <w:marLeft w:val="0"/>
                  <w:marRight w:val="0"/>
                  <w:marTop w:val="0"/>
                  <w:marBottom w:val="0"/>
                  <w:divBdr>
                    <w:top w:val="none" w:sz="0" w:space="0" w:color="auto"/>
                    <w:left w:val="none" w:sz="0" w:space="0" w:color="auto"/>
                    <w:bottom w:val="none" w:sz="0" w:space="0" w:color="auto"/>
                    <w:right w:val="none" w:sz="0" w:space="0" w:color="auto"/>
                  </w:divBdr>
                  <w:divsChild>
                    <w:div w:id="154616828">
                      <w:marLeft w:val="0"/>
                      <w:marRight w:val="0"/>
                      <w:marTop w:val="300"/>
                      <w:marBottom w:val="600"/>
                      <w:divBdr>
                        <w:top w:val="none" w:sz="0" w:space="0" w:color="auto"/>
                        <w:left w:val="none" w:sz="0" w:space="0" w:color="auto"/>
                        <w:bottom w:val="none" w:sz="0" w:space="0" w:color="auto"/>
                        <w:right w:val="none" w:sz="0" w:space="0" w:color="auto"/>
                      </w:divBdr>
                      <w:divsChild>
                        <w:div w:id="1239051745">
                          <w:marLeft w:val="0"/>
                          <w:marRight w:val="0"/>
                          <w:marTop w:val="0"/>
                          <w:marBottom w:val="0"/>
                          <w:divBdr>
                            <w:top w:val="none" w:sz="0" w:space="0" w:color="auto"/>
                            <w:left w:val="none" w:sz="0" w:space="0" w:color="auto"/>
                            <w:bottom w:val="none" w:sz="0" w:space="0" w:color="auto"/>
                            <w:right w:val="none" w:sz="0" w:space="0" w:color="auto"/>
                          </w:divBdr>
                          <w:divsChild>
                            <w:div w:id="1719086649">
                              <w:marLeft w:val="0"/>
                              <w:marRight w:val="0"/>
                              <w:marTop w:val="0"/>
                              <w:marBottom w:val="0"/>
                              <w:divBdr>
                                <w:top w:val="none" w:sz="0" w:space="0" w:color="auto"/>
                                <w:left w:val="none" w:sz="0" w:space="0" w:color="auto"/>
                                <w:bottom w:val="none" w:sz="0" w:space="0" w:color="auto"/>
                                <w:right w:val="none" w:sz="0" w:space="0" w:color="auto"/>
                              </w:divBdr>
                              <w:divsChild>
                                <w:div w:id="1610624746">
                                  <w:marLeft w:val="0"/>
                                  <w:marRight w:val="0"/>
                                  <w:marTop w:val="0"/>
                                  <w:marBottom w:val="0"/>
                                  <w:divBdr>
                                    <w:top w:val="none" w:sz="0" w:space="0" w:color="auto"/>
                                    <w:left w:val="none" w:sz="0" w:space="0" w:color="auto"/>
                                    <w:bottom w:val="none" w:sz="0" w:space="0" w:color="auto"/>
                                    <w:right w:val="none" w:sz="0" w:space="0" w:color="auto"/>
                                  </w:divBdr>
                                  <w:divsChild>
                                    <w:div w:id="862013731">
                                      <w:marLeft w:val="0"/>
                                      <w:marRight w:val="0"/>
                                      <w:marTop w:val="150"/>
                                      <w:marBottom w:val="0"/>
                                      <w:divBdr>
                                        <w:top w:val="none" w:sz="0" w:space="0" w:color="auto"/>
                                        <w:left w:val="none" w:sz="0" w:space="0" w:color="auto"/>
                                        <w:bottom w:val="none" w:sz="0" w:space="0" w:color="auto"/>
                                        <w:right w:val="none" w:sz="0" w:space="0" w:color="auto"/>
                                      </w:divBdr>
                                      <w:divsChild>
                                        <w:div w:id="2045447093">
                                          <w:marLeft w:val="0"/>
                                          <w:marRight w:val="0"/>
                                          <w:marTop w:val="0"/>
                                          <w:marBottom w:val="0"/>
                                          <w:divBdr>
                                            <w:top w:val="none" w:sz="0" w:space="0" w:color="auto"/>
                                            <w:left w:val="none" w:sz="0" w:space="0" w:color="auto"/>
                                            <w:bottom w:val="none" w:sz="0" w:space="0" w:color="auto"/>
                                            <w:right w:val="none" w:sz="0" w:space="0" w:color="auto"/>
                                          </w:divBdr>
                                          <w:divsChild>
                                            <w:div w:id="59376690">
                                              <w:marLeft w:val="0"/>
                                              <w:marRight w:val="0"/>
                                              <w:marTop w:val="0"/>
                                              <w:marBottom w:val="0"/>
                                              <w:divBdr>
                                                <w:top w:val="none" w:sz="0" w:space="0" w:color="auto"/>
                                                <w:left w:val="none" w:sz="0" w:space="0" w:color="auto"/>
                                                <w:bottom w:val="none" w:sz="0" w:space="0" w:color="auto"/>
                                                <w:right w:val="none" w:sz="0" w:space="0" w:color="auto"/>
                                              </w:divBdr>
                                              <w:divsChild>
                                                <w:div w:id="10176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4034736">
      <w:bodyDiv w:val="1"/>
      <w:marLeft w:val="0"/>
      <w:marRight w:val="0"/>
      <w:marTop w:val="0"/>
      <w:marBottom w:val="0"/>
      <w:divBdr>
        <w:top w:val="none" w:sz="0" w:space="0" w:color="auto"/>
        <w:left w:val="none" w:sz="0" w:space="0" w:color="auto"/>
        <w:bottom w:val="none" w:sz="0" w:space="0" w:color="auto"/>
        <w:right w:val="none" w:sz="0" w:space="0" w:color="auto"/>
      </w:divBdr>
      <w:divsChild>
        <w:div w:id="626201773">
          <w:marLeft w:val="0"/>
          <w:marRight w:val="0"/>
          <w:marTop w:val="0"/>
          <w:marBottom w:val="0"/>
          <w:divBdr>
            <w:top w:val="none" w:sz="0" w:space="0" w:color="auto"/>
            <w:left w:val="none" w:sz="0" w:space="0" w:color="auto"/>
            <w:bottom w:val="none" w:sz="0" w:space="0" w:color="auto"/>
            <w:right w:val="none" w:sz="0" w:space="0" w:color="auto"/>
          </w:divBdr>
          <w:divsChild>
            <w:div w:id="2026202257">
              <w:marLeft w:val="210"/>
              <w:marRight w:val="0"/>
              <w:marTop w:val="0"/>
              <w:marBottom w:val="0"/>
              <w:divBdr>
                <w:top w:val="none" w:sz="0" w:space="0" w:color="auto"/>
                <w:left w:val="none" w:sz="0" w:space="0" w:color="auto"/>
                <w:bottom w:val="none" w:sz="0" w:space="0" w:color="auto"/>
                <w:right w:val="none" w:sz="0" w:space="0" w:color="auto"/>
              </w:divBdr>
              <w:divsChild>
                <w:div w:id="1311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7586">
      <w:bodyDiv w:val="1"/>
      <w:marLeft w:val="0"/>
      <w:marRight w:val="0"/>
      <w:marTop w:val="0"/>
      <w:marBottom w:val="0"/>
      <w:divBdr>
        <w:top w:val="none" w:sz="0" w:space="0" w:color="auto"/>
        <w:left w:val="none" w:sz="0" w:space="0" w:color="auto"/>
        <w:bottom w:val="none" w:sz="0" w:space="0" w:color="auto"/>
        <w:right w:val="none" w:sz="0" w:space="0" w:color="auto"/>
      </w:divBdr>
      <w:divsChild>
        <w:div w:id="1545099822">
          <w:marLeft w:val="0"/>
          <w:marRight w:val="0"/>
          <w:marTop w:val="0"/>
          <w:marBottom w:val="0"/>
          <w:divBdr>
            <w:top w:val="none" w:sz="0" w:space="0" w:color="auto"/>
            <w:left w:val="none" w:sz="0" w:space="0" w:color="auto"/>
            <w:bottom w:val="none" w:sz="0" w:space="0" w:color="auto"/>
            <w:right w:val="none" w:sz="0" w:space="0" w:color="auto"/>
          </w:divBdr>
          <w:divsChild>
            <w:div w:id="1356425075">
              <w:marLeft w:val="0"/>
              <w:marRight w:val="0"/>
              <w:marTop w:val="0"/>
              <w:marBottom w:val="0"/>
              <w:divBdr>
                <w:top w:val="none" w:sz="0" w:space="0" w:color="auto"/>
                <w:left w:val="none" w:sz="0" w:space="0" w:color="auto"/>
                <w:bottom w:val="none" w:sz="0" w:space="0" w:color="auto"/>
                <w:right w:val="none" w:sz="0" w:space="0" w:color="auto"/>
              </w:divBdr>
              <w:divsChild>
                <w:div w:id="136268871">
                  <w:marLeft w:val="0"/>
                  <w:marRight w:val="0"/>
                  <w:marTop w:val="0"/>
                  <w:marBottom w:val="0"/>
                  <w:divBdr>
                    <w:top w:val="none" w:sz="0" w:space="0" w:color="auto"/>
                    <w:left w:val="none" w:sz="0" w:space="0" w:color="auto"/>
                    <w:bottom w:val="none" w:sz="0" w:space="0" w:color="auto"/>
                    <w:right w:val="none" w:sz="0" w:space="0" w:color="auto"/>
                  </w:divBdr>
                  <w:divsChild>
                    <w:div w:id="897473796">
                      <w:marLeft w:val="0"/>
                      <w:marRight w:val="0"/>
                      <w:marTop w:val="0"/>
                      <w:marBottom w:val="0"/>
                      <w:divBdr>
                        <w:top w:val="none" w:sz="0" w:space="0" w:color="auto"/>
                        <w:left w:val="none" w:sz="0" w:space="0" w:color="auto"/>
                        <w:bottom w:val="none" w:sz="0" w:space="0" w:color="auto"/>
                        <w:right w:val="none" w:sz="0" w:space="0" w:color="auto"/>
                      </w:divBdr>
                      <w:divsChild>
                        <w:div w:id="692192134">
                          <w:marLeft w:val="0"/>
                          <w:marRight w:val="0"/>
                          <w:marTop w:val="0"/>
                          <w:marBottom w:val="0"/>
                          <w:divBdr>
                            <w:top w:val="none" w:sz="0" w:space="0" w:color="auto"/>
                            <w:left w:val="none" w:sz="0" w:space="0" w:color="auto"/>
                            <w:bottom w:val="none" w:sz="0" w:space="0" w:color="auto"/>
                            <w:right w:val="none" w:sz="0" w:space="0" w:color="auto"/>
                          </w:divBdr>
                          <w:divsChild>
                            <w:div w:id="1844585012">
                              <w:marLeft w:val="0"/>
                              <w:marRight w:val="0"/>
                              <w:marTop w:val="0"/>
                              <w:marBottom w:val="0"/>
                              <w:divBdr>
                                <w:top w:val="none" w:sz="0" w:space="0" w:color="auto"/>
                                <w:left w:val="none" w:sz="0" w:space="0" w:color="auto"/>
                                <w:bottom w:val="none" w:sz="0" w:space="0" w:color="auto"/>
                                <w:right w:val="none" w:sz="0" w:space="0" w:color="auto"/>
                              </w:divBdr>
                              <w:divsChild>
                                <w:div w:id="869026597">
                                  <w:marLeft w:val="0"/>
                                  <w:marRight w:val="0"/>
                                  <w:marTop w:val="0"/>
                                  <w:marBottom w:val="0"/>
                                  <w:divBdr>
                                    <w:top w:val="none" w:sz="0" w:space="0" w:color="auto"/>
                                    <w:left w:val="none" w:sz="0" w:space="0" w:color="auto"/>
                                    <w:bottom w:val="none" w:sz="0" w:space="0" w:color="auto"/>
                                    <w:right w:val="none" w:sz="0" w:space="0" w:color="auto"/>
                                  </w:divBdr>
                                  <w:divsChild>
                                    <w:div w:id="1009796285">
                                      <w:marLeft w:val="0"/>
                                      <w:marRight w:val="0"/>
                                      <w:marTop w:val="0"/>
                                      <w:marBottom w:val="0"/>
                                      <w:divBdr>
                                        <w:top w:val="none" w:sz="0" w:space="0" w:color="auto"/>
                                        <w:left w:val="none" w:sz="0" w:space="0" w:color="auto"/>
                                        <w:bottom w:val="none" w:sz="0" w:space="0" w:color="auto"/>
                                        <w:right w:val="none" w:sz="0" w:space="0" w:color="auto"/>
                                      </w:divBdr>
                                      <w:divsChild>
                                        <w:div w:id="14051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658380">
      <w:bodyDiv w:val="1"/>
      <w:marLeft w:val="0"/>
      <w:marRight w:val="0"/>
      <w:marTop w:val="0"/>
      <w:marBottom w:val="0"/>
      <w:divBdr>
        <w:top w:val="none" w:sz="0" w:space="0" w:color="auto"/>
        <w:left w:val="none" w:sz="0" w:space="0" w:color="auto"/>
        <w:bottom w:val="none" w:sz="0" w:space="0" w:color="auto"/>
        <w:right w:val="none" w:sz="0" w:space="0" w:color="auto"/>
      </w:divBdr>
      <w:divsChild>
        <w:div w:id="651713196">
          <w:marLeft w:val="0"/>
          <w:marRight w:val="0"/>
          <w:marTop w:val="0"/>
          <w:marBottom w:val="0"/>
          <w:divBdr>
            <w:top w:val="none" w:sz="0" w:space="0" w:color="auto"/>
            <w:left w:val="none" w:sz="0" w:space="0" w:color="auto"/>
            <w:bottom w:val="none" w:sz="0" w:space="0" w:color="auto"/>
            <w:right w:val="none" w:sz="0" w:space="0" w:color="auto"/>
          </w:divBdr>
          <w:divsChild>
            <w:div w:id="18251239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67045672">
      <w:bodyDiv w:val="1"/>
      <w:marLeft w:val="0"/>
      <w:marRight w:val="0"/>
      <w:marTop w:val="0"/>
      <w:marBottom w:val="0"/>
      <w:divBdr>
        <w:top w:val="none" w:sz="0" w:space="0" w:color="auto"/>
        <w:left w:val="none" w:sz="0" w:space="0" w:color="auto"/>
        <w:bottom w:val="none" w:sz="0" w:space="0" w:color="auto"/>
        <w:right w:val="none" w:sz="0" w:space="0" w:color="auto"/>
      </w:divBdr>
      <w:divsChild>
        <w:div w:id="1734422479">
          <w:marLeft w:val="0"/>
          <w:marRight w:val="0"/>
          <w:marTop w:val="0"/>
          <w:marBottom w:val="0"/>
          <w:divBdr>
            <w:top w:val="none" w:sz="0" w:space="0" w:color="auto"/>
            <w:left w:val="none" w:sz="0" w:space="0" w:color="auto"/>
            <w:bottom w:val="none" w:sz="0" w:space="0" w:color="auto"/>
            <w:right w:val="none" w:sz="0" w:space="0" w:color="auto"/>
          </w:divBdr>
          <w:divsChild>
            <w:div w:id="995107415">
              <w:marLeft w:val="0"/>
              <w:marRight w:val="0"/>
              <w:marTop w:val="0"/>
              <w:marBottom w:val="0"/>
              <w:divBdr>
                <w:top w:val="none" w:sz="0" w:space="0" w:color="auto"/>
                <w:left w:val="none" w:sz="0" w:space="0" w:color="auto"/>
                <w:bottom w:val="none" w:sz="0" w:space="0" w:color="auto"/>
                <w:right w:val="none" w:sz="0" w:space="0" w:color="auto"/>
              </w:divBdr>
              <w:divsChild>
                <w:div w:id="868835880">
                  <w:marLeft w:val="0"/>
                  <w:marRight w:val="0"/>
                  <w:marTop w:val="0"/>
                  <w:marBottom w:val="0"/>
                  <w:divBdr>
                    <w:top w:val="none" w:sz="0" w:space="0" w:color="auto"/>
                    <w:left w:val="none" w:sz="0" w:space="0" w:color="auto"/>
                    <w:bottom w:val="none" w:sz="0" w:space="0" w:color="auto"/>
                    <w:right w:val="none" w:sz="0" w:space="0" w:color="auto"/>
                  </w:divBdr>
                  <w:divsChild>
                    <w:div w:id="809712429">
                      <w:marLeft w:val="0"/>
                      <w:marRight w:val="0"/>
                      <w:marTop w:val="0"/>
                      <w:marBottom w:val="0"/>
                      <w:divBdr>
                        <w:top w:val="none" w:sz="0" w:space="0" w:color="auto"/>
                        <w:left w:val="none" w:sz="0" w:space="0" w:color="auto"/>
                        <w:bottom w:val="none" w:sz="0" w:space="0" w:color="auto"/>
                        <w:right w:val="none" w:sz="0" w:space="0" w:color="auto"/>
                      </w:divBdr>
                      <w:divsChild>
                        <w:div w:id="136916549">
                          <w:marLeft w:val="570"/>
                          <w:marRight w:val="720"/>
                          <w:marTop w:val="120"/>
                          <w:marBottom w:val="120"/>
                          <w:divBdr>
                            <w:top w:val="none" w:sz="0" w:space="0" w:color="auto"/>
                            <w:left w:val="none" w:sz="0" w:space="0" w:color="auto"/>
                            <w:bottom w:val="none" w:sz="0" w:space="0" w:color="auto"/>
                            <w:right w:val="none" w:sz="0" w:space="0" w:color="auto"/>
                          </w:divBdr>
                          <w:divsChild>
                            <w:div w:id="456532537">
                              <w:marLeft w:val="0"/>
                              <w:marRight w:val="0"/>
                              <w:marTop w:val="0"/>
                              <w:marBottom w:val="0"/>
                              <w:divBdr>
                                <w:top w:val="none" w:sz="0" w:space="0" w:color="auto"/>
                                <w:left w:val="none" w:sz="0" w:space="0" w:color="auto"/>
                                <w:bottom w:val="none" w:sz="0" w:space="0" w:color="auto"/>
                                <w:right w:val="none" w:sz="0" w:space="0" w:color="auto"/>
                              </w:divBdr>
                              <w:divsChild>
                                <w:div w:id="1059862833">
                                  <w:marLeft w:val="0"/>
                                  <w:marRight w:val="0"/>
                                  <w:marTop w:val="0"/>
                                  <w:marBottom w:val="0"/>
                                  <w:divBdr>
                                    <w:top w:val="none" w:sz="0" w:space="0" w:color="auto"/>
                                    <w:left w:val="none" w:sz="0" w:space="0" w:color="auto"/>
                                    <w:bottom w:val="none" w:sz="0" w:space="0" w:color="auto"/>
                                    <w:right w:val="none" w:sz="0" w:space="0" w:color="auto"/>
                                  </w:divBdr>
                                  <w:divsChild>
                                    <w:div w:id="114905722">
                                      <w:marLeft w:val="0"/>
                                      <w:marRight w:val="0"/>
                                      <w:marTop w:val="0"/>
                                      <w:marBottom w:val="0"/>
                                      <w:divBdr>
                                        <w:top w:val="none" w:sz="0" w:space="0" w:color="auto"/>
                                        <w:left w:val="none" w:sz="0" w:space="0" w:color="auto"/>
                                        <w:bottom w:val="none" w:sz="0" w:space="0" w:color="auto"/>
                                        <w:right w:val="none" w:sz="0" w:space="0" w:color="auto"/>
                                      </w:divBdr>
                                      <w:divsChild>
                                        <w:div w:id="1343166993">
                                          <w:marLeft w:val="0"/>
                                          <w:marRight w:val="0"/>
                                          <w:marTop w:val="0"/>
                                          <w:marBottom w:val="0"/>
                                          <w:divBdr>
                                            <w:top w:val="none" w:sz="0" w:space="0" w:color="auto"/>
                                            <w:left w:val="none" w:sz="0" w:space="0" w:color="auto"/>
                                            <w:bottom w:val="none" w:sz="0" w:space="0" w:color="auto"/>
                                            <w:right w:val="none" w:sz="0" w:space="0" w:color="auto"/>
                                          </w:divBdr>
                                          <w:divsChild>
                                            <w:div w:id="19590252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118405">
      <w:bodyDiv w:val="1"/>
      <w:marLeft w:val="0"/>
      <w:marRight w:val="0"/>
      <w:marTop w:val="0"/>
      <w:marBottom w:val="0"/>
      <w:divBdr>
        <w:top w:val="none" w:sz="0" w:space="0" w:color="auto"/>
        <w:left w:val="none" w:sz="0" w:space="0" w:color="auto"/>
        <w:bottom w:val="none" w:sz="0" w:space="0" w:color="auto"/>
        <w:right w:val="none" w:sz="0" w:space="0" w:color="auto"/>
      </w:divBdr>
      <w:divsChild>
        <w:div w:id="1657563399">
          <w:marLeft w:val="0"/>
          <w:marRight w:val="0"/>
          <w:marTop w:val="0"/>
          <w:marBottom w:val="0"/>
          <w:divBdr>
            <w:top w:val="none" w:sz="0" w:space="0" w:color="auto"/>
            <w:left w:val="none" w:sz="0" w:space="0" w:color="auto"/>
            <w:bottom w:val="none" w:sz="0" w:space="0" w:color="auto"/>
            <w:right w:val="none" w:sz="0" w:space="0" w:color="auto"/>
          </w:divBdr>
        </w:div>
        <w:div w:id="511451233">
          <w:marLeft w:val="0"/>
          <w:marRight w:val="0"/>
          <w:marTop w:val="0"/>
          <w:marBottom w:val="150"/>
          <w:divBdr>
            <w:top w:val="none" w:sz="0" w:space="0" w:color="auto"/>
            <w:left w:val="none" w:sz="0" w:space="0" w:color="auto"/>
            <w:bottom w:val="none" w:sz="0" w:space="0" w:color="auto"/>
            <w:right w:val="none" w:sz="0" w:space="0" w:color="auto"/>
          </w:divBdr>
          <w:divsChild>
            <w:div w:id="1349940268">
              <w:marLeft w:val="0"/>
              <w:marRight w:val="0"/>
              <w:marTop w:val="240"/>
              <w:marBottom w:val="240"/>
              <w:divBdr>
                <w:top w:val="single" w:sz="6" w:space="6" w:color="F2F2F2"/>
                <w:left w:val="none" w:sz="0" w:space="0" w:color="auto"/>
                <w:bottom w:val="single" w:sz="6" w:space="6" w:color="F2F2F2"/>
                <w:right w:val="none" w:sz="0" w:space="0" w:color="auto"/>
              </w:divBdr>
            </w:div>
            <w:div w:id="580480642">
              <w:marLeft w:val="0"/>
              <w:marRight w:val="0"/>
              <w:marTop w:val="0"/>
              <w:marBottom w:val="0"/>
              <w:divBdr>
                <w:top w:val="none" w:sz="0" w:space="0" w:color="auto"/>
                <w:left w:val="none" w:sz="0" w:space="0" w:color="auto"/>
                <w:bottom w:val="none" w:sz="0" w:space="0" w:color="auto"/>
                <w:right w:val="none" w:sz="0" w:space="0" w:color="auto"/>
              </w:divBdr>
              <w:divsChild>
                <w:div w:id="1747343879">
                  <w:marLeft w:val="0"/>
                  <w:marRight w:val="0"/>
                  <w:marTop w:val="0"/>
                  <w:marBottom w:val="240"/>
                  <w:divBdr>
                    <w:top w:val="none" w:sz="0" w:space="0" w:color="auto"/>
                    <w:left w:val="none" w:sz="0" w:space="0" w:color="auto"/>
                    <w:bottom w:val="none" w:sz="0" w:space="0" w:color="auto"/>
                    <w:right w:val="none" w:sz="0" w:space="0" w:color="auto"/>
                  </w:divBdr>
                </w:div>
                <w:div w:id="177053867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7240403">
      <w:bodyDiv w:val="1"/>
      <w:marLeft w:val="0"/>
      <w:marRight w:val="0"/>
      <w:marTop w:val="0"/>
      <w:marBottom w:val="0"/>
      <w:divBdr>
        <w:top w:val="none" w:sz="0" w:space="0" w:color="auto"/>
        <w:left w:val="none" w:sz="0" w:space="0" w:color="auto"/>
        <w:bottom w:val="none" w:sz="0" w:space="0" w:color="auto"/>
        <w:right w:val="none" w:sz="0" w:space="0" w:color="auto"/>
      </w:divBdr>
    </w:div>
    <w:div w:id="768625791">
      <w:bodyDiv w:val="1"/>
      <w:marLeft w:val="0"/>
      <w:marRight w:val="0"/>
      <w:marTop w:val="0"/>
      <w:marBottom w:val="0"/>
      <w:divBdr>
        <w:top w:val="none" w:sz="0" w:space="0" w:color="auto"/>
        <w:left w:val="none" w:sz="0" w:space="0" w:color="auto"/>
        <w:bottom w:val="none" w:sz="0" w:space="0" w:color="auto"/>
        <w:right w:val="none" w:sz="0" w:space="0" w:color="auto"/>
      </w:divBdr>
      <w:divsChild>
        <w:div w:id="2005282790">
          <w:marLeft w:val="0"/>
          <w:marRight w:val="0"/>
          <w:marTop w:val="0"/>
          <w:marBottom w:val="0"/>
          <w:divBdr>
            <w:top w:val="none" w:sz="0" w:space="0" w:color="auto"/>
            <w:left w:val="none" w:sz="0" w:space="0" w:color="auto"/>
            <w:bottom w:val="none" w:sz="0" w:space="0" w:color="auto"/>
            <w:right w:val="none" w:sz="0" w:space="0" w:color="auto"/>
          </w:divBdr>
          <w:divsChild>
            <w:div w:id="417485486">
              <w:marLeft w:val="0"/>
              <w:marRight w:val="0"/>
              <w:marTop w:val="0"/>
              <w:marBottom w:val="0"/>
              <w:divBdr>
                <w:top w:val="none" w:sz="0" w:space="0" w:color="auto"/>
                <w:left w:val="none" w:sz="0" w:space="0" w:color="auto"/>
                <w:bottom w:val="none" w:sz="0" w:space="0" w:color="auto"/>
                <w:right w:val="none" w:sz="0" w:space="0" w:color="auto"/>
              </w:divBdr>
              <w:divsChild>
                <w:div w:id="1208837992">
                  <w:marLeft w:val="0"/>
                  <w:marRight w:val="0"/>
                  <w:marTop w:val="0"/>
                  <w:marBottom w:val="0"/>
                  <w:divBdr>
                    <w:top w:val="none" w:sz="0" w:space="0" w:color="auto"/>
                    <w:left w:val="none" w:sz="0" w:space="0" w:color="auto"/>
                    <w:bottom w:val="none" w:sz="0" w:space="0" w:color="auto"/>
                    <w:right w:val="none" w:sz="0" w:space="0" w:color="auto"/>
                  </w:divBdr>
                  <w:divsChild>
                    <w:div w:id="1864130478">
                      <w:marLeft w:val="0"/>
                      <w:marRight w:val="0"/>
                      <w:marTop w:val="0"/>
                      <w:marBottom w:val="0"/>
                      <w:divBdr>
                        <w:top w:val="none" w:sz="0" w:space="0" w:color="auto"/>
                        <w:left w:val="none" w:sz="0" w:space="0" w:color="auto"/>
                        <w:bottom w:val="none" w:sz="0" w:space="0" w:color="auto"/>
                        <w:right w:val="none" w:sz="0" w:space="0" w:color="auto"/>
                      </w:divBdr>
                      <w:divsChild>
                        <w:div w:id="1642298726">
                          <w:marLeft w:val="0"/>
                          <w:marRight w:val="0"/>
                          <w:marTop w:val="0"/>
                          <w:marBottom w:val="0"/>
                          <w:divBdr>
                            <w:top w:val="none" w:sz="0" w:space="0" w:color="auto"/>
                            <w:left w:val="none" w:sz="0" w:space="0" w:color="auto"/>
                            <w:bottom w:val="none" w:sz="0" w:space="0" w:color="auto"/>
                            <w:right w:val="none" w:sz="0" w:space="0" w:color="auto"/>
                          </w:divBdr>
                          <w:divsChild>
                            <w:div w:id="392898415">
                              <w:marLeft w:val="0"/>
                              <w:marRight w:val="0"/>
                              <w:marTop w:val="0"/>
                              <w:marBottom w:val="0"/>
                              <w:divBdr>
                                <w:top w:val="none" w:sz="0" w:space="0" w:color="auto"/>
                                <w:left w:val="none" w:sz="0" w:space="0" w:color="auto"/>
                                <w:bottom w:val="none" w:sz="0" w:space="0" w:color="auto"/>
                                <w:right w:val="none" w:sz="0" w:space="0" w:color="auto"/>
                              </w:divBdr>
                              <w:divsChild>
                                <w:div w:id="1757677189">
                                  <w:marLeft w:val="0"/>
                                  <w:marRight w:val="0"/>
                                  <w:marTop w:val="0"/>
                                  <w:marBottom w:val="0"/>
                                  <w:divBdr>
                                    <w:top w:val="none" w:sz="0" w:space="0" w:color="auto"/>
                                    <w:left w:val="none" w:sz="0" w:space="0" w:color="auto"/>
                                    <w:bottom w:val="none" w:sz="0" w:space="0" w:color="auto"/>
                                    <w:right w:val="none" w:sz="0" w:space="0" w:color="auto"/>
                                  </w:divBdr>
                                  <w:divsChild>
                                    <w:div w:id="1010332005">
                                      <w:marLeft w:val="0"/>
                                      <w:marRight w:val="0"/>
                                      <w:marTop w:val="0"/>
                                      <w:marBottom w:val="0"/>
                                      <w:divBdr>
                                        <w:top w:val="none" w:sz="0" w:space="0" w:color="auto"/>
                                        <w:left w:val="none" w:sz="0" w:space="0" w:color="auto"/>
                                        <w:bottom w:val="none" w:sz="0" w:space="0" w:color="auto"/>
                                        <w:right w:val="none" w:sz="0" w:space="0" w:color="auto"/>
                                      </w:divBdr>
                                      <w:divsChild>
                                        <w:div w:id="716784440">
                                          <w:marLeft w:val="0"/>
                                          <w:marRight w:val="0"/>
                                          <w:marTop w:val="0"/>
                                          <w:marBottom w:val="0"/>
                                          <w:divBdr>
                                            <w:top w:val="none" w:sz="0" w:space="0" w:color="auto"/>
                                            <w:left w:val="none" w:sz="0" w:space="0" w:color="auto"/>
                                            <w:bottom w:val="none" w:sz="0" w:space="0" w:color="auto"/>
                                            <w:right w:val="none" w:sz="0" w:space="0" w:color="auto"/>
                                          </w:divBdr>
                                        </w:div>
                                        <w:div w:id="1736472509">
                                          <w:marLeft w:val="0"/>
                                          <w:marRight w:val="0"/>
                                          <w:marTop w:val="0"/>
                                          <w:marBottom w:val="0"/>
                                          <w:divBdr>
                                            <w:top w:val="none" w:sz="0" w:space="0" w:color="auto"/>
                                            <w:left w:val="none" w:sz="0" w:space="0" w:color="auto"/>
                                            <w:bottom w:val="none" w:sz="0" w:space="0" w:color="auto"/>
                                            <w:right w:val="none" w:sz="0" w:space="0" w:color="auto"/>
                                          </w:divBdr>
                                          <w:divsChild>
                                            <w:div w:id="4052403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2166004">
      <w:bodyDiv w:val="1"/>
      <w:marLeft w:val="0"/>
      <w:marRight w:val="0"/>
      <w:marTop w:val="0"/>
      <w:marBottom w:val="0"/>
      <w:divBdr>
        <w:top w:val="none" w:sz="0" w:space="0" w:color="auto"/>
        <w:left w:val="none" w:sz="0" w:space="0" w:color="auto"/>
        <w:bottom w:val="none" w:sz="0" w:space="0" w:color="auto"/>
        <w:right w:val="none" w:sz="0" w:space="0" w:color="auto"/>
      </w:divBdr>
      <w:divsChild>
        <w:div w:id="861556536">
          <w:marLeft w:val="0"/>
          <w:marRight w:val="0"/>
          <w:marTop w:val="0"/>
          <w:marBottom w:val="0"/>
          <w:divBdr>
            <w:top w:val="none" w:sz="0" w:space="0" w:color="auto"/>
            <w:left w:val="none" w:sz="0" w:space="0" w:color="auto"/>
            <w:bottom w:val="none" w:sz="0" w:space="0" w:color="auto"/>
            <w:right w:val="none" w:sz="0" w:space="0" w:color="auto"/>
          </w:divBdr>
          <w:divsChild>
            <w:div w:id="1322587062">
              <w:marLeft w:val="0"/>
              <w:marRight w:val="0"/>
              <w:marTop w:val="0"/>
              <w:marBottom w:val="0"/>
              <w:divBdr>
                <w:top w:val="none" w:sz="0" w:space="0" w:color="auto"/>
                <w:left w:val="none" w:sz="0" w:space="0" w:color="auto"/>
                <w:bottom w:val="none" w:sz="0" w:space="0" w:color="auto"/>
                <w:right w:val="none" w:sz="0" w:space="0" w:color="auto"/>
              </w:divBdr>
              <w:divsChild>
                <w:div w:id="788663983">
                  <w:marLeft w:val="0"/>
                  <w:marRight w:val="0"/>
                  <w:marTop w:val="0"/>
                  <w:marBottom w:val="0"/>
                  <w:divBdr>
                    <w:top w:val="none" w:sz="0" w:space="0" w:color="auto"/>
                    <w:left w:val="none" w:sz="0" w:space="0" w:color="auto"/>
                    <w:bottom w:val="none" w:sz="0" w:space="0" w:color="auto"/>
                    <w:right w:val="none" w:sz="0" w:space="0" w:color="auto"/>
                  </w:divBdr>
                  <w:divsChild>
                    <w:div w:id="303660799">
                      <w:marLeft w:val="0"/>
                      <w:marRight w:val="0"/>
                      <w:marTop w:val="0"/>
                      <w:marBottom w:val="0"/>
                      <w:divBdr>
                        <w:top w:val="none" w:sz="0" w:space="0" w:color="auto"/>
                        <w:left w:val="none" w:sz="0" w:space="0" w:color="auto"/>
                        <w:bottom w:val="none" w:sz="0" w:space="0" w:color="auto"/>
                        <w:right w:val="none" w:sz="0" w:space="0" w:color="auto"/>
                      </w:divBdr>
                      <w:divsChild>
                        <w:div w:id="9261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83941">
      <w:bodyDiv w:val="1"/>
      <w:marLeft w:val="0"/>
      <w:marRight w:val="0"/>
      <w:marTop w:val="0"/>
      <w:marBottom w:val="0"/>
      <w:divBdr>
        <w:top w:val="none" w:sz="0" w:space="0" w:color="auto"/>
        <w:left w:val="none" w:sz="0" w:space="0" w:color="auto"/>
        <w:bottom w:val="none" w:sz="0" w:space="0" w:color="auto"/>
        <w:right w:val="none" w:sz="0" w:space="0" w:color="auto"/>
      </w:divBdr>
      <w:divsChild>
        <w:div w:id="347144717">
          <w:marLeft w:val="0"/>
          <w:marRight w:val="0"/>
          <w:marTop w:val="0"/>
          <w:marBottom w:val="0"/>
          <w:divBdr>
            <w:top w:val="none" w:sz="0" w:space="0" w:color="auto"/>
            <w:left w:val="single" w:sz="6" w:space="15" w:color="B4B4B4"/>
            <w:bottom w:val="single" w:sz="6" w:space="0" w:color="B4B4B4"/>
            <w:right w:val="single" w:sz="6" w:space="15" w:color="B4B4B4"/>
          </w:divBdr>
          <w:divsChild>
            <w:div w:id="199902163">
              <w:marLeft w:val="0"/>
              <w:marRight w:val="0"/>
              <w:marTop w:val="0"/>
              <w:marBottom w:val="0"/>
              <w:divBdr>
                <w:top w:val="none" w:sz="0" w:space="0" w:color="auto"/>
                <w:left w:val="none" w:sz="0" w:space="0" w:color="auto"/>
                <w:bottom w:val="none" w:sz="0" w:space="0" w:color="auto"/>
                <w:right w:val="none" w:sz="0" w:space="0" w:color="auto"/>
              </w:divBdr>
              <w:divsChild>
                <w:div w:id="1924995207">
                  <w:marLeft w:val="-300"/>
                  <w:marRight w:val="0"/>
                  <w:marTop w:val="0"/>
                  <w:marBottom w:val="0"/>
                  <w:divBdr>
                    <w:top w:val="none" w:sz="0" w:space="0" w:color="auto"/>
                    <w:left w:val="none" w:sz="0" w:space="0" w:color="auto"/>
                    <w:bottom w:val="none" w:sz="0" w:space="0" w:color="auto"/>
                    <w:right w:val="none" w:sz="0" w:space="0" w:color="auto"/>
                  </w:divBdr>
                  <w:divsChild>
                    <w:div w:id="185407910">
                      <w:marLeft w:val="0"/>
                      <w:marRight w:val="0"/>
                      <w:marTop w:val="0"/>
                      <w:marBottom w:val="0"/>
                      <w:divBdr>
                        <w:top w:val="none" w:sz="0" w:space="0" w:color="auto"/>
                        <w:left w:val="none" w:sz="0" w:space="0" w:color="auto"/>
                        <w:bottom w:val="none" w:sz="0" w:space="0" w:color="auto"/>
                        <w:right w:val="none" w:sz="0" w:space="0" w:color="auto"/>
                      </w:divBdr>
                      <w:divsChild>
                        <w:div w:id="195505442">
                          <w:marLeft w:val="-300"/>
                          <w:marRight w:val="0"/>
                          <w:marTop w:val="0"/>
                          <w:marBottom w:val="0"/>
                          <w:divBdr>
                            <w:top w:val="none" w:sz="0" w:space="0" w:color="auto"/>
                            <w:left w:val="none" w:sz="0" w:space="0" w:color="auto"/>
                            <w:bottom w:val="none" w:sz="0" w:space="0" w:color="auto"/>
                            <w:right w:val="none" w:sz="0" w:space="0" w:color="auto"/>
                          </w:divBdr>
                          <w:divsChild>
                            <w:div w:id="64882252">
                              <w:marLeft w:val="0"/>
                              <w:marRight w:val="0"/>
                              <w:marTop w:val="0"/>
                              <w:marBottom w:val="0"/>
                              <w:divBdr>
                                <w:top w:val="none" w:sz="0" w:space="0" w:color="auto"/>
                                <w:left w:val="none" w:sz="0" w:space="0" w:color="auto"/>
                                <w:bottom w:val="none" w:sz="0" w:space="0" w:color="auto"/>
                                <w:right w:val="none" w:sz="0" w:space="0" w:color="auto"/>
                              </w:divBdr>
                              <w:divsChild>
                                <w:div w:id="1773285049">
                                  <w:marLeft w:val="0"/>
                                  <w:marRight w:val="0"/>
                                  <w:marTop w:val="0"/>
                                  <w:marBottom w:val="0"/>
                                  <w:divBdr>
                                    <w:top w:val="none" w:sz="0" w:space="0" w:color="auto"/>
                                    <w:left w:val="none" w:sz="0" w:space="0" w:color="auto"/>
                                    <w:bottom w:val="none" w:sz="0" w:space="0" w:color="auto"/>
                                    <w:right w:val="none" w:sz="0" w:space="0" w:color="auto"/>
                                  </w:divBdr>
                                  <w:divsChild>
                                    <w:div w:id="375087507">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775291602">
      <w:bodyDiv w:val="1"/>
      <w:marLeft w:val="0"/>
      <w:marRight w:val="0"/>
      <w:marTop w:val="0"/>
      <w:marBottom w:val="0"/>
      <w:divBdr>
        <w:top w:val="none" w:sz="0" w:space="0" w:color="auto"/>
        <w:left w:val="none" w:sz="0" w:space="0" w:color="auto"/>
        <w:bottom w:val="none" w:sz="0" w:space="0" w:color="auto"/>
        <w:right w:val="none" w:sz="0" w:space="0" w:color="auto"/>
      </w:divBdr>
      <w:divsChild>
        <w:div w:id="1594513579">
          <w:marLeft w:val="0"/>
          <w:marRight w:val="0"/>
          <w:marTop w:val="0"/>
          <w:marBottom w:val="0"/>
          <w:divBdr>
            <w:top w:val="single" w:sz="6" w:space="0" w:color="0E477A"/>
            <w:left w:val="single" w:sz="6" w:space="0" w:color="0E477A"/>
            <w:bottom w:val="single" w:sz="6" w:space="0" w:color="0E477A"/>
            <w:right w:val="single" w:sz="6" w:space="0" w:color="0E477A"/>
          </w:divBdr>
          <w:divsChild>
            <w:div w:id="774833208">
              <w:marLeft w:val="2925"/>
              <w:marRight w:val="0"/>
              <w:marTop w:val="0"/>
              <w:marBottom w:val="0"/>
              <w:divBdr>
                <w:top w:val="none" w:sz="0" w:space="0" w:color="auto"/>
                <w:left w:val="none" w:sz="0" w:space="0" w:color="auto"/>
                <w:bottom w:val="none" w:sz="0" w:space="0" w:color="auto"/>
                <w:right w:val="none" w:sz="0" w:space="0" w:color="auto"/>
              </w:divBdr>
              <w:divsChild>
                <w:div w:id="519197566">
                  <w:marLeft w:val="0"/>
                  <w:marRight w:val="0"/>
                  <w:marTop w:val="0"/>
                  <w:marBottom w:val="0"/>
                  <w:divBdr>
                    <w:top w:val="none" w:sz="0" w:space="0" w:color="auto"/>
                    <w:left w:val="none" w:sz="0" w:space="0" w:color="auto"/>
                    <w:bottom w:val="none" w:sz="0" w:space="0" w:color="auto"/>
                    <w:right w:val="none" w:sz="0" w:space="0" w:color="auto"/>
                  </w:divBdr>
                  <w:divsChild>
                    <w:div w:id="625819653">
                      <w:marLeft w:val="0"/>
                      <w:marRight w:val="150"/>
                      <w:marTop w:val="0"/>
                      <w:marBottom w:val="0"/>
                      <w:divBdr>
                        <w:top w:val="single" w:sz="6" w:space="0" w:color="CCCCCC"/>
                        <w:left w:val="single" w:sz="6" w:space="8" w:color="CCCCCC"/>
                        <w:bottom w:val="single" w:sz="6" w:space="8" w:color="CCCCCC"/>
                        <w:right w:val="single" w:sz="6" w:space="8" w:color="CCCCCC"/>
                      </w:divBdr>
                      <w:divsChild>
                        <w:div w:id="1217474078">
                          <w:marLeft w:val="0"/>
                          <w:marRight w:val="0"/>
                          <w:marTop w:val="0"/>
                          <w:marBottom w:val="0"/>
                          <w:divBdr>
                            <w:top w:val="none" w:sz="0" w:space="0" w:color="auto"/>
                            <w:left w:val="none" w:sz="0" w:space="0" w:color="auto"/>
                            <w:bottom w:val="none" w:sz="0" w:space="0" w:color="auto"/>
                            <w:right w:val="none" w:sz="0" w:space="0" w:color="auto"/>
                          </w:divBdr>
                        </w:div>
                        <w:div w:id="1267956269">
                          <w:marLeft w:val="0"/>
                          <w:marRight w:val="0"/>
                          <w:marTop w:val="0"/>
                          <w:marBottom w:val="0"/>
                          <w:divBdr>
                            <w:top w:val="none" w:sz="0" w:space="0" w:color="auto"/>
                            <w:left w:val="none" w:sz="0" w:space="0" w:color="auto"/>
                            <w:bottom w:val="none" w:sz="0" w:space="0" w:color="auto"/>
                            <w:right w:val="none" w:sz="0" w:space="0" w:color="auto"/>
                          </w:divBdr>
                        </w:div>
                        <w:div w:id="1204514557">
                          <w:marLeft w:val="0"/>
                          <w:marRight w:val="0"/>
                          <w:marTop w:val="0"/>
                          <w:marBottom w:val="0"/>
                          <w:divBdr>
                            <w:top w:val="none" w:sz="0" w:space="0" w:color="auto"/>
                            <w:left w:val="none" w:sz="0" w:space="0" w:color="auto"/>
                            <w:bottom w:val="none" w:sz="0" w:space="0" w:color="auto"/>
                            <w:right w:val="none" w:sz="0" w:space="0" w:color="auto"/>
                          </w:divBdr>
                        </w:div>
                        <w:div w:id="2007899870">
                          <w:marLeft w:val="0"/>
                          <w:marRight w:val="0"/>
                          <w:marTop w:val="0"/>
                          <w:marBottom w:val="0"/>
                          <w:divBdr>
                            <w:top w:val="none" w:sz="0" w:space="0" w:color="auto"/>
                            <w:left w:val="none" w:sz="0" w:space="0" w:color="auto"/>
                            <w:bottom w:val="none" w:sz="0" w:space="0" w:color="auto"/>
                            <w:right w:val="none" w:sz="0" w:space="0" w:color="auto"/>
                          </w:divBdr>
                        </w:div>
                        <w:div w:id="952323312">
                          <w:marLeft w:val="0"/>
                          <w:marRight w:val="0"/>
                          <w:marTop w:val="0"/>
                          <w:marBottom w:val="0"/>
                          <w:divBdr>
                            <w:top w:val="none" w:sz="0" w:space="0" w:color="auto"/>
                            <w:left w:val="none" w:sz="0" w:space="0" w:color="auto"/>
                            <w:bottom w:val="none" w:sz="0" w:space="0" w:color="auto"/>
                            <w:right w:val="none" w:sz="0" w:space="0" w:color="auto"/>
                          </w:divBdr>
                        </w:div>
                        <w:div w:id="532813234">
                          <w:marLeft w:val="0"/>
                          <w:marRight w:val="0"/>
                          <w:marTop w:val="0"/>
                          <w:marBottom w:val="0"/>
                          <w:divBdr>
                            <w:top w:val="none" w:sz="0" w:space="0" w:color="auto"/>
                            <w:left w:val="none" w:sz="0" w:space="0" w:color="auto"/>
                            <w:bottom w:val="none" w:sz="0" w:space="0" w:color="auto"/>
                            <w:right w:val="none" w:sz="0" w:space="0" w:color="auto"/>
                          </w:divBdr>
                        </w:div>
                        <w:div w:id="1727991418">
                          <w:marLeft w:val="0"/>
                          <w:marRight w:val="0"/>
                          <w:marTop w:val="0"/>
                          <w:marBottom w:val="0"/>
                          <w:divBdr>
                            <w:top w:val="none" w:sz="0" w:space="0" w:color="auto"/>
                            <w:left w:val="none" w:sz="0" w:space="0" w:color="auto"/>
                            <w:bottom w:val="none" w:sz="0" w:space="0" w:color="auto"/>
                            <w:right w:val="none" w:sz="0" w:space="0" w:color="auto"/>
                          </w:divBdr>
                        </w:div>
                        <w:div w:id="1679506672">
                          <w:marLeft w:val="0"/>
                          <w:marRight w:val="0"/>
                          <w:marTop w:val="0"/>
                          <w:marBottom w:val="0"/>
                          <w:divBdr>
                            <w:top w:val="none" w:sz="0" w:space="0" w:color="auto"/>
                            <w:left w:val="none" w:sz="0" w:space="0" w:color="auto"/>
                            <w:bottom w:val="none" w:sz="0" w:space="0" w:color="auto"/>
                            <w:right w:val="none" w:sz="0" w:space="0" w:color="auto"/>
                          </w:divBdr>
                        </w:div>
                        <w:div w:id="1715154480">
                          <w:marLeft w:val="0"/>
                          <w:marRight w:val="0"/>
                          <w:marTop w:val="0"/>
                          <w:marBottom w:val="0"/>
                          <w:divBdr>
                            <w:top w:val="none" w:sz="0" w:space="0" w:color="auto"/>
                            <w:left w:val="none" w:sz="0" w:space="0" w:color="auto"/>
                            <w:bottom w:val="none" w:sz="0" w:space="0" w:color="auto"/>
                            <w:right w:val="none" w:sz="0" w:space="0" w:color="auto"/>
                          </w:divBdr>
                        </w:div>
                        <w:div w:id="1512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527330">
      <w:bodyDiv w:val="1"/>
      <w:marLeft w:val="0"/>
      <w:marRight w:val="0"/>
      <w:marTop w:val="0"/>
      <w:marBottom w:val="0"/>
      <w:divBdr>
        <w:top w:val="none" w:sz="0" w:space="0" w:color="auto"/>
        <w:left w:val="none" w:sz="0" w:space="0" w:color="auto"/>
        <w:bottom w:val="none" w:sz="0" w:space="0" w:color="auto"/>
        <w:right w:val="none" w:sz="0" w:space="0" w:color="auto"/>
      </w:divBdr>
      <w:divsChild>
        <w:div w:id="55511909">
          <w:marLeft w:val="0"/>
          <w:marRight w:val="0"/>
          <w:marTop w:val="150"/>
          <w:marBottom w:val="0"/>
          <w:divBdr>
            <w:top w:val="none" w:sz="0" w:space="0" w:color="auto"/>
            <w:left w:val="none" w:sz="0" w:space="0" w:color="auto"/>
            <w:bottom w:val="none" w:sz="0" w:space="0" w:color="auto"/>
            <w:right w:val="none" w:sz="0" w:space="0" w:color="auto"/>
          </w:divBdr>
          <w:divsChild>
            <w:div w:id="11879028">
              <w:marLeft w:val="2"/>
              <w:marRight w:val="2"/>
              <w:marTop w:val="0"/>
              <w:marBottom w:val="0"/>
              <w:divBdr>
                <w:top w:val="none" w:sz="0" w:space="0" w:color="auto"/>
                <w:left w:val="none" w:sz="0" w:space="0" w:color="auto"/>
                <w:bottom w:val="none" w:sz="0" w:space="0" w:color="auto"/>
                <w:right w:val="none" w:sz="0" w:space="0" w:color="auto"/>
              </w:divBdr>
              <w:divsChild>
                <w:div w:id="1993633122">
                  <w:marLeft w:val="0"/>
                  <w:marRight w:val="0"/>
                  <w:marTop w:val="0"/>
                  <w:marBottom w:val="0"/>
                  <w:divBdr>
                    <w:top w:val="none" w:sz="0" w:space="0" w:color="auto"/>
                    <w:left w:val="none" w:sz="0" w:space="0" w:color="auto"/>
                    <w:bottom w:val="none" w:sz="0" w:space="0" w:color="auto"/>
                    <w:right w:val="none" w:sz="0" w:space="0" w:color="auto"/>
                  </w:divBdr>
                  <w:divsChild>
                    <w:div w:id="1545869310">
                      <w:marLeft w:val="0"/>
                      <w:marRight w:val="0"/>
                      <w:marTop w:val="0"/>
                      <w:marBottom w:val="0"/>
                      <w:divBdr>
                        <w:top w:val="none" w:sz="0" w:space="0" w:color="auto"/>
                        <w:left w:val="none" w:sz="0" w:space="0" w:color="auto"/>
                        <w:bottom w:val="none" w:sz="0" w:space="0" w:color="auto"/>
                        <w:right w:val="none" w:sz="0" w:space="0" w:color="auto"/>
                      </w:divBdr>
                      <w:divsChild>
                        <w:div w:id="1408113181">
                          <w:marLeft w:val="0"/>
                          <w:marRight w:val="0"/>
                          <w:marTop w:val="0"/>
                          <w:marBottom w:val="0"/>
                          <w:divBdr>
                            <w:top w:val="none" w:sz="0" w:space="0" w:color="auto"/>
                            <w:left w:val="none" w:sz="0" w:space="0" w:color="auto"/>
                            <w:bottom w:val="none" w:sz="0" w:space="0" w:color="auto"/>
                            <w:right w:val="none" w:sz="0" w:space="0" w:color="auto"/>
                          </w:divBdr>
                          <w:divsChild>
                            <w:div w:id="1476072371">
                              <w:marLeft w:val="0"/>
                              <w:marRight w:val="0"/>
                              <w:marTop w:val="0"/>
                              <w:marBottom w:val="0"/>
                              <w:divBdr>
                                <w:top w:val="none" w:sz="0" w:space="0" w:color="auto"/>
                                <w:left w:val="none" w:sz="0" w:space="0" w:color="auto"/>
                                <w:bottom w:val="none" w:sz="0" w:space="0" w:color="auto"/>
                                <w:right w:val="none" w:sz="0" w:space="0" w:color="auto"/>
                              </w:divBdr>
                              <w:divsChild>
                                <w:div w:id="666053507">
                                  <w:marLeft w:val="0"/>
                                  <w:marRight w:val="0"/>
                                  <w:marTop w:val="0"/>
                                  <w:marBottom w:val="0"/>
                                  <w:divBdr>
                                    <w:top w:val="none" w:sz="0" w:space="0" w:color="auto"/>
                                    <w:left w:val="none" w:sz="0" w:space="0" w:color="auto"/>
                                    <w:bottom w:val="none" w:sz="0" w:space="0" w:color="auto"/>
                                    <w:right w:val="none" w:sz="0" w:space="0" w:color="auto"/>
                                  </w:divBdr>
                                  <w:divsChild>
                                    <w:div w:id="223879101">
                                      <w:marLeft w:val="0"/>
                                      <w:marRight w:val="0"/>
                                      <w:marTop w:val="0"/>
                                      <w:marBottom w:val="0"/>
                                      <w:divBdr>
                                        <w:top w:val="none" w:sz="0" w:space="0" w:color="auto"/>
                                        <w:left w:val="none" w:sz="0" w:space="0" w:color="auto"/>
                                        <w:bottom w:val="none" w:sz="0" w:space="0" w:color="auto"/>
                                        <w:right w:val="none" w:sz="0" w:space="0" w:color="auto"/>
                                      </w:divBdr>
                                      <w:divsChild>
                                        <w:div w:id="1744835202">
                                          <w:marLeft w:val="0"/>
                                          <w:marRight w:val="0"/>
                                          <w:marTop w:val="0"/>
                                          <w:marBottom w:val="0"/>
                                          <w:divBdr>
                                            <w:top w:val="none" w:sz="0" w:space="0" w:color="auto"/>
                                            <w:left w:val="none" w:sz="0" w:space="0" w:color="auto"/>
                                            <w:bottom w:val="none" w:sz="0" w:space="0" w:color="auto"/>
                                            <w:right w:val="none" w:sz="0" w:space="0" w:color="auto"/>
                                          </w:divBdr>
                                          <w:divsChild>
                                            <w:div w:id="1583180922">
                                              <w:marLeft w:val="0"/>
                                              <w:marRight w:val="0"/>
                                              <w:marTop w:val="0"/>
                                              <w:marBottom w:val="0"/>
                                              <w:divBdr>
                                                <w:top w:val="none" w:sz="0" w:space="0" w:color="auto"/>
                                                <w:left w:val="none" w:sz="0" w:space="0" w:color="auto"/>
                                                <w:bottom w:val="none" w:sz="0" w:space="0" w:color="auto"/>
                                                <w:right w:val="none" w:sz="0" w:space="0" w:color="auto"/>
                                              </w:divBdr>
                                              <w:divsChild>
                                                <w:div w:id="1931429642">
                                                  <w:marLeft w:val="0"/>
                                                  <w:marRight w:val="0"/>
                                                  <w:marTop w:val="0"/>
                                                  <w:marBottom w:val="0"/>
                                                  <w:divBdr>
                                                    <w:top w:val="none" w:sz="0" w:space="0" w:color="auto"/>
                                                    <w:left w:val="none" w:sz="0" w:space="0" w:color="auto"/>
                                                    <w:bottom w:val="none" w:sz="0" w:space="0" w:color="auto"/>
                                                    <w:right w:val="none" w:sz="0" w:space="0" w:color="auto"/>
                                                  </w:divBdr>
                                                </w:div>
                                              </w:divsChild>
                                            </w:div>
                                            <w:div w:id="926229222">
                                              <w:marLeft w:val="0"/>
                                              <w:marRight w:val="0"/>
                                              <w:marTop w:val="0"/>
                                              <w:marBottom w:val="0"/>
                                              <w:divBdr>
                                                <w:top w:val="none" w:sz="0" w:space="0" w:color="auto"/>
                                                <w:left w:val="none" w:sz="0" w:space="0" w:color="auto"/>
                                                <w:bottom w:val="none" w:sz="0" w:space="0" w:color="auto"/>
                                                <w:right w:val="none" w:sz="0" w:space="0" w:color="auto"/>
                                              </w:divBdr>
                                              <w:divsChild>
                                                <w:div w:id="812526686">
                                                  <w:marLeft w:val="0"/>
                                                  <w:marRight w:val="0"/>
                                                  <w:marTop w:val="0"/>
                                                  <w:marBottom w:val="0"/>
                                                  <w:divBdr>
                                                    <w:top w:val="none" w:sz="0" w:space="0" w:color="auto"/>
                                                    <w:left w:val="none" w:sz="0" w:space="0" w:color="auto"/>
                                                    <w:bottom w:val="none" w:sz="0" w:space="0" w:color="auto"/>
                                                    <w:right w:val="none" w:sz="0" w:space="0" w:color="auto"/>
                                                  </w:divBdr>
                                                </w:div>
                                              </w:divsChild>
                                            </w:div>
                                            <w:div w:id="369913099">
                                              <w:marLeft w:val="0"/>
                                              <w:marRight w:val="0"/>
                                              <w:marTop w:val="0"/>
                                              <w:marBottom w:val="0"/>
                                              <w:divBdr>
                                                <w:top w:val="none" w:sz="0" w:space="0" w:color="auto"/>
                                                <w:left w:val="none" w:sz="0" w:space="0" w:color="auto"/>
                                                <w:bottom w:val="none" w:sz="0" w:space="0" w:color="auto"/>
                                                <w:right w:val="none" w:sz="0" w:space="0" w:color="auto"/>
                                              </w:divBdr>
                                              <w:divsChild>
                                                <w:div w:id="1980575531">
                                                  <w:marLeft w:val="0"/>
                                                  <w:marRight w:val="0"/>
                                                  <w:marTop w:val="0"/>
                                                  <w:marBottom w:val="0"/>
                                                  <w:divBdr>
                                                    <w:top w:val="none" w:sz="0" w:space="0" w:color="auto"/>
                                                    <w:left w:val="none" w:sz="0" w:space="0" w:color="auto"/>
                                                    <w:bottom w:val="none" w:sz="0" w:space="0" w:color="auto"/>
                                                    <w:right w:val="none" w:sz="0" w:space="0" w:color="auto"/>
                                                  </w:divBdr>
                                                </w:div>
                                              </w:divsChild>
                                            </w:div>
                                            <w:div w:id="2144807414">
                                              <w:marLeft w:val="0"/>
                                              <w:marRight w:val="0"/>
                                              <w:marTop w:val="0"/>
                                              <w:marBottom w:val="0"/>
                                              <w:divBdr>
                                                <w:top w:val="none" w:sz="0" w:space="0" w:color="auto"/>
                                                <w:left w:val="none" w:sz="0" w:space="0" w:color="auto"/>
                                                <w:bottom w:val="none" w:sz="0" w:space="0" w:color="auto"/>
                                                <w:right w:val="none" w:sz="0" w:space="0" w:color="auto"/>
                                              </w:divBdr>
                                              <w:divsChild>
                                                <w:div w:id="17500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9690884">
      <w:bodyDiv w:val="1"/>
      <w:marLeft w:val="0"/>
      <w:marRight w:val="0"/>
      <w:marTop w:val="0"/>
      <w:marBottom w:val="0"/>
      <w:divBdr>
        <w:top w:val="none" w:sz="0" w:space="0" w:color="auto"/>
        <w:left w:val="none" w:sz="0" w:space="0" w:color="auto"/>
        <w:bottom w:val="none" w:sz="0" w:space="0" w:color="auto"/>
        <w:right w:val="none" w:sz="0" w:space="0" w:color="auto"/>
      </w:divBdr>
      <w:divsChild>
        <w:div w:id="866455758">
          <w:marLeft w:val="0"/>
          <w:marRight w:val="0"/>
          <w:marTop w:val="0"/>
          <w:marBottom w:val="150"/>
          <w:divBdr>
            <w:top w:val="none" w:sz="0" w:space="0" w:color="auto"/>
            <w:left w:val="none" w:sz="0" w:space="0" w:color="auto"/>
            <w:bottom w:val="none" w:sz="0" w:space="0" w:color="auto"/>
            <w:right w:val="none" w:sz="0" w:space="0" w:color="auto"/>
          </w:divBdr>
          <w:divsChild>
            <w:div w:id="375274964">
              <w:marLeft w:val="0"/>
              <w:marRight w:val="0"/>
              <w:marTop w:val="240"/>
              <w:marBottom w:val="240"/>
              <w:divBdr>
                <w:top w:val="single" w:sz="6" w:space="6" w:color="F2F2F2"/>
                <w:left w:val="none" w:sz="0" w:space="0" w:color="auto"/>
                <w:bottom w:val="single" w:sz="6" w:space="6" w:color="F2F2F2"/>
                <w:right w:val="none" w:sz="0" w:space="0" w:color="auto"/>
              </w:divBdr>
            </w:div>
            <w:div w:id="1943143027">
              <w:marLeft w:val="0"/>
              <w:marRight w:val="0"/>
              <w:marTop w:val="0"/>
              <w:marBottom w:val="0"/>
              <w:divBdr>
                <w:top w:val="none" w:sz="0" w:space="0" w:color="auto"/>
                <w:left w:val="none" w:sz="0" w:space="0" w:color="auto"/>
                <w:bottom w:val="none" w:sz="0" w:space="0" w:color="auto"/>
                <w:right w:val="none" w:sz="0" w:space="0" w:color="auto"/>
              </w:divBdr>
              <w:divsChild>
                <w:div w:id="167985686">
                  <w:marLeft w:val="0"/>
                  <w:marRight w:val="0"/>
                  <w:marTop w:val="0"/>
                  <w:marBottom w:val="240"/>
                  <w:divBdr>
                    <w:top w:val="none" w:sz="0" w:space="0" w:color="auto"/>
                    <w:left w:val="none" w:sz="0" w:space="0" w:color="auto"/>
                    <w:bottom w:val="none" w:sz="0" w:space="0" w:color="auto"/>
                    <w:right w:val="none" w:sz="0" w:space="0" w:color="auto"/>
                  </w:divBdr>
                </w:div>
              </w:divsChild>
            </w:div>
            <w:div w:id="1833787940">
              <w:marLeft w:val="0"/>
              <w:marRight w:val="480"/>
              <w:marTop w:val="240"/>
              <w:marBottom w:val="480"/>
              <w:divBdr>
                <w:top w:val="none" w:sz="0" w:space="0" w:color="auto"/>
                <w:left w:val="none" w:sz="0" w:space="0" w:color="auto"/>
                <w:bottom w:val="none" w:sz="0" w:space="0" w:color="auto"/>
                <w:right w:val="none" w:sz="0" w:space="0" w:color="auto"/>
              </w:divBdr>
            </w:div>
          </w:divsChild>
        </w:div>
      </w:divsChild>
    </w:div>
    <w:div w:id="779832864">
      <w:bodyDiv w:val="1"/>
      <w:marLeft w:val="0"/>
      <w:marRight w:val="0"/>
      <w:marTop w:val="0"/>
      <w:marBottom w:val="0"/>
      <w:divBdr>
        <w:top w:val="none" w:sz="0" w:space="0" w:color="auto"/>
        <w:left w:val="none" w:sz="0" w:space="0" w:color="auto"/>
        <w:bottom w:val="none" w:sz="0" w:space="0" w:color="auto"/>
        <w:right w:val="none" w:sz="0" w:space="0" w:color="auto"/>
      </w:divBdr>
      <w:divsChild>
        <w:div w:id="1729650936">
          <w:marLeft w:val="0"/>
          <w:marRight w:val="0"/>
          <w:marTop w:val="0"/>
          <w:marBottom w:val="0"/>
          <w:divBdr>
            <w:top w:val="single" w:sz="6" w:space="0" w:color="0E477A"/>
            <w:left w:val="single" w:sz="6" w:space="0" w:color="0E477A"/>
            <w:bottom w:val="single" w:sz="6" w:space="0" w:color="0E477A"/>
            <w:right w:val="single" w:sz="6" w:space="0" w:color="0E477A"/>
          </w:divBdr>
          <w:divsChild>
            <w:div w:id="1321928046">
              <w:marLeft w:val="2925"/>
              <w:marRight w:val="0"/>
              <w:marTop w:val="0"/>
              <w:marBottom w:val="0"/>
              <w:divBdr>
                <w:top w:val="none" w:sz="0" w:space="0" w:color="auto"/>
                <w:left w:val="none" w:sz="0" w:space="0" w:color="auto"/>
                <w:bottom w:val="none" w:sz="0" w:space="0" w:color="auto"/>
                <w:right w:val="none" w:sz="0" w:space="0" w:color="auto"/>
              </w:divBdr>
              <w:divsChild>
                <w:div w:id="43332784">
                  <w:marLeft w:val="0"/>
                  <w:marRight w:val="0"/>
                  <w:marTop w:val="0"/>
                  <w:marBottom w:val="0"/>
                  <w:divBdr>
                    <w:top w:val="none" w:sz="0" w:space="0" w:color="auto"/>
                    <w:left w:val="none" w:sz="0" w:space="0" w:color="auto"/>
                    <w:bottom w:val="none" w:sz="0" w:space="0" w:color="auto"/>
                    <w:right w:val="none" w:sz="0" w:space="0" w:color="auto"/>
                  </w:divBdr>
                  <w:divsChild>
                    <w:div w:id="340471911">
                      <w:marLeft w:val="0"/>
                      <w:marRight w:val="150"/>
                      <w:marTop w:val="0"/>
                      <w:marBottom w:val="0"/>
                      <w:divBdr>
                        <w:top w:val="single" w:sz="6" w:space="0" w:color="CCCCCC"/>
                        <w:left w:val="single" w:sz="6" w:space="8" w:color="CCCCCC"/>
                        <w:bottom w:val="single" w:sz="6" w:space="8" w:color="CCCCCC"/>
                        <w:right w:val="single" w:sz="6" w:space="8" w:color="CCCCCC"/>
                      </w:divBdr>
                      <w:divsChild>
                        <w:div w:id="1508062110">
                          <w:marLeft w:val="0"/>
                          <w:marRight w:val="0"/>
                          <w:marTop w:val="0"/>
                          <w:marBottom w:val="0"/>
                          <w:divBdr>
                            <w:top w:val="none" w:sz="0" w:space="0" w:color="auto"/>
                            <w:left w:val="none" w:sz="0" w:space="0" w:color="auto"/>
                            <w:bottom w:val="none" w:sz="0" w:space="0" w:color="auto"/>
                            <w:right w:val="none" w:sz="0" w:space="0" w:color="auto"/>
                          </w:divBdr>
                        </w:div>
                        <w:div w:id="1103762784">
                          <w:marLeft w:val="0"/>
                          <w:marRight w:val="0"/>
                          <w:marTop w:val="0"/>
                          <w:marBottom w:val="0"/>
                          <w:divBdr>
                            <w:top w:val="none" w:sz="0" w:space="0" w:color="auto"/>
                            <w:left w:val="none" w:sz="0" w:space="0" w:color="auto"/>
                            <w:bottom w:val="none" w:sz="0" w:space="0" w:color="auto"/>
                            <w:right w:val="none" w:sz="0" w:space="0" w:color="auto"/>
                          </w:divBdr>
                        </w:div>
                        <w:div w:id="255867669">
                          <w:marLeft w:val="0"/>
                          <w:marRight w:val="0"/>
                          <w:marTop w:val="0"/>
                          <w:marBottom w:val="0"/>
                          <w:divBdr>
                            <w:top w:val="none" w:sz="0" w:space="0" w:color="auto"/>
                            <w:left w:val="none" w:sz="0" w:space="0" w:color="auto"/>
                            <w:bottom w:val="none" w:sz="0" w:space="0" w:color="auto"/>
                            <w:right w:val="none" w:sz="0" w:space="0" w:color="auto"/>
                          </w:divBdr>
                        </w:div>
                        <w:div w:id="833452847">
                          <w:marLeft w:val="0"/>
                          <w:marRight w:val="0"/>
                          <w:marTop w:val="0"/>
                          <w:marBottom w:val="0"/>
                          <w:divBdr>
                            <w:top w:val="none" w:sz="0" w:space="0" w:color="auto"/>
                            <w:left w:val="none" w:sz="0" w:space="0" w:color="auto"/>
                            <w:bottom w:val="none" w:sz="0" w:space="0" w:color="auto"/>
                            <w:right w:val="none" w:sz="0" w:space="0" w:color="auto"/>
                          </w:divBdr>
                        </w:div>
                        <w:div w:id="1850753751">
                          <w:marLeft w:val="0"/>
                          <w:marRight w:val="0"/>
                          <w:marTop w:val="0"/>
                          <w:marBottom w:val="0"/>
                          <w:divBdr>
                            <w:top w:val="none" w:sz="0" w:space="0" w:color="auto"/>
                            <w:left w:val="none" w:sz="0" w:space="0" w:color="auto"/>
                            <w:bottom w:val="none" w:sz="0" w:space="0" w:color="auto"/>
                            <w:right w:val="none" w:sz="0" w:space="0" w:color="auto"/>
                          </w:divBdr>
                        </w:div>
                        <w:div w:id="987590612">
                          <w:marLeft w:val="0"/>
                          <w:marRight w:val="0"/>
                          <w:marTop w:val="0"/>
                          <w:marBottom w:val="0"/>
                          <w:divBdr>
                            <w:top w:val="none" w:sz="0" w:space="0" w:color="auto"/>
                            <w:left w:val="none" w:sz="0" w:space="0" w:color="auto"/>
                            <w:bottom w:val="none" w:sz="0" w:space="0" w:color="auto"/>
                            <w:right w:val="none" w:sz="0" w:space="0" w:color="auto"/>
                          </w:divBdr>
                        </w:div>
                        <w:div w:id="1054352470">
                          <w:marLeft w:val="0"/>
                          <w:marRight w:val="0"/>
                          <w:marTop w:val="0"/>
                          <w:marBottom w:val="0"/>
                          <w:divBdr>
                            <w:top w:val="none" w:sz="0" w:space="0" w:color="auto"/>
                            <w:left w:val="none" w:sz="0" w:space="0" w:color="auto"/>
                            <w:bottom w:val="none" w:sz="0" w:space="0" w:color="auto"/>
                            <w:right w:val="none" w:sz="0" w:space="0" w:color="auto"/>
                          </w:divBdr>
                        </w:div>
                        <w:div w:id="2023773181">
                          <w:marLeft w:val="0"/>
                          <w:marRight w:val="0"/>
                          <w:marTop w:val="0"/>
                          <w:marBottom w:val="0"/>
                          <w:divBdr>
                            <w:top w:val="none" w:sz="0" w:space="0" w:color="auto"/>
                            <w:left w:val="none" w:sz="0" w:space="0" w:color="auto"/>
                            <w:bottom w:val="none" w:sz="0" w:space="0" w:color="auto"/>
                            <w:right w:val="none" w:sz="0" w:space="0" w:color="auto"/>
                          </w:divBdr>
                        </w:div>
                        <w:div w:id="581067756">
                          <w:marLeft w:val="0"/>
                          <w:marRight w:val="0"/>
                          <w:marTop w:val="0"/>
                          <w:marBottom w:val="0"/>
                          <w:divBdr>
                            <w:top w:val="none" w:sz="0" w:space="0" w:color="auto"/>
                            <w:left w:val="none" w:sz="0" w:space="0" w:color="auto"/>
                            <w:bottom w:val="none" w:sz="0" w:space="0" w:color="auto"/>
                            <w:right w:val="none" w:sz="0" w:space="0" w:color="auto"/>
                          </w:divBdr>
                        </w:div>
                        <w:div w:id="427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76803">
      <w:bodyDiv w:val="1"/>
      <w:marLeft w:val="0"/>
      <w:marRight w:val="0"/>
      <w:marTop w:val="0"/>
      <w:marBottom w:val="0"/>
      <w:divBdr>
        <w:top w:val="none" w:sz="0" w:space="0" w:color="auto"/>
        <w:left w:val="none" w:sz="0" w:space="0" w:color="auto"/>
        <w:bottom w:val="none" w:sz="0" w:space="0" w:color="auto"/>
        <w:right w:val="none" w:sz="0" w:space="0" w:color="auto"/>
      </w:divBdr>
      <w:divsChild>
        <w:div w:id="1660572322">
          <w:marLeft w:val="0"/>
          <w:marRight w:val="0"/>
          <w:marTop w:val="0"/>
          <w:marBottom w:val="0"/>
          <w:divBdr>
            <w:top w:val="none" w:sz="0" w:space="0" w:color="auto"/>
            <w:left w:val="none" w:sz="0" w:space="0" w:color="auto"/>
            <w:bottom w:val="none" w:sz="0" w:space="0" w:color="auto"/>
            <w:right w:val="none" w:sz="0" w:space="0" w:color="auto"/>
          </w:divBdr>
          <w:divsChild>
            <w:div w:id="805245355">
              <w:marLeft w:val="0"/>
              <w:marRight w:val="0"/>
              <w:marTop w:val="0"/>
              <w:marBottom w:val="0"/>
              <w:divBdr>
                <w:top w:val="none" w:sz="0" w:space="0" w:color="auto"/>
                <w:left w:val="none" w:sz="0" w:space="0" w:color="auto"/>
                <w:bottom w:val="none" w:sz="0" w:space="0" w:color="auto"/>
                <w:right w:val="none" w:sz="0" w:space="0" w:color="auto"/>
              </w:divBdr>
              <w:divsChild>
                <w:div w:id="766847907">
                  <w:marLeft w:val="-225"/>
                  <w:marRight w:val="-225"/>
                  <w:marTop w:val="0"/>
                  <w:marBottom w:val="0"/>
                  <w:divBdr>
                    <w:top w:val="none" w:sz="0" w:space="0" w:color="auto"/>
                    <w:left w:val="none" w:sz="0" w:space="0" w:color="auto"/>
                    <w:bottom w:val="none" w:sz="0" w:space="0" w:color="auto"/>
                    <w:right w:val="none" w:sz="0" w:space="0" w:color="auto"/>
                  </w:divBdr>
                  <w:divsChild>
                    <w:div w:id="8629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808021">
      <w:bodyDiv w:val="1"/>
      <w:marLeft w:val="0"/>
      <w:marRight w:val="0"/>
      <w:marTop w:val="0"/>
      <w:marBottom w:val="0"/>
      <w:divBdr>
        <w:top w:val="none" w:sz="0" w:space="0" w:color="auto"/>
        <w:left w:val="none" w:sz="0" w:space="0" w:color="auto"/>
        <w:bottom w:val="none" w:sz="0" w:space="0" w:color="auto"/>
        <w:right w:val="none" w:sz="0" w:space="0" w:color="auto"/>
      </w:divBdr>
      <w:divsChild>
        <w:div w:id="1968463633">
          <w:marLeft w:val="0"/>
          <w:marRight w:val="0"/>
          <w:marTop w:val="0"/>
          <w:marBottom w:val="0"/>
          <w:divBdr>
            <w:top w:val="none" w:sz="0" w:space="0" w:color="auto"/>
            <w:left w:val="none" w:sz="0" w:space="0" w:color="auto"/>
            <w:bottom w:val="none" w:sz="0" w:space="0" w:color="auto"/>
            <w:right w:val="none" w:sz="0" w:space="0" w:color="auto"/>
          </w:divBdr>
          <w:divsChild>
            <w:div w:id="1907447657">
              <w:marLeft w:val="0"/>
              <w:marRight w:val="-100"/>
              <w:marTop w:val="1050"/>
              <w:marBottom w:val="0"/>
              <w:divBdr>
                <w:top w:val="none" w:sz="0" w:space="0" w:color="auto"/>
                <w:left w:val="none" w:sz="0" w:space="0" w:color="auto"/>
                <w:bottom w:val="none" w:sz="0" w:space="0" w:color="auto"/>
                <w:right w:val="none" w:sz="0" w:space="0" w:color="auto"/>
              </w:divBdr>
              <w:divsChild>
                <w:div w:id="980814331">
                  <w:marLeft w:val="3450"/>
                  <w:marRight w:val="0"/>
                  <w:marTop w:val="330"/>
                  <w:marBottom w:val="0"/>
                  <w:divBdr>
                    <w:top w:val="none" w:sz="0" w:space="0" w:color="auto"/>
                    <w:left w:val="none" w:sz="0" w:space="0" w:color="auto"/>
                    <w:bottom w:val="none" w:sz="0" w:space="0" w:color="auto"/>
                    <w:right w:val="none" w:sz="0" w:space="0" w:color="auto"/>
                  </w:divBdr>
                  <w:divsChild>
                    <w:div w:id="1894536143">
                      <w:marLeft w:val="0"/>
                      <w:marRight w:val="0"/>
                      <w:marTop w:val="0"/>
                      <w:marBottom w:val="0"/>
                      <w:divBdr>
                        <w:top w:val="none" w:sz="0" w:space="0" w:color="auto"/>
                        <w:left w:val="none" w:sz="0" w:space="0" w:color="auto"/>
                        <w:bottom w:val="none" w:sz="0" w:space="0" w:color="auto"/>
                        <w:right w:val="none" w:sz="0" w:space="0" w:color="auto"/>
                      </w:divBdr>
                      <w:divsChild>
                        <w:div w:id="125798263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001076">
      <w:bodyDiv w:val="1"/>
      <w:marLeft w:val="0"/>
      <w:marRight w:val="0"/>
      <w:marTop w:val="0"/>
      <w:marBottom w:val="0"/>
      <w:divBdr>
        <w:top w:val="none" w:sz="0" w:space="0" w:color="auto"/>
        <w:left w:val="none" w:sz="0" w:space="0" w:color="auto"/>
        <w:bottom w:val="none" w:sz="0" w:space="0" w:color="auto"/>
        <w:right w:val="none" w:sz="0" w:space="0" w:color="auto"/>
      </w:divBdr>
      <w:divsChild>
        <w:div w:id="1069963760">
          <w:marLeft w:val="0"/>
          <w:marRight w:val="0"/>
          <w:marTop w:val="0"/>
          <w:marBottom w:val="0"/>
          <w:divBdr>
            <w:top w:val="none" w:sz="0" w:space="0" w:color="auto"/>
            <w:left w:val="none" w:sz="0" w:space="0" w:color="auto"/>
            <w:bottom w:val="none" w:sz="0" w:space="0" w:color="auto"/>
            <w:right w:val="none" w:sz="0" w:space="0" w:color="auto"/>
          </w:divBdr>
        </w:div>
        <w:div w:id="427891278">
          <w:marLeft w:val="0"/>
          <w:marRight w:val="0"/>
          <w:marTop w:val="0"/>
          <w:marBottom w:val="150"/>
          <w:divBdr>
            <w:top w:val="none" w:sz="0" w:space="0" w:color="auto"/>
            <w:left w:val="none" w:sz="0" w:space="0" w:color="auto"/>
            <w:bottom w:val="none" w:sz="0" w:space="0" w:color="auto"/>
            <w:right w:val="none" w:sz="0" w:space="0" w:color="auto"/>
          </w:divBdr>
          <w:divsChild>
            <w:div w:id="1588078047">
              <w:marLeft w:val="0"/>
              <w:marRight w:val="0"/>
              <w:marTop w:val="240"/>
              <w:marBottom w:val="240"/>
              <w:divBdr>
                <w:top w:val="single" w:sz="6" w:space="6" w:color="F2F2F2"/>
                <w:left w:val="none" w:sz="0" w:space="0" w:color="auto"/>
                <w:bottom w:val="single" w:sz="6" w:space="6" w:color="F2F2F2"/>
                <w:right w:val="none" w:sz="0" w:space="0" w:color="auto"/>
              </w:divBdr>
            </w:div>
            <w:div w:id="398794995">
              <w:marLeft w:val="0"/>
              <w:marRight w:val="0"/>
              <w:marTop w:val="0"/>
              <w:marBottom w:val="0"/>
              <w:divBdr>
                <w:top w:val="none" w:sz="0" w:space="0" w:color="auto"/>
                <w:left w:val="none" w:sz="0" w:space="0" w:color="auto"/>
                <w:bottom w:val="none" w:sz="0" w:space="0" w:color="auto"/>
                <w:right w:val="none" w:sz="0" w:space="0" w:color="auto"/>
              </w:divBdr>
              <w:divsChild>
                <w:div w:id="42148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1069487">
      <w:bodyDiv w:val="1"/>
      <w:marLeft w:val="0"/>
      <w:marRight w:val="0"/>
      <w:marTop w:val="0"/>
      <w:marBottom w:val="0"/>
      <w:divBdr>
        <w:top w:val="none" w:sz="0" w:space="0" w:color="auto"/>
        <w:left w:val="none" w:sz="0" w:space="0" w:color="auto"/>
        <w:bottom w:val="none" w:sz="0" w:space="0" w:color="auto"/>
        <w:right w:val="none" w:sz="0" w:space="0" w:color="auto"/>
      </w:divBdr>
    </w:div>
    <w:div w:id="781386704">
      <w:bodyDiv w:val="1"/>
      <w:marLeft w:val="0"/>
      <w:marRight w:val="0"/>
      <w:marTop w:val="0"/>
      <w:marBottom w:val="0"/>
      <w:divBdr>
        <w:top w:val="none" w:sz="0" w:space="0" w:color="auto"/>
        <w:left w:val="none" w:sz="0" w:space="0" w:color="auto"/>
        <w:bottom w:val="none" w:sz="0" w:space="0" w:color="auto"/>
        <w:right w:val="none" w:sz="0" w:space="0" w:color="auto"/>
      </w:divBdr>
    </w:div>
    <w:div w:id="782111851">
      <w:bodyDiv w:val="1"/>
      <w:marLeft w:val="0"/>
      <w:marRight w:val="0"/>
      <w:marTop w:val="0"/>
      <w:marBottom w:val="0"/>
      <w:divBdr>
        <w:top w:val="none" w:sz="0" w:space="0" w:color="auto"/>
        <w:left w:val="none" w:sz="0" w:space="0" w:color="auto"/>
        <w:bottom w:val="none" w:sz="0" w:space="0" w:color="auto"/>
        <w:right w:val="none" w:sz="0" w:space="0" w:color="auto"/>
      </w:divBdr>
      <w:divsChild>
        <w:div w:id="548079776">
          <w:marLeft w:val="0"/>
          <w:marRight w:val="0"/>
          <w:marTop w:val="240"/>
          <w:marBottom w:val="240"/>
          <w:divBdr>
            <w:top w:val="single" w:sz="6" w:space="6" w:color="F2F2F2"/>
            <w:left w:val="none" w:sz="0" w:space="0" w:color="auto"/>
            <w:bottom w:val="single" w:sz="6" w:space="6" w:color="F2F2F2"/>
            <w:right w:val="none" w:sz="0" w:space="0" w:color="auto"/>
          </w:divBdr>
        </w:div>
        <w:div w:id="1891728227">
          <w:marLeft w:val="0"/>
          <w:marRight w:val="0"/>
          <w:marTop w:val="0"/>
          <w:marBottom w:val="0"/>
          <w:divBdr>
            <w:top w:val="none" w:sz="0" w:space="0" w:color="auto"/>
            <w:left w:val="none" w:sz="0" w:space="0" w:color="auto"/>
            <w:bottom w:val="none" w:sz="0" w:space="0" w:color="auto"/>
            <w:right w:val="none" w:sz="0" w:space="0" w:color="auto"/>
          </w:divBdr>
          <w:divsChild>
            <w:div w:id="1823500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2307465">
      <w:bodyDiv w:val="1"/>
      <w:marLeft w:val="0"/>
      <w:marRight w:val="0"/>
      <w:marTop w:val="0"/>
      <w:marBottom w:val="0"/>
      <w:divBdr>
        <w:top w:val="none" w:sz="0" w:space="0" w:color="auto"/>
        <w:left w:val="none" w:sz="0" w:space="0" w:color="auto"/>
        <w:bottom w:val="none" w:sz="0" w:space="0" w:color="auto"/>
        <w:right w:val="none" w:sz="0" w:space="0" w:color="auto"/>
      </w:divBdr>
      <w:divsChild>
        <w:div w:id="1487474076">
          <w:marLeft w:val="0"/>
          <w:marRight w:val="0"/>
          <w:marTop w:val="0"/>
          <w:marBottom w:val="0"/>
          <w:divBdr>
            <w:top w:val="none" w:sz="0" w:space="0" w:color="auto"/>
            <w:left w:val="none" w:sz="0" w:space="0" w:color="auto"/>
            <w:bottom w:val="none" w:sz="0" w:space="0" w:color="auto"/>
            <w:right w:val="none" w:sz="0" w:space="0" w:color="auto"/>
          </w:divBdr>
          <w:divsChild>
            <w:div w:id="143088812">
              <w:marLeft w:val="0"/>
              <w:marRight w:val="0"/>
              <w:marTop w:val="0"/>
              <w:marBottom w:val="0"/>
              <w:divBdr>
                <w:top w:val="none" w:sz="0" w:space="0" w:color="auto"/>
                <w:left w:val="none" w:sz="0" w:space="0" w:color="auto"/>
                <w:bottom w:val="none" w:sz="0" w:space="0" w:color="auto"/>
                <w:right w:val="none" w:sz="0" w:space="0" w:color="auto"/>
              </w:divBdr>
              <w:divsChild>
                <w:div w:id="434594743">
                  <w:marLeft w:val="0"/>
                  <w:marRight w:val="0"/>
                  <w:marTop w:val="0"/>
                  <w:marBottom w:val="0"/>
                  <w:divBdr>
                    <w:top w:val="none" w:sz="0" w:space="0" w:color="auto"/>
                    <w:left w:val="none" w:sz="0" w:space="0" w:color="auto"/>
                    <w:bottom w:val="none" w:sz="0" w:space="0" w:color="auto"/>
                    <w:right w:val="none" w:sz="0" w:space="0" w:color="auto"/>
                  </w:divBdr>
                  <w:divsChild>
                    <w:div w:id="2081126142">
                      <w:marLeft w:val="0"/>
                      <w:marRight w:val="0"/>
                      <w:marTop w:val="0"/>
                      <w:marBottom w:val="0"/>
                      <w:divBdr>
                        <w:top w:val="none" w:sz="0" w:space="0" w:color="auto"/>
                        <w:left w:val="none" w:sz="0" w:space="0" w:color="auto"/>
                        <w:bottom w:val="none" w:sz="0" w:space="0" w:color="auto"/>
                        <w:right w:val="none" w:sz="0" w:space="0" w:color="auto"/>
                      </w:divBdr>
                      <w:divsChild>
                        <w:div w:id="6889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117062">
      <w:bodyDiv w:val="1"/>
      <w:marLeft w:val="0"/>
      <w:marRight w:val="0"/>
      <w:marTop w:val="0"/>
      <w:marBottom w:val="0"/>
      <w:divBdr>
        <w:top w:val="none" w:sz="0" w:space="0" w:color="auto"/>
        <w:left w:val="none" w:sz="0" w:space="0" w:color="auto"/>
        <w:bottom w:val="none" w:sz="0" w:space="0" w:color="auto"/>
        <w:right w:val="none" w:sz="0" w:space="0" w:color="auto"/>
      </w:divBdr>
      <w:divsChild>
        <w:div w:id="498234726">
          <w:marLeft w:val="0"/>
          <w:marRight w:val="0"/>
          <w:marTop w:val="0"/>
          <w:marBottom w:val="0"/>
          <w:divBdr>
            <w:top w:val="none" w:sz="0" w:space="0" w:color="auto"/>
            <w:left w:val="none" w:sz="0" w:space="0" w:color="auto"/>
            <w:bottom w:val="none" w:sz="0" w:space="0" w:color="auto"/>
            <w:right w:val="none" w:sz="0" w:space="0" w:color="auto"/>
          </w:divBdr>
        </w:div>
        <w:div w:id="786394272">
          <w:marLeft w:val="0"/>
          <w:marRight w:val="0"/>
          <w:marTop w:val="0"/>
          <w:marBottom w:val="150"/>
          <w:divBdr>
            <w:top w:val="none" w:sz="0" w:space="0" w:color="auto"/>
            <w:left w:val="none" w:sz="0" w:space="0" w:color="auto"/>
            <w:bottom w:val="none" w:sz="0" w:space="0" w:color="auto"/>
            <w:right w:val="none" w:sz="0" w:space="0" w:color="auto"/>
          </w:divBdr>
          <w:divsChild>
            <w:div w:id="1685083962">
              <w:marLeft w:val="0"/>
              <w:marRight w:val="0"/>
              <w:marTop w:val="240"/>
              <w:marBottom w:val="240"/>
              <w:divBdr>
                <w:top w:val="single" w:sz="6" w:space="6" w:color="F2F2F2"/>
                <w:left w:val="none" w:sz="0" w:space="0" w:color="auto"/>
                <w:bottom w:val="single" w:sz="6" w:space="6" w:color="F2F2F2"/>
                <w:right w:val="none" w:sz="0" w:space="0" w:color="auto"/>
              </w:divBdr>
            </w:div>
            <w:div w:id="615138357">
              <w:marLeft w:val="0"/>
              <w:marRight w:val="0"/>
              <w:marTop w:val="0"/>
              <w:marBottom w:val="0"/>
              <w:divBdr>
                <w:top w:val="none" w:sz="0" w:space="0" w:color="auto"/>
                <w:left w:val="none" w:sz="0" w:space="0" w:color="auto"/>
                <w:bottom w:val="none" w:sz="0" w:space="0" w:color="auto"/>
                <w:right w:val="none" w:sz="0" w:space="0" w:color="auto"/>
              </w:divBdr>
              <w:divsChild>
                <w:div w:id="17087924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1290391">
          <w:marLeft w:val="0"/>
          <w:marRight w:val="0"/>
          <w:marTop w:val="0"/>
          <w:marBottom w:val="0"/>
          <w:divBdr>
            <w:top w:val="none" w:sz="0" w:space="0" w:color="auto"/>
            <w:left w:val="none" w:sz="0" w:space="0" w:color="auto"/>
            <w:bottom w:val="none" w:sz="0" w:space="0" w:color="auto"/>
            <w:right w:val="none" w:sz="0" w:space="0" w:color="auto"/>
          </w:divBdr>
        </w:div>
      </w:divsChild>
    </w:div>
    <w:div w:id="784226787">
      <w:bodyDiv w:val="1"/>
      <w:marLeft w:val="0"/>
      <w:marRight w:val="0"/>
      <w:marTop w:val="0"/>
      <w:marBottom w:val="0"/>
      <w:divBdr>
        <w:top w:val="none" w:sz="0" w:space="0" w:color="auto"/>
        <w:left w:val="none" w:sz="0" w:space="0" w:color="auto"/>
        <w:bottom w:val="none" w:sz="0" w:space="0" w:color="auto"/>
        <w:right w:val="none" w:sz="0" w:space="0" w:color="auto"/>
      </w:divBdr>
      <w:divsChild>
        <w:div w:id="390226849">
          <w:marLeft w:val="2400"/>
          <w:marRight w:val="0"/>
          <w:marTop w:val="0"/>
          <w:marBottom w:val="0"/>
          <w:divBdr>
            <w:top w:val="none" w:sz="0" w:space="0" w:color="auto"/>
            <w:left w:val="none" w:sz="0" w:space="0" w:color="auto"/>
            <w:bottom w:val="none" w:sz="0" w:space="0" w:color="auto"/>
            <w:right w:val="none" w:sz="0" w:space="0" w:color="auto"/>
          </w:divBdr>
          <w:divsChild>
            <w:div w:id="1407459988">
              <w:marLeft w:val="0"/>
              <w:marRight w:val="0"/>
              <w:marTop w:val="0"/>
              <w:marBottom w:val="0"/>
              <w:divBdr>
                <w:top w:val="none" w:sz="0" w:space="0" w:color="auto"/>
                <w:left w:val="none" w:sz="0" w:space="0" w:color="auto"/>
                <w:bottom w:val="none" w:sz="0" w:space="0" w:color="auto"/>
                <w:right w:val="none" w:sz="0" w:space="0" w:color="auto"/>
              </w:divBdr>
              <w:divsChild>
                <w:div w:id="1830099992">
                  <w:marLeft w:val="0"/>
                  <w:marRight w:val="0"/>
                  <w:marTop w:val="0"/>
                  <w:marBottom w:val="0"/>
                  <w:divBdr>
                    <w:top w:val="none" w:sz="0" w:space="0" w:color="auto"/>
                    <w:left w:val="none" w:sz="0" w:space="0" w:color="auto"/>
                    <w:bottom w:val="none" w:sz="0" w:space="0" w:color="auto"/>
                    <w:right w:val="none" w:sz="0" w:space="0" w:color="auto"/>
                  </w:divBdr>
                  <w:divsChild>
                    <w:div w:id="8704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930863">
      <w:bodyDiv w:val="1"/>
      <w:marLeft w:val="0"/>
      <w:marRight w:val="0"/>
      <w:marTop w:val="0"/>
      <w:marBottom w:val="0"/>
      <w:divBdr>
        <w:top w:val="none" w:sz="0" w:space="0" w:color="auto"/>
        <w:left w:val="none" w:sz="0" w:space="0" w:color="auto"/>
        <w:bottom w:val="none" w:sz="0" w:space="0" w:color="auto"/>
        <w:right w:val="none" w:sz="0" w:space="0" w:color="auto"/>
      </w:divBdr>
      <w:divsChild>
        <w:div w:id="2137486752">
          <w:marLeft w:val="0"/>
          <w:marRight w:val="0"/>
          <w:marTop w:val="0"/>
          <w:marBottom w:val="0"/>
          <w:divBdr>
            <w:top w:val="none" w:sz="0" w:space="0" w:color="auto"/>
            <w:left w:val="none" w:sz="0" w:space="0" w:color="auto"/>
            <w:bottom w:val="none" w:sz="0" w:space="0" w:color="auto"/>
            <w:right w:val="none" w:sz="0" w:space="0" w:color="auto"/>
          </w:divBdr>
          <w:divsChild>
            <w:div w:id="244195964">
              <w:marLeft w:val="0"/>
              <w:marRight w:val="0"/>
              <w:marTop w:val="0"/>
              <w:marBottom w:val="0"/>
              <w:divBdr>
                <w:top w:val="none" w:sz="0" w:space="0" w:color="auto"/>
                <w:left w:val="none" w:sz="0" w:space="0" w:color="auto"/>
                <w:bottom w:val="none" w:sz="0" w:space="0" w:color="auto"/>
                <w:right w:val="none" w:sz="0" w:space="0" w:color="auto"/>
              </w:divBdr>
              <w:divsChild>
                <w:div w:id="218784862">
                  <w:marLeft w:val="0"/>
                  <w:marRight w:val="0"/>
                  <w:marTop w:val="0"/>
                  <w:marBottom w:val="0"/>
                  <w:divBdr>
                    <w:top w:val="none" w:sz="0" w:space="0" w:color="auto"/>
                    <w:left w:val="none" w:sz="0" w:space="0" w:color="auto"/>
                    <w:bottom w:val="none" w:sz="0" w:space="0" w:color="auto"/>
                    <w:right w:val="none" w:sz="0" w:space="0" w:color="auto"/>
                  </w:divBdr>
                  <w:divsChild>
                    <w:div w:id="1977684643">
                      <w:marLeft w:val="0"/>
                      <w:marRight w:val="0"/>
                      <w:marTop w:val="0"/>
                      <w:marBottom w:val="0"/>
                      <w:divBdr>
                        <w:top w:val="none" w:sz="0" w:space="0" w:color="auto"/>
                        <w:left w:val="none" w:sz="0" w:space="0" w:color="auto"/>
                        <w:bottom w:val="none" w:sz="0" w:space="0" w:color="auto"/>
                        <w:right w:val="none" w:sz="0" w:space="0" w:color="auto"/>
                      </w:divBdr>
                      <w:divsChild>
                        <w:div w:id="1971209821">
                          <w:marLeft w:val="0"/>
                          <w:marRight w:val="0"/>
                          <w:marTop w:val="0"/>
                          <w:marBottom w:val="0"/>
                          <w:divBdr>
                            <w:top w:val="none" w:sz="0" w:space="0" w:color="auto"/>
                            <w:left w:val="none" w:sz="0" w:space="0" w:color="auto"/>
                            <w:bottom w:val="none" w:sz="0" w:space="0" w:color="auto"/>
                            <w:right w:val="none" w:sz="0" w:space="0" w:color="auto"/>
                          </w:divBdr>
                          <w:divsChild>
                            <w:div w:id="1465463518">
                              <w:marLeft w:val="0"/>
                              <w:marRight w:val="0"/>
                              <w:marTop w:val="0"/>
                              <w:marBottom w:val="0"/>
                              <w:divBdr>
                                <w:top w:val="none" w:sz="0" w:space="0" w:color="auto"/>
                                <w:left w:val="none" w:sz="0" w:space="0" w:color="auto"/>
                                <w:bottom w:val="none" w:sz="0" w:space="0" w:color="auto"/>
                                <w:right w:val="none" w:sz="0" w:space="0" w:color="auto"/>
                              </w:divBdr>
                              <w:divsChild>
                                <w:div w:id="436487592">
                                  <w:marLeft w:val="0"/>
                                  <w:marRight w:val="0"/>
                                  <w:marTop w:val="0"/>
                                  <w:marBottom w:val="0"/>
                                  <w:divBdr>
                                    <w:top w:val="none" w:sz="0" w:space="0" w:color="auto"/>
                                    <w:left w:val="none" w:sz="0" w:space="0" w:color="auto"/>
                                    <w:bottom w:val="none" w:sz="0" w:space="0" w:color="auto"/>
                                    <w:right w:val="none" w:sz="0" w:space="0" w:color="auto"/>
                                  </w:divBdr>
                                  <w:divsChild>
                                    <w:div w:id="1920093707">
                                      <w:marLeft w:val="0"/>
                                      <w:marRight w:val="0"/>
                                      <w:marTop w:val="0"/>
                                      <w:marBottom w:val="0"/>
                                      <w:divBdr>
                                        <w:top w:val="none" w:sz="0" w:space="0" w:color="auto"/>
                                        <w:left w:val="none" w:sz="0" w:space="0" w:color="auto"/>
                                        <w:bottom w:val="none" w:sz="0" w:space="0" w:color="auto"/>
                                        <w:right w:val="none" w:sz="0" w:space="0" w:color="auto"/>
                                      </w:divBdr>
                                      <w:divsChild>
                                        <w:div w:id="1873304435">
                                          <w:marLeft w:val="0"/>
                                          <w:marRight w:val="0"/>
                                          <w:marTop w:val="0"/>
                                          <w:marBottom w:val="0"/>
                                          <w:divBdr>
                                            <w:top w:val="none" w:sz="0" w:space="0" w:color="auto"/>
                                            <w:left w:val="none" w:sz="0" w:space="0" w:color="auto"/>
                                            <w:bottom w:val="none" w:sz="0" w:space="0" w:color="auto"/>
                                            <w:right w:val="none" w:sz="0" w:space="0" w:color="auto"/>
                                          </w:divBdr>
                                          <w:divsChild>
                                            <w:div w:id="960959789">
                                              <w:marLeft w:val="0"/>
                                              <w:marRight w:val="0"/>
                                              <w:marTop w:val="0"/>
                                              <w:marBottom w:val="0"/>
                                              <w:divBdr>
                                                <w:top w:val="none" w:sz="0" w:space="0" w:color="auto"/>
                                                <w:left w:val="none" w:sz="0" w:space="0" w:color="auto"/>
                                                <w:bottom w:val="none" w:sz="0" w:space="0" w:color="auto"/>
                                                <w:right w:val="none" w:sz="0" w:space="0" w:color="auto"/>
                                              </w:divBdr>
                                              <w:divsChild>
                                                <w:div w:id="1352561213">
                                                  <w:marLeft w:val="0"/>
                                                  <w:marRight w:val="0"/>
                                                  <w:marTop w:val="0"/>
                                                  <w:marBottom w:val="0"/>
                                                  <w:divBdr>
                                                    <w:top w:val="none" w:sz="0" w:space="0" w:color="auto"/>
                                                    <w:left w:val="none" w:sz="0" w:space="0" w:color="auto"/>
                                                    <w:bottom w:val="none" w:sz="0" w:space="0" w:color="auto"/>
                                                    <w:right w:val="none" w:sz="0" w:space="0" w:color="auto"/>
                                                  </w:divBdr>
                                                  <w:divsChild>
                                                    <w:div w:id="2124835713">
                                                      <w:marLeft w:val="0"/>
                                                      <w:marRight w:val="0"/>
                                                      <w:marTop w:val="0"/>
                                                      <w:marBottom w:val="0"/>
                                                      <w:divBdr>
                                                        <w:top w:val="none" w:sz="0" w:space="0" w:color="auto"/>
                                                        <w:left w:val="none" w:sz="0" w:space="0" w:color="auto"/>
                                                        <w:bottom w:val="none" w:sz="0" w:space="0" w:color="auto"/>
                                                        <w:right w:val="none" w:sz="0" w:space="0" w:color="auto"/>
                                                      </w:divBdr>
                                                      <w:divsChild>
                                                        <w:div w:id="1134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7895502">
      <w:bodyDiv w:val="1"/>
      <w:marLeft w:val="0"/>
      <w:marRight w:val="0"/>
      <w:marTop w:val="0"/>
      <w:marBottom w:val="0"/>
      <w:divBdr>
        <w:top w:val="none" w:sz="0" w:space="0" w:color="auto"/>
        <w:left w:val="none" w:sz="0" w:space="0" w:color="auto"/>
        <w:bottom w:val="none" w:sz="0" w:space="0" w:color="auto"/>
        <w:right w:val="none" w:sz="0" w:space="0" w:color="auto"/>
      </w:divBdr>
      <w:divsChild>
        <w:div w:id="350649647">
          <w:marLeft w:val="0"/>
          <w:marRight w:val="0"/>
          <w:marTop w:val="0"/>
          <w:marBottom w:val="0"/>
          <w:divBdr>
            <w:top w:val="none" w:sz="0" w:space="0" w:color="auto"/>
            <w:left w:val="none" w:sz="0" w:space="0" w:color="auto"/>
            <w:bottom w:val="none" w:sz="0" w:space="0" w:color="auto"/>
            <w:right w:val="none" w:sz="0" w:space="0" w:color="auto"/>
          </w:divBdr>
          <w:divsChild>
            <w:div w:id="524563176">
              <w:marLeft w:val="0"/>
              <w:marRight w:val="0"/>
              <w:marTop w:val="0"/>
              <w:marBottom w:val="0"/>
              <w:divBdr>
                <w:top w:val="none" w:sz="0" w:space="0" w:color="auto"/>
                <w:left w:val="none" w:sz="0" w:space="0" w:color="auto"/>
                <w:bottom w:val="none" w:sz="0" w:space="0" w:color="auto"/>
                <w:right w:val="none" w:sz="0" w:space="0" w:color="auto"/>
              </w:divBdr>
              <w:divsChild>
                <w:div w:id="55974411">
                  <w:marLeft w:val="0"/>
                  <w:marRight w:val="0"/>
                  <w:marTop w:val="0"/>
                  <w:marBottom w:val="0"/>
                  <w:divBdr>
                    <w:top w:val="none" w:sz="0" w:space="0" w:color="auto"/>
                    <w:left w:val="none" w:sz="0" w:space="0" w:color="auto"/>
                    <w:bottom w:val="none" w:sz="0" w:space="0" w:color="auto"/>
                    <w:right w:val="none" w:sz="0" w:space="0" w:color="auto"/>
                  </w:divBdr>
                  <w:divsChild>
                    <w:div w:id="1595434845">
                      <w:marLeft w:val="0"/>
                      <w:marRight w:val="0"/>
                      <w:marTop w:val="0"/>
                      <w:marBottom w:val="0"/>
                      <w:divBdr>
                        <w:top w:val="none" w:sz="0" w:space="0" w:color="auto"/>
                        <w:left w:val="none" w:sz="0" w:space="0" w:color="auto"/>
                        <w:bottom w:val="none" w:sz="0" w:space="0" w:color="auto"/>
                        <w:right w:val="none" w:sz="0" w:space="0" w:color="auto"/>
                      </w:divBdr>
                      <w:divsChild>
                        <w:div w:id="575166856">
                          <w:marLeft w:val="0"/>
                          <w:marRight w:val="0"/>
                          <w:marTop w:val="0"/>
                          <w:marBottom w:val="0"/>
                          <w:divBdr>
                            <w:top w:val="none" w:sz="0" w:space="0" w:color="auto"/>
                            <w:left w:val="none" w:sz="0" w:space="0" w:color="auto"/>
                            <w:bottom w:val="none" w:sz="0" w:space="0" w:color="auto"/>
                            <w:right w:val="none" w:sz="0" w:space="0" w:color="auto"/>
                          </w:divBdr>
                          <w:divsChild>
                            <w:div w:id="303126722">
                              <w:marLeft w:val="0"/>
                              <w:marRight w:val="0"/>
                              <w:marTop w:val="0"/>
                              <w:marBottom w:val="0"/>
                              <w:divBdr>
                                <w:top w:val="none" w:sz="0" w:space="0" w:color="auto"/>
                                <w:left w:val="none" w:sz="0" w:space="0" w:color="auto"/>
                                <w:bottom w:val="none" w:sz="0" w:space="0" w:color="auto"/>
                                <w:right w:val="none" w:sz="0" w:space="0" w:color="auto"/>
                              </w:divBdr>
                              <w:divsChild>
                                <w:div w:id="1088845346">
                                  <w:marLeft w:val="0"/>
                                  <w:marRight w:val="0"/>
                                  <w:marTop w:val="0"/>
                                  <w:marBottom w:val="0"/>
                                  <w:divBdr>
                                    <w:top w:val="none" w:sz="0" w:space="0" w:color="auto"/>
                                    <w:left w:val="none" w:sz="0" w:space="0" w:color="auto"/>
                                    <w:bottom w:val="none" w:sz="0" w:space="0" w:color="auto"/>
                                    <w:right w:val="none" w:sz="0" w:space="0" w:color="auto"/>
                                  </w:divBdr>
                                  <w:divsChild>
                                    <w:div w:id="1496533996">
                                      <w:marLeft w:val="0"/>
                                      <w:marRight w:val="0"/>
                                      <w:marTop w:val="0"/>
                                      <w:marBottom w:val="0"/>
                                      <w:divBdr>
                                        <w:top w:val="none" w:sz="0" w:space="0" w:color="auto"/>
                                        <w:left w:val="none" w:sz="0" w:space="0" w:color="auto"/>
                                        <w:bottom w:val="none" w:sz="0" w:space="0" w:color="auto"/>
                                        <w:right w:val="none" w:sz="0" w:space="0" w:color="auto"/>
                                      </w:divBdr>
                                      <w:divsChild>
                                        <w:div w:id="2029914709">
                                          <w:marLeft w:val="0"/>
                                          <w:marRight w:val="0"/>
                                          <w:marTop w:val="0"/>
                                          <w:marBottom w:val="0"/>
                                          <w:divBdr>
                                            <w:top w:val="none" w:sz="0" w:space="0" w:color="auto"/>
                                            <w:left w:val="none" w:sz="0" w:space="0" w:color="auto"/>
                                            <w:bottom w:val="none" w:sz="0" w:space="0" w:color="auto"/>
                                            <w:right w:val="none" w:sz="0" w:space="0" w:color="auto"/>
                                          </w:divBdr>
                                          <w:divsChild>
                                            <w:div w:id="1365788346">
                                              <w:marLeft w:val="0"/>
                                              <w:marRight w:val="0"/>
                                              <w:marTop w:val="0"/>
                                              <w:marBottom w:val="0"/>
                                              <w:divBdr>
                                                <w:top w:val="none" w:sz="0" w:space="0" w:color="auto"/>
                                                <w:left w:val="none" w:sz="0" w:space="0" w:color="auto"/>
                                                <w:bottom w:val="none" w:sz="0" w:space="0" w:color="auto"/>
                                                <w:right w:val="none" w:sz="0" w:space="0" w:color="auto"/>
                                              </w:divBdr>
                                              <w:divsChild>
                                                <w:div w:id="733544650">
                                                  <w:marLeft w:val="0"/>
                                                  <w:marRight w:val="0"/>
                                                  <w:marTop w:val="0"/>
                                                  <w:marBottom w:val="0"/>
                                                  <w:divBdr>
                                                    <w:top w:val="none" w:sz="0" w:space="0" w:color="auto"/>
                                                    <w:left w:val="none" w:sz="0" w:space="0" w:color="auto"/>
                                                    <w:bottom w:val="none" w:sz="0" w:space="0" w:color="auto"/>
                                                    <w:right w:val="none" w:sz="0" w:space="0" w:color="auto"/>
                                                  </w:divBdr>
                                                  <w:divsChild>
                                                    <w:div w:id="1796096172">
                                                      <w:marLeft w:val="0"/>
                                                      <w:marRight w:val="0"/>
                                                      <w:marTop w:val="0"/>
                                                      <w:marBottom w:val="0"/>
                                                      <w:divBdr>
                                                        <w:top w:val="none" w:sz="0" w:space="0" w:color="auto"/>
                                                        <w:left w:val="none" w:sz="0" w:space="0" w:color="auto"/>
                                                        <w:bottom w:val="none" w:sz="0" w:space="0" w:color="auto"/>
                                                        <w:right w:val="none" w:sz="0" w:space="0" w:color="auto"/>
                                                      </w:divBdr>
                                                      <w:divsChild>
                                                        <w:div w:id="16625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007053">
      <w:bodyDiv w:val="1"/>
      <w:marLeft w:val="0"/>
      <w:marRight w:val="0"/>
      <w:marTop w:val="0"/>
      <w:marBottom w:val="0"/>
      <w:divBdr>
        <w:top w:val="none" w:sz="0" w:space="0" w:color="auto"/>
        <w:left w:val="none" w:sz="0" w:space="0" w:color="auto"/>
        <w:bottom w:val="none" w:sz="0" w:space="0" w:color="auto"/>
        <w:right w:val="none" w:sz="0" w:space="0" w:color="auto"/>
      </w:divBdr>
      <w:divsChild>
        <w:div w:id="195627760">
          <w:marLeft w:val="0"/>
          <w:marRight w:val="0"/>
          <w:marTop w:val="0"/>
          <w:marBottom w:val="0"/>
          <w:divBdr>
            <w:top w:val="none" w:sz="0" w:space="0" w:color="auto"/>
            <w:left w:val="none" w:sz="0" w:space="0" w:color="auto"/>
            <w:bottom w:val="none" w:sz="0" w:space="0" w:color="auto"/>
            <w:right w:val="none" w:sz="0" w:space="0" w:color="auto"/>
          </w:divBdr>
          <w:divsChild>
            <w:div w:id="1437336119">
              <w:marLeft w:val="0"/>
              <w:marRight w:val="0"/>
              <w:marTop w:val="0"/>
              <w:marBottom w:val="0"/>
              <w:divBdr>
                <w:top w:val="none" w:sz="0" w:space="0" w:color="auto"/>
                <w:left w:val="none" w:sz="0" w:space="0" w:color="auto"/>
                <w:bottom w:val="none" w:sz="0" w:space="0" w:color="auto"/>
                <w:right w:val="none" w:sz="0" w:space="0" w:color="auto"/>
              </w:divBdr>
              <w:divsChild>
                <w:div w:id="746608955">
                  <w:marLeft w:val="0"/>
                  <w:marRight w:val="0"/>
                  <w:marTop w:val="0"/>
                  <w:marBottom w:val="0"/>
                  <w:divBdr>
                    <w:top w:val="none" w:sz="0" w:space="0" w:color="auto"/>
                    <w:left w:val="none" w:sz="0" w:space="0" w:color="auto"/>
                    <w:bottom w:val="none" w:sz="0" w:space="0" w:color="auto"/>
                    <w:right w:val="none" w:sz="0" w:space="0" w:color="auto"/>
                  </w:divBdr>
                  <w:divsChild>
                    <w:div w:id="200748226">
                      <w:marLeft w:val="0"/>
                      <w:marRight w:val="0"/>
                      <w:marTop w:val="0"/>
                      <w:marBottom w:val="0"/>
                      <w:divBdr>
                        <w:top w:val="none" w:sz="0" w:space="0" w:color="auto"/>
                        <w:left w:val="none" w:sz="0" w:space="0" w:color="auto"/>
                        <w:bottom w:val="none" w:sz="0" w:space="0" w:color="auto"/>
                        <w:right w:val="none" w:sz="0" w:space="0" w:color="auto"/>
                      </w:divBdr>
                      <w:divsChild>
                        <w:div w:id="707493710">
                          <w:marLeft w:val="0"/>
                          <w:marRight w:val="0"/>
                          <w:marTop w:val="0"/>
                          <w:marBottom w:val="0"/>
                          <w:divBdr>
                            <w:top w:val="none" w:sz="0" w:space="0" w:color="auto"/>
                            <w:left w:val="none" w:sz="0" w:space="0" w:color="auto"/>
                            <w:bottom w:val="none" w:sz="0" w:space="0" w:color="auto"/>
                            <w:right w:val="none" w:sz="0" w:space="0" w:color="auto"/>
                          </w:divBdr>
                          <w:divsChild>
                            <w:div w:id="92556244">
                              <w:marLeft w:val="0"/>
                              <w:marRight w:val="0"/>
                              <w:marTop w:val="0"/>
                              <w:marBottom w:val="0"/>
                              <w:divBdr>
                                <w:top w:val="none" w:sz="0" w:space="0" w:color="auto"/>
                                <w:left w:val="none" w:sz="0" w:space="0" w:color="auto"/>
                                <w:bottom w:val="none" w:sz="0" w:space="0" w:color="auto"/>
                                <w:right w:val="none" w:sz="0" w:space="0" w:color="auto"/>
                              </w:divBdr>
                              <w:divsChild>
                                <w:div w:id="690106842">
                                  <w:marLeft w:val="120"/>
                                  <w:marRight w:val="720"/>
                                  <w:marTop w:val="120"/>
                                  <w:marBottom w:val="120"/>
                                  <w:divBdr>
                                    <w:top w:val="none" w:sz="0" w:space="0" w:color="auto"/>
                                    <w:left w:val="none" w:sz="0" w:space="0" w:color="auto"/>
                                    <w:bottom w:val="none" w:sz="0" w:space="0" w:color="auto"/>
                                    <w:right w:val="none" w:sz="0" w:space="0" w:color="auto"/>
                                  </w:divBdr>
                                  <w:divsChild>
                                    <w:div w:id="1681661421">
                                      <w:marLeft w:val="0"/>
                                      <w:marRight w:val="0"/>
                                      <w:marTop w:val="0"/>
                                      <w:marBottom w:val="0"/>
                                      <w:divBdr>
                                        <w:top w:val="none" w:sz="0" w:space="0" w:color="auto"/>
                                        <w:left w:val="none" w:sz="0" w:space="0" w:color="auto"/>
                                        <w:bottom w:val="none" w:sz="0" w:space="0" w:color="auto"/>
                                        <w:right w:val="none" w:sz="0" w:space="0" w:color="auto"/>
                                      </w:divBdr>
                                      <w:divsChild>
                                        <w:div w:id="504394616">
                                          <w:marLeft w:val="0"/>
                                          <w:marRight w:val="0"/>
                                          <w:marTop w:val="0"/>
                                          <w:marBottom w:val="0"/>
                                          <w:divBdr>
                                            <w:top w:val="none" w:sz="0" w:space="0" w:color="auto"/>
                                            <w:left w:val="none" w:sz="0" w:space="0" w:color="auto"/>
                                            <w:bottom w:val="none" w:sz="0" w:space="0" w:color="auto"/>
                                            <w:right w:val="none" w:sz="0" w:space="0" w:color="auto"/>
                                          </w:divBdr>
                                          <w:divsChild>
                                            <w:div w:id="1039084668">
                                              <w:marLeft w:val="0"/>
                                              <w:marRight w:val="0"/>
                                              <w:marTop w:val="0"/>
                                              <w:marBottom w:val="0"/>
                                              <w:divBdr>
                                                <w:top w:val="none" w:sz="0" w:space="0" w:color="auto"/>
                                                <w:left w:val="none" w:sz="0" w:space="0" w:color="auto"/>
                                                <w:bottom w:val="none" w:sz="0" w:space="0" w:color="auto"/>
                                                <w:right w:val="none" w:sz="0" w:space="0" w:color="auto"/>
                                              </w:divBdr>
                                              <w:divsChild>
                                                <w:div w:id="1765296142">
                                                  <w:marLeft w:val="0"/>
                                                  <w:marRight w:val="0"/>
                                                  <w:marTop w:val="240"/>
                                                  <w:marBottom w:val="240"/>
                                                  <w:divBdr>
                                                    <w:top w:val="single" w:sz="6" w:space="6" w:color="F2F2F2"/>
                                                    <w:left w:val="none" w:sz="0" w:space="0" w:color="auto"/>
                                                    <w:bottom w:val="single" w:sz="6" w:space="6" w:color="F2F2F2"/>
                                                    <w:right w:val="none" w:sz="0" w:space="0" w:color="auto"/>
                                                  </w:divBdr>
                                                </w:div>
                                                <w:div w:id="1575552552">
                                                  <w:marLeft w:val="0"/>
                                                  <w:marRight w:val="0"/>
                                                  <w:marTop w:val="0"/>
                                                  <w:marBottom w:val="0"/>
                                                  <w:divBdr>
                                                    <w:top w:val="none" w:sz="0" w:space="0" w:color="auto"/>
                                                    <w:left w:val="none" w:sz="0" w:space="0" w:color="auto"/>
                                                    <w:bottom w:val="none" w:sz="0" w:space="0" w:color="auto"/>
                                                    <w:right w:val="none" w:sz="0" w:space="0" w:color="auto"/>
                                                  </w:divBdr>
                                                  <w:divsChild>
                                                    <w:div w:id="13339940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980745">
      <w:bodyDiv w:val="1"/>
      <w:marLeft w:val="0"/>
      <w:marRight w:val="0"/>
      <w:marTop w:val="0"/>
      <w:marBottom w:val="0"/>
      <w:divBdr>
        <w:top w:val="none" w:sz="0" w:space="0" w:color="auto"/>
        <w:left w:val="none" w:sz="0" w:space="0" w:color="auto"/>
        <w:bottom w:val="none" w:sz="0" w:space="0" w:color="auto"/>
        <w:right w:val="none" w:sz="0" w:space="0" w:color="auto"/>
      </w:divBdr>
      <w:divsChild>
        <w:div w:id="607736786">
          <w:marLeft w:val="0"/>
          <w:marRight w:val="0"/>
          <w:marTop w:val="0"/>
          <w:marBottom w:val="0"/>
          <w:divBdr>
            <w:top w:val="none" w:sz="0" w:space="0" w:color="auto"/>
            <w:left w:val="none" w:sz="0" w:space="0" w:color="auto"/>
            <w:bottom w:val="none" w:sz="0" w:space="0" w:color="auto"/>
            <w:right w:val="none" w:sz="0" w:space="0" w:color="auto"/>
          </w:divBdr>
          <w:divsChild>
            <w:div w:id="942222320">
              <w:marLeft w:val="210"/>
              <w:marRight w:val="0"/>
              <w:marTop w:val="0"/>
              <w:marBottom w:val="0"/>
              <w:divBdr>
                <w:top w:val="none" w:sz="0" w:space="0" w:color="auto"/>
                <w:left w:val="none" w:sz="0" w:space="0" w:color="auto"/>
                <w:bottom w:val="none" w:sz="0" w:space="0" w:color="auto"/>
                <w:right w:val="none" w:sz="0" w:space="0" w:color="auto"/>
              </w:divBdr>
              <w:divsChild>
                <w:div w:id="19010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1667">
      <w:bodyDiv w:val="1"/>
      <w:marLeft w:val="0"/>
      <w:marRight w:val="0"/>
      <w:marTop w:val="0"/>
      <w:marBottom w:val="0"/>
      <w:divBdr>
        <w:top w:val="none" w:sz="0" w:space="0" w:color="auto"/>
        <w:left w:val="none" w:sz="0" w:space="0" w:color="auto"/>
        <w:bottom w:val="none" w:sz="0" w:space="0" w:color="auto"/>
        <w:right w:val="none" w:sz="0" w:space="0" w:color="auto"/>
      </w:divBdr>
      <w:divsChild>
        <w:div w:id="1927301466">
          <w:marLeft w:val="0"/>
          <w:marRight w:val="0"/>
          <w:marTop w:val="0"/>
          <w:marBottom w:val="0"/>
          <w:divBdr>
            <w:top w:val="none" w:sz="0" w:space="0" w:color="auto"/>
            <w:left w:val="none" w:sz="0" w:space="0" w:color="auto"/>
            <w:bottom w:val="none" w:sz="0" w:space="0" w:color="auto"/>
            <w:right w:val="none" w:sz="0" w:space="0" w:color="auto"/>
          </w:divBdr>
          <w:divsChild>
            <w:div w:id="983853960">
              <w:marLeft w:val="0"/>
              <w:marRight w:val="0"/>
              <w:marTop w:val="0"/>
              <w:marBottom w:val="0"/>
              <w:divBdr>
                <w:top w:val="none" w:sz="0" w:space="0" w:color="auto"/>
                <w:left w:val="none" w:sz="0" w:space="0" w:color="auto"/>
                <w:bottom w:val="none" w:sz="0" w:space="0" w:color="auto"/>
                <w:right w:val="none" w:sz="0" w:space="0" w:color="auto"/>
              </w:divBdr>
              <w:divsChild>
                <w:div w:id="3547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4820">
      <w:bodyDiv w:val="1"/>
      <w:marLeft w:val="0"/>
      <w:marRight w:val="0"/>
      <w:marTop w:val="0"/>
      <w:marBottom w:val="0"/>
      <w:divBdr>
        <w:top w:val="none" w:sz="0" w:space="0" w:color="auto"/>
        <w:left w:val="none" w:sz="0" w:space="0" w:color="auto"/>
        <w:bottom w:val="none" w:sz="0" w:space="0" w:color="auto"/>
        <w:right w:val="none" w:sz="0" w:space="0" w:color="auto"/>
      </w:divBdr>
      <w:divsChild>
        <w:div w:id="412556855">
          <w:marLeft w:val="0"/>
          <w:marRight w:val="0"/>
          <w:marTop w:val="0"/>
          <w:marBottom w:val="0"/>
          <w:divBdr>
            <w:top w:val="none" w:sz="0" w:space="0" w:color="auto"/>
            <w:left w:val="none" w:sz="0" w:space="0" w:color="auto"/>
            <w:bottom w:val="none" w:sz="0" w:space="0" w:color="auto"/>
            <w:right w:val="none" w:sz="0" w:space="0" w:color="auto"/>
          </w:divBdr>
          <w:divsChild>
            <w:div w:id="962005213">
              <w:marLeft w:val="0"/>
              <w:marRight w:val="0"/>
              <w:marTop w:val="0"/>
              <w:marBottom w:val="0"/>
              <w:divBdr>
                <w:top w:val="none" w:sz="0" w:space="0" w:color="auto"/>
                <w:left w:val="none" w:sz="0" w:space="0" w:color="auto"/>
                <w:bottom w:val="none" w:sz="0" w:space="0" w:color="auto"/>
                <w:right w:val="none" w:sz="0" w:space="0" w:color="auto"/>
              </w:divBdr>
              <w:divsChild>
                <w:div w:id="1623420337">
                  <w:marLeft w:val="150"/>
                  <w:marRight w:val="0"/>
                  <w:marTop w:val="0"/>
                  <w:marBottom w:val="0"/>
                  <w:divBdr>
                    <w:top w:val="none" w:sz="0" w:space="0" w:color="auto"/>
                    <w:left w:val="none" w:sz="0" w:space="0" w:color="auto"/>
                    <w:bottom w:val="none" w:sz="0" w:space="0" w:color="auto"/>
                    <w:right w:val="none" w:sz="0" w:space="0" w:color="auto"/>
                  </w:divBdr>
                  <w:divsChild>
                    <w:div w:id="8401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07522">
      <w:bodyDiv w:val="1"/>
      <w:marLeft w:val="0"/>
      <w:marRight w:val="0"/>
      <w:marTop w:val="0"/>
      <w:marBottom w:val="0"/>
      <w:divBdr>
        <w:top w:val="none" w:sz="0" w:space="0" w:color="auto"/>
        <w:left w:val="none" w:sz="0" w:space="0" w:color="auto"/>
        <w:bottom w:val="none" w:sz="0" w:space="0" w:color="auto"/>
        <w:right w:val="none" w:sz="0" w:space="0" w:color="auto"/>
      </w:divBdr>
      <w:divsChild>
        <w:div w:id="1681930098">
          <w:marLeft w:val="0"/>
          <w:marRight w:val="0"/>
          <w:marTop w:val="0"/>
          <w:marBottom w:val="0"/>
          <w:divBdr>
            <w:top w:val="none" w:sz="0" w:space="0" w:color="auto"/>
            <w:left w:val="none" w:sz="0" w:space="0" w:color="auto"/>
            <w:bottom w:val="none" w:sz="0" w:space="0" w:color="auto"/>
            <w:right w:val="none" w:sz="0" w:space="0" w:color="auto"/>
          </w:divBdr>
          <w:divsChild>
            <w:div w:id="609580837">
              <w:marLeft w:val="0"/>
              <w:marRight w:val="0"/>
              <w:marTop w:val="0"/>
              <w:marBottom w:val="0"/>
              <w:divBdr>
                <w:top w:val="none" w:sz="0" w:space="0" w:color="auto"/>
                <w:left w:val="none" w:sz="0" w:space="0" w:color="auto"/>
                <w:bottom w:val="none" w:sz="0" w:space="0" w:color="auto"/>
                <w:right w:val="none" w:sz="0" w:space="0" w:color="auto"/>
              </w:divBdr>
              <w:divsChild>
                <w:div w:id="547036523">
                  <w:marLeft w:val="0"/>
                  <w:marRight w:val="0"/>
                  <w:marTop w:val="0"/>
                  <w:marBottom w:val="0"/>
                  <w:divBdr>
                    <w:top w:val="none" w:sz="0" w:space="0" w:color="auto"/>
                    <w:left w:val="none" w:sz="0" w:space="0" w:color="auto"/>
                    <w:bottom w:val="none" w:sz="0" w:space="0" w:color="auto"/>
                    <w:right w:val="none" w:sz="0" w:space="0" w:color="auto"/>
                  </w:divBdr>
                  <w:divsChild>
                    <w:div w:id="1919171762">
                      <w:marLeft w:val="0"/>
                      <w:marRight w:val="0"/>
                      <w:marTop w:val="0"/>
                      <w:marBottom w:val="0"/>
                      <w:divBdr>
                        <w:top w:val="none" w:sz="0" w:space="0" w:color="auto"/>
                        <w:left w:val="none" w:sz="0" w:space="0" w:color="auto"/>
                        <w:bottom w:val="none" w:sz="0" w:space="0" w:color="auto"/>
                        <w:right w:val="none" w:sz="0" w:space="0" w:color="auto"/>
                      </w:divBdr>
                      <w:divsChild>
                        <w:div w:id="154170021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793445726">
      <w:bodyDiv w:val="1"/>
      <w:marLeft w:val="0"/>
      <w:marRight w:val="0"/>
      <w:marTop w:val="0"/>
      <w:marBottom w:val="0"/>
      <w:divBdr>
        <w:top w:val="none" w:sz="0" w:space="0" w:color="auto"/>
        <w:left w:val="none" w:sz="0" w:space="0" w:color="auto"/>
        <w:bottom w:val="none" w:sz="0" w:space="0" w:color="auto"/>
        <w:right w:val="none" w:sz="0" w:space="0" w:color="auto"/>
      </w:divBdr>
      <w:divsChild>
        <w:div w:id="1762989142">
          <w:marLeft w:val="0"/>
          <w:marRight w:val="0"/>
          <w:marTop w:val="0"/>
          <w:marBottom w:val="0"/>
          <w:divBdr>
            <w:top w:val="none" w:sz="0" w:space="0" w:color="auto"/>
            <w:left w:val="none" w:sz="0" w:space="0" w:color="auto"/>
            <w:bottom w:val="none" w:sz="0" w:space="0" w:color="auto"/>
            <w:right w:val="none" w:sz="0" w:space="0" w:color="auto"/>
          </w:divBdr>
          <w:divsChild>
            <w:div w:id="885525307">
              <w:marLeft w:val="0"/>
              <w:marRight w:val="0"/>
              <w:marTop w:val="0"/>
              <w:marBottom w:val="0"/>
              <w:divBdr>
                <w:top w:val="none" w:sz="0" w:space="0" w:color="auto"/>
                <w:left w:val="none" w:sz="0" w:space="0" w:color="auto"/>
                <w:bottom w:val="none" w:sz="0" w:space="0" w:color="auto"/>
                <w:right w:val="none" w:sz="0" w:space="0" w:color="auto"/>
              </w:divBdr>
              <w:divsChild>
                <w:div w:id="1309435395">
                  <w:marLeft w:val="0"/>
                  <w:marRight w:val="0"/>
                  <w:marTop w:val="0"/>
                  <w:marBottom w:val="0"/>
                  <w:divBdr>
                    <w:top w:val="none" w:sz="0" w:space="0" w:color="auto"/>
                    <w:left w:val="none" w:sz="0" w:space="0" w:color="auto"/>
                    <w:bottom w:val="none" w:sz="0" w:space="0" w:color="auto"/>
                    <w:right w:val="none" w:sz="0" w:space="0" w:color="auto"/>
                  </w:divBdr>
                  <w:divsChild>
                    <w:div w:id="731347465">
                      <w:marLeft w:val="0"/>
                      <w:marRight w:val="0"/>
                      <w:marTop w:val="0"/>
                      <w:marBottom w:val="0"/>
                      <w:divBdr>
                        <w:top w:val="none" w:sz="0" w:space="0" w:color="auto"/>
                        <w:left w:val="none" w:sz="0" w:space="0" w:color="auto"/>
                        <w:bottom w:val="none" w:sz="0" w:space="0" w:color="auto"/>
                        <w:right w:val="none" w:sz="0" w:space="0" w:color="auto"/>
                      </w:divBdr>
                      <w:divsChild>
                        <w:div w:id="2813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908580">
      <w:bodyDiv w:val="1"/>
      <w:marLeft w:val="0"/>
      <w:marRight w:val="0"/>
      <w:marTop w:val="0"/>
      <w:marBottom w:val="0"/>
      <w:divBdr>
        <w:top w:val="none" w:sz="0" w:space="0" w:color="auto"/>
        <w:left w:val="none" w:sz="0" w:space="0" w:color="auto"/>
        <w:bottom w:val="none" w:sz="0" w:space="0" w:color="auto"/>
        <w:right w:val="none" w:sz="0" w:space="0" w:color="auto"/>
      </w:divBdr>
      <w:divsChild>
        <w:div w:id="46685263">
          <w:marLeft w:val="0"/>
          <w:marRight w:val="0"/>
          <w:marTop w:val="0"/>
          <w:marBottom w:val="0"/>
          <w:divBdr>
            <w:top w:val="none" w:sz="0" w:space="0" w:color="auto"/>
            <w:left w:val="none" w:sz="0" w:space="0" w:color="auto"/>
            <w:bottom w:val="none" w:sz="0" w:space="0" w:color="auto"/>
            <w:right w:val="none" w:sz="0" w:space="0" w:color="auto"/>
          </w:divBdr>
        </w:div>
        <w:div w:id="2010133319">
          <w:marLeft w:val="0"/>
          <w:marRight w:val="0"/>
          <w:marTop w:val="0"/>
          <w:marBottom w:val="0"/>
          <w:divBdr>
            <w:top w:val="none" w:sz="0" w:space="0" w:color="auto"/>
            <w:left w:val="none" w:sz="0" w:space="0" w:color="auto"/>
            <w:bottom w:val="none" w:sz="0" w:space="0" w:color="auto"/>
            <w:right w:val="none" w:sz="0" w:space="0" w:color="auto"/>
          </w:divBdr>
        </w:div>
        <w:div w:id="1729378016">
          <w:marLeft w:val="0"/>
          <w:marRight w:val="0"/>
          <w:marTop w:val="900"/>
          <w:marBottom w:val="0"/>
          <w:divBdr>
            <w:top w:val="none" w:sz="0" w:space="0" w:color="auto"/>
            <w:left w:val="single" w:sz="6" w:space="8" w:color="727171"/>
            <w:bottom w:val="none" w:sz="0" w:space="0" w:color="auto"/>
            <w:right w:val="none" w:sz="0" w:space="0" w:color="auto"/>
          </w:divBdr>
          <w:divsChild>
            <w:div w:id="1414670442">
              <w:marLeft w:val="0"/>
              <w:marRight w:val="0"/>
              <w:marTop w:val="0"/>
              <w:marBottom w:val="0"/>
              <w:divBdr>
                <w:top w:val="none" w:sz="0" w:space="0" w:color="auto"/>
                <w:left w:val="none" w:sz="0" w:space="0" w:color="auto"/>
                <w:bottom w:val="none" w:sz="0" w:space="0" w:color="auto"/>
                <w:right w:val="none" w:sz="0" w:space="0" w:color="auto"/>
              </w:divBdr>
            </w:div>
            <w:div w:id="2056585415">
              <w:marLeft w:val="0"/>
              <w:marRight w:val="0"/>
              <w:marTop w:val="0"/>
              <w:marBottom w:val="0"/>
              <w:divBdr>
                <w:top w:val="none" w:sz="0" w:space="0" w:color="auto"/>
                <w:left w:val="none" w:sz="0" w:space="0" w:color="auto"/>
                <w:bottom w:val="none" w:sz="0" w:space="0" w:color="auto"/>
                <w:right w:val="none" w:sz="0" w:space="0" w:color="auto"/>
              </w:divBdr>
            </w:div>
            <w:div w:id="1222060340">
              <w:marLeft w:val="0"/>
              <w:marRight w:val="0"/>
              <w:marTop w:val="0"/>
              <w:marBottom w:val="0"/>
              <w:divBdr>
                <w:top w:val="none" w:sz="0" w:space="0" w:color="auto"/>
                <w:left w:val="none" w:sz="0" w:space="0" w:color="auto"/>
                <w:bottom w:val="none" w:sz="0" w:space="0" w:color="auto"/>
                <w:right w:val="none" w:sz="0" w:space="0" w:color="auto"/>
              </w:divBdr>
            </w:div>
            <w:div w:id="1236283928">
              <w:marLeft w:val="0"/>
              <w:marRight w:val="0"/>
              <w:marTop w:val="0"/>
              <w:marBottom w:val="0"/>
              <w:divBdr>
                <w:top w:val="none" w:sz="0" w:space="0" w:color="auto"/>
                <w:left w:val="none" w:sz="0" w:space="0" w:color="auto"/>
                <w:bottom w:val="none" w:sz="0" w:space="0" w:color="auto"/>
                <w:right w:val="none" w:sz="0" w:space="0" w:color="auto"/>
              </w:divBdr>
            </w:div>
            <w:div w:id="1591231700">
              <w:marLeft w:val="0"/>
              <w:marRight w:val="0"/>
              <w:marTop w:val="0"/>
              <w:marBottom w:val="0"/>
              <w:divBdr>
                <w:top w:val="none" w:sz="0" w:space="0" w:color="auto"/>
                <w:left w:val="none" w:sz="0" w:space="0" w:color="auto"/>
                <w:bottom w:val="none" w:sz="0" w:space="0" w:color="auto"/>
                <w:right w:val="none" w:sz="0" w:space="0" w:color="auto"/>
              </w:divBdr>
            </w:div>
            <w:div w:id="118230510">
              <w:marLeft w:val="0"/>
              <w:marRight w:val="0"/>
              <w:marTop w:val="0"/>
              <w:marBottom w:val="0"/>
              <w:divBdr>
                <w:top w:val="none" w:sz="0" w:space="0" w:color="auto"/>
                <w:left w:val="none" w:sz="0" w:space="0" w:color="auto"/>
                <w:bottom w:val="none" w:sz="0" w:space="0" w:color="auto"/>
                <w:right w:val="none" w:sz="0" w:space="0" w:color="auto"/>
              </w:divBdr>
            </w:div>
            <w:div w:id="1634753427">
              <w:marLeft w:val="0"/>
              <w:marRight w:val="0"/>
              <w:marTop w:val="0"/>
              <w:marBottom w:val="0"/>
              <w:divBdr>
                <w:top w:val="none" w:sz="0" w:space="0" w:color="auto"/>
                <w:left w:val="none" w:sz="0" w:space="0" w:color="auto"/>
                <w:bottom w:val="none" w:sz="0" w:space="0" w:color="auto"/>
                <w:right w:val="none" w:sz="0" w:space="0" w:color="auto"/>
              </w:divBdr>
            </w:div>
            <w:div w:id="1102455353">
              <w:marLeft w:val="0"/>
              <w:marRight w:val="0"/>
              <w:marTop w:val="0"/>
              <w:marBottom w:val="0"/>
              <w:divBdr>
                <w:top w:val="none" w:sz="0" w:space="0" w:color="auto"/>
                <w:left w:val="none" w:sz="0" w:space="0" w:color="auto"/>
                <w:bottom w:val="none" w:sz="0" w:space="0" w:color="auto"/>
                <w:right w:val="none" w:sz="0" w:space="0" w:color="auto"/>
              </w:divBdr>
            </w:div>
            <w:div w:id="10881578">
              <w:marLeft w:val="0"/>
              <w:marRight w:val="0"/>
              <w:marTop w:val="0"/>
              <w:marBottom w:val="0"/>
              <w:divBdr>
                <w:top w:val="none" w:sz="0" w:space="0" w:color="auto"/>
                <w:left w:val="none" w:sz="0" w:space="0" w:color="auto"/>
                <w:bottom w:val="none" w:sz="0" w:space="0" w:color="auto"/>
                <w:right w:val="none" w:sz="0" w:space="0" w:color="auto"/>
              </w:divBdr>
            </w:div>
            <w:div w:id="7292358">
              <w:marLeft w:val="0"/>
              <w:marRight w:val="0"/>
              <w:marTop w:val="0"/>
              <w:marBottom w:val="0"/>
              <w:divBdr>
                <w:top w:val="none" w:sz="0" w:space="0" w:color="auto"/>
                <w:left w:val="none" w:sz="0" w:space="0" w:color="auto"/>
                <w:bottom w:val="none" w:sz="0" w:space="0" w:color="auto"/>
                <w:right w:val="none" w:sz="0" w:space="0" w:color="auto"/>
              </w:divBdr>
            </w:div>
            <w:div w:id="1483426937">
              <w:marLeft w:val="0"/>
              <w:marRight w:val="0"/>
              <w:marTop w:val="0"/>
              <w:marBottom w:val="0"/>
              <w:divBdr>
                <w:top w:val="none" w:sz="0" w:space="0" w:color="auto"/>
                <w:left w:val="none" w:sz="0" w:space="0" w:color="auto"/>
                <w:bottom w:val="none" w:sz="0" w:space="0" w:color="auto"/>
                <w:right w:val="none" w:sz="0" w:space="0" w:color="auto"/>
              </w:divBdr>
            </w:div>
            <w:div w:id="1557277757">
              <w:marLeft w:val="0"/>
              <w:marRight w:val="0"/>
              <w:marTop w:val="0"/>
              <w:marBottom w:val="0"/>
              <w:divBdr>
                <w:top w:val="none" w:sz="0" w:space="0" w:color="auto"/>
                <w:left w:val="none" w:sz="0" w:space="0" w:color="auto"/>
                <w:bottom w:val="none" w:sz="0" w:space="0" w:color="auto"/>
                <w:right w:val="none" w:sz="0" w:space="0" w:color="auto"/>
              </w:divBdr>
            </w:div>
            <w:div w:id="1167986760">
              <w:marLeft w:val="0"/>
              <w:marRight w:val="0"/>
              <w:marTop w:val="0"/>
              <w:marBottom w:val="0"/>
              <w:divBdr>
                <w:top w:val="none" w:sz="0" w:space="0" w:color="auto"/>
                <w:left w:val="none" w:sz="0" w:space="0" w:color="auto"/>
                <w:bottom w:val="none" w:sz="0" w:space="0" w:color="auto"/>
                <w:right w:val="none" w:sz="0" w:space="0" w:color="auto"/>
              </w:divBdr>
            </w:div>
            <w:div w:id="953369282">
              <w:marLeft w:val="0"/>
              <w:marRight w:val="0"/>
              <w:marTop w:val="0"/>
              <w:marBottom w:val="0"/>
              <w:divBdr>
                <w:top w:val="none" w:sz="0" w:space="0" w:color="auto"/>
                <w:left w:val="none" w:sz="0" w:space="0" w:color="auto"/>
                <w:bottom w:val="none" w:sz="0" w:space="0" w:color="auto"/>
                <w:right w:val="none" w:sz="0" w:space="0" w:color="auto"/>
              </w:divBdr>
            </w:div>
            <w:div w:id="588587868">
              <w:marLeft w:val="0"/>
              <w:marRight w:val="0"/>
              <w:marTop w:val="0"/>
              <w:marBottom w:val="0"/>
              <w:divBdr>
                <w:top w:val="none" w:sz="0" w:space="0" w:color="auto"/>
                <w:left w:val="none" w:sz="0" w:space="0" w:color="auto"/>
                <w:bottom w:val="none" w:sz="0" w:space="0" w:color="auto"/>
                <w:right w:val="none" w:sz="0" w:space="0" w:color="auto"/>
              </w:divBdr>
            </w:div>
            <w:div w:id="29963851">
              <w:marLeft w:val="0"/>
              <w:marRight w:val="0"/>
              <w:marTop w:val="0"/>
              <w:marBottom w:val="0"/>
              <w:divBdr>
                <w:top w:val="none" w:sz="0" w:space="0" w:color="auto"/>
                <w:left w:val="none" w:sz="0" w:space="0" w:color="auto"/>
                <w:bottom w:val="none" w:sz="0" w:space="0" w:color="auto"/>
                <w:right w:val="none" w:sz="0" w:space="0" w:color="auto"/>
              </w:divBdr>
            </w:div>
          </w:divsChild>
        </w:div>
        <w:div w:id="1216969366">
          <w:marLeft w:val="0"/>
          <w:marRight w:val="0"/>
          <w:marTop w:val="0"/>
          <w:marBottom w:val="0"/>
          <w:divBdr>
            <w:top w:val="none" w:sz="0" w:space="0" w:color="auto"/>
            <w:left w:val="none" w:sz="0" w:space="0" w:color="auto"/>
            <w:bottom w:val="none" w:sz="0" w:space="0" w:color="auto"/>
            <w:right w:val="none" w:sz="0" w:space="0" w:color="auto"/>
          </w:divBdr>
        </w:div>
        <w:div w:id="53360956">
          <w:marLeft w:val="150"/>
          <w:marRight w:val="0"/>
          <w:marTop w:val="0"/>
          <w:marBottom w:val="0"/>
          <w:divBdr>
            <w:top w:val="none" w:sz="0" w:space="0" w:color="auto"/>
            <w:left w:val="none" w:sz="0" w:space="0" w:color="auto"/>
            <w:bottom w:val="single" w:sz="6" w:space="0" w:color="D1D1D1"/>
            <w:right w:val="none" w:sz="0" w:space="0" w:color="auto"/>
          </w:divBdr>
        </w:div>
        <w:div w:id="1479803866">
          <w:marLeft w:val="0"/>
          <w:marRight w:val="0"/>
          <w:marTop w:val="0"/>
          <w:marBottom w:val="0"/>
          <w:divBdr>
            <w:top w:val="none" w:sz="0" w:space="0" w:color="auto"/>
            <w:left w:val="none" w:sz="0" w:space="0" w:color="auto"/>
            <w:bottom w:val="none" w:sz="0" w:space="0" w:color="auto"/>
            <w:right w:val="none" w:sz="0" w:space="0" w:color="auto"/>
          </w:divBdr>
        </w:div>
        <w:div w:id="1558317777">
          <w:marLeft w:val="300"/>
          <w:marRight w:val="0"/>
          <w:marTop w:val="210"/>
          <w:marBottom w:val="0"/>
          <w:divBdr>
            <w:top w:val="none" w:sz="0" w:space="0" w:color="auto"/>
            <w:left w:val="none" w:sz="0" w:space="0" w:color="auto"/>
            <w:bottom w:val="none" w:sz="0" w:space="0" w:color="auto"/>
            <w:right w:val="none" w:sz="0" w:space="0" w:color="auto"/>
          </w:divBdr>
        </w:div>
        <w:div w:id="613102441">
          <w:marLeft w:val="0"/>
          <w:marRight w:val="105"/>
          <w:marTop w:val="0"/>
          <w:marBottom w:val="0"/>
          <w:divBdr>
            <w:top w:val="single" w:sz="6" w:space="0" w:color="D1D1D1"/>
            <w:left w:val="single" w:sz="6" w:space="0" w:color="D1D1D1"/>
            <w:bottom w:val="none" w:sz="0" w:space="0" w:color="auto"/>
            <w:right w:val="none" w:sz="0" w:space="0" w:color="auto"/>
          </w:divBdr>
          <w:divsChild>
            <w:div w:id="1254703589">
              <w:marLeft w:val="0"/>
              <w:marRight w:val="0"/>
              <w:marTop w:val="0"/>
              <w:marBottom w:val="0"/>
              <w:divBdr>
                <w:top w:val="none" w:sz="0" w:space="0" w:color="auto"/>
                <w:left w:val="none" w:sz="0" w:space="0" w:color="auto"/>
                <w:bottom w:val="single" w:sz="6" w:space="0" w:color="D1D1D1"/>
                <w:right w:val="single" w:sz="6" w:space="0" w:color="D1D1D1"/>
              </w:divBdr>
            </w:div>
            <w:div w:id="2022001166">
              <w:marLeft w:val="0"/>
              <w:marRight w:val="0"/>
              <w:marTop w:val="0"/>
              <w:marBottom w:val="0"/>
              <w:divBdr>
                <w:top w:val="none" w:sz="0" w:space="0" w:color="auto"/>
                <w:left w:val="none" w:sz="0" w:space="0" w:color="auto"/>
                <w:bottom w:val="none" w:sz="0" w:space="0" w:color="auto"/>
                <w:right w:val="none" w:sz="0" w:space="0" w:color="auto"/>
              </w:divBdr>
              <w:divsChild>
                <w:div w:id="17192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1851">
          <w:marLeft w:val="0"/>
          <w:marRight w:val="0"/>
          <w:marTop w:val="0"/>
          <w:marBottom w:val="0"/>
          <w:divBdr>
            <w:top w:val="none" w:sz="0" w:space="0" w:color="auto"/>
            <w:left w:val="none" w:sz="0" w:space="0" w:color="auto"/>
            <w:bottom w:val="none" w:sz="0" w:space="0" w:color="auto"/>
            <w:right w:val="none" w:sz="0" w:space="0" w:color="auto"/>
          </w:divBdr>
        </w:div>
        <w:div w:id="2032098688">
          <w:marLeft w:val="0"/>
          <w:marRight w:val="0"/>
          <w:marTop w:val="0"/>
          <w:marBottom w:val="0"/>
          <w:divBdr>
            <w:top w:val="none" w:sz="0" w:space="0" w:color="auto"/>
            <w:left w:val="none" w:sz="0" w:space="0" w:color="auto"/>
            <w:bottom w:val="none" w:sz="0" w:space="0" w:color="auto"/>
            <w:right w:val="none" w:sz="0" w:space="0" w:color="auto"/>
          </w:divBdr>
        </w:div>
        <w:div w:id="1254893189">
          <w:marLeft w:val="0"/>
          <w:marRight w:val="0"/>
          <w:marTop w:val="15"/>
          <w:marBottom w:val="0"/>
          <w:divBdr>
            <w:top w:val="single" w:sz="6" w:space="0" w:color="D1D1D1"/>
            <w:left w:val="single" w:sz="6" w:space="0" w:color="D1D1D1"/>
            <w:bottom w:val="single" w:sz="6" w:space="0" w:color="D1D1D1"/>
            <w:right w:val="single" w:sz="2" w:space="0" w:color="D1D1D1"/>
          </w:divBdr>
          <w:divsChild>
            <w:div w:id="1701396306">
              <w:marLeft w:val="75"/>
              <w:marRight w:val="135"/>
              <w:marTop w:val="0"/>
              <w:marBottom w:val="45"/>
              <w:divBdr>
                <w:top w:val="none" w:sz="0" w:space="0" w:color="auto"/>
                <w:left w:val="none" w:sz="0" w:space="0" w:color="auto"/>
                <w:bottom w:val="none" w:sz="0" w:space="0" w:color="auto"/>
                <w:right w:val="none" w:sz="0" w:space="0" w:color="auto"/>
              </w:divBdr>
              <w:divsChild>
                <w:div w:id="548420131">
                  <w:marLeft w:val="0"/>
                  <w:marRight w:val="0"/>
                  <w:marTop w:val="0"/>
                  <w:marBottom w:val="0"/>
                  <w:divBdr>
                    <w:top w:val="none" w:sz="0" w:space="0" w:color="auto"/>
                    <w:left w:val="none" w:sz="0" w:space="0" w:color="auto"/>
                    <w:bottom w:val="single" w:sz="6" w:space="0" w:color="FFDE23"/>
                    <w:right w:val="none" w:sz="0" w:space="0" w:color="auto"/>
                  </w:divBdr>
                </w:div>
              </w:divsChild>
            </w:div>
          </w:divsChild>
        </w:div>
        <w:div w:id="1133330544">
          <w:marLeft w:val="0"/>
          <w:marRight w:val="0"/>
          <w:marTop w:val="0"/>
          <w:marBottom w:val="0"/>
          <w:divBdr>
            <w:top w:val="none" w:sz="0" w:space="0" w:color="auto"/>
            <w:left w:val="none" w:sz="0" w:space="0" w:color="auto"/>
            <w:bottom w:val="none" w:sz="0" w:space="0" w:color="auto"/>
            <w:right w:val="none" w:sz="0" w:space="0" w:color="auto"/>
          </w:divBdr>
        </w:div>
        <w:div w:id="1512187084">
          <w:marLeft w:val="150"/>
          <w:marRight w:val="0"/>
          <w:marTop w:val="0"/>
          <w:marBottom w:val="0"/>
          <w:divBdr>
            <w:top w:val="none" w:sz="0" w:space="0" w:color="auto"/>
            <w:left w:val="none" w:sz="0" w:space="0" w:color="auto"/>
            <w:bottom w:val="none" w:sz="0" w:space="0" w:color="auto"/>
            <w:right w:val="none" w:sz="0" w:space="0" w:color="auto"/>
          </w:divBdr>
        </w:div>
        <w:div w:id="623344816">
          <w:marLeft w:val="0"/>
          <w:marRight w:val="0"/>
          <w:marTop w:val="0"/>
          <w:marBottom w:val="0"/>
          <w:divBdr>
            <w:top w:val="none" w:sz="0" w:space="0" w:color="auto"/>
            <w:left w:val="none" w:sz="0" w:space="0" w:color="auto"/>
            <w:bottom w:val="none" w:sz="0" w:space="0" w:color="auto"/>
            <w:right w:val="none" w:sz="0" w:space="0" w:color="auto"/>
          </w:divBdr>
          <w:divsChild>
            <w:div w:id="2004353879">
              <w:marLeft w:val="0"/>
              <w:marRight w:val="0"/>
              <w:marTop w:val="0"/>
              <w:marBottom w:val="0"/>
              <w:divBdr>
                <w:top w:val="none" w:sz="0" w:space="0" w:color="auto"/>
                <w:left w:val="none" w:sz="0" w:space="0" w:color="auto"/>
                <w:bottom w:val="none" w:sz="0" w:space="0" w:color="auto"/>
                <w:right w:val="none" w:sz="0" w:space="0" w:color="auto"/>
              </w:divBdr>
            </w:div>
          </w:divsChild>
        </w:div>
        <w:div w:id="1200045128">
          <w:marLeft w:val="0"/>
          <w:marRight w:val="0"/>
          <w:marTop w:val="0"/>
          <w:marBottom w:val="0"/>
          <w:divBdr>
            <w:top w:val="none" w:sz="0" w:space="0" w:color="auto"/>
            <w:left w:val="none" w:sz="0" w:space="0" w:color="auto"/>
            <w:bottom w:val="none" w:sz="0" w:space="0" w:color="auto"/>
            <w:right w:val="none" w:sz="0" w:space="0" w:color="auto"/>
          </w:divBdr>
          <w:divsChild>
            <w:div w:id="875968868">
              <w:marLeft w:val="0"/>
              <w:marRight w:val="0"/>
              <w:marTop w:val="0"/>
              <w:marBottom w:val="0"/>
              <w:divBdr>
                <w:top w:val="none" w:sz="0" w:space="0" w:color="auto"/>
                <w:left w:val="none" w:sz="0" w:space="0" w:color="auto"/>
                <w:bottom w:val="none" w:sz="0" w:space="0" w:color="auto"/>
                <w:right w:val="none" w:sz="0" w:space="0" w:color="auto"/>
              </w:divBdr>
              <w:divsChild>
                <w:div w:id="2594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2575">
      <w:bodyDiv w:val="1"/>
      <w:marLeft w:val="0"/>
      <w:marRight w:val="0"/>
      <w:marTop w:val="0"/>
      <w:marBottom w:val="0"/>
      <w:divBdr>
        <w:top w:val="none" w:sz="0" w:space="0" w:color="auto"/>
        <w:left w:val="none" w:sz="0" w:space="0" w:color="auto"/>
        <w:bottom w:val="none" w:sz="0" w:space="0" w:color="auto"/>
        <w:right w:val="none" w:sz="0" w:space="0" w:color="auto"/>
      </w:divBdr>
      <w:divsChild>
        <w:div w:id="1822425276">
          <w:marLeft w:val="0"/>
          <w:marRight w:val="0"/>
          <w:marTop w:val="0"/>
          <w:marBottom w:val="0"/>
          <w:divBdr>
            <w:top w:val="none" w:sz="0" w:space="0" w:color="auto"/>
            <w:left w:val="none" w:sz="0" w:space="0" w:color="auto"/>
            <w:bottom w:val="none" w:sz="0" w:space="0" w:color="auto"/>
            <w:right w:val="none" w:sz="0" w:space="0" w:color="auto"/>
          </w:divBdr>
          <w:divsChild>
            <w:div w:id="1480925332">
              <w:marLeft w:val="0"/>
              <w:marRight w:val="0"/>
              <w:marTop w:val="0"/>
              <w:marBottom w:val="0"/>
              <w:divBdr>
                <w:top w:val="none" w:sz="0" w:space="0" w:color="auto"/>
                <w:left w:val="none" w:sz="0" w:space="0" w:color="auto"/>
                <w:bottom w:val="none" w:sz="0" w:space="0" w:color="auto"/>
                <w:right w:val="none" w:sz="0" w:space="0" w:color="auto"/>
              </w:divBdr>
              <w:divsChild>
                <w:div w:id="465439630">
                  <w:marLeft w:val="0"/>
                  <w:marRight w:val="0"/>
                  <w:marTop w:val="0"/>
                  <w:marBottom w:val="0"/>
                  <w:divBdr>
                    <w:top w:val="none" w:sz="0" w:space="0" w:color="auto"/>
                    <w:left w:val="none" w:sz="0" w:space="0" w:color="auto"/>
                    <w:bottom w:val="none" w:sz="0" w:space="0" w:color="auto"/>
                    <w:right w:val="none" w:sz="0" w:space="0" w:color="auto"/>
                  </w:divBdr>
                  <w:divsChild>
                    <w:div w:id="1947810297">
                      <w:marLeft w:val="0"/>
                      <w:marRight w:val="0"/>
                      <w:marTop w:val="0"/>
                      <w:marBottom w:val="0"/>
                      <w:divBdr>
                        <w:top w:val="none" w:sz="0" w:space="0" w:color="auto"/>
                        <w:left w:val="none" w:sz="0" w:space="0" w:color="auto"/>
                        <w:bottom w:val="none" w:sz="0" w:space="0" w:color="auto"/>
                        <w:right w:val="none" w:sz="0" w:space="0" w:color="auto"/>
                      </w:divBdr>
                      <w:divsChild>
                        <w:div w:id="13568045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96871124">
      <w:bodyDiv w:val="1"/>
      <w:marLeft w:val="0"/>
      <w:marRight w:val="0"/>
      <w:marTop w:val="0"/>
      <w:marBottom w:val="0"/>
      <w:divBdr>
        <w:top w:val="none" w:sz="0" w:space="0" w:color="auto"/>
        <w:left w:val="none" w:sz="0" w:space="0" w:color="auto"/>
        <w:bottom w:val="none" w:sz="0" w:space="0" w:color="auto"/>
        <w:right w:val="none" w:sz="0" w:space="0" w:color="auto"/>
      </w:divBdr>
    </w:div>
    <w:div w:id="797529820">
      <w:bodyDiv w:val="1"/>
      <w:marLeft w:val="0"/>
      <w:marRight w:val="0"/>
      <w:marTop w:val="0"/>
      <w:marBottom w:val="0"/>
      <w:divBdr>
        <w:top w:val="none" w:sz="0" w:space="0" w:color="auto"/>
        <w:left w:val="none" w:sz="0" w:space="0" w:color="auto"/>
        <w:bottom w:val="none" w:sz="0" w:space="0" w:color="auto"/>
        <w:right w:val="none" w:sz="0" w:space="0" w:color="auto"/>
      </w:divBdr>
      <w:divsChild>
        <w:div w:id="922878580">
          <w:marLeft w:val="0"/>
          <w:marRight w:val="0"/>
          <w:marTop w:val="0"/>
          <w:marBottom w:val="0"/>
          <w:divBdr>
            <w:top w:val="none" w:sz="0" w:space="0" w:color="auto"/>
            <w:left w:val="none" w:sz="0" w:space="0" w:color="auto"/>
            <w:bottom w:val="none" w:sz="0" w:space="0" w:color="auto"/>
            <w:right w:val="none" w:sz="0" w:space="0" w:color="auto"/>
          </w:divBdr>
          <w:divsChild>
            <w:div w:id="250285642">
              <w:marLeft w:val="0"/>
              <w:marRight w:val="0"/>
              <w:marTop w:val="0"/>
              <w:marBottom w:val="0"/>
              <w:divBdr>
                <w:top w:val="none" w:sz="0" w:space="0" w:color="auto"/>
                <w:left w:val="none" w:sz="0" w:space="0" w:color="auto"/>
                <w:bottom w:val="none" w:sz="0" w:space="0" w:color="auto"/>
                <w:right w:val="none" w:sz="0" w:space="0" w:color="auto"/>
              </w:divBdr>
              <w:divsChild>
                <w:div w:id="1521235101">
                  <w:marLeft w:val="0"/>
                  <w:marRight w:val="0"/>
                  <w:marTop w:val="0"/>
                  <w:marBottom w:val="0"/>
                  <w:divBdr>
                    <w:top w:val="none" w:sz="0" w:space="0" w:color="auto"/>
                    <w:left w:val="none" w:sz="0" w:space="0" w:color="auto"/>
                    <w:bottom w:val="none" w:sz="0" w:space="0" w:color="auto"/>
                    <w:right w:val="none" w:sz="0" w:space="0" w:color="auto"/>
                  </w:divBdr>
                  <w:divsChild>
                    <w:div w:id="846679298">
                      <w:marLeft w:val="0"/>
                      <w:marRight w:val="0"/>
                      <w:marTop w:val="0"/>
                      <w:marBottom w:val="0"/>
                      <w:divBdr>
                        <w:top w:val="none" w:sz="0" w:space="0" w:color="auto"/>
                        <w:left w:val="none" w:sz="0" w:space="0" w:color="auto"/>
                        <w:bottom w:val="none" w:sz="0" w:space="0" w:color="auto"/>
                        <w:right w:val="none" w:sz="0" w:space="0" w:color="auto"/>
                      </w:divBdr>
                      <w:divsChild>
                        <w:div w:id="7280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99222">
      <w:bodyDiv w:val="1"/>
      <w:marLeft w:val="0"/>
      <w:marRight w:val="0"/>
      <w:marTop w:val="0"/>
      <w:marBottom w:val="0"/>
      <w:divBdr>
        <w:top w:val="none" w:sz="0" w:space="0" w:color="auto"/>
        <w:left w:val="none" w:sz="0" w:space="0" w:color="auto"/>
        <w:bottom w:val="none" w:sz="0" w:space="0" w:color="auto"/>
        <w:right w:val="none" w:sz="0" w:space="0" w:color="auto"/>
      </w:divBdr>
      <w:divsChild>
        <w:div w:id="1304121074">
          <w:marLeft w:val="0"/>
          <w:marRight w:val="0"/>
          <w:marTop w:val="0"/>
          <w:marBottom w:val="0"/>
          <w:divBdr>
            <w:top w:val="none" w:sz="0" w:space="0" w:color="auto"/>
            <w:left w:val="none" w:sz="0" w:space="0" w:color="auto"/>
            <w:bottom w:val="none" w:sz="0" w:space="0" w:color="auto"/>
            <w:right w:val="none" w:sz="0" w:space="0" w:color="auto"/>
          </w:divBdr>
          <w:divsChild>
            <w:div w:id="1892571314">
              <w:marLeft w:val="0"/>
              <w:marRight w:val="0"/>
              <w:marTop w:val="0"/>
              <w:marBottom w:val="0"/>
              <w:divBdr>
                <w:top w:val="none" w:sz="0" w:space="0" w:color="auto"/>
                <w:left w:val="none" w:sz="0" w:space="0" w:color="auto"/>
                <w:bottom w:val="none" w:sz="0" w:space="0" w:color="auto"/>
                <w:right w:val="none" w:sz="0" w:space="0" w:color="auto"/>
              </w:divBdr>
              <w:divsChild>
                <w:div w:id="920484348">
                  <w:marLeft w:val="0"/>
                  <w:marRight w:val="0"/>
                  <w:marTop w:val="0"/>
                  <w:marBottom w:val="0"/>
                  <w:divBdr>
                    <w:top w:val="none" w:sz="0" w:space="0" w:color="auto"/>
                    <w:left w:val="none" w:sz="0" w:space="0" w:color="auto"/>
                    <w:bottom w:val="none" w:sz="0" w:space="0" w:color="auto"/>
                    <w:right w:val="none" w:sz="0" w:space="0" w:color="auto"/>
                  </w:divBdr>
                  <w:divsChild>
                    <w:div w:id="1965915840">
                      <w:marLeft w:val="0"/>
                      <w:marRight w:val="0"/>
                      <w:marTop w:val="0"/>
                      <w:marBottom w:val="0"/>
                      <w:divBdr>
                        <w:top w:val="none" w:sz="0" w:space="0" w:color="auto"/>
                        <w:left w:val="none" w:sz="0" w:space="0" w:color="auto"/>
                        <w:bottom w:val="none" w:sz="0" w:space="0" w:color="auto"/>
                        <w:right w:val="none" w:sz="0" w:space="0" w:color="auto"/>
                      </w:divBdr>
                      <w:divsChild>
                        <w:div w:id="1589002471">
                          <w:marLeft w:val="0"/>
                          <w:marRight w:val="0"/>
                          <w:marTop w:val="0"/>
                          <w:marBottom w:val="0"/>
                          <w:divBdr>
                            <w:top w:val="none" w:sz="0" w:space="0" w:color="auto"/>
                            <w:left w:val="none" w:sz="0" w:space="0" w:color="auto"/>
                            <w:bottom w:val="none" w:sz="0" w:space="0" w:color="auto"/>
                            <w:right w:val="none" w:sz="0" w:space="0" w:color="auto"/>
                          </w:divBdr>
                          <w:divsChild>
                            <w:div w:id="850921655">
                              <w:marLeft w:val="0"/>
                              <w:marRight w:val="0"/>
                              <w:marTop w:val="0"/>
                              <w:marBottom w:val="0"/>
                              <w:divBdr>
                                <w:top w:val="none" w:sz="0" w:space="0" w:color="auto"/>
                                <w:left w:val="none" w:sz="0" w:space="0" w:color="auto"/>
                                <w:bottom w:val="none" w:sz="0" w:space="0" w:color="auto"/>
                                <w:right w:val="none" w:sz="0" w:space="0" w:color="auto"/>
                              </w:divBdr>
                              <w:divsChild>
                                <w:div w:id="1974603231">
                                  <w:marLeft w:val="0"/>
                                  <w:marRight w:val="0"/>
                                  <w:marTop w:val="0"/>
                                  <w:marBottom w:val="0"/>
                                  <w:divBdr>
                                    <w:top w:val="none" w:sz="0" w:space="0" w:color="auto"/>
                                    <w:left w:val="none" w:sz="0" w:space="0" w:color="auto"/>
                                    <w:bottom w:val="none" w:sz="0" w:space="0" w:color="auto"/>
                                    <w:right w:val="none" w:sz="0" w:space="0" w:color="auto"/>
                                  </w:divBdr>
                                  <w:divsChild>
                                    <w:div w:id="1913275313">
                                      <w:marLeft w:val="0"/>
                                      <w:marRight w:val="0"/>
                                      <w:marTop w:val="0"/>
                                      <w:marBottom w:val="0"/>
                                      <w:divBdr>
                                        <w:top w:val="none" w:sz="0" w:space="0" w:color="auto"/>
                                        <w:left w:val="none" w:sz="0" w:space="0" w:color="auto"/>
                                        <w:bottom w:val="none" w:sz="0" w:space="0" w:color="auto"/>
                                        <w:right w:val="none" w:sz="0" w:space="0" w:color="auto"/>
                                      </w:divBdr>
                                      <w:divsChild>
                                        <w:div w:id="1788038132">
                                          <w:marLeft w:val="0"/>
                                          <w:marRight w:val="0"/>
                                          <w:marTop w:val="0"/>
                                          <w:marBottom w:val="0"/>
                                          <w:divBdr>
                                            <w:top w:val="none" w:sz="0" w:space="0" w:color="auto"/>
                                            <w:left w:val="none" w:sz="0" w:space="0" w:color="auto"/>
                                            <w:bottom w:val="none" w:sz="0" w:space="0" w:color="auto"/>
                                            <w:right w:val="none" w:sz="0" w:space="0" w:color="auto"/>
                                          </w:divBdr>
                                          <w:divsChild>
                                            <w:div w:id="2024162645">
                                              <w:marLeft w:val="0"/>
                                              <w:marRight w:val="0"/>
                                              <w:marTop w:val="0"/>
                                              <w:marBottom w:val="0"/>
                                              <w:divBdr>
                                                <w:top w:val="none" w:sz="0" w:space="0" w:color="auto"/>
                                                <w:left w:val="none" w:sz="0" w:space="0" w:color="auto"/>
                                                <w:bottom w:val="none" w:sz="0" w:space="0" w:color="auto"/>
                                                <w:right w:val="none" w:sz="0" w:space="0" w:color="auto"/>
                                              </w:divBdr>
                                              <w:divsChild>
                                                <w:div w:id="1038093873">
                                                  <w:marLeft w:val="0"/>
                                                  <w:marRight w:val="0"/>
                                                  <w:marTop w:val="0"/>
                                                  <w:marBottom w:val="0"/>
                                                  <w:divBdr>
                                                    <w:top w:val="none" w:sz="0" w:space="0" w:color="auto"/>
                                                    <w:left w:val="none" w:sz="0" w:space="0" w:color="auto"/>
                                                    <w:bottom w:val="none" w:sz="0" w:space="0" w:color="auto"/>
                                                    <w:right w:val="none" w:sz="0" w:space="0" w:color="auto"/>
                                                  </w:divBdr>
                                                  <w:divsChild>
                                                    <w:div w:id="159855801">
                                                      <w:marLeft w:val="0"/>
                                                      <w:marRight w:val="0"/>
                                                      <w:marTop w:val="0"/>
                                                      <w:marBottom w:val="0"/>
                                                      <w:divBdr>
                                                        <w:top w:val="none" w:sz="0" w:space="0" w:color="auto"/>
                                                        <w:left w:val="none" w:sz="0" w:space="0" w:color="auto"/>
                                                        <w:bottom w:val="none" w:sz="0" w:space="0" w:color="auto"/>
                                                        <w:right w:val="none" w:sz="0" w:space="0" w:color="auto"/>
                                                      </w:divBdr>
                                                      <w:divsChild>
                                                        <w:div w:id="379285887">
                                                          <w:marLeft w:val="0"/>
                                                          <w:marRight w:val="0"/>
                                                          <w:marTop w:val="0"/>
                                                          <w:marBottom w:val="0"/>
                                                          <w:divBdr>
                                                            <w:top w:val="none" w:sz="0" w:space="0" w:color="auto"/>
                                                            <w:left w:val="none" w:sz="0" w:space="0" w:color="auto"/>
                                                            <w:bottom w:val="none" w:sz="0" w:space="0" w:color="auto"/>
                                                            <w:right w:val="none" w:sz="0" w:space="0" w:color="auto"/>
                                                          </w:divBdr>
                                                        </w:div>
                                                        <w:div w:id="1885016949">
                                                          <w:marLeft w:val="0"/>
                                                          <w:marRight w:val="0"/>
                                                          <w:marTop w:val="0"/>
                                                          <w:marBottom w:val="0"/>
                                                          <w:divBdr>
                                                            <w:top w:val="none" w:sz="0" w:space="0" w:color="auto"/>
                                                            <w:left w:val="none" w:sz="0" w:space="0" w:color="auto"/>
                                                            <w:bottom w:val="none" w:sz="0" w:space="0" w:color="auto"/>
                                                            <w:right w:val="none" w:sz="0" w:space="0" w:color="auto"/>
                                                          </w:divBdr>
                                                          <w:divsChild>
                                                            <w:div w:id="1730308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7841146">
      <w:bodyDiv w:val="1"/>
      <w:marLeft w:val="0"/>
      <w:marRight w:val="0"/>
      <w:marTop w:val="0"/>
      <w:marBottom w:val="0"/>
      <w:divBdr>
        <w:top w:val="none" w:sz="0" w:space="0" w:color="auto"/>
        <w:left w:val="none" w:sz="0" w:space="0" w:color="auto"/>
        <w:bottom w:val="none" w:sz="0" w:space="0" w:color="auto"/>
        <w:right w:val="none" w:sz="0" w:space="0" w:color="auto"/>
      </w:divBdr>
      <w:divsChild>
        <w:div w:id="215707096">
          <w:marLeft w:val="0"/>
          <w:marRight w:val="0"/>
          <w:marTop w:val="0"/>
          <w:marBottom w:val="0"/>
          <w:divBdr>
            <w:top w:val="single" w:sz="6" w:space="0" w:color="0E477A"/>
            <w:left w:val="single" w:sz="6" w:space="0" w:color="0E477A"/>
            <w:bottom w:val="single" w:sz="6" w:space="0" w:color="0E477A"/>
            <w:right w:val="single" w:sz="6" w:space="0" w:color="0E477A"/>
          </w:divBdr>
          <w:divsChild>
            <w:div w:id="1978561321">
              <w:marLeft w:val="2925"/>
              <w:marRight w:val="0"/>
              <w:marTop w:val="0"/>
              <w:marBottom w:val="0"/>
              <w:divBdr>
                <w:top w:val="none" w:sz="0" w:space="0" w:color="auto"/>
                <w:left w:val="none" w:sz="0" w:space="0" w:color="auto"/>
                <w:bottom w:val="none" w:sz="0" w:space="0" w:color="auto"/>
                <w:right w:val="none" w:sz="0" w:space="0" w:color="auto"/>
              </w:divBdr>
              <w:divsChild>
                <w:div w:id="436750748">
                  <w:marLeft w:val="0"/>
                  <w:marRight w:val="0"/>
                  <w:marTop w:val="0"/>
                  <w:marBottom w:val="0"/>
                  <w:divBdr>
                    <w:top w:val="none" w:sz="0" w:space="0" w:color="auto"/>
                    <w:left w:val="none" w:sz="0" w:space="0" w:color="auto"/>
                    <w:bottom w:val="none" w:sz="0" w:space="0" w:color="auto"/>
                    <w:right w:val="none" w:sz="0" w:space="0" w:color="auto"/>
                  </w:divBdr>
                  <w:divsChild>
                    <w:div w:id="1234506187">
                      <w:marLeft w:val="0"/>
                      <w:marRight w:val="150"/>
                      <w:marTop w:val="0"/>
                      <w:marBottom w:val="0"/>
                      <w:divBdr>
                        <w:top w:val="single" w:sz="6" w:space="0" w:color="CCCCCC"/>
                        <w:left w:val="single" w:sz="6" w:space="8" w:color="CCCCCC"/>
                        <w:bottom w:val="single" w:sz="6" w:space="8" w:color="CCCCCC"/>
                        <w:right w:val="single" w:sz="6" w:space="8" w:color="CCCCCC"/>
                      </w:divBdr>
                      <w:divsChild>
                        <w:div w:id="1664970623">
                          <w:marLeft w:val="0"/>
                          <w:marRight w:val="0"/>
                          <w:marTop w:val="0"/>
                          <w:marBottom w:val="0"/>
                          <w:divBdr>
                            <w:top w:val="none" w:sz="0" w:space="0" w:color="auto"/>
                            <w:left w:val="none" w:sz="0" w:space="0" w:color="auto"/>
                            <w:bottom w:val="none" w:sz="0" w:space="0" w:color="auto"/>
                            <w:right w:val="none" w:sz="0" w:space="0" w:color="auto"/>
                          </w:divBdr>
                        </w:div>
                        <w:div w:id="60374494">
                          <w:marLeft w:val="0"/>
                          <w:marRight w:val="0"/>
                          <w:marTop w:val="0"/>
                          <w:marBottom w:val="0"/>
                          <w:divBdr>
                            <w:top w:val="none" w:sz="0" w:space="0" w:color="auto"/>
                            <w:left w:val="none" w:sz="0" w:space="0" w:color="auto"/>
                            <w:bottom w:val="none" w:sz="0" w:space="0" w:color="auto"/>
                            <w:right w:val="none" w:sz="0" w:space="0" w:color="auto"/>
                          </w:divBdr>
                        </w:div>
                        <w:div w:id="168910886">
                          <w:marLeft w:val="0"/>
                          <w:marRight w:val="0"/>
                          <w:marTop w:val="0"/>
                          <w:marBottom w:val="0"/>
                          <w:divBdr>
                            <w:top w:val="none" w:sz="0" w:space="0" w:color="auto"/>
                            <w:left w:val="none" w:sz="0" w:space="0" w:color="auto"/>
                            <w:bottom w:val="none" w:sz="0" w:space="0" w:color="auto"/>
                            <w:right w:val="none" w:sz="0" w:space="0" w:color="auto"/>
                          </w:divBdr>
                        </w:div>
                        <w:div w:id="983045386">
                          <w:marLeft w:val="0"/>
                          <w:marRight w:val="0"/>
                          <w:marTop w:val="0"/>
                          <w:marBottom w:val="0"/>
                          <w:divBdr>
                            <w:top w:val="none" w:sz="0" w:space="0" w:color="auto"/>
                            <w:left w:val="none" w:sz="0" w:space="0" w:color="auto"/>
                            <w:bottom w:val="none" w:sz="0" w:space="0" w:color="auto"/>
                            <w:right w:val="none" w:sz="0" w:space="0" w:color="auto"/>
                          </w:divBdr>
                        </w:div>
                        <w:div w:id="6396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82766">
      <w:bodyDiv w:val="1"/>
      <w:marLeft w:val="0"/>
      <w:marRight w:val="0"/>
      <w:marTop w:val="0"/>
      <w:marBottom w:val="0"/>
      <w:divBdr>
        <w:top w:val="none" w:sz="0" w:space="0" w:color="auto"/>
        <w:left w:val="none" w:sz="0" w:space="0" w:color="auto"/>
        <w:bottom w:val="none" w:sz="0" w:space="0" w:color="auto"/>
        <w:right w:val="none" w:sz="0" w:space="0" w:color="auto"/>
      </w:divBdr>
    </w:div>
    <w:div w:id="798765449">
      <w:bodyDiv w:val="1"/>
      <w:marLeft w:val="0"/>
      <w:marRight w:val="0"/>
      <w:marTop w:val="0"/>
      <w:marBottom w:val="0"/>
      <w:divBdr>
        <w:top w:val="none" w:sz="0" w:space="0" w:color="auto"/>
        <w:left w:val="none" w:sz="0" w:space="0" w:color="auto"/>
        <w:bottom w:val="none" w:sz="0" w:space="0" w:color="auto"/>
        <w:right w:val="none" w:sz="0" w:space="0" w:color="auto"/>
      </w:divBdr>
      <w:divsChild>
        <w:div w:id="665937181">
          <w:marLeft w:val="0"/>
          <w:marRight w:val="0"/>
          <w:marTop w:val="0"/>
          <w:marBottom w:val="0"/>
          <w:divBdr>
            <w:top w:val="single" w:sz="6" w:space="0" w:color="0E477A"/>
            <w:left w:val="single" w:sz="6" w:space="0" w:color="0E477A"/>
            <w:bottom w:val="single" w:sz="6" w:space="0" w:color="0E477A"/>
            <w:right w:val="single" w:sz="6" w:space="0" w:color="0E477A"/>
          </w:divBdr>
          <w:divsChild>
            <w:div w:id="987053538">
              <w:marLeft w:val="2925"/>
              <w:marRight w:val="0"/>
              <w:marTop w:val="0"/>
              <w:marBottom w:val="0"/>
              <w:divBdr>
                <w:top w:val="none" w:sz="0" w:space="0" w:color="auto"/>
                <w:left w:val="none" w:sz="0" w:space="0" w:color="auto"/>
                <w:bottom w:val="none" w:sz="0" w:space="0" w:color="auto"/>
                <w:right w:val="none" w:sz="0" w:space="0" w:color="auto"/>
              </w:divBdr>
              <w:divsChild>
                <w:div w:id="1386103494">
                  <w:marLeft w:val="0"/>
                  <w:marRight w:val="0"/>
                  <w:marTop w:val="0"/>
                  <w:marBottom w:val="0"/>
                  <w:divBdr>
                    <w:top w:val="none" w:sz="0" w:space="0" w:color="auto"/>
                    <w:left w:val="none" w:sz="0" w:space="0" w:color="auto"/>
                    <w:bottom w:val="none" w:sz="0" w:space="0" w:color="auto"/>
                    <w:right w:val="none" w:sz="0" w:space="0" w:color="auto"/>
                  </w:divBdr>
                  <w:divsChild>
                    <w:div w:id="1479808090">
                      <w:marLeft w:val="0"/>
                      <w:marRight w:val="150"/>
                      <w:marTop w:val="0"/>
                      <w:marBottom w:val="0"/>
                      <w:divBdr>
                        <w:top w:val="single" w:sz="6" w:space="0" w:color="CCCCCC"/>
                        <w:left w:val="single" w:sz="6" w:space="8" w:color="CCCCCC"/>
                        <w:bottom w:val="single" w:sz="6" w:space="8" w:color="CCCCCC"/>
                        <w:right w:val="single" w:sz="6" w:space="8" w:color="CCCCCC"/>
                      </w:divBdr>
                      <w:divsChild>
                        <w:div w:id="514613968">
                          <w:marLeft w:val="0"/>
                          <w:marRight w:val="0"/>
                          <w:marTop w:val="0"/>
                          <w:marBottom w:val="0"/>
                          <w:divBdr>
                            <w:top w:val="none" w:sz="0" w:space="0" w:color="auto"/>
                            <w:left w:val="none" w:sz="0" w:space="0" w:color="auto"/>
                            <w:bottom w:val="none" w:sz="0" w:space="0" w:color="auto"/>
                            <w:right w:val="none" w:sz="0" w:space="0" w:color="auto"/>
                          </w:divBdr>
                        </w:div>
                        <w:div w:id="1740904132">
                          <w:marLeft w:val="0"/>
                          <w:marRight w:val="0"/>
                          <w:marTop w:val="0"/>
                          <w:marBottom w:val="0"/>
                          <w:divBdr>
                            <w:top w:val="none" w:sz="0" w:space="0" w:color="auto"/>
                            <w:left w:val="none" w:sz="0" w:space="0" w:color="auto"/>
                            <w:bottom w:val="none" w:sz="0" w:space="0" w:color="auto"/>
                            <w:right w:val="none" w:sz="0" w:space="0" w:color="auto"/>
                          </w:divBdr>
                        </w:div>
                        <w:div w:id="1913153778">
                          <w:marLeft w:val="0"/>
                          <w:marRight w:val="0"/>
                          <w:marTop w:val="0"/>
                          <w:marBottom w:val="0"/>
                          <w:divBdr>
                            <w:top w:val="none" w:sz="0" w:space="0" w:color="auto"/>
                            <w:left w:val="none" w:sz="0" w:space="0" w:color="auto"/>
                            <w:bottom w:val="none" w:sz="0" w:space="0" w:color="auto"/>
                            <w:right w:val="none" w:sz="0" w:space="0" w:color="auto"/>
                          </w:divBdr>
                        </w:div>
                        <w:div w:id="923538572">
                          <w:marLeft w:val="0"/>
                          <w:marRight w:val="0"/>
                          <w:marTop w:val="0"/>
                          <w:marBottom w:val="0"/>
                          <w:divBdr>
                            <w:top w:val="none" w:sz="0" w:space="0" w:color="auto"/>
                            <w:left w:val="none" w:sz="0" w:space="0" w:color="auto"/>
                            <w:bottom w:val="none" w:sz="0" w:space="0" w:color="auto"/>
                            <w:right w:val="none" w:sz="0" w:space="0" w:color="auto"/>
                          </w:divBdr>
                        </w:div>
                        <w:div w:id="1305351358">
                          <w:marLeft w:val="0"/>
                          <w:marRight w:val="0"/>
                          <w:marTop w:val="0"/>
                          <w:marBottom w:val="0"/>
                          <w:divBdr>
                            <w:top w:val="none" w:sz="0" w:space="0" w:color="auto"/>
                            <w:left w:val="none" w:sz="0" w:space="0" w:color="auto"/>
                            <w:bottom w:val="none" w:sz="0" w:space="0" w:color="auto"/>
                            <w:right w:val="none" w:sz="0" w:space="0" w:color="auto"/>
                          </w:divBdr>
                        </w:div>
                        <w:div w:id="1444882801">
                          <w:marLeft w:val="0"/>
                          <w:marRight w:val="0"/>
                          <w:marTop w:val="0"/>
                          <w:marBottom w:val="0"/>
                          <w:divBdr>
                            <w:top w:val="none" w:sz="0" w:space="0" w:color="auto"/>
                            <w:left w:val="none" w:sz="0" w:space="0" w:color="auto"/>
                            <w:bottom w:val="none" w:sz="0" w:space="0" w:color="auto"/>
                            <w:right w:val="none" w:sz="0" w:space="0" w:color="auto"/>
                          </w:divBdr>
                        </w:div>
                        <w:div w:id="1490752895">
                          <w:marLeft w:val="0"/>
                          <w:marRight w:val="0"/>
                          <w:marTop w:val="0"/>
                          <w:marBottom w:val="0"/>
                          <w:divBdr>
                            <w:top w:val="none" w:sz="0" w:space="0" w:color="auto"/>
                            <w:left w:val="none" w:sz="0" w:space="0" w:color="auto"/>
                            <w:bottom w:val="none" w:sz="0" w:space="0" w:color="auto"/>
                            <w:right w:val="none" w:sz="0" w:space="0" w:color="auto"/>
                          </w:divBdr>
                        </w:div>
                        <w:div w:id="7943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107218">
      <w:bodyDiv w:val="1"/>
      <w:marLeft w:val="0"/>
      <w:marRight w:val="0"/>
      <w:marTop w:val="0"/>
      <w:marBottom w:val="0"/>
      <w:divBdr>
        <w:top w:val="none" w:sz="0" w:space="0" w:color="auto"/>
        <w:left w:val="none" w:sz="0" w:space="0" w:color="auto"/>
        <w:bottom w:val="none" w:sz="0" w:space="0" w:color="auto"/>
        <w:right w:val="none" w:sz="0" w:space="0" w:color="auto"/>
      </w:divBdr>
      <w:divsChild>
        <w:div w:id="1569726851">
          <w:marLeft w:val="0"/>
          <w:marRight w:val="0"/>
          <w:marTop w:val="0"/>
          <w:marBottom w:val="0"/>
          <w:divBdr>
            <w:top w:val="none" w:sz="0" w:space="0" w:color="auto"/>
            <w:left w:val="none" w:sz="0" w:space="0" w:color="auto"/>
            <w:bottom w:val="none" w:sz="0" w:space="0" w:color="auto"/>
            <w:right w:val="none" w:sz="0" w:space="0" w:color="auto"/>
          </w:divBdr>
          <w:divsChild>
            <w:div w:id="708795608">
              <w:marLeft w:val="0"/>
              <w:marRight w:val="0"/>
              <w:marTop w:val="0"/>
              <w:marBottom w:val="0"/>
              <w:divBdr>
                <w:top w:val="none" w:sz="0" w:space="0" w:color="auto"/>
                <w:left w:val="none" w:sz="0" w:space="0" w:color="auto"/>
                <w:bottom w:val="none" w:sz="0" w:space="0" w:color="auto"/>
                <w:right w:val="none" w:sz="0" w:space="0" w:color="auto"/>
              </w:divBdr>
              <w:divsChild>
                <w:div w:id="876744516">
                  <w:marLeft w:val="150"/>
                  <w:marRight w:val="0"/>
                  <w:marTop w:val="0"/>
                  <w:marBottom w:val="0"/>
                  <w:divBdr>
                    <w:top w:val="none" w:sz="0" w:space="0" w:color="auto"/>
                    <w:left w:val="none" w:sz="0" w:space="0" w:color="auto"/>
                    <w:bottom w:val="none" w:sz="0" w:space="0" w:color="auto"/>
                    <w:right w:val="none" w:sz="0" w:space="0" w:color="auto"/>
                  </w:divBdr>
                  <w:divsChild>
                    <w:div w:id="9680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21606">
      <w:bodyDiv w:val="1"/>
      <w:marLeft w:val="0"/>
      <w:marRight w:val="0"/>
      <w:marTop w:val="0"/>
      <w:marBottom w:val="0"/>
      <w:divBdr>
        <w:top w:val="none" w:sz="0" w:space="0" w:color="auto"/>
        <w:left w:val="none" w:sz="0" w:space="0" w:color="auto"/>
        <w:bottom w:val="none" w:sz="0" w:space="0" w:color="auto"/>
        <w:right w:val="none" w:sz="0" w:space="0" w:color="auto"/>
      </w:divBdr>
      <w:divsChild>
        <w:div w:id="301737374">
          <w:marLeft w:val="0"/>
          <w:marRight w:val="0"/>
          <w:marTop w:val="0"/>
          <w:marBottom w:val="0"/>
          <w:divBdr>
            <w:top w:val="none" w:sz="0" w:space="0" w:color="auto"/>
            <w:left w:val="none" w:sz="0" w:space="0" w:color="auto"/>
            <w:bottom w:val="none" w:sz="0" w:space="0" w:color="auto"/>
            <w:right w:val="none" w:sz="0" w:space="0" w:color="auto"/>
          </w:divBdr>
          <w:divsChild>
            <w:div w:id="983973723">
              <w:marLeft w:val="0"/>
              <w:marRight w:val="0"/>
              <w:marTop w:val="0"/>
              <w:marBottom w:val="0"/>
              <w:divBdr>
                <w:top w:val="none" w:sz="0" w:space="0" w:color="auto"/>
                <w:left w:val="none" w:sz="0" w:space="0" w:color="auto"/>
                <w:bottom w:val="none" w:sz="0" w:space="0" w:color="auto"/>
                <w:right w:val="none" w:sz="0" w:space="0" w:color="auto"/>
              </w:divBdr>
              <w:divsChild>
                <w:div w:id="2075614206">
                  <w:marLeft w:val="0"/>
                  <w:marRight w:val="0"/>
                  <w:marTop w:val="0"/>
                  <w:marBottom w:val="0"/>
                  <w:divBdr>
                    <w:top w:val="none" w:sz="0" w:space="0" w:color="auto"/>
                    <w:left w:val="none" w:sz="0" w:space="0" w:color="auto"/>
                    <w:bottom w:val="none" w:sz="0" w:space="0" w:color="auto"/>
                    <w:right w:val="none" w:sz="0" w:space="0" w:color="auto"/>
                  </w:divBdr>
                  <w:divsChild>
                    <w:div w:id="439569283">
                      <w:marLeft w:val="0"/>
                      <w:marRight w:val="0"/>
                      <w:marTop w:val="0"/>
                      <w:marBottom w:val="0"/>
                      <w:divBdr>
                        <w:top w:val="none" w:sz="0" w:space="0" w:color="auto"/>
                        <w:left w:val="none" w:sz="0" w:space="0" w:color="auto"/>
                        <w:bottom w:val="none" w:sz="0" w:space="0" w:color="auto"/>
                        <w:right w:val="none" w:sz="0" w:space="0" w:color="auto"/>
                      </w:divBdr>
                      <w:divsChild>
                        <w:div w:id="781193908">
                          <w:marLeft w:val="0"/>
                          <w:marRight w:val="0"/>
                          <w:marTop w:val="0"/>
                          <w:marBottom w:val="0"/>
                          <w:divBdr>
                            <w:top w:val="none" w:sz="0" w:space="0" w:color="auto"/>
                            <w:left w:val="none" w:sz="0" w:space="0" w:color="auto"/>
                            <w:bottom w:val="none" w:sz="0" w:space="0" w:color="auto"/>
                            <w:right w:val="none" w:sz="0" w:space="0" w:color="auto"/>
                          </w:divBdr>
                          <w:divsChild>
                            <w:div w:id="1743598680">
                              <w:marLeft w:val="0"/>
                              <w:marRight w:val="0"/>
                              <w:marTop w:val="0"/>
                              <w:marBottom w:val="0"/>
                              <w:divBdr>
                                <w:top w:val="none" w:sz="0" w:space="0" w:color="auto"/>
                                <w:left w:val="none" w:sz="0" w:space="0" w:color="auto"/>
                                <w:bottom w:val="none" w:sz="0" w:space="0" w:color="auto"/>
                                <w:right w:val="none" w:sz="0" w:space="0" w:color="auto"/>
                              </w:divBdr>
                              <w:divsChild>
                                <w:div w:id="1648121197">
                                  <w:marLeft w:val="0"/>
                                  <w:marRight w:val="0"/>
                                  <w:marTop w:val="0"/>
                                  <w:marBottom w:val="0"/>
                                  <w:divBdr>
                                    <w:top w:val="none" w:sz="0" w:space="0" w:color="auto"/>
                                    <w:left w:val="none" w:sz="0" w:space="0" w:color="auto"/>
                                    <w:bottom w:val="none" w:sz="0" w:space="0" w:color="auto"/>
                                    <w:right w:val="none" w:sz="0" w:space="0" w:color="auto"/>
                                  </w:divBdr>
                                  <w:divsChild>
                                    <w:div w:id="743143989">
                                      <w:marLeft w:val="0"/>
                                      <w:marRight w:val="0"/>
                                      <w:marTop w:val="0"/>
                                      <w:marBottom w:val="0"/>
                                      <w:divBdr>
                                        <w:top w:val="none" w:sz="0" w:space="0" w:color="auto"/>
                                        <w:left w:val="none" w:sz="0" w:space="0" w:color="auto"/>
                                        <w:bottom w:val="none" w:sz="0" w:space="0" w:color="auto"/>
                                        <w:right w:val="none" w:sz="0" w:space="0" w:color="auto"/>
                                      </w:divBdr>
                                      <w:divsChild>
                                        <w:div w:id="643702540">
                                          <w:marLeft w:val="0"/>
                                          <w:marRight w:val="0"/>
                                          <w:marTop w:val="0"/>
                                          <w:marBottom w:val="0"/>
                                          <w:divBdr>
                                            <w:top w:val="none" w:sz="0" w:space="0" w:color="auto"/>
                                            <w:left w:val="none" w:sz="0" w:space="0" w:color="auto"/>
                                            <w:bottom w:val="none" w:sz="0" w:space="0" w:color="auto"/>
                                            <w:right w:val="none" w:sz="0" w:space="0" w:color="auto"/>
                                          </w:divBdr>
                                          <w:divsChild>
                                            <w:div w:id="1205825932">
                                              <w:marLeft w:val="0"/>
                                              <w:marRight w:val="0"/>
                                              <w:marTop w:val="0"/>
                                              <w:marBottom w:val="0"/>
                                              <w:divBdr>
                                                <w:top w:val="none" w:sz="0" w:space="0" w:color="auto"/>
                                                <w:left w:val="none" w:sz="0" w:space="0" w:color="auto"/>
                                                <w:bottom w:val="none" w:sz="0" w:space="0" w:color="auto"/>
                                                <w:right w:val="none" w:sz="0" w:space="0" w:color="auto"/>
                                              </w:divBdr>
                                              <w:divsChild>
                                                <w:div w:id="1214349133">
                                                  <w:marLeft w:val="0"/>
                                                  <w:marRight w:val="0"/>
                                                  <w:marTop w:val="0"/>
                                                  <w:marBottom w:val="0"/>
                                                  <w:divBdr>
                                                    <w:top w:val="none" w:sz="0" w:space="0" w:color="auto"/>
                                                    <w:left w:val="none" w:sz="0" w:space="0" w:color="auto"/>
                                                    <w:bottom w:val="none" w:sz="0" w:space="0" w:color="auto"/>
                                                    <w:right w:val="none" w:sz="0" w:space="0" w:color="auto"/>
                                                  </w:divBdr>
                                                  <w:divsChild>
                                                    <w:div w:id="338117585">
                                                      <w:marLeft w:val="0"/>
                                                      <w:marRight w:val="0"/>
                                                      <w:marTop w:val="0"/>
                                                      <w:marBottom w:val="0"/>
                                                      <w:divBdr>
                                                        <w:top w:val="none" w:sz="0" w:space="0" w:color="auto"/>
                                                        <w:left w:val="none" w:sz="0" w:space="0" w:color="auto"/>
                                                        <w:bottom w:val="none" w:sz="0" w:space="0" w:color="auto"/>
                                                        <w:right w:val="none" w:sz="0" w:space="0" w:color="auto"/>
                                                      </w:divBdr>
                                                      <w:divsChild>
                                                        <w:div w:id="1379012946">
                                                          <w:marLeft w:val="0"/>
                                                          <w:marRight w:val="0"/>
                                                          <w:marTop w:val="0"/>
                                                          <w:marBottom w:val="0"/>
                                                          <w:divBdr>
                                                            <w:top w:val="none" w:sz="0" w:space="0" w:color="auto"/>
                                                            <w:left w:val="none" w:sz="0" w:space="0" w:color="auto"/>
                                                            <w:bottom w:val="none" w:sz="0" w:space="0" w:color="auto"/>
                                                            <w:right w:val="none" w:sz="0" w:space="0" w:color="auto"/>
                                                          </w:divBdr>
                                                        </w:div>
                                                        <w:div w:id="902180884">
                                                          <w:marLeft w:val="0"/>
                                                          <w:marRight w:val="0"/>
                                                          <w:marTop w:val="0"/>
                                                          <w:marBottom w:val="0"/>
                                                          <w:divBdr>
                                                            <w:top w:val="none" w:sz="0" w:space="0" w:color="auto"/>
                                                            <w:left w:val="none" w:sz="0" w:space="0" w:color="auto"/>
                                                            <w:bottom w:val="none" w:sz="0" w:space="0" w:color="auto"/>
                                                            <w:right w:val="none" w:sz="0" w:space="0" w:color="auto"/>
                                                          </w:divBdr>
                                                          <w:divsChild>
                                                            <w:div w:id="1243231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1658329">
      <w:bodyDiv w:val="1"/>
      <w:marLeft w:val="0"/>
      <w:marRight w:val="0"/>
      <w:marTop w:val="0"/>
      <w:marBottom w:val="0"/>
      <w:divBdr>
        <w:top w:val="none" w:sz="0" w:space="0" w:color="auto"/>
        <w:left w:val="none" w:sz="0" w:space="0" w:color="auto"/>
        <w:bottom w:val="none" w:sz="0" w:space="0" w:color="auto"/>
        <w:right w:val="none" w:sz="0" w:space="0" w:color="auto"/>
      </w:divBdr>
    </w:div>
    <w:div w:id="802692426">
      <w:bodyDiv w:val="1"/>
      <w:marLeft w:val="0"/>
      <w:marRight w:val="0"/>
      <w:marTop w:val="0"/>
      <w:marBottom w:val="0"/>
      <w:divBdr>
        <w:top w:val="none" w:sz="0" w:space="0" w:color="auto"/>
        <w:left w:val="none" w:sz="0" w:space="0" w:color="auto"/>
        <w:bottom w:val="none" w:sz="0" w:space="0" w:color="auto"/>
        <w:right w:val="none" w:sz="0" w:space="0" w:color="auto"/>
      </w:divBdr>
    </w:div>
    <w:div w:id="805586049">
      <w:bodyDiv w:val="1"/>
      <w:marLeft w:val="0"/>
      <w:marRight w:val="0"/>
      <w:marTop w:val="0"/>
      <w:marBottom w:val="0"/>
      <w:divBdr>
        <w:top w:val="none" w:sz="0" w:space="0" w:color="auto"/>
        <w:left w:val="none" w:sz="0" w:space="0" w:color="auto"/>
        <w:bottom w:val="none" w:sz="0" w:space="0" w:color="auto"/>
        <w:right w:val="none" w:sz="0" w:space="0" w:color="auto"/>
      </w:divBdr>
      <w:divsChild>
        <w:div w:id="1657145833">
          <w:marLeft w:val="0"/>
          <w:marRight w:val="0"/>
          <w:marTop w:val="0"/>
          <w:marBottom w:val="0"/>
          <w:divBdr>
            <w:top w:val="single" w:sz="4" w:space="0" w:color="0E477A"/>
            <w:left w:val="single" w:sz="4" w:space="0" w:color="0E477A"/>
            <w:bottom w:val="single" w:sz="4" w:space="0" w:color="0E477A"/>
            <w:right w:val="single" w:sz="4" w:space="0" w:color="0E477A"/>
          </w:divBdr>
          <w:divsChild>
            <w:div w:id="868763726">
              <w:marLeft w:val="2442"/>
              <w:marRight w:val="0"/>
              <w:marTop w:val="0"/>
              <w:marBottom w:val="0"/>
              <w:divBdr>
                <w:top w:val="none" w:sz="0" w:space="0" w:color="auto"/>
                <w:left w:val="none" w:sz="0" w:space="0" w:color="auto"/>
                <w:bottom w:val="none" w:sz="0" w:space="0" w:color="auto"/>
                <w:right w:val="none" w:sz="0" w:space="0" w:color="auto"/>
              </w:divBdr>
              <w:divsChild>
                <w:div w:id="1293943806">
                  <w:marLeft w:val="0"/>
                  <w:marRight w:val="0"/>
                  <w:marTop w:val="0"/>
                  <w:marBottom w:val="0"/>
                  <w:divBdr>
                    <w:top w:val="none" w:sz="0" w:space="0" w:color="auto"/>
                    <w:left w:val="none" w:sz="0" w:space="0" w:color="auto"/>
                    <w:bottom w:val="none" w:sz="0" w:space="0" w:color="auto"/>
                    <w:right w:val="none" w:sz="0" w:space="0" w:color="auto"/>
                  </w:divBdr>
                  <w:divsChild>
                    <w:div w:id="981695232">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805900438">
      <w:bodyDiv w:val="1"/>
      <w:marLeft w:val="0"/>
      <w:marRight w:val="0"/>
      <w:marTop w:val="0"/>
      <w:marBottom w:val="0"/>
      <w:divBdr>
        <w:top w:val="none" w:sz="0" w:space="0" w:color="auto"/>
        <w:left w:val="none" w:sz="0" w:space="0" w:color="auto"/>
        <w:bottom w:val="none" w:sz="0" w:space="0" w:color="auto"/>
        <w:right w:val="none" w:sz="0" w:space="0" w:color="auto"/>
      </w:divBdr>
    </w:div>
    <w:div w:id="806358017">
      <w:bodyDiv w:val="1"/>
      <w:marLeft w:val="0"/>
      <w:marRight w:val="0"/>
      <w:marTop w:val="0"/>
      <w:marBottom w:val="0"/>
      <w:divBdr>
        <w:top w:val="none" w:sz="0" w:space="0" w:color="auto"/>
        <w:left w:val="none" w:sz="0" w:space="0" w:color="auto"/>
        <w:bottom w:val="none" w:sz="0" w:space="0" w:color="auto"/>
        <w:right w:val="none" w:sz="0" w:space="0" w:color="auto"/>
      </w:divBdr>
      <w:divsChild>
        <w:div w:id="743718294">
          <w:marLeft w:val="0"/>
          <w:marRight w:val="0"/>
          <w:marTop w:val="0"/>
          <w:marBottom w:val="0"/>
          <w:divBdr>
            <w:top w:val="none" w:sz="0" w:space="0" w:color="auto"/>
            <w:left w:val="none" w:sz="0" w:space="0" w:color="auto"/>
            <w:bottom w:val="none" w:sz="0" w:space="0" w:color="auto"/>
            <w:right w:val="none" w:sz="0" w:space="0" w:color="auto"/>
          </w:divBdr>
          <w:divsChild>
            <w:div w:id="538857999">
              <w:marLeft w:val="0"/>
              <w:marRight w:val="0"/>
              <w:marTop w:val="0"/>
              <w:marBottom w:val="0"/>
              <w:divBdr>
                <w:top w:val="none" w:sz="0" w:space="0" w:color="auto"/>
                <w:left w:val="none" w:sz="0" w:space="0" w:color="auto"/>
                <w:bottom w:val="none" w:sz="0" w:space="0" w:color="auto"/>
                <w:right w:val="none" w:sz="0" w:space="0" w:color="auto"/>
              </w:divBdr>
              <w:divsChild>
                <w:div w:id="554198838">
                  <w:marLeft w:val="-375"/>
                  <w:marRight w:val="0"/>
                  <w:marTop w:val="0"/>
                  <w:marBottom w:val="0"/>
                  <w:divBdr>
                    <w:top w:val="none" w:sz="0" w:space="0" w:color="auto"/>
                    <w:left w:val="none" w:sz="0" w:space="0" w:color="auto"/>
                    <w:bottom w:val="none" w:sz="0" w:space="0" w:color="auto"/>
                    <w:right w:val="none" w:sz="0" w:space="0" w:color="auto"/>
                  </w:divBdr>
                  <w:divsChild>
                    <w:div w:id="848569344">
                      <w:marLeft w:val="0"/>
                      <w:marRight w:val="0"/>
                      <w:marTop w:val="0"/>
                      <w:marBottom w:val="0"/>
                      <w:divBdr>
                        <w:top w:val="none" w:sz="0" w:space="0" w:color="auto"/>
                        <w:left w:val="none" w:sz="0" w:space="0" w:color="auto"/>
                        <w:bottom w:val="none" w:sz="0" w:space="0" w:color="auto"/>
                        <w:right w:val="none" w:sz="0" w:space="0" w:color="auto"/>
                      </w:divBdr>
                      <w:divsChild>
                        <w:div w:id="1598321673">
                          <w:marLeft w:val="0"/>
                          <w:marRight w:val="0"/>
                          <w:marTop w:val="0"/>
                          <w:marBottom w:val="0"/>
                          <w:divBdr>
                            <w:top w:val="none" w:sz="0" w:space="0" w:color="auto"/>
                            <w:left w:val="none" w:sz="0" w:space="0" w:color="auto"/>
                            <w:bottom w:val="none" w:sz="0" w:space="0" w:color="auto"/>
                            <w:right w:val="none" w:sz="0" w:space="0" w:color="auto"/>
                          </w:divBdr>
                          <w:divsChild>
                            <w:div w:id="14870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22148">
      <w:bodyDiv w:val="1"/>
      <w:marLeft w:val="0"/>
      <w:marRight w:val="0"/>
      <w:marTop w:val="0"/>
      <w:marBottom w:val="0"/>
      <w:divBdr>
        <w:top w:val="none" w:sz="0" w:space="0" w:color="auto"/>
        <w:left w:val="none" w:sz="0" w:space="0" w:color="auto"/>
        <w:bottom w:val="none" w:sz="0" w:space="0" w:color="auto"/>
        <w:right w:val="none" w:sz="0" w:space="0" w:color="auto"/>
      </w:divBdr>
      <w:divsChild>
        <w:div w:id="262421443">
          <w:marLeft w:val="0"/>
          <w:marRight w:val="0"/>
          <w:marTop w:val="0"/>
          <w:marBottom w:val="0"/>
          <w:divBdr>
            <w:top w:val="none" w:sz="0" w:space="0" w:color="auto"/>
            <w:left w:val="none" w:sz="0" w:space="0" w:color="auto"/>
            <w:bottom w:val="none" w:sz="0" w:space="0" w:color="auto"/>
            <w:right w:val="none" w:sz="0" w:space="0" w:color="auto"/>
          </w:divBdr>
          <w:divsChild>
            <w:div w:id="1701470996">
              <w:marLeft w:val="0"/>
              <w:marRight w:val="0"/>
              <w:marTop w:val="0"/>
              <w:marBottom w:val="0"/>
              <w:divBdr>
                <w:top w:val="none" w:sz="0" w:space="0" w:color="auto"/>
                <w:left w:val="none" w:sz="0" w:space="0" w:color="auto"/>
                <w:bottom w:val="none" w:sz="0" w:space="0" w:color="auto"/>
                <w:right w:val="none" w:sz="0" w:space="0" w:color="auto"/>
              </w:divBdr>
              <w:divsChild>
                <w:div w:id="989752293">
                  <w:marLeft w:val="0"/>
                  <w:marRight w:val="0"/>
                  <w:marTop w:val="0"/>
                  <w:marBottom w:val="0"/>
                  <w:divBdr>
                    <w:top w:val="none" w:sz="0" w:space="0" w:color="auto"/>
                    <w:left w:val="none" w:sz="0" w:space="0" w:color="auto"/>
                    <w:bottom w:val="none" w:sz="0" w:space="0" w:color="auto"/>
                    <w:right w:val="none" w:sz="0" w:space="0" w:color="auto"/>
                  </w:divBdr>
                  <w:divsChild>
                    <w:div w:id="375855831">
                      <w:marLeft w:val="0"/>
                      <w:marRight w:val="0"/>
                      <w:marTop w:val="0"/>
                      <w:marBottom w:val="0"/>
                      <w:divBdr>
                        <w:top w:val="none" w:sz="0" w:space="0" w:color="auto"/>
                        <w:left w:val="none" w:sz="0" w:space="0" w:color="auto"/>
                        <w:bottom w:val="none" w:sz="0" w:space="0" w:color="auto"/>
                        <w:right w:val="none" w:sz="0" w:space="0" w:color="auto"/>
                      </w:divBdr>
                      <w:divsChild>
                        <w:div w:id="344092904">
                          <w:marLeft w:val="0"/>
                          <w:marRight w:val="0"/>
                          <w:marTop w:val="0"/>
                          <w:marBottom w:val="0"/>
                          <w:divBdr>
                            <w:top w:val="none" w:sz="0" w:space="0" w:color="auto"/>
                            <w:left w:val="none" w:sz="0" w:space="0" w:color="auto"/>
                            <w:bottom w:val="none" w:sz="0" w:space="0" w:color="auto"/>
                            <w:right w:val="none" w:sz="0" w:space="0" w:color="auto"/>
                          </w:divBdr>
                          <w:divsChild>
                            <w:div w:id="1344746857">
                              <w:marLeft w:val="570"/>
                              <w:marRight w:val="720"/>
                              <w:marTop w:val="120"/>
                              <w:marBottom w:val="120"/>
                              <w:divBdr>
                                <w:top w:val="none" w:sz="0" w:space="0" w:color="auto"/>
                                <w:left w:val="none" w:sz="0" w:space="0" w:color="auto"/>
                                <w:bottom w:val="none" w:sz="0" w:space="0" w:color="auto"/>
                                <w:right w:val="none" w:sz="0" w:space="0" w:color="auto"/>
                              </w:divBdr>
                              <w:divsChild>
                                <w:div w:id="1829857306">
                                  <w:marLeft w:val="0"/>
                                  <w:marRight w:val="0"/>
                                  <w:marTop w:val="0"/>
                                  <w:marBottom w:val="0"/>
                                  <w:divBdr>
                                    <w:top w:val="none" w:sz="0" w:space="0" w:color="auto"/>
                                    <w:left w:val="none" w:sz="0" w:space="0" w:color="auto"/>
                                    <w:bottom w:val="none" w:sz="0" w:space="0" w:color="auto"/>
                                    <w:right w:val="none" w:sz="0" w:space="0" w:color="auto"/>
                                  </w:divBdr>
                                  <w:divsChild>
                                    <w:div w:id="236943731">
                                      <w:marLeft w:val="0"/>
                                      <w:marRight w:val="0"/>
                                      <w:marTop w:val="0"/>
                                      <w:marBottom w:val="0"/>
                                      <w:divBdr>
                                        <w:top w:val="none" w:sz="0" w:space="0" w:color="auto"/>
                                        <w:left w:val="none" w:sz="0" w:space="0" w:color="auto"/>
                                        <w:bottom w:val="none" w:sz="0" w:space="0" w:color="auto"/>
                                        <w:right w:val="none" w:sz="0" w:space="0" w:color="auto"/>
                                      </w:divBdr>
                                      <w:divsChild>
                                        <w:div w:id="628516788">
                                          <w:marLeft w:val="0"/>
                                          <w:marRight w:val="0"/>
                                          <w:marTop w:val="0"/>
                                          <w:marBottom w:val="0"/>
                                          <w:divBdr>
                                            <w:top w:val="none" w:sz="0" w:space="0" w:color="auto"/>
                                            <w:left w:val="none" w:sz="0" w:space="0" w:color="auto"/>
                                            <w:bottom w:val="none" w:sz="0" w:space="0" w:color="auto"/>
                                            <w:right w:val="none" w:sz="0" w:space="0" w:color="auto"/>
                                          </w:divBdr>
                                          <w:divsChild>
                                            <w:div w:id="928805884">
                                              <w:marLeft w:val="0"/>
                                              <w:marRight w:val="0"/>
                                              <w:marTop w:val="0"/>
                                              <w:marBottom w:val="0"/>
                                              <w:divBdr>
                                                <w:top w:val="none" w:sz="0" w:space="0" w:color="auto"/>
                                                <w:left w:val="none" w:sz="0" w:space="0" w:color="auto"/>
                                                <w:bottom w:val="none" w:sz="0" w:space="0" w:color="auto"/>
                                                <w:right w:val="none" w:sz="0" w:space="0" w:color="auto"/>
                                              </w:divBdr>
                                              <w:divsChild>
                                                <w:div w:id="780027158">
                                                  <w:marLeft w:val="0"/>
                                                  <w:marRight w:val="0"/>
                                                  <w:marTop w:val="0"/>
                                                  <w:marBottom w:val="0"/>
                                                  <w:divBdr>
                                                    <w:top w:val="none" w:sz="0" w:space="0" w:color="auto"/>
                                                    <w:left w:val="none" w:sz="0" w:space="0" w:color="auto"/>
                                                    <w:bottom w:val="none" w:sz="0" w:space="0" w:color="auto"/>
                                                    <w:right w:val="none" w:sz="0" w:space="0" w:color="auto"/>
                                                  </w:divBdr>
                                                </w:div>
                                                <w:div w:id="1920672294">
                                                  <w:marLeft w:val="0"/>
                                                  <w:marRight w:val="0"/>
                                                  <w:marTop w:val="0"/>
                                                  <w:marBottom w:val="0"/>
                                                  <w:divBdr>
                                                    <w:top w:val="none" w:sz="0" w:space="0" w:color="auto"/>
                                                    <w:left w:val="none" w:sz="0" w:space="0" w:color="auto"/>
                                                    <w:bottom w:val="none" w:sz="0" w:space="0" w:color="auto"/>
                                                    <w:right w:val="none" w:sz="0" w:space="0" w:color="auto"/>
                                                  </w:divBdr>
                                                </w:div>
                                                <w:div w:id="2138642575">
                                                  <w:marLeft w:val="0"/>
                                                  <w:marRight w:val="0"/>
                                                  <w:marTop w:val="0"/>
                                                  <w:marBottom w:val="0"/>
                                                  <w:divBdr>
                                                    <w:top w:val="none" w:sz="0" w:space="0" w:color="auto"/>
                                                    <w:left w:val="none" w:sz="0" w:space="0" w:color="auto"/>
                                                    <w:bottom w:val="none" w:sz="0" w:space="0" w:color="auto"/>
                                                    <w:right w:val="none" w:sz="0" w:space="0" w:color="auto"/>
                                                  </w:divBdr>
                                                  <w:divsChild>
                                                    <w:div w:id="550191862">
                                                      <w:marLeft w:val="0"/>
                                                      <w:marRight w:val="0"/>
                                                      <w:marTop w:val="0"/>
                                                      <w:marBottom w:val="0"/>
                                                      <w:divBdr>
                                                        <w:top w:val="none" w:sz="0" w:space="0" w:color="auto"/>
                                                        <w:left w:val="none" w:sz="0" w:space="0" w:color="auto"/>
                                                        <w:bottom w:val="none" w:sz="0" w:space="0" w:color="auto"/>
                                                        <w:right w:val="none" w:sz="0" w:space="0" w:color="auto"/>
                                                      </w:divBdr>
                                                    </w:div>
                                                  </w:divsChild>
                                                </w:div>
                                                <w:div w:id="224032761">
                                                  <w:marLeft w:val="0"/>
                                                  <w:marRight w:val="0"/>
                                                  <w:marTop w:val="0"/>
                                                  <w:marBottom w:val="0"/>
                                                  <w:divBdr>
                                                    <w:top w:val="none" w:sz="0" w:space="0" w:color="auto"/>
                                                    <w:left w:val="none" w:sz="0" w:space="0" w:color="auto"/>
                                                    <w:bottom w:val="none" w:sz="0" w:space="0" w:color="auto"/>
                                                    <w:right w:val="none" w:sz="0" w:space="0" w:color="auto"/>
                                                  </w:divBdr>
                                                  <w:divsChild>
                                                    <w:div w:id="9567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405823">
      <w:bodyDiv w:val="1"/>
      <w:marLeft w:val="0"/>
      <w:marRight w:val="0"/>
      <w:marTop w:val="0"/>
      <w:marBottom w:val="0"/>
      <w:divBdr>
        <w:top w:val="none" w:sz="0" w:space="0" w:color="auto"/>
        <w:left w:val="none" w:sz="0" w:space="0" w:color="auto"/>
        <w:bottom w:val="none" w:sz="0" w:space="0" w:color="auto"/>
        <w:right w:val="none" w:sz="0" w:space="0" w:color="auto"/>
      </w:divBdr>
      <w:divsChild>
        <w:div w:id="851605997">
          <w:marLeft w:val="0"/>
          <w:marRight w:val="0"/>
          <w:marTop w:val="0"/>
          <w:marBottom w:val="0"/>
          <w:divBdr>
            <w:top w:val="none" w:sz="0" w:space="0" w:color="auto"/>
            <w:left w:val="none" w:sz="0" w:space="0" w:color="auto"/>
            <w:bottom w:val="none" w:sz="0" w:space="0" w:color="auto"/>
            <w:right w:val="none" w:sz="0" w:space="0" w:color="auto"/>
          </w:divBdr>
          <w:divsChild>
            <w:div w:id="1272318344">
              <w:marLeft w:val="0"/>
              <w:marRight w:val="0"/>
              <w:marTop w:val="0"/>
              <w:marBottom w:val="0"/>
              <w:divBdr>
                <w:top w:val="none" w:sz="0" w:space="0" w:color="auto"/>
                <w:left w:val="none" w:sz="0" w:space="0" w:color="auto"/>
                <w:bottom w:val="none" w:sz="0" w:space="0" w:color="auto"/>
                <w:right w:val="none" w:sz="0" w:space="0" w:color="auto"/>
              </w:divBdr>
              <w:divsChild>
                <w:div w:id="1855921960">
                  <w:marLeft w:val="0"/>
                  <w:marRight w:val="0"/>
                  <w:marTop w:val="0"/>
                  <w:marBottom w:val="0"/>
                  <w:divBdr>
                    <w:top w:val="none" w:sz="0" w:space="0" w:color="auto"/>
                    <w:left w:val="none" w:sz="0" w:space="0" w:color="auto"/>
                    <w:bottom w:val="none" w:sz="0" w:space="0" w:color="auto"/>
                    <w:right w:val="none" w:sz="0" w:space="0" w:color="auto"/>
                  </w:divBdr>
                  <w:divsChild>
                    <w:div w:id="113981383">
                      <w:marLeft w:val="0"/>
                      <w:marRight w:val="0"/>
                      <w:marTop w:val="0"/>
                      <w:marBottom w:val="0"/>
                      <w:divBdr>
                        <w:top w:val="none" w:sz="0" w:space="0" w:color="auto"/>
                        <w:left w:val="none" w:sz="0" w:space="0" w:color="auto"/>
                        <w:bottom w:val="none" w:sz="0" w:space="0" w:color="auto"/>
                        <w:right w:val="none" w:sz="0" w:space="0" w:color="auto"/>
                      </w:divBdr>
                      <w:divsChild>
                        <w:div w:id="718548889">
                          <w:marLeft w:val="0"/>
                          <w:marRight w:val="0"/>
                          <w:marTop w:val="0"/>
                          <w:marBottom w:val="0"/>
                          <w:divBdr>
                            <w:top w:val="none" w:sz="0" w:space="0" w:color="auto"/>
                            <w:left w:val="none" w:sz="0" w:space="0" w:color="auto"/>
                            <w:bottom w:val="none" w:sz="0" w:space="0" w:color="auto"/>
                            <w:right w:val="none" w:sz="0" w:space="0" w:color="auto"/>
                          </w:divBdr>
                          <w:divsChild>
                            <w:div w:id="1337265574">
                              <w:marLeft w:val="0"/>
                              <w:marRight w:val="0"/>
                              <w:marTop w:val="0"/>
                              <w:marBottom w:val="0"/>
                              <w:divBdr>
                                <w:top w:val="none" w:sz="0" w:space="0" w:color="auto"/>
                                <w:left w:val="none" w:sz="0" w:space="0" w:color="auto"/>
                                <w:bottom w:val="none" w:sz="0" w:space="0" w:color="auto"/>
                                <w:right w:val="none" w:sz="0" w:space="0" w:color="auto"/>
                              </w:divBdr>
                              <w:divsChild>
                                <w:div w:id="840512394">
                                  <w:marLeft w:val="0"/>
                                  <w:marRight w:val="0"/>
                                  <w:marTop w:val="0"/>
                                  <w:marBottom w:val="0"/>
                                  <w:divBdr>
                                    <w:top w:val="none" w:sz="0" w:space="0" w:color="auto"/>
                                    <w:left w:val="none" w:sz="0" w:space="0" w:color="auto"/>
                                    <w:bottom w:val="none" w:sz="0" w:space="0" w:color="auto"/>
                                    <w:right w:val="none" w:sz="0" w:space="0" w:color="auto"/>
                                  </w:divBdr>
                                  <w:divsChild>
                                    <w:div w:id="1539509617">
                                      <w:marLeft w:val="0"/>
                                      <w:marRight w:val="0"/>
                                      <w:marTop w:val="0"/>
                                      <w:marBottom w:val="0"/>
                                      <w:divBdr>
                                        <w:top w:val="none" w:sz="0" w:space="0" w:color="auto"/>
                                        <w:left w:val="none" w:sz="0" w:space="0" w:color="auto"/>
                                        <w:bottom w:val="none" w:sz="0" w:space="0" w:color="auto"/>
                                        <w:right w:val="none" w:sz="0" w:space="0" w:color="auto"/>
                                      </w:divBdr>
                                      <w:divsChild>
                                        <w:div w:id="795299354">
                                          <w:marLeft w:val="0"/>
                                          <w:marRight w:val="0"/>
                                          <w:marTop w:val="0"/>
                                          <w:marBottom w:val="0"/>
                                          <w:divBdr>
                                            <w:top w:val="none" w:sz="0" w:space="0" w:color="auto"/>
                                            <w:left w:val="none" w:sz="0" w:space="0" w:color="auto"/>
                                            <w:bottom w:val="none" w:sz="0" w:space="0" w:color="auto"/>
                                            <w:right w:val="none" w:sz="0" w:space="0" w:color="auto"/>
                                          </w:divBdr>
                                          <w:divsChild>
                                            <w:div w:id="217397390">
                                              <w:marLeft w:val="0"/>
                                              <w:marRight w:val="0"/>
                                              <w:marTop w:val="0"/>
                                              <w:marBottom w:val="0"/>
                                              <w:divBdr>
                                                <w:top w:val="none" w:sz="0" w:space="0" w:color="auto"/>
                                                <w:left w:val="none" w:sz="0" w:space="0" w:color="auto"/>
                                                <w:bottom w:val="none" w:sz="0" w:space="0" w:color="auto"/>
                                                <w:right w:val="none" w:sz="0" w:space="0" w:color="auto"/>
                                              </w:divBdr>
                                              <w:divsChild>
                                                <w:div w:id="181818377">
                                                  <w:marLeft w:val="0"/>
                                                  <w:marRight w:val="0"/>
                                                  <w:marTop w:val="0"/>
                                                  <w:marBottom w:val="0"/>
                                                  <w:divBdr>
                                                    <w:top w:val="none" w:sz="0" w:space="0" w:color="auto"/>
                                                    <w:left w:val="none" w:sz="0" w:space="0" w:color="auto"/>
                                                    <w:bottom w:val="none" w:sz="0" w:space="0" w:color="auto"/>
                                                    <w:right w:val="none" w:sz="0" w:space="0" w:color="auto"/>
                                                  </w:divBdr>
                                                  <w:divsChild>
                                                    <w:div w:id="1522091040">
                                                      <w:marLeft w:val="0"/>
                                                      <w:marRight w:val="0"/>
                                                      <w:marTop w:val="0"/>
                                                      <w:marBottom w:val="0"/>
                                                      <w:divBdr>
                                                        <w:top w:val="none" w:sz="0" w:space="0" w:color="auto"/>
                                                        <w:left w:val="none" w:sz="0" w:space="0" w:color="auto"/>
                                                        <w:bottom w:val="none" w:sz="0" w:space="0" w:color="auto"/>
                                                        <w:right w:val="none" w:sz="0" w:space="0" w:color="auto"/>
                                                      </w:divBdr>
                                                      <w:divsChild>
                                                        <w:div w:id="992369386">
                                                          <w:marLeft w:val="0"/>
                                                          <w:marRight w:val="0"/>
                                                          <w:marTop w:val="0"/>
                                                          <w:marBottom w:val="0"/>
                                                          <w:divBdr>
                                                            <w:top w:val="none" w:sz="0" w:space="0" w:color="auto"/>
                                                            <w:left w:val="none" w:sz="0" w:space="0" w:color="auto"/>
                                                            <w:bottom w:val="none" w:sz="0" w:space="0" w:color="auto"/>
                                                            <w:right w:val="none" w:sz="0" w:space="0" w:color="auto"/>
                                                          </w:divBdr>
                                                        </w:div>
                                                        <w:div w:id="986588372">
                                                          <w:marLeft w:val="0"/>
                                                          <w:marRight w:val="0"/>
                                                          <w:marTop w:val="0"/>
                                                          <w:marBottom w:val="0"/>
                                                          <w:divBdr>
                                                            <w:top w:val="none" w:sz="0" w:space="0" w:color="auto"/>
                                                            <w:left w:val="none" w:sz="0" w:space="0" w:color="auto"/>
                                                            <w:bottom w:val="none" w:sz="0" w:space="0" w:color="auto"/>
                                                            <w:right w:val="none" w:sz="0" w:space="0" w:color="auto"/>
                                                          </w:divBdr>
                                                          <w:divsChild>
                                                            <w:div w:id="5063317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2059954">
      <w:bodyDiv w:val="1"/>
      <w:marLeft w:val="0"/>
      <w:marRight w:val="0"/>
      <w:marTop w:val="0"/>
      <w:marBottom w:val="0"/>
      <w:divBdr>
        <w:top w:val="none" w:sz="0" w:space="0" w:color="auto"/>
        <w:left w:val="none" w:sz="0" w:space="0" w:color="auto"/>
        <w:bottom w:val="none" w:sz="0" w:space="0" w:color="auto"/>
        <w:right w:val="none" w:sz="0" w:space="0" w:color="auto"/>
      </w:divBdr>
      <w:divsChild>
        <w:div w:id="185800266">
          <w:marLeft w:val="0"/>
          <w:marRight w:val="0"/>
          <w:marTop w:val="0"/>
          <w:marBottom w:val="0"/>
          <w:divBdr>
            <w:top w:val="none" w:sz="0" w:space="0" w:color="auto"/>
            <w:left w:val="none" w:sz="0" w:space="0" w:color="auto"/>
            <w:bottom w:val="none" w:sz="0" w:space="0" w:color="auto"/>
            <w:right w:val="none" w:sz="0" w:space="0" w:color="auto"/>
          </w:divBdr>
          <w:divsChild>
            <w:div w:id="1717241430">
              <w:marLeft w:val="0"/>
              <w:marRight w:val="0"/>
              <w:marTop w:val="0"/>
              <w:marBottom w:val="0"/>
              <w:divBdr>
                <w:top w:val="none" w:sz="0" w:space="0" w:color="auto"/>
                <w:left w:val="none" w:sz="0" w:space="0" w:color="auto"/>
                <w:bottom w:val="none" w:sz="0" w:space="0" w:color="auto"/>
                <w:right w:val="none" w:sz="0" w:space="0" w:color="auto"/>
              </w:divBdr>
              <w:divsChild>
                <w:div w:id="1225071320">
                  <w:marLeft w:val="-225"/>
                  <w:marRight w:val="-225"/>
                  <w:marTop w:val="0"/>
                  <w:marBottom w:val="0"/>
                  <w:divBdr>
                    <w:top w:val="none" w:sz="0" w:space="0" w:color="auto"/>
                    <w:left w:val="none" w:sz="0" w:space="0" w:color="auto"/>
                    <w:bottom w:val="none" w:sz="0" w:space="0" w:color="auto"/>
                    <w:right w:val="none" w:sz="0" w:space="0" w:color="auto"/>
                  </w:divBdr>
                  <w:divsChild>
                    <w:div w:id="1631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11514">
      <w:bodyDiv w:val="1"/>
      <w:marLeft w:val="0"/>
      <w:marRight w:val="0"/>
      <w:marTop w:val="0"/>
      <w:marBottom w:val="0"/>
      <w:divBdr>
        <w:top w:val="none" w:sz="0" w:space="0" w:color="auto"/>
        <w:left w:val="none" w:sz="0" w:space="0" w:color="auto"/>
        <w:bottom w:val="none" w:sz="0" w:space="0" w:color="auto"/>
        <w:right w:val="none" w:sz="0" w:space="0" w:color="auto"/>
      </w:divBdr>
    </w:div>
    <w:div w:id="813989229">
      <w:bodyDiv w:val="1"/>
      <w:marLeft w:val="0"/>
      <w:marRight w:val="0"/>
      <w:marTop w:val="0"/>
      <w:marBottom w:val="0"/>
      <w:divBdr>
        <w:top w:val="none" w:sz="0" w:space="0" w:color="auto"/>
        <w:left w:val="none" w:sz="0" w:space="0" w:color="auto"/>
        <w:bottom w:val="none" w:sz="0" w:space="0" w:color="auto"/>
        <w:right w:val="none" w:sz="0" w:space="0" w:color="auto"/>
      </w:divBdr>
      <w:divsChild>
        <w:div w:id="1175878296">
          <w:marLeft w:val="0"/>
          <w:marRight w:val="105"/>
          <w:marTop w:val="0"/>
          <w:marBottom w:val="0"/>
          <w:divBdr>
            <w:top w:val="single" w:sz="6" w:space="0" w:color="D1D1D1"/>
            <w:left w:val="single" w:sz="6" w:space="0" w:color="D1D1D1"/>
            <w:bottom w:val="none" w:sz="0" w:space="0" w:color="auto"/>
            <w:right w:val="none" w:sz="0" w:space="0" w:color="auto"/>
          </w:divBdr>
          <w:divsChild>
            <w:div w:id="214048678">
              <w:marLeft w:val="0"/>
              <w:marRight w:val="0"/>
              <w:marTop w:val="0"/>
              <w:marBottom w:val="0"/>
              <w:divBdr>
                <w:top w:val="none" w:sz="0" w:space="0" w:color="auto"/>
                <w:left w:val="none" w:sz="0" w:space="0" w:color="auto"/>
                <w:bottom w:val="none" w:sz="0" w:space="0" w:color="auto"/>
                <w:right w:val="none" w:sz="0" w:space="0" w:color="auto"/>
              </w:divBdr>
              <w:divsChild>
                <w:div w:id="504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884">
      <w:bodyDiv w:val="1"/>
      <w:marLeft w:val="0"/>
      <w:marRight w:val="0"/>
      <w:marTop w:val="0"/>
      <w:marBottom w:val="0"/>
      <w:divBdr>
        <w:top w:val="none" w:sz="0" w:space="0" w:color="auto"/>
        <w:left w:val="none" w:sz="0" w:space="0" w:color="auto"/>
        <w:bottom w:val="none" w:sz="0" w:space="0" w:color="auto"/>
        <w:right w:val="none" w:sz="0" w:space="0" w:color="auto"/>
      </w:divBdr>
    </w:div>
    <w:div w:id="815030914">
      <w:bodyDiv w:val="1"/>
      <w:marLeft w:val="0"/>
      <w:marRight w:val="0"/>
      <w:marTop w:val="0"/>
      <w:marBottom w:val="0"/>
      <w:divBdr>
        <w:top w:val="none" w:sz="0" w:space="0" w:color="auto"/>
        <w:left w:val="none" w:sz="0" w:space="0" w:color="auto"/>
        <w:bottom w:val="none" w:sz="0" w:space="0" w:color="auto"/>
        <w:right w:val="none" w:sz="0" w:space="0" w:color="auto"/>
      </w:divBdr>
      <w:divsChild>
        <w:div w:id="1604260563">
          <w:marLeft w:val="0"/>
          <w:marRight w:val="0"/>
          <w:marTop w:val="0"/>
          <w:marBottom w:val="0"/>
          <w:divBdr>
            <w:top w:val="none" w:sz="0" w:space="0" w:color="auto"/>
            <w:left w:val="none" w:sz="0" w:space="0" w:color="auto"/>
            <w:bottom w:val="none" w:sz="0" w:space="0" w:color="auto"/>
            <w:right w:val="none" w:sz="0" w:space="0" w:color="auto"/>
          </w:divBdr>
          <w:divsChild>
            <w:div w:id="1782528230">
              <w:marLeft w:val="0"/>
              <w:marRight w:val="0"/>
              <w:marTop w:val="0"/>
              <w:marBottom w:val="0"/>
              <w:divBdr>
                <w:top w:val="none" w:sz="0" w:space="0" w:color="auto"/>
                <w:left w:val="none" w:sz="0" w:space="0" w:color="auto"/>
                <w:bottom w:val="none" w:sz="0" w:space="0" w:color="auto"/>
                <w:right w:val="none" w:sz="0" w:space="0" w:color="auto"/>
              </w:divBdr>
              <w:divsChild>
                <w:div w:id="58020195">
                  <w:marLeft w:val="0"/>
                  <w:marRight w:val="0"/>
                  <w:marTop w:val="0"/>
                  <w:marBottom w:val="0"/>
                  <w:divBdr>
                    <w:top w:val="none" w:sz="0" w:space="0" w:color="auto"/>
                    <w:left w:val="none" w:sz="0" w:space="0" w:color="auto"/>
                    <w:bottom w:val="none" w:sz="0" w:space="0" w:color="auto"/>
                    <w:right w:val="none" w:sz="0" w:space="0" w:color="auto"/>
                  </w:divBdr>
                  <w:divsChild>
                    <w:div w:id="1627351634">
                      <w:marLeft w:val="0"/>
                      <w:marRight w:val="0"/>
                      <w:marTop w:val="0"/>
                      <w:marBottom w:val="0"/>
                      <w:divBdr>
                        <w:top w:val="none" w:sz="0" w:space="0" w:color="auto"/>
                        <w:left w:val="none" w:sz="0" w:space="0" w:color="auto"/>
                        <w:bottom w:val="none" w:sz="0" w:space="0" w:color="auto"/>
                        <w:right w:val="none" w:sz="0" w:space="0" w:color="auto"/>
                      </w:divBdr>
                      <w:divsChild>
                        <w:div w:id="430318540">
                          <w:marLeft w:val="0"/>
                          <w:marRight w:val="0"/>
                          <w:marTop w:val="0"/>
                          <w:marBottom w:val="0"/>
                          <w:divBdr>
                            <w:top w:val="none" w:sz="0" w:space="0" w:color="auto"/>
                            <w:left w:val="none" w:sz="0" w:space="0" w:color="auto"/>
                            <w:bottom w:val="none" w:sz="0" w:space="0" w:color="auto"/>
                            <w:right w:val="none" w:sz="0" w:space="0" w:color="auto"/>
                          </w:divBdr>
                          <w:divsChild>
                            <w:div w:id="721903657">
                              <w:marLeft w:val="0"/>
                              <w:marRight w:val="0"/>
                              <w:marTop w:val="0"/>
                              <w:marBottom w:val="0"/>
                              <w:divBdr>
                                <w:top w:val="none" w:sz="0" w:space="0" w:color="auto"/>
                                <w:left w:val="none" w:sz="0" w:space="0" w:color="auto"/>
                                <w:bottom w:val="none" w:sz="0" w:space="0" w:color="auto"/>
                                <w:right w:val="none" w:sz="0" w:space="0" w:color="auto"/>
                              </w:divBdr>
                              <w:divsChild>
                                <w:div w:id="1510870031">
                                  <w:marLeft w:val="0"/>
                                  <w:marRight w:val="0"/>
                                  <w:marTop w:val="0"/>
                                  <w:marBottom w:val="0"/>
                                  <w:divBdr>
                                    <w:top w:val="none" w:sz="0" w:space="0" w:color="auto"/>
                                    <w:left w:val="none" w:sz="0" w:space="0" w:color="auto"/>
                                    <w:bottom w:val="none" w:sz="0" w:space="0" w:color="auto"/>
                                    <w:right w:val="none" w:sz="0" w:space="0" w:color="auto"/>
                                  </w:divBdr>
                                  <w:divsChild>
                                    <w:div w:id="657880024">
                                      <w:marLeft w:val="0"/>
                                      <w:marRight w:val="0"/>
                                      <w:marTop w:val="0"/>
                                      <w:marBottom w:val="0"/>
                                      <w:divBdr>
                                        <w:top w:val="none" w:sz="0" w:space="0" w:color="auto"/>
                                        <w:left w:val="none" w:sz="0" w:space="0" w:color="auto"/>
                                        <w:bottom w:val="none" w:sz="0" w:space="0" w:color="auto"/>
                                        <w:right w:val="none" w:sz="0" w:space="0" w:color="auto"/>
                                      </w:divBdr>
                                      <w:divsChild>
                                        <w:div w:id="475954149">
                                          <w:marLeft w:val="0"/>
                                          <w:marRight w:val="0"/>
                                          <w:marTop w:val="0"/>
                                          <w:marBottom w:val="0"/>
                                          <w:divBdr>
                                            <w:top w:val="none" w:sz="0" w:space="0" w:color="auto"/>
                                            <w:left w:val="none" w:sz="0" w:space="0" w:color="auto"/>
                                            <w:bottom w:val="none" w:sz="0" w:space="0" w:color="auto"/>
                                            <w:right w:val="none" w:sz="0" w:space="0" w:color="auto"/>
                                          </w:divBdr>
                                          <w:divsChild>
                                            <w:div w:id="919947079">
                                              <w:marLeft w:val="0"/>
                                              <w:marRight w:val="0"/>
                                              <w:marTop w:val="0"/>
                                              <w:marBottom w:val="0"/>
                                              <w:divBdr>
                                                <w:top w:val="none" w:sz="0" w:space="0" w:color="auto"/>
                                                <w:left w:val="none" w:sz="0" w:space="0" w:color="auto"/>
                                                <w:bottom w:val="none" w:sz="0" w:space="0" w:color="auto"/>
                                                <w:right w:val="none" w:sz="0" w:space="0" w:color="auto"/>
                                              </w:divBdr>
                                              <w:divsChild>
                                                <w:div w:id="1936672417">
                                                  <w:marLeft w:val="0"/>
                                                  <w:marRight w:val="0"/>
                                                  <w:marTop w:val="0"/>
                                                  <w:marBottom w:val="0"/>
                                                  <w:divBdr>
                                                    <w:top w:val="none" w:sz="0" w:space="0" w:color="auto"/>
                                                    <w:left w:val="none" w:sz="0" w:space="0" w:color="auto"/>
                                                    <w:bottom w:val="none" w:sz="0" w:space="0" w:color="auto"/>
                                                    <w:right w:val="none" w:sz="0" w:space="0" w:color="auto"/>
                                                  </w:divBdr>
                                                  <w:divsChild>
                                                    <w:div w:id="1643581687">
                                                      <w:marLeft w:val="0"/>
                                                      <w:marRight w:val="0"/>
                                                      <w:marTop w:val="0"/>
                                                      <w:marBottom w:val="0"/>
                                                      <w:divBdr>
                                                        <w:top w:val="none" w:sz="0" w:space="0" w:color="auto"/>
                                                        <w:left w:val="none" w:sz="0" w:space="0" w:color="auto"/>
                                                        <w:bottom w:val="none" w:sz="0" w:space="0" w:color="auto"/>
                                                        <w:right w:val="none" w:sz="0" w:space="0" w:color="auto"/>
                                                      </w:divBdr>
                                                      <w:divsChild>
                                                        <w:div w:id="1509104087">
                                                          <w:marLeft w:val="0"/>
                                                          <w:marRight w:val="0"/>
                                                          <w:marTop w:val="0"/>
                                                          <w:marBottom w:val="0"/>
                                                          <w:divBdr>
                                                            <w:top w:val="none" w:sz="0" w:space="0" w:color="auto"/>
                                                            <w:left w:val="none" w:sz="0" w:space="0" w:color="auto"/>
                                                            <w:bottom w:val="none" w:sz="0" w:space="0" w:color="auto"/>
                                                            <w:right w:val="none" w:sz="0" w:space="0" w:color="auto"/>
                                                          </w:divBdr>
                                                        </w:div>
                                                        <w:div w:id="762529746">
                                                          <w:marLeft w:val="0"/>
                                                          <w:marRight w:val="0"/>
                                                          <w:marTop w:val="0"/>
                                                          <w:marBottom w:val="0"/>
                                                          <w:divBdr>
                                                            <w:top w:val="none" w:sz="0" w:space="0" w:color="auto"/>
                                                            <w:left w:val="none" w:sz="0" w:space="0" w:color="auto"/>
                                                            <w:bottom w:val="none" w:sz="0" w:space="0" w:color="auto"/>
                                                            <w:right w:val="none" w:sz="0" w:space="0" w:color="auto"/>
                                                          </w:divBdr>
                                                          <w:divsChild>
                                                            <w:div w:id="11680595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798021">
      <w:bodyDiv w:val="1"/>
      <w:marLeft w:val="0"/>
      <w:marRight w:val="0"/>
      <w:marTop w:val="0"/>
      <w:marBottom w:val="0"/>
      <w:divBdr>
        <w:top w:val="none" w:sz="0" w:space="0" w:color="auto"/>
        <w:left w:val="none" w:sz="0" w:space="0" w:color="auto"/>
        <w:bottom w:val="none" w:sz="0" w:space="0" w:color="auto"/>
        <w:right w:val="none" w:sz="0" w:space="0" w:color="auto"/>
      </w:divBdr>
    </w:div>
    <w:div w:id="815998220">
      <w:bodyDiv w:val="1"/>
      <w:marLeft w:val="0"/>
      <w:marRight w:val="0"/>
      <w:marTop w:val="0"/>
      <w:marBottom w:val="0"/>
      <w:divBdr>
        <w:top w:val="none" w:sz="0" w:space="0" w:color="auto"/>
        <w:left w:val="none" w:sz="0" w:space="0" w:color="auto"/>
        <w:bottom w:val="none" w:sz="0" w:space="0" w:color="auto"/>
        <w:right w:val="none" w:sz="0" w:space="0" w:color="auto"/>
      </w:divBdr>
    </w:div>
    <w:div w:id="817306930">
      <w:bodyDiv w:val="1"/>
      <w:marLeft w:val="0"/>
      <w:marRight w:val="0"/>
      <w:marTop w:val="0"/>
      <w:marBottom w:val="0"/>
      <w:divBdr>
        <w:top w:val="none" w:sz="0" w:space="0" w:color="auto"/>
        <w:left w:val="none" w:sz="0" w:space="0" w:color="auto"/>
        <w:bottom w:val="none" w:sz="0" w:space="0" w:color="auto"/>
        <w:right w:val="none" w:sz="0" w:space="0" w:color="auto"/>
      </w:divBdr>
      <w:divsChild>
        <w:div w:id="1212040552">
          <w:marLeft w:val="0"/>
          <w:marRight w:val="0"/>
          <w:marTop w:val="0"/>
          <w:marBottom w:val="0"/>
          <w:divBdr>
            <w:top w:val="none" w:sz="0" w:space="0" w:color="auto"/>
            <w:left w:val="none" w:sz="0" w:space="0" w:color="auto"/>
            <w:bottom w:val="none" w:sz="0" w:space="0" w:color="auto"/>
            <w:right w:val="none" w:sz="0" w:space="0" w:color="auto"/>
          </w:divBdr>
          <w:divsChild>
            <w:div w:id="934636019">
              <w:marLeft w:val="0"/>
              <w:marRight w:val="0"/>
              <w:marTop w:val="0"/>
              <w:marBottom w:val="0"/>
              <w:divBdr>
                <w:top w:val="none" w:sz="0" w:space="0" w:color="auto"/>
                <w:left w:val="none" w:sz="0" w:space="0" w:color="auto"/>
                <w:bottom w:val="none" w:sz="0" w:space="0" w:color="auto"/>
                <w:right w:val="none" w:sz="0" w:space="0" w:color="auto"/>
              </w:divBdr>
              <w:divsChild>
                <w:div w:id="760487319">
                  <w:marLeft w:val="0"/>
                  <w:marRight w:val="0"/>
                  <w:marTop w:val="0"/>
                  <w:marBottom w:val="0"/>
                  <w:divBdr>
                    <w:top w:val="none" w:sz="0" w:space="0" w:color="auto"/>
                    <w:left w:val="none" w:sz="0" w:space="0" w:color="auto"/>
                    <w:bottom w:val="none" w:sz="0" w:space="0" w:color="auto"/>
                    <w:right w:val="none" w:sz="0" w:space="0" w:color="auto"/>
                  </w:divBdr>
                  <w:divsChild>
                    <w:div w:id="134639305">
                      <w:marLeft w:val="0"/>
                      <w:marRight w:val="0"/>
                      <w:marTop w:val="0"/>
                      <w:marBottom w:val="0"/>
                      <w:divBdr>
                        <w:top w:val="none" w:sz="0" w:space="0" w:color="auto"/>
                        <w:left w:val="none" w:sz="0" w:space="0" w:color="auto"/>
                        <w:bottom w:val="none" w:sz="0" w:space="0" w:color="auto"/>
                        <w:right w:val="none" w:sz="0" w:space="0" w:color="auto"/>
                      </w:divBdr>
                      <w:divsChild>
                        <w:div w:id="533857280">
                          <w:marLeft w:val="0"/>
                          <w:marRight w:val="0"/>
                          <w:marTop w:val="0"/>
                          <w:marBottom w:val="0"/>
                          <w:divBdr>
                            <w:top w:val="none" w:sz="0" w:space="0" w:color="auto"/>
                            <w:left w:val="none" w:sz="0" w:space="0" w:color="auto"/>
                            <w:bottom w:val="none" w:sz="0" w:space="0" w:color="auto"/>
                            <w:right w:val="none" w:sz="0" w:space="0" w:color="auto"/>
                          </w:divBdr>
                          <w:divsChild>
                            <w:div w:id="1408110691">
                              <w:marLeft w:val="0"/>
                              <w:marRight w:val="0"/>
                              <w:marTop w:val="0"/>
                              <w:marBottom w:val="0"/>
                              <w:divBdr>
                                <w:top w:val="none" w:sz="0" w:space="0" w:color="auto"/>
                                <w:left w:val="none" w:sz="0" w:space="0" w:color="auto"/>
                                <w:bottom w:val="none" w:sz="0" w:space="0" w:color="auto"/>
                                <w:right w:val="none" w:sz="0" w:space="0" w:color="auto"/>
                              </w:divBdr>
                              <w:divsChild>
                                <w:div w:id="2029938777">
                                  <w:marLeft w:val="0"/>
                                  <w:marRight w:val="0"/>
                                  <w:marTop w:val="0"/>
                                  <w:marBottom w:val="0"/>
                                  <w:divBdr>
                                    <w:top w:val="none" w:sz="0" w:space="0" w:color="auto"/>
                                    <w:left w:val="none" w:sz="0" w:space="0" w:color="auto"/>
                                    <w:bottom w:val="none" w:sz="0" w:space="0" w:color="auto"/>
                                    <w:right w:val="none" w:sz="0" w:space="0" w:color="auto"/>
                                  </w:divBdr>
                                  <w:divsChild>
                                    <w:div w:id="694430206">
                                      <w:marLeft w:val="0"/>
                                      <w:marRight w:val="0"/>
                                      <w:marTop w:val="0"/>
                                      <w:marBottom w:val="0"/>
                                      <w:divBdr>
                                        <w:top w:val="none" w:sz="0" w:space="0" w:color="auto"/>
                                        <w:left w:val="none" w:sz="0" w:space="0" w:color="auto"/>
                                        <w:bottom w:val="none" w:sz="0" w:space="0" w:color="auto"/>
                                        <w:right w:val="none" w:sz="0" w:space="0" w:color="auto"/>
                                      </w:divBdr>
                                      <w:divsChild>
                                        <w:div w:id="1850679153">
                                          <w:marLeft w:val="0"/>
                                          <w:marRight w:val="0"/>
                                          <w:marTop w:val="0"/>
                                          <w:marBottom w:val="0"/>
                                          <w:divBdr>
                                            <w:top w:val="none" w:sz="0" w:space="0" w:color="auto"/>
                                            <w:left w:val="none" w:sz="0" w:space="0" w:color="auto"/>
                                            <w:bottom w:val="none" w:sz="0" w:space="0" w:color="auto"/>
                                            <w:right w:val="none" w:sz="0" w:space="0" w:color="auto"/>
                                          </w:divBdr>
                                        </w:div>
                                        <w:div w:id="766852929">
                                          <w:marLeft w:val="0"/>
                                          <w:marRight w:val="0"/>
                                          <w:marTop w:val="0"/>
                                          <w:marBottom w:val="0"/>
                                          <w:divBdr>
                                            <w:top w:val="none" w:sz="0" w:space="0" w:color="auto"/>
                                            <w:left w:val="none" w:sz="0" w:space="0" w:color="auto"/>
                                            <w:bottom w:val="none" w:sz="0" w:space="0" w:color="auto"/>
                                            <w:right w:val="none" w:sz="0" w:space="0" w:color="auto"/>
                                          </w:divBdr>
                                          <w:divsChild>
                                            <w:div w:id="16376841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970104">
      <w:bodyDiv w:val="1"/>
      <w:marLeft w:val="0"/>
      <w:marRight w:val="0"/>
      <w:marTop w:val="0"/>
      <w:marBottom w:val="0"/>
      <w:divBdr>
        <w:top w:val="none" w:sz="0" w:space="0" w:color="auto"/>
        <w:left w:val="none" w:sz="0" w:space="0" w:color="auto"/>
        <w:bottom w:val="none" w:sz="0" w:space="0" w:color="auto"/>
        <w:right w:val="none" w:sz="0" w:space="0" w:color="auto"/>
      </w:divBdr>
    </w:div>
    <w:div w:id="821044692">
      <w:bodyDiv w:val="1"/>
      <w:marLeft w:val="0"/>
      <w:marRight w:val="0"/>
      <w:marTop w:val="0"/>
      <w:marBottom w:val="0"/>
      <w:divBdr>
        <w:top w:val="none" w:sz="0" w:space="0" w:color="auto"/>
        <w:left w:val="none" w:sz="0" w:space="0" w:color="auto"/>
        <w:bottom w:val="none" w:sz="0" w:space="0" w:color="auto"/>
        <w:right w:val="none" w:sz="0" w:space="0" w:color="auto"/>
      </w:divBdr>
    </w:div>
    <w:div w:id="823082168">
      <w:bodyDiv w:val="1"/>
      <w:marLeft w:val="0"/>
      <w:marRight w:val="0"/>
      <w:marTop w:val="0"/>
      <w:marBottom w:val="0"/>
      <w:divBdr>
        <w:top w:val="none" w:sz="0" w:space="0" w:color="auto"/>
        <w:left w:val="none" w:sz="0" w:space="0" w:color="auto"/>
        <w:bottom w:val="none" w:sz="0" w:space="0" w:color="auto"/>
        <w:right w:val="none" w:sz="0" w:space="0" w:color="auto"/>
      </w:divBdr>
      <w:divsChild>
        <w:div w:id="1060983842">
          <w:marLeft w:val="0"/>
          <w:marRight w:val="0"/>
          <w:marTop w:val="0"/>
          <w:marBottom w:val="0"/>
          <w:divBdr>
            <w:top w:val="none" w:sz="0" w:space="0" w:color="auto"/>
            <w:left w:val="none" w:sz="0" w:space="0" w:color="auto"/>
            <w:bottom w:val="none" w:sz="0" w:space="0" w:color="auto"/>
            <w:right w:val="none" w:sz="0" w:space="0" w:color="auto"/>
          </w:divBdr>
          <w:divsChild>
            <w:div w:id="1852573341">
              <w:marLeft w:val="0"/>
              <w:marRight w:val="0"/>
              <w:marTop w:val="0"/>
              <w:marBottom w:val="0"/>
              <w:divBdr>
                <w:top w:val="none" w:sz="0" w:space="0" w:color="auto"/>
                <w:left w:val="none" w:sz="0" w:space="0" w:color="auto"/>
                <w:bottom w:val="none" w:sz="0" w:space="0" w:color="auto"/>
                <w:right w:val="none" w:sz="0" w:space="0" w:color="auto"/>
              </w:divBdr>
              <w:divsChild>
                <w:div w:id="5057954">
                  <w:marLeft w:val="0"/>
                  <w:marRight w:val="0"/>
                  <w:marTop w:val="0"/>
                  <w:marBottom w:val="0"/>
                  <w:divBdr>
                    <w:top w:val="none" w:sz="0" w:space="0" w:color="auto"/>
                    <w:left w:val="none" w:sz="0" w:space="0" w:color="auto"/>
                    <w:bottom w:val="none" w:sz="0" w:space="0" w:color="auto"/>
                    <w:right w:val="none" w:sz="0" w:space="0" w:color="auto"/>
                  </w:divBdr>
                </w:div>
                <w:div w:id="1074547308">
                  <w:marLeft w:val="0"/>
                  <w:marRight w:val="0"/>
                  <w:marTop w:val="0"/>
                  <w:marBottom w:val="0"/>
                  <w:divBdr>
                    <w:top w:val="none" w:sz="0" w:space="0" w:color="auto"/>
                    <w:left w:val="none" w:sz="0" w:space="0" w:color="auto"/>
                    <w:bottom w:val="none" w:sz="0" w:space="0" w:color="auto"/>
                    <w:right w:val="none" w:sz="0" w:space="0" w:color="auto"/>
                  </w:divBdr>
                </w:div>
                <w:div w:id="555119416">
                  <w:marLeft w:val="0"/>
                  <w:marRight w:val="0"/>
                  <w:marTop w:val="0"/>
                  <w:marBottom w:val="0"/>
                  <w:divBdr>
                    <w:top w:val="none" w:sz="0" w:space="0" w:color="auto"/>
                    <w:left w:val="none" w:sz="0" w:space="0" w:color="auto"/>
                    <w:bottom w:val="none" w:sz="0" w:space="0" w:color="auto"/>
                    <w:right w:val="none" w:sz="0" w:space="0" w:color="auto"/>
                  </w:divBdr>
                </w:div>
                <w:div w:id="1733507555">
                  <w:marLeft w:val="0"/>
                  <w:marRight w:val="0"/>
                  <w:marTop w:val="0"/>
                  <w:marBottom w:val="0"/>
                  <w:divBdr>
                    <w:top w:val="none" w:sz="0" w:space="0" w:color="auto"/>
                    <w:left w:val="none" w:sz="0" w:space="0" w:color="auto"/>
                    <w:bottom w:val="none" w:sz="0" w:space="0" w:color="auto"/>
                    <w:right w:val="none" w:sz="0" w:space="0" w:color="auto"/>
                  </w:divBdr>
                </w:div>
                <w:div w:id="1210410356">
                  <w:marLeft w:val="0"/>
                  <w:marRight w:val="0"/>
                  <w:marTop w:val="0"/>
                  <w:marBottom w:val="0"/>
                  <w:divBdr>
                    <w:top w:val="none" w:sz="0" w:space="0" w:color="auto"/>
                    <w:left w:val="none" w:sz="0" w:space="0" w:color="auto"/>
                    <w:bottom w:val="none" w:sz="0" w:space="0" w:color="auto"/>
                    <w:right w:val="none" w:sz="0" w:space="0" w:color="auto"/>
                  </w:divBdr>
                </w:div>
                <w:div w:id="892011345">
                  <w:marLeft w:val="0"/>
                  <w:marRight w:val="0"/>
                  <w:marTop w:val="0"/>
                  <w:marBottom w:val="0"/>
                  <w:divBdr>
                    <w:top w:val="none" w:sz="0" w:space="0" w:color="auto"/>
                    <w:left w:val="none" w:sz="0" w:space="0" w:color="auto"/>
                    <w:bottom w:val="none" w:sz="0" w:space="0" w:color="auto"/>
                    <w:right w:val="none" w:sz="0" w:space="0" w:color="auto"/>
                  </w:divBdr>
                </w:div>
                <w:div w:id="1238829502">
                  <w:marLeft w:val="0"/>
                  <w:marRight w:val="0"/>
                  <w:marTop w:val="0"/>
                  <w:marBottom w:val="0"/>
                  <w:divBdr>
                    <w:top w:val="none" w:sz="0" w:space="0" w:color="auto"/>
                    <w:left w:val="none" w:sz="0" w:space="0" w:color="auto"/>
                    <w:bottom w:val="none" w:sz="0" w:space="0" w:color="auto"/>
                    <w:right w:val="none" w:sz="0" w:space="0" w:color="auto"/>
                  </w:divBdr>
                </w:div>
                <w:div w:id="1492479354">
                  <w:marLeft w:val="0"/>
                  <w:marRight w:val="0"/>
                  <w:marTop w:val="0"/>
                  <w:marBottom w:val="0"/>
                  <w:divBdr>
                    <w:top w:val="none" w:sz="0" w:space="0" w:color="auto"/>
                    <w:left w:val="none" w:sz="0" w:space="0" w:color="auto"/>
                    <w:bottom w:val="none" w:sz="0" w:space="0" w:color="auto"/>
                    <w:right w:val="none" w:sz="0" w:space="0" w:color="auto"/>
                  </w:divBdr>
                </w:div>
                <w:div w:id="2118132133">
                  <w:marLeft w:val="0"/>
                  <w:marRight w:val="0"/>
                  <w:marTop w:val="0"/>
                  <w:marBottom w:val="0"/>
                  <w:divBdr>
                    <w:top w:val="none" w:sz="0" w:space="0" w:color="auto"/>
                    <w:left w:val="none" w:sz="0" w:space="0" w:color="auto"/>
                    <w:bottom w:val="none" w:sz="0" w:space="0" w:color="auto"/>
                    <w:right w:val="none" w:sz="0" w:space="0" w:color="auto"/>
                  </w:divBdr>
                </w:div>
                <w:div w:id="1085569314">
                  <w:marLeft w:val="0"/>
                  <w:marRight w:val="0"/>
                  <w:marTop w:val="0"/>
                  <w:marBottom w:val="0"/>
                  <w:divBdr>
                    <w:top w:val="none" w:sz="0" w:space="0" w:color="auto"/>
                    <w:left w:val="none" w:sz="0" w:space="0" w:color="auto"/>
                    <w:bottom w:val="none" w:sz="0" w:space="0" w:color="auto"/>
                    <w:right w:val="none" w:sz="0" w:space="0" w:color="auto"/>
                  </w:divBdr>
                </w:div>
                <w:div w:id="817722444">
                  <w:marLeft w:val="0"/>
                  <w:marRight w:val="0"/>
                  <w:marTop w:val="0"/>
                  <w:marBottom w:val="0"/>
                  <w:divBdr>
                    <w:top w:val="none" w:sz="0" w:space="0" w:color="auto"/>
                    <w:left w:val="none" w:sz="0" w:space="0" w:color="auto"/>
                    <w:bottom w:val="none" w:sz="0" w:space="0" w:color="auto"/>
                    <w:right w:val="none" w:sz="0" w:space="0" w:color="auto"/>
                  </w:divBdr>
                </w:div>
                <w:div w:id="6284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60863">
      <w:bodyDiv w:val="1"/>
      <w:marLeft w:val="0"/>
      <w:marRight w:val="0"/>
      <w:marTop w:val="0"/>
      <w:marBottom w:val="0"/>
      <w:divBdr>
        <w:top w:val="none" w:sz="0" w:space="0" w:color="auto"/>
        <w:left w:val="none" w:sz="0" w:space="0" w:color="auto"/>
        <w:bottom w:val="none" w:sz="0" w:space="0" w:color="auto"/>
        <w:right w:val="none" w:sz="0" w:space="0" w:color="auto"/>
      </w:divBdr>
      <w:divsChild>
        <w:div w:id="2113741584">
          <w:marLeft w:val="0"/>
          <w:marRight w:val="0"/>
          <w:marTop w:val="0"/>
          <w:marBottom w:val="0"/>
          <w:divBdr>
            <w:top w:val="none" w:sz="0" w:space="0" w:color="auto"/>
            <w:left w:val="none" w:sz="0" w:space="0" w:color="auto"/>
            <w:bottom w:val="none" w:sz="0" w:space="0" w:color="auto"/>
            <w:right w:val="none" w:sz="0" w:space="0" w:color="auto"/>
          </w:divBdr>
          <w:divsChild>
            <w:div w:id="866213704">
              <w:marLeft w:val="0"/>
              <w:marRight w:val="0"/>
              <w:marTop w:val="0"/>
              <w:marBottom w:val="0"/>
              <w:divBdr>
                <w:top w:val="none" w:sz="0" w:space="0" w:color="auto"/>
                <w:left w:val="none" w:sz="0" w:space="0" w:color="auto"/>
                <w:bottom w:val="none" w:sz="0" w:space="0" w:color="auto"/>
                <w:right w:val="none" w:sz="0" w:space="0" w:color="auto"/>
              </w:divBdr>
              <w:divsChild>
                <w:div w:id="508561243">
                  <w:marLeft w:val="0"/>
                  <w:marRight w:val="0"/>
                  <w:marTop w:val="0"/>
                  <w:marBottom w:val="0"/>
                  <w:divBdr>
                    <w:top w:val="none" w:sz="0" w:space="0" w:color="auto"/>
                    <w:left w:val="none" w:sz="0" w:space="0" w:color="auto"/>
                    <w:bottom w:val="none" w:sz="0" w:space="0" w:color="auto"/>
                    <w:right w:val="none" w:sz="0" w:space="0" w:color="auto"/>
                  </w:divBdr>
                  <w:divsChild>
                    <w:div w:id="1650791406">
                      <w:marLeft w:val="0"/>
                      <w:marRight w:val="0"/>
                      <w:marTop w:val="0"/>
                      <w:marBottom w:val="0"/>
                      <w:divBdr>
                        <w:top w:val="none" w:sz="0" w:space="0" w:color="auto"/>
                        <w:left w:val="none" w:sz="0" w:space="0" w:color="auto"/>
                        <w:bottom w:val="none" w:sz="0" w:space="0" w:color="auto"/>
                        <w:right w:val="none" w:sz="0" w:space="0" w:color="auto"/>
                      </w:divBdr>
                      <w:divsChild>
                        <w:div w:id="482745255">
                          <w:marLeft w:val="0"/>
                          <w:marRight w:val="0"/>
                          <w:marTop w:val="0"/>
                          <w:marBottom w:val="0"/>
                          <w:divBdr>
                            <w:top w:val="none" w:sz="0" w:space="0" w:color="auto"/>
                            <w:left w:val="none" w:sz="0" w:space="0" w:color="auto"/>
                            <w:bottom w:val="none" w:sz="0" w:space="0" w:color="auto"/>
                            <w:right w:val="none" w:sz="0" w:space="0" w:color="auto"/>
                          </w:divBdr>
                          <w:divsChild>
                            <w:div w:id="933899798">
                              <w:marLeft w:val="0"/>
                              <w:marRight w:val="0"/>
                              <w:marTop w:val="0"/>
                              <w:marBottom w:val="0"/>
                              <w:divBdr>
                                <w:top w:val="none" w:sz="0" w:space="0" w:color="auto"/>
                                <w:left w:val="none" w:sz="0" w:space="0" w:color="auto"/>
                                <w:bottom w:val="none" w:sz="0" w:space="0" w:color="auto"/>
                                <w:right w:val="none" w:sz="0" w:space="0" w:color="auto"/>
                              </w:divBdr>
                              <w:divsChild>
                                <w:div w:id="1531525253">
                                  <w:marLeft w:val="-375"/>
                                  <w:marRight w:val="0"/>
                                  <w:marTop w:val="0"/>
                                  <w:marBottom w:val="0"/>
                                  <w:divBdr>
                                    <w:top w:val="none" w:sz="0" w:space="0" w:color="auto"/>
                                    <w:left w:val="none" w:sz="0" w:space="0" w:color="auto"/>
                                    <w:bottom w:val="none" w:sz="0" w:space="0" w:color="auto"/>
                                    <w:right w:val="none" w:sz="0" w:space="0" w:color="auto"/>
                                  </w:divBdr>
                                  <w:divsChild>
                                    <w:div w:id="1644307324">
                                      <w:marLeft w:val="0"/>
                                      <w:marRight w:val="0"/>
                                      <w:marTop w:val="0"/>
                                      <w:marBottom w:val="0"/>
                                      <w:divBdr>
                                        <w:top w:val="none" w:sz="0" w:space="0" w:color="auto"/>
                                        <w:left w:val="none" w:sz="0" w:space="0" w:color="auto"/>
                                        <w:bottom w:val="none" w:sz="0" w:space="0" w:color="auto"/>
                                        <w:right w:val="none" w:sz="0" w:space="0" w:color="auto"/>
                                      </w:divBdr>
                                    </w:div>
                                  </w:divsChild>
                                </w:div>
                                <w:div w:id="38408671">
                                  <w:marLeft w:val="-375"/>
                                  <w:marRight w:val="0"/>
                                  <w:marTop w:val="0"/>
                                  <w:marBottom w:val="0"/>
                                  <w:divBdr>
                                    <w:top w:val="none" w:sz="0" w:space="0" w:color="auto"/>
                                    <w:left w:val="none" w:sz="0" w:space="0" w:color="auto"/>
                                    <w:bottom w:val="none" w:sz="0" w:space="0" w:color="auto"/>
                                    <w:right w:val="none" w:sz="0" w:space="0" w:color="auto"/>
                                  </w:divBdr>
                                  <w:divsChild>
                                    <w:div w:id="194928420">
                                      <w:marLeft w:val="0"/>
                                      <w:marRight w:val="0"/>
                                      <w:marTop w:val="0"/>
                                      <w:marBottom w:val="0"/>
                                      <w:divBdr>
                                        <w:top w:val="none" w:sz="0" w:space="0" w:color="auto"/>
                                        <w:left w:val="none" w:sz="0" w:space="0" w:color="auto"/>
                                        <w:bottom w:val="none" w:sz="0" w:space="0" w:color="auto"/>
                                        <w:right w:val="none" w:sz="0" w:space="0" w:color="auto"/>
                                      </w:divBdr>
                                      <w:divsChild>
                                        <w:div w:id="13440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52505">
      <w:bodyDiv w:val="1"/>
      <w:marLeft w:val="0"/>
      <w:marRight w:val="0"/>
      <w:marTop w:val="0"/>
      <w:marBottom w:val="0"/>
      <w:divBdr>
        <w:top w:val="none" w:sz="0" w:space="0" w:color="auto"/>
        <w:left w:val="none" w:sz="0" w:space="0" w:color="auto"/>
        <w:bottom w:val="none" w:sz="0" w:space="0" w:color="auto"/>
        <w:right w:val="none" w:sz="0" w:space="0" w:color="auto"/>
      </w:divBdr>
      <w:divsChild>
        <w:div w:id="1519198188">
          <w:marLeft w:val="0"/>
          <w:marRight w:val="0"/>
          <w:marTop w:val="0"/>
          <w:marBottom w:val="0"/>
          <w:divBdr>
            <w:top w:val="single" w:sz="6" w:space="0" w:color="0E477A"/>
            <w:left w:val="single" w:sz="6" w:space="0" w:color="0E477A"/>
            <w:bottom w:val="single" w:sz="6" w:space="0" w:color="0E477A"/>
            <w:right w:val="single" w:sz="6" w:space="0" w:color="0E477A"/>
          </w:divBdr>
          <w:divsChild>
            <w:div w:id="1342397329">
              <w:marLeft w:val="0"/>
              <w:marRight w:val="0"/>
              <w:marTop w:val="0"/>
              <w:marBottom w:val="0"/>
              <w:divBdr>
                <w:top w:val="none" w:sz="0" w:space="0" w:color="auto"/>
                <w:left w:val="none" w:sz="0" w:space="0" w:color="auto"/>
                <w:bottom w:val="none" w:sz="0" w:space="0" w:color="auto"/>
                <w:right w:val="none" w:sz="0" w:space="0" w:color="auto"/>
              </w:divBdr>
              <w:divsChild>
                <w:div w:id="306592908">
                  <w:marLeft w:val="75"/>
                  <w:marRight w:val="0"/>
                  <w:marTop w:val="0"/>
                  <w:marBottom w:val="0"/>
                  <w:divBdr>
                    <w:top w:val="none" w:sz="0" w:space="0" w:color="auto"/>
                    <w:left w:val="none" w:sz="0" w:space="0" w:color="auto"/>
                    <w:bottom w:val="none" w:sz="0" w:space="0" w:color="auto"/>
                    <w:right w:val="none" w:sz="0" w:space="0" w:color="auto"/>
                  </w:divBdr>
                  <w:divsChild>
                    <w:div w:id="52196030">
                      <w:marLeft w:val="0"/>
                      <w:marRight w:val="0"/>
                      <w:marTop w:val="0"/>
                      <w:marBottom w:val="0"/>
                      <w:divBdr>
                        <w:top w:val="none" w:sz="0" w:space="0" w:color="auto"/>
                        <w:left w:val="none" w:sz="0" w:space="0" w:color="auto"/>
                        <w:bottom w:val="none" w:sz="0" w:space="0" w:color="auto"/>
                        <w:right w:val="none" w:sz="0" w:space="0" w:color="auto"/>
                      </w:divBdr>
                      <w:divsChild>
                        <w:div w:id="815537988">
                          <w:marLeft w:val="0"/>
                          <w:marRight w:val="225"/>
                          <w:marTop w:val="150"/>
                          <w:marBottom w:val="150"/>
                          <w:divBdr>
                            <w:top w:val="single" w:sz="6" w:space="0" w:color="CCCCCC"/>
                            <w:left w:val="single" w:sz="6" w:space="8" w:color="CCCCCC"/>
                            <w:bottom w:val="single" w:sz="6" w:space="8" w:color="CCCCCC"/>
                            <w:right w:val="single" w:sz="6" w:space="8" w:color="CCCCCC"/>
                          </w:divBdr>
                          <w:divsChild>
                            <w:div w:id="476150907">
                              <w:marLeft w:val="-150"/>
                              <w:marRight w:val="0"/>
                              <w:marTop w:val="0"/>
                              <w:marBottom w:val="0"/>
                              <w:divBdr>
                                <w:top w:val="none" w:sz="0" w:space="0" w:color="auto"/>
                                <w:left w:val="none" w:sz="0" w:space="0" w:color="auto"/>
                                <w:bottom w:val="none" w:sz="0" w:space="0" w:color="auto"/>
                                <w:right w:val="none" w:sz="0" w:space="0" w:color="auto"/>
                              </w:divBdr>
                              <w:divsChild>
                                <w:div w:id="5005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395795">
      <w:bodyDiv w:val="1"/>
      <w:marLeft w:val="0"/>
      <w:marRight w:val="0"/>
      <w:marTop w:val="0"/>
      <w:marBottom w:val="0"/>
      <w:divBdr>
        <w:top w:val="none" w:sz="0" w:space="0" w:color="auto"/>
        <w:left w:val="none" w:sz="0" w:space="0" w:color="auto"/>
        <w:bottom w:val="none" w:sz="0" w:space="0" w:color="auto"/>
        <w:right w:val="none" w:sz="0" w:space="0" w:color="auto"/>
      </w:divBdr>
      <w:divsChild>
        <w:div w:id="446238022">
          <w:marLeft w:val="0"/>
          <w:marRight w:val="0"/>
          <w:marTop w:val="0"/>
          <w:marBottom w:val="0"/>
          <w:divBdr>
            <w:top w:val="none" w:sz="0" w:space="0" w:color="auto"/>
            <w:left w:val="none" w:sz="0" w:space="0" w:color="auto"/>
            <w:bottom w:val="none" w:sz="0" w:space="0" w:color="auto"/>
            <w:right w:val="none" w:sz="0" w:space="0" w:color="auto"/>
          </w:divBdr>
          <w:divsChild>
            <w:div w:id="1281301266">
              <w:marLeft w:val="0"/>
              <w:marRight w:val="0"/>
              <w:marTop w:val="0"/>
              <w:marBottom w:val="0"/>
              <w:divBdr>
                <w:top w:val="none" w:sz="0" w:space="0" w:color="auto"/>
                <w:left w:val="none" w:sz="0" w:space="0" w:color="auto"/>
                <w:bottom w:val="none" w:sz="0" w:space="0" w:color="auto"/>
                <w:right w:val="none" w:sz="0" w:space="0" w:color="auto"/>
              </w:divBdr>
              <w:divsChild>
                <w:div w:id="1190296934">
                  <w:marLeft w:val="0"/>
                  <w:marRight w:val="0"/>
                  <w:marTop w:val="0"/>
                  <w:marBottom w:val="0"/>
                  <w:divBdr>
                    <w:top w:val="none" w:sz="0" w:space="0" w:color="auto"/>
                    <w:left w:val="none" w:sz="0" w:space="0" w:color="auto"/>
                    <w:bottom w:val="none" w:sz="0" w:space="0" w:color="auto"/>
                    <w:right w:val="none" w:sz="0" w:space="0" w:color="auto"/>
                  </w:divBdr>
                  <w:divsChild>
                    <w:div w:id="424349122">
                      <w:marLeft w:val="0"/>
                      <w:marRight w:val="0"/>
                      <w:marTop w:val="0"/>
                      <w:marBottom w:val="0"/>
                      <w:divBdr>
                        <w:top w:val="none" w:sz="0" w:space="0" w:color="auto"/>
                        <w:left w:val="none" w:sz="0" w:space="0" w:color="auto"/>
                        <w:bottom w:val="none" w:sz="0" w:space="0" w:color="auto"/>
                        <w:right w:val="none" w:sz="0" w:space="0" w:color="auto"/>
                      </w:divBdr>
                      <w:divsChild>
                        <w:div w:id="321273327">
                          <w:marLeft w:val="0"/>
                          <w:marRight w:val="0"/>
                          <w:marTop w:val="0"/>
                          <w:marBottom w:val="0"/>
                          <w:divBdr>
                            <w:top w:val="none" w:sz="0" w:space="0" w:color="auto"/>
                            <w:left w:val="none" w:sz="0" w:space="0" w:color="auto"/>
                            <w:bottom w:val="none" w:sz="0" w:space="0" w:color="auto"/>
                            <w:right w:val="none" w:sz="0" w:space="0" w:color="auto"/>
                          </w:divBdr>
                          <w:divsChild>
                            <w:div w:id="1985969425">
                              <w:marLeft w:val="0"/>
                              <w:marRight w:val="0"/>
                              <w:marTop w:val="0"/>
                              <w:marBottom w:val="0"/>
                              <w:divBdr>
                                <w:top w:val="none" w:sz="0" w:space="0" w:color="auto"/>
                                <w:left w:val="none" w:sz="0" w:space="0" w:color="auto"/>
                                <w:bottom w:val="none" w:sz="0" w:space="0" w:color="auto"/>
                                <w:right w:val="none" w:sz="0" w:space="0" w:color="auto"/>
                              </w:divBdr>
                              <w:divsChild>
                                <w:div w:id="2146970370">
                                  <w:marLeft w:val="0"/>
                                  <w:marRight w:val="0"/>
                                  <w:marTop w:val="0"/>
                                  <w:marBottom w:val="0"/>
                                  <w:divBdr>
                                    <w:top w:val="none" w:sz="0" w:space="0" w:color="auto"/>
                                    <w:left w:val="none" w:sz="0" w:space="0" w:color="auto"/>
                                    <w:bottom w:val="none" w:sz="0" w:space="0" w:color="auto"/>
                                    <w:right w:val="none" w:sz="0" w:space="0" w:color="auto"/>
                                  </w:divBdr>
                                  <w:divsChild>
                                    <w:div w:id="1856919521">
                                      <w:marLeft w:val="0"/>
                                      <w:marRight w:val="0"/>
                                      <w:marTop w:val="0"/>
                                      <w:marBottom w:val="0"/>
                                      <w:divBdr>
                                        <w:top w:val="none" w:sz="0" w:space="0" w:color="auto"/>
                                        <w:left w:val="none" w:sz="0" w:space="0" w:color="auto"/>
                                        <w:bottom w:val="none" w:sz="0" w:space="0" w:color="auto"/>
                                        <w:right w:val="none" w:sz="0" w:space="0" w:color="auto"/>
                                      </w:divBdr>
                                      <w:divsChild>
                                        <w:div w:id="1459303556">
                                          <w:marLeft w:val="0"/>
                                          <w:marRight w:val="0"/>
                                          <w:marTop w:val="0"/>
                                          <w:marBottom w:val="0"/>
                                          <w:divBdr>
                                            <w:top w:val="none" w:sz="0" w:space="0" w:color="auto"/>
                                            <w:left w:val="none" w:sz="0" w:space="0" w:color="auto"/>
                                            <w:bottom w:val="none" w:sz="0" w:space="0" w:color="auto"/>
                                            <w:right w:val="none" w:sz="0" w:space="0" w:color="auto"/>
                                          </w:divBdr>
                                        </w:div>
                                        <w:div w:id="679357279">
                                          <w:marLeft w:val="0"/>
                                          <w:marRight w:val="0"/>
                                          <w:marTop w:val="0"/>
                                          <w:marBottom w:val="0"/>
                                          <w:divBdr>
                                            <w:top w:val="none" w:sz="0" w:space="0" w:color="auto"/>
                                            <w:left w:val="none" w:sz="0" w:space="0" w:color="auto"/>
                                            <w:bottom w:val="none" w:sz="0" w:space="0" w:color="auto"/>
                                            <w:right w:val="none" w:sz="0" w:space="0" w:color="auto"/>
                                          </w:divBdr>
                                          <w:divsChild>
                                            <w:div w:id="22599471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019749">
      <w:bodyDiv w:val="1"/>
      <w:marLeft w:val="0"/>
      <w:marRight w:val="0"/>
      <w:marTop w:val="0"/>
      <w:marBottom w:val="0"/>
      <w:divBdr>
        <w:top w:val="none" w:sz="0" w:space="0" w:color="auto"/>
        <w:left w:val="none" w:sz="0" w:space="0" w:color="auto"/>
        <w:bottom w:val="none" w:sz="0" w:space="0" w:color="auto"/>
        <w:right w:val="none" w:sz="0" w:space="0" w:color="auto"/>
      </w:divBdr>
      <w:divsChild>
        <w:div w:id="1117289275">
          <w:marLeft w:val="0"/>
          <w:marRight w:val="0"/>
          <w:marTop w:val="0"/>
          <w:marBottom w:val="0"/>
          <w:divBdr>
            <w:top w:val="single" w:sz="6" w:space="0" w:color="0E477A"/>
            <w:left w:val="single" w:sz="6" w:space="0" w:color="0E477A"/>
            <w:bottom w:val="single" w:sz="6" w:space="0" w:color="0E477A"/>
            <w:right w:val="single" w:sz="6" w:space="0" w:color="0E477A"/>
          </w:divBdr>
          <w:divsChild>
            <w:div w:id="414667490">
              <w:marLeft w:val="2925"/>
              <w:marRight w:val="0"/>
              <w:marTop w:val="0"/>
              <w:marBottom w:val="0"/>
              <w:divBdr>
                <w:top w:val="none" w:sz="0" w:space="0" w:color="auto"/>
                <w:left w:val="none" w:sz="0" w:space="0" w:color="auto"/>
                <w:bottom w:val="none" w:sz="0" w:space="0" w:color="auto"/>
                <w:right w:val="none" w:sz="0" w:space="0" w:color="auto"/>
              </w:divBdr>
              <w:divsChild>
                <w:div w:id="2032367355">
                  <w:marLeft w:val="0"/>
                  <w:marRight w:val="0"/>
                  <w:marTop w:val="0"/>
                  <w:marBottom w:val="0"/>
                  <w:divBdr>
                    <w:top w:val="none" w:sz="0" w:space="0" w:color="auto"/>
                    <w:left w:val="none" w:sz="0" w:space="0" w:color="auto"/>
                    <w:bottom w:val="none" w:sz="0" w:space="0" w:color="auto"/>
                    <w:right w:val="none" w:sz="0" w:space="0" w:color="auto"/>
                  </w:divBdr>
                  <w:divsChild>
                    <w:div w:id="382487657">
                      <w:marLeft w:val="0"/>
                      <w:marRight w:val="150"/>
                      <w:marTop w:val="0"/>
                      <w:marBottom w:val="0"/>
                      <w:divBdr>
                        <w:top w:val="single" w:sz="6" w:space="0" w:color="CCCCCC"/>
                        <w:left w:val="single" w:sz="6" w:space="8" w:color="CCCCCC"/>
                        <w:bottom w:val="single" w:sz="6" w:space="8" w:color="CCCCCC"/>
                        <w:right w:val="single" w:sz="6" w:space="8" w:color="CCCCCC"/>
                      </w:divBdr>
                      <w:divsChild>
                        <w:div w:id="851140411">
                          <w:marLeft w:val="0"/>
                          <w:marRight w:val="0"/>
                          <w:marTop w:val="0"/>
                          <w:marBottom w:val="0"/>
                          <w:divBdr>
                            <w:top w:val="none" w:sz="0" w:space="0" w:color="auto"/>
                            <w:left w:val="none" w:sz="0" w:space="0" w:color="auto"/>
                            <w:bottom w:val="none" w:sz="0" w:space="0" w:color="auto"/>
                            <w:right w:val="none" w:sz="0" w:space="0" w:color="auto"/>
                          </w:divBdr>
                        </w:div>
                        <w:div w:id="1978144119">
                          <w:marLeft w:val="0"/>
                          <w:marRight w:val="0"/>
                          <w:marTop w:val="0"/>
                          <w:marBottom w:val="0"/>
                          <w:divBdr>
                            <w:top w:val="none" w:sz="0" w:space="0" w:color="auto"/>
                            <w:left w:val="none" w:sz="0" w:space="0" w:color="auto"/>
                            <w:bottom w:val="none" w:sz="0" w:space="0" w:color="auto"/>
                            <w:right w:val="none" w:sz="0" w:space="0" w:color="auto"/>
                          </w:divBdr>
                        </w:div>
                        <w:div w:id="9918642">
                          <w:marLeft w:val="0"/>
                          <w:marRight w:val="0"/>
                          <w:marTop w:val="0"/>
                          <w:marBottom w:val="0"/>
                          <w:divBdr>
                            <w:top w:val="none" w:sz="0" w:space="0" w:color="auto"/>
                            <w:left w:val="none" w:sz="0" w:space="0" w:color="auto"/>
                            <w:bottom w:val="none" w:sz="0" w:space="0" w:color="auto"/>
                            <w:right w:val="none" w:sz="0" w:space="0" w:color="auto"/>
                          </w:divBdr>
                        </w:div>
                        <w:div w:id="1066106635">
                          <w:marLeft w:val="0"/>
                          <w:marRight w:val="0"/>
                          <w:marTop w:val="0"/>
                          <w:marBottom w:val="0"/>
                          <w:divBdr>
                            <w:top w:val="none" w:sz="0" w:space="0" w:color="auto"/>
                            <w:left w:val="none" w:sz="0" w:space="0" w:color="auto"/>
                            <w:bottom w:val="none" w:sz="0" w:space="0" w:color="auto"/>
                            <w:right w:val="none" w:sz="0" w:space="0" w:color="auto"/>
                          </w:divBdr>
                        </w:div>
                        <w:div w:id="77748513">
                          <w:marLeft w:val="0"/>
                          <w:marRight w:val="0"/>
                          <w:marTop w:val="0"/>
                          <w:marBottom w:val="0"/>
                          <w:divBdr>
                            <w:top w:val="none" w:sz="0" w:space="0" w:color="auto"/>
                            <w:left w:val="none" w:sz="0" w:space="0" w:color="auto"/>
                            <w:bottom w:val="none" w:sz="0" w:space="0" w:color="auto"/>
                            <w:right w:val="none" w:sz="0" w:space="0" w:color="auto"/>
                          </w:divBdr>
                        </w:div>
                        <w:div w:id="2024281772">
                          <w:marLeft w:val="0"/>
                          <w:marRight w:val="0"/>
                          <w:marTop w:val="0"/>
                          <w:marBottom w:val="0"/>
                          <w:divBdr>
                            <w:top w:val="none" w:sz="0" w:space="0" w:color="auto"/>
                            <w:left w:val="none" w:sz="0" w:space="0" w:color="auto"/>
                            <w:bottom w:val="none" w:sz="0" w:space="0" w:color="auto"/>
                            <w:right w:val="none" w:sz="0" w:space="0" w:color="auto"/>
                          </w:divBdr>
                        </w:div>
                        <w:div w:id="1454059993">
                          <w:marLeft w:val="0"/>
                          <w:marRight w:val="0"/>
                          <w:marTop w:val="0"/>
                          <w:marBottom w:val="0"/>
                          <w:divBdr>
                            <w:top w:val="none" w:sz="0" w:space="0" w:color="auto"/>
                            <w:left w:val="none" w:sz="0" w:space="0" w:color="auto"/>
                            <w:bottom w:val="none" w:sz="0" w:space="0" w:color="auto"/>
                            <w:right w:val="none" w:sz="0" w:space="0" w:color="auto"/>
                          </w:divBdr>
                        </w:div>
                        <w:div w:id="1712411905">
                          <w:marLeft w:val="0"/>
                          <w:marRight w:val="0"/>
                          <w:marTop w:val="0"/>
                          <w:marBottom w:val="0"/>
                          <w:divBdr>
                            <w:top w:val="none" w:sz="0" w:space="0" w:color="auto"/>
                            <w:left w:val="none" w:sz="0" w:space="0" w:color="auto"/>
                            <w:bottom w:val="none" w:sz="0" w:space="0" w:color="auto"/>
                            <w:right w:val="none" w:sz="0" w:space="0" w:color="auto"/>
                          </w:divBdr>
                        </w:div>
                        <w:div w:id="928078116">
                          <w:marLeft w:val="0"/>
                          <w:marRight w:val="0"/>
                          <w:marTop w:val="0"/>
                          <w:marBottom w:val="0"/>
                          <w:divBdr>
                            <w:top w:val="none" w:sz="0" w:space="0" w:color="auto"/>
                            <w:left w:val="none" w:sz="0" w:space="0" w:color="auto"/>
                            <w:bottom w:val="none" w:sz="0" w:space="0" w:color="auto"/>
                            <w:right w:val="none" w:sz="0" w:space="0" w:color="auto"/>
                          </w:divBdr>
                        </w:div>
                        <w:div w:id="18383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096264">
      <w:bodyDiv w:val="1"/>
      <w:marLeft w:val="0"/>
      <w:marRight w:val="0"/>
      <w:marTop w:val="0"/>
      <w:marBottom w:val="0"/>
      <w:divBdr>
        <w:top w:val="none" w:sz="0" w:space="0" w:color="auto"/>
        <w:left w:val="none" w:sz="0" w:space="0" w:color="auto"/>
        <w:bottom w:val="none" w:sz="0" w:space="0" w:color="auto"/>
        <w:right w:val="none" w:sz="0" w:space="0" w:color="auto"/>
      </w:divBdr>
      <w:divsChild>
        <w:div w:id="107311540">
          <w:marLeft w:val="0"/>
          <w:marRight w:val="0"/>
          <w:marTop w:val="0"/>
          <w:marBottom w:val="0"/>
          <w:divBdr>
            <w:top w:val="none" w:sz="0" w:space="0" w:color="auto"/>
            <w:left w:val="none" w:sz="0" w:space="0" w:color="auto"/>
            <w:bottom w:val="none" w:sz="0" w:space="0" w:color="auto"/>
            <w:right w:val="none" w:sz="0" w:space="0" w:color="auto"/>
          </w:divBdr>
          <w:divsChild>
            <w:div w:id="1565405791">
              <w:marLeft w:val="0"/>
              <w:marRight w:val="0"/>
              <w:marTop w:val="0"/>
              <w:marBottom w:val="0"/>
              <w:divBdr>
                <w:top w:val="none" w:sz="0" w:space="0" w:color="auto"/>
                <w:left w:val="none" w:sz="0" w:space="0" w:color="auto"/>
                <w:bottom w:val="none" w:sz="0" w:space="0" w:color="auto"/>
                <w:right w:val="none" w:sz="0" w:space="0" w:color="auto"/>
              </w:divBdr>
              <w:divsChild>
                <w:div w:id="1155610423">
                  <w:marLeft w:val="0"/>
                  <w:marRight w:val="0"/>
                  <w:marTop w:val="0"/>
                  <w:marBottom w:val="0"/>
                  <w:divBdr>
                    <w:top w:val="none" w:sz="0" w:space="0" w:color="auto"/>
                    <w:left w:val="none" w:sz="0" w:space="0" w:color="auto"/>
                    <w:bottom w:val="none" w:sz="0" w:space="0" w:color="auto"/>
                    <w:right w:val="none" w:sz="0" w:space="0" w:color="auto"/>
                  </w:divBdr>
                  <w:divsChild>
                    <w:div w:id="1552692990">
                      <w:marLeft w:val="0"/>
                      <w:marRight w:val="0"/>
                      <w:marTop w:val="0"/>
                      <w:marBottom w:val="0"/>
                      <w:divBdr>
                        <w:top w:val="none" w:sz="0" w:space="0" w:color="auto"/>
                        <w:left w:val="none" w:sz="0" w:space="0" w:color="auto"/>
                        <w:bottom w:val="none" w:sz="0" w:space="0" w:color="auto"/>
                        <w:right w:val="none" w:sz="0" w:space="0" w:color="auto"/>
                      </w:divBdr>
                      <w:divsChild>
                        <w:div w:id="1579359523">
                          <w:marLeft w:val="0"/>
                          <w:marRight w:val="0"/>
                          <w:marTop w:val="0"/>
                          <w:marBottom w:val="0"/>
                          <w:divBdr>
                            <w:top w:val="none" w:sz="0" w:space="0" w:color="auto"/>
                            <w:left w:val="none" w:sz="0" w:space="0" w:color="auto"/>
                            <w:bottom w:val="none" w:sz="0" w:space="0" w:color="auto"/>
                            <w:right w:val="none" w:sz="0" w:space="0" w:color="auto"/>
                          </w:divBdr>
                          <w:divsChild>
                            <w:div w:id="1657417744">
                              <w:marLeft w:val="0"/>
                              <w:marRight w:val="0"/>
                              <w:marTop w:val="0"/>
                              <w:marBottom w:val="0"/>
                              <w:divBdr>
                                <w:top w:val="none" w:sz="0" w:space="0" w:color="auto"/>
                                <w:left w:val="none" w:sz="0" w:space="0" w:color="auto"/>
                                <w:bottom w:val="none" w:sz="0" w:space="0" w:color="auto"/>
                                <w:right w:val="none" w:sz="0" w:space="0" w:color="auto"/>
                              </w:divBdr>
                              <w:divsChild>
                                <w:div w:id="1143037220">
                                  <w:marLeft w:val="0"/>
                                  <w:marRight w:val="0"/>
                                  <w:marTop w:val="0"/>
                                  <w:marBottom w:val="0"/>
                                  <w:divBdr>
                                    <w:top w:val="none" w:sz="0" w:space="0" w:color="auto"/>
                                    <w:left w:val="none" w:sz="0" w:space="0" w:color="auto"/>
                                    <w:bottom w:val="none" w:sz="0" w:space="0" w:color="auto"/>
                                    <w:right w:val="none" w:sz="0" w:space="0" w:color="auto"/>
                                  </w:divBdr>
                                  <w:divsChild>
                                    <w:div w:id="1477801267">
                                      <w:marLeft w:val="0"/>
                                      <w:marRight w:val="0"/>
                                      <w:marTop w:val="0"/>
                                      <w:marBottom w:val="0"/>
                                      <w:divBdr>
                                        <w:top w:val="none" w:sz="0" w:space="0" w:color="auto"/>
                                        <w:left w:val="none" w:sz="0" w:space="0" w:color="auto"/>
                                        <w:bottom w:val="none" w:sz="0" w:space="0" w:color="auto"/>
                                        <w:right w:val="none" w:sz="0" w:space="0" w:color="auto"/>
                                      </w:divBdr>
                                      <w:divsChild>
                                        <w:div w:id="1241797350">
                                          <w:marLeft w:val="0"/>
                                          <w:marRight w:val="0"/>
                                          <w:marTop w:val="0"/>
                                          <w:marBottom w:val="0"/>
                                          <w:divBdr>
                                            <w:top w:val="none" w:sz="0" w:space="0" w:color="auto"/>
                                            <w:left w:val="none" w:sz="0" w:space="0" w:color="auto"/>
                                            <w:bottom w:val="none" w:sz="0" w:space="0" w:color="auto"/>
                                            <w:right w:val="none" w:sz="0" w:space="0" w:color="auto"/>
                                          </w:divBdr>
                                          <w:divsChild>
                                            <w:div w:id="470440921">
                                              <w:marLeft w:val="0"/>
                                              <w:marRight w:val="0"/>
                                              <w:marTop w:val="0"/>
                                              <w:marBottom w:val="0"/>
                                              <w:divBdr>
                                                <w:top w:val="none" w:sz="0" w:space="0" w:color="auto"/>
                                                <w:left w:val="none" w:sz="0" w:space="0" w:color="auto"/>
                                                <w:bottom w:val="none" w:sz="0" w:space="0" w:color="auto"/>
                                                <w:right w:val="none" w:sz="0" w:space="0" w:color="auto"/>
                                              </w:divBdr>
                                              <w:divsChild>
                                                <w:div w:id="1728994024">
                                                  <w:marLeft w:val="0"/>
                                                  <w:marRight w:val="0"/>
                                                  <w:marTop w:val="0"/>
                                                  <w:marBottom w:val="0"/>
                                                  <w:divBdr>
                                                    <w:top w:val="none" w:sz="0" w:space="0" w:color="auto"/>
                                                    <w:left w:val="none" w:sz="0" w:space="0" w:color="auto"/>
                                                    <w:bottom w:val="none" w:sz="0" w:space="0" w:color="auto"/>
                                                    <w:right w:val="none" w:sz="0" w:space="0" w:color="auto"/>
                                                  </w:divBdr>
                                                  <w:divsChild>
                                                    <w:div w:id="1459294849">
                                                      <w:marLeft w:val="0"/>
                                                      <w:marRight w:val="0"/>
                                                      <w:marTop w:val="0"/>
                                                      <w:marBottom w:val="0"/>
                                                      <w:divBdr>
                                                        <w:top w:val="none" w:sz="0" w:space="0" w:color="auto"/>
                                                        <w:left w:val="none" w:sz="0" w:space="0" w:color="auto"/>
                                                        <w:bottom w:val="none" w:sz="0" w:space="0" w:color="auto"/>
                                                        <w:right w:val="none" w:sz="0" w:space="0" w:color="auto"/>
                                                      </w:divBdr>
                                                      <w:divsChild>
                                                        <w:div w:id="464084282">
                                                          <w:marLeft w:val="0"/>
                                                          <w:marRight w:val="0"/>
                                                          <w:marTop w:val="0"/>
                                                          <w:marBottom w:val="0"/>
                                                          <w:divBdr>
                                                            <w:top w:val="none" w:sz="0" w:space="0" w:color="auto"/>
                                                            <w:left w:val="none" w:sz="0" w:space="0" w:color="auto"/>
                                                            <w:bottom w:val="none" w:sz="0" w:space="0" w:color="auto"/>
                                                            <w:right w:val="none" w:sz="0" w:space="0" w:color="auto"/>
                                                          </w:divBdr>
                                                        </w:div>
                                                        <w:div w:id="559366011">
                                                          <w:marLeft w:val="0"/>
                                                          <w:marRight w:val="0"/>
                                                          <w:marTop w:val="0"/>
                                                          <w:marBottom w:val="0"/>
                                                          <w:divBdr>
                                                            <w:top w:val="none" w:sz="0" w:space="0" w:color="auto"/>
                                                            <w:left w:val="none" w:sz="0" w:space="0" w:color="auto"/>
                                                            <w:bottom w:val="none" w:sz="0" w:space="0" w:color="auto"/>
                                                            <w:right w:val="none" w:sz="0" w:space="0" w:color="auto"/>
                                                          </w:divBdr>
                                                          <w:divsChild>
                                                            <w:div w:id="653142798">
                                                              <w:marLeft w:val="0"/>
                                                              <w:marRight w:val="0"/>
                                                              <w:marTop w:val="0"/>
                                                              <w:marBottom w:val="0"/>
                                                              <w:divBdr>
                                                                <w:top w:val="none" w:sz="0" w:space="0" w:color="auto"/>
                                                                <w:left w:val="none" w:sz="0" w:space="0" w:color="auto"/>
                                                                <w:bottom w:val="none" w:sz="0" w:space="0" w:color="auto"/>
                                                                <w:right w:val="none" w:sz="0" w:space="0" w:color="auto"/>
                                                              </w:divBdr>
                                                            </w:div>
                                                            <w:div w:id="1308516006">
                                                              <w:marLeft w:val="0"/>
                                                              <w:marRight w:val="0"/>
                                                              <w:marTop w:val="0"/>
                                                              <w:marBottom w:val="0"/>
                                                              <w:divBdr>
                                                                <w:top w:val="none" w:sz="0" w:space="0" w:color="auto"/>
                                                                <w:left w:val="none" w:sz="0" w:space="0" w:color="auto"/>
                                                                <w:bottom w:val="none" w:sz="0" w:space="0" w:color="auto"/>
                                                                <w:right w:val="none" w:sz="0" w:space="0" w:color="auto"/>
                                                              </w:divBdr>
                                                            </w:div>
                                                          </w:divsChild>
                                                        </w:div>
                                                        <w:div w:id="1695501826">
                                                          <w:marLeft w:val="0"/>
                                                          <w:marRight w:val="0"/>
                                                          <w:marTop w:val="0"/>
                                                          <w:marBottom w:val="0"/>
                                                          <w:divBdr>
                                                            <w:top w:val="none" w:sz="0" w:space="0" w:color="auto"/>
                                                            <w:left w:val="none" w:sz="0" w:space="0" w:color="auto"/>
                                                            <w:bottom w:val="none" w:sz="0" w:space="0" w:color="auto"/>
                                                            <w:right w:val="none" w:sz="0" w:space="0" w:color="auto"/>
                                                          </w:divBdr>
                                                        </w:div>
                                                        <w:div w:id="2048597573">
                                                          <w:marLeft w:val="0"/>
                                                          <w:marRight w:val="0"/>
                                                          <w:marTop w:val="0"/>
                                                          <w:marBottom w:val="0"/>
                                                          <w:divBdr>
                                                            <w:top w:val="none" w:sz="0" w:space="0" w:color="auto"/>
                                                            <w:left w:val="none" w:sz="0" w:space="0" w:color="auto"/>
                                                            <w:bottom w:val="none" w:sz="0" w:space="0" w:color="auto"/>
                                                            <w:right w:val="none" w:sz="0" w:space="0" w:color="auto"/>
                                                          </w:divBdr>
                                                        </w:div>
                                                        <w:div w:id="1864441780">
                                                          <w:marLeft w:val="0"/>
                                                          <w:marRight w:val="0"/>
                                                          <w:marTop w:val="0"/>
                                                          <w:marBottom w:val="0"/>
                                                          <w:divBdr>
                                                            <w:top w:val="none" w:sz="0" w:space="0" w:color="auto"/>
                                                            <w:left w:val="none" w:sz="0" w:space="0" w:color="auto"/>
                                                            <w:bottom w:val="none" w:sz="0" w:space="0" w:color="auto"/>
                                                            <w:right w:val="none" w:sz="0" w:space="0" w:color="auto"/>
                                                          </w:divBdr>
                                                          <w:divsChild>
                                                            <w:div w:id="8986327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7862547">
      <w:bodyDiv w:val="1"/>
      <w:marLeft w:val="0"/>
      <w:marRight w:val="0"/>
      <w:marTop w:val="0"/>
      <w:marBottom w:val="0"/>
      <w:divBdr>
        <w:top w:val="none" w:sz="0" w:space="0" w:color="auto"/>
        <w:left w:val="none" w:sz="0" w:space="0" w:color="auto"/>
        <w:bottom w:val="none" w:sz="0" w:space="0" w:color="auto"/>
        <w:right w:val="none" w:sz="0" w:space="0" w:color="auto"/>
      </w:divBdr>
      <w:divsChild>
        <w:div w:id="1715156874">
          <w:marLeft w:val="0"/>
          <w:marRight w:val="0"/>
          <w:marTop w:val="0"/>
          <w:marBottom w:val="0"/>
          <w:divBdr>
            <w:top w:val="none" w:sz="0" w:space="0" w:color="auto"/>
            <w:left w:val="none" w:sz="0" w:space="0" w:color="auto"/>
            <w:bottom w:val="none" w:sz="0" w:space="0" w:color="auto"/>
            <w:right w:val="none" w:sz="0" w:space="0" w:color="auto"/>
          </w:divBdr>
        </w:div>
        <w:div w:id="1168793366">
          <w:marLeft w:val="0"/>
          <w:marRight w:val="0"/>
          <w:marTop w:val="0"/>
          <w:marBottom w:val="330"/>
          <w:divBdr>
            <w:top w:val="single" w:sz="6" w:space="0" w:color="FED9AF"/>
            <w:left w:val="none" w:sz="0" w:space="0" w:color="auto"/>
            <w:bottom w:val="single" w:sz="6" w:space="0" w:color="FED9AF"/>
            <w:right w:val="none" w:sz="0" w:space="0" w:color="auto"/>
          </w:divBdr>
        </w:div>
        <w:div w:id="461196004">
          <w:marLeft w:val="0"/>
          <w:marRight w:val="0"/>
          <w:marTop w:val="0"/>
          <w:marBottom w:val="0"/>
          <w:divBdr>
            <w:top w:val="none" w:sz="0" w:space="0" w:color="auto"/>
            <w:left w:val="none" w:sz="0" w:space="0" w:color="auto"/>
            <w:bottom w:val="none" w:sz="0" w:space="0" w:color="auto"/>
            <w:right w:val="none" w:sz="0" w:space="0" w:color="auto"/>
          </w:divBdr>
        </w:div>
      </w:divsChild>
    </w:div>
    <w:div w:id="828906588">
      <w:bodyDiv w:val="1"/>
      <w:marLeft w:val="0"/>
      <w:marRight w:val="0"/>
      <w:marTop w:val="0"/>
      <w:marBottom w:val="0"/>
      <w:divBdr>
        <w:top w:val="none" w:sz="0" w:space="0" w:color="auto"/>
        <w:left w:val="none" w:sz="0" w:space="0" w:color="auto"/>
        <w:bottom w:val="none" w:sz="0" w:space="0" w:color="auto"/>
        <w:right w:val="none" w:sz="0" w:space="0" w:color="auto"/>
      </w:divBdr>
    </w:div>
    <w:div w:id="829369543">
      <w:bodyDiv w:val="1"/>
      <w:marLeft w:val="0"/>
      <w:marRight w:val="0"/>
      <w:marTop w:val="0"/>
      <w:marBottom w:val="0"/>
      <w:divBdr>
        <w:top w:val="none" w:sz="0" w:space="0" w:color="auto"/>
        <w:left w:val="none" w:sz="0" w:space="0" w:color="auto"/>
        <w:bottom w:val="none" w:sz="0" w:space="0" w:color="auto"/>
        <w:right w:val="none" w:sz="0" w:space="0" w:color="auto"/>
      </w:divBdr>
      <w:divsChild>
        <w:div w:id="1328170464">
          <w:marLeft w:val="0"/>
          <w:marRight w:val="0"/>
          <w:marTop w:val="0"/>
          <w:marBottom w:val="0"/>
          <w:divBdr>
            <w:top w:val="none" w:sz="0" w:space="0" w:color="auto"/>
            <w:left w:val="none" w:sz="0" w:space="0" w:color="auto"/>
            <w:bottom w:val="none" w:sz="0" w:space="0" w:color="auto"/>
            <w:right w:val="none" w:sz="0" w:space="0" w:color="auto"/>
          </w:divBdr>
          <w:divsChild>
            <w:div w:id="2141335310">
              <w:marLeft w:val="0"/>
              <w:marRight w:val="0"/>
              <w:marTop w:val="0"/>
              <w:marBottom w:val="0"/>
              <w:divBdr>
                <w:top w:val="none" w:sz="0" w:space="0" w:color="auto"/>
                <w:left w:val="none" w:sz="0" w:space="0" w:color="auto"/>
                <w:bottom w:val="none" w:sz="0" w:space="0" w:color="auto"/>
                <w:right w:val="none" w:sz="0" w:space="0" w:color="auto"/>
              </w:divBdr>
              <w:divsChild>
                <w:div w:id="2040087600">
                  <w:marLeft w:val="0"/>
                  <w:marRight w:val="0"/>
                  <w:marTop w:val="0"/>
                  <w:marBottom w:val="0"/>
                  <w:divBdr>
                    <w:top w:val="none" w:sz="0" w:space="0" w:color="auto"/>
                    <w:left w:val="none" w:sz="0" w:space="0" w:color="auto"/>
                    <w:bottom w:val="none" w:sz="0" w:space="0" w:color="auto"/>
                    <w:right w:val="none" w:sz="0" w:space="0" w:color="auto"/>
                  </w:divBdr>
                  <w:divsChild>
                    <w:div w:id="1620331281">
                      <w:marLeft w:val="0"/>
                      <w:marRight w:val="0"/>
                      <w:marTop w:val="0"/>
                      <w:marBottom w:val="0"/>
                      <w:divBdr>
                        <w:top w:val="none" w:sz="0" w:space="0" w:color="auto"/>
                        <w:left w:val="none" w:sz="0" w:space="0" w:color="auto"/>
                        <w:bottom w:val="none" w:sz="0" w:space="0" w:color="auto"/>
                        <w:right w:val="none" w:sz="0" w:space="0" w:color="auto"/>
                      </w:divBdr>
                      <w:divsChild>
                        <w:div w:id="834152453">
                          <w:marLeft w:val="570"/>
                          <w:marRight w:val="720"/>
                          <w:marTop w:val="120"/>
                          <w:marBottom w:val="120"/>
                          <w:divBdr>
                            <w:top w:val="none" w:sz="0" w:space="0" w:color="auto"/>
                            <w:left w:val="none" w:sz="0" w:space="0" w:color="auto"/>
                            <w:bottom w:val="none" w:sz="0" w:space="0" w:color="auto"/>
                            <w:right w:val="none" w:sz="0" w:space="0" w:color="auto"/>
                          </w:divBdr>
                          <w:divsChild>
                            <w:div w:id="241642203">
                              <w:marLeft w:val="0"/>
                              <w:marRight w:val="0"/>
                              <w:marTop w:val="0"/>
                              <w:marBottom w:val="0"/>
                              <w:divBdr>
                                <w:top w:val="none" w:sz="0" w:space="0" w:color="auto"/>
                                <w:left w:val="none" w:sz="0" w:space="0" w:color="auto"/>
                                <w:bottom w:val="none" w:sz="0" w:space="0" w:color="auto"/>
                                <w:right w:val="none" w:sz="0" w:space="0" w:color="auto"/>
                              </w:divBdr>
                              <w:divsChild>
                                <w:div w:id="2093769895">
                                  <w:marLeft w:val="0"/>
                                  <w:marRight w:val="0"/>
                                  <w:marTop w:val="0"/>
                                  <w:marBottom w:val="0"/>
                                  <w:divBdr>
                                    <w:top w:val="none" w:sz="0" w:space="0" w:color="auto"/>
                                    <w:left w:val="none" w:sz="0" w:space="0" w:color="auto"/>
                                    <w:bottom w:val="none" w:sz="0" w:space="0" w:color="auto"/>
                                    <w:right w:val="none" w:sz="0" w:space="0" w:color="auto"/>
                                  </w:divBdr>
                                  <w:divsChild>
                                    <w:div w:id="1579048906">
                                      <w:marLeft w:val="0"/>
                                      <w:marRight w:val="0"/>
                                      <w:marTop w:val="0"/>
                                      <w:marBottom w:val="0"/>
                                      <w:divBdr>
                                        <w:top w:val="none" w:sz="0" w:space="0" w:color="auto"/>
                                        <w:left w:val="none" w:sz="0" w:space="0" w:color="auto"/>
                                        <w:bottom w:val="none" w:sz="0" w:space="0" w:color="auto"/>
                                        <w:right w:val="none" w:sz="0" w:space="0" w:color="auto"/>
                                      </w:divBdr>
                                      <w:divsChild>
                                        <w:div w:id="1569730919">
                                          <w:marLeft w:val="0"/>
                                          <w:marRight w:val="0"/>
                                          <w:marTop w:val="0"/>
                                          <w:marBottom w:val="0"/>
                                          <w:divBdr>
                                            <w:top w:val="none" w:sz="0" w:space="0" w:color="auto"/>
                                            <w:left w:val="none" w:sz="0" w:space="0" w:color="auto"/>
                                            <w:bottom w:val="none" w:sz="0" w:space="0" w:color="auto"/>
                                            <w:right w:val="none" w:sz="0" w:space="0" w:color="auto"/>
                                          </w:divBdr>
                                          <w:divsChild>
                                            <w:div w:id="16063844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264243">
      <w:bodyDiv w:val="1"/>
      <w:marLeft w:val="0"/>
      <w:marRight w:val="0"/>
      <w:marTop w:val="0"/>
      <w:marBottom w:val="0"/>
      <w:divBdr>
        <w:top w:val="none" w:sz="0" w:space="0" w:color="auto"/>
        <w:left w:val="none" w:sz="0" w:space="0" w:color="auto"/>
        <w:bottom w:val="none" w:sz="0" w:space="0" w:color="auto"/>
        <w:right w:val="none" w:sz="0" w:space="0" w:color="auto"/>
      </w:divBdr>
      <w:divsChild>
        <w:div w:id="1284070471">
          <w:marLeft w:val="0"/>
          <w:marRight w:val="0"/>
          <w:marTop w:val="0"/>
          <w:marBottom w:val="0"/>
          <w:divBdr>
            <w:top w:val="none" w:sz="0" w:space="0" w:color="auto"/>
            <w:left w:val="single" w:sz="6" w:space="15" w:color="B4B4B4"/>
            <w:bottom w:val="single" w:sz="6" w:space="0" w:color="B4B4B4"/>
            <w:right w:val="single" w:sz="6" w:space="15" w:color="B4B4B4"/>
          </w:divBdr>
          <w:divsChild>
            <w:div w:id="237792656">
              <w:marLeft w:val="0"/>
              <w:marRight w:val="0"/>
              <w:marTop w:val="0"/>
              <w:marBottom w:val="0"/>
              <w:divBdr>
                <w:top w:val="none" w:sz="0" w:space="0" w:color="auto"/>
                <w:left w:val="none" w:sz="0" w:space="0" w:color="auto"/>
                <w:bottom w:val="none" w:sz="0" w:space="0" w:color="auto"/>
                <w:right w:val="none" w:sz="0" w:space="0" w:color="auto"/>
              </w:divBdr>
              <w:divsChild>
                <w:div w:id="874731320">
                  <w:marLeft w:val="-300"/>
                  <w:marRight w:val="0"/>
                  <w:marTop w:val="0"/>
                  <w:marBottom w:val="0"/>
                  <w:divBdr>
                    <w:top w:val="none" w:sz="0" w:space="0" w:color="auto"/>
                    <w:left w:val="none" w:sz="0" w:space="0" w:color="auto"/>
                    <w:bottom w:val="none" w:sz="0" w:space="0" w:color="auto"/>
                    <w:right w:val="none" w:sz="0" w:space="0" w:color="auto"/>
                  </w:divBdr>
                  <w:divsChild>
                    <w:div w:id="1352418727">
                      <w:marLeft w:val="0"/>
                      <w:marRight w:val="0"/>
                      <w:marTop w:val="0"/>
                      <w:marBottom w:val="0"/>
                      <w:divBdr>
                        <w:top w:val="none" w:sz="0" w:space="0" w:color="auto"/>
                        <w:left w:val="none" w:sz="0" w:space="0" w:color="auto"/>
                        <w:bottom w:val="none" w:sz="0" w:space="0" w:color="auto"/>
                        <w:right w:val="none" w:sz="0" w:space="0" w:color="auto"/>
                      </w:divBdr>
                      <w:divsChild>
                        <w:div w:id="348606815">
                          <w:marLeft w:val="-300"/>
                          <w:marRight w:val="0"/>
                          <w:marTop w:val="0"/>
                          <w:marBottom w:val="0"/>
                          <w:divBdr>
                            <w:top w:val="none" w:sz="0" w:space="0" w:color="auto"/>
                            <w:left w:val="none" w:sz="0" w:space="0" w:color="auto"/>
                            <w:bottom w:val="none" w:sz="0" w:space="0" w:color="auto"/>
                            <w:right w:val="none" w:sz="0" w:space="0" w:color="auto"/>
                          </w:divBdr>
                          <w:divsChild>
                            <w:div w:id="1492216036">
                              <w:marLeft w:val="0"/>
                              <w:marRight w:val="0"/>
                              <w:marTop w:val="0"/>
                              <w:marBottom w:val="0"/>
                              <w:divBdr>
                                <w:top w:val="none" w:sz="0" w:space="0" w:color="auto"/>
                                <w:left w:val="none" w:sz="0" w:space="0" w:color="auto"/>
                                <w:bottom w:val="none" w:sz="0" w:space="0" w:color="auto"/>
                                <w:right w:val="none" w:sz="0" w:space="0" w:color="auto"/>
                              </w:divBdr>
                              <w:divsChild>
                                <w:div w:id="1924483193">
                                  <w:marLeft w:val="0"/>
                                  <w:marRight w:val="0"/>
                                  <w:marTop w:val="0"/>
                                  <w:marBottom w:val="0"/>
                                  <w:divBdr>
                                    <w:top w:val="none" w:sz="0" w:space="0" w:color="auto"/>
                                    <w:left w:val="none" w:sz="0" w:space="0" w:color="auto"/>
                                    <w:bottom w:val="none" w:sz="0" w:space="0" w:color="auto"/>
                                    <w:right w:val="none" w:sz="0" w:space="0" w:color="auto"/>
                                  </w:divBdr>
                                  <w:divsChild>
                                    <w:div w:id="37219515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832183840">
      <w:bodyDiv w:val="1"/>
      <w:marLeft w:val="0"/>
      <w:marRight w:val="0"/>
      <w:marTop w:val="0"/>
      <w:marBottom w:val="0"/>
      <w:divBdr>
        <w:top w:val="none" w:sz="0" w:space="0" w:color="auto"/>
        <w:left w:val="none" w:sz="0" w:space="0" w:color="auto"/>
        <w:bottom w:val="none" w:sz="0" w:space="0" w:color="auto"/>
        <w:right w:val="none" w:sz="0" w:space="0" w:color="auto"/>
      </w:divBdr>
      <w:divsChild>
        <w:div w:id="434137273">
          <w:marLeft w:val="0"/>
          <w:marRight w:val="0"/>
          <w:marTop w:val="0"/>
          <w:marBottom w:val="0"/>
          <w:divBdr>
            <w:top w:val="none" w:sz="0" w:space="0" w:color="auto"/>
            <w:left w:val="none" w:sz="0" w:space="0" w:color="auto"/>
            <w:bottom w:val="none" w:sz="0" w:space="0" w:color="auto"/>
            <w:right w:val="none" w:sz="0" w:space="0" w:color="auto"/>
          </w:divBdr>
          <w:divsChild>
            <w:div w:id="2009822720">
              <w:marLeft w:val="0"/>
              <w:marRight w:val="0"/>
              <w:marTop w:val="0"/>
              <w:marBottom w:val="0"/>
              <w:divBdr>
                <w:top w:val="none" w:sz="0" w:space="0" w:color="auto"/>
                <w:left w:val="none" w:sz="0" w:space="0" w:color="auto"/>
                <w:bottom w:val="none" w:sz="0" w:space="0" w:color="auto"/>
                <w:right w:val="none" w:sz="0" w:space="0" w:color="auto"/>
              </w:divBdr>
              <w:divsChild>
                <w:div w:id="1577321302">
                  <w:marLeft w:val="0"/>
                  <w:marRight w:val="0"/>
                  <w:marTop w:val="0"/>
                  <w:marBottom w:val="0"/>
                  <w:divBdr>
                    <w:top w:val="none" w:sz="0" w:space="0" w:color="auto"/>
                    <w:left w:val="none" w:sz="0" w:space="0" w:color="auto"/>
                    <w:bottom w:val="none" w:sz="0" w:space="0" w:color="auto"/>
                    <w:right w:val="none" w:sz="0" w:space="0" w:color="auto"/>
                  </w:divBdr>
                  <w:divsChild>
                    <w:div w:id="1250314177">
                      <w:marLeft w:val="0"/>
                      <w:marRight w:val="0"/>
                      <w:marTop w:val="0"/>
                      <w:marBottom w:val="0"/>
                      <w:divBdr>
                        <w:top w:val="none" w:sz="0" w:space="0" w:color="auto"/>
                        <w:left w:val="none" w:sz="0" w:space="0" w:color="auto"/>
                        <w:bottom w:val="none" w:sz="0" w:space="0" w:color="auto"/>
                        <w:right w:val="none" w:sz="0" w:space="0" w:color="auto"/>
                      </w:divBdr>
                      <w:divsChild>
                        <w:div w:id="7970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80991">
      <w:bodyDiv w:val="1"/>
      <w:marLeft w:val="0"/>
      <w:marRight w:val="0"/>
      <w:marTop w:val="0"/>
      <w:marBottom w:val="0"/>
      <w:divBdr>
        <w:top w:val="none" w:sz="0" w:space="0" w:color="auto"/>
        <w:left w:val="none" w:sz="0" w:space="0" w:color="auto"/>
        <w:bottom w:val="none" w:sz="0" w:space="0" w:color="auto"/>
        <w:right w:val="none" w:sz="0" w:space="0" w:color="auto"/>
      </w:divBdr>
      <w:divsChild>
        <w:div w:id="2095734388">
          <w:marLeft w:val="0"/>
          <w:marRight w:val="0"/>
          <w:marTop w:val="0"/>
          <w:marBottom w:val="0"/>
          <w:divBdr>
            <w:top w:val="none" w:sz="0" w:space="0" w:color="auto"/>
            <w:left w:val="none" w:sz="0" w:space="0" w:color="auto"/>
            <w:bottom w:val="none" w:sz="0" w:space="0" w:color="auto"/>
            <w:right w:val="none" w:sz="0" w:space="0" w:color="auto"/>
          </w:divBdr>
          <w:divsChild>
            <w:div w:id="1746343781">
              <w:marLeft w:val="0"/>
              <w:marRight w:val="0"/>
              <w:marTop w:val="0"/>
              <w:marBottom w:val="0"/>
              <w:divBdr>
                <w:top w:val="none" w:sz="0" w:space="0" w:color="auto"/>
                <w:left w:val="none" w:sz="0" w:space="0" w:color="auto"/>
                <w:bottom w:val="none" w:sz="0" w:space="0" w:color="auto"/>
                <w:right w:val="none" w:sz="0" w:space="0" w:color="auto"/>
              </w:divBdr>
              <w:divsChild>
                <w:div w:id="1935626682">
                  <w:marLeft w:val="0"/>
                  <w:marRight w:val="0"/>
                  <w:marTop w:val="0"/>
                  <w:marBottom w:val="0"/>
                  <w:divBdr>
                    <w:top w:val="none" w:sz="0" w:space="0" w:color="auto"/>
                    <w:left w:val="none" w:sz="0" w:space="0" w:color="auto"/>
                    <w:bottom w:val="none" w:sz="0" w:space="0" w:color="auto"/>
                    <w:right w:val="none" w:sz="0" w:space="0" w:color="auto"/>
                  </w:divBdr>
                  <w:divsChild>
                    <w:div w:id="1851917128">
                      <w:marLeft w:val="0"/>
                      <w:marRight w:val="0"/>
                      <w:marTop w:val="0"/>
                      <w:marBottom w:val="0"/>
                      <w:divBdr>
                        <w:top w:val="none" w:sz="0" w:space="0" w:color="auto"/>
                        <w:left w:val="none" w:sz="0" w:space="0" w:color="auto"/>
                        <w:bottom w:val="none" w:sz="0" w:space="0" w:color="auto"/>
                        <w:right w:val="none" w:sz="0" w:space="0" w:color="auto"/>
                      </w:divBdr>
                      <w:divsChild>
                        <w:div w:id="1774394553">
                          <w:marLeft w:val="0"/>
                          <w:marRight w:val="0"/>
                          <w:marTop w:val="0"/>
                          <w:marBottom w:val="0"/>
                          <w:divBdr>
                            <w:top w:val="none" w:sz="0" w:space="0" w:color="auto"/>
                            <w:left w:val="none" w:sz="0" w:space="0" w:color="auto"/>
                            <w:bottom w:val="none" w:sz="0" w:space="0" w:color="auto"/>
                            <w:right w:val="none" w:sz="0" w:space="0" w:color="auto"/>
                          </w:divBdr>
                          <w:divsChild>
                            <w:div w:id="1434014338">
                              <w:marLeft w:val="0"/>
                              <w:marRight w:val="0"/>
                              <w:marTop w:val="0"/>
                              <w:marBottom w:val="0"/>
                              <w:divBdr>
                                <w:top w:val="none" w:sz="0" w:space="0" w:color="auto"/>
                                <w:left w:val="none" w:sz="0" w:space="0" w:color="auto"/>
                                <w:bottom w:val="none" w:sz="0" w:space="0" w:color="auto"/>
                                <w:right w:val="none" w:sz="0" w:space="0" w:color="auto"/>
                              </w:divBdr>
                              <w:divsChild>
                                <w:div w:id="1030760026">
                                  <w:marLeft w:val="0"/>
                                  <w:marRight w:val="0"/>
                                  <w:marTop w:val="0"/>
                                  <w:marBottom w:val="0"/>
                                  <w:divBdr>
                                    <w:top w:val="none" w:sz="0" w:space="0" w:color="auto"/>
                                    <w:left w:val="none" w:sz="0" w:space="0" w:color="auto"/>
                                    <w:bottom w:val="none" w:sz="0" w:space="0" w:color="auto"/>
                                    <w:right w:val="none" w:sz="0" w:space="0" w:color="auto"/>
                                  </w:divBdr>
                                  <w:divsChild>
                                    <w:div w:id="804349961">
                                      <w:marLeft w:val="0"/>
                                      <w:marRight w:val="0"/>
                                      <w:marTop w:val="0"/>
                                      <w:marBottom w:val="0"/>
                                      <w:divBdr>
                                        <w:top w:val="none" w:sz="0" w:space="0" w:color="auto"/>
                                        <w:left w:val="none" w:sz="0" w:space="0" w:color="auto"/>
                                        <w:bottom w:val="none" w:sz="0" w:space="0" w:color="auto"/>
                                        <w:right w:val="none" w:sz="0" w:space="0" w:color="auto"/>
                                      </w:divBdr>
                                      <w:divsChild>
                                        <w:div w:id="18585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4010">
      <w:bodyDiv w:val="1"/>
      <w:marLeft w:val="0"/>
      <w:marRight w:val="0"/>
      <w:marTop w:val="0"/>
      <w:marBottom w:val="0"/>
      <w:divBdr>
        <w:top w:val="none" w:sz="0" w:space="0" w:color="auto"/>
        <w:left w:val="none" w:sz="0" w:space="0" w:color="auto"/>
        <w:bottom w:val="none" w:sz="0" w:space="0" w:color="auto"/>
        <w:right w:val="none" w:sz="0" w:space="0" w:color="auto"/>
      </w:divBdr>
      <w:divsChild>
        <w:div w:id="114755262">
          <w:marLeft w:val="0"/>
          <w:marRight w:val="0"/>
          <w:marTop w:val="0"/>
          <w:marBottom w:val="0"/>
          <w:divBdr>
            <w:top w:val="none" w:sz="0" w:space="0" w:color="auto"/>
            <w:left w:val="none" w:sz="0" w:space="0" w:color="auto"/>
            <w:bottom w:val="none" w:sz="0" w:space="0" w:color="auto"/>
            <w:right w:val="none" w:sz="0" w:space="0" w:color="auto"/>
          </w:divBdr>
          <w:divsChild>
            <w:div w:id="195242747">
              <w:marLeft w:val="0"/>
              <w:marRight w:val="0"/>
              <w:marTop w:val="0"/>
              <w:marBottom w:val="0"/>
              <w:divBdr>
                <w:top w:val="none" w:sz="0" w:space="0" w:color="auto"/>
                <w:left w:val="none" w:sz="0" w:space="0" w:color="auto"/>
                <w:bottom w:val="none" w:sz="0" w:space="0" w:color="auto"/>
                <w:right w:val="none" w:sz="0" w:space="0" w:color="auto"/>
              </w:divBdr>
              <w:divsChild>
                <w:div w:id="77556227">
                  <w:marLeft w:val="0"/>
                  <w:marRight w:val="0"/>
                  <w:marTop w:val="0"/>
                  <w:marBottom w:val="0"/>
                  <w:divBdr>
                    <w:top w:val="none" w:sz="0" w:space="0" w:color="auto"/>
                    <w:left w:val="none" w:sz="0" w:space="0" w:color="auto"/>
                    <w:bottom w:val="none" w:sz="0" w:space="0" w:color="auto"/>
                    <w:right w:val="none" w:sz="0" w:space="0" w:color="auto"/>
                  </w:divBdr>
                  <w:divsChild>
                    <w:div w:id="266734776">
                      <w:marLeft w:val="0"/>
                      <w:marRight w:val="0"/>
                      <w:marTop w:val="0"/>
                      <w:marBottom w:val="0"/>
                      <w:divBdr>
                        <w:top w:val="none" w:sz="0" w:space="0" w:color="auto"/>
                        <w:left w:val="none" w:sz="0" w:space="0" w:color="auto"/>
                        <w:bottom w:val="none" w:sz="0" w:space="0" w:color="auto"/>
                        <w:right w:val="single" w:sz="6" w:space="7" w:color="D1D2D0"/>
                      </w:divBdr>
                      <w:divsChild>
                        <w:div w:id="16049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147948">
      <w:bodyDiv w:val="1"/>
      <w:marLeft w:val="0"/>
      <w:marRight w:val="0"/>
      <w:marTop w:val="0"/>
      <w:marBottom w:val="0"/>
      <w:divBdr>
        <w:top w:val="none" w:sz="0" w:space="0" w:color="auto"/>
        <w:left w:val="none" w:sz="0" w:space="0" w:color="auto"/>
        <w:bottom w:val="none" w:sz="0" w:space="0" w:color="auto"/>
        <w:right w:val="none" w:sz="0" w:space="0" w:color="auto"/>
      </w:divBdr>
    </w:div>
    <w:div w:id="835531479">
      <w:bodyDiv w:val="1"/>
      <w:marLeft w:val="0"/>
      <w:marRight w:val="0"/>
      <w:marTop w:val="0"/>
      <w:marBottom w:val="0"/>
      <w:divBdr>
        <w:top w:val="none" w:sz="0" w:space="0" w:color="auto"/>
        <w:left w:val="none" w:sz="0" w:space="0" w:color="auto"/>
        <w:bottom w:val="none" w:sz="0" w:space="0" w:color="auto"/>
        <w:right w:val="none" w:sz="0" w:space="0" w:color="auto"/>
      </w:divBdr>
      <w:divsChild>
        <w:div w:id="2076317545">
          <w:marLeft w:val="0"/>
          <w:marRight w:val="0"/>
          <w:marTop w:val="0"/>
          <w:marBottom w:val="0"/>
          <w:divBdr>
            <w:top w:val="none" w:sz="0" w:space="0" w:color="auto"/>
            <w:left w:val="none" w:sz="0" w:space="0" w:color="auto"/>
            <w:bottom w:val="none" w:sz="0" w:space="0" w:color="auto"/>
            <w:right w:val="none" w:sz="0" w:space="0" w:color="auto"/>
          </w:divBdr>
          <w:divsChild>
            <w:div w:id="917399145">
              <w:marLeft w:val="0"/>
              <w:marRight w:val="0"/>
              <w:marTop w:val="0"/>
              <w:marBottom w:val="0"/>
              <w:divBdr>
                <w:top w:val="none" w:sz="0" w:space="0" w:color="auto"/>
                <w:left w:val="none" w:sz="0" w:space="0" w:color="auto"/>
                <w:bottom w:val="none" w:sz="0" w:space="0" w:color="auto"/>
                <w:right w:val="none" w:sz="0" w:space="0" w:color="auto"/>
              </w:divBdr>
              <w:divsChild>
                <w:div w:id="240484015">
                  <w:marLeft w:val="0"/>
                  <w:marRight w:val="0"/>
                  <w:marTop w:val="0"/>
                  <w:marBottom w:val="0"/>
                  <w:divBdr>
                    <w:top w:val="none" w:sz="0" w:space="0" w:color="auto"/>
                    <w:left w:val="none" w:sz="0" w:space="0" w:color="auto"/>
                    <w:bottom w:val="none" w:sz="0" w:space="0" w:color="auto"/>
                    <w:right w:val="none" w:sz="0" w:space="0" w:color="auto"/>
                  </w:divBdr>
                  <w:divsChild>
                    <w:div w:id="1820995261">
                      <w:marLeft w:val="0"/>
                      <w:marRight w:val="0"/>
                      <w:marTop w:val="300"/>
                      <w:marBottom w:val="600"/>
                      <w:divBdr>
                        <w:top w:val="none" w:sz="0" w:space="0" w:color="auto"/>
                        <w:left w:val="none" w:sz="0" w:space="0" w:color="auto"/>
                        <w:bottom w:val="none" w:sz="0" w:space="0" w:color="auto"/>
                        <w:right w:val="none" w:sz="0" w:space="0" w:color="auto"/>
                      </w:divBdr>
                      <w:divsChild>
                        <w:div w:id="1595089481">
                          <w:marLeft w:val="0"/>
                          <w:marRight w:val="0"/>
                          <w:marTop w:val="0"/>
                          <w:marBottom w:val="0"/>
                          <w:divBdr>
                            <w:top w:val="none" w:sz="0" w:space="0" w:color="auto"/>
                            <w:left w:val="none" w:sz="0" w:space="0" w:color="auto"/>
                            <w:bottom w:val="none" w:sz="0" w:space="0" w:color="auto"/>
                            <w:right w:val="none" w:sz="0" w:space="0" w:color="auto"/>
                          </w:divBdr>
                          <w:divsChild>
                            <w:div w:id="639189643">
                              <w:marLeft w:val="0"/>
                              <w:marRight w:val="0"/>
                              <w:marTop w:val="0"/>
                              <w:marBottom w:val="0"/>
                              <w:divBdr>
                                <w:top w:val="none" w:sz="0" w:space="0" w:color="auto"/>
                                <w:left w:val="none" w:sz="0" w:space="0" w:color="auto"/>
                                <w:bottom w:val="none" w:sz="0" w:space="0" w:color="auto"/>
                                <w:right w:val="none" w:sz="0" w:space="0" w:color="auto"/>
                              </w:divBdr>
                              <w:divsChild>
                                <w:div w:id="1726223746">
                                  <w:marLeft w:val="0"/>
                                  <w:marRight w:val="0"/>
                                  <w:marTop w:val="0"/>
                                  <w:marBottom w:val="0"/>
                                  <w:divBdr>
                                    <w:top w:val="none" w:sz="0" w:space="0" w:color="auto"/>
                                    <w:left w:val="none" w:sz="0" w:space="0" w:color="auto"/>
                                    <w:bottom w:val="none" w:sz="0" w:space="0" w:color="auto"/>
                                    <w:right w:val="none" w:sz="0" w:space="0" w:color="auto"/>
                                  </w:divBdr>
                                  <w:divsChild>
                                    <w:div w:id="50036674">
                                      <w:marLeft w:val="0"/>
                                      <w:marRight w:val="0"/>
                                      <w:marTop w:val="150"/>
                                      <w:marBottom w:val="0"/>
                                      <w:divBdr>
                                        <w:top w:val="none" w:sz="0" w:space="0" w:color="auto"/>
                                        <w:left w:val="none" w:sz="0" w:space="0" w:color="auto"/>
                                        <w:bottom w:val="none" w:sz="0" w:space="0" w:color="auto"/>
                                        <w:right w:val="none" w:sz="0" w:space="0" w:color="auto"/>
                                      </w:divBdr>
                                      <w:divsChild>
                                        <w:div w:id="1962110660">
                                          <w:marLeft w:val="0"/>
                                          <w:marRight w:val="0"/>
                                          <w:marTop w:val="0"/>
                                          <w:marBottom w:val="0"/>
                                          <w:divBdr>
                                            <w:top w:val="none" w:sz="0" w:space="0" w:color="auto"/>
                                            <w:left w:val="none" w:sz="0" w:space="0" w:color="auto"/>
                                            <w:bottom w:val="none" w:sz="0" w:space="0" w:color="auto"/>
                                            <w:right w:val="none" w:sz="0" w:space="0" w:color="auto"/>
                                          </w:divBdr>
                                          <w:divsChild>
                                            <w:div w:id="1437092665">
                                              <w:marLeft w:val="0"/>
                                              <w:marRight w:val="0"/>
                                              <w:marTop w:val="0"/>
                                              <w:marBottom w:val="0"/>
                                              <w:divBdr>
                                                <w:top w:val="none" w:sz="0" w:space="0" w:color="auto"/>
                                                <w:left w:val="none" w:sz="0" w:space="0" w:color="auto"/>
                                                <w:bottom w:val="none" w:sz="0" w:space="0" w:color="auto"/>
                                                <w:right w:val="none" w:sz="0" w:space="0" w:color="auto"/>
                                              </w:divBdr>
                                              <w:divsChild>
                                                <w:div w:id="19630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731125">
      <w:bodyDiv w:val="1"/>
      <w:marLeft w:val="0"/>
      <w:marRight w:val="0"/>
      <w:marTop w:val="0"/>
      <w:marBottom w:val="0"/>
      <w:divBdr>
        <w:top w:val="none" w:sz="0" w:space="0" w:color="auto"/>
        <w:left w:val="none" w:sz="0" w:space="0" w:color="auto"/>
        <w:bottom w:val="none" w:sz="0" w:space="0" w:color="auto"/>
        <w:right w:val="none" w:sz="0" w:space="0" w:color="auto"/>
      </w:divBdr>
      <w:divsChild>
        <w:div w:id="1524367815">
          <w:marLeft w:val="0"/>
          <w:marRight w:val="0"/>
          <w:marTop w:val="150"/>
          <w:marBottom w:val="0"/>
          <w:divBdr>
            <w:top w:val="none" w:sz="0" w:space="0" w:color="auto"/>
            <w:left w:val="none" w:sz="0" w:space="0" w:color="auto"/>
            <w:bottom w:val="none" w:sz="0" w:space="0" w:color="auto"/>
            <w:right w:val="none" w:sz="0" w:space="0" w:color="auto"/>
          </w:divBdr>
          <w:divsChild>
            <w:div w:id="136849260">
              <w:marLeft w:val="2"/>
              <w:marRight w:val="2"/>
              <w:marTop w:val="0"/>
              <w:marBottom w:val="0"/>
              <w:divBdr>
                <w:top w:val="none" w:sz="0" w:space="0" w:color="auto"/>
                <w:left w:val="none" w:sz="0" w:space="0" w:color="auto"/>
                <w:bottom w:val="none" w:sz="0" w:space="0" w:color="auto"/>
                <w:right w:val="none" w:sz="0" w:space="0" w:color="auto"/>
              </w:divBdr>
              <w:divsChild>
                <w:div w:id="1052539649">
                  <w:marLeft w:val="0"/>
                  <w:marRight w:val="0"/>
                  <w:marTop w:val="0"/>
                  <w:marBottom w:val="0"/>
                  <w:divBdr>
                    <w:top w:val="none" w:sz="0" w:space="0" w:color="auto"/>
                    <w:left w:val="none" w:sz="0" w:space="0" w:color="auto"/>
                    <w:bottom w:val="none" w:sz="0" w:space="0" w:color="auto"/>
                    <w:right w:val="none" w:sz="0" w:space="0" w:color="auto"/>
                  </w:divBdr>
                  <w:divsChild>
                    <w:div w:id="38019656">
                      <w:marLeft w:val="0"/>
                      <w:marRight w:val="0"/>
                      <w:marTop w:val="0"/>
                      <w:marBottom w:val="0"/>
                      <w:divBdr>
                        <w:top w:val="none" w:sz="0" w:space="0" w:color="auto"/>
                        <w:left w:val="none" w:sz="0" w:space="0" w:color="auto"/>
                        <w:bottom w:val="none" w:sz="0" w:space="0" w:color="auto"/>
                        <w:right w:val="none" w:sz="0" w:space="0" w:color="auto"/>
                      </w:divBdr>
                      <w:divsChild>
                        <w:div w:id="1052343815">
                          <w:marLeft w:val="0"/>
                          <w:marRight w:val="0"/>
                          <w:marTop w:val="0"/>
                          <w:marBottom w:val="0"/>
                          <w:divBdr>
                            <w:top w:val="none" w:sz="0" w:space="0" w:color="auto"/>
                            <w:left w:val="none" w:sz="0" w:space="0" w:color="auto"/>
                            <w:bottom w:val="none" w:sz="0" w:space="0" w:color="auto"/>
                            <w:right w:val="none" w:sz="0" w:space="0" w:color="auto"/>
                          </w:divBdr>
                          <w:divsChild>
                            <w:div w:id="698313977">
                              <w:marLeft w:val="0"/>
                              <w:marRight w:val="0"/>
                              <w:marTop w:val="0"/>
                              <w:marBottom w:val="0"/>
                              <w:divBdr>
                                <w:top w:val="none" w:sz="0" w:space="0" w:color="auto"/>
                                <w:left w:val="none" w:sz="0" w:space="0" w:color="auto"/>
                                <w:bottom w:val="none" w:sz="0" w:space="0" w:color="auto"/>
                                <w:right w:val="none" w:sz="0" w:space="0" w:color="auto"/>
                              </w:divBdr>
                              <w:divsChild>
                                <w:div w:id="464078360">
                                  <w:marLeft w:val="0"/>
                                  <w:marRight w:val="0"/>
                                  <w:marTop w:val="0"/>
                                  <w:marBottom w:val="0"/>
                                  <w:divBdr>
                                    <w:top w:val="none" w:sz="0" w:space="0" w:color="auto"/>
                                    <w:left w:val="none" w:sz="0" w:space="0" w:color="auto"/>
                                    <w:bottom w:val="none" w:sz="0" w:space="0" w:color="auto"/>
                                    <w:right w:val="none" w:sz="0" w:space="0" w:color="auto"/>
                                  </w:divBdr>
                                  <w:divsChild>
                                    <w:div w:id="474684415">
                                      <w:marLeft w:val="0"/>
                                      <w:marRight w:val="0"/>
                                      <w:marTop w:val="0"/>
                                      <w:marBottom w:val="0"/>
                                      <w:divBdr>
                                        <w:top w:val="none" w:sz="0" w:space="0" w:color="auto"/>
                                        <w:left w:val="none" w:sz="0" w:space="0" w:color="auto"/>
                                        <w:bottom w:val="none" w:sz="0" w:space="0" w:color="auto"/>
                                        <w:right w:val="none" w:sz="0" w:space="0" w:color="auto"/>
                                      </w:divBdr>
                                      <w:divsChild>
                                        <w:div w:id="503862756">
                                          <w:marLeft w:val="0"/>
                                          <w:marRight w:val="0"/>
                                          <w:marTop w:val="0"/>
                                          <w:marBottom w:val="0"/>
                                          <w:divBdr>
                                            <w:top w:val="none" w:sz="0" w:space="0" w:color="auto"/>
                                            <w:left w:val="none" w:sz="0" w:space="0" w:color="auto"/>
                                            <w:bottom w:val="none" w:sz="0" w:space="0" w:color="auto"/>
                                            <w:right w:val="none" w:sz="0" w:space="0" w:color="auto"/>
                                          </w:divBdr>
                                          <w:divsChild>
                                            <w:div w:id="1957133408">
                                              <w:marLeft w:val="0"/>
                                              <w:marRight w:val="0"/>
                                              <w:marTop w:val="0"/>
                                              <w:marBottom w:val="0"/>
                                              <w:divBdr>
                                                <w:top w:val="none" w:sz="0" w:space="0" w:color="auto"/>
                                                <w:left w:val="none" w:sz="0" w:space="0" w:color="auto"/>
                                                <w:bottom w:val="none" w:sz="0" w:space="0" w:color="auto"/>
                                                <w:right w:val="none" w:sz="0" w:space="0" w:color="auto"/>
                                              </w:divBdr>
                                              <w:divsChild>
                                                <w:div w:id="480462983">
                                                  <w:marLeft w:val="0"/>
                                                  <w:marRight w:val="0"/>
                                                  <w:marTop w:val="0"/>
                                                  <w:marBottom w:val="0"/>
                                                  <w:divBdr>
                                                    <w:top w:val="none" w:sz="0" w:space="0" w:color="auto"/>
                                                    <w:left w:val="none" w:sz="0" w:space="0" w:color="auto"/>
                                                    <w:bottom w:val="none" w:sz="0" w:space="0" w:color="auto"/>
                                                    <w:right w:val="none" w:sz="0" w:space="0" w:color="auto"/>
                                                  </w:divBdr>
                                                </w:div>
                                              </w:divsChild>
                                            </w:div>
                                            <w:div w:id="729578984">
                                              <w:marLeft w:val="0"/>
                                              <w:marRight w:val="0"/>
                                              <w:marTop w:val="0"/>
                                              <w:marBottom w:val="0"/>
                                              <w:divBdr>
                                                <w:top w:val="none" w:sz="0" w:space="0" w:color="auto"/>
                                                <w:left w:val="none" w:sz="0" w:space="0" w:color="auto"/>
                                                <w:bottom w:val="none" w:sz="0" w:space="0" w:color="auto"/>
                                                <w:right w:val="none" w:sz="0" w:space="0" w:color="auto"/>
                                              </w:divBdr>
                                              <w:divsChild>
                                                <w:div w:id="253124352">
                                                  <w:marLeft w:val="0"/>
                                                  <w:marRight w:val="0"/>
                                                  <w:marTop w:val="0"/>
                                                  <w:marBottom w:val="0"/>
                                                  <w:divBdr>
                                                    <w:top w:val="none" w:sz="0" w:space="0" w:color="auto"/>
                                                    <w:left w:val="none" w:sz="0" w:space="0" w:color="auto"/>
                                                    <w:bottom w:val="none" w:sz="0" w:space="0" w:color="auto"/>
                                                    <w:right w:val="none" w:sz="0" w:space="0" w:color="auto"/>
                                                  </w:divBdr>
                                                </w:div>
                                              </w:divsChild>
                                            </w:div>
                                            <w:div w:id="809325349">
                                              <w:marLeft w:val="0"/>
                                              <w:marRight w:val="0"/>
                                              <w:marTop w:val="0"/>
                                              <w:marBottom w:val="0"/>
                                              <w:divBdr>
                                                <w:top w:val="none" w:sz="0" w:space="0" w:color="auto"/>
                                                <w:left w:val="none" w:sz="0" w:space="0" w:color="auto"/>
                                                <w:bottom w:val="none" w:sz="0" w:space="0" w:color="auto"/>
                                                <w:right w:val="none" w:sz="0" w:space="0" w:color="auto"/>
                                              </w:divBdr>
                                              <w:divsChild>
                                                <w:div w:id="1814523516">
                                                  <w:marLeft w:val="0"/>
                                                  <w:marRight w:val="0"/>
                                                  <w:marTop w:val="0"/>
                                                  <w:marBottom w:val="0"/>
                                                  <w:divBdr>
                                                    <w:top w:val="none" w:sz="0" w:space="0" w:color="auto"/>
                                                    <w:left w:val="none" w:sz="0" w:space="0" w:color="auto"/>
                                                    <w:bottom w:val="none" w:sz="0" w:space="0" w:color="auto"/>
                                                    <w:right w:val="none" w:sz="0" w:space="0" w:color="auto"/>
                                                  </w:divBdr>
                                                </w:div>
                                              </w:divsChild>
                                            </w:div>
                                            <w:div w:id="1143884819">
                                              <w:marLeft w:val="0"/>
                                              <w:marRight w:val="0"/>
                                              <w:marTop w:val="0"/>
                                              <w:marBottom w:val="0"/>
                                              <w:divBdr>
                                                <w:top w:val="none" w:sz="0" w:space="0" w:color="auto"/>
                                                <w:left w:val="none" w:sz="0" w:space="0" w:color="auto"/>
                                                <w:bottom w:val="none" w:sz="0" w:space="0" w:color="auto"/>
                                                <w:right w:val="none" w:sz="0" w:space="0" w:color="auto"/>
                                              </w:divBdr>
                                              <w:divsChild>
                                                <w:div w:id="11794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96289">
      <w:bodyDiv w:val="1"/>
      <w:marLeft w:val="0"/>
      <w:marRight w:val="0"/>
      <w:marTop w:val="0"/>
      <w:marBottom w:val="0"/>
      <w:divBdr>
        <w:top w:val="none" w:sz="0" w:space="0" w:color="auto"/>
        <w:left w:val="none" w:sz="0" w:space="0" w:color="auto"/>
        <w:bottom w:val="none" w:sz="0" w:space="0" w:color="auto"/>
        <w:right w:val="none" w:sz="0" w:space="0" w:color="auto"/>
      </w:divBdr>
      <w:divsChild>
        <w:div w:id="939221574">
          <w:marLeft w:val="0"/>
          <w:marRight w:val="0"/>
          <w:marTop w:val="0"/>
          <w:marBottom w:val="0"/>
          <w:divBdr>
            <w:top w:val="none" w:sz="0" w:space="0" w:color="auto"/>
            <w:left w:val="none" w:sz="0" w:space="0" w:color="auto"/>
            <w:bottom w:val="none" w:sz="0" w:space="0" w:color="auto"/>
            <w:right w:val="none" w:sz="0" w:space="0" w:color="auto"/>
          </w:divBdr>
          <w:divsChild>
            <w:div w:id="378945218">
              <w:marLeft w:val="0"/>
              <w:marRight w:val="0"/>
              <w:marTop w:val="0"/>
              <w:marBottom w:val="0"/>
              <w:divBdr>
                <w:top w:val="none" w:sz="0" w:space="0" w:color="auto"/>
                <w:left w:val="none" w:sz="0" w:space="0" w:color="auto"/>
                <w:bottom w:val="none" w:sz="0" w:space="0" w:color="auto"/>
                <w:right w:val="none" w:sz="0" w:space="0" w:color="auto"/>
              </w:divBdr>
              <w:divsChild>
                <w:div w:id="1006399583">
                  <w:marLeft w:val="0"/>
                  <w:marRight w:val="0"/>
                  <w:marTop w:val="0"/>
                  <w:marBottom w:val="0"/>
                  <w:divBdr>
                    <w:top w:val="none" w:sz="0" w:space="0" w:color="auto"/>
                    <w:left w:val="none" w:sz="0" w:space="0" w:color="auto"/>
                    <w:bottom w:val="none" w:sz="0" w:space="0" w:color="auto"/>
                    <w:right w:val="none" w:sz="0" w:space="0" w:color="auto"/>
                  </w:divBdr>
                  <w:divsChild>
                    <w:div w:id="1555849381">
                      <w:marLeft w:val="0"/>
                      <w:marRight w:val="0"/>
                      <w:marTop w:val="0"/>
                      <w:marBottom w:val="0"/>
                      <w:divBdr>
                        <w:top w:val="none" w:sz="0" w:space="0" w:color="auto"/>
                        <w:left w:val="none" w:sz="0" w:space="0" w:color="auto"/>
                        <w:bottom w:val="none" w:sz="0" w:space="0" w:color="auto"/>
                        <w:right w:val="none" w:sz="0" w:space="0" w:color="auto"/>
                      </w:divBdr>
                      <w:divsChild>
                        <w:div w:id="684786977">
                          <w:marLeft w:val="0"/>
                          <w:marRight w:val="0"/>
                          <w:marTop w:val="0"/>
                          <w:marBottom w:val="0"/>
                          <w:divBdr>
                            <w:top w:val="none" w:sz="0" w:space="0" w:color="auto"/>
                            <w:left w:val="none" w:sz="0" w:space="0" w:color="auto"/>
                            <w:bottom w:val="none" w:sz="0" w:space="0" w:color="auto"/>
                            <w:right w:val="none" w:sz="0" w:space="0" w:color="auto"/>
                          </w:divBdr>
                          <w:divsChild>
                            <w:div w:id="813792806">
                              <w:marLeft w:val="0"/>
                              <w:marRight w:val="0"/>
                              <w:marTop w:val="0"/>
                              <w:marBottom w:val="0"/>
                              <w:divBdr>
                                <w:top w:val="none" w:sz="0" w:space="0" w:color="auto"/>
                                <w:left w:val="none" w:sz="0" w:space="0" w:color="auto"/>
                                <w:bottom w:val="none" w:sz="0" w:space="0" w:color="auto"/>
                                <w:right w:val="none" w:sz="0" w:space="0" w:color="auto"/>
                              </w:divBdr>
                              <w:divsChild>
                                <w:div w:id="907615232">
                                  <w:marLeft w:val="0"/>
                                  <w:marRight w:val="0"/>
                                  <w:marTop w:val="0"/>
                                  <w:marBottom w:val="0"/>
                                  <w:divBdr>
                                    <w:top w:val="none" w:sz="0" w:space="0" w:color="auto"/>
                                    <w:left w:val="none" w:sz="0" w:space="0" w:color="auto"/>
                                    <w:bottom w:val="none" w:sz="0" w:space="0" w:color="auto"/>
                                    <w:right w:val="none" w:sz="0" w:space="0" w:color="auto"/>
                                  </w:divBdr>
                                  <w:divsChild>
                                    <w:div w:id="1703705647">
                                      <w:marLeft w:val="0"/>
                                      <w:marRight w:val="0"/>
                                      <w:marTop w:val="0"/>
                                      <w:marBottom w:val="0"/>
                                      <w:divBdr>
                                        <w:top w:val="none" w:sz="0" w:space="0" w:color="auto"/>
                                        <w:left w:val="none" w:sz="0" w:space="0" w:color="auto"/>
                                        <w:bottom w:val="none" w:sz="0" w:space="0" w:color="auto"/>
                                        <w:right w:val="none" w:sz="0" w:space="0" w:color="auto"/>
                                      </w:divBdr>
                                      <w:divsChild>
                                        <w:div w:id="1508401592">
                                          <w:marLeft w:val="0"/>
                                          <w:marRight w:val="0"/>
                                          <w:marTop w:val="0"/>
                                          <w:marBottom w:val="0"/>
                                          <w:divBdr>
                                            <w:top w:val="none" w:sz="0" w:space="0" w:color="auto"/>
                                            <w:left w:val="none" w:sz="0" w:space="0" w:color="auto"/>
                                            <w:bottom w:val="none" w:sz="0" w:space="0" w:color="auto"/>
                                            <w:right w:val="none" w:sz="0" w:space="0" w:color="auto"/>
                                          </w:divBdr>
                                          <w:divsChild>
                                            <w:div w:id="2060665723">
                                              <w:marLeft w:val="0"/>
                                              <w:marRight w:val="0"/>
                                              <w:marTop w:val="0"/>
                                              <w:marBottom w:val="0"/>
                                              <w:divBdr>
                                                <w:top w:val="none" w:sz="0" w:space="0" w:color="auto"/>
                                                <w:left w:val="none" w:sz="0" w:space="0" w:color="auto"/>
                                                <w:bottom w:val="none" w:sz="0" w:space="0" w:color="auto"/>
                                                <w:right w:val="none" w:sz="0" w:space="0" w:color="auto"/>
                                              </w:divBdr>
                                              <w:divsChild>
                                                <w:div w:id="1469129006">
                                                  <w:marLeft w:val="0"/>
                                                  <w:marRight w:val="0"/>
                                                  <w:marTop w:val="0"/>
                                                  <w:marBottom w:val="0"/>
                                                  <w:divBdr>
                                                    <w:top w:val="none" w:sz="0" w:space="0" w:color="auto"/>
                                                    <w:left w:val="none" w:sz="0" w:space="0" w:color="auto"/>
                                                    <w:bottom w:val="none" w:sz="0" w:space="0" w:color="auto"/>
                                                    <w:right w:val="none" w:sz="0" w:space="0" w:color="auto"/>
                                                  </w:divBdr>
                                                  <w:divsChild>
                                                    <w:div w:id="1376126502">
                                                      <w:marLeft w:val="0"/>
                                                      <w:marRight w:val="0"/>
                                                      <w:marTop w:val="0"/>
                                                      <w:marBottom w:val="0"/>
                                                      <w:divBdr>
                                                        <w:top w:val="none" w:sz="0" w:space="0" w:color="auto"/>
                                                        <w:left w:val="none" w:sz="0" w:space="0" w:color="auto"/>
                                                        <w:bottom w:val="none" w:sz="0" w:space="0" w:color="auto"/>
                                                        <w:right w:val="none" w:sz="0" w:space="0" w:color="auto"/>
                                                      </w:divBdr>
                                                      <w:divsChild>
                                                        <w:div w:id="1492285610">
                                                          <w:marLeft w:val="0"/>
                                                          <w:marRight w:val="0"/>
                                                          <w:marTop w:val="0"/>
                                                          <w:marBottom w:val="0"/>
                                                          <w:divBdr>
                                                            <w:top w:val="none" w:sz="0" w:space="0" w:color="auto"/>
                                                            <w:left w:val="none" w:sz="0" w:space="0" w:color="auto"/>
                                                            <w:bottom w:val="none" w:sz="0" w:space="0" w:color="auto"/>
                                                            <w:right w:val="none" w:sz="0" w:space="0" w:color="auto"/>
                                                          </w:divBdr>
                                                        </w:div>
                                                        <w:div w:id="439027751">
                                                          <w:marLeft w:val="0"/>
                                                          <w:marRight w:val="0"/>
                                                          <w:marTop w:val="0"/>
                                                          <w:marBottom w:val="0"/>
                                                          <w:divBdr>
                                                            <w:top w:val="none" w:sz="0" w:space="0" w:color="auto"/>
                                                            <w:left w:val="none" w:sz="0" w:space="0" w:color="auto"/>
                                                            <w:bottom w:val="none" w:sz="0" w:space="0" w:color="auto"/>
                                                            <w:right w:val="none" w:sz="0" w:space="0" w:color="auto"/>
                                                          </w:divBdr>
                                                          <w:divsChild>
                                                            <w:div w:id="15002686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9655806">
      <w:bodyDiv w:val="1"/>
      <w:marLeft w:val="0"/>
      <w:marRight w:val="0"/>
      <w:marTop w:val="0"/>
      <w:marBottom w:val="0"/>
      <w:divBdr>
        <w:top w:val="none" w:sz="0" w:space="0" w:color="auto"/>
        <w:left w:val="none" w:sz="0" w:space="0" w:color="auto"/>
        <w:bottom w:val="none" w:sz="0" w:space="0" w:color="auto"/>
        <w:right w:val="none" w:sz="0" w:space="0" w:color="auto"/>
      </w:divBdr>
      <w:divsChild>
        <w:div w:id="539630048">
          <w:marLeft w:val="0"/>
          <w:marRight w:val="0"/>
          <w:marTop w:val="0"/>
          <w:marBottom w:val="0"/>
          <w:divBdr>
            <w:top w:val="none" w:sz="0" w:space="0" w:color="auto"/>
            <w:left w:val="none" w:sz="0" w:space="0" w:color="auto"/>
            <w:bottom w:val="none" w:sz="0" w:space="0" w:color="auto"/>
            <w:right w:val="none" w:sz="0" w:space="0" w:color="auto"/>
          </w:divBdr>
          <w:divsChild>
            <w:div w:id="615067448">
              <w:marLeft w:val="0"/>
              <w:marRight w:val="0"/>
              <w:marTop w:val="0"/>
              <w:marBottom w:val="0"/>
              <w:divBdr>
                <w:top w:val="none" w:sz="0" w:space="0" w:color="auto"/>
                <w:left w:val="none" w:sz="0" w:space="0" w:color="auto"/>
                <w:bottom w:val="none" w:sz="0" w:space="0" w:color="auto"/>
                <w:right w:val="none" w:sz="0" w:space="0" w:color="auto"/>
              </w:divBdr>
              <w:divsChild>
                <w:div w:id="553199933">
                  <w:marLeft w:val="0"/>
                  <w:marRight w:val="0"/>
                  <w:marTop w:val="0"/>
                  <w:marBottom w:val="0"/>
                  <w:divBdr>
                    <w:top w:val="none" w:sz="0" w:space="0" w:color="auto"/>
                    <w:left w:val="none" w:sz="0" w:space="0" w:color="auto"/>
                    <w:bottom w:val="none" w:sz="0" w:space="0" w:color="auto"/>
                    <w:right w:val="none" w:sz="0" w:space="0" w:color="auto"/>
                  </w:divBdr>
                  <w:divsChild>
                    <w:div w:id="2073037362">
                      <w:marLeft w:val="0"/>
                      <w:marRight w:val="0"/>
                      <w:marTop w:val="0"/>
                      <w:marBottom w:val="0"/>
                      <w:divBdr>
                        <w:top w:val="none" w:sz="0" w:space="0" w:color="auto"/>
                        <w:left w:val="none" w:sz="0" w:space="0" w:color="auto"/>
                        <w:bottom w:val="none" w:sz="0" w:space="0" w:color="auto"/>
                        <w:right w:val="none" w:sz="0" w:space="0" w:color="auto"/>
                      </w:divBdr>
                      <w:divsChild>
                        <w:div w:id="1903757222">
                          <w:marLeft w:val="570"/>
                          <w:marRight w:val="720"/>
                          <w:marTop w:val="120"/>
                          <w:marBottom w:val="120"/>
                          <w:divBdr>
                            <w:top w:val="none" w:sz="0" w:space="0" w:color="auto"/>
                            <w:left w:val="none" w:sz="0" w:space="0" w:color="auto"/>
                            <w:bottom w:val="none" w:sz="0" w:space="0" w:color="auto"/>
                            <w:right w:val="none" w:sz="0" w:space="0" w:color="auto"/>
                          </w:divBdr>
                          <w:divsChild>
                            <w:div w:id="543059091">
                              <w:marLeft w:val="0"/>
                              <w:marRight w:val="0"/>
                              <w:marTop w:val="0"/>
                              <w:marBottom w:val="0"/>
                              <w:divBdr>
                                <w:top w:val="none" w:sz="0" w:space="0" w:color="auto"/>
                                <w:left w:val="none" w:sz="0" w:space="0" w:color="auto"/>
                                <w:bottom w:val="none" w:sz="0" w:space="0" w:color="auto"/>
                                <w:right w:val="none" w:sz="0" w:space="0" w:color="auto"/>
                              </w:divBdr>
                              <w:divsChild>
                                <w:div w:id="2104952900">
                                  <w:marLeft w:val="0"/>
                                  <w:marRight w:val="0"/>
                                  <w:marTop w:val="0"/>
                                  <w:marBottom w:val="0"/>
                                  <w:divBdr>
                                    <w:top w:val="none" w:sz="0" w:space="0" w:color="auto"/>
                                    <w:left w:val="none" w:sz="0" w:space="0" w:color="auto"/>
                                    <w:bottom w:val="none" w:sz="0" w:space="0" w:color="auto"/>
                                    <w:right w:val="none" w:sz="0" w:space="0" w:color="auto"/>
                                  </w:divBdr>
                                  <w:divsChild>
                                    <w:div w:id="391388268">
                                      <w:marLeft w:val="0"/>
                                      <w:marRight w:val="0"/>
                                      <w:marTop w:val="0"/>
                                      <w:marBottom w:val="0"/>
                                      <w:divBdr>
                                        <w:top w:val="none" w:sz="0" w:space="0" w:color="auto"/>
                                        <w:left w:val="none" w:sz="0" w:space="0" w:color="auto"/>
                                        <w:bottom w:val="none" w:sz="0" w:space="0" w:color="auto"/>
                                        <w:right w:val="none" w:sz="0" w:space="0" w:color="auto"/>
                                      </w:divBdr>
                                      <w:divsChild>
                                        <w:div w:id="2072726694">
                                          <w:marLeft w:val="0"/>
                                          <w:marRight w:val="0"/>
                                          <w:marTop w:val="240"/>
                                          <w:marBottom w:val="240"/>
                                          <w:divBdr>
                                            <w:top w:val="single" w:sz="6" w:space="6" w:color="F2F2F2"/>
                                            <w:left w:val="none" w:sz="0" w:space="0" w:color="auto"/>
                                            <w:bottom w:val="single" w:sz="6" w:space="6" w:color="F2F2F2"/>
                                            <w:right w:val="none" w:sz="0" w:space="0" w:color="auto"/>
                                          </w:divBdr>
                                        </w:div>
                                        <w:div w:id="237403249">
                                          <w:marLeft w:val="0"/>
                                          <w:marRight w:val="0"/>
                                          <w:marTop w:val="0"/>
                                          <w:marBottom w:val="0"/>
                                          <w:divBdr>
                                            <w:top w:val="none" w:sz="0" w:space="0" w:color="auto"/>
                                            <w:left w:val="none" w:sz="0" w:space="0" w:color="auto"/>
                                            <w:bottom w:val="none" w:sz="0" w:space="0" w:color="auto"/>
                                            <w:right w:val="none" w:sz="0" w:space="0" w:color="auto"/>
                                          </w:divBdr>
                                          <w:divsChild>
                                            <w:div w:id="393360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310920">
      <w:bodyDiv w:val="1"/>
      <w:marLeft w:val="0"/>
      <w:marRight w:val="0"/>
      <w:marTop w:val="0"/>
      <w:marBottom w:val="0"/>
      <w:divBdr>
        <w:top w:val="none" w:sz="0" w:space="0" w:color="auto"/>
        <w:left w:val="none" w:sz="0" w:space="0" w:color="auto"/>
        <w:bottom w:val="none" w:sz="0" w:space="0" w:color="auto"/>
        <w:right w:val="none" w:sz="0" w:space="0" w:color="auto"/>
      </w:divBdr>
      <w:divsChild>
        <w:div w:id="1439832614">
          <w:marLeft w:val="0"/>
          <w:marRight w:val="0"/>
          <w:marTop w:val="0"/>
          <w:marBottom w:val="0"/>
          <w:divBdr>
            <w:top w:val="none" w:sz="0" w:space="0" w:color="auto"/>
            <w:left w:val="none" w:sz="0" w:space="0" w:color="auto"/>
            <w:bottom w:val="none" w:sz="0" w:space="0" w:color="auto"/>
            <w:right w:val="none" w:sz="0" w:space="0" w:color="auto"/>
          </w:divBdr>
        </w:div>
      </w:divsChild>
    </w:div>
    <w:div w:id="840513481">
      <w:bodyDiv w:val="1"/>
      <w:marLeft w:val="0"/>
      <w:marRight w:val="0"/>
      <w:marTop w:val="0"/>
      <w:marBottom w:val="0"/>
      <w:divBdr>
        <w:top w:val="none" w:sz="0" w:space="0" w:color="auto"/>
        <w:left w:val="none" w:sz="0" w:space="0" w:color="auto"/>
        <w:bottom w:val="none" w:sz="0" w:space="0" w:color="auto"/>
        <w:right w:val="none" w:sz="0" w:space="0" w:color="auto"/>
      </w:divBdr>
      <w:divsChild>
        <w:div w:id="651376915">
          <w:marLeft w:val="0"/>
          <w:marRight w:val="0"/>
          <w:marTop w:val="0"/>
          <w:marBottom w:val="0"/>
          <w:divBdr>
            <w:top w:val="none" w:sz="0" w:space="0" w:color="auto"/>
            <w:left w:val="none" w:sz="0" w:space="0" w:color="auto"/>
            <w:bottom w:val="none" w:sz="0" w:space="0" w:color="auto"/>
            <w:right w:val="none" w:sz="0" w:space="0" w:color="auto"/>
          </w:divBdr>
          <w:divsChild>
            <w:div w:id="1174495583">
              <w:marLeft w:val="0"/>
              <w:marRight w:val="0"/>
              <w:marTop w:val="0"/>
              <w:marBottom w:val="0"/>
              <w:divBdr>
                <w:top w:val="none" w:sz="0" w:space="0" w:color="auto"/>
                <w:left w:val="none" w:sz="0" w:space="0" w:color="auto"/>
                <w:bottom w:val="none" w:sz="0" w:space="0" w:color="auto"/>
                <w:right w:val="none" w:sz="0" w:space="0" w:color="auto"/>
              </w:divBdr>
              <w:divsChild>
                <w:div w:id="909996031">
                  <w:marLeft w:val="0"/>
                  <w:marRight w:val="0"/>
                  <w:marTop w:val="0"/>
                  <w:marBottom w:val="0"/>
                  <w:divBdr>
                    <w:top w:val="none" w:sz="0" w:space="0" w:color="auto"/>
                    <w:left w:val="none" w:sz="0" w:space="0" w:color="auto"/>
                    <w:bottom w:val="none" w:sz="0" w:space="0" w:color="auto"/>
                    <w:right w:val="none" w:sz="0" w:space="0" w:color="auto"/>
                  </w:divBdr>
                  <w:divsChild>
                    <w:div w:id="110393817">
                      <w:marLeft w:val="0"/>
                      <w:marRight w:val="0"/>
                      <w:marTop w:val="0"/>
                      <w:marBottom w:val="0"/>
                      <w:divBdr>
                        <w:top w:val="none" w:sz="0" w:space="0" w:color="auto"/>
                        <w:left w:val="none" w:sz="0" w:space="0" w:color="auto"/>
                        <w:bottom w:val="none" w:sz="0" w:space="0" w:color="auto"/>
                        <w:right w:val="none" w:sz="0" w:space="0" w:color="auto"/>
                      </w:divBdr>
                      <w:divsChild>
                        <w:div w:id="1852142997">
                          <w:marLeft w:val="0"/>
                          <w:marRight w:val="0"/>
                          <w:marTop w:val="0"/>
                          <w:marBottom w:val="0"/>
                          <w:divBdr>
                            <w:top w:val="none" w:sz="0" w:space="0" w:color="auto"/>
                            <w:left w:val="none" w:sz="0" w:space="0" w:color="auto"/>
                            <w:bottom w:val="none" w:sz="0" w:space="0" w:color="auto"/>
                            <w:right w:val="none" w:sz="0" w:space="0" w:color="auto"/>
                          </w:divBdr>
                          <w:divsChild>
                            <w:div w:id="1741827238">
                              <w:marLeft w:val="570"/>
                              <w:marRight w:val="720"/>
                              <w:marTop w:val="120"/>
                              <w:marBottom w:val="120"/>
                              <w:divBdr>
                                <w:top w:val="none" w:sz="0" w:space="0" w:color="auto"/>
                                <w:left w:val="none" w:sz="0" w:space="0" w:color="auto"/>
                                <w:bottom w:val="none" w:sz="0" w:space="0" w:color="auto"/>
                                <w:right w:val="none" w:sz="0" w:space="0" w:color="auto"/>
                              </w:divBdr>
                              <w:divsChild>
                                <w:div w:id="1663118041">
                                  <w:marLeft w:val="0"/>
                                  <w:marRight w:val="0"/>
                                  <w:marTop w:val="0"/>
                                  <w:marBottom w:val="0"/>
                                  <w:divBdr>
                                    <w:top w:val="none" w:sz="0" w:space="0" w:color="auto"/>
                                    <w:left w:val="none" w:sz="0" w:space="0" w:color="auto"/>
                                    <w:bottom w:val="none" w:sz="0" w:space="0" w:color="auto"/>
                                    <w:right w:val="none" w:sz="0" w:space="0" w:color="auto"/>
                                  </w:divBdr>
                                  <w:divsChild>
                                    <w:div w:id="1587110601">
                                      <w:marLeft w:val="0"/>
                                      <w:marRight w:val="0"/>
                                      <w:marTop w:val="0"/>
                                      <w:marBottom w:val="0"/>
                                      <w:divBdr>
                                        <w:top w:val="none" w:sz="0" w:space="0" w:color="auto"/>
                                        <w:left w:val="none" w:sz="0" w:space="0" w:color="auto"/>
                                        <w:bottom w:val="none" w:sz="0" w:space="0" w:color="auto"/>
                                        <w:right w:val="none" w:sz="0" w:space="0" w:color="auto"/>
                                      </w:divBdr>
                                      <w:divsChild>
                                        <w:div w:id="768475779">
                                          <w:marLeft w:val="0"/>
                                          <w:marRight w:val="0"/>
                                          <w:marTop w:val="0"/>
                                          <w:marBottom w:val="150"/>
                                          <w:divBdr>
                                            <w:top w:val="none" w:sz="0" w:space="0" w:color="auto"/>
                                            <w:left w:val="none" w:sz="0" w:space="0" w:color="auto"/>
                                            <w:bottom w:val="none" w:sz="0" w:space="0" w:color="auto"/>
                                            <w:right w:val="none" w:sz="0" w:space="0" w:color="auto"/>
                                          </w:divBdr>
                                          <w:divsChild>
                                            <w:div w:id="328481669">
                                              <w:marLeft w:val="0"/>
                                              <w:marRight w:val="0"/>
                                              <w:marTop w:val="240"/>
                                              <w:marBottom w:val="240"/>
                                              <w:divBdr>
                                                <w:top w:val="single" w:sz="6" w:space="6" w:color="F2F2F2"/>
                                                <w:left w:val="none" w:sz="0" w:space="0" w:color="auto"/>
                                                <w:bottom w:val="single" w:sz="6" w:space="6" w:color="F2F2F2"/>
                                                <w:right w:val="none" w:sz="0" w:space="0" w:color="auto"/>
                                              </w:divBdr>
                                            </w:div>
                                            <w:div w:id="200554975">
                                              <w:marLeft w:val="0"/>
                                              <w:marRight w:val="0"/>
                                              <w:marTop w:val="0"/>
                                              <w:marBottom w:val="0"/>
                                              <w:divBdr>
                                                <w:top w:val="none" w:sz="0" w:space="0" w:color="auto"/>
                                                <w:left w:val="none" w:sz="0" w:space="0" w:color="auto"/>
                                                <w:bottom w:val="none" w:sz="0" w:space="0" w:color="auto"/>
                                                <w:right w:val="none" w:sz="0" w:space="0" w:color="auto"/>
                                              </w:divBdr>
                                              <w:divsChild>
                                                <w:div w:id="65960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015605">
      <w:bodyDiv w:val="1"/>
      <w:marLeft w:val="0"/>
      <w:marRight w:val="0"/>
      <w:marTop w:val="0"/>
      <w:marBottom w:val="0"/>
      <w:divBdr>
        <w:top w:val="none" w:sz="0" w:space="0" w:color="auto"/>
        <w:left w:val="none" w:sz="0" w:space="0" w:color="auto"/>
        <w:bottom w:val="none" w:sz="0" w:space="0" w:color="auto"/>
        <w:right w:val="none" w:sz="0" w:space="0" w:color="auto"/>
      </w:divBdr>
      <w:divsChild>
        <w:div w:id="389354352">
          <w:marLeft w:val="0"/>
          <w:marRight w:val="0"/>
          <w:marTop w:val="0"/>
          <w:marBottom w:val="0"/>
          <w:divBdr>
            <w:top w:val="none" w:sz="0" w:space="0" w:color="auto"/>
            <w:left w:val="none" w:sz="0" w:space="0" w:color="auto"/>
            <w:bottom w:val="none" w:sz="0" w:space="0" w:color="auto"/>
            <w:right w:val="none" w:sz="0" w:space="0" w:color="auto"/>
          </w:divBdr>
          <w:divsChild>
            <w:div w:id="1432893965">
              <w:marLeft w:val="0"/>
              <w:marRight w:val="0"/>
              <w:marTop w:val="0"/>
              <w:marBottom w:val="0"/>
              <w:divBdr>
                <w:top w:val="none" w:sz="0" w:space="0" w:color="auto"/>
                <w:left w:val="none" w:sz="0" w:space="0" w:color="auto"/>
                <w:bottom w:val="none" w:sz="0" w:space="0" w:color="auto"/>
                <w:right w:val="none" w:sz="0" w:space="0" w:color="auto"/>
              </w:divBdr>
              <w:divsChild>
                <w:div w:id="428694797">
                  <w:marLeft w:val="0"/>
                  <w:marRight w:val="0"/>
                  <w:marTop w:val="0"/>
                  <w:marBottom w:val="0"/>
                  <w:divBdr>
                    <w:top w:val="none" w:sz="0" w:space="0" w:color="auto"/>
                    <w:left w:val="none" w:sz="0" w:space="0" w:color="auto"/>
                    <w:bottom w:val="none" w:sz="0" w:space="0" w:color="auto"/>
                    <w:right w:val="none" w:sz="0" w:space="0" w:color="auto"/>
                  </w:divBdr>
                  <w:divsChild>
                    <w:div w:id="488134883">
                      <w:marLeft w:val="0"/>
                      <w:marRight w:val="0"/>
                      <w:marTop w:val="0"/>
                      <w:marBottom w:val="0"/>
                      <w:divBdr>
                        <w:top w:val="none" w:sz="0" w:space="0" w:color="auto"/>
                        <w:left w:val="none" w:sz="0" w:space="0" w:color="auto"/>
                        <w:bottom w:val="none" w:sz="0" w:space="0" w:color="auto"/>
                        <w:right w:val="none" w:sz="0" w:space="0" w:color="auto"/>
                      </w:divBdr>
                      <w:divsChild>
                        <w:div w:id="61491499">
                          <w:marLeft w:val="0"/>
                          <w:marRight w:val="0"/>
                          <w:marTop w:val="0"/>
                          <w:marBottom w:val="0"/>
                          <w:divBdr>
                            <w:top w:val="none" w:sz="0" w:space="0" w:color="auto"/>
                            <w:left w:val="none" w:sz="0" w:space="0" w:color="auto"/>
                            <w:bottom w:val="none" w:sz="0" w:space="0" w:color="auto"/>
                            <w:right w:val="none" w:sz="0" w:space="0" w:color="auto"/>
                          </w:divBdr>
                          <w:divsChild>
                            <w:div w:id="1983119964">
                              <w:marLeft w:val="0"/>
                              <w:marRight w:val="0"/>
                              <w:marTop w:val="0"/>
                              <w:marBottom w:val="0"/>
                              <w:divBdr>
                                <w:top w:val="none" w:sz="0" w:space="0" w:color="auto"/>
                                <w:left w:val="none" w:sz="0" w:space="0" w:color="auto"/>
                                <w:bottom w:val="none" w:sz="0" w:space="0" w:color="auto"/>
                                <w:right w:val="none" w:sz="0" w:space="0" w:color="auto"/>
                              </w:divBdr>
                              <w:divsChild>
                                <w:div w:id="1864057180">
                                  <w:marLeft w:val="0"/>
                                  <w:marRight w:val="0"/>
                                  <w:marTop w:val="0"/>
                                  <w:marBottom w:val="0"/>
                                  <w:divBdr>
                                    <w:top w:val="none" w:sz="0" w:space="0" w:color="auto"/>
                                    <w:left w:val="none" w:sz="0" w:space="0" w:color="auto"/>
                                    <w:bottom w:val="none" w:sz="0" w:space="0" w:color="auto"/>
                                    <w:right w:val="none" w:sz="0" w:space="0" w:color="auto"/>
                                  </w:divBdr>
                                  <w:divsChild>
                                    <w:div w:id="81996849">
                                      <w:marLeft w:val="0"/>
                                      <w:marRight w:val="0"/>
                                      <w:marTop w:val="0"/>
                                      <w:marBottom w:val="0"/>
                                      <w:divBdr>
                                        <w:top w:val="none" w:sz="0" w:space="0" w:color="auto"/>
                                        <w:left w:val="none" w:sz="0" w:space="0" w:color="auto"/>
                                        <w:bottom w:val="none" w:sz="0" w:space="0" w:color="auto"/>
                                        <w:right w:val="none" w:sz="0" w:space="0" w:color="auto"/>
                                      </w:divBdr>
                                      <w:divsChild>
                                        <w:div w:id="953295428">
                                          <w:marLeft w:val="0"/>
                                          <w:marRight w:val="0"/>
                                          <w:marTop w:val="0"/>
                                          <w:marBottom w:val="0"/>
                                          <w:divBdr>
                                            <w:top w:val="none" w:sz="0" w:space="0" w:color="auto"/>
                                            <w:left w:val="none" w:sz="0" w:space="0" w:color="auto"/>
                                            <w:bottom w:val="none" w:sz="0" w:space="0" w:color="auto"/>
                                            <w:right w:val="none" w:sz="0" w:space="0" w:color="auto"/>
                                          </w:divBdr>
                                        </w:div>
                                        <w:div w:id="573199346">
                                          <w:marLeft w:val="0"/>
                                          <w:marRight w:val="0"/>
                                          <w:marTop w:val="0"/>
                                          <w:marBottom w:val="0"/>
                                          <w:divBdr>
                                            <w:top w:val="none" w:sz="0" w:space="0" w:color="auto"/>
                                            <w:left w:val="none" w:sz="0" w:space="0" w:color="auto"/>
                                            <w:bottom w:val="none" w:sz="0" w:space="0" w:color="auto"/>
                                            <w:right w:val="none" w:sz="0" w:space="0" w:color="auto"/>
                                          </w:divBdr>
                                          <w:divsChild>
                                            <w:div w:id="451440210">
                                              <w:marLeft w:val="0"/>
                                              <w:marRight w:val="0"/>
                                              <w:marTop w:val="0"/>
                                              <w:marBottom w:val="0"/>
                                              <w:divBdr>
                                                <w:top w:val="none" w:sz="0" w:space="0" w:color="auto"/>
                                                <w:left w:val="none" w:sz="0" w:space="0" w:color="auto"/>
                                                <w:bottom w:val="none" w:sz="0" w:space="0" w:color="auto"/>
                                                <w:right w:val="none" w:sz="0" w:space="0" w:color="auto"/>
                                              </w:divBdr>
                                            </w:div>
                                            <w:div w:id="1779905404">
                                              <w:marLeft w:val="0"/>
                                              <w:marRight w:val="0"/>
                                              <w:marTop w:val="0"/>
                                              <w:marBottom w:val="0"/>
                                              <w:divBdr>
                                                <w:top w:val="none" w:sz="0" w:space="0" w:color="auto"/>
                                                <w:left w:val="none" w:sz="0" w:space="0" w:color="auto"/>
                                                <w:bottom w:val="none" w:sz="0" w:space="0" w:color="auto"/>
                                                <w:right w:val="none" w:sz="0" w:space="0" w:color="auto"/>
                                              </w:divBdr>
                                            </w:div>
                                          </w:divsChild>
                                        </w:div>
                                        <w:div w:id="237327886">
                                          <w:marLeft w:val="0"/>
                                          <w:marRight w:val="0"/>
                                          <w:marTop w:val="0"/>
                                          <w:marBottom w:val="0"/>
                                          <w:divBdr>
                                            <w:top w:val="none" w:sz="0" w:space="0" w:color="auto"/>
                                            <w:left w:val="none" w:sz="0" w:space="0" w:color="auto"/>
                                            <w:bottom w:val="none" w:sz="0" w:space="0" w:color="auto"/>
                                            <w:right w:val="none" w:sz="0" w:space="0" w:color="auto"/>
                                          </w:divBdr>
                                        </w:div>
                                        <w:div w:id="571625620">
                                          <w:marLeft w:val="0"/>
                                          <w:marRight w:val="0"/>
                                          <w:marTop w:val="0"/>
                                          <w:marBottom w:val="0"/>
                                          <w:divBdr>
                                            <w:top w:val="none" w:sz="0" w:space="0" w:color="auto"/>
                                            <w:left w:val="none" w:sz="0" w:space="0" w:color="auto"/>
                                            <w:bottom w:val="none" w:sz="0" w:space="0" w:color="auto"/>
                                            <w:right w:val="none" w:sz="0" w:space="0" w:color="auto"/>
                                          </w:divBdr>
                                        </w:div>
                                        <w:div w:id="479350052">
                                          <w:marLeft w:val="0"/>
                                          <w:marRight w:val="0"/>
                                          <w:marTop w:val="0"/>
                                          <w:marBottom w:val="0"/>
                                          <w:divBdr>
                                            <w:top w:val="none" w:sz="0" w:space="0" w:color="auto"/>
                                            <w:left w:val="none" w:sz="0" w:space="0" w:color="auto"/>
                                            <w:bottom w:val="none" w:sz="0" w:space="0" w:color="auto"/>
                                            <w:right w:val="none" w:sz="0" w:space="0" w:color="auto"/>
                                          </w:divBdr>
                                          <w:divsChild>
                                            <w:div w:id="172105064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10801360">
          <w:marLeft w:val="0"/>
          <w:marRight w:val="0"/>
          <w:marTop w:val="0"/>
          <w:marBottom w:val="0"/>
          <w:divBdr>
            <w:top w:val="none" w:sz="0" w:space="0" w:color="auto"/>
            <w:left w:val="none" w:sz="0" w:space="0" w:color="auto"/>
            <w:bottom w:val="none" w:sz="0" w:space="0" w:color="auto"/>
            <w:right w:val="none" w:sz="0" w:space="0" w:color="auto"/>
          </w:divBdr>
          <w:divsChild>
            <w:div w:id="987057986">
              <w:marLeft w:val="0"/>
              <w:marRight w:val="0"/>
              <w:marTop w:val="0"/>
              <w:marBottom w:val="0"/>
              <w:divBdr>
                <w:top w:val="none" w:sz="0" w:space="0" w:color="auto"/>
                <w:left w:val="none" w:sz="0" w:space="0" w:color="auto"/>
                <w:bottom w:val="none" w:sz="0" w:space="0" w:color="auto"/>
                <w:right w:val="none" w:sz="0" w:space="0" w:color="auto"/>
              </w:divBdr>
              <w:divsChild>
                <w:div w:id="139033400">
                  <w:marLeft w:val="0"/>
                  <w:marRight w:val="0"/>
                  <w:marTop w:val="0"/>
                  <w:marBottom w:val="0"/>
                  <w:divBdr>
                    <w:top w:val="none" w:sz="0" w:space="0" w:color="auto"/>
                    <w:left w:val="none" w:sz="0" w:space="0" w:color="auto"/>
                    <w:bottom w:val="none" w:sz="0" w:space="0" w:color="auto"/>
                    <w:right w:val="none" w:sz="0" w:space="0" w:color="auto"/>
                  </w:divBdr>
                  <w:divsChild>
                    <w:div w:id="1467158769">
                      <w:marLeft w:val="0"/>
                      <w:marRight w:val="0"/>
                      <w:marTop w:val="0"/>
                      <w:marBottom w:val="0"/>
                      <w:divBdr>
                        <w:top w:val="none" w:sz="0" w:space="0" w:color="auto"/>
                        <w:left w:val="none" w:sz="0" w:space="0" w:color="auto"/>
                        <w:bottom w:val="none" w:sz="0" w:space="0" w:color="auto"/>
                        <w:right w:val="none" w:sz="0" w:space="0" w:color="auto"/>
                      </w:divBdr>
                      <w:divsChild>
                        <w:div w:id="792476521">
                          <w:marLeft w:val="0"/>
                          <w:marRight w:val="0"/>
                          <w:marTop w:val="0"/>
                          <w:marBottom w:val="0"/>
                          <w:divBdr>
                            <w:top w:val="none" w:sz="0" w:space="0" w:color="auto"/>
                            <w:left w:val="none" w:sz="0" w:space="0" w:color="auto"/>
                            <w:bottom w:val="none" w:sz="0" w:space="0" w:color="auto"/>
                            <w:right w:val="none" w:sz="0" w:space="0" w:color="auto"/>
                          </w:divBdr>
                          <w:divsChild>
                            <w:div w:id="271057488">
                              <w:marLeft w:val="0"/>
                              <w:marRight w:val="0"/>
                              <w:marTop w:val="0"/>
                              <w:marBottom w:val="0"/>
                              <w:divBdr>
                                <w:top w:val="none" w:sz="0" w:space="0" w:color="auto"/>
                                <w:left w:val="none" w:sz="0" w:space="0" w:color="auto"/>
                                <w:bottom w:val="none" w:sz="0" w:space="0" w:color="auto"/>
                                <w:right w:val="none" w:sz="0" w:space="0" w:color="auto"/>
                              </w:divBdr>
                              <w:divsChild>
                                <w:div w:id="1546289148">
                                  <w:marLeft w:val="0"/>
                                  <w:marRight w:val="0"/>
                                  <w:marTop w:val="0"/>
                                  <w:marBottom w:val="0"/>
                                  <w:divBdr>
                                    <w:top w:val="none" w:sz="0" w:space="0" w:color="auto"/>
                                    <w:left w:val="none" w:sz="0" w:space="0" w:color="auto"/>
                                    <w:bottom w:val="none" w:sz="0" w:space="0" w:color="auto"/>
                                    <w:right w:val="none" w:sz="0" w:space="0" w:color="auto"/>
                                  </w:divBdr>
                                  <w:divsChild>
                                    <w:div w:id="532353431">
                                      <w:marLeft w:val="0"/>
                                      <w:marRight w:val="0"/>
                                      <w:marTop w:val="0"/>
                                      <w:marBottom w:val="0"/>
                                      <w:divBdr>
                                        <w:top w:val="none" w:sz="0" w:space="0" w:color="auto"/>
                                        <w:left w:val="none" w:sz="0" w:space="0" w:color="auto"/>
                                        <w:bottom w:val="none" w:sz="0" w:space="0" w:color="auto"/>
                                        <w:right w:val="none" w:sz="0" w:space="0" w:color="auto"/>
                                      </w:divBdr>
                                      <w:divsChild>
                                        <w:div w:id="777523339">
                                          <w:marLeft w:val="0"/>
                                          <w:marRight w:val="0"/>
                                          <w:marTop w:val="0"/>
                                          <w:marBottom w:val="0"/>
                                          <w:divBdr>
                                            <w:top w:val="none" w:sz="0" w:space="0" w:color="auto"/>
                                            <w:left w:val="none" w:sz="0" w:space="0" w:color="auto"/>
                                            <w:bottom w:val="none" w:sz="0" w:space="0" w:color="auto"/>
                                            <w:right w:val="none" w:sz="0" w:space="0" w:color="auto"/>
                                          </w:divBdr>
                                          <w:divsChild>
                                            <w:div w:id="1863282557">
                                              <w:marLeft w:val="0"/>
                                              <w:marRight w:val="0"/>
                                              <w:marTop w:val="0"/>
                                              <w:marBottom w:val="0"/>
                                              <w:divBdr>
                                                <w:top w:val="none" w:sz="0" w:space="0" w:color="auto"/>
                                                <w:left w:val="none" w:sz="0" w:space="0" w:color="auto"/>
                                                <w:bottom w:val="none" w:sz="0" w:space="0" w:color="auto"/>
                                                <w:right w:val="none" w:sz="0" w:space="0" w:color="auto"/>
                                              </w:divBdr>
                                              <w:divsChild>
                                                <w:div w:id="836384081">
                                                  <w:marLeft w:val="0"/>
                                                  <w:marRight w:val="0"/>
                                                  <w:marTop w:val="0"/>
                                                  <w:marBottom w:val="0"/>
                                                  <w:divBdr>
                                                    <w:top w:val="none" w:sz="0" w:space="0" w:color="auto"/>
                                                    <w:left w:val="none" w:sz="0" w:space="0" w:color="auto"/>
                                                    <w:bottom w:val="none" w:sz="0" w:space="0" w:color="auto"/>
                                                    <w:right w:val="none" w:sz="0" w:space="0" w:color="auto"/>
                                                  </w:divBdr>
                                                  <w:divsChild>
                                                    <w:div w:id="653410890">
                                                      <w:marLeft w:val="0"/>
                                                      <w:marRight w:val="0"/>
                                                      <w:marTop w:val="0"/>
                                                      <w:marBottom w:val="0"/>
                                                      <w:divBdr>
                                                        <w:top w:val="none" w:sz="0" w:space="0" w:color="auto"/>
                                                        <w:left w:val="none" w:sz="0" w:space="0" w:color="auto"/>
                                                        <w:bottom w:val="none" w:sz="0" w:space="0" w:color="auto"/>
                                                        <w:right w:val="none" w:sz="0" w:space="0" w:color="auto"/>
                                                      </w:divBdr>
                                                      <w:divsChild>
                                                        <w:div w:id="2109278214">
                                                          <w:marLeft w:val="0"/>
                                                          <w:marRight w:val="0"/>
                                                          <w:marTop w:val="0"/>
                                                          <w:marBottom w:val="0"/>
                                                          <w:divBdr>
                                                            <w:top w:val="none" w:sz="0" w:space="0" w:color="auto"/>
                                                            <w:left w:val="none" w:sz="0" w:space="0" w:color="auto"/>
                                                            <w:bottom w:val="none" w:sz="0" w:space="0" w:color="auto"/>
                                                            <w:right w:val="none" w:sz="0" w:space="0" w:color="auto"/>
                                                          </w:divBdr>
                                                        </w:div>
                                                        <w:div w:id="1108234273">
                                                          <w:marLeft w:val="0"/>
                                                          <w:marRight w:val="0"/>
                                                          <w:marTop w:val="0"/>
                                                          <w:marBottom w:val="0"/>
                                                          <w:divBdr>
                                                            <w:top w:val="none" w:sz="0" w:space="0" w:color="auto"/>
                                                            <w:left w:val="none" w:sz="0" w:space="0" w:color="auto"/>
                                                            <w:bottom w:val="none" w:sz="0" w:space="0" w:color="auto"/>
                                                            <w:right w:val="none" w:sz="0" w:space="0" w:color="auto"/>
                                                          </w:divBdr>
                                                          <w:divsChild>
                                                            <w:div w:id="5752834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783517">
      <w:bodyDiv w:val="1"/>
      <w:marLeft w:val="0"/>
      <w:marRight w:val="0"/>
      <w:marTop w:val="0"/>
      <w:marBottom w:val="0"/>
      <w:divBdr>
        <w:top w:val="none" w:sz="0" w:space="0" w:color="auto"/>
        <w:left w:val="none" w:sz="0" w:space="0" w:color="auto"/>
        <w:bottom w:val="none" w:sz="0" w:space="0" w:color="auto"/>
        <w:right w:val="none" w:sz="0" w:space="0" w:color="auto"/>
      </w:divBdr>
      <w:divsChild>
        <w:div w:id="183330995">
          <w:marLeft w:val="0"/>
          <w:marRight w:val="0"/>
          <w:marTop w:val="0"/>
          <w:marBottom w:val="0"/>
          <w:divBdr>
            <w:top w:val="single" w:sz="6" w:space="0" w:color="0E477A"/>
            <w:left w:val="single" w:sz="6" w:space="0" w:color="0E477A"/>
            <w:bottom w:val="single" w:sz="6" w:space="0" w:color="0E477A"/>
            <w:right w:val="single" w:sz="6" w:space="0" w:color="0E477A"/>
          </w:divBdr>
          <w:divsChild>
            <w:div w:id="835459004">
              <w:marLeft w:val="0"/>
              <w:marRight w:val="0"/>
              <w:marTop w:val="0"/>
              <w:marBottom w:val="0"/>
              <w:divBdr>
                <w:top w:val="none" w:sz="0" w:space="0" w:color="auto"/>
                <w:left w:val="none" w:sz="0" w:space="0" w:color="auto"/>
                <w:bottom w:val="none" w:sz="0" w:space="0" w:color="auto"/>
                <w:right w:val="none" w:sz="0" w:space="0" w:color="auto"/>
              </w:divBdr>
              <w:divsChild>
                <w:div w:id="1809467085">
                  <w:marLeft w:val="0"/>
                  <w:marRight w:val="0"/>
                  <w:marTop w:val="0"/>
                  <w:marBottom w:val="0"/>
                  <w:divBdr>
                    <w:top w:val="none" w:sz="0" w:space="0" w:color="auto"/>
                    <w:left w:val="none" w:sz="0" w:space="0" w:color="auto"/>
                    <w:bottom w:val="none" w:sz="0" w:space="0" w:color="auto"/>
                    <w:right w:val="none" w:sz="0" w:space="0" w:color="auto"/>
                  </w:divBdr>
                  <w:divsChild>
                    <w:div w:id="1686247745">
                      <w:marLeft w:val="0"/>
                      <w:marRight w:val="0"/>
                      <w:marTop w:val="0"/>
                      <w:marBottom w:val="0"/>
                      <w:divBdr>
                        <w:top w:val="none" w:sz="0" w:space="0" w:color="auto"/>
                        <w:left w:val="none" w:sz="0" w:space="0" w:color="auto"/>
                        <w:bottom w:val="none" w:sz="0" w:space="0" w:color="auto"/>
                        <w:right w:val="none" w:sz="0" w:space="0" w:color="auto"/>
                      </w:divBdr>
                      <w:divsChild>
                        <w:div w:id="1852144311">
                          <w:marLeft w:val="0"/>
                          <w:marRight w:val="0"/>
                          <w:marTop w:val="0"/>
                          <w:marBottom w:val="0"/>
                          <w:divBdr>
                            <w:top w:val="none" w:sz="0" w:space="0" w:color="auto"/>
                            <w:left w:val="none" w:sz="0" w:space="0" w:color="auto"/>
                            <w:bottom w:val="none" w:sz="0" w:space="0" w:color="auto"/>
                            <w:right w:val="none" w:sz="0" w:space="0" w:color="auto"/>
                          </w:divBdr>
                          <w:divsChild>
                            <w:div w:id="588579393">
                              <w:marLeft w:val="0"/>
                              <w:marRight w:val="0"/>
                              <w:marTop w:val="0"/>
                              <w:marBottom w:val="0"/>
                              <w:divBdr>
                                <w:top w:val="none" w:sz="0" w:space="0" w:color="auto"/>
                                <w:left w:val="none" w:sz="0" w:space="0" w:color="auto"/>
                                <w:bottom w:val="none" w:sz="0" w:space="0" w:color="auto"/>
                                <w:right w:val="none" w:sz="0" w:space="0" w:color="auto"/>
                              </w:divBdr>
                              <w:divsChild>
                                <w:div w:id="1530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127623">
      <w:bodyDiv w:val="1"/>
      <w:marLeft w:val="0"/>
      <w:marRight w:val="0"/>
      <w:marTop w:val="0"/>
      <w:marBottom w:val="0"/>
      <w:divBdr>
        <w:top w:val="none" w:sz="0" w:space="0" w:color="auto"/>
        <w:left w:val="none" w:sz="0" w:space="0" w:color="auto"/>
        <w:bottom w:val="none" w:sz="0" w:space="0" w:color="auto"/>
        <w:right w:val="none" w:sz="0" w:space="0" w:color="auto"/>
      </w:divBdr>
      <w:divsChild>
        <w:div w:id="1794638152">
          <w:marLeft w:val="0"/>
          <w:marRight w:val="0"/>
          <w:marTop w:val="0"/>
          <w:marBottom w:val="0"/>
          <w:divBdr>
            <w:top w:val="none" w:sz="0" w:space="0" w:color="auto"/>
            <w:left w:val="none" w:sz="0" w:space="0" w:color="auto"/>
            <w:bottom w:val="none" w:sz="0" w:space="0" w:color="auto"/>
            <w:right w:val="none" w:sz="0" w:space="0" w:color="auto"/>
          </w:divBdr>
          <w:divsChild>
            <w:div w:id="1980568473">
              <w:marLeft w:val="0"/>
              <w:marRight w:val="0"/>
              <w:marTop w:val="0"/>
              <w:marBottom w:val="0"/>
              <w:divBdr>
                <w:top w:val="none" w:sz="0" w:space="0" w:color="auto"/>
                <w:left w:val="none" w:sz="0" w:space="0" w:color="auto"/>
                <w:bottom w:val="none" w:sz="0" w:space="0" w:color="auto"/>
                <w:right w:val="none" w:sz="0" w:space="0" w:color="auto"/>
              </w:divBdr>
              <w:divsChild>
                <w:div w:id="574751517">
                  <w:marLeft w:val="0"/>
                  <w:marRight w:val="0"/>
                  <w:marTop w:val="0"/>
                  <w:marBottom w:val="0"/>
                  <w:divBdr>
                    <w:top w:val="none" w:sz="0" w:space="0" w:color="auto"/>
                    <w:left w:val="none" w:sz="0" w:space="0" w:color="auto"/>
                    <w:bottom w:val="none" w:sz="0" w:space="0" w:color="auto"/>
                    <w:right w:val="none" w:sz="0" w:space="0" w:color="auto"/>
                  </w:divBdr>
                  <w:divsChild>
                    <w:div w:id="1811743948">
                      <w:marLeft w:val="0"/>
                      <w:marRight w:val="0"/>
                      <w:marTop w:val="0"/>
                      <w:marBottom w:val="0"/>
                      <w:divBdr>
                        <w:top w:val="none" w:sz="0" w:space="0" w:color="auto"/>
                        <w:left w:val="none" w:sz="0" w:space="0" w:color="auto"/>
                        <w:bottom w:val="none" w:sz="0" w:space="0" w:color="auto"/>
                        <w:right w:val="none" w:sz="0" w:space="0" w:color="auto"/>
                      </w:divBdr>
                      <w:divsChild>
                        <w:div w:id="710154535">
                          <w:marLeft w:val="570"/>
                          <w:marRight w:val="720"/>
                          <w:marTop w:val="120"/>
                          <w:marBottom w:val="120"/>
                          <w:divBdr>
                            <w:top w:val="none" w:sz="0" w:space="0" w:color="auto"/>
                            <w:left w:val="none" w:sz="0" w:space="0" w:color="auto"/>
                            <w:bottom w:val="none" w:sz="0" w:space="0" w:color="auto"/>
                            <w:right w:val="none" w:sz="0" w:space="0" w:color="auto"/>
                          </w:divBdr>
                          <w:divsChild>
                            <w:div w:id="1453551051">
                              <w:marLeft w:val="0"/>
                              <w:marRight w:val="0"/>
                              <w:marTop w:val="0"/>
                              <w:marBottom w:val="0"/>
                              <w:divBdr>
                                <w:top w:val="none" w:sz="0" w:space="0" w:color="auto"/>
                                <w:left w:val="none" w:sz="0" w:space="0" w:color="auto"/>
                                <w:bottom w:val="none" w:sz="0" w:space="0" w:color="auto"/>
                                <w:right w:val="none" w:sz="0" w:space="0" w:color="auto"/>
                              </w:divBdr>
                              <w:divsChild>
                                <w:div w:id="149299051">
                                  <w:marLeft w:val="0"/>
                                  <w:marRight w:val="0"/>
                                  <w:marTop w:val="0"/>
                                  <w:marBottom w:val="0"/>
                                  <w:divBdr>
                                    <w:top w:val="none" w:sz="0" w:space="0" w:color="auto"/>
                                    <w:left w:val="none" w:sz="0" w:space="0" w:color="auto"/>
                                    <w:bottom w:val="none" w:sz="0" w:space="0" w:color="auto"/>
                                    <w:right w:val="none" w:sz="0" w:space="0" w:color="auto"/>
                                  </w:divBdr>
                                  <w:divsChild>
                                    <w:div w:id="1479344779">
                                      <w:marLeft w:val="0"/>
                                      <w:marRight w:val="0"/>
                                      <w:marTop w:val="0"/>
                                      <w:marBottom w:val="150"/>
                                      <w:divBdr>
                                        <w:top w:val="none" w:sz="0" w:space="0" w:color="auto"/>
                                        <w:left w:val="none" w:sz="0" w:space="0" w:color="auto"/>
                                        <w:bottom w:val="none" w:sz="0" w:space="0" w:color="auto"/>
                                        <w:right w:val="none" w:sz="0" w:space="0" w:color="auto"/>
                                      </w:divBdr>
                                      <w:divsChild>
                                        <w:div w:id="1430079436">
                                          <w:marLeft w:val="0"/>
                                          <w:marRight w:val="0"/>
                                          <w:marTop w:val="240"/>
                                          <w:marBottom w:val="240"/>
                                          <w:divBdr>
                                            <w:top w:val="single" w:sz="6" w:space="6" w:color="F2F2F2"/>
                                            <w:left w:val="none" w:sz="0" w:space="0" w:color="auto"/>
                                            <w:bottom w:val="single" w:sz="6" w:space="6" w:color="F2F2F2"/>
                                            <w:right w:val="none" w:sz="0" w:space="0" w:color="auto"/>
                                          </w:divBdr>
                                        </w:div>
                                        <w:div w:id="755901481">
                                          <w:marLeft w:val="0"/>
                                          <w:marRight w:val="0"/>
                                          <w:marTop w:val="0"/>
                                          <w:marBottom w:val="0"/>
                                          <w:divBdr>
                                            <w:top w:val="none" w:sz="0" w:space="0" w:color="auto"/>
                                            <w:left w:val="none" w:sz="0" w:space="0" w:color="auto"/>
                                            <w:bottom w:val="none" w:sz="0" w:space="0" w:color="auto"/>
                                            <w:right w:val="none" w:sz="0" w:space="0" w:color="auto"/>
                                          </w:divBdr>
                                          <w:divsChild>
                                            <w:div w:id="143402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249479">
      <w:bodyDiv w:val="1"/>
      <w:marLeft w:val="0"/>
      <w:marRight w:val="0"/>
      <w:marTop w:val="0"/>
      <w:marBottom w:val="0"/>
      <w:divBdr>
        <w:top w:val="none" w:sz="0" w:space="0" w:color="auto"/>
        <w:left w:val="none" w:sz="0" w:space="0" w:color="auto"/>
        <w:bottom w:val="none" w:sz="0" w:space="0" w:color="auto"/>
        <w:right w:val="none" w:sz="0" w:space="0" w:color="auto"/>
      </w:divBdr>
      <w:divsChild>
        <w:div w:id="201523989">
          <w:marLeft w:val="0"/>
          <w:marRight w:val="0"/>
          <w:marTop w:val="0"/>
          <w:marBottom w:val="0"/>
          <w:divBdr>
            <w:top w:val="none" w:sz="0" w:space="0" w:color="auto"/>
            <w:left w:val="none" w:sz="0" w:space="0" w:color="auto"/>
            <w:bottom w:val="none" w:sz="0" w:space="0" w:color="auto"/>
            <w:right w:val="none" w:sz="0" w:space="0" w:color="auto"/>
          </w:divBdr>
          <w:divsChild>
            <w:div w:id="1848979920">
              <w:marLeft w:val="0"/>
              <w:marRight w:val="0"/>
              <w:marTop w:val="0"/>
              <w:marBottom w:val="0"/>
              <w:divBdr>
                <w:top w:val="none" w:sz="0" w:space="0" w:color="auto"/>
                <w:left w:val="none" w:sz="0" w:space="0" w:color="auto"/>
                <w:bottom w:val="none" w:sz="0" w:space="0" w:color="auto"/>
                <w:right w:val="none" w:sz="0" w:space="0" w:color="auto"/>
              </w:divBdr>
              <w:divsChild>
                <w:div w:id="114254024">
                  <w:marLeft w:val="0"/>
                  <w:marRight w:val="0"/>
                  <w:marTop w:val="0"/>
                  <w:marBottom w:val="0"/>
                  <w:divBdr>
                    <w:top w:val="none" w:sz="0" w:space="0" w:color="auto"/>
                    <w:left w:val="none" w:sz="0" w:space="0" w:color="auto"/>
                    <w:bottom w:val="none" w:sz="0" w:space="0" w:color="auto"/>
                    <w:right w:val="none" w:sz="0" w:space="0" w:color="auto"/>
                  </w:divBdr>
                  <w:divsChild>
                    <w:div w:id="432097645">
                      <w:marLeft w:val="0"/>
                      <w:marRight w:val="0"/>
                      <w:marTop w:val="0"/>
                      <w:marBottom w:val="0"/>
                      <w:divBdr>
                        <w:top w:val="none" w:sz="0" w:space="0" w:color="auto"/>
                        <w:left w:val="none" w:sz="0" w:space="0" w:color="auto"/>
                        <w:bottom w:val="none" w:sz="0" w:space="0" w:color="auto"/>
                        <w:right w:val="none" w:sz="0" w:space="0" w:color="auto"/>
                      </w:divBdr>
                      <w:divsChild>
                        <w:div w:id="17200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596214">
      <w:bodyDiv w:val="1"/>
      <w:marLeft w:val="0"/>
      <w:marRight w:val="0"/>
      <w:marTop w:val="0"/>
      <w:marBottom w:val="0"/>
      <w:divBdr>
        <w:top w:val="none" w:sz="0" w:space="0" w:color="auto"/>
        <w:left w:val="none" w:sz="0" w:space="0" w:color="auto"/>
        <w:bottom w:val="none" w:sz="0" w:space="0" w:color="auto"/>
        <w:right w:val="none" w:sz="0" w:space="0" w:color="auto"/>
      </w:divBdr>
      <w:divsChild>
        <w:div w:id="1793670139">
          <w:marLeft w:val="0"/>
          <w:marRight w:val="0"/>
          <w:marTop w:val="0"/>
          <w:marBottom w:val="0"/>
          <w:divBdr>
            <w:top w:val="none" w:sz="0" w:space="0" w:color="auto"/>
            <w:left w:val="none" w:sz="0" w:space="0" w:color="auto"/>
            <w:bottom w:val="none" w:sz="0" w:space="0" w:color="auto"/>
            <w:right w:val="none" w:sz="0" w:space="0" w:color="auto"/>
          </w:divBdr>
          <w:divsChild>
            <w:div w:id="1969432488">
              <w:marLeft w:val="0"/>
              <w:marRight w:val="0"/>
              <w:marTop w:val="0"/>
              <w:marBottom w:val="0"/>
              <w:divBdr>
                <w:top w:val="none" w:sz="0" w:space="0" w:color="auto"/>
                <w:left w:val="none" w:sz="0" w:space="0" w:color="auto"/>
                <w:bottom w:val="none" w:sz="0" w:space="0" w:color="auto"/>
                <w:right w:val="none" w:sz="0" w:space="0" w:color="auto"/>
              </w:divBdr>
              <w:divsChild>
                <w:div w:id="704334299">
                  <w:marLeft w:val="0"/>
                  <w:marRight w:val="0"/>
                  <w:marTop w:val="0"/>
                  <w:marBottom w:val="0"/>
                  <w:divBdr>
                    <w:top w:val="none" w:sz="0" w:space="0" w:color="auto"/>
                    <w:left w:val="none" w:sz="0" w:space="0" w:color="auto"/>
                    <w:bottom w:val="none" w:sz="0" w:space="0" w:color="auto"/>
                    <w:right w:val="none" w:sz="0" w:space="0" w:color="auto"/>
                  </w:divBdr>
                  <w:divsChild>
                    <w:div w:id="568731572">
                      <w:marLeft w:val="0"/>
                      <w:marRight w:val="0"/>
                      <w:marTop w:val="300"/>
                      <w:marBottom w:val="600"/>
                      <w:divBdr>
                        <w:top w:val="none" w:sz="0" w:space="0" w:color="auto"/>
                        <w:left w:val="none" w:sz="0" w:space="0" w:color="auto"/>
                        <w:bottom w:val="none" w:sz="0" w:space="0" w:color="auto"/>
                        <w:right w:val="none" w:sz="0" w:space="0" w:color="auto"/>
                      </w:divBdr>
                      <w:divsChild>
                        <w:div w:id="1207793636">
                          <w:marLeft w:val="0"/>
                          <w:marRight w:val="0"/>
                          <w:marTop w:val="0"/>
                          <w:marBottom w:val="0"/>
                          <w:divBdr>
                            <w:top w:val="none" w:sz="0" w:space="0" w:color="auto"/>
                            <w:left w:val="none" w:sz="0" w:space="0" w:color="auto"/>
                            <w:bottom w:val="none" w:sz="0" w:space="0" w:color="auto"/>
                            <w:right w:val="none" w:sz="0" w:space="0" w:color="auto"/>
                          </w:divBdr>
                          <w:divsChild>
                            <w:div w:id="1888954586">
                              <w:marLeft w:val="0"/>
                              <w:marRight w:val="0"/>
                              <w:marTop w:val="0"/>
                              <w:marBottom w:val="0"/>
                              <w:divBdr>
                                <w:top w:val="none" w:sz="0" w:space="0" w:color="auto"/>
                                <w:left w:val="none" w:sz="0" w:space="0" w:color="auto"/>
                                <w:bottom w:val="none" w:sz="0" w:space="0" w:color="auto"/>
                                <w:right w:val="none" w:sz="0" w:space="0" w:color="auto"/>
                              </w:divBdr>
                              <w:divsChild>
                                <w:div w:id="425735942">
                                  <w:marLeft w:val="0"/>
                                  <w:marRight w:val="0"/>
                                  <w:marTop w:val="0"/>
                                  <w:marBottom w:val="0"/>
                                  <w:divBdr>
                                    <w:top w:val="none" w:sz="0" w:space="0" w:color="auto"/>
                                    <w:left w:val="none" w:sz="0" w:space="0" w:color="auto"/>
                                    <w:bottom w:val="none" w:sz="0" w:space="0" w:color="auto"/>
                                    <w:right w:val="none" w:sz="0" w:space="0" w:color="auto"/>
                                  </w:divBdr>
                                  <w:divsChild>
                                    <w:div w:id="905646786">
                                      <w:marLeft w:val="0"/>
                                      <w:marRight w:val="0"/>
                                      <w:marTop w:val="150"/>
                                      <w:marBottom w:val="0"/>
                                      <w:divBdr>
                                        <w:top w:val="none" w:sz="0" w:space="0" w:color="auto"/>
                                        <w:left w:val="none" w:sz="0" w:space="0" w:color="auto"/>
                                        <w:bottom w:val="none" w:sz="0" w:space="0" w:color="auto"/>
                                        <w:right w:val="none" w:sz="0" w:space="0" w:color="auto"/>
                                      </w:divBdr>
                                      <w:divsChild>
                                        <w:div w:id="2064716102">
                                          <w:marLeft w:val="0"/>
                                          <w:marRight w:val="0"/>
                                          <w:marTop w:val="0"/>
                                          <w:marBottom w:val="0"/>
                                          <w:divBdr>
                                            <w:top w:val="none" w:sz="0" w:space="0" w:color="auto"/>
                                            <w:left w:val="none" w:sz="0" w:space="0" w:color="auto"/>
                                            <w:bottom w:val="none" w:sz="0" w:space="0" w:color="auto"/>
                                            <w:right w:val="none" w:sz="0" w:space="0" w:color="auto"/>
                                          </w:divBdr>
                                          <w:divsChild>
                                            <w:div w:id="904755922">
                                              <w:marLeft w:val="0"/>
                                              <w:marRight w:val="0"/>
                                              <w:marTop w:val="0"/>
                                              <w:marBottom w:val="0"/>
                                              <w:divBdr>
                                                <w:top w:val="none" w:sz="0" w:space="0" w:color="auto"/>
                                                <w:left w:val="none" w:sz="0" w:space="0" w:color="auto"/>
                                                <w:bottom w:val="none" w:sz="0" w:space="0" w:color="auto"/>
                                                <w:right w:val="none" w:sz="0" w:space="0" w:color="auto"/>
                                              </w:divBdr>
                                              <w:divsChild>
                                                <w:div w:id="3908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174679">
      <w:bodyDiv w:val="1"/>
      <w:marLeft w:val="0"/>
      <w:marRight w:val="0"/>
      <w:marTop w:val="0"/>
      <w:marBottom w:val="0"/>
      <w:divBdr>
        <w:top w:val="none" w:sz="0" w:space="0" w:color="auto"/>
        <w:left w:val="none" w:sz="0" w:space="0" w:color="auto"/>
        <w:bottom w:val="none" w:sz="0" w:space="0" w:color="auto"/>
        <w:right w:val="none" w:sz="0" w:space="0" w:color="auto"/>
      </w:divBdr>
      <w:divsChild>
        <w:div w:id="2071535459">
          <w:marLeft w:val="0"/>
          <w:marRight w:val="0"/>
          <w:marTop w:val="0"/>
          <w:marBottom w:val="0"/>
          <w:divBdr>
            <w:top w:val="none" w:sz="0" w:space="0" w:color="auto"/>
            <w:left w:val="none" w:sz="0" w:space="0" w:color="auto"/>
            <w:bottom w:val="none" w:sz="0" w:space="0" w:color="auto"/>
            <w:right w:val="none" w:sz="0" w:space="0" w:color="auto"/>
          </w:divBdr>
          <w:divsChild>
            <w:div w:id="1663582996">
              <w:marLeft w:val="0"/>
              <w:marRight w:val="0"/>
              <w:marTop w:val="0"/>
              <w:marBottom w:val="0"/>
              <w:divBdr>
                <w:top w:val="none" w:sz="0" w:space="0" w:color="auto"/>
                <w:left w:val="none" w:sz="0" w:space="0" w:color="auto"/>
                <w:bottom w:val="none" w:sz="0" w:space="0" w:color="auto"/>
                <w:right w:val="none" w:sz="0" w:space="0" w:color="auto"/>
              </w:divBdr>
              <w:divsChild>
                <w:div w:id="1951087523">
                  <w:marLeft w:val="0"/>
                  <w:marRight w:val="0"/>
                  <w:marTop w:val="100"/>
                  <w:marBottom w:val="100"/>
                  <w:divBdr>
                    <w:top w:val="none" w:sz="0" w:space="0" w:color="auto"/>
                    <w:left w:val="none" w:sz="0" w:space="0" w:color="auto"/>
                    <w:bottom w:val="none" w:sz="0" w:space="0" w:color="auto"/>
                    <w:right w:val="none" w:sz="0" w:space="0" w:color="auto"/>
                  </w:divBdr>
                  <w:divsChild>
                    <w:div w:id="660735686">
                      <w:marLeft w:val="0"/>
                      <w:marRight w:val="0"/>
                      <w:marTop w:val="0"/>
                      <w:marBottom w:val="0"/>
                      <w:divBdr>
                        <w:top w:val="none" w:sz="0" w:space="0" w:color="auto"/>
                        <w:left w:val="none" w:sz="0" w:space="0" w:color="auto"/>
                        <w:bottom w:val="none" w:sz="0" w:space="0" w:color="auto"/>
                        <w:right w:val="none" w:sz="0" w:space="0" w:color="auto"/>
                      </w:divBdr>
                      <w:divsChild>
                        <w:div w:id="864682345">
                          <w:marLeft w:val="0"/>
                          <w:marRight w:val="0"/>
                          <w:marTop w:val="0"/>
                          <w:marBottom w:val="0"/>
                          <w:divBdr>
                            <w:top w:val="none" w:sz="0" w:space="0" w:color="auto"/>
                            <w:left w:val="none" w:sz="0" w:space="0" w:color="auto"/>
                            <w:bottom w:val="none" w:sz="0" w:space="0" w:color="auto"/>
                            <w:right w:val="none" w:sz="0" w:space="0" w:color="auto"/>
                          </w:divBdr>
                          <w:divsChild>
                            <w:div w:id="1280526929">
                              <w:marLeft w:val="0"/>
                              <w:marRight w:val="0"/>
                              <w:marTop w:val="0"/>
                              <w:marBottom w:val="0"/>
                              <w:divBdr>
                                <w:top w:val="none" w:sz="0" w:space="0" w:color="auto"/>
                                <w:left w:val="none" w:sz="0" w:space="0" w:color="auto"/>
                                <w:bottom w:val="none" w:sz="0" w:space="0" w:color="auto"/>
                                <w:right w:val="none" w:sz="0" w:space="0" w:color="auto"/>
                              </w:divBdr>
                              <w:divsChild>
                                <w:div w:id="619150587">
                                  <w:marLeft w:val="0"/>
                                  <w:marRight w:val="0"/>
                                  <w:marTop w:val="0"/>
                                  <w:marBottom w:val="0"/>
                                  <w:divBdr>
                                    <w:top w:val="none" w:sz="0" w:space="0" w:color="auto"/>
                                    <w:left w:val="none" w:sz="0" w:space="0" w:color="auto"/>
                                    <w:bottom w:val="none" w:sz="0" w:space="0" w:color="auto"/>
                                    <w:right w:val="none" w:sz="0" w:space="0" w:color="auto"/>
                                  </w:divBdr>
                                  <w:divsChild>
                                    <w:div w:id="2140604651">
                                      <w:marLeft w:val="0"/>
                                      <w:marRight w:val="0"/>
                                      <w:marTop w:val="0"/>
                                      <w:marBottom w:val="0"/>
                                      <w:divBdr>
                                        <w:top w:val="none" w:sz="0" w:space="0" w:color="auto"/>
                                        <w:left w:val="none" w:sz="0" w:space="0" w:color="auto"/>
                                        <w:bottom w:val="none" w:sz="0" w:space="0" w:color="auto"/>
                                        <w:right w:val="none" w:sz="0" w:space="0" w:color="auto"/>
                                      </w:divBdr>
                                      <w:divsChild>
                                        <w:div w:id="46223933">
                                          <w:marLeft w:val="0"/>
                                          <w:marRight w:val="0"/>
                                          <w:marTop w:val="0"/>
                                          <w:marBottom w:val="0"/>
                                          <w:divBdr>
                                            <w:top w:val="none" w:sz="0" w:space="0" w:color="auto"/>
                                            <w:left w:val="none" w:sz="0" w:space="0" w:color="auto"/>
                                            <w:bottom w:val="none" w:sz="0" w:space="0" w:color="auto"/>
                                            <w:right w:val="none" w:sz="0" w:space="0" w:color="auto"/>
                                          </w:divBdr>
                                          <w:divsChild>
                                            <w:div w:id="844172786">
                                              <w:marLeft w:val="0"/>
                                              <w:marRight w:val="0"/>
                                              <w:marTop w:val="0"/>
                                              <w:marBottom w:val="0"/>
                                              <w:divBdr>
                                                <w:top w:val="single" w:sz="4" w:space="0" w:color="B6D444"/>
                                                <w:left w:val="none" w:sz="0" w:space="0" w:color="auto"/>
                                                <w:bottom w:val="none" w:sz="0" w:space="0" w:color="auto"/>
                                                <w:right w:val="none" w:sz="0" w:space="0" w:color="auto"/>
                                              </w:divBdr>
                                              <w:divsChild>
                                                <w:div w:id="20997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376064">
      <w:bodyDiv w:val="1"/>
      <w:marLeft w:val="0"/>
      <w:marRight w:val="0"/>
      <w:marTop w:val="0"/>
      <w:marBottom w:val="0"/>
      <w:divBdr>
        <w:top w:val="none" w:sz="0" w:space="0" w:color="auto"/>
        <w:left w:val="none" w:sz="0" w:space="0" w:color="auto"/>
        <w:bottom w:val="none" w:sz="0" w:space="0" w:color="auto"/>
        <w:right w:val="none" w:sz="0" w:space="0" w:color="auto"/>
      </w:divBdr>
      <w:divsChild>
        <w:div w:id="279341181">
          <w:marLeft w:val="0"/>
          <w:marRight w:val="0"/>
          <w:marTop w:val="0"/>
          <w:marBottom w:val="0"/>
          <w:divBdr>
            <w:top w:val="single" w:sz="6" w:space="0" w:color="0E477A"/>
            <w:left w:val="single" w:sz="6" w:space="0" w:color="0E477A"/>
            <w:bottom w:val="single" w:sz="6" w:space="0" w:color="0E477A"/>
            <w:right w:val="single" w:sz="6" w:space="0" w:color="0E477A"/>
          </w:divBdr>
          <w:divsChild>
            <w:div w:id="1985155480">
              <w:marLeft w:val="2925"/>
              <w:marRight w:val="0"/>
              <w:marTop w:val="0"/>
              <w:marBottom w:val="0"/>
              <w:divBdr>
                <w:top w:val="none" w:sz="0" w:space="0" w:color="auto"/>
                <w:left w:val="none" w:sz="0" w:space="0" w:color="auto"/>
                <w:bottom w:val="none" w:sz="0" w:space="0" w:color="auto"/>
                <w:right w:val="none" w:sz="0" w:space="0" w:color="auto"/>
              </w:divBdr>
              <w:divsChild>
                <w:div w:id="1756590054">
                  <w:marLeft w:val="0"/>
                  <w:marRight w:val="0"/>
                  <w:marTop w:val="0"/>
                  <w:marBottom w:val="0"/>
                  <w:divBdr>
                    <w:top w:val="none" w:sz="0" w:space="0" w:color="auto"/>
                    <w:left w:val="none" w:sz="0" w:space="0" w:color="auto"/>
                    <w:bottom w:val="none" w:sz="0" w:space="0" w:color="auto"/>
                    <w:right w:val="none" w:sz="0" w:space="0" w:color="auto"/>
                  </w:divBdr>
                  <w:divsChild>
                    <w:div w:id="1886520997">
                      <w:marLeft w:val="0"/>
                      <w:marRight w:val="150"/>
                      <w:marTop w:val="0"/>
                      <w:marBottom w:val="0"/>
                      <w:divBdr>
                        <w:top w:val="single" w:sz="6" w:space="0" w:color="CCCCCC"/>
                        <w:left w:val="single" w:sz="6" w:space="8" w:color="CCCCCC"/>
                        <w:bottom w:val="single" w:sz="6" w:space="8" w:color="CCCCCC"/>
                        <w:right w:val="single" w:sz="6" w:space="8" w:color="CCCCCC"/>
                      </w:divBdr>
                      <w:divsChild>
                        <w:div w:id="736168362">
                          <w:marLeft w:val="0"/>
                          <w:marRight w:val="0"/>
                          <w:marTop w:val="0"/>
                          <w:marBottom w:val="0"/>
                          <w:divBdr>
                            <w:top w:val="none" w:sz="0" w:space="0" w:color="auto"/>
                            <w:left w:val="none" w:sz="0" w:space="0" w:color="auto"/>
                            <w:bottom w:val="none" w:sz="0" w:space="0" w:color="auto"/>
                            <w:right w:val="none" w:sz="0" w:space="0" w:color="auto"/>
                          </w:divBdr>
                        </w:div>
                        <w:div w:id="914123915">
                          <w:marLeft w:val="0"/>
                          <w:marRight w:val="0"/>
                          <w:marTop w:val="0"/>
                          <w:marBottom w:val="0"/>
                          <w:divBdr>
                            <w:top w:val="none" w:sz="0" w:space="0" w:color="auto"/>
                            <w:left w:val="none" w:sz="0" w:space="0" w:color="auto"/>
                            <w:bottom w:val="none" w:sz="0" w:space="0" w:color="auto"/>
                            <w:right w:val="none" w:sz="0" w:space="0" w:color="auto"/>
                          </w:divBdr>
                        </w:div>
                        <w:div w:id="1000042203">
                          <w:marLeft w:val="0"/>
                          <w:marRight w:val="0"/>
                          <w:marTop w:val="0"/>
                          <w:marBottom w:val="0"/>
                          <w:divBdr>
                            <w:top w:val="none" w:sz="0" w:space="0" w:color="auto"/>
                            <w:left w:val="none" w:sz="0" w:space="0" w:color="auto"/>
                            <w:bottom w:val="none" w:sz="0" w:space="0" w:color="auto"/>
                            <w:right w:val="none" w:sz="0" w:space="0" w:color="auto"/>
                          </w:divBdr>
                        </w:div>
                        <w:div w:id="1580016690">
                          <w:marLeft w:val="0"/>
                          <w:marRight w:val="0"/>
                          <w:marTop w:val="0"/>
                          <w:marBottom w:val="0"/>
                          <w:divBdr>
                            <w:top w:val="none" w:sz="0" w:space="0" w:color="auto"/>
                            <w:left w:val="none" w:sz="0" w:space="0" w:color="auto"/>
                            <w:bottom w:val="none" w:sz="0" w:space="0" w:color="auto"/>
                            <w:right w:val="none" w:sz="0" w:space="0" w:color="auto"/>
                          </w:divBdr>
                        </w:div>
                        <w:div w:id="653684090">
                          <w:marLeft w:val="0"/>
                          <w:marRight w:val="0"/>
                          <w:marTop w:val="0"/>
                          <w:marBottom w:val="0"/>
                          <w:divBdr>
                            <w:top w:val="none" w:sz="0" w:space="0" w:color="auto"/>
                            <w:left w:val="none" w:sz="0" w:space="0" w:color="auto"/>
                            <w:bottom w:val="none" w:sz="0" w:space="0" w:color="auto"/>
                            <w:right w:val="none" w:sz="0" w:space="0" w:color="auto"/>
                          </w:divBdr>
                        </w:div>
                        <w:div w:id="453330661">
                          <w:marLeft w:val="0"/>
                          <w:marRight w:val="0"/>
                          <w:marTop w:val="0"/>
                          <w:marBottom w:val="0"/>
                          <w:divBdr>
                            <w:top w:val="none" w:sz="0" w:space="0" w:color="auto"/>
                            <w:left w:val="none" w:sz="0" w:space="0" w:color="auto"/>
                            <w:bottom w:val="none" w:sz="0" w:space="0" w:color="auto"/>
                            <w:right w:val="none" w:sz="0" w:space="0" w:color="auto"/>
                          </w:divBdr>
                        </w:div>
                        <w:div w:id="1850291447">
                          <w:marLeft w:val="0"/>
                          <w:marRight w:val="0"/>
                          <w:marTop w:val="0"/>
                          <w:marBottom w:val="0"/>
                          <w:divBdr>
                            <w:top w:val="none" w:sz="0" w:space="0" w:color="auto"/>
                            <w:left w:val="none" w:sz="0" w:space="0" w:color="auto"/>
                            <w:bottom w:val="none" w:sz="0" w:space="0" w:color="auto"/>
                            <w:right w:val="none" w:sz="0" w:space="0" w:color="auto"/>
                          </w:divBdr>
                        </w:div>
                        <w:div w:id="267811030">
                          <w:marLeft w:val="0"/>
                          <w:marRight w:val="0"/>
                          <w:marTop w:val="0"/>
                          <w:marBottom w:val="0"/>
                          <w:divBdr>
                            <w:top w:val="none" w:sz="0" w:space="0" w:color="auto"/>
                            <w:left w:val="none" w:sz="0" w:space="0" w:color="auto"/>
                            <w:bottom w:val="none" w:sz="0" w:space="0" w:color="auto"/>
                            <w:right w:val="none" w:sz="0" w:space="0" w:color="auto"/>
                          </w:divBdr>
                        </w:div>
                        <w:div w:id="1315641116">
                          <w:marLeft w:val="0"/>
                          <w:marRight w:val="0"/>
                          <w:marTop w:val="0"/>
                          <w:marBottom w:val="0"/>
                          <w:divBdr>
                            <w:top w:val="none" w:sz="0" w:space="0" w:color="auto"/>
                            <w:left w:val="none" w:sz="0" w:space="0" w:color="auto"/>
                            <w:bottom w:val="none" w:sz="0" w:space="0" w:color="auto"/>
                            <w:right w:val="none" w:sz="0" w:space="0" w:color="auto"/>
                          </w:divBdr>
                        </w:div>
                        <w:div w:id="6410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92231">
      <w:bodyDiv w:val="1"/>
      <w:marLeft w:val="0"/>
      <w:marRight w:val="0"/>
      <w:marTop w:val="0"/>
      <w:marBottom w:val="0"/>
      <w:divBdr>
        <w:top w:val="none" w:sz="0" w:space="0" w:color="auto"/>
        <w:left w:val="none" w:sz="0" w:space="0" w:color="auto"/>
        <w:bottom w:val="none" w:sz="0" w:space="0" w:color="auto"/>
        <w:right w:val="none" w:sz="0" w:space="0" w:color="auto"/>
      </w:divBdr>
      <w:divsChild>
        <w:div w:id="440564292">
          <w:marLeft w:val="0"/>
          <w:marRight w:val="0"/>
          <w:marTop w:val="0"/>
          <w:marBottom w:val="0"/>
          <w:divBdr>
            <w:top w:val="none" w:sz="0" w:space="0" w:color="auto"/>
            <w:left w:val="none" w:sz="0" w:space="0" w:color="auto"/>
            <w:bottom w:val="none" w:sz="0" w:space="0" w:color="auto"/>
            <w:right w:val="none" w:sz="0" w:space="0" w:color="auto"/>
          </w:divBdr>
          <w:divsChild>
            <w:div w:id="1539706755">
              <w:marLeft w:val="0"/>
              <w:marRight w:val="0"/>
              <w:marTop w:val="0"/>
              <w:marBottom w:val="0"/>
              <w:divBdr>
                <w:top w:val="none" w:sz="0" w:space="0" w:color="auto"/>
                <w:left w:val="none" w:sz="0" w:space="0" w:color="auto"/>
                <w:bottom w:val="none" w:sz="0" w:space="0" w:color="auto"/>
                <w:right w:val="none" w:sz="0" w:space="0" w:color="auto"/>
              </w:divBdr>
              <w:divsChild>
                <w:div w:id="2093890383">
                  <w:marLeft w:val="0"/>
                  <w:marRight w:val="0"/>
                  <w:marTop w:val="0"/>
                  <w:marBottom w:val="0"/>
                  <w:divBdr>
                    <w:top w:val="none" w:sz="0" w:space="0" w:color="auto"/>
                    <w:left w:val="none" w:sz="0" w:space="0" w:color="auto"/>
                    <w:bottom w:val="none" w:sz="0" w:space="0" w:color="auto"/>
                    <w:right w:val="none" w:sz="0" w:space="0" w:color="auto"/>
                  </w:divBdr>
                  <w:divsChild>
                    <w:div w:id="2136215516">
                      <w:marLeft w:val="0"/>
                      <w:marRight w:val="0"/>
                      <w:marTop w:val="0"/>
                      <w:marBottom w:val="0"/>
                      <w:divBdr>
                        <w:top w:val="none" w:sz="0" w:space="0" w:color="auto"/>
                        <w:left w:val="none" w:sz="0" w:space="0" w:color="auto"/>
                        <w:bottom w:val="none" w:sz="0" w:space="0" w:color="auto"/>
                        <w:right w:val="none" w:sz="0" w:space="0" w:color="auto"/>
                      </w:divBdr>
                      <w:divsChild>
                        <w:div w:id="429353938">
                          <w:marLeft w:val="0"/>
                          <w:marRight w:val="0"/>
                          <w:marTop w:val="0"/>
                          <w:marBottom w:val="0"/>
                          <w:divBdr>
                            <w:top w:val="none" w:sz="0" w:space="0" w:color="auto"/>
                            <w:left w:val="none" w:sz="0" w:space="0" w:color="auto"/>
                            <w:bottom w:val="none" w:sz="0" w:space="0" w:color="auto"/>
                            <w:right w:val="none" w:sz="0" w:space="0" w:color="auto"/>
                          </w:divBdr>
                          <w:divsChild>
                            <w:div w:id="1980307008">
                              <w:marLeft w:val="0"/>
                              <w:marRight w:val="0"/>
                              <w:marTop w:val="0"/>
                              <w:marBottom w:val="0"/>
                              <w:divBdr>
                                <w:top w:val="none" w:sz="0" w:space="0" w:color="auto"/>
                                <w:left w:val="none" w:sz="0" w:space="0" w:color="auto"/>
                                <w:bottom w:val="none" w:sz="0" w:space="0" w:color="auto"/>
                                <w:right w:val="none" w:sz="0" w:space="0" w:color="auto"/>
                              </w:divBdr>
                              <w:divsChild>
                                <w:div w:id="2141073661">
                                  <w:marLeft w:val="0"/>
                                  <w:marRight w:val="0"/>
                                  <w:marTop w:val="0"/>
                                  <w:marBottom w:val="0"/>
                                  <w:divBdr>
                                    <w:top w:val="none" w:sz="0" w:space="0" w:color="auto"/>
                                    <w:left w:val="none" w:sz="0" w:space="0" w:color="auto"/>
                                    <w:bottom w:val="none" w:sz="0" w:space="0" w:color="auto"/>
                                    <w:right w:val="none" w:sz="0" w:space="0" w:color="auto"/>
                                  </w:divBdr>
                                  <w:divsChild>
                                    <w:div w:id="837422057">
                                      <w:marLeft w:val="0"/>
                                      <w:marRight w:val="0"/>
                                      <w:marTop w:val="0"/>
                                      <w:marBottom w:val="0"/>
                                      <w:divBdr>
                                        <w:top w:val="none" w:sz="0" w:space="0" w:color="auto"/>
                                        <w:left w:val="none" w:sz="0" w:space="0" w:color="auto"/>
                                        <w:bottom w:val="none" w:sz="0" w:space="0" w:color="auto"/>
                                        <w:right w:val="none" w:sz="0" w:space="0" w:color="auto"/>
                                      </w:divBdr>
                                      <w:divsChild>
                                        <w:div w:id="680206336">
                                          <w:marLeft w:val="0"/>
                                          <w:marRight w:val="0"/>
                                          <w:marTop w:val="0"/>
                                          <w:marBottom w:val="0"/>
                                          <w:divBdr>
                                            <w:top w:val="none" w:sz="0" w:space="0" w:color="auto"/>
                                            <w:left w:val="none" w:sz="0" w:space="0" w:color="auto"/>
                                            <w:bottom w:val="none" w:sz="0" w:space="0" w:color="auto"/>
                                            <w:right w:val="none" w:sz="0" w:space="0" w:color="auto"/>
                                          </w:divBdr>
                                          <w:divsChild>
                                            <w:div w:id="1885478968">
                                              <w:marLeft w:val="0"/>
                                              <w:marRight w:val="0"/>
                                              <w:marTop w:val="0"/>
                                              <w:marBottom w:val="0"/>
                                              <w:divBdr>
                                                <w:top w:val="none" w:sz="0" w:space="0" w:color="auto"/>
                                                <w:left w:val="none" w:sz="0" w:space="0" w:color="auto"/>
                                                <w:bottom w:val="none" w:sz="0" w:space="0" w:color="auto"/>
                                                <w:right w:val="none" w:sz="0" w:space="0" w:color="auto"/>
                                              </w:divBdr>
                                              <w:divsChild>
                                                <w:div w:id="225605376">
                                                  <w:marLeft w:val="0"/>
                                                  <w:marRight w:val="0"/>
                                                  <w:marTop w:val="0"/>
                                                  <w:marBottom w:val="0"/>
                                                  <w:divBdr>
                                                    <w:top w:val="none" w:sz="0" w:space="0" w:color="auto"/>
                                                    <w:left w:val="none" w:sz="0" w:space="0" w:color="auto"/>
                                                    <w:bottom w:val="none" w:sz="0" w:space="0" w:color="auto"/>
                                                    <w:right w:val="none" w:sz="0" w:space="0" w:color="auto"/>
                                                  </w:divBdr>
                                                  <w:divsChild>
                                                    <w:div w:id="1325854">
                                                      <w:marLeft w:val="0"/>
                                                      <w:marRight w:val="0"/>
                                                      <w:marTop w:val="0"/>
                                                      <w:marBottom w:val="0"/>
                                                      <w:divBdr>
                                                        <w:top w:val="none" w:sz="0" w:space="0" w:color="auto"/>
                                                        <w:left w:val="none" w:sz="0" w:space="0" w:color="auto"/>
                                                        <w:bottom w:val="none" w:sz="0" w:space="0" w:color="auto"/>
                                                        <w:right w:val="none" w:sz="0" w:space="0" w:color="auto"/>
                                                      </w:divBdr>
                                                      <w:divsChild>
                                                        <w:div w:id="111171069">
                                                          <w:marLeft w:val="0"/>
                                                          <w:marRight w:val="0"/>
                                                          <w:marTop w:val="0"/>
                                                          <w:marBottom w:val="0"/>
                                                          <w:divBdr>
                                                            <w:top w:val="none" w:sz="0" w:space="0" w:color="auto"/>
                                                            <w:left w:val="none" w:sz="0" w:space="0" w:color="auto"/>
                                                            <w:bottom w:val="none" w:sz="0" w:space="0" w:color="auto"/>
                                                            <w:right w:val="none" w:sz="0" w:space="0" w:color="auto"/>
                                                          </w:divBdr>
                                                        </w:div>
                                                        <w:div w:id="1857619188">
                                                          <w:marLeft w:val="0"/>
                                                          <w:marRight w:val="0"/>
                                                          <w:marTop w:val="0"/>
                                                          <w:marBottom w:val="0"/>
                                                          <w:divBdr>
                                                            <w:top w:val="none" w:sz="0" w:space="0" w:color="auto"/>
                                                            <w:left w:val="none" w:sz="0" w:space="0" w:color="auto"/>
                                                            <w:bottom w:val="none" w:sz="0" w:space="0" w:color="auto"/>
                                                            <w:right w:val="none" w:sz="0" w:space="0" w:color="auto"/>
                                                          </w:divBdr>
                                                          <w:divsChild>
                                                            <w:div w:id="18534485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528132">
      <w:bodyDiv w:val="1"/>
      <w:marLeft w:val="0"/>
      <w:marRight w:val="0"/>
      <w:marTop w:val="0"/>
      <w:marBottom w:val="0"/>
      <w:divBdr>
        <w:top w:val="none" w:sz="0" w:space="0" w:color="auto"/>
        <w:left w:val="none" w:sz="0" w:space="0" w:color="auto"/>
        <w:bottom w:val="none" w:sz="0" w:space="0" w:color="auto"/>
        <w:right w:val="none" w:sz="0" w:space="0" w:color="auto"/>
      </w:divBdr>
      <w:divsChild>
        <w:div w:id="1010181297">
          <w:marLeft w:val="0"/>
          <w:marRight w:val="0"/>
          <w:marTop w:val="0"/>
          <w:marBottom w:val="0"/>
          <w:divBdr>
            <w:top w:val="none" w:sz="0" w:space="0" w:color="auto"/>
            <w:left w:val="none" w:sz="0" w:space="0" w:color="auto"/>
            <w:bottom w:val="none" w:sz="0" w:space="0" w:color="auto"/>
            <w:right w:val="none" w:sz="0" w:space="0" w:color="auto"/>
          </w:divBdr>
          <w:divsChild>
            <w:div w:id="947350604">
              <w:marLeft w:val="0"/>
              <w:marRight w:val="0"/>
              <w:marTop w:val="150"/>
              <w:marBottom w:val="0"/>
              <w:divBdr>
                <w:top w:val="none" w:sz="0" w:space="0" w:color="auto"/>
                <w:left w:val="none" w:sz="0" w:space="0" w:color="auto"/>
                <w:bottom w:val="none" w:sz="0" w:space="0" w:color="auto"/>
                <w:right w:val="none" w:sz="0" w:space="0" w:color="auto"/>
              </w:divBdr>
              <w:divsChild>
                <w:div w:id="1947155058">
                  <w:marLeft w:val="0"/>
                  <w:marRight w:val="0"/>
                  <w:marTop w:val="0"/>
                  <w:marBottom w:val="0"/>
                  <w:divBdr>
                    <w:top w:val="none" w:sz="0" w:space="0" w:color="auto"/>
                    <w:left w:val="none" w:sz="0" w:space="0" w:color="auto"/>
                    <w:bottom w:val="none" w:sz="0" w:space="0" w:color="auto"/>
                    <w:right w:val="none" w:sz="0" w:space="0" w:color="auto"/>
                  </w:divBdr>
                  <w:divsChild>
                    <w:div w:id="269751584">
                      <w:marLeft w:val="0"/>
                      <w:marRight w:val="0"/>
                      <w:marTop w:val="0"/>
                      <w:marBottom w:val="0"/>
                      <w:divBdr>
                        <w:top w:val="none" w:sz="0" w:space="0" w:color="auto"/>
                        <w:left w:val="none" w:sz="0" w:space="0" w:color="auto"/>
                        <w:bottom w:val="none" w:sz="0" w:space="0" w:color="auto"/>
                        <w:right w:val="none" w:sz="0" w:space="0" w:color="auto"/>
                      </w:divBdr>
                      <w:divsChild>
                        <w:div w:id="246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607181">
      <w:bodyDiv w:val="1"/>
      <w:marLeft w:val="0"/>
      <w:marRight w:val="0"/>
      <w:marTop w:val="0"/>
      <w:marBottom w:val="0"/>
      <w:divBdr>
        <w:top w:val="none" w:sz="0" w:space="0" w:color="auto"/>
        <w:left w:val="none" w:sz="0" w:space="0" w:color="auto"/>
        <w:bottom w:val="none" w:sz="0" w:space="0" w:color="auto"/>
        <w:right w:val="none" w:sz="0" w:space="0" w:color="auto"/>
      </w:divBdr>
      <w:divsChild>
        <w:div w:id="2137676010">
          <w:marLeft w:val="0"/>
          <w:marRight w:val="0"/>
          <w:marTop w:val="0"/>
          <w:marBottom w:val="0"/>
          <w:divBdr>
            <w:top w:val="none" w:sz="0" w:space="0" w:color="auto"/>
            <w:left w:val="none" w:sz="0" w:space="0" w:color="auto"/>
            <w:bottom w:val="none" w:sz="0" w:space="0" w:color="auto"/>
            <w:right w:val="none" w:sz="0" w:space="0" w:color="auto"/>
          </w:divBdr>
          <w:divsChild>
            <w:div w:id="1882748082">
              <w:marLeft w:val="0"/>
              <w:marRight w:val="0"/>
              <w:marTop w:val="0"/>
              <w:marBottom w:val="0"/>
              <w:divBdr>
                <w:top w:val="none" w:sz="0" w:space="0" w:color="auto"/>
                <w:left w:val="none" w:sz="0" w:space="0" w:color="auto"/>
                <w:bottom w:val="none" w:sz="0" w:space="0" w:color="auto"/>
                <w:right w:val="none" w:sz="0" w:space="0" w:color="auto"/>
              </w:divBdr>
              <w:divsChild>
                <w:div w:id="2107263551">
                  <w:marLeft w:val="0"/>
                  <w:marRight w:val="0"/>
                  <w:marTop w:val="0"/>
                  <w:marBottom w:val="0"/>
                  <w:divBdr>
                    <w:top w:val="none" w:sz="0" w:space="0" w:color="auto"/>
                    <w:left w:val="none" w:sz="0" w:space="0" w:color="auto"/>
                    <w:bottom w:val="none" w:sz="0" w:space="0" w:color="auto"/>
                    <w:right w:val="none" w:sz="0" w:space="0" w:color="auto"/>
                  </w:divBdr>
                  <w:divsChild>
                    <w:div w:id="806043796">
                      <w:marLeft w:val="0"/>
                      <w:marRight w:val="0"/>
                      <w:marTop w:val="0"/>
                      <w:marBottom w:val="0"/>
                      <w:divBdr>
                        <w:top w:val="none" w:sz="0" w:space="0" w:color="auto"/>
                        <w:left w:val="none" w:sz="0" w:space="0" w:color="auto"/>
                        <w:bottom w:val="none" w:sz="0" w:space="0" w:color="auto"/>
                        <w:right w:val="none" w:sz="0" w:space="0" w:color="auto"/>
                      </w:divBdr>
                      <w:divsChild>
                        <w:div w:id="1191336464">
                          <w:marLeft w:val="-225"/>
                          <w:marRight w:val="-225"/>
                          <w:marTop w:val="0"/>
                          <w:marBottom w:val="0"/>
                          <w:divBdr>
                            <w:top w:val="none" w:sz="0" w:space="0" w:color="auto"/>
                            <w:left w:val="none" w:sz="0" w:space="0" w:color="auto"/>
                            <w:bottom w:val="none" w:sz="0" w:space="0" w:color="auto"/>
                            <w:right w:val="none" w:sz="0" w:space="0" w:color="auto"/>
                          </w:divBdr>
                          <w:divsChild>
                            <w:div w:id="1638997723">
                              <w:marLeft w:val="0"/>
                              <w:marRight w:val="0"/>
                              <w:marTop w:val="0"/>
                              <w:marBottom w:val="0"/>
                              <w:divBdr>
                                <w:top w:val="none" w:sz="0" w:space="0" w:color="auto"/>
                                <w:left w:val="none" w:sz="0" w:space="0" w:color="auto"/>
                                <w:bottom w:val="none" w:sz="0" w:space="0" w:color="auto"/>
                                <w:right w:val="none" w:sz="0" w:space="0" w:color="auto"/>
                              </w:divBdr>
                              <w:divsChild>
                                <w:div w:id="6640438">
                                  <w:marLeft w:val="0"/>
                                  <w:marRight w:val="0"/>
                                  <w:marTop w:val="0"/>
                                  <w:marBottom w:val="0"/>
                                  <w:divBdr>
                                    <w:top w:val="none" w:sz="0" w:space="0" w:color="auto"/>
                                    <w:left w:val="none" w:sz="0" w:space="0" w:color="auto"/>
                                    <w:bottom w:val="none" w:sz="0" w:space="0" w:color="auto"/>
                                    <w:right w:val="none" w:sz="0" w:space="0" w:color="auto"/>
                                  </w:divBdr>
                                  <w:divsChild>
                                    <w:div w:id="900362895">
                                      <w:marLeft w:val="0"/>
                                      <w:marRight w:val="0"/>
                                      <w:marTop w:val="0"/>
                                      <w:marBottom w:val="0"/>
                                      <w:divBdr>
                                        <w:top w:val="none" w:sz="0" w:space="0" w:color="auto"/>
                                        <w:left w:val="none" w:sz="0" w:space="0" w:color="auto"/>
                                        <w:bottom w:val="none" w:sz="0" w:space="0" w:color="auto"/>
                                        <w:right w:val="none" w:sz="0" w:space="0" w:color="auto"/>
                                      </w:divBdr>
                                      <w:divsChild>
                                        <w:div w:id="7930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186110">
      <w:bodyDiv w:val="1"/>
      <w:marLeft w:val="0"/>
      <w:marRight w:val="0"/>
      <w:marTop w:val="0"/>
      <w:marBottom w:val="0"/>
      <w:divBdr>
        <w:top w:val="none" w:sz="0" w:space="0" w:color="auto"/>
        <w:left w:val="none" w:sz="0" w:space="0" w:color="auto"/>
        <w:bottom w:val="none" w:sz="0" w:space="0" w:color="auto"/>
        <w:right w:val="none" w:sz="0" w:space="0" w:color="auto"/>
      </w:divBdr>
      <w:divsChild>
        <w:div w:id="208497469">
          <w:marLeft w:val="0"/>
          <w:marRight w:val="0"/>
          <w:marTop w:val="0"/>
          <w:marBottom w:val="0"/>
          <w:divBdr>
            <w:top w:val="none" w:sz="0" w:space="0" w:color="auto"/>
            <w:left w:val="none" w:sz="0" w:space="0" w:color="auto"/>
            <w:bottom w:val="none" w:sz="0" w:space="0" w:color="auto"/>
            <w:right w:val="none" w:sz="0" w:space="0" w:color="auto"/>
          </w:divBdr>
          <w:divsChild>
            <w:div w:id="856310288">
              <w:marLeft w:val="0"/>
              <w:marRight w:val="0"/>
              <w:marTop w:val="0"/>
              <w:marBottom w:val="0"/>
              <w:divBdr>
                <w:top w:val="none" w:sz="0" w:space="0" w:color="auto"/>
                <w:left w:val="none" w:sz="0" w:space="0" w:color="auto"/>
                <w:bottom w:val="none" w:sz="0" w:space="0" w:color="auto"/>
                <w:right w:val="none" w:sz="0" w:space="0" w:color="auto"/>
              </w:divBdr>
              <w:divsChild>
                <w:div w:id="1117290453">
                  <w:marLeft w:val="0"/>
                  <w:marRight w:val="0"/>
                  <w:marTop w:val="100"/>
                  <w:marBottom w:val="100"/>
                  <w:divBdr>
                    <w:top w:val="none" w:sz="0" w:space="0" w:color="auto"/>
                    <w:left w:val="none" w:sz="0" w:space="0" w:color="auto"/>
                    <w:bottom w:val="none" w:sz="0" w:space="0" w:color="auto"/>
                    <w:right w:val="none" w:sz="0" w:space="0" w:color="auto"/>
                  </w:divBdr>
                  <w:divsChild>
                    <w:div w:id="1991324554">
                      <w:marLeft w:val="0"/>
                      <w:marRight w:val="0"/>
                      <w:marTop w:val="0"/>
                      <w:marBottom w:val="0"/>
                      <w:divBdr>
                        <w:top w:val="none" w:sz="0" w:space="0" w:color="auto"/>
                        <w:left w:val="none" w:sz="0" w:space="0" w:color="auto"/>
                        <w:bottom w:val="none" w:sz="0" w:space="0" w:color="auto"/>
                        <w:right w:val="none" w:sz="0" w:space="0" w:color="auto"/>
                      </w:divBdr>
                      <w:divsChild>
                        <w:div w:id="381028155">
                          <w:marLeft w:val="0"/>
                          <w:marRight w:val="0"/>
                          <w:marTop w:val="0"/>
                          <w:marBottom w:val="0"/>
                          <w:divBdr>
                            <w:top w:val="none" w:sz="0" w:space="0" w:color="auto"/>
                            <w:left w:val="none" w:sz="0" w:space="0" w:color="auto"/>
                            <w:bottom w:val="none" w:sz="0" w:space="0" w:color="auto"/>
                            <w:right w:val="none" w:sz="0" w:space="0" w:color="auto"/>
                          </w:divBdr>
                          <w:divsChild>
                            <w:div w:id="324364433">
                              <w:marLeft w:val="0"/>
                              <w:marRight w:val="0"/>
                              <w:marTop w:val="0"/>
                              <w:marBottom w:val="0"/>
                              <w:divBdr>
                                <w:top w:val="none" w:sz="0" w:space="0" w:color="auto"/>
                                <w:left w:val="none" w:sz="0" w:space="0" w:color="auto"/>
                                <w:bottom w:val="none" w:sz="0" w:space="0" w:color="auto"/>
                                <w:right w:val="none" w:sz="0" w:space="0" w:color="auto"/>
                              </w:divBdr>
                              <w:divsChild>
                                <w:div w:id="670370287">
                                  <w:marLeft w:val="0"/>
                                  <w:marRight w:val="0"/>
                                  <w:marTop w:val="0"/>
                                  <w:marBottom w:val="0"/>
                                  <w:divBdr>
                                    <w:top w:val="none" w:sz="0" w:space="0" w:color="auto"/>
                                    <w:left w:val="none" w:sz="0" w:space="0" w:color="auto"/>
                                    <w:bottom w:val="none" w:sz="0" w:space="0" w:color="auto"/>
                                    <w:right w:val="none" w:sz="0" w:space="0" w:color="auto"/>
                                  </w:divBdr>
                                  <w:divsChild>
                                    <w:div w:id="8126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455672">
      <w:bodyDiv w:val="1"/>
      <w:marLeft w:val="0"/>
      <w:marRight w:val="0"/>
      <w:marTop w:val="0"/>
      <w:marBottom w:val="0"/>
      <w:divBdr>
        <w:top w:val="none" w:sz="0" w:space="0" w:color="auto"/>
        <w:left w:val="none" w:sz="0" w:space="0" w:color="auto"/>
        <w:bottom w:val="none" w:sz="0" w:space="0" w:color="auto"/>
        <w:right w:val="none" w:sz="0" w:space="0" w:color="auto"/>
      </w:divBdr>
    </w:div>
    <w:div w:id="854000727">
      <w:bodyDiv w:val="1"/>
      <w:marLeft w:val="0"/>
      <w:marRight w:val="0"/>
      <w:marTop w:val="0"/>
      <w:marBottom w:val="0"/>
      <w:divBdr>
        <w:top w:val="none" w:sz="0" w:space="0" w:color="auto"/>
        <w:left w:val="none" w:sz="0" w:space="0" w:color="auto"/>
        <w:bottom w:val="none" w:sz="0" w:space="0" w:color="auto"/>
        <w:right w:val="none" w:sz="0" w:space="0" w:color="auto"/>
      </w:divBdr>
      <w:divsChild>
        <w:div w:id="119037079">
          <w:marLeft w:val="0"/>
          <w:marRight w:val="0"/>
          <w:marTop w:val="150"/>
          <w:marBottom w:val="150"/>
          <w:divBdr>
            <w:top w:val="none" w:sz="0" w:space="0" w:color="auto"/>
            <w:left w:val="none" w:sz="0" w:space="0" w:color="auto"/>
            <w:bottom w:val="none" w:sz="0" w:space="0" w:color="auto"/>
            <w:right w:val="none" w:sz="0" w:space="0" w:color="auto"/>
          </w:divBdr>
        </w:div>
      </w:divsChild>
    </w:div>
    <w:div w:id="855457389">
      <w:bodyDiv w:val="1"/>
      <w:marLeft w:val="0"/>
      <w:marRight w:val="0"/>
      <w:marTop w:val="0"/>
      <w:marBottom w:val="0"/>
      <w:divBdr>
        <w:top w:val="none" w:sz="0" w:space="0" w:color="auto"/>
        <w:left w:val="none" w:sz="0" w:space="0" w:color="auto"/>
        <w:bottom w:val="none" w:sz="0" w:space="0" w:color="auto"/>
        <w:right w:val="none" w:sz="0" w:space="0" w:color="auto"/>
      </w:divBdr>
      <w:divsChild>
        <w:div w:id="1568416194">
          <w:marLeft w:val="0"/>
          <w:marRight w:val="0"/>
          <w:marTop w:val="0"/>
          <w:marBottom w:val="0"/>
          <w:divBdr>
            <w:top w:val="none" w:sz="0" w:space="0" w:color="auto"/>
            <w:left w:val="none" w:sz="0" w:space="0" w:color="auto"/>
            <w:bottom w:val="none" w:sz="0" w:space="0" w:color="auto"/>
            <w:right w:val="none" w:sz="0" w:space="0" w:color="auto"/>
          </w:divBdr>
          <w:divsChild>
            <w:div w:id="1622802534">
              <w:marLeft w:val="0"/>
              <w:marRight w:val="0"/>
              <w:marTop w:val="0"/>
              <w:marBottom w:val="0"/>
              <w:divBdr>
                <w:top w:val="none" w:sz="0" w:space="0" w:color="auto"/>
                <w:left w:val="none" w:sz="0" w:space="0" w:color="auto"/>
                <w:bottom w:val="none" w:sz="0" w:space="0" w:color="auto"/>
                <w:right w:val="none" w:sz="0" w:space="0" w:color="auto"/>
              </w:divBdr>
              <w:divsChild>
                <w:div w:id="1606377171">
                  <w:marLeft w:val="0"/>
                  <w:marRight w:val="0"/>
                  <w:marTop w:val="0"/>
                  <w:marBottom w:val="0"/>
                  <w:divBdr>
                    <w:top w:val="none" w:sz="0" w:space="0" w:color="auto"/>
                    <w:left w:val="none" w:sz="0" w:space="0" w:color="auto"/>
                    <w:bottom w:val="none" w:sz="0" w:space="0" w:color="auto"/>
                    <w:right w:val="none" w:sz="0" w:space="0" w:color="auto"/>
                  </w:divBdr>
                  <w:divsChild>
                    <w:div w:id="1604875064">
                      <w:marLeft w:val="0"/>
                      <w:marRight w:val="0"/>
                      <w:marTop w:val="0"/>
                      <w:marBottom w:val="0"/>
                      <w:divBdr>
                        <w:top w:val="none" w:sz="0" w:space="0" w:color="auto"/>
                        <w:left w:val="none" w:sz="0" w:space="0" w:color="auto"/>
                        <w:bottom w:val="none" w:sz="0" w:space="0" w:color="auto"/>
                        <w:right w:val="none" w:sz="0" w:space="0" w:color="auto"/>
                      </w:divBdr>
                      <w:divsChild>
                        <w:div w:id="6367477">
                          <w:marLeft w:val="0"/>
                          <w:marRight w:val="0"/>
                          <w:marTop w:val="0"/>
                          <w:marBottom w:val="0"/>
                          <w:divBdr>
                            <w:top w:val="none" w:sz="0" w:space="0" w:color="auto"/>
                            <w:left w:val="none" w:sz="0" w:space="0" w:color="auto"/>
                            <w:bottom w:val="none" w:sz="0" w:space="0" w:color="auto"/>
                            <w:right w:val="none" w:sz="0" w:space="0" w:color="auto"/>
                          </w:divBdr>
                          <w:divsChild>
                            <w:div w:id="251545982">
                              <w:marLeft w:val="0"/>
                              <w:marRight w:val="0"/>
                              <w:marTop w:val="0"/>
                              <w:marBottom w:val="0"/>
                              <w:divBdr>
                                <w:top w:val="none" w:sz="0" w:space="0" w:color="auto"/>
                                <w:left w:val="none" w:sz="0" w:space="0" w:color="auto"/>
                                <w:bottom w:val="none" w:sz="0" w:space="0" w:color="auto"/>
                                <w:right w:val="none" w:sz="0" w:space="0" w:color="auto"/>
                              </w:divBdr>
                              <w:divsChild>
                                <w:div w:id="1512141829">
                                  <w:marLeft w:val="0"/>
                                  <w:marRight w:val="0"/>
                                  <w:marTop w:val="0"/>
                                  <w:marBottom w:val="0"/>
                                  <w:divBdr>
                                    <w:top w:val="none" w:sz="0" w:space="0" w:color="auto"/>
                                    <w:left w:val="none" w:sz="0" w:space="0" w:color="auto"/>
                                    <w:bottom w:val="none" w:sz="0" w:space="0" w:color="auto"/>
                                    <w:right w:val="none" w:sz="0" w:space="0" w:color="auto"/>
                                  </w:divBdr>
                                  <w:divsChild>
                                    <w:div w:id="758986828">
                                      <w:marLeft w:val="0"/>
                                      <w:marRight w:val="0"/>
                                      <w:marTop w:val="0"/>
                                      <w:marBottom w:val="0"/>
                                      <w:divBdr>
                                        <w:top w:val="none" w:sz="0" w:space="0" w:color="auto"/>
                                        <w:left w:val="none" w:sz="0" w:space="0" w:color="auto"/>
                                        <w:bottom w:val="none" w:sz="0" w:space="0" w:color="auto"/>
                                        <w:right w:val="none" w:sz="0" w:space="0" w:color="auto"/>
                                      </w:divBdr>
                                      <w:divsChild>
                                        <w:div w:id="1496333801">
                                          <w:marLeft w:val="0"/>
                                          <w:marRight w:val="0"/>
                                          <w:marTop w:val="0"/>
                                          <w:marBottom w:val="0"/>
                                          <w:divBdr>
                                            <w:top w:val="none" w:sz="0" w:space="0" w:color="auto"/>
                                            <w:left w:val="none" w:sz="0" w:space="0" w:color="auto"/>
                                            <w:bottom w:val="none" w:sz="0" w:space="0" w:color="auto"/>
                                            <w:right w:val="none" w:sz="0" w:space="0" w:color="auto"/>
                                          </w:divBdr>
                                          <w:divsChild>
                                            <w:div w:id="1370228882">
                                              <w:marLeft w:val="0"/>
                                              <w:marRight w:val="0"/>
                                              <w:marTop w:val="0"/>
                                              <w:marBottom w:val="0"/>
                                              <w:divBdr>
                                                <w:top w:val="none" w:sz="0" w:space="0" w:color="auto"/>
                                                <w:left w:val="none" w:sz="0" w:space="0" w:color="auto"/>
                                                <w:bottom w:val="none" w:sz="0" w:space="0" w:color="auto"/>
                                                <w:right w:val="none" w:sz="0" w:space="0" w:color="auto"/>
                                              </w:divBdr>
                                              <w:divsChild>
                                                <w:div w:id="870647857">
                                                  <w:marLeft w:val="0"/>
                                                  <w:marRight w:val="0"/>
                                                  <w:marTop w:val="0"/>
                                                  <w:marBottom w:val="0"/>
                                                  <w:divBdr>
                                                    <w:top w:val="none" w:sz="0" w:space="0" w:color="auto"/>
                                                    <w:left w:val="none" w:sz="0" w:space="0" w:color="auto"/>
                                                    <w:bottom w:val="none" w:sz="0" w:space="0" w:color="auto"/>
                                                    <w:right w:val="none" w:sz="0" w:space="0" w:color="auto"/>
                                                  </w:divBdr>
                                                  <w:divsChild>
                                                    <w:div w:id="752355683">
                                                      <w:marLeft w:val="0"/>
                                                      <w:marRight w:val="0"/>
                                                      <w:marTop w:val="0"/>
                                                      <w:marBottom w:val="0"/>
                                                      <w:divBdr>
                                                        <w:top w:val="none" w:sz="0" w:space="0" w:color="auto"/>
                                                        <w:left w:val="none" w:sz="0" w:space="0" w:color="auto"/>
                                                        <w:bottom w:val="none" w:sz="0" w:space="0" w:color="auto"/>
                                                        <w:right w:val="none" w:sz="0" w:space="0" w:color="auto"/>
                                                      </w:divBdr>
                                                      <w:divsChild>
                                                        <w:div w:id="10607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5463331">
      <w:bodyDiv w:val="1"/>
      <w:marLeft w:val="0"/>
      <w:marRight w:val="0"/>
      <w:marTop w:val="0"/>
      <w:marBottom w:val="0"/>
      <w:divBdr>
        <w:top w:val="none" w:sz="0" w:space="0" w:color="auto"/>
        <w:left w:val="none" w:sz="0" w:space="0" w:color="auto"/>
        <w:bottom w:val="none" w:sz="0" w:space="0" w:color="auto"/>
        <w:right w:val="none" w:sz="0" w:space="0" w:color="auto"/>
      </w:divBdr>
      <w:divsChild>
        <w:div w:id="819422069">
          <w:marLeft w:val="0"/>
          <w:marRight w:val="0"/>
          <w:marTop w:val="0"/>
          <w:marBottom w:val="0"/>
          <w:divBdr>
            <w:top w:val="none" w:sz="0" w:space="0" w:color="auto"/>
            <w:left w:val="none" w:sz="0" w:space="0" w:color="auto"/>
            <w:bottom w:val="none" w:sz="0" w:space="0" w:color="auto"/>
            <w:right w:val="none" w:sz="0" w:space="0" w:color="auto"/>
          </w:divBdr>
          <w:divsChild>
            <w:div w:id="1921937223">
              <w:marLeft w:val="0"/>
              <w:marRight w:val="0"/>
              <w:marTop w:val="0"/>
              <w:marBottom w:val="0"/>
              <w:divBdr>
                <w:top w:val="none" w:sz="0" w:space="0" w:color="auto"/>
                <w:left w:val="none" w:sz="0" w:space="0" w:color="auto"/>
                <w:bottom w:val="none" w:sz="0" w:space="0" w:color="auto"/>
                <w:right w:val="none" w:sz="0" w:space="0" w:color="auto"/>
              </w:divBdr>
              <w:divsChild>
                <w:div w:id="1664046052">
                  <w:marLeft w:val="0"/>
                  <w:marRight w:val="0"/>
                  <w:marTop w:val="0"/>
                  <w:marBottom w:val="0"/>
                  <w:divBdr>
                    <w:top w:val="none" w:sz="0" w:space="0" w:color="auto"/>
                    <w:left w:val="none" w:sz="0" w:space="0" w:color="auto"/>
                    <w:bottom w:val="none" w:sz="0" w:space="0" w:color="auto"/>
                    <w:right w:val="none" w:sz="0" w:space="0" w:color="auto"/>
                  </w:divBdr>
                  <w:divsChild>
                    <w:div w:id="1442410480">
                      <w:marLeft w:val="0"/>
                      <w:marRight w:val="0"/>
                      <w:marTop w:val="0"/>
                      <w:marBottom w:val="0"/>
                      <w:divBdr>
                        <w:top w:val="none" w:sz="0" w:space="0" w:color="auto"/>
                        <w:left w:val="none" w:sz="0" w:space="0" w:color="auto"/>
                        <w:bottom w:val="none" w:sz="0" w:space="0" w:color="auto"/>
                        <w:right w:val="none" w:sz="0" w:space="0" w:color="auto"/>
                      </w:divBdr>
                      <w:divsChild>
                        <w:div w:id="115313831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58541651">
      <w:bodyDiv w:val="1"/>
      <w:marLeft w:val="0"/>
      <w:marRight w:val="0"/>
      <w:marTop w:val="0"/>
      <w:marBottom w:val="0"/>
      <w:divBdr>
        <w:top w:val="none" w:sz="0" w:space="0" w:color="auto"/>
        <w:left w:val="none" w:sz="0" w:space="0" w:color="auto"/>
        <w:bottom w:val="none" w:sz="0" w:space="0" w:color="auto"/>
        <w:right w:val="none" w:sz="0" w:space="0" w:color="auto"/>
      </w:divBdr>
    </w:div>
    <w:div w:id="859511593">
      <w:bodyDiv w:val="1"/>
      <w:marLeft w:val="0"/>
      <w:marRight w:val="0"/>
      <w:marTop w:val="0"/>
      <w:marBottom w:val="0"/>
      <w:divBdr>
        <w:top w:val="none" w:sz="0" w:space="0" w:color="auto"/>
        <w:left w:val="none" w:sz="0" w:space="0" w:color="auto"/>
        <w:bottom w:val="none" w:sz="0" w:space="0" w:color="auto"/>
        <w:right w:val="none" w:sz="0" w:space="0" w:color="auto"/>
      </w:divBdr>
    </w:div>
    <w:div w:id="859705583">
      <w:bodyDiv w:val="1"/>
      <w:marLeft w:val="0"/>
      <w:marRight w:val="0"/>
      <w:marTop w:val="0"/>
      <w:marBottom w:val="0"/>
      <w:divBdr>
        <w:top w:val="none" w:sz="0" w:space="0" w:color="auto"/>
        <w:left w:val="none" w:sz="0" w:space="0" w:color="auto"/>
        <w:bottom w:val="none" w:sz="0" w:space="0" w:color="auto"/>
        <w:right w:val="none" w:sz="0" w:space="0" w:color="auto"/>
      </w:divBdr>
      <w:divsChild>
        <w:div w:id="1913082036">
          <w:marLeft w:val="0"/>
          <w:marRight w:val="0"/>
          <w:marTop w:val="0"/>
          <w:marBottom w:val="0"/>
          <w:divBdr>
            <w:top w:val="none" w:sz="0" w:space="0" w:color="auto"/>
            <w:left w:val="none" w:sz="0" w:space="0" w:color="auto"/>
            <w:bottom w:val="none" w:sz="0" w:space="0" w:color="auto"/>
            <w:right w:val="none" w:sz="0" w:space="0" w:color="auto"/>
          </w:divBdr>
        </w:div>
      </w:divsChild>
    </w:div>
    <w:div w:id="860315960">
      <w:bodyDiv w:val="1"/>
      <w:marLeft w:val="0"/>
      <w:marRight w:val="0"/>
      <w:marTop w:val="0"/>
      <w:marBottom w:val="0"/>
      <w:divBdr>
        <w:top w:val="none" w:sz="0" w:space="0" w:color="auto"/>
        <w:left w:val="none" w:sz="0" w:space="0" w:color="auto"/>
        <w:bottom w:val="none" w:sz="0" w:space="0" w:color="auto"/>
        <w:right w:val="none" w:sz="0" w:space="0" w:color="auto"/>
      </w:divBdr>
    </w:div>
    <w:div w:id="860365076">
      <w:bodyDiv w:val="1"/>
      <w:marLeft w:val="0"/>
      <w:marRight w:val="0"/>
      <w:marTop w:val="0"/>
      <w:marBottom w:val="0"/>
      <w:divBdr>
        <w:top w:val="none" w:sz="0" w:space="0" w:color="auto"/>
        <w:left w:val="none" w:sz="0" w:space="0" w:color="auto"/>
        <w:bottom w:val="none" w:sz="0" w:space="0" w:color="auto"/>
        <w:right w:val="none" w:sz="0" w:space="0" w:color="auto"/>
      </w:divBdr>
      <w:divsChild>
        <w:div w:id="1313827548">
          <w:marLeft w:val="0"/>
          <w:marRight w:val="0"/>
          <w:marTop w:val="0"/>
          <w:marBottom w:val="0"/>
          <w:divBdr>
            <w:top w:val="none" w:sz="0" w:space="0" w:color="auto"/>
            <w:left w:val="none" w:sz="0" w:space="0" w:color="auto"/>
            <w:bottom w:val="none" w:sz="0" w:space="0" w:color="auto"/>
            <w:right w:val="none" w:sz="0" w:space="0" w:color="auto"/>
          </w:divBdr>
          <w:divsChild>
            <w:div w:id="1782798761">
              <w:marLeft w:val="0"/>
              <w:marRight w:val="-100"/>
              <w:marTop w:val="1050"/>
              <w:marBottom w:val="0"/>
              <w:divBdr>
                <w:top w:val="none" w:sz="0" w:space="0" w:color="auto"/>
                <w:left w:val="none" w:sz="0" w:space="0" w:color="auto"/>
                <w:bottom w:val="none" w:sz="0" w:space="0" w:color="auto"/>
                <w:right w:val="none" w:sz="0" w:space="0" w:color="auto"/>
              </w:divBdr>
              <w:divsChild>
                <w:div w:id="2030834749">
                  <w:marLeft w:val="3450"/>
                  <w:marRight w:val="0"/>
                  <w:marTop w:val="330"/>
                  <w:marBottom w:val="0"/>
                  <w:divBdr>
                    <w:top w:val="none" w:sz="0" w:space="0" w:color="auto"/>
                    <w:left w:val="none" w:sz="0" w:space="0" w:color="auto"/>
                    <w:bottom w:val="none" w:sz="0" w:space="0" w:color="auto"/>
                    <w:right w:val="none" w:sz="0" w:space="0" w:color="auto"/>
                  </w:divBdr>
                  <w:divsChild>
                    <w:div w:id="1094475032">
                      <w:marLeft w:val="0"/>
                      <w:marRight w:val="0"/>
                      <w:marTop w:val="0"/>
                      <w:marBottom w:val="0"/>
                      <w:divBdr>
                        <w:top w:val="none" w:sz="0" w:space="0" w:color="auto"/>
                        <w:left w:val="none" w:sz="0" w:space="0" w:color="auto"/>
                        <w:bottom w:val="none" w:sz="0" w:space="0" w:color="auto"/>
                        <w:right w:val="none" w:sz="0" w:space="0" w:color="auto"/>
                      </w:divBdr>
                      <w:divsChild>
                        <w:div w:id="1613613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900417">
      <w:bodyDiv w:val="1"/>
      <w:marLeft w:val="0"/>
      <w:marRight w:val="0"/>
      <w:marTop w:val="0"/>
      <w:marBottom w:val="0"/>
      <w:divBdr>
        <w:top w:val="none" w:sz="0" w:space="0" w:color="auto"/>
        <w:left w:val="none" w:sz="0" w:space="0" w:color="auto"/>
        <w:bottom w:val="none" w:sz="0" w:space="0" w:color="auto"/>
        <w:right w:val="none" w:sz="0" w:space="0" w:color="auto"/>
      </w:divBdr>
      <w:divsChild>
        <w:div w:id="710038472">
          <w:marLeft w:val="0"/>
          <w:marRight w:val="0"/>
          <w:marTop w:val="0"/>
          <w:marBottom w:val="0"/>
          <w:divBdr>
            <w:top w:val="none" w:sz="0" w:space="0" w:color="auto"/>
            <w:left w:val="none" w:sz="0" w:space="0" w:color="auto"/>
            <w:bottom w:val="none" w:sz="0" w:space="0" w:color="auto"/>
            <w:right w:val="none" w:sz="0" w:space="0" w:color="auto"/>
          </w:divBdr>
          <w:divsChild>
            <w:div w:id="561866310">
              <w:marLeft w:val="0"/>
              <w:marRight w:val="0"/>
              <w:marTop w:val="0"/>
              <w:marBottom w:val="0"/>
              <w:divBdr>
                <w:top w:val="none" w:sz="0" w:space="0" w:color="auto"/>
                <w:left w:val="none" w:sz="0" w:space="0" w:color="auto"/>
                <w:bottom w:val="none" w:sz="0" w:space="0" w:color="auto"/>
                <w:right w:val="none" w:sz="0" w:space="0" w:color="auto"/>
              </w:divBdr>
              <w:divsChild>
                <w:div w:id="392781635">
                  <w:marLeft w:val="0"/>
                  <w:marRight w:val="0"/>
                  <w:marTop w:val="0"/>
                  <w:marBottom w:val="0"/>
                  <w:divBdr>
                    <w:top w:val="none" w:sz="0" w:space="0" w:color="auto"/>
                    <w:left w:val="none" w:sz="0" w:space="0" w:color="auto"/>
                    <w:bottom w:val="none" w:sz="0" w:space="0" w:color="auto"/>
                    <w:right w:val="none" w:sz="0" w:space="0" w:color="auto"/>
                  </w:divBdr>
                  <w:divsChild>
                    <w:div w:id="833181352">
                      <w:marLeft w:val="0"/>
                      <w:marRight w:val="0"/>
                      <w:marTop w:val="0"/>
                      <w:marBottom w:val="0"/>
                      <w:divBdr>
                        <w:top w:val="none" w:sz="0" w:space="0" w:color="auto"/>
                        <w:left w:val="none" w:sz="0" w:space="0" w:color="auto"/>
                        <w:bottom w:val="none" w:sz="0" w:space="0" w:color="auto"/>
                        <w:right w:val="none" w:sz="0" w:space="0" w:color="auto"/>
                      </w:divBdr>
                      <w:divsChild>
                        <w:div w:id="1968047569">
                          <w:marLeft w:val="0"/>
                          <w:marRight w:val="0"/>
                          <w:marTop w:val="0"/>
                          <w:marBottom w:val="0"/>
                          <w:divBdr>
                            <w:top w:val="none" w:sz="0" w:space="0" w:color="auto"/>
                            <w:left w:val="none" w:sz="0" w:space="0" w:color="auto"/>
                            <w:bottom w:val="none" w:sz="0" w:space="0" w:color="auto"/>
                            <w:right w:val="none" w:sz="0" w:space="0" w:color="auto"/>
                          </w:divBdr>
                          <w:divsChild>
                            <w:div w:id="20057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107770">
          <w:marLeft w:val="0"/>
          <w:marRight w:val="0"/>
          <w:marTop w:val="0"/>
          <w:marBottom w:val="0"/>
          <w:divBdr>
            <w:top w:val="none" w:sz="0" w:space="0" w:color="auto"/>
            <w:left w:val="none" w:sz="0" w:space="0" w:color="auto"/>
            <w:bottom w:val="none" w:sz="0" w:space="0" w:color="auto"/>
            <w:right w:val="none" w:sz="0" w:space="0" w:color="auto"/>
          </w:divBdr>
          <w:divsChild>
            <w:div w:id="990014417">
              <w:marLeft w:val="0"/>
              <w:marRight w:val="0"/>
              <w:marTop w:val="0"/>
              <w:marBottom w:val="0"/>
              <w:divBdr>
                <w:top w:val="none" w:sz="0" w:space="0" w:color="auto"/>
                <w:left w:val="none" w:sz="0" w:space="0" w:color="auto"/>
                <w:bottom w:val="none" w:sz="0" w:space="0" w:color="auto"/>
                <w:right w:val="none" w:sz="0" w:space="0" w:color="auto"/>
              </w:divBdr>
              <w:divsChild>
                <w:div w:id="1724407286">
                  <w:marLeft w:val="0"/>
                  <w:marRight w:val="0"/>
                  <w:marTop w:val="0"/>
                  <w:marBottom w:val="0"/>
                  <w:divBdr>
                    <w:top w:val="none" w:sz="0" w:space="0" w:color="auto"/>
                    <w:left w:val="none" w:sz="0" w:space="0" w:color="auto"/>
                    <w:bottom w:val="none" w:sz="0" w:space="0" w:color="auto"/>
                    <w:right w:val="none" w:sz="0" w:space="0" w:color="auto"/>
                  </w:divBdr>
                  <w:divsChild>
                    <w:div w:id="2083990227">
                      <w:marLeft w:val="0"/>
                      <w:marRight w:val="0"/>
                      <w:marTop w:val="0"/>
                      <w:marBottom w:val="0"/>
                      <w:divBdr>
                        <w:top w:val="none" w:sz="0" w:space="0" w:color="auto"/>
                        <w:left w:val="none" w:sz="0" w:space="0" w:color="auto"/>
                        <w:bottom w:val="none" w:sz="0" w:space="0" w:color="auto"/>
                        <w:right w:val="none" w:sz="0" w:space="0" w:color="auto"/>
                      </w:divBdr>
                      <w:divsChild>
                        <w:div w:id="11056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7614">
              <w:marLeft w:val="0"/>
              <w:marRight w:val="0"/>
              <w:marTop w:val="0"/>
              <w:marBottom w:val="0"/>
              <w:divBdr>
                <w:top w:val="none" w:sz="0" w:space="0" w:color="auto"/>
                <w:left w:val="none" w:sz="0" w:space="0" w:color="auto"/>
                <w:bottom w:val="none" w:sz="0" w:space="0" w:color="auto"/>
                <w:right w:val="none" w:sz="0" w:space="0" w:color="auto"/>
              </w:divBdr>
              <w:divsChild>
                <w:div w:id="1613856499">
                  <w:marLeft w:val="0"/>
                  <w:marRight w:val="0"/>
                  <w:marTop w:val="0"/>
                  <w:marBottom w:val="0"/>
                  <w:divBdr>
                    <w:top w:val="none" w:sz="0" w:space="0" w:color="auto"/>
                    <w:left w:val="none" w:sz="0" w:space="0" w:color="auto"/>
                    <w:bottom w:val="none" w:sz="0" w:space="0" w:color="auto"/>
                    <w:right w:val="none" w:sz="0" w:space="0" w:color="auto"/>
                  </w:divBdr>
                  <w:divsChild>
                    <w:div w:id="211232339">
                      <w:marLeft w:val="0"/>
                      <w:marRight w:val="0"/>
                      <w:marTop w:val="0"/>
                      <w:marBottom w:val="0"/>
                      <w:divBdr>
                        <w:top w:val="none" w:sz="0" w:space="0" w:color="auto"/>
                        <w:left w:val="none" w:sz="0" w:space="0" w:color="auto"/>
                        <w:bottom w:val="none" w:sz="0" w:space="0" w:color="auto"/>
                        <w:right w:val="none" w:sz="0" w:space="0" w:color="auto"/>
                      </w:divBdr>
                      <w:divsChild>
                        <w:div w:id="363822779">
                          <w:marLeft w:val="0"/>
                          <w:marRight w:val="0"/>
                          <w:marTop w:val="0"/>
                          <w:marBottom w:val="0"/>
                          <w:divBdr>
                            <w:top w:val="none" w:sz="0" w:space="0" w:color="auto"/>
                            <w:left w:val="none" w:sz="0" w:space="0" w:color="auto"/>
                            <w:bottom w:val="none" w:sz="0" w:space="0" w:color="auto"/>
                            <w:right w:val="none" w:sz="0" w:space="0" w:color="auto"/>
                          </w:divBdr>
                          <w:divsChild>
                            <w:div w:id="1379671723">
                              <w:marLeft w:val="0"/>
                              <w:marRight w:val="0"/>
                              <w:marTop w:val="0"/>
                              <w:marBottom w:val="0"/>
                              <w:divBdr>
                                <w:top w:val="none" w:sz="0" w:space="0" w:color="auto"/>
                                <w:left w:val="none" w:sz="0" w:space="0" w:color="auto"/>
                                <w:bottom w:val="none" w:sz="0" w:space="0" w:color="auto"/>
                                <w:right w:val="none" w:sz="0" w:space="0" w:color="auto"/>
                              </w:divBdr>
                              <w:divsChild>
                                <w:div w:id="14513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360100">
      <w:bodyDiv w:val="1"/>
      <w:marLeft w:val="0"/>
      <w:marRight w:val="0"/>
      <w:marTop w:val="0"/>
      <w:marBottom w:val="0"/>
      <w:divBdr>
        <w:top w:val="none" w:sz="0" w:space="0" w:color="auto"/>
        <w:left w:val="none" w:sz="0" w:space="0" w:color="auto"/>
        <w:bottom w:val="none" w:sz="0" w:space="0" w:color="auto"/>
        <w:right w:val="none" w:sz="0" w:space="0" w:color="auto"/>
      </w:divBdr>
      <w:divsChild>
        <w:div w:id="2109349815">
          <w:marLeft w:val="0"/>
          <w:marRight w:val="0"/>
          <w:marTop w:val="0"/>
          <w:marBottom w:val="0"/>
          <w:divBdr>
            <w:top w:val="single" w:sz="6" w:space="0" w:color="0E477A"/>
            <w:left w:val="single" w:sz="6" w:space="0" w:color="0E477A"/>
            <w:bottom w:val="single" w:sz="6" w:space="0" w:color="0E477A"/>
            <w:right w:val="single" w:sz="6" w:space="0" w:color="0E477A"/>
          </w:divBdr>
          <w:divsChild>
            <w:div w:id="894270162">
              <w:marLeft w:val="0"/>
              <w:marRight w:val="0"/>
              <w:marTop w:val="0"/>
              <w:marBottom w:val="0"/>
              <w:divBdr>
                <w:top w:val="none" w:sz="0" w:space="0" w:color="auto"/>
                <w:left w:val="none" w:sz="0" w:space="0" w:color="auto"/>
                <w:bottom w:val="none" w:sz="0" w:space="0" w:color="auto"/>
                <w:right w:val="none" w:sz="0" w:space="0" w:color="auto"/>
              </w:divBdr>
              <w:divsChild>
                <w:div w:id="1829860415">
                  <w:marLeft w:val="0"/>
                  <w:marRight w:val="0"/>
                  <w:marTop w:val="0"/>
                  <w:marBottom w:val="0"/>
                  <w:divBdr>
                    <w:top w:val="none" w:sz="0" w:space="0" w:color="auto"/>
                    <w:left w:val="none" w:sz="0" w:space="0" w:color="auto"/>
                    <w:bottom w:val="none" w:sz="0" w:space="0" w:color="auto"/>
                    <w:right w:val="none" w:sz="0" w:space="0" w:color="auto"/>
                  </w:divBdr>
                  <w:divsChild>
                    <w:div w:id="1721401135">
                      <w:marLeft w:val="0"/>
                      <w:marRight w:val="0"/>
                      <w:marTop w:val="0"/>
                      <w:marBottom w:val="0"/>
                      <w:divBdr>
                        <w:top w:val="none" w:sz="0" w:space="0" w:color="auto"/>
                        <w:left w:val="none" w:sz="0" w:space="0" w:color="auto"/>
                        <w:bottom w:val="none" w:sz="0" w:space="0" w:color="auto"/>
                        <w:right w:val="none" w:sz="0" w:space="0" w:color="auto"/>
                      </w:divBdr>
                      <w:divsChild>
                        <w:div w:id="853763031">
                          <w:marLeft w:val="0"/>
                          <w:marRight w:val="0"/>
                          <w:marTop w:val="0"/>
                          <w:marBottom w:val="0"/>
                          <w:divBdr>
                            <w:top w:val="none" w:sz="0" w:space="0" w:color="auto"/>
                            <w:left w:val="none" w:sz="0" w:space="0" w:color="auto"/>
                            <w:bottom w:val="none" w:sz="0" w:space="0" w:color="auto"/>
                            <w:right w:val="none" w:sz="0" w:space="0" w:color="auto"/>
                          </w:divBdr>
                          <w:divsChild>
                            <w:div w:id="2017540401">
                              <w:marLeft w:val="0"/>
                              <w:marRight w:val="0"/>
                              <w:marTop w:val="0"/>
                              <w:marBottom w:val="0"/>
                              <w:divBdr>
                                <w:top w:val="none" w:sz="0" w:space="0" w:color="auto"/>
                                <w:left w:val="none" w:sz="0" w:space="0" w:color="auto"/>
                                <w:bottom w:val="none" w:sz="0" w:space="0" w:color="auto"/>
                                <w:right w:val="none" w:sz="0" w:space="0" w:color="auto"/>
                              </w:divBdr>
                              <w:divsChild>
                                <w:div w:id="4709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128317">
      <w:bodyDiv w:val="1"/>
      <w:marLeft w:val="0"/>
      <w:marRight w:val="0"/>
      <w:marTop w:val="0"/>
      <w:marBottom w:val="0"/>
      <w:divBdr>
        <w:top w:val="none" w:sz="0" w:space="0" w:color="auto"/>
        <w:left w:val="none" w:sz="0" w:space="0" w:color="auto"/>
        <w:bottom w:val="none" w:sz="0" w:space="0" w:color="auto"/>
        <w:right w:val="none" w:sz="0" w:space="0" w:color="auto"/>
      </w:divBdr>
      <w:divsChild>
        <w:div w:id="1953702739">
          <w:marLeft w:val="0"/>
          <w:marRight w:val="0"/>
          <w:marTop w:val="0"/>
          <w:marBottom w:val="0"/>
          <w:divBdr>
            <w:top w:val="none" w:sz="0" w:space="0" w:color="auto"/>
            <w:left w:val="none" w:sz="0" w:space="0" w:color="auto"/>
            <w:bottom w:val="none" w:sz="0" w:space="0" w:color="auto"/>
            <w:right w:val="none" w:sz="0" w:space="0" w:color="auto"/>
          </w:divBdr>
          <w:divsChild>
            <w:div w:id="1969428094">
              <w:marLeft w:val="0"/>
              <w:marRight w:val="0"/>
              <w:marTop w:val="150"/>
              <w:marBottom w:val="0"/>
              <w:divBdr>
                <w:top w:val="none" w:sz="0" w:space="0" w:color="auto"/>
                <w:left w:val="none" w:sz="0" w:space="0" w:color="auto"/>
                <w:bottom w:val="none" w:sz="0" w:space="0" w:color="auto"/>
                <w:right w:val="none" w:sz="0" w:space="0" w:color="auto"/>
              </w:divBdr>
              <w:divsChild>
                <w:div w:id="315845606">
                  <w:marLeft w:val="0"/>
                  <w:marRight w:val="0"/>
                  <w:marTop w:val="0"/>
                  <w:marBottom w:val="0"/>
                  <w:divBdr>
                    <w:top w:val="none" w:sz="0" w:space="0" w:color="auto"/>
                    <w:left w:val="none" w:sz="0" w:space="0" w:color="auto"/>
                    <w:bottom w:val="none" w:sz="0" w:space="0" w:color="auto"/>
                    <w:right w:val="none" w:sz="0" w:space="0" w:color="auto"/>
                  </w:divBdr>
                  <w:divsChild>
                    <w:div w:id="216547610">
                      <w:marLeft w:val="0"/>
                      <w:marRight w:val="0"/>
                      <w:marTop w:val="0"/>
                      <w:marBottom w:val="0"/>
                      <w:divBdr>
                        <w:top w:val="none" w:sz="0" w:space="0" w:color="auto"/>
                        <w:left w:val="none" w:sz="0" w:space="0" w:color="auto"/>
                        <w:bottom w:val="none" w:sz="0" w:space="0" w:color="auto"/>
                        <w:right w:val="none" w:sz="0" w:space="0" w:color="auto"/>
                      </w:divBdr>
                      <w:divsChild>
                        <w:div w:id="1328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206549">
      <w:bodyDiv w:val="1"/>
      <w:marLeft w:val="0"/>
      <w:marRight w:val="0"/>
      <w:marTop w:val="0"/>
      <w:marBottom w:val="0"/>
      <w:divBdr>
        <w:top w:val="none" w:sz="0" w:space="0" w:color="auto"/>
        <w:left w:val="none" w:sz="0" w:space="0" w:color="auto"/>
        <w:bottom w:val="none" w:sz="0" w:space="0" w:color="auto"/>
        <w:right w:val="none" w:sz="0" w:space="0" w:color="auto"/>
      </w:divBdr>
      <w:divsChild>
        <w:div w:id="332685170">
          <w:marLeft w:val="0"/>
          <w:marRight w:val="0"/>
          <w:marTop w:val="0"/>
          <w:marBottom w:val="0"/>
          <w:divBdr>
            <w:top w:val="none" w:sz="0" w:space="0" w:color="auto"/>
            <w:left w:val="none" w:sz="0" w:space="0" w:color="auto"/>
            <w:bottom w:val="none" w:sz="0" w:space="0" w:color="auto"/>
            <w:right w:val="none" w:sz="0" w:space="0" w:color="auto"/>
          </w:divBdr>
          <w:divsChild>
            <w:div w:id="1316881345">
              <w:marLeft w:val="0"/>
              <w:marRight w:val="0"/>
              <w:marTop w:val="0"/>
              <w:marBottom w:val="0"/>
              <w:divBdr>
                <w:top w:val="none" w:sz="0" w:space="0" w:color="auto"/>
                <w:left w:val="none" w:sz="0" w:space="0" w:color="auto"/>
                <w:bottom w:val="none" w:sz="0" w:space="0" w:color="auto"/>
                <w:right w:val="none" w:sz="0" w:space="0" w:color="auto"/>
              </w:divBdr>
              <w:divsChild>
                <w:div w:id="1190215153">
                  <w:marLeft w:val="0"/>
                  <w:marRight w:val="0"/>
                  <w:marTop w:val="100"/>
                  <w:marBottom w:val="100"/>
                  <w:divBdr>
                    <w:top w:val="none" w:sz="0" w:space="0" w:color="auto"/>
                    <w:left w:val="none" w:sz="0" w:space="0" w:color="auto"/>
                    <w:bottom w:val="none" w:sz="0" w:space="0" w:color="auto"/>
                    <w:right w:val="none" w:sz="0" w:space="0" w:color="auto"/>
                  </w:divBdr>
                  <w:divsChild>
                    <w:div w:id="1843472205">
                      <w:marLeft w:val="0"/>
                      <w:marRight w:val="0"/>
                      <w:marTop w:val="0"/>
                      <w:marBottom w:val="0"/>
                      <w:divBdr>
                        <w:top w:val="none" w:sz="0" w:space="0" w:color="auto"/>
                        <w:left w:val="none" w:sz="0" w:space="0" w:color="auto"/>
                        <w:bottom w:val="none" w:sz="0" w:space="0" w:color="auto"/>
                        <w:right w:val="none" w:sz="0" w:space="0" w:color="auto"/>
                      </w:divBdr>
                      <w:divsChild>
                        <w:div w:id="1832674090">
                          <w:marLeft w:val="0"/>
                          <w:marRight w:val="0"/>
                          <w:marTop w:val="0"/>
                          <w:marBottom w:val="0"/>
                          <w:divBdr>
                            <w:top w:val="none" w:sz="0" w:space="0" w:color="auto"/>
                            <w:left w:val="none" w:sz="0" w:space="0" w:color="auto"/>
                            <w:bottom w:val="none" w:sz="0" w:space="0" w:color="auto"/>
                            <w:right w:val="none" w:sz="0" w:space="0" w:color="auto"/>
                          </w:divBdr>
                          <w:divsChild>
                            <w:div w:id="1776750519">
                              <w:marLeft w:val="0"/>
                              <w:marRight w:val="0"/>
                              <w:marTop w:val="0"/>
                              <w:marBottom w:val="0"/>
                              <w:divBdr>
                                <w:top w:val="none" w:sz="0" w:space="0" w:color="auto"/>
                                <w:left w:val="none" w:sz="0" w:space="0" w:color="auto"/>
                                <w:bottom w:val="none" w:sz="0" w:space="0" w:color="auto"/>
                                <w:right w:val="none" w:sz="0" w:space="0" w:color="auto"/>
                              </w:divBdr>
                              <w:divsChild>
                                <w:div w:id="646125856">
                                  <w:marLeft w:val="0"/>
                                  <w:marRight w:val="0"/>
                                  <w:marTop w:val="0"/>
                                  <w:marBottom w:val="0"/>
                                  <w:divBdr>
                                    <w:top w:val="none" w:sz="0" w:space="0" w:color="auto"/>
                                    <w:left w:val="none" w:sz="0" w:space="0" w:color="auto"/>
                                    <w:bottom w:val="none" w:sz="0" w:space="0" w:color="auto"/>
                                    <w:right w:val="none" w:sz="0" w:space="0" w:color="auto"/>
                                  </w:divBdr>
                                  <w:divsChild>
                                    <w:div w:id="1065761553">
                                      <w:marLeft w:val="0"/>
                                      <w:marRight w:val="0"/>
                                      <w:marTop w:val="0"/>
                                      <w:marBottom w:val="0"/>
                                      <w:divBdr>
                                        <w:top w:val="none" w:sz="0" w:space="0" w:color="auto"/>
                                        <w:left w:val="none" w:sz="0" w:space="0" w:color="auto"/>
                                        <w:bottom w:val="none" w:sz="0" w:space="0" w:color="auto"/>
                                        <w:right w:val="none" w:sz="0" w:space="0" w:color="auto"/>
                                      </w:divBdr>
                                      <w:divsChild>
                                        <w:div w:id="2118863318">
                                          <w:marLeft w:val="0"/>
                                          <w:marRight w:val="0"/>
                                          <w:marTop w:val="0"/>
                                          <w:marBottom w:val="0"/>
                                          <w:divBdr>
                                            <w:top w:val="none" w:sz="0" w:space="0" w:color="auto"/>
                                            <w:left w:val="none" w:sz="0" w:space="0" w:color="auto"/>
                                            <w:bottom w:val="none" w:sz="0" w:space="0" w:color="auto"/>
                                            <w:right w:val="none" w:sz="0" w:space="0" w:color="auto"/>
                                          </w:divBdr>
                                          <w:divsChild>
                                            <w:div w:id="456029032">
                                              <w:marLeft w:val="0"/>
                                              <w:marRight w:val="0"/>
                                              <w:marTop w:val="0"/>
                                              <w:marBottom w:val="0"/>
                                              <w:divBdr>
                                                <w:top w:val="single" w:sz="4" w:space="0" w:color="B6D444"/>
                                                <w:left w:val="none" w:sz="0" w:space="0" w:color="auto"/>
                                                <w:bottom w:val="none" w:sz="0" w:space="0" w:color="auto"/>
                                                <w:right w:val="none" w:sz="0" w:space="0" w:color="auto"/>
                                              </w:divBdr>
                                              <w:divsChild>
                                                <w:div w:id="764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096104">
      <w:bodyDiv w:val="1"/>
      <w:marLeft w:val="0"/>
      <w:marRight w:val="0"/>
      <w:marTop w:val="0"/>
      <w:marBottom w:val="0"/>
      <w:divBdr>
        <w:top w:val="none" w:sz="0" w:space="0" w:color="auto"/>
        <w:left w:val="none" w:sz="0" w:space="0" w:color="auto"/>
        <w:bottom w:val="none" w:sz="0" w:space="0" w:color="auto"/>
        <w:right w:val="none" w:sz="0" w:space="0" w:color="auto"/>
      </w:divBdr>
      <w:divsChild>
        <w:div w:id="1272668401">
          <w:marLeft w:val="0"/>
          <w:marRight w:val="0"/>
          <w:marTop w:val="0"/>
          <w:marBottom w:val="0"/>
          <w:divBdr>
            <w:top w:val="none" w:sz="0" w:space="0" w:color="auto"/>
            <w:left w:val="none" w:sz="0" w:space="0" w:color="auto"/>
            <w:bottom w:val="none" w:sz="0" w:space="0" w:color="auto"/>
            <w:right w:val="none" w:sz="0" w:space="0" w:color="auto"/>
          </w:divBdr>
          <w:divsChild>
            <w:div w:id="82344480">
              <w:marLeft w:val="0"/>
              <w:marRight w:val="0"/>
              <w:marTop w:val="0"/>
              <w:marBottom w:val="0"/>
              <w:divBdr>
                <w:top w:val="none" w:sz="0" w:space="0" w:color="auto"/>
                <w:left w:val="none" w:sz="0" w:space="0" w:color="auto"/>
                <w:bottom w:val="none" w:sz="0" w:space="0" w:color="auto"/>
                <w:right w:val="none" w:sz="0" w:space="0" w:color="auto"/>
              </w:divBdr>
              <w:divsChild>
                <w:div w:id="1426804341">
                  <w:marLeft w:val="0"/>
                  <w:marRight w:val="0"/>
                  <w:marTop w:val="100"/>
                  <w:marBottom w:val="100"/>
                  <w:divBdr>
                    <w:top w:val="none" w:sz="0" w:space="0" w:color="auto"/>
                    <w:left w:val="none" w:sz="0" w:space="0" w:color="auto"/>
                    <w:bottom w:val="none" w:sz="0" w:space="0" w:color="auto"/>
                    <w:right w:val="none" w:sz="0" w:space="0" w:color="auto"/>
                  </w:divBdr>
                  <w:divsChild>
                    <w:div w:id="809639930">
                      <w:marLeft w:val="0"/>
                      <w:marRight w:val="0"/>
                      <w:marTop w:val="0"/>
                      <w:marBottom w:val="0"/>
                      <w:divBdr>
                        <w:top w:val="none" w:sz="0" w:space="0" w:color="auto"/>
                        <w:left w:val="none" w:sz="0" w:space="0" w:color="auto"/>
                        <w:bottom w:val="none" w:sz="0" w:space="0" w:color="auto"/>
                        <w:right w:val="none" w:sz="0" w:space="0" w:color="auto"/>
                      </w:divBdr>
                      <w:divsChild>
                        <w:div w:id="996110452">
                          <w:marLeft w:val="0"/>
                          <w:marRight w:val="0"/>
                          <w:marTop w:val="0"/>
                          <w:marBottom w:val="0"/>
                          <w:divBdr>
                            <w:top w:val="none" w:sz="0" w:space="0" w:color="auto"/>
                            <w:left w:val="none" w:sz="0" w:space="0" w:color="auto"/>
                            <w:bottom w:val="none" w:sz="0" w:space="0" w:color="auto"/>
                            <w:right w:val="none" w:sz="0" w:space="0" w:color="auto"/>
                          </w:divBdr>
                          <w:divsChild>
                            <w:div w:id="2016760679">
                              <w:marLeft w:val="0"/>
                              <w:marRight w:val="0"/>
                              <w:marTop w:val="0"/>
                              <w:marBottom w:val="0"/>
                              <w:divBdr>
                                <w:top w:val="none" w:sz="0" w:space="0" w:color="auto"/>
                                <w:left w:val="none" w:sz="0" w:space="0" w:color="auto"/>
                                <w:bottom w:val="none" w:sz="0" w:space="0" w:color="auto"/>
                                <w:right w:val="none" w:sz="0" w:space="0" w:color="auto"/>
                              </w:divBdr>
                              <w:divsChild>
                                <w:div w:id="739253350">
                                  <w:marLeft w:val="0"/>
                                  <w:marRight w:val="0"/>
                                  <w:marTop w:val="0"/>
                                  <w:marBottom w:val="0"/>
                                  <w:divBdr>
                                    <w:top w:val="none" w:sz="0" w:space="0" w:color="auto"/>
                                    <w:left w:val="none" w:sz="0" w:space="0" w:color="auto"/>
                                    <w:bottom w:val="none" w:sz="0" w:space="0" w:color="auto"/>
                                    <w:right w:val="none" w:sz="0" w:space="0" w:color="auto"/>
                                  </w:divBdr>
                                  <w:divsChild>
                                    <w:div w:id="555168436">
                                      <w:marLeft w:val="0"/>
                                      <w:marRight w:val="0"/>
                                      <w:marTop w:val="0"/>
                                      <w:marBottom w:val="0"/>
                                      <w:divBdr>
                                        <w:top w:val="none" w:sz="0" w:space="0" w:color="auto"/>
                                        <w:left w:val="none" w:sz="0" w:space="0" w:color="auto"/>
                                        <w:bottom w:val="none" w:sz="0" w:space="0" w:color="auto"/>
                                        <w:right w:val="none" w:sz="0" w:space="0" w:color="auto"/>
                                      </w:divBdr>
                                      <w:divsChild>
                                        <w:div w:id="1545949274">
                                          <w:marLeft w:val="0"/>
                                          <w:marRight w:val="0"/>
                                          <w:marTop w:val="0"/>
                                          <w:marBottom w:val="0"/>
                                          <w:divBdr>
                                            <w:top w:val="none" w:sz="0" w:space="0" w:color="auto"/>
                                            <w:left w:val="none" w:sz="0" w:space="0" w:color="auto"/>
                                            <w:bottom w:val="none" w:sz="0" w:space="0" w:color="auto"/>
                                            <w:right w:val="none" w:sz="0" w:space="0" w:color="auto"/>
                                          </w:divBdr>
                                          <w:divsChild>
                                            <w:div w:id="386729660">
                                              <w:marLeft w:val="0"/>
                                              <w:marRight w:val="0"/>
                                              <w:marTop w:val="0"/>
                                              <w:marBottom w:val="0"/>
                                              <w:divBdr>
                                                <w:top w:val="single" w:sz="6" w:space="0" w:color="B6D444"/>
                                                <w:left w:val="none" w:sz="0" w:space="0" w:color="auto"/>
                                                <w:bottom w:val="none" w:sz="0" w:space="0" w:color="auto"/>
                                                <w:right w:val="none" w:sz="0" w:space="0" w:color="auto"/>
                                              </w:divBdr>
                                              <w:divsChild>
                                                <w:div w:id="13209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27253">
      <w:bodyDiv w:val="1"/>
      <w:marLeft w:val="0"/>
      <w:marRight w:val="0"/>
      <w:marTop w:val="0"/>
      <w:marBottom w:val="0"/>
      <w:divBdr>
        <w:top w:val="none" w:sz="0" w:space="0" w:color="auto"/>
        <w:left w:val="none" w:sz="0" w:space="0" w:color="auto"/>
        <w:bottom w:val="none" w:sz="0" w:space="0" w:color="auto"/>
        <w:right w:val="none" w:sz="0" w:space="0" w:color="auto"/>
      </w:divBdr>
      <w:divsChild>
        <w:div w:id="1881017306">
          <w:marLeft w:val="0"/>
          <w:marRight w:val="0"/>
          <w:marTop w:val="0"/>
          <w:marBottom w:val="0"/>
          <w:divBdr>
            <w:top w:val="none" w:sz="0" w:space="0" w:color="auto"/>
            <w:left w:val="none" w:sz="0" w:space="0" w:color="auto"/>
            <w:bottom w:val="none" w:sz="0" w:space="0" w:color="auto"/>
            <w:right w:val="none" w:sz="0" w:space="0" w:color="auto"/>
          </w:divBdr>
          <w:divsChild>
            <w:div w:id="65343372">
              <w:marLeft w:val="0"/>
              <w:marRight w:val="0"/>
              <w:marTop w:val="0"/>
              <w:marBottom w:val="0"/>
              <w:divBdr>
                <w:top w:val="none" w:sz="0" w:space="0" w:color="auto"/>
                <w:left w:val="none" w:sz="0" w:space="0" w:color="auto"/>
                <w:bottom w:val="none" w:sz="0" w:space="0" w:color="auto"/>
                <w:right w:val="none" w:sz="0" w:space="0" w:color="auto"/>
              </w:divBdr>
              <w:divsChild>
                <w:div w:id="1134758059">
                  <w:marLeft w:val="0"/>
                  <w:marRight w:val="0"/>
                  <w:marTop w:val="0"/>
                  <w:marBottom w:val="0"/>
                  <w:divBdr>
                    <w:top w:val="none" w:sz="0" w:space="0" w:color="auto"/>
                    <w:left w:val="none" w:sz="0" w:space="0" w:color="auto"/>
                    <w:bottom w:val="none" w:sz="0" w:space="0" w:color="auto"/>
                    <w:right w:val="none" w:sz="0" w:space="0" w:color="auto"/>
                  </w:divBdr>
                  <w:divsChild>
                    <w:div w:id="10430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87498">
      <w:bodyDiv w:val="1"/>
      <w:marLeft w:val="0"/>
      <w:marRight w:val="0"/>
      <w:marTop w:val="0"/>
      <w:marBottom w:val="0"/>
      <w:divBdr>
        <w:top w:val="none" w:sz="0" w:space="0" w:color="auto"/>
        <w:left w:val="none" w:sz="0" w:space="0" w:color="auto"/>
        <w:bottom w:val="none" w:sz="0" w:space="0" w:color="auto"/>
        <w:right w:val="none" w:sz="0" w:space="0" w:color="auto"/>
      </w:divBdr>
    </w:div>
    <w:div w:id="867792668">
      <w:bodyDiv w:val="1"/>
      <w:marLeft w:val="0"/>
      <w:marRight w:val="0"/>
      <w:marTop w:val="0"/>
      <w:marBottom w:val="0"/>
      <w:divBdr>
        <w:top w:val="none" w:sz="0" w:space="0" w:color="auto"/>
        <w:left w:val="none" w:sz="0" w:space="0" w:color="auto"/>
        <w:bottom w:val="none" w:sz="0" w:space="0" w:color="auto"/>
        <w:right w:val="none" w:sz="0" w:space="0" w:color="auto"/>
      </w:divBdr>
      <w:divsChild>
        <w:div w:id="13505699">
          <w:marLeft w:val="0"/>
          <w:marRight w:val="0"/>
          <w:marTop w:val="150"/>
          <w:marBottom w:val="0"/>
          <w:divBdr>
            <w:top w:val="none" w:sz="0" w:space="0" w:color="auto"/>
            <w:left w:val="none" w:sz="0" w:space="0" w:color="auto"/>
            <w:bottom w:val="none" w:sz="0" w:space="0" w:color="auto"/>
            <w:right w:val="none" w:sz="0" w:space="0" w:color="auto"/>
          </w:divBdr>
          <w:divsChild>
            <w:div w:id="1788811189">
              <w:marLeft w:val="2"/>
              <w:marRight w:val="2"/>
              <w:marTop w:val="0"/>
              <w:marBottom w:val="0"/>
              <w:divBdr>
                <w:top w:val="none" w:sz="0" w:space="0" w:color="auto"/>
                <w:left w:val="none" w:sz="0" w:space="0" w:color="auto"/>
                <w:bottom w:val="none" w:sz="0" w:space="0" w:color="auto"/>
                <w:right w:val="none" w:sz="0" w:space="0" w:color="auto"/>
              </w:divBdr>
              <w:divsChild>
                <w:div w:id="1918132177">
                  <w:marLeft w:val="0"/>
                  <w:marRight w:val="0"/>
                  <w:marTop w:val="0"/>
                  <w:marBottom w:val="0"/>
                  <w:divBdr>
                    <w:top w:val="none" w:sz="0" w:space="0" w:color="auto"/>
                    <w:left w:val="none" w:sz="0" w:space="0" w:color="auto"/>
                    <w:bottom w:val="none" w:sz="0" w:space="0" w:color="auto"/>
                    <w:right w:val="none" w:sz="0" w:space="0" w:color="auto"/>
                  </w:divBdr>
                  <w:divsChild>
                    <w:div w:id="1485196686">
                      <w:marLeft w:val="0"/>
                      <w:marRight w:val="0"/>
                      <w:marTop w:val="0"/>
                      <w:marBottom w:val="0"/>
                      <w:divBdr>
                        <w:top w:val="none" w:sz="0" w:space="0" w:color="auto"/>
                        <w:left w:val="none" w:sz="0" w:space="0" w:color="auto"/>
                        <w:bottom w:val="none" w:sz="0" w:space="0" w:color="auto"/>
                        <w:right w:val="none" w:sz="0" w:space="0" w:color="auto"/>
                      </w:divBdr>
                      <w:divsChild>
                        <w:div w:id="1041979340">
                          <w:marLeft w:val="0"/>
                          <w:marRight w:val="0"/>
                          <w:marTop w:val="0"/>
                          <w:marBottom w:val="0"/>
                          <w:divBdr>
                            <w:top w:val="none" w:sz="0" w:space="0" w:color="auto"/>
                            <w:left w:val="none" w:sz="0" w:space="0" w:color="auto"/>
                            <w:bottom w:val="none" w:sz="0" w:space="0" w:color="auto"/>
                            <w:right w:val="none" w:sz="0" w:space="0" w:color="auto"/>
                          </w:divBdr>
                          <w:divsChild>
                            <w:div w:id="96681846">
                              <w:marLeft w:val="0"/>
                              <w:marRight w:val="0"/>
                              <w:marTop w:val="0"/>
                              <w:marBottom w:val="0"/>
                              <w:divBdr>
                                <w:top w:val="none" w:sz="0" w:space="0" w:color="auto"/>
                                <w:left w:val="none" w:sz="0" w:space="0" w:color="auto"/>
                                <w:bottom w:val="none" w:sz="0" w:space="0" w:color="auto"/>
                                <w:right w:val="none" w:sz="0" w:space="0" w:color="auto"/>
                              </w:divBdr>
                              <w:divsChild>
                                <w:div w:id="1583222415">
                                  <w:marLeft w:val="0"/>
                                  <w:marRight w:val="0"/>
                                  <w:marTop w:val="0"/>
                                  <w:marBottom w:val="0"/>
                                  <w:divBdr>
                                    <w:top w:val="none" w:sz="0" w:space="0" w:color="auto"/>
                                    <w:left w:val="none" w:sz="0" w:space="0" w:color="auto"/>
                                    <w:bottom w:val="none" w:sz="0" w:space="0" w:color="auto"/>
                                    <w:right w:val="none" w:sz="0" w:space="0" w:color="auto"/>
                                  </w:divBdr>
                                  <w:divsChild>
                                    <w:div w:id="911086145">
                                      <w:marLeft w:val="0"/>
                                      <w:marRight w:val="0"/>
                                      <w:marTop w:val="0"/>
                                      <w:marBottom w:val="0"/>
                                      <w:divBdr>
                                        <w:top w:val="none" w:sz="0" w:space="0" w:color="auto"/>
                                        <w:left w:val="none" w:sz="0" w:space="0" w:color="auto"/>
                                        <w:bottom w:val="none" w:sz="0" w:space="0" w:color="auto"/>
                                        <w:right w:val="none" w:sz="0" w:space="0" w:color="auto"/>
                                      </w:divBdr>
                                      <w:divsChild>
                                        <w:div w:id="203369490">
                                          <w:marLeft w:val="0"/>
                                          <w:marRight w:val="0"/>
                                          <w:marTop w:val="0"/>
                                          <w:marBottom w:val="0"/>
                                          <w:divBdr>
                                            <w:top w:val="none" w:sz="0" w:space="0" w:color="auto"/>
                                            <w:left w:val="none" w:sz="0" w:space="0" w:color="auto"/>
                                            <w:bottom w:val="none" w:sz="0" w:space="0" w:color="auto"/>
                                            <w:right w:val="none" w:sz="0" w:space="0" w:color="auto"/>
                                          </w:divBdr>
                                          <w:divsChild>
                                            <w:div w:id="355734797">
                                              <w:marLeft w:val="0"/>
                                              <w:marRight w:val="0"/>
                                              <w:marTop w:val="0"/>
                                              <w:marBottom w:val="0"/>
                                              <w:divBdr>
                                                <w:top w:val="none" w:sz="0" w:space="0" w:color="auto"/>
                                                <w:left w:val="none" w:sz="0" w:space="0" w:color="auto"/>
                                                <w:bottom w:val="none" w:sz="0" w:space="0" w:color="auto"/>
                                                <w:right w:val="none" w:sz="0" w:space="0" w:color="auto"/>
                                              </w:divBdr>
                                              <w:divsChild>
                                                <w:div w:id="942224725">
                                                  <w:marLeft w:val="0"/>
                                                  <w:marRight w:val="0"/>
                                                  <w:marTop w:val="0"/>
                                                  <w:marBottom w:val="0"/>
                                                  <w:divBdr>
                                                    <w:top w:val="none" w:sz="0" w:space="0" w:color="auto"/>
                                                    <w:left w:val="none" w:sz="0" w:space="0" w:color="auto"/>
                                                    <w:bottom w:val="none" w:sz="0" w:space="0" w:color="auto"/>
                                                    <w:right w:val="none" w:sz="0" w:space="0" w:color="auto"/>
                                                  </w:divBdr>
                                                </w:div>
                                              </w:divsChild>
                                            </w:div>
                                            <w:div w:id="865211542">
                                              <w:marLeft w:val="0"/>
                                              <w:marRight w:val="0"/>
                                              <w:marTop w:val="0"/>
                                              <w:marBottom w:val="0"/>
                                              <w:divBdr>
                                                <w:top w:val="none" w:sz="0" w:space="0" w:color="auto"/>
                                                <w:left w:val="none" w:sz="0" w:space="0" w:color="auto"/>
                                                <w:bottom w:val="none" w:sz="0" w:space="0" w:color="auto"/>
                                                <w:right w:val="none" w:sz="0" w:space="0" w:color="auto"/>
                                              </w:divBdr>
                                              <w:divsChild>
                                                <w:div w:id="432475241">
                                                  <w:marLeft w:val="0"/>
                                                  <w:marRight w:val="0"/>
                                                  <w:marTop w:val="0"/>
                                                  <w:marBottom w:val="0"/>
                                                  <w:divBdr>
                                                    <w:top w:val="none" w:sz="0" w:space="0" w:color="auto"/>
                                                    <w:left w:val="none" w:sz="0" w:space="0" w:color="auto"/>
                                                    <w:bottom w:val="none" w:sz="0" w:space="0" w:color="auto"/>
                                                    <w:right w:val="none" w:sz="0" w:space="0" w:color="auto"/>
                                                  </w:divBdr>
                                                </w:div>
                                              </w:divsChild>
                                            </w:div>
                                            <w:div w:id="601305923">
                                              <w:marLeft w:val="0"/>
                                              <w:marRight w:val="0"/>
                                              <w:marTop w:val="0"/>
                                              <w:marBottom w:val="0"/>
                                              <w:divBdr>
                                                <w:top w:val="none" w:sz="0" w:space="0" w:color="auto"/>
                                                <w:left w:val="none" w:sz="0" w:space="0" w:color="auto"/>
                                                <w:bottom w:val="none" w:sz="0" w:space="0" w:color="auto"/>
                                                <w:right w:val="none" w:sz="0" w:space="0" w:color="auto"/>
                                              </w:divBdr>
                                              <w:divsChild>
                                                <w:div w:id="1183786581">
                                                  <w:marLeft w:val="0"/>
                                                  <w:marRight w:val="0"/>
                                                  <w:marTop w:val="0"/>
                                                  <w:marBottom w:val="0"/>
                                                  <w:divBdr>
                                                    <w:top w:val="none" w:sz="0" w:space="0" w:color="auto"/>
                                                    <w:left w:val="none" w:sz="0" w:space="0" w:color="auto"/>
                                                    <w:bottom w:val="none" w:sz="0" w:space="0" w:color="auto"/>
                                                    <w:right w:val="none" w:sz="0" w:space="0" w:color="auto"/>
                                                  </w:divBdr>
                                                </w:div>
                                              </w:divsChild>
                                            </w:div>
                                            <w:div w:id="166946039">
                                              <w:marLeft w:val="0"/>
                                              <w:marRight w:val="0"/>
                                              <w:marTop w:val="0"/>
                                              <w:marBottom w:val="0"/>
                                              <w:divBdr>
                                                <w:top w:val="none" w:sz="0" w:space="0" w:color="auto"/>
                                                <w:left w:val="none" w:sz="0" w:space="0" w:color="auto"/>
                                                <w:bottom w:val="none" w:sz="0" w:space="0" w:color="auto"/>
                                                <w:right w:val="none" w:sz="0" w:space="0" w:color="auto"/>
                                              </w:divBdr>
                                              <w:divsChild>
                                                <w:div w:id="7743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989893">
      <w:bodyDiv w:val="1"/>
      <w:marLeft w:val="0"/>
      <w:marRight w:val="0"/>
      <w:marTop w:val="0"/>
      <w:marBottom w:val="0"/>
      <w:divBdr>
        <w:top w:val="none" w:sz="0" w:space="0" w:color="auto"/>
        <w:left w:val="none" w:sz="0" w:space="0" w:color="auto"/>
        <w:bottom w:val="none" w:sz="0" w:space="0" w:color="auto"/>
        <w:right w:val="none" w:sz="0" w:space="0" w:color="auto"/>
      </w:divBdr>
      <w:divsChild>
        <w:div w:id="708914831">
          <w:marLeft w:val="0"/>
          <w:marRight w:val="0"/>
          <w:marTop w:val="0"/>
          <w:marBottom w:val="0"/>
          <w:divBdr>
            <w:top w:val="none" w:sz="0" w:space="0" w:color="auto"/>
            <w:left w:val="none" w:sz="0" w:space="0" w:color="auto"/>
            <w:bottom w:val="none" w:sz="0" w:space="0" w:color="auto"/>
            <w:right w:val="none" w:sz="0" w:space="0" w:color="auto"/>
          </w:divBdr>
          <w:divsChild>
            <w:div w:id="968047701">
              <w:marLeft w:val="2"/>
              <w:marRight w:val="2"/>
              <w:marTop w:val="0"/>
              <w:marBottom w:val="0"/>
              <w:divBdr>
                <w:top w:val="none" w:sz="0" w:space="0" w:color="auto"/>
                <w:left w:val="none" w:sz="0" w:space="0" w:color="auto"/>
                <w:bottom w:val="none" w:sz="0" w:space="0" w:color="auto"/>
                <w:right w:val="none" w:sz="0" w:space="0" w:color="auto"/>
              </w:divBdr>
              <w:divsChild>
                <w:div w:id="996571846">
                  <w:marLeft w:val="0"/>
                  <w:marRight w:val="0"/>
                  <w:marTop w:val="0"/>
                  <w:marBottom w:val="0"/>
                  <w:divBdr>
                    <w:top w:val="none" w:sz="0" w:space="0" w:color="auto"/>
                    <w:left w:val="none" w:sz="0" w:space="0" w:color="auto"/>
                    <w:bottom w:val="none" w:sz="0" w:space="0" w:color="auto"/>
                    <w:right w:val="none" w:sz="0" w:space="0" w:color="auto"/>
                  </w:divBdr>
                  <w:divsChild>
                    <w:div w:id="50155871">
                      <w:marLeft w:val="0"/>
                      <w:marRight w:val="0"/>
                      <w:marTop w:val="0"/>
                      <w:marBottom w:val="0"/>
                      <w:divBdr>
                        <w:top w:val="none" w:sz="0" w:space="0" w:color="auto"/>
                        <w:left w:val="none" w:sz="0" w:space="0" w:color="auto"/>
                        <w:bottom w:val="none" w:sz="0" w:space="0" w:color="auto"/>
                        <w:right w:val="none" w:sz="0" w:space="0" w:color="auto"/>
                      </w:divBdr>
                      <w:divsChild>
                        <w:div w:id="952710838">
                          <w:marLeft w:val="0"/>
                          <w:marRight w:val="0"/>
                          <w:marTop w:val="0"/>
                          <w:marBottom w:val="0"/>
                          <w:divBdr>
                            <w:top w:val="none" w:sz="0" w:space="0" w:color="auto"/>
                            <w:left w:val="none" w:sz="0" w:space="0" w:color="auto"/>
                            <w:bottom w:val="none" w:sz="0" w:space="0" w:color="auto"/>
                            <w:right w:val="none" w:sz="0" w:space="0" w:color="auto"/>
                          </w:divBdr>
                          <w:divsChild>
                            <w:div w:id="2057505304">
                              <w:marLeft w:val="0"/>
                              <w:marRight w:val="0"/>
                              <w:marTop w:val="0"/>
                              <w:marBottom w:val="0"/>
                              <w:divBdr>
                                <w:top w:val="none" w:sz="0" w:space="0" w:color="auto"/>
                                <w:left w:val="none" w:sz="0" w:space="0" w:color="auto"/>
                                <w:bottom w:val="none" w:sz="0" w:space="0" w:color="auto"/>
                                <w:right w:val="none" w:sz="0" w:space="0" w:color="auto"/>
                              </w:divBdr>
                              <w:divsChild>
                                <w:div w:id="1937130143">
                                  <w:marLeft w:val="0"/>
                                  <w:marRight w:val="0"/>
                                  <w:marTop w:val="0"/>
                                  <w:marBottom w:val="0"/>
                                  <w:divBdr>
                                    <w:top w:val="none" w:sz="0" w:space="0" w:color="auto"/>
                                    <w:left w:val="none" w:sz="0" w:space="0" w:color="auto"/>
                                    <w:bottom w:val="none" w:sz="0" w:space="0" w:color="auto"/>
                                    <w:right w:val="none" w:sz="0" w:space="0" w:color="auto"/>
                                  </w:divBdr>
                                  <w:divsChild>
                                    <w:div w:id="1575161090">
                                      <w:marLeft w:val="0"/>
                                      <w:marRight w:val="0"/>
                                      <w:marTop w:val="0"/>
                                      <w:marBottom w:val="0"/>
                                      <w:divBdr>
                                        <w:top w:val="none" w:sz="0" w:space="0" w:color="auto"/>
                                        <w:left w:val="none" w:sz="0" w:space="0" w:color="auto"/>
                                        <w:bottom w:val="none" w:sz="0" w:space="0" w:color="auto"/>
                                        <w:right w:val="none" w:sz="0" w:space="0" w:color="auto"/>
                                      </w:divBdr>
                                      <w:divsChild>
                                        <w:div w:id="1976370267">
                                          <w:marLeft w:val="0"/>
                                          <w:marRight w:val="0"/>
                                          <w:marTop w:val="0"/>
                                          <w:marBottom w:val="0"/>
                                          <w:divBdr>
                                            <w:top w:val="none" w:sz="0" w:space="0" w:color="auto"/>
                                            <w:left w:val="none" w:sz="0" w:space="0" w:color="auto"/>
                                            <w:bottom w:val="none" w:sz="0" w:space="0" w:color="auto"/>
                                            <w:right w:val="none" w:sz="0" w:space="0" w:color="auto"/>
                                          </w:divBdr>
                                          <w:divsChild>
                                            <w:div w:id="1153830979">
                                              <w:marLeft w:val="0"/>
                                              <w:marRight w:val="0"/>
                                              <w:marTop w:val="0"/>
                                              <w:marBottom w:val="0"/>
                                              <w:divBdr>
                                                <w:top w:val="none" w:sz="0" w:space="0" w:color="auto"/>
                                                <w:left w:val="none" w:sz="0" w:space="0" w:color="auto"/>
                                                <w:bottom w:val="none" w:sz="0" w:space="0" w:color="auto"/>
                                                <w:right w:val="none" w:sz="0" w:space="0" w:color="auto"/>
                                              </w:divBdr>
                                            </w:div>
                                          </w:divsChild>
                                        </w:div>
                                        <w:div w:id="1735884245">
                                          <w:marLeft w:val="0"/>
                                          <w:marRight w:val="0"/>
                                          <w:marTop w:val="0"/>
                                          <w:marBottom w:val="0"/>
                                          <w:divBdr>
                                            <w:top w:val="none" w:sz="0" w:space="0" w:color="auto"/>
                                            <w:left w:val="none" w:sz="0" w:space="0" w:color="auto"/>
                                            <w:bottom w:val="none" w:sz="0" w:space="0" w:color="auto"/>
                                            <w:right w:val="none" w:sz="0" w:space="0" w:color="auto"/>
                                          </w:divBdr>
                                          <w:divsChild>
                                            <w:div w:id="346060290">
                                              <w:marLeft w:val="0"/>
                                              <w:marRight w:val="0"/>
                                              <w:marTop w:val="0"/>
                                              <w:marBottom w:val="0"/>
                                              <w:divBdr>
                                                <w:top w:val="none" w:sz="0" w:space="0" w:color="auto"/>
                                                <w:left w:val="none" w:sz="0" w:space="0" w:color="auto"/>
                                                <w:bottom w:val="none" w:sz="0" w:space="0" w:color="auto"/>
                                                <w:right w:val="none" w:sz="0" w:space="0" w:color="auto"/>
                                              </w:divBdr>
                                            </w:div>
                                          </w:divsChild>
                                        </w:div>
                                        <w:div w:id="1366327209">
                                          <w:marLeft w:val="0"/>
                                          <w:marRight w:val="0"/>
                                          <w:marTop w:val="0"/>
                                          <w:marBottom w:val="0"/>
                                          <w:divBdr>
                                            <w:top w:val="none" w:sz="0" w:space="0" w:color="auto"/>
                                            <w:left w:val="none" w:sz="0" w:space="0" w:color="auto"/>
                                            <w:bottom w:val="none" w:sz="0" w:space="0" w:color="auto"/>
                                            <w:right w:val="none" w:sz="0" w:space="0" w:color="auto"/>
                                          </w:divBdr>
                                          <w:divsChild>
                                            <w:div w:id="92090066">
                                              <w:marLeft w:val="0"/>
                                              <w:marRight w:val="0"/>
                                              <w:marTop w:val="0"/>
                                              <w:marBottom w:val="0"/>
                                              <w:divBdr>
                                                <w:top w:val="none" w:sz="0" w:space="0" w:color="auto"/>
                                                <w:left w:val="none" w:sz="0" w:space="0" w:color="auto"/>
                                                <w:bottom w:val="none" w:sz="0" w:space="0" w:color="auto"/>
                                                <w:right w:val="none" w:sz="0" w:space="0" w:color="auto"/>
                                              </w:divBdr>
                                            </w:div>
                                          </w:divsChild>
                                        </w:div>
                                        <w:div w:id="1412039647">
                                          <w:marLeft w:val="0"/>
                                          <w:marRight w:val="0"/>
                                          <w:marTop w:val="0"/>
                                          <w:marBottom w:val="0"/>
                                          <w:divBdr>
                                            <w:top w:val="none" w:sz="0" w:space="0" w:color="auto"/>
                                            <w:left w:val="none" w:sz="0" w:space="0" w:color="auto"/>
                                            <w:bottom w:val="none" w:sz="0" w:space="0" w:color="auto"/>
                                            <w:right w:val="none" w:sz="0" w:space="0" w:color="auto"/>
                                          </w:divBdr>
                                          <w:divsChild>
                                            <w:div w:id="864442923">
                                              <w:marLeft w:val="0"/>
                                              <w:marRight w:val="0"/>
                                              <w:marTop w:val="0"/>
                                              <w:marBottom w:val="0"/>
                                              <w:divBdr>
                                                <w:top w:val="none" w:sz="0" w:space="0" w:color="auto"/>
                                                <w:left w:val="none" w:sz="0" w:space="0" w:color="auto"/>
                                                <w:bottom w:val="none" w:sz="0" w:space="0" w:color="auto"/>
                                                <w:right w:val="none" w:sz="0" w:space="0" w:color="auto"/>
                                              </w:divBdr>
                                            </w:div>
                                          </w:divsChild>
                                        </w:div>
                                        <w:div w:id="1516383304">
                                          <w:marLeft w:val="0"/>
                                          <w:marRight w:val="0"/>
                                          <w:marTop w:val="0"/>
                                          <w:marBottom w:val="0"/>
                                          <w:divBdr>
                                            <w:top w:val="none" w:sz="0" w:space="0" w:color="auto"/>
                                            <w:left w:val="none" w:sz="0" w:space="0" w:color="auto"/>
                                            <w:bottom w:val="none" w:sz="0" w:space="0" w:color="auto"/>
                                            <w:right w:val="none" w:sz="0" w:space="0" w:color="auto"/>
                                          </w:divBdr>
                                          <w:divsChild>
                                            <w:div w:id="1546481561">
                                              <w:marLeft w:val="0"/>
                                              <w:marRight w:val="0"/>
                                              <w:marTop w:val="0"/>
                                              <w:marBottom w:val="0"/>
                                              <w:divBdr>
                                                <w:top w:val="none" w:sz="0" w:space="0" w:color="auto"/>
                                                <w:left w:val="none" w:sz="0" w:space="0" w:color="auto"/>
                                                <w:bottom w:val="none" w:sz="0" w:space="0" w:color="auto"/>
                                                <w:right w:val="none" w:sz="0" w:space="0" w:color="auto"/>
                                              </w:divBdr>
                                              <w:divsChild>
                                                <w:div w:id="4306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0979">
                                      <w:marLeft w:val="0"/>
                                      <w:marRight w:val="0"/>
                                      <w:marTop w:val="0"/>
                                      <w:marBottom w:val="0"/>
                                      <w:divBdr>
                                        <w:top w:val="none" w:sz="0" w:space="0" w:color="auto"/>
                                        <w:left w:val="none" w:sz="0" w:space="0" w:color="auto"/>
                                        <w:bottom w:val="none" w:sz="0" w:space="0" w:color="auto"/>
                                        <w:right w:val="none" w:sz="0" w:space="0" w:color="auto"/>
                                      </w:divBdr>
                                      <w:divsChild>
                                        <w:div w:id="1774743755">
                                          <w:marLeft w:val="0"/>
                                          <w:marRight w:val="0"/>
                                          <w:marTop w:val="0"/>
                                          <w:marBottom w:val="0"/>
                                          <w:divBdr>
                                            <w:top w:val="none" w:sz="0" w:space="0" w:color="auto"/>
                                            <w:left w:val="none" w:sz="0" w:space="0" w:color="auto"/>
                                            <w:bottom w:val="none" w:sz="0" w:space="0" w:color="auto"/>
                                            <w:right w:val="none" w:sz="0" w:space="0" w:color="auto"/>
                                          </w:divBdr>
                                          <w:divsChild>
                                            <w:div w:id="512645749">
                                              <w:marLeft w:val="0"/>
                                              <w:marRight w:val="0"/>
                                              <w:marTop w:val="0"/>
                                              <w:marBottom w:val="0"/>
                                              <w:divBdr>
                                                <w:top w:val="none" w:sz="0" w:space="0" w:color="auto"/>
                                                <w:left w:val="none" w:sz="0" w:space="0" w:color="auto"/>
                                                <w:bottom w:val="none" w:sz="0" w:space="0" w:color="auto"/>
                                                <w:right w:val="none" w:sz="0" w:space="0" w:color="auto"/>
                                              </w:divBdr>
                                            </w:div>
                                          </w:divsChild>
                                        </w:div>
                                        <w:div w:id="1095394529">
                                          <w:marLeft w:val="0"/>
                                          <w:marRight w:val="0"/>
                                          <w:marTop w:val="0"/>
                                          <w:marBottom w:val="0"/>
                                          <w:divBdr>
                                            <w:top w:val="none" w:sz="0" w:space="0" w:color="auto"/>
                                            <w:left w:val="none" w:sz="0" w:space="0" w:color="auto"/>
                                            <w:bottom w:val="none" w:sz="0" w:space="0" w:color="auto"/>
                                            <w:right w:val="none" w:sz="0" w:space="0" w:color="auto"/>
                                          </w:divBdr>
                                          <w:divsChild>
                                            <w:div w:id="1087114419">
                                              <w:marLeft w:val="0"/>
                                              <w:marRight w:val="0"/>
                                              <w:marTop w:val="0"/>
                                              <w:marBottom w:val="0"/>
                                              <w:divBdr>
                                                <w:top w:val="none" w:sz="0" w:space="0" w:color="auto"/>
                                                <w:left w:val="none" w:sz="0" w:space="0" w:color="auto"/>
                                                <w:bottom w:val="none" w:sz="0" w:space="0" w:color="auto"/>
                                                <w:right w:val="none" w:sz="0" w:space="0" w:color="auto"/>
                                              </w:divBdr>
                                            </w:div>
                                          </w:divsChild>
                                        </w:div>
                                        <w:div w:id="1183863832">
                                          <w:marLeft w:val="0"/>
                                          <w:marRight w:val="0"/>
                                          <w:marTop w:val="0"/>
                                          <w:marBottom w:val="0"/>
                                          <w:divBdr>
                                            <w:top w:val="none" w:sz="0" w:space="0" w:color="auto"/>
                                            <w:left w:val="none" w:sz="0" w:space="0" w:color="auto"/>
                                            <w:bottom w:val="none" w:sz="0" w:space="0" w:color="auto"/>
                                            <w:right w:val="none" w:sz="0" w:space="0" w:color="auto"/>
                                          </w:divBdr>
                                          <w:divsChild>
                                            <w:div w:id="644316771">
                                              <w:marLeft w:val="0"/>
                                              <w:marRight w:val="0"/>
                                              <w:marTop w:val="0"/>
                                              <w:marBottom w:val="0"/>
                                              <w:divBdr>
                                                <w:top w:val="none" w:sz="0" w:space="0" w:color="auto"/>
                                                <w:left w:val="none" w:sz="0" w:space="0" w:color="auto"/>
                                                <w:bottom w:val="none" w:sz="0" w:space="0" w:color="auto"/>
                                                <w:right w:val="none" w:sz="0" w:space="0" w:color="auto"/>
                                              </w:divBdr>
                                            </w:div>
                                          </w:divsChild>
                                        </w:div>
                                        <w:div w:id="37555394">
                                          <w:marLeft w:val="0"/>
                                          <w:marRight w:val="0"/>
                                          <w:marTop w:val="0"/>
                                          <w:marBottom w:val="0"/>
                                          <w:divBdr>
                                            <w:top w:val="none" w:sz="0" w:space="0" w:color="auto"/>
                                            <w:left w:val="none" w:sz="0" w:space="0" w:color="auto"/>
                                            <w:bottom w:val="none" w:sz="0" w:space="0" w:color="auto"/>
                                            <w:right w:val="none" w:sz="0" w:space="0" w:color="auto"/>
                                          </w:divBdr>
                                          <w:divsChild>
                                            <w:div w:id="976881568">
                                              <w:marLeft w:val="0"/>
                                              <w:marRight w:val="0"/>
                                              <w:marTop w:val="0"/>
                                              <w:marBottom w:val="0"/>
                                              <w:divBdr>
                                                <w:top w:val="none" w:sz="0" w:space="0" w:color="auto"/>
                                                <w:left w:val="none" w:sz="0" w:space="0" w:color="auto"/>
                                                <w:bottom w:val="none" w:sz="0" w:space="0" w:color="auto"/>
                                                <w:right w:val="none" w:sz="0" w:space="0" w:color="auto"/>
                                              </w:divBdr>
                                            </w:div>
                                          </w:divsChild>
                                        </w:div>
                                        <w:div w:id="1074156757">
                                          <w:marLeft w:val="0"/>
                                          <w:marRight w:val="0"/>
                                          <w:marTop w:val="0"/>
                                          <w:marBottom w:val="0"/>
                                          <w:divBdr>
                                            <w:top w:val="none" w:sz="0" w:space="0" w:color="auto"/>
                                            <w:left w:val="none" w:sz="0" w:space="0" w:color="auto"/>
                                            <w:bottom w:val="none" w:sz="0" w:space="0" w:color="auto"/>
                                            <w:right w:val="none" w:sz="0" w:space="0" w:color="auto"/>
                                          </w:divBdr>
                                          <w:divsChild>
                                            <w:div w:id="20733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109730">
      <w:bodyDiv w:val="1"/>
      <w:marLeft w:val="0"/>
      <w:marRight w:val="0"/>
      <w:marTop w:val="0"/>
      <w:marBottom w:val="0"/>
      <w:divBdr>
        <w:top w:val="none" w:sz="0" w:space="0" w:color="auto"/>
        <w:left w:val="none" w:sz="0" w:space="0" w:color="auto"/>
        <w:bottom w:val="none" w:sz="0" w:space="0" w:color="auto"/>
        <w:right w:val="none" w:sz="0" w:space="0" w:color="auto"/>
      </w:divBdr>
      <w:divsChild>
        <w:div w:id="952439577">
          <w:marLeft w:val="0"/>
          <w:marRight w:val="0"/>
          <w:marTop w:val="0"/>
          <w:marBottom w:val="0"/>
          <w:divBdr>
            <w:top w:val="none" w:sz="0" w:space="0" w:color="auto"/>
            <w:left w:val="none" w:sz="0" w:space="0" w:color="auto"/>
            <w:bottom w:val="none" w:sz="0" w:space="0" w:color="auto"/>
            <w:right w:val="none" w:sz="0" w:space="0" w:color="auto"/>
          </w:divBdr>
          <w:divsChild>
            <w:div w:id="2024089104">
              <w:marLeft w:val="210"/>
              <w:marRight w:val="0"/>
              <w:marTop w:val="0"/>
              <w:marBottom w:val="0"/>
              <w:divBdr>
                <w:top w:val="none" w:sz="0" w:space="0" w:color="auto"/>
                <w:left w:val="none" w:sz="0" w:space="0" w:color="auto"/>
                <w:bottom w:val="none" w:sz="0" w:space="0" w:color="auto"/>
                <w:right w:val="none" w:sz="0" w:space="0" w:color="auto"/>
              </w:divBdr>
              <w:divsChild>
                <w:div w:id="5760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8839">
      <w:bodyDiv w:val="1"/>
      <w:marLeft w:val="0"/>
      <w:marRight w:val="0"/>
      <w:marTop w:val="0"/>
      <w:marBottom w:val="0"/>
      <w:divBdr>
        <w:top w:val="none" w:sz="0" w:space="0" w:color="auto"/>
        <w:left w:val="none" w:sz="0" w:space="0" w:color="auto"/>
        <w:bottom w:val="none" w:sz="0" w:space="0" w:color="auto"/>
        <w:right w:val="none" w:sz="0" w:space="0" w:color="auto"/>
      </w:divBdr>
      <w:divsChild>
        <w:div w:id="2057005935">
          <w:marLeft w:val="0"/>
          <w:marRight w:val="0"/>
          <w:marTop w:val="0"/>
          <w:marBottom w:val="0"/>
          <w:divBdr>
            <w:top w:val="none" w:sz="0" w:space="0" w:color="auto"/>
            <w:left w:val="none" w:sz="0" w:space="0" w:color="auto"/>
            <w:bottom w:val="none" w:sz="0" w:space="0" w:color="auto"/>
            <w:right w:val="none" w:sz="0" w:space="0" w:color="auto"/>
          </w:divBdr>
          <w:divsChild>
            <w:div w:id="746653436">
              <w:marLeft w:val="0"/>
              <w:marRight w:val="0"/>
              <w:marTop w:val="0"/>
              <w:marBottom w:val="0"/>
              <w:divBdr>
                <w:top w:val="none" w:sz="0" w:space="0" w:color="auto"/>
                <w:left w:val="none" w:sz="0" w:space="0" w:color="auto"/>
                <w:bottom w:val="none" w:sz="0" w:space="0" w:color="auto"/>
                <w:right w:val="none" w:sz="0" w:space="0" w:color="auto"/>
              </w:divBdr>
              <w:divsChild>
                <w:div w:id="1704212275">
                  <w:marLeft w:val="0"/>
                  <w:marRight w:val="0"/>
                  <w:marTop w:val="0"/>
                  <w:marBottom w:val="0"/>
                  <w:divBdr>
                    <w:top w:val="none" w:sz="0" w:space="0" w:color="auto"/>
                    <w:left w:val="none" w:sz="0" w:space="0" w:color="auto"/>
                    <w:bottom w:val="none" w:sz="0" w:space="0" w:color="auto"/>
                    <w:right w:val="none" w:sz="0" w:space="0" w:color="auto"/>
                  </w:divBdr>
                  <w:divsChild>
                    <w:div w:id="1638992165">
                      <w:marLeft w:val="0"/>
                      <w:marRight w:val="0"/>
                      <w:marTop w:val="0"/>
                      <w:marBottom w:val="0"/>
                      <w:divBdr>
                        <w:top w:val="none" w:sz="0" w:space="0" w:color="auto"/>
                        <w:left w:val="none" w:sz="0" w:space="0" w:color="auto"/>
                        <w:bottom w:val="none" w:sz="0" w:space="0" w:color="auto"/>
                        <w:right w:val="none" w:sz="0" w:space="0" w:color="auto"/>
                      </w:divBdr>
                      <w:divsChild>
                        <w:div w:id="332492777">
                          <w:marLeft w:val="0"/>
                          <w:marRight w:val="0"/>
                          <w:marTop w:val="0"/>
                          <w:marBottom w:val="0"/>
                          <w:divBdr>
                            <w:top w:val="none" w:sz="0" w:space="0" w:color="auto"/>
                            <w:left w:val="none" w:sz="0" w:space="0" w:color="auto"/>
                            <w:bottom w:val="none" w:sz="0" w:space="0" w:color="auto"/>
                            <w:right w:val="none" w:sz="0" w:space="0" w:color="auto"/>
                          </w:divBdr>
                          <w:divsChild>
                            <w:div w:id="504170847">
                              <w:marLeft w:val="0"/>
                              <w:marRight w:val="0"/>
                              <w:marTop w:val="0"/>
                              <w:marBottom w:val="0"/>
                              <w:divBdr>
                                <w:top w:val="none" w:sz="0" w:space="0" w:color="auto"/>
                                <w:left w:val="none" w:sz="0" w:space="0" w:color="auto"/>
                                <w:bottom w:val="none" w:sz="0" w:space="0" w:color="auto"/>
                                <w:right w:val="none" w:sz="0" w:space="0" w:color="auto"/>
                              </w:divBdr>
                              <w:divsChild>
                                <w:div w:id="1117598858">
                                  <w:marLeft w:val="0"/>
                                  <w:marRight w:val="0"/>
                                  <w:marTop w:val="0"/>
                                  <w:marBottom w:val="0"/>
                                  <w:divBdr>
                                    <w:top w:val="none" w:sz="0" w:space="0" w:color="auto"/>
                                    <w:left w:val="none" w:sz="0" w:space="0" w:color="auto"/>
                                    <w:bottom w:val="none" w:sz="0" w:space="0" w:color="auto"/>
                                    <w:right w:val="none" w:sz="0" w:space="0" w:color="auto"/>
                                  </w:divBdr>
                                  <w:divsChild>
                                    <w:div w:id="1611206859">
                                      <w:marLeft w:val="0"/>
                                      <w:marRight w:val="0"/>
                                      <w:marTop w:val="0"/>
                                      <w:marBottom w:val="0"/>
                                      <w:divBdr>
                                        <w:top w:val="none" w:sz="0" w:space="0" w:color="auto"/>
                                        <w:left w:val="none" w:sz="0" w:space="0" w:color="auto"/>
                                        <w:bottom w:val="none" w:sz="0" w:space="0" w:color="auto"/>
                                        <w:right w:val="none" w:sz="0" w:space="0" w:color="auto"/>
                                      </w:divBdr>
                                      <w:divsChild>
                                        <w:div w:id="17972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682405">
      <w:bodyDiv w:val="1"/>
      <w:marLeft w:val="0"/>
      <w:marRight w:val="0"/>
      <w:marTop w:val="0"/>
      <w:marBottom w:val="0"/>
      <w:divBdr>
        <w:top w:val="none" w:sz="0" w:space="0" w:color="auto"/>
        <w:left w:val="none" w:sz="0" w:space="0" w:color="auto"/>
        <w:bottom w:val="none" w:sz="0" w:space="0" w:color="auto"/>
        <w:right w:val="none" w:sz="0" w:space="0" w:color="auto"/>
      </w:divBdr>
      <w:divsChild>
        <w:div w:id="1948848474">
          <w:marLeft w:val="0"/>
          <w:marRight w:val="0"/>
          <w:marTop w:val="150"/>
          <w:marBottom w:val="0"/>
          <w:divBdr>
            <w:top w:val="none" w:sz="0" w:space="0" w:color="auto"/>
            <w:left w:val="none" w:sz="0" w:space="0" w:color="auto"/>
            <w:bottom w:val="none" w:sz="0" w:space="0" w:color="auto"/>
            <w:right w:val="none" w:sz="0" w:space="0" w:color="auto"/>
          </w:divBdr>
          <w:divsChild>
            <w:div w:id="1297876402">
              <w:marLeft w:val="2"/>
              <w:marRight w:val="2"/>
              <w:marTop w:val="0"/>
              <w:marBottom w:val="0"/>
              <w:divBdr>
                <w:top w:val="none" w:sz="0" w:space="0" w:color="auto"/>
                <w:left w:val="none" w:sz="0" w:space="0" w:color="auto"/>
                <w:bottom w:val="none" w:sz="0" w:space="0" w:color="auto"/>
                <w:right w:val="none" w:sz="0" w:space="0" w:color="auto"/>
              </w:divBdr>
              <w:divsChild>
                <w:div w:id="1127430387">
                  <w:marLeft w:val="0"/>
                  <w:marRight w:val="0"/>
                  <w:marTop w:val="0"/>
                  <w:marBottom w:val="0"/>
                  <w:divBdr>
                    <w:top w:val="none" w:sz="0" w:space="0" w:color="auto"/>
                    <w:left w:val="none" w:sz="0" w:space="0" w:color="auto"/>
                    <w:bottom w:val="none" w:sz="0" w:space="0" w:color="auto"/>
                    <w:right w:val="none" w:sz="0" w:space="0" w:color="auto"/>
                  </w:divBdr>
                  <w:divsChild>
                    <w:div w:id="1721712326">
                      <w:marLeft w:val="0"/>
                      <w:marRight w:val="0"/>
                      <w:marTop w:val="0"/>
                      <w:marBottom w:val="0"/>
                      <w:divBdr>
                        <w:top w:val="none" w:sz="0" w:space="0" w:color="auto"/>
                        <w:left w:val="none" w:sz="0" w:space="0" w:color="auto"/>
                        <w:bottom w:val="none" w:sz="0" w:space="0" w:color="auto"/>
                        <w:right w:val="none" w:sz="0" w:space="0" w:color="auto"/>
                      </w:divBdr>
                      <w:divsChild>
                        <w:div w:id="19429344">
                          <w:marLeft w:val="0"/>
                          <w:marRight w:val="0"/>
                          <w:marTop w:val="0"/>
                          <w:marBottom w:val="0"/>
                          <w:divBdr>
                            <w:top w:val="none" w:sz="0" w:space="0" w:color="auto"/>
                            <w:left w:val="none" w:sz="0" w:space="0" w:color="auto"/>
                            <w:bottom w:val="none" w:sz="0" w:space="0" w:color="auto"/>
                            <w:right w:val="none" w:sz="0" w:space="0" w:color="auto"/>
                          </w:divBdr>
                          <w:divsChild>
                            <w:div w:id="1137601036">
                              <w:marLeft w:val="0"/>
                              <w:marRight w:val="0"/>
                              <w:marTop w:val="0"/>
                              <w:marBottom w:val="0"/>
                              <w:divBdr>
                                <w:top w:val="none" w:sz="0" w:space="0" w:color="auto"/>
                                <w:left w:val="none" w:sz="0" w:space="0" w:color="auto"/>
                                <w:bottom w:val="none" w:sz="0" w:space="0" w:color="auto"/>
                                <w:right w:val="none" w:sz="0" w:space="0" w:color="auto"/>
                              </w:divBdr>
                              <w:divsChild>
                                <w:div w:id="1244028102">
                                  <w:marLeft w:val="0"/>
                                  <w:marRight w:val="0"/>
                                  <w:marTop w:val="0"/>
                                  <w:marBottom w:val="0"/>
                                  <w:divBdr>
                                    <w:top w:val="none" w:sz="0" w:space="0" w:color="auto"/>
                                    <w:left w:val="none" w:sz="0" w:space="0" w:color="auto"/>
                                    <w:bottom w:val="none" w:sz="0" w:space="0" w:color="auto"/>
                                    <w:right w:val="none" w:sz="0" w:space="0" w:color="auto"/>
                                  </w:divBdr>
                                  <w:divsChild>
                                    <w:div w:id="1776365146">
                                      <w:marLeft w:val="0"/>
                                      <w:marRight w:val="0"/>
                                      <w:marTop w:val="0"/>
                                      <w:marBottom w:val="0"/>
                                      <w:divBdr>
                                        <w:top w:val="none" w:sz="0" w:space="0" w:color="auto"/>
                                        <w:left w:val="none" w:sz="0" w:space="0" w:color="auto"/>
                                        <w:bottom w:val="none" w:sz="0" w:space="0" w:color="auto"/>
                                        <w:right w:val="none" w:sz="0" w:space="0" w:color="auto"/>
                                      </w:divBdr>
                                      <w:divsChild>
                                        <w:div w:id="1318142797">
                                          <w:marLeft w:val="0"/>
                                          <w:marRight w:val="0"/>
                                          <w:marTop w:val="0"/>
                                          <w:marBottom w:val="0"/>
                                          <w:divBdr>
                                            <w:top w:val="none" w:sz="0" w:space="0" w:color="auto"/>
                                            <w:left w:val="none" w:sz="0" w:space="0" w:color="auto"/>
                                            <w:bottom w:val="none" w:sz="0" w:space="0" w:color="auto"/>
                                            <w:right w:val="none" w:sz="0" w:space="0" w:color="auto"/>
                                          </w:divBdr>
                                          <w:divsChild>
                                            <w:div w:id="969819500">
                                              <w:marLeft w:val="0"/>
                                              <w:marRight w:val="0"/>
                                              <w:marTop w:val="0"/>
                                              <w:marBottom w:val="0"/>
                                              <w:divBdr>
                                                <w:top w:val="none" w:sz="0" w:space="0" w:color="auto"/>
                                                <w:left w:val="none" w:sz="0" w:space="0" w:color="auto"/>
                                                <w:bottom w:val="none" w:sz="0" w:space="0" w:color="auto"/>
                                                <w:right w:val="none" w:sz="0" w:space="0" w:color="auto"/>
                                              </w:divBdr>
                                              <w:divsChild>
                                                <w:div w:id="152571146">
                                                  <w:marLeft w:val="0"/>
                                                  <w:marRight w:val="0"/>
                                                  <w:marTop w:val="0"/>
                                                  <w:marBottom w:val="0"/>
                                                  <w:divBdr>
                                                    <w:top w:val="none" w:sz="0" w:space="0" w:color="auto"/>
                                                    <w:left w:val="none" w:sz="0" w:space="0" w:color="auto"/>
                                                    <w:bottom w:val="none" w:sz="0" w:space="0" w:color="auto"/>
                                                    <w:right w:val="none" w:sz="0" w:space="0" w:color="auto"/>
                                                  </w:divBdr>
                                                </w:div>
                                              </w:divsChild>
                                            </w:div>
                                            <w:div w:id="999843437">
                                              <w:marLeft w:val="0"/>
                                              <w:marRight w:val="0"/>
                                              <w:marTop w:val="0"/>
                                              <w:marBottom w:val="0"/>
                                              <w:divBdr>
                                                <w:top w:val="none" w:sz="0" w:space="0" w:color="auto"/>
                                                <w:left w:val="none" w:sz="0" w:space="0" w:color="auto"/>
                                                <w:bottom w:val="none" w:sz="0" w:space="0" w:color="auto"/>
                                                <w:right w:val="none" w:sz="0" w:space="0" w:color="auto"/>
                                              </w:divBdr>
                                              <w:divsChild>
                                                <w:div w:id="1494759062">
                                                  <w:marLeft w:val="0"/>
                                                  <w:marRight w:val="0"/>
                                                  <w:marTop w:val="0"/>
                                                  <w:marBottom w:val="0"/>
                                                  <w:divBdr>
                                                    <w:top w:val="none" w:sz="0" w:space="0" w:color="auto"/>
                                                    <w:left w:val="none" w:sz="0" w:space="0" w:color="auto"/>
                                                    <w:bottom w:val="none" w:sz="0" w:space="0" w:color="auto"/>
                                                    <w:right w:val="none" w:sz="0" w:space="0" w:color="auto"/>
                                                  </w:divBdr>
                                                </w:div>
                                              </w:divsChild>
                                            </w:div>
                                            <w:div w:id="2140604380">
                                              <w:marLeft w:val="0"/>
                                              <w:marRight w:val="0"/>
                                              <w:marTop w:val="0"/>
                                              <w:marBottom w:val="0"/>
                                              <w:divBdr>
                                                <w:top w:val="none" w:sz="0" w:space="0" w:color="auto"/>
                                                <w:left w:val="none" w:sz="0" w:space="0" w:color="auto"/>
                                                <w:bottom w:val="none" w:sz="0" w:space="0" w:color="auto"/>
                                                <w:right w:val="none" w:sz="0" w:space="0" w:color="auto"/>
                                              </w:divBdr>
                                              <w:divsChild>
                                                <w:div w:id="305285452">
                                                  <w:marLeft w:val="0"/>
                                                  <w:marRight w:val="0"/>
                                                  <w:marTop w:val="0"/>
                                                  <w:marBottom w:val="0"/>
                                                  <w:divBdr>
                                                    <w:top w:val="none" w:sz="0" w:space="0" w:color="auto"/>
                                                    <w:left w:val="none" w:sz="0" w:space="0" w:color="auto"/>
                                                    <w:bottom w:val="none" w:sz="0" w:space="0" w:color="auto"/>
                                                    <w:right w:val="none" w:sz="0" w:space="0" w:color="auto"/>
                                                  </w:divBdr>
                                                </w:div>
                                              </w:divsChild>
                                            </w:div>
                                            <w:div w:id="1183932555">
                                              <w:marLeft w:val="0"/>
                                              <w:marRight w:val="0"/>
                                              <w:marTop w:val="0"/>
                                              <w:marBottom w:val="0"/>
                                              <w:divBdr>
                                                <w:top w:val="none" w:sz="0" w:space="0" w:color="auto"/>
                                                <w:left w:val="none" w:sz="0" w:space="0" w:color="auto"/>
                                                <w:bottom w:val="none" w:sz="0" w:space="0" w:color="auto"/>
                                                <w:right w:val="none" w:sz="0" w:space="0" w:color="auto"/>
                                              </w:divBdr>
                                              <w:divsChild>
                                                <w:div w:id="4272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458009">
      <w:bodyDiv w:val="1"/>
      <w:marLeft w:val="0"/>
      <w:marRight w:val="0"/>
      <w:marTop w:val="0"/>
      <w:marBottom w:val="0"/>
      <w:divBdr>
        <w:top w:val="none" w:sz="0" w:space="0" w:color="auto"/>
        <w:left w:val="none" w:sz="0" w:space="0" w:color="auto"/>
        <w:bottom w:val="none" w:sz="0" w:space="0" w:color="auto"/>
        <w:right w:val="none" w:sz="0" w:space="0" w:color="auto"/>
      </w:divBdr>
      <w:divsChild>
        <w:div w:id="78448191">
          <w:marLeft w:val="0"/>
          <w:marRight w:val="0"/>
          <w:marTop w:val="0"/>
          <w:marBottom w:val="0"/>
          <w:divBdr>
            <w:top w:val="none" w:sz="0" w:space="0" w:color="auto"/>
            <w:left w:val="none" w:sz="0" w:space="0" w:color="auto"/>
            <w:bottom w:val="none" w:sz="0" w:space="0" w:color="auto"/>
            <w:right w:val="none" w:sz="0" w:space="0" w:color="auto"/>
          </w:divBdr>
          <w:divsChild>
            <w:div w:id="1430855238">
              <w:marLeft w:val="210"/>
              <w:marRight w:val="0"/>
              <w:marTop w:val="0"/>
              <w:marBottom w:val="0"/>
              <w:divBdr>
                <w:top w:val="none" w:sz="0" w:space="0" w:color="auto"/>
                <w:left w:val="none" w:sz="0" w:space="0" w:color="auto"/>
                <w:bottom w:val="none" w:sz="0" w:space="0" w:color="auto"/>
                <w:right w:val="none" w:sz="0" w:space="0" w:color="auto"/>
              </w:divBdr>
              <w:divsChild>
                <w:div w:id="190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1585">
      <w:bodyDiv w:val="1"/>
      <w:marLeft w:val="0"/>
      <w:marRight w:val="0"/>
      <w:marTop w:val="0"/>
      <w:marBottom w:val="0"/>
      <w:divBdr>
        <w:top w:val="none" w:sz="0" w:space="0" w:color="auto"/>
        <w:left w:val="none" w:sz="0" w:space="0" w:color="auto"/>
        <w:bottom w:val="none" w:sz="0" w:space="0" w:color="auto"/>
        <w:right w:val="none" w:sz="0" w:space="0" w:color="auto"/>
      </w:divBdr>
      <w:divsChild>
        <w:div w:id="846483229">
          <w:marLeft w:val="0"/>
          <w:marRight w:val="0"/>
          <w:marTop w:val="0"/>
          <w:marBottom w:val="0"/>
          <w:divBdr>
            <w:top w:val="none" w:sz="0" w:space="0" w:color="auto"/>
            <w:left w:val="none" w:sz="0" w:space="0" w:color="auto"/>
            <w:bottom w:val="none" w:sz="0" w:space="0" w:color="auto"/>
            <w:right w:val="none" w:sz="0" w:space="0" w:color="auto"/>
          </w:divBdr>
          <w:divsChild>
            <w:div w:id="1419329038">
              <w:marLeft w:val="0"/>
              <w:marRight w:val="0"/>
              <w:marTop w:val="0"/>
              <w:marBottom w:val="0"/>
              <w:divBdr>
                <w:top w:val="none" w:sz="0" w:space="0" w:color="auto"/>
                <w:left w:val="none" w:sz="0" w:space="0" w:color="auto"/>
                <w:bottom w:val="none" w:sz="0" w:space="0" w:color="auto"/>
                <w:right w:val="none" w:sz="0" w:space="0" w:color="auto"/>
              </w:divBdr>
              <w:divsChild>
                <w:div w:id="436872210">
                  <w:marLeft w:val="0"/>
                  <w:marRight w:val="0"/>
                  <w:marTop w:val="0"/>
                  <w:marBottom w:val="0"/>
                  <w:divBdr>
                    <w:top w:val="none" w:sz="0" w:space="0" w:color="auto"/>
                    <w:left w:val="none" w:sz="0" w:space="0" w:color="auto"/>
                    <w:bottom w:val="none" w:sz="0" w:space="0" w:color="auto"/>
                    <w:right w:val="none" w:sz="0" w:space="0" w:color="auto"/>
                  </w:divBdr>
                  <w:divsChild>
                    <w:div w:id="1653289341">
                      <w:marLeft w:val="0"/>
                      <w:marRight w:val="0"/>
                      <w:marTop w:val="0"/>
                      <w:marBottom w:val="0"/>
                      <w:divBdr>
                        <w:top w:val="none" w:sz="0" w:space="0" w:color="auto"/>
                        <w:left w:val="none" w:sz="0" w:space="0" w:color="auto"/>
                        <w:bottom w:val="none" w:sz="0" w:space="0" w:color="auto"/>
                        <w:right w:val="none" w:sz="0" w:space="0" w:color="auto"/>
                      </w:divBdr>
                      <w:divsChild>
                        <w:div w:id="26970489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72376753">
      <w:bodyDiv w:val="1"/>
      <w:marLeft w:val="0"/>
      <w:marRight w:val="0"/>
      <w:marTop w:val="0"/>
      <w:marBottom w:val="0"/>
      <w:divBdr>
        <w:top w:val="none" w:sz="0" w:space="0" w:color="auto"/>
        <w:left w:val="none" w:sz="0" w:space="0" w:color="auto"/>
        <w:bottom w:val="none" w:sz="0" w:space="0" w:color="auto"/>
        <w:right w:val="none" w:sz="0" w:space="0" w:color="auto"/>
      </w:divBdr>
    </w:div>
    <w:div w:id="873352474">
      <w:bodyDiv w:val="1"/>
      <w:marLeft w:val="0"/>
      <w:marRight w:val="0"/>
      <w:marTop w:val="0"/>
      <w:marBottom w:val="0"/>
      <w:divBdr>
        <w:top w:val="none" w:sz="0" w:space="0" w:color="auto"/>
        <w:left w:val="none" w:sz="0" w:space="0" w:color="auto"/>
        <w:bottom w:val="none" w:sz="0" w:space="0" w:color="auto"/>
        <w:right w:val="none" w:sz="0" w:space="0" w:color="auto"/>
      </w:divBdr>
    </w:div>
    <w:div w:id="873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3345925">
          <w:marLeft w:val="0"/>
          <w:marRight w:val="0"/>
          <w:marTop w:val="150"/>
          <w:marBottom w:val="0"/>
          <w:divBdr>
            <w:top w:val="none" w:sz="0" w:space="0" w:color="auto"/>
            <w:left w:val="none" w:sz="0" w:space="0" w:color="auto"/>
            <w:bottom w:val="none" w:sz="0" w:space="0" w:color="auto"/>
            <w:right w:val="none" w:sz="0" w:space="0" w:color="auto"/>
          </w:divBdr>
          <w:divsChild>
            <w:div w:id="1042244468">
              <w:marLeft w:val="2"/>
              <w:marRight w:val="2"/>
              <w:marTop w:val="0"/>
              <w:marBottom w:val="0"/>
              <w:divBdr>
                <w:top w:val="none" w:sz="0" w:space="0" w:color="auto"/>
                <w:left w:val="none" w:sz="0" w:space="0" w:color="auto"/>
                <w:bottom w:val="none" w:sz="0" w:space="0" w:color="auto"/>
                <w:right w:val="none" w:sz="0" w:space="0" w:color="auto"/>
              </w:divBdr>
              <w:divsChild>
                <w:div w:id="1345204052">
                  <w:marLeft w:val="0"/>
                  <w:marRight w:val="0"/>
                  <w:marTop w:val="0"/>
                  <w:marBottom w:val="0"/>
                  <w:divBdr>
                    <w:top w:val="none" w:sz="0" w:space="0" w:color="auto"/>
                    <w:left w:val="none" w:sz="0" w:space="0" w:color="auto"/>
                    <w:bottom w:val="none" w:sz="0" w:space="0" w:color="auto"/>
                    <w:right w:val="none" w:sz="0" w:space="0" w:color="auto"/>
                  </w:divBdr>
                  <w:divsChild>
                    <w:div w:id="1690569484">
                      <w:marLeft w:val="0"/>
                      <w:marRight w:val="0"/>
                      <w:marTop w:val="0"/>
                      <w:marBottom w:val="0"/>
                      <w:divBdr>
                        <w:top w:val="none" w:sz="0" w:space="0" w:color="auto"/>
                        <w:left w:val="none" w:sz="0" w:space="0" w:color="auto"/>
                        <w:bottom w:val="none" w:sz="0" w:space="0" w:color="auto"/>
                        <w:right w:val="none" w:sz="0" w:space="0" w:color="auto"/>
                      </w:divBdr>
                      <w:divsChild>
                        <w:div w:id="478881217">
                          <w:marLeft w:val="0"/>
                          <w:marRight w:val="0"/>
                          <w:marTop w:val="0"/>
                          <w:marBottom w:val="0"/>
                          <w:divBdr>
                            <w:top w:val="none" w:sz="0" w:space="0" w:color="auto"/>
                            <w:left w:val="none" w:sz="0" w:space="0" w:color="auto"/>
                            <w:bottom w:val="none" w:sz="0" w:space="0" w:color="auto"/>
                            <w:right w:val="none" w:sz="0" w:space="0" w:color="auto"/>
                          </w:divBdr>
                          <w:divsChild>
                            <w:div w:id="1876190259">
                              <w:marLeft w:val="0"/>
                              <w:marRight w:val="0"/>
                              <w:marTop w:val="0"/>
                              <w:marBottom w:val="0"/>
                              <w:divBdr>
                                <w:top w:val="none" w:sz="0" w:space="0" w:color="auto"/>
                                <w:left w:val="none" w:sz="0" w:space="0" w:color="auto"/>
                                <w:bottom w:val="none" w:sz="0" w:space="0" w:color="auto"/>
                                <w:right w:val="none" w:sz="0" w:space="0" w:color="auto"/>
                              </w:divBdr>
                              <w:divsChild>
                                <w:div w:id="1579946462">
                                  <w:marLeft w:val="0"/>
                                  <w:marRight w:val="0"/>
                                  <w:marTop w:val="0"/>
                                  <w:marBottom w:val="0"/>
                                  <w:divBdr>
                                    <w:top w:val="none" w:sz="0" w:space="0" w:color="auto"/>
                                    <w:left w:val="none" w:sz="0" w:space="0" w:color="auto"/>
                                    <w:bottom w:val="none" w:sz="0" w:space="0" w:color="auto"/>
                                    <w:right w:val="none" w:sz="0" w:space="0" w:color="auto"/>
                                  </w:divBdr>
                                  <w:divsChild>
                                    <w:div w:id="1368414817">
                                      <w:marLeft w:val="0"/>
                                      <w:marRight w:val="0"/>
                                      <w:marTop w:val="0"/>
                                      <w:marBottom w:val="0"/>
                                      <w:divBdr>
                                        <w:top w:val="none" w:sz="0" w:space="0" w:color="auto"/>
                                        <w:left w:val="none" w:sz="0" w:space="0" w:color="auto"/>
                                        <w:bottom w:val="none" w:sz="0" w:space="0" w:color="auto"/>
                                        <w:right w:val="none" w:sz="0" w:space="0" w:color="auto"/>
                                      </w:divBdr>
                                      <w:divsChild>
                                        <w:div w:id="1941906513">
                                          <w:marLeft w:val="0"/>
                                          <w:marRight w:val="0"/>
                                          <w:marTop w:val="0"/>
                                          <w:marBottom w:val="0"/>
                                          <w:divBdr>
                                            <w:top w:val="none" w:sz="0" w:space="0" w:color="auto"/>
                                            <w:left w:val="none" w:sz="0" w:space="0" w:color="auto"/>
                                            <w:bottom w:val="none" w:sz="0" w:space="0" w:color="auto"/>
                                            <w:right w:val="none" w:sz="0" w:space="0" w:color="auto"/>
                                          </w:divBdr>
                                          <w:divsChild>
                                            <w:div w:id="674264200">
                                              <w:marLeft w:val="0"/>
                                              <w:marRight w:val="0"/>
                                              <w:marTop w:val="0"/>
                                              <w:marBottom w:val="0"/>
                                              <w:divBdr>
                                                <w:top w:val="none" w:sz="0" w:space="0" w:color="auto"/>
                                                <w:left w:val="none" w:sz="0" w:space="0" w:color="auto"/>
                                                <w:bottom w:val="none" w:sz="0" w:space="0" w:color="auto"/>
                                                <w:right w:val="none" w:sz="0" w:space="0" w:color="auto"/>
                                              </w:divBdr>
                                              <w:divsChild>
                                                <w:div w:id="173611037">
                                                  <w:marLeft w:val="0"/>
                                                  <w:marRight w:val="0"/>
                                                  <w:marTop w:val="0"/>
                                                  <w:marBottom w:val="0"/>
                                                  <w:divBdr>
                                                    <w:top w:val="none" w:sz="0" w:space="0" w:color="auto"/>
                                                    <w:left w:val="none" w:sz="0" w:space="0" w:color="auto"/>
                                                    <w:bottom w:val="none" w:sz="0" w:space="0" w:color="auto"/>
                                                    <w:right w:val="none" w:sz="0" w:space="0" w:color="auto"/>
                                                  </w:divBdr>
                                                </w:div>
                                              </w:divsChild>
                                            </w:div>
                                            <w:div w:id="757360426">
                                              <w:marLeft w:val="0"/>
                                              <w:marRight w:val="0"/>
                                              <w:marTop w:val="0"/>
                                              <w:marBottom w:val="0"/>
                                              <w:divBdr>
                                                <w:top w:val="none" w:sz="0" w:space="0" w:color="auto"/>
                                                <w:left w:val="none" w:sz="0" w:space="0" w:color="auto"/>
                                                <w:bottom w:val="none" w:sz="0" w:space="0" w:color="auto"/>
                                                <w:right w:val="none" w:sz="0" w:space="0" w:color="auto"/>
                                              </w:divBdr>
                                              <w:divsChild>
                                                <w:div w:id="970598047">
                                                  <w:marLeft w:val="0"/>
                                                  <w:marRight w:val="0"/>
                                                  <w:marTop w:val="0"/>
                                                  <w:marBottom w:val="0"/>
                                                  <w:divBdr>
                                                    <w:top w:val="none" w:sz="0" w:space="0" w:color="auto"/>
                                                    <w:left w:val="none" w:sz="0" w:space="0" w:color="auto"/>
                                                    <w:bottom w:val="none" w:sz="0" w:space="0" w:color="auto"/>
                                                    <w:right w:val="none" w:sz="0" w:space="0" w:color="auto"/>
                                                  </w:divBdr>
                                                </w:div>
                                              </w:divsChild>
                                            </w:div>
                                            <w:div w:id="1157258067">
                                              <w:marLeft w:val="0"/>
                                              <w:marRight w:val="0"/>
                                              <w:marTop w:val="0"/>
                                              <w:marBottom w:val="0"/>
                                              <w:divBdr>
                                                <w:top w:val="none" w:sz="0" w:space="0" w:color="auto"/>
                                                <w:left w:val="none" w:sz="0" w:space="0" w:color="auto"/>
                                                <w:bottom w:val="none" w:sz="0" w:space="0" w:color="auto"/>
                                                <w:right w:val="none" w:sz="0" w:space="0" w:color="auto"/>
                                              </w:divBdr>
                                              <w:divsChild>
                                                <w:div w:id="1878657673">
                                                  <w:marLeft w:val="0"/>
                                                  <w:marRight w:val="0"/>
                                                  <w:marTop w:val="0"/>
                                                  <w:marBottom w:val="0"/>
                                                  <w:divBdr>
                                                    <w:top w:val="none" w:sz="0" w:space="0" w:color="auto"/>
                                                    <w:left w:val="none" w:sz="0" w:space="0" w:color="auto"/>
                                                    <w:bottom w:val="none" w:sz="0" w:space="0" w:color="auto"/>
                                                    <w:right w:val="none" w:sz="0" w:space="0" w:color="auto"/>
                                                  </w:divBdr>
                                                </w:div>
                                              </w:divsChild>
                                            </w:div>
                                            <w:div w:id="758988037">
                                              <w:marLeft w:val="0"/>
                                              <w:marRight w:val="0"/>
                                              <w:marTop w:val="0"/>
                                              <w:marBottom w:val="0"/>
                                              <w:divBdr>
                                                <w:top w:val="none" w:sz="0" w:space="0" w:color="auto"/>
                                                <w:left w:val="none" w:sz="0" w:space="0" w:color="auto"/>
                                                <w:bottom w:val="none" w:sz="0" w:space="0" w:color="auto"/>
                                                <w:right w:val="none" w:sz="0" w:space="0" w:color="auto"/>
                                              </w:divBdr>
                                              <w:divsChild>
                                                <w:div w:id="5090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040710">
      <w:bodyDiv w:val="1"/>
      <w:marLeft w:val="0"/>
      <w:marRight w:val="0"/>
      <w:marTop w:val="0"/>
      <w:marBottom w:val="0"/>
      <w:divBdr>
        <w:top w:val="none" w:sz="0" w:space="0" w:color="auto"/>
        <w:left w:val="none" w:sz="0" w:space="0" w:color="auto"/>
        <w:bottom w:val="none" w:sz="0" w:space="0" w:color="auto"/>
        <w:right w:val="none" w:sz="0" w:space="0" w:color="auto"/>
      </w:divBdr>
    </w:div>
    <w:div w:id="875199513">
      <w:bodyDiv w:val="1"/>
      <w:marLeft w:val="0"/>
      <w:marRight w:val="0"/>
      <w:marTop w:val="0"/>
      <w:marBottom w:val="0"/>
      <w:divBdr>
        <w:top w:val="none" w:sz="0" w:space="0" w:color="auto"/>
        <w:left w:val="none" w:sz="0" w:space="0" w:color="auto"/>
        <w:bottom w:val="none" w:sz="0" w:space="0" w:color="auto"/>
        <w:right w:val="none" w:sz="0" w:space="0" w:color="auto"/>
      </w:divBdr>
      <w:divsChild>
        <w:div w:id="1864007650">
          <w:marLeft w:val="0"/>
          <w:marRight w:val="0"/>
          <w:marTop w:val="0"/>
          <w:marBottom w:val="0"/>
          <w:divBdr>
            <w:top w:val="none" w:sz="0" w:space="0" w:color="auto"/>
            <w:left w:val="none" w:sz="0" w:space="0" w:color="auto"/>
            <w:bottom w:val="none" w:sz="0" w:space="0" w:color="auto"/>
            <w:right w:val="none" w:sz="0" w:space="0" w:color="auto"/>
          </w:divBdr>
          <w:divsChild>
            <w:div w:id="799110759">
              <w:marLeft w:val="0"/>
              <w:marRight w:val="0"/>
              <w:marTop w:val="0"/>
              <w:marBottom w:val="0"/>
              <w:divBdr>
                <w:top w:val="none" w:sz="0" w:space="0" w:color="auto"/>
                <w:left w:val="none" w:sz="0" w:space="0" w:color="auto"/>
                <w:bottom w:val="none" w:sz="0" w:space="0" w:color="auto"/>
                <w:right w:val="none" w:sz="0" w:space="0" w:color="auto"/>
              </w:divBdr>
              <w:divsChild>
                <w:div w:id="382603283">
                  <w:marLeft w:val="0"/>
                  <w:marRight w:val="0"/>
                  <w:marTop w:val="0"/>
                  <w:marBottom w:val="0"/>
                  <w:divBdr>
                    <w:top w:val="none" w:sz="0" w:space="0" w:color="auto"/>
                    <w:left w:val="none" w:sz="0" w:space="0" w:color="auto"/>
                    <w:bottom w:val="none" w:sz="0" w:space="0" w:color="auto"/>
                    <w:right w:val="none" w:sz="0" w:space="0" w:color="auto"/>
                  </w:divBdr>
                  <w:divsChild>
                    <w:div w:id="269553902">
                      <w:marLeft w:val="-360"/>
                      <w:marRight w:val="-360"/>
                      <w:marTop w:val="0"/>
                      <w:marBottom w:val="0"/>
                      <w:divBdr>
                        <w:top w:val="none" w:sz="0" w:space="0" w:color="auto"/>
                        <w:left w:val="none" w:sz="0" w:space="0" w:color="auto"/>
                        <w:bottom w:val="none" w:sz="0" w:space="0" w:color="auto"/>
                        <w:right w:val="none" w:sz="0" w:space="0" w:color="auto"/>
                      </w:divBdr>
                      <w:divsChild>
                        <w:div w:id="1976908197">
                          <w:marLeft w:val="0"/>
                          <w:marRight w:val="0"/>
                          <w:marTop w:val="0"/>
                          <w:marBottom w:val="0"/>
                          <w:divBdr>
                            <w:top w:val="none" w:sz="0" w:space="0" w:color="auto"/>
                            <w:left w:val="none" w:sz="0" w:space="0" w:color="auto"/>
                            <w:bottom w:val="none" w:sz="0" w:space="0" w:color="auto"/>
                            <w:right w:val="none" w:sz="0" w:space="0" w:color="auto"/>
                          </w:divBdr>
                          <w:divsChild>
                            <w:div w:id="358966672">
                              <w:marLeft w:val="0"/>
                              <w:marRight w:val="0"/>
                              <w:marTop w:val="0"/>
                              <w:marBottom w:val="0"/>
                              <w:divBdr>
                                <w:top w:val="none" w:sz="0" w:space="0" w:color="auto"/>
                                <w:left w:val="none" w:sz="0" w:space="0" w:color="auto"/>
                                <w:bottom w:val="none" w:sz="0" w:space="0" w:color="auto"/>
                                <w:right w:val="none" w:sz="0" w:space="0" w:color="auto"/>
                              </w:divBdr>
                              <w:divsChild>
                                <w:div w:id="112631408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1086">
      <w:bodyDiv w:val="1"/>
      <w:marLeft w:val="0"/>
      <w:marRight w:val="0"/>
      <w:marTop w:val="0"/>
      <w:marBottom w:val="0"/>
      <w:divBdr>
        <w:top w:val="none" w:sz="0" w:space="0" w:color="auto"/>
        <w:left w:val="none" w:sz="0" w:space="0" w:color="auto"/>
        <w:bottom w:val="none" w:sz="0" w:space="0" w:color="auto"/>
        <w:right w:val="none" w:sz="0" w:space="0" w:color="auto"/>
      </w:divBdr>
      <w:divsChild>
        <w:div w:id="378633353">
          <w:marLeft w:val="0"/>
          <w:marRight w:val="0"/>
          <w:marTop w:val="0"/>
          <w:marBottom w:val="0"/>
          <w:divBdr>
            <w:top w:val="single" w:sz="2" w:space="0" w:color="AAAAAA"/>
            <w:left w:val="single" w:sz="6" w:space="8" w:color="AAAAAA"/>
            <w:bottom w:val="single" w:sz="2" w:space="0" w:color="AAAAAA"/>
            <w:right w:val="single" w:sz="6" w:space="8" w:color="AAAAAA"/>
          </w:divBdr>
          <w:divsChild>
            <w:div w:id="876814762">
              <w:marLeft w:val="0"/>
              <w:marRight w:val="0"/>
              <w:marTop w:val="0"/>
              <w:marBottom w:val="0"/>
              <w:divBdr>
                <w:top w:val="none" w:sz="0" w:space="0" w:color="auto"/>
                <w:left w:val="none" w:sz="0" w:space="0" w:color="auto"/>
                <w:bottom w:val="none" w:sz="0" w:space="0" w:color="auto"/>
                <w:right w:val="none" w:sz="0" w:space="0" w:color="auto"/>
              </w:divBdr>
              <w:divsChild>
                <w:div w:id="320155746">
                  <w:marLeft w:val="0"/>
                  <w:marRight w:val="0"/>
                  <w:marTop w:val="0"/>
                  <w:marBottom w:val="0"/>
                  <w:divBdr>
                    <w:top w:val="none" w:sz="0" w:space="0" w:color="auto"/>
                    <w:left w:val="none" w:sz="0" w:space="0" w:color="auto"/>
                    <w:bottom w:val="none" w:sz="0" w:space="0" w:color="auto"/>
                    <w:right w:val="none" w:sz="0" w:space="0" w:color="auto"/>
                  </w:divBdr>
                  <w:divsChild>
                    <w:div w:id="973413135">
                      <w:marLeft w:val="0"/>
                      <w:marRight w:val="2550"/>
                      <w:marTop w:val="0"/>
                      <w:marBottom w:val="48"/>
                      <w:divBdr>
                        <w:top w:val="none" w:sz="0" w:space="0" w:color="auto"/>
                        <w:left w:val="none" w:sz="0" w:space="0" w:color="auto"/>
                        <w:bottom w:val="none" w:sz="0" w:space="0" w:color="auto"/>
                        <w:right w:val="none" w:sz="0" w:space="0" w:color="auto"/>
                      </w:divBdr>
                      <w:divsChild>
                        <w:div w:id="6011076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76357104">
      <w:bodyDiv w:val="1"/>
      <w:marLeft w:val="0"/>
      <w:marRight w:val="0"/>
      <w:marTop w:val="0"/>
      <w:marBottom w:val="0"/>
      <w:divBdr>
        <w:top w:val="none" w:sz="0" w:space="0" w:color="auto"/>
        <w:left w:val="none" w:sz="0" w:space="0" w:color="auto"/>
        <w:bottom w:val="none" w:sz="0" w:space="0" w:color="auto"/>
        <w:right w:val="none" w:sz="0" w:space="0" w:color="auto"/>
      </w:divBdr>
      <w:divsChild>
        <w:div w:id="201865088">
          <w:marLeft w:val="0"/>
          <w:marRight w:val="0"/>
          <w:marTop w:val="0"/>
          <w:marBottom w:val="0"/>
          <w:divBdr>
            <w:top w:val="none" w:sz="0" w:space="0" w:color="auto"/>
            <w:left w:val="none" w:sz="0" w:space="0" w:color="auto"/>
            <w:bottom w:val="none" w:sz="0" w:space="0" w:color="auto"/>
            <w:right w:val="none" w:sz="0" w:space="0" w:color="auto"/>
          </w:divBdr>
          <w:divsChild>
            <w:div w:id="402604217">
              <w:marLeft w:val="0"/>
              <w:marRight w:val="0"/>
              <w:marTop w:val="0"/>
              <w:marBottom w:val="0"/>
              <w:divBdr>
                <w:top w:val="none" w:sz="0" w:space="0" w:color="auto"/>
                <w:left w:val="none" w:sz="0" w:space="0" w:color="auto"/>
                <w:bottom w:val="none" w:sz="0" w:space="0" w:color="auto"/>
                <w:right w:val="none" w:sz="0" w:space="0" w:color="auto"/>
              </w:divBdr>
              <w:divsChild>
                <w:div w:id="802845224">
                  <w:marLeft w:val="0"/>
                  <w:marRight w:val="0"/>
                  <w:marTop w:val="0"/>
                  <w:marBottom w:val="0"/>
                  <w:divBdr>
                    <w:top w:val="none" w:sz="0" w:space="0" w:color="auto"/>
                    <w:left w:val="none" w:sz="0" w:space="0" w:color="auto"/>
                    <w:bottom w:val="none" w:sz="0" w:space="0" w:color="auto"/>
                    <w:right w:val="none" w:sz="0" w:space="0" w:color="auto"/>
                  </w:divBdr>
                  <w:divsChild>
                    <w:div w:id="920480847">
                      <w:marLeft w:val="0"/>
                      <w:marRight w:val="0"/>
                      <w:marTop w:val="0"/>
                      <w:marBottom w:val="0"/>
                      <w:divBdr>
                        <w:top w:val="none" w:sz="0" w:space="0" w:color="auto"/>
                        <w:left w:val="none" w:sz="0" w:space="0" w:color="auto"/>
                        <w:bottom w:val="none" w:sz="0" w:space="0" w:color="auto"/>
                        <w:right w:val="none" w:sz="0" w:space="0" w:color="auto"/>
                      </w:divBdr>
                      <w:divsChild>
                        <w:div w:id="766735733">
                          <w:marLeft w:val="570"/>
                          <w:marRight w:val="720"/>
                          <w:marTop w:val="120"/>
                          <w:marBottom w:val="120"/>
                          <w:divBdr>
                            <w:top w:val="none" w:sz="0" w:space="0" w:color="auto"/>
                            <w:left w:val="none" w:sz="0" w:space="0" w:color="auto"/>
                            <w:bottom w:val="none" w:sz="0" w:space="0" w:color="auto"/>
                            <w:right w:val="none" w:sz="0" w:space="0" w:color="auto"/>
                          </w:divBdr>
                          <w:divsChild>
                            <w:div w:id="1769304110">
                              <w:marLeft w:val="0"/>
                              <w:marRight w:val="0"/>
                              <w:marTop w:val="0"/>
                              <w:marBottom w:val="0"/>
                              <w:divBdr>
                                <w:top w:val="none" w:sz="0" w:space="0" w:color="auto"/>
                                <w:left w:val="none" w:sz="0" w:space="0" w:color="auto"/>
                                <w:bottom w:val="none" w:sz="0" w:space="0" w:color="auto"/>
                                <w:right w:val="none" w:sz="0" w:space="0" w:color="auto"/>
                              </w:divBdr>
                              <w:divsChild>
                                <w:div w:id="1341080400">
                                  <w:marLeft w:val="0"/>
                                  <w:marRight w:val="0"/>
                                  <w:marTop w:val="0"/>
                                  <w:marBottom w:val="0"/>
                                  <w:divBdr>
                                    <w:top w:val="none" w:sz="0" w:space="0" w:color="auto"/>
                                    <w:left w:val="none" w:sz="0" w:space="0" w:color="auto"/>
                                    <w:bottom w:val="none" w:sz="0" w:space="0" w:color="auto"/>
                                    <w:right w:val="none" w:sz="0" w:space="0" w:color="auto"/>
                                  </w:divBdr>
                                  <w:divsChild>
                                    <w:div w:id="48649701">
                                      <w:marLeft w:val="0"/>
                                      <w:marRight w:val="0"/>
                                      <w:marTop w:val="0"/>
                                      <w:marBottom w:val="150"/>
                                      <w:divBdr>
                                        <w:top w:val="none" w:sz="0" w:space="0" w:color="auto"/>
                                        <w:left w:val="none" w:sz="0" w:space="0" w:color="auto"/>
                                        <w:bottom w:val="none" w:sz="0" w:space="0" w:color="auto"/>
                                        <w:right w:val="none" w:sz="0" w:space="0" w:color="auto"/>
                                      </w:divBdr>
                                      <w:divsChild>
                                        <w:div w:id="1109467952">
                                          <w:marLeft w:val="0"/>
                                          <w:marRight w:val="0"/>
                                          <w:marTop w:val="0"/>
                                          <w:marBottom w:val="0"/>
                                          <w:divBdr>
                                            <w:top w:val="none" w:sz="0" w:space="0" w:color="auto"/>
                                            <w:left w:val="none" w:sz="0" w:space="0" w:color="auto"/>
                                            <w:bottom w:val="none" w:sz="0" w:space="0" w:color="auto"/>
                                            <w:right w:val="none" w:sz="0" w:space="0" w:color="auto"/>
                                          </w:divBdr>
                                          <w:divsChild>
                                            <w:div w:id="8197312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205599">
      <w:bodyDiv w:val="1"/>
      <w:marLeft w:val="0"/>
      <w:marRight w:val="0"/>
      <w:marTop w:val="0"/>
      <w:marBottom w:val="0"/>
      <w:divBdr>
        <w:top w:val="none" w:sz="0" w:space="0" w:color="auto"/>
        <w:left w:val="none" w:sz="0" w:space="0" w:color="auto"/>
        <w:bottom w:val="none" w:sz="0" w:space="0" w:color="auto"/>
        <w:right w:val="none" w:sz="0" w:space="0" w:color="auto"/>
      </w:divBdr>
      <w:divsChild>
        <w:div w:id="249778984">
          <w:marLeft w:val="0"/>
          <w:marRight w:val="0"/>
          <w:marTop w:val="0"/>
          <w:marBottom w:val="0"/>
          <w:divBdr>
            <w:top w:val="none" w:sz="0" w:space="0" w:color="auto"/>
            <w:left w:val="none" w:sz="0" w:space="0" w:color="auto"/>
            <w:bottom w:val="none" w:sz="0" w:space="0" w:color="auto"/>
            <w:right w:val="none" w:sz="0" w:space="0" w:color="auto"/>
          </w:divBdr>
          <w:divsChild>
            <w:div w:id="386492901">
              <w:marLeft w:val="0"/>
              <w:marRight w:val="0"/>
              <w:marTop w:val="0"/>
              <w:marBottom w:val="0"/>
              <w:divBdr>
                <w:top w:val="none" w:sz="0" w:space="0" w:color="auto"/>
                <w:left w:val="none" w:sz="0" w:space="0" w:color="auto"/>
                <w:bottom w:val="none" w:sz="0" w:space="0" w:color="auto"/>
                <w:right w:val="none" w:sz="0" w:space="0" w:color="auto"/>
              </w:divBdr>
              <w:divsChild>
                <w:div w:id="191919309">
                  <w:marLeft w:val="0"/>
                  <w:marRight w:val="0"/>
                  <w:marTop w:val="0"/>
                  <w:marBottom w:val="0"/>
                  <w:divBdr>
                    <w:top w:val="none" w:sz="0" w:space="0" w:color="auto"/>
                    <w:left w:val="none" w:sz="0" w:space="0" w:color="auto"/>
                    <w:bottom w:val="none" w:sz="0" w:space="0" w:color="auto"/>
                    <w:right w:val="none" w:sz="0" w:space="0" w:color="auto"/>
                  </w:divBdr>
                  <w:divsChild>
                    <w:div w:id="721712753">
                      <w:marLeft w:val="0"/>
                      <w:marRight w:val="0"/>
                      <w:marTop w:val="0"/>
                      <w:marBottom w:val="0"/>
                      <w:divBdr>
                        <w:top w:val="none" w:sz="0" w:space="0" w:color="auto"/>
                        <w:left w:val="none" w:sz="0" w:space="0" w:color="auto"/>
                        <w:bottom w:val="none" w:sz="0" w:space="0" w:color="auto"/>
                        <w:right w:val="none" w:sz="0" w:space="0" w:color="auto"/>
                      </w:divBdr>
                      <w:divsChild>
                        <w:div w:id="1639454506">
                          <w:marLeft w:val="0"/>
                          <w:marRight w:val="0"/>
                          <w:marTop w:val="0"/>
                          <w:marBottom w:val="0"/>
                          <w:divBdr>
                            <w:top w:val="none" w:sz="0" w:space="0" w:color="auto"/>
                            <w:left w:val="none" w:sz="0" w:space="0" w:color="auto"/>
                            <w:bottom w:val="none" w:sz="0" w:space="0" w:color="auto"/>
                            <w:right w:val="none" w:sz="0" w:space="0" w:color="auto"/>
                          </w:divBdr>
                          <w:divsChild>
                            <w:div w:id="1439906462">
                              <w:marLeft w:val="0"/>
                              <w:marRight w:val="0"/>
                              <w:marTop w:val="0"/>
                              <w:marBottom w:val="0"/>
                              <w:divBdr>
                                <w:top w:val="none" w:sz="0" w:space="0" w:color="auto"/>
                                <w:left w:val="none" w:sz="0" w:space="0" w:color="auto"/>
                                <w:bottom w:val="none" w:sz="0" w:space="0" w:color="auto"/>
                                <w:right w:val="none" w:sz="0" w:space="0" w:color="auto"/>
                              </w:divBdr>
                              <w:divsChild>
                                <w:div w:id="1011834376">
                                  <w:marLeft w:val="0"/>
                                  <w:marRight w:val="0"/>
                                  <w:marTop w:val="0"/>
                                  <w:marBottom w:val="0"/>
                                  <w:divBdr>
                                    <w:top w:val="none" w:sz="0" w:space="0" w:color="auto"/>
                                    <w:left w:val="none" w:sz="0" w:space="0" w:color="auto"/>
                                    <w:bottom w:val="none" w:sz="0" w:space="0" w:color="auto"/>
                                    <w:right w:val="none" w:sz="0" w:space="0" w:color="auto"/>
                                  </w:divBdr>
                                </w:div>
                                <w:div w:id="262346685">
                                  <w:marLeft w:val="0"/>
                                  <w:marRight w:val="0"/>
                                  <w:marTop w:val="0"/>
                                  <w:marBottom w:val="0"/>
                                  <w:divBdr>
                                    <w:top w:val="none" w:sz="0" w:space="0" w:color="auto"/>
                                    <w:left w:val="none" w:sz="0" w:space="0" w:color="auto"/>
                                    <w:bottom w:val="none" w:sz="0" w:space="0" w:color="auto"/>
                                    <w:right w:val="none" w:sz="0" w:space="0" w:color="auto"/>
                                  </w:divBdr>
                                </w:div>
                                <w:div w:id="9328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426198">
      <w:bodyDiv w:val="1"/>
      <w:marLeft w:val="0"/>
      <w:marRight w:val="0"/>
      <w:marTop w:val="0"/>
      <w:marBottom w:val="0"/>
      <w:divBdr>
        <w:top w:val="none" w:sz="0" w:space="0" w:color="auto"/>
        <w:left w:val="none" w:sz="0" w:space="0" w:color="auto"/>
        <w:bottom w:val="none" w:sz="0" w:space="0" w:color="auto"/>
        <w:right w:val="none" w:sz="0" w:space="0" w:color="auto"/>
      </w:divBdr>
      <w:divsChild>
        <w:div w:id="934288541">
          <w:marLeft w:val="0"/>
          <w:marRight w:val="0"/>
          <w:marTop w:val="0"/>
          <w:marBottom w:val="0"/>
          <w:divBdr>
            <w:top w:val="none" w:sz="0" w:space="0" w:color="auto"/>
            <w:left w:val="none" w:sz="0" w:space="0" w:color="auto"/>
            <w:bottom w:val="none" w:sz="0" w:space="0" w:color="auto"/>
            <w:right w:val="none" w:sz="0" w:space="0" w:color="auto"/>
          </w:divBdr>
          <w:divsChild>
            <w:div w:id="1285162346">
              <w:marLeft w:val="2"/>
              <w:marRight w:val="2"/>
              <w:marTop w:val="0"/>
              <w:marBottom w:val="0"/>
              <w:divBdr>
                <w:top w:val="none" w:sz="0" w:space="0" w:color="auto"/>
                <w:left w:val="none" w:sz="0" w:space="0" w:color="auto"/>
                <w:bottom w:val="none" w:sz="0" w:space="0" w:color="auto"/>
                <w:right w:val="none" w:sz="0" w:space="0" w:color="auto"/>
              </w:divBdr>
              <w:divsChild>
                <w:div w:id="1316298726">
                  <w:marLeft w:val="0"/>
                  <w:marRight w:val="0"/>
                  <w:marTop w:val="0"/>
                  <w:marBottom w:val="0"/>
                  <w:divBdr>
                    <w:top w:val="none" w:sz="0" w:space="0" w:color="auto"/>
                    <w:left w:val="none" w:sz="0" w:space="0" w:color="auto"/>
                    <w:bottom w:val="none" w:sz="0" w:space="0" w:color="auto"/>
                    <w:right w:val="none" w:sz="0" w:space="0" w:color="auto"/>
                  </w:divBdr>
                  <w:divsChild>
                    <w:div w:id="1664625632">
                      <w:marLeft w:val="0"/>
                      <w:marRight w:val="0"/>
                      <w:marTop w:val="0"/>
                      <w:marBottom w:val="0"/>
                      <w:divBdr>
                        <w:top w:val="none" w:sz="0" w:space="0" w:color="auto"/>
                        <w:left w:val="none" w:sz="0" w:space="0" w:color="auto"/>
                        <w:bottom w:val="none" w:sz="0" w:space="0" w:color="auto"/>
                        <w:right w:val="none" w:sz="0" w:space="0" w:color="auto"/>
                      </w:divBdr>
                      <w:divsChild>
                        <w:div w:id="2118517856">
                          <w:marLeft w:val="0"/>
                          <w:marRight w:val="0"/>
                          <w:marTop w:val="0"/>
                          <w:marBottom w:val="0"/>
                          <w:divBdr>
                            <w:top w:val="none" w:sz="0" w:space="0" w:color="auto"/>
                            <w:left w:val="none" w:sz="0" w:space="0" w:color="auto"/>
                            <w:bottom w:val="none" w:sz="0" w:space="0" w:color="auto"/>
                            <w:right w:val="none" w:sz="0" w:space="0" w:color="auto"/>
                          </w:divBdr>
                          <w:divsChild>
                            <w:div w:id="1988392755">
                              <w:marLeft w:val="0"/>
                              <w:marRight w:val="0"/>
                              <w:marTop w:val="0"/>
                              <w:marBottom w:val="0"/>
                              <w:divBdr>
                                <w:top w:val="none" w:sz="0" w:space="0" w:color="auto"/>
                                <w:left w:val="none" w:sz="0" w:space="0" w:color="auto"/>
                                <w:bottom w:val="none" w:sz="0" w:space="0" w:color="auto"/>
                                <w:right w:val="none" w:sz="0" w:space="0" w:color="auto"/>
                              </w:divBdr>
                              <w:divsChild>
                                <w:div w:id="1143543589">
                                  <w:marLeft w:val="0"/>
                                  <w:marRight w:val="0"/>
                                  <w:marTop w:val="0"/>
                                  <w:marBottom w:val="0"/>
                                  <w:divBdr>
                                    <w:top w:val="none" w:sz="0" w:space="0" w:color="auto"/>
                                    <w:left w:val="none" w:sz="0" w:space="0" w:color="auto"/>
                                    <w:bottom w:val="none" w:sz="0" w:space="0" w:color="auto"/>
                                    <w:right w:val="none" w:sz="0" w:space="0" w:color="auto"/>
                                  </w:divBdr>
                                  <w:divsChild>
                                    <w:div w:id="1653866760">
                                      <w:marLeft w:val="0"/>
                                      <w:marRight w:val="0"/>
                                      <w:marTop w:val="0"/>
                                      <w:marBottom w:val="0"/>
                                      <w:divBdr>
                                        <w:top w:val="none" w:sz="0" w:space="0" w:color="auto"/>
                                        <w:left w:val="none" w:sz="0" w:space="0" w:color="auto"/>
                                        <w:bottom w:val="none" w:sz="0" w:space="0" w:color="auto"/>
                                        <w:right w:val="none" w:sz="0" w:space="0" w:color="auto"/>
                                      </w:divBdr>
                                      <w:divsChild>
                                        <w:div w:id="2023436220">
                                          <w:marLeft w:val="0"/>
                                          <w:marRight w:val="0"/>
                                          <w:marTop w:val="0"/>
                                          <w:marBottom w:val="0"/>
                                          <w:divBdr>
                                            <w:top w:val="none" w:sz="0" w:space="0" w:color="auto"/>
                                            <w:left w:val="none" w:sz="0" w:space="0" w:color="auto"/>
                                            <w:bottom w:val="none" w:sz="0" w:space="0" w:color="auto"/>
                                            <w:right w:val="none" w:sz="0" w:space="0" w:color="auto"/>
                                          </w:divBdr>
                                          <w:divsChild>
                                            <w:div w:id="153105248">
                                              <w:marLeft w:val="0"/>
                                              <w:marRight w:val="0"/>
                                              <w:marTop w:val="0"/>
                                              <w:marBottom w:val="0"/>
                                              <w:divBdr>
                                                <w:top w:val="none" w:sz="0" w:space="0" w:color="auto"/>
                                                <w:left w:val="none" w:sz="0" w:space="0" w:color="auto"/>
                                                <w:bottom w:val="none" w:sz="0" w:space="0" w:color="auto"/>
                                                <w:right w:val="none" w:sz="0" w:space="0" w:color="auto"/>
                                              </w:divBdr>
                                            </w:div>
                                          </w:divsChild>
                                        </w:div>
                                        <w:div w:id="398598374">
                                          <w:marLeft w:val="0"/>
                                          <w:marRight w:val="0"/>
                                          <w:marTop w:val="0"/>
                                          <w:marBottom w:val="0"/>
                                          <w:divBdr>
                                            <w:top w:val="none" w:sz="0" w:space="0" w:color="auto"/>
                                            <w:left w:val="none" w:sz="0" w:space="0" w:color="auto"/>
                                            <w:bottom w:val="none" w:sz="0" w:space="0" w:color="auto"/>
                                            <w:right w:val="none" w:sz="0" w:space="0" w:color="auto"/>
                                          </w:divBdr>
                                          <w:divsChild>
                                            <w:div w:id="1220215855">
                                              <w:marLeft w:val="0"/>
                                              <w:marRight w:val="0"/>
                                              <w:marTop w:val="0"/>
                                              <w:marBottom w:val="0"/>
                                              <w:divBdr>
                                                <w:top w:val="none" w:sz="0" w:space="0" w:color="auto"/>
                                                <w:left w:val="none" w:sz="0" w:space="0" w:color="auto"/>
                                                <w:bottom w:val="none" w:sz="0" w:space="0" w:color="auto"/>
                                                <w:right w:val="none" w:sz="0" w:space="0" w:color="auto"/>
                                              </w:divBdr>
                                            </w:div>
                                          </w:divsChild>
                                        </w:div>
                                        <w:div w:id="630288343">
                                          <w:marLeft w:val="0"/>
                                          <w:marRight w:val="0"/>
                                          <w:marTop w:val="0"/>
                                          <w:marBottom w:val="0"/>
                                          <w:divBdr>
                                            <w:top w:val="none" w:sz="0" w:space="0" w:color="auto"/>
                                            <w:left w:val="none" w:sz="0" w:space="0" w:color="auto"/>
                                            <w:bottom w:val="none" w:sz="0" w:space="0" w:color="auto"/>
                                            <w:right w:val="none" w:sz="0" w:space="0" w:color="auto"/>
                                          </w:divBdr>
                                          <w:divsChild>
                                            <w:div w:id="829373558">
                                              <w:marLeft w:val="0"/>
                                              <w:marRight w:val="0"/>
                                              <w:marTop w:val="0"/>
                                              <w:marBottom w:val="0"/>
                                              <w:divBdr>
                                                <w:top w:val="none" w:sz="0" w:space="0" w:color="auto"/>
                                                <w:left w:val="none" w:sz="0" w:space="0" w:color="auto"/>
                                                <w:bottom w:val="none" w:sz="0" w:space="0" w:color="auto"/>
                                                <w:right w:val="none" w:sz="0" w:space="0" w:color="auto"/>
                                              </w:divBdr>
                                            </w:div>
                                          </w:divsChild>
                                        </w:div>
                                        <w:div w:id="161942281">
                                          <w:marLeft w:val="0"/>
                                          <w:marRight w:val="0"/>
                                          <w:marTop w:val="0"/>
                                          <w:marBottom w:val="0"/>
                                          <w:divBdr>
                                            <w:top w:val="none" w:sz="0" w:space="0" w:color="auto"/>
                                            <w:left w:val="none" w:sz="0" w:space="0" w:color="auto"/>
                                            <w:bottom w:val="none" w:sz="0" w:space="0" w:color="auto"/>
                                            <w:right w:val="none" w:sz="0" w:space="0" w:color="auto"/>
                                          </w:divBdr>
                                          <w:divsChild>
                                            <w:div w:id="9141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9139">
                                      <w:marLeft w:val="0"/>
                                      <w:marRight w:val="0"/>
                                      <w:marTop w:val="0"/>
                                      <w:marBottom w:val="0"/>
                                      <w:divBdr>
                                        <w:top w:val="none" w:sz="0" w:space="0" w:color="auto"/>
                                        <w:left w:val="none" w:sz="0" w:space="0" w:color="auto"/>
                                        <w:bottom w:val="none" w:sz="0" w:space="0" w:color="auto"/>
                                        <w:right w:val="none" w:sz="0" w:space="0" w:color="auto"/>
                                      </w:divBdr>
                                      <w:divsChild>
                                        <w:div w:id="1525099115">
                                          <w:marLeft w:val="0"/>
                                          <w:marRight w:val="0"/>
                                          <w:marTop w:val="0"/>
                                          <w:marBottom w:val="0"/>
                                          <w:divBdr>
                                            <w:top w:val="none" w:sz="0" w:space="0" w:color="auto"/>
                                            <w:left w:val="none" w:sz="0" w:space="0" w:color="auto"/>
                                            <w:bottom w:val="none" w:sz="0" w:space="0" w:color="auto"/>
                                            <w:right w:val="none" w:sz="0" w:space="0" w:color="auto"/>
                                          </w:divBdr>
                                          <w:divsChild>
                                            <w:div w:id="395322303">
                                              <w:marLeft w:val="0"/>
                                              <w:marRight w:val="0"/>
                                              <w:marTop w:val="0"/>
                                              <w:marBottom w:val="0"/>
                                              <w:divBdr>
                                                <w:top w:val="none" w:sz="0" w:space="0" w:color="auto"/>
                                                <w:left w:val="none" w:sz="0" w:space="0" w:color="auto"/>
                                                <w:bottom w:val="none" w:sz="0" w:space="0" w:color="auto"/>
                                                <w:right w:val="none" w:sz="0" w:space="0" w:color="auto"/>
                                              </w:divBdr>
                                            </w:div>
                                          </w:divsChild>
                                        </w:div>
                                        <w:div w:id="2059628350">
                                          <w:marLeft w:val="0"/>
                                          <w:marRight w:val="0"/>
                                          <w:marTop w:val="0"/>
                                          <w:marBottom w:val="0"/>
                                          <w:divBdr>
                                            <w:top w:val="none" w:sz="0" w:space="0" w:color="auto"/>
                                            <w:left w:val="none" w:sz="0" w:space="0" w:color="auto"/>
                                            <w:bottom w:val="none" w:sz="0" w:space="0" w:color="auto"/>
                                            <w:right w:val="none" w:sz="0" w:space="0" w:color="auto"/>
                                          </w:divBdr>
                                          <w:divsChild>
                                            <w:div w:id="1364138166">
                                              <w:marLeft w:val="0"/>
                                              <w:marRight w:val="0"/>
                                              <w:marTop w:val="0"/>
                                              <w:marBottom w:val="0"/>
                                              <w:divBdr>
                                                <w:top w:val="none" w:sz="0" w:space="0" w:color="auto"/>
                                                <w:left w:val="none" w:sz="0" w:space="0" w:color="auto"/>
                                                <w:bottom w:val="none" w:sz="0" w:space="0" w:color="auto"/>
                                                <w:right w:val="none" w:sz="0" w:space="0" w:color="auto"/>
                                              </w:divBdr>
                                            </w:div>
                                          </w:divsChild>
                                        </w:div>
                                        <w:div w:id="1319263322">
                                          <w:marLeft w:val="0"/>
                                          <w:marRight w:val="0"/>
                                          <w:marTop w:val="0"/>
                                          <w:marBottom w:val="0"/>
                                          <w:divBdr>
                                            <w:top w:val="none" w:sz="0" w:space="0" w:color="auto"/>
                                            <w:left w:val="none" w:sz="0" w:space="0" w:color="auto"/>
                                            <w:bottom w:val="none" w:sz="0" w:space="0" w:color="auto"/>
                                            <w:right w:val="none" w:sz="0" w:space="0" w:color="auto"/>
                                          </w:divBdr>
                                          <w:divsChild>
                                            <w:div w:id="1164859820">
                                              <w:marLeft w:val="0"/>
                                              <w:marRight w:val="0"/>
                                              <w:marTop w:val="0"/>
                                              <w:marBottom w:val="0"/>
                                              <w:divBdr>
                                                <w:top w:val="none" w:sz="0" w:space="0" w:color="auto"/>
                                                <w:left w:val="none" w:sz="0" w:space="0" w:color="auto"/>
                                                <w:bottom w:val="none" w:sz="0" w:space="0" w:color="auto"/>
                                                <w:right w:val="none" w:sz="0" w:space="0" w:color="auto"/>
                                              </w:divBdr>
                                            </w:div>
                                          </w:divsChild>
                                        </w:div>
                                        <w:div w:id="939995458">
                                          <w:marLeft w:val="0"/>
                                          <w:marRight w:val="0"/>
                                          <w:marTop w:val="0"/>
                                          <w:marBottom w:val="0"/>
                                          <w:divBdr>
                                            <w:top w:val="none" w:sz="0" w:space="0" w:color="auto"/>
                                            <w:left w:val="none" w:sz="0" w:space="0" w:color="auto"/>
                                            <w:bottom w:val="none" w:sz="0" w:space="0" w:color="auto"/>
                                            <w:right w:val="none" w:sz="0" w:space="0" w:color="auto"/>
                                          </w:divBdr>
                                          <w:divsChild>
                                            <w:div w:id="19667030">
                                              <w:marLeft w:val="0"/>
                                              <w:marRight w:val="0"/>
                                              <w:marTop w:val="0"/>
                                              <w:marBottom w:val="0"/>
                                              <w:divBdr>
                                                <w:top w:val="none" w:sz="0" w:space="0" w:color="auto"/>
                                                <w:left w:val="none" w:sz="0" w:space="0" w:color="auto"/>
                                                <w:bottom w:val="none" w:sz="0" w:space="0" w:color="auto"/>
                                                <w:right w:val="none" w:sz="0" w:space="0" w:color="auto"/>
                                              </w:divBdr>
                                            </w:div>
                                          </w:divsChild>
                                        </w:div>
                                        <w:div w:id="161313743">
                                          <w:marLeft w:val="0"/>
                                          <w:marRight w:val="0"/>
                                          <w:marTop w:val="0"/>
                                          <w:marBottom w:val="0"/>
                                          <w:divBdr>
                                            <w:top w:val="none" w:sz="0" w:space="0" w:color="auto"/>
                                            <w:left w:val="none" w:sz="0" w:space="0" w:color="auto"/>
                                            <w:bottom w:val="none" w:sz="0" w:space="0" w:color="auto"/>
                                            <w:right w:val="none" w:sz="0" w:space="0" w:color="auto"/>
                                          </w:divBdr>
                                          <w:divsChild>
                                            <w:div w:id="14083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0653">
                                      <w:marLeft w:val="0"/>
                                      <w:marRight w:val="0"/>
                                      <w:marTop w:val="0"/>
                                      <w:marBottom w:val="0"/>
                                      <w:divBdr>
                                        <w:top w:val="none" w:sz="0" w:space="0" w:color="auto"/>
                                        <w:left w:val="none" w:sz="0" w:space="0" w:color="auto"/>
                                        <w:bottom w:val="none" w:sz="0" w:space="0" w:color="auto"/>
                                        <w:right w:val="none" w:sz="0" w:space="0" w:color="auto"/>
                                      </w:divBdr>
                                      <w:divsChild>
                                        <w:div w:id="1158769100">
                                          <w:marLeft w:val="0"/>
                                          <w:marRight w:val="0"/>
                                          <w:marTop w:val="0"/>
                                          <w:marBottom w:val="0"/>
                                          <w:divBdr>
                                            <w:top w:val="none" w:sz="0" w:space="0" w:color="auto"/>
                                            <w:left w:val="none" w:sz="0" w:space="0" w:color="auto"/>
                                            <w:bottom w:val="none" w:sz="0" w:space="0" w:color="auto"/>
                                            <w:right w:val="none" w:sz="0" w:space="0" w:color="auto"/>
                                          </w:divBdr>
                                          <w:divsChild>
                                            <w:div w:id="896740764">
                                              <w:marLeft w:val="0"/>
                                              <w:marRight w:val="0"/>
                                              <w:marTop w:val="0"/>
                                              <w:marBottom w:val="0"/>
                                              <w:divBdr>
                                                <w:top w:val="none" w:sz="0" w:space="0" w:color="auto"/>
                                                <w:left w:val="none" w:sz="0" w:space="0" w:color="auto"/>
                                                <w:bottom w:val="none" w:sz="0" w:space="0" w:color="auto"/>
                                                <w:right w:val="none" w:sz="0" w:space="0" w:color="auto"/>
                                              </w:divBdr>
                                            </w:div>
                                          </w:divsChild>
                                        </w:div>
                                        <w:div w:id="1373771086">
                                          <w:marLeft w:val="0"/>
                                          <w:marRight w:val="0"/>
                                          <w:marTop w:val="0"/>
                                          <w:marBottom w:val="0"/>
                                          <w:divBdr>
                                            <w:top w:val="none" w:sz="0" w:space="0" w:color="auto"/>
                                            <w:left w:val="none" w:sz="0" w:space="0" w:color="auto"/>
                                            <w:bottom w:val="none" w:sz="0" w:space="0" w:color="auto"/>
                                            <w:right w:val="none" w:sz="0" w:space="0" w:color="auto"/>
                                          </w:divBdr>
                                          <w:divsChild>
                                            <w:div w:id="1649893475">
                                              <w:marLeft w:val="0"/>
                                              <w:marRight w:val="0"/>
                                              <w:marTop w:val="0"/>
                                              <w:marBottom w:val="0"/>
                                              <w:divBdr>
                                                <w:top w:val="none" w:sz="0" w:space="0" w:color="auto"/>
                                                <w:left w:val="none" w:sz="0" w:space="0" w:color="auto"/>
                                                <w:bottom w:val="none" w:sz="0" w:space="0" w:color="auto"/>
                                                <w:right w:val="none" w:sz="0" w:space="0" w:color="auto"/>
                                              </w:divBdr>
                                            </w:div>
                                          </w:divsChild>
                                        </w:div>
                                        <w:div w:id="198052178">
                                          <w:marLeft w:val="0"/>
                                          <w:marRight w:val="0"/>
                                          <w:marTop w:val="0"/>
                                          <w:marBottom w:val="0"/>
                                          <w:divBdr>
                                            <w:top w:val="none" w:sz="0" w:space="0" w:color="auto"/>
                                            <w:left w:val="none" w:sz="0" w:space="0" w:color="auto"/>
                                            <w:bottom w:val="none" w:sz="0" w:space="0" w:color="auto"/>
                                            <w:right w:val="none" w:sz="0" w:space="0" w:color="auto"/>
                                          </w:divBdr>
                                          <w:divsChild>
                                            <w:div w:id="1863741148">
                                              <w:marLeft w:val="0"/>
                                              <w:marRight w:val="0"/>
                                              <w:marTop w:val="0"/>
                                              <w:marBottom w:val="0"/>
                                              <w:divBdr>
                                                <w:top w:val="none" w:sz="0" w:space="0" w:color="auto"/>
                                                <w:left w:val="none" w:sz="0" w:space="0" w:color="auto"/>
                                                <w:bottom w:val="none" w:sz="0" w:space="0" w:color="auto"/>
                                                <w:right w:val="none" w:sz="0" w:space="0" w:color="auto"/>
                                              </w:divBdr>
                                            </w:div>
                                          </w:divsChild>
                                        </w:div>
                                        <w:div w:id="998264339">
                                          <w:marLeft w:val="0"/>
                                          <w:marRight w:val="0"/>
                                          <w:marTop w:val="0"/>
                                          <w:marBottom w:val="0"/>
                                          <w:divBdr>
                                            <w:top w:val="none" w:sz="0" w:space="0" w:color="auto"/>
                                            <w:left w:val="none" w:sz="0" w:space="0" w:color="auto"/>
                                            <w:bottom w:val="none" w:sz="0" w:space="0" w:color="auto"/>
                                            <w:right w:val="none" w:sz="0" w:space="0" w:color="auto"/>
                                          </w:divBdr>
                                          <w:divsChild>
                                            <w:div w:id="397674755">
                                              <w:marLeft w:val="0"/>
                                              <w:marRight w:val="0"/>
                                              <w:marTop w:val="0"/>
                                              <w:marBottom w:val="0"/>
                                              <w:divBdr>
                                                <w:top w:val="none" w:sz="0" w:space="0" w:color="auto"/>
                                                <w:left w:val="none" w:sz="0" w:space="0" w:color="auto"/>
                                                <w:bottom w:val="none" w:sz="0" w:space="0" w:color="auto"/>
                                                <w:right w:val="none" w:sz="0" w:space="0" w:color="auto"/>
                                              </w:divBdr>
                                            </w:div>
                                          </w:divsChild>
                                        </w:div>
                                        <w:div w:id="472065618">
                                          <w:marLeft w:val="0"/>
                                          <w:marRight w:val="0"/>
                                          <w:marTop w:val="0"/>
                                          <w:marBottom w:val="0"/>
                                          <w:divBdr>
                                            <w:top w:val="none" w:sz="0" w:space="0" w:color="auto"/>
                                            <w:left w:val="none" w:sz="0" w:space="0" w:color="auto"/>
                                            <w:bottom w:val="none" w:sz="0" w:space="0" w:color="auto"/>
                                            <w:right w:val="none" w:sz="0" w:space="0" w:color="auto"/>
                                          </w:divBdr>
                                          <w:divsChild>
                                            <w:div w:id="1397164707">
                                              <w:marLeft w:val="0"/>
                                              <w:marRight w:val="0"/>
                                              <w:marTop w:val="0"/>
                                              <w:marBottom w:val="0"/>
                                              <w:divBdr>
                                                <w:top w:val="none" w:sz="0" w:space="0" w:color="auto"/>
                                                <w:left w:val="none" w:sz="0" w:space="0" w:color="auto"/>
                                                <w:bottom w:val="none" w:sz="0" w:space="0" w:color="auto"/>
                                                <w:right w:val="none" w:sz="0" w:space="0" w:color="auto"/>
                                              </w:divBdr>
                                            </w:div>
                                          </w:divsChild>
                                        </w:div>
                                        <w:div w:id="1624995406">
                                          <w:marLeft w:val="0"/>
                                          <w:marRight w:val="0"/>
                                          <w:marTop w:val="0"/>
                                          <w:marBottom w:val="0"/>
                                          <w:divBdr>
                                            <w:top w:val="none" w:sz="0" w:space="0" w:color="auto"/>
                                            <w:left w:val="none" w:sz="0" w:space="0" w:color="auto"/>
                                            <w:bottom w:val="none" w:sz="0" w:space="0" w:color="auto"/>
                                            <w:right w:val="none" w:sz="0" w:space="0" w:color="auto"/>
                                          </w:divBdr>
                                          <w:divsChild>
                                            <w:div w:id="4978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468190">
      <w:bodyDiv w:val="1"/>
      <w:marLeft w:val="0"/>
      <w:marRight w:val="0"/>
      <w:marTop w:val="0"/>
      <w:marBottom w:val="0"/>
      <w:divBdr>
        <w:top w:val="none" w:sz="0" w:space="0" w:color="auto"/>
        <w:left w:val="none" w:sz="0" w:space="0" w:color="auto"/>
        <w:bottom w:val="none" w:sz="0" w:space="0" w:color="auto"/>
        <w:right w:val="none" w:sz="0" w:space="0" w:color="auto"/>
      </w:divBdr>
      <w:divsChild>
        <w:div w:id="494226792">
          <w:marLeft w:val="0"/>
          <w:marRight w:val="0"/>
          <w:marTop w:val="0"/>
          <w:marBottom w:val="0"/>
          <w:divBdr>
            <w:top w:val="none" w:sz="0" w:space="0" w:color="auto"/>
            <w:left w:val="none" w:sz="0" w:space="0" w:color="auto"/>
            <w:bottom w:val="none" w:sz="0" w:space="0" w:color="auto"/>
            <w:right w:val="none" w:sz="0" w:space="0" w:color="auto"/>
          </w:divBdr>
          <w:divsChild>
            <w:div w:id="622464909">
              <w:marLeft w:val="0"/>
              <w:marRight w:val="0"/>
              <w:marTop w:val="0"/>
              <w:marBottom w:val="0"/>
              <w:divBdr>
                <w:top w:val="none" w:sz="0" w:space="0" w:color="auto"/>
                <w:left w:val="none" w:sz="0" w:space="0" w:color="auto"/>
                <w:bottom w:val="none" w:sz="0" w:space="0" w:color="auto"/>
                <w:right w:val="none" w:sz="0" w:space="0" w:color="auto"/>
              </w:divBdr>
              <w:divsChild>
                <w:div w:id="260139146">
                  <w:marLeft w:val="0"/>
                  <w:marRight w:val="0"/>
                  <w:marTop w:val="0"/>
                  <w:marBottom w:val="0"/>
                  <w:divBdr>
                    <w:top w:val="none" w:sz="0" w:space="0" w:color="auto"/>
                    <w:left w:val="none" w:sz="0" w:space="0" w:color="auto"/>
                    <w:bottom w:val="none" w:sz="0" w:space="0" w:color="auto"/>
                    <w:right w:val="none" w:sz="0" w:space="0" w:color="auto"/>
                  </w:divBdr>
                  <w:divsChild>
                    <w:div w:id="31804819">
                      <w:marLeft w:val="0"/>
                      <w:marRight w:val="0"/>
                      <w:marTop w:val="0"/>
                      <w:marBottom w:val="0"/>
                      <w:divBdr>
                        <w:top w:val="none" w:sz="0" w:space="0" w:color="auto"/>
                        <w:left w:val="none" w:sz="0" w:space="0" w:color="auto"/>
                        <w:bottom w:val="none" w:sz="0" w:space="0" w:color="auto"/>
                        <w:right w:val="none" w:sz="0" w:space="0" w:color="auto"/>
                      </w:divBdr>
                      <w:divsChild>
                        <w:div w:id="1468475685">
                          <w:marLeft w:val="0"/>
                          <w:marRight w:val="0"/>
                          <w:marTop w:val="0"/>
                          <w:marBottom w:val="0"/>
                          <w:divBdr>
                            <w:top w:val="none" w:sz="0" w:space="0" w:color="auto"/>
                            <w:left w:val="none" w:sz="0" w:space="0" w:color="auto"/>
                            <w:bottom w:val="none" w:sz="0" w:space="0" w:color="auto"/>
                            <w:right w:val="none" w:sz="0" w:space="0" w:color="auto"/>
                          </w:divBdr>
                          <w:divsChild>
                            <w:div w:id="1296256131">
                              <w:marLeft w:val="0"/>
                              <w:marRight w:val="0"/>
                              <w:marTop w:val="0"/>
                              <w:marBottom w:val="0"/>
                              <w:divBdr>
                                <w:top w:val="none" w:sz="0" w:space="0" w:color="auto"/>
                                <w:left w:val="none" w:sz="0" w:space="0" w:color="auto"/>
                                <w:bottom w:val="none" w:sz="0" w:space="0" w:color="auto"/>
                                <w:right w:val="none" w:sz="0" w:space="0" w:color="auto"/>
                              </w:divBdr>
                              <w:divsChild>
                                <w:div w:id="2085905781">
                                  <w:marLeft w:val="0"/>
                                  <w:marRight w:val="0"/>
                                  <w:marTop w:val="0"/>
                                  <w:marBottom w:val="0"/>
                                  <w:divBdr>
                                    <w:top w:val="none" w:sz="0" w:space="0" w:color="auto"/>
                                    <w:left w:val="none" w:sz="0" w:space="0" w:color="auto"/>
                                    <w:bottom w:val="none" w:sz="0" w:space="0" w:color="auto"/>
                                    <w:right w:val="none" w:sz="0" w:space="0" w:color="auto"/>
                                  </w:divBdr>
                                  <w:divsChild>
                                    <w:div w:id="764886387">
                                      <w:marLeft w:val="0"/>
                                      <w:marRight w:val="0"/>
                                      <w:marTop w:val="0"/>
                                      <w:marBottom w:val="0"/>
                                      <w:divBdr>
                                        <w:top w:val="none" w:sz="0" w:space="0" w:color="auto"/>
                                        <w:left w:val="none" w:sz="0" w:space="0" w:color="auto"/>
                                        <w:bottom w:val="none" w:sz="0" w:space="0" w:color="auto"/>
                                        <w:right w:val="none" w:sz="0" w:space="0" w:color="auto"/>
                                      </w:divBdr>
                                      <w:divsChild>
                                        <w:div w:id="1211183422">
                                          <w:marLeft w:val="0"/>
                                          <w:marRight w:val="0"/>
                                          <w:marTop w:val="0"/>
                                          <w:marBottom w:val="0"/>
                                          <w:divBdr>
                                            <w:top w:val="none" w:sz="0" w:space="0" w:color="auto"/>
                                            <w:left w:val="none" w:sz="0" w:space="0" w:color="auto"/>
                                            <w:bottom w:val="none" w:sz="0" w:space="0" w:color="auto"/>
                                            <w:right w:val="none" w:sz="0" w:space="0" w:color="auto"/>
                                          </w:divBdr>
                                          <w:divsChild>
                                            <w:div w:id="159777857">
                                              <w:marLeft w:val="0"/>
                                              <w:marRight w:val="0"/>
                                              <w:marTop w:val="0"/>
                                              <w:marBottom w:val="0"/>
                                              <w:divBdr>
                                                <w:top w:val="none" w:sz="0" w:space="0" w:color="auto"/>
                                                <w:left w:val="none" w:sz="0" w:space="0" w:color="auto"/>
                                                <w:bottom w:val="none" w:sz="0" w:space="0" w:color="auto"/>
                                                <w:right w:val="none" w:sz="0" w:space="0" w:color="auto"/>
                                              </w:divBdr>
                                              <w:divsChild>
                                                <w:div w:id="642122652">
                                                  <w:marLeft w:val="0"/>
                                                  <w:marRight w:val="0"/>
                                                  <w:marTop w:val="0"/>
                                                  <w:marBottom w:val="0"/>
                                                  <w:divBdr>
                                                    <w:top w:val="none" w:sz="0" w:space="0" w:color="auto"/>
                                                    <w:left w:val="none" w:sz="0" w:space="0" w:color="auto"/>
                                                    <w:bottom w:val="none" w:sz="0" w:space="0" w:color="auto"/>
                                                    <w:right w:val="none" w:sz="0" w:space="0" w:color="auto"/>
                                                  </w:divBdr>
                                                  <w:divsChild>
                                                    <w:div w:id="677926779">
                                                      <w:marLeft w:val="0"/>
                                                      <w:marRight w:val="0"/>
                                                      <w:marTop w:val="0"/>
                                                      <w:marBottom w:val="0"/>
                                                      <w:divBdr>
                                                        <w:top w:val="none" w:sz="0" w:space="0" w:color="auto"/>
                                                        <w:left w:val="none" w:sz="0" w:space="0" w:color="auto"/>
                                                        <w:bottom w:val="none" w:sz="0" w:space="0" w:color="auto"/>
                                                        <w:right w:val="none" w:sz="0" w:space="0" w:color="auto"/>
                                                      </w:divBdr>
                                                      <w:divsChild>
                                                        <w:div w:id="7836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361437">
      <w:bodyDiv w:val="1"/>
      <w:marLeft w:val="0"/>
      <w:marRight w:val="0"/>
      <w:marTop w:val="0"/>
      <w:marBottom w:val="0"/>
      <w:divBdr>
        <w:top w:val="none" w:sz="0" w:space="0" w:color="auto"/>
        <w:left w:val="none" w:sz="0" w:space="0" w:color="auto"/>
        <w:bottom w:val="none" w:sz="0" w:space="0" w:color="auto"/>
        <w:right w:val="none" w:sz="0" w:space="0" w:color="auto"/>
      </w:divBdr>
      <w:divsChild>
        <w:div w:id="1279294761">
          <w:marLeft w:val="2400"/>
          <w:marRight w:val="0"/>
          <w:marTop w:val="0"/>
          <w:marBottom w:val="0"/>
          <w:divBdr>
            <w:top w:val="none" w:sz="0" w:space="0" w:color="auto"/>
            <w:left w:val="none" w:sz="0" w:space="0" w:color="auto"/>
            <w:bottom w:val="none" w:sz="0" w:space="0" w:color="auto"/>
            <w:right w:val="none" w:sz="0" w:space="0" w:color="auto"/>
          </w:divBdr>
          <w:divsChild>
            <w:div w:id="1915582891">
              <w:marLeft w:val="0"/>
              <w:marRight w:val="0"/>
              <w:marTop w:val="0"/>
              <w:marBottom w:val="0"/>
              <w:divBdr>
                <w:top w:val="none" w:sz="0" w:space="0" w:color="auto"/>
                <w:left w:val="none" w:sz="0" w:space="0" w:color="auto"/>
                <w:bottom w:val="none" w:sz="0" w:space="0" w:color="auto"/>
                <w:right w:val="none" w:sz="0" w:space="0" w:color="auto"/>
              </w:divBdr>
              <w:divsChild>
                <w:div w:id="1403408619">
                  <w:marLeft w:val="0"/>
                  <w:marRight w:val="0"/>
                  <w:marTop w:val="0"/>
                  <w:marBottom w:val="0"/>
                  <w:divBdr>
                    <w:top w:val="none" w:sz="0" w:space="0" w:color="auto"/>
                    <w:left w:val="none" w:sz="0" w:space="0" w:color="auto"/>
                    <w:bottom w:val="none" w:sz="0" w:space="0" w:color="auto"/>
                    <w:right w:val="none" w:sz="0" w:space="0" w:color="auto"/>
                  </w:divBdr>
                  <w:divsChild>
                    <w:div w:id="10021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508606">
      <w:bodyDiv w:val="1"/>
      <w:marLeft w:val="0"/>
      <w:marRight w:val="0"/>
      <w:marTop w:val="0"/>
      <w:marBottom w:val="0"/>
      <w:divBdr>
        <w:top w:val="none" w:sz="0" w:space="0" w:color="auto"/>
        <w:left w:val="none" w:sz="0" w:space="0" w:color="auto"/>
        <w:bottom w:val="none" w:sz="0" w:space="0" w:color="auto"/>
        <w:right w:val="none" w:sz="0" w:space="0" w:color="auto"/>
      </w:divBdr>
      <w:divsChild>
        <w:div w:id="980041807">
          <w:marLeft w:val="0"/>
          <w:marRight w:val="0"/>
          <w:marTop w:val="0"/>
          <w:marBottom w:val="0"/>
          <w:divBdr>
            <w:top w:val="none" w:sz="0" w:space="0" w:color="auto"/>
            <w:left w:val="none" w:sz="0" w:space="0" w:color="auto"/>
            <w:bottom w:val="none" w:sz="0" w:space="0" w:color="auto"/>
            <w:right w:val="none" w:sz="0" w:space="0" w:color="auto"/>
          </w:divBdr>
          <w:divsChild>
            <w:div w:id="1621183722">
              <w:marLeft w:val="0"/>
              <w:marRight w:val="0"/>
              <w:marTop w:val="0"/>
              <w:marBottom w:val="0"/>
              <w:divBdr>
                <w:top w:val="none" w:sz="0" w:space="0" w:color="auto"/>
                <w:left w:val="none" w:sz="0" w:space="0" w:color="auto"/>
                <w:bottom w:val="none" w:sz="0" w:space="0" w:color="auto"/>
                <w:right w:val="none" w:sz="0" w:space="0" w:color="auto"/>
              </w:divBdr>
              <w:divsChild>
                <w:div w:id="599723458">
                  <w:marLeft w:val="0"/>
                  <w:marRight w:val="0"/>
                  <w:marTop w:val="0"/>
                  <w:marBottom w:val="0"/>
                  <w:divBdr>
                    <w:top w:val="none" w:sz="0" w:space="0" w:color="auto"/>
                    <w:left w:val="none" w:sz="0" w:space="0" w:color="auto"/>
                    <w:bottom w:val="none" w:sz="0" w:space="0" w:color="auto"/>
                    <w:right w:val="none" w:sz="0" w:space="0" w:color="auto"/>
                  </w:divBdr>
                  <w:divsChild>
                    <w:div w:id="1357462306">
                      <w:marLeft w:val="0"/>
                      <w:marRight w:val="0"/>
                      <w:marTop w:val="0"/>
                      <w:marBottom w:val="0"/>
                      <w:divBdr>
                        <w:top w:val="none" w:sz="0" w:space="0" w:color="auto"/>
                        <w:left w:val="none" w:sz="0" w:space="0" w:color="auto"/>
                        <w:bottom w:val="none" w:sz="0" w:space="0" w:color="auto"/>
                        <w:right w:val="none" w:sz="0" w:space="0" w:color="auto"/>
                      </w:divBdr>
                      <w:divsChild>
                        <w:div w:id="507257780">
                          <w:marLeft w:val="0"/>
                          <w:marRight w:val="0"/>
                          <w:marTop w:val="0"/>
                          <w:marBottom w:val="0"/>
                          <w:divBdr>
                            <w:top w:val="none" w:sz="0" w:space="0" w:color="auto"/>
                            <w:left w:val="none" w:sz="0" w:space="0" w:color="auto"/>
                            <w:bottom w:val="none" w:sz="0" w:space="0" w:color="auto"/>
                            <w:right w:val="none" w:sz="0" w:space="0" w:color="auto"/>
                          </w:divBdr>
                          <w:divsChild>
                            <w:div w:id="1044452995">
                              <w:marLeft w:val="0"/>
                              <w:marRight w:val="0"/>
                              <w:marTop w:val="0"/>
                              <w:marBottom w:val="0"/>
                              <w:divBdr>
                                <w:top w:val="none" w:sz="0" w:space="0" w:color="auto"/>
                                <w:left w:val="none" w:sz="0" w:space="0" w:color="auto"/>
                                <w:bottom w:val="none" w:sz="0" w:space="0" w:color="auto"/>
                                <w:right w:val="none" w:sz="0" w:space="0" w:color="auto"/>
                              </w:divBdr>
                              <w:divsChild>
                                <w:div w:id="1991445276">
                                  <w:marLeft w:val="0"/>
                                  <w:marRight w:val="0"/>
                                  <w:marTop w:val="0"/>
                                  <w:marBottom w:val="0"/>
                                  <w:divBdr>
                                    <w:top w:val="none" w:sz="0" w:space="0" w:color="auto"/>
                                    <w:left w:val="none" w:sz="0" w:space="0" w:color="auto"/>
                                    <w:bottom w:val="none" w:sz="0" w:space="0" w:color="auto"/>
                                    <w:right w:val="none" w:sz="0" w:space="0" w:color="auto"/>
                                  </w:divBdr>
                                  <w:divsChild>
                                    <w:div w:id="1718815774">
                                      <w:marLeft w:val="0"/>
                                      <w:marRight w:val="0"/>
                                      <w:marTop w:val="0"/>
                                      <w:marBottom w:val="0"/>
                                      <w:divBdr>
                                        <w:top w:val="none" w:sz="0" w:space="0" w:color="auto"/>
                                        <w:left w:val="none" w:sz="0" w:space="0" w:color="auto"/>
                                        <w:bottom w:val="none" w:sz="0" w:space="0" w:color="auto"/>
                                        <w:right w:val="none" w:sz="0" w:space="0" w:color="auto"/>
                                      </w:divBdr>
                                      <w:divsChild>
                                        <w:div w:id="10496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134676">
      <w:bodyDiv w:val="1"/>
      <w:marLeft w:val="0"/>
      <w:marRight w:val="0"/>
      <w:marTop w:val="0"/>
      <w:marBottom w:val="0"/>
      <w:divBdr>
        <w:top w:val="none" w:sz="0" w:space="0" w:color="auto"/>
        <w:left w:val="none" w:sz="0" w:space="0" w:color="auto"/>
        <w:bottom w:val="none" w:sz="0" w:space="0" w:color="auto"/>
        <w:right w:val="none" w:sz="0" w:space="0" w:color="auto"/>
      </w:divBdr>
      <w:divsChild>
        <w:div w:id="1863859649">
          <w:marLeft w:val="0"/>
          <w:marRight w:val="0"/>
          <w:marTop w:val="0"/>
          <w:marBottom w:val="0"/>
          <w:divBdr>
            <w:top w:val="none" w:sz="0" w:space="0" w:color="auto"/>
            <w:left w:val="none" w:sz="0" w:space="0" w:color="auto"/>
            <w:bottom w:val="none" w:sz="0" w:space="0" w:color="auto"/>
            <w:right w:val="none" w:sz="0" w:space="0" w:color="auto"/>
          </w:divBdr>
          <w:divsChild>
            <w:div w:id="165831683">
              <w:marLeft w:val="0"/>
              <w:marRight w:val="0"/>
              <w:marTop w:val="0"/>
              <w:marBottom w:val="0"/>
              <w:divBdr>
                <w:top w:val="none" w:sz="0" w:space="0" w:color="auto"/>
                <w:left w:val="none" w:sz="0" w:space="0" w:color="auto"/>
                <w:bottom w:val="none" w:sz="0" w:space="0" w:color="auto"/>
                <w:right w:val="none" w:sz="0" w:space="0" w:color="auto"/>
              </w:divBdr>
              <w:divsChild>
                <w:div w:id="513960787">
                  <w:marLeft w:val="0"/>
                  <w:marRight w:val="0"/>
                  <w:marTop w:val="0"/>
                  <w:marBottom w:val="0"/>
                  <w:divBdr>
                    <w:top w:val="none" w:sz="0" w:space="0" w:color="auto"/>
                    <w:left w:val="none" w:sz="0" w:space="0" w:color="auto"/>
                    <w:bottom w:val="none" w:sz="0" w:space="0" w:color="auto"/>
                    <w:right w:val="none" w:sz="0" w:space="0" w:color="auto"/>
                  </w:divBdr>
                  <w:divsChild>
                    <w:div w:id="939335199">
                      <w:marLeft w:val="0"/>
                      <w:marRight w:val="0"/>
                      <w:marTop w:val="0"/>
                      <w:marBottom w:val="0"/>
                      <w:divBdr>
                        <w:top w:val="none" w:sz="0" w:space="0" w:color="auto"/>
                        <w:left w:val="none" w:sz="0" w:space="0" w:color="auto"/>
                        <w:bottom w:val="none" w:sz="0" w:space="0" w:color="auto"/>
                        <w:right w:val="none" w:sz="0" w:space="0" w:color="auto"/>
                      </w:divBdr>
                      <w:divsChild>
                        <w:div w:id="6895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477671">
      <w:bodyDiv w:val="1"/>
      <w:marLeft w:val="0"/>
      <w:marRight w:val="0"/>
      <w:marTop w:val="0"/>
      <w:marBottom w:val="0"/>
      <w:divBdr>
        <w:top w:val="none" w:sz="0" w:space="0" w:color="auto"/>
        <w:left w:val="none" w:sz="0" w:space="0" w:color="auto"/>
        <w:bottom w:val="none" w:sz="0" w:space="0" w:color="auto"/>
        <w:right w:val="none" w:sz="0" w:space="0" w:color="auto"/>
      </w:divBdr>
      <w:divsChild>
        <w:div w:id="665089567">
          <w:marLeft w:val="0"/>
          <w:marRight w:val="0"/>
          <w:marTop w:val="0"/>
          <w:marBottom w:val="0"/>
          <w:divBdr>
            <w:top w:val="none" w:sz="0" w:space="0" w:color="auto"/>
            <w:left w:val="none" w:sz="0" w:space="0" w:color="auto"/>
            <w:bottom w:val="none" w:sz="0" w:space="0" w:color="auto"/>
            <w:right w:val="none" w:sz="0" w:space="0" w:color="auto"/>
          </w:divBdr>
          <w:divsChild>
            <w:div w:id="909467302">
              <w:marLeft w:val="0"/>
              <w:marRight w:val="0"/>
              <w:marTop w:val="0"/>
              <w:marBottom w:val="0"/>
              <w:divBdr>
                <w:top w:val="none" w:sz="0" w:space="0" w:color="auto"/>
                <w:left w:val="none" w:sz="0" w:space="0" w:color="auto"/>
                <w:bottom w:val="none" w:sz="0" w:space="0" w:color="auto"/>
                <w:right w:val="none" w:sz="0" w:space="0" w:color="auto"/>
              </w:divBdr>
              <w:divsChild>
                <w:div w:id="1173447311">
                  <w:marLeft w:val="0"/>
                  <w:marRight w:val="0"/>
                  <w:marTop w:val="0"/>
                  <w:marBottom w:val="0"/>
                  <w:divBdr>
                    <w:top w:val="none" w:sz="0" w:space="0" w:color="auto"/>
                    <w:left w:val="none" w:sz="0" w:space="0" w:color="auto"/>
                    <w:bottom w:val="none" w:sz="0" w:space="0" w:color="auto"/>
                    <w:right w:val="none" w:sz="0" w:space="0" w:color="auto"/>
                  </w:divBdr>
                  <w:divsChild>
                    <w:div w:id="1249579288">
                      <w:marLeft w:val="0"/>
                      <w:marRight w:val="0"/>
                      <w:marTop w:val="0"/>
                      <w:marBottom w:val="0"/>
                      <w:divBdr>
                        <w:top w:val="none" w:sz="0" w:space="0" w:color="auto"/>
                        <w:left w:val="none" w:sz="0" w:space="0" w:color="auto"/>
                        <w:bottom w:val="none" w:sz="0" w:space="0" w:color="auto"/>
                        <w:right w:val="none" w:sz="0" w:space="0" w:color="auto"/>
                      </w:divBdr>
                      <w:divsChild>
                        <w:div w:id="93594556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81941787">
      <w:bodyDiv w:val="1"/>
      <w:marLeft w:val="0"/>
      <w:marRight w:val="0"/>
      <w:marTop w:val="0"/>
      <w:marBottom w:val="0"/>
      <w:divBdr>
        <w:top w:val="none" w:sz="0" w:space="0" w:color="auto"/>
        <w:left w:val="none" w:sz="0" w:space="0" w:color="auto"/>
        <w:bottom w:val="none" w:sz="0" w:space="0" w:color="auto"/>
        <w:right w:val="none" w:sz="0" w:space="0" w:color="auto"/>
      </w:divBdr>
      <w:divsChild>
        <w:div w:id="904991149">
          <w:marLeft w:val="0"/>
          <w:marRight w:val="0"/>
          <w:marTop w:val="375"/>
          <w:marBottom w:val="375"/>
          <w:divBdr>
            <w:top w:val="none" w:sz="0" w:space="0" w:color="auto"/>
            <w:left w:val="none" w:sz="0" w:space="0" w:color="auto"/>
            <w:bottom w:val="none" w:sz="0" w:space="0" w:color="auto"/>
            <w:right w:val="none" w:sz="0" w:space="0" w:color="auto"/>
          </w:divBdr>
          <w:divsChild>
            <w:div w:id="953755819">
              <w:marLeft w:val="0"/>
              <w:marRight w:val="0"/>
              <w:marTop w:val="375"/>
              <w:marBottom w:val="375"/>
              <w:divBdr>
                <w:top w:val="none" w:sz="0" w:space="0" w:color="auto"/>
                <w:left w:val="none" w:sz="0" w:space="0" w:color="auto"/>
                <w:bottom w:val="none" w:sz="0" w:space="0" w:color="auto"/>
                <w:right w:val="none" w:sz="0" w:space="0" w:color="auto"/>
              </w:divBdr>
            </w:div>
          </w:divsChild>
        </w:div>
        <w:div w:id="871957646">
          <w:marLeft w:val="0"/>
          <w:marRight w:val="0"/>
          <w:marTop w:val="0"/>
          <w:marBottom w:val="375"/>
          <w:divBdr>
            <w:top w:val="none" w:sz="0" w:space="0" w:color="auto"/>
            <w:left w:val="none" w:sz="0" w:space="0" w:color="auto"/>
            <w:bottom w:val="none" w:sz="0" w:space="0" w:color="auto"/>
            <w:right w:val="none" w:sz="0" w:space="0" w:color="auto"/>
          </w:divBdr>
        </w:div>
      </w:divsChild>
    </w:div>
    <w:div w:id="881985451">
      <w:bodyDiv w:val="1"/>
      <w:marLeft w:val="0"/>
      <w:marRight w:val="0"/>
      <w:marTop w:val="0"/>
      <w:marBottom w:val="0"/>
      <w:divBdr>
        <w:top w:val="none" w:sz="0" w:space="0" w:color="auto"/>
        <w:left w:val="none" w:sz="0" w:space="0" w:color="auto"/>
        <w:bottom w:val="none" w:sz="0" w:space="0" w:color="auto"/>
        <w:right w:val="none" w:sz="0" w:space="0" w:color="auto"/>
      </w:divBdr>
      <w:divsChild>
        <w:div w:id="1883131787">
          <w:marLeft w:val="0"/>
          <w:marRight w:val="0"/>
          <w:marTop w:val="0"/>
          <w:marBottom w:val="0"/>
          <w:divBdr>
            <w:top w:val="none" w:sz="0" w:space="0" w:color="auto"/>
            <w:left w:val="none" w:sz="0" w:space="0" w:color="auto"/>
            <w:bottom w:val="none" w:sz="0" w:space="0" w:color="auto"/>
            <w:right w:val="none" w:sz="0" w:space="0" w:color="auto"/>
          </w:divBdr>
          <w:divsChild>
            <w:div w:id="1038161978">
              <w:marLeft w:val="0"/>
              <w:marRight w:val="0"/>
              <w:marTop w:val="0"/>
              <w:marBottom w:val="0"/>
              <w:divBdr>
                <w:top w:val="none" w:sz="0" w:space="0" w:color="auto"/>
                <w:left w:val="none" w:sz="0" w:space="0" w:color="auto"/>
                <w:bottom w:val="none" w:sz="0" w:space="0" w:color="auto"/>
                <w:right w:val="none" w:sz="0" w:space="0" w:color="auto"/>
              </w:divBdr>
              <w:divsChild>
                <w:div w:id="1241060151">
                  <w:marLeft w:val="0"/>
                  <w:marRight w:val="0"/>
                  <w:marTop w:val="0"/>
                  <w:marBottom w:val="0"/>
                  <w:divBdr>
                    <w:top w:val="none" w:sz="0" w:space="0" w:color="auto"/>
                    <w:left w:val="none" w:sz="0" w:space="0" w:color="auto"/>
                    <w:bottom w:val="none" w:sz="0" w:space="0" w:color="auto"/>
                    <w:right w:val="none" w:sz="0" w:space="0" w:color="auto"/>
                  </w:divBdr>
                  <w:divsChild>
                    <w:div w:id="126972514">
                      <w:marLeft w:val="0"/>
                      <w:marRight w:val="0"/>
                      <w:marTop w:val="0"/>
                      <w:marBottom w:val="0"/>
                      <w:divBdr>
                        <w:top w:val="none" w:sz="0" w:space="0" w:color="auto"/>
                        <w:left w:val="none" w:sz="0" w:space="0" w:color="auto"/>
                        <w:bottom w:val="none" w:sz="0" w:space="0" w:color="auto"/>
                        <w:right w:val="none" w:sz="0" w:space="0" w:color="auto"/>
                      </w:divBdr>
                      <w:divsChild>
                        <w:div w:id="793601608">
                          <w:marLeft w:val="0"/>
                          <w:marRight w:val="0"/>
                          <w:marTop w:val="0"/>
                          <w:marBottom w:val="0"/>
                          <w:divBdr>
                            <w:top w:val="none" w:sz="0" w:space="0" w:color="auto"/>
                            <w:left w:val="none" w:sz="0" w:space="0" w:color="auto"/>
                            <w:bottom w:val="none" w:sz="0" w:space="0" w:color="auto"/>
                            <w:right w:val="none" w:sz="0" w:space="0" w:color="auto"/>
                          </w:divBdr>
                          <w:divsChild>
                            <w:div w:id="1463843466">
                              <w:marLeft w:val="0"/>
                              <w:marRight w:val="0"/>
                              <w:marTop w:val="0"/>
                              <w:marBottom w:val="0"/>
                              <w:divBdr>
                                <w:top w:val="none" w:sz="0" w:space="0" w:color="auto"/>
                                <w:left w:val="none" w:sz="0" w:space="0" w:color="auto"/>
                                <w:bottom w:val="none" w:sz="0" w:space="0" w:color="auto"/>
                                <w:right w:val="none" w:sz="0" w:space="0" w:color="auto"/>
                              </w:divBdr>
                              <w:divsChild>
                                <w:div w:id="775638200">
                                  <w:marLeft w:val="0"/>
                                  <w:marRight w:val="0"/>
                                  <w:marTop w:val="0"/>
                                  <w:marBottom w:val="0"/>
                                  <w:divBdr>
                                    <w:top w:val="none" w:sz="0" w:space="0" w:color="auto"/>
                                    <w:left w:val="none" w:sz="0" w:space="0" w:color="auto"/>
                                    <w:bottom w:val="none" w:sz="0" w:space="0" w:color="auto"/>
                                    <w:right w:val="none" w:sz="0" w:space="0" w:color="auto"/>
                                  </w:divBdr>
                                  <w:divsChild>
                                    <w:div w:id="1702320205">
                                      <w:marLeft w:val="0"/>
                                      <w:marRight w:val="0"/>
                                      <w:marTop w:val="0"/>
                                      <w:marBottom w:val="0"/>
                                      <w:divBdr>
                                        <w:top w:val="none" w:sz="0" w:space="0" w:color="auto"/>
                                        <w:left w:val="none" w:sz="0" w:space="0" w:color="auto"/>
                                        <w:bottom w:val="none" w:sz="0" w:space="0" w:color="auto"/>
                                        <w:right w:val="none" w:sz="0" w:space="0" w:color="auto"/>
                                      </w:divBdr>
                                      <w:divsChild>
                                        <w:div w:id="691421964">
                                          <w:marLeft w:val="0"/>
                                          <w:marRight w:val="0"/>
                                          <w:marTop w:val="0"/>
                                          <w:marBottom w:val="0"/>
                                          <w:divBdr>
                                            <w:top w:val="none" w:sz="0" w:space="0" w:color="auto"/>
                                            <w:left w:val="none" w:sz="0" w:space="0" w:color="auto"/>
                                            <w:bottom w:val="none" w:sz="0" w:space="0" w:color="auto"/>
                                            <w:right w:val="none" w:sz="0" w:space="0" w:color="auto"/>
                                          </w:divBdr>
                                        </w:div>
                                        <w:div w:id="2067757067">
                                          <w:marLeft w:val="0"/>
                                          <w:marRight w:val="0"/>
                                          <w:marTop w:val="0"/>
                                          <w:marBottom w:val="0"/>
                                          <w:divBdr>
                                            <w:top w:val="none" w:sz="0" w:space="0" w:color="auto"/>
                                            <w:left w:val="none" w:sz="0" w:space="0" w:color="auto"/>
                                            <w:bottom w:val="none" w:sz="0" w:space="0" w:color="auto"/>
                                            <w:right w:val="none" w:sz="0" w:space="0" w:color="auto"/>
                                          </w:divBdr>
                                          <w:divsChild>
                                            <w:div w:id="14059581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134682">
      <w:bodyDiv w:val="1"/>
      <w:marLeft w:val="0"/>
      <w:marRight w:val="0"/>
      <w:marTop w:val="0"/>
      <w:marBottom w:val="0"/>
      <w:divBdr>
        <w:top w:val="none" w:sz="0" w:space="0" w:color="auto"/>
        <w:left w:val="none" w:sz="0" w:space="0" w:color="auto"/>
        <w:bottom w:val="none" w:sz="0" w:space="0" w:color="auto"/>
        <w:right w:val="none" w:sz="0" w:space="0" w:color="auto"/>
      </w:divBdr>
      <w:divsChild>
        <w:div w:id="1060860494">
          <w:marLeft w:val="0"/>
          <w:marRight w:val="0"/>
          <w:marTop w:val="0"/>
          <w:marBottom w:val="0"/>
          <w:divBdr>
            <w:top w:val="none" w:sz="0" w:space="0" w:color="auto"/>
            <w:left w:val="none" w:sz="0" w:space="0" w:color="auto"/>
            <w:bottom w:val="none" w:sz="0" w:space="0" w:color="auto"/>
            <w:right w:val="none" w:sz="0" w:space="0" w:color="auto"/>
          </w:divBdr>
          <w:divsChild>
            <w:div w:id="1349596445">
              <w:marLeft w:val="0"/>
              <w:marRight w:val="0"/>
              <w:marTop w:val="0"/>
              <w:marBottom w:val="0"/>
              <w:divBdr>
                <w:top w:val="none" w:sz="0" w:space="0" w:color="auto"/>
                <w:left w:val="none" w:sz="0" w:space="0" w:color="auto"/>
                <w:bottom w:val="none" w:sz="0" w:space="0" w:color="auto"/>
                <w:right w:val="none" w:sz="0" w:space="0" w:color="auto"/>
              </w:divBdr>
              <w:divsChild>
                <w:div w:id="538251367">
                  <w:marLeft w:val="0"/>
                  <w:marRight w:val="0"/>
                  <w:marTop w:val="0"/>
                  <w:marBottom w:val="0"/>
                  <w:divBdr>
                    <w:top w:val="none" w:sz="0" w:space="0" w:color="auto"/>
                    <w:left w:val="none" w:sz="0" w:space="0" w:color="auto"/>
                    <w:bottom w:val="none" w:sz="0" w:space="0" w:color="auto"/>
                    <w:right w:val="none" w:sz="0" w:space="0" w:color="auto"/>
                  </w:divBdr>
                  <w:divsChild>
                    <w:div w:id="1355304459">
                      <w:marLeft w:val="0"/>
                      <w:marRight w:val="0"/>
                      <w:marTop w:val="0"/>
                      <w:marBottom w:val="0"/>
                      <w:divBdr>
                        <w:top w:val="none" w:sz="0" w:space="0" w:color="auto"/>
                        <w:left w:val="none" w:sz="0" w:space="0" w:color="auto"/>
                        <w:bottom w:val="none" w:sz="0" w:space="0" w:color="auto"/>
                        <w:right w:val="none" w:sz="0" w:space="0" w:color="auto"/>
                      </w:divBdr>
                      <w:divsChild>
                        <w:div w:id="1031415946">
                          <w:marLeft w:val="0"/>
                          <w:marRight w:val="0"/>
                          <w:marTop w:val="0"/>
                          <w:marBottom w:val="0"/>
                          <w:divBdr>
                            <w:top w:val="none" w:sz="0" w:space="0" w:color="auto"/>
                            <w:left w:val="none" w:sz="0" w:space="0" w:color="auto"/>
                            <w:bottom w:val="none" w:sz="0" w:space="0" w:color="auto"/>
                            <w:right w:val="none" w:sz="0" w:space="0" w:color="auto"/>
                          </w:divBdr>
                          <w:divsChild>
                            <w:div w:id="599413250">
                              <w:marLeft w:val="0"/>
                              <w:marRight w:val="0"/>
                              <w:marTop w:val="0"/>
                              <w:marBottom w:val="0"/>
                              <w:divBdr>
                                <w:top w:val="none" w:sz="0" w:space="0" w:color="auto"/>
                                <w:left w:val="none" w:sz="0" w:space="0" w:color="auto"/>
                                <w:bottom w:val="none" w:sz="0" w:space="0" w:color="auto"/>
                                <w:right w:val="none" w:sz="0" w:space="0" w:color="auto"/>
                              </w:divBdr>
                              <w:divsChild>
                                <w:div w:id="476072546">
                                  <w:marLeft w:val="0"/>
                                  <w:marRight w:val="0"/>
                                  <w:marTop w:val="0"/>
                                  <w:marBottom w:val="0"/>
                                  <w:divBdr>
                                    <w:top w:val="none" w:sz="0" w:space="0" w:color="auto"/>
                                    <w:left w:val="none" w:sz="0" w:space="0" w:color="auto"/>
                                    <w:bottom w:val="none" w:sz="0" w:space="0" w:color="auto"/>
                                    <w:right w:val="none" w:sz="0" w:space="0" w:color="auto"/>
                                  </w:divBdr>
                                  <w:divsChild>
                                    <w:div w:id="2027825109">
                                      <w:marLeft w:val="0"/>
                                      <w:marRight w:val="0"/>
                                      <w:marTop w:val="0"/>
                                      <w:marBottom w:val="0"/>
                                      <w:divBdr>
                                        <w:top w:val="none" w:sz="0" w:space="0" w:color="auto"/>
                                        <w:left w:val="none" w:sz="0" w:space="0" w:color="auto"/>
                                        <w:bottom w:val="none" w:sz="0" w:space="0" w:color="auto"/>
                                        <w:right w:val="none" w:sz="0" w:space="0" w:color="auto"/>
                                      </w:divBdr>
                                      <w:divsChild>
                                        <w:div w:id="5522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447864">
      <w:bodyDiv w:val="1"/>
      <w:marLeft w:val="0"/>
      <w:marRight w:val="0"/>
      <w:marTop w:val="0"/>
      <w:marBottom w:val="0"/>
      <w:divBdr>
        <w:top w:val="none" w:sz="0" w:space="0" w:color="auto"/>
        <w:left w:val="none" w:sz="0" w:space="0" w:color="auto"/>
        <w:bottom w:val="none" w:sz="0" w:space="0" w:color="auto"/>
        <w:right w:val="none" w:sz="0" w:space="0" w:color="auto"/>
      </w:divBdr>
    </w:div>
    <w:div w:id="883054136">
      <w:bodyDiv w:val="1"/>
      <w:marLeft w:val="0"/>
      <w:marRight w:val="0"/>
      <w:marTop w:val="0"/>
      <w:marBottom w:val="0"/>
      <w:divBdr>
        <w:top w:val="none" w:sz="0" w:space="0" w:color="auto"/>
        <w:left w:val="none" w:sz="0" w:space="0" w:color="auto"/>
        <w:bottom w:val="none" w:sz="0" w:space="0" w:color="auto"/>
        <w:right w:val="none" w:sz="0" w:space="0" w:color="auto"/>
      </w:divBdr>
      <w:divsChild>
        <w:div w:id="1576742202">
          <w:marLeft w:val="0"/>
          <w:marRight w:val="0"/>
          <w:marTop w:val="0"/>
          <w:marBottom w:val="0"/>
          <w:divBdr>
            <w:top w:val="single" w:sz="2" w:space="0" w:color="ECECEC"/>
            <w:left w:val="single" w:sz="2" w:space="0" w:color="ECECEC"/>
            <w:bottom w:val="single" w:sz="2" w:space="0" w:color="ECECEC"/>
            <w:right w:val="single" w:sz="2" w:space="0" w:color="ECECEC"/>
          </w:divBdr>
          <w:divsChild>
            <w:div w:id="553086342">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361592413">
          <w:marLeft w:val="0"/>
          <w:marRight w:val="0"/>
          <w:marTop w:val="0"/>
          <w:marBottom w:val="0"/>
          <w:divBdr>
            <w:top w:val="single" w:sz="2" w:space="0" w:color="ECECEC"/>
            <w:left w:val="single" w:sz="2" w:space="0" w:color="ECECEC"/>
            <w:bottom w:val="single" w:sz="2" w:space="0" w:color="ECECEC"/>
            <w:right w:val="single" w:sz="2" w:space="0" w:color="ECECEC"/>
          </w:divBdr>
        </w:div>
        <w:div w:id="203321603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883639234">
      <w:bodyDiv w:val="1"/>
      <w:marLeft w:val="0"/>
      <w:marRight w:val="0"/>
      <w:marTop w:val="0"/>
      <w:marBottom w:val="0"/>
      <w:divBdr>
        <w:top w:val="none" w:sz="0" w:space="0" w:color="auto"/>
        <w:left w:val="none" w:sz="0" w:space="0" w:color="auto"/>
        <w:bottom w:val="none" w:sz="0" w:space="0" w:color="auto"/>
        <w:right w:val="none" w:sz="0" w:space="0" w:color="auto"/>
      </w:divBdr>
      <w:divsChild>
        <w:div w:id="1577472147">
          <w:marLeft w:val="0"/>
          <w:marRight w:val="0"/>
          <w:marTop w:val="0"/>
          <w:marBottom w:val="0"/>
          <w:divBdr>
            <w:top w:val="none" w:sz="0" w:space="0" w:color="auto"/>
            <w:left w:val="none" w:sz="0" w:space="0" w:color="auto"/>
            <w:bottom w:val="none" w:sz="0" w:space="0" w:color="auto"/>
            <w:right w:val="none" w:sz="0" w:space="0" w:color="auto"/>
          </w:divBdr>
        </w:div>
      </w:divsChild>
    </w:div>
    <w:div w:id="884098167">
      <w:bodyDiv w:val="1"/>
      <w:marLeft w:val="0"/>
      <w:marRight w:val="0"/>
      <w:marTop w:val="0"/>
      <w:marBottom w:val="0"/>
      <w:divBdr>
        <w:top w:val="none" w:sz="0" w:space="0" w:color="auto"/>
        <w:left w:val="none" w:sz="0" w:space="0" w:color="auto"/>
        <w:bottom w:val="none" w:sz="0" w:space="0" w:color="auto"/>
        <w:right w:val="none" w:sz="0" w:space="0" w:color="auto"/>
      </w:divBdr>
    </w:div>
    <w:div w:id="885487642">
      <w:bodyDiv w:val="1"/>
      <w:marLeft w:val="0"/>
      <w:marRight w:val="0"/>
      <w:marTop w:val="0"/>
      <w:marBottom w:val="0"/>
      <w:divBdr>
        <w:top w:val="none" w:sz="0" w:space="0" w:color="auto"/>
        <w:left w:val="none" w:sz="0" w:space="0" w:color="auto"/>
        <w:bottom w:val="none" w:sz="0" w:space="0" w:color="auto"/>
        <w:right w:val="none" w:sz="0" w:space="0" w:color="auto"/>
      </w:divBdr>
      <w:divsChild>
        <w:div w:id="258611186">
          <w:marLeft w:val="0"/>
          <w:marRight w:val="0"/>
          <w:marTop w:val="150"/>
          <w:marBottom w:val="0"/>
          <w:divBdr>
            <w:top w:val="none" w:sz="0" w:space="0" w:color="auto"/>
            <w:left w:val="none" w:sz="0" w:space="0" w:color="auto"/>
            <w:bottom w:val="none" w:sz="0" w:space="0" w:color="auto"/>
            <w:right w:val="none" w:sz="0" w:space="0" w:color="auto"/>
          </w:divBdr>
          <w:divsChild>
            <w:div w:id="1368068197">
              <w:marLeft w:val="2"/>
              <w:marRight w:val="2"/>
              <w:marTop w:val="0"/>
              <w:marBottom w:val="0"/>
              <w:divBdr>
                <w:top w:val="none" w:sz="0" w:space="0" w:color="auto"/>
                <w:left w:val="none" w:sz="0" w:space="0" w:color="auto"/>
                <w:bottom w:val="none" w:sz="0" w:space="0" w:color="auto"/>
                <w:right w:val="none" w:sz="0" w:space="0" w:color="auto"/>
              </w:divBdr>
              <w:divsChild>
                <w:div w:id="1355499841">
                  <w:marLeft w:val="0"/>
                  <w:marRight w:val="0"/>
                  <w:marTop w:val="0"/>
                  <w:marBottom w:val="0"/>
                  <w:divBdr>
                    <w:top w:val="none" w:sz="0" w:space="0" w:color="auto"/>
                    <w:left w:val="none" w:sz="0" w:space="0" w:color="auto"/>
                    <w:bottom w:val="none" w:sz="0" w:space="0" w:color="auto"/>
                    <w:right w:val="none" w:sz="0" w:space="0" w:color="auto"/>
                  </w:divBdr>
                  <w:divsChild>
                    <w:div w:id="1160534805">
                      <w:marLeft w:val="0"/>
                      <w:marRight w:val="0"/>
                      <w:marTop w:val="0"/>
                      <w:marBottom w:val="0"/>
                      <w:divBdr>
                        <w:top w:val="none" w:sz="0" w:space="0" w:color="auto"/>
                        <w:left w:val="none" w:sz="0" w:space="0" w:color="auto"/>
                        <w:bottom w:val="none" w:sz="0" w:space="0" w:color="auto"/>
                        <w:right w:val="none" w:sz="0" w:space="0" w:color="auto"/>
                      </w:divBdr>
                      <w:divsChild>
                        <w:div w:id="2070956683">
                          <w:marLeft w:val="0"/>
                          <w:marRight w:val="0"/>
                          <w:marTop w:val="0"/>
                          <w:marBottom w:val="0"/>
                          <w:divBdr>
                            <w:top w:val="none" w:sz="0" w:space="0" w:color="auto"/>
                            <w:left w:val="none" w:sz="0" w:space="0" w:color="auto"/>
                            <w:bottom w:val="none" w:sz="0" w:space="0" w:color="auto"/>
                            <w:right w:val="none" w:sz="0" w:space="0" w:color="auto"/>
                          </w:divBdr>
                          <w:divsChild>
                            <w:div w:id="44911724">
                              <w:marLeft w:val="0"/>
                              <w:marRight w:val="0"/>
                              <w:marTop w:val="0"/>
                              <w:marBottom w:val="0"/>
                              <w:divBdr>
                                <w:top w:val="none" w:sz="0" w:space="0" w:color="auto"/>
                                <w:left w:val="none" w:sz="0" w:space="0" w:color="auto"/>
                                <w:bottom w:val="none" w:sz="0" w:space="0" w:color="auto"/>
                                <w:right w:val="none" w:sz="0" w:space="0" w:color="auto"/>
                              </w:divBdr>
                              <w:divsChild>
                                <w:div w:id="340743217">
                                  <w:marLeft w:val="0"/>
                                  <w:marRight w:val="0"/>
                                  <w:marTop w:val="0"/>
                                  <w:marBottom w:val="0"/>
                                  <w:divBdr>
                                    <w:top w:val="none" w:sz="0" w:space="0" w:color="auto"/>
                                    <w:left w:val="none" w:sz="0" w:space="0" w:color="auto"/>
                                    <w:bottom w:val="none" w:sz="0" w:space="0" w:color="auto"/>
                                    <w:right w:val="none" w:sz="0" w:space="0" w:color="auto"/>
                                  </w:divBdr>
                                  <w:divsChild>
                                    <w:div w:id="1913346051">
                                      <w:marLeft w:val="0"/>
                                      <w:marRight w:val="0"/>
                                      <w:marTop w:val="0"/>
                                      <w:marBottom w:val="0"/>
                                      <w:divBdr>
                                        <w:top w:val="none" w:sz="0" w:space="0" w:color="auto"/>
                                        <w:left w:val="none" w:sz="0" w:space="0" w:color="auto"/>
                                        <w:bottom w:val="none" w:sz="0" w:space="0" w:color="auto"/>
                                        <w:right w:val="none" w:sz="0" w:space="0" w:color="auto"/>
                                      </w:divBdr>
                                      <w:divsChild>
                                        <w:div w:id="33897302">
                                          <w:marLeft w:val="0"/>
                                          <w:marRight w:val="0"/>
                                          <w:marTop w:val="0"/>
                                          <w:marBottom w:val="0"/>
                                          <w:divBdr>
                                            <w:top w:val="none" w:sz="0" w:space="0" w:color="auto"/>
                                            <w:left w:val="none" w:sz="0" w:space="0" w:color="auto"/>
                                            <w:bottom w:val="none" w:sz="0" w:space="0" w:color="auto"/>
                                            <w:right w:val="none" w:sz="0" w:space="0" w:color="auto"/>
                                          </w:divBdr>
                                          <w:divsChild>
                                            <w:div w:id="299188724">
                                              <w:marLeft w:val="0"/>
                                              <w:marRight w:val="0"/>
                                              <w:marTop w:val="0"/>
                                              <w:marBottom w:val="0"/>
                                              <w:divBdr>
                                                <w:top w:val="none" w:sz="0" w:space="0" w:color="auto"/>
                                                <w:left w:val="none" w:sz="0" w:space="0" w:color="auto"/>
                                                <w:bottom w:val="none" w:sz="0" w:space="0" w:color="auto"/>
                                                <w:right w:val="none" w:sz="0" w:space="0" w:color="auto"/>
                                              </w:divBdr>
                                              <w:divsChild>
                                                <w:div w:id="739475128">
                                                  <w:marLeft w:val="0"/>
                                                  <w:marRight w:val="0"/>
                                                  <w:marTop w:val="0"/>
                                                  <w:marBottom w:val="0"/>
                                                  <w:divBdr>
                                                    <w:top w:val="none" w:sz="0" w:space="0" w:color="auto"/>
                                                    <w:left w:val="none" w:sz="0" w:space="0" w:color="auto"/>
                                                    <w:bottom w:val="none" w:sz="0" w:space="0" w:color="auto"/>
                                                    <w:right w:val="none" w:sz="0" w:space="0" w:color="auto"/>
                                                  </w:divBdr>
                                                </w:div>
                                              </w:divsChild>
                                            </w:div>
                                            <w:div w:id="374356680">
                                              <w:marLeft w:val="0"/>
                                              <w:marRight w:val="0"/>
                                              <w:marTop w:val="0"/>
                                              <w:marBottom w:val="0"/>
                                              <w:divBdr>
                                                <w:top w:val="none" w:sz="0" w:space="0" w:color="auto"/>
                                                <w:left w:val="none" w:sz="0" w:space="0" w:color="auto"/>
                                                <w:bottom w:val="none" w:sz="0" w:space="0" w:color="auto"/>
                                                <w:right w:val="none" w:sz="0" w:space="0" w:color="auto"/>
                                              </w:divBdr>
                                              <w:divsChild>
                                                <w:div w:id="1497266335">
                                                  <w:marLeft w:val="0"/>
                                                  <w:marRight w:val="0"/>
                                                  <w:marTop w:val="0"/>
                                                  <w:marBottom w:val="0"/>
                                                  <w:divBdr>
                                                    <w:top w:val="none" w:sz="0" w:space="0" w:color="auto"/>
                                                    <w:left w:val="none" w:sz="0" w:space="0" w:color="auto"/>
                                                    <w:bottom w:val="none" w:sz="0" w:space="0" w:color="auto"/>
                                                    <w:right w:val="none" w:sz="0" w:space="0" w:color="auto"/>
                                                  </w:divBdr>
                                                </w:div>
                                              </w:divsChild>
                                            </w:div>
                                            <w:div w:id="163790974">
                                              <w:marLeft w:val="0"/>
                                              <w:marRight w:val="0"/>
                                              <w:marTop w:val="0"/>
                                              <w:marBottom w:val="0"/>
                                              <w:divBdr>
                                                <w:top w:val="none" w:sz="0" w:space="0" w:color="auto"/>
                                                <w:left w:val="none" w:sz="0" w:space="0" w:color="auto"/>
                                                <w:bottom w:val="none" w:sz="0" w:space="0" w:color="auto"/>
                                                <w:right w:val="none" w:sz="0" w:space="0" w:color="auto"/>
                                              </w:divBdr>
                                              <w:divsChild>
                                                <w:div w:id="367921463">
                                                  <w:marLeft w:val="0"/>
                                                  <w:marRight w:val="0"/>
                                                  <w:marTop w:val="0"/>
                                                  <w:marBottom w:val="0"/>
                                                  <w:divBdr>
                                                    <w:top w:val="none" w:sz="0" w:space="0" w:color="auto"/>
                                                    <w:left w:val="none" w:sz="0" w:space="0" w:color="auto"/>
                                                    <w:bottom w:val="none" w:sz="0" w:space="0" w:color="auto"/>
                                                    <w:right w:val="none" w:sz="0" w:space="0" w:color="auto"/>
                                                  </w:divBdr>
                                                </w:div>
                                              </w:divsChild>
                                            </w:div>
                                            <w:div w:id="641270794">
                                              <w:marLeft w:val="0"/>
                                              <w:marRight w:val="0"/>
                                              <w:marTop w:val="0"/>
                                              <w:marBottom w:val="0"/>
                                              <w:divBdr>
                                                <w:top w:val="none" w:sz="0" w:space="0" w:color="auto"/>
                                                <w:left w:val="none" w:sz="0" w:space="0" w:color="auto"/>
                                                <w:bottom w:val="none" w:sz="0" w:space="0" w:color="auto"/>
                                                <w:right w:val="none" w:sz="0" w:space="0" w:color="auto"/>
                                              </w:divBdr>
                                              <w:divsChild>
                                                <w:div w:id="953438485">
                                                  <w:marLeft w:val="0"/>
                                                  <w:marRight w:val="0"/>
                                                  <w:marTop w:val="0"/>
                                                  <w:marBottom w:val="0"/>
                                                  <w:divBdr>
                                                    <w:top w:val="none" w:sz="0" w:space="0" w:color="auto"/>
                                                    <w:left w:val="none" w:sz="0" w:space="0" w:color="auto"/>
                                                    <w:bottom w:val="none" w:sz="0" w:space="0" w:color="auto"/>
                                                    <w:right w:val="none" w:sz="0" w:space="0" w:color="auto"/>
                                                  </w:divBdr>
                                                </w:div>
                                              </w:divsChild>
                                            </w:div>
                                            <w:div w:id="1876306270">
                                              <w:marLeft w:val="0"/>
                                              <w:marRight w:val="0"/>
                                              <w:marTop w:val="0"/>
                                              <w:marBottom w:val="0"/>
                                              <w:divBdr>
                                                <w:top w:val="none" w:sz="0" w:space="0" w:color="auto"/>
                                                <w:left w:val="none" w:sz="0" w:space="0" w:color="auto"/>
                                                <w:bottom w:val="none" w:sz="0" w:space="0" w:color="auto"/>
                                                <w:right w:val="none" w:sz="0" w:space="0" w:color="auto"/>
                                              </w:divBdr>
                                              <w:divsChild>
                                                <w:div w:id="18663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340330">
      <w:bodyDiv w:val="1"/>
      <w:marLeft w:val="0"/>
      <w:marRight w:val="0"/>
      <w:marTop w:val="0"/>
      <w:marBottom w:val="0"/>
      <w:divBdr>
        <w:top w:val="none" w:sz="0" w:space="0" w:color="auto"/>
        <w:left w:val="none" w:sz="0" w:space="0" w:color="auto"/>
        <w:bottom w:val="none" w:sz="0" w:space="0" w:color="auto"/>
        <w:right w:val="none" w:sz="0" w:space="0" w:color="auto"/>
      </w:divBdr>
    </w:div>
    <w:div w:id="890464497">
      <w:bodyDiv w:val="1"/>
      <w:marLeft w:val="0"/>
      <w:marRight w:val="0"/>
      <w:marTop w:val="0"/>
      <w:marBottom w:val="0"/>
      <w:divBdr>
        <w:top w:val="none" w:sz="0" w:space="0" w:color="auto"/>
        <w:left w:val="none" w:sz="0" w:space="0" w:color="auto"/>
        <w:bottom w:val="none" w:sz="0" w:space="0" w:color="auto"/>
        <w:right w:val="none" w:sz="0" w:space="0" w:color="auto"/>
      </w:divBdr>
      <w:divsChild>
        <w:div w:id="1408963026">
          <w:marLeft w:val="0"/>
          <w:marRight w:val="0"/>
          <w:marTop w:val="0"/>
          <w:marBottom w:val="0"/>
          <w:divBdr>
            <w:top w:val="none" w:sz="0" w:space="0" w:color="auto"/>
            <w:left w:val="none" w:sz="0" w:space="0" w:color="auto"/>
            <w:bottom w:val="none" w:sz="0" w:space="0" w:color="auto"/>
            <w:right w:val="none" w:sz="0" w:space="0" w:color="auto"/>
          </w:divBdr>
          <w:divsChild>
            <w:div w:id="697119813">
              <w:marLeft w:val="0"/>
              <w:marRight w:val="0"/>
              <w:marTop w:val="0"/>
              <w:marBottom w:val="0"/>
              <w:divBdr>
                <w:top w:val="none" w:sz="0" w:space="0" w:color="auto"/>
                <w:left w:val="none" w:sz="0" w:space="0" w:color="auto"/>
                <w:bottom w:val="none" w:sz="0" w:space="0" w:color="auto"/>
                <w:right w:val="none" w:sz="0" w:space="0" w:color="auto"/>
              </w:divBdr>
              <w:divsChild>
                <w:div w:id="1174496167">
                  <w:marLeft w:val="0"/>
                  <w:marRight w:val="0"/>
                  <w:marTop w:val="0"/>
                  <w:marBottom w:val="0"/>
                  <w:divBdr>
                    <w:top w:val="none" w:sz="0" w:space="0" w:color="auto"/>
                    <w:left w:val="none" w:sz="0" w:space="0" w:color="auto"/>
                    <w:bottom w:val="none" w:sz="0" w:space="0" w:color="auto"/>
                    <w:right w:val="none" w:sz="0" w:space="0" w:color="auto"/>
                  </w:divBdr>
                  <w:divsChild>
                    <w:div w:id="1633486440">
                      <w:marLeft w:val="0"/>
                      <w:marRight w:val="0"/>
                      <w:marTop w:val="0"/>
                      <w:marBottom w:val="0"/>
                      <w:divBdr>
                        <w:top w:val="none" w:sz="0" w:space="0" w:color="auto"/>
                        <w:left w:val="none" w:sz="0" w:space="0" w:color="auto"/>
                        <w:bottom w:val="none" w:sz="0" w:space="0" w:color="auto"/>
                        <w:right w:val="none" w:sz="0" w:space="0" w:color="auto"/>
                      </w:divBdr>
                      <w:divsChild>
                        <w:div w:id="1432430540">
                          <w:marLeft w:val="0"/>
                          <w:marRight w:val="0"/>
                          <w:marTop w:val="0"/>
                          <w:marBottom w:val="0"/>
                          <w:divBdr>
                            <w:top w:val="none" w:sz="0" w:space="0" w:color="auto"/>
                            <w:left w:val="none" w:sz="0" w:space="0" w:color="auto"/>
                            <w:bottom w:val="none" w:sz="0" w:space="0" w:color="auto"/>
                            <w:right w:val="none" w:sz="0" w:space="0" w:color="auto"/>
                          </w:divBdr>
                          <w:divsChild>
                            <w:div w:id="1552961120">
                              <w:marLeft w:val="0"/>
                              <w:marRight w:val="0"/>
                              <w:marTop w:val="0"/>
                              <w:marBottom w:val="0"/>
                              <w:divBdr>
                                <w:top w:val="none" w:sz="0" w:space="0" w:color="auto"/>
                                <w:left w:val="none" w:sz="0" w:space="0" w:color="auto"/>
                                <w:bottom w:val="none" w:sz="0" w:space="0" w:color="auto"/>
                                <w:right w:val="none" w:sz="0" w:space="0" w:color="auto"/>
                              </w:divBdr>
                              <w:divsChild>
                                <w:div w:id="1859079226">
                                  <w:marLeft w:val="0"/>
                                  <w:marRight w:val="0"/>
                                  <w:marTop w:val="0"/>
                                  <w:marBottom w:val="0"/>
                                  <w:divBdr>
                                    <w:top w:val="none" w:sz="0" w:space="0" w:color="auto"/>
                                    <w:left w:val="none" w:sz="0" w:space="0" w:color="auto"/>
                                    <w:bottom w:val="none" w:sz="0" w:space="0" w:color="auto"/>
                                    <w:right w:val="none" w:sz="0" w:space="0" w:color="auto"/>
                                  </w:divBdr>
                                  <w:divsChild>
                                    <w:div w:id="262149464">
                                      <w:marLeft w:val="0"/>
                                      <w:marRight w:val="0"/>
                                      <w:marTop w:val="0"/>
                                      <w:marBottom w:val="0"/>
                                      <w:divBdr>
                                        <w:top w:val="none" w:sz="0" w:space="0" w:color="auto"/>
                                        <w:left w:val="none" w:sz="0" w:space="0" w:color="auto"/>
                                        <w:bottom w:val="none" w:sz="0" w:space="0" w:color="auto"/>
                                        <w:right w:val="none" w:sz="0" w:space="0" w:color="auto"/>
                                      </w:divBdr>
                                      <w:divsChild>
                                        <w:div w:id="1665817580">
                                          <w:marLeft w:val="0"/>
                                          <w:marRight w:val="0"/>
                                          <w:marTop w:val="0"/>
                                          <w:marBottom w:val="0"/>
                                          <w:divBdr>
                                            <w:top w:val="none" w:sz="0" w:space="0" w:color="auto"/>
                                            <w:left w:val="none" w:sz="0" w:space="0" w:color="auto"/>
                                            <w:bottom w:val="none" w:sz="0" w:space="0" w:color="auto"/>
                                            <w:right w:val="none" w:sz="0" w:space="0" w:color="auto"/>
                                          </w:divBdr>
                                          <w:divsChild>
                                            <w:div w:id="1764498403">
                                              <w:marLeft w:val="0"/>
                                              <w:marRight w:val="0"/>
                                              <w:marTop w:val="0"/>
                                              <w:marBottom w:val="0"/>
                                              <w:divBdr>
                                                <w:top w:val="none" w:sz="0" w:space="0" w:color="auto"/>
                                                <w:left w:val="none" w:sz="0" w:space="0" w:color="auto"/>
                                                <w:bottom w:val="none" w:sz="0" w:space="0" w:color="auto"/>
                                                <w:right w:val="none" w:sz="0" w:space="0" w:color="auto"/>
                                              </w:divBdr>
                                              <w:divsChild>
                                                <w:div w:id="534149865">
                                                  <w:marLeft w:val="0"/>
                                                  <w:marRight w:val="0"/>
                                                  <w:marTop w:val="0"/>
                                                  <w:marBottom w:val="0"/>
                                                  <w:divBdr>
                                                    <w:top w:val="none" w:sz="0" w:space="0" w:color="auto"/>
                                                    <w:left w:val="none" w:sz="0" w:space="0" w:color="auto"/>
                                                    <w:bottom w:val="none" w:sz="0" w:space="0" w:color="auto"/>
                                                    <w:right w:val="none" w:sz="0" w:space="0" w:color="auto"/>
                                                  </w:divBdr>
                                                  <w:divsChild>
                                                    <w:div w:id="1785807334">
                                                      <w:marLeft w:val="0"/>
                                                      <w:marRight w:val="0"/>
                                                      <w:marTop w:val="0"/>
                                                      <w:marBottom w:val="0"/>
                                                      <w:divBdr>
                                                        <w:top w:val="none" w:sz="0" w:space="0" w:color="auto"/>
                                                        <w:left w:val="none" w:sz="0" w:space="0" w:color="auto"/>
                                                        <w:bottom w:val="none" w:sz="0" w:space="0" w:color="auto"/>
                                                        <w:right w:val="none" w:sz="0" w:space="0" w:color="auto"/>
                                                      </w:divBdr>
                                                      <w:divsChild>
                                                        <w:div w:id="10713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766976">
      <w:bodyDiv w:val="1"/>
      <w:marLeft w:val="0"/>
      <w:marRight w:val="0"/>
      <w:marTop w:val="0"/>
      <w:marBottom w:val="0"/>
      <w:divBdr>
        <w:top w:val="none" w:sz="0" w:space="0" w:color="auto"/>
        <w:left w:val="none" w:sz="0" w:space="0" w:color="auto"/>
        <w:bottom w:val="none" w:sz="0" w:space="0" w:color="auto"/>
        <w:right w:val="none" w:sz="0" w:space="0" w:color="auto"/>
      </w:divBdr>
      <w:divsChild>
        <w:div w:id="292368605">
          <w:marLeft w:val="0"/>
          <w:marRight w:val="0"/>
          <w:marTop w:val="0"/>
          <w:marBottom w:val="0"/>
          <w:divBdr>
            <w:top w:val="none" w:sz="0" w:space="0" w:color="auto"/>
            <w:left w:val="none" w:sz="0" w:space="0" w:color="auto"/>
            <w:bottom w:val="none" w:sz="0" w:space="0" w:color="auto"/>
            <w:right w:val="none" w:sz="0" w:space="0" w:color="auto"/>
          </w:divBdr>
          <w:divsChild>
            <w:div w:id="96607898">
              <w:marLeft w:val="0"/>
              <w:marRight w:val="0"/>
              <w:marTop w:val="0"/>
              <w:marBottom w:val="0"/>
              <w:divBdr>
                <w:top w:val="none" w:sz="0" w:space="0" w:color="auto"/>
                <w:left w:val="none" w:sz="0" w:space="0" w:color="auto"/>
                <w:bottom w:val="none" w:sz="0" w:space="0" w:color="auto"/>
                <w:right w:val="none" w:sz="0" w:space="0" w:color="auto"/>
              </w:divBdr>
              <w:divsChild>
                <w:div w:id="238827824">
                  <w:marLeft w:val="0"/>
                  <w:marRight w:val="0"/>
                  <w:marTop w:val="0"/>
                  <w:marBottom w:val="0"/>
                  <w:divBdr>
                    <w:top w:val="none" w:sz="0" w:space="0" w:color="auto"/>
                    <w:left w:val="none" w:sz="0" w:space="0" w:color="auto"/>
                    <w:bottom w:val="none" w:sz="0" w:space="0" w:color="auto"/>
                    <w:right w:val="none" w:sz="0" w:space="0" w:color="auto"/>
                  </w:divBdr>
                  <w:divsChild>
                    <w:div w:id="1209806952">
                      <w:marLeft w:val="0"/>
                      <w:marRight w:val="0"/>
                      <w:marTop w:val="0"/>
                      <w:marBottom w:val="0"/>
                      <w:divBdr>
                        <w:top w:val="none" w:sz="0" w:space="0" w:color="auto"/>
                        <w:left w:val="none" w:sz="0" w:space="0" w:color="auto"/>
                        <w:bottom w:val="none" w:sz="0" w:space="0" w:color="auto"/>
                        <w:right w:val="none" w:sz="0" w:space="0" w:color="auto"/>
                      </w:divBdr>
                      <w:divsChild>
                        <w:div w:id="132649146">
                          <w:marLeft w:val="0"/>
                          <w:marRight w:val="0"/>
                          <w:marTop w:val="0"/>
                          <w:marBottom w:val="0"/>
                          <w:divBdr>
                            <w:top w:val="none" w:sz="0" w:space="0" w:color="auto"/>
                            <w:left w:val="none" w:sz="0" w:space="0" w:color="auto"/>
                            <w:bottom w:val="none" w:sz="0" w:space="0" w:color="auto"/>
                            <w:right w:val="none" w:sz="0" w:space="0" w:color="auto"/>
                          </w:divBdr>
                          <w:divsChild>
                            <w:div w:id="398016363">
                              <w:marLeft w:val="0"/>
                              <w:marRight w:val="0"/>
                              <w:marTop w:val="0"/>
                              <w:marBottom w:val="0"/>
                              <w:divBdr>
                                <w:top w:val="none" w:sz="0" w:space="0" w:color="auto"/>
                                <w:left w:val="none" w:sz="0" w:space="0" w:color="auto"/>
                                <w:bottom w:val="none" w:sz="0" w:space="0" w:color="auto"/>
                                <w:right w:val="none" w:sz="0" w:space="0" w:color="auto"/>
                              </w:divBdr>
                              <w:divsChild>
                                <w:div w:id="360204390">
                                  <w:marLeft w:val="0"/>
                                  <w:marRight w:val="0"/>
                                  <w:marTop w:val="0"/>
                                  <w:marBottom w:val="0"/>
                                  <w:divBdr>
                                    <w:top w:val="none" w:sz="0" w:space="0" w:color="auto"/>
                                    <w:left w:val="none" w:sz="0" w:space="0" w:color="auto"/>
                                    <w:bottom w:val="none" w:sz="0" w:space="0" w:color="auto"/>
                                    <w:right w:val="none" w:sz="0" w:space="0" w:color="auto"/>
                                  </w:divBdr>
                                  <w:divsChild>
                                    <w:div w:id="1939481186">
                                      <w:marLeft w:val="0"/>
                                      <w:marRight w:val="0"/>
                                      <w:marTop w:val="0"/>
                                      <w:marBottom w:val="0"/>
                                      <w:divBdr>
                                        <w:top w:val="none" w:sz="0" w:space="0" w:color="auto"/>
                                        <w:left w:val="none" w:sz="0" w:space="0" w:color="auto"/>
                                        <w:bottom w:val="none" w:sz="0" w:space="0" w:color="auto"/>
                                        <w:right w:val="none" w:sz="0" w:space="0" w:color="auto"/>
                                      </w:divBdr>
                                      <w:divsChild>
                                        <w:div w:id="1391616800">
                                          <w:marLeft w:val="0"/>
                                          <w:marRight w:val="0"/>
                                          <w:marTop w:val="0"/>
                                          <w:marBottom w:val="0"/>
                                          <w:divBdr>
                                            <w:top w:val="none" w:sz="0" w:space="0" w:color="auto"/>
                                            <w:left w:val="none" w:sz="0" w:space="0" w:color="auto"/>
                                            <w:bottom w:val="none" w:sz="0" w:space="0" w:color="auto"/>
                                            <w:right w:val="none" w:sz="0" w:space="0" w:color="auto"/>
                                          </w:divBdr>
                                          <w:divsChild>
                                            <w:div w:id="1130783286">
                                              <w:marLeft w:val="0"/>
                                              <w:marRight w:val="0"/>
                                              <w:marTop w:val="0"/>
                                              <w:marBottom w:val="0"/>
                                              <w:divBdr>
                                                <w:top w:val="none" w:sz="0" w:space="0" w:color="auto"/>
                                                <w:left w:val="none" w:sz="0" w:space="0" w:color="auto"/>
                                                <w:bottom w:val="none" w:sz="0" w:space="0" w:color="auto"/>
                                                <w:right w:val="none" w:sz="0" w:space="0" w:color="auto"/>
                                              </w:divBdr>
                                              <w:divsChild>
                                                <w:div w:id="1121192919">
                                                  <w:marLeft w:val="0"/>
                                                  <w:marRight w:val="0"/>
                                                  <w:marTop w:val="0"/>
                                                  <w:marBottom w:val="0"/>
                                                  <w:divBdr>
                                                    <w:top w:val="none" w:sz="0" w:space="0" w:color="auto"/>
                                                    <w:left w:val="none" w:sz="0" w:space="0" w:color="auto"/>
                                                    <w:bottom w:val="none" w:sz="0" w:space="0" w:color="auto"/>
                                                    <w:right w:val="none" w:sz="0" w:space="0" w:color="auto"/>
                                                  </w:divBdr>
                                                  <w:divsChild>
                                                    <w:div w:id="1012728797">
                                                      <w:marLeft w:val="0"/>
                                                      <w:marRight w:val="0"/>
                                                      <w:marTop w:val="0"/>
                                                      <w:marBottom w:val="0"/>
                                                      <w:divBdr>
                                                        <w:top w:val="none" w:sz="0" w:space="0" w:color="auto"/>
                                                        <w:left w:val="none" w:sz="0" w:space="0" w:color="auto"/>
                                                        <w:bottom w:val="none" w:sz="0" w:space="0" w:color="auto"/>
                                                        <w:right w:val="none" w:sz="0" w:space="0" w:color="auto"/>
                                                      </w:divBdr>
                                                      <w:divsChild>
                                                        <w:div w:id="16194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127885">
      <w:bodyDiv w:val="1"/>
      <w:marLeft w:val="0"/>
      <w:marRight w:val="0"/>
      <w:marTop w:val="0"/>
      <w:marBottom w:val="0"/>
      <w:divBdr>
        <w:top w:val="none" w:sz="0" w:space="0" w:color="auto"/>
        <w:left w:val="none" w:sz="0" w:space="0" w:color="auto"/>
        <w:bottom w:val="none" w:sz="0" w:space="0" w:color="auto"/>
        <w:right w:val="none" w:sz="0" w:space="0" w:color="auto"/>
      </w:divBdr>
    </w:div>
    <w:div w:id="894659085">
      <w:bodyDiv w:val="1"/>
      <w:marLeft w:val="0"/>
      <w:marRight w:val="0"/>
      <w:marTop w:val="0"/>
      <w:marBottom w:val="0"/>
      <w:divBdr>
        <w:top w:val="none" w:sz="0" w:space="0" w:color="auto"/>
        <w:left w:val="none" w:sz="0" w:space="0" w:color="auto"/>
        <w:bottom w:val="none" w:sz="0" w:space="0" w:color="auto"/>
        <w:right w:val="none" w:sz="0" w:space="0" w:color="auto"/>
      </w:divBdr>
      <w:divsChild>
        <w:div w:id="1475834516">
          <w:marLeft w:val="2400"/>
          <w:marRight w:val="0"/>
          <w:marTop w:val="0"/>
          <w:marBottom w:val="0"/>
          <w:divBdr>
            <w:top w:val="none" w:sz="0" w:space="0" w:color="auto"/>
            <w:left w:val="none" w:sz="0" w:space="0" w:color="auto"/>
            <w:bottom w:val="none" w:sz="0" w:space="0" w:color="auto"/>
            <w:right w:val="none" w:sz="0" w:space="0" w:color="auto"/>
          </w:divBdr>
          <w:divsChild>
            <w:div w:id="1198738359">
              <w:marLeft w:val="0"/>
              <w:marRight w:val="0"/>
              <w:marTop w:val="0"/>
              <w:marBottom w:val="0"/>
              <w:divBdr>
                <w:top w:val="none" w:sz="0" w:space="0" w:color="auto"/>
                <w:left w:val="none" w:sz="0" w:space="0" w:color="auto"/>
                <w:bottom w:val="none" w:sz="0" w:space="0" w:color="auto"/>
                <w:right w:val="none" w:sz="0" w:space="0" w:color="auto"/>
              </w:divBdr>
              <w:divsChild>
                <w:div w:id="1849522757">
                  <w:marLeft w:val="0"/>
                  <w:marRight w:val="0"/>
                  <w:marTop w:val="0"/>
                  <w:marBottom w:val="0"/>
                  <w:divBdr>
                    <w:top w:val="none" w:sz="0" w:space="0" w:color="auto"/>
                    <w:left w:val="none" w:sz="0" w:space="0" w:color="auto"/>
                    <w:bottom w:val="none" w:sz="0" w:space="0" w:color="auto"/>
                    <w:right w:val="none" w:sz="0" w:space="0" w:color="auto"/>
                  </w:divBdr>
                  <w:divsChild>
                    <w:div w:id="6486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661515">
      <w:bodyDiv w:val="1"/>
      <w:marLeft w:val="0"/>
      <w:marRight w:val="0"/>
      <w:marTop w:val="0"/>
      <w:marBottom w:val="0"/>
      <w:divBdr>
        <w:top w:val="none" w:sz="0" w:space="0" w:color="auto"/>
        <w:left w:val="none" w:sz="0" w:space="0" w:color="auto"/>
        <w:bottom w:val="none" w:sz="0" w:space="0" w:color="auto"/>
        <w:right w:val="none" w:sz="0" w:space="0" w:color="auto"/>
      </w:divBdr>
      <w:divsChild>
        <w:div w:id="1380082710">
          <w:marLeft w:val="0"/>
          <w:marRight w:val="0"/>
          <w:marTop w:val="0"/>
          <w:marBottom w:val="0"/>
          <w:divBdr>
            <w:top w:val="none" w:sz="0" w:space="0" w:color="auto"/>
            <w:left w:val="none" w:sz="0" w:space="0" w:color="auto"/>
            <w:bottom w:val="none" w:sz="0" w:space="0" w:color="auto"/>
            <w:right w:val="none" w:sz="0" w:space="0" w:color="auto"/>
          </w:divBdr>
          <w:divsChild>
            <w:div w:id="1222322865">
              <w:marLeft w:val="0"/>
              <w:marRight w:val="0"/>
              <w:marTop w:val="0"/>
              <w:marBottom w:val="0"/>
              <w:divBdr>
                <w:top w:val="none" w:sz="0" w:space="0" w:color="auto"/>
                <w:left w:val="none" w:sz="0" w:space="0" w:color="auto"/>
                <w:bottom w:val="none" w:sz="0" w:space="0" w:color="auto"/>
                <w:right w:val="none" w:sz="0" w:space="0" w:color="auto"/>
              </w:divBdr>
              <w:divsChild>
                <w:div w:id="2027557364">
                  <w:marLeft w:val="0"/>
                  <w:marRight w:val="0"/>
                  <w:marTop w:val="0"/>
                  <w:marBottom w:val="0"/>
                  <w:divBdr>
                    <w:top w:val="none" w:sz="0" w:space="0" w:color="auto"/>
                    <w:left w:val="none" w:sz="0" w:space="0" w:color="auto"/>
                    <w:bottom w:val="none" w:sz="0" w:space="0" w:color="auto"/>
                    <w:right w:val="none" w:sz="0" w:space="0" w:color="auto"/>
                  </w:divBdr>
                  <w:divsChild>
                    <w:div w:id="861633074">
                      <w:marLeft w:val="0"/>
                      <w:marRight w:val="0"/>
                      <w:marTop w:val="0"/>
                      <w:marBottom w:val="0"/>
                      <w:divBdr>
                        <w:top w:val="none" w:sz="0" w:space="0" w:color="auto"/>
                        <w:left w:val="none" w:sz="0" w:space="0" w:color="auto"/>
                        <w:bottom w:val="none" w:sz="0" w:space="0" w:color="auto"/>
                        <w:right w:val="none" w:sz="0" w:space="0" w:color="auto"/>
                      </w:divBdr>
                      <w:divsChild>
                        <w:div w:id="618489044">
                          <w:marLeft w:val="0"/>
                          <w:marRight w:val="0"/>
                          <w:marTop w:val="0"/>
                          <w:marBottom w:val="0"/>
                          <w:divBdr>
                            <w:top w:val="none" w:sz="0" w:space="0" w:color="auto"/>
                            <w:left w:val="none" w:sz="0" w:space="0" w:color="auto"/>
                            <w:bottom w:val="none" w:sz="0" w:space="0" w:color="auto"/>
                            <w:right w:val="none" w:sz="0" w:space="0" w:color="auto"/>
                          </w:divBdr>
                          <w:divsChild>
                            <w:div w:id="517737187">
                              <w:marLeft w:val="570"/>
                              <w:marRight w:val="720"/>
                              <w:marTop w:val="120"/>
                              <w:marBottom w:val="120"/>
                              <w:divBdr>
                                <w:top w:val="none" w:sz="0" w:space="0" w:color="auto"/>
                                <w:left w:val="none" w:sz="0" w:space="0" w:color="auto"/>
                                <w:bottom w:val="none" w:sz="0" w:space="0" w:color="auto"/>
                                <w:right w:val="none" w:sz="0" w:space="0" w:color="auto"/>
                              </w:divBdr>
                              <w:divsChild>
                                <w:div w:id="354575728">
                                  <w:marLeft w:val="0"/>
                                  <w:marRight w:val="0"/>
                                  <w:marTop w:val="0"/>
                                  <w:marBottom w:val="0"/>
                                  <w:divBdr>
                                    <w:top w:val="none" w:sz="0" w:space="0" w:color="auto"/>
                                    <w:left w:val="none" w:sz="0" w:space="0" w:color="auto"/>
                                    <w:bottom w:val="none" w:sz="0" w:space="0" w:color="auto"/>
                                    <w:right w:val="none" w:sz="0" w:space="0" w:color="auto"/>
                                  </w:divBdr>
                                  <w:divsChild>
                                    <w:div w:id="1399741514">
                                      <w:marLeft w:val="0"/>
                                      <w:marRight w:val="0"/>
                                      <w:marTop w:val="0"/>
                                      <w:marBottom w:val="0"/>
                                      <w:divBdr>
                                        <w:top w:val="none" w:sz="0" w:space="0" w:color="auto"/>
                                        <w:left w:val="none" w:sz="0" w:space="0" w:color="auto"/>
                                        <w:bottom w:val="none" w:sz="0" w:space="0" w:color="auto"/>
                                        <w:right w:val="none" w:sz="0" w:space="0" w:color="auto"/>
                                      </w:divBdr>
                                      <w:divsChild>
                                        <w:div w:id="827136983">
                                          <w:marLeft w:val="0"/>
                                          <w:marRight w:val="0"/>
                                          <w:marTop w:val="0"/>
                                          <w:marBottom w:val="0"/>
                                          <w:divBdr>
                                            <w:top w:val="none" w:sz="0" w:space="0" w:color="auto"/>
                                            <w:left w:val="none" w:sz="0" w:space="0" w:color="auto"/>
                                            <w:bottom w:val="none" w:sz="0" w:space="0" w:color="auto"/>
                                            <w:right w:val="none" w:sz="0" w:space="0" w:color="auto"/>
                                          </w:divBdr>
                                        </w:div>
                                        <w:div w:id="700784444">
                                          <w:marLeft w:val="0"/>
                                          <w:marRight w:val="0"/>
                                          <w:marTop w:val="0"/>
                                          <w:marBottom w:val="150"/>
                                          <w:divBdr>
                                            <w:top w:val="none" w:sz="0" w:space="0" w:color="auto"/>
                                            <w:left w:val="none" w:sz="0" w:space="0" w:color="auto"/>
                                            <w:bottom w:val="none" w:sz="0" w:space="0" w:color="auto"/>
                                            <w:right w:val="none" w:sz="0" w:space="0" w:color="auto"/>
                                          </w:divBdr>
                                          <w:divsChild>
                                            <w:div w:id="344671011">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894968112">
      <w:bodyDiv w:val="1"/>
      <w:marLeft w:val="0"/>
      <w:marRight w:val="0"/>
      <w:marTop w:val="0"/>
      <w:marBottom w:val="0"/>
      <w:divBdr>
        <w:top w:val="none" w:sz="0" w:space="0" w:color="auto"/>
        <w:left w:val="none" w:sz="0" w:space="0" w:color="auto"/>
        <w:bottom w:val="none" w:sz="0" w:space="0" w:color="auto"/>
        <w:right w:val="none" w:sz="0" w:space="0" w:color="auto"/>
      </w:divBdr>
    </w:div>
    <w:div w:id="896012151">
      <w:bodyDiv w:val="1"/>
      <w:marLeft w:val="0"/>
      <w:marRight w:val="0"/>
      <w:marTop w:val="0"/>
      <w:marBottom w:val="0"/>
      <w:divBdr>
        <w:top w:val="none" w:sz="0" w:space="0" w:color="auto"/>
        <w:left w:val="none" w:sz="0" w:space="0" w:color="auto"/>
        <w:bottom w:val="none" w:sz="0" w:space="0" w:color="auto"/>
        <w:right w:val="none" w:sz="0" w:space="0" w:color="auto"/>
      </w:divBdr>
      <w:divsChild>
        <w:div w:id="1756704219">
          <w:marLeft w:val="0"/>
          <w:marRight w:val="0"/>
          <w:marTop w:val="0"/>
          <w:marBottom w:val="450"/>
          <w:divBdr>
            <w:top w:val="none" w:sz="0" w:space="0" w:color="auto"/>
            <w:left w:val="none" w:sz="0" w:space="0" w:color="auto"/>
            <w:bottom w:val="none" w:sz="0" w:space="0" w:color="auto"/>
            <w:right w:val="none" w:sz="0" w:space="0" w:color="auto"/>
          </w:divBdr>
        </w:div>
      </w:divsChild>
    </w:div>
    <w:div w:id="896471786">
      <w:bodyDiv w:val="1"/>
      <w:marLeft w:val="0"/>
      <w:marRight w:val="0"/>
      <w:marTop w:val="0"/>
      <w:marBottom w:val="0"/>
      <w:divBdr>
        <w:top w:val="none" w:sz="0" w:space="0" w:color="auto"/>
        <w:left w:val="none" w:sz="0" w:space="0" w:color="auto"/>
        <w:bottom w:val="none" w:sz="0" w:space="0" w:color="auto"/>
        <w:right w:val="none" w:sz="0" w:space="0" w:color="auto"/>
      </w:divBdr>
    </w:div>
    <w:div w:id="897594119">
      <w:bodyDiv w:val="1"/>
      <w:marLeft w:val="0"/>
      <w:marRight w:val="0"/>
      <w:marTop w:val="0"/>
      <w:marBottom w:val="0"/>
      <w:divBdr>
        <w:top w:val="none" w:sz="0" w:space="0" w:color="auto"/>
        <w:left w:val="none" w:sz="0" w:space="0" w:color="auto"/>
        <w:bottom w:val="none" w:sz="0" w:space="0" w:color="auto"/>
        <w:right w:val="none" w:sz="0" w:space="0" w:color="auto"/>
      </w:divBdr>
      <w:divsChild>
        <w:div w:id="812333965">
          <w:marLeft w:val="0"/>
          <w:marRight w:val="0"/>
          <w:marTop w:val="0"/>
          <w:marBottom w:val="0"/>
          <w:divBdr>
            <w:top w:val="none" w:sz="0" w:space="0" w:color="auto"/>
            <w:left w:val="none" w:sz="0" w:space="0" w:color="auto"/>
            <w:bottom w:val="none" w:sz="0" w:space="0" w:color="auto"/>
            <w:right w:val="none" w:sz="0" w:space="0" w:color="auto"/>
          </w:divBdr>
          <w:divsChild>
            <w:div w:id="1684941515">
              <w:marLeft w:val="0"/>
              <w:marRight w:val="0"/>
              <w:marTop w:val="0"/>
              <w:marBottom w:val="0"/>
              <w:divBdr>
                <w:top w:val="none" w:sz="0" w:space="0" w:color="auto"/>
                <w:left w:val="none" w:sz="0" w:space="0" w:color="auto"/>
                <w:bottom w:val="none" w:sz="0" w:space="0" w:color="auto"/>
                <w:right w:val="none" w:sz="0" w:space="0" w:color="auto"/>
              </w:divBdr>
              <w:divsChild>
                <w:div w:id="432747333">
                  <w:marLeft w:val="0"/>
                  <w:marRight w:val="0"/>
                  <w:marTop w:val="0"/>
                  <w:marBottom w:val="0"/>
                  <w:divBdr>
                    <w:top w:val="none" w:sz="0" w:space="0" w:color="auto"/>
                    <w:left w:val="none" w:sz="0" w:space="0" w:color="auto"/>
                    <w:bottom w:val="none" w:sz="0" w:space="0" w:color="auto"/>
                    <w:right w:val="none" w:sz="0" w:space="0" w:color="auto"/>
                  </w:divBdr>
                  <w:divsChild>
                    <w:div w:id="1415056499">
                      <w:marLeft w:val="0"/>
                      <w:marRight w:val="0"/>
                      <w:marTop w:val="0"/>
                      <w:marBottom w:val="0"/>
                      <w:divBdr>
                        <w:top w:val="none" w:sz="0" w:space="0" w:color="auto"/>
                        <w:left w:val="none" w:sz="0" w:space="0" w:color="auto"/>
                        <w:bottom w:val="none" w:sz="0" w:space="0" w:color="auto"/>
                        <w:right w:val="none" w:sz="0" w:space="0" w:color="auto"/>
                      </w:divBdr>
                      <w:divsChild>
                        <w:div w:id="1616789707">
                          <w:marLeft w:val="0"/>
                          <w:marRight w:val="0"/>
                          <w:marTop w:val="0"/>
                          <w:marBottom w:val="0"/>
                          <w:divBdr>
                            <w:top w:val="none" w:sz="0" w:space="0" w:color="auto"/>
                            <w:left w:val="none" w:sz="0" w:space="0" w:color="auto"/>
                            <w:bottom w:val="none" w:sz="0" w:space="0" w:color="auto"/>
                            <w:right w:val="none" w:sz="0" w:space="0" w:color="auto"/>
                          </w:divBdr>
                          <w:divsChild>
                            <w:div w:id="717971752">
                              <w:marLeft w:val="0"/>
                              <w:marRight w:val="0"/>
                              <w:marTop w:val="0"/>
                              <w:marBottom w:val="0"/>
                              <w:divBdr>
                                <w:top w:val="none" w:sz="0" w:space="0" w:color="auto"/>
                                <w:left w:val="none" w:sz="0" w:space="0" w:color="auto"/>
                                <w:bottom w:val="none" w:sz="0" w:space="0" w:color="auto"/>
                                <w:right w:val="none" w:sz="0" w:space="0" w:color="auto"/>
                              </w:divBdr>
                              <w:divsChild>
                                <w:div w:id="227156842">
                                  <w:marLeft w:val="0"/>
                                  <w:marRight w:val="0"/>
                                  <w:marTop w:val="0"/>
                                  <w:marBottom w:val="0"/>
                                  <w:divBdr>
                                    <w:top w:val="none" w:sz="0" w:space="0" w:color="auto"/>
                                    <w:left w:val="none" w:sz="0" w:space="0" w:color="auto"/>
                                    <w:bottom w:val="none" w:sz="0" w:space="0" w:color="auto"/>
                                    <w:right w:val="none" w:sz="0" w:space="0" w:color="auto"/>
                                  </w:divBdr>
                                  <w:divsChild>
                                    <w:div w:id="1915047261">
                                      <w:marLeft w:val="0"/>
                                      <w:marRight w:val="0"/>
                                      <w:marTop w:val="0"/>
                                      <w:marBottom w:val="0"/>
                                      <w:divBdr>
                                        <w:top w:val="none" w:sz="0" w:space="0" w:color="auto"/>
                                        <w:left w:val="none" w:sz="0" w:space="0" w:color="auto"/>
                                        <w:bottom w:val="none" w:sz="0" w:space="0" w:color="auto"/>
                                        <w:right w:val="none" w:sz="0" w:space="0" w:color="auto"/>
                                      </w:divBdr>
                                      <w:divsChild>
                                        <w:div w:id="331417750">
                                          <w:marLeft w:val="0"/>
                                          <w:marRight w:val="0"/>
                                          <w:marTop w:val="0"/>
                                          <w:marBottom w:val="0"/>
                                          <w:divBdr>
                                            <w:top w:val="none" w:sz="0" w:space="0" w:color="auto"/>
                                            <w:left w:val="none" w:sz="0" w:space="0" w:color="auto"/>
                                            <w:bottom w:val="none" w:sz="0" w:space="0" w:color="auto"/>
                                            <w:right w:val="none" w:sz="0" w:space="0" w:color="auto"/>
                                          </w:divBdr>
                                        </w:div>
                                        <w:div w:id="975066504">
                                          <w:marLeft w:val="0"/>
                                          <w:marRight w:val="0"/>
                                          <w:marTop w:val="0"/>
                                          <w:marBottom w:val="0"/>
                                          <w:divBdr>
                                            <w:top w:val="none" w:sz="0" w:space="0" w:color="auto"/>
                                            <w:left w:val="none" w:sz="0" w:space="0" w:color="auto"/>
                                            <w:bottom w:val="none" w:sz="0" w:space="0" w:color="auto"/>
                                            <w:right w:val="none" w:sz="0" w:space="0" w:color="auto"/>
                                          </w:divBdr>
                                          <w:divsChild>
                                            <w:div w:id="173712333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588672">
      <w:bodyDiv w:val="1"/>
      <w:marLeft w:val="0"/>
      <w:marRight w:val="0"/>
      <w:marTop w:val="0"/>
      <w:marBottom w:val="0"/>
      <w:divBdr>
        <w:top w:val="none" w:sz="0" w:space="0" w:color="auto"/>
        <w:left w:val="none" w:sz="0" w:space="0" w:color="auto"/>
        <w:bottom w:val="none" w:sz="0" w:space="0" w:color="auto"/>
        <w:right w:val="none" w:sz="0" w:space="0" w:color="auto"/>
      </w:divBdr>
      <w:divsChild>
        <w:div w:id="926617099">
          <w:marLeft w:val="0"/>
          <w:marRight w:val="0"/>
          <w:marTop w:val="0"/>
          <w:marBottom w:val="0"/>
          <w:divBdr>
            <w:top w:val="none" w:sz="0" w:space="0" w:color="auto"/>
            <w:left w:val="none" w:sz="0" w:space="0" w:color="auto"/>
            <w:bottom w:val="none" w:sz="0" w:space="0" w:color="auto"/>
            <w:right w:val="none" w:sz="0" w:space="0" w:color="auto"/>
          </w:divBdr>
          <w:divsChild>
            <w:div w:id="795752840">
              <w:marLeft w:val="0"/>
              <w:marRight w:val="0"/>
              <w:marTop w:val="0"/>
              <w:marBottom w:val="0"/>
              <w:divBdr>
                <w:top w:val="none" w:sz="0" w:space="0" w:color="auto"/>
                <w:left w:val="none" w:sz="0" w:space="0" w:color="auto"/>
                <w:bottom w:val="none" w:sz="0" w:space="0" w:color="auto"/>
                <w:right w:val="none" w:sz="0" w:space="0" w:color="auto"/>
              </w:divBdr>
              <w:divsChild>
                <w:div w:id="1663967335">
                  <w:marLeft w:val="0"/>
                  <w:marRight w:val="0"/>
                  <w:marTop w:val="0"/>
                  <w:marBottom w:val="0"/>
                  <w:divBdr>
                    <w:top w:val="none" w:sz="0" w:space="0" w:color="auto"/>
                    <w:left w:val="none" w:sz="0" w:space="0" w:color="auto"/>
                    <w:bottom w:val="none" w:sz="0" w:space="0" w:color="auto"/>
                    <w:right w:val="none" w:sz="0" w:space="0" w:color="auto"/>
                  </w:divBdr>
                  <w:divsChild>
                    <w:div w:id="148640018">
                      <w:marLeft w:val="0"/>
                      <w:marRight w:val="0"/>
                      <w:marTop w:val="0"/>
                      <w:marBottom w:val="0"/>
                      <w:divBdr>
                        <w:top w:val="none" w:sz="0" w:space="0" w:color="auto"/>
                        <w:left w:val="none" w:sz="0" w:space="0" w:color="auto"/>
                        <w:bottom w:val="none" w:sz="0" w:space="0" w:color="auto"/>
                        <w:right w:val="none" w:sz="0" w:space="0" w:color="auto"/>
                      </w:divBdr>
                      <w:divsChild>
                        <w:div w:id="810951366">
                          <w:marLeft w:val="0"/>
                          <w:marRight w:val="0"/>
                          <w:marTop w:val="0"/>
                          <w:marBottom w:val="0"/>
                          <w:divBdr>
                            <w:top w:val="none" w:sz="0" w:space="0" w:color="auto"/>
                            <w:left w:val="none" w:sz="0" w:space="0" w:color="auto"/>
                            <w:bottom w:val="none" w:sz="0" w:space="0" w:color="auto"/>
                            <w:right w:val="none" w:sz="0" w:space="0" w:color="auto"/>
                          </w:divBdr>
                          <w:divsChild>
                            <w:div w:id="1288390592">
                              <w:marLeft w:val="0"/>
                              <w:marRight w:val="0"/>
                              <w:marTop w:val="0"/>
                              <w:marBottom w:val="0"/>
                              <w:divBdr>
                                <w:top w:val="none" w:sz="0" w:space="0" w:color="auto"/>
                                <w:left w:val="none" w:sz="0" w:space="0" w:color="auto"/>
                                <w:bottom w:val="none" w:sz="0" w:space="0" w:color="auto"/>
                                <w:right w:val="none" w:sz="0" w:space="0" w:color="auto"/>
                              </w:divBdr>
                              <w:divsChild>
                                <w:div w:id="1885024391">
                                  <w:marLeft w:val="0"/>
                                  <w:marRight w:val="0"/>
                                  <w:marTop w:val="0"/>
                                  <w:marBottom w:val="0"/>
                                  <w:divBdr>
                                    <w:top w:val="none" w:sz="0" w:space="0" w:color="auto"/>
                                    <w:left w:val="none" w:sz="0" w:space="0" w:color="auto"/>
                                    <w:bottom w:val="none" w:sz="0" w:space="0" w:color="auto"/>
                                    <w:right w:val="none" w:sz="0" w:space="0" w:color="auto"/>
                                  </w:divBdr>
                                  <w:divsChild>
                                    <w:div w:id="455952932">
                                      <w:marLeft w:val="0"/>
                                      <w:marRight w:val="0"/>
                                      <w:marTop w:val="0"/>
                                      <w:marBottom w:val="0"/>
                                      <w:divBdr>
                                        <w:top w:val="none" w:sz="0" w:space="0" w:color="auto"/>
                                        <w:left w:val="none" w:sz="0" w:space="0" w:color="auto"/>
                                        <w:bottom w:val="none" w:sz="0" w:space="0" w:color="auto"/>
                                        <w:right w:val="none" w:sz="0" w:space="0" w:color="auto"/>
                                      </w:divBdr>
                                      <w:divsChild>
                                        <w:div w:id="574828443">
                                          <w:marLeft w:val="0"/>
                                          <w:marRight w:val="0"/>
                                          <w:marTop w:val="0"/>
                                          <w:marBottom w:val="0"/>
                                          <w:divBdr>
                                            <w:top w:val="none" w:sz="0" w:space="0" w:color="auto"/>
                                            <w:left w:val="none" w:sz="0" w:space="0" w:color="auto"/>
                                            <w:bottom w:val="none" w:sz="0" w:space="0" w:color="auto"/>
                                            <w:right w:val="none" w:sz="0" w:space="0" w:color="auto"/>
                                          </w:divBdr>
                                        </w:div>
                                        <w:div w:id="839276707">
                                          <w:marLeft w:val="0"/>
                                          <w:marRight w:val="0"/>
                                          <w:marTop w:val="0"/>
                                          <w:marBottom w:val="0"/>
                                          <w:divBdr>
                                            <w:top w:val="none" w:sz="0" w:space="0" w:color="auto"/>
                                            <w:left w:val="none" w:sz="0" w:space="0" w:color="auto"/>
                                            <w:bottom w:val="none" w:sz="0" w:space="0" w:color="auto"/>
                                            <w:right w:val="none" w:sz="0" w:space="0" w:color="auto"/>
                                          </w:divBdr>
                                          <w:divsChild>
                                            <w:div w:id="1949655934">
                                              <w:marLeft w:val="0"/>
                                              <w:marRight w:val="0"/>
                                              <w:marTop w:val="0"/>
                                              <w:marBottom w:val="0"/>
                                              <w:divBdr>
                                                <w:top w:val="none" w:sz="0" w:space="0" w:color="auto"/>
                                                <w:left w:val="none" w:sz="0" w:space="0" w:color="auto"/>
                                                <w:bottom w:val="none" w:sz="0" w:space="0" w:color="auto"/>
                                                <w:right w:val="none" w:sz="0" w:space="0" w:color="auto"/>
                                              </w:divBdr>
                                            </w:div>
                                            <w:div w:id="2098287496">
                                              <w:marLeft w:val="0"/>
                                              <w:marRight w:val="0"/>
                                              <w:marTop w:val="0"/>
                                              <w:marBottom w:val="0"/>
                                              <w:divBdr>
                                                <w:top w:val="none" w:sz="0" w:space="0" w:color="auto"/>
                                                <w:left w:val="none" w:sz="0" w:space="0" w:color="auto"/>
                                                <w:bottom w:val="none" w:sz="0" w:space="0" w:color="auto"/>
                                                <w:right w:val="none" w:sz="0" w:space="0" w:color="auto"/>
                                              </w:divBdr>
                                            </w:div>
                                          </w:divsChild>
                                        </w:div>
                                        <w:div w:id="219023288">
                                          <w:marLeft w:val="0"/>
                                          <w:marRight w:val="0"/>
                                          <w:marTop w:val="0"/>
                                          <w:marBottom w:val="0"/>
                                          <w:divBdr>
                                            <w:top w:val="none" w:sz="0" w:space="0" w:color="auto"/>
                                            <w:left w:val="none" w:sz="0" w:space="0" w:color="auto"/>
                                            <w:bottom w:val="none" w:sz="0" w:space="0" w:color="auto"/>
                                            <w:right w:val="none" w:sz="0" w:space="0" w:color="auto"/>
                                          </w:divBdr>
                                        </w:div>
                                        <w:div w:id="679429617">
                                          <w:marLeft w:val="0"/>
                                          <w:marRight w:val="0"/>
                                          <w:marTop w:val="0"/>
                                          <w:marBottom w:val="0"/>
                                          <w:divBdr>
                                            <w:top w:val="none" w:sz="0" w:space="0" w:color="auto"/>
                                            <w:left w:val="none" w:sz="0" w:space="0" w:color="auto"/>
                                            <w:bottom w:val="none" w:sz="0" w:space="0" w:color="auto"/>
                                            <w:right w:val="none" w:sz="0" w:space="0" w:color="auto"/>
                                          </w:divBdr>
                                        </w:div>
                                        <w:div w:id="5181285">
                                          <w:marLeft w:val="0"/>
                                          <w:marRight w:val="0"/>
                                          <w:marTop w:val="0"/>
                                          <w:marBottom w:val="0"/>
                                          <w:divBdr>
                                            <w:top w:val="none" w:sz="0" w:space="0" w:color="auto"/>
                                            <w:left w:val="none" w:sz="0" w:space="0" w:color="auto"/>
                                            <w:bottom w:val="none" w:sz="0" w:space="0" w:color="auto"/>
                                            <w:right w:val="none" w:sz="0" w:space="0" w:color="auto"/>
                                          </w:divBdr>
                                          <w:divsChild>
                                            <w:div w:id="44735481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710871">
      <w:bodyDiv w:val="1"/>
      <w:marLeft w:val="0"/>
      <w:marRight w:val="0"/>
      <w:marTop w:val="0"/>
      <w:marBottom w:val="0"/>
      <w:divBdr>
        <w:top w:val="none" w:sz="0" w:space="0" w:color="auto"/>
        <w:left w:val="none" w:sz="0" w:space="0" w:color="auto"/>
        <w:bottom w:val="none" w:sz="0" w:space="0" w:color="auto"/>
        <w:right w:val="none" w:sz="0" w:space="0" w:color="auto"/>
      </w:divBdr>
    </w:div>
    <w:div w:id="898974218">
      <w:bodyDiv w:val="1"/>
      <w:marLeft w:val="0"/>
      <w:marRight w:val="0"/>
      <w:marTop w:val="0"/>
      <w:marBottom w:val="0"/>
      <w:divBdr>
        <w:top w:val="none" w:sz="0" w:space="0" w:color="auto"/>
        <w:left w:val="none" w:sz="0" w:space="0" w:color="auto"/>
        <w:bottom w:val="none" w:sz="0" w:space="0" w:color="auto"/>
        <w:right w:val="none" w:sz="0" w:space="0" w:color="auto"/>
      </w:divBdr>
      <w:divsChild>
        <w:div w:id="522785061">
          <w:marLeft w:val="0"/>
          <w:marRight w:val="0"/>
          <w:marTop w:val="0"/>
          <w:marBottom w:val="0"/>
          <w:divBdr>
            <w:top w:val="none" w:sz="0" w:space="0" w:color="auto"/>
            <w:left w:val="none" w:sz="0" w:space="0" w:color="auto"/>
            <w:bottom w:val="none" w:sz="0" w:space="0" w:color="auto"/>
            <w:right w:val="none" w:sz="0" w:space="0" w:color="auto"/>
          </w:divBdr>
          <w:divsChild>
            <w:div w:id="317921796">
              <w:marLeft w:val="0"/>
              <w:marRight w:val="0"/>
              <w:marTop w:val="0"/>
              <w:marBottom w:val="0"/>
              <w:divBdr>
                <w:top w:val="none" w:sz="0" w:space="0" w:color="auto"/>
                <w:left w:val="none" w:sz="0" w:space="0" w:color="auto"/>
                <w:bottom w:val="none" w:sz="0" w:space="0" w:color="auto"/>
                <w:right w:val="none" w:sz="0" w:space="0" w:color="auto"/>
              </w:divBdr>
              <w:divsChild>
                <w:div w:id="1428572125">
                  <w:marLeft w:val="0"/>
                  <w:marRight w:val="0"/>
                  <w:marTop w:val="0"/>
                  <w:marBottom w:val="0"/>
                  <w:divBdr>
                    <w:top w:val="none" w:sz="0" w:space="0" w:color="auto"/>
                    <w:left w:val="none" w:sz="0" w:space="0" w:color="auto"/>
                    <w:bottom w:val="none" w:sz="0" w:space="0" w:color="auto"/>
                    <w:right w:val="none" w:sz="0" w:space="0" w:color="auto"/>
                  </w:divBdr>
                  <w:divsChild>
                    <w:div w:id="1392265630">
                      <w:marLeft w:val="0"/>
                      <w:marRight w:val="0"/>
                      <w:marTop w:val="0"/>
                      <w:marBottom w:val="0"/>
                      <w:divBdr>
                        <w:top w:val="none" w:sz="0" w:space="0" w:color="auto"/>
                        <w:left w:val="none" w:sz="0" w:space="0" w:color="auto"/>
                        <w:bottom w:val="none" w:sz="0" w:space="0" w:color="auto"/>
                        <w:right w:val="none" w:sz="0" w:space="0" w:color="auto"/>
                      </w:divBdr>
                      <w:divsChild>
                        <w:div w:id="1064182468">
                          <w:marLeft w:val="0"/>
                          <w:marRight w:val="0"/>
                          <w:marTop w:val="0"/>
                          <w:marBottom w:val="0"/>
                          <w:divBdr>
                            <w:top w:val="none" w:sz="0" w:space="0" w:color="auto"/>
                            <w:left w:val="none" w:sz="0" w:space="0" w:color="auto"/>
                            <w:bottom w:val="none" w:sz="0" w:space="0" w:color="auto"/>
                            <w:right w:val="none" w:sz="0" w:space="0" w:color="auto"/>
                          </w:divBdr>
                          <w:divsChild>
                            <w:div w:id="5789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989297">
      <w:bodyDiv w:val="1"/>
      <w:marLeft w:val="0"/>
      <w:marRight w:val="0"/>
      <w:marTop w:val="0"/>
      <w:marBottom w:val="0"/>
      <w:divBdr>
        <w:top w:val="none" w:sz="0" w:space="0" w:color="auto"/>
        <w:left w:val="none" w:sz="0" w:space="0" w:color="auto"/>
        <w:bottom w:val="none" w:sz="0" w:space="0" w:color="auto"/>
        <w:right w:val="none" w:sz="0" w:space="0" w:color="auto"/>
      </w:divBdr>
      <w:divsChild>
        <w:div w:id="1150291463">
          <w:marLeft w:val="0"/>
          <w:marRight w:val="0"/>
          <w:marTop w:val="0"/>
          <w:marBottom w:val="0"/>
          <w:divBdr>
            <w:top w:val="none" w:sz="0" w:space="0" w:color="auto"/>
            <w:left w:val="none" w:sz="0" w:space="0" w:color="auto"/>
            <w:bottom w:val="none" w:sz="0" w:space="0" w:color="auto"/>
            <w:right w:val="none" w:sz="0" w:space="0" w:color="auto"/>
          </w:divBdr>
        </w:div>
      </w:divsChild>
    </w:div>
    <w:div w:id="901721759">
      <w:bodyDiv w:val="1"/>
      <w:marLeft w:val="0"/>
      <w:marRight w:val="0"/>
      <w:marTop w:val="0"/>
      <w:marBottom w:val="0"/>
      <w:divBdr>
        <w:top w:val="none" w:sz="0" w:space="0" w:color="auto"/>
        <w:left w:val="none" w:sz="0" w:space="0" w:color="auto"/>
        <w:bottom w:val="none" w:sz="0" w:space="0" w:color="auto"/>
        <w:right w:val="none" w:sz="0" w:space="0" w:color="auto"/>
      </w:divBdr>
      <w:divsChild>
        <w:div w:id="1323007276">
          <w:marLeft w:val="0"/>
          <w:marRight w:val="0"/>
          <w:marTop w:val="0"/>
          <w:marBottom w:val="0"/>
          <w:divBdr>
            <w:top w:val="none" w:sz="0" w:space="0" w:color="auto"/>
            <w:left w:val="none" w:sz="0" w:space="0" w:color="auto"/>
            <w:bottom w:val="none" w:sz="0" w:space="0" w:color="auto"/>
            <w:right w:val="none" w:sz="0" w:space="0" w:color="auto"/>
          </w:divBdr>
          <w:divsChild>
            <w:div w:id="1566724030">
              <w:marLeft w:val="0"/>
              <w:marRight w:val="0"/>
              <w:marTop w:val="0"/>
              <w:marBottom w:val="0"/>
              <w:divBdr>
                <w:top w:val="none" w:sz="0" w:space="0" w:color="auto"/>
                <w:left w:val="none" w:sz="0" w:space="0" w:color="auto"/>
                <w:bottom w:val="none" w:sz="0" w:space="0" w:color="auto"/>
                <w:right w:val="none" w:sz="0" w:space="0" w:color="auto"/>
              </w:divBdr>
              <w:divsChild>
                <w:div w:id="466824398">
                  <w:marLeft w:val="0"/>
                  <w:marRight w:val="0"/>
                  <w:marTop w:val="0"/>
                  <w:marBottom w:val="0"/>
                  <w:divBdr>
                    <w:top w:val="none" w:sz="0" w:space="0" w:color="auto"/>
                    <w:left w:val="none" w:sz="0" w:space="0" w:color="auto"/>
                    <w:bottom w:val="none" w:sz="0" w:space="0" w:color="auto"/>
                    <w:right w:val="none" w:sz="0" w:space="0" w:color="auto"/>
                  </w:divBdr>
                  <w:divsChild>
                    <w:div w:id="622231478">
                      <w:marLeft w:val="0"/>
                      <w:marRight w:val="0"/>
                      <w:marTop w:val="0"/>
                      <w:marBottom w:val="0"/>
                      <w:divBdr>
                        <w:top w:val="none" w:sz="0" w:space="0" w:color="auto"/>
                        <w:left w:val="none" w:sz="0" w:space="0" w:color="auto"/>
                        <w:bottom w:val="none" w:sz="0" w:space="0" w:color="auto"/>
                        <w:right w:val="none" w:sz="0" w:space="0" w:color="auto"/>
                      </w:divBdr>
                      <w:divsChild>
                        <w:div w:id="1905408228">
                          <w:marLeft w:val="0"/>
                          <w:marRight w:val="0"/>
                          <w:marTop w:val="0"/>
                          <w:marBottom w:val="0"/>
                          <w:divBdr>
                            <w:top w:val="none" w:sz="0" w:space="0" w:color="auto"/>
                            <w:left w:val="none" w:sz="0" w:space="0" w:color="auto"/>
                            <w:bottom w:val="none" w:sz="0" w:space="0" w:color="auto"/>
                            <w:right w:val="none" w:sz="0" w:space="0" w:color="auto"/>
                          </w:divBdr>
                          <w:divsChild>
                            <w:div w:id="982387499">
                              <w:marLeft w:val="570"/>
                              <w:marRight w:val="720"/>
                              <w:marTop w:val="120"/>
                              <w:marBottom w:val="120"/>
                              <w:divBdr>
                                <w:top w:val="none" w:sz="0" w:space="0" w:color="auto"/>
                                <w:left w:val="none" w:sz="0" w:space="0" w:color="auto"/>
                                <w:bottom w:val="none" w:sz="0" w:space="0" w:color="auto"/>
                                <w:right w:val="none" w:sz="0" w:space="0" w:color="auto"/>
                              </w:divBdr>
                              <w:divsChild>
                                <w:div w:id="1448768471">
                                  <w:marLeft w:val="0"/>
                                  <w:marRight w:val="0"/>
                                  <w:marTop w:val="0"/>
                                  <w:marBottom w:val="0"/>
                                  <w:divBdr>
                                    <w:top w:val="none" w:sz="0" w:space="0" w:color="auto"/>
                                    <w:left w:val="none" w:sz="0" w:space="0" w:color="auto"/>
                                    <w:bottom w:val="none" w:sz="0" w:space="0" w:color="auto"/>
                                    <w:right w:val="none" w:sz="0" w:space="0" w:color="auto"/>
                                  </w:divBdr>
                                  <w:divsChild>
                                    <w:div w:id="2038000586">
                                      <w:marLeft w:val="0"/>
                                      <w:marRight w:val="0"/>
                                      <w:marTop w:val="0"/>
                                      <w:marBottom w:val="0"/>
                                      <w:divBdr>
                                        <w:top w:val="none" w:sz="0" w:space="0" w:color="auto"/>
                                        <w:left w:val="none" w:sz="0" w:space="0" w:color="auto"/>
                                        <w:bottom w:val="none" w:sz="0" w:space="0" w:color="auto"/>
                                        <w:right w:val="none" w:sz="0" w:space="0" w:color="auto"/>
                                      </w:divBdr>
                                      <w:divsChild>
                                        <w:div w:id="705838352">
                                          <w:marLeft w:val="0"/>
                                          <w:marRight w:val="0"/>
                                          <w:marTop w:val="0"/>
                                          <w:marBottom w:val="0"/>
                                          <w:divBdr>
                                            <w:top w:val="none" w:sz="0" w:space="0" w:color="auto"/>
                                            <w:left w:val="none" w:sz="0" w:space="0" w:color="auto"/>
                                            <w:bottom w:val="none" w:sz="0" w:space="0" w:color="auto"/>
                                            <w:right w:val="none" w:sz="0" w:space="0" w:color="auto"/>
                                          </w:divBdr>
                                        </w:div>
                                        <w:div w:id="832263440">
                                          <w:marLeft w:val="0"/>
                                          <w:marRight w:val="0"/>
                                          <w:marTop w:val="0"/>
                                          <w:marBottom w:val="150"/>
                                          <w:divBdr>
                                            <w:top w:val="none" w:sz="0" w:space="0" w:color="auto"/>
                                            <w:left w:val="none" w:sz="0" w:space="0" w:color="auto"/>
                                            <w:bottom w:val="none" w:sz="0" w:space="0" w:color="auto"/>
                                            <w:right w:val="none" w:sz="0" w:space="0" w:color="auto"/>
                                          </w:divBdr>
                                          <w:divsChild>
                                            <w:div w:id="868838260">
                                              <w:marLeft w:val="0"/>
                                              <w:marRight w:val="0"/>
                                              <w:marTop w:val="240"/>
                                              <w:marBottom w:val="240"/>
                                              <w:divBdr>
                                                <w:top w:val="single" w:sz="6" w:space="6" w:color="F2F2F2"/>
                                                <w:left w:val="none" w:sz="0" w:space="0" w:color="auto"/>
                                                <w:bottom w:val="single" w:sz="6" w:space="6" w:color="F2F2F2"/>
                                                <w:right w:val="none" w:sz="0" w:space="0" w:color="auto"/>
                                              </w:divBdr>
                                            </w:div>
                                            <w:div w:id="892080070">
                                              <w:marLeft w:val="0"/>
                                              <w:marRight w:val="0"/>
                                              <w:marTop w:val="0"/>
                                              <w:marBottom w:val="0"/>
                                              <w:divBdr>
                                                <w:top w:val="none" w:sz="0" w:space="0" w:color="auto"/>
                                                <w:left w:val="none" w:sz="0" w:space="0" w:color="auto"/>
                                                <w:bottom w:val="none" w:sz="0" w:space="0" w:color="auto"/>
                                                <w:right w:val="none" w:sz="0" w:space="0" w:color="auto"/>
                                              </w:divBdr>
                                              <w:divsChild>
                                                <w:div w:id="19024467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956936">
      <w:bodyDiv w:val="1"/>
      <w:marLeft w:val="0"/>
      <w:marRight w:val="0"/>
      <w:marTop w:val="0"/>
      <w:marBottom w:val="0"/>
      <w:divBdr>
        <w:top w:val="none" w:sz="0" w:space="0" w:color="auto"/>
        <w:left w:val="none" w:sz="0" w:space="0" w:color="auto"/>
        <w:bottom w:val="none" w:sz="0" w:space="0" w:color="auto"/>
        <w:right w:val="none" w:sz="0" w:space="0" w:color="auto"/>
      </w:divBdr>
    </w:div>
    <w:div w:id="904099386">
      <w:bodyDiv w:val="1"/>
      <w:marLeft w:val="0"/>
      <w:marRight w:val="0"/>
      <w:marTop w:val="0"/>
      <w:marBottom w:val="0"/>
      <w:divBdr>
        <w:top w:val="none" w:sz="0" w:space="0" w:color="auto"/>
        <w:left w:val="none" w:sz="0" w:space="0" w:color="auto"/>
        <w:bottom w:val="none" w:sz="0" w:space="0" w:color="auto"/>
        <w:right w:val="none" w:sz="0" w:space="0" w:color="auto"/>
      </w:divBdr>
      <w:divsChild>
        <w:div w:id="1422144130">
          <w:marLeft w:val="0"/>
          <w:marRight w:val="0"/>
          <w:marTop w:val="0"/>
          <w:marBottom w:val="0"/>
          <w:divBdr>
            <w:top w:val="none" w:sz="0" w:space="0" w:color="auto"/>
            <w:left w:val="none" w:sz="0" w:space="0" w:color="auto"/>
            <w:bottom w:val="none" w:sz="0" w:space="0" w:color="auto"/>
            <w:right w:val="none" w:sz="0" w:space="0" w:color="auto"/>
          </w:divBdr>
        </w:div>
      </w:divsChild>
    </w:div>
    <w:div w:id="905529526">
      <w:bodyDiv w:val="1"/>
      <w:marLeft w:val="0"/>
      <w:marRight w:val="0"/>
      <w:marTop w:val="0"/>
      <w:marBottom w:val="0"/>
      <w:divBdr>
        <w:top w:val="none" w:sz="0" w:space="0" w:color="auto"/>
        <w:left w:val="none" w:sz="0" w:space="0" w:color="auto"/>
        <w:bottom w:val="none" w:sz="0" w:space="0" w:color="auto"/>
        <w:right w:val="none" w:sz="0" w:space="0" w:color="auto"/>
      </w:divBdr>
    </w:div>
    <w:div w:id="905535341">
      <w:bodyDiv w:val="1"/>
      <w:marLeft w:val="0"/>
      <w:marRight w:val="0"/>
      <w:marTop w:val="0"/>
      <w:marBottom w:val="0"/>
      <w:divBdr>
        <w:top w:val="none" w:sz="0" w:space="0" w:color="auto"/>
        <w:left w:val="none" w:sz="0" w:space="0" w:color="auto"/>
        <w:bottom w:val="none" w:sz="0" w:space="0" w:color="auto"/>
        <w:right w:val="none" w:sz="0" w:space="0" w:color="auto"/>
      </w:divBdr>
      <w:divsChild>
        <w:div w:id="507981508">
          <w:marLeft w:val="0"/>
          <w:marRight w:val="0"/>
          <w:marTop w:val="0"/>
          <w:marBottom w:val="0"/>
          <w:divBdr>
            <w:top w:val="none" w:sz="0" w:space="0" w:color="auto"/>
            <w:left w:val="none" w:sz="0" w:space="0" w:color="auto"/>
            <w:bottom w:val="none" w:sz="0" w:space="0" w:color="auto"/>
            <w:right w:val="none" w:sz="0" w:space="0" w:color="auto"/>
          </w:divBdr>
          <w:divsChild>
            <w:div w:id="109014648">
              <w:marLeft w:val="0"/>
              <w:marRight w:val="0"/>
              <w:marTop w:val="0"/>
              <w:marBottom w:val="0"/>
              <w:divBdr>
                <w:top w:val="single" w:sz="6" w:space="0" w:color="0E477A"/>
                <w:left w:val="single" w:sz="6" w:space="0" w:color="0E477A"/>
                <w:bottom w:val="single" w:sz="6" w:space="0" w:color="0E477A"/>
                <w:right w:val="single" w:sz="6" w:space="0" w:color="0E477A"/>
              </w:divBdr>
              <w:divsChild>
                <w:div w:id="1978756257">
                  <w:marLeft w:val="0"/>
                  <w:marRight w:val="0"/>
                  <w:marTop w:val="0"/>
                  <w:marBottom w:val="0"/>
                  <w:divBdr>
                    <w:top w:val="none" w:sz="0" w:space="0" w:color="auto"/>
                    <w:left w:val="none" w:sz="0" w:space="0" w:color="auto"/>
                    <w:bottom w:val="none" w:sz="0" w:space="0" w:color="auto"/>
                    <w:right w:val="none" w:sz="0" w:space="0" w:color="auto"/>
                  </w:divBdr>
                  <w:divsChild>
                    <w:div w:id="185218582">
                      <w:marLeft w:val="0"/>
                      <w:marRight w:val="0"/>
                      <w:marTop w:val="0"/>
                      <w:marBottom w:val="0"/>
                      <w:divBdr>
                        <w:top w:val="none" w:sz="0" w:space="0" w:color="auto"/>
                        <w:left w:val="none" w:sz="0" w:space="0" w:color="auto"/>
                        <w:bottom w:val="none" w:sz="0" w:space="0" w:color="auto"/>
                        <w:right w:val="none" w:sz="0" w:space="0" w:color="auto"/>
                      </w:divBdr>
                      <w:divsChild>
                        <w:div w:id="503975013">
                          <w:marLeft w:val="0"/>
                          <w:marRight w:val="0"/>
                          <w:marTop w:val="0"/>
                          <w:marBottom w:val="0"/>
                          <w:divBdr>
                            <w:top w:val="none" w:sz="0" w:space="0" w:color="auto"/>
                            <w:left w:val="none" w:sz="0" w:space="0" w:color="auto"/>
                            <w:bottom w:val="none" w:sz="0" w:space="0" w:color="auto"/>
                            <w:right w:val="none" w:sz="0" w:space="0" w:color="auto"/>
                          </w:divBdr>
                          <w:divsChild>
                            <w:div w:id="1600867624">
                              <w:marLeft w:val="0"/>
                              <w:marRight w:val="0"/>
                              <w:marTop w:val="0"/>
                              <w:marBottom w:val="0"/>
                              <w:divBdr>
                                <w:top w:val="none" w:sz="0" w:space="0" w:color="auto"/>
                                <w:left w:val="none" w:sz="0" w:space="0" w:color="auto"/>
                                <w:bottom w:val="none" w:sz="0" w:space="0" w:color="auto"/>
                                <w:right w:val="none" w:sz="0" w:space="0" w:color="auto"/>
                              </w:divBdr>
                              <w:divsChild>
                                <w:div w:id="1102215833">
                                  <w:marLeft w:val="0"/>
                                  <w:marRight w:val="0"/>
                                  <w:marTop w:val="0"/>
                                  <w:marBottom w:val="0"/>
                                  <w:divBdr>
                                    <w:top w:val="none" w:sz="0" w:space="0" w:color="auto"/>
                                    <w:left w:val="none" w:sz="0" w:space="0" w:color="auto"/>
                                    <w:bottom w:val="none" w:sz="0" w:space="0" w:color="auto"/>
                                    <w:right w:val="none" w:sz="0" w:space="0" w:color="auto"/>
                                  </w:divBdr>
                                  <w:divsChild>
                                    <w:div w:id="1121726639">
                                      <w:marLeft w:val="0"/>
                                      <w:marRight w:val="0"/>
                                      <w:marTop w:val="0"/>
                                      <w:marBottom w:val="0"/>
                                      <w:divBdr>
                                        <w:top w:val="none" w:sz="0" w:space="0" w:color="auto"/>
                                        <w:left w:val="none" w:sz="0" w:space="0" w:color="auto"/>
                                        <w:bottom w:val="none" w:sz="0" w:space="0" w:color="auto"/>
                                        <w:right w:val="none" w:sz="0" w:space="0" w:color="auto"/>
                                      </w:divBdr>
                                      <w:divsChild>
                                        <w:div w:id="1609770539">
                                          <w:marLeft w:val="0"/>
                                          <w:marRight w:val="0"/>
                                          <w:marTop w:val="0"/>
                                          <w:marBottom w:val="0"/>
                                          <w:divBdr>
                                            <w:top w:val="none" w:sz="0" w:space="0" w:color="auto"/>
                                            <w:left w:val="none" w:sz="0" w:space="0" w:color="auto"/>
                                            <w:bottom w:val="none" w:sz="0" w:space="0" w:color="auto"/>
                                            <w:right w:val="none" w:sz="0" w:space="0" w:color="auto"/>
                                          </w:divBdr>
                                          <w:divsChild>
                                            <w:div w:id="2063284340">
                                              <w:marLeft w:val="0"/>
                                              <w:marRight w:val="0"/>
                                              <w:marTop w:val="0"/>
                                              <w:marBottom w:val="0"/>
                                              <w:divBdr>
                                                <w:top w:val="none" w:sz="0" w:space="0" w:color="auto"/>
                                                <w:left w:val="none" w:sz="0" w:space="0" w:color="auto"/>
                                                <w:bottom w:val="none" w:sz="0" w:space="0" w:color="auto"/>
                                                <w:right w:val="none" w:sz="0" w:space="0" w:color="auto"/>
                                              </w:divBdr>
                                              <w:divsChild>
                                                <w:div w:id="1987390844">
                                                  <w:marLeft w:val="0"/>
                                                  <w:marRight w:val="0"/>
                                                  <w:marTop w:val="0"/>
                                                  <w:marBottom w:val="0"/>
                                                  <w:divBdr>
                                                    <w:top w:val="none" w:sz="0" w:space="0" w:color="auto"/>
                                                    <w:left w:val="none" w:sz="0" w:space="0" w:color="auto"/>
                                                    <w:bottom w:val="none" w:sz="0" w:space="0" w:color="auto"/>
                                                    <w:right w:val="none" w:sz="0" w:space="0" w:color="auto"/>
                                                  </w:divBdr>
                                                  <w:divsChild>
                                                    <w:div w:id="11651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6383947">
      <w:bodyDiv w:val="1"/>
      <w:marLeft w:val="0"/>
      <w:marRight w:val="0"/>
      <w:marTop w:val="0"/>
      <w:marBottom w:val="0"/>
      <w:divBdr>
        <w:top w:val="none" w:sz="0" w:space="0" w:color="auto"/>
        <w:left w:val="none" w:sz="0" w:space="0" w:color="auto"/>
        <w:bottom w:val="none" w:sz="0" w:space="0" w:color="auto"/>
        <w:right w:val="none" w:sz="0" w:space="0" w:color="auto"/>
      </w:divBdr>
      <w:divsChild>
        <w:div w:id="664867459">
          <w:marLeft w:val="0"/>
          <w:marRight w:val="0"/>
          <w:marTop w:val="0"/>
          <w:marBottom w:val="0"/>
          <w:divBdr>
            <w:top w:val="none" w:sz="0" w:space="0" w:color="auto"/>
            <w:left w:val="none" w:sz="0" w:space="0" w:color="auto"/>
            <w:bottom w:val="none" w:sz="0" w:space="0" w:color="auto"/>
            <w:right w:val="none" w:sz="0" w:space="0" w:color="auto"/>
          </w:divBdr>
          <w:divsChild>
            <w:div w:id="554856807">
              <w:marLeft w:val="0"/>
              <w:marRight w:val="0"/>
              <w:marTop w:val="0"/>
              <w:marBottom w:val="0"/>
              <w:divBdr>
                <w:top w:val="none" w:sz="0" w:space="0" w:color="auto"/>
                <w:left w:val="none" w:sz="0" w:space="0" w:color="auto"/>
                <w:bottom w:val="none" w:sz="0" w:space="0" w:color="auto"/>
                <w:right w:val="none" w:sz="0" w:space="0" w:color="auto"/>
              </w:divBdr>
              <w:divsChild>
                <w:div w:id="930746710">
                  <w:marLeft w:val="0"/>
                  <w:marRight w:val="0"/>
                  <w:marTop w:val="0"/>
                  <w:marBottom w:val="0"/>
                  <w:divBdr>
                    <w:top w:val="none" w:sz="0" w:space="0" w:color="auto"/>
                    <w:left w:val="none" w:sz="0" w:space="0" w:color="auto"/>
                    <w:bottom w:val="none" w:sz="0" w:space="0" w:color="auto"/>
                    <w:right w:val="none" w:sz="0" w:space="0" w:color="auto"/>
                  </w:divBdr>
                  <w:divsChild>
                    <w:div w:id="1049650128">
                      <w:marLeft w:val="0"/>
                      <w:marRight w:val="0"/>
                      <w:marTop w:val="0"/>
                      <w:marBottom w:val="0"/>
                      <w:divBdr>
                        <w:top w:val="none" w:sz="0" w:space="0" w:color="auto"/>
                        <w:left w:val="none" w:sz="0" w:space="0" w:color="auto"/>
                        <w:bottom w:val="none" w:sz="0" w:space="0" w:color="auto"/>
                        <w:right w:val="none" w:sz="0" w:space="0" w:color="auto"/>
                      </w:divBdr>
                      <w:divsChild>
                        <w:div w:id="1537935332">
                          <w:marLeft w:val="0"/>
                          <w:marRight w:val="0"/>
                          <w:marTop w:val="0"/>
                          <w:marBottom w:val="0"/>
                          <w:divBdr>
                            <w:top w:val="none" w:sz="0" w:space="0" w:color="auto"/>
                            <w:left w:val="none" w:sz="0" w:space="0" w:color="auto"/>
                            <w:bottom w:val="none" w:sz="0" w:space="0" w:color="auto"/>
                            <w:right w:val="none" w:sz="0" w:space="0" w:color="auto"/>
                          </w:divBdr>
                          <w:divsChild>
                            <w:div w:id="446386901">
                              <w:marLeft w:val="0"/>
                              <w:marRight w:val="0"/>
                              <w:marTop w:val="0"/>
                              <w:marBottom w:val="0"/>
                              <w:divBdr>
                                <w:top w:val="none" w:sz="0" w:space="0" w:color="auto"/>
                                <w:left w:val="none" w:sz="0" w:space="0" w:color="auto"/>
                                <w:bottom w:val="none" w:sz="0" w:space="0" w:color="auto"/>
                                <w:right w:val="none" w:sz="0" w:space="0" w:color="auto"/>
                              </w:divBdr>
                              <w:divsChild>
                                <w:div w:id="474302643">
                                  <w:marLeft w:val="0"/>
                                  <w:marRight w:val="0"/>
                                  <w:marTop w:val="0"/>
                                  <w:marBottom w:val="0"/>
                                  <w:divBdr>
                                    <w:top w:val="none" w:sz="0" w:space="0" w:color="auto"/>
                                    <w:left w:val="none" w:sz="0" w:space="0" w:color="auto"/>
                                    <w:bottom w:val="none" w:sz="0" w:space="0" w:color="auto"/>
                                    <w:right w:val="none" w:sz="0" w:space="0" w:color="auto"/>
                                  </w:divBdr>
                                  <w:divsChild>
                                    <w:div w:id="595788447">
                                      <w:marLeft w:val="0"/>
                                      <w:marRight w:val="0"/>
                                      <w:marTop w:val="0"/>
                                      <w:marBottom w:val="0"/>
                                      <w:divBdr>
                                        <w:top w:val="none" w:sz="0" w:space="0" w:color="auto"/>
                                        <w:left w:val="none" w:sz="0" w:space="0" w:color="auto"/>
                                        <w:bottom w:val="none" w:sz="0" w:space="0" w:color="auto"/>
                                        <w:right w:val="none" w:sz="0" w:space="0" w:color="auto"/>
                                      </w:divBdr>
                                      <w:divsChild>
                                        <w:div w:id="984967857">
                                          <w:marLeft w:val="0"/>
                                          <w:marRight w:val="0"/>
                                          <w:marTop w:val="0"/>
                                          <w:marBottom w:val="0"/>
                                          <w:divBdr>
                                            <w:top w:val="none" w:sz="0" w:space="0" w:color="auto"/>
                                            <w:left w:val="none" w:sz="0" w:space="0" w:color="auto"/>
                                            <w:bottom w:val="none" w:sz="0" w:space="0" w:color="auto"/>
                                            <w:right w:val="none" w:sz="0" w:space="0" w:color="auto"/>
                                          </w:divBdr>
                                          <w:divsChild>
                                            <w:div w:id="1423336159">
                                              <w:marLeft w:val="0"/>
                                              <w:marRight w:val="0"/>
                                              <w:marTop w:val="0"/>
                                              <w:marBottom w:val="0"/>
                                              <w:divBdr>
                                                <w:top w:val="none" w:sz="0" w:space="0" w:color="auto"/>
                                                <w:left w:val="none" w:sz="0" w:space="0" w:color="auto"/>
                                                <w:bottom w:val="none" w:sz="0" w:space="0" w:color="auto"/>
                                                <w:right w:val="none" w:sz="0" w:space="0" w:color="auto"/>
                                              </w:divBdr>
                                              <w:divsChild>
                                                <w:div w:id="318002277">
                                                  <w:marLeft w:val="0"/>
                                                  <w:marRight w:val="0"/>
                                                  <w:marTop w:val="0"/>
                                                  <w:marBottom w:val="0"/>
                                                  <w:divBdr>
                                                    <w:top w:val="none" w:sz="0" w:space="0" w:color="auto"/>
                                                    <w:left w:val="none" w:sz="0" w:space="0" w:color="auto"/>
                                                    <w:bottom w:val="none" w:sz="0" w:space="0" w:color="auto"/>
                                                    <w:right w:val="none" w:sz="0" w:space="0" w:color="auto"/>
                                                  </w:divBdr>
                                                  <w:divsChild>
                                                    <w:div w:id="64884310">
                                                      <w:marLeft w:val="0"/>
                                                      <w:marRight w:val="0"/>
                                                      <w:marTop w:val="0"/>
                                                      <w:marBottom w:val="0"/>
                                                      <w:divBdr>
                                                        <w:top w:val="none" w:sz="0" w:space="0" w:color="auto"/>
                                                        <w:left w:val="none" w:sz="0" w:space="0" w:color="auto"/>
                                                        <w:bottom w:val="none" w:sz="0" w:space="0" w:color="auto"/>
                                                        <w:right w:val="none" w:sz="0" w:space="0" w:color="auto"/>
                                                      </w:divBdr>
                                                      <w:divsChild>
                                                        <w:div w:id="928733248">
                                                          <w:marLeft w:val="0"/>
                                                          <w:marRight w:val="0"/>
                                                          <w:marTop w:val="0"/>
                                                          <w:marBottom w:val="0"/>
                                                          <w:divBdr>
                                                            <w:top w:val="none" w:sz="0" w:space="0" w:color="auto"/>
                                                            <w:left w:val="none" w:sz="0" w:space="0" w:color="auto"/>
                                                            <w:bottom w:val="none" w:sz="0" w:space="0" w:color="auto"/>
                                                            <w:right w:val="none" w:sz="0" w:space="0" w:color="auto"/>
                                                          </w:divBdr>
                                                        </w:div>
                                                        <w:div w:id="942683911">
                                                          <w:marLeft w:val="0"/>
                                                          <w:marRight w:val="0"/>
                                                          <w:marTop w:val="0"/>
                                                          <w:marBottom w:val="0"/>
                                                          <w:divBdr>
                                                            <w:top w:val="none" w:sz="0" w:space="0" w:color="auto"/>
                                                            <w:left w:val="none" w:sz="0" w:space="0" w:color="auto"/>
                                                            <w:bottom w:val="none" w:sz="0" w:space="0" w:color="auto"/>
                                                            <w:right w:val="none" w:sz="0" w:space="0" w:color="auto"/>
                                                          </w:divBdr>
                                                          <w:divsChild>
                                                            <w:div w:id="1078215912">
                                                              <w:marLeft w:val="0"/>
                                                              <w:marRight w:val="0"/>
                                                              <w:marTop w:val="0"/>
                                                              <w:marBottom w:val="0"/>
                                                              <w:divBdr>
                                                                <w:top w:val="none" w:sz="0" w:space="0" w:color="auto"/>
                                                                <w:left w:val="none" w:sz="0" w:space="0" w:color="auto"/>
                                                                <w:bottom w:val="none" w:sz="0" w:space="0" w:color="auto"/>
                                                                <w:right w:val="none" w:sz="0" w:space="0" w:color="auto"/>
                                                              </w:divBdr>
                                                            </w:div>
                                                            <w:div w:id="256645193">
                                                              <w:marLeft w:val="0"/>
                                                              <w:marRight w:val="0"/>
                                                              <w:marTop w:val="0"/>
                                                              <w:marBottom w:val="0"/>
                                                              <w:divBdr>
                                                                <w:top w:val="none" w:sz="0" w:space="0" w:color="auto"/>
                                                                <w:left w:val="none" w:sz="0" w:space="0" w:color="auto"/>
                                                                <w:bottom w:val="none" w:sz="0" w:space="0" w:color="auto"/>
                                                                <w:right w:val="none" w:sz="0" w:space="0" w:color="auto"/>
                                                              </w:divBdr>
                                                            </w:div>
                                                          </w:divsChild>
                                                        </w:div>
                                                        <w:div w:id="550848445">
                                                          <w:marLeft w:val="0"/>
                                                          <w:marRight w:val="0"/>
                                                          <w:marTop w:val="0"/>
                                                          <w:marBottom w:val="0"/>
                                                          <w:divBdr>
                                                            <w:top w:val="none" w:sz="0" w:space="0" w:color="auto"/>
                                                            <w:left w:val="none" w:sz="0" w:space="0" w:color="auto"/>
                                                            <w:bottom w:val="none" w:sz="0" w:space="0" w:color="auto"/>
                                                            <w:right w:val="none" w:sz="0" w:space="0" w:color="auto"/>
                                                          </w:divBdr>
                                                        </w:div>
                                                        <w:div w:id="895549483">
                                                          <w:marLeft w:val="0"/>
                                                          <w:marRight w:val="0"/>
                                                          <w:marTop w:val="0"/>
                                                          <w:marBottom w:val="0"/>
                                                          <w:divBdr>
                                                            <w:top w:val="none" w:sz="0" w:space="0" w:color="auto"/>
                                                            <w:left w:val="none" w:sz="0" w:space="0" w:color="auto"/>
                                                            <w:bottom w:val="none" w:sz="0" w:space="0" w:color="auto"/>
                                                            <w:right w:val="none" w:sz="0" w:space="0" w:color="auto"/>
                                                          </w:divBdr>
                                                        </w:div>
                                                        <w:div w:id="1947612007">
                                                          <w:marLeft w:val="0"/>
                                                          <w:marRight w:val="0"/>
                                                          <w:marTop w:val="0"/>
                                                          <w:marBottom w:val="0"/>
                                                          <w:divBdr>
                                                            <w:top w:val="none" w:sz="0" w:space="0" w:color="auto"/>
                                                            <w:left w:val="none" w:sz="0" w:space="0" w:color="auto"/>
                                                            <w:bottom w:val="none" w:sz="0" w:space="0" w:color="auto"/>
                                                            <w:right w:val="none" w:sz="0" w:space="0" w:color="auto"/>
                                                          </w:divBdr>
                                                          <w:divsChild>
                                                            <w:div w:id="5756754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7887961">
      <w:bodyDiv w:val="1"/>
      <w:marLeft w:val="0"/>
      <w:marRight w:val="0"/>
      <w:marTop w:val="0"/>
      <w:marBottom w:val="0"/>
      <w:divBdr>
        <w:top w:val="none" w:sz="0" w:space="0" w:color="auto"/>
        <w:left w:val="none" w:sz="0" w:space="0" w:color="auto"/>
        <w:bottom w:val="none" w:sz="0" w:space="0" w:color="auto"/>
        <w:right w:val="none" w:sz="0" w:space="0" w:color="auto"/>
      </w:divBdr>
      <w:divsChild>
        <w:div w:id="2067685184">
          <w:marLeft w:val="0"/>
          <w:marRight w:val="0"/>
          <w:marTop w:val="0"/>
          <w:marBottom w:val="0"/>
          <w:divBdr>
            <w:top w:val="none" w:sz="0" w:space="0" w:color="auto"/>
            <w:left w:val="none" w:sz="0" w:space="0" w:color="auto"/>
            <w:bottom w:val="none" w:sz="0" w:space="0" w:color="auto"/>
            <w:right w:val="none" w:sz="0" w:space="0" w:color="auto"/>
          </w:divBdr>
          <w:divsChild>
            <w:div w:id="2126385700">
              <w:marLeft w:val="2"/>
              <w:marRight w:val="2"/>
              <w:marTop w:val="0"/>
              <w:marBottom w:val="0"/>
              <w:divBdr>
                <w:top w:val="none" w:sz="0" w:space="0" w:color="auto"/>
                <w:left w:val="none" w:sz="0" w:space="0" w:color="auto"/>
                <w:bottom w:val="none" w:sz="0" w:space="0" w:color="auto"/>
                <w:right w:val="none" w:sz="0" w:space="0" w:color="auto"/>
              </w:divBdr>
              <w:divsChild>
                <w:div w:id="904029461">
                  <w:marLeft w:val="0"/>
                  <w:marRight w:val="0"/>
                  <w:marTop w:val="0"/>
                  <w:marBottom w:val="0"/>
                  <w:divBdr>
                    <w:top w:val="none" w:sz="0" w:space="0" w:color="auto"/>
                    <w:left w:val="none" w:sz="0" w:space="0" w:color="auto"/>
                    <w:bottom w:val="none" w:sz="0" w:space="0" w:color="auto"/>
                    <w:right w:val="none" w:sz="0" w:space="0" w:color="auto"/>
                  </w:divBdr>
                  <w:divsChild>
                    <w:div w:id="2015377223">
                      <w:marLeft w:val="0"/>
                      <w:marRight w:val="0"/>
                      <w:marTop w:val="0"/>
                      <w:marBottom w:val="0"/>
                      <w:divBdr>
                        <w:top w:val="none" w:sz="0" w:space="0" w:color="auto"/>
                        <w:left w:val="none" w:sz="0" w:space="0" w:color="auto"/>
                        <w:bottom w:val="none" w:sz="0" w:space="0" w:color="auto"/>
                        <w:right w:val="none" w:sz="0" w:space="0" w:color="auto"/>
                      </w:divBdr>
                      <w:divsChild>
                        <w:div w:id="384719888">
                          <w:marLeft w:val="0"/>
                          <w:marRight w:val="0"/>
                          <w:marTop w:val="0"/>
                          <w:marBottom w:val="0"/>
                          <w:divBdr>
                            <w:top w:val="none" w:sz="0" w:space="0" w:color="auto"/>
                            <w:left w:val="none" w:sz="0" w:space="0" w:color="auto"/>
                            <w:bottom w:val="none" w:sz="0" w:space="0" w:color="auto"/>
                            <w:right w:val="none" w:sz="0" w:space="0" w:color="auto"/>
                          </w:divBdr>
                          <w:divsChild>
                            <w:div w:id="1216814142">
                              <w:marLeft w:val="0"/>
                              <w:marRight w:val="0"/>
                              <w:marTop w:val="0"/>
                              <w:marBottom w:val="0"/>
                              <w:divBdr>
                                <w:top w:val="none" w:sz="0" w:space="0" w:color="auto"/>
                                <w:left w:val="none" w:sz="0" w:space="0" w:color="auto"/>
                                <w:bottom w:val="none" w:sz="0" w:space="0" w:color="auto"/>
                                <w:right w:val="none" w:sz="0" w:space="0" w:color="auto"/>
                              </w:divBdr>
                              <w:divsChild>
                                <w:div w:id="862940106">
                                  <w:marLeft w:val="0"/>
                                  <w:marRight w:val="0"/>
                                  <w:marTop w:val="0"/>
                                  <w:marBottom w:val="0"/>
                                  <w:divBdr>
                                    <w:top w:val="none" w:sz="0" w:space="0" w:color="auto"/>
                                    <w:left w:val="none" w:sz="0" w:space="0" w:color="auto"/>
                                    <w:bottom w:val="none" w:sz="0" w:space="0" w:color="auto"/>
                                    <w:right w:val="none" w:sz="0" w:space="0" w:color="auto"/>
                                  </w:divBdr>
                                  <w:divsChild>
                                    <w:div w:id="18551350">
                                      <w:marLeft w:val="0"/>
                                      <w:marRight w:val="0"/>
                                      <w:marTop w:val="0"/>
                                      <w:marBottom w:val="0"/>
                                      <w:divBdr>
                                        <w:top w:val="none" w:sz="0" w:space="0" w:color="auto"/>
                                        <w:left w:val="none" w:sz="0" w:space="0" w:color="auto"/>
                                        <w:bottom w:val="none" w:sz="0" w:space="0" w:color="auto"/>
                                        <w:right w:val="none" w:sz="0" w:space="0" w:color="auto"/>
                                      </w:divBdr>
                                      <w:divsChild>
                                        <w:div w:id="1890263735">
                                          <w:marLeft w:val="0"/>
                                          <w:marRight w:val="0"/>
                                          <w:marTop w:val="0"/>
                                          <w:marBottom w:val="0"/>
                                          <w:divBdr>
                                            <w:top w:val="none" w:sz="0" w:space="0" w:color="auto"/>
                                            <w:left w:val="none" w:sz="0" w:space="0" w:color="auto"/>
                                            <w:bottom w:val="none" w:sz="0" w:space="0" w:color="auto"/>
                                            <w:right w:val="none" w:sz="0" w:space="0" w:color="auto"/>
                                          </w:divBdr>
                                          <w:divsChild>
                                            <w:div w:id="1084494906">
                                              <w:marLeft w:val="0"/>
                                              <w:marRight w:val="0"/>
                                              <w:marTop w:val="0"/>
                                              <w:marBottom w:val="0"/>
                                              <w:divBdr>
                                                <w:top w:val="none" w:sz="0" w:space="0" w:color="auto"/>
                                                <w:left w:val="none" w:sz="0" w:space="0" w:color="auto"/>
                                                <w:bottom w:val="none" w:sz="0" w:space="0" w:color="auto"/>
                                                <w:right w:val="none" w:sz="0" w:space="0" w:color="auto"/>
                                              </w:divBdr>
                                            </w:div>
                                          </w:divsChild>
                                        </w:div>
                                        <w:div w:id="1499735407">
                                          <w:marLeft w:val="0"/>
                                          <w:marRight w:val="0"/>
                                          <w:marTop w:val="0"/>
                                          <w:marBottom w:val="0"/>
                                          <w:divBdr>
                                            <w:top w:val="none" w:sz="0" w:space="0" w:color="auto"/>
                                            <w:left w:val="none" w:sz="0" w:space="0" w:color="auto"/>
                                            <w:bottom w:val="none" w:sz="0" w:space="0" w:color="auto"/>
                                            <w:right w:val="none" w:sz="0" w:space="0" w:color="auto"/>
                                          </w:divBdr>
                                          <w:divsChild>
                                            <w:div w:id="1686593735">
                                              <w:marLeft w:val="0"/>
                                              <w:marRight w:val="0"/>
                                              <w:marTop w:val="0"/>
                                              <w:marBottom w:val="0"/>
                                              <w:divBdr>
                                                <w:top w:val="none" w:sz="0" w:space="0" w:color="auto"/>
                                                <w:left w:val="none" w:sz="0" w:space="0" w:color="auto"/>
                                                <w:bottom w:val="none" w:sz="0" w:space="0" w:color="auto"/>
                                                <w:right w:val="none" w:sz="0" w:space="0" w:color="auto"/>
                                              </w:divBdr>
                                            </w:div>
                                          </w:divsChild>
                                        </w:div>
                                        <w:div w:id="745693071">
                                          <w:marLeft w:val="0"/>
                                          <w:marRight w:val="0"/>
                                          <w:marTop w:val="0"/>
                                          <w:marBottom w:val="0"/>
                                          <w:divBdr>
                                            <w:top w:val="none" w:sz="0" w:space="0" w:color="auto"/>
                                            <w:left w:val="none" w:sz="0" w:space="0" w:color="auto"/>
                                            <w:bottom w:val="none" w:sz="0" w:space="0" w:color="auto"/>
                                            <w:right w:val="none" w:sz="0" w:space="0" w:color="auto"/>
                                          </w:divBdr>
                                          <w:divsChild>
                                            <w:div w:id="666321375">
                                              <w:marLeft w:val="0"/>
                                              <w:marRight w:val="0"/>
                                              <w:marTop w:val="0"/>
                                              <w:marBottom w:val="0"/>
                                              <w:divBdr>
                                                <w:top w:val="none" w:sz="0" w:space="0" w:color="auto"/>
                                                <w:left w:val="none" w:sz="0" w:space="0" w:color="auto"/>
                                                <w:bottom w:val="none" w:sz="0" w:space="0" w:color="auto"/>
                                                <w:right w:val="none" w:sz="0" w:space="0" w:color="auto"/>
                                              </w:divBdr>
                                            </w:div>
                                          </w:divsChild>
                                        </w:div>
                                        <w:div w:id="184829020">
                                          <w:marLeft w:val="0"/>
                                          <w:marRight w:val="0"/>
                                          <w:marTop w:val="0"/>
                                          <w:marBottom w:val="0"/>
                                          <w:divBdr>
                                            <w:top w:val="none" w:sz="0" w:space="0" w:color="auto"/>
                                            <w:left w:val="none" w:sz="0" w:space="0" w:color="auto"/>
                                            <w:bottom w:val="none" w:sz="0" w:space="0" w:color="auto"/>
                                            <w:right w:val="none" w:sz="0" w:space="0" w:color="auto"/>
                                          </w:divBdr>
                                          <w:divsChild>
                                            <w:div w:id="666791400">
                                              <w:marLeft w:val="0"/>
                                              <w:marRight w:val="0"/>
                                              <w:marTop w:val="0"/>
                                              <w:marBottom w:val="0"/>
                                              <w:divBdr>
                                                <w:top w:val="none" w:sz="0" w:space="0" w:color="auto"/>
                                                <w:left w:val="none" w:sz="0" w:space="0" w:color="auto"/>
                                                <w:bottom w:val="none" w:sz="0" w:space="0" w:color="auto"/>
                                                <w:right w:val="none" w:sz="0" w:space="0" w:color="auto"/>
                                              </w:divBdr>
                                            </w:div>
                                          </w:divsChild>
                                        </w:div>
                                        <w:div w:id="1622106658">
                                          <w:marLeft w:val="0"/>
                                          <w:marRight w:val="0"/>
                                          <w:marTop w:val="0"/>
                                          <w:marBottom w:val="0"/>
                                          <w:divBdr>
                                            <w:top w:val="none" w:sz="0" w:space="0" w:color="auto"/>
                                            <w:left w:val="none" w:sz="0" w:space="0" w:color="auto"/>
                                            <w:bottom w:val="none" w:sz="0" w:space="0" w:color="auto"/>
                                            <w:right w:val="none" w:sz="0" w:space="0" w:color="auto"/>
                                          </w:divBdr>
                                          <w:divsChild>
                                            <w:div w:id="519438589">
                                              <w:marLeft w:val="0"/>
                                              <w:marRight w:val="0"/>
                                              <w:marTop w:val="0"/>
                                              <w:marBottom w:val="0"/>
                                              <w:divBdr>
                                                <w:top w:val="none" w:sz="0" w:space="0" w:color="auto"/>
                                                <w:left w:val="none" w:sz="0" w:space="0" w:color="auto"/>
                                                <w:bottom w:val="none" w:sz="0" w:space="0" w:color="auto"/>
                                                <w:right w:val="none" w:sz="0" w:space="0" w:color="auto"/>
                                              </w:divBdr>
                                            </w:div>
                                          </w:divsChild>
                                        </w:div>
                                        <w:div w:id="1136993486">
                                          <w:marLeft w:val="0"/>
                                          <w:marRight w:val="0"/>
                                          <w:marTop w:val="0"/>
                                          <w:marBottom w:val="0"/>
                                          <w:divBdr>
                                            <w:top w:val="none" w:sz="0" w:space="0" w:color="auto"/>
                                            <w:left w:val="none" w:sz="0" w:space="0" w:color="auto"/>
                                            <w:bottom w:val="none" w:sz="0" w:space="0" w:color="auto"/>
                                            <w:right w:val="none" w:sz="0" w:space="0" w:color="auto"/>
                                          </w:divBdr>
                                          <w:divsChild>
                                            <w:div w:id="16260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3420">
                                      <w:marLeft w:val="0"/>
                                      <w:marRight w:val="0"/>
                                      <w:marTop w:val="0"/>
                                      <w:marBottom w:val="0"/>
                                      <w:divBdr>
                                        <w:top w:val="none" w:sz="0" w:space="0" w:color="auto"/>
                                        <w:left w:val="none" w:sz="0" w:space="0" w:color="auto"/>
                                        <w:bottom w:val="none" w:sz="0" w:space="0" w:color="auto"/>
                                        <w:right w:val="none" w:sz="0" w:space="0" w:color="auto"/>
                                      </w:divBdr>
                                      <w:divsChild>
                                        <w:div w:id="65953950">
                                          <w:marLeft w:val="0"/>
                                          <w:marRight w:val="0"/>
                                          <w:marTop w:val="0"/>
                                          <w:marBottom w:val="0"/>
                                          <w:divBdr>
                                            <w:top w:val="none" w:sz="0" w:space="0" w:color="auto"/>
                                            <w:left w:val="none" w:sz="0" w:space="0" w:color="auto"/>
                                            <w:bottom w:val="none" w:sz="0" w:space="0" w:color="auto"/>
                                            <w:right w:val="none" w:sz="0" w:space="0" w:color="auto"/>
                                          </w:divBdr>
                                          <w:divsChild>
                                            <w:div w:id="727463596">
                                              <w:marLeft w:val="0"/>
                                              <w:marRight w:val="0"/>
                                              <w:marTop w:val="0"/>
                                              <w:marBottom w:val="0"/>
                                              <w:divBdr>
                                                <w:top w:val="none" w:sz="0" w:space="0" w:color="auto"/>
                                                <w:left w:val="none" w:sz="0" w:space="0" w:color="auto"/>
                                                <w:bottom w:val="none" w:sz="0" w:space="0" w:color="auto"/>
                                                <w:right w:val="none" w:sz="0" w:space="0" w:color="auto"/>
                                              </w:divBdr>
                                            </w:div>
                                          </w:divsChild>
                                        </w:div>
                                        <w:div w:id="2025283810">
                                          <w:marLeft w:val="0"/>
                                          <w:marRight w:val="0"/>
                                          <w:marTop w:val="0"/>
                                          <w:marBottom w:val="0"/>
                                          <w:divBdr>
                                            <w:top w:val="none" w:sz="0" w:space="0" w:color="auto"/>
                                            <w:left w:val="none" w:sz="0" w:space="0" w:color="auto"/>
                                            <w:bottom w:val="none" w:sz="0" w:space="0" w:color="auto"/>
                                            <w:right w:val="none" w:sz="0" w:space="0" w:color="auto"/>
                                          </w:divBdr>
                                          <w:divsChild>
                                            <w:div w:id="917176957">
                                              <w:marLeft w:val="0"/>
                                              <w:marRight w:val="0"/>
                                              <w:marTop w:val="0"/>
                                              <w:marBottom w:val="0"/>
                                              <w:divBdr>
                                                <w:top w:val="none" w:sz="0" w:space="0" w:color="auto"/>
                                                <w:left w:val="none" w:sz="0" w:space="0" w:color="auto"/>
                                                <w:bottom w:val="none" w:sz="0" w:space="0" w:color="auto"/>
                                                <w:right w:val="none" w:sz="0" w:space="0" w:color="auto"/>
                                              </w:divBdr>
                                            </w:div>
                                          </w:divsChild>
                                        </w:div>
                                        <w:div w:id="1859729637">
                                          <w:marLeft w:val="0"/>
                                          <w:marRight w:val="0"/>
                                          <w:marTop w:val="0"/>
                                          <w:marBottom w:val="0"/>
                                          <w:divBdr>
                                            <w:top w:val="none" w:sz="0" w:space="0" w:color="auto"/>
                                            <w:left w:val="none" w:sz="0" w:space="0" w:color="auto"/>
                                            <w:bottom w:val="none" w:sz="0" w:space="0" w:color="auto"/>
                                            <w:right w:val="none" w:sz="0" w:space="0" w:color="auto"/>
                                          </w:divBdr>
                                          <w:divsChild>
                                            <w:div w:id="1494492712">
                                              <w:marLeft w:val="0"/>
                                              <w:marRight w:val="0"/>
                                              <w:marTop w:val="0"/>
                                              <w:marBottom w:val="0"/>
                                              <w:divBdr>
                                                <w:top w:val="none" w:sz="0" w:space="0" w:color="auto"/>
                                                <w:left w:val="none" w:sz="0" w:space="0" w:color="auto"/>
                                                <w:bottom w:val="none" w:sz="0" w:space="0" w:color="auto"/>
                                                <w:right w:val="none" w:sz="0" w:space="0" w:color="auto"/>
                                              </w:divBdr>
                                            </w:div>
                                          </w:divsChild>
                                        </w:div>
                                        <w:div w:id="3093958">
                                          <w:marLeft w:val="0"/>
                                          <w:marRight w:val="0"/>
                                          <w:marTop w:val="0"/>
                                          <w:marBottom w:val="0"/>
                                          <w:divBdr>
                                            <w:top w:val="none" w:sz="0" w:space="0" w:color="auto"/>
                                            <w:left w:val="none" w:sz="0" w:space="0" w:color="auto"/>
                                            <w:bottom w:val="none" w:sz="0" w:space="0" w:color="auto"/>
                                            <w:right w:val="none" w:sz="0" w:space="0" w:color="auto"/>
                                          </w:divBdr>
                                          <w:divsChild>
                                            <w:div w:id="943072485">
                                              <w:marLeft w:val="0"/>
                                              <w:marRight w:val="0"/>
                                              <w:marTop w:val="0"/>
                                              <w:marBottom w:val="0"/>
                                              <w:divBdr>
                                                <w:top w:val="none" w:sz="0" w:space="0" w:color="auto"/>
                                                <w:left w:val="none" w:sz="0" w:space="0" w:color="auto"/>
                                                <w:bottom w:val="none" w:sz="0" w:space="0" w:color="auto"/>
                                                <w:right w:val="none" w:sz="0" w:space="0" w:color="auto"/>
                                              </w:divBdr>
                                            </w:div>
                                          </w:divsChild>
                                        </w:div>
                                        <w:div w:id="1586843357">
                                          <w:marLeft w:val="0"/>
                                          <w:marRight w:val="0"/>
                                          <w:marTop w:val="0"/>
                                          <w:marBottom w:val="0"/>
                                          <w:divBdr>
                                            <w:top w:val="none" w:sz="0" w:space="0" w:color="auto"/>
                                            <w:left w:val="none" w:sz="0" w:space="0" w:color="auto"/>
                                            <w:bottom w:val="none" w:sz="0" w:space="0" w:color="auto"/>
                                            <w:right w:val="none" w:sz="0" w:space="0" w:color="auto"/>
                                          </w:divBdr>
                                          <w:divsChild>
                                            <w:div w:id="1652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0770256">
      <w:bodyDiv w:val="1"/>
      <w:marLeft w:val="0"/>
      <w:marRight w:val="0"/>
      <w:marTop w:val="0"/>
      <w:marBottom w:val="0"/>
      <w:divBdr>
        <w:top w:val="none" w:sz="0" w:space="0" w:color="auto"/>
        <w:left w:val="none" w:sz="0" w:space="0" w:color="auto"/>
        <w:bottom w:val="none" w:sz="0" w:space="0" w:color="auto"/>
        <w:right w:val="none" w:sz="0" w:space="0" w:color="auto"/>
      </w:divBdr>
      <w:divsChild>
        <w:div w:id="1478719424">
          <w:marLeft w:val="0"/>
          <w:marRight w:val="0"/>
          <w:marTop w:val="0"/>
          <w:marBottom w:val="0"/>
          <w:divBdr>
            <w:top w:val="single" w:sz="6" w:space="0" w:color="0E477A"/>
            <w:left w:val="single" w:sz="6" w:space="0" w:color="0E477A"/>
            <w:bottom w:val="single" w:sz="6" w:space="0" w:color="0E477A"/>
            <w:right w:val="single" w:sz="6" w:space="0" w:color="0E477A"/>
          </w:divBdr>
          <w:divsChild>
            <w:div w:id="1219437850">
              <w:marLeft w:val="2925"/>
              <w:marRight w:val="0"/>
              <w:marTop w:val="0"/>
              <w:marBottom w:val="0"/>
              <w:divBdr>
                <w:top w:val="none" w:sz="0" w:space="0" w:color="auto"/>
                <w:left w:val="none" w:sz="0" w:space="0" w:color="auto"/>
                <w:bottom w:val="none" w:sz="0" w:space="0" w:color="auto"/>
                <w:right w:val="none" w:sz="0" w:space="0" w:color="auto"/>
              </w:divBdr>
              <w:divsChild>
                <w:div w:id="1024021889">
                  <w:marLeft w:val="0"/>
                  <w:marRight w:val="0"/>
                  <w:marTop w:val="0"/>
                  <w:marBottom w:val="0"/>
                  <w:divBdr>
                    <w:top w:val="none" w:sz="0" w:space="0" w:color="auto"/>
                    <w:left w:val="none" w:sz="0" w:space="0" w:color="auto"/>
                    <w:bottom w:val="none" w:sz="0" w:space="0" w:color="auto"/>
                    <w:right w:val="none" w:sz="0" w:space="0" w:color="auto"/>
                  </w:divBdr>
                  <w:divsChild>
                    <w:div w:id="20057421">
                      <w:marLeft w:val="0"/>
                      <w:marRight w:val="150"/>
                      <w:marTop w:val="0"/>
                      <w:marBottom w:val="0"/>
                      <w:divBdr>
                        <w:top w:val="single" w:sz="6" w:space="0" w:color="CCCCCC"/>
                        <w:left w:val="single" w:sz="6" w:space="8" w:color="CCCCCC"/>
                        <w:bottom w:val="single" w:sz="6" w:space="8" w:color="CCCCCC"/>
                        <w:right w:val="single" w:sz="6" w:space="8" w:color="CCCCCC"/>
                      </w:divBdr>
                      <w:divsChild>
                        <w:div w:id="149441992">
                          <w:marLeft w:val="0"/>
                          <w:marRight w:val="0"/>
                          <w:marTop w:val="0"/>
                          <w:marBottom w:val="0"/>
                          <w:divBdr>
                            <w:top w:val="none" w:sz="0" w:space="0" w:color="auto"/>
                            <w:left w:val="none" w:sz="0" w:space="0" w:color="auto"/>
                            <w:bottom w:val="none" w:sz="0" w:space="0" w:color="auto"/>
                            <w:right w:val="none" w:sz="0" w:space="0" w:color="auto"/>
                          </w:divBdr>
                        </w:div>
                        <w:div w:id="452676334">
                          <w:marLeft w:val="0"/>
                          <w:marRight w:val="0"/>
                          <w:marTop w:val="0"/>
                          <w:marBottom w:val="0"/>
                          <w:divBdr>
                            <w:top w:val="none" w:sz="0" w:space="0" w:color="auto"/>
                            <w:left w:val="none" w:sz="0" w:space="0" w:color="auto"/>
                            <w:bottom w:val="none" w:sz="0" w:space="0" w:color="auto"/>
                            <w:right w:val="none" w:sz="0" w:space="0" w:color="auto"/>
                          </w:divBdr>
                        </w:div>
                        <w:div w:id="971783985">
                          <w:marLeft w:val="0"/>
                          <w:marRight w:val="0"/>
                          <w:marTop w:val="0"/>
                          <w:marBottom w:val="0"/>
                          <w:divBdr>
                            <w:top w:val="none" w:sz="0" w:space="0" w:color="auto"/>
                            <w:left w:val="none" w:sz="0" w:space="0" w:color="auto"/>
                            <w:bottom w:val="none" w:sz="0" w:space="0" w:color="auto"/>
                            <w:right w:val="none" w:sz="0" w:space="0" w:color="auto"/>
                          </w:divBdr>
                        </w:div>
                        <w:div w:id="1497457743">
                          <w:marLeft w:val="0"/>
                          <w:marRight w:val="0"/>
                          <w:marTop w:val="0"/>
                          <w:marBottom w:val="0"/>
                          <w:divBdr>
                            <w:top w:val="none" w:sz="0" w:space="0" w:color="auto"/>
                            <w:left w:val="none" w:sz="0" w:space="0" w:color="auto"/>
                            <w:bottom w:val="none" w:sz="0" w:space="0" w:color="auto"/>
                            <w:right w:val="none" w:sz="0" w:space="0" w:color="auto"/>
                          </w:divBdr>
                        </w:div>
                        <w:div w:id="1451634021">
                          <w:marLeft w:val="0"/>
                          <w:marRight w:val="0"/>
                          <w:marTop w:val="0"/>
                          <w:marBottom w:val="0"/>
                          <w:divBdr>
                            <w:top w:val="none" w:sz="0" w:space="0" w:color="auto"/>
                            <w:left w:val="none" w:sz="0" w:space="0" w:color="auto"/>
                            <w:bottom w:val="none" w:sz="0" w:space="0" w:color="auto"/>
                            <w:right w:val="none" w:sz="0" w:space="0" w:color="auto"/>
                          </w:divBdr>
                        </w:div>
                        <w:div w:id="188297868">
                          <w:marLeft w:val="0"/>
                          <w:marRight w:val="0"/>
                          <w:marTop w:val="0"/>
                          <w:marBottom w:val="0"/>
                          <w:divBdr>
                            <w:top w:val="none" w:sz="0" w:space="0" w:color="auto"/>
                            <w:left w:val="none" w:sz="0" w:space="0" w:color="auto"/>
                            <w:bottom w:val="none" w:sz="0" w:space="0" w:color="auto"/>
                            <w:right w:val="none" w:sz="0" w:space="0" w:color="auto"/>
                          </w:divBdr>
                        </w:div>
                        <w:div w:id="1122188941">
                          <w:marLeft w:val="0"/>
                          <w:marRight w:val="0"/>
                          <w:marTop w:val="0"/>
                          <w:marBottom w:val="0"/>
                          <w:divBdr>
                            <w:top w:val="none" w:sz="0" w:space="0" w:color="auto"/>
                            <w:left w:val="none" w:sz="0" w:space="0" w:color="auto"/>
                            <w:bottom w:val="none" w:sz="0" w:space="0" w:color="auto"/>
                            <w:right w:val="none" w:sz="0" w:space="0" w:color="auto"/>
                          </w:divBdr>
                        </w:div>
                        <w:div w:id="862941003">
                          <w:marLeft w:val="0"/>
                          <w:marRight w:val="0"/>
                          <w:marTop w:val="0"/>
                          <w:marBottom w:val="0"/>
                          <w:divBdr>
                            <w:top w:val="none" w:sz="0" w:space="0" w:color="auto"/>
                            <w:left w:val="none" w:sz="0" w:space="0" w:color="auto"/>
                            <w:bottom w:val="none" w:sz="0" w:space="0" w:color="auto"/>
                            <w:right w:val="none" w:sz="0" w:space="0" w:color="auto"/>
                          </w:divBdr>
                        </w:div>
                        <w:div w:id="960039367">
                          <w:marLeft w:val="0"/>
                          <w:marRight w:val="0"/>
                          <w:marTop w:val="0"/>
                          <w:marBottom w:val="0"/>
                          <w:divBdr>
                            <w:top w:val="none" w:sz="0" w:space="0" w:color="auto"/>
                            <w:left w:val="none" w:sz="0" w:space="0" w:color="auto"/>
                            <w:bottom w:val="none" w:sz="0" w:space="0" w:color="auto"/>
                            <w:right w:val="none" w:sz="0" w:space="0" w:color="auto"/>
                          </w:divBdr>
                        </w:div>
                        <w:div w:id="6509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771165">
      <w:bodyDiv w:val="1"/>
      <w:marLeft w:val="0"/>
      <w:marRight w:val="0"/>
      <w:marTop w:val="0"/>
      <w:marBottom w:val="0"/>
      <w:divBdr>
        <w:top w:val="none" w:sz="0" w:space="0" w:color="auto"/>
        <w:left w:val="none" w:sz="0" w:space="0" w:color="auto"/>
        <w:bottom w:val="none" w:sz="0" w:space="0" w:color="auto"/>
        <w:right w:val="none" w:sz="0" w:space="0" w:color="auto"/>
      </w:divBdr>
      <w:divsChild>
        <w:div w:id="1007556888">
          <w:marLeft w:val="0"/>
          <w:marRight w:val="0"/>
          <w:marTop w:val="0"/>
          <w:marBottom w:val="450"/>
          <w:divBdr>
            <w:top w:val="none" w:sz="0" w:space="0" w:color="auto"/>
            <w:left w:val="none" w:sz="0" w:space="0" w:color="auto"/>
            <w:bottom w:val="none" w:sz="0" w:space="0" w:color="auto"/>
            <w:right w:val="none" w:sz="0" w:space="0" w:color="auto"/>
          </w:divBdr>
        </w:div>
      </w:divsChild>
    </w:div>
    <w:div w:id="912665818">
      <w:bodyDiv w:val="1"/>
      <w:marLeft w:val="0"/>
      <w:marRight w:val="0"/>
      <w:marTop w:val="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396902591">
              <w:marLeft w:val="0"/>
              <w:marRight w:val="0"/>
              <w:marTop w:val="0"/>
              <w:marBottom w:val="0"/>
              <w:divBdr>
                <w:top w:val="none" w:sz="0" w:space="0" w:color="auto"/>
                <w:left w:val="none" w:sz="0" w:space="0" w:color="auto"/>
                <w:bottom w:val="none" w:sz="0" w:space="0" w:color="auto"/>
                <w:right w:val="none" w:sz="0" w:space="0" w:color="auto"/>
              </w:divBdr>
              <w:divsChild>
                <w:div w:id="1384406590">
                  <w:marLeft w:val="0"/>
                  <w:marRight w:val="0"/>
                  <w:marTop w:val="0"/>
                  <w:marBottom w:val="0"/>
                  <w:divBdr>
                    <w:top w:val="none" w:sz="0" w:space="0" w:color="auto"/>
                    <w:left w:val="none" w:sz="0" w:space="0" w:color="auto"/>
                    <w:bottom w:val="none" w:sz="0" w:space="0" w:color="auto"/>
                    <w:right w:val="none" w:sz="0" w:space="0" w:color="auto"/>
                  </w:divBdr>
                  <w:divsChild>
                    <w:div w:id="2104833300">
                      <w:marLeft w:val="0"/>
                      <w:marRight w:val="0"/>
                      <w:marTop w:val="0"/>
                      <w:marBottom w:val="0"/>
                      <w:divBdr>
                        <w:top w:val="none" w:sz="0" w:space="0" w:color="auto"/>
                        <w:left w:val="none" w:sz="0" w:space="0" w:color="auto"/>
                        <w:bottom w:val="none" w:sz="0" w:space="0" w:color="auto"/>
                        <w:right w:val="none" w:sz="0" w:space="0" w:color="auto"/>
                      </w:divBdr>
                      <w:divsChild>
                        <w:div w:id="1029796255">
                          <w:marLeft w:val="0"/>
                          <w:marRight w:val="0"/>
                          <w:marTop w:val="0"/>
                          <w:marBottom w:val="0"/>
                          <w:divBdr>
                            <w:top w:val="none" w:sz="0" w:space="0" w:color="auto"/>
                            <w:left w:val="none" w:sz="0" w:space="0" w:color="auto"/>
                            <w:bottom w:val="none" w:sz="0" w:space="0" w:color="auto"/>
                            <w:right w:val="none" w:sz="0" w:space="0" w:color="auto"/>
                          </w:divBdr>
                          <w:divsChild>
                            <w:div w:id="550002830">
                              <w:marLeft w:val="570"/>
                              <w:marRight w:val="720"/>
                              <w:marTop w:val="120"/>
                              <w:marBottom w:val="120"/>
                              <w:divBdr>
                                <w:top w:val="none" w:sz="0" w:space="0" w:color="auto"/>
                                <w:left w:val="none" w:sz="0" w:space="0" w:color="auto"/>
                                <w:bottom w:val="none" w:sz="0" w:space="0" w:color="auto"/>
                                <w:right w:val="none" w:sz="0" w:space="0" w:color="auto"/>
                              </w:divBdr>
                              <w:divsChild>
                                <w:div w:id="1624648337">
                                  <w:marLeft w:val="0"/>
                                  <w:marRight w:val="0"/>
                                  <w:marTop w:val="0"/>
                                  <w:marBottom w:val="0"/>
                                  <w:divBdr>
                                    <w:top w:val="none" w:sz="0" w:space="0" w:color="auto"/>
                                    <w:left w:val="none" w:sz="0" w:space="0" w:color="auto"/>
                                    <w:bottom w:val="none" w:sz="0" w:space="0" w:color="auto"/>
                                    <w:right w:val="none" w:sz="0" w:space="0" w:color="auto"/>
                                  </w:divBdr>
                                  <w:divsChild>
                                    <w:div w:id="1611858820">
                                      <w:marLeft w:val="0"/>
                                      <w:marRight w:val="0"/>
                                      <w:marTop w:val="0"/>
                                      <w:marBottom w:val="0"/>
                                      <w:divBdr>
                                        <w:top w:val="none" w:sz="0" w:space="0" w:color="auto"/>
                                        <w:left w:val="none" w:sz="0" w:space="0" w:color="auto"/>
                                        <w:bottom w:val="none" w:sz="0" w:space="0" w:color="auto"/>
                                        <w:right w:val="none" w:sz="0" w:space="0" w:color="auto"/>
                                      </w:divBdr>
                                      <w:divsChild>
                                        <w:div w:id="1715039522">
                                          <w:marLeft w:val="0"/>
                                          <w:marRight w:val="0"/>
                                          <w:marTop w:val="0"/>
                                          <w:marBottom w:val="0"/>
                                          <w:divBdr>
                                            <w:top w:val="none" w:sz="0" w:space="0" w:color="auto"/>
                                            <w:left w:val="none" w:sz="0" w:space="0" w:color="auto"/>
                                            <w:bottom w:val="none" w:sz="0" w:space="0" w:color="auto"/>
                                            <w:right w:val="none" w:sz="0" w:space="0" w:color="auto"/>
                                          </w:divBdr>
                                        </w:div>
                                        <w:div w:id="1766805619">
                                          <w:marLeft w:val="0"/>
                                          <w:marRight w:val="0"/>
                                          <w:marTop w:val="0"/>
                                          <w:marBottom w:val="150"/>
                                          <w:divBdr>
                                            <w:top w:val="none" w:sz="0" w:space="0" w:color="auto"/>
                                            <w:left w:val="none" w:sz="0" w:space="0" w:color="auto"/>
                                            <w:bottom w:val="none" w:sz="0" w:space="0" w:color="auto"/>
                                            <w:right w:val="none" w:sz="0" w:space="0" w:color="auto"/>
                                          </w:divBdr>
                                          <w:divsChild>
                                            <w:div w:id="1770001735">
                                              <w:marLeft w:val="0"/>
                                              <w:marRight w:val="0"/>
                                              <w:marTop w:val="240"/>
                                              <w:marBottom w:val="240"/>
                                              <w:divBdr>
                                                <w:top w:val="single" w:sz="6" w:space="6" w:color="F2F2F2"/>
                                                <w:left w:val="none" w:sz="0" w:space="0" w:color="auto"/>
                                                <w:bottom w:val="single" w:sz="6" w:space="6" w:color="F2F2F2"/>
                                                <w:right w:val="none" w:sz="0" w:space="0" w:color="auto"/>
                                              </w:divBdr>
                                            </w:div>
                                            <w:div w:id="751393331">
                                              <w:marLeft w:val="0"/>
                                              <w:marRight w:val="0"/>
                                              <w:marTop w:val="0"/>
                                              <w:marBottom w:val="0"/>
                                              <w:divBdr>
                                                <w:top w:val="none" w:sz="0" w:space="0" w:color="auto"/>
                                                <w:left w:val="none" w:sz="0" w:space="0" w:color="auto"/>
                                                <w:bottom w:val="none" w:sz="0" w:space="0" w:color="auto"/>
                                                <w:right w:val="none" w:sz="0" w:space="0" w:color="auto"/>
                                              </w:divBdr>
                                              <w:divsChild>
                                                <w:div w:id="10813720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204993">
      <w:bodyDiv w:val="1"/>
      <w:marLeft w:val="0"/>
      <w:marRight w:val="0"/>
      <w:marTop w:val="0"/>
      <w:marBottom w:val="0"/>
      <w:divBdr>
        <w:top w:val="none" w:sz="0" w:space="0" w:color="auto"/>
        <w:left w:val="none" w:sz="0" w:space="0" w:color="auto"/>
        <w:bottom w:val="none" w:sz="0" w:space="0" w:color="auto"/>
        <w:right w:val="none" w:sz="0" w:space="0" w:color="auto"/>
      </w:divBdr>
    </w:div>
    <w:div w:id="913510042">
      <w:bodyDiv w:val="1"/>
      <w:marLeft w:val="0"/>
      <w:marRight w:val="0"/>
      <w:marTop w:val="0"/>
      <w:marBottom w:val="0"/>
      <w:divBdr>
        <w:top w:val="none" w:sz="0" w:space="0" w:color="auto"/>
        <w:left w:val="none" w:sz="0" w:space="0" w:color="auto"/>
        <w:bottom w:val="none" w:sz="0" w:space="0" w:color="auto"/>
        <w:right w:val="none" w:sz="0" w:space="0" w:color="auto"/>
      </w:divBdr>
    </w:div>
    <w:div w:id="913658338">
      <w:bodyDiv w:val="1"/>
      <w:marLeft w:val="0"/>
      <w:marRight w:val="0"/>
      <w:marTop w:val="0"/>
      <w:marBottom w:val="0"/>
      <w:divBdr>
        <w:top w:val="none" w:sz="0" w:space="0" w:color="auto"/>
        <w:left w:val="none" w:sz="0" w:space="0" w:color="auto"/>
        <w:bottom w:val="none" w:sz="0" w:space="0" w:color="auto"/>
        <w:right w:val="none" w:sz="0" w:space="0" w:color="auto"/>
      </w:divBdr>
    </w:div>
    <w:div w:id="913860872">
      <w:bodyDiv w:val="1"/>
      <w:marLeft w:val="0"/>
      <w:marRight w:val="0"/>
      <w:marTop w:val="0"/>
      <w:marBottom w:val="0"/>
      <w:divBdr>
        <w:top w:val="none" w:sz="0" w:space="0" w:color="auto"/>
        <w:left w:val="none" w:sz="0" w:space="0" w:color="auto"/>
        <w:bottom w:val="none" w:sz="0" w:space="0" w:color="auto"/>
        <w:right w:val="none" w:sz="0" w:space="0" w:color="auto"/>
      </w:divBdr>
      <w:divsChild>
        <w:div w:id="68040119">
          <w:marLeft w:val="0"/>
          <w:marRight w:val="0"/>
          <w:marTop w:val="0"/>
          <w:marBottom w:val="0"/>
          <w:divBdr>
            <w:top w:val="none" w:sz="0" w:space="0" w:color="auto"/>
            <w:left w:val="none" w:sz="0" w:space="0" w:color="auto"/>
            <w:bottom w:val="none" w:sz="0" w:space="0" w:color="auto"/>
            <w:right w:val="none" w:sz="0" w:space="0" w:color="auto"/>
          </w:divBdr>
          <w:divsChild>
            <w:div w:id="69543618">
              <w:marLeft w:val="210"/>
              <w:marRight w:val="0"/>
              <w:marTop w:val="0"/>
              <w:marBottom w:val="0"/>
              <w:divBdr>
                <w:top w:val="none" w:sz="0" w:space="0" w:color="auto"/>
                <w:left w:val="none" w:sz="0" w:space="0" w:color="auto"/>
                <w:bottom w:val="none" w:sz="0" w:space="0" w:color="auto"/>
                <w:right w:val="none" w:sz="0" w:space="0" w:color="auto"/>
              </w:divBdr>
              <w:divsChild>
                <w:div w:id="3574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0971">
      <w:bodyDiv w:val="1"/>
      <w:marLeft w:val="0"/>
      <w:marRight w:val="0"/>
      <w:marTop w:val="0"/>
      <w:marBottom w:val="0"/>
      <w:divBdr>
        <w:top w:val="none" w:sz="0" w:space="0" w:color="auto"/>
        <w:left w:val="none" w:sz="0" w:space="0" w:color="auto"/>
        <w:bottom w:val="none" w:sz="0" w:space="0" w:color="auto"/>
        <w:right w:val="none" w:sz="0" w:space="0" w:color="auto"/>
      </w:divBdr>
      <w:divsChild>
        <w:div w:id="717242627">
          <w:marLeft w:val="0"/>
          <w:marRight w:val="0"/>
          <w:marTop w:val="0"/>
          <w:marBottom w:val="0"/>
          <w:divBdr>
            <w:top w:val="none" w:sz="0" w:space="0" w:color="auto"/>
            <w:left w:val="none" w:sz="0" w:space="0" w:color="auto"/>
            <w:bottom w:val="none" w:sz="0" w:space="0" w:color="auto"/>
            <w:right w:val="none" w:sz="0" w:space="0" w:color="auto"/>
          </w:divBdr>
          <w:divsChild>
            <w:div w:id="1334918756">
              <w:marLeft w:val="0"/>
              <w:marRight w:val="0"/>
              <w:marTop w:val="0"/>
              <w:marBottom w:val="0"/>
              <w:divBdr>
                <w:top w:val="none" w:sz="0" w:space="0" w:color="auto"/>
                <w:left w:val="none" w:sz="0" w:space="0" w:color="auto"/>
                <w:bottom w:val="none" w:sz="0" w:space="0" w:color="auto"/>
                <w:right w:val="none" w:sz="0" w:space="0" w:color="auto"/>
              </w:divBdr>
              <w:divsChild>
                <w:div w:id="1462729091">
                  <w:marLeft w:val="0"/>
                  <w:marRight w:val="0"/>
                  <w:marTop w:val="0"/>
                  <w:marBottom w:val="0"/>
                  <w:divBdr>
                    <w:top w:val="none" w:sz="0" w:space="0" w:color="auto"/>
                    <w:left w:val="none" w:sz="0" w:space="0" w:color="auto"/>
                    <w:bottom w:val="none" w:sz="0" w:space="0" w:color="auto"/>
                    <w:right w:val="none" w:sz="0" w:space="0" w:color="auto"/>
                  </w:divBdr>
                  <w:divsChild>
                    <w:div w:id="328095639">
                      <w:marLeft w:val="0"/>
                      <w:marRight w:val="0"/>
                      <w:marTop w:val="0"/>
                      <w:marBottom w:val="0"/>
                      <w:divBdr>
                        <w:top w:val="none" w:sz="0" w:space="0" w:color="auto"/>
                        <w:left w:val="none" w:sz="0" w:space="0" w:color="auto"/>
                        <w:bottom w:val="none" w:sz="0" w:space="0" w:color="auto"/>
                        <w:right w:val="none" w:sz="0" w:space="0" w:color="auto"/>
                      </w:divBdr>
                      <w:divsChild>
                        <w:div w:id="4043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17033">
      <w:bodyDiv w:val="1"/>
      <w:marLeft w:val="0"/>
      <w:marRight w:val="0"/>
      <w:marTop w:val="0"/>
      <w:marBottom w:val="0"/>
      <w:divBdr>
        <w:top w:val="none" w:sz="0" w:space="0" w:color="auto"/>
        <w:left w:val="none" w:sz="0" w:space="0" w:color="auto"/>
        <w:bottom w:val="none" w:sz="0" w:space="0" w:color="auto"/>
        <w:right w:val="none" w:sz="0" w:space="0" w:color="auto"/>
      </w:divBdr>
      <w:divsChild>
        <w:div w:id="1738505945">
          <w:marLeft w:val="0"/>
          <w:marRight w:val="0"/>
          <w:marTop w:val="0"/>
          <w:marBottom w:val="0"/>
          <w:divBdr>
            <w:top w:val="single" w:sz="2" w:space="0" w:color="ECECEC"/>
            <w:left w:val="single" w:sz="2" w:space="0" w:color="ECECEC"/>
            <w:bottom w:val="single" w:sz="2" w:space="0" w:color="ECECEC"/>
            <w:right w:val="single" w:sz="2" w:space="0" w:color="ECECEC"/>
          </w:divBdr>
          <w:divsChild>
            <w:div w:id="184045947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19348856">
          <w:marLeft w:val="0"/>
          <w:marRight w:val="0"/>
          <w:marTop w:val="0"/>
          <w:marBottom w:val="0"/>
          <w:divBdr>
            <w:top w:val="single" w:sz="2" w:space="0" w:color="ECECEC"/>
            <w:left w:val="single" w:sz="2" w:space="0" w:color="ECECEC"/>
            <w:bottom w:val="single" w:sz="2" w:space="0" w:color="ECECEC"/>
            <w:right w:val="single" w:sz="2" w:space="0" w:color="ECECEC"/>
          </w:divBdr>
        </w:div>
        <w:div w:id="3161338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18101287">
      <w:bodyDiv w:val="1"/>
      <w:marLeft w:val="0"/>
      <w:marRight w:val="0"/>
      <w:marTop w:val="0"/>
      <w:marBottom w:val="0"/>
      <w:divBdr>
        <w:top w:val="none" w:sz="0" w:space="0" w:color="auto"/>
        <w:left w:val="none" w:sz="0" w:space="0" w:color="auto"/>
        <w:bottom w:val="none" w:sz="0" w:space="0" w:color="auto"/>
        <w:right w:val="none" w:sz="0" w:space="0" w:color="auto"/>
      </w:divBdr>
      <w:divsChild>
        <w:div w:id="371000839">
          <w:marLeft w:val="0"/>
          <w:marRight w:val="0"/>
          <w:marTop w:val="0"/>
          <w:marBottom w:val="0"/>
          <w:divBdr>
            <w:top w:val="none" w:sz="0" w:space="0" w:color="auto"/>
            <w:left w:val="none" w:sz="0" w:space="0" w:color="auto"/>
            <w:bottom w:val="none" w:sz="0" w:space="0" w:color="auto"/>
            <w:right w:val="none" w:sz="0" w:space="0" w:color="auto"/>
          </w:divBdr>
          <w:divsChild>
            <w:div w:id="655034085">
              <w:marLeft w:val="0"/>
              <w:marRight w:val="0"/>
              <w:marTop w:val="0"/>
              <w:marBottom w:val="0"/>
              <w:divBdr>
                <w:top w:val="none" w:sz="0" w:space="0" w:color="auto"/>
                <w:left w:val="none" w:sz="0" w:space="0" w:color="auto"/>
                <w:bottom w:val="none" w:sz="0" w:space="0" w:color="auto"/>
                <w:right w:val="none" w:sz="0" w:space="0" w:color="auto"/>
              </w:divBdr>
              <w:divsChild>
                <w:div w:id="329724356">
                  <w:marLeft w:val="0"/>
                  <w:marRight w:val="0"/>
                  <w:marTop w:val="0"/>
                  <w:marBottom w:val="0"/>
                  <w:divBdr>
                    <w:top w:val="none" w:sz="0" w:space="0" w:color="auto"/>
                    <w:left w:val="none" w:sz="0" w:space="0" w:color="auto"/>
                    <w:bottom w:val="none" w:sz="0" w:space="0" w:color="auto"/>
                    <w:right w:val="none" w:sz="0" w:space="0" w:color="auto"/>
                  </w:divBdr>
                </w:div>
                <w:div w:id="14157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2793">
      <w:bodyDiv w:val="1"/>
      <w:marLeft w:val="0"/>
      <w:marRight w:val="0"/>
      <w:marTop w:val="0"/>
      <w:marBottom w:val="0"/>
      <w:divBdr>
        <w:top w:val="none" w:sz="0" w:space="0" w:color="auto"/>
        <w:left w:val="none" w:sz="0" w:space="0" w:color="auto"/>
        <w:bottom w:val="none" w:sz="0" w:space="0" w:color="auto"/>
        <w:right w:val="none" w:sz="0" w:space="0" w:color="auto"/>
      </w:divBdr>
      <w:divsChild>
        <w:div w:id="2061399727">
          <w:marLeft w:val="0"/>
          <w:marRight w:val="0"/>
          <w:marTop w:val="0"/>
          <w:marBottom w:val="0"/>
          <w:divBdr>
            <w:top w:val="single" w:sz="6" w:space="0" w:color="0E477A"/>
            <w:left w:val="single" w:sz="6" w:space="0" w:color="0E477A"/>
            <w:bottom w:val="single" w:sz="6" w:space="0" w:color="0E477A"/>
            <w:right w:val="single" w:sz="6" w:space="0" w:color="0E477A"/>
          </w:divBdr>
          <w:divsChild>
            <w:div w:id="557590450">
              <w:marLeft w:val="0"/>
              <w:marRight w:val="0"/>
              <w:marTop w:val="0"/>
              <w:marBottom w:val="0"/>
              <w:divBdr>
                <w:top w:val="none" w:sz="0" w:space="0" w:color="auto"/>
                <w:left w:val="none" w:sz="0" w:space="0" w:color="auto"/>
                <w:bottom w:val="none" w:sz="0" w:space="0" w:color="auto"/>
                <w:right w:val="none" w:sz="0" w:space="0" w:color="auto"/>
              </w:divBdr>
              <w:divsChild>
                <w:div w:id="343555234">
                  <w:marLeft w:val="0"/>
                  <w:marRight w:val="0"/>
                  <w:marTop w:val="0"/>
                  <w:marBottom w:val="0"/>
                  <w:divBdr>
                    <w:top w:val="none" w:sz="0" w:space="0" w:color="auto"/>
                    <w:left w:val="none" w:sz="0" w:space="0" w:color="auto"/>
                    <w:bottom w:val="none" w:sz="0" w:space="0" w:color="auto"/>
                    <w:right w:val="none" w:sz="0" w:space="0" w:color="auto"/>
                  </w:divBdr>
                  <w:divsChild>
                    <w:div w:id="1096899858">
                      <w:marLeft w:val="0"/>
                      <w:marRight w:val="0"/>
                      <w:marTop w:val="0"/>
                      <w:marBottom w:val="0"/>
                      <w:divBdr>
                        <w:top w:val="none" w:sz="0" w:space="0" w:color="auto"/>
                        <w:left w:val="none" w:sz="0" w:space="0" w:color="auto"/>
                        <w:bottom w:val="none" w:sz="0" w:space="0" w:color="auto"/>
                        <w:right w:val="none" w:sz="0" w:space="0" w:color="auto"/>
                      </w:divBdr>
                      <w:divsChild>
                        <w:div w:id="1164203209">
                          <w:marLeft w:val="0"/>
                          <w:marRight w:val="0"/>
                          <w:marTop w:val="0"/>
                          <w:marBottom w:val="0"/>
                          <w:divBdr>
                            <w:top w:val="none" w:sz="0" w:space="0" w:color="auto"/>
                            <w:left w:val="none" w:sz="0" w:space="0" w:color="auto"/>
                            <w:bottom w:val="none" w:sz="0" w:space="0" w:color="auto"/>
                            <w:right w:val="none" w:sz="0" w:space="0" w:color="auto"/>
                          </w:divBdr>
                          <w:divsChild>
                            <w:div w:id="387532296">
                              <w:marLeft w:val="0"/>
                              <w:marRight w:val="0"/>
                              <w:marTop w:val="0"/>
                              <w:marBottom w:val="0"/>
                              <w:divBdr>
                                <w:top w:val="none" w:sz="0" w:space="0" w:color="auto"/>
                                <w:left w:val="none" w:sz="0" w:space="0" w:color="auto"/>
                                <w:bottom w:val="none" w:sz="0" w:space="0" w:color="auto"/>
                                <w:right w:val="none" w:sz="0" w:space="0" w:color="auto"/>
                              </w:divBdr>
                              <w:divsChild>
                                <w:div w:id="1193154922">
                                  <w:marLeft w:val="0"/>
                                  <w:marRight w:val="0"/>
                                  <w:marTop w:val="0"/>
                                  <w:marBottom w:val="0"/>
                                  <w:divBdr>
                                    <w:top w:val="none" w:sz="0" w:space="0" w:color="auto"/>
                                    <w:left w:val="none" w:sz="0" w:space="0" w:color="auto"/>
                                    <w:bottom w:val="none" w:sz="0" w:space="0" w:color="auto"/>
                                    <w:right w:val="none" w:sz="0" w:space="0" w:color="auto"/>
                                  </w:divBdr>
                                  <w:divsChild>
                                    <w:div w:id="2083332690">
                                      <w:marLeft w:val="0"/>
                                      <w:marRight w:val="0"/>
                                      <w:marTop w:val="0"/>
                                      <w:marBottom w:val="0"/>
                                      <w:divBdr>
                                        <w:top w:val="none" w:sz="0" w:space="0" w:color="auto"/>
                                        <w:left w:val="none" w:sz="0" w:space="0" w:color="auto"/>
                                        <w:bottom w:val="none" w:sz="0" w:space="0" w:color="auto"/>
                                        <w:right w:val="none" w:sz="0" w:space="0" w:color="auto"/>
                                      </w:divBdr>
                                      <w:divsChild>
                                        <w:div w:id="126167675">
                                          <w:marLeft w:val="0"/>
                                          <w:marRight w:val="0"/>
                                          <w:marTop w:val="0"/>
                                          <w:marBottom w:val="0"/>
                                          <w:divBdr>
                                            <w:top w:val="none" w:sz="0" w:space="0" w:color="auto"/>
                                            <w:left w:val="none" w:sz="0" w:space="0" w:color="auto"/>
                                            <w:bottom w:val="none" w:sz="0" w:space="0" w:color="auto"/>
                                            <w:right w:val="none" w:sz="0" w:space="0" w:color="auto"/>
                                          </w:divBdr>
                                          <w:divsChild>
                                            <w:div w:id="577636202">
                                              <w:marLeft w:val="0"/>
                                              <w:marRight w:val="0"/>
                                              <w:marTop w:val="0"/>
                                              <w:marBottom w:val="0"/>
                                              <w:divBdr>
                                                <w:top w:val="none" w:sz="0" w:space="0" w:color="auto"/>
                                                <w:left w:val="none" w:sz="0" w:space="0" w:color="auto"/>
                                                <w:bottom w:val="none" w:sz="0" w:space="0" w:color="auto"/>
                                                <w:right w:val="none" w:sz="0" w:space="0" w:color="auto"/>
                                              </w:divBdr>
                                              <w:divsChild>
                                                <w:div w:id="8992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7372">
                                          <w:marLeft w:val="0"/>
                                          <w:marRight w:val="0"/>
                                          <w:marTop w:val="0"/>
                                          <w:marBottom w:val="0"/>
                                          <w:divBdr>
                                            <w:top w:val="none" w:sz="0" w:space="0" w:color="auto"/>
                                            <w:left w:val="none" w:sz="0" w:space="0" w:color="auto"/>
                                            <w:bottom w:val="none" w:sz="0" w:space="0" w:color="auto"/>
                                            <w:right w:val="none" w:sz="0" w:space="0" w:color="auto"/>
                                          </w:divBdr>
                                          <w:divsChild>
                                            <w:div w:id="199785228">
                                              <w:marLeft w:val="0"/>
                                              <w:marRight w:val="0"/>
                                              <w:marTop w:val="0"/>
                                              <w:marBottom w:val="0"/>
                                              <w:divBdr>
                                                <w:top w:val="none" w:sz="0" w:space="0" w:color="auto"/>
                                                <w:left w:val="none" w:sz="0" w:space="0" w:color="auto"/>
                                                <w:bottom w:val="none" w:sz="0" w:space="0" w:color="auto"/>
                                                <w:right w:val="none" w:sz="0" w:space="0" w:color="auto"/>
                                              </w:divBdr>
                                              <w:divsChild>
                                                <w:div w:id="11790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216089">
      <w:bodyDiv w:val="1"/>
      <w:marLeft w:val="0"/>
      <w:marRight w:val="0"/>
      <w:marTop w:val="0"/>
      <w:marBottom w:val="0"/>
      <w:divBdr>
        <w:top w:val="none" w:sz="0" w:space="0" w:color="auto"/>
        <w:left w:val="none" w:sz="0" w:space="0" w:color="auto"/>
        <w:bottom w:val="none" w:sz="0" w:space="0" w:color="auto"/>
        <w:right w:val="none" w:sz="0" w:space="0" w:color="auto"/>
      </w:divBdr>
      <w:divsChild>
        <w:div w:id="753402141">
          <w:marLeft w:val="0"/>
          <w:marRight w:val="0"/>
          <w:marTop w:val="0"/>
          <w:marBottom w:val="0"/>
          <w:divBdr>
            <w:top w:val="none" w:sz="0" w:space="0" w:color="auto"/>
            <w:left w:val="none" w:sz="0" w:space="0" w:color="auto"/>
            <w:bottom w:val="none" w:sz="0" w:space="0" w:color="auto"/>
            <w:right w:val="none" w:sz="0" w:space="0" w:color="auto"/>
          </w:divBdr>
          <w:divsChild>
            <w:div w:id="335965096">
              <w:marLeft w:val="0"/>
              <w:marRight w:val="0"/>
              <w:marTop w:val="0"/>
              <w:marBottom w:val="0"/>
              <w:divBdr>
                <w:top w:val="none" w:sz="0" w:space="0" w:color="auto"/>
                <w:left w:val="none" w:sz="0" w:space="0" w:color="auto"/>
                <w:bottom w:val="none" w:sz="0" w:space="0" w:color="auto"/>
                <w:right w:val="none" w:sz="0" w:space="0" w:color="auto"/>
              </w:divBdr>
              <w:divsChild>
                <w:div w:id="664868539">
                  <w:marLeft w:val="0"/>
                  <w:marRight w:val="0"/>
                  <w:marTop w:val="0"/>
                  <w:marBottom w:val="0"/>
                  <w:divBdr>
                    <w:top w:val="none" w:sz="0" w:space="0" w:color="auto"/>
                    <w:left w:val="none" w:sz="0" w:space="0" w:color="auto"/>
                    <w:bottom w:val="none" w:sz="0" w:space="0" w:color="auto"/>
                    <w:right w:val="none" w:sz="0" w:space="0" w:color="auto"/>
                  </w:divBdr>
                  <w:divsChild>
                    <w:div w:id="373388924">
                      <w:marLeft w:val="0"/>
                      <w:marRight w:val="0"/>
                      <w:marTop w:val="0"/>
                      <w:marBottom w:val="0"/>
                      <w:divBdr>
                        <w:top w:val="none" w:sz="0" w:space="0" w:color="auto"/>
                        <w:left w:val="none" w:sz="0" w:space="0" w:color="auto"/>
                        <w:bottom w:val="none" w:sz="0" w:space="0" w:color="auto"/>
                        <w:right w:val="none" w:sz="0" w:space="0" w:color="auto"/>
                      </w:divBdr>
                      <w:divsChild>
                        <w:div w:id="482357659">
                          <w:marLeft w:val="0"/>
                          <w:marRight w:val="0"/>
                          <w:marTop w:val="0"/>
                          <w:marBottom w:val="0"/>
                          <w:divBdr>
                            <w:top w:val="none" w:sz="0" w:space="0" w:color="auto"/>
                            <w:left w:val="none" w:sz="0" w:space="0" w:color="auto"/>
                            <w:bottom w:val="single" w:sz="6" w:space="15" w:color="CCCCCC"/>
                            <w:right w:val="none" w:sz="0" w:space="0" w:color="auto"/>
                          </w:divBdr>
                          <w:divsChild>
                            <w:div w:id="699284134">
                              <w:marLeft w:val="0"/>
                              <w:marRight w:val="0"/>
                              <w:marTop w:val="0"/>
                              <w:marBottom w:val="0"/>
                              <w:divBdr>
                                <w:top w:val="none" w:sz="0" w:space="0" w:color="auto"/>
                                <w:left w:val="none" w:sz="0" w:space="0" w:color="auto"/>
                                <w:bottom w:val="none" w:sz="0" w:space="0" w:color="auto"/>
                                <w:right w:val="none" w:sz="0" w:space="0" w:color="auto"/>
                              </w:divBdr>
                              <w:divsChild>
                                <w:div w:id="2097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799626">
      <w:bodyDiv w:val="1"/>
      <w:marLeft w:val="0"/>
      <w:marRight w:val="0"/>
      <w:marTop w:val="0"/>
      <w:marBottom w:val="0"/>
      <w:divBdr>
        <w:top w:val="none" w:sz="0" w:space="0" w:color="auto"/>
        <w:left w:val="none" w:sz="0" w:space="0" w:color="auto"/>
        <w:bottom w:val="none" w:sz="0" w:space="0" w:color="auto"/>
        <w:right w:val="none" w:sz="0" w:space="0" w:color="auto"/>
      </w:divBdr>
      <w:divsChild>
        <w:div w:id="1112018152">
          <w:marLeft w:val="0"/>
          <w:marRight w:val="0"/>
          <w:marTop w:val="0"/>
          <w:marBottom w:val="0"/>
          <w:divBdr>
            <w:top w:val="none" w:sz="0" w:space="0" w:color="auto"/>
            <w:left w:val="none" w:sz="0" w:space="0" w:color="auto"/>
            <w:bottom w:val="none" w:sz="0" w:space="0" w:color="auto"/>
            <w:right w:val="none" w:sz="0" w:space="0" w:color="auto"/>
          </w:divBdr>
          <w:divsChild>
            <w:div w:id="1166475392">
              <w:marLeft w:val="0"/>
              <w:marRight w:val="0"/>
              <w:marTop w:val="0"/>
              <w:marBottom w:val="0"/>
              <w:divBdr>
                <w:top w:val="none" w:sz="0" w:space="0" w:color="auto"/>
                <w:left w:val="none" w:sz="0" w:space="0" w:color="auto"/>
                <w:bottom w:val="none" w:sz="0" w:space="0" w:color="auto"/>
                <w:right w:val="none" w:sz="0" w:space="0" w:color="auto"/>
              </w:divBdr>
              <w:divsChild>
                <w:div w:id="1288388514">
                  <w:marLeft w:val="-375"/>
                  <w:marRight w:val="0"/>
                  <w:marTop w:val="0"/>
                  <w:marBottom w:val="0"/>
                  <w:divBdr>
                    <w:top w:val="none" w:sz="0" w:space="0" w:color="auto"/>
                    <w:left w:val="none" w:sz="0" w:space="0" w:color="auto"/>
                    <w:bottom w:val="none" w:sz="0" w:space="0" w:color="auto"/>
                    <w:right w:val="none" w:sz="0" w:space="0" w:color="auto"/>
                  </w:divBdr>
                  <w:divsChild>
                    <w:div w:id="497891798">
                      <w:marLeft w:val="0"/>
                      <w:marRight w:val="0"/>
                      <w:marTop w:val="0"/>
                      <w:marBottom w:val="0"/>
                      <w:divBdr>
                        <w:top w:val="none" w:sz="0" w:space="0" w:color="auto"/>
                        <w:left w:val="none" w:sz="0" w:space="0" w:color="auto"/>
                        <w:bottom w:val="none" w:sz="0" w:space="0" w:color="auto"/>
                        <w:right w:val="none" w:sz="0" w:space="0" w:color="auto"/>
                      </w:divBdr>
                      <w:divsChild>
                        <w:div w:id="753935807">
                          <w:marLeft w:val="0"/>
                          <w:marRight w:val="0"/>
                          <w:marTop w:val="0"/>
                          <w:marBottom w:val="0"/>
                          <w:divBdr>
                            <w:top w:val="none" w:sz="0" w:space="0" w:color="auto"/>
                            <w:left w:val="none" w:sz="0" w:space="0" w:color="auto"/>
                            <w:bottom w:val="none" w:sz="0" w:space="0" w:color="auto"/>
                            <w:right w:val="none" w:sz="0" w:space="0" w:color="auto"/>
                          </w:divBdr>
                          <w:divsChild>
                            <w:div w:id="8449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372829">
      <w:bodyDiv w:val="1"/>
      <w:marLeft w:val="0"/>
      <w:marRight w:val="0"/>
      <w:marTop w:val="0"/>
      <w:marBottom w:val="0"/>
      <w:divBdr>
        <w:top w:val="none" w:sz="0" w:space="0" w:color="auto"/>
        <w:left w:val="none" w:sz="0" w:space="0" w:color="auto"/>
        <w:bottom w:val="none" w:sz="0" w:space="0" w:color="auto"/>
        <w:right w:val="none" w:sz="0" w:space="0" w:color="auto"/>
      </w:divBdr>
      <w:divsChild>
        <w:div w:id="678854623">
          <w:marLeft w:val="0"/>
          <w:marRight w:val="0"/>
          <w:marTop w:val="0"/>
          <w:marBottom w:val="0"/>
          <w:divBdr>
            <w:top w:val="none" w:sz="0" w:space="0" w:color="auto"/>
            <w:left w:val="none" w:sz="0" w:space="0" w:color="auto"/>
            <w:bottom w:val="none" w:sz="0" w:space="0" w:color="auto"/>
            <w:right w:val="none" w:sz="0" w:space="0" w:color="auto"/>
          </w:divBdr>
          <w:divsChild>
            <w:div w:id="77488729">
              <w:marLeft w:val="0"/>
              <w:marRight w:val="0"/>
              <w:marTop w:val="0"/>
              <w:marBottom w:val="0"/>
              <w:divBdr>
                <w:top w:val="none" w:sz="0" w:space="0" w:color="auto"/>
                <w:left w:val="none" w:sz="0" w:space="0" w:color="auto"/>
                <w:bottom w:val="none" w:sz="0" w:space="0" w:color="auto"/>
                <w:right w:val="none" w:sz="0" w:space="0" w:color="auto"/>
              </w:divBdr>
              <w:divsChild>
                <w:div w:id="1320226607">
                  <w:marLeft w:val="0"/>
                  <w:marRight w:val="0"/>
                  <w:marTop w:val="0"/>
                  <w:marBottom w:val="0"/>
                  <w:divBdr>
                    <w:top w:val="none" w:sz="0" w:space="0" w:color="auto"/>
                    <w:left w:val="none" w:sz="0" w:space="0" w:color="auto"/>
                    <w:bottom w:val="none" w:sz="0" w:space="0" w:color="auto"/>
                    <w:right w:val="none" w:sz="0" w:space="0" w:color="auto"/>
                  </w:divBdr>
                  <w:divsChild>
                    <w:div w:id="99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224624">
      <w:bodyDiv w:val="1"/>
      <w:marLeft w:val="0"/>
      <w:marRight w:val="0"/>
      <w:marTop w:val="0"/>
      <w:marBottom w:val="0"/>
      <w:divBdr>
        <w:top w:val="none" w:sz="0" w:space="0" w:color="auto"/>
        <w:left w:val="none" w:sz="0" w:space="0" w:color="auto"/>
        <w:bottom w:val="none" w:sz="0" w:space="0" w:color="auto"/>
        <w:right w:val="none" w:sz="0" w:space="0" w:color="auto"/>
      </w:divBdr>
    </w:div>
    <w:div w:id="922647547">
      <w:bodyDiv w:val="1"/>
      <w:marLeft w:val="0"/>
      <w:marRight w:val="0"/>
      <w:marTop w:val="0"/>
      <w:marBottom w:val="0"/>
      <w:divBdr>
        <w:top w:val="none" w:sz="0" w:space="0" w:color="auto"/>
        <w:left w:val="none" w:sz="0" w:space="0" w:color="auto"/>
        <w:bottom w:val="none" w:sz="0" w:space="0" w:color="auto"/>
        <w:right w:val="none" w:sz="0" w:space="0" w:color="auto"/>
      </w:divBdr>
    </w:div>
    <w:div w:id="923759983">
      <w:bodyDiv w:val="1"/>
      <w:marLeft w:val="0"/>
      <w:marRight w:val="0"/>
      <w:marTop w:val="0"/>
      <w:marBottom w:val="0"/>
      <w:divBdr>
        <w:top w:val="none" w:sz="0" w:space="0" w:color="auto"/>
        <w:left w:val="none" w:sz="0" w:space="0" w:color="auto"/>
        <w:bottom w:val="none" w:sz="0" w:space="0" w:color="auto"/>
        <w:right w:val="none" w:sz="0" w:space="0" w:color="auto"/>
      </w:divBdr>
      <w:divsChild>
        <w:div w:id="252010170">
          <w:marLeft w:val="0"/>
          <w:marRight w:val="0"/>
          <w:marTop w:val="0"/>
          <w:marBottom w:val="0"/>
          <w:divBdr>
            <w:top w:val="none" w:sz="0" w:space="0" w:color="auto"/>
            <w:left w:val="none" w:sz="0" w:space="0" w:color="auto"/>
            <w:bottom w:val="none" w:sz="0" w:space="0" w:color="auto"/>
            <w:right w:val="none" w:sz="0" w:space="0" w:color="auto"/>
          </w:divBdr>
          <w:divsChild>
            <w:div w:id="1637493373">
              <w:marLeft w:val="0"/>
              <w:marRight w:val="0"/>
              <w:marTop w:val="0"/>
              <w:marBottom w:val="0"/>
              <w:divBdr>
                <w:top w:val="none" w:sz="0" w:space="0" w:color="auto"/>
                <w:left w:val="none" w:sz="0" w:space="0" w:color="auto"/>
                <w:bottom w:val="none" w:sz="0" w:space="0" w:color="auto"/>
                <w:right w:val="none" w:sz="0" w:space="0" w:color="auto"/>
              </w:divBdr>
              <w:divsChild>
                <w:div w:id="1177959070">
                  <w:marLeft w:val="0"/>
                  <w:marRight w:val="0"/>
                  <w:marTop w:val="0"/>
                  <w:marBottom w:val="0"/>
                  <w:divBdr>
                    <w:top w:val="none" w:sz="0" w:space="0" w:color="auto"/>
                    <w:left w:val="none" w:sz="0" w:space="0" w:color="auto"/>
                    <w:bottom w:val="none" w:sz="0" w:space="0" w:color="auto"/>
                    <w:right w:val="none" w:sz="0" w:space="0" w:color="auto"/>
                  </w:divBdr>
                  <w:divsChild>
                    <w:div w:id="1338120676">
                      <w:marLeft w:val="0"/>
                      <w:marRight w:val="0"/>
                      <w:marTop w:val="0"/>
                      <w:marBottom w:val="0"/>
                      <w:divBdr>
                        <w:top w:val="none" w:sz="0" w:space="0" w:color="auto"/>
                        <w:left w:val="none" w:sz="0" w:space="0" w:color="auto"/>
                        <w:bottom w:val="none" w:sz="0" w:space="0" w:color="auto"/>
                        <w:right w:val="none" w:sz="0" w:space="0" w:color="auto"/>
                      </w:divBdr>
                      <w:divsChild>
                        <w:div w:id="15482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760730">
      <w:bodyDiv w:val="1"/>
      <w:marLeft w:val="0"/>
      <w:marRight w:val="0"/>
      <w:marTop w:val="0"/>
      <w:marBottom w:val="0"/>
      <w:divBdr>
        <w:top w:val="none" w:sz="0" w:space="0" w:color="auto"/>
        <w:left w:val="none" w:sz="0" w:space="0" w:color="auto"/>
        <w:bottom w:val="none" w:sz="0" w:space="0" w:color="auto"/>
        <w:right w:val="none" w:sz="0" w:space="0" w:color="auto"/>
      </w:divBdr>
      <w:divsChild>
        <w:div w:id="1271668623">
          <w:marLeft w:val="0"/>
          <w:marRight w:val="0"/>
          <w:marTop w:val="0"/>
          <w:marBottom w:val="0"/>
          <w:divBdr>
            <w:top w:val="none" w:sz="0" w:space="0" w:color="auto"/>
            <w:left w:val="none" w:sz="0" w:space="0" w:color="auto"/>
            <w:bottom w:val="none" w:sz="0" w:space="0" w:color="auto"/>
            <w:right w:val="none" w:sz="0" w:space="0" w:color="auto"/>
          </w:divBdr>
        </w:div>
      </w:divsChild>
    </w:div>
    <w:div w:id="926039149">
      <w:bodyDiv w:val="1"/>
      <w:marLeft w:val="0"/>
      <w:marRight w:val="0"/>
      <w:marTop w:val="0"/>
      <w:marBottom w:val="0"/>
      <w:divBdr>
        <w:top w:val="none" w:sz="0" w:space="0" w:color="auto"/>
        <w:left w:val="none" w:sz="0" w:space="0" w:color="auto"/>
        <w:bottom w:val="none" w:sz="0" w:space="0" w:color="auto"/>
        <w:right w:val="none" w:sz="0" w:space="0" w:color="auto"/>
      </w:divBdr>
      <w:divsChild>
        <w:div w:id="1749306491">
          <w:marLeft w:val="0"/>
          <w:marRight w:val="0"/>
          <w:marTop w:val="0"/>
          <w:marBottom w:val="0"/>
          <w:divBdr>
            <w:top w:val="none" w:sz="0" w:space="0" w:color="auto"/>
            <w:left w:val="none" w:sz="0" w:space="0" w:color="auto"/>
            <w:bottom w:val="none" w:sz="0" w:space="0" w:color="auto"/>
            <w:right w:val="none" w:sz="0" w:space="0" w:color="auto"/>
          </w:divBdr>
          <w:divsChild>
            <w:div w:id="1782802455">
              <w:marLeft w:val="0"/>
              <w:marRight w:val="0"/>
              <w:marTop w:val="0"/>
              <w:marBottom w:val="0"/>
              <w:divBdr>
                <w:top w:val="none" w:sz="0" w:space="0" w:color="auto"/>
                <w:left w:val="none" w:sz="0" w:space="0" w:color="auto"/>
                <w:bottom w:val="none" w:sz="0" w:space="0" w:color="auto"/>
                <w:right w:val="none" w:sz="0" w:space="0" w:color="auto"/>
              </w:divBdr>
              <w:divsChild>
                <w:div w:id="922686822">
                  <w:marLeft w:val="0"/>
                  <w:marRight w:val="0"/>
                  <w:marTop w:val="100"/>
                  <w:marBottom w:val="100"/>
                  <w:divBdr>
                    <w:top w:val="none" w:sz="0" w:space="0" w:color="auto"/>
                    <w:left w:val="none" w:sz="0" w:space="0" w:color="auto"/>
                    <w:bottom w:val="none" w:sz="0" w:space="0" w:color="auto"/>
                    <w:right w:val="none" w:sz="0" w:space="0" w:color="auto"/>
                  </w:divBdr>
                  <w:divsChild>
                    <w:div w:id="1127746579">
                      <w:marLeft w:val="0"/>
                      <w:marRight w:val="0"/>
                      <w:marTop w:val="0"/>
                      <w:marBottom w:val="0"/>
                      <w:divBdr>
                        <w:top w:val="none" w:sz="0" w:space="0" w:color="auto"/>
                        <w:left w:val="none" w:sz="0" w:space="0" w:color="auto"/>
                        <w:bottom w:val="none" w:sz="0" w:space="0" w:color="auto"/>
                        <w:right w:val="none" w:sz="0" w:space="0" w:color="auto"/>
                      </w:divBdr>
                      <w:divsChild>
                        <w:div w:id="1487555911">
                          <w:marLeft w:val="0"/>
                          <w:marRight w:val="0"/>
                          <w:marTop w:val="0"/>
                          <w:marBottom w:val="0"/>
                          <w:divBdr>
                            <w:top w:val="none" w:sz="0" w:space="0" w:color="auto"/>
                            <w:left w:val="none" w:sz="0" w:space="0" w:color="auto"/>
                            <w:bottom w:val="none" w:sz="0" w:space="0" w:color="auto"/>
                            <w:right w:val="none" w:sz="0" w:space="0" w:color="auto"/>
                          </w:divBdr>
                          <w:divsChild>
                            <w:div w:id="281962619">
                              <w:marLeft w:val="0"/>
                              <w:marRight w:val="0"/>
                              <w:marTop w:val="0"/>
                              <w:marBottom w:val="0"/>
                              <w:divBdr>
                                <w:top w:val="none" w:sz="0" w:space="0" w:color="auto"/>
                                <w:left w:val="none" w:sz="0" w:space="0" w:color="auto"/>
                                <w:bottom w:val="none" w:sz="0" w:space="0" w:color="auto"/>
                                <w:right w:val="none" w:sz="0" w:space="0" w:color="auto"/>
                              </w:divBdr>
                              <w:divsChild>
                                <w:div w:id="1624114046">
                                  <w:marLeft w:val="0"/>
                                  <w:marRight w:val="0"/>
                                  <w:marTop w:val="0"/>
                                  <w:marBottom w:val="0"/>
                                  <w:divBdr>
                                    <w:top w:val="none" w:sz="0" w:space="0" w:color="auto"/>
                                    <w:left w:val="none" w:sz="0" w:space="0" w:color="auto"/>
                                    <w:bottom w:val="none" w:sz="0" w:space="0" w:color="auto"/>
                                    <w:right w:val="none" w:sz="0" w:space="0" w:color="auto"/>
                                  </w:divBdr>
                                  <w:divsChild>
                                    <w:div w:id="20312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693323">
      <w:bodyDiv w:val="1"/>
      <w:marLeft w:val="0"/>
      <w:marRight w:val="0"/>
      <w:marTop w:val="0"/>
      <w:marBottom w:val="0"/>
      <w:divBdr>
        <w:top w:val="none" w:sz="0" w:space="0" w:color="auto"/>
        <w:left w:val="none" w:sz="0" w:space="0" w:color="auto"/>
        <w:bottom w:val="none" w:sz="0" w:space="0" w:color="auto"/>
        <w:right w:val="none" w:sz="0" w:space="0" w:color="auto"/>
      </w:divBdr>
      <w:divsChild>
        <w:div w:id="1535387085">
          <w:marLeft w:val="0"/>
          <w:marRight w:val="0"/>
          <w:marTop w:val="0"/>
          <w:marBottom w:val="0"/>
          <w:divBdr>
            <w:top w:val="none" w:sz="0" w:space="0" w:color="auto"/>
            <w:left w:val="none" w:sz="0" w:space="0" w:color="auto"/>
            <w:bottom w:val="none" w:sz="0" w:space="0" w:color="auto"/>
            <w:right w:val="none" w:sz="0" w:space="0" w:color="auto"/>
          </w:divBdr>
        </w:div>
      </w:divsChild>
    </w:div>
    <w:div w:id="928540862">
      <w:bodyDiv w:val="1"/>
      <w:marLeft w:val="0"/>
      <w:marRight w:val="0"/>
      <w:marTop w:val="0"/>
      <w:marBottom w:val="0"/>
      <w:divBdr>
        <w:top w:val="none" w:sz="0" w:space="0" w:color="auto"/>
        <w:left w:val="none" w:sz="0" w:space="0" w:color="auto"/>
        <w:bottom w:val="none" w:sz="0" w:space="0" w:color="auto"/>
        <w:right w:val="none" w:sz="0" w:space="0" w:color="auto"/>
      </w:divBdr>
      <w:divsChild>
        <w:div w:id="712116346">
          <w:marLeft w:val="0"/>
          <w:marRight w:val="0"/>
          <w:marTop w:val="0"/>
          <w:marBottom w:val="0"/>
          <w:divBdr>
            <w:top w:val="none" w:sz="0" w:space="0" w:color="auto"/>
            <w:left w:val="none" w:sz="0" w:space="0" w:color="auto"/>
            <w:bottom w:val="none" w:sz="0" w:space="0" w:color="auto"/>
            <w:right w:val="none" w:sz="0" w:space="0" w:color="auto"/>
          </w:divBdr>
          <w:divsChild>
            <w:div w:id="2083064874">
              <w:marLeft w:val="0"/>
              <w:marRight w:val="0"/>
              <w:marTop w:val="0"/>
              <w:marBottom w:val="0"/>
              <w:divBdr>
                <w:top w:val="none" w:sz="0" w:space="0" w:color="auto"/>
                <w:left w:val="none" w:sz="0" w:space="0" w:color="auto"/>
                <w:bottom w:val="none" w:sz="0" w:space="0" w:color="auto"/>
                <w:right w:val="none" w:sz="0" w:space="0" w:color="auto"/>
              </w:divBdr>
              <w:divsChild>
                <w:div w:id="645281482">
                  <w:marLeft w:val="0"/>
                  <w:marRight w:val="0"/>
                  <w:marTop w:val="0"/>
                  <w:marBottom w:val="0"/>
                  <w:divBdr>
                    <w:top w:val="none" w:sz="0" w:space="0" w:color="auto"/>
                    <w:left w:val="none" w:sz="0" w:space="0" w:color="auto"/>
                    <w:bottom w:val="none" w:sz="0" w:space="0" w:color="auto"/>
                    <w:right w:val="none" w:sz="0" w:space="0" w:color="auto"/>
                  </w:divBdr>
                  <w:divsChild>
                    <w:div w:id="600603207">
                      <w:marLeft w:val="0"/>
                      <w:marRight w:val="0"/>
                      <w:marTop w:val="0"/>
                      <w:marBottom w:val="0"/>
                      <w:divBdr>
                        <w:top w:val="none" w:sz="0" w:space="0" w:color="auto"/>
                        <w:left w:val="none" w:sz="0" w:space="0" w:color="auto"/>
                        <w:bottom w:val="none" w:sz="0" w:space="0" w:color="auto"/>
                        <w:right w:val="none" w:sz="0" w:space="0" w:color="auto"/>
                      </w:divBdr>
                      <w:divsChild>
                        <w:div w:id="777873710">
                          <w:marLeft w:val="0"/>
                          <w:marRight w:val="0"/>
                          <w:marTop w:val="0"/>
                          <w:marBottom w:val="0"/>
                          <w:divBdr>
                            <w:top w:val="none" w:sz="0" w:space="0" w:color="auto"/>
                            <w:left w:val="none" w:sz="0" w:space="0" w:color="auto"/>
                            <w:bottom w:val="single" w:sz="6" w:space="15" w:color="CCCCCC"/>
                            <w:right w:val="none" w:sz="0" w:space="0" w:color="auto"/>
                          </w:divBdr>
                          <w:divsChild>
                            <w:div w:id="1150512193">
                              <w:marLeft w:val="0"/>
                              <w:marRight w:val="0"/>
                              <w:marTop w:val="0"/>
                              <w:marBottom w:val="0"/>
                              <w:divBdr>
                                <w:top w:val="none" w:sz="0" w:space="0" w:color="auto"/>
                                <w:left w:val="none" w:sz="0" w:space="0" w:color="auto"/>
                                <w:bottom w:val="none" w:sz="0" w:space="0" w:color="auto"/>
                                <w:right w:val="none" w:sz="0" w:space="0" w:color="auto"/>
                              </w:divBdr>
                              <w:divsChild>
                                <w:div w:id="3041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620165">
      <w:bodyDiv w:val="1"/>
      <w:marLeft w:val="0"/>
      <w:marRight w:val="0"/>
      <w:marTop w:val="0"/>
      <w:marBottom w:val="0"/>
      <w:divBdr>
        <w:top w:val="none" w:sz="0" w:space="0" w:color="auto"/>
        <w:left w:val="none" w:sz="0" w:space="0" w:color="auto"/>
        <w:bottom w:val="none" w:sz="0" w:space="0" w:color="auto"/>
        <w:right w:val="none" w:sz="0" w:space="0" w:color="auto"/>
      </w:divBdr>
      <w:divsChild>
        <w:div w:id="1347637408">
          <w:marLeft w:val="0"/>
          <w:marRight w:val="0"/>
          <w:marTop w:val="0"/>
          <w:marBottom w:val="0"/>
          <w:divBdr>
            <w:top w:val="none" w:sz="0" w:space="0" w:color="auto"/>
            <w:left w:val="none" w:sz="0" w:space="0" w:color="auto"/>
            <w:bottom w:val="none" w:sz="0" w:space="0" w:color="auto"/>
            <w:right w:val="none" w:sz="0" w:space="0" w:color="auto"/>
          </w:divBdr>
          <w:divsChild>
            <w:div w:id="505244314">
              <w:marLeft w:val="0"/>
              <w:marRight w:val="0"/>
              <w:marTop w:val="0"/>
              <w:marBottom w:val="0"/>
              <w:divBdr>
                <w:top w:val="none" w:sz="0" w:space="0" w:color="auto"/>
                <w:left w:val="none" w:sz="0" w:space="0" w:color="auto"/>
                <w:bottom w:val="none" w:sz="0" w:space="0" w:color="auto"/>
                <w:right w:val="none" w:sz="0" w:space="0" w:color="auto"/>
              </w:divBdr>
              <w:divsChild>
                <w:div w:id="1903565883">
                  <w:marLeft w:val="0"/>
                  <w:marRight w:val="0"/>
                  <w:marTop w:val="0"/>
                  <w:marBottom w:val="0"/>
                  <w:divBdr>
                    <w:top w:val="none" w:sz="0" w:space="0" w:color="auto"/>
                    <w:left w:val="none" w:sz="0" w:space="0" w:color="auto"/>
                    <w:bottom w:val="none" w:sz="0" w:space="0" w:color="auto"/>
                    <w:right w:val="none" w:sz="0" w:space="0" w:color="auto"/>
                  </w:divBdr>
                  <w:divsChild>
                    <w:div w:id="163665135">
                      <w:marLeft w:val="0"/>
                      <w:marRight w:val="0"/>
                      <w:marTop w:val="0"/>
                      <w:marBottom w:val="0"/>
                      <w:divBdr>
                        <w:top w:val="none" w:sz="0" w:space="0" w:color="auto"/>
                        <w:left w:val="none" w:sz="0" w:space="0" w:color="auto"/>
                        <w:bottom w:val="none" w:sz="0" w:space="0" w:color="auto"/>
                        <w:right w:val="none" w:sz="0" w:space="0" w:color="auto"/>
                      </w:divBdr>
                      <w:divsChild>
                        <w:div w:id="144008416">
                          <w:marLeft w:val="0"/>
                          <w:marRight w:val="0"/>
                          <w:marTop w:val="0"/>
                          <w:marBottom w:val="0"/>
                          <w:divBdr>
                            <w:top w:val="none" w:sz="0" w:space="0" w:color="auto"/>
                            <w:left w:val="none" w:sz="0" w:space="0" w:color="auto"/>
                            <w:bottom w:val="none" w:sz="0" w:space="0" w:color="auto"/>
                            <w:right w:val="none" w:sz="0" w:space="0" w:color="auto"/>
                          </w:divBdr>
                          <w:divsChild>
                            <w:div w:id="1536231952">
                              <w:marLeft w:val="0"/>
                              <w:marRight w:val="0"/>
                              <w:marTop w:val="0"/>
                              <w:marBottom w:val="0"/>
                              <w:divBdr>
                                <w:top w:val="none" w:sz="0" w:space="0" w:color="auto"/>
                                <w:left w:val="none" w:sz="0" w:space="0" w:color="auto"/>
                                <w:bottom w:val="none" w:sz="0" w:space="0" w:color="auto"/>
                                <w:right w:val="none" w:sz="0" w:space="0" w:color="auto"/>
                              </w:divBdr>
                              <w:divsChild>
                                <w:div w:id="1944919521">
                                  <w:marLeft w:val="0"/>
                                  <w:marRight w:val="0"/>
                                  <w:marTop w:val="0"/>
                                  <w:marBottom w:val="450"/>
                                  <w:divBdr>
                                    <w:top w:val="none" w:sz="0" w:space="0" w:color="auto"/>
                                    <w:left w:val="none" w:sz="0" w:space="0" w:color="auto"/>
                                    <w:bottom w:val="none" w:sz="0" w:space="0" w:color="auto"/>
                                    <w:right w:val="none" w:sz="0" w:space="0" w:color="auto"/>
                                  </w:divBdr>
                                  <w:divsChild>
                                    <w:div w:id="2126850924">
                                      <w:marLeft w:val="0"/>
                                      <w:marRight w:val="0"/>
                                      <w:marTop w:val="0"/>
                                      <w:marBottom w:val="0"/>
                                      <w:divBdr>
                                        <w:top w:val="none" w:sz="0" w:space="0" w:color="auto"/>
                                        <w:left w:val="none" w:sz="0" w:space="0" w:color="auto"/>
                                        <w:bottom w:val="none" w:sz="0" w:space="0" w:color="auto"/>
                                        <w:right w:val="none" w:sz="0" w:space="0" w:color="auto"/>
                                      </w:divBdr>
                                      <w:divsChild>
                                        <w:div w:id="446630579">
                                          <w:marLeft w:val="0"/>
                                          <w:marRight w:val="0"/>
                                          <w:marTop w:val="0"/>
                                          <w:marBottom w:val="360"/>
                                          <w:divBdr>
                                            <w:top w:val="none" w:sz="0" w:space="0" w:color="auto"/>
                                            <w:left w:val="none" w:sz="0" w:space="0" w:color="auto"/>
                                            <w:bottom w:val="dotted" w:sz="6" w:space="18" w:color="CCCCCC"/>
                                            <w:right w:val="none" w:sz="0" w:space="0" w:color="auto"/>
                                          </w:divBdr>
                                          <w:divsChild>
                                            <w:div w:id="1181234597">
                                              <w:marLeft w:val="0"/>
                                              <w:marRight w:val="0"/>
                                              <w:marTop w:val="0"/>
                                              <w:marBottom w:val="0"/>
                                              <w:divBdr>
                                                <w:top w:val="none" w:sz="0" w:space="0" w:color="auto"/>
                                                <w:left w:val="none" w:sz="0" w:space="0" w:color="auto"/>
                                                <w:bottom w:val="none" w:sz="0" w:space="0" w:color="auto"/>
                                                <w:right w:val="none" w:sz="0" w:space="0" w:color="auto"/>
                                              </w:divBdr>
                                              <w:divsChild>
                                                <w:div w:id="15873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281167">
      <w:bodyDiv w:val="1"/>
      <w:marLeft w:val="0"/>
      <w:marRight w:val="0"/>
      <w:marTop w:val="0"/>
      <w:marBottom w:val="0"/>
      <w:divBdr>
        <w:top w:val="none" w:sz="0" w:space="0" w:color="auto"/>
        <w:left w:val="none" w:sz="0" w:space="0" w:color="auto"/>
        <w:bottom w:val="none" w:sz="0" w:space="0" w:color="auto"/>
        <w:right w:val="none" w:sz="0" w:space="0" w:color="auto"/>
      </w:divBdr>
      <w:divsChild>
        <w:div w:id="916863398">
          <w:marLeft w:val="0"/>
          <w:marRight w:val="0"/>
          <w:marTop w:val="0"/>
          <w:marBottom w:val="0"/>
          <w:divBdr>
            <w:top w:val="none" w:sz="0" w:space="0" w:color="auto"/>
            <w:left w:val="none" w:sz="0" w:space="0" w:color="auto"/>
            <w:bottom w:val="none" w:sz="0" w:space="0" w:color="auto"/>
            <w:right w:val="none" w:sz="0" w:space="0" w:color="auto"/>
          </w:divBdr>
          <w:divsChild>
            <w:div w:id="590744772">
              <w:marLeft w:val="0"/>
              <w:marRight w:val="0"/>
              <w:marTop w:val="0"/>
              <w:marBottom w:val="0"/>
              <w:divBdr>
                <w:top w:val="none" w:sz="0" w:space="0" w:color="auto"/>
                <w:left w:val="none" w:sz="0" w:space="0" w:color="auto"/>
                <w:bottom w:val="none" w:sz="0" w:space="0" w:color="auto"/>
                <w:right w:val="none" w:sz="0" w:space="0" w:color="auto"/>
              </w:divBdr>
              <w:divsChild>
                <w:div w:id="758133524">
                  <w:marLeft w:val="0"/>
                  <w:marRight w:val="0"/>
                  <w:marTop w:val="0"/>
                  <w:marBottom w:val="0"/>
                  <w:divBdr>
                    <w:top w:val="none" w:sz="0" w:space="0" w:color="auto"/>
                    <w:left w:val="none" w:sz="0" w:space="0" w:color="auto"/>
                    <w:bottom w:val="none" w:sz="0" w:space="0" w:color="auto"/>
                    <w:right w:val="none" w:sz="0" w:space="0" w:color="auto"/>
                  </w:divBdr>
                  <w:divsChild>
                    <w:div w:id="440295862">
                      <w:marLeft w:val="0"/>
                      <w:marRight w:val="0"/>
                      <w:marTop w:val="0"/>
                      <w:marBottom w:val="0"/>
                      <w:divBdr>
                        <w:top w:val="none" w:sz="0" w:space="0" w:color="auto"/>
                        <w:left w:val="none" w:sz="0" w:space="0" w:color="auto"/>
                        <w:bottom w:val="none" w:sz="0" w:space="0" w:color="auto"/>
                        <w:right w:val="none" w:sz="0" w:space="0" w:color="auto"/>
                      </w:divBdr>
                      <w:divsChild>
                        <w:div w:id="20696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395620">
      <w:bodyDiv w:val="1"/>
      <w:marLeft w:val="0"/>
      <w:marRight w:val="0"/>
      <w:marTop w:val="0"/>
      <w:marBottom w:val="0"/>
      <w:divBdr>
        <w:top w:val="none" w:sz="0" w:space="0" w:color="auto"/>
        <w:left w:val="none" w:sz="0" w:space="0" w:color="auto"/>
        <w:bottom w:val="none" w:sz="0" w:space="0" w:color="auto"/>
        <w:right w:val="none" w:sz="0" w:space="0" w:color="auto"/>
      </w:divBdr>
    </w:div>
    <w:div w:id="933587752">
      <w:bodyDiv w:val="1"/>
      <w:marLeft w:val="0"/>
      <w:marRight w:val="0"/>
      <w:marTop w:val="0"/>
      <w:marBottom w:val="0"/>
      <w:divBdr>
        <w:top w:val="none" w:sz="0" w:space="0" w:color="auto"/>
        <w:left w:val="none" w:sz="0" w:space="0" w:color="auto"/>
        <w:bottom w:val="none" w:sz="0" w:space="0" w:color="auto"/>
        <w:right w:val="none" w:sz="0" w:space="0" w:color="auto"/>
      </w:divBdr>
      <w:divsChild>
        <w:div w:id="1085802294">
          <w:marLeft w:val="0"/>
          <w:marRight w:val="0"/>
          <w:marTop w:val="0"/>
          <w:marBottom w:val="0"/>
          <w:divBdr>
            <w:top w:val="none" w:sz="0" w:space="0" w:color="auto"/>
            <w:left w:val="none" w:sz="0" w:space="0" w:color="auto"/>
            <w:bottom w:val="none" w:sz="0" w:space="0" w:color="auto"/>
            <w:right w:val="none" w:sz="0" w:space="0" w:color="auto"/>
          </w:divBdr>
          <w:divsChild>
            <w:div w:id="647397143">
              <w:marLeft w:val="0"/>
              <w:marRight w:val="0"/>
              <w:marTop w:val="0"/>
              <w:marBottom w:val="0"/>
              <w:divBdr>
                <w:top w:val="none" w:sz="0" w:space="0" w:color="auto"/>
                <w:left w:val="none" w:sz="0" w:space="0" w:color="auto"/>
                <w:bottom w:val="none" w:sz="0" w:space="0" w:color="auto"/>
                <w:right w:val="none" w:sz="0" w:space="0" w:color="auto"/>
              </w:divBdr>
              <w:divsChild>
                <w:div w:id="122575956">
                  <w:marLeft w:val="0"/>
                  <w:marRight w:val="0"/>
                  <w:marTop w:val="0"/>
                  <w:marBottom w:val="0"/>
                  <w:divBdr>
                    <w:top w:val="none" w:sz="0" w:space="0" w:color="auto"/>
                    <w:left w:val="none" w:sz="0" w:space="0" w:color="auto"/>
                    <w:bottom w:val="none" w:sz="0" w:space="0" w:color="auto"/>
                    <w:right w:val="none" w:sz="0" w:space="0" w:color="auto"/>
                  </w:divBdr>
                  <w:divsChild>
                    <w:div w:id="392892374">
                      <w:marLeft w:val="0"/>
                      <w:marRight w:val="0"/>
                      <w:marTop w:val="0"/>
                      <w:marBottom w:val="0"/>
                      <w:divBdr>
                        <w:top w:val="none" w:sz="0" w:space="0" w:color="auto"/>
                        <w:left w:val="none" w:sz="0" w:space="0" w:color="auto"/>
                        <w:bottom w:val="none" w:sz="0" w:space="0" w:color="auto"/>
                        <w:right w:val="none" w:sz="0" w:space="0" w:color="auto"/>
                      </w:divBdr>
                      <w:divsChild>
                        <w:div w:id="695886051">
                          <w:marLeft w:val="0"/>
                          <w:marRight w:val="0"/>
                          <w:marTop w:val="0"/>
                          <w:marBottom w:val="0"/>
                          <w:divBdr>
                            <w:top w:val="none" w:sz="0" w:space="0" w:color="auto"/>
                            <w:left w:val="none" w:sz="0" w:space="0" w:color="auto"/>
                            <w:bottom w:val="none" w:sz="0" w:space="0" w:color="auto"/>
                            <w:right w:val="none" w:sz="0" w:space="0" w:color="auto"/>
                          </w:divBdr>
                          <w:divsChild>
                            <w:div w:id="1553537754">
                              <w:marLeft w:val="0"/>
                              <w:marRight w:val="0"/>
                              <w:marTop w:val="0"/>
                              <w:marBottom w:val="0"/>
                              <w:divBdr>
                                <w:top w:val="none" w:sz="0" w:space="0" w:color="auto"/>
                                <w:left w:val="none" w:sz="0" w:space="0" w:color="auto"/>
                                <w:bottom w:val="none" w:sz="0" w:space="0" w:color="auto"/>
                                <w:right w:val="none" w:sz="0" w:space="0" w:color="auto"/>
                              </w:divBdr>
                              <w:divsChild>
                                <w:div w:id="1436514808">
                                  <w:marLeft w:val="0"/>
                                  <w:marRight w:val="0"/>
                                  <w:marTop w:val="0"/>
                                  <w:marBottom w:val="0"/>
                                  <w:divBdr>
                                    <w:top w:val="none" w:sz="0" w:space="0" w:color="auto"/>
                                    <w:left w:val="none" w:sz="0" w:space="0" w:color="auto"/>
                                    <w:bottom w:val="none" w:sz="0" w:space="0" w:color="auto"/>
                                    <w:right w:val="none" w:sz="0" w:space="0" w:color="auto"/>
                                  </w:divBdr>
                                  <w:divsChild>
                                    <w:div w:id="235014050">
                                      <w:marLeft w:val="0"/>
                                      <w:marRight w:val="0"/>
                                      <w:marTop w:val="0"/>
                                      <w:marBottom w:val="0"/>
                                      <w:divBdr>
                                        <w:top w:val="none" w:sz="0" w:space="0" w:color="auto"/>
                                        <w:left w:val="none" w:sz="0" w:space="0" w:color="auto"/>
                                        <w:bottom w:val="none" w:sz="0" w:space="0" w:color="auto"/>
                                        <w:right w:val="none" w:sz="0" w:space="0" w:color="auto"/>
                                      </w:divBdr>
                                      <w:divsChild>
                                        <w:div w:id="1802187740">
                                          <w:marLeft w:val="0"/>
                                          <w:marRight w:val="0"/>
                                          <w:marTop w:val="0"/>
                                          <w:marBottom w:val="0"/>
                                          <w:divBdr>
                                            <w:top w:val="none" w:sz="0" w:space="0" w:color="auto"/>
                                            <w:left w:val="none" w:sz="0" w:space="0" w:color="auto"/>
                                            <w:bottom w:val="none" w:sz="0" w:space="0" w:color="auto"/>
                                            <w:right w:val="none" w:sz="0" w:space="0" w:color="auto"/>
                                          </w:divBdr>
                                          <w:divsChild>
                                            <w:div w:id="1956326776">
                                              <w:marLeft w:val="0"/>
                                              <w:marRight w:val="0"/>
                                              <w:marTop w:val="0"/>
                                              <w:marBottom w:val="0"/>
                                              <w:divBdr>
                                                <w:top w:val="none" w:sz="0" w:space="0" w:color="auto"/>
                                                <w:left w:val="none" w:sz="0" w:space="0" w:color="auto"/>
                                                <w:bottom w:val="none" w:sz="0" w:space="0" w:color="auto"/>
                                                <w:right w:val="none" w:sz="0" w:space="0" w:color="auto"/>
                                              </w:divBdr>
                                              <w:divsChild>
                                                <w:div w:id="1098675875">
                                                  <w:marLeft w:val="0"/>
                                                  <w:marRight w:val="0"/>
                                                  <w:marTop w:val="0"/>
                                                  <w:marBottom w:val="0"/>
                                                  <w:divBdr>
                                                    <w:top w:val="none" w:sz="0" w:space="0" w:color="auto"/>
                                                    <w:left w:val="none" w:sz="0" w:space="0" w:color="auto"/>
                                                    <w:bottom w:val="none" w:sz="0" w:space="0" w:color="auto"/>
                                                    <w:right w:val="none" w:sz="0" w:space="0" w:color="auto"/>
                                                  </w:divBdr>
                                                  <w:divsChild>
                                                    <w:div w:id="940843802">
                                                      <w:marLeft w:val="0"/>
                                                      <w:marRight w:val="0"/>
                                                      <w:marTop w:val="0"/>
                                                      <w:marBottom w:val="0"/>
                                                      <w:divBdr>
                                                        <w:top w:val="none" w:sz="0" w:space="0" w:color="auto"/>
                                                        <w:left w:val="none" w:sz="0" w:space="0" w:color="auto"/>
                                                        <w:bottom w:val="none" w:sz="0" w:space="0" w:color="auto"/>
                                                        <w:right w:val="none" w:sz="0" w:space="0" w:color="auto"/>
                                                      </w:divBdr>
                                                      <w:divsChild>
                                                        <w:div w:id="1812092492">
                                                          <w:marLeft w:val="0"/>
                                                          <w:marRight w:val="0"/>
                                                          <w:marTop w:val="0"/>
                                                          <w:marBottom w:val="0"/>
                                                          <w:divBdr>
                                                            <w:top w:val="none" w:sz="0" w:space="0" w:color="auto"/>
                                                            <w:left w:val="none" w:sz="0" w:space="0" w:color="auto"/>
                                                            <w:bottom w:val="none" w:sz="0" w:space="0" w:color="auto"/>
                                                            <w:right w:val="none" w:sz="0" w:space="0" w:color="auto"/>
                                                          </w:divBdr>
                                                          <w:divsChild>
                                                            <w:div w:id="152914040">
                                                              <w:marLeft w:val="0"/>
                                                              <w:marRight w:val="0"/>
                                                              <w:marTop w:val="0"/>
                                                              <w:marBottom w:val="0"/>
                                                              <w:divBdr>
                                                                <w:top w:val="none" w:sz="0" w:space="0" w:color="auto"/>
                                                                <w:left w:val="none" w:sz="0" w:space="0" w:color="auto"/>
                                                                <w:bottom w:val="none" w:sz="0" w:space="0" w:color="auto"/>
                                                                <w:right w:val="none" w:sz="0" w:space="0" w:color="auto"/>
                                                              </w:divBdr>
                                                            </w:div>
                                                            <w:div w:id="1031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4436110">
      <w:bodyDiv w:val="1"/>
      <w:marLeft w:val="0"/>
      <w:marRight w:val="0"/>
      <w:marTop w:val="0"/>
      <w:marBottom w:val="0"/>
      <w:divBdr>
        <w:top w:val="none" w:sz="0" w:space="0" w:color="auto"/>
        <w:left w:val="none" w:sz="0" w:space="0" w:color="auto"/>
        <w:bottom w:val="none" w:sz="0" w:space="0" w:color="auto"/>
        <w:right w:val="none" w:sz="0" w:space="0" w:color="auto"/>
      </w:divBdr>
      <w:divsChild>
        <w:div w:id="1770545120">
          <w:marLeft w:val="0"/>
          <w:marRight w:val="0"/>
          <w:marTop w:val="150"/>
          <w:marBottom w:val="0"/>
          <w:divBdr>
            <w:top w:val="none" w:sz="0" w:space="0" w:color="auto"/>
            <w:left w:val="none" w:sz="0" w:space="0" w:color="auto"/>
            <w:bottom w:val="none" w:sz="0" w:space="0" w:color="auto"/>
            <w:right w:val="none" w:sz="0" w:space="0" w:color="auto"/>
          </w:divBdr>
          <w:divsChild>
            <w:div w:id="1191067792">
              <w:marLeft w:val="2"/>
              <w:marRight w:val="2"/>
              <w:marTop w:val="0"/>
              <w:marBottom w:val="0"/>
              <w:divBdr>
                <w:top w:val="none" w:sz="0" w:space="0" w:color="auto"/>
                <w:left w:val="none" w:sz="0" w:space="0" w:color="auto"/>
                <w:bottom w:val="none" w:sz="0" w:space="0" w:color="auto"/>
                <w:right w:val="none" w:sz="0" w:space="0" w:color="auto"/>
              </w:divBdr>
              <w:divsChild>
                <w:div w:id="939607333">
                  <w:marLeft w:val="0"/>
                  <w:marRight w:val="0"/>
                  <w:marTop w:val="0"/>
                  <w:marBottom w:val="0"/>
                  <w:divBdr>
                    <w:top w:val="none" w:sz="0" w:space="0" w:color="auto"/>
                    <w:left w:val="none" w:sz="0" w:space="0" w:color="auto"/>
                    <w:bottom w:val="none" w:sz="0" w:space="0" w:color="auto"/>
                    <w:right w:val="none" w:sz="0" w:space="0" w:color="auto"/>
                  </w:divBdr>
                  <w:divsChild>
                    <w:div w:id="1945847384">
                      <w:marLeft w:val="0"/>
                      <w:marRight w:val="0"/>
                      <w:marTop w:val="0"/>
                      <w:marBottom w:val="0"/>
                      <w:divBdr>
                        <w:top w:val="none" w:sz="0" w:space="0" w:color="auto"/>
                        <w:left w:val="none" w:sz="0" w:space="0" w:color="auto"/>
                        <w:bottom w:val="none" w:sz="0" w:space="0" w:color="auto"/>
                        <w:right w:val="none" w:sz="0" w:space="0" w:color="auto"/>
                      </w:divBdr>
                      <w:divsChild>
                        <w:div w:id="771630105">
                          <w:marLeft w:val="0"/>
                          <w:marRight w:val="0"/>
                          <w:marTop w:val="0"/>
                          <w:marBottom w:val="0"/>
                          <w:divBdr>
                            <w:top w:val="none" w:sz="0" w:space="0" w:color="auto"/>
                            <w:left w:val="none" w:sz="0" w:space="0" w:color="auto"/>
                            <w:bottom w:val="none" w:sz="0" w:space="0" w:color="auto"/>
                            <w:right w:val="none" w:sz="0" w:space="0" w:color="auto"/>
                          </w:divBdr>
                          <w:divsChild>
                            <w:div w:id="533542480">
                              <w:marLeft w:val="0"/>
                              <w:marRight w:val="0"/>
                              <w:marTop w:val="0"/>
                              <w:marBottom w:val="0"/>
                              <w:divBdr>
                                <w:top w:val="none" w:sz="0" w:space="0" w:color="auto"/>
                                <w:left w:val="none" w:sz="0" w:space="0" w:color="auto"/>
                                <w:bottom w:val="none" w:sz="0" w:space="0" w:color="auto"/>
                                <w:right w:val="none" w:sz="0" w:space="0" w:color="auto"/>
                              </w:divBdr>
                              <w:divsChild>
                                <w:div w:id="23294544">
                                  <w:marLeft w:val="0"/>
                                  <w:marRight w:val="0"/>
                                  <w:marTop w:val="0"/>
                                  <w:marBottom w:val="0"/>
                                  <w:divBdr>
                                    <w:top w:val="none" w:sz="0" w:space="0" w:color="auto"/>
                                    <w:left w:val="none" w:sz="0" w:space="0" w:color="auto"/>
                                    <w:bottom w:val="none" w:sz="0" w:space="0" w:color="auto"/>
                                    <w:right w:val="none" w:sz="0" w:space="0" w:color="auto"/>
                                  </w:divBdr>
                                  <w:divsChild>
                                    <w:div w:id="321587167">
                                      <w:marLeft w:val="0"/>
                                      <w:marRight w:val="0"/>
                                      <w:marTop w:val="0"/>
                                      <w:marBottom w:val="0"/>
                                      <w:divBdr>
                                        <w:top w:val="none" w:sz="0" w:space="0" w:color="auto"/>
                                        <w:left w:val="none" w:sz="0" w:space="0" w:color="auto"/>
                                        <w:bottom w:val="none" w:sz="0" w:space="0" w:color="auto"/>
                                        <w:right w:val="none" w:sz="0" w:space="0" w:color="auto"/>
                                      </w:divBdr>
                                      <w:divsChild>
                                        <w:div w:id="955216204">
                                          <w:marLeft w:val="0"/>
                                          <w:marRight w:val="0"/>
                                          <w:marTop w:val="0"/>
                                          <w:marBottom w:val="0"/>
                                          <w:divBdr>
                                            <w:top w:val="none" w:sz="0" w:space="0" w:color="auto"/>
                                            <w:left w:val="none" w:sz="0" w:space="0" w:color="auto"/>
                                            <w:bottom w:val="none" w:sz="0" w:space="0" w:color="auto"/>
                                            <w:right w:val="none" w:sz="0" w:space="0" w:color="auto"/>
                                          </w:divBdr>
                                          <w:divsChild>
                                            <w:div w:id="1617365433">
                                              <w:marLeft w:val="0"/>
                                              <w:marRight w:val="0"/>
                                              <w:marTop w:val="0"/>
                                              <w:marBottom w:val="0"/>
                                              <w:divBdr>
                                                <w:top w:val="none" w:sz="0" w:space="0" w:color="auto"/>
                                                <w:left w:val="none" w:sz="0" w:space="0" w:color="auto"/>
                                                <w:bottom w:val="none" w:sz="0" w:space="0" w:color="auto"/>
                                                <w:right w:val="none" w:sz="0" w:space="0" w:color="auto"/>
                                              </w:divBdr>
                                              <w:divsChild>
                                                <w:div w:id="106318342">
                                                  <w:marLeft w:val="0"/>
                                                  <w:marRight w:val="0"/>
                                                  <w:marTop w:val="0"/>
                                                  <w:marBottom w:val="0"/>
                                                  <w:divBdr>
                                                    <w:top w:val="none" w:sz="0" w:space="0" w:color="auto"/>
                                                    <w:left w:val="none" w:sz="0" w:space="0" w:color="auto"/>
                                                    <w:bottom w:val="none" w:sz="0" w:space="0" w:color="auto"/>
                                                    <w:right w:val="none" w:sz="0" w:space="0" w:color="auto"/>
                                                  </w:divBdr>
                                                </w:div>
                                              </w:divsChild>
                                            </w:div>
                                            <w:div w:id="326910324">
                                              <w:marLeft w:val="0"/>
                                              <w:marRight w:val="0"/>
                                              <w:marTop w:val="0"/>
                                              <w:marBottom w:val="0"/>
                                              <w:divBdr>
                                                <w:top w:val="none" w:sz="0" w:space="0" w:color="auto"/>
                                                <w:left w:val="none" w:sz="0" w:space="0" w:color="auto"/>
                                                <w:bottom w:val="none" w:sz="0" w:space="0" w:color="auto"/>
                                                <w:right w:val="none" w:sz="0" w:space="0" w:color="auto"/>
                                              </w:divBdr>
                                              <w:divsChild>
                                                <w:div w:id="151727491">
                                                  <w:marLeft w:val="0"/>
                                                  <w:marRight w:val="0"/>
                                                  <w:marTop w:val="0"/>
                                                  <w:marBottom w:val="0"/>
                                                  <w:divBdr>
                                                    <w:top w:val="none" w:sz="0" w:space="0" w:color="auto"/>
                                                    <w:left w:val="none" w:sz="0" w:space="0" w:color="auto"/>
                                                    <w:bottom w:val="none" w:sz="0" w:space="0" w:color="auto"/>
                                                    <w:right w:val="none" w:sz="0" w:space="0" w:color="auto"/>
                                                  </w:divBdr>
                                                </w:div>
                                              </w:divsChild>
                                            </w:div>
                                            <w:div w:id="2133207925">
                                              <w:marLeft w:val="0"/>
                                              <w:marRight w:val="0"/>
                                              <w:marTop w:val="0"/>
                                              <w:marBottom w:val="0"/>
                                              <w:divBdr>
                                                <w:top w:val="none" w:sz="0" w:space="0" w:color="auto"/>
                                                <w:left w:val="none" w:sz="0" w:space="0" w:color="auto"/>
                                                <w:bottom w:val="none" w:sz="0" w:space="0" w:color="auto"/>
                                                <w:right w:val="none" w:sz="0" w:space="0" w:color="auto"/>
                                              </w:divBdr>
                                              <w:divsChild>
                                                <w:div w:id="2506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208429">
      <w:bodyDiv w:val="1"/>
      <w:marLeft w:val="0"/>
      <w:marRight w:val="0"/>
      <w:marTop w:val="0"/>
      <w:marBottom w:val="0"/>
      <w:divBdr>
        <w:top w:val="none" w:sz="0" w:space="0" w:color="auto"/>
        <w:left w:val="none" w:sz="0" w:space="0" w:color="auto"/>
        <w:bottom w:val="none" w:sz="0" w:space="0" w:color="auto"/>
        <w:right w:val="none" w:sz="0" w:space="0" w:color="auto"/>
      </w:divBdr>
    </w:div>
    <w:div w:id="936448895">
      <w:bodyDiv w:val="1"/>
      <w:marLeft w:val="0"/>
      <w:marRight w:val="0"/>
      <w:marTop w:val="0"/>
      <w:marBottom w:val="0"/>
      <w:divBdr>
        <w:top w:val="none" w:sz="0" w:space="0" w:color="auto"/>
        <w:left w:val="none" w:sz="0" w:space="0" w:color="auto"/>
        <w:bottom w:val="none" w:sz="0" w:space="0" w:color="auto"/>
        <w:right w:val="none" w:sz="0" w:space="0" w:color="auto"/>
      </w:divBdr>
      <w:divsChild>
        <w:div w:id="1117144964">
          <w:marLeft w:val="0"/>
          <w:marRight w:val="0"/>
          <w:marTop w:val="0"/>
          <w:marBottom w:val="0"/>
          <w:divBdr>
            <w:top w:val="none" w:sz="0" w:space="0" w:color="auto"/>
            <w:left w:val="none" w:sz="0" w:space="0" w:color="auto"/>
            <w:bottom w:val="none" w:sz="0" w:space="0" w:color="auto"/>
            <w:right w:val="none" w:sz="0" w:space="0" w:color="auto"/>
          </w:divBdr>
          <w:divsChild>
            <w:div w:id="116798496">
              <w:marLeft w:val="0"/>
              <w:marRight w:val="0"/>
              <w:marTop w:val="0"/>
              <w:marBottom w:val="0"/>
              <w:divBdr>
                <w:top w:val="none" w:sz="0" w:space="0" w:color="auto"/>
                <w:left w:val="none" w:sz="0" w:space="0" w:color="auto"/>
                <w:bottom w:val="none" w:sz="0" w:space="0" w:color="auto"/>
                <w:right w:val="none" w:sz="0" w:space="0" w:color="auto"/>
              </w:divBdr>
              <w:divsChild>
                <w:div w:id="702511336">
                  <w:marLeft w:val="0"/>
                  <w:marRight w:val="0"/>
                  <w:marTop w:val="0"/>
                  <w:marBottom w:val="0"/>
                  <w:divBdr>
                    <w:top w:val="none" w:sz="0" w:space="0" w:color="auto"/>
                    <w:left w:val="none" w:sz="0" w:space="0" w:color="auto"/>
                    <w:bottom w:val="none" w:sz="0" w:space="0" w:color="auto"/>
                    <w:right w:val="none" w:sz="0" w:space="0" w:color="auto"/>
                  </w:divBdr>
                  <w:divsChild>
                    <w:div w:id="2075809075">
                      <w:marLeft w:val="0"/>
                      <w:marRight w:val="0"/>
                      <w:marTop w:val="300"/>
                      <w:marBottom w:val="0"/>
                      <w:divBdr>
                        <w:top w:val="none" w:sz="0" w:space="0" w:color="auto"/>
                        <w:left w:val="none" w:sz="0" w:space="0" w:color="auto"/>
                        <w:bottom w:val="none" w:sz="0" w:space="0" w:color="auto"/>
                        <w:right w:val="none" w:sz="0" w:space="0" w:color="auto"/>
                      </w:divBdr>
                      <w:divsChild>
                        <w:div w:id="888878901">
                          <w:marLeft w:val="0"/>
                          <w:marRight w:val="0"/>
                          <w:marTop w:val="0"/>
                          <w:marBottom w:val="0"/>
                          <w:divBdr>
                            <w:top w:val="none" w:sz="0" w:space="0" w:color="auto"/>
                            <w:left w:val="none" w:sz="0" w:space="0" w:color="auto"/>
                            <w:bottom w:val="none" w:sz="0" w:space="0" w:color="auto"/>
                            <w:right w:val="none" w:sz="0" w:space="0" w:color="auto"/>
                          </w:divBdr>
                        </w:div>
                      </w:divsChild>
                    </w:div>
                    <w:div w:id="6285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522">
      <w:bodyDiv w:val="1"/>
      <w:marLeft w:val="0"/>
      <w:marRight w:val="0"/>
      <w:marTop w:val="0"/>
      <w:marBottom w:val="0"/>
      <w:divBdr>
        <w:top w:val="none" w:sz="0" w:space="0" w:color="auto"/>
        <w:left w:val="none" w:sz="0" w:space="0" w:color="auto"/>
        <w:bottom w:val="none" w:sz="0" w:space="0" w:color="auto"/>
        <w:right w:val="none" w:sz="0" w:space="0" w:color="auto"/>
      </w:divBdr>
      <w:divsChild>
        <w:div w:id="494301300">
          <w:marLeft w:val="0"/>
          <w:marRight w:val="0"/>
          <w:marTop w:val="0"/>
          <w:marBottom w:val="0"/>
          <w:divBdr>
            <w:top w:val="none" w:sz="0" w:space="0" w:color="auto"/>
            <w:left w:val="none" w:sz="0" w:space="0" w:color="auto"/>
            <w:bottom w:val="none" w:sz="0" w:space="0" w:color="auto"/>
            <w:right w:val="none" w:sz="0" w:space="0" w:color="auto"/>
          </w:divBdr>
          <w:divsChild>
            <w:div w:id="252709819">
              <w:marLeft w:val="0"/>
              <w:marRight w:val="0"/>
              <w:marTop w:val="0"/>
              <w:marBottom w:val="0"/>
              <w:divBdr>
                <w:top w:val="none" w:sz="0" w:space="0" w:color="auto"/>
                <w:left w:val="none" w:sz="0" w:space="0" w:color="auto"/>
                <w:bottom w:val="none" w:sz="0" w:space="0" w:color="auto"/>
                <w:right w:val="none" w:sz="0" w:space="0" w:color="auto"/>
              </w:divBdr>
              <w:divsChild>
                <w:div w:id="325208643">
                  <w:marLeft w:val="0"/>
                  <w:marRight w:val="0"/>
                  <w:marTop w:val="0"/>
                  <w:marBottom w:val="0"/>
                  <w:divBdr>
                    <w:top w:val="none" w:sz="0" w:space="0" w:color="auto"/>
                    <w:left w:val="none" w:sz="0" w:space="0" w:color="auto"/>
                    <w:bottom w:val="none" w:sz="0" w:space="0" w:color="auto"/>
                    <w:right w:val="none" w:sz="0" w:space="0" w:color="auto"/>
                  </w:divBdr>
                  <w:divsChild>
                    <w:div w:id="1429235222">
                      <w:marLeft w:val="0"/>
                      <w:marRight w:val="0"/>
                      <w:marTop w:val="0"/>
                      <w:marBottom w:val="0"/>
                      <w:divBdr>
                        <w:top w:val="none" w:sz="0" w:space="0" w:color="auto"/>
                        <w:left w:val="none" w:sz="0" w:space="0" w:color="auto"/>
                        <w:bottom w:val="none" w:sz="0" w:space="0" w:color="auto"/>
                        <w:right w:val="none" w:sz="0" w:space="0" w:color="auto"/>
                      </w:divBdr>
                      <w:divsChild>
                        <w:div w:id="1454834450">
                          <w:marLeft w:val="0"/>
                          <w:marRight w:val="0"/>
                          <w:marTop w:val="0"/>
                          <w:marBottom w:val="0"/>
                          <w:divBdr>
                            <w:top w:val="none" w:sz="0" w:space="0" w:color="auto"/>
                            <w:left w:val="none" w:sz="0" w:space="0" w:color="auto"/>
                            <w:bottom w:val="none" w:sz="0" w:space="0" w:color="auto"/>
                            <w:right w:val="none" w:sz="0" w:space="0" w:color="auto"/>
                          </w:divBdr>
                          <w:divsChild>
                            <w:div w:id="987713364">
                              <w:marLeft w:val="0"/>
                              <w:marRight w:val="0"/>
                              <w:marTop w:val="0"/>
                              <w:marBottom w:val="0"/>
                              <w:divBdr>
                                <w:top w:val="none" w:sz="0" w:space="0" w:color="auto"/>
                                <w:left w:val="none" w:sz="0" w:space="0" w:color="auto"/>
                                <w:bottom w:val="none" w:sz="0" w:space="0" w:color="auto"/>
                                <w:right w:val="none" w:sz="0" w:space="0" w:color="auto"/>
                              </w:divBdr>
                              <w:divsChild>
                                <w:div w:id="513308602">
                                  <w:marLeft w:val="0"/>
                                  <w:marRight w:val="0"/>
                                  <w:marTop w:val="0"/>
                                  <w:marBottom w:val="0"/>
                                  <w:divBdr>
                                    <w:top w:val="none" w:sz="0" w:space="0" w:color="auto"/>
                                    <w:left w:val="none" w:sz="0" w:space="0" w:color="auto"/>
                                    <w:bottom w:val="none" w:sz="0" w:space="0" w:color="auto"/>
                                    <w:right w:val="none" w:sz="0" w:space="0" w:color="auto"/>
                                  </w:divBdr>
                                  <w:divsChild>
                                    <w:div w:id="1182662740">
                                      <w:marLeft w:val="0"/>
                                      <w:marRight w:val="0"/>
                                      <w:marTop w:val="0"/>
                                      <w:marBottom w:val="0"/>
                                      <w:divBdr>
                                        <w:top w:val="none" w:sz="0" w:space="0" w:color="auto"/>
                                        <w:left w:val="none" w:sz="0" w:space="0" w:color="auto"/>
                                        <w:bottom w:val="none" w:sz="0" w:space="0" w:color="auto"/>
                                        <w:right w:val="none" w:sz="0" w:space="0" w:color="auto"/>
                                      </w:divBdr>
                                      <w:divsChild>
                                        <w:div w:id="846755101">
                                          <w:marLeft w:val="0"/>
                                          <w:marRight w:val="0"/>
                                          <w:marTop w:val="0"/>
                                          <w:marBottom w:val="0"/>
                                          <w:divBdr>
                                            <w:top w:val="none" w:sz="0" w:space="0" w:color="auto"/>
                                            <w:left w:val="none" w:sz="0" w:space="0" w:color="auto"/>
                                            <w:bottom w:val="none" w:sz="0" w:space="0" w:color="auto"/>
                                            <w:right w:val="none" w:sz="0" w:space="0" w:color="auto"/>
                                          </w:divBdr>
                                        </w:div>
                                        <w:div w:id="1654140796">
                                          <w:marLeft w:val="0"/>
                                          <w:marRight w:val="0"/>
                                          <w:marTop w:val="0"/>
                                          <w:marBottom w:val="0"/>
                                          <w:divBdr>
                                            <w:top w:val="none" w:sz="0" w:space="0" w:color="auto"/>
                                            <w:left w:val="none" w:sz="0" w:space="0" w:color="auto"/>
                                            <w:bottom w:val="none" w:sz="0" w:space="0" w:color="auto"/>
                                            <w:right w:val="none" w:sz="0" w:space="0" w:color="auto"/>
                                          </w:divBdr>
                                          <w:divsChild>
                                            <w:div w:id="1828277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88082">
      <w:bodyDiv w:val="1"/>
      <w:marLeft w:val="0"/>
      <w:marRight w:val="0"/>
      <w:marTop w:val="0"/>
      <w:marBottom w:val="0"/>
      <w:divBdr>
        <w:top w:val="none" w:sz="0" w:space="0" w:color="auto"/>
        <w:left w:val="none" w:sz="0" w:space="0" w:color="auto"/>
        <w:bottom w:val="none" w:sz="0" w:space="0" w:color="auto"/>
        <w:right w:val="none" w:sz="0" w:space="0" w:color="auto"/>
      </w:divBdr>
      <w:divsChild>
        <w:div w:id="370109706">
          <w:marLeft w:val="0"/>
          <w:marRight w:val="0"/>
          <w:marTop w:val="0"/>
          <w:marBottom w:val="0"/>
          <w:divBdr>
            <w:top w:val="single" w:sz="2" w:space="0" w:color="AAAAAA"/>
            <w:left w:val="single" w:sz="6" w:space="8" w:color="AAAAAA"/>
            <w:bottom w:val="single" w:sz="2" w:space="0" w:color="AAAAAA"/>
            <w:right w:val="single" w:sz="6" w:space="8" w:color="AAAAAA"/>
          </w:divBdr>
          <w:divsChild>
            <w:div w:id="1162432064">
              <w:marLeft w:val="0"/>
              <w:marRight w:val="0"/>
              <w:marTop w:val="0"/>
              <w:marBottom w:val="0"/>
              <w:divBdr>
                <w:top w:val="none" w:sz="0" w:space="0" w:color="auto"/>
                <w:left w:val="none" w:sz="0" w:space="0" w:color="auto"/>
                <w:bottom w:val="none" w:sz="0" w:space="0" w:color="auto"/>
                <w:right w:val="none" w:sz="0" w:space="0" w:color="auto"/>
              </w:divBdr>
              <w:divsChild>
                <w:div w:id="1172143068">
                  <w:marLeft w:val="0"/>
                  <w:marRight w:val="0"/>
                  <w:marTop w:val="0"/>
                  <w:marBottom w:val="0"/>
                  <w:divBdr>
                    <w:top w:val="none" w:sz="0" w:space="0" w:color="auto"/>
                    <w:left w:val="none" w:sz="0" w:space="0" w:color="auto"/>
                    <w:bottom w:val="none" w:sz="0" w:space="0" w:color="auto"/>
                    <w:right w:val="none" w:sz="0" w:space="0" w:color="auto"/>
                  </w:divBdr>
                  <w:divsChild>
                    <w:div w:id="144904478">
                      <w:marLeft w:val="0"/>
                      <w:marRight w:val="2550"/>
                      <w:marTop w:val="0"/>
                      <w:marBottom w:val="48"/>
                      <w:divBdr>
                        <w:top w:val="none" w:sz="0" w:space="0" w:color="auto"/>
                        <w:left w:val="none" w:sz="0" w:space="0" w:color="auto"/>
                        <w:bottom w:val="none" w:sz="0" w:space="0" w:color="auto"/>
                        <w:right w:val="none" w:sz="0" w:space="0" w:color="auto"/>
                      </w:divBdr>
                      <w:divsChild>
                        <w:div w:id="868176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38607140">
      <w:bodyDiv w:val="1"/>
      <w:marLeft w:val="0"/>
      <w:marRight w:val="0"/>
      <w:marTop w:val="0"/>
      <w:marBottom w:val="0"/>
      <w:divBdr>
        <w:top w:val="none" w:sz="0" w:space="0" w:color="auto"/>
        <w:left w:val="none" w:sz="0" w:space="0" w:color="auto"/>
        <w:bottom w:val="none" w:sz="0" w:space="0" w:color="auto"/>
        <w:right w:val="none" w:sz="0" w:space="0" w:color="auto"/>
      </w:divBdr>
    </w:div>
    <w:div w:id="938949808">
      <w:bodyDiv w:val="1"/>
      <w:marLeft w:val="0"/>
      <w:marRight w:val="0"/>
      <w:marTop w:val="0"/>
      <w:marBottom w:val="0"/>
      <w:divBdr>
        <w:top w:val="none" w:sz="0" w:space="0" w:color="auto"/>
        <w:left w:val="none" w:sz="0" w:space="0" w:color="auto"/>
        <w:bottom w:val="none" w:sz="0" w:space="0" w:color="auto"/>
        <w:right w:val="none" w:sz="0" w:space="0" w:color="auto"/>
      </w:divBdr>
      <w:divsChild>
        <w:div w:id="847908753">
          <w:marLeft w:val="0"/>
          <w:marRight w:val="0"/>
          <w:marTop w:val="0"/>
          <w:marBottom w:val="0"/>
          <w:divBdr>
            <w:top w:val="none" w:sz="0" w:space="0" w:color="auto"/>
            <w:left w:val="none" w:sz="0" w:space="0" w:color="auto"/>
            <w:bottom w:val="none" w:sz="0" w:space="0" w:color="auto"/>
            <w:right w:val="none" w:sz="0" w:space="0" w:color="auto"/>
          </w:divBdr>
          <w:divsChild>
            <w:div w:id="885720549">
              <w:marLeft w:val="0"/>
              <w:marRight w:val="0"/>
              <w:marTop w:val="0"/>
              <w:marBottom w:val="0"/>
              <w:divBdr>
                <w:top w:val="none" w:sz="0" w:space="0" w:color="auto"/>
                <w:left w:val="none" w:sz="0" w:space="0" w:color="auto"/>
                <w:bottom w:val="none" w:sz="0" w:space="0" w:color="auto"/>
                <w:right w:val="none" w:sz="0" w:space="0" w:color="auto"/>
              </w:divBdr>
              <w:divsChild>
                <w:div w:id="1364475793">
                  <w:marLeft w:val="0"/>
                  <w:marRight w:val="0"/>
                  <w:marTop w:val="0"/>
                  <w:marBottom w:val="0"/>
                  <w:divBdr>
                    <w:top w:val="none" w:sz="0" w:space="0" w:color="auto"/>
                    <w:left w:val="none" w:sz="0" w:space="0" w:color="auto"/>
                    <w:bottom w:val="none" w:sz="0" w:space="0" w:color="auto"/>
                    <w:right w:val="none" w:sz="0" w:space="0" w:color="auto"/>
                  </w:divBdr>
                  <w:divsChild>
                    <w:div w:id="1760835456">
                      <w:marLeft w:val="0"/>
                      <w:marRight w:val="0"/>
                      <w:marTop w:val="0"/>
                      <w:marBottom w:val="0"/>
                      <w:divBdr>
                        <w:top w:val="none" w:sz="0" w:space="0" w:color="auto"/>
                        <w:left w:val="none" w:sz="0" w:space="0" w:color="auto"/>
                        <w:bottom w:val="none" w:sz="0" w:space="0" w:color="auto"/>
                        <w:right w:val="none" w:sz="0" w:space="0" w:color="auto"/>
                      </w:divBdr>
                      <w:divsChild>
                        <w:div w:id="771777135">
                          <w:marLeft w:val="0"/>
                          <w:marRight w:val="0"/>
                          <w:marTop w:val="0"/>
                          <w:marBottom w:val="0"/>
                          <w:divBdr>
                            <w:top w:val="none" w:sz="0" w:space="0" w:color="auto"/>
                            <w:left w:val="none" w:sz="0" w:space="0" w:color="auto"/>
                            <w:bottom w:val="none" w:sz="0" w:space="0" w:color="auto"/>
                            <w:right w:val="none" w:sz="0" w:space="0" w:color="auto"/>
                          </w:divBdr>
                          <w:divsChild>
                            <w:div w:id="932857709">
                              <w:marLeft w:val="0"/>
                              <w:marRight w:val="0"/>
                              <w:marTop w:val="0"/>
                              <w:marBottom w:val="0"/>
                              <w:divBdr>
                                <w:top w:val="none" w:sz="0" w:space="0" w:color="auto"/>
                                <w:left w:val="none" w:sz="0" w:space="0" w:color="auto"/>
                                <w:bottom w:val="none" w:sz="0" w:space="0" w:color="auto"/>
                                <w:right w:val="none" w:sz="0" w:space="0" w:color="auto"/>
                              </w:divBdr>
                              <w:divsChild>
                                <w:div w:id="1076632256">
                                  <w:marLeft w:val="0"/>
                                  <w:marRight w:val="0"/>
                                  <w:marTop w:val="0"/>
                                  <w:marBottom w:val="0"/>
                                  <w:divBdr>
                                    <w:top w:val="none" w:sz="0" w:space="0" w:color="auto"/>
                                    <w:left w:val="none" w:sz="0" w:space="0" w:color="auto"/>
                                    <w:bottom w:val="none" w:sz="0" w:space="0" w:color="auto"/>
                                    <w:right w:val="none" w:sz="0" w:space="0" w:color="auto"/>
                                  </w:divBdr>
                                  <w:divsChild>
                                    <w:div w:id="2102598636">
                                      <w:marLeft w:val="0"/>
                                      <w:marRight w:val="0"/>
                                      <w:marTop w:val="0"/>
                                      <w:marBottom w:val="0"/>
                                      <w:divBdr>
                                        <w:top w:val="none" w:sz="0" w:space="0" w:color="auto"/>
                                        <w:left w:val="none" w:sz="0" w:space="0" w:color="auto"/>
                                        <w:bottom w:val="none" w:sz="0" w:space="0" w:color="auto"/>
                                        <w:right w:val="none" w:sz="0" w:space="0" w:color="auto"/>
                                      </w:divBdr>
                                      <w:divsChild>
                                        <w:div w:id="720057801">
                                          <w:marLeft w:val="0"/>
                                          <w:marRight w:val="0"/>
                                          <w:marTop w:val="0"/>
                                          <w:marBottom w:val="0"/>
                                          <w:divBdr>
                                            <w:top w:val="none" w:sz="0" w:space="0" w:color="auto"/>
                                            <w:left w:val="none" w:sz="0" w:space="0" w:color="auto"/>
                                            <w:bottom w:val="none" w:sz="0" w:space="0" w:color="auto"/>
                                            <w:right w:val="none" w:sz="0" w:space="0" w:color="auto"/>
                                          </w:divBdr>
                                          <w:divsChild>
                                            <w:div w:id="520513564">
                                              <w:marLeft w:val="0"/>
                                              <w:marRight w:val="0"/>
                                              <w:marTop w:val="0"/>
                                              <w:marBottom w:val="0"/>
                                              <w:divBdr>
                                                <w:top w:val="none" w:sz="0" w:space="0" w:color="auto"/>
                                                <w:left w:val="none" w:sz="0" w:space="0" w:color="auto"/>
                                                <w:bottom w:val="none" w:sz="0" w:space="0" w:color="auto"/>
                                                <w:right w:val="none" w:sz="0" w:space="0" w:color="auto"/>
                                              </w:divBdr>
                                              <w:divsChild>
                                                <w:div w:id="1062828959">
                                                  <w:marLeft w:val="0"/>
                                                  <w:marRight w:val="0"/>
                                                  <w:marTop w:val="0"/>
                                                  <w:marBottom w:val="0"/>
                                                  <w:divBdr>
                                                    <w:top w:val="none" w:sz="0" w:space="0" w:color="auto"/>
                                                    <w:left w:val="none" w:sz="0" w:space="0" w:color="auto"/>
                                                    <w:bottom w:val="none" w:sz="0" w:space="0" w:color="auto"/>
                                                    <w:right w:val="none" w:sz="0" w:space="0" w:color="auto"/>
                                                  </w:divBdr>
                                                  <w:divsChild>
                                                    <w:div w:id="578060235">
                                                      <w:marLeft w:val="0"/>
                                                      <w:marRight w:val="0"/>
                                                      <w:marTop w:val="0"/>
                                                      <w:marBottom w:val="0"/>
                                                      <w:divBdr>
                                                        <w:top w:val="none" w:sz="0" w:space="0" w:color="auto"/>
                                                        <w:left w:val="none" w:sz="0" w:space="0" w:color="auto"/>
                                                        <w:bottom w:val="none" w:sz="0" w:space="0" w:color="auto"/>
                                                        <w:right w:val="none" w:sz="0" w:space="0" w:color="auto"/>
                                                      </w:divBdr>
                                                      <w:divsChild>
                                                        <w:div w:id="1036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145545">
      <w:bodyDiv w:val="1"/>
      <w:marLeft w:val="0"/>
      <w:marRight w:val="0"/>
      <w:marTop w:val="0"/>
      <w:marBottom w:val="0"/>
      <w:divBdr>
        <w:top w:val="none" w:sz="0" w:space="0" w:color="auto"/>
        <w:left w:val="none" w:sz="0" w:space="0" w:color="auto"/>
        <w:bottom w:val="none" w:sz="0" w:space="0" w:color="auto"/>
        <w:right w:val="none" w:sz="0" w:space="0" w:color="auto"/>
      </w:divBdr>
      <w:divsChild>
        <w:div w:id="747995126">
          <w:marLeft w:val="0"/>
          <w:marRight w:val="0"/>
          <w:marTop w:val="0"/>
          <w:marBottom w:val="0"/>
          <w:divBdr>
            <w:top w:val="none" w:sz="0" w:space="0" w:color="auto"/>
            <w:left w:val="none" w:sz="0" w:space="0" w:color="auto"/>
            <w:bottom w:val="none" w:sz="0" w:space="0" w:color="auto"/>
            <w:right w:val="none" w:sz="0" w:space="0" w:color="auto"/>
          </w:divBdr>
          <w:divsChild>
            <w:div w:id="1334261802">
              <w:marLeft w:val="0"/>
              <w:marRight w:val="0"/>
              <w:marTop w:val="0"/>
              <w:marBottom w:val="0"/>
              <w:divBdr>
                <w:top w:val="none" w:sz="0" w:space="0" w:color="auto"/>
                <w:left w:val="none" w:sz="0" w:space="0" w:color="auto"/>
                <w:bottom w:val="none" w:sz="0" w:space="0" w:color="auto"/>
                <w:right w:val="none" w:sz="0" w:space="0" w:color="auto"/>
              </w:divBdr>
              <w:divsChild>
                <w:div w:id="543710070">
                  <w:marLeft w:val="0"/>
                  <w:marRight w:val="0"/>
                  <w:marTop w:val="0"/>
                  <w:marBottom w:val="0"/>
                  <w:divBdr>
                    <w:top w:val="none" w:sz="0" w:space="0" w:color="auto"/>
                    <w:left w:val="none" w:sz="0" w:space="0" w:color="auto"/>
                    <w:bottom w:val="none" w:sz="0" w:space="0" w:color="auto"/>
                    <w:right w:val="none" w:sz="0" w:space="0" w:color="auto"/>
                  </w:divBdr>
                  <w:divsChild>
                    <w:div w:id="2126850755">
                      <w:marLeft w:val="0"/>
                      <w:marRight w:val="0"/>
                      <w:marTop w:val="0"/>
                      <w:marBottom w:val="0"/>
                      <w:divBdr>
                        <w:top w:val="none" w:sz="0" w:space="0" w:color="auto"/>
                        <w:left w:val="none" w:sz="0" w:space="0" w:color="auto"/>
                        <w:bottom w:val="none" w:sz="0" w:space="0" w:color="auto"/>
                        <w:right w:val="none" w:sz="0" w:space="0" w:color="auto"/>
                      </w:divBdr>
                      <w:divsChild>
                        <w:div w:id="2132363255">
                          <w:marLeft w:val="0"/>
                          <w:marRight w:val="0"/>
                          <w:marTop w:val="0"/>
                          <w:marBottom w:val="0"/>
                          <w:divBdr>
                            <w:top w:val="none" w:sz="0" w:space="0" w:color="auto"/>
                            <w:left w:val="none" w:sz="0" w:space="0" w:color="auto"/>
                            <w:bottom w:val="none" w:sz="0" w:space="0" w:color="auto"/>
                            <w:right w:val="none" w:sz="0" w:space="0" w:color="auto"/>
                          </w:divBdr>
                          <w:divsChild>
                            <w:div w:id="371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651626">
      <w:bodyDiv w:val="1"/>
      <w:marLeft w:val="0"/>
      <w:marRight w:val="0"/>
      <w:marTop w:val="0"/>
      <w:marBottom w:val="0"/>
      <w:divBdr>
        <w:top w:val="none" w:sz="0" w:space="0" w:color="auto"/>
        <w:left w:val="none" w:sz="0" w:space="0" w:color="auto"/>
        <w:bottom w:val="none" w:sz="0" w:space="0" w:color="auto"/>
        <w:right w:val="none" w:sz="0" w:space="0" w:color="auto"/>
      </w:divBdr>
      <w:divsChild>
        <w:div w:id="64232491">
          <w:marLeft w:val="0"/>
          <w:marRight w:val="0"/>
          <w:marTop w:val="0"/>
          <w:marBottom w:val="0"/>
          <w:divBdr>
            <w:top w:val="none" w:sz="0" w:space="0" w:color="auto"/>
            <w:left w:val="none" w:sz="0" w:space="0" w:color="auto"/>
            <w:bottom w:val="none" w:sz="0" w:space="0" w:color="auto"/>
            <w:right w:val="none" w:sz="0" w:space="0" w:color="auto"/>
          </w:divBdr>
          <w:divsChild>
            <w:div w:id="553657256">
              <w:marLeft w:val="0"/>
              <w:marRight w:val="0"/>
              <w:marTop w:val="0"/>
              <w:marBottom w:val="0"/>
              <w:divBdr>
                <w:top w:val="none" w:sz="0" w:space="0" w:color="auto"/>
                <w:left w:val="none" w:sz="0" w:space="0" w:color="auto"/>
                <w:bottom w:val="none" w:sz="0" w:space="0" w:color="auto"/>
                <w:right w:val="none" w:sz="0" w:space="0" w:color="auto"/>
              </w:divBdr>
              <w:divsChild>
                <w:div w:id="773019421">
                  <w:marLeft w:val="0"/>
                  <w:marRight w:val="0"/>
                  <w:marTop w:val="0"/>
                  <w:marBottom w:val="0"/>
                  <w:divBdr>
                    <w:top w:val="none" w:sz="0" w:space="0" w:color="auto"/>
                    <w:left w:val="none" w:sz="0" w:space="0" w:color="auto"/>
                    <w:bottom w:val="none" w:sz="0" w:space="0" w:color="auto"/>
                    <w:right w:val="none" w:sz="0" w:space="0" w:color="auto"/>
                  </w:divBdr>
                  <w:divsChild>
                    <w:div w:id="1410804670">
                      <w:marLeft w:val="0"/>
                      <w:marRight w:val="0"/>
                      <w:marTop w:val="0"/>
                      <w:marBottom w:val="0"/>
                      <w:divBdr>
                        <w:top w:val="none" w:sz="0" w:space="0" w:color="auto"/>
                        <w:left w:val="none" w:sz="0" w:space="0" w:color="auto"/>
                        <w:bottom w:val="none" w:sz="0" w:space="0" w:color="auto"/>
                        <w:right w:val="none" w:sz="0" w:space="0" w:color="auto"/>
                      </w:divBdr>
                      <w:divsChild>
                        <w:div w:id="879167093">
                          <w:marLeft w:val="0"/>
                          <w:marRight w:val="0"/>
                          <w:marTop w:val="0"/>
                          <w:marBottom w:val="0"/>
                          <w:divBdr>
                            <w:top w:val="none" w:sz="0" w:space="0" w:color="auto"/>
                            <w:left w:val="none" w:sz="0" w:space="0" w:color="auto"/>
                            <w:bottom w:val="none" w:sz="0" w:space="0" w:color="auto"/>
                            <w:right w:val="none" w:sz="0" w:space="0" w:color="auto"/>
                          </w:divBdr>
                        </w:div>
                        <w:div w:id="8887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231789">
      <w:bodyDiv w:val="1"/>
      <w:marLeft w:val="0"/>
      <w:marRight w:val="0"/>
      <w:marTop w:val="0"/>
      <w:marBottom w:val="0"/>
      <w:divBdr>
        <w:top w:val="none" w:sz="0" w:space="0" w:color="auto"/>
        <w:left w:val="none" w:sz="0" w:space="0" w:color="auto"/>
        <w:bottom w:val="none" w:sz="0" w:space="0" w:color="auto"/>
        <w:right w:val="none" w:sz="0" w:space="0" w:color="auto"/>
      </w:divBdr>
      <w:divsChild>
        <w:div w:id="19670907">
          <w:marLeft w:val="0"/>
          <w:marRight w:val="0"/>
          <w:marTop w:val="150"/>
          <w:marBottom w:val="0"/>
          <w:divBdr>
            <w:top w:val="none" w:sz="0" w:space="0" w:color="auto"/>
            <w:left w:val="none" w:sz="0" w:space="0" w:color="auto"/>
            <w:bottom w:val="none" w:sz="0" w:space="0" w:color="auto"/>
            <w:right w:val="none" w:sz="0" w:space="0" w:color="auto"/>
          </w:divBdr>
          <w:divsChild>
            <w:div w:id="1800495101">
              <w:marLeft w:val="2"/>
              <w:marRight w:val="2"/>
              <w:marTop w:val="0"/>
              <w:marBottom w:val="0"/>
              <w:divBdr>
                <w:top w:val="none" w:sz="0" w:space="0" w:color="auto"/>
                <w:left w:val="none" w:sz="0" w:space="0" w:color="auto"/>
                <w:bottom w:val="none" w:sz="0" w:space="0" w:color="auto"/>
                <w:right w:val="none" w:sz="0" w:space="0" w:color="auto"/>
              </w:divBdr>
              <w:divsChild>
                <w:div w:id="2013725122">
                  <w:marLeft w:val="0"/>
                  <w:marRight w:val="0"/>
                  <w:marTop w:val="0"/>
                  <w:marBottom w:val="0"/>
                  <w:divBdr>
                    <w:top w:val="none" w:sz="0" w:space="0" w:color="auto"/>
                    <w:left w:val="none" w:sz="0" w:space="0" w:color="auto"/>
                    <w:bottom w:val="none" w:sz="0" w:space="0" w:color="auto"/>
                    <w:right w:val="none" w:sz="0" w:space="0" w:color="auto"/>
                  </w:divBdr>
                  <w:divsChild>
                    <w:div w:id="1805346783">
                      <w:marLeft w:val="0"/>
                      <w:marRight w:val="0"/>
                      <w:marTop w:val="0"/>
                      <w:marBottom w:val="0"/>
                      <w:divBdr>
                        <w:top w:val="none" w:sz="0" w:space="0" w:color="auto"/>
                        <w:left w:val="none" w:sz="0" w:space="0" w:color="auto"/>
                        <w:bottom w:val="none" w:sz="0" w:space="0" w:color="auto"/>
                        <w:right w:val="none" w:sz="0" w:space="0" w:color="auto"/>
                      </w:divBdr>
                      <w:divsChild>
                        <w:div w:id="2142570826">
                          <w:marLeft w:val="0"/>
                          <w:marRight w:val="0"/>
                          <w:marTop w:val="0"/>
                          <w:marBottom w:val="0"/>
                          <w:divBdr>
                            <w:top w:val="none" w:sz="0" w:space="0" w:color="auto"/>
                            <w:left w:val="none" w:sz="0" w:space="0" w:color="auto"/>
                            <w:bottom w:val="none" w:sz="0" w:space="0" w:color="auto"/>
                            <w:right w:val="none" w:sz="0" w:space="0" w:color="auto"/>
                          </w:divBdr>
                          <w:divsChild>
                            <w:div w:id="166410471">
                              <w:marLeft w:val="0"/>
                              <w:marRight w:val="0"/>
                              <w:marTop w:val="0"/>
                              <w:marBottom w:val="0"/>
                              <w:divBdr>
                                <w:top w:val="none" w:sz="0" w:space="0" w:color="auto"/>
                                <w:left w:val="none" w:sz="0" w:space="0" w:color="auto"/>
                                <w:bottom w:val="none" w:sz="0" w:space="0" w:color="auto"/>
                                <w:right w:val="none" w:sz="0" w:space="0" w:color="auto"/>
                              </w:divBdr>
                              <w:divsChild>
                                <w:div w:id="1431049955">
                                  <w:marLeft w:val="0"/>
                                  <w:marRight w:val="0"/>
                                  <w:marTop w:val="0"/>
                                  <w:marBottom w:val="0"/>
                                  <w:divBdr>
                                    <w:top w:val="none" w:sz="0" w:space="0" w:color="auto"/>
                                    <w:left w:val="none" w:sz="0" w:space="0" w:color="auto"/>
                                    <w:bottom w:val="none" w:sz="0" w:space="0" w:color="auto"/>
                                    <w:right w:val="none" w:sz="0" w:space="0" w:color="auto"/>
                                  </w:divBdr>
                                  <w:divsChild>
                                    <w:div w:id="1383672530">
                                      <w:marLeft w:val="0"/>
                                      <w:marRight w:val="0"/>
                                      <w:marTop w:val="0"/>
                                      <w:marBottom w:val="0"/>
                                      <w:divBdr>
                                        <w:top w:val="none" w:sz="0" w:space="0" w:color="auto"/>
                                        <w:left w:val="none" w:sz="0" w:space="0" w:color="auto"/>
                                        <w:bottom w:val="none" w:sz="0" w:space="0" w:color="auto"/>
                                        <w:right w:val="none" w:sz="0" w:space="0" w:color="auto"/>
                                      </w:divBdr>
                                      <w:divsChild>
                                        <w:div w:id="1775781658">
                                          <w:marLeft w:val="0"/>
                                          <w:marRight w:val="0"/>
                                          <w:marTop w:val="0"/>
                                          <w:marBottom w:val="0"/>
                                          <w:divBdr>
                                            <w:top w:val="none" w:sz="0" w:space="0" w:color="auto"/>
                                            <w:left w:val="none" w:sz="0" w:space="0" w:color="auto"/>
                                            <w:bottom w:val="none" w:sz="0" w:space="0" w:color="auto"/>
                                            <w:right w:val="none" w:sz="0" w:space="0" w:color="auto"/>
                                          </w:divBdr>
                                          <w:divsChild>
                                            <w:div w:id="573902088">
                                              <w:marLeft w:val="0"/>
                                              <w:marRight w:val="0"/>
                                              <w:marTop w:val="0"/>
                                              <w:marBottom w:val="0"/>
                                              <w:divBdr>
                                                <w:top w:val="none" w:sz="0" w:space="0" w:color="auto"/>
                                                <w:left w:val="none" w:sz="0" w:space="0" w:color="auto"/>
                                                <w:bottom w:val="none" w:sz="0" w:space="0" w:color="auto"/>
                                                <w:right w:val="none" w:sz="0" w:space="0" w:color="auto"/>
                                              </w:divBdr>
                                              <w:divsChild>
                                                <w:div w:id="1737245138">
                                                  <w:marLeft w:val="0"/>
                                                  <w:marRight w:val="0"/>
                                                  <w:marTop w:val="0"/>
                                                  <w:marBottom w:val="0"/>
                                                  <w:divBdr>
                                                    <w:top w:val="none" w:sz="0" w:space="0" w:color="auto"/>
                                                    <w:left w:val="none" w:sz="0" w:space="0" w:color="auto"/>
                                                    <w:bottom w:val="none" w:sz="0" w:space="0" w:color="auto"/>
                                                    <w:right w:val="none" w:sz="0" w:space="0" w:color="auto"/>
                                                  </w:divBdr>
                                                </w:div>
                                              </w:divsChild>
                                            </w:div>
                                            <w:div w:id="1074935980">
                                              <w:marLeft w:val="0"/>
                                              <w:marRight w:val="0"/>
                                              <w:marTop w:val="0"/>
                                              <w:marBottom w:val="0"/>
                                              <w:divBdr>
                                                <w:top w:val="none" w:sz="0" w:space="0" w:color="auto"/>
                                                <w:left w:val="none" w:sz="0" w:space="0" w:color="auto"/>
                                                <w:bottom w:val="none" w:sz="0" w:space="0" w:color="auto"/>
                                                <w:right w:val="none" w:sz="0" w:space="0" w:color="auto"/>
                                              </w:divBdr>
                                              <w:divsChild>
                                                <w:div w:id="1795370856">
                                                  <w:marLeft w:val="0"/>
                                                  <w:marRight w:val="0"/>
                                                  <w:marTop w:val="0"/>
                                                  <w:marBottom w:val="0"/>
                                                  <w:divBdr>
                                                    <w:top w:val="none" w:sz="0" w:space="0" w:color="auto"/>
                                                    <w:left w:val="none" w:sz="0" w:space="0" w:color="auto"/>
                                                    <w:bottom w:val="none" w:sz="0" w:space="0" w:color="auto"/>
                                                    <w:right w:val="none" w:sz="0" w:space="0" w:color="auto"/>
                                                  </w:divBdr>
                                                </w:div>
                                              </w:divsChild>
                                            </w:div>
                                            <w:div w:id="1391883288">
                                              <w:marLeft w:val="0"/>
                                              <w:marRight w:val="0"/>
                                              <w:marTop w:val="0"/>
                                              <w:marBottom w:val="0"/>
                                              <w:divBdr>
                                                <w:top w:val="none" w:sz="0" w:space="0" w:color="auto"/>
                                                <w:left w:val="none" w:sz="0" w:space="0" w:color="auto"/>
                                                <w:bottom w:val="none" w:sz="0" w:space="0" w:color="auto"/>
                                                <w:right w:val="none" w:sz="0" w:space="0" w:color="auto"/>
                                              </w:divBdr>
                                              <w:divsChild>
                                                <w:div w:id="841773766">
                                                  <w:marLeft w:val="0"/>
                                                  <w:marRight w:val="0"/>
                                                  <w:marTop w:val="0"/>
                                                  <w:marBottom w:val="0"/>
                                                  <w:divBdr>
                                                    <w:top w:val="none" w:sz="0" w:space="0" w:color="auto"/>
                                                    <w:left w:val="none" w:sz="0" w:space="0" w:color="auto"/>
                                                    <w:bottom w:val="none" w:sz="0" w:space="0" w:color="auto"/>
                                                    <w:right w:val="none" w:sz="0" w:space="0" w:color="auto"/>
                                                  </w:divBdr>
                                                </w:div>
                                              </w:divsChild>
                                            </w:div>
                                            <w:div w:id="1148091557">
                                              <w:marLeft w:val="0"/>
                                              <w:marRight w:val="0"/>
                                              <w:marTop w:val="0"/>
                                              <w:marBottom w:val="0"/>
                                              <w:divBdr>
                                                <w:top w:val="none" w:sz="0" w:space="0" w:color="auto"/>
                                                <w:left w:val="none" w:sz="0" w:space="0" w:color="auto"/>
                                                <w:bottom w:val="none" w:sz="0" w:space="0" w:color="auto"/>
                                                <w:right w:val="none" w:sz="0" w:space="0" w:color="auto"/>
                                              </w:divBdr>
                                              <w:divsChild>
                                                <w:div w:id="17587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571606">
      <w:bodyDiv w:val="1"/>
      <w:marLeft w:val="0"/>
      <w:marRight w:val="0"/>
      <w:marTop w:val="0"/>
      <w:marBottom w:val="0"/>
      <w:divBdr>
        <w:top w:val="none" w:sz="0" w:space="0" w:color="auto"/>
        <w:left w:val="none" w:sz="0" w:space="0" w:color="auto"/>
        <w:bottom w:val="none" w:sz="0" w:space="0" w:color="auto"/>
        <w:right w:val="none" w:sz="0" w:space="0" w:color="auto"/>
      </w:divBdr>
      <w:divsChild>
        <w:div w:id="1822380813">
          <w:marLeft w:val="0"/>
          <w:marRight w:val="0"/>
          <w:marTop w:val="0"/>
          <w:marBottom w:val="0"/>
          <w:divBdr>
            <w:top w:val="none" w:sz="0" w:space="0" w:color="auto"/>
            <w:left w:val="none" w:sz="0" w:space="0" w:color="auto"/>
            <w:bottom w:val="none" w:sz="0" w:space="0" w:color="auto"/>
            <w:right w:val="none" w:sz="0" w:space="0" w:color="auto"/>
          </w:divBdr>
          <w:divsChild>
            <w:div w:id="1448430660">
              <w:marLeft w:val="0"/>
              <w:marRight w:val="0"/>
              <w:marTop w:val="0"/>
              <w:marBottom w:val="0"/>
              <w:divBdr>
                <w:top w:val="none" w:sz="0" w:space="0" w:color="auto"/>
                <w:left w:val="none" w:sz="0" w:space="0" w:color="auto"/>
                <w:bottom w:val="none" w:sz="0" w:space="0" w:color="auto"/>
                <w:right w:val="none" w:sz="0" w:space="0" w:color="auto"/>
              </w:divBdr>
              <w:divsChild>
                <w:div w:id="159734089">
                  <w:marLeft w:val="0"/>
                  <w:marRight w:val="0"/>
                  <w:marTop w:val="0"/>
                  <w:marBottom w:val="0"/>
                  <w:divBdr>
                    <w:top w:val="none" w:sz="0" w:space="0" w:color="auto"/>
                    <w:left w:val="none" w:sz="0" w:space="0" w:color="auto"/>
                    <w:bottom w:val="none" w:sz="0" w:space="0" w:color="auto"/>
                    <w:right w:val="none" w:sz="0" w:space="0" w:color="auto"/>
                  </w:divBdr>
                  <w:divsChild>
                    <w:div w:id="968171699">
                      <w:marLeft w:val="0"/>
                      <w:marRight w:val="0"/>
                      <w:marTop w:val="300"/>
                      <w:marBottom w:val="600"/>
                      <w:divBdr>
                        <w:top w:val="none" w:sz="0" w:space="0" w:color="auto"/>
                        <w:left w:val="none" w:sz="0" w:space="0" w:color="auto"/>
                        <w:bottom w:val="none" w:sz="0" w:space="0" w:color="auto"/>
                        <w:right w:val="none" w:sz="0" w:space="0" w:color="auto"/>
                      </w:divBdr>
                      <w:divsChild>
                        <w:div w:id="842746393">
                          <w:marLeft w:val="0"/>
                          <w:marRight w:val="0"/>
                          <w:marTop w:val="0"/>
                          <w:marBottom w:val="0"/>
                          <w:divBdr>
                            <w:top w:val="none" w:sz="0" w:space="0" w:color="auto"/>
                            <w:left w:val="none" w:sz="0" w:space="0" w:color="auto"/>
                            <w:bottom w:val="none" w:sz="0" w:space="0" w:color="auto"/>
                            <w:right w:val="none" w:sz="0" w:space="0" w:color="auto"/>
                          </w:divBdr>
                          <w:divsChild>
                            <w:div w:id="1527214056">
                              <w:marLeft w:val="0"/>
                              <w:marRight w:val="0"/>
                              <w:marTop w:val="0"/>
                              <w:marBottom w:val="0"/>
                              <w:divBdr>
                                <w:top w:val="none" w:sz="0" w:space="0" w:color="auto"/>
                                <w:left w:val="none" w:sz="0" w:space="0" w:color="auto"/>
                                <w:bottom w:val="none" w:sz="0" w:space="0" w:color="auto"/>
                                <w:right w:val="none" w:sz="0" w:space="0" w:color="auto"/>
                              </w:divBdr>
                              <w:divsChild>
                                <w:div w:id="1542666253">
                                  <w:marLeft w:val="0"/>
                                  <w:marRight w:val="0"/>
                                  <w:marTop w:val="0"/>
                                  <w:marBottom w:val="0"/>
                                  <w:divBdr>
                                    <w:top w:val="none" w:sz="0" w:space="0" w:color="auto"/>
                                    <w:left w:val="none" w:sz="0" w:space="0" w:color="auto"/>
                                    <w:bottom w:val="none" w:sz="0" w:space="0" w:color="auto"/>
                                    <w:right w:val="none" w:sz="0" w:space="0" w:color="auto"/>
                                  </w:divBdr>
                                  <w:divsChild>
                                    <w:div w:id="589780847">
                                      <w:marLeft w:val="0"/>
                                      <w:marRight w:val="0"/>
                                      <w:marTop w:val="150"/>
                                      <w:marBottom w:val="0"/>
                                      <w:divBdr>
                                        <w:top w:val="none" w:sz="0" w:space="0" w:color="auto"/>
                                        <w:left w:val="none" w:sz="0" w:space="0" w:color="auto"/>
                                        <w:bottom w:val="none" w:sz="0" w:space="0" w:color="auto"/>
                                        <w:right w:val="none" w:sz="0" w:space="0" w:color="auto"/>
                                      </w:divBdr>
                                      <w:divsChild>
                                        <w:div w:id="698166503">
                                          <w:marLeft w:val="0"/>
                                          <w:marRight w:val="0"/>
                                          <w:marTop w:val="0"/>
                                          <w:marBottom w:val="0"/>
                                          <w:divBdr>
                                            <w:top w:val="none" w:sz="0" w:space="0" w:color="auto"/>
                                            <w:left w:val="none" w:sz="0" w:space="0" w:color="auto"/>
                                            <w:bottom w:val="none" w:sz="0" w:space="0" w:color="auto"/>
                                            <w:right w:val="none" w:sz="0" w:space="0" w:color="auto"/>
                                          </w:divBdr>
                                          <w:divsChild>
                                            <w:div w:id="297149500">
                                              <w:marLeft w:val="0"/>
                                              <w:marRight w:val="0"/>
                                              <w:marTop w:val="0"/>
                                              <w:marBottom w:val="0"/>
                                              <w:divBdr>
                                                <w:top w:val="none" w:sz="0" w:space="0" w:color="auto"/>
                                                <w:left w:val="none" w:sz="0" w:space="0" w:color="auto"/>
                                                <w:bottom w:val="none" w:sz="0" w:space="0" w:color="auto"/>
                                                <w:right w:val="none" w:sz="0" w:space="0" w:color="auto"/>
                                              </w:divBdr>
                                              <w:divsChild>
                                                <w:div w:id="2182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228376">
      <w:bodyDiv w:val="1"/>
      <w:marLeft w:val="0"/>
      <w:marRight w:val="0"/>
      <w:marTop w:val="0"/>
      <w:marBottom w:val="0"/>
      <w:divBdr>
        <w:top w:val="none" w:sz="0" w:space="0" w:color="auto"/>
        <w:left w:val="none" w:sz="0" w:space="0" w:color="auto"/>
        <w:bottom w:val="none" w:sz="0" w:space="0" w:color="auto"/>
        <w:right w:val="none" w:sz="0" w:space="0" w:color="auto"/>
      </w:divBdr>
      <w:divsChild>
        <w:div w:id="86586303">
          <w:marLeft w:val="0"/>
          <w:marRight w:val="0"/>
          <w:marTop w:val="0"/>
          <w:marBottom w:val="0"/>
          <w:divBdr>
            <w:top w:val="none" w:sz="0" w:space="0" w:color="auto"/>
            <w:left w:val="none" w:sz="0" w:space="0" w:color="auto"/>
            <w:bottom w:val="none" w:sz="0" w:space="0" w:color="auto"/>
            <w:right w:val="none" w:sz="0" w:space="0" w:color="auto"/>
          </w:divBdr>
          <w:divsChild>
            <w:div w:id="561672764">
              <w:marLeft w:val="0"/>
              <w:marRight w:val="0"/>
              <w:marTop w:val="0"/>
              <w:marBottom w:val="0"/>
              <w:divBdr>
                <w:top w:val="none" w:sz="0" w:space="0" w:color="auto"/>
                <w:left w:val="none" w:sz="0" w:space="0" w:color="auto"/>
                <w:bottom w:val="none" w:sz="0" w:space="0" w:color="auto"/>
                <w:right w:val="none" w:sz="0" w:space="0" w:color="auto"/>
              </w:divBdr>
              <w:divsChild>
                <w:div w:id="1106654646">
                  <w:marLeft w:val="0"/>
                  <w:marRight w:val="0"/>
                  <w:marTop w:val="0"/>
                  <w:marBottom w:val="0"/>
                  <w:divBdr>
                    <w:top w:val="none" w:sz="0" w:space="0" w:color="auto"/>
                    <w:left w:val="none" w:sz="0" w:space="0" w:color="auto"/>
                    <w:bottom w:val="none" w:sz="0" w:space="0" w:color="auto"/>
                    <w:right w:val="none" w:sz="0" w:space="0" w:color="auto"/>
                  </w:divBdr>
                  <w:divsChild>
                    <w:div w:id="708918525">
                      <w:marLeft w:val="0"/>
                      <w:marRight w:val="0"/>
                      <w:marTop w:val="0"/>
                      <w:marBottom w:val="0"/>
                      <w:divBdr>
                        <w:top w:val="none" w:sz="0" w:space="0" w:color="auto"/>
                        <w:left w:val="none" w:sz="0" w:space="0" w:color="auto"/>
                        <w:bottom w:val="none" w:sz="0" w:space="0" w:color="auto"/>
                        <w:right w:val="none" w:sz="0" w:space="0" w:color="auto"/>
                      </w:divBdr>
                      <w:divsChild>
                        <w:div w:id="1176187722">
                          <w:marLeft w:val="0"/>
                          <w:marRight w:val="0"/>
                          <w:marTop w:val="0"/>
                          <w:marBottom w:val="0"/>
                          <w:divBdr>
                            <w:top w:val="none" w:sz="0" w:space="0" w:color="auto"/>
                            <w:left w:val="none" w:sz="0" w:space="0" w:color="auto"/>
                            <w:bottom w:val="none" w:sz="0" w:space="0" w:color="auto"/>
                            <w:right w:val="none" w:sz="0" w:space="0" w:color="auto"/>
                          </w:divBdr>
                          <w:divsChild>
                            <w:div w:id="1457718354">
                              <w:marLeft w:val="0"/>
                              <w:marRight w:val="0"/>
                              <w:marTop w:val="0"/>
                              <w:marBottom w:val="0"/>
                              <w:divBdr>
                                <w:top w:val="none" w:sz="0" w:space="0" w:color="auto"/>
                                <w:left w:val="none" w:sz="0" w:space="0" w:color="auto"/>
                                <w:bottom w:val="none" w:sz="0" w:space="0" w:color="auto"/>
                                <w:right w:val="none" w:sz="0" w:space="0" w:color="auto"/>
                              </w:divBdr>
                              <w:divsChild>
                                <w:div w:id="34429030">
                                  <w:marLeft w:val="0"/>
                                  <w:marRight w:val="0"/>
                                  <w:marTop w:val="0"/>
                                  <w:marBottom w:val="0"/>
                                  <w:divBdr>
                                    <w:top w:val="none" w:sz="0" w:space="0" w:color="auto"/>
                                    <w:left w:val="none" w:sz="0" w:space="0" w:color="auto"/>
                                    <w:bottom w:val="none" w:sz="0" w:space="0" w:color="auto"/>
                                    <w:right w:val="none" w:sz="0" w:space="0" w:color="auto"/>
                                  </w:divBdr>
                                  <w:divsChild>
                                    <w:div w:id="877353880">
                                      <w:marLeft w:val="0"/>
                                      <w:marRight w:val="0"/>
                                      <w:marTop w:val="0"/>
                                      <w:marBottom w:val="0"/>
                                      <w:divBdr>
                                        <w:top w:val="none" w:sz="0" w:space="0" w:color="auto"/>
                                        <w:left w:val="none" w:sz="0" w:space="0" w:color="auto"/>
                                        <w:bottom w:val="none" w:sz="0" w:space="0" w:color="auto"/>
                                        <w:right w:val="none" w:sz="0" w:space="0" w:color="auto"/>
                                      </w:divBdr>
                                      <w:divsChild>
                                        <w:div w:id="11206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372977">
      <w:bodyDiv w:val="1"/>
      <w:marLeft w:val="0"/>
      <w:marRight w:val="0"/>
      <w:marTop w:val="0"/>
      <w:marBottom w:val="0"/>
      <w:divBdr>
        <w:top w:val="none" w:sz="0" w:space="0" w:color="auto"/>
        <w:left w:val="none" w:sz="0" w:space="0" w:color="auto"/>
        <w:bottom w:val="none" w:sz="0" w:space="0" w:color="auto"/>
        <w:right w:val="none" w:sz="0" w:space="0" w:color="auto"/>
      </w:divBdr>
      <w:divsChild>
        <w:div w:id="586227689">
          <w:marLeft w:val="0"/>
          <w:marRight w:val="0"/>
          <w:marTop w:val="0"/>
          <w:marBottom w:val="0"/>
          <w:divBdr>
            <w:top w:val="single" w:sz="4" w:space="0" w:color="0E477A"/>
            <w:left w:val="single" w:sz="4" w:space="0" w:color="0E477A"/>
            <w:bottom w:val="single" w:sz="4" w:space="0" w:color="0E477A"/>
            <w:right w:val="single" w:sz="4" w:space="0" w:color="0E477A"/>
          </w:divBdr>
          <w:divsChild>
            <w:div w:id="577911186">
              <w:marLeft w:val="2442"/>
              <w:marRight w:val="0"/>
              <w:marTop w:val="0"/>
              <w:marBottom w:val="0"/>
              <w:divBdr>
                <w:top w:val="none" w:sz="0" w:space="0" w:color="auto"/>
                <w:left w:val="none" w:sz="0" w:space="0" w:color="auto"/>
                <w:bottom w:val="none" w:sz="0" w:space="0" w:color="auto"/>
                <w:right w:val="none" w:sz="0" w:space="0" w:color="auto"/>
              </w:divBdr>
              <w:divsChild>
                <w:div w:id="1193151313">
                  <w:marLeft w:val="0"/>
                  <w:marRight w:val="0"/>
                  <w:marTop w:val="0"/>
                  <w:marBottom w:val="0"/>
                  <w:divBdr>
                    <w:top w:val="none" w:sz="0" w:space="0" w:color="auto"/>
                    <w:left w:val="none" w:sz="0" w:space="0" w:color="auto"/>
                    <w:bottom w:val="none" w:sz="0" w:space="0" w:color="auto"/>
                    <w:right w:val="none" w:sz="0" w:space="0" w:color="auto"/>
                  </w:divBdr>
                  <w:divsChild>
                    <w:div w:id="982273041">
                      <w:marLeft w:val="0"/>
                      <w:marRight w:val="125"/>
                      <w:marTop w:val="0"/>
                      <w:marBottom w:val="0"/>
                      <w:divBdr>
                        <w:top w:val="single" w:sz="4" w:space="0" w:color="CCCCCC"/>
                        <w:left w:val="single" w:sz="4" w:space="6" w:color="CCCCCC"/>
                        <w:bottom w:val="single" w:sz="4" w:space="6" w:color="CCCCCC"/>
                        <w:right w:val="single" w:sz="4" w:space="6" w:color="CCCCCC"/>
                      </w:divBdr>
                      <w:divsChild>
                        <w:div w:id="1900241748">
                          <w:marLeft w:val="0"/>
                          <w:marRight w:val="0"/>
                          <w:marTop w:val="0"/>
                          <w:marBottom w:val="0"/>
                          <w:divBdr>
                            <w:top w:val="none" w:sz="0" w:space="0" w:color="auto"/>
                            <w:left w:val="none" w:sz="0" w:space="0" w:color="auto"/>
                            <w:bottom w:val="none" w:sz="0" w:space="0" w:color="auto"/>
                            <w:right w:val="none" w:sz="0" w:space="0" w:color="auto"/>
                          </w:divBdr>
                        </w:div>
                        <w:div w:id="1025401191">
                          <w:marLeft w:val="0"/>
                          <w:marRight w:val="0"/>
                          <w:marTop w:val="0"/>
                          <w:marBottom w:val="0"/>
                          <w:divBdr>
                            <w:top w:val="none" w:sz="0" w:space="0" w:color="auto"/>
                            <w:left w:val="none" w:sz="0" w:space="0" w:color="auto"/>
                            <w:bottom w:val="none" w:sz="0" w:space="0" w:color="auto"/>
                            <w:right w:val="none" w:sz="0" w:space="0" w:color="auto"/>
                          </w:divBdr>
                        </w:div>
                        <w:div w:id="1380089461">
                          <w:marLeft w:val="0"/>
                          <w:marRight w:val="0"/>
                          <w:marTop w:val="0"/>
                          <w:marBottom w:val="0"/>
                          <w:divBdr>
                            <w:top w:val="none" w:sz="0" w:space="0" w:color="auto"/>
                            <w:left w:val="none" w:sz="0" w:space="0" w:color="auto"/>
                            <w:bottom w:val="none" w:sz="0" w:space="0" w:color="auto"/>
                            <w:right w:val="none" w:sz="0" w:space="0" w:color="auto"/>
                          </w:divBdr>
                        </w:div>
                        <w:div w:id="1938102352">
                          <w:marLeft w:val="0"/>
                          <w:marRight w:val="0"/>
                          <w:marTop w:val="0"/>
                          <w:marBottom w:val="0"/>
                          <w:divBdr>
                            <w:top w:val="none" w:sz="0" w:space="0" w:color="auto"/>
                            <w:left w:val="none" w:sz="0" w:space="0" w:color="auto"/>
                            <w:bottom w:val="none" w:sz="0" w:space="0" w:color="auto"/>
                            <w:right w:val="none" w:sz="0" w:space="0" w:color="auto"/>
                          </w:divBdr>
                        </w:div>
                        <w:div w:id="933631558">
                          <w:marLeft w:val="0"/>
                          <w:marRight w:val="0"/>
                          <w:marTop w:val="0"/>
                          <w:marBottom w:val="0"/>
                          <w:divBdr>
                            <w:top w:val="none" w:sz="0" w:space="0" w:color="auto"/>
                            <w:left w:val="none" w:sz="0" w:space="0" w:color="auto"/>
                            <w:bottom w:val="none" w:sz="0" w:space="0" w:color="auto"/>
                            <w:right w:val="none" w:sz="0" w:space="0" w:color="auto"/>
                          </w:divBdr>
                        </w:div>
                        <w:div w:id="432171064">
                          <w:marLeft w:val="0"/>
                          <w:marRight w:val="0"/>
                          <w:marTop w:val="0"/>
                          <w:marBottom w:val="0"/>
                          <w:divBdr>
                            <w:top w:val="none" w:sz="0" w:space="0" w:color="auto"/>
                            <w:left w:val="none" w:sz="0" w:space="0" w:color="auto"/>
                            <w:bottom w:val="none" w:sz="0" w:space="0" w:color="auto"/>
                            <w:right w:val="none" w:sz="0" w:space="0" w:color="auto"/>
                          </w:divBdr>
                        </w:div>
                        <w:div w:id="1556233208">
                          <w:marLeft w:val="0"/>
                          <w:marRight w:val="0"/>
                          <w:marTop w:val="0"/>
                          <w:marBottom w:val="0"/>
                          <w:divBdr>
                            <w:top w:val="none" w:sz="0" w:space="0" w:color="auto"/>
                            <w:left w:val="none" w:sz="0" w:space="0" w:color="auto"/>
                            <w:bottom w:val="none" w:sz="0" w:space="0" w:color="auto"/>
                            <w:right w:val="none" w:sz="0" w:space="0" w:color="auto"/>
                          </w:divBdr>
                        </w:div>
                        <w:div w:id="935937850">
                          <w:marLeft w:val="0"/>
                          <w:marRight w:val="0"/>
                          <w:marTop w:val="0"/>
                          <w:marBottom w:val="0"/>
                          <w:divBdr>
                            <w:top w:val="none" w:sz="0" w:space="0" w:color="auto"/>
                            <w:left w:val="none" w:sz="0" w:space="0" w:color="auto"/>
                            <w:bottom w:val="none" w:sz="0" w:space="0" w:color="auto"/>
                            <w:right w:val="none" w:sz="0" w:space="0" w:color="auto"/>
                          </w:divBdr>
                        </w:div>
                        <w:div w:id="6571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804064">
      <w:bodyDiv w:val="1"/>
      <w:marLeft w:val="0"/>
      <w:marRight w:val="0"/>
      <w:marTop w:val="0"/>
      <w:marBottom w:val="0"/>
      <w:divBdr>
        <w:top w:val="none" w:sz="0" w:space="0" w:color="auto"/>
        <w:left w:val="none" w:sz="0" w:space="0" w:color="auto"/>
        <w:bottom w:val="none" w:sz="0" w:space="0" w:color="auto"/>
        <w:right w:val="none" w:sz="0" w:space="0" w:color="auto"/>
      </w:divBdr>
      <w:divsChild>
        <w:div w:id="139158129">
          <w:marLeft w:val="0"/>
          <w:marRight w:val="0"/>
          <w:marTop w:val="0"/>
          <w:marBottom w:val="0"/>
          <w:divBdr>
            <w:top w:val="single" w:sz="2" w:space="0" w:color="AAAAAA"/>
            <w:left w:val="single" w:sz="6" w:space="8" w:color="AAAAAA"/>
            <w:bottom w:val="single" w:sz="2" w:space="0" w:color="AAAAAA"/>
            <w:right w:val="single" w:sz="6" w:space="8" w:color="AAAAAA"/>
          </w:divBdr>
          <w:divsChild>
            <w:div w:id="1149397777">
              <w:marLeft w:val="0"/>
              <w:marRight w:val="0"/>
              <w:marTop w:val="0"/>
              <w:marBottom w:val="0"/>
              <w:divBdr>
                <w:top w:val="none" w:sz="0" w:space="0" w:color="auto"/>
                <w:left w:val="none" w:sz="0" w:space="0" w:color="auto"/>
                <w:bottom w:val="none" w:sz="0" w:space="0" w:color="auto"/>
                <w:right w:val="none" w:sz="0" w:space="0" w:color="auto"/>
              </w:divBdr>
              <w:divsChild>
                <w:div w:id="1594777485">
                  <w:marLeft w:val="0"/>
                  <w:marRight w:val="0"/>
                  <w:marTop w:val="0"/>
                  <w:marBottom w:val="0"/>
                  <w:divBdr>
                    <w:top w:val="none" w:sz="0" w:space="0" w:color="auto"/>
                    <w:left w:val="none" w:sz="0" w:space="0" w:color="auto"/>
                    <w:bottom w:val="none" w:sz="0" w:space="0" w:color="auto"/>
                    <w:right w:val="none" w:sz="0" w:space="0" w:color="auto"/>
                  </w:divBdr>
                  <w:divsChild>
                    <w:div w:id="1940796619">
                      <w:marLeft w:val="0"/>
                      <w:marRight w:val="2550"/>
                      <w:marTop w:val="0"/>
                      <w:marBottom w:val="48"/>
                      <w:divBdr>
                        <w:top w:val="none" w:sz="0" w:space="0" w:color="auto"/>
                        <w:left w:val="none" w:sz="0" w:space="0" w:color="auto"/>
                        <w:bottom w:val="none" w:sz="0" w:space="0" w:color="auto"/>
                        <w:right w:val="none" w:sz="0" w:space="0" w:color="auto"/>
                      </w:divBdr>
                      <w:divsChild>
                        <w:div w:id="113825814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44073160">
      <w:bodyDiv w:val="1"/>
      <w:marLeft w:val="0"/>
      <w:marRight w:val="0"/>
      <w:marTop w:val="0"/>
      <w:marBottom w:val="0"/>
      <w:divBdr>
        <w:top w:val="none" w:sz="0" w:space="0" w:color="auto"/>
        <w:left w:val="none" w:sz="0" w:space="0" w:color="auto"/>
        <w:bottom w:val="none" w:sz="0" w:space="0" w:color="auto"/>
        <w:right w:val="none" w:sz="0" w:space="0" w:color="auto"/>
      </w:divBdr>
      <w:divsChild>
        <w:div w:id="748965404">
          <w:marLeft w:val="0"/>
          <w:marRight w:val="0"/>
          <w:marTop w:val="0"/>
          <w:marBottom w:val="0"/>
          <w:divBdr>
            <w:top w:val="none" w:sz="0" w:space="0" w:color="auto"/>
            <w:left w:val="none" w:sz="0" w:space="0" w:color="auto"/>
            <w:bottom w:val="none" w:sz="0" w:space="0" w:color="auto"/>
            <w:right w:val="none" w:sz="0" w:space="0" w:color="auto"/>
          </w:divBdr>
          <w:divsChild>
            <w:div w:id="1748839205">
              <w:marLeft w:val="0"/>
              <w:marRight w:val="0"/>
              <w:marTop w:val="0"/>
              <w:marBottom w:val="0"/>
              <w:divBdr>
                <w:top w:val="none" w:sz="0" w:space="0" w:color="auto"/>
                <w:left w:val="none" w:sz="0" w:space="0" w:color="auto"/>
                <w:bottom w:val="none" w:sz="0" w:space="0" w:color="auto"/>
                <w:right w:val="none" w:sz="0" w:space="0" w:color="auto"/>
              </w:divBdr>
              <w:divsChild>
                <w:div w:id="1140922609">
                  <w:marLeft w:val="0"/>
                  <w:marRight w:val="0"/>
                  <w:marTop w:val="0"/>
                  <w:marBottom w:val="0"/>
                  <w:divBdr>
                    <w:top w:val="none" w:sz="0" w:space="0" w:color="auto"/>
                    <w:left w:val="none" w:sz="0" w:space="0" w:color="auto"/>
                    <w:bottom w:val="none" w:sz="0" w:space="0" w:color="auto"/>
                    <w:right w:val="none" w:sz="0" w:space="0" w:color="auto"/>
                  </w:divBdr>
                  <w:divsChild>
                    <w:div w:id="2032411659">
                      <w:marLeft w:val="0"/>
                      <w:marRight w:val="0"/>
                      <w:marTop w:val="0"/>
                      <w:marBottom w:val="0"/>
                      <w:divBdr>
                        <w:top w:val="none" w:sz="0" w:space="0" w:color="auto"/>
                        <w:left w:val="none" w:sz="0" w:space="0" w:color="auto"/>
                        <w:bottom w:val="none" w:sz="0" w:space="0" w:color="auto"/>
                        <w:right w:val="none" w:sz="0" w:space="0" w:color="auto"/>
                      </w:divBdr>
                      <w:divsChild>
                        <w:div w:id="17015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272116">
      <w:bodyDiv w:val="1"/>
      <w:marLeft w:val="0"/>
      <w:marRight w:val="0"/>
      <w:marTop w:val="0"/>
      <w:marBottom w:val="0"/>
      <w:divBdr>
        <w:top w:val="none" w:sz="0" w:space="0" w:color="auto"/>
        <w:left w:val="none" w:sz="0" w:space="0" w:color="auto"/>
        <w:bottom w:val="none" w:sz="0" w:space="0" w:color="auto"/>
        <w:right w:val="none" w:sz="0" w:space="0" w:color="auto"/>
      </w:divBdr>
      <w:divsChild>
        <w:div w:id="1220359130">
          <w:marLeft w:val="0"/>
          <w:marRight w:val="0"/>
          <w:marTop w:val="150"/>
          <w:marBottom w:val="0"/>
          <w:divBdr>
            <w:top w:val="none" w:sz="0" w:space="0" w:color="auto"/>
            <w:left w:val="none" w:sz="0" w:space="0" w:color="auto"/>
            <w:bottom w:val="none" w:sz="0" w:space="0" w:color="auto"/>
            <w:right w:val="none" w:sz="0" w:space="0" w:color="auto"/>
          </w:divBdr>
          <w:divsChild>
            <w:div w:id="1688098340">
              <w:marLeft w:val="2"/>
              <w:marRight w:val="2"/>
              <w:marTop w:val="0"/>
              <w:marBottom w:val="0"/>
              <w:divBdr>
                <w:top w:val="none" w:sz="0" w:space="0" w:color="auto"/>
                <w:left w:val="none" w:sz="0" w:space="0" w:color="auto"/>
                <w:bottom w:val="none" w:sz="0" w:space="0" w:color="auto"/>
                <w:right w:val="none" w:sz="0" w:space="0" w:color="auto"/>
              </w:divBdr>
              <w:divsChild>
                <w:div w:id="1979144351">
                  <w:marLeft w:val="0"/>
                  <w:marRight w:val="0"/>
                  <w:marTop w:val="0"/>
                  <w:marBottom w:val="0"/>
                  <w:divBdr>
                    <w:top w:val="none" w:sz="0" w:space="0" w:color="auto"/>
                    <w:left w:val="none" w:sz="0" w:space="0" w:color="auto"/>
                    <w:bottom w:val="none" w:sz="0" w:space="0" w:color="auto"/>
                    <w:right w:val="none" w:sz="0" w:space="0" w:color="auto"/>
                  </w:divBdr>
                  <w:divsChild>
                    <w:div w:id="162549348">
                      <w:marLeft w:val="0"/>
                      <w:marRight w:val="0"/>
                      <w:marTop w:val="0"/>
                      <w:marBottom w:val="0"/>
                      <w:divBdr>
                        <w:top w:val="none" w:sz="0" w:space="0" w:color="auto"/>
                        <w:left w:val="none" w:sz="0" w:space="0" w:color="auto"/>
                        <w:bottom w:val="none" w:sz="0" w:space="0" w:color="auto"/>
                        <w:right w:val="none" w:sz="0" w:space="0" w:color="auto"/>
                      </w:divBdr>
                      <w:divsChild>
                        <w:div w:id="1465002237">
                          <w:marLeft w:val="0"/>
                          <w:marRight w:val="0"/>
                          <w:marTop w:val="0"/>
                          <w:marBottom w:val="0"/>
                          <w:divBdr>
                            <w:top w:val="none" w:sz="0" w:space="0" w:color="auto"/>
                            <w:left w:val="none" w:sz="0" w:space="0" w:color="auto"/>
                            <w:bottom w:val="none" w:sz="0" w:space="0" w:color="auto"/>
                            <w:right w:val="none" w:sz="0" w:space="0" w:color="auto"/>
                          </w:divBdr>
                          <w:divsChild>
                            <w:div w:id="943998926">
                              <w:marLeft w:val="0"/>
                              <w:marRight w:val="0"/>
                              <w:marTop w:val="0"/>
                              <w:marBottom w:val="0"/>
                              <w:divBdr>
                                <w:top w:val="none" w:sz="0" w:space="0" w:color="auto"/>
                                <w:left w:val="none" w:sz="0" w:space="0" w:color="auto"/>
                                <w:bottom w:val="none" w:sz="0" w:space="0" w:color="auto"/>
                                <w:right w:val="none" w:sz="0" w:space="0" w:color="auto"/>
                              </w:divBdr>
                              <w:divsChild>
                                <w:div w:id="831798715">
                                  <w:marLeft w:val="0"/>
                                  <w:marRight w:val="0"/>
                                  <w:marTop w:val="0"/>
                                  <w:marBottom w:val="0"/>
                                  <w:divBdr>
                                    <w:top w:val="none" w:sz="0" w:space="0" w:color="auto"/>
                                    <w:left w:val="none" w:sz="0" w:space="0" w:color="auto"/>
                                    <w:bottom w:val="none" w:sz="0" w:space="0" w:color="auto"/>
                                    <w:right w:val="none" w:sz="0" w:space="0" w:color="auto"/>
                                  </w:divBdr>
                                  <w:divsChild>
                                    <w:div w:id="1536045841">
                                      <w:marLeft w:val="0"/>
                                      <w:marRight w:val="0"/>
                                      <w:marTop w:val="0"/>
                                      <w:marBottom w:val="0"/>
                                      <w:divBdr>
                                        <w:top w:val="none" w:sz="0" w:space="0" w:color="auto"/>
                                        <w:left w:val="none" w:sz="0" w:space="0" w:color="auto"/>
                                        <w:bottom w:val="none" w:sz="0" w:space="0" w:color="auto"/>
                                        <w:right w:val="none" w:sz="0" w:space="0" w:color="auto"/>
                                      </w:divBdr>
                                      <w:divsChild>
                                        <w:div w:id="88503823">
                                          <w:marLeft w:val="0"/>
                                          <w:marRight w:val="0"/>
                                          <w:marTop w:val="0"/>
                                          <w:marBottom w:val="0"/>
                                          <w:divBdr>
                                            <w:top w:val="none" w:sz="0" w:space="0" w:color="auto"/>
                                            <w:left w:val="none" w:sz="0" w:space="0" w:color="auto"/>
                                            <w:bottom w:val="none" w:sz="0" w:space="0" w:color="auto"/>
                                            <w:right w:val="none" w:sz="0" w:space="0" w:color="auto"/>
                                          </w:divBdr>
                                          <w:divsChild>
                                            <w:div w:id="1536582983">
                                              <w:marLeft w:val="0"/>
                                              <w:marRight w:val="0"/>
                                              <w:marTop w:val="0"/>
                                              <w:marBottom w:val="0"/>
                                              <w:divBdr>
                                                <w:top w:val="none" w:sz="0" w:space="0" w:color="auto"/>
                                                <w:left w:val="none" w:sz="0" w:space="0" w:color="auto"/>
                                                <w:bottom w:val="none" w:sz="0" w:space="0" w:color="auto"/>
                                                <w:right w:val="none" w:sz="0" w:space="0" w:color="auto"/>
                                              </w:divBdr>
                                              <w:divsChild>
                                                <w:div w:id="728766965">
                                                  <w:marLeft w:val="0"/>
                                                  <w:marRight w:val="0"/>
                                                  <w:marTop w:val="0"/>
                                                  <w:marBottom w:val="0"/>
                                                  <w:divBdr>
                                                    <w:top w:val="none" w:sz="0" w:space="0" w:color="auto"/>
                                                    <w:left w:val="none" w:sz="0" w:space="0" w:color="auto"/>
                                                    <w:bottom w:val="none" w:sz="0" w:space="0" w:color="auto"/>
                                                    <w:right w:val="none" w:sz="0" w:space="0" w:color="auto"/>
                                                  </w:divBdr>
                                                </w:div>
                                              </w:divsChild>
                                            </w:div>
                                            <w:div w:id="1866363915">
                                              <w:marLeft w:val="0"/>
                                              <w:marRight w:val="0"/>
                                              <w:marTop w:val="0"/>
                                              <w:marBottom w:val="0"/>
                                              <w:divBdr>
                                                <w:top w:val="none" w:sz="0" w:space="0" w:color="auto"/>
                                                <w:left w:val="none" w:sz="0" w:space="0" w:color="auto"/>
                                                <w:bottom w:val="none" w:sz="0" w:space="0" w:color="auto"/>
                                                <w:right w:val="none" w:sz="0" w:space="0" w:color="auto"/>
                                              </w:divBdr>
                                              <w:divsChild>
                                                <w:div w:id="2019654641">
                                                  <w:marLeft w:val="0"/>
                                                  <w:marRight w:val="0"/>
                                                  <w:marTop w:val="0"/>
                                                  <w:marBottom w:val="0"/>
                                                  <w:divBdr>
                                                    <w:top w:val="none" w:sz="0" w:space="0" w:color="auto"/>
                                                    <w:left w:val="none" w:sz="0" w:space="0" w:color="auto"/>
                                                    <w:bottom w:val="none" w:sz="0" w:space="0" w:color="auto"/>
                                                    <w:right w:val="none" w:sz="0" w:space="0" w:color="auto"/>
                                                  </w:divBdr>
                                                </w:div>
                                              </w:divsChild>
                                            </w:div>
                                            <w:div w:id="1456826880">
                                              <w:marLeft w:val="0"/>
                                              <w:marRight w:val="0"/>
                                              <w:marTop w:val="0"/>
                                              <w:marBottom w:val="0"/>
                                              <w:divBdr>
                                                <w:top w:val="none" w:sz="0" w:space="0" w:color="auto"/>
                                                <w:left w:val="none" w:sz="0" w:space="0" w:color="auto"/>
                                                <w:bottom w:val="none" w:sz="0" w:space="0" w:color="auto"/>
                                                <w:right w:val="none" w:sz="0" w:space="0" w:color="auto"/>
                                              </w:divBdr>
                                              <w:divsChild>
                                                <w:div w:id="1946691362">
                                                  <w:marLeft w:val="0"/>
                                                  <w:marRight w:val="0"/>
                                                  <w:marTop w:val="0"/>
                                                  <w:marBottom w:val="0"/>
                                                  <w:divBdr>
                                                    <w:top w:val="none" w:sz="0" w:space="0" w:color="auto"/>
                                                    <w:left w:val="none" w:sz="0" w:space="0" w:color="auto"/>
                                                    <w:bottom w:val="none" w:sz="0" w:space="0" w:color="auto"/>
                                                    <w:right w:val="none" w:sz="0" w:space="0" w:color="auto"/>
                                                  </w:divBdr>
                                                </w:div>
                                              </w:divsChild>
                                            </w:div>
                                            <w:div w:id="1541354306">
                                              <w:marLeft w:val="0"/>
                                              <w:marRight w:val="0"/>
                                              <w:marTop w:val="0"/>
                                              <w:marBottom w:val="0"/>
                                              <w:divBdr>
                                                <w:top w:val="none" w:sz="0" w:space="0" w:color="auto"/>
                                                <w:left w:val="none" w:sz="0" w:space="0" w:color="auto"/>
                                                <w:bottom w:val="none" w:sz="0" w:space="0" w:color="auto"/>
                                                <w:right w:val="none" w:sz="0" w:space="0" w:color="auto"/>
                                              </w:divBdr>
                                              <w:divsChild>
                                                <w:div w:id="7457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038771">
      <w:bodyDiv w:val="1"/>
      <w:marLeft w:val="0"/>
      <w:marRight w:val="0"/>
      <w:marTop w:val="0"/>
      <w:marBottom w:val="0"/>
      <w:divBdr>
        <w:top w:val="none" w:sz="0" w:space="0" w:color="auto"/>
        <w:left w:val="none" w:sz="0" w:space="0" w:color="auto"/>
        <w:bottom w:val="none" w:sz="0" w:space="0" w:color="auto"/>
        <w:right w:val="none" w:sz="0" w:space="0" w:color="auto"/>
      </w:divBdr>
      <w:divsChild>
        <w:div w:id="990791356">
          <w:marLeft w:val="0"/>
          <w:marRight w:val="0"/>
          <w:marTop w:val="0"/>
          <w:marBottom w:val="0"/>
          <w:divBdr>
            <w:top w:val="none" w:sz="0" w:space="0" w:color="auto"/>
            <w:left w:val="none" w:sz="0" w:space="0" w:color="auto"/>
            <w:bottom w:val="none" w:sz="0" w:space="0" w:color="auto"/>
            <w:right w:val="none" w:sz="0" w:space="0" w:color="auto"/>
          </w:divBdr>
          <w:divsChild>
            <w:div w:id="164131966">
              <w:marLeft w:val="0"/>
              <w:marRight w:val="0"/>
              <w:marTop w:val="0"/>
              <w:marBottom w:val="0"/>
              <w:divBdr>
                <w:top w:val="single" w:sz="6" w:space="0" w:color="0E477A"/>
                <w:left w:val="single" w:sz="6" w:space="0" w:color="0E477A"/>
                <w:bottom w:val="single" w:sz="6" w:space="0" w:color="0E477A"/>
                <w:right w:val="single" w:sz="6" w:space="0" w:color="0E477A"/>
              </w:divBdr>
              <w:divsChild>
                <w:div w:id="1476490118">
                  <w:marLeft w:val="0"/>
                  <w:marRight w:val="0"/>
                  <w:marTop w:val="0"/>
                  <w:marBottom w:val="0"/>
                  <w:divBdr>
                    <w:top w:val="none" w:sz="0" w:space="0" w:color="auto"/>
                    <w:left w:val="none" w:sz="0" w:space="0" w:color="auto"/>
                    <w:bottom w:val="none" w:sz="0" w:space="0" w:color="auto"/>
                    <w:right w:val="none" w:sz="0" w:space="0" w:color="auto"/>
                  </w:divBdr>
                  <w:divsChild>
                    <w:div w:id="2087065047">
                      <w:marLeft w:val="0"/>
                      <w:marRight w:val="0"/>
                      <w:marTop w:val="0"/>
                      <w:marBottom w:val="0"/>
                      <w:divBdr>
                        <w:top w:val="none" w:sz="0" w:space="0" w:color="auto"/>
                        <w:left w:val="none" w:sz="0" w:space="0" w:color="auto"/>
                        <w:bottom w:val="none" w:sz="0" w:space="0" w:color="auto"/>
                        <w:right w:val="none" w:sz="0" w:space="0" w:color="auto"/>
                      </w:divBdr>
                      <w:divsChild>
                        <w:div w:id="1667443468">
                          <w:marLeft w:val="0"/>
                          <w:marRight w:val="0"/>
                          <w:marTop w:val="0"/>
                          <w:marBottom w:val="0"/>
                          <w:divBdr>
                            <w:top w:val="none" w:sz="0" w:space="0" w:color="auto"/>
                            <w:left w:val="none" w:sz="0" w:space="0" w:color="auto"/>
                            <w:bottom w:val="none" w:sz="0" w:space="0" w:color="auto"/>
                            <w:right w:val="none" w:sz="0" w:space="0" w:color="auto"/>
                          </w:divBdr>
                          <w:divsChild>
                            <w:div w:id="1144352718">
                              <w:marLeft w:val="0"/>
                              <w:marRight w:val="0"/>
                              <w:marTop w:val="0"/>
                              <w:marBottom w:val="0"/>
                              <w:divBdr>
                                <w:top w:val="none" w:sz="0" w:space="0" w:color="auto"/>
                                <w:left w:val="none" w:sz="0" w:space="0" w:color="auto"/>
                                <w:bottom w:val="none" w:sz="0" w:space="0" w:color="auto"/>
                                <w:right w:val="none" w:sz="0" w:space="0" w:color="auto"/>
                              </w:divBdr>
                              <w:divsChild>
                                <w:div w:id="506486412">
                                  <w:marLeft w:val="0"/>
                                  <w:marRight w:val="0"/>
                                  <w:marTop w:val="0"/>
                                  <w:marBottom w:val="0"/>
                                  <w:divBdr>
                                    <w:top w:val="none" w:sz="0" w:space="0" w:color="auto"/>
                                    <w:left w:val="none" w:sz="0" w:space="0" w:color="auto"/>
                                    <w:bottom w:val="none" w:sz="0" w:space="0" w:color="auto"/>
                                    <w:right w:val="none" w:sz="0" w:space="0" w:color="auto"/>
                                  </w:divBdr>
                                  <w:divsChild>
                                    <w:div w:id="1267349832">
                                      <w:marLeft w:val="0"/>
                                      <w:marRight w:val="0"/>
                                      <w:marTop w:val="0"/>
                                      <w:marBottom w:val="0"/>
                                      <w:divBdr>
                                        <w:top w:val="none" w:sz="0" w:space="0" w:color="auto"/>
                                        <w:left w:val="none" w:sz="0" w:space="0" w:color="auto"/>
                                        <w:bottom w:val="none" w:sz="0" w:space="0" w:color="auto"/>
                                        <w:right w:val="none" w:sz="0" w:space="0" w:color="auto"/>
                                      </w:divBdr>
                                      <w:divsChild>
                                        <w:div w:id="1156797341">
                                          <w:marLeft w:val="0"/>
                                          <w:marRight w:val="0"/>
                                          <w:marTop w:val="0"/>
                                          <w:marBottom w:val="0"/>
                                          <w:divBdr>
                                            <w:top w:val="none" w:sz="0" w:space="0" w:color="auto"/>
                                            <w:left w:val="none" w:sz="0" w:space="0" w:color="auto"/>
                                            <w:bottom w:val="none" w:sz="0" w:space="0" w:color="auto"/>
                                            <w:right w:val="none" w:sz="0" w:space="0" w:color="auto"/>
                                          </w:divBdr>
                                          <w:divsChild>
                                            <w:div w:id="1060132538">
                                              <w:marLeft w:val="0"/>
                                              <w:marRight w:val="0"/>
                                              <w:marTop w:val="0"/>
                                              <w:marBottom w:val="0"/>
                                              <w:divBdr>
                                                <w:top w:val="none" w:sz="0" w:space="0" w:color="auto"/>
                                                <w:left w:val="none" w:sz="0" w:space="0" w:color="auto"/>
                                                <w:bottom w:val="none" w:sz="0" w:space="0" w:color="auto"/>
                                                <w:right w:val="none" w:sz="0" w:space="0" w:color="auto"/>
                                              </w:divBdr>
                                              <w:divsChild>
                                                <w:div w:id="336621504">
                                                  <w:marLeft w:val="0"/>
                                                  <w:marRight w:val="0"/>
                                                  <w:marTop w:val="0"/>
                                                  <w:marBottom w:val="0"/>
                                                  <w:divBdr>
                                                    <w:top w:val="none" w:sz="0" w:space="0" w:color="auto"/>
                                                    <w:left w:val="none" w:sz="0" w:space="0" w:color="auto"/>
                                                    <w:bottom w:val="none" w:sz="0" w:space="0" w:color="auto"/>
                                                    <w:right w:val="none" w:sz="0" w:space="0" w:color="auto"/>
                                                  </w:divBdr>
                                                  <w:divsChild>
                                                    <w:div w:id="19231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081504">
      <w:bodyDiv w:val="1"/>
      <w:marLeft w:val="0"/>
      <w:marRight w:val="0"/>
      <w:marTop w:val="0"/>
      <w:marBottom w:val="0"/>
      <w:divBdr>
        <w:top w:val="none" w:sz="0" w:space="0" w:color="auto"/>
        <w:left w:val="none" w:sz="0" w:space="0" w:color="auto"/>
        <w:bottom w:val="none" w:sz="0" w:space="0" w:color="auto"/>
        <w:right w:val="none" w:sz="0" w:space="0" w:color="auto"/>
      </w:divBdr>
      <w:divsChild>
        <w:div w:id="924727181">
          <w:marLeft w:val="0"/>
          <w:marRight w:val="0"/>
          <w:marTop w:val="0"/>
          <w:marBottom w:val="0"/>
          <w:divBdr>
            <w:top w:val="none" w:sz="0" w:space="0" w:color="auto"/>
            <w:left w:val="none" w:sz="0" w:space="0" w:color="auto"/>
            <w:bottom w:val="none" w:sz="0" w:space="0" w:color="auto"/>
            <w:right w:val="none" w:sz="0" w:space="0" w:color="auto"/>
          </w:divBdr>
          <w:divsChild>
            <w:div w:id="1860583230">
              <w:marLeft w:val="0"/>
              <w:marRight w:val="0"/>
              <w:marTop w:val="0"/>
              <w:marBottom w:val="0"/>
              <w:divBdr>
                <w:top w:val="none" w:sz="0" w:space="0" w:color="auto"/>
                <w:left w:val="none" w:sz="0" w:space="0" w:color="auto"/>
                <w:bottom w:val="none" w:sz="0" w:space="0" w:color="auto"/>
                <w:right w:val="none" w:sz="0" w:space="0" w:color="auto"/>
              </w:divBdr>
              <w:divsChild>
                <w:div w:id="503711260">
                  <w:marLeft w:val="0"/>
                  <w:marRight w:val="0"/>
                  <w:marTop w:val="0"/>
                  <w:marBottom w:val="0"/>
                  <w:divBdr>
                    <w:top w:val="none" w:sz="0" w:space="0" w:color="auto"/>
                    <w:left w:val="none" w:sz="0" w:space="0" w:color="auto"/>
                    <w:bottom w:val="none" w:sz="0" w:space="0" w:color="auto"/>
                    <w:right w:val="none" w:sz="0" w:space="0" w:color="auto"/>
                  </w:divBdr>
                  <w:divsChild>
                    <w:div w:id="469981678">
                      <w:marLeft w:val="0"/>
                      <w:marRight w:val="0"/>
                      <w:marTop w:val="0"/>
                      <w:marBottom w:val="0"/>
                      <w:divBdr>
                        <w:top w:val="none" w:sz="0" w:space="0" w:color="auto"/>
                        <w:left w:val="none" w:sz="0" w:space="0" w:color="auto"/>
                        <w:bottom w:val="none" w:sz="0" w:space="0" w:color="auto"/>
                        <w:right w:val="none" w:sz="0" w:space="0" w:color="auto"/>
                      </w:divBdr>
                      <w:divsChild>
                        <w:div w:id="1571579124">
                          <w:marLeft w:val="0"/>
                          <w:marRight w:val="0"/>
                          <w:marTop w:val="0"/>
                          <w:marBottom w:val="0"/>
                          <w:divBdr>
                            <w:top w:val="none" w:sz="0" w:space="0" w:color="auto"/>
                            <w:left w:val="none" w:sz="0" w:space="0" w:color="auto"/>
                            <w:bottom w:val="none" w:sz="0" w:space="0" w:color="auto"/>
                            <w:right w:val="none" w:sz="0" w:space="0" w:color="auto"/>
                          </w:divBdr>
                          <w:divsChild>
                            <w:div w:id="1289435146">
                              <w:marLeft w:val="0"/>
                              <w:marRight w:val="0"/>
                              <w:marTop w:val="0"/>
                              <w:marBottom w:val="0"/>
                              <w:divBdr>
                                <w:top w:val="none" w:sz="0" w:space="0" w:color="auto"/>
                                <w:left w:val="none" w:sz="0" w:space="0" w:color="auto"/>
                                <w:bottom w:val="none" w:sz="0" w:space="0" w:color="auto"/>
                                <w:right w:val="none" w:sz="0" w:space="0" w:color="auto"/>
                              </w:divBdr>
                              <w:divsChild>
                                <w:div w:id="506479366">
                                  <w:marLeft w:val="570"/>
                                  <w:marRight w:val="720"/>
                                  <w:marTop w:val="120"/>
                                  <w:marBottom w:val="120"/>
                                  <w:divBdr>
                                    <w:top w:val="none" w:sz="0" w:space="0" w:color="auto"/>
                                    <w:left w:val="none" w:sz="0" w:space="0" w:color="auto"/>
                                    <w:bottom w:val="none" w:sz="0" w:space="0" w:color="auto"/>
                                    <w:right w:val="none" w:sz="0" w:space="0" w:color="auto"/>
                                  </w:divBdr>
                                  <w:divsChild>
                                    <w:div w:id="553274884">
                                      <w:marLeft w:val="0"/>
                                      <w:marRight w:val="0"/>
                                      <w:marTop w:val="0"/>
                                      <w:marBottom w:val="0"/>
                                      <w:divBdr>
                                        <w:top w:val="none" w:sz="0" w:space="0" w:color="auto"/>
                                        <w:left w:val="none" w:sz="0" w:space="0" w:color="auto"/>
                                        <w:bottom w:val="none" w:sz="0" w:space="0" w:color="auto"/>
                                        <w:right w:val="none" w:sz="0" w:space="0" w:color="auto"/>
                                      </w:divBdr>
                                      <w:divsChild>
                                        <w:div w:id="384986377">
                                          <w:marLeft w:val="0"/>
                                          <w:marRight w:val="0"/>
                                          <w:marTop w:val="0"/>
                                          <w:marBottom w:val="0"/>
                                          <w:divBdr>
                                            <w:top w:val="none" w:sz="0" w:space="0" w:color="auto"/>
                                            <w:left w:val="none" w:sz="0" w:space="0" w:color="auto"/>
                                            <w:bottom w:val="none" w:sz="0" w:space="0" w:color="auto"/>
                                            <w:right w:val="none" w:sz="0" w:space="0" w:color="auto"/>
                                          </w:divBdr>
                                          <w:divsChild>
                                            <w:div w:id="1130053660">
                                              <w:marLeft w:val="0"/>
                                              <w:marRight w:val="0"/>
                                              <w:marTop w:val="0"/>
                                              <w:marBottom w:val="0"/>
                                              <w:divBdr>
                                                <w:top w:val="none" w:sz="0" w:space="0" w:color="auto"/>
                                                <w:left w:val="none" w:sz="0" w:space="0" w:color="auto"/>
                                                <w:bottom w:val="none" w:sz="0" w:space="0" w:color="auto"/>
                                                <w:right w:val="none" w:sz="0" w:space="0" w:color="auto"/>
                                              </w:divBdr>
                                              <w:divsChild>
                                                <w:div w:id="2024938572">
                                                  <w:marLeft w:val="0"/>
                                                  <w:marRight w:val="0"/>
                                                  <w:marTop w:val="240"/>
                                                  <w:marBottom w:val="240"/>
                                                  <w:divBdr>
                                                    <w:top w:val="single" w:sz="6" w:space="6" w:color="F2F2F2"/>
                                                    <w:left w:val="none" w:sz="0" w:space="0" w:color="auto"/>
                                                    <w:bottom w:val="single" w:sz="6" w:space="6" w:color="F2F2F2"/>
                                                    <w:right w:val="none" w:sz="0" w:space="0" w:color="auto"/>
                                                  </w:divBdr>
                                                </w:div>
                                                <w:div w:id="2093312930">
                                                  <w:marLeft w:val="0"/>
                                                  <w:marRight w:val="0"/>
                                                  <w:marTop w:val="0"/>
                                                  <w:marBottom w:val="0"/>
                                                  <w:divBdr>
                                                    <w:top w:val="none" w:sz="0" w:space="0" w:color="auto"/>
                                                    <w:left w:val="none" w:sz="0" w:space="0" w:color="auto"/>
                                                    <w:bottom w:val="none" w:sz="0" w:space="0" w:color="auto"/>
                                                    <w:right w:val="none" w:sz="0" w:space="0" w:color="auto"/>
                                                  </w:divBdr>
                                                  <w:divsChild>
                                                    <w:div w:id="857281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232191">
      <w:bodyDiv w:val="1"/>
      <w:marLeft w:val="0"/>
      <w:marRight w:val="0"/>
      <w:marTop w:val="0"/>
      <w:marBottom w:val="0"/>
      <w:divBdr>
        <w:top w:val="none" w:sz="0" w:space="0" w:color="auto"/>
        <w:left w:val="none" w:sz="0" w:space="0" w:color="auto"/>
        <w:bottom w:val="none" w:sz="0" w:space="0" w:color="auto"/>
        <w:right w:val="none" w:sz="0" w:space="0" w:color="auto"/>
      </w:divBdr>
      <w:divsChild>
        <w:div w:id="1838886206">
          <w:marLeft w:val="0"/>
          <w:marRight w:val="0"/>
          <w:marTop w:val="0"/>
          <w:marBottom w:val="0"/>
          <w:divBdr>
            <w:top w:val="none" w:sz="0" w:space="0" w:color="auto"/>
            <w:left w:val="none" w:sz="0" w:space="0" w:color="auto"/>
            <w:bottom w:val="none" w:sz="0" w:space="0" w:color="auto"/>
            <w:right w:val="none" w:sz="0" w:space="0" w:color="auto"/>
          </w:divBdr>
        </w:div>
      </w:divsChild>
    </w:div>
    <w:div w:id="947084017">
      <w:bodyDiv w:val="1"/>
      <w:marLeft w:val="0"/>
      <w:marRight w:val="0"/>
      <w:marTop w:val="0"/>
      <w:marBottom w:val="0"/>
      <w:divBdr>
        <w:top w:val="none" w:sz="0" w:space="0" w:color="auto"/>
        <w:left w:val="none" w:sz="0" w:space="0" w:color="auto"/>
        <w:bottom w:val="none" w:sz="0" w:space="0" w:color="auto"/>
        <w:right w:val="none" w:sz="0" w:space="0" w:color="auto"/>
      </w:divBdr>
      <w:divsChild>
        <w:div w:id="1343123464">
          <w:marLeft w:val="0"/>
          <w:marRight w:val="0"/>
          <w:marTop w:val="0"/>
          <w:marBottom w:val="0"/>
          <w:divBdr>
            <w:top w:val="none" w:sz="0" w:space="0" w:color="auto"/>
            <w:left w:val="none" w:sz="0" w:space="0" w:color="auto"/>
            <w:bottom w:val="none" w:sz="0" w:space="0" w:color="auto"/>
            <w:right w:val="none" w:sz="0" w:space="0" w:color="auto"/>
          </w:divBdr>
          <w:divsChild>
            <w:div w:id="667947379">
              <w:marLeft w:val="0"/>
              <w:marRight w:val="0"/>
              <w:marTop w:val="0"/>
              <w:marBottom w:val="0"/>
              <w:divBdr>
                <w:top w:val="none" w:sz="0" w:space="0" w:color="auto"/>
                <w:left w:val="none" w:sz="0" w:space="0" w:color="auto"/>
                <w:bottom w:val="none" w:sz="0" w:space="0" w:color="auto"/>
                <w:right w:val="none" w:sz="0" w:space="0" w:color="auto"/>
              </w:divBdr>
              <w:divsChild>
                <w:div w:id="1966426472">
                  <w:marLeft w:val="0"/>
                  <w:marRight w:val="0"/>
                  <w:marTop w:val="0"/>
                  <w:marBottom w:val="0"/>
                  <w:divBdr>
                    <w:top w:val="none" w:sz="0" w:space="0" w:color="auto"/>
                    <w:left w:val="none" w:sz="0" w:space="0" w:color="auto"/>
                    <w:bottom w:val="none" w:sz="0" w:space="0" w:color="auto"/>
                    <w:right w:val="none" w:sz="0" w:space="0" w:color="auto"/>
                  </w:divBdr>
                  <w:divsChild>
                    <w:div w:id="1246500571">
                      <w:marLeft w:val="0"/>
                      <w:marRight w:val="0"/>
                      <w:marTop w:val="0"/>
                      <w:marBottom w:val="0"/>
                      <w:divBdr>
                        <w:top w:val="none" w:sz="0" w:space="0" w:color="auto"/>
                        <w:left w:val="none" w:sz="0" w:space="0" w:color="auto"/>
                        <w:bottom w:val="none" w:sz="0" w:space="0" w:color="auto"/>
                        <w:right w:val="none" w:sz="0" w:space="0" w:color="auto"/>
                      </w:divBdr>
                    </w:div>
                    <w:div w:id="16332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0289">
      <w:bodyDiv w:val="1"/>
      <w:marLeft w:val="0"/>
      <w:marRight w:val="0"/>
      <w:marTop w:val="0"/>
      <w:marBottom w:val="0"/>
      <w:divBdr>
        <w:top w:val="none" w:sz="0" w:space="0" w:color="auto"/>
        <w:left w:val="none" w:sz="0" w:space="0" w:color="auto"/>
        <w:bottom w:val="none" w:sz="0" w:space="0" w:color="auto"/>
        <w:right w:val="none" w:sz="0" w:space="0" w:color="auto"/>
      </w:divBdr>
      <w:divsChild>
        <w:div w:id="840513785">
          <w:marLeft w:val="0"/>
          <w:marRight w:val="0"/>
          <w:marTop w:val="150"/>
          <w:marBottom w:val="0"/>
          <w:divBdr>
            <w:top w:val="none" w:sz="0" w:space="0" w:color="auto"/>
            <w:left w:val="none" w:sz="0" w:space="0" w:color="auto"/>
            <w:bottom w:val="none" w:sz="0" w:space="0" w:color="auto"/>
            <w:right w:val="none" w:sz="0" w:space="0" w:color="auto"/>
          </w:divBdr>
          <w:divsChild>
            <w:div w:id="503711082">
              <w:marLeft w:val="2"/>
              <w:marRight w:val="2"/>
              <w:marTop w:val="0"/>
              <w:marBottom w:val="0"/>
              <w:divBdr>
                <w:top w:val="none" w:sz="0" w:space="0" w:color="auto"/>
                <w:left w:val="none" w:sz="0" w:space="0" w:color="auto"/>
                <w:bottom w:val="none" w:sz="0" w:space="0" w:color="auto"/>
                <w:right w:val="none" w:sz="0" w:space="0" w:color="auto"/>
              </w:divBdr>
              <w:divsChild>
                <w:div w:id="1535578851">
                  <w:marLeft w:val="0"/>
                  <w:marRight w:val="0"/>
                  <w:marTop w:val="0"/>
                  <w:marBottom w:val="0"/>
                  <w:divBdr>
                    <w:top w:val="none" w:sz="0" w:space="0" w:color="auto"/>
                    <w:left w:val="none" w:sz="0" w:space="0" w:color="auto"/>
                    <w:bottom w:val="none" w:sz="0" w:space="0" w:color="auto"/>
                    <w:right w:val="none" w:sz="0" w:space="0" w:color="auto"/>
                  </w:divBdr>
                  <w:divsChild>
                    <w:div w:id="1396665818">
                      <w:marLeft w:val="0"/>
                      <w:marRight w:val="0"/>
                      <w:marTop w:val="0"/>
                      <w:marBottom w:val="0"/>
                      <w:divBdr>
                        <w:top w:val="none" w:sz="0" w:space="0" w:color="auto"/>
                        <w:left w:val="none" w:sz="0" w:space="0" w:color="auto"/>
                        <w:bottom w:val="none" w:sz="0" w:space="0" w:color="auto"/>
                        <w:right w:val="none" w:sz="0" w:space="0" w:color="auto"/>
                      </w:divBdr>
                      <w:divsChild>
                        <w:div w:id="1940672149">
                          <w:marLeft w:val="0"/>
                          <w:marRight w:val="0"/>
                          <w:marTop w:val="0"/>
                          <w:marBottom w:val="0"/>
                          <w:divBdr>
                            <w:top w:val="none" w:sz="0" w:space="0" w:color="auto"/>
                            <w:left w:val="none" w:sz="0" w:space="0" w:color="auto"/>
                            <w:bottom w:val="none" w:sz="0" w:space="0" w:color="auto"/>
                            <w:right w:val="none" w:sz="0" w:space="0" w:color="auto"/>
                          </w:divBdr>
                          <w:divsChild>
                            <w:div w:id="884290326">
                              <w:marLeft w:val="0"/>
                              <w:marRight w:val="0"/>
                              <w:marTop w:val="0"/>
                              <w:marBottom w:val="0"/>
                              <w:divBdr>
                                <w:top w:val="none" w:sz="0" w:space="0" w:color="auto"/>
                                <w:left w:val="none" w:sz="0" w:space="0" w:color="auto"/>
                                <w:bottom w:val="none" w:sz="0" w:space="0" w:color="auto"/>
                                <w:right w:val="none" w:sz="0" w:space="0" w:color="auto"/>
                              </w:divBdr>
                              <w:divsChild>
                                <w:div w:id="1644655826">
                                  <w:marLeft w:val="0"/>
                                  <w:marRight w:val="0"/>
                                  <w:marTop w:val="0"/>
                                  <w:marBottom w:val="0"/>
                                  <w:divBdr>
                                    <w:top w:val="none" w:sz="0" w:space="0" w:color="auto"/>
                                    <w:left w:val="none" w:sz="0" w:space="0" w:color="auto"/>
                                    <w:bottom w:val="none" w:sz="0" w:space="0" w:color="auto"/>
                                    <w:right w:val="none" w:sz="0" w:space="0" w:color="auto"/>
                                  </w:divBdr>
                                  <w:divsChild>
                                    <w:div w:id="1207794028">
                                      <w:marLeft w:val="0"/>
                                      <w:marRight w:val="0"/>
                                      <w:marTop w:val="0"/>
                                      <w:marBottom w:val="0"/>
                                      <w:divBdr>
                                        <w:top w:val="none" w:sz="0" w:space="0" w:color="auto"/>
                                        <w:left w:val="none" w:sz="0" w:space="0" w:color="auto"/>
                                        <w:bottom w:val="none" w:sz="0" w:space="0" w:color="auto"/>
                                        <w:right w:val="none" w:sz="0" w:space="0" w:color="auto"/>
                                      </w:divBdr>
                                      <w:divsChild>
                                        <w:div w:id="1692487484">
                                          <w:marLeft w:val="0"/>
                                          <w:marRight w:val="0"/>
                                          <w:marTop w:val="0"/>
                                          <w:marBottom w:val="0"/>
                                          <w:divBdr>
                                            <w:top w:val="none" w:sz="0" w:space="0" w:color="auto"/>
                                            <w:left w:val="none" w:sz="0" w:space="0" w:color="auto"/>
                                            <w:bottom w:val="none" w:sz="0" w:space="0" w:color="auto"/>
                                            <w:right w:val="none" w:sz="0" w:space="0" w:color="auto"/>
                                          </w:divBdr>
                                          <w:divsChild>
                                            <w:div w:id="315182098">
                                              <w:marLeft w:val="0"/>
                                              <w:marRight w:val="0"/>
                                              <w:marTop w:val="0"/>
                                              <w:marBottom w:val="0"/>
                                              <w:divBdr>
                                                <w:top w:val="none" w:sz="0" w:space="0" w:color="auto"/>
                                                <w:left w:val="none" w:sz="0" w:space="0" w:color="auto"/>
                                                <w:bottom w:val="none" w:sz="0" w:space="0" w:color="auto"/>
                                                <w:right w:val="none" w:sz="0" w:space="0" w:color="auto"/>
                                              </w:divBdr>
                                              <w:divsChild>
                                                <w:div w:id="1987277482">
                                                  <w:marLeft w:val="0"/>
                                                  <w:marRight w:val="0"/>
                                                  <w:marTop w:val="0"/>
                                                  <w:marBottom w:val="0"/>
                                                  <w:divBdr>
                                                    <w:top w:val="none" w:sz="0" w:space="0" w:color="auto"/>
                                                    <w:left w:val="none" w:sz="0" w:space="0" w:color="auto"/>
                                                    <w:bottom w:val="none" w:sz="0" w:space="0" w:color="auto"/>
                                                    <w:right w:val="none" w:sz="0" w:space="0" w:color="auto"/>
                                                  </w:divBdr>
                                                </w:div>
                                              </w:divsChild>
                                            </w:div>
                                            <w:div w:id="710881134">
                                              <w:marLeft w:val="0"/>
                                              <w:marRight w:val="0"/>
                                              <w:marTop w:val="0"/>
                                              <w:marBottom w:val="0"/>
                                              <w:divBdr>
                                                <w:top w:val="none" w:sz="0" w:space="0" w:color="auto"/>
                                                <w:left w:val="none" w:sz="0" w:space="0" w:color="auto"/>
                                                <w:bottom w:val="none" w:sz="0" w:space="0" w:color="auto"/>
                                                <w:right w:val="none" w:sz="0" w:space="0" w:color="auto"/>
                                              </w:divBdr>
                                              <w:divsChild>
                                                <w:div w:id="1779913371">
                                                  <w:marLeft w:val="0"/>
                                                  <w:marRight w:val="0"/>
                                                  <w:marTop w:val="0"/>
                                                  <w:marBottom w:val="0"/>
                                                  <w:divBdr>
                                                    <w:top w:val="none" w:sz="0" w:space="0" w:color="auto"/>
                                                    <w:left w:val="none" w:sz="0" w:space="0" w:color="auto"/>
                                                    <w:bottom w:val="none" w:sz="0" w:space="0" w:color="auto"/>
                                                    <w:right w:val="none" w:sz="0" w:space="0" w:color="auto"/>
                                                  </w:divBdr>
                                                </w:div>
                                              </w:divsChild>
                                            </w:div>
                                            <w:div w:id="1021783070">
                                              <w:marLeft w:val="0"/>
                                              <w:marRight w:val="0"/>
                                              <w:marTop w:val="0"/>
                                              <w:marBottom w:val="0"/>
                                              <w:divBdr>
                                                <w:top w:val="none" w:sz="0" w:space="0" w:color="auto"/>
                                                <w:left w:val="none" w:sz="0" w:space="0" w:color="auto"/>
                                                <w:bottom w:val="none" w:sz="0" w:space="0" w:color="auto"/>
                                                <w:right w:val="none" w:sz="0" w:space="0" w:color="auto"/>
                                              </w:divBdr>
                                              <w:divsChild>
                                                <w:div w:id="333655131">
                                                  <w:marLeft w:val="0"/>
                                                  <w:marRight w:val="0"/>
                                                  <w:marTop w:val="0"/>
                                                  <w:marBottom w:val="0"/>
                                                  <w:divBdr>
                                                    <w:top w:val="none" w:sz="0" w:space="0" w:color="auto"/>
                                                    <w:left w:val="none" w:sz="0" w:space="0" w:color="auto"/>
                                                    <w:bottom w:val="none" w:sz="0" w:space="0" w:color="auto"/>
                                                    <w:right w:val="none" w:sz="0" w:space="0" w:color="auto"/>
                                                  </w:divBdr>
                                                </w:div>
                                              </w:divsChild>
                                            </w:div>
                                            <w:div w:id="767891727">
                                              <w:marLeft w:val="0"/>
                                              <w:marRight w:val="0"/>
                                              <w:marTop w:val="0"/>
                                              <w:marBottom w:val="0"/>
                                              <w:divBdr>
                                                <w:top w:val="none" w:sz="0" w:space="0" w:color="auto"/>
                                                <w:left w:val="none" w:sz="0" w:space="0" w:color="auto"/>
                                                <w:bottom w:val="none" w:sz="0" w:space="0" w:color="auto"/>
                                                <w:right w:val="none" w:sz="0" w:space="0" w:color="auto"/>
                                              </w:divBdr>
                                              <w:divsChild>
                                                <w:div w:id="136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356538">
      <w:bodyDiv w:val="1"/>
      <w:marLeft w:val="0"/>
      <w:marRight w:val="0"/>
      <w:marTop w:val="0"/>
      <w:marBottom w:val="0"/>
      <w:divBdr>
        <w:top w:val="none" w:sz="0" w:space="0" w:color="auto"/>
        <w:left w:val="none" w:sz="0" w:space="0" w:color="auto"/>
        <w:bottom w:val="none" w:sz="0" w:space="0" w:color="auto"/>
        <w:right w:val="none" w:sz="0" w:space="0" w:color="auto"/>
      </w:divBdr>
      <w:divsChild>
        <w:div w:id="830175789">
          <w:marLeft w:val="0"/>
          <w:marRight w:val="0"/>
          <w:marTop w:val="0"/>
          <w:marBottom w:val="0"/>
          <w:divBdr>
            <w:top w:val="none" w:sz="0" w:space="0" w:color="auto"/>
            <w:left w:val="none" w:sz="0" w:space="0" w:color="auto"/>
            <w:bottom w:val="none" w:sz="0" w:space="0" w:color="auto"/>
            <w:right w:val="none" w:sz="0" w:space="0" w:color="auto"/>
          </w:divBdr>
          <w:divsChild>
            <w:div w:id="1061437879">
              <w:marLeft w:val="0"/>
              <w:marRight w:val="0"/>
              <w:marTop w:val="0"/>
              <w:marBottom w:val="0"/>
              <w:divBdr>
                <w:top w:val="none" w:sz="0" w:space="0" w:color="auto"/>
                <w:left w:val="none" w:sz="0" w:space="0" w:color="auto"/>
                <w:bottom w:val="none" w:sz="0" w:space="0" w:color="auto"/>
                <w:right w:val="none" w:sz="0" w:space="0" w:color="auto"/>
              </w:divBdr>
              <w:divsChild>
                <w:div w:id="46878677">
                  <w:marLeft w:val="0"/>
                  <w:marRight w:val="0"/>
                  <w:marTop w:val="100"/>
                  <w:marBottom w:val="100"/>
                  <w:divBdr>
                    <w:top w:val="none" w:sz="0" w:space="0" w:color="auto"/>
                    <w:left w:val="none" w:sz="0" w:space="0" w:color="auto"/>
                    <w:bottom w:val="none" w:sz="0" w:space="0" w:color="auto"/>
                    <w:right w:val="none" w:sz="0" w:space="0" w:color="auto"/>
                  </w:divBdr>
                  <w:divsChild>
                    <w:div w:id="1347714023">
                      <w:marLeft w:val="0"/>
                      <w:marRight w:val="0"/>
                      <w:marTop w:val="0"/>
                      <w:marBottom w:val="0"/>
                      <w:divBdr>
                        <w:top w:val="none" w:sz="0" w:space="0" w:color="auto"/>
                        <w:left w:val="none" w:sz="0" w:space="0" w:color="auto"/>
                        <w:bottom w:val="none" w:sz="0" w:space="0" w:color="auto"/>
                        <w:right w:val="none" w:sz="0" w:space="0" w:color="auto"/>
                      </w:divBdr>
                      <w:divsChild>
                        <w:div w:id="1023171636">
                          <w:marLeft w:val="0"/>
                          <w:marRight w:val="0"/>
                          <w:marTop w:val="0"/>
                          <w:marBottom w:val="0"/>
                          <w:divBdr>
                            <w:top w:val="none" w:sz="0" w:space="0" w:color="auto"/>
                            <w:left w:val="none" w:sz="0" w:space="0" w:color="auto"/>
                            <w:bottom w:val="none" w:sz="0" w:space="0" w:color="auto"/>
                            <w:right w:val="none" w:sz="0" w:space="0" w:color="auto"/>
                          </w:divBdr>
                          <w:divsChild>
                            <w:div w:id="220291504">
                              <w:marLeft w:val="0"/>
                              <w:marRight w:val="0"/>
                              <w:marTop w:val="0"/>
                              <w:marBottom w:val="0"/>
                              <w:divBdr>
                                <w:top w:val="none" w:sz="0" w:space="0" w:color="auto"/>
                                <w:left w:val="none" w:sz="0" w:space="0" w:color="auto"/>
                                <w:bottom w:val="none" w:sz="0" w:space="0" w:color="auto"/>
                                <w:right w:val="none" w:sz="0" w:space="0" w:color="auto"/>
                              </w:divBdr>
                              <w:divsChild>
                                <w:div w:id="197354186">
                                  <w:marLeft w:val="0"/>
                                  <w:marRight w:val="0"/>
                                  <w:marTop w:val="0"/>
                                  <w:marBottom w:val="0"/>
                                  <w:divBdr>
                                    <w:top w:val="none" w:sz="0" w:space="0" w:color="auto"/>
                                    <w:left w:val="none" w:sz="0" w:space="0" w:color="auto"/>
                                    <w:bottom w:val="none" w:sz="0" w:space="0" w:color="auto"/>
                                    <w:right w:val="none" w:sz="0" w:space="0" w:color="auto"/>
                                  </w:divBdr>
                                  <w:divsChild>
                                    <w:div w:id="6841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284868">
      <w:bodyDiv w:val="1"/>
      <w:marLeft w:val="0"/>
      <w:marRight w:val="0"/>
      <w:marTop w:val="0"/>
      <w:marBottom w:val="0"/>
      <w:divBdr>
        <w:top w:val="none" w:sz="0" w:space="0" w:color="auto"/>
        <w:left w:val="none" w:sz="0" w:space="0" w:color="auto"/>
        <w:bottom w:val="none" w:sz="0" w:space="0" w:color="auto"/>
        <w:right w:val="none" w:sz="0" w:space="0" w:color="auto"/>
      </w:divBdr>
      <w:divsChild>
        <w:div w:id="1012024216">
          <w:marLeft w:val="0"/>
          <w:marRight w:val="0"/>
          <w:marTop w:val="0"/>
          <w:marBottom w:val="0"/>
          <w:divBdr>
            <w:top w:val="none" w:sz="0" w:space="0" w:color="auto"/>
            <w:left w:val="none" w:sz="0" w:space="0" w:color="auto"/>
            <w:bottom w:val="none" w:sz="0" w:space="0" w:color="auto"/>
            <w:right w:val="none" w:sz="0" w:space="0" w:color="auto"/>
          </w:divBdr>
          <w:divsChild>
            <w:div w:id="24672576">
              <w:marLeft w:val="0"/>
              <w:marRight w:val="0"/>
              <w:marTop w:val="0"/>
              <w:marBottom w:val="0"/>
              <w:divBdr>
                <w:top w:val="none" w:sz="0" w:space="0" w:color="auto"/>
                <w:left w:val="none" w:sz="0" w:space="0" w:color="auto"/>
                <w:bottom w:val="none" w:sz="0" w:space="0" w:color="auto"/>
                <w:right w:val="none" w:sz="0" w:space="0" w:color="auto"/>
              </w:divBdr>
              <w:divsChild>
                <w:div w:id="770784143">
                  <w:marLeft w:val="0"/>
                  <w:marRight w:val="0"/>
                  <w:marTop w:val="0"/>
                  <w:marBottom w:val="0"/>
                  <w:divBdr>
                    <w:top w:val="none" w:sz="0" w:space="0" w:color="auto"/>
                    <w:left w:val="none" w:sz="0" w:space="0" w:color="auto"/>
                    <w:bottom w:val="none" w:sz="0" w:space="0" w:color="auto"/>
                    <w:right w:val="none" w:sz="0" w:space="0" w:color="auto"/>
                  </w:divBdr>
                  <w:divsChild>
                    <w:div w:id="315646013">
                      <w:marLeft w:val="0"/>
                      <w:marRight w:val="0"/>
                      <w:marTop w:val="0"/>
                      <w:marBottom w:val="0"/>
                      <w:divBdr>
                        <w:top w:val="none" w:sz="0" w:space="0" w:color="auto"/>
                        <w:left w:val="none" w:sz="0" w:space="0" w:color="auto"/>
                        <w:bottom w:val="none" w:sz="0" w:space="0" w:color="auto"/>
                        <w:right w:val="none" w:sz="0" w:space="0" w:color="auto"/>
                      </w:divBdr>
                      <w:divsChild>
                        <w:div w:id="469370154">
                          <w:marLeft w:val="0"/>
                          <w:marRight w:val="0"/>
                          <w:marTop w:val="0"/>
                          <w:marBottom w:val="0"/>
                          <w:divBdr>
                            <w:top w:val="none" w:sz="0" w:space="0" w:color="auto"/>
                            <w:left w:val="none" w:sz="0" w:space="0" w:color="auto"/>
                            <w:bottom w:val="none" w:sz="0" w:space="0" w:color="auto"/>
                            <w:right w:val="none" w:sz="0" w:space="0" w:color="auto"/>
                          </w:divBdr>
                          <w:divsChild>
                            <w:div w:id="1270047471">
                              <w:marLeft w:val="0"/>
                              <w:marRight w:val="0"/>
                              <w:marTop w:val="0"/>
                              <w:marBottom w:val="0"/>
                              <w:divBdr>
                                <w:top w:val="none" w:sz="0" w:space="0" w:color="auto"/>
                                <w:left w:val="none" w:sz="0" w:space="0" w:color="auto"/>
                                <w:bottom w:val="none" w:sz="0" w:space="0" w:color="auto"/>
                                <w:right w:val="none" w:sz="0" w:space="0" w:color="auto"/>
                              </w:divBdr>
                              <w:divsChild>
                                <w:div w:id="1498301283">
                                  <w:marLeft w:val="0"/>
                                  <w:marRight w:val="0"/>
                                  <w:marTop w:val="0"/>
                                  <w:marBottom w:val="0"/>
                                  <w:divBdr>
                                    <w:top w:val="none" w:sz="0" w:space="0" w:color="auto"/>
                                    <w:left w:val="none" w:sz="0" w:space="0" w:color="auto"/>
                                    <w:bottom w:val="none" w:sz="0" w:space="0" w:color="auto"/>
                                    <w:right w:val="none" w:sz="0" w:space="0" w:color="auto"/>
                                  </w:divBdr>
                                  <w:divsChild>
                                    <w:div w:id="1691445558">
                                      <w:marLeft w:val="0"/>
                                      <w:marRight w:val="0"/>
                                      <w:marTop w:val="0"/>
                                      <w:marBottom w:val="0"/>
                                      <w:divBdr>
                                        <w:top w:val="none" w:sz="0" w:space="0" w:color="auto"/>
                                        <w:left w:val="none" w:sz="0" w:space="0" w:color="auto"/>
                                        <w:bottom w:val="none" w:sz="0" w:space="0" w:color="auto"/>
                                        <w:right w:val="none" w:sz="0" w:space="0" w:color="auto"/>
                                      </w:divBdr>
                                      <w:divsChild>
                                        <w:div w:id="624192282">
                                          <w:marLeft w:val="0"/>
                                          <w:marRight w:val="0"/>
                                          <w:marTop w:val="0"/>
                                          <w:marBottom w:val="0"/>
                                          <w:divBdr>
                                            <w:top w:val="none" w:sz="0" w:space="0" w:color="auto"/>
                                            <w:left w:val="none" w:sz="0" w:space="0" w:color="auto"/>
                                            <w:bottom w:val="none" w:sz="0" w:space="0" w:color="auto"/>
                                            <w:right w:val="none" w:sz="0" w:space="0" w:color="auto"/>
                                          </w:divBdr>
                                        </w:div>
                                        <w:div w:id="1941717606">
                                          <w:marLeft w:val="0"/>
                                          <w:marRight w:val="0"/>
                                          <w:marTop w:val="0"/>
                                          <w:marBottom w:val="0"/>
                                          <w:divBdr>
                                            <w:top w:val="none" w:sz="0" w:space="0" w:color="auto"/>
                                            <w:left w:val="none" w:sz="0" w:space="0" w:color="auto"/>
                                            <w:bottom w:val="none" w:sz="0" w:space="0" w:color="auto"/>
                                            <w:right w:val="none" w:sz="0" w:space="0" w:color="auto"/>
                                          </w:divBdr>
                                          <w:divsChild>
                                            <w:div w:id="90033656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403087">
      <w:bodyDiv w:val="1"/>
      <w:marLeft w:val="0"/>
      <w:marRight w:val="0"/>
      <w:marTop w:val="0"/>
      <w:marBottom w:val="0"/>
      <w:divBdr>
        <w:top w:val="none" w:sz="0" w:space="0" w:color="auto"/>
        <w:left w:val="none" w:sz="0" w:space="0" w:color="auto"/>
        <w:bottom w:val="none" w:sz="0" w:space="0" w:color="auto"/>
        <w:right w:val="none" w:sz="0" w:space="0" w:color="auto"/>
      </w:divBdr>
      <w:divsChild>
        <w:div w:id="120653148">
          <w:marLeft w:val="0"/>
          <w:marRight w:val="0"/>
          <w:marTop w:val="0"/>
          <w:marBottom w:val="0"/>
          <w:divBdr>
            <w:top w:val="none" w:sz="0" w:space="0" w:color="auto"/>
            <w:left w:val="none" w:sz="0" w:space="0" w:color="auto"/>
            <w:bottom w:val="none" w:sz="0" w:space="0" w:color="auto"/>
            <w:right w:val="none" w:sz="0" w:space="0" w:color="auto"/>
          </w:divBdr>
        </w:div>
        <w:div w:id="1494298227">
          <w:marLeft w:val="0"/>
          <w:marRight w:val="0"/>
          <w:marTop w:val="0"/>
          <w:marBottom w:val="0"/>
          <w:divBdr>
            <w:top w:val="none" w:sz="0" w:space="0" w:color="auto"/>
            <w:left w:val="none" w:sz="0" w:space="0" w:color="auto"/>
            <w:bottom w:val="none" w:sz="0" w:space="0" w:color="auto"/>
            <w:right w:val="none" w:sz="0" w:space="0" w:color="auto"/>
          </w:divBdr>
        </w:div>
      </w:divsChild>
    </w:div>
    <w:div w:id="952053625">
      <w:bodyDiv w:val="1"/>
      <w:marLeft w:val="0"/>
      <w:marRight w:val="0"/>
      <w:marTop w:val="0"/>
      <w:marBottom w:val="0"/>
      <w:divBdr>
        <w:top w:val="none" w:sz="0" w:space="0" w:color="auto"/>
        <w:left w:val="none" w:sz="0" w:space="0" w:color="auto"/>
        <w:bottom w:val="none" w:sz="0" w:space="0" w:color="auto"/>
        <w:right w:val="none" w:sz="0" w:space="0" w:color="auto"/>
      </w:divBdr>
    </w:div>
    <w:div w:id="955327260">
      <w:bodyDiv w:val="1"/>
      <w:marLeft w:val="0"/>
      <w:marRight w:val="0"/>
      <w:marTop w:val="0"/>
      <w:marBottom w:val="0"/>
      <w:divBdr>
        <w:top w:val="none" w:sz="0" w:space="0" w:color="auto"/>
        <w:left w:val="none" w:sz="0" w:space="0" w:color="auto"/>
        <w:bottom w:val="none" w:sz="0" w:space="0" w:color="auto"/>
        <w:right w:val="none" w:sz="0" w:space="0" w:color="auto"/>
      </w:divBdr>
    </w:div>
    <w:div w:id="956527293">
      <w:bodyDiv w:val="1"/>
      <w:marLeft w:val="0"/>
      <w:marRight w:val="0"/>
      <w:marTop w:val="0"/>
      <w:marBottom w:val="0"/>
      <w:divBdr>
        <w:top w:val="none" w:sz="0" w:space="0" w:color="auto"/>
        <w:left w:val="none" w:sz="0" w:space="0" w:color="auto"/>
        <w:bottom w:val="none" w:sz="0" w:space="0" w:color="auto"/>
        <w:right w:val="none" w:sz="0" w:space="0" w:color="auto"/>
      </w:divBdr>
      <w:divsChild>
        <w:div w:id="1325821187">
          <w:marLeft w:val="0"/>
          <w:marRight w:val="0"/>
          <w:marTop w:val="0"/>
          <w:marBottom w:val="0"/>
          <w:divBdr>
            <w:top w:val="none" w:sz="0" w:space="0" w:color="auto"/>
            <w:left w:val="none" w:sz="0" w:space="0" w:color="auto"/>
            <w:bottom w:val="none" w:sz="0" w:space="0" w:color="auto"/>
            <w:right w:val="none" w:sz="0" w:space="0" w:color="auto"/>
          </w:divBdr>
          <w:divsChild>
            <w:div w:id="1126200130">
              <w:marLeft w:val="210"/>
              <w:marRight w:val="0"/>
              <w:marTop w:val="0"/>
              <w:marBottom w:val="0"/>
              <w:divBdr>
                <w:top w:val="none" w:sz="0" w:space="0" w:color="auto"/>
                <w:left w:val="none" w:sz="0" w:space="0" w:color="auto"/>
                <w:bottom w:val="none" w:sz="0" w:space="0" w:color="auto"/>
                <w:right w:val="none" w:sz="0" w:space="0" w:color="auto"/>
              </w:divBdr>
              <w:divsChild>
                <w:div w:id="1565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9521">
      <w:bodyDiv w:val="1"/>
      <w:marLeft w:val="0"/>
      <w:marRight w:val="0"/>
      <w:marTop w:val="0"/>
      <w:marBottom w:val="0"/>
      <w:divBdr>
        <w:top w:val="none" w:sz="0" w:space="0" w:color="auto"/>
        <w:left w:val="none" w:sz="0" w:space="0" w:color="auto"/>
        <w:bottom w:val="none" w:sz="0" w:space="0" w:color="auto"/>
        <w:right w:val="none" w:sz="0" w:space="0" w:color="auto"/>
      </w:divBdr>
      <w:divsChild>
        <w:div w:id="1642811743">
          <w:marLeft w:val="0"/>
          <w:marRight w:val="0"/>
          <w:marTop w:val="0"/>
          <w:marBottom w:val="0"/>
          <w:divBdr>
            <w:top w:val="none" w:sz="0" w:space="0" w:color="auto"/>
            <w:left w:val="none" w:sz="0" w:space="0" w:color="auto"/>
            <w:bottom w:val="none" w:sz="0" w:space="0" w:color="auto"/>
            <w:right w:val="none" w:sz="0" w:space="0" w:color="auto"/>
          </w:divBdr>
          <w:divsChild>
            <w:div w:id="115174567">
              <w:marLeft w:val="0"/>
              <w:marRight w:val="0"/>
              <w:marTop w:val="0"/>
              <w:marBottom w:val="0"/>
              <w:divBdr>
                <w:top w:val="none" w:sz="0" w:space="0" w:color="auto"/>
                <w:left w:val="none" w:sz="0" w:space="0" w:color="auto"/>
                <w:bottom w:val="none" w:sz="0" w:space="0" w:color="auto"/>
                <w:right w:val="none" w:sz="0" w:space="0" w:color="auto"/>
              </w:divBdr>
              <w:divsChild>
                <w:div w:id="1897083220">
                  <w:marLeft w:val="0"/>
                  <w:marRight w:val="0"/>
                  <w:marTop w:val="0"/>
                  <w:marBottom w:val="0"/>
                  <w:divBdr>
                    <w:top w:val="none" w:sz="0" w:space="0" w:color="auto"/>
                    <w:left w:val="none" w:sz="0" w:space="0" w:color="auto"/>
                    <w:bottom w:val="none" w:sz="0" w:space="0" w:color="auto"/>
                    <w:right w:val="none" w:sz="0" w:space="0" w:color="auto"/>
                  </w:divBdr>
                  <w:divsChild>
                    <w:div w:id="368725197">
                      <w:marLeft w:val="0"/>
                      <w:marRight w:val="0"/>
                      <w:marTop w:val="0"/>
                      <w:marBottom w:val="0"/>
                      <w:divBdr>
                        <w:top w:val="none" w:sz="0" w:space="0" w:color="auto"/>
                        <w:left w:val="none" w:sz="0" w:space="0" w:color="auto"/>
                        <w:bottom w:val="none" w:sz="0" w:space="0" w:color="auto"/>
                        <w:right w:val="none" w:sz="0" w:space="0" w:color="auto"/>
                      </w:divBdr>
                      <w:divsChild>
                        <w:div w:id="7744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338414">
      <w:bodyDiv w:val="1"/>
      <w:marLeft w:val="0"/>
      <w:marRight w:val="0"/>
      <w:marTop w:val="0"/>
      <w:marBottom w:val="0"/>
      <w:divBdr>
        <w:top w:val="none" w:sz="0" w:space="0" w:color="auto"/>
        <w:left w:val="none" w:sz="0" w:space="0" w:color="auto"/>
        <w:bottom w:val="none" w:sz="0" w:space="0" w:color="auto"/>
        <w:right w:val="none" w:sz="0" w:space="0" w:color="auto"/>
      </w:divBdr>
    </w:div>
    <w:div w:id="960111726">
      <w:bodyDiv w:val="1"/>
      <w:marLeft w:val="0"/>
      <w:marRight w:val="0"/>
      <w:marTop w:val="0"/>
      <w:marBottom w:val="0"/>
      <w:divBdr>
        <w:top w:val="none" w:sz="0" w:space="0" w:color="auto"/>
        <w:left w:val="none" w:sz="0" w:space="0" w:color="auto"/>
        <w:bottom w:val="none" w:sz="0" w:space="0" w:color="auto"/>
        <w:right w:val="none" w:sz="0" w:space="0" w:color="auto"/>
      </w:divBdr>
      <w:divsChild>
        <w:div w:id="975255667">
          <w:marLeft w:val="0"/>
          <w:marRight w:val="0"/>
          <w:marTop w:val="0"/>
          <w:marBottom w:val="0"/>
          <w:divBdr>
            <w:top w:val="none" w:sz="0" w:space="0" w:color="auto"/>
            <w:left w:val="none" w:sz="0" w:space="0" w:color="auto"/>
            <w:bottom w:val="none" w:sz="0" w:space="0" w:color="auto"/>
            <w:right w:val="none" w:sz="0" w:space="0" w:color="auto"/>
          </w:divBdr>
          <w:divsChild>
            <w:div w:id="1175729290">
              <w:marLeft w:val="0"/>
              <w:marRight w:val="0"/>
              <w:marTop w:val="0"/>
              <w:marBottom w:val="0"/>
              <w:divBdr>
                <w:top w:val="none" w:sz="0" w:space="0" w:color="auto"/>
                <w:left w:val="none" w:sz="0" w:space="0" w:color="auto"/>
                <w:bottom w:val="none" w:sz="0" w:space="0" w:color="auto"/>
                <w:right w:val="none" w:sz="0" w:space="0" w:color="auto"/>
              </w:divBdr>
              <w:divsChild>
                <w:div w:id="436676813">
                  <w:marLeft w:val="0"/>
                  <w:marRight w:val="0"/>
                  <w:marTop w:val="100"/>
                  <w:marBottom w:val="100"/>
                  <w:divBdr>
                    <w:top w:val="none" w:sz="0" w:space="0" w:color="auto"/>
                    <w:left w:val="none" w:sz="0" w:space="0" w:color="auto"/>
                    <w:bottom w:val="none" w:sz="0" w:space="0" w:color="auto"/>
                    <w:right w:val="none" w:sz="0" w:space="0" w:color="auto"/>
                  </w:divBdr>
                  <w:divsChild>
                    <w:div w:id="802113705">
                      <w:marLeft w:val="0"/>
                      <w:marRight w:val="0"/>
                      <w:marTop w:val="0"/>
                      <w:marBottom w:val="0"/>
                      <w:divBdr>
                        <w:top w:val="none" w:sz="0" w:space="0" w:color="auto"/>
                        <w:left w:val="none" w:sz="0" w:space="0" w:color="auto"/>
                        <w:bottom w:val="none" w:sz="0" w:space="0" w:color="auto"/>
                        <w:right w:val="none" w:sz="0" w:space="0" w:color="auto"/>
                      </w:divBdr>
                      <w:divsChild>
                        <w:div w:id="1133909001">
                          <w:marLeft w:val="0"/>
                          <w:marRight w:val="0"/>
                          <w:marTop w:val="0"/>
                          <w:marBottom w:val="0"/>
                          <w:divBdr>
                            <w:top w:val="none" w:sz="0" w:space="0" w:color="auto"/>
                            <w:left w:val="none" w:sz="0" w:space="0" w:color="auto"/>
                            <w:bottom w:val="none" w:sz="0" w:space="0" w:color="auto"/>
                            <w:right w:val="none" w:sz="0" w:space="0" w:color="auto"/>
                          </w:divBdr>
                          <w:divsChild>
                            <w:div w:id="946037565">
                              <w:marLeft w:val="0"/>
                              <w:marRight w:val="0"/>
                              <w:marTop w:val="0"/>
                              <w:marBottom w:val="0"/>
                              <w:divBdr>
                                <w:top w:val="none" w:sz="0" w:space="0" w:color="auto"/>
                                <w:left w:val="none" w:sz="0" w:space="0" w:color="auto"/>
                                <w:bottom w:val="none" w:sz="0" w:space="0" w:color="auto"/>
                                <w:right w:val="none" w:sz="0" w:space="0" w:color="auto"/>
                              </w:divBdr>
                              <w:divsChild>
                                <w:div w:id="1193495872">
                                  <w:marLeft w:val="0"/>
                                  <w:marRight w:val="0"/>
                                  <w:marTop w:val="0"/>
                                  <w:marBottom w:val="0"/>
                                  <w:divBdr>
                                    <w:top w:val="none" w:sz="0" w:space="0" w:color="auto"/>
                                    <w:left w:val="none" w:sz="0" w:space="0" w:color="auto"/>
                                    <w:bottom w:val="none" w:sz="0" w:space="0" w:color="auto"/>
                                    <w:right w:val="none" w:sz="0" w:space="0" w:color="auto"/>
                                  </w:divBdr>
                                  <w:divsChild>
                                    <w:div w:id="8080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156382">
      <w:bodyDiv w:val="1"/>
      <w:marLeft w:val="0"/>
      <w:marRight w:val="0"/>
      <w:marTop w:val="0"/>
      <w:marBottom w:val="0"/>
      <w:divBdr>
        <w:top w:val="none" w:sz="0" w:space="0" w:color="auto"/>
        <w:left w:val="none" w:sz="0" w:space="0" w:color="auto"/>
        <w:bottom w:val="none" w:sz="0" w:space="0" w:color="auto"/>
        <w:right w:val="none" w:sz="0" w:space="0" w:color="auto"/>
      </w:divBdr>
      <w:divsChild>
        <w:div w:id="1431395282">
          <w:marLeft w:val="0"/>
          <w:marRight w:val="0"/>
          <w:marTop w:val="0"/>
          <w:marBottom w:val="0"/>
          <w:divBdr>
            <w:top w:val="none" w:sz="0" w:space="0" w:color="auto"/>
            <w:left w:val="none" w:sz="0" w:space="0" w:color="auto"/>
            <w:bottom w:val="none" w:sz="0" w:space="0" w:color="auto"/>
            <w:right w:val="none" w:sz="0" w:space="0" w:color="auto"/>
          </w:divBdr>
          <w:divsChild>
            <w:div w:id="278267513">
              <w:marLeft w:val="0"/>
              <w:marRight w:val="0"/>
              <w:marTop w:val="150"/>
              <w:marBottom w:val="0"/>
              <w:divBdr>
                <w:top w:val="none" w:sz="0" w:space="0" w:color="auto"/>
                <w:left w:val="none" w:sz="0" w:space="0" w:color="auto"/>
                <w:bottom w:val="none" w:sz="0" w:space="0" w:color="auto"/>
                <w:right w:val="none" w:sz="0" w:space="0" w:color="auto"/>
              </w:divBdr>
              <w:divsChild>
                <w:div w:id="1905992987">
                  <w:marLeft w:val="0"/>
                  <w:marRight w:val="0"/>
                  <w:marTop w:val="0"/>
                  <w:marBottom w:val="0"/>
                  <w:divBdr>
                    <w:top w:val="none" w:sz="0" w:space="0" w:color="auto"/>
                    <w:left w:val="none" w:sz="0" w:space="0" w:color="auto"/>
                    <w:bottom w:val="none" w:sz="0" w:space="0" w:color="auto"/>
                    <w:right w:val="none" w:sz="0" w:space="0" w:color="auto"/>
                  </w:divBdr>
                  <w:divsChild>
                    <w:div w:id="484933007">
                      <w:marLeft w:val="0"/>
                      <w:marRight w:val="0"/>
                      <w:marTop w:val="0"/>
                      <w:marBottom w:val="0"/>
                      <w:divBdr>
                        <w:top w:val="none" w:sz="0" w:space="0" w:color="auto"/>
                        <w:left w:val="none" w:sz="0" w:space="0" w:color="auto"/>
                        <w:bottom w:val="none" w:sz="0" w:space="0" w:color="auto"/>
                        <w:right w:val="none" w:sz="0" w:space="0" w:color="auto"/>
                      </w:divBdr>
                      <w:divsChild>
                        <w:div w:id="9721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123381">
      <w:bodyDiv w:val="1"/>
      <w:marLeft w:val="0"/>
      <w:marRight w:val="0"/>
      <w:marTop w:val="0"/>
      <w:marBottom w:val="0"/>
      <w:divBdr>
        <w:top w:val="none" w:sz="0" w:space="0" w:color="auto"/>
        <w:left w:val="none" w:sz="0" w:space="0" w:color="auto"/>
        <w:bottom w:val="none" w:sz="0" w:space="0" w:color="auto"/>
        <w:right w:val="none" w:sz="0" w:space="0" w:color="auto"/>
      </w:divBdr>
    </w:div>
    <w:div w:id="969868321">
      <w:bodyDiv w:val="1"/>
      <w:marLeft w:val="0"/>
      <w:marRight w:val="0"/>
      <w:marTop w:val="0"/>
      <w:marBottom w:val="0"/>
      <w:divBdr>
        <w:top w:val="none" w:sz="0" w:space="0" w:color="auto"/>
        <w:left w:val="none" w:sz="0" w:space="0" w:color="auto"/>
        <w:bottom w:val="none" w:sz="0" w:space="0" w:color="auto"/>
        <w:right w:val="none" w:sz="0" w:space="0" w:color="auto"/>
      </w:divBdr>
      <w:divsChild>
        <w:div w:id="1073510173">
          <w:marLeft w:val="0"/>
          <w:marRight w:val="0"/>
          <w:marTop w:val="0"/>
          <w:marBottom w:val="0"/>
          <w:divBdr>
            <w:top w:val="none" w:sz="0" w:space="0" w:color="auto"/>
            <w:left w:val="none" w:sz="0" w:space="0" w:color="auto"/>
            <w:bottom w:val="none" w:sz="0" w:space="0" w:color="auto"/>
            <w:right w:val="none" w:sz="0" w:space="0" w:color="auto"/>
          </w:divBdr>
          <w:divsChild>
            <w:div w:id="596404797">
              <w:marLeft w:val="0"/>
              <w:marRight w:val="0"/>
              <w:marTop w:val="0"/>
              <w:marBottom w:val="0"/>
              <w:divBdr>
                <w:top w:val="none" w:sz="0" w:space="0" w:color="auto"/>
                <w:left w:val="none" w:sz="0" w:space="0" w:color="auto"/>
                <w:bottom w:val="none" w:sz="0" w:space="0" w:color="auto"/>
                <w:right w:val="none" w:sz="0" w:space="0" w:color="auto"/>
              </w:divBdr>
              <w:divsChild>
                <w:div w:id="1665861667">
                  <w:marLeft w:val="0"/>
                  <w:marRight w:val="0"/>
                  <w:marTop w:val="0"/>
                  <w:marBottom w:val="0"/>
                  <w:divBdr>
                    <w:top w:val="none" w:sz="0" w:space="0" w:color="auto"/>
                    <w:left w:val="none" w:sz="0" w:space="0" w:color="auto"/>
                    <w:bottom w:val="none" w:sz="0" w:space="0" w:color="auto"/>
                    <w:right w:val="none" w:sz="0" w:space="0" w:color="auto"/>
                  </w:divBdr>
                  <w:divsChild>
                    <w:div w:id="1130198961">
                      <w:marLeft w:val="0"/>
                      <w:marRight w:val="0"/>
                      <w:marTop w:val="0"/>
                      <w:marBottom w:val="0"/>
                      <w:divBdr>
                        <w:top w:val="none" w:sz="0" w:space="0" w:color="auto"/>
                        <w:left w:val="none" w:sz="0" w:space="0" w:color="auto"/>
                        <w:bottom w:val="none" w:sz="0" w:space="0" w:color="auto"/>
                        <w:right w:val="none" w:sz="0" w:space="0" w:color="auto"/>
                      </w:divBdr>
                      <w:divsChild>
                        <w:div w:id="116798866">
                          <w:marLeft w:val="0"/>
                          <w:marRight w:val="0"/>
                          <w:marTop w:val="0"/>
                          <w:marBottom w:val="0"/>
                          <w:divBdr>
                            <w:top w:val="none" w:sz="0" w:space="0" w:color="auto"/>
                            <w:left w:val="none" w:sz="0" w:space="0" w:color="auto"/>
                            <w:bottom w:val="none" w:sz="0" w:space="0" w:color="auto"/>
                            <w:right w:val="none" w:sz="0" w:space="0" w:color="auto"/>
                          </w:divBdr>
                          <w:divsChild>
                            <w:div w:id="935213130">
                              <w:marLeft w:val="570"/>
                              <w:marRight w:val="720"/>
                              <w:marTop w:val="120"/>
                              <w:marBottom w:val="120"/>
                              <w:divBdr>
                                <w:top w:val="none" w:sz="0" w:space="0" w:color="auto"/>
                                <w:left w:val="none" w:sz="0" w:space="0" w:color="auto"/>
                                <w:bottom w:val="none" w:sz="0" w:space="0" w:color="auto"/>
                                <w:right w:val="none" w:sz="0" w:space="0" w:color="auto"/>
                              </w:divBdr>
                              <w:divsChild>
                                <w:div w:id="1486164561">
                                  <w:marLeft w:val="0"/>
                                  <w:marRight w:val="0"/>
                                  <w:marTop w:val="0"/>
                                  <w:marBottom w:val="0"/>
                                  <w:divBdr>
                                    <w:top w:val="none" w:sz="0" w:space="0" w:color="auto"/>
                                    <w:left w:val="none" w:sz="0" w:space="0" w:color="auto"/>
                                    <w:bottom w:val="none" w:sz="0" w:space="0" w:color="auto"/>
                                    <w:right w:val="none" w:sz="0" w:space="0" w:color="auto"/>
                                  </w:divBdr>
                                  <w:divsChild>
                                    <w:div w:id="2142720405">
                                      <w:marLeft w:val="0"/>
                                      <w:marRight w:val="0"/>
                                      <w:marTop w:val="0"/>
                                      <w:marBottom w:val="0"/>
                                      <w:divBdr>
                                        <w:top w:val="none" w:sz="0" w:space="0" w:color="auto"/>
                                        <w:left w:val="none" w:sz="0" w:space="0" w:color="auto"/>
                                        <w:bottom w:val="none" w:sz="0" w:space="0" w:color="auto"/>
                                        <w:right w:val="none" w:sz="0" w:space="0" w:color="auto"/>
                                      </w:divBdr>
                                      <w:divsChild>
                                        <w:div w:id="1275211817">
                                          <w:marLeft w:val="0"/>
                                          <w:marRight w:val="0"/>
                                          <w:marTop w:val="0"/>
                                          <w:marBottom w:val="0"/>
                                          <w:divBdr>
                                            <w:top w:val="none" w:sz="0" w:space="0" w:color="auto"/>
                                            <w:left w:val="none" w:sz="0" w:space="0" w:color="auto"/>
                                            <w:bottom w:val="none" w:sz="0" w:space="0" w:color="auto"/>
                                            <w:right w:val="none" w:sz="0" w:space="0" w:color="auto"/>
                                          </w:divBdr>
                                        </w:div>
                                        <w:div w:id="840969663">
                                          <w:marLeft w:val="0"/>
                                          <w:marRight w:val="0"/>
                                          <w:marTop w:val="0"/>
                                          <w:marBottom w:val="150"/>
                                          <w:divBdr>
                                            <w:top w:val="none" w:sz="0" w:space="0" w:color="auto"/>
                                            <w:left w:val="none" w:sz="0" w:space="0" w:color="auto"/>
                                            <w:bottom w:val="none" w:sz="0" w:space="0" w:color="auto"/>
                                            <w:right w:val="none" w:sz="0" w:space="0" w:color="auto"/>
                                          </w:divBdr>
                                          <w:divsChild>
                                            <w:div w:id="1023358544">
                                              <w:marLeft w:val="0"/>
                                              <w:marRight w:val="0"/>
                                              <w:marTop w:val="240"/>
                                              <w:marBottom w:val="240"/>
                                              <w:divBdr>
                                                <w:top w:val="single" w:sz="6" w:space="6" w:color="F2F2F2"/>
                                                <w:left w:val="none" w:sz="0" w:space="0" w:color="auto"/>
                                                <w:bottom w:val="single" w:sz="6" w:space="6" w:color="F2F2F2"/>
                                                <w:right w:val="none" w:sz="0" w:space="0" w:color="auto"/>
                                              </w:divBdr>
                                            </w:div>
                                            <w:div w:id="75443545">
                                              <w:marLeft w:val="0"/>
                                              <w:marRight w:val="0"/>
                                              <w:marTop w:val="0"/>
                                              <w:marBottom w:val="0"/>
                                              <w:divBdr>
                                                <w:top w:val="none" w:sz="0" w:space="0" w:color="auto"/>
                                                <w:left w:val="none" w:sz="0" w:space="0" w:color="auto"/>
                                                <w:bottom w:val="none" w:sz="0" w:space="0" w:color="auto"/>
                                                <w:right w:val="none" w:sz="0" w:space="0" w:color="auto"/>
                                              </w:divBdr>
                                              <w:divsChild>
                                                <w:div w:id="556865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897733">
      <w:bodyDiv w:val="1"/>
      <w:marLeft w:val="0"/>
      <w:marRight w:val="0"/>
      <w:marTop w:val="0"/>
      <w:marBottom w:val="0"/>
      <w:divBdr>
        <w:top w:val="none" w:sz="0" w:space="0" w:color="auto"/>
        <w:left w:val="none" w:sz="0" w:space="0" w:color="auto"/>
        <w:bottom w:val="none" w:sz="0" w:space="0" w:color="auto"/>
        <w:right w:val="none" w:sz="0" w:space="0" w:color="auto"/>
      </w:divBdr>
      <w:divsChild>
        <w:div w:id="118306087">
          <w:marLeft w:val="0"/>
          <w:marRight w:val="0"/>
          <w:marTop w:val="0"/>
          <w:marBottom w:val="450"/>
          <w:divBdr>
            <w:top w:val="none" w:sz="0" w:space="0" w:color="auto"/>
            <w:left w:val="none" w:sz="0" w:space="0" w:color="auto"/>
            <w:bottom w:val="none" w:sz="0" w:space="0" w:color="auto"/>
            <w:right w:val="none" w:sz="0" w:space="0" w:color="auto"/>
          </w:divBdr>
        </w:div>
      </w:divsChild>
    </w:div>
    <w:div w:id="969941725">
      <w:bodyDiv w:val="1"/>
      <w:marLeft w:val="0"/>
      <w:marRight w:val="0"/>
      <w:marTop w:val="0"/>
      <w:marBottom w:val="0"/>
      <w:divBdr>
        <w:top w:val="none" w:sz="0" w:space="0" w:color="auto"/>
        <w:left w:val="none" w:sz="0" w:space="0" w:color="auto"/>
        <w:bottom w:val="none" w:sz="0" w:space="0" w:color="auto"/>
        <w:right w:val="none" w:sz="0" w:space="0" w:color="auto"/>
      </w:divBdr>
      <w:divsChild>
        <w:div w:id="655912392">
          <w:marLeft w:val="0"/>
          <w:marRight w:val="0"/>
          <w:marTop w:val="0"/>
          <w:marBottom w:val="0"/>
          <w:divBdr>
            <w:top w:val="none" w:sz="0" w:space="0" w:color="auto"/>
            <w:left w:val="none" w:sz="0" w:space="0" w:color="auto"/>
            <w:bottom w:val="none" w:sz="0" w:space="0" w:color="auto"/>
            <w:right w:val="none" w:sz="0" w:space="0" w:color="auto"/>
          </w:divBdr>
          <w:divsChild>
            <w:div w:id="1568809093">
              <w:marLeft w:val="0"/>
              <w:marRight w:val="0"/>
              <w:marTop w:val="0"/>
              <w:marBottom w:val="0"/>
              <w:divBdr>
                <w:top w:val="none" w:sz="0" w:space="0" w:color="auto"/>
                <w:left w:val="none" w:sz="0" w:space="0" w:color="auto"/>
                <w:bottom w:val="none" w:sz="0" w:space="0" w:color="auto"/>
                <w:right w:val="none" w:sz="0" w:space="0" w:color="auto"/>
              </w:divBdr>
              <w:divsChild>
                <w:div w:id="1752391579">
                  <w:marLeft w:val="0"/>
                  <w:marRight w:val="0"/>
                  <w:marTop w:val="0"/>
                  <w:marBottom w:val="0"/>
                  <w:divBdr>
                    <w:top w:val="none" w:sz="0" w:space="0" w:color="auto"/>
                    <w:left w:val="none" w:sz="0" w:space="0" w:color="auto"/>
                    <w:bottom w:val="none" w:sz="0" w:space="0" w:color="auto"/>
                    <w:right w:val="none" w:sz="0" w:space="0" w:color="auto"/>
                  </w:divBdr>
                  <w:divsChild>
                    <w:div w:id="490565155">
                      <w:marLeft w:val="0"/>
                      <w:marRight w:val="0"/>
                      <w:marTop w:val="0"/>
                      <w:marBottom w:val="0"/>
                      <w:divBdr>
                        <w:top w:val="none" w:sz="0" w:space="0" w:color="auto"/>
                        <w:left w:val="none" w:sz="0" w:space="0" w:color="auto"/>
                        <w:bottom w:val="none" w:sz="0" w:space="0" w:color="auto"/>
                        <w:right w:val="none" w:sz="0" w:space="0" w:color="auto"/>
                      </w:divBdr>
                      <w:divsChild>
                        <w:div w:id="9761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285435">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2">
          <w:marLeft w:val="0"/>
          <w:marRight w:val="0"/>
          <w:marTop w:val="0"/>
          <w:marBottom w:val="0"/>
          <w:divBdr>
            <w:top w:val="none" w:sz="0" w:space="0" w:color="auto"/>
            <w:left w:val="none" w:sz="0" w:space="0" w:color="auto"/>
            <w:bottom w:val="none" w:sz="0" w:space="0" w:color="auto"/>
            <w:right w:val="none" w:sz="0" w:space="0" w:color="auto"/>
          </w:divBdr>
          <w:divsChild>
            <w:div w:id="1835879028">
              <w:marLeft w:val="0"/>
              <w:marRight w:val="-100"/>
              <w:marTop w:val="1050"/>
              <w:marBottom w:val="0"/>
              <w:divBdr>
                <w:top w:val="none" w:sz="0" w:space="0" w:color="auto"/>
                <w:left w:val="none" w:sz="0" w:space="0" w:color="auto"/>
                <w:bottom w:val="none" w:sz="0" w:space="0" w:color="auto"/>
                <w:right w:val="none" w:sz="0" w:space="0" w:color="auto"/>
              </w:divBdr>
              <w:divsChild>
                <w:div w:id="1066344103">
                  <w:marLeft w:val="3450"/>
                  <w:marRight w:val="0"/>
                  <w:marTop w:val="330"/>
                  <w:marBottom w:val="0"/>
                  <w:divBdr>
                    <w:top w:val="none" w:sz="0" w:space="0" w:color="auto"/>
                    <w:left w:val="none" w:sz="0" w:space="0" w:color="auto"/>
                    <w:bottom w:val="none" w:sz="0" w:space="0" w:color="auto"/>
                    <w:right w:val="none" w:sz="0" w:space="0" w:color="auto"/>
                  </w:divBdr>
                  <w:divsChild>
                    <w:div w:id="1693726061">
                      <w:marLeft w:val="0"/>
                      <w:marRight w:val="0"/>
                      <w:marTop w:val="0"/>
                      <w:marBottom w:val="0"/>
                      <w:divBdr>
                        <w:top w:val="none" w:sz="0" w:space="0" w:color="auto"/>
                        <w:left w:val="none" w:sz="0" w:space="0" w:color="auto"/>
                        <w:bottom w:val="none" w:sz="0" w:space="0" w:color="auto"/>
                        <w:right w:val="none" w:sz="0" w:space="0" w:color="auto"/>
                      </w:divBdr>
                      <w:divsChild>
                        <w:div w:id="1436094421">
                          <w:marLeft w:val="0"/>
                          <w:marRight w:val="0"/>
                          <w:marTop w:val="225"/>
                          <w:marBottom w:val="0"/>
                          <w:divBdr>
                            <w:top w:val="none" w:sz="0" w:space="0" w:color="auto"/>
                            <w:left w:val="none" w:sz="0" w:space="0" w:color="auto"/>
                            <w:bottom w:val="none" w:sz="0" w:space="0" w:color="auto"/>
                            <w:right w:val="none" w:sz="0" w:space="0" w:color="auto"/>
                          </w:divBdr>
                          <w:divsChild>
                            <w:div w:id="16216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5257">
      <w:bodyDiv w:val="1"/>
      <w:marLeft w:val="0"/>
      <w:marRight w:val="0"/>
      <w:marTop w:val="0"/>
      <w:marBottom w:val="0"/>
      <w:divBdr>
        <w:top w:val="none" w:sz="0" w:space="0" w:color="auto"/>
        <w:left w:val="none" w:sz="0" w:space="0" w:color="auto"/>
        <w:bottom w:val="none" w:sz="0" w:space="0" w:color="auto"/>
        <w:right w:val="none" w:sz="0" w:space="0" w:color="auto"/>
      </w:divBdr>
    </w:div>
    <w:div w:id="971979134">
      <w:bodyDiv w:val="1"/>
      <w:marLeft w:val="0"/>
      <w:marRight w:val="0"/>
      <w:marTop w:val="0"/>
      <w:marBottom w:val="0"/>
      <w:divBdr>
        <w:top w:val="none" w:sz="0" w:space="0" w:color="auto"/>
        <w:left w:val="none" w:sz="0" w:space="0" w:color="auto"/>
        <w:bottom w:val="none" w:sz="0" w:space="0" w:color="auto"/>
        <w:right w:val="none" w:sz="0" w:space="0" w:color="auto"/>
      </w:divBdr>
    </w:div>
    <w:div w:id="974258775">
      <w:bodyDiv w:val="1"/>
      <w:marLeft w:val="0"/>
      <w:marRight w:val="0"/>
      <w:marTop w:val="0"/>
      <w:marBottom w:val="0"/>
      <w:divBdr>
        <w:top w:val="none" w:sz="0" w:space="0" w:color="auto"/>
        <w:left w:val="none" w:sz="0" w:space="0" w:color="auto"/>
        <w:bottom w:val="none" w:sz="0" w:space="0" w:color="auto"/>
        <w:right w:val="none" w:sz="0" w:space="0" w:color="auto"/>
      </w:divBdr>
      <w:divsChild>
        <w:div w:id="498740799">
          <w:marLeft w:val="2400"/>
          <w:marRight w:val="0"/>
          <w:marTop w:val="0"/>
          <w:marBottom w:val="0"/>
          <w:divBdr>
            <w:top w:val="none" w:sz="0" w:space="0" w:color="auto"/>
            <w:left w:val="none" w:sz="0" w:space="0" w:color="auto"/>
            <w:bottom w:val="none" w:sz="0" w:space="0" w:color="auto"/>
            <w:right w:val="none" w:sz="0" w:space="0" w:color="auto"/>
          </w:divBdr>
          <w:divsChild>
            <w:div w:id="1766226656">
              <w:marLeft w:val="0"/>
              <w:marRight w:val="0"/>
              <w:marTop w:val="0"/>
              <w:marBottom w:val="0"/>
              <w:divBdr>
                <w:top w:val="none" w:sz="0" w:space="0" w:color="auto"/>
                <w:left w:val="none" w:sz="0" w:space="0" w:color="auto"/>
                <w:bottom w:val="none" w:sz="0" w:space="0" w:color="auto"/>
                <w:right w:val="none" w:sz="0" w:space="0" w:color="auto"/>
              </w:divBdr>
              <w:divsChild>
                <w:div w:id="910506708">
                  <w:marLeft w:val="0"/>
                  <w:marRight w:val="0"/>
                  <w:marTop w:val="0"/>
                  <w:marBottom w:val="0"/>
                  <w:divBdr>
                    <w:top w:val="none" w:sz="0" w:space="0" w:color="auto"/>
                    <w:left w:val="none" w:sz="0" w:space="0" w:color="auto"/>
                    <w:bottom w:val="none" w:sz="0" w:space="0" w:color="auto"/>
                    <w:right w:val="none" w:sz="0" w:space="0" w:color="auto"/>
                  </w:divBdr>
                  <w:divsChild>
                    <w:div w:id="1433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43821">
      <w:bodyDiv w:val="1"/>
      <w:marLeft w:val="0"/>
      <w:marRight w:val="0"/>
      <w:marTop w:val="0"/>
      <w:marBottom w:val="0"/>
      <w:divBdr>
        <w:top w:val="none" w:sz="0" w:space="0" w:color="auto"/>
        <w:left w:val="none" w:sz="0" w:space="0" w:color="auto"/>
        <w:bottom w:val="none" w:sz="0" w:space="0" w:color="auto"/>
        <w:right w:val="none" w:sz="0" w:space="0" w:color="auto"/>
      </w:divBdr>
      <w:divsChild>
        <w:div w:id="204369586">
          <w:marLeft w:val="0"/>
          <w:marRight w:val="0"/>
          <w:marTop w:val="0"/>
          <w:marBottom w:val="0"/>
          <w:divBdr>
            <w:top w:val="none" w:sz="0" w:space="0" w:color="auto"/>
            <w:left w:val="none" w:sz="0" w:space="0" w:color="auto"/>
            <w:bottom w:val="none" w:sz="0" w:space="0" w:color="auto"/>
            <w:right w:val="none" w:sz="0" w:space="0" w:color="auto"/>
          </w:divBdr>
        </w:div>
        <w:div w:id="1035930346">
          <w:marLeft w:val="0"/>
          <w:marRight w:val="0"/>
          <w:marTop w:val="0"/>
          <w:marBottom w:val="150"/>
          <w:divBdr>
            <w:top w:val="none" w:sz="0" w:space="0" w:color="auto"/>
            <w:left w:val="none" w:sz="0" w:space="0" w:color="auto"/>
            <w:bottom w:val="none" w:sz="0" w:space="0" w:color="auto"/>
            <w:right w:val="none" w:sz="0" w:space="0" w:color="auto"/>
          </w:divBdr>
          <w:divsChild>
            <w:div w:id="1247036498">
              <w:marLeft w:val="0"/>
              <w:marRight w:val="0"/>
              <w:marTop w:val="240"/>
              <w:marBottom w:val="240"/>
              <w:divBdr>
                <w:top w:val="single" w:sz="6" w:space="6" w:color="F2F2F2"/>
                <w:left w:val="none" w:sz="0" w:space="0" w:color="auto"/>
                <w:bottom w:val="single" w:sz="6" w:space="6" w:color="F2F2F2"/>
                <w:right w:val="none" w:sz="0" w:space="0" w:color="auto"/>
              </w:divBdr>
            </w:div>
            <w:div w:id="2003464558">
              <w:marLeft w:val="0"/>
              <w:marRight w:val="0"/>
              <w:marTop w:val="0"/>
              <w:marBottom w:val="0"/>
              <w:divBdr>
                <w:top w:val="none" w:sz="0" w:space="0" w:color="auto"/>
                <w:left w:val="none" w:sz="0" w:space="0" w:color="auto"/>
                <w:bottom w:val="none" w:sz="0" w:space="0" w:color="auto"/>
                <w:right w:val="none" w:sz="0" w:space="0" w:color="auto"/>
              </w:divBdr>
              <w:divsChild>
                <w:div w:id="6939612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5599690">
      <w:bodyDiv w:val="1"/>
      <w:marLeft w:val="0"/>
      <w:marRight w:val="0"/>
      <w:marTop w:val="0"/>
      <w:marBottom w:val="0"/>
      <w:divBdr>
        <w:top w:val="none" w:sz="0" w:space="0" w:color="auto"/>
        <w:left w:val="none" w:sz="0" w:space="0" w:color="auto"/>
        <w:bottom w:val="none" w:sz="0" w:space="0" w:color="auto"/>
        <w:right w:val="none" w:sz="0" w:space="0" w:color="auto"/>
      </w:divBdr>
      <w:divsChild>
        <w:div w:id="1391002974">
          <w:marLeft w:val="0"/>
          <w:marRight w:val="0"/>
          <w:marTop w:val="0"/>
          <w:marBottom w:val="0"/>
          <w:divBdr>
            <w:top w:val="none" w:sz="0" w:space="0" w:color="auto"/>
            <w:left w:val="none" w:sz="0" w:space="0" w:color="auto"/>
            <w:bottom w:val="none" w:sz="0" w:space="0" w:color="auto"/>
            <w:right w:val="none" w:sz="0" w:space="0" w:color="auto"/>
          </w:divBdr>
        </w:div>
        <w:div w:id="265893583">
          <w:marLeft w:val="0"/>
          <w:marRight w:val="0"/>
          <w:marTop w:val="0"/>
          <w:marBottom w:val="150"/>
          <w:divBdr>
            <w:top w:val="none" w:sz="0" w:space="0" w:color="auto"/>
            <w:left w:val="none" w:sz="0" w:space="0" w:color="auto"/>
            <w:bottom w:val="none" w:sz="0" w:space="0" w:color="auto"/>
            <w:right w:val="none" w:sz="0" w:space="0" w:color="auto"/>
          </w:divBdr>
          <w:divsChild>
            <w:div w:id="1656228518">
              <w:marLeft w:val="0"/>
              <w:marRight w:val="0"/>
              <w:marTop w:val="0"/>
              <w:marBottom w:val="0"/>
              <w:divBdr>
                <w:top w:val="none" w:sz="0" w:space="0" w:color="auto"/>
                <w:left w:val="none" w:sz="0" w:space="0" w:color="auto"/>
                <w:bottom w:val="none" w:sz="0" w:space="0" w:color="auto"/>
                <w:right w:val="none" w:sz="0" w:space="0" w:color="auto"/>
              </w:divBdr>
              <w:divsChild>
                <w:div w:id="1352104624">
                  <w:marLeft w:val="0"/>
                  <w:marRight w:val="225"/>
                  <w:marTop w:val="0"/>
                  <w:marBottom w:val="0"/>
                  <w:divBdr>
                    <w:top w:val="none" w:sz="0" w:space="0" w:color="auto"/>
                    <w:left w:val="none" w:sz="0" w:space="0" w:color="auto"/>
                    <w:bottom w:val="none" w:sz="0" w:space="0" w:color="auto"/>
                    <w:right w:val="none" w:sz="0" w:space="0" w:color="auto"/>
                  </w:divBdr>
                  <w:divsChild>
                    <w:div w:id="202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5425">
          <w:marLeft w:val="0"/>
          <w:marRight w:val="0"/>
          <w:marTop w:val="0"/>
          <w:marBottom w:val="150"/>
          <w:divBdr>
            <w:top w:val="none" w:sz="0" w:space="0" w:color="auto"/>
            <w:left w:val="none" w:sz="0" w:space="0" w:color="auto"/>
            <w:bottom w:val="none" w:sz="0" w:space="0" w:color="auto"/>
            <w:right w:val="none" w:sz="0" w:space="0" w:color="auto"/>
          </w:divBdr>
        </w:div>
        <w:div w:id="1247422522">
          <w:marLeft w:val="0"/>
          <w:marRight w:val="0"/>
          <w:marTop w:val="0"/>
          <w:marBottom w:val="150"/>
          <w:divBdr>
            <w:top w:val="none" w:sz="0" w:space="0" w:color="auto"/>
            <w:left w:val="none" w:sz="0" w:space="0" w:color="auto"/>
            <w:bottom w:val="none" w:sz="0" w:space="0" w:color="auto"/>
            <w:right w:val="none" w:sz="0" w:space="0" w:color="auto"/>
          </w:divBdr>
        </w:div>
      </w:divsChild>
    </w:div>
    <w:div w:id="979920278">
      <w:bodyDiv w:val="1"/>
      <w:marLeft w:val="0"/>
      <w:marRight w:val="0"/>
      <w:marTop w:val="0"/>
      <w:marBottom w:val="0"/>
      <w:divBdr>
        <w:top w:val="none" w:sz="0" w:space="0" w:color="auto"/>
        <w:left w:val="none" w:sz="0" w:space="0" w:color="auto"/>
        <w:bottom w:val="none" w:sz="0" w:space="0" w:color="auto"/>
        <w:right w:val="none" w:sz="0" w:space="0" w:color="auto"/>
      </w:divBdr>
      <w:divsChild>
        <w:div w:id="795757538">
          <w:marLeft w:val="0"/>
          <w:marRight w:val="0"/>
          <w:marTop w:val="0"/>
          <w:marBottom w:val="0"/>
          <w:divBdr>
            <w:top w:val="none" w:sz="0" w:space="0" w:color="auto"/>
            <w:left w:val="none" w:sz="0" w:space="0" w:color="auto"/>
            <w:bottom w:val="none" w:sz="0" w:space="0" w:color="auto"/>
            <w:right w:val="none" w:sz="0" w:space="0" w:color="auto"/>
          </w:divBdr>
          <w:divsChild>
            <w:div w:id="132598283">
              <w:marLeft w:val="0"/>
              <w:marRight w:val="0"/>
              <w:marTop w:val="0"/>
              <w:marBottom w:val="0"/>
              <w:divBdr>
                <w:top w:val="none" w:sz="0" w:space="0" w:color="auto"/>
                <w:left w:val="none" w:sz="0" w:space="0" w:color="auto"/>
                <w:bottom w:val="none" w:sz="0" w:space="0" w:color="auto"/>
                <w:right w:val="none" w:sz="0" w:space="0" w:color="auto"/>
              </w:divBdr>
              <w:divsChild>
                <w:div w:id="1441796060">
                  <w:marLeft w:val="-225"/>
                  <w:marRight w:val="-225"/>
                  <w:marTop w:val="0"/>
                  <w:marBottom w:val="0"/>
                  <w:divBdr>
                    <w:top w:val="none" w:sz="0" w:space="0" w:color="auto"/>
                    <w:left w:val="none" w:sz="0" w:space="0" w:color="auto"/>
                    <w:bottom w:val="none" w:sz="0" w:space="0" w:color="auto"/>
                    <w:right w:val="none" w:sz="0" w:space="0" w:color="auto"/>
                  </w:divBdr>
                  <w:divsChild>
                    <w:div w:id="1311595769">
                      <w:marLeft w:val="0"/>
                      <w:marRight w:val="0"/>
                      <w:marTop w:val="0"/>
                      <w:marBottom w:val="0"/>
                      <w:divBdr>
                        <w:top w:val="none" w:sz="0" w:space="0" w:color="auto"/>
                        <w:left w:val="none" w:sz="0" w:space="0" w:color="auto"/>
                        <w:bottom w:val="none" w:sz="0" w:space="0" w:color="auto"/>
                        <w:right w:val="none" w:sz="0" w:space="0" w:color="auto"/>
                      </w:divBdr>
                      <w:divsChild>
                        <w:div w:id="133835934">
                          <w:marLeft w:val="0"/>
                          <w:marRight w:val="0"/>
                          <w:marTop w:val="300"/>
                          <w:marBottom w:val="0"/>
                          <w:divBdr>
                            <w:top w:val="none" w:sz="0" w:space="0" w:color="auto"/>
                            <w:left w:val="none" w:sz="0" w:space="0" w:color="auto"/>
                            <w:bottom w:val="none" w:sz="0" w:space="0" w:color="auto"/>
                            <w:right w:val="none" w:sz="0" w:space="0" w:color="auto"/>
                          </w:divBdr>
                          <w:divsChild>
                            <w:div w:id="592739997">
                              <w:marLeft w:val="0"/>
                              <w:marRight w:val="0"/>
                              <w:marTop w:val="0"/>
                              <w:marBottom w:val="0"/>
                              <w:divBdr>
                                <w:top w:val="none" w:sz="0" w:space="0" w:color="auto"/>
                                <w:left w:val="none" w:sz="0" w:space="0" w:color="auto"/>
                                <w:bottom w:val="none" w:sz="0" w:space="0" w:color="auto"/>
                                <w:right w:val="none" w:sz="0" w:space="0" w:color="auto"/>
                              </w:divBdr>
                              <w:divsChild>
                                <w:div w:id="233316532">
                                  <w:marLeft w:val="0"/>
                                  <w:marRight w:val="0"/>
                                  <w:marTop w:val="0"/>
                                  <w:marBottom w:val="0"/>
                                  <w:divBdr>
                                    <w:top w:val="none" w:sz="0" w:space="0" w:color="auto"/>
                                    <w:left w:val="none" w:sz="0" w:space="0" w:color="auto"/>
                                    <w:bottom w:val="none" w:sz="0" w:space="0" w:color="auto"/>
                                    <w:right w:val="none" w:sz="0" w:space="0" w:color="auto"/>
                                  </w:divBdr>
                                  <w:divsChild>
                                    <w:div w:id="572662974">
                                      <w:marLeft w:val="0"/>
                                      <w:marRight w:val="0"/>
                                      <w:marTop w:val="0"/>
                                      <w:marBottom w:val="0"/>
                                      <w:divBdr>
                                        <w:top w:val="none" w:sz="0" w:space="0" w:color="auto"/>
                                        <w:left w:val="none" w:sz="0" w:space="0" w:color="auto"/>
                                        <w:bottom w:val="none" w:sz="0" w:space="0" w:color="auto"/>
                                        <w:right w:val="none" w:sz="0" w:space="0" w:color="auto"/>
                                      </w:divBdr>
                                      <w:divsChild>
                                        <w:div w:id="2309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042106">
      <w:bodyDiv w:val="1"/>
      <w:marLeft w:val="0"/>
      <w:marRight w:val="0"/>
      <w:marTop w:val="0"/>
      <w:marBottom w:val="0"/>
      <w:divBdr>
        <w:top w:val="none" w:sz="0" w:space="0" w:color="auto"/>
        <w:left w:val="none" w:sz="0" w:space="0" w:color="auto"/>
        <w:bottom w:val="none" w:sz="0" w:space="0" w:color="auto"/>
        <w:right w:val="none" w:sz="0" w:space="0" w:color="auto"/>
      </w:divBdr>
      <w:divsChild>
        <w:div w:id="1103573177">
          <w:marLeft w:val="2040"/>
          <w:marRight w:val="0"/>
          <w:marTop w:val="0"/>
          <w:marBottom w:val="0"/>
          <w:divBdr>
            <w:top w:val="none" w:sz="0" w:space="0" w:color="auto"/>
            <w:left w:val="none" w:sz="0" w:space="0" w:color="auto"/>
            <w:bottom w:val="none" w:sz="0" w:space="0" w:color="auto"/>
            <w:right w:val="none" w:sz="0" w:space="0" w:color="auto"/>
          </w:divBdr>
          <w:divsChild>
            <w:div w:id="2052537880">
              <w:marLeft w:val="0"/>
              <w:marRight w:val="0"/>
              <w:marTop w:val="0"/>
              <w:marBottom w:val="0"/>
              <w:divBdr>
                <w:top w:val="none" w:sz="0" w:space="0" w:color="auto"/>
                <w:left w:val="none" w:sz="0" w:space="0" w:color="auto"/>
                <w:bottom w:val="none" w:sz="0" w:space="0" w:color="auto"/>
                <w:right w:val="none" w:sz="0" w:space="0" w:color="auto"/>
              </w:divBdr>
              <w:divsChild>
                <w:div w:id="1033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338">
          <w:marLeft w:val="-225"/>
          <w:marRight w:val="-225"/>
          <w:marTop w:val="0"/>
          <w:marBottom w:val="0"/>
          <w:divBdr>
            <w:top w:val="none" w:sz="0" w:space="0" w:color="auto"/>
            <w:left w:val="none" w:sz="0" w:space="0" w:color="auto"/>
            <w:bottom w:val="none" w:sz="0" w:space="0" w:color="auto"/>
            <w:right w:val="none" w:sz="0" w:space="0" w:color="auto"/>
          </w:divBdr>
          <w:divsChild>
            <w:div w:id="1711239">
              <w:marLeft w:val="0"/>
              <w:marRight w:val="0"/>
              <w:marTop w:val="0"/>
              <w:marBottom w:val="0"/>
              <w:divBdr>
                <w:top w:val="none" w:sz="0" w:space="0" w:color="auto"/>
                <w:left w:val="none" w:sz="0" w:space="0" w:color="auto"/>
                <w:bottom w:val="none" w:sz="0" w:space="0" w:color="auto"/>
                <w:right w:val="none" w:sz="0" w:space="0" w:color="auto"/>
              </w:divBdr>
              <w:divsChild>
                <w:div w:id="198859642">
                  <w:marLeft w:val="0"/>
                  <w:marRight w:val="150"/>
                  <w:marTop w:val="0"/>
                  <w:marBottom w:val="75"/>
                  <w:divBdr>
                    <w:top w:val="none" w:sz="0" w:space="0" w:color="auto"/>
                    <w:left w:val="none" w:sz="0" w:space="0" w:color="auto"/>
                    <w:bottom w:val="none" w:sz="0" w:space="0" w:color="auto"/>
                    <w:right w:val="none" w:sz="0" w:space="0" w:color="auto"/>
                  </w:divBdr>
                  <w:divsChild>
                    <w:div w:id="10459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8359">
              <w:marLeft w:val="0"/>
              <w:marRight w:val="0"/>
              <w:marTop w:val="0"/>
              <w:marBottom w:val="0"/>
              <w:divBdr>
                <w:top w:val="none" w:sz="0" w:space="0" w:color="auto"/>
                <w:left w:val="none" w:sz="0" w:space="0" w:color="auto"/>
                <w:bottom w:val="none" w:sz="0" w:space="0" w:color="auto"/>
                <w:right w:val="none" w:sz="0" w:space="0" w:color="auto"/>
              </w:divBdr>
              <w:divsChild>
                <w:div w:id="21126476">
                  <w:marLeft w:val="0"/>
                  <w:marRight w:val="0"/>
                  <w:marTop w:val="0"/>
                  <w:marBottom w:val="0"/>
                  <w:divBdr>
                    <w:top w:val="none" w:sz="0" w:space="0" w:color="auto"/>
                    <w:left w:val="none" w:sz="0" w:space="0" w:color="auto"/>
                    <w:bottom w:val="none" w:sz="0" w:space="0" w:color="auto"/>
                    <w:right w:val="none" w:sz="0" w:space="0" w:color="auto"/>
                  </w:divBdr>
                </w:div>
                <w:div w:id="413475664">
                  <w:marLeft w:val="0"/>
                  <w:marRight w:val="0"/>
                  <w:marTop w:val="0"/>
                  <w:marBottom w:val="0"/>
                  <w:divBdr>
                    <w:top w:val="none" w:sz="0" w:space="0" w:color="auto"/>
                    <w:left w:val="none" w:sz="0" w:space="0" w:color="auto"/>
                    <w:bottom w:val="none" w:sz="0" w:space="0" w:color="auto"/>
                    <w:right w:val="none" w:sz="0" w:space="0" w:color="auto"/>
                  </w:divBdr>
                  <w:divsChild>
                    <w:div w:id="2091847628">
                      <w:marLeft w:val="0"/>
                      <w:marRight w:val="0"/>
                      <w:marTop w:val="0"/>
                      <w:marBottom w:val="0"/>
                      <w:divBdr>
                        <w:top w:val="none" w:sz="0" w:space="0" w:color="auto"/>
                        <w:left w:val="none" w:sz="0" w:space="0" w:color="auto"/>
                        <w:bottom w:val="none" w:sz="0" w:space="0" w:color="auto"/>
                        <w:right w:val="none" w:sz="0" w:space="0" w:color="auto"/>
                      </w:divBdr>
                      <w:divsChild>
                        <w:div w:id="1346979772">
                          <w:marLeft w:val="0"/>
                          <w:marRight w:val="0"/>
                          <w:marTop w:val="0"/>
                          <w:marBottom w:val="0"/>
                          <w:divBdr>
                            <w:top w:val="none" w:sz="0" w:space="0" w:color="auto"/>
                            <w:left w:val="none" w:sz="0" w:space="0" w:color="auto"/>
                            <w:bottom w:val="none" w:sz="0" w:space="0" w:color="auto"/>
                            <w:right w:val="none" w:sz="0" w:space="0" w:color="auto"/>
                          </w:divBdr>
                        </w:div>
                        <w:div w:id="1653362750">
                          <w:marLeft w:val="0"/>
                          <w:marRight w:val="0"/>
                          <w:marTop w:val="0"/>
                          <w:marBottom w:val="0"/>
                          <w:divBdr>
                            <w:top w:val="none" w:sz="0" w:space="0" w:color="auto"/>
                            <w:left w:val="none" w:sz="0" w:space="0" w:color="auto"/>
                            <w:bottom w:val="none" w:sz="0" w:space="0" w:color="auto"/>
                            <w:right w:val="none" w:sz="0" w:space="0" w:color="auto"/>
                          </w:divBdr>
                          <w:divsChild>
                            <w:div w:id="974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699319">
          <w:marLeft w:val="3861"/>
          <w:marRight w:val="3861"/>
          <w:marTop w:val="0"/>
          <w:marBottom w:val="450"/>
          <w:divBdr>
            <w:top w:val="single" w:sz="6" w:space="5" w:color="3366CC"/>
            <w:left w:val="single" w:sz="6" w:space="5" w:color="3366CC"/>
            <w:bottom w:val="single" w:sz="6" w:space="5" w:color="3366CC"/>
            <w:right w:val="single" w:sz="6" w:space="5" w:color="3366CC"/>
          </w:divBdr>
        </w:div>
      </w:divsChild>
    </w:div>
    <w:div w:id="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901089199">
          <w:marLeft w:val="0"/>
          <w:marRight w:val="0"/>
          <w:marTop w:val="0"/>
          <w:marBottom w:val="0"/>
          <w:divBdr>
            <w:top w:val="none" w:sz="0" w:space="0" w:color="auto"/>
            <w:left w:val="none" w:sz="0" w:space="0" w:color="auto"/>
            <w:bottom w:val="none" w:sz="0" w:space="0" w:color="auto"/>
            <w:right w:val="none" w:sz="0" w:space="0" w:color="auto"/>
          </w:divBdr>
          <w:divsChild>
            <w:div w:id="274795016">
              <w:marLeft w:val="210"/>
              <w:marRight w:val="0"/>
              <w:marTop w:val="0"/>
              <w:marBottom w:val="0"/>
              <w:divBdr>
                <w:top w:val="none" w:sz="0" w:space="0" w:color="auto"/>
                <w:left w:val="none" w:sz="0" w:space="0" w:color="auto"/>
                <w:bottom w:val="none" w:sz="0" w:space="0" w:color="auto"/>
                <w:right w:val="none" w:sz="0" w:space="0" w:color="auto"/>
              </w:divBdr>
              <w:divsChild>
                <w:div w:id="947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4994">
      <w:bodyDiv w:val="1"/>
      <w:marLeft w:val="0"/>
      <w:marRight w:val="0"/>
      <w:marTop w:val="0"/>
      <w:marBottom w:val="0"/>
      <w:divBdr>
        <w:top w:val="none" w:sz="0" w:space="0" w:color="auto"/>
        <w:left w:val="none" w:sz="0" w:space="0" w:color="auto"/>
        <w:bottom w:val="none" w:sz="0" w:space="0" w:color="auto"/>
        <w:right w:val="none" w:sz="0" w:space="0" w:color="auto"/>
      </w:divBdr>
      <w:divsChild>
        <w:div w:id="751119314">
          <w:marLeft w:val="0"/>
          <w:marRight w:val="0"/>
          <w:marTop w:val="150"/>
          <w:marBottom w:val="0"/>
          <w:divBdr>
            <w:top w:val="none" w:sz="0" w:space="0" w:color="auto"/>
            <w:left w:val="none" w:sz="0" w:space="0" w:color="auto"/>
            <w:bottom w:val="none" w:sz="0" w:space="0" w:color="auto"/>
            <w:right w:val="none" w:sz="0" w:space="0" w:color="auto"/>
          </w:divBdr>
          <w:divsChild>
            <w:div w:id="1910923529">
              <w:marLeft w:val="2"/>
              <w:marRight w:val="2"/>
              <w:marTop w:val="0"/>
              <w:marBottom w:val="0"/>
              <w:divBdr>
                <w:top w:val="none" w:sz="0" w:space="0" w:color="auto"/>
                <w:left w:val="none" w:sz="0" w:space="0" w:color="auto"/>
                <w:bottom w:val="none" w:sz="0" w:space="0" w:color="auto"/>
                <w:right w:val="none" w:sz="0" w:space="0" w:color="auto"/>
              </w:divBdr>
              <w:divsChild>
                <w:div w:id="997998619">
                  <w:marLeft w:val="0"/>
                  <w:marRight w:val="0"/>
                  <w:marTop w:val="0"/>
                  <w:marBottom w:val="0"/>
                  <w:divBdr>
                    <w:top w:val="none" w:sz="0" w:space="0" w:color="auto"/>
                    <w:left w:val="none" w:sz="0" w:space="0" w:color="auto"/>
                    <w:bottom w:val="none" w:sz="0" w:space="0" w:color="auto"/>
                    <w:right w:val="none" w:sz="0" w:space="0" w:color="auto"/>
                  </w:divBdr>
                  <w:divsChild>
                    <w:div w:id="97724110">
                      <w:marLeft w:val="0"/>
                      <w:marRight w:val="0"/>
                      <w:marTop w:val="0"/>
                      <w:marBottom w:val="0"/>
                      <w:divBdr>
                        <w:top w:val="none" w:sz="0" w:space="0" w:color="auto"/>
                        <w:left w:val="none" w:sz="0" w:space="0" w:color="auto"/>
                        <w:bottom w:val="none" w:sz="0" w:space="0" w:color="auto"/>
                        <w:right w:val="none" w:sz="0" w:space="0" w:color="auto"/>
                      </w:divBdr>
                      <w:divsChild>
                        <w:div w:id="525368402">
                          <w:marLeft w:val="0"/>
                          <w:marRight w:val="0"/>
                          <w:marTop w:val="0"/>
                          <w:marBottom w:val="0"/>
                          <w:divBdr>
                            <w:top w:val="none" w:sz="0" w:space="0" w:color="auto"/>
                            <w:left w:val="none" w:sz="0" w:space="0" w:color="auto"/>
                            <w:bottom w:val="none" w:sz="0" w:space="0" w:color="auto"/>
                            <w:right w:val="none" w:sz="0" w:space="0" w:color="auto"/>
                          </w:divBdr>
                          <w:divsChild>
                            <w:div w:id="1306664199">
                              <w:marLeft w:val="0"/>
                              <w:marRight w:val="0"/>
                              <w:marTop w:val="0"/>
                              <w:marBottom w:val="0"/>
                              <w:divBdr>
                                <w:top w:val="none" w:sz="0" w:space="0" w:color="auto"/>
                                <w:left w:val="none" w:sz="0" w:space="0" w:color="auto"/>
                                <w:bottom w:val="none" w:sz="0" w:space="0" w:color="auto"/>
                                <w:right w:val="none" w:sz="0" w:space="0" w:color="auto"/>
                              </w:divBdr>
                              <w:divsChild>
                                <w:div w:id="1544831743">
                                  <w:marLeft w:val="0"/>
                                  <w:marRight w:val="0"/>
                                  <w:marTop w:val="0"/>
                                  <w:marBottom w:val="0"/>
                                  <w:divBdr>
                                    <w:top w:val="none" w:sz="0" w:space="0" w:color="auto"/>
                                    <w:left w:val="none" w:sz="0" w:space="0" w:color="auto"/>
                                    <w:bottom w:val="none" w:sz="0" w:space="0" w:color="auto"/>
                                    <w:right w:val="none" w:sz="0" w:space="0" w:color="auto"/>
                                  </w:divBdr>
                                  <w:divsChild>
                                    <w:div w:id="483394292">
                                      <w:marLeft w:val="0"/>
                                      <w:marRight w:val="0"/>
                                      <w:marTop w:val="0"/>
                                      <w:marBottom w:val="0"/>
                                      <w:divBdr>
                                        <w:top w:val="none" w:sz="0" w:space="0" w:color="auto"/>
                                        <w:left w:val="none" w:sz="0" w:space="0" w:color="auto"/>
                                        <w:bottom w:val="none" w:sz="0" w:space="0" w:color="auto"/>
                                        <w:right w:val="none" w:sz="0" w:space="0" w:color="auto"/>
                                      </w:divBdr>
                                      <w:divsChild>
                                        <w:div w:id="532688983">
                                          <w:marLeft w:val="0"/>
                                          <w:marRight w:val="0"/>
                                          <w:marTop w:val="0"/>
                                          <w:marBottom w:val="0"/>
                                          <w:divBdr>
                                            <w:top w:val="none" w:sz="0" w:space="0" w:color="auto"/>
                                            <w:left w:val="none" w:sz="0" w:space="0" w:color="auto"/>
                                            <w:bottom w:val="none" w:sz="0" w:space="0" w:color="auto"/>
                                            <w:right w:val="none" w:sz="0" w:space="0" w:color="auto"/>
                                          </w:divBdr>
                                          <w:divsChild>
                                            <w:div w:id="1076903072">
                                              <w:marLeft w:val="0"/>
                                              <w:marRight w:val="0"/>
                                              <w:marTop w:val="0"/>
                                              <w:marBottom w:val="0"/>
                                              <w:divBdr>
                                                <w:top w:val="none" w:sz="0" w:space="0" w:color="auto"/>
                                                <w:left w:val="none" w:sz="0" w:space="0" w:color="auto"/>
                                                <w:bottom w:val="none" w:sz="0" w:space="0" w:color="auto"/>
                                                <w:right w:val="none" w:sz="0" w:space="0" w:color="auto"/>
                                              </w:divBdr>
                                              <w:divsChild>
                                                <w:div w:id="990643128">
                                                  <w:marLeft w:val="0"/>
                                                  <w:marRight w:val="0"/>
                                                  <w:marTop w:val="0"/>
                                                  <w:marBottom w:val="0"/>
                                                  <w:divBdr>
                                                    <w:top w:val="none" w:sz="0" w:space="0" w:color="auto"/>
                                                    <w:left w:val="none" w:sz="0" w:space="0" w:color="auto"/>
                                                    <w:bottom w:val="none" w:sz="0" w:space="0" w:color="auto"/>
                                                    <w:right w:val="none" w:sz="0" w:space="0" w:color="auto"/>
                                                  </w:divBdr>
                                                </w:div>
                                              </w:divsChild>
                                            </w:div>
                                            <w:div w:id="201065641">
                                              <w:marLeft w:val="0"/>
                                              <w:marRight w:val="0"/>
                                              <w:marTop w:val="0"/>
                                              <w:marBottom w:val="0"/>
                                              <w:divBdr>
                                                <w:top w:val="none" w:sz="0" w:space="0" w:color="auto"/>
                                                <w:left w:val="none" w:sz="0" w:space="0" w:color="auto"/>
                                                <w:bottom w:val="none" w:sz="0" w:space="0" w:color="auto"/>
                                                <w:right w:val="none" w:sz="0" w:space="0" w:color="auto"/>
                                              </w:divBdr>
                                              <w:divsChild>
                                                <w:div w:id="1724594197">
                                                  <w:marLeft w:val="0"/>
                                                  <w:marRight w:val="0"/>
                                                  <w:marTop w:val="0"/>
                                                  <w:marBottom w:val="0"/>
                                                  <w:divBdr>
                                                    <w:top w:val="none" w:sz="0" w:space="0" w:color="auto"/>
                                                    <w:left w:val="none" w:sz="0" w:space="0" w:color="auto"/>
                                                    <w:bottom w:val="none" w:sz="0" w:space="0" w:color="auto"/>
                                                    <w:right w:val="none" w:sz="0" w:space="0" w:color="auto"/>
                                                  </w:divBdr>
                                                </w:div>
                                              </w:divsChild>
                                            </w:div>
                                            <w:div w:id="586038229">
                                              <w:marLeft w:val="0"/>
                                              <w:marRight w:val="0"/>
                                              <w:marTop w:val="0"/>
                                              <w:marBottom w:val="0"/>
                                              <w:divBdr>
                                                <w:top w:val="none" w:sz="0" w:space="0" w:color="auto"/>
                                                <w:left w:val="none" w:sz="0" w:space="0" w:color="auto"/>
                                                <w:bottom w:val="none" w:sz="0" w:space="0" w:color="auto"/>
                                                <w:right w:val="none" w:sz="0" w:space="0" w:color="auto"/>
                                              </w:divBdr>
                                              <w:divsChild>
                                                <w:div w:id="1468284249">
                                                  <w:marLeft w:val="0"/>
                                                  <w:marRight w:val="0"/>
                                                  <w:marTop w:val="0"/>
                                                  <w:marBottom w:val="0"/>
                                                  <w:divBdr>
                                                    <w:top w:val="none" w:sz="0" w:space="0" w:color="auto"/>
                                                    <w:left w:val="none" w:sz="0" w:space="0" w:color="auto"/>
                                                    <w:bottom w:val="none" w:sz="0" w:space="0" w:color="auto"/>
                                                    <w:right w:val="none" w:sz="0" w:space="0" w:color="auto"/>
                                                  </w:divBdr>
                                                </w:div>
                                              </w:divsChild>
                                            </w:div>
                                            <w:div w:id="493305848">
                                              <w:marLeft w:val="0"/>
                                              <w:marRight w:val="0"/>
                                              <w:marTop w:val="0"/>
                                              <w:marBottom w:val="0"/>
                                              <w:divBdr>
                                                <w:top w:val="none" w:sz="0" w:space="0" w:color="auto"/>
                                                <w:left w:val="none" w:sz="0" w:space="0" w:color="auto"/>
                                                <w:bottom w:val="none" w:sz="0" w:space="0" w:color="auto"/>
                                                <w:right w:val="none" w:sz="0" w:space="0" w:color="auto"/>
                                              </w:divBdr>
                                              <w:divsChild>
                                                <w:div w:id="18001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586148">
      <w:bodyDiv w:val="1"/>
      <w:marLeft w:val="0"/>
      <w:marRight w:val="0"/>
      <w:marTop w:val="0"/>
      <w:marBottom w:val="0"/>
      <w:divBdr>
        <w:top w:val="none" w:sz="0" w:space="0" w:color="auto"/>
        <w:left w:val="none" w:sz="0" w:space="0" w:color="auto"/>
        <w:bottom w:val="none" w:sz="0" w:space="0" w:color="auto"/>
        <w:right w:val="none" w:sz="0" w:space="0" w:color="auto"/>
      </w:divBdr>
      <w:divsChild>
        <w:div w:id="1243760326">
          <w:marLeft w:val="0"/>
          <w:marRight w:val="0"/>
          <w:marTop w:val="0"/>
          <w:marBottom w:val="0"/>
          <w:divBdr>
            <w:top w:val="none" w:sz="0" w:space="0" w:color="auto"/>
            <w:left w:val="none" w:sz="0" w:space="0" w:color="auto"/>
            <w:bottom w:val="none" w:sz="0" w:space="0" w:color="auto"/>
            <w:right w:val="none" w:sz="0" w:space="0" w:color="auto"/>
          </w:divBdr>
          <w:divsChild>
            <w:div w:id="387077131">
              <w:marLeft w:val="0"/>
              <w:marRight w:val="0"/>
              <w:marTop w:val="0"/>
              <w:marBottom w:val="0"/>
              <w:divBdr>
                <w:top w:val="none" w:sz="0" w:space="0" w:color="auto"/>
                <w:left w:val="none" w:sz="0" w:space="0" w:color="auto"/>
                <w:bottom w:val="none" w:sz="0" w:space="0" w:color="auto"/>
                <w:right w:val="none" w:sz="0" w:space="0" w:color="auto"/>
              </w:divBdr>
              <w:divsChild>
                <w:div w:id="2031174244">
                  <w:marLeft w:val="0"/>
                  <w:marRight w:val="0"/>
                  <w:marTop w:val="100"/>
                  <w:marBottom w:val="100"/>
                  <w:divBdr>
                    <w:top w:val="none" w:sz="0" w:space="0" w:color="auto"/>
                    <w:left w:val="none" w:sz="0" w:space="0" w:color="auto"/>
                    <w:bottom w:val="none" w:sz="0" w:space="0" w:color="auto"/>
                    <w:right w:val="none" w:sz="0" w:space="0" w:color="auto"/>
                  </w:divBdr>
                  <w:divsChild>
                    <w:div w:id="1928229088">
                      <w:marLeft w:val="0"/>
                      <w:marRight w:val="0"/>
                      <w:marTop w:val="0"/>
                      <w:marBottom w:val="0"/>
                      <w:divBdr>
                        <w:top w:val="none" w:sz="0" w:space="0" w:color="auto"/>
                        <w:left w:val="none" w:sz="0" w:space="0" w:color="auto"/>
                        <w:bottom w:val="none" w:sz="0" w:space="0" w:color="auto"/>
                        <w:right w:val="none" w:sz="0" w:space="0" w:color="auto"/>
                      </w:divBdr>
                      <w:divsChild>
                        <w:div w:id="1258560340">
                          <w:marLeft w:val="0"/>
                          <w:marRight w:val="0"/>
                          <w:marTop w:val="0"/>
                          <w:marBottom w:val="0"/>
                          <w:divBdr>
                            <w:top w:val="none" w:sz="0" w:space="0" w:color="auto"/>
                            <w:left w:val="none" w:sz="0" w:space="0" w:color="auto"/>
                            <w:bottom w:val="none" w:sz="0" w:space="0" w:color="auto"/>
                            <w:right w:val="none" w:sz="0" w:space="0" w:color="auto"/>
                          </w:divBdr>
                          <w:divsChild>
                            <w:div w:id="1615482520">
                              <w:marLeft w:val="0"/>
                              <w:marRight w:val="0"/>
                              <w:marTop w:val="0"/>
                              <w:marBottom w:val="0"/>
                              <w:divBdr>
                                <w:top w:val="none" w:sz="0" w:space="0" w:color="auto"/>
                                <w:left w:val="none" w:sz="0" w:space="0" w:color="auto"/>
                                <w:bottom w:val="none" w:sz="0" w:space="0" w:color="auto"/>
                                <w:right w:val="none" w:sz="0" w:space="0" w:color="auto"/>
                              </w:divBdr>
                              <w:divsChild>
                                <w:div w:id="1415127135">
                                  <w:marLeft w:val="0"/>
                                  <w:marRight w:val="0"/>
                                  <w:marTop w:val="0"/>
                                  <w:marBottom w:val="0"/>
                                  <w:divBdr>
                                    <w:top w:val="none" w:sz="0" w:space="0" w:color="auto"/>
                                    <w:left w:val="none" w:sz="0" w:space="0" w:color="auto"/>
                                    <w:bottom w:val="none" w:sz="0" w:space="0" w:color="auto"/>
                                    <w:right w:val="none" w:sz="0" w:space="0" w:color="auto"/>
                                  </w:divBdr>
                                  <w:divsChild>
                                    <w:div w:id="1555241794">
                                      <w:marLeft w:val="0"/>
                                      <w:marRight w:val="0"/>
                                      <w:marTop w:val="0"/>
                                      <w:marBottom w:val="0"/>
                                      <w:divBdr>
                                        <w:top w:val="none" w:sz="0" w:space="0" w:color="auto"/>
                                        <w:left w:val="none" w:sz="0" w:space="0" w:color="auto"/>
                                        <w:bottom w:val="none" w:sz="0" w:space="0" w:color="auto"/>
                                        <w:right w:val="none" w:sz="0" w:space="0" w:color="auto"/>
                                      </w:divBdr>
                                      <w:divsChild>
                                        <w:div w:id="840975340">
                                          <w:marLeft w:val="0"/>
                                          <w:marRight w:val="0"/>
                                          <w:marTop w:val="0"/>
                                          <w:marBottom w:val="0"/>
                                          <w:divBdr>
                                            <w:top w:val="none" w:sz="0" w:space="0" w:color="auto"/>
                                            <w:left w:val="none" w:sz="0" w:space="0" w:color="auto"/>
                                            <w:bottom w:val="none" w:sz="0" w:space="0" w:color="auto"/>
                                            <w:right w:val="none" w:sz="0" w:space="0" w:color="auto"/>
                                          </w:divBdr>
                                          <w:divsChild>
                                            <w:div w:id="1314798167">
                                              <w:marLeft w:val="0"/>
                                              <w:marRight w:val="0"/>
                                              <w:marTop w:val="0"/>
                                              <w:marBottom w:val="0"/>
                                              <w:divBdr>
                                                <w:top w:val="single" w:sz="6" w:space="0" w:color="B6D444"/>
                                                <w:left w:val="none" w:sz="0" w:space="0" w:color="auto"/>
                                                <w:bottom w:val="none" w:sz="0" w:space="0" w:color="auto"/>
                                                <w:right w:val="none" w:sz="0" w:space="0" w:color="auto"/>
                                              </w:divBdr>
                                              <w:divsChild>
                                                <w:div w:id="16475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3967019">
      <w:bodyDiv w:val="1"/>
      <w:marLeft w:val="0"/>
      <w:marRight w:val="0"/>
      <w:marTop w:val="0"/>
      <w:marBottom w:val="0"/>
      <w:divBdr>
        <w:top w:val="none" w:sz="0" w:space="0" w:color="auto"/>
        <w:left w:val="none" w:sz="0" w:space="0" w:color="auto"/>
        <w:bottom w:val="none" w:sz="0" w:space="0" w:color="auto"/>
        <w:right w:val="none" w:sz="0" w:space="0" w:color="auto"/>
      </w:divBdr>
      <w:divsChild>
        <w:div w:id="1397583848">
          <w:marLeft w:val="0"/>
          <w:marRight w:val="0"/>
          <w:marTop w:val="0"/>
          <w:marBottom w:val="0"/>
          <w:divBdr>
            <w:top w:val="none" w:sz="0" w:space="0" w:color="auto"/>
            <w:left w:val="none" w:sz="0" w:space="0" w:color="auto"/>
            <w:bottom w:val="none" w:sz="0" w:space="0" w:color="auto"/>
            <w:right w:val="none" w:sz="0" w:space="0" w:color="auto"/>
          </w:divBdr>
          <w:divsChild>
            <w:div w:id="317731949">
              <w:marLeft w:val="0"/>
              <w:marRight w:val="0"/>
              <w:marTop w:val="0"/>
              <w:marBottom w:val="0"/>
              <w:divBdr>
                <w:top w:val="none" w:sz="0" w:space="0" w:color="auto"/>
                <w:left w:val="none" w:sz="0" w:space="0" w:color="auto"/>
                <w:bottom w:val="none" w:sz="0" w:space="0" w:color="auto"/>
                <w:right w:val="none" w:sz="0" w:space="0" w:color="auto"/>
              </w:divBdr>
              <w:divsChild>
                <w:div w:id="1915509336">
                  <w:marLeft w:val="0"/>
                  <w:marRight w:val="0"/>
                  <w:marTop w:val="100"/>
                  <w:marBottom w:val="100"/>
                  <w:divBdr>
                    <w:top w:val="none" w:sz="0" w:space="0" w:color="auto"/>
                    <w:left w:val="none" w:sz="0" w:space="0" w:color="auto"/>
                    <w:bottom w:val="none" w:sz="0" w:space="0" w:color="auto"/>
                    <w:right w:val="none" w:sz="0" w:space="0" w:color="auto"/>
                  </w:divBdr>
                  <w:divsChild>
                    <w:div w:id="1743480448">
                      <w:marLeft w:val="0"/>
                      <w:marRight w:val="0"/>
                      <w:marTop w:val="0"/>
                      <w:marBottom w:val="0"/>
                      <w:divBdr>
                        <w:top w:val="none" w:sz="0" w:space="0" w:color="auto"/>
                        <w:left w:val="none" w:sz="0" w:space="0" w:color="auto"/>
                        <w:bottom w:val="none" w:sz="0" w:space="0" w:color="auto"/>
                        <w:right w:val="none" w:sz="0" w:space="0" w:color="auto"/>
                      </w:divBdr>
                      <w:divsChild>
                        <w:div w:id="1144355024">
                          <w:marLeft w:val="0"/>
                          <w:marRight w:val="0"/>
                          <w:marTop w:val="0"/>
                          <w:marBottom w:val="0"/>
                          <w:divBdr>
                            <w:top w:val="none" w:sz="0" w:space="0" w:color="auto"/>
                            <w:left w:val="none" w:sz="0" w:space="0" w:color="auto"/>
                            <w:bottom w:val="none" w:sz="0" w:space="0" w:color="auto"/>
                            <w:right w:val="none" w:sz="0" w:space="0" w:color="auto"/>
                          </w:divBdr>
                          <w:divsChild>
                            <w:div w:id="217473459">
                              <w:marLeft w:val="0"/>
                              <w:marRight w:val="0"/>
                              <w:marTop w:val="0"/>
                              <w:marBottom w:val="0"/>
                              <w:divBdr>
                                <w:top w:val="none" w:sz="0" w:space="0" w:color="auto"/>
                                <w:left w:val="none" w:sz="0" w:space="0" w:color="auto"/>
                                <w:bottom w:val="none" w:sz="0" w:space="0" w:color="auto"/>
                                <w:right w:val="none" w:sz="0" w:space="0" w:color="auto"/>
                              </w:divBdr>
                              <w:divsChild>
                                <w:div w:id="1495730420">
                                  <w:marLeft w:val="0"/>
                                  <w:marRight w:val="0"/>
                                  <w:marTop w:val="0"/>
                                  <w:marBottom w:val="0"/>
                                  <w:divBdr>
                                    <w:top w:val="none" w:sz="0" w:space="0" w:color="auto"/>
                                    <w:left w:val="none" w:sz="0" w:space="0" w:color="auto"/>
                                    <w:bottom w:val="none" w:sz="0" w:space="0" w:color="auto"/>
                                    <w:right w:val="none" w:sz="0" w:space="0" w:color="auto"/>
                                  </w:divBdr>
                                  <w:divsChild>
                                    <w:div w:id="538518506">
                                      <w:marLeft w:val="0"/>
                                      <w:marRight w:val="0"/>
                                      <w:marTop w:val="0"/>
                                      <w:marBottom w:val="0"/>
                                      <w:divBdr>
                                        <w:top w:val="none" w:sz="0" w:space="0" w:color="auto"/>
                                        <w:left w:val="none" w:sz="0" w:space="0" w:color="auto"/>
                                        <w:bottom w:val="none" w:sz="0" w:space="0" w:color="auto"/>
                                        <w:right w:val="none" w:sz="0" w:space="0" w:color="auto"/>
                                      </w:divBdr>
                                      <w:divsChild>
                                        <w:div w:id="941570340">
                                          <w:marLeft w:val="0"/>
                                          <w:marRight w:val="0"/>
                                          <w:marTop w:val="0"/>
                                          <w:marBottom w:val="0"/>
                                          <w:divBdr>
                                            <w:top w:val="none" w:sz="0" w:space="0" w:color="auto"/>
                                            <w:left w:val="none" w:sz="0" w:space="0" w:color="auto"/>
                                            <w:bottom w:val="none" w:sz="0" w:space="0" w:color="auto"/>
                                            <w:right w:val="none" w:sz="0" w:space="0" w:color="auto"/>
                                          </w:divBdr>
                                          <w:divsChild>
                                            <w:div w:id="1052311887">
                                              <w:marLeft w:val="0"/>
                                              <w:marRight w:val="0"/>
                                              <w:marTop w:val="0"/>
                                              <w:marBottom w:val="0"/>
                                              <w:divBdr>
                                                <w:top w:val="single" w:sz="6" w:space="0" w:color="B6D444"/>
                                                <w:left w:val="none" w:sz="0" w:space="0" w:color="auto"/>
                                                <w:bottom w:val="none" w:sz="0" w:space="0" w:color="auto"/>
                                                <w:right w:val="none" w:sz="0" w:space="0" w:color="auto"/>
                                              </w:divBdr>
                                              <w:divsChild>
                                                <w:div w:id="1325817414">
                                                  <w:blockQuote w:val="1"/>
                                                  <w:marLeft w:val="0"/>
                                                  <w:marRight w:val="0"/>
                                                  <w:marTop w:val="100"/>
                                                  <w:marBottom w:val="100"/>
                                                  <w:divBdr>
                                                    <w:top w:val="none" w:sz="0" w:space="0" w:color="auto"/>
                                                    <w:left w:val="none" w:sz="0" w:space="0" w:color="auto"/>
                                                    <w:bottom w:val="none" w:sz="0" w:space="0" w:color="auto"/>
                                                    <w:right w:val="none" w:sz="0" w:space="0" w:color="auto"/>
                                                  </w:divBdr>
                                                </w:div>
                                                <w:div w:id="145833215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4118092">
      <w:bodyDiv w:val="1"/>
      <w:marLeft w:val="0"/>
      <w:marRight w:val="0"/>
      <w:marTop w:val="0"/>
      <w:marBottom w:val="0"/>
      <w:divBdr>
        <w:top w:val="none" w:sz="0" w:space="0" w:color="auto"/>
        <w:left w:val="none" w:sz="0" w:space="0" w:color="auto"/>
        <w:bottom w:val="none" w:sz="0" w:space="0" w:color="auto"/>
        <w:right w:val="none" w:sz="0" w:space="0" w:color="auto"/>
      </w:divBdr>
    </w:div>
    <w:div w:id="986907142">
      <w:bodyDiv w:val="1"/>
      <w:marLeft w:val="0"/>
      <w:marRight w:val="0"/>
      <w:marTop w:val="0"/>
      <w:marBottom w:val="0"/>
      <w:divBdr>
        <w:top w:val="none" w:sz="0" w:space="0" w:color="auto"/>
        <w:left w:val="none" w:sz="0" w:space="0" w:color="auto"/>
        <w:bottom w:val="none" w:sz="0" w:space="0" w:color="auto"/>
        <w:right w:val="none" w:sz="0" w:space="0" w:color="auto"/>
      </w:divBdr>
      <w:divsChild>
        <w:div w:id="334118654">
          <w:marLeft w:val="0"/>
          <w:marRight w:val="0"/>
          <w:marTop w:val="0"/>
          <w:marBottom w:val="0"/>
          <w:divBdr>
            <w:top w:val="none" w:sz="0" w:space="0" w:color="auto"/>
            <w:left w:val="none" w:sz="0" w:space="0" w:color="auto"/>
            <w:bottom w:val="none" w:sz="0" w:space="0" w:color="auto"/>
            <w:right w:val="none" w:sz="0" w:space="0" w:color="auto"/>
          </w:divBdr>
          <w:divsChild>
            <w:div w:id="626357420">
              <w:marLeft w:val="0"/>
              <w:marRight w:val="0"/>
              <w:marTop w:val="0"/>
              <w:marBottom w:val="0"/>
              <w:divBdr>
                <w:top w:val="none" w:sz="0" w:space="0" w:color="auto"/>
                <w:left w:val="none" w:sz="0" w:space="0" w:color="auto"/>
                <w:bottom w:val="none" w:sz="0" w:space="0" w:color="auto"/>
                <w:right w:val="none" w:sz="0" w:space="0" w:color="auto"/>
              </w:divBdr>
              <w:divsChild>
                <w:div w:id="787815587">
                  <w:marLeft w:val="0"/>
                  <w:marRight w:val="0"/>
                  <w:marTop w:val="0"/>
                  <w:marBottom w:val="0"/>
                  <w:divBdr>
                    <w:top w:val="none" w:sz="0" w:space="0" w:color="auto"/>
                    <w:left w:val="none" w:sz="0" w:space="0" w:color="auto"/>
                    <w:bottom w:val="none" w:sz="0" w:space="0" w:color="auto"/>
                    <w:right w:val="none" w:sz="0" w:space="0" w:color="auto"/>
                  </w:divBdr>
                  <w:divsChild>
                    <w:div w:id="2028603437">
                      <w:marLeft w:val="0"/>
                      <w:marRight w:val="0"/>
                      <w:marTop w:val="0"/>
                      <w:marBottom w:val="0"/>
                      <w:divBdr>
                        <w:top w:val="none" w:sz="0" w:space="0" w:color="auto"/>
                        <w:left w:val="none" w:sz="0" w:space="0" w:color="auto"/>
                        <w:bottom w:val="none" w:sz="0" w:space="0" w:color="auto"/>
                        <w:right w:val="none" w:sz="0" w:space="0" w:color="auto"/>
                      </w:divBdr>
                      <w:divsChild>
                        <w:div w:id="1383287970">
                          <w:marLeft w:val="0"/>
                          <w:marRight w:val="0"/>
                          <w:marTop w:val="0"/>
                          <w:marBottom w:val="0"/>
                          <w:divBdr>
                            <w:top w:val="none" w:sz="0" w:space="0" w:color="auto"/>
                            <w:left w:val="none" w:sz="0" w:space="0" w:color="auto"/>
                            <w:bottom w:val="none" w:sz="0" w:space="0" w:color="auto"/>
                            <w:right w:val="none" w:sz="0" w:space="0" w:color="auto"/>
                          </w:divBdr>
                          <w:divsChild>
                            <w:div w:id="1303386319">
                              <w:marLeft w:val="0"/>
                              <w:marRight w:val="0"/>
                              <w:marTop w:val="0"/>
                              <w:marBottom w:val="0"/>
                              <w:divBdr>
                                <w:top w:val="none" w:sz="0" w:space="0" w:color="auto"/>
                                <w:left w:val="none" w:sz="0" w:space="0" w:color="auto"/>
                                <w:bottom w:val="none" w:sz="0" w:space="0" w:color="auto"/>
                                <w:right w:val="none" w:sz="0" w:space="0" w:color="auto"/>
                              </w:divBdr>
                              <w:divsChild>
                                <w:div w:id="135337817">
                                  <w:marLeft w:val="570"/>
                                  <w:marRight w:val="720"/>
                                  <w:marTop w:val="120"/>
                                  <w:marBottom w:val="120"/>
                                  <w:divBdr>
                                    <w:top w:val="none" w:sz="0" w:space="0" w:color="auto"/>
                                    <w:left w:val="none" w:sz="0" w:space="0" w:color="auto"/>
                                    <w:bottom w:val="none" w:sz="0" w:space="0" w:color="auto"/>
                                    <w:right w:val="none" w:sz="0" w:space="0" w:color="auto"/>
                                  </w:divBdr>
                                  <w:divsChild>
                                    <w:div w:id="815142323">
                                      <w:marLeft w:val="0"/>
                                      <w:marRight w:val="0"/>
                                      <w:marTop w:val="0"/>
                                      <w:marBottom w:val="0"/>
                                      <w:divBdr>
                                        <w:top w:val="none" w:sz="0" w:space="0" w:color="auto"/>
                                        <w:left w:val="none" w:sz="0" w:space="0" w:color="auto"/>
                                        <w:bottom w:val="none" w:sz="0" w:space="0" w:color="auto"/>
                                        <w:right w:val="none" w:sz="0" w:space="0" w:color="auto"/>
                                      </w:divBdr>
                                      <w:divsChild>
                                        <w:div w:id="876623216">
                                          <w:marLeft w:val="0"/>
                                          <w:marRight w:val="0"/>
                                          <w:marTop w:val="0"/>
                                          <w:marBottom w:val="0"/>
                                          <w:divBdr>
                                            <w:top w:val="none" w:sz="0" w:space="0" w:color="auto"/>
                                            <w:left w:val="none" w:sz="0" w:space="0" w:color="auto"/>
                                            <w:bottom w:val="none" w:sz="0" w:space="0" w:color="auto"/>
                                            <w:right w:val="none" w:sz="0" w:space="0" w:color="auto"/>
                                          </w:divBdr>
                                          <w:divsChild>
                                            <w:div w:id="1277984368">
                                              <w:marLeft w:val="0"/>
                                              <w:marRight w:val="0"/>
                                              <w:marTop w:val="0"/>
                                              <w:marBottom w:val="0"/>
                                              <w:divBdr>
                                                <w:top w:val="none" w:sz="0" w:space="0" w:color="auto"/>
                                                <w:left w:val="none" w:sz="0" w:space="0" w:color="auto"/>
                                                <w:bottom w:val="none" w:sz="0" w:space="0" w:color="auto"/>
                                                <w:right w:val="none" w:sz="0" w:space="0" w:color="auto"/>
                                              </w:divBdr>
                                              <w:divsChild>
                                                <w:div w:id="837885747">
                                                  <w:marLeft w:val="0"/>
                                                  <w:marRight w:val="0"/>
                                                  <w:marTop w:val="240"/>
                                                  <w:marBottom w:val="240"/>
                                                  <w:divBdr>
                                                    <w:top w:val="single" w:sz="6" w:space="6" w:color="F2F2F2"/>
                                                    <w:left w:val="none" w:sz="0" w:space="0" w:color="auto"/>
                                                    <w:bottom w:val="single" w:sz="6" w:space="6" w:color="F2F2F2"/>
                                                    <w:right w:val="none" w:sz="0" w:space="0" w:color="auto"/>
                                                  </w:divBdr>
                                                </w:div>
                                                <w:div w:id="1561593651">
                                                  <w:marLeft w:val="0"/>
                                                  <w:marRight w:val="0"/>
                                                  <w:marTop w:val="0"/>
                                                  <w:marBottom w:val="0"/>
                                                  <w:divBdr>
                                                    <w:top w:val="none" w:sz="0" w:space="0" w:color="auto"/>
                                                    <w:left w:val="none" w:sz="0" w:space="0" w:color="auto"/>
                                                    <w:bottom w:val="none" w:sz="0" w:space="0" w:color="auto"/>
                                                    <w:right w:val="none" w:sz="0" w:space="0" w:color="auto"/>
                                                  </w:divBdr>
                                                  <w:divsChild>
                                                    <w:div w:id="26218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057127">
      <w:bodyDiv w:val="1"/>
      <w:marLeft w:val="0"/>
      <w:marRight w:val="0"/>
      <w:marTop w:val="0"/>
      <w:marBottom w:val="0"/>
      <w:divBdr>
        <w:top w:val="none" w:sz="0" w:space="0" w:color="auto"/>
        <w:left w:val="none" w:sz="0" w:space="0" w:color="auto"/>
        <w:bottom w:val="none" w:sz="0" w:space="0" w:color="auto"/>
        <w:right w:val="none" w:sz="0" w:space="0" w:color="auto"/>
      </w:divBdr>
      <w:divsChild>
        <w:div w:id="1916012169">
          <w:marLeft w:val="0"/>
          <w:marRight w:val="0"/>
          <w:marTop w:val="150"/>
          <w:marBottom w:val="0"/>
          <w:divBdr>
            <w:top w:val="none" w:sz="0" w:space="0" w:color="auto"/>
            <w:left w:val="none" w:sz="0" w:space="0" w:color="auto"/>
            <w:bottom w:val="none" w:sz="0" w:space="0" w:color="auto"/>
            <w:right w:val="none" w:sz="0" w:space="0" w:color="auto"/>
          </w:divBdr>
          <w:divsChild>
            <w:div w:id="838815849">
              <w:marLeft w:val="0"/>
              <w:marRight w:val="0"/>
              <w:marTop w:val="0"/>
              <w:marBottom w:val="0"/>
              <w:divBdr>
                <w:top w:val="none" w:sz="0" w:space="0" w:color="auto"/>
                <w:left w:val="none" w:sz="0" w:space="0" w:color="auto"/>
                <w:bottom w:val="none" w:sz="0" w:space="0" w:color="auto"/>
                <w:right w:val="none" w:sz="0" w:space="0" w:color="auto"/>
              </w:divBdr>
              <w:divsChild>
                <w:div w:id="399136568">
                  <w:marLeft w:val="0"/>
                  <w:marRight w:val="0"/>
                  <w:marTop w:val="0"/>
                  <w:marBottom w:val="0"/>
                  <w:divBdr>
                    <w:top w:val="none" w:sz="0" w:space="0" w:color="auto"/>
                    <w:left w:val="none" w:sz="0" w:space="0" w:color="auto"/>
                    <w:bottom w:val="none" w:sz="0" w:space="0" w:color="auto"/>
                    <w:right w:val="none" w:sz="0" w:space="0" w:color="auto"/>
                  </w:divBdr>
                  <w:divsChild>
                    <w:div w:id="664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49694">
      <w:bodyDiv w:val="1"/>
      <w:marLeft w:val="0"/>
      <w:marRight w:val="0"/>
      <w:marTop w:val="0"/>
      <w:marBottom w:val="0"/>
      <w:divBdr>
        <w:top w:val="none" w:sz="0" w:space="0" w:color="auto"/>
        <w:left w:val="none" w:sz="0" w:space="0" w:color="auto"/>
        <w:bottom w:val="none" w:sz="0" w:space="0" w:color="auto"/>
        <w:right w:val="none" w:sz="0" w:space="0" w:color="auto"/>
      </w:divBdr>
      <w:divsChild>
        <w:div w:id="1405027290">
          <w:marLeft w:val="0"/>
          <w:marRight w:val="0"/>
          <w:marTop w:val="0"/>
          <w:marBottom w:val="0"/>
          <w:divBdr>
            <w:top w:val="single" w:sz="2" w:space="0" w:color="AAAAAA"/>
            <w:left w:val="single" w:sz="6" w:space="8" w:color="AAAAAA"/>
            <w:bottom w:val="single" w:sz="2" w:space="0" w:color="AAAAAA"/>
            <w:right w:val="single" w:sz="6" w:space="8" w:color="AAAAAA"/>
          </w:divBdr>
          <w:divsChild>
            <w:div w:id="1500463120">
              <w:marLeft w:val="0"/>
              <w:marRight w:val="0"/>
              <w:marTop w:val="0"/>
              <w:marBottom w:val="0"/>
              <w:divBdr>
                <w:top w:val="none" w:sz="0" w:space="0" w:color="auto"/>
                <w:left w:val="none" w:sz="0" w:space="0" w:color="auto"/>
                <w:bottom w:val="none" w:sz="0" w:space="0" w:color="auto"/>
                <w:right w:val="none" w:sz="0" w:space="0" w:color="auto"/>
              </w:divBdr>
              <w:divsChild>
                <w:div w:id="2112115964">
                  <w:marLeft w:val="0"/>
                  <w:marRight w:val="0"/>
                  <w:marTop w:val="0"/>
                  <w:marBottom w:val="0"/>
                  <w:divBdr>
                    <w:top w:val="none" w:sz="0" w:space="0" w:color="auto"/>
                    <w:left w:val="none" w:sz="0" w:space="0" w:color="auto"/>
                    <w:bottom w:val="none" w:sz="0" w:space="0" w:color="auto"/>
                    <w:right w:val="none" w:sz="0" w:space="0" w:color="auto"/>
                  </w:divBdr>
                  <w:divsChild>
                    <w:div w:id="1707441357">
                      <w:marLeft w:val="0"/>
                      <w:marRight w:val="2550"/>
                      <w:marTop w:val="0"/>
                      <w:marBottom w:val="48"/>
                      <w:divBdr>
                        <w:top w:val="none" w:sz="0" w:space="0" w:color="auto"/>
                        <w:left w:val="none" w:sz="0" w:space="0" w:color="auto"/>
                        <w:bottom w:val="none" w:sz="0" w:space="0" w:color="auto"/>
                        <w:right w:val="none" w:sz="0" w:space="0" w:color="auto"/>
                      </w:divBdr>
                      <w:divsChild>
                        <w:div w:id="186490336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88634568">
      <w:bodyDiv w:val="1"/>
      <w:marLeft w:val="0"/>
      <w:marRight w:val="0"/>
      <w:marTop w:val="0"/>
      <w:marBottom w:val="0"/>
      <w:divBdr>
        <w:top w:val="none" w:sz="0" w:space="0" w:color="auto"/>
        <w:left w:val="none" w:sz="0" w:space="0" w:color="auto"/>
        <w:bottom w:val="none" w:sz="0" w:space="0" w:color="auto"/>
        <w:right w:val="none" w:sz="0" w:space="0" w:color="auto"/>
      </w:divBdr>
      <w:divsChild>
        <w:div w:id="699820941">
          <w:marLeft w:val="0"/>
          <w:marRight w:val="0"/>
          <w:marTop w:val="0"/>
          <w:marBottom w:val="0"/>
          <w:divBdr>
            <w:top w:val="none" w:sz="0" w:space="0" w:color="auto"/>
            <w:left w:val="none" w:sz="0" w:space="0" w:color="auto"/>
            <w:bottom w:val="none" w:sz="0" w:space="0" w:color="auto"/>
            <w:right w:val="none" w:sz="0" w:space="0" w:color="auto"/>
          </w:divBdr>
          <w:divsChild>
            <w:div w:id="1273900964">
              <w:marLeft w:val="0"/>
              <w:marRight w:val="0"/>
              <w:marTop w:val="0"/>
              <w:marBottom w:val="0"/>
              <w:divBdr>
                <w:top w:val="none" w:sz="0" w:space="0" w:color="auto"/>
                <w:left w:val="none" w:sz="0" w:space="0" w:color="auto"/>
                <w:bottom w:val="none" w:sz="0" w:space="0" w:color="auto"/>
                <w:right w:val="none" w:sz="0" w:space="0" w:color="auto"/>
              </w:divBdr>
              <w:divsChild>
                <w:div w:id="515116912">
                  <w:marLeft w:val="-375"/>
                  <w:marRight w:val="0"/>
                  <w:marTop w:val="0"/>
                  <w:marBottom w:val="0"/>
                  <w:divBdr>
                    <w:top w:val="none" w:sz="0" w:space="0" w:color="auto"/>
                    <w:left w:val="none" w:sz="0" w:space="0" w:color="auto"/>
                    <w:bottom w:val="none" w:sz="0" w:space="0" w:color="auto"/>
                    <w:right w:val="none" w:sz="0" w:space="0" w:color="auto"/>
                  </w:divBdr>
                  <w:divsChild>
                    <w:div w:id="58554507">
                      <w:marLeft w:val="0"/>
                      <w:marRight w:val="0"/>
                      <w:marTop w:val="0"/>
                      <w:marBottom w:val="0"/>
                      <w:divBdr>
                        <w:top w:val="none" w:sz="0" w:space="0" w:color="auto"/>
                        <w:left w:val="none" w:sz="0" w:space="0" w:color="auto"/>
                        <w:bottom w:val="none" w:sz="0" w:space="0" w:color="auto"/>
                        <w:right w:val="none" w:sz="0" w:space="0" w:color="auto"/>
                      </w:divBdr>
                      <w:divsChild>
                        <w:div w:id="657196229">
                          <w:marLeft w:val="0"/>
                          <w:marRight w:val="0"/>
                          <w:marTop w:val="0"/>
                          <w:marBottom w:val="0"/>
                          <w:divBdr>
                            <w:top w:val="none" w:sz="0" w:space="0" w:color="auto"/>
                            <w:left w:val="none" w:sz="0" w:space="0" w:color="auto"/>
                            <w:bottom w:val="none" w:sz="0" w:space="0" w:color="auto"/>
                            <w:right w:val="none" w:sz="0" w:space="0" w:color="auto"/>
                          </w:divBdr>
                          <w:divsChild>
                            <w:div w:id="737941106">
                              <w:marLeft w:val="-375"/>
                              <w:marRight w:val="0"/>
                              <w:marTop w:val="0"/>
                              <w:marBottom w:val="0"/>
                              <w:divBdr>
                                <w:top w:val="none" w:sz="0" w:space="0" w:color="auto"/>
                                <w:left w:val="none" w:sz="0" w:space="0" w:color="auto"/>
                                <w:bottom w:val="none" w:sz="0" w:space="0" w:color="auto"/>
                                <w:right w:val="none" w:sz="0" w:space="0" w:color="auto"/>
                              </w:divBdr>
                              <w:divsChild>
                                <w:div w:id="1778065902">
                                  <w:marLeft w:val="0"/>
                                  <w:marRight w:val="0"/>
                                  <w:marTop w:val="0"/>
                                  <w:marBottom w:val="0"/>
                                  <w:divBdr>
                                    <w:top w:val="none" w:sz="0" w:space="0" w:color="auto"/>
                                    <w:left w:val="none" w:sz="0" w:space="0" w:color="auto"/>
                                    <w:bottom w:val="none" w:sz="0" w:space="0" w:color="auto"/>
                                    <w:right w:val="none" w:sz="0" w:space="0" w:color="auto"/>
                                  </w:divBdr>
                                  <w:divsChild>
                                    <w:div w:id="947197279">
                                      <w:marLeft w:val="-375"/>
                                      <w:marRight w:val="0"/>
                                      <w:marTop w:val="0"/>
                                      <w:marBottom w:val="0"/>
                                      <w:divBdr>
                                        <w:top w:val="none" w:sz="0" w:space="0" w:color="auto"/>
                                        <w:left w:val="none" w:sz="0" w:space="0" w:color="auto"/>
                                        <w:bottom w:val="none" w:sz="0" w:space="0" w:color="auto"/>
                                        <w:right w:val="none" w:sz="0" w:space="0" w:color="auto"/>
                                      </w:divBdr>
                                      <w:divsChild>
                                        <w:div w:id="667099999">
                                          <w:marLeft w:val="0"/>
                                          <w:marRight w:val="0"/>
                                          <w:marTop w:val="0"/>
                                          <w:marBottom w:val="0"/>
                                          <w:divBdr>
                                            <w:top w:val="none" w:sz="0" w:space="0" w:color="auto"/>
                                            <w:left w:val="none" w:sz="0" w:space="0" w:color="auto"/>
                                            <w:bottom w:val="none" w:sz="0" w:space="0" w:color="auto"/>
                                            <w:right w:val="none" w:sz="0" w:space="0" w:color="auto"/>
                                          </w:divBdr>
                                        </w:div>
                                        <w:div w:id="2046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552161">
      <w:bodyDiv w:val="1"/>
      <w:marLeft w:val="0"/>
      <w:marRight w:val="0"/>
      <w:marTop w:val="0"/>
      <w:marBottom w:val="0"/>
      <w:divBdr>
        <w:top w:val="none" w:sz="0" w:space="0" w:color="auto"/>
        <w:left w:val="none" w:sz="0" w:space="0" w:color="auto"/>
        <w:bottom w:val="none" w:sz="0" w:space="0" w:color="auto"/>
        <w:right w:val="none" w:sz="0" w:space="0" w:color="auto"/>
      </w:divBdr>
      <w:divsChild>
        <w:div w:id="1463690337">
          <w:marLeft w:val="0"/>
          <w:marRight w:val="0"/>
          <w:marTop w:val="0"/>
          <w:marBottom w:val="0"/>
          <w:divBdr>
            <w:top w:val="none" w:sz="0" w:space="0" w:color="auto"/>
            <w:left w:val="none" w:sz="0" w:space="0" w:color="auto"/>
            <w:bottom w:val="none" w:sz="0" w:space="0" w:color="auto"/>
            <w:right w:val="none" w:sz="0" w:space="0" w:color="auto"/>
          </w:divBdr>
          <w:divsChild>
            <w:div w:id="1132097703">
              <w:marLeft w:val="2"/>
              <w:marRight w:val="2"/>
              <w:marTop w:val="0"/>
              <w:marBottom w:val="0"/>
              <w:divBdr>
                <w:top w:val="none" w:sz="0" w:space="0" w:color="auto"/>
                <w:left w:val="none" w:sz="0" w:space="0" w:color="auto"/>
                <w:bottom w:val="none" w:sz="0" w:space="0" w:color="auto"/>
                <w:right w:val="none" w:sz="0" w:space="0" w:color="auto"/>
              </w:divBdr>
              <w:divsChild>
                <w:div w:id="1097166487">
                  <w:marLeft w:val="0"/>
                  <w:marRight w:val="0"/>
                  <w:marTop w:val="0"/>
                  <w:marBottom w:val="0"/>
                  <w:divBdr>
                    <w:top w:val="none" w:sz="0" w:space="0" w:color="auto"/>
                    <w:left w:val="none" w:sz="0" w:space="0" w:color="auto"/>
                    <w:bottom w:val="none" w:sz="0" w:space="0" w:color="auto"/>
                    <w:right w:val="none" w:sz="0" w:space="0" w:color="auto"/>
                  </w:divBdr>
                  <w:divsChild>
                    <w:div w:id="281419913">
                      <w:marLeft w:val="0"/>
                      <w:marRight w:val="0"/>
                      <w:marTop w:val="0"/>
                      <w:marBottom w:val="0"/>
                      <w:divBdr>
                        <w:top w:val="none" w:sz="0" w:space="0" w:color="auto"/>
                        <w:left w:val="none" w:sz="0" w:space="0" w:color="auto"/>
                        <w:bottom w:val="none" w:sz="0" w:space="0" w:color="auto"/>
                        <w:right w:val="none" w:sz="0" w:space="0" w:color="auto"/>
                      </w:divBdr>
                      <w:divsChild>
                        <w:div w:id="499272576">
                          <w:marLeft w:val="0"/>
                          <w:marRight w:val="0"/>
                          <w:marTop w:val="0"/>
                          <w:marBottom w:val="0"/>
                          <w:divBdr>
                            <w:top w:val="none" w:sz="0" w:space="0" w:color="auto"/>
                            <w:left w:val="none" w:sz="0" w:space="0" w:color="auto"/>
                            <w:bottom w:val="none" w:sz="0" w:space="0" w:color="auto"/>
                            <w:right w:val="none" w:sz="0" w:space="0" w:color="auto"/>
                          </w:divBdr>
                          <w:divsChild>
                            <w:div w:id="145244732">
                              <w:marLeft w:val="0"/>
                              <w:marRight w:val="0"/>
                              <w:marTop w:val="0"/>
                              <w:marBottom w:val="0"/>
                              <w:divBdr>
                                <w:top w:val="none" w:sz="0" w:space="0" w:color="auto"/>
                                <w:left w:val="none" w:sz="0" w:space="0" w:color="auto"/>
                                <w:bottom w:val="none" w:sz="0" w:space="0" w:color="auto"/>
                                <w:right w:val="none" w:sz="0" w:space="0" w:color="auto"/>
                              </w:divBdr>
                              <w:divsChild>
                                <w:div w:id="1954284468">
                                  <w:marLeft w:val="0"/>
                                  <w:marRight w:val="0"/>
                                  <w:marTop w:val="0"/>
                                  <w:marBottom w:val="0"/>
                                  <w:divBdr>
                                    <w:top w:val="none" w:sz="0" w:space="0" w:color="auto"/>
                                    <w:left w:val="none" w:sz="0" w:space="0" w:color="auto"/>
                                    <w:bottom w:val="none" w:sz="0" w:space="0" w:color="auto"/>
                                    <w:right w:val="none" w:sz="0" w:space="0" w:color="auto"/>
                                  </w:divBdr>
                                  <w:divsChild>
                                    <w:div w:id="2034990512">
                                      <w:marLeft w:val="0"/>
                                      <w:marRight w:val="0"/>
                                      <w:marTop w:val="0"/>
                                      <w:marBottom w:val="0"/>
                                      <w:divBdr>
                                        <w:top w:val="none" w:sz="0" w:space="0" w:color="auto"/>
                                        <w:left w:val="none" w:sz="0" w:space="0" w:color="auto"/>
                                        <w:bottom w:val="none" w:sz="0" w:space="0" w:color="auto"/>
                                        <w:right w:val="none" w:sz="0" w:space="0" w:color="auto"/>
                                      </w:divBdr>
                                      <w:divsChild>
                                        <w:div w:id="37096865">
                                          <w:marLeft w:val="0"/>
                                          <w:marRight w:val="0"/>
                                          <w:marTop w:val="0"/>
                                          <w:marBottom w:val="0"/>
                                          <w:divBdr>
                                            <w:top w:val="none" w:sz="0" w:space="0" w:color="auto"/>
                                            <w:left w:val="none" w:sz="0" w:space="0" w:color="auto"/>
                                            <w:bottom w:val="none" w:sz="0" w:space="0" w:color="auto"/>
                                            <w:right w:val="none" w:sz="0" w:space="0" w:color="auto"/>
                                          </w:divBdr>
                                          <w:divsChild>
                                            <w:div w:id="472403523">
                                              <w:marLeft w:val="0"/>
                                              <w:marRight w:val="0"/>
                                              <w:marTop w:val="0"/>
                                              <w:marBottom w:val="0"/>
                                              <w:divBdr>
                                                <w:top w:val="none" w:sz="0" w:space="0" w:color="auto"/>
                                                <w:left w:val="none" w:sz="0" w:space="0" w:color="auto"/>
                                                <w:bottom w:val="none" w:sz="0" w:space="0" w:color="auto"/>
                                                <w:right w:val="none" w:sz="0" w:space="0" w:color="auto"/>
                                              </w:divBdr>
                                            </w:div>
                                          </w:divsChild>
                                        </w:div>
                                        <w:div w:id="1050617165">
                                          <w:marLeft w:val="0"/>
                                          <w:marRight w:val="0"/>
                                          <w:marTop w:val="0"/>
                                          <w:marBottom w:val="0"/>
                                          <w:divBdr>
                                            <w:top w:val="none" w:sz="0" w:space="0" w:color="auto"/>
                                            <w:left w:val="none" w:sz="0" w:space="0" w:color="auto"/>
                                            <w:bottom w:val="none" w:sz="0" w:space="0" w:color="auto"/>
                                            <w:right w:val="none" w:sz="0" w:space="0" w:color="auto"/>
                                          </w:divBdr>
                                          <w:divsChild>
                                            <w:div w:id="1901821252">
                                              <w:marLeft w:val="0"/>
                                              <w:marRight w:val="0"/>
                                              <w:marTop w:val="0"/>
                                              <w:marBottom w:val="0"/>
                                              <w:divBdr>
                                                <w:top w:val="none" w:sz="0" w:space="0" w:color="auto"/>
                                                <w:left w:val="none" w:sz="0" w:space="0" w:color="auto"/>
                                                <w:bottom w:val="none" w:sz="0" w:space="0" w:color="auto"/>
                                                <w:right w:val="none" w:sz="0" w:space="0" w:color="auto"/>
                                              </w:divBdr>
                                            </w:div>
                                          </w:divsChild>
                                        </w:div>
                                        <w:div w:id="1938713837">
                                          <w:marLeft w:val="0"/>
                                          <w:marRight w:val="0"/>
                                          <w:marTop w:val="0"/>
                                          <w:marBottom w:val="0"/>
                                          <w:divBdr>
                                            <w:top w:val="none" w:sz="0" w:space="0" w:color="auto"/>
                                            <w:left w:val="none" w:sz="0" w:space="0" w:color="auto"/>
                                            <w:bottom w:val="none" w:sz="0" w:space="0" w:color="auto"/>
                                            <w:right w:val="none" w:sz="0" w:space="0" w:color="auto"/>
                                          </w:divBdr>
                                          <w:divsChild>
                                            <w:div w:id="911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328538">
      <w:bodyDiv w:val="1"/>
      <w:marLeft w:val="0"/>
      <w:marRight w:val="0"/>
      <w:marTop w:val="0"/>
      <w:marBottom w:val="0"/>
      <w:divBdr>
        <w:top w:val="none" w:sz="0" w:space="0" w:color="auto"/>
        <w:left w:val="none" w:sz="0" w:space="0" w:color="auto"/>
        <w:bottom w:val="none" w:sz="0" w:space="0" w:color="auto"/>
        <w:right w:val="none" w:sz="0" w:space="0" w:color="auto"/>
      </w:divBdr>
      <w:divsChild>
        <w:div w:id="2087799594">
          <w:marLeft w:val="0"/>
          <w:marRight w:val="0"/>
          <w:marTop w:val="0"/>
          <w:marBottom w:val="0"/>
          <w:divBdr>
            <w:top w:val="none" w:sz="0" w:space="0" w:color="auto"/>
            <w:left w:val="none" w:sz="0" w:space="0" w:color="auto"/>
            <w:bottom w:val="none" w:sz="0" w:space="0" w:color="auto"/>
            <w:right w:val="none" w:sz="0" w:space="0" w:color="auto"/>
          </w:divBdr>
          <w:divsChild>
            <w:div w:id="205873222">
              <w:marLeft w:val="0"/>
              <w:marRight w:val="0"/>
              <w:marTop w:val="0"/>
              <w:marBottom w:val="0"/>
              <w:divBdr>
                <w:top w:val="none" w:sz="0" w:space="0" w:color="auto"/>
                <w:left w:val="none" w:sz="0" w:space="0" w:color="auto"/>
                <w:bottom w:val="none" w:sz="0" w:space="0" w:color="auto"/>
                <w:right w:val="none" w:sz="0" w:space="0" w:color="auto"/>
              </w:divBdr>
              <w:divsChild>
                <w:div w:id="418403931">
                  <w:marLeft w:val="0"/>
                  <w:marRight w:val="0"/>
                  <w:marTop w:val="0"/>
                  <w:marBottom w:val="0"/>
                  <w:divBdr>
                    <w:top w:val="none" w:sz="0" w:space="0" w:color="auto"/>
                    <w:left w:val="none" w:sz="0" w:space="0" w:color="auto"/>
                    <w:bottom w:val="none" w:sz="0" w:space="0" w:color="auto"/>
                    <w:right w:val="none" w:sz="0" w:space="0" w:color="auto"/>
                  </w:divBdr>
                  <w:divsChild>
                    <w:div w:id="1969042082">
                      <w:marLeft w:val="0"/>
                      <w:marRight w:val="0"/>
                      <w:marTop w:val="0"/>
                      <w:marBottom w:val="0"/>
                      <w:divBdr>
                        <w:top w:val="none" w:sz="0" w:space="0" w:color="auto"/>
                        <w:left w:val="none" w:sz="0" w:space="0" w:color="auto"/>
                        <w:bottom w:val="none" w:sz="0" w:space="0" w:color="auto"/>
                        <w:right w:val="none" w:sz="0" w:space="0" w:color="auto"/>
                      </w:divBdr>
                      <w:divsChild>
                        <w:div w:id="738788472">
                          <w:marLeft w:val="3360"/>
                          <w:marRight w:val="0"/>
                          <w:marTop w:val="0"/>
                          <w:marBottom w:val="0"/>
                          <w:divBdr>
                            <w:top w:val="none" w:sz="0" w:space="0" w:color="auto"/>
                            <w:left w:val="none" w:sz="0" w:space="0" w:color="auto"/>
                            <w:bottom w:val="none" w:sz="0" w:space="0" w:color="auto"/>
                            <w:right w:val="none" w:sz="0" w:space="0" w:color="auto"/>
                          </w:divBdr>
                          <w:divsChild>
                            <w:div w:id="936644450">
                              <w:marLeft w:val="120"/>
                              <w:marRight w:val="720"/>
                              <w:marTop w:val="120"/>
                              <w:marBottom w:val="120"/>
                              <w:divBdr>
                                <w:top w:val="none" w:sz="0" w:space="0" w:color="auto"/>
                                <w:left w:val="none" w:sz="0" w:space="0" w:color="auto"/>
                                <w:bottom w:val="none" w:sz="0" w:space="0" w:color="auto"/>
                                <w:right w:val="none" w:sz="0" w:space="0" w:color="auto"/>
                              </w:divBdr>
                              <w:divsChild>
                                <w:div w:id="1439183029">
                                  <w:marLeft w:val="0"/>
                                  <w:marRight w:val="0"/>
                                  <w:marTop w:val="0"/>
                                  <w:marBottom w:val="0"/>
                                  <w:divBdr>
                                    <w:top w:val="none" w:sz="0" w:space="0" w:color="auto"/>
                                    <w:left w:val="none" w:sz="0" w:space="0" w:color="auto"/>
                                    <w:bottom w:val="none" w:sz="0" w:space="0" w:color="auto"/>
                                    <w:right w:val="none" w:sz="0" w:space="0" w:color="auto"/>
                                  </w:divBdr>
                                  <w:divsChild>
                                    <w:div w:id="2008559011">
                                      <w:marLeft w:val="0"/>
                                      <w:marRight w:val="0"/>
                                      <w:marTop w:val="0"/>
                                      <w:marBottom w:val="0"/>
                                      <w:divBdr>
                                        <w:top w:val="none" w:sz="0" w:space="0" w:color="auto"/>
                                        <w:left w:val="none" w:sz="0" w:space="0" w:color="auto"/>
                                        <w:bottom w:val="none" w:sz="0" w:space="0" w:color="auto"/>
                                        <w:right w:val="none" w:sz="0" w:space="0" w:color="auto"/>
                                      </w:divBdr>
                                      <w:divsChild>
                                        <w:div w:id="144931908">
                                          <w:marLeft w:val="0"/>
                                          <w:marRight w:val="0"/>
                                          <w:marTop w:val="0"/>
                                          <w:marBottom w:val="0"/>
                                          <w:divBdr>
                                            <w:top w:val="none" w:sz="0" w:space="0" w:color="auto"/>
                                            <w:left w:val="none" w:sz="0" w:space="0" w:color="auto"/>
                                            <w:bottom w:val="none" w:sz="0" w:space="0" w:color="auto"/>
                                            <w:right w:val="none" w:sz="0" w:space="0" w:color="auto"/>
                                          </w:divBdr>
                                          <w:divsChild>
                                            <w:div w:id="90048539">
                                              <w:marLeft w:val="0"/>
                                              <w:marRight w:val="0"/>
                                              <w:marTop w:val="0"/>
                                              <w:marBottom w:val="225"/>
                                              <w:divBdr>
                                                <w:top w:val="single" w:sz="6" w:space="5" w:color="DADADA"/>
                                                <w:left w:val="single" w:sz="6" w:space="31" w:color="DADADA"/>
                                                <w:bottom w:val="single" w:sz="6" w:space="5" w:color="DADADA"/>
                                                <w:right w:val="single" w:sz="6" w:space="4" w:color="DADADA"/>
                                              </w:divBdr>
                                              <w:divsChild>
                                                <w:div w:id="724791183">
                                                  <w:marLeft w:val="0"/>
                                                  <w:marRight w:val="0"/>
                                                  <w:marTop w:val="0"/>
                                                  <w:marBottom w:val="0"/>
                                                  <w:divBdr>
                                                    <w:top w:val="none" w:sz="0" w:space="0" w:color="auto"/>
                                                    <w:left w:val="none" w:sz="0" w:space="0" w:color="auto"/>
                                                    <w:bottom w:val="none" w:sz="0" w:space="0" w:color="auto"/>
                                                    <w:right w:val="none" w:sz="0" w:space="0" w:color="auto"/>
                                                  </w:divBdr>
                                                </w:div>
                                                <w:div w:id="20825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330385">
      <w:bodyDiv w:val="1"/>
      <w:marLeft w:val="0"/>
      <w:marRight w:val="0"/>
      <w:marTop w:val="0"/>
      <w:marBottom w:val="0"/>
      <w:divBdr>
        <w:top w:val="none" w:sz="0" w:space="0" w:color="auto"/>
        <w:left w:val="none" w:sz="0" w:space="0" w:color="auto"/>
        <w:bottom w:val="none" w:sz="0" w:space="0" w:color="auto"/>
        <w:right w:val="none" w:sz="0" w:space="0" w:color="auto"/>
      </w:divBdr>
      <w:divsChild>
        <w:div w:id="683016728">
          <w:marLeft w:val="0"/>
          <w:marRight w:val="0"/>
          <w:marTop w:val="0"/>
          <w:marBottom w:val="0"/>
          <w:divBdr>
            <w:top w:val="none" w:sz="0" w:space="0" w:color="auto"/>
            <w:left w:val="none" w:sz="0" w:space="0" w:color="auto"/>
            <w:bottom w:val="none" w:sz="0" w:space="0" w:color="auto"/>
            <w:right w:val="none" w:sz="0" w:space="0" w:color="auto"/>
          </w:divBdr>
        </w:div>
      </w:divsChild>
    </w:div>
    <w:div w:id="990601443">
      <w:bodyDiv w:val="1"/>
      <w:marLeft w:val="0"/>
      <w:marRight w:val="0"/>
      <w:marTop w:val="0"/>
      <w:marBottom w:val="0"/>
      <w:divBdr>
        <w:top w:val="none" w:sz="0" w:space="0" w:color="auto"/>
        <w:left w:val="none" w:sz="0" w:space="0" w:color="auto"/>
        <w:bottom w:val="none" w:sz="0" w:space="0" w:color="auto"/>
        <w:right w:val="none" w:sz="0" w:space="0" w:color="auto"/>
      </w:divBdr>
    </w:div>
    <w:div w:id="990988345">
      <w:bodyDiv w:val="1"/>
      <w:marLeft w:val="0"/>
      <w:marRight w:val="0"/>
      <w:marTop w:val="0"/>
      <w:marBottom w:val="0"/>
      <w:divBdr>
        <w:top w:val="none" w:sz="0" w:space="0" w:color="auto"/>
        <w:left w:val="none" w:sz="0" w:space="0" w:color="auto"/>
        <w:bottom w:val="none" w:sz="0" w:space="0" w:color="auto"/>
        <w:right w:val="none" w:sz="0" w:space="0" w:color="auto"/>
      </w:divBdr>
      <w:divsChild>
        <w:div w:id="603422176">
          <w:marLeft w:val="0"/>
          <w:marRight w:val="0"/>
          <w:marTop w:val="0"/>
          <w:marBottom w:val="0"/>
          <w:divBdr>
            <w:top w:val="none" w:sz="0" w:space="0" w:color="auto"/>
            <w:left w:val="none" w:sz="0" w:space="0" w:color="auto"/>
            <w:bottom w:val="none" w:sz="0" w:space="0" w:color="auto"/>
            <w:right w:val="none" w:sz="0" w:space="0" w:color="auto"/>
          </w:divBdr>
          <w:divsChild>
            <w:div w:id="990325016">
              <w:marLeft w:val="0"/>
              <w:marRight w:val="0"/>
              <w:marTop w:val="0"/>
              <w:marBottom w:val="0"/>
              <w:divBdr>
                <w:top w:val="none" w:sz="0" w:space="0" w:color="auto"/>
                <w:left w:val="none" w:sz="0" w:space="0" w:color="auto"/>
                <w:bottom w:val="none" w:sz="0" w:space="0" w:color="auto"/>
                <w:right w:val="none" w:sz="0" w:space="0" w:color="auto"/>
              </w:divBdr>
              <w:divsChild>
                <w:div w:id="357396122">
                  <w:marLeft w:val="0"/>
                  <w:marRight w:val="0"/>
                  <w:marTop w:val="0"/>
                  <w:marBottom w:val="0"/>
                  <w:divBdr>
                    <w:top w:val="none" w:sz="0" w:space="0" w:color="auto"/>
                    <w:left w:val="none" w:sz="0" w:space="0" w:color="auto"/>
                    <w:bottom w:val="none" w:sz="0" w:space="0" w:color="auto"/>
                    <w:right w:val="none" w:sz="0" w:space="0" w:color="auto"/>
                  </w:divBdr>
                  <w:divsChild>
                    <w:div w:id="1804496000">
                      <w:marLeft w:val="0"/>
                      <w:marRight w:val="0"/>
                      <w:marTop w:val="0"/>
                      <w:marBottom w:val="0"/>
                      <w:divBdr>
                        <w:top w:val="none" w:sz="0" w:space="0" w:color="auto"/>
                        <w:left w:val="none" w:sz="0" w:space="0" w:color="auto"/>
                        <w:bottom w:val="none" w:sz="0" w:space="0" w:color="auto"/>
                        <w:right w:val="none" w:sz="0" w:space="0" w:color="auto"/>
                      </w:divBdr>
                      <w:divsChild>
                        <w:div w:id="16736796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1104530">
      <w:bodyDiv w:val="1"/>
      <w:marLeft w:val="0"/>
      <w:marRight w:val="0"/>
      <w:marTop w:val="0"/>
      <w:marBottom w:val="0"/>
      <w:divBdr>
        <w:top w:val="none" w:sz="0" w:space="0" w:color="auto"/>
        <w:left w:val="none" w:sz="0" w:space="0" w:color="auto"/>
        <w:bottom w:val="none" w:sz="0" w:space="0" w:color="auto"/>
        <w:right w:val="none" w:sz="0" w:space="0" w:color="auto"/>
      </w:divBdr>
      <w:divsChild>
        <w:div w:id="629477218">
          <w:marLeft w:val="0"/>
          <w:marRight w:val="0"/>
          <w:marTop w:val="0"/>
          <w:marBottom w:val="0"/>
          <w:divBdr>
            <w:top w:val="none" w:sz="0" w:space="0" w:color="auto"/>
            <w:left w:val="none" w:sz="0" w:space="0" w:color="auto"/>
            <w:bottom w:val="none" w:sz="0" w:space="0" w:color="auto"/>
            <w:right w:val="none" w:sz="0" w:space="0" w:color="auto"/>
          </w:divBdr>
          <w:divsChild>
            <w:div w:id="1357266322">
              <w:marLeft w:val="175"/>
              <w:marRight w:val="0"/>
              <w:marTop w:val="0"/>
              <w:marBottom w:val="0"/>
              <w:divBdr>
                <w:top w:val="none" w:sz="0" w:space="0" w:color="auto"/>
                <w:left w:val="none" w:sz="0" w:space="0" w:color="auto"/>
                <w:bottom w:val="none" w:sz="0" w:space="0" w:color="auto"/>
                <w:right w:val="none" w:sz="0" w:space="0" w:color="auto"/>
              </w:divBdr>
              <w:divsChild>
                <w:div w:id="3007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1451">
      <w:bodyDiv w:val="1"/>
      <w:marLeft w:val="0"/>
      <w:marRight w:val="0"/>
      <w:marTop w:val="0"/>
      <w:marBottom w:val="0"/>
      <w:divBdr>
        <w:top w:val="none" w:sz="0" w:space="0" w:color="auto"/>
        <w:left w:val="none" w:sz="0" w:space="0" w:color="auto"/>
        <w:bottom w:val="none" w:sz="0" w:space="0" w:color="auto"/>
        <w:right w:val="none" w:sz="0" w:space="0" w:color="auto"/>
      </w:divBdr>
      <w:divsChild>
        <w:div w:id="356351300">
          <w:marLeft w:val="0"/>
          <w:marRight w:val="0"/>
          <w:marTop w:val="0"/>
          <w:marBottom w:val="0"/>
          <w:divBdr>
            <w:top w:val="none" w:sz="0" w:space="0" w:color="auto"/>
            <w:left w:val="none" w:sz="0" w:space="0" w:color="auto"/>
            <w:bottom w:val="none" w:sz="0" w:space="0" w:color="auto"/>
            <w:right w:val="none" w:sz="0" w:space="0" w:color="auto"/>
          </w:divBdr>
          <w:divsChild>
            <w:div w:id="1164131179">
              <w:marLeft w:val="175"/>
              <w:marRight w:val="0"/>
              <w:marTop w:val="0"/>
              <w:marBottom w:val="0"/>
              <w:divBdr>
                <w:top w:val="none" w:sz="0" w:space="0" w:color="auto"/>
                <w:left w:val="none" w:sz="0" w:space="0" w:color="auto"/>
                <w:bottom w:val="none" w:sz="0" w:space="0" w:color="auto"/>
                <w:right w:val="none" w:sz="0" w:space="0" w:color="auto"/>
              </w:divBdr>
              <w:divsChild>
                <w:div w:id="15401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799">
      <w:bodyDiv w:val="1"/>
      <w:marLeft w:val="0"/>
      <w:marRight w:val="0"/>
      <w:marTop w:val="0"/>
      <w:marBottom w:val="0"/>
      <w:divBdr>
        <w:top w:val="none" w:sz="0" w:space="0" w:color="auto"/>
        <w:left w:val="none" w:sz="0" w:space="0" w:color="auto"/>
        <w:bottom w:val="none" w:sz="0" w:space="0" w:color="auto"/>
        <w:right w:val="none" w:sz="0" w:space="0" w:color="auto"/>
      </w:divBdr>
    </w:div>
    <w:div w:id="992484445">
      <w:bodyDiv w:val="1"/>
      <w:marLeft w:val="0"/>
      <w:marRight w:val="0"/>
      <w:marTop w:val="0"/>
      <w:marBottom w:val="0"/>
      <w:divBdr>
        <w:top w:val="none" w:sz="0" w:space="0" w:color="auto"/>
        <w:left w:val="none" w:sz="0" w:space="0" w:color="auto"/>
        <w:bottom w:val="none" w:sz="0" w:space="0" w:color="auto"/>
        <w:right w:val="none" w:sz="0" w:space="0" w:color="auto"/>
      </w:divBdr>
      <w:divsChild>
        <w:div w:id="932474342">
          <w:marLeft w:val="0"/>
          <w:marRight w:val="0"/>
          <w:marTop w:val="150"/>
          <w:marBottom w:val="0"/>
          <w:divBdr>
            <w:top w:val="none" w:sz="0" w:space="0" w:color="auto"/>
            <w:left w:val="none" w:sz="0" w:space="0" w:color="auto"/>
            <w:bottom w:val="none" w:sz="0" w:space="0" w:color="auto"/>
            <w:right w:val="none" w:sz="0" w:space="0" w:color="auto"/>
          </w:divBdr>
          <w:divsChild>
            <w:div w:id="1677153284">
              <w:marLeft w:val="2"/>
              <w:marRight w:val="2"/>
              <w:marTop w:val="0"/>
              <w:marBottom w:val="0"/>
              <w:divBdr>
                <w:top w:val="none" w:sz="0" w:space="0" w:color="auto"/>
                <w:left w:val="none" w:sz="0" w:space="0" w:color="auto"/>
                <w:bottom w:val="none" w:sz="0" w:space="0" w:color="auto"/>
                <w:right w:val="none" w:sz="0" w:space="0" w:color="auto"/>
              </w:divBdr>
              <w:divsChild>
                <w:div w:id="621686880">
                  <w:marLeft w:val="0"/>
                  <w:marRight w:val="0"/>
                  <w:marTop w:val="0"/>
                  <w:marBottom w:val="0"/>
                  <w:divBdr>
                    <w:top w:val="none" w:sz="0" w:space="0" w:color="auto"/>
                    <w:left w:val="none" w:sz="0" w:space="0" w:color="auto"/>
                    <w:bottom w:val="none" w:sz="0" w:space="0" w:color="auto"/>
                    <w:right w:val="none" w:sz="0" w:space="0" w:color="auto"/>
                  </w:divBdr>
                  <w:divsChild>
                    <w:div w:id="393166186">
                      <w:marLeft w:val="0"/>
                      <w:marRight w:val="0"/>
                      <w:marTop w:val="0"/>
                      <w:marBottom w:val="0"/>
                      <w:divBdr>
                        <w:top w:val="none" w:sz="0" w:space="0" w:color="auto"/>
                        <w:left w:val="none" w:sz="0" w:space="0" w:color="auto"/>
                        <w:bottom w:val="none" w:sz="0" w:space="0" w:color="auto"/>
                        <w:right w:val="none" w:sz="0" w:space="0" w:color="auto"/>
                      </w:divBdr>
                      <w:divsChild>
                        <w:div w:id="801726161">
                          <w:marLeft w:val="0"/>
                          <w:marRight w:val="0"/>
                          <w:marTop w:val="0"/>
                          <w:marBottom w:val="0"/>
                          <w:divBdr>
                            <w:top w:val="none" w:sz="0" w:space="0" w:color="auto"/>
                            <w:left w:val="none" w:sz="0" w:space="0" w:color="auto"/>
                            <w:bottom w:val="none" w:sz="0" w:space="0" w:color="auto"/>
                            <w:right w:val="none" w:sz="0" w:space="0" w:color="auto"/>
                          </w:divBdr>
                          <w:divsChild>
                            <w:div w:id="678385688">
                              <w:marLeft w:val="0"/>
                              <w:marRight w:val="0"/>
                              <w:marTop w:val="0"/>
                              <w:marBottom w:val="0"/>
                              <w:divBdr>
                                <w:top w:val="none" w:sz="0" w:space="0" w:color="auto"/>
                                <w:left w:val="none" w:sz="0" w:space="0" w:color="auto"/>
                                <w:bottom w:val="none" w:sz="0" w:space="0" w:color="auto"/>
                                <w:right w:val="none" w:sz="0" w:space="0" w:color="auto"/>
                              </w:divBdr>
                              <w:divsChild>
                                <w:div w:id="108550752">
                                  <w:marLeft w:val="0"/>
                                  <w:marRight w:val="0"/>
                                  <w:marTop w:val="0"/>
                                  <w:marBottom w:val="0"/>
                                  <w:divBdr>
                                    <w:top w:val="none" w:sz="0" w:space="0" w:color="auto"/>
                                    <w:left w:val="none" w:sz="0" w:space="0" w:color="auto"/>
                                    <w:bottom w:val="none" w:sz="0" w:space="0" w:color="auto"/>
                                    <w:right w:val="none" w:sz="0" w:space="0" w:color="auto"/>
                                  </w:divBdr>
                                  <w:divsChild>
                                    <w:div w:id="1112016830">
                                      <w:marLeft w:val="0"/>
                                      <w:marRight w:val="0"/>
                                      <w:marTop w:val="0"/>
                                      <w:marBottom w:val="0"/>
                                      <w:divBdr>
                                        <w:top w:val="none" w:sz="0" w:space="0" w:color="auto"/>
                                        <w:left w:val="none" w:sz="0" w:space="0" w:color="auto"/>
                                        <w:bottom w:val="none" w:sz="0" w:space="0" w:color="auto"/>
                                        <w:right w:val="none" w:sz="0" w:space="0" w:color="auto"/>
                                      </w:divBdr>
                                      <w:divsChild>
                                        <w:div w:id="737482599">
                                          <w:marLeft w:val="0"/>
                                          <w:marRight w:val="0"/>
                                          <w:marTop w:val="0"/>
                                          <w:marBottom w:val="0"/>
                                          <w:divBdr>
                                            <w:top w:val="none" w:sz="0" w:space="0" w:color="auto"/>
                                            <w:left w:val="none" w:sz="0" w:space="0" w:color="auto"/>
                                            <w:bottom w:val="none" w:sz="0" w:space="0" w:color="auto"/>
                                            <w:right w:val="none" w:sz="0" w:space="0" w:color="auto"/>
                                          </w:divBdr>
                                          <w:divsChild>
                                            <w:div w:id="192811188">
                                              <w:marLeft w:val="3"/>
                                              <w:marRight w:val="-75"/>
                                              <w:marTop w:val="0"/>
                                              <w:marBottom w:val="225"/>
                                              <w:divBdr>
                                                <w:top w:val="single" w:sz="6" w:space="2" w:color="E5E5E5"/>
                                                <w:left w:val="single" w:sz="6" w:space="2" w:color="E5E5E5"/>
                                                <w:bottom w:val="single" w:sz="6" w:space="2" w:color="E5E5E5"/>
                                                <w:right w:val="single" w:sz="6" w:space="2" w:color="E5E5E5"/>
                                              </w:divBdr>
                                              <w:divsChild>
                                                <w:div w:id="2054384544">
                                                  <w:marLeft w:val="0"/>
                                                  <w:marRight w:val="0"/>
                                                  <w:marTop w:val="0"/>
                                                  <w:marBottom w:val="0"/>
                                                  <w:divBdr>
                                                    <w:top w:val="none" w:sz="0" w:space="0" w:color="auto"/>
                                                    <w:left w:val="none" w:sz="0" w:space="0" w:color="auto"/>
                                                    <w:bottom w:val="none" w:sz="0" w:space="0" w:color="auto"/>
                                                    <w:right w:val="none" w:sz="0" w:space="0" w:color="auto"/>
                                                  </w:divBdr>
                                                </w:div>
                                              </w:divsChild>
                                            </w:div>
                                            <w:div w:id="1112479950">
                                              <w:marLeft w:val="0"/>
                                              <w:marRight w:val="0"/>
                                              <w:marTop w:val="0"/>
                                              <w:marBottom w:val="0"/>
                                              <w:divBdr>
                                                <w:top w:val="none" w:sz="0" w:space="0" w:color="auto"/>
                                                <w:left w:val="none" w:sz="0" w:space="0" w:color="auto"/>
                                                <w:bottom w:val="none" w:sz="0" w:space="0" w:color="auto"/>
                                                <w:right w:val="none" w:sz="0" w:space="0" w:color="auto"/>
                                              </w:divBdr>
                                              <w:divsChild>
                                                <w:div w:id="1211529406">
                                                  <w:marLeft w:val="0"/>
                                                  <w:marRight w:val="0"/>
                                                  <w:marTop w:val="0"/>
                                                  <w:marBottom w:val="0"/>
                                                  <w:divBdr>
                                                    <w:top w:val="none" w:sz="0" w:space="0" w:color="auto"/>
                                                    <w:left w:val="none" w:sz="0" w:space="0" w:color="auto"/>
                                                    <w:bottom w:val="none" w:sz="0" w:space="0" w:color="auto"/>
                                                    <w:right w:val="none" w:sz="0" w:space="0" w:color="auto"/>
                                                  </w:divBdr>
                                                  <w:divsChild>
                                                    <w:div w:id="11752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80649">
                                          <w:marLeft w:val="0"/>
                                          <w:marRight w:val="0"/>
                                          <w:marTop w:val="0"/>
                                          <w:marBottom w:val="0"/>
                                          <w:divBdr>
                                            <w:top w:val="none" w:sz="0" w:space="0" w:color="auto"/>
                                            <w:left w:val="none" w:sz="0" w:space="0" w:color="auto"/>
                                            <w:bottom w:val="none" w:sz="0" w:space="0" w:color="auto"/>
                                            <w:right w:val="none" w:sz="0" w:space="0" w:color="auto"/>
                                          </w:divBdr>
                                          <w:divsChild>
                                            <w:div w:id="514460737">
                                              <w:marLeft w:val="0"/>
                                              <w:marRight w:val="0"/>
                                              <w:marTop w:val="0"/>
                                              <w:marBottom w:val="0"/>
                                              <w:divBdr>
                                                <w:top w:val="none" w:sz="0" w:space="0" w:color="auto"/>
                                                <w:left w:val="none" w:sz="0" w:space="0" w:color="auto"/>
                                                <w:bottom w:val="none" w:sz="0" w:space="0" w:color="auto"/>
                                                <w:right w:val="none" w:sz="0" w:space="0" w:color="auto"/>
                                              </w:divBdr>
                                              <w:divsChild>
                                                <w:div w:id="12669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146278">
      <w:bodyDiv w:val="1"/>
      <w:marLeft w:val="0"/>
      <w:marRight w:val="0"/>
      <w:marTop w:val="0"/>
      <w:marBottom w:val="0"/>
      <w:divBdr>
        <w:top w:val="none" w:sz="0" w:space="0" w:color="auto"/>
        <w:left w:val="none" w:sz="0" w:space="0" w:color="auto"/>
        <w:bottom w:val="none" w:sz="0" w:space="0" w:color="auto"/>
        <w:right w:val="none" w:sz="0" w:space="0" w:color="auto"/>
      </w:divBdr>
      <w:divsChild>
        <w:div w:id="360545834">
          <w:marLeft w:val="0"/>
          <w:marRight w:val="0"/>
          <w:marTop w:val="0"/>
          <w:marBottom w:val="0"/>
          <w:divBdr>
            <w:top w:val="none" w:sz="0" w:space="0" w:color="auto"/>
            <w:left w:val="none" w:sz="0" w:space="0" w:color="auto"/>
            <w:bottom w:val="none" w:sz="0" w:space="0" w:color="auto"/>
            <w:right w:val="none" w:sz="0" w:space="0" w:color="auto"/>
          </w:divBdr>
          <w:divsChild>
            <w:div w:id="828715689">
              <w:marLeft w:val="0"/>
              <w:marRight w:val="0"/>
              <w:marTop w:val="0"/>
              <w:marBottom w:val="0"/>
              <w:divBdr>
                <w:top w:val="none" w:sz="0" w:space="0" w:color="auto"/>
                <w:left w:val="none" w:sz="0" w:space="0" w:color="auto"/>
                <w:bottom w:val="none" w:sz="0" w:space="0" w:color="auto"/>
                <w:right w:val="none" w:sz="0" w:space="0" w:color="auto"/>
              </w:divBdr>
              <w:divsChild>
                <w:div w:id="6899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81567">
      <w:bodyDiv w:val="1"/>
      <w:marLeft w:val="0"/>
      <w:marRight w:val="0"/>
      <w:marTop w:val="0"/>
      <w:marBottom w:val="0"/>
      <w:divBdr>
        <w:top w:val="none" w:sz="0" w:space="0" w:color="auto"/>
        <w:left w:val="none" w:sz="0" w:space="0" w:color="auto"/>
        <w:bottom w:val="none" w:sz="0" w:space="0" w:color="auto"/>
        <w:right w:val="none" w:sz="0" w:space="0" w:color="auto"/>
      </w:divBdr>
    </w:div>
    <w:div w:id="996150220">
      <w:bodyDiv w:val="1"/>
      <w:marLeft w:val="0"/>
      <w:marRight w:val="0"/>
      <w:marTop w:val="0"/>
      <w:marBottom w:val="0"/>
      <w:divBdr>
        <w:top w:val="none" w:sz="0" w:space="0" w:color="auto"/>
        <w:left w:val="none" w:sz="0" w:space="0" w:color="auto"/>
        <w:bottom w:val="none" w:sz="0" w:space="0" w:color="auto"/>
        <w:right w:val="none" w:sz="0" w:space="0" w:color="auto"/>
      </w:divBdr>
      <w:divsChild>
        <w:div w:id="892692532">
          <w:marLeft w:val="0"/>
          <w:marRight w:val="0"/>
          <w:marTop w:val="0"/>
          <w:marBottom w:val="0"/>
          <w:divBdr>
            <w:top w:val="single" w:sz="2" w:space="0" w:color="AAAAAA"/>
            <w:left w:val="single" w:sz="6" w:space="8" w:color="AAAAAA"/>
            <w:bottom w:val="single" w:sz="2" w:space="0" w:color="AAAAAA"/>
            <w:right w:val="single" w:sz="6" w:space="8" w:color="AAAAAA"/>
          </w:divBdr>
          <w:divsChild>
            <w:div w:id="2068020671">
              <w:marLeft w:val="0"/>
              <w:marRight w:val="0"/>
              <w:marTop w:val="0"/>
              <w:marBottom w:val="0"/>
              <w:divBdr>
                <w:top w:val="none" w:sz="0" w:space="0" w:color="auto"/>
                <w:left w:val="none" w:sz="0" w:space="0" w:color="auto"/>
                <w:bottom w:val="none" w:sz="0" w:space="0" w:color="auto"/>
                <w:right w:val="none" w:sz="0" w:space="0" w:color="auto"/>
              </w:divBdr>
              <w:divsChild>
                <w:div w:id="594635550">
                  <w:marLeft w:val="0"/>
                  <w:marRight w:val="0"/>
                  <w:marTop w:val="0"/>
                  <w:marBottom w:val="0"/>
                  <w:divBdr>
                    <w:top w:val="none" w:sz="0" w:space="0" w:color="auto"/>
                    <w:left w:val="none" w:sz="0" w:space="0" w:color="auto"/>
                    <w:bottom w:val="none" w:sz="0" w:space="0" w:color="auto"/>
                    <w:right w:val="none" w:sz="0" w:space="0" w:color="auto"/>
                  </w:divBdr>
                  <w:divsChild>
                    <w:div w:id="1579897763">
                      <w:marLeft w:val="0"/>
                      <w:marRight w:val="2550"/>
                      <w:marTop w:val="0"/>
                      <w:marBottom w:val="48"/>
                      <w:divBdr>
                        <w:top w:val="none" w:sz="0" w:space="0" w:color="auto"/>
                        <w:left w:val="none" w:sz="0" w:space="0" w:color="auto"/>
                        <w:bottom w:val="none" w:sz="0" w:space="0" w:color="auto"/>
                        <w:right w:val="none" w:sz="0" w:space="0" w:color="auto"/>
                      </w:divBdr>
                      <w:divsChild>
                        <w:div w:id="12014324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96231014">
      <w:bodyDiv w:val="1"/>
      <w:marLeft w:val="0"/>
      <w:marRight w:val="0"/>
      <w:marTop w:val="0"/>
      <w:marBottom w:val="0"/>
      <w:divBdr>
        <w:top w:val="none" w:sz="0" w:space="0" w:color="auto"/>
        <w:left w:val="none" w:sz="0" w:space="0" w:color="auto"/>
        <w:bottom w:val="none" w:sz="0" w:space="0" w:color="auto"/>
        <w:right w:val="none" w:sz="0" w:space="0" w:color="auto"/>
      </w:divBdr>
      <w:divsChild>
        <w:div w:id="1922257694">
          <w:marLeft w:val="0"/>
          <w:marRight w:val="0"/>
          <w:marTop w:val="0"/>
          <w:marBottom w:val="0"/>
          <w:divBdr>
            <w:top w:val="none" w:sz="0" w:space="0" w:color="auto"/>
            <w:left w:val="none" w:sz="0" w:space="0" w:color="auto"/>
            <w:bottom w:val="none" w:sz="0" w:space="0" w:color="auto"/>
            <w:right w:val="none" w:sz="0" w:space="0" w:color="auto"/>
          </w:divBdr>
          <w:divsChild>
            <w:div w:id="1425570918">
              <w:marLeft w:val="210"/>
              <w:marRight w:val="0"/>
              <w:marTop w:val="0"/>
              <w:marBottom w:val="0"/>
              <w:divBdr>
                <w:top w:val="none" w:sz="0" w:space="0" w:color="auto"/>
                <w:left w:val="none" w:sz="0" w:space="0" w:color="auto"/>
                <w:bottom w:val="none" w:sz="0" w:space="0" w:color="auto"/>
                <w:right w:val="none" w:sz="0" w:space="0" w:color="auto"/>
              </w:divBdr>
              <w:divsChild>
                <w:div w:id="1174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0103">
      <w:bodyDiv w:val="1"/>
      <w:marLeft w:val="0"/>
      <w:marRight w:val="0"/>
      <w:marTop w:val="0"/>
      <w:marBottom w:val="0"/>
      <w:divBdr>
        <w:top w:val="none" w:sz="0" w:space="0" w:color="auto"/>
        <w:left w:val="none" w:sz="0" w:space="0" w:color="auto"/>
        <w:bottom w:val="none" w:sz="0" w:space="0" w:color="auto"/>
        <w:right w:val="none" w:sz="0" w:space="0" w:color="auto"/>
      </w:divBdr>
      <w:divsChild>
        <w:div w:id="141318038">
          <w:marLeft w:val="0"/>
          <w:marRight w:val="0"/>
          <w:marTop w:val="0"/>
          <w:marBottom w:val="0"/>
          <w:divBdr>
            <w:top w:val="none" w:sz="0" w:space="0" w:color="auto"/>
            <w:left w:val="none" w:sz="0" w:space="0" w:color="auto"/>
            <w:bottom w:val="none" w:sz="0" w:space="0" w:color="auto"/>
            <w:right w:val="none" w:sz="0" w:space="0" w:color="auto"/>
          </w:divBdr>
          <w:divsChild>
            <w:div w:id="894389730">
              <w:marLeft w:val="0"/>
              <w:marRight w:val="0"/>
              <w:marTop w:val="0"/>
              <w:marBottom w:val="0"/>
              <w:divBdr>
                <w:top w:val="none" w:sz="0" w:space="0" w:color="auto"/>
                <w:left w:val="none" w:sz="0" w:space="0" w:color="auto"/>
                <w:bottom w:val="none" w:sz="0" w:space="0" w:color="auto"/>
                <w:right w:val="none" w:sz="0" w:space="0" w:color="auto"/>
              </w:divBdr>
              <w:divsChild>
                <w:div w:id="2070954690">
                  <w:marLeft w:val="0"/>
                  <w:marRight w:val="0"/>
                  <w:marTop w:val="0"/>
                  <w:marBottom w:val="0"/>
                  <w:divBdr>
                    <w:top w:val="none" w:sz="0" w:space="0" w:color="auto"/>
                    <w:left w:val="none" w:sz="0" w:space="0" w:color="auto"/>
                    <w:bottom w:val="none" w:sz="0" w:space="0" w:color="auto"/>
                    <w:right w:val="none" w:sz="0" w:space="0" w:color="auto"/>
                  </w:divBdr>
                  <w:divsChild>
                    <w:div w:id="2025084303">
                      <w:marLeft w:val="0"/>
                      <w:marRight w:val="0"/>
                      <w:marTop w:val="0"/>
                      <w:marBottom w:val="0"/>
                      <w:divBdr>
                        <w:top w:val="none" w:sz="0" w:space="0" w:color="auto"/>
                        <w:left w:val="none" w:sz="0" w:space="0" w:color="auto"/>
                        <w:bottom w:val="none" w:sz="0" w:space="0" w:color="auto"/>
                        <w:right w:val="none" w:sz="0" w:space="0" w:color="auto"/>
                      </w:divBdr>
                      <w:divsChild>
                        <w:div w:id="53492654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9579506">
      <w:bodyDiv w:val="1"/>
      <w:marLeft w:val="0"/>
      <w:marRight w:val="0"/>
      <w:marTop w:val="0"/>
      <w:marBottom w:val="0"/>
      <w:divBdr>
        <w:top w:val="none" w:sz="0" w:space="0" w:color="auto"/>
        <w:left w:val="none" w:sz="0" w:space="0" w:color="auto"/>
        <w:bottom w:val="none" w:sz="0" w:space="0" w:color="auto"/>
        <w:right w:val="none" w:sz="0" w:space="0" w:color="auto"/>
      </w:divBdr>
      <w:divsChild>
        <w:div w:id="2078240657">
          <w:marLeft w:val="0"/>
          <w:marRight w:val="0"/>
          <w:marTop w:val="0"/>
          <w:marBottom w:val="0"/>
          <w:divBdr>
            <w:top w:val="none" w:sz="0" w:space="0" w:color="auto"/>
            <w:left w:val="none" w:sz="0" w:space="0" w:color="auto"/>
            <w:bottom w:val="none" w:sz="0" w:space="0" w:color="auto"/>
            <w:right w:val="none" w:sz="0" w:space="0" w:color="auto"/>
          </w:divBdr>
          <w:divsChild>
            <w:div w:id="756706358">
              <w:marLeft w:val="0"/>
              <w:marRight w:val="0"/>
              <w:marTop w:val="0"/>
              <w:marBottom w:val="0"/>
              <w:divBdr>
                <w:top w:val="none" w:sz="0" w:space="0" w:color="auto"/>
                <w:left w:val="none" w:sz="0" w:space="0" w:color="auto"/>
                <w:bottom w:val="none" w:sz="0" w:space="0" w:color="auto"/>
                <w:right w:val="none" w:sz="0" w:space="0" w:color="auto"/>
              </w:divBdr>
              <w:divsChild>
                <w:div w:id="1150906937">
                  <w:marLeft w:val="0"/>
                  <w:marRight w:val="0"/>
                  <w:marTop w:val="0"/>
                  <w:marBottom w:val="0"/>
                  <w:divBdr>
                    <w:top w:val="none" w:sz="0" w:space="0" w:color="auto"/>
                    <w:left w:val="none" w:sz="0" w:space="0" w:color="auto"/>
                    <w:bottom w:val="none" w:sz="0" w:space="0" w:color="auto"/>
                    <w:right w:val="none" w:sz="0" w:space="0" w:color="auto"/>
                  </w:divBdr>
                  <w:divsChild>
                    <w:div w:id="895431709">
                      <w:marLeft w:val="0"/>
                      <w:marRight w:val="0"/>
                      <w:marTop w:val="0"/>
                      <w:marBottom w:val="0"/>
                      <w:divBdr>
                        <w:top w:val="none" w:sz="0" w:space="0" w:color="auto"/>
                        <w:left w:val="none" w:sz="0" w:space="0" w:color="auto"/>
                        <w:bottom w:val="none" w:sz="0" w:space="0" w:color="auto"/>
                        <w:right w:val="none" w:sz="0" w:space="0" w:color="auto"/>
                      </w:divBdr>
                      <w:divsChild>
                        <w:div w:id="1383597932">
                          <w:marLeft w:val="0"/>
                          <w:marRight w:val="0"/>
                          <w:marTop w:val="0"/>
                          <w:marBottom w:val="0"/>
                          <w:divBdr>
                            <w:top w:val="none" w:sz="0" w:space="0" w:color="auto"/>
                            <w:left w:val="none" w:sz="0" w:space="0" w:color="auto"/>
                            <w:bottom w:val="none" w:sz="0" w:space="0" w:color="auto"/>
                            <w:right w:val="none" w:sz="0" w:space="0" w:color="auto"/>
                          </w:divBdr>
                          <w:divsChild>
                            <w:div w:id="971904444">
                              <w:marLeft w:val="0"/>
                              <w:marRight w:val="0"/>
                              <w:marTop w:val="0"/>
                              <w:marBottom w:val="0"/>
                              <w:divBdr>
                                <w:top w:val="none" w:sz="0" w:space="0" w:color="auto"/>
                                <w:left w:val="none" w:sz="0" w:space="0" w:color="auto"/>
                                <w:bottom w:val="none" w:sz="0" w:space="0" w:color="auto"/>
                                <w:right w:val="none" w:sz="0" w:space="0" w:color="auto"/>
                              </w:divBdr>
                              <w:divsChild>
                                <w:div w:id="1897743880">
                                  <w:marLeft w:val="0"/>
                                  <w:marRight w:val="0"/>
                                  <w:marTop w:val="0"/>
                                  <w:marBottom w:val="0"/>
                                  <w:divBdr>
                                    <w:top w:val="none" w:sz="0" w:space="0" w:color="auto"/>
                                    <w:left w:val="none" w:sz="0" w:space="0" w:color="auto"/>
                                    <w:bottom w:val="none" w:sz="0" w:space="0" w:color="auto"/>
                                    <w:right w:val="none" w:sz="0" w:space="0" w:color="auto"/>
                                  </w:divBdr>
                                  <w:divsChild>
                                    <w:div w:id="1820490230">
                                      <w:marLeft w:val="0"/>
                                      <w:marRight w:val="0"/>
                                      <w:marTop w:val="0"/>
                                      <w:marBottom w:val="0"/>
                                      <w:divBdr>
                                        <w:top w:val="none" w:sz="0" w:space="0" w:color="auto"/>
                                        <w:left w:val="none" w:sz="0" w:space="0" w:color="auto"/>
                                        <w:bottom w:val="none" w:sz="0" w:space="0" w:color="auto"/>
                                        <w:right w:val="none" w:sz="0" w:space="0" w:color="auto"/>
                                      </w:divBdr>
                                      <w:divsChild>
                                        <w:div w:id="237329934">
                                          <w:marLeft w:val="0"/>
                                          <w:marRight w:val="0"/>
                                          <w:marTop w:val="0"/>
                                          <w:marBottom w:val="0"/>
                                          <w:divBdr>
                                            <w:top w:val="none" w:sz="0" w:space="0" w:color="auto"/>
                                            <w:left w:val="none" w:sz="0" w:space="0" w:color="auto"/>
                                            <w:bottom w:val="none" w:sz="0" w:space="0" w:color="auto"/>
                                            <w:right w:val="none" w:sz="0" w:space="0" w:color="auto"/>
                                          </w:divBdr>
                                          <w:divsChild>
                                            <w:div w:id="204367119">
                                              <w:marLeft w:val="0"/>
                                              <w:marRight w:val="0"/>
                                              <w:marTop w:val="0"/>
                                              <w:marBottom w:val="0"/>
                                              <w:divBdr>
                                                <w:top w:val="none" w:sz="0" w:space="0" w:color="auto"/>
                                                <w:left w:val="none" w:sz="0" w:space="0" w:color="auto"/>
                                                <w:bottom w:val="none" w:sz="0" w:space="0" w:color="auto"/>
                                                <w:right w:val="none" w:sz="0" w:space="0" w:color="auto"/>
                                              </w:divBdr>
                                              <w:divsChild>
                                                <w:div w:id="483275496">
                                                  <w:marLeft w:val="0"/>
                                                  <w:marRight w:val="0"/>
                                                  <w:marTop w:val="0"/>
                                                  <w:marBottom w:val="0"/>
                                                  <w:divBdr>
                                                    <w:top w:val="none" w:sz="0" w:space="0" w:color="auto"/>
                                                    <w:left w:val="none" w:sz="0" w:space="0" w:color="auto"/>
                                                    <w:bottom w:val="none" w:sz="0" w:space="0" w:color="auto"/>
                                                    <w:right w:val="none" w:sz="0" w:space="0" w:color="auto"/>
                                                  </w:divBdr>
                                                  <w:divsChild>
                                                    <w:div w:id="531067703">
                                                      <w:marLeft w:val="0"/>
                                                      <w:marRight w:val="0"/>
                                                      <w:marTop w:val="0"/>
                                                      <w:marBottom w:val="0"/>
                                                      <w:divBdr>
                                                        <w:top w:val="none" w:sz="0" w:space="0" w:color="auto"/>
                                                        <w:left w:val="none" w:sz="0" w:space="0" w:color="auto"/>
                                                        <w:bottom w:val="none" w:sz="0" w:space="0" w:color="auto"/>
                                                        <w:right w:val="none" w:sz="0" w:space="0" w:color="auto"/>
                                                      </w:divBdr>
                                                      <w:divsChild>
                                                        <w:div w:id="990062747">
                                                          <w:marLeft w:val="0"/>
                                                          <w:marRight w:val="0"/>
                                                          <w:marTop w:val="0"/>
                                                          <w:marBottom w:val="0"/>
                                                          <w:divBdr>
                                                            <w:top w:val="none" w:sz="0" w:space="0" w:color="auto"/>
                                                            <w:left w:val="none" w:sz="0" w:space="0" w:color="auto"/>
                                                            <w:bottom w:val="none" w:sz="0" w:space="0" w:color="auto"/>
                                                            <w:right w:val="none" w:sz="0" w:space="0" w:color="auto"/>
                                                          </w:divBdr>
                                                        </w:div>
                                                        <w:div w:id="320933112">
                                                          <w:marLeft w:val="0"/>
                                                          <w:marRight w:val="0"/>
                                                          <w:marTop w:val="0"/>
                                                          <w:marBottom w:val="0"/>
                                                          <w:divBdr>
                                                            <w:top w:val="none" w:sz="0" w:space="0" w:color="auto"/>
                                                            <w:left w:val="none" w:sz="0" w:space="0" w:color="auto"/>
                                                            <w:bottom w:val="none" w:sz="0" w:space="0" w:color="auto"/>
                                                            <w:right w:val="none" w:sz="0" w:space="0" w:color="auto"/>
                                                          </w:divBdr>
                                                          <w:divsChild>
                                                            <w:div w:id="16892568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0162543">
      <w:bodyDiv w:val="1"/>
      <w:marLeft w:val="0"/>
      <w:marRight w:val="0"/>
      <w:marTop w:val="0"/>
      <w:marBottom w:val="0"/>
      <w:divBdr>
        <w:top w:val="none" w:sz="0" w:space="0" w:color="auto"/>
        <w:left w:val="none" w:sz="0" w:space="0" w:color="auto"/>
        <w:bottom w:val="none" w:sz="0" w:space="0" w:color="auto"/>
        <w:right w:val="none" w:sz="0" w:space="0" w:color="auto"/>
      </w:divBdr>
      <w:divsChild>
        <w:div w:id="1775009505">
          <w:marLeft w:val="0"/>
          <w:marRight w:val="0"/>
          <w:marTop w:val="0"/>
          <w:marBottom w:val="0"/>
          <w:divBdr>
            <w:top w:val="none" w:sz="0" w:space="0" w:color="auto"/>
            <w:left w:val="none" w:sz="0" w:space="0" w:color="auto"/>
            <w:bottom w:val="none" w:sz="0" w:space="0" w:color="auto"/>
            <w:right w:val="none" w:sz="0" w:space="0" w:color="auto"/>
          </w:divBdr>
          <w:divsChild>
            <w:div w:id="1256354426">
              <w:marLeft w:val="0"/>
              <w:marRight w:val="0"/>
              <w:marTop w:val="0"/>
              <w:marBottom w:val="0"/>
              <w:divBdr>
                <w:top w:val="none" w:sz="0" w:space="0" w:color="auto"/>
                <w:left w:val="none" w:sz="0" w:space="0" w:color="auto"/>
                <w:bottom w:val="none" w:sz="0" w:space="0" w:color="auto"/>
                <w:right w:val="none" w:sz="0" w:space="0" w:color="auto"/>
              </w:divBdr>
              <w:divsChild>
                <w:div w:id="282543491">
                  <w:marLeft w:val="0"/>
                  <w:marRight w:val="0"/>
                  <w:marTop w:val="0"/>
                  <w:marBottom w:val="0"/>
                  <w:divBdr>
                    <w:top w:val="none" w:sz="0" w:space="0" w:color="auto"/>
                    <w:left w:val="none" w:sz="0" w:space="0" w:color="auto"/>
                    <w:bottom w:val="none" w:sz="0" w:space="0" w:color="auto"/>
                    <w:right w:val="none" w:sz="0" w:space="0" w:color="auto"/>
                  </w:divBdr>
                  <w:divsChild>
                    <w:div w:id="1611662453">
                      <w:marLeft w:val="0"/>
                      <w:marRight w:val="0"/>
                      <w:marTop w:val="0"/>
                      <w:marBottom w:val="0"/>
                      <w:divBdr>
                        <w:top w:val="none" w:sz="0" w:space="0" w:color="auto"/>
                        <w:left w:val="none" w:sz="0" w:space="0" w:color="auto"/>
                        <w:bottom w:val="none" w:sz="0" w:space="0" w:color="auto"/>
                        <w:right w:val="none" w:sz="0" w:space="0" w:color="auto"/>
                      </w:divBdr>
                      <w:divsChild>
                        <w:div w:id="525677621">
                          <w:marLeft w:val="0"/>
                          <w:marRight w:val="0"/>
                          <w:marTop w:val="0"/>
                          <w:marBottom w:val="0"/>
                          <w:divBdr>
                            <w:top w:val="none" w:sz="0" w:space="0" w:color="auto"/>
                            <w:left w:val="none" w:sz="0" w:space="0" w:color="auto"/>
                            <w:bottom w:val="none" w:sz="0" w:space="0" w:color="auto"/>
                            <w:right w:val="none" w:sz="0" w:space="0" w:color="auto"/>
                          </w:divBdr>
                          <w:divsChild>
                            <w:div w:id="592469012">
                              <w:marLeft w:val="0"/>
                              <w:marRight w:val="0"/>
                              <w:marTop w:val="0"/>
                              <w:marBottom w:val="0"/>
                              <w:divBdr>
                                <w:top w:val="none" w:sz="0" w:space="0" w:color="auto"/>
                                <w:left w:val="none" w:sz="0" w:space="0" w:color="auto"/>
                                <w:bottom w:val="none" w:sz="0" w:space="0" w:color="auto"/>
                                <w:right w:val="none" w:sz="0" w:space="0" w:color="auto"/>
                              </w:divBdr>
                              <w:divsChild>
                                <w:div w:id="838232216">
                                  <w:marLeft w:val="570"/>
                                  <w:marRight w:val="720"/>
                                  <w:marTop w:val="120"/>
                                  <w:marBottom w:val="120"/>
                                  <w:divBdr>
                                    <w:top w:val="none" w:sz="0" w:space="0" w:color="auto"/>
                                    <w:left w:val="none" w:sz="0" w:space="0" w:color="auto"/>
                                    <w:bottom w:val="none" w:sz="0" w:space="0" w:color="auto"/>
                                    <w:right w:val="none" w:sz="0" w:space="0" w:color="auto"/>
                                  </w:divBdr>
                                  <w:divsChild>
                                    <w:div w:id="1958440265">
                                      <w:marLeft w:val="0"/>
                                      <w:marRight w:val="0"/>
                                      <w:marTop w:val="0"/>
                                      <w:marBottom w:val="0"/>
                                      <w:divBdr>
                                        <w:top w:val="none" w:sz="0" w:space="0" w:color="auto"/>
                                        <w:left w:val="none" w:sz="0" w:space="0" w:color="auto"/>
                                        <w:bottom w:val="none" w:sz="0" w:space="0" w:color="auto"/>
                                        <w:right w:val="none" w:sz="0" w:space="0" w:color="auto"/>
                                      </w:divBdr>
                                      <w:divsChild>
                                        <w:div w:id="563569050">
                                          <w:marLeft w:val="0"/>
                                          <w:marRight w:val="0"/>
                                          <w:marTop w:val="0"/>
                                          <w:marBottom w:val="0"/>
                                          <w:divBdr>
                                            <w:top w:val="none" w:sz="0" w:space="0" w:color="auto"/>
                                            <w:left w:val="none" w:sz="0" w:space="0" w:color="auto"/>
                                            <w:bottom w:val="none" w:sz="0" w:space="0" w:color="auto"/>
                                            <w:right w:val="none" w:sz="0" w:space="0" w:color="auto"/>
                                          </w:divBdr>
                                          <w:divsChild>
                                            <w:div w:id="1154224390">
                                              <w:marLeft w:val="0"/>
                                              <w:marRight w:val="0"/>
                                              <w:marTop w:val="0"/>
                                              <w:marBottom w:val="0"/>
                                              <w:divBdr>
                                                <w:top w:val="none" w:sz="0" w:space="0" w:color="auto"/>
                                                <w:left w:val="none" w:sz="0" w:space="0" w:color="auto"/>
                                                <w:bottom w:val="none" w:sz="0" w:space="0" w:color="auto"/>
                                                <w:right w:val="none" w:sz="0" w:space="0" w:color="auto"/>
                                              </w:divBdr>
                                              <w:divsChild>
                                                <w:div w:id="203371879">
                                                  <w:marLeft w:val="0"/>
                                                  <w:marRight w:val="0"/>
                                                  <w:marTop w:val="240"/>
                                                  <w:marBottom w:val="240"/>
                                                  <w:divBdr>
                                                    <w:top w:val="single" w:sz="6" w:space="6" w:color="F2F2F2"/>
                                                    <w:left w:val="none" w:sz="0" w:space="0" w:color="auto"/>
                                                    <w:bottom w:val="single" w:sz="6" w:space="6" w:color="F2F2F2"/>
                                                    <w:right w:val="none" w:sz="0" w:space="0" w:color="auto"/>
                                                  </w:divBdr>
                                                </w:div>
                                                <w:div w:id="332219415">
                                                  <w:marLeft w:val="0"/>
                                                  <w:marRight w:val="0"/>
                                                  <w:marTop w:val="0"/>
                                                  <w:marBottom w:val="0"/>
                                                  <w:divBdr>
                                                    <w:top w:val="none" w:sz="0" w:space="0" w:color="auto"/>
                                                    <w:left w:val="none" w:sz="0" w:space="0" w:color="auto"/>
                                                    <w:bottom w:val="none" w:sz="0" w:space="0" w:color="auto"/>
                                                    <w:right w:val="none" w:sz="0" w:space="0" w:color="auto"/>
                                                  </w:divBdr>
                                                  <w:divsChild>
                                                    <w:div w:id="12163122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818078">
      <w:bodyDiv w:val="1"/>
      <w:marLeft w:val="0"/>
      <w:marRight w:val="0"/>
      <w:marTop w:val="0"/>
      <w:marBottom w:val="0"/>
      <w:divBdr>
        <w:top w:val="none" w:sz="0" w:space="0" w:color="auto"/>
        <w:left w:val="none" w:sz="0" w:space="0" w:color="auto"/>
        <w:bottom w:val="none" w:sz="0" w:space="0" w:color="auto"/>
        <w:right w:val="none" w:sz="0" w:space="0" w:color="auto"/>
      </w:divBdr>
      <w:divsChild>
        <w:div w:id="193809905">
          <w:marLeft w:val="2400"/>
          <w:marRight w:val="0"/>
          <w:marTop w:val="0"/>
          <w:marBottom w:val="0"/>
          <w:divBdr>
            <w:top w:val="none" w:sz="0" w:space="0" w:color="auto"/>
            <w:left w:val="none" w:sz="0" w:space="0" w:color="auto"/>
            <w:bottom w:val="none" w:sz="0" w:space="0" w:color="auto"/>
            <w:right w:val="none" w:sz="0" w:space="0" w:color="auto"/>
          </w:divBdr>
          <w:divsChild>
            <w:div w:id="1350374769">
              <w:marLeft w:val="0"/>
              <w:marRight w:val="0"/>
              <w:marTop w:val="0"/>
              <w:marBottom w:val="0"/>
              <w:divBdr>
                <w:top w:val="none" w:sz="0" w:space="0" w:color="auto"/>
                <w:left w:val="none" w:sz="0" w:space="0" w:color="auto"/>
                <w:bottom w:val="none" w:sz="0" w:space="0" w:color="auto"/>
                <w:right w:val="none" w:sz="0" w:space="0" w:color="auto"/>
              </w:divBdr>
              <w:divsChild>
                <w:div w:id="657924587">
                  <w:marLeft w:val="0"/>
                  <w:marRight w:val="0"/>
                  <w:marTop w:val="0"/>
                  <w:marBottom w:val="0"/>
                  <w:divBdr>
                    <w:top w:val="none" w:sz="0" w:space="0" w:color="auto"/>
                    <w:left w:val="none" w:sz="0" w:space="0" w:color="auto"/>
                    <w:bottom w:val="none" w:sz="0" w:space="0" w:color="auto"/>
                    <w:right w:val="none" w:sz="0" w:space="0" w:color="auto"/>
                  </w:divBdr>
                  <w:divsChild>
                    <w:div w:id="3589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72758">
      <w:bodyDiv w:val="1"/>
      <w:marLeft w:val="0"/>
      <w:marRight w:val="0"/>
      <w:marTop w:val="0"/>
      <w:marBottom w:val="0"/>
      <w:divBdr>
        <w:top w:val="none" w:sz="0" w:space="0" w:color="auto"/>
        <w:left w:val="none" w:sz="0" w:space="0" w:color="auto"/>
        <w:bottom w:val="none" w:sz="0" w:space="0" w:color="auto"/>
        <w:right w:val="none" w:sz="0" w:space="0" w:color="auto"/>
      </w:divBdr>
      <w:divsChild>
        <w:div w:id="1433360201">
          <w:marLeft w:val="0"/>
          <w:marRight w:val="0"/>
          <w:marTop w:val="0"/>
          <w:marBottom w:val="0"/>
          <w:divBdr>
            <w:top w:val="single" w:sz="6" w:space="0" w:color="0E477A"/>
            <w:left w:val="single" w:sz="6" w:space="0" w:color="0E477A"/>
            <w:bottom w:val="single" w:sz="6" w:space="0" w:color="0E477A"/>
            <w:right w:val="single" w:sz="6" w:space="0" w:color="0E477A"/>
          </w:divBdr>
          <w:divsChild>
            <w:div w:id="991719270">
              <w:marLeft w:val="0"/>
              <w:marRight w:val="0"/>
              <w:marTop w:val="0"/>
              <w:marBottom w:val="0"/>
              <w:divBdr>
                <w:top w:val="none" w:sz="0" w:space="0" w:color="auto"/>
                <w:left w:val="none" w:sz="0" w:space="0" w:color="auto"/>
                <w:bottom w:val="none" w:sz="0" w:space="0" w:color="auto"/>
                <w:right w:val="none" w:sz="0" w:space="0" w:color="auto"/>
              </w:divBdr>
              <w:divsChild>
                <w:div w:id="756055571">
                  <w:marLeft w:val="0"/>
                  <w:marRight w:val="0"/>
                  <w:marTop w:val="0"/>
                  <w:marBottom w:val="0"/>
                  <w:divBdr>
                    <w:top w:val="none" w:sz="0" w:space="0" w:color="auto"/>
                    <w:left w:val="none" w:sz="0" w:space="0" w:color="auto"/>
                    <w:bottom w:val="none" w:sz="0" w:space="0" w:color="auto"/>
                    <w:right w:val="none" w:sz="0" w:space="0" w:color="auto"/>
                  </w:divBdr>
                  <w:divsChild>
                    <w:div w:id="561213823">
                      <w:marLeft w:val="0"/>
                      <w:marRight w:val="0"/>
                      <w:marTop w:val="0"/>
                      <w:marBottom w:val="0"/>
                      <w:divBdr>
                        <w:top w:val="none" w:sz="0" w:space="0" w:color="auto"/>
                        <w:left w:val="none" w:sz="0" w:space="0" w:color="auto"/>
                        <w:bottom w:val="none" w:sz="0" w:space="0" w:color="auto"/>
                        <w:right w:val="none" w:sz="0" w:space="0" w:color="auto"/>
                      </w:divBdr>
                      <w:divsChild>
                        <w:div w:id="1731348679">
                          <w:marLeft w:val="0"/>
                          <w:marRight w:val="0"/>
                          <w:marTop w:val="0"/>
                          <w:marBottom w:val="0"/>
                          <w:divBdr>
                            <w:top w:val="none" w:sz="0" w:space="0" w:color="auto"/>
                            <w:left w:val="none" w:sz="0" w:space="0" w:color="auto"/>
                            <w:bottom w:val="none" w:sz="0" w:space="0" w:color="auto"/>
                            <w:right w:val="none" w:sz="0" w:space="0" w:color="auto"/>
                          </w:divBdr>
                          <w:divsChild>
                            <w:div w:id="1913348049">
                              <w:marLeft w:val="0"/>
                              <w:marRight w:val="0"/>
                              <w:marTop w:val="0"/>
                              <w:marBottom w:val="0"/>
                              <w:divBdr>
                                <w:top w:val="none" w:sz="0" w:space="0" w:color="auto"/>
                                <w:left w:val="none" w:sz="0" w:space="0" w:color="auto"/>
                                <w:bottom w:val="none" w:sz="0" w:space="0" w:color="auto"/>
                                <w:right w:val="none" w:sz="0" w:space="0" w:color="auto"/>
                              </w:divBdr>
                              <w:divsChild>
                                <w:div w:id="570577255">
                                  <w:marLeft w:val="0"/>
                                  <w:marRight w:val="0"/>
                                  <w:marTop w:val="0"/>
                                  <w:marBottom w:val="0"/>
                                  <w:divBdr>
                                    <w:top w:val="none" w:sz="0" w:space="0" w:color="auto"/>
                                    <w:left w:val="none" w:sz="0" w:space="0" w:color="auto"/>
                                    <w:bottom w:val="none" w:sz="0" w:space="0" w:color="auto"/>
                                    <w:right w:val="none" w:sz="0" w:space="0" w:color="auto"/>
                                  </w:divBdr>
                                  <w:divsChild>
                                    <w:div w:id="1620257519">
                                      <w:marLeft w:val="0"/>
                                      <w:marRight w:val="0"/>
                                      <w:marTop w:val="0"/>
                                      <w:marBottom w:val="0"/>
                                      <w:divBdr>
                                        <w:top w:val="none" w:sz="0" w:space="0" w:color="auto"/>
                                        <w:left w:val="none" w:sz="0" w:space="0" w:color="auto"/>
                                        <w:bottom w:val="none" w:sz="0" w:space="0" w:color="auto"/>
                                        <w:right w:val="none" w:sz="0" w:space="0" w:color="auto"/>
                                      </w:divBdr>
                                      <w:divsChild>
                                        <w:div w:id="1027103049">
                                          <w:marLeft w:val="0"/>
                                          <w:marRight w:val="0"/>
                                          <w:marTop w:val="0"/>
                                          <w:marBottom w:val="0"/>
                                          <w:divBdr>
                                            <w:top w:val="none" w:sz="0" w:space="0" w:color="auto"/>
                                            <w:left w:val="none" w:sz="0" w:space="0" w:color="auto"/>
                                            <w:bottom w:val="none" w:sz="0" w:space="0" w:color="auto"/>
                                            <w:right w:val="none" w:sz="0" w:space="0" w:color="auto"/>
                                          </w:divBdr>
                                          <w:divsChild>
                                            <w:div w:id="4048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776501">
      <w:bodyDiv w:val="1"/>
      <w:marLeft w:val="0"/>
      <w:marRight w:val="0"/>
      <w:marTop w:val="0"/>
      <w:marBottom w:val="0"/>
      <w:divBdr>
        <w:top w:val="none" w:sz="0" w:space="0" w:color="auto"/>
        <w:left w:val="none" w:sz="0" w:space="0" w:color="auto"/>
        <w:bottom w:val="none" w:sz="0" w:space="0" w:color="auto"/>
        <w:right w:val="none" w:sz="0" w:space="0" w:color="auto"/>
      </w:divBdr>
      <w:divsChild>
        <w:div w:id="1565481018">
          <w:marLeft w:val="0"/>
          <w:marRight w:val="0"/>
          <w:marTop w:val="0"/>
          <w:marBottom w:val="0"/>
          <w:divBdr>
            <w:top w:val="none" w:sz="0" w:space="0" w:color="auto"/>
            <w:left w:val="none" w:sz="0" w:space="0" w:color="auto"/>
            <w:bottom w:val="none" w:sz="0" w:space="0" w:color="auto"/>
            <w:right w:val="none" w:sz="0" w:space="0" w:color="auto"/>
          </w:divBdr>
        </w:div>
      </w:divsChild>
    </w:div>
    <w:div w:id="1002901898">
      <w:bodyDiv w:val="1"/>
      <w:marLeft w:val="0"/>
      <w:marRight w:val="0"/>
      <w:marTop w:val="0"/>
      <w:marBottom w:val="0"/>
      <w:divBdr>
        <w:top w:val="none" w:sz="0" w:space="0" w:color="auto"/>
        <w:left w:val="none" w:sz="0" w:space="0" w:color="auto"/>
        <w:bottom w:val="none" w:sz="0" w:space="0" w:color="auto"/>
        <w:right w:val="none" w:sz="0" w:space="0" w:color="auto"/>
      </w:divBdr>
      <w:divsChild>
        <w:div w:id="477843837">
          <w:marLeft w:val="0"/>
          <w:marRight w:val="0"/>
          <w:marTop w:val="0"/>
          <w:marBottom w:val="0"/>
          <w:divBdr>
            <w:top w:val="none" w:sz="0" w:space="0" w:color="auto"/>
            <w:left w:val="none" w:sz="0" w:space="0" w:color="auto"/>
            <w:bottom w:val="none" w:sz="0" w:space="0" w:color="auto"/>
            <w:right w:val="none" w:sz="0" w:space="0" w:color="auto"/>
          </w:divBdr>
          <w:divsChild>
            <w:div w:id="1950237488">
              <w:marLeft w:val="0"/>
              <w:marRight w:val="0"/>
              <w:marTop w:val="0"/>
              <w:marBottom w:val="0"/>
              <w:divBdr>
                <w:top w:val="none" w:sz="0" w:space="0" w:color="auto"/>
                <w:left w:val="none" w:sz="0" w:space="0" w:color="auto"/>
                <w:bottom w:val="none" w:sz="0" w:space="0" w:color="auto"/>
                <w:right w:val="none" w:sz="0" w:space="0" w:color="auto"/>
              </w:divBdr>
              <w:divsChild>
                <w:div w:id="22635934">
                  <w:marLeft w:val="0"/>
                  <w:marRight w:val="0"/>
                  <w:marTop w:val="0"/>
                  <w:marBottom w:val="0"/>
                  <w:divBdr>
                    <w:top w:val="none" w:sz="0" w:space="0" w:color="auto"/>
                    <w:left w:val="none" w:sz="0" w:space="0" w:color="auto"/>
                    <w:bottom w:val="none" w:sz="0" w:space="0" w:color="auto"/>
                    <w:right w:val="none" w:sz="0" w:space="0" w:color="auto"/>
                  </w:divBdr>
                  <w:divsChild>
                    <w:div w:id="1067798637">
                      <w:marLeft w:val="0"/>
                      <w:marRight w:val="0"/>
                      <w:marTop w:val="0"/>
                      <w:marBottom w:val="0"/>
                      <w:divBdr>
                        <w:top w:val="none" w:sz="0" w:space="0" w:color="auto"/>
                        <w:left w:val="none" w:sz="0" w:space="0" w:color="auto"/>
                        <w:bottom w:val="none" w:sz="0" w:space="0" w:color="auto"/>
                        <w:right w:val="none" w:sz="0" w:space="0" w:color="auto"/>
                      </w:divBdr>
                      <w:divsChild>
                        <w:div w:id="1805536947">
                          <w:marLeft w:val="0"/>
                          <w:marRight w:val="0"/>
                          <w:marTop w:val="0"/>
                          <w:marBottom w:val="0"/>
                          <w:divBdr>
                            <w:top w:val="none" w:sz="0" w:space="0" w:color="auto"/>
                            <w:left w:val="none" w:sz="0" w:space="0" w:color="auto"/>
                            <w:bottom w:val="none" w:sz="0" w:space="0" w:color="auto"/>
                            <w:right w:val="none" w:sz="0" w:space="0" w:color="auto"/>
                          </w:divBdr>
                          <w:divsChild>
                            <w:div w:id="1507289055">
                              <w:marLeft w:val="0"/>
                              <w:marRight w:val="0"/>
                              <w:marTop w:val="0"/>
                              <w:marBottom w:val="0"/>
                              <w:divBdr>
                                <w:top w:val="none" w:sz="0" w:space="0" w:color="auto"/>
                                <w:left w:val="none" w:sz="0" w:space="0" w:color="auto"/>
                                <w:bottom w:val="none" w:sz="0" w:space="0" w:color="auto"/>
                                <w:right w:val="none" w:sz="0" w:space="0" w:color="auto"/>
                              </w:divBdr>
                              <w:divsChild>
                                <w:div w:id="1981954625">
                                  <w:marLeft w:val="0"/>
                                  <w:marRight w:val="0"/>
                                  <w:marTop w:val="0"/>
                                  <w:marBottom w:val="0"/>
                                  <w:divBdr>
                                    <w:top w:val="none" w:sz="0" w:space="0" w:color="auto"/>
                                    <w:left w:val="none" w:sz="0" w:space="0" w:color="auto"/>
                                    <w:bottom w:val="none" w:sz="0" w:space="0" w:color="auto"/>
                                    <w:right w:val="none" w:sz="0" w:space="0" w:color="auto"/>
                                  </w:divBdr>
                                  <w:divsChild>
                                    <w:div w:id="1659917871">
                                      <w:marLeft w:val="0"/>
                                      <w:marRight w:val="0"/>
                                      <w:marTop w:val="0"/>
                                      <w:marBottom w:val="0"/>
                                      <w:divBdr>
                                        <w:top w:val="none" w:sz="0" w:space="0" w:color="auto"/>
                                        <w:left w:val="none" w:sz="0" w:space="0" w:color="auto"/>
                                        <w:bottom w:val="none" w:sz="0" w:space="0" w:color="auto"/>
                                        <w:right w:val="none" w:sz="0" w:space="0" w:color="auto"/>
                                      </w:divBdr>
                                      <w:divsChild>
                                        <w:div w:id="826824109">
                                          <w:marLeft w:val="0"/>
                                          <w:marRight w:val="0"/>
                                          <w:marTop w:val="0"/>
                                          <w:marBottom w:val="0"/>
                                          <w:divBdr>
                                            <w:top w:val="none" w:sz="0" w:space="0" w:color="auto"/>
                                            <w:left w:val="none" w:sz="0" w:space="0" w:color="auto"/>
                                            <w:bottom w:val="none" w:sz="0" w:space="0" w:color="auto"/>
                                            <w:right w:val="none" w:sz="0" w:space="0" w:color="auto"/>
                                          </w:divBdr>
                                          <w:divsChild>
                                            <w:div w:id="679700939">
                                              <w:marLeft w:val="0"/>
                                              <w:marRight w:val="0"/>
                                              <w:marTop w:val="0"/>
                                              <w:marBottom w:val="0"/>
                                              <w:divBdr>
                                                <w:top w:val="none" w:sz="0" w:space="0" w:color="auto"/>
                                                <w:left w:val="none" w:sz="0" w:space="0" w:color="auto"/>
                                                <w:bottom w:val="none" w:sz="0" w:space="0" w:color="auto"/>
                                                <w:right w:val="none" w:sz="0" w:space="0" w:color="auto"/>
                                              </w:divBdr>
                                              <w:divsChild>
                                                <w:div w:id="907307877">
                                                  <w:marLeft w:val="0"/>
                                                  <w:marRight w:val="0"/>
                                                  <w:marTop w:val="0"/>
                                                  <w:marBottom w:val="0"/>
                                                  <w:divBdr>
                                                    <w:top w:val="none" w:sz="0" w:space="0" w:color="auto"/>
                                                    <w:left w:val="none" w:sz="0" w:space="0" w:color="auto"/>
                                                    <w:bottom w:val="none" w:sz="0" w:space="0" w:color="auto"/>
                                                    <w:right w:val="none" w:sz="0" w:space="0" w:color="auto"/>
                                                  </w:divBdr>
                                                  <w:divsChild>
                                                    <w:div w:id="159660247">
                                                      <w:marLeft w:val="0"/>
                                                      <w:marRight w:val="0"/>
                                                      <w:marTop w:val="0"/>
                                                      <w:marBottom w:val="0"/>
                                                      <w:divBdr>
                                                        <w:top w:val="none" w:sz="0" w:space="0" w:color="auto"/>
                                                        <w:left w:val="none" w:sz="0" w:space="0" w:color="auto"/>
                                                        <w:bottom w:val="none" w:sz="0" w:space="0" w:color="auto"/>
                                                        <w:right w:val="none" w:sz="0" w:space="0" w:color="auto"/>
                                                      </w:divBdr>
                                                      <w:divsChild>
                                                        <w:div w:id="713968231">
                                                          <w:marLeft w:val="0"/>
                                                          <w:marRight w:val="0"/>
                                                          <w:marTop w:val="0"/>
                                                          <w:marBottom w:val="0"/>
                                                          <w:divBdr>
                                                            <w:top w:val="none" w:sz="0" w:space="0" w:color="auto"/>
                                                            <w:left w:val="none" w:sz="0" w:space="0" w:color="auto"/>
                                                            <w:bottom w:val="none" w:sz="0" w:space="0" w:color="auto"/>
                                                            <w:right w:val="none" w:sz="0" w:space="0" w:color="auto"/>
                                                          </w:divBdr>
                                                        </w:div>
                                                        <w:div w:id="822895496">
                                                          <w:marLeft w:val="0"/>
                                                          <w:marRight w:val="0"/>
                                                          <w:marTop w:val="0"/>
                                                          <w:marBottom w:val="0"/>
                                                          <w:divBdr>
                                                            <w:top w:val="none" w:sz="0" w:space="0" w:color="auto"/>
                                                            <w:left w:val="none" w:sz="0" w:space="0" w:color="auto"/>
                                                            <w:bottom w:val="none" w:sz="0" w:space="0" w:color="auto"/>
                                                            <w:right w:val="none" w:sz="0" w:space="0" w:color="auto"/>
                                                          </w:divBdr>
                                                          <w:divsChild>
                                                            <w:div w:id="200851144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431803">
      <w:bodyDiv w:val="1"/>
      <w:marLeft w:val="0"/>
      <w:marRight w:val="0"/>
      <w:marTop w:val="0"/>
      <w:marBottom w:val="0"/>
      <w:divBdr>
        <w:top w:val="none" w:sz="0" w:space="0" w:color="auto"/>
        <w:left w:val="none" w:sz="0" w:space="0" w:color="auto"/>
        <w:bottom w:val="none" w:sz="0" w:space="0" w:color="auto"/>
        <w:right w:val="none" w:sz="0" w:space="0" w:color="auto"/>
      </w:divBdr>
      <w:divsChild>
        <w:div w:id="2116360812">
          <w:marLeft w:val="0"/>
          <w:marRight w:val="0"/>
          <w:marTop w:val="0"/>
          <w:marBottom w:val="0"/>
          <w:divBdr>
            <w:top w:val="none" w:sz="0" w:space="0" w:color="auto"/>
            <w:left w:val="none" w:sz="0" w:space="0" w:color="auto"/>
            <w:bottom w:val="none" w:sz="0" w:space="0" w:color="auto"/>
            <w:right w:val="none" w:sz="0" w:space="0" w:color="auto"/>
          </w:divBdr>
          <w:divsChild>
            <w:div w:id="1143232054">
              <w:marLeft w:val="0"/>
              <w:marRight w:val="0"/>
              <w:marTop w:val="0"/>
              <w:marBottom w:val="0"/>
              <w:divBdr>
                <w:top w:val="none" w:sz="0" w:space="0" w:color="auto"/>
                <w:left w:val="none" w:sz="0" w:space="0" w:color="auto"/>
                <w:bottom w:val="none" w:sz="0" w:space="0" w:color="auto"/>
                <w:right w:val="none" w:sz="0" w:space="0" w:color="auto"/>
              </w:divBdr>
              <w:divsChild>
                <w:div w:id="555432068">
                  <w:marLeft w:val="0"/>
                  <w:marRight w:val="0"/>
                  <w:marTop w:val="0"/>
                  <w:marBottom w:val="0"/>
                  <w:divBdr>
                    <w:top w:val="none" w:sz="0" w:space="0" w:color="auto"/>
                    <w:left w:val="none" w:sz="0" w:space="0" w:color="auto"/>
                    <w:bottom w:val="none" w:sz="0" w:space="0" w:color="auto"/>
                    <w:right w:val="none" w:sz="0" w:space="0" w:color="auto"/>
                  </w:divBdr>
                  <w:divsChild>
                    <w:div w:id="1036269566">
                      <w:marLeft w:val="0"/>
                      <w:marRight w:val="0"/>
                      <w:marTop w:val="0"/>
                      <w:marBottom w:val="0"/>
                      <w:divBdr>
                        <w:top w:val="none" w:sz="0" w:space="0" w:color="auto"/>
                        <w:left w:val="none" w:sz="0" w:space="0" w:color="auto"/>
                        <w:bottom w:val="none" w:sz="0" w:space="0" w:color="auto"/>
                        <w:right w:val="none" w:sz="0" w:space="0" w:color="auto"/>
                      </w:divBdr>
                      <w:divsChild>
                        <w:div w:id="835925508">
                          <w:marLeft w:val="0"/>
                          <w:marRight w:val="0"/>
                          <w:marTop w:val="0"/>
                          <w:marBottom w:val="0"/>
                          <w:divBdr>
                            <w:top w:val="none" w:sz="0" w:space="0" w:color="auto"/>
                            <w:left w:val="none" w:sz="0" w:space="0" w:color="auto"/>
                            <w:bottom w:val="none" w:sz="0" w:space="0" w:color="auto"/>
                            <w:right w:val="none" w:sz="0" w:space="0" w:color="auto"/>
                          </w:divBdr>
                          <w:divsChild>
                            <w:div w:id="1570261449">
                              <w:marLeft w:val="0"/>
                              <w:marRight w:val="0"/>
                              <w:marTop w:val="0"/>
                              <w:marBottom w:val="0"/>
                              <w:divBdr>
                                <w:top w:val="none" w:sz="0" w:space="0" w:color="auto"/>
                                <w:left w:val="none" w:sz="0" w:space="0" w:color="auto"/>
                                <w:bottom w:val="none" w:sz="0" w:space="0" w:color="auto"/>
                                <w:right w:val="none" w:sz="0" w:space="0" w:color="auto"/>
                              </w:divBdr>
                              <w:divsChild>
                                <w:div w:id="752043144">
                                  <w:marLeft w:val="0"/>
                                  <w:marRight w:val="0"/>
                                  <w:marTop w:val="0"/>
                                  <w:marBottom w:val="240"/>
                                  <w:divBdr>
                                    <w:top w:val="none" w:sz="0" w:space="0" w:color="auto"/>
                                    <w:left w:val="none" w:sz="0" w:space="0" w:color="auto"/>
                                    <w:bottom w:val="none" w:sz="0" w:space="0" w:color="auto"/>
                                    <w:right w:val="none" w:sz="0" w:space="0" w:color="auto"/>
                                  </w:divBdr>
                                </w:div>
                                <w:div w:id="11527163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437157">
      <w:bodyDiv w:val="1"/>
      <w:marLeft w:val="0"/>
      <w:marRight w:val="0"/>
      <w:marTop w:val="0"/>
      <w:marBottom w:val="0"/>
      <w:divBdr>
        <w:top w:val="none" w:sz="0" w:space="0" w:color="auto"/>
        <w:left w:val="none" w:sz="0" w:space="0" w:color="auto"/>
        <w:bottom w:val="none" w:sz="0" w:space="0" w:color="auto"/>
        <w:right w:val="none" w:sz="0" w:space="0" w:color="auto"/>
      </w:divBdr>
    </w:div>
    <w:div w:id="1003701845">
      <w:bodyDiv w:val="1"/>
      <w:marLeft w:val="0"/>
      <w:marRight w:val="0"/>
      <w:marTop w:val="0"/>
      <w:marBottom w:val="0"/>
      <w:divBdr>
        <w:top w:val="none" w:sz="0" w:space="0" w:color="auto"/>
        <w:left w:val="none" w:sz="0" w:space="0" w:color="auto"/>
        <w:bottom w:val="none" w:sz="0" w:space="0" w:color="auto"/>
        <w:right w:val="none" w:sz="0" w:space="0" w:color="auto"/>
      </w:divBdr>
    </w:div>
    <w:div w:id="1004429534">
      <w:bodyDiv w:val="1"/>
      <w:marLeft w:val="0"/>
      <w:marRight w:val="0"/>
      <w:marTop w:val="0"/>
      <w:marBottom w:val="0"/>
      <w:divBdr>
        <w:top w:val="none" w:sz="0" w:space="0" w:color="auto"/>
        <w:left w:val="none" w:sz="0" w:space="0" w:color="auto"/>
        <w:bottom w:val="none" w:sz="0" w:space="0" w:color="auto"/>
        <w:right w:val="none" w:sz="0" w:space="0" w:color="auto"/>
      </w:divBdr>
      <w:divsChild>
        <w:div w:id="1091589508">
          <w:marLeft w:val="2400"/>
          <w:marRight w:val="0"/>
          <w:marTop w:val="0"/>
          <w:marBottom w:val="0"/>
          <w:divBdr>
            <w:top w:val="none" w:sz="0" w:space="0" w:color="auto"/>
            <w:left w:val="none" w:sz="0" w:space="0" w:color="auto"/>
            <w:bottom w:val="none" w:sz="0" w:space="0" w:color="auto"/>
            <w:right w:val="none" w:sz="0" w:space="0" w:color="auto"/>
          </w:divBdr>
          <w:divsChild>
            <w:div w:id="1150246760">
              <w:marLeft w:val="0"/>
              <w:marRight w:val="0"/>
              <w:marTop w:val="0"/>
              <w:marBottom w:val="0"/>
              <w:divBdr>
                <w:top w:val="none" w:sz="0" w:space="0" w:color="auto"/>
                <w:left w:val="none" w:sz="0" w:space="0" w:color="auto"/>
                <w:bottom w:val="none" w:sz="0" w:space="0" w:color="auto"/>
                <w:right w:val="none" w:sz="0" w:space="0" w:color="auto"/>
              </w:divBdr>
              <w:divsChild>
                <w:div w:id="338387363">
                  <w:marLeft w:val="0"/>
                  <w:marRight w:val="0"/>
                  <w:marTop w:val="0"/>
                  <w:marBottom w:val="0"/>
                  <w:divBdr>
                    <w:top w:val="none" w:sz="0" w:space="0" w:color="auto"/>
                    <w:left w:val="none" w:sz="0" w:space="0" w:color="auto"/>
                    <w:bottom w:val="none" w:sz="0" w:space="0" w:color="auto"/>
                    <w:right w:val="none" w:sz="0" w:space="0" w:color="auto"/>
                  </w:divBdr>
                  <w:divsChild>
                    <w:div w:id="16146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6457">
      <w:bodyDiv w:val="1"/>
      <w:marLeft w:val="0"/>
      <w:marRight w:val="0"/>
      <w:marTop w:val="0"/>
      <w:marBottom w:val="0"/>
      <w:divBdr>
        <w:top w:val="none" w:sz="0" w:space="0" w:color="auto"/>
        <w:left w:val="none" w:sz="0" w:space="0" w:color="auto"/>
        <w:bottom w:val="none" w:sz="0" w:space="0" w:color="auto"/>
        <w:right w:val="none" w:sz="0" w:space="0" w:color="auto"/>
      </w:divBdr>
    </w:div>
    <w:div w:id="1005211175">
      <w:bodyDiv w:val="1"/>
      <w:marLeft w:val="0"/>
      <w:marRight w:val="0"/>
      <w:marTop w:val="0"/>
      <w:marBottom w:val="0"/>
      <w:divBdr>
        <w:top w:val="none" w:sz="0" w:space="0" w:color="auto"/>
        <w:left w:val="none" w:sz="0" w:space="0" w:color="auto"/>
        <w:bottom w:val="none" w:sz="0" w:space="0" w:color="auto"/>
        <w:right w:val="none" w:sz="0" w:space="0" w:color="auto"/>
      </w:divBdr>
      <w:divsChild>
        <w:div w:id="1028261196">
          <w:marLeft w:val="0"/>
          <w:marRight w:val="0"/>
          <w:marTop w:val="0"/>
          <w:marBottom w:val="0"/>
          <w:divBdr>
            <w:top w:val="none" w:sz="0" w:space="0" w:color="auto"/>
            <w:left w:val="none" w:sz="0" w:space="0" w:color="auto"/>
            <w:bottom w:val="none" w:sz="0" w:space="0" w:color="auto"/>
            <w:right w:val="none" w:sz="0" w:space="0" w:color="auto"/>
          </w:divBdr>
          <w:divsChild>
            <w:div w:id="647905349">
              <w:marLeft w:val="0"/>
              <w:marRight w:val="0"/>
              <w:marTop w:val="0"/>
              <w:marBottom w:val="0"/>
              <w:divBdr>
                <w:top w:val="none" w:sz="0" w:space="0" w:color="auto"/>
                <w:left w:val="none" w:sz="0" w:space="0" w:color="auto"/>
                <w:bottom w:val="none" w:sz="0" w:space="0" w:color="auto"/>
                <w:right w:val="none" w:sz="0" w:space="0" w:color="auto"/>
              </w:divBdr>
              <w:divsChild>
                <w:div w:id="895162737">
                  <w:marLeft w:val="300"/>
                  <w:marRight w:val="300"/>
                  <w:marTop w:val="330"/>
                  <w:marBottom w:val="0"/>
                  <w:divBdr>
                    <w:top w:val="none" w:sz="0" w:space="0" w:color="auto"/>
                    <w:left w:val="none" w:sz="0" w:space="0" w:color="auto"/>
                    <w:bottom w:val="none" w:sz="0" w:space="0" w:color="auto"/>
                    <w:right w:val="none" w:sz="0" w:space="0" w:color="auto"/>
                  </w:divBdr>
                  <w:divsChild>
                    <w:div w:id="392041611">
                      <w:marLeft w:val="0"/>
                      <w:marRight w:val="0"/>
                      <w:marTop w:val="0"/>
                      <w:marBottom w:val="0"/>
                      <w:divBdr>
                        <w:top w:val="none" w:sz="0" w:space="0" w:color="auto"/>
                        <w:left w:val="none" w:sz="0" w:space="0" w:color="auto"/>
                        <w:bottom w:val="none" w:sz="0" w:space="0" w:color="auto"/>
                        <w:right w:val="none" w:sz="0" w:space="0" w:color="auto"/>
                      </w:divBdr>
                    </w:div>
                    <w:div w:id="6595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33106">
      <w:bodyDiv w:val="1"/>
      <w:marLeft w:val="0"/>
      <w:marRight w:val="0"/>
      <w:marTop w:val="0"/>
      <w:marBottom w:val="0"/>
      <w:divBdr>
        <w:top w:val="none" w:sz="0" w:space="0" w:color="auto"/>
        <w:left w:val="none" w:sz="0" w:space="0" w:color="auto"/>
        <w:bottom w:val="none" w:sz="0" w:space="0" w:color="auto"/>
        <w:right w:val="none" w:sz="0" w:space="0" w:color="auto"/>
      </w:divBdr>
      <w:divsChild>
        <w:div w:id="1357655835">
          <w:marLeft w:val="0"/>
          <w:marRight w:val="0"/>
          <w:marTop w:val="0"/>
          <w:marBottom w:val="450"/>
          <w:divBdr>
            <w:top w:val="none" w:sz="0" w:space="0" w:color="auto"/>
            <w:left w:val="none" w:sz="0" w:space="0" w:color="auto"/>
            <w:bottom w:val="none" w:sz="0" w:space="0" w:color="auto"/>
            <w:right w:val="none" w:sz="0" w:space="0" w:color="auto"/>
          </w:divBdr>
        </w:div>
      </w:divsChild>
    </w:div>
    <w:div w:id="1006328623">
      <w:bodyDiv w:val="1"/>
      <w:marLeft w:val="0"/>
      <w:marRight w:val="0"/>
      <w:marTop w:val="0"/>
      <w:marBottom w:val="0"/>
      <w:divBdr>
        <w:top w:val="none" w:sz="0" w:space="0" w:color="auto"/>
        <w:left w:val="none" w:sz="0" w:space="0" w:color="auto"/>
        <w:bottom w:val="none" w:sz="0" w:space="0" w:color="auto"/>
        <w:right w:val="none" w:sz="0" w:space="0" w:color="auto"/>
      </w:divBdr>
    </w:div>
    <w:div w:id="1007369379">
      <w:bodyDiv w:val="1"/>
      <w:marLeft w:val="0"/>
      <w:marRight w:val="0"/>
      <w:marTop w:val="0"/>
      <w:marBottom w:val="0"/>
      <w:divBdr>
        <w:top w:val="none" w:sz="0" w:space="0" w:color="auto"/>
        <w:left w:val="none" w:sz="0" w:space="0" w:color="auto"/>
        <w:bottom w:val="none" w:sz="0" w:space="0" w:color="auto"/>
        <w:right w:val="none" w:sz="0" w:space="0" w:color="auto"/>
      </w:divBdr>
      <w:divsChild>
        <w:div w:id="127941127">
          <w:marLeft w:val="0"/>
          <w:marRight w:val="0"/>
          <w:marTop w:val="0"/>
          <w:marBottom w:val="0"/>
          <w:divBdr>
            <w:top w:val="none" w:sz="0" w:space="0" w:color="auto"/>
            <w:left w:val="none" w:sz="0" w:space="0" w:color="auto"/>
            <w:bottom w:val="none" w:sz="0" w:space="0" w:color="auto"/>
            <w:right w:val="none" w:sz="0" w:space="0" w:color="auto"/>
          </w:divBdr>
          <w:divsChild>
            <w:div w:id="2025662957">
              <w:marLeft w:val="0"/>
              <w:marRight w:val="0"/>
              <w:marTop w:val="0"/>
              <w:marBottom w:val="0"/>
              <w:divBdr>
                <w:top w:val="none" w:sz="0" w:space="0" w:color="auto"/>
                <w:left w:val="none" w:sz="0" w:space="0" w:color="auto"/>
                <w:bottom w:val="none" w:sz="0" w:space="0" w:color="auto"/>
                <w:right w:val="none" w:sz="0" w:space="0" w:color="auto"/>
              </w:divBdr>
              <w:divsChild>
                <w:div w:id="595787979">
                  <w:marLeft w:val="0"/>
                  <w:marRight w:val="0"/>
                  <w:marTop w:val="0"/>
                  <w:marBottom w:val="0"/>
                  <w:divBdr>
                    <w:top w:val="none" w:sz="0" w:space="0" w:color="auto"/>
                    <w:left w:val="none" w:sz="0" w:space="0" w:color="auto"/>
                    <w:bottom w:val="none" w:sz="0" w:space="0" w:color="auto"/>
                    <w:right w:val="none" w:sz="0" w:space="0" w:color="auto"/>
                  </w:divBdr>
                  <w:divsChild>
                    <w:div w:id="2018576722">
                      <w:marLeft w:val="0"/>
                      <w:marRight w:val="0"/>
                      <w:marTop w:val="300"/>
                      <w:marBottom w:val="600"/>
                      <w:divBdr>
                        <w:top w:val="none" w:sz="0" w:space="0" w:color="auto"/>
                        <w:left w:val="none" w:sz="0" w:space="0" w:color="auto"/>
                        <w:bottom w:val="none" w:sz="0" w:space="0" w:color="auto"/>
                        <w:right w:val="none" w:sz="0" w:space="0" w:color="auto"/>
                      </w:divBdr>
                      <w:divsChild>
                        <w:div w:id="993025304">
                          <w:marLeft w:val="0"/>
                          <w:marRight w:val="0"/>
                          <w:marTop w:val="0"/>
                          <w:marBottom w:val="0"/>
                          <w:divBdr>
                            <w:top w:val="none" w:sz="0" w:space="0" w:color="auto"/>
                            <w:left w:val="none" w:sz="0" w:space="0" w:color="auto"/>
                            <w:bottom w:val="none" w:sz="0" w:space="0" w:color="auto"/>
                            <w:right w:val="none" w:sz="0" w:space="0" w:color="auto"/>
                          </w:divBdr>
                          <w:divsChild>
                            <w:div w:id="1257707990">
                              <w:marLeft w:val="0"/>
                              <w:marRight w:val="0"/>
                              <w:marTop w:val="0"/>
                              <w:marBottom w:val="0"/>
                              <w:divBdr>
                                <w:top w:val="none" w:sz="0" w:space="0" w:color="auto"/>
                                <w:left w:val="none" w:sz="0" w:space="0" w:color="auto"/>
                                <w:bottom w:val="none" w:sz="0" w:space="0" w:color="auto"/>
                                <w:right w:val="none" w:sz="0" w:space="0" w:color="auto"/>
                              </w:divBdr>
                              <w:divsChild>
                                <w:div w:id="1668709533">
                                  <w:marLeft w:val="0"/>
                                  <w:marRight w:val="0"/>
                                  <w:marTop w:val="0"/>
                                  <w:marBottom w:val="0"/>
                                  <w:divBdr>
                                    <w:top w:val="none" w:sz="0" w:space="0" w:color="auto"/>
                                    <w:left w:val="none" w:sz="0" w:space="0" w:color="auto"/>
                                    <w:bottom w:val="none" w:sz="0" w:space="0" w:color="auto"/>
                                    <w:right w:val="none" w:sz="0" w:space="0" w:color="auto"/>
                                  </w:divBdr>
                                  <w:divsChild>
                                    <w:div w:id="1163855084">
                                      <w:marLeft w:val="0"/>
                                      <w:marRight w:val="0"/>
                                      <w:marTop w:val="150"/>
                                      <w:marBottom w:val="0"/>
                                      <w:divBdr>
                                        <w:top w:val="none" w:sz="0" w:space="0" w:color="auto"/>
                                        <w:left w:val="none" w:sz="0" w:space="0" w:color="auto"/>
                                        <w:bottom w:val="none" w:sz="0" w:space="0" w:color="auto"/>
                                        <w:right w:val="none" w:sz="0" w:space="0" w:color="auto"/>
                                      </w:divBdr>
                                      <w:divsChild>
                                        <w:div w:id="1037706187">
                                          <w:marLeft w:val="0"/>
                                          <w:marRight w:val="0"/>
                                          <w:marTop w:val="0"/>
                                          <w:marBottom w:val="0"/>
                                          <w:divBdr>
                                            <w:top w:val="none" w:sz="0" w:space="0" w:color="auto"/>
                                            <w:left w:val="none" w:sz="0" w:space="0" w:color="auto"/>
                                            <w:bottom w:val="none" w:sz="0" w:space="0" w:color="auto"/>
                                            <w:right w:val="none" w:sz="0" w:space="0" w:color="auto"/>
                                          </w:divBdr>
                                          <w:divsChild>
                                            <w:div w:id="1019281486">
                                              <w:marLeft w:val="0"/>
                                              <w:marRight w:val="0"/>
                                              <w:marTop w:val="0"/>
                                              <w:marBottom w:val="0"/>
                                              <w:divBdr>
                                                <w:top w:val="none" w:sz="0" w:space="0" w:color="auto"/>
                                                <w:left w:val="none" w:sz="0" w:space="0" w:color="auto"/>
                                                <w:bottom w:val="none" w:sz="0" w:space="0" w:color="auto"/>
                                                <w:right w:val="none" w:sz="0" w:space="0" w:color="auto"/>
                                              </w:divBdr>
                                              <w:divsChild>
                                                <w:div w:id="6507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369976">
      <w:bodyDiv w:val="1"/>
      <w:marLeft w:val="0"/>
      <w:marRight w:val="0"/>
      <w:marTop w:val="0"/>
      <w:marBottom w:val="0"/>
      <w:divBdr>
        <w:top w:val="none" w:sz="0" w:space="0" w:color="auto"/>
        <w:left w:val="none" w:sz="0" w:space="0" w:color="auto"/>
        <w:bottom w:val="none" w:sz="0" w:space="0" w:color="auto"/>
        <w:right w:val="none" w:sz="0" w:space="0" w:color="auto"/>
      </w:divBdr>
      <w:divsChild>
        <w:div w:id="864251793">
          <w:marLeft w:val="0"/>
          <w:marRight w:val="0"/>
          <w:marTop w:val="0"/>
          <w:marBottom w:val="0"/>
          <w:divBdr>
            <w:top w:val="none" w:sz="0" w:space="0" w:color="auto"/>
            <w:left w:val="none" w:sz="0" w:space="0" w:color="auto"/>
            <w:bottom w:val="none" w:sz="0" w:space="0" w:color="auto"/>
            <w:right w:val="none" w:sz="0" w:space="0" w:color="auto"/>
          </w:divBdr>
          <w:divsChild>
            <w:div w:id="525559036">
              <w:marLeft w:val="0"/>
              <w:marRight w:val="0"/>
              <w:marTop w:val="0"/>
              <w:marBottom w:val="0"/>
              <w:divBdr>
                <w:top w:val="none" w:sz="0" w:space="0" w:color="auto"/>
                <w:left w:val="none" w:sz="0" w:space="0" w:color="auto"/>
                <w:bottom w:val="none" w:sz="0" w:space="0" w:color="auto"/>
                <w:right w:val="none" w:sz="0" w:space="0" w:color="auto"/>
              </w:divBdr>
              <w:divsChild>
                <w:div w:id="114296586">
                  <w:marLeft w:val="0"/>
                  <w:marRight w:val="0"/>
                  <w:marTop w:val="0"/>
                  <w:marBottom w:val="0"/>
                  <w:divBdr>
                    <w:top w:val="none" w:sz="0" w:space="0" w:color="auto"/>
                    <w:left w:val="none" w:sz="0" w:space="0" w:color="auto"/>
                    <w:bottom w:val="none" w:sz="0" w:space="0" w:color="auto"/>
                    <w:right w:val="none" w:sz="0" w:space="0" w:color="auto"/>
                  </w:divBdr>
                  <w:divsChild>
                    <w:div w:id="1327628939">
                      <w:marLeft w:val="0"/>
                      <w:marRight w:val="0"/>
                      <w:marTop w:val="0"/>
                      <w:marBottom w:val="0"/>
                      <w:divBdr>
                        <w:top w:val="none" w:sz="0" w:space="0" w:color="auto"/>
                        <w:left w:val="none" w:sz="0" w:space="0" w:color="auto"/>
                        <w:bottom w:val="none" w:sz="0" w:space="0" w:color="auto"/>
                        <w:right w:val="none" w:sz="0" w:space="0" w:color="auto"/>
                      </w:divBdr>
                      <w:divsChild>
                        <w:div w:id="311370386">
                          <w:marLeft w:val="0"/>
                          <w:marRight w:val="0"/>
                          <w:marTop w:val="0"/>
                          <w:marBottom w:val="0"/>
                          <w:divBdr>
                            <w:top w:val="none" w:sz="0" w:space="0" w:color="auto"/>
                            <w:left w:val="none" w:sz="0" w:space="0" w:color="auto"/>
                            <w:bottom w:val="none" w:sz="0" w:space="0" w:color="auto"/>
                            <w:right w:val="none" w:sz="0" w:space="0" w:color="auto"/>
                          </w:divBdr>
                          <w:divsChild>
                            <w:div w:id="422192381">
                              <w:marLeft w:val="570"/>
                              <w:marRight w:val="720"/>
                              <w:marTop w:val="120"/>
                              <w:marBottom w:val="120"/>
                              <w:divBdr>
                                <w:top w:val="none" w:sz="0" w:space="0" w:color="auto"/>
                                <w:left w:val="none" w:sz="0" w:space="0" w:color="auto"/>
                                <w:bottom w:val="none" w:sz="0" w:space="0" w:color="auto"/>
                                <w:right w:val="none" w:sz="0" w:space="0" w:color="auto"/>
                              </w:divBdr>
                              <w:divsChild>
                                <w:div w:id="1775125746">
                                  <w:marLeft w:val="0"/>
                                  <w:marRight w:val="0"/>
                                  <w:marTop w:val="0"/>
                                  <w:marBottom w:val="0"/>
                                  <w:divBdr>
                                    <w:top w:val="none" w:sz="0" w:space="0" w:color="auto"/>
                                    <w:left w:val="none" w:sz="0" w:space="0" w:color="auto"/>
                                    <w:bottom w:val="none" w:sz="0" w:space="0" w:color="auto"/>
                                    <w:right w:val="none" w:sz="0" w:space="0" w:color="auto"/>
                                  </w:divBdr>
                                  <w:divsChild>
                                    <w:div w:id="472530704">
                                      <w:marLeft w:val="0"/>
                                      <w:marRight w:val="0"/>
                                      <w:marTop w:val="0"/>
                                      <w:marBottom w:val="0"/>
                                      <w:divBdr>
                                        <w:top w:val="none" w:sz="0" w:space="0" w:color="auto"/>
                                        <w:left w:val="none" w:sz="0" w:space="0" w:color="auto"/>
                                        <w:bottom w:val="none" w:sz="0" w:space="0" w:color="auto"/>
                                        <w:right w:val="none" w:sz="0" w:space="0" w:color="auto"/>
                                      </w:divBdr>
                                      <w:divsChild>
                                        <w:div w:id="2089686580">
                                          <w:marLeft w:val="0"/>
                                          <w:marRight w:val="0"/>
                                          <w:marTop w:val="0"/>
                                          <w:marBottom w:val="0"/>
                                          <w:divBdr>
                                            <w:top w:val="none" w:sz="0" w:space="0" w:color="auto"/>
                                            <w:left w:val="none" w:sz="0" w:space="0" w:color="auto"/>
                                            <w:bottom w:val="none" w:sz="0" w:space="0" w:color="auto"/>
                                            <w:right w:val="none" w:sz="0" w:space="0" w:color="auto"/>
                                          </w:divBdr>
                                        </w:div>
                                        <w:div w:id="649406401">
                                          <w:marLeft w:val="0"/>
                                          <w:marRight w:val="0"/>
                                          <w:marTop w:val="0"/>
                                          <w:marBottom w:val="150"/>
                                          <w:divBdr>
                                            <w:top w:val="none" w:sz="0" w:space="0" w:color="auto"/>
                                            <w:left w:val="none" w:sz="0" w:space="0" w:color="auto"/>
                                            <w:bottom w:val="none" w:sz="0" w:space="0" w:color="auto"/>
                                            <w:right w:val="none" w:sz="0" w:space="0" w:color="auto"/>
                                          </w:divBdr>
                                          <w:divsChild>
                                            <w:div w:id="1495796490">
                                              <w:marLeft w:val="0"/>
                                              <w:marRight w:val="0"/>
                                              <w:marTop w:val="240"/>
                                              <w:marBottom w:val="240"/>
                                              <w:divBdr>
                                                <w:top w:val="single" w:sz="6" w:space="6" w:color="F2F2F2"/>
                                                <w:left w:val="none" w:sz="0" w:space="0" w:color="auto"/>
                                                <w:bottom w:val="single" w:sz="6" w:space="6" w:color="F2F2F2"/>
                                                <w:right w:val="none" w:sz="0" w:space="0" w:color="auto"/>
                                              </w:divBdr>
                                            </w:div>
                                            <w:div w:id="1595163066">
                                              <w:marLeft w:val="0"/>
                                              <w:marRight w:val="0"/>
                                              <w:marTop w:val="0"/>
                                              <w:marBottom w:val="0"/>
                                              <w:divBdr>
                                                <w:top w:val="none" w:sz="0" w:space="0" w:color="auto"/>
                                                <w:left w:val="none" w:sz="0" w:space="0" w:color="auto"/>
                                                <w:bottom w:val="none" w:sz="0" w:space="0" w:color="auto"/>
                                                <w:right w:val="none" w:sz="0" w:space="0" w:color="auto"/>
                                              </w:divBdr>
                                              <w:divsChild>
                                                <w:div w:id="144904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825483">
      <w:bodyDiv w:val="1"/>
      <w:marLeft w:val="0"/>
      <w:marRight w:val="0"/>
      <w:marTop w:val="0"/>
      <w:marBottom w:val="0"/>
      <w:divBdr>
        <w:top w:val="none" w:sz="0" w:space="0" w:color="auto"/>
        <w:left w:val="none" w:sz="0" w:space="0" w:color="auto"/>
        <w:bottom w:val="none" w:sz="0" w:space="0" w:color="auto"/>
        <w:right w:val="none" w:sz="0" w:space="0" w:color="auto"/>
      </w:divBdr>
    </w:div>
    <w:div w:id="1008408616">
      <w:bodyDiv w:val="1"/>
      <w:marLeft w:val="0"/>
      <w:marRight w:val="0"/>
      <w:marTop w:val="0"/>
      <w:marBottom w:val="0"/>
      <w:divBdr>
        <w:top w:val="none" w:sz="0" w:space="0" w:color="auto"/>
        <w:left w:val="none" w:sz="0" w:space="0" w:color="auto"/>
        <w:bottom w:val="none" w:sz="0" w:space="0" w:color="auto"/>
        <w:right w:val="none" w:sz="0" w:space="0" w:color="auto"/>
      </w:divBdr>
      <w:divsChild>
        <w:div w:id="510144880">
          <w:marLeft w:val="0"/>
          <w:marRight w:val="0"/>
          <w:marTop w:val="0"/>
          <w:marBottom w:val="0"/>
          <w:divBdr>
            <w:top w:val="none" w:sz="0" w:space="0" w:color="auto"/>
            <w:left w:val="none" w:sz="0" w:space="0" w:color="auto"/>
            <w:bottom w:val="none" w:sz="0" w:space="0" w:color="auto"/>
            <w:right w:val="none" w:sz="0" w:space="0" w:color="auto"/>
          </w:divBdr>
          <w:divsChild>
            <w:div w:id="1848447818">
              <w:marLeft w:val="0"/>
              <w:marRight w:val="0"/>
              <w:marTop w:val="0"/>
              <w:marBottom w:val="0"/>
              <w:divBdr>
                <w:top w:val="none" w:sz="0" w:space="0" w:color="auto"/>
                <w:left w:val="none" w:sz="0" w:space="0" w:color="auto"/>
                <w:bottom w:val="none" w:sz="0" w:space="0" w:color="auto"/>
                <w:right w:val="none" w:sz="0" w:space="0" w:color="auto"/>
              </w:divBdr>
              <w:divsChild>
                <w:div w:id="1997145385">
                  <w:marLeft w:val="0"/>
                  <w:marRight w:val="0"/>
                  <w:marTop w:val="0"/>
                  <w:marBottom w:val="0"/>
                  <w:divBdr>
                    <w:top w:val="none" w:sz="0" w:space="0" w:color="auto"/>
                    <w:left w:val="none" w:sz="0" w:space="0" w:color="auto"/>
                    <w:bottom w:val="none" w:sz="0" w:space="0" w:color="auto"/>
                    <w:right w:val="none" w:sz="0" w:space="0" w:color="auto"/>
                  </w:divBdr>
                  <w:divsChild>
                    <w:div w:id="496698184">
                      <w:marLeft w:val="0"/>
                      <w:marRight w:val="0"/>
                      <w:marTop w:val="300"/>
                      <w:marBottom w:val="600"/>
                      <w:divBdr>
                        <w:top w:val="none" w:sz="0" w:space="0" w:color="auto"/>
                        <w:left w:val="none" w:sz="0" w:space="0" w:color="auto"/>
                        <w:bottom w:val="none" w:sz="0" w:space="0" w:color="auto"/>
                        <w:right w:val="none" w:sz="0" w:space="0" w:color="auto"/>
                      </w:divBdr>
                      <w:divsChild>
                        <w:div w:id="950631680">
                          <w:marLeft w:val="0"/>
                          <w:marRight w:val="0"/>
                          <w:marTop w:val="0"/>
                          <w:marBottom w:val="0"/>
                          <w:divBdr>
                            <w:top w:val="none" w:sz="0" w:space="0" w:color="auto"/>
                            <w:left w:val="none" w:sz="0" w:space="0" w:color="auto"/>
                            <w:bottom w:val="none" w:sz="0" w:space="0" w:color="auto"/>
                            <w:right w:val="none" w:sz="0" w:space="0" w:color="auto"/>
                          </w:divBdr>
                          <w:divsChild>
                            <w:div w:id="1131172748">
                              <w:marLeft w:val="0"/>
                              <w:marRight w:val="0"/>
                              <w:marTop w:val="0"/>
                              <w:marBottom w:val="0"/>
                              <w:divBdr>
                                <w:top w:val="none" w:sz="0" w:space="0" w:color="auto"/>
                                <w:left w:val="none" w:sz="0" w:space="0" w:color="auto"/>
                                <w:bottom w:val="none" w:sz="0" w:space="0" w:color="auto"/>
                                <w:right w:val="none" w:sz="0" w:space="0" w:color="auto"/>
                              </w:divBdr>
                              <w:divsChild>
                                <w:div w:id="1475827837">
                                  <w:marLeft w:val="0"/>
                                  <w:marRight w:val="0"/>
                                  <w:marTop w:val="0"/>
                                  <w:marBottom w:val="0"/>
                                  <w:divBdr>
                                    <w:top w:val="none" w:sz="0" w:space="0" w:color="auto"/>
                                    <w:left w:val="none" w:sz="0" w:space="0" w:color="auto"/>
                                    <w:bottom w:val="none" w:sz="0" w:space="0" w:color="auto"/>
                                    <w:right w:val="none" w:sz="0" w:space="0" w:color="auto"/>
                                  </w:divBdr>
                                  <w:divsChild>
                                    <w:div w:id="995450956">
                                      <w:marLeft w:val="0"/>
                                      <w:marRight w:val="0"/>
                                      <w:marTop w:val="150"/>
                                      <w:marBottom w:val="0"/>
                                      <w:divBdr>
                                        <w:top w:val="none" w:sz="0" w:space="0" w:color="auto"/>
                                        <w:left w:val="none" w:sz="0" w:space="0" w:color="auto"/>
                                        <w:bottom w:val="none" w:sz="0" w:space="0" w:color="auto"/>
                                        <w:right w:val="none" w:sz="0" w:space="0" w:color="auto"/>
                                      </w:divBdr>
                                      <w:divsChild>
                                        <w:div w:id="1218205090">
                                          <w:marLeft w:val="0"/>
                                          <w:marRight w:val="0"/>
                                          <w:marTop w:val="0"/>
                                          <w:marBottom w:val="0"/>
                                          <w:divBdr>
                                            <w:top w:val="none" w:sz="0" w:space="0" w:color="auto"/>
                                            <w:left w:val="none" w:sz="0" w:space="0" w:color="auto"/>
                                            <w:bottom w:val="none" w:sz="0" w:space="0" w:color="auto"/>
                                            <w:right w:val="none" w:sz="0" w:space="0" w:color="auto"/>
                                          </w:divBdr>
                                          <w:divsChild>
                                            <w:div w:id="1938782265">
                                              <w:marLeft w:val="0"/>
                                              <w:marRight w:val="0"/>
                                              <w:marTop w:val="0"/>
                                              <w:marBottom w:val="0"/>
                                              <w:divBdr>
                                                <w:top w:val="none" w:sz="0" w:space="0" w:color="auto"/>
                                                <w:left w:val="none" w:sz="0" w:space="0" w:color="auto"/>
                                                <w:bottom w:val="none" w:sz="0" w:space="0" w:color="auto"/>
                                                <w:right w:val="none" w:sz="0" w:space="0" w:color="auto"/>
                                              </w:divBdr>
                                              <w:divsChild>
                                                <w:div w:id="2540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487387">
      <w:bodyDiv w:val="1"/>
      <w:marLeft w:val="0"/>
      <w:marRight w:val="0"/>
      <w:marTop w:val="0"/>
      <w:marBottom w:val="0"/>
      <w:divBdr>
        <w:top w:val="none" w:sz="0" w:space="0" w:color="auto"/>
        <w:left w:val="none" w:sz="0" w:space="0" w:color="auto"/>
        <w:bottom w:val="none" w:sz="0" w:space="0" w:color="auto"/>
        <w:right w:val="none" w:sz="0" w:space="0" w:color="auto"/>
      </w:divBdr>
      <w:divsChild>
        <w:div w:id="590091924">
          <w:marLeft w:val="0"/>
          <w:marRight w:val="0"/>
          <w:marTop w:val="0"/>
          <w:marBottom w:val="450"/>
          <w:divBdr>
            <w:top w:val="none" w:sz="0" w:space="0" w:color="auto"/>
            <w:left w:val="none" w:sz="0" w:space="0" w:color="auto"/>
            <w:bottom w:val="none" w:sz="0" w:space="0" w:color="auto"/>
            <w:right w:val="none" w:sz="0" w:space="0" w:color="auto"/>
          </w:divBdr>
          <w:divsChild>
            <w:div w:id="113483782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08754068">
      <w:bodyDiv w:val="1"/>
      <w:marLeft w:val="0"/>
      <w:marRight w:val="0"/>
      <w:marTop w:val="0"/>
      <w:marBottom w:val="0"/>
      <w:divBdr>
        <w:top w:val="none" w:sz="0" w:space="0" w:color="auto"/>
        <w:left w:val="none" w:sz="0" w:space="0" w:color="auto"/>
        <w:bottom w:val="none" w:sz="0" w:space="0" w:color="auto"/>
        <w:right w:val="none" w:sz="0" w:space="0" w:color="auto"/>
      </w:divBdr>
      <w:divsChild>
        <w:div w:id="663557987">
          <w:marLeft w:val="0"/>
          <w:marRight w:val="0"/>
          <w:marTop w:val="0"/>
          <w:marBottom w:val="0"/>
          <w:divBdr>
            <w:top w:val="none" w:sz="0" w:space="0" w:color="auto"/>
            <w:left w:val="none" w:sz="0" w:space="0" w:color="auto"/>
            <w:bottom w:val="none" w:sz="0" w:space="0" w:color="auto"/>
            <w:right w:val="none" w:sz="0" w:space="0" w:color="auto"/>
          </w:divBdr>
          <w:divsChild>
            <w:div w:id="1565676394">
              <w:marLeft w:val="0"/>
              <w:marRight w:val="0"/>
              <w:marTop w:val="0"/>
              <w:marBottom w:val="0"/>
              <w:divBdr>
                <w:top w:val="none" w:sz="0" w:space="0" w:color="auto"/>
                <w:left w:val="none" w:sz="0" w:space="0" w:color="auto"/>
                <w:bottom w:val="none" w:sz="0" w:space="0" w:color="auto"/>
                <w:right w:val="none" w:sz="0" w:space="0" w:color="auto"/>
              </w:divBdr>
              <w:divsChild>
                <w:div w:id="660428939">
                  <w:marLeft w:val="0"/>
                  <w:marRight w:val="0"/>
                  <w:marTop w:val="0"/>
                  <w:marBottom w:val="0"/>
                  <w:divBdr>
                    <w:top w:val="none" w:sz="0" w:space="0" w:color="auto"/>
                    <w:left w:val="none" w:sz="0" w:space="0" w:color="auto"/>
                    <w:bottom w:val="none" w:sz="0" w:space="0" w:color="auto"/>
                    <w:right w:val="none" w:sz="0" w:space="0" w:color="auto"/>
                  </w:divBdr>
                  <w:divsChild>
                    <w:div w:id="15473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22906">
      <w:bodyDiv w:val="1"/>
      <w:marLeft w:val="0"/>
      <w:marRight w:val="0"/>
      <w:marTop w:val="0"/>
      <w:marBottom w:val="0"/>
      <w:divBdr>
        <w:top w:val="none" w:sz="0" w:space="0" w:color="auto"/>
        <w:left w:val="none" w:sz="0" w:space="0" w:color="auto"/>
        <w:bottom w:val="none" w:sz="0" w:space="0" w:color="auto"/>
        <w:right w:val="none" w:sz="0" w:space="0" w:color="auto"/>
      </w:divBdr>
      <w:divsChild>
        <w:div w:id="417098289">
          <w:marLeft w:val="0"/>
          <w:marRight w:val="0"/>
          <w:marTop w:val="0"/>
          <w:marBottom w:val="0"/>
          <w:divBdr>
            <w:top w:val="none" w:sz="0" w:space="0" w:color="auto"/>
            <w:left w:val="none" w:sz="0" w:space="0" w:color="auto"/>
            <w:bottom w:val="none" w:sz="0" w:space="0" w:color="auto"/>
            <w:right w:val="none" w:sz="0" w:space="0" w:color="auto"/>
          </w:divBdr>
          <w:divsChild>
            <w:div w:id="1844662377">
              <w:marLeft w:val="0"/>
              <w:marRight w:val="0"/>
              <w:marTop w:val="0"/>
              <w:marBottom w:val="0"/>
              <w:divBdr>
                <w:top w:val="none" w:sz="0" w:space="0" w:color="auto"/>
                <w:left w:val="none" w:sz="0" w:space="0" w:color="auto"/>
                <w:bottom w:val="none" w:sz="0" w:space="0" w:color="auto"/>
                <w:right w:val="none" w:sz="0" w:space="0" w:color="auto"/>
              </w:divBdr>
            </w:div>
            <w:div w:id="2038651401">
              <w:marLeft w:val="0"/>
              <w:marRight w:val="0"/>
              <w:marTop w:val="0"/>
              <w:marBottom w:val="0"/>
              <w:divBdr>
                <w:top w:val="none" w:sz="0" w:space="0" w:color="auto"/>
                <w:left w:val="none" w:sz="0" w:space="0" w:color="auto"/>
                <w:bottom w:val="none" w:sz="0" w:space="0" w:color="auto"/>
                <w:right w:val="none" w:sz="0" w:space="0" w:color="auto"/>
              </w:divBdr>
            </w:div>
            <w:div w:id="1581132145">
              <w:marLeft w:val="0"/>
              <w:marRight w:val="0"/>
              <w:marTop w:val="0"/>
              <w:marBottom w:val="0"/>
              <w:divBdr>
                <w:top w:val="none" w:sz="0" w:space="0" w:color="auto"/>
                <w:left w:val="none" w:sz="0" w:space="0" w:color="auto"/>
                <w:bottom w:val="none" w:sz="0" w:space="0" w:color="auto"/>
                <w:right w:val="none" w:sz="0" w:space="0" w:color="auto"/>
              </w:divBdr>
              <w:divsChild>
                <w:div w:id="767043665">
                  <w:marLeft w:val="0"/>
                  <w:marRight w:val="0"/>
                  <w:marTop w:val="0"/>
                  <w:marBottom w:val="0"/>
                  <w:divBdr>
                    <w:top w:val="none" w:sz="0" w:space="0" w:color="auto"/>
                    <w:left w:val="none" w:sz="0" w:space="0" w:color="auto"/>
                    <w:bottom w:val="none" w:sz="0" w:space="0" w:color="auto"/>
                    <w:right w:val="none" w:sz="0" w:space="0" w:color="auto"/>
                  </w:divBdr>
                </w:div>
                <w:div w:id="1105493787">
                  <w:marLeft w:val="0"/>
                  <w:marRight w:val="0"/>
                  <w:marTop w:val="0"/>
                  <w:marBottom w:val="0"/>
                  <w:divBdr>
                    <w:top w:val="none" w:sz="0" w:space="0" w:color="auto"/>
                    <w:left w:val="none" w:sz="0" w:space="0" w:color="auto"/>
                    <w:bottom w:val="none" w:sz="0" w:space="0" w:color="auto"/>
                    <w:right w:val="none" w:sz="0" w:space="0" w:color="auto"/>
                  </w:divBdr>
                  <w:divsChild>
                    <w:div w:id="9934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7954">
              <w:marLeft w:val="0"/>
              <w:marRight w:val="0"/>
              <w:marTop w:val="0"/>
              <w:marBottom w:val="0"/>
              <w:divBdr>
                <w:top w:val="none" w:sz="0" w:space="0" w:color="auto"/>
                <w:left w:val="none" w:sz="0" w:space="0" w:color="auto"/>
                <w:bottom w:val="none" w:sz="0" w:space="0" w:color="auto"/>
                <w:right w:val="none" w:sz="0" w:space="0" w:color="auto"/>
              </w:divBdr>
            </w:div>
            <w:div w:id="1867869445">
              <w:marLeft w:val="0"/>
              <w:marRight w:val="0"/>
              <w:marTop w:val="0"/>
              <w:marBottom w:val="0"/>
              <w:divBdr>
                <w:top w:val="none" w:sz="0" w:space="0" w:color="auto"/>
                <w:left w:val="none" w:sz="0" w:space="0" w:color="auto"/>
                <w:bottom w:val="none" w:sz="0" w:space="0" w:color="auto"/>
                <w:right w:val="none" w:sz="0" w:space="0" w:color="auto"/>
              </w:divBdr>
              <w:divsChild>
                <w:div w:id="339936238">
                  <w:marLeft w:val="0"/>
                  <w:marRight w:val="0"/>
                  <w:marTop w:val="0"/>
                  <w:marBottom w:val="0"/>
                  <w:divBdr>
                    <w:top w:val="none" w:sz="0" w:space="0" w:color="auto"/>
                    <w:left w:val="none" w:sz="0" w:space="0" w:color="auto"/>
                    <w:bottom w:val="none" w:sz="0" w:space="0" w:color="auto"/>
                    <w:right w:val="none" w:sz="0" w:space="0" w:color="auto"/>
                  </w:divBdr>
                  <w:divsChild>
                    <w:div w:id="769811870">
                      <w:marLeft w:val="0"/>
                      <w:marRight w:val="0"/>
                      <w:marTop w:val="0"/>
                      <w:marBottom w:val="0"/>
                      <w:divBdr>
                        <w:top w:val="none" w:sz="0" w:space="0" w:color="auto"/>
                        <w:left w:val="none" w:sz="0" w:space="0" w:color="auto"/>
                        <w:bottom w:val="none" w:sz="0" w:space="0" w:color="auto"/>
                        <w:right w:val="none" w:sz="0" w:space="0" w:color="auto"/>
                      </w:divBdr>
                    </w:div>
                  </w:divsChild>
                </w:div>
                <w:div w:id="1325430691">
                  <w:marLeft w:val="0"/>
                  <w:marRight w:val="0"/>
                  <w:marTop w:val="0"/>
                  <w:marBottom w:val="0"/>
                  <w:divBdr>
                    <w:top w:val="none" w:sz="0" w:space="0" w:color="auto"/>
                    <w:left w:val="none" w:sz="0" w:space="0" w:color="auto"/>
                    <w:bottom w:val="none" w:sz="0" w:space="0" w:color="auto"/>
                    <w:right w:val="none" w:sz="0" w:space="0" w:color="auto"/>
                  </w:divBdr>
                  <w:divsChild>
                    <w:div w:id="1230074136">
                      <w:marLeft w:val="0"/>
                      <w:marRight w:val="0"/>
                      <w:marTop w:val="0"/>
                      <w:marBottom w:val="0"/>
                      <w:divBdr>
                        <w:top w:val="none" w:sz="0" w:space="0" w:color="auto"/>
                        <w:left w:val="none" w:sz="0" w:space="0" w:color="auto"/>
                        <w:bottom w:val="none" w:sz="0" w:space="0" w:color="auto"/>
                        <w:right w:val="none" w:sz="0" w:space="0" w:color="auto"/>
                      </w:divBdr>
                    </w:div>
                    <w:div w:id="1593002622">
                      <w:marLeft w:val="0"/>
                      <w:marRight w:val="0"/>
                      <w:marTop w:val="0"/>
                      <w:marBottom w:val="0"/>
                      <w:divBdr>
                        <w:top w:val="none" w:sz="0" w:space="0" w:color="auto"/>
                        <w:left w:val="none" w:sz="0" w:space="0" w:color="auto"/>
                        <w:bottom w:val="none" w:sz="0" w:space="0" w:color="auto"/>
                        <w:right w:val="none" w:sz="0" w:space="0" w:color="auto"/>
                      </w:divBdr>
                      <w:divsChild>
                        <w:div w:id="1312826230">
                          <w:marLeft w:val="0"/>
                          <w:marRight w:val="0"/>
                          <w:marTop w:val="0"/>
                          <w:marBottom w:val="0"/>
                          <w:divBdr>
                            <w:top w:val="none" w:sz="0" w:space="0" w:color="auto"/>
                            <w:left w:val="none" w:sz="0" w:space="0" w:color="auto"/>
                            <w:bottom w:val="none" w:sz="0" w:space="0" w:color="auto"/>
                            <w:right w:val="none" w:sz="0" w:space="0" w:color="auto"/>
                          </w:divBdr>
                        </w:div>
                        <w:div w:id="3436911">
                          <w:marLeft w:val="0"/>
                          <w:marRight w:val="0"/>
                          <w:marTop w:val="0"/>
                          <w:marBottom w:val="0"/>
                          <w:divBdr>
                            <w:top w:val="none" w:sz="0" w:space="0" w:color="auto"/>
                            <w:left w:val="none" w:sz="0" w:space="0" w:color="auto"/>
                            <w:bottom w:val="none" w:sz="0" w:space="0" w:color="auto"/>
                            <w:right w:val="none" w:sz="0" w:space="0" w:color="auto"/>
                          </w:divBdr>
                        </w:div>
                        <w:div w:id="12979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1968">
                  <w:marLeft w:val="0"/>
                  <w:marRight w:val="0"/>
                  <w:marTop w:val="0"/>
                  <w:marBottom w:val="0"/>
                  <w:divBdr>
                    <w:top w:val="none" w:sz="0" w:space="0" w:color="auto"/>
                    <w:left w:val="none" w:sz="0" w:space="0" w:color="auto"/>
                    <w:bottom w:val="none" w:sz="0" w:space="0" w:color="auto"/>
                    <w:right w:val="none" w:sz="0" w:space="0" w:color="auto"/>
                  </w:divBdr>
                </w:div>
                <w:div w:id="1113522657">
                  <w:marLeft w:val="0"/>
                  <w:marRight w:val="0"/>
                  <w:marTop w:val="0"/>
                  <w:marBottom w:val="0"/>
                  <w:divBdr>
                    <w:top w:val="none" w:sz="0" w:space="0" w:color="auto"/>
                    <w:left w:val="none" w:sz="0" w:space="0" w:color="auto"/>
                    <w:bottom w:val="none" w:sz="0" w:space="0" w:color="auto"/>
                    <w:right w:val="none" w:sz="0" w:space="0" w:color="auto"/>
                  </w:divBdr>
                </w:div>
                <w:div w:id="556598667">
                  <w:marLeft w:val="0"/>
                  <w:marRight w:val="0"/>
                  <w:marTop w:val="0"/>
                  <w:marBottom w:val="0"/>
                  <w:divBdr>
                    <w:top w:val="none" w:sz="0" w:space="0" w:color="auto"/>
                    <w:left w:val="none" w:sz="0" w:space="0" w:color="auto"/>
                    <w:bottom w:val="none" w:sz="0" w:space="0" w:color="auto"/>
                    <w:right w:val="none" w:sz="0" w:space="0" w:color="auto"/>
                  </w:divBdr>
                </w:div>
                <w:div w:id="883565066">
                  <w:marLeft w:val="0"/>
                  <w:marRight w:val="0"/>
                  <w:marTop w:val="0"/>
                  <w:marBottom w:val="0"/>
                  <w:divBdr>
                    <w:top w:val="none" w:sz="0" w:space="0" w:color="auto"/>
                    <w:left w:val="none" w:sz="0" w:space="0" w:color="auto"/>
                    <w:bottom w:val="none" w:sz="0" w:space="0" w:color="auto"/>
                    <w:right w:val="none" w:sz="0" w:space="0" w:color="auto"/>
                  </w:divBdr>
                </w:div>
              </w:divsChild>
            </w:div>
            <w:div w:id="1634170612">
              <w:marLeft w:val="0"/>
              <w:marRight w:val="0"/>
              <w:marTop w:val="0"/>
              <w:marBottom w:val="0"/>
              <w:divBdr>
                <w:top w:val="none" w:sz="0" w:space="0" w:color="auto"/>
                <w:left w:val="none" w:sz="0" w:space="0" w:color="auto"/>
                <w:bottom w:val="none" w:sz="0" w:space="0" w:color="auto"/>
                <w:right w:val="none" w:sz="0" w:space="0" w:color="auto"/>
              </w:divBdr>
              <w:divsChild>
                <w:div w:id="2059625678">
                  <w:marLeft w:val="0"/>
                  <w:marRight w:val="0"/>
                  <w:marTop w:val="0"/>
                  <w:marBottom w:val="0"/>
                  <w:divBdr>
                    <w:top w:val="none" w:sz="0" w:space="0" w:color="auto"/>
                    <w:left w:val="none" w:sz="0" w:space="0" w:color="auto"/>
                    <w:bottom w:val="none" w:sz="0" w:space="0" w:color="auto"/>
                    <w:right w:val="none" w:sz="0" w:space="0" w:color="auto"/>
                  </w:divBdr>
                </w:div>
                <w:div w:id="1552768972">
                  <w:marLeft w:val="0"/>
                  <w:marRight w:val="0"/>
                  <w:marTop w:val="0"/>
                  <w:marBottom w:val="0"/>
                  <w:divBdr>
                    <w:top w:val="none" w:sz="0" w:space="0" w:color="auto"/>
                    <w:left w:val="none" w:sz="0" w:space="0" w:color="auto"/>
                    <w:bottom w:val="none" w:sz="0" w:space="0" w:color="auto"/>
                    <w:right w:val="none" w:sz="0" w:space="0" w:color="auto"/>
                  </w:divBdr>
                </w:div>
                <w:div w:id="954946191">
                  <w:marLeft w:val="0"/>
                  <w:marRight w:val="0"/>
                  <w:marTop w:val="0"/>
                  <w:marBottom w:val="0"/>
                  <w:divBdr>
                    <w:top w:val="none" w:sz="0" w:space="0" w:color="auto"/>
                    <w:left w:val="none" w:sz="0" w:space="0" w:color="auto"/>
                    <w:bottom w:val="none" w:sz="0" w:space="0" w:color="auto"/>
                    <w:right w:val="none" w:sz="0" w:space="0" w:color="auto"/>
                  </w:divBdr>
                </w:div>
              </w:divsChild>
            </w:div>
            <w:div w:id="1877696676">
              <w:marLeft w:val="0"/>
              <w:marRight w:val="0"/>
              <w:marTop w:val="0"/>
              <w:marBottom w:val="0"/>
              <w:divBdr>
                <w:top w:val="none" w:sz="0" w:space="0" w:color="auto"/>
                <w:left w:val="none" w:sz="0" w:space="0" w:color="auto"/>
                <w:bottom w:val="none" w:sz="0" w:space="0" w:color="auto"/>
                <w:right w:val="none" w:sz="0" w:space="0" w:color="auto"/>
              </w:divBdr>
            </w:div>
          </w:divsChild>
        </w:div>
        <w:div w:id="218899611">
          <w:marLeft w:val="0"/>
          <w:marRight w:val="0"/>
          <w:marTop w:val="0"/>
          <w:marBottom w:val="0"/>
          <w:divBdr>
            <w:top w:val="none" w:sz="0" w:space="0" w:color="auto"/>
            <w:left w:val="none" w:sz="0" w:space="0" w:color="auto"/>
            <w:bottom w:val="none" w:sz="0" w:space="0" w:color="auto"/>
            <w:right w:val="none" w:sz="0" w:space="0" w:color="auto"/>
          </w:divBdr>
          <w:divsChild>
            <w:div w:id="268857816">
              <w:marLeft w:val="0"/>
              <w:marRight w:val="0"/>
              <w:marTop w:val="0"/>
              <w:marBottom w:val="0"/>
              <w:divBdr>
                <w:top w:val="none" w:sz="0" w:space="0" w:color="auto"/>
                <w:left w:val="none" w:sz="0" w:space="0" w:color="auto"/>
                <w:bottom w:val="none" w:sz="0" w:space="0" w:color="auto"/>
                <w:right w:val="none" w:sz="0" w:space="0" w:color="auto"/>
              </w:divBdr>
            </w:div>
          </w:divsChild>
        </w:div>
        <w:div w:id="543522736">
          <w:marLeft w:val="0"/>
          <w:marRight w:val="0"/>
          <w:marTop w:val="0"/>
          <w:marBottom w:val="0"/>
          <w:divBdr>
            <w:top w:val="none" w:sz="0" w:space="0" w:color="auto"/>
            <w:left w:val="none" w:sz="0" w:space="0" w:color="auto"/>
            <w:bottom w:val="none" w:sz="0" w:space="0" w:color="auto"/>
            <w:right w:val="none" w:sz="0" w:space="0" w:color="auto"/>
          </w:divBdr>
          <w:divsChild>
            <w:div w:id="612903016">
              <w:marLeft w:val="0"/>
              <w:marRight w:val="0"/>
              <w:marTop w:val="0"/>
              <w:marBottom w:val="0"/>
              <w:divBdr>
                <w:top w:val="none" w:sz="0" w:space="0" w:color="auto"/>
                <w:left w:val="none" w:sz="0" w:space="0" w:color="auto"/>
                <w:bottom w:val="none" w:sz="0" w:space="0" w:color="auto"/>
                <w:right w:val="none" w:sz="0" w:space="0" w:color="auto"/>
              </w:divBdr>
              <w:divsChild>
                <w:div w:id="14691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3678">
      <w:bodyDiv w:val="1"/>
      <w:marLeft w:val="0"/>
      <w:marRight w:val="0"/>
      <w:marTop w:val="0"/>
      <w:marBottom w:val="0"/>
      <w:divBdr>
        <w:top w:val="none" w:sz="0" w:space="0" w:color="auto"/>
        <w:left w:val="none" w:sz="0" w:space="0" w:color="auto"/>
        <w:bottom w:val="none" w:sz="0" w:space="0" w:color="auto"/>
        <w:right w:val="none" w:sz="0" w:space="0" w:color="auto"/>
      </w:divBdr>
      <w:divsChild>
        <w:div w:id="218830985">
          <w:marLeft w:val="0"/>
          <w:marRight w:val="0"/>
          <w:marTop w:val="0"/>
          <w:marBottom w:val="0"/>
          <w:divBdr>
            <w:top w:val="none" w:sz="0" w:space="0" w:color="auto"/>
            <w:left w:val="none" w:sz="0" w:space="0" w:color="auto"/>
            <w:bottom w:val="none" w:sz="0" w:space="0" w:color="auto"/>
            <w:right w:val="none" w:sz="0" w:space="0" w:color="auto"/>
          </w:divBdr>
          <w:divsChild>
            <w:div w:id="1202784927">
              <w:marLeft w:val="2"/>
              <w:marRight w:val="2"/>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sChild>
                    <w:div w:id="594434588">
                      <w:marLeft w:val="0"/>
                      <w:marRight w:val="0"/>
                      <w:marTop w:val="0"/>
                      <w:marBottom w:val="0"/>
                      <w:divBdr>
                        <w:top w:val="none" w:sz="0" w:space="0" w:color="auto"/>
                        <w:left w:val="none" w:sz="0" w:space="0" w:color="auto"/>
                        <w:bottom w:val="none" w:sz="0" w:space="0" w:color="auto"/>
                        <w:right w:val="none" w:sz="0" w:space="0" w:color="auto"/>
                      </w:divBdr>
                      <w:divsChild>
                        <w:div w:id="481889455">
                          <w:marLeft w:val="0"/>
                          <w:marRight w:val="0"/>
                          <w:marTop w:val="0"/>
                          <w:marBottom w:val="0"/>
                          <w:divBdr>
                            <w:top w:val="none" w:sz="0" w:space="0" w:color="auto"/>
                            <w:left w:val="none" w:sz="0" w:space="0" w:color="auto"/>
                            <w:bottom w:val="none" w:sz="0" w:space="0" w:color="auto"/>
                            <w:right w:val="none" w:sz="0" w:space="0" w:color="auto"/>
                          </w:divBdr>
                          <w:divsChild>
                            <w:div w:id="756705782">
                              <w:marLeft w:val="0"/>
                              <w:marRight w:val="0"/>
                              <w:marTop w:val="0"/>
                              <w:marBottom w:val="0"/>
                              <w:divBdr>
                                <w:top w:val="none" w:sz="0" w:space="0" w:color="auto"/>
                                <w:left w:val="none" w:sz="0" w:space="0" w:color="auto"/>
                                <w:bottom w:val="none" w:sz="0" w:space="0" w:color="auto"/>
                                <w:right w:val="none" w:sz="0" w:space="0" w:color="auto"/>
                              </w:divBdr>
                              <w:divsChild>
                                <w:div w:id="198593082">
                                  <w:marLeft w:val="0"/>
                                  <w:marRight w:val="0"/>
                                  <w:marTop w:val="0"/>
                                  <w:marBottom w:val="0"/>
                                  <w:divBdr>
                                    <w:top w:val="none" w:sz="0" w:space="0" w:color="auto"/>
                                    <w:left w:val="none" w:sz="0" w:space="0" w:color="auto"/>
                                    <w:bottom w:val="none" w:sz="0" w:space="0" w:color="auto"/>
                                    <w:right w:val="none" w:sz="0" w:space="0" w:color="auto"/>
                                  </w:divBdr>
                                  <w:divsChild>
                                    <w:div w:id="301011282">
                                      <w:marLeft w:val="0"/>
                                      <w:marRight w:val="0"/>
                                      <w:marTop w:val="0"/>
                                      <w:marBottom w:val="0"/>
                                      <w:divBdr>
                                        <w:top w:val="none" w:sz="0" w:space="0" w:color="auto"/>
                                        <w:left w:val="none" w:sz="0" w:space="0" w:color="auto"/>
                                        <w:bottom w:val="none" w:sz="0" w:space="0" w:color="auto"/>
                                        <w:right w:val="none" w:sz="0" w:space="0" w:color="auto"/>
                                      </w:divBdr>
                                      <w:divsChild>
                                        <w:div w:id="1053888001">
                                          <w:marLeft w:val="0"/>
                                          <w:marRight w:val="0"/>
                                          <w:marTop w:val="0"/>
                                          <w:marBottom w:val="0"/>
                                          <w:divBdr>
                                            <w:top w:val="none" w:sz="0" w:space="0" w:color="auto"/>
                                            <w:left w:val="none" w:sz="0" w:space="0" w:color="auto"/>
                                            <w:bottom w:val="none" w:sz="0" w:space="0" w:color="auto"/>
                                            <w:right w:val="none" w:sz="0" w:space="0" w:color="auto"/>
                                          </w:divBdr>
                                          <w:divsChild>
                                            <w:div w:id="1071733511">
                                              <w:marLeft w:val="0"/>
                                              <w:marRight w:val="0"/>
                                              <w:marTop w:val="0"/>
                                              <w:marBottom w:val="0"/>
                                              <w:divBdr>
                                                <w:top w:val="none" w:sz="0" w:space="0" w:color="auto"/>
                                                <w:left w:val="none" w:sz="0" w:space="0" w:color="auto"/>
                                                <w:bottom w:val="none" w:sz="0" w:space="0" w:color="auto"/>
                                                <w:right w:val="none" w:sz="0" w:space="0" w:color="auto"/>
                                              </w:divBdr>
                                            </w:div>
                                          </w:divsChild>
                                        </w:div>
                                        <w:div w:id="286470757">
                                          <w:marLeft w:val="0"/>
                                          <w:marRight w:val="0"/>
                                          <w:marTop w:val="0"/>
                                          <w:marBottom w:val="0"/>
                                          <w:divBdr>
                                            <w:top w:val="none" w:sz="0" w:space="0" w:color="auto"/>
                                            <w:left w:val="none" w:sz="0" w:space="0" w:color="auto"/>
                                            <w:bottom w:val="none" w:sz="0" w:space="0" w:color="auto"/>
                                            <w:right w:val="none" w:sz="0" w:space="0" w:color="auto"/>
                                          </w:divBdr>
                                          <w:divsChild>
                                            <w:div w:id="1258518693">
                                              <w:marLeft w:val="0"/>
                                              <w:marRight w:val="0"/>
                                              <w:marTop w:val="0"/>
                                              <w:marBottom w:val="0"/>
                                              <w:divBdr>
                                                <w:top w:val="none" w:sz="0" w:space="0" w:color="auto"/>
                                                <w:left w:val="none" w:sz="0" w:space="0" w:color="auto"/>
                                                <w:bottom w:val="none" w:sz="0" w:space="0" w:color="auto"/>
                                                <w:right w:val="none" w:sz="0" w:space="0" w:color="auto"/>
                                              </w:divBdr>
                                            </w:div>
                                          </w:divsChild>
                                        </w:div>
                                        <w:div w:id="210073834">
                                          <w:marLeft w:val="0"/>
                                          <w:marRight w:val="0"/>
                                          <w:marTop w:val="0"/>
                                          <w:marBottom w:val="0"/>
                                          <w:divBdr>
                                            <w:top w:val="none" w:sz="0" w:space="0" w:color="auto"/>
                                            <w:left w:val="none" w:sz="0" w:space="0" w:color="auto"/>
                                            <w:bottom w:val="none" w:sz="0" w:space="0" w:color="auto"/>
                                            <w:right w:val="none" w:sz="0" w:space="0" w:color="auto"/>
                                          </w:divBdr>
                                          <w:divsChild>
                                            <w:div w:id="1618021264">
                                              <w:marLeft w:val="0"/>
                                              <w:marRight w:val="0"/>
                                              <w:marTop w:val="0"/>
                                              <w:marBottom w:val="0"/>
                                              <w:divBdr>
                                                <w:top w:val="none" w:sz="0" w:space="0" w:color="auto"/>
                                                <w:left w:val="none" w:sz="0" w:space="0" w:color="auto"/>
                                                <w:bottom w:val="none" w:sz="0" w:space="0" w:color="auto"/>
                                                <w:right w:val="none" w:sz="0" w:space="0" w:color="auto"/>
                                              </w:divBdr>
                                            </w:div>
                                          </w:divsChild>
                                        </w:div>
                                        <w:div w:id="1726222594">
                                          <w:marLeft w:val="0"/>
                                          <w:marRight w:val="0"/>
                                          <w:marTop w:val="0"/>
                                          <w:marBottom w:val="0"/>
                                          <w:divBdr>
                                            <w:top w:val="none" w:sz="0" w:space="0" w:color="auto"/>
                                            <w:left w:val="none" w:sz="0" w:space="0" w:color="auto"/>
                                            <w:bottom w:val="none" w:sz="0" w:space="0" w:color="auto"/>
                                            <w:right w:val="none" w:sz="0" w:space="0" w:color="auto"/>
                                          </w:divBdr>
                                          <w:divsChild>
                                            <w:div w:id="15483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255464">
      <w:bodyDiv w:val="1"/>
      <w:marLeft w:val="0"/>
      <w:marRight w:val="0"/>
      <w:marTop w:val="0"/>
      <w:marBottom w:val="0"/>
      <w:divBdr>
        <w:top w:val="none" w:sz="0" w:space="0" w:color="auto"/>
        <w:left w:val="none" w:sz="0" w:space="0" w:color="auto"/>
        <w:bottom w:val="none" w:sz="0" w:space="0" w:color="auto"/>
        <w:right w:val="none" w:sz="0" w:space="0" w:color="auto"/>
      </w:divBdr>
    </w:div>
    <w:div w:id="1011881526">
      <w:bodyDiv w:val="1"/>
      <w:marLeft w:val="0"/>
      <w:marRight w:val="0"/>
      <w:marTop w:val="0"/>
      <w:marBottom w:val="0"/>
      <w:divBdr>
        <w:top w:val="none" w:sz="0" w:space="0" w:color="auto"/>
        <w:left w:val="none" w:sz="0" w:space="0" w:color="auto"/>
        <w:bottom w:val="none" w:sz="0" w:space="0" w:color="auto"/>
        <w:right w:val="none" w:sz="0" w:space="0" w:color="auto"/>
      </w:divBdr>
    </w:div>
    <w:div w:id="1012534108">
      <w:bodyDiv w:val="1"/>
      <w:marLeft w:val="0"/>
      <w:marRight w:val="0"/>
      <w:marTop w:val="0"/>
      <w:marBottom w:val="0"/>
      <w:divBdr>
        <w:top w:val="none" w:sz="0" w:space="0" w:color="auto"/>
        <w:left w:val="none" w:sz="0" w:space="0" w:color="auto"/>
        <w:bottom w:val="none" w:sz="0" w:space="0" w:color="auto"/>
        <w:right w:val="none" w:sz="0" w:space="0" w:color="auto"/>
      </w:divBdr>
      <w:divsChild>
        <w:div w:id="869025291">
          <w:marLeft w:val="0"/>
          <w:marRight w:val="0"/>
          <w:marTop w:val="0"/>
          <w:marBottom w:val="0"/>
          <w:divBdr>
            <w:top w:val="none" w:sz="0" w:space="0" w:color="auto"/>
            <w:left w:val="none" w:sz="0" w:space="0" w:color="auto"/>
            <w:bottom w:val="none" w:sz="0" w:space="0" w:color="auto"/>
            <w:right w:val="none" w:sz="0" w:space="0" w:color="auto"/>
          </w:divBdr>
          <w:divsChild>
            <w:div w:id="54285833">
              <w:marLeft w:val="0"/>
              <w:marRight w:val="0"/>
              <w:marTop w:val="0"/>
              <w:marBottom w:val="0"/>
              <w:divBdr>
                <w:top w:val="none" w:sz="0" w:space="0" w:color="auto"/>
                <w:left w:val="none" w:sz="0" w:space="0" w:color="auto"/>
                <w:bottom w:val="none" w:sz="0" w:space="0" w:color="auto"/>
                <w:right w:val="none" w:sz="0" w:space="0" w:color="auto"/>
              </w:divBdr>
              <w:divsChild>
                <w:div w:id="976257023">
                  <w:marLeft w:val="0"/>
                  <w:marRight w:val="0"/>
                  <w:marTop w:val="0"/>
                  <w:marBottom w:val="0"/>
                  <w:divBdr>
                    <w:top w:val="none" w:sz="0" w:space="0" w:color="auto"/>
                    <w:left w:val="none" w:sz="0" w:space="0" w:color="auto"/>
                    <w:bottom w:val="none" w:sz="0" w:space="0" w:color="auto"/>
                    <w:right w:val="none" w:sz="0" w:space="0" w:color="auto"/>
                  </w:divBdr>
                  <w:divsChild>
                    <w:div w:id="469634888">
                      <w:marLeft w:val="0"/>
                      <w:marRight w:val="0"/>
                      <w:marTop w:val="0"/>
                      <w:marBottom w:val="0"/>
                      <w:divBdr>
                        <w:top w:val="none" w:sz="0" w:space="0" w:color="auto"/>
                        <w:left w:val="none" w:sz="0" w:space="0" w:color="auto"/>
                        <w:bottom w:val="none" w:sz="0" w:space="0" w:color="auto"/>
                        <w:right w:val="none" w:sz="0" w:space="0" w:color="auto"/>
                      </w:divBdr>
                      <w:divsChild>
                        <w:div w:id="3372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218582">
      <w:bodyDiv w:val="1"/>
      <w:marLeft w:val="0"/>
      <w:marRight w:val="0"/>
      <w:marTop w:val="0"/>
      <w:marBottom w:val="0"/>
      <w:divBdr>
        <w:top w:val="none" w:sz="0" w:space="0" w:color="auto"/>
        <w:left w:val="none" w:sz="0" w:space="0" w:color="auto"/>
        <w:bottom w:val="none" w:sz="0" w:space="0" w:color="auto"/>
        <w:right w:val="none" w:sz="0" w:space="0" w:color="auto"/>
      </w:divBdr>
      <w:divsChild>
        <w:div w:id="1734964317">
          <w:marLeft w:val="0"/>
          <w:marRight w:val="0"/>
          <w:marTop w:val="150"/>
          <w:marBottom w:val="0"/>
          <w:divBdr>
            <w:top w:val="none" w:sz="0" w:space="0" w:color="auto"/>
            <w:left w:val="none" w:sz="0" w:space="0" w:color="auto"/>
            <w:bottom w:val="none" w:sz="0" w:space="0" w:color="auto"/>
            <w:right w:val="none" w:sz="0" w:space="0" w:color="auto"/>
          </w:divBdr>
          <w:divsChild>
            <w:div w:id="1902986584">
              <w:marLeft w:val="2"/>
              <w:marRight w:val="2"/>
              <w:marTop w:val="0"/>
              <w:marBottom w:val="0"/>
              <w:divBdr>
                <w:top w:val="none" w:sz="0" w:space="0" w:color="auto"/>
                <w:left w:val="none" w:sz="0" w:space="0" w:color="auto"/>
                <w:bottom w:val="none" w:sz="0" w:space="0" w:color="auto"/>
                <w:right w:val="none" w:sz="0" w:space="0" w:color="auto"/>
              </w:divBdr>
              <w:divsChild>
                <w:div w:id="2147114190">
                  <w:marLeft w:val="0"/>
                  <w:marRight w:val="0"/>
                  <w:marTop w:val="0"/>
                  <w:marBottom w:val="0"/>
                  <w:divBdr>
                    <w:top w:val="none" w:sz="0" w:space="0" w:color="auto"/>
                    <w:left w:val="none" w:sz="0" w:space="0" w:color="auto"/>
                    <w:bottom w:val="none" w:sz="0" w:space="0" w:color="auto"/>
                    <w:right w:val="none" w:sz="0" w:space="0" w:color="auto"/>
                  </w:divBdr>
                  <w:divsChild>
                    <w:div w:id="1812675938">
                      <w:marLeft w:val="0"/>
                      <w:marRight w:val="0"/>
                      <w:marTop w:val="0"/>
                      <w:marBottom w:val="0"/>
                      <w:divBdr>
                        <w:top w:val="none" w:sz="0" w:space="0" w:color="auto"/>
                        <w:left w:val="none" w:sz="0" w:space="0" w:color="auto"/>
                        <w:bottom w:val="none" w:sz="0" w:space="0" w:color="auto"/>
                        <w:right w:val="none" w:sz="0" w:space="0" w:color="auto"/>
                      </w:divBdr>
                      <w:divsChild>
                        <w:div w:id="1355224992">
                          <w:marLeft w:val="0"/>
                          <w:marRight w:val="0"/>
                          <w:marTop w:val="0"/>
                          <w:marBottom w:val="0"/>
                          <w:divBdr>
                            <w:top w:val="none" w:sz="0" w:space="0" w:color="auto"/>
                            <w:left w:val="none" w:sz="0" w:space="0" w:color="auto"/>
                            <w:bottom w:val="none" w:sz="0" w:space="0" w:color="auto"/>
                            <w:right w:val="none" w:sz="0" w:space="0" w:color="auto"/>
                          </w:divBdr>
                          <w:divsChild>
                            <w:div w:id="1773622220">
                              <w:marLeft w:val="0"/>
                              <w:marRight w:val="0"/>
                              <w:marTop w:val="0"/>
                              <w:marBottom w:val="0"/>
                              <w:divBdr>
                                <w:top w:val="none" w:sz="0" w:space="0" w:color="auto"/>
                                <w:left w:val="none" w:sz="0" w:space="0" w:color="auto"/>
                                <w:bottom w:val="none" w:sz="0" w:space="0" w:color="auto"/>
                                <w:right w:val="none" w:sz="0" w:space="0" w:color="auto"/>
                              </w:divBdr>
                              <w:divsChild>
                                <w:div w:id="1721514274">
                                  <w:marLeft w:val="0"/>
                                  <w:marRight w:val="0"/>
                                  <w:marTop w:val="0"/>
                                  <w:marBottom w:val="0"/>
                                  <w:divBdr>
                                    <w:top w:val="none" w:sz="0" w:space="0" w:color="auto"/>
                                    <w:left w:val="none" w:sz="0" w:space="0" w:color="auto"/>
                                    <w:bottom w:val="none" w:sz="0" w:space="0" w:color="auto"/>
                                    <w:right w:val="none" w:sz="0" w:space="0" w:color="auto"/>
                                  </w:divBdr>
                                  <w:divsChild>
                                    <w:div w:id="2099517357">
                                      <w:marLeft w:val="0"/>
                                      <w:marRight w:val="0"/>
                                      <w:marTop w:val="0"/>
                                      <w:marBottom w:val="0"/>
                                      <w:divBdr>
                                        <w:top w:val="none" w:sz="0" w:space="0" w:color="auto"/>
                                        <w:left w:val="none" w:sz="0" w:space="0" w:color="auto"/>
                                        <w:bottom w:val="none" w:sz="0" w:space="0" w:color="auto"/>
                                        <w:right w:val="none" w:sz="0" w:space="0" w:color="auto"/>
                                      </w:divBdr>
                                      <w:divsChild>
                                        <w:div w:id="1419715833">
                                          <w:marLeft w:val="0"/>
                                          <w:marRight w:val="0"/>
                                          <w:marTop w:val="0"/>
                                          <w:marBottom w:val="0"/>
                                          <w:divBdr>
                                            <w:top w:val="none" w:sz="0" w:space="0" w:color="auto"/>
                                            <w:left w:val="none" w:sz="0" w:space="0" w:color="auto"/>
                                            <w:bottom w:val="none" w:sz="0" w:space="0" w:color="auto"/>
                                            <w:right w:val="none" w:sz="0" w:space="0" w:color="auto"/>
                                          </w:divBdr>
                                          <w:divsChild>
                                            <w:div w:id="313146729">
                                              <w:marLeft w:val="0"/>
                                              <w:marRight w:val="0"/>
                                              <w:marTop w:val="0"/>
                                              <w:marBottom w:val="0"/>
                                              <w:divBdr>
                                                <w:top w:val="none" w:sz="0" w:space="0" w:color="auto"/>
                                                <w:left w:val="none" w:sz="0" w:space="0" w:color="auto"/>
                                                <w:bottom w:val="none" w:sz="0" w:space="0" w:color="auto"/>
                                                <w:right w:val="none" w:sz="0" w:space="0" w:color="auto"/>
                                              </w:divBdr>
                                              <w:divsChild>
                                                <w:div w:id="89470600">
                                                  <w:marLeft w:val="0"/>
                                                  <w:marRight w:val="0"/>
                                                  <w:marTop w:val="0"/>
                                                  <w:marBottom w:val="0"/>
                                                  <w:divBdr>
                                                    <w:top w:val="none" w:sz="0" w:space="0" w:color="auto"/>
                                                    <w:left w:val="none" w:sz="0" w:space="0" w:color="auto"/>
                                                    <w:bottom w:val="none" w:sz="0" w:space="0" w:color="auto"/>
                                                    <w:right w:val="none" w:sz="0" w:space="0" w:color="auto"/>
                                                  </w:divBdr>
                                                </w:div>
                                              </w:divsChild>
                                            </w:div>
                                            <w:div w:id="551961405">
                                              <w:marLeft w:val="0"/>
                                              <w:marRight w:val="0"/>
                                              <w:marTop w:val="0"/>
                                              <w:marBottom w:val="0"/>
                                              <w:divBdr>
                                                <w:top w:val="none" w:sz="0" w:space="0" w:color="auto"/>
                                                <w:left w:val="none" w:sz="0" w:space="0" w:color="auto"/>
                                                <w:bottom w:val="none" w:sz="0" w:space="0" w:color="auto"/>
                                                <w:right w:val="none" w:sz="0" w:space="0" w:color="auto"/>
                                              </w:divBdr>
                                              <w:divsChild>
                                                <w:div w:id="2132478881">
                                                  <w:marLeft w:val="0"/>
                                                  <w:marRight w:val="0"/>
                                                  <w:marTop w:val="0"/>
                                                  <w:marBottom w:val="0"/>
                                                  <w:divBdr>
                                                    <w:top w:val="none" w:sz="0" w:space="0" w:color="auto"/>
                                                    <w:left w:val="none" w:sz="0" w:space="0" w:color="auto"/>
                                                    <w:bottom w:val="none" w:sz="0" w:space="0" w:color="auto"/>
                                                    <w:right w:val="none" w:sz="0" w:space="0" w:color="auto"/>
                                                  </w:divBdr>
                                                </w:div>
                                              </w:divsChild>
                                            </w:div>
                                            <w:div w:id="1609502051">
                                              <w:marLeft w:val="0"/>
                                              <w:marRight w:val="0"/>
                                              <w:marTop w:val="0"/>
                                              <w:marBottom w:val="0"/>
                                              <w:divBdr>
                                                <w:top w:val="none" w:sz="0" w:space="0" w:color="auto"/>
                                                <w:left w:val="none" w:sz="0" w:space="0" w:color="auto"/>
                                                <w:bottom w:val="none" w:sz="0" w:space="0" w:color="auto"/>
                                                <w:right w:val="none" w:sz="0" w:space="0" w:color="auto"/>
                                              </w:divBdr>
                                              <w:divsChild>
                                                <w:div w:id="403378363">
                                                  <w:marLeft w:val="0"/>
                                                  <w:marRight w:val="0"/>
                                                  <w:marTop w:val="0"/>
                                                  <w:marBottom w:val="0"/>
                                                  <w:divBdr>
                                                    <w:top w:val="none" w:sz="0" w:space="0" w:color="auto"/>
                                                    <w:left w:val="none" w:sz="0" w:space="0" w:color="auto"/>
                                                    <w:bottom w:val="none" w:sz="0" w:space="0" w:color="auto"/>
                                                    <w:right w:val="none" w:sz="0" w:space="0" w:color="auto"/>
                                                  </w:divBdr>
                                                </w:div>
                                              </w:divsChild>
                                            </w:div>
                                            <w:div w:id="229117758">
                                              <w:marLeft w:val="0"/>
                                              <w:marRight w:val="0"/>
                                              <w:marTop w:val="0"/>
                                              <w:marBottom w:val="0"/>
                                              <w:divBdr>
                                                <w:top w:val="none" w:sz="0" w:space="0" w:color="auto"/>
                                                <w:left w:val="none" w:sz="0" w:space="0" w:color="auto"/>
                                                <w:bottom w:val="none" w:sz="0" w:space="0" w:color="auto"/>
                                                <w:right w:val="none" w:sz="0" w:space="0" w:color="auto"/>
                                              </w:divBdr>
                                              <w:divsChild>
                                                <w:div w:id="3571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1039">
      <w:bodyDiv w:val="1"/>
      <w:marLeft w:val="0"/>
      <w:marRight w:val="0"/>
      <w:marTop w:val="0"/>
      <w:marBottom w:val="0"/>
      <w:divBdr>
        <w:top w:val="none" w:sz="0" w:space="0" w:color="auto"/>
        <w:left w:val="none" w:sz="0" w:space="0" w:color="auto"/>
        <w:bottom w:val="none" w:sz="0" w:space="0" w:color="auto"/>
        <w:right w:val="none" w:sz="0" w:space="0" w:color="auto"/>
      </w:divBdr>
    </w:div>
    <w:div w:id="1015422302">
      <w:bodyDiv w:val="1"/>
      <w:marLeft w:val="0"/>
      <w:marRight w:val="0"/>
      <w:marTop w:val="0"/>
      <w:marBottom w:val="0"/>
      <w:divBdr>
        <w:top w:val="none" w:sz="0" w:space="0" w:color="auto"/>
        <w:left w:val="none" w:sz="0" w:space="0" w:color="auto"/>
        <w:bottom w:val="none" w:sz="0" w:space="0" w:color="auto"/>
        <w:right w:val="none" w:sz="0" w:space="0" w:color="auto"/>
      </w:divBdr>
      <w:divsChild>
        <w:div w:id="2047951141">
          <w:marLeft w:val="0"/>
          <w:marRight w:val="0"/>
          <w:marTop w:val="0"/>
          <w:marBottom w:val="0"/>
          <w:divBdr>
            <w:top w:val="none" w:sz="0" w:space="0" w:color="auto"/>
            <w:left w:val="none" w:sz="0" w:space="0" w:color="auto"/>
            <w:bottom w:val="none" w:sz="0" w:space="0" w:color="auto"/>
            <w:right w:val="none" w:sz="0" w:space="0" w:color="auto"/>
          </w:divBdr>
          <w:divsChild>
            <w:div w:id="206450851">
              <w:marLeft w:val="0"/>
              <w:marRight w:val="0"/>
              <w:marTop w:val="0"/>
              <w:marBottom w:val="0"/>
              <w:divBdr>
                <w:top w:val="none" w:sz="0" w:space="0" w:color="auto"/>
                <w:left w:val="none" w:sz="0" w:space="0" w:color="auto"/>
                <w:bottom w:val="none" w:sz="0" w:space="0" w:color="auto"/>
                <w:right w:val="none" w:sz="0" w:space="0" w:color="auto"/>
              </w:divBdr>
              <w:divsChild>
                <w:div w:id="2127195931">
                  <w:marLeft w:val="0"/>
                  <w:marRight w:val="0"/>
                  <w:marTop w:val="0"/>
                  <w:marBottom w:val="0"/>
                  <w:divBdr>
                    <w:top w:val="none" w:sz="0" w:space="0" w:color="auto"/>
                    <w:left w:val="none" w:sz="0" w:space="0" w:color="auto"/>
                    <w:bottom w:val="none" w:sz="0" w:space="0" w:color="auto"/>
                    <w:right w:val="none" w:sz="0" w:space="0" w:color="auto"/>
                  </w:divBdr>
                  <w:divsChild>
                    <w:div w:id="922953297">
                      <w:marLeft w:val="0"/>
                      <w:marRight w:val="0"/>
                      <w:marTop w:val="300"/>
                      <w:marBottom w:val="600"/>
                      <w:divBdr>
                        <w:top w:val="none" w:sz="0" w:space="0" w:color="auto"/>
                        <w:left w:val="none" w:sz="0" w:space="0" w:color="auto"/>
                        <w:bottom w:val="none" w:sz="0" w:space="0" w:color="auto"/>
                        <w:right w:val="none" w:sz="0" w:space="0" w:color="auto"/>
                      </w:divBdr>
                      <w:divsChild>
                        <w:div w:id="1943226615">
                          <w:marLeft w:val="0"/>
                          <w:marRight w:val="0"/>
                          <w:marTop w:val="0"/>
                          <w:marBottom w:val="0"/>
                          <w:divBdr>
                            <w:top w:val="none" w:sz="0" w:space="0" w:color="auto"/>
                            <w:left w:val="none" w:sz="0" w:space="0" w:color="auto"/>
                            <w:bottom w:val="none" w:sz="0" w:space="0" w:color="auto"/>
                            <w:right w:val="none" w:sz="0" w:space="0" w:color="auto"/>
                          </w:divBdr>
                          <w:divsChild>
                            <w:div w:id="1884973550">
                              <w:marLeft w:val="0"/>
                              <w:marRight w:val="0"/>
                              <w:marTop w:val="0"/>
                              <w:marBottom w:val="0"/>
                              <w:divBdr>
                                <w:top w:val="none" w:sz="0" w:space="0" w:color="auto"/>
                                <w:left w:val="none" w:sz="0" w:space="0" w:color="auto"/>
                                <w:bottom w:val="none" w:sz="0" w:space="0" w:color="auto"/>
                                <w:right w:val="none" w:sz="0" w:space="0" w:color="auto"/>
                              </w:divBdr>
                              <w:divsChild>
                                <w:div w:id="1729694206">
                                  <w:marLeft w:val="0"/>
                                  <w:marRight w:val="0"/>
                                  <w:marTop w:val="0"/>
                                  <w:marBottom w:val="0"/>
                                  <w:divBdr>
                                    <w:top w:val="none" w:sz="0" w:space="0" w:color="auto"/>
                                    <w:left w:val="none" w:sz="0" w:space="0" w:color="auto"/>
                                    <w:bottom w:val="none" w:sz="0" w:space="0" w:color="auto"/>
                                    <w:right w:val="none" w:sz="0" w:space="0" w:color="auto"/>
                                  </w:divBdr>
                                  <w:divsChild>
                                    <w:div w:id="1967734197">
                                      <w:marLeft w:val="0"/>
                                      <w:marRight w:val="0"/>
                                      <w:marTop w:val="150"/>
                                      <w:marBottom w:val="0"/>
                                      <w:divBdr>
                                        <w:top w:val="none" w:sz="0" w:space="0" w:color="auto"/>
                                        <w:left w:val="none" w:sz="0" w:space="0" w:color="auto"/>
                                        <w:bottom w:val="none" w:sz="0" w:space="0" w:color="auto"/>
                                        <w:right w:val="none" w:sz="0" w:space="0" w:color="auto"/>
                                      </w:divBdr>
                                      <w:divsChild>
                                        <w:div w:id="987973867">
                                          <w:marLeft w:val="0"/>
                                          <w:marRight w:val="0"/>
                                          <w:marTop w:val="0"/>
                                          <w:marBottom w:val="0"/>
                                          <w:divBdr>
                                            <w:top w:val="none" w:sz="0" w:space="0" w:color="auto"/>
                                            <w:left w:val="none" w:sz="0" w:space="0" w:color="auto"/>
                                            <w:bottom w:val="none" w:sz="0" w:space="0" w:color="auto"/>
                                            <w:right w:val="none" w:sz="0" w:space="0" w:color="auto"/>
                                          </w:divBdr>
                                          <w:divsChild>
                                            <w:div w:id="1955480008">
                                              <w:marLeft w:val="0"/>
                                              <w:marRight w:val="0"/>
                                              <w:marTop w:val="0"/>
                                              <w:marBottom w:val="0"/>
                                              <w:divBdr>
                                                <w:top w:val="none" w:sz="0" w:space="0" w:color="auto"/>
                                                <w:left w:val="none" w:sz="0" w:space="0" w:color="auto"/>
                                                <w:bottom w:val="none" w:sz="0" w:space="0" w:color="auto"/>
                                                <w:right w:val="none" w:sz="0" w:space="0" w:color="auto"/>
                                              </w:divBdr>
                                              <w:divsChild>
                                                <w:div w:id="14780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225172">
      <w:bodyDiv w:val="1"/>
      <w:marLeft w:val="0"/>
      <w:marRight w:val="0"/>
      <w:marTop w:val="0"/>
      <w:marBottom w:val="0"/>
      <w:divBdr>
        <w:top w:val="none" w:sz="0" w:space="0" w:color="auto"/>
        <w:left w:val="none" w:sz="0" w:space="0" w:color="auto"/>
        <w:bottom w:val="none" w:sz="0" w:space="0" w:color="auto"/>
        <w:right w:val="none" w:sz="0" w:space="0" w:color="auto"/>
      </w:divBdr>
      <w:divsChild>
        <w:div w:id="1474522238">
          <w:marLeft w:val="0"/>
          <w:marRight w:val="0"/>
          <w:marTop w:val="0"/>
          <w:marBottom w:val="0"/>
          <w:divBdr>
            <w:top w:val="none" w:sz="0" w:space="0" w:color="auto"/>
            <w:left w:val="none" w:sz="0" w:space="0" w:color="auto"/>
            <w:bottom w:val="none" w:sz="0" w:space="0" w:color="auto"/>
            <w:right w:val="none" w:sz="0" w:space="0" w:color="auto"/>
          </w:divBdr>
          <w:divsChild>
            <w:div w:id="1315834933">
              <w:marLeft w:val="0"/>
              <w:marRight w:val="0"/>
              <w:marTop w:val="0"/>
              <w:marBottom w:val="0"/>
              <w:divBdr>
                <w:top w:val="none" w:sz="0" w:space="0" w:color="auto"/>
                <w:left w:val="none" w:sz="0" w:space="0" w:color="auto"/>
                <w:bottom w:val="none" w:sz="0" w:space="0" w:color="auto"/>
                <w:right w:val="none" w:sz="0" w:space="0" w:color="auto"/>
              </w:divBdr>
              <w:divsChild>
                <w:div w:id="1393699204">
                  <w:marLeft w:val="0"/>
                  <w:marRight w:val="0"/>
                  <w:marTop w:val="0"/>
                  <w:marBottom w:val="0"/>
                  <w:divBdr>
                    <w:top w:val="none" w:sz="0" w:space="0" w:color="auto"/>
                    <w:left w:val="none" w:sz="0" w:space="0" w:color="auto"/>
                    <w:bottom w:val="none" w:sz="0" w:space="0" w:color="auto"/>
                    <w:right w:val="none" w:sz="0" w:space="0" w:color="auto"/>
                  </w:divBdr>
                  <w:divsChild>
                    <w:div w:id="1247883763">
                      <w:marLeft w:val="0"/>
                      <w:marRight w:val="0"/>
                      <w:marTop w:val="0"/>
                      <w:marBottom w:val="0"/>
                      <w:divBdr>
                        <w:top w:val="none" w:sz="0" w:space="0" w:color="auto"/>
                        <w:left w:val="none" w:sz="0" w:space="0" w:color="auto"/>
                        <w:bottom w:val="none" w:sz="0" w:space="0" w:color="auto"/>
                        <w:right w:val="none" w:sz="0" w:space="0" w:color="auto"/>
                      </w:divBdr>
                      <w:divsChild>
                        <w:div w:id="6035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227228">
      <w:bodyDiv w:val="1"/>
      <w:marLeft w:val="0"/>
      <w:marRight w:val="0"/>
      <w:marTop w:val="0"/>
      <w:marBottom w:val="0"/>
      <w:divBdr>
        <w:top w:val="none" w:sz="0" w:space="0" w:color="auto"/>
        <w:left w:val="none" w:sz="0" w:space="0" w:color="auto"/>
        <w:bottom w:val="none" w:sz="0" w:space="0" w:color="auto"/>
        <w:right w:val="none" w:sz="0" w:space="0" w:color="auto"/>
      </w:divBdr>
      <w:divsChild>
        <w:div w:id="1114058800">
          <w:marLeft w:val="0"/>
          <w:marRight w:val="0"/>
          <w:marTop w:val="0"/>
          <w:marBottom w:val="0"/>
          <w:divBdr>
            <w:top w:val="none" w:sz="0" w:space="0" w:color="auto"/>
            <w:left w:val="none" w:sz="0" w:space="0" w:color="auto"/>
            <w:bottom w:val="none" w:sz="0" w:space="0" w:color="auto"/>
            <w:right w:val="none" w:sz="0" w:space="0" w:color="auto"/>
          </w:divBdr>
          <w:divsChild>
            <w:div w:id="145325160">
              <w:marLeft w:val="0"/>
              <w:marRight w:val="0"/>
              <w:marTop w:val="0"/>
              <w:marBottom w:val="0"/>
              <w:divBdr>
                <w:top w:val="none" w:sz="0" w:space="0" w:color="auto"/>
                <w:left w:val="none" w:sz="0" w:space="0" w:color="auto"/>
                <w:bottom w:val="none" w:sz="0" w:space="0" w:color="auto"/>
                <w:right w:val="none" w:sz="0" w:space="0" w:color="auto"/>
              </w:divBdr>
              <w:divsChild>
                <w:div w:id="1475487160">
                  <w:marLeft w:val="0"/>
                  <w:marRight w:val="0"/>
                  <w:marTop w:val="100"/>
                  <w:marBottom w:val="100"/>
                  <w:divBdr>
                    <w:top w:val="none" w:sz="0" w:space="0" w:color="auto"/>
                    <w:left w:val="none" w:sz="0" w:space="0" w:color="auto"/>
                    <w:bottom w:val="none" w:sz="0" w:space="0" w:color="auto"/>
                    <w:right w:val="none" w:sz="0" w:space="0" w:color="auto"/>
                  </w:divBdr>
                  <w:divsChild>
                    <w:div w:id="1903784640">
                      <w:marLeft w:val="0"/>
                      <w:marRight w:val="0"/>
                      <w:marTop w:val="0"/>
                      <w:marBottom w:val="0"/>
                      <w:divBdr>
                        <w:top w:val="none" w:sz="0" w:space="0" w:color="auto"/>
                        <w:left w:val="none" w:sz="0" w:space="0" w:color="auto"/>
                        <w:bottom w:val="none" w:sz="0" w:space="0" w:color="auto"/>
                        <w:right w:val="none" w:sz="0" w:space="0" w:color="auto"/>
                      </w:divBdr>
                      <w:divsChild>
                        <w:div w:id="1057434540">
                          <w:marLeft w:val="0"/>
                          <w:marRight w:val="0"/>
                          <w:marTop w:val="0"/>
                          <w:marBottom w:val="0"/>
                          <w:divBdr>
                            <w:top w:val="none" w:sz="0" w:space="0" w:color="auto"/>
                            <w:left w:val="none" w:sz="0" w:space="0" w:color="auto"/>
                            <w:bottom w:val="none" w:sz="0" w:space="0" w:color="auto"/>
                            <w:right w:val="none" w:sz="0" w:space="0" w:color="auto"/>
                          </w:divBdr>
                          <w:divsChild>
                            <w:div w:id="1240603254">
                              <w:marLeft w:val="0"/>
                              <w:marRight w:val="0"/>
                              <w:marTop w:val="0"/>
                              <w:marBottom w:val="0"/>
                              <w:divBdr>
                                <w:top w:val="none" w:sz="0" w:space="0" w:color="auto"/>
                                <w:left w:val="none" w:sz="0" w:space="0" w:color="auto"/>
                                <w:bottom w:val="none" w:sz="0" w:space="0" w:color="auto"/>
                                <w:right w:val="none" w:sz="0" w:space="0" w:color="auto"/>
                              </w:divBdr>
                              <w:divsChild>
                                <w:div w:id="1476218791">
                                  <w:marLeft w:val="0"/>
                                  <w:marRight w:val="0"/>
                                  <w:marTop w:val="0"/>
                                  <w:marBottom w:val="0"/>
                                  <w:divBdr>
                                    <w:top w:val="none" w:sz="0" w:space="0" w:color="auto"/>
                                    <w:left w:val="none" w:sz="0" w:space="0" w:color="auto"/>
                                    <w:bottom w:val="none" w:sz="0" w:space="0" w:color="auto"/>
                                    <w:right w:val="none" w:sz="0" w:space="0" w:color="auto"/>
                                  </w:divBdr>
                                  <w:divsChild>
                                    <w:div w:id="1384519994">
                                      <w:marLeft w:val="0"/>
                                      <w:marRight w:val="0"/>
                                      <w:marTop w:val="0"/>
                                      <w:marBottom w:val="0"/>
                                      <w:divBdr>
                                        <w:top w:val="none" w:sz="0" w:space="0" w:color="auto"/>
                                        <w:left w:val="none" w:sz="0" w:space="0" w:color="auto"/>
                                        <w:bottom w:val="none" w:sz="0" w:space="0" w:color="auto"/>
                                        <w:right w:val="none" w:sz="0" w:space="0" w:color="auto"/>
                                      </w:divBdr>
                                      <w:divsChild>
                                        <w:div w:id="1742405777">
                                          <w:marLeft w:val="0"/>
                                          <w:marRight w:val="0"/>
                                          <w:marTop w:val="0"/>
                                          <w:marBottom w:val="0"/>
                                          <w:divBdr>
                                            <w:top w:val="none" w:sz="0" w:space="0" w:color="auto"/>
                                            <w:left w:val="none" w:sz="0" w:space="0" w:color="auto"/>
                                            <w:bottom w:val="none" w:sz="0" w:space="0" w:color="auto"/>
                                            <w:right w:val="none" w:sz="0" w:space="0" w:color="auto"/>
                                          </w:divBdr>
                                          <w:divsChild>
                                            <w:div w:id="2098401330">
                                              <w:marLeft w:val="0"/>
                                              <w:marRight w:val="0"/>
                                              <w:marTop w:val="0"/>
                                              <w:marBottom w:val="0"/>
                                              <w:divBdr>
                                                <w:top w:val="single" w:sz="4" w:space="0" w:color="B6D444"/>
                                                <w:left w:val="none" w:sz="0" w:space="0" w:color="auto"/>
                                                <w:bottom w:val="none" w:sz="0" w:space="0" w:color="auto"/>
                                                <w:right w:val="none" w:sz="0" w:space="0" w:color="auto"/>
                                              </w:divBdr>
                                              <w:divsChild>
                                                <w:div w:id="5397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001807">
      <w:bodyDiv w:val="1"/>
      <w:marLeft w:val="0"/>
      <w:marRight w:val="0"/>
      <w:marTop w:val="0"/>
      <w:marBottom w:val="0"/>
      <w:divBdr>
        <w:top w:val="none" w:sz="0" w:space="0" w:color="auto"/>
        <w:left w:val="none" w:sz="0" w:space="0" w:color="auto"/>
        <w:bottom w:val="none" w:sz="0" w:space="0" w:color="auto"/>
        <w:right w:val="none" w:sz="0" w:space="0" w:color="auto"/>
      </w:divBdr>
      <w:divsChild>
        <w:div w:id="1890262816">
          <w:marLeft w:val="2970"/>
          <w:marRight w:val="2970"/>
          <w:marTop w:val="0"/>
          <w:marBottom w:val="0"/>
          <w:divBdr>
            <w:top w:val="none" w:sz="0" w:space="0" w:color="auto"/>
            <w:left w:val="none" w:sz="0" w:space="0" w:color="auto"/>
            <w:bottom w:val="none" w:sz="0" w:space="0" w:color="auto"/>
            <w:right w:val="none" w:sz="0" w:space="0" w:color="auto"/>
          </w:divBdr>
        </w:div>
        <w:div w:id="806361595">
          <w:marLeft w:val="2850"/>
          <w:marRight w:val="2850"/>
          <w:marTop w:val="0"/>
          <w:marBottom w:val="0"/>
          <w:divBdr>
            <w:top w:val="none" w:sz="0" w:space="0" w:color="auto"/>
            <w:left w:val="none" w:sz="0" w:space="0" w:color="auto"/>
            <w:bottom w:val="none" w:sz="0" w:space="0" w:color="auto"/>
            <w:right w:val="none" w:sz="0" w:space="0" w:color="auto"/>
          </w:divBdr>
          <w:divsChild>
            <w:div w:id="652681209">
              <w:marLeft w:val="-225"/>
              <w:marRight w:val="-225"/>
              <w:marTop w:val="0"/>
              <w:marBottom w:val="0"/>
              <w:divBdr>
                <w:top w:val="none" w:sz="0" w:space="0" w:color="auto"/>
                <w:left w:val="none" w:sz="0" w:space="0" w:color="auto"/>
                <w:bottom w:val="none" w:sz="0" w:space="0" w:color="auto"/>
                <w:right w:val="none" w:sz="0" w:space="0" w:color="auto"/>
              </w:divBdr>
              <w:divsChild>
                <w:div w:id="319119091">
                  <w:marLeft w:val="0"/>
                  <w:marRight w:val="0"/>
                  <w:marTop w:val="0"/>
                  <w:marBottom w:val="0"/>
                  <w:divBdr>
                    <w:top w:val="none" w:sz="0" w:space="0" w:color="auto"/>
                    <w:left w:val="none" w:sz="0" w:space="0" w:color="auto"/>
                    <w:bottom w:val="none" w:sz="0" w:space="0" w:color="auto"/>
                    <w:right w:val="none" w:sz="0" w:space="0" w:color="auto"/>
                  </w:divBdr>
                  <w:divsChild>
                    <w:div w:id="8116049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21786729">
      <w:bodyDiv w:val="1"/>
      <w:marLeft w:val="0"/>
      <w:marRight w:val="0"/>
      <w:marTop w:val="0"/>
      <w:marBottom w:val="0"/>
      <w:divBdr>
        <w:top w:val="none" w:sz="0" w:space="0" w:color="auto"/>
        <w:left w:val="none" w:sz="0" w:space="0" w:color="auto"/>
        <w:bottom w:val="none" w:sz="0" w:space="0" w:color="auto"/>
        <w:right w:val="none" w:sz="0" w:space="0" w:color="auto"/>
      </w:divBdr>
      <w:divsChild>
        <w:div w:id="108086188">
          <w:marLeft w:val="0"/>
          <w:marRight w:val="0"/>
          <w:marTop w:val="0"/>
          <w:marBottom w:val="0"/>
          <w:divBdr>
            <w:top w:val="none" w:sz="0" w:space="0" w:color="auto"/>
            <w:left w:val="none" w:sz="0" w:space="0" w:color="auto"/>
            <w:bottom w:val="none" w:sz="0" w:space="0" w:color="auto"/>
            <w:right w:val="none" w:sz="0" w:space="0" w:color="auto"/>
          </w:divBdr>
          <w:divsChild>
            <w:div w:id="3519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6028">
      <w:bodyDiv w:val="1"/>
      <w:marLeft w:val="0"/>
      <w:marRight w:val="0"/>
      <w:marTop w:val="0"/>
      <w:marBottom w:val="0"/>
      <w:divBdr>
        <w:top w:val="none" w:sz="0" w:space="0" w:color="auto"/>
        <w:left w:val="none" w:sz="0" w:space="0" w:color="auto"/>
        <w:bottom w:val="none" w:sz="0" w:space="0" w:color="auto"/>
        <w:right w:val="none" w:sz="0" w:space="0" w:color="auto"/>
      </w:divBdr>
      <w:divsChild>
        <w:div w:id="531191462">
          <w:marLeft w:val="0"/>
          <w:marRight w:val="0"/>
          <w:marTop w:val="0"/>
          <w:marBottom w:val="0"/>
          <w:divBdr>
            <w:top w:val="single" w:sz="2" w:space="0" w:color="AAAAAA"/>
            <w:left w:val="single" w:sz="6" w:space="8" w:color="AAAAAA"/>
            <w:bottom w:val="single" w:sz="2" w:space="0" w:color="AAAAAA"/>
            <w:right w:val="single" w:sz="6" w:space="8" w:color="AAAAAA"/>
          </w:divBdr>
          <w:divsChild>
            <w:div w:id="1852983769">
              <w:marLeft w:val="0"/>
              <w:marRight w:val="0"/>
              <w:marTop w:val="0"/>
              <w:marBottom w:val="0"/>
              <w:divBdr>
                <w:top w:val="none" w:sz="0" w:space="0" w:color="auto"/>
                <w:left w:val="none" w:sz="0" w:space="0" w:color="auto"/>
                <w:bottom w:val="none" w:sz="0" w:space="0" w:color="auto"/>
                <w:right w:val="none" w:sz="0" w:space="0" w:color="auto"/>
              </w:divBdr>
              <w:divsChild>
                <w:div w:id="19860760">
                  <w:marLeft w:val="0"/>
                  <w:marRight w:val="0"/>
                  <w:marTop w:val="0"/>
                  <w:marBottom w:val="0"/>
                  <w:divBdr>
                    <w:top w:val="none" w:sz="0" w:space="0" w:color="auto"/>
                    <w:left w:val="none" w:sz="0" w:space="0" w:color="auto"/>
                    <w:bottom w:val="none" w:sz="0" w:space="0" w:color="auto"/>
                    <w:right w:val="none" w:sz="0" w:space="0" w:color="auto"/>
                  </w:divBdr>
                  <w:divsChild>
                    <w:div w:id="2055422931">
                      <w:marLeft w:val="0"/>
                      <w:marRight w:val="2550"/>
                      <w:marTop w:val="0"/>
                      <w:marBottom w:val="48"/>
                      <w:divBdr>
                        <w:top w:val="none" w:sz="0" w:space="0" w:color="auto"/>
                        <w:left w:val="none" w:sz="0" w:space="0" w:color="auto"/>
                        <w:bottom w:val="none" w:sz="0" w:space="0" w:color="auto"/>
                        <w:right w:val="none" w:sz="0" w:space="0" w:color="auto"/>
                      </w:divBdr>
                      <w:divsChild>
                        <w:div w:id="6175652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23556937">
      <w:bodyDiv w:val="1"/>
      <w:marLeft w:val="0"/>
      <w:marRight w:val="0"/>
      <w:marTop w:val="0"/>
      <w:marBottom w:val="0"/>
      <w:divBdr>
        <w:top w:val="none" w:sz="0" w:space="0" w:color="auto"/>
        <w:left w:val="none" w:sz="0" w:space="0" w:color="auto"/>
        <w:bottom w:val="none" w:sz="0" w:space="0" w:color="auto"/>
        <w:right w:val="none" w:sz="0" w:space="0" w:color="auto"/>
      </w:divBdr>
      <w:divsChild>
        <w:div w:id="1361858445">
          <w:marLeft w:val="0"/>
          <w:marRight w:val="0"/>
          <w:marTop w:val="0"/>
          <w:marBottom w:val="0"/>
          <w:divBdr>
            <w:top w:val="none" w:sz="0" w:space="0" w:color="auto"/>
            <w:left w:val="none" w:sz="0" w:space="0" w:color="auto"/>
            <w:bottom w:val="none" w:sz="0" w:space="0" w:color="auto"/>
            <w:right w:val="none" w:sz="0" w:space="0" w:color="auto"/>
          </w:divBdr>
        </w:div>
        <w:div w:id="1188059132">
          <w:marLeft w:val="0"/>
          <w:marRight w:val="0"/>
          <w:marTop w:val="0"/>
          <w:marBottom w:val="150"/>
          <w:divBdr>
            <w:top w:val="none" w:sz="0" w:space="0" w:color="auto"/>
            <w:left w:val="none" w:sz="0" w:space="0" w:color="auto"/>
            <w:bottom w:val="none" w:sz="0" w:space="0" w:color="auto"/>
            <w:right w:val="none" w:sz="0" w:space="0" w:color="auto"/>
          </w:divBdr>
          <w:divsChild>
            <w:div w:id="1890453840">
              <w:marLeft w:val="0"/>
              <w:marRight w:val="0"/>
              <w:marTop w:val="0"/>
              <w:marBottom w:val="0"/>
              <w:divBdr>
                <w:top w:val="none" w:sz="0" w:space="0" w:color="auto"/>
                <w:left w:val="none" w:sz="0" w:space="0" w:color="auto"/>
                <w:bottom w:val="none" w:sz="0" w:space="0" w:color="auto"/>
                <w:right w:val="none" w:sz="0" w:space="0" w:color="auto"/>
              </w:divBdr>
              <w:divsChild>
                <w:div w:id="401177968">
                  <w:marLeft w:val="0"/>
                  <w:marRight w:val="225"/>
                  <w:marTop w:val="0"/>
                  <w:marBottom w:val="0"/>
                  <w:divBdr>
                    <w:top w:val="none" w:sz="0" w:space="0" w:color="auto"/>
                    <w:left w:val="none" w:sz="0" w:space="0" w:color="auto"/>
                    <w:bottom w:val="none" w:sz="0" w:space="0" w:color="auto"/>
                    <w:right w:val="none" w:sz="0" w:space="0" w:color="auto"/>
                  </w:divBdr>
                  <w:divsChild>
                    <w:div w:id="1126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42623">
          <w:marLeft w:val="0"/>
          <w:marRight w:val="0"/>
          <w:marTop w:val="0"/>
          <w:marBottom w:val="150"/>
          <w:divBdr>
            <w:top w:val="none" w:sz="0" w:space="0" w:color="auto"/>
            <w:left w:val="none" w:sz="0" w:space="0" w:color="auto"/>
            <w:bottom w:val="none" w:sz="0" w:space="0" w:color="auto"/>
            <w:right w:val="none" w:sz="0" w:space="0" w:color="auto"/>
          </w:divBdr>
        </w:div>
      </w:divsChild>
    </w:div>
    <w:div w:id="1023820561">
      <w:bodyDiv w:val="1"/>
      <w:marLeft w:val="0"/>
      <w:marRight w:val="0"/>
      <w:marTop w:val="0"/>
      <w:marBottom w:val="0"/>
      <w:divBdr>
        <w:top w:val="none" w:sz="0" w:space="0" w:color="auto"/>
        <w:left w:val="none" w:sz="0" w:space="0" w:color="auto"/>
        <w:bottom w:val="none" w:sz="0" w:space="0" w:color="auto"/>
        <w:right w:val="none" w:sz="0" w:space="0" w:color="auto"/>
      </w:divBdr>
      <w:divsChild>
        <w:div w:id="2061662535">
          <w:marLeft w:val="0"/>
          <w:marRight w:val="0"/>
          <w:marTop w:val="0"/>
          <w:marBottom w:val="0"/>
          <w:divBdr>
            <w:top w:val="single" w:sz="4" w:space="0" w:color="0E477A"/>
            <w:left w:val="single" w:sz="4" w:space="0" w:color="0E477A"/>
            <w:bottom w:val="single" w:sz="4" w:space="0" w:color="0E477A"/>
            <w:right w:val="single" w:sz="4" w:space="0" w:color="0E477A"/>
          </w:divBdr>
          <w:divsChild>
            <w:div w:id="869301890">
              <w:marLeft w:val="2442"/>
              <w:marRight w:val="0"/>
              <w:marTop w:val="0"/>
              <w:marBottom w:val="0"/>
              <w:divBdr>
                <w:top w:val="none" w:sz="0" w:space="0" w:color="auto"/>
                <w:left w:val="none" w:sz="0" w:space="0" w:color="auto"/>
                <w:bottom w:val="none" w:sz="0" w:space="0" w:color="auto"/>
                <w:right w:val="none" w:sz="0" w:space="0" w:color="auto"/>
              </w:divBdr>
              <w:divsChild>
                <w:div w:id="787819024">
                  <w:marLeft w:val="0"/>
                  <w:marRight w:val="0"/>
                  <w:marTop w:val="0"/>
                  <w:marBottom w:val="0"/>
                  <w:divBdr>
                    <w:top w:val="none" w:sz="0" w:space="0" w:color="auto"/>
                    <w:left w:val="none" w:sz="0" w:space="0" w:color="auto"/>
                    <w:bottom w:val="none" w:sz="0" w:space="0" w:color="auto"/>
                    <w:right w:val="none" w:sz="0" w:space="0" w:color="auto"/>
                  </w:divBdr>
                  <w:divsChild>
                    <w:div w:id="1372075019">
                      <w:marLeft w:val="0"/>
                      <w:marRight w:val="125"/>
                      <w:marTop w:val="0"/>
                      <w:marBottom w:val="0"/>
                      <w:divBdr>
                        <w:top w:val="single" w:sz="4" w:space="0" w:color="CCCCCC"/>
                        <w:left w:val="single" w:sz="4" w:space="6" w:color="CCCCCC"/>
                        <w:bottom w:val="single" w:sz="4" w:space="6" w:color="CCCCCC"/>
                        <w:right w:val="single" w:sz="4" w:space="6" w:color="CCCCCC"/>
                      </w:divBdr>
                      <w:divsChild>
                        <w:div w:id="1069695237">
                          <w:marLeft w:val="0"/>
                          <w:marRight w:val="0"/>
                          <w:marTop w:val="0"/>
                          <w:marBottom w:val="0"/>
                          <w:divBdr>
                            <w:top w:val="none" w:sz="0" w:space="0" w:color="auto"/>
                            <w:left w:val="none" w:sz="0" w:space="0" w:color="auto"/>
                            <w:bottom w:val="none" w:sz="0" w:space="0" w:color="auto"/>
                            <w:right w:val="none" w:sz="0" w:space="0" w:color="auto"/>
                          </w:divBdr>
                        </w:div>
                        <w:div w:id="1884780782">
                          <w:marLeft w:val="0"/>
                          <w:marRight w:val="0"/>
                          <w:marTop w:val="0"/>
                          <w:marBottom w:val="0"/>
                          <w:divBdr>
                            <w:top w:val="none" w:sz="0" w:space="0" w:color="auto"/>
                            <w:left w:val="none" w:sz="0" w:space="0" w:color="auto"/>
                            <w:bottom w:val="none" w:sz="0" w:space="0" w:color="auto"/>
                            <w:right w:val="none" w:sz="0" w:space="0" w:color="auto"/>
                          </w:divBdr>
                        </w:div>
                        <w:div w:id="1632439354">
                          <w:marLeft w:val="0"/>
                          <w:marRight w:val="0"/>
                          <w:marTop w:val="0"/>
                          <w:marBottom w:val="0"/>
                          <w:divBdr>
                            <w:top w:val="none" w:sz="0" w:space="0" w:color="auto"/>
                            <w:left w:val="none" w:sz="0" w:space="0" w:color="auto"/>
                            <w:bottom w:val="none" w:sz="0" w:space="0" w:color="auto"/>
                            <w:right w:val="none" w:sz="0" w:space="0" w:color="auto"/>
                          </w:divBdr>
                        </w:div>
                        <w:div w:id="189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69255">
      <w:bodyDiv w:val="1"/>
      <w:marLeft w:val="0"/>
      <w:marRight w:val="0"/>
      <w:marTop w:val="0"/>
      <w:marBottom w:val="0"/>
      <w:divBdr>
        <w:top w:val="none" w:sz="0" w:space="0" w:color="auto"/>
        <w:left w:val="none" w:sz="0" w:space="0" w:color="auto"/>
        <w:bottom w:val="none" w:sz="0" w:space="0" w:color="auto"/>
        <w:right w:val="none" w:sz="0" w:space="0" w:color="auto"/>
      </w:divBdr>
    </w:div>
    <w:div w:id="1024091201">
      <w:bodyDiv w:val="1"/>
      <w:marLeft w:val="0"/>
      <w:marRight w:val="0"/>
      <w:marTop w:val="0"/>
      <w:marBottom w:val="0"/>
      <w:divBdr>
        <w:top w:val="none" w:sz="0" w:space="0" w:color="auto"/>
        <w:left w:val="none" w:sz="0" w:space="0" w:color="auto"/>
        <w:bottom w:val="none" w:sz="0" w:space="0" w:color="auto"/>
        <w:right w:val="none" w:sz="0" w:space="0" w:color="auto"/>
      </w:divBdr>
    </w:div>
    <w:div w:id="1025592239">
      <w:bodyDiv w:val="1"/>
      <w:marLeft w:val="0"/>
      <w:marRight w:val="0"/>
      <w:marTop w:val="0"/>
      <w:marBottom w:val="0"/>
      <w:divBdr>
        <w:top w:val="none" w:sz="0" w:space="0" w:color="auto"/>
        <w:left w:val="none" w:sz="0" w:space="0" w:color="auto"/>
        <w:bottom w:val="none" w:sz="0" w:space="0" w:color="auto"/>
        <w:right w:val="none" w:sz="0" w:space="0" w:color="auto"/>
      </w:divBdr>
    </w:div>
    <w:div w:id="1027679186">
      <w:bodyDiv w:val="1"/>
      <w:marLeft w:val="0"/>
      <w:marRight w:val="0"/>
      <w:marTop w:val="0"/>
      <w:marBottom w:val="0"/>
      <w:divBdr>
        <w:top w:val="none" w:sz="0" w:space="0" w:color="auto"/>
        <w:left w:val="none" w:sz="0" w:space="0" w:color="auto"/>
        <w:bottom w:val="none" w:sz="0" w:space="0" w:color="auto"/>
        <w:right w:val="none" w:sz="0" w:space="0" w:color="auto"/>
      </w:divBdr>
    </w:div>
    <w:div w:id="1028067574">
      <w:bodyDiv w:val="1"/>
      <w:marLeft w:val="0"/>
      <w:marRight w:val="0"/>
      <w:marTop w:val="0"/>
      <w:marBottom w:val="0"/>
      <w:divBdr>
        <w:top w:val="none" w:sz="0" w:space="0" w:color="auto"/>
        <w:left w:val="none" w:sz="0" w:space="0" w:color="auto"/>
        <w:bottom w:val="none" w:sz="0" w:space="0" w:color="auto"/>
        <w:right w:val="none" w:sz="0" w:space="0" w:color="auto"/>
      </w:divBdr>
      <w:divsChild>
        <w:div w:id="1827168414">
          <w:marLeft w:val="0"/>
          <w:marRight w:val="0"/>
          <w:marTop w:val="0"/>
          <w:marBottom w:val="0"/>
          <w:divBdr>
            <w:top w:val="none" w:sz="0" w:space="0" w:color="auto"/>
            <w:left w:val="none" w:sz="0" w:space="0" w:color="auto"/>
            <w:bottom w:val="none" w:sz="0" w:space="0" w:color="auto"/>
            <w:right w:val="none" w:sz="0" w:space="0" w:color="auto"/>
          </w:divBdr>
          <w:divsChild>
            <w:div w:id="1685202466">
              <w:marLeft w:val="0"/>
              <w:marRight w:val="0"/>
              <w:marTop w:val="0"/>
              <w:marBottom w:val="0"/>
              <w:divBdr>
                <w:top w:val="none" w:sz="0" w:space="0" w:color="auto"/>
                <w:left w:val="none" w:sz="0" w:space="0" w:color="auto"/>
                <w:bottom w:val="none" w:sz="0" w:space="0" w:color="auto"/>
                <w:right w:val="none" w:sz="0" w:space="0" w:color="auto"/>
              </w:divBdr>
              <w:divsChild>
                <w:div w:id="20437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3201">
      <w:bodyDiv w:val="1"/>
      <w:marLeft w:val="0"/>
      <w:marRight w:val="0"/>
      <w:marTop w:val="0"/>
      <w:marBottom w:val="0"/>
      <w:divBdr>
        <w:top w:val="none" w:sz="0" w:space="0" w:color="auto"/>
        <w:left w:val="none" w:sz="0" w:space="0" w:color="auto"/>
        <w:bottom w:val="none" w:sz="0" w:space="0" w:color="auto"/>
        <w:right w:val="none" w:sz="0" w:space="0" w:color="auto"/>
      </w:divBdr>
    </w:div>
    <w:div w:id="1028292487">
      <w:bodyDiv w:val="1"/>
      <w:marLeft w:val="0"/>
      <w:marRight w:val="0"/>
      <w:marTop w:val="0"/>
      <w:marBottom w:val="0"/>
      <w:divBdr>
        <w:top w:val="none" w:sz="0" w:space="0" w:color="auto"/>
        <w:left w:val="none" w:sz="0" w:space="0" w:color="auto"/>
        <w:bottom w:val="none" w:sz="0" w:space="0" w:color="auto"/>
        <w:right w:val="none" w:sz="0" w:space="0" w:color="auto"/>
      </w:divBdr>
      <w:divsChild>
        <w:div w:id="59640651">
          <w:marLeft w:val="0"/>
          <w:marRight w:val="0"/>
          <w:marTop w:val="0"/>
          <w:marBottom w:val="0"/>
          <w:divBdr>
            <w:top w:val="none" w:sz="0" w:space="0" w:color="auto"/>
            <w:left w:val="none" w:sz="0" w:space="0" w:color="auto"/>
            <w:bottom w:val="none" w:sz="0" w:space="0" w:color="auto"/>
            <w:right w:val="none" w:sz="0" w:space="0" w:color="auto"/>
          </w:divBdr>
          <w:divsChild>
            <w:div w:id="1992556764">
              <w:marLeft w:val="0"/>
              <w:marRight w:val="0"/>
              <w:marTop w:val="0"/>
              <w:marBottom w:val="0"/>
              <w:divBdr>
                <w:top w:val="none" w:sz="0" w:space="0" w:color="auto"/>
                <w:left w:val="none" w:sz="0" w:space="0" w:color="auto"/>
                <w:bottom w:val="none" w:sz="0" w:space="0" w:color="auto"/>
                <w:right w:val="none" w:sz="0" w:space="0" w:color="auto"/>
              </w:divBdr>
              <w:divsChild>
                <w:div w:id="668404836">
                  <w:marLeft w:val="0"/>
                  <w:marRight w:val="0"/>
                  <w:marTop w:val="100"/>
                  <w:marBottom w:val="100"/>
                  <w:divBdr>
                    <w:top w:val="none" w:sz="0" w:space="0" w:color="auto"/>
                    <w:left w:val="none" w:sz="0" w:space="0" w:color="auto"/>
                    <w:bottom w:val="none" w:sz="0" w:space="0" w:color="auto"/>
                    <w:right w:val="none" w:sz="0" w:space="0" w:color="auto"/>
                  </w:divBdr>
                  <w:divsChild>
                    <w:div w:id="338701096">
                      <w:marLeft w:val="0"/>
                      <w:marRight w:val="0"/>
                      <w:marTop w:val="0"/>
                      <w:marBottom w:val="0"/>
                      <w:divBdr>
                        <w:top w:val="none" w:sz="0" w:space="0" w:color="auto"/>
                        <w:left w:val="none" w:sz="0" w:space="0" w:color="auto"/>
                        <w:bottom w:val="none" w:sz="0" w:space="0" w:color="auto"/>
                        <w:right w:val="none" w:sz="0" w:space="0" w:color="auto"/>
                      </w:divBdr>
                      <w:divsChild>
                        <w:div w:id="749230984">
                          <w:marLeft w:val="0"/>
                          <w:marRight w:val="0"/>
                          <w:marTop w:val="0"/>
                          <w:marBottom w:val="0"/>
                          <w:divBdr>
                            <w:top w:val="none" w:sz="0" w:space="0" w:color="auto"/>
                            <w:left w:val="none" w:sz="0" w:space="0" w:color="auto"/>
                            <w:bottom w:val="none" w:sz="0" w:space="0" w:color="auto"/>
                            <w:right w:val="none" w:sz="0" w:space="0" w:color="auto"/>
                          </w:divBdr>
                          <w:divsChild>
                            <w:div w:id="296642975">
                              <w:marLeft w:val="0"/>
                              <w:marRight w:val="0"/>
                              <w:marTop w:val="0"/>
                              <w:marBottom w:val="0"/>
                              <w:divBdr>
                                <w:top w:val="none" w:sz="0" w:space="0" w:color="auto"/>
                                <w:left w:val="none" w:sz="0" w:space="0" w:color="auto"/>
                                <w:bottom w:val="none" w:sz="0" w:space="0" w:color="auto"/>
                                <w:right w:val="none" w:sz="0" w:space="0" w:color="auto"/>
                              </w:divBdr>
                              <w:divsChild>
                                <w:div w:id="978001916">
                                  <w:marLeft w:val="0"/>
                                  <w:marRight w:val="0"/>
                                  <w:marTop w:val="0"/>
                                  <w:marBottom w:val="0"/>
                                  <w:divBdr>
                                    <w:top w:val="none" w:sz="0" w:space="0" w:color="auto"/>
                                    <w:left w:val="none" w:sz="0" w:space="0" w:color="auto"/>
                                    <w:bottom w:val="none" w:sz="0" w:space="0" w:color="auto"/>
                                    <w:right w:val="none" w:sz="0" w:space="0" w:color="auto"/>
                                  </w:divBdr>
                                  <w:divsChild>
                                    <w:div w:id="1323585233">
                                      <w:marLeft w:val="0"/>
                                      <w:marRight w:val="0"/>
                                      <w:marTop w:val="0"/>
                                      <w:marBottom w:val="0"/>
                                      <w:divBdr>
                                        <w:top w:val="none" w:sz="0" w:space="0" w:color="auto"/>
                                        <w:left w:val="none" w:sz="0" w:space="0" w:color="auto"/>
                                        <w:bottom w:val="none" w:sz="0" w:space="0" w:color="auto"/>
                                        <w:right w:val="none" w:sz="0" w:space="0" w:color="auto"/>
                                      </w:divBdr>
                                      <w:divsChild>
                                        <w:div w:id="2103643516">
                                          <w:marLeft w:val="0"/>
                                          <w:marRight w:val="0"/>
                                          <w:marTop w:val="0"/>
                                          <w:marBottom w:val="0"/>
                                          <w:divBdr>
                                            <w:top w:val="none" w:sz="0" w:space="0" w:color="auto"/>
                                            <w:left w:val="none" w:sz="0" w:space="0" w:color="auto"/>
                                            <w:bottom w:val="none" w:sz="0" w:space="0" w:color="auto"/>
                                            <w:right w:val="none" w:sz="0" w:space="0" w:color="auto"/>
                                          </w:divBdr>
                                          <w:divsChild>
                                            <w:div w:id="1712879167">
                                              <w:marLeft w:val="0"/>
                                              <w:marRight w:val="0"/>
                                              <w:marTop w:val="0"/>
                                              <w:marBottom w:val="0"/>
                                              <w:divBdr>
                                                <w:top w:val="single" w:sz="6" w:space="0" w:color="B6D444"/>
                                                <w:left w:val="none" w:sz="0" w:space="0" w:color="auto"/>
                                                <w:bottom w:val="none" w:sz="0" w:space="0" w:color="auto"/>
                                                <w:right w:val="none" w:sz="0" w:space="0" w:color="auto"/>
                                              </w:divBdr>
                                              <w:divsChild>
                                                <w:div w:id="557522506">
                                                  <w:marLeft w:val="0"/>
                                                  <w:marRight w:val="0"/>
                                                  <w:marTop w:val="0"/>
                                                  <w:marBottom w:val="0"/>
                                                  <w:divBdr>
                                                    <w:top w:val="none" w:sz="0" w:space="0" w:color="auto"/>
                                                    <w:left w:val="none" w:sz="0" w:space="0" w:color="auto"/>
                                                    <w:bottom w:val="none" w:sz="0" w:space="0" w:color="auto"/>
                                                    <w:right w:val="none" w:sz="0" w:space="0" w:color="auto"/>
                                                  </w:divBdr>
                                                </w:div>
                                                <w:div w:id="368575950">
                                                  <w:blockQuote w:val="1"/>
                                                  <w:marLeft w:val="0"/>
                                                  <w:marRight w:val="720"/>
                                                  <w:marTop w:val="100"/>
                                                  <w:marBottom w:val="100"/>
                                                  <w:divBdr>
                                                    <w:top w:val="none" w:sz="0" w:space="0" w:color="auto"/>
                                                    <w:left w:val="none" w:sz="0" w:space="0" w:color="auto"/>
                                                    <w:bottom w:val="none" w:sz="0" w:space="0" w:color="auto"/>
                                                    <w:right w:val="none" w:sz="0" w:space="0" w:color="auto"/>
                                                  </w:divBdr>
                                                </w:div>
                                                <w:div w:id="1249345515">
                                                  <w:blockQuote w:val="1"/>
                                                  <w:marLeft w:val="0"/>
                                                  <w:marRight w:val="720"/>
                                                  <w:marTop w:val="100"/>
                                                  <w:marBottom w:val="100"/>
                                                  <w:divBdr>
                                                    <w:top w:val="none" w:sz="0" w:space="0" w:color="auto"/>
                                                    <w:left w:val="none" w:sz="0" w:space="0" w:color="auto"/>
                                                    <w:bottom w:val="none" w:sz="0" w:space="0" w:color="auto"/>
                                                    <w:right w:val="none" w:sz="0" w:space="0" w:color="auto"/>
                                                  </w:divBdr>
                                                </w:div>
                                                <w:div w:id="42681635">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405600">
      <w:bodyDiv w:val="1"/>
      <w:marLeft w:val="0"/>
      <w:marRight w:val="0"/>
      <w:marTop w:val="0"/>
      <w:marBottom w:val="0"/>
      <w:divBdr>
        <w:top w:val="none" w:sz="0" w:space="0" w:color="auto"/>
        <w:left w:val="none" w:sz="0" w:space="0" w:color="auto"/>
        <w:bottom w:val="none" w:sz="0" w:space="0" w:color="auto"/>
        <w:right w:val="none" w:sz="0" w:space="0" w:color="auto"/>
      </w:divBdr>
      <w:divsChild>
        <w:div w:id="1796673862">
          <w:marLeft w:val="0"/>
          <w:marRight w:val="0"/>
          <w:marTop w:val="0"/>
          <w:marBottom w:val="0"/>
          <w:divBdr>
            <w:top w:val="none" w:sz="0" w:space="0" w:color="auto"/>
            <w:left w:val="none" w:sz="0" w:space="0" w:color="auto"/>
            <w:bottom w:val="none" w:sz="0" w:space="0" w:color="auto"/>
            <w:right w:val="none" w:sz="0" w:space="0" w:color="auto"/>
          </w:divBdr>
          <w:divsChild>
            <w:div w:id="416631035">
              <w:marLeft w:val="0"/>
              <w:marRight w:val="0"/>
              <w:marTop w:val="0"/>
              <w:marBottom w:val="0"/>
              <w:divBdr>
                <w:top w:val="none" w:sz="0" w:space="0" w:color="auto"/>
                <w:left w:val="none" w:sz="0" w:space="0" w:color="auto"/>
                <w:bottom w:val="none" w:sz="0" w:space="0" w:color="auto"/>
                <w:right w:val="none" w:sz="0" w:space="0" w:color="auto"/>
              </w:divBdr>
              <w:divsChild>
                <w:div w:id="1505045878">
                  <w:marLeft w:val="0"/>
                  <w:marRight w:val="0"/>
                  <w:marTop w:val="0"/>
                  <w:marBottom w:val="0"/>
                  <w:divBdr>
                    <w:top w:val="none" w:sz="0" w:space="0" w:color="auto"/>
                    <w:left w:val="none" w:sz="0" w:space="0" w:color="auto"/>
                    <w:bottom w:val="none" w:sz="0" w:space="0" w:color="auto"/>
                    <w:right w:val="none" w:sz="0" w:space="0" w:color="auto"/>
                  </w:divBdr>
                  <w:divsChild>
                    <w:div w:id="1129054998">
                      <w:marLeft w:val="0"/>
                      <w:marRight w:val="0"/>
                      <w:marTop w:val="0"/>
                      <w:marBottom w:val="0"/>
                      <w:divBdr>
                        <w:top w:val="none" w:sz="0" w:space="0" w:color="auto"/>
                        <w:left w:val="none" w:sz="0" w:space="0" w:color="auto"/>
                        <w:bottom w:val="none" w:sz="0" w:space="0" w:color="auto"/>
                        <w:right w:val="none" w:sz="0" w:space="0" w:color="auto"/>
                      </w:divBdr>
                      <w:divsChild>
                        <w:div w:id="592861058">
                          <w:marLeft w:val="0"/>
                          <w:marRight w:val="0"/>
                          <w:marTop w:val="0"/>
                          <w:marBottom w:val="0"/>
                          <w:divBdr>
                            <w:top w:val="none" w:sz="0" w:space="0" w:color="auto"/>
                            <w:left w:val="none" w:sz="0" w:space="0" w:color="auto"/>
                            <w:bottom w:val="none" w:sz="0" w:space="0" w:color="auto"/>
                            <w:right w:val="none" w:sz="0" w:space="0" w:color="auto"/>
                          </w:divBdr>
                          <w:divsChild>
                            <w:div w:id="583418412">
                              <w:marLeft w:val="0"/>
                              <w:marRight w:val="0"/>
                              <w:marTop w:val="0"/>
                              <w:marBottom w:val="0"/>
                              <w:divBdr>
                                <w:top w:val="none" w:sz="0" w:space="0" w:color="auto"/>
                                <w:left w:val="none" w:sz="0" w:space="0" w:color="auto"/>
                                <w:bottom w:val="none" w:sz="0" w:space="0" w:color="auto"/>
                                <w:right w:val="none" w:sz="0" w:space="0" w:color="auto"/>
                              </w:divBdr>
                              <w:divsChild>
                                <w:div w:id="17357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795063">
      <w:bodyDiv w:val="1"/>
      <w:marLeft w:val="0"/>
      <w:marRight w:val="0"/>
      <w:marTop w:val="0"/>
      <w:marBottom w:val="0"/>
      <w:divBdr>
        <w:top w:val="none" w:sz="0" w:space="0" w:color="auto"/>
        <w:left w:val="none" w:sz="0" w:space="0" w:color="auto"/>
        <w:bottom w:val="none" w:sz="0" w:space="0" w:color="auto"/>
        <w:right w:val="none" w:sz="0" w:space="0" w:color="auto"/>
      </w:divBdr>
      <w:divsChild>
        <w:div w:id="706683681">
          <w:marLeft w:val="0"/>
          <w:marRight w:val="0"/>
          <w:marTop w:val="0"/>
          <w:marBottom w:val="0"/>
          <w:divBdr>
            <w:top w:val="single" w:sz="2" w:space="0" w:color="AAAAAA"/>
            <w:left w:val="single" w:sz="6" w:space="8" w:color="AAAAAA"/>
            <w:bottom w:val="single" w:sz="2" w:space="0" w:color="AAAAAA"/>
            <w:right w:val="single" w:sz="6" w:space="8" w:color="AAAAAA"/>
          </w:divBdr>
          <w:divsChild>
            <w:div w:id="276791226">
              <w:marLeft w:val="0"/>
              <w:marRight w:val="0"/>
              <w:marTop w:val="0"/>
              <w:marBottom w:val="0"/>
              <w:divBdr>
                <w:top w:val="none" w:sz="0" w:space="0" w:color="auto"/>
                <w:left w:val="none" w:sz="0" w:space="0" w:color="auto"/>
                <w:bottom w:val="none" w:sz="0" w:space="0" w:color="auto"/>
                <w:right w:val="none" w:sz="0" w:space="0" w:color="auto"/>
              </w:divBdr>
              <w:divsChild>
                <w:div w:id="1512911402">
                  <w:marLeft w:val="0"/>
                  <w:marRight w:val="0"/>
                  <w:marTop w:val="0"/>
                  <w:marBottom w:val="0"/>
                  <w:divBdr>
                    <w:top w:val="none" w:sz="0" w:space="0" w:color="auto"/>
                    <w:left w:val="none" w:sz="0" w:space="0" w:color="auto"/>
                    <w:bottom w:val="none" w:sz="0" w:space="0" w:color="auto"/>
                    <w:right w:val="none" w:sz="0" w:space="0" w:color="auto"/>
                  </w:divBdr>
                  <w:divsChild>
                    <w:div w:id="407535377">
                      <w:marLeft w:val="0"/>
                      <w:marRight w:val="2550"/>
                      <w:marTop w:val="0"/>
                      <w:marBottom w:val="48"/>
                      <w:divBdr>
                        <w:top w:val="none" w:sz="0" w:space="0" w:color="auto"/>
                        <w:left w:val="none" w:sz="0" w:space="0" w:color="auto"/>
                        <w:bottom w:val="none" w:sz="0" w:space="0" w:color="auto"/>
                        <w:right w:val="none" w:sz="0" w:space="0" w:color="auto"/>
                      </w:divBdr>
                      <w:divsChild>
                        <w:div w:id="10871951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030179500">
      <w:bodyDiv w:val="1"/>
      <w:marLeft w:val="0"/>
      <w:marRight w:val="0"/>
      <w:marTop w:val="0"/>
      <w:marBottom w:val="0"/>
      <w:divBdr>
        <w:top w:val="none" w:sz="0" w:space="0" w:color="auto"/>
        <w:left w:val="none" w:sz="0" w:space="0" w:color="auto"/>
        <w:bottom w:val="none" w:sz="0" w:space="0" w:color="auto"/>
        <w:right w:val="none" w:sz="0" w:space="0" w:color="auto"/>
      </w:divBdr>
      <w:divsChild>
        <w:div w:id="2107460375">
          <w:marLeft w:val="0"/>
          <w:marRight w:val="0"/>
          <w:marTop w:val="0"/>
          <w:marBottom w:val="0"/>
          <w:divBdr>
            <w:top w:val="none" w:sz="0" w:space="0" w:color="auto"/>
            <w:left w:val="none" w:sz="0" w:space="0" w:color="auto"/>
            <w:bottom w:val="none" w:sz="0" w:space="0" w:color="auto"/>
            <w:right w:val="none" w:sz="0" w:space="0" w:color="auto"/>
          </w:divBdr>
          <w:divsChild>
            <w:div w:id="228687520">
              <w:marLeft w:val="0"/>
              <w:marRight w:val="0"/>
              <w:marTop w:val="0"/>
              <w:marBottom w:val="0"/>
              <w:divBdr>
                <w:top w:val="none" w:sz="0" w:space="0" w:color="auto"/>
                <w:left w:val="none" w:sz="0" w:space="0" w:color="auto"/>
                <w:bottom w:val="none" w:sz="0" w:space="0" w:color="auto"/>
                <w:right w:val="none" w:sz="0" w:space="0" w:color="auto"/>
              </w:divBdr>
              <w:divsChild>
                <w:div w:id="1447650688">
                  <w:marLeft w:val="0"/>
                  <w:marRight w:val="0"/>
                  <w:marTop w:val="0"/>
                  <w:marBottom w:val="0"/>
                  <w:divBdr>
                    <w:top w:val="none" w:sz="0" w:space="0" w:color="auto"/>
                    <w:left w:val="none" w:sz="0" w:space="0" w:color="auto"/>
                    <w:bottom w:val="none" w:sz="0" w:space="0" w:color="auto"/>
                    <w:right w:val="none" w:sz="0" w:space="0" w:color="auto"/>
                  </w:divBdr>
                  <w:divsChild>
                    <w:div w:id="758135941">
                      <w:marLeft w:val="0"/>
                      <w:marRight w:val="0"/>
                      <w:marTop w:val="0"/>
                      <w:marBottom w:val="0"/>
                      <w:divBdr>
                        <w:top w:val="none" w:sz="0" w:space="0" w:color="auto"/>
                        <w:left w:val="none" w:sz="0" w:space="0" w:color="auto"/>
                        <w:bottom w:val="none" w:sz="0" w:space="0" w:color="auto"/>
                        <w:right w:val="none" w:sz="0" w:space="0" w:color="auto"/>
                      </w:divBdr>
                      <w:divsChild>
                        <w:div w:id="1327049852">
                          <w:marLeft w:val="0"/>
                          <w:marRight w:val="0"/>
                          <w:marTop w:val="0"/>
                          <w:marBottom w:val="0"/>
                          <w:divBdr>
                            <w:top w:val="none" w:sz="0" w:space="0" w:color="auto"/>
                            <w:left w:val="none" w:sz="0" w:space="0" w:color="auto"/>
                            <w:bottom w:val="none" w:sz="0" w:space="0" w:color="auto"/>
                            <w:right w:val="none" w:sz="0" w:space="0" w:color="auto"/>
                          </w:divBdr>
                          <w:divsChild>
                            <w:div w:id="665783963">
                              <w:marLeft w:val="0"/>
                              <w:marRight w:val="0"/>
                              <w:marTop w:val="0"/>
                              <w:marBottom w:val="0"/>
                              <w:divBdr>
                                <w:top w:val="none" w:sz="0" w:space="0" w:color="auto"/>
                                <w:left w:val="none" w:sz="0" w:space="0" w:color="auto"/>
                                <w:bottom w:val="none" w:sz="0" w:space="0" w:color="auto"/>
                                <w:right w:val="none" w:sz="0" w:space="0" w:color="auto"/>
                              </w:divBdr>
                              <w:divsChild>
                                <w:div w:id="1662195568">
                                  <w:marLeft w:val="0"/>
                                  <w:marRight w:val="0"/>
                                  <w:marTop w:val="0"/>
                                  <w:marBottom w:val="0"/>
                                  <w:divBdr>
                                    <w:top w:val="none" w:sz="0" w:space="0" w:color="auto"/>
                                    <w:left w:val="none" w:sz="0" w:space="0" w:color="auto"/>
                                    <w:bottom w:val="none" w:sz="0" w:space="0" w:color="auto"/>
                                    <w:right w:val="none" w:sz="0" w:space="0" w:color="auto"/>
                                  </w:divBdr>
                                  <w:divsChild>
                                    <w:div w:id="779959256">
                                      <w:marLeft w:val="0"/>
                                      <w:marRight w:val="0"/>
                                      <w:marTop w:val="0"/>
                                      <w:marBottom w:val="0"/>
                                      <w:divBdr>
                                        <w:top w:val="none" w:sz="0" w:space="0" w:color="auto"/>
                                        <w:left w:val="none" w:sz="0" w:space="0" w:color="auto"/>
                                        <w:bottom w:val="none" w:sz="0" w:space="0" w:color="auto"/>
                                        <w:right w:val="none" w:sz="0" w:space="0" w:color="auto"/>
                                      </w:divBdr>
                                      <w:divsChild>
                                        <w:div w:id="925457449">
                                          <w:marLeft w:val="0"/>
                                          <w:marRight w:val="0"/>
                                          <w:marTop w:val="0"/>
                                          <w:marBottom w:val="0"/>
                                          <w:divBdr>
                                            <w:top w:val="none" w:sz="0" w:space="0" w:color="auto"/>
                                            <w:left w:val="none" w:sz="0" w:space="0" w:color="auto"/>
                                            <w:bottom w:val="none" w:sz="0" w:space="0" w:color="auto"/>
                                            <w:right w:val="none" w:sz="0" w:space="0" w:color="auto"/>
                                          </w:divBdr>
                                          <w:divsChild>
                                            <w:div w:id="706563112">
                                              <w:marLeft w:val="0"/>
                                              <w:marRight w:val="0"/>
                                              <w:marTop w:val="0"/>
                                              <w:marBottom w:val="0"/>
                                              <w:divBdr>
                                                <w:top w:val="none" w:sz="0" w:space="0" w:color="auto"/>
                                                <w:left w:val="none" w:sz="0" w:space="0" w:color="auto"/>
                                                <w:bottom w:val="none" w:sz="0" w:space="0" w:color="auto"/>
                                                <w:right w:val="none" w:sz="0" w:space="0" w:color="auto"/>
                                              </w:divBdr>
                                              <w:divsChild>
                                                <w:div w:id="1655572321">
                                                  <w:marLeft w:val="0"/>
                                                  <w:marRight w:val="0"/>
                                                  <w:marTop w:val="0"/>
                                                  <w:marBottom w:val="0"/>
                                                  <w:divBdr>
                                                    <w:top w:val="none" w:sz="0" w:space="0" w:color="auto"/>
                                                    <w:left w:val="none" w:sz="0" w:space="0" w:color="auto"/>
                                                    <w:bottom w:val="none" w:sz="0" w:space="0" w:color="auto"/>
                                                    <w:right w:val="none" w:sz="0" w:space="0" w:color="auto"/>
                                                  </w:divBdr>
                                                  <w:divsChild>
                                                    <w:div w:id="1384788247">
                                                      <w:marLeft w:val="0"/>
                                                      <w:marRight w:val="0"/>
                                                      <w:marTop w:val="0"/>
                                                      <w:marBottom w:val="0"/>
                                                      <w:divBdr>
                                                        <w:top w:val="none" w:sz="0" w:space="0" w:color="auto"/>
                                                        <w:left w:val="none" w:sz="0" w:space="0" w:color="auto"/>
                                                        <w:bottom w:val="none" w:sz="0" w:space="0" w:color="auto"/>
                                                        <w:right w:val="none" w:sz="0" w:space="0" w:color="auto"/>
                                                      </w:divBdr>
                                                      <w:divsChild>
                                                        <w:div w:id="269169701">
                                                          <w:marLeft w:val="0"/>
                                                          <w:marRight w:val="0"/>
                                                          <w:marTop w:val="0"/>
                                                          <w:marBottom w:val="0"/>
                                                          <w:divBdr>
                                                            <w:top w:val="none" w:sz="0" w:space="0" w:color="auto"/>
                                                            <w:left w:val="none" w:sz="0" w:space="0" w:color="auto"/>
                                                            <w:bottom w:val="none" w:sz="0" w:space="0" w:color="auto"/>
                                                            <w:right w:val="none" w:sz="0" w:space="0" w:color="auto"/>
                                                          </w:divBdr>
                                                        </w:div>
                                                        <w:div w:id="1356685804">
                                                          <w:marLeft w:val="0"/>
                                                          <w:marRight w:val="0"/>
                                                          <w:marTop w:val="0"/>
                                                          <w:marBottom w:val="0"/>
                                                          <w:divBdr>
                                                            <w:top w:val="none" w:sz="0" w:space="0" w:color="auto"/>
                                                            <w:left w:val="none" w:sz="0" w:space="0" w:color="auto"/>
                                                            <w:bottom w:val="none" w:sz="0" w:space="0" w:color="auto"/>
                                                            <w:right w:val="none" w:sz="0" w:space="0" w:color="auto"/>
                                                          </w:divBdr>
                                                          <w:divsChild>
                                                            <w:div w:id="15090992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641228">
      <w:bodyDiv w:val="1"/>
      <w:marLeft w:val="0"/>
      <w:marRight w:val="0"/>
      <w:marTop w:val="0"/>
      <w:marBottom w:val="0"/>
      <w:divBdr>
        <w:top w:val="none" w:sz="0" w:space="0" w:color="auto"/>
        <w:left w:val="none" w:sz="0" w:space="0" w:color="auto"/>
        <w:bottom w:val="none" w:sz="0" w:space="0" w:color="auto"/>
        <w:right w:val="none" w:sz="0" w:space="0" w:color="auto"/>
      </w:divBdr>
      <w:divsChild>
        <w:div w:id="136461301">
          <w:marLeft w:val="0"/>
          <w:marRight w:val="0"/>
          <w:marTop w:val="0"/>
          <w:marBottom w:val="0"/>
          <w:divBdr>
            <w:top w:val="none" w:sz="0" w:space="0" w:color="auto"/>
            <w:left w:val="none" w:sz="0" w:space="0" w:color="auto"/>
            <w:bottom w:val="none" w:sz="0" w:space="0" w:color="auto"/>
            <w:right w:val="none" w:sz="0" w:space="0" w:color="auto"/>
          </w:divBdr>
          <w:divsChild>
            <w:div w:id="1111168662">
              <w:marLeft w:val="210"/>
              <w:marRight w:val="0"/>
              <w:marTop w:val="0"/>
              <w:marBottom w:val="0"/>
              <w:divBdr>
                <w:top w:val="none" w:sz="0" w:space="0" w:color="auto"/>
                <w:left w:val="none" w:sz="0" w:space="0" w:color="auto"/>
                <w:bottom w:val="none" w:sz="0" w:space="0" w:color="auto"/>
                <w:right w:val="none" w:sz="0" w:space="0" w:color="auto"/>
              </w:divBdr>
              <w:divsChild>
                <w:div w:id="51002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4060">
      <w:bodyDiv w:val="1"/>
      <w:marLeft w:val="0"/>
      <w:marRight w:val="0"/>
      <w:marTop w:val="0"/>
      <w:marBottom w:val="0"/>
      <w:divBdr>
        <w:top w:val="none" w:sz="0" w:space="0" w:color="auto"/>
        <w:left w:val="none" w:sz="0" w:space="0" w:color="auto"/>
        <w:bottom w:val="none" w:sz="0" w:space="0" w:color="auto"/>
        <w:right w:val="none" w:sz="0" w:space="0" w:color="auto"/>
      </w:divBdr>
      <w:divsChild>
        <w:div w:id="14163238">
          <w:marLeft w:val="0"/>
          <w:marRight w:val="0"/>
          <w:marTop w:val="0"/>
          <w:marBottom w:val="0"/>
          <w:divBdr>
            <w:top w:val="none" w:sz="0" w:space="0" w:color="auto"/>
            <w:left w:val="none" w:sz="0" w:space="0" w:color="auto"/>
            <w:bottom w:val="none" w:sz="0" w:space="0" w:color="auto"/>
            <w:right w:val="none" w:sz="0" w:space="0" w:color="auto"/>
          </w:divBdr>
          <w:divsChild>
            <w:div w:id="1184130585">
              <w:marLeft w:val="0"/>
              <w:marRight w:val="0"/>
              <w:marTop w:val="0"/>
              <w:marBottom w:val="0"/>
              <w:divBdr>
                <w:top w:val="none" w:sz="0" w:space="0" w:color="auto"/>
                <w:left w:val="none" w:sz="0" w:space="0" w:color="auto"/>
                <w:bottom w:val="none" w:sz="0" w:space="0" w:color="auto"/>
                <w:right w:val="none" w:sz="0" w:space="0" w:color="auto"/>
              </w:divBdr>
              <w:divsChild>
                <w:div w:id="1104108966">
                  <w:marLeft w:val="0"/>
                  <w:marRight w:val="0"/>
                  <w:marTop w:val="0"/>
                  <w:marBottom w:val="0"/>
                  <w:divBdr>
                    <w:top w:val="none" w:sz="0" w:space="0" w:color="auto"/>
                    <w:left w:val="none" w:sz="0" w:space="0" w:color="auto"/>
                    <w:bottom w:val="none" w:sz="0" w:space="0" w:color="auto"/>
                    <w:right w:val="none" w:sz="0" w:space="0" w:color="auto"/>
                  </w:divBdr>
                  <w:divsChild>
                    <w:div w:id="1242838141">
                      <w:marLeft w:val="0"/>
                      <w:marRight w:val="0"/>
                      <w:marTop w:val="0"/>
                      <w:marBottom w:val="0"/>
                      <w:divBdr>
                        <w:top w:val="none" w:sz="0" w:space="0" w:color="auto"/>
                        <w:left w:val="none" w:sz="0" w:space="0" w:color="auto"/>
                        <w:bottom w:val="none" w:sz="0" w:space="0" w:color="auto"/>
                        <w:right w:val="none" w:sz="0" w:space="0" w:color="auto"/>
                      </w:divBdr>
                      <w:divsChild>
                        <w:div w:id="480855554">
                          <w:marLeft w:val="0"/>
                          <w:marRight w:val="0"/>
                          <w:marTop w:val="0"/>
                          <w:marBottom w:val="0"/>
                          <w:divBdr>
                            <w:top w:val="none" w:sz="0" w:space="0" w:color="auto"/>
                            <w:left w:val="none" w:sz="0" w:space="0" w:color="auto"/>
                            <w:bottom w:val="none" w:sz="0" w:space="0" w:color="auto"/>
                            <w:right w:val="none" w:sz="0" w:space="0" w:color="auto"/>
                          </w:divBdr>
                          <w:divsChild>
                            <w:div w:id="1898776837">
                              <w:marLeft w:val="0"/>
                              <w:marRight w:val="0"/>
                              <w:marTop w:val="0"/>
                              <w:marBottom w:val="0"/>
                              <w:divBdr>
                                <w:top w:val="none" w:sz="0" w:space="0" w:color="auto"/>
                                <w:left w:val="none" w:sz="0" w:space="0" w:color="auto"/>
                                <w:bottom w:val="none" w:sz="0" w:space="0" w:color="auto"/>
                                <w:right w:val="none" w:sz="0" w:space="0" w:color="auto"/>
                              </w:divBdr>
                              <w:divsChild>
                                <w:div w:id="614555718">
                                  <w:marLeft w:val="0"/>
                                  <w:marRight w:val="0"/>
                                  <w:marTop w:val="0"/>
                                  <w:marBottom w:val="0"/>
                                  <w:divBdr>
                                    <w:top w:val="none" w:sz="0" w:space="0" w:color="auto"/>
                                    <w:left w:val="none" w:sz="0" w:space="0" w:color="auto"/>
                                    <w:bottom w:val="none" w:sz="0" w:space="0" w:color="auto"/>
                                    <w:right w:val="none" w:sz="0" w:space="0" w:color="auto"/>
                                  </w:divBdr>
                                  <w:divsChild>
                                    <w:div w:id="769398479">
                                      <w:marLeft w:val="0"/>
                                      <w:marRight w:val="0"/>
                                      <w:marTop w:val="0"/>
                                      <w:marBottom w:val="0"/>
                                      <w:divBdr>
                                        <w:top w:val="none" w:sz="0" w:space="0" w:color="auto"/>
                                        <w:left w:val="none" w:sz="0" w:space="0" w:color="auto"/>
                                        <w:bottom w:val="none" w:sz="0" w:space="0" w:color="auto"/>
                                        <w:right w:val="none" w:sz="0" w:space="0" w:color="auto"/>
                                      </w:divBdr>
                                      <w:divsChild>
                                        <w:div w:id="21131083">
                                          <w:marLeft w:val="0"/>
                                          <w:marRight w:val="0"/>
                                          <w:marTop w:val="0"/>
                                          <w:marBottom w:val="0"/>
                                          <w:divBdr>
                                            <w:top w:val="none" w:sz="0" w:space="0" w:color="auto"/>
                                            <w:left w:val="none" w:sz="0" w:space="0" w:color="auto"/>
                                            <w:bottom w:val="none" w:sz="0" w:space="0" w:color="auto"/>
                                            <w:right w:val="none" w:sz="0" w:space="0" w:color="auto"/>
                                          </w:divBdr>
                                        </w:div>
                                        <w:div w:id="2119981554">
                                          <w:marLeft w:val="0"/>
                                          <w:marRight w:val="0"/>
                                          <w:marTop w:val="0"/>
                                          <w:marBottom w:val="0"/>
                                          <w:divBdr>
                                            <w:top w:val="none" w:sz="0" w:space="0" w:color="auto"/>
                                            <w:left w:val="none" w:sz="0" w:space="0" w:color="auto"/>
                                            <w:bottom w:val="none" w:sz="0" w:space="0" w:color="auto"/>
                                            <w:right w:val="none" w:sz="0" w:space="0" w:color="auto"/>
                                          </w:divBdr>
                                          <w:divsChild>
                                            <w:div w:id="15329610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2608962">
      <w:bodyDiv w:val="1"/>
      <w:marLeft w:val="0"/>
      <w:marRight w:val="0"/>
      <w:marTop w:val="0"/>
      <w:marBottom w:val="0"/>
      <w:divBdr>
        <w:top w:val="none" w:sz="0" w:space="0" w:color="auto"/>
        <w:left w:val="none" w:sz="0" w:space="0" w:color="auto"/>
        <w:bottom w:val="none" w:sz="0" w:space="0" w:color="auto"/>
        <w:right w:val="none" w:sz="0" w:space="0" w:color="auto"/>
      </w:divBdr>
    </w:div>
    <w:div w:id="1035034141">
      <w:bodyDiv w:val="1"/>
      <w:marLeft w:val="0"/>
      <w:marRight w:val="0"/>
      <w:marTop w:val="0"/>
      <w:marBottom w:val="0"/>
      <w:divBdr>
        <w:top w:val="none" w:sz="0" w:space="0" w:color="auto"/>
        <w:left w:val="none" w:sz="0" w:space="0" w:color="auto"/>
        <w:bottom w:val="none" w:sz="0" w:space="0" w:color="auto"/>
        <w:right w:val="none" w:sz="0" w:space="0" w:color="auto"/>
      </w:divBdr>
    </w:div>
    <w:div w:id="1037319194">
      <w:bodyDiv w:val="1"/>
      <w:marLeft w:val="0"/>
      <w:marRight w:val="0"/>
      <w:marTop w:val="0"/>
      <w:marBottom w:val="0"/>
      <w:divBdr>
        <w:top w:val="none" w:sz="0" w:space="0" w:color="auto"/>
        <w:left w:val="none" w:sz="0" w:space="0" w:color="auto"/>
        <w:bottom w:val="none" w:sz="0" w:space="0" w:color="auto"/>
        <w:right w:val="none" w:sz="0" w:space="0" w:color="auto"/>
      </w:divBdr>
      <w:divsChild>
        <w:div w:id="739906593">
          <w:marLeft w:val="0"/>
          <w:marRight w:val="0"/>
          <w:marTop w:val="0"/>
          <w:marBottom w:val="0"/>
          <w:divBdr>
            <w:top w:val="single" w:sz="6" w:space="0" w:color="0E477A"/>
            <w:left w:val="single" w:sz="6" w:space="0" w:color="0E477A"/>
            <w:bottom w:val="single" w:sz="6" w:space="0" w:color="0E477A"/>
            <w:right w:val="single" w:sz="6" w:space="0" w:color="0E477A"/>
          </w:divBdr>
          <w:divsChild>
            <w:div w:id="754130010">
              <w:marLeft w:val="0"/>
              <w:marRight w:val="0"/>
              <w:marTop w:val="0"/>
              <w:marBottom w:val="0"/>
              <w:divBdr>
                <w:top w:val="none" w:sz="0" w:space="0" w:color="auto"/>
                <w:left w:val="none" w:sz="0" w:space="0" w:color="auto"/>
                <w:bottom w:val="none" w:sz="0" w:space="0" w:color="auto"/>
                <w:right w:val="none" w:sz="0" w:space="0" w:color="auto"/>
              </w:divBdr>
              <w:divsChild>
                <w:div w:id="1071923649">
                  <w:marLeft w:val="0"/>
                  <w:marRight w:val="0"/>
                  <w:marTop w:val="0"/>
                  <w:marBottom w:val="0"/>
                  <w:divBdr>
                    <w:top w:val="none" w:sz="0" w:space="0" w:color="auto"/>
                    <w:left w:val="none" w:sz="0" w:space="0" w:color="auto"/>
                    <w:bottom w:val="none" w:sz="0" w:space="0" w:color="auto"/>
                    <w:right w:val="none" w:sz="0" w:space="0" w:color="auto"/>
                  </w:divBdr>
                  <w:divsChild>
                    <w:div w:id="1891384266">
                      <w:marLeft w:val="0"/>
                      <w:marRight w:val="0"/>
                      <w:marTop w:val="0"/>
                      <w:marBottom w:val="0"/>
                      <w:divBdr>
                        <w:top w:val="none" w:sz="0" w:space="0" w:color="auto"/>
                        <w:left w:val="none" w:sz="0" w:space="0" w:color="auto"/>
                        <w:bottom w:val="none" w:sz="0" w:space="0" w:color="auto"/>
                        <w:right w:val="none" w:sz="0" w:space="0" w:color="auto"/>
                      </w:divBdr>
                      <w:divsChild>
                        <w:div w:id="1444224051">
                          <w:marLeft w:val="0"/>
                          <w:marRight w:val="0"/>
                          <w:marTop w:val="0"/>
                          <w:marBottom w:val="0"/>
                          <w:divBdr>
                            <w:top w:val="none" w:sz="0" w:space="0" w:color="auto"/>
                            <w:left w:val="none" w:sz="0" w:space="0" w:color="auto"/>
                            <w:bottom w:val="none" w:sz="0" w:space="0" w:color="auto"/>
                            <w:right w:val="none" w:sz="0" w:space="0" w:color="auto"/>
                          </w:divBdr>
                          <w:divsChild>
                            <w:div w:id="242185516">
                              <w:marLeft w:val="0"/>
                              <w:marRight w:val="0"/>
                              <w:marTop w:val="0"/>
                              <w:marBottom w:val="0"/>
                              <w:divBdr>
                                <w:top w:val="none" w:sz="0" w:space="0" w:color="auto"/>
                                <w:left w:val="none" w:sz="0" w:space="0" w:color="auto"/>
                                <w:bottom w:val="none" w:sz="0" w:space="0" w:color="auto"/>
                                <w:right w:val="none" w:sz="0" w:space="0" w:color="auto"/>
                              </w:divBdr>
                              <w:divsChild>
                                <w:div w:id="7435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507108">
      <w:bodyDiv w:val="1"/>
      <w:marLeft w:val="0"/>
      <w:marRight w:val="0"/>
      <w:marTop w:val="0"/>
      <w:marBottom w:val="0"/>
      <w:divBdr>
        <w:top w:val="none" w:sz="0" w:space="0" w:color="auto"/>
        <w:left w:val="none" w:sz="0" w:space="0" w:color="auto"/>
        <w:bottom w:val="none" w:sz="0" w:space="0" w:color="auto"/>
        <w:right w:val="none" w:sz="0" w:space="0" w:color="auto"/>
      </w:divBdr>
    </w:div>
    <w:div w:id="1038432570">
      <w:bodyDiv w:val="1"/>
      <w:marLeft w:val="0"/>
      <w:marRight w:val="0"/>
      <w:marTop w:val="0"/>
      <w:marBottom w:val="0"/>
      <w:divBdr>
        <w:top w:val="none" w:sz="0" w:space="0" w:color="auto"/>
        <w:left w:val="none" w:sz="0" w:space="0" w:color="auto"/>
        <w:bottom w:val="none" w:sz="0" w:space="0" w:color="auto"/>
        <w:right w:val="none" w:sz="0" w:space="0" w:color="auto"/>
      </w:divBdr>
      <w:divsChild>
        <w:div w:id="568341866">
          <w:marLeft w:val="0"/>
          <w:marRight w:val="0"/>
          <w:marTop w:val="0"/>
          <w:marBottom w:val="0"/>
          <w:divBdr>
            <w:top w:val="none" w:sz="0" w:space="0" w:color="auto"/>
            <w:left w:val="none" w:sz="0" w:space="0" w:color="auto"/>
            <w:bottom w:val="none" w:sz="0" w:space="0" w:color="auto"/>
            <w:right w:val="none" w:sz="0" w:space="0" w:color="auto"/>
          </w:divBdr>
          <w:divsChild>
            <w:div w:id="1394622746">
              <w:marLeft w:val="0"/>
              <w:marRight w:val="0"/>
              <w:marTop w:val="0"/>
              <w:marBottom w:val="0"/>
              <w:divBdr>
                <w:top w:val="none" w:sz="0" w:space="0" w:color="auto"/>
                <w:left w:val="none" w:sz="0" w:space="0" w:color="auto"/>
                <w:bottom w:val="none" w:sz="0" w:space="0" w:color="auto"/>
                <w:right w:val="none" w:sz="0" w:space="0" w:color="auto"/>
              </w:divBdr>
              <w:divsChild>
                <w:div w:id="1156653120">
                  <w:marLeft w:val="0"/>
                  <w:marRight w:val="0"/>
                  <w:marTop w:val="0"/>
                  <w:marBottom w:val="0"/>
                  <w:divBdr>
                    <w:top w:val="none" w:sz="0" w:space="0" w:color="auto"/>
                    <w:left w:val="none" w:sz="0" w:space="0" w:color="auto"/>
                    <w:bottom w:val="none" w:sz="0" w:space="0" w:color="auto"/>
                    <w:right w:val="none" w:sz="0" w:space="0" w:color="auto"/>
                  </w:divBdr>
                  <w:divsChild>
                    <w:div w:id="855971003">
                      <w:marLeft w:val="0"/>
                      <w:marRight w:val="0"/>
                      <w:marTop w:val="0"/>
                      <w:marBottom w:val="0"/>
                      <w:divBdr>
                        <w:top w:val="none" w:sz="0" w:space="0" w:color="auto"/>
                        <w:left w:val="none" w:sz="0" w:space="0" w:color="auto"/>
                        <w:bottom w:val="none" w:sz="0" w:space="0" w:color="auto"/>
                        <w:right w:val="none" w:sz="0" w:space="0" w:color="auto"/>
                      </w:divBdr>
                      <w:divsChild>
                        <w:div w:id="1152721200">
                          <w:marLeft w:val="0"/>
                          <w:marRight w:val="0"/>
                          <w:marTop w:val="0"/>
                          <w:marBottom w:val="0"/>
                          <w:divBdr>
                            <w:top w:val="none" w:sz="0" w:space="0" w:color="auto"/>
                            <w:left w:val="none" w:sz="0" w:space="0" w:color="auto"/>
                            <w:bottom w:val="none" w:sz="0" w:space="0" w:color="auto"/>
                            <w:right w:val="none" w:sz="0" w:space="0" w:color="auto"/>
                          </w:divBdr>
                        </w:div>
                      </w:divsChild>
                    </w:div>
                    <w:div w:id="1564490394">
                      <w:marLeft w:val="0"/>
                      <w:marRight w:val="0"/>
                      <w:marTop w:val="0"/>
                      <w:marBottom w:val="0"/>
                      <w:divBdr>
                        <w:top w:val="none" w:sz="0" w:space="0" w:color="auto"/>
                        <w:left w:val="none" w:sz="0" w:space="0" w:color="auto"/>
                        <w:bottom w:val="none" w:sz="0" w:space="0" w:color="auto"/>
                        <w:right w:val="none" w:sz="0" w:space="0" w:color="auto"/>
                      </w:divBdr>
                      <w:divsChild>
                        <w:div w:id="755319275">
                          <w:marLeft w:val="0"/>
                          <w:marRight w:val="0"/>
                          <w:marTop w:val="0"/>
                          <w:marBottom w:val="0"/>
                          <w:divBdr>
                            <w:top w:val="none" w:sz="0" w:space="0" w:color="auto"/>
                            <w:left w:val="none" w:sz="0" w:space="0" w:color="auto"/>
                            <w:bottom w:val="none" w:sz="0" w:space="0" w:color="auto"/>
                            <w:right w:val="none" w:sz="0" w:space="0" w:color="auto"/>
                          </w:divBdr>
                        </w:div>
                      </w:divsChild>
                    </w:div>
                    <w:div w:id="225383891">
                      <w:marLeft w:val="0"/>
                      <w:marRight w:val="0"/>
                      <w:marTop w:val="0"/>
                      <w:marBottom w:val="0"/>
                      <w:divBdr>
                        <w:top w:val="none" w:sz="0" w:space="0" w:color="auto"/>
                        <w:left w:val="none" w:sz="0" w:space="0" w:color="auto"/>
                        <w:bottom w:val="none" w:sz="0" w:space="0" w:color="auto"/>
                        <w:right w:val="none" w:sz="0" w:space="0" w:color="auto"/>
                      </w:divBdr>
                      <w:divsChild>
                        <w:div w:id="1016998515">
                          <w:marLeft w:val="0"/>
                          <w:marRight w:val="0"/>
                          <w:marTop w:val="0"/>
                          <w:marBottom w:val="0"/>
                          <w:divBdr>
                            <w:top w:val="none" w:sz="0" w:space="0" w:color="auto"/>
                            <w:left w:val="none" w:sz="0" w:space="0" w:color="auto"/>
                            <w:bottom w:val="none" w:sz="0" w:space="0" w:color="auto"/>
                            <w:right w:val="none" w:sz="0" w:space="0" w:color="auto"/>
                          </w:divBdr>
                        </w:div>
                      </w:divsChild>
                    </w:div>
                    <w:div w:id="2074309351">
                      <w:marLeft w:val="0"/>
                      <w:marRight w:val="0"/>
                      <w:marTop w:val="0"/>
                      <w:marBottom w:val="0"/>
                      <w:divBdr>
                        <w:top w:val="none" w:sz="0" w:space="0" w:color="auto"/>
                        <w:left w:val="none" w:sz="0" w:space="0" w:color="auto"/>
                        <w:bottom w:val="none" w:sz="0" w:space="0" w:color="auto"/>
                        <w:right w:val="none" w:sz="0" w:space="0" w:color="auto"/>
                      </w:divBdr>
                      <w:divsChild>
                        <w:div w:id="1391226494">
                          <w:marLeft w:val="0"/>
                          <w:marRight w:val="0"/>
                          <w:marTop w:val="0"/>
                          <w:marBottom w:val="0"/>
                          <w:divBdr>
                            <w:top w:val="none" w:sz="0" w:space="0" w:color="auto"/>
                            <w:left w:val="none" w:sz="0" w:space="0" w:color="auto"/>
                            <w:bottom w:val="none" w:sz="0" w:space="0" w:color="auto"/>
                            <w:right w:val="none" w:sz="0" w:space="0" w:color="auto"/>
                          </w:divBdr>
                        </w:div>
                      </w:divsChild>
                    </w:div>
                    <w:div w:id="2127499335">
                      <w:marLeft w:val="0"/>
                      <w:marRight w:val="0"/>
                      <w:marTop w:val="0"/>
                      <w:marBottom w:val="0"/>
                      <w:divBdr>
                        <w:top w:val="none" w:sz="0" w:space="0" w:color="auto"/>
                        <w:left w:val="none" w:sz="0" w:space="0" w:color="auto"/>
                        <w:bottom w:val="none" w:sz="0" w:space="0" w:color="auto"/>
                        <w:right w:val="none" w:sz="0" w:space="0" w:color="auto"/>
                      </w:divBdr>
                      <w:divsChild>
                        <w:div w:id="187959637">
                          <w:marLeft w:val="0"/>
                          <w:marRight w:val="0"/>
                          <w:marTop w:val="0"/>
                          <w:marBottom w:val="0"/>
                          <w:divBdr>
                            <w:top w:val="none" w:sz="0" w:space="0" w:color="auto"/>
                            <w:left w:val="none" w:sz="0" w:space="0" w:color="auto"/>
                            <w:bottom w:val="none" w:sz="0" w:space="0" w:color="auto"/>
                            <w:right w:val="none" w:sz="0" w:space="0" w:color="auto"/>
                          </w:divBdr>
                        </w:div>
                      </w:divsChild>
                    </w:div>
                    <w:div w:id="1713578558">
                      <w:marLeft w:val="0"/>
                      <w:marRight w:val="0"/>
                      <w:marTop w:val="0"/>
                      <w:marBottom w:val="0"/>
                      <w:divBdr>
                        <w:top w:val="none" w:sz="0" w:space="0" w:color="auto"/>
                        <w:left w:val="none" w:sz="0" w:space="0" w:color="auto"/>
                        <w:bottom w:val="none" w:sz="0" w:space="0" w:color="auto"/>
                        <w:right w:val="none" w:sz="0" w:space="0" w:color="auto"/>
                      </w:divBdr>
                      <w:divsChild>
                        <w:div w:id="9363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08365">
      <w:bodyDiv w:val="1"/>
      <w:marLeft w:val="0"/>
      <w:marRight w:val="0"/>
      <w:marTop w:val="0"/>
      <w:marBottom w:val="0"/>
      <w:divBdr>
        <w:top w:val="none" w:sz="0" w:space="0" w:color="auto"/>
        <w:left w:val="none" w:sz="0" w:space="0" w:color="auto"/>
        <w:bottom w:val="none" w:sz="0" w:space="0" w:color="auto"/>
        <w:right w:val="none" w:sz="0" w:space="0" w:color="auto"/>
      </w:divBdr>
      <w:divsChild>
        <w:div w:id="3745429">
          <w:marLeft w:val="0"/>
          <w:marRight w:val="0"/>
          <w:marTop w:val="0"/>
          <w:marBottom w:val="0"/>
          <w:divBdr>
            <w:top w:val="none" w:sz="0" w:space="0" w:color="auto"/>
            <w:left w:val="none" w:sz="0" w:space="0" w:color="auto"/>
            <w:bottom w:val="none" w:sz="0" w:space="0" w:color="auto"/>
            <w:right w:val="none" w:sz="0" w:space="0" w:color="auto"/>
          </w:divBdr>
          <w:divsChild>
            <w:div w:id="1958948063">
              <w:marLeft w:val="0"/>
              <w:marRight w:val="0"/>
              <w:marTop w:val="0"/>
              <w:marBottom w:val="0"/>
              <w:divBdr>
                <w:top w:val="none" w:sz="0" w:space="0" w:color="auto"/>
                <w:left w:val="none" w:sz="0" w:space="0" w:color="auto"/>
                <w:bottom w:val="none" w:sz="0" w:space="0" w:color="auto"/>
                <w:right w:val="none" w:sz="0" w:space="0" w:color="auto"/>
              </w:divBdr>
              <w:divsChild>
                <w:div w:id="765151540">
                  <w:marLeft w:val="0"/>
                  <w:marRight w:val="0"/>
                  <w:marTop w:val="0"/>
                  <w:marBottom w:val="0"/>
                  <w:divBdr>
                    <w:top w:val="none" w:sz="0" w:space="0" w:color="auto"/>
                    <w:left w:val="none" w:sz="0" w:space="0" w:color="auto"/>
                    <w:bottom w:val="none" w:sz="0" w:space="0" w:color="auto"/>
                    <w:right w:val="none" w:sz="0" w:space="0" w:color="auto"/>
                  </w:divBdr>
                  <w:divsChild>
                    <w:div w:id="285739350">
                      <w:marLeft w:val="0"/>
                      <w:marRight w:val="0"/>
                      <w:marTop w:val="0"/>
                      <w:marBottom w:val="0"/>
                      <w:divBdr>
                        <w:top w:val="none" w:sz="0" w:space="0" w:color="auto"/>
                        <w:left w:val="none" w:sz="0" w:space="0" w:color="auto"/>
                        <w:bottom w:val="none" w:sz="0" w:space="0" w:color="auto"/>
                        <w:right w:val="none" w:sz="0" w:space="0" w:color="auto"/>
                      </w:divBdr>
                      <w:divsChild>
                        <w:div w:id="327515122">
                          <w:marLeft w:val="0"/>
                          <w:marRight w:val="0"/>
                          <w:marTop w:val="0"/>
                          <w:marBottom w:val="0"/>
                          <w:divBdr>
                            <w:top w:val="none" w:sz="0" w:space="0" w:color="auto"/>
                            <w:left w:val="none" w:sz="0" w:space="0" w:color="auto"/>
                            <w:bottom w:val="none" w:sz="0" w:space="0" w:color="auto"/>
                            <w:right w:val="none" w:sz="0" w:space="0" w:color="auto"/>
                          </w:divBdr>
                          <w:divsChild>
                            <w:div w:id="1890218353">
                              <w:marLeft w:val="0"/>
                              <w:marRight w:val="0"/>
                              <w:marTop w:val="0"/>
                              <w:marBottom w:val="0"/>
                              <w:divBdr>
                                <w:top w:val="none" w:sz="0" w:space="0" w:color="auto"/>
                                <w:left w:val="none" w:sz="0" w:space="0" w:color="auto"/>
                                <w:bottom w:val="none" w:sz="0" w:space="0" w:color="auto"/>
                                <w:right w:val="none" w:sz="0" w:space="0" w:color="auto"/>
                              </w:divBdr>
                              <w:divsChild>
                                <w:div w:id="1635791358">
                                  <w:marLeft w:val="0"/>
                                  <w:marRight w:val="0"/>
                                  <w:marTop w:val="0"/>
                                  <w:marBottom w:val="0"/>
                                  <w:divBdr>
                                    <w:top w:val="none" w:sz="0" w:space="0" w:color="auto"/>
                                    <w:left w:val="none" w:sz="0" w:space="0" w:color="auto"/>
                                    <w:bottom w:val="none" w:sz="0" w:space="0" w:color="auto"/>
                                    <w:right w:val="none" w:sz="0" w:space="0" w:color="auto"/>
                                  </w:divBdr>
                                  <w:divsChild>
                                    <w:div w:id="1987542084">
                                      <w:marLeft w:val="0"/>
                                      <w:marRight w:val="0"/>
                                      <w:marTop w:val="0"/>
                                      <w:marBottom w:val="0"/>
                                      <w:divBdr>
                                        <w:top w:val="none" w:sz="0" w:space="0" w:color="auto"/>
                                        <w:left w:val="none" w:sz="0" w:space="0" w:color="auto"/>
                                        <w:bottom w:val="none" w:sz="0" w:space="0" w:color="auto"/>
                                        <w:right w:val="none" w:sz="0" w:space="0" w:color="auto"/>
                                      </w:divBdr>
                                      <w:divsChild>
                                        <w:div w:id="1118178658">
                                          <w:marLeft w:val="0"/>
                                          <w:marRight w:val="0"/>
                                          <w:marTop w:val="0"/>
                                          <w:marBottom w:val="0"/>
                                          <w:divBdr>
                                            <w:top w:val="none" w:sz="0" w:space="0" w:color="auto"/>
                                            <w:left w:val="none" w:sz="0" w:space="0" w:color="auto"/>
                                            <w:bottom w:val="none" w:sz="0" w:space="0" w:color="auto"/>
                                            <w:right w:val="none" w:sz="0" w:space="0" w:color="auto"/>
                                          </w:divBdr>
                                          <w:divsChild>
                                            <w:div w:id="506135043">
                                              <w:marLeft w:val="0"/>
                                              <w:marRight w:val="0"/>
                                              <w:marTop w:val="0"/>
                                              <w:marBottom w:val="0"/>
                                              <w:divBdr>
                                                <w:top w:val="none" w:sz="0" w:space="0" w:color="auto"/>
                                                <w:left w:val="none" w:sz="0" w:space="0" w:color="auto"/>
                                                <w:bottom w:val="none" w:sz="0" w:space="0" w:color="auto"/>
                                                <w:right w:val="none" w:sz="0" w:space="0" w:color="auto"/>
                                              </w:divBdr>
                                              <w:divsChild>
                                                <w:div w:id="183903839">
                                                  <w:marLeft w:val="0"/>
                                                  <w:marRight w:val="0"/>
                                                  <w:marTop w:val="0"/>
                                                  <w:marBottom w:val="0"/>
                                                  <w:divBdr>
                                                    <w:top w:val="none" w:sz="0" w:space="0" w:color="auto"/>
                                                    <w:left w:val="none" w:sz="0" w:space="0" w:color="auto"/>
                                                    <w:bottom w:val="none" w:sz="0" w:space="0" w:color="auto"/>
                                                    <w:right w:val="none" w:sz="0" w:space="0" w:color="auto"/>
                                                  </w:divBdr>
                                                  <w:divsChild>
                                                    <w:div w:id="798769707">
                                                      <w:marLeft w:val="0"/>
                                                      <w:marRight w:val="0"/>
                                                      <w:marTop w:val="0"/>
                                                      <w:marBottom w:val="0"/>
                                                      <w:divBdr>
                                                        <w:top w:val="none" w:sz="0" w:space="0" w:color="auto"/>
                                                        <w:left w:val="none" w:sz="0" w:space="0" w:color="auto"/>
                                                        <w:bottom w:val="none" w:sz="0" w:space="0" w:color="auto"/>
                                                        <w:right w:val="none" w:sz="0" w:space="0" w:color="auto"/>
                                                      </w:divBdr>
                                                      <w:divsChild>
                                                        <w:div w:id="609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207207">
      <w:bodyDiv w:val="1"/>
      <w:marLeft w:val="0"/>
      <w:marRight w:val="0"/>
      <w:marTop w:val="0"/>
      <w:marBottom w:val="0"/>
      <w:divBdr>
        <w:top w:val="none" w:sz="0" w:space="0" w:color="auto"/>
        <w:left w:val="none" w:sz="0" w:space="0" w:color="auto"/>
        <w:bottom w:val="none" w:sz="0" w:space="0" w:color="auto"/>
        <w:right w:val="none" w:sz="0" w:space="0" w:color="auto"/>
      </w:divBdr>
      <w:divsChild>
        <w:div w:id="312488978">
          <w:marLeft w:val="0"/>
          <w:marRight w:val="0"/>
          <w:marTop w:val="0"/>
          <w:marBottom w:val="0"/>
          <w:divBdr>
            <w:top w:val="none" w:sz="0" w:space="0" w:color="auto"/>
            <w:left w:val="none" w:sz="0" w:space="0" w:color="auto"/>
            <w:bottom w:val="none" w:sz="0" w:space="0" w:color="auto"/>
            <w:right w:val="none" w:sz="0" w:space="0" w:color="auto"/>
          </w:divBdr>
          <w:divsChild>
            <w:div w:id="1824738810">
              <w:marLeft w:val="0"/>
              <w:marRight w:val="0"/>
              <w:marTop w:val="0"/>
              <w:marBottom w:val="0"/>
              <w:divBdr>
                <w:top w:val="none" w:sz="0" w:space="0" w:color="auto"/>
                <w:left w:val="none" w:sz="0" w:space="0" w:color="auto"/>
                <w:bottom w:val="none" w:sz="0" w:space="0" w:color="auto"/>
                <w:right w:val="none" w:sz="0" w:space="0" w:color="auto"/>
              </w:divBdr>
              <w:divsChild>
                <w:div w:id="566262195">
                  <w:marLeft w:val="0"/>
                  <w:marRight w:val="0"/>
                  <w:marTop w:val="0"/>
                  <w:marBottom w:val="0"/>
                  <w:divBdr>
                    <w:top w:val="none" w:sz="0" w:space="0" w:color="auto"/>
                    <w:left w:val="none" w:sz="0" w:space="0" w:color="auto"/>
                    <w:bottom w:val="none" w:sz="0" w:space="0" w:color="auto"/>
                    <w:right w:val="none" w:sz="0" w:space="0" w:color="auto"/>
                  </w:divBdr>
                  <w:divsChild>
                    <w:div w:id="1780837992">
                      <w:marLeft w:val="0"/>
                      <w:marRight w:val="0"/>
                      <w:marTop w:val="0"/>
                      <w:marBottom w:val="0"/>
                      <w:divBdr>
                        <w:top w:val="none" w:sz="0" w:space="0" w:color="auto"/>
                        <w:left w:val="none" w:sz="0" w:space="0" w:color="auto"/>
                        <w:bottom w:val="none" w:sz="0" w:space="0" w:color="auto"/>
                        <w:right w:val="none" w:sz="0" w:space="0" w:color="auto"/>
                      </w:divBdr>
                      <w:divsChild>
                        <w:div w:id="1235969748">
                          <w:marLeft w:val="0"/>
                          <w:marRight w:val="0"/>
                          <w:marTop w:val="0"/>
                          <w:marBottom w:val="0"/>
                          <w:divBdr>
                            <w:top w:val="none" w:sz="0" w:space="0" w:color="auto"/>
                            <w:left w:val="none" w:sz="0" w:space="0" w:color="auto"/>
                            <w:bottom w:val="single" w:sz="6" w:space="0" w:color="CCCCCC"/>
                            <w:right w:val="none" w:sz="0" w:space="0" w:color="auto"/>
                          </w:divBdr>
                          <w:divsChild>
                            <w:div w:id="1674411405">
                              <w:marLeft w:val="0"/>
                              <w:marRight w:val="0"/>
                              <w:marTop w:val="0"/>
                              <w:marBottom w:val="0"/>
                              <w:divBdr>
                                <w:top w:val="single" w:sz="2" w:space="8" w:color="CCCCCC"/>
                                <w:left w:val="single" w:sz="6" w:space="0" w:color="CCCCCC"/>
                                <w:bottom w:val="single" w:sz="6" w:space="8" w:color="CCCCCC"/>
                                <w:right w:val="single" w:sz="6" w:space="8" w:color="CCCCCC"/>
                              </w:divBdr>
                            </w:div>
                            <w:div w:id="1137919950">
                              <w:marLeft w:val="0"/>
                              <w:marRight w:val="0"/>
                              <w:marTop w:val="150"/>
                              <w:marBottom w:val="0"/>
                              <w:divBdr>
                                <w:top w:val="none" w:sz="0" w:space="0" w:color="auto"/>
                                <w:left w:val="none" w:sz="0" w:space="0" w:color="auto"/>
                                <w:bottom w:val="none" w:sz="0" w:space="0" w:color="auto"/>
                                <w:right w:val="none" w:sz="0" w:space="0" w:color="auto"/>
                              </w:divBdr>
                            </w:div>
                          </w:divsChild>
                        </w:div>
                        <w:div w:id="87042951">
                          <w:marLeft w:val="0"/>
                          <w:marRight w:val="0"/>
                          <w:marTop w:val="0"/>
                          <w:marBottom w:val="150"/>
                          <w:divBdr>
                            <w:top w:val="none" w:sz="0" w:space="0" w:color="auto"/>
                            <w:left w:val="none" w:sz="0" w:space="0" w:color="auto"/>
                            <w:bottom w:val="single" w:sz="6" w:space="4" w:color="CCCCCC"/>
                            <w:right w:val="none" w:sz="0" w:space="0" w:color="auto"/>
                          </w:divBdr>
                          <w:divsChild>
                            <w:div w:id="2091348252">
                              <w:marLeft w:val="0"/>
                              <w:marRight w:val="0"/>
                              <w:marTop w:val="0"/>
                              <w:marBottom w:val="0"/>
                              <w:divBdr>
                                <w:top w:val="none" w:sz="0" w:space="0" w:color="auto"/>
                                <w:left w:val="none" w:sz="0" w:space="0" w:color="auto"/>
                                <w:bottom w:val="none" w:sz="0" w:space="0" w:color="auto"/>
                                <w:right w:val="none" w:sz="0" w:space="0" w:color="auto"/>
                              </w:divBdr>
                            </w:div>
                            <w:div w:id="858129001">
                              <w:marLeft w:val="0"/>
                              <w:marRight w:val="0"/>
                              <w:marTop w:val="0"/>
                              <w:marBottom w:val="0"/>
                              <w:divBdr>
                                <w:top w:val="none" w:sz="0" w:space="0" w:color="auto"/>
                                <w:left w:val="none" w:sz="0" w:space="0" w:color="auto"/>
                                <w:bottom w:val="none" w:sz="0" w:space="0" w:color="auto"/>
                                <w:right w:val="none" w:sz="0" w:space="0" w:color="auto"/>
                              </w:divBdr>
                              <w:divsChild>
                                <w:div w:id="1892887520">
                                  <w:marLeft w:val="0"/>
                                  <w:marRight w:val="0"/>
                                  <w:marTop w:val="0"/>
                                  <w:marBottom w:val="0"/>
                                  <w:divBdr>
                                    <w:top w:val="none" w:sz="0" w:space="0" w:color="auto"/>
                                    <w:left w:val="none" w:sz="0" w:space="0" w:color="auto"/>
                                    <w:bottom w:val="none" w:sz="0" w:space="0" w:color="auto"/>
                                    <w:right w:val="none" w:sz="0" w:space="0" w:color="auto"/>
                                  </w:divBdr>
                                </w:div>
                                <w:div w:id="961112463">
                                  <w:marLeft w:val="0"/>
                                  <w:marRight w:val="0"/>
                                  <w:marTop w:val="0"/>
                                  <w:marBottom w:val="0"/>
                                  <w:divBdr>
                                    <w:top w:val="none" w:sz="0" w:space="0" w:color="auto"/>
                                    <w:left w:val="none" w:sz="0" w:space="0" w:color="auto"/>
                                    <w:bottom w:val="none" w:sz="0" w:space="0" w:color="auto"/>
                                    <w:right w:val="none" w:sz="0" w:space="0" w:color="auto"/>
                                  </w:divBdr>
                                </w:div>
                                <w:div w:id="12807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7949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40787977">
      <w:bodyDiv w:val="1"/>
      <w:marLeft w:val="0"/>
      <w:marRight w:val="0"/>
      <w:marTop w:val="0"/>
      <w:marBottom w:val="0"/>
      <w:divBdr>
        <w:top w:val="none" w:sz="0" w:space="0" w:color="auto"/>
        <w:left w:val="none" w:sz="0" w:space="0" w:color="auto"/>
        <w:bottom w:val="none" w:sz="0" w:space="0" w:color="auto"/>
        <w:right w:val="none" w:sz="0" w:space="0" w:color="auto"/>
      </w:divBdr>
      <w:divsChild>
        <w:div w:id="1413162986">
          <w:marLeft w:val="0"/>
          <w:marRight w:val="0"/>
          <w:marTop w:val="0"/>
          <w:marBottom w:val="0"/>
          <w:divBdr>
            <w:top w:val="none" w:sz="0" w:space="0" w:color="auto"/>
            <w:left w:val="none" w:sz="0" w:space="0" w:color="auto"/>
            <w:bottom w:val="none" w:sz="0" w:space="0" w:color="auto"/>
            <w:right w:val="none" w:sz="0" w:space="0" w:color="auto"/>
          </w:divBdr>
          <w:divsChild>
            <w:div w:id="1792245364">
              <w:marLeft w:val="0"/>
              <w:marRight w:val="0"/>
              <w:marTop w:val="0"/>
              <w:marBottom w:val="0"/>
              <w:divBdr>
                <w:top w:val="none" w:sz="0" w:space="0" w:color="auto"/>
                <w:left w:val="none" w:sz="0" w:space="0" w:color="auto"/>
                <w:bottom w:val="none" w:sz="0" w:space="0" w:color="auto"/>
                <w:right w:val="none" w:sz="0" w:space="0" w:color="auto"/>
              </w:divBdr>
              <w:divsChild>
                <w:div w:id="984772992">
                  <w:marLeft w:val="0"/>
                  <w:marRight w:val="0"/>
                  <w:marTop w:val="0"/>
                  <w:marBottom w:val="0"/>
                  <w:divBdr>
                    <w:top w:val="none" w:sz="0" w:space="0" w:color="auto"/>
                    <w:left w:val="none" w:sz="0" w:space="0" w:color="auto"/>
                    <w:bottom w:val="none" w:sz="0" w:space="0" w:color="auto"/>
                    <w:right w:val="none" w:sz="0" w:space="0" w:color="auto"/>
                  </w:divBdr>
                  <w:divsChild>
                    <w:div w:id="322242105">
                      <w:marLeft w:val="0"/>
                      <w:marRight w:val="0"/>
                      <w:marTop w:val="0"/>
                      <w:marBottom w:val="0"/>
                      <w:divBdr>
                        <w:top w:val="none" w:sz="0" w:space="0" w:color="auto"/>
                        <w:left w:val="none" w:sz="0" w:space="0" w:color="auto"/>
                        <w:bottom w:val="none" w:sz="0" w:space="0" w:color="auto"/>
                        <w:right w:val="none" w:sz="0" w:space="0" w:color="auto"/>
                      </w:divBdr>
                      <w:divsChild>
                        <w:div w:id="529534434">
                          <w:marLeft w:val="570"/>
                          <w:marRight w:val="720"/>
                          <w:marTop w:val="120"/>
                          <w:marBottom w:val="120"/>
                          <w:divBdr>
                            <w:top w:val="none" w:sz="0" w:space="0" w:color="auto"/>
                            <w:left w:val="none" w:sz="0" w:space="0" w:color="auto"/>
                            <w:bottom w:val="none" w:sz="0" w:space="0" w:color="auto"/>
                            <w:right w:val="none" w:sz="0" w:space="0" w:color="auto"/>
                          </w:divBdr>
                          <w:divsChild>
                            <w:div w:id="1979072203">
                              <w:marLeft w:val="0"/>
                              <w:marRight w:val="0"/>
                              <w:marTop w:val="0"/>
                              <w:marBottom w:val="0"/>
                              <w:divBdr>
                                <w:top w:val="none" w:sz="0" w:space="0" w:color="auto"/>
                                <w:left w:val="none" w:sz="0" w:space="0" w:color="auto"/>
                                <w:bottom w:val="none" w:sz="0" w:space="0" w:color="auto"/>
                                <w:right w:val="none" w:sz="0" w:space="0" w:color="auto"/>
                              </w:divBdr>
                              <w:divsChild>
                                <w:div w:id="2067991726">
                                  <w:marLeft w:val="0"/>
                                  <w:marRight w:val="0"/>
                                  <w:marTop w:val="0"/>
                                  <w:marBottom w:val="0"/>
                                  <w:divBdr>
                                    <w:top w:val="none" w:sz="0" w:space="0" w:color="auto"/>
                                    <w:left w:val="none" w:sz="0" w:space="0" w:color="auto"/>
                                    <w:bottom w:val="none" w:sz="0" w:space="0" w:color="auto"/>
                                    <w:right w:val="none" w:sz="0" w:space="0" w:color="auto"/>
                                  </w:divBdr>
                                  <w:divsChild>
                                    <w:div w:id="94059557">
                                      <w:marLeft w:val="0"/>
                                      <w:marRight w:val="0"/>
                                      <w:marTop w:val="0"/>
                                      <w:marBottom w:val="0"/>
                                      <w:divBdr>
                                        <w:top w:val="none" w:sz="0" w:space="0" w:color="auto"/>
                                        <w:left w:val="none" w:sz="0" w:space="0" w:color="auto"/>
                                        <w:bottom w:val="none" w:sz="0" w:space="0" w:color="auto"/>
                                        <w:right w:val="none" w:sz="0" w:space="0" w:color="auto"/>
                                      </w:divBdr>
                                      <w:divsChild>
                                        <w:div w:id="303437842">
                                          <w:marLeft w:val="0"/>
                                          <w:marRight w:val="0"/>
                                          <w:marTop w:val="0"/>
                                          <w:marBottom w:val="0"/>
                                          <w:divBdr>
                                            <w:top w:val="none" w:sz="0" w:space="0" w:color="auto"/>
                                            <w:left w:val="none" w:sz="0" w:space="0" w:color="auto"/>
                                            <w:bottom w:val="none" w:sz="0" w:space="0" w:color="auto"/>
                                            <w:right w:val="none" w:sz="0" w:space="0" w:color="auto"/>
                                          </w:divBdr>
                                          <w:divsChild>
                                            <w:div w:id="50771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053510">
      <w:bodyDiv w:val="1"/>
      <w:marLeft w:val="0"/>
      <w:marRight w:val="0"/>
      <w:marTop w:val="0"/>
      <w:marBottom w:val="0"/>
      <w:divBdr>
        <w:top w:val="none" w:sz="0" w:space="0" w:color="auto"/>
        <w:left w:val="none" w:sz="0" w:space="0" w:color="auto"/>
        <w:bottom w:val="none" w:sz="0" w:space="0" w:color="auto"/>
        <w:right w:val="none" w:sz="0" w:space="0" w:color="auto"/>
      </w:divBdr>
    </w:div>
    <w:div w:id="1043286859">
      <w:bodyDiv w:val="1"/>
      <w:marLeft w:val="0"/>
      <w:marRight w:val="0"/>
      <w:marTop w:val="0"/>
      <w:marBottom w:val="0"/>
      <w:divBdr>
        <w:top w:val="none" w:sz="0" w:space="0" w:color="auto"/>
        <w:left w:val="none" w:sz="0" w:space="0" w:color="auto"/>
        <w:bottom w:val="none" w:sz="0" w:space="0" w:color="auto"/>
        <w:right w:val="none" w:sz="0" w:space="0" w:color="auto"/>
      </w:divBdr>
      <w:divsChild>
        <w:div w:id="1397783239">
          <w:marLeft w:val="0"/>
          <w:marRight w:val="0"/>
          <w:marTop w:val="0"/>
          <w:marBottom w:val="0"/>
          <w:divBdr>
            <w:top w:val="single" w:sz="2" w:space="0" w:color="AAAAAA"/>
            <w:left w:val="single" w:sz="6" w:space="8" w:color="AAAAAA"/>
            <w:bottom w:val="single" w:sz="2" w:space="0" w:color="AAAAAA"/>
            <w:right w:val="single" w:sz="6" w:space="8" w:color="AAAAAA"/>
          </w:divBdr>
          <w:divsChild>
            <w:div w:id="1174103620">
              <w:marLeft w:val="0"/>
              <w:marRight w:val="0"/>
              <w:marTop w:val="0"/>
              <w:marBottom w:val="0"/>
              <w:divBdr>
                <w:top w:val="none" w:sz="0" w:space="0" w:color="auto"/>
                <w:left w:val="none" w:sz="0" w:space="0" w:color="auto"/>
                <w:bottom w:val="none" w:sz="0" w:space="0" w:color="auto"/>
                <w:right w:val="none" w:sz="0" w:space="0" w:color="auto"/>
              </w:divBdr>
              <w:divsChild>
                <w:div w:id="145439807">
                  <w:marLeft w:val="0"/>
                  <w:marRight w:val="0"/>
                  <w:marTop w:val="0"/>
                  <w:marBottom w:val="0"/>
                  <w:divBdr>
                    <w:top w:val="none" w:sz="0" w:space="0" w:color="auto"/>
                    <w:left w:val="none" w:sz="0" w:space="0" w:color="auto"/>
                    <w:bottom w:val="none" w:sz="0" w:space="0" w:color="auto"/>
                    <w:right w:val="none" w:sz="0" w:space="0" w:color="auto"/>
                  </w:divBdr>
                  <w:divsChild>
                    <w:div w:id="1482380628">
                      <w:marLeft w:val="0"/>
                      <w:marRight w:val="2550"/>
                      <w:marTop w:val="0"/>
                      <w:marBottom w:val="48"/>
                      <w:divBdr>
                        <w:top w:val="none" w:sz="0" w:space="0" w:color="auto"/>
                        <w:left w:val="none" w:sz="0" w:space="0" w:color="auto"/>
                        <w:bottom w:val="none" w:sz="0" w:space="0" w:color="auto"/>
                        <w:right w:val="none" w:sz="0" w:space="0" w:color="auto"/>
                      </w:divBdr>
                      <w:divsChild>
                        <w:div w:id="11681320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45258621">
      <w:bodyDiv w:val="1"/>
      <w:marLeft w:val="0"/>
      <w:marRight w:val="0"/>
      <w:marTop w:val="0"/>
      <w:marBottom w:val="0"/>
      <w:divBdr>
        <w:top w:val="none" w:sz="0" w:space="0" w:color="auto"/>
        <w:left w:val="none" w:sz="0" w:space="0" w:color="auto"/>
        <w:bottom w:val="none" w:sz="0" w:space="0" w:color="auto"/>
        <w:right w:val="none" w:sz="0" w:space="0" w:color="auto"/>
      </w:divBdr>
      <w:divsChild>
        <w:div w:id="823399520">
          <w:marLeft w:val="0"/>
          <w:marRight w:val="0"/>
          <w:marTop w:val="150"/>
          <w:marBottom w:val="0"/>
          <w:divBdr>
            <w:top w:val="none" w:sz="0" w:space="0" w:color="auto"/>
            <w:left w:val="none" w:sz="0" w:space="0" w:color="auto"/>
            <w:bottom w:val="none" w:sz="0" w:space="0" w:color="auto"/>
            <w:right w:val="none" w:sz="0" w:space="0" w:color="auto"/>
          </w:divBdr>
          <w:divsChild>
            <w:div w:id="930311300">
              <w:marLeft w:val="2"/>
              <w:marRight w:val="2"/>
              <w:marTop w:val="0"/>
              <w:marBottom w:val="0"/>
              <w:divBdr>
                <w:top w:val="none" w:sz="0" w:space="0" w:color="auto"/>
                <w:left w:val="none" w:sz="0" w:space="0" w:color="auto"/>
                <w:bottom w:val="none" w:sz="0" w:space="0" w:color="auto"/>
                <w:right w:val="none" w:sz="0" w:space="0" w:color="auto"/>
              </w:divBdr>
              <w:divsChild>
                <w:div w:id="1495295091">
                  <w:marLeft w:val="0"/>
                  <w:marRight w:val="0"/>
                  <w:marTop w:val="0"/>
                  <w:marBottom w:val="0"/>
                  <w:divBdr>
                    <w:top w:val="none" w:sz="0" w:space="0" w:color="auto"/>
                    <w:left w:val="none" w:sz="0" w:space="0" w:color="auto"/>
                    <w:bottom w:val="none" w:sz="0" w:space="0" w:color="auto"/>
                    <w:right w:val="none" w:sz="0" w:space="0" w:color="auto"/>
                  </w:divBdr>
                  <w:divsChild>
                    <w:div w:id="870187477">
                      <w:marLeft w:val="0"/>
                      <w:marRight w:val="0"/>
                      <w:marTop w:val="0"/>
                      <w:marBottom w:val="0"/>
                      <w:divBdr>
                        <w:top w:val="none" w:sz="0" w:space="0" w:color="auto"/>
                        <w:left w:val="none" w:sz="0" w:space="0" w:color="auto"/>
                        <w:bottom w:val="none" w:sz="0" w:space="0" w:color="auto"/>
                        <w:right w:val="none" w:sz="0" w:space="0" w:color="auto"/>
                      </w:divBdr>
                      <w:divsChild>
                        <w:div w:id="1088772694">
                          <w:marLeft w:val="0"/>
                          <w:marRight w:val="0"/>
                          <w:marTop w:val="0"/>
                          <w:marBottom w:val="0"/>
                          <w:divBdr>
                            <w:top w:val="none" w:sz="0" w:space="0" w:color="auto"/>
                            <w:left w:val="none" w:sz="0" w:space="0" w:color="auto"/>
                            <w:bottom w:val="none" w:sz="0" w:space="0" w:color="auto"/>
                            <w:right w:val="none" w:sz="0" w:space="0" w:color="auto"/>
                          </w:divBdr>
                          <w:divsChild>
                            <w:div w:id="1872526189">
                              <w:marLeft w:val="0"/>
                              <w:marRight w:val="0"/>
                              <w:marTop w:val="0"/>
                              <w:marBottom w:val="0"/>
                              <w:divBdr>
                                <w:top w:val="none" w:sz="0" w:space="0" w:color="auto"/>
                                <w:left w:val="none" w:sz="0" w:space="0" w:color="auto"/>
                                <w:bottom w:val="none" w:sz="0" w:space="0" w:color="auto"/>
                                <w:right w:val="none" w:sz="0" w:space="0" w:color="auto"/>
                              </w:divBdr>
                              <w:divsChild>
                                <w:div w:id="1761021826">
                                  <w:marLeft w:val="0"/>
                                  <w:marRight w:val="0"/>
                                  <w:marTop w:val="0"/>
                                  <w:marBottom w:val="0"/>
                                  <w:divBdr>
                                    <w:top w:val="none" w:sz="0" w:space="0" w:color="auto"/>
                                    <w:left w:val="none" w:sz="0" w:space="0" w:color="auto"/>
                                    <w:bottom w:val="none" w:sz="0" w:space="0" w:color="auto"/>
                                    <w:right w:val="none" w:sz="0" w:space="0" w:color="auto"/>
                                  </w:divBdr>
                                  <w:divsChild>
                                    <w:div w:id="1141264115">
                                      <w:marLeft w:val="0"/>
                                      <w:marRight w:val="0"/>
                                      <w:marTop w:val="0"/>
                                      <w:marBottom w:val="0"/>
                                      <w:divBdr>
                                        <w:top w:val="none" w:sz="0" w:space="0" w:color="auto"/>
                                        <w:left w:val="none" w:sz="0" w:space="0" w:color="auto"/>
                                        <w:bottom w:val="none" w:sz="0" w:space="0" w:color="auto"/>
                                        <w:right w:val="none" w:sz="0" w:space="0" w:color="auto"/>
                                      </w:divBdr>
                                      <w:divsChild>
                                        <w:div w:id="43255290">
                                          <w:marLeft w:val="0"/>
                                          <w:marRight w:val="0"/>
                                          <w:marTop w:val="0"/>
                                          <w:marBottom w:val="0"/>
                                          <w:divBdr>
                                            <w:top w:val="none" w:sz="0" w:space="0" w:color="auto"/>
                                            <w:left w:val="none" w:sz="0" w:space="0" w:color="auto"/>
                                            <w:bottom w:val="none" w:sz="0" w:space="0" w:color="auto"/>
                                            <w:right w:val="none" w:sz="0" w:space="0" w:color="auto"/>
                                          </w:divBdr>
                                          <w:divsChild>
                                            <w:div w:id="1570268526">
                                              <w:marLeft w:val="0"/>
                                              <w:marRight w:val="0"/>
                                              <w:marTop w:val="0"/>
                                              <w:marBottom w:val="0"/>
                                              <w:divBdr>
                                                <w:top w:val="none" w:sz="0" w:space="0" w:color="auto"/>
                                                <w:left w:val="none" w:sz="0" w:space="0" w:color="auto"/>
                                                <w:bottom w:val="none" w:sz="0" w:space="0" w:color="auto"/>
                                                <w:right w:val="none" w:sz="0" w:space="0" w:color="auto"/>
                                              </w:divBdr>
                                              <w:divsChild>
                                                <w:div w:id="277179649">
                                                  <w:marLeft w:val="0"/>
                                                  <w:marRight w:val="0"/>
                                                  <w:marTop w:val="0"/>
                                                  <w:marBottom w:val="0"/>
                                                  <w:divBdr>
                                                    <w:top w:val="none" w:sz="0" w:space="0" w:color="auto"/>
                                                    <w:left w:val="none" w:sz="0" w:space="0" w:color="auto"/>
                                                    <w:bottom w:val="none" w:sz="0" w:space="0" w:color="auto"/>
                                                    <w:right w:val="none" w:sz="0" w:space="0" w:color="auto"/>
                                                  </w:divBdr>
                                                </w:div>
                                              </w:divsChild>
                                            </w:div>
                                            <w:div w:id="41944728">
                                              <w:marLeft w:val="0"/>
                                              <w:marRight w:val="0"/>
                                              <w:marTop w:val="0"/>
                                              <w:marBottom w:val="0"/>
                                              <w:divBdr>
                                                <w:top w:val="none" w:sz="0" w:space="0" w:color="auto"/>
                                                <w:left w:val="none" w:sz="0" w:space="0" w:color="auto"/>
                                                <w:bottom w:val="none" w:sz="0" w:space="0" w:color="auto"/>
                                                <w:right w:val="none" w:sz="0" w:space="0" w:color="auto"/>
                                              </w:divBdr>
                                              <w:divsChild>
                                                <w:div w:id="1714112317">
                                                  <w:marLeft w:val="0"/>
                                                  <w:marRight w:val="0"/>
                                                  <w:marTop w:val="0"/>
                                                  <w:marBottom w:val="0"/>
                                                  <w:divBdr>
                                                    <w:top w:val="none" w:sz="0" w:space="0" w:color="auto"/>
                                                    <w:left w:val="none" w:sz="0" w:space="0" w:color="auto"/>
                                                    <w:bottom w:val="none" w:sz="0" w:space="0" w:color="auto"/>
                                                    <w:right w:val="none" w:sz="0" w:space="0" w:color="auto"/>
                                                  </w:divBdr>
                                                </w:div>
                                              </w:divsChild>
                                            </w:div>
                                            <w:div w:id="744568230">
                                              <w:marLeft w:val="0"/>
                                              <w:marRight w:val="0"/>
                                              <w:marTop w:val="0"/>
                                              <w:marBottom w:val="0"/>
                                              <w:divBdr>
                                                <w:top w:val="none" w:sz="0" w:space="0" w:color="auto"/>
                                                <w:left w:val="none" w:sz="0" w:space="0" w:color="auto"/>
                                                <w:bottom w:val="none" w:sz="0" w:space="0" w:color="auto"/>
                                                <w:right w:val="none" w:sz="0" w:space="0" w:color="auto"/>
                                              </w:divBdr>
                                              <w:divsChild>
                                                <w:div w:id="1915698395">
                                                  <w:marLeft w:val="0"/>
                                                  <w:marRight w:val="0"/>
                                                  <w:marTop w:val="0"/>
                                                  <w:marBottom w:val="0"/>
                                                  <w:divBdr>
                                                    <w:top w:val="none" w:sz="0" w:space="0" w:color="auto"/>
                                                    <w:left w:val="none" w:sz="0" w:space="0" w:color="auto"/>
                                                    <w:bottom w:val="none" w:sz="0" w:space="0" w:color="auto"/>
                                                    <w:right w:val="none" w:sz="0" w:space="0" w:color="auto"/>
                                                  </w:divBdr>
                                                </w:div>
                                              </w:divsChild>
                                            </w:div>
                                            <w:div w:id="395083628">
                                              <w:marLeft w:val="0"/>
                                              <w:marRight w:val="0"/>
                                              <w:marTop w:val="0"/>
                                              <w:marBottom w:val="0"/>
                                              <w:divBdr>
                                                <w:top w:val="none" w:sz="0" w:space="0" w:color="auto"/>
                                                <w:left w:val="none" w:sz="0" w:space="0" w:color="auto"/>
                                                <w:bottom w:val="none" w:sz="0" w:space="0" w:color="auto"/>
                                                <w:right w:val="none" w:sz="0" w:space="0" w:color="auto"/>
                                              </w:divBdr>
                                              <w:divsChild>
                                                <w:div w:id="11691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90377">
      <w:bodyDiv w:val="1"/>
      <w:marLeft w:val="0"/>
      <w:marRight w:val="0"/>
      <w:marTop w:val="0"/>
      <w:marBottom w:val="0"/>
      <w:divBdr>
        <w:top w:val="none" w:sz="0" w:space="0" w:color="auto"/>
        <w:left w:val="none" w:sz="0" w:space="0" w:color="auto"/>
        <w:bottom w:val="none" w:sz="0" w:space="0" w:color="auto"/>
        <w:right w:val="none" w:sz="0" w:space="0" w:color="auto"/>
      </w:divBdr>
    </w:div>
    <w:div w:id="1047342837">
      <w:bodyDiv w:val="1"/>
      <w:marLeft w:val="300"/>
      <w:marRight w:val="300"/>
      <w:marTop w:val="0"/>
      <w:marBottom w:val="0"/>
      <w:divBdr>
        <w:top w:val="none" w:sz="0" w:space="0" w:color="auto"/>
        <w:left w:val="none" w:sz="0" w:space="0" w:color="auto"/>
        <w:bottom w:val="none" w:sz="0" w:space="0" w:color="auto"/>
        <w:right w:val="none" w:sz="0" w:space="0" w:color="auto"/>
      </w:divBdr>
      <w:divsChild>
        <w:div w:id="1330258664">
          <w:marLeft w:val="0"/>
          <w:marRight w:val="0"/>
          <w:marTop w:val="0"/>
          <w:marBottom w:val="0"/>
          <w:divBdr>
            <w:top w:val="none" w:sz="0" w:space="0" w:color="auto"/>
            <w:left w:val="none" w:sz="0" w:space="0" w:color="auto"/>
            <w:bottom w:val="none" w:sz="0" w:space="0" w:color="auto"/>
            <w:right w:val="none" w:sz="0" w:space="0" w:color="auto"/>
          </w:divBdr>
          <w:divsChild>
            <w:div w:id="2105375541">
              <w:marLeft w:val="0"/>
              <w:marRight w:val="0"/>
              <w:marTop w:val="0"/>
              <w:marBottom w:val="0"/>
              <w:divBdr>
                <w:top w:val="none" w:sz="0" w:space="0" w:color="auto"/>
                <w:left w:val="none" w:sz="0" w:space="0" w:color="auto"/>
                <w:bottom w:val="none" w:sz="0" w:space="0" w:color="auto"/>
                <w:right w:val="none" w:sz="0" w:space="0" w:color="auto"/>
              </w:divBdr>
              <w:divsChild>
                <w:div w:id="185605032">
                  <w:marLeft w:val="0"/>
                  <w:marRight w:val="0"/>
                  <w:marTop w:val="0"/>
                  <w:marBottom w:val="0"/>
                  <w:divBdr>
                    <w:top w:val="none" w:sz="0" w:space="0" w:color="auto"/>
                    <w:left w:val="none" w:sz="0" w:space="0" w:color="auto"/>
                    <w:bottom w:val="none" w:sz="0" w:space="0" w:color="auto"/>
                    <w:right w:val="none" w:sz="0" w:space="0" w:color="auto"/>
                  </w:divBdr>
                  <w:divsChild>
                    <w:div w:id="563183311">
                      <w:marLeft w:val="0"/>
                      <w:marRight w:val="0"/>
                      <w:marTop w:val="0"/>
                      <w:marBottom w:val="0"/>
                      <w:divBdr>
                        <w:top w:val="none" w:sz="0" w:space="0" w:color="auto"/>
                        <w:left w:val="none" w:sz="0" w:space="0" w:color="auto"/>
                        <w:bottom w:val="none" w:sz="0" w:space="0" w:color="auto"/>
                        <w:right w:val="none" w:sz="0" w:space="0" w:color="auto"/>
                      </w:divBdr>
                      <w:divsChild>
                        <w:div w:id="935021991">
                          <w:marLeft w:val="0"/>
                          <w:marRight w:val="0"/>
                          <w:marTop w:val="0"/>
                          <w:marBottom w:val="0"/>
                          <w:divBdr>
                            <w:top w:val="none" w:sz="0" w:space="0" w:color="auto"/>
                            <w:left w:val="none" w:sz="0" w:space="0" w:color="auto"/>
                            <w:bottom w:val="none" w:sz="0" w:space="0" w:color="auto"/>
                            <w:right w:val="none" w:sz="0" w:space="0" w:color="auto"/>
                          </w:divBdr>
                          <w:divsChild>
                            <w:div w:id="1553466860">
                              <w:marLeft w:val="0"/>
                              <w:marRight w:val="0"/>
                              <w:marTop w:val="0"/>
                              <w:marBottom w:val="0"/>
                              <w:divBdr>
                                <w:top w:val="none" w:sz="0" w:space="0" w:color="auto"/>
                                <w:left w:val="none" w:sz="0" w:space="0" w:color="auto"/>
                                <w:bottom w:val="none" w:sz="0" w:space="0" w:color="auto"/>
                                <w:right w:val="none" w:sz="0" w:space="0" w:color="auto"/>
                              </w:divBdr>
                              <w:divsChild>
                                <w:div w:id="2127114544">
                                  <w:marLeft w:val="0"/>
                                  <w:marRight w:val="0"/>
                                  <w:marTop w:val="0"/>
                                  <w:marBottom w:val="0"/>
                                  <w:divBdr>
                                    <w:top w:val="none" w:sz="0" w:space="0" w:color="auto"/>
                                    <w:left w:val="none" w:sz="0" w:space="0" w:color="auto"/>
                                    <w:bottom w:val="none" w:sz="0" w:space="0" w:color="auto"/>
                                    <w:right w:val="none" w:sz="0" w:space="0" w:color="auto"/>
                                  </w:divBdr>
                                </w:div>
                                <w:div w:id="1419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27340">
      <w:bodyDiv w:val="1"/>
      <w:marLeft w:val="0"/>
      <w:marRight w:val="0"/>
      <w:marTop w:val="0"/>
      <w:marBottom w:val="0"/>
      <w:divBdr>
        <w:top w:val="none" w:sz="0" w:space="0" w:color="auto"/>
        <w:left w:val="none" w:sz="0" w:space="0" w:color="auto"/>
        <w:bottom w:val="none" w:sz="0" w:space="0" w:color="auto"/>
        <w:right w:val="none" w:sz="0" w:space="0" w:color="auto"/>
      </w:divBdr>
      <w:divsChild>
        <w:div w:id="1393651511">
          <w:marLeft w:val="0"/>
          <w:marRight w:val="0"/>
          <w:marTop w:val="0"/>
          <w:marBottom w:val="0"/>
          <w:divBdr>
            <w:top w:val="none" w:sz="0" w:space="0" w:color="auto"/>
            <w:left w:val="none" w:sz="0" w:space="0" w:color="auto"/>
            <w:bottom w:val="none" w:sz="0" w:space="0" w:color="auto"/>
            <w:right w:val="none" w:sz="0" w:space="0" w:color="auto"/>
          </w:divBdr>
          <w:divsChild>
            <w:div w:id="596449354">
              <w:marLeft w:val="0"/>
              <w:marRight w:val="0"/>
              <w:marTop w:val="0"/>
              <w:marBottom w:val="0"/>
              <w:divBdr>
                <w:top w:val="none" w:sz="0" w:space="0" w:color="auto"/>
                <w:left w:val="none" w:sz="0" w:space="0" w:color="auto"/>
                <w:bottom w:val="none" w:sz="0" w:space="0" w:color="auto"/>
                <w:right w:val="none" w:sz="0" w:space="0" w:color="auto"/>
              </w:divBdr>
              <w:divsChild>
                <w:div w:id="43021027">
                  <w:marLeft w:val="0"/>
                  <w:marRight w:val="0"/>
                  <w:marTop w:val="0"/>
                  <w:marBottom w:val="0"/>
                  <w:divBdr>
                    <w:top w:val="none" w:sz="0" w:space="0" w:color="auto"/>
                    <w:left w:val="none" w:sz="0" w:space="0" w:color="auto"/>
                    <w:bottom w:val="none" w:sz="0" w:space="0" w:color="auto"/>
                    <w:right w:val="none" w:sz="0" w:space="0" w:color="auto"/>
                  </w:divBdr>
                  <w:divsChild>
                    <w:div w:id="675225989">
                      <w:marLeft w:val="0"/>
                      <w:marRight w:val="0"/>
                      <w:marTop w:val="0"/>
                      <w:marBottom w:val="0"/>
                      <w:divBdr>
                        <w:top w:val="none" w:sz="0" w:space="0" w:color="auto"/>
                        <w:left w:val="none" w:sz="0" w:space="0" w:color="auto"/>
                        <w:bottom w:val="none" w:sz="0" w:space="0" w:color="auto"/>
                        <w:right w:val="none" w:sz="0" w:space="0" w:color="auto"/>
                      </w:divBdr>
                      <w:divsChild>
                        <w:div w:id="966082655">
                          <w:marLeft w:val="0"/>
                          <w:marRight w:val="0"/>
                          <w:marTop w:val="0"/>
                          <w:marBottom w:val="0"/>
                          <w:divBdr>
                            <w:top w:val="none" w:sz="0" w:space="0" w:color="auto"/>
                            <w:left w:val="none" w:sz="0" w:space="0" w:color="auto"/>
                            <w:bottom w:val="single" w:sz="6" w:space="15" w:color="CCCCCC"/>
                            <w:right w:val="none" w:sz="0" w:space="0" w:color="auto"/>
                          </w:divBdr>
                          <w:divsChild>
                            <w:div w:id="94831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852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10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469052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53031">
      <w:bodyDiv w:val="1"/>
      <w:marLeft w:val="0"/>
      <w:marRight w:val="0"/>
      <w:marTop w:val="0"/>
      <w:marBottom w:val="0"/>
      <w:divBdr>
        <w:top w:val="none" w:sz="0" w:space="0" w:color="auto"/>
        <w:left w:val="none" w:sz="0" w:space="0" w:color="auto"/>
        <w:bottom w:val="none" w:sz="0" w:space="0" w:color="auto"/>
        <w:right w:val="none" w:sz="0" w:space="0" w:color="auto"/>
      </w:divBdr>
    </w:div>
    <w:div w:id="1048990952">
      <w:bodyDiv w:val="1"/>
      <w:marLeft w:val="0"/>
      <w:marRight w:val="0"/>
      <w:marTop w:val="0"/>
      <w:marBottom w:val="0"/>
      <w:divBdr>
        <w:top w:val="none" w:sz="0" w:space="0" w:color="auto"/>
        <w:left w:val="none" w:sz="0" w:space="0" w:color="auto"/>
        <w:bottom w:val="none" w:sz="0" w:space="0" w:color="auto"/>
        <w:right w:val="none" w:sz="0" w:space="0" w:color="auto"/>
      </w:divBdr>
      <w:divsChild>
        <w:div w:id="1084692827">
          <w:marLeft w:val="0"/>
          <w:marRight w:val="0"/>
          <w:marTop w:val="150"/>
          <w:marBottom w:val="0"/>
          <w:divBdr>
            <w:top w:val="none" w:sz="0" w:space="0" w:color="auto"/>
            <w:left w:val="none" w:sz="0" w:space="0" w:color="auto"/>
            <w:bottom w:val="none" w:sz="0" w:space="0" w:color="auto"/>
            <w:right w:val="none" w:sz="0" w:space="0" w:color="auto"/>
          </w:divBdr>
          <w:divsChild>
            <w:div w:id="759520331">
              <w:marLeft w:val="2"/>
              <w:marRight w:val="2"/>
              <w:marTop w:val="0"/>
              <w:marBottom w:val="0"/>
              <w:divBdr>
                <w:top w:val="none" w:sz="0" w:space="0" w:color="auto"/>
                <w:left w:val="none" w:sz="0" w:space="0" w:color="auto"/>
                <w:bottom w:val="none" w:sz="0" w:space="0" w:color="auto"/>
                <w:right w:val="none" w:sz="0" w:space="0" w:color="auto"/>
              </w:divBdr>
              <w:divsChild>
                <w:div w:id="441917186">
                  <w:marLeft w:val="0"/>
                  <w:marRight w:val="0"/>
                  <w:marTop w:val="0"/>
                  <w:marBottom w:val="0"/>
                  <w:divBdr>
                    <w:top w:val="none" w:sz="0" w:space="0" w:color="auto"/>
                    <w:left w:val="none" w:sz="0" w:space="0" w:color="auto"/>
                    <w:bottom w:val="none" w:sz="0" w:space="0" w:color="auto"/>
                    <w:right w:val="none" w:sz="0" w:space="0" w:color="auto"/>
                  </w:divBdr>
                  <w:divsChild>
                    <w:div w:id="1812869701">
                      <w:marLeft w:val="0"/>
                      <w:marRight w:val="0"/>
                      <w:marTop w:val="0"/>
                      <w:marBottom w:val="0"/>
                      <w:divBdr>
                        <w:top w:val="none" w:sz="0" w:space="0" w:color="auto"/>
                        <w:left w:val="none" w:sz="0" w:space="0" w:color="auto"/>
                        <w:bottom w:val="none" w:sz="0" w:space="0" w:color="auto"/>
                        <w:right w:val="none" w:sz="0" w:space="0" w:color="auto"/>
                      </w:divBdr>
                      <w:divsChild>
                        <w:div w:id="860820721">
                          <w:marLeft w:val="0"/>
                          <w:marRight w:val="0"/>
                          <w:marTop w:val="0"/>
                          <w:marBottom w:val="0"/>
                          <w:divBdr>
                            <w:top w:val="none" w:sz="0" w:space="0" w:color="auto"/>
                            <w:left w:val="none" w:sz="0" w:space="0" w:color="auto"/>
                            <w:bottom w:val="none" w:sz="0" w:space="0" w:color="auto"/>
                            <w:right w:val="none" w:sz="0" w:space="0" w:color="auto"/>
                          </w:divBdr>
                          <w:divsChild>
                            <w:div w:id="909003989">
                              <w:marLeft w:val="0"/>
                              <w:marRight w:val="0"/>
                              <w:marTop w:val="0"/>
                              <w:marBottom w:val="0"/>
                              <w:divBdr>
                                <w:top w:val="none" w:sz="0" w:space="0" w:color="auto"/>
                                <w:left w:val="none" w:sz="0" w:space="0" w:color="auto"/>
                                <w:bottom w:val="none" w:sz="0" w:space="0" w:color="auto"/>
                                <w:right w:val="none" w:sz="0" w:space="0" w:color="auto"/>
                              </w:divBdr>
                              <w:divsChild>
                                <w:div w:id="1904679736">
                                  <w:marLeft w:val="0"/>
                                  <w:marRight w:val="0"/>
                                  <w:marTop w:val="0"/>
                                  <w:marBottom w:val="0"/>
                                  <w:divBdr>
                                    <w:top w:val="none" w:sz="0" w:space="0" w:color="auto"/>
                                    <w:left w:val="none" w:sz="0" w:space="0" w:color="auto"/>
                                    <w:bottom w:val="none" w:sz="0" w:space="0" w:color="auto"/>
                                    <w:right w:val="none" w:sz="0" w:space="0" w:color="auto"/>
                                  </w:divBdr>
                                  <w:divsChild>
                                    <w:div w:id="156114575">
                                      <w:marLeft w:val="0"/>
                                      <w:marRight w:val="0"/>
                                      <w:marTop w:val="0"/>
                                      <w:marBottom w:val="0"/>
                                      <w:divBdr>
                                        <w:top w:val="none" w:sz="0" w:space="0" w:color="auto"/>
                                        <w:left w:val="none" w:sz="0" w:space="0" w:color="auto"/>
                                        <w:bottom w:val="none" w:sz="0" w:space="0" w:color="auto"/>
                                        <w:right w:val="none" w:sz="0" w:space="0" w:color="auto"/>
                                      </w:divBdr>
                                      <w:divsChild>
                                        <w:div w:id="2119787140">
                                          <w:marLeft w:val="0"/>
                                          <w:marRight w:val="0"/>
                                          <w:marTop w:val="0"/>
                                          <w:marBottom w:val="0"/>
                                          <w:divBdr>
                                            <w:top w:val="none" w:sz="0" w:space="0" w:color="auto"/>
                                            <w:left w:val="none" w:sz="0" w:space="0" w:color="auto"/>
                                            <w:bottom w:val="none" w:sz="0" w:space="0" w:color="auto"/>
                                            <w:right w:val="none" w:sz="0" w:space="0" w:color="auto"/>
                                          </w:divBdr>
                                          <w:divsChild>
                                            <w:div w:id="1580401924">
                                              <w:marLeft w:val="0"/>
                                              <w:marRight w:val="0"/>
                                              <w:marTop w:val="0"/>
                                              <w:marBottom w:val="0"/>
                                              <w:divBdr>
                                                <w:top w:val="none" w:sz="0" w:space="0" w:color="auto"/>
                                                <w:left w:val="none" w:sz="0" w:space="0" w:color="auto"/>
                                                <w:bottom w:val="none" w:sz="0" w:space="0" w:color="auto"/>
                                                <w:right w:val="none" w:sz="0" w:space="0" w:color="auto"/>
                                              </w:divBdr>
                                              <w:divsChild>
                                                <w:div w:id="1798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836704">
      <w:bodyDiv w:val="1"/>
      <w:marLeft w:val="0"/>
      <w:marRight w:val="0"/>
      <w:marTop w:val="0"/>
      <w:marBottom w:val="0"/>
      <w:divBdr>
        <w:top w:val="none" w:sz="0" w:space="0" w:color="auto"/>
        <w:left w:val="none" w:sz="0" w:space="0" w:color="auto"/>
        <w:bottom w:val="none" w:sz="0" w:space="0" w:color="auto"/>
        <w:right w:val="none" w:sz="0" w:space="0" w:color="auto"/>
      </w:divBdr>
      <w:divsChild>
        <w:div w:id="262224087">
          <w:marLeft w:val="0"/>
          <w:marRight w:val="0"/>
          <w:marTop w:val="375"/>
          <w:marBottom w:val="375"/>
          <w:divBdr>
            <w:top w:val="none" w:sz="0" w:space="0" w:color="auto"/>
            <w:left w:val="none" w:sz="0" w:space="0" w:color="auto"/>
            <w:bottom w:val="none" w:sz="0" w:space="0" w:color="auto"/>
            <w:right w:val="none" w:sz="0" w:space="0" w:color="auto"/>
          </w:divBdr>
          <w:divsChild>
            <w:div w:id="1587110045">
              <w:marLeft w:val="0"/>
              <w:marRight w:val="0"/>
              <w:marTop w:val="375"/>
              <w:marBottom w:val="375"/>
              <w:divBdr>
                <w:top w:val="none" w:sz="0" w:space="0" w:color="auto"/>
                <w:left w:val="none" w:sz="0" w:space="0" w:color="auto"/>
                <w:bottom w:val="none" w:sz="0" w:space="0" w:color="auto"/>
                <w:right w:val="none" w:sz="0" w:space="0" w:color="auto"/>
              </w:divBdr>
            </w:div>
          </w:divsChild>
        </w:div>
        <w:div w:id="481852893">
          <w:marLeft w:val="0"/>
          <w:marRight w:val="0"/>
          <w:marTop w:val="0"/>
          <w:marBottom w:val="375"/>
          <w:divBdr>
            <w:top w:val="none" w:sz="0" w:space="0" w:color="auto"/>
            <w:left w:val="none" w:sz="0" w:space="0" w:color="auto"/>
            <w:bottom w:val="none" w:sz="0" w:space="0" w:color="auto"/>
            <w:right w:val="none" w:sz="0" w:space="0" w:color="auto"/>
          </w:divBdr>
        </w:div>
        <w:div w:id="912811677">
          <w:marLeft w:val="0"/>
          <w:marRight w:val="0"/>
          <w:marTop w:val="375"/>
          <w:marBottom w:val="375"/>
          <w:divBdr>
            <w:top w:val="none" w:sz="0" w:space="0" w:color="auto"/>
            <w:left w:val="none" w:sz="0" w:space="0" w:color="auto"/>
            <w:bottom w:val="none" w:sz="0" w:space="0" w:color="auto"/>
            <w:right w:val="none" w:sz="0" w:space="0" w:color="auto"/>
          </w:divBdr>
        </w:div>
      </w:divsChild>
    </w:div>
    <w:div w:id="1051883976">
      <w:bodyDiv w:val="1"/>
      <w:marLeft w:val="0"/>
      <w:marRight w:val="0"/>
      <w:marTop w:val="0"/>
      <w:marBottom w:val="0"/>
      <w:divBdr>
        <w:top w:val="none" w:sz="0" w:space="0" w:color="auto"/>
        <w:left w:val="none" w:sz="0" w:space="0" w:color="auto"/>
        <w:bottom w:val="none" w:sz="0" w:space="0" w:color="auto"/>
        <w:right w:val="none" w:sz="0" w:space="0" w:color="auto"/>
      </w:divBdr>
      <w:divsChild>
        <w:div w:id="1065299199">
          <w:marLeft w:val="0"/>
          <w:marRight w:val="0"/>
          <w:marTop w:val="0"/>
          <w:marBottom w:val="0"/>
          <w:divBdr>
            <w:top w:val="single" w:sz="6" w:space="0" w:color="0E477A"/>
            <w:left w:val="single" w:sz="6" w:space="0" w:color="0E477A"/>
            <w:bottom w:val="single" w:sz="6" w:space="0" w:color="0E477A"/>
            <w:right w:val="single" w:sz="6" w:space="0" w:color="0E477A"/>
          </w:divBdr>
          <w:divsChild>
            <w:div w:id="1165321565">
              <w:marLeft w:val="2925"/>
              <w:marRight w:val="0"/>
              <w:marTop w:val="0"/>
              <w:marBottom w:val="0"/>
              <w:divBdr>
                <w:top w:val="none" w:sz="0" w:space="0" w:color="auto"/>
                <w:left w:val="none" w:sz="0" w:space="0" w:color="auto"/>
                <w:bottom w:val="none" w:sz="0" w:space="0" w:color="auto"/>
                <w:right w:val="none" w:sz="0" w:space="0" w:color="auto"/>
              </w:divBdr>
              <w:divsChild>
                <w:div w:id="1937982284">
                  <w:marLeft w:val="0"/>
                  <w:marRight w:val="0"/>
                  <w:marTop w:val="0"/>
                  <w:marBottom w:val="0"/>
                  <w:divBdr>
                    <w:top w:val="none" w:sz="0" w:space="0" w:color="auto"/>
                    <w:left w:val="none" w:sz="0" w:space="0" w:color="auto"/>
                    <w:bottom w:val="none" w:sz="0" w:space="0" w:color="auto"/>
                    <w:right w:val="none" w:sz="0" w:space="0" w:color="auto"/>
                  </w:divBdr>
                  <w:divsChild>
                    <w:div w:id="360395175">
                      <w:marLeft w:val="0"/>
                      <w:marRight w:val="150"/>
                      <w:marTop w:val="0"/>
                      <w:marBottom w:val="0"/>
                      <w:divBdr>
                        <w:top w:val="single" w:sz="6" w:space="0" w:color="CCCCCC"/>
                        <w:left w:val="single" w:sz="6" w:space="8" w:color="CCCCCC"/>
                        <w:bottom w:val="single" w:sz="6" w:space="8" w:color="CCCCCC"/>
                        <w:right w:val="single" w:sz="6" w:space="8" w:color="CCCCCC"/>
                      </w:divBdr>
                      <w:divsChild>
                        <w:div w:id="1973513518">
                          <w:marLeft w:val="0"/>
                          <w:marRight w:val="0"/>
                          <w:marTop w:val="0"/>
                          <w:marBottom w:val="0"/>
                          <w:divBdr>
                            <w:top w:val="none" w:sz="0" w:space="0" w:color="auto"/>
                            <w:left w:val="none" w:sz="0" w:space="0" w:color="auto"/>
                            <w:bottom w:val="none" w:sz="0" w:space="0" w:color="auto"/>
                            <w:right w:val="none" w:sz="0" w:space="0" w:color="auto"/>
                          </w:divBdr>
                        </w:div>
                        <w:div w:id="624509016">
                          <w:marLeft w:val="0"/>
                          <w:marRight w:val="0"/>
                          <w:marTop w:val="0"/>
                          <w:marBottom w:val="0"/>
                          <w:divBdr>
                            <w:top w:val="none" w:sz="0" w:space="0" w:color="auto"/>
                            <w:left w:val="none" w:sz="0" w:space="0" w:color="auto"/>
                            <w:bottom w:val="none" w:sz="0" w:space="0" w:color="auto"/>
                            <w:right w:val="none" w:sz="0" w:space="0" w:color="auto"/>
                          </w:divBdr>
                        </w:div>
                        <w:div w:id="671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921985">
      <w:bodyDiv w:val="1"/>
      <w:marLeft w:val="0"/>
      <w:marRight w:val="0"/>
      <w:marTop w:val="0"/>
      <w:marBottom w:val="0"/>
      <w:divBdr>
        <w:top w:val="none" w:sz="0" w:space="0" w:color="auto"/>
        <w:left w:val="none" w:sz="0" w:space="0" w:color="auto"/>
        <w:bottom w:val="none" w:sz="0" w:space="0" w:color="auto"/>
        <w:right w:val="none" w:sz="0" w:space="0" w:color="auto"/>
      </w:divBdr>
      <w:divsChild>
        <w:div w:id="1344937528">
          <w:marLeft w:val="0"/>
          <w:marRight w:val="0"/>
          <w:marTop w:val="0"/>
          <w:marBottom w:val="0"/>
          <w:divBdr>
            <w:top w:val="none" w:sz="0" w:space="0" w:color="auto"/>
            <w:left w:val="none" w:sz="0" w:space="0" w:color="auto"/>
            <w:bottom w:val="none" w:sz="0" w:space="0" w:color="auto"/>
            <w:right w:val="none" w:sz="0" w:space="0" w:color="auto"/>
          </w:divBdr>
        </w:div>
        <w:div w:id="133331541">
          <w:marLeft w:val="0"/>
          <w:marRight w:val="0"/>
          <w:marTop w:val="0"/>
          <w:marBottom w:val="150"/>
          <w:divBdr>
            <w:top w:val="none" w:sz="0" w:space="0" w:color="auto"/>
            <w:left w:val="none" w:sz="0" w:space="0" w:color="auto"/>
            <w:bottom w:val="none" w:sz="0" w:space="0" w:color="auto"/>
            <w:right w:val="none" w:sz="0" w:space="0" w:color="auto"/>
          </w:divBdr>
          <w:divsChild>
            <w:div w:id="1518885104">
              <w:marLeft w:val="0"/>
              <w:marRight w:val="0"/>
              <w:marTop w:val="240"/>
              <w:marBottom w:val="240"/>
              <w:divBdr>
                <w:top w:val="single" w:sz="6" w:space="6" w:color="F2F2F2"/>
                <w:left w:val="none" w:sz="0" w:space="0" w:color="auto"/>
                <w:bottom w:val="single" w:sz="6" w:space="6" w:color="F2F2F2"/>
                <w:right w:val="none" w:sz="0" w:space="0" w:color="auto"/>
              </w:divBdr>
            </w:div>
            <w:div w:id="1433666881">
              <w:marLeft w:val="0"/>
              <w:marRight w:val="0"/>
              <w:marTop w:val="0"/>
              <w:marBottom w:val="0"/>
              <w:divBdr>
                <w:top w:val="none" w:sz="0" w:space="0" w:color="auto"/>
                <w:left w:val="none" w:sz="0" w:space="0" w:color="auto"/>
                <w:bottom w:val="none" w:sz="0" w:space="0" w:color="auto"/>
                <w:right w:val="none" w:sz="0" w:space="0" w:color="auto"/>
              </w:divBdr>
              <w:divsChild>
                <w:div w:id="556715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58407044">
      <w:bodyDiv w:val="1"/>
      <w:marLeft w:val="300"/>
      <w:marRight w:val="300"/>
      <w:marTop w:val="0"/>
      <w:marBottom w:val="0"/>
      <w:divBdr>
        <w:top w:val="none" w:sz="0" w:space="0" w:color="auto"/>
        <w:left w:val="none" w:sz="0" w:space="0" w:color="auto"/>
        <w:bottom w:val="none" w:sz="0" w:space="0" w:color="auto"/>
        <w:right w:val="none" w:sz="0" w:space="0" w:color="auto"/>
      </w:divBdr>
      <w:divsChild>
        <w:div w:id="1890845768">
          <w:marLeft w:val="0"/>
          <w:marRight w:val="0"/>
          <w:marTop w:val="0"/>
          <w:marBottom w:val="0"/>
          <w:divBdr>
            <w:top w:val="none" w:sz="0" w:space="0" w:color="auto"/>
            <w:left w:val="none" w:sz="0" w:space="0" w:color="auto"/>
            <w:bottom w:val="none" w:sz="0" w:space="0" w:color="auto"/>
            <w:right w:val="none" w:sz="0" w:space="0" w:color="auto"/>
          </w:divBdr>
          <w:divsChild>
            <w:div w:id="2030179616">
              <w:marLeft w:val="0"/>
              <w:marRight w:val="0"/>
              <w:marTop w:val="0"/>
              <w:marBottom w:val="0"/>
              <w:divBdr>
                <w:top w:val="none" w:sz="0" w:space="0" w:color="auto"/>
                <w:left w:val="none" w:sz="0" w:space="0" w:color="auto"/>
                <w:bottom w:val="none" w:sz="0" w:space="0" w:color="auto"/>
                <w:right w:val="none" w:sz="0" w:space="0" w:color="auto"/>
              </w:divBdr>
              <w:divsChild>
                <w:div w:id="1306936628">
                  <w:marLeft w:val="0"/>
                  <w:marRight w:val="0"/>
                  <w:marTop w:val="0"/>
                  <w:marBottom w:val="0"/>
                  <w:divBdr>
                    <w:top w:val="none" w:sz="0" w:space="0" w:color="auto"/>
                    <w:left w:val="none" w:sz="0" w:space="0" w:color="auto"/>
                    <w:bottom w:val="none" w:sz="0" w:space="0" w:color="auto"/>
                    <w:right w:val="none" w:sz="0" w:space="0" w:color="auto"/>
                  </w:divBdr>
                  <w:divsChild>
                    <w:div w:id="625044403">
                      <w:marLeft w:val="0"/>
                      <w:marRight w:val="0"/>
                      <w:marTop w:val="0"/>
                      <w:marBottom w:val="0"/>
                      <w:divBdr>
                        <w:top w:val="none" w:sz="0" w:space="0" w:color="auto"/>
                        <w:left w:val="none" w:sz="0" w:space="0" w:color="auto"/>
                        <w:bottom w:val="none" w:sz="0" w:space="0" w:color="auto"/>
                        <w:right w:val="none" w:sz="0" w:space="0" w:color="auto"/>
                      </w:divBdr>
                      <w:divsChild>
                        <w:div w:id="1784957801">
                          <w:marLeft w:val="0"/>
                          <w:marRight w:val="0"/>
                          <w:marTop w:val="0"/>
                          <w:marBottom w:val="0"/>
                          <w:divBdr>
                            <w:top w:val="none" w:sz="0" w:space="0" w:color="auto"/>
                            <w:left w:val="none" w:sz="0" w:space="0" w:color="auto"/>
                            <w:bottom w:val="none" w:sz="0" w:space="0" w:color="auto"/>
                            <w:right w:val="none" w:sz="0" w:space="0" w:color="auto"/>
                          </w:divBdr>
                          <w:divsChild>
                            <w:div w:id="1781217343">
                              <w:marLeft w:val="0"/>
                              <w:marRight w:val="0"/>
                              <w:marTop w:val="0"/>
                              <w:marBottom w:val="0"/>
                              <w:divBdr>
                                <w:top w:val="none" w:sz="0" w:space="0" w:color="auto"/>
                                <w:left w:val="none" w:sz="0" w:space="0" w:color="auto"/>
                                <w:bottom w:val="none" w:sz="0" w:space="0" w:color="auto"/>
                                <w:right w:val="none" w:sz="0" w:space="0" w:color="auto"/>
                              </w:divBdr>
                              <w:divsChild>
                                <w:div w:id="1399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1064">
                      <w:marLeft w:val="0"/>
                      <w:marRight w:val="0"/>
                      <w:marTop w:val="0"/>
                      <w:marBottom w:val="0"/>
                      <w:divBdr>
                        <w:top w:val="none" w:sz="0" w:space="0" w:color="auto"/>
                        <w:left w:val="none" w:sz="0" w:space="0" w:color="auto"/>
                        <w:bottom w:val="none" w:sz="0" w:space="0" w:color="auto"/>
                        <w:right w:val="none" w:sz="0" w:space="0" w:color="auto"/>
                      </w:divBdr>
                      <w:divsChild>
                        <w:div w:id="992638183">
                          <w:marLeft w:val="0"/>
                          <w:marRight w:val="0"/>
                          <w:marTop w:val="0"/>
                          <w:marBottom w:val="240"/>
                          <w:divBdr>
                            <w:top w:val="none" w:sz="0" w:space="0" w:color="auto"/>
                            <w:left w:val="none" w:sz="0" w:space="0" w:color="auto"/>
                            <w:bottom w:val="none" w:sz="0" w:space="0" w:color="auto"/>
                            <w:right w:val="none" w:sz="0" w:space="0" w:color="auto"/>
                          </w:divBdr>
                          <w:divsChild>
                            <w:div w:id="1611431316">
                              <w:marLeft w:val="0"/>
                              <w:marRight w:val="0"/>
                              <w:marTop w:val="0"/>
                              <w:marBottom w:val="0"/>
                              <w:divBdr>
                                <w:top w:val="none" w:sz="0" w:space="0" w:color="auto"/>
                                <w:left w:val="none" w:sz="0" w:space="0" w:color="auto"/>
                                <w:bottom w:val="none" w:sz="0" w:space="0" w:color="auto"/>
                                <w:right w:val="none" w:sz="0" w:space="0" w:color="auto"/>
                              </w:divBdr>
                            </w:div>
                            <w:div w:id="1157308660">
                              <w:marLeft w:val="0"/>
                              <w:marRight w:val="0"/>
                              <w:marTop w:val="0"/>
                              <w:marBottom w:val="0"/>
                              <w:divBdr>
                                <w:top w:val="none" w:sz="0" w:space="0" w:color="auto"/>
                                <w:left w:val="none" w:sz="0" w:space="0" w:color="auto"/>
                                <w:bottom w:val="none" w:sz="0" w:space="0" w:color="auto"/>
                                <w:right w:val="none" w:sz="0" w:space="0" w:color="auto"/>
                              </w:divBdr>
                              <w:divsChild>
                                <w:div w:id="1623076162">
                                  <w:marLeft w:val="0"/>
                                  <w:marRight w:val="0"/>
                                  <w:marTop w:val="0"/>
                                  <w:marBottom w:val="0"/>
                                  <w:divBdr>
                                    <w:top w:val="none" w:sz="0" w:space="0" w:color="auto"/>
                                    <w:left w:val="none" w:sz="0" w:space="0" w:color="auto"/>
                                    <w:bottom w:val="none" w:sz="0" w:space="0" w:color="auto"/>
                                    <w:right w:val="none" w:sz="0" w:space="0" w:color="auto"/>
                                  </w:divBdr>
                                  <w:divsChild>
                                    <w:div w:id="642123265">
                                      <w:marLeft w:val="0"/>
                                      <w:marRight w:val="0"/>
                                      <w:marTop w:val="0"/>
                                      <w:marBottom w:val="0"/>
                                      <w:divBdr>
                                        <w:top w:val="none" w:sz="0" w:space="0" w:color="auto"/>
                                        <w:left w:val="none" w:sz="0" w:space="0" w:color="auto"/>
                                        <w:bottom w:val="none" w:sz="0" w:space="0" w:color="auto"/>
                                        <w:right w:val="none" w:sz="0" w:space="0" w:color="auto"/>
                                      </w:divBdr>
                                      <w:divsChild>
                                        <w:div w:id="12331569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86665">
      <w:bodyDiv w:val="1"/>
      <w:marLeft w:val="0"/>
      <w:marRight w:val="0"/>
      <w:marTop w:val="0"/>
      <w:marBottom w:val="0"/>
      <w:divBdr>
        <w:top w:val="none" w:sz="0" w:space="0" w:color="auto"/>
        <w:left w:val="none" w:sz="0" w:space="0" w:color="auto"/>
        <w:bottom w:val="none" w:sz="0" w:space="0" w:color="auto"/>
        <w:right w:val="none" w:sz="0" w:space="0" w:color="auto"/>
      </w:divBdr>
    </w:div>
    <w:div w:id="1059590760">
      <w:bodyDiv w:val="1"/>
      <w:marLeft w:val="0"/>
      <w:marRight w:val="0"/>
      <w:marTop w:val="0"/>
      <w:marBottom w:val="0"/>
      <w:divBdr>
        <w:top w:val="none" w:sz="0" w:space="0" w:color="auto"/>
        <w:left w:val="none" w:sz="0" w:space="0" w:color="auto"/>
        <w:bottom w:val="none" w:sz="0" w:space="0" w:color="auto"/>
        <w:right w:val="none" w:sz="0" w:space="0" w:color="auto"/>
      </w:divBdr>
      <w:divsChild>
        <w:div w:id="893348156">
          <w:marLeft w:val="0"/>
          <w:marRight w:val="0"/>
          <w:marTop w:val="0"/>
          <w:marBottom w:val="0"/>
          <w:divBdr>
            <w:top w:val="none" w:sz="0" w:space="0" w:color="auto"/>
            <w:left w:val="none" w:sz="0" w:space="0" w:color="auto"/>
            <w:bottom w:val="none" w:sz="0" w:space="0" w:color="auto"/>
            <w:right w:val="none" w:sz="0" w:space="0" w:color="auto"/>
          </w:divBdr>
          <w:divsChild>
            <w:div w:id="1008095039">
              <w:marLeft w:val="0"/>
              <w:marRight w:val="0"/>
              <w:marTop w:val="0"/>
              <w:marBottom w:val="0"/>
              <w:divBdr>
                <w:top w:val="none" w:sz="0" w:space="0" w:color="auto"/>
                <w:left w:val="none" w:sz="0" w:space="0" w:color="auto"/>
                <w:bottom w:val="none" w:sz="0" w:space="0" w:color="auto"/>
                <w:right w:val="none" w:sz="0" w:space="0" w:color="auto"/>
              </w:divBdr>
              <w:divsChild>
                <w:div w:id="1175074177">
                  <w:marLeft w:val="0"/>
                  <w:marRight w:val="0"/>
                  <w:marTop w:val="0"/>
                  <w:marBottom w:val="0"/>
                  <w:divBdr>
                    <w:top w:val="none" w:sz="0" w:space="0" w:color="auto"/>
                    <w:left w:val="none" w:sz="0" w:space="0" w:color="auto"/>
                    <w:bottom w:val="none" w:sz="0" w:space="0" w:color="auto"/>
                    <w:right w:val="none" w:sz="0" w:space="0" w:color="auto"/>
                  </w:divBdr>
                  <w:divsChild>
                    <w:div w:id="36635623">
                      <w:marLeft w:val="0"/>
                      <w:marRight w:val="0"/>
                      <w:marTop w:val="0"/>
                      <w:marBottom w:val="0"/>
                      <w:divBdr>
                        <w:top w:val="none" w:sz="0" w:space="0" w:color="auto"/>
                        <w:left w:val="none" w:sz="0" w:space="0" w:color="auto"/>
                        <w:bottom w:val="none" w:sz="0" w:space="0" w:color="auto"/>
                        <w:right w:val="none" w:sz="0" w:space="0" w:color="auto"/>
                      </w:divBdr>
                      <w:divsChild>
                        <w:div w:id="1655596609">
                          <w:marLeft w:val="0"/>
                          <w:marRight w:val="0"/>
                          <w:marTop w:val="0"/>
                          <w:marBottom w:val="0"/>
                          <w:divBdr>
                            <w:top w:val="none" w:sz="0" w:space="0" w:color="auto"/>
                            <w:left w:val="none" w:sz="0" w:space="0" w:color="auto"/>
                            <w:bottom w:val="none" w:sz="0" w:space="0" w:color="auto"/>
                            <w:right w:val="none" w:sz="0" w:space="0" w:color="auto"/>
                          </w:divBdr>
                          <w:divsChild>
                            <w:div w:id="1382049962">
                              <w:marLeft w:val="570"/>
                              <w:marRight w:val="720"/>
                              <w:marTop w:val="120"/>
                              <w:marBottom w:val="120"/>
                              <w:divBdr>
                                <w:top w:val="none" w:sz="0" w:space="0" w:color="auto"/>
                                <w:left w:val="none" w:sz="0" w:space="0" w:color="auto"/>
                                <w:bottom w:val="none" w:sz="0" w:space="0" w:color="auto"/>
                                <w:right w:val="none" w:sz="0" w:space="0" w:color="auto"/>
                              </w:divBdr>
                              <w:divsChild>
                                <w:div w:id="1752198851">
                                  <w:marLeft w:val="0"/>
                                  <w:marRight w:val="0"/>
                                  <w:marTop w:val="0"/>
                                  <w:marBottom w:val="0"/>
                                  <w:divBdr>
                                    <w:top w:val="none" w:sz="0" w:space="0" w:color="auto"/>
                                    <w:left w:val="none" w:sz="0" w:space="0" w:color="auto"/>
                                    <w:bottom w:val="none" w:sz="0" w:space="0" w:color="auto"/>
                                    <w:right w:val="none" w:sz="0" w:space="0" w:color="auto"/>
                                  </w:divBdr>
                                  <w:divsChild>
                                    <w:div w:id="312682141">
                                      <w:marLeft w:val="0"/>
                                      <w:marRight w:val="0"/>
                                      <w:marTop w:val="0"/>
                                      <w:marBottom w:val="0"/>
                                      <w:divBdr>
                                        <w:top w:val="none" w:sz="0" w:space="0" w:color="auto"/>
                                        <w:left w:val="none" w:sz="0" w:space="0" w:color="auto"/>
                                        <w:bottom w:val="none" w:sz="0" w:space="0" w:color="auto"/>
                                        <w:right w:val="none" w:sz="0" w:space="0" w:color="auto"/>
                                      </w:divBdr>
                                      <w:divsChild>
                                        <w:div w:id="948775743">
                                          <w:marLeft w:val="0"/>
                                          <w:marRight w:val="0"/>
                                          <w:marTop w:val="0"/>
                                          <w:marBottom w:val="0"/>
                                          <w:divBdr>
                                            <w:top w:val="none" w:sz="0" w:space="0" w:color="auto"/>
                                            <w:left w:val="none" w:sz="0" w:space="0" w:color="auto"/>
                                            <w:bottom w:val="none" w:sz="0" w:space="0" w:color="auto"/>
                                            <w:right w:val="none" w:sz="0" w:space="0" w:color="auto"/>
                                          </w:divBdr>
                                        </w:div>
                                        <w:div w:id="795560959">
                                          <w:marLeft w:val="0"/>
                                          <w:marRight w:val="0"/>
                                          <w:marTop w:val="0"/>
                                          <w:marBottom w:val="150"/>
                                          <w:divBdr>
                                            <w:top w:val="none" w:sz="0" w:space="0" w:color="auto"/>
                                            <w:left w:val="none" w:sz="0" w:space="0" w:color="auto"/>
                                            <w:bottom w:val="none" w:sz="0" w:space="0" w:color="auto"/>
                                            <w:right w:val="none" w:sz="0" w:space="0" w:color="auto"/>
                                          </w:divBdr>
                                          <w:divsChild>
                                            <w:div w:id="790050644">
                                              <w:marLeft w:val="0"/>
                                              <w:marRight w:val="0"/>
                                              <w:marTop w:val="240"/>
                                              <w:marBottom w:val="240"/>
                                              <w:divBdr>
                                                <w:top w:val="single" w:sz="6" w:space="6" w:color="F2F2F2"/>
                                                <w:left w:val="none" w:sz="0" w:space="0" w:color="auto"/>
                                                <w:bottom w:val="single" w:sz="6" w:space="6" w:color="F2F2F2"/>
                                                <w:right w:val="none" w:sz="0" w:space="0" w:color="auto"/>
                                              </w:divBdr>
                                            </w:div>
                                            <w:div w:id="1558585080">
                                              <w:marLeft w:val="0"/>
                                              <w:marRight w:val="0"/>
                                              <w:marTop w:val="0"/>
                                              <w:marBottom w:val="0"/>
                                              <w:divBdr>
                                                <w:top w:val="none" w:sz="0" w:space="0" w:color="auto"/>
                                                <w:left w:val="none" w:sz="0" w:space="0" w:color="auto"/>
                                                <w:bottom w:val="none" w:sz="0" w:space="0" w:color="auto"/>
                                                <w:right w:val="none" w:sz="0" w:space="0" w:color="auto"/>
                                              </w:divBdr>
                                              <w:divsChild>
                                                <w:div w:id="891574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058702">
      <w:bodyDiv w:val="1"/>
      <w:marLeft w:val="0"/>
      <w:marRight w:val="0"/>
      <w:marTop w:val="0"/>
      <w:marBottom w:val="0"/>
      <w:divBdr>
        <w:top w:val="none" w:sz="0" w:space="0" w:color="auto"/>
        <w:left w:val="none" w:sz="0" w:space="0" w:color="auto"/>
        <w:bottom w:val="none" w:sz="0" w:space="0" w:color="auto"/>
        <w:right w:val="none" w:sz="0" w:space="0" w:color="auto"/>
      </w:divBdr>
      <w:divsChild>
        <w:div w:id="202643312">
          <w:marLeft w:val="0"/>
          <w:marRight w:val="0"/>
          <w:marTop w:val="0"/>
          <w:marBottom w:val="0"/>
          <w:divBdr>
            <w:top w:val="none" w:sz="0" w:space="0" w:color="auto"/>
            <w:left w:val="none" w:sz="0" w:space="0" w:color="auto"/>
            <w:bottom w:val="none" w:sz="0" w:space="0" w:color="auto"/>
            <w:right w:val="none" w:sz="0" w:space="0" w:color="auto"/>
          </w:divBdr>
          <w:divsChild>
            <w:div w:id="994069580">
              <w:marLeft w:val="0"/>
              <w:marRight w:val="0"/>
              <w:marTop w:val="0"/>
              <w:marBottom w:val="0"/>
              <w:divBdr>
                <w:top w:val="none" w:sz="0" w:space="0" w:color="auto"/>
                <w:left w:val="none" w:sz="0" w:space="0" w:color="auto"/>
                <w:bottom w:val="none" w:sz="0" w:space="0" w:color="auto"/>
                <w:right w:val="none" w:sz="0" w:space="0" w:color="auto"/>
              </w:divBdr>
              <w:divsChild>
                <w:div w:id="705914011">
                  <w:marLeft w:val="0"/>
                  <w:marRight w:val="0"/>
                  <w:marTop w:val="0"/>
                  <w:marBottom w:val="0"/>
                  <w:divBdr>
                    <w:top w:val="none" w:sz="0" w:space="0" w:color="auto"/>
                    <w:left w:val="none" w:sz="0" w:space="0" w:color="auto"/>
                    <w:bottom w:val="none" w:sz="0" w:space="0" w:color="auto"/>
                    <w:right w:val="none" w:sz="0" w:space="0" w:color="auto"/>
                  </w:divBdr>
                  <w:divsChild>
                    <w:div w:id="1991902683">
                      <w:marLeft w:val="0"/>
                      <w:marRight w:val="0"/>
                      <w:marTop w:val="0"/>
                      <w:marBottom w:val="0"/>
                      <w:divBdr>
                        <w:top w:val="none" w:sz="0" w:space="0" w:color="auto"/>
                        <w:left w:val="none" w:sz="0" w:space="0" w:color="auto"/>
                        <w:bottom w:val="none" w:sz="0" w:space="0" w:color="auto"/>
                        <w:right w:val="none" w:sz="0" w:space="0" w:color="auto"/>
                      </w:divBdr>
                      <w:divsChild>
                        <w:div w:id="41906180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562227">
      <w:bodyDiv w:val="1"/>
      <w:marLeft w:val="0"/>
      <w:marRight w:val="0"/>
      <w:marTop w:val="0"/>
      <w:marBottom w:val="0"/>
      <w:divBdr>
        <w:top w:val="none" w:sz="0" w:space="0" w:color="auto"/>
        <w:left w:val="none" w:sz="0" w:space="0" w:color="auto"/>
        <w:bottom w:val="none" w:sz="0" w:space="0" w:color="auto"/>
        <w:right w:val="none" w:sz="0" w:space="0" w:color="auto"/>
      </w:divBdr>
      <w:divsChild>
        <w:div w:id="739252334">
          <w:marLeft w:val="0"/>
          <w:marRight w:val="0"/>
          <w:marTop w:val="0"/>
          <w:marBottom w:val="0"/>
          <w:divBdr>
            <w:top w:val="none" w:sz="0" w:space="0" w:color="auto"/>
            <w:left w:val="none" w:sz="0" w:space="0" w:color="auto"/>
            <w:bottom w:val="none" w:sz="0" w:space="0" w:color="auto"/>
            <w:right w:val="none" w:sz="0" w:space="0" w:color="auto"/>
          </w:divBdr>
          <w:divsChild>
            <w:div w:id="624891413">
              <w:marLeft w:val="0"/>
              <w:marRight w:val="0"/>
              <w:marTop w:val="0"/>
              <w:marBottom w:val="0"/>
              <w:divBdr>
                <w:top w:val="none" w:sz="0" w:space="0" w:color="auto"/>
                <w:left w:val="none" w:sz="0" w:space="0" w:color="auto"/>
                <w:bottom w:val="none" w:sz="0" w:space="0" w:color="auto"/>
                <w:right w:val="none" w:sz="0" w:space="0" w:color="auto"/>
              </w:divBdr>
              <w:divsChild>
                <w:div w:id="518931672">
                  <w:marLeft w:val="0"/>
                  <w:marRight w:val="0"/>
                  <w:marTop w:val="0"/>
                  <w:marBottom w:val="0"/>
                  <w:divBdr>
                    <w:top w:val="none" w:sz="0" w:space="0" w:color="auto"/>
                    <w:left w:val="none" w:sz="0" w:space="0" w:color="auto"/>
                    <w:bottom w:val="none" w:sz="0" w:space="0" w:color="auto"/>
                    <w:right w:val="none" w:sz="0" w:space="0" w:color="auto"/>
                  </w:divBdr>
                  <w:divsChild>
                    <w:div w:id="1614166341">
                      <w:marLeft w:val="0"/>
                      <w:marRight w:val="0"/>
                      <w:marTop w:val="0"/>
                      <w:marBottom w:val="0"/>
                      <w:divBdr>
                        <w:top w:val="none" w:sz="0" w:space="0" w:color="auto"/>
                        <w:left w:val="none" w:sz="0" w:space="0" w:color="auto"/>
                        <w:bottom w:val="none" w:sz="0" w:space="0" w:color="auto"/>
                        <w:right w:val="none" w:sz="0" w:space="0" w:color="auto"/>
                      </w:divBdr>
                      <w:divsChild>
                        <w:div w:id="150516581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867482">
      <w:bodyDiv w:val="1"/>
      <w:marLeft w:val="0"/>
      <w:marRight w:val="0"/>
      <w:marTop w:val="0"/>
      <w:marBottom w:val="0"/>
      <w:divBdr>
        <w:top w:val="none" w:sz="0" w:space="0" w:color="auto"/>
        <w:left w:val="none" w:sz="0" w:space="0" w:color="auto"/>
        <w:bottom w:val="none" w:sz="0" w:space="0" w:color="auto"/>
        <w:right w:val="none" w:sz="0" w:space="0" w:color="auto"/>
      </w:divBdr>
      <w:divsChild>
        <w:div w:id="351301855">
          <w:marLeft w:val="0"/>
          <w:marRight w:val="0"/>
          <w:marTop w:val="0"/>
          <w:marBottom w:val="0"/>
          <w:divBdr>
            <w:top w:val="none" w:sz="0" w:space="0" w:color="auto"/>
            <w:left w:val="none" w:sz="0" w:space="0" w:color="auto"/>
            <w:bottom w:val="none" w:sz="0" w:space="0" w:color="auto"/>
            <w:right w:val="none" w:sz="0" w:space="0" w:color="auto"/>
          </w:divBdr>
          <w:divsChild>
            <w:div w:id="1208672">
              <w:marLeft w:val="0"/>
              <w:marRight w:val="0"/>
              <w:marTop w:val="0"/>
              <w:marBottom w:val="0"/>
              <w:divBdr>
                <w:top w:val="none" w:sz="0" w:space="0" w:color="auto"/>
                <w:left w:val="none" w:sz="0" w:space="0" w:color="auto"/>
                <w:bottom w:val="none" w:sz="0" w:space="0" w:color="auto"/>
                <w:right w:val="none" w:sz="0" w:space="0" w:color="auto"/>
              </w:divBdr>
              <w:divsChild>
                <w:div w:id="1389452528">
                  <w:marLeft w:val="0"/>
                  <w:marRight w:val="0"/>
                  <w:marTop w:val="0"/>
                  <w:marBottom w:val="0"/>
                  <w:divBdr>
                    <w:top w:val="none" w:sz="0" w:space="0" w:color="auto"/>
                    <w:left w:val="none" w:sz="0" w:space="0" w:color="auto"/>
                    <w:bottom w:val="none" w:sz="0" w:space="0" w:color="auto"/>
                    <w:right w:val="none" w:sz="0" w:space="0" w:color="auto"/>
                  </w:divBdr>
                  <w:divsChild>
                    <w:div w:id="190605425">
                      <w:marLeft w:val="0"/>
                      <w:marRight w:val="0"/>
                      <w:marTop w:val="0"/>
                      <w:marBottom w:val="0"/>
                      <w:divBdr>
                        <w:top w:val="none" w:sz="0" w:space="0" w:color="auto"/>
                        <w:left w:val="none" w:sz="0" w:space="0" w:color="auto"/>
                        <w:bottom w:val="none" w:sz="0" w:space="0" w:color="auto"/>
                        <w:right w:val="none" w:sz="0" w:space="0" w:color="auto"/>
                      </w:divBdr>
                      <w:divsChild>
                        <w:div w:id="1669744945">
                          <w:marLeft w:val="0"/>
                          <w:marRight w:val="0"/>
                          <w:marTop w:val="0"/>
                          <w:marBottom w:val="0"/>
                          <w:divBdr>
                            <w:top w:val="none" w:sz="0" w:space="0" w:color="auto"/>
                            <w:left w:val="none" w:sz="0" w:space="0" w:color="auto"/>
                            <w:bottom w:val="none" w:sz="0" w:space="0" w:color="auto"/>
                            <w:right w:val="none" w:sz="0" w:space="0" w:color="auto"/>
                          </w:divBdr>
                          <w:divsChild>
                            <w:div w:id="1911041036">
                              <w:marLeft w:val="0"/>
                              <w:marRight w:val="0"/>
                              <w:marTop w:val="0"/>
                              <w:marBottom w:val="0"/>
                              <w:divBdr>
                                <w:top w:val="none" w:sz="0" w:space="0" w:color="auto"/>
                                <w:left w:val="none" w:sz="0" w:space="0" w:color="auto"/>
                                <w:bottom w:val="none" w:sz="0" w:space="0" w:color="auto"/>
                                <w:right w:val="none" w:sz="0" w:space="0" w:color="auto"/>
                              </w:divBdr>
                              <w:divsChild>
                                <w:div w:id="1305701790">
                                  <w:marLeft w:val="0"/>
                                  <w:marRight w:val="0"/>
                                  <w:marTop w:val="0"/>
                                  <w:marBottom w:val="0"/>
                                  <w:divBdr>
                                    <w:top w:val="none" w:sz="0" w:space="0" w:color="auto"/>
                                    <w:left w:val="none" w:sz="0" w:space="0" w:color="auto"/>
                                    <w:bottom w:val="none" w:sz="0" w:space="0" w:color="auto"/>
                                    <w:right w:val="none" w:sz="0" w:space="0" w:color="auto"/>
                                  </w:divBdr>
                                  <w:divsChild>
                                    <w:div w:id="697972642">
                                      <w:marLeft w:val="0"/>
                                      <w:marRight w:val="0"/>
                                      <w:marTop w:val="0"/>
                                      <w:marBottom w:val="0"/>
                                      <w:divBdr>
                                        <w:top w:val="none" w:sz="0" w:space="0" w:color="auto"/>
                                        <w:left w:val="none" w:sz="0" w:space="0" w:color="auto"/>
                                        <w:bottom w:val="none" w:sz="0" w:space="0" w:color="auto"/>
                                        <w:right w:val="none" w:sz="0" w:space="0" w:color="auto"/>
                                      </w:divBdr>
                                      <w:divsChild>
                                        <w:div w:id="1781298742">
                                          <w:marLeft w:val="0"/>
                                          <w:marRight w:val="0"/>
                                          <w:marTop w:val="0"/>
                                          <w:marBottom w:val="0"/>
                                          <w:divBdr>
                                            <w:top w:val="none" w:sz="0" w:space="0" w:color="auto"/>
                                            <w:left w:val="none" w:sz="0" w:space="0" w:color="auto"/>
                                            <w:bottom w:val="none" w:sz="0" w:space="0" w:color="auto"/>
                                            <w:right w:val="none" w:sz="0" w:space="0" w:color="auto"/>
                                          </w:divBdr>
                                          <w:divsChild>
                                            <w:div w:id="139001995">
                                              <w:marLeft w:val="0"/>
                                              <w:marRight w:val="0"/>
                                              <w:marTop w:val="0"/>
                                              <w:marBottom w:val="0"/>
                                              <w:divBdr>
                                                <w:top w:val="none" w:sz="0" w:space="0" w:color="auto"/>
                                                <w:left w:val="none" w:sz="0" w:space="0" w:color="auto"/>
                                                <w:bottom w:val="none" w:sz="0" w:space="0" w:color="auto"/>
                                                <w:right w:val="none" w:sz="0" w:space="0" w:color="auto"/>
                                              </w:divBdr>
                                              <w:divsChild>
                                                <w:div w:id="613245192">
                                                  <w:marLeft w:val="0"/>
                                                  <w:marRight w:val="0"/>
                                                  <w:marTop w:val="0"/>
                                                  <w:marBottom w:val="0"/>
                                                  <w:divBdr>
                                                    <w:top w:val="none" w:sz="0" w:space="0" w:color="auto"/>
                                                    <w:left w:val="none" w:sz="0" w:space="0" w:color="auto"/>
                                                    <w:bottom w:val="none" w:sz="0" w:space="0" w:color="auto"/>
                                                    <w:right w:val="none" w:sz="0" w:space="0" w:color="auto"/>
                                                  </w:divBdr>
                                                  <w:divsChild>
                                                    <w:div w:id="2023436733">
                                                      <w:marLeft w:val="0"/>
                                                      <w:marRight w:val="0"/>
                                                      <w:marTop w:val="0"/>
                                                      <w:marBottom w:val="0"/>
                                                      <w:divBdr>
                                                        <w:top w:val="none" w:sz="0" w:space="0" w:color="auto"/>
                                                        <w:left w:val="none" w:sz="0" w:space="0" w:color="auto"/>
                                                        <w:bottom w:val="none" w:sz="0" w:space="0" w:color="auto"/>
                                                        <w:right w:val="none" w:sz="0" w:space="0" w:color="auto"/>
                                                      </w:divBdr>
                                                      <w:divsChild>
                                                        <w:div w:id="552499445">
                                                          <w:marLeft w:val="0"/>
                                                          <w:marRight w:val="0"/>
                                                          <w:marTop w:val="0"/>
                                                          <w:marBottom w:val="0"/>
                                                          <w:divBdr>
                                                            <w:top w:val="none" w:sz="0" w:space="0" w:color="auto"/>
                                                            <w:left w:val="none" w:sz="0" w:space="0" w:color="auto"/>
                                                            <w:bottom w:val="none" w:sz="0" w:space="0" w:color="auto"/>
                                                            <w:right w:val="none" w:sz="0" w:space="0" w:color="auto"/>
                                                          </w:divBdr>
                                                        </w:div>
                                                        <w:div w:id="185755148">
                                                          <w:marLeft w:val="0"/>
                                                          <w:marRight w:val="0"/>
                                                          <w:marTop w:val="0"/>
                                                          <w:marBottom w:val="0"/>
                                                          <w:divBdr>
                                                            <w:top w:val="none" w:sz="0" w:space="0" w:color="auto"/>
                                                            <w:left w:val="none" w:sz="0" w:space="0" w:color="auto"/>
                                                            <w:bottom w:val="none" w:sz="0" w:space="0" w:color="auto"/>
                                                            <w:right w:val="none" w:sz="0" w:space="0" w:color="auto"/>
                                                          </w:divBdr>
                                                          <w:divsChild>
                                                            <w:div w:id="3070520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874939">
      <w:bodyDiv w:val="1"/>
      <w:marLeft w:val="0"/>
      <w:marRight w:val="0"/>
      <w:marTop w:val="0"/>
      <w:marBottom w:val="0"/>
      <w:divBdr>
        <w:top w:val="none" w:sz="0" w:space="0" w:color="auto"/>
        <w:left w:val="none" w:sz="0" w:space="0" w:color="auto"/>
        <w:bottom w:val="none" w:sz="0" w:space="0" w:color="auto"/>
        <w:right w:val="none" w:sz="0" w:space="0" w:color="auto"/>
      </w:divBdr>
      <w:divsChild>
        <w:div w:id="424228806">
          <w:marLeft w:val="0"/>
          <w:marRight w:val="0"/>
          <w:marTop w:val="0"/>
          <w:marBottom w:val="0"/>
          <w:divBdr>
            <w:top w:val="none" w:sz="0" w:space="0" w:color="auto"/>
            <w:left w:val="none" w:sz="0" w:space="0" w:color="auto"/>
            <w:bottom w:val="none" w:sz="0" w:space="0" w:color="auto"/>
            <w:right w:val="none" w:sz="0" w:space="0" w:color="auto"/>
          </w:divBdr>
          <w:divsChild>
            <w:div w:id="910771092">
              <w:marLeft w:val="0"/>
              <w:marRight w:val="0"/>
              <w:marTop w:val="0"/>
              <w:marBottom w:val="0"/>
              <w:divBdr>
                <w:top w:val="none" w:sz="0" w:space="0" w:color="auto"/>
                <w:left w:val="none" w:sz="0" w:space="0" w:color="auto"/>
                <w:bottom w:val="none" w:sz="0" w:space="0" w:color="auto"/>
                <w:right w:val="none" w:sz="0" w:space="0" w:color="auto"/>
              </w:divBdr>
              <w:divsChild>
                <w:div w:id="2031833502">
                  <w:marLeft w:val="0"/>
                  <w:marRight w:val="0"/>
                  <w:marTop w:val="0"/>
                  <w:marBottom w:val="0"/>
                  <w:divBdr>
                    <w:top w:val="none" w:sz="0" w:space="0" w:color="auto"/>
                    <w:left w:val="none" w:sz="0" w:space="0" w:color="auto"/>
                    <w:bottom w:val="none" w:sz="0" w:space="0" w:color="auto"/>
                    <w:right w:val="none" w:sz="0" w:space="0" w:color="auto"/>
                  </w:divBdr>
                  <w:divsChild>
                    <w:div w:id="1459181787">
                      <w:marLeft w:val="0"/>
                      <w:marRight w:val="0"/>
                      <w:marTop w:val="0"/>
                      <w:marBottom w:val="0"/>
                      <w:divBdr>
                        <w:top w:val="none" w:sz="0" w:space="0" w:color="auto"/>
                        <w:left w:val="none" w:sz="0" w:space="0" w:color="auto"/>
                        <w:bottom w:val="none" w:sz="0" w:space="0" w:color="auto"/>
                        <w:right w:val="none" w:sz="0" w:space="0" w:color="auto"/>
                      </w:divBdr>
                      <w:divsChild>
                        <w:div w:id="13168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916009">
      <w:bodyDiv w:val="1"/>
      <w:marLeft w:val="0"/>
      <w:marRight w:val="0"/>
      <w:marTop w:val="0"/>
      <w:marBottom w:val="0"/>
      <w:divBdr>
        <w:top w:val="none" w:sz="0" w:space="0" w:color="auto"/>
        <w:left w:val="none" w:sz="0" w:space="0" w:color="auto"/>
        <w:bottom w:val="none" w:sz="0" w:space="0" w:color="auto"/>
        <w:right w:val="none" w:sz="0" w:space="0" w:color="auto"/>
      </w:divBdr>
      <w:divsChild>
        <w:div w:id="50614381">
          <w:marLeft w:val="0"/>
          <w:marRight w:val="0"/>
          <w:marTop w:val="0"/>
          <w:marBottom w:val="0"/>
          <w:divBdr>
            <w:top w:val="none" w:sz="0" w:space="0" w:color="auto"/>
            <w:left w:val="none" w:sz="0" w:space="0" w:color="auto"/>
            <w:bottom w:val="none" w:sz="0" w:space="0" w:color="auto"/>
            <w:right w:val="none" w:sz="0" w:space="0" w:color="auto"/>
          </w:divBdr>
          <w:divsChild>
            <w:div w:id="490605672">
              <w:marLeft w:val="0"/>
              <w:marRight w:val="0"/>
              <w:marTop w:val="0"/>
              <w:marBottom w:val="450"/>
              <w:divBdr>
                <w:top w:val="none" w:sz="0" w:space="0" w:color="auto"/>
                <w:left w:val="none" w:sz="0" w:space="0" w:color="auto"/>
                <w:bottom w:val="none" w:sz="0" w:space="0" w:color="auto"/>
                <w:right w:val="none" w:sz="0" w:space="0" w:color="auto"/>
              </w:divBdr>
            </w:div>
          </w:divsChild>
        </w:div>
        <w:div w:id="2121409740">
          <w:marLeft w:val="0"/>
          <w:marRight w:val="0"/>
          <w:marTop w:val="0"/>
          <w:marBottom w:val="0"/>
          <w:divBdr>
            <w:top w:val="none" w:sz="0" w:space="0" w:color="auto"/>
            <w:left w:val="none" w:sz="0" w:space="0" w:color="auto"/>
            <w:bottom w:val="none" w:sz="0" w:space="0" w:color="auto"/>
            <w:right w:val="none" w:sz="0" w:space="0" w:color="auto"/>
          </w:divBdr>
        </w:div>
      </w:divsChild>
    </w:div>
    <w:div w:id="1067609874">
      <w:bodyDiv w:val="1"/>
      <w:marLeft w:val="0"/>
      <w:marRight w:val="0"/>
      <w:marTop w:val="0"/>
      <w:marBottom w:val="0"/>
      <w:divBdr>
        <w:top w:val="none" w:sz="0" w:space="0" w:color="auto"/>
        <w:left w:val="none" w:sz="0" w:space="0" w:color="auto"/>
        <w:bottom w:val="none" w:sz="0" w:space="0" w:color="auto"/>
        <w:right w:val="none" w:sz="0" w:space="0" w:color="auto"/>
      </w:divBdr>
    </w:div>
    <w:div w:id="1067803036">
      <w:bodyDiv w:val="1"/>
      <w:marLeft w:val="0"/>
      <w:marRight w:val="0"/>
      <w:marTop w:val="0"/>
      <w:marBottom w:val="0"/>
      <w:divBdr>
        <w:top w:val="none" w:sz="0" w:space="0" w:color="auto"/>
        <w:left w:val="none" w:sz="0" w:space="0" w:color="auto"/>
        <w:bottom w:val="none" w:sz="0" w:space="0" w:color="auto"/>
        <w:right w:val="none" w:sz="0" w:space="0" w:color="auto"/>
      </w:divBdr>
      <w:divsChild>
        <w:div w:id="156658350">
          <w:marLeft w:val="0"/>
          <w:marRight w:val="0"/>
          <w:marTop w:val="150"/>
          <w:marBottom w:val="0"/>
          <w:divBdr>
            <w:top w:val="none" w:sz="0" w:space="0" w:color="auto"/>
            <w:left w:val="none" w:sz="0" w:space="0" w:color="auto"/>
            <w:bottom w:val="none" w:sz="0" w:space="0" w:color="auto"/>
            <w:right w:val="none" w:sz="0" w:space="0" w:color="auto"/>
          </w:divBdr>
          <w:divsChild>
            <w:div w:id="176430949">
              <w:marLeft w:val="0"/>
              <w:marRight w:val="0"/>
              <w:marTop w:val="0"/>
              <w:marBottom w:val="0"/>
              <w:divBdr>
                <w:top w:val="none" w:sz="0" w:space="0" w:color="auto"/>
                <w:left w:val="none" w:sz="0" w:space="0" w:color="auto"/>
                <w:bottom w:val="none" w:sz="0" w:space="0" w:color="auto"/>
                <w:right w:val="none" w:sz="0" w:space="0" w:color="auto"/>
              </w:divBdr>
              <w:divsChild>
                <w:div w:id="1251429208">
                  <w:marLeft w:val="0"/>
                  <w:marRight w:val="0"/>
                  <w:marTop w:val="0"/>
                  <w:marBottom w:val="0"/>
                  <w:divBdr>
                    <w:top w:val="none" w:sz="0" w:space="0" w:color="auto"/>
                    <w:left w:val="none" w:sz="0" w:space="0" w:color="auto"/>
                    <w:bottom w:val="none" w:sz="0" w:space="0" w:color="auto"/>
                    <w:right w:val="none" w:sz="0" w:space="0" w:color="auto"/>
                  </w:divBdr>
                  <w:divsChild>
                    <w:div w:id="9276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74734">
      <w:bodyDiv w:val="1"/>
      <w:marLeft w:val="0"/>
      <w:marRight w:val="0"/>
      <w:marTop w:val="0"/>
      <w:marBottom w:val="0"/>
      <w:divBdr>
        <w:top w:val="none" w:sz="0" w:space="0" w:color="auto"/>
        <w:left w:val="none" w:sz="0" w:space="0" w:color="auto"/>
        <w:bottom w:val="none" w:sz="0" w:space="0" w:color="auto"/>
        <w:right w:val="none" w:sz="0" w:space="0" w:color="auto"/>
      </w:divBdr>
    </w:div>
    <w:div w:id="1070425464">
      <w:bodyDiv w:val="1"/>
      <w:marLeft w:val="0"/>
      <w:marRight w:val="0"/>
      <w:marTop w:val="0"/>
      <w:marBottom w:val="0"/>
      <w:divBdr>
        <w:top w:val="none" w:sz="0" w:space="0" w:color="auto"/>
        <w:left w:val="none" w:sz="0" w:space="0" w:color="auto"/>
        <w:bottom w:val="none" w:sz="0" w:space="0" w:color="auto"/>
        <w:right w:val="none" w:sz="0" w:space="0" w:color="auto"/>
      </w:divBdr>
      <w:divsChild>
        <w:div w:id="1390424376">
          <w:marLeft w:val="0"/>
          <w:marRight w:val="0"/>
          <w:marTop w:val="150"/>
          <w:marBottom w:val="0"/>
          <w:divBdr>
            <w:top w:val="none" w:sz="0" w:space="0" w:color="auto"/>
            <w:left w:val="none" w:sz="0" w:space="0" w:color="auto"/>
            <w:bottom w:val="none" w:sz="0" w:space="0" w:color="auto"/>
            <w:right w:val="none" w:sz="0" w:space="0" w:color="auto"/>
          </w:divBdr>
          <w:divsChild>
            <w:div w:id="1798992062">
              <w:marLeft w:val="2"/>
              <w:marRight w:val="2"/>
              <w:marTop w:val="0"/>
              <w:marBottom w:val="0"/>
              <w:divBdr>
                <w:top w:val="none" w:sz="0" w:space="0" w:color="auto"/>
                <w:left w:val="none" w:sz="0" w:space="0" w:color="auto"/>
                <w:bottom w:val="none" w:sz="0" w:space="0" w:color="auto"/>
                <w:right w:val="none" w:sz="0" w:space="0" w:color="auto"/>
              </w:divBdr>
              <w:divsChild>
                <w:div w:id="1063872572">
                  <w:marLeft w:val="0"/>
                  <w:marRight w:val="0"/>
                  <w:marTop w:val="0"/>
                  <w:marBottom w:val="0"/>
                  <w:divBdr>
                    <w:top w:val="none" w:sz="0" w:space="0" w:color="auto"/>
                    <w:left w:val="none" w:sz="0" w:space="0" w:color="auto"/>
                    <w:bottom w:val="none" w:sz="0" w:space="0" w:color="auto"/>
                    <w:right w:val="none" w:sz="0" w:space="0" w:color="auto"/>
                  </w:divBdr>
                  <w:divsChild>
                    <w:div w:id="1464156099">
                      <w:marLeft w:val="0"/>
                      <w:marRight w:val="0"/>
                      <w:marTop w:val="0"/>
                      <w:marBottom w:val="0"/>
                      <w:divBdr>
                        <w:top w:val="none" w:sz="0" w:space="0" w:color="auto"/>
                        <w:left w:val="none" w:sz="0" w:space="0" w:color="auto"/>
                        <w:bottom w:val="none" w:sz="0" w:space="0" w:color="auto"/>
                        <w:right w:val="none" w:sz="0" w:space="0" w:color="auto"/>
                      </w:divBdr>
                      <w:divsChild>
                        <w:div w:id="1045250565">
                          <w:marLeft w:val="0"/>
                          <w:marRight w:val="0"/>
                          <w:marTop w:val="0"/>
                          <w:marBottom w:val="0"/>
                          <w:divBdr>
                            <w:top w:val="none" w:sz="0" w:space="0" w:color="auto"/>
                            <w:left w:val="none" w:sz="0" w:space="0" w:color="auto"/>
                            <w:bottom w:val="none" w:sz="0" w:space="0" w:color="auto"/>
                            <w:right w:val="none" w:sz="0" w:space="0" w:color="auto"/>
                          </w:divBdr>
                          <w:divsChild>
                            <w:div w:id="791244803">
                              <w:marLeft w:val="0"/>
                              <w:marRight w:val="0"/>
                              <w:marTop w:val="0"/>
                              <w:marBottom w:val="0"/>
                              <w:divBdr>
                                <w:top w:val="none" w:sz="0" w:space="0" w:color="auto"/>
                                <w:left w:val="none" w:sz="0" w:space="0" w:color="auto"/>
                                <w:bottom w:val="none" w:sz="0" w:space="0" w:color="auto"/>
                                <w:right w:val="none" w:sz="0" w:space="0" w:color="auto"/>
                              </w:divBdr>
                              <w:divsChild>
                                <w:div w:id="1987970123">
                                  <w:marLeft w:val="0"/>
                                  <w:marRight w:val="0"/>
                                  <w:marTop w:val="0"/>
                                  <w:marBottom w:val="0"/>
                                  <w:divBdr>
                                    <w:top w:val="none" w:sz="0" w:space="0" w:color="auto"/>
                                    <w:left w:val="none" w:sz="0" w:space="0" w:color="auto"/>
                                    <w:bottom w:val="none" w:sz="0" w:space="0" w:color="auto"/>
                                    <w:right w:val="none" w:sz="0" w:space="0" w:color="auto"/>
                                  </w:divBdr>
                                  <w:divsChild>
                                    <w:div w:id="1220170013">
                                      <w:marLeft w:val="0"/>
                                      <w:marRight w:val="0"/>
                                      <w:marTop w:val="0"/>
                                      <w:marBottom w:val="0"/>
                                      <w:divBdr>
                                        <w:top w:val="none" w:sz="0" w:space="0" w:color="auto"/>
                                        <w:left w:val="none" w:sz="0" w:space="0" w:color="auto"/>
                                        <w:bottom w:val="none" w:sz="0" w:space="0" w:color="auto"/>
                                        <w:right w:val="none" w:sz="0" w:space="0" w:color="auto"/>
                                      </w:divBdr>
                                      <w:divsChild>
                                        <w:div w:id="1136220798">
                                          <w:marLeft w:val="0"/>
                                          <w:marRight w:val="0"/>
                                          <w:marTop w:val="0"/>
                                          <w:marBottom w:val="0"/>
                                          <w:divBdr>
                                            <w:top w:val="none" w:sz="0" w:space="0" w:color="auto"/>
                                            <w:left w:val="none" w:sz="0" w:space="0" w:color="auto"/>
                                            <w:bottom w:val="none" w:sz="0" w:space="0" w:color="auto"/>
                                            <w:right w:val="none" w:sz="0" w:space="0" w:color="auto"/>
                                          </w:divBdr>
                                          <w:divsChild>
                                            <w:div w:id="2005232931">
                                              <w:marLeft w:val="0"/>
                                              <w:marRight w:val="0"/>
                                              <w:marTop w:val="0"/>
                                              <w:marBottom w:val="0"/>
                                              <w:divBdr>
                                                <w:top w:val="none" w:sz="0" w:space="0" w:color="auto"/>
                                                <w:left w:val="none" w:sz="0" w:space="0" w:color="auto"/>
                                                <w:bottom w:val="none" w:sz="0" w:space="0" w:color="auto"/>
                                                <w:right w:val="none" w:sz="0" w:space="0" w:color="auto"/>
                                              </w:divBdr>
                                              <w:divsChild>
                                                <w:div w:id="1123421935">
                                                  <w:marLeft w:val="0"/>
                                                  <w:marRight w:val="0"/>
                                                  <w:marTop w:val="0"/>
                                                  <w:marBottom w:val="0"/>
                                                  <w:divBdr>
                                                    <w:top w:val="none" w:sz="0" w:space="0" w:color="auto"/>
                                                    <w:left w:val="none" w:sz="0" w:space="0" w:color="auto"/>
                                                    <w:bottom w:val="none" w:sz="0" w:space="0" w:color="auto"/>
                                                    <w:right w:val="none" w:sz="0" w:space="0" w:color="auto"/>
                                                  </w:divBdr>
                                                </w:div>
                                              </w:divsChild>
                                            </w:div>
                                            <w:div w:id="403188384">
                                              <w:marLeft w:val="0"/>
                                              <w:marRight w:val="0"/>
                                              <w:marTop w:val="0"/>
                                              <w:marBottom w:val="0"/>
                                              <w:divBdr>
                                                <w:top w:val="none" w:sz="0" w:space="0" w:color="auto"/>
                                                <w:left w:val="none" w:sz="0" w:space="0" w:color="auto"/>
                                                <w:bottom w:val="none" w:sz="0" w:space="0" w:color="auto"/>
                                                <w:right w:val="none" w:sz="0" w:space="0" w:color="auto"/>
                                              </w:divBdr>
                                              <w:divsChild>
                                                <w:div w:id="271669492">
                                                  <w:marLeft w:val="0"/>
                                                  <w:marRight w:val="0"/>
                                                  <w:marTop w:val="0"/>
                                                  <w:marBottom w:val="0"/>
                                                  <w:divBdr>
                                                    <w:top w:val="none" w:sz="0" w:space="0" w:color="auto"/>
                                                    <w:left w:val="none" w:sz="0" w:space="0" w:color="auto"/>
                                                    <w:bottom w:val="none" w:sz="0" w:space="0" w:color="auto"/>
                                                    <w:right w:val="none" w:sz="0" w:space="0" w:color="auto"/>
                                                  </w:divBdr>
                                                </w:div>
                                              </w:divsChild>
                                            </w:div>
                                            <w:div w:id="760226245">
                                              <w:marLeft w:val="0"/>
                                              <w:marRight w:val="0"/>
                                              <w:marTop w:val="0"/>
                                              <w:marBottom w:val="0"/>
                                              <w:divBdr>
                                                <w:top w:val="none" w:sz="0" w:space="0" w:color="auto"/>
                                                <w:left w:val="none" w:sz="0" w:space="0" w:color="auto"/>
                                                <w:bottom w:val="none" w:sz="0" w:space="0" w:color="auto"/>
                                                <w:right w:val="none" w:sz="0" w:space="0" w:color="auto"/>
                                              </w:divBdr>
                                              <w:divsChild>
                                                <w:div w:id="1581022531">
                                                  <w:marLeft w:val="0"/>
                                                  <w:marRight w:val="0"/>
                                                  <w:marTop w:val="0"/>
                                                  <w:marBottom w:val="0"/>
                                                  <w:divBdr>
                                                    <w:top w:val="none" w:sz="0" w:space="0" w:color="auto"/>
                                                    <w:left w:val="none" w:sz="0" w:space="0" w:color="auto"/>
                                                    <w:bottom w:val="none" w:sz="0" w:space="0" w:color="auto"/>
                                                    <w:right w:val="none" w:sz="0" w:space="0" w:color="auto"/>
                                                  </w:divBdr>
                                                </w:div>
                                              </w:divsChild>
                                            </w:div>
                                            <w:div w:id="1568419067">
                                              <w:marLeft w:val="0"/>
                                              <w:marRight w:val="0"/>
                                              <w:marTop w:val="0"/>
                                              <w:marBottom w:val="0"/>
                                              <w:divBdr>
                                                <w:top w:val="none" w:sz="0" w:space="0" w:color="auto"/>
                                                <w:left w:val="none" w:sz="0" w:space="0" w:color="auto"/>
                                                <w:bottom w:val="none" w:sz="0" w:space="0" w:color="auto"/>
                                                <w:right w:val="none" w:sz="0" w:space="0" w:color="auto"/>
                                              </w:divBdr>
                                              <w:divsChild>
                                                <w:div w:id="541796364">
                                                  <w:marLeft w:val="0"/>
                                                  <w:marRight w:val="0"/>
                                                  <w:marTop w:val="0"/>
                                                  <w:marBottom w:val="0"/>
                                                  <w:divBdr>
                                                    <w:top w:val="none" w:sz="0" w:space="0" w:color="auto"/>
                                                    <w:left w:val="none" w:sz="0" w:space="0" w:color="auto"/>
                                                    <w:bottom w:val="none" w:sz="0" w:space="0" w:color="auto"/>
                                                    <w:right w:val="none" w:sz="0" w:space="0" w:color="auto"/>
                                                  </w:divBdr>
                                                </w:div>
                                              </w:divsChild>
                                            </w:div>
                                            <w:div w:id="2054845851">
                                              <w:marLeft w:val="0"/>
                                              <w:marRight w:val="0"/>
                                              <w:marTop w:val="0"/>
                                              <w:marBottom w:val="0"/>
                                              <w:divBdr>
                                                <w:top w:val="none" w:sz="0" w:space="0" w:color="auto"/>
                                                <w:left w:val="none" w:sz="0" w:space="0" w:color="auto"/>
                                                <w:bottom w:val="none" w:sz="0" w:space="0" w:color="auto"/>
                                                <w:right w:val="none" w:sz="0" w:space="0" w:color="auto"/>
                                              </w:divBdr>
                                              <w:divsChild>
                                                <w:div w:id="873812661">
                                                  <w:marLeft w:val="0"/>
                                                  <w:marRight w:val="0"/>
                                                  <w:marTop w:val="0"/>
                                                  <w:marBottom w:val="0"/>
                                                  <w:divBdr>
                                                    <w:top w:val="none" w:sz="0" w:space="0" w:color="auto"/>
                                                    <w:left w:val="none" w:sz="0" w:space="0" w:color="auto"/>
                                                    <w:bottom w:val="none" w:sz="0" w:space="0" w:color="auto"/>
                                                    <w:right w:val="none" w:sz="0" w:space="0" w:color="auto"/>
                                                  </w:divBdr>
                                                </w:div>
                                              </w:divsChild>
                                            </w:div>
                                            <w:div w:id="361590089">
                                              <w:marLeft w:val="0"/>
                                              <w:marRight w:val="0"/>
                                              <w:marTop w:val="0"/>
                                              <w:marBottom w:val="0"/>
                                              <w:divBdr>
                                                <w:top w:val="none" w:sz="0" w:space="0" w:color="auto"/>
                                                <w:left w:val="none" w:sz="0" w:space="0" w:color="auto"/>
                                                <w:bottom w:val="none" w:sz="0" w:space="0" w:color="auto"/>
                                                <w:right w:val="none" w:sz="0" w:space="0" w:color="auto"/>
                                              </w:divBdr>
                                              <w:divsChild>
                                                <w:div w:id="20147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49593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25">
          <w:marLeft w:val="0"/>
          <w:marRight w:val="0"/>
          <w:marTop w:val="0"/>
          <w:marBottom w:val="0"/>
          <w:divBdr>
            <w:top w:val="none" w:sz="0" w:space="0" w:color="auto"/>
            <w:left w:val="none" w:sz="0" w:space="0" w:color="auto"/>
            <w:bottom w:val="none" w:sz="0" w:space="0" w:color="auto"/>
            <w:right w:val="none" w:sz="0" w:space="0" w:color="auto"/>
          </w:divBdr>
          <w:divsChild>
            <w:div w:id="1624845253">
              <w:marLeft w:val="0"/>
              <w:marRight w:val="0"/>
              <w:marTop w:val="0"/>
              <w:marBottom w:val="0"/>
              <w:divBdr>
                <w:top w:val="none" w:sz="0" w:space="0" w:color="auto"/>
                <w:left w:val="none" w:sz="0" w:space="0" w:color="auto"/>
                <w:bottom w:val="none" w:sz="0" w:space="0" w:color="auto"/>
                <w:right w:val="none" w:sz="0" w:space="0" w:color="auto"/>
              </w:divBdr>
              <w:divsChild>
                <w:div w:id="110056863">
                  <w:marLeft w:val="0"/>
                  <w:marRight w:val="0"/>
                  <w:marTop w:val="0"/>
                  <w:marBottom w:val="0"/>
                  <w:divBdr>
                    <w:top w:val="none" w:sz="0" w:space="0" w:color="auto"/>
                    <w:left w:val="none" w:sz="0" w:space="0" w:color="auto"/>
                    <w:bottom w:val="none" w:sz="0" w:space="0" w:color="auto"/>
                    <w:right w:val="none" w:sz="0" w:space="0" w:color="auto"/>
                  </w:divBdr>
                  <w:divsChild>
                    <w:div w:id="661128159">
                      <w:marLeft w:val="0"/>
                      <w:marRight w:val="0"/>
                      <w:marTop w:val="0"/>
                      <w:marBottom w:val="0"/>
                      <w:divBdr>
                        <w:top w:val="none" w:sz="0" w:space="0" w:color="auto"/>
                        <w:left w:val="none" w:sz="0" w:space="0" w:color="auto"/>
                        <w:bottom w:val="none" w:sz="0" w:space="0" w:color="auto"/>
                        <w:right w:val="none" w:sz="0" w:space="0" w:color="auto"/>
                      </w:divBdr>
                      <w:divsChild>
                        <w:div w:id="2099054630">
                          <w:marLeft w:val="0"/>
                          <w:marRight w:val="0"/>
                          <w:marTop w:val="0"/>
                          <w:marBottom w:val="0"/>
                          <w:divBdr>
                            <w:top w:val="none" w:sz="0" w:space="0" w:color="auto"/>
                            <w:left w:val="none" w:sz="0" w:space="0" w:color="auto"/>
                            <w:bottom w:val="none" w:sz="0" w:space="0" w:color="auto"/>
                            <w:right w:val="none" w:sz="0" w:space="0" w:color="auto"/>
                          </w:divBdr>
                          <w:divsChild>
                            <w:div w:id="458690170">
                              <w:marLeft w:val="0"/>
                              <w:marRight w:val="0"/>
                              <w:marTop w:val="0"/>
                              <w:marBottom w:val="0"/>
                              <w:divBdr>
                                <w:top w:val="none" w:sz="0" w:space="0" w:color="auto"/>
                                <w:left w:val="none" w:sz="0" w:space="0" w:color="auto"/>
                                <w:bottom w:val="none" w:sz="0" w:space="0" w:color="auto"/>
                                <w:right w:val="none" w:sz="0" w:space="0" w:color="auto"/>
                              </w:divBdr>
                              <w:divsChild>
                                <w:div w:id="814100494">
                                  <w:marLeft w:val="0"/>
                                  <w:marRight w:val="0"/>
                                  <w:marTop w:val="0"/>
                                  <w:marBottom w:val="0"/>
                                  <w:divBdr>
                                    <w:top w:val="none" w:sz="0" w:space="0" w:color="auto"/>
                                    <w:left w:val="none" w:sz="0" w:space="0" w:color="auto"/>
                                    <w:bottom w:val="none" w:sz="0" w:space="0" w:color="auto"/>
                                    <w:right w:val="none" w:sz="0" w:space="0" w:color="auto"/>
                                  </w:divBdr>
                                  <w:divsChild>
                                    <w:div w:id="2134207073">
                                      <w:marLeft w:val="0"/>
                                      <w:marRight w:val="0"/>
                                      <w:marTop w:val="0"/>
                                      <w:marBottom w:val="0"/>
                                      <w:divBdr>
                                        <w:top w:val="none" w:sz="0" w:space="0" w:color="auto"/>
                                        <w:left w:val="none" w:sz="0" w:space="0" w:color="auto"/>
                                        <w:bottom w:val="none" w:sz="0" w:space="0" w:color="auto"/>
                                        <w:right w:val="none" w:sz="0" w:space="0" w:color="auto"/>
                                      </w:divBdr>
                                      <w:divsChild>
                                        <w:div w:id="7153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733565">
      <w:bodyDiv w:val="1"/>
      <w:marLeft w:val="0"/>
      <w:marRight w:val="0"/>
      <w:marTop w:val="0"/>
      <w:marBottom w:val="0"/>
      <w:divBdr>
        <w:top w:val="none" w:sz="0" w:space="0" w:color="auto"/>
        <w:left w:val="none" w:sz="0" w:space="0" w:color="auto"/>
        <w:bottom w:val="none" w:sz="0" w:space="0" w:color="auto"/>
        <w:right w:val="none" w:sz="0" w:space="0" w:color="auto"/>
      </w:divBdr>
      <w:divsChild>
        <w:div w:id="932007029">
          <w:marLeft w:val="0"/>
          <w:marRight w:val="0"/>
          <w:marTop w:val="0"/>
          <w:marBottom w:val="0"/>
          <w:divBdr>
            <w:top w:val="none" w:sz="0" w:space="0" w:color="auto"/>
            <w:left w:val="none" w:sz="0" w:space="0" w:color="auto"/>
            <w:bottom w:val="none" w:sz="0" w:space="0" w:color="auto"/>
            <w:right w:val="none" w:sz="0" w:space="0" w:color="auto"/>
          </w:divBdr>
          <w:divsChild>
            <w:div w:id="747967227">
              <w:marLeft w:val="0"/>
              <w:marRight w:val="0"/>
              <w:marTop w:val="0"/>
              <w:marBottom w:val="0"/>
              <w:divBdr>
                <w:top w:val="none" w:sz="0" w:space="0" w:color="auto"/>
                <w:left w:val="none" w:sz="0" w:space="0" w:color="auto"/>
                <w:bottom w:val="none" w:sz="0" w:space="0" w:color="auto"/>
                <w:right w:val="none" w:sz="0" w:space="0" w:color="auto"/>
              </w:divBdr>
              <w:divsChild>
                <w:div w:id="1841963235">
                  <w:marLeft w:val="0"/>
                  <w:marRight w:val="0"/>
                  <w:marTop w:val="0"/>
                  <w:marBottom w:val="0"/>
                  <w:divBdr>
                    <w:top w:val="none" w:sz="0" w:space="0" w:color="auto"/>
                    <w:left w:val="none" w:sz="0" w:space="0" w:color="auto"/>
                    <w:bottom w:val="none" w:sz="0" w:space="0" w:color="auto"/>
                    <w:right w:val="none" w:sz="0" w:space="0" w:color="auto"/>
                  </w:divBdr>
                  <w:divsChild>
                    <w:div w:id="1001665399">
                      <w:marLeft w:val="0"/>
                      <w:marRight w:val="0"/>
                      <w:marTop w:val="0"/>
                      <w:marBottom w:val="0"/>
                      <w:divBdr>
                        <w:top w:val="none" w:sz="0" w:space="0" w:color="auto"/>
                        <w:left w:val="none" w:sz="0" w:space="0" w:color="auto"/>
                        <w:bottom w:val="none" w:sz="0" w:space="0" w:color="auto"/>
                        <w:right w:val="none" w:sz="0" w:space="0" w:color="auto"/>
                      </w:divBdr>
                      <w:divsChild>
                        <w:div w:id="917055189">
                          <w:marLeft w:val="570"/>
                          <w:marRight w:val="720"/>
                          <w:marTop w:val="120"/>
                          <w:marBottom w:val="120"/>
                          <w:divBdr>
                            <w:top w:val="none" w:sz="0" w:space="0" w:color="auto"/>
                            <w:left w:val="none" w:sz="0" w:space="0" w:color="auto"/>
                            <w:bottom w:val="none" w:sz="0" w:space="0" w:color="auto"/>
                            <w:right w:val="none" w:sz="0" w:space="0" w:color="auto"/>
                          </w:divBdr>
                          <w:divsChild>
                            <w:div w:id="293410265">
                              <w:marLeft w:val="0"/>
                              <w:marRight w:val="0"/>
                              <w:marTop w:val="0"/>
                              <w:marBottom w:val="0"/>
                              <w:divBdr>
                                <w:top w:val="none" w:sz="0" w:space="0" w:color="auto"/>
                                <w:left w:val="none" w:sz="0" w:space="0" w:color="auto"/>
                                <w:bottom w:val="none" w:sz="0" w:space="0" w:color="auto"/>
                                <w:right w:val="none" w:sz="0" w:space="0" w:color="auto"/>
                              </w:divBdr>
                              <w:divsChild>
                                <w:div w:id="2006274878">
                                  <w:marLeft w:val="0"/>
                                  <w:marRight w:val="0"/>
                                  <w:marTop w:val="0"/>
                                  <w:marBottom w:val="0"/>
                                  <w:divBdr>
                                    <w:top w:val="none" w:sz="0" w:space="0" w:color="auto"/>
                                    <w:left w:val="none" w:sz="0" w:space="0" w:color="auto"/>
                                    <w:bottom w:val="none" w:sz="0" w:space="0" w:color="auto"/>
                                    <w:right w:val="none" w:sz="0" w:space="0" w:color="auto"/>
                                  </w:divBdr>
                                  <w:divsChild>
                                    <w:div w:id="823356600">
                                      <w:marLeft w:val="0"/>
                                      <w:marRight w:val="0"/>
                                      <w:marTop w:val="0"/>
                                      <w:marBottom w:val="0"/>
                                      <w:divBdr>
                                        <w:top w:val="none" w:sz="0" w:space="0" w:color="auto"/>
                                        <w:left w:val="none" w:sz="0" w:space="0" w:color="auto"/>
                                        <w:bottom w:val="none" w:sz="0" w:space="0" w:color="auto"/>
                                        <w:right w:val="none" w:sz="0" w:space="0" w:color="auto"/>
                                      </w:divBdr>
                                      <w:divsChild>
                                        <w:div w:id="271715481">
                                          <w:marLeft w:val="0"/>
                                          <w:marRight w:val="0"/>
                                          <w:marTop w:val="240"/>
                                          <w:marBottom w:val="240"/>
                                          <w:divBdr>
                                            <w:top w:val="single" w:sz="6" w:space="6" w:color="F2F2F2"/>
                                            <w:left w:val="none" w:sz="0" w:space="0" w:color="auto"/>
                                            <w:bottom w:val="single" w:sz="6" w:space="6" w:color="F2F2F2"/>
                                            <w:right w:val="none" w:sz="0" w:space="0" w:color="auto"/>
                                          </w:divBdr>
                                        </w:div>
                                        <w:div w:id="2141337058">
                                          <w:marLeft w:val="0"/>
                                          <w:marRight w:val="0"/>
                                          <w:marTop w:val="0"/>
                                          <w:marBottom w:val="0"/>
                                          <w:divBdr>
                                            <w:top w:val="none" w:sz="0" w:space="0" w:color="auto"/>
                                            <w:left w:val="none" w:sz="0" w:space="0" w:color="auto"/>
                                            <w:bottom w:val="none" w:sz="0" w:space="0" w:color="auto"/>
                                            <w:right w:val="none" w:sz="0" w:space="0" w:color="auto"/>
                                          </w:divBdr>
                                          <w:divsChild>
                                            <w:div w:id="1424107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653698">
      <w:bodyDiv w:val="1"/>
      <w:marLeft w:val="0"/>
      <w:marRight w:val="0"/>
      <w:marTop w:val="0"/>
      <w:marBottom w:val="0"/>
      <w:divBdr>
        <w:top w:val="none" w:sz="0" w:space="0" w:color="auto"/>
        <w:left w:val="none" w:sz="0" w:space="0" w:color="auto"/>
        <w:bottom w:val="none" w:sz="0" w:space="0" w:color="auto"/>
        <w:right w:val="none" w:sz="0" w:space="0" w:color="auto"/>
      </w:divBdr>
      <w:divsChild>
        <w:div w:id="1852407031">
          <w:marLeft w:val="0"/>
          <w:marRight w:val="0"/>
          <w:marTop w:val="0"/>
          <w:marBottom w:val="0"/>
          <w:divBdr>
            <w:top w:val="none" w:sz="0" w:space="0" w:color="auto"/>
            <w:left w:val="none" w:sz="0" w:space="0" w:color="auto"/>
            <w:bottom w:val="none" w:sz="0" w:space="0" w:color="auto"/>
            <w:right w:val="none" w:sz="0" w:space="0" w:color="auto"/>
          </w:divBdr>
        </w:div>
      </w:divsChild>
    </w:div>
    <w:div w:id="1073426796">
      <w:bodyDiv w:val="1"/>
      <w:marLeft w:val="0"/>
      <w:marRight w:val="0"/>
      <w:marTop w:val="0"/>
      <w:marBottom w:val="0"/>
      <w:divBdr>
        <w:top w:val="none" w:sz="0" w:space="0" w:color="auto"/>
        <w:left w:val="none" w:sz="0" w:space="0" w:color="auto"/>
        <w:bottom w:val="none" w:sz="0" w:space="0" w:color="auto"/>
        <w:right w:val="none" w:sz="0" w:space="0" w:color="auto"/>
      </w:divBdr>
      <w:divsChild>
        <w:div w:id="730738619">
          <w:marLeft w:val="0"/>
          <w:marRight w:val="0"/>
          <w:marTop w:val="0"/>
          <w:marBottom w:val="0"/>
          <w:divBdr>
            <w:top w:val="none" w:sz="0" w:space="0" w:color="auto"/>
            <w:left w:val="none" w:sz="0" w:space="0" w:color="auto"/>
            <w:bottom w:val="none" w:sz="0" w:space="0" w:color="auto"/>
            <w:right w:val="none" w:sz="0" w:space="0" w:color="auto"/>
          </w:divBdr>
        </w:div>
      </w:divsChild>
    </w:div>
    <w:div w:id="1074284237">
      <w:bodyDiv w:val="1"/>
      <w:marLeft w:val="0"/>
      <w:marRight w:val="0"/>
      <w:marTop w:val="0"/>
      <w:marBottom w:val="0"/>
      <w:divBdr>
        <w:top w:val="none" w:sz="0" w:space="0" w:color="auto"/>
        <w:left w:val="none" w:sz="0" w:space="0" w:color="auto"/>
        <w:bottom w:val="none" w:sz="0" w:space="0" w:color="auto"/>
        <w:right w:val="none" w:sz="0" w:space="0" w:color="auto"/>
      </w:divBdr>
      <w:divsChild>
        <w:div w:id="725643747">
          <w:marLeft w:val="0"/>
          <w:marRight w:val="0"/>
          <w:marTop w:val="0"/>
          <w:marBottom w:val="0"/>
          <w:divBdr>
            <w:top w:val="none" w:sz="0" w:space="0" w:color="auto"/>
            <w:left w:val="none" w:sz="0" w:space="0" w:color="auto"/>
            <w:bottom w:val="none" w:sz="0" w:space="0" w:color="auto"/>
            <w:right w:val="none" w:sz="0" w:space="0" w:color="auto"/>
          </w:divBdr>
          <w:divsChild>
            <w:div w:id="1511136766">
              <w:marLeft w:val="0"/>
              <w:marRight w:val="0"/>
              <w:marTop w:val="0"/>
              <w:marBottom w:val="0"/>
              <w:divBdr>
                <w:top w:val="none" w:sz="0" w:space="0" w:color="auto"/>
                <w:left w:val="none" w:sz="0" w:space="0" w:color="auto"/>
                <w:bottom w:val="none" w:sz="0" w:space="0" w:color="auto"/>
                <w:right w:val="none" w:sz="0" w:space="0" w:color="auto"/>
              </w:divBdr>
              <w:divsChild>
                <w:div w:id="273371965">
                  <w:marLeft w:val="0"/>
                  <w:marRight w:val="0"/>
                  <w:marTop w:val="0"/>
                  <w:marBottom w:val="0"/>
                  <w:divBdr>
                    <w:top w:val="none" w:sz="0" w:space="0" w:color="auto"/>
                    <w:left w:val="none" w:sz="0" w:space="0" w:color="auto"/>
                    <w:bottom w:val="none" w:sz="0" w:space="0" w:color="auto"/>
                    <w:right w:val="none" w:sz="0" w:space="0" w:color="auto"/>
                  </w:divBdr>
                  <w:divsChild>
                    <w:div w:id="1138913598">
                      <w:marLeft w:val="0"/>
                      <w:marRight w:val="0"/>
                      <w:marTop w:val="0"/>
                      <w:marBottom w:val="0"/>
                      <w:divBdr>
                        <w:top w:val="none" w:sz="0" w:space="0" w:color="auto"/>
                        <w:left w:val="none" w:sz="0" w:space="0" w:color="auto"/>
                        <w:bottom w:val="none" w:sz="0" w:space="0" w:color="auto"/>
                        <w:right w:val="none" w:sz="0" w:space="0" w:color="auto"/>
                      </w:divBdr>
                      <w:divsChild>
                        <w:div w:id="1056900532">
                          <w:marLeft w:val="0"/>
                          <w:marRight w:val="0"/>
                          <w:marTop w:val="0"/>
                          <w:marBottom w:val="0"/>
                          <w:divBdr>
                            <w:top w:val="none" w:sz="0" w:space="0" w:color="auto"/>
                            <w:left w:val="none" w:sz="0" w:space="0" w:color="auto"/>
                            <w:bottom w:val="single" w:sz="4" w:space="13" w:color="CCCCCC"/>
                            <w:right w:val="none" w:sz="0" w:space="0" w:color="auto"/>
                          </w:divBdr>
                          <w:divsChild>
                            <w:div w:id="891497564">
                              <w:marLeft w:val="0"/>
                              <w:marRight w:val="0"/>
                              <w:marTop w:val="0"/>
                              <w:marBottom w:val="250"/>
                              <w:divBdr>
                                <w:top w:val="none" w:sz="0" w:space="0" w:color="auto"/>
                                <w:left w:val="none" w:sz="0" w:space="0" w:color="auto"/>
                                <w:bottom w:val="none" w:sz="0" w:space="0" w:color="auto"/>
                                <w:right w:val="none" w:sz="0" w:space="0" w:color="auto"/>
                              </w:divBdr>
                              <w:divsChild>
                                <w:div w:id="1968968830">
                                  <w:marLeft w:val="0"/>
                                  <w:marRight w:val="250"/>
                                  <w:marTop w:val="0"/>
                                  <w:marBottom w:val="125"/>
                                  <w:divBdr>
                                    <w:top w:val="none" w:sz="0" w:space="0" w:color="auto"/>
                                    <w:left w:val="none" w:sz="0" w:space="0" w:color="auto"/>
                                    <w:bottom w:val="single" w:sz="4" w:space="6" w:color="CCCCCC"/>
                                    <w:right w:val="none" w:sz="0" w:space="0" w:color="auto"/>
                                  </w:divBdr>
                                </w:div>
                              </w:divsChild>
                            </w:div>
                            <w:div w:id="1820615198">
                              <w:marLeft w:val="0"/>
                              <w:marRight w:val="0"/>
                              <w:marTop w:val="0"/>
                              <w:marBottom w:val="250"/>
                              <w:divBdr>
                                <w:top w:val="none" w:sz="0" w:space="0" w:color="auto"/>
                                <w:left w:val="none" w:sz="0" w:space="0" w:color="auto"/>
                                <w:bottom w:val="none" w:sz="0" w:space="0" w:color="auto"/>
                                <w:right w:val="none" w:sz="0" w:space="0" w:color="auto"/>
                              </w:divBdr>
                              <w:divsChild>
                                <w:div w:id="1618026017">
                                  <w:marLeft w:val="0"/>
                                  <w:marRight w:val="250"/>
                                  <w:marTop w:val="0"/>
                                  <w:marBottom w:val="125"/>
                                  <w:divBdr>
                                    <w:top w:val="none" w:sz="0" w:space="0" w:color="auto"/>
                                    <w:left w:val="none" w:sz="0" w:space="0" w:color="auto"/>
                                    <w:bottom w:val="single" w:sz="4" w:space="6" w:color="CCCCCC"/>
                                    <w:right w:val="none" w:sz="0" w:space="0" w:color="auto"/>
                                  </w:divBdr>
                                </w:div>
                              </w:divsChild>
                            </w:div>
                            <w:div w:id="5286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63669">
      <w:bodyDiv w:val="1"/>
      <w:marLeft w:val="0"/>
      <w:marRight w:val="0"/>
      <w:marTop w:val="0"/>
      <w:marBottom w:val="0"/>
      <w:divBdr>
        <w:top w:val="none" w:sz="0" w:space="0" w:color="auto"/>
        <w:left w:val="none" w:sz="0" w:space="0" w:color="auto"/>
        <w:bottom w:val="none" w:sz="0" w:space="0" w:color="auto"/>
        <w:right w:val="none" w:sz="0" w:space="0" w:color="auto"/>
      </w:divBdr>
      <w:divsChild>
        <w:div w:id="1584102417">
          <w:marLeft w:val="0"/>
          <w:marRight w:val="0"/>
          <w:marTop w:val="0"/>
          <w:marBottom w:val="0"/>
          <w:divBdr>
            <w:top w:val="none" w:sz="0" w:space="0" w:color="auto"/>
            <w:left w:val="none" w:sz="0" w:space="0" w:color="auto"/>
            <w:bottom w:val="none" w:sz="0" w:space="0" w:color="auto"/>
            <w:right w:val="none" w:sz="0" w:space="0" w:color="auto"/>
          </w:divBdr>
          <w:divsChild>
            <w:div w:id="1261986398">
              <w:marLeft w:val="0"/>
              <w:marRight w:val="0"/>
              <w:marTop w:val="0"/>
              <w:marBottom w:val="0"/>
              <w:divBdr>
                <w:top w:val="none" w:sz="0" w:space="0" w:color="auto"/>
                <w:left w:val="none" w:sz="0" w:space="0" w:color="auto"/>
                <w:bottom w:val="none" w:sz="0" w:space="0" w:color="auto"/>
                <w:right w:val="none" w:sz="0" w:space="0" w:color="auto"/>
              </w:divBdr>
              <w:divsChild>
                <w:div w:id="1432167348">
                  <w:marLeft w:val="0"/>
                  <w:marRight w:val="0"/>
                  <w:marTop w:val="0"/>
                  <w:marBottom w:val="0"/>
                  <w:divBdr>
                    <w:top w:val="none" w:sz="0" w:space="0" w:color="auto"/>
                    <w:left w:val="none" w:sz="0" w:space="0" w:color="auto"/>
                    <w:bottom w:val="none" w:sz="0" w:space="0" w:color="auto"/>
                    <w:right w:val="none" w:sz="0" w:space="0" w:color="auto"/>
                  </w:divBdr>
                  <w:divsChild>
                    <w:div w:id="1312102881">
                      <w:marLeft w:val="0"/>
                      <w:marRight w:val="0"/>
                      <w:marTop w:val="0"/>
                      <w:marBottom w:val="0"/>
                      <w:divBdr>
                        <w:top w:val="none" w:sz="0" w:space="0" w:color="auto"/>
                        <w:left w:val="none" w:sz="0" w:space="0" w:color="auto"/>
                        <w:bottom w:val="none" w:sz="0" w:space="0" w:color="auto"/>
                        <w:right w:val="none" w:sz="0" w:space="0" w:color="auto"/>
                      </w:divBdr>
                      <w:divsChild>
                        <w:div w:id="1303343251">
                          <w:marLeft w:val="0"/>
                          <w:marRight w:val="0"/>
                          <w:marTop w:val="0"/>
                          <w:marBottom w:val="0"/>
                          <w:divBdr>
                            <w:top w:val="none" w:sz="0" w:space="0" w:color="auto"/>
                            <w:left w:val="none" w:sz="0" w:space="0" w:color="auto"/>
                            <w:bottom w:val="none" w:sz="0" w:space="0" w:color="auto"/>
                            <w:right w:val="none" w:sz="0" w:space="0" w:color="auto"/>
                          </w:divBdr>
                          <w:divsChild>
                            <w:div w:id="398401687">
                              <w:marLeft w:val="0"/>
                              <w:marRight w:val="0"/>
                              <w:marTop w:val="0"/>
                              <w:marBottom w:val="0"/>
                              <w:divBdr>
                                <w:top w:val="none" w:sz="0" w:space="0" w:color="auto"/>
                                <w:left w:val="none" w:sz="0" w:space="0" w:color="auto"/>
                                <w:bottom w:val="none" w:sz="0" w:space="0" w:color="auto"/>
                                <w:right w:val="none" w:sz="0" w:space="0" w:color="auto"/>
                              </w:divBdr>
                              <w:divsChild>
                                <w:div w:id="1599867411">
                                  <w:marLeft w:val="0"/>
                                  <w:marRight w:val="0"/>
                                  <w:marTop w:val="0"/>
                                  <w:marBottom w:val="0"/>
                                  <w:divBdr>
                                    <w:top w:val="none" w:sz="0" w:space="0" w:color="auto"/>
                                    <w:left w:val="none" w:sz="0" w:space="0" w:color="auto"/>
                                    <w:bottom w:val="none" w:sz="0" w:space="0" w:color="auto"/>
                                    <w:right w:val="none" w:sz="0" w:space="0" w:color="auto"/>
                                  </w:divBdr>
                                  <w:divsChild>
                                    <w:div w:id="1991444072">
                                      <w:marLeft w:val="0"/>
                                      <w:marRight w:val="0"/>
                                      <w:marTop w:val="0"/>
                                      <w:marBottom w:val="0"/>
                                      <w:divBdr>
                                        <w:top w:val="none" w:sz="0" w:space="0" w:color="auto"/>
                                        <w:left w:val="none" w:sz="0" w:space="0" w:color="auto"/>
                                        <w:bottom w:val="none" w:sz="0" w:space="0" w:color="auto"/>
                                        <w:right w:val="none" w:sz="0" w:space="0" w:color="auto"/>
                                      </w:divBdr>
                                      <w:divsChild>
                                        <w:div w:id="791481532">
                                          <w:marLeft w:val="0"/>
                                          <w:marRight w:val="0"/>
                                          <w:marTop w:val="0"/>
                                          <w:marBottom w:val="0"/>
                                          <w:divBdr>
                                            <w:top w:val="none" w:sz="0" w:space="0" w:color="auto"/>
                                            <w:left w:val="none" w:sz="0" w:space="0" w:color="auto"/>
                                            <w:bottom w:val="none" w:sz="0" w:space="0" w:color="auto"/>
                                            <w:right w:val="none" w:sz="0" w:space="0" w:color="auto"/>
                                          </w:divBdr>
                                        </w:div>
                                        <w:div w:id="1542476789">
                                          <w:marLeft w:val="0"/>
                                          <w:marRight w:val="0"/>
                                          <w:marTop w:val="0"/>
                                          <w:marBottom w:val="0"/>
                                          <w:divBdr>
                                            <w:top w:val="none" w:sz="0" w:space="0" w:color="auto"/>
                                            <w:left w:val="none" w:sz="0" w:space="0" w:color="auto"/>
                                            <w:bottom w:val="none" w:sz="0" w:space="0" w:color="auto"/>
                                            <w:right w:val="none" w:sz="0" w:space="0" w:color="auto"/>
                                          </w:divBdr>
                                          <w:divsChild>
                                            <w:div w:id="550079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09386">
      <w:bodyDiv w:val="1"/>
      <w:marLeft w:val="0"/>
      <w:marRight w:val="0"/>
      <w:marTop w:val="0"/>
      <w:marBottom w:val="0"/>
      <w:divBdr>
        <w:top w:val="none" w:sz="0" w:space="0" w:color="auto"/>
        <w:left w:val="none" w:sz="0" w:space="0" w:color="auto"/>
        <w:bottom w:val="none" w:sz="0" w:space="0" w:color="auto"/>
        <w:right w:val="none" w:sz="0" w:space="0" w:color="auto"/>
      </w:divBdr>
      <w:divsChild>
        <w:div w:id="679090326">
          <w:marLeft w:val="0"/>
          <w:marRight w:val="0"/>
          <w:marTop w:val="0"/>
          <w:marBottom w:val="0"/>
          <w:divBdr>
            <w:top w:val="none" w:sz="0" w:space="0" w:color="auto"/>
            <w:left w:val="none" w:sz="0" w:space="0" w:color="auto"/>
            <w:bottom w:val="none" w:sz="0" w:space="0" w:color="auto"/>
            <w:right w:val="none" w:sz="0" w:space="0" w:color="auto"/>
          </w:divBdr>
          <w:divsChild>
            <w:div w:id="1453523699">
              <w:marLeft w:val="0"/>
              <w:marRight w:val="0"/>
              <w:marTop w:val="0"/>
              <w:marBottom w:val="0"/>
              <w:divBdr>
                <w:top w:val="none" w:sz="0" w:space="0" w:color="auto"/>
                <w:left w:val="none" w:sz="0" w:space="0" w:color="auto"/>
                <w:bottom w:val="none" w:sz="0" w:space="0" w:color="auto"/>
                <w:right w:val="none" w:sz="0" w:space="0" w:color="auto"/>
              </w:divBdr>
              <w:divsChild>
                <w:div w:id="1536960797">
                  <w:marLeft w:val="0"/>
                  <w:marRight w:val="0"/>
                  <w:marTop w:val="0"/>
                  <w:marBottom w:val="0"/>
                  <w:divBdr>
                    <w:top w:val="none" w:sz="0" w:space="0" w:color="auto"/>
                    <w:left w:val="none" w:sz="0" w:space="0" w:color="auto"/>
                    <w:bottom w:val="none" w:sz="0" w:space="0" w:color="auto"/>
                    <w:right w:val="none" w:sz="0" w:space="0" w:color="auto"/>
                  </w:divBdr>
                  <w:divsChild>
                    <w:div w:id="2138520079">
                      <w:marLeft w:val="0"/>
                      <w:marRight w:val="0"/>
                      <w:marTop w:val="0"/>
                      <w:marBottom w:val="0"/>
                      <w:divBdr>
                        <w:top w:val="none" w:sz="0" w:space="0" w:color="auto"/>
                        <w:left w:val="none" w:sz="0" w:space="0" w:color="auto"/>
                        <w:bottom w:val="none" w:sz="0" w:space="0" w:color="auto"/>
                        <w:right w:val="none" w:sz="0" w:space="0" w:color="auto"/>
                      </w:divBdr>
                      <w:divsChild>
                        <w:div w:id="180752892">
                          <w:marLeft w:val="0"/>
                          <w:marRight w:val="0"/>
                          <w:marTop w:val="0"/>
                          <w:marBottom w:val="0"/>
                          <w:divBdr>
                            <w:top w:val="none" w:sz="0" w:space="0" w:color="auto"/>
                            <w:left w:val="none" w:sz="0" w:space="0" w:color="auto"/>
                            <w:bottom w:val="none" w:sz="0" w:space="0" w:color="auto"/>
                            <w:right w:val="none" w:sz="0" w:space="0" w:color="auto"/>
                          </w:divBdr>
                          <w:divsChild>
                            <w:div w:id="2008824019">
                              <w:marLeft w:val="570"/>
                              <w:marRight w:val="720"/>
                              <w:marTop w:val="120"/>
                              <w:marBottom w:val="120"/>
                              <w:divBdr>
                                <w:top w:val="none" w:sz="0" w:space="0" w:color="auto"/>
                                <w:left w:val="none" w:sz="0" w:space="0" w:color="auto"/>
                                <w:bottom w:val="none" w:sz="0" w:space="0" w:color="auto"/>
                                <w:right w:val="none" w:sz="0" w:space="0" w:color="auto"/>
                              </w:divBdr>
                              <w:divsChild>
                                <w:div w:id="228538305">
                                  <w:marLeft w:val="0"/>
                                  <w:marRight w:val="0"/>
                                  <w:marTop w:val="0"/>
                                  <w:marBottom w:val="0"/>
                                  <w:divBdr>
                                    <w:top w:val="none" w:sz="0" w:space="0" w:color="auto"/>
                                    <w:left w:val="none" w:sz="0" w:space="0" w:color="auto"/>
                                    <w:bottom w:val="none" w:sz="0" w:space="0" w:color="auto"/>
                                    <w:right w:val="none" w:sz="0" w:space="0" w:color="auto"/>
                                  </w:divBdr>
                                  <w:divsChild>
                                    <w:div w:id="1910260984">
                                      <w:marLeft w:val="0"/>
                                      <w:marRight w:val="0"/>
                                      <w:marTop w:val="0"/>
                                      <w:marBottom w:val="0"/>
                                      <w:divBdr>
                                        <w:top w:val="none" w:sz="0" w:space="0" w:color="auto"/>
                                        <w:left w:val="none" w:sz="0" w:space="0" w:color="auto"/>
                                        <w:bottom w:val="none" w:sz="0" w:space="0" w:color="auto"/>
                                        <w:right w:val="none" w:sz="0" w:space="0" w:color="auto"/>
                                      </w:divBdr>
                                      <w:divsChild>
                                        <w:div w:id="1696467252">
                                          <w:marLeft w:val="0"/>
                                          <w:marRight w:val="0"/>
                                          <w:marTop w:val="0"/>
                                          <w:marBottom w:val="0"/>
                                          <w:divBdr>
                                            <w:top w:val="none" w:sz="0" w:space="0" w:color="auto"/>
                                            <w:left w:val="none" w:sz="0" w:space="0" w:color="auto"/>
                                            <w:bottom w:val="none" w:sz="0" w:space="0" w:color="auto"/>
                                            <w:right w:val="none" w:sz="0" w:space="0" w:color="auto"/>
                                          </w:divBdr>
                                        </w:div>
                                        <w:div w:id="1938561689">
                                          <w:marLeft w:val="0"/>
                                          <w:marRight w:val="0"/>
                                          <w:marTop w:val="0"/>
                                          <w:marBottom w:val="150"/>
                                          <w:divBdr>
                                            <w:top w:val="none" w:sz="0" w:space="0" w:color="auto"/>
                                            <w:left w:val="none" w:sz="0" w:space="0" w:color="auto"/>
                                            <w:bottom w:val="none" w:sz="0" w:space="0" w:color="auto"/>
                                            <w:right w:val="none" w:sz="0" w:space="0" w:color="auto"/>
                                          </w:divBdr>
                                          <w:divsChild>
                                            <w:div w:id="164128952">
                                              <w:marLeft w:val="0"/>
                                              <w:marRight w:val="0"/>
                                              <w:marTop w:val="240"/>
                                              <w:marBottom w:val="240"/>
                                              <w:divBdr>
                                                <w:top w:val="single" w:sz="6" w:space="6" w:color="F2F2F2"/>
                                                <w:left w:val="none" w:sz="0" w:space="0" w:color="auto"/>
                                                <w:bottom w:val="single" w:sz="6" w:space="6" w:color="F2F2F2"/>
                                                <w:right w:val="none" w:sz="0" w:space="0" w:color="auto"/>
                                              </w:divBdr>
                                            </w:div>
                                            <w:div w:id="1297104483">
                                              <w:marLeft w:val="0"/>
                                              <w:marRight w:val="0"/>
                                              <w:marTop w:val="0"/>
                                              <w:marBottom w:val="0"/>
                                              <w:divBdr>
                                                <w:top w:val="none" w:sz="0" w:space="0" w:color="auto"/>
                                                <w:left w:val="none" w:sz="0" w:space="0" w:color="auto"/>
                                                <w:bottom w:val="none" w:sz="0" w:space="0" w:color="auto"/>
                                                <w:right w:val="none" w:sz="0" w:space="0" w:color="auto"/>
                                              </w:divBdr>
                                              <w:divsChild>
                                                <w:div w:id="19725871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6509477">
      <w:bodyDiv w:val="1"/>
      <w:marLeft w:val="0"/>
      <w:marRight w:val="0"/>
      <w:marTop w:val="0"/>
      <w:marBottom w:val="0"/>
      <w:divBdr>
        <w:top w:val="none" w:sz="0" w:space="0" w:color="auto"/>
        <w:left w:val="none" w:sz="0" w:space="0" w:color="auto"/>
        <w:bottom w:val="none" w:sz="0" w:space="0" w:color="auto"/>
        <w:right w:val="none" w:sz="0" w:space="0" w:color="auto"/>
      </w:divBdr>
      <w:divsChild>
        <w:div w:id="528370398">
          <w:marLeft w:val="0"/>
          <w:marRight w:val="0"/>
          <w:marTop w:val="0"/>
          <w:marBottom w:val="0"/>
          <w:divBdr>
            <w:top w:val="single" w:sz="6" w:space="0" w:color="0E477A"/>
            <w:left w:val="single" w:sz="6" w:space="0" w:color="0E477A"/>
            <w:bottom w:val="single" w:sz="6" w:space="0" w:color="0E477A"/>
            <w:right w:val="single" w:sz="6" w:space="0" w:color="0E477A"/>
          </w:divBdr>
          <w:divsChild>
            <w:div w:id="1102872265">
              <w:marLeft w:val="2925"/>
              <w:marRight w:val="0"/>
              <w:marTop w:val="0"/>
              <w:marBottom w:val="0"/>
              <w:divBdr>
                <w:top w:val="none" w:sz="0" w:space="0" w:color="auto"/>
                <w:left w:val="none" w:sz="0" w:space="0" w:color="auto"/>
                <w:bottom w:val="none" w:sz="0" w:space="0" w:color="auto"/>
                <w:right w:val="none" w:sz="0" w:space="0" w:color="auto"/>
              </w:divBdr>
              <w:divsChild>
                <w:div w:id="2131774971">
                  <w:marLeft w:val="0"/>
                  <w:marRight w:val="0"/>
                  <w:marTop w:val="0"/>
                  <w:marBottom w:val="0"/>
                  <w:divBdr>
                    <w:top w:val="none" w:sz="0" w:space="0" w:color="auto"/>
                    <w:left w:val="none" w:sz="0" w:space="0" w:color="auto"/>
                    <w:bottom w:val="none" w:sz="0" w:space="0" w:color="auto"/>
                    <w:right w:val="none" w:sz="0" w:space="0" w:color="auto"/>
                  </w:divBdr>
                  <w:divsChild>
                    <w:div w:id="70851406">
                      <w:marLeft w:val="0"/>
                      <w:marRight w:val="150"/>
                      <w:marTop w:val="0"/>
                      <w:marBottom w:val="0"/>
                      <w:divBdr>
                        <w:top w:val="single" w:sz="6" w:space="0" w:color="CCCCCC"/>
                        <w:left w:val="single" w:sz="6" w:space="8" w:color="CCCCCC"/>
                        <w:bottom w:val="single" w:sz="6" w:space="8" w:color="CCCCCC"/>
                        <w:right w:val="single" w:sz="6" w:space="8" w:color="CCCCCC"/>
                      </w:divBdr>
                      <w:divsChild>
                        <w:div w:id="1036932785">
                          <w:marLeft w:val="0"/>
                          <w:marRight w:val="0"/>
                          <w:marTop w:val="0"/>
                          <w:marBottom w:val="0"/>
                          <w:divBdr>
                            <w:top w:val="none" w:sz="0" w:space="0" w:color="auto"/>
                            <w:left w:val="none" w:sz="0" w:space="0" w:color="auto"/>
                            <w:bottom w:val="none" w:sz="0" w:space="0" w:color="auto"/>
                            <w:right w:val="none" w:sz="0" w:space="0" w:color="auto"/>
                          </w:divBdr>
                        </w:div>
                        <w:div w:id="1715275732">
                          <w:marLeft w:val="0"/>
                          <w:marRight w:val="0"/>
                          <w:marTop w:val="0"/>
                          <w:marBottom w:val="0"/>
                          <w:divBdr>
                            <w:top w:val="none" w:sz="0" w:space="0" w:color="auto"/>
                            <w:left w:val="none" w:sz="0" w:space="0" w:color="auto"/>
                            <w:bottom w:val="none" w:sz="0" w:space="0" w:color="auto"/>
                            <w:right w:val="none" w:sz="0" w:space="0" w:color="auto"/>
                          </w:divBdr>
                        </w:div>
                        <w:div w:id="1504008550">
                          <w:marLeft w:val="0"/>
                          <w:marRight w:val="0"/>
                          <w:marTop w:val="0"/>
                          <w:marBottom w:val="0"/>
                          <w:divBdr>
                            <w:top w:val="none" w:sz="0" w:space="0" w:color="auto"/>
                            <w:left w:val="none" w:sz="0" w:space="0" w:color="auto"/>
                            <w:bottom w:val="none" w:sz="0" w:space="0" w:color="auto"/>
                            <w:right w:val="none" w:sz="0" w:space="0" w:color="auto"/>
                          </w:divBdr>
                        </w:div>
                        <w:div w:id="1388643253">
                          <w:marLeft w:val="0"/>
                          <w:marRight w:val="0"/>
                          <w:marTop w:val="0"/>
                          <w:marBottom w:val="0"/>
                          <w:divBdr>
                            <w:top w:val="none" w:sz="0" w:space="0" w:color="auto"/>
                            <w:left w:val="none" w:sz="0" w:space="0" w:color="auto"/>
                            <w:bottom w:val="none" w:sz="0" w:space="0" w:color="auto"/>
                            <w:right w:val="none" w:sz="0" w:space="0" w:color="auto"/>
                          </w:divBdr>
                        </w:div>
                        <w:div w:id="1176068827">
                          <w:marLeft w:val="0"/>
                          <w:marRight w:val="0"/>
                          <w:marTop w:val="0"/>
                          <w:marBottom w:val="0"/>
                          <w:divBdr>
                            <w:top w:val="none" w:sz="0" w:space="0" w:color="auto"/>
                            <w:left w:val="none" w:sz="0" w:space="0" w:color="auto"/>
                            <w:bottom w:val="none" w:sz="0" w:space="0" w:color="auto"/>
                            <w:right w:val="none" w:sz="0" w:space="0" w:color="auto"/>
                          </w:divBdr>
                        </w:div>
                        <w:div w:id="906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89706">
      <w:bodyDiv w:val="1"/>
      <w:marLeft w:val="0"/>
      <w:marRight w:val="0"/>
      <w:marTop w:val="0"/>
      <w:marBottom w:val="0"/>
      <w:divBdr>
        <w:top w:val="none" w:sz="0" w:space="0" w:color="auto"/>
        <w:left w:val="none" w:sz="0" w:space="0" w:color="auto"/>
        <w:bottom w:val="none" w:sz="0" w:space="0" w:color="auto"/>
        <w:right w:val="none" w:sz="0" w:space="0" w:color="auto"/>
      </w:divBdr>
      <w:divsChild>
        <w:div w:id="1053694119">
          <w:marLeft w:val="0"/>
          <w:marRight w:val="0"/>
          <w:marTop w:val="0"/>
          <w:marBottom w:val="0"/>
          <w:divBdr>
            <w:top w:val="none" w:sz="0" w:space="0" w:color="auto"/>
            <w:left w:val="single" w:sz="6" w:space="15" w:color="B4B4B4"/>
            <w:bottom w:val="single" w:sz="6" w:space="0" w:color="B4B4B4"/>
            <w:right w:val="single" w:sz="6" w:space="15" w:color="B4B4B4"/>
          </w:divBdr>
          <w:divsChild>
            <w:div w:id="1384719918">
              <w:marLeft w:val="0"/>
              <w:marRight w:val="0"/>
              <w:marTop w:val="0"/>
              <w:marBottom w:val="0"/>
              <w:divBdr>
                <w:top w:val="none" w:sz="0" w:space="0" w:color="auto"/>
                <w:left w:val="none" w:sz="0" w:space="0" w:color="auto"/>
                <w:bottom w:val="none" w:sz="0" w:space="0" w:color="auto"/>
                <w:right w:val="none" w:sz="0" w:space="0" w:color="auto"/>
              </w:divBdr>
              <w:divsChild>
                <w:div w:id="360589744">
                  <w:marLeft w:val="-300"/>
                  <w:marRight w:val="0"/>
                  <w:marTop w:val="0"/>
                  <w:marBottom w:val="0"/>
                  <w:divBdr>
                    <w:top w:val="none" w:sz="0" w:space="0" w:color="auto"/>
                    <w:left w:val="none" w:sz="0" w:space="0" w:color="auto"/>
                    <w:bottom w:val="none" w:sz="0" w:space="0" w:color="auto"/>
                    <w:right w:val="none" w:sz="0" w:space="0" w:color="auto"/>
                  </w:divBdr>
                  <w:divsChild>
                    <w:div w:id="1099450554">
                      <w:marLeft w:val="0"/>
                      <w:marRight w:val="0"/>
                      <w:marTop w:val="0"/>
                      <w:marBottom w:val="0"/>
                      <w:divBdr>
                        <w:top w:val="none" w:sz="0" w:space="0" w:color="auto"/>
                        <w:left w:val="none" w:sz="0" w:space="0" w:color="auto"/>
                        <w:bottom w:val="none" w:sz="0" w:space="0" w:color="auto"/>
                        <w:right w:val="none" w:sz="0" w:space="0" w:color="auto"/>
                      </w:divBdr>
                      <w:divsChild>
                        <w:div w:id="1050761667">
                          <w:marLeft w:val="-300"/>
                          <w:marRight w:val="0"/>
                          <w:marTop w:val="0"/>
                          <w:marBottom w:val="0"/>
                          <w:divBdr>
                            <w:top w:val="none" w:sz="0" w:space="0" w:color="auto"/>
                            <w:left w:val="none" w:sz="0" w:space="0" w:color="auto"/>
                            <w:bottom w:val="none" w:sz="0" w:space="0" w:color="auto"/>
                            <w:right w:val="none" w:sz="0" w:space="0" w:color="auto"/>
                          </w:divBdr>
                          <w:divsChild>
                            <w:div w:id="1641420980">
                              <w:marLeft w:val="0"/>
                              <w:marRight w:val="0"/>
                              <w:marTop w:val="0"/>
                              <w:marBottom w:val="0"/>
                              <w:divBdr>
                                <w:top w:val="none" w:sz="0" w:space="0" w:color="auto"/>
                                <w:left w:val="none" w:sz="0" w:space="0" w:color="auto"/>
                                <w:bottom w:val="none" w:sz="0" w:space="0" w:color="auto"/>
                                <w:right w:val="none" w:sz="0" w:space="0" w:color="auto"/>
                              </w:divBdr>
                              <w:divsChild>
                                <w:div w:id="2032413545">
                                  <w:marLeft w:val="0"/>
                                  <w:marRight w:val="0"/>
                                  <w:marTop w:val="0"/>
                                  <w:marBottom w:val="0"/>
                                  <w:divBdr>
                                    <w:top w:val="none" w:sz="0" w:space="0" w:color="auto"/>
                                    <w:left w:val="none" w:sz="0" w:space="0" w:color="auto"/>
                                    <w:bottom w:val="none" w:sz="0" w:space="0" w:color="auto"/>
                                    <w:right w:val="none" w:sz="0" w:space="0" w:color="auto"/>
                                  </w:divBdr>
                                  <w:divsChild>
                                    <w:div w:id="1455755985">
                                      <w:marLeft w:val="0"/>
                                      <w:marRight w:val="0"/>
                                      <w:marTop w:val="0"/>
                                      <w:marBottom w:val="0"/>
                                      <w:divBdr>
                                        <w:top w:val="none" w:sz="0" w:space="0" w:color="auto"/>
                                        <w:left w:val="none" w:sz="0" w:space="0" w:color="auto"/>
                                        <w:bottom w:val="none" w:sz="0" w:space="0" w:color="auto"/>
                                        <w:right w:val="none" w:sz="0" w:space="0" w:color="auto"/>
                                      </w:divBdr>
                                      <w:divsChild>
                                        <w:div w:id="2023121539">
                                          <w:marLeft w:val="0"/>
                                          <w:marRight w:val="0"/>
                                          <w:marTop w:val="0"/>
                                          <w:marBottom w:val="0"/>
                                          <w:divBdr>
                                            <w:top w:val="none" w:sz="0" w:space="0" w:color="auto"/>
                                            <w:left w:val="none" w:sz="0" w:space="0" w:color="auto"/>
                                            <w:bottom w:val="none" w:sz="0" w:space="0" w:color="auto"/>
                                            <w:right w:val="none" w:sz="0" w:space="0" w:color="auto"/>
                                          </w:divBdr>
                                          <w:divsChild>
                                            <w:div w:id="11204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947342">
      <w:bodyDiv w:val="1"/>
      <w:marLeft w:val="0"/>
      <w:marRight w:val="0"/>
      <w:marTop w:val="0"/>
      <w:marBottom w:val="0"/>
      <w:divBdr>
        <w:top w:val="none" w:sz="0" w:space="0" w:color="auto"/>
        <w:left w:val="none" w:sz="0" w:space="0" w:color="auto"/>
        <w:bottom w:val="none" w:sz="0" w:space="0" w:color="auto"/>
        <w:right w:val="none" w:sz="0" w:space="0" w:color="auto"/>
      </w:divBdr>
      <w:divsChild>
        <w:div w:id="1662077805">
          <w:marLeft w:val="0"/>
          <w:marRight w:val="0"/>
          <w:marTop w:val="0"/>
          <w:marBottom w:val="0"/>
          <w:divBdr>
            <w:top w:val="single" w:sz="6" w:space="0" w:color="0E477A"/>
            <w:left w:val="single" w:sz="6" w:space="0" w:color="0E477A"/>
            <w:bottom w:val="single" w:sz="6" w:space="0" w:color="0E477A"/>
            <w:right w:val="single" w:sz="6" w:space="0" w:color="0E477A"/>
          </w:divBdr>
          <w:divsChild>
            <w:div w:id="669715189">
              <w:marLeft w:val="2925"/>
              <w:marRight w:val="0"/>
              <w:marTop w:val="0"/>
              <w:marBottom w:val="0"/>
              <w:divBdr>
                <w:top w:val="none" w:sz="0" w:space="0" w:color="auto"/>
                <w:left w:val="none" w:sz="0" w:space="0" w:color="auto"/>
                <w:bottom w:val="none" w:sz="0" w:space="0" w:color="auto"/>
                <w:right w:val="none" w:sz="0" w:space="0" w:color="auto"/>
              </w:divBdr>
              <w:divsChild>
                <w:div w:id="1437603756">
                  <w:marLeft w:val="0"/>
                  <w:marRight w:val="0"/>
                  <w:marTop w:val="0"/>
                  <w:marBottom w:val="0"/>
                  <w:divBdr>
                    <w:top w:val="none" w:sz="0" w:space="0" w:color="auto"/>
                    <w:left w:val="none" w:sz="0" w:space="0" w:color="auto"/>
                    <w:bottom w:val="none" w:sz="0" w:space="0" w:color="auto"/>
                    <w:right w:val="none" w:sz="0" w:space="0" w:color="auto"/>
                  </w:divBdr>
                  <w:divsChild>
                    <w:div w:id="1184825593">
                      <w:marLeft w:val="0"/>
                      <w:marRight w:val="150"/>
                      <w:marTop w:val="0"/>
                      <w:marBottom w:val="0"/>
                      <w:divBdr>
                        <w:top w:val="single" w:sz="6" w:space="0" w:color="CCCCCC"/>
                        <w:left w:val="single" w:sz="6" w:space="8" w:color="CCCCCC"/>
                        <w:bottom w:val="single" w:sz="6" w:space="8" w:color="CCCCCC"/>
                        <w:right w:val="single" w:sz="6" w:space="8" w:color="CCCCCC"/>
                      </w:divBdr>
                      <w:divsChild>
                        <w:div w:id="1070493820">
                          <w:marLeft w:val="0"/>
                          <w:marRight w:val="0"/>
                          <w:marTop w:val="0"/>
                          <w:marBottom w:val="0"/>
                          <w:divBdr>
                            <w:top w:val="none" w:sz="0" w:space="0" w:color="auto"/>
                            <w:left w:val="none" w:sz="0" w:space="0" w:color="auto"/>
                            <w:bottom w:val="none" w:sz="0" w:space="0" w:color="auto"/>
                            <w:right w:val="none" w:sz="0" w:space="0" w:color="auto"/>
                          </w:divBdr>
                        </w:div>
                        <w:div w:id="1890342535">
                          <w:marLeft w:val="0"/>
                          <w:marRight w:val="0"/>
                          <w:marTop w:val="0"/>
                          <w:marBottom w:val="0"/>
                          <w:divBdr>
                            <w:top w:val="none" w:sz="0" w:space="0" w:color="auto"/>
                            <w:left w:val="none" w:sz="0" w:space="0" w:color="auto"/>
                            <w:bottom w:val="none" w:sz="0" w:space="0" w:color="auto"/>
                            <w:right w:val="none" w:sz="0" w:space="0" w:color="auto"/>
                          </w:divBdr>
                        </w:div>
                        <w:div w:id="327876883">
                          <w:marLeft w:val="0"/>
                          <w:marRight w:val="0"/>
                          <w:marTop w:val="0"/>
                          <w:marBottom w:val="0"/>
                          <w:divBdr>
                            <w:top w:val="none" w:sz="0" w:space="0" w:color="auto"/>
                            <w:left w:val="none" w:sz="0" w:space="0" w:color="auto"/>
                            <w:bottom w:val="none" w:sz="0" w:space="0" w:color="auto"/>
                            <w:right w:val="none" w:sz="0" w:space="0" w:color="auto"/>
                          </w:divBdr>
                        </w:div>
                        <w:div w:id="1078164366">
                          <w:marLeft w:val="0"/>
                          <w:marRight w:val="0"/>
                          <w:marTop w:val="0"/>
                          <w:marBottom w:val="0"/>
                          <w:divBdr>
                            <w:top w:val="none" w:sz="0" w:space="0" w:color="auto"/>
                            <w:left w:val="none" w:sz="0" w:space="0" w:color="auto"/>
                            <w:bottom w:val="none" w:sz="0" w:space="0" w:color="auto"/>
                            <w:right w:val="none" w:sz="0" w:space="0" w:color="auto"/>
                          </w:divBdr>
                        </w:div>
                        <w:div w:id="324011327">
                          <w:marLeft w:val="0"/>
                          <w:marRight w:val="0"/>
                          <w:marTop w:val="0"/>
                          <w:marBottom w:val="0"/>
                          <w:divBdr>
                            <w:top w:val="none" w:sz="0" w:space="0" w:color="auto"/>
                            <w:left w:val="none" w:sz="0" w:space="0" w:color="auto"/>
                            <w:bottom w:val="none" w:sz="0" w:space="0" w:color="auto"/>
                            <w:right w:val="none" w:sz="0" w:space="0" w:color="auto"/>
                          </w:divBdr>
                        </w:div>
                        <w:div w:id="1404719158">
                          <w:marLeft w:val="0"/>
                          <w:marRight w:val="0"/>
                          <w:marTop w:val="0"/>
                          <w:marBottom w:val="0"/>
                          <w:divBdr>
                            <w:top w:val="none" w:sz="0" w:space="0" w:color="auto"/>
                            <w:left w:val="none" w:sz="0" w:space="0" w:color="auto"/>
                            <w:bottom w:val="none" w:sz="0" w:space="0" w:color="auto"/>
                            <w:right w:val="none" w:sz="0" w:space="0" w:color="auto"/>
                          </w:divBdr>
                        </w:div>
                        <w:div w:id="1143354533">
                          <w:marLeft w:val="0"/>
                          <w:marRight w:val="0"/>
                          <w:marTop w:val="0"/>
                          <w:marBottom w:val="0"/>
                          <w:divBdr>
                            <w:top w:val="none" w:sz="0" w:space="0" w:color="auto"/>
                            <w:left w:val="none" w:sz="0" w:space="0" w:color="auto"/>
                            <w:bottom w:val="none" w:sz="0" w:space="0" w:color="auto"/>
                            <w:right w:val="none" w:sz="0" w:space="0" w:color="auto"/>
                          </w:divBdr>
                        </w:div>
                        <w:div w:id="637997369">
                          <w:marLeft w:val="0"/>
                          <w:marRight w:val="0"/>
                          <w:marTop w:val="0"/>
                          <w:marBottom w:val="0"/>
                          <w:divBdr>
                            <w:top w:val="none" w:sz="0" w:space="0" w:color="auto"/>
                            <w:left w:val="none" w:sz="0" w:space="0" w:color="auto"/>
                            <w:bottom w:val="none" w:sz="0" w:space="0" w:color="auto"/>
                            <w:right w:val="none" w:sz="0" w:space="0" w:color="auto"/>
                          </w:divBdr>
                        </w:div>
                        <w:div w:id="874930628">
                          <w:marLeft w:val="0"/>
                          <w:marRight w:val="0"/>
                          <w:marTop w:val="0"/>
                          <w:marBottom w:val="0"/>
                          <w:divBdr>
                            <w:top w:val="none" w:sz="0" w:space="0" w:color="auto"/>
                            <w:left w:val="none" w:sz="0" w:space="0" w:color="auto"/>
                            <w:bottom w:val="none" w:sz="0" w:space="0" w:color="auto"/>
                            <w:right w:val="none" w:sz="0" w:space="0" w:color="auto"/>
                          </w:divBdr>
                        </w:div>
                        <w:div w:id="10470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14904">
      <w:bodyDiv w:val="1"/>
      <w:marLeft w:val="0"/>
      <w:marRight w:val="0"/>
      <w:marTop w:val="0"/>
      <w:marBottom w:val="0"/>
      <w:divBdr>
        <w:top w:val="none" w:sz="0" w:space="0" w:color="auto"/>
        <w:left w:val="none" w:sz="0" w:space="0" w:color="auto"/>
        <w:bottom w:val="none" w:sz="0" w:space="0" w:color="auto"/>
        <w:right w:val="none" w:sz="0" w:space="0" w:color="auto"/>
      </w:divBdr>
      <w:divsChild>
        <w:div w:id="1826506785">
          <w:marLeft w:val="0"/>
          <w:marRight w:val="0"/>
          <w:marTop w:val="0"/>
          <w:marBottom w:val="0"/>
          <w:divBdr>
            <w:top w:val="single" w:sz="2" w:space="0" w:color="AAAAAA"/>
            <w:left w:val="single" w:sz="6" w:space="8" w:color="AAAAAA"/>
            <w:bottom w:val="single" w:sz="2" w:space="0" w:color="AAAAAA"/>
            <w:right w:val="single" w:sz="6" w:space="8" w:color="AAAAAA"/>
          </w:divBdr>
          <w:divsChild>
            <w:div w:id="1709641949">
              <w:marLeft w:val="0"/>
              <w:marRight w:val="0"/>
              <w:marTop w:val="0"/>
              <w:marBottom w:val="0"/>
              <w:divBdr>
                <w:top w:val="none" w:sz="0" w:space="0" w:color="auto"/>
                <w:left w:val="none" w:sz="0" w:space="0" w:color="auto"/>
                <w:bottom w:val="none" w:sz="0" w:space="0" w:color="auto"/>
                <w:right w:val="none" w:sz="0" w:space="0" w:color="auto"/>
              </w:divBdr>
              <w:divsChild>
                <w:div w:id="1609313222">
                  <w:marLeft w:val="0"/>
                  <w:marRight w:val="0"/>
                  <w:marTop w:val="0"/>
                  <w:marBottom w:val="0"/>
                  <w:divBdr>
                    <w:top w:val="none" w:sz="0" w:space="0" w:color="auto"/>
                    <w:left w:val="none" w:sz="0" w:space="0" w:color="auto"/>
                    <w:bottom w:val="none" w:sz="0" w:space="0" w:color="auto"/>
                    <w:right w:val="none" w:sz="0" w:space="0" w:color="auto"/>
                  </w:divBdr>
                  <w:divsChild>
                    <w:div w:id="1158183900">
                      <w:marLeft w:val="0"/>
                      <w:marRight w:val="2550"/>
                      <w:marTop w:val="0"/>
                      <w:marBottom w:val="48"/>
                      <w:divBdr>
                        <w:top w:val="none" w:sz="0" w:space="0" w:color="auto"/>
                        <w:left w:val="none" w:sz="0" w:space="0" w:color="auto"/>
                        <w:bottom w:val="none" w:sz="0" w:space="0" w:color="auto"/>
                        <w:right w:val="none" w:sz="0" w:space="0" w:color="auto"/>
                      </w:divBdr>
                      <w:divsChild>
                        <w:div w:id="1896238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78752228">
      <w:bodyDiv w:val="1"/>
      <w:marLeft w:val="0"/>
      <w:marRight w:val="0"/>
      <w:marTop w:val="0"/>
      <w:marBottom w:val="0"/>
      <w:divBdr>
        <w:top w:val="none" w:sz="0" w:space="0" w:color="auto"/>
        <w:left w:val="none" w:sz="0" w:space="0" w:color="auto"/>
        <w:bottom w:val="none" w:sz="0" w:space="0" w:color="auto"/>
        <w:right w:val="none" w:sz="0" w:space="0" w:color="auto"/>
      </w:divBdr>
      <w:divsChild>
        <w:div w:id="1169173260">
          <w:marLeft w:val="0"/>
          <w:marRight w:val="0"/>
          <w:marTop w:val="0"/>
          <w:marBottom w:val="0"/>
          <w:divBdr>
            <w:top w:val="none" w:sz="0" w:space="0" w:color="auto"/>
            <w:left w:val="none" w:sz="0" w:space="0" w:color="auto"/>
            <w:bottom w:val="none" w:sz="0" w:space="0" w:color="auto"/>
            <w:right w:val="none" w:sz="0" w:space="0" w:color="auto"/>
          </w:divBdr>
          <w:divsChild>
            <w:div w:id="522742767">
              <w:marLeft w:val="0"/>
              <w:marRight w:val="-225"/>
              <w:marTop w:val="0"/>
              <w:marBottom w:val="0"/>
              <w:divBdr>
                <w:top w:val="none" w:sz="0" w:space="0" w:color="auto"/>
                <w:left w:val="none" w:sz="0" w:space="0" w:color="auto"/>
                <w:bottom w:val="none" w:sz="0" w:space="0" w:color="auto"/>
                <w:right w:val="none" w:sz="0" w:space="0" w:color="auto"/>
              </w:divBdr>
              <w:divsChild>
                <w:div w:id="1393042485">
                  <w:marLeft w:val="0"/>
                  <w:marRight w:val="0"/>
                  <w:marTop w:val="0"/>
                  <w:marBottom w:val="0"/>
                  <w:divBdr>
                    <w:top w:val="none" w:sz="0" w:space="0" w:color="auto"/>
                    <w:left w:val="none" w:sz="0" w:space="0" w:color="auto"/>
                    <w:bottom w:val="none" w:sz="0" w:space="0" w:color="auto"/>
                    <w:right w:val="none" w:sz="0" w:space="0" w:color="auto"/>
                  </w:divBdr>
                  <w:divsChild>
                    <w:div w:id="803154258">
                      <w:marLeft w:val="0"/>
                      <w:marRight w:val="0"/>
                      <w:marTop w:val="0"/>
                      <w:marBottom w:val="0"/>
                      <w:divBdr>
                        <w:top w:val="none" w:sz="0" w:space="0" w:color="auto"/>
                        <w:left w:val="none" w:sz="0" w:space="0" w:color="auto"/>
                        <w:bottom w:val="none" w:sz="0" w:space="0" w:color="auto"/>
                        <w:right w:val="none" w:sz="0" w:space="0" w:color="auto"/>
                      </w:divBdr>
                      <w:divsChild>
                        <w:div w:id="329718347">
                          <w:marLeft w:val="0"/>
                          <w:marRight w:val="0"/>
                          <w:marTop w:val="0"/>
                          <w:marBottom w:val="0"/>
                          <w:divBdr>
                            <w:top w:val="none" w:sz="0" w:space="0" w:color="auto"/>
                            <w:left w:val="none" w:sz="0" w:space="0" w:color="auto"/>
                            <w:bottom w:val="none" w:sz="0" w:space="0" w:color="auto"/>
                            <w:right w:val="none" w:sz="0" w:space="0" w:color="auto"/>
                          </w:divBdr>
                          <w:divsChild>
                            <w:div w:id="21386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555255">
          <w:marLeft w:val="0"/>
          <w:marRight w:val="0"/>
          <w:marTop w:val="0"/>
          <w:marBottom w:val="450"/>
          <w:divBdr>
            <w:top w:val="single" w:sz="6" w:space="5" w:color="3366CC"/>
            <w:left w:val="single" w:sz="6" w:space="5" w:color="3366CC"/>
            <w:bottom w:val="single" w:sz="6" w:space="5" w:color="3366CC"/>
            <w:right w:val="single" w:sz="6" w:space="5" w:color="3366CC"/>
          </w:divBdr>
        </w:div>
      </w:divsChild>
    </w:div>
    <w:div w:id="1078939841">
      <w:bodyDiv w:val="1"/>
      <w:marLeft w:val="0"/>
      <w:marRight w:val="0"/>
      <w:marTop w:val="0"/>
      <w:marBottom w:val="0"/>
      <w:divBdr>
        <w:top w:val="none" w:sz="0" w:space="0" w:color="auto"/>
        <w:left w:val="none" w:sz="0" w:space="0" w:color="auto"/>
        <w:bottom w:val="none" w:sz="0" w:space="0" w:color="auto"/>
        <w:right w:val="none" w:sz="0" w:space="0" w:color="auto"/>
      </w:divBdr>
    </w:div>
    <w:div w:id="1080177567">
      <w:bodyDiv w:val="1"/>
      <w:marLeft w:val="0"/>
      <w:marRight w:val="0"/>
      <w:marTop w:val="0"/>
      <w:marBottom w:val="0"/>
      <w:divBdr>
        <w:top w:val="none" w:sz="0" w:space="0" w:color="auto"/>
        <w:left w:val="none" w:sz="0" w:space="0" w:color="auto"/>
        <w:bottom w:val="none" w:sz="0" w:space="0" w:color="auto"/>
        <w:right w:val="none" w:sz="0" w:space="0" w:color="auto"/>
      </w:divBdr>
      <w:divsChild>
        <w:div w:id="1353192781">
          <w:marLeft w:val="0"/>
          <w:marRight w:val="0"/>
          <w:marTop w:val="0"/>
          <w:marBottom w:val="0"/>
          <w:divBdr>
            <w:top w:val="single" w:sz="4" w:space="0" w:color="0E477A"/>
            <w:left w:val="single" w:sz="4" w:space="0" w:color="0E477A"/>
            <w:bottom w:val="single" w:sz="4" w:space="0" w:color="0E477A"/>
            <w:right w:val="single" w:sz="4" w:space="0" w:color="0E477A"/>
          </w:divBdr>
          <w:divsChild>
            <w:div w:id="662200022">
              <w:marLeft w:val="2442"/>
              <w:marRight w:val="0"/>
              <w:marTop w:val="0"/>
              <w:marBottom w:val="0"/>
              <w:divBdr>
                <w:top w:val="none" w:sz="0" w:space="0" w:color="auto"/>
                <w:left w:val="none" w:sz="0" w:space="0" w:color="auto"/>
                <w:bottom w:val="none" w:sz="0" w:space="0" w:color="auto"/>
                <w:right w:val="none" w:sz="0" w:space="0" w:color="auto"/>
              </w:divBdr>
              <w:divsChild>
                <w:div w:id="939681396">
                  <w:marLeft w:val="0"/>
                  <w:marRight w:val="0"/>
                  <w:marTop w:val="0"/>
                  <w:marBottom w:val="0"/>
                  <w:divBdr>
                    <w:top w:val="none" w:sz="0" w:space="0" w:color="auto"/>
                    <w:left w:val="none" w:sz="0" w:space="0" w:color="auto"/>
                    <w:bottom w:val="none" w:sz="0" w:space="0" w:color="auto"/>
                    <w:right w:val="none" w:sz="0" w:space="0" w:color="auto"/>
                  </w:divBdr>
                  <w:divsChild>
                    <w:div w:id="1009675400">
                      <w:marLeft w:val="0"/>
                      <w:marRight w:val="125"/>
                      <w:marTop w:val="0"/>
                      <w:marBottom w:val="0"/>
                      <w:divBdr>
                        <w:top w:val="single" w:sz="4" w:space="0" w:color="CCCCCC"/>
                        <w:left w:val="single" w:sz="4" w:space="6" w:color="CCCCCC"/>
                        <w:bottom w:val="single" w:sz="4" w:space="6" w:color="CCCCCC"/>
                        <w:right w:val="single" w:sz="4" w:space="6" w:color="CCCCCC"/>
                      </w:divBdr>
                      <w:divsChild>
                        <w:div w:id="1103068152">
                          <w:marLeft w:val="0"/>
                          <w:marRight w:val="0"/>
                          <w:marTop w:val="0"/>
                          <w:marBottom w:val="0"/>
                          <w:divBdr>
                            <w:top w:val="none" w:sz="0" w:space="0" w:color="auto"/>
                            <w:left w:val="none" w:sz="0" w:space="0" w:color="auto"/>
                            <w:bottom w:val="none" w:sz="0" w:space="0" w:color="auto"/>
                            <w:right w:val="none" w:sz="0" w:space="0" w:color="auto"/>
                          </w:divBdr>
                        </w:div>
                        <w:div w:id="2114352059">
                          <w:marLeft w:val="0"/>
                          <w:marRight w:val="0"/>
                          <w:marTop w:val="0"/>
                          <w:marBottom w:val="0"/>
                          <w:divBdr>
                            <w:top w:val="none" w:sz="0" w:space="0" w:color="auto"/>
                            <w:left w:val="none" w:sz="0" w:space="0" w:color="auto"/>
                            <w:bottom w:val="none" w:sz="0" w:space="0" w:color="auto"/>
                            <w:right w:val="none" w:sz="0" w:space="0" w:color="auto"/>
                          </w:divBdr>
                        </w:div>
                        <w:div w:id="43800409">
                          <w:marLeft w:val="0"/>
                          <w:marRight w:val="0"/>
                          <w:marTop w:val="0"/>
                          <w:marBottom w:val="0"/>
                          <w:divBdr>
                            <w:top w:val="none" w:sz="0" w:space="0" w:color="auto"/>
                            <w:left w:val="none" w:sz="0" w:space="0" w:color="auto"/>
                            <w:bottom w:val="none" w:sz="0" w:space="0" w:color="auto"/>
                            <w:right w:val="none" w:sz="0" w:space="0" w:color="auto"/>
                          </w:divBdr>
                        </w:div>
                        <w:div w:id="346910041">
                          <w:marLeft w:val="0"/>
                          <w:marRight w:val="0"/>
                          <w:marTop w:val="0"/>
                          <w:marBottom w:val="0"/>
                          <w:divBdr>
                            <w:top w:val="none" w:sz="0" w:space="0" w:color="auto"/>
                            <w:left w:val="none" w:sz="0" w:space="0" w:color="auto"/>
                            <w:bottom w:val="none" w:sz="0" w:space="0" w:color="auto"/>
                            <w:right w:val="none" w:sz="0" w:space="0" w:color="auto"/>
                          </w:divBdr>
                        </w:div>
                        <w:div w:id="518348883">
                          <w:marLeft w:val="0"/>
                          <w:marRight w:val="0"/>
                          <w:marTop w:val="0"/>
                          <w:marBottom w:val="0"/>
                          <w:divBdr>
                            <w:top w:val="none" w:sz="0" w:space="0" w:color="auto"/>
                            <w:left w:val="none" w:sz="0" w:space="0" w:color="auto"/>
                            <w:bottom w:val="none" w:sz="0" w:space="0" w:color="auto"/>
                            <w:right w:val="none" w:sz="0" w:space="0" w:color="auto"/>
                          </w:divBdr>
                        </w:div>
                        <w:div w:id="1977494104">
                          <w:marLeft w:val="0"/>
                          <w:marRight w:val="0"/>
                          <w:marTop w:val="0"/>
                          <w:marBottom w:val="0"/>
                          <w:divBdr>
                            <w:top w:val="none" w:sz="0" w:space="0" w:color="auto"/>
                            <w:left w:val="none" w:sz="0" w:space="0" w:color="auto"/>
                            <w:bottom w:val="none" w:sz="0" w:space="0" w:color="auto"/>
                            <w:right w:val="none" w:sz="0" w:space="0" w:color="auto"/>
                          </w:divBdr>
                        </w:div>
                        <w:div w:id="190993185">
                          <w:marLeft w:val="0"/>
                          <w:marRight w:val="0"/>
                          <w:marTop w:val="0"/>
                          <w:marBottom w:val="0"/>
                          <w:divBdr>
                            <w:top w:val="none" w:sz="0" w:space="0" w:color="auto"/>
                            <w:left w:val="none" w:sz="0" w:space="0" w:color="auto"/>
                            <w:bottom w:val="none" w:sz="0" w:space="0" w:color="auto"/>
                            <w:right w:val="none" w:sz="0" w:space="0" w:color="auto"/>
                          </w:divBdr>
                        </w:div>
                        <w:div w:id="1277521451">
                          <w:marLeft w:val="0"/>
                          <w:marRight w:val="0"/>
                          <w:marTop w:val="0"/>
                          <w:marBottom w:val="0"/>
                          <w:divBdr>
                            <w:top w:val="none" w:sz="0" w:space="0" w:color="auto"/>
                            <w:left w:val="none" w:sz="0" w:space="0" w:color="auto"/>
                            <w:bottom w:val="none" w:sz="0" w:space="0" w:color="auto"/>
                            <w:right w:val="none" w:sz="0" w:space="0" w:color="auto"/>
                          </w:divBdr>
                        </w:div>
                        <w:div w:id="386344894">
                          <w:marLeft w:val="0"/>
                          <w:marRight w:val="0"/>
                          <w:marTop w:val="0"/>
                          <w:marBottom w:val="0"/>
                          <w:divBdr>
                            <w:top w:val="none" w:sz="0" w:space="0" w:color="auto"/>
                            <w:left w:val="none" w:sz="0" w:space="0" w:color="auto"/>
                            <w:bottom w:val="none" w:sz="0" w:space="0" w:color="auto"/>
                            <w:right w:val="none" w:sz="0" w:space="0" w:color="auto"/>
                          </w:divBdr>
                        </w:div>
                        <w:div w:id="7559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296679">
      <w:bodyDiv w:val="1"/>
      <w:marLeft w:val="0"/>
      <w:marRight w:val="0"/>
      <w:marTop w:val="0"/>
      <w:marBottom w:val="0"/>
      <w:divBdr>
        <w:top w:val="none" w:sz="0" w:space="0" w:color="auto"/>
        <w:left w:val="none" w:sz="0" w:space="0" w:color="auto"/>
        <w:bottom w:val="none" w:sz="0" w:space="0" w:color="auto"/>
        <w:right w:val="none" w:sz="0" w:space="0" w:color="auto"/>
      </w:divBdr>
      <w:divsChild>
        <w:div w:id="1391340312">
          <w:marLeft w:val="0"/>
          <w:marRight w:val="0"/>
          <w:marTop w:val="0"/>
          <w:marBottom w:val="0"/>
          <w:divBdr>
            <w:top w:val="single" w:sz="6" w:space="0" w:color="0E477A"/>
            <w:left w:val="single" w:sz="6" w:space="0" w:color="0E477A"/>
            <w:bottom w:val="single" w:sz="6" w:space="0" w:color="0E477A"/>
            <w:right w:val="single" w:sz="6" w:space="0" w:color="0E477A"/>
          </w:divBdr>
          <w:divsChild>
            <w:div w:id="1094589481">
              <w:marLeft w:val="0"/>
              <w:marRight w:val="0"/>
              <w:marTop w:val="0"/>
              <w:marBottom w:val="0"/>
              <w:divBdr>
                <w:top w:val="none" w:sz="0" w:space="0" w:color="auto"/>
                <w:left w:val="none" w:sz="0" w:space="0" w:color="auto"/>
                <w:bottom w:val="none" w:sz="0" w:space="0" w:color="auto"/>
                <w:right w:val="none" w:sz="0" w:space="0" w:color="auto"/>
              </w:divBdr>
              <w:divsChild>
                <w:div w:id="956059478">
                  <w:marLeft w:val="75"/>
                  <w:marRight w:val="0"/>
                  <w:marTop w:val="0"/>
                  <w:marBottom w:val="0"/>
                  <w:divBdr>
                    <w:top w:val="none" w:sz="0" w:space="0" w:color="auto"/>
                    <w:left w:val="none" w:sz="0" w:space="0" w:color="auto"/>
                    <w:bottom w:val="none" w:sz="0" w:space="0" w:color="auto"/>
                    <w:right w:val="none" w:sz="0" w:space="0" w:color="auto"/>
                  </w:divBdr>
                  <w:divsChild>
                    <w:div w:id="1510177795">
                      <w:marLeft w:val="0"/>
                      <w:marRight w:val="0"/>
                      <w:marTop w:val="0"/>
                      <w:marBottom w:val="0"/>
                      <w:divBdr>
                        <w:top w:val="none" w:sz="0" w:space="0" w:color="auto"/>
                        <w:left w:val="none" w:sz="0" w:space="0" w:color="auto"/>
                        <w:bottom w:val="none" w:sz="0" w:space="0" w:color="auto"/>
                        <w:right w:val="none" w:sz="0" w:space="0" w:color="auto"/>
                      </w:divBdr>
                      <w:divsChild>
                        <w:div w:id="2054873">
                          <w:marLeft w:val="0"/>
                          <w:marRight w:val="225"/>
                          <w:marTop w:val="150"/>
                          <w:marBottom w:val="150"/>
                          <w:divBdr>
                            <w:top w:val="single" w:sz="6" w:space="0" w:color="CCCCCC"/>
                            <w:left w:val="single" w:sz="6" w:space="8" w:color="CCCCCC"/>
                            <w:bottom w:val="single" w:sz="6" w:space="8" w:color="CCCCCC"/>
                            <w:right w:val="single" w:sz="6" w:space="8" w:color="CCCCCC"/>
                          </w:divBdr>
                          <w:divsChild>
                            <w:div w:id="1403020741">
                              <w:marLeft w:val="-150"/>
                              <w:marRight w:val="0"/>
                              <w:marTop w:val="0"/>
                              <w:marBottom w:val="0"/>
                              <w:divBdr>
                                <w:top w:val="none" w:sz="0" w:space="0" w:color="auto"/>
                                <w:left w:val="none" w:sz="0" w:space="0" w:color="auto"/>
                                <w:bottom w:val="none" w:sz="0" w:space="0" w:color="auto"/>
                                <w:right w:val="none" w:sz="0" w:space="0" w:color="auto"/>
                              </w:divBdr>
                              <w:divsChild>
                                <w:div w:id="1307666341">
                                  <w:marLeft w:val="0"/>
                                  <w:marRight w:val="0"/>
                                  <w:marTop w:val="0"/>
                                  <w:marBottom w:val="0"/>
                                  <w:divBdr>
                                    <w:top w:val="none" w:sz="0" w:space="0" w:color="auto"/>
                                    <w:left w:val="none" w:sz="0" w:space="0" w:color="auto"/>
                                    <w:bottom w:val="none" w:sz="0" w:space="0" w:color="auto"/>
                                    <w:right w:val="none" w:sz="0" w:space="0" w:color="auto"/>
                                  </w:divBdr>
                                </w:div>
                              </w:divsChild>
                            </w:div>
                            <w:div w:id="879826612">
                              <w:marLeft w:val="-150"/>
                              <w:marRight w:val="0"/>
                              <w:marTop w:val="0"/>
                              <w:marBottom w:val="0"/>
                              <w:divBdr>
                                <w:top w:val="none" w:sz="0" w:space="0" w:color="auto"/>
                                <w:left w:val="none" w:sz="0" w:space="0" w:color="auto"/>
                                <w:bottom w:val="none" w:sz="0" w:space="0" w:color="auto"/>
                                <w:right w:val="none" w:sz="0" w:space="0" w:color="auto"/>
                              </w:divBdr>
                              <w:divsChild>
                                <w:div w:id="19114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184092">
      <w:bodyDiv w:val="1"/>
      <w:marLeft w:val="0"/>
      <w:marRight w:val="0"/>
      <w:marTop w:val="0"/>
      <w:marBottom w:val="0"/>
      <w:divBdr>
        <w:top w:val="none" w:sz="0" w:space="0" w:color="auto"/>
        <w:left w:val="none" w:sz="0" w:space="0" w:color="auto"/>
        <w:bottom w:val="none" w:sz="0" w:space="0" w:color="auto"/>
        <w:right w:val="none" w:sz="0" w:space="0" w:color="auto"/>
      </w:divBdr>
      <w:divsChild>
        <w:div w:id="1701082472">
          <w:marLeft w:val="0"/>
          <w:marRight w:val="0"/>
          <w:marTop w:val="0"/>
          <w:marBottom w:val="0"/>
          <w:divBdr>
            <w:top w:val="single" w:sz="2" w:space="0" w:color="AAAAAA"/>
            <w:left w:val="single" w:sz="6" w:space="8" w:color="AAAAAA"/>
            <w:bottom w:val="single" w:sz="2" w:space="0" w:color="AAAAAA"/>
            <w:right w:val="single" w:sz="6" w:space="8" w:color="AAAAAA"/>
          </w:divBdr>
          <w:divsChild>
            <w:div w:id="1592592357">
              <w:marLeft w:val="0"/>
              <w:marRight w:val="0"/>
              <w:marTop w:val="0"/>
              <w:marBottom w:val="0"/>
              <w:divBdr>
                <w:top w:val="none" w:sz="0" w:space="0" w:color="auto"/>
                <w:left w:val="none" w:sz="0" w:space="0" w:color="auto"/>
                <w:bottom w:val="none" w:sz="0" w:space="0" w:color="auto"/>
                <w:right w:val="none" w:sz="0" w:space="0" w:color="auto"/>
              </w:divBdr>
              <w:divsChild>
                <w:div w:id="576062133">
                  <w:marLeft w:val="0"/>
                  <w:marRight w:val="0"/>
                  <w:marTop w:val="0"/>
                  <w:marBottom w:val="0"/>
                  <w:divBdr>
                    <w:top w:val="none" w:sz="0" w:space="0" w:color="auto"/>
                    <w:left w:val="none" w:sz="0" w:space="0" w:color="auto"/>
                    <w:bottom w:val="none" w:sz="0" w:space="0" w:color="auto"/>
                    <w:right w:val="none" w:sz="0" w:space="0" w:color="auto"/>
                  </w:divBdr>
                  <w:divsChild>
                    <w:div w:id="1472668779">
                      <w:marLeft w:val="0"/>
                      <w:marRight w:val="2550"/>
                      <w:marTop w:val="0"/>
                      <w:marBottom w:val="48"/>
                      <w:divBdr>
                        <w:top w:val="none" w:sz="0" w:space="0" w:color="auto"/>
                        <w:left w:val="none" w:sz="0" w:space="0" w:color="auto"/>
                        <w:bottom w:val="none" w:sz="0" w:space="0" w:color="auto"/>
                        <w:right w:val="none" w:sz="0" w:space="0" w:color="auto"/>
                      </w:divBdr>
                      <w:divsChild>
                        <w:div w:id="1354988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84230310">
      <w:bodyDiv w:val="1"/>
      <w:marLeft w:val="0"/>
      <w:marRight w:val="0"/>
      <w:marTop w:val="0"/>
      <w:marBottom w:val="0"/>
      <w:divBdr>
        <w:top w:val="none" w:sz="0" w:space="0" w:color="auto"/>
        <w:left w:val="none" w:sz="0" w:space="0" w:color="auto"/>
        <w:bottom w:val="none" w:sz="0" w:space="0" w:color="auto"/>
        <w:right w:val="none" w:sz="0" w:space="0" w:color="auto"/>
      </w:divBdr>
    </w:div>
    <w:div w:id="1090272474">
      <w:bodyDiv w:val="1"/>
      <w:marLeft w:val="0"/>
      <w:marRight w:val="0"/>
      <w:marTop w:val="0"/>
      <w:marBottom w:val="0"/>
      <w:divBdr>
        <w:top w:val="none" w:sz="0" w:space="0" w:color="auto"/>
        <w:left w:val="none" w:sz="0" w:space="0" w:color="auto"/>
        <w:bottom w:val="none" w:sz="0" w:space="0" w:color="auto"/>
        <w:right w:val="none" w:sz="0" w:space="0" w:color="auto"/>
      </w:divBdr>
      <w:divsChild>
        <w:div w:id="355036726">
          <w:marLeft w:val="0"/>
          <w:marRight w:val="0"/>
          <w:marTop w:val="0"/>
          <w:marBottom w:val="0"/>
          <w:divBdr>
            <w:top w:val="none" w:sz="0" w:space="0" w:color="auto"/>
            <w:left w:val="none" w:sz="0" w:space="0" w:color="auto"/>
            <w:bottom w:val="none" w:sz="0" w:space="0" w:color="auto"/>
            <w:right w:val="none" w:sz="0" w:space="0" w:color="auto"/>
          </w:divBdr>
          <w:divsChild>
            <w:div w:id="1450851549">
              <w:marLeft w:val="0"/>
              <w:marRight w:val="0"/>
              <w:marTop w:val="0"/>
              <w:marBottom w:val="0"/>
              <w:divBdr>
                <w:top w:val="none" w:sz="0" w:space="0" w:color="auto"/>
                <w:left w:val="none" w:sz="0" w:space="0" w:color="auto"/>
                <w:bottom w:val="none" w:sz="0" w:space="0" w:color="auto"/>
                <w:right w:val="none" w:sz="0" w:space="0" w:color="auto"/>
              </w:divBdr>
              <w:divsChild>
                <w:div w:id="1076778466">
                  <w:marLeft w:val="0"/>
                  <w:marRight w:val="0"/>
                  <w:marTop w:val="0"/>
                  <w:marBottom w:val="0"/>
                  <w:divBdr>
                    <w:top w:val="none" w:sz="0" w:space="0" w:color="auto"/>
                    <w:left w:val="none" w:sz="0" w:space="0" w:color="auto"/>
                    <w:bottom w:val="none" w:sz="0" w:space="0" w:color="auto"/>
                    <w:right w:val="none" w:sz="0" w:space="0" w:color="auto"/>
                  </w:divBdr>
                  <w:divsChild>
                    <w:div w:id="1431703468">
                      <w:marLeft w:val="0"/>
                      <w:marRight w:val="0"/>
                      <w:marTop w:val="0"/>
                      <w:marBottom w:val="0"/>
                      <w:divBdr>
                        <w:top w:val="none" w:sz="0" w:space="0" w:color="auto"/>
                        <w:left w:val="none" w:sz="0" w:space="0" w:color="auto"/>
                        <w:bottom w:val="none" w:sz="0" w:space="0" w:color="auto"/>
                        <w:right w:val="none" w:sz="0" w:space="0" w:color="auto"/>
                      </w:divBdr>
                      <w:divsChild>
                        <w:div w:id="637954211">
                          <w:marLeft w:val="0"/>
                          <w:marRight w:val="0"/>
                          <w:marTop w:val="0"/>
                          <w:marBottom w:val="0"/>
                          <w:divBdr>
                            <w:top w:val="none" w:sz="0" w:space="0" w:color="auto"/>
                            <w:left w:val="none" w:sz="0" w:space="0" w:color="auto"/>
                            <w:bottom w:val="none" w:sz="0" w:space="0" w:color="auto"/>
                            <w:right w:val="none" w:sz="0" w:space="0" w:color="auto"/>
                          </w:divBdr>
                          <w:divsChild>
                            <w:div w:id="808595770">
                              <w:marLeft w:val="570"/>
                              <w:marRight w:val="720"/>
                              <w:marTop w:val="120"/>
                              <w:marBottom w:val="120"/>
                              <w:divBdr>
                                <w:top w:val="none" w:sz="0" w:space="0" w:color="auto"/>
                                <w:left w:val="none" w:sz="0" w:space="0" w:color="auto"/>
                                <w:bottom w:val="none" w:sz="0" w:space="0" w:color="auto"/>
                                <w:right w:val="none" w:sz="0" w:space="0" w:color="auto"/>
                              </w:divBdr>
                              <w:divsChild>
                                <w:div w:id="279533775">
                                  <w:marLeft w:val="0"/>
                                  <w:marRight w:val="0"/>
                                  <w:marTop w:val="0"/>
                                  <w:marBottom w:val="0"/>
                                  <w:divBdr>
                                    <w:top w:val="none" w:sz="0" w:space="0" w:color="auto"/>
                                    <w:left w:val="none" w:sz="0" w:space="0" w:color="auto"/>
                                    <w:bottom w:val="none" w:sz="0" w:space="0" w:color="auto"/>
                                    <w:right w:val="none" w:sz="0" w:space="0" w:color="auto"/>
                                  </w:divBdr>
                                  <w:divsChild>
                                    <w:div w:id="357126270">
                                      <w:marLeft w:val="0"/>
                                      <w:marRight w:val="0"/>
                                      <w:marTop w:val="0"/>
                                      <w:marBottom w:val="0"/>
                                      <w:divBdr>
                                        <w:top w:val="none" w:sz="0" w:space="0" w:color="auto"/>
                                        <w:left w:val="none" w:sz="0" w:space="0" w:color="auto"/>
                                        <w:bottom w:val="none" w:sz="0" w:space="0" w:color="auto"/>
                                        <w:right w:val="none" w:sz="0" w:space="0" w:color="auto"/>
                                      </w:divBdr>
                                      <w:divsChild>
                                        <w:div w:id="580991373">
                                          <w:marLeft w:val="0"/>
                                          <w:marRight w:val="0"/>
                                          <w:marTop w:val="0"/>
                                          <w:marBottom w:val="0"/>
                                          <w:divBdr>
                                            <w:top w:val="none" w:sz="0" w:space="0" w:color="auto"/>
                                            <w:left w:val="none" w:sz="0" w:space="0" w:color="auto"/>
                                            <w:bottom w:val="none" w:sz="0" w:space="0" w:color="auto"/>
                                            <w:right w:val="none" w:sz="0" w:space="0" w:color="auto"/>
                                          </w:divBdr>
                                        </w:div>
                                        <w:div w:id="1843426449">
                                          <w:marLeft w:val="0"/>
                                          <w:marRight w:val="0"/>
                                          <w:marTop w:val="0"/>
                                          <w:marBottom w:val="150"/>
                                          <w:divBdr>
                                            <w:top w:val="none" w:sz="0" w:space="0" w:color="auto"/>
                                            <w:left w:val="none" w:sz="0" w:space="0" w:color="auto"/>
                                            <w:bottom w:val="none" w:sz="0" w:space="0" w:color="auto"/>
                                            <w:right w:val="none" w:sz="0" w:space="0" w:color="auto"/>
                                          </w:divBdr>
                                          <w:divsChild>
                                            <w:div w:id="1899974879">
                                              <w:marLeft w:val="0"/>
                                              <w:marRight w:val="0"/>
                                              <w:marTop w:val="240"/>
                                              <w:marBottom w:val="240"/>
                                              <w:divBdr>
                                                <w:top w:val="single" w:sz="6" w:space="6" w:color="F2F2F2"/>
                                                <w:left w:val="none" w:sz="0" w:space="0" w:color="auto"/>
                                                <w:bottom w:val="single" w:sz="6" w:space="6" w:color="F2F2F2"/>
                                                <w:right w:val="none" w:sz="0" w:space="0" w:color="auto"/>
                                              </w:divBdr>
                                            </w:div>
                                            <w:div w:id="811605994">
                                              <w:marLeft w:val="0"/>
                                              <w:marRight w:val="0"/>
                                              <w:marTop w:val="0"/>
                                              <w:marBottom w:val="0"/>
                                              <w:divBdr>
                                                <w:top w:val="none" w:sz="0" w:space="0" w:color="auto"/>
                                                <w:left w:val="none" w:sz="0" w:space="0" w:color="auto"/>
                                                <w:bottom w:val="none" w:sz="0" w:space="0" w:color="auto"/>
                                                <w:right w:val="none" w:sz="0" w:space="0" w:color="auto"/>
                                              </w:divBdr>
                                              <w:divsChild>
                                                <w:div w:id="283731635">
                                                  <w:marLeft w:val="0"/>
                                                  <w:marRight w:val="0"/>
                                                  <w:marTop w:val="0"/>
                                                  <w:marBottom w:val="240"/>
                                                  <w:divBdr>
                                                    <w:top w:val="none" w:sz="0" w:space="0" w:color="auto"/>
                                                    <w:left w:val="none" w:sz="0" w:space="0" w:color="auto"/>
                                                    <w:bottom w:val="none" w:sz="0" w:space="0" w:color="auto"/>
                                                    <w:right w:val="none" w:sz="0" w:space="0" w:color="auto"/>
                                                  </w:divBdr>
                                                </w:div>
                                                <w:div w:id="21458257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662372">
      <w:bodyDiv w:val="1"/>
      <w:marLeft w:val="0"/>
      <w:marRight w:val="0"/>
      <w:marTop w:val="0"/>
      <w:marBottom w:val="0"/>
      <w:divBdr>
        <w:top w:val="none" w:sz="0" w:space="0" w:color="auto"/>
        <w:left w:val="none" w:sz="0" w:space="0" w:color="auto"/>
        <w:bottom w:val="none" w:sz="0" w:space="0" w:color="auto"/>
        <w:right w:val="none" w:sz="0" w:space="0" w:color="auto"/>
      </w:divBdr>
      <w:divsChild>
        <w:div w:id="1473399568">
          <w:marLeft w:val="0"/>
          <w:marRight w:val="0"/>
          <w:marTop w:val="0"/>
          <w:marBottom w:val="0"/>
          <w:divBdr>
            <w:top w:val="none" w:sz="0" w:space="0" w:color="auto"/>
            <w:left w:val="none" w:sz="0" w:space="0" w:color="auto"/>
            <w:bottom w:val="none" w:sz="0" w:space="0" w:color="auto"/>
            <w:right w:val="none" w:sz="0" w:space="0" w:color="auto"/>
          </w:divBdr>
          <w:divsChild>
            <w:div w:id="1334181984">
              <w:marLeft w:val="0"/>
              <w:marRight w:val="0"/>
              <w:marTop w:val="0"/>
              <w:marBottom w:val="0"/>
              <w:divBdr>
                <w:top w:val="none" w:sz="0" w:space="0" w:color="auto"/>
                <w:left w:val="none" w:sz="0" w:space="0" w:color="auto"/>
                <w:bottom w:val="none" w:sz="0" w:space="0" w:color="auto"/>
                <w:right w:val="none" w:sz="0" w:space="0" w:color="auto"/>
              </w:divBdr>
              <w:divsChild>
                <w:div w:id="656960228">
                  <w:marLeft w:val="0"/>
                  <w:marRight w:val="0"/>
                  <w:marTop w:val="0"/>
                  <w:marBottom w:val="0"/>
                  <w:divBdr>
                    <w:top w:val="none" w:sz="0" w:space="0" w:color="auto"/>
                    <w:left w:val="none" w:sz="0" w:space="0" w:color="auto"/>
                    <w:bottom w:val="none" w:sz="0" w:space="0" w:color="auto"/>
                    <w:right w:val="none" w:sz="0" w:space="0" w:color="auto"/>
                  </w:divBdr>
                  <w:divsChild>
                    <w:div w:id="378405452">
                      <w:marLeft w:val="0"/>
                      <w:marRight w:val="0"/>
                      <w:marTop w:val="300"/>
                      <w:marBottom w:val="600"/>
                      <w:divBdr>
                        <w:top w:val="none" w:sz="0" w:space="0" w:color="auto"/>
                        <w:left w:val="none" w:sz="0" w:space="0" w:color="auto"/>
                        <w:bottom w:val="none" w:sz="0" w:space="0" w:color="auto"/>
                        <w:right w:val="none" w:sz="0" w:space="0" w:color="auto"/>
                      </w:divBdr>
                      <w:divsChild>
                        <w:div w:id="1464613085">
                          <w:marLeft w:val="0"/>
                          <w:marRight w:val="0"/>
                          <w:marTop w:val="0"/>
                          <w:marBottom w:val="0"/>
                          <w:divBdr>
                            <w:top w:val="none" w:sz="0" w:space="0" w:color="auto"/>
                            <w:left w:val="none" w:sz="0" w:space="0" w:color="auto"/>
                            <w:bottom w:val="none" w:sz="0" w:space="0" w:color="auto"/>
                            <w:right w:val="none" w:sz="0" w:space="0" w:color="auto"/>
                          </w:divBdr>
                          <w:divsChild>
                            <w:div w:id="2130930684">
                              <w:marLeft w:val="0"/>
                              <w:marRight w:val="0"/>
                              <w:marTop w:val="0"/>
                              <w:marBottom w:val="0"/>
                              <w:divBdr>
                                <w:top w:val="none" w:sz="0" w:space="0" w:color="auto"/>
                                <w:left w:val="none" w:sz="0" w:space="0" w:color="auto"/>
                                <w:bottom w:val="none" w:sz="0" w:space="0" w:color="auto"/>
                                <w:right w:val="none" w:sz="0" w:space="0" w:color="auto"/>
                              </w:divBdr>
                              <w:divsChild>
                                <w:div w:id="499538396">
                                  <w:marLeft w:val="0"/>
                                  <w:marRight w:val="0"/>
                                  <w:marTop w:val="0"/>
                                  <w:marBottom w:val="0"/>
                                  <w:divBdr>
                                    <w:top w:val="none" w:sz="0" w:space="0" w:color="auto"/>
                                    <w:left w:val="none" w:sz="0" w:space="0" w:color="auto"/>
                                    <w:bottom w:val="none" w:sz="0" w:space="0" w:color="auto"/>
                                    <w:right w:val="none" w:sz="0" w:space="0" w:color="auto"/>
                                  </w:divBdr>
                                  <w:divsChild>
                                    <w:div w:id="254440400">
                                      <w:marLeft w:val="0"/>
                                      <w:marRight w:val="0"/>
                                      <w:marTop w:val="150"/>
                                      <w:marBottom w:val="0"/>
                                      <w:divBdr>
                                        <w:top w:val="none" w:sz="0" w:space="0" w:color="auto"/>
                                        <w:left w:val="none" w:sz="0" w:space="0" w:color="auto"/>
                                        <w:bottom w:val="none" w:sz="0" w:space="0" w:color="auto"/>
                                        <w:right w:val="none" w:sz="0" w:space="0" w:color="auto"/>
                                      </w:divBdr>
                                      <w:divsChild>
                                        <w:div w:id="360858709">
                                          <w:marLeft w:val="0"/>
                                          <w:marRight w:val="0"/>
                                          <w:marTop w:val="0"/>
                                          <w:marBottom w:val="0"/>
                                          <w:divBdr>
                                            <w:top w:val="none" w:sz="0" w:space="0" w:color="auto"/>
                                            <w:left w:val="none" w:sz="0" w:space="0" w:color="auto"/>
                                            <w:bottom w:val="none" w:sz="0" w:space="0" w:color="auto"/>
                                            <w:right w:val="none" w:sz="0" w:space="0" w:color="auto"/>
                                          </w:divBdr>
                                          <w:divsChild>
                                            <w:div w:id="1609387751">
                                              <w:marLeft w:val="0"/>
                                              <w:marRight w:val="0"/>
                                              <w:marTop w:val="0"/>
                                              <w:marBottom w:val="0"/>
                                              <w:divBdr>
                                                <w:top w:val="none" w:sz="0" w:space="0" w:color="auto"/>
                                                <w:left w:val="none" w:sz="0" w:space="0" w:color="auto"/>
                                                <w:bottom w:val="none" w:sz="0" w:space="0" w:color="auto"/>
                                                <w:right w:val="none" w:sz="0" w:space="0" w:color="auto"/>
                                              </w:divBdr>
                                              <w:divsChild>
                                                <w:div w:id="17128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740828">
      <w:bodyDiv w:val="1"/>
      <w:marLeft w:val="0"/>
      <w:marRight w:val="0"/>
      <w:marTop w:val="0"/>
      <w:marBottom w:val="0"/>
      <w:divBdr>
        <w:top w:val="none" w:sz="0" w:space="0" w:color="auto"/>
        <w:left w:val="none" w:sz="0" w:space="0" w:color="auto"/>
        <w:bottom w:val="none" w:sz="0" w:space="0" w:color="auto"/>
        <w:right w:val="none" w:sz="0" w:space="0" w:color="auto"/>
      </w:divBdr>
      <w:divsChild>
        <w:div w:id="995766844">
          <w:marLeft w:val="0"/>
          <w:marRight w:val="0"/>
          <w:marTop w:val="0"/>
          <w:marBottom w:val="0"/>
          <w:divBdr>
            <w:top w:val="single" w:sz="4" w:space="0" w:color="0E477A"/>
            <w:left w:val="single" w:sz="4" w:space="0" w:color="0E477A"/>
            <w:bottom w:val="single" w:sz="4" w:space="0" w:color="0E477A"/>
            <w:right w:val="single" w:sz="4" w:space="0" w:color="0E477A"/>
          </w:divBdr>
          <w:divsChild>
            <w:div w:id="1615670033">
              <w:marLeft w:val="2442"/>
              <w:marRight w:val="0"/>
              <w:marTop w:val="0"/>
              <w:marBottom w:val="0"/>
              <w:divBdr>
                <w:top w:val="none" w:sz="0" w:space="0" w:color="auto"/>
                <w:left w:val="none" w:sz="0" w:space="0" w:color="auto"/>
                <w:bottom w:val="none" w:sz="0" w:space="0" w:color="auto"/>
                <w:right w:val="none" w:sz="0" w:space="0" w:color="auto"/>
              </w:divBdr>
              <w:divsChild>
                <w:div w:id="663319079">
                  <w:marLeft w:val="0"/>
                  <w:marRight w:val="0"/>
                  <w:marTop w:val="0"/>
                  <w:marBottom w:val="0"/>
                  <w:divBdr>
                    <w:top w:val="none" w:sz="0" w:space="0" w:color="auto"/>
                    <w:left w:val="none" w:sz="0" w:space="0" w:color="auto"/>
                    <w:bottom w:val="none" w:sz="0" w:space="0" w:color="auto"/>
                    <w:right w:val="none" w:sz="0" w:space="0" w:color="auto"/>
                  </w:divBdr>
                  <w:divsChild>
                    <w:div w:id="1601639887">
                      <w:marLeft w:val="0"/>
                      <w:marRight w:val="125"/>
                      <w:marTop w:val="0"/>
                      <w:marBottom w:val="0"/>
                      <w:divBdr>
                        <w:top w:val="single" w:sz="4" w:space="0" w:color="CCCCCC"/>
                        <w:left w:val="single" w:sz="4" w:space="6" w:color="CCCCCC"/>
                        <w:bottom w:val="single" w:sz="4" w:space="6" w:color="CCCCCC"/>
                        <w:right w:val="single" w:sz="4" w:space="6" w:color="CCCCCC"/>
                      </w:divBdr>
                      <w:divsChild>
                        <w:div w:id="1457600180">
                          <w:marLeft w:val="0"/>
                          <w:marRight w:val="0"/>
                          <w:marTop w:val="0"/>
                          <w:marBottom w:val="0"/>
                          <w:divBdr>
                            <w:top w:val="none" w:sz="0" w:space="0" w:color="auto"/>
                            <w:left w:val="none" w:sz="0" w:space="0" w:color="auto"/>
                            <w:bottom w:val="none" w:sz="0" w:space="0" w:color="auto"/>
                            <w:right w:val="none" w:sz="0" w:space="0" w:color="auto"/>
                          </w:divBdr>
                        </w:div>
                        <w:div w:id="582418585">
                          <w:marLeft w:val="0"/>
                          <w:marRight w:val="0"/>
                          <w:marTop w:val="0"/>
                          <w:marBottom w:val="0"/>
                          <w:divBdr>
                            <w:top w:val="none" w:sz="0" w:space="0" w:color="auto"/>
                            <w:left w:val="none" w:sz="0" w:space="0" w:color="auto"/>
                            <w:bottom w:val="none" w:sz="0" w:space="0" w:color="auto"/>
                            <w:right w:val="none" w:sz="0" w:space="0" w:color="auto"/>
                          </w:divBdr>
                        </w:div>
                        <w:div w:id="2097507311">
                          <w:marLeft w:val="0"/>
                          <w:marRight w:val="0"/>
                          <w:marTop w:val="0"/>
                          <w:marBottom w:val="0"/>
                          <w:divBdr>
                            <w:top w:val="none" w:sz="0" w:space="0" w:color="auto"/>
                            <w:left w:val="none" w:sz="0" w:space="0" w:color="auto"/>
                            <w:bottom w:val="none" w:sz="0" w:space="0" w:color="auto"/>
                            <w:right w:val="none" w:sz="0" w:space="0" w:color="auto"/>
                          </w:divBdr>
                        </w:div>
                        <w:div w:id="1622497738">
                          <w:marLeft w:val="0"/>
                          <w:marRight w:val="0"/>
                          <w:marTop w:val="0"/>
                          <w:marBottom w:val="0"/>
                          <w:divBdr>
                            <w:top w:val="none" w:sz="0" w:space="0" w:color="auto"/>
                            <w:left w:val="none" w:sz="0" w:space="0" w:color="auto"/>
                            <w:bottom w:val="none" w:sz="0" w:space="0" w:color="auto"/>
                            <w:right w:val="none" w:sz="0" w:space="0" w:color="auto"/>
                          </w:divBdr>
                        </w:div>
                        <w:div w:id="858857676">
                          <w:marLeft w:val="0"/>
                          <w:marRight w:val="0"/>
                          <w:marTop w:val="0"/>
                          <w:marBottom w:val="0"/>
                          <w:divBdr>
                            <w:top w:val="none" w:sz="0" w:space="0" w:color="auto"/>
                            <w:left w:val="none" w:sz="0" w:space="0" w:color="auto"/>
                            <w:bottom w:val="none" w:sz="0" w:space="0" w:color="auto"/>
                            <w:right w:val="none" w:sz="0" w:space="0" w:color="auto"/>
                          </w:divBdr>
                        </w:div>
                        <w:div w:id="945045089">
                          <w:marLeft w:val="0"/>
                          <w:marRight w:val="0"/>
                          <w:marTop w:val="0"/>
                          <w:marBottom w:val="0"/>
                          <w:divBdr>
                            <w:top w:val="none" w:sz="0" w:space="0" w:color="auto"/>
                            <w:left w:val="none" w:sz="0" w:space="0" w:color="auto"/>
                            <w:bottom w:val="none" w:sz="0" w:space="0" w:color="auto"/>
                            <w:right w:val="none" w:sz="0" w:space="0" w:color="auto"/>
                          </w:divBdr>
                        </w:div>
                        <w:div w:id="448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95584">
      <w:bodyDiv w:val="1"/>
      <w:marLeft w:val="0"/>
      <w:marRight w:val="0"/>
      <w:marTop w:val="0"/>
      <w:marBottom w:val="0"/>
      <w:divBdr>
        <w:top w:val="none" w:sz="0" w:space="0" w:color="auto"/>
        <w:left w:val="none" w:sz="0" w:space="0" w:color="auto"/>
        <w:bottom w:val="none" w:sz="0" w:space="0" w:color="auto"/>
        <w:right w:val="none" w:sz="0" w:space="0" w:color="auto"/>
      </w:divBdr>
      <w:divsChild>
        <w:div w:id="1246645305">
          <w:marLeft w:val="0"/>
          <w:marRight w:val="0"/>
          <w:marTop w:val="0"/>
          <w:marBottom w:val="0"/>
          <w:divBdr>
            <w:top w:val="none" w:sz="0" w:space="0" w:color="auto"/>
            <w:left w:val="none" w:sz="0" w:space="0" w:color="auto"/>
            <w:bottom w:val="none" w:sz="0" w:space="0" w:color="auto"/>
            <w:right w:val="none" w:sz="0" w:space="0" w:color="auto"/>
          </w:divBdr>
          <w:divsChild>
            <w:div w:id="89862933">
              <w:marLeft w:val="2"/>
              <w:marRight w:val="2"/>
              <w:marTop w:val="0"/>
              <w:marBottom w:val="0"/>
              <w:divBdr>
                <w:top w:val="none" w:sz="0" w:space="0" w:color="auto"/>
                <w:left w:val="none" w:sz="0" w:space="0" w:color="auto"/>
                <w:bottom w:val="none" w:sz="0" w:space="0" w:color="auto"/>
                <w:right w:val="none" w:sz="0" w:space="0" w:color="auto"/>
              </w:divBdr>
              <w:divsChild>
                <w:div w:id="1160149518">
                  <w:marLeft w:val="0"/>
                  <w:marRight w:val="0"/>
                  <w:marTop w:val="0"/>
                  <w:marBottom w:val="0"/>
                  <w:divBdr>
                    <w:top w:val="none" w:sz="0" w:space="0" w:color="auto"/>
                    <w:left w:val="none" w:sz="0" w:space="0" w:color="auto"/>
                    <w:bottom w:val="none" w:sz="0" w:space="0" w:color="auto"/>
                    <w:right w:val="none" w:sz="0" w:space="0" w:color="auto"/>
                  </w:divBdr>
                  <w:divsChild>
                    <w:div w:id="335308565">
                      <w:marLeft w:val="0"/>
                      <w:marRight w:val="0"/>
                      <w:marTop w:val="0"/>
                      <w:marBottom w:val="0"/>
                      <w:divBdr>
                        <w:top w:val="none" w:sz="0" w:space="0" w:color="auto"/>
                        <w:left w:val="none" w:sz="0" w:space="0" w:color="auto"/>
                        <w:bottom w:val="none" w:sz="0" w:space="0" w:color="auto"/>
                        <w:right w:val="none" w:sz="0" w:space="0" w:color="auto"/>
                      </w:divBdr>
                      <w:divsChild>
                        <w:div w:id="1271818074">
                          <w:marLeft w:val="0"/>
                          <w:marRight w:val="0"/>
                          <w:marTop w:val="0"/>
                          <w:marBottom w:val="0"/>
                          <w:divBdr>
                            <w:top w:val="none" w:sz="0" w:space="0" w:color="auto"/>
                            <w:left w:val="none" w:sz="0" w:space="0" w:color="auto"/>
                            <w:bottom w:val="none" w:sz="0" w:space="0" w:color="auto"/>
                            <w:right w:val="none" w:sz="0" w:space="0" w:color="auto"/>
                          </w:divBdr>
                          <w:divsChild>
                            <w:div w:id="302275138">
                              <w:marLeft w:val="0"/>
                              <w:marRight w:val="0"/>
                              <w:marTop w:val="0"/>
                              <w:marBottom w:val="0"/>
                              <w:divBdr>
                                <w:top w:val="none" w:sz="0" w:space="0" w:color="auto"/>
                                <w:left w:val="none" w:sz="0" w:space="0" w:color="auto"/>
                                <w:bottom w:val="none" w:sz="0" w:space="0" w:color="auto"/>
                                <w:right w:val="none" w:sz="0" w:space="0" w:color="auto"/>
                              </w:divBdr>
                              <w:divsChild>
                                <w:div w:id="1944612592">
                                  <w:marLeft w:val="0"/>
                                  <w:marRight w:val="0"/>
                                  <w:marTop w:val="0"/>
                                  <w:marBottom w:val="0"/>
                                  <w:divBdr>
                                    <w:top w:val="none" w:sz="0" w:space="0" w:color="auto"/>
                                    <w:left w:val="none" w:sz="0" w:space="0" w:color="auto"/>
                                    <w:bottom w:val="none" w:sz="0" w:space="0" w:color="auto"/>
                                    <w:right w:val="none" w:sz="0" w:space="0" w:color="auto"/>
                                  </w:divBdr>
                                  <w:divsChild>
                                    <w:div w:id="766536057">
                                      <w:marLeft w:val="0"/>
                                      <w:marRight w:val="0"/>
                                      <w:marTop w:val="0"/>
                                      <w:marBottom w:val="0"/>
                                      <w:divBdr>
                                        <w:top w:val="none" w:sz="0" w:space="0" w:color="auto"/>
                                        <w:left w:val="none" w:sz="0" w:space="0" w:color="auto"/>
                                        <w:bottom w:val="none" w:sz="0" w:space="0" w:color="auto"/>
                                        <w:right w:val="none" w:sz="0" w:space="0" w:color="auto"/>
                                      </w:divBdr>
                                      <w:divsChild>
                                        <w:div w:id="1852403854">
                                          <w:marLeft w:val="0"/>
                                          <w:marRight w:val="0"/>
                                          <w:marTop w:val="0"/>
                                          <w:marBottom w:val="0"/>
                                          <w:divBdr>
                                            <w:top w:val="none" w:sz="0" w:space="0" w:color="auto"/>
                                            <w:left w:val="none" w:sz="0" w:space="0" w:color="auto"/>
                                            <w:bottom w:val="none" w:sz="0" w:space="0" w:color="auto"/>
                                            <w:right w:val="none" w:sz="0" w:space="0" w:color="auto"/>
                                          </w:divBdr>
                                          <w:divsChild>
                                            <w:div w:id="788165629">
                                              <w:marLeft w:val="0"/>
                                              <w:marRight w:val="0"/>
                                              <w:marTop w:val="0"/>
                                              <w:marBottom w:val="0"/>
                                              <w:divBdr>
                                                <w:top w:val="none" w:sz="0" w:space="0" w:color="auto"/>
                                                <w:left w:val="none" w:sz="0" w:space="0" w:color="auto"/>
                                                <w:bottom w:val="none" w:sz="0" w:space="0" w:color="auto"/>
                                                <w:right w:val="none" w:sz="0" w:space="0" w:color="auto"/>
                                              </w:divBdr>
                                            </w:div>
                                          </w:divsChild>
                                        </w:div>
                                        <w:div w:id="412631771">
                                          <w:marLeft w:val="0"/>
                                          <w:marRight w:val="0"/>
                                          <w:marTop w:val="0"/>
                                          <w:marBottom w:val="0"/>
                                          <w:divBdr>
                                            <w:top w:val="none" w:sz="0" w:space="0" w:color="auto"/>
                                            <w:left w:val="none" w:sz="0" w:space="0" w:color="auto"/>
                                            <w:bottom w:val="none" w:sz="0" w:space="0" w:color="auto"/>
                                            <w:right w:val="none" w:sz="0" w:space="0" w:color="auto"/>
                                          </w:divBdr>
                                          <w:divsChild>
                                            <w:div w:id="534268003">
                                              <w:marLeft w:val="0"/>
                                              <w:marRight w:val="0"/>
                                              <w:marTop w:val="0"/>
                                              <w:marBottom w:val="0"/>
                                              <w:divBdr>
                                                <w:top w:val="none" w:sz="0" w:space="0" w:color="auto"/>
                                                <w:left w:val="none" w:sz="0" w:space="0" w:color="auto"/>
                                                <w:bottom w:val="none" w:sz="0" w:space="0" w:color="auto"/>
                                                <w:right w:val="none" w:sz="0" w:space="0" w:color="auto"/>
                                              </w:divBdr>
                                            </w:div>
                                          </w:divsChild>
                                        </w:div>
                                        <w:div w:id="1330594571">
                                          <w:marLeft w:val="0"/>
                                          <w:marRight w:val="0"/>
                                          <w:marTop w:val="0"/>
                                          <w:marBottom w:val="0"/>
                                          <w:divBdr>
                                            <w:top w:val="none" w:sz="0" w:space="0" w:color="auto"/>
                                            <w:left w:val="none" w:sz="0" w:space="0" w:color="auto"/>
                                            <w:bottom w:val="none" w:sz="0" w:space="0" w:color="auto"/>
                                            <w:right w:val="none" w:sz="0" w:space="0" w:color="auto"/>
                                          </w:divBdr>
                                          <w:divsChild>
                                            <w:div w:id="1605191587">
                                              <w:marLeft w:val="0"/>
                                              <w:marRight w:val="0"/>
                                              <w:marTop w:val="0"/>
                                              <w:marBottom w:val="0"/>
                                              <w:divBdr>
                                                <w:top w:val="none" w:sz="0" w:space="0" w:color="auto"/>
                                                <w:left w:val="none" w:sz="0" w:space="0" w:color="auto"/>
                                                <w:bottom w:val="none" w:sz="0" w:space="0" w:color="auto"/>
                                                <w:right w:val="none" w:sz="0" w:space="0" w:color="auto"/>
                                              </w:divBdr>
                                            </w:div>
                                          </w:divsChild>
                                        </w:div>
                                        <w:div w:id="30614373">
                                          <w:marLeft w:val="0"/>
                                          <w:marRight w:val="0"/>
                                          <w:marTop w:val="0"/>
                                          <w:marBottom w:val="0"/>
                                          <w:divBdr>
                                            <w:top w:val="none" w:sz="0" w:space="0" w:color="auto"/>
                                            <w:left w:val="none" w:sz="0" w:space="0" w:color="auto"/>
                                            <w:bottom w:val="none" w:sz="0" w:space="0" w:color="auto"/>
                                            <w:right w:val="none" w:sz="0" w:space="0" w:color="auto"/>
                                          </w:divBdr>
                                          <w:divsChild>
                                            <w:div w:id="279999793">
                                              <w:marLeft w:val="0"/>
                                              <w:marRight w:val="0"/>
                                              <w:marTop w:val="0"/>
                                              <w:marBottom w:val="0"/>
                                              <w:divBdr>
                                                <w:top w:val="none" w:sz="0" w:space="0" w:color="auto"/>
                                                <w:left w:val="none" w:sz="0" w:space="0" w:color="auto"/>
                                                <w:bottom w:val="none" w:sz="0" w:space="0" w:color="auto"/>
                                                <w:right w:val="none" w:sz="0" w:space="0" w:color="auto"/>
                                              </w:divBdr>
                                            </w:div>
                                          </w:divsChild>
                                        </w:div>
                                        <w:div w:id="1268461749">
                                          <w:marLeft w:val="0"/>
                                          <w:marRight w:val="0"/>
                                          <w:marTop w:val="0"/>
                                          <w:marBottom w:val="0"/>
                                          <w:divBdr>
                                            <w:top w:val="none" w:sz="0" w:space="0" w:color="auto"/>
                                            <w:left w:val="none" w:sz="0" w:space="0" w:color="auto"/>
                                            <w:bottom w:val="none" w:sz="0" w:space="0" w:color="auto"/>
                                            <w:right w:val="none" w:sz="0" w:space="0" w:color="auto"/>
                                          </w:divBdr>
                                          <w:divsChild>
                                            <w:div w:id="18183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1875">
                                      <w:marLeft w:val="0"/>
                                      <w:marRight w:val="0"/>
                                      <w:marTop w:val="0"/>
                                      <w:marBottom w:val="0"/>
                                      <w:divBdr>
                                        <w:top w:val="none" w:sz="0" w:space="0" w:color="auto"/>
                                        <w:left w:val="none" w:sz="0" w:space="0" w:color="auto"/>
                                        <w:bottom w:val="none" w:sz="0" w:space="0" w:color="auto"/>
                                        <w:right w:val="none" w:sz="0" w:space="0" w:color="auto"/>
                                      </w:divBdr>
                                      <w:divsChild>
                                        <w:div w:id="852039619">
                                          <w:marLeft w:val="0"/>
                                          <w:marRight w:val="0"/>
                                          <w:marTop w:val="0"/>
                                          <w:marBottom w:val="0"/>
                                          <w:divBdr>
                                            <w:top w:val="none" w:sz="0" w:space="0" w:color="auto"/>
                                            <w:left w:val="none" w:sz="0" w:space="0" w:color="auto"/>
                                            <w:bottom w:val="none" w:sz="0" w:space="0" w:color="auto"/>
                                            <w:right w:val="none" w:sz="0" w:space="0" w:color="auto"/>
                                          </w:divBdr>
                                          <w:divsChild>
                                            <w:div w:id="2037919845">
                                              <w:marLeft w:val="0"/>
                                              <w:marRight w:val="0"/>
                                              <w:marTop w:val="0"/>
                                              <w:marBottom w:val="0"/>
                                              <w:divBdr>
                                                <w:top w:val="none" w:sz="0" w:space="0" w:color="auto"/>
                                                <w:left w:val="none" w:sz="0" w:space="0" w:color="auto"/>
                                                <w:bottom w:val="none" w:sz="0" w:space="0" w:color="auto"/>
                                                <w:right w:val="none" w:sz="0" w:space="0" w:color="auto"/>
                                              </w:divBdr>
                                            </w:div>
                                          </w:divsChild>
                                        </w:div>
                                        <w:div w:id="643046196">
                                          <w:marLeft w:val="0"/>
                                          <w:marRight w:val="0"/>
                                          <w:marTop w:val="0"/>
                                          <w:marBottom w:val="0"/>
                                          <w:divBdr>
                                            <w:top w:val="none" w:sz="0" w:space="0" w:color="auto"/>
                                            <w:left w:val="none" w:sz="0" w:space="0" w:color="auto"/>
                                            <w:bottom w:val="none" w:sz="0" w:space="0" w:color="auto"/>
                                            <w:right w:val="none" w:sz="0" w:space="0" w:color="auto"/>
                                          </w:divBdr>
                                          <w:divsChild>
                                            <w:div w:id="804202720">
                                              <w:marLeft w:val="0"/>
                                              <w:marRight w:val="0"/>
                                              <w:marTop w:val="0"/>
                                              <w:marBottom w:val="0"/>
                                              <w:divBdr>
                                                <w:top w:val="none" w:sz="0" w:space="0" w:color="auto"/>
                                                <w:left w:val="none" w:sz="0" w:space="0" w:color="auto"/>
                                                <w:bottom w:val="none" w:sz="0" w:space="0" w:color="auto"/>
                                                <w:right w:val="none" w:sz="0" w:space="0" w:color="auto"/>
                                              </w:divBdr>
                                            </w:div>
                                          </w:divsChild>
                                        </w:div>
                                        <w:div w:id="118958515">
                                          <w:marLeft w:val="0"/>
                                          <w:marRight w:val="0"/>
                                          <w:marTop w:val="0"/>
                                          <w:marBottom w:val="0"/>
                                          <w:divBdr>
                                            <w:top w:val="none" w:sz="0" w:space="0" w:color="auto"/>
                                            <w:left w:val="none" w:sz="0" w:space="0" w:color="auto"/>
                                            <w:bottom w:val="none" w:sz="0" w:space="0" w:color="auto"/>
                                            <w:right w:val="none" w:sz="0" w:space="0" w:color="auto"/>
                                          </w:divBdr>
                                          <w:divsChild>
                                            <w:div w:id="879518170">
                                              <w:marLeft w:val="0"/>
                                              <w:marRight w:val="0"/>
                                              <w:marTop w:val="0"/>
                                              <w:marBottom w:val="0"/>
                                              <w:divBdr>
                                                <w:top w:val="none" w:sz="0" w:space="0" w:color="auto"/>
                                                <w:left w:val="none" w:sz="0" w:space="0" w:color="auto"/>
                                                <w:bottom w:val="none" w:sz="0" w:space="0" w:color="auto"/>
                                                <w:right w:val="none" w:sz="0" w:space="0" w:color="auto"/>
                                              </w:divBdr>
                                            </w:div>
                                          </w:divsChild>
                                        </w:div>
                                        <w:div w:id="1201555804">
                                          <w:marLeft w:val="0"/>
                                          <w:marRight w:val="0"/>
                                          <w:marTop w:val="0"/>
                                          <w:marBottom w:val="0"/>
                                          <w:divBdr>
                                            <w:top w:val="none" w:sz="0" w:space="0" w:color="auto"/>
                                            <w:left w:val="none" w:sz="0" w:space="0" w:color="auto"/>
                                            <w:bottom w:val="none" w:sz="0" w:space="0" w:color="auto"/>
                                            <w:right w:val="none" w:sz="0" w:space="0" w:color="auto"/>
                                          </w:divBdr>
                                          <w:divsChild>
                                            <w:div w:id="1043333218">
                                              <w:marLeft w:val="0"/>
                                              <w:marRight w:val="0"/>
                                              <w:marTop w:val="0"/>
                                              <w:marBottom w:val="0"/>
                                              <w:divBdr>
                                                <w:top w:val="none" w:sz="0" w:space="0" w:color="auto"/>
                                                <w:left w:val="none" w:sz="0" w:space="0" w:color="auto"/>
                                                <w:bottom w:val="none" w:sz="0" w:space="0" w:color="auto"/>
                                                <w:right w:val="none" w:sz="0" w:space="0" w:color="auto"/>
                                              </w:divBdr>
                                            </w:div>
                                          </w:divsChild>
                                        </w:div>
                                        <w:div w:id="1900360154">
                                          <w:marLeft w:val="0"/>
                                          <w:marRight w:val="0"/>
                                          <w:marTop w:val="0"/>
                                          <w:marBottom w:val="0"/>
                                          <w:divBdr>
                                            <w:top w:val="none" w:sz="0" w:space="0" w:color="auto"/>
                                            <w:left w:val="none" w:sz="0" w:space="0" w:color="auto"/>
                                            <w:bottom w:val="none" w:sz="0" w:space="0" w:color="auto"/>
                                            <w:right w:val="none" w:sz="0" w:space="0" w:color="auto"/>
                                          </w:divBdr>
                                          <w:divsChild>
                                            <w:div w:id="16315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160880">
      <w:bodyDiv w:val="1"/>
      <w:marLeft w:val="0"/>
      <w:marRight w:val="0"/>
      <w:marTop w:val="0"/>
      <w:marBottom w:val="0"/>
      <w:divBdr>
        <w:top w:val="none" w:sz="0" w:space="0" w:color="auto"/>
        <w:left w:val="none" w:sz="0" w:space="0" w:color="auto"/>
        <w:bottom w:val="none" w:sz="0" w:space="0" w:color="auto"/>
        <w:right w:val="none" w:sz="0" w:space="0" w:color="auto"/>
      </w:divBdr>
      <w:divsChild>
        <w:div w:id="558132597">
          <w:marLeft w:val="0"/>
          <w:marRight w:val="0"/>
          <w:marTop w:val="0"/>
          <w:marBottom w:val="0"/>
          <w:divBdr>
            <w:top w:val="none" w:sz="0" w:space="0" w:color="auto"/>
            <w:left w:val="none" w:sz="0" w:space="0" w:color="auto"/>
            <w:bottom w:val="none" w:sz="0" w:space="0" w:color="auto"/>
            <w:right w:val="none" w:sz="0" w:space="0" w:color="auto"/>
          </w:divBdr>
          <w:divsChild>
            <w:div w:id="131484104">
              <w:marLeft w:val="0"/>
              <w:marRight w:val="0"/>
              <w:marTop w:val="0"/>
              <w:marBottom w:val="0"/>
              <w:divBdr>
                <w:top w:val="none" w:sz="0" w:space="0" w:color="auto"/>
                <w:left w:val="none" w:sz="0" w:space="0" w:color="auto"/>
                <w:bottom w:val="none" w:sz="0" w:space="0" w:color="auto"/>
                <w:right w:val="none" w:sz="0" w:space="0" w:color="auto"/>
              </w:divBdr>
              <w:divsChild>
                <w:div w:id="338893162">
                  <w:marLeft w:val="0"/>
                  <w:marRight w:val="0"/>
                  <w:marTop w:val="0"/>
                  <w:marBottom w:val="0"/>
                  <w:divBdr>
                    <w:top w:val="none" w:sz="0" w:space="0" w:color="auto"/>
                    <w:left w:val="none" w:sz="0" w:space="0" w:color="auto"/>
                    <w:bottom w:val="none" w:sz="0" w:space="0" w:color="auto"/>
                    <w:right w:val="none" w:sz="0" w:space="0" w:color="auto"/>
                  </w:divBdr>
                  <w:divsChild>
                    <w:div w:id="22288560">
                      <w:marLeft w:val="0"/>
                      <w:marRight w:val="0"/>
                      <w:marTop w:val="0"/>
                      <w:marBottom w:val="0"/>
                      <w:divBdr>
                        <w:top w:val="none" w:sz="0" w:space="0" w:color="auto"/>
                        <w:left w:val="none" w:sz="0" w:space="0" w:color="auto"/>
                        <w:bottom w:val="none" w:sz="0" w:space="0" w:color="auto"/>
                        <w:right w:val="none" w:sz="0" w:space="0" w:color="auto"/>
                      </w:divBdr>
                      <w:divsChild>
                        <w:div w:id="20960890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2623333">
      <w:bodyDiv w:val="1"/>
      <w:marLeft w:val="0"/>
      <w:marRight w:val="0"/>
      <w:marTop w:val="0"/>
      <w:marBottom w:val="0"/>
      <w:divBdr>
        <w:top w:val="none" w:sz="0" w:space="0" w:color="auto"/>
        <w:left w:val="none" w:sz="0" w:space="0" w:color="auto"/>
        <w:bottom w:val="none" w:sz="0" w:space="0" w:color="auto"/>
        <w:right w:val="none" w:sz="0" w:space="0" w:color="auto"/>
      </w:divBdr>
    </w:div>
    <w:div w:id="1092704816">
      <w:bodyDiv w:val="1"/>
      <w:marLeft w:val="0"/>
      <w:marRight w:val="0"/>
      <w:marTop w:val="0"/>
      <w:marBottom w:val="0"/>
      <w:divBdr>
        <w:top w:val="none" w:sz="0" w:space="0" w:color="auto"/>
        <w:left w:val="none" w:sz="0" w:space="0" w:color="auto"/>
        <w:bottom w:val="none" w:sz="0" w:space="0" w:color="auto"/>
        <w:right w:val="none" w:sz="0" w:space="0" w:color="auto"/>
      </w:divBdr>
      <w:divsChild>
        <w:div w:id="825900325">
          <w:marLeft w:val="0"/>
          <w:marRight w:val="0"/>
          <w:marTop w:val="0"/>
          <w:marBottom w:val="0"/>
          <w:divBdr>
            <w:top w:val="none" w:sz="0" w:space="0" w:color="auto"/>
            <w:left w:val="none" w:sz="0" w:space="0" w:color="auto"/>
            <w:bottom w:val="none" w:sz="0" w:space="0" w:color="auto"/>
            <w:right w:val="none" w:sz="0" w:space="0" w:color="auto"/>
          </w:divBdr>
          <w:divsChild>
            <w:div w:id="1770853218">
              <w:marLeft w:val="0"/>
              <w:marRight w:val="0"/>
              <w:marTop w:val="0"/>
              <w:marBottom w:val="0"/>
              <w:divBdr>
                <w:top w:val="none" w:sz="0" w:space="0" w:color="auto"/>
                <w:left w:val="none" w:sz="0" w:space="0" w:color="auto"/>
                <w:bottom w:val="none" w:sz="0" w:space="0" w:color="auto"/>
                <w:right w:val="none" w:sz="0" w:space="0" w:color="auto"/>
              </w:divBdr>
              <w:divsChild>
                <w:div w:id="834757521">
                  <w:marLeft w:val="0"/>
                  <w:marRight w:val="0"/>
                  <w:marTop w:val="0"/>
                  <w:marBottom w:val="0"/>
                  <w:divBdr>
                    <w:top w:val="none" w:sz="0" w:space="0" w:color="auto"/>
                    <w:left w:val="none" w:sz="0" w:space="0" w:color="auto"/>
                    <w:bottom w:val="none" w:sz="0" w:space="0" w:color="auto"/>
                    <w:right w:val="none" w:sz="0" w:space="0" w:color="auto"/>
                  </w:divBdr>
                  <w:divsChild>
                    <w:div w:id="866255276">
                      <w:marLeft w:val="0"/>
                      <w:marRight w:val="0"/>
                      <w:marTop w:val="0"/>
                      <w:marBottom w:val="0"/>
                      <w:divBdr>
                        <w:top w:val="none" w:sz="0" w:space="0" w:color="auto"/>
                        <w:left w:val="none" w:sz="0" w:space="0" w:color="auto"/>
                        <w:bottom w:val="none" w:sz="0" w:space="0" w:color="auto"/>
                        <w:right w:val="none" w:sz="0" w:space="0" w:color="auto"/>
                      </w:divBdr>
                      <w:divsChild>
                        <w:div w:id="210114476">
                          <w:marLeft w:val="0"/>
                          <w:marRight w:val="0"/>
                          <w:marTop w:val="0"/>
                          <w:marBottom w:val="0"/>
                          <w:divBdr>
                            <w:top w:val="none" w:sz="0" w:space="0" w:color="auto"/>
                            <w:left w:val="none" w:sz="0" w:space="0" w:color="auto"/>
                            <w:bottom w:val="none" w:sz="0" w:space="0" w:color="auto"/>
                            <w:right w:val="none" w:sz="0" w:space="0" w:color="auto"/>
                          </w:divBdr>
                          <w:divsChild>
                            <w:div w:id="902526314">
                              <w:marLeft w:val="0"/>
                              <w:marRight w:val="0"/>
                              <w:marTop w:val="0"/>
                              <w:marBottom w:val="0"/>
                              <w:divBdr>
                                <w:top w:val="none" w:sz="0" w:space="0" w:color="auto"/>
                                <w:left w:val="none" w:sz="0" w:space="0" w:color="auto"/>
                                <w:bottom w:val="none" w:sz="0" w:space="0" w:color="auto"/>
                                <w:right w:val="none" w:sz="0" w:space="0" w:color="auto"/>
                              </w:divBdr>
                              <w:divsChild>
                                <w:div w:id="1789202107">
                                  <w:marLeft w:val="0"/>
                                  <w:marRight w:val="0"/>
                                  <w:marTop w:val="0"/>
                                  <w:marBottom w:val="0"/>
                                  <w:divBdr>
                                    <w:top w:val="none" w:sz="0" w:space="0" w:color="auto"/>
                                    <w:left w:val="none" w:sz="0" w:space="0" w:color="auto"/>
                                    <w:bottom w:val="none" w:sz="0" w:space="0" w:color="auto"/>
                                    <w:right w:val="none" w:sz="0" w:space="0" w:color="auto"/>
                                  </w:divBdr>
                                  <w:divsChild>
                                    <w:div w:id="648635365">
                                      <w:marLeft w:val="0"/>
                                      <w:marRight w:val="0"/>
                                      <w:marTop w:val="0"/>
                                      <w:marBottom w:val="0"/>
                                      <w:divBdr>
                                        <w:top w:val="none" w:sz="0" w:space="0" w:color="auto"/>
                                        <w:left w:val="none" w:sz="0" w:space="0" w:color="auto"/>
                                        <w:bottom w:val="none" w:sz="0" w:space="0" w:color="auto"/>
                                        <w:right w:val="none" w:sz="0" w:space="0" w:color="auto"/>
                                      </w:divBdr>
                                      <w:divsChild>
                                        <w:div w:id="681510763">
                                          <w:marLeft w:val="0"/>
                                          <w:marRight w:val="0"/>
                                          <w:marTop w:val="0"/>
                                          <w:marBottom w:val="0"/>
                                          <w:divBdr>
                                            <w:top w:val="none" w:sz="0" w:space="0" w:color="auto"/>
                                            <w:left w:val="none" w:sz="0" w:space="0" w:color="auto"/>
                                            <w:bottom w:val="none" w:sz="0" w:space="0" w:color="auto"/>
                                            <w:right w:val="none" w:sz="0" w:space="0" w:color="auto"/>
                                          </w:divBdr>
                                          <w:divsChild>
                                            <w:div w:id="576090881">
                                              <w:marLeft w:val="0"/>
                                              <w:marRight w:val="0"/>
                                              <w:marTop w:val="0"/>
                                              <w:marBottom w:val="0"/>
                                              <w:divBdr>
                                                <w:top w:val="none" w:sz="0" w:space="0" w:color="auto"/>
                                                <w:left w:val="none" w:sz="0" w:space="0" w:color="auto"/>
                                                <w:bottom w:val="none" w:sz="0" w:space="0" w:color="auto"/>
                                                <w:right w:val="none" w:sz="0" w:space="0" w:color="auto"/>
                                              </w:divBdr>
                                              <w:divsChild>
                                                <w:div w:id="719867230">
                                                  <w:marLeft w:val="0"/>
                                                  <w:marRight w:val="0"/>
                                                  <w:marTop w:val="0"/>
                                                  <w:marBottom w:val="0"/>
                                                  <w:divBdr>
                                                    <w:top w:val="none" w:sz="0" w:space="0" w:color="auto"/>
                                                    <w:left w:val="none" w:sz="0" w:space="0" w:color="auto"/>
                                                    <w:bottom w:val="none" w:sz="0" w:space="0" w:color="auto"/>
                                                    <w:right w:val="none" w:sz="0" w:space="0" w:color="auto"/>
                                                  </w:divBdr>
                                                  <w:divsChild>
                                                    <w:div w:id="1391344141">
                                                      <w:marLeft w:val="0"/>
                                                      <w:marRight w:val="0"/>
                                                      <w:marTop w:val="0"/>
                                                      <w:marBottom w:val="0"/>
                                                      <w:divBdr>
                                                        <w:top w:val="none" w:sz="0" w:space="0" w:color="auto"/>
                                                        <w:left w:val="none" w:sz="0" w:space="0" w:color="auto"/>
                                                        <w:bottom w:val="none" w:sz="0" w:space="0" w:color="auto"/>
                                                        <w:right w:val="none" w:sz="0" w:space="0" w:color="auto"/>
                                                      </w:divBdr>
                                                      <w:divsChild>
                                                        <w:div w:id="16653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819373">
      <w:bodyDiv w:val="1"/>
      <w:marLeft w:val="0"/>
      <w:marRight w:val="0"/>
      <w:marTop w:val="100"/>
      <w:marBottom w:val="100"/>
      <w:divBdr>
        <w:top w:val="none" w:sz="0" w:space="0" w:color="auto"/>
        <w:left w:val="none" w:sz="0" w:space="0" w:color="auto"/>
        <w:bottom w:val="none" w:sz="0" w:space="0" w:color="auto"/>
        <w:right w:val="none" w:sz="0" w:space="0" w:color="auto"/>
      </w:divBdr>
      <w:divsChild>
        <w:div w:id="1787195838">
          <w:marLeft w:val="0"/>
          <w:marRight w:val="0"/>
          <w:marTop w:val="0"/>
          <w:marBottom w:val="0"/>
          <w:divBdr>
            <w:top w:val="none" w:sz="0" w:space="0" w:color="auto"/>
            <w:left w:val="none" w:sz="0" w:space="0" w:color="auto"/>
            <w:bottom w:val="none" w:sz="0" w:space="0" w:color="auto"/>
            <w:right w:val="none" w:sz="0" w:space="0" w:color="auto"/>
          </w:divBdr>
          <w:divsChild>
            <w:div w:id="2100323081">
              <w:marLeft w:val="0"/>
              <w:marRight w:val="0"/>
              <w:marTop w:val="0"/>
              <w:marBottom w:val="0"/>
              <w:divBdr>
                <w:top w:val="none" w:sz="0" w:space="0" w:color="auto"/>
                <w:left w:val="none" w:sz="0" w:space="0" w:color="auto"/>
                <w:bottom w:val="none" w:sz="0" w:space="0" w:color="auto"/>
                <w:right w:val="none" w:sz="0" w:space="0" w:color="auto"/>
              </w:divBdr>
              <w:divsChild>
                <w:div w:id="584460691">
                  <w:marLeft w:val="0"/>
                  <w:marRight w:val="0"/>
                  <w:marTop w:val="0"/>
                  <w:marBottom w:val="0"/>
                  <w:divBdr>
                    <w:top w:val="none" w:sz="0" w:space="0" w:color="auto"/>
                    <w:left w:val="single" w:sz="6" w:space="0" w:color="0B5092"/>
                    <w:bottom w:val="none" w:sz="0" w:space="0" w:color="auto"/>
                    <w:right w:val="single" w:sz="6" w:space="0" w:color="0B5092"/>
                  </w:divBdr>
                  <w:divsChild>
                    <w:div w:id="1597521612">
                      <w:marLeft w:val="0"/>
                      <w:marRight w:val="0"/>
                      <w:marTop w:val="0"/>
                      <w:marBottom w:val="0"/>
                      <w:divBdr>
                        <w:top w:val="none" w:sz="0" w:space="0" w:color="auto"/>
                        <w:left w:val="none" w:sz="0" w:space="0" w:color="auto"/>
                        <w:bottom w:val="none" w:sz="0" w:space="0" w:color="auto"/>
                        <w:right w:val="none" w:sz="0" w:space="0" w:color="auto"/>
                      </w:divBdr>
                      <w:divsChild>
                        <w:div w:id="1780105189">
                          <w:marLeft w:val="0"/>
                          <w:marRight w:val="0"/>
                          <w:marTop w:val="0"/>
                          <w:marBottom w:val="0"/>
                          <w:divBdr>
                            <w:top w:val="none" w:sz="0" w:space="0" w:color="auto"/>
                            <w:left w:val="none" w:sz="0" w:space="0" w:color="auto"/>
                            <w:bottom w:val="none" w:sz="0" w:space="0" w:color="auto"/>
                            <w:right w:val="none" w:sz="0" w:space="0" w:color="auto"/>
                          </w:divBdr>
                          <w:divsChild>
                            <w:div w:id="141780455">
                              <w:marLeft w:val="0"/>
                              <w:marRight w:val="0"/>
                              <w:marTop w:val="0"/>
                              <w:marBottom w:val="0"/>
                              <w:divBdr>
                                <w:top w:val="none" w:sz="0" w:space="0" w:color="auto"/>
                                <w:left w:val="none" w:sz="0" w:space="0" w:color="auto"/>
                                <w:bottom w:val="none" w:sz="0" w:space="0" w:color="auto"/>
                                <w:right w:val="none" w:sz="0" w:space="0" w:color="auto"/>
                              </w:divBdr>
                              <w:divsChild>
                                <w:div w:id="25715242">
                                  <w:marLeft w:val="0"/>
                                  <w:marRight w:val="0"/>
                                  <w:marTop w:val="0"/>
                                  <w:marBottom w:val="0"/>
                                  <w:divBdr>
                                    <w:top w:val="none" w:sz="0" w:space="0" w:color="auto"/>
                                    <w:left w:val="none" w:sz="0" w:space="0" w:color="auto"/>
                                    <w:bottom w:val="none" w:sz="0" w:space="0" w:color="auto"/>
                                    <w:right w:val="none" w:sz="0" w:space="0" w:color="auto"/>
                                  </w:divBdr>
                                  <w:divsChild>
                                    <w:div w:id="50201507">
                                      <w:marLeft w:val="0"/>
                                      <w:marRight w:val="0"/>
                                      <w:marTop w:val="0"/>
                                      <w:marBottom w:val="0"/>
                                      <w:divBdr>
                                        <w:top w:val="none" w:sz="0" w:space="0" w:color="auto"/>
                                        <w:left w:val="none" w:sz="0" w:space="0" w:color="auto"/>
                                        <w:bottom w:val="none" w:sz="0" w:space="0" w:color="auto"/>
                                        <w:right w:val="none" w:sz="0" w:space="0" w:color="auto"/>
                                      </w:divBdr>
                                      <w:divsChild>
                                        <w:div w:id="1032654682">
                                          <w:marLeft w:val="0"/>
                                          <w:marRight w:val="0"/>
                                          <w:marTop w:val="0"/>
                                          <w:marBottom w:val="0"/>
                                          <w:divBdr>
                                            <w:top w:val="none" w:sz="0" w:space="0" w:color="auto"/>
                                            <w:left w:val="none" w:sz="0" w:space="0" w:color="auto"/>
                                            <w:bottom w:val="none" w:sz="0" w:space="0" w:color="auto"/>
                                            <w:right w:val="none" w:sz="0" w:space="0" w:color="auto"/>
                                          </w:divBdr>
                                          <w:divsChild>
                                            <w:div w:id="183640204">
                                              <w:marLeft w:val="120"/>
                                              <w:marRight w:val="120"/>
                                              <w:marTop w:val="0"/>
                                              <w:marBottom w:val="120"/>
                                              <w:divBdr>
                                                <w:top w:val="none" w:sz="0" w:space="0" w:color="auto"/>
                                                <w:left w:val="none" w:sz="0" w:space="0" w:color="auto"/>
                                                <w:bottom w:val="none" w:sz="0" w:space="0" w:color="auto"/>
                                                <w:right w:val="none" w:sz="0" w:space="0" w:color="auto"/>
                                              </w:divBdr>
                                              <w:divsChild>
                                                <w:div w:id="1574437932">
                                                  <w:marLeft w:val="0"/>
                                                  <w:marRight w:val="0"/>
                                                  <w:marTop w:val="0"/>
                                                  <w:marBottom w:val="0"/>
                                                  <w:divBdr>
                                                    <w:top w:val="none" w:sz="0" w:space="0" w:color="auto"/>
                                                    <w:left w:val="none" w:sz="0" w:space="0" w:color="auto"/>
                                                    <w:bottom w:val="none" w:sz="0" w:space="0" w:color="auto"/>
                                                    <w:right w:val="none" w:sz="0" w:space="0" w:color="auto"/>
                                                  </w:divBdr>
                                                  <w:divsChild>
                                                    <w:div w:id="1120346383">
                                                      <w:marLeft w:val="0"/>
                                                      <w:marRight w:val="90"/>
                                                      <w:marTop w:val="0"/>
                                                      <w:marBottom w:val="0"/>
                                                      <w:divBdr>
                                                        <w:top w:val="none" w:sz="0" w:space="0" w:color="auto"/>
                                                        <w:left w:val="none" w:sz="0" w:space="0" w:color="auto"/>
                                                        <w:bottom w:val="none" w:sz="0" w:space="0" w:color="auto"/>
                                                        <w:right w:val="none" w:sz="0" w:space="0" w:color="auto"/>
                                                      </w:divBdr>
                                                      <w:divsChild>
                                                        <w:div w:id="918094636">
                                                          <w:marLeft w:val="60"/>
                                                          <w:marRight w:val="-90"/>
                                                          <w:marTop w:val="0"/>
                                                          <w:marBottom w:val="0"/>
                                                          <w:divBdr>
                                                            <w:top w:val="none" w:sz="0" w:space="0" w:color="auto"/>
                                                            <w:left w:val="none" w:sz="0" w:space="0" w:color="auto"/>
                                                            <w:bottom w:val="none" w:sz="0" w:space="0" w:color="auto"/>
                                                            <w:right w:val="none" w:sz="0" w:space="0" w:color="auto"/>
                                                          </w:divBdr>
                                                          <w:divsChild>
                                                            <w:div w:id="19981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3667425">
      <w:bodyDiv w:val="1"/>
      <w:marLeft w:val="0"/>
      <w:marRight w:val="0"/>
      <w:marTop w:val="0"/>
      <w:marBottom w:val="0"/>
      <w:divBdr>
        <w:top w:val="none" w:sz="0" w:space="0" w:color="auto"/>
        <w:left w:val="none" w:sz="0" w:space="0" w:color="auto"/>
        <w:bottom w:val="none" w:sz="0" w:space="0" w:color="auto"/>
        <w:right w:val="none" w:sz="0" w:space="0" w:color="auto"/>
      </w:divBdr>
    </w:div>
    <w:div w:id="1094861387">
      <w:bodyDiv w:val="1"/>
      <w:marLeft w:val="0"/>
      <w:marRight w:val="0"/>
      <w:marTop w:val="0"/>
      <w:marBottom w:val="0"/>
      <w:divBdr>
        <w:top w:val="none" w:sz="0" w:space="0" w:color="auto"/>
        <w:left w:val="none" w:sz="0" w:space="0" w:color="auto"/>
        <w:bottom w:val="none" w:sz="0" w:space="0" w:color="auto"/>
        <w:right w:val="none" w:sz="0" w:space="0" w:color="auto"/>
      </w:divBdr>
    </w:div>
    <w:div w:id="1096050374">
      <w:bodyDiv w:val="1"/>
      <w:marLeft w:val="0"/>
      <w:marRight w:val="0"/>
      <w:marTop w:val="0"/>
      <w:marBottom w:val="0"/>
      <w:divBdr>
        <w:top w:val="none" w:sz="0" w:space="0" w:color="auto"/>
        <w:left w:val="none" w:sz="0" w:space="0" w:color="auto"/>
        <w:bottom w:val="none" w:sz="0" w:space="0" w:color="auto"/>
        <w:right w:val="none" w:sz="0" w:space="0" w:color="auto"/>
      </w:divBdr>
      <w:divsChild>
        <w:div w:id="1944537355">
          <w:marLeft w:val="0"/>
          <w:marRight w:val="0"/>
          <w:marTop w:val="0"/>
          <w:marBottom w:val="0"/>
          <w:divBdr>
            <w:top w:val="none" w:sz="0" w:space="0" w:color="auto"/>
            <w:left w:val="none" w:sz="0" w:space="0" w:color="auto"/>
            <w:bottom w:val="none" w:sz="0" w:space="0" w:color="auto"/>
            <w:right w:val="none" w:sz="0" w:space="0" w:color="auto"/>
          </w:divBdr>
          <w:divsChild>
            <w:div w:id="1699040618">
              <w:marLeft w:val="0"/>
              <w:marRight w:val="0"/>
              <w:marTop w:val="0"/>
              <w:marBottom w:val="0"/>
              <w:divBdr>
                <w:top w:val="none" w:sz="0" w:space="0" w:color="auto"/>
                <w:left w:val="none" w:sz="0" w:space="0" w:color="auto"/>
                <w:bottom w:val="none" w:sz="0" w:space="0" w:color="auto"/>
                <w:right w:val="none" w:sz="0" w:space="0" w:color="auto"/>
              </w:divBdr>
              <w:divsChild>
                <w:div w:id="89862173">
                  <w:marLeft w:val="0"/>
                  <w:marRight w:val="0"/>
                  <w:marTop w:val="0"/>
                  <w:marBottom w:val="0"/>
                  <w:divBdr>
                    <w:top w:val="none" w:sz="0" w:space="0" w:color="auto"/>
                    <w:left w:val="none" w:sz="0" w:space="0" w:color="auto"/>
                    <w:bottom w:val="none" w:sz="0" w:space="0" w:color="auto"/>
                    <w:right w:val="none" w:sz="0" w:space="0" w:color="auto"/>
                  </w:divBdr>
                  <w:divsChild>
                    <w:div w:id="119304900">
                      <w:marLeft w:val="0"/>
                      <w:marRight w:val="0"/>
                      <w:marTop w:val="0"/>
                      <w:marBottom w:val="0"/>
                      <w:divBdr>
                        <w:top w:val="none" w:sz="0" w:space="0" w:color="auto"/>
                        <w:left w:val="none" w:sz="0" w:space="0" w:color="auto"/>
                        <w:bottom w:val="none" w:sz="0" w:space="0" w:color="auto"/>
                        <w:right w:val="none" w:sz="0" w:space="0" w:color="auto"/>
                      </w:divBdr>
                      <w:divsChild>
                        <w:div w:id="404111017">
                          <w:marLeft w:val="0"/>
                          <w:marRight w:val="0"/>
                          <w:marTop w:val="0"/>
                          <w:marBottom w:val="0"/>
                          <w:divBdr>
                            <w:top w:val="none" w:sz="0" w:space="0" w:color="auto"/>
                            <w:left w:val="none" w:sz="0" w:space="0" w:color="auto"/>
                            <w:bottom w:val="none" w:sz="0" w:space="0" w:color="auto"/>
                            <w:right w:val="none" w:sz="0" w:space="0" w:color="auto"/>
                          </w:divBdr>
                          <w:divsChild>
                            <w:div w:id="1062482738">
                              <w:marLeft w:val="0"/>
                              <w:marRight w:val="0"/>
                              <w:marTop w:val="0"/>
                              <w:marBottom w:val="0"/>
                              <w:divBdr>
                                <w:top w:val="none" w:sz="0" w:space="0" w:color="auto"/>
                                <w:left w:val="none" w:sz="0" w:space="0" w:color="auto"/>
                                <w:bottom w:val="none" w:sz="0" w:space="0" w:color="auto"/>
                                <w:right w:val="none" w:sz="0" w:space="0" w:color="auto"/>
                              </w:divBdr>
                              <w:divsChild>
                                <w:div w:id="1863592377">
                                  <w:marLeft w:val="120"/>
                                  <w:marRight w:val="720"/>
                                  <w:marTop w:val="120"/>
                                  <w:marBottom w:val="120"/>
                                  <w:divBdr>
                                    <w:top w:val="none" w:sz="0" w:space="0" w:color="auto"/>
                                    <w:left w:val="none" w:sz="0" w:space="0" w:color="auto"/>
                                    <w:bottom w:val="none" w:sz="0" w:space="0" w:color="auto"/>
                                    <w:right w:val="none" w:sz="0" w:space="0" w:color="auto"/>
                                  </w:divBdr>
                                  <w:divsChild>
                                    <w:div w:id="552236487">
                                      <w:marLeft w:val="0"/>
                                      <w:marRight w:val="0"/>
                                      <w:marTop w:val="0"/>
                                      <w:marBottom w:val="0"/>
                                      <w:divBdr>
                                        <w:top w:val="none" w:sz="0" w:space="0" w:color="auto"/>
                                        <w:left w:val="none" w:sz="0" w:space="0" w:color="auto"/>
                                        <w:bottom w:val="none" w:sz="0" w:space="0" w:color="auto"/>
                                        <w:right w:val="none" w:sz="0" w:space="0" w:color="auto"/>
                                      </w:divBdr>
                                      <w:divsChild>
                                        <w:div w:id="558058342">
                                          <w:marLeft w:val="0"/>
                                          <w:marRight w:val="0"/>
                                          <w:marTop w:val="0"/>
                                          <w:marBottom w:val="0"/>
                                          <w:divBdr>
                                            <w:top w:val="none" w:sz="0" w:space="0" w:color="auto"/>
                                            <w:left w:val="none" w:sz="0" w:space="0" w:color="auto"/>
                                            <w:bottom w:val="none" w:sz="0" w:space="0" w:color="auto"/>
                                            <w:right w:val="none" w:sz="0" w:space="0" w:color="auto"/>
                                          </w:divBdr>
                                          <w:divsChild>
                                            <w:div w:id="767889987">
                                              <w:marLeft w:val="0"/>
                                              <w:marRight w:val="0"/>
                                              <w:marTop w:val="0"/>
                                              <w:marBottom w:val="0"/>
                                              <w:divBdr>
                                                <w:top w:val="none" w:sz="0" w:space="0" w:color="auto"/>
                                                <w:left w:val="none" w:sz="0" w:space="0" w:color="auto"/>
                                                <w:bottom w:val="none" w:sz="0" w:space="0" w:color="auto"/>
                                                <w:right w:val="none" w:sz="0" w:space="0" w:color="auto"/>
                                              </w:divBdr>
                                              <w:divsChild>
                                                <w:div w:id="984361724">
                                                  <w:marLeft w:val="0"/>
                                                  <w:marRight w:val="0"/>
                                                  <w:marTop w:val="240"/>
                                                  <w:marBottom w:val="240"/>
                                                  <w:divBdr>
                                                    <w:top w:val="single" w:sz="6" w:space="6" w:color="F2F2F2"/>
                                                    <w:left w:val="none" w:sz="0" w:space="0" w:color="auto"/>
                                                    <w:bottom w:val="single" w:sz="6" w:space="6" w:color="F2F2F2"/>
                                                    <w:right w:val="none" w:sz="0" w:space="0" w:color="auto"/>
                                                  </w:divBdr>
                                                </w:div>
                                                <w:div w:id="2042242439">
                                                  <w:marLeft w:val="0"/>
                                                  <w:marRight w:val="0"/>
                                                  <w:marTop w:val="0"/>
                                                  <w:marBottom w:val="0"/>
                                                  <w:divBdr>
                                                    <w:top w:val="none" w:sz="0" w:space="0" w:color="auto"/>
                                                    <w:left w:val="none" w:sz="0" w:space="0" w:color="auto"/>
                                                    <w:bottom w:val="none" w:sz="0" w:space="0" w:color="auto"/>
                                                    <w:right w:val="none" w:sz="0" w:space="0" w:color="auto"/>
                                                  </w:divBdr>
                                                  <w:divsChild>
                                                    <w:div w:id="475993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8214553">
      <w:bodyDiv w:val="1"/>
      <w:marLeft w:val="0"/>
      <w:marRight w:val="0"/>
      <w:marTop w:val="0"/>
      <w:marBottom w:val="0"/>
      <w:divBdr>
        <w:top w:val="none" w:sz="0" w:space="0" w:color="auto"/>
        <w:left w:val="none" w:sz="0" w:space="0" w:color="auto"/>
        <w:bottom w:val="none" w:sz="0" w:space="0" w:color="auto"/>
        <w:right w:val="none" w:sz="0" w:space="0" w:color="auto"/>
      </w:divBdr>
      <w:divsChild>
        <w:div w:id="1577781831">
          <w:marLeft w:val="0"/>
          <w:marRight w:val="0"/>
          <w:marTop w:val="0"/>
          <w:marBottom w:val="0"/>
          <w:divBdr>
            <w:top w:val="none" w:sz="0" w:space="0" w:color="auto"/>
            <w:left w:val="none" w:sz="0" w:space="0" w:color="auto"/>
            <w:bottom w:val="none" w:sz="0" w:space="0" w:color="auto"/>
            <w:right w:val="none" w:sz="0" w:space="0" w:color="auto"/>
          </w:divBdr>
          <w:divsChild>
            <w:div w:id="1912882343">
              <w:marLeft w:val="210"/>
              <w:marRight w:val="0"/>
              <w:marTop w:val="0"/>
              <w:marBottom w:val="0"/>
              <w:divBdr>
                <w:top w:val="none" w:sz="0" w:space="0" w:color="auto"/>
                <w:left w:val="none" w:sz="0" w:space="0" w:color="auto"/>
                <w:bottom w:val="none" w:sz="0" w:space="0" w:color="auto"/>
                <w:right w:val="none" w:sz="0" w:space="0" w:color="auto"/>
              </w:divBdr>
              <w:divsChild>
                <w:div w:id="20533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10883">
      <w:bodyDiv w:val="1"/>
      <w:marLeft w:val="0"/>
      <w:marRight w:val="0"/>
      <w:marTop w:val="0"/>
      <w:marBottom w:val="0"/>
      <w:divBdr>
        <w:top w:val="none" w:sz="0" w:space="0" w:color="auto"/>
        <w:left w:val="none" w:sz="0" w:space="0" w:color="auto"/>
        <w:bottom w:val="none" w:sz="0" w:space="0" w:color="auto"/>
        <w:right w:val="none" w:sz="0" w:space="0" w:color="auto"/>
      </w:divBdr>
      <w:divsChild>
        <w:div w:id="67266239">
          <w:marLeft w:val="0"/>
          <w:marRight w:val="0"/>
          <w:marTop w:val="0"/>
          <w:marBottom w:val="0"/>
          <w:divBdr>
            <w:top w:val="none" w:sz="0" w:space="0" w:color="auto"/>
            <w:left w:val="none" w:sz="0" w:space="0" w:color="auto"/>
            <w:bottom w:val="none" w:sz="0" w:space="0" w:color="auto"/>
            <w:right w:val="none" w:sz="0" w:space="0" w:color="auto"/>
          </w:divBdr>
          <w:divsChild>
            <w:div w:id="206842059">
              <w:marLeft w:val="0"/>
              <w:marRight w:val="0"/>
              <w:marTop w:val="0"/>
              <w:marBottom w:val="0"/>
              <w:divBdr>
                <w:top w:val="none" w:sz="0" w:space="0" w:color="auto"/>
                <w:left w:val="none" w:sz="0" w:space="0" w:color="auto"/>
                <w:bottom w:val="none" w:sz="0" w:space="0" w:color="auto"/>
                <w:right w:val="none" w:sz="0" w:space="0" w:color="auto"/>
              </w:divBdr>
              <w:divsChild>
                <w:div w:id="521936171">
                  <w:marLeft w:val="0"/>
                  <w:marRight w:val="0"/>
                  <w:marTop w:val="0"/>
                  <w:marBottom w:val="0"/>
                  <w:divBdr>
                    <w:top w:val="none" w:sz="0" w:space="0" w:color="auto"/>
                    <w:left w:val="none" w:sz="0" w:space="0" w:color="auto"/>
                    <w:bottom w:val="none" w:sz="0" w:space="0" w:color="auto"/>
                    <w:right w:val="none" w:sz="0" w:space="0" w:color="auto"/>
                  </w:divBdr>
                  <w:divsChild>
                    <w:div w:id="1144663487">
                      <w:marLeft w:val="0"/>
                      <w:marRight w:val="0"/>
                      <w:marTop w:val="0"/>
                      <w:marBottom w:val="0"/>
                      <w:divBdr>
                        <w:top w:val="none" w:sz="0" w:space="0" w:color="auto"/>
                        <w:left w:val="none" w:sz="0" w:space="0" w:color="auto"/>
                        <w:bottom w:val="none" w:sz="0" w:space="0" w:color="auto"/>
                        <w:right w:val="none" w:sz="0" w:space="0" w:color="auto"/>
                      </w:divBdr>
                      <w:divsChild>
                        <w:div w:id="201013632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9519326">
      <w:bodyDiv w:val="1"/>
      <w:marLeft w:val="0"/>
      <w:marRight w:val="0"/>
      <w:marTop w:val="0"/>
      <w:marBottom w:val="0"/>
      <w:divBdr>
        <w:top w:val="none" w:sz="0" w:space="0" w:color="auto"/>
        <w:left w:val="none" w:sz="0" w:space="0" w:color="auto"/>
        <w:bottom w:val="none" w:sz="0" w:space="0" w:color="auto"/>
        <w:right w:val="none" w:sz="0" w:space="0" w:color="auto"/>
      </w:divBdr>
      <w:divsChild>
        <w:div w:id="2114587514">
          <w:marLeft w:val="2400"/>
          <w:marRight w:val="0"/>
          <w:marTop w:val="0"/>
          <w:marBottom w:val="0"/>
          <w:divBdr>
            <w:top w:val="none" w:sz="0" w:space="0" w:color="auto"/>
            <w:left w:val="none" w:sz="0" w:space="0" w:color="auto"/>
            <w:bottom w:val="none" w:sz="0" w:space="0" w:color="auto"/>
            <w:right w:val="none" w:sz="0" w:space="0" w:color="auto"/>
          </w:divBdr>
          <w:divsChild>
            <w:div w:id="1109543307">
              <w:marLeft w:val="0"/>
              <w:marRight w:val="0"/>
              <w:marTop w:val="0"/>
              <w:marBottom w:val="0"/>
              <w:divBdr>
                <w:top w:val="none" w:sz="0" w:space="0" w:color="auto"/>
                <w:left w:val="none" w:sz="0" w:space="0" w:color="auto"/>
                <w:bottom w:val="none" w:sz="0" w:space="0" w:color="auto"/>
                <w:right w:val="none" w:sz="0" w:space="0" w:color="auto"/>
              </w:divBdr>
              <w:divsChild>
                <w:div w:id="827867112">
                  <w:marLeft w:val="0"/>
                  <w:marRight w:val="0"/>
                  <w:marTop w:val="0"/>
                  <w:marBottom w:val="0"/>
                  <w:divBdr>
                    <w:top w:val="none" w:sz="0" w:space="0" w:color="auto"/>
                    <w:left w:val="none" w:sz="0" w:space="0" w:color="auto"/>
                    <w:bottom w:val="none" w:sz="0" w:space="0" w:color="auto"/>
                    <w:right w:val="none" w:sz="0" w:space="0" w:color="auto"/>
                  </w:divBdr>
                  <w:divsChild>
                    <w:div w:id="4271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03588">
      <w:bodyDiv w:val="1"/>
      <w:marLeft w:val="0"/>
      <w:marRight w:val="0"/>
      <w:marTop w:val="0"/>
      <w:marBottom w:val="0"/>
      <w:divBdr>
        <w:top w:val="none" w:sz="0" w:space="0" w:color="auto"/>
        <w:left w:val="none" w:sz="0" w:space="0" w:color="auto"/>
        <w:bottom w:val="none" w:sz="0" w:space="0" w:color="auto"/>
        <w:right w:val="none" w:sz="0" w:space="0" w:color="auto"/>
      </w:divBdr>
      <w:divsChild>
        <w:div w:id="774326285">
          <w:marLeft w:val="0"/>
          <w:marRight w:val="0"/>
          <w:marTop w:val="0"/>
          <w:marBottom w:val="0"/>
          <w:divBdr>
            <w:top w:val="single" w:sz="6" w:space="0" w:color="0E477A"/>
            <w:left w:val="single" w:sz="6" w:space="0" w:color="0E477A"/>
            <w:bottom w:val="single" w:sz="6" w:space="0" w:color="0E477A"/>
            <w:right w:val="single" w:sz="6" w:space="0" w:color="0E477A"/>
          </w:divBdr>
          <w:divsChild>
            <w:div w:id="920026349">
              <w:marLeft w:val="2925"/>
              <w:marRight w:val="0"/>
              <w:marTop w:val="0"/>
              <w:marBottom w:val="0"/>
              <w:divBdr>
                <w:top w:val="none" w:sz="0" w:space="0" w:color="auto"/>
                <w:left w:val="none" w:sz="0" w:space="0" w:color="auto"/>
                <w:bottom w:val="none" w:sz="0" w:space="0" w:color="auto"/>
                <w:right w:val="none" w:sz="0" w:space="0" w:color="auto"/>
              </w:divBdr>
              <w:divsChild>
                <w:div w:id="717323214">
                  <w:marLeft w:val="0"/>
                  <w:marRight w:val="0"/>
                  <w:marTop w:val="0"/>
                  <w:marBottom w:val="0"/>
                  <w:divBdr>
                    <w:top w:val="none" w:sz="0" w:space="0" w:color="auto"/>
                    <w:left w:val="none" w:sz="0" w:space="0" w:color="auto"/>
                    <w:bottom w:val="none" w:sz="0" w:space="0" w:color="auto"/>
                    <w:right w:val="none" w:sz="0" w:space="0" w:color="auto"/>
                  </w:divBdr>
                  <w:divsChild>
                    <w:div w:id="391468076">
                      <w:marLeft w:val="0"/>
                      <w:marRight w:val="150"/>
                      <w:marTop w:val="0"/>
                      <w:marBottom w:val="0"/>
                      <w:divBdr>
                        <w:top w:val="single" w:sz="6" w:space="0" w:color="CCCCCC"/>
                        <w:left w:val="single" w:sz="6" w:space="8" w:color="CCCCCC"/>
                        <w:bottom w:val="single" w:sz="6" w:space="8" w:color="CCCCCC"/>
                        <w:right w:val="single" w:sz="6" w:space="8" w:color="CCCCCC"/>
                      </w:divBdr>
                      <w:divsChild>
                        <w:div w:id="1596010342">
                          <w:marLeft w:val="0"/>
                          <w:marRight w:val="0"/>
                          <w:marTop w:val="0"/>
                          <w:marBottom w:val="0"/>
                          <w:divBdr>
                            <w:top w:val="none" w:sz="0" w:space="0" w:color="auto"/>
                            <w:left w:val="none" w:sz="0" w:space="0" w:color="auto"/>
                            <w:bottom w:val="none" w:sz="0" w:space="0" w:color="auto"/>
                            <w:right w:val="none" w:sz="0" w:space="0" w:color="auto"/>
                          </w:divBdr>
                        </w:div>
                        <w:div w:id="1991052028">
                          <w:marLeft w:val="0"/>
                          <w:marRight w:val="0"/>
                          <w:marTop w:val="0"/>
                          <w:marBottom w:val="0"/>
                          <w:divBdr>
                            <w:top w:val="none" w:sz="0" w:space="0" w:color="auto"/>
                            <w:left w:val="none" w:sz="0" w:space="0" w:color="auto"/>
                            <w:bottom w:val="none" w:sz="0" w:space="0" w:color="auto"/>
                            <w:right w:val="none" w:sz="0" w:space="0" w:color="auto"/>
                          </w:divBdr>
                        </w:div>
                        <w:div w:id="1870334252">
                          <w:marLeft w:val="0"/>
                          <w:marRight w:val="0"/>
                          <w:marTop w:val="0"/>
                          <w:marBottom w:val="0"/>
                          <w:divBdr>
                            <w:top w:val="none" w:sz="0" w:space="0" w:color="auto"/>
                            <w:left w:val="none" w:sz="0" w:space="0" w:color="auto"/>
                            <w:bottom w:val="none" w:sz="0" w:space="0" w:color="auto"/>
                            <w:right w:val="none" w:sz="0" w:space="0" w:color="auto"/>
                          </w:divBdr>
                        </w:div>
                        <w:div w:id="16438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035089">
      <w:bodyDiv w:val="1"/>
      <w:marLeft w:val="0"/>
      <w:marRight w:val="0"/>
      <w:marTop w:val="0"/>
      <w:marBottom w:val="0"/>
      <w:divBdr>
        <w:top w:val="none" w:sz="0" w:space="0" w:color="auto"/>
        <w:left w:val="none" w:sz="0" w:space="0" w:color="auto"/>
        <w:bottom w:val="none" w:sz="0" w:space="0" w:color="auto"/>
        <w:right w:val="none" w:sz="0" w:space="0" w:color="auto"/>
      </w:divBdr>
      <w:divsChild>
        <w:div w:id="283466236">
          <w:marLeft w:val="0"/>
          <w:marRight w:val="0"/>
          <w:marTop w:val="0"/>
          <w:marBottom w:val="0"/>
          <w:divBdr>
            <w:top w:val="none" w:sz="0" w:space="0" w:color="auto"/>
            <w:left w:val="none" w:sz="0" w:space="0" w:color="auto"/>
            <w:bottom w:val="none" w:sz="0" w:space="0" w:color="auto"/>
            <w:right w:val="none" w:sz="0" w:space="0" w:color="auto"/>
          </w:divBdr>
        </w:div>
      </w:divsChild>
    </w:div>
    <w:div w:id="1104231517">
      <w:bodyDiv w:val="1"/>
      <w:marLeft w:val="0"/>
      <w:marRight w:val="0"/>
      <w:marTop w:val="0"/>
      <w:marBottom w:val="0"/>
      <w:divBdr>
        <w:top w:val="none" w:sz="0" w:space="0" w:color="auto"/>
        <w:left w:val="none" w:sz="0" w:space="0" w:color="auto"/>
        <w:bottom w:val="none" w:sz="0" w:space="0" w:color="auto"/>
        <w:right w:val="none" w:sz="0" w:space="0" w:color="auto"/>
      </w:divBdr>
      <w:divsChild>
        <w:div w:id="1119299562">
          <w:marLeft w:val="0"/>
          <w:marRight w:val="0"/>
          <w:marTop w:val="0"/>
          <w:marBottom w:val="0"/>
          <w:divBdr>
            <w:top w:val="none" w:sz="0" w:space="0" w:color="auto"/>
            <w:left w:val="none" w:sz="0" w:space="0" w:color="auto"/>
            <w:bottom w:val="none" w:sz="0" w:space="0" w:color="auto"/>
            <w:right w:val="none" w:sz="0" w:space="0" w:color="auto"/>
          </w:divBdr>
          <w:divsChild>
            <w:div w:id="1290547192">
              <w:marLeft w:val="0"/>
              <w:marRight w:val="0"/>
              <w:marTop w:val="0"/>
              <w:marBottom w:val="0"/>
              <w:divBdr>
                <w:top w:val="none" w:sz="0" w:space="0" w:color="auto"/>
                <w:left w:val="none" w:sz="0" w:space="0" w:color="auto"/>
                <w:bottom w:val="none" w:sz="0" w:space="0" w:color="auto"/>
                <w:right w:val="none" w:sz="0" w:space="0" w:color="auto"/>
              </w:divBdr>
              <w:divsChild>
                <w:div w:id="260257834">
                  <w:marLeft w:val="0"/>
                  <w:marRight w:val="0"/>
                  <w:marTop w:val="0"/>
                  <w:marBottom w:val="0"/>
                  <w:divBdr>
                    <w:top w:val="none" w:sz="0" w:space="0" w:color="auto"/>
                    <w:left w:val="none" w:sz="0" w:space="0" w:color="auto"/>
                    <w:bottom w:val="none" w:sz="0" w:space="0" w:color="auto"/>
                    <w:right w:val="none" w:sz="0" w:space="0" w:color="auto"/>
                  </w:divBdr>
                  <w:divsChild>
                    <w:div w:id="1410813254">
                      <w:marLeft w:val="0"/>
                      <w:marRight w:val="0"/>
                      <w:marTop w:val="0"/>
                      <w:marBottom w:val="0"/>
                      <w:divBdr>
                        <w:top w:val="none" w:sz="0" w:space="0" w:color="auto"/>
                        <w:left w:val="none" w:sz="0" w:space="0" w:color="auto"/>
                        <w:bottom w:val="none" w:sz="0" w:space="0" w:color="auto"/>
                        <w:right w:val="none" w:sz="0" w:space="0" w:color="auto"/>
                      </w:divBdr>
                      <w:divsChild>
                        <w:div w:id="86318057">
                          <w:marLeft w:val="0"/>
                          <w:marRight w:val="0"/>
                          <w:marTop w:val="0"/>
                          <w:marBottom w:val="0"/>
                          <w:divBdr>
                            <w:top w:val="none" w:sz="0" w:space="0" w:color="auto"/>
                            <w:left w:val="none" w:sz="0" w:space="0" w:color="auto"/>
                            <w:bottom w:val="none" w:sz="0" w:space="0" w:color="auto"/>
                            <w:right w:val="none" w:sz="0" w:space="0" w:color="auto"/>
                          </w:divBdr>
                          <w:divsChild>
                            <w:div w:id="345791448">
                              <w:marLeft w:val="0"/>
                              <w:marRight w:val="0"/>
                              <w:marTop w:val="0"/>
                              <w:marBottom w:val="0"/>
                              <w:divBdr>
                                <w:top w:val="none" w:sz="0" w:space="0" w:color="auto"/>
                                <w:left w:val="none" w:sz="0" w:space="0" w:color="auto"/>
                                <w:bottom w:val="none" w:sz="0" w:space="0" w:color="auto"/>
                                <w:right w:val="none" w:sz="0" w:space="0" w:color="auto"/>
                              </w:divBdr>
                              <w:divsChild>
                                <w:div w:id="2083067689">
                                  <w:marLeft w:val="120"/>
                                  <w:marRight w:val="720"/>
                                  <w:marTop w:val="120"/>
                                  <w:marBottom w:val="120"/>
                                  <w:divBdr>
                                    <w:top w:val="none" w:sz="0" w:space="0" w:color="auto"/>
                                    <w:left w:val="none" w:sz="0" w:space="0" w:color="auto"/>
                                    <w:bottom w:val="none" w:sz="0" w:space="0" w:color="auto"/>
                                    <w:right w:val="none" w:sz="0" w:space="0" w:color="auto"/>
                                  </w:divBdr>
                                  <w:divsChild>
                                    <w:div w:id="1648245063">
                                      <w:marLeft w:val="0"/>
                                      <w:marRight w:val="0"/>
                                      <w:marTop w:val="0"/>
                                      <w:marBottom w:val="0"/>
                                      <w:divBdr>
                                        <w:top w:val="none" w:sz="0" w:space="0" w:color="auto"/>
                                        <w:left w:val="none" w:sz="0" w:space="0" w:color="auto"/>
                                        <w:bottom w:val="none" w:sz="0" w:space="0" w:color="auto"/>
                                        <w:right w:val="none" w:sz="0" w:space="0" w:color="auto"/>
                                      </w:divBdr>
                                      <w:divsChild>
                                        <w:div w:id="208345756">
                                          <w:marLeft w:val="0"/>
                                          <w:marRight w:val="0"/>
                                          <w:marTop w:val="0"/>
                                          <w:marBottom w:val="0"/>
                                          <w:divBdr>
                                            <w:top w:val="none" w:sz="0" w:space="0" w:color="auto"/>
                                            <w:left w:val="none" w:sz="0" w:space="0" w:color="auto"/>
                                            <w:bottom w:val="none" w:sz="0" w:space="0" w:color="auto"/>
                                            <w:right w:val="none" w:sz="0" w:space="0" w:color="auto"/>
                                          </w:divBdr>
                                          <w:divsChild>
                                            <w:div w:id="1794328214">
                                              <w:marLeft w:val="0"/>
                                              <w:marRight w:val="0"/>
                                              <w:marTop w:val="0"/>
                                              <w:marBottom w:val="0"/>
                                              <w:divBdr>
                                                <w:top w:val="none" w:sz="0" w:space="0" w:color="auto"/>
                                                <w:left w:val="none" w:sz="0" w:space="0" w:color="auto"/>
                                                <w:bottom w:val="none" w:sz="0" w:space="0" w:color="auto"/>
                                                <w:right w:val="none" w:sz="0" w:space="0" w:color="auto"/>
                                              </w:divBdr>
                                              <w:divsChild>
                                                <w:div w:id="1415780630">
                                                  <w:marLeft w:val="0"/>
                                                  <w:marRight w:val="0"/>
                                                  <w:marTop w:val="240"/>
                                                  <w:marBottom w:val="240"/>
                                                  <w:divBdr>
                                                    <w:top w:val="single" w:sz="6" w:space="6" w:color="F2F2F2"/>
                                                    <w:left w:val="none" w:sz="0" w:space="0" w:color="auto"/>
                                                    <w:bottom w:val="single" w:sz="6" w:space="6" w:color="F2F2F2"/>
                                                    <w:right w:val="none" w:sz="0" w:space="0" w:color="auto"/>
                                                  </w:divBdr>
                                                </w:div>
                                                <w:div w:id="1098406698">
                                                  <w:marLeft w:val="0"/>
                                                  <w:marRight w:val="0"/>
                                                  <w:marTop w:val="0"/>
                                                  <w:marBottom w:val="0"/>
                                                  <w:divBdr>
                                                    <w:top w:val="none" w:sz="0" w:space="0" w:color="auto"/>
                                                    <w:left w:val="none" w:sz="0" w:space="0" w:color="auto"/>
                                                    <w:bottom w:val="none" w:sz="0" w:space="0" w:color="auto"/>
                                                    <w:right w:val="none" w:sz="0" w:space="0" w:color="auto"/>
                                                  </w:divBdr>
                                                  <w:divsChild>
                                                    <w:div w:id="16914191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617110">
      <w:bodyDiv w:val="1"/>
      <w:marLeft w:val="0"/>
      <w:marRight w:val="0"/>
      <w:marTop w:val="0"/>
      <w:marBottom w:val="0"/>
      <w:divBdr>
        <w:top w:val="none" w:sz="0" w:space="0" w:color="auto"/>
        <w:left w:val="none" w:sz="0" w:space="0" w:color="auto"/>
        <w:bottom w:val="none" w:sz="0" w:space="0" w:color="auto"/>
        <w:right w:val="none" w:sz="0" w:space="0" w:color="auto"/>
      </w:divBdr>
      <w:divsChild>
        <w:div w:id="1064252511">
          <w:marLeft w:val="0"/>
          <w:marRight w:val="0"/>
          <w:marTop w:val="0"/>
          <w:marBottom w:val="0"/>
          <w:divBdr>
            <w:top w:val="none" w:sz="0" w:space="0" w:color="auto"/>
            <w:left w:val="none" w:sz="0" w:space="0" w:color="auto"/>
            <w:bottom w:val="none" w:sz="0" w:space="0" w:color="auto"/>
            <w:right w:val="none" w:sz="0" w:space="0" w:color="auto"/>
          </w:divBdr>
          <w:divsChild>
            <w:div w:id="1278835629">
              <w:marLeft w:val="0"/>
              <w:marRight w:val="0"/>
              <w:marTop w:val="150"/>
              <w:marBottom w:val="0"/>
              <w:divBdr>
                <w:top w:val="none" w:sz="0" w:space="0" w:color="auto"/>
                <w:left w:val="none" w:sz="0" w:space="0" w:color="auto"/>
                <w:bottom w:val="none" w:sz="0" w:space="0" w:color="auto"/>
                <w:right w:val="none" w:sz="0" w:space="0" w:color="auto"/>
              </w:divBdr>
              <w:divsChild>
                <w:div w:id="579489846">
                  <w:marLeft w:val="0"/>
                  <w:marRight w:val="0"/>
                  <w:marTop w:val="0"/>
                  <w:marBottom w:val="0"/>
                  <w:divBdr>
                    <w:top w:val="none" w:sz="0" w:space="0" w:color="auto"/>
                    <w:left w:val="none" w:sz="0" w:space="0" w:color="auto"/>
                    <w:bottom w:val="none" w:sz="0" w:space="0" w:color="auto"/>
                    <w:right w:val="none" w:sz="0" w:space="0" w:color="auto"/>
                  </w:divBdr>
                  <w:divsChild>
                    <w:div w:id="7951577">
                      <w:marLeft w:val="0"/>
                      <w:marRight w:val="0"/>
                      <w:marTop w:val="0"/>
                      <w:marBottom w:val="0"/>
                      <w:divBdr>
                        <w:top w:val="none" w:sz="0" w:space="0" w:color="auto"/>
                        <w:left w:val="none" w:sz="0" w:space="0" w:color="auto"/>
                        <w:bottom w:val="none" w:sz="0" w:space="0" w:color="auto"/>
                        <w:right w:val="none" w:sz="0" w:space="0" w:color="auto"/>
                      </w:divBdr>
                      <w:divsChild>
                        <w:div w:id="1082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12038">
      <w:bodyDiv w:val="1"/>
      <w:marLeft w:val="0"/>
      <w:marRight w:val="0"/>
      <w:marTop w:val="0"/>
      <w:marBottom w:val="0"/>
      <w:divBdr>
        <w:top w:val="none" w:sz="0" w:space="0" w:color="auto"/>
        <w:left w:val="none" w:sz="0" w:space="0" w:color="auto"/>
        <w:bottom w:val="none" w:sz="0" w:space="0" w:color="auto"/>
        <w:right w:val="none" w:sz="0" w:space="0" w:color="auto"/>
      </w:divBdr>
      <w:divsChild>
        <w:div w:id="1200435785">
          <w:marLeft w:val="0"/>
          <w:marRight w:val="0"/>
          <w:marTop w:val="0"/>
          <w:marBottom w:val="0"/>
          <w:divBdr>
            <w:top w:val="none" w:sz="0" w:space="0" w:color="auto"/>
            <w:left w:val="none" w:sz="0" w:space="0" w:color="auto"/>
            <w:bottom w:val="none" w:sz="0" w:space="0" w:color="auto"/>
            <w:right w:val="none" w:sz="0" w:space="0" w:color="auto"/>
          </w:divBdr>
          <w:divsChild>
            <w:div w:id="1668512585">
              <w:marLeft w:val="0"/>
              <w:marRight w:val="0"/>
              <w:marTop w:val="0"/>
              <w:marBottom w:val="0"/>
              <w:divBdr>
                <w:top w:val="none" w:sz="0" w:space="0" w:color="auto"/>
                <w:left w:val="none" w:sz="0" w:space="0" w:color="auto"/>
                <w:bottom w:val="none" w:sz="0" w:space="0" w:color="auto"/>
                <w:right w:val="none" w:sz="0" w:space="0" w:color="auto"/>
              </w:divBdr>
              <w:divsChild>
                <w:div w:id="854031468">
                  <w:marLeft w:val="0"/>
                  <w:marRight w:val="0"/>
                  <w:marTop w:val="0"/>
                  <w:marBottom w:val="0"/>
                  <w:divBdr>
                    <w:top w:val="none" w:sz="0" w:space="0" w:color="auto"/>
                    <w:left w:val="none" w:sz="0" w:space="0" w:color="auto"/>
                    <w:bottom w:val="none" w:sz="0" w:space="0" w:color="auto"/>
                    <w:right w:val="none" w:sz="0" w:space="0" w:color="auto"/>
                  </w:divBdr>
                  <w:divsChild>
                    <w:div w:id="1384209576">
                      <w:marLeft w:val="0"/>
                      <w:marRight w:val="0"/>
                      <w:marTop w:val="0"/>
                      <w:marBottom w:val="0"/>
                      <w:divBdr>
                        <w:top w:val="none" w:sz="0" w:space="0" w:color="auto"/>
                        <w:left w:val="none" w:sz="0" w:space="0" w:color="auto"/>
                        <w:bottom w:val="none" w:sz="0" w:space="0" w:color="auto"/>
                        <w:right w:val="none" w:sz="0" w:space="0" w:color="auto"/>
                      </w:divBdr>
                      <w:divsChild>
                        <w:div w:id="65877516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105534229">
      <w:bodyDiv w:val="1"/>
      <w:marLeft w:val="0"/>
      <w:marRight w:val="0"/>
      <w:marTop w:val="0"/>
      <w:marBottom w:val="0"/>
      <w:divBdr>
        <w:top w:val="none" w:sz="0" w:space="0" w:color="auto"/>
        <w:left w:val="none" w:sz="0" w:space="0" w:color="auto"/>
        <w:bottom w:val="none" w:sz="0" w:space="0" w:color="auto"/>
        <w:right w:val="none" w:sz="0" w:space="0" w:color="auto"/>
      </w:divBdr>
      <w:divsChild>
        <w:div w:id="808086327">
          <w:marLeft w:val="0"/>
          <w:marRight w:val="0"/>
          <w:marTop w:val="0"/>
          <w:marBottom w:val="0"/>
          <w:divBdr>
            <w:top w:val="none" w:sz="0" w:space="0" w:color="auto"/>
            <w:left w:val="none" w:sz="0" w:space="0" w:color="auto"/>
            <w:bottom w:val="none" w:sz="0" w:space="0" w:color="auto"/>
            <w:right w:val="none" w:sz="0" w:space="0" w:color="auto"/>
          </w:divBdr>
          <w:divsChild>
            <w:div w:id="1990665206">
              <w:marLeft w:val="0"/>
              <w:marRight w:val="0"/>
              <w:marTop w:val="0"/>
              <w:marBottom w:val="0"/>
              <w:divBdr>
                <w:top w:val="none" w:sz="0" w:space="0" w:color="auto"/>
                <w:left w:val="none" w:sz="0" w:space="0" w:color="auto"/>
                <w:bottom w:val="none" w:sz="0" w:space="0" w:color="auto"/>
                <w:right w:val="none" w:sz="0" w:space="0" w:color="auto"/>
              </w:divBdr>
              <w:divsChild>
                <w:div w:id="755053861">
                  <w:marLeft w:val="0"/>
                  <w:marRight w:val="0"/>
                  <w:marTop w:val="0"/>
                  <w:marBottom w:val="0"/>
                  <w:divBdr>
                    <w:top w:val="none" w:sz="0" w:space="0" w:color="auto"/>
                    <w:left w:val="none" w:sz="0" w:space="0" w:color="auto"/>
                    <w:bottom w:val="none" w:sz="0" w:space="0" w:color="auto"/>
                    <w:right w:val="none" w:sz="0" w:space="0" w:color="auto"/>
                  </w:divBdr>
                  <w:divsChild>
                    <w:div w:id="2064481256">
                      <w:marLeft w:val="0"/>
                      <w:marRight w:val="0"/>
                      <w:marTop w:val="0"/>
                      <w:marBottom w:val="0"/>
                      <w:divBdr>
                        <w:top w:val="none" w:sz="0" w:space="0" w:color="auto"/>
                        <w:left w:val="none" w:sz="0" w:space="0" w:color="auto"/>
                        <w:bottom w:val="none" w:sz="0" w:space="0" w:color="auto"/>
                        <w:right w:val="none" w:sz="0" w:space="0" w:color="auto"/>
                      </w:divBdr>
                      <w:divsChild>
                        <w:div w:id="1589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729734">
      <w:bodyDiv w:val="1"/>
      <w:marLeft w:val="0"/>
      <w:marRight w:val="0"/>
      <w:marTop w:val="0"/>
      <w:marBottom w:val="0"/>
      <w:divBdr>
        <w:top w:val="none" w:sz="0" w:space="0" w:color="auto"/>
        <w:left w:val="none" w:sz="0" w:space="0" w:color="auto"/>
        <w:bottom w:val="none" w:sz="0" w:space="0" w:color="auto"/>
        <w:right w:val="none" w:sz="0" w:space="0" w:color="auto"/>
      </w:divBdr>
      <w:divsChild>
        <w:div w:id="426971232">
          <w:marLeft w:val="0"/>
          <w:marRight w:val="0"/>
          <w:marTop w:val="0"/>
          <w:marBottom w:val="0"/>
          <w:divBdr>
            <w:top w:val="none" w:sz="0" w:space="0" w:color="auto"/>
            <w:left w:val="none" w:sz="0" w:space="0" w:color="auto"/>
            <w:bottom w:val="none" w:sz="0" w:space="0" w:color="auto"/>
            <w:right w:val="none" w:sz="0" w:space="0" w:color="auto"/>
          </w:divBdr>
        </w:div>
      </w:divsChild>
    </w:div>
    <w:div w:id="1106731486">
      <w:bodyDiv w:val="1"/>
      <w:marLeft w:val="0"/>
      <w:marRight w:val="0"/>
      <w:marTop w:val="0"/>
      <w:marBottom w:val="0"/>
      <w:divBdr>
        <w:top w:val="none" w:sz="0" w:space="0" w:color="auto"/>
        <w:left w:val="none" w:sz="0" w:space="0" w:color="auto"/>
        <w:bottom w:val="none" w:sz="0" w:space="0" w:color="auto"/>
        <w:right w:val="none" w:sz="0" w:space="0" w:color="auto"/>
      </w:divBdr>
      <w:divsChild>
        <w:div w:id="449708447">
          <w:marLeft w:val="0"/>
          <w:marRight w:val="0"/>
          <w:marTop w:val="0"/>
          <w:marBottom w:val="0"/>
          <w:divBdr>
            <w:top w:val="none" w:sz="0" w:space="0" w:color="auto"/>
            <w:left w:val="none" w:sz="0" w:space="0" w:color="auto"/>
            <w:bottom w:val="none" w:sz="0" w:space="0" w:color="auto"/>
            <w:right w:val="none" w:sz="0" w:space="0" w:color="auto"/>
          </w:divBdr>
          <w:divsChild>
            <w:div w:id="772750965">
              <w:marLeft w:val="-225"/>
              <w:marRight w:val="-225"/>
              <w:marTop w:val="0"/>
              <w:marBottom w:val="0"/>
              <w:divBdr>
                <w:top w:val="none" w:sz="0" w:space="0" w:color="auto"/>
                <w:left w:val="none" w:sz="0" w:space="0" w:color="auto"/>
                <w:bottom w:val="none" w:sz="0" w:space="0" w:color="auto"/>
                <w:right w:val="none" w:sz="0" w:space="0" w:color="auto"/>
              </w:divBdr>
              <w:divsChild>
                <w:div w:id="21452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4166">
      <w:bodyDiv w:val="1"/>
      <w:marLeft w:val="0"/>
      <w:marRight w:val="0"/>
      <w:marTop w:val="0"/>
      <w:marBottom w:val="0"/>
      <w:divBdr>
        <w:top w:val="none" w:sz="0" w:space="0" w:color="auto"/>
        <w:left w:val="none" w:sz="0" w:space="0" w:color="auto"/>
        <w:bottom w:val="none" w:sz="0" w:space="0" w:color="auto"/>
        <w:right w:val="none" w:sz="0" w:space="0" w:color="auto"/>
      </w:divBdr>
    </w:div>
    <w:div w:id="1107778054">
      <w:bodyDiv w:val="1"/>
      <w:marLeft w:val="0"/>
      <w:marRight w:val="0"/>
      <w:marTop w:val="0"/>
      <w:marBottom w:val="0"/>
      <w:divBdr>
        <w:top w:val="none" w:sz="0" w:space="0" w:color="auto"/>
        <w:left w:val="none" w:sz="0" w:space="0" w:color="auto"/>
        <w:bottom w:val="none" w:sz="0" w:space="0" w:color="auto"/>
        <w:right w:val="none" w:sz="0" w:space="0" w:color="auto"/>
      </w:divBdr>
      <w:divsChild>
        <w:div w:id="2012633026">
          <w:marLeft w:val="0"/>
          <w:marRight w:val="0"/>
          <w:marTop w:val="0"/>
          <w:marBottom w:val="0"/>
          <w:divBdr>
            <w:top w:val="none" w:sz="0" w:space="0" w:color="auto"/>
            <w:left w:val="none" w:sz="0" w:space="0" w:color="auto"/>
            <w:bottom w:val="none" w:sz="0" w:space="0" w:color="auto"/>
            <w:right w:val="none" w:sz="0" w:space="0" w:color="auto"/>
          </w:divBdr>
          <w:divsChild>
            <w:div w:id="2081713069">
              <w:marLeft w:val="0"/>
              <w:marRight w:val="0"/>
              <w:marTop w:val="0"/>
              <w:marBottom w:val="0"/>
              <w:divBdr>
                <w:top w:val="none" w:sz="0" w:space="0" w:color="auto"/>
                <w:left w:val="none" w:sz="0" w:space="0" w:color="auto"/>
                <w:bottom w:val="none" w:sz="0" w:space="0" w:color="auto"/>
                <w:right w:val="none" w:sz="0" w:space="0" w:color="auto"/>
              </w:divBdr>
              <w:divsChild>
                <w:div w:id="1992640397">
                  <w:marLeft w:val="0"/>
                  <w:marRight w:val="0"/>
                  <w:marTop w:val="0"/>
                  <w:marBottom w:val="0"/>
                  <w:divBdr>
                    <w:top w:val="none" w:sz="0" w:space="0" w:color="auto"/>
                    <w:left w:val="none" w:sz="0" w:space="0" w:color="auto"/>
                    <w:bottom w:val="none" w:sz="0" w:space="0" w:color="auto"/>
                    <w:right w:val="none" w:sz="0" w:space="0" w:color="auto"/>
                  </w:divBdr>
                  <w:divsChild>
                    <w:div w:id="554973805">
                      <w:marLeft w:val="0"/>
                      <w:marRight w:val="0"/>
                      <w:marTop w:val="0"/>
                      <w:marBottom w:val="0"/>
                      <w:divBdr>
                        <w:top w:val="none" w:sz="0" w:space="0" w:color="auto"/>
                        <w:left w:val="none" w:sz="0" w:space="0" w:color="auto"/>
                        <w:bottom w:val="none" w:sz="0" w:space="0" w:color="auto"/>
                        <w:right w:val="none" w:sz="0" w:space="0" w:color="auto"/>
                      </w:divBdr>
                      <w:divsChild>
                        <w:div w:id="945623726">
                          <w:marLeft w:val="0"/>
                          <w:marRight w:val="0"/>
                          <w:marTop w:val="0"/>
                          <w:marBottom w:val="0"/>
                          <w:divBdr>
                            <w:top w:val="none" w:sz="0" w:space="0" w:color="auto"/>
                            <w:left w:val="none" w:sz="0" w:space="0" w:color="auto"/>
                            <w:bottom w:val="none" w:sz="0" w:space="0" w:color="auto"/>
                            <w:right w:val="none" w:sz="0" w:space="0" w:color="auto"/>
                          </w:divBdr>
                          <w:divsChild>
                            <w:div w:id="1452895514">
                              <w:marLeft w:val="0"/>
                              <w:marRight w:val="0"/>
                              <w:marTop w:val="0"/>
                              <w:marBottom w:val="0"/>
                              <w:divBdr>
                                <w:top w:val="none" w:sz="0" w:space="0" w:color="auto"/>
                                <w:left w:val="none" w:sz="0" w:space="0" w:color="auto"/>
                                <w:bottom w:val="none" w:sz="0" w:space="0" w:color="auto"/>
                                <w:right w:val="none" w:sz="0" w:space="0" w:color="auto"/>
                              </w:divBdr>
                              <w:divsChild>
                                <w:div w:id="1917935124">
                                  <w:marLeft w:val="0"/>
                                  <w:marRight w:val="0"/>
                                  <w:marTop w:val="0"/>
                                  <w:marBottom w:val="0"/>
                                  <w:divBdr>
                                    <w:top w:val="none" w:sz="0" w:space="0" w:color="auto"/>
                                    <w:left w:val="none" w:sz="0" w:space="0" w:color="auto"/>
                                    <w:bottom w:val="none" w:sz="0" w:space="0" w:color="auto"/>
                                    <w:right w:val="none" w:sz="0" w:space="0" w:color="auto"/>
                                  </w:divBdr>
                                  <w:divsChild>
                                    <w:div w:id="112940144">
                                      <w:marLeft w:val="0"/>
                                      <w:marRight w:val="0"/>
                                      <w:marTop w:val="0"/>
                                      <w:marBottom w:val="0"/>
                                      <w:divBdr>
                                        <w:top w:val="none" w:sz="0" w:space="0" w:color="auto"/>
                                        <w:left w:val="none" w:sz="0" w:space="0" w:color="auto"/>
                                        <w:bottom w:val="none" w:sz="0" w:space="0" w:color="auto"/>
                                        <w:right w:val="none" w:sz="0" w:space="0" w:color="auto"/>
                                      </w:divBdr>
                                      <w:divsChild>
                                        <w:div w:id="1714035881">
                                          <w:marLeft w:val="0"/>
                                          <w:marRight w:val="0"/>
                                          <w:marTop w:val="0"/>
                                          <w:marBottom w:val="0"/>
                                          <w:divBdr>
                                            <w:top w:val="none" w:sz="0" w:space="0" w:color="auto"/>
                                            <w:left w:val="none" w:sz="0" w:space="0" w:color="auto"/>
                                            <w:bottom w:val="none" w:sz="0" w:space="0" w:color="auto"/>
                                            <w:right w:val="none" w:sz="0" w:space="0" w:color="auto"/>
                                          </w:divBdr>
                                        </w:div>
                                        <w:div w:id="70859293">
                                          <w:marLeft w:val="0"/>
                                          <w:marRight w:val="0"/>
                                          <w:marTop w:val="0"/>
                                          <w:marBottom w:val="0"/>
                                          <w:divBdr>
                                            <w:top w:val="none" w:sz="0" w:space="0" w:color="auto"/>
                                            <w:left w:val="none" w:sz="0" w:space="0" w:color="auto"/>
                                            <w:bottom w:val="none" w:sz="0" w:space="0" w:color="auto"/>
                                            <w:right w:val="none" w:sz="0" w:space="0" w:color="auto"/>
                                          </w:divBdr>
                                          <w:divsChild>
                                            <w:div w:id="11018720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4138">
      <w:bodyDiv w:val="1"/>
      <w:marLeft w:val="0"/>
      <w:marRight w:val="0"/>
      <w:marTop w:val="0"/>
      <w:marBottom w:val="0"/>
      <w:divBdr>
        <w:top w:val="none" w:sz="0" w:space="0" w:color="auto"/>
        <w:left w:val="none" w:sz="0" w:space="0" w:color="auto"/>
        <w:bottom w:val="none" w:sz="0" w:space="0" w:color="auto"/>
        <w:right w:val="none" w:sz="0" w:space="0" w:color="auto"/>
      </w:divBdr>
      <w:divsChild>
        <w:div w:id="119960312">
          <w:marLeft w:val="0"/>
          <w:marRight w:val="0"/>
          <w:marTop w:val="0"/>
          <w:marBottom w:val="0"/>
          <w:divBdr>
            <w:top w:val="none" w:sz="0" w:space="0" w:color="auto"/>
            <w:left w:val="none" w:sz="0" w:space="0" w:color="auto"/>
            <w:bottom w:val="none" w:sz="0" w:space="0" w:color="auto"/>
            <w:right w:val="none" w:sz="0" w:space="0" w:color="auto"/>
          </w:divBdr>
          <w:divsChild>
            <w:div w:id="87389329">
              <w:marLeft w:val="0"/>
              <w:marRight w:val="0"/>
              <w:marTop w:val="0"/>
              <w:marBottom w:val="0"/>
              <w:divBdr>
                <w:top w:val="none" w:sz="0" w:space="0" w:color="auto"/>
                <w:left w:val="none" w:sz="0" w:space="0" w:color="auto"/>
                <w:bottom w:val="none" w:sz="0" w:space="0" w:color="auto"/>
                <w:right w:val="none" w:sz="0" w:space="0" w:color="auto"/>
              </w:divBdr>
              <w:divsChild>
                <w:div w:id="1680498942">
                  <w:marLeft w:val="-375"/>
                  <w:marRight w:val="0"/>
                  <w:marTop w:val="0"/>
                  <w:marBottom w:val="0"/>
                  <w:divBdr>
                    <w:top w:val="none" w:sz="0" w:space="0" w:color="auto"/>
                    <w:left w:val="none" w:sz="0" w:space="0" w:color="auto"/>
                    <w:bottom w:val="none" w:sz="0" w:space="0" w:color="auto"/>
                    <w:right w:val="none" w:sz="0" w:space="0" w:color="auto"/>
                  </w:divBdr>
                  <w:divsChild>
                    <w:div w:id="623316598">
                      <w:marLeft w:val="0"/>
                      <w:marRight w:val="0"/>
                      <w:marTop w:val="0"/>
                      <w:marBottom w:val="0"/>
                      <w:divBdr>
                        <w:top w:val="none" w:sz="0" w:space="0" w:color="auto"/>
                        <w:left w:val="none" w:sz="0" w:space="0" w:color="auto"/>
                        <w:bottom w:val="none" w:sz="0" w:space="0" w:color="auto"/>
                        <w:right w:val="none" w:sz="0" w:space="0" w:color="auto"/>
                      </w:divBdr>
                      <w:divsChild>
                        <w:div w:id="623583118">
                          <w:marLeft w:val="0"/>
                          <w:marRight w:val="0"/>
                          <w:marTop w:val="0"/>
                          <w:marBottom w:val="0"/>
                          <w:divBdr>
                            <w:top w:val="none" w:sz="0" w:space="0" w:color="auto"/>
                            <w:left w:val="none" w:sz="0" w:space="0" w:color="auto"/>
                            <w:bottom w:val="none" w:sz="0" w:space="0" w:color="auto"/>
                            <w:right w:val="none" w:sz="0" w:space="0" w:color="auto"/>
                          </w:divBdr>
                          <w:divsChild>
                            <w:div w:id="760613436">
                              <w:marLeft w:val="-375"/>
                              <w:marRight w:val="0"/>
                              <w:marTop w:val="0"/>
                              <w:marBottom w:val="0"/>
                              <w:divBdr>
                                <w:top w:val="none" w:sz="0" w:space="0" w:color="auto"/>
                                <w:left w:val="none" w:sz="0" w:space="0" w:color="auto"/>
                                <w:bottom w:val="none" w:sz="0" w:space="0" w:color="auto"/>
                                <w:right w:val="none" w:sz="0" w:space="0" w:color="auto"/>
                              </w:divBdr>
                              <w:divsChild>
                                <w:div w:id="3172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625340">
      <w:bodyDiv w:val="1"/>
      <w:marLeft w:val="0"/>
      <w:marRight w:val="0"/>
      <w:marTop w:val="0"/>
      <w:marBottom w:val="0"/>
      <w:divBdr>
        <w:top w:val="none" w:sz="0" w:space="0" w:color="auto"/>
        <w:left w:val="none" w:sz="0" w:space="0" w:color="auto"/>
        <w:bottom w:val="none" w:sz="0" w:space="0" w:color="auto"/>
        <w:right w:val="none" w:sz="0" w:space="0" w:color="auto"/>
      </w:divBdr>
      <w:divsChild>
        <w:div w:id="479273458">
          <w:marLeft w:val="0"/>
          <w:marRight w:val="0"/>
          <w:marTop w:val="0"/>
          <w:marBottom w:val="0"/>
          <w:divBdr>
            <w:top w:val="single" w:sz="6" w:space="0" w:color="0E477A"/>
            <w:left w:val="single" w:sz="6" w:space="0" w:color="0E477A"/>
            <w:bottom w:val="single" w:sz="6" w:space="0" w:color="0E477A"/>
            <w:right w:val="single" w:sz="6" w:space="0" w:color="0E477A"/>
          </w:divBdr>
          <w:divsChild>
            <w:div w:id="890455279">
              <w:marLeft w:val="2925"/>
              <w:marRight w:val="0"/>
              <w:marTop w:val="0"/>
              <w:marBottom w:val="0"/>
              <w:divBdr>
                <w:top w:val="none" w:sz="0" w:space="0" w:color="auto"/>
                <w:left w:val="none" w:sz="0" w:space="0" w:color="auto"/>
                <w:bottom w:val="none" w:sz="0" w:space="0" w:color="auto"/>
                <w:right w:val="none" w:sz="0" w:space="0" w:color="auto"/>
              </w:divBdr>
              <w:divsChild>
                <w:div w:id="720519260">
                  <w:marLeft w:val="0"/>
                  <w:marRight w:val="0"/>
                  <w:marTop w:val="0"/>
                  <w:marBottom w:val="0"/>
                  <w:divBdr>
                    <w:top w:val="none" w:sz="0" w:space="0" w:color="auto"/>
                    <w:left w:val="none" w:sz="0" w:space="0" w:color="auto"/>
                    <w:bottom w:val="none" w:sz="0" w:space="0" w:color="auto"/>
                    <w:right w:val="none" w:sz="0" w:space="0" w:color="auto"/>
                  </w:divBdr>
                  <w:divsChild>
                    <w:div w:id="762729946">
                      <w:marLeft w:val="0"/>
                      <w:marRight w:val="150"/>
                      <w:marTop w:val="0"/>
                      <w:marBottom w:val="0"/>
                      <w:divBdr>
                        <w:top w:val="single" w:sz="6" w:space="0" w:color="CCCCCC"/>
                        <w:left w:val="single" w:sz="6" w:space="8" w:color="CCCCCC"/>
                        <w:bottom w:val="single" w:sz="6" w:space="8" w:color="CCCCCC"/>
                        <w:right w:val="single" w:sz="6" w:space="8" w:color="CCCCCC"/>
                      </w:divBdr>
                      <w:divsChild>
                        <w:div w:id="1418092844">
                          <w:marLeft w:val="0"/>
                          <w:marRight w:val="0"/>
                          <w:marTop w:val="0"/>
                          <w:marBottom w:val="0"/>
                          <w:divBdr>
                            <w:top w:val="none" w:sz="0" w:space="0" w:color="auto"/>
                            <w:left w:val="none" w:sz="0" w:space="0" w:color="auto"/>
                            <w:bottom w:val="none" w:sz="0" w:space="0" w:color="auto"/>
                            <w:right w:val="none" w:sz="0" w:space="0" w:color="auto"/>
                          </w:divBdr>
                        </w:div>
                        <w:div w:id="1999917645">
                          <w:marLeft w:val="0"/>
                          <w:marRight w:val="0"/>
                          <w:marTop w:val="0"/>
                          <w:marBottom w:val="0"/>
                          <w:divBdr>
                            <w:top w:val="none" w:sz="0" w:space="0" w:color="auto"/>
                            <w:left w:val="none" w:sz="0" w:space="0" w:color="auto"/>
                            <w:bottom w:val="none" w:sz="0" w:space="0" w:color="auto"/>
                            <w:right w:val="none" w:sz="0" w:space="0" w:color="auto"/>
                          </w:divBdr>
                        </w:div>
                        <w:div w:id="2065791746">
                          <w:marLeft w:val="0"/>
                          <w:marRight w:val="0"/>
                          <w:marTop w:val="0"/>
                          <w:marBottom w:val="0"/>
                          <w:divBdr>
                            <w:top w:val="none" w:sz="0" w:space="0" w:color="auto"/>
                            <w:left w:val="none" w:sz="0" w:space="0" w:color="auto"/>
                            <w:bottom w:val="none" w:sz="0" w:space="0" w:color="auto"/>
                            <w:right w:val="none" w:sz="0" w:space="0" w:color="auto"/>
                          </w:divBdr>
                        </w:div>
                        <w:div w:id="813524130">
                          <w:marLeft w:val="0"/>
                          <w:marRight w:val="0"/>
                          <w:marTop w:val="0"/>
                          <w:marBottom w:val="0"/>
                          <w:divBdr>
                            <w:top w:val="none" w:sz="0" w:space="0" w:color="auto"/>
                            <w:left w:val="none" w:sz="0" w:space="0" w:color="auto"/>
                            <w:bottom w:val="none" w:sz="0" w:space="0" w:color="auto"/>
                            <w:right w:val="none" w:sz="0" w:space="0" w:color="auto"/>
                          </w:divBdr>
                        </w:div>
                        <w:div w:id="1068109384">
                          <w:marLeft w:val="0"/>
                          <w:marRight w:val="0"/>
                          <w:marTop w:val="0"/>
                          <w:marBottom w:val="0"/>
                          <w:divBdr>
                            <w:top w:val="none" w:sz="0" w:space="0" w:color="auto"/>
                            <w:left w:val="none" w:sz="0" w:space="0" w:color="auto"/>
                            <w:bottom w:val="none" w:sz="0" w:space="0" w:color="auto"/>
                            <w:right w:val="none" w:sz="0" w:space="0" w:color="auto"/>
                          </w:divBdr>
                        </w:div>
                        <w:div w:id="2044136493">
                          <w:marLeft w:val="0"/>
                          <w:marRight w:val="0"/>
                          <w:marTop w:val="0"/>
                          <w:marBottom w:val="0"/>
                          <w:divBdr>
                            <w:top w:val="none" w:sz="0" w:space="0" w:color="auto"/>
                            <w:left w:val="none" w:sz="0" w:space="0" w:color="auto"/>
                            <w:bottom w:val="none" w:sz="0" w:space="0" w:color="auto"/>
                            <w:right w:val="none" w:sz="0" w:space="0" w:color="auto"/>
                          </w:divBdr>
                        </w:div>
                        <w:div w:id="912549813">
                          <w:marLeft w:val="0"/>
                          <w:marRight w:val="0"/>
                          <w:marTop w:val="0"/>
                          <w:marBottom w:val="0"/>
                          <w:divBdr>
                            <w:top w:val="none" w:sz="0" w:space="0" w:color="auto"/>
                            <w:left w:val="none" w:sz="0" w:space="0" w:color="auto"/>
                            <w:bottom w:val="none" w:sz="0" w:space="0" w:color="auto"/>
                            <w:right w:val="none" w:sz="0" w:space="0" w:color="auto"/>
                          </w:divBdr>
                        </w:div>
                        <w:div w:id="599335571">
                          <w:marLeft w:val="0"/>
                          <w:marRight w:val="0"/>
                          <w:marTop w:val="0"/>
                          <w:marBottom w:val="0"/>
                          <w:divBdr>
                            <w:top w:val="none" w:sz="0" w:space="0" w:color="auto"/>
                            <w:left w:val="none" w:sz="0" w:space="0" w:color="auto"/>
                            <w:bottom w:val="none" w:sz="0" w:space="0" w:color="auto"/>
                            <w:right w:val="none" w:sz="0" w:space="0" w:color="auto"/>
                          </w:divBdr>
                        </w:div>
                        <w:div w:id="113863233">
                          <w:marLeft w:val="0"/>
                          <w:marRight w:val="0"/>
                          <w:marTop w:val="0"/>
                          <w:marBottom w:val="0"/>
                          <w:divBdr>
                            <w:top w:val="none" w:sz="0" w:space="0" w:color="auto"/>
                            <w:left w:val="none" w:sz="0" w:space="0" w:color="auto"/>
                            <w:bottom w:val="none" w:sz="0" w:space="0" w:color="auto"/>
                            <w:right w:val="none" w:sz="0" w:space="0" w:color="auto"/>
                          </w:divBdr>
                        </w:div>
                        <w:div w:id="20081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49374">
      <w:bodyDiv w:val="1"/>
      <w:marLeft w:val="0"/>
      <w:marRight w:val="0"/>
      <w:marTop w:val="0"/>
      <w:marBottom w:val="0"/>
      <w:divBdr>
        <w:top w:val="none" w:sz="0" w:space="0" w:color="auto"/>
        <w:left w:val="none" w:sz="0" w:space="0" w:color="auto"/>
        <w:bottom w:val="none" w:sz="0" w:space="0" w:color="auto"/>
        <w:right w:val="none" w:sz="0" w:space="0" w:color="auto"/>
      </w:divBdr>
      <w:divsChild>
        <w:div w:id="496504891">
          <w:marLeft w:val="0"/>
          <w:marRight w:val="0"/>
          <w:marTop w:val="0"/>
          <w:marBottom w:val="0"/>
          <w:divBdr>
            <w:top w:val="none" w:sz="0" w:space="0" w:color="auto"/>
            <w:left w:val="none" w:sz="0" w:space="0" w:color="auto"/>
            <w:bottom w:val="none" w:sz="0" w:space="0" w:color="auto"/>
            <w:right w:val="none" w:sz="0" w:space="0" w:color="auto"/>
          </w:divBdr>
          <w:divsChild>
            <w:div w:id="1729111477">
              <w:marLeft w:val="0"/>
              <w:marRight w:val="0"/>
              <w:marTop w:val="0"/>
              <w:marBottom w:val="0"/>
              <w:divBdr>
                <w:top w:val="none" w:sz="0" w:space="0" w:color="auto"/>
                <w:left w:val="none" w:sz="0" w:space="0" w:color="auto"/>
                <w:bottom w:val="none" w:sz="0" w:space="0" w:color="auto"/>
                <w:right w:val="none" w:sz="0" w:space="0" w:color="auto"/>
              </w:divBdr>
              <w:divsChild>
                <w:div w:id="508832987">
                  <w:marLeft w:val="0"/>
                  <w:marRight w:val="0"/>
                  <w:marTop w:val="0"/>
                  <w:marBottom w:val="0"/>
                  <w:divBdr>
                    <w:top w:val="none" w:sz="0" w:space="0" w:color="auto"/>
                    <w:left w:val="none" w:sz="0" w:space="0" w:color="auto"/>
                    <w:bottom w:val="none" w:sz="0" w:space="0" w:color="auto"/>
                    <w:right w:val="none" w:sz="0" w:space="0" w:color="auto"/>
                  </w:divBdr>
                  <w:divsChild>
                    <w:div w:id="1060056648">
                      <w:marLeft w:val="0"/>
                      <w:marRight w:val="0"/>
                      <w:marTop w:val="0"/>
                      <w:marBottom w:val="0"/>
                      <w:divBdr>
                        <w:top w:val="none" w:sz="0" w:space="0" w:color="auto"/>
                        <w:left w:val="none" w:sz="0" w:space="0" w:color="auto"/>
                        <w:bottom w:val="none" w:sz="0" w:space="0" w:color="auto"/>
                        <w:right w:val="none" w:sz="0" w:space="0" w:color="auto"/>
                      </w:divBdr>
                      <w:divsChild>
                        <w:div w:id="484786069">
                          <w:marLeft w:val="0"/>
                          <w:marRight w:val="0"/>
                          <w:marTop w:val="0"/>
                          <w:marBottom w:val="0"/>
                          <w:divBdr>
                            <w:top w:val="none" w:sz="0" w:space="0" w:color="auto"/>
                            <w:left w:val="none" w:sz="0" w:space="0" w:color="auto"/>
                            <w:bottom w:val="none" w:sz="0" w:space="0" w:color="auto"/>
                            <w:right w:val="none" w:sz="0" w:space="0" w:color="auto"/>
                          </w:divBdr>
                          <w:divsChild>
                            <w:div w:id="1583644021">
                              <w:marLeft w:val="570"/>
                              <w:marRight w:val="720"/>
                              <w:marTop w:val="120"/>
                              <w:marBottom w:val="120"/>
                              <w:divBdr>
                                <w:top w:val="none" w:sz="0" w:space="0" w:color="auto"/>
                                <w:left w:val="none" w:sz="0" w:space="0" w:color="auto"/>
                                <w:bottom w:val="none" w:sz="0" w:space="0" w:color="auto"/>
                                <w:right w:val="none" w:sz="0" w:space="0" w:color="auto"/>
                              </w:divBdr>
                              <w:divsChild>
                                <w:div w:id="969552091">
                                  <w:marLeft w:val="0"/>
                                  <w:marRight w:val="0"/>
                                  <w:marTop w:val="0"/>
                                  <w:marBottom w:val="0"/>
                                  <w:divBdr>
                                    <w:top w:val="none" w:sz="0" w:space="0" w:color="auto"/>
                                    <w:left w:val="none" w:sz="0" w:space="0" w:color="auto"/>
                                    <w:bottom w:val="none" w:sz="0" w:space="0" w:color="auto"/>
                                    <w:right w:val="none" w:sz="0" w:space="0" w:color="auto"/>
                                  </w:divBdr>
                                  <w:divsChild>
                                    <w:div w:id="1733579293">
                                      <w:marLeft w:val="0"/>
                                      <w:marRight w:val="0"/>
                                      <w:marTop w:val="0"/>
                                      <w:marBottom w:val="0"/>
                                      <w:divBdr>
                                        <w:top w:val="none" w:sz="0" w:space="0" w:color="auto"/>
                                        <w:left w:val="none" w:sz="0" w:space="0" w:color="auto"/>
                                        <w:bottom w:val="none" w:sz="0" w:space="0" w:color="auto"/>
                                        <w:right w:val="none" w:sz="0" w:space="0" w:color="auto"/>
                                      </w:divBdr>
                                      <w:divsChild>
                                        <w:div w:id="148602088">
                                          <w:marLeft w:val="0"/>
                                          <w:marRight w:val="0"/>
                                          <w:marTop w:val="0"/>
                                          <w:marBottom w:val="0"/>
                                          <w:divBdr>
                                            <w:top w:val="none" w:sz="0" w:space="0" w:color="auto"/>
                                            <w:left w:val="none" w:sz="0" w:space="0" w:color="auto"/>
                                            <w:bottom w:val="none" w:sz="0" w:space="0" w:color="auto"/>
                                            <w:right w:val="none" w:sz="0" w:space="0" w:color="auto"/>
                                          </w:divBdr>
                                        </w:div>
                                        <w:div w:id="1627467081">
                                          <w:marLeft w:val="0"/>
                                          <w:marRight w:val="0"/>
                                          <w:marTop w:val="0"/>
                                          <w:marBottom w:val="150"/>
                                          <w:divBdr>
                                            <w:top w:val="none" w:sz="0" w:space="0" w:color="auto"/>
                                            <w:left w:val="none" w:sz="0" w:space="0" w:color="auto"/>
                                            <w:bottom w:val="none" w:sz="0" w:space="0" w:color="auto"/>
                                            <w:right w:val="none" w:sz="0" w:space="0" w:color="auto"/>
                                          </w:divBdr>
                                          <w:divsChild>
                                            <w:div w:id="2019428563">
                                              <w:marLeft w:val="0"/>
                                              <w:marRight w:val="0"/>
                                              <w:marTop w:val="240"/>
                                              <w:marBottom w:val="240"/>
                                              <w:divBdr>
                                                <w:top w:val="single" w:sz="6" w:space="6" w:color="F2F2F2"/>
                                                <w:left w:val="none" w:sz="0" w:space="0" w:color="auto"/>
                                                <w:bottom w:val="single" w:sz="6" w:space="6" w:color="F2F2F2"/>
                                                <w:right w:val="none" w:sz="0" w:space="0" w:color="auto"/>
                                              </w:divBdr>
                                            </w:div>
                                            <w:div w:id="1611742431">
                                              <w:marLeft w:val="0"/>
                                              <w:marRight w:val="0"/>
                                              <w:marTop w:val="0"/>
                                              <w:marBottom w:val="0"/>
                                              <w:divBdr>
                                                <w:top w:val="none" w:sz="0" w:space="0" w:color="auto"/>
                                                <w:left w:val="none" w:sz="0" w:space="0" w:color="auto"/>
                                                <w:bottom w:val="none" w:sz="0" w:space="0" w:color="auto"/>
                                                <w:right w:val="none" w:sz="0" w:space="0" w:color="auto"/>
                                              </w:divBdr>
                                              <w:divsChild>
                                                <w:div w:id="391389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482213">
      <w:bodyDiv w:val="1"/>
      <w:marLeft w:val="0"/>
      <w:marRight w:val="0"/>
      <w:marTop w:val="0"/>
      <w:marBottom w:val="0"/>
      <w:divBdr>
        <w:top w:val="none" w:sz="0" w:space="0" w:color="auto"/>
        <w:left w:val="none" w:sz="0" w:space="0" w:color="auto"/>
        <w:bottom w:val="none" w:sz="0" w:space="0" w:color="auto"/>
        <w:right w:val="none" w:sz="0" w:space="0" w:color="auto"/>
      </w:divBdr>
      <w:divsChild>
        <w:div w:id="1129737869">
          <w:marLeft w:val="0"/>
          <w:marRight w:val="0"/>
          <w:marTop w:val="0"/>
          <w:marBottom w:val="0"/>
          <w:divBdr>
            <w:top w:val="none" w:sz="0" w:space="0" w:color="auto"/>
            <w:left w:val="none" w:sz="0" w:space="0" w:color="auto"/>
            <w:bottom w:val="none" w:sz="0" w:space="0" w:color="auto"/>
            <w:right w:val="none" w:sz="0" w:space="0" w:color="auto"/>
          </w:divBdr>
          <w:divsChild>
            <w:div w:id="2022655520">
              <w:marLeft w:val="0"/>
              <w:marRight w:val="0"/>
              <w:marTop w:val="0"/>
              <w:marBottom w:val="0"/>
              <w:divBdr>
                <w:top w:val="none" w:sz="0" w:space="0" w:color="auto"/>
                <w:left w:val="none" w:sz="0" w:space="0" w:color="auto"/>
                <w:bottom w:val="none" w:sz="0" w:space="0" w:color="auto"/>
                <w:right w:val="none" w:sz="0" w:space="0" w:color="auto"/>
              </w:divBdr>
              <w:divsChild>
                <w:div w:id="697194218">
                  <w:marLeft w:val="0"/>
                  <w:marRight w:val="0"/>
                  <w:marTop w:val="100"/>
                  <w:marBottom w:val="100"/>
                  <w:divBdr>
                    <w:top w:val="none" w:sz="0" w:space="0" w:color="auto"/>
                    <w:left w:val="none" w:sz="0" w:space="0" w:color="auto"/>
                    <w:bottom w:val="none" w:sz="0" w:space="0" w:color="auto"/>
                    <w:right w:val="none" w:sz="0" w:space="0" w:color="auto"/>
                  </w:divBdr>
                  <w:divsChild>
                    <w:div w:id="1660570580">
                      <w:marLeft w:val="0"/>
                      <w:marRight w:val="0"/>
                      <w:marTop w:val="0"/>
                      <w:marBottom w:val="0"/>
                      <w:divBdr>
                        <w:top w:val="none" w:sz="0" w:space="0" w:color="auto"/>
                        <w:left w:val="none" w:sz="0" w:space="0" w:color="auto"/>
                        <w:bottom w:val="none" w:sz="0" w:space="0" w:color="auto"/>
                        <w:right w:val="none" w:sz="0" w:space="0" w:color="auto"/>
                      </w:divBdr>
                      <w:divsChild>
                        <w:div w:id="560874083">
                          <w:marLeft w:val="0"/>
                          <w:marRight w:val="0"/>
                          <w:marTop w:val="0"/>
                          <w:marBottom w:val="0"/>
                          <w:divBdr>
                            <w:top w:val="none" w:sz="0" w:space="0" w:color="auto"/>
                            <w:left w:val="none" w:sz="0" w:space="0" w:color="auto"/>
                            <w:bottom w:val="none" w:sz="0" w:space="0" w:color="auto"/>
                            <w:right w:val="none" w:sz="0" w:space="0" w:color="auto"/>
                          </w:divBdr>
                          <w:divsChild>
                            <w:div w:id="679890510">
                              <w:marLeft w:val="0"/>
                              <w:marRight w:val="0"/>
                              <w:marTop w:val="0"/>
                              <w:marBottom w:val="0"/>
                              <w:divBdr>
                                <w:top w:val="none" w:sz="0" w:space="0" w:color="auto"/>
                                <w:left w:val="none" w:sz="0" w:space="0" w:color="auto"/>
                                <w:bottom w:val="none" w:sz="0" w:space="0" w:color="auto"/>
                                <w:right w:val="none" w:sz="0" w:space="0" w:color="auto"/>
                              </w:divBdr>
                              <w:divsChild>
                                <w:div w:id="1775513661">
                                  <w:marLeft w:val="0"/>
                                  <w:marRight w:val="0"/>
                                  <w:marTop w:val="0"/>
                                  <w:marBottom w:val="0"/>
                                  <w:divBdr>
                                    <w:top w:val="none" w:sz="0" w:space="0" w:color="auto"/>
                                    <w:left w:val="none" w:sz="0" w:space="0" w:color="auto"/>
                                    <w:bottom w:val="none" w:sz="0" w:space="0" w:color="auto"/>
                                    <w:right w:val="none" w:sz="0" w:space="0" w:color="auto"/>
                                  </w:divBdr>
                                  <w:divsChild>
                                    <w:div w:id="172570781">
                                      <w:marLeft w:val="0"/>
                                      <w:marRight w:val="0"/>
                                      <w:marTop w:val="0"/>
                                      <w:marBottom w:val="0"/>
                                      <w:divBdr>
                                        <w:top w:val="none" w:sz="0" w:space="0" w:color="auto"/>
                                        <w:left w:val="none" w:sz="0" w:space="0" w:color="auto"/>
                                        <w:bottom w:val="none" w:sz="0" w:space="0" w:color="auto"/>
                                        <w:right w:val="none" w:sz="0" w:space="0" w:color="auto"/>
                                      </w:divBdr>
                                      <w:divsChild>
                                        <w:div w:id="1863713138">
                                          <w:marLeft w:val="0"/>
                                          <w:marRight w:val="0"/>
                                          <w:marTop w:val="0"/>
                                          <w:marBottom w:val="0"/>
                                          <w:divBdr>
                                            <w:top w:val="none" w:sz="0" w:space="0" w:color="auto"/>
                                            <w:left w:val="none" w:sz="0" w:space="0" w:color="auto"/>
                                            <w:bottom w:val="none" w:sz="0" w:space="0" w:color="auto"/>
                                            <w:right w:val="none" w:sz="0" w:space="0" w:color="auto"/>
                                          </w:divBdr>
                                          <w:divsChild>
                                            <w:div w:id="378551707">
                                              <w:marLeft w:val="0"/>
                                              <w:marRight w:val="0"/>
                                              <w:marTop w:val="0"/>
                                              <w:marBottom w:val="0"/>
                                              <w:divBdr>
                                                <w:top w:val="single" w:sz="6" w:space="0" w:color="B6D444"/>
                                                <w:left w:val="none" w:sz="0" w:space="0" w:color="auto"/>
                                                <w:bottom w:val="none" w:sz="0" w:space="0" w:color="auto"/>
                                                <w:right w:val="none" w:sz="0" w:space="0" w:color="auto"/>
                                              </w:divBdr>
                                              <w:divsChild>
                                                <w:div w:id="10662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521354">
      <w:bodyDiv w:val="1"/>
      <w:marLeft w:val="0"/>
      <w:marRight w:val="0"/>
      <w:marTop w:val="0"/>
      <w:marBottom w:val="0"/>
      <w:divBdr>
        <w:top w:val="none" w:sz="0" w:space="0" w:color="auto"/>
        <w:left w:val="none" w:sz="0" w:space="0" w:color="auto"/>
        <w:bottom w:val="none" w:sz="0" w:space="0" w:color="auto"/>
        <w:right w:val="none" w:sz="0" w:space="0" w:color="auto"/>
      </w:divBdr>
      <w:divsChild>
        <w:div w:id="1358921508">
          <w:marLeft w:val="0"/>
          <w:marRight w:val="0"/>
          <w:marTop w:val="0"/>
          <w:marBottom w:val="0"/>
          <w:divBdr>
            <w:top w:val="none" w:sz="0" w:space="0" w:color="auto"/>
            <w:left w:val="none" w:sz="0" w:space="0" w:color="auto"/>
            <w:bottom w:val="none" w:sz="0" w:space="0" w:color="auto"/>
            <w:right w:val="none" w:sz="0" w:space="0" w:color="auto"/>
          </w:divBdr>
          <w:divsChild>
            <w:div w:id="1032998092">
              <w:marLeft w:val="0"/>
              <w:marRight w:val="0"/>
              <w:marTop w:val="0"/>
              <w:marBottom w:val="0"/>
              <w:divBdr>
                <w:top w:val="none" w:sz="0" w:space="0" w:color="auto"/>
                <w:left w:val="none" w:sz="0" w:space="0" w:color="auto"/>
                <w:bottom w:val="none" w:sz="0" w:space="0" w:color="auto"/>
                <w:right w:val="none" w:sz="0" w:space="0" w:color="auto"/>
              </w:divBdr>
              <w:divsChild>
                <w:div w:id="835463483">
                  <w:marLeft w:val="-375"/>
                  <w:marRight w:val="0"/>
                  <w:marTop w:val="0"/>
                  <w:marBottom w:val="0"/>
                  <w:divBdr>
                    <w:top w:val="none" w:sz="0" w:space="0" w:color="auto"/>
                    <w:left w:val="none" w:sz="0" w:space="0" w:color="auto"/>
                    <w:bottom w:val="none" w:sz="0" w:space="0" w:color="auto"/>
                    <w:right w:val="none" w:sz="0" w:space="0" w:color="auto"/>
                  </w:divBdr>
                  <w:divsChild>
                    <w:div w:id="930502159">
                      <w:marLeft w:val="0"/>
                      <w:marRight w:val="0"/>
                      <w:marTop w:val="0"/>
                      <w:marBottom w:val="0"/>
                      <w:divBdr>
                        <w:top w:val="none" w:sz="0" w:space="0" w:color="auto"/>
                        <w:left w:val="none" w:sz="0" w:space="0" w:color="auto"/>
                        <w:bottom w:val="none" w:sz="0" w:space="0" w:color="auto"/>
                        <w:right w:val="none" w:sz="0" w:space="0" w:color="auto"/>
                      </w:divBdr>
                      <w:divsChild>
                        <w:div w:id="738984298">
                          <w:marLeft w:val="0"/>
                          <w:marRight w:val="0"/>
                          <w:marTop w:val="0"/>
                          <w:marBottom w:val="0"/>
                          <w:divBdr>
                            <w:top w:val="none" w:sz="0" w:space="0" w:color="auto"/>
                            <w:left w:val="none" w:sz="0" w:space="0" w:color="auto"/>
                            <w:bottom w:val="none" w:sz="0" w:space="0" w:color="auto"/>
                            <w:right w:val="none" w:sz="0" w:space="0" w:color="auto"/>
                          </w:divBdr>
                          <w:divsChild>
                            <w:div w:id="1493640759">
                              <w:marLeft w:val="-375"/>
                              <w:marRight w:val="0"/>
                              <w:marTop w:val="0"/>
                              <w:marBottom w:val="0"/>
                              <w:divBdr>
                                <w:top w:val="none" w:sz="0" w:space="0" w:color="auto"/>
                                <w:left w:val="none" w:sz="0" w:space="0" w:color="auto"/>
                                <w:bottom w:val="none" w:sz="0" w:space="0" w:color="auto"/>
                                <w:right w:val="none" w:sz="0" w:space="0" w:color="auto"/>
                              </w:divBdr>
                              <w:divsChild>
                                <w:div w:id="11941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101665">
      <w:bodyDiv w:val="1"/>
      <w:marLeft w:val="0"/>
      <w:marRight w:val="0"/>
      <w:marTop w:val="0"/>
      <w:marBottom w:val="0"/>
      <w:divBdr>
        <w:top w:val="none" w:sz="0" w:space="0" w:color="auto"/>
        <w:left w:val="none" w:sz="0" w:space="0" w:color="auto"/>
        <w:bottom w:val="none" w:sz="0" w:space="0" w:color="auto"/>
        <w:right w:val="none" w:sz="0" w:space="0" w:color="auto"/>
      </w:divBdr>
      <w:divsChild>
        <w:div w:id="383795693">
          <w:marLeft w:val="0"/>
          <w:marRight w:val="0"/>
          <w:marTop w:val="0"/>
          <w:marBottom w:val="0"/>
          <w:divBdr>
            <w:top w:val="single" w:sz="2" w:space="0" w:color="AAAAAA"/>
            <w:left w:val="single" w:sz="6" w:space="8" w:color="AAAAAA"/>
            <w:bottom w:val="single" w:sz="2" w:space="0" w:color="AAAAAA"/>
            <w:right w:val="single" w:sz="6" w:space="8" w:color="AAAAAA"/>
          </w:divBdr>
          <w:divsChild>
            <w:div w:id="1659456968">
              <w:marLeft w:val="0"/>
              <w:marRight w:val="0"/>
              <w:marTop w:val="0"/>
              <w:marBottom w:val="0"/>
              <w:divBdr>
                <w:top w:val="none" w:sz="0" w:space="0" w:color="auto"/>
                <w:left w:val="none" w:sz="0" w:space="0" w:color="auto"/>
                <w:bottom w:val="none" w:sz="0" w:space="0" w:color="auto"/>
                <w:right w:val="none" w:sz="0" w:space="0" w:color="auto"/>
              </w:divBdr>
              <w:divsChild>
                <w:div w:id="1056321312">
                  <w:marLeft w:val="0"/>
                  <w:marRight w:val="0"/>
                  <w:marTop w:val="0"/>
                  <w:marBottom w:val="0"/>
                  <w:divBdr>
                    <w:top w:val="none" w:sz="0" w:space="0" w:color="auto"/>
                    <w:left w:val="none" w:sz="0" w:space="0" w:color="auto"/>
                    <w:bottom w:val="none" w:sz="0" w:space="0" w:color="auto"/>
                    <w:right w:val="none" w:sz="0" w:space="0" w:color="auto"/>
                  </w:divBdr>
                  <w:divsChild>
                    <w:div w:id="1423989421">
                      <w:marLeft w:val="0"/>
                      <w:marRight w:val="2550"/>
                      <w:marTop w:val="0"/>
                      <w:marBottom w:val="48"/>
                      <w:divBdr>
                        <w:top w:val="none" w:sz="0" w:space="0" w:color="auto"/>
                        <w:left w:val="none" w:sz="0" w:space="0" w:color="auto"/>
                        <w:bottom w:val="none" w:sz="0" w:space="0" w:color="auto"/>
                        <w:right w:val="none" w:sz="0" w:space="0" w:color="auto"/>
                      </w:divBdr>
                      <w:divsChild>
                        <w:div w:id="3491407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18716143">
      <w:bodyDiv w:val="1"/>
      <w:marLeft w:val="0"/>
      <w:marRight w:val="0"/>
      <w:marTop w:val="0"/>
      <w:marBottom w:val="0"/>
      <w:divBdr>
        <w:top w:val="none" w:sz="0" w:space="0" w:color="auto"/>
        <w:left w:val="none" w:sz="0" w:space="0" w:color="auto"/>
        <w:bottom w:val="none" w:sz="0" w:space="0" w:color="auto"/>
        <w:right w:val="none" w:sz="0" w:space="0" w:color="auto"/>
      </w:divBdr>
      <w:divsChild>
        <w:div w:id="403528752">
          <w:marLeft w:val="0"/>
          <w:marRight w:val="0"/>
          <w:marTop w:val="150"/>
          <w:marBottom w:val="0"/>
          <w:divBdr>
            <w:top w:val="none" w:sz="0" w:space="0" w:color="auto"/>
            <w:left w:val="none" w:sz="0" w:space="0" w:color="auto"/>
            <w:bottom w:val="none" w:sz="0" w:space="0" w:color="auto"/>
            <w:right w:val="none" w:sz="0" w:space="0" w:color="auto"/>
          </w:divBdr>
          <w:divsChild>
            <w:div w:id="1373457077">
              <w:marLeft w:val="2"/>
              <w:marRight w:val="2"/>
              <w:marTop w:val="0"/>
              <w:marBottom w:val="0"/>
              <w:divBdr>
                <w:top w:val="none" w:sz="0" w:space="0" w:color="auto"/>
                <w:left w:val="none" w:sz="0" w:space="0" w:color="auto"/>
                <w:bottom w:val="none" w:sz="0" w:space="0" w:color="auto"/>
                <w:right w:val="none" w:sz="0" w:space="0" w:color="auto"/>
              </w:divBdr>
              <w:divsChild>
                <w:div w:id="391542020">
                  <w:marLeft w:val="0"/>
                  <w:marRight w:val="0"/>
                  <w:marTop w:val="0"/>
                  <w:marBottom w:val="0"/>
                  <w:divBdr>
                    <w:top w:val="none" w:sz="0" w:space="0" w:color="auto"/>
                    <w:left w:val="none" w:sz="0" w:space="0" w:color="auto"/>
                    <w:bottom w:val="none" w:sz="0" w:space="0" w:color="auto"/>
                    <w:right w:val="none" w:sz="0" w:space="0" w:color="auto"/>
                  </w:divBdr>
                  <w:divsChild>
                    <w:div w:id="1611162788">
                      <w:marLeft w:val="0"/>
                      <w:marRight w:val="0"/>
                      <w:marTop w:val="0"/>
                      <w:marBottom w:val="0"/>
                      <w:divBdr>
                        <w:top w:val="none" w:sz="0" w:space="0" w:color="auto"/>
                        <w:left w:val="none" w:sz="0" w:space="0" w:color="auto"/>
                        <w:bottom w:val="none" w:sz="0" w:space="0" w:color="auto"/>
                        <w:right w:val="none" w:sz="0" w:space="0" w:color="auto"/>
                      </w:divBdr>
                      <w:divsChild>
                        <w:div w:id="403994194">
                          <w:marLeft w:val="0"/>
                          <w:marRight w:val="0"/>
                          <w:marTop w:val="0"/>
                          <w:marBottom w:val="0"/>
                          <w:divBdr>
                            <w:top w:val="none" w:sz="0" w:space="0" w:color="auto"/>
                            <w:left w:val="none" w:sz="0" w:space="0" w:color="auto"/>
                            <w:bottom w:val="none" w:sz="0" w:space="0" w:color="auto"/>
                            <w:right w:val="none" w:sz="0" w:space="0" w:color="auto"/>
                          </w:divBdr>
                          <w:divsChild>
                            <w:div w:id="1823540422">
                              <w:marLeft w:val="0"/>
                              <w:marRight w:val="0"/>
                              <w:marTop w:val="0"/>
                              <w:marBottom w:val="0"/>
                              <w:divBdr>
                                <w:top w:val="none" w:sz="0" w:space="0" w:color="auto"/>
                                <w:left w:val="none" w:sz="0" w:space="0" w:color="auto"/>
                                <w:bottom w:val="none" w:sz="0" w:space="0" w:color="auto"/>
                                <w:right w:val="none" w:sz="0" w:space="0" w:color="auto"/>
                              </w:divBdr>
                              <w:divsChild>
                                <w:div w:id="884560264">
                                  <w:marLeft w:val="0"/>
                                  <w:marRight w:val="0"/>
                                  <w:marTop w:val="0"/>
                                  <w:marBottom w:val="0"/>
                                  <w:divBdr>
                                    <w:top w:val="none" w:sz="0" w:space="0" w:color="auto"/>
                                    <w:left w:val="none" w:sz="0" w:space="0" w:color="auto"/>
                                    <w:bottom w:val="none" w:sz="0" w:space="0" w:color="auto"/>
                                    <w:right w:val="none" w:sz="0" w:space="0" w:color="auto"/>
                                  </w:divBdr>
                                  <w:divsChild>
                                    <w:div w:id="1978563597">
                                      <w:marLeft w:val="0"/>
                                      <w:marRight w:val="0"/>
                                      <w:marTop w:val="0"/>
                                      <w:marBottom w:val="0"/>
                                      <w:divBdr>
                                        <w:top w:val="none" w:sz="0" w:space="0" w:color="auto"/>
                                        <w:left w:val="none" w:sz="0" w:space="0" w:color="auto"/>
                                        <w:bottom w:val="none" w:sz="0" w:space="0" w:color="auto"/>
                                        <w:right w:val="none" w:sz="0" w:space="0" w:color="auto"/>
                                      </w:divBdr>
                                      <w:divsChild>
                                        <w:div w:id="525868230">
                                          <w:marLeft w:val="0"/>
                                          <w:marRight w:val="0"/>
                                          <w:marTop w:val="0"/>
                                          <w:marBottom w:val="0"/>
                                          <w:divBdr>
                                            <w:top w:val="none" w:sz="0" w:space="0" w:color="auto"/>
                                            <w:left w:val="none" w:sz="0" w:space="0" w:color="auto"/>
                                            <w:bottom w:val="none" w:sz="0" w:space="0" w:color="auto"/>
                                            <w:right w:val="none" w:sz="0" w:space="0" w:color="auto"/>
                                          </w:divBdr>
                                          <w:divsChild>
                                            <w:div w:id="910700932">
                                              <w:marLeft w:val="0"/>
                                              <w:marRight w:val="0"/>
                                              <w:marTop w:val="0"/>
                                              <w:marBottom w:val="0"/>
                                              <w:divBdr>
                                                <w:top w:val="none" w:sz="0" w:space="0" w:color="auto"/>
                                                <w:left w:val="none" w:sz="0" w:space="0" w:color="auto"/>
                                                <w:bottom w:val="none" w:sz="0" w:space="0" w:color="auto"/>
                                                <w:right w:val="none" w:sz="0" w:space="0" w:color="auto"/>
                                              </w:divBdr>
                                              <w:divsChild>
                                                <w:div w:id="1635914458">
                                                  <w:marLeft w:val="0"/>
                                                  <w:marRight w:val="0"/>
                                                  <w:marTop w:val="0"/>
                                                  <w:marBottom w:val="0"/>
                                                  <w:divBdr>
                                                    <w:top w:val="none" w:sz="0" w:space="0" w:color="auto"/>
                                                    <w:left w:val="none" w:sz="0" w:space="0" w:color="auto"/>
                                                    <w:bottom w:val="none" w:sz="0" w:space="0" w:color="auto"/>
                                                    <w:right w:val="none" w:sz="0" w:space="0" w:color="auto"/>
                                                  </w:divBdr>
                                                </w:div>
                                              </w:divsChild>
                                            </w:div>
                                            <w:div w:id="102382618">
                                              <w:marLeft w:val="0"/>
                                              <w:marRight w:val="0"/>
                                              <w:marTop w:val="0"/>
                                              <w:marBottom w:val="0"/>
                                              <w:divBdr>
                                                <w:top w:val="none" w:sz="0" w:space="0" w:color="auto"/>
                                                <w:left w:val="none" w:sz="0" w:space="0" w:color="auto"/>
                                                <w:bottom w:val="none" w:sz="0" w:space="0" w:color="auto"/>
                                                <w:right w:val="none" w:sz="0" w:space="0" w:color="auto"/>
                                              </w:divBdr>
                                              <w:divsChild>
                                                <w:div w:id="705760737">
                                                  <w:marLeft w:val="0"/>
                                                  <w:marRight w:val="0"/>
                                                  <w:marTop w:val="0"/>
                                                  <w:marBottom w:val="0"/>
                                                  <w:divBdr>
                                                    <w:top w:val="none" w:sz="0" w:space="0" w:color="auto"/>
                                                    <w:left w:val="none" w:sz="0" w:space="0" w:color="auto"/>
                                                    <w:bottom w:val="none" w:sz="0" w:space="0" w:color="auto"/>
                                                    <w:right w:val="none" w:sz="0" w:space="0" w:color="auto"/>
                                                  </w:divBdr>
                                                </w:div>
                                              </w:divsChild>
                                            </w:div>
                                            <w:div w:id="174347258">
                                              <w:marLeft w:val="0"/>
                                              <w:marRight w:val="0"/>
                                              <w:marTop w:val="0"/>
                                              <w:marBottom w:val="0"/>
                                              <w:divBdr>
                                                <w:top w:val="none" w:sz="0" w:space="0" w:color="auto"/>
                                                <w:left w:val="none" w:sz="0" w:space="0" w:color="auto"/>
                                                <w:bottom w:val="none" w:sz="0" w:space="0" w:color="auto"/>
                                                <w:right w:val="none" w:sz="0" w:space="0" w:color="auto"/>
                                              </w:divBdr>
                                              <w:divsChild>
                                                <w:div w:id="1395929141">
                                                  <w:marLeft w:val="0"/>
                                                  <w:marRight w:val="0"/>
                                                  <w:marTop w:val="0"/>
                                                  <w:marBottom w:val="0"/>
                                                  <w:divBdr>
                                                    <w:top w:val="none" w:sz="0" w:space="0" w:color="auto"/>
                                                    <w:left w:val="none" w:sz="0" w:space="0" w:color="auto"/>
                                                    <w:bottom w:val="none" w:sz="0" w:space="0" w:color="auto"/>
                                                    <w:right w:val="none" w:sz="0" w:space="0" w:color="auto"/>
                                                  </w:divBdr>
                                                </w:div>
                                              </w:divsChild>
                                            </w:div>
                                            <w:div w:id="1240560145">
                                              <w:marLeft w:val="0"/>
                                              <w:marRight w:val="0"/>
                                              <w:marTop w:val="0"/>
                                              <w:marBottom w:val="0"/>
                                              <w:divBdr>
                                                <w:top w:val="none" w:sz="0" w:space="0" w:color="auto"/>
                                                <w:left w:val="none" w:sz="0" w:space="0" w:color="auto"/>
                                                <w:bottom w:val="none" w:sz="0" w:space="0" w:color="auto"/>
                                                <w:right w:val="none" w:sz="0" w:space="0" w:color="auto"/>
                                              </w:divBdr>
                                              <w:divsChild>
                                                <w:div w:id="10198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918041">
      <w:bodyDiv w:val="1"/>
      <w:marLeft w:val="0"/>
      <w:marRight w:val="0"/>
      <w:marTop w:val="0"/>
      <w:marBottom w:val="0"/>
      <w:divBdr>
        <w:top w:val="none" w:sz="0" w:space="0" w:color="auto"/>
        <w:left w:val="none" w:sz="0" w:space="0" w:color="auto"/>
        <w:bottom w:val="none" w:sz="0" w:space="0" w:color="auto"/>
        <w:right w:val="none" w:sz="0" w:space="0" w:color="auto"/>
      </w:divBdr>
      <w:divsChild>
        <w:div w:id="664210251">
          <w:marLeft w:val="0"/>
          <w:marRight w:val="0"/>
          <w:marTop w:val="0"/>
          <w:marBottom w:val="0"/>
          <w:divBdr>
            <w:top w:val="none" w:sz="0" w:space="0" w:color="auto"/>
            <w:left w:val="none" w:sz="0" w:space="0" w:color="auto"/>
            <w:bottom w:val="none" w:sz="0" w:space="0" w:color="auto"/>
            <w:right w:val="none" w:sz="0" w:space="0" w:color="auto"/>
          </w:divBdr>
          <w:divsChild>
            <w:div w:id="1253584160">
              <w:marLeft w:val="-225"/>
              <w:marRight w:val="-225"/>
              <w:marTop w:val="0"/>
              <w:marBottom w:val="0"/>
              <w:divBdr>
                <w:top w:val="none" w:sz="0" w:space="0" w:color="auto"/>
                <w:left w:val="none" w:sz="0" w:space="0" w:color="auto"/>
                <w:bottom w:val="none" w:sz="0" w:space="0" w:color="auto"/>
                <w:right w:val="none" w:sz="0" w:space="0" w:color="auto"/>
              </w:divBdr>
              <w:divsChild>
                <w:div w:id="19498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1774">
      <w:bodyDiv w:val="1"/>
      <w:marLeft w:val="0"/>
      <w:marRight w:val="0"/>
      <w:marTop w:val="0"/>
      <w:marBottom w:val="0"/>
      <w:divBdr>
        <w:top w:val="none" w:sz="0" w:space="0" w:color="auto"/>
        <w:left w:val="none" w:sz="0" w:space="0" w:color="auto"/>
        <w:bottom w:val="none" w:sz="0" w:space="0" w:color="auto"/>
        <w:right w:val="none" w:sz="0" w:space="0" w:color="auto"/>
      </w:divBdr>
      <w:divsChild>
        <w:div w:id="398989572">
          <w:marLeft w:val="0"/>
          <w:marRight w:val="0"/>
          <w:marTop w:val="0"/>
          <w:marBottom w:val="0"/>
          <w:divBdr>
            <w:top w:val="none" w:sz="0" w:space="0" w:color="auto"/>
            <w:left w:val="none" w:sz="0" w:space="0" w:color="auto"/>
            <w:bottom w:val="none" w:sz="0" w:space="0" w:color="auto"/>
            <w:right w:val="none" w:sz="0" w:space="0" w:color="auto"/>
          </w:divBdr>
          <w:divsChild>
            <w:div w:id="1928343372">
              <w:marLeft w:val="0"/>
              <w:marRight w:val="0"/>
              <w:marTop w:val="150"/>
              <w:marBottom w:val="0"/>
              <w:divBdr>
                <w:top w:val="none" w:sz="0" w:space="0" w:color="auto"/>
                <w:left w:val="none" w:sz="0" w:space="0" w:color="auto"/>
                <w:bottom w:val="none" w:sz="0" w:space="0" w:color="auto"/>
                <w:right w:val="none" w:sz="0" w:space="0" w:color="auto"/>
              </w:divBdr>
              <w:divsChild>
                <w:div w:id="917785658">
                  <w:marLeft w:val="0"/>
                  <w:marRight w:val="0"/>
                  <w:marTop w:val="0"/>
                  <w:marBottom w:val="0"/>
                  <w:divBdr>
                    <w:top w:val="none" w:sz="0" w:space="0" w:color="auto"/>
                    <w:left w:val="none" w:sz="0" w:space="0" w:color="auto"/>
                    <w:bottom w:val="none" w:sz="0" w:space="0" w:color="auto"/>
                    <w:right w:val="none" w:sz="0" w:space="0" w:color="auto"/>
                  </w:divBdr>
                  <w:divsChild>
                    <w:div w:id="1599946598">
                      <w:marLeft w:val="0"/>
                      <w:marRight w:val="0"/>
                      <w:marTop w:val="0"/>
                      <w:marBottom w:val="0"/>
                      <w:divBdr>
                        <w:top w:val="none" w:sz="0" w:space="0" w:color="auto"/>
                        <w:left w:val="none" w:sz="0" w:space="0" w:color="auto"/>
                        <w:bottom w:val="none" w:sz="0" w:space="0" w:color="auto"/>
                        <w:right w:val="none" w:sz="0" w:space="0" w:color="auto"/>
                      </w:divBdr>
                      <w:divsChild>
                        <w:div w:id="11014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146097">
      <w:bodyDiv w:val="1"/>
      <w:marLeft w:val="0"/>
      <w:marRight w:val="0"/>
      <w:marTop w:val="0"/>
      <w:marBottom w:val="0"/>
      <w:divBdr>
        <w:top w:val="none" w:sz="0" w:space="0" w:color="auto"/>
        <w:left w:val="none" w:sz="0" w:space="0" w:color="auto"/>
        <w:bottom w:val="none" w:sz="0" w:space="0" w:color="auto"/>
        <w:right w:val="none" w:sz="0" w:space="0" w:color="auto"/>
      </w:divBdr>
      <w:divsChild>
        <w:div w:id="403264126">
          <w:marLeft w:val="0"/>
          <w:marRight w:val="0"/>
          <w:marTop w:val="0"/>
          <w:marBottom w:val="0"/>
          <w:divBdr>
            <w:top w:val="none" w:sz="0" w:space="0" w:color="auto"/>
            <w:left w:val="none" w:sz="0" w:space="0" w:color="auto"/>
            <w:bottom w:val="none" w:sz="0" w:space="0" w:color="auto"/>
            <w:right w:val="none" w:sz="0" w:space="0" w:color="auto"/>
          </w:divBdr>
          <w:divsChild>
            <w:div w:id="860706679">
              <w:marLeft w:val="0"/>
              <w:marRight w:val="0"/>
              <w:marTop w:val="0"/>
              <w:marBottom w:val="0"/>
              <w:divBdr>
                <w:top w:val="none" w:sz="0" w:space="0" w:color="auto"/>
                <w:left w:val="none" w:sz="0" w:space="0" w:color="auto"/>
                <w:bottom w:val="none" w:sz="0" w:space="0" w:color="auto"/>
                <w:right w:val="none" w:sz="0" w:space="0" w:color="auto"/>
              </w:divBdr>
              <w:divsChild>
                <w:div w:id="1740249465">
                  <w:marLeft w:val="-375"/>
                  <w:marRight w:val="0"/>
                  <w:marTop w:val="0"/>
                  <w:marBottom w:val="0"/>
                  <w:divBdr>
                    <w:top w:val="none" w:sz="0" w:space="0" w:color="auto"/>
                    <w:left w:val="none" w:sz="0" w:space="0" w:color="auto"/>
                    <w:bottom w:val="none" w:sz="0" w:space="0" w:color="auto"/>
                    <w:right w:val="none" w:sz="0" w:space="0" w:color="auto"/>
                  </w:divBdr>
                  <w:divsChild>
                    <w:div w:id="1749568910">
                      <w:marLeft w:val="0"/>
                      <w:marRight w:val="0"/>
                      <w:marTop w:val="0"/>
                      <w:marBottom w:val="0"/>
                      <w:divBdr>
                        <w:top w:val="none" w:sz="0" w:space="0" w:color="auto"/>
                        <w:left w:val="none" w:sz="0" w:space="0" w:color="auto"/>
                        <w:bottom w:val="none" w:sz="0" w:space="0" w:color="auto"/>
                        <w:right w:val="none" w:sz="0" w:space="0" w:color="auto"/>
                      </w:divBdr>
                      <w:divsChild>
                        <w:div w:id="1253591938">
                          <w:marLeft w:val="0"/>
                          <w:marRight w:val="0"/>
                          <w:marTop w:val="0"/>
                          <w:marBottom w:val="0"/>
                          <w:divBdr>
                            <w:top w:val="none" w:sz="0" w:space="0" w:color="auto"/>
                            <w:left w:val="none" w:sz="0" w:space="0" w:color="auto"/>
                            <w:bottom w:val="none" w:sz="0" w:space="0" w:color="auto"/>
                            <w:right w:val="none" w:sz="0" w:space="0" w:color="auto"/>
                          </w:divBdr>
                          <w:divsChild>
                            <w:div w:id="942684736">
                              <w:marLeft w:val="-375"/>
                              <w:marRight w:val="0"/>
                              <w:marTop w:val="0"/>
                              <w:marBottom w:val="0"/>
                              <w:divBdr>
                                <w:top w:val="none" w:sz="0" w:space="0" w:color="auto"/>
                                <w:left w:val="none" w:sz="0" w:space="0" w:color="auto"/>
                                <w:bottom w:val="none" w:sz="0" w:space="0" w:color="auto"/>
                                <w:right w:val="none" w:sz="0" w:space="0" w:color="auto"/>
                              </w:divBdr>
                              <w:divsChild>
                                <w:div w:id="1765806556">
                                  <w:marLeft w:val="0"/>
                                  <w:marRight w:val="0"/>
                                  <w:marTop w:val="0"/>
                                  <w:marBottom w:val="0"/>
                                  <w:divBdr>
                                    <w:top w:val="none" w:sz="0" w:space="0" w:color="auto"/>
                                    <w:left w:val="none" w:sz="0" w:space="0" w:color="auto"/>
                                    <w:bottom w:val="none" w:sz="0" w:space="0" w:color="auto"/>
                                    <w:right w:val="none" w:sz="0" w:space="0" w:color="auto"/>
                                  </w:divBdr>
                                  <w:divsChild>
                                    <w:div w:id="1936398856">
                                      <w:marLeft w:val="-375"/>
                                      <w:marRight w:val="0"/>
                                      <w:marTop w:val="0"/>
                                      <w:marBottom w:val="0"/>
                                      <w:divBdr>
                                        <w:top w:val="none" w:sz="0" w:space="0" w:color="auto"/>
                                        <w:left w:val="none" w:sz="0" w:space="0" w:color="auto"/>
                                        <w:bottom w:val="none" w:sz="0" w:space="0" w:color="auto"/>
                                        <w:right w:val="none" w:sz="0" w:space="0" w:color="auto"/>
                                      </w:divBdr>
                                      <w:divsChild>
                                        <w:div w:id="1386488648">
                                          <w:marLeft w:val="0"/>
                                          <w:marRight w:val="0"/>
                                          <w:marTop w:val="0"/>
                                          <w:marBottom w:val="0"/>
                                          <w:divBdr>
                                            <w:top w:val="none" w:sz="0" w:space="0" w:color="auto"/>
                                            <w:left w:val="none" w:sz="0" w:space="0" w:color="auto"/>
                                            <w:bottom w:val="none" w:sz="0" w:space="0" w:color="auto"/>
                                            <w:right w:val="none" w:sz="0" w:space="0" w:color="auto"/>
                                          </w:divBdr>
                                        </w:div>
                                        <w:div w:id="197160107">
                                          <w:marLeft w:val="0"/>
                                          <w:marRight w:val="0"/>
                                          <w:marTop w:val="0"/>
                                          <w:marBottom w:val="0"/>
                                          <w:divBdr>
                                            <w:top w:val="none" w:sz="0" w:space="0" w:color="auto"/>
                                            <w:left w:val="none" w:sz="0" w:space="0" w:color="auto"/>
                                            <w:bottom w:val="none" w:sz="0" w:space="0" w:color="auto"/>
                                            <w:right w:val="none" w:sz="0" w:space="0" w:color="auto"/>
                                          </w:divBdr>
                                        </w:div>
                                      </w:divsChild>
                                    </w:div>
                                    <w:div w:id="978266848">
                                      <w:marLeft w:val="-375"/>
                                      <w:marRight w:val="0"/>
                                      <w:marTop w:val="0"/>
                                      <w:marBottom w:val="0"/>
                                      <w:divBdr>
                                        <w:top w:val="none" w:sz="0" w:space="0" w:color="auto"/>
                                        <w:left w:val="none" w:sz="0" w:space="0" w:color="auto"/>
                                        <w:bottom w:val="none" w:sz="0" w:space="0" w:color="auto"/>
                                        <w:right w:val="none" w:sz="0" w:space="0" w:color="auto"/>
                                      </w:divBdr>
                                      <w:divsChild>
                                        <w:div w:id="1185677745">
                                          <w:marLeft w:val="0"/>
                                          <w:marRight w:val="0"/>
                                          <w:marTop w:val="0"/>
                                          <w:marBottom w:val="0"/>
                                          <w:divBdr>
                                            <w:top w:val="none" w:sz="0" w:space="0" w:color="auto"/>
                                            <w:left w:val="none" w:sz="0" w:space="0" w:color="auto"/>
                                            <w:bottom w:val="none" w:sz="0" w:space="0" w:color="auto"/>
                                            <w:right w:val="none" w:sz="0" w:space="0" w:color="auto"/>
                                          </w:divBdr>
                                        </w:div>
                                        <w:div w:id="17145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607615">
      <w:bodyDiv w:val="1"/>
      <w:marLeft w:val="0"/>
      <w:marRight w:val="0"/>
      <w:marTop w:val="0"/>
      <w:marBottom w:val="0"/>
      <w:divBdr>
        <w:top w:val="none" w:sz="0" w:space="0" w:color="auto"/>
        <w:left w:val="none" w:sz="0" w:space="0" w:color="auto"/>
        <w:bottom w:val="none" w:sz="0" w:space="0" w:color="auto"/>
        <w:right w:val="none" w:sz="0" w:space="0" w:color="auto"/>
      </w:divBdr>
    </w:div>
    <w:div w:id="1121849683">
      <w:bodyDiv w:val="1"/>
      <w:marLeft w:val="0"/>
      <w:marRight w:val="0"/>
      <w:marTop w:val="0"/>
      <w:marBottom w:val="0"/>
      <w:divBdr>
        <w:top w:val="none" w:sz="0" w:space="0" w:color="auto"/>
        <w:left w:val="none" w:sz="0" w:space="0" w:color="auto"/>
        <w:bottom w:val="none" w:sz="0" w:space="0" w:color="auto"/>
        <w:right w:val="none" w:sz="0" w:space="0" w:color="auto"/>
      </w:divBdr>
      <w:divsChild>
        <w:div w:id="1917669617">
          <w:marLeft w:val="0"/>
          <w:marRight w:val="0"/>
          <w:marTop w:val="0"/>
          <w:marBottom w:val="0"/>
          <w:divBdr>
            <w:top w:val="none" w:sz="0" w:space="0" w:color="auto"/>
            <w:left w:val="none" w:sz="0" w:space="0" w:color="auto"/>
            <w:bottom w:val="none" w:sz="0" w:space="0" w:color="auto"/>
            <w:right w:val="none" w:sz="0" w:space="0" w:color="auto"/>
          </w:divBdr>
          <w:divsChild>
            <w:div w:id="1320646687">
              <w:marLeft w:val="0"/>
              <w:marRight w:val="0"/>
              <w:marTop w:val="0"/>
              <w:marBottom w:val="0"/>
              <w:divBdr>
                <w:top w:val="none" w:sz="0" w:space="0" w:color="auto"/>
                <w:left w:val="none" w:sz="0" w:space="0" w:color="auto"/>
                <w:bottom w:val="none" w:sz="0" w:space="0" w:color="auto"/>
                <w:right w:val="none" w:sz="0" w:space="0" w:color="auto"/>
              </w:divBdr>
              <w:divsChild>
                <w:div w:id="1975792709">
                  <w:marLeft w:val="0"/>
                  <w:marRight w:val="0"/>
                  <w:marTop w:val="0"/>
                  <w:marBottom w:val="0"/>
                  <w:divBdr>
                    <w:top w:val="none" w:sz="0" w:space="0" w:color="auto"/>
                    <w:left w:val="none" w:sz="0" w:space="0" w:color="auto"/>
                    <w:bottom w:val="none" w:sz="0" w:space="0" w:color="auto"/>
                    <w:right w:val="none" w:sz="0" w:space="0" w:color="auto"/>
                  </w:divBdr>
                  <w:divsChild>
                    <w:div w:id="232544342">
                      <w:marLeft w:val="0"/>
                      <w:marRight w:val="0"/>
                      <w:marTop w:val="0"/>
                      <w:marBottom w:val="0"/>
                      <w:divBdr>
                        <w:top w:val="none" w:sz="0" w:space="0" w:color="auto"/>
                        <w:left w:val="none" w:sz="0" w:space="0" w:color="auto"/>
                        <w:bottom w:val="none" w:sz="0" w:space="0" w:color="auto"/>
                        <w:right w:val="none" w:sz="0" w:space="0" w:color="auto"/>
                      </w:divBdr>
                      <w:divsChild>
                        <w:div w:id="1841045850">
                          <w:marLeft w:val="0"/>
                          <w:marRight w:val="0"/>
                          <w:marTop w:val="0"/>
                          <w:marBottom w:val="0"/>
                          <w:divBdr>
                            <w:top w:val="none" w:sz="0" w:space="0" w:color="auto"/>
                            <w:left w:val="none" w:sz="0" w:space="0" w:color="auto"/>
                            <w:bottom w:val="none" w:sz="0" w:space="0" w:color="auto"/>
                            <w:right w:val="none" w:sz="0" w:space="0" w:color="auto"/>
                          </w:divBdr>
                          <w:divsChild>
                            <w:div w:id="24520926">
                              <w:marLeft w:val="0"/>
                              <w:marRight w:val="0"/>
                              <w:marTop w:val="0"/>
                              <w:marBottom w:val="0"/>
                              <w:divBdr>
                                <w:top w:val="none" w:sz="0" w:space="0" w:color="auto"/>
                                <w:left w:val="none" w:sz="0" w:space="0" w:color="auto"/>
                                <w:bottom w:val="none" w:sz="0" w:space="0" w:color="auto"/>
                                <w:right w:val="none" w:sz="0" w:space="0" w:color="auto"/>
                              </w:divBdr>
                              <w:divsChild>
                                <w:div w:id="952637078">
                                  <w:marLeft w:val="0"/>
                                  <w:marRight w:val="0"/>
                                  <w:marTop w:val="0"/>
                                  <w:marBottom w:val="0"/>
                                  <w:divBdr>
                                    <w:top w:val="none" w:sz="0" w:space="0" w:color="auto"/>
                                    <w:left w:val="none" w:sz="0" w:space="0" w:color="auto"/>
                                    <w:bottom w:val="none" w:sz="0" w:space="0" w:color="auto"/>
                                    <w:right w:val="none" w:sz="0" w:space="0" w:color="auto"/>
                                  </w:divBdr>
                                  <w:divsChild>
                                    <w:div w:id="1122113059">
                                      <w:marLeft w:val="0"/>
                                      <w:marRight w:val="0"/>
                                      <w:marTop w:val="0"/>
                                      <w:marBottom w:val="0"/>
                                      <w:divBdr>
                                        <w:top w:val="none" w:sz="0" w:space="0" w:color="auto"/>
                                        <w:left w:val="none" w:sz="0" w:space="0" w:color="auto"/>
                                        <w:bottom w:val="none" w:sz="0" w:space="0" w:color="auto"/>
                                        <w:right w:val="none" w:sz="0" w:space="0" w:color="auto"/>
                                      </w:divBdr>
                                      <w:divsChild>
                                        <w:div w:id="1968924928">
                                          <w:marLeft w:val="0"/>
                                          <w:marRight w:val="0"/>
                                          <w:marTop w:val="0"/>
                                          <w:marBottom w:val="0"/>
                                          <w:divBdr>
                                            <w:top w:val="none" w:sz="0" w:space="0" w:color="auto"/>
                                            <w:left w:val="none" w:sz="0" w:space="0" w:color="auto"/>
                                            <w:bottom w:val="none" w:sz="0" w:space="0" w:color="auto"/>
                                            <w:right w:val="none" w:sz="0" w:space="0" w:color="auto"/>
                                          </w:divBdr>
                                          <w:divsChild>
                                            <w:div w:id="1397783330">
                                              <w:marLeft w:val="0"/>
                                              <w:marRight w:val="0"/>
                                              <w:marTop w:val="0"/>
                                              <w:marBottom w:val="0"/>
                                              <w:divBdr>
                                                <w:top w:val="none" w:sz="0" w:space="0" w:color="auto"/>
                                                <w:left w:val="none" w:sz="0" w:space="0" w:color="auto"/>
                                                <w:bottom w:val="none" w:sz="0" w:space="0" w:color="auto"/>
                                                <w:right w:val="none" w:sz="0" w:space="0" w:color="auto"/>
                                              </w:divBdr>
                                              <w:divsChild>
                                                <w:div w:id="414203660">
                                                  <w:marLeft w:val="0"/>
                                                  <w:marRight w:val="0"/>
                                                  <w:marTop w:val="0"/>
                                                  <w:marBottom w:val="0"/>
                                                  <w:divBdr>
                                                    <w:top w:val="none" w:sz="0" w:space="0" w:color="auto"/>
                                                    <w:left w:val="none" w:sz="0" w:space="0" w:color="auto"/>
                                                    <w:bottom w:val="none" w:sz="0" w:space="0" w:color="auto"/>
                                                    <w:right w:val="none" w:sz="0" w:space="0" w:color="auto"/>
                                                  </w:divBdr>
                                                  <w:divsChild>
                                                    <w:div w:id="1515420234">
                                                      <w:marLeft w:val="0"/>
                                                      <w:marRight w:val="0"/>
                                                      <w:marTop w:val="0"/>
                                                      <w:marBottom w:val="0"/>
                                                      <w:divBdr>
                                                        <w:top w:val="none" w:sz="0" w:space="0" w:color="auto"/>
                                                        <w:left w:val="none" w:sz="0" w:space="0" w:color="auto"/>
                                                        <w:bottom w:val="none" w:sz="0" w:space="0" w:color="auto"/>
                                                        <w:right w:val="none" w:sz="0" w:space="0" w:color="auto"/>
                                                      </w:divBdr>
                                                      <w:divsChild>
                                                        <w:div w:id="17718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2074456">
      <w:bodyDiv w:val="1"/>
      <w:marLeft w:val="0"/>
      <w:marRight w:val="0"/>
      <w:marTop w:val="0"/>
      <w:marBottom w:val="0"/>
      <w:divBdr>
        <w:top w:val="none" w:sz="0" w:space="0" w:color="auto"/>
        <w:left w:val="none" w:sz="0" w:space="0" w:color="auto"/>
        <w:bottom w:val="none" w:sz="0" w:space="0" w:color="auto"/>
        <w:right w:val="none" w:sz="0" w:space="0" w:color="auto"/>
      </w:divBdr>
      <w:divsChild>
        <w:div w:id="2128112372">
          <w:marLeft w:val="0"/>
          <w:marRight w:val="0"/>
          <w:marTop w:val="0"/>
          <w:marBottom w:val="0"/>
          <w:divBdr>
            <w:top w:val="none" w:sz="0" w:space="0" w:color="auto"/>
            <w:left w:val="none" w:sz="0" w:space="0" w:color="auto"/>
            <w:bottom w:val="none" w:sz="0" w:space="0" w:color="auto"/>
            <w:right w:val="none" w:sz="0" w:space="0" w:color="auto"/>
          </w:divBdr>
          <w:divsChild>
            <w:div w:id="1397127697">
              <w:marLeft w:val="0"/>
              <w:marRight w:val="0"/>
              <w:marTop w:val="0"/>
              <w:marBottom w:val="0"/>
              <w:divBdr>
                <w:top w:val="none" w:sz="0" w:space="0" w:color="auto"/>
                <w:left w:val="none" w:sz="0" w:space="0" w:color="auto"/>
                <w:bottom w:val="none" w:sz="0" w:space="0" w:color="auto"/>
                <w:right w:val="none" w:sz="0" w:space="0" w:color="auto"/>
              </w:divBdr>
              <w:divsChild>
                <w:div w:id="333145204">
                  <w:marLeft w:val="0"/>
                  <w:marRight w:val="0"/>
                  <w:marTop w:val="0"/>
                  <w:marBottom w:val="0"/>
                  <w:divBdr>
                    <w:top w:val="none" w:sz="0" w:space="0" w:color="auto"/>
                    <w:left w:val="none" w:sz="0" w:space="0" w:color="auto"/>
                    <w:bottom w:val="none" w:sz="0" w:space="0" w:color="auto"/>
                    <w:right w:val="none" w:sz="0" w:space="0" w:color="auto"/>
                  </w:divBdr>
                  <w:divsChild>
                    <w:div w:id="1196579924">
                      <w:marLeft w:val="0"/>
                      <w:marRight w:val="0"/>
                      <w:marTop w:val="0"/>
                      <w:marBottom w:val="0"/>
                      <w:divBdr>
                        <w:top w:val="none" w:sz="0" w:space="0" w:color="auto"/>
                        <w:left w:val="none" w:sz="0" w:space="0" w:color="auto"/>
                        <w:bottom w:val="none" w:sz="0" w:space="0" w:color="auto"/>
                        <w:right w:val="none" w:sz="0" w:space="0" w:color="auto"/>
                      </w:divBdr>
                      <w:divsChild>
                        <w:div w:id="1118336363">
                          <w:marLeft w:val="0"/>
                          <w:marRight w:val="0"/>
                          <w:marTop w:val="0"/>
                          <w:marBottom w:val="0"/>
                          <w:divBdr>
                            <w:top w:val="none" w:sz="0" w:space="0" w:color="auto"/>
                            <w:left w:val="none" w:sz="0" w:space="0" w:color="auto"/>
                            <w:bottom w:val="single" w:sz="6" w:space="15" w:color="CCCCCC"/>
                            <w:right w:val="none" w:sz="0" w:space="0" w:color="auto"/>
                          </w:divBdr>
                          <w:divsChild>
                            <w:div w:id="1418408020">
                              <w:blockQuote w:val="1"/>
                              <w:marLeft w:val="720"/>
                              <w:marRight w:val="720"/>
                              <w:marTop w:val="100"/>
                              <w:marBottom w:val="100"/>
                              <w:divBdr>
                                <w:top w:val="none" w:sz="0" w:space="0" w:color="auto"/>
                                <w:left w:val="none" w:sz="0" w:space="0" w:color="auto"/>
                                <w:bottom w:val="none" w:sz="0" w:space="0" w:color="auto"/>
                                <w:right w:val="none" w:sz="0" w:space="0" w:color="auto"/>
                              </w:divBdr>
                            </w:div>
                            <w:div w:id="49816028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595583">
                              <w:blockQuote w:val="1"/>
                              <w:marLeft w:val="720"/>
                              <w:marRight w:val="720"/>
                              <w:marTop w:val="100"/>
                              <w:marBottom w:val="100"/>
                              <w:divBdr>
                                <w:top w:val="none" w:sz="0" w:space="0" w:color="auto"/>
                                <w:left w:val="none" w:sz="0" w:space="0" w:color="auto"/>
                                <w:bottom w:val="none" w:sz="0" w:space="0" w:color="auto"/>
                                <w:right w:val="none" w:sz="0" w:space="0" w:color="auto"/>
                              </w:divBdr>
                            </w:div>
                            <w:div w:id="5896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6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60489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40043">
      <w:bodyDiv w:val="1"/>
      <w:marLeft w:val="0"/>
      <w:marRight w:val="0"/>
      <w:marTop w:val="0"/>
      <w:marBottom w:val="0"/>
      <w:divBdr>
        <w:top w:val="none" w:sz="0" w:space="0" w:color="auto"/>
        <w:left w:val="none" w:sz="0" w:space="0" w:color="auto"/>
        <w:bottom w:val="none" w:sz="0" w:space="0" w:color="auto"/>
        <w:right w:val="none" w:sz="0" w:space="0" w:color="auto"/>
      </w:divBdr>
      <w:divsChild>
        <w:div w:id="1125080225">
          <w:marLeft w:val="0"/>
          <w:marRight w:val="0"/>
          <w:marTop w:val="0"/>
          <w:marBottom w:val="0"/>
          <w:divBdr>
            <w:top w:val="none" w:sz="0" w:space="0" w:color="auto"/>
            <w:left w:val="none" w:sz="0" w:space="0" w:color="auto"/>
            <w:bottom w:val="none" w:sz="0" w:space="0" w:color="auto"/>
            <w:right w:val="none" w:sz="0" w:space="0" w:color="auto"/>
          </w:divBdr>
          <w:divsChild>
            <w:div w:id="2129274514">
              <w:marLeft w:val="0"/>
              <w:marRight w:val="0"/>
              <w:marTop w:val="0"/>
              <w:marBottom w:val="0"/>
              <w:divBdr>
                <w:top w:val="none" w:sz="0" w:space="0" w:color="auto"/>
                <w:left w:val="none" w:sz="0" w:space="0" w:color="auto"/>
                <w:bottom w:val="none" w:sz="0" w:space="0" w:color="auto"/>
                <w:right w:val="none" w:sz="0" w:space="0" w:color="auto"/>
              </w:divBdr>
              <w:divsChild>
                <w:div w:id="1573731272">
                  <w:marLeft w:val="0"/>
                  <w:marRight w:val="0"/>
                  <w:marTop w:val="0"/>
                  <w:marBottom w:val="0"/>
                  <w:divBdr>
                    <w:top w:val="none" w:sz="0" w:space="0" w:color="auto"/>
                    <w:left w:val="none" w:sz="0" w:space="0" w:color="auto"/>
                    <w:bottom w:val="none" w:sz="0" w:space="0" w:color="auto"/>
                    <w:right w:val="none" w:sz="0" w:space="0" w:color="auto"/>
                  </w:divBdr>
                  <w:divsChild>
                    <w:div w:id="2128772477">
                      <w:marLeft w:val="0"/>
                      <w:marRight w:val="0"/>
                      <w:marTop w:val="0"/>
                      <w:marBottom w:val="0"/>
                      <w:divBdr>
                        <w:top w:val="none" w:sz="0" w:space="0" w:color="auto"/>
                        <w:left w:val="none" w:sz="0" w:space="0" w:color="auto"/>
                        <w:bottom w:val="none" w:sz="0" w:space="0" w:color="auto"/>
                        <w:right w:val="none" w:sz="0" w:space="0" w:color="auto"/>
                      </w:divBdr>
                      <w:divsChild>
                        <w:div w:id="19118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73592">
      <w:bodyDiv w:val="1"/>
      <w:marLeft w:val="0"/>
      <w:marRight w:val="0"/>
      <w:marTop w:val="0"/>
      <w:marBottom w:val="0"/>
      <w:divBdr>
        <w:top w:val="none" w:sz="0" w:space="0" w:color="auto"/>
        <w:left w:val="none" w:sz="0" w:space="0" w:color="auto"/>
        <w:bottom w:val="none" w:sz="0" w:space="0" w:color="auto"/>
        <w:right w:val="none" w:sz="0" w:space="0" w:color="auto"/>
      </w:divBdr>
    </w:div>
    <w:div w:id="1124008516">
      <w:bodyDiv w:val="1"/>
      <w:marLeft w:val="0"/>
      <w:marRight w:val="0"/>
      <w:marTop w:val="0"/>
      <w:marBottom w:val="0"/>
      <w:divBdr>
        <w:top w:val="none" w:sz="0" w:space="0" w:color="auto"/>
        <w:left w:val="none" w:sz="0" w:space="0" w:color="auto"/>
        <w:bottom w:val="none" w:sz="0" w:space="0" w:color="auto"/>
        <w:right w:val="none" w:sz="0" w:space="0" w:color="auto"/>
      </w:divBdr>
    </w:div>
    <w:div w:id="1126849496">
      <w:bodyDiv w:val="1"/>
      <w:marLeft w:val="0"/>
      <w:marRight w:val="0"/>
      <w:marTop w:val="0"/>
      <w:marBottom w:val="0"/>
      <w:divBdr>
        <w:top w:val="none" w:sz="0" w:space="0" w:color="auto"/>
        <w:left w:val="none" w:sz="0" w:space="0" w:color="auto"/>
        <w:bottom w:val="none" w:sz="0" w:space="0" w:color="auto"/>
        <w:right w:val="none" w:sz="0" w:space="0" w:color="auto"/>
      </w:divBdr>
      <w:divsChild>
        <w:div w:id="104078483">
          <w:marLeft w:val="0"/>
          <w:marRight w:val="0"/>
          <w:marTop w:val="150"/>
          <w:marBottom w:val="0"/>
          <w:divBdr>
            <w:top w:val="none" w:sz="0" w:space="0" w:color="auto"/>
            <w:left w:val="none" w:sz="0" w:space="0" w:color="auto"/>
            <w:bottom w:val="none" w:sz="0" w:space="0" w:color="auto"/>
            <w:right w:val="none" w:sz="0" w:space="0" w:color="auto"/>
          </w:divBdr>
          <w:divsChild>
            <w:div w:id="1950038721">
              <w:marLeft w:val="0"/>
              <w:marRight w:val="0"/>
              <w:marTop w:val="0"/>
              <w:marBottom w:val="0"/>
              <w:divBdr>
                <w:top w:val="none" w:sz="0" w:space="0" w:color="auto"/>
                <w:left w:val="none" w:sz="0" w:space="0" w:color="auto"/>
                <w:bottom w:val="none" w:sz="0" w:space="0" w:color="auto"/>
                <w:right w:val="none" w:sz="0" w:space="0" w:color="auto"/>
              </w:divBdr>
              <w:divsChild>
                <w:div w:id="1938368891">
                  <w:marLeft w:val="0"/>
                  <w:marRight w:val="0"/>
                  <w:marTop w:val="0"/>
                  <w:marBottom w:val="0"/>
                  <w:divBdr>
                    <w:top w:val="none" w:sz="0" w:space="0" w:color="auto"/>
                    <w:left w:val="none" w:sz="0" w:space="0" w:color="auto"/>
                    <w:bottom w:val="none" w:sz="0" w:space="0" w:color="auto"/>
                    <w:right w:val="none" w:sz="0" w:space="0" w:color="auto"/>
                  </w:divBdr>
                  <w:divsChild>
                    <w:div w:id="9465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1702">
      <w:bodyDiv w:val="1"/>
      <w:marLeft w:val="0"/>
      <w:marRight w:val="0"/>
      <w:marTop w:val="0"/>
      <w:marBottom w:val="0"/>
      <w:divBdr>
        <w:top w:val="none" w:sz="0" w:space="0" w:color="auto"/>
        <w:left w:val="none" w:sz="0" w:space="0" w:color="auto"/>
        <w:bottom w:val="none" w:sz="0" w:space="0" w:color="auto"/>
        <w:right w:val="none" w:sz="0" w:space="0" w:color="auto"/>
      </w:divBdr>
      <w:divsChild>
        <w:div w:id="444009074">
          <w:marLeft w:val="0"/>
          <w:marRight w:val="0"/>
          <w:marTop w:val="150"/>
          <w:marBottom w:val="0"/>
          <w:divBdr>
            <w:top w:val="none" w:sz="0" w:space="0" w:color="auto"/>
            <w:left w:val="none" w:sz="0" w:space="0" w:color="auto"/>
            <w:bottom w:val="none" w:sz="0" w:space="0" w:color="auto"/>
            <w:right w:val="none" w:sz="0" w:space="0" w:color="auto"/>
          </w:divBdr>
          <w:divsChild>
            <w:div w:id="810557182">
              <w:marLeft w:val="2"/>
              <w:marRight w:val="2"/>
              <w:marTop w:val="0"/>
              <w:marBottom w:val="0"/>
              <w:divBdr>
                <w:top w:val="none" w:sz="0" w:space="0" w:color="auto"/>
                <w:left w:val="none" w:sz="0" w:space="0" w:color="auto"/>
                <w:bottom w:val="none" w:sz="0" w:space="0" w:color="auto"/>
                <w:right w:val="none" w:sz="0" w:space="0" w:color="auto"/>
              </w:divBdr>
              <w:divsChild>
                <w:div w:id="891695829">
                  <w:marLeft w:val="0"/>
                  <w:marRight w:val="0"/>
                  <w:marTop w:val="0"/>
                  <w:marBottom w:val="0"/>
                  <w:divBdr>
                    <w:top w:val="none" w:sz="0" w:space="0" w:color="auto"/>
                    <w:left w:val="none" w:sz="0" w:space="0" w:color="auto"/>
                    <w:bottom w:val="none" w:sz="0" w:space="0" w:color="auto"/>
                    <w:right w:val="none" w:sz="0" w:space="0" w:color="auto"/>
                  </w:divBdr>
                  <w:divsChild>
                    <w:div w:id="1159886898">
                      <w:marLeft w:val="0"/>
                      <w:marRight w:val="0"/>
                      <w:marTop w:val="0"/>
                      <w:marBottom w:val="0"/>
                      <w:divBdr>
                        <w:top w:val="none" w:sz="0" w:space="0" w:color="auto"/>
                        <w:left w:val="none" w:sz="0" w:space="0" w:color="auto"/>
                        <w:bottom w:val="none" w:sz="0" w:space="0" w:color="auto"/>
                        <w:right w:val="none" w:sz="0" w:space="0" w:color="auto"/>
                      </w:divBdr>
                      <w:divsChild>
                        <w:div w:id="1686977345">
                          <w:marLeft w:val="0"/>
                          <w:marRight w:val="0"/>
                          <w:marTop w:val="0"/>
                          <w:marBottom w:val="0"/>
                          <w:divBdr>
                            <w:top w:val="none" w:sz="0" w:space="0" w:color="auto"/>
                            <w:left w:val="none" w:sz="0" w:space="0" w:color="auto"/>
                            <w:bottom w:val="none" w:sz="0" w:space="0" w:color="auto"/>
                            <w:right w:val="none" w:sz="0" w:space="0" w:color="auto"/>
                          </w:divBdr>
                          <w:divsChild>
                            <w:div w:id="1509129981">
                              <w:marLeft w:val="0"/>
                              <w:marRight w:val="0"/>
                              <w:marTop w:val="0"/>
                              <w:marBottom w:val="0"/>
                              <w:divBdr>
                                <w:top w:val="none" w:sz="0" w:space="0" w:color="auto"/>
                                <w:left w:val="none" w:sz="0" w:space="0" w:color="auto"/>
                                <w:bottom w:val="none" w:sz="0" w:space="0" w:color="auto"/>
                                <w:right w:val="none" w:sz="0" w:space="0" w:color="auto"/>
                              </w:divBdr>
                              <w:divsChild>
                                <w:div w:id="1905024949">
                                  <w:marLeft w:val="0"/>
                                  <w:marRight w:val="0"/>
                                  <w:marTop w:val="0"/>
                                  <w:marBottom w:val="0"/>
                                  <w:divBdr>
                                    <w:top w:val="none" w:sz="0" w:space="0" w:color="auto"/>
                                    <w:left w:val="none" w:sz="0" w:space="0" w:color="auto"/>
                                    <w:bottom w:val="none" w:sz="0" w:space="0" w:color="auto"/>
                                    <w:right w:val="none" w:sz="0" w:space="0" w:color="auto"/>
                                  </w:divBdr>
                                  <w:divsChild>
                                    <w:div w:id="1476096451">
                                      <w:marLeft w:val="0"/>
                                      <w:marRight w:val="0"/>
                                      <w:marTop w:val="0"/>
                                      <w:marBottom w:val="0"/>
                                      <w:divBdr>
                                        <w:top w:val="none" w:sz="0" w:space="0" w:color="auto"/>
                                        <w:left w:val="none" w:sz="0" w:space="0" w:color="auto"/>
                                        <w:bottom w:val="none" w:sz="0" w:space="0" w:color="auto"/>
                                        <w:right w:val="none" w:sz="0" w:space="0" w:color="auto"/>
                                      </w:divBdr>
                                      <w:divsChild>
                                        <w:div w:id="387144886">
                                          <w:marLeft w:val="0"/>
                                          <w:marRight w:val="0"/>
                                          <w:marTop w:val="0"/>
                                          <w:marBottom w:val="0"/>
                                          <w:divBdr>
                                            <w:top w:val="none" w:sz="0" w:space="0" w:color="auto"/>
                                            <w:left w:val="none" w:sz="0" w:space="0" w:color="auto"/>
                                            <w:bottom w:val="none" w:sz="0" w:space="0" w:color="auto"/>
                                            <w:right w:val="none" w:sz="0" w:space="0" w:color="auto"/>
                                          </w:divBdr>
                                          <w:divsChild>
                                            <w:div w:id="1506943064">
                                              <w:marLeft w:val="0"/>
                                              <w:marRight w:val="0"/>
                                              <w:marTop w:val="0"/>
                                              <w:marBottom w:val="0"/>
                                              <w:divBdr>
                                                <w:top w:val="none" w:sz="0" w:space="0" w:color="auto"/>
                                                <w:left w:val="none" w:sz="0" w:space="0" w:color="auto"/>
                                                <w:bottom w:val="none" w:sz="0" w:space="0" w:color="auto"/>
                                                <w:right w:val="none" w:sz="0" w:space="0" w:color="auto"/>
                                              </w:divBdr>
                                              <w:divsChild>
                                                <w:div w:id="744226845">
                                                  <w:marLeft w:val="0"/>
                                                  <w:marRight w:val="0"/>
                                                  <w:marTop w:val="0"/>
                                                  <w:marBottom w:val="0"/>
                                                  <w:divBdr>
                                                    <w:top w:val="none" w:sz="0" w:space="0" w:color="auto"/>
                                                    <w:left w:val="none" w:sz="0" w:space="0" w:color="auto"/>
                                                    <w:bottom w:val="none" w:sz="0" w:space="0" w:color="auto"/>
                                                    <w:right w:val="none" w:sz="0" w:space="0" w:color="auto"/>
                                                  </w:divBdr>
                                                </w:div>
                                              </w:divsChild>
                                            </w:div>
                                            <w:div w:id="2099592715">
                                              <w:marLeft w:val="0"/>
                                              <w:marRight w:val="0"/>
                                              <w:marTop w:val="0"/>
                                              <w:marBottom w:val="0"/>
                                              <w:divBdr>
                                                <w:top w:val="none" w:sz="0" w:space="0" w:color="auto"/>
                                                <w:left w:val="none" w:sz="0" w:space="0" w:color="auto"/>
                                                <w:bottom w:val="none" w:sz="0" w:space="0" w:color="auto"/>
                                                <w:right w:val="none" w:sz="0" w:space="0" w:color="auto"/>
                                              </w:divBdr>
                                              <w:divsChild>
                                                <w:div w:id="1559442128">
                                                  <w:marLeft w:val="0"/>
                                                  <w:marRight w:val="0"/>
                                                  <w:marTop w:val="0"/>
                                                  <w:marBottom w:val="0"/>
                                                  <w:divBdr>
                                                    <w:top w:val="none" w:sz="0" w:space="0" w:color="auto"/>
                                                    <w:left w:val="none" w:sz="0" w:space="0" w:color="auto"/>
                                                    <w:bottom w:val="none" w:sz="0" w:space="0" w:color="auto"/>
                                                    <w:right w:val="none" w:sz="0" w:space="0" w:color="auto"/>
                                                  </w:divBdr>
                                                </w:div>
                                              </w:divsChild>
                                            </w:div>
                                            <w:div w:id="840706559">
                                              <w:marLeft w:val="0"/>
                                              <w:marRight w:val="0"/>
                                              <w:marTop w:val="0"/>
                                              <w:marBottom w:val="0"/>
                                              <w:divBdr>
                                                <w:top w:val="none" w:sz="0" w:space="0" w:color="auto"/>
                                                <w:left w:val="none" w:sz="0" w:space="0" w:color="auto"/>
                                                <w:bottom w:val="none" w:sz="0" w:space="0" w:color="auto"/>
                                                <w:right w:val="none" w:sz="0" w:space="0" w:color="auto"/>
                                              </w:divBdr>
                                              <w:divsChild>
                                                <w:div w:id="1127964787">
                                                  <w:marLeft w:val="0"/>
                                                  <w:marRight w:val="0"/>
                                                  <w:marTop w:val="0"/>
                                                  <w:marBottom w:val="0"/>
                                                  <w:divBdr>
                                                    <w:top w:val="none" w:sz="0" w:space="0" w:color="auto"/>
                                                    <w:left w:val="none" w:sz="0" w:space="0" w:color="auto"/>
                                                    <w:bottom w:val="none" w:sz="0" w:space="0" w:color="auto"/>
                                                    <w:right w:val="none" w:sz="0" w:space="0" w:color="auto"/>
                                                  </w:divBdr>
                                                </w:div>
                                              </w:divsChild>
                                            </w:div>
                                            <w:div w:id="1792092760">
                                              <w:marLeft w:val="0"/>
                                              <w:marRight w:val="0"/>
                                              <w:marTop w:val="0"/>
                                              <w:marBottom w:val="0"/>
                                              <w:divBdr>
                                                <w:top w:val="none" w:sz="0" w:space="0" w:color="auto"/>
                                                <w:left w:val="none" w:sz="0" w:space="0" w:color="auto"/>
                                                <w:bottom w:val="none" w:sz="0" w:space="0" w:color="auto"/>
                                                <w:right w:val="none" w:sz="0" w:space="0" w:color="auto"/>
                                              </w:divBdr>
                                              <w:divsChild>
                                                <w:div w:id="9694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317691">
      <w:bodyDiv w:val="1"/>
      <w:marLeft w:val="0"/>
      <w:marRight w:val="0"/>
      <w:marTop w:val="0"/>
      <w:marBottom w:val="0"/>
      <w:divBdr>
        <w:top w:val="none" w:sz="0" w:space="0" w:color="auto"/>
        <w:left w:val="none" w:sz="0" w:space="0" w:color="auto"/>
        <w:bottom w:val="none" w:sz="0" w:space="0" w:color="auto"/>
        <w:right w:val="none" w:sz="0" w:space="0" w:color="auto"/>
      </w:divBdr>
      <w:divsChild>
        <w:div w:id="2044940662">
          <w:marLeft w:val="0"/>
          <w:marRight w:val="0"/>
          <w:marTop w:val="0"/>
          <w:marBottom w:val="0"/>
          <w:divBdr>
            <w:top w:val="none" w:sz="0" w:space="0" w:color="auto"/>
            <w:left w:val="none" w:sz="0" w:space="0" w:color="auto"/>
            <w:bottom w:val="none" w:sz="0" w:space="0" w:color="auto"/>
            <w:right w:val="none" w:sz="0" w:space="0" w:color="auto"/>
          </w:divBdr>
          <w:divsChild>
            <w:div w:id="1278828514">
              <w:marLeft w:val="0"/>
              <w:marRight w:val="0"/>
              <w:marTop w:val="0"/>
              <w:marBottom w:val="0"/>
              <w:divBdr>
                <w:top w:val="none" w:sz="0" w:space="0" w:color="auto"/>
                <w:left w:val="none" w:sz="0" w:space="0" w:color="auto"/>
                <w:bottom w:val="none" w:sz="0" w:space="0" w:color="auto"/>
                <w:right w:val="none" w:sz="0" w:space="0" w:color="auto"/>
              </w:divBdr>
              <w:divsChild>
                <w:div w:id="122701481">
                  <w:marLeft w:val="0"/>
                  <w:marRight w:val="0"/>
                  <w:marTop w:val="0"/>
                  <w:marBottom w:val="0"/>
                  <w:divBdr>
                    <w:top w:val="none" w:sz="0" w:space="0" w:color="auto"/>
                    <w:left w:val="none" w:sz="0" w:space="0" w:color="auto"/>
                    <w:bottom w:val="none" w:sz="0" w:space="0" w:color="auto"/>
                    <w:right w:val="none" w:sz="0" w:space="0" w:color="auto"/>
                  </w:divBdr>
                  <w:divsChild>
                    <w:div w:id="195041976">
                      <w:marLeft w:val="0"/>
                      <w:marRight w:val="0"/>
                      <w:marTop w:val="0"/>
                      <w:marBottom w:val="0"/>
                      <w:divBdr>
                        <w:top w:val="none" w:sz="0" w:space="0" w:color="auto"/>
                        <w:left w:val="none" w:sz="0" w:space="0" w:color="auto"/>
                        <w:bottom w:val="none" w:sz="0" w:space="0" w:color="auto"/>
                        <w:right w:val="none" w:sz="0" w:space="0" w:color="auto"/>
                      </w:divBdr>
                      <w:divsChild>
                        <w:div w:id="281419682">
                          <w:marLeft w:val="0"/>
                          <w:marRight w:val="0"/>
                          <w:marTop w:val="0"/>
                          <w:marBottom w:val="0"/>
                          <w:divBdr>
                            <w:top w:val="none" w:sz="0" w:space="0" w:color="auto"/>
                            <w:left w:val="none" w:sz="0" w:space="0" w:color="auto"/>
                            <w:bottom w:val="none" w:sz="0" w:space="0" w:color="auto"/>
                            <w:right w:val="none" w:sz="0" w:space="0" w:color="auto"/>
                          </w:divBdr>
                          <w:divsChild>
                            <w:div w:id="406273048">
                              <w:marLeft w:val="0"/>
                              <w:marRight w:val="0"/>
                              <w:marTop w:val="0"/>
                              <w:marBottom w:val="0"/>
                              <w:divBdr>
                                <w:top w:val="none" w:sz="0" w:space="0" w:color="auto"/>
                                <w:left w:val="none" w:sz="0" w:space="0" w:color="auto"/>
                                <w:bottom w:val="none" w:sz="0" w:space="0" w:color="auto"/>
                                <w:right w:val="none" w:sz="0" w:space="0" w:color="auto"/>
                              </w:divBdr>
                              <w:divsChild>
                                <w:div w:id="931204501">
                                  <w:marLeft w:val="0"/>
                                  <w:marRight w:val="0"/>
                                  <w:marTop w:val="0"/>
                                  <w:marBottom w:val="0"/>
                                  <w:divBdr>
                                    <w:top w:val="none" w:sz="0" w:space="0" w:color="auto"/>
                                    <w:left w:val="none" w:sz="0" w:space="0" w:color="auto"/>
                                    <w:bottom w:val="none" w:sz="0" w:space="0" w:color="auto"/>
                                    <w:right w:val="none" w:sz="0" w:space="0" w:color="auto"/>
                                  </w:divBdr>
                                  <w:divsChild>
                                    <w:div w:id="1465807921">
                                      <w:marLeft w:val="0"/>
                                      <w:marRight w:val="0"/>
                                      <w:marTop w:val="0"/>
                                      <w:marBottom w:val="0"/>
                                      <w:divBdr>
                                        <w:top w:val="none" w:sz="0" w:space="0" w:color="auto"/>
                                        <w:left w:val="none" w:sz="0" w:space="0" w:color="auto"/>
                                        <w:bottom w:val="none" w:sz="0" w:space="0" w:color="auto"/>
                                        <w:right w:val="none" w:sz="0" w:space="0" w:color="auto"/>
                                      </w:divBdr>
                                      <w:divsChild>
                                        <w:div w:id="1028484953">
                                          <w:marLeft w:val="0"/>
                                          <w:marRight w:val="0"/>
                                          <w:marTop w:val="0"/>
                                          <w:marBottom w:val="0"/>
                                          <w:divBdr>
                                            <w:top w:val="none" w:sz="0" w:space="0" w:color="auto"/>
                                            <w:left w:val="none" w:sz="0" w:space="0" w:color="auto"/>
                                            <w:bottom w:val="none" w:sz="0" w:space="0" w:color="auto"/>
                                            <w:right w:val="none" w:sz="0" w:space="0" w:color="auto"/>
                                          </w:divBdr>
                                          <w:divsChild>
                                            <w:div w:id="610550914">
                                              <w:marLeft w:val="0"/>
                                              <w:marRight w:val="0"/>
                                              <w:marTop w:val="0"/>
                                              <w:marBottom w:val="0"/>
                                              <w:divBdr>
                                                <w:top w:val="none" w:sz="0" w:space="0" w:color="auto"/>
                                                <w:left w:val="none" w:sz="0" w:space="0" w:color="auto"/>
                                                <w:bottom w:val="none" w:sz="0" w:space="0" w:color="auto"/>
                                                <w:right w:val="none" w:sz="0" w:space="0" w:color="auto"/>
                                              </w:divBdr>
                                              <w:divsChild>
                                                <w:div w:id="876426128">
                                                  <w:marLeft w:val="0"/>
                                                  <w:marRight w:val="0"/>
                                                  <w:marTop w:val="0"/>
                                                  <w:marBottom w:val="0"/>
                                                  <w:divBdr>
                                                    <w:top w:val="none" w:sz="0" w:space="0" w:color="auto"/>
                                                    <w:left w:val="none" w:sz="0" w:space="0" w:color="auto"/>
                                                    <w:bottom w:val="none" w:sz="0" w:space="0" w:color="auto"/>
                                                    <w:right w:val="none" w:sz="0" w:space="0" w:color="auto"/>
                                                  </w:divBdr>
                                                  <w:divsChild>
                                                    <w:div w:id="915164387">
                                                      <w:marLeft w:val="0"/>
                                                      <w:marRight w:val="0"/>
                                                      <w:marTop w:val="0"/>
                                                      <w:marBottom w:val="0"/>
                                                      <w:divBdr>
                                                        <w:top w:val="none" w:sz="0" w:space="0" w:color="auto"/>
                                                        <w:left w:val="none" w:sz="0" w:space="0" w:color="auto"/>
                                                        <w:bottom w:val="none" w:sz="0" w:space="0" w:color="auto"/>
                                                        <w:right w:val="none" w:sz="0" w:space="0" w:color="auto"/>
                                                      </w:divBdr>
                                                      <w:divsChild>
                                                        <w:div w:id="6303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9394577">
      <w:bodyDiv w:val="1"/>
      <w:marLeft w:val="0"/>
      <w:marRight w:val="0"/>
      <w:marTop w:val="0"/>
      <w:marBottom w:val="0"/>
      <w:divBdr>
        <w:top w:val="none" w:sz="0" w:space="0" w:color="auto"/>
        <w:left w:val="none" w:sz="0" w:space="0" w:color="auto"/>
        <w:bottom w:val="none" w:sz="0" w:space="0" w:color="auto"/>
        <w:right w:val="none" w:sz="0" w:space="0" w:color="auto"/>
      </w:divBdr>
      <w:divsChild>
        <w:div w:id="98375152">
          <w:marLeft w:val="0"/>
          <w:marRight w:val="0"/>
          <w:marTop w:val="375"/>
          <w:marBottom w:val="375"/>
          <w:divBdr>
            <w:top w:val="none" w:sz="0" w:space="0" w:color="auto"/>
            <w:left w:val="none" w:sz="0" w:space="0" w:color="auto"/>
            <w:bottom w:val="none" w:sz="0" w:space="0" w:color="auto"/>
            <w:right w:val="none" w:sz="0" w:space="0" w:color="auto"/>
          </w:divBdr>
          <w:divsChild>
            <w:div w:id="1120218879">
              <w:marLeft w:val="0"/>
              <w:marRight w:val="0"/>
              <w:marTop w:val="375"/>
              <w:marBottom w:val="375"/>
              <w:divBdr>
                <w:top w:val="none" w:sz="0" w:space="0" w:color="auto"/>
                <w:left w:val="none" w:sz="0" w:space="0" w:color="auto"/>
                <w:bottom w:val="none" w:sz="0" w:space="0" w:color="auto"/>
                <w:right w:val="none" w:sz="0" w:space="0" w:color="auto"/>
              </w:divBdr>
            </w:div>
          </w:divsChild>
        </w:div>
        <w:div w:id="461114507">
          <w:marLeft w:val="0"/>
          <w:marRight w:val="0"/>
          <w:marTop w:val="0"/>
          <w:marBottom w:val="375"/>
          <w:divBdr>
            <w:top w:val="none" w:sz="0" w:space="0" w:color="auto"/>
            <w:left w:val="none" w:sz="0" w:space="0" w:color="auto"/>
            <w:bottom w:val="none" w:sz="0" w:space="0" w:color="auto"/>
            <w:right w:val="none" w:sz="0" w:space="0" w:color="auto"/>
          </w:divBdr>
        </w:div>
      </w:divsChild>
    </w:div>
    <w:div w:id="1130050816">
      <w:bodyDiv w:val="1"/>
      <w:marLeft w:val="0"/>
      <w:marRight w:val="0"/>
      <w:marTop w:val="0"/>
      <w:marBottom w:val="0"/>
      <w:divBdr>
        <w:top w:val="none" w:sz="0" w:space="0" w:color="auto"/>
        <w:left w:val="none" w:sz="0" w:space="0" w:color="auto"/>
        <w:bottom w:val="none" w:sz="0" w:space="0" w:color="auto"/>
        <w:right w:val="none" w:sz="0" w:space="0" w:color="auto"/>
      </w:divBdr>
      <w:divsChild>
        <w:div w:id="73086645">
          <w:marLeft w:val="0"/>
          <w:marRight w:val="0"/>
          <w:marTop w:val="0"/>
          <w:marBottom w:val="0"/>
          <w:divBdr>
            <w:top w:val="none" w:sz="0" w:space="0" w:color="auto"/>
            <w:left w:val="none" w:sz="0" w:space="0" w:color="auto"/>
            <w:bottom w:val="none" w:sz="0" w:space="0" w:color="auto"/>
            <w:right w:val="none" w:sz="0" w:space="0" w:color="auto"/>
          </w:divBdr>
          <w:divsChild>
            <w:div w:id="1533375583">
              <w:marLeft w:val="0"/>
              <w:marRight w:val="0"/>
              <w:marTop w:val="0"/>
              <w:marBottom w:val="0"/>
              <w:divBdr>
                <w:top w:val="none" w:sz="0" w:space="0" w:color="auto"/>
                <w:left w:val="none" w:sz="0" w:space="0" w:color="auto"/>
                <w:bottom w:val="none" w:sz="0" w:space="0" w:color="auto"/>
                <w:right w:val="none" w:sz="0" w:space="0" w:color="auto"/>
              </w:divBdr>
              <w:divsChild>
                <w:div w:id="2060519700">
                  <w:marLeft w:val="0"/>
                  <w:marRight w:val="0"/>
                  <w:marTop w:val="0"/>
                  <w:marBottom w:val="0"/>
                  <w:divBdr>
                    <w:top w:val="none" w:sz="0" w:space="0" w:color="auto"/>
                    <w:left w:val="none" w:sz="0" w:space="0" w:color="auto"/>
                    <w:bottom w:val="none" w:sz="0" w:space="0" w:color="auto"/>
                    <w:right w:val="none" w:sz="0" w:space="0" w:color="auto"/>
                  </w:divBdr>
                  <w:divsChild>
                    <w:div w:id="761532006">
                      <w:marLeft w:val="0"/>
                      <w:marRight w:val="0"/>
                      <w:marTop w:val="0"/>
                      <w:marBottom w:val="0"/>
                      <w:divBdr>
                        <w:top w:val="none" w:sz="0" w:space="0" w:color="auto"/>
                        <w:left w:val="none" w:sz="0" w:space="0" w:color="auto"/>
                        <w:bottom w:val="none" w:sz="0" w:space="0" w:color="auto"/>
                        <w:right w:val="none" w:sz="0" w:space="0" w:color="auto"/>
                      </w:divBdr>
                      <w:divsChild>
                        <w:div w:id="1988704511">
                          <w:marLeft w:val="0"/>
                          <w:marRight w:val="0"/>
                          <w:marTop w:val="0"/>
                          <w:marBottom w:val="0"/>
                          <w:divBdr>
                            <w:top w:val="none" w:sz="0" w:space="0" w:color="auto"/>
                            <w:left w:val="none" w:sz="0" w:space="0" w:color="auto"/>
                            <w:bottom w:val="none" w:sz="0" w:space="0" w:color="auto"/>
                            <w:right w:val="none" w:sz="0" w:space="0" w:color="auto"/>
                          </w:divBdr>
                          <w:divsChild>
                            <w:div w:id="1798572429">
                              <w:marLeft w:val="0"/>
                              <w:marRight w:val="0"/>
                              <w:marTop w:val="0"/>
                              <w:marBottom w:val="0"/>
                              <w:divBdr>
                                <w:top w:val="none" w:sz="0" w:space="0" w:color="auto"/>
                                <w:left w:val="none" w:sz="0" w:space="0" w:color="auto"/>
                                <w:bottom w:val="none" w:sz="0" w:space="0" w:color="auto"/>
                                <w:right w:val="none" w:sz="0" w:space="0" w:color="auto"/>
                              </w:divBdr>
                              <w:divsChild>
                                <w:div w:id="1650359117">
                                  <w:marLeft w:val="0"/>
                                  <w:marRight w:val="0"/>
                                  <w:marTop w:val="0"/>
                                  <w:marBottom w:val="0"/>
                                  <w:divBdr>
                                    <w:top w:val="none" w:sz="0" w:space="0" w:color="auto"/>
                                    <w:left w:val="none" w:sz="0" w:space="0" w:color="auto"/>
                                    <w:bottom w:val="none" w:sz="0" w:space="0" w:color="auto"/>
                                    <w:right w:val="none" w:sz="0" w:space="0" w:color="auto"/>
                                  </w:divBdr>
                                  <w:divsChild>
                                    <w:div w:id="1567104842">
                                      <w:marLeft w:val="0"/>
                                      <w:marRight w:val="0"/>
                                      <w:marTop w:val="0"/>
                                      <w:marBottom w:val="0"/>
                                      <w:divBdr>
                                        <w:top w:val="none" w:sz="0" w:space="0" w:color="auto"/>
                                        <w:left w:val="none" w:sz="0" w:space="0" w:color="auto"/>
                                        <w:bottom w:val="none" w:sz="0" w:space="0" w:color="auto"/>
                                        <w:right w:val="none" w:sz="0" w:space="0" w:color="auto"/>
                                      </w:divBdr>
                                      <w:divsChild>
                                        <w:div w:id="737751686">
                                          <w:marLeft w:val="0"/>
                                          <w:marRight w:val="0"/>
                                          <w:marTop w:val="0"/>
                                          <w:marBottom w:val="0"/>
                                          <w:divBdr>
                                            <w:top w:val="none" w:sz="0" w:space="0" w:color="auto"/>
                                            <w:left w:val="none" w:sz="0" w:space="0" w:color="auto"/>
                                            <w:bottom w:val="none" w:sz="0" w:space="0" w:color="auto"/>
                                            <w:right w:val="none" w:sz="0" w:space="0" w:color="auto"/>
                                          </w:divBdr>
                                          <w:divsChild>
                                            <w:div w:id="1054542696">
                                              <w:marLeft w:val="0"/>
                                              <w:marRight w:val="0"/>
                                              <w:marTop w:val="0"/>
                                              <w:marBottom w:val="0"/>
                                              <w:divBdr>
                                                <w:top w:val="none" w:sz="0" w:space="0" w:color="auto"/>
                                                <w:left w:val="none" w:sz="0" w:space="0" w:color="auto"/>
                                                <w:bottom w:val="none" w:sz="0" w:space="0" w:color="auto"/>
                                                <w:right w:val="none" w:sz="0" w:space="0" w:color="auto"/>
                                              </w:divBdr>
                                              <w:divsChild>
                                                <w:div w:id="402870192">
                                                  <w:marLeft w:val="0"/>
                                                  <w:marRight w:val="0"/>
                                                  <w:marTop w:val="0"/>
                                                  <w:marBottom w:val="0"/>
                                                  <w:divBdr>
                                                    <w:top w:val="none" w:sz="0" w:space="0" w:color="auto"/>
                                                    <w:left w:val="none" w:sz="0" w:space="0" w:color="auto"/>
                                                    <w:bottom w:val="none" w:sz="0" w:space="0" w:color="auto"/>
                                                    <w:right w:val="none" w:sz="0" w:space="0" w:color="auto"/>
                                                  </w:divBdr>
                                                  <w:divsChild>
                                                    <w:div w:id="2111705420">
                                                      <w:marLeft w:val="0"/>
                                                      <w:marRight w:val="0"/>
                                                      <w:marTop w:val="0"/>
                                                      <w:marBottom w:val="0"/>
                                                      <w:divBdr>
                                                        <w:top w:val="none" w:sz="0" w:space="0" w:color="auto"/>
                                                        <w:left w:val="none" w:sz="0" w:space="0" w:color="auto"/>
                                                        <w:bottom w:val="none" w:sz="0" w:space="0" w:color="auto"/>
                                                        <w:right w:val="none" w:sz="0" w:space="0" w:color="auto"/>
                                                      </w:divBdr>
                                                      <w:divsChild>
                                                        <w:div w:id="1148322281">
                                                          <w:marLeft w:val="0"/>
                                                          <w:marRight w:val="0"/>
                                                          <w:marTop w:val="0"/>
                                                          <w:marBottom w:val="0"/>
                                                          <w:divBdr>
                                                            <w:top w:val="none" w:sz="0" w:space="0" w:color="auto"/>
                                                            <w:left w:val="none" w:sz="0" w:space="0" w:color="auto"/>
                                                            <w:bottom w:val="none" w:sz="0" w:space="0" w:color="auto"/>
                                                            <w:right w:val="none" w:sz="0" w:space="0" w:color="auto"/>
                                                          </w:divBdr>
                                                        </w:div>
                                                        <w:div w:id="9064784">
                                                          <w:marLeft w:val="0"/>
                                                          <w:marRight w:val="0"/>
                                                          <w:marTop w:val="0"/>
                                                          <w:marBottom w:val="0"/>
                                                          <w:divBdr>
                                                            <w:top w:val="none" w:sz="0" w:space="0" w:color="auto"/>
                                                            <w:left w:val="none" w:sz="0" w:space="0" w:color="auto"/>
                                                            <w:bottom w:val="none" w:sz="0" w:space="0" w:color="auto"/>
                                                            <w:right w:val="none" w:sz="0" w:space="0" w:color="auto"/>
                                                          </w:divBdr>
                                                          <w:divsChild>
                                                            <w:div w:id="6549916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0320273">
      <w:bodyDiv w:val="1"/>
      <w:marLeft w:val="0"/>
      <w:marRight w:val="0"/>
      <w:marTop w:val="0"/>
      <w:marBottom w:val="0"/>
      <w:divBdr>
        <w:top w:val="none" w:sz="0" w:space="0" w:color="auto"/>
        <w:left w:val="none" w:sz="0" w:space="0" w:color="auto"/>
        <w:bottom w:val="none" w:sz="0" w:space="0" w:color="auto"/>
        <w:right w:val="none" w:sz="0" w:space="0" w:color="auto"/>
      </w:divBdr>
      <w:divsChild>
        <w:div w:id="1968194379">
          <w:marLeft w:val="0"/>
          <w:marRight w:val="0"/>
          <w:marTop w:val="0"/>
          <w:marBottom w:val="0"/>
          <w:divBdr>
            <w:top w:val="none" w:sz="0" w:space="0" w:color="auto"/>
            <w:left w:val="none" w:sz="0" w:space="0" w:color="auto"/>
            <w:bottom w:val="none" w:sz="0" w:space="0" w:color="auto"/>
            <w:right w:val="none" w:sz="0" w:space="0" w:color="auto"/>
          </w:divBdr>
          <w:divsChild>
            <w:div w:id="1928489871">
              <w:marLeft w:val="0"/>
              <w:marRight w:val="0"/>
              <w:marTop w:val="150"/>
              <w:marBottom w:val="0"/>
              <w:divBdr>
                <w:top w:val="none" w:sz="0" w:space="0" w:color="auto"/>
                <w:left w:val="none" w:sz="0" w:space="0" w:color="auto"/>
                <w:bottom w:val="none" w:sz="0" w:space="0" w:color="auto"/>
                <w:right w:val="none" w:sz="0" w:space="0" w:color="auto"/>
              </w:divBdr>
              <w:divsChild>
                <w:div w:id="1180966550">
                  <w:marLeft w:val="0"/>
                  <w:marRight w:val="0"/>
                  <w:marTop w:val="0"/>
                  <w:marBottom w:val="0"/>
                  <w:divBdr>
                    <w:top w:val="none" w:sz="0" w:space="0" w:color="auto"/>
                    <w:left w:val="none" w:sz="0" w:space="0" w:color="auto"/>
                    <w:bottom w:val="none" w:sz="0" w:space="0" w:color="auto"/>
                    <w:right w:val="none" w:sz="0" w:space="0" w:color="auto"/>
                  </w:divBdr>
                  <w:divsChild>
                    <w:div w:id="1521045111">
                      <w:marLeft w:val="0"/>
                      <w:marRight w:val="0"/>
                      <w:marTop w:val="0"/>
                      <w:marBottom w:val="0"/>
                      <w:divBdr>
                        <w:top w:val="none" w:sz="0" w:space="0" w:color="auto"/>
                        <w:left w:val="none" w:sz="0" w:space="0" w:color="auto"/>
                        <w:bottom w:val="none" w:sz="0" w:space="0" w:color="auto"/>
                        <w:right w:val="none" w:sz="0" w:space="0" w:color="auto"/>
                      </w:divBdr>
                      <w:divsChild>
                        <w:div w:id="2937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707089">
      <w:bodyDiv w:val="1"/>
      <w:marLeft w:val="0"/>
      <w:marRight w:val="0"/>
      <w:marTop w:val="0"/>
      <w:marBottom w:val="0"/>
      <w:divBdr>
        <w:top w:val="none" w:sz="0" w:space="0" w:color="auto"/>
        <w:left w:val="none" w:sz="0" w:space="0" w:color="auto"/>
        <w:bottom w:val="none" w:sz="0" w:space="0" w:color="auto"/>
        <w:right w:val="none" w:sz="0" w:space="0" w:color="auto"/>
      </w:divBdr>
      <w:divsChild>
        <w:div w:id="1007173701">
          <w:marLeft w:val="0"/>
          <w:marRight w:val="105"/>
          <w:marTop w:val="0"/>
          <w:marBottom w:val="0"/>
          <w:divBdr>
            <w:top w:val="single" w:sz="6" w:space="0" w:color="D1D1D1"/>
            <w:left w:val="single" w:sz="6" w:space="0" w:color="D1D1D1"/>
            <w:bottom w:val="none" w:sz="0" w:space="0" w:color="auto"/>
            <w:right w:val="none" w:sz="0" w:space="0" w:color="auto"/>
          </w:divBdr>
          <w:divsChild>
            <w:div w:id="1794444500">
              <w:marLeft w:val="0"/>
              <w:marRight w:val="0"/>
              <w:marTop w:val="0"/>
              <w:marBottom w:val="0"/>
              <w:divBdr>
                <w:top w:val="none" w:sz="0" w:space="0" w:color="auto"/>
                <w:left w:val="none" w:sz="0" w:space="0" w:color="auto"/>
                <w:bottom w:val="none" w:sz="0" w:space="0" w:color="auto"/>
                <w:right w:val="none" w:sz="0" w:space="0" w:color="auto"/>
              </w:divBdr>
              <w:divsChild>
                <w:div w:id="15709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4016">
      <w:bodyDiv w:val="1"/>
      <w:marLeft w:val="0"/>
      <w:marRight w:val="0"/>
      <w:marTop w:val="0"/>
      <w:marBottom w:val="0"/>
      <w:divBdr>
        <w:top w:val="none" w:sz="0" w:space="0" w:color="auto"/>
        <w:left w:val="none" w:sz="0" w:space="0" w:color="auto"/>
        <w:bottom w:val="none" w:sz="0" w:space="0" w:color="auto"/>
        <w:right w:val="none" w:sz="0" w:space="0" w:color="auto"/>
      </w:divBdr>
      <w:divsChild>
        <w:div w:id="1111629628">
          <w:marLeft w:val="0"/>
          <w:marRight w:val="0"/>
          <w:marTop w:val="0"/>
          <w:marBottom w:val="0"/>
          <w:divBdr>
            <w:top w:val="single" w:sz="2" w:space="0" w:color="AAAAAA"/>
            <w:left w:val="single" w:sz="6" w:space="8" w:color="AAAAAA"/>
            <w:bottom w:val="single" w:sz="2" w:space="0" w:color="AAAAAA"/>
            <w:right w:val="single" w:sz="6" w:space="8" w:color="AAAAAA"/>
          </w:divBdr>
          <w:divsChild>
            <w:div w:id="1349021315">
              <w:marLeft w:val="0"/>
              <w:marRight w:val="0"/>
              <w:marTop w:val="0"/>
              <w:marBottom w:val="0"/>
              <w:divBdr>
                <w:top w:val="none" w:sz="0" w:space="0" w:color="auto"/>
                <w:left w:val="none" w:sz="0" w:space="0" w:color="auto"/>
                <w:bottom w:val="none" w:sz="0" w:space="0" w:color="auto"/>
                <w:right w:val="none" w:sz="0" w:space="0" w:color="auto"/>
              </w:divBdr>
              <w:divsChild>
                <w:div w:id="912399140">
                  <w:marLeft w:val="0"/>
                  <w:marRight w:val="0"/>
                  <w:marTop w:val="0"/>
                  <w:marBottom w:val="0"/>
                  <w:divBdr>
                    <w:top w:val="none" w:sz="0" w:space="0" w:color="auto"/>
                    <w:left w:val="none" w:sz="0" w:space="0" w:color="auto"/>
                    <w:bottom w:val="none" w:sz="0" w:space="0" w:color="auto"/>
                    <w:right w:val="none" w:sz="0" w:space="0" w:color="auto"/>
                  </w:divBdr>
                  <w:divsChild>
                    <w:div w:id="581450517">
                      <w:marLeft w:val="0"/>
                      <w:marRight w:val="2550"/>
                      <w:marTop w:val="0"/>
                      <w:marBottom w:val="48"/>
                      <w:divBdr>
                        <w:top w:val="none" w:sz="0" w:space="0" w:color="auto"/>
                        <w:left w:val="none" w:sz="0" w:space="0" w:color="auto"/>
                        <w:bottom w:val="none" w:sz="0" w:space="0" w:color="auto"/>
                        <w:right w:val="none" w:sz="0" w:space="0" w:color="auto"/>
                      </w:divBdr>
                      <w:divsChild>
                        <w:div w:id="78755354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32291593">
      <w:bodyDiv w:val="1"/>
      <w:marLeft w:val="0"/>
      <w:marRight w:val="0"/>
      <w:marTop w:val="0"/>
      <w:marBottom w:val="0"/>
      <w:divBdr>
        <w:top w:val="none" w:sz="0" w:space="0" w:color="auto"/>
        <w:left w:val="none" w:sz="0" w:space="0" w:color="auto"/>
        <w:bottom w:val="none" w:sz="0" w:space="0" w:color="auto"/>
        <w:right w:val="none" w:sz="0" w:space="0" w:color="auto"/>
      </w:divBdr>
    </w:div>
    <w:div w:id="1133912197">
      <w:bodyDiv w:val="1"/>
      <w:marLeft w:val="0"/>
      <w:marRight w:val="0"/>
      <w:marTop w:val="0"/>
      <w:marBottom w:val="0"/>
      <w:divBdr>
        <w:top w:val="none" w:sz="0" w:space="0" w:color="auto"/>
        <w:left w:val="none" w:sz="0" w:space="0" w:color="auto"/>
        <w:bottom w:val="none" w:sz="0" w:space="0" w:color="auto"/>
        <w:right w:val="none" w:sz="0" w:space="0" w:color="auto"/>
      </w:divBdr>
      <w:divsChild>
        <w:div w:id="954210017">
          <w:marLeft w:val="0"/>
          <w:marRight w:val="0"/>
          <w:marTop w:val="0"/>
          <w:marBottom w:val="0"/>
          <w:divBdr>
            <w:top w:val="none" w:sz="0" w:space="0" w:color="auto"/>
            <w:left w:val="none" w:sz="0" w:space="0" w:color="auto"/>
            <w:bottom w:val="none" w:sz="0" w:space="0" w:color="auto"/>
            <w:right w:val="none" w:sz="0" w:space="0" w:color="auto"/>
          </w:divBdr>
          <w:divsChild>
            <w:div w:id="675424077">
              <w:marLeft w:val="0"/>
              <w:marRight w:val="0"/>
              <w:marTop w:val="0"/>
              <w:marBottom w:val="0"/>
              <w:divBdr>
                <w:top w:val="none" w:sz="0" w:space="0" w:color="auto"/>
                <w:left w:val="none" w:sz="0" w:space="0" w:color="auto"/>
                <w:bottom w:val="none" w:sz="0" w:space="0" w:color="auto"/>
                <w:right w:val="none" w:sz="0" w:space="0" w:color="auto"/>
              </w:divBdr>
              <w:divsChild>
                <w:div w:id="255526990">
                  <w:marLeft w:val="0"/>
                  <w:marRight w:val="0"/>
                  <w:marTop w:val="0"/>
                  <w:marBottom w:val="0"/>
                  <w:divBdr>
                    <w:top w:val="none" w:sz="0" w:space="0" w:color="auto"/>
                    <w:left w:val="none" w:sz="0" w:space="0" w:color="auto"/>
                    <w:bottom w:val="none" w:sz="0" w:space="0" w:color="auto"/>
                    <w:right w:val="none" w:sz="0" w:space="0" w:color="auto"/>
                  </w:divBdr>
                  <w:divsChild>
                    <w:div w:id="1956476206">
                      <w:marLeft w:val="0"/>
                      <w:marRight w:val="0"/>
                      <w:marTop w:val="0"/>
                      <w:marBottom w:val="0"/>
                      <w:divBdr>
                        <w:top w:val="none" w:sz="0" w:space="0" w:color="auto"/>
                        <w:left w:val="none" w:sz="0" w:space="0" w:color="auto"/>
                        <w:bottom w:val="none" w:sz="0" w:space="0" w:color="auto"/>
                        <w:right w:val="none" w:sz="0" w:space="0" w:color="auto"/>
                      </w:divBdr>
                      <w:divsChild>
                        <w:div w:id="380829899">
                          <w:marLeft w:val="570"/>
                          <w:marRight w:val="720"/>
                          <w:marTop w:val="120"/>
                          <w:marBottom w:val="120"/>
                          <w:divBdr>
                            <w:top w:val="none" w:sz="0" w:space="0" w:color="auto"/>
                            <w:left w:val="none" w:sz="0" w:space="0" w:color="auto"/>
                            <w:bottom w:val="none" w:sz="0" w:space="0" w:color="auto"/>
                            <w:right w:val="none" w:sz="0" w:space="0" w:color="auto"/>
                          </w:divBdr>
                          <w:divsChild>
                            <w:div w:id="436946973">
                              <w:marLeft w:val="0"/>
                              <w:marRight w:val="0"/>
                              <w:marTop w:val="0"/>
                              <w:marBottom w:val="0"/>
                              <w:divBdr>
                                <w:top w:val="none" w:sz="0" w:space="0" w:color="auto"/>
                                <w:left w:val="none" w:sz="0" w:space="0" w:color="auto"/>
                                <w:bottom w:val="none" w:sz="0" w:space="0" w:color="auto"/>
                                <w:right w:val="none" w:sz="0" w:space="0" w:color="auto"/>
                              </w:divBdr>
                              <w:divsChild>
                                <w:div w:id="740060592">
                                  <w:marLeft w:val="0"/>
                                  <w:marRight w:val="0"/>
                                  <w:marTop w:val="0"/>
                                  <w:marBottom w:val="0"/>
                                  <w:divBdr>
                                    <w:top w:val="none" w:sz="0" w:space="0" w:color="auto"/>
                                    <w:left w:val="none" w:sz="0" w:space="0" w:color="auto"/>
                                    <w:bottom w:val="none" w:sz="0" w:space="0" w:color="auto"/>
                                    <w:right w:val="none" w:sz="0" w:space="0" w:color="auto"/>
                                  </w:divBdr>
                                  <w:divsChild>
                                    <w:div w:id="562718555">
                                      <w:marLeft w:val="0"/>
                                      <w:marRight w:val="0"/>
                                      <w:marTop w:val="0"/>
                                      <w:marBottom w:val="0"/>
                                      <w:divBdr>
                                        <w:top w:val="none" w:sz="0" w:space="0" w:color="auto"/>
                                        <w:left w:val="none" w:sz="0" w:space="0" w:color="auto"/>
                                        <w:bottom w:val="none" w:sz="0" w:space="0" w:color="auto"/>
                                        <w:right w:val="none" w:sz="0" w:space="0" w:color="auto"/>
                                      </w:divBdr>
                                      <w:divsChild>
                                        <w:div w:id="1186602851">
                                          <w:marLeft w:val="0"/>
                                          <w:marRight w:val="0"/>
                                          <w:marTop w:val="0"/>
                                          <w:marBottom w:val="0"/>
                                          <w:divBdr>
                                            <w:top w:val="none" w:sz="0" w:space="0" w:color="auto"/>
                                            <w:left w:val="none" w:sz="0" w:space="0" w:color="auto"/>
                                            <w:bottom w:val="none" w:sz="0" w:space="0" w:color="auto"/>
                                            <w:right w:val="none" w:sz="0" w:space="0" w:color="auto"/>
                                          </w:divBdr>
                                          <w:divsChild>
                                            <w:div w:id="52522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448461">
      <w:bodyDiv w:val="1"/>
      <w:marLeft w:val="0"/>
      <w:marRight w:val="0"/>
      <w:marTop w:val="0"/>
      <w:marBottom w:val="0"/>
      <w:divBdr>
        <w:top w:val="none" w:sz="0" w:space="0" w:color="auto"/>
        <w:left w:val="none" w:sz="0" w:space="0" w:color="auto"/>
        <w:bottom w:val="none" w:sz="0" w:space="0" w:color="auto"/>
        <w:right w:val="none" w:sz="0" w:space="0" w:color="auto"/>
      </w:divBdr>
    </w:div>
    <w:div w:id="1135874330">
      <w:bodyDiv w:val="1"/>
      <w:marLeft w:val="0"/>
      <w:marRight w:val="0"/>
      <w:marTop w:val="0"/>
      <w:marBottom w:val="0"/>
      <w:divBdr>
        <w:top w:val="none" w:sz="0" w:space="0" w:color="auto"/>
        <w:left w:val="none" w:sz="0" w:space="0" w:color="auto"/>
        <w:bottom w:val="none" w:sz="0" w:space="0" w:color="auto"/>
        <w:right w:val="none" w:sz="0" w:space="0" w:color="auto"/>
      </w:divBdr>
      <w:divsChild>
        <w:div w:id="2093045838">
          <w:marLeft w:val="0"/>
          <w:marRight w:val="0"/>
          <w:marTop w:val="0"/>
          <w:marBottom w:val="0"/>
          <w:divBdr>
            <w:top w:val="none" w:sz="0" w:space="0" w:color="auto"/>
            <w:left w:val="none" w:sz="0" w:space="0" w:color="auto"/>
            <w:bottom w:val="none" w:sz="0" w:space="0" w:color="auto"/>
            <w:right w:val="none" w:sz="0" w:space="0" w:color="auto"/>
          </w:divBdr>
          <w:divsChild>
            <w:div w:id="1872526741">
              <w:marLeft w:val="0"/>
              <w:marRight w:val="0"/>
              <w:marTop w:val="0"/>
              <w:marBottom w:val="0"/>
              <w:divBdr>
                <w:top w:val="none" w:sz="0" w:space="0" w:color="auto"/>
                <w:left w:val="none" w:sz="0" w:space="0" w:color="auto"/>
                <w:bottom w:val="none" w:sz="0" w:space="0" w:color="auto"/>
                <w:right w:val="none" w:sz="0" w:space="0" w:color="auto"/>
              </w:divBdr>
              <w:divsChild>
                <w:div w:id="480465508">
                  <w:marLeft w:val="0"/>
                  <w:marRight w:val="0"/>
                  <w:marTop w:val="0"/>
                  <w:marBottom w:val="0"/>
                  <w:divBdr>
                    <w:top w:val="none" w:sz="0" w:space="0" w:color="auto"/>
                    <w:left w:val="none" w:sz="0" w:space="0" w:color="auto"/>
                    <w:bottom w:val="none" w:sz="0" w:space="0" w:color="auto"/>
                    <w:right w:val="none" w:sz="0" w:space="0" w:color="auto"/>
                  </w:divBdr>
                  <w:divsChild>
                    <w:div w:id="883754439">
                      <w:marLeft w:val="0"/>
                      <w:marRight w:val="0"/>
                      <w:marTop w:val="0"/>
                      <w:marBottom w:val="0"/>
                      <w:divBdr>
                        <w:top w:val="none" w:sz="0" w:space="0" w:color="auto"/>
                        <w:left w:val="none" w:sz="0" w:space="0" w:color="auto"/>
                        <w:bottom w:val="none" w:sz="0" w:space="0" w:color="auto"/>
                        <w:right w:val="none" w:sz="0" w:space="0" w:color="auto"/>
                      </w:divBdr>
                      <w:divsChild>
                        <w:div w:id="1948731148">
                          <w:marLeft w:val="0"/>
                          <w:marRight w:val="0"/>
                          <w:marTop w:val="0"/>
                          <w:marBottom w:val="0"/>
                          <w:divBdr>
                            <w:top w:val="none" w:sz="0" w:space="0" w:color="auto"/>
                            <w:left w:val="none" w:sz="0" w:space="0" w:color="auto"/>
                            <w:bottom w:val="none" w:sz="0" w:space="0" w:color="auto"/>
                            <w:right w:val="none" w:sz="0" w:space="0" w:color="auto"/>
                          </w:divBdr>
                          <w:divsChild>
                            <w:div w:id="1480804070">
                              <w:marLeft w:val="0"/>
                              <w:marRight w:val="0"/>
                              <w:marTop w:val="0"/>
                              <w:marBottom w:val="0"/>
                              <w:divBdr>
                                <w:top w:val="none" w:sz="0" w:space="0" w:color="auto"/>
                                <w:left w:val="none" w:sz="0" w:space="0" w:color="auto"/>
                                <w:bottom w:val="none" w:sz="0" w:space="0" w:color="auto"/>
                                <w:right w:val="none" w:sz="0" w:space="0" w:color="auto"/>
                              </w:divBdr>
                              <w:divsChild>
                                <w:div w:id="588779677">
                                  <w:marLeft w:val="0"/>
                                  <w:marRight w:val="0"/>
                                  <w:marTop w:val="0"/>
                                  <w:marBottom w:val="0"/>
                                  <w:divBdr>
                                    <w:top w:val="none" w:sz="0" w:space="0" w:color="auto"/>
                                    <w:left w:val="none" w:sz="0" w:space="0" w:color="auto"/>
                                    <w:bottom w:val="none" w:sz="0" w:space="0" w:color="auto"/>
                                    <w:right w:val="none" w:sz="0" w:space="0" w:color="auto"/>
                                  </w:divBdr>
                                  <w:divsChild>
                                    <w:div w:id="1744255067">
                                      <w:marLeft w:val="0"/>
                                      <w:marRight w:val="0"/>
                                      <w:marTop w:val="0"/>
                                      <w:marBottom w:val="0"/>
                                      <w:divBdr>
                                        <w:top w:val="none" w:sz="0" w:space="0" w:color="auto"/>
                                        <w:left w:val="none" w:sz="0" w:space="0" w:color="auto"/>
                                        <w:bottom w:val="none" w:sz="0" w:space="0" w:color="auto"/>
                                        <w:right w:val="none" w:sz="0" w:space="0" w:color="auto"/>
                                      </w:divBdr>
                                      <w:divsChild>
                                        <w:div w:id="1053964112">
                                          <w:marLeft w:val="0"/>
                                          <w:marRight w:val="0"/>
                                          <w:marTop w:val="0"/>
                                          <w:marBottom w:val="0"/>
                                          <w:divBdr>
                                            <w:top w:val="none" w:sz="0" w:space="0" w:color="auto"/>
                                            <w:left w:val="none" w:sz="0" w:space="0" w:color="auto"/>
                                            <w:bottom w:val="none" w:sz="0" w:space="0" w:color="auto"/>
                                            <w:right w:val="none" w:sz="0" w:space="0" w:color="auto"/>
                                          </w:divBdr>
                                        </w:div>
                                        <w:div w:id="1670474825">
                                          <w:marLeft w:val="0"/>
                                          <w:marRight w:val="0"/>
                                          <w:marTop w:val="0"/>
                                          <w:marBottom w:val="0"/>
                                          <w:divBdr>
                                            <w:top w:val="none" w:sz="0" w:space="0" w:color="auto"/>
                                            <w:left w:val="none" w:sz="0" w:space="0" w:color="auto"/>
                                            <w:bottom w:val="none" w:sz="0" w:space="0" w:color="auto"/>
                                            <w:right w:val="none" w:sz="0" w:space="0" w:color="auto"/>
                                          </w:divBdr>
                                          <w:divsChild>
                                            <w:div w:id="16523665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603367">
      <w:bodyDiv w:val="1"/>
      <w:marLeft w:val="0"/>
      <w:marRight w:val="0"/>
      <w:marTop w:val="0"/>
      <w:marBottom w:val="0"/>
      <w:divBdr>
        <w:top w:val="none" w:sz="0" w:space="0" w:color="auto"/>
        <w:left w:val="none" w:sz="0" w:space="0" w:color="auto"/>
        <w:bottom w:val="none" w:sz="0" w:space="0" w:color="auto"/>
        <w:right w:val="none" w:sz="0" w:space="0" w:color="auto"/>
      </w:divBdr>
    </w:div>
    <w:div w:id="1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132136682">
          <w:marLeft w:val="0"/>
          <w:marRight w:val="0"/>
          <w:marTop w:val="0"/>
          <w:marBottom w:val="0"/>
          <w:divBdr>
            <w:top w:val="none" w:sz="0" w:space="0" w:color="auto"/>
            <w:left w:val="none" w:sz="0" w:space="0" w:color="auto"/>
            <w:bottom w:val="none" w:sz="0" w:space="0" w:color="auto"/>
            <w:right w:val="none" w:sz="0" w:space="0" w:color="auto"/>
          </w:divBdr>
          <w:divsChild>
            <w:div w:id="1761489860">
              <w:marLeft w:val="0"/>
              <w:marRight w:val="0"/>
              <w:marTop w:val="0"/>
              <w:marBottom w:val="0"/>
              <w:divBdr>
                <w:top w:val="none" w:sz="0" w:space="0" w:color="auto"/>
                <w:left w:val="none" w:sz="0" w:space="0" w:color="auto"/>
                <w:bottom w:val="none" w:sz="0" w:space="0" w:color="auto"/>
                <w:right w:val="none" w:sz="0" w:space="0" w:color="auto"/>
              </w:divBdr>
              <w:divsChild>
                <w:div w:id="728649413">
                  <w:marLeft w:val="0"/>
                  <w:marRight w:val="0"/>
                  <w:marTop w:val="100"/>
                  <w:marBottom w:val="100"/>
                  <w:divBdr>
                    <w:top w:val="none" w:sz="0" w:space="0" w:color="auto"/>
                    <w:left w:val="none" w:sz="0" w:space="0" w:color="auto"/>
                    <w:bottom w:val="none" w:sz="0" w:space="0" w:color="auto"/>
                    <w:right w:val="none" w:sz="0" w:space="0" w:color="auto"/>
                  </w:divBdr>
                  <w:divsChild>
                    <w:div w:id="21633861">
                      <w:marLeft w:val="0"/>
                      <w:marRight w:val="0"/>
                      <w:marTop w:val="0"/>
                      <w:marBottom w:val="0"/>
                      <w:divBdr>
                        <w:top w:val="none" w:sz="0" w:space="0" w:color="auto"/>
                        <w:left w:val="none" w:sz="0" w:space="0" w:color="auto"/>
                        <w:bottom w:val="none" w:sz="0" w:space="0" w:color="auto"/>
                        <w:right w:val="none" w:sz="0" w:space="0" w:color="auto"/>
                      </w:divBdr>
                      <w:divsChild>
                        <w:div w:id="1417703018">
                          <w:marLeft w:val="0"/>
                          <w:marRight w:val="0"/>
                          <w:marTop w:val="0"/>
                          <w:marBottom w:val="0"/>
                          <w:divBdr>
                            <w:top w:val="none" w:sz="0" w:space="0" w:color="auto"/>
                            <w:left w:val="none" w:sz="0" w:space="0" w:color="auto"/>
                            <w:bottom w:val="none" w:sz="0" w:space="0" w:color="auto"/>
                            <w:right w:val="none" w:sz="0" w:space="0" w:color="auto"/>
                          </w:divBdr>
                          <w:divsChild>
                            <w:div w:id="1981763341">
                              <w:marLeft w:val="0"/>
                              <w:marRight w:val="0"/>
                              <w:marTop w:val="0"/>
                              <w:marBottom w:val="0"/>
                              <w:divBdr>
                                <w:top w:val="none" w:sz="0" w:space="0" w:color="auto"/>
                                <w:left w:val="none" w:sz="0" w:space="0" w:color="auto"/>
                                <w:bottom w:val="none" w:sz="0" w:space="0" w:color="auto"/>
                                <w:right w:val="none" w:sz="0" w:space="0" w:color="auto"/>
                              </w:divBdr>
                              <w:divsChild>
                                <w:div w:id="804469477">
                                  <w:marLeft w:val="0"/>
                                  <w:marRight w:val="0"/>
                                  <w:marTop w:val="0"/>
                                  <w:marBottom w:val="0"/>
                                  <w:divBdr>
                                    <w:top w:val="none" w:sz="0" w:space="0" w:color="auto"/>
                                    <w:left w:val="none" w:sz="0" w:space="0" w:color="auto"/>
                                    <w:bottom w:val="none" w:sz="0" w:space="0" w:color="auto"/>
                                    <w:right w:val="none" w:sz="0" w:space="0" w:color="auto"/>
                                  </w:divBdr>
                                  <w:divsChild>
                                    <w:div w:id="1858540433">
                                      <w:marLeft w:val="0"/>
                                      <w:marRight w:val="0"/>
                                      <w:marTop w:val="0"/>
                                      <w:marBottom w:val="0"/>
                                      <w:divBdr>
                                        <w:top w:val="none" w:sz="0" w:space="0" w:color="auto"/>
                                        <w:left w:val="none" w:sz="0" w:space="0" w:color="auto"/>
                                        <w:bottom w:val="none" w:sz="0" w:space="0" w:color="auto"/>
                                        <w:right w:val="none" w:sz="0" w:space="0" w:color="auto"/>
                                      </w:divBdr>
                                      <w:divsChild>
                                        <w:div w:id="1230309466">
                                          <w:marLeft w:val="0"/>
                                          <w:marRight w:val="0"/>
                                          <w:marTop w:val="0"/>
                                          <w:marBottom w:val="0"/>
                                          <w:divBdr>
                                            <w:top w:val="none" w:sz="0" w:space="0" w:color="auto"/>
                                            <w:left w:val="none" w:sz="0" w:space="0" w:color="auto"/>
                                            <w:bottom w:val="none" w:sz="0" w:space="0" w:color="auto"/>
                                            <w:right w:val="none" w:sz="0" w:space="0" w:color="auto"/>
                                          </w:divBdr>
                                          <w:divsChild>
                                            <w:div w:id="150339766">
                                              <w:marLeft w:val="0"/>
                                              <w:marRight w:val="0"/>
                                              <w:marTop w:val="0"/>
                                              <w:marBottom w:val="0"/>
                                              <w:divBdr>
                                                <w:top w:val="single" w:sz="4" w:space="0" w:color="B6D444"/>
                                                <w:left w:val="none" w:sz="0" w:space="0" w:color="auto"/>
                                                <w:bottom w:val="none" w:sz="0" w:space="0" w:color="auto"/>
                                                <w:right w:val="none" w:sz="0" w:space="0" w:color="auto"/>
                                              </w:divBdr>
                                              <w:divsChild>
                                                <w:div w:id="1778793021">
                                                  <w:marLeft w:val="0"/>
                                                  <w:marRight w:val="0"/>
                                                  <w:marTop w:val="0"/>
                                                  <w:marBottom w:val="0"/>
                                                  <w:divBdr>
                                                    <w:top w:val="none" w:sz="0" w:space="0" w:color="auto"/>
                                                    <w:left w:val="none" w:sz="0" w:space="0" w:color="auto"/>
                                                    <w:bottom w:val="none" w:sz="0" w:space="0" w:color="auto"/>
                                                    <w:right w:val="none" w:sz="0" w:space="0" w:color="auto"/>
                                                  </w:divBdr>
                                                </w:div>
                                                <w:div w:id="11977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9297579">
      <w:bodyDiv w:val="1"/>
      <w:marLeft w:val="0"/>
      <w:marRight w:val="0"/>
      <w:marTop w:val="0"/>
      <w:marBottom w:val="0"/>
      <w:divBdr>
        <w:top w:val="none" w:sz="0" w:space="0" w:color="auto"/>
        <w:left w:val="none" w:sz="0" w:space="0" w:color="auto"/>
        <w:bottom w:val="none" w:sz="0" w:space="0" w:color="auto"/>
        <w:right w:val="none" w:sz="0" w:space="0" w:color="auto"/>
      </w:divBdr>
    </w:div>
    <w:div w:id="1140466001">
      <w:bodyDiv w:val="1"/>
      <w:marLeft w:val="0"/>
      <w:marRight w:val="0"/>
      <w:marTop w:val="0"/>
      <w:marBottom w:val="0"/>
      <w:divBdr>
        <w:top w:val="none" w:sz="0" w:space="0" w:color="auto"/>
        <w:left w:val="none" w:sz="0" w:space="0" w:color="auto"/>
        <w:bottom w:val="none" w:sz="0" w:space="0" w:color="auto"/>
        <w:right w:val="none" w:sz="0" w:space="0" w:color="auto"/>
      </w:divBdr>
    </w:div>
    <w:div w:id="1140655913">
      <w:bodyDiv w:val="1"/>
      <w:marLeft w:val="0"/>
      <w:marRight w:val="0"/>
      <w:marTop w:val="0"/>
      <w:marBottom w:val="0"/>
      <w:divBdr>
        <w:top w:val="none" w:sz="0" w:space="0" w:color="auto"/>
        <w:left w:val="none" w:sz="0" w:space="0" w:color="auto"/>
        <w:bottom w:val="none" w:sz="0" w:space="0" w:color="auto"/>
        <w:right w:val="none" w:sz="0" w:space="0" w:color="auto"/>
      </w:divBdr>
      <w:divsChild>
        <w:div w:id="1666741448">
          <w:marLeft w:val="0"/>
          <w:marRight w:val="0"/>
          <w:marTop w:val="0"/>
          <w:marBottom w:val="0"/>
          <w:divBdr>
            <w:top w:val="none" w:sz="0" w:space="0" w:color="auto"/>
            <w:left w:val="none" w:sz="0" w:space="0" w:color="auto"/>
            <w:bottom w:val="none" w:sz="0" w:space="0" w:color="auto"/>
            <w:right w:val="none" w:sz="0" w:space="0" w:color="auto"/>
          </w:divBdr>
          <w:divsChild>
            <w:div w:id="1152596378">
              <w:marLeft w:val="0"/>
              <w:marRight w:val="0"/>
              <w:marTop w:val="0"/>
              <w:marBottom w:val="0"/>
              <w:divBdr>
                <w:top w:val="none" w:sz="0" w:space="0" w:color="auto"/>
                <w:left w:val="none" w:sz="0" w:space="0" w:color="auto"/>
                <w:bottom w:val="none" w:sz="0" w:space="0" w:color="auto"/>
                <w:right w:val="none" w:sz="0" w:space="0" w:color="auto"/>
              </w:divBdr>
              <w:divsChild>
                <w:div w:id="1780637067">
                  <w:marLeft w:val="0"/>
                  <w:marRight w:val="0"/>
                  <w:marTop w:val="0"/>
                  <w:marBottom w:val="0"/>
                  <w:divBdr>
                    <w:top w:val="none" w:sz="0" w:space="0" w:color="auto"/>
                    <w:left w:val="none" w:sz="0" w:space="0" w:color="auto"/>
                    <w:bottom w:val="none" w:sz="0" w:space="0" w:color="auto"/>
                    <w:right w:val="none" w:sz="0" w:space="0" w:color="auto"/>
                  </w:divBdr>
                  <w:divsChild>
                    <w:div w:id="908997458">
                      <w:marLeft w:val="0"/>
                      <w:marRight w:val="0"/>
                      <w:marTop w:val="0"/>
                      <w:marBottom w:val="0"/>
                      <w:divBdr>
                        <w:top w:val="none" w:sz="0" w:space="0" w:color="auto"/>
                        <w:left w:val="none" w:sz="0" w:space="0" w:color="auto"/>
                        <w:bottom w:val="none" w:sz="0" w:space="0" w:color="auto"/>
                        <w:right w:val="none" w:sz="0" w:space="0" w:color="auto"/>
                      </w:divBdr>
                      <w:divsChild>
                        <w:div w:id="1537698134">
                          <w:marLeft w:val="0"/>
                          <w:marRight w:val="0"/>
                          <w:marTop w:val="0"/>
                          <w:marBottom w:val="0"/>
                          <w:divBdr>
                            <w:top w:val="none" w:sz="0" w:space="0" w:color="auto"/>
                            <w:left w:val="none" w:sz="0" w:space="0" w:color="auto"/>
                            <w:bottom w:val="none" w:sz="0" w:space="0" w:color="auto"/>
                            <w:right w:val="none" w:sz="0" w:space="0" w:color="auto"/>
                          </w:divBdr>
                          <w:divsChild>
                            <w:div w:id="1736397465">
                              <w:marLeft w:val="570"/>
                              <w:marRight w:val="720"/>
                              <w:marTop w:val="120"/>
                              <w:marBottom w:val="120"/>
                              <w:divBdr>
                                <w:top w:val="none" w:sz="0" w:space="0" w:color="auto"/>
                                <w:left w:val="none" w:sz="0" w:space="0" w:color="auto"/>
                                <w:bottom w:val="none" w:sz="0" w:space="0" w:color="auto"/>
                                <w:right w:val="none" w:sz="0" w:space="0" w:color="auto"/>
                              </w:divBdr>
                              <w:divsChild>
                                <w:div w:id="837695808">
                                  <w:marLeft w:val="0"/>
                                  <w:marRight w:val="0"/>
                                  <w:marTop w:val="0"/>
                                  <w:marBottom w:val="0"/>
                                  <w:divBdr>
                                    <w:top w:val="none" w:sz="0" w:space="0" w:color="auto"/>
                                    <w:left w:val="none" w:sz="0" w:space="0" w:color="auto"/>
                                    <w:bottom w:val="none" w:sz="0" w:space="0" w:color="auto"/>
                                    <w:right w:val="none" w:sz="0" w:space="0" w:color="auto"/>
                                  </w:divBdr>
                                  <w:divsChild>
                                    <w:div w:id="579020984">
                                      <w:marLeft w:val="0"/>
                                      <w:marRight w:val="0"/>
                                      <w:marTop w:val="0"/>
                                      <w:marBottom w:val="0"/>
                                      <w:divBdr>
                                        <w:top w:val="none" w:sz="0" w:space="0" w:color="auto"/>
                                        <w:left w:val="none" w:sz="0" w:space="0" w:color="auto"/>
                                        <w:bottom w:val="none" w:sz="0" w:space="0" w:color="auto"/>
                                        <w:right w:val="none" w:sz="0" w:space="0" w:color="auto"/>
                                      </w:divBdr>
                                      <w:divsChild>
                                        <w:div w:id="1905069404">
                                          <w:marLeft w:val="0"/>
                                          <w:marRight w:val="0"/>
                                          <w:marTop w:val="0"/>
                                          <w:marBottom w:val="0"/>
                                          <w:divBdr>
                                            <w:top w:val="none" w:sz="0" w:space="0" w:color="auto"/>
                                            <w:left w:val="none" w:sz="0" w:space="0" w:color="auto"/>
                                            <w:bottom w:val="none" w:sz="0" w:space="0" w:color="auto"/>
                                            <w:right w:val="none" w:sz="0" w:space="0" w:color="auto"/>
                                          </w:divBdr>
                                        </w:div>
                                        <w:div w:id="351153413">
                                          <w:marLeft w:val="0"/>
                                          <w:marRight w:val="0"/>
                                          <w:marTop w:val="0"/>
                                          <w:marBottom w:val="150"/>
                                          <w:divBdr>
                                            <w:top w:val="none" w:sz="0" w:space="0" w:color="auto"/>
                                            <w:left w:val="none" w:sz="0" w:space="0" w:color="auto"/>
                                            <w:bottom w:val="none" w:sz="0" w:space="0" w:color="auto"/>
                                            <w:right w:val="none" w:sz="0" w:space="0" w:color="auto"/>
                                          </w:divBdr>
                                          <w:divsChild>
                                            <w:div w:id="228927968">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1141465199">
      <w:bodyDiv w:val="1"/>
      <w:marLeft w:val="0"/>
      <w:marRight w:val="0"/>
      <w:marTop w:val="0"/>
      <w:marBottom w:val="0"/>
      <w:divBdr>
        <w:top w:val="none" w:sz="0" w:space="0" w:color="auto"/>
        <w:left w:val="none" w:sz="0" w:space="0" w:color="auto"/>
        <w:bottom w:val="none" w:sz="0" w:space="0" w:color="auto"/>
        <w:right w:val="none" w:sz="0" w:space="0" w:color="auto"/>
      </w:divBdr>
      <w:divsChild>
        <w:div w:id="995381349">
          <w:marLeft w:val="0"/>
          <w:marRight w:val="0"/>
          <w:marTop w:val="0"/>
          <w:marBottom w:val="0"/>
          <w:divBdr>
            <w:top w:val="none" w:sz="0" w:space="0" w:color="auto"/>
            <w:left w:val="none" w:sz="0" w:space="0" w:color="auto"/>
            <w:bottom w:val="none" w:sz="0" w:space="0" w:color="auto"/>
            <w:right w:val="none" w:sz="0" w:space="0" w:color="auto"/>
          </w:divBdr>
          <w:divsChild>
            <w:div w:id="1778209105">
              <w:marLeft w:val="0"/>
              <w:marRight w:val="0"/>
              <w:marTop w:val="0"/>
              <w:marBottom w:val="0"/>
              <w:divBdr>
                <w:top w:val="none" w:sz="0" w:space="0" w:color="auto"/>
                <w:left w:val="none" w:sz="0" w:space="0" w:color="auto"/>
                <w:bottom w:val="none" w:sz="0" w:space="0" w:color="auto"/>
                <w:right w:val="none" w:sz="0" w:space="0" w:color="auto"/>
              </w:divBdr>
              <w:divsChild>
                <w:div w:id="1963687654">
                  <w:marLeft w:val="0"/>
                  <w:marRight w:val="0"/>
                  <w:marTop w:val="0"/>
                  <w:marBottom w:val="0"/>
                  <w:divBdr>
                    <w:top w:val="none" w:sz="0" w:space="0" w:color="auto"/>
                    <w:left w:val="none" w:sz="0" w:space="0" w:color="auto"/>
                    <w:bottom w:val="none" w:sz="0" w:space="0" w:color="auto"/>
                    <w:right w:val="none" w:sz="0" w:space="0" w:color="auto"/>
                  </w:divBdr>
                  <w:divsChild>
                    <w:div w:id="926841547">
                      <w:marLeft w:val="0"/>
                      <w:marRight w:val="0"/>
                      <w:marTop w:val="0"/>
                      <w:marBottom w:val="0"/>
                      <w:divBdr>
                        <w:top w:val="none" w:sz="0" w:space="0" w:color="auto"/>
                        <w:left w:val="none" w:sz="0" w:space="0" w:color="auto"/>
                        <w:bottom w:val="none" w:sz="0" w:space="0" w:color="auto"/>
                        <w:right w:val="none" w:sz="0" w:space="0" w:color="auto"/>
                      </w:divBdr>
                      <w:divsChild>
                        <w:div w:id="1394501914">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141657754">
      <w:bodyDiv w:val="1"/>
      <w:marLeft w:val="0"/>
      <w:marRight w:val="0"/>
      <w:marTop w:val="0"/>
      <w:marBottom w:val="0"/>
      <w:divBdr>
        <w:top w:val="none" w:sz="0" w:space="0" w:color="auto"/>
        <w:left w:val="none" w:sz="0" w:space="0" w:color="auto"/>
        <w:bottom w:val="none" w:sz="0" w:space="0" w:color="auto"/>
        <w:right w:val="none" w:sz="0" w:space="0" w:color="auto"/>
      </w:divBdr>
    </w:div>
    <w:div w:id="1142500888">
      <w:bodyDiv w:val="1"/>
      <w:marLeft w:val="0"/>
      <w:marRight w:val="0"/>
      <w:marTop w:val="0"/>
      <w:marBottom w:val="0"/>
      <w:divBdr>
        <w:top w:val="none" w:sz="0" w:space="0" w:color="auto"/>
        <w:left w:val="none" w:sz="0" w:space="0" w:color="auto"/>
        <w:bottom w:val="none" w:sz="0" w:space="0" w:color="auto"/>
        <w:right w:val="none" w:sz="0" w:space="0" w:color="auto"/>
      </w:divBdr>
    </w:div>
    <w:div w:id="1143427335">
      <w:bodyDiv w:val="1"/>
      <w:marLeft w:val="0"/>
      <w:marRight w:val="0"/>
      <w:marTop w:val="0"/>
      <w:marBottom w:val="0"/>
      <w:divBdr>
        <w:top w:val="none" w:sz="0" w:space="0" w:color="auto"/>
        <w:left w:val="none" w:sz="0" w:space="0" w:color="auto"/>
        <w:bottom w:val="none" w:sz="0" w:space="0" w:color="auto"/>
        <w:right w:val="none" w:sz="0" w:space="0" w:color="auto"/>
      </w:divBdr>
    </w:div>
    <w:div w:id="1144350479">
      <w:bodyDiv w:val="1"/>
      <w:marLeft w:val="0"/>
      <w:marRight w:val="0"/>
      <w:marTop w:val="0"/>
      <w:marBottom w:val="0"/>
      <w:divBdr>
        <w:top w:val="none" w:sz="0" w:space="0" w:color="auto"/>
        <w:left w:val="none" w:sz="0" w:space="0" w:color="auto"/>
        <w:bottom w:val="none" w:sz="0" w:space="0" w:color="auto"/>
        <w:right w:val="none" w:sz="0" w:space="0" w:color="auto"/>
      </w:divBdr>
      <w:divsChild>
        <w:div w:id="691884009">
          <w:marLeft w:val="0"/>
          <w:marRight w:val="0"/>
          <w:marTop w:val="0"/>
          <w:marBottom w:val="0"/>
          <w:divBdr>
            <w:top w:val="single" w:sz="6" w:space="0" w:color="0E477A"/>
            <w:left w:val="single" w:sz="6" w:space="0" w:color="0E477A"/>
            <w:bottom w:val="single" w:sz="6" w:space="0" w:color="0E477A"/>
            <w:right w:val="single" w:sz="6" w:space="0" w:color="0E477A"/>
          </w:divBdr>
          <w:divsChild>
            <w:div w:id="491143314">
              <w:marLeft w:val="0"/>
              <w:marRight w:val="0"/>
              <w:marTop w:val="0"/>
              <w:marBottom w:val="0"/>
              <w:divBdr>
                <w:top w:val="none" w:sz="0" w:space="0" w:color="auto"/>
                <w:left w:val="none" w:sz="0" w:space="0" w:color="auto"/>
                <w:bottom w:val="none" w:sz="0" w:space="0" w:color="auto"/>
                <w:right w:val="none" w:sz="0" w:space="0" w:color="auto"/>
              </w:divBdr>
              <w:divsChild>
                <w:div w:id="698431092">
                  <w:marLeft w:val="75"/>
                  <w:marRight w:val="0"/>
                  <w:marTop w:val="0"/>
                  <w:marBottom w:val="0"/>
                  <w:divBdr>
                    <w:top w:val="none" w:sz="0" w:space="0" w:color="auto"/>
                    <w:left w:val="none" w:sz="0" w:space="0" w:color="auto"/>
                    <w:bottom w:val="none" w:sz="0" w:space="0" w:color="auto"/>
                    <w:right w:val="none" w:sz="0" w:space="0" w:color="auto"/>
                  </w:divBdr>
                  <w:divsChild>
                    <w:div w:id="2012564983">
                      <w:marLeft w:val="0"/>
                      <w:marRight w:val="0"/>
                      <w:marTop w:val="0"/>
                      <w:marBottom w:val="0"/>
                      <w:divBdr>
                        <w:top w:val="none" w:sz="0" w:space="0" w:color="auto"/>
                        <w:left w:val="none" w:sz="0" w:space="0" w:color="auto"/>
                        <w:bottom w:val="none" w:sz="0" w:space="0" w:color="auto"/>
                        <w:right w:val="none" w:sz="0" w:space="0" w:color="auto"/>
                      </w:divBdr>
                      <w:divsChild>
                        <w:div w:id="2003771511">
                          <w:marLeft w:val="0"/>
                          <w:marRight w:val="225"/>
                          <w:marTop w:val="150"/>
                          <w:marBottom w:val="150"/>
                          <w:divBdr>
                            <w:top w:val="single" w:sz="6" w:space="0" w:color="CCCCCC"/>
                            <w:left w:val="single" w:sz="6" w:space="8" w:color="CCCCCC"/>
                            <w:bottom w:val="single" w:sz="6" w:space="8" w:color="CCCCCC"/>
                            <w:right w:val="single" w:sz="6" w:space="8" w:color="CCCCCC"/>
                          </w:divBdr>
                          <w:divsChild>
                            <w:div w:id="337663512">
                              <w:marLeft w:val="-150"/>
                              <w:marRight w:val="0"/>
                              <w:marTop w:val="0"/>
                              <w:marBottom w:val="0"/>
                              <w:divBdr>
                                <w:top w:val="none" w:sz="0" w:space="0" w:color="auto"/>
                                <w:left w:val="none" w:sz="0" w:space="0" w:color="auto"/>
                                <w:bottom w:val="none" w:sz="0" w:space="0" w:color="auto"/>
                                <w:right w:val="none" w:sz="0" w:space="0" w:color="auto"/>
                              </w:divBdr>
                              <w:divsChild>
                                <w:div w:id="17939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161379">
      <w:bodyDiv w:val="1"/>
      <w:marLeft w:val="0"/>
      <w:marRight w:val="0"/>
      <w:marTop w:val="0"/>
      <w:marBottom w:val="0"/>
      <w:divBdr>
        <w:top w:val="none" w:sz="0" w:space="0" w:color="auto"/>
        <w:left w:val="none" w:sz="0" w:space="0" w:color="auto"/>
        <w:bottom w:val="none" w:sz="0" w:space="0" w:color="auto"/>
        <w:right w:val="none" w:sz="0" w:space="0" w:color="auto"/>
      </w:divBdr>
    </w:div>
    <w:div w:id="1146164049">
      <w:bodyDiv w:val="1"/>
      <w:marLeft w:val="0"/>
      <w:marRight w:val="0"/>
      <w:marTop w:val="0"/>
      <w:marBottom w:val="0"/>
      <w:divBdr>
        <w:top w:val="none" w:sz="0" w:space="0" w:color="auto"/>
        <w:left w:val="none" w:sz="0" w:space="0" w:color="auto"/>
        <w:bottom w:val="none" w:sz="0" w:space="0" w:color="auto"/>
        <w:right w:val="none" w:sz="0" w:space="0" w:color="auto"/>
      </w:divBdr>
    </w:div>
    <w:div w:id="1146315987">
      <w:bodyDiv w:val="1"/>
      <w:marLeft w:val="0"/>
      <w:marRight w:val="0"/>
      <w:marTop w:val="0"/>
      <w:marBottom w:val="0"/>
      <w:divBdr>
        <w:top w:val="none" w:sz="0" w:space="0" w:color="auto"/>
        <w:left w:val="none" w:sz="0" w:space="0" w:color="auto"/>
        <w:bottom w:val="none" w:sz="0" w:space="0" w:color="auto"/>
        <w:right w:val="none" w:sz="0" w:space="0" w:color="auto"/>
      </w:divBdr>
      <w:divsChild>
        <w:div w:id="1872064184">
          <w:marLeft w:val="0"/>
          <w:marRight w:val="0"/>
          <w:marTop w:val="0"/>
          <w:marBottom w:val="0"/>
          <w:divBdr>
            <w:top w:val="none" w:sz="0" w:space="0" w:color="auto"/>
            <w:left w:val="none" w:sz="0" w:space="0" w:color="auto"/>
            <w:bottom w:val="none" w:sz="0" w:space="0" w:color="auto"/>
            <w:right w:val="none" w:sz="0" w:space="0" w:color="auto"/>
          </w:divBdr>
          <w:divsChild>
            <w:div w:id="713844316">
              <w:marLeft w:val="0"/>
              <w:marRight w:val="0"/>
              <w:marTop w:val="0"/>
              <w:marBottom w:val="0"/>
              <w:divBdr>
                <w:top w:val="none" w:sz="0" w:space="0" w:color="auto"/>
                <w:left w:val="none" w:sz="0" w:space="0" w:color="auto"/>
                <w:bottom w:val="none" w:sz="0" w:space="0" w:color="auto"/>
                <w:right w:val="none" w:sz="0" w:space="0" w:color="auto"/>
              </w:divBdr>
              <w:divsChild>
                <w:div w:id="1098135570">
                  <w:marLeft w:val="0"/>
                  <w:marRight w:val="0"/>
                  <w:marTop w:val="0"/>
                  <w:marBottom w:val="0"/>
                  <w:divBdr>
                    <w:top w:val="none" w:sz="0" w:space="0" w:color="auto"/>
                    <w:left w:val="none" w:sz="0" w:space="0" w:color="auto"/>
                    <w:bottom w:val="none" w:sz="0" w:space="0" w:color="auto"/>
                    <w:right w:val="none" w:sz="0" w:space="0" w:color="auto"/>
                  </w:divBdr>
                  <w:divsChild>
                    <w:div w:id="1308053288">
                      <w:marLeft w:val="0"/>
                      <w:marRight w:val="0"/>
                      <w:marTop w:val="0"/>
                      <w:marBottom w:val="0"/>
                      <w:divBdr>
                        <w:top w:val="none" w:sz="0" w:space="0" w:color="auto"/>
                        <w:left w:val="none" w:sz="0" w:space="0" w:color="auto"/>
                        <w:bottom w:val="none" w:sz="0" w:space="0" w:color="auto"/>
                        <w:right w:val="none" w:sz="0" w:space="0" w:color="auto"/>
                      </w:divBdr>
                      <w:divsChild>
                        <w:div w:id="8864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160473">
      <w:bodyDiv w:val="1"/>
      <w:marLeft w:val="0"/>
      <w:marRight w:val="0"/>
      <w:marTop w:val="0"/>
      <w:marBottom w:val="0"/>
      <w:divBdr>
        <w:top w:val="none" w:sz="0" w:space="0" w:color="auto"/>
        <w:left w:val="none" w:sz="0" w:space="0" w:color="auto"/>
        <w:bottom w:val="none" w:sz="0" w:space="0" w:color="auto"/>
        <w:right w:val="none" w:sz="0" w:space="0" w:color="auto"/>
      </w:divBdr>
      <w:divsChild>
        <w:div w:id="1176456763">
          <w:marLeft w:val="0"/>
          <w:marRight w:val="0"/>
          <w:marTop w:val="0"/>
          <w:marBottom w:val="0"/>
          <w:divBdr>
            <w:top w:val="none" w:sz="0" w:space="0" w:color="auto"/>
            <w:left w:val="none" w:sz="0" w:space="0" w:color="auto"/>
            <w:bottom w:val="none" w:sz="0" w:space="0" w:color="auto"/>
            <w:right w:val="none" w:sz="0" w:space="0" w:color="auto"/>
          </w:divBdr>
          <w:divsChild>
            <w:div w:id="12414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7456">
      <w:bodyDiv w:val="1"/>
      <w:marLeft w:val="0"/>
      <w:marRight w:val="0"/>
      <w:marTop w:val="0"/>
      <w:marBottom w:val="0"/>
      <w:divBdr>
        <w:top w:val="none" w:sz="0" w:space="0" w:color="auto"/>
        <w:left w:val="none" w:sz="0" w:space="0" w:color="auto"/>
        <w:bottom w:val="none" w:sz="0" w:space="0" w:color="auto"/>
        <w:right w:val="none" w:sz="0" w:space="0" w:color="auto"/>
      </w:divBdr>
      <w:divsChild>
        <w:div w:id="791631263">
          <w:marLeft w:val="0"/>
          <w:marRight w:val="0"/>
          <w:marTop w:val="0"/>
          <w:marBottom w:val="0"/>
          <w:divBdr>
            <w:top w:val="none" w:sz="0" w:space="0" w:color="auto"/>
            <w:left w:val="none" w:sz="0" w:space="0" w:color="auto"/>
            <w:bottom w:val="none" w:sz="0" w:space="0" w:color="auto"/>
            <w:right w:val="none" w:sz="0" w:space="0" w:color="auto"/>
          </w:divBdr>
          <w:divsChild>
            <w:div w:id="520359121">
              <w:marLeft w:val="0"/>
              <w:marRight w:val="0"/>
              <w:marTop w:val="0"/>
              <w:marBottom w:val="0"/>
              <w:divBdr>
                <w:top w:val="none" w:sz="0" w:space="0" w:color="auto"/>
                <w:left w:val="none" w:sz="0" w:space="0" w:color="auto"/>
                <w:bottom w:val="none" w:sz="0" w:space="0" w:color="auto"/>
                <w:right w:val="none" w:sz="0" w:space="0" w:color="auto"/>
              </w:divBdr>
              <w:divsChild>
                <w:div w:id="241332072">
                  <w:marLeft w:val="0"/>
                  <w:marRight w:val="0"/>
                  <w:marTop w:val="0"/>
                  <w:marBottom w:val="0"/>
                  <w:divBdr>
                    <w:top w:val="none" w:sz="0" w:space="0" w:color="auto"/>
                    <w:left w:val="none" w:sz="0" w:space="0" w:color="auto"/>
                    <w:bottom w:val="none" w:sz="0" w:space="0" w:color="auto"/>
                    <w:right w:val="none" w:sz="0" w:space="0" w:color="auto"/>
                  </w:divBdr>
                  <w:divsChild>
                    <w:div w:id="350110768">
                      <w:marLeft w:val="0"/>
                      <w:marRight w:val="0"/>
                      <w:marTop w:val="0"/>
                      <w:marBottom w:val="0"/>
                      <w:divBdr>
                        <w:top w:val="none" w:sz="0" w:space="0" w:color="auto"/>
                        <w:left w:val="none" w:sz="0" w:space="0" w:color="auto"/>
                        <w:bottom w:val="none" w:sz="0" w:space="0" w:color="auto"/>
                        <w:right w:val="none" w:sz="0" w:space="0" w:color="auto"/>
                      </w:divBdr>
                      <w:divsChild>
                        <w:div w:id="5138663">
                          <w:marLeft w:val="0"/>
                          <w:marRight w:val="0"/>
                          <w:marTop w:val="0"/>
                          <w:marBottom w:val="0"/>
                          <w:divBdr>
                            <w:top w:val="none" w:sz="0" w:space="0" w:color="auto"/>
                            <w:left w:val="none" w:sz="0" w:space="0" w:color="auto"/>
                            <w:bottom w:val="none" w:sz="0" w:space="0" w:color="auto"/>
                            <w:right w:val="none" w:sz="0" w:space="0" w:color="auto"/>
                          </w:divBdr>
                          <w:divsChild>
                            <w:div w:id="80375515">
                              <w:marLeft w:val="0"/>
                              <w:marRight w:val="0"/>
                              <w:marTop w:val="0"/>
                              <w:marBottom w:val="0"/>
                              <w:divBdr>
                                <w:top w:val="none" w:sz="0" w:space="0" w:color="auto"/>
                                <w:left w:val="none" w:sz="0" w:space="0" w:color="auto"/>
                                <w:bottom w:val="none" w:sz="0" w:space="0" w:color="auto"/>
                                <w:right w:val="none" w:sz="0" w:space="0" w:color="auto"/>
                              </w:divBdr>
                              <w:divsChild>
                                <w:div w:id="2053456951">
                                  <w:marLeft w:val="0"/>
                                  <w:marRight w:val="0"/>
                                  <w:marTop w:val="0"/>
                                  <w:marBottom w:val="0"/>
                                  <w:divBdr>
                                    <w:top w:val="none" w:sz="0" w:space="0" w:color="auto"/>
                                    <w:left w:val="none" w:sz="0" w:space="0" w:color="auto"/>
                                    <w:bottom w:val="none" w:sz="0" w:space="0" w:color="auto"/>
                                    <w:right w:val="none" w:sz="0" w:space="0" w:color="auto"/>
                                  </w:divBdr>
                                  <w:divsChild>
                                    <w:div w:id="768113656">
                                      <w:marLeft w:val="0"/>
                                      <w:marRight w:val="0"/>
                                      <w:marTop w:val="0"/>
                                      <w:marBottom w:val="0"/>
                                      <w:divBdr>
                                        <w:top w:val="none" w:sz="0" w:space="0" w:color="auto"/>
                                        <w:left w:val="none" w:sz="0" w:space="0" w:color="auto"/>
                                        <w:bottom w:val="none" w:sz="0" w:space="0" w:color="auto"/>
                                        <w:right w:val="none" w:sz="0" w:space="0" w:color="auto"/>
                                      </w:divBdr>
                                      <w:divsChild>
                                        <w:div w:id="13520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715962">
      <w:bodyDiv w:val="1"/>
      <w:marLeft w:val="0"/>
      <w:marRight w:val="0"/>
      <w:marTop w:val="0"/>
      <w:marBottom w:val="0"/>
      <w:divBdr>
        <w:top w:val="none" w:sz="0" w:space="0" w:color="auto"/>
        <w:left w:val="none" w:sz="0" w:space="0" w:color="auto"/>
        <w:bottom w:val="none" w:sz="0" w:space="0" w:color="auto"/>
        <w:right w:val="none" w:sz="0" w:space="0" w:color="auto"/>
      </w:divBdr>
      <w:divsChild>
        <w:div w:id="1212766169">
          <w:marLeft w:val="0"/>
          <w:marRight w:val="0"/>
          <w:marTop w:val="0"/>
          <w:marBottom w:val="0"/>
          <w:divBdr>
            <w:top w:val="none" w:sz="0" w:space="0" w:color="auto"/>
            <w:left w:val="none" w:sz="0" w:space="0" w:color="auto"/>
            <w:bottom w:val="none" w:sz="0" w:space="0" w:color="auto"/>
            <w:right w:val="none" w:sz="0" w:space="0" w:color="auto"/>
          </w:divBdr>
          <w:divsChild>
            <w:div w:id="446238970">
              <w:marLeft w:val="0"/>
              <w:marRight w:val="0"/>
              <w:marTop w:val="0"/>
              <w:marBottom w:val="0"/>
              <w:divBdr>
                <w:top w:val="none" w:sz="0" w:space="0" w:color="auto"/>
                <w:left w:val="none" w:sz="0" w:space="0" w:color="auto"/>
                <w:bottom w:val="none" w:sz="0" w:space="0" w:color="auto"/>
                <w:right w:val="none" w:sz="0" w:space="0" w:color="auto"/>
              </w:divBdr>
              <w:divsChild>
                <w:div w:id="2019035694">
                  <w:marLeft w:val="0"/>
                  <w:marRight w:val="0"/>
                  <w:marTop w:val="0"/>
                  <w:marBottom w:val="0"/>
                  <w:divBdr>
                    <w:top w:val="none" w:sz="0" w:space="0" w:color="auto"/>
                    <w:left w:val="none" w:sz="0" w:space="0" w:color="auto"/>
                    <w:bottom w:val="none" w:sz="0" w:space="0" w:color="auto"/>
                    <w:right w:val="none" w:sz="0" w:space="0" w:color="auto"/>
                  </w:divBdr>
                  <w:divsChild>
                    <w:div w:id="1082219206">
                      <w:marLeft w:val="0"/>
                      <w:marRight w:val="0"/>
                      <w:marTop w:val="0"/>
                      <w:marBottom w:val="0"/>
                      <w:divBdr>
                        <w:top w:val="none" w:sz="0" w:space="0" w:color="auto"/>
                        <w:left w:val="none" w:sz="0" w:space="0" w:color="auto"/>
                        <w:bottom w:val="none" w:sz="0" w:space="0" w:color="auto"/>
                        <w:right w:val="none" w:sz="0" w:space="0" w:color="auto"/>
                      </w:divBdr>
                      <w:divsChild>
                        <w:div w:id="108209159">
                          <w:marLeft w:val="0"/>
                          <w:marRight w:val="0"/>
                          <w:marTop w:val="0"/>
                          <w:marBottom w:val="0"/>
                          <w:divBdr>
                            <w:top w:val="none" w:sz="0" w:space="0" w:color="auto"/>
                            <w:left w:val="none" w:sz="0" w:space="0" w:color="auto"/>
                            <w:bottom w:val="none" w:sz="0" w:space="0" w:color="auto"/>
                            <w:right w:val="none" w:sz="0" w:space="0" w:color="auto"/>
                          </w:divBdr>
                          <w:divsChild>
                            <w:div w:id="1555384892">
                              <w:marLeft w:val="570"/>
                              <w:marRight w:val="720"/>
                              <w:marTop w:val="120"/>
                              <w:marBottom w:val="120"/>
                              <w:divBdr>
                                <w:top w:val="none" w:sz="0" w:space="0" w:color="auto"/>
                                <w:left w:val="none" w:sz="0" w:space="0" w:color="auto"/>
                                <w:bottom w:val="none" w:sz="0" w:space="0" w:color="auto"/>
                                <w:right w:val="none" w:sz="0" w:space="0" w:color="auto"/>
                              </w:divBdr>
                              <w:divsChild>
                                <w:div w:id="886793943">
                                  <w:marLeft w:val="0"/>
                                  <w:marRight w:val="0"/>
                                  <w:marTop w:val="0"/>
                                  <w:marBottom w:val="0"/>
                                  <w:divBdr>
                                    <w:top w:val="none" w:sz="0" w:space="0" w:color="auto"/>
                                    <w:left w:val="none" w:sz="0" w:space="0" w:color="auto"/>
                                    <w:bottom w:val="none" w:sz="0" w:space="0" w:color="auto"/>
                                    <w:right w:val="none" w:sz="0" w:space="0" w:color="auto"/>
                                  </w:divBdr>
                                  <w:divsChild>
                                    <w:div w:id="1312293883">
                                      <w:marLeft w:val="0"/>
                                      <w:marRight w:val="0"/>
                                      <w:marTop w:val="0"/>
                                      <w:marBottom w:val="0"/>
                                      <w:divBdr>
                                        <w:top w:val="none" w:sz="0" w:space="0" w:color="auto"/>
                                        <w:left w:val="none" w:sz="0" w:space="0" w:color="auto"/>
                                        <w:bottom w:val="none" w:sz="0" w:space="0" w:color="auto"/>
                                        <w:right w:val="none" w:sz="0" w:space="0" w:color="auto"/>
                                      </w:divBdr>
                                      <w:divsChild>
                                        <w:div w:id="994337164">
                                          <w:marLeft w:val="0"/>
                                          <w:marRight w:val="0"/>
                                          <w:marTop w:val="0"/>
                                          <w:marBottom w:val="0"/>
                                          <w:divBdr>
                                            <w:top w:val="none" w:sz="0" w:space="0" w:color="auto"/>
                                            <w:left w:val="none" w:sz="0" w:space="0" w:color="auto"/>
                                            <w:bottom w:val="none" w:sz="0" w:space="0" w:color="auto"/>
                                            <w:right w:val="none" w:sz="0" w:space="0" w:color="auto"/>
                                          </w:divBdr>
                                          <w:divsChild>
                                            <w:div w:id="1271282226">
                                              <w:marLeft w:val="0"/>
                                              <w:marRight w:val="0"/>
                                              <w:marTop w:val="0"/>
                                              <w:marBottom w:val="0"/>
                                              <w:divBdr>
                                                <w:top w:val="none" w:sz="0" w:space="0" w:color="auto"/>
                                                <w:left w:val="none" w:sz="0" w:space="0" w:color="auto"/>
                                                <w:bottom w:val="none" w:sz="0" w:space="0" w:color="auto"/>
                                                <w:right w:val="none" w:sz="0" w:space="0" w:color="auto"/>
                                              </w:divBdr>
                                              <w:divsChild>
                                                <w:div w:id="1869761265">
                                                  <w:marLeft w:val="0"/>
                                                  <w:marRight w:val="0"/>
                                                  <w:marTop w:val="0"/>
                                                  <w:marBottom w:val="0"/>
                                                  <w:divBdr>
                                                    <w:top w:val="none" w:sz="0" w:space="0" w:color="auto"/>
                                                    <w:left w:val="none" w:sz="0" w:space="0" w:color="auto"/>
                                                    <w:bottom w:val="none" w:sz="0" w:space="0" w:color="auto"/>
                                                    <w:right w:val="none" w:sz="0" w:space="0" w:color="auto"/>
                                                  </w:divBdr>
                                                  <w:divsChild>
                                                    <w:div w:id="98838020">
                                                      <w:marLeft w:val="0"/>
                                                      <w:marRight w:val="0"/>
                                                      <w:marTop w:val="0"/>
                                                      <w:marBottom w:val="0"/>
                                                      <w:divBdr>
                                                        <w:top w:val="none" w:sz="0" w:space="0" w:color="auto"/>
                                                        <w:left w:val="none" w:sz="0" w:space="0" w:color="auto"/>
                                                        <w:bottom w:val="none" w:sz="0" w:space="0" w:color="auto"/>
                                                        <w:right w:val="none" w:sz="0" w:space="0" w:color="auto"/>
                                                      </w:divBdr>
                                                    </w:div>
                                                  </w:divsChild>
                                                </w:div>
                                                <w:div w:id="10110693">
                                                  <w:marLeft w:val="0"/>
                                                  <w:marRight w:val="0"/>
                                                  <w:marTop w:val="0"/>
                                                  <w:marBottom w:val="0"/>
                                                  <w:divBdr>
                                                    <w:top w:val="none" w:sz="0" w:space="0" w:color="auto"/>
                                                    <w:left w:val="none" w:sz="0" w:space="0" w:color="auto"/>
                                                    <w:bottom w:val="none" w:sz="0" w:space="0" w:color="auto"/>
                                                    <w:right w:val="none" w:sz="0" w:space="0" w:color="auto"/>
                                                  </w:divBdr>
                                                  <w:divsChild>
                                                    <w:div w:id="625283814">
                                                      <w:marLeft w:val="0"/>
                                                      <w:marRight w:val="0"/>
                                                      <w:marTop w:val="0"/>
                                                      <w:marBottom w:val="0"/>
                                                      <w:divBdr>
                                                        <w:top w:val="none" w:sz="0" w:space="0" w:color="auto"/>
                                                        <w:left w:val="none" w:sz="0" w:space="0" w:color="auto"/>
                                                        <w:bottom w:val="none" w:sz="0" w:space="0" w:color="auto"/>
                                                        <w:right w:val="none" w:sz="0" w:space="0" w:color="auto"/>
                                                      </w:divBdr>
                                                    </w:div>
                                                  </w:divsChild>
                                                </w:div>
                                                <w:div w:id="1802336486">
                                                  <w:marLeft w:val="0"/>
                                                  <w:marRight w:val="0"/>
                                                  <w:marTop w:val="0"/>
                                                  <w:marBottom w:val="0"/>
                                                  <w:divBdr>
                                                    <w:top w:val="none" w:sz="0" w:space="0" w:color="auto"/>
                                                    <w:left w:val="none" w:sz="0" w:space="0" w:color="auto"/>
                                                    <w:bottom w:val="none" w:sz="0" w:space="0" w:color="auto"/>
                                                    <w:right w:val="none" w:sz="0" w:space="0" w:color="auto"/>
                                                  </w:divBdr>
                                                </w:div>
                                                <w:div w:id="810253300">
                                                  <w:marLeft w:val="0"/>
                                                  <w:marRight w:val="0"/>
                                                  <w:marTop w:val="0"/>
                                                  <w:marBottom w:val="0"/>
                                                  <w:divBdr>
                                                    <w:top w:val="none" w:sz="0" w:space="0" w:color="auto"/>
                                                    <w:left w:val="none" w:sz="0" w:space="0" w:color="auto"/>
                                                    <w:bottom w:val="none" w:sz="0" w:space="0" w:color="auto"/>
                                                    <w:right w:val="none" w:sz="0" w:space="0" w:color="auto"/>
                                                  </w:divBdr>
                                                </w:div>
                                                <w:div w:id="548030481">
                                                  <w:marLeft w:val="0"/>
                                                  <w:marRight w:val="0"/>
                                                  <w:marTop w:val="0"/>
                                                  <w:marBottom w:val="0"/>
                                                  <w:divBdr>
                                                    <w:top w:val="none" w:sz="0" w:space="0" w:color="auto"/>
                                                    <w:left w:val="none" w:sz="0" w:space="0" w:color="auto"/>
                                                    <w:bottom w:val="none" w:sz="0" w:space="0" w:color="auto"/>
                                                    <w:right w:val="none" w:sz="0" w:space="0" w:color="auto"/>
                                                  </w:divBdr>
                                                  <w:divsChild>
                                                    <w:div w:id="16759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8983440">
      <w:bodyDiv w:val="1"/>
      <w:marLeft w:val="0"/>
      <w:marRight w:val="0"/>
      <w:marTop w:val="0"/>
      <w:marBottom w:val="0"/>
      <w:divBdr>
        <w:top w:val="none" w:sz="0" w:space="0" w:color="auto"/>
        <w:left w:val="none" w:sz="0" w:space="0" w:color="auto"/>
        <w:bottom w:val="none" w:sz="0" w:space="0" w:color="auto"/>
        <w:right w:val="none" w:sz="0" w:space="0" w:color="auto"/>
      </w:divBdr>
    </w:div>
    <w:div w:id="1150556104">
      <w:bodyDiv w:val="1"/>
      <w:marLeft w:val="0"/>
      <w:marRight w:val="0"/>
      <w:marTop w:val="0"/>
      <w:marBottom w:val="0"/>
      <w:divBdr>
        <w:top w:val="none" w:sz="0" w:space="0" w:color="auto"/>
        <w:left w:val="none" w:sz="0" w:space="0" w:color="auto"/>
        <w:bottom w:val="none" w:sz="0" w:space="0" w:color="auto"/>
        <w:right w:val="none" w:sz="0" w:space="0" w:color="auto"/>
      </w:divBdr>
      <w:divsChild>
        <w:div w:id="1336959094">
          <w:marLeft w:val="0"/>
          <w:marRight w:val="0"/>
          <w:marTop w:val="0"/>
          <w:marBottom w:val="0"/>
          <w:divBdr>
            <w:top w:val="none" w:sz="0" w:space="0" w:color="auto"/>
            <w:left w:val="none" w:sz="0" w:space="0" w:color="auto"/>
            <w:bottom w:val="none" w:sz="0" w:space="0" w:color="auto"/>
            <w:right w:val="none" w:sz="0" w:space="0" w:color="auto"/>
          </w:divBdr>
          <w:divsChild>
            <w:div w:id="1560089103">
              <w:marLeft w:val="0"/>
              <w:marRight w:val="0"/>
              <w:marTop w:val="0"/>
              <w:marBottom w:val="0"/>
              <w:divBdr>
                <w:top w:val="none" w:sz="0" w:space="0" w:color="auto"/>
                <w:left w:val="none" w:sz="0" w:space="0" w:color="auto"/>
                <w:bottom w:val="none" w:sz="0" w:space="0" w:color="auto"/>
                <w:right w:val="none" w:sz="0" w:space="0" w:color="auto"/>
              </w:divBdr>
              <w:divsChild>
                <w:div w:id="1867403459">
                  <w:marLeft w:val="0"/>
                  <w:marRight w:val="0"/>
                  <w:marTop w:val="0"/>
                  <w:marBottom w:val="0"/>
                  <w:divBdr>
                    <w:top w:val="none" w:sz="0" w:space="0" w:color="auto"/>
                    <w:left w:val="none" w:sz="0" w:space="0" w:color="auto"/>
                    <w:bottom w:val="none" w:sz="0" w:space="0" w:color="auto"/>
                    <w:right w:val="none" w:sz="0" w:space="0" w:color="auto"/>
                  </w:divBdr>
                  <w:divsChild>
                    <w:div w:id="1281108688">
                      <w:marLeft w:val="0"/>
                      <w:marRight w:val="0"/>
                      <w:marTop w:val="0"/>
                      <w:marBottom w:val="0"/>
                      <w:divBdr>
                        <w:top w:val="none" w:sz="0" w:space="0" w:color="auto"/>
                        <w:left w:val="none" w:sz="0" w:space="0" w:color="auto"/>
                        <w:bottom w:val="none" w:sz="0" w:space="0" w:color="auto"/>
                        <w:right w:val="none" w:sz="0" w:space="0" w:color="auto"/>
                      </w:divBdr>
                      <w:divsChild>
                        <w:div w:id="832986581">
                          <w:marLeft w:val="0"/>
                          <w:marRight w:val="0"/>
                          <w:marTop w:val="0"/>
                          <w:marBottom w:val="0"/>
                          <w:divBdr>
                            <w:top w:val="none" w:sz="0" w:space="0" w:color="auto"/>
                            <w:left w:val="none" w:sz="0" w:space="0" w:color="auto"/>
                            <w:bottom w:val="none" w:sz="0" w:space="0" w:color="auto"/>
                            <w:right w:val="none" w:sz="0" w:space="0" w:color="auto"/>
                          </w:divBdr>
                          <w:divsChild>
                            <w:div w:id="1522741896">
                              <w:marLeft w:val="0"/>
                              <w:marRight w:val="0"/>
                              <w:marTop w:val="0"/>
                              <w:marBottom w:val="0"/>
                              <w:divBdr>
                                <w:top w:val="none" w:sz="0" w:space="0" w:color="auto"/>
                                <w:left w:val="none" w:sz="0" w:space="0" w:color="auto"/>
                                <w:bottom w:val="none" w:sz="0" w:space="0" w:color="auto"/>
                                <w:right w:val="none" w:sz="0" w:space="0" w:color="auto"/>
                              </w:divBdr>
                              <w:divsChild>
                                <w:div w:id="1816602365">
                                  <w:marLeft w:val="0"/>
                                  <w:marRight w:val="0"/>
                                  <w:marTop w:val="0"/>
                                  <w:marBottom w:val="0"/>
                                  <w:divBdr>
                                    <w:top w:val="none" w:sz="0" w:space="0" w:color="auto"/>
                                    <w:left w:val="none" w:sz="0" w:space="0" w:color="auto"/>
                                    <w:bottom w:val="none" w:sz="0" w:space="0" w:color="auto"/>
                                    <w:right w:val="none" w:sz="0" w:space="0" w:color="auto"/>
                                  </w:divBdr>
                                  <w:divsChild>
                                    <w:div w:id="490952336">
                                      <w:marLeft w:val="0"/>
                                      <w:marRight w:val="0"/>
                                      <w:marTop w:val="0"/>
                                      <w:marBottom w:val="0"/>
                                      <w:divBdr>
                                        <w:top w:val="none" w:sz="0" w:space="0" w:color="auto"/>
                                        <w:left w:val="none" w:sz="0" w:space="0" w:color="auto"/>
                                        <w:bottom w:val="none" w:sz="0" w:space="0" w:color="auto"/>
                                        <w:right w:val="none" w:sz="0" w:space="0" w:color="auto"/>
                                      </w:divBdr>
                                      <w:divsChild>
                                        <w:div w:id="20043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365576">
      <w:bodyDiv w:val="1"/>
      <w:marLeft w:val="0"/>
      <w:marRight w:val="0"/>
      <w:marTop w:val="0"/>
      <w:marBottom w:val="0"/>
      <w:divBdr>
        <w:top w:val="none" w:sz="0" w:space="0" w:color="auto"/>
        <w:left w:val="none" w:sz="0" w:space="0" w:color="auto"/>
        <w:bottom w:val="none" w:sz="0" w:space="0" w:color="auto"/>
        <w:right w:val="none" w:sz="0" w:space="0" w:color="auto"/>
      </w:divBdr>
      <w:divsChild>
        <w:div w:id="1623073829">
          <w:marLeft w:val="2400"/>
          <w:marRight w:val="0"/>
          <w:marTop w:val="0"/>
          <w:marBottom w:val="0"/>
          <w:divBdr>
            <w:top w:val="none" w:sz="0" w:space="0" w:color="auto"/>
            <w:left w:val="none" w:sz="0" w:space="0" w:color="auto"/>
            <w:bottom w:val="none" w:sz="0" w:space="0" w:color="auto"/>
            <w:right w:val="none" w:sz="0" w:space="0" w:color="auto"/>
          </w:divBdr>
          <w:divsChild>
            <w:div w:id="1740203968">
              <w:marLeft w:val="0"/>
              <w:marRight w:val="0"/>
              <w:marTop w:val="0"/>
              <w:marBottom w:val="0"/>
              <w:divBdr>
                <w:top w:val="none" w:sz="0" w:space="0" w:color="auto"/>
                <w:left w:val="none" w:sz="0" w:space="0" w:color="auto"/>
                <w:bottom w:val="none" w:sz="0" w:space="0" w:color="auto"/>
                <w:right w:val="none" w:sz="0" w:space="0" w:color="auto"/>
              </w:divBdr>
              <w:divsChild>
                <w:div w:id="142166184">
                  <w:marLeft w:val="0"/>
                  <w:marRight w:val="0"/>
                  <w:marTop w:val="0"/>
                  <w:marBottom w:val="0"/>
                  <w:divBdr>
                    <w:top w:val="none" w:sz="0" w:space="0" w:color="auto"/>
                    <w:left w:val="none" w:sz="0" w:space="0" w:color="auto"/>
                    <w:bottom w:val="none" w:sz="0" w:space="0" w:color="auto"/>
                    <w:right w:val="none" w:sz="0" w:space="0" w:color="auto"/>
                  </w:divBdr>
                  <w:divsChild>
                    <w:div w:id="1821538573">
                      <w:marLeft w:val="0"/>
                      <w:marRight w:val="0"/>
                      <w:marTop w:val="0"/>
                      <w:marBottom w:val="0"/>
                      <w:divBdr>
                        <w:top w:val="none" w:sz="0" w:space="0" w:color="auto"/>
                        <w:left w:val="none" w:sz="0" w:space="0" w:color="auto"/>
                        <w:bottom w:val="none" w:sz="0" w:space="0" w:color="auto"/>
                        <w:right w:val="none" w:sz="0" w:space="0" w:color="auto"/>
                      </w:divBdr>
                      <w:divsChild>
                        <w:div w:id="893391165">
                          <w:marLeft w:val="0"/>
                          <w:marRight w:val="0"/>
                          <w:marTop w:val="0"/>
                          <w:marBottom w:val="0"/>
                          <w:divBdr>
                            <w:top w:val="none" w:sz="0" w:space="0" w:color="auto"/>
                            <w:left w:val="none" w:sz="0" w:space="0" w:color="auto"/>
                            <w:bottom w:val="none" w:sz="0" w:space="0" w:color="auto"/>
                            <w:right w:val="none" w:sz="0" w:space="0" w:color="auto"/>
                          </w:divBdr>
                          <w:divsChild>
                            <w:div w:id="1170415026">
                              <w:marLeft w:val="0"/>
                              <w:marRight w:val="0"/>
                              <w:marTop w:val="0"/>
                              <w:marBottom w:val="0"/>
                              <w:divBdr>
                                <w:top w:val="none" w:sz="0" w:space="0" w:color="auto"/>
                                <w:left w:val="none" w:sz="0" w:space="0" w:color="auto"/>
                                <w:bottom w:val="none" w:sz="0" w:space="0" w:color="auto"/>
                                <w:right w:val="none" w:sz="0" w:space="0" w:color="auto"/>
                              </w:divBdr>
                            </w:div>
                            <w:div w:id="1891569316">
                              <w:marLeft w:val="0"/>
                              <w:marRight w:val="0"/>
                              <w:marTop w:val="0"/>
                              <w:marBottom w:val="0"/>
                              <w:divBdr>
                                <w:top w:val="none" w:sz="0" w:space="0" w:color="auto"/>
                                <w:left w:val="none" w:sz="0" w:space="0" w:color="auto"/>
                                <w:bottom w:val="none" w:sz="0" w:space="0" w:color="auto"/>
                                <w:right w:val="none" w:sz="0" w:space="0" w:color="auto"/>
                              </w:divBdr>
                              <w:divsChild>
                                <w:div w:id="10324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178404">
      <w:bodyDiv w:val="1"/>
      <w:marLeft w:val="0"/>
      <w:marRight w:val="0"/>
      <w:marTop w:val="0"/>
      <w:marBottom w:val="0"/>
      <w:divBdr>
        <w:top w:val="none" w:sz="0" w:space="0" w:color="auto"/>
        <w:left w:val="none" w:sz="0" w:space="0" w:color="auto"/>
        <w:bottom w:val="none" w:sz="0" w:space="0" w:color="auto"/>
        <w:right w:val="none" w:sz="0" w:space="0" w:color="auto"/>
      </w:divBdr>
      <w:divsChild>
        <w:div w:id="1136531836">
          <w:marLeft w:val="0"/>
          <w:marRight w:val="0"/>
          <w:marTop w:val="0"/>
          <w:marBottom w:val="0"/>
          <w:divBdr>
            <w:top w:val="none" w:sz="0" w:space="0" w:color="auto"/>
            <w:left w:val="none" w:sz="0" w:space="0" w:color="auto"/>
            <w:bottom w:val="none" w:sz="0" w:space="0" w:color="auto"/>
            <w:right w:val="none" w:sz="0" w:space="0" w:color="auto"/>
          </w:divBdr>
          <w:divsChild>
            <w:div w:id="938102174">
              <w:marLeft w:val="0"/>
              <w:marRight w:val="0"/>
              <w:marTop w:val="0"/>
              <w:marBottom w:val="0"/>
              <w:divBdr>
                <w:top w:val="none" w:sz="0" w:space="0" w:color="auto"/>
                <w:left w:val="none" w:sz="0" w:space="0" w:color="auto"/>
                <w:bottom w:val="none" w:sz="0" w:space="0" w:color="auto"/>
                <w:right w:val="none" w:sz="0" w:space="0" w:color="auto"/>
              </w:divBdr>
              <w:divsChild>
                <w:div w:id="151945116">
                  <w:marLeft w:val="0"/>
                  <w:marRight w:val="0"/>
                  <w:marTop w:val="0"/>
                  <w:marBottom w:val="0"/>
                  <w:divBdr>
                    <w:top w:val="none" w:sz="0" w:space="0" w:color="auto"/>
                    <w:left w:val="none" w:sz="0" w:space="0" w:color="auto"/>
                    <w:bottom w:val="none" w:sz="0" w:space="0" w:color="auto"/>
                    <w:right w:val="none" w:sz="0" w:space="0" w:color="auto"/>
                  </w:divBdr>
                  <w:divsChild>
                    <w:div w:id="162822519">
                      <w:marLeft w:val="0"/>
                      <w:marRight w:val="0"/>
                      <w:marTop w:val="0"/>
                      <w:marBottom w:val="0"/>
                      <w:divBdr>
                        <w:top w:val="none" w:sz="0" w:space="0" w:color="auto"/>
                        <w:left w:val="none" w:sz="0" w:space="0" w:color="auto"/>
                        <w:bottom w:val="none" w:sz="0" w:space="0" w:color="auto"/>
                        <w:right w:val="none" w:sz="0" w:space="0" w:color="auto"/>
                      </w:divBdr>
                      <w:divsChild>
                        <w:div w:id="1574849298">
                          <w:marLeft w:val="0"/>
                          <w:marRight w:val="0"/>
                          <w:marTop w:val="0"/>
                          <w:marBottom w:val="0"/>
                          <w:divBdr>
                            <w:top w:val="none" w:sz="0" w:space="0" w:color="auto"/>
                            <w:left w:val="none" w:sz="0" w:space="0" w:color="auto"/>
                            <w:bottom w:val="none" w:sz="0" w:space="0" w:color="auto"/>
                            <w:right w:val="none" w:sz="0" w:space="0" w:color="auto"/>
                          </w:divBdr>
                          <w:divsChild>
                            <w:div w:id="578709834">
                              <w:marLeft w:val="0"/>
                              <w:marRight w:val="0"/>
                              <w:marTop w:val="0"/>
                              <w:marBottom w:val="0"/>
                              <w:divBdr>
                                <w:top w:val="none" w:sz="0" w:space="0" w:color="auto"/>
                                <w:left w:val="none" w:sz="0" w:space="0" w:color="auto"/>
                                <w:bottom w:val="none" w:sz="0" w:space="0" w:color="auto"/>
                                <w:right w:val="none" w:sz="0" w:space="0" w:color="auto"/>
                              </w:divBdr>
                              <w:divsChild>
                                <w:div w:id="1812289419">
                                  <w:marLeft w:val="0"/>
                                  <w:marRight w:val="0"/>
                                  <w:marTop w:val="0"/>
                                  <w:marBottom w:val="0"/>
                                  <w:divBdr>
                                    <w:top w:val="none" w:sz="0" w:space="0" w:color="auto"/>
                                    <w:left w:val="none" w:sz="0" w:space="0" w:color="auto"/>
                                    <w:bottom w:val="none" w:sz="0" w:space="0" w:color="auto"/>
                                    <w:right w:val="none" w:sz="0" w:space="0" w:color="auto"/>
                                  </w:divBdr>
                                  <w:divsChild>
                                    <w:div w:id="132062389">
                                      <w:marLeft w:val="0"/>
                                      <w:marRight w:val="0"/>
                                      <w:marTop w:val="0"/>
                                      <w:marBottom w:val="0"/>
                                      <w:divBdr>
                                        <w:top w:val="none" w:sz="0" w:space="0" w:color="auto"/>
                                        <w:left w:val="none" w:sz="0" w:space="0" w:color="auto"/>
                                        <w:bottom w:val="none" w:sz="0" w:space="0" w:color="auto"/>
                                        <w:right w:val="none" w:sz="0" w:space="0" w:color="auto"/>
                                      </w:divBdr>
                                      <w:divsChild>
                                        <w:div w:id="74132786">
                                          <w:marLeft w:val="0"/>
                                          <w:marRight w:val="0"/>
                                          <w:marTop w:val="0"/>
                                          <w:marBottom w:val="0"/>
                                          <w:divBdr>
                                            <w:top w:val="none" w:sz="0" w:space="0" w:color="auto"/>
                                            <w:left w:val="none" w:sz="0" w:space="0" w:color="auto"/>
                                            <w:bottom w:val="none" w:sz="0" w:space="0" w:color="auto"/>
                                            <w:right w:val="none" w:sz="0" w:space="0" w:color="auto"/>
                                          </w:divBdr>
                                        </w:div>
                                        <w:div w:id="2038001345">
                                          <w:marLeft w:val="0"/>
                                          <w:marRight w:val="0"/>
                                          <w:marTop w:val="0"/>
                                          <w:marBottom w:val="0"/>
                                          <w:divBdr>
                                            <w:top w:val="none" w:sz="0" w:space="0" w:color="auto"/>
                                            <w:left w:val="none" w:sz="0" w:space="0" w:color="auto"/>
                                            <w:bottom w:val="none" w:sz="0" w:space="0" w:color="auto"/>
                                            <w:right w:val="none" w:sz="0" w:space="0" w:color="auto"/>
                                          </w:divBdr>
                                          <w:divsChild>
                                            <w:div w:id="10584733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415486">
      <w:bodyDiv w:val="1"/>
      <w:marLeft w:val="0"/>
      <w:marRight w:val="0"/>
      <w:marTop w:val="0"/>
      <w:marBottom w:val="0"/>
      <w:divBdr>
        <w:top w:val="none" w:sz="0" w:space="0" w:color="auto"/>
        <w:left w:val="none" w:sz="0" w:space="0" w:color="auto"/>
        <w:bottom w:val="none" w:sz="0" w:space="0" w:color="auto"/>
        <w:right w:val="none" w:sz="0" w:space="0" w:color="auto"/>
      </w:divBdr>
      <w:divsChild>
        <w:div w:id="1981690655">
          <w:marLeft w:val="0"/>
          <w:marRight w:val="0"/>
          <w:marTop w:val="0"/>
          <w:marBottom w:val="0"/>
          <w:divBdr>
            <w:top w:val="none" w:sz="0" w:space="0" w:color="auto"/>
            <w:left w:val="none" w:sz="0" w:space="0" w:color="auto"/>
            <w:bottom w:val="none" w:sz="0" w:space="0" w:color="auto"/>
            <w:right w:val="none" w:sz="0" w:space="0" w:color="auto"/>
          </w:divBdr>
          <w:divsChild>
            <w:div w:id="2028366578">
              <w:marLeft w:val="0"/>
              <w:marRight w:val="0"/>
              <w:marTop w:val="0"/>
              <w:marBottom w:val="0"/>
              <w:divBdr>
                <w:top w:val="none" w:sz="0" w:space="0" w:color="auto"/>
                <w:left w:val="none" w:sz="0" w:space="0" w:color="auto"/>
                <w:bottom w:val="none" w:sz="0" w:space="0" w:color="auto"/>
                <w:right w:val="none" w:sz="0" w:space="0" w:color="auto"/>
              </w:divBdr>
              <w:divsChild>
                <w:div w:id="851264973">
                  <w:marLeft w:val="0"/>
                  <w:marRight w:val="0"/>
                  <w:marTop w:val="0"/>
                  <w:marBottom w:val="0"/>
                  <w:divBdr>
                    <w:top w:val="none" w:sz="0" w:space="0" w:color="auto"/>
                    <w:left w:val="none" w:sz="0" w:space="0" w:color="auto"/>
                    <w:bottom w:val="none" w:sz="0" w:space="0" w:color="auto"/>
                    <w:right w:val="none" w:sz="0" w:space="0" w:color="auto"/>
                  </w:divBdr>
                  <w:divsChild>
                    <w:div w:id="208883649">
                      <w:marLeft w:val="0"/>
                      <w:marRight w:val="0"/>
                      <w:marTop w:val="0"/>
                      <w:marBottom w:val="0"/>
                      <w:divBdr>
                        <w:top w:val="none" w:sz="0" w:space="0" w:color="auto"/>
                        <w:left w:val="none" w:sz="0" w:space="0" w:color="auto"/>
                        <w:bottom w:val="none" w:sz="0" w:space="0" w:color="auto"/>
                        <w:right w:val="none" w:sz="0" w:space="0" w:color="auto"/>
                      </w:divBdr>
                      <w:divsChild>
                        <w:div w:id="2020964934">
                          <w:marLeft w:val="0"/>
                          <w:marRight w:val="0"/>
                          <w:marTop w:val="0"/>
                          <w:marBottom w:val="0"/>
                          <w:divBdr>
                            <w:top w:val="none" w:sz="0" w:space="0" w:color="auto"/>
                            <w:left w:val="none" w:sz="0" w:space="0" w:color="auto"/>
                            <w:bottom w:val="none" w:sz="0" w:space="0" w:color="auto"/>
                            <w:right w:val="none" w:sz="0" w:space="0" w:color="auto"/>
                          </w:divBdr>
                          <w:divsChild>
                            <w:div w:id="339090213">
                              <w:marLeft w:val="0"/>
                              <w:marRight w:val="0"/>
                              <w:marTop w:val="0"/>
                              <w:marBottom w:val="0"/>
                              <w:divBdr>
                                <w:top w:val="none" w:sz="0" w:space="0" w:color="auto"/>
                                <w:left w:val="none" w:sz="0" w:space="0" w:color="auto"/>
                                <w:bottom w:val="none" w:sz="0" w:space="0" w:color="auto"/>
                                <w:right w:val="none" w:sz="0" w:space="0" w:color="auto"/>
                              </w:divBdr>
                              <w:divsChild>
                                <w:div w:id="484516216">
                                  <w:marLeft w:val="0"/>
                                  <w:marRight w:val="0"/>
                                  <w:marTop w:val="0"/>
                                  <w:marBottom w:val="0"/>
                                  <w:divBdr>
                                    <w:top w:val="none" w:sz="0" w:space="0" w:color="auto"/>
                                    <w:left w:val="none" w:sz="0" w:space="0" w:color="auto"/>
                                    <w:bottom w:val="none" w:sz="0" w:space="0" w:color="auto"/>
                                    <w:right w:val="none" w:sz="0" w:space="0" w:color="auto"/>
                                  </w:divBdr>
                                  <w:divsChild>
                                    <w:div w:id="821116376">
                                      <w:marLeft w:val="0"/>
                                      <w:marRight w:val="0"/>
                                      <w:marTop w:val="0"/>
                                      <w:marBottom w:val="0"/>
                                      <w:divBdr>
                                        <w:top w:val="none" w:sz="0" w:space="0" w:color="auto"/>
                                        <w:left w:val="none" w:sz="0" w:space="0" w:color="auto"/>
                                        <w:bottom w:val="none" w:sz="0" w:space="0" w:color="auto"/>
                                        <w:right w:val="none" w:sz="0" w:space="0" w:color="auto"/>
                                      </w:divBdr>
                                      <w:divsChild>
                                        <w:div w:id="47269914">
                                          <w:marLeft w:val="0"/>
                                          <w:marRight w:val="0"/>
                                          <w:marTop w:val="0"/>
                                          <w:marBottom w:val="0"/>
                                          <w:divBdr>
                                            <w:top w:val="none" w:sz="0" w:space="0" w:color="auto"/>
                                            <w:left w:val="none" w:sz="0" w:space="0" w:color="auto"/>
                                            <w:bottom w:val="none" w:sz="0" w:space="0" w:color="auto"/>
                                            <w:right w:val="none" w:sz="0" w:space="0" w:color="auto"/>
                                          </w:divBdr>
                                        </w:div>
                                        <w:div w:id="845828803">
                                          <w:marLeft w:val="0"/>
                                          <w:marRight w:val="0"/>
                                          <w:marTop w:val="0"/>
                                          <w:marBottom w:val="0"/>
                                          <w:divBdr>
                                            <w:top w:val="none" w:sz="0" w:space="0" w:color="auto"/>
                                            <w:left w:val="none" w:sz="0" w:space="0" w:color="auto"/>
                                            <w:bottom w:val="none" w:sz="0" w:space="0" w:color="auto"/>
                                            <w:right w:val="none" w:sz="0" w:space="0" w:color="auto"/>
                                          </w:divBdr>
                                          <w:divsChild>
                                            <w:div w:id="1535311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877754">
      <w:bodyDiv w:val="1"/>
      <w:marLeft w:val="0"/>
      <w:marRight w:val="0"/>
      <w:marTop w:val="0"/>
      <w:marBottom w:val="0"/>
      <w:divBdr>
        <w:top w:val="none" w:sz="0" w:space="0" w:color="auto"/>
        <w:left w:val="none" w:sz="0" w:space="0" w:color="auto"/>
        <w:bottom w:val="none" w:sz="0" w:space="0" w:color="auto"/>
        <w:right w:val="none" w:sz="0" w:space="0" w:color="auto"/>
      </w:divBdr>
      <w:divsChild>
        <w:div w:id="926427314">
          <w:marLeft w:val="0"/>
          <w:marRight w:val="0"/>
          <w:marTop w:val="0"/>
          <w:marBottom w:val="0"/>
          <w:divBdr>
            <w:top w:val="none" w:sz="0" w:space="0" w:color="auto"/>
            <w:left w:val="none" w:sz="0" w:space="0" w:color="auto"/>
            <w:bottom w:val="none" w:sz="0" w:space="0" w:color="auto"/>
            <w:right w:val="none" w:sz="0" w:space="0" w:color="auto"/>
          </w:divBdr>
          <w:divsChild>
            <w:div w:id="681006541">
              <w:marLeft w:val="210"/>
              <w:marRight w:val="0"/>
              <w:marTop w:val="0"/>
              <w:marBottom w:val="0"/>
              <w:divBdr>
                <w:top w:val="none" w:sz="0" w:space="0" w:color="auto"/>
                <w:left w:val="none" w:sz="0" w:space="0" w:color="auto"/>
                <w:bottom w:val="none" w:sz="0" w:space="0" w:color="auto"/>
                <w:right w:val="none" w:sz="0" w:space="0" w:color="auto"/>
              </w:divBdr>
              <w:divsChild>
                <w:div w:id="3535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578">
      <w:bodyDiv w:val="1"/>
      <w:marLeft w:val="0"/>
      <w:marRight w:val="0"/>
      <w:marTop w:val="0"/>
      <w:marBottom w:val="0"/>
      <w:divBdr>
        <w:top w:val="none" w:sz="0" w:space="0" w:color="auto"/>
        <w:left w:val="none" w:sz="0" w:space="0" w:color="auto"/>
        <w:bottom w:val="none" w:sz="0" w:space="0" w:color="auto"/>
        <w:right w:val="none" w:sz="0" w:space="0" w:color="auto"/>
      </w:divBdr>
      <w:divsChild>
        <w:div w:id="244995426">
          <w:marLeft w:val="0"/>
          <w:marRight w:val="0"/>
          <w:marTop w:val="0"/>
          <w:marBottom w:val="0"/>
          <w:divBdr>
            <w:top w:val="none" w:sz="0" w:space="0" w:color="auto"/>
            <w:left w:val="none" w:sz="0" w:space="0" w:color="auto"/>
            <w:bottom w:val="none" w:sz="0" w:space="0" w:color="auto"/>
            <w:right w:val="none" w:sz="0" w:space="0" w:color="auto"/>
          </w:divBdr>
          <w:divsChild>
            <w:div w:id="167641212">
              <w:marLeft w:val="0"/>
              <w:marRight w:val="0"/>
              <w:marTop w:val="0"/>
              <w:marBottom w:val="0"/>
              <w:divBdr>
                <w:top w:val="none" w:sz="0" w:space="0" w:color="auto"/>
                <w:left w:val="none" w:sz="0" w:space="0" w:color="auto"/>
                <w:bottom w:val="none" w:sz="0" w:space="0" w:color="auto"/>
                <w:right w:val="none" w:sz="0" w:space="0" w:color="auto"/>
              </w:divBdr>
              <w:divsChild>
                <w:div w:id="567763278">
                  <w:marLeft w:val="0"/>
                  <w:marRight w:val="0"/>
                  <w:marTop w:val="0"/>
                  <w:marBottom w:val="0"/>
                  <w:divBdr>
                    <w:top w:val="none" w:sz="0" w:space="0" w:color="auto"/>
                    <w:left w:val="none" w:sz="0" w:space="0" w:color="auto"/>
                    <w:bottom w:val="none" w:sz="0" w:space="0" w:color="auto"/>
                    <w:right w:val="none" w:sz="0" w:space="0" w:color="auto"/>
                  </w:divBdr>
                  <w:divsChild>
                    <w:div w:id="1418677254">
                      <w:marLeft w:val="0"/>
                      <w:marRight w:val="0"/>
                      <w:marTop w:val="0"/>
                      <w:marBottom w:val="0"/>
                      <w:divBdr>
                        <w:top w:val="none" w:sz="0" w:space="0" w:color="auto"/>
                        <w:left w:val="none" w:sz="0" w:space="0" w:color="auto"/>
                        <w:bottom w:val="none" w:sz="0" w:space="0" w:color="auto"/>
                        <w:right w:val="none" w:sz="0" w:space="0" w:color="auto"/>
                      </w:divBdr>
                      <w:divsChild>
                        <w:div w:id="762341932">
                          <w:marLeft w:val="0"/>
                          <w:marRight w:val="0"/>
                          <w:marTop w:val="0"/>
                          <w:marBottom w:val="0"/>
                          <w:divBdr>
                            <w:top w:val="none" w:sz="0" w:space="0" w:color="auto"/>
                            <w:left w:val="none" w:sz="0" w:space="0" w:color="auto"/>
                            <w:bottom w:val="none" w:sz="0" w:space="0" w:color="auto"/>
                            <w:right w:val="none" w:sz="0" w:space="0" w:color="auto"/>
                          </w:divBdr>
                          <w:divsChild>
                            <w:div w:id="1173111971">
                              <w:marLeft w:val="0"/>
                              <w:marRight w:val="0"/>
                              <w:marTop w:val="0"/>
                              <w:marBottom w:val="0"/>
                              <w:divBdr>
                                <w:top w:val="none" w:sz="0" w:space="0" w:color="auto"/>
                                <w:left w:val="none" w:sz="0" w:space="0" w:color="auto"/>
                                <w:bottom w:val="none" w:sz="0" w:space="0" w:color="auto"/>
                                <w:right w:val="none" w:sz="0" w:space="0" w:color="auto"/>
                              </w:divBdr>
                              <w:divsChild>
                                <w:div w:id="329528332">
                                  <w:marLeft w:val="0"/>
                                  <w:marRight w:val="0"/>
                                  <w:marTop w:val="0"/>
                                  <w:marBottom w:val="0"/>
                                  <w:divBdr>
                                    <w:top w:val="none" w:sz="0" w:space="0" w:color="auto"/>
                                    <w:left w:val="none" w:sz="0" w:space="0" w:color="auto"/>
                                    <w:bottom w:val="none" w:sz="0" w:space="0" w:color="auto"/>
                                    <w:right w:val="none" w:sz="0" w:space="0" w:color="auto"/>
                                  </w:divBdr>
                                  <w:divsChild>
                                    <w:div w:id="1294143316">
                                      <w:marLeft w:val="0"/>
                                      <w:marRight w:val="0"/>
                                      <w:marTop w:val="0"/>
                                      <w:marBottom w:val="0"/>
                                      <w:divBdr>
                                        <w:top w:val="none" w:sz="0" w:space="0" w:color="auto"/>
                                        <w:left w:val="none" w:sz="0" w:space="0" w:color="auto"/>
                                        <w:bottom w:val="none" w:sz="0" w:space="0" w:color="auto"/>
                                        <w:right w:val="none" w:sz="0" w:space="0" w:color="auto"/>
                                      </w:divBdr>
                                      <w:divsChild>
                                        <w:div w:id="1065303753">
                                          <w:marLeft w:val="0"/>
                                          <w:marRight w:val="0"/>
                                          <w:marTop w:val="0"/>
                                          <w:marBottom w:val="0"/>
                                          <w:divBdr>
                                            <w:top w:val="none" w:sz="0" w:space="0" w:color="auto"/>
                                            <w:left w:val="none" w:sz="0" w:space="0" w:color="auto"/>
                                            <w:bottom w:val="none" w:sz="0" w:space="0" w:color="auto"/>
                                            <w:right w:val="none" w:sz="0" w:space="0" w:color="auto"/>
                                          </w:divBdr>
                                          <w:divsChild>
                                            <w:div w:id="1677078963">
                                              <w:marLeft w:val="0"/>
                                              <w:marRight w:val="0"/>
                                              <w:marTop w:val="0"/>
                                              <w:marBottom w:val="0"/>
                                              <w:divBdr>
                                                <w:top w:val="none" w:sz="0" w:space="0" w:color="auto"/>
                                                <w:left w:val="none" w:sz="0" w:space="0" w:color="auto"/>
                                                <w:bottom w:val="none" w:sz="0" w:space="0" w:color="auto"/>
                                                <w:right w:val="none" w:sz="0" w:space="0" w:color="auto"/>
                                              </w:divBdr>
                                              <w:divsChild>
                                                <w:div w:id="921983989">
                                                  <w:marLeft w:val="0"/>
                                                  <w:marRight w:val="0"/>
                                                  <w:marTop w:val="0"/>
                                                  <w:marBottom w:val="0"/>
                                                  <w:divBdr>
                                                    <w:top w:val="none" w:sz="0" w:space="0" w:color="auto"/>
                                                    <w:left w:val="none" w:sz="0" w:space="0" w:color="auto"/>
                                                    <w:bottom w:val="none" w:sz="0" w:space="0" w:color="auto"/>
                                                    <w:right w:val="none" w:sz="0" w:space="0" w:color="auto"/>
                                                  </w:divBdr>
                                                  <w:divsChild>
                                                    <w:div w:id="1581481767">
                                                      <w:marLeft w:val="0"/>
                                                      <w:marRight w:val="0"/>
                                                      <w:marTop w:val="0"/>
                                                      <w:marBottom w:val="0"/>
                                                      <w:divBdr>
                                                        <w:top w:val="none" w:sz="0" w:space="0" w:color="auto"/>
                                                        <w:left w:val="none" w:sz="0" w:space="0" w:color="auto"/>
                                                        <w:bottom w:val="none" w:sz="0" w:space="0" w:color="auto"/>
                                                        <w:right w:val="none" w:sz="0" w:space="0" w:color="auto"/>
                                                      </w:divBdr>
                                                      <w:divsChild>
                                                        <w:div w:id="1962300356">
                                                          <w:marLeft w:val="0"/>
                                                          <w:marRight w:val="0"/>
                                                          <w:marTop w:val="0"/>
                                                          <w:marBottom w:val="0"/>
                                                          <w:divBdr>
                                                            <w:top w:val="none" w:sz="0" w:space="0" w:color="auto"/>
                                                            <w:left w:val="none" w:sz="0" w:space="0" w:color="auto"/>
                                                            <w:bottom w:val="none" w:sz="0" w:space="0" w:color="auto"/>
                                                            <w:right w:val="none" w:sz="0" w:space="0" w:color="auto"/>
                                                          </w:divBdr>
                                                        </w:div>
                                                        <w:div w:id="292563720">
                                                          <w:marLeft w:val="0"/>
                                                          <w:marRight w:val="0"/>
                                                          <w:marTop w:val="0"/>
                                                          <w:marBottom w:val="0"/>
                                                          <w:divBdr>
                                                            <w:top w:val="none" w:sz="0" w:space="0" w:color="auto"/>
                                                            <w:left w:val="none" w:sz="0" w:space="0" w:color="auto"/>
                                                            <w:bottom w:val="none" w:sz="0" w:space="0" w:color="auto"/>
                                                            <w:right w:val="none" w:sz="0" w:space="0" w:color="auto"/>
                                                          </w:divBdr>
                                                          <w:divsChild>
                                                            <w:div w:id="5646107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9225255">
      <w:bodyDiv w:val="1"/>
      <w:marLeft w:val="0"/>
      <w:marRight w:val="0"/>
      <w:marTop w:val="0"/>
      <w:marBottom w:val="0"/>
      <w:divBdr>
        <w:top w:val="none" w:sz="0" w:space="0" w:color="auto"/>
        <w:left w:val="none" w:sz="0" w:space="0" w:color="auto"/>
        <w:bottom w:val="none" w:sz="0" w:space="0" w:color="auto"/>
        <w:right w:val="none" w:sz="0" w:space="0" w:color="auto"/>
      </w:divBdr>
      <w:divsChild>
        <w:div w:id="968436487">
          <w:marLeft w:val="0"/>
          <w:marRight w:val="0"/>
          <w:marTop w:val="0"/>
          <w:marBottom w:val="0"/>
          <w:divBdr>
            <w:top w:val="none" w:sz="0" w:space="0" w:color="auto"/>
            <w:left w:val="none" w:sz="0" w:space="0" w:color="auto"/>
            <w:bottom w:val="none" w:sz="0" w:space="0" w:color="auto"/>
            <w:right w:val="none" w:sz="0" w:space="0" w:color="auto"/>
          </w:divBdr>
          <w:divsChild>
            <w:div w:id="1186408582">
              <w:marLeft w:val="0"/>
              <w:marRight w:val="0"/>
              <w:marTop w:val="0"/>
              <w:marBottom w:val="0"/>
              <w:divBdr>
                <w:top w:val="none" w:sz="0" w:space="0" w:color="auto"/>
                <w:left w:val="none" w:sz="0" w:space="0" w:color="auto"/>
                <w:bottom w:val="none" w:sz="0" w:space="0" w:color="auto"/>
                <w:right w:val="none" w:sz="0" w:space="0" w:color="auto"/>
              </w:divBdr>
              <w:divsChild>
                <w:div w:id="1239557801">
                  <w:marLeft w:val="0"/>
                  <w:marRight w:val="0"/>
                  <w:marTop w:val="0"/>
                  <w:marBottom w:val="0"/>
                  <w:divBdr>
                    <w:top w:val="none" w:sz="0" w:space="0" w:color="auto"/>
                    <w:left w:val="none" w:sz="0" w:space="0" w:color="auto"/>
                    <w:bottom w:val="none" w:sz="0" w:space="0" w:color="auto"/>
                    <w:right w:val="none" w:sz="0" w:space="0" w:color="auto"/>
                  </w:divBdr>
                  <w:divsChild>
                    <w:div w:id="718358064">
                      <w:marLeft w:val="0"/>
                      <w:marRight w:val="0"/>
                      <w:marTop w:val="0"/>
                      <w:marBottom w:val="0"/>
                      <w:divBdr>
                        <w:top w:val="none" w:sz="0" w:space="0" w:color="auto"/>
                        <w:left w:val="none" w:sz="0" w:space="0" w:color="auto"/>
                        <w:bottom w:val="none" w:sz="0" w:space="0" w:color="auto"/>
                        <w:right w:val="none" w:sz="0" w:space="0" w:color="auto"/>
                      </w:divBdr>
                      <w:divsChild>
                        <w:div w:id="1190677333">
                          <w:marLeft w:val="0"/>
                          <w:marRight w:val="0"/>
                          <w:marTop w:val="0"/>
                          <w:marBottom w:val="0"/>
                          <w:divBdr>
                            <w:top w:val="none" w:sz="0" w:space="0" w:color="auto"/>
                            <w:left w:val="none" w:sz="0" w:space="0" w:color="auto"/>
                            <w:bottom w:val="none" w:sz="0" w:space="0" w:color="auto"/>
                            <w:right w:val="none" w:sz="0" w:space="0" w:color="auto"/>
                          </w:divBdr>
                          <w:divsChild>
                            <w:div w:id="880626895">
                              <w:marLeft w:val="0"/>
                              <w:marRight w:val="0"/>
                              <w:marTop w:val="0"/>
                              <w:marBottom w:val="0"/>
                              <w:divBdr>
                                <w:top w:val="none" w:sz="0" w:space="0" w:color="auto"/>
                                <w:left w:val="none" w:sz="0" w:space="0" w:color="auto"/>
                                <w:bottom w:val="none" w:sz="0" w:space="0" w:color="auto"/>
                                <w:right w:val="none" w:sz="0" w:space="0" w:color="auto"/>
                              </w:divBdr>
                              <w:divsChild>
                                <w:div w:id="1553956681">
                                  <w:marLeft w:val="0"/>
                                  <w:marRight w:val="0"/>
                                  <w:marTop w:val="0"/>
                                  <w:marBottom w:val="0"/>
                                  <w:divBdr>
                                    <w:top w:val="none" w:sz="0" w:space="0" w:color="auto"/>
                                    <w:left w:val="none" w:sz="0" w:space="0" w:color="auto"/>
                                    <w:bottom w:val="none" w:sz="0" w:space="0" w:color="auto"/>
                                    <w:right w:val="none" w:sz="0" w:space="0" w:color="auto"/>
                                  </w:divBdr>
                                  <w:divsChild>
                                    <w:div w:id="670914618">
                                      <w:marLeft w:val="0"/>
                                      <w:marRight w:val="0"/>
                                      <w:marTop w:val="0"/>
                                      <w:marBottom w:val="0"/>
                                      <w:divBdr>
                                        <w:top w:val="none" w:sz="0" w:space="0" w:color="auto"/>
                                        <w:left w:val="none" w:sz="0" w:space="0" w:color="auto"/>
                                        <w:bottom w:val="none" w:sz="0" w:space="0" w:color="auto"/>
                                        <w:right w:val="none" w:sz="0" w:space="0" w:color="auto"/>
                                      </w:divBdr>
                                      <w:divsChild>
                                        <w:div w:id="1400905244">
                                          <w:marLeft w:val="0"/>
                                          <w:marRight w:val="0"/>
                                          <w:marTop w:val="0"/>
                                          <w:marBottom w:val="0"/>
                                          <w:divBdr>
                                            <w:top w:val="none" w:sz="0" w:space="0" w:color="auto"/>
                                            <w:left w:val="none" w:sz="0" w:space="0" w:color="auto"/>
                                            <w:bottom w:val="none" w:sz="0" w:space="0" w:color="auto"/>
                                            <w:right w:val="none" w:sz="0" w:space="0" w:color="auto"/>
                                          </w:divBdr>
                                          <w:divsChild>
                                            <w:div w:id="1806697231">
                                              <w:marLeft w:val="0"/>
                                              <w:marRight w:val="0"/>
                                              <w:marTop w:val="0"/>
                                              <w:marBottom w:val="0"/>
                                              <w:divBdr>
                                                <w:top w:val="none" w:sz="0" w:space="0" w:color="auto"/>
                                                <w:left w:val="none" w:sz="0" w:space="0" w:color="auto"/>
                                                <w:bottom w:val="none" w:sz="0" w:space="0" w:color="auto"/>
                                                <w:right w:val="none" w:sz="0" w:space="0" w:color="auto"/>
                                              </w:divBdr>
                                              <w:divsChild>
                                                <w:div w:id="1449591511">
                                                  <w:marLeft w:val="0"/>
                                                  <w:marRight w:val="0"/>
                                                  <w:marTop w:val="0"/>
                                                  <w:marBottom w:val="0"/>
                                                  <w:divBdr>
                                                    <w:top w:val="none" w:sz="0" w:space="0" w:color="auto"/>
                                                    <w:left w:val="none" w:sz="0" w:space="0" w:color="auto"/>
                                                    <w:bottom w:val="none" w:sz="0" w:space="0" w:color="auto"/>
                                                    <w:right w:val="none" w:sz="0" w:space="0" w:color="auto"/>
                                                  </w:divBdr>
                                                  <w:divsChild>
                                                    <w:div w:id="1558542113">
                                                      <w:marLeft w:val="0"/>
                                                      <w:marRight w:val="0"/>
                                                      <w:marTop w:val="0"/>
                                                      <w:marBottom w:val="0"/>
                                                      <w:divBdr>
                                                        <w:top w:val="none" w:sz="0" w:space="0" w:color="auto"/>
                                                        <w:left w:val="none" w:sz="0" w:space="0" w:color="auto"/>
                                                        <w:bottom w:val="none" w:sz="0" w:space="0" w:color="auto"/>
                                                        <w:right w:val="none" w:sz="0" w:space="0" w:color="auto"/>
                                                      </w:divBdr>
                                                      <w:divsChild>
                                                        <w:div w:id="19840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349079">
      <w:bodyDiv w:val="1"/>
      <w:marLeft w:val="0"/>
      <w:marRight w:val="0"/>
      <w:marTop w:val="0"/>
      <w:marBottom w:val="0"/>
      <w:divBdr>
        <w:top w:val="none" w:sz="0" w:space="0" w:color="auto"/>
        <w:left w:val="none" w:sz="0" w:space="0" w:color="auto"/>
        <w:bottom w:val="none" w:sz="0" w:space="0" w:color="auto"/>
        <w:right w:val="none" w:sz="0" w:space="0" w:color="auto"/>
      </w:divBdr>
      <w:divsChild>
        <w:div w:id="483816394">
          <w:marLeft w:val="0"/>
          <w:marRight w:val="0"/>
          <w:marTop w:val="0"/>
          <w:marBottom w:val="0"/>
          <w:divBdr>
            <w:top w:val="none" w:sz="0" w:space="0" w:color="auto"/>
            <w:left w:val="none" w:sz="0" w:space="0" w:color="auto"/>
            <w:bottom w:val="none" w:sz="0" w:space="0" w:color="auto"/>
            <w:right w:val="none" w:sz="0" w:space="0" w:color="auto"/>
          </w:divBdr>
          <w:divsChild>
            <w:div w:id="1211066536">
              <w:marLeft w:val="0"/>
              <w:marRight w:val="0"/>
              <w:marTop w:val="0"/>
              <w:marBottom w:val="0"/>
              <w:divBdr>
                <w:top w:val="none" w:sz="0" w:space="0" w:color="auto"/>
                <w:left w:val="none" w:sz="0" w:space="0" w:color="auto"/>
                <w:bottom w:val="none" w:sz="0" w:space="0" w:color="auto"/>
                <w:right w:val="none" w:sz="0" w:space="0" w:color="auto"/>
              </w:divBdr>
              <w:divsChild>
                <w:div w:id="1964579507">
                  <w:marLeft w:val="0"/>
                  <w:marRight w:val="0"/>
                  <w:marTop w:val="0"/>
                  <w:marBottom w:val="0"/>
                  <w:divBdr>
                    <w:top w:val="none" w:sz="0" w:space="0" w:color="auto"/>
                    <w:left w:val="none" w:sz="0" w:space="0" w:color="auto"/>
                    <w:bottom w:val="none" w:sz="0" w:space="0" w:color="auto"/>
                    <w:right w:val="none" w:sz="0" w:space="0" w:color="auto"/>
                  </w:divBdr>
                  <w:divsChild>
                    <w:div w:id="1815949488">
                      <w:marLeft w:val="0"/>
                      <w:marRight w:val="0"/>
                      <w:marTop w:val="0"/>
                      <w:marBottom w:val="0"/>
                      <w:divBdr>
                        <w:top w:val="none" w:sz="0" w:space="0" w:color="auto"/>
                        <w:left w:val="none" w:sz="0" w:space="0" w:color="auto"/>
                        <w:bottom w:val="none" w:sz="0" w:space="0" w:color="auto"/>
                        <w:right w:val="none" w:sz="0" w:space="0" w:color="auto"/>
                      </w:divBdr>
                      <w:divsChild>
                        <w:div w:id="3588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5008">
      <w:bodyDiv w:val="1"/>
      <w:marLeft w:val="0"/>
      <w:marRight w:val="0"/>
      <w:marTop w:val="0"/>
      <w:marBottom w:val="0"/>
      <w:divBdr>
        <w:top w:val="none" w:sz="0" w:space="0" w:color="auto"/>
        <w:left w:val="none" w:sz="0" w:space="0" w:color="auto"/>
        <w:bottom w:val="none" w:sz="0" w:space="0" w:color="auto"/>
        <w:right w:val="none" w:sz="0" w:space="0" w:color="auto"/>
      </w:divBdr>
    </w:div>
    <w:div w:id="1164589533">
      <w:bodyDiv w:val="1"/>
      <w:marLeft w:val="0"/>
      <w:marRight w:val="0"/>
      <w:marTop w:val="0"/>
      <w:marBottom w:val="0"/>
      <w:divBdr>
        <w:top w:val="none" w:sz="0" w:space="0" w:color="auto"/>
        <w:left w:val="none" w:sz="0" w:space="0" w:color="auto"/>
        <w:bottom w:val="none" w:sz="0" w:space="0" w:color="auto"/>
        <w:right w:val="none" w:sz="0" w:space="0" w:color="auto"/>
      </w:divBdr>
      <w:divsChild>
        <w:div w:id="198201885">
          <w:marLeft w:val="0"/>
          <w:marRight w:val="0"/>
          <w:marTop w:val="0"/>
          <w:marBottom w:val="0"/>
          <w:divBdr>
            <w:top w:val="none" w:sz="0" w:space="0" w:color="auto"/>
            <w:left w:val="none" w:sz="0" w:space="0" w:color="auto"/>
            <w:bottom w:val="none" w:sz="0" w:space="0" w:color="auto"/>
            <w:right w:val="none" w:sz="0" w:space="0" w:color="auto"/>
          </w:divBdr>
          <w:divsChild>
            <w:div w:id="927924231">
              <w:marLeft w:val="0"/>
              <w:marRight w:val="0"/>
              <w:marTop w:val="0"/>
              <w:marBottom w:val="0"/>
              <w:divBdr>
                <w:top w:val="none" w:sz="0" w:space="0" w:color="auto"/>
                <w:left w:val="none" w:sz="0" w:space="0" w:color="auto"/>
                <w:bottom w:val="none" w:sz="0" w:space="0" w:color="auto"/>
                <w:right w:val="none" w:sz="0" w:space="0" w:color="auto"/>
              </w:divBdr>
              <w:divsChild>
                <w:div w:id="1012948256">
                  <w:marLeft w:val="0"/>
                  <w:marRight w:val="0"/>
                  <w:marTop w:val="0"/>
                  <w:marBottom w:val="0"/>
                  <w:divBdr>
                    <w:top w:val="none" w:sz="0" w:space="0" w:color="auto"/>
                    <w:left w:val="none" w:sz="0" w:space="0" w:color="auto"/>
                    <w:bottom w:val="none" w:sz="0" w:space="0" w:color="auto"/>
                    <w:right w:val="none" w:sz="0" w:space="0" w:color="auto"/>
                  </w:divBdr>
                  <w:divsChild>
                    <w:div w:id="1120369651">
                      <w:marLeft w:val="0"/>
                      <w:marRight w:val="0"/>
                      <w:marTop w:val="0"/>
                      <w:marBottom w:val="0"/>
                      <w:divBdr>
                        <w:top w:val="none" w:sz="0" w:space="0" w:color="auto"/>
                        <w:left w:val="none" w:sz="0" w:space="0" w:color="auto"/>
                        <w:bottom w:val="none" w:sz="0" w:space="0" w:color="auto"/>
                        <w:right w:val="none" w:sz="0" w:space="0" w:color="auto"/>
                      </w:divBdr>
                      <w:divsChild>
                        <w:div w:id="1454058988">
                          <w:marLeft w:val="0"/>
                          <w:marRight w:val="0"/>
                          <w:marTop w:val="0"/>
                          <w:marBottom w:val="0"/>
                          <w:divBdr>
                            <w:top w:val="none" w:sz="0" w:space="0" w:color="auto"/>
                            <w:left w:val="none" w:sz="0" w:space="0" w:color="auto"/>
                            <w:bottom w:val="none" w:sz="0" w:space="0" w:color="auto"/>
                            <w:right w:val="none" w:sz="0" w:space="0" w:color="auto"/>
                          </w:divBdr>
                          <w:divsChild>
                            <w:div w:id="1453130457">
                              <w:marLeft w:val="0"/>
                              <w:marRight w:val="0"/>
                              <w:marTop w:val="0"/>
                              <w:marBottom w:val="0"/>
                              <w:divBdr>
                                <w:top w:val="none" w:sz="0" w:space="0" w:color="auto"/>
                                <w:left w:val="none" w:sz="0" w:space="0" w:color="auto"/>
                                <w:bottom w:val="none" w:sz="0" w:space="0" w:color="auto"/>
                                <w:right w:val="none" w:sz="0" w:space="0" w:color="auto"/>
                              </w:divBdr>
                              <w:divsChild>
                                <w:div w:id="625891937">
                                  <w:marLeft w:val="0"/>
                                  <w:marRight w:val="0"/>
                                  <w:marTop w:val="0"/>
                                  <w:marBottom w:val="0"/>
                                  <w:divBdr>
                                    <w:top w:val="none" w:sz="0" w:space="0" w:color="auto"/>
                                    <w:left w:val="none" w:sz="0" w:space="0" w:color="auto"/>
                                    <w:bottom w:val="none" w:sz="0" w:space="0" w:color="auto"/>
                                    <w:right w:val="none" w:sz="0" w:space="0" w:color="auto"/>
                                  </w:divBdr>
                                  <w:divsChild>
                                    <w:div w:id="304356605">
                                      <w:marLeft w:val="0"/>
                                      <w:marRight w:val="0"/>
                                      <w:marTop w:val="0"/>
                                      <w:marBottom w:val="0"/>
                                      <w:divBdr>
                                        <w:top w:val="none" w:sz="0" w:space="0" w:color="auto"/>
                                        <w:left w:val="none" w:sz="0" w:space="0" w:color="auto"/>
                                        <w:bottom w:val="none" w:sz="0" w:space="0" w:color="auto"/>
                                        <w:right w:val="none" w:sz="0" w:space="0" w:color="auto"/>
                                      </w:divBdr>
                                      <w:divsChild>
                                        <w:div w:id="1026907640">
                                          <w:marLeft w:val="0"/>
                                          <w:marRight w:val="0"/>
                                          <w:marTop w:val="0"/>
                                          <w:marBottom w:val="0"/>
                                          <w:divBdr>
                                            <w:top w:val="none" w:sz="0" w:space="0" w:color="auto"/>
                                            <w:left w:val="none" w:sz="0" w:space="0" w:color="auto"/>
                                            <w:bottom w:val="none" w:sz="0" w:space="0" w:color="auto"/>
                                            <w:right w:val="none" w:sz="0" w:space="0" w:color="auto"/>
                                          </w:divBdr>
                                          <w:divsChild>
                                            <w:div w:id="501547280">
                                              <w:marLeft w:val="0"/>
                                              <w:marRight w:val="0"/>
                                              <w:marTop w:val="0"/>
                                              <w:marBottom w:val="0"/>
                                              <w:divBdr>
                                                <w:top w:val="none" w:sz="0" w:space="0" w:color="auto"/>
                                                <w:left w:val="none" w:sz="0" w:space="0" w:color="auto"/>
                                                <w:bottom w:val="none" w:sz="0" w:space="0" w:color="auto"/>
                                                <w:right w:val="none" w:sz="0" w:space="0" w:color="auto"/>
                                              </w:divBdr>
                                              <w:divsChild>
                                                <w:div w:id="1175388628">
                                                  <w:marLeft w:val="0"/>
                                                  <w:marRight w:val="0"/>
                                                  <w:marTop w:val="0"/>
                                                  <w:marBottom w:val="0"/>
                                                  <w:divBdr>
                                                    <w:top w:val="none" w:sz="0" w:space="0" w:color="auto"/>
                                                    <w:left w:val="none" w:sz="0" w:space="0" w:color="auto"/>
                                                    <w:bottom w:val="none" w:sz="0" w:space="0" w:color="auto"/>
                                                    <w:right w:val="none" w:sz="0" w:space="0" w:color="auto"/>
                                                  </w:divBdr>
                                                  <w:divsChild>
                                                    <w:div w:id="1837989415">
                                                      <w:marLeft w:val="0"/>
                                                      <w:marRight w:val="0"/>
                                                      <w:marTop w:val="0"/>
                                                      <w:marBottom w:val="0"/>
                                                      <w:divBdr>
                                                        <w:top w:val="none" w:sz="0" w:space="0" w:color="auto"/>
                                                        <w:left w:val="none" w:sz="0" w:space="0" w:color="auto"/>
                                                        <w:bottom w:val="none" w:sz="0" w:space="0" w:color="auto"/>
                                                        <w:right w:val="none" w:sz="0" w:space="0" w:color="auto"/>
                                                      </w:divBdr>
                                                      <w:divsChild>
                                                        <w:div w:id="5422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4590803">
      <w:bodyDiv w:val="1"/>
      <w:marLeft w:val="0"/>
      <w:marRight w:val="0"/>
      <w:marTop w:val="0"/>
      <w:marBottom w:val="0"/>
      <w:divBdr>
        <w:top w:val="none" w:sz="0" w:space="0" w:color="auto"/>
        <w:left w:val="none" w:sz="0" w:space="0" w:color="auto"/>
        <w:bottom w:val="none" w:sz="0" w:space="0" w:color="auto"/>
        <w:right w:val="none" w:sz="0" w:space="0" w:color="auto"/>
      </w:divBdr>
      <w:divsChild>
        <w:div w:id="1432818052">
          <w:marLeft w:val="0"/>
          <w:marRight w:val="0"/>
          <w:marTop w:val="0"/>
          <w:marBottom w:val="0"/>
          <w:divBdr>
            <w:top w:val="none" w:sz="0" w:space="0" w:color="auto"/>
            <w:left w:val="none" w:sz="0" w:space="0" w:color="auto"/>
            <w:bottom w:val="none" w:sz="0" w:space="0" w:color="auto"/>
            <w:right w:val="none" w:sz="0" w:space="0" w:color="auto"/>
          </w:divBdr>
        </w:div>
        <w:div w:id="1023558182">
          <w:marLeft w:val="0"/>
          <w:marRight w:val="0"/>
          <w:marTop w:val="0"/>
          <w:marBottom w:val="150"/>
          <w:divBdr>
            <w:top w:val="none" w:sz="0" w:space="0" w:color="auto"/>
            <w:left w:val="none" w:sz="0" w:space="0" w:color="auto"/>
            <w:bottom w:val="none" w:sz="0" w:space="0" w:color="auto"/>
            <w:right w:val="none" w:sz="0" w:space="0" w:color="auto"/>
          </w:divBdr>
          <w:divsChild>
            <w:div w:id="193075927">
              <w:marLeft w:val="0"/>
              <w:marRight w:val="0"/>
              <w:marTop w:val="0"/>
              <w:marBottom w:val="0"/>
              <w:divBdr>
                <w:top w:val="none" w:sz="0" w:space="0" w:color="auto"/>
                <w:left w:val="none" w:sz="0" w:space="0" w:color="auto"/>
                <w:bottom w:val="none" w:sz="0" w:space="0" w:color="auto"/>
                <w:right w:val="none" w:sz="0" w:space="0" w:color="auto"/>
              </w:divBdr>
              <w:divsChild>
                <w:div w:id="1967154774">
                  <w:marLeft w:val="0"/>
                  <w:marRight w:val="225"/>
                  <w:marTop w:val="0"/>
                  <w:marBottom w:val="0"/>
                  <w:divBdr>
                    <w:top w:val="none" w:sz="0" w:space="0" w:color="auto"/>
                    <w:left w:val="none" w:sz="0" w:space="0" w:color="auto"/>
                    <w:bottom w:val="none" w:sz="0" w:space="0" w:color="auto"/>
                    <w:right w:val="none" w:sz="0" w:space="0" w:color="auto"/>
                  </w:divBdr>
                  <w:divsChild>
                    <w:div w:id="19355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54393">
          <w:marLeft w:val="0"/>
          <w:marRight w:val="0"/>
          <w:marTop w:val="0"/>
          <w:marBottom w:val="150"/>
          <w:divBdr>
            <w:top w:val="none" w:sz="0" w:space="0" w:color="auto"/>
            <w:left w:val="none" w:sz="0" w:space="0" w:color="auto"/>
            <w:bottom w:val="none" w:sz="0" w:space="0" w:color="auto"/>
            <w:right w:val="none" w:sz="0" w:space="0" w:color="auto"/>
          </w:divBdr>
        </w:div>
      </w:divsChild>
    </w:div>
    <w:div w:id="1166365837">
      <w:bodyDiv w:val="1"/>
      <w:marLeft w:val="0"/>
      <w:marRight w:val="0"/>
      <w:marTop w:val="0"/>
      <w:marBottom w:val="0"/>
      <w:divBdr>
        <w:top w:val="none" w:sz="0" w:space="0" w:color="auto"/>
        <w:left w:val="none" w:sz="0" w:space="0" w:color="auto"/>
        <w:bottom w:val="none" w:sz="0" w:space="0" w:color="auto"/>
        <w:right w:val="none" w:sz="0" w:space="0" w:color="auto"/>
      </w:divBdr>
    </w:div>
    <w:div w:id="1167357906">
      <w:bodyDiv w:val="1"/>
      <w:marLeft w:val="0"/>
      <w:marRight w:val="0"/>
      <w:marTop w:val="0"/>
      <w:marBottom w:val="0"/>
      <w:divBdr>
        <w:top w:val="none" w:sz="0" w:space="0" w:color="auto"/>
        <w:left w:val="none" w:sz="0" w:space="0" w:color="auto"/>
        <w:bottom w:val="none" w:sz="0" w:space="0" w:color="auto"/>
        <w:right w:val="none" w:sz="0" w:space="0" w:color="auto"/>
      </w:divBdr>
      <w:divsChild>
        <w:div w:id="295768257">
          <w:marLeft w:val="0"/>
          <w:marRight w:val="0"/>
          <w:marTop w:val="0"/>
          <w:marBottom w:val="0"/>
          <w:divBdr>
            <w:top w:val="none" w:sz="0" w:space="0" w:color="auto"/>
            <w:left w:val="none" w:sz="0" w:space="0" w:color="auto"/>
            <w:bottom w:val="none" w:sz="0" w:space="0" w:color="auto"/>
            <w:right w:val="none" w:sz="0" w:space="0" w:color="auto"/>
          </w:divBdr>
          <w:divsChild>
            <w:div w:id="325979451">
              <w:marLeft w:val="2"/>
              <w:marRight w:val="2"/>
              <w:marTop w:val="0"/>
              <w:marBottom w:val="0"/>
              <w:divBdr>
                <w:top w:val="none" w:sz="0" w:space="0" w:color="auto"/>
                <w:left w:val="none" w:sz="0" w:space="0" w:color="auto"/>
                <w:bottom w:val="none" w:sz="0" w:space="0" w:color="auto"/>
                <w:right w:val="none" w:sz="0" w:space="0" w:color="auto"/>
              </w:divBdr>
              <w:divsChild>
                <w:div w:id="380130594">
                  <w:marLeft w:val="0"/>
                  <w:marRight w:val="0"/>
                  <w:marTop w:val="0"/>
                  <w:marBottom w:val="0"/>
                  <w:divBdr>
                    <w:top w:val="none" w:sz="0" w:space="0" w:color="auto"/>
                    <w:left w:val="none" w:sz="0" w:space="0" w:color="auto"/>
                    <w:bottom w:val="none" w:sz="0" w:space="0" w:color="auto"/>
                    <w:right w:val="none" w:sz="0" w:space="0" w:color="auto"/>
                  </w:divBdr>
                  <w:divsChild>
                    <w:div w:id="1464694116">
                      <w:marLeft w:val="0"/>
                      <w:marRight w:val="0"/>
                      <w:marTop w:val="0"/>
                      <w:marBottom w:val="0"/>
                      <w:divBdr>
                        <w:top w:val="none" w:sz="0" w:space="0" w:color="auto"/>
                        <w:left w:val="none" w:sz="0" w:space="0" w:color="auto"/>
                        <w:bottom w:val="none" w:sz="0" w:space="0" w:color="auto"/>
                        <w:right w:val="none" w:sz="0" w:space="0" w:color="auto"/>
                      </w:divBdr>
                      <w:divsChild>
                        <w:div w:id="471948367">
                          <w:marLeft w:val="0"/>
                          <w:marRight w:val="0"/>
                          <w:marTop w:val="0"/>
                          <w:marBottom w:val="0"/>
                          <w:divBdr>
                            <w:top w:val="none" w:sz="0" w:space="0" w:color="auto"/>
                            <w:left w:val="none" w:sz="0" w:space="0" w:color="auto"/>
                            <w:bottom w:val="none" w:sz="0" w:space="0" w:color="auto"/>
                            <w:right w:val="none" w:sz="0" w:space="0" w:color="auto"/>
                          </w:divBdr>
                          <w:divsChild>
                            <w:div w:id="1135099926">
                              <w:marLeft w:val="0"/>
                              <w:marRight w:val="0"/>
                              <w:marTop w:val="0"/>
                              <w:marBottom w:val="0"/>
                              <w:divBdr>
                                <w:top w:val="none" w:sz="0" w:space="0" w:color="auto"/>
                                <w:left w:val="none" w:sz="0" w:space="0" w:color="auto"/>
                                <w:bottom w:val="none" w:sz="0" w:space="0" w:color="auto"/>
                                <w:right w:val="none" w:sz="0" w:space="0" w:color="auto"/>
                              </w:divBdr>
                              <w:divsChild>
                                <w:div w:id="288320932">
                                  <w:marLeft w:val="0"/>
                                  <w:marRight w:val="0"/>
                                  <w:marTop w:val="0"/>
                                  <w:marBottom w:val="0"/>
                                  <w:divBdr>
                                    <w:top w:val="none" w:sz="0" w:space="0" w:color="auto"/>
                                    <w:left w:val="none" w:sz="0" w:space="0" w:color="auto"/>
                                    <w:bottom w:val="none" w:sz="0" w:space="0" w:color="auto"/>
                                    <w:right w:val="none" w:sz="0" w:space="0" w:color="auto"/>
                                  </w:divBdr>
                                  <w:divsChild>
                                    <w:div w:id="1177689339">
                                      <w:marLeft w:val="0"/>
                                      <w:marRight w:val="0"/>
                                      <w:marTop w:val="0"/>
                                      <w:marBottom w:val="0"/>
                                      <w:divBdr>
                                        <w:top w:val="none" w:sz="0" w:space="0" w:color="auto"/>
                                        <w:left w:val="none" w:sz="0" w:space="0" w:color="auto"/>
                                        <w:bottom w:val="none" w:sz="0" w:space="0" w:color="auto"/>
                                        <w:right w:val="none" w:sz="0" w:space="0" w:color="auto"/>
                                      </w:divBdr>
                                      <w:divsChild>
                                        <w:div w:id="2065983152">
                                          <w:marLeft w:val="0"/>
                                          <w:marRight w:val="0"/>
                                          <w:marTop w:val="0"/>
                                          <w:marBottom w:val="0"/>
                                          <w:divBdr>
                                            <w:top w:val="none" w:sz="0" w:space="0" w:color="auto"/>
                                            <w:left w:val="none" w:sz="0" w:space="0" w:color="auto"/>
                                            <w:bottom w:val="none" w:sz="0" w:space="0" w:color="auto"/>
                                            <w:right w:val="none" w:sz="0" w:space="0" w:color="auto"/>
                                          </w:divBdr>
                                          <w:divsChild>
                                            <w:div w:id="259342634">
                                              <w:marLeft w:val="0"/>
                                              <w:marRight w:val="0"/>
                                              <w:marTop w:val="0"/>
                                              <w:marBottom w:val="0"/>
                                              <w:divBdr>
                                                <w:top w:val="none" w:sz="0" w:space="0" w:color="auto"/>
                                                <w:left w:val="none" w:sz="0" w:space="0" w:color="auto"/>
                                                <w:bottom w:val="none" w:sz="0" w:space="0" w:color="auto"/>
                                                <w:right w:val="none" w:sz="0" w:space="0" w:color="auto"/>
                                              </w:divBdr>
                                            </w:div>
                                          </w:divsChild>
                                        </w:div>
                                        <w:div w:id="695009557">
                                          <w:marLeft w:val="0"/>
                                          <w:marRight w:val="0"/>
                                          <w:marTop w:val="0"/>
                                          <w:marBottom w:val="0"/>
                                          <w:divBdr>
                                            <w:top w:val="none" w:sz="0" w:space="0" w:color="auto"/>
                                            <w:left w:val="none" w:sz="0" w:space="0" w:color="auto"/>
                                            <w:bottom w:val="none" w:sz="0" w:space="0" w:color="auto"/>
                                            <w:right w:val="none" w:sz="0" w:space="0" w:color="auto"/>
                                          </w:divBdr>
                                          <w:divsChild>
                                            <w:div w:id="98987760">
                                              <w:marLeft w:val="0"/>
                                              <w:marRight w:val="0"/>
                                              <w:marTop w:val="0"/>
                                              <w:marBottom w:val="0"/>
                                              <w:divBdr>
                                                <w:top w:val="none" w:sz="0" w:space="0" w:color="auto"/>
                                                <w:left w:val="none" w:sz="0" w:space="0" w:color="auto"/>
                                                <w:bottom w:val="none" w:sz="0" w:space="0" w:color="auto"/>
                                                <w:right w:val="none" w:sz="0" w:space="0" w:color="auto"/>
                                              </w:divBdr>
                                            </w:div>
                                          </w:divsChild>
                                        </w:div>
                                        <w:div w:id="1836341107">
                                          <w:marLeft w:val="0"/>
                                          <w:marRight w:val="0"/>
                                          <w:marTop w:val="0"/>
                                          <w:marBottom w:val="0"/>
                                          <w:divBdr>
                                            <w:top w:val="none" w:sz="0" w:space="0" w:color="auto"/>
                                            <w:left w:val="none" w:sz="0" w:space="0" w:color="auto"/>
                                            <w:bottom w:val="none" w:sz="0" w:space="0" w:color="auto"/>
                                            <w:right w:val="none" w:sz="0" w:space="0" w:color="auto"/>
                                          </w:divBdr>
                                          <w:divsChild>
                                            <w:div w:id="403257054">
                                              <w:marLeft w:val="0"/>
                                              <w:marRight w:val="0"/>
                                              <w:marTop w:val="0"/>
                                              <w:marBottom w:val="0"/>
                                              <w:divBdr>
                                                <w:top w:val="none" w:sz="0" w:space="0" w:color="auto"/>
                                                <w:left w:val="none" w:sz="0" w:space="0" w:color="auto"/>
                                                <w:bottom w:val="none" w:sz="0" w:space="0" w:color="auto"/>
                                                <w:right w:val="none" w:sz="0" w:space="0" w:color="auto"/>
                                              </w:divBdr>
                                            </w:div>
                                          </w:divsChild>
                                        </w:div>
                                        <w:div w:id="236288073">
                                          <w:marLeft w:val="0"/>
                                          <w:marRight w:val="0"/>
                                          <w:marTop w:val="0"/>
                                          <w:marBottom w:val="0"/>
                                          <w:divBdr>
                                            <w:top w:val="none" w:sz="0" w:space="0" w:color="auto"/>
                                            <w:left w:val="none" w:sz="0" w:space="0" w:color="auto"/>
                                            <w:bottom w:val="none" w:sz="0" w:space="0" w:color="auto"/>
                                            <w:right w:val="none" w:sz="0" w:space="0" w:color="auto"/>
                                          </w:divBdr>
                                          <w:divsChild>
                                            <w:div w:id="1025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527">
                                      <w:marLeft w:val="0"/>
                                      <w:marRight w:val="0"/>
                                      <w:marTop w:val="0"/>
                                      <w:marBottom w:val="0"/>
                                      <w:divBdr>
                                        <w:top w:val="none" w:sz="0" w:space="0" w:color="auto"/>
                                        <w:left w:val="none" w:sz="0" w:space="0" w:color="auto"/>
                                        <w:bottom w:val="none" w:sz="0" w:space="0" w:color="auto"/>
                                        <w:right w:val="none" w:sz="0" w:space="0" w:color="auto"/>
                                      </w:divBdr>
                                      <w:divsChild>
                                        <w:div w:id="1626423422">
                                          <w:marLeft w:val="0"/>
                                          <w:marRight w:val="0"/>
                                          <w:marTop w:val="0"/>
                                          <w:marBottom w:val="0"/>
                                          <w:divBdr>
                                            <w:top w:val="none" w:sz="0" w:space="0" w:color="auto"/>
                                            <w:left w:val="none" w:sz="0" w:space="0" w:color="auto"/>
                                            <w:bottom w:val="none" w:sz="0" w:space="0" w:color="auto"/>
                                            <w:right w:val="none" w:sz="0" w:space="0" w:color="auto"/>
                                          </w:divBdr>
                                          <w:divsChild>
                                            <w:div w:id="1222247737">
                                              <w:marLeft w:val="0"/>
                                              <w:marRight w:val="0"/>
                                              <w:marTop w:val="0"/>
                                              <w:marBottom w:val="0"/>
                                              <w:divBdr>
                                                <w:top w:val="none" w:sz="0" w:space="0" w:color="auto"/>
                                                <w:left w:val="none" w:sz="0" w:space="0" w:color="auto"/>
                                                <w:bottom w:val="none" w:sz="0" w:space="0" w:color="auto"/>
                                                <w:right w:val="none" w:sz="0" w:space="0" w:color="auto"/>
                                              </w:divBdr>
                                            </w:div>
                                          </w:divsChild>
                                        </w:div>
                                        <w:div w:id="1030422982">
                                          <w:marLeft w:val="0"/>
                                          <w:marRight w:val="0"/>
                                          <w:marTop w:val="0"/>
                                          <w:marBottom w:val="0"/>
                                          <w:divBdr>
                                            <w:top w:val="none" w:sz="0" w:space="0" w:color="auto"/>
                                            <w:left w:val="none" w:sz="0" w:space="0" w:color="auto"/>
                                            <w:bottom w:val="none" w:sz="0" w:space="0" w:color="auto"/>
                                            <w:right w:val="none" w:sz="0" w:space="0" w:color="auto"/>
                                          </w:divBdr>
                                          <w:divsChild>
                                            <w:div w:id="941297803">
                                              <w:marLeft w:val="0"/>
                                              <w:marRight w:val="0"/>
                                              <w:marTop w:val="0"/>
                                              <w:marBottom w:val="0"/>
                                              <w:divBdr>
                                                <w:top w:val="none" w:sz="0" w:space="0" w:color="auto"/>
                                                <w:left w:val="none" w:sz="0" w:space="0" w:color="auto"/>
                                                <w:bottom w:val="none" w:sz="0" w:space="0" w:color="auto"/>
                                                <w:right w:val="none" w:sz="0" w:space="0" w:color="auto"/>
                                              </w:divBdr>
                                            </w:div>
                                          </w:divsChild>
                                        </w:div>
                                        <w:div w:id="2098821536">
                                          <w:marLeft w:val="0"/>
                                          <w:marRight w:val="0"/>
                                          <w:marTop w:val="0"/>
                                          <w:marBottom w:val="0"/>
                                          <w:divBdr>
                                            <w:top w:val="none" w:sz="0" w:space="0" w:color="auto"/>
                                            <w:left w:val="none" w:sz="0" w:space="0" w:color="auto"/>
                                            <w:bottom w:val="none" w:sz="0" w:space="0" w:color="auto"/>
                                            <w:right w:val="none" w:sz="0" w:space="0" w:color="auto"/>
                                          </w:divBdr>
                                          <w:divsChild>
                                            <w:div w:id="460458551">
                                              <w:marLeft w:val="0"/>
                                              <w:marRight w:val="0"/>
                                              <w:marTop w:val="0"/>
                                              <w:marBottom w:val="0"/>
                                              <w:divBdr>
                                                <w:top w:val="none" w:sz="0" w:space="0" w:color="auto"/>
                                                <w:left w:val="none" w:sz="0" w:space="0" w:color="auto"/>
                                                <w:bottom w:val="none" w:sz="0" w:space="0" w:color="auto"/>
                                                <w:right w:val="none" w:sz="0" w:space="0" w:color="auto"/>
                                              </w:divBdr>
                                            </w:div>
                                          </w:divsChild>
                                        </w:div>
                                        <w:div w:id="2138797938">
                                          <w:marLeft w:val="0"/>
                                          <w:marRight w:val="0"/>
                                          <w:marTop w:val="0"/>
                                          <w:marBottom w:val="0"/>
                                          <w:divBdr>
                                            <w:top w:val="none" w:sz="0" w:space="0" w:color="auto"/>
                                            <w:left w:val="none" w:sz="0" w:space="0" w:color="auto"/>
                                            <w:bottom w:val="none" w:sz="0" w:space="0" w:color="auto"/>
                                            <w:right w:val="none" w:sz="0" w:space="0" w:color="auto"/>
                                          </w:divBdr>
                                          <w:divsChild>
                                            <w:div w:id="241332365">
                                              <w:marLeft w:val="0"/>
                                              <w:marRight w:val="0"/>
                                              <w:marTop w:val="0"/>
                                              <w:marBottom w:val="0"/>
                                              <w:divBdr>
                                                <w:top w:val="none" w:sz="0" w:space="0" w:color="auto"/>
                                                <w:left w:val="none" w:sz="0" w:space="0" w:color="auto"/>
                                                <w:bottom w:val="none" w:sz="0" w:space="0" w:color="auto"/>
                                                <w:right w:val="none" w:sz="0" w:space="0" w:color="auto"/>
                                              </w:divBdr>
                                            </w:div>
                                          </w:divsChild>
                                        </w:div>
                                        <w:div w:id="958292100">
                                          <w:marLeft w:val="0"/>
                                          <w:marRight w:val="0"/>
                                          <w:marTop w:val="0"/>
                                          <w:marBottom w:val="0"/>
                                          <w:divBdr>
                                            <w:top w:val="none" w:sz="0" w:space="0" w:color="auto"/>
                                            <w:left w:val="none" w:sz="0" w:space="0" w:color="auto"/>
                                            <w:bottom w:val="none" w:sz="0" w:space="0" w:color="auto"/>
                                            <w:right w:val="none" w:sz="0" w:space="0" w:color="auto"/>
                                          </w:divBdr>
                                          <w:divsChild>
                                            <w:div w:id="19046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670695">
      <w:bodyDiv w:val="1"/>
      <w:marLeft w:val="0"/>
      <w:marRight w:val="0"/>
      <w:marTop w:val="0"/>
      <w:marBottom w:val="0"/>
      <w:divBdr>
        <w:top w:val="none" w:sz="0" w:space="0" w:color="auto"/>
        <w:left w:val="none" w:sz="0" w:space="0" w:color="auto"/>
        <w:bottom w:val="none" w:sz="0" w:space="0" w:color="auto"/>
        <w:right w:val="none" w:sz="0" w:space="0" w:color="auto"/>
      </w:divBdr>
      <w:divsChild>
        <w:div w:id="1913083124">
          <w:marLeft w:val="0"/>
          <w:marRight w:val="0"/>
          <w:marTop w:val="0"/>
          <w:marBottom w:val="0"/>
          <w:divBdr>
            <w:top w:val="none" w:sz="0" w:space="0" w:color="auto"/>
            <w:left w:val="none" w:sz="0" w:space="0" w:color="auto"/>
            <w:bottom w:val="none" w:sz="0" w:space="0" w:color="auto"/>
            <w:right w:val="none" w:sz="0" w:space="0" w:color="auto"/>
          </w:divBdr>
          <w:divsChild>
            <w:div w:id="1589652099">
              <w:marLeft w:val="0"/>
              <w:marRight w:val="0"/>
              <w:marTop w:val="0"/>
              <w:marBottom w:val="0"/>
              <w:divBdr>
                <w:top w:val="none" w:sz="0" w:space="0" w:color="auto"/>
                <w:left w:val="none" w:sz="0" w:space="0" w:color="auto"/>
                <w:bottom w:val="none" w:sz="0" w:space="0" w:color="auto"/>
                <w:right w:val="none" w:sz="0" w:space="0" w:color="auto"/>
              </w:divBdr>
              <w:divsChild>
                <w:div w:id="2086028325">
                  <w:marLeft w:val="-375"/>
                  <w:marRight w:val="0"/>
                  <w:marTop w:val="0"/>
                  <w:marBottom w:val="0"/>
                  <w:divBdr>
                    <w:top w:val="none" w:sz="0" w:space="0" w:color="auto"/>
                    <w:left w:val="none" w:sz="0" w:space="0" w:color="auto"/>
                    <w:bottom w:val="none" w:sz="0" w:space="0" w:color="auto"/>
                    <w:right w:val="none" w:sz="0" w:space="0" w:color="auto"/>
                  </w:divBdr>
                  <w:divsChild>
                    <w:div w:id="1699773906">
                      <w:marLeft w:val="0"/>
                      <w:marRight w:val="0"/>
                      <w:marTop w:val="0"/>
                      <w:marBottom w:val="0"/>
                      <w:divBdr>
                        <w:top w:val="none" w:sz="0" w:space="0" w:color="auto"/>
                        <w:left w:val="none" w:sz="0" w:space="0" w:color="auto"/>
                        <w:bottom w:val="none" w:sz="0" w:space="0" w:color="auto"/>
                        <w:right w:val="none" w:sz="0" w:space="0" w:color="auto"/>
                      </w:divBdr>
                      <w:divsChild>
                        <w:div w:id="1062945659">
                          <w:marLeft w:val="0"/>
                          <w:marRight w:val="0"/>
                          <w:marTop w:val="0"/>
                          <w:marBottom w:val="0"/>
                          <w:divBdr>
                            <w:top w:val="none" w:sz="0" w:space="0" w:color="auto"/>
                            <w:left w:val="none" w:sz="0" w:space="0" w:color="auto"/>
                            <w:bottom w:val="none" w:sz="0" w:space="0" w:color="auto"/>
                            <w:right w:val="none" w:sz="0" w:space="0" w:color="auto"/>
                          </w:divBdr>
                          <w:divsChild>
                            <w:div w:id="1294825182">
                              <w:marLeft w:val="-375"/>
                              <w:marRight w:val="0"/>
                              <w:marTop w:val="0"/>
                              <w:marBottom w:val="0"/>
                              <w:divBdr>
                                <w:top w:val="none" w:sz="0" w:space="0" w:color="auto"/>
                                <w:left w:val="none" w:sz="0" w:space="0" w:color="auto"/>
                                <w:bottom w:val="none" w:sz="0" w:space="0" w:color="auto"/>
                                <w:right w:val="none" w:sz="0" w:space="0" w:color="auto"/>
                              </w:divBdr>
                              <w:divsChild>
                                <w:div w:id="518929464">
                                  <w:marLeft w:val="0"/>
                                  <w:marRight w:val="0"/>
                                  <w:marTop w:val="0"/>
                                  <w:marBottom w:val="0"/>
                                  <w:divBdr>
                                    <w:top w:val="none" w:sz="0" w:space="0" w:color="auto"/>
                                    <w:left w:val="none" w:sz="0" w:space="0" w:color="auto"/>
                                    <w:bottom w:val="none" w:sz="0" w:space="0" w:color="auto"/>
                                    <w:right w:val="none" w:sz="0" w:space="0" w:color="auto"/>
                                  </w:divBdr>
                                  <w:divsChild>
                                    <w:div w:id="15085943">
                                      <w:marLeft w:val="-375"/>
                                      <w:marRight w:val="0"/>
                                      <w:marTop w:val="0"/>
                                      <w:marBottom w:val="0"/>
                                      <w:divBdr>
                                        <w:top w:val="none" w:sz="0" w:space="0" w:color="auto"/>
                                        <w:left w:val="none" w:sz="0" w:space="0" w:color="auto"/>
                                        <w:bottom w:val="none" w:sz="0" w:space="0" w:color="auto"/>
                                        <w:right w:val="none" w:sz="0" w:space="0" w:color="auto"/>
                                      </w:divBdr>
                                      <w:divsChild>
                                        <w:div w:id="1803158008">
                                          <w:marLeft w:val="0"/>
                                          <w:marRight w:val="0"/>
                                          <w:marTop w:val="0"/>
                                          <w:marBottom w:val="0"/>
                                          <w:divBdr>
                                            <w:top w:val="none" w:sz="0" w:space="0" w:color="auto"/>
                                            <w:left w:val="none" w:sz="0" w:space="0" w:color="auto"/>
                                            <w:bottom w:val="none" w:sz="0" w:space="0" w:color="auto"/>
                                            <w:right w:val="none" w:sz="0" w:space="0" w:color="auto"/>
                                          </w:divBdr>
                                        </w:div>
                                      </w:divsChild>
                                    </w:div>
                                    <w:div w:id="376973522">
                                      <w:marLeft w:val="-375"/>
                                      <w:marRight w:val="0"/>
                                      <w:marTop w:val="0"/>
                                      <w:marBottom w:val="0"/>
                                      <w:divBdr>
                                        <w:top w:val="none" w:sz="0" w:space="0" w:color="auto"/>
                                        <w:left w:val="none" w:sz="0" w:space="0" w:color="auto"/>
                                        <w:bottom w:val="none" w:sz="0" w:space="0" w:color="auto"/>
                                        <w:right w:val="none" w:sz="0" w:space="0" w:color="auto"/>
                                      </w:divBdr>
                                      <w:divsChild>
                                        <w:div w:id="816147616">
                                          <w:marLeft w:val="0"/>
                                          <w:marRight w:val="0"/>
                                          <w:marTop w:val="0"/>
                                          <w:marBottom w:val="0"/>
                                          <w:divBdr>
                                            <w:top w:val="none" w:sz="0" w:space="0" w:color="auto"/>
                                            <w:left w:val="none" w:sz="0" w:space="0" w:color="auto"/>
                                            <w:bottom w:val="none" w:sz="0" w:space="0" w:color="auto"/>
                                            <w:right w:val="none" w:sz="0" w:space="0" w:color="auto"/>
                                          </w:divBdr>
                                        </w:div>
                                        <w:div w:id="1410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864138">
      <w:bodyDiv w:val="1"/>
      <w:marLeft w:val="0"/>
      <w:marRight w:val="0"/>
      <w:marTop w:val="0"/>
      <w:marBottom w:val="0"/>
      <w:divBdr>
        <w:top w:val="none" w:sz="0" w:space="0" w:color="auto"/>
        <w:left w:val="none" w:sz="0" w:space="0" w:color="auto"/>
        <w:bottom w:val="none" w:sz="0" w:space="0" w:color="auto"/>
        <w:right w:val="none" w:sz="0" w:space="0" w:color="auto"/>
      </w:divBdr>
    </w:div>
    <w:div w:id="1171338068">
      <w:bodyDiv w:val="1"/>
      <w:marLeft w:val="0"/>
      <w:marRight w:val="0"/>
      <w:marTop w:val="0"/>
      <w:marBottom w:val="0"/>
      <w:divBdr>
        <w:top w:val="none" w:sz="0" w:space="0" w:color="auto"/>
        <w:left w:val="none" w:sz="0" w:space="0" w:color="auto"/>
        <w:bottom w:val="none" w:sz="0" w:space="0" w:color="auto"/>
        <w:right w:val="none" w:sz="0" w:space="0" w:color="auto"/>
      </w:divBdr>
      <w:divsChild>
        <w:div w:id="313216574">
          <w:marLeft w:val="0"/>
          <w:marRight w:val="0"/>
          <w:marTop w:val="0"/>
          <w:marBottom w:val="0"/>
          <w:divBdr>
            <w:top w:val="none" w:sz="0" w:space="0" w:color="auto"/>
            <w:left w:val="none" w:sz="0" w:space="0" w:color="auto"/>
            <w:bottom w:val="none" w:sz="0" w:space="0" w:color="auto"/>
            <w:right w:val="none" w:sz="0" w:space="0" w:color="auto"/>
          </w:divBdr>
          <w:divsChild>
            <w:div w:id="470901988">
              <w:marLeft w:val="0"/>
              <w:marRight w:val="0"/>
              <w:marTop w:val="0"/>
              <w:marBottom w:val="0"/>
              <w:divBdr>
                <w:top w:val="none" w:sz="0" w:space="0" w:color="auto"/>
                <w:left w:val="none" w:sz="0" w:space="0" w:color="auto"/>
                <w:bottom w:val="none" w:sz="0" w:space="0" w:color="auto"/>
                <w:right w:val="none" w:sz="0" w:space="0" w:color="auto"/>
              </w:divBdr>
              <w:divsChild>
                <w:div w:id="1155338228">
                  <w:marLeft w:val="0"/>
                  <w:marRight w:val="0"/>
                  <w:marTop w:val="0"/>
                  <w:marBottom w:val="0"/>
                  <w:divBdr>
                    <w:top w:val="none" w:sz="0" w:space="0" w:color="auto"/>
                    <w:left w:val="none" w:sz="0" w:space="0" w:color="auto"/>
                    <w:bottom w:val="none" w:sz="0" w:space="0" w:color="auto"/>
                    <w:right w:val="none" w:sz="0" w:space="0" w:color="auto"/>
                  </w:divBdr>
                  <w:divsChild>
                    <w:div w:id="762800918">
                      <w:marLeft w:val="0"/>
                      <w:marRight w:val="0"/>
                      <w:marTop w:val="0"/>
                      <w:marBottom w:val="0"/>
                      <w:divBdr>
                        <w:top w:val="none" w:sz="0" w:space="0" w:color="auto"/>
                        <w:left w:val="none" w:sz="0" w:space="0" w:color="auto"/>
                        <w:bottom w:val="none" w:sz="0" w:space="0" w:color="auto"/>
                        <w:right w:val="none" w:sz="0" w:space="0" w:color="auto"/>
                      </w:divBdr>
                      <w:divsChild>
                        <w:div w:id="1974169762">
                          <w:marLeft w:val="0"/>
                          <w:marRight w:val="0"/>
                          <w:marTop w:val="0"/>
                          <w:marBottom w:val="0"/>
                          <w:divBdr>
                            <w:top w:val="none" w:sz="0" w:space="0" w:color="auto"/>
                            <w:left w:val="none" w:sz="0" w:space="0" w:color="auto"/>
                            <w:bottom w:val="none" w:sz="0" w:space="0" w:color="auto"/>
                            <w:right w:val="none" w:sz="0" w:space="0" w:color="auto"/>
                          </w:divBdr>
                          <w:divsChild>
                            <w:div w:id="2026325624">
                              <w:marLeft w:val="0"/>
                              <w:marRight w:val="0"/>
                              <w:marTop w:val="0"/>
                              <w:marBottom w:val="0"/>
                              <w:divBdr>
                                <w:top w:val="none" w:sz="0" w:space="0" w:color="auto"/>
                                <w:left w:val="none" w:sz="0" w:space="0" w:color="auto"/>
                                <w:bottom w:val="none" w:sz="0" w:space="0" w:color="auto"/>
                                <w:right w:val="none" w:sz="0" w:space="0" w:color="auto"/>
                              </w:divBdr>
                              <w:divsChild>
                                <w:div w:id="1159344341">
                                  <w:marLeft w:val="0"/>
                                  <w:marRight w:val="0"/>
                                  <w:marTop w:val="0"/>
                                  <w:marBottom w:val="0"/>
                                  <w:divBdr>
                                    <w:top w:val="none" w:sz="0" w:space="0" w:color="auto"/>
                                    <w:left w:val="none" w:sz="0" w:space="0" w:color="auto"/>
                                    <w:bottom w:val="none" w:sz="0" w:space="0" w:color="auto"/>
                                    <w:right w:val="none" w:sz="0" w:space="0" w:color="auto"/>
                                  </w:divBdr>
                                  <w:divsChild>
                                    <w:div w:id="1881479161">
                                      <w:marLeft w:val="0"/>
                                      <w:marRight w:val="0"/>
                                      <w:marTop w:val="0"/>
                                      <w:marBottom w:val="0"/>
                                      <w:divBdr>
                                        <w:top w:val="none" w:sz="0" w:space="0" w:color="auto"/>
                                        <w:left w:val="none" w:sz="0" w:space="0" w:color="auto"/>
                                        <w:bottom w:val="none" w:sz="0" w:space="0" w:color="auto"/>
                                        <w:right w:val="none" w:sz="0" w:space="0" w:color="auto"/>
                                      </w:divBdr>
                                      <w:divsChild>
                                        <w:div w:id="545609744">
                                          <w:marLeft w:val="0"/>
                                          <w:marRight w:val="0"/>
                                          <w:marTop w:val="0"/>
                                          <w:marBottom w:val="0"/>
                                          <w:divBdr>
                                            <w:top w:val="none" w:sz="0" w:space="0" w:color="auto"/>
                                            <w:left w:val="none" w:sz="0" w:space="0" w:color="auto"/>
                                            <w:bottom w:val="none" w:sz="0" w:space="0" w:color="auto"/>
                                            <w:right w:val="none" w:sz="0" w:space="0" w:color="auto"/>
                                          </w:divBdr>
                                          <w:divsChild>
                                            <w:div w:id="1257011156">
                                              <w:marLeft w:val="0"/>
                                              <w:marRight w:val="0"/>
                                              <w:marTop w:val="0"/>
                                              <w:marBottom w:val="0"/>
                                              <w:divBdr>
                                                <w:top w:val="none" w:sz="0" w:space="0" w:color="auto"/>
                                                <w:left w:val="none" w:sz="0" w:space="0" w:color="auto"/>
                                                <w:bottom w:val="none" w:sz="0" w:space="0" w:color="auto"/>
                                                <w:right w:val="none" w:sz="0" w:space="0" w:color="auto"/>
                                              </w:divBdr>
                                              <w:divsChild>
                                                <w:div w:id="1885562796">
                                                  <w:marLeft w:val="0"/>
                                                  <w:marRight w:val="0"/>
                                                  <w:marTop w:val="0"/>
                                                  <w:marBottom w:val="0"/>
                                                  <w:divBdr>
                                                    <w:top w:val="none" w:sz="0" w:space="0" w:color="auto"/>
                                                    <w:left w:val="none" w:sz="0" w:space="0" w:color="auto"/>
                                                    <w:bottom w:val="none" w:sz="0" w:space="0" w:color="auto"/>
                                                    <w:right w:val="none" w:sz="0" w:space="0" w:color="auto"/>
                                                  </w:divBdr>
                                                  <w:divsChild>
                                                    <w:div w:id="878468819">
                                                      <w:marLeft w:val="0"/>
                                                      <w:marRight w:val="0"/>
                                                      <w:marTop w:val="0"/>
                                                      <w:marBottom w:val="0"/>
                                                      <w:divBdr>
                                                        <w:top w:val="none" w:sz="0" w:space="0" w:color="auto"/>
                                                        <w:left w:val="none" w:sz="0" w:space="0" w:color="auto"/>
                                                        <w:bottom w:val="none" w:sz="0" w:space="0" w:color="auto"/>
                                                        <w:right w:val="none" w:sz="0" w:space="0" w:color="auto"/>
                                                      </w:divBdr>
                                                      <w:divsChild>
                                                        <w:div w:id="2875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2522925">
      <w:bodyDiv w:val="1"/>
      <w:marLeft w:val="0"/>
      <w:marRight w:val="0"/>
      <w:marTop w:val="0"/>
      <w:marBottom w:val="0"/>
      <w:divBdr>
        <w:top w:val="none" w:sz="0" w:space="0" w:color="auto"/>
        <w:left w:val="none" w:sz="0" w:space="0" w:color="auto"/>
        <w:bottom w:val="none" w:sz="0" w:space="0" w:color="auto"/>
        <w:right w:val="none" w:sz="0" w:space="0" w:color="auto"/>
      </w:divBdr>
      <w:divsChild>
        <w:div w:id="1838812062">
          <w:marLeft w:val="0"/>
          <w:marRight w:val="0"/>
          <w:marTop w:val="0"/>
          <w:marBottom w:val="0"/>
          <w:divBdr>
            <w:top w:val="none" w:sz="0" w:space="0" w:color="auto"/>
            <w:left w:val="none" w:sz="0" w:space="0" w:color="auto"/>
            <w:bottom w:val="none" w:sz="0" w:space="0" w:color="auto"/>
            <w:right w:val="none" w:sz="0" w:space="0" w:color="auto"/>
          </w:divBdr>
        </w:div>
      </w:divsChild>
    </w:div>
    <w:div w:id="1173374952">
      <w:bodyDiv w:val="1"/>
      <w:marLeft w:val="0"/>
      <w:marRight w:val="0"/>
      <w:marTop w:val="0"/>
      <w:marBottom w:val="0"/>
      <w:divBdr>
        <w:top w:val="none" w:sz="0" w:space="0" w:color="auto"/>
        <w:left w:val="none" w:sz="0" w:space="0" w:color="auto"/>
        <w:bottom w:val="none" w:sz="0" w:space="0" w:color="auto"/>
        <w:right w:val="none" w:sz="0" w:space="0" w:color="auto"/>
      </w:divBdr>
      <w:divsChild>
        <w:div w:id="270434251">
          <w:marLeft w:val="0"/>
          <w:marRight w:val="0"/>
          <w:marTop w:val="0"/>
          <w:marBottom w:val="0"/>
          <w:divBdr>
            <w:top w:val="none" w:sz="0" w:space="0" w:color="auto"/>
            <w:left w:val="none" w:sz="0" w:space="0" w:color="auto"/>
            <w:bottom w:val="none" w:sz="0" w:space="0" w:color="auto"/>
            <w:right w:val="none" w:sz="0" w:space="0" w:color="auto"/>
          </w:divBdr>
          <w:divsChild>
            <w:div w:id="375664463">
              <w:marLeft w:val="0"/>
              <w:marRight w:val="0"/>
              <w:marTop w:val="0"/>
              <w:marBottom w:val="0"/>
              <w:divBdr>
                <w:top w:val="none" w:sz="0" w:space="0" w:color="auto"/>
                <w:left w:val="none" w:sz="0" w:space="0" w:color="auto"/>
                <w:bottom w:val="none" w:sz="0" w:space="0" w:color="auto"/>
                <w:right w:val="none" w:sz="0" w:space="0" w:color="auto"/>
              </w:divBdr>
              <w:divsChild>
                <w:div w:id="1545866905">
                  <w:marLeft w:val="0"/>
                  <w:marRight w:val="0"/>
                  <w:marTop w:val="0"/>
                  <w:marBottom w:val="0"/>
                  <w:divBdr>
                    <w:top w:val="none" w:sz="0" w:space="0" w:color="auto"/>
                    <w:left w:val="none" w:sz="0" w:space="0" w:color="auto"/>
                    <w:bottom w:val="none" w:sz="0" w:space="0" w:color="auto"/>
                    <w:right w:val="none" w:sz="0" w:space="0" w:color="auto"/>
                  </w:divBdr>
                  <w:divsChild>
                    <w:div w:id="1342777829">
                      <w:marLeft w:val="0"/>
                      <w:marRight w:val="0"/>
                      <w:marTop w:val="0"/>
                      <w:marBottom w:val="0"/>
                      <w:divBdr>
                        <w:top w:val="none" w:sz="0" w:space="0" w:color="auto"/>
                        <w:left w:val="none" w:sz="0" w:space="0" w:color="auto"/>
                        <w:bottom w:val="none" w:sz="0" w:space="0" w:color="auto"/>
                        <w:right w:val="none" w:sz="0" w:space="0" w:color="auto"/>
                      </w:divBdr>
                      <w:divsChild>
                        <w:div w:id="631328772">
                          <w:marLeft w:val="0"/>
                          <w:marRight w:val="0"/>
                          <w:marTop w:val="0"/>
                          <w:marBottom w:val="0"/>
                          <w:divBdr>
                            <w:top w:val="none" w:sz="0" w:space="0" w:color="auto"/>
                            <w:left w:val="none" w:sz="0" w:space="0" w:color="auto"/>
                            <w:bottom w:val="none" w:sz="0" w:space="0" w:color="auto"/>
                            <w:right w:val="none" w:sz="0" w:space="0" w:color="auto"/>
                          </w:divBdr>
                          <w:divsChild>
                            <w:div w:id="1987783600">
                              <w:marLeft w:val="0"/>
                              <w:marRight w:val="0"/>
                              <w:marTop w:val="0"/>
                              <w:marBottom w:val="0"/>
                              <w:divBdr>
                                <w:top w:val="none" w:sz="0" w:space="0" w:color="auto"/>
                                <w:left w:val="none" w:sz="0" w:space="0" w:color="auto"/>
                                <w:bottom w:val="none" w:sz="0" w:space="0" w:color="auto"/>
                                <w:right w:val="none" w:sz="0" w:space="0" w:color="auto"/>
                              </w:divBdr>
                              <w:divsChild>
                                <w:div w:id="1058017491">
                                  <w:marLeft w:val="0"/>
                                  <w:marRight w:val="0"/>
                                  <w:marTop w:val="0"/>
                                  <w:marBottom w:val="0"/>
                                  <w:divBdr>
                                    <w:top w:val="none" w:sz="0" w:space="0" w:color="auto"/>
                                    <w:left w:val="none" w:sz="0" w:space="0" w:color="auto"/>
                                    <w:bottom w:val="none" w:sz="0" w:space="0" w:color="auto"/>
                                    <w:right w:val="none" w:sz="0" w:space="0" w:color="auto"/>
                                  </w:divBdr>
                                  <w:divsChild>
                                    <w:div w:id="1326476851">
                                      <w:marLeft w:val="0"/>
                                      <w:marRight w:val="0"/>
                                      <w:marTop w:val="0"/>
                                      <w:marBottom w:val="0"/>
                                      <w:divBdr>
                                        <w:top w:val="none" w:sz="0" w:space="0" w:color="auto"/>
                                        <w:left w:val="none" w:sz="0" w:space="0" w:color="auto"/>
                                        <w:bottom w:val="none" w:sz="0" w:space="0" w:color="auto"/>
                                        <w:right w:val="none" w:sz="0" w:space="0" w:color="auto"/>
                                      </w:divBdr>
                                      <w:divsChild>
                                        <w:div w:id="291831909">
                                          <w:marLeft w:val="0"/>
                                          <w:marRight w:val="0"/>
                                          <w:marTop w:val="0"/>
                                          <w:marBottom w:val="0"/>
                                          <w:divBdr>
                                            <w:top w:val="none" w:sz="0" w:space="0" w:color="auto"/>
                                            <w:left w:val="none" w:sz="0" w:space="0" w:color="auto"/>
                                            <w:bottom w:val="none" w:sz="0" w:space="0" w:color="auto"/>
                                            <w:right w:val="none" w:sz="0" w:space="0" w:color="auto"/>
                                          </w:divBdr>
                                        </w:div>
                                        <w:div w:id="246623746">
                                          <w:marLeft w:val="0"/>
                                          <w:marRight w:val="0"/>
                                          <w:marTop w:val="0"/>
                                          <w:marBottom w:val="0"/>
                                          <w:divBdr>
                                            <w:top w:val="none" w:sz="0" w:space="0" w:color="auto"/>
                                            <w:left w:val="none" w:sz="0" w:space="0" w:color="auto"/>
                                            <w:bottom w:val="none" w:sz="0" w:space="0" w:color="auto"/>
                                            <w:right w:val="none" w:sz="0" w:space="0" w:color="auto"/>
                                          </w:divBdr>
                                          <w:divsChild>
                                            <w:div w:id="665474173">
                                              <w:marLeft w:val="0"/>
                                              <w:marRight w:val="0"/>
                                              <w:marTop w:val="0"/>
                                              <w:marBottom w:val="0"/>
                                              <w:divBdr>
                                                <w:top w:val="none" w:sz="0" w:space="0" w:color="auto"/>
                                                <w:left w:val="none" w:sz="0" w:space="0" w:color="auto"/>
                                                <w:bottom w:val="none" w:sz="0" w:space="0" w:color="auto"/>
                                                <w:right w:val="none" w:sz="0" w:space="0" w:color="auto"/>
                                              </w:divBdr>
                                            </w:div>
                                            <w:div w:id="1683631151">
                                              <w:marLeft w:val="0"/>
                                              <w:marRight w:val="0"/>
                                              <w:marTop w:val="0"/>
                                              <w:marBottom w:val="0"/>
                                              <w:divBdr>
                                                <w:top w:val="none" w:sz="0" w:space="0" w:color="auto"/>
                                                <w:left w:val="none" w:sz="0" w:space="0" w:color="auto"/>
                                                <w:bottom w:val="none" w:sz="0" w:space="0" w:color="auto"/>
                                                <w:right w:val="none" w:sz="0" w:space="0" w:color="auto"/>
                                              </w:divBdr>
                                            </w:div>
                                          </w:divsChild>
                                        </w:div>
                                        <w:div w:id="403795710">
                                          <w:marLeft w:val="0"/>
                                          <w:marRight w:val="0"/>
                                          <w:marTop w:val="0"/>
                                          <w:marBottom w:val="0"/>
                                          <w:divBdr>
                                            <w:top w:val="none" w:sz="0" w:space="0" w:color="auto"/>
                                            <w:left w:val="none" w:sz="0" w:space="0" w:color="auto"/>
                                            <w:bottom w:val="none" w:sz="0" w:space="0" w:color="auto"/>
                                            <w:right w:val="none" w:sz="0" w:space="0" w:color="auto"/>
                                          </w:divBdr>
                                        </w:div>
                                        <w:div w:id="1012411820">
                                          <w:marLeft w:val="0"/>
                                          <w:marRight w:val="0"/>
                                          <w:marTop w:val="0"/>
                                          <w:marBottom w:val="0"/>
                                          <w:divBdr>
                                            <w:top w:val="none" w:sz="0" w:space="0" w:color="auto"/>
                                            <w:left w:val="none" w:sz="0" w:space="0" w:color="auto"/>
                                            <w:bottom w:val="none" w:sz="0" w:space="0" w:color="auto"/>
                                            <w:right w:val="none" w:sz="0" w:space="0" w:color="auto"/>
                                          </w:divBdr>
                                        </w:div>
                                        <w:div w:id="1533762859">
                                          <w:marLeft w:val="0"/>
                                          <w:marRight w:val="0"/>
                                          <w:marTop w:val="0"/>
                                          <w:marBottom w:val="0"/>
                                          <w:divBdr>
                                            <w:top w:val="none" w:sz="0" w:space="0" w:color="auto"/>
                                            <w:left w:val="none" w:sz="0" w:space="0" w:color="auto"/>
                                            <w:bottom w:val="none" w:sz="0" w:space="0" w:color="auto"/>
                                            <w:right w:val="none" w:sz="0" w:space="0" w:color="auto"/>
                                          </w:divBdr>
                                          <w:divsChild>
                                            <w:div w:id="16786580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839119">
      <w:bodyDiv w:val="1"/>
      <w:marLeft w:val="0"/>
      <w:marRight w:val="0"/>
      <w:marTop w:val="0"/>
      <w:marBottom w:val="0"/>
      <w:divBdr>
        <w:top w:val="none" w:sz="0" w:space="0" w:color="auto"/>
        <w:left w:val="none" w:sz="0" w:space="0" w:color="auto"/>
        <w:bottom w:val="none" w:sz="0" w:space="0" w:color="auto"/>
        <w:right w:val="none" w:sz="0" w:space="0" w:color="auto"/>
      </w:divBdr>
      <w:divsChild>
        <w:div w:id="1071074444">
          <w:marLeft w:val="0"/>
          <w:marRight w:val="0"/>
          <w:marTop w:val="0"/>
          <w:marBottom w:val="0"/>
          <w:divBdr>
            <w:top w:val="none" w:sz="0" w:space="0" w:color="auto"/>
            <w:left w:val="none" w:sz="0" w:space="0" w:color="auto"/>
            <w:bottom w:val="none" w:sz="0" w:space="0" w:color="auto"/>
            <w:right w:val="none" w:sz="0" w:space="0" w:color="auto"/>
          </w:divBdr>
          <w:divsChild>
            <w:div w:id="1862476664">
              <w:marLeft w:val="0"/>
              <w:marRight w:val="0"/>
              <w:marTop w:val="150"/>
              <w:marBottom w:val="0"/>
              <w:divBdr>
                <w:top w:val="none" w:sz="0" w:space="0" w:color="auto"/>
                <w:left w:val="none" w:sz="0" w:space="0" w:color="auto"/>
                <w:bottom w:val="none" w:sz="0" w:space="0" w:color="auto"/>
                <w:right w:val="none" w:sz="0" w:space="0" w:color="auto"/>
              </w:divBdr>
              <w:divsChild>
                <w:div w:id="1015499641">
                  <w:marLeft w:val="0"/>
                  <w:marRight w:val="0"/>
                  <w:marTop w:val="0"/>
                  <w:marBottom w:val="0"/>
                  <w:divBdr>
                    <w:top w:val="none" w:sz="0" w:space="0" w:color="auto"/>
                    <w:left w:val="none" w:sz="0" w:space="0" w:color="auto"/>
                    <w:bottom w:val="none" w:sz="0" w:space="0" w:color="auto"/>
                    <w:right w:val="none" w:sz="0" w:space="0" w:color="auto"/>
                  </w:divBdr>
                  <w:divsChild>
                    <w:div w:id="245919667">
                      <w:marLeft w:val="0"/>
                      <w:marRight w:val="0"/>
                      <w:marTop w:val="0"/>
                      <w:marBottom w:val="0"/>
                      <w:divBdr>
                        <w:top w:val="none" w:sz="0" w:space="0" w:color="auto"/>
                        <w:left w:val="none" w:sz="0" w:space="0" w:color="auto"/>
                        <w:bottom w:val="none" w:sz="0" w:space="0" w:color="auto"/>
                        <w:right w:val="none" w:sz="0" w:space="0" w:color="auto"/>
                      </w:divBdr>
                      <w:divsChild>
                        <w:div w:id="7789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446">
      <w:bodyDiv w:val="1"/>
      <w:marLeft w:val="0"/>
      <w:marRight w:val="0"/>
      <w:marTop w:val="0"/>
      <w:marBottom w:val="0"/>
      <w:divBdr>
        <w:top w:val="none" w:sz="0" w:space="0" w:color="auto"/>
        <w:left w:val="none" w:sz="0" w:space="0" w:color="auto"/>
        <w:bottom w:val="none" w:sz="0" w:space="0" w:color="auto"/>
        <w:right w:val="none" w:sz="0" w:space="0" w:color="auto"/>
      </w:divBdr>
      <w:divsChild>
        <w:div w:id="446775292">
          <w:marLeft w:val="0"/>
          <w:marRight w:val="0"/>
          <w:marTop w:val="0"/>
          <w:marBottom w:val="0"/>
          <w:divBdr>
            <w:top w:val="single" w:sz="2" w:space="0" w:color="AAAAAA"/>
            <w:left w:val="single" w:sz="6" w:space="8" w:color="AAAAAA"/>
            <w:bottom w:val="single" w:sz="2" w:space="0" w:color="AAAAAA"/>
            <w:right w:val="single" w:sz="6" w:space="8" w:color="AAAAAA"/>
          </w:divBdr>
          <w:divsChild>
            <w:div w:id="619577361">
              <w:marLeft w:val="0"/>
              <w:marRight w:val="0"/>
              <w:marTop w:val="0"/>
              <w:marBottom w:val="0"/>
              <w:divBdr>
                <w:top w:val="none" w:sz="0" w:space="0" w:color="auto"/>
                <w:left w:val="none" w:sz="0" w:space="0" w:color="auto"/>
                <w:bottom w:val="none" w:sz="0" w:space="0" w:color="auto"/>
                <w:right w:val="none" w:sz="0" w:space="0" w:color="auto"/>
              </w:divBdr>
              <w:divsChild>
                <w:div w:id="340201654">
                  <w:marLeft w:val="0"/>
                  <w:marRight w:val="0"/>
                  <w:marTop w:val="0"/>
                  <w:marBottom w:val="0"/>
                  <w:divBdr>
                    <w:top w:val="none" w:sz="0" w:space="0" w:color="auto"/>
                    <w:left w:val="none" w:sz="0" w:space="0" w:color="auto"/>
                    <w:bottom w:val="none" w:sz="0" w:space="0" w:color="auto"/>
                    <w:right w:val="none" w:sz="0" w:space="0" w:color="auto"/>
                  </w:divBdr>
                  <w:divsChild>
                    <w:div w:id="1543130575">
                      <w:marLeft w:val="0"/>
                      <w:marRight w:val="2550"/>
                      <w:marTop w:val="0"/>
                      <w:marBottom w:val="48"/>
                      <w:divBdr>
                        <w:top w:val="none" w:sz="0" w:space="0" w:color="auto"/>
                        <w:left w:val="none" w:sz="0" w:space="0" w:color="auto"/>
                        <w:bottom w:val="none" w:sz="0" w:space="0" w:color="auto"/>
                        <w:right w:val="none" w:sz="0" w:space="0" w:color="auto"/>
                      </w:divBdr>
                      <w:divsChild>
                        <w:div w:id="11399554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76654842">
      <w:bodyDiv w:val="1"/>
      <w:marLeft w:val="0"/>
      <w:marRight w:val="0"/>
      <w:marTop w:val="0"/>
      <w:marBottom w:val="0"/>
      <w:divBdr>
        <w:top w:val="none" w:sz="0" w:space="0" w:color="auto"/>
        <w:left w:val="none" w:sz="0" w:space="0" w:color="auto"/>
        <w:bottom w:val="none" w:sz="0" w:space="0" w:color="auto"/>
        <w:right w:val="none" w:sz="0" w:space="0" w:color="auto"/>
      </w:divBdr>
      <w:divsChild>
        <w:div w:id="451484175">
          <w:marLeft w:val="0"/>
          <w:marRight w:val="0"/>
          <w:marTop w:val="0"/>
          <w:marBottom w:val="0"/>
          <w:divBdr>
            <w:top w:val="none" w:sz="0" w:space="0" w:color="auto"/>
            <w:left w:val="none" w:sz="0" w:space="0" w:color="auto"/>
            <w:bottom w:val="none" w:sz="0" w:space="0" w:color="auto"/>
            <w:right w:val="none" w:sz="0" w:space="0" w:color="auto"/>
          </w:divBdr>
          <w:divsChild>
            <w:div w:id="519122064">
              <w:marLeft w:val="0"/>
              <w:marRight w:val="0"/>
              <w:marTop w:val="0"/>
              <w:marBottom w:val="0"/>
              <w:divBdr>
                <w:top w:val="none" w:sz="0" w:space="0" w:color="auto"/>
                <w:left w:val="none" w:sz="0" w:space="0" w:color="auto"/>
                <w:bottom w:val="none" w:sz="0" w:space="0" w:color="auto"/>
                <w:right w:val="none" w:sz="0" w:space="0" w:color="auto"/>
              </w:divBdr>
              <w:divsChild>
                <w:div w:id="1135175171">
                  <w:marLeft w:val="0"/>
                  <w:marRight w:val="0"/>
                  <w:marTop w:val="0"/>
                  <w:marBottom w:val="0"/>
                  <w:divBdr>
                    <w:top w:val="none" w:sz="0" w:space="0" w:color="auto"/>
                    <w:left w:val="none" w:sz="0" w:space="0" w:color="auto"/>
                    <w:bottom w:val="none" w:sz="0" w:space="0" w:color="auto"/>
                    <w:right w:val="none" w:sz="0" w:space="0" w:color="auto"/>
                  </w:divBdr>
                  <w:divsChild>
                    <w:div w:id="2059433373">
                      <w:marLeft w:val="0"/>
                      <w:marRight w:val="0"/>
                      <w:marTop w:val="300"/>
                      <w:marBottom w:val="600"/>
                      <w:divBdr>
                        <w:top w:val="none" w:sz="0" w:space="0" w:color="auto"/>
                        <w:left w:val="none" w:sz="0" w:space="0" w:color="auto"/>
                        <w:bottom w:val="none" w:sz="0" w:space="0" w:color="auto"/>
                        <w:right w:val="none" w:sz="0" w:space="0" w:color="auto"/>
                      </w:divBdr>
                      <w:divsChild>
                        <w:div w:id="306789667">
                          <w:marLeft w:val="0"/>
                          <w:marRight w:val="0"/>
                          <w:marTop w:val="0"/>
                          <w:marBottom w:val="0"/>
                          <w:divBdr>
                            <w:top w:val="none" w:sz="0" w:space="0" w:color="auto"/>
                            <w:left w:val="none" w:sz="0" w:space="0" w:color="auto"/>
                            <w:bottom w:val="none" w:sz="0" w:space="0" w:color="auto"/>
                            <w:right w:val="none" w:sz="0" w:space="0" w:color="auto"/>
                          </w:divBdr>
                          <w:divsChild>
                            <w:div w:id="477498910">
                              <w:marLeft w:val="0"/>
                              <w:marRight w:val="0"/>
                              <w:marTop w:val="0"/>
                              <w:marBottom w:val="0"/>
                              <w:divBdr>
                                <w:top w:val="none" w:sz="0" w:space="0" w:color="auto"/>
                                <w:left w:val="none" w:sz="0" w:space="0" w:color="auto"/>
                                <w:bottom w:val="none" w:sz="0" w:space="0" w:color="auto"/>
                                <w:right w:val="none" w:sz="0" w:space="0" w:color="auto"/>
                              </w:divBdr>
                              <w:divsChild>
                                <w:div w:id="1525360560">
                                  <w:marLeft w:val="0"/>
                                  <w:marRight w:val="0"/>
                                  <w:marTop w:val="0"/>
                                  <w:marBottom w:val="0"/>
                                  <w:divBdr>
                                    <w:top w:val="none" w:sz="0" w:space="0" w:color="auto"/>
                                    <w:left w:val="none" w:sz="0" w:space="0" w:color="auto"/>
                                    <w:bottom w:val="none" w:sz="0" w:space="0" w:color="auto"/>
                                    <w:right w:val="none" w:sz="0" w:space="0" w:color="auto"/>
                                  </w:divBdr>
                                  <w:divsChild>
                                    <w:div w:id="97139635">
                                      <w:marLeft w:val="0"/>
                                      <w:marRight w:val="0"/>
                                      <w:marTop w:val="150"/>
                                      <w:marBottom w:val="0"/>
                                      <w:divBdr>
                                        <w:top w:val="none" w:sz="0" w:space="0" w:color="auto"/>
                                        <w:left w:val="none" w:sz="0" w:space="0" w:color="auto"/>
                                        <w:bottom w:val="none" w:sz="0" w:space="0" w:color="auto"/>
                                        <w:right w:val="none" w:sz="0" w:space="0" w:color="auto"/>
                                      </w:divBdr>
                                      <w:divsChild>
                                        <w:div w:id="1897617468">
                                          <w:marLeft w:val="0"/>
                                          <w:marRight w:val="0"/>
                                          <w:marTop w:val="0"/>
                                          <w:marBottom w:val="0"/>
                                          <w:divBdr>
                                            <w:top w:val="none" w:sz="0" w:space="0" w:color="auto"/>
                                            <w:left w:val="none" w:sz="0" w:space="0" w:color="auto"/>
                                            <w:bottom w:val="none" w:sz="0" w:space="0" w:color="auto"/>
                                            <w:right w:val="none" w:sz="0" w:space="0" w:color="auto"/>
                                          </w:divBdr>
                                          <w:divsChild>
                                            <w:div w:id="1817530476">
                                              <w:marLeft w:val="0"/>
                                              <w:marRight w:val="0"/>
                                              <w:marTop w:val="0"/>
                                              <w:marBottom w:val="0"/>
                                              <w:divBdr>
                                                <w:top w:val="none" w:sz="0" w:space="0" w:color="auto"/>
                                                <w:left w:val="none" w:sz="0" w:space="0" w:color="auto"/>
                                                <w:bottom w:val="none" w:sz="0" w:space="0" w:color="auto"/>
                                                <w:right w:val="none" w:sz="0" w:space="0" w:color="auto"/>
                                              </w:divBdr>
                                              <w:divsChild>
                                                <w:div w:id="16641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770792">
      <w:bodyDiv w:val="1"/>
      <w:marLeft w:val="0"/>
      <w:marRight w:val="0"/>
      <w:marTop w:val="0"/>
      <w:marBottom w:val="0"/>
      <w:divBdr>
        <w:top w:val="none" w:sz="0" w:space="0" w:color="auto"/>
        <w:left w:val="none" w:sz="0" w:space="0" w:color="auto"/>
        <w:bottom w:val="none" w:sz="0" w:space="0" w:color="auto"/>
        <w:right w:val="none" w:sz="0" w:space="0" w:color="auto"/>
      </w:divBdr>
      <w:divsChild>
        <w:div w:id="1808010132">
          <w:marLeft w:val="0"/>
          <w:marRight w:val="0"/>
          <w:marTop w:val="0"/>
          <w:marBottom w:val="0"/>
          <w:divBdr>
            <w:top w:val="none" w:sz="0" w:space="0" w:color="auto"/>
            <w:left w:val="none" w:sz="0" w:space="0" w:color="auto"/>
            <w:bottom w:val="none" w:sz="0" w:space="0" w:color="auto"/>
            <w:right w:val="none" w:sz="0" w:space="0" w:color="auto"/>
          </w:divBdr>
          <w:divsChild>
            <w:div w:id="147289379">
              <w:marLeft w:val="0"/>
              <w:marRight w:val="0"/>
              <w:marTop w:val="0"/>
              <w:marBottom w:val="0"/>
              <w:divBdr>
                <w:top w:val="none" w:sz="0" w:space="0" w:color="auto"/>
                <w:left w:val="none" w:sz="0" w:space="0" w:color="auto"/>
                <w:bottom w:val="none" w:sz="0" w:space="0" w:color="auto"/>
                <w:right w:val="none" w:sz="0" w:space="0" w:color="auto"/>
              </w:divBdr>
              <w:divsChild>
                <w:div w:id="1780876061">
                  <w:marLeft w:val="0"/>
                  <w:marRight w:val="0"/>
                  <w:marTop w:val="0"/>
                  <w:marBottom w:val="0"/>
                  <w:divBdr>
                    <w:top w:val="none" w:sz="0" w:space="0" w:color="auto"/>
                    <w:left w:val="none" w:sz="0" w:space="0" w:color="auto"/>
                    <w:bottom w:val="none" w:sz="0" w:space="0" w:color="auto"/>
                    <w:right w:val="none" w:sz="0" w:space="0" w:color="auto"/>
                  </w:divBdr>
                  <w:divsChild>
                    <w:div w:id="1753352859">
                      <w:marLeft w:val="0"/>
                      <w:marRight w:val="0"/>
                      <w:marTop w:val="0"/>
                      <w:marBottom w:val="0"/>
                      <w:divBdr>
                        <w:top w:val="none" w:sz="0" w:space="0" w:color="auto"/>
                        <w:left w:val="none" w:sz="0" w:space="0" w:color="auto"/>
                        <w:bottom w:val="none" w:sz="0" w:space="0" w:color="auto"/>
                        <w:right w:val="none" w:sz="0" w:space="0" w:color="auto"/>
                      </w:divBdr>
                      <w:divsChild>
                        <w:div w:id="1199127228">
                          <w:marLeft w:val="0"/>
                          <w:marRight w:val="0"/>
                          <w:marTop w:val="0"/>
                          <w:marBottom w:val="0"/>
                          <w:divBdr>
                            <w:top w:val="none" w:sz="0" w:space="0" w:color="auto"/>
                            <w:left w:val="none" w:sz="0" w:space="0" w:color="auto"/>
                            <w:bottom w:val="none" w:sz="0" w:space="0" w:color="auto"/>
                            <w:right w:val="none" w:sz="0" w:space="0" w:color="auto"/>
                          </w:divBdr>
                          <w:divsChild>
                            <w:div w:id="1642032197">
                              <w:marLeft w:val="0"/>
                              <w:marRight w:val="0"/>
                              <w:marTop w:val="0"/>
                              <w:marBottom w:val="0"/>
                              <w:divBdr>
                                <w:top w:val="none" w:sz="0" w:space="0" w:color="auto"/>
                                <w:left w:val="none" w:sz="0" w:space="0" w:color="auto"/>
                                <w:bottom w:val="none" w:sz="0" w:space="0" w:color="auto"/>
                                <w:right w:val="none" w:sz="0" w:space="0" w:color="auto"/>
                              </w:divBdr>
                              <w:divsChild>
                                <w:div w:id="1861508295">
                                  <w:marLeft w:val="0"/>
                                  <w:marRight w:val="0"/>
                                  <w:marTop w:val="0"/>
                                  <w:marBottom w:val="0"/>
                                  <w:divBdr>
                                    <w:top w:val="none" w:sz="0" w:space="0" w:color="auto"/>
                                    <w:left w:val="none" w:sz="0" w:space="0" w:color="auto"/>
                                    <w:bottom w:val="none" w:sz="0" w:space="0" w:color="auto"/>
                                    <w:right w:val="none" w:sz="0" w:space="0" w:color="auto"/>
                                  </w:divBdr>
                                  <w:divsChild>
                                    <w:div w:id="791703382">
                                      <w:marLeft w:val="0"/>
                                      <w:marRight w:val="0"/>
                                      <w:marTop w:val="0"/>
                                      <w:marBottom w:val="0"/>
                                      <w:divBdr>
                                        <w:top w:val="none" w:sz="0" w:space="0" w:color="auto"/>
                                        <w:left w:val="none" w:sz="0" w:space="0" w:color="auto"/>
                                        <w:bottom w:val="none" w:sz="0" w:space="0" w:color="auto"/>
                                        <w:right w:val="none" w:sz="0" w:space="0" w:color="auto"/>
                                      </w:divBdr>
                                      <w:divsChild>
                                        <w:div w:id="21282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537598">
      <w:bodyDiv w:val="1"/>
      <w:marLeft w:val="0"/>
      <w:marRight w:val="0"/>
      <w:marTop w:val="0"/>
      <w:marBottom w:val="0"/>
      <w:divBdr>
        <w:top w:val="none" w:sz="0" w:space="0" w:color="auto"/>
        <w:left w:val="none" w:sz="0" w:space="0" w:color="auto"/>
        <w:bottom w:val="none" w:sz="0" w:space="0" w:color="auto"/>
        <w:right w:val="none" w:sz="0" w:space="0" w:color="auto"/>
      </w:divBdr>
      <w:divsChild>
        <w:div w:id="1508978112">
          <w:marLeft w:val="0"/>
          <w:marRight w:val="0"/>
          <w:marTop w:val="0"/>
          <w:marBottom w:val="0"/>
          <w:divBdr>
            <w:top w:val="none" w:sz="0" w:space="0" w:color="auto"/>
            <w:left w:val="none" w:sz="0" w:space="0" w:color="auto"/>
            <w:bottom w:val="none" w:sz="0" w:space="0" w:color="auto"/>
            <w:right w:val="none" w:sz="0" w:space="0" w:color="auto"/>
          </w:divBdr>
          <w:divsChild>
            <w:div w:id="1283616164">
              <w:marLeft w:val="-225"/>
              <w:marRight w:val="-225"/>
              <w:marTop w:val="0"/>
              <w:marBottom w:val="0"/>
              <w:divBdr>
                <w:top w:val="none" w:sz="0" w:space="0" w:color="auto"/>
                <w:left w:val="none" w:sz="0" w:space="0" w:color="auto"/>
                <w:bottom w:val="none" w:sz="0" w:space="0" w:color="auto"/>
                <w:right w:val="none" w:sz="0" w:space="0" w:color="auto"/>
              </w:divBdr>
              <w:divsChild>
                <w:div w:id="6688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86521">
      <w:bodyDiv w:val="1"/>
      <w:marLeft w:val="0"/>
      <w:marRight w:val="0"/>
      <w:marTop w:val="0"/>
      <w:marBottom w:val="0"/>
      <w:divBdr>
        <w:top w:val="none" w:sz="0" w:space="0" w:color="auto"/>
        <w:left w:val="none" w:sz="0" w:space="0" w:color="auto"/>
        <w:bottom w:val="none" w:sz="0" w:space="0" w:color="auto"/>
        <w:right w:val="none" w:sz="0" w:space="0" w:color="auto"/>
      </w:divBdr>
      <w:divsChild>
        <w:div w:id="1738236763">
          <w:marLeft w:val="0"/>
          <w:marRight w:val="0"/>
          <w:marTop w:val="150"/>
          <w:marBottom w:val="0"/>
          <w:divBdr>
            <w:top w:val="none" w:sz="0" w:space="0" w:color="auto"/>
            <w:left w:val="none" w:sz="0" w:space="0" w:color="auto"/>
            <w:bottom w:val="none" w:sz="0" w:space="0" w:color="auto"/>
            <w:right w:val="none" w:sz="0" w:space="0" w:color="auto"/>
          </w:divBdr>
          <w:divsChild>
            <w:div w:id="808396031">
              <w:marLeft w:val="2"/>
              <w:marRight w:val="2"/>
              <w:marTop w:val="0"/>
              <w:marBottom w:val="0"/>
              <w:divBdr>
                <w:top w:val="none" w:sz="0" w:space="0" w:color="auto"/>
                <w:left w:val="none" w:sz="0" w:space="0" w:color="auto"/>
                <w:bottom w:val="none" w:sz="0" w:space="0" w:color="auto"/>
                <w:right w:val="none" w:sz="0" w:space="0" w:color="auto"/>
              </w:divBdr>
              <w:divsChild>
                <w:div w:id="317654598">
                  <w:marLeft w:val="0"/>
                  <w:marRight w:val="0"/>
                  <w:marTop w:val="0"/>
                  <w:marBottom w:val="0"/>
                  <w:divBdr>
                    <w:top w:val="none" w:sz="0" w:space="0" w:color="auto"/>
                    <w:left w:val="none" w:sz="0" w:space="0" w:color="auto"/>
                    <w:bottom w:val="none" w:sz="0" w:space="0" w:color="auto"/>
                    <w:right w:val="none" w:sz="0" w:space="0" w:color="auto"/>
                  </w:divBdr>
                  <w:divsChild>
                    <w:div w:id="1384793890">
                      <w:marLeft w:val="0"/>
                      <w:marRight w:val="0"/>
                      <w:marTop w:val="0"/>
                      <w:marBottom w:val="0"/>
                      <w:divBdr>
                        <w:top w:val="none" w:sz="0" w:space="0" w:color="auto"/>
                        <w:left w:val="none" w:sz="0" w:space="0" w:color="auto"/>
                        <w:bottom w:val="none" w:sz="0" w:space="0" w:color="auto"/>
                        <w:right w:val="none" w:sz="0" w:space="0" w:color="auto"/>
                      </w:divBdr>
                      <w:divsChild>
                        <w:div w:id="1123965427">
                          <w:marLeft w:val="0"/>
                          <w:marRight w:val="0"/>
                          <w:marTop w:val="0"/>
                          <w:marBottom w:val="0"/>
                          <w:divBdr>
                            <w:top w:val="none" w:sz="0" w:space="0" w:color="auto"/>
                            <w:left w:val="none" w:sz="0" w:space="0" w:color="auto"/>
                            <w:bottom w:val="none" w:sz="0" w:space="0" w:color="auto"/>
                            <w:right w:val="none" w:sz="0" w:space="0" w:color="auto"/>
                          </w:divBdr>
                          <w:divsChild>
                            <w:div w:id="1529443194">
                              <w:marLeft w:val="0"/>
                              <w:marRight w:val="0"/>
                              <w:marTop w:val="0"/>
                              <w:marBottom w:val="0"/>
                              <w:divBdr>
                                <w:top w:val="none" w:sz="0" w:space="0" w:color="auto"/>
                                <w:left w:val="none" w:sz="0" w:space="0" w:color="auto"/>
                                <w:bottom w:val="none" w:sz="0" w:space="0" w:color="auto"/>
                                <w:right w:val="none" w:sz="0" w:space="0" w:color="auto"/>
                              </w:divBdr>
                              <w:divsChild>
                                <w:div w:id="1487432320">
                                  <w:marLeft w:val="0"/>
                                  <w:marRight w:val="0"/>
                                  <w:marTop w:val="0"/>
                                  <w:marBottom w:val="0"/>
                                  <w:divBdr>
                                    <w:top w:val="none" w:sz="0" w:space="0" w:color="auto"/>
                                    <w:left w:val="none" w:sz="0" w:space="0" w:color="auto"/>
                                    <w:bottom w:val="none" w:sz="0" w:space="0" w:color="auto"/>
                                    <w:right w:val="none" w:sz="0" w:space="0" w:color="auto"/>
                                  </w:divBdr>
                                  <w:divsChild>
                                    <w:div w:id="661079701">
                                      <w:marLeft w:val="0"/>
                                      <w:marRight w:val="0"/>
                                      <w:marTop w:val="0"/>
                                      <w:marBottom w:val="0"/>
                                      <w:divBdr>
                                        <w:top w:val="none" w:sz="0" w:space="0" w:color="auto"/>
                                        <w:left w:val="none" w:sz="0" w:space="0" w:color="auto"/>
                                        <w:bottom w:val="none" w:sz="0" w:space="0" w:color="auto"/>
                                        <w:right w:val="none" w:sz="0" w:space="0" w:color="auto"/>
                                      </w:divBdr>
                                      <w:divsChild>
                                        <w:div w:id="1135954610">
                                          <w:marLeft w:val="0"/>
                                          <w:marRight w:val="0"/>
                                          <w:marTop w:val="0"/>
                                          <w:marBottom w:val="0"/>
                                          <w:divBdr>
                                            <w:top w:val="none" w:sz="0" w:space="0" w:color="auto"/>
                                            <w:left w:val="none" w:sz="0" w:space="0" w:color="auto"/>
                                            <w:bottom w:val="none" w:sz="0" w:space="0" w:color="auto"/>
                                            <w:right w:val="none" w:sz="0" w:space="0" w:color="auto"/>
                                          </w:divBdr>
                                          <w:divsChild>
                                            <w:div w:id="140391494">
                                              <w:marLeft w:val="0"/>
                                              <w:marRight w:val="0"/>
                                              <w:marTop w:val="0"/>
                                              <w:marBottom w:val="0"/>
                                              <w:divBdr>
                                                <w:top w:val="none" w:sz="0" w:space="0" w:color="auto"/>
                                                <w:left w:val="none" w:sz="0" w:space="0" w:color="auto"/>
                                                <w:bottom w:val="none" w:sz="0" w:space="0" w:color="auto"/>
                                                <w:right w:val="none" w:sz="0" w:space="0" w:color="auto"/>
                                              </w:divBdr>
                                              <w:divsChild>
                                                <w:div w:id="2048334596">
                                                  <w:marLeft w:val="0"/>
                                                  <w:marRight w:val="0"/>
                                                  <w:marTop w:val="0"/>
                                                  <w:marBottom w:val="0"/>
                                                  <w:divBdr>
                                                    <w:top w:val="none" w:sz="0" w:space="0" w:color="auto"/>
                                                    <w:left w:val="none" w:sz="0" w:space="0" w:color="auto"/>
                                                    <w:bottom w:val="none" w:sz="0" w:space="0" w:color="auto"/>
                                                    <w:right w:val="none" w:sz="0" w:space="0" w:color="auto"/>
                                                  </w:divBdr>
                                                </w:div>
                                              </w:divsChild>
                                            </w:div>
                                            <w:div w:id="509029539">
                                              <w:marLeft w:val="0"/>
                                              <w:marRight w:val="0"/>
                                              <w:marTop w:val="0"/>
                                              <w:marBottom w:val="0"/>
                                              <w:divBdr>
                                                <w:top w:val="none" w:sz="0" w:space="0" w:color="auto"/>
                                                <w:left w:val="none" w:sz="0" w:space="0" w:color="auto"/>
                                                <w:bottom w:val="none" w:sz="0" w:space="0" w:color="auto"/>
                                                <w:right w:val="none" w:sz="0" w:space="0" w:color="auto"/>
                                              </w:divBdr>
                                              <w:divsChild>
                                                <w:div w:id="2108041690">
                                                  <w:marLeft w:val="0"/>
                                                  <w:marRight w:val="0"/>
                                                  <w:marTop w:val="0"/>
                                                  <w:marBottom w:val="0"/>
                                                  <w:divBdr>
                                                    <w:top w:val="none" w:sz="0" w:space="0" w:color="auto"/>
                                                    <w:left w:val="none" w:sz="0" w:space="0" w:color="auto"/>
                                                    <w:bottom w:val="none" w:sz="0" w:space="0" w:color="auto"/>
                                                    <w:right w:val="none" w:sz="0" w:space="0" w:color="auto"/>
                                                  </w:divBdr>
                                                </w:div>
                                              </w:divsChild>
                                            </w:div>
                                            <w:div w:id="2070112418">
                                              <w:marLeft w:val="0"/>
                                              <w:marRight w:val="0"/>
                                              <w:marTop w:val="0"/>
                                              <w:marBottom w:val="0"/>
                                              <w:divBdr>
                                                <w:top w:val="none" w:sz="0" w:space="0" w:color="auto"/>
                                                <w:left w:val="none" w:sz="0" w:space="0" w:color="auto"/>
                                                <w:bottom w:val="none" w:sz="0" w:space="0" w:color="auto"/>
                                                <w:right w:val="none" w:sz="0" w:space="0" w:color="auto"/>
                                              </w:divBdr>
                                              <w:divsChild>
                                                <w:div w:id="2072651291">
                                                  <w:marLeft w:val="0"/>
                                                  <w:marRight w:val="0"/>
                                                  <w:marTop w:val="0"/>
                                                  <w:marBottom w:val="0"/>
                                                  <w:divBdr>
                                                    <w:top w:val="none" w:sz="0" w:space="0" w:color="auto"/>
                                                    <w:left w:val="none" w:sz="0" w:space="0" w:color="auto"/>
                                                    <w:bottom w:val="none" w:sz="0" w:space="0" w:color="auto"/>
                                                    <w:right w:val="none" w:sz="0" w:space="0" w:color="auto"/>
                                                  </w:divBdr>
                                                </w:div>
                                              </w:divsChild>
                                            </w:div>
                                            <w:div w:id="1553343799">
                                              <w:marLeft w:val="0"/>
                                              <w:marRight w:val="0"/>
                                              <w:marTop w:val="0"/>
                                              <w:marBottom w:val="0"/>
                                              <w:divBdr>
                                                <w:top w:val="none" w:sz="0" w:space="0" w:color="auto"/>
                                                <w:left w:val="none" w:sz="0" w:space="0" w:color="auto"/>
                                                <w:bottom w:val="none" w:sz="0" w:space="0" w:color="auto"/>
                                                <w:right w:val="none" w:sz="0" w:space="0" w:color="auto"/>
                                              </w:divBdr>
                                              <w:divsChild>
                                                <w:div w:id="1158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587860">
      <w:bodyDiv w:val="1"/>
      <w:marLeft w:val="0"/>
      <w:marRight w:val="0"/>
      <w:marTop w:val="0"/>
      <w:marBottom w:val="0"/>
      <w:divBdr>
        <w:top w:val="none" w:sz="0" w:space="0" w:color="auto"/>
        <w:left w:val="none" w:sz="0" w:space="0" w:color="auto"/>
        <w:bottom w:val="none" w:sz="0" w:space="0" w:color="auto"/>
        <w:right w:val="none" w:sz="0" w:space="0" w:color="auto"/>
      </w:divBdr>
      <w:divsChild>
        <w:div w:id="49764794">
          <w:marLeft w:val="0"/>
          <w:marRight w:val="0"/>
          <w:marTop w:val="0"/>
          <w:marBottom w:val="0"/>
          <w:divBdr>
            <w:top w:val="none" w:sz="0" w:space="0" w:color="auto"/>
            <w:left w:val="none" w:sz="0" w:space="0" w:color="auto"/>
            <w:bottom w:val="none" w:sz="0" w:space="0" w:color="auto"/>
            <w:right w:val="none" w:sz="0" w:space="0" w:color="auto"/>
          </w:divBdr>
          <w:divsChild>
            <w:div w:id="1912883472">
              <w:marLeft w:val="0"/>
              <w:marRight w:val="0"/>
              <w:marTop w:val="0"/>
              <w:marBottom w:val="0"/>
              <w:divBdr>
                <w:top w:val="none" w:sz="0" w:space="0" w:color="auto"/>
                <w:left w:val="none" w:sz="0" w:space="0" w:color="auto"/>
                <w:bottom w:val="none" w:sz="0" w:space="0" w:color="auto"/>
                <w:right w:val="none" w:sz="0" w:space="0" w:color="auto"/>
              </w:divBdr>
              <w:divsChild>
                <w:div w:id="1103187853">
                  <w:marLeft w:val="0"/>
                  <w:marRight w:val="0"/>
                  <w:marTop w:val="0"/>
                  <w:marBottom w:val="0"/>
                  <w:divBdr>
                    <w:top w:val="none" w:sz="0" w:space="0" w:color="auto"/>
                    <w:left w:val="none" w:sz="0" w:space="0" w:color="auto"/>
                    <w:bottom w:val="none" w:sz="0" w:space="0" w:color="auto"/>
                    <w:right w:val="none" w:sz="0" w:space="0" w:color="auto"/>
                  </w:divBdr>
                  <w:divsChild>
                    <w:div w:id="1223059431">
                      <w:marLeft w:val="0"/>
                      <w:marRight w:val="0"/>
                      <w:marTop w:val="0"/>
                      <w:marBottom w:val="0"/>
                      <w:divBdr>
                        <w:top w:val="none" w:sz="0" w:space="0" w:color="auto"/>
                        <w:left w:val="none" w:sz="0" w:space="0" w:color="auto"/>
                        <w:bottom w:val="none" w:sz="0" w:space="0" w:color="auto"/>
                        <w:right w:val="none" w:sz="0" w:space="0" w:color="auto"/>
                      </w:divBdr>
                      <w:divsChild>
                        <w:div w:id="1712726504">
                          <w:marLeft w:val="0"/>
                          <w:marRight w:val="0"/>
                          <w:marTop w:val="0"/>
                          <w:marBottom w:val="0"/>
                          <w:divBdr>
                            <w:top w:val="none" w:sz="0" w:space="0" w:color="auto"/>
                            <w:left w:val="none" w:sz="0" w:space="0" w:color="auto"/>
                            <w:bottom w:val="none" w:sz="0" w:space="0" w:color="auto"/>
                            <w:right w:val="none" w:sz="0" w:space="0" w:color="auto"/>
                          </w:divBdr>
                          <w:divsChild>
                            <w:div w:id="1112940645">
                              <w:marLeft w:val="0"/>
                              <w:marRight w:val="0"/>
                              <w:marTop w:val="0"/>
                              <w:marBottom w:val="0"/>
                              <w:divBdr>
                                <w:top w:val="none" w:sz="0" w:space="0" w:color="auto"/>
                                <w:left w:val="none" w:sz="0" w:space="0" w:color="auto"/>
                                <w:bottom w:val="none" w:sz="0" w:space="0" w:color="auto"/>
                                <w:right w:val="none" w:sz="0" w:space="0" w:color="auto"/>
                              </w:divBdr>
                              <w:divsChild>
                                <w:div w:id="141703637">
                                  <w:marLeft w:val="0"/>
                                  <w:marRight w:val="0"/>
                                  <w:marTop w:val="0"/>
                                  <w:marBottom w:val="0"/>
                                  <w:divBdr>
                                    <w:top w:val="none" w:sz="0" w:space="0" w:color="auto"/>
                                    <w:left w:val="none" w:sz="0" w:space="0" w:color="auto"/>
                                    <w:bottom w:val="none" w:sz="0" w:space="0" w:color="auto"/>
                                    <w:right w:val="none" w:sz="0" w:space="0" w:color="auto"/>
                                  </w:divBdr>
                                  <w:divsChild>
                                    <w:div w:id="37552809">
                                      <w:marLeft w:val="0"/>
                                      <w:marRight w:val="0"/>
                                      <w:marTop w:val="0"/>
                                      <w:marBottom w:val="0"/>
                                      <w:divBdr>
                                        <w:top w:val="none" w:sz="0" w:space="0" w:color="auto"/>
                                        <w:left w:val="none" w:sz="0" w:space="0" w:color="auto"/>
                                        <w:bottom w:val="none" w:sz="0" w:space="0" w:color="auto"/>
                                        <w:right w:val="none" w:sz="0" w:space="0" w:color="auto"/>
                                      </w:divBdr>
                                      <w:divsChild>
                                        <w:div w:id="653264139">
                                          <w:marLeft w:val="0"/>
                                          <w:marRight w:val="0"/>
                                          <w:marTop w:val="0"/>
                                          <w:marBottom w:val="0"/>
                                          <w:divBdr>
                                            <w:top w:val="none" w:sz="0" w:space="0" w:color="auto"/>
                                            <w:left w:val="none" w:sz="0" w:space="0" w:color="auto"/>
                                            <w:bottom w:val="none" w:sz="0" w:space="0" w:color="auto"/>
                                            <w:right w:val="none" w:sz="0" w:space="0" w:color="auto"/>
                                          </w:divBdr>
                                          <w:divsChild>
                                            <w:div w:id="1242175110">
                                              <w:marLeft w:val="0"/>
                                              <w:marRight w:val="0"/>
                                              <w:marTop w:val="0"/>
                                              <w:marBottom w:val="0"/>
                                              <w:divBdr>
                                                <w:top w:val="none" w:sz="0" w:space="0" w:color="auto"/>
                                                <w:left w:val="none" w:sz="0" w:space="0" w:color="auto"/>
                                                <w:bottom w:val="none" w:sz="0" w:space="0" w:color="auto"/>
                                                <w:right w:val="none" w:sz="0" w:space="0" w:color="auto"/>
                                              </w:divBdr>
                                              <w:divsChild>
                                                <w:div w:id="557939692">
                                                  <w:marLeft w:val="0"/>
                                                  <w:marRight w:val="0"/>
                                                  <w:marTop w:val="0"/>
                                                  <w:marBottom w:val="0"/>
                                                  <w:divBdr>
                                                    <w:top w:val="none" w:sz="0" w:space="0" w:color="auto"/>
                                                    <w:left w:val="none" w:sz="0" w:space="0" w:color="auto"/>
                                                    <w:bottom w:val="none" w:sz="0" w:space="0" w:color="auto"/>
                                                    <w:right w:val="none" w:sz="0" w:space="0" w:color="auto"/>
                                                  </w:divBdr>
                                                  <w:divsChild>
                                                    <w:div w:id="289434509">
                                                      <w:marLeft w:val="0"/>
                                                      <w:marRight w:val="0"/>
                                                      <w:marTop w:val="0"/>
                                                      <w:marBottom w:val="0"/>
                                                      <w:divBdr>
                                                        <w:top w:val="none" w:sz="0" w:space="0" w:color="auto"/>
                                                        <w:left w:val="none" w:sz="0" w:space="0" w:color="auto"/>
                                                        <w:bottom w:val="none" w:sz="0" w:space="0" w:color="auto"/>
                                                        <w:right w:val="none" w:sz="0" w:space="0" w:color="auto"/>
                                                      </w:divBdr>
                                                      <w:divsChild>
                                                        <w:div w:id="1966807095">
                                                          <w:marLeft w:val="0"/>
                                                          <w:marRight w:val="0"/>
                                                          <w:marTop w:val="0"/>
                                                          <w:marBottom w:val="0"/>
                                                          <w:divBdr>
                                                            <w:top w:val="none" w:sz="0" w:space="0" w:color="auto"/>
                                                            <w:left w:val="none" w:sz="0" w:space="0" w:color="auto"/>
                                                            <w:bottom w:val="none" w:sz="0" w:space="0" w:color="auto"/>
                                                            <w:right w:val="none" w:sz="0" w:space="0" w:color="auto"/>
                                                          </w:divBdr>
                                                          <w:divsChild>
                                                            <w:div w:id="1712225979">
                                                              <w:marLeft w:val="0"/>
                                                              <w:marRight w:val="0"/>
                                                              <w:marTop w:val="0"/>
                                                              <w:marBottom w:val="0"/>
                                                              <w:divBdr>
                                                                <w:top w:val="none" w:sz="0" w:space="0" w:color="auto"/>
                                                                <w:left w:val="none" w:sz="0" w:space="0" w:color="auto"/>
                                                                <w:bottom w:val="none" w:sz="0" w:space="0" w:color="auto"/>
                                                                <w:right w:val="none" w:sz="0" w:space="0" w:color="auto"/>
                                                              </w:divBdr>
                                                              <w:divsChild>
                                                                <w:div w:id="524825222">
                                                                  <w:marLeft w:val="0"/>
                                                                  <w:marRight w:val="0"/>
                                                                  <w:marTop w:val="0"/>
                                                                  <w:marBottom w:val="0"/>
                                                                  <w:divBdr>
                                                                    <w:top w:val="none" w:sz="0" w:space="0" w:color="auto"/>
                                                                    <w:left w:val="none" w:sz="0" w:space="0" w:color="auto"/>
                                                                    <w:bottom w:val="none" w:sz="0" w:space="0" w:color="auto"/>
                                                                    <w:right w:val="none" w:sz="0" w:space="0" w:color="auto"/>
                                                                  </w:divBdr>
                                                                  <w:divsChild>
                                                                    <w:div w:id="1241719284">
                                                                      <w:marLeft w:val="0"/>
                                                                      <w:marRight w:val="0"/>
                                                                      <w:marTop w:val="0"/>
                                                                      <w:marBottom w:val="0"/>
                                                                      <w:divBdr>
                                                                        <w:top w:val="single" w:sz="6" w:space="8" w:color="E0E0E0"/>
                                                                        <w:left w:val="none" w:sz="0" w:space="0" w:color="auto"/>
                                                                        <w:bottom w:val="none" w:sz="0" w:space="0" w:color="auto"/>
                                                                        <w:right w:val="none" w:sz="0" w:space="0" w:color="auto"/>
                                                                      </w:divBdr>
                                                                      <w:divsChild>
                                                                        <w:div w:id="2126272597">
                                                                          <w:marLeft w:val="0"/>
                                                                          <w:marRight w:val="0"/>
                                                                          <w:marTop w:val="0"/>
                                                                          <w:marBottom w:val="0"/>
                                                                          <w:divBdr>
                                                                            <w:top w:val="none" w:sz="0" w:space="0" w:color="auto"/>
                                                                            <w:left w:val="none" w:sz="0" w:space="0" w:color="auto"/>
                                                                            <w:bottom w:val="none" w:sz="0" w:space="0" w:color="auto"/>
                                                                            <w:right w:val="none" w:sz="0" w:space="0" w:color="auto"/>
                                                                          </w:divBdr>
                                                                          <w:divsChild>
                                                                            <w:div w:id="1721633232">
                                                                              <w:marLeft w:val="0"/>
                                                                              <w:marRight w:val="0"/>
                                                                              <w:marTop w:val="0"/>
                                                                              <w:marBottom w:val="0"/>
                                                                              <w:divBdr>
                                                                                <w:top w:val="none" w:sz="0" w:space="0" w:color="auto"/>
                                                                                <w:left w:val="none" w:sz="0" w:space="0" w:color="auto"/>
                                                                                <w:bottom w:val="none" w:sz="0" w:space="0" w:color="auto"/>
                                                                                <w:right w:val="none" w:sz="0" w:space="0" w:color="auto"/>
                                                                              </w:divBdr>
                                                                              <w:divsChild>
                                                                                <w:div w:id="1406220318">
                                                                                  <w:marLeft w:val="0"/>
                                                                                  <w:marRight w:val="0"/>
                                                                                  <w:marTop w:val="0"/>
                                                                                  <w:marBottom w:val="0"/>
                                                                                  <w:divBdr>
                                                                                    <w:top w:val="none" w:sz="0" w:space="0" w:color="auto"/>
                                                                                    <w:left w:val="none" w:sz="0" w:space="0" w:color="auto"/>
                                                                                    <w:bottom w:val="none" w:sz="0" w:space="0" w:color="auto"/>
                                                                                    <w:right w:val="none" w:sz="0" w:space="0" w:color="auto"/>
                                                                                  </w:divBdr>
                                                                                  <w:divsChild>
                                                                                    <w:div w:id="1877351845">
                                                                                      <w:marLeft w:val="0"/>
                                                                                      <w:marRight w:val="0"/>
                                                                                      <w:marTop w:val="0"/>
                                                                                      <w:marBottom w:val="0"/>
                                                                                      <w:divBdr>
                                                                                        <w:top w:val="none" w:sz="0" w:space="0" w:color="auto"/>
                                                                                        <w:left w:val="none" w:sz="0" w:space="0" w:color="auto"/>
                                                                                        <w:bottom w:val="none" w:sz="0" w:space="0" w:color="auto"/>
                                                                                        <w:right w:val="none" w:sz="0" w:space="0" w:color="auto"/>
                                                                                      </w:divBdr>
                                                                                      <w:divsChild>
                                                                                        <w:div w:id="14690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624805">
      <w:bodyDiv w:val="1"/>
      <w:marLeft w:val="0"/>
      <w:marRight w:val="0"/>
      <w:marTop w:val="0"/>
      <w:marBottom w:val="0"/>
      <w:divBdr>
        <w:top w:val="none" w:sz="0" w:space="0" w:color="auto"/>
        <w:left w:val="none" w:sz="0" w:space="0" w:color="auto"/>
        <w:bottom w:val="none" w:sz="0" w:space="0" w:color="auto"/>
        <w:right w:val="none" w:sz="0" w:space="0" w:color="auto"/>
      </w:divBdr>
      <w:divsChild>
        <w:div w:id="971449111">
          <w:marLeft w:val="0"/>
          <w:marRight w:val="0"/>
          <w:marTop w:val="0"/>
          <w:marBottom w:val="0"/>
          <w:divBdr>
            <w:top w:val="none" w:sz="0" w:space="0" w:color="auto"/>
            <w:left w:val="none" w:sz="0" w:space="0" w:color="auto"/>
            <w:bottom w:val="none" w:sz="0" w:space="0" w:color="auto"/>
            <w:right w:val="none" w:sz="0" w:space="0" w:color="auto"/>
          </w:divBdr>
          <w:divsChild>
            <w:div w:id="539131631">
              <w:marLeft w:val="0"/>
              <w:marRight w:val="0"/>
              <w:marTop w:val="0"/>
              <w:marBottom w:val="0"/>
              <w:divBdr>
                <w:top w:val="none" w:sz="0" w:space="0" w:color="auto"/>
                <w:left w:val="none" w:sz="0" w:space="0" w:color="auto"/>
                <w:bottom w:val="none" w:sz="0" w:space="0" w:color="auto"/>
                <w:right w:val="none" w:sz="0" w:space="0" w:color="auto"/>
              </w:divBdr>
              <w:divsChild>
                <w:div w:id="1726296469">
                  <w:marLeft w:val="0"/>
                  <w:marRight w:val="0"/>
                  <w:marTop w:val="0"/>
                  <w:marBottom w:val="0"/>
                  <w:divBdr>
                    <w:top w:val="none" w:sz="0" w:space="0" w:color="auto"/>
                    <w:left w:val="none" w:sz="0" w:space="0" w:color="auto"/>
                    <w:bottom w:val="none" w:sz="0" w:space="0" w:color="auto"/>
                    <w:right w:val="none" w:sz="0" w:space="0" w:color="auto"/>
                  </w:divBdr>
                </w:div>
                <w:div w:id="223956361">
                  <w:marLeft w:val="0"/>
                  <w:marRight w:val="0"/>
                  <w:marTop w:val="0"/>
                  <w:marBottom w:val="0"/>
                  <w:divBdr>
                    <w:top w:val="none" w:sz="0" w:space="0" w:color="auto"/>
                    <w:left w:val="none" w:sz="0" w:space="0" w:color="auto"/>
                    <w:bottom w:val="none" w:sz="0" w:space="0" w:color="auto"/>
                    <w:right w:val="none" w:sz="0" w:space="0" w:color="auto"/>
                  </w:divBdr>
                  <w:divsChild>
                    <w:div w:id="729353832">
                      <w:marLeft w:val="0"/>
                      <w:marRight w:val="0"/>
                      <w:marTop w:val="0"/>
                      <w:marBottom w:val="0"/>
                      <w:divBdr>
                        <w:top w:val="none" w:sz="0" w:space="0" w:color="auto"/>
                        <w:left w:val="none" w:sz="0" w:space="0" w:color="auto"/>
                        <w:bottom w:val="none" w:sz="0" w:space="0" w:color="auto"/>
                        <w:right w:val="none" w:sz="0" w:space="0" w:color="auto"/>
                      </w:divBdr>
                    </w:div>
                    <w:div w:id="980696899">
                      <w:marLeft w:val="0"/>
                      <w:marRight w:val="0"/>
                      <w:marTop w:val="0"/>
                      <w:marBottom w:val="0"/>
                      <w:divBdr>
                        <w:top w:val="none" w:sz="0" w:space="0" w:color="auto"/>
                        <w:left w:val="none" w:sz="0" w:space="0" w:color="auto"/>
                        <w:bottom w:val="none" w:sz="0" w:space="0" w:color="auto"/>
                        <w:right w:val="none" w:sz="0" w:space="0" w:color="auto"/>
                      </w:divBdr>
                    </w:div>
                  </w:divsChild>
                </w:div>
                <w:div w:id="9841855">
                  <w:marLeft w:val="0"/>
                  <w:marRight w:val="0"/>
                  <w:marTop w:val="0"/>
                  <w:marBottom w:val="0"/>
                  <w:divBdr>
                    <w:top w:val="none" w:sz="0" w:space="0" w:color="auto"/>
                    <w:left w:val="none" w:sz="0" w:space="0" w:color="auto"/>
                    <w:bottom w:val="none" w:sz="0" w:space="0" w:color="auto"/>
                    <w:right w:val="none" w:sz="0" w:space="0" w:color="auto"/>
                  </w:divBdr>
                  <w:divsChild>
                    <w:div w:id="784156268">
                      <w:marLeft w:val="0"/>
                      <w:marRight w:val="0"/>
                      <w:marTop w:val="0"/>
                      <w:marBottom w:val="0"/>
                      <w:divBdr>
                        <w:top w:val="none" w:sz="0" w:space="0" w:color="auto"/>
                        <w:left w:val="none" w:sz="0" w:space="0" w:color="auto"/>
                        <w:bottom w:val="none" w:sz="0" w:space="0" w:color="auto"/>
                        <w:right w:val="none" w:sz="0" w:space="0" w:color="auto"/>
                      </w:divBdr>
                    </w:div>
                    <w:div w:id="658532656">
                      <w:marLeft w:val="0"/>
                      <w:marRight w:val="0"/>
                      <w:marTop w:val="0"/>
                      <w:marBottom w:val="0"/>
                      <w:divBdr>
                        <w:top w:val="none" w:sz="0" w:space="0" w:color="auto"/>
                        <w:left w:val="none" w:sz="0" w:space="0" w:color="auto"/>
                        <w:bottom w:val="none" w:sz="0" w:space="0" w:color="auto"/>
                        <w:right w:val="none" w:sz="0" w:space="0" w:color="auto"/>
                      </w:divBdr>
                    </w:div>
                  </w:divsChild>
                </w:div>
                <w:div w:id="653990458">
                  <w:marLeft w:val="0"/>
                  <w:marRight w:val="0"/>
                  <w:marTop w:val="0"/>
                  <w:marBottom w:val="0"/>
                  <w:divBdr>
                    <w:top w:val="none" w:sz="0" w:space="0" w:color="auto"/>
                    <w:left w:val="none" w:sz="0" w:space="0" w:color="auto"/>
                    <w:bottom w:val="none" w:sz="0" w:space="0" w:color="auto"/>
                    <w:right w:val="none" w:sz="0" w:space="0" w:color="auto"/>
                  </w:divBdr>
                </w:div>
                <w:div w:id="497381416">
                  <w:marLeft w:val="0"/>
                  <w:marRight w:val="0"/>
                  <w:marTop w:val="0"/>
                  <w:marBottom w:val="0"/>
                  <w:divBdr>
                    <w:top w:val="none" w:sz="0" w:space="0" w:color="auto"/>
                    <w:left w:val="none" w:sz="0" w:space="0" w:color="auto"/>
                    <w:bottom w:val="none" w:sz="0" w:space="0" w:color="auto"/>
                    <w:right w:val="none" w:sz="0" w:space="0" w:color="auto"/>
                  </w:divBdr>
                  <w:divsChild>
                    <w:div w:id="573589891">
                      <w:marLeft w:val="0"/>
                      <w:marRight w:val="0"/>
                      <w:marTop w:val="0"/>
                      <w:marBottom w:val="0"/>
                      <w:divBdr>
                        <w:top w:val="none" w:sz="0" w:space="0" w:color="auto"/>
                        <w:left w:val="none" w:sz="0" w:space="0" w:color="auto"/>
                        <w:bottom w:val="none" w:sz="0" w:space="0" w:color="auto"/>
                        <w:right w:val="none" w:sz="0" w:space="0" w:color="auto"/>
                      </w:divBdr>
                    </w:div>
                    <w:div w:id="1224872198">
                      <w:marLeft w:val="0"/>
                      <w:marRight w:val="0"/>
                      <w:marTop w:val="0"/>
                      <w:marBottom w:val="0"/>
                      <w:divBdr>
                        <w:top w:val="none" w:sz="0" w:space="0" w:color="auto"/>
                        <w:left w:val="none" w:sz="0" w:space="0" w:color="auto"/>
                        <w:bottom w:val="none" w:sz="0" w:space="0" w:color="auto"/>
                        <w:right w:val="none" w:sz="0" w:space="0" w:color="auto"/>
                      </w:divBdr>
                    </w:div>
                  </w:divsChild>
                </w:div>
                <w:div w:id="1312828111">
                  <w:marLeft w:val="0"/>
                  <w:marRight w:val="0"/>
                  <w:marTop w:val="0"/>
                  <w:marBottom w:val="0"/>
                  <w:divBdr>
                    <w:top w:val="none" w:sz="0" w:space="0" w:color="auto"/>
                    <w:left w:val="none" w:sz="0" w:space="0" w:color="auto"/>
                    <w:bottom w:val="none" w:sz="0" w:space="0" w:color="auto"/>
                    <w:right w:val="none" w:sz="0" w:space="0" w:color="auto"/>
                  </w:divBdr>
                </w:div>
                <w:div w:id="311718157">
                  <w:marLeft w:val="0"/>
                  <w:marRight w:val="0"/>
                  <w:marTop w:val="0"/>
                  <w:marBottom w:val="0"/>
                  <w:divBdr>
                    <w:top w:val="none" w:sz="0" w:space="0" w:color="auto"/>
                    <w:left w:val="none" w:sz="0" w:space="0" w:color="auto"/>
                    <w:bottom w:val="none" w:sz="0" w:space="0" w:color="auto"/>
                    <w:right w:val="none" w:sz="0" w:space="0" w:color="auto"/>
                  </w:divBdr>
                  <w:divsChild>
                    <w:div w:id="1645889444">
                      <w:marLeft w:val="0"/>
                      <w:marRight w:val="0"/>
                      <w:marTop w:val="0"/>
                      <w:marBottom w:val="0"/>
                      <w:divBdr>
                        <w:top w:val="none" w:sz="0" w:space="0" w:color="auto"/>
                        <w:left w:val="none" w:sz="0" w:space="0" w:color="auto"/>
                        <w:bottom w:val="none" w:sz="0" w:space="0" w:color="auto"/>
                        <w:right w:val="none" w:sz="0" w:space="0" w:color="auto"/>
                      </w:divBdr>
                    </w:div>
                    <w:div w:id="1908374717">
                      <w:marLeft w:val="0"/>
                      <w:marRight w:val="0"/>
                      <w:marTop w:val="0"/>
                      <w:marBottom w:val="0"/>
                      <w:divBdr>
                        <w:top w:val="none" w:sz="0" w:space="0" w:color="auto"/>
                        <w:left w:val="none" w:sz="0" w:space="0" w:color="auto"/>
                        <w:bottom w:val="none" w:sz="0" w:space="0" w:color="auto"/>
                        <w:right w:val="none" w:sz="0" w:space="0" w:color="auto"/>
                      </w:divBdr>
                    </w:div>
                  </w:divsChild>
                </w:div>
                <w:div w:id="400177999">
                  <w:marLeft w:val="0"/>
                  <w:marRight w:val="0"/>
                  <w:marTop w:val="0"/>
                  <w:marBottom w:val="0"/>
                  <w:divBdr>
                    <w:top w:val="none" w:sz="0" w:space="0" w:color="auto"/>
                    <w:left w:val="none" w:sz="0" w:space="0" w:color="auto"/>
                    <w:bottom w:val="none" w:sz="0" w:space="0" w:color="auto"/>
                    <w:right w:val="none" w:sz="0" w:space="0" w:color="auto"/>
                  </w:divBdr>
                  <w:divsChild>
                    <w:div w:id="813836800">
                      <w:marLeft w:val="0"/>
                      <w:marRight w:val="0"/>
                      <w:marTop w:val="0"/>
                      <w:marBottom w:val="0"/>
                      <w:divBdr>
                        <w:top w:val="none" w:sz="0" w:space="0" w:color="auto"/>
                        <w:left w:val="none" w:sz="0" w:space="0" w:color="auto"/>
                        <w:bottom w:val="none" w:sz="0" w:space="0" w:color="auto"/>
                        <w:right w:val="none" w:sz="0" w:space="0" w:color="auto"/>
                      </w:divBdr>
                    </w:div>
                    <w:div w:id="1363745708">
                      <w:marLeft w:val="0"/>
                      <w:marRight w:val="0"/>
                      <w:marTop w:val="0"/>
                      <w:marBottom w:val="0"/>
                      <w:divBdr>
                        <w:top w:val="none" w:sz="0" w:space="0" w:color="auto"/>
                        <w:left w:val="none" w:sz="0" w:space="0" w:color="auto"/>
                        <w:bottom w:val="none" w:sz="0" w:space="0" w:color="auto"/>
                        <w:right w:val="none" w:sz="0" w:space="0" w:color="auto"/>
                      </w:divBdr>
                    </w:div>
                  </w:divsChild>
                </w:div>
                <w:div w:id="683363928">
                  <w:marLeft w:val="0"/>
                  <w:marRight w:val="0"/>
                  <w:marTop w:val="0"/>
                  <w:marBottom w:val="0"/>
                  <w:divBdr>
                    <w:top w:val="none" w:sz="0" w:space="0" w:color="auto"/>
                    <w:left w:val="none" w:sz="0" w:space="0" w:color="auto"/>
                    <w:bottom w:val="none" w:sz="0" w:space="0" w:color="auto"/>
                    <w:right w:val="none" w:sz="0" w:space="0" w:color="auto"/>
                  </w:divBdr>
                  <w:divsChild>
                    <w:div w:id="1867449032">
                      <w:marLeft w:val="0"/>
                      <w:marRight w:val="0"/>
                      <w:marTop w:val="0"/>
                      <w:marBottom w:val="0"/>
                      <w:divBdr>
                        <w:top w:val="none" w:sz="0" w:space="0" w:color="auto"/>
                        <w:left w:val="none" w:sz="0" w:space="0" w:color="auto"/>
                        <w:bottom w:val="none" w:sz="0" w:space="0" w:color="auto"/>
                        <w:right w:val="none" w:sz="0" w:space="0" w:color="auto"/>
                      </w:divBdr>
                    </w:div>
                    <w:div w:id="764763000">
                      <w:marLeft w:val="0"/>
                      <w:marRight w:val="0"/>
                      <w:marTop w:val="0"/>
                      <w:marBottom w:val="0"/>
                      <w:divBdr>
                        <w:top w:val="none" w:sz="0" w:space="0" w:color="auto"/>
                        <w:left w:val="none" w:sz="0" w:space="0" w:color="auto"/>
                        <w:bottom w:val="none" w:sz="0" w:space="0" w:color="auto"/>
                        <w:right w:val="none" w:sz="0" w:space="0" w:color="auto"/>
                      </w:divBdr>
                    </w:div>
                  </w:divsChild>
                </w:div>
                <w:div w:id="483744568">
                  <w:marLeft w:val="0"/>
                  <w:marRight w:val="0"/>
                  <w:marTop w:val="0"/>
                  <w:marBottom w:val="0"/>
                  <w:divBdr>
                    <w:top w:val="none" w:sz="0" w:space="0" w:color="auto"/>
                    <w:left w:val="none" w:sz="0" w:space="0" w:color="auto"/>
                    <w:bottom w:val="none" w:sz="0" w:space="0" w:color="auto"/>
                    <w:right w:val="none" w:sz="0" w:space="0" w:color="auto"/>
                  </w:divBdr>
                  <w:divsChild>
                    <w:div w:id="889070652">
                      <w:marLeft w:val="0"/>
                      <w:marRight w:val="0"/>
                      <w:marTop w:val="0"/>
                      <w:marBottom w:val="0"/>
                      <w:divBdr>
                        <w:top w:val="none" w:sz="0" w:space="0" w:color="auto"/>
                        <w:left w:val="none" w:sz="0" w:space="0" w:color="auto"/>
                        <w:bottom w:val="none" w:sz="0" w:space="0" w:color="auto"/>
                        <w:right w:val="none" w:sz="0" w:space="0" w:color="auto"/>
                      </w:divBdr>
                    </w:div>
                    <w:div w:id="451873433">
                      <w:marLeft w:val="0"/>
                      <w:marRight w:val="0"/>
                      <w:marTop w:val="0"/>
                      <w:marBottom w:val="0"/>
                      <w:divBdr>
                        <w:top w:val="none" w:sz="0" w:space="0" w:color="auto"/>
                        <w:left w:val="none" w:sz="0" w:space="0" w:color="auto"/>
                        <w:bottom w:val="none" w:sz="0" w:space="0" w:color="auto"/>
                        <w:right w:val="none" w:sz="0" w:space="0" w:color="auto"/>
                      </w:divBdr>
                    </w:div>
                  </w:divsChild>
                </w:div>
                <w:div w:id="179854373">
                  <w:marLeft w:val="0"/>
                  <w:marRight w:val="0"/>
                  <w:marTop w:val="0"/>
                  <w:marBottom w:val="0"/>
                  <w:divBdr>
                    <w:top w:val="none" w:sz="0" w:space="0" w:color="auto"/>
                    <w:left w:val="none" w:sz="0" w:space="0" w:color="auto"/>
                    <w:bottom w:val="none" w:sz="0" w:space="0" w:color="auto"/>
                    <w:right w:val="none" w:sz="0" w:space="0" w:color="auto"/>
                  </w:divBdr>
                  <w:divsChild>
                    <w:div w:id="302085604">
                      <w:marLeft w:val="0"/>
                      <w:marRight w:val="0"/>
                      <w:marTop w:val="0"/>
                      <w:marBottom w:val="0"/>
                      <w:divBdr>
                        <w:top w:val="none" w:sz="0" w:space="0" w:color="auto"/>
                        <w:left w:val="none" w:sz="0" w:space="0" w:color="auto"/>
                        <w:bottom w:val="none" w:sz="0" w:space="0" w:color="auto"/>
                        <w:right w:val="none" w:sz="0" w:space="0" w:color="auto"/>
                      </w:divBdr>
                    </w:div>
                    <w:div w:id="1193692339">
                      <w:marLeft w:val="0"/>
                      <w:marRight w:val="0"/>
                      <w:marTop w:val="0"/>
                      <w:marBottom w:val="0"/>
                      <w:divBdr>
                        <w:top w:val="none" w:sz="0" w:space="0" w:color="auto"/>
                        <w:left w:val="none" w:sz="0" w:space="0" w:color="auto"/>
                        <w:bottom w:val="none" w:sz="0" w:space="0" w:color="auto"/>
                        <w:right w:val="none" w:sz="0" w:space="0" w:color="auto"/>
                      </w:divBdr>
                    </w:div>
                  </w:divsChild>
                </w:div>
                <w:div w:id="642085159">
                  <w:marLeft w:val="0"/>
                  <w:marRight w:val="0"/>
                  <w:marTop w:val="0"/>
                  <w:marBottom w:val="0"/>
                  <w:divBdr>
                    <w:top w:val="none" w:sz="0" w:space="0" w:color="auto"/>
                    <w:left w:val="none" w:sz="0" w:space="0" w:color="auto"/>
                    <w:bottom w:val="none" w:sz="0" w:space="0" w:color="auto"/>
                    <w:right w:val="none" w:sz="0" w:space="0" w:color="auto"/>
                  </w:divBdr>
                  <w:divsChild>
                    <w:div w:id="711461000">
                      <w:marLeft w:val="0"/>
                      <w:marRight w:val="0"/>
                      <w:marTop w:val="0"/>
                      <w:marBottom w:val="0"/>
                      <w:divBdr>
                        <w:top w:val="none" w:sz="0" w:space="0" w:color="auto"/>
                        <w:left w:val="none" w:sz="0" w:space="0" w:color="auto"/>
                        <w:bottom w:val="none" w:sz="0" w:space="0" w:color="auto"/>
                        <w:right w:val="none" w:sz="0" w:space="0" w:color="auto"/>
                      </w:divBdr>
                    </w:div>
                    <w:div w:id="1343165879">
                      <w:marLeft w:val="0"/>
                      <w:marRight w:val="0"/>
                      <w:marTop w:val="0"/>
                      <w:marBottom w:val="0"/>
                      <w:divBdr>
                        <w:top w:val="none" w:sz="0" w:space="0" w:color="auto"/>
                        <w:left w:val="none" w:sz="0" w:space="0" w:color="auto"/>
                        <w:bottom w:val="none" w:sz="0" w:space="0" w:color="auto"/>
                        <w:right w:val="none" w:sz="0" w:space="0" w:color="auto"/>
                      </w:divBdr>
                    </w:div>
                  </w:divsChild>
                </w:div>
                <w:div w:id="1806435361">
                  <w:marLeft w:val="0"/>
                  <w:marRight w:val="0"/>
                  <w:marTop w:val="0"/>
                  <w:marBottom w:val="0"/>
                  <w:divBdr>
                    <w:top w:val="none" w:sz="0" w:space="0" w:color="auto"/>
                    <w:left w:val="none" w:sz="0" w:space="0" w:color="auto"/>
                    <w:bottom w:val="none" w:sz="0" w:space="0" w:color="auto"/>
                    <w:right w:val="none" w:sz="0" w:space="0" w:color="auto"/>
                  </w:divBdr>
                  <w:divsChild>
                    <w:div w:id="410977648">
                      <w:marLeft w:val="0"/>
                      <w:marRight w:val="0"/>
                      <w:marTop w:val="0"/>
                      <w:marBottom w:val="0"/>
                      <w:divBdr>
                        <w:top w:val="none" w:sz="0" w:space="0" w:color="auto"/>
                        <w:left w:val="none" w:sz="0" w:space="0" w:color="auto"/>
                        <w:bottom w:val="none" w:sz="0" w:space="0" w:color="auto"/>
                        <w:right w:val="none" w:sz="0" w:space="0" w:color="auto"/>
                      </w:divBdr>
                    </w:div>
                    <w:div w:id="419301766">
                      <w:marLeft w:val="0"/>
                      <w:marRight w:val="0"/>
                      <w:marTop w:val="0"/>
                      <w:marBottom w:val="0"/>
                      <w:divBdr>
                        <w:top w:val="none" w:sz="0" w:space="0" w:color="auto"/>
                        <w:left w:val="none" w:sz="0" w:space="0" w:color="auto"/>
                        <w:bottom w:val="none" w:sz="0" w:space="0" w:color="auto"/>
                        <w:right w:val="none" w:sz="0" w:space="0" w:color="auto"/>
                      </w:divBdr>
                    </w:div>
                  </w:divsChild>
                </w:div>
                <w:div w:id="1129324306">
                  <w:marLeft w:val="0"/>
                  <w:marRight w:val="0"/>
                  <w:marTop w:val="0"/>
                  <w:marBottom w:val="0"/>
                  <w:divBdr>
                    <w:top w:val="none" w:sz="0" w:space="0" w:color="auto"/>
                    <w:left w:val="none" w:sz="0" w:space="0" w:color="auto"/>
                    <w:bottom w:val="none" w:sz="0" w:space="0" w:color="auto"/>
                    <w:right w:val="none" w:sz="0" w:space="0" w:color="auto"/>
                  </w:divBdr>
                  <w:divsChild>
                    <w:div w:id="36635682">
                      <w:marLeft w:val="0"/>
                      <w:marRight w:val="0"/>
                      <w:marTop w:val="0"/>
                      <w:marBottom w:val="0"/>
                      <w:divBdr>
                        <w:top w:val="none" w:sz="0" w:space="0" w:color="auto"/>
                        <w:left w:val="none" w:sz="0" w:space="0" w:color="auto"/>
                        <w:bottom w:val="none" w:sz="0" w:space="0" w:color="auto"/>
                        <w:right w:val="none" w:sz="0" w:space="0" w:color="auto"/>
                      </w:divBdr>
                    </w:div>
                    <w:div w:id="517043577">
                      <w:marLeft w:val="0"/>
                      <w:marRight w:val="0"/>
                      <w:marTop w:val="0"/>
                      <w:marBottom w:val="0"/>
                      <w:divBdr>
                        <w:top w:val="none" w:sz="0" w:space="0" w:color="auto"/>
                        <w:left w:val="none" w:sz="0" w:space="0" w:color="auto"/>
                        <w:bottom w:val="none" w:sz="0" w:space="0" w:color="auto"/>
                        <w:right w:val="none" w:sz="0" w:space="0" w:color="auto"/>
                      </w:divBdr>
                    </w:div>
                  </w:divsChild>
                </w:div>
                <w:div w:id="31544675">
                  <w:marLeft w:val="0"/>
                  <w:marRight w:val="0"/>
                  <w:marTop w:val="0"/>
                  <w:marBottom w:val="0"/>
                  <w:divBdr>
                    <w:top w:val="none" w:sz="0" w:space="0" w:color="auto"/>
                    <w:left w:val="none" w:sz="0" w:space="0" w:color="auto"/>
                    <w:bottom w:val="none" w:sz="0" w:space="0" w:color="auto"/>
                    <w:right w:val="none" w:sz="0" w:space="0" w:color="auto"/>
                  </w:divBdr>
                </w:div>
                <w:div w:id="171795766">
                  <w:marLeft w:val="0"/>
                  <w:marRight w:val="0"/>
                  <w:marTop w:val="0"/>
                  <w:marBottom w:val="0"/>
                  <w:divBdr>
                    <w:top w:val="none" w:sz="0" w:space="0" w:color="auto"/>
                    <w:left w:val="none" w:sz="0" w:space="0" w:color="auto"/>
                    <w:bottom w:val="none" w:sz="0" w:space="0" w:color="auto"/>
                    <w:right w:val="none" w:sz="0" w:space="0" w:color="auto"/>
                  </w:divBdr>
                  <w:divsChild>
                    <w:div w:id="1629899802">
                      <w:marLeft w:val="0"/>
                      <w:marRight w:val="0"/>
                      <w:marTop w:val="0"/>
                      <w:marBottom w:val="0"/>
                      <w:divBdr>
                        <w:top w:val="none" w:sz="0" w:space="0" w:color="auto"/>
                        <w:left w:val="none" w:sz="0" w:space="0" w:color="auto"/>
                        <w:bottom w:val="none" w:sz="0" w:space="0" w:color="auto"/>
                        <w:right w:val="none" w:sz="0" w:space="0" w:color="auto"/>
                      </w:divBdr>
                    </w:div>
                    <w:div w:id="1142505503">
                      <w:marLeft w:val="0"/>
                      <w:marRight w:val="0"/>
                      <w:marTop w:val="0"/>
                      <w:marBottom w:val="0"/>
                      <w:divBdr>
                        <w:top w:val="none" w:sz="0" w:space="0" w:color="auto"/>
                        <w:left w:val="none" w:sz="0" w:space="0" w:color="auto"/>
                        <w:bottom w:val="none" w:sz="0" w:space="0" w:color="auto"/>
                        <w:right w:val="none" w:sz="0" w:space="0" w:color="auto"/>
                      </w:divBdr>
                      <w:divsChild>
                        <w:div w:id="2126727203">
                          <w:marLeft w:val="0"/>
                          <w:marRight w:val="0"/>
                          <w:marTop w:val="0"/>
                          <w:marBottom w:val="0"/>
                          <w:divBdr>
                            <w:top w:val="none" w:sz="0" w:space="0" w:color="auto"/>
                            <w:left w:val="none" w:sz="0" w:space="0" w:color="auto"/>
                            <w:bottom w:val="none" w:sz="0" w:space="0" w:color="auto"/>
                            <w:right w:val="none" w:sz="0" w:space="0" w:color="auto"/>
                          </w:divBdr>
                          <w:divsChild>
                            <w:div w:id="697777524">
                              <w:marLeft w:val="0"/>
                              <w:marRight w:val="0"/>
                              <w:marTop w:val="0"/>
                              <w:marBottom w:val="0"/>
                              <w:divBdr>
                                <w:top w:val="none" w:sz="0" w:space="0" w:color="auto"/>
                                <w:left w:val="none" w:sz="0" w:space="0" w:color="auto"/>
                                <w:bottom w:val="none" w:sz="0" w:space="0" w:color="auto"/>
                                <w:right w:val="none" w:sz="0" w:space="0" w:color="auto"/>
                              </w:divBdr>
                            </w:div>
                            <w:div w:id="506989729">
                              <w:marLeft w:val="0"/>
                              <w:marRight w:val="0"/>
                              <w:marTop w:val="0"/>
                              <w:marBottom w:val="0"/>
                              <w:divBdr>
                                <w:top w:val="none" w:sz="0" w:space="0" w:color="auto"/>
                                <w:left w:val="none" w:sz="0" w:space="0" w:color="auto"/>
                                <w:bottom w:val="none" w:sz="0" w:space="0" w:color="auto"/>
                                <w:right w:val="none" w:sz="0" w:space="0" w:color="auto"/>
                              </w:divBdr>
                            </w:div>
                          </w:divsChild>
                        </w:div>
                        <w:div w:id="845629194">
                          <w:marLeft w:val="0"/>
                          <w:marRight w:val="0"/>
                          <w:marTop w:val="0"/>
                          <w:marBottom w:val="0"/>
                          <w:divBdr>
                            <w:top w:val="none" w:sz="0" w:space="0" w:color="auto"/>
                            <w:left w:val="none" w:sz="0" w:space="0" w:color="auto"/>
                            <w:bottom w:val="none" w:sz="0" w:space="0" w:color="auto"/>
                            <w:right w:val="none" w:sz="0" w:space="0" w:color="auto"/>
                          </w:divBdr>
                          <w:divsChild>
                            <w:div w:id="42798848">
                              <w:marLeft w:val="0"/>
                              <w:marRight w:val="0"/>
                              <w:marTop w:val="0"/>
                              <w:marBottom w:val="0"/>
                              <w:divBdr>
                                <w:top w:val="none" w:sz="0" w:space="0" w:color="auto"/>
                                <w:left w:val="none" w:sz="0" w:space="0" w:color="auto"/>
                                <w:bottom w:val="none" w:sz="0" w:space="0" w:color="auto"/>
                                <w:right w:val="none" w:sz="0" w:space="0" w:color="auto"/>
                              </w:divBdr>
                            </w:div>
                            <w:div w:id="2109885700">
                              <w:marLeft w:val="0"/>
                              <w:marRight w:val="0"/>
                              <w:marTop w:val="0"/>
                              <w:marBottom w:val="0"/>
                              <w:divBdr>
                                <w:top w:val="none" w:sz="0" w:space="0" w:color="auto"/>
                                <w:left w:val="none" w:sz="0" w:space="0" w:color="auto"/>
                                <w:bottom w:val="none" w:sz="0" w:space="0" w:color="auto"/>
                                <w:right w:val="none" w:sz="0" w:space="0" w:color="auto"/>
                              </w:divBdr>
                            </w:div>
                          </w:divsChild>
                        </w:div>
                        <w:div w:id="1944460082">
                          <w:marLeft w:val="0"/>
                          <w:marRight w:val="0"/>
                          <w:marTop w:val="0"/>
                          <w:marBottom w:val="0"/>
                          <w:divBdr>
                            <w:top w:val="none" w:sz="0" w:space="0" w:color="auto"/>
                            <w:left w:val="none" w:sz="0" w:space="0" w:color="auto"/>
                            <w:bottom w:val="none" w:sz="0" w:space="0" w:color="auto"/>
                            <w:right w:val="none" w:sz="0" w:space="0" w:color="auto"/>
                          </w:divBdr>
                          <w:divsChild>
                            <w:div w:id="1628201070">
                              <w:marLeft w:val="0"/>
                              <w:marRight w:val="0"/>
                              <w:marTop w:val="0"/>
                              <w:marBottom w:val="0"/>
                              <w:divBdr>
                                <w:top w:val="none" w:sz="0" w:space="0" w:color="auto"/>
                                <w:left w:val="none" w:sz="0" w:space="0" w:color="auto"/>
                                <w:bottom w:val="none" w:sz="0" w:space="0" w:color="auto"/>
                                <w:right w:val="none" w:sz="0" w:space="0" w:color="auto"/>
                              </w:divBdr>
                            </w:div>
                          </w:divsChild>
                        </w:div>
                        <w:div w:id="604189511">
                          <w:marLeft w:val="0"/>
                          <w:marRight w:val="0"/>
                          <w:marTop w:val="0"/>
                          <w:marBottom w:val="0"/>
                          <w:divBdr>
                            <w:top w:val="none" w:sz="0" w:space="0" w:color="auto"/>
                            <w:left w:val="none" w:sz="0" w:space="0" w:color="auto"/>
                            <w:bottom w:val="none" w:sz="0" w:space="0" w:color="auto"/>
                            <w:right w:val="none" w:sz="0" w:space="0" w:color="auto"/>
                          </w:divBdr>
                          <w:divsChild>
                            <w:div w:id="1285192859">
                              <w:marLeft w:val="0"/>
                              <w:marRight w:val="0"/>
                              <w:marTop w:val="0"/>
                              <w:marBottom w:val="0"/>
                              <w:divBdr>
                                <w:top w:val="none" w:sz="0" w:space="0" w:color="auto"/>
                                <w:left w:val="none" w:sz="0" w:space="0" w:color="auto"/>
                                <w:bottom w:val="none" w:sz="0" w:space="0" w:color="auto"/>
                                <w:right w:val="none" w:sz="0" w:space="0" w:color="auto"/>
                              </w:divBdr>
                            </w:div>
                            <w:div w:id="919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8946">
                  <w:marLeft w:val="0"/>
                  <w:marRight w:val="0"/>
                  <w:marTop w:val="0"/>
                  <w:marBottom w:val="0"/>
                  <w:divBdr>
                    <w:top w:val="none" w:sz="0" w:space="0" w:color="auto"/>
                    <w:left w:val="none" w:sz="0" w:space="0" w:color="auto"/>
                    <w:bottom w:val="none" w:sz="0" w:space="0" w:color="auto"/>
                    <w:right w:val="none" w:sz="0" w:space="0" w:color="auto"/>
                  </w:divBdr>
                  <w:divsChild>
                    <w:div w:id="1545865764">
                      <w:marLeft w:val="0"/>
                      <w:marRight w:val="0"/>
                      <w:marTop w:val="0"/>
                      <w:marBottom w:val="0"/>
                      <w:divBdr>
                        <w:top w:val="none" w:sz="0" w:space="0" w:color="auto"/>
                        <w:left w:val="none" w:sz="0" w:space="0" w:color="auto"/>
                        <w:bottom w:val="none" w:sz="0" w:space="0" w:color="auto"/>
                        <w:right w:val="none" w:sz="0" w:space="0" w:color="auto"/>
                      </w:divBdr>
                    </w:div>
                    <w:div w:id="13115105">
                      <w:marLeft w:val="0"/>
                      <w:marRight w:val="0"/>
                      <w:marTop w:val="0"/>
                      <w:marBottom w:val="0"/>
                      <w:divBdr>
                        <w:top w:val="none" w:sz="0" w:space="0" w:color="auto"/>
                        <w:left w:val="none" w:sz="0" w:space="0" w:color="auto"/>
                        <w:bottom w:val="none" w:sz="0" w:space="0" w:color="auto"/>
                        <w:right w:val="none" w:sz="0" w:space="0" w:color="auto"/>
                      </w:divBdr>
                    </w:div>
                  </w:divsChild>
                </w:div>
                <w:div w:id="425657059">
                  <w:marLeft w:val="0"/>
                  <w:marRight w:val="0"/>
                  <w:marTop w:val="0"/>
                  <w:marBottom w:val="0"/>
                  <w:divBdr>
                    <w:top w:val="none" w:sz="0" w:space="0" w:color="auto"/>
                    <w:left w:val="none" w:sz="0" w:space="0" w:color="auto"/>
                    <w:bottom w:val="none" w:sz="0" w:space="0" w:color="auto"/>
                    <w:right w:val="none" w:sz="0" w:space="0" w:color="auto"/>
                  </w:divBdr>
                </w:div>
                <w:div w:id="2028556564">
                  <w:marLeft w:val="0"/>
                  <w:marRight w:val="0"/>
                  <w:marTop w:val="0"/>
                  <w:marBottom w:val="0"/>
                  <w:divBdr>
                    <w:top w:val="none" w:sz="0" w:space="0" w:color="auto"/>
                    <w:left w:val="none" w:sz="0" w:space="0" w:color="auto"/>
                    <w:bottom w:val="none" w:sz="0" w:space="0" w:color="auto"/>
                    <w:right w:val="none" w:sz="0" w:space="0" w:color="auto"/>
                  </w:divBdr>
                  <w:divsChild>
                    <w:div w:id="1328240698">
                      <w:marLeft w:val="0"/>
                      <w:marRight w:val="0"/>
                      <w:marTop w:val="0"/>
                      <w:marBottom w:val="0"/>
                      <w:divBdr>
                        <w:top w:val="none" w:sz="0" w:space="0" w:color="auto"/>
                        <w:left w:val="none" w:sz="0" w:space="0" w:color="auto"/>
                        <w:bottom w:val="none" w:sz="0" w:space="0" w:color="auto"/>
                        <w:right w:val="none" w:sz="0" w:space="0" w:color="auto"/>
                      </w:divBdr>
                    </w:div>
                    <w:div w:id="1412964364">
                      <w:marLeft w:val="0"/>
                      <w:marRight w:val="0"/>
                      <w:marTop w:val="0"/>
                      <w:marBottom w:val="0"/>
                      <w:divBdr>
                        <w:top w:val="none" w:sz="0" w:space="0" w:color="auto"/>
                        <w:left w:val="none" w:sz="0" w:space="0" w:color="auto"/>
                        <w:bottom w:val="none" w:sz="0" w:space="0" w:color="auto"/>
                        <w:right w:val="none" w:sz="0" w:space="0" w:color="auto"/>
                      </w:divBdr>
                    </w:div>
                  </w:divsChild>
                </w:div>
                <w:div w:id="1293168559">
                  <w:marLeft w:val="0"/>
                  <w:marRight w:val="0"/>
                  <w:marTop w:val="0"/>
                  <w:marBottom w:val="0"/>
                  <w:divBdr>
                    <w:top w:val="none" w:sz="0" w:space="0" w:color="auto"/>
                    <w:left w:val="none" w:sz="0" w:space="0" w:color="auto"/>
                    <w:bottom w:val="none" w:sz="0" w:space="0" w:color="auto"/>
                    <w:right w:val="none" w:sz="0" w:space="0" w:color="auto"/>
                  </w:divBdr>
                  <w:divsChild>
                    <w:div w:id="168257105">
                      <w:marLeft w:val="0"/>
                      <w:marRight w:val="0"/>
                      <w:marTop w:val="0"/>
                      <w:marBottom w:val="0"/>
                      <w:divBdr>
                        <w:top w:val="none" w:sz="0" w:space="0" w:color="auto"/>
                        <w:left w:val="none" w:sz="0" w:space="0" w:color="auto"/>
                        <w:bottom w:val="none" w:sz="0" w:space="0" w:color="auto"/>
                        <w:right w:val="none" w:sz="0" w:space="0" w:color="auto"/>
                      </w:divBdr>
                    </w:div>
                    <w:div w:id="1270048700">
                      <w:marLeft w:val="0"/>
                      <w:marRight w:val="0"/>
                      <w:marTop w:val="0"/>
                      <w:marBottom w:val="0"/>
                      <w:divBdr>
                        <w:top w:val="none" w:sz="0" w:space="0" w:color="auto"/>
                        <w:left w:val="none" w:sz="0" w:space="0" w:color="auto"/>
                        <w:bottom w:val="none" w:sz="0" w:space="0" w:color="auto"/>
                        <w:right w:val="none" w:sz="0" w:space="0" w:color="auto"/>
                      </w:divBdr>
                    </w:div>
                  </w:divsChild>
                </w:div>
                <w:div w:id="124861091">
                  <w:marLeft w:val="0"/>
                  <w:marRight w:val="0"/>
                  <w:marTop w:val="0"/>
                  <w:marBottom w:val="0"/>
                  <w:divBdr>
                    <w:top w:val="none" w:sz="0" w:space="0" w:color="auto"/>
                    <w:left w:val="none" w:sz="0" w:space="0" w:color="auto"/>
                    <w:bottom w:val="none" w:sz="0" w:space="0" w:color="auto"/>
                    <w:right w:val="none" w:sz="0" w:space="0" w:color="auto"/>
                  </w:divBdr>
                  <w:divsChild>
                    <w:div w:id="1964115558">
                      <w:marLeft w:val="0"/>
                      <w:marRight w:val="0"/>
                      <w:marTop w:val="0"/>
                      <w:marBottom w:val="0"/>
                      <w:divBdr>
                        <w:top w:val="none" w:sz="0" w:space="0" w:color="auto"/>
                        <w:left w:val="none" w:sz="0" w:space="0" w:color="auto"/>
                        <w:bottom w:val="none" w:sz="0" w:space="0" w:color="auto"/>
                        <w:right w:val="none" w:sz="0" w:space="0" w:color="auto"/>
                      </w:divBdr>
                    </w:div>
                    <w:div w:id="2883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74409">
      <w:bodyDiv w:val="1"/>
      <w:marLeft w:val="0"/>
      <w:marRight w:val="0"/>
      <w:marTop w:val="0"/>
      <w:marBottom w:val="0"/>
      <w:divBdr>
        <w:top w:val="none" w:sz="0" w:space="0" w:color="auto"/>
        <w:left w:val="none" w:sz="0" w:space="0" w:color="auto"/>
        <w:bottom w:val="none" w:sz="0" w:space="0" w:color="auto"/>
        <w:right w:val="none" w:sz="0" w:space="0" w:color="auto"/>
      </w:divBdr>
      <w:divsChild>
        <w:div w:id="466241232">
          <w:marLeft w:val="0"/>
          <w:marRight w:val="0"/>
          <w:marTop w:val="0"/>
          <w:marBottom w:val="0"/>
          <w:divBdr>
            <w:top w:val="none" w:sz="0" w:space="0" w:color="auto"/>
            <w:left w:val="none" w:sz="0" w:space="0" w:color="auto"/>
            <w:bottom w:val="none" w:sz="0" w:space="0" w:color="auto"/>
            <w:right w:val="none" w:sz="0" w:space="0" w:color="auto"/>
          </w:divBdr>
          <w:divsChild>
            <w:div w:id="163250684">
              <w:marLeft w:val="0"/>
              <w:marRight w:val="0"/>
              <w:marTop w:val="0"/>
              <w:marBottom w:val="0"/>
              <w:divBdr>
                <w:top w:val="none" w:sz="0" w:space="0" w:color="auto"/>
                <w:left w:val="none" w:sz="0" w:space="0" w:color="auto"/>
                <w:bottom w:val="none" w:sz="0" w:space="0" w:color="auto"/>
                <w:right w:val="none" w:sz="0" w:space="0" w:color="auto"/>
              </w:divBdr>
              <w:divsChild>
                <w:div w:id="1195265196">
                  <w:marLeft w:val="0"/>
                  <w:marRight w:val="0"/>
                  <w:marTop w:val="0"/>
                  <w:marBottom w:val="0"/>
                  <w:divBdr>
                    <w:top w:val="none" w:sz="0" w:space="0" w:color="auto"/>
                    <w:left w:val="none" w:sz="0" w:space="0" w:color="auto"/>
                    <w:bottom w:val="none" w:sz="0" w:space="0" w:color="auto"/>
                    <w:right w:val="none" w:sz="0" w:space="0" w:color="auto"/>
                  </w:divBdr>
                  <w:divsChild>
                    <w:div w:id="1646202846">
                      <w:marLeft w:val="0"/>
                      <w:marRight w:val="0"/>
                      <w:marTop w:val="0"/>
                      <w:marBottom w:val="0"/>
                      <w:divBdr>
                        <w:top w:val="none" w:sz="0" w:space="0" w:color="auto"/>
                        <w:left w:val="none" w:sz="0" w:space="0" w:color="auto"/>
                        <w:bottom w:val="none" w:sz="0" w:space="0" w:color="auto"/>
                        <w:right w:val="none" w:sz="0" w:space="0" w:color="auto"/>
                      </w:divBdr>
                      <w:divsChild>
                        <w:div w:id="1671714124">
                          <w:marLeft w:val="0"/>
                          <w:marRight w:val="0"/>
                          <w:marTop w:val="0"/>
                          <w:marBottom w:val="0"/>
                          <w:divBdr>
                            <w:top w:val="none" w:sz="0" w:space="0" w:color="auto"/>
                            <w:left w:val="none" w:sz="0" w:space="0" w:color="auto"/>
                            <w:bottom w:val="none" w:sz="0" w:space="0" w:color="auto"/>
                            <w:right w:val="none" w:sz="0" w:space="0" w:color="auto"/>
                          </w:divBdr>
                          <w:divsChild>
                            <w:div w:id="2010907300">
                              <w:marLeft w:val="0"/>
                              <w:marRight w:val="0"/>
                              <w:marTop w:val="0"/>
                              <w:marBottom w:val="0"/>
                              <w:divBdr>
                                <w:top w:val="none" w:sz="0" w:space="0" w:color="auto"/>
                                <w:left w:val="none" w:sz="0" w:space="0" w:color="auto"/>
                                <w:bottom w:val="none" w:sz="0" w:space="0" w:color="auto"/>
                                <w:right w:val="none" w:sz="0" w:space="0" w:color="auto"/>
                              </w:divBdr>
                              <w:divsChild>
                                <w:div w:id="1350329144">
                                  <w:marLeft w:val="0"/>
                                  <w:marRight w:val="0"/>
                                  <w:marTop w:val="0"/>
                                  <w:marBottom w:val="0"/>
                                  <w:divBdr>
                                    <w:top w:val="none" w:sz="0" w:space="0" w:color="auto"/>
                                    <w:left w:val="none" w:sz="0" w:space="0" w:color="auto"/>
                                    <w:bottom w:val="none" w:sz="0" w:space="0" w:color="auto"/>
                                    <w:right w:val="none" w:sz="0" w:space="0" w:color="auto"/>
                                  </w:divBdr>
                                  <w:divsChild>
                                    <w:div w:id="813716768">
                                      <w:marLeft w:val="0"/>
                                      <w:marRight w:val="0"/>
                                      <w:marTop w:val="0"/>
                                      <w:marBottom w:val="0"/>
                                      <w:divBdr>
                                        <w:top w:val="none" w:sz="0" w:space="0" w:color="auto"/>
                                        <w:left w:val="none" w:sz="0" w:space="0" w:color="auto"/>
                                        <w:bottom w:val="none" w:sz="0" w:space="0" w:color="auto"/>
                                        <w:right w:val="none" w:sz="0" w:space="0" w:color="auto"/>
                                      </w:divBdr>
                                      <w:divsChild>
                                        <w:div w:id="1065757710">
                                          <w:marLeft w:val="0"/>
                                          <w:marRight w:val="0"/>
                                          <w:marTop w:val="0"/>
                                          <w:marBottom w:val="0"/>
                                          <w:divBdr>
                                            <w:top w:val="none" w:sz="0" w:space="0" w:color="auto"/>
                                            <w:left w:val="none" w:sz="0" w:space="0" w:color="auto"/>
                                            <w:bottom w:val="none" w:sz="0" w:space="0" w:color="auto"/>
                                            <w:right w:val="none" w:sz="0" w:space="0" w:color="auto"/>
                                          </w:divBdr>
                                          <w:divsChild>
                                            <w:div w:id="837235010">
                                              <w:marLeft w:val="0"/>
                                              <w:marRight w:val="0"/>
                                              <w:marTop w:val="0"/>
                                              <w:marBottom w:val="0"/>
                                              <w:divBdr>
                                                <w:top w:val="none" w:sz="0" w:space="0" w:color="auto"/>
                                                <w:left w:val="none" w:sz="0" w:space="0" w:color="auto"/>
                                                <w:bottom w:val="none" w:sz="0" w:space="0" w:color="auto"/>
                                                <w:right w:val="none" w:sz="0" w:space="0" w:color="auto"/>
                                              </w:divBdr>
                                              <w:divsChild>
                                                <w:div w:id="181404423">
                                                  <w:marLeft w:val="0"/>
                                                  <w:marRight w:val="0"/>
                                                  <w:marTop w:val="0"/>
                                                  <w:marBottom w:val="0"/>
                                                  <w:divBdr>
                                                    <w:top w:val="none" w:sz="0" w:space="0" w:color="auto"/>
                                                    <w:left w:val="none" w:sz="0" w:space="0" w:color="auto"/>
                                                    <w:bottom w:val="none" w:sz="0" w:space="0" w:color="auto"/>
                                                    <w:right w:val="none" w:sz="0" w:space="0" w:color="auto"/>
                                                  </w:divBdr>
                                                  <w:divsChild>
                                                    <w:div w:id="1630477317">
                                                      <w:marLeft w:val="0"/>
                                                      <w:marRight w:val="0"/>
                                                      <w:marTop w:val="0"/>
                                                      <w:marBottom w:val="0"/>
                                                      <w:divBdr>
                                                        <w:top w:val="none" w:sz="0" w:space="0" w:color="auto"/>
                                                        <w:left w:val="none" w:sz="0" w:space="0" w:color="auto"/>
                                                        <w:bottom w:val="none" w:sz="0" w:space="0" w:color="auto"/>
                                                        <w:right w:val="none" w:sz="0" w:space="0" w:color="auto"/>
                                                      </w:divBdr>
                                                      <w:divsChild>
                                                        <w:div w:id="1554385419">
                                                          <w:marLeft w:val="0"/>
                                                          <w:marRight w:val="0"/>
                                                          <w:marTop w:val="0"/>
                                                          <w:marBottom w:val="0"/>
                                                          <w:divBdr>
                                                            <w:top w:val="none" w:sz="0" w:space="0" w:color="auto"/>
                                                            <w:left w:val="none" w:sz="0" w:space="0" w:color="auto"/>
                                                            <w:bottom w:val="none" w:sz="0" w:space="0" w:color="auto"/>
                                                            <w:right w:val="none" w:sz="0" w:space="0" w:color="auto"/>
                                                          </w:divBdr>
                                                          <w:divsChild>
                                                            <w:div w:id="1447116149">
                                                              <w:marLeft w:val="0"/>
                                                              <w:marRight w:val="0"/>
                                                              <w:marTop w:val="0"/>
                                                              <w:marBottom w:val="0"/>
                                                              <w:divBdr>
                                                                <w:top w:val="none" w:sz="0" w:space="0" w:color="auto"/>
                                                                <w:left w:val="none" w:sz="0" w:space="0" w:color="auto"/>
                                                                <w:bottom w:val="none" w:sz="0" w:space="0" w:color="auto"/>
                                                                <w:right w:val="none" w:sz="0" w:space="0" w:color="auto"/>
                                                              </w:divBdr>
                                                              <w:divsChild>
                                                                <w:div w:id="2114008981">
                                                                  <w:marLeft w:val="0"/>
                                                                  <w:marRight w:val="0"/>
                                                                  <w:marTop w:val="0"/>
                                                                  <w:marBottom w:val="0"/>
                                                                  <w:divBdr>
                                                                    <w:top w:val="none" w:sz="0" w:space="0" w:color="auto"/>
                                                                    <w:left w:val="none" w:sz="0" w:space="0" w:color="auto"/>
                                                                    <w:bottom w:val="none" w:sz="0" w:space="0" w:color="auto"/>
                                                                    <w:right w:val="none" w:sz="0" w:space="0" w:color="auto"/>
                                                                  </w:divBdr>
                                                                  <w:divsChild>
                                                                    <w:div w:id="1599211791">
                                                                      <w:marLeft w:val="0"/>
                                                                      <w:marRight w:val="0"/>
                                                                      <w:marTop w:val="0"/>
                                                                      <w:marBottom w:val="0"/>
                                                                      <w:divBdr>
                                                                        <w:top w:val="single" w:sz="6" w:space="8" w:color="E0E0E0"/>
                                                                        <w:left w:val="none" w:sz="0" w:space="0" w:color="auto"/>
                                                                        <w:bottom w:val="none" w:sz="0" w:space="0" w:color="auto"/>
                                                                        <w:right w:val="none" w:sz="0" w:space="0" w:color="auto"/>
                                                                      </w:divBdr>
                                                                      <w:divsChild>
                                                                        <w:div w:id="295332901">
                                                                          <w:marLeft w:val="0"/>
                                                                          <w:marRight w:val="0"/>
                                                                          <w:marTop w:val="0"/>
                                                                          <w:marBottom w:val="0"/>
                                                                          <w:divBdr>
                                                                            <w:top w:val="none" w:sz="0" w:space="0" w:color="auto"/>
                                                                            <w:left w:val="none" w:sz="0" w:space="0" w:color="auto"/>
                                                                            <w:bottom w:val="none" w:sz="0" w:space="0" w:color="auto"/>
                                                                            <w:right w:val="none" w:sz="0" w:space="0" w:color="auto"/>
                                                                          </w:divBdr>
                                                                          <w:divsChild>
                                                                            <w:div w:id="15257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438874">
      <w:bodyDiv w:val="1"/>
      <w:marLeft w:val="0"/>
      <w:marRight w:val="0"/>
      <w:marTop w:val="0"/>
      <w:marBottom w:val="0"/>
      <w:divBdr>
        <w:top w:val="none" w:sz="0" w:space="0" w:color="auto"/>
        <w:left w:val="none" w:sz="0" w:space="0" w:color="auto"/>
        <w:bottom w:val="none" w:sz="0" w:space="0" w:color="auto"/>
        <w:right w:val="none" w:sz="0" w:space="0" w:color="auto"/>
      </w:divBdr>
      <w:divsChild>
        <w:div w:id="1415709231">
          <w:marLeft w:val="0"/>
          <w:marRight w:val="0"/>
          <w:marTop w:val="0"/>
          <w:marBottom w:val="0"/>
          <w:divBdr>
            <w:top w:val="none" w:sz="0" w:space="0" w:color="auto"/>
            <w:left w:val="none" w:sz="0" w:space="0" w:color="auto"/>
            <w:bottom w:val="none" w:sz="0" w:space="0" w:color="auto"/>
            <w:right w:val="none" w:sz="0" w:space="0" w:color="auto"/>
          </w:divBdr>
          <w:divsChild>
            <w:div w:id="1656034908">
              <w:marLeft w:val="0"/>
              <w:marRight w:val="0"/>
              <w:marTop w:val="0"/>
              <w:marBottom w:val="0"/>
              <w:divBdr>
                <w:top w:val="none" w:sz="0" w:space="0" w:color="auto"/>
                <w:left w:val="none" w:sz="0" w:space="0" w:color="auto"/>
                <w:bottom w:val="none" w:sz="0" w:space="0" w:color="auto"/>
                <w:right w:val="none" w:sz="0" w:space="0" w:color="auto"/>
              </w:divBdr>
              <w:divsChild>
                <w:div w:id="1535269914">
                  <w:marLeft w:val="0"/>
                  <w:marRight w:val="0"/>
                  <w:marTop w:val="0"/>
                  <w:marBottom w:val="0"/>
                  <w:divBdr>
                    <w:top w:val="none" w:sz="0" w:space="0" w:color="auto"/>
                    <w:left w:val="none" w:sz="0" w:space="0" w:color="auto"/>
                    <w:bottom w:val="none" w:sz="0" w:space="0" w:color="auto"/>
                    <w:right w:val="none" w:sz="0" w:space="0" w:color="auto"/>
                  </w:divBdr>
                  <w:divsChild>
                    <w:div w:id="739401563">
                      <w:marLeft w:val="0"/>
                      <w:marRight w:val="0"/>
                      <w:marTop w:val="0"/>
                      <w:marBottom w:val="0"/>
                      <w:divBdr>
                        <w:top w:val="none" w:sz="0" w:space="0" w:color="auto"/>
                        <w:left w:val="none" w:sz="0" w:space="0" w:color="auto"/>
                        <w:bottom w:val="none" w:sz="0" w:space="0" w:color="auto"/>
                        <w:right w:val="none" w:sz="0" w:space="0" w:color="auto"/>
                      </w:divBdr>
                      <w:divsChild>
                        <w:div w:id="195971692">
                          <w:marLeft w:val="0"/>
                          <w:marRight w:val="0"/>
                          <w:marTop w:val="0"/>
                          <w:marBottom w:val="0"/>
                          <w:divBdr>
                            <w:top w:val="none" w:sz="0" w:space="0" w:color="auto"/>
                            <w:left w:val="none" w:sz="0" w:space="0" w:color="auto"/>
                            <w:bottom w:val="none" w:sz="0" w:space="0" w:color="auto"/>
                            <w:right w:val="none" w:sz="0" w:space="0" w:color="auto"/>
                          </w:divBdr>
                          <w:divsChild>
                            <w:div w:id="718896157">
                              <w:marLeft w:val="0"/>
                              <w:marRight w:val="0"/>
                              <w:marTop w:val="0"/>
                              <w:marBottom w:val="0"/>
                              <w:divBdr>
                                <w:top w:val="none" w:sz="0" w:space="0" w:color="auto"/>
                                <w:left w:val="none" w:sz="0" w:space="0" w:color="auto"/>
                                <w:bottom w:val="none" w:sz="0" w:space="0" w:color="auto"/>
                                <w:right w:val="none" w:sz="0" w:space="0" w:color="auto"/>
                              </w:divBdr>
                              <w:divsChild>
                                <w:div w:id="761494734">
                                  <w:marLeft w:val="0"/>
                                  <w:marRight w:val="0"/>
                                  <w:marTop w:val="0"/>
                                  <w:marBottom w:val="0"/>
                                  <w:divBdr>
                                    <w:top w:val="none" w:sz="0" w:space="0" w:color="auto"/>
                                    <w:left w:val="none" w:sz="0" w:space="0" w:color="auto"/>
                                    <w:bottom w:val="none" w:sz="0" w:space="0" w:color="auto"/>
                                    <w:right w:val="none" w:sz="0" w:space="0" w:color="auto"/>
                                  </w:divBdr>
                                  <w:divsChild>
                                    <w:div w:id="2092241268">
                                      <w:marLeft w:val="0"/>
                                      <w:marRight w:val="0"/>
                                      <w:marTop w:val="0"/>
                                      <w:marBottom w:val="0"/>
                                      <w:divBdr>
                                        <w:top w:val="none" w:sz="0" w:space="0" w:color="auto"/>
                                        <w:left w:val="none" w:sz="0" w:space="0" w:color="auto"/>
                                        <w:bottom w:val="none" w:sz="0" w:space="0" w:color="auto"/>
                                        <w:right w:val="none" w:sz="0" w:space="0" w:color="auto"/>
                                      </w:divBdr>
                                      <w:divsChild>
                                        <w:div w:id="5711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589766">
      <w:bodyDiv w:val="1"/>
      <w:marLeft w:val="0"/>
      <w:marRight w:val="0"/>
      <w:marTop w:val="0"/>
      <w:marBottom w:val="0"/>
      <w:divBdr>
        <w:top w:val="none" w:sz="0" w:space="0" w:color="auto"/>
        <w:left w:val="none" w:sz="0" w:space="0" w:color="auto"/>
        <w:bottom w:val="none" w:sz="0" w:space="0" w:color="auto"/>
        <w:right w:val="none" w:sz="0" w:space="0" w:color="auto"/>
      </w:divBdr>
      <w:divsChild>
        <w:div w:id="1902977547">
          <w:marLeft w:val="0"/>
          <w:marRight w:val="0"/>
          <w:marTop w:val="0"/>
          <w:marBottom w:val="0"/>
          <w:divBdr>
            <w:top w:val="none" w:sz="0" w:space="0" w:color="auto"/>
            <w:left w:val="none" w:sz="0" w:space="0" w:color="auto"/>
            <w:bottom w:val="none" w:sz="0" w:space="0" w:color="auto"/>
            <w:right w:val="none" w:sz="0" w:space="0" w:color="auto"/>
          </w:divBdr>
          <w:divsChild>
            <w:div w:id="44837287">
              <w:marLeft w:val="0"/>
              <w:marRight w:val="0"/>
              <w:marTop w:val="0"/>
              <w:marBottom w:val="0"/>
              <w:divBdr>
                <w:top w:val="none" w:sz="0" w:space="0" w:color="auto"/>
                <w:left w:val="none" w:sz="0" w:space="0" w:color="auto"/>
                <w:bottom w:val="none" w:sz="0" w:space="0" w:color="auto"/>
                <w:right w:val="none" w:sz="0" w:space="0" w:color="auto"/>
              </w:divBdr>
              <w:divsChild>
                <w:div w:id="351801699">
                  <w:marLeft w:val="0"/>
                  <w:marRight w:val="0"/>
                  <w:marTop w:val="0"/>
                  <w:marBottom w:val="0"/>
                  <w:divBdr>
                    <w:top w:val="none" w:sz="0" w:space="0" w:color="auto"/>
                    <w:left w:val="none" w:sz="0" w:space="0" w:color="auto"/>
                    <w:bottom w:val="none" w:sz="0" w:space="0" w:color="auto"/>
                    <w:right w:val="none" w:sz="0" w:space="0" w:color="auto"/>
                  </w:divBdr>
                  <w:divsChild>
                    <w:div w:id="155920641">
                      <w:marLeft w:val="0"/>
                      <w:marRight w:val="0"/>
                      <w:marTop w:val="0"/>
                      <w:marBottom w:val="0"/>
                      <w:divBdr>
                        <w:top w:val="none" w:sz="0" w:space="0" w:color="auto"/>
                        <w:left w:val="none" w:sz="0" w:space="0" w:color="auto"/>
                        <w:bottom w:val="none" w:sz="0" w:space="0" w:color="auto"/>
                        <w:right w:val="none" w:sz="0" w:space="0" w:color="auto"/>
                      </w:divBdr>
                      <w:divsChild>
                        <w:div w:id="1864511635">
                          <w:marLeft w:val="0"/>
                          <w:marRight w:val="0"/>
                          <w:marTop w:val="0"/>
                          <w:marBottom w:val="0"/>
                          <w:divBdr>
                            <w:top w:val="none" w:sz="0" w:space="0" w:color="auto"/>
                            <w:left w:val="none" w:sz="0" w:space="0" w:color="auto"/>
                            <w:bottom w:val="none" w:sz="0" w:space="0" w:color="auto"/>
                            <w:right w:val="none" w:sz="0" w:space="0" w:color="auto"/>
                          </w:divBdr>
                          <w:divsChild>
                            <w:div w:id="1293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20091">
          <w:marLeft w:val="0"/>
          <w:marRight w:val="0"/>
          <w:marTop w:val="0"/>
          <w:marBottom w:val="0"/>
          <w:divBdr>
            <w:top w:val="none" w:sz="0" w:space="0" w:color="auto"/>
            <w:left w:val="none" w:sz="0" w:space="0" w:color="auto"/>
            <w:bottom w:val="none" w:sz="0" w:space="0" w:color="auto"/>
            <w:right w:val="none" w:sz="0" w:space="0" w:color="auto"/>
          </w:divBdr>
          <w:divsChild>
            <w:div w:id="127624268">
              <w:marLeft w:val="0"/>
              <w:marRight w:val="-225"/>
              <w:marTop w:val="0"/>
              <w:marBottom w:val="0"/>
              <w:divBdr>
                <w:top w:val="none" w:sz="0" w:space="0" w:color="auto"/>
                <w:left w:val="none" w:sz="0" w:space="0" w:color="auto"/>
                <w:bottom w:val="none" w:sz="0" w:space="0" w:color="auto"/>
                <w:right w:val="none" w:sz="0" w:space="0" w:color="auto"/>
              </w:divBdr>
              <w:divsChild>
                <w:div w:id="1935742790">
                  <w:marLeft w:val="0"/>
                  <w:marRight w:val="0"/>
                  <w:marTop w:val="0"/>
                  <w:marBottom w:val="0"/>
                  <w:divBdr>
                    <w:top w:val="none" w:sz="0" w:space="0" w:color="auto"/>
                    <w:left w:val="none" w:sz="0" w:space="0" w:color="auto"/>
                    <w:bottom w:val="none" w:sz="0" w:space="0" w:color="auto"/>
                    <w:right w:val="none" w:sz="0" w:space="0" w:color="auto"/>
                  </w:divBdr>
                  <w:divsChild>
                    <w:div w:id="1898861597">
                      <w:marLeft w:val="0"/>
                      <w:marRight w:val="150"/>
                      <w:marTop w:val="0"/>
                      <w:marBottom w:val="75"/>
                      <w:divBdr>
                        <w:top w:val="none" w:sz="0" w:space="0" w:color="auto"/>
                        <w:left w:val="none" w:sz="0" w:space="0" w:color="auto"/>
                        <w:bottom w:val="none" w:sz="0" w:space="0" w:color="auto"/>
                        <w:right w:val="none" w:sz="0" w:space="0" w:color="auto"/>
                      </w:divBdr>
                      <w:divsChild>
                        <w:div w:id="2708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1777">
                  <w:marLeft w:val="0"/>
                  <w:marRight w:val="0"/>
                  <w:marTop w:val="0"/>
                  <w:marBottom w:val="0"/>
                  <w:divBdr>
                    <w:top w:val="none" w:sz="0" w:space="0" w:color="auto"/>
                    <w:left w:val="none" w:sz="0" w:space="0" w:color="auto"/>
                    <w:bottom w:val="none" w:sz="0" w:space="0" w:color="auto"/>
                    <w:right w:val="none" w:sz="0" w:space="0" w:color="auto"/>
                  </w:divBdr>
                  <w:divsChild>
                    <w:div w:id="1957322322">
                      <w:marLeft w:val="0"/>
                      <w:marRight w:val="0"/>
                      <w:marTop w:val="0"/>
                      <w:marBottom w:val="0"/>
                      <w:divBdr>
                        <w:top w:val="none" w:sz="0" w:space="0" w:color="auto"/>
                        <w:left w:val="none" w:sz="0" w:space="0" w:color="auto"/>
                        <w:bottom w:val="none" w:sz="0" w:space="0" w:color="auto"/>
                        <w:right w:val="none" w:sz="0" w:space="0" w:color="auto"/>
                      </w:divBdr>
                    </w:div>
                    <w:div w:id="1250306265">
                      <w:marLeft w:val="0"/>
                      <w:marRight w:val="0"/>
                      <w:marTop w:val="0"/>
                      <w:marBottom w:val="0"/>
                      <w:divBdr>
                        <w:top w:val="none" w:sz="0" w:space="0" w:color="auto"/>
                        <w:left w:val="none" w:sz="0" w:space="0" w:color="auto"/>
                        <w:bottom w:val="none" w:sz="0" w:space="0" w:color="auto"/>
                        <w:right w:val="none" w:sz="0" w:space="0" w:color="auto"/>
                      </w:divBdr>
                      <w:divsChild>
                        <w:div w:id="400836875">
                          <w:marLeft w:val="0"/>
                          <w:marRight w:val="0"/>
                          <w:marTop w:val="0"/>
                          <w:marBottom w:val="0"/>
                          <w:divBdr>
                            <w:top w:val="none" w:sz="0" w:space="0" w:color="auto"/>
                            <w:left w:val="none" w:sz="0" w:space="0" w:color="auto"/>
                            <w:bottom w:val="none" w:sz="0" w:space="0" w:color="auto"/>
                            <w:right w:val="none" w:sz="0" w:space="0" w:color="auto"/>
                          </w:divBdr>
                          <w:divsChild>
                            <w:div w:id="1487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140106">
      <w:bodyDiv w:val="1"/>
      <w:marLeft w:val="0"/>
      <w:marRight w:val="0"/>
      <w:marTop w:val="0"/>
      <w:marBottom w:val="0"/>
      <w:divBdr>
        <w:top w:val="none" w:sz="0" w:space="0" w:color="auto"/>
        <w:left w:val="none" w:sz="0" w:space="0" w:color="auto"/>
        <w:bottom w:val="none" w:sz="0" w:space="0" w:color="auto"/>
        <w:right w:val="none" w:sz="0" w:space="0" w:color="auto"/>
      </w:divBdr>
      <w:divsChild>
        <w:div w:id="1624726773">
          <w:marLeft w:val="0"/>
          <w:marRight w:val="0"/>
          <w:marTop w:val="0"/>
          <w:marBottom w:val="0"/>
          <w:divBdr>
            <w:top w:val="none" w:sz="0" w:space="0" w:color="auto"/>
            <w:left w:val="none" w:sz="0" w:space="0" w:color="auto"/>
            <w:bottom w:val="none" w:sz="0" w:space="0" w:color="auto"/>
            <w:right w:val="none" w:sz="0" w:space="0" w:color="auto"/>
          </w:divBdr>
          <w:divsChild>
            <w:div w:id="1536892769">
              <w:marLeft w:val="210"/>
              <w:marRight w:val="0"/>
              <w:marTop w:val="0"/>
              <w:marBottom w:val="0"/>
              <w:divBdr>
                <w:top w:val="none" w:sz="0" w:space="0" w:color="auto"/>
                <w:left w:val="none" w:sz="0" w:space="0" w:color="auto"/>
                <w:bottom w:val="none" w:sz="0" w:space="0" w:color="auto"/>
                <w:right w:val="none" w:sz="0" w:space="0" w:color="auto"/>
              </w:divBdr>
              <w:divsChild>
                <w:div w:id="24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1480">
      <w:bodyDiv w:val="1"/>
      <w:marLeft w:val="0"/>
      <w:marRight w:val="0"/>
      <w:marTop w:val="0"/>
      <w:marBottom w:val="0"/>
      <w:divBdr>
        <w:top w:val="none" w:sz="0" w:space="0" w:color="auto"/>
        <w:left w:val="none" w:sz="0" w:space="0" w:color="auto"/>
        <w:bottom w:val="none" w:sz="0" w:space="0" w:color="auto"/>
        <w:right w:val="none" w:sz="0" w:space="0" w:color="auto"/>
      </w:divBdr>
    </w:div>
    <w:div w:id="1189173032">
      <w:bodyDiv w:val="1"/>
      <w:marLeft w:val="0"/>
      <w:marRight w:val="0"/>
      <w:marTop w:val="0"/>
      <w:marBottom w:val="0"/>
      <w:divBdr>
        <w:top w:val="none" w:sz="0" w:space="0" w:color="auto"/>
        <w:left w:val="none" w:sz="0" w:space="0" w:color="auto"/>
        <w:bottom w:val="none" w:sz="0" w:space="0" w:color="auto"/>
        <w:right w:val="none" w:sz="0" w:space="0" w:color="auto"/>
      </w:divBdr>
      <w:divsChild>
        <w:div w:id="1722557201">
          <w:marLeft w:val="0"/>
          <w:marRight w:val="0"/>
          <w:marTop w:val="0"/>
          <w:marBottom w:val="0"/>
          <w:divBdr>
            <w:top w:val="none" w:sz="0" w:space="0" w:color="auto"/>
            <w:left w:val="none" w:sz="0" w:space="0" w:color="auto"/>
            <w:bottom w:val="none" w:sz="0" w:space="0" w:color="auto"/>
            <w:right w:val="none" w:sz="0" w:space="0" w:color="auto"/>
          </w:divBdr>
          <w:divsChild>
            <w:div w:id="582908876">
              <w:marLeft w:val="0"/>
              <w:marRight w:val="0"/>
              <w:marTop w:val="0"/>
              <w:marBottom w:val="0"/>
              <w:divBdr>
                <w:top w:val="none" w:sz="0" w:space="0" w:color="auto"/>
                <w:left w:val="none" w:sz="0" w:space="0" w:color="auto"/>
                <w:bottom w:val="none" w:sz="0" w:space="0" w:color="auto"/>
                <w:right w:val="none" w:sz="0" w:space="0" w:color="auto"/>
              </w:divBdr>
              <w:divsChild>
                <w:div w:id="1868831203">
                  <w:marLeft w:val="0"/>
                  <w:marRight w:val="0"/>
                  <w:marTop w:val="0"/>
                  <w:marBottom w:val="0"/>
                  <w:divBdr>
                    <w:top w:val="none" w:sz="0" w:space="0" w:color="auto"/>
                    <w:left w:val="none" w:sz="0" w:space="0" w:color="auto"/>
                    <w:bottom w:val="none" w:sz="0" w:space="0" w:color="auto"/>
                    <w:right w:val="none" w:sz="0" w:space="0" w:color="auto"/>
                  </w:divBdr>
                  <w:divsChild>
                    <w:div w:id="431170388">
                      <w:marLeft w:val="0"/>
                      <w:marRight w:val="0"/>
                      <w:marTop w:val="300"/>
                      <w:marBottom w:val="600"/>
                      <w:divBdr>
                        <w:top w:val="none" w:sz="0" w:space="0" w:color="auto"/>
                        <w:left w:val="none" w:sz="0" w:space="0" w:color="auto"/>
                        <w:bottom w:val="none" w:sz="0" w:space="0" w:color="auto"/>
                        <w:right w:val="none" w:sz="0" w:space="0" w:color="auto"/>
                      </w:divBdr>
                      <w:divsChild>
                        <w:div w:id="871697232">
                          <w:marLeft w:val="0"/>
                          <w:marRight w:val="0"/>
                          <w:marTop w:val="0"/>
                          <w:marBottom w:val="0"/>
                          <w:divBdr>
                            <w:top w:val="none" w:sz="0" w:space="0" w:color="auto"/>
                            <w:left w:val="none" w:sz="0" w:space="0" w:color="auto"/>
                            <w:bottom w:val="none" w:sz="0" w:space="0" w:color="auto"/>
                            <w:right w:val="none" w:sz="0" w:space="0" w:color="auto"/>
                          </w:divBdr>
                          <w:divsChild>
                            <w:div w:id="945650021">
                              <w:marLeft w:val="0"/>
                              <w:marRight w:val="0"/>
                              <w:marTop w:val="0"/>
                              <w:marBottom w:val="0"/>
                              <w:divBdr>
                                <w:top w:val="none" w:sz="0" w:space="0" w:color="auto"/>
                                <w:left w:val="none" w:sz="0" w:space="0" w:color="auto"/>
                                <w:bottom w:val="none" w:sz="0" w:space="0" w:color="auto"/>
                                <w:right w:val="none" w:sz="0" w:space="0" w:color="auto"/>
                              </w:divBdr>
                              <w:divsChild>
                                <w:div w:id="276764698">
                                  <w:marLeft w:val="0"/>
                                  <w:marRight w:val="0"/>
                                  <w:marTop w:val="0"/>
                                  <w:marBottom w:val="0"/>
                                  <w:divBdr>
                                    <w:top w:val="none" w:sz="0" w:space="0" w:color="auto"/>
                                    <w:left w:val="none" w:sz="0" w:space="0" w:color="auto"/>
                                    <w:bottom w:val="none" w:sz="0" w:space="0" w:color="auto"/>
                                    <w:right w:val="none" w:sz="0" w:space="0" w:color="auto"/>
                                  </w:divBdr>
                                  <w:divsChild>
                                    <w:div w:id="1802648610">
                                      <w:marLeft w:val="0"/>
                                      <w:marRight w:val="0"/>
                                      <w:marTop w:val="150"/>
                                      <w:marBottom w:val="0"/>
                                      <w:divBdr>
                                        <w:top w:val="none" w:sz="0" w:space="0" w:color="auto"/>
                                        <w:left w:val="none" w:sz="0" w:space="0" w:color="auto"/>
                                        <w:bottom w:val="none" w:sz="0" w:space="0" w:color="auto"/>
                                        <w:right w:val="none" w:sz="0" w:space="0" w:color="auto"/>
                                      </w:divBdr>
                                      <w:divsChild>
                                        <w:div w:id="871302110">
                                          <w:marLeft w:val="0"/>
                                          <w:marRight w:val="0"/>
                                          <w:marTop w:val="0"/>
                                          <w:marBottom w:val="0"/>
                                          <w:divBdr>
                                            <w:top w:val="none" w:sz="0" w:space="0" w:color="auto"/>
                                            <w:left w:val="none" w:sz="0" w:space="0" w:color="auto"/>
                                            <w:bottom w:val="none" w:sz="0" w:space="0" w:color="auto"/>
                                            <w:right w:val="none" w:sz="0" w:space="0" w:color="auto"/>
                                          </w:divBdr>
                                          <w:divsChild>
                                            <w:div w:id="1878200419">
                                              <w:marLeft w:val="0"/>
                                              <w:marRight w:val="0"/>
                                              <w:marTop w:val="0"/>
                                              <w:marBottom w:val="0"/>
                                              <w:divBdr>
                                                <w:top w:val="none" w:sz="0" w:space="0" w:color="auto"/>
                                                <w:left w:val="none" w:sz="0" w:space="0" w:color="auto"/>
                                                <w:bottom w:val="none" w:sz="0" w:space="0" w:color="auto"/>
                                                <w:right w:val="none" w:sz="0" w:space="0" w:color="auto"/>
                                              </w:divBdr>
                                              <w:divsChild>
                                                <w:div w:id="14924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874120">
      <w:bodyDiv w:val="1"/>
      <w:marLeft w:val="0"/>
      <w:marRight w:val="0"/>
      <w:marTop w:val="0"/>
      <w:marBottom w:val="0"/>
      <w:divBdr>
        <w:top w:val="none" w:sz="0" w:space="0" w:color="auto"/>
        <w:left w:val="none" w:sz="0" w:space="0" w:color="auto"/>
        <w:bottom w:val="none" w:sz="0" w:space="0" w:color="auto"/>
        <w:right w:val="none" w:sz="0" w:space="0" w:color="auto"/>
      </w:divBdr>
      <w:divsChild>
        <w:div w:id="750661132">
          <w:marLeft w:val="0"/>
          <w:marRight w:val="0"/>
          <w:marTop w:val="0"/>
          <w:marBottom w:val="0"/>
          <w:divBdr>
            <w:top w:val="none" w:sz="0" w:space="0" w:color="auto"/>
            <w:left w:val="none" w:sz="0" w:space="0" w:color="auto"/>
            <w:bottom w:val="none" w:sz="0" w:space="0" w:color="auto"/>
            <w:right w:val="none" w:sz="0" w:space="0" w:color="auto"/>
          </w:divBdr>
          <w:divsChild>
            <w:div w:id="967665385">
              <w:marLeft w:val="0"/>
              <w:marRight w:val="0"/>
              <w:marTop w:val="0"/>
              <w:marBottom w:val="0"/>
              <w:divBdr>
                <w:top w:val="none" w:sz="0" w:space="0" w:color="auto"/>
                <w:left w:val="none" w:sz="0" w:space="0" w:color="auto"/>
                <w:bottom w:val="none" w:sz="0" w:space="0" w:color="auto"/>
                <w:right w:val="none" w:sz="0" w:space="0" w:color="auto"/>
              </w:divBdr>
              <w:divsChild>
                <w:div w:id="1879782145">
                  <w:marLeft w:val="0"/>
                  <w:marRight w:val="0"/>
                  <w:marTop w:val="0"/>
                  <w:marBottom w:val="0"/>
                  <w:divBdr>
                    <w:top w:val="none" w:sz="0" w:space="0" w:color="auto"/>
                    <w:left w:val="none" w:sz="0" w:space="0" w:color="auto"/>
                    <w:bottom w:val="none" w:sz="0" w:space="0" w:color="auto"/>
                    <w:right w:val="none" w:sz="0" w:space="0" w:color="auto"/>
                  </w:divBdr>
                  <w:divsChild>
                    <w:div w:id="208227900">
                      <w:marLeft w:val="0"/>
                      <w:marRight w:val="0"/>
                      <w:marTop w:val="0"/>
                      <w:marBottom w:val="0"/>
                      <w:divBdr>
                        <w:top w:val="none" w:sz="0" w:space="0" w:color="auto"/>
                        <w:left w:val="none" w:sz="0" w:space="0" w:color="auto"/>
                        <w:bottom w:val="none" w:sz="0" w:space="0" w:color="auto"/>
                        <w:right w:val="none" w:sz="0" w:space="0" w:color="auto"/>
                      </w:divBdr>
                      <w:divsChild>
                        <w:div w:id="1430353668">
                          <w:marLeft w:val="0"/>
                          <w:marRight w:val="0"/>
                          <w:marTop w:val="0"/>
                          <w:marBottom w:val="0"/>
                          <w:divBdr>
                            <w:top w:val="none" w:sz="0" w:space="0" w:color="auto"/>
                            <w:left w:val="none" w:sz="0" w:space="0" w:color="auto"/>
                            <w:bottom w:val="none" w:sz="0" w:space="0" w:color="auto"/>
                            <w:right w:val="none" w:sz="0" w:space="0" w:color="auto"/>
                          </w:divBdr>
                          <w:divsChild>
                            <w:div w:id="15082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9986">
          <w:marLeft w:val="0"/>
          <w:marRight w:val="0"/>
          <w:marTop w:val="0"/>
          <w:marBottom w:val="0"/>
          <w:divBdr>
            <w:top w:val="none" w:sz="0" w:space="0" w:color="auto"/>
            <w:left w:val="none" w:sz="0" w:space="0" w:color="auto"/>
            <w:bottom w:val="none" w:sz="0" w:space="0" w:color="auto"/>
            <w:right w:val="none" w:sz="0" w:space="0" w:color="auto"/>
          </w:divBdr>
          <w:divsChild>
            <w:div w:id="1724594875">
              <w:marLeft w:val="0"/>
              <w:marRight w:val="-225"/>
              <w:marTop w:val="0"/>
              <w:marBottom w:val="0"/>
              <w:divBdr>
                <w:top w:val="none" w:sz="0" w:space="0" w:color="auto"/>
                <w:left w:val="none" w:sz="0" w:space="0" w:color="auto"/>
                <w:bottom w:val="none" w:sz="0" w:space="0" w:color="auto"/>
                <w:right w:val="none" w:sz="0" w:space="0" w:color="auto"/>
              </w:divBdr>
              <w:divsChild>
                <w:div w:id="801458866">
                  <w:marLeft w:val="0"/>
                  <w:marRight w:val="0"/>
                  <w:marTop w:val="0"/>
                  <w:marBottom w:val="0"/>
                  <w:divBdr>
                    <w:top w:val="none" w:sz="0" w:space="0" w:color="auto"/>
                    <w:left w:val="none" w:sz="0" w:space="0" w:color="auto"/>
                    <w:bottom w:val="none" w:sz="0" w:space="0" w:color="auto"/>
                    <w:right w:val="none" w:sz="0" w:space="0" w:color="auto"/>
                  </w:divBdr>
                  <w:divsChild>
                    <w:div w:id="161163695">
                      <w:marLeft w:val="0"/>
                      <w:marRight w:val="150"/>
                      <w:marTop w:val="0"/>
                      <w:marBottom w:val="75"/>
                      <w:divBdr>
                        <w:top w:val="none" w:sz="0" w:space="0" w:color="auto"/>
                        <w:left w:val="none" w:sz="0" w:space="0" w:color="auto"/>
                        <w:bottom w:val="none" w:sz="0" w:space="0" w:color="auto"/>
                        <w:right w:val="none" w:sz="0" w:space="0" w:color="auto"/>
                      </w:divBdr>
                      <w:divsChild>
                        <w:div w:id="2890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87703">
                  <w:marLeft w:val="0"/>
                  <w:marRight w:val="0"/>
                  <w:marTop w:val="0"/>
                  <w:marBottom w:val="0"/>
                  <w:divBdr>
                    <w:top w:val="none" w:sz="0" w:space="0" w:color="auto"/>
                    <w:left w:val="none" w:sz="0" w:space="0" w:color="auto"/>
                    <w:bottom w:val="none" w:sz="0" w:space="0" w:color="auto"/>
                    <w:right w:val="none" w:sz="0" w:space="0" w:color="auto"/>
                  </w:divBdr>
                  <w:divsChild>
                    <w:div w:id="706758385">
                      <w:marLeft w:val="0"/>
                      <w:marRight w:val="0"/>
                      <w:marTop w:val="0"/>
                      <w:marBottom w:val="0"/>
                      <w:divBdr>
                        <w:top w:val="none" w:sz="0" w:space="0" w:color="auto"/>
                        <w:left w:val="none" w:sz="0" w:space="0" w:color="auto"/>
                        <w:bottom w:val="none" w:sz="0" w:space="0" w:color="auto"/>
                        <w:right w:val="none" w:sz="0" w:space="0" w:color="auto"/>
                      </w:divBdr>
                    </w:div>
                    <w:div w:id="93786604">
                      <w:marLeft w:val="0"/>
                      <w:marRight w:val="0"/>
                      <w:marTop w:val="0"/>
                      <w:marBottom w:val="0"/>
                      <w:divBdr>
                        <w:top w:val="none" w:sz="0" w:space="0" w:color="auto"/>
                        <w:left w:val="none" w:sz="0" w:space="0" w:color="auto"/>
                        <w:bottom w:val="none" w:sz="0" w:space="0" w:color="auto"/>
                        <w:right w:val="none" w:sz="0" w:space="0" w:color="auto"/>
                      </w:divBdr>
                      <w:divsChild>
                        <w:div w:id="9833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259120">
      <w:bodyDiv w:val="1"/>
      <w:marLeft w:val="0"/>
      <w:marRight w:val="0"/>
      <w:marTop w:val="0"/>
      <w:marBottom w:val="0"/>
      <w:divBdr>
        <w:top w:val="none" w:sz="0" w:space="0" w:color="auto"/>
        <w:left w:val="none" w:sz="0" w:space="0" w:color="auto"/>
        <w:bottom w:val="none" w:sz="0" w:space="0" w:color="auto"/>
        <w:right w:val="none" w:sz="0" w:space="0" w:color="auto"/>
      </w:divBdr>
    </w:div>
    <w:div w:id="1191987653">
      <w:bodyDiv w:val="1"/>
      <w:marLeft w:val="0"/>
      <w:marRight w:val="0"/>
      <w:marTop w:val="0"/>
      <w:marBottom w:val="0"/>
      <w:divBdr>
        <w:top w:val="none" w:sz="0" w:space="0" w:color="auto"/>
        <w:left w:val="none" w:sz="0" w:space="0" w:color="auto"/>
        <w:bottom w:val="none" w:sz="0" w:space="0" w:color="auto"/>
        <w:right w:val="none" w:sz="0" w:space="0" w:color="auto"/>
      </w:divBdr>
      <w:divsChild>
        <w:div w:id="992371143">
          <w:marLeft w:val="0"/>
          <w:marRight w:val="0"/>
          <w:marTop w:val="0"/>
          <w:marBottom w:val="0"/>
          <w:divBdr>
            <w:top w:val="none" w:sz="0" w:space="0" w:color="auto"/>
            <w:left w:val="none" w:sz="0" w:space="0" w:color="auto"/>
            <w:bottom w:val="none" w:sz="0" w:space="0" w:color="auto"/>
            <w:right w:val="none" w:sz="0" w:space="0" w:color="auto"/>
          </w:divBdr>
        </w:div>
      </w:divsChild>
    </w:div>
    <w:div w:id="1192961731">
      <w:bodyDiv w:val="1"/>
      <w:marLeft w:val="0"/>
      <w:marRight w:val="0"/>
      <w:marTop w:val="0"/>
      <w:marBottom w:val="0"/>
      <w:divBdr>
        <w:top w:val="none" w:sz="0" w:space="0" w:color="auto"/>
        <w:left w:val="none" w:sz="0" w:space="0" w:color="auto"/>
        <w:bottom w:val="none" w:sz="0" w:space="0" w:color="auto"/>
        <w:right w:val="none" w:sz="0" w:space="0" w:color="auto"/>
      </w:divBdr>
      <w:divsChild>
        <w:div w:id="1625573337">
          <w:marLeft w:val="0"/>
          <w:marRight w:val="105"/>
          <w:marTop w:val="0"/>
          <w:marBottom w:val="0"/>
          <w:divBdr>
            <w:top w:val="single" w:sz="6" w:space="0" w:color="D1D1D1"/>
            <w:left w:val="single" w:sz="6" w:space="0" w:color="D1D1D1"/>
            <w:bottom w:val="none" w:sz="0" w:space="0" w:color="auto"/>
            <w:right w:val="none" w:sz="0" w:space="0" w:color="auto"/>
          </w:divBdr>
          <w:divsChild>
            <w:div w:id="888300070">
              <w:marLeft w:val="0"/>
              <w:marRight w:val="0"/>
              <w:marTop w:val="0"/>
              <w:marBottom w:val="0"/>
              <w:divBdr>
                <w:top w:val="none" w:sz="0" w:space="0" w:color="auto"/>
                <w:left w:val="none" w:sz="0" w:space="0" w:color="auto"/>
                <w:bottom w:val="none" w:sz="0" w:space="0" w:color="auto"/>
                <w:right w:val="none" w:sz="0" w:space="0" w:color="auto"/>
              </w:divBdr>
              <w:divsChild>
                <w:div w:id="6629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1789">
      <w:bodyDiv w:val="1"/>
      <w:marLeft w:val="0"/>
      <w:marRight w:val="0"/>
      <w:marTop w:val="0"/>
      <w:marBottom w:val="0"/>
      <w:divBdr>
        <w:top w:val="none" w:sz="0" w:space="0" w:color="auto"/>
        <w:left w:val="none" w:sz="0" w:space="0" w:color="auto"/>
        <w:bottom w:val="none" w:sz="0" w:space="0" w:color="auto"/>
        <w:right w:val="none" w:sz="0" w:space="0" w:color="auto"/>
      </w:divBdr>
    </w:div>
    <w:div w:id="1193566544">
      <w:bodyDiv w:val="1"/>
      <w:marLeft w:val="0"/>
      <w:marRight w:val="0"/>
      <w:marTop w:val="0"/>
      <w:marBottom w:val="0"/>
      <w:divBdr>
        <w:top w:val="none" w:sz="0" w:space="0" w:color="auto"/>
        <w:left w:val="none" w:sz="0" w:space="0" w:color="auto"/>
        <w:bottom w:val="none" w:sz="0" w:space="0" w:color="auto"/>
        <w:right w:val="none" w:sz="0" w:space="0" w:color="auto"/>
      </w:divBdr>
    </w:div>
    <w:div w:id="1195509033">
      <w:bodyDiv w:val="1"/>
      <w:marLeft w:val="0"/>
      <w:marRight w:val="0"/>
      <w:marTop w:val="0"/>
      <w:marBottom w:val="0"/>
      <w:divBdr>
        <w:top w:val="none" w:sz="0" w:space="0" w:color="auto"/>
        <w:left w:val="none" w:sz="0" w:space="0" w:color="auto"/>
        <w:bottom w:val="none" w:sz="0" w:space="0" w:color="auto"/>
        <w:right w:val="none" w:sz="0" w:space="0" w:color="auto"/>
      </w:divBdr>
      <w:divsChild>
        <w:div w:id="1865172557">
          <w:marLeft w:val="0"/>
          <w:marRight w:val="0"/>
          <w:marTop w:val="0"/>
          <w:marBottom w:val="100"/>
          <w:divBdr>
            <w:top w:val="none" w:sz="0" w:space="0" w:color="auto"/>
            <w:left w:val="none" w:sz="0" w:space="0" w:color="auto"/>
            <w:bottom w:val="none" w:sz="0" w:space="0" w:color="auto"/>
            <w:right w:val="none" w:sz="0" w:space="0" w:color="auto"/>
          </w:divBdr>
        </w:div>
        <w:div w:id="47264006">
          <w:marLeft w:val="0"/>
          <w:marRight w:val="0"/>
          <w:marTop w:val="0"/>
          <w:marBottom w:val="0"/>
          <w:divBdr>
            <w:top w:val="none" w:sz="0" w:space="0" w:color="auto"/>
            <w:left w:val="none" w:sz="0" w:space="0" w:color="auto"/>
            <w:bottom w:val="none" w:sz="0" w:space="0" w:color="auto"/>
            <w:right w:val="none" w:sz="0" w:space="0" w:color="auto"/>
          </w:divBdr>
        </w:div>
      </w:divsChild>
    </w:div>
    <w:div w:id="1195802617">
      <w:bodyDiv w:val="1"/>
      <w:marLeft w:val="0"/>
      <w:marRight w:val="0"/>
      <w:marTop w:val="0"/>
      <w:marBottom w:val="0"/>
      <w:divBdr>
        <w:top w:val="none" w:sz="0" w:space="0" w:color="auto"/>
        <w:left w:val="none" w:sz="0" w:space="0" w:color="auto"/>
        <w:bottom w:val="none" w:sz="0" w:space="0" w:color="auto"/>
        <w:right w:val="none" w:sz="0" w:space="0" w:color="auto"/>
      </w:divBdr>
      <w:divsChild>
        <w:div w:id="880634362">
          <w:marLeft w:val="0"/>
          <w:marRight w:val="0"/>
          <w:marTop w:val="0"/>
          <w:marBottom w:val="0"/>
          <w:divBdr>
            <w:top w:val="none" w:sz="0" w:space="0" w:color="auto"/>
            <w:left w:val="none" w:sz="0" w:space="0" w:color="auto"/>
            <w:bottom w:val="none" w:sz="0" w:space="0" w:color="auto"/>
            <w:right w:val="none" w:sz="0" w:space="0" w:color="auto"/>
          </w:divBdr>
          <w:divsChild>
            <w:div w:id="1198852718">
              <w:marLeft w:val="210"/>
              <w:marRight w:val="0"/>
              <w:marTop w:val="0"/>
              <w:marBottom w:val="0"/>
              <w:divBdr>
                <w:top w:val="none" w:sz="0" w:space="0" w:color="auto"/>
                <w:left w:val="none" w:sz="0" w:space="0" w:color="auto"/>
                <w:bottom w:val="none" w:sz="0" w:space="0" w:color="auto"/>
                <w:right w:val="none" w:sz="0" w:space="0" w:color="auto"/>
              </w:divBdr>
              <w:divsChild>
                <w:div w:id="18391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466">
      <w:bodyDiv w:val="1"/>
      <w:marLeft w:val="0"/>
      <w:marRight w:val="0"/>
      <w:marTop w:val="0"/>
      <w:marBottom w:val="0"/>
      <w:divBdr>
        <w:top w:val="none" w:sz="0" w:space="0" w:color="auto"/>
        <w:left w:val="none" w:sz="0" w:space="0" w:color="auto"/>
        <w:bottom w:val="none" w:sz="0" w:space="0" w:color="auto"/>
        <w:right w:val="none" w:sz="0" w:space="0" w:color="auto"/>
      </w:divBdr>
      <w:divsChild>
        <w:div w:id="1363750220">
          <w:marLeft w:val="0"/>
          <w:marRight w:val="0"/>
          <w:marTop w:val="0"/>
          <w:marBottom w:val="0"/>
          <w:divBdr>
            <w:top w:val="single" w:sz="2" w:space="0" w:color="AAAAAA"/>
            <w:left w:val="single" w:sz="6" w:space="8" w:color="AAAAAA"/>
            <w:bottom w:val="single" w:sz="2" w:space="0" w:color="AAAAAA"/>
            <w:right w:val="single" w:sz="6" w:space="8" w:color="AAAAAA"/>
          </w:divBdr>
          <w:divsChild>
            <w:div w:id="829174312">
              <w:marLeft w:val="0"/>
              <w:marRight w:val="0"/>
              <w:marTop w:val="0"/>
              <w:marBottom w:val="0"/>
              <w:divBdr>
                <w:top w:val="none" w:sz="0" w:space="0" w:color="auto"/>
                <w:left w:val="none" w:sz="0" w:space="0" w:color="auto"/>
                <w:bottom w:val="none" w:sz="0" w:space="0" w:color="auto"/>
                <w:right w:val="none" w:sz="0" w:space="0" w:color="auto"/>
              </w:divBdr>
              <w:divsChild>
                <w:div w:id="1157263342">
                  <w:marLeft w:val="0"/>
                  <w:marRight w:val="0"/>
                  <w:marTop w:val="0"/>
                  <w:marBottom w:val="0"/>
                  <w:divBdr>
                    <w:top w:val="none" w:sz="0" w:space="0" w:color="auto"/>
                    <w:left w:val="none" w:sz="0" w:space="0" w:color="auto"/>
                    <w:bottom w:val="none" w:sz="0" w:space="0" w:color="auto"/>
                    <w:right w:val="none" w:sz="0" w:space="0" w:color="auto"/>
                  </w:divBdr>
                  <w:divsChild>
                    <w:div w:id="830826675">
                      <w:marLeft w:val="0"/>
                      <w:marRight w:val="2550"/>
                      <w:marTop w:val="0"/>
                      <w:marBottom w:val="48"/>
                      <w:divBdr>
                        <w:top w:val="none" w:sz="0" w:space="0" w:color="auto"/>
                        <w:left w:val="none" w:sz="0" w:space="0" w:color="auto"/>
                        <w:bottom w:val="none" w:sz="0" w:space="0" w:color="auto"/>
                        <w:right w:val="none" w:sz="0" w:space="0" w:color="auto"/>
                      </w:divBdr>
                      <w:divsChild>
                        <w:div w:id="1403716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96886072">
      <w:bodyDiv w:val="1"/>
      <w:marLeft w:val="0"/>
      <w:marRight w:val="0"/>
      <w:marTop w:val="0"/>
      <w:marBottom w:val="0"/>
      <w:divBdr>
        <w:top w:val="none" w:sz="0" w:space="0" w:color="auto"/>
        <w:left w:val="none" w:sz="0" w:space="0" w:color="auto"/>
        <w:bottom w:val="none" w:sz="0" w:space="0" w:color="auto"/>
        <w:right w:val="none" w:sz="0" w:space="0" w:color="auto"/>
      </w:divBdr>
    </w:div>
    <w:div w:id="1197160460">
      <w:bodyDiv w:val="1"/>
      <w:marLeft w:val="0"/>
      <w:marRight w:val="0"/>
      <w:marTop w:val="0"/>
      <w:marBottom w:val="0"/>
      <w:divBdr>
        <w:top w:val="none" w:sz="0" w:space="0" w:color="auto"/>
        <w:left w:val="none" w:sz="0" w:space="0" w:color="auto"/>
        <w:bottom w:val="none" w:sz="0" w:space="0" w:color="auto"/>
        <w:right w:val="none" w:sz="0" w:space="0" w:color="auto"/>
      </w:divBdr>
    </w:div>
    <w:div w:id="1197743095">
      <w:bodyDiv w:val="1"/>
      <w:marLeft w:val="0"/>
      <w:marRight w:val="0"/>
      <w:marTop w:val="100"/>
      <w:marBottom w:val="100"/>
      <w:divBdr>
        <w:top w:val="none" w:sz="0" w:space="0" w:color="auto"/>
        <w:left w:val="none" w:sz="0" w:space="0" w:color="auto"/>
        <w:bottom w:val="none" w:sz="0" w:space="0" w:color="auto"/>
        <w:right w:val="none" w:sz="0" w:space="0" w:color="auto"/>
      </w:divBdr>
      <w:divsChild>
        <w:div w:id="351105828">
          <w:marLeft w:val="0"/>
          <w:marRight w:val="0"/>
          <w:marTop w:val="0"/>
          <w:marBottom w:val="0"/>
          <w:divBdr>
            <w:top w:val="none" w:sz="0" w:space="0" w:color="auto"/>
            <w:left w:val="none" w:sz="0" w:space="0" w:color="auto"/>
            <w:bottom w:val="none" w:sz="0" w:space="0" w:color="auto"/>
            <w:right w:val="none" w:sz="0" w:space="0" w:color="auto"/>
          </w:divBdr>
          <w:divsChild>
            <w:div w:id="2018462048">
              <w:marLeft w:val="0"/>
              <w:marRight w:val="0"/>
              <w:marTop w:val="0"/>
              <w:marBottom w:val="0"/>
              <w:divBdr>
                <w:top w:val="none" w:sz="0" w:space="0" w:color="auto"/>
                <w:left w:val="none" w:sz="0" w:space="0" w:color="auto"/>
                <w:bottom w:val="none" w:sz="0" w:space="0" w:color="auto"/>
                <w:right w:val="none" w:sz="0" w:space="0" w:color="auto"/>
              </w:divBdr>
              <w:divsChild>
                <w:div w:id="2048023778">
                  <w:marLeft w:val="0"/>
                  <w:marRight w:val="0"/>
                  <w:marTop w:val="0"/>
                  <w:marBottom w:val="0"/>
                  <w:divBdr>
                    <w:top w:val="none" w:sz="0" w:space="0" w:color="auto"/>
                    <w:left w:val="single" w:sz="4" w:space="0" w:color="0B5092"/>
                    <w:bottom w:val="none" w:sz="0" w:space="0" w:color="auto"/>
                    <w:right w:val="single" w:sz="4" w:space="0" w:color="0B5092"/>
                  </w:divBdr>
                  <w:divsChild>
                    <w:div w:id="825127223">
                      <w:marLeft w:val="0"/>
                      <w:marRight w:val="0"/>
                      <w:marTop w:val="0"/>
                      <w:marBottom w:val="0"/>
                      <w:divBdr>
                        <w:top w:val="none" w:sz="0" w:space="0" w:color="auto"/>
                        <w:left w:val="none" w:sz="0" w:space="0" w:color="auto"/>
                        <w:bottom w:val="none" w:sz="0" w:space="0" w:color="auto"/>
                        <w:right w:val="none" w:sz="0" w:space="0" w:color="auto"/>
                      </w:divBdr>
                      <w:divsChild>
                        <w:div w:id="1368917103">
                          <w:marLeft w:val="0"/>
                          <w:marRight w:val="0"/>
                          <w:marTop w:val="0"/>
                          <w:marBottom w:val="0"/>
                          <w:divBdr>
                            <w:top w:val="none" w:sz="0" w:space="0" w:color="auto"/>
                            <w:left w:val="none" w:sz="0" w:space="0" w:color="auto"/>
                            <w:bottom w:val="none" w:sz="0" w:space="0" w:color="auto"/>
                            <w:right w:val="none" w:sz="0" w:space="0" w:color="auto"/>
                          </w:divBdr>
                          <w:divsChild>
                            <w:div w:id="1929921376">
                              <w:marLeft w:val="0"/>
                              <w:marRight w:val="0"/>
                              <w:marTop w:val="0"/>
                              <w:marBottom w:val="0"/>
                              <w:divBdr>
                                <w:top w:val="none" w:sz="0" w:space="0" w:color="auto"/>
                                <w:left w:val="none" w:sz="0" w:space="0" w:color="auto"/>
                                <w:bottom w:val="none" w:sz="0" w:space="0" w:color="auto"/>
                                <w:right w:val="none" w:sz="0" w:space="0" w:color="auto"/>
                              </w:divBdr>
                              <w:divsChild>
                                <w:div w:id="476922023">
                                  <w:marLeft w:val="0"/>
                                  <w:marRight w:val="0"/>
                                  <w:marTop w:val="0"/>
                                  <w:marBottom w:val="0"/>
                                  <w:divBdr>
                                    <w:top w:val="none" w:sz="0" w:space="0" w:color="auto"/>
                                    <w:left w:val="none" w:sz="0" w:space="0" w:color="auto"/>
                                    <w:bottom w:val="none" w:sz="0" w:space="0" w:color="auto"/>
                                    <w:right w:val="none" w:sz="0" w:space="0" w:color="auto"/>
                                  </w:divBdr>
                                  <w:divsChild>
                                    <w:div w:id="1585262492">
                                      <w:marLeft w:val="0"/>
                                      <w:marRight w:val="0"/>
                                      <w:marTop w:val="0"/>
                                      <w:marBottom w:val="0"/>
                                      <w:divBdr>
                                        <w:top w:val="none" w:sz="0" w:space="0" w:color="auto"/>
                                        <w:left w:val="none" w:sz="0" w:space="0" w:color="auto"/>
                                        <w:bottom w:val="none" w:sz="0" w:space="0" w:color="auto"/>
                                        <w:right w:val="none" w:sz="0" w:space="0" w:color="auto"/>
                                      </w:divBdr>
                                      <w:divsChild>
                                        <w:div w:id="1167595277">
                                          <w:marLeft w:val="0"/>
                                          <w:marRight w:val="0"/>
                                          <w:marTop w:val="0"/>
                                          <w:marBottom w:val="0"/>
                                          <w:divBdr>
                                            <w:top w:val="none" w:sz="0" w:space="0" w:color="auto"/>
                                            <w:left w:val="none" w:sz="0" w:space="0" w:color="auto"/>
                                            <w:bottom w:val="none" w:sz="0" w:space="0" w:color="auto"/>
                                            <w:right w:val="none" w:sz="0" w:space="0" w:color="auto"/>
                                          </w:divBdr>
                                          <w:divsChild>
                                            <w:div w:id="128517202">
                                              <w:marLeft w:val="100"/>
                                              <w:marRight w:val="100"/>
                                              <w:marTop w:val="100"/>
                                              <w:marBottom w:val="100"/>
                                              <w:divBdr>
                                                <w:top w:val="none" w:sz="0" w:space="0" w:color="auto"/>
                                                <w:left w:val="none" w:sz="0" w:space="0" w:color="auto"/>
                                                <w:bottom w:val="none" w:sz="0" w:space="0" w:color="auto"/>
                                                <w:right w:val="none" w:sz="0" w:space="0" w:color="auto"/>
                                              </w:divBdr>
                                              <w:divsChild>
                                                <w:div w:id="2122410352">
                                                  <w:marLeft w:val="0"/>
                                                  <w:marRight w:val="0"/>
                                                  <w:marTop w:val="0"/>
                                                  <w:marBottom w:val="0"/>
                                                  <w:divBdr>
                                                    <w:top w:val="none" w:sz="0" w:space="0" w:color="auto"/>
                                                    <w:left w:val="none" w:sz="0" w:space="0" w:color="auto"/>
                                                    <w:bottom w:val="none" w:sz="0" w:space="0" w:color="auto"/>
                                                    <w:right w:val="none" w:sz="0" w:space="0" w:color="auto"/>
                                                  </w:divBdr>
                                                  <w:divsChild>
                                                    <w:div w:id="1846049550">
                                                      <w:marLeft w:val="0"/>
                                                      <w:marRight w:val="75"/>
                                                      <w:marTop w:val="0"/>
                                                      <w:marBottom w:val="0"/>
                                                      <w:divBdr>
                                                        <w:top w:val="none" w:sz="0" w:space="0" w:color="auto"/>
                                                        <w:left w:val="none" w:sz="0" w:space="0" w:color="auto"/>
                                                        <w:bottom w:val="none" w:sz="0" w:space="0" w:color="auto"/>
                                                        <w:right w:val="none" w:sz="0" w:space="0" w:color="auto"/>
                                                      </w:divBdr>
                                                      <w:divsChild>
                                                        <w:div w:id="1893615937">
                                                          <w:marLeft w:val="50"/>
                                                          <w:marRight w:val="-75"/>
                                                          <w:marTop w:val="0"/>
                                                          <w:marBottom w:val="0"/>
                                                          <w:divBdr>
                                                            <w:top w:val="none" w:sz="0" w:space="0" w:color="auto"/>
                                                            <w:left w:val="none" w:sz="0" w:space="0" w:color="auto"/>
                                                            <w:bottom w:val="none" w:sz="0" w:space="0" w:color="auto"/>
                                                            <w:right w:val="none" w:sz="0" w:space="0" w:color="auto"/>
                                                          </w:divBdr>
                                                          <w:divsChild>
                                                            <w:div w:id="16867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8346985">
      <w:bodyDiv w:val="1"/>
      <w:marLeft w:val="0"/>
      <w:marRight w:val="0"/>
      <w:marTop w:val="0"/>
      <w:marBottom w:val="0"/>
      <w:divBdr>
        <w:top w:val="none" w:sz="0" w:space="0" w:color="auto"/>
        <w:left w:val="none" w:sz="0" w:space="0" w:color="auto"/>
        <w:bottom w:val="none" w:sz="0" w:space="0" w:color="auto"/>
        <w:right w:val="none" w:sz="0" w:space="0" w:color="auto"/>
      </w:divBdr>
    </w:div>
    <w:div w:id="1199781561">
      <w:bodyDiv w:val="1"/>
      <w:marLeft w:val="0"/>
      <w:marRight w:val="0"/>
      <w:marTop w:val="0"/>
      <w:marBottom w:val="0"/>
      <w:divBdr>
        <w:top w:val="none" w:sz="0" w:space="0" w:color="auto"/>
        <w:left w:val="none" w:sz="0" w:space="0" w:color="auto"/>
        <w:bottom w:val="none" w:sz="0" w:space="0" w:color="auto"/>
        <w:right w:val="none" w:sz="0" w:space="0" w:color="auto"/>
      </w:divBdr>
      <w:divsChild>
        <w:div w:id="1819105254">
          <w:marLeft w:val="0"/>
          <w:marRight w:val="0"/>
          <w:marTop w:val="0"/>
          <w:marBottom w:val="0"/>
          <w:divBdr>
            <w:top w:val="none" w:sz="0" w:space="0" w:color="auto"/>
            <w:left w:val="none" w:sz="0" w:space="0" w:color="auto"/>
            <w:bottom w:val="none" w:sz="0" w:space="0" w:color="auto"/>
            <w:right w:val="none" w:sz="0" w:space="0" w:color="auto"/>
          </w:divBdr>
          <w:divsChild>
            <w:div w:id="1955624978">
              <w:marLeft w:val="0"/>
              <w:marRight w:val="0"/>
              <w:marTop w:val="0"/>
              <w:marBottom w:val="0"/>
              <w:divBdr>
                <w:top w:val="none" w:sz="0" w:space="0" w:color="auto"/>
                <w:left w:val="none" w:sz="0" w:space="0" w:color="auto"/>
                <w:bottom w:val="none" w:sz="0" w:space="0" w:color="auto"/>
                <w:right w:val="none" w:sz="0" w:space="0" w:color="auto"/>
              </w:divBdr>
              <w:divsChild>
                <w:div w:id="991104854">
                  <w:marLeft w:val="0"/>
                  <w:marRight w:val="0"/>
                  <w:marTop w:val="0"/>
                  <w:marBottom w:val="0"/>
                  <w:divBdr>
                    <w:top w:val="none" w:sz="0" w:space="0" w:color="auto"/>
                    <w:left w:val="none" w:sz="0" w:space="0" w:color="auto"/>
                    <w:bottom w:val="none" w:sz="0" w:space="0" w:color="auto"/>
                    <w:right w:val="none" w:sz="0" w:space="0" w:color="auto"/>
                  </w:divBdr>
                  <w:divsChild>
                    <w:div w:id="1034499444">
                      <w:marLeft w:val="0"/>
                      <w:marRight w:val="0"/>
                      <w:marTop w:val="0"/>
                      <w:marBottom w:val="0"/>
                      <w:divBdr>
                        <w:top w:val="none" w:sz="0" w:space="0" w:color="auto"/>
                        <w:left w:val="none" w:sz="0" w:space="0" w:color="auto"/>
                        <w:bottom w:val="none" w:sz="0" w:space="0" w:color="auto"/>
                        <w:right w:val="none" w:sz="0" w:space="0" w:color="auto"/>
                      </w:divBdr>
                      <w:divsChild>
                        <w:div w:id="11500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336531">
      <w:bodyDiv w:val="1"/>
      <w:marLeft w:val="0"/>
      <w:marRight w:val="0"/>
      <w:marTop w:val="0"/>
      <w:marBottom w:val="0"/>
      <w:divBdr>
        <w:top w:val="none" w:sz="0" w:space="0" w:color="auto"/>
        <w:left w:val="none" w:sz="0" w:space="0" w:color="auto"/>
        <w:bottom w:val="none" w:sz="0" w:space="0" w:color="auto"/>
        <w:right w:val="none" w:sz="0" w:space="0" w:color="auto"/>
      </w:divBdr>
      <w:divsChild>
        <w:div w:id="852453825">
          <w:marLeft w:val="0"/>
          <w:marRight w:val="0"/>
          <w:marTop w:val="0"/>
          <w:marBottom w:val="0"/>
          <w:divBdr>
            <w:top w:val="none" w:sz="0" w:space="0" w:color="auto"/>
            <w:left w:val="none" w:sz="0" w:space="0" w:color="auto"/>
            <w:bottom w:val="none" w:sz="0" w:space="0" w:color="auto"/>
            <w:right w:val="none" w:sz="0" w:space="0" w:color="auto"/>
          </w:divBdr>
          <w:divsChild>
            <w:div w:id="211964908">
              <w:marLeft w:val="210"/>
              <w:marRight w:val="0"/>
              <w:marTop w:val="0"/>
              <w:marBottom w:val="0"/>
              <w:divBdr>
                <w:top w:val="none" w:sz="0" w:space="0" w:color="auto"/>
                <w:left w:val="none" w:sz="0" w:space="0" w:color="auto"/>
                <w:bottom w:val="none" w:sz="0" w:space="0" w:color="auto"/>
                <w:right w:val="none" w:sz="0" w:space="0" w:color="auto"/>
              </w:divBdr>
              <w:divsChild>
                <w:div w:id="4317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5689">
      <w:bodyDiv w:val="1"/>
      <w:marLeft w:val="0"/>
      <w:marRight w:val="0"/>
      <w:marTop w:val="0"/>
      <w:marBottom w:val="0"/>
      <w:divBdr>
        <w:top w:val="none" w:sz="0" w:space="0" w:color="auto"/>
        <w:left w:val="none" w:sz="0" w:space="0" w:color="auto"/>
        <w:bottom w:val="none" w:sz="0" w:space="0" w:color="auto"/>
        <w:right w:val="none" w:sz="0" w:space="0" w:color="auto"/>
      </w:divBdr>
    </w:div>
    <w:div w:id="1206604779">
      <w:bodyDiv w:val="1"/>
      <w:marLeft w:val="0"/>
      <w:marRight w:val="0"/>
      <w:marTop w:val="0"/>
      <w:marBottom w:val="0"/>
      <w:divBdr>
        <w:top w:val="none" w:sz="0" w:space="0" w:color="auto"/>
        <w:left w:val="none" w:sz="0" w:space="0" w:color="auto"/>
        <w:bottom w:val="none" w:sz="0" w:space="0" w:color="auto"/>
        <w:right w:val="none" w:sz="0" w:space="0" w:color="auto"/>
      </w:divBdr>
    </w:div>
    <w:div w:id="1206912369">
      <w:bodyDiv w:val="1"/>
      <w:marLeft w:val="0"/>
      <w:marRight w:val="0"/>
      <w:marTop w:val="0"/>
      <w:marBottom w:val="0"/>
      <w:divBdr>
        <w:top w:val="none" w:sz="0" w:space="0" w:color="auto"/>
        <w:left w:val="none" w:sz="0" w:space="0" w:color="auto"/>
        <w:bottom w:val="none" w:sz="0" w:space="0" w:color="auto"/>
        <w:right w:val="none" w:sz="0" w:space="0" w:color="auto"/>
      </w:divBdr>
    </w:div>
    <w:div w:id="1208225350">
      <w:bodyDiv w:val="1"/>
      <w:marLeft w:val="0"/>
      <w:marRight w:val="0"/>
      <w:marTop w:val="0"/>
      <w:marBottom w:val="0"/>
      <w:divBdr>
        <w:top w:val="none" w:sz="0" w:space="0" w:color="auto"/>
        <w:left w:val="none" w:sz="0" w:space="0" w:color="auto"/>
        <w:bottom w:val="none" w:sz="0" w:space="0" w:color="auto"/>
        <w:right w:val="none" w:sz="0" w:space="0" w:color="auto"/>
      </w:divBdr>
      <w:divsChild>
        <w:div w:id="1975669594">
          <w:marLeft w:val="-225"/>
          <w:marRight w:val="-225"/>
          <w:marTop w:val="0"/>
          <w:marBottom w:val="0"/>
          <w:divBdr>
            <w:top w:val="none" w:sz="0" w:space="0" w:color="auto"/>
            <w:left w:val="none" w:sz="0" w:space="0" w:color="auto"/>
            <w:bottom w:val="none" w:sz="0" w:space="0" w:color="auto"/>
            <w:right w:val="none" w:sz="0" w:space="0" w:color="auto"/>
          </w:divBdr>
          <w:divsChild>
            <w:div w:id="1227181331">
              <w:marLeft w:val="0"/>
              <w:marRight w:val="0"/>
              <w:marTop w:val="0"/>
              <w:marBottom w:val="0"/>
              <w:divBdr>
                <w:top w:val="none" w:sz="0" w:space="0" w:color="auto"/>
                <w:left w:val="none" w:sz="0" w:space="0" w:color="auto"/>
                <w:bottom w:val="none" w:sz="0" w:space="0" w:color="auto"/>
                <w:right w:val="none" w:sz="0" w:space="0" w:color="auto"/>
              </w:divBdr>
              <w:divsChild>
                <w:div w:id="2025280570">
                  <w:marLeft w:val="0"/>
                  <w:marRight w:val="0"/>
                  <w:marTop w:val="0"/>
                  <w:marBottom w:val="0"/>
                  <w:divBdr>
                    <w:top w:val="none" w:sz="0" w:space="0" w:color="auto"/>
                    <w:left w:val="none" w:sz="0" w:space="0" w:color="auto"/>
                    <w:bottom w:val="none" w:sz="0" w:space="0" w:color="auto"/>
                    <w:right w:val="none" w:sz="0" w:space="0" w:color="auto"/>
                  </w:divBdr>
                  <w:divsChild>
                    <w:div w:id="864945672">
                      <w:marLeft w:val="0"/>
                      <w:marRight w:val="0"/>
                      <w:marTop w:val="0"/>
                      <w:marBottom w:val="0"/>
                      <w:divBdr>
                        <w:top w:val="none" w:sz="0" w:space="0" w:color="auto"/>
                        <w:left w:val="none" w:sz="0" w:space="0" w:color="auto"/>
                        <w:bottom w:val="none" w:sz="0" w:space="0" w:color="auto"/>
                        <w:right w:val="none" w:sz="0" w:space="0" w:color="auto"/>
                      </w:divBdr>
                      <w:divsChild>
                        <w:div w:id="367149379">
                          <w:marLeft w:val="0"/>
                          <w:marRight w:val="0"/>
                          <w:marTop w:val="0"/>
                          <w:marBottom w:val="525"/>
                          <w:divBdr>
                            <w:top w:val="none" w:sz="0" w:space="0" w:color="auto"/>
                            <w:left w:val="none" w:sz="0" w:space="0" w:color="auto"/>
                            <w:bottom w:val="none" w:sz="0" w:space="0" w:color="auto"/>
                            <w:right w:val="none" w:sz="0" w:space="0" w:color="auto"/>
                          </w:divBdr>
                          <w:divsChild>
                            <w:div w:id="16903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259442">
          <w:marLeft w:val="-225"/>
          <w:marRight w:val="-225"/>
          <w:marTop w:val="0"/>
          <w:marBottom w:val="0"/>
          <w:divBdr>
            <w:top w:val="none" w:sz="0" w:space="0" w:color="auto"/>
            <w:left w:val="none" w:sz="0" w:space="0" w:color="auto"/>
            <w:bottom w:val="none" w:sz="0" w:space="0" w:color="auto"/>
            <w:right w:val="none" w:sz="0" w:space="0" w:color="auto"/>
          </w:divBdr>
          <w:divsChild>
            <w:div w:id="1426077362">
              <w:marLeft w:val="0"/>
              <w:marRight w:val="0"/>
              <w:marTop w:val="0"/>
              <w:marBottom w:val="0"/>
              <w:divBdr>
                <w:top w:val="none" w:sz="0" w:space="0" w:color="auto"/>
                <w:left w:val="none" w:sz="0" w:space="0" w:color="auto"/>
                <w:bottom w:val="none" w:sz="0" w:space="0" w:color="auto"/>
                <w:right w:val="none" w:sz="0" w:space="0" w:color="auto"/>
              </w:divBdr>
              <w:divsChild>
                <w:div w:id="587470114">
                  <w:marLeft w:val="0"/>
                  <w:marRight w:val="0"/>
                  <w:marTop w:val="0"/>
                  <w:marBottom w:val="0"/>
                  <w:divBdr>
                    <w:top w:val="none" w:sz="0" w:space="0" w:color="auto"/>
                    <w:left w:val="none" w:sz="0" w:space="0" w:color="auto"/>
                    <w:bottom w:val="none" w:sz="0" w:space="0" w:color="auto"/>
                    <w:right w:val="none" w:sz="0" w:space="0" w:color="auto"/>
                  </w:divBdr>
                  <w:divsChild>
                    <w:div w:id="69348870">
                      <w:marLeft w:val="0"/>
                      <w:marRight w:val="0"/>
                      <w:marTop w:val="0"/>
                      <w:marBottom w:val="0"/>
                      <w:divBdr>
                        <w:top w:val="none" w:sz="0" w:space="0" w:color="auto"/>
                        <w:left w:val="none" w:sz="0" w:space="0" w:color="auto"/>
                        <w:bottom w:val="none" w:sz="0" w:space="0" w:color="auto"/>
                        <w:right w:val="none" w:sz="0" w:space="0" w:color="auto"/>
                      </w:divBdr>
                      <w:divsChild>
                        <w:div w:id="1514150857">
                          <w:marLeft w:val="0"/>
                          <w:marRight w:val="0"/>
                          <w:marTop w:val="0"/>
                          <w:marBottom w:val="0"/>
                          <w:divBdr>
                            <w:top w:val="none" w:sz="0" w:space="0" w:color="auto"/>
                            <w:left w:val="none" w:sz="0" w:space="0" w:color="auto"/>
                            <w:bottom w:val="none" w:sz="0" w:space="0" w:color="auto"/>
                            <w:right w:val="none" w:sz="0" w:space="0" w:color="auto"/>
                          </w:divBdr>
                          <w:divsChild>
                            <w:div w:id="9321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293453">
      <w:bodyDiv w:val="1"/>
      <w:marLeft w:val="0"/>
      <w:marRight w:val="0"/>
      <w:marTop w:val="0"/>
      <w:marBottom w:val="0"/>
      <w:divBdr>
        <w:top w:val="none" w:sz="0" w:space="0" w:color="auto"/>
        <w:left w:val="none" w:sz="0" w:space="0" w:color="auto"/>
        <w:bottom w:val="none" w:sz="0" w:space="0" w:color="auto"/>
        <w:right w:val="none" w:sz="0" w:space="0" w:color="auto"/>
      </w:divBdr>
    </w:div>
    <w:div w:id="1210384883">
      <w:bodyDiv w:val="1"/>
      <w:marLeft w:val="0"/>
      <w:marRight w:val="0"/>
      <w:marTop w:val="0"/>
      <w:marBottom w:val="0"/>
      <w:divBdr>
        <w:top w:val="none" w:sz="0" w:space="0" w:color="auto"/>
        <w:left w:val="none" w:sz="0" w:space="0" w:color="auto"/>
        <w:bottom w:val="none" w:sz="0" w:space="0" w:color="auto"/>
        <w:right w:val="none" w:sz="0" w:space="0" w:color="auto"/>
      </w:divBdr>
      <w:divsChild>
        <w:div w:id="2122452685">
          <w:marLeft w:val="0"/>
          <w:marRight w:val="0"/>
          <w:marTop w:val="0"/>
          <w:marBottom w:val="0"/>
          <w:divBdr>
            <w:top w:val="single" w:sz="6" w:space="0" w:color="0E477A"/>
            <w:left w:val="single" w:sz="6" w:space="0" w:color="0E477A"/>
            <w:bottom w:val="single" w:sz="6" w:space="0" w:color="0E477A"/>
            <w:right w:val="single" w:sz="6" w:space="0" w:color="0E477A"/>
          </w:divBdr>
          <w:divsChild>
            <w:div w:id="659235535">
              <w:marLeft w:val="2925"/>
              <w:marRight w:val="0"/>
              <w:marTop w:val="0"/>
              <w:marBottom w:val="0"/>
              <w:divBdr>
                <w:top w:val="none" w:sz="0" w:space="0" w:color="auto"/>
                <w:left w:val="none" w:sz="0" w:space="0" w:color="auto"/>
                <w:bottom w:val="none" w:sz="0" w:space="0" w:color="auto"/>
                <w:right w:val="none" w:sz="0" w:space="0" w:color="auto"/>
              </w:divBdr>
              <w:divsChild>
                <w:div w:id="793523581">
                  <w:marLeft w:val="0"/>
                  <w:marRight w:val="0"/>
                  <w:marTop w:val="0"/>
                  <w:marBottom w:val="0"/>
                  <w:divBdr>
                    <w:top w:val="none" w:sz="0" w:space="0" w:color="auto"/>
                    <w:left w:val="none" w:sz="0" w:space="0" w:color="auto"/>
                    <w:bottom w:val="none" w:sz="0" w:space="0" w:color="auto"/>
                    <w:right w:val="none" w:sz="0" w:space="0" w:color="auto"/>
                  </w:divBdr>
                  <w:divsChild>
                    <w:div w:id="1567915895">
                      <w:marLeft w:val="0"/>
                      <w:marRight w:val="150"/>
                      <w:marTop w:val="0"/>
                      <w:marBottom w:val="0"/>
                      <w:divBdr>
                        <w:top w:val="single" w:sz="6" w:space="0" w:color="CCCCCC"/>
                        <w:left w:val="single" w:sz="6" w:space="8" w:color="CCCCCC"/>
                        <w:bottom w:val="single" w:sz="6" w:space="8" w:color="CCCCCC"/>
                        <w:right w:val="single" w:sz="6" w:space="8" w:color="CCCCCC"/>
                      </w:divBdr>
                      <w:divsChild>
                        <w:div w:id="1420062080">
                          <w:marLeft w:val="0"/>
                          <w:marRight w:val="0"/>
                          <w:marTop w:val="0"/>
                          <w:marBottom w:val="0"/>
                          <w:divBdr>
                            <w:top w:val="none" w:sz="0" w:space="0" w:color="auto"/>
                            <w:left w:val="none" w:sz="0" w:space="0" w:color="auto"/>
                            <w:bottom w:val="none" w:sz="0" w:space="0" w:color="auto"/>
                            <w:right w:val="none" w:sz="0" w:space="0" w:color="auto"/>
                          </w:divBdr>
                        </w:div>
                        <w:div w:id="1682315759">
                          <w:marLeft w:val="0"/>
                          <w:marRight w:val="0"/>
                          <w:marTop w:val="0"/>
                          <w:marBottom w:val="0"/>
                          <w:divBdr>
                            <w:top w:val="none" w:sz="0" w:space="0" w:color="auto"/>
                            <w:left w:val="none" w:sz="0" w:space="0" w:color="auto"/>
                            <w:bottom w:val="none" w:sz="0" w:space="0" w:color="auto"/>
                            <w:right w:val="none" w:sz="0" w:space="0" w:color="auto"/>
                          </w:divBdr>
                        </w:div>
                        <w:div w:id="1939633088">
                          <w:marLeft w:val="0"/>
                          <w:marRight w:val="0"/>
                          <w:marTop w:val="0"/>
                          <w:marBottom w:val="0"/>
                          <w:divBdr>
                            <w:top w:val="none" w:sz="0" w:space="0" w:color="auto"/>
                            <w:left w:val="none" w:sz="0" w:space="0" w:color="auto"/>
                            <w:bottom w:val="none" w:sz="0" w:space="0" w:color="auto"/>
                            <w:right w:val="none" w:sz="0" w:space="0" w:color="auto"/>
                          </w:divBdr>
                        </w:div>
                        <w:div w:id="836457527">
                          <w:marLeft w:val="0"/>
                          <w:marRight w:val="0"/>
                          <w:marTop w:val="0"/>
                          <w:marBottom w:val="0"/>
                          <w:divBdr>
                            <w:top w:val="none" w:sz="0" w:space="0" w:color="auto"/>
                            <w:left w:val="none" w:sz="0" w:space="0" w:color="auto"/>
                            <w:bottom w:val="none" w:sz="0" w:space="0" w:color="auto"/>
                            <w:right w:val="none" w:sz="0" w:space="0" w:color="auto"/>
                          </w:divBdr>
                        </w:div>
                        <w:div w:id="1370448632">
                          <w:marLeft w:val="0"/>
                          <w:marRight w:val="0"/>
                          <w:marTop w:val="0"/>
                          <w:marBottom w:val="0"/>
                          <w:divBdr>
                            <w:top w:val="none" w:sz="0" w:space="0" w:color="auto"/>
                            <w:left w:val="none" w:sz="0" w:space="0" w:color="auto"/>
                            <w:bottom w:val="none" w:sz="0" w:space="0" w:color="auto"/>
                            <w:right w:val="none" w:sz="0" w:space="0" w:color="auto"/>
                          </w:divBdr>
                        </w:div>
                        <w:div w:id="1759713914">
                          <w:marLeft w:val="0"/>
                          <w:marRight w:val="0"/>
                          <w:marTop w:val="0"/>
                          <w:marBottom w:val="0"/>
                          <w:divBdr>
                            <w:top w:val="none" w:sz="0" w:space="0" w:color="auto"/>
                            <w:left w:val="none" w:sz="0" w:space="0" w:color="auto"/>
                            <w:bottom w:val="none" w:sz="0" w:space="0" w:color="auto"/>
                            <w:right w:val="none" w:sz="0" w:space="0" w:color="auto"/>
                          </w:divBdr>
                        </w:div>
                        <w:div w:id="1150903358">
                          <w:marLeft w:val="0"/>
                          <w:marRight w:val="0"/>
                          <w:marTop w:val="0"/>
                          <w:marBottom w:val="0"/>
                          <w:divBdr>
                            <w:top w:val="none" w:sz="0" w:space="0" w:color="auto"/>
                            <w:left w:val="none" w:sz="0" w:space="0" w:color="auto"/>
                            <w:bottom w:val="none" w:sz="0" w:space="0" w:color="auto"/>
                            <w:right w:val="none" w:sz="0" w:space="0" w:color="auto"/>
                          </w:divBdr>
                        </w:div>
                        <w:div w:id="888494994">
                          <w:marLeft w:val="0"/>
                          <w:marRight w:val="0"/>
                          <w:marTop w:val="0"/>
                          <w:marBottom w:val="0"/>
                          <w:divBdr>
                            <w:top w:val="none" w:sz="0" w:space="0" w:color="auto"/>
                            <w:left w:val="none" w:sz="0" w:space="0" w:color="auto"/>
                            <w:bottom w:val="none" w:sz="0" w:space="0" w:color="auto"/>
                            <w:right w:val="none" w:sz="0" w:space="0" w:color="auto"/>
                          </w:divBdr>
                        </w:div>
                        <w:div w:id="460464814">
                          <w:marLeft w:val="0"/>
                          <w:marRight w:val="0"/>
                          <w:marTop w:val="0"/>
                          <w:marBottom w:val="0"/>
                          <w:divBdr>
                            <w:top w:val="none" w:sz="0" w:space="0" w:color="auto"/>
                            <w:left w:val="none" w:sz="0" w:space="0" w:color="auto"/>
                            <w:bottom w:val="none" w:sz="0" w:space="0" w:color="auto"/>
                            <w:right w:val="none" w:sz="0" w:space="0" w:color="auto"/>
                          </w:divBdr>
                        </w:div>
                        <w:div w:id="19071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55194">
      <w:bodyDiv w:val="1"/>
      <w:marLeft w:val="0"/>
      <w:marRight w:val="0"/>
      <w:marTop w:val="0"/>
      <w:marBottom w:val="0"/>
      <w:divBdr>
        <w:top w:val="none" w:sz="0" w:space="0" w:color="auto"/>
        <w:left w:val="none" w:sz="0" w:space="0" w:color="auto"/>
        <w:bottom w:val="none" w:sz="0" w:space="0" w:color="auto"/>
        <w:right w:val="none" w:sz="0" w:space="0" w:color="auto"/>
      </w:divBdr>
      <w:divsChild>
        <w:div w:id="1029256047">
          <w:marLeft w:val="0"/>
          <w:marRight w:val="0"/>
          <w:marTop w:val="0"/>
          <w:marBottom w:val="0"/>
          <w:divBdr>
            <w:top w:val="none" w:sz="0" w:space="0" w:color="auto"/>
            <w:left w:val="none" w:sz="0" w:space="0" w:color="auto"/>
            <w:bottom w:val="none" w:sz="0" w:space="0" w:color="auto"/>
            <w:right w:val="none" w:sz="0" w:space="0" w:color="auto"/>
          </w:divBdr>
        </w:div>
      </w:divsChild>
    </w:div>
    <w:div w:id="1210916819">
      <w:bodyDiv w:val="1"/>
      <w:marLeft w:val="0"/>
      <w:marRight w:val="0"/>
      <w:marTop w:val="0"/>
      <w:marBottom w:val="0"/>
      <w:divBdr>
        <w:top w:val="none" w:sz="0" w:space="0" w:color="auto"/>
        <w:left w:val="none" w:sz="0" w:space="0" w:color="auto"/>
        <w:bottom w:val="none" w:sz="0" w:space="0" w:color="auto"/>
        <w:right w:val="none" w:sz="0" w:space="0" w:color="auto"/>
      </w:divBdr>
    </w:div>
    <w:div w:id="1211696087">
      <w:bodyDiv w:val="1"/>
      <w:marLeft w:val="0"/>
      <w:marRight w:val="0"/>
      <w:marTop w:val="0"/>
      <w:marBottom w:val="0"/>
      <w:divBdr>
        <w:top w:val="none" w:sz="0" w:space="0" w:color="auto"/>
        <w:left w:val="none" w:sz="0" w:space="0" w:color="auto"/>
        <w:bottom w:val="none" w:sz="0" w:space="0" w:color="auto"/>
        <w:right w:val="none" w:sz="0" w:space="0" w:color="auto"/>
      </w:divBdr>
      <w:divsChild>
        <w:div w:id="810055183">
          <w:marLeft w:val="2400"/>
          <w:marRight w:val="0"/>
          <w:marTop w:val="0"/>
          <w:marBottom w:val="0"/>
          <w:divBdr>
            <w:top w:val="none" w:sz="0" w:space="0" w:color="auto"/>
            <w:left w:val="none" w:sz="0" w:space="0" w:color="auto"/>
            <w:bottom w:val="none" w:sz="0" w:space="0" w:color="auto"/>
            <w:right w:val="none" w:sz="0" w:space="0" w:color="auto"/>
          </w:divBdr>
          <w:divsChild>
            <w:div w:id="719475542">
              <w:marLeft w:val="0"/>
              <w:marRight w:val="0"/>
              <w:marTop w:val="0"/>
              <w:marBottom w:val="0"/>
              <w:divBdr>
                <w:top w:val="none" w:sz="0" w:space="0" w:color="auto"/>
                <w:left w:val="none" w:sz="0" w:space="0" w:color="auto"/>
                <w:bottom w:val="none" w:sz="0" w:space="0" w:color="auto"/>
                <w:right w:val="none" w:sz="0" w:space="0" w:color="auto"/>
              </w:divBdr>
              <w:divsChild>
                <w:div w:id="692996399">
                  <w:marLeft w:val="0"/>
                  <w:marRight w:val="0"/>
                  <w:marTop w:val="0"/>
                  <w:marBottom w:val="0"/>
                  <w:divBdr>
                    <w:top w:val="none" w:sz="0" w:space="0" w:color="auto"/>
                    <w:left w:val="none" w:sz="0" w:space="0" w:color="auto"/>
                    <w:bottom w:val="none" w:sz="0" w:space="0" w:color="auto"/>
                    <w:right w:val="none" w:sz="0" w:space="0" w:color="auto"/>
                  </w:divBdr>
                  <w:divsChild>
                    <w:div w:id="429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5248">
      <w:bodyDiv w:val="1"/>
      <w:marLeft w:val="0"/>
      <w:marRight w:val="0"/>
      <w:marTop w:val="0"/>
      <w:marBottom w:val="0"/>
      <w:divBdr>
        <w:top w:val="none" w:sz="0" w:space="0" w:color="auto"/>
        <w:left w:val="none" w:sz="0" w:space="0" w:color="auto"/>
        <w:bottom w:val="none" w:sz="0" w:space="0" w:color="auto"/>
        <w:right w:val="none" w:sz="0" w:space="0" w:color="auto"/>
      </w:divBdr>
      <w:divsChild>
        <w:div w:id="1846046206">
          <w:marLeft w:val="0"/>
          <w:marRight w:val="0"/>
          <w:marTop w:val="0"/>
          <w:marBottom w:val="0"/>
          <w:divBdr>
            <w:top w:val="single" w:sz="6" w:space="0" w:color="0E477A"/>
            <w:left w:val="single" w:sz="6" w:space="0" w:color="0E477A"/>
            <w:bottom w:val="single" w:sz="6" w:space="0" w:color="0E477A"/>
            <w:right w:val="single" w:sz="6" w:space="0" w:color="0E477A"/>
          </w:divBdr>
          <w:divsChild>
            <w:div w:id="1441993258">
              <w:marLeft w:val="2925"/>
              <w:marRight w:val="0"/>
              <w:marTop w:val="0"/>
              <w:marBottom w:val="0"/>
              <w:divBdr>
                <w:top w:val="none" w:sz="0" w:space="0" w:color="auto"/>
                <w:left w:val="none" w:sz="0" w:space="0" w:color="auto"/>
                <w:bottom w:val="none" w:sz="0" w:space="0" w:color="auto"/>
                <w:right w:val="none" w:sz="0" w:space="0" w:color="auto"/>
              </w:divBdr>
              <w:divsChild>
                <w:div w:id="1746368980">
                  <w:marLeft w:val="0"/>
                  <w:marRight w:val="0"/>
                  <w:marTop w:val="0"/>
                  <w:marBottom w:val="0"/>
                  <w:divBdr>
                    <w:top w:val="none" w:sz="0" w:space="0" w:color="auto"/>
                    <w:left w:val="none" w:sz="0" w:space="0" w:color="auto"/>
                    <w:bottom w:val="none" w:sz="0" w:space="0" w:color="auto"/>
                    <w:right w:val="none" w:sz="0" w:space="0" w:color="auto"/>
                  </w:divBdr>
                  <w:divsChild>
                    <w:div w:id="220099555">
                      <w:marLeft w:val="0"/>
                      <w:marRight w:val="150"/>
                      <w:marTop w:val="0"/>
                      <w:marBottom w:val="0"/>
                      <w:divBdr>
                        <w:top w:val="single" w:sz="6" w:space="0" w:color="CCCCCC"/>
                        <w:left w:val="single" w:sz="6" w:space="8" w:color="CCCCCC"/>
                        <w:bottom w:val="single" w:sz="6" w:space="8" w:color="CCCCCC"/>
                        <w:right w:val="single" w:sz="6" w:space="8" w:color="CCCCCC"/>
                      </w:divBdr>
                      <w:divsChild>
                        <w:div w:id="149444008">
                          <w:marLeft w:val="0"/>
                          <w:marRight w:val="0"/>
                          <w:marTop w:val="0"/>
                          <w:marBottom w:val="0"/>
                          <w:divBdr>
                            <w:top w:val="none" w:sz="0" w:space="0" w:color="auto"/>
                            <w:left w:val="none" w:sz="0" w:space="0" w:color="auto"/>
                            <w:bottom w:val="none" w:sz="0" w:space="0" w:color="auto"/>
                            <w:right w:val="none" w:sz="0" w:space="0" w:color="auto"/>
                          </w:divBdr>
                        </w:div>
                        <w:div w:id="887574781">
                          <w:marLeft w:val="0"/>
                          <w:marRight w:val="0"/>
                          <w:marTop w:val="0"/>
                          <w:marBottom w:val="0"/>
                          <w:divBdr>
                            <w:top w:val="none" w:sz="0" w:space="0" w:color="auto"/>
                            <w:left w:val="none" w:sz="0" w:space="0" w:color="auto"/>
                            <w:bottom w:val="none" w:sz="0" w:space="0" w:color="auto"/>
                            <w:right w:val="none" w:sz="0" w:space="0" w:color="auto"/>
                          </w:divBdr>
                        </w:div>
                        <w:div w:id="696350173">
                          <w:marLeft w:val="0"/>
                          <w:marRight w:val="0"/>
                          <w:marTop w:val="0"/>
                          <w:marBottom w:val="0"/>
                          <w:divBdr>
                            <w:top w:val="none" w:sz="0" w:space="0" w:color="auto"/>
                            <w:left w:val="none" w:sz="0" w:space="0" w:color="auto"/>
                            <w:bottom w:val="none" w:sz="0" w:space="0" w:color="auto"/>
                            <w:right w:val="none" w:sz="0" w:space="0" w:color="auto"/>
                          </w:divBdr>
                        </w:div>
                        <w:div w:id="976181427">
                          <w:marLeft w:val="0"/>
                          <w:marRight w:val="0"/>
                          <w:marTop w:val="0"/>
                          <w:marBottom w:val="0"/>
                          <w:divBdr>
                            <w:top w:val="none" w:sz="0" w:space="0" w:color="auto"/>
                            <w:left w:val="none" w:sz="0" w:space="0" w:color="auto"/>
                            <w:bottom w:val="none" w:sz="0" w:space="0" w:color="auto"/>
                            <w:right w:val="none" w:sz="0" w:space="0" w:color="auto"/>
                          </w:divBdr>
                        </w:div>
                        <w:div w:id="1767994622">
                          <w:marLeft w:val="0"/>
                          <w:marRight w:val="0"/>
                          <w:marTop w:val="0"/>
                          <w:marBottom w:val="0"/>
                          <w:divBdr>
                            <w:top w:val="none" w:sz="0" w:space="0" w:color="auto"/>
                            <w:left w:val="none" w:sz="0" w:space="0" w:color="auto"/>
                            <w:bottom w:val="none" w:sz="0" w:space="0" w:color="auto"/>
                            <w:right w:val="none" w:sz="0" w:space="0" w:color="auto"/>
                          </w:divBdr>
                        </w:div>
                        <w:div w:id="1688293751">
                          <w:marLeft w:val="0"/>
                          <w:marRight w:val="0"/>
                          <w:marTop w:val="0"/>
                          <w:marBottom w:val="0"/>
                          <w:divBdr>
                            <w:top w:val="none" w:sz="0" w:space="0" w:color="auto"/>
                            <w:left w:val="none" w:sz="0" w:space="0" w:color="auto"/>
                            <w:bottom w:val="none" w:sz="0" w:space="0" w:color="auto"/>
                            <w:right w:val="none" w:sz="0" w:space="0" w:color="auto"/>
                          </w:divBdr>
                        </w:div>
                        <w:div w:id="1689403003">
                          <w:marLeft w:val="0"/>
                          <w:marRight w:val="0"/>
                          <w:marTop w:val="0"/>
                          <w:marBottom w:val="0"/>
                          <w:divBdr>
                            <w:top w:val="none" w:sz="0" w:space="0" w:color="auto"/>
                            <w:left w:val="none" w:sz="0" w:space="0" w:color="auto"/>
                            <w:bottom w:val="none" w:sz="0" w:space="0" w:color="auto"/>
                            <w:right w:val="none" w:sz="0" w:space="0" w:color="auto"/>
                          </w:divBdr>
                        </w:div>
                        <w:div w:id="254092359">
                          <w:marLeft w:val="0"/>
                          <w:marRight w:val="0"/>
                          <w:marTop w:val="0"/>
                          <w:marBottom w:val="0"/>
                          <w:divBdr>
                            <w:top w:val="none" w:sz="0" w:space="0" w:color="auto"/>
                            <w:left w:val="none" w:sz="0" w:space="0" w:color="auto"/>
                            <w:bottom w:val="none" w:sz="0" w:space="0" w:color="auto"/>
                            <w:right w:val="none" w:sz="0" w:space="0" w:color="auto"/>
                          </w:divBdr>
                        </w:div>
                        <w:div w:id="989556528">
                          <w:marLeft w:val="0"/>
                          <w:marRight w:val="0"/>
                          <w:marTop w:val="0"/>
                          <w:marBottom w:val="0"/>
                          <w:divBdr>
                            <w:top w:val="none" w:sz="0" w:space="0" w:color="auto"/>
                            <w:left w:val="none" w:sz="0" w:space="0" w:color="auto"/>
                            <w:bottom w:val="none" w:sz="0" w:space="0" w:color="auto"/>
                            <w:right w:val="none" w:sz="0" w:space="0" w:color="auto"/>
                          </w:divBdr>
                        </w:div>
                        <w:div w:id="8054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036902">
      <w:bodyDiv w:val="1"/>
      <w:marLeft w:val="0"/>
      <w:marRight w:val="0"/>
      <w:marTop w:val="0"/>
      <w:marBottom w:val="0"/>
      <w:divBdr>
        <w:top w:val="none" w:sz="0" w:space="0" w:color="auto"/>
        <w:left w:val="none" w:sz="0" w:space="0" w:color="auto"/>
        <w:bottom w:val="none" w:sz="0" w:space="0" w:color="auto"/>
        <w:right w:val="none" w:sz="0" w:space="0" w:color="auto"/>
      </w:divBdr>
      <w:divsChild>
        <w:div w:id="1773627838">
          <w:marLeft w:val="0"/>
          <w:marRight w:val="0"/>
          <w:marTop w:val="0"/>
          <w:marBottom w:val="0"/>
          <w:divBdr>
            <w:top w:val="none" w:sz="0" w:space="0" w:color="auto"/>
            <w:left w:val="none" w:sz="0" w:space="0" w:color="auto"/>
            <w:bottom w:val="none" w:sz="0" w:space="0" w:color="auto"/>
            <w:right w:val="none" w:sz="0" w:space="0" w:color="auto"/>
          </w:divBdr>
          <w:divsChild>
            <w:div w:id="841775866">
              <w:marLeft w:val="0"/>
              <w:marRight w:val="0"/>
              <w:marTop w:val="0"/>
              <w:marBottom w:val="0"/>
              <w:divBdr>
                <w:top w:val="none" w:sz="0" w:space="0" w:color="auto"/>
                <w:left w:val="none" w:sz="0" w:space="0" w:color="auto"/>
                <w:bottom w:val="none" w:sz="0" w:space="0" w:color="auto"/>
                <w:right w:val="none" w:sz="0" w:space="0" w:color="auto"/>
              </w:divBdr>
              <w:divsChild>
                <w:div w:id="906378052">
                  <w:marLeft w:val="0"/>
                  <w:marRight w:val="0"/>
                  <w:marTop w:val="0"/>
                  <w:marBottom w:val="0"/>
                  <w:divBdr>
                    <w:top w:val="none" w:sz="0" w:space="0" w:color="auto"/>
                    <w:left w:val="none" w:sz="0" w:space="0" w:color="auto"/>
                    <w:bottom w:val="none" w:sz="0" w:space="0" w:color="auto"/>
                    <w:right w:val="none" w:sz="0" w:space="0" w:color="auto"/>
                  </w:divBdr>
                  <w:divsChild>
                    <w:div w:id="1692223004">
                      <w:marLeft w:val="0"/>
                      <w:marRight w:val="0"/>
                      <w:marTop w:val="0"/>
                      <w:marBottom w:val="0"/>
                      <w:divBdr>
                        <w:top w:val="none" w:sz="0" w:space="0" w:color="auto"/>
                        <w:left w:val="none" w:sz="0" w:space="0" w:color="auto"/>
                        <w:bottom w:val="none" w:sz="0" w:space="0" w:color="auto"/>
                        <w:right w:val="none" w:sz="0" w:space="0" w:color="auto"/>
                      </w:divBdr>
                      <w:divsChild>
                        <w:div w:id="157818081">
                          <w:marLeft w:val="0"/>
                          <w:marRight w:val="0"/>
                          <w:marTop w:val="0"/>
                          <w:marBottom w:val="0"/>
                          <w:divBdr>
                            <w:top w:val="none" w:sz="0" w:space="0" w:color="auto"/>
                            <w:left w:val="none" w:sz="0" w:space="0" w:color="auto"/>
                            <w:bottom w:val="none" w:sz="0" w:space="0" w:color="auto"/>
                            <w:right w:val="none" w:sz="0" w:space="0" w:color="auto"/>
                          </w:divBdr>
                          <w:divsChild>
                            <w:div w:id="82269343">
                              <w:marLeft w:val="0"/>
                              <w:marRight w:val="0"/>
                              <w:marTop w:val="0"/>
                              <w:marBottom w:val="0"/>
                              <w:divBdr>
                                <w:top w:val="none" w:sz="0" w:space="0" w:color="auto"/>
                                <w:left w:val="none" w:sz="0" w:space="0" w:color="auto"/>
                                <w:bottom w:val="none" w:sz="0" w:space="0" w:color="auto"/>
                                <w:right w:val="none" w:sz="0" w:space="0" w:color="auto"/>
                              </w:divBdr>
                              <w:divsChild>
                                <w:div w:id="187574121">
                                  <w:marLeft w:val="0"/>
                                  <w:marRight w:val="0"/>
                                  <w:marTop w:val="0"/>
                                  <w:marBottom w:val="0"/>
                                  <w:divBdr>
                                    <w:top w:val="none" w:sz="0" w:space="0" w:color="auto"/>
                                    <w:left w:val="none" w:sz="0" w:space="0" w:color="auto"/>
                                    <w:bottom w:val="none" w:sz="0" w:space="0" w:color="auto"/>
                                    <w:right w:val="none" w:sz="0" w:space="0" w:color="auto"/>
                                  </w:divBdr>
                                  <w:divsChild>
                                    <w:div w:id="494347413">
                                      <w:marLeft w:val="0"/>
                                      <w:marRight w:val="0"/>
                                      <w:marTop w:val="0"/>
                                      <w:marBottom w:val="0"/>
                                      <w:divBdr>
                                        <w:top w:val="none" w:sz="0" w:space="0" w:color="auto"/>
                                        <w:left w:val="none" w:sz="0" w:space="0" w:color="auto"/>
                                        <w:bottom w:val="none" w:sz="0" w:space="0" w:color="auto"/>
                                        <w:right w:val="none" w:sz="0" w:space="0" w:color="auto"/>
                                      </w:divBdr>
                                      <w:divsChild>
                                        <w:div w:id="19929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693952">
      <w:bodyDiv w:val="1"/>
      <w:marLeft w:val="0"/>
      <w:marRight w:val="0"/>
      <w:marTop w:val="0"/>
      <w:marBottom w:val="0"/>
      <w:divBdr>
        <w:top w:val="none" w:sz="0" w:space="0" w:color="auto"/>
        <w:left w:val="none" w:sz="0" w:space="0" w:color="auto"/>
        <w:bottom w:val="none" w:sz="0" w:space="0" w:color="auto"/>
        <w:right w:val="none" w:sz="0" w:space="0" w:color="auto"/>
      </w:divBdr>
    </w:div>
    <w:div w:id="1213007564">
      <w:bodyDiv w:val="1"/>
      <w:marLeft w:val="0"/>
      <w:marRight w:val="0"/>
      <w:marTop w:val="0"/>
      <w:marBottom w:val="0"/>
      <w:divBdr>
        <w:top w:val="none" w:sz="0" w:space="0" w:color="auto"/>
        <w:left w:val="none" w:sz="0" w:space="0" w:color="auto"/>
        <w:bottom w:val="none" w:sz="0" w:space="0" w:color="auto"/>
        <w:right w:val="none" w:sz="0" w:space="0" w:color="auto"/>
      </w:divBdr>
      <w:divsChild>
        <w:div w:id="638530886">
          <w:marLeft w:val="0"/>
          <w:marRight w:val="0"/>
          <w:marTop w:val="0"/>
          <w:marBottom w:val="0"/>
          <w:divBdr>
            <w:top w:val="none" w:sz="0" w:space="0" w:color="auto"/>
            <w:left w:val="none" w:sz="0" w:space="0" w:color="auto"/>
            <w:bottom w:val="none" w:sz="0" w:space="0" w:color="auto"/>
            <w:right w:val="none" w:sz="0" w:space="0" w:color="auto"/>
          </w:divBdr>
          <w:divsChild>
            <w:div w:id="2137331711">
              <w:marLeft w:val="0"/>
              <w:marRight w:val="0"/>
              <w:marTop w:val="0"/>
              <w:marBottom w:val="0"/>
              <w:divBdr>
                <w:top w:val="none" w:sz="0" w:space="0" w:color="auto"/>
                <w:left w:val="none" w:sz="0" w:space="0" w:color="auto"/>
                <w:bottom w:val="none" w:sz="0" w:space="0" w:color="auto"/>
                <w:right w:val="none" w:sz="0" w:space="0" w:color="auto"/>
              </w:divBdr>
              <w:divsChild>
                <w:div w:id="41096934">
                  <w:marLeft w:val="0"/>
                  <w:marRight w:val="0"/>
                  <w:marTop w:val="0"/>
                  <w:marBottom w:val="0"/>
                  <w:divBdr>
                    <w:top w:val="none" w:sz="0" w:space="0" w:color="auto"/>
                    <w:left w:val="none" w:sz="0" w:space="0" w:color="auto"/>
                    <w:bottom w:val="none" w:sz="0" w:space="0" w:color="auto"/>
                    <w:right w:val="none" w:sz="0" w:space="0" w:color="auto"/>
                  </w:divBdr>
                  <w:divsChild>
                    <w:div w:id="1084188756">
                      <w:marLeft w:val="0"/>
                      <w:marRight w:val="0"/>
                      <w:marTop w:val="0"/>
                      <w:marBottom w:val="0"/>
                      <w:divBdr>
                        <w:top w:val="none" w:sz="0" w:space="0" w:color="auto"/>
                        <w:left w:val="none" w:sz="0" w:space="0" w:color="auto"/>
                        <w:bottom w:val="none" w:sz="0" w:space="0" w:color="auto"/>
                        <w:right w:val="none" w:sz="0" w:space="0" w:color="auto"/>
                      </w:divBdr>
                      <w:divsChild>
                        <w:div w:id="175508541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214002502">
      <w:bodyDiv w:val="1"/>
      <w:marLeft w:val="0"/>
      <w:marRight w:val="0"/>
      <w:marTop w:val="0"/>
      <w:marBottom w:val="0"/>
      <w:divBdr>
        <w:top w:val="none" w:sz="0" w:space="0" w:color="auto"/>
        <w:left w:val="none" w:sz="0" w:space="0" w:color="auto"/>
        <w:bottom w:val="none" w:sz="0" w:space="0" w:color="auto"/>
        <w:right w:val="none" w:sz="0" w:space="0" w:color="auto"/>
      </w:divBdr>
      <w:divsChild>
        <w:div w:id="342706830">
          <w:marLeft w:val="0"/>
          <w:marRight w:val="0"/>
          <w:marTop w:val="0"/>
          <w:marBottom w:val="0"/>
          <w:divBdr>
            <w:top w:val="none" w:sz="0" w:space="0" w:color="auto"/>
            <w:left w:val="none" w:sz="0" w:space="0" w:color="auto"/>
            <w:bottom w:val="none" w:sz="0" w:space="0" w:color="auto"/>
            <w:right w:val="none" w:sz="0" w:space="0" w:color="auto"/>
          </w:divBdr>
          <w:divsChild>
            <w:div w:id="944315047">
              <w:marLeft w:val="0"/>
              <w:marRight w:val="0"/>
              <w:marTop w:val="0"/>
              <w:marBottom w:val="0"/>
              <w:divBdr>
                <w:top w:val="none" w:sz="0" w:space="0" w:color="auto"/>
                <w:left w:val="none" w:sz="0" w:space="0" w:color="auto"/>
                <w:bottom w:val="none" w:sz="0" w:space="0" w:color="auto"/>
                <w:right w:val="none" w:sz="0" w:space="0" w:color="auto"/>
              </w:divBdr>
              <w:divsChild>
                <w:div w:id="1067194221">
                  <w:marLeft w:val="0"/>
                  <w:marRight w:val="0"/>
                  <w:marTop w:val="0"/>
                  <w:marBottom w:val="0"/>
                  <w:divBdr>
                    <w:top w:val="none" w:sz="0" w:space="0" w:color="auto"/>
                    <w:left w:val="none" w:sz="0" w:space="0" w:color="auto"/>
                    <w:bottom w:val="none" w:sz="0" w:space="0" w:color="auto"/>
                    <w:right w:val="none" w:sz="0" w:space="0" w:color="auto"/>
                  </w:divBdr>
                  <w:divsChild>
                    <w:div w:id="989360181">
                      <w:marLeft w:val="0"/>
                      <w:marRight w:val="0"/>
                      <w:marTop w:val="300"/>
                      <w:marBottom w:val="600"/>
                      <w:divBdr>
                        <w:top w:val="none" w:sz="0" w:space="0" w:color="auto"/>
                        <w:left w:val="none" w:sz="0" w:space="0" w:color="auto"/>
                        <w:bottom w:val="none" w:sz="0" w:space="0" w:color="auto"/>
                        <w:right w:val="none" w:sz="0" w:space="0" w:color="auto"/>
                      </w:divBdr>
                      <w:divsChild>
                        <w:div w:id="155921673">
                          <w:marLeft w:val="0"/>
                          <w:marRight w:val="0"/>
                          <w:marTop w:val="0"/>
                          <w:marBottom w:val="0"/>
                          <w:divBdr>
                            <w:top w:val="none" w:sz="0" w:space="0" w:color="auto"/>
                            <w:left w:val="none" w:sz="0" w:space="0" w:color="auto"/>
                            <w:bottom w:val="none" w:sz="0" w:space="0" w:color="auto"/>
                            <w:right w:val="none" w:sz="0" w:space="0" w:color="auto"/>
                          </w:divBdr>
                          <w:divsChild>
                            <w:div w:id="1967615938">
                              <w:marLeft w:val="0"/>
                              <w:marRight w:val="0"/>
                              <w:marTop w:val="0"/>
                              <w:marBottom w:val="0"/>
                              <w:divBdr>
                                <w:top w:val="none" w:sz="0" w:space="0" w:color="auto"/>
                                <w:left w:val="none" w:sz="0" w:space="0" w:color="auto"/>
                                <w:bottom w:val="none" w:sz="0" w:space="0" w:color="auto"/>
                                <w:right w:val="none" w:sz="0" w:space="0" w:color="auto"/>
                              </w:divBdr>
                              <w:divsChild>
                                <w:div w:id="1461612722">
                                  <w:marLeft w:val="0"/>
                                  <w:marRight w:val="0"/>
                                  <w:marTop w:val="0"/>
                                  <w:marBottom w:val="0"/>
                                  <w:divBdr>
                                    <w:top w:val="none" w:sz="0" w:space="0" w:color="auto"/>
                                    <w:left w:val="none" w:sz="0" w:space="0" w:color="auto"/>
                                    <w:bottom w:val="none" w:sz="0" w:space="0" w:color="auto"/>
                                    <w:right w:val="none" w:sz="0" w:space="0" w:color="auto"/>
                                  </w:divBdr>
                                  <w:divsChild>
                                    <w:div w:id="1885868432">
                                      <w:marLeft w:val="0"/>
                                      <w:marRight w:val="0"/>
                                      <w:marTop w:val="150"/>
                                      <w:marBottom w:val="0"/>
                                      <w:divBdr>
                                        <w:top w:val="none" w:sz="0" w:space="0" w:color="auto"/>
                                        <w:left w:val="none" w:sz="0" w:space="0" w:color="auto"/>
                                        <w:bottom w:val="none" w:sz="0" w:space="0" w:color="auto"/>
                                        <w:right w:val="none" w:sz="0" w:space="0" w:color="auto"/>
                                      </w:divBdr>
                                      <w:divsChild>
                                        <w:div w:id="1033728665">
                                          <w:marLeft w:val="0"/>
                                          <w:marRight w:val="0"/>
                                          <w:marTop w:val="0"/>
                                          <w:marBottom w:val="0"/>
                                          <w:divBdr>
                                            <w:top w:val="none" w:sz="0" w:space="0" w:color="auto"/>
                                            <w:left w:val="none" w:sz="0" w:space="0" w:color="auto"/>
                                            <w:bottom w:val="none" w:sz="0" w:space="0" w:color="auto"/>
                                            <w:right w:val="none" w:sz="0" w:space="0" w:color="auto"/>
                                          </w:divBdr>
                                          <w:divsChild>
                                            <w:div w:id="782770800">
                                              <w:marLeft w:val="0"/>
                                              <w:marRight w:val="0"/>
                                              <w:marTop w:val="0"/>
                                              <w:marBottom w:val="0"/>
                                              <w:divBdr>
                                                <w:top w:val="none" w:sz="0" w:space="0" w:color="auto"/>
                                                <w:left w:val="none" w:sz="0" w:space="0" w:color="auto"/>
                                                <w:bottom w:val="none" w:sz="0" w:space="0" w:color="auto"/>
                                                <w:right w:val="none" w:sz="0" w:space="0" w:color="auto"/>
                                              </w:divBdr>
                                              <w:divsChild>
                                                <w:div w:id="3671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4304">
      <w:bodyDiv w:val="1"/>
      <w:marLeft w:val="0"/>
      <w:marRight w:val="0"/>
      <w:marTop w:val="0"/>
      <w:marBottom w:val="0"/>
      <w:divBdr>
        <w:top w:val="none" w:sz="0" w:space="0" w:color="auto"/>
        <w:left w:val="none" w:sz="0" w:space="0" w:color="auto"/>
        <w:bottom w:val="none" w:sz="0" w:space="0" w:color="auto"/>
        <w:right w:val="none" w:sz="0" w:space="0" w:color="auto"/>
      </w:divBdr>
      <w:divsChild>
        <w:div w:id="1081369515">
          <w:marLeft w:val="0"/>
          <w:marRight w:val="0"/>
          <w:marTop w:val="0"/>
          <w:marBottom w:val="0"/>
          <w:divBdr>
            <w:top w:val="none" w:sz="0" w:space="0" w:color="auto"/>
            <w:left w:val="none" w:sz="0" w:space="0" w:color="auto"/>
            <w:bottom w:val="none" w:sz="0" w:space="0" w:color="auto"/>
            <w:right w:val="none" w:sz="0" w:space="0" w:color="auto"/>
          </w:divBdr>
          <w:divsChild>
            <w:div w:id="941960487">
              <w:marLeft w:val="0"/>
              <w:marRight w:val="0"/>
              <w:marTop w:val="0"/>
              <w:marBottom w:val="0"/>
              <w:divBdr>
                <w:top w:val="none" w:sz="0" w:space="0" w:color="auto"/>
                <w:left w:val="none" w:sz="0" w:space="0" w:color="auto"/>
                <w:bottom w:val="none" w:sz="0" w:space="0" w:color="auto"/>
                <w:right w:val="none" w:sz="0" w:space="0" w:color="auto"/>
              </w:divBdr>
              <w:divsChild>
                <w:div w:id="915625438">
                  <w:marLeft w:val="0"/>
                  <w:marRight w:val="0"/>
                  <w:marTop w:val="0"/>
                  <w:marBottom w:val="0"/>
                  <w:divBdr>
                    <w:top w:val="none" w:sz="0" w:space="0" w:color="auto"/>
                    <w:left w:val="none" w:sz="0" w:space="0" w:color="auto"/>
                    <w:bottom w:val="none" w:sz="0" w:space="0" w:color="auto"/>
                    <w:right w:val="none" w:sz="0" w:space="0" w:color="auto"/>
                  </w:divBdr>
                  <w:divsChild>
                    <w:div w:id="1817256020">
                      <w:marLeft w:val="0"/>
                      <w:marRight w:val="0"/>
                      <w:marTop w:val="0"/>
                      <w:marBottom w:val="0"/>
                      <w:divBdr>
                        <w:top w:val="none" w:sz="0" w:space="0" w:color="auto"/>
                        <w:left w:val="none" w:sz="0" w:space="0" w:color="auto"/>
                        <w:bottom w:val="none" w:sz="0" w:space="0" w:color="auto"/>
                        <w:right w:val="none" w:sz="0" w:space="0" w:color="auto"/>
                      </w:divBdr>
                      <w:divsChild>
                        <w:div w:id="2105494102">
                          <w:marLeft w:val="0"/>
                          <w:marRight w:val="0"/>
                          <w:marTop w:val="0"/>
                          <w:marBottom w:val="0"/>
                          <w:divBdr>
                            <w:top w:val="none" w:sz="0" w:space="0" w:color="auto"/>
                            <w:left w:val="none" w:sz="0" w:space="0" w:color="auto"/>
                            <w:bottom w:val="single" w:sz="4" w:space="13" w:color="CCCCCC"/>
                            <w:right w:val="none" w:sz="0" w:space="0" w:color="auto"/>
                          </w:divBdr>
                          <w:divsChild>
                            <w:div w:id="1468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855890">
      <w:bodyDiv w:val="1"/>
      <w:marLeft w:val="0"/>
      <w:marRight w:val="0"/>
      <w:marTop w:val="0"/>
      <w:marBottom w:val="0"/>
      <w:divBdr>
        <w:top w:val="none" w:sz="0" w:space="0" w:color="auto"/>
        <w:left w:val="none" w:sz="0" w:space="0" w:color="auto"/>
        <w:bottom w:val="none" w:sz="0" w:space="0" w:color="auto"/>
        <w:right w:val="none" w:sz="0" w:space="0" w:color="auto"/>
      </w:divBdr>
      <w:divsChild>
        <w:div w:id="1413549025">
          <w:marLeft w:val="0"/>
          <w:marRight w:val="0"/>
          <w:marTop w:val="0"/>
          <w:marBottom w:val="0"/>
          <w:divBdr>
            <w:top w:val="single" w:sz="6" w:space="0" w:color="0E477A"/>
            <w:left w:val="single" w:sz="6" w:space="0" w:color="0E477A"/>
            <w:bottom w:val="single" w:sz="6" w:space="0" w:color="0E477A"/>
            <w:right w:val="single" w:sz="6" w:space="0" w:color="0E477A"/>
          </w:divBdr>
          <w:divsChild>
            <w:div w:id="221066776">
              <w:marLeft w:val="2925"/>
              <w:marRight w:val="0"/>
              <w:marTop w:val="0"/>
              <w:marBottom w:val="0"/>
              <w:divBdr>
                <w:top w:val="none" w:sz="0" w:space="0" w:color="auto"/>
                <w:left w:val="none" w:sz="0" w:space="0" w:color="auto"/>
                <w:bottom w:val="none" w:sz="0" w:space="0" w:color="auto"/>
                <w:right w:val="none" w:sz="0" w:space="0" w:color="auto"/>
              </w:divBdr>
              <w:divsChild>
                <w:div w:id="625427127">
                  <w:marLeft w:val="0"/>
                  <w:marRight w:val="0"/>
                  <w:marTop w:val="0"/>
                  <w:marBottom w:val="0"/>
                  <w:divBdr>
                    <w:top w:val="none" w:sz="0" w:space="0" w:color="auto"/>
                    <w:left w:val="none" w:sz="0" w:space="0" w:color="auto"/>
                    <w:bottom w:val="none" w:sz="0" w:space="0" w:color="auto"/>
                    <w:right w:val="none" w:sz="0" w:space="0" w:color="auto"/>
                  </w:divBdr>
                  <w:divsChild>
                    <w:div w:id="1102796724">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5388773">
      <w:bodyDiv w:val="1"/>
      <w:marLeft w:val="0"/>
      <w:marRight w:val="0"/>
      <w:marTop w:val="0"/>
      <w:marBottom w:val="0"/>
      <w:divBdr>
        <w:top w:val="none" w:sz="0" w:space="0" w:color="auto"/>
        <w:left w:val="none" w:sz="0" w:space="0" w:color="auto"/>
        <w:bottom w:val="none" w:sz="0" w:space="0" w:color="auto"/>
        <w:right w:val="none" w:sz="0" w:space="0" w:color="auto"/>
      </w:divBdr>
    </w:div>
    <w:div w:id="1218081768">
      <w:bodyDiv w:val="1"/>
      <w:marLeft w:val="0"/>
      <w:marRight w:val="0"/>
      <w:marTop w:val="0"/>
      <w:marBottom w:val="0"/>
      <w:divBdr>
        <w:top w:val="none" w:sz="0" w:space="0" w:color="auto"/>
        <w:left w:val="none" w:sz="0" w:space="0" w:color="auto"/>
        <w:bottom w:val="none" w:sz="0" w:space="0" w:color="auto"/>
        <w:right w:val="none" w:sz="0" w:space="0" w:color="auto"/>
      </w:divBdr>
      <w:divsChild>
        <w:div w:id="678045203">
          <w:marLeft w:val="0"/>
          <w:marRight w:val="0"/>
          <w:marTop w:val="0"/>
          <w:marBottom w:val="0"/>
          <w:divBdr>
            <w:top w:val="single" w:sz="6" w:space="0" w:color="0E477A"/>
            <w:left w:val="single" w:sz="6" w:space="0" w:color="0E477A"/>
            <w:bottom w:val="single" w:sz="6" w:space="0" w:color="0E477A"/>
            <w:right w:val="single" w:sz="6" w:space="0" w:color="0E477A"/>
          </w:divBdr>
          <w:divsChild>
            <w:div w:id="431248100">
              <w:marLeft w:val="2925"/>
              <w:marRight w:val="0"/>
              <w:marTop w:val="0"/>
              <w:marBottom w:val="0"/>
              <w:divBdr>
                <w:top w:val="none" w:sz="0" w:space="0" w:color="auto"/>
                <w:left w:val="none" w:sz="0" w:space="0" w:color="auto"/>
                <w:bottom w:val="none" w:sz="0" w:space="0" w:color="auto"/>
                <w:right w:val="none" w:sz="0" w:space="0" w:color="auto"/>
              </w:divBdr>
              <w:divsChild>
                <w:div w:id="484783402">
                  <w:marLeft w:val="0"/>
                  <w:marRight w:val="0"/>
                  <w:marTop w:val="0"/>
                  <w:marBottom w:val="0"/>
                  <w:divBdr>
                    <w:top w:val="none" w:sz="0" w:space="0" w:color="auto"/>
                    <w:left w:val="none" w:sz="0" w:space="0" w:color="auto"/>
                    <w:bottom w:val="none" w:sz="0" w:space="0" w:color="auto"/>
                    <w:right w:val="none" w:sz="0" w:space="0" w:color="auto"/>
                  </w:divBdr>
                  <w:divsChild>
                    <w:div w:id="590896542">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8737784">
      <w:bodyDiv w:val="1"/>
      <w:marLeft w:val="0"/>
      <w:marRight w:val="0"/>
      <w:marTop w:val="0"/>
      <w:marBottom w:val="0"/>
      <w:divBdr>
        <w:top w:val="none" w:sz="0" w:space="0" w:color="auto"/>
        <w:left w:val="none" w:sz="0" w:space="0" w:color="auto"/>
        <w:bottom w:val="none" w:sz="0" w:space="0" w:color="auto"/>
        <w:right w:val="none" w:sz="0" w:space="0" w:color="auto"/>
      </w:divBdr>
      <w:divsChild>
        <w:div w:id="1271819370">
          <w:marLeft w:val="0"/>
          <w:marRight w:val="0"/>
          <w:marTop w:val="0"/>
          <w:marBottom w:val="0"/>
          <w:divBdr>
            <w:top w:val="none" w:sz="0" w:space="0" w:color="auto"/>
            <w:left w:val="none" w:sz="0" w:space="0" w:color="auto"/>
            <w:bottom w:val="none" w:sz="0" w:space="0" w:color="auto"/>
            <w:right w:val="none" w:sz="0" w:space="0" w:color="auto"/>
          </w:divBdr>
          <w:divsChild>
            <w:div w:id="1512338002">
              <w:marLeft w:val="0"/>
              <w:marRight w:val="0"/>
              <w:marTop w:val="0"/>
              <w:marBottom w:val="0"/>
              <w:divBdr>
                <w:top w:val="none" w:sz="0" w:space="0" w:color="auto"/>
                <w:left w:val="none" w:sz="0" w:space="0" w:color="auto"/>
                <w:bottom w:val="none" w:sz="0" w:space="0" w:color="auto"/>
                <w:right w:val="none" w:sz="0" w:space="0" w:color="auto"/>
              </w:divBdr>
              <w:divsChild>
                <w:div w:id="991105458">
                  <w:marLeft w:val="0"/>
                  <w:marRight w:val="0"/>
                  <w:marTop w:val="0"/>
                  <w:marBottom w:val="0"/>
                  <w:divBdr>
                    <w:top w:val="none" w:sz="0" w:space="0" w:color="auto"/>
                    <w:left w:val="none" w:sz="0" w:space="0" w:color="auto"/>
                    <w:bottom w:val="none" w:sz="0" w:space="0" w:color="auto"/>
                    <w:right w:val="none" w:sz="0" w:space="0" w:color="auto"/>
                  </w:divBdr>
                  <w:divsChild>
                    <w:div w:id="1303463519">
                      <w:marLeft w:val="0"/>
                      <w:marRight w:val="0"/>
                      <w:marTop w:val="0"/>
                      <w:marBottom w:val="0"/>
                      <w:divBdr>
                        <w:top w:val="none" w:sz="0" w:space="0" w:color="auto"/>
                        <w:left w:val="none" w:sz="0" w:space="0" w:color="auto"/>
                        <w:bottom w:val="none" w:sz="0" w:space="0" w:color="auto"/>
                        <w:right w:val="none" w:sz="0" w:space="0" w:color="auto"/>
                      </w:divBdr>
                      <w:divsChild>
                        <w:div w:id="1384792100">
                          <w:marLeft w:val="0"/>
                          <w:marRight w:val="0"/>
                          <w:marTop w:val="0"/>
                          <w:marBottom w:val="0"/>
                          <w:divBdr>
                            <w:top w:val="none" w:sz="0" w:space="0" w:color="auto"/>
                            <w:left w:val="none" w:sz="0" w:space="0" w:color="auto"/>
                            <w:bottom w:val="none" w:sz="0" w:space="0" w:color="auto"/>
                            <w:right w:val="none" w:sz="0" w:space="0" w:color="auto"/>
                          </w:divBdr>
                          <w:divsChild>
                            <w:div w:id="1396467164">
                              <w:marLeft w:val="0"/>
                              <w:marRight w:val="0"/>
                              <w:marTop w:val="0"/>
                              <w:marBottom w:val="0"/>
                              <w:divBdr>
                                <w:top w:val="none" w:sz="0" w:space="0" w:color="auto"/>
                                <w:left w:val="none" w:sz="0" w:space="0" w:color="auto"/>
                                <w:bottom w:val="none" w:sz="0" w:space="0" w:color="auto"/>
                                <w:right w:val="none" w:sz="0" w:space="0" w:color="auto"/>
                              </w:divBdr>
                              <w:divsChild>
                                <w:div w:id="1665818219">
                                  <w:marLeft w:val="0"/>
                                  <w:marRight w:val="0"/>
                                  <w:marTop w:val="0"/>
                                  <w:marBottom w:val="0"/>
                                  <w:divBdr>
                                    <w:top w:val="none" w:sz="0" w:space="0" w:color="auto"/>
                                    <w:left w:val="none" w:sz="0" w:space="0" w:color="auto"/>
                                    <w:bottom w:val="none" w:sz="0" w:space="0" w:color="auto"/>
                                    <w:right w:val="none" w:sz="0" w:space="0" w:color="auto"/>
                                  </w:divBdr>
                                  <w:divsChild>
                                    <w:div w:id="203375360">
                                      <w:marLeft w:val="0"/>
                                      <w:marRight w:val="0"/>
                                      <w:marTop w:val="0"/>
                                      <w:marBottom w:val="0"/>
                                      <w:divBdr>
                                        <w:top w:val="none" w:sz="0" w:space="0" w:color="auto"/>
                                        <w:left w:val="none" w:sz="0" w:space="0" w:color="auto"/>
                                        <w:bottom w:val="none" w:sz="0" w:space="0" w:color="auto"/>
                                        <w:right w:val="none" w:sz="0" w:space="0" w:color="auto"/>
                                      </w:divBdr>
                                      <w:divsChild>
                                        <w:div w:id="2904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861782">
      <w:bodyDiv w:val="1"/>
      <w:marLeft w:val="0"/>
      <w:marRight w:val="0"/>
      <w:marTop w:val="0"/>
      <w:marBottom w:val="0"/>
      <w:divBdr>
        <w:top w:val="none" w:sz="0" w:space="0" w:color="auto"/>
        <w:left w:val="none" w:sz="0" w:space="0" w:color="auto"/>
        <w:bottom w:val="none" w:sz="0" w:space="0" w:color="auto"/>
        <w:right w:val="none" w:sz="0" w:space="0" w:color="auto"/>
      </w:divBdr>
      <w:divsChild>
        <w:div w:id="1010644669">
          <w:marLeft w:val="0"/>
          <w:marRight w:val="0"/>
          <w:marTop w:val="0"/>
          <w:marBottom w:val="0"/>
          <w:divBdr>
            <w:top w:val="none" w:sz="0" w:space="0" w:color="auto"/>
            <w:left w:val="none" w:sz="0" w:space="0" w:color="auto"/>
            <w:bottom w:val="none" w:sz="0" w:space="0" w:color="auto"/>
            <w:right w:val="none" w:sz="0" w:space="0" w:color="auto"/>
          </w:divBdr>
        </w:div>
        <w:div w:id="34625747">
          <w:marLeft w:val="0"/>
          <w:marRight w:val="0"/>
          <w:marTop w:val="0"/>
          <w:marBottom w:val="0"/>
          <w:divBdr>
            <w:top w:val="none" w:sz="0" w:space="0" w:color="auto"/>
            <w:left w:val="none" w:sz="0" w:space="0" w:color="auto"/>
            <w:bottom w:val="none" w:sz="0" w:space="0" w:color="auto"/>
            <w:right w:val="none" w:sz="0" w:space="0" w:color="auto"/>
          </w:divBdr>
        </w:div>
      </w:divsChild>
    </w:div>
    <w:div w:id="1219391361">
      <w:bodyDiv w:val="1"/>
      <w:marLeft w:val="0"/>
      <w:marRight w:val="0"/>
      <w:marTop w:val="0"/>
      <w:marBottom w:val="0"/>
      <w:divBdr>
        <w:top w:val="none" w:sz="0" w:space="0" w:color="auto"/>
        <w:left w:val="none" w:sz="0" w:space="0" w:color="auto"/>
        <w:bottom w:val="none" w:sz="0" w:space="0" w:color="auto"/>
        <w:right w:val="none" w:sz="0" w:space="0" w:color="auto"/>
      </w:divBdr>
      <w:divsChild>
        <w:div w:id="2116362191">
          <w:marLeft w:val="0"/>
          <w:marRight w:val="0"/>
          <w:marTop w:val="0"/>
          <w:marBottom w:val="0"/>
          <w:divBdr>
            <w:top w:val="none" w:sz="0" w:space="0" w:color="auto"/>
            <w:left w:val="none" w:sz="0" w:space="0" w:color="auto"/>
            <w:bottom w:val="none" w:sz="0" w:space="0" w:color="auto"/>
            <w:right w:val="none" w:sz="0" w:space="0" w:color="auto"/>
          </w:divBdr>
          <w:divsChild>
            <w:div w:id="1016930680">
              <w:marLeft w:val="0"/>
              <w:marRight w:val="0"/>
              <w:marTop w:val="0"/>
              <w:marBottom w:val="0"/>
              <w:divBdr>
                <w:top w:val="none" w:sz="0" w:space="0" w:color="auto"/>
                <w:left w:val="none" w:sz="0" w:space="0" w:color="auto"/>
                <w:bottom w:val="none" w:sz="0" w:space="0" w:color="auto"/>
                <w:right w:val="none" w:sz="0" w:space="0" w:color="auto"/>
              </w:divBdr>
              <w:divsChild>
                <w:div w:id="1574971927">
                  <w:marLeft w:val="0"/>
                  <w:marRight w:val="0"/>
                  <w:marTop w:val="0"/>
                  <w:marBottom w:val="0"/>
                  <w:divBdr>
                    <w:top w:val="none" w:sz="0" w:space="0" w:color="auto"/>
                    <w:left w:val="none" w:sz="0" w:space="0" w:color="auto"/>
                    <w:bottom w:val="none" w:sz="0" w:space="0" w:color="auto"/>
                    <w:right w:val="none" w:sz="0" w:space="0" w:color="auto"/>
                  </w:divBdr>
                  <w:divsChild>
                    <w:div w:id="430394849">
                      <w:marLeft w:val="0"/>
                      <w:marRight w:val="0"/>
                      <w:marTop w:val="0"/>
                      <w:marBottom w:val="0"/>
                      <w:divBdr>
                        <w:top w:val="none" w:sz="0" w:space="0" w:color="auto"/>
                        <w:left w:val="none" w:sz="0" w:space="0" w:color="auto"/>
                        <w:bottom w:val="none" w:sz="0" w:space="0" w:color="auto"/>
                        <w:right w:val="none" w:sz="0" w:space="0" w:color="auto"/>
                      </w:divBdr>
                      <w:divsChild>
                        <w:div w:id="14608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85871">
      <w:bodyDiv w:val="1"/>
      <w:marLeft w:val="0"/>
      <w:marRight w:val="0"/>
      <w:marTop w:val="0"/>
      <w:marBottom w:val="0"/>
      <w:divBdr>
        <w:top w:val="none" w:sz="0" w:space="0" w:color="auto"/>
        <w:left w:val="none" w:sz="0" w:space="0" w:color="auto"/>
        <w:bottom w:val="none" w:sz="0" w:space="0" w:color="auto"/>
        <w:right w:val="none" w:sz="0" w:space="0" w:color="auto"/>
      </w:divBdr>
      <w:divsChild>
        <w:div w:id="750930357">
          <w:marLeft w:val="0"/>
          <w:marRight w:val="0"/>
          <w:marTop w:val="0"/>
          <w:marBottom w:val="0"/>
          <w:divBdr>
            <w:top w:val="none" w:sz="0" w:space="0" w:color="auto"/>
            <w:left w:val="none" w:sz="0" w:space="0" w:color="auto"/>
            <w:bottom w:val="none" w:sz="0" w:space="0" w:color="auto"/>
            <w:right w:val="none" w:sz="0" w:space="0" w:color="auto"/>
          </w:divBdr>
          <w:divsChild>
            <w:div w:id="94794267">
              <w:marLeft w:val="0"/>
              <w:marRight w:val="0"/>
              <w:marTop w:val="0"/>
              <w:marBottom w:val="0"/>
              <w:divBdr>
                <w:top w:val="none" w:sz="0" w:space="0" w:color="auto"/>
                <w:left w:val="none" w:sz="0" w:space="0" w:color="auto"/>
                <w:bottom w:val="none" w:sz="0" w:space="0" w:color="auto"/>
                <w:right w:val="none" w:sz="0" w:space="0" w:color="auto"/>
              </w:divBdr>
              <w:divsChild>
                <w:div w:id="837581035">
                  <w:marLeft w:val="0"/>
                  <w:marRight w:val="0"/>
                  <w:marTop w:val="0"/>
                  <w:marBottom w:val="0"/>
                  <w:divBdr>
                    <w:top w:val="none" w:sz="0" w:space="0" w:color="auto"/>
                    <w:left w:val="none" w:sz="0" w:space="0" w:color="auto"/>
                    <w:bottom w:val="none" w:sz="0" w:space="0" w:color="auto"/>
                    <w:right w:val="none" w:sz="0" w:space="0" w:color="auto"/>
                  </w:divBdr>
                  <w:divsChild>
                    <w:div w:id="3481637">
                      <w:marLeft w:val="0"/>
                      <w:marRight w:val="0"/>
                      <w:marTop w:val="0"/>
                      <w:marBottom w:val="0"/>
                      <w:divBdr>
                        <w:top w:val="none" w:sz="0" w:space="0" w:color="auto"/>
                        <w:left w:val="none" w:sz="0" w:space="0" w:color="auto"/>
                        <w:bottom w:val="none" w:sz="0" w:space="0" w:color="auto"/>
                        <w:right w:val="none" w:sz="0" w:space="0" w:color="auto"/>
                      </w:divBdr>
                      <w:divsChild>
                        <w:div w:id="1725833111">
                          <w:marLeft w:val="0"/>
                          <w:marRight w:val="0"/>
                          <w:marTop w:val="0"/>
                          <w:marBottom w:val="0"/>
                          <w:divBdr>
                            <w:top w:val="none" w:sz="0" w:space="0" w:color="auto"/>
                            <w:left w:val="none" w:sz="0" w:space="0" w:color="auto"/>
                            <w:bottom w:val="none" w:sz="0" w:space="0" w:color="auto"/>
                            <w:right w:val="none" w:sz="0" w:space="0" w:color="auto"/>
                          </w:divBdr>
                          <w:divsChild>
                            <w:div w:id="2032799291">
                              <w:marLeft w:val="0"/>
                              <w:marRight w:val="0"/>
                              <w:marTop w:val="0"/>
                              <w:marBottom w:val="0"/>
                              <w:divBdr>
                                <w:top w:val="none" w:sz="0" w:space="0" w:color="auto"/>
                                <w:left w:val="none" w:sz="0" w:space="0" w:color="auto"/>
                                <w:bottom w:val="none" w:sz="0" w:space="0" w:color="auto"/>
                                <w:right w:val="none" w:sz="0" w:space="0" w:color="auto"/>
                              </w:divBdr>
                              <w:divsChild>
                                <w:div w:id="428619946">
                                  <w:marLeft w:val="0"/>
                                  <w:marRight w:val="0"/>
                                  <w:marTop w:val="0"/>
                                  <w:marBottom w:val="0"/>
                                  <w:divBdr>
                                    <w:top w:val="none" w:sz="0" w:space="0" w:color="auto"/>
                                    <w:left w:val="none" w:sz="0" w:space="0" w:color="auto"/>
                                    <w:bottom w:val="none" w:sz="0" w:space="0" w:color="auto"/>
                                    <w:right w:val="none" w:sz="0" w:space="0" w:color="auto"/>
                                  </w:divBdr>
                                  <w:divsChild>
                                    <w:div w:id="1055004401">
                                      <w:marLeft w:val="0"/>
                                      <w:marRight w:val="0"/>
                                      <w:marTop w:val="0"/>
                                      <w:marBottom w:val="0"/>
                                      <w:divBdr>
                                        <w:top w:val="none" w:sz="0" w:space="0" w:color="auto"/>
                                        <w:left w:val="none" w:sz="0" w:space="0" w:color="auto"/>
                                        <w:bottom w:val="none" w:sz="0" w:space="0" w:color="auto"/>
                                        <w:right w:val="none" w:sz="0" w:space="0" w:color="auto"/>
                                      </w:divBdr>
                                      <w:divsChild>
                                        <w:div w:id="972440856">
                                          <w:marLeft w:val="0"/>
                                          <w:marRight w:val="0"/>
                                          <w:marTop w:val="0"/>
                                          <w:marBottom w:val="0"/>
                                          <w:divBdr>
                                            <w:top w:val="none" w:sz="0" w:space="0" w:color="auto"/>
                                            <w:left w:val="none" w:sz="0" w:space="0" w:color="auto"/>
                                            <w:bottom w:val="none" w:sz="0" w:space="0" w:color="auto"/>
                                            <w:right w:val="none" w:sz="0" w:space="0" w:color="auto"/>
                                          </w:divBdr>
                                          <w:divsChild>
                                            <w:div w:id="1844276059">
                                              <w:marLeft w:val="0"/>
                                              <w:marRight w:val="0"/>
                                              <w:marTop w:val="0"/>
                                              <w:marBottom w:val="0"/>
                                              <w:divBdr>
                                                <w:top w:val="none" w:sz="0" w:space="0" w:color="auto"/>
                                                <w:left w:val="none" w:sz="0" w:space="0" w:color="auto"/>
                                                <w:bottom w:val="none" w:sz="0" w:space="0" w:color="auto"/>
                                                <w:right w:val="none" w:sz="0" w:space="0" w:color="auto"/>
                                              </w:divBdr>
                                              <w:divsChild>
                                                <w:div w:id="1202935937">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sChild>
                                                        <w:div w:id="18401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3102456">
      <w:bodyDiv w:val="1"/>
      <w:marLeft w:val="0"/>
      <w:marRight w:val="0"/>
      <w:marTop w:val="0"/>
      <w:marBottom w:val="0"/>
      <w:divBdr>
        <w:top w:val="none" w:sz="0" w:space="0" w:color="auto"/>
        <w:left w:val="none" w:sz="0" w:space="0" w:color="auto"/>
        <w:bottom w:val="none" w:sz="0" w:space="0" w:color="auto"/>
        <w:right w:val="none" w:sz="0" w:space="0" w:color="auto"/>
      </w:divBdr>
      <w:divsChild>
        <w:div w:id="767627220">
          <w:marLeft w:val="0"/>
          <w:marRight w:val="0"/>
          <w:marTop w:val="0"/>
          <w:marBottom w:val="0"/>
          <w:divBdr>
            <w:top w:val="none" w:sz="0" w:space="0" w:color="auto"/>
            <w:left w:val="none" w:sz="0" w:space="0" w:color="auto"/>
            <w:bottom w:val="none" w:sz="0" w:space="0" w:color="auto"/>
            <w:right w:val="none" w:sz="0" w:space="0" w:color="auto"/>
          </w:divBdr>
          <w:divsChild>
            <w:div w:id="1087847022">
              <w:marLeft w:val="0"/>
              <w:marRight w:val="0"/>
              <w:marTop w:val="0"/>
              <w:marBottom w:val="0"/>
              <w:divBdr>
                <w:top w:val="none" w:sz="0" w:space="0" w:color="auto"/>
                <w:left w:val="none" w:sz="0" w:space="0" w:color="auto"/>
                <w:bottom w:val="none" w:sz="0" w:space="0" w:color="auto"/>
                <w:right w:val="none" w:sz="0" w:space="0" w:color="auto"/>
              </w:divBdr>
              <w:divsChild>
                <w:div w:id="125583319">
                  <w:marLeft w:val="0"/>
                  <w:marRight w:val="0"/>
                  <w:marTop w:val="0"/>
                  <w:marBottom w:val="0"/>
                  <w:divBdr>
                    <w:top w:val="none" w:sz="0" w:space="0" w:color="auto"/>
                    <w:left w:val="none" w:sz="0" w:space="0" w:color="auto"/>
                    <w:bottom w:val="none" w:sz="0" w:space="0" w:color="auto"/>
                    <w:right w:val="none" w:sz="0" w:space="0" w:color="auto"/>
                  </w:divBdr>
                  <w:divsChild>
                    <w:div w:id="1524712126">
                      <w:marLeft w:val="0"/>
                      <w:marRight w:val="0"/>
                      <w:marTop w:val="0"/>
                      <w:marBottom w:val="0"/>
                      <w:divBdr>
                        <w:top w:val="none" w:sz="0" w:space="0" w:color="auto"/>
                        <w:left w:val="none" w:sz="0" w:space="0" w:color="auto"/>
                        <w:bottom w:val="none" w:sz="0" w:space="0" w:color="auto"/>
                        <w:right w:val="none" w:sz="0" w:space="0" w:color="auto"/>
                      </w:divBdr>
                      <w:divsChild>
                        <w:div w:id="1063719829">
                          <w:marLeft w:val="0"/>
                          <w:marRight w:val="0"/>
                          <w:marTop w:val="0"/>
                          <w:marBottom w:val="0"/>
                          <w:divBdr>
                            <w:top w:val="none" w:sz="0" w:space="0" w:color="auto"/>
                            <w:left w:val="none" w:sz="0" w:space="0" w:color="auto"/>
                            <w:bottom w:val="none" w:sz="0" w:space="0" w:color="auto"/>
                            <w:right w:val="none" w:sz="0" w:space="0" w:color="auto"/>
                          </w:divBdr>
                          <w:divsChild>
                            <w:div w:id="1109818361">
                              <w:marLeft w:val="0"/>
                              <w:marRight w:val="0"/>
                              <w:marTop w:val="0"/>
                              <w:marBottom w:val="0"/>
                              <w:divBdr>
                                <w:top w:val="none" w:sz="0" w:space="0" w:color="auto"/>
                                <w:left w:val="none" w:sz="0" w:space="0" w:color="auto"/>
                                <w:bottom w:val="none" w:sz="0" w:space="0" w:color="auto"/>
                                <w:right w:val="none" w:sz="0" w:space="0" w:color="auto"/>
                              </w:divBdr>
                              <w:divsChild>
                                <w:div w:id="291254641">
                                  <w:marLeft w:val="0"/>
                                  <w:marRight w:val="0"/>
                                  <w:marTop w:val="0"/>
                                  <w:marBottom w:val="0"/>
                                  <w:divBdr>
                                    <w:top w:val="none" w:sz="0" w:space="0" w:color="auto"/>
                                    <w:left w:val="none" w:sz="0" w:space="0" w:color="auto"/>
                                    <w:bottom w:val="none" w:sz="0" w:space="0" w:color="auto"/>
                                    <w:right w:val="none" w:sz="0" w:space="0" w:color="auto"/>
                                  </w:divBdr>
                                  <w:divsChild>
                                    <w:div w:id="652415675">
                                      <w:marLeft w:val="0"/>
                                      <w:marRight w:val="0"/>
                                      <w:marTop w:val="0"/>
                                      <w:marBottom w:val="0"/>
                                      <w:divBdr>
                                        <w:top w:val="none" w:sz="0" w:space="0" w:color="auto"/>
                                        <w:left w:val="none" w:sz="0" w:space="0" w:color="auto"/>
                                        <w:bottom w:val="none" w:sz="0" w:space="0" w:color="auto"/>
                                        <w:right w:val="none" w:sz="0" w:space="0" w:color="auto"/>
                                      </w:divBdr>
                                      <w:divsChild>
                                        <w:div w:id="20779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174971">
      <w:bodyDiv w:val="1"/>
      <w:marLeft w:val="0"/>
      <w:marRight w:val="0"/>
      <w:marTop w:val="0"/>
      <w:marBottom w:val="0"/>
      <w:divBdr>
        <w:top w:val="none" w:sz="0" w:space="0" w:color="auto"/>
        <w:left w:val="none" w:sz="0" w:space="0" w:color="auto"/>
        <w:bottom w:val="none" w:sz="0" w:space="0" w:color="auto"/>
        <w:right w:val="none" w:sz="0" w:space="0" w:color="auto"/>
      </w:divBdr>
    </w:div>
    <w:div w:id="1223251848">
      <w:bodyDiv w:val="1"/>
      <w:marLeft w:val="0"/>
      <w:marRight w:val="0"/>
      <w:marTop w:val="0"/>
      <w:marBottom w:val="0"/>
      <w:divBdr>
        <w:top w:val="none" w:sz="0" w:space="0" w:color="auto"/>
        <w:left w:val="none" w:sz="0" w:space="0" w:color="auto"/>
        <w:bottom w:val="none" w:sz="0" w:space="0" w:color="auto"/>
        <w:right w:val="none" w:sz="0" w:space="0" w:color="auto"/>
      </w:divBdr>
      <w:divsChild>
        <w:div w:id="1450858754">
          <w:marLeft w:val="0"/>
          <w:marRight w:val="0"/>
          <w:marTop w:val="0"/>
          <w:marBottom w:val="0"/>
          <w:divBdr>
            <w:top w:val="single" w:sz="6" w:space="0" w:color="0E477A"/>
            <w:left w:val="single" w:sz="6" w:space="0" w:color="0E477A"/>
            <w:bottom w:val="single" w:sz="6" w:space="0" w:color="0E477A"/>
            <w:right w:val="single" w:sz="6" w:space="0" w:color="0E477A"/>
          </w:divBdr>
          <w:divsChild>
            <w:div w:id="523250083">
              <w:marLeft w:val="0"/>
              <w:marRight w:val="0"/>
              <w:marTop w:val="0"/>
              <w:marBottom w:val="0"/>
              <w:divBdr>
                <w:top w:val="none" w:sz="0" w:space="0" w:color="auto"/>
                <w:left w:val="none" w:sz="0" w:space="0" w:color="auto"/>
                <w:bottom w:val="none" w:sz="0" w:space="0" w:color="auto"/>
                <w:right w:val="none" w:sz="0" w:space="0" w:color="auto"/>
              </w:divBdr>
              <w:divsChild>
                <w:div w:id="427627916">
                  <w:marLeft w:val="75"/>
                  <w:marRight w:val="0"/>
                  <w:marTop w:val="0"/>
                  <w:marBottom w:val="0"/>
                  <w:divBdr>
                    <w:top w:val="none" w:sz="0" w:space="0" w:color="auto"/>
                    <w:left w:val="none" w:sz="0" w:space="0" w:color="auto"/>
                    <w:bottom w:val="none" w:sz="0" w:space="0" w:color="auto"/>
                    <w:right w:val="none" w:sz="0" w:space="0" w:color="auto"/>
                  </w:divBdr>
                  <w:divsChild>
                    <w:div w:id="1066994876">
                      <w:marLeft w:val="0"/>
                      <w:marRight w:val="0"/>
                      <w:marTop w:val="0"/>
                      <w:marBottom w:val="0"/>
                      <w:divBdr>
                        <w:top w:val="none" w:sz="0" w:space="0" w:color="auto"/>
                        <w:left w:val="none" w:sz="0" w:space="0" w:color="auto"/>
                        <w:bottom w:val="none" w:sz="0" w:space="0" w:color="auto"/>
                        <w:right w:val="none" w:sz="0" w:space="0" w:color="auto"/>
                      </w:divBdr>
                      <w:divsChild>
                        <w:div w:id="1190994845">
                          <w:marLeft w:val="0"/>
                          <w:marRight w:val="225"/>
                          <w:marTop w:val="150"/>
                          <w:marBottom w:val="150"/>
                          <w:divBdr>
                            <w:top w:val="single" w:sz="6" w:space="0" w:color="CCCCCC"/>
                            <w:left w:val="single" w:sz="6" w:space="8" w:color="CCCCCC"/>
                            <w:bottom w:val="single" w:sz="6" w:space="8" w:color="CCCCCC"/>
                            <w:right w:val="single" w:sz="6" w:space="8" w:color="CCCCCC"/>
                          </w:divBdr>
                          <w:divsChild>
                            <w:div w:id="82382624">
                              <w:marLeft w:val="-150"/>
                              <w:marRight w:val="0"/>
                              <w:marTop w:val="0"/>
                              <w:marBottom w:val="0"/>
                              <w:divBdr>
                                <w:top w:val="none" w:sz="0" w:space="0" w:color="auto"/>
                                <w:left w:val="none" w:sz="0" w:space="0" w:color="auto"/>
                                <w:bottom w:val="none" w:sz="0" w:space="0" w:color="auto"/>
                                <w:right w:val="none" w:sz="0" w:space="0" w:color="auto"/>
                              </w:divBdr>
                              <w:divsChild>
                                <w:div w:id="826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751651">
      <w:bodyDiv w:val="1"/>
      <w:marLeft w:val="0"/>
      <w:marRight w:val="0"/>
      <w:marTop w:val="0"/>
      <w:marBottom w:val="0"/>
      <w:divBdr>
        <w:top w:val="none" w:sz="0" w:space="0" w:color="auto"/>
        <w:left w:val="none" w:sz="0" w:space="0" w:color="auto"/>
        <w:bottom w:val="none" w:sz="0" w:space="0" w:color="auto"/>
        <w:right w:val="none" w:sz="0" w:space="0" w:color="auto"/>
      </w:divBdr>
      <w:divsChild>
        <w:div w:id="1946619179">
          <w:marLeft w:val="0"/>
          <w:marRight w:val="0"/>
          <w:marTop w:val="0"/>
          <w:marBottom w:val="0"/>
          <w:divBdr>
            <w:top w:val="none" w:sz="0" w:space="0" w:color="auto"/>
            <w:left w:val="none" w:sz="0" w:space="0" w:color="auto"/>
            <w:bottom w:val="none" w:sz="0" w:space="0" w:color="auto"/>
            <w:right w:val="none" w:sz="0" w:space="0" w:color="auto"/>
          </w:divBdr>
          <w:divsChild>
            <w:div w:id="819232283">
              <w:marLeft w:val="0"/>
              <w:marRight w:val="0"/>
              <w:marTop w:val="0"/>
              <w:marBottom w:val="0"/>
              <w:divBdr>
                <w:top w:val="none" w:sz="0" w:space="0" w:color="auto"/>
                <w:left w:val="none" w:sz="0" w:space="0" w:color="auto"/>
                <w:bottom w:val="none" w:sz="0" w:space="0" w:color="auto"/>
                <w:right w:val="none" w:sz="0" w:space="0" w:color="auto"/>
              </w:divBdr>
              <w:divsChild>
                <w:div w:id="1470128463">
                  <w:marLeft w:val="0"/>
                  <w:marRight w:val="0"/>
                  <w:marTop w:val="0"/>
                  <w:marBottom w:val="0"/>
                  <w:divBdr>
                    <w:top w:val="none" w:sz="0" w:space="0" w:color="auto"/>
                    <w:left w:val="none" w:sz="0" w:space="0" w:color="auto"/>
                    <w:bottom w:val="none" w:sz="0" w:space="0" w:color="auto"/>
                    <w:right w:val="none" w:sz="0" w:space="0" w:color="auto"/>
                  </w:divBdr>
                  <w:divsChild>
                    <w:div w:id="389501099">
                      <w:marLeft w:val="0"/>
                      <w:marRight w:val="0"/>
                      <w:marTop w:val="300"/>
                      <w:marBottom w:val="600"/>
                      <w:divBdr>
                        <w:top w:val="none" w:sz="0" w:space="0" w:color="auto"/>
                        <w:left w:val="none" w:sz="0" w:space="0" w:color="auto"/>
                        <w:bottom w:val="none" w:sz="0" w:space="0" w:color="auto"/>
                        <w:right w:val="none" w:sz="0" w:space="0" w:color="auto"/>
                      </w:divBdr>
                      <w:divsChild>
                        <w:div w:id="1401059934">
                          <w:marLeft w:val="0"/>
                          <w:marRight w:val="0"/>
                          <w:marTop w:val="0"/>
                          <w:marBottom w:val="0"/>
                          <w:divBdr>
                            <w:top w:val="none" w:sz="0" w:space="0" w:color="auto"/>
                            <w:left w:val="none" w:sz="0" w:space="0" w:color="auto"/>
                            <w:bottom w:val="none" w:sz="0" w:space="0" w:color="auto"/>
                            <w:right w:val="none" w:sz="0" w:space="0" w:color="auto"/>
                          </w:divBdr>
                          <w:divsChild>
                            <w:div w:id="1140079879">
                              <w:marLeft w:val="0"/>
                              <w:marRight w:val="0"/>
                              <w:marTop w:val="0"/>
                              <w:marBottom w:val="0"/>
                              <w:divBdr>
                                <w:top w:val="none" w:sz="0" w:space="0" w:color="auto"/>
                                <w:left w:val="none" w:sz="0" w:space="0" w:color="auto"/>
                                <w:bottom w:val="none" w:sz="0" w:space="0" w:color="auto"/>
                                <w:right w:val="none" w:sz="0" w:space="0" w:color="auto"/>
                              </w:divBdr>
                              <w:divsChild>
                                <w:div w:id="1820800135">
                                  <w:marLeft w:val="0"/>
                                  <w:marRight w:val="0"/>
                                  <w:marTop w:val="0"/>
                                  <w:marBottom w:val="0"/>
                                  <w:divBdr>
                                    <w:top w:val="none" w:sz="0" w:space="0" w:color="auto"/>
                                    <w:left w:val="none" w:sz="0" w:space="0" w:color="auto"/>
                                    <w:bottom w:val="none" w:sz="0" w:space="0" w:color="auto"/>
                                    <w:right w:val="none" w:sz="0" w:space="0" w:color="auto"/>
                                  </w:divBdr>
                                  <w:divsChild>
                                    <w:div w:id="1605923811">
                                      <w:marLeft w:val="0"/>
                                      <w:marRight w:val="0"/>
                                      <w:marTop w:val="150"/>
                                      <w:marBottom w:val="0"/>
                                      <w:divBdr>
                                        <w:top w:val="none" w:sz="0" w:space="0" w:color="auto"/>
                                        <w:left w:val="none" w:sz="0" w:space="0" w:color="auto"/>
                                        <w:bottom w:val="none" w:sz="0" w:space="0" w:color="auto"/>
                                        <w:right w:val="none" w:sz="0" w:space="0" w:color="auto"/>
                                      </w:divBdr>
                                      <w:divsChild>
                                        <w:div w:id="1626231152">
                                          <w:marLeft w:val="0"/>
                                          <w:marRight w:val="0"/>
                                          <w:marTop w:val="0"/>
                                          <w:marBottom w:val="0"/>
                                          <w:divBdr>
                                            <w:top w:val="none" w:sz="0" w:space="0" w:color="auto"/>
                                            <w:left w:val="none" w:sz="0" w:space="0" w:color="auto"/>
                                            <w:bottom w:val="none" w:sz="0" w:space="0" w:color="auto"/>
                                            <w:right w:val="none" w:sz="0" w:space="0" w:color="auto"/>
                                          </w:divBdr>
                                          <w:divsChild>
                                            <w:div w:id="1496266278">
                                              <w:marLeft w:val="0"/>
                                              <w:marRight w:val="0"/>
                                              <w:marTop w:val="0"/>
                                              <w:marBottom w:val="0"/>
                                              <w:divBdr>
                                                <w:top w:val="none" w:sz="0" w:space="0" w:color="auto"/>
                                                <w:left w:val="none" w:sz="0" w:space="0" w:color="auto"/>
                                                <w:bottom w:val="none" w:sz="0" w:space="0" w:color="auto"/>
                                                <w:right w:val="none" w:sz="0" w:space="0" w:color="auto"/>
                                              </w:divBdr>
                                              <w:divsChild>
                                                <w:div w:id="1613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752478">
      <w:bodyDiv w:val="1"/>
      <w:marLeft w:val="0"/>
      <w:marRight w:val="0"/>
      <w:marTop w:val="0"/>
      <w:marBottom w:val="0"/>
      <w:divBdr>
        <w:top w:val="none" w:sz="0" w:space="0" w:color="auto"/>
        <w:left w:val="none" w:sz="0" w:space="0" w:color="auto"/>
        <w:bottom w:val="none" w:sz="0" w:space="0" w:color="auto"/>
        <w:right w:val="none" w:sz="0" w:space="0" w:color="auto"/>
      </w:divBdr>
      <w:divsChild>
        <w:div w:id="1329288877">
          <w:marLeft w:val="0"/>
          <w:marRight w:val="0"/>
          <w:marTop w:val="0"/>
          <w:marBottom w:val="450"/>
          <w:divBdr>
            <w:top w:val="none" w:sz="0" w:space="0" w:color="auto"/>
            <w:left w:val="none" w:sz="0" w:space="0" w:color="auto"/>
            <w:bottom w:val="none" w:sz="0" w:space="0" w:color="auto"/>
            <w:right w:val="none" w:sz="0" w:space="0" w:color="auto"/>
          </w:divBdr>
        </w:div>
      </w:divsChild>
    </w:div>
    <w:div w:id="1225024888">
      <w:bodyDiv w:val="1"/>
      <w:marLeft w:val="0"/>
      <w:marRight w:val="0"/>
      <w:marTop w:val="0"/>
      <w:marBottom w:val="0"/>
      <w:divBdr>
        <w:top w:val="none" w:sz="0" w:space="0" w:color="auto"/>
        <w:left w:val="none" w:sz="0" w:space="0" w:color="auto"/>
        <w:bottom w:val="none" w:sz="0" w:space="0" w:color="auto"/>
        <w:right w:val="none" w:sz="0" w:space="0" w:color="auto"/>
      </w:divBdr>
      <w:divsChild>
        <w:div w:id="2103409738">
          <w:marLeft w:val="0"/>
          <w:marRight w:val="0"/>
          <w:marTop w:val="0"/>
          <w:marBottom w:val="0"/>
          <w:divBdr>
            <w:top w:val="single" w:sz="2" w:space="0" w:color="AAAAAA"/>
            <w:left w:val="single" w:sz="6" w:space="8" w:color="AAAAAA"/>
            <w:bottom w:val="single" w:sz="2" w:space="0" w:color="AAAAAA"/>
            <w:right w:val="single" w:sz="6" w:space="8" w:color="AAAAAA"/>
          </w:divBdr>
          <w:divsChild>
            <w:div w:id="1297099846">
              <w:marLeft w:val="0"/>
              <w:marRight w:val="0"/>
              <w:marTop w:val="0"/>
              <w:marBottom w:val="0"/>
              <w:divBdr>
                <w:top w:val="none" w:sz="0" w:space="0" w:color="auto"/>
                <w:left w:val="none" w:sz="0" w:space="0" w:color="auto"/>
                <w:bottom w:val="none" w:sz="0" w:space="0" w:color="auto"/>
                <w:right w:val="none" w:sz="0" w:space="0" w:color="auto"/>
              </w:divBdr>
              <w:divsChild>
                <w:div w:id="953752036">
                  <w:marLeft w:val="0"/>
                  <w:marRight w:val="0"/>
                  <w:marTop w:val="0"/>
                  <w:marBottom w:val="0"/>
                  <w:divBdr>
                    <w:top w:val="none" w:sz="0" w:space="0" w:color="auto"/>
                    <w:left w:val="none" w:sz="0" w:space="0" w:color="auto"/>
                    <w:bottom w:val="none" w:sz="0" w:space="0" w:color="auto"/>
                    <w:right w:val="none" w:sz="0" w:space="0" w:color="auto"/>
                  </w:divBdr>
                  <w:divsChild>
                    <w:div w:id="1037050080">
                      <w:marLeft w:val="0"/>
                      <w:marRight w:val="2550"/>
                      <w:marTop w:val="0"/>
                      <w:marBottom w:val="48"/>
                      <w:divBdr>
                        <w:top w:val="none" w:sz="0" w:space="0" w:color="auto"/>
                        <w:left w:val="none" w:sz="0" w:space="0" w:color="auto"/>
                        <w:bottom w:val="none" w:sz="0" w:space="0" w:color="auto"/>
                        <w:right w:val="none" w:sz="0" w:space="0" w:color="auto"/>
                      </w:divBdr>
                      <w:divsChild>
                        <w:div w:id="112230435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sChild>
        <w:div w:id="816537255">
          <w:marLeft w:val="0"/>
          <w:marRight w:val="0"/>
          <w:marTop w:val="0"/>
          <w:marBottom w:val="0"/>
          <w:divBdr>
            <w:top w:val="none" w:sz="0" w:space="0" w:color="auto"/>
            <w:left w:val="none" w:sz="0" w:space="0" w:color="auto"/>
            <w:bottom w:val="none" w:sz="0" w:space="0" w:color="auto"/>
            <w:right w:val="none" w:sz="0" w:space="0" w:color="auto"/>
          </w:divBdr>
          <w:divsChild>
            <w:div w:id="1332491132">
              <w:marLeft w:val="0"/>
              <w:marRight w:val="0"/>
              <w:marTop w:val="0"/>
              <w:marBottom w:val="0"/>
              <w:divBdr>
                <w:top w:val="none" w:sz="0" w:space="0" w:color="auto"/>
                <w:left w:val="none" w:sz="0" w:space="0" w:color="auto"/>
                <w:bottom w:val="none" w:sz="0" w:space="0" w:color="auto"/>
                <w:right w:val="none" w:sz="0" w:space="0" w:color="auto"/>
              </w:divBdr>
              <w:divsChild>
                <w:div w:id="1681203651">
                  <w:marLeft w:val="0"/>
                  <w:marRight w:val="0"/>
                  <w:marTop w:val="0"/>
                  <w:marBottom w:val="0"/>
                  <w:divBdr>
                    <w:top w:val="none" w:sz="0" w:space="0" w:color="auto"/>
                    <w:left w:val="none" w:sz="0" w:space="0" w:color="auto"/>
                    <w:bottom w:val="none" w:sz="0" w:space="0" w:color="auto"/>
                    <w:right w:val="none" w:sz="0" w:space="0" w:color="auto"/>
                  </w:divBdr>
                  <w:divsChild>
                    <w:div w:id="1667199245">
                      <w:marLeft w:val="0"/>
                      <w:marRight w:val="0"/>
                      <w:marTop w:val="0"/>
                      <w:marBottom w:val="0"/>
                      <w:divBdr>
                        <w:top w:val="none" w:sz="0" w:space="0" w:color="auto"/>
                        <w:left w:val="none" w:sz="0" w:space="0" w:color="auto"/>
                        <w:bottom w:val="none" w:sz="0" w:space="0" w:color="auto"/>
                        <w:right w:val="none" w:sz="0" w:space="0" w:color="auto"/>
                      </w:divBdr>
                    </w:div>
                    <w:div w:id="881941443">
                      <w:marLeft w:val="0"/>
                      <w:marRight w:val="0"/>
                      <w:marTop w:val="0"/>
                      <w:marBottom w:val="0"/>
                      <w:divBdr>
                        <w:top w:val="none" w:sz="0" w:space="0" w:color="auto"/>
                        <w:left w:val="none" w:sz="0" w:space="0" w:color="auto"/>
                        <w:bottom w:val="none" w:sz="0" w:space="0" w:color="auto"/>
                        <w:right w:val="none" w:sz="0" w:space="0" w:color="auto"/>
                      </w:divBdr>
                      <w:divsChild>
                        <w:div w:id="6021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56438">
                  <w:marLeft w:val="0"/>
                  <w:marRight w:val="0"/>
                  <w:marTop w:val="0"/>
                  <w:marBottom w:val="0"/>
                  <w:divBdr>
                    <w:top w:val="none" w:sz="0" w:space="0" w:color="auto"/>
                    <w:left w:val="none" w:sz="0" w:space="0" w:color="auto"/>
                    <w:bottom w:val="none" w:sz="0" w:space="0" w:color="auto"/>
                    <w:right w:val="none" w:sz="0" w:space="0" w:color="auto"/>
                  </w:divBdr>
                  <w:divsChild>
                    <w:div w:id="872380974">
                      <w:marLeft w:val="0"/>
                      <w:marRight w:val="0"/>
                      <w:marTop w:val="0"/>
                      <w:marBottom w:val="0"/>
                      <w:divBdr>
                        <w:top w:val="none" w:sz="0" w:space="0" w:color="auto"/>
                        <w:left w:val="none" w:sz="0" w:space="0" w:color="auto"/>
                        <w:bottom w:val="none" w:sz="0" w:space="0" w:color="auto"/>
                        <w:right w:val="none" w:sz="0" w:space="0" w:color="auto"/>
                      </w:divBdr>
                      <w:divsChild>
                        <w:div w:id="192616711">
                          <w:marLeft w:val="0"/>
                          <w:marRight w:val="0"/>
                          <w:marTop w:val="0"/>
                          <w:marBottom w:val="0"/>
                          <w:divBdr>
                            <w:top w:val="none" w:sz="0" w:space="0" w:color="auto"/>
                            <w:left w:val="none" w:sz="0" w:space="0" w:color="auto"/>
                            <w:bottom w:val="none" w:sz="0" w:space="0" w:color="auto"/>
                            <w:right w:val="none" w:sz="0" w:space="0" w:color="auto"/>
                          </w:divBdr>
                          <w:divsChild>
                            <w:div w:id="905839556">
                              <w:marLeft w:val="0"/>
                              <w:marRight w:val="0"/>
                              <w:marTop w:val="0"/>
                              <w:marBottom w:val="0"/>
                              <w:divBdr>
                                <w:top w:val="none" w:sz="0" w:space="0" w:color="auto"/>
                                <w:left w:val="none" w:sz="0" w:space="0" w:color="auto"/>
                                <w:bottom w:val="none" w:sz="0" w:space="0" w:color="auto"/>
                                <w:right w:val="none" w:sz="0" w:space="0" w:color="auto"/>
                              </w:divBdr>
                              <w:divsChild>
                                <w:div w:id="867372234">
                                  <w:marLeft w:val="0"/>
                                  <w:marRight w:val="0"/>
                                  <w:marTop w:val="0"/>
                                  <w:marBottom w:val="0"/>
                                  <w:divBdr>
                                    <w:top w:val="none" w:sz="0" w:space="0" w:color="auto"/>
                                    <w:left w:val="none" w:sz="0" w:space="0" w:color="auto"/>
                                    <w:bottom w:val="none" w:sz="0" w:space="0" w:color="auto"/>
                                    <w:right w:val="none" w:sz="0" w:space="0" w:color="auto"/>
                                  </w:divBdr>
                                  <w:divsChild>
                                    <w:div w:id="2547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005978">
                      <w:marLeft w:val="0"/>
                      <w:marRight w:val="0"/>
                      <w:marTop w:val="0"/>
                      <w:marBottom w:val="0"/>
                      <w:divBdr>
                        <w:top w:val="none" w:sz="0" w:space="0" w:color="auto"/>
                        <w:left w:val="none" w:sz="0" w:space="0" w:color="auto"/>
                        <w:bottom w:val="none" w:sz="0" w:space="0" w:color="auto"/>
                        <w:right w:val="none" w:sz="0" w:space="0" w:color="auto"/>
                      </w:divBdr>
                      <w:divsChild>
                        <w:div w:id="572550623">
                          <w:marLeft w:val="0"/>
                          <w:marRight w:val="0"/>
                          <w:marTop w:val="0"/>
                          <w:marBottom w:val="0"/>
                          <w:divBdr>
                            <w:top w:val="none" w:sz="0" w:space="0" w:color="auto"/>
                            <w:left w:val="none" w:sz="0" w:space="0" w:color="auto"/>
                            <w:bottom w:val="none" w:sz="0" w:space="0" w:color="auto"/>
                            <w:right w:val="none" w:sz="0" w:space="0" w:color="auto"/>
                          </w:divBdr>
                          <w:divsChild>
                            <w:div w:id="17878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8514">
                      <w:marLeft w:val="0"/>
                      <w:marRight w:val="0"/>
                      <w:marTop w:val="0"/>
                      <w:marBottom w:val="0"/>
                      <w:divBdr>
                        <w:top w:val="none" w:sz="0" w:space="0" w:color="auto"/>
                        <w:left w:val="none" w:sz="0" w:space="0" w:color="auto"/>
                        <w:bottom w:val="none" w:sz="0" w:space="0" w:color="auto"/>
                        <w:right w:val="none" w:sz="0" w:space="0" w:color="auto"/>
                      </w:divBdr>
                      <w:divsChild>
                        <w:div w:id="1722827046">
                          <w:marLeft w:val="0"/>
                          <w:marRight w:val="0"/>
                          <w:marTop w:val="0"/>
                          <w:marBottom w:val="0"/>
                          <w:divBdr>
                            <w:top w:val="none" w:sz="0" w:space="0" w:color="auto"/>
                            <w:left w:val="none" w:sz="0" w:space="0" w:color="auto"/>
                            <w:bottom w:val="none" w:sz="0" w:space="0" w:color="auto"/>
                            <w:right w:val="none" w:sz="0" w:space="0" w:color="auto"/>
                          </w:divBdr>
                          <w:divsChild>
                            <w:div w:id="5762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724399">
      <w:bodyDiv w:val="1"/>
      <w:marLeft w:val="0"/>
      <w:marRight w:val="0"/>
      <w:marTop w:val="0"/>
      <w:marBottom w:val="0"/>
      <w:divBdr>
        <w:top w:val="none" w:sz="0" w:space="0" w:color="auto"/>
        <w:left w:val="none" w:sz="0" w:space="0" w:color="auto"/>
        <w:bottom w:val="none" w:sz="0" w:space="0" w:color="auto"/>
        <w:right w:val="none" w:sz="0" w:space="0" w:color="auto"/>
      </w:divBdr>
      <w:divsChild>
        <w:div w:id="173999580">
          <w:marLeft w:val="0"/>
          <w:marRight w:val="0"/>
          <w:marTop w:val="0"/>
          <w:marBottom w:val="0"/>
          <w:divBdr>
            <w:top w:val="none" w:sz="0" w:space="0" w:color="auto"/>
            <w:left w:val="none" w:sz="0" w:space="0" w:color="auto"/>
            <w:bottom w:val="none" w:sz="0" w:space="0" w:color="auto"/>
            <w:right w:val="none" w:sz="0" w:space="0" w:color="auto"/>
          </w:divBdr>
          <w:divsChild>
            <w:div w:id="1250768079">
              <w:marLeft w:val="0"/>
              <w:marRight w:val="0"/>
              <w:marTop w:val="0"/>
              <w:marBottom w:val="0"/>
              <w:divBdr>
                <w:top w:val="none" w:sz="0" w:space="0" w:color="auto"/>
                <w:left w:val="none" w:sz="0" w:space="0" w:color="auto"/>
                <w:bottom w:val="none" w:sz="0" w:space="0" w:color="auto"/>
                <w:right w:val="none" w:sz="0" w:space="0" w:color="auto"/>
              </w:divBdr>
              <w:divsChild>
                <w:div w:id="119806993">
                  <w:marLeft w:val="0"/>
                  <w:marRight w:val="0"/>
                  <w:marTop w:val="0"/>
                  <w:marBottom w:val="0"/>
                  <w:divBdr>
                    <w:top w:val="none" w:sz="0" w:space="0" w:color="auto"/>
                    <w:left w:val="none" w:sz="0" w:space="0" w:color="auto"/>
                    <w:bottom w:val="none" w:sz="0" w:space="0" w:color="auto"/>
                    <w:right w:val="none" w:sz="0" w:space="0" w:color="auto"/>
                  </w:divBdr>
                  <w:divsChild>
                    <w:div w:id="728843055">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773479517">
                              <w:marLeft w:val="0"/>
                              <w:marRight w:val="0"/>
                              <w:marTop w:val="0"/>
                              <w:marBottom w:val="0"/>
                              <w:divBdr>
                                <w:top w:val="none" w:sz="0" w:space="0" w:color="auto"/>
                                <w:left w:val="none" w:sz="0" w:space="0" w:color="auto"/>
                                <w:bottom w:val="none" w:sz="0" w:space="0" w:color="auto"/>
                                <w:right w:val="none" w:sz="0" w:space="0" w:color="auto"/>
                              </w:divBdr>
                              <w:divsChild>
                                <w:div w:id="909194148">
                                  <w:marLeft w:val="0"/>
                                  <w:marRight w:val="0"/>
                                  <w:marTop w:val="0"/>
                                  <w:marBottom w:val="0"/>
                                  <w:divBdr>
                                    <w:top w:val="none" w:sz="0" w:space="0" w:color="auto"/>
                                    <w:left w:val="none" w:sz="0" w:space="0" w:color="auto"/>
                                    <w:bottom w:val="none" w:sz="0" w:space="0" w:color="auto"/>
                                    <w:right w:val="none" w:sz="0" w:space="0" w:color="auto"/>
                                  </w:divBdr>
                                  <w:divsChild>
                                    <w:div w:id="558983764">
                                      <w:marLeft w:val="0"/>
                                      <w:marRight w:val="0"/>
                                      <w:marTop w:val="0"/>
                                      <w:marBottom w:val="0"/>
                                      <w:divBdr>
                                        <w:top w:val="none" w:sz="0" w:space="0" w:color="auto"/>
                                        <w:left w:val="none" w:sz="0" w:space="0" w:color="auto"/>
                                        <w:bottom w:val="none" w:sz="0" w:space="0" w:color="auto"/>
                                        <w:right w:val="none" w:sz="0" w:space="0" w:color="auto"/>
                                      </w:divBdr>
                                      <w:divsChild>
                                        <w:div w:id="938871024">
                                          <w:marLeft w:val="0"/>
                                          <w:marRight w:val="0"/>
                                          <w:marTop w:val="0"/>
                                          <w:marBottom w:val="0"/>
                                          <w:divBdr>
                                            <w:top w:val="none" w:sz="0" w:space="0" w:color="auto"/>
                                            <w:left w:val="none" w:sz="0" w:space="0" w:color="auto"/>
                                            <w:bottom w:val="none" w:sz="0" w:space="0" w:color="auto"/>
                                            <w:right w:val="none" w:sz="0" w:space="0" w:color="auto"/>
                                          </w:divBdr>
                                        </w:div>
                                        <w:div w:id="893349219">
                                          <w:marLeft w:val="0"/>
                                          <w:marRight w:val="0"/>
                                          <w:marTop w:val="0"/>
                                          <w:marBottom w:val="0"/>
                                          <w:divBdr>
                                            <w:top w:val="none" w:sz="0" w:space="0" w:color="auto"/>
                                            <w:left w:val="none" w:sz="0" w:space="0" w:color="auto"/>
                                            <w:bottom w:val="none" w:sz="0" w:space="0" w:color="auto"/>
                                            <w:right w:val="none" w:sz="0" w:space="0" w:color="auto"/>
                                          </w:divBdr>
                                          <w:divsChild>
                                            <w:div w:id="12738546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842814">
      <w:bodyDiv w:val="1"/>
      <w:marLeft w:val="0"/>
      <w:marRight w:val="0"/>
      <w:marTop w:val="0"/>
      <w:marBottom w:val="0"/>
      <w:divBdr>
        <w:top w:val="none" w:sz="0" w:space="0" w:color="auto"/>
        <w:left w:val="none" w:sz="0" w:space="0" w:color="auto"/>
        <w:bottom w:val="none" w:sz="0" w:space="0" w:color="auto"/>
        <w:right w:val="none" w:sz="0" w:space="0" w:color="auto"/>
      </w:divBdr>
      <w:divsChild>
        <w:div w:id="59445661">
          <w:marLeft w:val="0"/>
          <w:marRight w:val="0"/>
          <w:marTop w:val="0"/>
          <w:marBottom w:val="0"/>
          <w:divBdr>
            <w:top w:val="single" w:sz="2" w:space="0" w:color="AAAAAA"/>
            <w:left w:val="single" w:sz="6" w:space="8" w:color="AAAAAA"/>
            <w:bottom w:val="single" w:sz="2" w:space="0" w:color="AAAAAA"/>
            <w:right w:val="single" w:sz="6" w:space="8" w:color="AAAAAA"/>
          </w:divBdr>
          <w:divsChild>
            <w:div w:id="351995708">
              <w:marLeft w:val="0"/>
              <w:marRight w:val="0"/>
              <w:marTop w:val="0"/>
              <w:marBottom w:val="0"/>
              <w:divBdr>
                <w:top w:val="none" w:sz="0" w:space="0" w:color="auto"/>
                <w:left w:val="none" w:sz="0" w:space="0" w:color="auto"/>
                <w:bottom w:val="none" w:sz="0" w:space="0" w:color="auto"/>
                <w:right w:val="none" w:sz="0" w:space="0" w:color="auto"/>
              </w:divBdr>
              <w:divsChild>
                <w:div w:id="360858716">
                  <w:marLeft w:val="0"/>
                  <w:marRight w:val="0"/>
                  <w:marTop w:val="0"/>
                  <w:marBottom w:val="0"/>
                  <w:divBdr>
                    <w:top w:val="none" w:sz="0" w:space="0" w:color="auto"/>
                    <w:left w:val="none" w:sz="0" w:space="0" w:color="auto"/>
                    <w:bottom w:val="none" w:sz="0" w:space="0" w:color="auto"/>
                    <w:right w:val="none" w:sz="0" w:space="0" w:color="auto"/>
                  </w:divBdr>
                  <w:divsChild>
                    <w:div w:id="1130437117">
                      <w:marLeft w:val="0"/>
                      <w:marRight w:val="2550"/>
                      <w:marTop w:val="0"/>
                      <w:marBottom w:val="48"/>
                      <w:divBdr>
                        <w:top w:val="none" w:sz="0" w:space="0" w:color="auto"/>
                        <w:left w:val="none" w:sz="0" w:space="0" w:color="auto"/>
                        <w:bottom w:val="none" w:sz="0" w:space="0" w:color="auto"/>
                        <w:right w:val="none" w:sz="0" w:space="0" w:color="auto"/>
                      </w:divBdr>
                      <w:divsChild>
                        <w:div w:id="32073991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8229649">
      <w:bodyDiv w:val="1"/>
      <w:marLeft w:val="0"/>
      <w:marRight w:val="0"/>
      <w:marTop w:val="0"/>
      <w:marBottom w:val="0"/>
      <w:divBdr>
        <w:top w:val="none" w:sz="0" w:space="0" w:color="auto"/>
        <w:left w:val="none" w:sz="0" w:space="0" w:color="auto"/>
        <w:bottom w:val="none" w:sz="0" w:space="0" w:color="auto"/>
        <w:right w:val="none" w:sz="0" w:space="0" w:color="auto"/>
      </w:divBdr>
      <w:divsChild>
        <w:div w:id="177962008">
          <w:marLeft w:val="0"/>
          <w:marRight w:val="0"/>
          <w:marTop w:val="0"/>
          <w:marBottom w:val="0"/>
          <w:divBdr>
            <w:top w:val="none" w:sz="0" w:space="0" w:color="auto"/>
            <w:left w:val="none" w:sz="0" w:space="0" w:color="auto"/>
            <w:bottom w:val="none" w:sz="0" w:space="0" w:color="auto"/>
            <w:right w:val="none" w:sz="0" w:space="0" w:color="auto"/>
          </w:divBdr>
          <w:divsChild>
            <w:div w:id="1546334402">
              <w:marLeft w:val="0"/>
              <w:marRight w:val="0"/>
              <w:marTop w:val="0"/>
              <w:marBottom w:val="0"/>
              <w:divBdr>
                <w:top w:val="none" w:sz="0" w:space="0" w:color="auto"/>
                <w:left w:val="none" w:sz="0" w:space="0" w:color="auto"/>
                <w:bottom w:val="none" w:sz="0" w:space="0" w:color="auto"/>
                <w:right w:val="none" w:sz="0" w:space="0" w:color="auto"/>
              </w:divBdr>
              <w:divsChild>
                <w:div w:id="161051692">
                  <w:marLeft w:val="0"/>
                  <w:marRight w:val="0"/>
                  <w:marTop w:val="0"/>
                  <w:marBottom w:val="0"/>
                  <w:divBdr>
                    <w:top w:val="none" w:sz="0" w:space="0" w:color="auto"/>
                    <w:left w:val="none" w:sz="0" w:space="0" w:color="auto"/>
                    <w:bottom w:val="none" w:sz="0" w:space="0" w:color="auto"/>
                    <w:right w:val="none" w:sz="0" w:space="0" w:color="auto"/>
                  </w:divBdr>
                  <w:divsChild>
                    <w:div w:id="1220363806">
                      <w:marLeft w:val="0"/>
                      <w:marRight w:val="0"/>
                      <w:marTop w:val="0"/>
                      <w:marBottom w:val="0"/>
                      <w:divBdr>
                        <w:top w:val="none" w:sz="0" w:space="0" w:color="auto"/>
                        <w:left w:val="none" w:sz="0" w:space="0" w:color="auto"/>
                        <w:bottom w:val="none" w:sz="0" w:space="0" w:color="auto"/>
                        <w:right w:val="none" w:sz="0" w:space="0" w:color="auto"/>
                      </w:divBdr>
                      <w:divsChild>
                        <w:div w:id="1005088097">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sChild>
                                <w:div w:id="1179150584">
                                  <w:marLeft w:val="0"/>
                                  <w:marRight w:val="0"/>
                                  <w:marTop w:val="0"/>
                                  <w:marBottom w:val="0"/>
                                  <w:divBdr>
                                    <w:top w:val="none" w:sz="0" w:space="0" w:color="auto"/>
                                    <w:left w:val="none" w:sz="0" w:space="0" w:color="auto"/>
                                    <w:bottom w:val="none" w:sz="0" w:space="0" w:color="auto"/>
                                    <w:right w:val="none" w:sz="0" w:space="0" w:color="auto"/>
                                  </w:divBdr>
                                  <w:divsChild>
                                    <w:div w:id="1490898144">
                                      <w:marLeft w:val="0"/>
                                      <w:marRight w:val="0"/>
                                      <w:marTop w:val="0"/>
                                      <w:marBottom w:val="0"/>
                                      <w:divBdr>
                                        <w:top w:val="none" w:sz="0" w:space="0" w:color="auto"/>
                                        <w:left w:val="none" w:sz="0" w:space="0" w:color="auto"/>
                                        <w:bottom w:val="none" w:sz="0" w:space="0" w:color="auto"/>
                                        <w:right w:val="none" w:sz="0" w:space="0" w:color="auto"/>
                                      </w:divBdr>
                                      <w:divsChild>
                                        <w:div w:id="643391864">
                                          <w:marLeft w:val="0"/>
                                          <w:marRight w:val="0"/>
                                          <w:marTop w:val="0"/>
                                          <w:marBottom w:val="0"/>
                                          <w:divBdr>
                                            <w:top w:val="none" w:sz="0" w:space="0" w:color="auto"/>
                                            <w:left w:val="none" w:sz="0" w:space="0" w:color="auto"/>
                                            <w:bottom w:val="none" w:sz="0" w:space="0" w:color="auto"/>
                                            <w:right w:val="none" w:sz="0" w:space="0" w:color="auto"/>
                                          </w:divBdr>
                                          <w:divsChild>
                                            <w:div w:id="1388066938">
                                              <w:marLeft w:val="0"/>
                                              <w:marRight w:val="0"/>
                                              <w:marTop w:val="0"/>
                                              <w:marBottom w:val="0"/>
                                              <w:divBdr>
                                                <w:top w:val="none" w:sz="0" w:space="0" w:color="auto"/>
                                                <w:left w:val="none" w:sz="0" w:space="0" w:color="auto"/>
                                                <w:bottom w:val="none" w:sz="0" w:space="0" w:color="auto"/>
                                                <w:right w:val="none" w:sz="0" w:space="0" w:color="auto"/>
                                              </w:divBdr>
                                              <w:divsChild>
                                                <w:div w:id="481772357">
                                                  <w:marLeft w:val="0"/>
                                                  <w:marRight w:val="0"/>
                                                  <w:marTop w:val="0"/>
                                                  <w:marBottom w:val="0"/>
                                                  <w:divBdr>
                                                    <w:top w:val="none" w:sz="0" w:space="0" w:color="auto"/>
                                                    <w:left w:val="none" w:sz="0" w:space="0" w:color="auto"/>
                                                    <w:bottom w:val="none" w:sz="0" w:space="0" w:color="auto"/>
                                                    <w:right w:val="none" w:sz="0" w:space="0" w:color="auto"/>
                                                  </w:divBdr>
                                                  <w:divsChild>
                                                    <w:div w:id="1066536548">
                                                      <w:marLeft w:val="0"/>
                                                      <w:marRight w:val="0"/>
                                                      <w:marTop w:val="0"/>
                                                      <w:marBottom w:val="0"/>
                                                      <w:divBdr>
                                                        <w:top w:val="none" w:sz="0" w:space="0" w:color="auto"/>
                                                        <w:left w:val="none" w:sz="0" w:space="0" w:color="auto"/>
                                                        <w:bottom w:val="none" w:sz="0" w:space="0" w:color="auto"/>
                                                        <w:right w:val="none" w:sz="0" w:space="0" w:color="auto"/>
                                                      </w:divBdr>
                                                      <w:divsChild>
                                                        <w:div w:id="67847108">
                                                          <w:marLeft w:val="0"/>
                                                          <w:marRight w:val="0"/>
                                                          <w:marTop w:val="0"/>
                                                          <w:marBottom w:val="0"/>
                                                          <w:divBdr>
                                                            <w:top w:val="none" w:sz="0" w:space="0" w:color="auto"/>
                                                            <w:left w:val="none" w:sz="0" w:space="0" w:color="auto"/>
                                                            <w:bottom w:val="none" w:sz="0" w:space="0" w:color="auto"/>
                                                            <w:right w:val="none" w:sz="0" w:space="0" w:color="auto"/>
                                                          </w:divBdr>
                                                          <w:divsChild>
                                                            <w:div w:id="1580481680">
                                                              <w:marLeft w:val="0"/>
                                                              <w:marRight w:val="0"/>
                                                              <w:marTop w:val="0"/>
                                                              <w:marBottom w:val="0"/>
                                                              <w:divBdr>
                                                                <w:top w:val="none" w:sz="0" w:space="0" w:color="auto"/>
                                                                <w:left w:val="none" w:sz="0" w:space="0" w:color="auto"/>
                                                                <w:bottom w:val="none" w:sz="0" w:space="0" w:color="auto"/>
                                                                <w:right w:val="none" w:sz="0" w:space="0" w:color="auto"/>
                                                              </w:divBdr>
                                                              <w:divsChild>
                                                                <w:div w:id="4710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0112829">
      <w:bodyDiv w:val="1"/>
      <w:marLeft w:val="0"/>
      <w:marRight w:val="0"/>
      <w:marTop w:val="0"/>
      <w:marBottom w:val="0"/>
      <w:divBdr>
        <w:top w:val="none" w:sz="0" w:space="0" w:color="auto"/>
        <w:left w:val="none" w:sz="0" w:space="0" w:color="auto"/>
        <w:bottom w:val="none" w:sz="0" w:space="0" w:color="auto"/>
        <w:right w:val="none" w:sz="0" w:space="0" w:color="auto"/>
      </w:divBdr>
      <w:divsChild>
        <w:div w:id="146215806">
          <w:marLeft w:val="0"/>
          <w:marRight w:val="0"/>
          <w:marTop w:val="0"/>
          <w:marBottom w:val="0"/>
          <w:divBdr>
            <w:top w:val="none" w:sz="0" w:space="0" w:color="auto"/>
            <w:left w:val="none" w:sz="0" w:space="0" w:color="auto"/>
            <w:bottom w:val="none" w:sz="0" w:space="0" w:color="auto"/>
            <w:right w:val="none" w:sz="0" w:space="0" w:color="auto"/>
          </w:divBdr>
          <w:divsChild>
            <w:div w:id="149250262">
              <w:marLeft w:val="0"/>
              <w:marRight w:val="0"/>
              <w:marTop w:val="0"/>
              <w:marBottom w:val="0"/>
              <w:divBdr>
                <w:top w:val="none" w:sz="0" w:space="0" w:color="auto"/>
                <w:left w:val="none" w:sz="0" w:space="0" w:color="auto"/>
                <w:bottom w:val="none" w:sz="0" w:space="0" w:color="auto"/>
                <w:right w:val="none" w:sz="0" w:space="0" w:color="auto"/>
              </w:divBdr>
              <w:divsChild>
                <w:div w:id="355426408">
                  <w:marLeft w:val="0"/>
                  <w:marRight w:val="0"/>
                  <w:marTop w:val="0"/>
                  <w:marBottom w:val="0"/>
                  <w:divBdr>
                    <w:top w:val="none" w:sz="0" w:space="0" w:color="auto"/>
                    <w:left w:val="none" w:sz="0" w:space="0" w:color="auto"/>
                    <w:bottom w:val="none" w:sz="0" w:space="0" w:color="auto"/>
                    <w:right w:val="none" w:sz="0" w:space="0" w:color="auto"/>
                  </w:divBdr>
                  <w:divsChild>
                    <w:div w:id="247426630">
                      <w:marLeft w:val="0"/>
                      <w:marRight w:val="0"/>
                      <w:marTop w:val="0"/>
                      <w:marBottom w:val="0"/>
                      <w:divBdr>
                        <w:top w:val="none" w:sz="0" w:space="0" w:color="auto"/>
                        <w:left w:val="none" w:sz="0" w:space="0" w:color="auto"/>
                        <w:bottom w:val="none" w:sz="0" w:space="0" w:color="auto"/>
                        <w:right w:val="none" w:sz="0" w:space="0" w:color="auto"/>
                      </w:divBdr>
                      <w:divsChild>
                        <w:div w:id="1065645825">
                          <w:marLeft w:val="0"/>
                          <w:marRight w:val="0"/>
                          <w:marTop w:val="0"/>
                          <w:marBottom w:val="0"/>
                          <w:divBdr>
                            <w:top w:val="none" w:sz="0" w:space="0" w:color="auto"/>
                            <w:left w:val="none" w:sz="0" w:space="0" w:color="auto"/>
                            <w:bottom w:val="none" w:sz="0" w:space="0" w:color="auto"/>
                            <w:right w:val="none" w:sz="0" w:space="0" w:color="auto"/>
                          </w:divBdr>
                          <w:divsChild>
                            <w:div w:id="1730490493">
                              <w:marLeft w:val="0"/>
                              <w:marRight w:val="0"/>
                              <w:marTop w:val="0"/>
                              <w:marBottom w:val="0"/>
                              <w:divBdr>
                                <w:top w:val="none" w:sz="0" w:space="0" w:color="auto"/>
                                <w:left w:val="none" w:sz="0" w:space="0" w:color="auto"/>
                                <w:bottom w:val="none" w:sz="0" w:space="0" w:color="auto"/>
                                <w:right w:val="none" w:sz="0" w:space="0" w:color="auto"/>
                              </w:divBdr>
                              <w:divsChild>
                                <w:div w:id="1158963606">
                                  <w:marLeft w:val="0"/>
                                  <w:marRight w:val="0"/>
                                  <w:marTop w:val="0"/>
                                  <w:marBottom w:val="0"/>
                                  <w:divBdr>
                                    <w:top w:val="none" w:sz="0" w:space="0" w:color="auto"/>
                                    <w:left w:val="none" w:sz="0" w:space="0" w:color="auto"/>
                                    <w:bottom w:val="none" w:sz="0" w:space="0" w:color="auto"/>
                                    <w:right w:val="none" w:sz="0" w:space="0" w:color="auto"/>
                                  </w:divBdr>
                                  <w:divsChild>
                                    <w:div w:id="64493538">
                                      <w:marLeft w:val="0"/>
                                      <w:marRight w:val="0"/>
                                      <w:marTop w:val="0"/>
                                      <w:marBottom w:val="0"/>
                                      <w:divBdr>
                                        <w:top w:val="none" w:sz="0" w:space="0" w:color="auto"/>
                                        <w:left w:val="none" w:sz="0" w:space="0" w:color="auto"/>
                                        <w:bottom w:val="none" w:sz="0" w:space="0" w:color="auto"/>
                                        <w:right w:val="none" w:sz="0" w:space="0" w:color="auto"/>
                                      </w:divBdr>
                                      <w:divsChild>
                                        <w:div w:id="1788891799">
                                          <w:marLeft w:val="0"/>
                                          <w:marRight w:val="0"/>
                                          <w:marTop w:val="0"/>
                                          <w:marBottom w:val="0"/>
                                          <w:divBdr>
                                            <w:top w:val="none" w:sz="0" w:space="0" w:color="auto"/>
                                            <w:left w:val="none" w:sz="0" w:space="0" w:color="auto"/>
                                            <w:bottom w:val="none" w:sz="0" w:space="0" w:color="auto"/>
                                            <w:right w:val="none" w:sz="0" w:space="0" w:color="auto"/>
                                          </w:divBdr>
                                          <w:divsChild>
                                            <w:div w:id="446432152">
                                              <w:marLeft w:val="0"/>
                                              <w:marRight w:val="0"/>
                                              <w:marTop w:val="0"/>
                                              <w:marBottom w:val="0"/>
                                              <w:divBdr>
                                                <w:top w:val="none" w:sz="0" w:space="0" w:color="auto"/>
                                                <w:left w:val="none" w:sz="0" w:space="0" w:color="auto"/>
                                                <w:bottom w:val="none" w:sz="0" w:space="0" w:color="auto"/>
                                                <w:right w:val="none" w:sz="0" w:space="0" w:color="auto"/>
                                              </w:divBdr>
                                              <w:divsChild>
                                                <w:div w:id="783694826">
                                                  <w:marLeft w:val="0"/>
                                                  <w:marRight w:val="0"/>
                                                  <w:marTop w:val="0"/>
                                                  <w:marBottom w:val="0"/>
                                                  <w:divBdr>
                                                    <w:top w:val="none" w:sz="0" w:space="0" w:color="auto"/>
                                                    <w:left w:val="none" w:sz="0" w:space="0" w:color="auto"/>
                                                    <w:bottom w:val="none" w:sz="0" w:space="0" w:color="auto"/>
                                                    <w:right w:val="none" w:sz="0" w:space="0" w:color="auto"/>
                                                  </w:divBdr>
                                                  <w:divsChild>
                                                    <w:div w:id="1628003809">
                                                      <w:marLeft w:val="0"/>
                                                      <w:marRight w:val="0"/>
                                                      <w:marTop w:val="0"/>
                                                      <w:marBottom w:val="0"/>
                                                      <w:divBdr>
                                                        <w:top w:val="none" w:sz="0" w:space="0" w:color="auto"/>
                                                        <w:left w:val="none" w:sz="0" w:space="0" w:color="auto"/>
                                                        <w:bottom w:val="none" w:sz="0" w:space="0" w:color="auto"/>
                                                        <w:right w:val="none" w:sz="0" w:space="0" w:color="auto"/>
                                                      </w:divBdr>
                                                      <w:divsChild>
                                                        <w:div w:id="189993935">
                                                          <w:marLeft w:val="0"/>
                                                          <w:marRight w:val="0"/>
                                                          <w:marTop w:val="0"/>
                                                          <w:marBottom w:val="0"/>
                                                          <w:divBdr>
                                                            <w:top w:val="none" w:sz="0" w:space="0" w:color="auto"/>
                                                            <w:left w:val="none" w:sz="0" w:space="0" w:color="auto"/>
                                                            <w:bottom w:val="none" w:sz="0" w:space="0" w:color="auto"/>
                                                            <w:right w:val="none" w:sz="0" w:space="0" w:color="auto"/>
                                                          </w:divBdr>
                                                        </w:div>
                                                        <w:div w:id="1989435401">
                                                          <w:marLeft w:val="0"/>
                                                          <w:marRight w:val="0"/>
                                                          <w:marTop w:val="0"/>
                                                          <w:marBottom w:val="0"/>
                                                          <w:divBdr>
                                                            <w:top w:val="none" w:sz="0" w:space="0" w:color="auto"/>
                                                            <w:left w:val="none" w:sz="0" w:space="0" w:color="auto"/>
                                                            <w:bottom w:val="none" w:sz="0" w:space="0" w:color="auto"/>
                                                            <w:right w:val="none" w:sz="0" w:space="0" w:color="auto"/>
                                                          </w:divBdr>
                                                          <w:divsChild>
                                                            <w:div w:id="841311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0850824">
      <w:bodyDiv w:val="1"/>
      <w:marLeft w:val="0"/>
      <w:marRight w:val="0"/>
      <w:marTop w:val="0"/>
      <w:marBottom w:val="0"/>
      <w:divBdr>
        <w:top w:val="none" w:sz="0" w:space="0" w:color="auto"/>
        <w:left w:val="none" w:sz="0" w:space="0" w:color="auto"/>
        <w:bottom w:val="none" w:sz="0" w:space="0" w:color="auto"/>
        <w:right w:val="none" w:sz="0" w:space="0" w:color="auto"/>
      </w:divBdr>
    </w:div>
    <w:div w:id="1232036139">
      <w:bodyDiv w:val="1"/>
      <w:marLeft w:val="0"/>
      <w:marRight w:val="0"/>
      <w:marTop w:val="0"/>
      <w:marBottom w:val="0"/>
      <w:divBdr>
        <w:top w:val="none" w:sz="0" w:space="0" w:color="auto"/>
        <w:left w:val="none" w:sz="0" w:space="0" w:color="auto"/>
        <w:bottom w:val="none" w:sz="0" w:space="0" w:color="auto"/>
        <w:right w:val="none" w:sz="0" w:space="0" w:color="auto"/>
      </w:divBdr>
    </w:div>
    <w:div w:id="1233077635">
      <w:bodyDiv w:val="1"/>
      <w:marLeft w:val="0"/>
      <w:marRight w:val="0"/>
      <w:marTop w:val="0"/>
      <w:marBottom w:val="0"/>
      <w:divBdr>
        <w:top w:val="none" w:sz="0" w:space="0" w:color="auto"/>
        <w:left w:val="none" w:sz="0" w:space="0" w:color="auto"/>
        <w:bottom w:val="none" w:sz="0" w:space="0" w:color="auto"/>
        <w:right w:val="none" w:sz="0" w:space="0" w:color="auto"/>
      </w:divBdr>
      <w:divsChild>
        <w:div w:id="1792556475">
          <w:marLeft w:val="0"/>
          <w:marRight w:val="0"/>
          <w:marTop w:val="0"/>
          <w:marBottom w:val="0"/>
          <w:divBdr>
            <w:top w:val="none" w:sz="0" w:space="0" w:color="auto"/>
            <w:left w:val="none" w:sz="0" w:space="0" w:color="auto"/>
            <w:bottom w:val="none" w:sz="0" w:space="0" w:color="auto"/>
            <w:right w:val="none" w:sz="0" w:space="0" w:color="auto"/>
          </w:divBdr>
          <w:divsChild>
            <w:div w:id="977606941">
              <w:marLeft w:val="210"/>
              <w:marRight w:val="0"/>
              <w:marTop w:val="0"/>
              <w:marBottom w:val="0"/>
              <w:divBdr>
                <w:top w:val="none" w:sz="0" w:space="0" w:color="auto"/>
                <w:left w:val="none" w:sz="0" w:space="0" w:color="auto"/>
                <w:bottom w:val="none" w:sz="0" w:space="0" w:color="auto"/>
                <w:right w:val="none" w:sz="0" w:space="0" w:color="auto"/>
              </w:divBdr>
              <w:divsChild>
                <w:div w:id="8013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48457">
      <w:bodyDiv w:val="1"/>
      <w:marLeft w:val="0"/>
      <w:marRight w:val="0"/>
      <w:marTop w:val="0"/>
      <w:marBottom w:val="0"/>
      <w:divBdr>
        <w:top w:val="none" w:sz="0" w:space="0" w:color="auto"/>
        <w:left w:val="none" w:sz="0" w:space="0" w:color="auto"/>
        <w:bottom w:val="none" w:sz="0" w:space="0" w:color="auto"/>
        <w:right w:val="none" w:sz="0" w:space="0" w:color="auto"/>
      </w:divBdr>
      <w:divsChild>
        <w:div w:id="740446846">
          <w:marLeft w:val="0"/>
          <w:marRight w:val="0"/>
          <w:marTop w:val="0"/>
          <w:marBottom w:val="0"/>
          <w:divBdr>
            <w:top w:val="none" w:sz="0" w:space="0" w:color="auto"/>
            <w:left w:val="none" w:sz="0" w:space="0" w:color="auto"/>
            <w:bottom w:val="none" w:sz="0" w:space="0" w:color="auto"/>
            <w:right w:val="none" w:sz="0" w:space="0" w:color="auto"/>
          </w:divBdr>
          <w:divsChild>
            <w:div w:id="741879282">
              <w:marLeft w:val="0"/>
              <w:marRight w:val="0"/>
              <w:marTop w:val="0"/>
              <w:marBottom w:val="0"/>
              <w:divBdr>
                <w:top w:val="none" w:sz="0" w:space="0" w:color="auto"/>
                <w:left w:val="none" w:sz="0" w:space="0" w:color="auto"/>
                <w:bottom w:val="none" w:sz="0" w:space="0" w:color="auto"/>
                <w:right w:val="none" w:sz="0" w:space="0" w:color="auto"/>
              </w:divBdr>
              <w:divsChild>
                <w:div w:id="1358309787">
                  <w:marLeft w:val="0"/>
                  <w:marRight w:val="0"/>
                  <w:marTop w:val="0"/>
                  <w:marBottom w:val="0"/>
                  <w:divBdr>
                    <w:top w:val="none" w:sz="0" w:space="0" w:color="auto"/>
                    <w:left w:val="none" w:sz="0" w:space="0" w:color="auto"/>
                    <w:bottom w:val="none" w:sz="0" w:space="0" w:color="auto"/>
                    <w:right w:val="none" w:sz="0" w:space="0" w:color="auto"/>
                  </w:divBdr>
                  <w:divsChild>
                    <w:div w:id="1371489964">
                      <w:marLeft w:val="0"/>
                      <w:marRight w:val="0"/>
                      <w:marTop w:val="0"/>
                      <w:marBottom w:val="0"/>
                      <w:divBdr>
                        <w:top w:val="none" w:sz="0" w:space="0" w:color="auto"/>
                        <w:left w:val="none" w:sz="0" w:space="0" w:color="auto"/>
                        <w:bottom w:val="none" w:sz="0" w:space="0" w:color="auto"/>
                        <w:right w:val="none" w:sz="0" w:space="0" w:color="auto"/>
                      </w:divBdr>
                      <w:divsChild>
                        <w:div w:id="1755973087">
                          <w:marLeft w:val="0"/>
                          <w:marRight w:val="0"/>
                          <w:marTop w:val="0"/>
                          <w:marBottom w:val="0"/>
                          <w:divBdr>
                            <w:top w:val="none" w:sz="0" w:space="0" w:color="auto"/>
                            <w:left w:val="none" w:sz="0" w:space="0" w:color="auto"/>
                            <w:bottom w:val="none" w:sz="0" w:space="0" w:color="auto"/>
                            <w:right w:val="none" w:sz="0" w:space="0" w:color="auto"/>
                          </w:divBdr>
                          <w:divsChild>
                            <w:div w:id="1310672827">
                              <w:marLeft w:val="0"/>
                              <w:marRight w:val="0"/>
                              <w:marTop w:val="0"/>
                              <w:marBottom w:val="0"/>
                              <w:divBdr>
                                <w:top w:val="none" w:sz="0" w:space="0" w:color="auto"/>
                                <w:left w:val="none" w:sz="0" w:space="0" w:color="auto"/>
                                <w:bottom w:val="none" w:sz="0" w:space="0" w:color="auto"/>
                                <w:right w:val="none" w:sz="0" w:space="0" w:color="auto"/>
                              </w:divBdr>
                              <w:divsChild>
                                <w:div w:id="417018682">
                                  <w:marLeft w:val="0"/>
                                  <w:marRight w:val="0"/>
                                  <w:marTop w:val="0"/>
                                  <w:marBottom w:val="0"/>
                                  <w:divBdr>
                                    <w:top w:val="none" w:sz="0" w:space="0" w:color="auto"/>
                                    <w:left w:val="none" w:sz="0" w:space="0" w:color="auto"/>
                                    <w:bottom w:val="none" w:sz="0" w:space="0" w:color="auto"/>
                                    <w:right w:val="none" w:sz="0" w:space="0" w:color="auto"/>
                                  </w:divBdr>
                                  <w:divsChild>
                                    <w:div w:id="724833582">
                                      <w:marLeft w:val="0"/>
                                      <w:marRight w:val="0"/>
                                      <w:marTop w:val="0"/>
                                      <w:marBottom w:val="0"/>
                                      <w:divBdr>
                                        <w:top w:val="none" w:sz="0" w:space="0" w:color="auto"/>
                                        <w:left w:val="none" w:sz="0" w:space="0" w:color="auto"/>
                                        <w:bottom w:val="none" w:sz="0" w:space="0" w:color="auto"/>
                                        <w:right w:val="none" w:sz="0" w:space="0" w:color="auto"/>
                                      </w:divBdr>
                                      <w:divsChild>
                                        <w:div w:id="660623710">
                                          <w:marLeft w:val="0"/>
                                          <w:marRight w:val="0"/>
                                          <w:marTop w:val="0"/>
                                          <w:marBottom w:val="0"/>
                                          <w:divBdr>
                                            <w:top w:val="none" w:sz="0" w:space="0" w:color="auto"/>
                                            <w:left w:val="none" w:sz="0" w:space="0" w:color="auto"/>
                                            <w:bottom w:val="none" w:sz="0" w:space="0" w:color="auto"/>
                                            <w:right w:val="none" w:sz="0" w:space="0" w:color="auto"/>
                                          </w:divBdr>
                                          <w:divsChild>
                                            <w:div w:id="1957909724">
                                              <w:marLeft w:val="0"/>
                                              <w:marRight w:val="0"/>
                                              <w:marTop w:val="0"/>
                                              <w:marBottom w:val="0"/>
                                              <w:divBdr>
                                                <w:top w:val="none" w:sz="0" w:space="0" w:color="auto"/>
                                                <w:left w:val="none" w:sz="0" w:space="0" w:color="auto"/>
                                                <w:bottom w:val="none" w:sz="0" w:space="0" w:color="auto"/>
                                                <w:right w:val="none" w:sz="0" w:space="0" w:color="auto"/>
                                              </w:divBdr>
                                              <w:divsChild>
                                                <w:div w:id="217710782">
                                                  <w:marLeft w:val="0"/>
                                                  <w:marRight w:val="0"/>
                                                  <w:marTop w:val="0"/>
                                                  <w:marBottom w:val="0"/>
                                                  <w:divBdr>
                                                    <w:top w:val="none" w:sz="0" w:space="0" w:color="auto"/>
                                                    <w:left w:val="none" w:sz="0" w:space="0" w:color="auto"/>
                                                    <w:bottom w:val="none" w:sz="0" w:space="0" w:color="auto"/>
                                                    <w:right w:val="none" w:sz="0" w:space="0" w:color="auto"/>
                                                  </w:divBdr>
                                                  <w:divsChild>
                                                    <w:div w:id="1334600798">
                                                      <w:marLeft w:val="0"/>
                                                      <w:marRight w:val="0"/>
                                                      <w:marTop w:val="0"/>
                                                      <w:marBottom w:val="0"/>
                                                      <w:divBdr>
                                                        <w:top w:val="none" w:sz="0" w:space="0" w:color="auto"/>
                                                        <w:left w:val="none" w:sz="0" w:space="0" w:color="auto"/>
                                                        <w:bottom w:val="none" w:sz="0" w:space="0" w:color="auto"/>
                                                        <w:right w:val="none" w:sz="0" w:space="0" w:color="auto"/>
                                                      </w:divBdr>
                                                      <w:divsChild>
                                                        <w:div w:id="1430658292">
                                                          <w:marLeft w:val="0"/>
                                                          <w:marRight w:val="0"/>
                                                          <w:marTop w:val="0"/>
                                                          <w:marBottom w:val="0"/>
                                                          <w:divBdr>
                                                            <w:top w:val="none" w:sz="0" w:space="0" w:color="auto"/>
                                                            <w:left w:val="none" w:sz="0" w:space="0" w:color="auto"/>
                                                            <w:bottom w:val="none" w:sz="0" w:space="0" w:color="auto"/>
                                                            <w:right w:val="none" w:sz="0" w:space="0" w:color="auto"/>
                                                          </w:divBdr>
                                                          <w:divsChild>
                                                            <w:div w:id="1759015764">
                                                              <w:marLeft w:val="0"/>
                                                              <w:marRight w:val="0"/>
                                                              <w:marTop w:val="0"/>
                                                              <w:marBottom w:val="0"/>
                                                              <w:divBdr>
                                                                <w:top w:val="none" w:sz="0" w:space="0" w:color="auto"/>
                                                                <w:left w:val="none" w:sz="0" w:space="0" w:color="auto"/>
                                                                <w:bottom w:val="none" w:sz="0" w:space="0" w:color="auto"/>
                                                                <w:right w:val="none" w:sz="0" w:space="0" w:color="auto"/>
                                                              </w:divBdr>
                                                            </w:div>
                                                            <w:div w:id="3985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6010835">
      <w:bodyDiv w:val="1"/>
      <w:marLeft w:val="0"/>
      <w:marRight w:val="0"/>
      <w:marTop w:val="0"/>
      <w:marBottom w:val="0"/>
      <w:divBdr>
        <w:top w:val="none" w:sz="0" w:space="0" w:color="auto"/>
        <w:left w:val="none" w:sz="0" w:space="0" w:color="auto"/>
        <w:bottom w:val="none" w:sz="0" w:space="0" w:color="auto"/>
        <w:right w:val="none" w:sz="0" w:space="0" w:color="auto"/>
      </w:divBdr>
    </w:div>
    <w:div w:id="1236284208">
      <w:bodyDiv w:val="1"/>
      <w:marLeft w:val="0"/>
      <w:marRight w:val="0"/>
      <w:marTop w:val="0"/>
      <w:marBottom w:val="0"/>
      <w:divBdr>
        <w:top w:val="none" w:sz="0" w:space="0" w:color="auto"/>
        <w:left w:val="none" w:sz="0" w:space="0" w:color="auto"/>
        <w:bottom w:val="none" w:sz="0" w:space="0" w:color="auto"/>
        <w:right w:val="none" w:sz="0" w:space="0" w:color="auto"/>
      </w:divBdr>
      <w:divsChild>
        <w:div w:id="194778329">
          <w:marLeft w:val="0"/>
          <w:marRight w:val="0"/>
          <w:marTop w:val="0"/>
          <w:marBottom w:val="0"/>
          <w:divBdr>
            <w:top w:val="none" w:sz="0" w:space="0" w:color="auto"/>
            <w:left w:val="none" w:sz="0" w:space="0" w:color="auto"/>
            <w:bottom w:val="none" w:sz="0" w:space="0" w:color="auto"/>
            <w:right w:val="none" w:sz="0" w:space="0" w:color="auto"/>
          </w:divBdr>
          <w:divsChild>
            <w:div w:id="112794546">
              <w:marLeft w:val="210"/>
              <w:marRight w:val="0"/>
              <w:marTop w:val="0"/>
              <w:marBottom w:val="0"/>
              <w:divBdr>
                <w:top w:val="none" w:sz="0" w:space="0" w:color="auto"/>
                <w:left w:val="none" w:sz="0" w:space="0" w:color="auto"/>
                <w:bottom w:val="none" w:sz="0" w:space="0" w:color="auto"/>
                <w:right w:val="none" w:sz="0" w:space="0" w:color="auto"/>
              </w:divBdr>
              <w:divsChild>
                <w:div w:id="4968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5930">
      <w:bodyDiv w:val="1"/>
      <w:marLeft w:val="0"/>
      <w:marRight w:val="0"/>
      <w:marTop w:val="0"/>
      <w:marBottom w:val="0"/>
      <w:divBdr>
        <w:top w:val="none" w:sz="0" w:space="0" w:color="auto"/>
        <w:left w:val="none" w:sz="0" w:space="0" w:color="auto"/>
        <w:bottom w:val="none" w:sz="0" w:space="0" w:color="auto"/>
        <w:right w:val="none" w:sz="0" w:space="0" w:color="auto"/>
      </w:divBdr>
    </w:div>
    <w:div w:id="1238054297">
      <w:bodyDiv w:val="1"/>
      <w:marLeft w:val="0"/>
      <w:marRight w:val="0"/>
      <w:marTop w:val="0"/>
      <w:marBottom w:val="0"/>
      <w:divBdr>
        <w:top w:val="none" w:sz="0" w:space="0" w:color="auto"/>
        <w:left w:val="none" w:sz="0" w:space="0" w:color="auto"/>
        <w:bottom w:val="none" w:sz="0" w:space="0" w:color="auto"/>
        <w:right w:val="none" w:sz="0" w:space="0" w:color="auto"/>
      </w:divBdr>
      <w:divsChild>
        <w:div w:id="676494713">
          <w:marLeft w:val="0"/>
          <w:marRight w:val="0"/>
          <w:marTop w:val="150"/>
          <w:marBottom w:val="0"/>
          <w:divBdr>
            <w:top w:val="none" w:sz="0" w:space="0" w:color="auto"/>
            <w:left w:val="none" w:sz="0" w:space="0" w:color="auto"/>
            <w:bottom w:val="none" w:sz="0" w:space="0" w:color="auto"/>
            <w:right w:val="none" w:sz="0" w:space="0" w:color="auto"/>
          </w:divBdr>
          <w:divsChild>
            <w:div w:id="1279869290">
              <w:marLeft w:val="2"/>
              <w:marRight w:val="2"/>
              <w:marTop w:val="0"/>
              <w:marBottom w:val="0"/>
              <w:divBdr>
                <w:top w:val="none" w:sz="0" w:space="0" w:color="auto"/>
                <w:left w:val="none" w:sz="0" w:space="0" w:color="auto"/>
                <w:bottom w:val="none" w:sz="0" w:space="0" w:color="auto"/>
                <w:right w:val="none" w:sz="0" w:space="0" w:color="auto"/>
              </w:divBdr>
              <w:divsChild>
                <w:div w:id="1446970413">
                  <w:marLeft w:val="0"/>
                  <w:marRight w:val="0"/>
                  <w:marTop w:val="0"/>
                  <w:marBottom w:val="0"/>
                  <w:divBdr>
                    <w:top w:val="none" w:sz="0" w:space="0" w:color="auto"/>
                    <w:left w:val="none" w:sz="0" w:space="0" w:color="auto"/>
                    <w:bottom w:val="none" w:sz="0" w:space="0" w:color="auto"/>
                    <w:right w:val="none" w:sz="0" w:space="0" w:color="auto"/>
                  </w:divBdr>
                  <w:divsChild>
                    <w:div w:id="1033119419">
                      <w:marLeft w:val="0"/>
                      <w:marRight w:val="0"/>
                      <w:marTop w:val="0"/>
                      <w:marBottom w:val="0"/>
                      <w:divBdr>
                        <w:top w:val="none" w:sz="0" w:space="0" w:color="auto"/>
                        <w:left w:val="none" w:sz="0" w:space="0" w:color="auto"/>
                        <w:bottom w:val="none" w:sz="0" w:space="0" w:color="auto"/>
                        <w:right w:val="none" w:sz="0" w:space="0" w:color="auto"/>
                      </w:divBdr>
                      <w:divsChild>
                        <w:div w:id="1971863922">
                          <w:marLeft w:val="0"/>
                          <w:marRight w:val="0"/>
                          <w:marTop w:val="0"/>
                          <w:marBottom w:val="0"/>
                          <w:divBdr>
                            <w:top w:val="none" w:sz="0" w:space="0" w:color="auto"/>
                            <w:left w:val="none" w:sz="0" w:space="0" w:color="auto"/>
                            <w:bottom w:val="none" w:sz="0" w:space="0" w:color="auto"/>
                            <w:right w:val="none" w:sz="0" w:space="0" w:color="auto"/>
                          </w:divBdr>
                          <w:divsChild>
                            <w:div w:id="883448678">
                              <w:marLeft w:val="0"/>
                              <w:marRight w:val="0"/>
                              <w:marTop w:val="0"/>
                              <w:marBottom w:val="0"/>
                              <w:divBdr>
                                <w:top w:val="none" w:sz="0" w:space="0" w:color="auto"/>
                                <w:left w:val="none" w:sz="0" w:space="0" w:color="auto"/>
                                <w:bottom w:val="none" w:sz="0" w:space="0" w:color="auto"/>
                                <w:right w:val="none" w:sz="0" w:space="0" w:color="auto"/>
                              </w:divBdr>
                              <w:divsChild>
                                <w:div w:id="592517743">
                                  <w:marLeft w:val="0"/>
                                  <w:marRight w:val="0"/>
                                  <w:marTop w:val="0"/>
                                  <w:marBottom w:val="0"/>
                                  <w:divBdr>
                                    <w:top w:val="none" w:sz="0" w:space="0" w:color="auto"/>
                                    <w:left w:val="none" w:sz="0" w:space="0" w:color="auto"/>
                                    <w:bottom w:val="none" w:sz="0" w:space="0" w:color="auto"/>
                                    <w:right w:val="none" w:sz="0" w:space="0" w:color="auto"/>
                                  </w:divBdr>
                                  <w:divsChild>
                                    <w:div w:id="988706108">
                                      <w:marLeft w:val="0"/>
                                      <w:marRight w:val="0"/>
                                      <w:marTop w:val="0"/>
                                      <w:marBottom w:val="0"/>
                                      <w:divBdr>
                                        <w:top w:val="none" w:sz="0" w:space="0" w:color="auto"/>
                                        <w:left w:val="none" w:sz="0" w:space="0" w:color="auto"/>
                                        <w:bottom w:val="none" w:sz="0" w:space="0" w:color="auto"/>
                                        <w:right w:val="none" w:sz="0" w:space="0" w:color="auto"/>
                                      </w:divBdr>
                                      <w:divsChild>
                                        <w:div w:id="594484417">
                                          <w:marLeft w:val="0"/>
                                          <w:marRight w:val="0"/>
                                          <w:marTop w:val="0"/>
                                          <w:marBottom w:val="0"/>
                                          <w:divBdr>
                                            <w:top w:val="none" w:sz="0" w:space="0" w:color="auto"/>
                                            <w:left w:val="none" w:sz="0" w:space="0" w:color="auto"/>
                                            <w:bottom w:val="none" w:sz="0" w:space="0" w:color="auto"/>
                                            <w:right w:val="none" w:sz="0" w:space="0" w:color="auto"/>
                                          </w:divBdr>
                                          <w:divsChild>
                                            <w:div w:id="1955860445">
                                              <w:marLeft w:val="0"/>
                                              <w:marRight w:val="0"/>
                                              <w:marTop w:val="0"/>
                                              <w:marBottom w:val="0"/>
                                              <w:divBdr>
                                                <w:top w:val="none" w:sz="0" w:space="0" w:color="auto"/>
                                                <w:left w:val="none" w:sz="0" w:space="0" w:color="auto"/>
                                                <w:bottom w:val="none" w:sz="0" w:space="0" w:color="auto"/>
                                                <w:right w:val="none" w:sz="0" w:space="0" w:color="auto"/>
                                              </w:divBdr>
                                              <w:divsChild>
                                                <w:div w:id="403602791">
                                                  <w:marLeft w:val="0"/>
                                                  <w:marRight w:val="0"/>
                                                  <w:marTop w:val="0"/>
                                                  <w:marBottom w:val="0"/>
                                                  <w:divBdr>
                                                    <w:top w:val="none" w:sz="0" w:space="0" w:color="auto"/>
                                                    <w:left w:val="none" w:sz="0" w:space="0" w:color="auto"/>
                                                    <w:bottom w:val="none" w:sz="0" w:space="0" w:color="auto"/>
                                                    <w:right w:val="none" w:sz="0" w:space="0" w:color="auto"/>
                                                  </w:divBdr>
                                                </w:div>
                                              </w:divsChild>
                                            </w:div>
                                            <w:div w:id="2092774463">
                                              <w:marLeft w:val="0"/>
                                              <w:marRight w:val="0"/>
                                              <w:marTop w:val="0"/>
                                              <w:marBottom w:val="0"/>
                                              <w:divBdr>
                                                <w:top w:val="none" w:sz="0" w:space="0" w:color="auto"/>
                                                <w:left w:val="none" w:sz="0" w:space="0" w:color="auto"/>
                                                <w:bottom w:val="none" w:sz="0" w:space="0" w:color="auto"/>
                                                <w:right w:val="none" w:sz="0" w:space="0" w:color="auto"/>
                                              </w:divBdr>
                                              <w:divsChild>
                                                <w:div w:id="569073857">
                                                  <w:marLeft w:val="0"/>
                                                  <w:marRight w:val="0"/>
                                                  <w:marTop w:val="0"/>
                                                  <w:marBottom w:val="0"/>
                                                  <w:divBdr>
                                                    <w:top w:val="none" w:sz="0" w:space="0" w:color="auto"/>
                                                    <w:left w:val="none" w:sz="0" w:space="0" w:color="auto"/>
                                                    <w:bottom w:val="none" w:sz="0" w:space="0" w:color="auto"/>
                                                    <w:right w:val="none" w:sz="0" w:space="0" w:color="auto"/>
                                                  </w:divBdr>
                                                </w:div>
                                              </w:divsChild>
                                            </w:div>
                                            <w:div w:id="1452942796">
                                              <w:marLeft w:val="0"/>
                                              <w:marRight w:val="0"/>
                                              <w:marTop w:val="0"/>
                                              <w:marBottom w:val="0"/>
                                              <w:divBdr>
                                                <w:top w:val="none" w:sz="0" w:space="0" w:color="auto"/>
                                                <w:left w:val="none" w:sz="0" w:space="0" w:color="auto"/>
                                                <w:bottom w:val="none" w:sz="0" w:space="0" w:color="auto"/>
                                                <w:right w:val="none" w:sz="0" w:space="0" w:color="auto"/>
                                              </w:divBdr>
                                              <w:divsChild>
                                                <w:div w:id="15930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560961">
      <w:bodyDiv w:val="1"/>
      <w:marLeft w:val="0"/>
      <w:marRight w:val="0"/>
      <w:marTop w:val="0"/>
      <w:marBottom w:val="0"/>
      <w:divBdr>
        <w:top w:val="none" w:sz="0" w:space="0" w:color="auto"/>
        <w:left w:val="none" w:sz="0" w:space="0" w:color="auto"/>
        <w:bottom w:val="none" w:sz="0" w:space="0" w:color="auto"/>
        <w:right w:val="none" w:sz="0" w:space="0" w:color="auto"/>
      </w:divBdr>
    </w:div>
    <w:div w:id="1240868614">
      <w:bodyDiv w:val="1"/>
      <w:marLeft w:val="0"/>
      <w:marRight w:val="0"/>
      <w:marTop w:val="0"/>
      <w:marBottom w:val="0"/>
      <w:divBdr>
        <w:top w:val="none" w:sz="0" w:space="0" w:color="auto"/>
        <w:left w:val="none" w:sz="0" w:space="0" w:color="auto"/>
        <w:bottom w:val="none" w:sz="0" w:space="0" w:color="auto"/>
        <w:right w:val="none" w:sz="0" w:space="0" w:color="auto"/>
      </w:divBdr>
      <w:divsChild>
        <w:div w:id="637346670">
          <w:marLeft w:val="0"/>
          <w:marRight w:val="0"/>
          <w:marTop w:val="0"/>
          <w:marBottom w:val="0"/>
          <w:divBdr>
            <w:top w:val="none" w:sz="0" w:space="0" w:color="auto"/>
            <w:left w:val="none" w:sz="0" w:space="0" w:color="auto"/>
            <w:bottom w:val="none" w:sz="0" w:space="0" w:color="auto"/>
            <w:right w:val="none" w:sz="0" w:space="0" w:color="auto"/>
          </w:divBdr>
          <w:divsChild>
            <w:div w:id="1513183806">
              <w:marLeft w:val="0"/>
              <w:marRight w:val="0"/>
              <w:marTop w:val="0"/>
              <w:marBottom w:val="0"/>
              <w:divBdr>
                <w:top w:val="none" w:sz="0" w:space="0" w:color="auto"/>
                <w:left w:val="none" w:sz="0" w:space="0" w:color="auto"/>
                <w:bottom w:val="none" w:sz="0" w:space="0" w:color="auto"/>
                <w:right w:val="none" w:sz="0" w:space="0" w:color="auto"/>
              </w:divBdr>
              <w:divsChild>
                <w:div w:id="1904750978">
                  <w:marLeft w:val="0"/>
                  <w:marRight w:val="0"/>
                  <w:marTop w:val="0"/>
                  <w:marBottom w:val="0"/>
                  <w:divBdr>
                    <w:top w:val="none" w:sz="0" w:space="0" w:color="auto"/>
                    <w:left w:val="none" w:sz="0" w:space="0" w:color="auto"/>
                    <w:bottom w:val="none" w:sz="0" w:space="0" w:color="auto"/>
                    <w:right w:val="none" w:sz="0" w:space="0" w:color="auto"/>
                  </w:divBdr>
                  <w:divsChild>
                    <w:div w:id="658844374">
                      <w:marLeft w:val="0"/>
                      <w:marRight w:val="0"/>
                      <w:marTop w:val="0"/>
                      <w:marBottom w:val="0"/>
                      <w:divBdr>
                        <w:top w:val="none" w:sz="0" w:space="0" w:color="auto"/>
                        <w:left w:val="none" w:sz="0" w:space="0" w:color="auto"/>
                        <w:bottom w:val="none" w:sz="0" w:space="0" w:color="auto"/>
                        <w:right w:val="none" w:sz="0" w:space="0" w:color="auto"/>
                      </w:divBdr>
                      <w:divsChild>
                        <w:div w:id="880284134">
                          <w:marLeft w:val="570"/>
                          <w:marRight w:val="720"/>
                          <w:marTop w:val="120"/>
                          <w:marBottom w:val="120"/>
                          <w:divBdr>
                            <w:top w:val="none" w:sz="0" w:space="0" w:color="auto"/>
                            <w:left w:val="none" w:sz="0" w:space="0" w:color="auto"/>
                            <w:bottom w:val="none" w:sz="0" w:space="0" w:color="auto"/>
                            <w:right w:val="none" w:sz="0" w:space="0" w:color="auto"/>
                          </w:divBdr>
                          <w:divsChild>
                            <w:div w:id="567767213">
                              <w:marLeft w:val="0"/>
                              <w:marRight w:val="0"/>
                              <w:marTop w:val="0"/>
                              <w:marBottom w:val="0"/>
                              <w:divBdr>
                                <w:top w:val="none" w:sz="0" w:space="0" w:color="auto"/>
                                <w:left w:val="none" w:sz="0" w:space="0" w:color="auto"/>
                                <w:bottom w:val="none" w:sz="0" w:space="0" w:color="auto"/>
                                <w:right w:val="none" w:sz="0" w:space="0" w:color="auto"/>
                              </w:divBdr>
                              <w:divsChild>
                                <w:div w:id="1567260605">
                                  <w:marLeft w:val="0"/>
                                  <w:marRight w:val="0"/>
                                  <w:marTop w:val="0"/>
                                  <w:marBottom w:val="0"/>
                                  <w:divBdr>
                                    <w:top w:val="none" w:sz="0" w:space="0" w:color="auto"/>
                                    <w:left w:val="none" w:sz="0" w:space="0" w:color="auto"/>
                                    <w:bottom w:val="none" w:sz="0" w:space="0" w:color="auto"/>
                                    <w:right w:val="none" w:sz="0" w:space="0" w:color="auto"/>
                                  </w:divBdr>
                                  <w:divsChild>
                                    <w:div w:id="1821575595">
                                      <w:marLeft w:val="0"/>
                                      <w:marRight w:val="0"/>
                                      <w:marTop w:val="0"/>
                                      <w:marBottom w:val="0"/>
                                      <w:divBdr>
                                        <w:top w:val="none" w:sz="0" w:space="0" w:color="auto"/>
                                        <w:left w:val="none" w:sz="0" w:space="0" w:color="auto"/>
                                        <w:bottom w:val="none" w:sz="0" w:space="0" w:color="auto"/>
                                        <w:right w:val="none" w:sz="0" w:space="0" w:color="auto"/>
                                      </w:divBdr>
                                      <w:divsChild>
                                        <w:div w:id="1150903514">
                                          <w:marLeft w:val="0"/>
                                          <w:marRight w:val="0"/>
                                          <w:marTop w:val="240"/>
                                          <w:marBottom w:val="240"/>
                                          <w:divBdr>
                                            <w:top w:val="single" w:sz="6" w:space="6" w:color="F2F2F2"/>
                                            <w:left w:val="none" w:sz="0" w:space="0" w:color="auto"/>
                                            <w:bottom w:val="single" w:sz="6" w:space="6" w:color="F2F2F2"/>
                                            <w:right w:val="none" w:sz="0" w:space="0" w:color="auto"/>
                                          </w:divBdr>
                                        </w:div>
                                        <w:div w:id="526598842">
                                          <w:marLeft w:val="0"/>
                                          <w:marRight w:val="0"/>
                                          <w:marTop w:val="0"/>
                                          <w:marBottom w:val="0"/>
                                          <w:divBdr>
                                            <w:top w:val="none" w:sz="0" w:space="0" w:color="auto"/>
                                            <w:left w:val="none" w:sz="0" w:space="0" w:color="auto"/>
                                            <w:bottom w:val="none" w:sz="0" w:space="0" w:color="auto"/>
                                            <w:right w:val="none" w:sz="0" w:space="0" w:color="auto"/>
                                          </w:divBdr>
                                          <w:divsChild>
                                            <w:div w:id="7928647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209402">
      <w:bodyDiv w:val="1"/>
      <w:marLeft w:val="0"/>
      <w:marRight w:val="0"/>
      <w:marTop w:val="0"/>
      <w:marBottom w:val="0"/>
      <w:divBdr>
        <w:top w:val="none" w:sz="0" w:space="0" w:color="auto"/>
        <w:left w:val="none" w:sz="0" w:space="0" w:color="auto"/>
        <w:bottom w:val="none" w:sz="0" w:space="0" w:color="auto"/>
        <w:right w:val="none" w:sz="0" w:space="0" w:color="auto"/>
      </w:divBdr>
      <w:divsChild>
        <w:div w:id="456608913">
          <w:marLeft w:val="0"/>
          <w:marRight w:val="0"/>
          <w:marTop w:val="0"/>
          <w:marBottom w:val="0"/>
          <w:divBdr>
            <w:top w:val="single" w:sz="2" w:space="0" w:color="auto"/>
            <w:left w:val="single" w:sz="2" w:space="12" w:color="auto"/>
            <w:bottom w:val="single" w:sz="2" w:space="0" w:color="auto"/>
            <w:right w:val="single" w:sz="2" w:space="12" w:color="auto"/>
          </w:divBdr>
          <w:divsChild>
            <w:div w:id="25639954">
              <w:marLeft w:val="0"/>
              <w:marRight w:val="0"/>
              <w:marTop w:val="0"/>
              <w:marBottom w:val="0"/>
              <w:divBdr>
                <w:top w:val="single" w:sz="2" w:space="0" w:color="auto"/>
                <w:left w:val="single" w:sz="2" w:space="0" w:color="auto"/>
                <w:bottom w:val="single" w:sz="2" w:space="0" w:color="auto"/>
                <w:right w:val="single" w:sz="2" w:space="0" w:color="auto"/>
              </w:divBdr>
              <w:divsChild>
                <w:div w:id="2041930843">
                  <w:marLeft w:val="0"/>
                  <w:marRight w:val="0"/>
                  <w:marTop w:val="0"/>
                  <w:marBottom w:val="0"/>
                  <w:divBdr>
                    <w:top w:val="single" w:sz="2" w:space="0" w:color="auto"/>
                    <w:left w:val="single" w:sz="2" w:space="0" w:color="auto"/>
                    <w:bottom w:val="single" w:sz="2" w:space="0" w:color="auto"/>
                    <w:right w:val="single" w:sz="2" w:space="0" w:color="auto"/>
                  </w:divBdr>
                  <w:divsChild>
                    <w:div w:id="1440877548">
                      <w:marLeft w:val="0"/>
                      <w:marRight w:val="0"/>
                      <w:marTop w:val="0"/>
                      <w:marBottom w:val="0"/>
                      <w:divBdr>
                        <w:top w:val="single" w:sz="2" w:space="0" w:color="auto"/>
                        <w:left w:val="single" w:sz="2" w:space="0" w:color="auto"/>
                        <w:bottom w:val="single" w:sz="6" w:space="0" w:color="auto"/>
                        <w:right w:val="single" w:sz="2" w:space="0" w:color="auto"/>
                      </w:divBdr>
                      <w:divsChild>
                        <w:div w:id="380401084">
                          <w:marLeft w:val="0"/>
                          <w:marRight w:val="0"/>
                          <w:marTop w:val="100"/>
                          <w:marBottom w:val="0"/>
                          <w:divBdr>
                            <w:top w:val="single" w:sz="2" w:space="0" w:color="auto"/>
                            <w:left w:val="single" w:sz="2" w:space="0" w:color="auto"/>
                            <w:bottom w:val="single" w:sz="2" w:space="0" w:color="auto"/>
                            <w:right w:val="single" w:sz="2" w:space="0" w:color="auto"/>
                          </w:divBdr>
                          <w:divsChild>
                            <w:div w:id="1473064300">
                              <w:marLeft w:val="0"/>
                              <w:marRight w:val="0"/>
                              <w:marTop w:val="0"/>
                              <w:marBottom w:val="0"/>
                              <w:divBdr>
                                <w:top w:val="single" w:sz="2" w:space="0" w:color="auto"/>
                                <w:left w:val="single" w:sz="2" w:space="0" w:color="auto"/>
                                <w:bottom w:val="single" w:sz="2" w:space="0" w:color="auto"/>
                                <w:right w:val="single" w:sz="2" w:space="0" w:color="auto"/>
                              </w:divBdr>
                              <w:divsChild>
                                <w:div w:id="1558004790">
                                  <w:marLeft w:val="0"/>
                                  <w:marRight w:val="0"/>
                                  <w:marTop w:val="0"/>
                                  <w:marBottom w:val="0"/>
                                  <w:divBdr>
                                    <w:top w:val="single" w:sz="2" w:space="0" w:color="auto"/>
                                    <w:left w:val="single" w:sz="2" w:space="0" w:color="auto"/>
                                    <w:bottom w:val="single" w:sz="2" w:space="0" w:color="auto"/>
                                    <w:right w:val="single" w:sz="2" w:space="0" w:color="auto"/>
                                  </w:divBdr>
                                  <w:divsChild>
                                    <w:div w:id="860633138">
                                      <w:marLeft w:val="0"/>
                                      <w:marRight w:val="0"/>
                                      <w:marTop w:val="0"/>
                                      <w:marBottom w:val="0"/>
                                      <w:divBdr>
                                        <w:top w:val="single" w:sz="2" w:space="0" w:color="auto"/>
                                        <w:left w:val="single" w:sz="2" w:space="0" w:color="auto"/>
                                        <w:bottom w:val="single" w:sz="2" w:space="0" w:color="auto"/>
                                        <w:right w:val="single" w:sz="2" w:space="0" w:color="auto"/>
                                      </w:divBdr>
                                      <w:divsChild>
                                        <w:div w:id="1752584119">
                                          <w:marLeft w:val="0"/>
                                          <w:marRight w:val="0"/>
                                          <w:marTop w:val="0"/>
                                          <w:marBottom w:val="0"/>
                                          <w:divBdr>
                                            <w:top w:val="single" w:sz="2" w:space="0" w:color="auto"/>
                                            <w:left w:val="single" w:sz="2" w:space="0" w:color="auto"/>
                                            <w:bottom w:val="single" w:sz="2" w:space="0" w:color="auto"/>
                                            <w:right w:val="single" w:sz="2" w:space="0" w:color="auto"/>
                                          </w:divBdr>
                                        </w:div>
                                      </w:divsChild>
                                    </w:div>
                                    <w:div w:id="1662928754">
                                      <w:marLeft w:val="0"/>
                                      <w:marRight w:val="0"/>
                                      <w:marTop w:val="0"/>
                                      <w:marBottom w:val="0"/>
                                      <w:divBdr>
                                        <w:top w:val="single" w:sz="2" w:space="0" w:color="auto"/>
                                        <w:left w:val="single" w:sz="2" w:space="0" w:color="auto"/>
                                        <w:bottom w:val="single" w:sz="2" w:space="0" w:color="auto"/>
                                        <w:right w:val="single" w:sz="2" w:space="0" w:color="auto"/>
                                      </w:divBdr>
                                    </w:div>
                                    <w:div w:id="1928540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5171296">
                  <w:marLeft w:val="0"/>
                  <w:marRight w:val="0"/>
                  <w:marTop w:val="0"/>
                  <w:marBottom w:val="0"/>
                  <w:divBdr>
                    <w:top w:val="single" w:sz="2" w:space="0" w:color="auto"/>
                    <w:left w:val="single" w:sz="2" w:space="0" w:color="auto"/>
                    <w:bottom w:val="single" w:sz="2" w:space="0" w:color="auto"/>
                    <w:right w:val="single" w:sz="2" w:space="0" w:color="auto"/>
                  </w:divBdr>
                  <w:divsChild>
                    <w:div w:id="1450666822">
                      <w:marLeft w:val="0"/>
                      <w:marRight w:val="0"/>
                      <w:marTop w:val="0"/>
                      <w:marBottom w:val="0"/>
                      <w:divBdr>
                        <w:top w:val="single" w:sz="2" w:space="0" w:color="auto"/>
                        <w:left w:val="single" w:sz="2" w:space="0" w:color="auto"/>
                        <w:bottom w:val="single" w:sz="6" w:space="0" w:color="auto"/>
                        <w:right w:val="single" w:sz="2" w:space="0" w:color="auto"/>
                      </w:divBdr>
                      <w:divsChild>
                        <w:div w:id="583028705">
                          <w:marLeft w:val="0"/>
                          <w:marRight w:val="0"/>
                          <w:marTop w:val="0"/>
                          <w:marBottom w:val="0"/>
                          <w:divBdr>
                            <w:top w:val="single" w:sz="2" w:space="0" w:color="auto"/>
                            <w:left w:val="single" w:sz="2" w:space="0" w:color="auto"/>
                            <w:bottom w:val="single" w:sz="2" w:space="0" w:color="auto"/>
                            <w:right w:val="single" w:sz="2" w:space="0" w:color="auto"/>
                          </w:divBdr>
                        </w:div>
                        <w:div w:id="950626787">
                          <w:marLeft w:val="0"/>
                          <w:marRight w:val="0"/>
                          <w:marTop w:val="0"/>
                          <w:marBottom w:val="0"/>
                          <w:divBdr>
                            <w:top w:val="single" w:sz="2" w:space="0" w:color="auto"/>
                            <w:left w:val="single" w:sz="2" w:space="0" w:color="auto"/>
                            <w:bottom w:val="single" w:sz="2" w:space="0" w:color="auto"/>
                            <w:right w:val="single" w:sz="2" w:space="0" w:color="auto"/>
                          </w:divBdr>
                          <w:divsChild>
                            <w:div w:id="48505423">
                              <w:marLeft w:val="0"/>
                              <w:marRight w:val="0"/>
                              <w:marTop w:val="0"/>
                              <w:marBottom w:val="0"/>
                              <w:divBdr>
                                <w:top w:val="single" w:sz="2" w:space="0" w:color="auto"/>
                                <w:left w:val="single" w:sz="2" w:space="0" w:color="auto"/>
                                <w:bottom w:val="single" w:sz="2" w:space="0" w:color="auto"/>
                                <w:right w:val="single" w:sz="2" w:space="0" w:color="auto"/>
                              </w:divBdr>
                            </w:div>
                          </w:divsChild>
                        </w:div>
                        <w:div w:id="1872181848">
                          <w:marLeft w:val="0"/>
                          <w:marRight w:val="0"/>
                          <w:marTop w:val="100"/>
                          <w:marBottom w:val="0"/>
                          <w:divBdr>
                            <w:top w:val="single" w:sz="2" w:space="0" w:color="auto"/>
                            <w:left w:val="single" w:sz="2" w:space="0" w:color="auto"/>
                            <w:bottom w:val="single" w:sz="2" w:space="0" w:color="auto"/>
                            <w:right w:val="single" w:sz="2" w:space="0" w:color="auto"/>
                          </w:divBdr>
                          <w:divsChild>
                            <w:div w:id="1501658376">
                              <w:marLeft w:val="0"/>
                              <w:marRight w:val="0"/>
                              <w:marTop w:val="0"/>
                              <w:marBottom w:val="0"/>
                              <w:divBdr>
                                <w:top w:val="single" w:sz="2" w:space="0" w:color="auto"/>
                                <w:left w:val="single" w:sz="2" w:space="0" w:color="auto"/>
                                <w:bottom w:val="single" w:sz="2" w:space="0" w:color="auto"/>
                                <w:right w:val="single" w:sz="2" w:space="0" w:color="auto"/>
                              </w:divBdr>
                            </w:div>
                            <w:div w:id="1366176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64948068">
                  <w:marLeft w:val="0"/>
                  <w:marRight w:val="0"/>
                  <w:marTop w:val="0"/>
                  <w:marBottom w:val="0"/>
                  <w:divBdr>
                    <w:top w:val="single" w:sz="2" w:space="0" w:color="auto"/>
                    <w:left w:val="single" w:sz="2" w:space="0" w:color="auto"/>
                    <w:bottom w:val="single" w:sz="2" w:space="0" w:color="auto"/>
                    <w:right w:val="single" w:sz="2" w:space="0" w:color="auto"/>
                  </w:divBdr>
                  <w:divsChild>
                    <w:div w:id="1226381408">
                      <w:marLeft w:val="0"/>
                      <w:marRight w:val="0"/>
                      <w:marTop w:val="0"/>
                      <w:marBottom w:val="0"/>
                      <w:divBdr>
                        <w:top w:val="single" w:sz="2" w:space="0" w:color="auto"/>
                        <w:left w:val="single" w:sz="2" w:space="0" w:color="auto"/>
                        <w:bottom w:val="single" w:sz="6" w:space="0" w:color="auto"/>
                        <w:right w:val="single" w:sz="2" w:space="0" w:color="auto"/>
                      </w:divBdr>
                      <w:divsChild>
                        <w:div w:id="1547260000">
                          <w:marLeft w:val="0"/>
                          <w:marRight w:val="0"/>
                          <w:marTop w:val="0"/>
                          <w:marBottom w:val="0"/>
                          <w:divBdr>
                            <w:top w:val="single" w:sz="2" w:space="0" w:color="auto"/>
                            <w:left w:val="single" w:sz="2" w:space="0" w:color="auto"/>
                            <w:bottom w:val="single" w:sz="2" w:space="0" w:color="auto"/>
                            <w:right w:val="single" w:sz="2" w:space="0" w:color="auto"/>
                          </w:divBdr>
                        </w:div>
                        <w:div w:id="1806581882">
                          <w:marLeft w:val="0"/>
                          <w:marRight w:val="0"/>
                          <w:marTop w:val="0"/>
                          <w:marBottom w:val="0"/>
                          <w:divBdr>
                            <w:top w:val="single" w:sz="2" w:space="0" w:color="auto"/>
                            <w:left w:val="single" w:sz="2" w:space="0" w:color="auto"/>
                            <w:bottom w:val="single" w:sz="2" w:space="0" w:color="auto"/>
                            <w:right w:val="single" w:sz="2" w:space="0" w:color="auto"/>
                          </w:divBdr>
                          <w:divsChild>
                            <w:div w:id="156963087">
                              <w:marLeft w:val="0"/>
                              <w:marRight w:val="0"/>
                              <w:marTop w:val="0"/>
                              <w:marBottom w:val="0"/>
                              <w:divBdr>
                                <w:top w:val="single" w:sz="2" w:space="0" w:color="auto"/>
                                <w:left w:val="single" w:sz="2" w:space="0" w:color="auto"/>
                                <w:bottom w:val="single" w:sz="2" w:space="0" w:color="auto"/>
                                <w:right w:val="single" w:sz="2" w:space="0" w:color="auto"/>
                              </w:divBdr>
                            </w:div>
                          </w:divsChild>
                        </w:div>
                        <w:div w:id="1213689252">
                          <w:marLeft w:val="0"/>
                          <w:marRight w:val="0"/>
                          <w:marTop w:val="100"/>
                          <w:marBottom w:val="0"/>
                          <w:divBdr>
                            <w:top w:val="single" w:sz="2" w:space="0" w:color="auto"/>
                            <w:left w:val="single" w:sz="2" w:space="0" w:color="auto"/>
                            <w:bottom w:val="single" w:sz="2" w:space="0" w:color="auto"/>
                            <w:right w:val="single" w:sz="2" w:space="0" w:color="auto"/>
                          </w:divBdr>
                          <w:divsChild>
                            <w:div w:id="897325149">
                              <w:marLeft w:val="0"/>
                              <w:marRight w:val="0"/>
                              <w:marTop w:val="0"/>
                              <w:marBottom w:val="0"/>
                              <w:divBdr>
                                <w:top w:val="single" w:sz="2" w:space="0" w:color="auto"/>
                                <w:left w:val="single" w:sz="2" w:space="0" w:color="auto"/>
                                <w:bottom w:val="single" w:sz="2" w:space="0" w:color="auto"/>
                                <w:right w:val="single" w:sz="2" w:space="0" w:color="auto"/>
                              </w:divBdr>
                            </w:div>
                            <w:div w:id="8999070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49948609">
                  <w:marLeft w:val="0"/>
                  <w:marRight w:val="0"/>
                  <w:marTop w:val="0"/>
                  <w:marBottom w:val="0"/>
                  <w:divBdr>
                    <w:top w:val="single" w:sz="2" w:space="0" w:color="auto"/>
                    <w:left w:val="single" w:sz="2" w:space="0" w:color="auto"/>
                    <w:bottom w:val="single" w:sz="2" w:space="0" w:color="auto"/>
                    <w:right w:val="single" w:sz="2" w:space="0" w:color="auto"/>
                  </w:divBdr>
                  <w:divsChild>
                    <w:div w:id="810362944">
                      <w:marLeft w:val="0"/>
                      <w:marRight w:val="0"/>
                      <w:marTop w:val="0"/>
                      <w:marBottom w:val="0"/>
                      <w:divBdr>
                        <w:top w:val="single" w:sz="2" w:space="0" w:color="auto"/>
                        <w:left w:val="single" w:sz="2" w:space="0" w:color="auto"/>
                        <w:bottom w:val="single" w:sz="6" w:space="0" w:color="auto"/>
                        <w:right w:val="single" w:sz="2" w:space="0" w:color="auto"/>
                      </w:divBdr>
                      <w:divsChild>
                        <w:div w:id="1818641714">
                          <w:marLeft w:val="0"/>
                          <w:marRight w:val="0"/>
                          <w:marTop w:val="0"/>
                          <w:marBottom w:val="0"/>
                          <w:divBdr>
                            <w:top w:val="single" w:sz="2" w:space="0" w:color="auto"/>
                            <w:left w:val="single" w:sz="2" w:space="0" w:color="auto"/>
                            <w:bottom w:val="single" w:sz="2" w:space="0" w:color="auto"/>
                            <w:right w:val="single" w:sz="2" w:space="0" w:color="auto"/>
                          </w:divBdr>
                        </w:div>
                        <w:div w:id="745493792">
                          <w:marLeft w:val="0"/>
                          <w:marRight w:val="0"/>
                          <w:marTop w:val="0"/>
                          <w:marBottom w:val="0"/>
                          <w:divBdr>
                            <w:top w:val="single" w:sz="2" w:space="0" w:color="auto"/>
                            <w:left w:val="single" w:sz="2" w:space="0" w:color="auto"/>
                            <w:bottom w:val="single" w:sz="2" w:space="0" w:color="auto"/>
                            <w:right w:val="single" w:sz="2" w:space="0" w:color="auto"/>
                          </w:divBdr>
                          <w:divsChild>
                            <w:div w:id="922646487">
                              <w:marLeft w:val="0"/>
                              <w:marRight w:val="0"/>
                              <w:marTop w:val="0"/>
                              <w:marBottom w:val="0"/>
                              <w:divBdr>
                                <w:top w:val="single" w:sz="2" w:space="0" w:color="auto"/>
                                <w:left w:val="single" w:sz="2" w:space="0" w:color="auto"/>
                                <w:bottom w:val="single" w:sz="2" w:space="0" w:color="auto"/>
                                <w:right w:val="single" w:sz="2" w:space="0" w:color="auto"/>
                              </w:divBdr>
                            </w:div>
                          </w:divsChild>
                        </w:div>
                        <w:div w:id="95710550">
                          <w:marLeft w:val="0"/>
                          <w:marRight w:val="0"/>
                          <w:marTop w:val="100"/>
                          <w:marBottom w:val="0"/>
                          <w:divBdr>
                            <w:top w:val="single" w:sz="2" w:space="0" w:color="auto"/>
                            <w:left w:val="single" w:sz="2" w:space="0" w:color="auto"/>
                            <w:bottom w:val="single" w:sz="2" w:space="0" w:color="auto"/>
                            <w:right w:val="single" w:sz="2" w:space="0" w:color="auto"/>
                          </w:divBdr>
                          <w:divsChild>
                            <w:div w:id="1154184491">
                              <w:marLeft w:val="0"/>
                              <w:marRight w:val="0"/>
                              <w:marTop w:val="0"/>
                              <w:marBottom w:val="0"/>
                              <w:divBdr>
                                <w:top w:val="single" w:sz="2" w:space="0" w:color="auto"/>
                                <w:left w:val="single" w:sz="2" w:space="0" w:color="auto"/>
                                <w:bottom w:val="single" w:sz="2" w:space="0" w:color="auto"/>
                                <w:right w:val="single" w:sz="2" w:space="0" w:color="auto"/>
                              </w:divBdr>
                            </w:div>
                            <w:div w:id="645207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1844523">
                  <w:marLeft w:val="0"/>
                  <w:marRight w:val="0"/>
                  <w:marTop w:val="0"/>
                  <w:marBottom w:val="0"/>
                  <w:divBdr>
                    <w:top w:val="single" w:sz="2" w:space="0" w:color="auto"/>
                    <w:left w:val="single" w:sz="2" w:space="0" w:color="auto"/>
                    <w:bottom w:val="single" w:sz="2" w:space="0" w:color="auto"/>
                    <w:right w:val="single" w:sz="2" w:space="0" w:color="auto"/>
                  </w:divBdr>
                  <w:divsChild>
                    <w:div w:id="1715041300">
                      <w:marLeft w:val="0"/>
                      <w:marRight w:val="0"/>
                      <w:marTop w:val="0"/>
                      <w:marBottom w:val="0"/>
                      <w:divBdr>
                        <w:top w:val="single" w:sz="2" w:space="0" w:color="auto"/>
                        <w:left w:val="single" w:sz="2" w:space="0" w:color="auto"/>
                        <w:bottom w:val="single" w:sz="6" w:space="0" w:color="auto"/>
                        <w:right w:val="single" w:sz="2" w:space="0" w:color="auto"/>
                      </w:divBdr>
                      <w:divsChild>
                        <w:div w:id="590820390">
                          <w:marLeft w:val="0"/>
                          <w:marRight w:val="0"/>
                          <w:marTop w:val="0"/>
                          <w:marBottom w:val="0"/>
                          <w:divBdr>
                            <w:top w:val="single" w:sz="2" w:space="0" w:color="auto"/>
                            <w:left w:val="single" w:sz="2" w:space="0" w:color="auto"/>
                            <w:bottom w:val="single" w:sz="2" w:space="0" w:color="auto"/>
                            <w:right w:val="single" w:sz="2" w:space="0" w:color="auto"/>
                          </w:divBdr>
                        </w:div>
                        <w:div w:id="1943804784">
                          <w:marLeft w:val="0"/>
                          <w:marRight w:val="0"/>
                          <w:marTop w:val="0"/>
                          <w:marBottom w:val="0"/>
                          <w:divBdr>
                            <w:top w:val="single" w:sz="2" w:space="0" w:color="auto"/>
                            <w:left w:val="single" w:sz="2" w:space="0" w:color="auto"/>
                            <w:bottom w:val="single" w:sz="2" w:space="0" w:color="auto"/>
                            <w:right w:val="single" w:sz="2" w:space="0" w:color="auto"/>
                          </w:divBdr>
                          <w:divsChild>
                            <w:div w:id="968783253">
                              <w:marLeft w:val="0"/>
                              <w:marRight w:val="0"/>
                              <w:marTop w:val="0"/>
                              <w:marBottom w:val="0"/>
                              <w:divBdr>
                                <w:top w:val="single" w:sz="2" w:space="0" w:color="auto"/>
                                <w:left w:val="single" w:sz="2" w:space="0" w:color="auto"/>
                                <w:bottom w:val="single" w:sz="2" w:space="0" w:color="auto"/>
                                <w:right w:val="single" w:sz="2" w:space="0" w:color="auto"/>
                              </w:divBdr>
                            </w:div>
                          </w:divsChild>
                        </w:div>
                        <w:div w:id="176426621">
                          <w:marLeft w:val="0"/>
                          <w:marRight w:val="0"/>
                          <w:marTop w:val="100"/>
                          <w:marBottom w:val="0"/>
                          <w:divBdr>
                            <w:top w:val="single" w:sz="2" w:space="0" w:color="auto"/>
                            <w:left w:val="single" w:sz="2" w:space="0" w:color="auto"/>
                            <w:bottom w:val="single" w:sz="2" w:space="0" w:color="auto"/>
                            <w:right w:val="single" w:sz="2" w:space="0" w:color="auto"/>
                          </w:divBdr>
                          <w:divsChild>
                            <w:div w:id="629172895">
                              <w:marLeft w:val="0"/>
                              <w:marRight w:val="0"/>
                              <w:marTop w:val="0"/>
                              <w:marBottom w:val="0"/>
                              <w:divBdr>
                                <w:top w:val="single" w:sz="2" w:space="0" w:color="auto"/>
                                <w:left w:val="single" w:sz="2" w:space="0" w:color="auto"/>
                                <w:bottom w:val="single" w:sz="2" w:space="0" w:color="auto"/>
                                <w:right w:val="single" w:sz="2" w:space="0" w:color="auto"/>
                              </w:divBdr>
                            </w:div>
                            <w:div w:id="21167786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3422226">
          <w:marLeft w:val="0"/>
          <w:marRight w:val="0"/>
          <w:marTop w:val="0"/>
          <w:marBottom w:val="0"/>
          <w:divBdr>
            <w:top w:val="single" w:sz="2" w:space="0" w:color="auto"/>
            <w:left w:val="single" w:sz="2" w:space="12" w:color="auto"/>
            <w:bottom w:val="single" w:sz="2" w:space="0" w:color="auto"/>
            <w:right w:val="single" w:sz="2" w:space="12" w:color="auto"/>
          </w:divBdr>
          <w:divsChild>
            <w:div w:id="40256269">
              <w:marLeft w:val="0"/>
              <w:marRight w:val="0"/>
              <w:marTop w:val="0"/>
              <w:marBottom w:val="0"/>
              <w:divBdr>
                <w:top w:val="single" w:sz="2" w:space="0" w:color="auto"/>
                <w:left w:val="single" w:sz="2" w:space="0" w:color="auto"/>
                <w:bottom w:val="single" w:sz="2" w:space="0" w:color="auto"/>
                <w:right w:val="single" w:sz="2" w:space="0" w:color="auto"/>
              </w:divBdr>
              <w:divsChild>
                <w:div w:id="1780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3822716">
          <w:marLeft w:val="0"/>
          <w:marRight w:val="0"/>
          <w:marTop w:val="0"/>
          <w:marBottom w:val="0"/>
          <w:divBdr>
            <w:top w:val="single" w:sz="2" w:space="0" w:color="auto"/>
            <w:left w:val="single" w:sz="2" w:space="0" w:color="auto"/>
            <w:bottom w:val="single" w:sz="2" w:space="0" w:color="auto"/>
            <w:right w:val="single" w:sz="2" w:space="0" w:color="auto"/>
          </w:divBdr>
          <w:divsChild>
            <w:div w:id="781730938">
              <w:marLeft w:val="0"/>
              <w:marRight w:val="0"/>
              <w:marTop w:val="0"/>
              <w:marBottom w:val="0"/>
              <w:divBdr>
                <w:top w:val="single" w:sz="2" w:space="0" w:color="auto"/>
                <w:left w:val="single" w:sz="2" w:space="0" w:color="auto"/>
                <w:bottom w:val="single" w:sz="2" w:space="0" w:color="auto"/>
                <w:right w:val="single" w:sz="2" w:space="0" w:color="auto"/>
              </w:divBdr>
            </w:div>
            <w:div w:id="773016266">
              <w:marLeft w:val="0"/>
              <w:marRight w:val="0"/>
              <w:marTop w:val="0"/>
              <w:marBottom w:val="0"/>
              <w:divBdr>
                <w:top w:val="single" w:sz="2" w:space="0" w:color="auto"/>
                <w:left w:val="single" w:sz="2" w:space="0" w:color="auto"/>
                <w:bottom w:val="single" w:sz="2" w:space="0" w:color="auto"/>
                <w:right w:val="single" w:sz="2" w:space="0" w:color="auto"/>
              </w:divBdr>
            </w:div>
            <w:div w:id="1263612670">
              <w:marLeft w:val="0"/>
              <w:marRight w:val="0"/>
              <w:marTop w:val="0"/>
              <w:marBottom w:val="0"/>
              <w:divBdr>
                <w:top w:val="single" w:sz="2" w:space="0" w:color="auto"/>
                <w:left w:val="single" w:sz="2" w:space="0" w:color="auto"/>
                <w:bottom w:val="single" w:sz="2" w:space="0" w:color="auto"/>
                <w:right w:val="single" w:sz="2" w:space="0" w:color="auto"/>
              </w:divBdr>
            </w:div>
            <w:div w:id="2064940889">
              <w:marLeft w:val="0"/>
              <w:marRight w:val="0"/>
              <w:marTop w:val="0"/>
              <w:marBottom w:val="0"/>
              <w:divBdr>
                <w:top w:val="single" w:sz="2" w:space="0" w:color="auto"/>
                <w:left w:val="single" w:sz="2" w:space="0" w:color="auto"/>
                <w:bottom w:val="single" w:sz="2" w:space="0" w:color="auto"/>
                <w:right w:val="single" w:sz="2" w:space="0" w:color="auto"/>
              </w:divBdr>
              <w:divsChild>
                <w:div w:id="457842176">
                  <w:marLeft w:val="0"/>
                  <w:marRight w:val="0"/>
                  <w:marTop w:val="0"/>
                  <w:marBottom w:val="240"/>
                  <w:divBdr>
                    <w:top w:val="single" w:sz="2" w:space="0" w:color="auto"/>
                    <w:left w:val="single" w:sz="2" w:space="0" w:color="auto"/>
                    <w:bottom w:val="single" w:sz="2" w:space="0" w:color="auto"/>
                    <w:right w:val="single" w:sz="2" w:space="0" w:color="auto"/>
                  </w:divBdr>
                  <w:divsChild>
                    <w:div w:id="1149126816">
                      <w:marLeft w:val="0"/>
                      <w:marRight w:val="0"/>
                      <w:marTop w:val="0"/>
                      <w:marBottom w:val="0"/>
                      <w:divBdr>
                        <w:top w:val="single" w:sz="2" w:space="0" w:color="auto"/>
                        <w:left w:val="single" w:sz="2" w:space="0" w:color="auto"/>
                        <w:bottom w:val="single" w:sz="2" w:space="0" w:color="auto"/>
                        <w:right w:val="single" w:sz="2" w:space="0" w:color="auto"/>
                      </w:divBdr>
                    </w:div>
                    <w:div w:id="1207646323">
                      <w:marLeft w:val="0"/>
                      <w:marRight w:val="0"/>
                      <w:marTop w:val="0"/>
                      <w:marBottom w:val="0"/>
                      <w:divBdr>
                        <w:top w:val="single" w:sz="2" w:space="0" w:color="auto"/>
                        <w:left w:val="single" w:sz="2" w:space="0" w:color="auto"/>
                        <w:bottom w:val="single" w:sz="2" w:space="8" w:color="auto"/>
                        <w:right w:val="single" w:sz="2" w:space="0" w:color="auto"/>
                      </w:divBdr>
                    </w:div>
                  </w:divsChild>
                </w:div>
              </w:divsChild>
            </w:div>
            <w:div w:id="522667527">
              <w:marLeft w:val="0"/>
              <w:marRight w:val="0"/>
              <w:marTop w:val="0"/>
              <w:marBottom w:val="0"/>
              <w:divBdr>
                <w:top w:val="single" w:sz="2" w:space="0" w:color="auto"/>
                <w:left w:val="single" w:sz="2" w:space="0" w:color="auto"/>
                <w:bottom w:val="single" w:sz="2" w:space="0" w:color="auto"/>
                <w:right w:val="single" w:sz="2" w:space="0" w:color="auto"/>
              </w:divBdr>
            </w:div>
          </w:divsChild>
        </w:div>
        <w:div w:id="245119893">
          <w:marLeft w:val="0"/>
          <w:marRight w:val="0"/>
          <w:marTop w:val="0"/>
          <w:marBottom w:val="0"/>
          <w:divBdr>
            <w:top w:val="single" w:sz="2" w:space="0" w:color="auto"/>
            <w:left w:val="single" w:sz="2" w:space="0" w:color="auto"/>
            <w:bottom w:val="single" w:sz="2" w:space="0" w:color="auto"/>
            <w:right w:val="single" w:sz="2" w:space="0" w:color="auto"/>
          </w:divBdr>
          <w:divsChild>
            <w:div w:id="8704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4858">
      <w:bodyDiv w:val="1"/>
      <w:marLeft w:val="0"/>
      <w:marRight w:val="0"/>
      <w:marTop w:val="0"/>
      <w:marBottom w:val="0"/>
      <w:divBdr>
        <w:top w:val="none" w:sz="0" w:space="0" w:color="auto"/>
        <w:left w:val="none" w:sz="0" w:space="0" w:color="auto"/>
        <w:bottom w:val="none" w:sz="0" w:space="0" w:color="auto"/>
        <w:right w:val="none" w:sz="0" w:space="0" w:color="auto"/>
      </w:divBdr>
    </w:div>
    <w:div w:id="1243490068">
      <w:bodyDiv w:val="1"/>
      <w:marLeft w:val="0"/>
      <w:marRight w:val="0"/>
      <w:marTop w:val="0"/>
      <w:marBottom w:val="0"/>
      <w:divBdr>
        <w:top w:val="none" w:sz="0" w:space="0" w:color="auto"/>
        <w:left w:val="none" w:sz="0" w:space="0" w:color="auto"/>
        <w:bottom w:val="none" w:sz="0" w:space="0" w:color="auto"/>
        <w:right w:val="none" w:sz="0" w:space="0" w:color="auto"/>
      </w:divBdr>
      <w:divsChild>
        <w:div w:id="530725059">
          <w:marLeft w:val="0"/>
          <w:marRight w:val="0"/>
          <w:marTop w:val="0"/>
          <w:marBottom w:val="0"/>
          <w:divBdr>
            <w:top w:val="none" w:sz="0" w:space="0" w:color="auto"/>
            <w:left w:val="none" w:sz="0" w:space="0" w:color="auto"/>
            <w:bottom w:val="none" w:sz="0" w:space="0" w:color="auto"/>
            <w:right w:val="none" w:sz="0" w:space="0" w:color="auto"/>
          </w:divBdr>
          <w:divsChild>
            <w:div w:id="857278051">
              <w:marLeft w:val="-300"/>
              <w:marRight w:val="-300"/>
              <w:marTop w:val="0"/>
              <w:marBottom w:val="0"/>
              <w:divBdr>
                <w:top w:val="none" w:sz="0" w:space="0" w:color="auto"/>
                <w:left w:val="none" w:sz="0" w:space="0" w:color="auto"/>
                <w:bottom w:val="none" w:sz="0" w:space="0" w:color="auto"/>
                <w:right w:val="none" w:sz="0" w:space="0" w:color="auto"/>
              </w:divBdr>
              <w:divsChild>
                <w:div w:id="1203441089">
                  <w:marLeft w:val="1749"/>
                  <w:marRight w:val="0"/>
                  <w:marTop w:val="0"/>
                  <w:marBottom w:val="0"/>
                  <w:divBdr>
                    <w:top w:val="none" w:sz="0" w:space="0" w:color="auto"/>
                    <w:left w:val="none" w:sz="0" w:space="0" w:color="auto"/>
                    <w:bottom w:val="none" w:sz="0" w:space="0" w:color="auto"/>
                    <w:right w:val="none" w:sz="0" w:space="0" w:color="auto"/>
                  </w:divBdr>
                  <w:divsChild>
                    <w:div w:id="488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8877">
          <w:marLeft w:val="0"/>
          <w:marRight w:val="0"/>
          <w:marTop w:val="0"/>
          <w:marBottom w:val="0"/>
          <w:divBdr>
            <w:top w:val="none" w:sz="0" w:space="0" w:color="auto"/>
            <w:left w:val="none" w:sz="0" w:space="0" w:color="auto"/>
            <w:bottom w:val="none" w:sz="0" w:space="0" w:color="auto"/>
            <w:right w:val="none" w:sz="0" w:space="0" w:color="auto"/>
          </w:divBdr>
          <w:divsChild>
            <w:div w:id="285163800">
              <w:marLeft w:val="-300"/>
              <w:marRight w:val="-300"/>
              <w:marTop w:val="0"/>
              <w:marBottom w:val="0"/>
              <w:divBdr>
                <w:top w:val="none" w:sz="0" w:space="0" w:color="auto"/>
                <w:left w:val="none" w:sz="0" w:space="0" w:color="auto"/>
                <w:bottom w:val="none" w:sz="0" w:space="0" w:color="auto"/>
                <w:right w:val="none" w:sz="0" w:space="0" w:color="auto"/>
              </w:divBdr>
              <w:divsChild>
                <w:div w:id="1041979862">
                  <w:marLeft w:val="1749"/>
                  <w:marRight w:val="0"/>
                  <w:marTop w:val="0"/>
                  <w:marBottom w:val="0"/>
                  <w:divBdr>
                    <w:top w:val="none" w:sz="0" w:space="0" w:color="auto"/>
                    <w:left w:val="none" w:sz="0" w:space="0" w:color="auto"/>
                    <w:bottom w:val="none" w:sz="0" w:space="0" w:color="auto"/>
                    <w:right w:val="none" w:sz="0" w:space="0" w:color="auto"/>
                  </w:divBdr>
                  <w:divsChild>
                    <w:div w:id="9854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8816">
          <w:marLeft w:val="0"/>
          <w:marRight w:val="0"/>
          <w:marTop w:val="0"/>
          <w:marBottom w:val="0"/>
          <w:divBdr>
            <w:top w:val="none" w:sz="0" w:space="0" w:color="auto"/>
            <w:left w:val="none" w:sz="0" w:space="0" w:color="auto"/>
            <w:bottom w:val="none" w:sz="0" w:space="0" w:color="auto"/>
            <w:right w:val="none" w:sz="0" w:space="0" w:color="auto"/>
          </w:divBdr>
          <w:divsChild>
            <w:div w:id="1505362407">
              <w:marLeft w:val="-300"/>
              <w:marRight w:val="-300"/>
              <w:marTop w:val="0"/>
              <w:marBottom w:val="0"/>
              <w:divBdr>
                <w:top w:val="none" w:sz="0" w:space="0" w:color="auto"/>
                <w:left w:val="none" w:sz="0" w:space="0" w:color="auto"/>
                <w:bottom w:val="none" w:sz="0" w:space="0" w:color="auto"/>
                <w:right w:val="none" w:sz="0" w:space="0" w:color="auto"/>
              </w:divBdr>
              <w:divsChild>
                <w:div w:id="2012753485">
                  <w:marLeft w:val="1749"/>
                  <w:marRight w:val="0"/>
                  <w:marTop w:val="0"/>
                  <w:marBottom w:val="0"/>
                  <w:divBdr>
                    <w:top w:val="none" w:sz="0" w:space="0" w:color="auto"/>
                    <w:left w:val="none" w:sz="0" w:space="0" w:color="auto"/>
                    <w:bottom w:val="none" w:sz="0" w:space="0" w:color="auto"/>
                    <w:right w:val="none" w:sz="0" w:space="0" w:color="auto"/>
                  </w:divBdr>
                  <w:divsChild>
                    <w:div w:id="8988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386">
          <w:marLeft w:val="0"/>
          <w:marRight w:val="0"/>
          <w:marTop w:val="0"/>
          <w:marBottom w:val="0"/>
          <w:divBdr>
            <w:top w:val="none" w:sz="0" w:space="0" w:color="auto"/>
            <w:left w:val="none" w:sz="0" w:space="0" w:color="auto"/>
            <w:bottom w:val="none" w:sz="0" w:space="0" w:color="auto"/>
            <w:right w:val="none" w:sz="0" w:space="0" w:color="auto"/>
          </w:divBdr>
          <w:divsChild>
            <w:div w:id="638724790">
              <w:marLeft w:val="-300"/>
              <w:marRight w:val="-300"/>
              <w:marTop w:val="0"/>
              <w:marBottom w:val="0"/>
              <w:divBdr>
                <w:top w:val="none" w:sz="0" w:space="0" w:color="auto"/>
                <w:left w:val="none" w:sz="0" w:space="0" w:color="auto"/>
                <w:bottom w:val="none" w:sz="0" w:space="0" w:color="auto"/>
                <w:right w:val="none" w:sz="0" w:space="0" w:color="auto"/>
              </w:divBdr>
              <w:divsChild>
                <w:div w:id="400371006">
                  <w:marLeft w:val="1749"/>
                  <w:marRight w:val="0"/>
                  <w:marTop w:val="0"/>
                  <w:marBottom w:val="0"/>
                  <w:divBdr>
                    <w:top w:val="none" w:sz="0" w:space="0" w:color="auto"/>
                    <w:left w:val="none" w:sz="0" w:space="0" w:color="auto"/>
                    <w:bottom w:val="none" w:sz="0" w:space="0" w:color="auto"/>
                    <w:right w:val="none" w:sz="0" w:space="0" w:color="auto"/>
                  </w:divBdr>
                  <w:divsChild>
                    <w:div w:id="18515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68342">
          <w:marLeft w:val="0"/>
          <w:marRight w:val="0"/>
          <w:marTop w:val="0"/>
          <w:marBottom w:val="0"/>
          <w:divBdr>
            <w:top w:val="none" w:sz="0" w:space="0" w:color="auto"/>
            <w:left w:val="none" w:sz="0" w:space="0" w:color="auto"/>
            <w:bottom w:val="none" w:sz="0" w:space="0" w:color="auto"/>
            <w:right w:val="none" w:sz="0" w:space="0" w:color="auto"/>
          </w:divBdr>
          <w:divsChild>
            <w:div w:id="1380745043">
              <w:marLeft w:val="-300"/>
              <w:marRight w:val="-300"/>
              <w:marTop w:val="0"/>
              <w:marBottom w:val="0"/>
              <w:divBdr>
                <w:top w:val="none" w:sz="0" w:space="0" w:color="auto"/>
                <w:left w:val="none" w:sz="0" w:space="0" w:color="auto"/>
                <w:bottom w:val="none" w:sz="0" w:space="0" w:color="auto"/>
                <w:right w:val="none" w:sz="0" w:space="0" w:color="auto"/>
              </w:divBdr>
              <w:divsChild>
                <w:div w:id="480730941">
                  <w:marLeft w:val="1749"/>
                  <w:marRight w:val="0"/>
                  <w:marTop w:val="0"/>
                  <w:marBottom w:val="0"/>
                  <w:divBdr>
                    <w:top w:val="none" w:sz="0" w:space="0" w:color="auto"/>
                    <w:left w:val="none" w:sz="0" w:space="0" w:color="auto"/>
                    <w:bottom w:val="none" w:sz="0" w:space="0" w:color="auto"/>
                    <w:right w:val="none" w:sz="0" w:space="0" w:color="auto"/>
                  </w:divBdr>
                  <w:divsChild>
                    <w:div w:id="7239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06246">
          <w:marLeft w:val="0"/>
          <w:marRight w:val="0"/>
          <w:marTop w:val="0"/>
          <w:marBottom w:val="0"/>
          <w:divBdr>
            <w:top w:val="none" w:sz="0" w:space="0" w:color="auto"/>
            <w:left w:val="none" w:sz="0" w:space="0" w:color="auto"/>
            <w:bottom w:val="none" w:sz="0" w:space="0" w:color="auto"/>
            <w:right w:val="none" w:sz="0" w:space="0" w:color="auto"/>
          </w:divBdr>
          <w:divsChild>
            <w:div w:id="1284729193">
              <w:marLeft w:val="-300"/>
              <w:marRight w:val="-300"/>
              <w:marTop w:val="0"/>
              <w:marBottom w:val="0"/>
              <w:divBdr>
                <w:top w:val="none" w:sz="0" w:space="0" w:color="auto"/>
                <w:left w:val="none" w:sz="0" w:space="0" w:color="auto"/>
                <w:bottom w:val="none" w:sz="0" w:space="0" w:color="auto"/>
                <w:right w:val="none" w:sz="0" w:space="0" w:color="auto"/>
              </w:divBdr>
              <w:divsChild>
                <w:div w:id="1324504882">
                  <w:marLeft w:val="1749"/>
                  <w:marRight w:val="0"/>
                  <w:marTop w:val="0"/>
                  <w:marBottom w:val="0"/>
                  <w:divBdr>
                    <w:top w:val="none" w:sz="0" w:space="0" w:color="auto"/>
                    <w:left w:val="none" w:sz="0" w:space="0" w:color="auto"/>
                    <w:bottom w:val="none" w:sz="0" w:space="0" w:color="auto"/>
                    <w:right w:val="none" w:sz="0" w:space="0" w:color="auto"/>
                  </w:divBdr>
                  <w:divsChild>
                    <w:div w:id="14365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16743">
          <w:marLeft w:val="0"/>
          <w:marRight w:val="0"/>
          <w:marTop w:val="0"/>
          <w:marBottom w:val="0"/>
          <w:divBdr>
            <w:top w:val="none" w:sz="0" w:space="0" w:color="auto"/>
            <w:left w:val="none" w:sz="0" w:space="0" w:color="auto"/>
            <w:bottom w:val="none" w:sz="0" w:space="0" w:color="auto"/>
            <w:right w:val="none" w:sz="0" w:space="0" w:color="auto"/>
          </w:divBdr>
          <w:divsChild>
            <w:div w:id="554201584">
              <w:marLeft w:val="-300"/>
              <w:marRight w:val="-300"/>
              <w:marTop w:val="0"/>
              <w:marBottom w:val="0"/>
              <w:divBdr>
                <w:top w:val="none" w:sz="0" w:space="0" w:color="auto"/>
                <w:left w:val="none" w:sz="0" w:space="0" w:color="auto"/>
                <w:bottom w:val="none" w:sz="0" w:space="0" w:color="auto"/>
                <w:right w:val="none" w:sz="0" w:space="0" w:color="auto"/>
              </w:divBdr>
              <w:divsChild>
                <w:div w:id="1579703320">
                  <w:marLeft w:val="1749"/>
                  <w:marRight w:val="0"/>
                  <w:marTop w:val="0"/>
                  <w:marBottom w:val="0"/>
                  <w:divBdr>
                    <w:top w:val="none" w:sz="0" w:space="0" w:color="auto"/>
                    <w:left w:val="none" w:sz="0" w:space="0" w:color="auto"/>
                    <w:bottom w:val="none" w:sz="0" w:space="0" w:color="auto"/>
                    <w:right w:val="none" w:sz="0" w:space="0" w:color="auto"/>
                  </w:divBdr>
                  <w:divsChild>
                    <w:div w:id="1203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54984">
      <w:bodyDiv w:val="1"/>
      <w:marLeft w:val="0"/>
      <w:marRight w:val="0"/>
      <w:marTop w:val="0"/>
      <w:marBottom w:val="0"/>
      <w:divBdr>
        <w:top w:val="none" w:sz="0" w:space="0" w:color="auto"/>
        <w:left w:val="none" w:sz="0" w:space="0" w:color="auto"/>
        <w:bottom w:val="none" w:sz="0" w:space="0" w:color="auto"/>
        <w:right w:val="none" w:sz="0" w:space="0" w:color="auto"/>
      </w:divBdr>
      <w:divsChild>
        <w:div w:id="1749377660">
          <w:marLeft w:val="0"/>
          <w:marRight w:val="0"/>
          <w:marTop w:val="150"/>
          <w:marBottom w:val="0"/>
          <w:divBdr>
            <w:top w:val="none" w:sz="0" w:space="0" w:color="auto"/>
            <w:left w:val="none" w:sz="0" w:space="0" w:color="auto"/>
            <w:bottom w:val="none" w:sz="0" w:space="0" w:color="auto"/>
            <w:right w:val="none" w:sz="0" w:space="0" w:color="auto"/>
          </w:divBdr>
          <w:divsChild>
            <w:div w:id="848984515">
              <w:marLeft w:val="2"/>
              <w:marRight w:val="2"/>
              <w:marTop w:val="0"/>
              <w:marBottom w:val="0"/>
              <w:divBdr>
                <w:top w:val="none" w:sz="0" w:space="0" w:color="auto"/>
                <w:left w:val="none" w:sz="0" w:space="0" w:color="auto"/>
                <w:bottom w:val="none" w:sz="0" w:space="0" w:color="auto"/>
                <w:right w:val="none" w:sz="0" w:space="0" w:color="auto"/>
              </w:divBdr>
              <w:divsChild>
                <w:div w:id="1137065656">
                  <w:marLeft w:val="0"/>
                  <w:marRight w:val="0"/>
                  <w:marTop w:val="0"/>
                  <w:marBottom w:val="0"/>
                  <w:divBdr>
                    <w:top w:val="none" w:sz="0" w:space="0" w:color="auto"/>
                    <w:left w:val="none" w:sz="0" w:space="0" w:color="auto"/>
                    <w:bottom w:val="none" w:sz="0" w:space="0" w:color="auto"/>
                    <w:right w:val="none" w:sz="0" w:space="0" w:color="auto"/>
                  </w:divBdr>
                  <w:divsChild>
                    <w:div w:id="36320655">
                      <w:marLeft w:val="0"/>
                      <w:marRight w:val="0"/>
                      <w:marTop w:val="0"/>
                      <w:marBottom w:val="0"/>
                      <w:divBdr>
                        <w:top w:val="none" w:sz="0" w:space="0" w:color="auto"/>
                        <w:left w:val="none" w:sz="0" w:space="0" w:color="auto"/>
                        <w:bottom w:val="none" w:sz="0" w:space="0" w:color="auto"/>
                        <w:right w:val="none" w:sz="0" w:space="0" w:color="auto"/>
                      </w:divBdr>
                      <w:divsChild>
                        <w:div w:id="113914180">
                          <w:marLeft w:val="0"/>
                          <w:marRight w:val="0"/>
                          <w:marTop w:val="0"/>
                          <w:marBottom w:val="0"/>
                          <w:divBdr>
                            <w:top w:val="none" w:sz="0" w:space="0" w:color="auto"/>
                            <w:left w:val="none" w:sz="0" w:space="0" w:color="auto"/>
                            <w:bottom w:val="none" w:sz="0" w:space="0" w:color="auto"/>
                            <w:right w:val="none" w:sz="0" w:space="0" w:color="auto"/>
                          </w:divBdr>
                          <w:divsChild>
                            <w:div w:id="1794057782">
                              <w:marLeft w:val="0"/>
                              <w:marRight w:val="0"/>
                              <w:marTop w:val="0"/>
                              <w:marBottom w:val="0"/>
                              <w:divBdr>
                                <w:top w:val="none" w:sz="0" w:space="0" w:color="auto"/>
                                <w:left w:val="none" w:sz="0" w:space="0" w:color="auto"/>
                                <w:bottom w:val="none" w:sz="0" w:space="0" w:color="auto"/>
                                <w:right w:val="none" w:sz="0" w:space="0" w:color="auto"/>
                              </w:divBdr>
                              <w:divsChild>
                                <w:div w:id="2021809722">
                                  <w:marLeft w:val="0"/>
                                  <w:marRight w:val="0"/>
                                  <w:marTop w:val="0"/>
                                  <w:marBottom w:val="0"/>
                                  <w:divBdr>
                                    <w:top w:val="none" w:sz="0" w:space="0" w:color="auto"/>
                                    <w:left w:val="none" w:sz="0" w:space="0" w:color="auto"/>
                                    <w:bottom w:val="none" w:sz="0" w:space="0" w:color="auto"/>
                                    <w:right w:val="none" w:sz="0" w:space="0" w:color="auto"/>
                                  </w:divBdr>
                                  <w:divsChild>
                                    <w:div w:id="2143695455">
                                      <w:marLeft w:val="0"/>
                                      <w:marRight w:val="0"/>
                                      <w:marTop w:val="0"/>
                                      <w:marBottom w:val="0"/>
                                      <w:divBdr>
                                        <w:top w:val="none" w:sz="0" w:space="0" w:color="auto"/>
                                        <w:left w:val="none" w:sz="0" w:space="0" w:color="auto"/>
                                        <w:bottom w:val="none" w:sz="0" w:space="0" w:color="auto"/>
                                        <w:right w:val="none" w:sz="0" w:space="0" w:color="auto"/>
                                      </w:divBdr>
                                      <w:divsChild>
                                        <w:div w:id="2011443267">
                                          <w:marLeft w:val="0"/>
                                          <w:marRight w:val="0"/>
                                          <w:marTop w:val="0"/>
                                          <w:marBottom w:val="0"/>
                                          <w:divBdr>
                                            <w:top w:val="none" w:sz="0" w:space="0" w:color="auto"/>
                                            <w:left w:val="none" w:sz="0" w:space="0" w:color="auto"/>
                                            <w:bottom w:val="none" w:sz="0" w:space="0" w:color="auto"/>
                                            <w:right w:val="none" w:sz="0" w:space="0" w:color="auto"/>
                                          </w:divBdr>
                                          <w:divsChild>
                                            <w:div w:id="5796012">
                                              <w:marLeft w:val="0"/>
                                              <w:marRight w:val="0"/>
                                              <w:marTop w:val="0"/>
                                              <w:marBottom w:val="0"/>
                                              <w:divBdr>
                                                <w:top w:val="none" w:sz="0" w:space="0" w:color="auto"/>
                                                <w:left w:val="none" w:sz="0" w:space="0" w:color="auto"/>
                                                <w:bottom w:val="none" w:sz="0" w:space="0" w:color="auto"/>
                                                <w:right w:val="none" w:sz="0" w:space="0" w:color="auto"/>
                                              </w:divBdr>
                                              <w:divsChild>
                                                <w:div w:id="1996911677">
                                                  <w:marLeft w:val="0"/>
                                                  <w:marRight w:val="0"/>
                                                  <w:marTop w:val="0"/>
                                                  <w:marBottom w:val="0"/>
                                                  <w:divBdr>
                                                    <w:top w:val="none" w:sz="0" w:space="0" w:color="auto"/>
                                                    <w:left w:val="none" w:sz="0" w:space="0" w:color="auto"/>
                                                    <w:bottom w:val="none" w:sz="0" w:space="0" w:color="auto"/>
                                                    <w:right w:val="none" w:sz="0" w:space="0" w:color="auto"/>
                                                  </w:divBdr>
                                                </w:div>
                                              </w:divsChild>
                                            </w:div>
                                            <w:div w:id="1181578660">
                                              <w:marLeft w:val="0"/>
                                              <w:marRight w:val="0"/>
                                              <w:marTop w:val="0"/>
                                              <w:marBottom w:val="0"/>
                                              <w:divBdr>
                                                <w:top w:val="none" w:sz="0" w:space="0" w:color="auto"/>
                                                <w:left w:val="none" w:sz="0" w:space="0" w:color="auto"/>
                                                <w:bottom w:val="none" w:sz="0" w:space="0" w:color="auto"/>
                                                <w:right w:val="none" w:sz="0" w:space="0" w:color="auto"/>
                                              </w:divBdr>
                                              <w:divsChild>
                                                <w:div w:id="259457893">
                                                  <w:marLeft w:val="0"/>
                                                  <w:marRight w:val="0"/>
                                                  <w:marTop w:val="0"/>
                                                  <w:marBottom w:val="0"/>
                                                  <w:divBdr>
                                                    <w:top w:val="none" w:sz="0" w:space="0" w:color="auto"/>
                                                    <w:left w:val="none" w:sz="0" w:space="0" w:color="auto"/>
                                                    <w:bottom w:val="none" w:sz="0" w:space="0" w:color="auto"/>
                                                    <w:right w:val="none" w:sz="0" w:space="0" w:color="auto"/>
                                                  </w:divBdr>
                                                </w:div>
                                              </w:divsChild>
                                            </w:div>
                                            <w:div w:id="1891182421">
                                              <w:marLeft w:val="0"/>
                                              <w:marRight w:val="0"/>
                                              <w:marTop w:val="0"/>
                                              <w:marBottom w:val="0"/>
                                              <w:divBdr>
                                                <w:top w:val="none" w:sz="0" w:space="0" w:color="auto"/>
                                                <w:left w:val="none" w:sz="0" w:space="0" w:color="auto"/>
                                                <w:bottom w:val="none" w:sz="0" w:space="0" w:color="auto"/>
                                                <w:right w:val="none" w:sz="0" w:space="0" w:color="auto"/>
                                              </w:divBdr>
                                              <w:divsChild>
                                                <w:div w:id="1266419732">
                                                  <w:marLeft w:val="0"/>
                                                  <w:marRight w:val="0"/>
                                                  <w:marTop w:val="0"/>
                                                  <w:marBottom w:val="0"/>
                                                  <w:divBdr>
                                                    <w:top w:val="none" w:sz="0" w:space="0" w:color="auto"/>
                                                    <w:left w:val="none" w:sz="0" w:space="0" w:color="auto"/>
                                                    <w:bottom w:val="none" w:sz="0" w:space="0" w:color="auto"/>
                                                    <w:right w:val="none" w:sz="0" w:space="0" w:color="auto"/>
                                                  </w:divBdr>
                                                </w:div>
                                              </w:divsChild>
                                            </w:div>
                                            <w:div w:id="752630481">
                                              <w:marLeft w:val="0"/>
                                              <w:marRight w:val="0"/>
                                              <w:marTop w:val="0"/>
                                              <w:marBottom w:val="0"/>
                                              <w:divBdr>
                                                <w:top w:val="none" w:sz="0" w:space="0" w:color="auto"/>
                                                <w:left w:val="none" w:sz="0" w:space="0" w:color="auto"/>
                                                <w:bottom w:val="none" w:sz="0" w:space="0" w:color="auto"/>
                                                <w:right w:val="none" w:sz="0" w:space="0" w:color="auto"/>
                                              </w:divBdr>
                                              <w:divsChild>
                                                <w:div w:id="20632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070141">
      <w:bodyDiv w:val="1"/>
      <w:marLeft w:val="0"/>
      <w:marRight w:val="0"/>
      <w:marTop w:val="0"/>
      <w:marBottom w:val="0"/>
      <w:divBdr>
        <w:top w:val="none" w:sz="0" w:space="0" w:color="auto"/>
        <w:left w:val="none" w:sz="0" w:space="0" w:color="auto"/>
        <w:bottom w:val="none" w:sz="0" w:space="0" w:color="auto"/>
        <w:right w:val="none" w:sz="0" w:space="0" w:color="auto"/>
      </w:divBdr>
      <w:divsChild>
        <w:div w:id="85273995">
          <w:marLeft w:val="0"/>
          <w:marRight w:val="0"/>
          <w:marTop w:val="0"/>
          <w:marBottom w:val="0"/>
          <w:divBdr>
            <w:top w:val="none" w:sz="0" w:space="0" w:color="auto"/>
            <w:left w:val="none" w:sz="0" w:space="0" w:color="auto"/>
            <w:bottom w:val="none" w:sz="0" w:space="0" w:color="auto"/>
            <w:right w:val="none" w:sz="0" w:space="0" w:color="auto"/>
          </w:divBdr>
          <w:divsChild>
            <w:div w:id="868177179">
              <w:marLeft w:val="0"/>
              <w:marRight w:val="0"/>
              <w:marTop w:val="0"/>
              <w:marBottom w:val="0"/>
              <w:divBdr>
                <w:top w:val="none" w:sz="0" w:space="0" w:color="auto"/>
                <w:left w:val="none" w:sz="0" w:space="0" w:color="auto"/>
                <w:bottom w:val="none" w:sz="0" w:space="0" w:color="auto"/>
                <w:right w:val="none" w:sz="0" w:space="0" w:color="auto"/>
              </w:divBdr>
              <w:divsChild>
                <w:div w:id="388498744">
                  <w:marLeft w:val="0"/>
                  <w:marRight w:val="0"/>
                  <w:marTop w:val="0"/>
                  <w:marBottom w:val="0"/>
                  <w:divBdr>
                    <w:top w:val="none" w:sz="0" w:space="0" w:color="auto"/>
                    <w:left w:val="none" w:sz="0" w:space="0" w:color="auto"/>
                    <w:bottom w:val="none" w:sz="0" w:space="0" w:color="auto"/>
                    <w:right w:val="none" w:sz="0" w:space="0" w:color="auto"/>
                  </w:divBdr>
                  <w:divsChild>
                    <w:div w:id="2048991181">
                      <w:marLeft w:val="0"/>
                      <w:marRight w:val="0"/>
                      <w:marTop w:val="0"/>
                      <w:marBottom w:val="0"/>
                      <w:divBdr>
                        <w:top w:val="none" w:sz="0" w:space="0" w:color="auto"/>
                        <w:left w:val="none" w:sz="0" w:space="0" w:color="auto"/>
                        <w:bottom w:val="none" w:sz="0" w:space="0" w:color="auto"/>
                        <w:right w:val="none" w:sz="0" w:space="0" w:color="auto"/>
                      </w:divBdr>
                      <w:divsChild>
                        <w:div w:id="2123838174">
                          <w:marLeft w:val="0"/>
                          <w:marRight w:val="0"/>
                          <w:marTop w:val="0"/>
                          <w:marBottom w:val="0"/>
                          <w:divBdr>
                            <w:top w:val="none" w:sz="0" w:space="0" w:color="auto"/>
                            <w:left w:val="none" w:sz="0" w:space="0" w:color="auto"/>
                            <w:bottom w:val="none" w:sz="0" w:space="0" w:color="auto"/>
                            <w:right w:val="none" w:sz="0" w:space="0" w:color="auto"/>
                          </w:divBdr>
                          <w:divsChild>
                            <w:div w:id="649676174">
                              <w:marLeft w:val="0"/>
                              <w:marRight w:val="0"/>
                              <w:marTop w:val="0"/>
                              <w:marBottom w:val="0"/>
                              <w:divBdr>
                                <w:top w:val="none" w:sz="0" w:space="0" w:color="auto"/>
                                <w:left w:val="none" w:sz="0" w:space="0" w:color="auto"/>
                                <w:bottom w:val="none" w:sz="0" w:space="0" w:color="auto"/>
                                <w:right w:val="none" w:sz="0" w:space="0" w:color="auto"/>
                              </w:divBdr>
                              <w:divsChild>
                                <w:div w:id="77993399">
                                  <w:marLeft w:val="0"/>
                                  <w:marRight w:val="0"/>
                                  <w:marTop w:val="0"/>
                                  <w:marBottom w:val="0"/>
                                  <w:divBdr>
                                    <w:top w:val="none" w:sz="0" w:space="0" w:color="auto"/>
                                    <w:left w:val="none" w:sz="0" w:space="0" w:color="auto"/>
                                    <w:bottom w:val="none" w:sz="0" w:space="0" w:color="auto"/>
                                    <w:right w:val="none" w:sz="0" w:space="0" w:color="auto"/>
                                  </w:divBdr>
                                  <w:divsChild>
                                    <w:div w:id="806094522">
                                      <w:marLeft w:val="0"/>
                                      <w:marRight w:val="0"/>
                                      <w:marTop w:val="0"/>
                                      <w:marBottom w:val="0"/>
                                      <w:divBdr>
                                        <w:top w:val="none" w:sz="0" w:space="0" w:color="auto"/>
                                        <w:left w:val="none" w:sz="0" w:space="0" w:color="auto"/>
                                        <w:bottom w:val="none" w:sz="0" w:space="0" w:color="auto"/>
                                        <w:right w:val="none" w:sz="0" w:space="0" w:color="auto"/>
                                      </w:divBdr>
                                      <w:divsChild>
                                        <w:div w:id="14029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217443">
      <w:bodyDiv w:val="1"/>
      <w:marLeft w:val="0"/>
      <w:marRight w:val="0"/>
      <w:marTop w:val="0"/>
      <w:marBottom w:val="0"/>
      <w:divBdr>
        <w:top w:val="none" w:sz="0" w:space="0" w:color="auto"/>
        <w:left w:val="none" w:sz="0" w:space="0" w:color="auto"/>
        <w:bottom w:val="none" w:sz="0" w:space="0" w:color="auto"/>
        <w:right w:val="none" w:sz="0" w:space="0" w:color="auto"/>
      </w:divBdr>
    </w:div>
    <w:div w:id="1245383521">
      <w:bodyDiv w:val="1"/>
      <w:marLeft w:val="0"/>
      <w:marRight w:val="0"/>
      <w:marTop w:val="0"/>
      <w:marBottom w:val="0"/>
      <w:divBdr>
        <w:top w:val="none" w:sz="0" w:space="0" w:color="auto"/>
        <w:left w:val="none" w:sz="0" w:space="0" w:color="auto"/>
        <w:bottom w:val="none" w:sz="0" w:space="0" w:color="auto"/>
        <w:right w:val="none" w:sz="0" w:space="0" w:color="auto"/>
      </w:divBdr>
      <w:divsChild>
        <w:div w:id="156388963">
          <w:marLeft w:val="0"/>
          <w:marRight w:val="0"/>
          <w:marTop w:val="0"/>
          <w:marBottom w:val="480"/>
          <w:divBdr>
            <w:top w:val="none" w:sz="0" w:space="0" w:color="auto"/>
            <w:left w:val="none" w:sz="0" w:space="0" w:color="auto"/>
            <w:bottom w:val="none" w:sz="0" w:space="0" w:color="auto"/>
            <w:right w:val="none" w:sz="0" w:space="0" w:color="auto"/>
          </w:divBdr>
        </w:div>
      </w:divsChild>
    </w:div>
    <w:div w:id="1246456857">
      <w:bodyDiv w:val="1"/>
      <w:marLeft w:val="0"/>
      <w:marRight w:val="0"/>
      <w:marTop w:val="0"/>
      <w:marBottom w:val="0"/>
      <w:divBdr>
        <w:top w:val="none" w:sz="0" w:space="0" w:color="auto"/>
        <w:left w:val="none" w:sz="0" w:space="0" w:color="auto"/>
        <w:bottom w:val="none" w:sz="0" w:space="0" w:color="auto"/>
        <w:right w:val="none" w:sz="0" w:space="0" w:color="auto"/>
      </w:divBdr>
      <w:divsChild>
        <w:div w:id="1983003811">
          <w:marLeft w:val="0"/>
          <w:marRight w:val="0"/>
          <w:marTop w:val="0"/>
          <w:marBottom w:val="0"/>
          <w:divBdr>
            <w:top w:val="none" w:sz="0" w:space="0" w:color="auto"/>
            <w:left w:val="none" w:sz="0" w:space="0" w:color="auto"/>
            <w:bottom w:val="none" w:sz="0" w:space="0" w:color="auto"/>
            <w:right w:val="none" w:sz="0" w:space="0" w:color="auto"/>
          </w:divBdr>
          <w:divsChild>
            <w:div w:id="202449875">
              <w:marLeft w:val="0"/>
              <w:marRight w:val="0"/>
              <w:marTop w:val="0"/>
              <w:marBottom w:val="0"/>
              <w:divBdr>
                <w:top w:val="none" w:sz="0" w:space="0" w:color="auto"/>
                <w:left w:val="none" w:sz="0" w:space="0" w:color="auto"/>
                <w:bottom w:val="none" w:sz="0" w:space="0" w:color="auto"/>
                <w:right w:val="none" w:sz="0" w:space="0" w:color="auto"/>
              </w:divBdr>
              <w:divsChild>
                <w:div w:id="1294209195">
                  <w:marLeft w:val="0"/>
                  <w:marRight w:val="0"/>
                  <w:marTop w:val="0"/>
                  <w:marBottom w:val="0"/>
                  <w:divBdr>
                    <w:top w:val="none" w:sz="0" w:space="0" w:color="auto"/>
                    <w:left w:val="none" w:sz="0" w:space="0" w:color="auto"/>
                    <w:bottom w:val="none" w:sz="0" w:space="0" w:color="auto"/>
                    <w:right w:val="none" w:sz="0" w:space="0" w:color="auto"/>
                  </w:divBdr>
                  <w:divsChild>
                    <w:div w:id="731584572">
                      <w:marLeft w:val="0"/>
                      <w:marRight w:val="0"/>
                      <w:marTop w:val="0"/>
                      <w:marBottom w:val="0"/>
                      <w:divBdr>
                        <w:top w:val="none" w:sz="0" w:space="0" w:color="auto"/>
                        <w:left w:val="none" w:sz="0" w:space="0" w:color="auto"/>
                        <w:bottom w:val="none" w:sz="0" w:space="0" w:color="auto"/>
                        <w:right w:val="none" w:sz="0" w:space="0" w:color="auto"/>
                      </w:divBdr>
                      <w:divsChild>
                        <w:div w:id="907959844">
                          <w:marLeft w:val="0"/>
                          <w:marRight w:val="0"/>
                          <w:marTop w:val="0"/>
                          <w:marBottom w:val="0"/>
                          <w:divBdr>
                            <w:top w:val="none" w:sz="0" w:space="0" w:color="auto"/>
                            <w:left w:val="none" w:sz="0" w:space="0" w:color="auto"/>
                            <w:bottom w:val="none" w:sz="0" w:space="0" w:color="auto"/>
                            <w:right w:val="none" w:sz="0" w:space="0" w:color="auto"/>
                          </w:divBdr>
                          <w:divsChild>
                            <w:div w:id="715206807">
                              <w:marLeft w:val="0"/>
                              <w:marRight w:val="0"/>
                              <w:marTop w:val="0"/>
                              <w:marBottom w:val="0"/>
                              <w:divBdr>
                                <w:top w:val="none" w:sz="0" w:space="0" w:color="auto"/>
                                <w:left w:val="none" w:sz="0" w:space="0" w:color="auto"/>
                                <w:bottom w:val="none" w:sz="0" w:space="0" w:color="auto"/>
                                <w:right w:val="none" w:sz="0" w:space="0" w:color="auto"/>
                              </w:divBdr>
                              <w:divsChild>
                                <w:div w:id="1773621962">
                                  <w:marLeft w:val="0"/>
                                  <w:marRight w:val="0"/>
                                  <w:marTop w:val="0"/>
                                  <w:marBottom w:val="0"/>
                                  <w:divBdr>
                                    <w:top w:val="none" w:sz="0" w:space="0" w:color="auto"/>
                                    <w:left w:val="none" w:sz="0" w:space="0" w:color="auto"/>
                                    <w:bottom w:val="none" w:sz="0" w:space="0" w:color="auto"/>
                                    <w:right w:val="none" w:sz="0" w:space="0" w:color="auto"/>
                                  </w:divBdr>
                                  <w:divsChild>
                                    <w:div w:id="2006854078">
                                      <w:marLeft w:val="0"/>
                                      <w:marRight w:val="0"/>
                                      <w:marTop w:val="0"/>
                                      <w:marBottom w:val="0"/>
                                      <w:divBdr>
                                        <w:top w:val="none" w:sz="0" w:space="0" w:color="auto"/>
                                        <w:left w:val="none" w:sz="0" w:space="0" w:color="auto"/>
                                        <w:bottom w:val="none" w:sz="0" w:space="0" w:color="auto"/>
                                        <w:right w:val="none" w:sz="0" w:space="0" w:color="auto"/>
                                      </w:divBdr>
                                      <w:divsChild>
                                        <w:div w:id="2026588568">
                                          <w:marLeft w:val="0"/>
                                          <w:marRight w:val="0"/>
                                          <w:marTop w:val="0"/>
                                          <w:marBottom w:val="0"/>
                                          <w:divBdr>
                                            <w:top w:val="none" w:sz="0" w:space="0" w:color="auto"/>
                                            <w:left w:val="none" w:sz="0" w:space="0" w:color="auto"/>
                                            <w:bottom w:val="none" w:sz="0" w:space="0" w:color="auto"/>
                                            <w:right w:val="none" w:sz="0" w:space="0" w:color="auto"/>
                                          </w:divBdr>
                                          <w:divsChild>
                                            <w:div w:id="57630119">
                                              <w:marLeft w:val="0"/>
                                              <w:marRight w:val="0"/>
                                              <w:marTop w:val="0"/>
                                              <w:marBottom w:val="0"/>
                                              <w:divBdr>
                                                <w:top w:val="none" w:sz="0" w:space="0" w:color="auto"/>
                                                <w:left w:val="none" w:sz="0" w:space="0" w:color="auto"/>
                                                <w:bottom w:val="none" w:sz="0" w:space="0" w:color="auto"/>
                                                <w:right w:val="none" w:sz="0" w:space="0" w:color="auto"/>
                                              </w:divBdr>
                                              <w:divsChild>
                                                <w:div w:id="1731610149">
                                                  <w:marLeft w:val="0"/>
                                                  <w:marRight w:val="0"/>
                                                  <w:marTop w:val="0"/>
                                                  <w:marBottom w:val="0"/>
                                                  <w:divBdr>
                                                    <w:top w:val="none" w:sz="0" w:space="0" w:color="auto"/>
                                                    <w:left w:val="none" w:sz="0" w:space="0" w:color="auto"/>
                                                    <w:bottom w:val="none" w:sz="0" w:space="0" w:color="auto"/>
                                                    <w:right w:val="none" w:sz="0" w:space="0" w:color="auto"/>
                                                  </w:divBdr>
                                                  <w:divsChild>
                                                    <w:div w:id="399448519">
                                                      <w:marLeft w:val="0"/>
                                                      <w:marRight w:val="0"/>
                                                      <w:marTop w:val="0"/>
                                                      <w:marBottom w:val="0"/>
                                                      <w:divBdr>
                                                        <w:top w:val="none" w:sz="0" w:space="0" w:color="auto"/>
                                                        <w:left w:val="none" w:sz="0" w:space="0" w:color="auto"/>
                                                        <w:bottom w:val="none" w:sz="0" w:space="0" w:color="auto"/>
                                                        <w:right w:val="none" w:sz="0" w:space="0" w:color="auto"/>
                                                      </w:divBdr>
                                                      <w:divsChild>
                                                        <w:div w:id="6317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575997">
      <w:bodyDiv w:val="1"/>
      <w:marLeft w:val="0"/>
      <w:marRight w:val="0"/>
      <w:marTop w:val="0"/>
      <w:marBottom w:val="0"/>
      <w:divBdr>
        <w:top w:val="none" w:sz="0" w:space="0" w:color="auto"/>
        <w:left w:val="none" w:sz="0" w:space="0" w:color="auto"/>
        <w:bottom w:val="none" w:sz="0" w:space="0" w:color="auto"/>
        <w:right w:val="none" w:sz="0" w:space="0" w:color="auto"/>
      </w:divBdr>
      <w:divsChild>
        <w:div w:id="1362315975">
          <w:marLeft w:val="0"/>
          <w:marRight w:val="0"/>
          <w:marTop w:val="0"/>
          <w:marBottom w:val="0"/>
          <w:divBdr>
            <w:top w:val="none" w:sz="0" w:space="0" w:color="auto"/>
            <w:left w:val="none" w:sz="0" w:space="0" w:color="auto"/>
            <w:bottom w:val="none" w:sz="0" w:space="0" w:color="auto"/>
            <w:right w:val="none" w:sz="0" w:space="0" w:color="auto"/>
          </w:divBdr>
          <w:divsChild>
            <w:div w:id="2044161914">
              <w:marLeft w:val="0"/>
              <w:marRight w:val="0"/>
              <w:marTop w:val="0"/>
              <w:marBottom w:val="0"/>
              <w:divBdr>
                <w:top w:val="none" w:sz="0" w:space="0" w:color="auto"/>
                <w:left w:val="none" w:sz="0" w:space="0" w:color="auto"/>
                <w:bottom w:val="none" w:sz="0" w:space="0" w:color="auto"/>
                <w:right w:val="none" w:sz="0" w:space="0" w:color="auto"/>
              </w:divBdr>
              <w:divsChild>
                <w:div w:id="1291521555">
                  <w:marLeft w:val="0"/>
                  <w:marRight w:val="0"/>
                  <w:marTop w:val="100"/>
                  <w:marBottom w:val="100"/>
                  <w:divBdr>
                    <w:top w:val="none" w:sz="0" w:space="0" w:color="auto"/>
                    <w:left w:val="none" w:sz="0" w:space="0" w:color="auto"/>
                    <w:bottom w:val="none" w:sz="0" w:space="0" w:color="auto"/>
                    <w:right w:val="none" w:sz="0" w:space="0" w:color="auto"/>
                  </w:divBdr>
                  <w:divsChild>
                    <w:div w:id="1273168961">
                      <w:marLeft w:val="0"/>
                      <w:marRight w:val="0"/>
                      <w:marTop w:val="0"/>
                      <w:marBottom w:val="0"/>
                      <w:divBdr>
                        <w:top w:val="none" w:sz="0" w:space="0" w:color="auto"/>
                        <w:left w:val="none" w:sz="0" w:space="0" w:color="auto"/>
                        <w:bottom w:val="none" w:sz="0" w:space="0" w:color="auto"/>
                        <w:right w:val="none" w:sz="0" w:space="0" w:color="auto"/>
                      </w:divBdr>
                      <w:divsChild>
                        <w:div w:id="1007826383">
                          <w:marLeft w:val="0"/>
                          <w:marRight w:val="0"/>
                          <w:marTop w:val="0"/>
                          <w:marBottom w:val="0"/>
                          <w:divBdr>
                            <w:top w:val="none" w:sz="0" w:space="0" w:color="auto"/>
                            <w:left w:val="none" w:sz="0" w:space="0" w:color="auto"/>
                            <w:bottom w:val="none" w:sz="0" w:space="0" w:color="auto"/>
                            <w:right w:val="none" w:sz="0" w:space="0" w:color="auto"/>
                          </w:divBdr>
                          <w:divsChild>
                            <w:div w:id="870919012">
                              <w:marLeft w:val="0"/>
                              <w:marRight w:val="0"/>
                              <w:marTop w:val="0"/>
                              <w:marBottom w:val="0"/>
                              <w:divBdr>
                                <w:top w:val="none" w:sz="0" w:space="0" w:color="auto"/>
                                <w:left w:val="none" w:sz="0" w:space="0" w:color="auto"/>
                                <w:bottom w:val="none" w:sz="0" w:space="0" w:color="auto"/>
                                <w:right w:val="none" w:sz="0" w:space="0" w:color="auto"/>
                              </w:divBdr>
                              <w:divsChild>
                                <w:div w:id="975570362">
                                  <w:marLeft w:val="0"/>
                                  <w:marRight w:val="0"/>
                                  <w:marTop w:val="0"/>
                                  <w:marBottom w:val="0"/>
                                  <w:divBdr>
                                    <w:top w:val="none" w:sz="0" w:space="0" w:color="auto"/>
                                    <w:left w:val="none" w:sz="0" w:space="0" w:color="auto"/>
                                    <w:bottom w:val="none" w:sz="0" w:space="0" w:color="auto"/>
                                    <w:right w:val="none" w:sz="0" w:space="0" w:color="auto"/>
                                  </w:divBdr>
                                  <w:divsChild>
                                    <w:div w:id="1795976908">
                                      <w:marLeft w:val="0"/>
                                      <w:marRight w:val="0"/>
                                      <w:marTop w:val="0"/>
                                      <w:marBottom w:val="0"/>
                                      <w:divBdr>
                                        <w:top w:val="none" w:sz="0" w:space="0" w:color="auto"/>
                                        <w:left w:val="none" w:sz="0" w:space="0" w:color="auto"/>
                                        <w:bottom w:val="none" w:sz="0" w:space="0" w:color="auto"/>
                                        <w:right w:val="none" w:sz="0" w:space="0" w:color="auto"/>
                                      </w:divBdr>
                                      <w:divsChild>
                                        <w:div w:id="341052590">
                                          <w:marLeft w:val="0"/>
                                          <w:marRight w:val="0"/>
                                          <w:marTop w:val="0"/>
                                          <w:marBottom w:val="0"/>
                                          <w:divBdr>
                                            <w:top w:val="none" w:sz="0" w:space="0" w:color="auto"/>
                                            <w:left w:val="none" w:sz="0" w:space="0" w:color="auto"/>
                                            <w:bottom w:val="none" w:sz="0" w:space="0" w:color="auto"/>
                                            <w:right w:val="none" w:sz="0" w:space="0" w:color="auto"/>
                                          </w:divBdr>
                                          <w:divsChild>
                                            <w:div w:id="196358368">
                                              <w:marLeft w:val="0"/>
                                              <w:marRight w:val="0"/>
                                              <w:marTop w:val="0"/>
                                              <w:marBottom w:val="0"/>
                                              <w:divBdr>
                                                <w:top w:val="single" w:sz="4" w:space="0" w:color="B6D444"/>
                                                <w:left w:val="none" w:sz="0" w:space="0" w:color="auto"/>
                                                <w:bottom w:val="none" w:sz="0" w:space="0" w:color="auto"/>
                                                <w:right w:val="none" w:sz="0" w:space="0" w:color="auto"/>
                                              </w:divBdr>
                                              <w:divsChild>
                                                <w:div w:id="2913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375426">
      <w:bodyDiv w:val="1"/>
      <w:marLeft w:val="0"/>
      <w:marRight w:val="0"/>
      <w:marTop w:val="0"/>
      <w:marBottom w:val="0"/>
      <w:divBdr>
        <w:top w:val="none" w:sz="0" w:space="0" w:color="auto"/>
        <w:left w:val="none" w:sz="0" w:space="0" w:color="auto"/>
        <w:bottom w:val="none" w:sz="0" w:space="0" w:color="auto"/>
        <w:right w:val="none" w:sz="0" w:space="0" w:color="auto"/>
      </w:divBdr>
      <w:divsChild>
        <w:div w:id="1168406235">
          <w:marLeft w:val="0"/>
          <w:marRight w:val="0"/>
          <w:marTop w:val="0"/>
          <w:marBottom w:val="0"/>
          <w:divBdr>
            <w:top w:val="none" w:sz="0" w:space="0" w:color="auto"/>
            <w:left w:val="none" w:sz="0" w:space="0" w:color="auto"/>
            <w:bottom w:val="none" w:sz="0" w:space="0" w:color="auto"/>
            <w:right w:val="none" w:sz="0" w:space="0" w:color="auto"/>
          </w:divBdr>
          <w:divsChild>
            <w:div w:id="431435561">
              <w:marLeft w:val="210"/>
              <w:marRight w:val="0"/>
              <w:marTop w:val="0"/>
              <w:marBottom w:val="0"/>
              <w:divBdr>
                <w:top w:val="none" w:sz="0" w:space="0" w:color="auto"/>
                <w:left w:val="none" w:sz="0" w:space="0" w:color="auto"/>
                <w:bottom w:val="none" w:sz="0" w:space="0" w:color="auto"/>
                <w:right w:val="none" w:sz="0" w:space="0" w:color="auto"/>
              </w:divBdr>
              <w:divsChild>
                <w:div w:id="17837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196">
      <w:bodyDiv w:val="1"/>
      <w:marLeft w:val="0"/>
      <w:marRight w:val="0"/>
      <w:marTop w:val="0"/>
      <w:marBottom w:val="0"/>
      <w:divBdr>
        <w:top w:val="none" w:sz="0" w:space="0" w:color="auto"/>
        <w:left w:val="none" w:sz="0" w:space="0" w:color="auto"/>
        <w:bottom w:val="none" w:sz="0" w:space="0" w:color="auto"/>
        <w:right w:val="none" w:sz="0" w:space="0" w:color="auto"/>
      </w:divBdr>
      <w:divsChild>
        <w:div w:id="1336374946">
          <w:marLeft w:val="0"/>
          <w:marRight w:val="0"/>
          <w:marTop w:val="0"/>
          <w:marBottom w:val="0"/>
          <w:divBdr>
            <w:top w:val="none" w:sz="0" w:space="0" w:color="auto"/>
            <w:left w:val="none" w:sz="0" w:space="0" w:color="auto"/>
            <w:bottom w:val="none" w:sz="0" w:space="0" w:color="auto"/>
            <w:right w:val="none" w:sz="0" w:space="0" w:color="auto"/>
          </w:divBdr>
          <w:divsChild>
            <w:div w:id="588275457">
              <w:marLeft w:val="0"/>
              <w:marRight w:val="0"/>
              <w:marTop w:val="0"/>
              <w:marBottom w:val="0"/>
              <w:divBdr>
                <w:top w:val="none" w:sz="0" w:space="0" w:color="auto"/>
                <w:left w:val="none" w:sz="0" w:space="0" w:color="auto"/>
                <w:bottom w:val="none" w:sz="0" w:space="0" w:color="auto"/>
                <w:right w:val="none" w:sz="0" w:space="0" w:color="auto"/>
              </w:divBdr>
              <w:divsChild>
                <w:div w:id="1000814243">
                  <w:marLeft w:val="0"/>
                  <w:marRight w:val="0"/>
                  <w:marTop w:val="0"/>
                  <w:marBottom w:val="0"/>
                  <w:divBdr>
                    <w:top w:val="none" w:sz="0" w:space="0" w:color="auto"/>
                    <w:left w:val="none" w:sz="0" w:space="0" w:color="auto"/>
                    <w:bottom w:val="none" w:sz="0" w:space="0" w:color="auto"/>
                    <w:right w:val="none" w:sz="0" w:space="0" w:color="auto"/>
                  </w:divBdr>
                  <w:divsChild>
                    <w:div w:id="857544584">
                      <w:marLeft w:val="0"/>
                      <w:marRight w:val="0"/>
                      <w:marTop w:val="0"/>
                      <w:marBottom w:val="0"/>
                      <w:divBdr>
                        <w:top w:val="none" w:sz="0" w:space="0" w:color="auto"/>
                        <w:left w:val="none" w:sz="0" w:space="0" w:color="auto"/>
                        <w:bottom w:val="none" w:sz="0" w:space="0" w:color="auto"/>
                        <w:right w:val="none" w:sz="0" w:space="0" w:color="auto"/>
                      </w:divBdr>
                      <w:divsChild>
                        <w:div w:id="1136529801">
                          <w:marLeft w:val="0"/>
                          <w:marRight w:val="0"/>
                          <w:marTop w:val="0"/>
                          <w:marBottom w:val="0"/>
                          <w:divBdr>
                            <w:top w:val="none" w:sz="0" w:space="0" w:color="auto"/>
                            <w:left w:val="none" w:sz="0" w:space="0" w:color="auto"/>
                            <w:bottom w:val="none" w:sz="0" w:space="0" w:color="auto"/>
                            <w:right w:val="none" w:sz="0" w:space="0" w:color="auto"/>
                          </w:divBdr>
                          <w:divsChild>
                            <w:div w:id="1331912122">
                              <w:marLeft w:val="0"/>
                              <w:marRight w:val="0"/>
                              <w:marTop w:val="0"/>
                              <w:marBottom w:val="0"/>
                              <w:divBdr>
                                <w:top w:val="none" w:sz="0" w:space="0" w:color="auto"/>
                                <w:left w:val="none" w:sz="0" w:space="0" w:color="auto"/>
                                <w:bottom w:val="none" w:sz="0" w:space="0" w:color="auto"/>
                                <w:right w:val="none" w:sz="0" w:space="0" w:color="auto"/>
                              </w:divBdr>
                              <w:divsChild>
                                <w:div w:id="741952739">
                                  <w:marLeft w:val="0"/>
                                  <w:marRight w:val="0"/>
                                  <w:marTop w:val="0"/>
                                  <w:marBottom w:val="0"/>
                                  <w:divBdr>
                                    <w:top w:val="none" w:sz="0" w:space="0" w:color="auto"/>
                                    <w:left w:val="none" w:sz="0" w:space="0" w:color="auto"/>
                                    <w:bottom w:val="none" w:sz="0" w:space="0" w:color="auto"/>
                                    <w:right w:val="none" w:sz="0" w:space="0" w:color="auto"/>
                                  </w:divBdr>
                                  <w:divsChild>
                                    <w:div w:id="1388652841">
                                      <w:marLeft w:val="0"/>
                                      <w:marRight w:val="0"/>
                                      <w:marTop w:val="0"/>
                                      <w:marBottom w:val="0"/>
                                      <w:divBdr>
                                        <w:top w:val="none" w:sz="0" w:space="0" w:color="auto"/>
                                        <w:left w:val="none" w:sz="0" w:space="0" w:color="auto"/>
                                        <w:bottom w:val="none" w:sz="0" w:space="0" w:color="auto"/>
                                        <w:right w:val="none" w:sz="0" w:space="0" w:color="auto"/>
                                      </w:divBdr>
                                      <w:divsChild>
                                        <w:div w:id="988945282">
                                          <w:marLeft w:val="0"/>
                                          <w:marRight w:val="0"/>
                                          <w:marTop w:val="0"/>
                                          <w:marBottom w:val="0"/>
                                          <w:divBdr>
                                            <w:top w:val="none" w:sz="0" w:space="0" w:color="auto"/>
                                            <w:left w:val="none" w:sz="0" w:space="0" w:color="auto"/>
                                            <w:bottom w:val="none" w:sz="0" w:space="0" w:color="auto"/>
                                            <w:right w:val="none" w:sz="0" w:space="0" w:color="auto"/>
                                          </w:divBdr>
                                          <w:divsChild>
                                            <w:div w:id="1129283241">
                                              <w:marLeft w:val="0"/>
                                              <w:marRight w:val="0"/>
                                              <w:marTop w:val="0"/>
                                              <w:marBottom w:val="0"/>
                                              <w:divBdr>
                                                <w:top w:val="none" w:sz="0" w:space="0" w:color="auto"/>
                                                <w:left w:val="none" w:sz="0" w:space="0" w:color="auto"/>
                                                <w:bottom w:val="none" w:sz="0" w:space="0" w:color="auto"/>
                                                <w:right w:val="none" w:sz="0" w:space="0" w:color="auto"/>
                                              </w:divBdr>
                                              <w:divsChild>
                                                <w:div w:id="1185628560">
                                                  <w:marLeft w:val="0"/>
                                                  <w:marRight w:val="0"/>
                                                  <w:marTop w:val="0"/>
                                                  <w:marBottom w:val="0"/>
                                                  <w:divBdr>
                                                    <w:top w:val="none" w:sz="0" w:space="0" w:color="auto"/>
                                                    <w:left w:val="none" w:sz="0" w:space="0" w:color="auto"/>
                                                    <w:bottom w:val="none" w:sz="0" w:space="0" w:color="auto"/>
                                                    <w:right w:val="none" w:sz="0" w:space="0" w:color="auto"/>
                                                  </w:divBdr>
                                                  <w:divsChild>
                                                    <w:div w:id="2086174143">
                                                      <w:marLeft w:val="0"/>
                                                      <w:marRight w:val="0"/>
                                                      <w:marTop w:val="0"/>
                                                      <w:marBottom w:val="0"/>
                                                      <w:divBdr>
                                                        <w:top w:val="none" w:sz="0" w:space="0" w:color="auto"/>
                                                        <w:left w:val="none" w:sz="0" w:space="0" w:color="auto"/>
                                                        <w:bottom w:val="none" w:sz="0" w:space="0" w:color="auto"/>
                                                        <w:right w:val="none" w:sz="0" w:space="0" w:color="auto"/>
                                                      </w:divBdr>
                                                      <w:divsChild>
                                                        <w:div w:id="20734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8271926">
      <w:bodyDiv w:val="1"/>
      <w:marLeft w:val="0"/>
      <w:marRight w:val="0"/>
      <w:marTop w:val="0"/>
      <w:marBottom w:val="0"/>
      <w:divBdr>
        <w:top w:val="none" w:sz="0" w:space="0" w:color="auto"/>
        <w:left w:val="none" w:sz="0" w:space="0" w:color="auto"/>
        <w:bottom w:val="none" w:sz="0" w:space="0" w:color="auto"/>
        <w:right w:val="none" w:sz="0" w:space="0" w:color="auto"/>
      </w:divBdr>
    </w:div>
    <w:div w:id="1249970138">
      <w:bodyDiv w:val="1"/>
      <w:marLeft w:val="0"/>
      <w:marRight w:val="0"/>
      <w:marTop w:val="0"/>
      <w:marBottom w:val="0"/>
      <w:divBdr>
        <w:top w:val="none" w:sz="0" w:space="0" w:color="auto"/>
        <w:left w:val="none" w:sz="0" w:space="0" w:color="auto"/>
        <w:bottom w:val="none" w:sz="0" w:space="0" w:color="auto"/>
        <w:right w:val="none" w:sz="0" w:space="0" w:color="auto"/>
      </w:divBdr>
      <w:divsChild>
        <w:div w:id="162209663">
          <w:marLeft w:val="0"/>
          <w:marRight w:val="0"/>
          <w:marTop w:val="0"/>
          <w:marBottom w:val="0"/>
          <w:divBdr>
            <w:top w:val="none" w:sz="0" w:space="0" w:color="auto"/>
            <w:left w:val="none" w:sz="0" w:space="0" w:color="auto"/>
            <w:bottom w:val="none" w:sz="0" w:space="0" w:color="auto"/>
            <w:right w:val="none" w:sz="0" w:space="0" w:color="auto"/>
          </w:divBdr>
        </w:div>
      </w:divsChild>
    </w:div>
    <w:div w:id="1250313457">
      <w:bodyDiv w:val="1"/>
      <w:marLeft w:val="0"/>
      <w:marRight w:val="0"/>
      <w:marTop w:val="0"/>
      <w:marBottom w:val="0"/>
      <w:divBdr>
        <w:top w:val="none" w:sz="0" w:space="0" w:color="auto"/>
        <w:left w:val="none" w:sz="0" w:space="0" w:color="auto"/>
        <w:bottom w:val="none" w:sz="0" w:space="0" w:color="auto"/>
        <w:right w:val="none" w:sz="0" w:space="0" w:color="auto"/>
      </w:divBdr>
    </w:div>
    <w:div w:id="1251087497">
      <w:bodyDiv w:val="1"/>
      <w:marLeft w:val="0"/>
      <w:marRight w:val="0"/>
      <w:marTop w:val="0"/>
      <w:marBottom w:val="0"/>
      <w:divBdr>
        <w:top w:val="none" w:sz="0" w:space="0" w:color="auto"/>
        <w:left w:val="none" w:sz="0" w:space="0" w:color="auto"/>
        <w:bottom w:val="none" w:sz="0" w:space="0" w:color="auto"/>
        <w:right w:val="none" w:sz="0" w:space="0" w:color="auto"/>
      </w:divBdr>
    </w:div>
    <w:div w:id="1251737737">
      <w:bodyDiv w:val="1"/>
      <w:marLeft w:val="0"/>
      <w:marRight w:val="0"/>
      <w:marTop w:val="0"/>
      <w:marBottom w:val="0"/>
      <w:divBdr>
        <w:top w:val="none" w:sz="0" w:space="0" w:color="auto"/>
        <w:left w:val="none" w:sz="0" w:space="0" w:color="auto"/>
        <w:bottom w:val="none" w:sz="0" w:space="0" w:color="auto"/>
        <w:right w:val="none" w:sz="0" w:space="0" w:color="auto"/>
      </w:divBdr>
      <w:divsChild>
        <w:div w:id="830756909">
          <w:marLeft w:val="0"/>
          <w:marRight w:val="0"/>
          <w:marTop w:val="0"/>
          <w:marBottom w:val="0"/>
          <w:divBdr>
            <w:top w:val="none" w:sz="0" w:space="0" w:color="auto"/>
            <w:left w:val="none" w:sz="0" w:space="0" w:color="auto"/>
            <w:bottom w:val="none" w:sz="0" w:space="0" w:color="auto"/>
            <w:right w:val="none" w:sz="0" w:space="0" w:color="auto"/>
          </w:divBdr>
          <w:divsChild>
            <w:div w:id="1836798402">
              <w:marLeft w:val="2"/>
              <w:marRight w:val="2"/>
              <w:marTop w:val="0"/>
              <w:marBottom w:val="0"/>
              <w:divBdr>
                <w:top w:val="none" w:sz="0" w:space="0" w:color="auto"/>
                <w:left w:val="none" w:sz="0" w:space="0" w:color="auto"/>
                <w:bottom w:val="none" w:sz="0" w:space="0" w:color="auto"/>
                <w:right w:val="none" w:sz="0" w:space="0" w:color="auto"/>
              </w:divBdr>
              <w:divsChild>
                <w:div w:id="993601551">
                  <w:marLeft w:val="0"/>
                  <w:marRight w:val="0"/>
                  <w:marTop w:val="0"/>
                  <w:marBottom w:val="0"/>
                  <w:divBdr>
                    <w:top w:val="none" w:sz="0" w:space="0" w:color="auto"/>
                    <w:left w:val="none" w:sz="0" w:space="0" w:color="auto"/>
                    <w:bottom w:val="none" w:sz="0" w:space="0" w:color="auto"/>
                    <w:right w:val="none" w:sz="0" w:space="0" w:color="auto"/>
                  </w:divBdr>
                  <w:divsChild>
                    <w:div w:id="811409969">
                      <w:marLeft w:val="0"/>
                      <w:marRight w:val="0"/>
                      <w:marTop w:val="0"/>
                      <w:marBottom w:val="0"/>
                      <w:divBdr>
                        <w:top w:val="none" w:sz="0" w:space="0" w:color="auto"/>
                        <w:left w:val="none" w:sz="0" w:space="0" w:color="auto"/>
                        <w:bottom w:val="none" w:sz="0" w:space="0" w:color="auto"/>
                        <w:right w:val="none" w:sz="0" w:space="0" w:color="auto"/>
                      </w:divBdr>
                      <w:divsChild>
                        <w:div w:id="1549222244">
                          <w:marLeft w:val="0"/>
                          <w:marRight w:val="0"/>
                          <w:marTop w:val="0"/>
                          <w:marBottom w:val="0"/>
                          <w:divBdr>
                            <w:top w:val="none" w:sz="0" w:space="0" w:color="auto"/>
                            <w:left w:val="none" w:sz="0" w:space="0" w:color="auto"/>
                            <w:bottom w:val="none" w:sz="0" w:space="0" w:color="auto"/>
                            <w:right w:val="none" w:sz="0" w:space="0" w:color="auto"/>
                          </w:divBdr>
                          <w:divsChild>
                            <w:div w:id="831138644">
                              <w:marLeft w:val="0"/>
                              <w:marRight w:val="0"/>
                              <w:marTop w:val="0"/>
                              <w:marBottom w:val="0"/>
                              <w:divBdr>
                                <w:top w:val="none" w:sz="0" w:space="0" w:color="auto"/>
                                <w:left w:val="none" w:sz="0" w:space="0" w:color="auto"/>
                                <w:bottom w:val="none" w:sz="0" w:space="0" w:color="auto"/>
                                <w:right w:val="none" w:sz="0" w:space="0" w:color="auto"/>
                              </w:divBdr>
                              <w:divsChild>
                                <w:div w:id="1096943241">
                                  <w:marLeft w:val="0"/>
                                  <w:marRight w:val="0"/>
                                  <w:marTop w:val="0"/>
                                  <w:marBottom w:val="0"/>
                                  <w:divBdr>
                                    <w:top w:val="none" w:sz="0" w:space="0" w:color="auto"/>
                                    <w:left w:val="none" w:sz="0" w:space="0" w:color="auto"/>
                                    <w:bottom w:val="none" w:sz="0" w:space="0" w:color="auto"/>
                                    <w:right w:val="none" w:sz="0" w:space="0" w:color="auto"/>
                                  </w:divBdr>
                                  <w:divsChild>
                                    <w:div w:id="51924168">
                                      <w:marLeft w:val="0"/>
                                      <w:marRight w:val="0"/>
                                      <w:marTop w:val="0"/>
                                      <w:marBottom w:val="0"/>
                                      <w:divBdr>
                                        <w:top w:val="none" w:sz="0" w:space="0" w:color="auto"/>
                                        <w:left w:val="none" w:sz="0" w:space="0" w:color="auto"/>
                                        <w:bottom w:val="none" w:sz="0" w:space="0" w:color="auto"/>
                                        <w:right w:val="none" w:sz="0" w:space="0" w:color="auto"/>
                                      </w:divBdr>
                                      <w:divsChild>
                                        <w:div w:id="60369005">
                                          <w:marLeft w:val="0"/>
                                          <w:marRight w:val="0"/>
                                          <w:marTop w:val="0"/>
                                          <w:marBottom w:val="0"/>
                                          <w:divBdr>
                                            <w:top w:val="none" w:sz="0" w:space="0" w:color="auto"/>
                                            <w:left w:val="none" w:sz="0" w:space="0" w:color="auto"/>
                                            <w:bottom w:val="none" w:sz="0" w:space="0" w:color="auto"/>
                                            <w:right w:val="none" w:sz="0" w:space="0" w:color="auto"/>
                                          </w:divBdr>
                                          <w:divsChild>
                                            <w:div w:id="1444417604">
                                              <w:marLeft w:val="0"/>
                                              <w:marRight w:val="0"/>
                                              <w:marTop w:val="0"/>
                                              <w:marBottom w:val="0"/>
                                              <w:divBdr>
                                                <w:top w:val="none" w:sz="0" w:space="0" w:color="auto"/>
                                                <w:left w:val="none" w:sz="0" w:space="0" w:color="auto"/>
                                                <w:bottom w:val="none" w:sz="0" w:space="0" w:color="auto"/>
                                                <w:right w:val="none" w:sz="0" w:space="0" w:color="auto"/>
                                              </w:divBdr>
                                              <w:divsChild>
                                                <w:div w:id="6044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394851">
      <w:bodyDiv w:val="1"/>
      <w:marLeft w:val="0"/>
      <w:marRight w:val="0"/>
      <w:marTop w:val="0"/>
      <w:marBottom w:val="0"/>
      <w:divBdr>
        <w:top w:val="none" w:sz="0" w:space="0" w:color="auto"/>
        <w:left w:val="none" w:sz="0" w:space="0" w:color="auto"/>
        <w:bottom w:val="none" w:sz="0" w:space="0" w:color="auto"/>
        <w:right w:val="none" w:sz="0" w:space="0" w:color="auto"/>
      </w:divBdr>
      <w:divsChild>
        <w:div w:id="1988629948">
          <w:marLeft w:val="0"/>
          <w:marRight w:val="0"/>
          <w:marTop w:val="0"/>
          <w:marBottom w:val="0"/>
          <w:divBdr>
            <w:top w:val="none" w:sz="0" w:space="0" w:color="auto"/>
            <w:left w:val="none" w:sz="0" w:space="0" w:color="auto"/>
            <w:bottom w:val="none" w:sz="0" w:space="0" w:color="auto"/>
            <w:right w:val="none" w:sz="0" w:space="0" w:color="auto"/>
          </w:divBdr>
          <w:divsChild>
            <w:div w:id="1206331434">
              <w:marLeft w:val="0"/>
              <w:marRight w:val="0"/>
              <w:marTop w:val="0"/>
              <w:marBottom w:val="0"/>
              <w:divBdr>
                <w:top w:val="none" w:sz="0" w:space="0" w:color="auto"/>
                <w:left w:val="none" w:sz="0" w:space="0" w:color="auto"/>
                <w:bottom w:val="none" w:sz="0" w:space="0" w:color="auto"/>
                <w:right w:val="none" w:sz="0" w:space="0" w:color="auto"/>
              </w:divBdr>
              <w:divsChild>
                <w:div w:id="397090953">
                  <w:marLeft w:val="0"/>
                  <w:marRight w:val="0"/>
                  <w:marTop w:val="0"/>
                  <w:marBottom w:val="0"/>
                  <w:divBdr>
                    <w:top w:val="none" w:sz="0" w:space="0" w:color="auto"/>
                    <w:left w:val="none" w:sz="0" w:space="0" w:color="auto"/>
                    <w:bottom w:val="none" w:sz="0" w:space="0" w:color="auto"/>
                    <w:right w:val="none" w:sz="0" w:space="0" w:color="auto"/>
                  </w:divBdr>
                  <w:divsChild>
                    <w:div w:id="1905215744">
                      <w:marLeft w:val="0"/>
                      <w:marRight w:val="0"/>
                      <w:marTop w:val="0"/>
                      <w:marBottom w:val="0"/>
                      <w:divBdr>
                        <w:top w:val="none" w:sz="0" w:space="0" w:color="auto"/>
                        <w:left w:val="none" w:sz="0" w:space="0" w:color="auto"/>
                        <w:bottom w:val="none" w:sz="0" w:space="0" w:color="auto"/>
                        <w:right w:val="none" w:sz="0" w:space="0" w:color="auto"/>
                      </w:divBdr>
                      <w:divsChild>
                        <w:div w:id="2024818295">
                          <w:marLeft w:val="0"/>
                          <w:marRight w:val="0"/>
                          <w:marTop w:val="0"/>
                          <w:marBottom w:val="0"/>
                          <w:divBdr>
                            <w:top w:val="none" w:sz="0" w:space="0" w:color="auto"/>
                            <w:left w:val="none" w:sz="0" w:space="0" w:color="auto"/>
                            <w:bottom w:val="none" w:sz="0" w:space="0" w:color="auto"/>
                            <w:right w:val="none" w:sz="0" w:space="0" w:color="auto"/>
                          </w:divBdr>
                          <w:divsChild>
                            <w:div w:id="711661122">
                              <w:marLeft w:val="0"/>
                              <w:marRight w:val="0"/>
                              <w:marTop w:val="0"/>
                              <w:marBottom w:val="0"/>
                              <w:divBdr>
                                <w:top w:val="none" w:sz="0" w:space="0" w:color="auto"/>
                                <w:left w:val="none" w:sz="0" w:space="0" w:color="auto"/>
                                <w:bottom w:val="none" w:sz="0" w:space="0" w:color="auto"/>
                                <w:right w:val="none" w:sz="0" w:space="0" w:color="auto"/>
                              </w:divBdr>
                              <w:divsChild>
                                <w:div w:id="750001972">
                                  <w:marLeft w:val="0"/>
                                  <w:marRight w:val="0"/>
                                  <w:marTop w:val="0"/>
                                  <w:marBottom w:val="0"/>
                                  <w:divBdr>
                                    <w:top w:val="none" w:sz="0" w:space="0" w:color="auto"/>
                                    <w:left w:val="none" w:sz="0" w:space="0" w:color="auto"/>
                                    <w:bottom w:val="none" w:sz="0" w:space="0" w:color="auto"/>
                                    <w:right w:val="none" w:sz="0" w:space="0" w:color="auto"/>
                                  </w:divBdr>
                                  <w:divsChild>
                                    <w:div w:id="1756248863">
                                      <w:marLeft w:val="0"/>
                                      <w:marRight w:val="0"/>
                                      <w:marTop w:val="0"/>
                                      <w:marBottom w:val="0"/>
                                      <w:divBdr>
                                        <w:top w:val="none" w:sz="0" w:space="0" w:color="auto"/>
                                        <w:left w:val="none" w:sz="0" w:space="0" w:color="auto"/>
                                        <w:bottom w:val="none" w:sz="0" w:space="0" w:color="auto"/>
                                        <w:right w:val="none" w:sz="0" w:space="0" w:color="auto"/>
                                      </w:divBdr>
                                      <w:divsChild>
                                        <w:div w:id="1531213732">
                                          <w:marLeft w:val="0"/>
                                          <w:marRight w:val="0"/>
                                          <w:marTop w:val="0"/>
                                          <w:marBottom w:val="0"/>
                                          <w:divBdr>
                                            <w:top w:val="none" w:sz="0" w:space="0" w:color="auto"/>
                                            <w:left w:val="none" w:sz="0" w:space="0" w:color="auto"/>
                                            <w:bottom w:val="none" w:sz="0" w:space="0" w:color="auto"/>
                                            <w:right w:val="none" w:sz="0" w:space="0" w:color="auto"/>
                                          </w:divBdr>
                                          <w:divsChild>
                                            <w:div w:id="583875197">
                                              <w:marLeft w:val="0"/>
                                              <w:marRight w:val="0"/>
                                              <w:marTop w:val="0"/>
                                              <w:marBottom w:val="0"/>
                                              <w:divBdr>
                                                <w:top w:val="none" w:sz="0" w:space="0" w:color="auto"/>
                                                <w:left w:val="none" w:sz="0" w:space="0" w:color="auto"/>
                                                <w:bottom w:val="none" w:sz="0" w:space="0" w:color="auto"/>
                                                <w:right w:val="none" w:sz="0" w:space="0" w:color="auto"/>
                                              </w:divBdr>
                                              <w:divsChild>
                                                <w:div w:id="2092000691">
                                                  <w:marLeft w:val="0"/>
                                                  <w:marRight w:val="0"/>
                                                  <w:marTop w:val="0"/>
                                                  <w:marBottom w:val="0"/>
                                                  <w:divBdr>
                                                    <w:top w:val="none" w:sz="0" w:space="0" w:color="auto"/>
                                                    <w:left w:val="none" w:sz="0" w:space="0" w:color="auto"/>
                                                    <w:bottom w:val="none" w:sz="0" w:space="0" w:color="auto"/>
                                                    <w:right w:val="none" w:sz="0" w:space="0" w:color="auto"/>
                                                  </w:divBdr>
                                                  <w:divsChild>
                                                    <w:div w:id="1408917277">
                                                      <w:marLeft w:val="0"/>
                                                      <w:marRight w:val="0"/>
                                                      <w:marTop w:val="0"/>
                                                      <w:marBottom w:val="0"/>
                                                      <w:divBdr>
                                                        <w:top w:val="none" w:sz="0" w:space="0" w:color="auto"/>
                                                        <w:left w:val="none" w:sz="0" w:space="0" w:color="auto"/>
                                                        <w:bottom w:val="none" w:sz="0" w:space="0" w:color="auto"/>
                                                        <w:right w:val="none" w:sz="0" w:space="0" w:color="auto"/>
                                                      </w:divBdr>
                                                      <w:divsChild>
                                                        <w:div w:id="2037848162">
                                                          <w:marLeft w:val="0"/>
                                                          <w:marRight w:val="0"/>
                                                          <w:marTop w:val="0"/>
                                                          <w:marBottom w:val="0"/>
                                                          <w:divBdr>
                                                            <w:top w:val="none" w:sz="0" w:space="0" w:color="auto"/>
                                                            <w:left w:val="none" w:sz="0" w:space="0" w:color="auto"/>
                                                            <w:bottom w:val="none" w:sz="0" w:space="0" w:color="auto"/>
                                                            <w:right w:val="none" w:sz="0" w:space="0" w:color="auto"/>
                                                          </w:divBdr>
                                                        </w:div>
                                                        <w:div w:id="1707363866">
                                                          <w:marLeft w:val="0"/>
                                                          <w:marRight w:val="0"/>
                                                          <w:marTop w:val="0"/>
                                                          <w:marBottom w:val="0"/>
                                                          <w:divBdr>
                                                            <w:top w:val="none" w:sz="0" w:space="0" w:color="auto"/>
                                                            <w:left w:val="none" w:sz="0" w:space="0" w:color="auto"/>
                                                            <w:bottom w:val="none" w:sz="0" w:space="0" w:color="auto"/>
                                                            <w:right w:val="none" w:sz="0" w:space="0" w:color="auto"/>
                                                          </w:divBdr>
                                                          <w:divsChild>
                                                            <w:div w:id="2820084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2398035">
      <w:bodyDiv w:val="1"/>
      <w:marLeft w:val="0"/>
      <w:marRight w:val="0"/>
      <w:marTop w:val="0"/>
      <w:marBottom w:val="0"/>
      <w:divBdr>
        <w:top w:val="none" w:sz="0" w:space="0" w:color="auto"/>
        <w:left w:val="none" w:sz="0" w:space="0" w:color="auto"/>
        <w:bottom w:val="none" w:sz="0" w:space="0" w:color="auto"/>
        <w:right w:val="none" w:sz="0" w:space="0" w:color="auto"/>
      </w:divBdr>
    </w:div>
    <w:div w:id="1253320773">
      <w:bodyDiv w:val="1"/>
      <w:marLeft w:val="0"/>
      <w:marRight w:val="0"/>
      <w:marTop w:val="0"/>
      <w:marBottom w:val="0"/>
      <w:divBdr>
        <w:top w:val="none" w:sz="0" w:space="0" w:color="auto"/>
        <w:left w:val="none" w:sz="0" w:space="0" w:color="auto"/>
        <w:bottom w:val="none" w:sz="0" w:space="0" w:color="auto"/>
        <w:right w:val="none" w:sz="0" w:space="0" w:color="auto"/>
      </w:divBdr>
    </w:div>
    <w:div w:id="1254241130">
      <w:bodyDiv w:val="1"/>
      <w:marLeft w:val="0"/>
      <w:marRight w:val="0"/>
      <w:marTop w:val="0"/>
      <w:marBottom w:val="0"/>
      <w:divBdr>
        <w:top w:val="none" w:sz="0" w:space="0" w:color="auto"/>
        <w:left w:val="none" w:sz="0" w:space="0" w:color="auto"/>
        <w:bottom w:val="none" w:sz="0" w:space="0" w:color="auto"/>
        <w:right w:val="none" w:sz="0" w:space="0" w:color="auto"/>
      </w:divBdr>
      <w:divsChild>
        <w:div w:id="2023779511">
          <w:marLeft w:val="0"/>
          <w:marRight w:val="0"/>
          <w:marTop w:val="0"/>
          <w:marBottom w:val="0"/>
          <w:divBdr>
            <w:top w:val="none" w:sz="0" w:space="0" w:color="auto"/>
            <w:left w:val="none" w:sz="0" w:space="0" w:color="auto"/>
            <w:bottom w:val="none" w:sz="0" w:space="0" w:color="auto"/>
            <w:right w:val="none" w:sz="0" w:space="0" w:color="auto"/>
          </w:divBdr>
          <w:divsChild>
            <w:div w:id="12461205">
              <w:marLeft w:val="0"/>
              <w:marRight w:val="0"/>
              <w:marTop w:val="0"/>
              <w:marBottom w:val="0"/>
              <w:divBdr>
                <w:top w:val="none" w:sz="0" w:space="0" w:color="auto"/>
                <w:left w:val="none" w:sz="0" w:space="0" w:color="auto"/>
                <w:bottom w:val="none" w:sz="0" w:space="0" w:color="auto"/>
                <w:right w:val="none" w:sz="0" w:space="0" w:color="auto"/>
              </w:divBdr>
              <w:divsChild>
                <w:div w:id="2062363304">
                  <w:marLeft w:val="0"/>
                  <w:marRight w:val="0"/>
                  <w:marTop w:val="0"/>
                  <w:marBottom w:val="0"/>
                  <w:divBdr>
                    <w:top w:val="none" w:sz="0" w:space="0" w:color="auto"/>
                    <w:left w:val="none" w:sz="0" w:space="0" w:color="auto"/>
                    <w:bottom w:val="none" w:sz="0" w:space="0" w:color="auto"/>
                    <w:right w:val="none" w:sz="0" w:space="0" w:color="auto"/>
                  </w:divBdr>
                  <w:divsChild>
                    <w:div w:id="784234631">
                      <w:marLeft w:val="0"/>
                      <w:marRight w:val="0"/>
                      <w:marTop w:val="0"/>
                      <w:marBottom w:val="0"/>
                      <w:divBdr>
                        <w:top w:val="none" w:sz="0" w:space="0" w:color="auto"/>
                        <w:left w:val="none" w:sz="0" w:space="0" w:color="auto"/>
                        <w:bottom w:val="none" w:sz="0" w:space="0" w:color="auto"/>
                        <w:right w:val="none" w:sz="0" w:space="0" w:color="auto"/>
                      </w:divBdr>
                      <w:divsChild>
                        <w:div w:id="990213233">
                          <w:marLeft w:val="0"/>
                          <w:marRight w:val="0"/>
                          <w:marTop w:val="0"/>
                          <w:marBottom w:val="0"/>
                          <w:divBdr>
                            <w:top w:val="none" w:sz="0" w:space="0" w:color="auto"/>
                            <w:left w:val="none" w:sz="0" w:space="0" w:color="auto"/>
                            <w:bottom w:val="none" w:sz="0" w:space="0" w:color="auto"/>
                            <w:right w:val="none" w:sz="0" w:space="0" w:color="auto"/>
                          </w:divBdr>
                          <w:divsChild>
                            <w:div w:id="606041101">
                              <w:marLeft w:val="0"/>
                              <w:marRight w:val="0"/>
                              <w:marTop w:val="0"/>
                              <w:marBottom w:val="0"/>
                              <w:divBdr>
                                <w:top w:val="none" w:sz="0" w:space="0" w:color="auto"/>
                                <w:left w:val="none" w:sz="0" w:space="0" w:color="auto"/>
                                <w:bottom w:val="none" w:sz="0" w:space="0" w:color="auto"/>
                                <w:right w:val="none" w:sz="0" w:space="0" w:color="auto"/>
                              </w:divBdr>
                              <w:divsChild>
                                <w:div w:id="960501679">
                                  <w:marLeft w:val="0"/>
                                  <w:marRight w:val="0"/>
                                  <w:marTop w:val="0"/>
                                  <w:marBottom w:val="0"/>
                                  <w:divBdr>
                                    <w:top w:val="none" w:sz="0" w:space="0" w:color="auto"/>
                                    <w:left w:val="none" w:sz="0" w:space="0" w:color="auto"/>
                                    <w:bottom w:val="none" w:sz="0" w:space="0" w:color="auto"/>
                                    <w:right w:val="none" w:sz="0" w:space="0" w:color="auto"/>
                                  </w:divBdr>
                                  <w:divsChild>
                                    <w:div w:id="853156224">
                                      <w:marLeft w:val="0"/>
                                      <w:marRight w:val="0"/>
                                      <w:marTop w:val="0"/>
                                      <w:marBottom w:val="0"/>
                                      <w:divBdr>
                                        <w:top w:val="none" w:sz="0" w:space="0" w:color="auto"/>
                                        <w:left w:val="none" w:sz="0" w:space="0" w:color="auto"/>
                                        <w:bottom w:val="none" w:sz="0" w:space="0" w:color="auto"/>
                                        <w:right w:val="none" w:sz="0" w:space="0" w:color="auto"/>
                                      </w:divBdr>
                                      <w:divsChild>
                                        <w:div w:id="349068302">
                                          <w:marLeft w:val="0"/>
                                          <w:marRight w:val="0"/>
                                          <w:marTop w:val="0"/>
                                          <w:marBottom w:val="0"/>
                                          <w:divBdr>
                                            <w:top w:val="none" w:sz="0" w:space="0" w:color="auto"/>
                                            <w:left w:val="none" w:sz="0" w:space="0" w:color="auto"/>
                                            <w:bottom w:val="none" w:sz="0" w:space="0" w:color="auto"/>
                                            <w:right w:val="none" w:sz="0" w:space="0" w:color="auto"/>
                                          </w:divBdr>
                                          <w:divsChild>
                                            <w:div w:id="659967646">
                                              <w:marLeft w:val="0"/>
                                              <w:marRight w:val="0"/>
                                              <w:marTop w:val="0"/>
                                              <w:marBottom w:val="0"/>
                                              <w:divBdr>
                                                <w:top w:val="none" w:sz="0" w:space="0" w:color="auto"/>
                                                <w:left w:val="none" w:sz="0" w:space="0" w:color="auto"/>
                                                <w:bottom w:val="none" w:sz="0" w:space="0" w:color="auto"/>
                                                <w:right w:val="none" w:sz="0" w:space="0" w:color="auto"/>
                                              </w:divBdr>
                                              <w:divsChild>
                                                <w:div w:id="1420908014">
                                                  <w:marLeft w:val="0"/>
                                                  <w:marRight w:val="0"/>
                                                  <w:marTop w:val="0"/>
                                                  <w:marBottom w:val="0"/>
                                                  <w:divBdr>
                                                    <w:top w:val="none" w:sz="0" w:space="0" w:color="auto"/>
                                                    <w:left w:val="none" w:sz="0" w:space="0" w:color="auto"/>
                                                    <w:bottom w:val="none" w:sz="0" w:space="0" w:color="auto"/>
                                                    <w:right w:val="none" w:sz="0" w:space="0" w:color="auto"/>
                                                  </w:divBdr>
                                                  <w:divsChild>
                                                    <w:div w:id="46536130">
                                                      <w:marLeft w:val="0"/>
                                                      <w:marRight w:val="0"/>
                                                      <w:marTop w:val="0"/>
                                                      <w:marBottom w:val="0"/>
                                                      <w:divBdr>
                                                        <w:top w:val="none" w:sz="0" w:space="0" w:color="auto"/>
                                                        <w:left w:val="none" w:sz="0" w:space="0" w:color="auto"/>
                                                        <w:bottom w:val="none" w:sz="0" w:space="0" w:color="auto"/>
                                                        <w:right w:val="none" w:sz="0" w:space="0" w:color="auto"/>
                                                      </w:divBdr>
                                                      <w:divsChild>
                                                        <w:div w:id="441267255">
                                                          <w:marLeft w:val="0"/>
                                                          <w:marRight w:val="0"/>
                                                          <w:marTop w:val="0"/>
                                                          <w:marBottom w:val="0"/>
                                                          <w:divBdr>
                                                            <w:top w:val="none" w:sz="0" w:space="0" w:color="auto"/>
                                                            <w:left w:val="none" w:sz="0" w:space="0" w:color="auto"/>
                                                            <w:bottom w:val="none" w:sz="0" w:space="0" w:color="auto"/>
                                                            <w:right w:val="none" w:sz="0" w:space="0" w:color="auto"/>
                                                          </w:divBdr>
                                                        </w:div>
                                                        <w:div w:id="947470991">
                                                          <w:marLeft w:val="0"/>
                                                          <w:marRight w:val="0"/>
                                                          <w:marTop w:val="0"/>
                                                          <w:marBottom w:val="0"/>
                                                          <w:divBdr>
                                                            <w:top w:val="none" w:sz="0" w:space="0" w:color="auto"/>
                                                            <w:left w:val="none" w:sz="0" w:space="0" w:color="auto"/>
                                                            <w:bottom w:val="none" w:sz="0" w:space="0" w:color="auto"/>
                                                            <w:right w:val="none" w:sz="0" w:space="0" w:color="auto"/>
                                                          </w:divBdr>
                                                          <w:divsChild>
                                                            <w:div w:id="1083450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978029">
      <w:bodyDiv w:val="1"/>
      <w:marLeft w:val="0"/>
      <w:marRight w:val="0"/>
      <w:marTop w:val="0"/>
      <w:marBottom w:val="0"/>
      <w:divBdr>
        <w:top w:val="none" w:sz="0" w:space="0" w:color="auto"/>
        <w:left w:val="none" w:sz="0" w:space="0" w:color="auto"/>
        <w:bottom w:val="none" w:sz="0" w:space="0" w:color="auto"/>
        <w:right w:val="none" w:sz="0" w:space="0" w:color="auto"/>
      </w:divBdr>
      <w:divsChild>
        <w:div w:id="1104614340">
          <w:marLeft w:val="0"/>
          <w:marRight w:val="0"/>
          <w:marTop w:val="0"/>
          <w:marBottom w:val="0"/>
          <w:divBdr>
            <w:top w:val="none" w:sz="0" w:space="0" w:color="auto"/>
            <w:left w:val="none" w:sz="0" w:space="0" w:color="auto"/>
            <w:bottom w:val="none" w:sz="0" w:space="0" w:color="auto"/>
            <w:right w:val="none" w:sz="0" w:space="0" w:color="auto"/>
          </w:divBdr>
          <w:divsChild>
            <w:div w:id="2107918096">
              <w:marLeft w:val="0"/>
              <w:marRight w:val="0"/>
              <w:marTop w:val="0"/>
              <w:marBottom w:val="0"/>
              <w:divBdr>
                <w:top w:val="none" w:sz="0" w:space="0" w:color="auto"/>
                <w:left w:val="none" w:sz="0" w:space="0" w:color="auto"/>
                <w:bottom w:val="none" w:sz="0" w:space="0" w:color="auto"/>
                <w:right w:val="none" w:sz="0" w:space="0" w:color="auto"/>
              </w:divBdr>
              <w:divsChild>
                <w:div w:id="776874350">
                  <w:marLeft w:val="0"/>
                  <w:marRight w:val="0"/>
                  <w:marTop w:val="0"/>
                  <w:marBottom w:val="0"/>
                  <w:divBdr>
                    <w:top w:val="none" w:sz="0" w:space="0" w:color="auto"/>
                    <w:left w:val="none" w:sz="0" w:space="0" w:color="auto"/>
                    <w:bottom w:val="none" w:sz="0" w:space="0" w:color="auto"/>
                    <w:right w:val="none" w:sz="0" w:space="0" w:color="auto"/>
                  </w:divBdr>
                  <w:divsChild>
                    <w:div w:id="1386560040">
                      <w:marLeft w:val="0"/>
                      <w:marRight w:val="0"/>
                      <w:marTop w:val="0"/>
                      <w:marBottom w:val="0"/>
                      <w:divBdr>
                        <w:top w:val="none" w:sz="0" w:space="0" w:color="auto"/>
                        <w:left w:val="none" w:sz="0" w:space="0" w:color="auto"/>
                        <w:bottom w:val="none" w:sz="0" w:space="0" w:color="auto"/>
                        <w:right w:val="none" w:sz="0" w:space="0" w:color="auto"/>
                      </w:divBdr>
                      <w:divsChild>
                        <w:div w:id="31076754">
                          <w:marLeft w:val="0"/>
                          <w:marRight w:val="0"/>
                          <w:marTop w:val="0"/>
                          <w:marBottom w:val="0"/>
                          <w:divBdr>
                            <w:top w:val="none" w:sz="0" w:space="0" w:color="auto"/>
                            <w:left w:val="none" w:sz="0" w:space="0" w:color="auto"/>
                            <w:bottom w:val="none" w:sz="0" w:space="0" w:color="auto"/>
                            <w:right w:val="none" w:sz="0" w:space="0" w:color="auto"/>
                          </w:divBdr>
                          <w:divsChild>
                            <w:div w:id="534461507">
                              <w:marLeft w:val="0"/>
                              <w:marRight w:val="0"/>
                              <w:marTop w:val="0"/>
                              <w:marBottom w:val="0"/>
                              <w:divBdr>
                                <w:top w:val="none" w:sz="0" w:space="0" w:color="auto"/>
                                <w:left w:val="none" w:sz="0" w:space="0" w:color="auto"/>
                                <w:bottom w:val="none" w:sz="0" w:space="0" w:color="auto"/>
                                <w:right w:val="none" w:sz="0" w:space="0" w:color="auto"/>
                              </w:divBdr>
                              <w:divsChild>
                                <w:div w:id="1749578174">
                                  <w:marLeft w:val="0"/>
                                  <w:marRight w:val="0"/>
                                  <w:marTop w:val="0"/>
                                  <w:marBottom w:val="0"/>
                                  <w:divBdr>
                                    <w:top w:val="none" w:sz="0" w:space="0" w:color="auto"/>
                                    <w:left w:val="none" w:sz="0" w:space="0" w:color="auto"/>
                                    <w:bottom w:val="none" w:sz="0" w:space="0" w:color="auto"/>
                                    <w:right w:val="none" w:sz="0" w:space="0" w:color="auto"/>
                                  </w:divBdr>
                                  <w:divsChild>
                                    <w:div w:id="1453279790">
                                      <w:marLeft w:val="0"/>
                                      <w:marRight w:val="0"/>
                                      <w:marTop w:val="0"/>
                                      <w:marBottom w:val="0"/>
                                      <w:divBdr>
                                        <w:top w:val="none" w:sz="0" w:space="0" w:color="auto"/>
                                        <w:left w:val="none" w:sz="0" w:space="0" w:color="auto"/>
                                        <w:bottom w:val="none" w:sz="0" w:space="0" w:color="auto"/>
                                        <w:right w:val="none" w:sz="0" w:space="0" w:color="auto"/>
                                      </w:divBdr>
                                      <w:divsChild>
                                        <w:div w:id="1039865566">
                                          <w:marLeft w:val="0"/>
                                          <w:marRight w:val="0"/>
                                          <w:marTop w:val="0"/>
                                          <w:marBottom w:val="0"/>
                                          <w:divBdr>
                                            <w:top w:val="none" w:sz="0" w:space="0" w:color="auto"/>
                                            <w:left w:val="none" w:sz="0" w:space="0" w:color="auto"/>
                                            <w:bottom w:val="none" w:sz="0" w:space="0" w:color="auto"/>
                                            <w:right w:val="none" w:sz="0" w:space="0" w:color="auto"/>
                                          </w:divBdr>
                                          <w:divsChild>
                                            <w:div w:id="1582906304">
                                              <w:marLeft w:val="0"/>
                                              <w:marRight w:val="0"/>
                                              <w:marTop w:val="0"/>
                                              <w:marBottom w:val="0"/>
                                              <w:divBdr>
                                                <w:top w:val="none" w:sz="0" w:space="0" w:color="auto"/>
                                                <w:left w:val="none" w:sz="0" w:space="0" w:color="auto"/>
                                                <w:bottom w:val="none" w:sz="0" w:space="0" w:color="auto"/>
                                                <w:right w:val="none" w:sz="0" w:space="0" w:color="auto"/>
                                              </w:divBdr>
                                              <w:divsChild>
                                                <w:div w:id="699015082">
                                                  <w:marLeft w:val="0"/>
                                                  <w:marRight w:val="0"/>
                                                  <w:marTop w:val="0"/>
                                                  <w:marBottom w:val="0"/>
                                                  <w:divBdr>
                                                    <w:top w:val="none" w:sz="0" w:space="0" w:color="auto"/>
                                                    <w:left w:val="none" w:sz="0" w:space="0" w:color="auto"/>
                                                    <w:bottom w:val="none" w:sz="0" w:space="0" w:color="auto"/>
                                                    <w:right w:val="none" w:sz="0" w:space="0" w:color="auto"/>
                                                  </w:divBdr>
                                                  <w:divsChild>
                                                    <w:div w:id="766924680">
                                                      <w:marLeft w:val="0"/>
                                                      <w:marRight w:val="0"/>
                                                      <w:marTop w:val="0"/>
                                                      <w:marBottom w:val="0"/>
                                                      <w:divBdr>
                                                        <w:top w:val="none" w:sz="0" w:space="0" w:color="auto"/>
                                                        <w:left w:val="none" w:sz="0" w:space="0" w:color="auto"/>
                                                        <w:bottom w:val="none" w:sz="0" w:space="0" w:color="auto"/>
                                                        <w:right w:val="none" w:sz="0" w:space="0" w:color="auto"/>
                                                      </w:divBdr>
                                                      <w:divsChild>
                                                        <w:div w:id="16177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9174299">
      <w:bodyDiv w:val="1"/>
      <w:marLeft w:val="300"/>
      <w:marRight w:val="300"/>
      <w:marTop w:val="0"/>
      <w:marBottom w:val="0"/>
      <w:divBdr>
        <w:top w:val="none" w:sz="0" w:space="0" w:color="auto"/>
        <w:left w:val="none" w:sz="0" w:space="0" w:color="auto"/>
        <w:bottom w:val="none" w:sz="0" w:space="0" w:color="auto"/>
        <w:right w:val="none" w:sz="0" w:space="0" w:color="auto"/>
      </w:divBdr>
      <w:divsChild>
        <w:div w:id="885947346">
          <w:marLeft w:val="0"/>
          <w:marRight w:val="0"/>
          <w:marTop w:val="0"/>
          <w:marBottom w:val="0"/>
          <w:divBdr>
            <w:top w:val="none" w:sz="0" w:space="0" w:color="auto"/>
            <w:left w:val="none" w:sz="0" w:space="0" w:color="auto"/>
            <w:bottom w:val="none" w:sz="0" w:space="0" w:color="auto"/>
            <w:right w:val="none" w:sz="0" w:space="0" w:color="auto"/>
          </w:divBdr>
          <w:divsChild>
            <w:div w:id="103574387">
              <w:marLeft w:val="0"/>
              <w:marRight w:val="0"/>
              <w:marTop w:val="0"/>
              <w:marBottom w:val="0"/>
              <w:divBdr>
                <w:top w:val="none" w:sz="0" w:space="0" w:color="auto"/>
                <w:left w:val="none" w:sz="0" w:space="0" w:color="auto"/>
                <w:bottom w:val="none" w:sz="0" w:space="0" w:color="auto"/>
                <w:right w:val="none" w:sz="0" w:space="0" w:color="auto"/>
              </w:divBdr>
              <w:divsChild>
                <w:div w:id="1996954399">
                  <w:marLeft w:val="0"/>
                  <w:marRight w:val="0"/>
                  <w:marTop w:val="0"/>
                  <w:marBottom w:val="0"/>
                  <w:divBdr>
                    <w:top w:val="none" w:sz="0" w:space="0" w:color="auto"/>
                    <w:left w:val="none" w:sz="0" w:space="0" w:color="auto"/>
                    <w:bottom w:val="none" w:sz="0" w:space="0" w:color="auto"/>
                    <w:right w:val="none" w:sz="0" w:space="0" w:color="auto"/>
                  </w:divBdr>
                  <w:divsChild>
                    <w:div w:id="2068914241">
                      <w:marLeft w:val="0"/>
                      <w:marRight w:val="0"/>
                      <w:marTop w:val="0"/>
                      <w:marBottom w:val="0"/>
                      <w:divBdr>
                        <w:top w:val="none" w:sz="0" w:space="0" w:color="auto"/>
                        <w:left w:val="none" w:sz="0" w:space="0" w:color="auto"/>
                        <w:bottom w:val="none" w:sz="0" w:space="0" w:color="auto"/>
                        <w:right w:val="none" w:sz="0" w:space="0" w:color="auto"/>
                      </w:divBdr>
                      <w:divsChild>
                        <w:div w:id="234362074">
                          <w:marLeft w:val="0"/>
                          <w:marRight w:val="0"/>
                          <w:marTop w:val="0"/>
                          <w:marBottom w:val="0"/>
                          <w:divBdr>
                            <w:top w:val="none" w:sz="0" w:space="0" w:color="auto"/>
                            <w:left w:val="none" w:sz="0" w:space="0" w:color="auto"/>
                            <w:bottom w:val="none" w:sz="0" w:space="0" w:color="auto"/>
                            <w:right w:val="none" w:sz="0" w:space="0" w:color="auto"/>
                          </w:divBdr>
                          <w:divsChild>
                            <w:div w:id="63652997">
                              <w:marLeft w:val="0"/>
                              <w:marRight w:val="0"/>
                              <w:marTop w:val="0"/>
                              <w:marBottom w:val="12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817303578">
                                  <w:marLeft w:val="0"/>
                                  <w:marRight w:val="0"/>
                                  <w:marTop w:val="0"/>
                                  <w:marBottom w:val="0"/>
                                  <w:divBdr>
                                    <w:top w:val="none" w:sz="0" w:space="0" w:color="auto"/>
                                    <w:left w:val="none" w:sz="0" w:space="0" w:color="auto"/>
                                    <w:bottom w:val="none" w:sz="0" w:space="0" w:color="auto"/>
                                    <w:right w:val="none" w:sz="0" w:space="0" w:color="auto"/>
                                  </w:divBdr>
                                </w:div>
                                <w:div w:id="1274020708">
                                  <w:marLeft w:val="0"/>
                                  <w:marRight w:val="0"/>
                                  <w:marTop w:val="0"/>
                                  <w:marBottom w:val="0"/>
                                  <w:divBdr>
                                    <w:top w:val="none" w:sz="0" w:space="0" w:color="auto"/>
                                    <w:left w:val="none" w:sz="0" w:space="0" w:color="auto"/>
                                    <w:bottom w:val="none" w:sz="0" w:space="0" w:color="auto"/>
                                    <w:right w:val="none" w:sz="0" w:space="0" w:color="auto"/>
                                  </w:divBdr>
                                </w:div>
                              </w:divsChild>
                            </w:div>
                            <w:div w:id="29961677">
                              <w:marLeft w:val="0"/>
                              <w:marRight w:val="0"/>
                              <w:marTop w:val="0"/>
                              <w:marBottom w:val="0"/>
                              <w:divBdr>
                                <w:top w:val="none" w:sz="0" w:space="0" w:color="auto"/>
                                <w:left w:val="none" w:sz="0" w:space="0" w:color="auto"/>
                                <w:bottom w:val="none" w:sz="0" w:space="0" w:color="auto"/>
                                <w:right w:val="none" w:sz="0" w:space="0" w:color="auto"/>
                              </w:divBdr>
                              <w:divsChild>
                                <w:div w:id="708184018">
                                  <w:marLeft w:val="0"/>
                                  <w:marRight w:val="0"/>
                                  <w:marTop w:val="0"/>
                                  <w:marBottom w:val="0"/>
                                  <w:divBdr>
                                    <w:top w:val="none" w:sz="0" w:space="0" w:color="auto"/>
                                    <w:left w:val="none" w:sz="0" w:space="0" w:color="auto"/>
                                    <w:bottom w:val="none" w:sz="0" w:space="0" w:color="auto"/>
                                    <w:right w:val="none" w:sz="0" w:space="0" w:color="auto"/>
                                  </w:divBdr>
                                </w:div>
                              </w:divsChild>
                            </w:div>
                            <w:div w:id="1183284088">
                              <w:marLeft w:val="0"/>
                              <w:marRight w:val="0"/>
                              <w:marTop w:val="0"/>
                              <w:marBottom w:val="0"/>
                              <w:divBdr>
                                <w:top w:val="none" w:sz="0" w:space="0" w:color="auto"/>
                                <w:left w:val="none" w:sz="0" w:space="0" w:color="auto"/>
                                <w:bottom w:val="none" w:sz="0" w:space="0" w:color="auto"/>
                                <w:right w:val="none" w:sz="0" w:space="0" w:color="auto"/>
                              </w:divBdr>
                              <w:divsChild>
                                <w:div w:id="996760741">
                                  <w:marLeft w:val="0"/>
                                  <w:marRight w:val="0"/>
                                  <w:marTop w:val="0"/>
                                  <w:marBottom w:val="0"/>
                                  <w:divBdr>
                                    <w:top w:val="none" w:sz="0" w:space="0" w:color="auto"/>
                                    <w:left w:val="none" w:sz="0" w:space="0" w:color="auto"/>
                                    <w:bottom w:val="none" w:sz="0" w:space="0" w:color="auto"/>
                                    <w:right w:val="none" w:sz="0" w:space="0" w:color="auto"/>
                                  </w:divBdr>
                                  <w:divsChild>
                                    <w:div w:id="14250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1751">
                              <w:marLeft w:val="0"/>
                              <w:marRight w:val="0"/>
                              <w:marTop w:val="0"/>
                              <w:marBottom w:val="0"/>
                              <w:divBdr>
                                <w:top w:val="none" w:sz="0" w:space="0" w:color="auto"/>
                                <w:left w:val="none" w:sz="0" w:space="0" w:color="auto"/>
                                <w:bottom w:val="none" w:sz="0" w:space="0" w:color="auto"/>
                                <w:right w:val="none" w:sz="0" w:space="0" w:color="auto"/>
                              </w:divBdr>
                              <w:divsChild>
                                <w:div w:id="17386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364944">
      <w:bodyDiv w:val="1"/>
      <w:marLeft w:val="0"/>
      <w:marRight w:val="0"/>
      <w:marTop w:val="0"/>
      <w:marBottom w:val="0"/>
      <w:divBdr>
        <w:top w:val="none" w:sz="0" w:space="0" w:color="auto"/>
        <w:left w:val="none" w:sz="0" w:space="0" w:color="auto"/>
        <w:bottom w:val="none" w:sz="0" w:space="0" w:color="auto"/>
        <w:right w:val="none" w:sz="0" w:space="0" w:color="auto"/>
      </w:divBdr>
      <w:divsChild>
        <w:div w:id="894509050">
          <w:marLeft w:val="0"/>
          <w:marRight w:val="0"/>
          <w:marTop w:val="0"/>
          <w:marBottom w:val="0"/>
          <w:divBdr>
            <w:top w:val="none" w:sz="0" w:space="0" w:color="auto"/>
            <w:left w:val="none" w:sz="0" w:space="0" w:color="auto"/>
            <w:bottom w:val="none" w:sz="0" w:space="0" w:color="auto"/>
            <w:right w:val="none" w:sz="0" w:space="0" w:color="auto"/>
          </w:divBdr>
          <w:divsChild>
            <w:div w:id="174461915">
              <w:marLeft w:val="0"/>
              <w:marRight w:val="0"/>
              <w:marTop w:val="0"/>
              <w:marBottom w:val="0"/>
              <w:divBdr>
                <w:top w:val="none" w:sz="0" w:space="0" w:color="auto"/>
                <w:left w:val="none" w:sz="0" w:space="0" w:color="auto"/>
                <w:bottom w:val="none" w:sz="0" w:space="0" w:color="auto"/>
                <w:right w:val="none" w:sz="0" w:space="0" w:color="auto"/>
              </w:divBdr>
              <w:divsChild>
                <w:div w:id="808205957">
                  <w:marLeft w:val="0"/>
                  <w:marRight w:val="0"/>
                  <w:marTop w:val="100"/>
                  <w:marBottom w:val="100"/>
                  <w:divBdr>
                    <w:top w:val="none" w:sz="0" w:space="0" w:color="auto"/>
                    <w:left w:val="none" w:sz="0" w:space="0" w:color="auto"/>
                    <w:bottom w:val="none" w:sz="0" w:space="0" w:color="auto"/>
                    <w:right w:val="none" w:sz="0" w:space="0" w:color="auto"/>
                  </w:divBdr>
                  <w:divsChild>
                    <w:div w:id="1407803737">
                      <w:marLeft w:val="0"/>
                      <w:marRight w:val="0"/>
                      <w:marTop w:val="0"/>
                      <w:marBottom w:val="0"/>
                      <w:divBdr>
                        <w:top w:val="none" w:sz="0" w:space="0" w:color="auto"/>
                        <w:left w:val="none" w:sz="0" w:space="0" w:color="auto"/>
                        <w:bottom w:val="none" w:sz="0" w:space="0" w:color="auto"/>
                        <w:right w:val="none" w:sz="0" w:space="0" w:color="auto"/>
                      </w:divBdr>
                      <w:divsChild>
                        <w:div w:id="1320772484">
                          <w:marLeft w:val="0"/>
                          <w:marRight w:val="0"/>
                          <w:marTop w:val="0"/>
                          <w:marBottom w:val="0"/>
                          <w:divBdr>
                            <w:top w:val="none" w:sz="0" w:space="0" w:color="auto"/>
                            <w:left w:val="none" w:sz="0" w:space="0" w:color="auto"/>
                            <w:bottom w:val="none" w:sz="0" w:space="0" w:color="auto"/>
                            <w:right w:val="none" w:sz="0" w:space="0" w:color="auto"/>
                          </w:divBdr>
                          <w:divsChild>
                            <w:div w:id="1520704889">
                              <w:marLeft w:val="0"/>
                              <w:marRight w:val="0"/>
                              <w:marTop w:val="0"/>
                              <w:marBottom w:val="0"/>
                              <w:divBdr>
                                <w:top w:val="none" w:sz="0" w:space="0" w:color="auto"/>
                                <w:left w:val="none" w:sz="0" w:space="0" w:color="auto"/>
                                <w:bottom w:val="none" w:sz="0" w:space="0" w:color="auto"/>
                                <w:right w:val="none" w:sz="0" w:space="0" w:color="auto"/>
                              </w:divBdr>
                              <w:divsChild>
                                <w:div w:id="1535725936">
                                  <w:marLeft w:val="0"/>
                                  <w:marRight w:val="0"/>
                                  <w:marTop w:val="0"/>
                                  <w:marBottom w:val="0"/>
                                  <w:divBdr>
                                    <w:top w:val="none" w:sz="0" w:space="0" w:color="auto"/>
                                    <w:left w:val="none" w:sz="0" w:space="0" w:color="auto"/>
                                    <w:bottom w:val="none" w:sz="0" w:space="0" w:color="auto"/>
                                    <w:right w:val="none" w:sz="0" w:space="0" w:color="auto"/>
                                  </w:divBdr>
                                  <w:divsChild>
                                    <w:div w:id="1432118134">
                                      <w:marLeft w:val="0"/>
                                      <w:marRight w:val="0"/>
                                      <w:marTop w:val="0"/>
                                      <w:marBottom w:val="0"/>
                                      <w:divBdr>
                                        <w:top w:val="none" w:sz="0" w:space="0" w:color="auto"/>
                                        <w:left w:val="none" w:sz="0" w:space="0" w:color="auto"/>
                                        <w:bottom w:val="none" w:sz="0" w:space="0" w:color="auto"/>
                                        <w:right w:val="none" w:sz="0" w:space="0" w:color="auto"/>
                                      </w:divBdr>
                                      <w:divsChild>
                                        <w:div w:id="1186334532">
                                          <w:marLeft w:val="0"/>
                                          <w:marRight w:val="0"/>
                                          <w:marTop w:val="0"/>
                                          <w:marBottom w:val="0"/>
                                          <w:divBdr>
                                            <w:top w:val="none" w:sz="0" w:space="0" w:color="auto"/>
                                            <w:left w:val="none" w:sz="0" w:space="0" w:color="auto"/>
                                            <w:bottom w:val="none" w:sz="0" w:space="0" w:color="auto"/>
                                            <w:right w:val="none" w:sz="0" w:space="0" w:color="auto"/>
                                          </w:divBdr>
                                          <w:divsChild>
                                            <w:div w:id="2080326202">
                                              <w:marLeft w:val="0"/>
                                              <w:marRight w:val="0"/>
                                              <w:marTop w:val="0"/>
                                              <w:marBottom w:val="0"/>
                                              <w:divBdr>
                                                <w:top w:val="single" w:sz="4" w:space="0" w:color="B6D444"/>
                                                <w:left w:val="none" w:sz="0" w:space="0" w:color="auto"/>
                                                <w:bottom w:val="none" w:sz="0" w:space="0" w:color="auto"/>
                                                <w:right w:val="none" w:sz="0" w:space="0" w:color="auto"/>
                                              </w:divBdr>
                                              <w:divsChild>
                                                <w:div w:id="19828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720393">
      <w:bodyDiv w:val="1"/>
      <w:marLeft w:val="0"/>
      <w:marRight w:val="0"/>
      <w:marTop w:val="0"/>
      <w:marBottom w:val="0"/>
      <w:divBdr>
        <w:top w:val="none" w:sz="0" w:space="0" w:color="auto"/>
        <w:left w:val="none" w:sz="0" w:space="0" w:color="auto"/>
        <w:bottom w:val="none" w:sz="0" w:space="0" w:color="auto"/>
        <w:right w:val="none" w:sz="0" w:space="0" w:color="auto"/>
      </w:divBdr>
      <w:divsChild>
        <w:div w:id="2067095714">
          <w:marLeft w:val="0"/>
          <w:marRight w:val="0"/>
          <w:marTop w:val="0"/>
          <w:marBottom w:val="0"/>
          <w:divBdr>
            <w:top w:val="single" w:sz="2" w:space="0" w:color="AAAAAA"/>
            <w:left w:val="single" w:sz="6" w:space="8" w:color="AAAAAA"/>
            <w:bottom w:val="single" w:sz="2" w:space="0" w:color="AAAAAA"/>
            <w:right w:val="single" w:sz="6" w:space="8" w:color="AAAAAA"/>
          </w:divBdr>
          <w:divsChild>
            <w:div w:id="1307390349">
              <w:marLeft w:val="0"/>
              <w:marRight w:val="0"/>
              <w:marTop w:val="0"/>
              <w:marBottom w:val="0"/>
              <w:divBdr>
                <w:top w:val="none" w:sz="0" w:space="0" w:color="auto"/>
                <w:left w:val="none" w:sz="0" w:space="0" w:color="auto"/>
                <w:bottom w:val="none" w:sz="0" w:space="0" w:color="auto"/>
                <w:right w:val="none" w:sz="0" w:space="0" w:color="auto"/>
              </w:divBdr>
              <w:divsChild>
                <w:div w:id="2110153296">
                  <w:marLeft w:val="0"/>
                  <w:marRight w:val="0"/>
                  <w:marTop w:val="0"/>
                  <w:marBottom w:val="0"/>
                  <w:divBdr>
                    <w:top w:val="none" w:sz="0" w:space="0" w:color="auto"/>
                    <w:left w:val="none" w:sz="0" w:space="0" w:color="auto"/>
                    <w:bottom w:val="none" w:sz="0" w:space="0" w:color="auto"/>
                    <w:right w:val="none" w:sz="0" w:space="0" w:color="auto"/>
                  </w:divBdr>
                  <w:divsChild>
                    <w:div w:id="1448114151">
                      <w:marLeft w:val="0"/>
                      <w:marRight w:val="2550"/>
                      <w:marTop w:val="0"/>
                      <w:marBottom w:val="48"/>
                      <w:divBdr>
                        <w:top w:val="none" w:sz="0" w:space="0" w:color="auto"/>
                        <w:left w:val="none" w:sz="0" w:space="0" w:color="auto"/>
                        <w:bottom w:val="none" w:sz="0" w:space="0" w:color="auto"/>
                        <w:right w:val="none" w:sz="0" w:space="0" w:color="auto"/>
                      </w:divBdr>
                      <w:divsChild>
                        <w:div w:id="1759523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61834418">
      <w:bodyDiv w:val="1"/>
      <w:marLeft w:val="0"/>
      <w:marRight w:val="0"/>
      <w:marTop w:val="0"/>
      <w:marBottom w:val="0"/>
      <w:divBdr>
        <w:top w:val="none" w:sz="0" w:space="0" w:color="auto"/>
        <w:left w:val="none" w:sz="0" w:space="0" w:color="auto"/>
        <w:bottom w:val="none" w:sz="0" w:space="0" w:color="auto"/>
        <w:right w:val="none" w:sz="0" w:space="0" w:color="auto"/>
      </w:divBdr>
      <w:divsChild>
        <w:div w:id="164369481">
          <w:marLeft w:val="0"/>
          <w:marRight w:val="0"/>
          <w:marTop w:val="0"/>
          <w:marBottom w:val="0"/>
          <w:divBdr>
            <w:top w:val="none" w:sz="0" w:space="0" w:color="auto"/>
            <w:left w:val="none" w:sz="0" w:space="0" w:color="auto"/>
            <w:bottom w:val="none" w:sz="0" w:space="0" w:color="auto"/>
            <w:right w:val="none" w:sz="0" w:space="0" w:color="auto"/>
          </w:divBdr>
        </w:div>
      </w:divsChild>
    </w:div>
    <w:div w:id="1262028400">
      <w:bodyDiv w:val="1"/>
      <w:marLeft w:val="0"/>
      <w:marRight w:val="0"/>
      <w:marTop w:val="0"/>
      <w:marBottom w:val="0"/>
      <w:divBdr>
        <w:top w:val="none" w:sz="0" w:space="0" w:color="auto"/>
        <w:left w:val="none" w:sz="0" w:space="0" w:color="auto"/>
        <w:bottom w:val="none" w:sz="0" w:space="0" w:color="auto"/>
        <w:right w:val="none" w:sz="0" w:space="0" w:color="auto"/>
      </w:divBdr>
      <w:divsChild>
        <w:div w:id="1819373407">
          <w:marLeft w:val="0"/>
          <w:marRight w:val="0"/>
          <w:marTop w:val="150"/>
          <w:marBottom w:val="0"/>
          <w:divBdr>
            <w:top w:val="none" w:sz="0" w:space="0" w:color="auto"/>
            <w:left w:val="none" w:sz="0" w:space="0" w:color="auto"/>
            <w:bottom w:val="none" w:sz="0" w:space="0" w:color="auto"/>
            <w:right w:val="none" w:sz="0" w:space="0" w:color="auto"/>
          </w:divBdr>
          <w:divsChild>
            <w:div w:id="1830364946">
              <w:marLeft w:val="2"/>
              <w:marRight w:val="2"/>
              <w:marTop w:val="0"/>
              <w:marBottom w:val="0"/>
              <w:divBdr>
                <w:top w:val="none" w:sz="0" w:space="0" w:color="auto"/>
                <w:left w:val="none" w:sz="0" w:space="0" w:color="auto"/>
                <w:bottom w:val="none" w:sz="0" w:space="0" w:color="auto"/>
                <w:right w:val="none" w:sz="0" w:space="0" w:color="auto"/>
              </w:divBdr>
              <w:divsChild>
                <w:div w:id="1727337413">
                  <w:marLeft w:val="0"/>
                  <w:marRight w:val="0"/>
                  <w:marTop w:val="0"/>
                  <w:marBottom w:val="0"/>
                  <w:divBdr>
                    <w:top w:val="none" w:sz="0" w:space="0" w:color="auto"/>
                    <w:left w:val="none" w:sz="0" w:space="0" w:color="auto"/>
                    <w:bottom w:val="none" w:sz="0" w:space="0" w:color="auto"/>
                    <w:right w:val="none" w:sz="0" w:space="0" w:color="auto"/>
                  </w:divBdr>
                  <w:divsChild>
                    <w:div w:id="1763407753">
                      <w:marLeft w:val="0"/>
                      <w:marRight w:val="0"/>
                      <w:marTop w:val="0"/>
                      <w:marBottom w:val="0"/>
                      <w:divBdr>
                        <w:top w:val="none" w:sz="0" w:space="0" w:color="auto"/>
                        <w:left w:val="none" w:sz="0" w:space="0" w:color="auto"/>
                        <w:bottom w:val="none" w:sz="0" w:space="0" w:color="auto"/>
                        <w:right w:val="none" w:sz="0" w:space="0" w:color="auto"/>
                      </w:divBdr>
                      <w:divsChild>
                        <w:div w:id="1462382565">
                          <w:marLeft w:val="0"/>
                          <w:marRight w:val="0"/>
                          <w:marTop w:val="0"/>
                          <w:marBottom w:val="0"/>
                          <w:divBdr>
                            <w:top w:val="none" w:sz="0" w:space="0" w:color="auto"/>
                            <w:left w:val="none" w:sz="0" w:space="0" w:color="auto"/>
                            <w:bottom w:val="none" w:sz="0" w:space="0" w:color="auto"/>
                            <w:right w:val="none" w:sz="0" w:space="0" w:color="auto"/>
                          </w:divBdr>
                          <w:divsChild>
                            <w:div w:id="279267092">
                              <w:marLeft w:val="0"/>
                              <w:marRight w:val="0"/>
                              <w:marTop w:val="0"/>
                              <w:marBottom w:val="0"/>
                              <w:divBdr>
                                <w:top w:val="none" w:sz="0" w:space="0" w:color="auto"/>
                                <w:left w:val="none" w:sz="0" w:space="0" w:color="auto"/>
                                <w:bottom w:val="none" w:sz="0" w:space="0" w:color="auto"/>
                                <w:right w:val="none" w:sz="0" w:space="0" w:color="auto"/>
                              </w:divBdr>
                              <w:divsChild>
                                <w:div w:id="1797290607">
                                  <w:marLeft w:val="0"/>
                                  <w:marRight w:val="0"/>
                                  <w:marTop w:val="0"/>
                                  <w:marBottom w:val="0"/>
                                  <w:divBdr>
                                    <w:top w:val="none" w:sz="0" w:space="0" w:color="auto"/>
                                    <w:left w:val="none" w:sz="0" w:space="0" w:color="auto"/>
                                    <w:bottom w:val="none" w:sz="0" w:space="0" w:color="auto"/>
                                    <w:right w:val="none" w:sz="0" w:space="0" w:color="auto"/>
                                  </w:divBdr>
                                  <w:divsChild>
                                    <w:div w:id="2063357400">
                                      <w:marLeft w:val="0"/>
                                      <w:marRight w:val="0"/>
                                      <w:marTop w:val="0"/>
                                      <w:marBottom w:val="0"/>
                                      <w:divBdr>
                                        <w:top w:val="none" w:sz="0" w:space="0" w:color="auto"/>
                                        <w:left w:val="none" w:sz="0" w:space="0" w:color="auto"/>
                                        <w:bottom w:val="none" w:sz="0" w:space="0" w:color="auto"/>
                                        <w:right w:val="none" w:sz="0" w:space="0" w:color="auto"/>
                                      </w:divBdr>
                                      <w:divsChild>
                                        <w:div w:id="915822548">
                                          <w:marLeft w:val="0"/>
                                          <w:marRight w:val="0"/>
                                          <w:marTop w:val="0"/>
                                          <w:marBottom w:val="0"/>
                                          <w:divBdr>
                                            <w:top w:val="none" w:sz="0" w:space="0" w:color="auto"/>
                                            <w:left w:val="none" w:sz="0" w:space="0" w:color="auto"/>
                                            <w:bottom w:val="none" w:sz="0" w:space="0" w:color="auto"/>
                                            <w:right w:val="none" w:sz="0" w:space="0" w:color="auto"/>
                                          </w:divBdr>
                                          <w:divsChild>
                                            <w:div w:id="1563372704">
                                              <w:marLeft w:val="0"/>
                                              <w:marRight w:val="0"/>
                                              <w:marTop w:val="0"/>
                                              <w:marBottom w:val="0"/>
                                              <w:divBdr>
                                                <w:top w:val="none" w:sz="0" w:space="0" w:color="auto"/>
                                                <w:left w:val="none" w:sz="0" w:space="0" w:color="auto"/>
                                                <w:bottom w:val="none" w:sz="0" w:space="0" w:color="auto"/>
                                                <w:right w:val="none" w:sz="0" w:space="0" w:color="auto"/>
                                              </w:divBdr>
                                              <w:divsChild>
                                                <w:div w:id="1024818614">
                                                  <w:marLeft w:val="0"/>
                                                  <w:marRight w:val="0"/>
                                                  <w:marTop w:val="0"/>
                                                  <w:marBottom w:val="0"/>
                                                  <w:divBdr>
                                                    <w:top w:val="none" w:sz="0" w:space="0" w:color="auto"/>
                                                    <w:left w:val="none" w:sz="0" w:space="0" w:color="auto"/>
                                                    <w:bottom w:val="none" w:sz="0" w:space="0" w:color="auto"/>
                                                    <w:right w:val="none" w:sz="0" w:space="0" w:color="auto"/>
                                                  </w:divBdr>
                                                </w:div>
                                              </w:divsChild>
                                            </w:div>
                                            <w:div w:id="2020112892">
                                              <w:marLeft w:val="0"/>
                                              <w:marRight w:val="0"/>
                                              <w:marTop w:val="0"/>
                                              <w:marBottom w:val="0"/>
                                              <w:divBdr>
                                                <w:top w:val="none" w:sz="0" w:space="0" w:color="auto"/>
                                                <w:left w:val="none" w:sz="0" w:space="0" w:color="auto"/>
                                                <w:bottom w:val="none" w:sz="0" w:space="0" w:color="auto"/>
                                                <w:right w:val="none" w:sz="0" w:space="0" w:color="auto"/>
                                              </w:divBdr>
                                              <w:divsChild>
                                                <w:div w:id="336855373">
                                                  <w:marLeft w:val="0"/>
                                                  <w:marRight w:val="0"/>
                                                  <w:marTop w:val="0"/>
                                                  <w:marBottom w:val="0"/>
                                                  <w:divBdr>
                                                    <w:top w:val="none" w:sz="0" w:space="0" w:color="auto"/>
                                                    <w:left w:val="none" w:sz="0" w:space="0" w:color="auto"/>
                                                    <w:bottom w:val="none" w:sz="0" w:space="0" w:color="auto"/>
                                                    <w:right w:val="none" w:sz="0" w:space="0" w:color="auto"/>
                                                  </w:divBdr>
                                                </w:div>
                                              </w:divsChild>
                                            </w:div>
                                            <w:div w:id="1886328114">
                                              <w:marLeft w:val="0"/>
                                              <w:marRight w:val="0"/>
                                              <w:marTop w:val="0"/>
                                              <w:marBottom w:val="0"/>
                                              <w:divBdr>
                                                <w:top w:val="none" w:sz="0" w:space="0" w:color="auto"/>
                                                <w:left w:val="none" w:sz="0" w:space="0" w:color="auto"/>
                                                <w:bottom w:val="none" w:sz="0" w:space="0" w:color="auto"/>
                                                <w:right w:val="none" w:sz="0" w:space="0" w:color="auto"/>
                                              </w:divBdr>
                                              <w:divsChild>
                                                <w:div w:id="1838109575">
                                                  <w:marLeft w:val="0"/>
                                                  <w:marRight w:val="0"/>
                                                  <w:marTop w:val="0"/>
                                                  <w:marBottom w:val="0"/>
                                                  <w:divBdr>
                                                    <w:top w:val="none" w:sz="0" w:space="0" w:color="auto"/>
                                                    <w:left w:val="none" w:sz="0" w:space="0" w:color="auto"/>
                                                    <w:bottom w:val="none" w:sz="0" w:space="0" w:color="auto"/>
                                                    <w:right w:val="none" w:sz="0" w:space="0" w:color="auto"/>
                                                  </w:divBdr>
                                                </w:div>
                                              </w:divsChild>
                                            </w:div>
                                            <w:div w:id="727607315">
                                              <w:marLeft w:val="0"/>
                                              <w:marRight w:val="0"/>
                                              <w:marTop w:val="0"/>
                                              <w:marBottom w:val="0"/>
                                              <w:divBdr>
                                                <w:top w:val="none" w:sz="0" w:space="0" w:color="auto"/>
                                                <w:left w:val="none" w:sz="0" w:space="0" w:color="auto"/>
                                                <w:bottom w:val="none" w:sz="0" w:space="0" w:color="auto"/>
                                                <w:right w:val="none" w:sz="0" w:space="0" w:color="auto"/>
                                              </w:divBdr>
                                              <w:divsChild>
                                                <w:div w:id="9909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2879666">
      <w:bodyDiv w:val="1"/>
      <w:marLeft w:val="0"/>
      <w:marRight w:val="0"/>
      <w:marTop w:val="0"/>
      <w:marBottom w:val="0"/>
      <w:divBdr>
        <w:top w:val="none" w:sz="0" w:space="0" w:color="auto"/>
        <w:left w:val="none" w:sz="0" w:space="0" w:color="auto"/>
        <w:bottom w:val="none" w:sz="0" w:space="0" w:color="auto"/>
        <w:right w:val="none" w:sz="0" w:space="0" w:color="auto"/>
      </w:divBdr>
      <w:divsChild>
        <w:div w:id="603541011">
          <w:marLeft w:val="0"/>
          <w:marRight w:val="0"/>
          <w:marTop w:val="0"/>
          <w:marBottom w:val="0"/>
          <w:divBdr>
            <w:top w:val="none" w:sz="0" w:space="0" w:color="auto"/>
            <w:left w:val="none" w:sz="0" w:space="0" w:color="auto"/>
            <w:bottom w:val="none" w:sz="0" w:space="0" w:color="auto"/>
            <w:right w:val="none" w:sz="0" w:space="0" w:color="auto"/>
          </w:divBdr>
          <w:divsChild>
            <w:div w:id="1985160776">
              <w:marLeft w:val="0"/>
              <w:marRight w:val="0"/>
              <w:marTop w:val="0"/>
              <w:marBottom w:val="0"/>
              <w:divBdr>
                <w:top w:val="none" w:sz="0" w:space="0" w:color="auto"/>
                <w:left w:val="none" w:sz="0" w:space="0" w:color="auto"/>
                <w:bottom w:val="none" w:sz="0" w:space="0" w:color="auto"/>
                <w:right w:val="none" w:sz="0" w:space="0" w:color="auto"/>
              </w:divBdr>
              <w:divsChild>
                <w:div w:id="1443914622">
                  <w:marLeft w:val="0"/>
                  <w:marRight w:val="0"/>
                  <w:marTop w:val="0"/>
                  <w:marBottom w:val="0"/>
                  <w:divBdr>
                    <w:top w:val="none" w:sz="0" w:space="0" w:color="auto"/>
                    <w:left w:val="none" w:sz="0" w:space="0" w:color="auto"/>
                    <w:bottom w:val="none" w:sz="0" w:space="0" w:color="auto"/>
                    <w:right w:val="none" w:sz="0" w:space="0" w:color="auto"/>
                  </w:divBdr>
                  <w:divsChild>
                    <w:div w:id="498424470">
                      <w:marLeft w:val="0"/>
                      <w:marRight w:val="0"/>
                      <w:marTop w:val="0"/>
                      <w:marBottom w:val="0"/>
                      <w:divBdr>
                        <w:top w:val="none" w:sz="0" w:space="0" w:color="auto"/>
                        <w:left w:val="none" w:sz="0" w:space="0" w:color="auto"/>
                        <w:bottom w:val="none" w:sz="0" w:space="0" w:color="auto"/>
                        <w:right w:val="none" w:sz="0" w:space="0" w:color="auto"/>
                      </w:divBdr>
                      <w:divsChild>
                        <w:div w:id="1077240373">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265335176">
      <w:bodyDiv w:val="1"/>
      <w:marLeft w:val="0"/>
      <w:marRight w:val="0"/>
      <w:marTop w:val="0"/>
      <w:marBottom w:val="0"/>
      <w:divBdr>
        <w:top w:val="none" w:sz="0" w:space="0" w:color="auto"/>
        <w:left w:val="none" w:sz="0" w:space="0" w:color="auto"/>
        <w:bottom w:val="none" w:sz="0" w:space="0" w:color="auto"/>
        <w:right w:val="none" w:sz="0" w:space="0" w:color="auto"/>
      </w:divBdr>
      <w:divsChild>
        <w:div w:id="2012677055">
          <w:marLeft w:val="0"/>
          <w:marRight w:val="0"/>
          <w:marTop w:val="0"/>
          <w:marBottom w:val="0"/>
          <w:divBdr>
            <w:top w:val="none" w:sz="0" w:space="0" w:color="auto"/>
            <w:left w:val="none" w:sz="0" w:space="0" w:color="auto"/>
            <w:bottom w:val="none" w:sz="0" w:space="0" w:color="auto"/>
            <w:right w:val="none" w:sz="0" w:space="0" w:color="auto"/>
          </w:divBdr>
          <w:divsChild>
            <w:div w:id="815074695">
              <w:marLeft w:val="0"/>
              <w:marRight w:val="0"/>
              <w:marTop w:val="0"/>
              <w:marBottom w:val="0"/>
              <w:divBdr>
                <w:top w:val="none" w:sz="0" w:space="0" w:color="auto"/>
                <w:left w:val="none" w:sz="0" w:space="0" w:color="auto"/>
                <w:bottom w:val="none" w:sz="0" w:space="0" w:color="auto"/>
                <w:right w:val="none" w:sz="0" w:space="0" w:color="auto"/>
              </w:divBdr>
              <w:divsChild>
                <w:div w:id="1189759800">
                  <w:marLeft w:val="0"/>
                  <w:marRight w:val="0"/>
                  <w:marTop w:val="0"/>
                  <w:marBottom w:val="0"/>
                  <w:divBdr>
                    <w:top w:val="none" w:sz="0" w:space="0" w:color="auto"/>
                    <w:left w:val="none" w:sz="0" w:space="0" w:color="auto"/>
                    <w:bottom w:val="none" w:sz="0" w:space="0" w:color="auto"/>
                    <w:right w:val="none" w:sz="0" w:space="0" w:color="auto"/>
                  </w:divBdr>
                  <w:divsChild>
                    <w:div w:id="1814522339">
                      <w:marLeft w:val="0"/>
                      <w:marRight w:val="0"/>
                      <w:marTop w:val="0"/>
                      <w:marBottom w:val="0"/>
                      <w:divBdr>
                        <w:top w:val="none" w:sz="0" w:space="0" w:color="auto"/>
                        <w:left w:val="none" w:sz="0" w:space="0" w:color="auto"/>
                        <w:bottom w:val="none" w:sz="0" w:space="0" w:color="auto"/>
                        <w:right w:val="none" w:sz="0" w:space="0" w:color="auto"/>
                      </w:divBdr>
                      <w:divsChild>
                        <w:div w:id="1613127319">
                          <w:marLeft w:val="0"/>
                          <w:marRight w:val="0"/>
                          <w:marTop w:val="0"/>
                          <w:marBottom w:val="0"/>
                          <w:divBdr>
                            <w:top w:val="none" w:sz="0" w:space="0" w:color="auto"/>
                            <w:left w:val="none" w:sz="0" w:space="0" w:color="auto"/>
                            <w:bottom w:val="none" w:sz="0" w:space="0" w:color="auto"/>
                            <w:right w:val="none" w:sz="0" w:space="0" w:color="auto"/>
                          </w:divBdr>
                          <w:divsChild>
                            <w:div w:id="1673872304">
                              <w:marLeft w:val="0"/>
                              <w:marRight w:val="0"/>
                              <w:marTop w:val="0"/>
                              <w:marBottom w:val="0"/>
                              <w:divBdr>
                                <w:top w:val="none" w:sz="0" w:space="0" w:color="auto"/>
                                <w:left w:val="none" w:sz="0" w:space="0" w:color="auto"/>
                                <w:bottom w:val="none" w:sz="0" w:space="0" w:color="auto"/>
                                <w:right w:val="none" w:sz="0" w:space="0" w:color="auto"/>
                              </w:divBdr>
                              <w:divsChild>
                                <w:div w:id="797994885">
                                  <w:marLeft w:val="0"/>
                                  <w:marRight w:val="0"/>
                                  <w:marTop w:val="0"/>
                                  <w:marBottom w:val="0"/>
                                  <w:divBdr>
                                    <w:top w:val="none" w:sz="0" w:space="0" w:color="auto"/>
                                    <w:left w:val="none" w:sz="0" w:space="0" w:color="auto"/>
                                    <w:bottom w:val="none" w:sz="0" w:space="0" w:color="auto"/>
                                    <w:right w:val="none" w:sz="0" w:space="0" w:color="auto"/>
                                  </w:divBdr>
                                  <w:divsChild>
                                    <w:div w:id="1581713920">
                                      <w:marLeft w:val="0"/>
                                      <w:marRight w:val="0"/>
                                      <w:marTop w:val="0"/>
                                      <w:marBottom w:val="0"/>
                                      <w:divBdr>
                                        <w:top w:val="none" w:sz="0" w:space="0" w:color="auto"/>
                                        <w:left w:val="none" w:sz="0" w:space="0" w:color="auto"/>
                                        <w:bottom w:val="none" w:sz="0" w:space="0" w:color="auto"/>
                                        <w:right w:val="none" w:sz="0" w:space="0" w:color="auto"/>
                                      </w:divBdr>
                                      <w:divsChild>
                                        <w:div w:id="135729726">
                                          <w:marLeft w:val="0"/>
                                          <w:marRight w:val="0"/>
                                          <w:marTop w:val="0"/>
                                          <w:marBottom w:val="0"/>
                                          <w:divBdr>
                                            <w:top w:val="none" w:sz="0" w:space="0" w:color="auto"/>
                                            <w:left w:val="none" w:sz="0" w:space="0" w:color="auto"/>
                                            <w:bottom w:val="none" w:sz="0" w:space="0" w:color="auto"/>
                                            <w:right w:val="none" w:sz="0" w:space="0" w:color="auto"/>
                                          </w:divBdr>
                                          <w:divsChild>
                                            <w:div w:id="670260247">
                                              <w:marLeft w:val="0"/>
                                              <w:marRight w:val="0"/>
                                              <w:marTop w:val="0"/>
                                              <w:marBottom w:val="0"/>
                                              <w:divBdr>
                                                <w:top w:val="none" w:sz="0" w:space="0" w:color="auto"/>
                                                <w:left w:val="none" w:sz="0" w:space="0" w:color="auto"/>
                                                <w:bottom w:val="none" w:sz="0" w:space="0" w:color="auto"/>
                                                <w:right w:val="none" w:sz="0" w:space="0" w:color="auto"/>
                                              </w:divBdr>
                                              <w:divsChild>
                                                <w:div w:id="1980184838">
                                                  <w:marLeft w:val="0"/>
                                                  <w:marRight w:val="0"/>
                                                  <w:marTop w:val="0"/>
                                                  <w:marBottom w:val="0"/>
                                                  <w:divBdr>
                                                    <w:top w:val="none" w:sz="0" w:space="0" w:color="auto"/>
                                                    <w:left w:val="none" w:sz="0" w:space="0" w:color="auto"/>
                                                    <w:bottom w:val="none" w:sz="0" w:space="0" w:color="auto"/>
                                                    <w:right w:val="none" w:sz="0" w:space="0" w:color="auto"/>
                                                  </w:divBdr>
                                                  <w:divsChild>
                                                    <w:div w:id="1788543706">
                                                      <w:marLeft w:val="0"/>
                                                      <w:marRight w:val="0"/>
                                                      <w:marTop w:val="0"/>
                                                      <w:marBottom w:val="0"/>
                                                      <w:divBdr>
                                                        <w:top w:val="none" w:sz="0" w:space="0" w:color="auto"/>
                                                        <w:left w:val="none" w:sz="0" w:space="0" w:color="auto"/>
                                                        <w:bottom w:val="none" w:sz="0" w:space="0" w:color="auto"/>
                                                        <w:right w:val="none" w:sz="0" w:space="0" w:color="auto"/>
                                                      </w:divBdr>
                                                      <w:divsChild>
                                                        <w:div w:id="13346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8388166">
      <w:bodyDiv w:val="1"/>
      <w:marLeft w:val="0"/>
      <w:marRight w:val="0"/>
      <w:marTop w:val="0"/>
      <w:marBottom w:val="0"/>
      <w:divBdr>
        <w:top w:val="none" w:sz="0" w:space="0" w:color="auto"/>
        <w:left w:val="none" w:sz="0" w:space="0" w:color="auto"/>
        <w:bottom w:val="none" w:sz="0" w:space="0" w:color="auto"/>
        <w:right w:val="none" w:sz="0" w:space="0" w:color="auto"/>
      </w:divBdr>
    </w:div>
    <w:div w:id="1268733860">
      <w:bodyDiv w:val="1"/>
      <w:marLeft w:val="0"/>
      <w:marRight w:val="0"/>
      <w:marTop w:val="0"/>
      <w:marBottom w:val="0"/>
      <w:divBdr>
        <w:top w:val="none" w:sz="0" w:space="0" w:color="auto"/>
        <w:left w:val="none" w:sz="0" w:space="0" w:color="auto"/>
        <w:bottom w:val="none" w:sz="0" w:space="0" w:color="auto"/>
        <w:right w:val="none" w:sz="0" w:space="0" w:color="auto"/>
      </w:divBdr>
      <w:divsChild>
        <w:div w:id="1381051093">
          <w:marLeft w:val="0"/>
          <w:marRight w:val="0"/>
          <w:marTop w:val="0"/>
          <w:marBottom w:val="0"/>
          <w:divBdr>
            <w:top w:val="none" w:sz="0" w:space="0" w:color="auto"/>
            <w:left w:val="none" w:sz="0" w:space="0" w:color="auto"/>
            <w:bottom w:val="none" w:sz="0" w:space="0" w:color="auto"/>
            <w:right w:val="none" w:sz="0" w:space="0" w:color="auto"/>
          </w:divBdr>
          <w:divsChild>
            <w:div w:id="495537420">
              <w:marLeft w:val="0"/>
              <w:marRight w:val="0"/>
              <w:marTop w:val="0"/>
              <w:marBottom w:val="0"/>
              <w:divBdr>
                <w:top w:val="none" w:sz="0" w:space="0" w:color="auto"/>
                <w:left w:val="none" w:sz="0" w:space="0" w:color="auto"/>
                <w:bottom w:val="none" w:sz="0" w:space="0" w:color="auto"/>
                <w:right w:val="none" w:sz="0" w:space="0" w:color="auto"/>
              </w:divBdr>
              <w:divsChild>
                <w:div w:id="1596523140">
                  <w:marLeft w:val="0"/>
                  <w:marRight w:val="0"/>
                  <w:marTop w:val="0"/>
                  <w:marBottom w:val="0"/>
                  <w:divBdr>
                    <w:top w:val="none" w:sz="0" w:space="0" w:color="auto"/>
                    <w:left w:val="none" w:sz="0" w:space="0" w:color="auto"/>
                    <w:bottom w:val="none" w:sz="0" w:space="0" w:color="auto"/>
                    <w:right w:val="none" w:sz="0" w:space="0" w:color="auto"/>
                  </w:divBdr>
                  <w:divsChild>
                    <w:div w:id="208150055">
                      <w:marLeft w:val="0"/>
                      <w:marRight w:val="0"/>
                      <w:marTop w:val="0"/>
                      <w:marBottom w:val="0"/>
                      <w:divBdr>
                        <w:top w:val="none" w:sz="0" w:space="0" w:color="auto"/>
                        <w:left w:val="none" w:sz="0" w:space="0" w:color="auto"/>
                        <w:bottom w:val="none" w:sz="0" w:space="0" w:color="auto"/>
                        <w:right w:val="none" w:sz="0" w:space="0" w:color="auto"/>
                      </w:divBdr>
                      <w:divsChild>
                        <w:div w:id="159662375">
                          <w:marLeft w:val="570"/>
                          <w:marRight w:val="720"/>
                          <w:marTop w:val="120"/>
                          <w:marBottom w:val="120"/>
                          <w:divBdr>
                            <w:top w:val="none" w:sz="0" w:space="0" w:color="auto"/>
                            <w:left w:val="none" w:sz="0" w:space="0" w:color="auto"/>
                            <w:bottom w:val="none" w:sz="0" w:space="0" w:color="auto"/>
                            <w:right w:val="none" w:sz="0" w:space="0" w:color="auto"/>
                          </w:divBdr>
                          <w:divsChild>
                            <w:div w:id="954216608">
                              <w:marLeft w:val="0"/>
                              <w:marRight w:val="0"/>
                              <w:marTop w:val="0"/>
                              <w:marBottom w:val="0"/>
                              <w:divBdr>
                                <w:top w:val="none" w:sz="0" w:space="0" w:color="auto"/>
                                <w:left w:val="none" w:sz="0" w:space="0" w:color="auto"/>
                                <w:bottom w:val="none" w:sz="0" w:space="0" w:color="auto"/>
                                <w:right w:val="none" w:sz="0" w:space="0" w:color="auto"/>
                              </w:divBdr>
                              <w:divsChild>
                                <w:div w:id="1855262712">
                                  <w:marLeft w:val="0"/>
                                  <w:marRight w:val="0"/>
                                  <w:marTop w:val="0"/>
                                  <w:marBottom w:val="0"/>
                                  <w:divBdr>
                                    <w:top w:val="none" w:sz="0" w:space="0" w:color="auto"/>
                                    <w:left w:val="none" w:sz="0" w:space="0" w:color="auto"/>
                                    <w:bottom w:val="none" w:sz="0" w:space="0" w:color="auto"/>
                                    <w:right w:val="none" w:sz="0" w:space="0" w:color="auto"/>
                                  </w:divBdr>
                                  <w:divsChild>
                                    <w:div w:id="1774671517">
                                      <w:marLeft w:val="0"/>
                                      <w:marRight w:val="0"/>
                                      <w:marTop w:val="0"/>
                                      <w:marBottom w:val="0"/>
                                      <w:divBdr>
                                        <w:top w:val="none" w:sz="0" w:space="0" w:color="auto"/>
                                        <w:left w:val="none" w:sz="0" w:space="0" w:color="auto"/>
                                        <w:bottom w:val="none" w:sz="0" w:space="0" w:color="auto"/>
                                        <w:right w:val="none" w:sz="0" w:space="0" w:color="auto"/>
                                      </w:divBdr>
                                      <w:divsChild>
                                        <w:div w:id="1352802157">
                                          <w:marLeft w:val="0"/>
                                          <w:marRight w:val="0"/>
                                          <w:marTop w:val="240"/>
                                          <w:marBottom w:val="240"/>
                                          <w:divBdr>
                                            <w:top w:val="single" w:sz="6" w:space="6" w:color="F2F2F2"/>
                                            <w:left w:val="none" w:sz="0" w:space="0" w:color="auto"/>
                                            <w:bottom w:val="single" w:sz="6" w:space="6" w:color="F2F2F2"/>
                                            <w:right w:val="none" w:sz="0" w:space="0" w:color="auto"/>
                                          </w:divBdr>
                                        </w:div>
                                        <w:div w:id="1016807174">
                                          <w:marLeft w:val="0"/>
                                          <w:marRight w:val="0"/>
                                          <w:marTop w:val="0"/>
                                          <w:marBottom w:val="0"/>
                                          <w:divBdr>
                                            <w:top w:val="none" w:sz="0" w:space="0" w:color="auto"/>
                                            <w:left w:val="none" w:sz="0" w:space="0" w:color="auto"/>
                                            <w:bottom w:val="none" w:sz="0" w:space="0" w:color="auto"/>
                                            <w:right w:val="none" w:sz="0" w:space="0" w:color="auto"/>
                                          </w:divBdr>
                                          <w:divsChild>
                                            <w:div w:id="9548679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922746">
      <w:bodyDiv w:val="1"/>
      <w:marLeft w:val="0"/>
      <w:marRight w:val="0"/>
      <w:marTop w:val="0"/>
      <w:marBottom w:val="0"/>
      <w:divBdr>
        <w:top w:val="none" w:sz="0" w:space="0" w:color="auto"/>
        <w:left w:val="none" w:sz="0" w:space="0" w:color="auto"/>
        <w:bottom w:val="none" w:sz="0" w:space="0" w:color="auto"/>
        <w:right w:val="none" w:sz="0" w:space="0" w:color="auto"/>
      </w:divBdr>
      <w:divsChild>
        <w:div w:id="2086412935">
          <w:marLeft w:val="0"/>
          <w:marRight w:val="0"/>
          <w:marTop w:val="375"/>
          <w:marBottom w:val="375"/>
          <w:divBdr>
            <w:top w:val="none" w:sz="0" w:space="0" w:color="auto"/>
            <w:left w:val="none" w:sz="0" w:space="0" w:color="auto"/>
            <w:bottom w:val="none" w:sz="0" w:space="0" w:color="auto"/>
            <w:right w:val="none" w:sz="0" w:space="0" w:color="auto"/>
          </w:divBdr>
          <w:divsChild>
            <w:div w:id="215356080">
              <w:marLeft w:val="0"/>
              <w:marRight w:val="0"/>
              <w:marTop w:val="375"/>
              <w:marBottom w:val="375"/>
              <w:divBdr>
                <w:top w:val="none" w:sz="0" w:space="0" w:color="auto"/>
                <w:left w:val="none" w:sz="0" w:space="0" w:color="auto"/>
                <w:bottom w:val="none" w:sz="0" w:space="0" w:color="auto"/>
                <w:right w:val="none" w:sz="0" w:space="0" w:color="auto"/>
              </w:divBdr>
            </w:div>
          </w:divsChild>
        </w:div>
        <w:div w:id="780803346">
          <w:marLeft w:val="0"/>
          <w:marRight w:val="0"/>
          <w:marTop w:val="0"/>
          <w:marBottom w:val="375"/>
          <w:divBdr>
            <w:top w:val="none" w:sz="0" w:space="0" w:color="auto"/>
            <w:left w:val="none" w:sz="0" w:space="0" w:color="auto"/>
            <w:bottom w:val="none" w:sz="0" w:space="0" w:color="auto"/>
            <w:right w:val="none" w:sz="0" w:space="0" w:color="auto"/>
          </w:divBdr>
        </w:div>
      </w:divsChild>
    </w:div>
    <w:div w:id="1269198872">
      <w:bodyDiv w:val="1"/>
      <w:marLeft w:val="0"/>
      <w:marRight w:val="0"/>
      <w:marTop w:val="0"/>
      <w:marBottom w:val="0"/>
      <w:divBdr>
        <w:top w:val="none" w:sz="0" w:space="0" w:color="auto"/>
        <w:left w:val="none" w:sz="0" w:space="0" w:color="auto"/>
        <w:bottom w:val="none" w:sz="0" w:space="0" w:color="auto"/>
        <w:right w:val="none" w:sz="0" w:space="0" w:color="auto"/>
      </w:divBdr>
      <w:divsChild>
        <w:div w:id="579756928">
          <w:marLeft w:val="0"/>
          <w:marRight w:val="0"/>
          <w:marTop w:val="0"/>
          <w:marBottom w:val="0"/>
          <w:divBdr>
            <w:top w:val="none" w:sz="0" w:space="0" w:color="auto"/>
            <w:left w:val="none" w:sz="0" w:space="0" w:color="auto"/>
            <w:bottom w:val="none" w:sz="0" w:space="0" w:color="auto"/>
            <w:right w:val="none" w:sz="0" w:space="0" w:color="auto"/>
          </w:divBdr>
          <w:divsChild>
            <w:div w:id="1007944425">
              <w:marLeft w:val="0"/>
              <w:marRight w:val="0"/>
              <w:marTop w:val="0"/>
              <w:marBottom w:val="0"/>
              <w:divBdr>
                <w:top w:val="none" w:sz="0" w:space="0" w:color="auto"/>
                <w:left w:val="none" w:sz="0" w:space="0" w:color="auto"/>
                <w:bottom w:val="none" w:sz="0" w:space="0" w:color="auto"/>
                <w:right w:val="none" w:sz="0" w:space="0" w:color="auto"/>
              </w:divBdr>
              <w:divsChild>
                <w:div w:id="885525730">
                  <w:marLeft w:val="0"/>
                  <w:marRight w:val="0"/>
                  <w:marTop w:val="0"/>
                  <w:marBottom w:val="0"/>
                  <w:divBdr>
                    <w:top w:val="none" w:sz="0" w:space="0" w:color="auto"/>
                    <w:left w:val="none" w:sz="0" w:space="0" w:color="auto"/>
                    <w:bottom w:val="none" w:sz="0" w:space="0" w:color="auto"/>
                    <w:right w:val="none" w:sz="0" w:space="0" w:color="auto"/>
                  </w:divBdr>
                  <w:divsChild>
                    <w:div w:id="53549289">
                      <w:marLeft w:val="0"/>
                      <w:marRight w:val="0"/>
                      <w:marTop w:val="0"/>
                      <w:marBottom w:val="0"/>
                      <w:divBdr>
                        <w:top w:val="none" w:sz="0" w:space="0" w:color="auto"/>
                        <w:left w:val="none" w:sz="0" w:space="0" w:color="auto"/>
                        <w:bottom w:val="none" w:sz="0" w:space="0" w:color="auto"/>
                        <w:right w:val="none" w:sz="0" w:space="0" w:color="auto"/>
                      </w:divBdr>
                      <w:divsChild>
                        <w:div w:id="240258853">
                          <w:marLeft w:val="0"/>
                          <w:marRight w:val="0"/>
                          <w:marTop w:val="0"/>
                          <w:marBottom w:val="0"/>
                          <w:divBdr>
                            <w:top w:val="none" w:sz="0" w:space="0" w:color="auto"/>
                            <w:left w:val="none" w:sz="0" w:space="0" w:color="auto"/>
                            <w:bottom w:val="none" w:sz="0" w:space="0" w:color="auto"/>
                            <w:right w:val="none" w:sz="0" w:space="0" w:color="auto"/>
                          </w:divBdr>
                          <w:divsChild>
                            <w:div w:id="645472859">
                              <w:marLeft w:val="0"/>
                              <w:marRight w:val="0"/>
                              <w:marTop w:val="0"/>
                              <w:marBottom w:val="0"/>
                              <w:divBdr>
                                <w:top w:val="none" w:sz="0" w:space="0" w:color="auto"/>
                                <w:left w:val="none" w:sz="0" w:space="0" w:color="auto"/>
                                <w:bottom w:val="none" w:sz="0" w:space="0" w:color="auto"/>
                                <w:right w:val="none" w:sz="0" w:space="0" w:color="auto"/>
                              </w:divBdr>
                              <w:divsChild>
                                <w:div w:id="1198854376">
                                  <w:marLeft w:val="0"/>
                                  <w:marRight w:val="0"/>
                                  <w:marTop w:val="0"/>
                                  <w:marBottom w:val="0"/>
                                  <w:divBdr>
                                    <w:top w:val="none" w:sz="0" w:space="0" w:color="auto"/>
                                    <w:left w:val="none" w:sz="0" w:space="0" w:color="auto"/>
                                    <w:bottom w:val="none" w:sz="0" w:space="0" w:color="auto"/>
                                    <w:right w:val="none" w:sz="0" w:space="0" w:color="auto"/>
                                  </w:divBdr>
                                  <w:divsChild>
                                    <w:div w:id="1677883536">
                                      <w:marLeft w:val="0"/>
                                      <w:marRight w:val="0"/>
                                      <w:marTop w:val="0"/>
                                      <w:marBottom w:val="0"/>
                                      <w:divBdr>
                                        <w:top w:val="none" w:sz="0" w:space="0" w:color="auto"/>
                                        <w:left w:val="none" w:sz="0" w:space="0" w:color="auto"/>
                                        <w:bottom w:val="none" w:sz="0" w:space="0" w:color="auto"/>
                                        <w:right w:val="none" w:sz="0" w:space="0" w:color="auto"/>
                                      </w:divBdr>
                                      <w:divsChild>
                                        <w:div w:id="1683512041">
                                          <w:marLeft w:val="0"/>
                                          <w:marRight w:val="0"/>
                                          <w:marTop w:val="0"/>
                                          <w:marBottom w:val="0"/>
                                          <w:divBdr>
                                            <w:top w:val="none" w:sz="0" w:space="0" w:color="auto"/>
                                            <w:left w:val="none" w:sz="0" w:space="0" w:color="auto"/>
                                            <w:bottom w:val="none" w:sz="0" w:space="0" w:color="auto"/>
                                            <w:right w:val="none" w:sz="0" w:space="0" w:color="auto"/>
                                          </w:divBdr>
                                        </w:div>
                                        <w:div w:id="1126658385">
                                          <w:marLeft w:val="0"/>
                                          <w:marRight w:val="0"/>
                                          <w:marTop w:val="0"/>
                                          <w:marBottom w:val="0"/>
                                          <w:divBdr>
                                            <w:top w:val="none" w:sz="0" w:space="0" w:color="auto"/>
                                            <w:left w:val="none" w:sz="0" w:space="0" w:color="auto"/>
                                            <w:bottom w:val="none" w:sz="0" w:space="0" w:color="auto"/>
                                            <w:right w:val="none" w:sz="0" w:space="0" w:color="auto"/>
                                          </w:divBdr>
                                          <w:divsChild>
                                            <w:div w:id="8719648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586912">
      <w:bodyDiv w:val="1"/>
      <w:marLeft w:val="0"/>
      <w:marRight w:val="0"/>
      <w:marTop w:val="0"/>
      <w:marBottom w:val="0"/>
      <w:divBdr>
        <w:top w:val="none" w:sz="0" w:space="0" w:color="auto"/>
        <w:left w:val="none" w:sz="0" w:space="0" w:color="auto"/>
        <w:bottom w:val="none" w:sz="0" w:space="0" w:color="auto"/>
        <w:right w:val="none" w:sz="0" w:space="0" w:color="auto"/>
      </w:divBdr>
      <w:divsChild>
        <w:div w:id="420026645">
          <w:marLeft w:val="0"/>
          <w:marRight w:val="0"/>
          <w:marTop w:val="0"/>
          <w:marBottom w:val="0"/>
          <w:divBdr>
            <w:top w:val="single" w:sz="2" w:space="0" w:color="AAAAAA"/>
            <w:left w:val="single" w:sz="6" w:space="8" w:color="AAAAAA"/>
            <w:bottom w:val="single" w:sz="2" w:space="0" w:color="AAAAAA"/>
            <w:right w:val="single" w:sz="6" w:space="8" w:color="AAAAAA"/>
          </w:divBdr>
          <w:divsChild>
            <w:div w:id="1935938318">
              <w:marLeft w:val="0"/>
              <w:marRight w:val="0"/>
              <w:marTop w:val="0"/>
              <w:marBottom w:val="0"/>
              <w:divBdr>
                <w:top w:val="none" w:sz="0" w:space="0" w:color="auto"/>
                <w:left w:val="none" w:sz="0" w:space="0" w:color="auto"/>
                <w:bottom w:val="none" w:sz="0" w:space="0" w:color="auto"/>
                <w:right w:val="none" w:sz="0" w:space="0" w:color="auto"/>
              </w:divBdr>
              <w:divsChild>
                <w:div w:id="149447666">
                  <w:marLeft w:val="0"/>
                  <w:marRight w:val="0"/>
                  <w:marTop w:val="0"/>
                  <w:marBottom w:val="0"/>
                  <w:divBdr>
                    <w:top w:val="none" w:sz="0" w:space="0" w:color="auto"/>
                    <w:left w:val="none" w:sz="0" w:space="0" w:color="auto"/>
                    <w:bottom w:val="none" w:sz="0" w:space="0" w:color="auto"/>
                    <w:right w:val="none" w:sz="0" w:space="0" w:color="auto"/>
                  </w:divBdr>
                  <w:divsChild>
                    <w:div w:id="1552813587">
                      <w:marLeft w:val="0"/>
                      <w:marRight w:val="2550"/>
                      <w:marTop w:val="0"/>
                      <w:marBottom w:val="48"/>
                      <w:divBdr>
                        <w:top w:val="none" w:sz="0" w:space="0" w:color="auto"/>
                        <w:left w:val="none" w:sz="0" w:space="0" w:color="auto"/>
                        <w:bottom w:val="none" w:sz="0" w:space="0" w:color="auto"/>
                        <w:right w:val="none" w:sz="0" w:space="0" w:color="auto"/>
                      </w:divBdr>
                      <w:divsChild>
                        <w:div w:id="6840195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70770709">
      <w:bodyDiv w:val="1"/>
      <w:marLeft w:val="0"/>
      <w:marRight w:val="0"/>
      <w:marTop w:val="0"/>
      <w:marBottom w:val="0"/>
      <w:divBdr>
        <w:top w:val="none" w:sz="0" w:space="0" w:color="auto"/>
        <w:left w:val="none" w:sz="0" w:space="0" w:color="auto"/>
        <w:bottom w:val="none" w:sz="0" w:space="0" w:color="auto"/>
        <w:right w:val="none" w:sz="0" w:space="0" w:color="auto"/>
      </w:divBdr>
      <w:divsChild>
        <w:div w:id="392630548">
          <w:marLeft w:val="0"/>
          <w:marRight w:val="0"/>
          <w:marTop w:val="0"/>
          <w:marBottom w:val="0"/>
          <w:divBdr>
            <w:top w:val="none" w:sz="0" w:space="0" w:color="auto"/>
            <w:left w:val="none" w:sz="0" w:space="0" w:color="auto"/>
            <w:bottom w:val="none" w:sz="0" w:space="0" w:color="auto"/>
            <w:right w:val="none" w:sz="0" w:space="0" w:color="auto"/>
          </w:divBdr>
          <w:divsChild>
            <w:div w:id="1526552599">
              <w:marLeft w:val="0"/>
              <w:marRight w:val="0"/>
              <w:marTop w:val="0"/>
              <w:marBottom w:val="0"/>
              <w:divBdr>
                <w:top w:val="none" w:sz="0" w:space="0" w:color="auto"/>
                <w:left w:val="none" w:sz="0" w:space="0" w:color="auto"/>
                <w:bottom w:val="none" w:sz="0" w:space="0" w:color="auto"/>
                <w:right w:val="none" w:sz="0" w:space="0" w:color="auto"/>
              </w:divBdr>
              <w:divsChild>
                <w:div w:id="980617729">
                  <w:marLeft w:val="0"/>
                  <w:marRight w:val="0"/>
                  <w:marTop w:val="100"/>
                  <w:marBottom w:val="100"/>
                  <w:divBdr>
                    <w:top w:val="none" w:sz="0" w:space="0" w:color="auto"/>
                    <w:left w:val="none" w:sz="0" w:space="0" w:color="auto"/>
                    <w:bottom w:val="none" w:sz="0" w:space="0" w:color="auto"/>
                    <w:right w:val="none" w:sz="0" w:space="0" w:color="auto"/>
                  </w:divBdr>
                  <w:divsChild>
                    <w:div w:id="1707483497">
                      <w:marLeft w:val="0"/>
                      <w:marRight w:val="0"/>
                      <w:marTop w:val="0"/>
                      <w:marBottom w:val="0"/>
                      <w:divBdr>
                        <w:top w:val="none" w:sz="0" w:space="0" w:color="auto"/>
                        <w:left w:val="none" w:sz="0" w:space="0" w:color="auto"/>
                        <w:bottom w:val="none" w:sz="0" w:space="0" w:color="auto"/>
                        <w:right w:val="none" w:sz="0" w:space="0" w:color="auto"/>
                      </w:divBdr>
                      <w:divsChild>
                        <w:div w:id="282227966">
                          <w:marLeft w:val="0"/>
                          <w:marRight w:val="0"/>
                          <w:marTop w:val="0"/>
                          <w:marBottom w:val="0"/>
                          <w:divBdr>
                            <w:top w:val="none" w:sz="0" w:space="0" w:color="auto"/>
                            <w:left w:val="none" w:sz="0" w:space="0" w:color="auto"/>
                            <w:bottom w:val="none" w:sz="0" w:space="0" w:color="auto"/>
                            <w:right w:val="none" w:sz="0" w:space="0" w:color="auto"/>
                          </w:divBdr>
                          <w:divsChild>
                            <w:div w:id="293757752">
                              <w:marLeft w:val="0"/>
                              <w:marRight w:val="0"/>
                              <w:marTop w:val="0"/>
                              <w:marBottom w:val="0"/>
                              <w:divBdr>
                                <w:top w:val="none" w:sz="0" w:space="0" w:color="auto"/>
                                <w:left w:val="none" w:sz="0" w:space="0" w:color="auto"/>
                                <w:bottom w:val="none" w:sz="0" w:space="0" w:color="auto"/>
                                <w:right w:val="none" w:sz="0" w:space="0" w:color="auto"/>
                              </w:divBdr>
                              <w:divsChild>
                                <w:div w:id="1320646421">
                                  <w:marLeft w:val="0"/>
                                  <w:marRight w:val="0"/>
                                  <w:marTop w:val="0"/>
                                  <w:marBottom w:val="0"/>
                                  <w:divBdr>
                                    <w:top w:val="none" w:sz="0" w:space="0" w:color="auto"/>
                                    <w:left w:val="none" w:sz="0" w:space="0" w:color="auto"/>
                                    <w:bottom w:val="none" w:sz="0" w:space="0" w:color="auto"/>
                                    <w:right w:val="none" w:sz="0" w:space="0" w:color="auto"/>
                                  </w:divBdr>
                                  <w:divsChild>
                                    <w:div w:id="1051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399999">
      <w:bodyDiv w:val="1"/>
      <w:marLeft w:val="0"/>
      <w:marRight w:val="0"/>
      <w:marTop w:val="0"/>
      <w:marBottom w:val="0"/>
      <w:divBdr>
        <w:top w:val="none" w:sz="0" w:space="0" w:color="auto"/>
        <w:left w:val="none" w:sz="0" w:space="0" w:color="auto"/>
        <w:bottom w:val="none" w:sz="0" w:space="0" w:color="auto"/>
        <w:right w:val="none" w:sz="0" w:space="0" w:color="auto"/>
      </w:divBdr>
      <w:divsChild>
        <w:div w:id="1198590485">
          <w:marLeft w:val="0"/>
          <w:marRight w:val="0"/>
          <w:marTop w:val="0"/>
          <w:marBottom w:val="0"/>
          <w:divBdr>
            <w:top w:val="none" w:sz="0" w:space="0" w:color="auto"/>
            <w:left w:val="none" w:sz="0" w:space="0" w:color="auto"/>
            <w:bottom w:val="none" w:sz="0" w:space="0" w:color="auto"/>
            <w:right w:val="none" w:sz="0" w:space="0" w:color="auto"/>
          </w:divBdr>
          <w:divsChild>
            <w:div w:id="146019211">
              <w:marLeft w:val="0"/>
              <w:marRight w:val="0"/>
              <w:marTop w:val="0"/>
              <w:marBottom w:val="0"/>
              <w:divBdr>
                <w:top w:val="none" w:sz="0" w:space="0" w:color="auto"/>
                <w:left w:val="none" w:sz="0" w:space="0" w:color="auto"/>
                <w:bottom w:val="none" w:sz="0" w:space="0" w:color="auto"/>
                <w:right w:val="none" w:sz="0" w:space="0" w:color="auto"/>
              </w:divBdr>
              <w:divsChild>
                <w:div w:id="2060132241">
                  <w:marLeft w:val="0"/>
                  <w:marRight w:val="0"/>
                  <w:marTop w:val="0"/>
                  <w:marBottom w:val="0"/>
                  <w:divBdr>
                    <w:top w:val="none" w:sz="0" w:space="0" w:color="auto"/>
                    <w:left w:val="none" w:sz="0" w:space="0" w:color="auto"/>
                    <w:bottom w:val="none" w:sz="0" w:space="0" w:color="auto"/>
                    <w:right w:val="none" w:sz="0" w:space="0" w:color="auto"/>
                  </w:divBdr>
                  <w:divsChild>
                    <w:div w:id="2076509404">
                      <w:marLeft w:val="0"/>
                      <w:marRight w:val="0"/>
                      <w:marTop w:val="0"/>
                      <w:marBottom w:val="0"/>
                      <w:divBdr>
                        <w:top w:val="none" w:sz="0" w:space="0" w:color="auto"/>
                        <w:left w:val="none" w:sz="0" w:space="0" w:color="auto"/>
                        <w:bottom w:val="none" w:sz="0" w:space="0" w:color="auto"/>
                        <w:right w:val="none" w:sz="0" w:space="0" w:color="auto"/>
                      </w:divBdr>
                      <w:divsChild>
                        <w:div w:id="1786079396">
                          <w:marLeft w:val="0"/>
                          <w:marRight w:val="0"/>
                          <w:marTop w:val="0"/>
                          <w:marBottom w:val="0"/>
                          <w:divBdr>
                            <w:top w:val="none" w:sz="0" w:space="0" w:color="auto"/>
                            <w:left w:val="none" w:sz="0" w:space="0" w:color="auto"/>
                            <w:bottom w:val="none" w:sz="0" w:space="0" w:color="auto"/>
                            <w:right w:val="none" w:sz="0" w:space="0" w:color="auto"/>
                          </w:divBdr>
                          <w:divsChild>
                            <w:div w:id="9643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630337">
      <w:bodyDiv w:val="1"/>
      <w:marLeft w:val="0"/>
      <w:marRight w:val="0"/>
      <w:marTop w:val="0"/>
      <w:marBottom w:val="0"/>
      <w:divBdr>
        <w:top w:val="none" w:sz="0" w:space="0" w:color="auto"/>
        <w:left w:val="none" w:sz="0" w:space="0" w:color="auto"/>
        <w:bottom w:val="none" w:sz="0" w:space="0" w:color="auto"/>
        <w:right w:val="none" w:sz="0" w:space="0" w:color="auto"/>
      </w:divBdr>
    </w:div>
    <w:div w:id="1275407909">
      <w:bodyDiv w:val="1"/>
      <w:marLeft w:val="0"/>
      <w:marRight w:val="0"/>
      <w:marTop w:val="0"/>
      <w:marBottom w:val="0"/>
      <w:divBdr>
        <w:top w:val="none" w:sz="0" w:space="0" w:color="auto"/>
        <w:left w:val="none" w:sz="0" w:space="0" w:color="auto"/>
        <w:bottom w:val="none" w:sz="0" w:space="0" w:color="auto"/>
        <w:right w:val="none" w:sz="0" w:space="0" w:color="auto"/>
      </w:divBdr>
      <w:divsChild>
        <w:div w:id="517504861">
          <w:marLeft w:val="0"/>
          <w:marRight w:val="0"/>
          <w:marTop w:val="0"/>
          <w:marBottom w:val="0"/>
          <w:divBdr>
            <w:top w:val="none" w:sz="0" w:space="0" w:color="auto"/>
            <w:left w:val="none" w:sz="0" w:space="0" w:color="auto"/>
            <w:bottom w:val="none" w:sz="0" w:space="0" w:color="auto"/>
            <w:right w:val="none" w:sz="0" w:space="0" w:color="auto"/>
          </w:divBdr>
          <w:divsChild>
            <w:div w:id="1427799426">
              <w:marLeft w:val="0"/>
              <w:marRight w:val="0"/>
              <w:marTop w:val="0"/>
              <w:marBottom w:val="0"/>
              <w:divBdr>
                <w:top w:val="none" w:sz="0" w:space="0" w:color="auto"/>
                <w:left w:val="none" w:sz="0" w:space="0" w:color="auto"/>
                <w:bottom w:val="none" w:sz="0" w:space="0" w:color="auto"/>
                <w:right w:val="none" w:sz="0" w:space="0" w:color="auto"/>
              </w:divBdr>
              <w:divsChild>
                <w:div w:id="395476065">
                  <w:marLeft w:val="0"/>
                  <w:marRight w:val="0"/>
                  <w:marTop w:val="0"/>
                  <w:marBottom w:val="0"/>
                  <w:divBdr>
                    <w:top w:val="none" w:sz="0" w:space="0" w:color="auto"/>
                    <w:left w:val="none" w:sz="0" w:space="0" w:color="auto"/>
                    <w:bottom w:val="none" w:sz="0" w:space="0" w:color="auto"/>
                    <w:right w:val="none" w:sz="0" w:space="0" w:color="auto"/>
                  </w:divBdr>
                  <w:divsChild>
                    <w:div w:id="1681926000">
                      <w:marLeft w:val="0"/>
                      <w:marRight w:val="0"/>
                      <w:marTop w:val="0"/>
                      <w:marBottom w:val="0"/>
                      <w:divBdr>
                        <w:top w:val="none" w:sz="0" w:space="0" w:color="auto"/>
                        <w:left w:val="none" w:sz="0" w:space="0" w:color="auto"/>
                        <w:bottom w:val="none" w:sz="0" w:space="0" w:color="auto"/>
                        <w:right w:val="none" w:sz="0" w:space="0" w:color="auto"/>
                      </w:divBdr>
                      <w:divsChild>
                        <w:div w:id="20103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069165">
      <w:bodyDiv w:val="1"/>
      <w:marLeft w:val="0"/>
      <w:marRight w:val="0"/>
      <w:marTop w:val="0"/>
      <w:marBottom w:val="0"/>
      <w:divBdr>
        <w:top w:val="none" w:sz="0" w:space="0" w:color="auto"/>
        <w:left w:val="none" w:sz="0" w:space="0" w:color="auto"/>
        <w:bottom w:val="none" w:sz="0" w:space="0" w:color="auto"/>
        <w:right w:val="none" w:sz="0" w:space="0" w:color="auto"/>
      </w:divBdr>
      <w:divsChild>
        <w:div w:id="1988128344">
          <w:marLeft w:val="0"/>
          <w:marRight w:val="0"/>
          <w:marTop w:val="150"/>
          <w:marBottom w:val="0"/>
          <w:divBdr>
            <w:top w:val="none" w:sz="0" w:space="0" w:color="auto"/>
            <w:left w:val="none" w:sz="0" w:space="0" w:color="auto"/>
            <w:bottom w:val="none" w:sz="0" w:space="0" w:color="auto"/>
            <w:right w:val="none" w:sz="0" w:space="0" w:color="auto"/>
          </w:divBdr>
          <w:divsChild>
            <w:div w:id="1941520411">
              <w:marLeft w:val="2"/>
              <w:marRight w:val="2"/>
              <w:marTop w:val="0"/>
              <w:marBottom w:val="0"/>
              <w:divBdr>
                <w:top w:val="none" w:sz="0" w:space="0" w:color="auto"/>
                <w:left w:val="none" w:sz="0" w:space="0" w:color="auto"/>
                <w:bottom w:val="none" w:sz="0" w:space="0" w:color="auto"/>
                <w:right w:val="none" w:sz="0" w:space="0" w:color="auto"/>
              </w:divBdr>
              <w:divsChild>
                <w:div w:id="964046874">
                  <w:marLeft w:val="0"/>
                  <w:marRight w:val="0"/>
                  <w:marTop w:val="0"/>
                  <w:marBottom w:val="0"/>
                  <w:divBdr>
                    <w:top w:val="none" w:sz="0" w:space="0" w:color="auto"/>
                    <w:left w:val="none" w:sz="0" w:space="0" w:color="auto"/>
                    <w:bottom w:val="none" w:sz="0" w:space="0" w:color="auto"/>
                    <w:right w:val="none" w:sz="0" w:space="0" w:color="auto"/>
                  </w:divBdr>
                  <w:divsChild>
                    <w:div w:id="1856994511">
                      <w:marLeft w:val="0"/>
                      <w:marRight w:val="0"/>
                      <w:marTop w:val="0"/>
                      <w:marBottom w:val="0"/>
                      <w:divBdr>
                        <w:top w:val="none" w:sz="0" w:space="0" w:color="auto"/>
                        <w:left w:val="none" w:sz="0" w:space="0" w:color="auto"/>
                        <w:bottom w:val="none" w:sz="0" w:space="0" w:color="auto"/>
                        <w:right w:val="none" w:sz="0" w:space="0" w:color="auto"/>
                      </w:divBdr>
                      <w:divsChild>
                        <w:div w:id="1184051036">
                          <w:marLeft w:val="0"/>
                          <w:marRight w:val="0"/>
                          <w:marTop w:val="0"/>
                          <w:marBottom w:val="0"/>
                          <w:divBdr>
                            <w:top w:val="none" w:sz="0" w:space="0" w:color="auto"/>
                            <w:left w:val="none" w:sz="0" w:space="0" w:color="auto"/>
                            <w:bottom w:val="none" w:sz="0" w:space="0" w:color="auto"/>
                            <w:right w:val="none" w:sz="0" w:space="0" w:color="auto"/>
                          </w:divBdr>
                          <w:divsChild>
                            <w:div w:id="965425331">
                              <w:marLeft w:val="0"/>
                              <w:marRight w:val="0"/>
                              <w:marTop w:val="0"/>
                              <w:marBottom w:val="0"/>
                              <w:divBdr>
                                <w:top w:val="none" w:sz="0" w:space="0" w:color="auto"/>
                                <w:left w:val="none" w:sz="0" w:space="0" w:color="auto"/>
                                <w:bottom w:val="none" w:sz="0" w:space="0" w:color="auto"/>
                                <w:right w:val="none" w:sz="0" w:space="0" w:color="auto"/>
                              </w:divBdr>
                              <w:divsChild>
                                <w:div w:id="890923080">
                                  <w:marLeft w:val="0"/>
                                  <w:marRight w:val="0"/>
                                  <w:marTop w:val="0"/>
                                  <w:marBottom w:val="0"/>
                                  <w:divBdr>
                                    <w:top w:val="none" w:sz="0" w:space="0" w:color="auto"/>
                                    <w:left w:val="none" w:sz="0" w:space="0" w:color="auto"/>
                                    <w:bottom w:val="none" w:sz="0" w:space="0" w:color="auto"/>
                                    <w:right w:val="none" w:sz="0" w:space="0" w:color="auto"/>
                                  </w:divBdr>
                                  <w:divsChild>
                                    <w:div w:id="507788263">
                                      <w:marLeft w:val="0"/>
                                      <w:marRight w:val="0"/>
                                      <w:marTop w:val="0"/>
                                      <w:marBottom w:val="0"/>
                                      <w:divBdr>
                                        <w:top w:val="none" w:sz="0" w:space="0" w:color="auto"/>
                                        <w:left w:val="none" w:sz="0" w:space="0" w:color="auto"/>
                                        <w:bottom w:val="none" w:sz="0" w:space="0" w:color="auto"/>
                                        <w:right w:val="none" w:sz="0" w:space="0" w:color="auto"/>
                                      </w:divBdr>
                                      <w:divsChild>
                                        <w:div w:id="2087726494">
                                          <w:marLeft w:val="0"/>
                                          <w:marRight w:val="0"/>
                                          <w:marTop w:val="0"/>
                                          <w:marBottom w:val="0"/>
                                          <w:divBdr>
                                            <w:top w:val="none" w:sz="0" w:space="0" w:color="auto"/>
                                            <w:left w:val="none" w:sz="0" w:space="0" w:color="auto"/>
                                            <w:bottom w:val="none" w:sz="0" w:space="0" w:color="auto"/>
                                            <w:right w:val="none" w:sz="0" w:space="0" w:color="auto"/>
                                          </w:divBdr>
                                          <w:divsChild>
                                            <w:div w:id="1759054051">
                                              <w:marLeft w:val="0"/>
                                              <w:marRight w:val="0"/>
                                              <w:marTop w:val="0"/>
                                              <w:marBottom w:val="0"/>
                                              <w:divBdr>
                                                <w:top w:val="none" w:sz="0" w:space="0" w:color="auto"/>
                                                <w:left w:val="none" w:sz="0" w:space="0" w:color="auto"/>
                                                <w:bottom w:val="none" w:sz="0" w:space="0" w:color="auto"/>
                                                <w:right w:val="none" w:sz="0" w:space="0" w:color="auto"/>
                                              </w:divBdr>
                                              <w:divsChild>
                                                <w:div w:id="830559064">
                                                  <w:marLeft w:val="0"/>
                                                  <w:marRight w:val="0"/>
                                                  <w:marTop w:val="0"/>
                                                  <w:marBottom w:val="0"/>
                                                  <w:divBdr>
                                                    <w:top w:val="none" w:sz="0" w:space="0" w:color="auto"/>
                                                    <w:left w:val="none" w:sz="0" w:space="0" w:color="auto"/>
                                                    <w:bottom w:val="none" w:sz="0" w:space="0" w:color="auto"/>
                                                    <w:right w:val="none" w:sz="0" w:space="0" w:color="auto"/>
                                                  </w:divBdr>
                                                </w:div>
                                              </w:divsChild>
                                            </w:div>
                                            <w:div w:id="418991670">
                                              <w:marLeft w:val="0"/>
                                              <w:marRight w:val="0"/>
                                              <w:marTop w:val="0"/>
                                              <w:marBottom w:val="0"/>
                                              <w:divBdr>
                                                <w:top w:val="none" w:sz="0" w:space="0" w:color="auto"/>
                                                <w:left w:val="none" w:sz="0" w:space="0" w:color="auto"/>
                                                <w:bottom w:val="none" w:sz="0" w:space="0" w:color="auto"/>
                                                <w:right w:val="none" w:sz="0" w:space="0" w:color="auto"/>
                                              </w:divBdr>
                                              <w:divsChild>
                                                <w:div w:id="55319091">
                                                  <w:marLeft w:val="0"/>
                                                  <w:marRight w:val="0"/>
                                                  <w:marTop w:val="0"/>
                                                  <w:marBottom w:val="0"/>
                                                  <w:divBdr>
                                                    <w:top w:val="none" w:sz="0" w:space="0" w:color="auto"/>
                                                    <w:left w:val="none" w:sz="0" w:space="0" w:color="auto"/>
                                                    <w:bottom w:val="none" w:sz="0" w:space="0" w:color="auto"/>
                                                    <w:right w:val="none" w:sz="0" w:space="0" w:color="auto"/>
                                                  </w:divBdr>
                                                </w:div>
                                              </w:divsChild>
                                            </w:div>
                                            <w:div w:id="71465296">
                                              <w:marLeft w:val="0"/>
                                              <w:marRight w:val="0"/>
                                              <w:marTop w:val="0"/>
                                              <w:marBottom w:val="0"/>
                                              <w:divBdr>
                                                <w:top w:val="none" w:sz="0" w:space="0" w:color="auto"/>
                                                <w:left w:val="none" w:sz="0" w:space="0" w:color="auto"/>
                                                <w:bottom w:val="none" w:sz="0" w:space="0" w:color="auto"/>
                                                <w:right w:val="none" w:sz="0" w:space="0" w:color="auto"/>
                                              </w:divBdr>
                                              <w:divsChild>
                                                <w:div w:id="435637223">
                                                  <w:marLeft w:val="0"/>
                                                  <w:marRight w:val="0"/>
                                                  <w:marTop w:val="0"/>
                                                  <w:marBottom w:val="0"/>
                                                  <w:divBdr>
                                                    <w:top w:val="none" w:sz="0" w:space="0" w:color="auto"/>
                                                    <w:left w:val="none" w:sz="0" w:space="0" w:color="auto"/>
                                                    <w:bottom w:val="none" w:sz="0" w:space="0" w:color="auto"/>
                                                    <w:right w:val="none" w:sz="0" w:space="0" w:color="auto"/>
                                                  </w:divBdr>
                                                </w:div>
                                              </w:divsChild>
                                            </w:div>
                                            <w:div w:id="1775902435">
                                              <w:marLeft w:val="0"/>
                                              <w:marRight w:val="0"/>
                                              <w:marTop w:val="0"/>
                                              <w:marBottom w:val="0"/>
                                              <w:divBdr>
                                                <w:top w:val="none" w:sz="0" w:space="0" w:color="auto"/>
                                                <w:left w:val="none" w:sz="0" w:space="0" w:color="auto"/>
                                                <w:bottom w:val="none" w:sz="0" w:space="0" w:color="auto"/>
                                                <w:right w:val="none" w:sz="0" w:space="0" w:color="auto"/>
                                              </w:divBdr>
                                              <w:divsChild>
                                                <w:div w:id="6053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0457711">
      <w:bodyDiv w:val="1"/>
      <w:marLeft w:val="0"/>
      <w:marRight w:val="0"/>
      <w:marTop w:val="0"/>
      <w:marBottom w:val="0"/>
      <w:divBdr>
        <w:top w:val="none" w:sz="0" w:space="0" w:color="auto"/>
        <w:left w:val="none" w:sz="0" w:space="0" w:color="auto"/>
        <w:bottom w:val="none" w:sz="0" w:space="0" w:color="auto"/>
        <w:right w:val="none" w:sz="0" w:space="0" w:color="auto"/>
      </w:divBdr>
      <w:divsChild>
        <w:div w:id="1777480918">
          <w:marLeft w:val="-150"/>
          <w:marRight w:val="0"/>
          <w:marTop w:val="45"/>
          <w:marBottom w:val="60"/>
          <w:divBdr>
            <w:top w:val="none" w:sz="0" w:space="0" w:color="auto"/>
            <w:left w:val="none" w:sz="0" w:space="0" w:color="auto"/>
            <w:bottom w:val="none" w:sz="0" w:space="0" w:color="auto"/>
            <w:right w:val="none" w:sz="0" w:space="0" w:color="auto"/>
          </w:divBdr>
          <w:divsChild>
            <w:div w:id="34239859">
              <w:marLeft w:val="0"/>
              <w:marRight w:val="0"/>
              <w:marTop w:val="0"/>
              <w:marBottom w:val="0"/>
              <w:divBdr>
                <w:top w:val="none" w:sz="0" w:space="0" w:color="auto"/>
                <w:left w:val="none" w:sz="0" w:space="0" w:color="auto"/>
                <w:bottom w:val="none" w:sz="0" w:space="0" w:color="auto"/>
                <w:right w:val="none" w:sz="0" w:space="0" w:color="auto"/>
              </w:divBdr>
            </w:div>
          </w:divsChild>
        </w:div>
        <w:div w:id="1063913300">
          <w:marLeft w:val="0"/>
          <w:marRight w:val="0"/>
          <w:marTop w:val="0"/>
          <w:marBottom w:val="30"/>
          <w:divBdr>
            <w:top w:val="none" w:sz="0" w:space="0" w:color="auto"/>
            <w:left w:val="none" w:sz="0" w:space="0" w:color="auto"/>
            <w:bottom w:val="none" w:sz="0" w:space="0" w:color="auto"/>
            <w:right w:val="none" w:sz="0" w:space="0" w:color="auto"/>
          </w:divBdr>
          <w:divsChild>
            <w:div w:id="16397384">
              <w:marLeft w:val="0"/>
              <w:marRight w:val="0"/>
              <w:marTop w:val="0"/>
              <w:marBottom w:val="0"/>
              <w:divBdr>
                <w:top w:val="none" w:sz="0" w:space="0" w:color="auto"/>
                <w:left w:val="none" w:sz="0" w:space="0" w:color="auto"/>
                <w:bottom w:val="none" w:sz="0" w:space="0" w:color="auto"/>
                <w:right w:val="none" w:sz="0" w:space="0" w:color="auto"/>
              </w:divBdr>
            </w:div>
          </w:divsChild>
        </w:div>
        <w:div w:id="1766028358">
          <w:marLeft w:val="0"/>
          <w:marRight w:val="0"/>
          <w:marTop w:val="0"/>
          <w:marBottom w:val="30"/>
          <w:divBdr>
            <w:top w:val="none" w:sz="0" w:space="0" w:color="auto"/>
            <w:left w:val="none" w:sz="0" w:space="0" w:color="auto"/>
            <w:bottom w:val="none" w:sz="0" w:space="0" w:color="auto"/>
            <w:right w:val="none" w:sz="0" w:space="0" w:color="auto"/>
          </w:divBdr>
          <w:divsChild>
            <w:div w:id="925262180">
              <w:marLeft w:val="0"/>
              <w:marRight w:val="0"/>
              <w:marTop w:val="0"/>
              <w:marBottom w:val="0"/>
              <w:divBdr>
                <w:top w:val="none" w:sz="0" w:space="0" w:color="auto"/>
                <w:left w:val="none" w:sz="0" w:space="0" w:color="auto"/>
                <w:bottom w:val="none" w:sz="0" w:space="0" w:color="auto"/>
                <w:right w:val="none" w:sz="0" w:space="0" w:color="auto"/>
              </w:divBdr>
            </w:div>
          </w:divsChild>
        </w:div>
        <w:div w:id="53284260">
          <w:marLeft w:val="0"/>
          <w:marRight w:val="0"/>
          <w:marTop w:val="0"/>
          <w:marBottom w:val="0"/>
          <w:divBdr>
            <w:top w:val="none" w:sz="0" w:space="0" w:color="auto"/>
            <w:left w:val="none" w:sz="0" w:space="0" w:color="auto"/>
            <w:bottom w:val="none" w:sz="0" w:space="0" w:color="auto"/>
            <w:right w:val="none" w:sz="0" w:space="0" w:color="auto"/>
          </w:divBdr>
          <w:divsChild>
            <w:div w:id="12930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5388">
      <w:bodyDiv w:val="1"/>
      <w:marLeft w:val="0"/>
      <w:marRight w:val="0"/>
      <w:marTop w:val="0"/>
      <w:marBottom w:val="0"/>
      <w:divBdr>
        <w:top w:val="none" w:sz="0" w:space="0" w:color="auto"/>
        <w:left w:val="none" w:sz="0" w:space="0" w:color="auto"/>
        <w:bottom w:val="none" w:sz="0" w:space="0" w:color="auto"/>
        <w:right w:val="none" w:sz="0" w:space="0" w:color="auto"/>
      </w:divBdr>
      <w:divsChild>
        <w:div w:id="323557151">
          <w:marLeft w:val="0"/>
          <w:marRight w:val="0"/>
          <w:marTop w:val="0"/>
          <w:marBottom w:val="0"/>
          <w:divBdr>
            <w:top w:val="single" w:sz="2" w:space="0" w:color="auto"/>
            <w:left w:val="single" w:sz="2" w:space="0" w:color="auto"/>
            <w:bottom w:val="single" w:sz="2" w:space="0" w:color="auto"/>
            <w:right w:val="single" w:sz="2" w:space="0" w:color="auto"/>
          </w:divBdr>
          <w:divsChild>
            <w:div w:id="944077833">
              <w:marLeft w:val="0"/>
              <w:marRight w:val="0"/>
              <w:marTop w:val="0"/>
              <w:marBottom w:val="0"/>
              <w:divBdr>
                <w:top w:val="single" w:sz="2" w:space="0" w:color="auto"/>
                <w:left w:val="single" w:sz="2" w:space="0" w:color="auto"/>
                <w:bottom w:val="single" w:sz="2" w:space="0" w:color="auto"/>
                <w:right w:val="single" w:sz="2" w:space="0" w:color="auto"/>
              </w:divBdr>
            </w:div>
          </w:divsChild>
        </w:div>
        <w:div w:id="63572962">
          <w:marLeft w:val="0"/>
          <w:marRight w:val="0"/>
          <w:marTop w:val="0"/>
          <w:marBottom w:val="0"/>
          <w:divBdr>
            <w:top w:val="single" w:sz="2" w:space="0" w:color="auto"/>
            <w:left w:val="single" w:sz="2" w:space="0" w:color="auto"/>
            <w:bottom w:val="single" w:sz="2" w:space="0" w:color="auto"/>
            <w:right w:val="single" w:sz="2" w:space="0" w:color="auto"/>
          </w:divBdr>
        </w:div>
        <w:div w:id="1540626281">
          <w:marLeft w:val="0"/>
          <w:marRight w:val="0"/>
          <w:marTop w:val="0"/>
          <w:marBottom w:val="0"/>
          <w:divBdr>
            <w:top w:val="single" w:sz="2" w:space="0" w:color="auto"/>
            <w:left w:val="single" w:sz="2" w:space="0" w:color="auto"/>
            <w:bottom w:val="single" w:sz="2" w:space="0" w:color="auto"/>
            <w:right w:val="single" w:sz="2" w:space="0" w:color="auto"/>
          </w:divBdr>
        </w:div>
        <w:div w:id="433332325">
          <w:marLeft w:val="0"/>
          <w:marRight w:val="0"/>
          <w:marTop w:val="0"/>
          <w:marBottom w:val="0"/>
          <w:divBdr>
            <w:top w:val="single" w:sz="2" w:space="0" w:color="auto"/>
            <w:left w:val="single" w:sz="2" w:space="0" w:color="auto"/>
            <w:bottom w:val="single" w:sz="2" w:space="0" w:color="auto"/>
            <w:right w:val="single" w:sz="2" w:space="0" w:color="auto"/>
          </w:divBdr>
        </w:div>
      </w:divsChild>
    </w:div>
    <w:div w:id="1282683095">
      <w:bodyDiv w:val="1"/>
      <w:marLeft w:val="0"/>
      <w:marRight w:val="0"/>
      <w:marTop w:val="0"/>
      <w:marBottom w:val="0"/>
      <w:divBdr>
        <w:top w:val="none" w:sz="0" w:space="0" w:color="auto"/>
        <w:left w:val="none" w:sz="0" w:space="0" w:color="auto"/>
        <w:bottom w:val="none" w:sz="0" w:space="0" w:color="auto"/>
        <w:right w:val="none" w:sz="0" w:space="0" w:color="auto"/>
      </w:divBdr>
    </w:div>
    <w:div w:id="1282683569">
      <w:bodyDiv w:val="1"/>
      <w:marLeft w:val="0"/>
      <w:marRight w:val="0"/>
      <w:marTop w:val="0"/>
      <w:marBottom w:val="0"/>
      <w:divBdr>
        <w:top w:val="none" w:sz="0" w:space="0" w:color="auto"/>
        <w:left w:val="none" w:sz="0" w:space="0" w:color="auto"/>
        <w:bottom w:val="none" w:sz="0" w:space="0" w:color="auto"/>
        <w:right w:val="none" w:sz="0" w:space="0" w:color="auto"/>
      </w:divBdr>
      <w:divsChild>
        <w:div w:id="1060205658">
          <w:marLeft w:val="0"/>
          <w:marRight w:val="0"/>
          <w:marTop w:val="0"/>
          <w:marBottom w:val="0"/>
          <w:divBdr>
            <w:top w:val="none" w:sz="0" w:space="0" w:color="auto"/>
            <w:left w:val="none" w:sz="0" w:space="0" w:color="auto"/>
            <w:bottom w:val="none" w:sz="0" w:space="0" w:color="auto"/>
            <w:right w:val="none" w:sz="0" w:space="0" w:color="auto"/>
          </w:divBdr>
          <w:divsChild>
            <w:div w:id="21247939">
              <w:marLeft w:val="0"/>
              <w:marRight w:val="0"/>
              <w:marTop w:val="0"/>
              <w:marBottom w:val="0"/>
              <w:divBdr>
                <w:top w:val="none" w:sz="0" w:space="0" w:color="auto"/>
                <w:left w:val="none" w:sz="0" w:space="0" w:color="auto"/>
                <w:bottom w:val="none" w:sz="0" w:space="0" w:color="auto"/>
                <w:right w:val="none" w:sz="0" w:space="0" w:color="auto"/>
              </w:divBdr>
              <w:divsChild>
                <w:div w:id="638270101">
                  <w:marLeft w:val="0"/>
                  <w:marRight w:val="0"/>
                  <w:marTop w:val="0"/>
                  <w:marBottom w:val="0"/>
                  <w:divBdr>
                    <w:top w:val="none" w:sz="0" w:space="0" w:color="auto"/>
                    <w:left w:val="none" w:sz="0" w:space="0" w:color="auto"/>
                    <w:bottom w:val="none" w:sz="0" w:space="0" w:color="auto"/>
                    <w:right w:val="none" w:sz="0" w:space="0" w:color="auto"/>
                  </w:divBdr>
                  <w:divsChild>
                    <w:div w:id="463961928">
                      <w:marLeft w:val="0"/>
                      <w:marRight w:val="0"/>
                      <w:marTop w:val="0"/>
                      <w:marBottom w:val="0"/>
                      <w:divBdr>
                        <w:top w:val="none" w:sz="0" w:space="0" w:color="auto"/>
                        <w:left w:val="none" w:sz="0" w:space="0" w:color="auto"/>
                        <w:bottom w:val="none" w:sz="0" w:space="0" w:color="auto"/>
                        <w:right w:val="none" w:sz="0" w:space="0" w:color="auto"/>
                      </w:divBdr>
                      <w:divsChild>
                        <w:div w:id="7238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69926">
      <w:bodyDiv w:val="1"/>
      <w:marLeft w:val="0"/>
      <w:marRight w:val="0"/>
      <w:marTop w:val="0"/>
      <w:marBottom w:val="0"/>
      <w:divBdr>
        <w:top w:val="none" w:sz="0" w:space="0" w:color="auto"/>
        <w:left w:val="none" w:sz="0" w:space="0" w:color="auto"/>
        <w:bottom w:val="none" w:sz="0" w:space="0" w:color="auto"/>
        <w:right w:val="none" w:sz="0" w:space="0" w:color="auto"/>
      </w:divBdr>
    </w:div>
    <w:div w:id="1284262339">
      <w:bodyDiv w:val="1"/>
      <w:marLeft w:val="0"/>
      <w:marRight w:val="0"/>
      <w:marTop w:val="0"/>
      <w:marBottom w:val="0"/>
      <w:divBdr>
        <w:top w:val="none" w:sz="0" w:space="0" w:color="auto"/>
        <w:left w:val="none" w:sz="0" w:space="0" w:color="auto"/>
        <w:bottom w:val="none" w:sz="0" w:space="0" w:color="auto"/>
        <w:right w:val="none" w:sz="0" w:space="0" w:color="auto"/>
      </w:divBdr>
    </w:div>
    <w:div w:id="1287590457">
      <w:bodyDiv w:val="1"/>
      <w:marLeft w:val="0"/>
      <w:marRight w:val="0"/>
      <w:marTop w:val="0"/>
      <w:marBottom w:val="0"/>
      <w:divBdr>
        <w:top w:val="none" w:sz="0" w:space="0" w:color="auto"/>
        <w:left w:val="none" w:sz="0" w:space="0" w:color="auto"/>
        <w:bottom w:val="none" w:sz="0" w:space="0" w:color="auto"/>
        <w:right w:val="none" w:sz="0" w:space="0" w:color="auto"/>
      </w:divBdr>
    </w:div>
    <w:div w:id="1288395585">
      <w:bodyDiv w:val="1"/>
      <w:marLeft w:val="0"/>
      <w:marRight w:val="0"/>
      <w:marTop w:val="0"/>
      <w:marBottom w:val="0"/>
      <w:divBdr>
        <w:top w:val="none" w:sz="0" w:space="0" w:color="auto"/>
        <w:left w:val="none" w:sz="0" w:space="0" w:color="auto"/>
        <w:bottom w:val="none" w:sz="0" w:space="0" w:color="auto"/>
        <w:right w:val="none" w:sz="0" w:space="0" w:color="auto"/>
      </w:divBdr>
      <w:divsChild>
        <w:div w:id="2113671141">
          <w:marLeft w:val="0"/>
          <w:marRight w:val="0"/>
          <w:marTop w:val="0"/>
          <w:marBottom w:val="0"/>
          <w:divBdr>
            <w:top w:val="single" w:sz="6" w:space="0" w:color="0E477A"/>
            <w:left w:val="single" w:sz="6" w:space="0" w:color="0E477A"/>
            <w:bottom w:val="single" w:sz="6" w:space="0" w:color="0E477A"/>
            <w:right w:val="single" w:sz="6" w:space="0" w:color="0E477A"/>
          </w:divBdr>
          <w:divsChild>
            <w:div w:id="1711209">
              <w:marLeft w:val="2925"/>
              <w:marRight w:val="0"/>
              <w:marTop w:val="0"/>
              <w:marBottom w:val="0"/>
              <w:divBdr>
                <w:top w:val="none" w:sz="0" w:space="0" w:color="auto"/>
                <w:left w:val="none" w:sz="0" w:space="0" w:color="auto"/>
                <w:bottom w:val="none" w:sz="0" w:space="0" w:color="auto"/>
                <w:right w:val="none" w:sz="0" w:space="0" w:color="auto"/>
              </w:divBdr>
              <w:divsChild>
                <w:div w:id="426733115">
                  <w:marLeft w:val="0"/>
                  <w:marRight w:val="0"/>
                  <w:marTop w:val="0"/>
                  <w:marBottom w:val="0"/>
                  <w:divBdr>
                    <w:top w:val="none" w:sz="0" w:space="0" w:color="auto"/>
                    <w:left w:val="none" w:sz="0" w:space="0" w:color="auto"/>
                    <w:bottom w:val="none" w:sz="0" w:space="0" w:color="auto"/>
                    <w:right w:val="none" w:sz="0" w:space="0" w:color="auto"/>
                  </w:divBdr>
                  <w:divsChild>
                    <w:div w:id="189343714">
                      <w:marLeft w:val="0"/>
                      <w:marRight w:val="150"/>
                      <w:marTop w:val="0"/>
                      <w:marBottom w:val="0"/>
                      <w:divBdr>
                        <w:top w:val="single" w:sz="6" w:space="0" w:color="CCCCCC"/>
                        <w:left w:val="single" w:sz="6" w:space="8" w:color="CCCCCC"/>
                        <w:bottom w:val="single" w:sz="6" w:space="8" w:color="CCCCCC"/>
                        <w:right w:val="single" w:sz="6" w:space="8" w:color="CCCCCC"/>
                      </w:divBdr>
                      <w:divsChild>
                        <w:div w:id="2100132560">
                          <w:marLeft w:val="0"/>
                          <w:marRight w:val="0"/>
                          <w:marTop w:val="0"/>
                          <w:marBottom w:val="0"/>
                          <w:divBdr>
                            <w:top w:val="none" w:sz="0" w:space="0" w:color="auto"/>
                            <w:left w:val="none" w:sz="0" w:space="0" w:color="auto"/>
                            <w:bottom w:val="none" w:sz="0" w:space="0" w:color="auto"/>
                            <w:right w:val="none" w:sz="0" w:space="0" w:color="auto"/>
                          </w:divBdr>
                        </w:div>
                        <w:div w:id="472717492">
                          <w:marLeft w:val="0"/>
                          <w:marRight w:val="0"/>
                          <w:marTop w:val="0"/>
                          <w:marBottom w:val="0"/>
                          <w:divBdr>
                            <w:top w:val="none" w:sz="0" w:space="0" w:color="auto"/>
                            <w:left w:val="none" w:sz="0" w:space="0" w:color="auto"/>
                            <w:bottom w:val="none" w:sz="0" w:space="0" w:color="auto"/>
                            <w:right w:val="none" w:sz="0" w:space="0" w:color="auto"/>
                          </w:divBdr>
                        </w:div>
                        <w:div w:id="1048798218">
                          <w:marLeft w:val="0"/>
                          <w:marRight w:val="0"/>
                          <w:marTop w:val="0"/>
                          <w:marBottom w:val="0"/>
                          <w:divBdr>
                            <w:top w:val="none" w:sz="0" w:space="0" w:color="auto"/>
                            <w:left w:val="none" w:sz="0" w:space="0" w:color="auto"/>
                            <w:bottom w:val="none" w:sz="0" w:space="0" w:color="auto"/>
                            <w:right w:val="none" w:sz="0" w:space="0" w:color="auto"/>
                          </w:divBdr>
                        </w:div>
                        <w:div w:id="1943490238">
                          <w:marLeft w:val="0"/>
                          <w:marRight w:val="0"/>
                          <w:marTop w:val="0"/>
                          <w:marBottom w:val="0"/>
                          <w:divBdr>
                            <w:top w:val="none" w:sz="0" w:space="0" w:color="auto"/>
                            <w:left w:val="none" w:sz="0" w:space="0" w:color="auto"/>
                            <w:bottom w:val="none" w:sz="0" w:space="0" w:color="auto"/>
                            <w:right w:val="none" w:sz="0" w:space="0" w:color="auto"/>
                          </w:divBdr>
                        </w:div>
                        <w:div w:id="1656109150">
                          <w:marLeft w:val="0"/>
                          <w:marRight w:val="0"/>
                          <w:marTop w:val="0"/>
                          <w:marBottom w:val="0"/>
                          <w:divBdr>
                            <w:top w:val="none" w:sz="0" w:space="0" w:color="auto"/>
                            <w:left w:val="none" w:sz="0" w:space="0" w:color="auto"/>
                            <w:bottom w:val="none" w:sz="0" w:space="0" w:color="auto"/>
                            <w:right w:val="none" w:sz="0" w:space="0" w:color="auto"/>
                          </w:divBdr>
                        </w:div>
                        <w:div w:id="646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236306">
      <w:bodyDiv w:val="1"/>
      <w:marLeft w:val="0"/>
      <w:marRight w:val="0"/>
      <w:marTop w:val="0"/>
      <w:marBottom w:val="0"/>
      <w:divBdr>
        <w:top w:val="none" w:sz="0" w:space="0" w:color="auto"/>
        <w:left w:val="none" w:sz="0" w:space="0" w:color="auto"/>
        <w:bottom w:val="none" w:sz="0" w:space="0" w:color="auto"/>
        <w:right w:val="none" w:sz="0" w:space="0" w:color="auto"/>
      </w:divBdr>
      <w:divsChild>
        <w:div w:id="201482315">
          <w:marLeft w:val="0"/>
          <w:marRight w:val="0"/>
          <w:marTop w:val="0"/>
          <w:marBottom w:val="0"/>
          <w:divBdr>
            <w:top w:val="none" w:sz="0" w:space="0" w:color="auto"/>
            <w:left w:val="none" w:sz="0" w:space="0" w:color="auto"/>
            <w:bottom w:val="none" w:sz="0" w:space="0" w:color="auto"/>
            <w:right w:val="none" w:sz="0" w:space="0" w:color="auto"/>
          </w:divBdr>
          <w:divsChild>
            <w:div w:id="139154074">
              <w:marLeft w:val="0"/>
              <w:marRight w:val="0"/>
              <w:marTop w:val="0"/>
              <w:marBottom w:val="0"/>
              <w:divBdr>
                <w:top w:val="none" w:sz="0" w:space="0" w:color="auto"/>
                <w:left w:val="none" w:sz="0" w:space="0" w:color="auto"/>
                <w:bottom w:val="none" w:sz="0" w:space="0" w:color="auto"/>
                <w:right w:val="none" w:sz="0" w:space="0" w:color="auto"/>
              </w:divBdr>
              <w:divsChild>
                <w:div w:id="409692891">
                  <w:marLeft w:val="0"/>
                  <w:marRight w:val="0"/>
                  <w:marTop w:val="0"/>
                  <w:marBottom w:val="0"/>
                  <w:divBdr>
                    <w:top w:val="none" w:sz="0" w:space="0" w:color="auto"/>
                    <w:left w:val="none" w:sz="0" w:space="0" w:color="auto"/>
                    <w:bottom w:val="none" w:sz="0" w:space="0" w:color="auto"/>
                    <w:right w:val="none" w:sz="0" w:space="0" w:color="auto"/>
                  </w:divBdr>
                  <w:divsChild>
                    <w:div w:id="539128133">
                      <w:marLeft w:val="0"/>
                      <w:marRight w:val="0"/>
                      <w:marTop w:val="0"/>
                      <w:marBottom w:val="0"/>
                      <w:divBdr>
                        <w:top w:val="none" w:sz="0" w:space="0" w:color="auto"/>
                        <w:left w:val="none" w:sz="0" w:space="0" w:color="auto"/>
                        <w:bottom w:val="none" w:sz="0" w:space="0" w:color="auto"/>
                        <w:right w:val="none" w:sz="0" w:space="0" w:color="auto"/>
                      </w:divBdr>
                      <w:divsChild>
                        <w:div w:id="350034243">
                          <w:marLeft w:val="0"/>
                          <w:marRight w:val="0"/>
                          <w:marTop w:val="0"/>
                          <w:marBottom w:val="0"/>
                          <w:divBdr>
                            <w:top w:val="none" w:sz="0" w:space="0" w:color="auto"/>
                            <w:left w:val="none" w:sz="0" w:space="0" w:color="auto"/>
                            <w:bottom w:val="none" w:sz="0" w:space="0" w:color="auto"/>
                            <w:right w:val="none" w:sz="0" w:space="0" w:color="auto"/>
                          </w:divBdr>
                          <w:divsChild>
                            <w:div w:id="1799881972">
                              <w:marLeft w:val="0"/>
                              <w:marRight w:val="0"/>
                              <w:marTop w:val="0"/>
                              <w:marBottom w:val="0"/>
                              <w:divBdr>
                                <w:top w:val="none" w:sz="0" w:space="0" w:color="auto"/>
                                <w:left w:val="none" w:sz="0" w:space="0" w:color="auto"/>
                                <w:bottom w:val="none" w:sz="0" w:space="0" w:color="auto"/>
                                <w:right w:val="none" w:sz="0" w:space="0" w:color="auto"/>
                              </w:divBdr>
                              <w:divsChild>
                                <w:div w:id="687373991">
                                  <w:marLeft w:val="0"/>
                                  <w:marRight w:val="0"/>
                                  <w:marTop w:val="0"/>
                                  <w:marBottom w:val="0"/>
                                  <w:divBdr>
                                    <w:top w:val="none" w:sz="0" w:space="0" w:color="auto"/>
                                    <w:left w:val="none" w:sz="0" w:space="0" w:color="auto"/>
                                    <w:bottom w:val="none" w:sz="0" w:space="0" w:color="auto"/>
                                    <w:right w:val="none" w:sz="0" w:space="0" w:color="auto"/>
                                  </w:divBdr>
                                  <w:divsChild>
                                    <w:div w:id="1787697568">
                                      <w:marLeft w:val="0"/>
                                      <w:marRight w:val="0"/>
                                      <w:marTop w:val="0"/>
                                      <w:marBottom w:val="0"/>
                                      <w:divBdr>
                                        <w:top w:val="none" w:sz="0" w:space="0" w:color="auto"/>
                                        <w:left w:val="none" w:sz="0" w:space="0" w:color="auto"/>
                                        <w:bottom w:val="none" w:sz="0" w:space="0" w:color="auto"/>
                                        <w:right w:val="none" w:sz="0" w:space="0" w:color="auto"/>
                                      </w:divBdr>
                                      <w:divsChild>
                                        <w:div w:id="1709910602">
                                          <w:marLeft w:val="0"/>
                                          <w:marRight w:val="0"/>
                                          <w:marTop w:val="0"/>
                                          <w:marBottom w:val="0"/>
                                          <w:divBdr>
                                            <w:top w:val="none" w:sz="0" w:space="0" w:color="auto"/>
                                            <w:left w:val="none" w:sz="0" w:space="0" w:color="auto"/>
                                            <w:bottom w:val="none" w:sz="0" w:space="0" w:color="auto"/>
                                            <w:right w:val="none" w:sz="0" w:space="0" w:color="auto"/>
                                          </w:divBdr>
                                          <w:divsChild>
                                            <w:div w:id="310645734">
                                              <w:marLeft w:val="0"/>
                                              <w:marRight w:val="0"/>
                                              <w:marTop w:val="0"/>
                                              <w:marBottom w:val="0"/>
                                              <w:divBdr>
                                                <w:top w:val="none" w:sz="0" w:space="0" w:color="auto"/>
                                                <w:left w:val="none" w:sz="0" w:space="0" w:color="auto"/>
                                                <w:bottom w:val="none" w:sz="0" w:space="0" w:color="auto"/>
                                                <w:right w:val="none" w:sz="0" w:space="0" w:color="auto"/>
                                              </w:divBdr>
                                              <w:divsChild>
                                                <w:div w:id="842748197">
                                                  <w:marLeft w:val="0"/>
                                                  <w:marRight w:val="0"/>
                                                  <w:marTop w:val="0"/>
                                                  <w:marBottom w:val="0"/>
                                                  <w:divBdr>
                                                    <w:top w:val="none" w:sz="0" w:space="0" w:color="auto"/>
                                                    <w:left w:val="none" w:sz="0" w:space="0" w:color="auto"/>
                                                    <w:bottom w:val="none" w:sz="0" w:space="0" w:color="auto"/>
                                                    <w:right w:val="none" w:sz="0" w:space="0" w:color="auto"/>
                                                  </w:divBdr>
                                                  <w:divsChild>
                                                    <w:div w:id="84228648">
                                                      <w:marLeft w:val="0"/>
                                                      <w:marRight w:val="0"/>
                                                      <w:marTop w:val="0"/>
                                                      <w:marBottom w:val="0"/>
                                                      <w:divBdr>
                                                        <w:top w:val="none" w:sz="0" w:space="0" w:color="auto"/>
                                                        <w:left w:val="none" w:sz="0" w:space="0" w:color="auto"/>
                                                        <w:bottom w:val="none" w:sz="0" w:space="0" w:color="auto"/>
                                                        <w:right w:val="none" w:sz="0" w:space="0" w:color="auto"/>
                                                      </w:divBdr>
                                                      <w:divsChild>
                                                        <w:div w:id="6857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815753">
      <w:bodyDiv w:val="1"/>
      <w:marLeft w:val="0"/>
      <w:marRight w:val="0"/>
      <w:marTop w:val="0"/>
      <w:marBottom w:val="0"/>
      <w:divBdr>
        <w:top w:val="none" w:sz="0" w:space="0" w:color="auto"/>
        <w:left w:val="none" w:sz="0" w:space="0" w:color="auto"/>
        <w:bottom w:val="none" w:sz="0" w:space="0" w:color="auto"/>
        <w:right w:val="none" w:sz="0" w:space="0" w:color="auto"/>
      </w:divBdr>
    </w:div>
    <w:div w:id="1291325941">
      <w:bodyDiv w:val="1"/>
      <w:marLeft w:val="0"/>
      <w:marRight w:val="0"/>
      <w:marTop w:val="0"/>
      <w:marBottom w:val="0"/>
      <w:divBdr>
        <w:top w:val="none" w:sz="0" w:space="0" w:color="auto"/>
        <w:left w:val="none" w:sz="0" w:space="0" w:color="auto"/>
        <w:bottom w:val="none" w:sz="0" w:space="0" w:color="auto"/>
        <w:right w:val="none" w:sz="0" w:space="0" w:color="auto"/>
      </w:divBdr>
      <w:divsChild>
        <w:div w:id="498278167">
          <w:marLeft w:val="0"/>
          <w:marRight w:val="0"/>
          <w:marTop w:val="0"/>
          <w:marBottom w:val="0"/>
          <w:divBdr>
            <w:top w:val="none" w:sz="0" w:space="0" w:color="auto"/>
            <w:left w:val="none" w:sz="0" w:space="0" w:color="auto"/>
            <w:bottom w:val="none" w:sz="0" w:space="0" w:color="auto"/>
            <w:right w:val="none" w:sz="0" w:space="0" w:color="auto"/>
          </w:divBdr>
          <w:divsChild>
            <w:div w:id="550577892">
              <w:marLeft w:val="0"/>
              <w:marRight w:val="0"/>
              <w:marTop w:val="0"/>
              <w:marBottom w:val="0"/>
              <w:divBdr>
                <w:top w:val="none" w:sz="0" w:space="0" w:color="auto"/>
                <w:left w:val="none" w:sz="0" w:space="0" w:color="auto"/>
                <w:bottom w:val="none" w:sz="0" w:space="0" w:color="auto"/>
                <w:right w:val="none" w:sz="0" w:space="0" w:color="auto"/>
              </w:divBdr>
              <w:divsChild>
                <w:div w:id="765003871">
                  <w:marLeft w:val="0"/>
                  <w:marRight w:val="0"/>
                  <w:marTop w:val="100"/>
                  <w:marBottom w:val="100"/>
                  <w:divBdr>
                    <w:top w:val="none" w:sz="0" w:space="0" w:color="auto"/>
                    <w:left w:val="none" w:sz="0" w:space="0" w:color="auto"/>
                    <w:bottom w:val="none" w:sz="0" w:space="0" w:color="auto"/>
                    <w:right w:val="none" w:sz="0" w:space="0" w:color="auto"/>
                  </w:divBdr>
                  <w:divsChild>
                    <w:div w:id="714543833">
                      <w:marLeft w:val="0"/>
                      <w:marRight w:val="0"/>
                      <w:marTop w:val="0"/>
                      <w:marBottom w:val="0"/>
                      <w:divBdr>
                        <w:top w:val="none" w:sz="0" w:space="0" w:color="auto"/>
                        <w:left w:val="none" w:sz="0" w:space="0" w:color="auto"/>
                        <w:bottom w:val="none" w:sz="0" w:space="0" w:color="auto"/>
                        <w:right w:val="none" w:sz="0" w:space="0" w:color="auto"/>
                      </w:divBdr>
                      <w:divsChild>
                        <w:div w:id="1144351065">
                          <w:marLeft w:val="0"/>
                          <w:marRight w:val="0"/>
                          <w:marTop w:val="0"/>
                          <w:marBottom w:val="0"/>
                          <w:divBdr>
                            <w:top w:val="none" w:sz="0" w:space="0" w:color="auto"/>
                            <w:left w:val="none" w:sz="0" w:space="0" w:color="auto"/>
                            <w:bottom w:val="none" w:sz="0" w:space="0" w:color="auto"/>
                            <w:right w:val="none" w:sz="0" w:space="0" w:color="auto"/>
                          </w:divBdr>
                          <w:divsChild>
                            <w:div w:id="1200364134">
                              <w:marLeft w:val="0"/>
                              <w:marRight w:val="0"/>
                              <w:marTop w:val="0"/>
                              <w:marBottom w:val="0"/>
                              <w:divBdr>
                                <w:top w:val="none" w:sz="0" w:space="0" w:color="auto"/>
                                <w:left w:val="none" w:sz="0" w:space="0" w:color="auto"/>
                                <w:bottom w:val="none" w:sz="0" w:space="0" w:color="auto"/>
                                <w:right w:val="none" w:sz="0" w:space="0" w:color="auto"/>
                              </w:divBdr>
                              <w:divsChild>
                                <w:div w:id="1946037103">
                                  <w:marLeft w:val="0"/>
                                  <w:marRight w:val="0"/>
                                  <w:marTop w:val="0"/>
                                  <w:marBottom w:val="0"/>
                                  <w:divBdr>
                                    <w:top w:val="none" w:sz="0" w:space="0" w:color="auto"/>
                                    <w:left w:val="none" w:sz="0" w:space="0" w:color="auto"/>
                                    <w:bottom w:val="none" w:sz="0" w:space="0" w:color="auto"/>
                                    <w:right w:val="none" w:sz="0" w:space="0" w:color="auto"/>
                                  </w:divBdr>
                                  <w:divsChild>
                                    <w:div w:id="829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1698">
      <w:bodyDiv w:val="1"/>
      <w:marLeft w:val="0"/>
      <w:marRight w:val="0"/>
      <w:marTop w:val="0"/>
      <w:marBottom w:val="0"/>
      <w:divBdr>
        <w:top w:val="none" w:sz="0" w:space="0" w:color="auto"/>
        <w:left w:val="none" w:sz="0" w:space="0" w:color="auto"/>
        <w:bottom w:val="none" w:sz="0" w:space="0" w:color="auto"/>
        <w:right w:val="none" w:sz="0" w:space="0" w:color="auto"/>
      </w:divBdr>
      <w:divsChild>
        <w:div w:id="162168796">
          <w:marLeft w:val="0"/>
          <w:marRight w:val="0"/>
          <w:marTop w:val="150"/>
          <w:marBottom w:val="0"/>
          <w:divBdr>
            <w:top w:val="none" w:sz="0" w:space="0" w:color="auto"/>
            <w:left w:val="none" w:sz="0" w:space="0" w:color="auto"/>
            <w:bottom w:val="none" w:sz="0" w:space="0" w:color="auto"/>
            <w:right w:val="none" w:sz="0" w:space="0" w:color="auto"/>
          </w:divBdr>
          <w:divsChild>
            <w:div w:id="275647095">
              <w:marLeft w:val="0"/>
              <w:marRight w:val="0"/>
              <w:marTop w:val="0"/>
              <w:marBottom w:val="0"/>
              <w:divBdr>
                <w:top w:val="none" w:sz="0" w:space="0" w:color="auto"/>
                <w:left w:val="none" w:sz="0" w:space="0" w:color="auto"/>
                <w:bottom w:val="none" w:sz="0" w:space="0" w:color="auto"/>
                <w:right w:val="none" w:sz="0" w:space="0" w:color="auto"/>
              </w:divBdr>
            </w:div>
          </w:divsChild>
        </w:div>
        <w:div w:id="1353727838">
          <w:marLeft w:val="0"/>
          <w:marRight w:val="0"/>
          <w:marTop w:val="0"/>
          <w:marBottom w:val="0"/>
          <w:divBdr>
            <w:top w:val="none" w:sz="0" w:space="0" w:color="auto"/>
            <w:left w:val="none" w:sz="0" w:space="0" w:color="auto"/>
            <w:bottom w:val="none" w:sz="0" w:space="0" w:color="auto"/>
            <w:right w:val="none" w:sz="0" w:space="0" w:color="auto"/>
          </w:divBdr>
        </w:div>
        <w:div w:id="1829054869">
          <w:marLeft w:val="0"/>
          <w:marRight w:val="0"/>
          <w:marTop w:val="0"/>
          <w:marBottom w:val="0"/>
          <w:divBdr>
            <w:top w:val="none" w:sz="0" w:space="0" w:color="auto"/>
            <w:left w:val="none" w:sz="0" w:space="0" w:color="auto"/>
            <w:bottom w:val="none" w:sz="0" w:space="0" w:color="auto"/>
            <w:right w:val="none" w:sz="0" w:space="0" w:color="auto"/>
          </w:divBdr>
          <w:divsChild>
            <w:div w:id="1509363489">
              <w:marLeft w:val="0"/>
              <w:marRight w:val="0"/>
              <w:marTop w:val="825"/>
              <w:marBottom w:val="0"/>
              <w:divBdr>
                <w:top w:val="none" w:sz="0" w:space="0" w:color="auto"/>
                <w:left w:val="none" w:sz="0" w:space="0" w:color="auto"/>
                <w:bottom w:val="none" w:sz="0" w:space="0" w:color="auto"/>
                <w:right w:val="none" w:sz="0" w:space="0" w:color="auto"/>
              </w:divBdr>
              <w:divsChild>
                <w:div w:id="738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90934">
      <w:bodyDiv w:val="1"/>
      <w:marLeft w:val="0"/>
      <w:marRight w:val="0"/>
      <w:marTop w:val="0"/>
      <w:marBottom w:val="0"/>
      <w:divBdr>
        <w:top w:val="none" w:sz="0" w:space="0" w:color="auto"/>
        <w:left w:val="none" w:sz="0" w:space="0" w:color="auto"/>
        <w:bottom w:val="none" w:sz="0" w:space="0" w:color="auto"/>
        <w:right w:val="none" w:sz="0" w:space="0" w:color="auto"/>
      </w:divBdr>
      <w:divsChild>
        <w:div w:id="23208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135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297386">
      <w:bodyDiv w:val="1"/>
      <w:marLeft w:val="0"/>
      <w:marRight w:val="0"/>
      <w:marTop w:val="0"/>
      <w:marBottom w:val="0"/>
      <w:divBdr>
        <w:top w:val="none" w:sz="0" w:space="0" w:color="auto"/>
        <w:left w:val="none" w:sz="0" w:space="0" w:color="auto"/>
        <w:bottom w:val="none" w:sz="0" w:space="0" w:color="auto"/>
        <w:right w:val="none" w:sz="0" w:space="0" w:color="auto"/>
      </w:divBdr>
      <w:divsChild>
        <w:div w:id="1962371418">
          <w:marLeft w:val="0"/>
          <w:marRight w:val="0"/>
          <w:marTop w:val="0"/>
          <w:marBottom w:val="0"/>
          <w:divBdr>
            <w:top w:val="none" w:sz="0" w:space="0" w:color="auto"/>
            <w:left w:val="none" w:sz="0" w:space="0" w:color="auto"/>
            <w:bottom w:val="none" w:sz="0" w:space="0" w:color="auto"/>
            <w:right w:val="none" w:sz="0" w:space="0" w:color="auto"/>
          </w:divBdr>
          <w:divsChild>
            <w:div w:id="37512899">
              <w:marLeft w:val="0"/>
              <w:marRight w:val="0"/>
              <w:marTop w:val="0"/>
              <w:marBottom w:val="0"/>
              <w:divBdr>
                <w:top w:val="none" w:sz="0" w:space="0" w:color="auto"/>
                <w:left w:val="none" w:sz="0" w:space="0" w:color="auto"/>
                <w:bottom w:val="none" w:sz="0" w:space="0" w:color="auto"/>
                <w:right w:val="none" w:sz="0" w:space="0" w:color="auto"/>
              </w:divBdr>
              <w:divsChild>
                <w:div w:id="424035066">
                  <w:marLeft w:val="0"/>
                  <w:marRight w:val="0"/>
                  <w:marTop w:val="0"/>
                  <w:marBottom w:val="0"/>
                  <w:divBdr>
                    <w:top w:val="none" w:sz="0" w:space="0" w:color="auto"/>
                    <w:left w:val="none" w:sz="0" w:space="0" w:color="auto"/>
                    <w:bottom w:val="none" w:sz="0" w:space="0" w:color="auto"/>
                    <w:right w:val="none" w:sz="0" w:space="0" w:color="auto"/>
                  </w:divBdr>
                  <w:divsChild>
                    <w:div w:id="1911235474">
                      <w:marLeft w:val="0"/>
                      <w:marRight w:val="0"/>
                      <w:marTop w:val="0"/>
                      <w:marBottom w:val="0"/>
                      <w:divBdr>
                        <w:top w:val="none" w:sz="0" w:space="0" w:color="auto"/>
                        <w:left w:val="none" w:sz="0" w:space="0" w:color="auto"/>
                        <w:bottom w:val="none" w:sz="0" w:space="0" w:color="auto"/>
                        <w:right w:val="none" w:sz="0" w:space="0" w:color="auto"/>
                      </w:divBdr>
                      <w:divsChild>
                        <w:div w:id="1368139261">
                          <w:marLeft w:val="0"/>
                          <w:marRight w:val="0"/>
                          <w:marTop w:val="0"/>
                          <w:marBottom w:val="0"/>
                          <w:divBdr>
                            <w:top w:val="none" w:sz="0" w:space="0" w:color="auto"/>
                            <w:left w:val="none" w:sz="0" w:space="0" w:color="auto"/>
                            <w:bottom w:val="none" w:sz="0" w:space="0" w:color="auto"/>
                            <w:right w:val="none" w:sz="0" w:space="0" w:color="auto"/>
                          </w:divBdr>
                          <w:divsChild>
                            <w:div w:id="1129709783">
                              <w:marLeft w:val="0"/>
                              <w:marRight w:val="0"/>
                              <w:marTop w:val="0"/>
                              <w:marBottom w:val="0"/>
                              <w:divBdr>
                                <w:top w:val="none" w:sz="0" w:space="0" w:color="auto"/>
                                <w:left w:val="none" w:sz="0" w:space="0" w:color="auto"/>
                                <w:bottom w:val="none" w:sz="0" w:space="0" w:color="auto"/>
                                <w:right w:val="none" w:sz="0" w:space="0" w:color="auto"/>
                              </w:divBdr>
                              <w:divsChild>
                                <w:div w:id="1338120646">
                                  <w:marLeft w:val="0"/>
                                  <w:marRight w:val="0"/>
                                  <w:marTop w:val="0"/>
                                  <w:marBottom w:val="0"/>
                                  <w:divBdr>
                                    <w:top w:val="none" w:sz="0" w:space="0" w:color="auto"/>
                                    <w:left w:val="none" w:sz="0" w:space="0" w:color="auto"/>
                                    <w:bottom w:val="none" w:sz="0" w:space="0" w:color="auto"/>
                                    <w:right w:val="none" w:sz="0" w:space="0" w:color="auto"/>
                                  </w:divBdr>
                                  <w:divsChild>
                                    <w:div w:id="1065027623">
                                      <w:marLeft w:val="0"/>
                                      <w:marRight w:val="0"/>
                                      <w:marTop w:val="0"/>
                                      <w:marBottom w:val="0"/>
                                      <w:divBdr>
                                        <w:top w:val="none" w:sz="0" w:space="0" w:color="auto"/>
                                        <w:left w:val="none" w:sz="0" w:space="0" w:color="auto"/>
                                        <w:bottom w:val="none" w:sz="0" w:space="0" w:color="auto"/>
                                        <w:right w:val="none" w:sz="0" w:space="0" w:color="auto"/>
                                      </w:divBdr>
                                      <w:divsChild>
                                        <w:div w:id="1756710024">
                                          <w:marLeft w:val="0"/>
                                          <w:marRight w:val="0"/>
                                          <w:marTop w:val="0"/>
                                          <w:marBottom w:val="0"/>
                                          <w:divBdr>
                                            <w:top w:val="none" w:sz="0" w:space="0" w:color="auto"/>
                                            <w:left w:val="none" w:sz="0" w:space="0" w:color="auto"/>
                                            <w:bottom w:val="none" w:sz="0" w:space="0" w:color="auto"/>
                                            <w:right w:val="none" w:sz="0" w:space="0" w:color="auto"/>
                                          </w:divBdr>
                                          <w:divsChild>
                                            <w:div w:id="97216735">
                                              <w:marLeft w:val="0"/>
                                              <w:marRight w:val="0"/>
                                              <w:marTop w:val="0"/>
                                              <w:marBottom w:val="0"/>
                                              <w:divBdr>
                                                <w:top w:val="none" w:sz="0" w:space="0" w:color="auto"/>
                                                <w:left w:val="none" w:sz="0" w:space="0" w:color="auto"/>
                                                <w:bottom w:val="none" w:sz="0" w:space="0" w:color="auto"/>
                                                <w:right w:val="none" w:sz="0" w:space="0" w:color="auto"/>
                                              </w:divBdr>
                                              <w:divsChild>
                                                <w:div w:id="1861501873">
                                                  <w:marLeft w:val="0"/>
                                                  <w:marRight w:val="0"/>
                                                  <w:marTop w:val="0"/>
                                                  <w:marBottom w:val="0"/>
                                                  <w:divBdr>
                                                    <w:top w:val="none" w:sz="0" w:space="0" w:color="auto"/>
                                                    <w:left w:val="none" w:sz="0" w:space="0" w:color="auto"/>
                                                    <w:bottom w:val="none" w:sz="0" w:space="0" w:color="auto"/>
                                                    <w:right w:val="none" w:sz="0" w:space="0" w:color="auto"/>
                                                  </w:divBdr>
                                                  <w:divsChild>
                                                    <w:div w:id="1588690499">
                                                      <w:marLeft w:val="0"/>
                                                      <w:marRight w:val="0"/>
                                                      <w:marTop w:val="0"/>
                                                      <w:marBottom w:val="0"/>
                                                      <w:divBdr>
                                                        <w:top w:val="none" w:sz="0" w:space="0" w:color="auto"/>
                                                        <w:left w:val="none" w:sz="0" w:space="0" w:color="auto"/>
                                                        <w:bottom w:val="none" w:sz="0" w:space="0" w:color="auto"/>
                                                        <w:right w:val="none" w:sz="0" w:space="0" w:color="auto"/>
                                                      </w:divBdr>
                                                      <w:divsChild>
                                                        <w:div w:id="7654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7948518">
      <w:bodyDiv w:val="1"/>
      <w:marLeft w:val="0"/>
      <w:marRight w:val="0"/>
      <w:marTop w:val="0"/>
      <w:marBottom w:val="0"/>
      <w:divBdr>
        <w:top w:val="none" w:sz="0" w:space="0" w:color="auto"/>
        <w:left w:val="none" w:sz="0" w:space="0" w:color="auto"/>
        <w:bottom w:val="none" w:sz="0" w:space="0" w:color="auto"/>
        <w:right w:val="none" w:sz="0" w:space="0" w:color="auto"/>
      </w:divBdr>
      <w:divsChild>
        <w:div w:id="1784764277">
          <w:marLeft w:val="0"/>
          <w:marRight w:val="0"/>
          <w:marTop w:val="0"/>
          <w:marBottom w:val="0"/>
          <w:divBdr>
            <w:top w:val="none" w:sz="0" w:space="0" w:color="auto"/>
            <w:left w:val="none" w:sz="0" w:space="0" w:color="auto"/>
            <w:bottom w:val="none" w:sz="0" w:space="0" w:color="auto"/>
            <w:right w:val="none" w:sz="0" w:space="0" w:color="auto"/>
          </w:divBdr>
          <w:divsChild>
            <w:div w:id="1459833050">
              <w:marLeft w:val="0"/>
              <w:marRight w:val="0"/>
              <w:marTop w:val="0"/>
              <w:marBottom w:val="0"/>
              <w:divBdr>
                <w:top w:val="none" w:sz="0" w:space="0" w:color="auto"/>
                <w:left w:val="none" w:sz="0" w:space="0" w:color="auto"/>
                <w:bottom w:val="none" w:sz="0" w:space="0" w:color="auto"/>
                <w:right w:val="none" w:sz="0" w:space="0" w:color="auto"/>
              </w:divBdr>
              <w:divsChild>
                <w:div w:id="1013653071">
                  <w:marLeft w:val="0"/>
                  <w:marRight w:val="0"/>
                  <w:marTop w:val="0"/>
                  <w:marBottom w:val="0"/>
                  <w:divBdr>
                    <w:top w:val="none" w:sz="0" w:space="0" w:color="auto"/>
                    <w:left w:val="none" w:sz="0" w:space="0" w:color="auto"/>
                    <w:bottom w:val="none" w:sz="0" w:space="0" w:color="auto"/>
                    <w:right w:val="none" w:sz="0" w:space="0" w:color="auto"/>
                  </w:divBdr>
                  <w:divsChild>
                    <w:div w:id="23018789">
                      <w:marLeft w:val="0"/>
                      <w:marRight w:val="0"/>
                      <w:marTop w:val="0"/>
                      <w:marBottom w:val="0"/>
                      <w:divBdr>
                        <w:top w:val="none" w:sz="0" w:space="0" w:color="auto"/>
                        <w:left w:val="none" w:sz="0" w:space="0" w:color="auto"/>
                        <w:bottom w:val="none" w:sz="0" w:space="0" w:color="auto"/>
                        <w:right w:val="none" w:sz="0" w:space="0" w:color="auto"/>
                      </w:divBdr>
                      <w:divsChild>
                        <w:div w:id="402988181">
                          <w:marLeft w:val="0"/>
                          <w:marRight w:val="0"/>
                          <w:marTop w:val="0"/>
                          <w:marBottom w:val="0"/>
                          <w:divBdr>
                            <w:top w:val="none" w:sz="0" w:space="0" w:color="auto"/>
                            <w:left w:val="none" w:sz="0" w:space="0" w:color="auto"/>
                            <w:bottom w:val="none" w:sz="0" w:space="0" w:color="auto"/>
                            <w:right w:val="none" w:sz="0" w:space="0" w:color="auto"/>
                          </w:divBdr>
                          <w:divsChild>
                            <w:div w:id="2077391774">
                              <w:marLeft w:val="0"/>
                              <w:marRight w:val="0"/>
                              <w:marTop w:val="0"/>
                              <w:marBottom w:val="0"/>
                              <w:divBdr>
                                <w:top w:val="none" w:sz="0" w:space="0" w:color="auto"/>
                                <w:left w:val="none" w:sz="0" w:space="0" w:color="auto"/>
                                <w:bottom w:val="none" w:sz="0" w:space="0" w:color="auto"/>
                                <w:right w:val="none" w:sz="0" w:space="0" w:color="auto"/>
                              </w:divBdr>
                              <w:divsChild>
                                <w:div w:id="898517050">
                                  <w:marLeft w:val="0"/>
                                  <w:marRight w:val="0"/>
                                  <w:marTop w:val="0"/>
                                  <w:marBottom w:val="0"/>
                                  <w:divBdr>
                                    <w:top w:val="none" w:sz="0" w:space="0" w:color="auto"/>
                                    <w:left w:val="none" w:sz="0" w:space="0" w:color="auto"/>
                                    <w:bottom w:val="none" w:sz="0" w:space="0" w:color="auto"/>
                                    <w:right w:val="none" w:sz="0" w:space="0" w:color="auto"/>
                                  </w:divBdr>
                                  <w:divsChild>
                                    <w:div w:id="233708934">
                                      <w:marLeft w:val="0"/>
                                      <w:marRight w:val="0"/>
                                      <w:marTop w:val="0"/>
                                      <w:marBottom w:val="0"/>
                                      <w:divBdr>
                                        <w:top w:val="none" w:sz="0" w:space="0" w:color="auto"/>
                                        <w:left w:val="none" w:sz="0" w:space="0" w:color="auto"/>
                                        <w:bottom w:val="none" w:sz="0" w:space="0" w:color="auto"/>
                                        <w:right w:val="none" w:sz="0" w:space="0" w:color="auto"/>
                                      </w:divBdr>
                                      <w:divsChild>
                                        <w:div w:id="1529172207">
                                          <w:marLeft w:val="0"/>
                                          <w:marRight w:val="0"/>
                                          <w:marTop w:val="0"/>
                                          <w:marBottom w:val="0"/>
                                          <w:divBdr>
                                            <w:top w:val="none" w:sz="0" w:space="0" w:color="auto"/>
                                            <w:left w:val="none" w:sz="0" w:space="0" w:color="auto"/>
                                            <w:bottom w:val="none" w:sz="0" w:space="0" w:color="auto"/>
                                            <w:right w:val="none" w:sz="0" w:space="0" w:color="auto"/>
                                          </w:divBdr>
                                          <w:divsChild>
                                            <w:div w:id="369382745">
                                              <w:marLeft w:val="0"/>
                                              <w:marRight w:val="0"/>
                                              <w:marTop w:val="0"/>
                                              <w:marBottom w:val="0"/>
                                              <w:divBdr>
                                                <w:top w:val="none" w:sz="0" w:space="0" w:color="auto"/>
                                                <w:left w:val="none" w:sz="0" w:space="0" w:color="auto"/>
                                                <w:bottom w:val="none" w:sz="0" w:space="0" w:color="auto"/>
                                                <w:right w:val="none" w:sz="0" w:space="0" w:color="auto"/>
                                              </w:divBdr>
                                              <w:divsChild>
                                                <w:div w:id="1911306605">
                                                  <w:marLeft w:val="0"/>
                                                  <w:marRight w:val="0"/>
                                                  <w:marTop w:val="0"/>
                                                  <w:marBottom w:val="0"/>
                                                  <w:divBdr>
                                                    <w:top w:val="none" w:sz="0" w:space="0" w:color="auto"/>
                                                    <w:left w:val="none" w:sz="0" w:space="0" w:color="auto"/>
                                                    <w:bottom w:val="none" w:sz="0" w:space="0" w:color="auto"/>
                                                    <w:right w:val="none" w:sz="0" w:space="0" w:color="auto"/>
                                                  </w:divBdr>
                                                  <w:divsChild>
                                                    <w:div w:id="1769696463">
                                                      <w:marLeft w:val="0"/>
                                                      <w:marRight w:val="0"/>
                                                      <w:marTop w:val="0"/>
                                                      <w:marBottom w:val="0"/>
                                                      <w:divBdr>
                                                        <w:top w:val="none" w:sz="0" w:space="0" w:color="auto"/>
                                                        <w:left w:val="none" w:sz="0" w:space="0" w:color="auto"/>
                                                        <w:bottom w:val="none" w:sz="0" w:space="0" w:color="auto"/>
                                                        <w:right w:val="none" w:sz="0" w:space="0" w:color="auto"/>
                                                      </w:divBdr>
                                                      <w:divsChild>
                                                        <w:div w:id="14249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9530368">
      <w:bodyDiv w:val="1"/>
      <w:marLeft w:val="0"/>
      <w:marRight w:val="0"/>
      <w:marTop w:val="0"/>
      <w:marBottom w:val="0"/>
      <w:divBdr>
        <w:top w:val="none" w:sz="0" w:space="0" w:color="auto"/>
        <w:left w:val="none" w:sz="0" w:space="0" w:color="auto"/>
        <w:bottom w:val="none" w:sz="0" w:space="0" w:color="auto"/>
        <w:right w:val="none" w:sz="0" w:space="0" w:color="auto"/>
      </w:divBdr>
      <w:divsChild>
        <w:div w:id="671883648">
          <w:marLeft w:val="0"/>
          <w:marRight w:val="0"/>
          <w:marTop w:val="0"/>
          <w:marBottom w:val="0"/>
          <w:divBdr>
            <w:top w:val="none" w:sz="0" w:space="0" w:color="auto"/>
            <w:left w:val="none" w:sz="0" w:space="0" w:color="auto"/>
            <w:bottom w:val="none" w:sz="0" w:space="0" w:color="auto"/>
            <w:right w:val="none" w:sz="0" w:space="0" w:color="auto"/>
          </w:divBdr>
          <w:divsChild>
            <w:div w:id="1870530648">
              <w:marLeft w:val="0"/>
              <w:marRight w:val="0"/>
              <w:marTop w:val="0"/>
              <w:marBottom w:val="0"/>
              <w:divBdr>
                <w:top w:val="none" w:sz="0" w:space="0" w:color="auto"/>
                <w:left w:val="none" w:sz="0" w:space="0" w:color="auto"/>
                <w:bottom w:val="none" w:sz="0" w:space="0" w:color="auto"/>
                <w:right w:val="none" w:sz="0" w:space="0" w:color="auto"/>
              </w:divBdr>
              <w:divsChild>
                <w:div w:id="1109667576">
                  <w:marLeft w:val="0"/>
                  <w:marRight w:val="0"/>
                  <w:marTop w:val="100"/>
                  <w:marBottom w:val="100"/>
                  <w:divBdr>
                    <w:top w:val="none" w:sz="0" w:space="0" w:color="auto"/>
                    <w:left w:val="none" w:sz="0" w:space="0" w:color="auto"/>
                    <w:bottom w:val="none" w:sz="0" w:space="0" w:color="auto"/>
                    <w:right w:val="none" w:sz="0" w:space="0" w:color="auto"/>
                  </w:divBdr>
                  <w:divsChild>
                    <w:div w:id="433475821">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sChild>
                            <w:div w:id="687410377">
                              <w:marLeft w:val="0"/>
                              <w:marRight w:val="0"/>
                              <w:marTop w:val="0"/>
                              <w:marBottom w:val="0"/>
                              <w:divBdr>
                                <w:top w:val="none" w:sz="0" w:space="0" w:color="auto"/>
                                <w:left w:val="none" w:sz="0" w:space="0" w:color="auto"/>
                                <w:bottom w:val="none" w:sz="0" w:space="0" w:color="auto"/>
                                <w:right w:val="none" w:sz="0" w:space="0" w:color="auto"/>
                              </w:divBdr>
                              <w:divsChild>
                                <w:div w:id="1758942992">
                                  <w:marLeft w:val="0"/>
                                  <w:marRight w:val="0"/>
                                  <w:marTop w:val="0"/>
                                  <w:marBottom w:val="0"/>
                                  <w:divBdr>
                                    <w:top w:val="none" w:sz="0" w:space="0" w:color="auto"/>
                                    <w:left w:val="none" w:sz="0" w:space="0" w:color="auto"/>
                                    <w:bottom w:val="none" w:sz="0" w:space="0" w:color="auto"/>
                                    <w:right w:val="none" w:sz="0" w:space="0" w:color="auto"/>
                                  </w:divBdr>
                                  <w:divsChild>
                                    <w:div w:id="1015689265">
                                      <w:marLeft w:val="0"/>
                                      <w:marRight w:val="0"/>
                                      <w:marTop w:val="0"/>
                                      <w:marBottom w:val="0"/>
                                      <w:divBdr>
                                        <w:top w:val="none" w:sz="0" w:space="0" w:color="auto"/>
                                        <w:left w:val="none" w:sz="0" w:space="0" w:color="auto"/>
                                        <w:bottom w:val="none" w:sz="0" w:space="0" w:color="auto"/>
                                        <w:right w:val="none" w:sz="0" w:space="0" w:color="auto"/>
                                      </w:divBdr>
                                      <w:divsChild>
                                        <w:div w:id="1243373743">
                                          <w:marLeft w:val="0"/>
                                          <w:marRight w:val="0"/>
                                          <w:marTop w:val="0"/>
                                          <w:marBottom w:val="0"/>
                                          <w:divBdr>
                                            <w:top w:val="none" w:sz="0" w:space="0" w:color="auto"/>
                                            <w:left w:val="none" w:sz="0" w:space="0" w:color="auto"/>
                                            <w:bottom w:val="none" w:sz="0" w:space="0" w:color="auto"/>
                                            <w:right w:val="none" w:sz="0" w:space="0" w:color="auto"/>
                                          </w:divBdr>
                                          <w:divsChild>
                                            <w:div w:id="863861634">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721061">
      <w:bodyDiv w:val="1"/>
      <w:marLeft w:val="0"/>
      <w:marRight w:val="0"/>
      <w:marTop w:val="0"/>
      <w:marBottom w:val="0"/>
      <w:divBdr>
        <w:top w:val="none" w:sz="0" w:space="0" w:color="auto"/>
        <w:left w:val="none" w:sz="0" w:space="0" w:color="auto"/>
        <w:bottom w:val="none" w:sz="0" w:space="0" w:color="auto"/>
        <w:right w:val="none" w:sz="0" w:space="0" w:color="auto"/>
      </w:divBdr>
      <w:divsChild>
        <w:div w:id="1019627964">
          <w:marLeft w:val="0"/>
          <w:marRight w:val="0"/>
          <w:marTop w:val="0"/>
          <w:marBottom w:val="0"/>
          <w:divBdr>
            <w:top w:val="none" w:sz="0" w:space="0" w:color="auto"/>
            <w:left w:val="none" w:sz="0" w:space="0" w:color="auto"/>
            <w:bottom w:val="none" w:sz="0" w:space="0" w:color="auto"/>
            <w:right w:val="none" w:sz="0" w:space="0" w:color="auto"/>
          </w:divBdr>
          <w:divsChild>
            <w:div w:id="795946639">
              <w:marLeft w:val="0"/>
              <w:marRight w:val="0"/>
              <w:marTop w:val="0"/>
              <w:marBottom w:val="0"/>
              <w:divBdr>
                <w:top w:val="none" w:sz="0" w:space="0" w:color="auto"/>
                <w:left w:val="none" w:sz="0" w:space="0" w:color="auto"/>
                <w:bottom w:val="none" w:sz="0" w:space="0" w:color="auto"/>
                <w:right w:val="none" w:sz="0" w:space="0" w:color="auto"/>
              </w:divBdr>
              <w:divsChild>
                <w:div w:id="81531019">
                  <w:marLeft w:val="300"/>
                  <w:marRight w:val="300"/>
                  <w:marTop w:val="330"/>
                  <w:marBottom w:val="0"/>
                  <w:divBdr>
                    <w:top w:val="none" w:sz="0" w:space="0" w:color="auto"/>
                    <w:left w:val="none" w:sz="0" w:space="0" w:color="auto"/>
                    <w:bottom w:val="none" w:sz="0" w:space="0" w:color="auto"/>
                    <w:right w:val="none" w:sz="0" w:space="0" w:color="auto"/>
                  </w:divBdr>
                  <w:divsChild>
                    <w:div w:id="1541937917">
                      <w:marLeft w:val="0"/>
                      <w:marRight w:val="0"/>
                      <w:marTop w:val="0"/>
                      <w:marBottom w:val="0"/>
                      <w:divBdr>
                        <w:top w:val="none" w:sz="0" w:space="0" w:color="auto"/>
                        <w:left w:val="none" w:sz="0" w:space="0" w:color="auto"/>
                        <w:bottom w:val="none" w:sz="0" w:space="0" w:color="auto"/>
                        <w:right w:val="none" w:sz="0" w:space="0" w:color="auto"/>
                      </w:divBdr>
                    </w:div>
                    <w:div w:id="8437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89268">
      <w:bodyDiv w:val="1"/>
      <w:marLeft w:val="0"/>
      <w:marRight w:val="0"/>
      <w:marTop w:val="0"/>
      <w:marBottom w:val="0"/>
      <w:divBdr>
        <w:top w:val="none" w:sz="0" w:space="0" w:color="auto"/>
        <w:left w:val="none" w:sz="0" w:space="0" w:color="auto"/>
        <w:bottom w:val="none" w:sz="0" w:space="0" w:color="auto"/>
        <w:right w:val="none" w:sz="0" w:space="0" w:color="auto"/>
      </w:divBdr>
    </w:div>
    <w:div w:id="1300451255">
      <w:bodyDiv w:val="1"/>
      <w:marLeft w:val="0"/>
      <w:marRight w:val="0"/>
      <w:marTop w:val="0"/>
      <w:marBottom w:val="0"/>
      <w:divBdr>
        <w:top w:val="none" w:sz="0" w:space="0" w:color="auto"/>
        <w:left w:val="none" w:sz="0" w:space="0" w:color="auto"/>
        <w:bottom w:val="none" w:sz="0" w:space="0" w:color="auto"/>
        <w:right w:val="none" w:sz="0" w:space="0" w:color="auto"/>
      </w:divBdr>
      <w:divsChild>
        <w:div w:id="1273047472">
          <w:marLeft w:val="0"/>
          <w:marRight w:val="0"/>
          <w:marTop w:val="0"/>
          <w:marBottom w:val="0"/>
          <w:divBdr>
            <w:top w:val="none" w:sz="0" w:space="0" w:color="auto"/>
            <w:left w:val="none" w:sz="0" w:space="0" w:color="auto"/>
            <w:bottom w:val="none" w:sz="0" w:space="0" w:color="auto"/>
            <w:right w:val="none" w:sz="0" w:space="0" w:color="auto"/>
          </w:divBdr>
          <w:divsChild>
            <w:div w:id="448931971">
              <w:marLeft w:val="2"/>
              <w:marRight w:val="2"/>
              <w:marTop w:val="0"/>
              <w:marBottom w:val="0"/>
              <w:divBdr>
                <w:top w:val="none" w:sz="0" w:space="0" w:color="auto"/>
                <w:left w:val="none" w:sz="0" w:space="0" w:color="auto"/>
                <w:bottom w:val="none" w:sz="0" w:space="0" w:color="auto"/>
                <w:right w:val="none" w:sz="0" w:space="0" w:color="auto"/>
              </w:divBdr>
              <w:divsChild>
                <w:div w:id="885070981">
                  <w:marLeft w:val="0"/>
                  <w:marRight w:val="0"/>
                  <w:marTop w:val="0"/>
                  <w:marBottom w:val="0"/>
                  <w:divBdr>
                    <w:top w:val="none" w:sz="0" w:space="0" w:color="auto"/>
                    <w:left w:val="none" w:sz="0" w:space="0" w:color="auto"/>
                    <w:bottom w:val="none" w:sz="0" w:space="0" w:color="auto"/>
                    <w:right w:val="none" w:sz="0" w:space="0" w:color="auto"/>
                  </w:divBdr>
                  <w:divsChild>
                    <w:div w:id="1652951656">
                      <w:marLeft w:val="0"/>
                      <w:marRight w:val="0"/>
                      <w:marTop w:val="0"/>
                      <w:marBottom w:val="0"/>
                      <w:divBdr>
                        <w:top w:val="none" w:sz="0" w:space="0" w:color="auto"/>
                        <w:left w:val="none" w:sz="0" w:space="0" w:color="auto"/>
                        <w:bottom w:val="none" w:sz="0" w:space="0" w:color="auto"/>
                        <w:right w:val="none" w:sz="0" w:space="0" w:color="auto"/>
                      </w:divBdr>
                      <w:divsChild>
                        <w:div w:id="536088056">
                          <w:marLeft w:val="0"/>
                          <w:marRight w:val="0"/>
                          <w:marTop w:val="0"/>
                          <w:marBottom w:val="0"/>
                          <w:divBdr>
                            <w:top w:val="none" w:sz="0" w:space="0" w:color="auto"/>
                            <w:left w:val="none" w:sz="0" w:space="0" w:color="auto"/>
                            <w:bottom w:val="none" w:sz="0" w:space="0" w:color="auto"/>
                            <w:right w:val="none" w:sz="0" w:space="0" w:color="auto"/>
                          </w:divBdr>
                          <w:divsChild>
                            <w:div w:id="1155342612">
                              <w:marLeft w:val="0"/>
                              <w:marRight w:val="0"/>
                              <w:marTop w:val="0"/>
                              <w:marBottom w:val="0"/>
                              <w:divBdr>
                                <w:top w:val="none" w:sz="0" w:space="0" w:color="auto"/>
                                <w:left w:val="none" w:sz="0" w:space="0" w:color="auto"/>
                                <w:bottom w:val="none" w:sz="0" w:space="0" w:color="auto"/>
                                <w:right w:val="none" w:sz="0" w:space="0" w:color="auto"/>
                              </w:divBdr>
                              <w:divsChild>
                                <w:div w:id="444664084">
                                  <w:marLeft w:val="0"/>
                                  <w:marRight w:val="0"/>
                                  <w:marTop w:val="0"/>
                                  <w:marBottom w:val="0"/>
                                  <w:divBdr>
                                    <w:top w:val="none" w:sz="0" w:space="0" w:color="auto"/>
                                    <w:left w:val="none" w:sz="0" w:space="0" w:color="auto"/>
                                    <w:bottom w:val="none" w:sz="0" w:space="0" w:color="auto"/>
                                    <w:right w:val="none" w:sz="0" w:space="0" w:color="auto"/>
                                  </w:divBdr>
                                  <w:divsChild>
                                    <w:div w:id="690498204">
                                      <w:marLeft w:val="0"/>
                                      <w:marRight w:val="0"/>
                                      <w:marTop w:val="0"/>
                                      <w:marBottom w:val="0"/>
                                      <w:divBdr>
                                        <w:top w:val="none" w:sz="0" w:space="0" w:color="auto"/>
                                        <w:left w:val="none" w:sz="0" w:space="0" w:color="auto"/>
                                        <w:bottom w:val="none" w:sz="0" w:space="0" w:color="auto"/>
                                        <w:right w:val="none" w:sz="0" w:space="0" w:color="auto"/>
                                      </w:divBdr>
                                      <w:divsChild>
                                        <w:div w:id="445272961">
                                          <w:marLeft w:val="0"/>
                                          <w:marRight w:val="0"/>
                                          <w:marTop w:val="0"/>
                                          <w:marBottom w:val="0"/>
                                          <w:divBdr>
                                            <w:top w:val="none" w:sz="0" w:space="0" w:color="auto"/>
                                            <w:left w:val="none" w:sz="0" w:space="0" w:color="auto"/>
                                            <w:bottom w:val="none" w:sz="0" w:space="0" w:color="auto"/>
                                            <w:right w:val="none" w:sz="0" w:space="0" w:color="auto"/>
                                          </w:divBdr>
                                          <w:divsChild>
                                            <w:div w:id="928268827">
                                              <w:marLeft w:val="0"/>
                                              <w:marRight w:val="0"/>
                                              <w:marTop w:val="0"/>
                                              <w:marBottom w:val="0"/>
                                              <w:divBdr>
                                                <w:top w:val="none" w:sz="0" w:space="0" w:color="auto"/>
                                                <w:left w:val="none" w:sz="0" w:space="0" w:color="auto"/>
                                                <w:bottom w:val="none" w:sz="0" w:space="0" w:color="auto"/>
                                                <w:right w:val="none" w:sz="0" w:space="0" w:color="auto"/>
                                              </w:divBdr>
                                            </w:div>
                                          </w:divsChild>
                                        </w:div>
                                        <w:div w:id="1676569315">
                                          <w:marLeft w:val="0"/>
                                          <w:marRight w:val="0"/>
                                          <w:marTop w:val="0"/>
                                          <w:marBottom w:val="0"/>
                                          <w:divBdr>
                                            <w:top w:val="none" w:sz="0" w:space="0" w:color="auto"/>
                                            <w:left w:val="none" w:sz="0" w:space="0" w:color="auto"/>
                                            <w:bottom w:val="none" w:sz="0" w:space="0" w:color="auto"/>
                                            <w:right w:val="none" w:sz="0" w:space="0" w:color="auto"/>
                                          </w:divBdr>
                                          <w:divsChild>
                                            <w:div w:id="499662475">
                                              <w:marLeft w:val="0"/>
                                              <w:marRight w:val="0"/>
                                              <w:marTop w:val="0"/>
                                              <w:marBottom w:val="0"/>
                                              <w:divBdr>
                                                <w:top w:val="none" w:sz="0" w:space="0" w:color="auto"/>
                                                <w:left w:val="none" w:sz="0" w:space="0" w:color="auto"/>
                                                <w:bottom w:val="none" w:sz="0" w:space="0" w:color="auto"/>
                                                <w:right w:val="none" w:sz="0" w:space="0" w:color="auto"/>
                                              </w:divBdr>
                                            </w:div>
                                          </w:divsChild>
                                        </w:div>
                                        <w:div w:id="1502893253">
                                          <w:marLeft w:val="0"/>
                                          <w:marRight w:val="0"/>
                                          <w:marTop w:val="0"/>
                                          <w:marBottom w:val="0"/>
                                          <w:divBdr>
                                            <w:top w:val="none" w:sz="0" w:space="0" w:color="auto"/>
                                            <w:left w:val="none" w:sz="0" w:space="0" w:color="auto"/>
                                            <w:bottom w:val="none" w:sz="0" w:space="0" w:color="auto"/>
                                            <w:right w:val="none" w:sz="0" w:space="0" w:color="auto"/>
                                          </w:divBdr>
                                          <w:divsChild>
                                            <w:div w:id="732973687">
                                              <w:marLeft w:val="0"/>
                                              <w:marRight w:val="0"/>
                                              <w:marTop w:val="0"/>
                                              <w:marBottom w:val="0"/>
                                              <w:divBdr>
                                                <w:top w:val="none" w:sz="0" w:space="0" w:color="auto"/>
                                                <w:left w:val="none" w:sz="0" w:space="0" w:color="auto"/>
                                                <w:bottom w:val="none" w:sz="0" w:space="0" w:color="auto"/>
                                                <w:right w:val="none" w:sz="0" w:space="0" w:color="auto"/>
                                              </w:divBdr>
                                            </w:div>
                                          </w:divsChild>
                                        </w:div>
                                        <w:div w:id="1938636474">
                                          <w:marLeft w:val="0"/>
                                          <w:marRight w:val="0"/>
                                          <w:marTop w:val="0"/>
                                          <w:marBottom w:val="0"/>
                                          <w:divBdr>
                                            <w:top w:val="none" w:sz="0" w:space="0" w:color="auto"/>
                                            <w:left w:val="none" w:sz="0" w:space="0" w:color="auto"/>
                                            <w:bottom w:val="none" w:sz="0" w:space="0" w:color="auto"/>
                                            <w:right w:val="none" w:sz="0" w:space="0" w:color="auto"/>
                                          </w:divBdr>
                                          <w:divsChild>
                                            <w:div w:id="843519674">
                                              <w:marLeft w:val="0"/>
                                              <w:marRight w:val="0"/>
                                              <w:marTop w:val="0"/>
                                              <w:marBottom w:val="0"/>
                                              <w:divBdr>
                                                <w:top w:val="none" w:sz="0" w:space="0" w:color="auto"/>
                                                <w:left w:val="none" w:sz="0" w:space="0" w:color="auto"/>
                                                <w:bottom w:val="none" w:sz="0" w:space="0" w:color="auto"/>
                                                <w:right w:val="none" w:sz="0" w:space="0" w:color="auto"/>
                                              </w:divBdr>
                                            </w:div>
                                          </w:divsChild>
                                        </w:div>
                                        <w:div w:id="842745931">
                                          <w:marLeft w:val="0"/>
                                          <w:marRight w:val="0"/>
                                          <w:marTop w:val="0"/>
                                          <w:marBottom w:val="0"/>
                                          <w:divBdr>
                                            <w:top w:val="none" w:sz="0" w:space="0" w:color="auto"/>
                                            <w:left w:val="none" w:sz="0" w:space="0" w:color="auto"/>
                                            <w:bottom w:val="none" w:sz="0" w:space="0" w:color="auto"/>
                                            <w:right w:val="none" w:sz="0" w:space="0" w:color="auto"/>
                                          </w:divBdr>
                                          <w:divsChild>
                                            <w:div w:id="110131226">
                                              <w:marLeft w:val="0"/>
                                              <w:marRight w:val="0"/>
                                              <w:marTop w:val="0"/>
                                              <w:marBottom w:val="0"/>
                                              <w:divBdr>
                                                <w:top w:val="none" w:sz="0" w:space="0" w:color="auto"/>
                                                <w:left w:val="none" w:sz="0" w:space="0" w:color="auto"/>
                                                <w:bottom w:val="none" w:sz="0" w:space="0" w:color="auto"/>
                                                <w:right w:val="none" w:sz="0" w:space="0" w:color="auto"/>
                                              </w:divBdr>
                                            </w:div>
                                          </w:divsChild>
                                        </w:div>
                                        <w:div w:id="531379548">
                                          <w:marLeft w:val="0"/>
                                          <w:marRight w:val="0"/>
                                          <w:marTop w:val="0"/>
                                          <w:marBottom w:val="0"/>
                                          <w:divBdr>
                                            <w:top w:val="none" w:sz="0" w:space="0" w:color="auto"/>
                                            <w:left w:val="none" w:sz="0" w:space="0" w:color="auto"/>
                                            <w:bottom w:val="none" w:sz="0" w:space="0" w:color="auto"/>
                                            <w:right w:val="none" w:sz="0" w:space="0" w:color="auto"/>
                                          </w:divBdr>
                                          <w:divsChild>
                                            <w:div w:id="275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1997">
                                      <w:marLeft w:val="0"/>
                                      <w:marRight w:val="0"/>
                                      <w:marTop w:val="0"/>
                                      <w:marBottom w:val="0"/>
                                      <w:divBdr>
                                        <w:top w:val="none" w:sz="0" w:space="0" w:color="auto"/>
                                        <w:left w:val="none" w:sz="0" w:space="0" w:color="auto"/>
                                        <w:bottom w:val="none" w:sz="0" w:space="0" w:color="auto"/>
                                        <w:right w:val="none" w:sz="0" w:space="0" w:color="auto"/>
                                      </w:divBdr>
                                      <w:divsChild>
                                        <w:div w:id="1195653078">
                                          <w:marLeft w:val="0"/>
                                          <w:marRight w:val="0"/>
                                          <w:marTop w:val="0"/>
                                          <w:marBottom w:val="0"/>
                                          <w:divBdr>
                                            <w:top w:val="none" w:sz="0" w:space="0" w:color="auto"/>
                                            <w:left w:val="none" w:sz="0" w:space="0" w:color="auto"/>
                                            <w:bottom w:val="none" w:sz="0" w:space="0" w:color="auto"/>
                                            <w:right w:val="none" w:sz="0" w:space="0" w:color="auto"/>
                                          </w:divBdr>
                                          <w:divsChild>
                                            <w:div w:id="1007171830">
                                              <w:marLeft w:val="0"/>
                                              <w:marRight w:val="0"/>
                                              <w:marTop w:val="0"/>
                                              <w:marBottom w:val="0"/>
                                              <w:divBdr>
                                                <w:top w:val="none" w:sz="0" w:space="0" w:color="auto"/>
                                                <w:left w:val="none" w:sz="0" w:space="0" w:color="auto"/>
                                                <w:bottom w:val="none" w:sz="0" w:space="0" w:color="auto"/>
                                                <w:right w:val="none" w:sz="0" w:space="0" w:color="auto"/>
                                              </w:divBdr>
                                            </w:div>
                                          </w:divsChild>
                                        </w:div>
                                        <w:div w:id="833181027">
                                          <w:marLeft w:val="0"/>
                                          <w:marRight w:val="0"/>
                                          <w:marTop w:val="0"/>
                                          <w:marBottom w:val="0"/>
                                          <w:divBdr>
                                            <w:top w:val="none" w:sz="0" w:space="0" w:color="auto"/>
                                            <w:left w:val="none" w:sz="0" w:space="0" w:color="auto"/>
                                            <w:bottom w:val="none" w:sz="0" w:space="0" w:color="auto"/>
                                            <w:right w:val="none" w:sz="0" w:space="0" w:color="auto"/>
                                          </w:divBdr>
                                          <w:divsChild>
                                            <w:div w:id="671764146">
                                              <w:marLeft w:val="0"/>
                                              <w:marRight w:val="0"/>
                                              <w:marTop w:val="0"/>
                                              <w:marBottom w:val="0"/>
                                              <w:divBdr>
                                                <w:top w:val="none" w:sz="0" w:space="0" w:color="auto"/>
                                                <w:left w:val="none" w:sz="0" w:space="0" w:color="auto"/>
                                                <w:bottom w:val="none" w:sz="0" w:space="0" w:color="auto"/>
                                                <w:right w:val="none" w:sz="0" w:space="0" w:color="auto"/>
                                              </w:divBdr>
                                            </w:div>
                                          </w:divsChild>
                                        </w:div>
                                        <w:div w:id="1736902021">
                                          <w:marLeft w:val="0"/>
                                          <w:marRight w:val="0"/>
                                          <w:marTop w:val="0"/>
                                          <w:marBottom w:val="0"/>
                                          <w:divBdr>
                                            <w:top w:val="none" w:sz="0" w:space="0" w:color="auto"/>
                                            <w:left w:val="none" w:sz="0" w:space="0" w:color="auto"/>
                                            <w:bottom w:val="none" w:sz="0" w:space="0" w:color="auto"/>
                                            <w:right w:val="none" w:sz="0" w:space="0" w:color="auto"/>
                                          </w:divBdr>
                                          <w:divsChild>
                                            <w:div w:id="1304310346">
                                              <w:marLeft w:val="0"/>
                                              <w:marRight w:val="0"/>
                                              <w:marTop w:val="0"/>
                                              <w:marBottom w:val="0"/>
                                              <w:divBdr>
                                                <w:top w:val="none" w:sz="0" w:space="0" w:color="auto"/>
                                                <w:left w:val="none" w:sz="0" w:space="0" w:color="auto"/>
                                                <w:bottom w:val="none" w:sz="0" w:space="0" w:color="auto"/>
                                                <w:right w:val="none" w:sz="0" w:space="0" w:color="auto"/>
                                              </w:divBdr>
                                            </w:div>
                                          </w:divsChild>
                                        </w:div>
                                        <w:div w:id="2130585153">
                                          <w:marLeft w:val="0"/>
                                          <w:marRight w:val="0"/>
                                          <w:marTop w:val="0"/>
                                          <w:marBottom w:val="0"/>
                                          <w:divBdr>
                                            <w:top w:val="none" w:sz="0" w:space="0" w:color="auto"/>
                                            <w:left w:val="none" w:sz="0" w:space="0" w:color="auto"/>
                                            <w:bottom w:val="none" w:sz="0" w:space="0" w:color="auto"/>
                                            <w:right w:val="none" w:sz="0" w:space="0" w:color="auto"/>
                                          </w:divBdr>
                                          <w:divsChild>
                                            <w:div w:id="12942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840469">
      <w:bodyDiv w:val="1"/>
      <w:marLeft w:val="0"/>
      <w:marRight w:val="0"/>
      <w:marTop w:val="0"/>
      <w:marBottom w:val="0"/>
      <w:divBdr>
        <w:top w:val="none" w:sz="0" w:space="0" w:color="auto"/>
        <w:left w:val="none" w:sz="0" w:space="0" w:color="auto"/>
        <w:bottom w:val="none" w:sz="0" w:space="0" w:color="auto"/>
        <w:right w:val="none" w:sz="0" w:space="0" w:color="auto"/>
      </w:divBdr>
    </w:div>
    <w:div w:id="1301888064">
      <w:bodyDiv w:val="1"/>
      <w:marLeft w:val="0"/>
      <w:marRight w:val="0"/>
      <w:marTop w:val="0"/>
      <w:marBottom w:val="0"/>
      <w:divBdr>
        <w:top w:val="none" w:sz="0" w:space="0" w:color="auto"/>
        <w:left w:val="none" w:sz="0" w:space="0" w:color="auto"/>
        <w:bottom w:val="none" w:sz="0" w:space="0" w:color="auto"/>
        <w:right w:val="none" w:sz="0" w:space="0" w:color="auto"/>
      </w:divBdr>
      <w:divsChild>
        <w:div w:id="1331715257">
          <w:marLeft w:val="0"/>
          <w:marRight w:val="0"/>
          <w:marTop w:val="0"/>
          <w:marBottom w:val="0"/>
          <w:divBdr>
            <w:top w:val="single" w:sz="6" w:space="0" w:color="0E477A"/>
            <w:left w:val="single" w:sz="6" w:space="0" w:color="0E477A"/>
            <w:bottom w:val="single" w:sz="6" w:space="0" w:color="0E477A"/>
            <w:right w:val="single" w:sz="6" w:space="0" w:color="0E477A"/>
          </w:divBdr>
          <w:divsChild>
            <w:div w:id="1462262152">
              <w:marLeft w:val="2925"/>
              <w:marRight w:val="0"/>
              <w:marTop w:val="0"/>
              <w:marBottom w:val="0"/>
              <w:divBdr>
                <w:top w:val="none" w:sz="0" w:space="0" w:color="auto"/>
                <w:left w:val="none" w:sz="0" w:space="0" w:color="auto"/>
                <w:bottom w:val="none" w:sz="0" w:space="0" w:color="auto"/>
                <w:right w:val="none" w:sz="0" w:space="0" w:color="auto"/>
              </w:divBdr>
              <w:divsChild>
                <w:div w:id="262349368">
                  <w:marLeft w:val="0"/>
                  <w:marRight w:val="0"/>
                  <w:marTop w:val="0"/>
                  <w:marBottom w:val="0"/>
                  <w:divBdr>
                    <w:top w:val="none" w:sz="0" w:space="0" w:color="auto"/>
                    <w:left w:val="none" w:sz="0" w:space="0" w:color="auto"/>
                    <w:bottom w:val="none" w:sz="0" w:space="0" w:color="auto"/>
                    <w:right w:val="none" w:sz="0" w:space="0" w:color="auto"/>
                  </w:divBdr>
                  <w:divsChild>
                    <w:div w:id="1740981930">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303732225">
      <w:bodyDiv w:val="1"/>
      <w:marLeft w:val="0"/>
      <w:marRight w:val="0"/>
      <w:marTop w:val="0"/>
      <w:marBottom w:val="0"/>
      <w:divBdr>
        <w:top w:val="none" w:sz="0" w:space="0" w:color="auto"/>
        <w:left w:val="none" w:sz="0" w:space="0" w:color="auto"/>
        <w:bottom w:val="none" w:sz="0" w:space="0" w:color="auto"/>
        <w:right w:val="none" w:sz="0" w:space="0" w:color="auto"/>
      </w:divBdr>
    </w:div>
    <w:div w:id="1305742203">
      <w:bodyDiv w:val="1"/>
      <w:marLeft w:val="0"/>
      <w:marRight w:val="0"/>
      <w:marTop w:val="0"/>
      <w:marBottom w:val="0"/>
      <w:divBdr>
        <w:top w:val="none" w:sz="0" w:space="0" w:color="auto"/>
        <w:left w:val="none" w:sz="0" w:space="0" w:color="auto"/>
        <w:bottom w:val="none" w:sz="0" w:space="0" w:color="auto"/>
        <w:right w:val="none" w:sz="0" w:space="0" w:color="auto"/>
      </w:divBdr>
      <w:divsChild>
        <w:div w:id="2144151333">
          <w:marLeft w:val="0"/>
          <w:marRight w:val="0"/>
          <w:marTop w:val="0"/>
          <w:marBottom w:val="0"/>
          <w:divBdr>
            <w:top w:val="none" w:sz="0" w:space="0" w:color="auto"/>
            <w:left w:val="none" w:sz="0" w:space="0" w:color="auto"/>
            <w:bottom w:val="none" w:sz="0" w:space="0" w:color="auto"/>
            <w:right w:val="none" w:sz="0" w:space="0" w:color="auto"/>
          </w:divBdr>
          <w:divsChild>
            <w:div w:id="1033925753">
              <w:marLeft w:val="0"/>
              <w:marRight w:val="0"/>
              <w:marTop w:val="0"/>
              <w:marBottom w:val="0"/>
              <w:divBdr>
                <w:top w:val="none" w:sz="0" w:space="0" w:color="auto"/>
                <w:left w:val="none" w:sz="0" w:space="0" w:color="auto"/>
                <w:bottom w:val="none" w:sz="0" w:space="0" w:color="auto"/>
                <w:right w:val="none" w:sz="0" w:space="0" w:color="auto"/>
              </w:divBdr>
              <w:divsChild>
                <w:div w:id="58793177">
                  <w:marLeft w:val="0"/>
                  <w:marRight w:val="0"/>
                  <w:marTop w:val="0"/>
                  <w:marBottom w:val="0"/>
                  <w:divBdr>
                    <w:top w:val="none" w:sz="0" w:space="0" w:color="auto"/>
                    <w:left w:val="none" w:sz="0" w:space="0" w:color="auto"/>
                    <w:bottom w:val="none" w:sz="0" w:space="0" w:color="auto"/>
                    <w:right w:val="none" w:sz="0" w:space="0" w:color="auto"/>
                  </w:divBdr>
                  <w:divsChild>
                    <w:div w:id="1935627704">
                      <w:marLeft w:val="0"/>
                      <w:marRight w:val="0"/>
                      <w:marTop w:val="0"/>
                      <w:marBottom w:val="0"/>
                      <w:divBdr>
                        <w:top w:val="none" w:sz="0" w:space="0" w:color="auto"/>
                        <w:left w:val="none" w:sz="0" w:space="0" w:color="auto"/>
                        <w:bottom w:val="none" w:sz="0" w:space="0" w:color="auto"/>
                        <w:right w:val="none" w:sz="0" w:space="0" w:color="auto"/>
                      </w:divBdr>
                      <w:divsChild>
                        <w:div w:id="1042830905">
                          <w:marLeft w:val="0"/>
                          <w:marRight w:val="0"/>
                          <w:marTop w:val="0"/>
                          <w:marBottom w:val="0"/>
                          <w:divBdr>
                            <w:top w:val="none" w:sz="0" w:space="0" w:color="auto"/>
                            <w:left w:val="none" w:sz="0" w:space="0" w:color="auto"/>
                            <w:bottom w:val="none" w:sz="0" w:space="0" w:color="auto"/>
                            <w:right w:val="none" w:sz="0" w:space="0" w:color="auto"/>
                          </w:divBdr>
                          <w:divsChild>
                            <w:div w:id="105003667">
                              <w:marLeft w:val="0"/>
                              <w:marRight w:val="0"/>
                              <w:marTop w:val="0"/>
                              <w:marBottom w:val="0"/>
                              <w:divBdr>
                                <w:top w:val="none" w:sz="0" w:space="0" w:color="auto"/>
                                <w:left w:val="none" w:sz="0" w:space="0" w:color="auto"/>
                                <w:bottom w:val="none" w:sz="0" w:space="0" w:color="auto"/>
                                <w:right w:val="none" w:sz="0" w:space="0" w:color="auto"/>
                              </w:divBdr>
                              <w:divsChild>
                                <w:div w:id="456878501">
                                  <w:marLeft w:val="570"/>
                                  <w:marRight w:val="720"/>
                                  <w:marTop w:val="120"/>
                                  <w:marBottom w:val="120"/>
                                  <w:divBdr>
                                    <w:top w:val="none" w:sz="0" w:space="0" w:color="auto"/>
                                    <w:left w:val="none" w:sz="0" w:space="0" w:color="auto"/>
                                    <w:bottom w:val="none" w:sz="0" w:space="0" w:color="auto"/>
                                    <w:right w:val="none" w:sz="0" w:space="0" w:color="auto"/>
                                  </w:divBdr>
                                  <w:divsChild>
                                    <w:div w:id="1712530595">
                                      <w:marLeft w:val="0"/>
                                      <w:marRight w:val="0"/>
                                      <w:marTop w:val="0"/>
                                      <w:marBottom w:val="0"/>
                                      <w:divBdr>
                                        <w:top w:val="none" w:sz="0" w:space="0" w:color="auto"/>
                                        <w:left w:val="none" w:sz="0" w:space="0" w:color="auto"/>
                                        <w:bottom w:val="none" w:sz="0" w:space="0" w:color="auto"/>
                                        <w:right w:val="none" w:sz="0" w:space="0" w:color="auto"/>
                                      </w:divBdr>
                                      <w:divsChild>
                                        <w:div w:id="1254238997">
                                          <w:marLeft w:val="0"/>
                                          <w:marRight w:val="0"/>
                                          <w:marTop w:val="0"/>
                                          <w:marBottom w:val="0"/>
                                          <w:divBdr>
                                            <w:top w:val="none" w:sz="0" w:space="0" w:color="auto"/>
                                            <w:left w:val="none" w:sz="0" w:space="0" w:color="auto"/>
                                            <w:bottom w:val="none" w:sz="0" w:space="0" w:color="auto"/>
                                            <w:right w:val="none" w:sz="0" w:space="0" w:color="auto"/>
                                          </w:divBdr>
                                          <w:divsChild>
                                            <w:div w:id="166412094">
                                              <w:marLeft w:val="0"/>
                                              <w:marRight w:val="0"/>
                                              <w:marTop w:val="0"/>
                                              <w:marBottom w:val="0"/>
                                              <w:divBdr>
                                                <w:top w:val="none" w:sz="0" w:space="0" w:color="auto"/>
                                                <w:left w:val="none" w:sz="0" w:space="0" w:color="auto"/>
                                                <w:bottom w:val="none" w:sz="0" w:space="0" w:color="auto"/>
                                                <w:right w:val="none" w:sz="0" w:space="0" w:color="auto"/>
                                              </w:divBdr>
                                              <w:divsChild>
                                                <w:div w:id="328557608">
                                                  <w:marLeft w:val="0"/>
                                                  <w:marRight w:val="0"/>
                                                  <w:marTop w:val="240"/>
                                                  <w:marBottom w:val="240"/>
                                                  <w:divBdr>
                                                    <w:top w:val="single" w:sz="6" w:space="6" w:color="F2F2F2"/>
                                                    <w:left w:val="none" w:sz="0" w:space="0" w:color="auto"/>
                                                    <w:bottom w:val="single" w:sz="6" w:space="6" w:color="F2F2F2"/>
                                                    <w:right w:val="none" w:sz="0" w:space="0" w:color="auto"/>
                                                  </w:divBdr>
                                                </w:div>
                                                <w:div w:id="1117526962">
                                                  <w:marLeft w:val="0"/>
                                                  <w:marRight w:val="0"/>
                                                  <w:marTop w:val="0"/>
                                                  <w:marBottom w:val="0"/>
                                                  <w:divBdr>
                                                    <w:top w:val="none" w:sz="0" w:space="0" w:color="auto"/>
                                                    <w:left w:val="none" w:sz="0" w:space="0" w:color="auto"/>
                                                    <w:bottom w:val="none" w:sz="0" w:space="0" w:color="auto"/>
                                                    <w:right w:val="none" w:sz="0" w:space="0" w:color="auto"/>
                                                  </w:divBdr>
                                                  <w:divsChild>
                                                    <w:div w:id="17044007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008724">
      <w:bodyDiv w:val="1"/>
      <w:marLeft w:val="0"/>
      <w:marRight w:val="0"/>
      <w:marTop w:val="0"/>
      <w:marBottom w:val="0"/>
      <w:divBdr>
        <w:top w:val="none" w:sz="0" w:space="0" w:color="auto"/>
        <w:left w:val="none" w:sz="0" w:space="0" w:color="auto"/>
        <w:bottom w:val="none" w:sz="0" w:space="0" w:color="auto"/>
        <w:right w:val="none" w:sz="0" w:space="0" w:color="auto"/>
      </w:divBdr>
      <w:divsChild>
        <w:div w:id="1868332840">
          <w:marLeft w:val="0"/>
          <w:marRight w:val="0"/>
          <w:marTop w:val="0"/>
          <w:marBottom w:val="0"/>
          <w:divBdr>
            <w:top w:val="none" w:sz="0" w:space="0" w:color="auto"/>
            <w:left w:val="none" w:sz="0" w:space="0" w:color="auto"/>
            <w:bottom w:val="none" w:sz="0" w:space="0" w:color="auto"/>
            <w:right w:val="none" w:sz="0" w:space="0" w:color="auto"/>
          </w:divBdr>
          <w:divsChild>
            <w:div w:id="1497725893">
              <w:marLeft w:val="0"/>
              <w:marRight w:val="0"/>
              <w:marTop w:val="0"/>
              <w:marBottom w:val="0"/>
              <w:divBdr>
                <w:top w:val="none" w:sz="0" w:space="0" w:color="auto"/>
                <w:left w:val="none" w:sz="0" w:space="0" w:color="auto"/>
                <w:bottom w:val="none" w:sz="0" w:space="0" w:color="auto"/>
                <w:right w:val="none" w:sz="0" w:space="0" w:color="auto"/>
              </w:divBdr>
              <w:divsChild>
                <w:div w:id="1421633962">
                  <w:marLeft w:val="0"/>
                  <w:marRight w:val="0"/>
                  <w:marTop w:val="0"/>
                  <w:marBottom w:val="0"/>
                  <w:divBdr>
                    <w:top w:val="none" w:sz="0" w:space="0" w:color="auto"/>
                    <w:left w:val="none" w:sz="0" w:space="0" w:color="auto"/>
                    <w:bottom w:val="none" w:sz="0" w:space="0" w:color="auto"/>
                    <w:right w:val="none" w:sz="0" w:space="0" w:color="auto"/>
                  </w:divBdr>
                  <w:divsChild>
                    <w:div w:id="1216890340">
                      <w:marLeft w:val="0"/>
                      <w:marRight w:val="0"/>
                      <w:marTop w:val="0"/>
                      <w:marBottom w:val="0"/>
                      <w:divBdr>
                        <w:top w:val="none" w:sz="0" w:space="0" w:color="auto"/>
                        <w:left w:val="none" w:sz="0" w:space="0" w:color="auto"/>
                        <w:bottom w:val="none" w:sz="0" w:space="0" w:color="auto"/>
                        <w:right w:val="none" w:sz="0" w:space="0" w:color="auto"/>
                      </w:divBdr>
                      <w:divsChild>
                        <w:div w:id="1968856239">
                          <w:marLeft w:val="0"/>
                          <w:marRight w:val="0"/>
                          <w:marTop w:val="0"/>
                          <w:marBottom w:val="0"/>
                          <w:divBdr>
                            <w:top w:val="none" w:sz="0" w:space="0" w:color="auto"/>
                            <w:left w:val="none" w:sz="0" w:space="0" w:color="auto"/>
                            <w:bottom w:val="single" w:sz="6" w:space="15" w:color="CCCCCC"/>
                            <w:right w:val="none" w:sz="0" w:space="0" w:color="auto"/>
                          </w:divBdr>
                          <w:divsChild>
                            <w:div w:id="2070420672">
                              <w:marLeft w:val="0"/>
                              <w:marRight w:val="0"/>
                              <w:marTop w:val="0"/>
                              <w:marBottom w:val="300"/>
                              <w:divBdr>
                                <w:top w:val="none" w:sz="0" w:space="0" w:color="auto"/>
                                <w:left w:val="none" w:sz="0" w:space="0" w:color="auto"/>
                                <w:bottom w:val="none" w:sz="0" w:space="0" w:color="auto"/>
                                <w:right w:val="none" w:sz="0" w:space="0" w:color="auto"/>
                              </w:divBdr>
                              <w:divsChild>
                                <w:div w:id="308748287">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306660932">
      <w:bodyDiv w:val="1"/>
      <w:marLeft w:val="0"/>
      <w:marRight w:val="0"/>
      <w:marTop w:val="0"/>
      <w:marBottom w:val="0"/>
      <w:divBdr>
        <w:top w:val="none" w:sz="0" w:space="0" w:color="auto"/>
        <w:left w:val="none" w:sz="0" w:space="0" w:color="auto"/>
        <w:bottom w:val="none" w:sz="0" w:space="0" w:color="auto"/>
        <w:right w:val="none" w:sz="0" w:space="0" w:color="auto"/>
      </w:divBdr>
      <w:divsChild>
        <w:div w:id="1443724125">
          <w:marLeft w:val="0"/>
          <w:marRight w:val="0"/>
          <w:marTop w:val="0"/>
          <w:marBottom w:val="0"/>
          <w:divBdr>
            <w:top w:val="none" w:sz="0" w:space="0" w:color="auto"/>
            <w:left w:val="none" w:sz="0" w:space="0" w:color="auto"/>
            <w:bottom w:val="none" w:sz="0" w:space="0" w:color="auto"/>
            <w:right w:val="none" w:sz="0" w:space="0" w:color="auto"/>
          </w:divBdr>
          <w:divsChild>
            <w:div w:id="1054818734">
              <w:marLeft w:val="0"/>
              <w:marRight w:val="0"/>
              <w:marTop w:val="150"/>
              <w:marBottom w:val="0"/>
              <w:divBdr>
                <w:top w:val="none" w:sz="0" w:space="0" w:color="auto"/>
                <w:left w:val="none" w:sz="0" w:space="0" w:color="auto"/>
                <w:bottom w:val="none" w:sz="0" w:space="0" w:color="auto"/>
                <w:right w:val="none" w:sz="0" w:space="0" w:color="auto"/>
              </w:divBdr>
              <w:divsChild>
                <w:div w:id="2000768684">
                  <w:marLeft w:val="0"/>
                  <w:marRight w:val="0"/>
                  <w:marTop w:val="0"/>
                  <w:marBottom w:val="0"/>
                  <w:divBdr>
                    <w:top w:val="none" w:sz="0" w:space="0" w:color="auto"/>
                    <w:left w:val="none" w:sz="0" w:space="0" w:color="auto"/>
                    <w:bottom w:val="none" w:sz="0" w:space="0" w:color="auto"/>
                    <w:right w:val="none" w:sz="0" w:space="0" w:color="auto"/>
                  </w:divBdr>
                  <w:divsChild>
                    <w:div w:id="704409297">
                      <w:marLeft w:val="0"/>
                      <w:marRight w:val="0"/>
                      <w:marTop w:val="0"/>
                      <w:marBottom w:val="0"/>
                      <w:divBdr>
                        <w:top w:val="none" w:sz="0" w:space="0" w:color="auto"/>
                        <w:left w:val="none" w:sz="0" w:space="0" w:color="auto"/>
                        <w:bottom w:val="none" w:sz="0" w:space="0" w:color="auto"/>
                        <w:right w:val="none" w:sz="0" w:space="0" w:color="auto"/>
                      </w:divBdr>
                      <w:divsChild>
                        <w:div w:id="16894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60602">
      <w:bodyDiv w:val="1"/>
      <w:marLeft w:val="0"/>
      <w:marRight w:val="0"/>
      <w:marTop w:val="0"/>
      <w:marBottom w:val="0"/>
      <w:divBdr>
        <w:top w:val="none" w:sz="0" w:space="0" w:color="auto"/>
        <w:left w:val="none" w:sz="0" w:space="0" w:color="auto"/>
        <w:bottom w:val="none" w:sz="0" w:space="0" w:color="auto"/>
        <w:right w:val="none" w:sz="0" w:space="0" w:color="auto"/>
      </w:divBdr>
      <w:divsChild>
        <w:div w:id="73087656">
          <w:marLeft w:val="2400"/>
          <w:marRight w:val="0"/>
          <w:marTop w:val="0"/>
          <w:marBottom w:val="0"/>
          <w:divBdr>
            <w:top w:val="none" w:sz="0" w:space="0" w:color="auto"/>
            <w:left w:val="none" w:sz="0" w:space="0" w:color="auto"/>
            <w:bottom w:val="none" w:sz="0" w:space="0" w:color="auto"/>
            <w:right w:val="none" w:sz="0" w:space="0" w:color="auto"/>
          </w:divBdr>
          <w:divsChild>
            <w:div w:id="1240142462">
              <w:marLeft w:val="0"/>
              <w:marRight w:val="0"/>
              <w:marTop w:val="0"/>
              <w:marBottom w:val="0"/>
              <w:divBdr>
                <w:top w:val="none" w:sz="0" w:space="0" w:color="auto"/>
                <w:left w:val="none" w:sz="0" w:space="0" w:color="auto"/>
                <w:bottom w:val="none" w:sz="0" w:space="0" w:color="auto"/>
                <w:right w:val="none" w:sz="0" w:space="0" w:color="auto"/>
              </w:divBdr>
              <w:divsChild>
                <w:div w:id="309360443">
                  <w:marLeft w:val="0"/>
                  <w:marRight w:val="0"/>
                  <w:marTop w:val="0"/>
                  <w:marBottom w:val="0"/>
                  <w:divBdr>
                    <w:top w:val="none" w:sz="0" w:space="0" w:color="auto"/>
                    <w:left w:val="none" w:sz="0" w:space="0" w:color="auto"/>
                    <w:bottom w:val="none" w:sz="0" w:space="0" w:color="auto"/>
                    <w:right w:val="none" w:sz="0" w:space="0" w:color="auto"/>
                  </w:divBdr>
                  <w:divsChild>
                    <w:div w:id="25429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631402">
      <w:bodyDiv w:val="1"/>
      <w:marLeft w:val="0"/>
      <w:marRight w:val="0"/>
      <w:marTop w:val="0"/>
      <w:marBottom w:val="0"/>
      <w:divBdr>
        <w:top w:val="none" w:sz="0" w:space="0" w:color="auto"/>
        <w:left w:val="none" w:sz="0" w:space="0" w:color="auto"/>
        <w:bottom w:val="none" w:sz="0" w:space="0" w:color="auto"/>
        <w:right w:val="none" w:sz="0" w:space="0" w:color="auto"/>
      </w:divBdr>
      <w:divsChild>
        <w:div w:id="704794895">
          <w:marLeft w:val="0"/>
          <w:marRight w:val="0"/>
          <w:marTop w:val="0"/>
          <w:marBottom w:val="0"/>
          <w:divBdr>
            <w:top w:val="none" w:sz="0" w:space="0" w:color="auto"/>
            <w:left w:val="none" w:sz="0" w:space="0" w:color="auto"/>
            <w:bottom w:val="none" w:sz="0" w:space="0" w:color="auto"/>
            <w:right w:val="none" w:sz="0" w:space="0" w:color="auto"/>
          </w:divBdr>
          <w:divsChild>
            <w:div w:id="672876140">
              <w:marLeft w:val="0"/>
              <w:marRight w:val="0"/>
              <w:marTop w:val="0"/>
              <w:marBottom w:val="0"/>
              <w:divBdr>
                <w:top w:val="none" w:sz="0" w:space="0" w:color="auto"/>
                <w:left w:val="none" w:sz="0" w:space="0" w:color="auto"/>
                <w:bottom w:val="none" w:sz="0" w:space="0" w:color="auto"/>
                <w:right w:val="none" w:sz="0" w:space="0" w:color="auto"/>
              </w:divBdr>
              <w:divsChild>
                <w:div w:id="18088607">
                  <w:marLeft w:val="0"/>
                  <w:marRight w:val="0"/>
                  <w:marTop w:val="0"/>
                  <w:marBottom w:val="0"/>
                  <w:divBdr>
                    <w:top w:val="none" w:sz="0" w:space="0" w:color="auto"/>
                    <w:left w:val="none" w:sz="0" w:space="0" w:color="auto"/>
                    <w:bottom w:val="none" w:sz="0" w:space="0" w:color="auto"/>
                    <w:right w:val="none" w:sz="0" w:space="0" w:color="auto"/>
                  </w:divBdr>
                  <w:divsChild>
                    <w:div w:id="1488091021">
                      <w:marLeft w:val="0"/>
                      <w:marRight w:val="0"/>
                      <w:marTop w:val="0"/>
                      <w:marBottom w:val="0"/>
                      <w:divBdr>
                        <w:top w:val="none" w:sz="0" w:space="0" w:color="auto"/>
                        <w:left w:val="none" w:sz="0" w:space="0" w:color="auto"/>
                        <w:bottom w:val="none" w:sz="0" w:space="0" w:color="auto"/>
                        <w:right w:val="none" w:sz="0" w:space="0" w:color="auto"/>
                      </w:divBdr>
                      <w:divsChild>
                        <w:div w:id="140039974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0090007">
      <w:bodyDiv w:val="1"/>
      <w:marLeft w:val="0"/>
      <w:marRight w:val="0"/>
      <w:marTop w:val="0"/>
      <w:marBottom w:val="0"/>
      <w:divBdr>
        <w:top w:val="none" w:sz="0" w:space="0" w:color="auto"/>
        <w:left w:val="none" w:sz="0" w:space="0" w:color="auto"/>
        <w:bottom w:val="none" w:sz="0" w:space="0" w:color="auto"/>
        <w:right w:val="none" w:sz="0" w:space="0" w:color="auto"/>
      </w:divBdr>
      <w:divsChild>
        <w:div w:id="1286539327">
          <w:marLeft w:val="0"/>
          <w:marRight w:val="0"/>
          <w:marTop w:val="0"/>
          <w:marBottom w:val="0"/>
          <w:divBdr>
            <w:top w:val="none" w:sz="0" w:space="0" w:color="auto"/>
            <w:left w:val="none" w:sz="0" w:space="0" w:color="auto"/>
            <w:bottom w:val="none" w:sz="0" w:space="0" w:color="auto"/>
            <w:right w:val="none" w:sz="0" w:space="0" w:color="auto"/>
          </w:divBdr>
          <w:divsChild>
            <w:div w:id="385182296">
              <w:marLeft w:val="0"/>
              <w:marRight w:val="0"/>
              <w:marTop w:val="0"/>
              <w:marBottom w:val="0"/>
              <w:divBdr>
                <w:top w:val="none" w:sz="0" w:space="0" w:color="auto"/>
                <w:left w:val="none" w:sz="0" w:space="0" w:color="auto"/>
                <w:bottom w:val="none" w:sz="0" w:space="0" w:color="auto"/>
                <w:right w:val="none" w:sz="0" w:space="0" w:color="auto"/>
              </w:divBdr>
            </w:div>
          </w:divsChild>
        </w:div>
        <w:div w:id="1733382956">
          <w:marLeft w:val="0"/>
          <w:marRight w:val="0"/>
          <w:marTop w:val="0"/>
          <w:marBottom w:val="0"/>
          <w:divBdr>
            <w:top w:val="none" w:sz="0" w:space="0" w:color="auto"/>
            <w:left w:val="none" w:sz="0" w:space="0" w:color="auto"/>
            <w:bottom w:val="none" w:sz="0" w:space="0" w:color="auto"/>
            <w:right w:val="none" w:sz="0" w:space="0" w:color="auto"/>
          </w:divBdr>
        </w:div>
        <w:div w:id="963586339">
          <w:marLeft w:val="0"/>
          <w:marRight w:val="0"/>
          <w:marTop w:val="0"/>
          <w:marBottom w:val="0"/>
          <w:divBdr>
            <w:top w:val="none" w:sz="0" w:space="0" w:color="auto"/>
            <w:left w:val="none" w:sz="0" w:space="0" w:color="auto"/>
            <w:bottom w:val="none" w:sz="0" w:space="0" w:color="auto"/>
            <w:right w:val="none" w:sz="0" w:space="0" w:color="auto"/>
          </w:divBdr>
        </w:div>
      </w:divsChild>
    </w:div>
    <w:div w:id="1311641524">
      <w:bodyDiv w:val="1"/>
      <w:marLeft w:val="0"/>
      <w:marRight w:val="0"/>
      <w:marTop w:val="0"/>
      <w:marBottom w:val="0"/>
      <w:divBdr>
        <w:top w:val="none" w:sz="0" w:space="0" w:color="auto"/>
        <w:left w:val="none" w:sz="0" w:space="0" w:color="auto"/>
        <w:bottom w:val="none" w:sz="0" w:space="0" w:color="auto"/>
        <w:right w:val="none" w:sz="0" w:space="0" w:color="auto"/>
      </w:divBdr>
    </w:div>
    <w:div w:id="1312172592">
      <w:bodyDiv w:val="1"/>
      <w:marLeft w:val="0"/>
      <w:marRight w:val="0"/>
      <w:marTop w:val="0"/>
      <w:marBottom w:val="0"/>
      <w:divBdr>
        <w:top w:val="none" w:sz="0" w:space="0" w:color="auto"/>
        <w:left w:val="none" w:sz="0" w:space="0" w:color="auto"/>
        <w:bottom w:val="none" w:sz="0" w:space="0" w:color="auto"/>
        <w:right w:val="none" w:sz="0" w:space="0" w:color="auto"/>
      </w:divBdr>
      <w:divsChild>
        <w:div w:id="2030326034">
          <w:marLeft w:val="0"/>
          <w:marRight w:val="0"/>
          <w:marTop w:val="0"/>
          <w:marBottom w:val="0"/>
          <w:divBdr>
            <w:top w:val="none" w:sz="0" w:space="0" w:color="auto"/>
            <w:left w:val="none" w:sz="0" w:space="0" w:color="auto"/>
            <w:bottom w:val="none" w:sz="0" w:space="0" w:color="auto"/>
            <w:right w:val="none" w:sz="0" w:space="0" w:color="auto"/>
          </w:divBdr>
          <w:divsChild>
            <w:div w:id="65034309">
              <w:marLeft w:val="0"/>
              <w:marRight w:val="0"/>
              <w:marTop w:val="0"/>
              <w:marBottom w:val="0"/>
              <w:divBdr>
                <w:top w:val="none" w:sz="0" w:space="0" w:color="auto"/>
                <w:left w:val="none" w:sz="0" w:space="0" w:color="auto"/>
                <w:bottom w:val="none" w:sz="0" w:space="0" w:color="auto"/>
                <w:right w:val="none" w:sz="0" w:space="0" w:color="auto"/>
              </w:divBdr>
              <w:divsChild>
                <w:div w:id="240020301">
                  <w:marLeft w:val="0"/>
                  <w:marRight w:val="0"/>
                  <w:marTop w:val="0"/>
                  <w:marBottom w:val="0"/>
                  <w:divBdr>
                    <w:top w:val="none" w:sz="0" w:space="0" w:color="auto"/>
                    <w:left w:val="none" w:sz="0" w:space="0" w:color="auto"/>
                    <w:bottom w:val="none" w:sz="0" w:space="0" w:color="auto"/>
                    <w:right w:val="none" w:sz="0" w:space="0" w:color="auto"/>
                  </w:divBdr>
                  <w:divsChild>
                    <w:div w:id="1375735129">
                      <w:marLeft w:val="0"/>
                      <w:marRight w:val="0"/>
                      <w:marTop w:val="0"/>
                      <w:marBottom w:val="0"/>
                      <w:divBdr>
                        <w:top w:val="none" w:sz="0" w:space="0" w:color="auto"/>
                        <w:left w:val="none" w:sz="0" w:space="0" w:color="auto"/>
                        <w:bottom w:val="none" w:sz="0" w:space="0" w:color="auto"/>
                        <w:right w:val="none" w:sz="0" w:space="0" w:color="auto"/>
                      </w:divBdr>
                      <w:divsChild>
                        <w:div w:id="1575318431">
                          <w:marLeft w:val="0"/>
                          <w:marRight w:val="0"/>
                          <w:marTop w:val="0"/>
                          <w:marBottom w:val="0"/>
                          <w:divBdr>
                            <w:top w:val="none" w:sz="0" w:space="0" w:color="auto"/>
                            <w:left w:val="none" w:sz="0" w:space="0" w:color="auto"/>
                            <w:bottom w:val="none" w:sz="0" w:space="0" w:color="auto"/>
                            <w:right w:val="none" w:sz="0" w:space="0" w:color="auto"/>
                          </w:divBdr>
                          <w:divsChild>
                            <w:div w:id="242226100">
                              <w:marLeft w:val="0"/>
                              <w:marRight w:val="0"/>
                              <w:marTop w:val="0"/>
                              <w:marBottom w:val="0"/>
                              <w:divBdr>
                                <w:top w:val="none" w:sz="0" w:space="0" w:color="auto"/>
                                <w:left w:val="none" w:sz="0" w:space="0" w:color="auto"/>
                                <w:bottom w:val="none" w:sz="0" w:space="0" w:color="auto"/>
                                <w:right w:val="none" w:sz="0" w:space="0" w:color="auto"/>
                              </w:divBdr>
                              <w:divsChild>
                                <w:div w:id="112790766">
                                  <w:marLeft w:val="0"/>
                                  <w:marRight w:val="0"/>
                                  <w:marTop w:val="0"/>
                                  <w:marBottom w:val="0"/>
                                  <w:divBdr>
                                    <w:top w:val="none" w:sz="0" w:space="0" w:color="auto"/>
                                    <w:left w:val="none" w:sz="0" w:space="0" w:color="auto"/>
                                    <w:bottom w:val="none" w:sz="0" w:space="0" w:color="auto"/>
                                    <w:right w:val="none" w:sz="0" w:space="0" w:color="auto"/>
                                  </w:divBdr>
                                  <w:divsChild>
                                    <w:div w:id="24596262">
                                      <w:marLeft w:val="0"/>
                                      <w:marRight w:val="0"/>
                                      <w:marTop w:val="0"/>
                                      <w:marBottom w:val="0"/>
                                      <w:divBdr>
                                        <w:top w:val="none" w:sz="0" w:space="0" w:color="auto"/>
                                        <w:left w:val="none" w:sz="0" w:space="0" w:color="auto"/>
                                        <w:bottom w:val="none" w:sz="0" w:space="0" w:color="auto"/>
                                        <w:right w:val="none" w:sz="0" w:space="0" w:color="auto"/>
                                      </w:divBdr>
                                      <w:divsChild>
                                        <w:div w:id="1014645975">
                                          <w:marLeft w:val="0"/>
                                          <w:marRight w:val="0"/>
                                          <w:marTop w:val="0"/>
                                          <w:marBottom w:val="0"/>
                                          <w:divBdr>
                                            <w:top w:val="none" w:sz="0" w:space="0" w:color="auto"/>
                                            <w:left w:val="none" w:sz="0" w:space="0" w:color="auto"/>
                                            <w:bottom w:val="none" w:sz="0" w:space="0" w:color="auto"/>
                                            <w:right w:val="none" w:sz="0" w:space="0" w:color="auto"/>
                                          </w:divBdr>
                                          <w:divsChild>
                                            <w:div w:id="616914078">
                                              <w:marLeft w:val="0"/>
                                              <w:marRight w:val="0"/>
                                              <w:marTop w:val="0"/>
                                              <w:marBottom w:val="0"/>
                                              <w:divBdr>
                                                <w:top w:val="none" w:sz="0" w:space="0" w:color="auto"/>
                                                <w:left w:val="none" w:sz="0" w:space="0" w:color="auto"/>
                                                <w:bottom w:val="none" w:sz="0" w:space="0" w:color="auto"/>
                                                <w:right w:val="none" w:sz="0" w:space="0" w:color="auto"/>
                                              </w:divBdr>
                                              <w:divsChild>
                                                <w:div w:id="1398818331">
                                                  <w:marLeft w:val="0"/>
                                                  <w:marRight w:val="0"/>
                                                  <w:marTop w:val="0"/>
                                                  <w:marBottom w:val="0"/>
                                                  <w:divBdr>
                                                    <w:top w:val="none" w:sz="0" w:space="0" w:color="auto"/>
                                                    <w:left w:val="none" w:sz="0" w:space="0" w:color="auto"/>
                                                    <w:bottom w:val="none" w:sz="0" w:space="0" w:color="auto"/>
                                                    <w:right w:val="none" w:sz="0" w:space="0" w:color="auto"/>
                                                  </w:divBdr>
                                                  <w:divsChild>
                                                    <w:div w:id="216429798">
                                                      <w:marLeft w:val="0"/>
                                                      <w:marRight w:val="0"/>
                                                      <w:marTop w:val="0"/>
                                                      <w:marBottom w:val="0"/>
                                                      <w:divBdr>
                                                        <w:top w:val="none" w:sz="0" w:space="0" w:color="auto"/>
                                                        <w:left w:val="none" w:sz="0" w:space="0" w:color="auto"/>
                                                        <w:bottom w:val="none" w:sz="0" w:space="0" w:color="auto"/>
                                                        <w:right w:val="none" w:sz="0" w:space="0" w:color="auto"/>
                                                      </w:divBdr>
                                                      <w:divsChild>
                                                        <w:div w:id="1600724234">
                                                          <w:marLeft w:val="0"/>
                                                          <w:marRight w:val="0"/>
                                                          <w:marTop w:val="0"/>
                                                          <w:marBottom w:val="0"/>
                                                          <w:divBdr>
                                                            <w:top w:val="none" w:sz="0" w:space="0" w:color="auto"/>
                                                            <w:left w:val="none" w:sz="0" w:space="0" w:color="auto"/>
                                                            <w:bottom w:val="none" w:sz="0" w:space="0" w:color="auto"/>
                                                            <w:right w:val="none" w:sz="0" w:space="0" w:color="auto"/>
                                                          </w:divBdr>
                                                        </w:div>
                                                        <w:div w:id="1989163783">
                                                          <w:marLeft w:val="0"/>
                                                          <w:marRight w:val="0"/>
                                                          <w:marTop w:val="0"/>
                                                          <w:marBottom w:val="0"/>
                                                          <w:divBdr>
                                                            <w:top w:val="none" w:sz="0" w:space="0" w:color="auto"/>
                                                            <w:left w:val="none" w:sz="0" w:space="0" w:color="auto"/>
                                                            <w:bottom w:val="none" w:sz="0" w:space="0" w:color="auto"/>
                                                            <w:right w:val="none" w:sz="0" w:space="0" w:color="auto"/>
                                                          </w:divBdr>
                                                          <w:divsChild>
                                                            <w:div w:id="6576859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522232">
      <w:bodyDiv w:val="1"/>
      <w:marLeft w:val="0"/>
      <w:marRight w:val="0"/>
      <w:marTop w:val="0"/>
      <w:marBottom w:val="0"/>
      <w:divBdr>
        <w:top w:val="none" w:sz="0" w:space="0" w:color="auto"/>
        <w:left w:val="none" w:sz="0" w:space="0" w:color="auto"/>
        <w:bottom w:val="none" w:sz="0" w:space="0" w:color="auto"/>
        <w:right w:val="none" w:sz="0" w:space="0" w:color="auto"/>
      </w:divBdr>
    </w:div>
    <w:div w:id="1316254342">
      <w:bodyDiv w:val="1"/>
      <w:marLeft w:val="0"/>
      <w:marRight w:val="0"/>
      <w:marTop w:val="0"/>
      <w:marBottom w:val="0"/>
      <w:divBdr>
        <w:top w:val="none" w:sz="0" w:space="0" w:color="auto"/>
        <w:left w:val="none" w:sz="0" w:space="0" w:color="auto"/>
        <w:bottom w:val="none" w:sz="0" w:space="0" w:color="auto"/>
        <w:right w:val="none" w:sz="0" w:space="0" w:color="auto"/>
      </w:divBdr>
      <w:divsChild>
        <w:div w:id="1704671134">
          <w:marLeft w:val="0"/>
          <w:marRight w:val="0"/>
          <w:marTop w:val="0"/>
          <w:marBottom w:val="0"/>
          <w:divBdr>
            <w:top w:val="none" w:sz="0" w:space="0" w:color="auto"/>
            <w:left w:val="none" w:sz="0" w:space="0" w:color="auto"/>
            <w:bottom w:val="none" w:sz="0" w:space="0" w:color="auto"/>
            <w:right w:val="none" w:sz="0" w:space="0" w:color="auto"/>
          </w:divBdr>
          <w:divsChild>
            <w:div w:id="811214109">
              <w:marLeft w:val="0"/>
              <w:marRight w:val="0"/>
              <w:marTop w:val="0"/>
              <w:marBottom w:val="0"/>
              <w:divBdr>
                <w:top w:val="none" w:sz="0" w:space="0" w:color="auto"/>
                <w:left w:val="none" w:sz="0" w:space="0" w:color="auto"/>
                <w:bottom w:val="none" w:sz="0" w:space="0" w:color="auto"/>
                <w:right w:val="none" w:sz="0" w:space="0" w:color="auto"/>
              </w:divBdr>
              <w:divsChild>
                <w:div w:id="1148089443">
                  <w:marLeft w:val="-225"/>
                  <w:marRight w:val="-225"/>
                  <w:marTop w:val="0"/>
                  <w:marBottom w:val="0"/>
                  <w:divBdr>
                    <w:top w:val="none" w:sz="0" w:space="0" w:color="auto"/>
                    <w:left w:val="none" w:sz="0" w:space="0" w:color="auto"/>
                    <w:bottom w:val="none" w:sz="0" w:space="0" w:color="auto"/>
                    <w:right w:val="none" w:sz="0" w:space="0" w:color="auto"/>
                  </w:divBdr>
                  <w:divsChild>
                    <w:div w:id="2021735110">
                      <w:marLeft w:val="0"/>
                      <w:marRight w:val="0"/>
                      <w:marTop w:val="0"/>
                      <w:marBottom w:val="0"/>
                      <w:divBdr>
                        <w:top w:val="none" w:sz="0" w:space="0" w:color="auto"/>
                        <w:left w:val="none" w:sz="0" w:space="0" w:color="auto"/>
                        <w:bottom w:val="none" w:sz="0" w:space="0" w:color="auto"/>
                        <w:right w:val="none" w:sz="0" w:space="0" w:color="auto"/>
                      </w:divBdr>
                      <w:divsChild>
                        <w:div w:id="925725754">
                          <w:marLeft w:val="0"/>
                          <w:marRight w:val="0"/>
                          <w:marTop w:val="300"/>
                          <w:marBottom w:val="0"/>
                          <w:divBdr>
                            <w:top w:val="none" w:sz="0" w:space="0" w:color="auto"/>
                            <w:left w:val="none" w:sz="0" w:space="0" w:color="auto"/>
                            <w:bottom w:val="none" w:sz="0" w:space="0" w:color="auto"/>
                            <w:right w:val="none" w:sz="0" w:space="0" w:color="auto"/>
                          </w:divBdr>
                          <w:divsChild>
                            <w:div w:id="182942830">
                              <w:marLeft w:val="0"/>
                              <w:marRight w:val="0"/>
                              <w:marTop w:val="0"/>
                              <w:marBottom w:val="0"/>
                              <w:divBdr>
                                <w:top w:val="none" w:sz="0" w:space="0" w:color="auto"/>
                                <w:left w:val="none" w:sz="0" w:space="0" w:color="auto"/>
                                <w:bottom w:val="none" w:sz="0" w:space="0" w:color="auto"/>
                                <w:right w:val="none" w:sz="0" w:space="0" w:color="auto"/>
                              </w:divBdr>
                              <w:divsChild>
                                <w:div w:id="693724507">
                                  <w:marLeft w:val="0"/>
                                  <w:marRight w:val="0"/>
                                  <w:marTop w:val="0"/>
                                  <w:marBottom w:val="0"/>
                                  <w:divBdr>
                                    <w:top w:val="none" w:sz="0" w:space="0" w:color="auto"/>
                                    <w:left w:val="none" w:sz="0" w:space="0" w:color="auto"/>
                                    <w:bottom w:val="none" w:sz="0" w:space="0" w:color="auto"/>
                                    <w:right w:val="none" w:sz="0" w:space="0" w:color="auto"/>
                                  </w:divBdr>
                                  <w:divsChild>
                                    <w:div w:id="1746759001">
                                      <w:marLeft w:val="0"/>
                                      <w:marRight w:val="0"/>
                                      <w:marTop w:val="0"/>
                                      <w:marBottom w:val="0"/>
                                      <w:divBdr>
                                        <w:top w:val="none" w:sz="0" w:space="0" w:color="auto"/>
                                        <w:left w:val="none" w:sz="0" w:space="0" w:color="auto"/>
                                        <w:bottom w:val="none" w:sz="0" w:space="0" w:color="auto"/>
                                        <w:right w:val="none" w:sz="0" w:space="0" w:color="auto"/>
                                      </w:divBdr>
                                      <w:divsChild>
                                        <w:div w:id="3588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881835">
      <w:bodyDiv w:val="1"/>
      <w:marLeft w:val="0"/>
      <w:marRight w:val="0"/>
      <w:marTop w:val="0"/>
      <w:marBottom w:val="0"/>
      <w:divBdr>
        <w:top w:val="none" w:sz="0" w:space="0" w:color="auto"/>
        <w:left w:val="none" w:sz="0" w:space="0" w:color="auto"/>
        <w:bottom w:val="none" w:sz="0" w:space="0" w:color="auto"/>
        <w:right w:val="none" w:sz="0" w:space="0" w:color="auto"/>
      </w:divBdr>
      <w:divsChild>
        <w:div w:id="989138660">
          <w:marLeft w:val="0"/>
          <w:marRight w:val="0"/>
          <w:marTop w:val="0"/>
          <w:marBottom w:val="0"/>
          <w:divBdr>
            <w:top w:val="none" w:sz="0" w:space="0" w:color="auto"/>
            <w:left w:val="none" w:sz="0" w:space="0" w:color="auto"/>
            <w:bottom w:val="none" w:sz="0" w:space="0" w:color="auto"/>
            <w:right w:val="none" w:sz="0" w:space="0" w:color="auto"/>
          </w:divBdr>
          <w:divsChild>
            <w:div w:id="837498758">
              <w:marLeft w:val="0"/>
              <w:marRight w:val="0"/>
              <w:marTop w:val="0"/>
              <w:marBottom w:val="0"/>
              <w:divBdr>
                <w:top w:val="none" w:sz="0" w:space="0" w:color="auto"/>
                <w:left w:val="none" w:sz="0" w:space="0" w:color="auto"/>
                <w:bottom w:val="none" w:sz="0" w:space="0" w:color="auto"/>
                <w:right w:val="none" w:sz="0" w:space="0" w:color="auto"/>
              </w:divBdr>
              <w:divsChild>
                <w:div w:id="1352340860">
                  <w:marLeft w:val="0"/>
                  <w:marRight w:val="0"/>
                  <w:marTop w:val="0"/>
                  <w:marBottom w:val="0"/>
                  <w:divBdr>
                    <w:top w:val="none" w:sz="0" w:space="0" w:color="auto"/>
                    <w:left w:val="none" w:sz="0" w:space="0" w:color="auto"/>
                    <w:bottom w:val="none" w:sz="0" w:space="0" w:color="auto"/>
                    <w:right w:val="none" w:sz="0" w:space="0" w:color="auto"/>
                  </w:divBdr>
                  <w:divsChild>
                    <w:div w:id="1765149685">
                      <w:marLeft w:val="0"/>
                      <w:marRight w:val="0"/>
                      <w:marTop w:val="0"/>
                      <w:marBottom w:val="0"/>
                      <w:divBdr>
                        <w:top w:val="none" w:sz="0" w:space="0" w:color="auto"/>
                        <w:left w:val="none" w:sz="0" w:space="0" w:color="auto"/>
                        <w:bottom w:val="none" w:sz="0" w:space="0" w:color="auto"/>
                        <w:right w:val="none" w:sz="0" w:space="0" w:color="auto"/>
                      </w:divBdr>
                      <w:divsChild>
                        <w:div w:id="99503328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7874164">
      <w:bodyDiv w:val="1"/>
      <w:marLeft w:val="0"/>
      <w:marRight w:val="0"/>
      <w:marTop w:val="0"/>
      <w:marBottom w:val="0"/>
      <w:divBdr>
        <w:top w:val="none" w:sz="0" w:space="0" w:color="auto"/>
        <w:left w:val="none" w:sz="0" w:space="0" w:color="auto"/>
        <w:bottom w:val="none" w:sz="0" w:space="0" w:color="auto"/>
        <w:right w:val="none" w:sz="0" w:space="0" w:color="auto"/>
      </w:divBdr>
    </w:div>
    <w:div w:id="1318456854">
      <w:bodyDiv w:val="1"/>
      <w:marLeft w:val="0"/>
      <w:marRight w:val="0"/>
      <w:marTop w:val="0"/>
      <w:marBottom w:val="0"/>
      <w:divBdr>
        <w:top w:val="none" w:sz="0" w:space="0" w:color="auto"/>
        <w:left w:val="none" w:sz="0" w:space="0" w:color="auto"/>
        <w:bottom w:val="none" w:sz="0" w:space="0" w:color="auto"/>
        <w:right w:val="none" w:sz="0" w:space="0" w:color="auto"/>
      </w:divBdr>
    </w:div>
    <w:div w:id="1319312225">
      <w:bodyDiv w:val="1"/>
      <w:marLeft w:val="0"/>
      <w:marRight w:val="0"/>
      <w:marTop w:val="0"/>
      <w:marBottom w:val="0"/>
      <w:divBdr>
        <w:top w:val="none" w:sz="0" w:space="0" w:color="auto"/>
        <w:left w:val="none" w:sz="0" w:space="0" w:color="auto"/>
        <w:bottom w:val="none" w:sz="0" w:space="0" w:color="auto"/>
        <w:right w:val="none" w:sz="0" w:space="0" w:color="auto"/>
      </w:divBdr>
    </w:div>
    <w:div w:id="1319502467">
      <w:bodyDiv w:val="1"/>
      <w:marLeft w:val="0"/>
      <w:marRight w:val="0"/>
      <w:marTop w:val="0"/>
      <w:marBottom w:val="0"/>
      <w:divBdr>
        <w:top w:val="none" w:sz="0" w:space="0" w:color="auto"/>
        <w:left w:val="none" w:sz="0" w:space="0" w:color="auto"/>
        <w:bottom w:val="none" w:sz="0" w:space="0" w:color="auto"/>
        <w:right w:val="none" w:sz="0" w:space="0" w:color="auto"/>
      </w:divBdr>
    </w:div>
    <w:div w:id="1320420811">
      <w:bodyDiv w:val="1"/>
      <w:marLeft w:val="0"/>
      <w:marRight w:val="0"/>
      <w:marTop w:val="0"/>
      <w:marBottom w:val="0"/>
      <w:divBdr>
        <w:top w:val="none" w:sz="0" w:space="0" w:color="auto"/>
        <w:left w:val="none" w:sz="0" w:space="0" w:color="auto"/>
        <w:bottom w:val="none" w:sz="0" w:space="0" w:color="auto"/>
        <w:right w:val="none" w:sz="0" w:space="0" w:color="auto"/>
      </w:divBdr>
      <w:divsChild>
        <w:div w:id="1971008494">
          <w:marLeft w:val="0"/>
          <w:marRight w:val="0"/>
          <w:marTop w:val="0"/>
          <w:marBottom w:val="0"/>
          <w:divBdr>
            <w:top w:val="none" w:sz="0" w:space="0" w:color="auto"/>
            <w:left w:val="none" w:sz="0" w:space="0" w:color="auto"/>
            <w:bottom w:val="none" w:sz="0" w:space="0" w:color="auto"/>
            <w:right w:val="none" w:sz="0" w:space="0" w:color="auto"/>
          </w:divBdr>
          <w:divsChild>
            <w:div w:id="446431438">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20844166">
      <w:bodyDiv w:val="1"/>
      <w:marLeft w:val="0"/>
      <w:marRight w:val="0"/>
      <w:marTop w:val="0"/>
      <w:marBottom w:val="0"/>
      <w:divBdr>
        <w:top w:val="none" w:sz="0" w:space="0" w:color="auto"/>
        <w:left w:val="none" w:sz="0" w:space="0" w:color="auto"/>
        <w:bottom w:val="none" w:sz="0" w:space="0" w:color="auto"/>
        <w:right w:val="none" w:sz="0" w:space="0" w:color="auto"/>
      </w:divBdr>
      <w:divsChild>
        <w:div w:id="985166344">
          <w:marLeft w:val="0"/>
          <w:marRight w:val="0"/>
          <w:marTop w:val="0"/>
          <w:marBottom w:val="450"/>
          <w:divBdr>
            <w:top w:val="none" w:sz="0" w:space="0" w:color="auto"/>
            <w:left w:val="none" w:sz="0" w:space="0" w:color="auto"/>
            <w:bottom w:val="none" w:sz="0" w:space="0" w:color="auto"/>
            <w:right w:val="none" w:sz="0" w:space="0" w:color="auto"/>
          </w:divBdr>
        </w:div>
        <w:div w:id="1046755127">
          <w:marLeft w:val="0"/>
          <w:marRight w:val="0"/>
          <w:marTop w:val="0"/>
          <w:marBottom w:val="450"/>
          <w:divBdr>
            <w:top w:val="none" w:sz="0" w:space="0" w:color="auto"/>
            <w:left w:val="none" w:sz="0" w:space="0" w:color="auto"/>
            <w:bottom w:val="none" w:sz="0" w:space="0" w:color="auto"/>
            <w:right w:val="none" w:sz="0" w:space="0" w:color="auto"/>
          </w:divBdr>
        </w:div>
      </w:divsChild>
    </w:div>
    <w:div w:id="1324621584">
      <w:bodyDiv w:val="1"/>
      <w:marLeft w:val="0"/>
      <w:marRight w:val="0"/>
      <w:marTop w:val="0"/>
      <w:marBottom w:val="0"/>
      <w:divBdr>
        <w:top w:val="none" w:sz="0" w:space="0" w:color="auto"/>
        <w:left w:val="none" w:sz="0" w:space="0" w:color="auto"/>
        <w:bottom w:val="none" w:sz="0" w:space="0" w:color="auto"/>
        <w:right w:val="none" w:sz="0" w:space="0" w:color="auto"/>
      </w:divBdr>
      <w:divsChild>
        <w:div w:id="1030297200">
          <w:marLeft w:val="0"/>
          <w:marRight w:val="0"/>
          <w:marTop w:val="0"/>
          <w:marBottom w:val="0"/>
          <w:divBdr>
            <w:top w:val="none" w:sz="0" w:space="0" w:color="auto"/>
            <w:left w:val="none" w:sz="0" w:space="0" w:color="auto"/>
            <w:bottom w:val="none" w:sz="0" w:space="0" w:color="auto"/>
            <w:right w:val="none" w:sz="0" w:space="0" w:color="auto"/>
          </w:divBdr>
          <w:divsChild>
            <w:div w:id="2006011634">
              <w:marLeft w:val="0"/>
              <w:marRight w:val="0"/>
              <w:marTop w:val="0"/>
              <w:marBottom w:val="0"/>
              <w:divBdr>
                <w:top w:val="none" w:sz="0" w:space="0" w:color="auto"/>
                <w:left w:val="none" w:sz="0" w:space="0" w:color="auto"/>
                <w:bottom w:val="none" w:sz="0" w:space="0" w:color="auto"/>
                <w:right w:val="none" w:sz="0" w:space="0" w:color="auto"/>
              </w:divBdr>
              <w:divsChild>
                <w:div w:id="1657032309">
                  <w:marLeft w:val="0"/>
                  <w:marRight w:val="0"/>
                  <w:marTop w:val="0"/>
                  <w:marBottom w:val="0"/>
                  <w:divBdr>
                    <w:top w:val="none" w:sz="0" w:space="0" w:color="auto"/>
                    <w:left w:val="none" w:sz="0" w:space="0" w:color="auto"/>
                    <w:bottom w:val="none" w:sz="0" w:space="0" w:color="auto"/>
                    <w:right w:val="none" w:sz="0" w:space="0" w:color="auto"/>
                  </w:divBdr>
                  <w:divsChild>
                    <w:div w:id="1344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91555">
      <w:bodyDiv w:val="1"/>
      <w:marLeft w:val="0"/>
      <w:marRight w:val="0"/>
      <w:marTop w:val="0"/>
      <w:marBottom w:val="0"/>
      <w:divBdr>
        <w:top w:val="none" w:sz="0" w:space="0" w:color="auto"/>
        <w:left w:val="none" w:sz="0" w:space="0" w:color="auto"/>
        <w:bottom w:val="none" w:sz="0" w:space="0" w:color="auto"/>
        <w:right w:val="none" w:sz="0" w:space="0" w:color="auto"/>
      </w:divBdr>
      <w:divsChild>
        <w:div w:id="2034383598">
          <w:marLeft w:val="0"/>
          <w:marRight w:val="0"/>
          <w:marTop w:val="0"/>
          <w:marBottom w:val="0"/>
          <w:divBdr>
            <w:top w:val="none" w:sz="0" w:space="0" w:color="auto"/>
            <w:left w:val="none" w:sz="0" w:space="0" w:color="auto"/>
            <w:bottom w:val="none" w:sz="0" w:space="0" w:color="auto"/>
            <w:right w:val="none" w:sz="0" w:space="0" w:color="auto"/>
          </w:divBdr>
          <w:divsChild>
            <w:div w:id="1867787427">
              <w:marLeft w:val="0"/>
              <w:marRight w:val="0"/>
              <w:marTop w:val="0"/>
              <w:marBottom w:val="0"/>
              <w:divBdr>
                <w:top w:val="none" w:sz="0" w:space="0" w:color="auto"/>
                <w:left w:val="none" w:sz="0" w:space="0" w:color="auto"/>
                <w:bottom w:val="none" w:sz="0" w:space="0" w:color="auto"/>
                <w:right w:val="none" w:sz="0" w:space="0" w:color="auto"/>
              </w:divBdr>
              <w:divsChild>
                <w:div w:id="840314319">
                  <w:marLeft w:val="0"/>
                  <w:marRight w:val="0"/>
                  <w:marTop w:val="0"/>
                  <w:marBottom w:val="0"/>
                  <w:divBdr>
                    <w:top w:val="none" w:sz="0" w:space="0" w:color="auto"/>
                    <w:left w:val="none" w:sz="0" w:space="0" w:color="auto"/>
                    <w:bottom w:val="none" w:sz="0" w:space="0" w:color="auto"/>
                    <w:right w:val="none" w:sz="0" w:space="0" w:color="auto"/>
                  </w:divBdr>
                  <w:divsChild>
                    <w:div w:id="1930625596">
                      <w:marLeft w:val="0"/>
                      <w:marRight w:val="0"/>
                      <w:marTop w:val="0"/>
                      <w:marBottom w:val="0"/>
                      <w:divBdr>
                        <w:top w:val="none" w:sz="0" w:space="0" w:color="auto"/>
                        <w:left w:val="none" w:sz="0" w:space="0" w:color="auto"/>
                        <w:bottom w:val="none" w:sz="0" w:space="0" w:color="auto"/>
                        <w:right w:val="none" w:sz="0" w:space="0" w:color="auto"/>
                      </w:divBdr>
                      <w:divsChild>
                        <w:div w:id="1491554526">
                          <w:marLeft w:val="0"/>
                          <w:marRight w:val="0"/>
                          <w:marTop w:val="0"/>
                          <w:marBottom w:val="0"/>
                          <w:divBdr>
                            <w:top w:val="none" w:sz="0" w:space="0" w:color="auto"/>
                            <w:left w:val="none" w:sz="0" w:space="0" w:color="auto"/>
                            <w:bottom w:val="none" w:sz="0" w:space="0" w:color="auto"/>
                            <w:right w:val="none" w:sz="0" w:space="0" w:color="auto"/>
                          </w:divBdr>
                          <w:divsChild>
                            <w:div w:id="448283965">
                              <w:marLeft w:val="0"/>
                              <w:marRight w:val="0"/>
                              <w:marTop w:val="0"/>
                              <w:marBottom w:val="0"/>
                              <w:divBdr>
                                <w:top w:val="none" w:sz="0" w:space="0" w:color="auto"/>
                                <w:left w:val="none" w:sz="0" w:space="0" w:color="auto"/>
                                <w:bottom w:val="none" w:sz="0" w:space="0" w:color="auto"/>
                                <w:right w:val="none" w:sz="0" w:space="0" w:color="auto"/>
                              </w:divBdr>
                              <w:divsChild>
                                <w:div w:id="1144859395">
                                  <w:marLeft w:val="0"/>
                                  <w:marRight w:val="0"/>
                                  <w:marTop w:val="0"/>
                                  <w:marBottom w:val="0"/>
                                  <w:divBdr>
                                    <w:top w:val="none" w:sz="0" w:space="0" w:color="auto"/>
                                    <w:left w:val="none" w:sz="0" w:space="0" w:color="auto"/>
                                    <w:bottom w:val="none" w:sz="0" w:space="0" w:color="auto"/>
                                    <w:right w:val="none" w:sz="0" w:space="0" w:color="auto"/>
                                  </w:divBdr>
                                  <w:divsChild>
                                    <w:div w:id="1559321588">
                                      <w:marLeft w:val="0"/>
                                      <w:marRight w:val="0"/>
                                      <w:marTop w:val="0"/>
                                      <w:marBottom w:val="0"/>
                                      <w:divBdr>
                                        <w:top w:val="none" w:sz="0" w:space="0" w:color="auto"/>
                                        <w:left w:val="none" w:sz="0" w:space="0" w:color="auto"/>
                                        <w:bottom w:val="none" w:sz="0" w:space="0" w:color="auto"/>
                                        <w:right w:val="none" w:sz="0" w:space="0" w:color="auto"/>
                                      </w:divBdr>
                                      <w:divsChild>
                                        <w:div w:id="961811206">
                                          <w:marLeft w:val="0"/>
                                          <w:marRight w:val="0"/>
                                          <w:marTop w:val="0"/>
                                          <w:marBottom w:val="0"/>
                                          <w:divBdr>
                                            <w:top w:val="none" w:sz="0" w:space="0" w:color="auto"/>
                                            <w:left w:val="none" w:sz="0" w:space="0" w:color="auto"/>
                                            <w:bottom w:val="none" w:sz="0" w:space="0" w:color="auto"/>
                                            <w:right w:val="none" w:sz="0" w:space="0" w:color="auto"/>
                                          </w:divBdr>
                                          <w:divsChild>
                                            <w:div w:id="1113474695">
                                              <w:marLeft w:val="0"/>
                                              <w:marRight w:val="0"/>
                                              <w:marTop w:val="0"/>
                                              <w:marBottom w:val="0"/>
                                              <w:divBdr>
                                                <w:top w:val="none" w:sz="0" w:space="0" w:color="auto"/>
                                                <w:left w:val="none" w:sz="0" w:space="0" w:color="auto"/>
                                                <w:bottom w:val="none" w:sz="0" w:space="0" w:color="auto"/>
                                                <w:right w:val="none" w:sz="0" w:space="0" w:color="auto"/>
                                              </w:divBdr>
                                              <w:divsChild>
                                                <w:div w:id="56366757">
                                                  <w:marLeft w:val="0"/>
                                                  <w:marRight w:val="0"/>
                                                  <w:marTop w:val="0"/>
                                                  <w:marBottom w:val="0"/>
                                                  <w:divBdr>
                                                    <w:top w:val="none" w:sz="0" w:space="0" w:color="auto"/>
                                                    <w:left w:val="none" w:sz="0" w:space="0" w:color="auto"/>
                                                    <w:bottom w:val="none" w:sz="0" w:space="0" w:color="auto"/>
                                                    <w:right w:val="none" w:sz="0" w:space="0" w:color="auto"/>
                                                  </w:divBdr>
                                                  <w:divsChild>
                                                    <w:div w:id="1323654704">
                                                      <w:marLeft w:val="0"/>
                                                      <w:marRight w:val="0"/>
                                                      <w:marTop w:val="0"/>
                                                      <w:marBottom w:val="0"/>
                                                      <w:divBdr>
                                                        <w:top w:val="none" w:sz="0" w:space="0" w:color="auto"/>
                                                        <w:left w:val="none" w:sz="0" w:space="0" w:color="auto"/>
                                                        <w:bottom w:val="none" w:sz="0" w:space="0" w:color="auto"/>
                                                        <w:right w:val="none" w:sz="0" w:space="0" w:color="auto"/>
                                                      </w:divBdr>
                                                      <w:divsChild>
                                                        <w:div w:id="21268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5279259">
      <w:bodyDiv w:val="1"/>
      <w:marLeft w:val="0"/>
      <w:marRight w:val="0"/>
      <w:marTop w:val="0"/>
      <w:marBottom w:val="0"/>
      <w:divBdr>
        <w:top w:val="none" w:sz="0" w:space="0" w:color="auto"/>
        <w:left w:val="none" w:sz="0" w:space="0" w:color="auto"/>
        <w:bottom w:val="none" w:sz="0" w:space="0" w:color="auto"/>
        <w:right w:val="none" w:sz="0" w:space="0" w:color="auto"/>
      </w:divBdr>
      <w:divsChild>
        <w:div w:id="2068917790">
          <w:marLeft w:val="0"/>
          <w:marRight w:val="0"/>
          <w:marTop w:val="0"/>
          <w:marBottom w:val="0"/>
          <w:divBdr>
            <w:top w:val="none" w:sz="0" w:space="0" w:color="auto"/>
            <w:left w:val="none" w:sz="0" w:space="0" w:color="auto"/>
            <w:bottom w:val="none" w:sz="0" w:space="0" w:color="auto"/>
            <w:right w:val="none" w:sz="0" w:space="0" w:color="auto"/>
          </w:divBdr>
          <w:divsChild>
            <w:div w:id="1937903200">
              <w:marLeft w:val="0"/>
              <w:marRight w:val="0"/>
              <w:marTop w:val="0"/>
              <w:marBottom w:val="0"/>
              <w:divBdr>
                <w:top w:val="none" w:sz="0" w:space="0" w:color="auto"/>
                <w:left w:val="none" w:sz="0" w:space="0" w:color="auto"/>
                <w:bottom w:val="none" w:sz="0" w:space="0" w:color="auto"/>
                <w:right w:val="none" w:sz="0" w:space="0" w:color="auto"/>
              </w:divBdr>
              <w:divsChild>
                <w:div w:id="991327446">
                  <w:marLeft w:val="300"/>
                  <w:marRight w:val="300"/>
                  <w:marTop w:val="330"/>
                  <w:marBottom w:val="0"/>
                  <w:divBdr>
                    <w:top w:val="none" w:sz="0" w:space="0" w:color="auto"/>
                    <w:left w:val="none" w:sz="0" w:space="0" w:color="auto"/>
                    <w:bottom w:val="none" w:sz="0" w:space="0" w:color="auto"/>
                    <w:right w:val="none" w:sz="0" w:space="0" w:color="auto"/>
                  </w:divBdr>
                  <w:divsChild>
                    <w:div w:id="12015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0983">
      <w:bodyDiv w:val="1"/>
      <w:marLeft w:val="0"/>
      <w:marRight w:val="0"/>
      <w:marTop w:val="0"/>
      <w:marBottom w:val="0"/>
      <w:divBdr>
        <w:top w:val="none" w:sz="0" w:space="0" w:color="auto"/>
        <w:left w:val="none" w:sz="0" w:space="0" w:color="auto"/>
        <w:bottom w:val="none" w:sz="0" w:space="0" w:color="auto"/>
        <w:right w:val="none" w:sz="0" w:space="0" w:color="auto"/>
      </w:divBdr>
      <w:divsChild>
        <w:div w:id="761800555">
          <w:marLeft w:val="0"/>
          <w:marRight w:val="0"/>
          <w:marTop w:val="0"/>
          <w:marBottom w:val="0"/>
          <w:divBdr>
            <w:top w:val="none" w:sz="0" w:space="0" w:color="auto"/>
            <w:left w:val="none" w:sz="0" w:space="0" w:color="auto"/>
            <w:bottom w:val="none" w:sz="0" w:space="0" w:color="auto"/>
            <w:right w:val="none" w:sz="0" w:space="0" w:color="auto"/>
          </w:divBdr>
          <w:divsChild>
            <w:div w:id="1481920575">
              <w:marLeft w:val="0"/>
              <w:marRight w:val="0"/>
              <w:marTop w:val="0"/>
              <w:marBottom w:val="0"/>
              <w:divBdr>
                <w:top w:val="none" w:sz="0" w:space="0" w:color="auto"/>
                <w:left w:val="none" w:sz="0" w:space="0" w:color="auto"/>
                <w:bottom w:val="none" w:sz="0" w:space="0" w:color="auto"/>
                <w:right w:val="none" w:sz="0" w:space="0" w:color="auto"/>
              </w:divBdr>
              <w:divsChild>
                <w:div w:id="1698576654">
                  <w:marLeft w:val="0"/>
                  <w:marRight w:val="0"/>
                  <w:marTop w:val="0"/>
                  <w:marBottom w:val="0"/>
                  <w:divBdr>
                    <w:top w:val="none" w:sz="0" w:space="0" w:color="auto"/>
                    <w:left w:val="none" w:sz="0" w:space="0" w:color="auto"/>
                    <w:bottom w:val="none" w:sz="0" w:space="0" w:color="auto"/>
                    <w:right w:val="none" w:sz="0" w:space="0" w:color="auto"/>
                  </w:divBdr>
                  <w:divsChild>
                    <w:div w:id="1721397519">
                      <w:marLeft w:val="0"/>
                      <w:marRight w:val="0"/>
                      <w:marTop w:val="0"/>
                      <w:marBottom w:val="0"/>
                      <w:divBdr>
                        <w:top w:val="none" w:sz="0" w:space="0" w:color="auto"/>
                        <w:left w:val="none" w:sz="0" w:space="0" w:color="auto"/>
                        <w:bottom w:val="none" w:sz="0" w:space="0" w:color="auto"/>
                        <w:right w:val="none" w:sz="0" w:space="0" w:color="auto"/>
                      </w:divBdr>
                      <w:divsChild>
                        <w:div w:id="199249291">
                          <w:marLeft w:val="0"/>
                          <w:marRight w:val="0"/>
                          <w:marTop w:val="0"/>
                          <w:marBottom w:val="0"/>
                          <w:divBdr>
                            <w:top w:val="none" w:sz="0" w:space="0" w:color="auto"/>
                            <w:left w:val="none" w:sz="0" w:space="0" w:color="auto"/>
                            <w:bottom w:val="none" w:sz="0" w:space="0" w:color="auto"/>
                            <w:right w:val="none" w:sz="0" w:space="0" w:color="auto"/>
                          </w:divBdr>
                          <w:divsChild>
                            <w:div w:id="1205367259">
                              <w:marLeft w:val="0"/>
                              <w:marRight w:val="0"/>
                              <w:marTop w:val="0"/>
                              <w:marBottom w:val="0"/>
                              <w:divBdr>
                                <w:top w:val="none" w:sz="0" w:space="0" w:color="auto"/>
                                <w:left w:val="none" w:sz="0" w:space="0" w:color="auto"/>
                                <w:bottom w:val="none" w:sz="0" w:space="0" w:color="auto"/>
                                <w:right w:val="none" w:sz="0" w:space="0" w:color="auto"/>
                              </w:divBdr>
                              <w:divsChild>
                                <w:div w:id="903682795">
                                  <w:marLeft w:val="0"/>
                                  <w:marRight w:val="0"/>
                                  <w:marTop w:val="0"/>
                                  <w:marBottom w:val="0"/>
                                  <w:divBdr>
                                    <w:top w:val="none" w:sz="0" w:space="0" w:color="auto"/>
                                    <w:left w:val="none" w:sz="0" w:space="0" w:color="auto"/>
                                    <w:bottom w:val="none" w:sz="0" w:space="0" w:color="auto"/>
                                    <w:right w:val="none" w:sz="0" w:space="0" w:color="auto"/>
                                  </w:divBdr>
                                  <w:divsChild>
                                    <w:div w:id="205069992">
                                      <w:marLeft w:val="0"/>
                                      <w:marRight w:val="0"/>
                                      <w:marTop w:val="0"/>
                                      <w:marBottom w:val="0"/>
                                      <w:divBdr>
                                        <w:top w:val="none" w:sz="0" w:space="0" w:color="auto"/>
                                        <w:left w:val="none" w:sz="0" w:space="0" w:color="auto"/>
                                        <w:bottom w:val="none" w:sz="0" w:space="0" w:color="auto"/>
                                        <w:right w:val="none" w:sz="0" w:space="0" w:color="auto"/>
                                      </w:divBdr>
                                      <w:divsChild>
                                        <w:div w:id="717241739">
                                          <w:marLeft w:val="0"/>
                                          <w:marRight w:val="0"/>
                                          <w:marTop w:val="0"/>
                                          <w:marBottom w:val="0"/>
                                          <w:divBdr>
                                            <w:top w:val="none" w:sz="0" w:space="0" w:color="auto"/>
                                            <w:left w:val="none" w:sz="0" w:space="0" w:color="auto"/>
                                            <w:bottom w:val="none" w:sz="0" w:space="0" w:color="auto"/>
                                            <w:right w:val="none" w:sz="0" w:space="0" w:color="auto"/>
                                          </w:divBdr>
                                          <w:divsChild>
                                            <w:div w:id="65537559">
                                              <w:marLeft w:val="0"/>
                                              <w:marRight w:val="0"/>
                                              <w:marTop w:val="0"/>
                                              <w:marBottom w:val="0"/>
                                              <w:divBdr>
                                                <w:top w:val="none" w:sz="0" w:space="0" w:color="auto"/>
                                                <w:left w:val="none" w:sz="0" w:space="0" w:color="auto"/>
                                                <w:bottom w:val="none" w:sz="0" w:space="0" w:color="auto"/>
                                                <w:right w:val="none" w:sz="0" w:space="0" w:color="auto"/>
                                              </w:divBdr>
                                              <w:divsChild>
                                                <w:div w:id="1056125355">
                                                  <w:marLeft w:val="0"/>
                                                  <w:marRight w:val="0"/>
                                                  <w:marTop w:val="0"/>
                                                  <w:marBottom w:val="0"/>
                                                  <w:divBdr>
                                                    <w:top w:val="none" w:sz="0" w:space="0" w:color="auto"/>
                                                    <w:left w:val="none" w:sz="0" w:space="0" w:color="auto"/>
                                                    <w:bottom w:val="none" w:sz="0" w:space="0" w:color="auto"/>
                                                    <w:right w:val="none" w:sz="0" w:space="0" w:color="auto"/>
                                                  </w:divBdr>
                                                  <w:divsChild>
                                                    <w:div w:id="1645622984">
                                                      <w:marLeft w:val="0"/>
                                                      <w:marRight w:val="0"/>
                                                      <w:marTop w:val="0"/>
                                                      <w:marBottom w:val="0"/>
                                                      <w:divBdr>
                                                        <w:top w:val="none" w:sz="0" w:space="0" w:color="auto"/>
                                                        <w:left w:val="none" w:sz="0" w:space="0" w:color="auto"/>
                                                        <w:bottom w:val="none" w:sz="0" w:space="0" w:color="auto"/>
                                                        <w:right w:val="none" w:sz="0" w:space="0" w:color="auto"/>
                                                      </w:divBdr>
                                                      <w:divsChild>
                                                        <w:div w:id="1593856779">
                                                          <w:marLeft w:val="0"/>
                                                          <w:marRight w:val="0"/>
                                                          <w:marTop w:val="0"/>
                                                          <w:marBottom w:val="0"/>
                                                          <w:divBdr>
                                                            <w:top w:val="none" w:sz="0" w:space="0" w:color="auto"/>
                                                            <w:left w:val="none" w:sz="0" w:space="0" w:color="auto"/>
                                                            <w:bottom w:val="none" w:sz="0" w:space="0" w:color="auto"/>
                                                            <w:right w:val="none" w:sz="0" w:space="0" w:color="auto"/>
                                                          </w:divBdr>
                                                        </w:div>
                                                        <w:div w:id="606160987">
                                                          <w:marLeft w:val="0"/>
                                                          <w:marRight w:val="0"/>
                                                          <w:marTop w:val="0"/>
                                                          <w:marBottom w:val="0"/>
                                                          <w:divBdr>
                                                            <w:top w:val="none" w:sz="0" w:space="0" w:color="auto"/>
                                                            <w:left w:val="none" w:sz="0" w:space="0" w:color="auto"/>
                                                            <w:bottom w:val="none" w:sz="0" w:space="0" w:color="auto"/>
                                                            <w:right w:val="none" w:sz="0" w:space="0" w:color="auto"/>
                                                          </w:divBdr>
                                                          <w:divsChild>
                                                            <w:div w:id="108422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402308">
      <w:bodyDiv w:val="1"/>
      <w:marLeft w:val="0"/>
      <w:marRight w:val="0"/>
      <w:marTop w:val="0"/>
      <w:marBottom w:val="0"/>
      <w:divBdr>
        <w:top w:val="none" w:sz="0" w:space="0" w:color="auto"/>
        <w:left w:val="none" w:sz="0" w:space="0" w:color="auto"/>
        <w:bottom w:val="none" w:sz="0" w:space="0" w:color="auto"/>
        <w:right w:val="none" w:sz="0" w:space="0" w:color="auto"/>
      </w:divBdr>
      <w:divsChild>
        <w:div w:id="1792287185">
          <w:marLeft w:val="0"/>
          <w:marRight w:val="0"/>
          <w:marTop w:val="0"/>
          <w:marBottom w:val="0"/>
          <w:divBdr>
            <w:top w:val="none" w:sz="0" w:space="0" w:color="auto"/>
            <w:left w:val="none" w:sz="0" w:space="0" w:color="auto"/>
            <w:bottom w:val="none" w:sz="0" w:space="0" w:color="auto"/>
            <w:right w:val="none" w:sz="0" w:space="0" w:color="auto"/>
          </w:divBdr>
          <w:divsChild>
            <w:div w:id="1838839879">
              <w:marLeft w:val="0"/>
              <w:marRight w:val="0"/>
              <w:marTop w:val="0"/>
              <w:marBottom w:val="0"/>
              <w:divBdr>
                <w:top w:val="none" w:sz="0" w:space="0" w:color="auto"/>
                <w:left w:val="none" w:sz="0" w:space="0" w:color="auto"/>
                <w:bottom w:val="none" w:sz="0" w:space="0" w:color="auto"/>
                <w:right w:val="none" w:sz="0" w:space="0" w:color="auto"/>
              </w:divBdr>
              <w:divsChild>
                <w:div w:id="863133338">
                  <w:marLeft w:val="0"/>
                  <w:marRight w:val="0"/>
                  <w:marTop w:val="0"/>
                  <w:marBottom w:val="0"/>
                  <w:divBdr>
                    <w:top w:val="none" w:sz="0" w:space="0" w:color="auto"/>
                    <w:left w:val="none" w:sz="0" w:space="0" w:color="auto"/>
                    <w:bottom w:val="none" w:sz="0" w:space="0" w:color="auto"/>
                    <w:right w:val="none" w:sz="0" w:space="0" w:color="auto"/>
                  </w:divBdr>
                  <w:divsChild>
                    <w:div w:id="1079327676">
                      <w:marLeft w:val="0"/>
                      <w:marRight w:val="0"/>
                      <w:marTop w:val="0"/>
                      <w:marBottom w:val="0"/>
                      <w:divBdr>
                        <w:top w:val="none" w:sz="0" w:space="0" w:color="auto"/>
                        <w:left w:val="none" w:sz="0" w:space="0" w:color="auto"/>
                        <w:bottom w:val="none" w:sz="0" w:space="0" w:color="auto"/>
                        <w:right w:val="none" w:sz="0" w:space="0" w:color="auto"/>
                      </w:divBdr>
                      <w:divsChild>
                        <w:div w:id="165198167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33141945">
      <w:bodyDiv w:val="1"/>
      <w:marLeft w:val="0"/>
      <w:marRight w:val="0"/>
      <w:marTop w:val="0"/>
      <w:marBottom w:val="0"/>
      <w:divBdr>
        <w:top w:val="none" w:sz="0" w:space="0" w:color="auto"/>
        <w:left w:val="none" w:sz="0" w:space="0" w:color="auto"/>
        <w:bottom w:val="none" w:sz="0" w:space="0" w:color="auto"/>
        <w:right w:val="none" w:sz="0" w:space="0" w:color="auto"/>
      </w:divBdr>
      <w:divsChild>
        <w:div w:id="1822036645">
          <w:marLeft w:val="2400"/>
          <w:marRight w:val="0"/>
          <w:marTop w:val="0"/>
          <w:marBottom w:val="0"/>
          <w:divBdr>
            <w:top w:val="none" w:sz="0" w:space="0" w:color="auto"/>
            <w:left w:val="none" w:sz="0" w:space="0" w:color="auto"/>
            <w:bottom w:val="none" w:sz="0" w:space="0" w:color="auto"/>
            <w:right w:val="none" w:sz="0" w:space="0" w:color="auto"/>
          </w:divBdr>
          <w:divsChild>
            <w:div w:id="432094385">
              <w:marLeft w:val="0"/>
              <w:marRight w:val="0"/>
              <w:marTop w:val="0"/>
              <w:marBottom w:val="0"/>
              <w:divBdr>
                <w:top w:val="none" w:sz="0" w:space="0" w:color="auto"/>
                <w:left w:val="none" w:sz="0" w:space="0" w:color="auto"/>
                <w:bottom w:val="none" w:sz="0" w:space="0" w:color="auto"/>
                <w:right w:val="none" w:sz="0" w:space="0" w:color="auto"/>
              </w:divBdr>
              <w:divsChild>
                <w:div w:id="428625529">
                  <w:marLeft w:val="0"/>
                  <w:marRight w:val="0"/>
                  <w:marTop w:val="0"/>
                  <w:marBottom w:val="0"/>
                  <w:divBdr>
                    <w:top w:val="none" w:sz="0" w:space="0" w:color="auto"/>
                    <w:left w:val="none" w:sz="0" w:space="0" w:color="auto"/>
                    <w:bottom w:val="none" w:sz="0" w:space="0" w:color="auto"/>
                    <w:right w:val="none" w:sz="0" w:space="0" w:color="auto"/>
                  </w:divBdr>
                  <w:divsChild>
                    <w:div w:id="14767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08431">
      <w:bodyDiv w:val="1"/>
      <w:marLeft w:val="0"/>
      <w:marRight w:val="0"/>
      <w:marTop w:val="0"/>
      <w:marBottom w:val="0"/>
      <w:divBdr>
        <w:top w:val="none" w:sz="0" w:space="0" w:color="auto"/>
        <w:left w:val="none" w:sz="0" w:space="0" w:color="auto"/>
        <w:bottom w:val="none" w:sz="0" w:space="0" w:color="auto"/>
        <w:right w:val="none" w:sz="0" w:space="0" w:color="auto"/>
      </w:divBdr>
    </w:div>
    <w:div w:id="1336151051">
      <w:bodyDiv w:val="1"/>
      <w:marLeft w:val="0"/>
      <w:marRight w:val="0"/>
      <w:marTop w:val="0"/>
      <w:marBottom w:val="0"/>
      <w:divBdr>
        <w:top w:val="none" w:sz="0" w:space="0" w:color="auto"/>
        <w:left w:val="none" w:sz="0" w:space="0" w:color="auto"/>
        <w:bottom w:val="none" w:sz="0" w:space="0" w:color="auto"/>
        <w:right w:val="none" w:sz="0" w:space="0" w:color="auto"/>
      </w:divBdr>
      <w:divsChild>
        <w:div w:id="1186678279">
          <w:marLeft w:val="0"/>
          <w:marRight w:val="0"/>
          <w:marTop w:val="0"/>
          <w:marBottom w:val="0"/>
          <w:divBdr>
            <w:top w:val="none" w:sz="0" w:space="0" w:color="auto"/>
            <w:left w:val="none" w:sz="0" w:space="0" w:color="auto"/>
            <w:bottom w:val="none" w:sz="0" w:space="0" w:color="auto"/>
            <w:right w:val="none" w:sz="0" w:space="0" w:color="auto"/>
          </w:divBdr>
          <w:divsChild>
            <w:div w:id="942422342">
              <w:marLeft w:val="0"/>
              <w:marRight w:val="0"/>
              <w:marTop w:val="0"/>
              <w:marBottom w:val="0"/>
              <w:divBdr>
                <w:top w:val="none" w:sz="0" w:space="0" w:color="auto"/>
                <w:left w:val="none" w:sz="0" w:space="0" w:color="auto"/>
                <w:bottom w:val="none" w:sz="0" w:space="0" w:color="auto"/>
                <w:right w:val="none" w:sz="0" w:space="0" w:color="auto"/>
              </w:divBdr>
              <w:divsChild>
                <w:div w:id="649553335">
                  <w:marLeft w:val="0"/>
                  <w:marRight w:val="0"/>
                  <w:marTop w:val="0"/>
                  <w:marBottom w:val="0"/>
                  <w:divBdr>
                    <w:top w:val="none" w:sz="0" w:space="0" w:color="auto"/>
                    <w:left w:val="none" w:sz="0" w:space="0" w:color="auto"/>
                    <w:bottom w:val="none" w:sz="0" w:space="0" w:color="auto"/>
                    <w:right w:val="none" w:sz="0" w:space="0" w:color="auto"/>
                  </w:divBdr>
                  <w:divsChild>
                    <w:div w:id="1758938725">
                      <w:marLeft w:val="0"/>
                      <w:marRight w:val="0"/>
                      <w:marTop w:val="0"/>
                      <w:marBottom w:val="0"/>
                      <w:divBdr>
                        <w:top w:val="none" w:sz="0" w:space="0" w:color="auto"/>
                        <w:left w:val="none" w:sz="0" w:space="0" w:color="auto"/>
                        <w:bottom w:val="none" w:sz="0" w:space="0" w:color="auto"/>
                        <w:right w:val="none" w:sz="0" w:space="0" w:color="auto"/>
                      </w:divBdr>
                      <w:divsChild>
                        <w:div w:id="1021203721">
                          <w:marLeft w:val="0"/>
                          <w:marRight w:val="0"/>
                          <w:marTop w:val="0"/>
                          <w:marBottom w:val="0"/>
                          <w:divBdr>
                            <w:top w:val="none" w:sz="0" w:space="0" w:color="auto"/>
                            <w:left w:val="none" w:sz="0" w:space="0" w:color="auto"/>
                            <w:bottom w:val="none" w:sz="0" w:space="0" w:color="auto"/>
                            <w:right w:val="none" w:sz="0" w:space="0" w:color="auto"/>
                          </w:divBdr>
                          <w:divsChild>
                            <w:div w:id="59905134">
                              <w:marLeft w:val="0"/>
                              <w:marRight w:val="0"/>
                              <w:marTop w:val="0"/>
                              <w:marBottom w:val="0"/>
                              <w:divBdr>
                                <w:top w:val="none" w:sz="0" w:space="0" w:color="auto"/>
                                <w:left w:val="none" w:sz="0" w:space="0" w:color="auto"/>
                                <w:bottom w:val="none" w:sz="0" w:space="0" w:color="auto"/>
                                <w:right w:val="none" w:sz="0" w:space="0" w:color="auto"/>
                              </w:divBdr>
                              <w:divsChild>
                                <w:div w:id="2083480159">
                                  <w:marLeft w:val="0"/>
                                  <w:marRight w:val="0"/>
                                  <w:marTop w:val="0"/>
                                  <w:marBottom w:val="0"/>
                                  <w:divBdr>
                                    <w:top w:val="none" w:sz="0" w:space="0" w:color="auto"/>
                                    <w:left w:val="none" w:sz="0" w:space="0" w:color="auto"/>
                                    <w:bottom w:val="none" w:sz="0" w:space="0" w:color="auto"/>
                                    <w:right w:val="none" w:sz="0" w:space="0" w:color="auto"/>
                                  </w:divBdr>
                                  <w:divsChild>
                                    <w:div w:id="6955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6723">
          <w:marLeft w:val="0"/>
          <w:marRight w:val="0"/>
          <w:marTop w:val="0"/>
          <w:marBottom w:val="0"/>
          <w:divBdr>
            <w:top w:val="none" w:sz="0" w:space="0" w:color="auto"/>
            <w:left w:val="none" w:sz="0" w:space="0" w:color="auto"/>
            <w:bottom w:val="none" w:sz="0" w:space="0" w:color="auto"/>
            <w:right w:val="none" w:sz="0" w:space="0" w:color="auto"/>
          </w:divBdr>
          <w:divsChild>
            <w:div w:id="1561482413">
              <w:marLeft w:val="0"/>
              <w:marRight w:val="0"/>
              <w:marTop w:val="0"/>
              <w:marBottom w:val="0"/>
              <w:divBdr>
                <w:top w:val="none" w:sz="0" w:space="0" w:color="auto"/>
                <w:left w:val="none" w:sz="0" w:space="0" w:color="auto"/>
                <w:bottom w:val="none" w:sz="0" w:space="0" w:color="auto"/>
                <w:right w:val="none" w:sz="0" w:space="0" w:color="auto"/>
              </w:divBdr>
              <w:divsChild>
                <w:div w:id="455610738">
                  <w:marLeft w:val="0"/>
                  <w:marRight w:val="0"/>
                  <w:marTop w:val="0"/>
                  <w:marBottom w:val="0"/>
                  <w:divBdr>
                    <w:top w:val="none" w:sz="0" w:space="0" w:color="auto"/>
                    <w:left w:val="none" w:sz="0" w:space="0" w:color="auto"/>
                    <w:bottom w:val="none" w:sz="0" w:space="0" w:color="auto"/>
                    <w:right w:val="none" w:sz="0" w:space="0" w:color="auto"/>
                  </w:divBdr>
                  <w:divsChild>
                    <w:div w:id="1303467238">
                      <w:marLeft w:val="0"/>
                      <w:marRight w:val="0"/>
                      <w:marTop w:val="0"/>
                      <w:marBottom w:val="0"/>
                      <w:divBdr>
                        <w:top w:val="none" w:sz="0" w:space="0" w:color="auto"/>
                        <w:left w:val="none" w:sz="0" w:space="0" w:color="auto"/>
                        <w:bottom w:val="none" w:sz="0" w:space="0" w:color="auto"/>
                        <w:right w:val="none" w:sz="0" w:space="0" w:color="auto"/>
                      </w:divBdr>
                      <w:divsChild>
                        <w:div w:id="287006665">
                          <w:marLeft w:val="0"/>
                          <w:marRight w:val="0"/>
                          <w:marTop w:val="0"/>
                          <w:marBottom w:val="0"/>
                          <w:divBdr>
                            <w:top w:val="none" w:sz="0" w:space="0" w:color="auto"/>
                            <w:left w:val="none" w:sz="0" w:space="0" w:color="auto"/>
                            <w:bottom w:val="none" w:sz="0" w:space="0" w:color="auto"/>
                            <w:right w:val="none" w:sz="0" w:space="0" w:color="auto"/>
                          </w:divBdr>
                          <w:divsChild>
                            <w:div w:id="1466582054">
                              <w:marLeft w:val="0"/>
                              <w:marRight w:val="0"/>
                              <w:marTop w:val="0"/>
                              <w:marBottom w:val="300"/>
                              <w:divBdr>
                                <w:top w:val="none" w:sz="0" w:space="0" w:color="auto"/>
                                <w:left w:val="none" w:sz="0" w:space="0" w:color="auto"/>
                                <w:bottom w:val="none" w:sz="0" w:space="0" w:color="auto"/>
                                <w:right w:val="none" w:sz="0" w:space="0" w:color="auto"/>
                              </w:divBdr>
                              <w:divsChild>
                                <w:div w:id="302005751">
                                  <w:marLeft w:val="0"/>
                                  <w:marRight w:val="0"/>
                                  <w:marTop w:val="0"/>
                                  <w:marBottom w:val="0"/>
                                  <w:divBdr>
                                    <w:top w:val="none" w:sz="0" w:space="0" w:color="auto"/>
                                    <w:left w:val="none" w:sz="0" w:space="0" w:color="auto"/>
                                    <w:bottom w:val="none" w:sz="0" w:space="0" w:color="auto"/>
                                    <w:right w:val="none" w:sz="0" w:space="0" w:color="auto"/>
                                  </w:divBdr>
                                </w:div>
                              </w:divsChild>
                            </w:div>
                            <w:div w:id="109400524">
                              <w:marLeft w:val="0"/>
                              <w:marRight w:val="0"/>
                              <w:marTop w:val="0"/>
                              <w:marBottom w:val="0"/>
                              <w:divBdr>
                                <w:top w:val="none" w:sz="0" w:space="0" w:color="auto"/>
                                <w:left w:val="none" w:sz="0" w:space="0" w:color="auto"/>
                                <w:bottom w:val="none" w:sz="0" w:space="0" w:color="auto"/>
                                <w:right w:val="none" w:sz="0" w:space="0" w:color="auto"/>
                              </w:divBdr>
                              <w:divsChild>
                                <w:div w:id="102917954">
                                  <w:marLeft w:val="0"/>
                                  <w:marRight w:val="0"/>
                                  <w:marTop w:val="0"/>
                                  <w:marBottom w:val="0"/>
                                  <w:divBdr>
                                    <w:top w:val="none" w:sz="0" w:space="0" w:color="auto"/>
                                    <w:left w:val="none" w:sz="0" w:space="0" w:color="auto"/>
                                    <w:bottom w:val="none" w:sz="0" w:space="0" w:color="auto"/>
                                    <w:right w:val="none" w:sz="0" w:space="0" w:color="auto"/>
                                  </w:divBdr>
                                  <w:divsChild>
                                    <w:div w:id="21414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309285">
          <w:marLeft w:val="0"/>
          <w:marRight w:val="0"/>
          <w:marTop w:val="0"/>
          <w:marBottom w:val="0"/>
          <w:divBdr>
            <w:top w:val="none" w:sz="0" w:space="0" w:color="auto"/>
            <w:left w:val="none" w:sz="0" w:space="0" w:color="auto"/>
            <w:bottom w:val="none" w:sz="0" w:space="0" w:color="auto"/>
            <w:right w:val="none" w:sz="0" w:space="0" w:color="auto"/>
          </w:divBdr>
          <w:divsChild>
            <w:div w:id="1640648257">
              <w:marLeft w:val="0"/>
              <w:marRight w:val="0"/>
              <w:marTop w:val="0"/>
              <w:marBottom w:val="0"/>
              <w:divBdr>
                <w:top w:val="none" w:sz="0" w:space="0" w:color="auto"/>
                <w:left w:val="none" w:sz="0" w:space="0" w:color="auto"/>
                <w:bottom w:val="none" w:sz="0" w:space="0" w:color="auto"/>
                <w:right w:val="none" w:sz="0" w:space="0" w:color="auto"/>
              </w:divBdr>
              <w:divsChild>
                <w:div w:id="946933783">
                  <w:marLeft w:val="0"/>
                  <w:marRight w:val="0"/>
                  <w:marTop w:val="0"/>
                  <w:marBottom w:val="0"/>
                  <w:divBdr>
                    <w:top w:val="none" w:sz="0" w:space="0" w:color="auto"/>
                    <w:left w:val="none" w:sz="0" w:space="0" w:color="auto"/>
                    <w:bottom w:val="none" w:sz="0" w:space="0" w:color="auto"/>
                    <w:right w:val="none" w:sz="0" w:space="0" w:color="auto"/>
                  </w:divBdr>
                  <w:divsChild>
                    <w:div w:id="1664970704">
                      <w:marLeft w:val="0"/>
                      <w:marRight w:val="0"/>
                      <w:marTop w:val="0"/>
                      <w:marBottom w:val="0"/>
                      <w:divBdr>
                        <w:top w:val="none" w:sz="0" w:space="0" w:color="auto"/>
                        <w:left w:val="none" w:sz="0" w:space="0" w:color="auto"/>
                        <w:bottom w:val="none" w:sz="0" w:space="0" w:color="auto"/>
                        <w:right w:val="none" w:sz="0" w:space="0" w:color="auto"/>
                      </w:divBdr>
                      <w:divsChild>
                        <w:div w:id="736509839">
                          <w:marLeft w:val="0"/>
                          <w:marRight w:val="0"/>
                          <w:marTop w:val="0"/>
                          <w:marBottom w:val="0"/>
                          <w:divBdr>
                            <w:top w:val="none" w:sz="0" w:space="0" w:color="auto"/>
                            <w:left w:val="none" w:sz="0" w:space="0" w:color="auto"/>
                            <w:bottom w:val="none" w:sz="0" w:space="0" w:color="auto"/>
                            <w:right w:val="none" w:sz="0" w:space="0" w:color="auto"/>
                          </w:divBdr>
                          <w:divsChild>
                            <w:div w:id="1566069310">
                              <w:marLeft w:val="0"/>
                              <w:marRight w:val="0"/>
                              <w:marTop w:val="0"/>
                              <w:marBottom w:val="0"/>
                              <w:divBdr>
                                <w:top w:val="none" w:sz="0" w:space="0" w:color="auto"/>
                                <w:left w:val="none" w:sz="0" w:space="0" w:color="auto"/>
                                <w:bottom w:val="none" w:sz="0" w:space="0" w:color="auto"/>
                                <w:right w:val="none" w:sz="0" w:space="0" w:color="auto"/>
                              </w:divBdr>
                              <w:divsChild>
                                <w:div w:id="379716297">
                                  <w:marLeft w:val="0"/>
                                  <w:marRight w:val="0"/>
                                  <w:marTop w:val="0"/>
                                  <w:marBottom w:val="0"/>
                                  <w:divBdr>
                                    <w:top w:val="none" w:sz="0" w:space="0" w:color="auto"/>
                                    <w:left w:val="none" w:sz="0" w:space="0" w:color="auto"/>
                                    <w:bottom w:val="none" w:sz="0" w:space="0" w:color="auto"/>
                                    <w:right w:val="none" w:sz="0" w:space="0" w:color="auto"/>
                                  </w:divBdr>
                                  <w:divsChild>
                                    <w:div w:id="15390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267967">
      <w:bodyDiv w:val="1"/>
      <w:marLeft w:val="0"/>
      <w:marRight w:val="0"/>
      <w:marTop w:val="0"/>
      <w:marBottom w:val="0"/>
      <w:divBdr>
        <w:top w:val="none" w:sz="0" w:space="0" w:color="auto"/>
        <w:left w:val="none" w:sz="0" w:space="0" w:color="auto"/>
        <w:bottom w:val="none" w:sz="0" w:space="0" w:color="auto"/>
        <w:right w:val="none" w:sz="0" w:space="0" w:color="auto"/>
      </w:divBdr>
      <w:divsChild>
        <w:div w:id="523903150">
          <w:marLeft w:val="0"/>
          <w:marRight w:val="0"/>
          <w:marTop w:val="0"/>
          <w:marBottom w:val="0"/>
          <w:divBdr>
            <w:top w:val="none" w:sz="0" w:space="0" w:color="auto"/>
            <w:left w:val="none" w:sz="0" w:space="0" w:color="auto"/>
            <w:bottom w:val="none" w:sz="0" w:space="0" w:color="auto"/>
            <w:right w:val="none" w:sz="0" w:space="0" w:color="auto"/>
          </w:divBdr>
          <w:divsChild>
            <w:div w:id="2126532935">
              <w:marLeft w:val="0"/>
              <w:marRight w:val="0"/>
              <w:marTop w:val="0"/>
              <w:marBottom w:val="0"/>
              <w:divBdr>
                <w:top w:val="none" w:sz="0" w:space="0" w:color="auto"/>
                <w:left w:val="none" w:sz="0" w:space="0" w:color="auto"/>
                <w:bottom w:val="none" w:sz="0" w:space="0" w:color="auto"/>
                <w:right w:val="none" w:sz="0" w:space="0" w:color="auto"/>
              </w:divBdr>
              <w:divsChild>
                <w:div w:id="1804303812">
                  <w:marLeft w:val="0"/>
                  <w:marRight w:val="0"/>
                  <w:marTop w:val="0"/>
                  <w:marBottom w:val="0"/>
                  <w:divBdr>
                    <w:top w:val="none" w:sz="0" w:space="0" w:color="auto"/>
                    <w:left w:val="none" w:sz="0" w:space="0" w:color="auto"/>
                    <w:bottom w:val="none" w:sz="0" w:space="0" w:color="auto"/>
                    <w:right w:val="none" w:sz="0" w:space="0" w:color="auto"/>
                  </w:divBdr>
                  <w:divsChild>
                    <w:div w:id="19016583">
                      <w:marLeft w:val="0"/>
                      <w:marRight w:val="0"/>
                      <w:marTop w:val="0"/>
                      <w:marBottom w:val="0"/>
                      <w:divBdr>
                        <w:top w:val="none" w:sz="0" w:space="0" w:color="auto"/>
                        <w:left w:val="none" w:sz="0" w:space="0" w:color="auto"/>
                        <w:bottom w:val="none" w:sz="0" w:space="0" w:color="auto"/>
                        <w:right w:val="none" w:sz="0" w:space="0" w:color="auto"/>
                      </w:divBdr>
                      <w:divsChild>
                        <w:div w:id="1592009197">
                          <w:marLeft w:val="0"/>
                          <w:marRight w:val="0"/>
                          <w:marTop w:val="0"/>
                          <w:marBottom w:val="0"/>
                          <w:divBdr>
                            <w:top w:val="none" w:sz="0" w:space="0" w:color="auto"/>
                            <w:left w:val="none" w:sz="0" w:space="0" w:color="auto"/>
                            <w:bottom w:val="none" w:sz="0" w:space="0" w:color="auto"/>
                            <w:right w:val="none" w:sz="0" w:space="0" w:color="auto"/>
                          </w:divBdr>
                          <w:divsChild>
                            <w:div w:id="698434147">
                              <w:marLeft w:val="570"/>
                              <w:marRight w:val="720"/>
                              <w:marTop w:val="120"/>
                              <w:marBottom w:val="120"/>
                              <w:divBdr>
                                <w:top w:val="none" w:sz="0" w:space="0" w:color="auto"/>
                                <w:left w:val="none" w:sz="0" w:space="0" w:color="auto"/>
                                <w:bottom w:val="none" w:sz="0" w:space="0" w:color="auto"/>
                                <w:right w:val="none" w:sz="0" w:space="0" w:color="auto"/>
                              </w:divBdr>
                              <w:divsChild>
                                <w:div w:id="1480726420">
                                  <w:marLeft w:val="0"/>
                                  <w:marRight w:val="0"/>
                                  <w:marTop w:val="0"/>
                                  <w:marBottom w:val="0"/>
                                  <w:divBdr>
                                    <w:top w:val="none" w:sz="0" w:space="0" w:color="auto"/>
                                    <w:left w:val="none" w:sz="0" w:space="0" w:color="auto"/>
                                    <w:bottom w:val="none" w:sz="0" w:space="0" w:color="auto"/>
                                    <w:right w:val="none" w:sz="0" w:space="0" w:color="auto"/>
                                  </w:divBdr>
                                  <w:divsChild>
                                    <w:div w:id="523791363">
                                      <w:marLeft w:val="0"/>
                                      <w:marRight w:val="0"/>
                                      <w:marTop w:val="0"/>
                                      <w:marBottom w:val="0"/>
                                      <w:divBdr>
                                        <w:top w:val="none" w:sz="0" w:space="0" w:color="auto"/>
                                        <w:left w:val="none" w:sz="0" w:space="0" w:color="auto"/>
                                        <w:bottom w:val="none" w:sz="0" w:space="0" w:color="auto"/>
                                        <w:right w:val="none" w:sz="0" w:space="0" w:color="auto"/>
                                      </w:divBdr>
                                      <w:divsChild>
                                        <w:div w:id="1923488077">
                                          <w:marLeft w:val="0"/>
                                          <w:marRight w:val="0"/>
                                          <w:marTop w:val="0"/>
                                          <w:marBottom w:val="0"/>
                                          <w:divBdr>
                                            <w:top w:val="none" w:sz="0" w:space="0" w:color="auto"/>
                                            <w:left w:val="none" w:sz="0" w:space="0" w:color="auto"/>
                                            <w:bottom w:val="none" w:sz="0" w:space="0" w:color="auto"/>
                                            <w:right w:val="none" w:sz="0" w:space="0" w:color="auto"/>
                                          </w:divBdr>
                                        </w:div>
                                        <w:div w:id="1525441474">
                                          <w:marLeft w:val="0"/>
                                          <w:marRight w:val="0"/>
                                          <w:marTop w:val="0"/>
                                          <w:marBottom w:val="150"/>
                                          <w:divBdr>
                                            <w:top w:val="none" w:sz="0" w:space="0" w:color="auto"/>
                                            <w:left w:val="none" w:sz="0" w:space="0" w:color="auto"/>
                                            <w:bottom w:val="none" w:sz="0" w:space="0" w:color="auto"/>
                                            <w:right w:val="none" w:sz="0" w:space="0" w:color="auto"/>
                                          </w:divBdr>
                                          <w:divsChild>
                                            <w:div w:id="578445155">
                                              <w:marLeft w:val="0"/>
                                              <w:marRight w:val="0"/>
                                              <w:marTop w:val="240"/>
                                              <w:marBottom w:val="240"/>
                                              <w:divBdr>
                                                <w:top w:val="single" w:sz="6" w:space="6" w:color="F2F2F2"/>
                                                <w:left w:val="none" w:sz="0" w:space="0" w:color="auto"/>
                                                <w:bottom w:val="single" w:sz="6" w:space="6" w:color="F2F2F2"/>
                                                <w:right w:val="none" w:sz="0" w:space="0" w:color="auto"/>
                                              </w:divBdr>
                                            </w:div>
                                            <w:div w:id="1814365423">
                                              <w:marLeft w:val="0"/>
                                              <w:marRight w:val="0"/>
                                              <w:marTop w:val="0"/>
                                              <w:marBottom w:val="0"/>
                                              <w:divBdr>
                                                <w:top w:val="none" w:sz="0" w:space="0" w:color="auto"/>
                                                <w:left w:val="none" w:sz="0" w:space="0" w:color="auto"/>
                                                <w:bottom w:val="none" w:sz="0" w:space="0" w:color="auto"/>
                                                <w:right w:val="none" w:sz="0" w:space="0" w:color="auto"/>
                                              </w:divBdr>
                                              <w:divsChild>
                                                <w:div w:id="44915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272565">
      <w:bodyDiv w:val="1"/>
      <w:marLeft w:val="0"/>
      <w:marRight w:val="0"/>
      <w:marTop w:val="0"/>
      <w:marBottom w:val="0"/>
      <w:divBdr>
        <w:top w:val="none" w:sz="0" w:space="0" w:color="auto"/>
        <w:left w:val="none" w:sz="0" w:space="0" w:color="auto"/>
        <w:bottom w:val="none" w:sz="0" w:space="0" w:color="auto"/>
        <w:right w:val="none" w:sz="0" w:space="0" w:color="auto"/>
      </w:divBdr>
      <w:divsChild>
        <w:div w:id="2075933515">
          <w:marLeft w:val="0"/>
          <w:marRight w:val="0"/>
          <w:marTop w:val="0"/>
          <w:marBottom w:val="0"/>
          <w:divBdr>
            <w:top w:val="none" w:sz="0" w:space="0" w:color="auto"/>
            <w:left w:val="none" w:sz="0" w:space="0" w:color="auto"/>
            <w:bottom w:val="none" w:sz="0" w:space="0" w:color="auto"/>
            <w:right w:val="none" w:sz="0" w:space="0" w:color="auto"/>
          </w:divBdr>
          <w:divsChild>
            <w:div w:id="1360814480">
              <w:marLeft w:val="-225"/>
              <w:marRight w:val="-225"/>
              <w:marTop w:val="0"/>
              <w:marBottom w:val="0"/>
              <w:divBdr>
                <w:top w:val="none" w:sz="0" w:space="0" w:color="auto"/>
                <w:left w:val="none" w:sz="0" w:space="0" w:color="auto"/>
                <w:bottom w:val="none" w:sz="0" w:space="0" w:color="auto"/>
                <w:right w:val="none" w:sz="0" w:space="0" w:color="auto"/>
              </w:divBdr>
              <w:divsChild>
                <w:div w:id="19986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41145">
      <w:bodyDiv w:val="1"/>
      <w:marLeft w:val="0"/>
      <w:marRight w:val="0"/>
      <w:marTop w:val="0"/>
      <w:marBottom w:val="0"/>
      <w:divBdr>
        <w:top w:val="none" w:sz="0" w:space="0" w:color="auto"/>
        <w:left w:val="none" w:sz="0" w:space="0" w:color="auto"/>
        <w:bottom w:val="none" w:sz="0" w:space="0" w:color="auto"/>
        <w:right w:val="none" w:sz="0" w:space="0" w:color="auto"/>
      </w:divBdr>
      <w:divsChild>
        <w:div w:id="1765683903">
          <w:marLeft w:val="0"/>
          <w:marRight w:val="0"/>
          <w:marTop w:val="0"/>
          <w:marBottom w:val="0"/>
          <w:divBdr>
            <w:top w:val="none" w:sz="0" w:space="0" w:color="auto"/>
            <w:left w:val="none" w:sz="0" w:space="0" w:color="auto"/>
            <w:bottom w:val="none" w:sz="0" w:space="0" w:color="auto"/>
            <w:right w:val="none" w:sz="0" w:space="0" w:color="auto"/>
          </w:divBdr>
          <w:divsChild>
            <w:div w:id="1029334429">
              <w:marLeft w:val="0"/>
              <w:marRight w:val="0"/>
              <w:marTop w:val="0"/>
              <w:marBottom w:val="0"/>
              <w:divBdr>
                <w:top w:val="none" w:sz="0" w:space="0" w:color="auto"/>
                <w:left w:val="none" w:sz="0" w:space="0" w:color="auto"/>
                <w:bottom w:val="none" w:sz="0" w:space="0" w:color="auto"/>
                <w:right w:val="none" w:sz="0" w:space="0" w:color="auto"/>
              </w:divBdr>
              <w:divsChild>
                <w:div w:id="793595637">
                  <w:marLeft w:val="0"/>
                  <w:marRight w:val="0"/>
                  <w:marTop w:val="0"/>
                  <w:marBottom w:val="0"/>
                  <w:divBdr>
                    <w:top w:val="none" w:sz="0" w:space="0" w:color="auto"/>
                    <w:left w:val="none" w:sz="0" w:space="0" w:color="auto"/>
                    <w:bottom w:val="none" w:sz="0" w:space="0" w:color="auto"/>
                    <w:right w:val="none" w:sz="0" w:space="0" w:color="auto"/>
                  </w:divBdr>
                  <w:divsChild>
                    <w:div w:id="212470486">
                      <w:marLeft w:val="0"/>
                      <w:marRight w:val="0"/>
                      <w:marTop w:val="0"/>
                      <w:marBottom w:val="0"/>
                      <w:divBdr>
                        <w:top w:val="none" w:sz="0" w:space="0" w:color="auto"/>
                        <w:left w:val="none" w:sz="0" w:space="0" w:color="auto"/>
                        <w:bottom w:val="none" w:sz="0" w:space="0" w:color="auto"/>
                        <w:right w:val="none" w:sz="0" w:space="0" w:color="auto"/>
                      </w:divBdr>
                      <w:divsChild>
                        <w:div w:id="1806393344">
                          <w:marLeft w:val="570"/>
                          <w:marRight w:val="720"/>
                          <w:marTop w:val="120"/>
                          <w:marBottom w:val="120"/>
                          <w:divBdr>
                            <w:top w:val="none" w:sz="0" w:space="0" w:color="auto"/>
                            <w:left w:val="none" w:sz="0" w:space="0" w:color="auto"/>
                            <w:bottom w:val="none" w:sz="0" w:space="0" w:color="auto"/>
                            <w:right w:val="none" w:sz="0" w:space="0" w:color="auto"/>
                          </w:divBdr>
                          <w:divsChild>
                            <w:div w:id="730693627">
                              <w:marLeft w:val="0"/>
                              <w:marRight w:val="0"/>
                              <w:marTop w:val="0"/>
                              <w:marBottom w:val="0"/>
                              <w:divBdr>
                                <w:top w:val="none" w:sz="0" w:space="0" w:color="auto"/>
                                <w:left w:val="none" w:sz="0" w:space="0" w:color="auto"/>
                                <w:bottom w:val="none" w:sz="0" w:space="0" w:color="auto"/>
                                <w:right w:val="none" w:sz="0" w:space="0" w:color="auto"/>
                              </w:divBdr>
                              <w:divsChild>
                                <w:div w:id="1764034955">
                                  <w:marLeft w:val="0"/>
                                  <w:marRight w:val="0"/>
                                  <w:marTop w:val="0"/>
                                  <w:marBottom w:val="0"/>
                                  <w:divBdr>
                                    <w:top w:val="none" w:sz="0" w:space="0" w:color="auto"/>
                                    <w:left w:val="none" w:sz="0" w:space="0" w:color="auto"/>
                                    <w:bottom w:val="none" w:sz="0" w:space="0" w:color="auto"/>
                                    <w:right w:val="none" w:sz="0" w:space="0" w:color="auto"/>
                                  </w:divBdr>
                                  <w:divsChild>
                                    <w:div w:id="843515997">
                                      <w:marLeft w:val="0"/>
                                      <w:marRight w:val="0"/>
                                      <w:marTop w:val="0"/>
                                      <w:marBottom w:val="0"/>
                                      <w:divBdr>
                                        <w:top w:val="none" w:sz="0" w:space="0" w:color="auto"/>
                                        <w:left w:val="none" w:sz="0" w:space="0" w:color="auto"/>
                                        <w:bottom w:val="none" w:sz="0" w:space="0" w:color="auto"/>
                                        <w:right w:val="none" w:sz="0" w:space="0" w:color="auto"/>
                                      </w:divBdr>
                                      <w:divsChild>
                                        <w:div w:id="1302419705">
                                          <w:marLeft w:val="0"/>
                                          <w:marRight w:val="0"/>
                                          <w:marTop w:val="240"/>
                                          <w:marBottom w:val="240"/>
                                          <w:divBdr>
                                            <w:top w:val="single" w:sz="6" w:space="6" w:color="F2F2F2"/>
                                            <w:left w:val="none" w:sz="0" w:space="0" w:color="auto"/>
                                            <w:bottom w:val="single" w:sz="6" w:space="6" w:color="F2F2F2"/>
                                            <w:right w:val="none" w:sz="0" w:space="0" w:color="auto"/>
                                          </w:divBdr>
                                        </w:div>
                                        <w:div w:id="1453211046">
                                          <w:marLeft w:val="0"/>
                                          <w:marRight w:val="0"/>
                                          <w:marTop w:val="0"/>
                                          <w:marBottom w:val="0"/>
                                          <w:divBdr>
                                            <w:top w:val="none" w:sz="0" w:space="0" w:color="auto"/>
                                            <w:left w:val="none" w:sz="0" w:space="0" w:color="auto"/>
                                            <w:bottom w:val="none" w:sz="0" w:space="0" w:color="auto"/>
                                            <w:right w:val="none" w:sz="0" w:space="0" w:color="auto"/>
                                          </w:divBdr>
                                          <w:divsChild>
                                            <w:div w:id="19904046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456966">
      <w:bodyDiv w:val="1"/>
      <w:marLeft w:val="0"/>
      <w:marRight w:val="0"/>
      <w:marTop w:val="0"/>
      <w:marBottom w:val="0"/>
      <w:divBdr>
        <w:top w:val="none" w:sz="0" w:space="0" w:color="auto"/>
        <w:left w:val="none" w:sz="0" w:space="0" w:color="auto"/>
        <w:bottom w:val="none" w:sz="0" w:space="0" w:color="auto"/>
        <w:right w:val="none" w:sz="0" w:space="0" w:color="auto"/>
      </w:divBdr>
    </w:div>
    <w:div w:id="1340153899">
      <w:bodyDiv w:val="1"/>
      <w:marLeft w:val="0"/>
      <w:marRight w:val="0"/>
      <w:marTop w:val="0"/>
      <w:marBottom w:val="0"/>
      <w:divBdr>
        <w:top w:val="none" w:sz="0" w:space="0" w:color="auto"/>
        <w:left w:val="none" w:sz="0" w:space="0" w:color="auto"/>
        <w:bottom w:val="none" w:sz="0" w:space="0" w:color="auto"/>
        <w:right w:val="none" w:sz="0" w:space="0" w:color="auto"/>
      </w:divBdr>
      <w:divsChild>
        <w:div w:id="2092195205">
          <w:marLeft w:val="0"/>
          <w:marRight w:val="0"/>
          <w:marTop w:val="0"/>
          <w:marBottom w:val="0"/>
          <w:divBdr>
            <w:top w:val="single" w:sz="4" w:space="0" w:color="0E477A"/>
            <w:left w:val="single" w:sz="4" w:space="0" w:color="0E477A"/>
            <w:bottom w:val="single" w:sz="4" w:space="0" w:color="0E477A"/>
            <w:right w:val="single" w:sz="4" w:space="0" w:color="0E477A"/>
          </w:divBdr>
          <w:divsChild>
            <w:div w:id="1732846150">
              <w:marLeft w:val="0"/>
              <w:marRight w:val="0"/>
              <w:marTop w:val="0"/>
              <w:marBottom w:val="0"/>
              <w:divBdr>
                <w:top w:val="none" w:sz="0" w:space="0" w:color="auto"/>
                <w:left w:val="none" w:sz="0" w:space="0" w:color="auto"/>
                <w:bottom w:val="none" w:sz="0" w:space="0" w:color="auto"/>
                <w:right w:val="none" w:sz="0" w:space="0" w:color="auto"/>
              </w:divBdr>
              <w:divsChild>
                <w:div w:id="352652552">
                  <w:marLeft w:val="63"/>
                  <w:marRight w:val="0"/>
                  <w:marTop w:val="0"/>
                  <w:marBottom w:val="0"/>
                  <w:divBdr>
                    <w:top w:val="none" w:sz="0" w:space="0" w:color="auto"/>
                    <w:left w:val="none" w:sz="0" w:space="0" w:color="auto"/>
                    <w:bottom w:val="none" w:sz="0" w:space="0" w:color="auto"/>
                    <w:right w:val="none" w:sz="0" w:space="0" w:color="auto"/>
                  </w:divBdr>
                  <w:divsChild>
                    <w:div w:id="1467310988">
                      <w:marLeft w:val="0"/>
                      <w:marRight w:val="0"/>
                      <w:marTop w:val="0"/>
                      <w:marBottom w:val="0"/>
                      <w:divBdr>
                        <w:top w:val="none" w:sz="0" w:space="0" w:color="auto"/>
                        <w:left w:val="none" w:sz="0" w:space="0" w:color="auto"/>
                        <w:bottom w:val="none" w:sz="0" w:space="0" w:color="auto"/>
                        <w:right w:val="none" w:sz="0" w:space="0" w:color="auto"/>
                      </w:divBdr>
                      <w:divsChild>
                        <w:div w:id="1958827220">
                          <w:marLeft w:val="0"/>
                          <w:marRight w:val="188"/>
                          <w:marTop w:val="125"/>
                          <w:marBottom w:val="125"/>
                          <w:divBdr>
                            <w:top w:val="single" w:sz="4" w:space="0" w:color="CCCCCC"/>
                            <w:left w:val="single" w:sz="4" w:space="6" w:color="CCCCCC"/>
                            <w:bottom w:val="single" w:sz="4" w:space="6" w:color="CCCCCC"/>
                            <w:right w:val="single" w:sz="4" w:space="6" w:color="CCCCCC"/>
                          </w:divBdr>
                          <w:divsChild>
                            <w:div w:id="1186671852">
                              <w:marLeft w:val="-125"/>
                              <w:marRight w:val="0"/>
                              <w:marTop w:val="0"/>
                              <w:marBottom w:val="0"/>
                              <w:divBdr>
                                <w:top w:val="none" w:sz="0" w:space="0" w:color="auto"/>
                                <w:left w:val="none" w:sz="0" w:space="0" w:color="auto"/>
                                <w:bottom w:val="none" w:sz="0" w:space="0" w:color="auto"/>
                                <w:right w:val="none" w:sz="0" w:space="0" w:color="auto"/>
                              </w:divBdr>
                              <w:divsChild>
                                <w:div w:id="17017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501973">
      <w:bodyDiv w:val="1"/>
      <w:marLeft w:val="0"/>
      <w:marRight w:val="0"/>
      <w:marTop w:val="0"/>
      <w:marBottom w:val="0"/>
      <w:divBdr>
        <w:top w:val="none" w:sz="0" w:space="0" w:color="auto"/>
        <w:left w:val="none" w:sz="0" w:space="0" w:color="auto"/>
        <w:bottom w:val="none" w:sz="0" w:space="0" w:color="auto"/>
        <w:right w:val="none" w:sz="0" w:space="0" w:color="auto"/>
      </w:divBdr>
      <w:divsChild>
        <w:div w:id="1319074120">
          <w:marLeft w:val="0"/>
          <w:marRight w:val="0"/>
          <w:marTop w:val="0"/>
          <w:marBottom w:val="450"/>
          <w:divBdr>
            <w:top w:val="none" w:sz="0" w:space="0" w:color="auto"/>
            <w:left w:val="none" w:sz="0" w:space="0" w:color="auto"/>
            <w:bottom w:val="none" w:sz="0" w:space="0" w:color="auto"/>
            <w:right w:val="none" w:sz="0" w:space="0" w:color="auto"/>
          </w:divBdr>
          <w:divsChild>
            <w:div w:id="1805276224">
              <w:marLeft w:val="0"/>
              <w:marRight w:val="0"/>
              <w:marTop w:val="300"/>
              <w:marBottom w:val="0"/>
              <w:divBdr>
                <w:top w:val="none" w:sz="0" w:space="0" w:color="auto"/>
                <w:left w:val="none" w:sz="0" w:space="0" w:color="auto"/>
                <w:bottom w:val="none" w:sz="0" w:space="0" w:color="auto"/>
                <w:right w:val="none" w:sz="0" w:space="0" w:color="auto"/>
              </w:divBdr>
              <w:divsChild>
                <w:div w:id="977806475">
                  <w:marLeft w:val="0"/>
                  <w:marRight w:val="0"/>
                  <w:marTop w:val="0"/>
                  <w:marBottom w:val="0"/>
                  <w:divBdr>
                    <w:top w:val="none" w:sz="0" w:space="0" w:color="auto"/>
                    <w:left w:val="none" w:sz="0" w:space="0" w:color="auto"/>
                    <w:bottom w:val="none" w:sz="0" w:space="0" w:color="auto"/>
                    <w:right w:val="none" w:sz="0" w:space="0" w:color="auto"/>
                  </w:divBdr>
                  <w:divsChild>
                    <w:div w:id="417365676">
                      <w:marLeft w:val="0"/>
                      <w:marRight w:val="0"/>
                      <w:marTop w:val="0"/>
                      <w:marBottom w:val="0"/>
                      <w:divBdr>
                        <w:top w:val="none" w:sz="0" w:space="0" w:color="auto"/>
                        <w:left w:val="none" w:sz="0" w:space="0" w:color="auto"/>
                        <w:bottom w:val="none" w:sz="0" w:space="0" w:color="auto"/>
                        <w:right w:val="none" w:sz="0" w:space="0" w:color="auto"/>
                      </w:divBdr>
                      <w:divsChild>
                        <w:div w:id="739643587">
                          <w:marLeft w:val="0"/>
                          <w:marRight w:val="0"/>
                          <w:marTop w:val="0"/>
                          <w:marBottom w:val="0"/>
                          <w:divBdr>
                            <w:top w:val="none" w:sz="0" w:space="0" w:color="auto"/>
                            <w:left w:val="none" w:sz="0" w:space="0" w:color="auto"/>
                            <w:bottom w:val="none" w:sz="0" w:space="0" w:color="auto"/>
                            <w:right w:val="none" w:sz="0" w:space="0" w:color="auto"/>
                          </w:divBdr>
                          <w:divsChild>
                            <w:div w:id="18721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7606">
                  <w:marLeft w:val="0"/>
                  <w:marRight w:val="0"/>
                  <w:marTop w:val="0"/>
                  <w:marBottom w:val="0"/>
                  <w:divBdr>
                    <w:top w:val="none" w:sz="0" w:space="0" w:color="auto"/>
                    <w:left w:val="none" w:sz="0" w:space="0" w:color="auto"/>
                    <w:bottom w:val="none" w:sz="0" w:space="0" w:color="auto"/>
                    <w:right w:val="none" w:sz="0" w:space="0" w:color="auto"/>
                  </w:divBdr>
                  <w:divsChild>
                    <w:div w:id="73629400">
                      <w:marLeft w:val="0"/>
                      <w:marRight w:val="0"/>
                      <w:marTop w:val="0"/>
                      <w:marBottom w:val="825"/>
                      <w:divBdr>
                        <w:top w:val="single" w:sz="6" w:space="0" w:color="CCCCCC"/>
                        <w:left w:val="none" w:sz="0" w:space="0" w:color="auto"/>
                        <w:bottom w:val="none" w:sz="0" w:space="0" w:color="auto"/>
                        <w:right w:val="none" w:sz="0" w:space="0" w:color="auto"/>
                      </w:divBdr>
                    </w:div>
                    <w:div w:id="8209714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40694491">
      <w:bodyDiv w:val="1"/>
      <w:marLeft w:val="0"/>
      <w:marRight w:val="0"/>
      <w:marTop w:val="0"/>
      <w:marBottom w:val="0"/>
      <w:divBdr>
        <w:top w:val="none" w:sz="0" w:space="0" w:color="auto"/>
        <w:left w:val="none" w:sz="0" w:space="0" w:color="auto"/>
        <w:bottom w:val="none" w:sz="0" w:space="0" w:color="auto"/>
        <w:right w:val="none" w:sz="0" w:space="0" w:color="auto"/>
      </w:divBdr>
      <w:divsChild>
        <w:div w:id="1118569791">
          <w:marLeft w:val="0"/>
          <w:marRight w:val="0"/>
          <w:marTop w:val="0"/>
          <w:marBottom w:val="0"/>
          <w:divBdr>
            <w:top w:val="none" w:sz="0" w:space="0" w:color="auto"/>
            <w:left w:val="none" w:sz="0" w:space="0" w:color="auto"/>
            <w:bottom w:val="none" w:sz="0" w:space="0" w:color="auto"/>
            <w:right w:val="none" w:sz="0" w:space="0" w:color="auto"/>
          </w:divBdr>
          <w:divsChild>
            <w:div w:id="1819375506">
              <w:marLeft w:val="0"/>
              <w:marRight w:val="0"/>
              <w:marTop w:val="0"/>
              <w:marBottom w:val="0"/>
              <w:divBdr>
                <w:top w:val="none" w:sz="0" w:space="0" w:color="auto"/>
                <w:left w:val="none" w:sz="0" w:space="0" w:color="auto"/>
                <w:bottom w:val="none" w:sz="0" w:space="0" w:color="auto"/>
                <w:right w:val="none" w:sz="0" w:space="0" w:color="auto"/>
              </w:divBdr>
              <w:divsChild>
                <w:div w:id="960458385">
                  <w:marLeft w:val="0"/>
                  <w:marRight w:val="0"/>
                  <w:marTop w:val="0"/>
                  <w:marBottom w:val="0"/>
                  <w:divBdr>
                    <w:top w:val="none" w:sz="0" w:space="0" w:color="auto"/>
                    <w:left w:val="none" w:sz="0" w:space="0" w:color="auto"/>
                    <w:bottom w:val="none" w:sz="0" w:space="0" w:color="auto"/>
                    <w:right w:val="none" w:sz="0" w:space="0" w:color="auto"/>
                  </w:divBdr>
                  <w:divsChild>
                    <w:div w:id="400904609">
                      <w:marLeft w:val="0"/>
                      <w:marRight w:val="0"/>
                      <w:marTop w:val="0"/>
                      <w:marBottom w:val="0"/>
                      <w:divBdr>
                        <w:top w:val="none" w:sz="0" w:space="0" w:color="auto"/>
                        <w:left w:val="none" w:sz="0" w:space="0" w:color="auto"/>
                        <w:bottom w:val="none" w:sz="0" w:space="0" w:color="auto"/>
                        <w:right w:val="none" w:sz="0" w:space="0" w:color="auto"/>
                      </w:divBdr>
                      <w:divsChild>
                        <w:div w:id="5946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816942">
      <w:bodyDiv w:val="1"/>
      <w:marLeft w:val="0"/>
      <w:marRight w:val="0"/>
      <w:marTop w:val="0"/>
      <w:marBottom w:val="0"/>
      <w:divBdr>
        <w:top w:val="none" w:sz="0" w:space="0" w:color="auto"/>
        <w:left w:val="none" w:sz="0" w:space="0" w:color="auto"/>
        <w:bottom w:val="none" w:sz="0" w:space="0" w:color="auto"/>
        <w:right w:val="none" w:sz="0" w:space="0" w:color="auto"/>
      </w:divBdr>
      <w:divsChild>
        <w:div w:id="1638990263">
          <w:marLeft w:val="0"/>
          <w:marRight w:val="0"/>
          <w:marTop w:val="0"/>
          <w:marBottom w:val="0"/>
          <w:divBdr>
            <w:top w:val="none" w:sz="0" w:space="0" w:color="auto"/>
            <w:left w:val="none" w:sz="0" w:space="0" w:color="auto"/>
            <w:bottom w:val="none" w:sz="0" w:space="0" w:color="auto"/>
            <w:right w:val="none" w:sz="0" w:space="0" w:color="auto"/>
          </w:divBdr>
          <w:divsChild>
            <w:div w:id="2119635264">
              <w:marLeft w:val="0"/>
              <w:marRight w:val="0"/>
              <w:marTop w:val="0"/>
              <w:marBottom w:val="0"/>
              <w:divBdr>
                <w:top w:val="none" w:sz="0" w:space="0" w:color="auto"/>
                <w:left w:val="none" w:sz="0" w:space="0" w:color="auto"/>
                <w:bottom w:val="none" w:sz="0" w:space="0" w:color="auto"/>
                <w:right w:val="none" w:sz="0" w:space="0" w:color="auto"/>
              </w:divBdr>
              <w:divsChild>
                <w:div w:id="488908396">
                  <w:marLeft w:val="0"/>
                  <w:marRight w:val="0"/>
                  <w:marTop w:val="0"/>
                  <w:marBottom w:val="0"/>
                  <w:divBdr>
                    <w:top w:val="none" w:sz="0" w:space="0" w:color="auto"/>
                    <w:left w:val="none" w:sz="0" w:space="0" w:color="auto"/>
                    <w:bottom w:val="none" w:sz="0" w:space="0" w:color="auto"/>
                    <w:right w:val="none" w:sz="0" w:space="0" w:color="auto"/>
                  </w:divBdr>
                  <w:divsChild>
                    <w:div w:id="1178469160">
                      <w:marLeft w:val="0"/>
                      <w:marRight w:val="0"/>
                      <w:marTop w:val="0"/>
                      <w:marBottom w:val="0"/>
                      <w:divBdr>
                        <w:top w:val="none" w:sz="0" w:space="0" w:color="auto"/>
                        <w:left w:val="none" w:sz="0" w:space="0" w:color="auto"/>
                        <w:bottom w:val="none" w:sz="0" w:space="0" w:color="auto"/>
                        <w:right w:val="none" w:sz="0" w:space="0" w:color="auto"/>
                      </w:divBdr>
                      <w:divsChild>
                        <w:div w:id="1764180968">
                          <w:marLeft w:val="0"/>
                          <w:marRight w:val="0"/>
                          <w:marTop w:val="0"/>
                          <w:marBottom w:val="0"/>
                          <w:divBdr>
                            <w:top w:val="none" w:sz="0" w:space="0" w:color="auto"/>
                            <w:left w:val="none" w:sz="0" w:space="0" w:color="auto"/>
                            <w:bottom w:val="none" w:sz="0" w:space="0" w:color="auto"/>
                            <w:right w:val="none" w:sz="0" w:space="0" w:color="auto"/>
                          </w:divBdr>
                          <w:divsChild>
                            <w:div w:id="1632786547">
                              <w:marLeft w:val="570"/>
                              <w:marRight w:val="720"/>
                              <w:marTop w:val="120"/>
                              <w:marBottom w:val="120"/>
                              <w:divBdr>
                                <w:top w:val="none" w:sz="0" w:space="0" w:color="auto"/>
                                <w:left w:val="none" w:sz="0" w:space="0" w:color="auto"/>
                                <w:bottom w:val="none" w:sz="0" w:space="0" w:color="auto"/>
                                <w:right w:val="none" w:sz="0" w:space="0" w:color="auto"/>
                              </w:divBdr>
                              <w:divsChild>
                                <w:div w:id="2090156296">
                                  <w:marLeft w:val="0"/>
                                  <w:marRight w:val="0"/>
                                  <w:marTop w:val="0"/>
                                  <w:marBottom w:val="0"/>
                                  <w:divBdr>
                                    <w:top w:val="none" w:sz="0" w:space="0" w:color="auto"/>
                                    <w:left w:val="none" w:sz="0" w:space="0" w:color="auto"/>
                                    <w:bottom w:val="none" w:sz="0" w:space="0" w:color="auto"/>
                                    <w:right w:val="none" w:sz="0" w:space="0" w:color="auto"/>
                                  </w:divBdr>
                                  <w:divsChild>
                                    <w:div w:id="1186484490">
                                      <w:marLeft w:val="0"/>
                                      <w:marRight w:val="0"/>
                                      <w:marTop w:val="0"/>
                                      <w:marBottom w:val="0"/>
                                      <w:divBdr>
                                        <w:top w:val="none" w:sz="0" w:space="0" w:color="auto"/>
                                        <w:left w:val="none" w:sz="0" w:space="0" w:color="auto"/>
                                        <w:bottom w:val="none" w:sz="0" w:space="0" w:color="auto"/>
                                        <w:right w:val="none" w:sz="0" w:space="0" w:color="auto"/>
                                      </w:divBdr>
                                      <w:divsChild>
                                        <w:div w:id="929701366">
                                          <w:marLeft w:val="0"/>
                                          <w:marRight w:val="0"/>
                                          <w:marTop w:val="0"/>
                                          <w:marBottom w:val="0"/>
                                          <w:divBdr>
                                            <w:top w:val="none" w:sz="0" w:space="0" w:color="auto"/>
                                            <w:left w:val="none" w:sz="0" w:space="0" w:color="auto"/>
                                            <w:bottom w:val="none" w:sz="0" w:space="0" w:color="auto"/>
                                            <w:right w:val="none" w:sz="0" w:space="0" w:color="auto"/>
                                          </w:divBdr>
                                        </w:div>
                                        <w:div w:id="1971788587">
                                          <w:marLeft w:val="0"/>
                                          <w:marRight w:val="0"/>
                                          <w:marTop w:val="0"/>
                                          <w:marBottom w:val="150"/>
                                          <w:divBdr>
                                            <w:top w:val="none" w:sz="0" w:space="0" w:color="auto"/>
                                            <w:left w:val="none" w:sz="0" w:space="0" w:color="auto"/>
                                            <w:bottom w:val="none" w:sz="0" w:space="0" w:color="auto"/>
                                            <w:right w:val="none" w:sz="0" w:space="0" w:color="auto"/>
                                          </w:divBdr>
                                          <w:divsChild>
                                            <w:div w:id="82578298">
                                              <w:marLeft w:val="0"/>
                                              <w:marRight w:val="0"/>
                                              <w:marTop w:val="240"/>
                                              <w:marBottom w:val="240"/>
                                              <w:divBdr>
                                                <w:top w:val="single" w:sz="6" w:space="6" w:color="F2F2F2"/>
                                                <w:left w:val="none" w:sz="0" w:space="0" w:color="auto"/>
                                                <w:bottom w:val="single" w:sz="6" w:space="6" w:color="F2F2F2"/>
                                                <w:right w:val="none" w:sz="0" w:space="0" w:color="auto"/>
                                              </w:divBdr>
                                            </w:div>
                                            <w:div w:id="918756360">
                                              <w:marLeft w:val="0"/>
                                              <w:marRight w:val="0"/>
                                              <w:marTop w:val="0"/>
                                              <w:marBottom w:val="0"/>
                                              <w:divBdr>
                                                <w:top w:val="none" w:sz="0" w:space="0" w:color="auto"/>
                                                <w:left w:val="none" w:sz="0" w:space="0" w:color="auto"/>
                                                <w:bottom w:val="none" w:sz="0" w:space="0" w:color="auto"/>
                                                <w:right w:val="none" w:sz="0" w:space="0" w:color="auto"/>
                                              </w:divBdr>
                                              <w:divsChild>
                                                <w:div w:id="12573250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167496">
      <w:bodyDiv w:val="1"/>
      <w:marLeft w:val="0"/>
      <w:marRight w:val="0"/>
      <w:marTop w:val="0"/>
      <w:marBottom w:val="0"/>
      <w:divBdr>
        <w:top w:val="none" w:sz="0" w:space="0" w:color="auto"/>
        <w:left w:val="none" w:sz="0" w:space="0" w:color="auto"/>
        <w:bottom w:val="none" w:sz="0" w:space="0" w:color="auto"/>
        <w:right w:val="none" w:sz="0" w:space="0" w:color="auto"/>
      </w:divBdr>
      <w:divsChild>
        <w:div w:id="105319534">
          <w:marLeft w:val="0"/>
          <w:marRight w:val="0"/>
          <w:marTop w:val="375"/>
          <w:marBottom w:val="375"/>
          <w:divBdr>
            <w:top w:val="none" w:sz="0" w:space="0" w:color="auto"/>
            <w:left w:val="none" w:sz="0" w:space="0" w:color="auto"/>
            <w:bottom w:val="none" w:sz="0" w:space="0" w:color="auto"/>
            <w:right w:val="none" w:sz="0" w:space="0" w:color="auto"/>
          </w:divBdr>
          <w:divsChild>
            <w:div w:id="1382245840">
              <w:marLeft w:val="0"/>
              <w:marRight w:val="0"/>
              <w:marTop w:val="375"/>
              <w:marBottom w:val="375"/>
              <w:divBdr>
                <w:top w:val="none" w:sz="0" w:space="0" w:color="auto"/>
                <w:left w:val="none" w:sz="0" w:space="0" w:color="auto"/>
                <w:bottom w:val="none" w:sz="0" w:space="0" w:color="auto"/>
                <w:right w:val="none" w:sz="0" w:space="0" w:color="auto"/>
              </w:divBdr>
            </w:div>
          </w:divsChild>
        </w:div>
        <w:div w:id="1804303269">
          <w:marLeft w:val="0"/>
          <w:marRight w:val="0"/>
          <w:marTop w:val="0"/>
          <w:marBottom w:val="375"/>
          <w:divBdr>
            <w:top w:val="none" w:sz="0" w:space="0" w:color="auto"/>
            <w:left w:val="none" w:sz="0" w:space="0" w:color="auto"/>
            <w:bottom w:val="none" w:sz="0" w:space="0" w:color="auto"/>
            <w:right w:val="none" w:sz="0" w:space="0" w:color="auto"/>
          </w:divBdr>
        </w:div>
        <w:div w:id="348142722">
          <w:marLeft w:val="0"/>
          <w:marRight w:val="0"/>
          <w:marTop w:val="375"/>
          <w:marBottom w:val="375"/>
          <w:divBdr>
            <w:top w:val="none" w:sz="0" w:space="0" w:color="auto"/>
            <w:left w:val="none" w:sz="0" w:space="0" w:color="auto"/>
            <w:bottom w:val="none" w:sz="0" w:space="0" w:color="auto"/>
            <w:right w:val="none" w:sz="0" w:space="0" w:color="auto"/>
          </w:divBdr>
        </w:div>
      </w:divsChild>
    </w:div>
    <w:div w:id="1346323903">
      <w:bodyDiv w:val="1"/>
      <w:marLeft w:val="0"/>
      <w:marRight w:val="0"/>
      <w:marTop w:val="0"/>
      <w:marBottom w:val="0"/>
      <w:divBdr>
        <w:top w:val="none" w:sz="0" w:space="0" w:color="auto"/>
        <w:left w:val="none" w:sz="0" w:space="0" w:color="auto"/>
        <w:bottom w:val="none" w:sz="0" w:space="0" w:color="auto"/>
        <w:right w:val="none" w:sz="0" w:space="0" w:color="auto"/>
      </w:divBdr>
      <w:divsChild>
        <w:div w:id="991062122">
          <w:marLeft w:val="0"/>
          <w:marRight w:val="225"/>
          <w:marTop w:val="0"/>
          <w:marBottom w:val="0"/>
          <w:divBdr>
            <w:top w:val="none" w:sz="0" w:space="0" w:color="auto"/>
            <w:left w:val="none" w:sz="0" w:space="0" w:color="auto"/>
            <w:bottom w:val="none" w:sz="0" w:space="0" w:color="auto"/>
            <w:right w:val="none" w:sz="0" w:space="0" w:color="auto"/>
          </w:divBdr>
        </w:div>
        <w:div w:id="175309703">
          <w:marLeft w:val="0"/>
          <w:marRight w:val="0"/>
          <w:marTop w:val="0"/>
          <w:marBottom w:val="0"/>
          <w:divBdr>
            <w:top w:val="none" w:sz="0" w:space="0" w:color="auto"/>
            <w:left w:val="none" w:sz="0" w:space="0" w:color="auto"/>
            <w:bottom w:val="none" w:sz="0" w:space="0" w:color="auto"/>
            <w:right w:val="none" w:sz="0" w:space="0" w:color="auto"/>
          </w:divBdr>
          <w:divsChild>
            <w:div w:id="1165437778">
              <w:marLeft w:val="0"/>
              <w:marRight w:val="0"/>
              <w:marTop w:val="0"/>
              <w:marBottom w:val="0"/>
              <w:divBdr>
                <w:top w:val="none" w:sz="0" w:space="0" w:color="auto"/>
                <w:left w:val="none" w:sz="0" w:space="0" w:color="auto"/>
                <w:bottom w:val="none" w:sz="0" w:space="0" w:color="auto"/>
                <w:right w:val="none" w:sz="0" w:space="0" w:color="auto"/>
              </w:divBdr>
              <w:divsChild>
                <w:div w:id="16700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8541">
          <w:marLeft w:val="0"/>
          <w:marRight w:val="225"/>
          <w:marTop w:val="0"/>
          <w:marBottom w:val="0"/>
          <w:divBdr>
            <w:top w:val="none" w:sz="0" w:space="0" w:color="auto"/>
            <w:left w:val="none" w:sz="0" w:space="0" w:color="auto"/>
            <w:bottom w:val="none" w:sz="0" w:space="0" w:color="auto"/>
            <w:right w:val="none" w:sz="0" w:space="0" w:color="auto"/>
          </w:divBdr>
          <w:divsChild>
            <w:div w:id="18285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88954">
      <w:bodyDiv w:val="1"/>
      <w:marLeft w:val="0"/>
      <w:marRight w:val="0"/>
      <w:marTop w:val="0"/>
      <w:marBottom w:val="0"/>
      <w:divBdr>
        <w:top w:val="none" w:sz="0" w:space="0" w:color="auto"/>
        <w:left w:val="none" w:sz="0" w:space="0" w:color="auto"/>
        <w:bottom w:val="none" w:sz="0" w:space="0" w:color="auto"/>
        <w:right w:val="none" w:sz="0" w:space="0" w:color="auto"/>
      </w:divBdr>
    </w:div>
    <w:div w:id="1348676855">
      <w:bodyDiv w:val="1"/>
      <w:marLeft w:val="0"/>
      <w:marRight w:val="0"/>
      <w:marTop w:val="0"/>
      <w:marBottom w:val="0"/>
      <w:divBdr>
        <w:top w:val="none" w:sz="0" w:space="0" w:color="auto"/>
        <w:left w:val="none" w:sz="0" w:space="0" w:color="auto"/>
        <w:bottom w:val="none" w:sz="0" w:space="0" w:color="auto"/>
        <w:right w:val="none" w:sz="0" w:space="0" w:color="auto"/>
      </w:divBdr>
    </w:div>
    <w:div w:id="1349603453">
      <w:bodyDiv w:val="1"/>
      <w:marLeft w:val="0"/>
      <w:marRight w:val="0"/>
      <w:marTop w:val="0"/>
      <w:marBottom w:val="0"/>
      <w:divBdr>
        <w:top w:val="none" w:sz="0" w:space="0" w:color="auto"/>
        <w:left w:val="none" w:sz="0" w:space="0" w:color="auto"/>
        <w:bottom w:val="none" w:sz="0" w:space="0" w:color="auto"/>
        <w:right w:val="none" w:sz="0" w:space="0" w:color="auto"/>
      </w:divBdr>
      <w:divsChild>
        <w:div w:id="1320303359">
          <w:marLeft w:val="0"/>
          <w:marRight w:val="0"/>
          <w:marTop w:val="0"/>
          <w:marBottom w:val="0"/>
          <w:divBdr>
            <w:top w:val="none" w:sz="0" w:space="0" w:color="auto"/>
            <w:left w:val="none" w:sz="0" w:space="0" w:color="auto"/>
            <w:bottom w:val="none" w:sz="0" w:space="0" w:color="auto"/>
            <w:right w:val="none" w:sz="0" w:space="0" w:color="auto"/>
          </w:divBdr>
          <w:divsChild>
            <w:div w:id="1612936809">
              <w:marLeft w:val="0"/>
              <w:marRight w:val="0"/>
              <w:marTop w:val="0"/>
              <w:marBottom w:val="0"/>
              <w:divBdr>
                <w:top w:val="none" w:sz="0" w:space="0" w:color="auto"/>
                <w:left w:val="none" w:sz="0" w:space="0" w:color="auto"/>
                <w:bottom w:val="none" w:sz="0" w:space="0" w:color="auto"/>
                <w:right w:val="none" w:sz="0" w:space="0" w:color="auto"/>
              </w:divBdr>
              <w:divsChild>
                <w:div w:id="1911502994">
                  <w:marLeft w:val="0"/>
                  <w:marRight w:val="0"/>
                  <w:marTop w:val="0"/>
                  <w:marBottom w:val="0"/>
                  <w:divBdr>
                    <w:top w:val="none" w:sz="0" w:space="0" w:color="auto"/>
                    <w:left w:val="none" w:sz="0" w:space="0" w:color="auto"/>
                    <w:bottom w:val="none" w:sz="0" w:space="0" w:color="auto"/>
                    <w:right w:val="none" w:sz="0" w:space="0" w:color="auto"/>
                  </w:divBdr>
                  <w:divsChild>
                    <w:div w:id="257032889">
                      <w:marLeft w:val="0"/>
                      <w:marRight w:val="0"/>
                      <w:marTop w:val="0"/>
                      <w:marBottom w:val="0"/>
                      <w:divBdr>
                        <w:top w:val="none" w:sz="0" w:space="0" w:color="auto"/>
                        <w:left w:val="none" w:sz="0" w:space="0" w:color="auto"/>
                        <w:bottom w:val="none" w:sz="0" w:space="0" w:color="auto"/>
                        <w:right w:val="none" w:sz="0" w:space="0" w:color="auto"/>
                      </w:divBdr>
                      <w:divsChild>
                        <w:div w:id="138420123">
                          <w:marLeft w:val="0"/>
                          <w:marRight w:val="0"/>
                          <w:marTop w:val="0"/>
                          <w:marBottom w:val="0"/>
                          <w:divBdr>
                            <w:top w:val="none" w:sz="0" w:space="0" w:color="auto"/>
                            <w:left w:val="none" w:sz="0" w:space="0" w:color="auto"/>
                            <w:bottom w:val="none" w:sz="0" w:space="0" w:color="auto"/>
                            <w:right w:val="none" w:sz="0" w:space="0" w:color="auto"/>
                          </w:divBdr>
                          <w:divsChild>
                            <w:div w:id="140778658">
                              <w:marLeft w:val="0"/>
                              <w:marRight w:val="0"/>
                              <w:marTop w:val="0"/>
                              <w:marBottom w:val="0"/>
                              <w:divBdr>
                                <w:top w:val="none" w:sz="0" w:space="0" w:color="auto"/>
                                <w:left w:val="none" w:sz="0" w:space="0" w:color="auto"/>
                                <w:bottom w:val="none" w:sz="0" w:space="0" w:color="auto"/>
                                <w:right w:val="none" w:sz="0" w:space="0" w:color="auto"/>
                              </w:divBdr>
                              <w:divsChild>
                                <w:div w:id="1816295880">
                                  <w:marLeft w:val="0"/>
                                  <w:marRight w:val="0"/>
                                  <w:marTop w:val="0"/>
                                  <w:marBottom w:val="0"/>
                                  <w:divBdr>
                                    <w:top w:val="none" w:sz="0" w:space="0" w:color="auto"/>
                                    <w:left w:val="none" w:sz="0" w:space="0" w:color="auto"/>
                                    <w:bottom w:val="none" w:sz="0" w:space="0" w:color="auto"/>
                                    <w:right w:val="none" w:sz="0" w:space="0" w:color="auto"/>
                                  </w:divBdr>
                                  <w:divsChild>
                                    <w:div w:id="1584607448">
                                      <w:marLeft w:val="0"/>
                                      <w:marRight w:val="0"/>
                                      <w:marTop w:val="0"/>
                                      <w:marBottom w:val="0"/>
                                      <w:divBdr>
                                        <w:top w:val="none" w:sz="0" w:space="0" w:color="auto"/>
                                        <w:left w:val="none" w:sz="0" w:space="0" w:color="auto"/>
                                        <w:bottom w:val="none" w:sz="0" w:space="0" w:color="auto"/>
                                        <w:right w:val="none" w:sz="0" w:space="0" w:color="auto"/>
                                      </w:divBdr>
                                      <w:divsChild>
                                        <w:div w:id="261913967">
                                          <w:marLeft w:val="0"/>
                                          <w:marRight w:val="0"/>
                                          <w:marTop w:val="0"/>
                                          <w:marBottom w:val="0"/>
                                          <w:divBdr>
                                            <w:top w:val="none" w:sz="0" w:space="0" w:color="auto"/>
                                            <w:left w:val="none" w:sz="0" w:space="0" w:color="auto"/>
                                            <w:bottom w:val="none" w:sz="0" w:space="0" w:color="auto"/>
                                            <w:right w:val="none" w:sz="0" w:space="0" w:color="auto"/>
                                          </w:divBdr>
                                        </w:div>
                                        <w:div w:id="854156070">
                                          <w:marLeft w:val="0"/>
                                          <w:marRight w:val="0"/>
                                          <w:marTop w:val="0"/>
                                          <w:marBottom w:val="0"/>
                                          <w:divBdr>
                                            <w:top w:val="none" w:sz="0" w:space="0" w:color="auto"/>
                                            <w:left w:val="none" w:sz="0" w:space="0" w:color="auto"/>
                                            <w:bottom w:val="none" w:sz="0" w:space="0" w:color="auto"/>
                                            <w:right w:val="none" w:sz="0" w:space="0" w:color="auto"/>
                                          </w:divBdr>
                                          <w:divsChild>
                                            <w:div w:id="1424766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522573">
      <w:bodyDiv w:val="1"/>
      <w:marLeft w:val="0"/>
      <w:marRight w:val="0"/>
      <w:marTop w:val="0"/>
      <w:marBottom w:val="0"/>
      <w:divBdr>
        <w:top w:val="none" w:sz="0" w:space="0" w:color="auto"/>
        <w:left w:val="none" w:sz="0" w:space="0" w:color="auto"/>
        <w:bottom w:val="none" w:sz="0" w:space="0" w:color="auto"/>
        <w:right w:val="none" w:sz="0" w:space="0" w:color="auto"/>
      </w:divBdr>
      <w:divsChild>
        <w:div w:id="34429453">
          <w:marLeft w:val="0"/>
          <w:marRight w:val="0"/>
          <w:marTop w:val="0"/>
          <w:marBottom w:val="0"/>
          <w:divBdr>
            <w:top w:val="single" w:sz="6" w:space="0" w:color="0E477A"/>
            <w:left w:val="single" w:sz="6" w:space="0" w:color="0E477A"/>
            <w:bottom w:val="single" w:sz="6" w:space="0" w:color="0E477A"/>
            <w:right w:val="single" w:sz="6" w:space="0" w:color="0E477A"/>
          </w:divBdr>
          <w:divsChild>
            <w:div w:id="1244338741">
              <w:marLeft w:val="2925"/>
              <w:marRight w:val="0"/>
              <w:marTop w:val="0"/>
              <w:marBottom w:val="0"/>
              <w:divBdr>
                <w:top w:val="none" w:sz="0" w:space="0" w:color="auto"/>
                <w:left w:val="none" w:sz="0" w:space="0" w:color="auto"/>
                <w:bottom w:val="none" w:sz="0" w:space="0" w:color="auto"/>
                <w:right w:val="none" w:sz="0" w:space="0" w:color="auto"/>
              </w:divBdr>
              <w:divsChild>
                <w:div w:id="1441799292">
                  <w:marLeft w:val="0"/>
                  <w:marRight w:val="0"/>
                  <w:marTop w:val="0"/>
                  <w:marBottom w:val="0"/>
                  <w:divBdr>
                    <w:top w:val="none" w:sz="0" w:space="0" w:color="auto"/>
                    <w:left w:val="none" w:sz="0" w:space="0" w:color="auto"/>
                    <w:bottom w:val="none" w:sz="0" w:space="0" w:color="auto"/>
                    <w:right w:val="none" w:sz="0" w:space="0" w:color="auto"/>
                  </w:divBdr>
                  <w:divsChild>
                    <w:div w:id="1298798843">
                      <w:marLeft w:val="0"/>
                      <w:marRight w:val="150"/>
                      <w:marTop w:val="0"/>
                      <w:marBottom w:val="0"/>
                      <w:divBdr>
                        <w:top w:val="single" w:sz="6" w:space="0" w:color="CCCCCC"/>
                        <w:left w:val="single" w:sz="6" w:space="8" w:color="CCCCCC"/>
                        <w:bottom w:val="single" w:sz="6" w:space="8" w:color="CCCCCC"/>
                        <w:right w:val="single" w:sz="6" w:space="8" w:color="CCCCCC"/>
                      </w:divBdr>
                      <w:divsChild>
                        <w:div w:id="862936259">
                          <w:marLeft w:val="0"/>
                          <w:marRight w:val="0"/>
                          <w:marTop w:val="0"/>
                          <w:marBottom w:val="0"/>
                          <w:divBdr>
                            <w:top w:val="none" w:sz="0" w:space="0" w:color="auto"/>
                            <w:left w:val="none" w:sz="0" w:space="0" w:color="auto"/>
                            <w:bottom w:val="none" w:sz="0" w:space="0" w:color="auto"/>
                            <w:right w:val="none" w:sz="0" w:space="0" w:color="auto"/>
                          </w:divBdr>
                        </w:div>
                        <w:div w:id="1188759330">
                          <w:marLeft w:val="0"/>
                          <w:marRight w:val="0"/>
                          <w:marTop w:val="0"/>
                          <w:marBottom w:val="0"/>
                          <w:divBdr>
                            <w:top w:val="none" w:sz="0" w:space="0" w:color="auto"/>
                            <w:left w:val="none" w:sz="0" w:space="0" w:color="auto"/>
                            <w:bottom w:val="none" w:sz="0" w:space="0" w:color="auto"/>
                            <w:right w:val="none" w:sz="0" w:space="0" w:color="auto"/>
                          </w:divBdr>
                        </w:div>
                        <w:div w:id="1069495979">
                          <w:marLeft w:val="0"/>
                          <w:marRight w:val="0"/>
                          <w:marTop w:val="0"/>
                          <w:marBottom w:val="0"/>
                          <w:divBdr>
                            <w:top w:val="none" w:sz="0" w:space="0" w:color="auto"/>
                            <w:left w:val="none" w:sz="0" w:space="0" w:color="auto"/>
                            <w:bottom w:val="none" w:sz="0" w:space="0" w:color="auto"/>
                            <w:right w:val="none" w:sz="0" w:space="0" w:color="auto"/>
                          </w:divBdr>
                        </w:div>
                        <w:div w:id="1727876591">
                          <w:marLeft w:val="0"/>
                          <w:marRight w:val="0"/>
                          <w:marTop w:val="0"/>
                          <w:marBottom w:val="0"/>
                          <w:divBdr>
                            <w:top w:val="none" w:sz="0" w:space="0" w:color="auto"/>
                            <w:left w:val="none" w:sz="0" w:space="0" w:color="auto"/>
                            <w:bottom w:val="none" w:sz="0" w:space="0" w:color="auto"/>
                            <w:right w:val="none" w:sz="0" w:space="0" w:color="auto"/>
                          </w:divBdr>
                        </w:div>
                        <w:div w:id="2007131765">
                          <w:marLeft w:val="0"/>
                          <w:marRight w:val="0"/>
                          <w:marTop w:val="0"/>
                          <w:marBottom w:val="0"/>
                          <w:divBdr>
                            <w:top w:val="none" w:sz="0" w:space="0" w:color="auto"/>
                            <w:left w:val="none" w:sz="0" w:space="0" w:color="auto"/>
                            <w:bottom w:val="none" w:sz="0" w:space="0" w:color="auto"/>
                            <w:right w:val="none" w:sz="0" w:space="0" w:color="auto"/>
                          </w:divBdr>
                        </w:div>
                        <w:div w:id="959457515">
                          <w:marLeft w:val="0"/>
                          <w:marRight w:val="0"/>
                          <w:marTop w:val="0"/>
                          <w:marBottom w:val="0"/>
                          <w:divBdr>
                            <w:top w:val="none" w:sz="0" w:space="0" w:color="auto"/>
                            <w:left w:val="none" w:sz="0" w:space="0" w:color="auto"/>
                            <w:bottom w:val="none" w:sz="0" w:space="0" w:color="auto"/>
                            <w:right w:val="none" w:sz="0" w:space="0" w:color="auto"/>
                          </w:divBdr>
                        </w:div>
                        <w:div w:id="1513178009">
                          <w:marLeft w:val="0"/>
                          <w:marRight w:val="0"/>
                          <w:marTop w:val="0"/>
                          <w:marBottom w:val="0"/>
                          <w:divBdr>
                            <w:top w:val="none" w:sz="0" w:space="0" w:color="auto"/>
                            <w:left w:val="none" w:sz="0" w:space="0" w:color="auto"/>
                            <w:bottom w:val="none" w:sz="0" w:space="0" w:color="auto"/>
                            <w:right w:val="none" w:sz="0" w:space="0" w:color="auto"/>
                          </w:divBdr>
                        </w:div>
                        <w:div w:id="1323390501">
                          <w:marLeft w:val="0"/>
                          <w:marRight w:val="0"/>
                          <w:marTop w:val="0"/>
                          <w:marBottom w:val="0"/>
                          <w:divBdr>
                            <w:top w:val="none" w:sz="0" w:space="0" w:color="auto"/>
                            <w:left w:val="none" w:sz="0" w:space="0" w:color="auto"/>
                            <w:bottom w:val="none" w:sz="0" w:space="0" w:color="auto"/>
                            <w:right w:val="none" w:sz="0" w:space="0" w:color="auto"/>
                          </w:divBdr>
                        </w:div>
                        <w:div w:id="2082411758">
                          <w:marLeft w:val="0"/>
                          <w:marRight w:val="0"/>
                          <w:marTop w:val="0"/>
                          <w:marBottom w:val="0"/>
                          <w:divBdr>
                            <w:top w:val="none" w:sz="0" w:space="0" w:color="auto"/>
                            <w:left w:val="none" w:sz="0" w:space="0" w:color="auto"/>
                            <w:bottom w:val="none" w:sz="0" w:space="0" w:color="auto"/>
                            <w:right w:val="none" w:sz="0" w:space="0" w:color="auto"/>
                          </w:divBdr>
                        </w:div>
                        <w:div w:id="309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12964">
      <w:bodyDiv w:val="1"/>
      <w:marLeft w:val="0"/>
      <w:marRight w:val="0"/>
      <w:marTop w:val="0"/>
      <w:marBottom w:val="0"/>
      <w:divBdr>
        <w:top w:val="none" w:sz="0" w:space="0" w:color="auto"/>
        <w:left w:val="none" w:sz="0" w:space="0" w:color="auto"/>
        <w:bottom w:val="none" w:sz="0" w:space="0" w:color="auto"/>
        <w:right w:val="none" w:sz="0" w:space="0" w:color="auto"/>
      </w:divBdr>
      <w:divsChild>
        <w:div w:id="2058238832">
          <w:marLeft w:val="0"/>
          <w:marRight w:val="0"/>
          <w:marTop w:val="0"/>
          <w:marBottom w:val="0"/>
          <w:divBdr>
            <w:top w:val="none" w:sz="0" w:space="0" w:color="auto"/>
            <w:left w:val="none" w:sz="0" w:space="0" w:color="auto"/>
            <w:bottom w:val="none" w:sz="0" w:space="0" w:color="auto"/>
            <w:right w:val="none" w:sz="0" w:space="0" w:color="auto"/>
          </w:divBdr>
          <w:divsChild>
            <w:div w:id="1754665598">
              <w:marLeft w:val="0"/>
              <w:marRight w:val="0"/>
              <w:marTop w:val="0"/>
              <w:marBottom w:val="0"/>
              <w:divBdr>
                <w:top w:val="none" w:sz="0" w:space="0" w:color="auto"/>
                <w:left w:val="none" w:sz="0" w:space="0" w:color="auto"/>
                <w:bottom w:val="none" w:sz="0" w:space="0" w:color="auto"/>
                <w:right w:val="none" w:sz="0" w:space="0" w:color="auto"/>
              </w:divBdr>
              <w:divsChild>
                <w:div w:id="378365662">
                  <w:marLeft w:val="-225"/>
                  <w:marRight w:val="-225"/>
                  <w:marTop w:val="0"/>
                  <w:marBottom w:val="0"/>
                  <w:divBdr>
                    <w:top w:val="none" w:sz="0" w:space="0" w:color="auto"/>
                    <w:left w:val="none" w:sz="0" w:space="0" w:color="auto"/>
                    <w:bottom w:val="none" w:sz="0" w:space="0" w:color="auto"/>
                    <w:right w:val="none" w:sz="0" w:space="0" w:color="auto"/>
                  </w:divBdr>
                  <w:divsChild>
                    <w:div w:id="5792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55772">
      <w:bodyDiv w:val="1"/>
      <w:marLeft w:val="0"/>
      <w:marRight w:val="0"/>
      <w:marTop w:val="0"/>
      <w:marBottom w:val="0"/>
      <w:divBdr>
        <w:top w:val="none" w:sz="0" w:space="0" w:color="auto"/>
        <w:left w:val="none" w:sz="0" w:space="0" w:color="auto"/>
        <w:bottom w:val="none" w:sz="0" w:space="0" w:color="auto"/>
        <w:right w:val="none" w:sz="0" w:space="0" w:color="auto"/>
      </w:divBdr>
      <w:divsChild>
        <w:div w:id="228614853">
          <w:marLeft w:val="0"/>
          <w:marRight w:val="0"/>
          <w:marTop w:val="0"/>
          <w:marBottom w:val="0"/>
          <w:divBdr>
            <w:top w:val="none" w:sz="0" w:space="0" w:color="auto"/>
            <w:left w:val="none" w:sz="0" w:space="0" w:color="auto"/>
            <w:bottom w:val="none" w:sz="0" w:space="0" w:color="auto"/>
            <w:right w:val="none" w:sz="0" w:space="0" w:color="auto"/>
          </w:divBdr>
          <w:divsChild>
            <w:div w:id="1884100383">
              <w:marLeft w:val="0"/>
              <w:marRight w:val="0"/>
              <w:marTop w:val="0"/>
              <w:marBottom w:val="0"/>
              <w:divBdr>
                <w:top w:val="none" w:sz="0" w:space="0" w:color="auto"/>
                <w:left w:val="none" w:sz="0" w:space="0" w:color="auto"/>
                <w:bottom w:val="none" w:sz="0" w:space="0" w:color="auto"/>
                <w:right w:val="none" w:sz="0" w:space="0" w:color="auto"/>
              </w:divBdr>
              <w:divsChild>
                <w:div w:id="1570186936">
                  <w:marLeft w:val="0"/>
                  <w:marRight w:val="0"/>
                  <w:marTop w:val="0"/>
                  <w:marBottom w:val="0"/>
                  <w:divBdr>
                    <w:top w:val="none" w:sz="0" w:space="0" w:color="auto"/>
                    <w:left w:val="none" w:sz="0" w:space="0" w:color="auto"/>
                    <w:bottom w:val="none" w:sz="0" w:space="0" w:color="auto"/>
                    <w:right w:val="none" w:sz="0" w:space="0" w:color="auto"/>
                  </w:divBdr>
                  <w:divsChild>
                    <w:div w:id="1010302982">
                      <w:marLeft w:val="0"/>
                      <w:marRight w:val="0"/>
                      <w:marTop w:val="0"/>
                      <w:marBottom w:val="0"/>
                      <w:divBdr>
                        <w:top w:val="none" w:sz="0" w:space="0" w:color="auto"/>
                        <w:left w:val="none" w:sz="0" w:space="0" w:color="auto"/>
                        <w:bottom w:val="none" w:sz="0" w:space="0" w:color="auto"/>
                        <w:right w:val="none" w:sz="0" w:space="0" w:color="auto"/>
                      </w:divBdr>
                      <w:divsChild>
                        <w:div w:id="858617899">
                          <w:marLeft w:val="0"/>
                          <w:marRight w:val="0"/>
                          <w:marTop w:val="0"/>
                          <w:marBottom w:val="0"/>
                          <w:divBdr>
                            <w:top w:val="none" w:sz="0" w:space="0" w:color="auto"/>
                            <w:left w:val="none" w:sz="0" w:space="0" w:color="auto"/>
                            <w:bottom w:val="none" w:sz="0" w:space="0" w:color="auto"/>
                            <w:right w:val="none" w:sz="0" w:space="0" w:color="auto"/>
                          </w:divBdr>
                          <w:divsChild>
                            <w:div w:id="807163564">
                              <w:marLeft w:val="570"/>
                              <w:marRight w:val="720"/>
                              <w:marTop w:val="120"/>
                              <w:marBottom w:val="120"/>
                              <w:divBdr>
                                <w:top w:val="none" w:sz="0" w:space="0" w:color="auto"/>
                                <w:left w:val="none" w:sz="0" w:space="0" w:color="auto"/>
                                <w:bottom w:val="none" w:sz="0" w:space="0" w:color="auto"/>
                                <w:right w:val="none" w:sz="0" w:space="0" w:color="auto"/>
                              </w:divBdr>
                              <w:divsChild>
                                <w:div w:id="1277450264">
                                  <w:marLeft w:val="0"/>
                                  <w:marRight w:val="0"/>
                                  <w:marTop w:val="0"/>
                                  <w:marBottom w:val="0"/>
                                  <w:divBdr>
                                    <w:top w:val="none" w:sz="0" w:space="0" w:color="auto"/>
                                    <w:left w:val="none" w:sz="0" w:space="0" w:color="auto"/>
                                    <w:bottom w:val="none" w:sz="0" w:space="0" w:color="auto"/>
                                    <w:right w:val="none" w:sz="0" w:space="0" w:color="auto"/>
                                  </w:divBdr>
                                  <w:divsChild>
                                    <w:div w:id="835414576">
                                      <w:marLeft w:val="0"/>
                                      <w:marRight w:val="0"/>
                                      <w:marTop w:val="0"/>
                                      <w:marBottom w:val="0"/>
                                      <w:divBdr>
                                        <w:top w:val="none" w:sz="0" w:space="0" w:color="auto"/>
                                        <w:left w:val="none" w:sz="0" w:space="0" w:color="auto"/>
                                        <w:bottom w:val="none" w:sz="0" w:space="0" w:color="auto"/>
                                        <w:right w:val="none" w:sz="0" w:space="0" w:color="auto"/>
                                      </w:divBdr>
                                      <w:divsChild>
                                        <w:div w:id="1320308259">
                                          <w:marLeft w:val="0"/>
                                          <w:marRight w:val="0"/>
                                          <w:marTop w:val="0"/>
                                          <w:marBottom w:val="150"/>
                                          <w:divBdr>
                                            <w:top w:val="none" w:sz="0" w:space="0" w:color="auto"/>
                                            <w:left w:val="none" w:sz="0" w:space="0" w:color="auto"/>
                                            <w:bottom w:val="none" w:sz="0" w:space="0" w:color="auto"/>
                                            <w:right w:val="none" w:sz="0" w:space="0" w:color="auto"/>
                                          </w:divBdr>
                                          <w:divsChild>
                                            <w:div w:id="261256332">
                                              <w:marLeft w:val="0"/>
                                              <w:marRight w:val="0"/>
                                              <w:marTop w:val="240"/>
                                              <w:marBottom w:val="240"/>
                                              <w:divBdr>
                                                <w:top w:val="single" w:sz="6" w:space="6" w:color="F2F2F2"/>
                                                <w:left w:val="none" w:sz="0" w:space="0" w:color="auto"/>
                                                <w:bottom w:val="single" w:sz="6" w:space="6" w:color="F2F2F2"/>
                                                <w:right w:val="none" w:sz="0" w:space="0" w:color="auto"/>
                                              </w:divBdr>
                                            </w:div>
                                            <w:div w:id="817304966">
                                              <w:marLeft w:val="0"/>
                                              <w:marRight w:val="0"/>
                                              <w:marTop w:val="0"/>
                                              <w:marBottom w:val="0"/>
                                              <w:divBdr>
                                                <w:top w:val="none" w:sz="0" w:space="0" w:color="auto"/>
                                                <w:left w:val="none" w:sz="0" w:space="0" w:color="auto"/>
                                                <w:bottom w:val="none" w:sz="0" w:space="0" w:color="auto"/>
                                                <w:right w:val="none" w:sz="0" w:space="0" w:color="auto"/>
                                              </w:divBdr>
                                              <w:divsChild>
                                                <w:div w:id="1092244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995375">
      <w:bodyDiv w:val="1"/>
      <w:marLeft w:val="0"/>
      <w:marRight w:val="0"/>
      <w:marTop w:val="0"/>
      <w:marBottom w:val="0"/>
      <w:divBdr>
        <w:top w:val="none" w:sz="0" w:space="0" w:color="auto"/>
        <w:left w:val="none" w:sz="0" w:space="0" w:color="auto"/>
        <w:bottom w:val="none" w:sz="0" w:space="0" w:color="auto"/>
        <w:right w:val="none" w:sz="0" w:space="0" w:color="auto"/>
      </w:divBdr>
      <w:divsChild>
        <w:div w:id="504982497">
          <w:marLeft w:val="0"/>
          <w:marRight w:val="0"/>
          <w:marTop w:val="0"/>
          <w:marBottom w:val="0"/>
          <w:divBdr>
            <w:top w:val="none" w:sz="0" w:space="0" w:color="auto"/>
            <w:left w:val="none" w:sz="0" w:space="0" w:color="auto"/>
            <w:bottom w:val="none" w:sz="0" w:space="0" w:color="auto"/>
            <w:right w:val="none" w:sz="0" w:space="0" w:color="auto"/>
          </w:divBdr>
          <w:divsChild>
            <w:div w:id="1054818399">
              <w:marLeft w:val="0"/>
              <w:marRight w:val="0"/>
              <w:marTop w:val="0"/>
              <w:marBottom w:val="0"/>
              <w:divBdr>
                <w:top w:val="none" w:sz="0" w:space="0" w:color="auto"/>
                <w:left w:val="none" w:sz="0" w:space="0" w:color="auto"/>
                <w:bottom w:val="none" w:sz="0" w:space="0" w:color="auto"/>
                <w:right w:val="none" w:sz="0" w:space="0" w:color="auto"/>
              </w:divBdr>
              <w:divsChild>
                <w:div w:id="1094864940">
                  <w:marLeft w:val="0"/>
                  <w:marRight w:val="0"/>
                  <w:marTop w:val="0"/>
                  <w:marBottom w:val="0"/>
                  <w:divBdr>
                    <w:top w:val="none" w:sz="0" w:space="0" w:color="auto"/>
                    <w:left w:val="none" w:sz="0" w:space="0" w:color="auto"/>
                    <w:bottom w:val="none" w:sz="0" w:space="0" w:color="auto"/>
                    <w:right w:val="none" w:sz="0" w:space="0" w:color="auto"/>
                  </w:divBdr>
                  <w:divsChild>
                    <w:div w:id="146479181">
                      <w:marLeft w:val="0"/>
                      <w:marRight w:val="0"/>
                      <w:marTop w:val="0"/>
                      <w:marBottom w:val="0"/>
                      <w:divBdr>
                        <w:top w:val="none" w:sz="0" w:space="0" w:color="auto"/>
                        <w:left w:val="none" w:sz="0" w:space="0" w:color="auto"/>
                        <w:bottom w:val="none" w:sz="0" w:space="0" w:color="auto"/>
                        <w:right w:val="none" w:sz="0" w:space="0" w:color="auto"/>
                      </w:divBdr>
                      <w:divsChild>
                        <w:div w:id="971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64189">
      <w:bodyDiv w:val="1"/>
      <w:marLeft w:val="0"/>
      <w:marRight w:val="0"/>
      <w:marTop w:val="0"/>
      <w:marBottom w:val="0"/>
      <w:divBdr>
        <w:top w:val="none" w:sz="0" w:space="0" w:color="auto"/>
        <w:left w:val="none" w:sz="0" w:space="0" w:color="auto"/>
        <w:bottom w:val="none" w:sz="0" w:space="0" w:color="auto"/>
        <w:right w:val="none" w:sz="0" w:space="0" w:color="auto"/>
      </w:divBdr>
      <w:divsChild>
        <w:div w:id="1919092212">
          <w:marLeft w:val="4200"/>
          <w:marRight w:val="4200"/>
          <w:marTop w:val="0"/>
          <w:marBottom w:val="0"/>
          <w:divBdr>
            <w:top w:val="none" w:sz="0" w:space="0" w:color="auto"/>
            <w:left w:val="none" w:sz="0" w:space="0" w:color="auto"/>
            <w:bottom w:val="none" w:sz="0" w:space="0" w:color="auto"/>
            <w:right w:val="none" w:sz="0" w:space="0" w:color="auto"/>
          </w:divBdr>
          <w:divsChild>
            <w:div w:id="266813314">
              <w:marLeft w:val="0"/>
              <w:marRight w:val="0"/>
              <w:marTop w:val="0"/>
              <w:marBottom w:val="0"/>
              <w:divBdr>
                <w:top w:val="none" w:sz="0" w:space="0" w:color="auto"/>
                <w:left w:val="none" w:sz="0" w:space="0" w:color="auto"/>
                <w:bottom w:val="none" w:sz="0" w:space="0" w:color="auto"/>
                <w:right w:val="none" w:sz="0" w:space="0" w:color="auto"/>
              </w:divBdr>
              <w:divsChild>
                <w:div w:id="53895792">
                  <w:marLeft w:val="0"/>
                  <w:marRight w:val="0"/>
                  <w:marTop w:val="0"/>
                  <w:marBottom w:val="0"/>
                  <w:divBdr>
                    <w:top w:val="none" w:sz="0" w:space="0" w:color="auto"/>
                    <w:left w:val="none" w:sz="0" w:space="0" w:color="auto"/>
                    <w:bottom w:val="none" w:sz="0" w:space="0" w:color="auto"/>
                    <w:right w:val="none" w:sz="0" w:space="0" w:color="auto"/>
                  </w:divBdr>
                  <w:divsChild>
                    <w:div w:id="1839886507">
                      <w:marLeft w:val="0"/>
                      <w:marRight w:val="0"/>
                      <w:marTop w:val="0"/>
                      <w:marBottom w:val="0"/>
                      <w:divBdr>
                        <w:top w:val="none" w:sz="0" w:space="0" w:color="auto"/>
                        <w:left w:val="none" w:sz="0" w:space="0" w:color="auto"/>
                        <w:bottom w:val="none" w:sz="0" w:space="0" w:color="auto"/>
                        <w:right w:val="none" w:sz="0" w:space="0" w:color="auto"/>
                      </w:divBdr>
                      <w:divsChild>
                        <w:div w:id="585918090">
                          <w:marLeft w:val="0"/>
                          <w:marRight w:val="0"/>
                          <w:marTop w:val="150"/>
                          <w:marBottom w:val="0"/>
                          <w:divBdr>
                            <w:top w:val="none" w:sz="0" w:space="0" w:color="auto"/>
                            <w:left w:val="none" w:sz="0" w:space="0" w:color="auto"/>
                            <w:bottom w:val="none" w:sz="0" w:space="0" w:color="auto"/>
                            <w:right w:val="none" w:sz="0" w:space="0" w:color="auto"/>
                          </w:divBdr>
                          <w:divsChild>
                            <w:div w:id="1616667746">
                              <w:marLeft w:val="0"/>
                              <w:marRight w:val="0"/>
                              <w:marTop w:val="0"/>
                              <w:marBottom w:val="0"/>
                              <w:divBdr>
                                <w:top w:val="none" w:sz="0" w:space="0" w:color="auto"/>
                                <w:left w:val="none" w:sz="0" w:space="0" w:color="auto"/>
                                <w:bottom w:val="none" w:sz="0" w:space="0" w:color="auto"/>
                                <w:right w:val="none" w:sz="0" w:space="0" w:color="auto"/>
                              </w:divBdr>
                              <w:divsChild>
                                <w:div w:id="96219248">
                                  <w:marLeft w:val="0"/>
                                  <w:marRight w:val="0"/>
                                  <w:marTop w:val="0"/>
                                  <w:marBottom w:val="0"/>
                                  <w:divBdr>
                                    <w:top w:val="none" w:sz="0" w:space="0" w:color="auto"/>
                                    <w:left w:val="none" w:sz="0" w:space="0" w:color="auto"/>
                                    <w:bottom w:val="none" w:sz="0" w:space="0" w:color="auto"/>
                                    <w:right w:val="none" w:sz="0" w:space="0" w:color="auto"/>
                                  </w:divBdr>
                                  <w:divsChild>
                                    <w:div w:id="59913376">
                                      <w:marLeft w:val="0"/>
                                      <w:marRight w:val="0"/>
                                      <w:marTop w:val="0"/>
                                      <w:marBottom w:val="0"/>
                                      <w:divBdr>
                                        <w:top w:val="none" w:sz="0" w:space="0" w:color="auto"/>
                                        <w:left w:val="none" w:sz="0" w:space="0" w:color="auto"/>
                                        <w:bottom w:val="none" w:sz="0" w:space="0" w:color="auto"/>
                                        <w:right w:val="none" w:sz="0" w:space="0" w:color="auto"/>
                                      </w:divBdr>
                                      <w:divsChild>
                                        <w:div w:id="987637322">
                                          <w:marLeft w:val="0"/>
                                          <w:marRight w:val="0"/>
                                          <w:marTop w:val="0"/>
                                          <w:marBottom w:val="0"/>
                                          <w:divBdr>
                                            <w:top w:val="none" w:sz="0" w:space="0" w:color="auto"/>
                                            <w:left w:val="none" w:sz="0" w:space="0" w:color="auto"/>
                                            <w:bottom w:val="none" w:sz="0" w:space="0" w:color="auto"/>
                                            <w:right w:val="none" w:sz="0" w:space="0" w:color="auto"/>
                                          </w:divBdr>
                                          <w:divsChild>
                                            <w:div w:id="307444978">
                                              <w:marLeft w:val="0"/>
                                              <w:marRight w:val="0"/>
                                              <w:marTop w:val="0"/>
                                              <w:marBottom w:val="0"/>
                                              <w:divBdr>
                                                <w:top w:val="none" w:sz="0" w:space="0" w:color="auto"/>
                                                <w:left w:val="none" w:sz="0" w:space="0" w:color="auto"/>
                                                <w:bottom w:val="none" w:sz="0" w:space="0" w:color="auto"/>
                                                <w:right w:val="none" w:sz="0" w:space="0" w:color="auto"/>
                                              </w:divBdr>
                                              <w:divsChild>
                                                <w:div w:id="439765611">
                                                  <w:marLeft w:val="0"/>
                                                  <w:marRight w:val="0"/>
                                                  <w:marTop w:val="0"/>
                                                  <w:marBottom w:val="0"/>
                                                  <w:divBdr>
                                                    <w:top w:val="none" w:sz="0" w:space="0" w:color="auto"/>
                                                    <w:left w:val="none" w:sz="0" w:space="0" w:color="auto"/>
                                                    <w:bottom w:val="none" w:sz="0" w:space="0" w:color="auto"/>
                                                    <w:right w:val="none" w:sz="0" w:space="0" w:color="auto"/>
                                                  </w:divBdr>
                                                  <w:divsChild>
                                                    <w:div w:id="1236863951">
                                                      <w:marLeft w:val="0"/>
                                                      <w:marRight w:val="0"/>
                                                      <w:marTop w:val="0"/>
                                                      <w:marBottom w:val="0"/>
                                                      <w:divBdr>
                                                        <w:top w:val="none" w:sz="0" w:space="0" w:color="auto"/>
                                                        <w:left w:val="none" w:sz="0" w:space="0" w:color="auto"/>
                                                        <w:bottom w:val="none" w:sz="0" w:space="0" w:color="auto"/>
                                                        <w:right w:val="none" w:sz="0" w:space="0" w:color="auto"/>
                                                      </w:divBdr>
                                                      <w:divsChild>
                                                        <w:div w:id="1379163438">
                                                          <w:marLeft w:val="0"/>
                                                          <w:marRight w:val="0"/>
                                                          <w:marTop w:val="0"/>
                                                          <w:marBottom w:val="0"/>
                                                          <w:divBdr>
                                                            <w:top w:val="none" w:sz="0" w:space="0" w:color="auto"/>
                                                            <w:left w:val="none" w:sz="0" w:space="0" w:color="auto"/>
                                                            <w:bottom w:val="none" w:sz="0" w:space="0" w:color="auto"/>
                                                            <w:right w:val="none" w:sz="0" w:space="0" w:color="auto"/>
                                                          </w:divBdr>
                                                          <w:divsChild>
                                                            <w:div w:id="874661565">
                                                              <w:marLeft w:val="0"/>
                                                              <w:marRight w:val="0"/>
                                                              <w:marTop w:val="0"/>
                                                              <w:marBottom w:val="0"/>
                                                              <w:divBdr>
                                                                <w:top w:val="none" w:sz="0" w:space="0" w:color="auto"/>
                                                                <w:left w:val="none" w:sz="0" w:space="0" w:color="auto"/>
                                                                <w:bottom w:val="none" w:sz="0" w:space="0" w:color="auto"/>
                                                                <w:right w:val="none" w:sz="0" w:space="0" w:color="auto"/>
                                                              </w:divBdr>
                                                              <w:divsChild>
                                                                <w:div w:id="298608842">
                                                                  <w:marLeft w:val="0"/>
                                                                  <w:marRight w:val="0"/>
                                                                  <w:marTop w:val="0"/>
                                                                  <w:marBottom w:val="0"/>
                                                                  <w:divBdr>
                                                                    <w:top w:val="none" w:sz="0" w:space="0" w:color="auto"/>
                                                                    <w:left w:val="none" w:sz="0" w:space="0" w:color="auto"/>
                                                                    <w:bottom w:val="none" w:sz="0" w:space="0" w:color="auto"/>
                                                                    <w:right w:val="none" w:sz="0" w:space="0" w:color="auto"/>
                                                                  </w:divBdr>
                                                                  <w:divsChild>
                                                                    <w:div w:id="19094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2722255">
          <w:marLeft w:val="4200"/>
          <w:marRight w:val="4200"/>
          <w:marTop w:val="300"/>
          <w:marBottom w:val="600"/>
          <w:divBdr>
            <w:top w:val="none" w:sz="0" w:space="0" w:color="auto"/>
            <w:left w:val="none" w:sz="0" w:space="0" w:color="auto"/>
            <w:bottom w:val="none" w:sz="0" w:space="0" w:color="auto"/>
            <w:right w:val="none" w:sz="0" w:space="0" w:color="auto"/>
          </w:divBdr>
          <w:divsChild>
            <w:div w:id="565650639">
              <w:marLeft w:val="225"/>
              <w:marRight w:val="225"/>
              <w:marTop w:val="0"/>
              <w:marBottom w:val="0"/>
              <w:divBdr>
                <w:top w:val="none" w:sz="0" w:space="0" w:color="auto"/>
                <w:left w:val="none" w:sz="0" w:space="0" w:color="auto"/>
                <w:bottom w:val="none" w:sz="0" w:space="0" w:color="auto"/>
                <w:right w:val="none" w:sz="0" w:space="0" w:color="auto"/>
              </w:divBdr>
              <w:divsChild>
                <w:div w:id="1504279051">
                  <w:marLeft w:val="0"/>
                  <w:marRight w:val="0"/>
                  <w:marTop w:val="0"/>
                  <w:marBottom w:val="0"/>
                  <w:divBdr>
                    <w:top w:val="none" w:sz="0" w:space="0" w:color="auto"/>
                    <w:left w:val="none" w:sz="0" w:space="0" w:color="auto"/>
                    <w:bottom w:val="none" w:sz="0" w:space="0" w:color="auto"/>
                    <w:right w:val="none" w:sz="0" w:space="0" w:color="auto"/>
                  </w:divBdr>
                </w:div>
              </w:divsChild>
            </w:div>
            <w:div w:id="1309213837">
              <w:marLeft w:val="0"/>
              <w:marRight w:val="0"/>
              <w:marTop w:val="0"/>
              <w:marBottom w:val="0"/>
              <w:divBdr>
                <w:top w:val="none" w:sz="0" w:space="0" w:color="auto"/>
                <w:left w:val="none" w:sz="0" w:space="0" w:color="auto"/>
                <w:bottom w:val="none" w:sz="0" w:space="0" w:color="auto"/>
                <w:right w:val="none" w:sz="0" w:space="0" w:color="auto"/>
              </w:divBdr>
              <w:divsChild>
                <w:div w:id="356126243">
                  <w:marLeft w:val="0"/>
                  <w:marRight w:val="0"/>
                  <w:marTop w:val="0"/>
                  <w:marBottom w:val="0"/>
                  <w:divBdr>
                    <w:top w:val="none" w:sz="0" w:space="0" w:color="auto"/>
                    <w:left w:val="none" w:sz="0" w:space="0" w:color="auto"/>
                    <w:bottom w:val="none" w:sz="0" w:space="0" w:color="auto"/>
                    <w:right w:val="none" w:sz="0" w:space="0" w:color="auto"/>
                  </w:divBdr>
                  <w:divsChild>
                    <w:div w:id="996113384">
                      <w:marLeft w:val="0"/>
                      <w:marRight w:val="0"/>
                      <w:marTop w:val="0"/>
                      <w:marBottom w:val="0"/>
                      <w:divBdr>
                        <w:top w:val="none" w:sz="0" w:space="0" w:color="auto"/>
                        <w:left w:val="none" w:sz="0" w:space="0" w:color="auto"/>
                        <w:bottom w:val="none" w:sz="0" w:space="0" w:color="auto"/>
                        <w:right w:val="none" w:sz="0" w:space="0" w:color="auto"/>
                      </w:divBdr>
                      <w:divsChild>
                        <w:div w:id="659508938">
                          <w:marLeft w:val="0"/>
                          <w:marRight w:val="0"/>
                          <w:marTop w:val="150"/>
                          <w:marBottom w:val="0"/>
                          <w:divBdr>
                            <w:top w:val="none" w:sz="0" w:space="0" w:color="auto"/>
                            <w:left w:val="none" w:sz="0" w:space="0" w:color="auto"/>
                            <w:bottom w:val="none" w:sz="0" w:space="0" w:color="auto"/>
                            <w:right w:val="none" w:sz="0" w:space="0" w:color="auto"/>
                          </w:divBdr>
                          <w:divsChild>
                            <w:div w:id="1263103405">
                              <w:marLeft w:val="0"/>
                              <w:marRight w:val="0"/>
                              <w:marTop w:val="0"/>
                              <w:marBottom w:val="0"/>
                              <w:divBdr>
                                <w:top w:val="none" w:sz="0" w:space="0" w:color="auto"/>
                                <w:left w:val="none" w:sz="0" w:space="0" w:color="auto"/>
                                <w:bottom w:val="none" w:sz="0" w:space="0" w:color="auto"/>
                                <w:right w:val="none" w:sz="0" w:space="0" w:color="auto"/>
                              </w:divBdr>
                              <w:divsChild>
                                <w:div w:id="1955363917">
                                  <w:marLeft w:val="0"/>
                                  <w:marRight w:val="0"/>
                                  <w:marTop w:val="0"/>
                                  <w:marBottom w:val="0"/>
                                  <w:divBdr>
                                    <w:top w:val="none" w:sz="0" w:space="0" w:color="auto"/>
                                    <w:left w:val="none" w:sz="0" w:space="0" w:color="auto"/>
                                    <w:bottom w:val="none" w:sz="0" w:space="0" w:color="auto"/>
                                    <w:right w:val="none" w:sz="0" w:space="0" w:color="auto"/>
                                  </w:divBdr>
                                  <w:divsChild>
                                    <w:div w:id="2040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915581">
      <w:bodyDiv w:val="1"/>
      <w:marLeft w:val="0"/>
      <w:marRight w:val="0"/>
      <w:marTop w:val="0"/>
      <w:marBottom w:val="0"/>
      <w:divBdr>
        <w:top w:val="none" w:sz="0" w:space="0" w:color="auto"/>
        <w:left w:val="none" w:sz="0" w:space="0" w:color="auto"/>
        <w:bottom w:val="none" w:sz="0" w:space="0" w:color="auto"/>
        <w:right w:val="none" w:sz="0" w:space="0" w:color="auto"/>
      </w:divBdr>
    </w:div>
    <w:div w:id="1355308546">
      <w:bodyDiv w:val="1"/>
      <w:marLeft w:val="0"/>
      <w:marRight w:val="0"/>
      <w:marTop w:val="0"/>
      <w:marBottom w:val="0"/>
      <w:divBdr>
        <w:top w:val="none" w:sz="0" w:space="0" w:color="auto"/>
        <w:left w:val="none" w:sz="0" w:space="0" w:color="auto"/>
        <w:bottom w:val="none" w:sz="0" w:space="0" w:color="auto"/>
        <w:right w:val="none" w:sz="0" w:space="0" w:color="auto"/>
      </w:divBdr>
      <w:divsChild>
        <w:div w:id="553273141">
          <w:marLeft w:val="0"/>
          <w:marRight w:val="0"/>
          <w:marTop w:val="0"/>
          <w:marBottom w:val="0"/>
          <w:divBdr>
            <w:top w:val="none" w:sz="0" w:space="0" w:color="auto"/>
            <w:left w:val="none" w:sz="0" w:space="0" w:color="auto"/>
            <w:bottom w:val="none" w:sz="0" w:space="0" w:color="auto"/>
            <w:right w:val="none" w:sz="0" w:space="0" w:color="auto"/>
          </w:divBdr>
          <w:divsChild>
            <w:div w:id="1123302795">
              <w:marLeft w:val="0"/>
              <w:marRight w:val="0"/>
              <w:marTop w:val="0"/>
              <w:marBottom w:val="0"/>
              <w:divBdr>
                <w:top w:val="none" w:sz="0" w:space="0" w:color="auto"/>
                <w:left w:val="none" w:sz="0" w:space="0" w:color="auto"/>
                <w:bottom w:val="none" w:sz="0" w:space="0" w:color="auto"/>
                <w:right w:val="none" w:sz="0" w:space="0" w:color="auto"/>
              </w:divBdr>
              <w:divsChild>
                <w:div w:id="579103770">
                  <w:marLeft w:val="0"/>
                  <w:marRight w:val="0"/>
                  <w:marTop w:val="0"/>
                  <w:marBottom w:val="0"/>
                  <w:divBdr>
                    <w:top w:val="none" w:sz="0" w:space="0" w:color="auto"/>
                    <w:left w:val="none" w:sz="0" w:space="0" w:color="auto"/>
                    <w:bottom w:val="none" w:sz="0" w:space="0" w:color="auto"/>
                    <w:right w:val="none" w:sz="0" w:space="0" w:color="auto"/>
                  </w:divBdr>
                  <w:divsChild>
                    <w:div w:id="1074012597">
                      <w:marLeft w:val="0"/>
                      <w:marRight w:val="0"/>
                      <w:marTop w:val="0"/>
                      <w:marBottom w:val="0"/>
                      <w:divBdr>
                        <w:top w:val="none" w:sz="0" w:space="0" w:color="auto"/>
                        <w:left w:val="none" w:sz="0" w:space="0" w:color="auto"/>
                        <w:bottom w:val="none" w:sz="0" w:space="0" w:color="auto"/>
                        <w:right w:val="none" w:sz="0" w:space="0" w:color="auto"/>
                      </w:divBdr>
                      <w:divsChild>
                        <w:div w:id="2012220261">
                          <w:marLeft w:val="0"/>
                          <w:marRight w:val="0"/>
                          <w:marTop w:val="0"/>
                          <w:marBottom w:val="0"/>
                          <w:divBdr>
                            <w:top w:val="none" w:sz="0" w:space="0" w:color="auto"/>
                            <w:left w:val="none" w:sz="0" w:space="0" w:color="auto"/>
                            <w:bottom w:val="none" w:sz="0" w:space="0" w:color="auto"/>
                            <w:right w:val="none" w:sz="0" w:space="0" w:color="auto"/>
                          </w:divBdr>
                          <w:divsChild>
                            <w:div w:id="1040744390">
                              <w:marLeft w:val="0"/>
                              <w:marRight w:val="0"/>
                              <w:marTop w:val="0"/>
                              <w:marBottom w:val="0"/>
                              <w:divBdr>
                                <w:top w:val="none" w:sz="0" w:space="0" w:color="auto"/>
                                <w:left w:val="none" w:sz="0" w:space="0" w:color="auto"/>
                                <w:bottom w:val="none" w:sz="0" w:space="0" w:color="auto"/>
                                <w:right w:val="none" w:sz="0" w:space="0" w:color="auto"/>
                              </w:divBdr>
                              <w:divsChild>
                                <w:div w:id="1993365011">
                                  <w:marLeft w:val="0"/>
                                  <w:marRight w:val="0"/>
                                  <w:marTop w:val="0"/>
                                  <w:marBottom w:val="0"/>
                                  <w:divBdr>
                                    <w:top w:val="none" w:sz="0" w:space="0" w:color="auto"/>
                                    <w:left w:val="none" w:sz="0" w:space="0" w:color="auto"/>
                                    <w:bottom w:val="none" w:sz="0" w:space="0" w:color="auto"/>
                                    <w:right w:val="none" w:sz="0" w:space="0" w:color="auto"/>
                                  </w:divBdr>
                                  <w:divsChild>
                                    <w:div w:id="483859855">
                                      <w:marLeft w:val="0"/>
                                      <w:marRight w:val="0"/>
                                      <w:marTop w:val="0"/>
                                      <w:marBottom w:val="0"/>
                                      <w:divBdr>
                                        <w:top w:val="none" w:sz="0" w:space="0" w:color="auto"/>
                                        <w:left w:val="none" w:sz="0" w:space="0" w:color="auto"/>
                                        <w:bottom w:val="none" w:sz="0" w:space="0" w:color="auto"/>
                                        <w:right w:val="none" w:sz="0" w:space="0" w:color="auto"/>
                                      </w:divBdr>
                                      <w:divsChild>
                                        <w:div w:id="1828469635">
                                          <w:marLeft w:val="0"/>
                                          <w:marRight w:val="0"/>
                                          <w:marTop w:val="0"/>
                                          <w:marBottom w:val="0"/>
                                          <w:divBdr>
                                            <w:top w:val="none" w:sz="0" w:space="0" w:color="auto"/>
                                            <w:left w:val="none" w:sz="0" w:space="0" w:color="auto"/>
                                            <w:bottom w:val="none" w:sz="0" w:space="0" w:color="auto"/>
                                            <w:right w:val="none" w:sz="0" w:space="0" w:color="auto"/>
                                          </w:divBdr>
                                          <w:divsChild>
                                            <w:div w:id="1022897975">
                                              <w:marLeft w:val="0"/>
                                              <w:marRight w:val="0"/>
                                              <w:marTop w:val="0"/>
                                              <w:marBottom w:val="0"/>
                                              <w:divBdr>
                                                <w:top w:val="none" w:sz="0" w:space="0" w:color="auto"/>
                                                <w:left w:val="none" w:sz="0" w:space="0" w:color="auto"/>
                                                <w:bottom w:val="none" w:sz="0" w:space="0" w:color="auto"/>
                                                <w:right w:val="none" w:sz="0" w:space="0" w:color="auto"/>
                                              </w:divBdr>
                                              <w:divsChild>
                                                <w:div w:id="1007170782">
                                                  <w:marLeft w:val="0"/>
                                                  <w:marRight w:val="0"/>
                                                  <w:marTop w:val="0"/>
                                                  <w:marBottom w:val="0"/>
                                                  <w:divBdr>
                                                    <w:top w:val="none" w:sz="0" w:space="0" w:color="auto"/>
                                                    <w:left w:val="none" w:sz="0" w:space="0" w:color="auto"/>
                                                    <w:bottom w:val="none" w:sz="0" w:space="0" w:color="auto"/>
                                                    <w:right w:val="none" w:sz="0" w:space="0" w:color="auto"/>
                                                  </w:divBdr>
                                                  <w:divsChild>
                                                    <w:div w:id="1545407203">
                                                      <w:marLeft w:val="0"/>
                                                      <w:marRight w:val="0"/>
                                                      <w:marTop w:val="0"/>
                                                      <w:marBottom w:val="0"/>
                                                      <w:divBdr>
                                                        <w:top w:val="none" w:sz="0" w:space="0" w:color="auto"/>
                                                        <w:left w:val="none" w:sz="0" w:space="0" w:color="auto"/>
                                                        <w:bottom w:val="none" w:sz="0" w:space="0" w:color="auto"/>
                                                        <w:right w:val="none" w:sz="0" w:space="0" w:color="auto"/>
                                                      </w:divBdr>
                                                      <w:divsChild>
                                                        <w:div w:id="1444500257">
                                                          <w:marLeft w:val="0"/>
                                                          <w:marRight w:val="0"/>
                                                          <w:marTop w:val="0"/>
                                                          <w:marBottom w:val="0"/>
                                                          <w:divBdr>
                                                            <w:top w:val="none" w:sz="0" w:space="0" w:color="auto"/>
                                                            <w:left w:val="none" w:sz="0" w:space="0" w:color="auto"/>
                                                            <w:bottom w:val="none" w:sz="0" w:space="0" w:color="auto"/>
                                                            <w:right w:val="none" w:sz="0" w:space="0" w:color="auto"/>
                                                          </w:divBdr>
                                                        </w:div>
                                                        <w:div w:id="1398820195">
                                                          <w:marLeft w:val="0"/>
                                                          <w:marRight w:val="0"/>
                                                          <w:marTop w:val="0"/>
                                                          <w:marBottom w:val="0"/>
                                                          <w:divBdr>
                                                            <w:top w:val="none" w:sz="0" w:space="0" w:color="auto"/>
                                                            <w:left w:val="none" w:sz="0" w:space="0" w:color="auto"/>
                                                            <w:bottom w:val="none" w:sz="0" w:space="0" w:color="auto"/>
                                                            <w:right w:val="none" w:sz="0" w:space="0" w:color="auto"/>
                                                          </w:divBdr>
                                                          <w:divsChild>
                                                            <w:div w:id="528979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5425693">
      <w:bodyDiv w:val="1"/>
      <w:marLeft w:val="0"/>
      <w:marRight w:val="0"/>
      <w:marTop w:val="0"/>
      <w:marBottom w:val="0"/>
      <w:divBdr>
        <w:top w:val="none" w:sz="0" w:space="0" w:color="auto"/>
        <w:left w:val="none" w:sz="0" w:space="0" w:color="auto"/>
        <w:bottom w:val="none" w:sz="0" w:space="0" w:color="auto"/>
        <w:right w:val="none" w:sz="0" w:space="0" w:color="auto"/>
      </w:divBdr>
      <w:divsChild>
        <w:div w:id="543949019">
          <w:marLeft w:val="2400"/>
          <w:marRight w:val="0"/>
          <w:marTop w:val="0"/>
          <w:marBottom w:val="0"/>
          <w:divBdr>
            <w:top w:val="none" w:sz="0" w:space="0" w:color="auto"/>
            <w:left w:val="none" w:sz="0" w:space="0" w:color="auto"/>
            <w:bottom w:val="none" w:sz="0" w:space="0" w:color="auto"/>
            <w:right w:val="none" w:sz="0" w:space="0" w:color="auto"/>
          </w:divBdr>
          <w:divsChild>
            <w:div w:id="938563858">
              <w:marLeft w:val="0"/>
              <w:marRight w:val="0"/>
              <w:marTop w:val="0"/>
              <w:marBottom w:val="0"/>
              <w:divBdr>
                <w:top w:val="none" w:sz="0" w:space="0" w:color="auto"/>
                <w:left w:val="none" w:sz="0" w:space="0" w:color="auto"/>
                <w:bottom w:val="none" w:sz="0" w:space="0" w:color="auto"/>
                <w:right w:val="none" w:sz="0" w:space="0" w:color="auto"/>
              </w:divBdr>
              <w:divsChild>
                <w:div w:id="1551570206">
                  <w:marLeft w:val="0"/>
                  <w:marRight w:val="0"/>
                  <w:marTop w:val="0"/>
                  <w:marBottom w:val="0"/>
                  <w:divBdr>
                    <w:top w:val="none" w:sz="0" w:space="0" w:color="auto"/>
                    <w:left w:val="none" w:sz="0" w:space="0" w:color="auto"/>
                    <w:bottom w:val="none" w:sz="0" w:space="0" w:color="auto"/>
                    <w:right w:val="none" w:sz="0" w:space="0" w:color="auto"/>
                  </w:divBdr>
                  <w:divsChild>
                    <w:div w:id="1719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924417">
      <w:bodyDiv w:val="1"/>
      <w:marLeft w:val="0"/>
      <w:marRight w:val="0"/>
      <w:marTop w:val="0"/>
      <w:marBottom w:val="0"/>
      <w:divBdr>
        <w:top w:val="none" w:sz="0" w:space="0" w:color="auto"/>
        <w:left w:val="none" w:sz="0" w:space="0" w:color="auto"/>
        <w:bottom w:val="none" w:sz="0" w:space="0" w:color="auto"/>
        <w:right w:val="none" w:sz="0" w:space="0" w:color="auto"/>
      </w:divBdr>
      <w:divsChild>
        <w:div w:id="982274466">
          <w:marLeft w:val="0"/>
          <w:marRight w:val="0"/>
          <w:marTop w:val="0"/>
          <w:marBottom w:val="0"/>
          <w:divBdr>
            <w:top w:val="none" w:sz="0" w:space="0" w:color="auto"/>
            <w:left w:val="none" w:sz="0" w:space="0" w:color="auto"/>
            <w:bottom w:val="none" w:sz="0" w:space="0" w:color="auto"/>
            <w:right w:val="none" w:sz="0" w:space="0" w:color="auto"/>
          </w:divBdr>
          <w:divsChild>
            <w:div w:id="442967111">
              <w:marLeft w:val="0"/>
              <w:marRight w:val="0"/>
              <w:marTop w:val="0"/>
              <w:marBottom w:val="0"/>
              <w:divBdr>
                <w:top w:val="none" w:sz="0" w:space="0" w:color="auto"/>
                <w:left w:val="none" w:sz="0" w:space="0" w:color="auto"/>
                <w:bottom w:val="none" w:sz="0" w:space="0" w:color="auto"/>
                <w:right w:val="none" w:sz="0" w:space="0" w:color="auto"/>
              </w:divBdr>
              <w:divsChild>
                <w:div w:id="910236868">
                  <w:marLeft w:val="0"/>
                  <w:marRight w:val="0"/>
                  <w:marTop w:val="0"/>
                  <w:marBottom w:val="0"/>
                  <w:divBdr>
                    <w:top w:val="none" w:sz="0" w:space="0" w:color="auto"/>
                    <w:left w:val="none" w:sz="0" w:space="0" w:color="auto"/>
                    <w:bottom w:val="none" w:sz="0" w:space="0" w:color="auto"/>
                    <w:right w:val="none" w:sz="0" w:space="0" w:color="auto"/>
                  </w:divBdr>
                  <w:divsChild>
                    <w:div w:id="274868992">
                      <w:marLeft w:val="0"/>
                      <w:marRight w:val="0"/>
                      <w:marTop w:val="0"/>
                      <w:marBottom w:val="0"/>
                      <w:divBdr>
                        <w:top w:val="none" w:sz="0" w:space="0" w:color="auto"/>
                        <w:left w:val="none" w:sz="0" w:space="0" w:color="auto"/>
                        <w:bottom w:val="none" w:sz="0" w:space="0" w:color="auto"/>
                        <w:right w:val="none" w:sz="0" w:space="0" w:color="auto"/>
                      </w:divBdr>
                      <w:divsChild>
                        <w:div w:id="1859611452">
                          <w:marLeft w:val="0"/>
                          <w:marRight w:val="0"/>
                          <w:marTop w:val="0"/>
                          <w:marBottom w:val="0"/>
                          <w:divBdr>
                            <w:top w:val="none" w:sz="0" w:space="0" w:color="auto"/>
                            <w:left w:val="none" w:sz="0" w:space="0" w:color="auto"/>
                            <w:bottom w:val="none" w:sz="0" w:space="0" w:color="auto"/>
                            <w:right w:val="none" w:sz="0" w:space="0" w:color="auto"/>
                          </w:divBdr>
                          <w:divsChild>
                            <w:div w:id="160656184">
                              <w:marLeft w:val="0"/>
                              <w:marRight w:val="0"/>
                              <w:marTop w:val="0"/>
                              <w:marBottom w:val="0"/>
                              <w:divBdr>
                                <w:top w:val="none" w:sz="0" w:space="0" w:color="auto"/>
                                <w:left w:val="none" w:sz="0" w:space="0" w:color="auto"/>
                                <w:bottom w:val="none" w:sz="0" w:space="0" w:color="auto"/>
                                <w:right w:val="none" w:sz="0" w:space="0" w:color="auto"/>
                              </w:divBdr>
                              <w:divsChild>
                                <w:div w:id="1538662703">
                                  <w:marLeft w:val="-225"/>
                                  <w:marRight w:val="-225"/>
                                  <w:marTop w:val="0"/>
                                  <w:marBottom w:val="0"/>
                                  <w:divBdr>
                                    <w:top w:val="none" w:sz="0" w:space="0" w:color="auto"/>
                                    <w:left w:val="none" w:sz="0" w:space="0" w:color="auto"/>
                                    <w:bottom w:val="none" w:sz="0" w:space="0" w:color="auto"/>
                                    <w:right w:val="none" w:sz="0" w:space="0" w:color="auto"/>
                                  </w:divBdr>
                                  <w:divsChild>
                                    <w:div w:id="1970351877">
                                      <w:marLeft w:val="0"/>
                                      <w:marRight w:val="0"/>
                                      <w:marTop w:val="0"/>
                                      <w:marBottom w:val="0"/>
                                      <w:divBdr>
                                        <w:top w:val="none" w:sz="0" w:space="0" w:color="auto"/>
                                        <w:left w:val="none" w:sz="0" w:space="0" w:color="auto"/>
                                        <w:bottom w:val="none" w:sz="0" w:space="0" w:color="auto"/>
                                        <w:right w:val="none" w:sz="0" w:space="0" w:color="auto"/>
                                      </w:divBdr>
                                      <w:divsChild>
                                        <w:div w:id="1190484074">
                                          <w:marLeft w:val="0"/>
                                          <w:marRight w:val="0"/>
                                          <w:marTop w:val="0"/>
                                          <w:marBottom w:val="0"/>
                                          <w:divBdr>
                                            <w:top w:val="none" w:sz="0" w:space="0" w:color="auto"/>
                                            <w:left w:val="none" w:sz="0" w:space="0" w:color="auto"/>
                                            <w:bottom w:val="none" w:sz="0" w:space="0" w:color="auto"/>
                                            <w:right w:val="none" w:sz="0" w:space="0" w:color="auto"/>
                                          </w:divBdr>
                                          <w:divsChild>
                                            <w:div w:id="1799107356">
                                              <w:marLeft w:val="0"/>
                                              <w:marRight w:val="0"/>
                                              <w:marTop w:val="0"/>
                                              <w:marBottom w:val="0"/>
                                              <w:divBdr>
                                                <w:top w:val="none" w:sz="0" w:space="0" w:color="auto"/>
                                                <w:left w:val="none" w:sz="0" w:space="0" w:color="auto"/>
                                                <w:bottom w:val="none" w:sz="0" w:space="0" w:color="auto"/>
                                                <w:right w:val="none" w:sz="0" w:space="0" w:color="auto"/>
                                              </w:divBdr>
                                              <w:divsChild>
                                                <w:div w:id="1333988399">
                                                  <w:marLeft w:val="0"/>
                                                  <w:marRight w:val="0"/>
                                                  <w:marTop w:val="0"/>
                                                  <w:marBottom w:val="0"/>
                                                  <w:divBdr>
                                                    <w:top w:val="none" w:sz="0" w:space="0" w:color="auto"/>
                                                    <w:left w:val="none" w:sz="0" w:space="0" w:color="auto"/>
                                                    <w:bottom w:val="none" w:sz="0" w:space="0" w:color="auto"/>
                                                    <w:right w:val="none" w:sz="0" w:space="0" w:color="auto"/>
                                                  </w:divBdr>
                                                  <w:divsChild>
                                                    <w:div w:id="1350176404">
                                                      <w:marLeft w:val="0"/>
                                                      <w:marRight w:val="0"/>
                                                      <w:marTop w:val="0"/>
                                                      <w:marBottom w:val="0"/>
                                                      <w:divBdr>
                                                        <w:top w:val="none" w:sz="0" w:space="0" w:color="auto"/>
                                                        <w:left w:val="none" w:sz="0" w:space="0" w:color="auto"/>
                                                        <w:bottom w:val="none" w:sz="0" w:space="0" w:color="auto"/>
                                                        <w:right w:val="none" w:sz="0" w:space="0" w:color="auto"/>
                                                      </w:divBdr>
                                                      <w:divsChild>
                                                        <w:div w:id="3615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7197250">
      <w:bodyDiv w:val="1"/>
      <w:marLeft w:val="0"/>
      <w:marRight w:val="0"/>
      <w:marTop w:val="0"/>
      <w:marBottom w:val="0"/>
      <w:divBdr>
        <w:top w:val="none" w:sz="0" w:space="0" w:color="auto"/>
        <w:left w:val="none" w:sz="0" w:space="0" w:color="auto"/>
        <w:bottom w:val="none" w:sz="0" w:space="0" w:color="auto"/>
        <w:right w:val="none" w:sz="0" w:space="0" w:color="auto"/>
      </w:divBdr>
      <w:divsChild>
        <w:div w:id="971210306">
          <w:marLeft w:val="0"/>
          <w:marRight w:val="0"/>
          <w:marTop w:val="150"/>
          <w:marBottom w:val="0"/>
          <w:divBdr>
            <w:top w:val="none" w:sz="0" w:space="0" w:color="auto"/>
            <w:left w:val="none" w:sz="0" w:space="0" w:color="auto"/>
            <w:bottom w:val="none" w:sz="0" w:space="0" w:color="auto"/>
            <w:right w:val="none" w:sz="0" w:space="0" w:color="auto"/>
          </w:divBdr>
          <w:divsChild>
            <w:div w:id="1750081696">
              <w:marLeft w:val="2"/>
              <w:marRight w:val="2"/>
              <w:marTop w:val="0"/>
              <w:marBottom w:val="0"/>
              <w:divBdr>
                <w:top w:val="none" w:sz="0" w:space="0" w:color="auto"/>
                <w:left w:val="none" w:sz="0" w:space="0" w:color="auto"/>
                <w:bottom w:val="none" w:sz="0" w:space="0" w:color="auto"/>
                <w:right w:val="none" w:sz="0" w:space="0" w:color="auto"/>
              </w:divBdr>
              <w:divsChild>
                <w:div w:id="1718776666">
                  <w:marLeft w:val="0"/>
                  <w:marRight w:val="0"/>
                  <w:marTop w:val="0"/>
                  <w:marBottom w:val="0"/>
                  <w:divBdr>
                    <w:top w:val="none" w:sz="0" w:space="0" w:color="auto"/>
                    <w:left w:val="none" w:sz="0" w:space="0" w:color="auto"/>
                    <w:bottom w:val="none" w:sz="0" w:space="0" w:color="auto"/>
                    <w:right w:val="none" w:sz="0" w:space="0" w:color="auto"/>
                  </w:divBdr>
                  <w:divsChild>
                    <w:div w:id="283078663">
                      <w:marLeft w:val="0"/>
                      <w:marRight w:val="0"/>
                      <w:marTop w:val="0"/>
                      <w:marBottom w:val="0"/>
                      <w:divBdr>
                        <w:top w:val="none" w:sz="0" w:space="0" w:color="auto"/>
                        <w:left w:val="none" w:sz="0" w:space="0" w:color="auto"/>
                        <w:bottom w:val="none" w:sz="0" w:space="0" w:color="auto"/>
                        <w:right w:val="none" w:sz="0" w:space="0" w:color="auto"/>
                      </w:divBdr>
                      <w:divsChild>
                        <w:div w:id="1819955700">
                          <w:marLeft w:val="0"/>
                          <w:marRight w:val="0"/>
                          <w:marTop w:val="0"/>
                          <w:marBottom w:val="0"/>
                          <w:divBdr>
                            <w:top w:val="none" w:sz="0" w:space="0" w:color="auto"/>
                            <w:left w:val="none" w:sz="0" w:space="0" w:color="auto"/>
                            <w:bottom w:val="none" w:sz="0" w:space="0" w:color="auto"/>
                            <w:right w:val="none" w:sz="0" w:space="0" w:color="auto"/>
                          </w:divBdr>
                          <w:divsChild>
                            <w:div w:id="137042251">
                              <w:marLeft w:val="0"/>
                              <w:marRight w:val="0"/>
                              <w:marTop w:val="0"/>
                              <w:marBottom w:val="0"/>
                              <w:divBdr>
                                <w:top w:val="none" w:sz="0" w:space="0" w:color="auto"/>
                                <w:left w:val="none" w:sz="0" w:space="0" w:color="auto"/>
                                <w:bottom w:val="none" w:sz="0" w:space="0" w:color="auto"/>
                                <w:right w:val="none" w:sz="0" w:space="0" w:color="auto"/>
                              </w:divBdr>
                              <w:divsChild>
                                <w:div w:id="69886583">
                                  <w:marLeft w:val="0"/>
                                  <w:marRight w:val="0"/>
                                  <w:marTop w:val="0"/>
                                  <w:marBottom w:val="0"/>
                                  <w:divBdr>
                                    <w:top w:val="none" w:sz="0" w:space="0" w:color="auto"/>
                                    <w:left w:val="none" w:sz="0" w:space="0" w:color="auto"/>
                                    <w:bottom w:val="none" w:sz="0" w:space="0" w:color="auto"/>
                                    <w:right w:val="none" w:sz="0" w:space="0" w:color="auto"/>
                                  </w:divBdr>
                                  <w:divsChild>
                                    <w:div w:id="1539658114">
                                      <w:marLeft w:val="0"/>
                                      <w:marRight w:val="0"/>
                                      <w:marTop w:val="0"/>
                                      <w:marBottom w:val="0"/>
                                      <w:divBdr>
                                        <w:top w:val="none" w:sz="0" w:space="0" w:color="auto"/>
                                        <w:left w:val="none" w:sz="0" w:space="0" w:color="auto"/>
                                        <w:bottom w:val="none" w:sz="0" w:space="0" w:color="auto"/>
                                        <w:right w:val="none" w:sz="0" w:space="0" w:color="auto"/>
                                      </w:divBdr>
                                      <w:divsChild>
                                        <w:div w:id="214241810">
                                          <w:marLeft w:val="0"/>
                                          <w:marRight w:val="0"/>
                                          <w:marTop w:val="0"/>
                                          <w:marBottom w:val="0"/>
                                          <w:divBdr>
                                            <w:top w:val="none" w:sz="0" w:space="0" w:color="auto"/>
                                            <w:left w:val="none" w:sz="0" w:space="0" w:color="auto"/>
                                            <w:bottom w:val="none" w:sz="0" w:space="0" w:color="auto"/>
                                            <w:right w:val="none" w:sz="0" w:space="0" w:color="auto"/>
                                          </w:divBdr>
                                          <w:divsChild>
                                            <w:div w:id="1459831803">
                                              <w:marLeft w:val="0"/>
                                              <w:marRight w:val="0"/>
                                              <w:marTop w:val="0"/>
                                              <w:marBottom w:val="0"/>
                                              <w:divBdr>
                                                <w:top w:val="none" w:sz="0" w:space="0" w:color="auto"/>
                                                <w:left w:val="none" w:sz="0" w:space="0" w:color="auto"/>
                                                <w:bottom w:val="none" w:sz="0" w:space="0" w:color="auto"/>
                                                <w:right w:val="none" w:sz="0" w:space="0" w:color="auto"/>
                                              </w:divBdr>
                                              <w:divsChild>
                                                <w:div w:id="1902596931">
                                                  <w:marLeft w:val="0"/>
                                                  <w:marRight w:val="0"/>
                                                  <w:marTop w:val="0"/>
                                                  <w:marBottom w:val="0"/>
                                                  <w:divBdr>
                                                    <w:top w:val="none" w:sz="0" w:space="0" w:color="auto"/>
                                                    <w:left w:val="none" w:sz="0" w:space="0" w:color="auto"/>
                                                    <w:bottom w:val="none" w:sz="0" w:space="0" w:color="auto"/>
                                                    <w:right w:val="none" w:sz="0" w:space="0" w:color="auto"/>
                                                  </w:divBdr>
                                                </w:div>
                                              </w:divsChild>
                                            </w:div>
                                            <w:div w:id="75171462">
                                              <w:marLeft w:val="0"/>
                                              <w:marRight w:val="0"/>
                                              <w:marTop w:val="0"/>
                                              <w:marBottom w:val="0"/>
                                              <w:divBdr>
                                                <w:top w:val="none" w:sz="0" w:space="0" w:color="auto"/>
                                                <w:left w:val="none" w:sz="0" w:space="0" w:color="auto"/>
                                                <w:bottom w:val="none" w:sz="0" w:space="0" w:color="auto"/>
                                                <w:right w:val="none" w:sz="0" w:space="0" w:color="auto"/>
                                              </w:divBdr>
                                              <w:divsChild>
                                                <w:div w:id="206722594">
                                                  <w:marLeft w:val="0"/>
                                                  <w:marRight w:val="0"/>
                                                  <w:marTop w:val="0"/>
                                                  <w:marBottom w:val="0"/>
                                                  <w:divBdr>
                                                    <w:top w:val="none" w:sz="0" w:space="0" w:color="auto"/>
                                                    <w:left w:val="none" w:sz="0" w:space="0" w:color="auto"/>
                                                    <w:bottom w:val="none" w:sz="0" w:space="0" w:color="auto"/>
                                                    <w:right w:val="none" w:sz="0" w:space="0" w:color="auto"/>
                                                  </w:divBdr>
                                                </w:div>
                                              </w:divsChild>
                                            </w:div>
                                            <w:div w:id="2054958559">
                                              <w:marLeft w:val="0"/>
                                              <w:marRight w:val="0"/>
                                              <w:marTop w:val="0"/>
                                              <w:marBottom w:val="0"/>
                                              <w:divBdr>
                                                <w:top w:val="none" w:sz="0" w:space="0" w:color="auto"/>
                                                <w:left w:val="none" w:sz="0" w:space="0" w:color="auto"/>
                                                <w:bottom w:val="none" w:sz="0" w:space="0" w:color="auto"/>
                                                <w:right w:val="none" w:sz="0" w:space="0" w:color="auto"/>
                                              </w:divBdr>
                                              <w:divsChild>
                                                <w:div w:id="1222667972">
                                                  <w:marLeft w:val="0"/>
                                                  <w:marRight w:val="0"/>
                                                  <w:marTop w:val="0"/>
                                                  <w:marBottom w:val="0"/>
                                                  <w:divBdr>
                                                    <w:top w:val="none" w:sz="0" w:space="0" w:color="auto"/>
                                                    <w:left w:val="none" w:sz="0" w:space="0" w:color="auto"/>
                                                    <w:bottom w:val="none" w:sz="0" w:space="0" w:color="auto"/>
                                                    <w:right w:val="none" w:sz="0" w:space="0" w:color="auto"/>
                                                  </w:divBdr>
                                                </w:div>
                                              </w:divsChild>
                                            </w:div>
                                            <w:div w:id="128322424">
                                              <w:marLeft w:val="0"/>
                                              <w:marRight w:val="0"/>
                                              <w:marTop w:val="0"/>
                                              <w:marBottom w:val="0"/>
                                              <w:divBdr>
                                                <w:top w:val="none" w:sz="0" w:space="0" w:color="auto"/>
                                                <w:left w:val="none" w:sz="0" w:space="0" w:color="auto"/>
                                                <w:bottom w:val="none" w:sz="0" w:space="0" w:color="auto"/>
                                                <w:right w:val="none" w:sz="0" w:space="0" w:color="auto"/>
                                              </w:divBdr>
                                              <w:divsChild>
                                                <w:div w:id="14416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535786">
      <w:bodyDiv w:val="1"/>
      <w:marLeft w:val="0"/>
      <w:marRight w:val="0"/>
      <w:marTop w:val="0"/>
      <w:marBottom w:val="0"/>
      <w:divBdr>
        <w:top w:val="none" w:sz="0" w:space="0" w:color="auto"/>
        <w:left w:val="none" w:sz="0" w:space="0" w:color="auto"/>
        <w:bottom w:val="none" w:sz="0" w:space="0" w:color="auto"/>
        <w:right w:val="none" w:sz="0" w:space="0" w:color="auto"/>
      </w:divBdr>
    </w:div>
    <w:div w:id="1357578665">
      <w:bodyDiv w:val="1"/>
      <w:marLeft w:val="0"/>
      <w:marRight w:val="0"/>
      <w:marTop w:val="0"/>
      <w:marBottom w:val="0"/>
      <w:divBdr>
        <w:top w:val="none" w:sz="0" w:space="0" w:color="auto"/>
        <w:left w:val="none" w:sz="0" w:space="0" w:color="auto"/>
        <w:bottom w:val="none" w:sz="0" w:space="0" w:color="auto"/>
        <w:right w:val="none" w:sz="0" w:space="0" w:color="auto"/>
      </w:divBdr>
      <w:divsChild>
        <w:div w:id="1919824264">
          <w:marLeft w:val="0"/>
          <w:marRight w:val="0"/>
          <w:marTop w:val="150"/>
          <w:marBottom w:val="0"/>
          <w:divBdr>
            <w:top w:val="none" w:sz="0" w:space="0" w:color="auto"/>
            <w:left w:val="none" w:sz="0" w:space="0" w:color="auto"/>
            <w:bottom w:val="none" w:sz="0" w:space="0" w:color="auto"/>
            <w:right w:val="none" w:sz="0" w:space="0" w:color="auto"/>
          </w:divBdr>
          <w:divsChild>
            <w:div w:id="1757286017">
              <w:marLeft w:val="2"/>
              <w:marRight w:val="2"/>
              <w:marTop w:val="0"/>
              <w:marBottom w:val="0"/>
              <w:divBdr>
                <w:top w:val="none" w:sz="0" w:space="0" w:color="auto"/>
                <w:left w:val="none" w:sz="0" w:space="0" w:color="auto"/>
                <w:bottom w:val="none" w:sz="0" w:space="0" w:color="auto"/>
                <w:right w:val="none" w:sz="0" w:space="0" w:color="auto"/>
              </w:divBdr>
              <w:divsChild>
                <w:div w:id="663314418">
                  <w:marLeft w:val="0"/>
                  <w:marRight w:val="0"/>
                  <w:marTop w:val="0"/>
                  <w:marBottom w:val="0"/>
                  <w:divBdr>
                    <w:top w:val="none" w:sz="0" w:space="0" w:color="auto"/>
                    <w:left w:val="none" w:sz="0" w:space="0" w:color="auto"/>
                    <w:bottom w:val="none" w:sz="0" w:space="0" w:color="auto"/>
                    <w:right w:val="none" w:sz="0" w:space="0" w:color="auto"/>
                  </w:divBdr>
                  <w:divsChild>
                    <w:div w:id="1968582533">
                      <w:marLeft w:val="0"/>
                      <w:marRight w:val="0"/>
                      <w:marTop w:val="0"/>
                      <w:marBottom w:val="0"/>
                      <w:divBdr>
                        <w:top w:val="none" w:sz="0" w:space="0" w:color="auto"/>
                        <w:left w:val="none" w:sz="0" w:space="0" w:color="auto"/>
                        <w:bottom w:val="none" w:sz="0" w:space="0" w:color="auto"/>
                        <w:right w:val="none" w:sz="0" w:space="0" w:color="auto"/>
                      </w:divBdr>
                      <w:divsChild>
                        <w:div w:id="1625192016">
                          <w:marLeft w:val="0"/>
                          <w:marRight w:val="0"/>
                          <w:marTop w:val="0"/>
                          <w:marBottom w:val="0"/>
                          <w:divBdr>
                            <w:top w:val="none" w:sz="0" w:space="0" w:color="auto"/>
                            <w:left w:val="none" w:sz="0" w:space="0" w:color="auto"/>
                            <w:bottom w:val="none" w:sz="0" w:space="0" w:color="auto"/>
                            <w:right w:val="none" w:sz="0" w:space="0" w:color="auto"/>
                          </w:divBdr>
                          <w:divsChild>
                            <w:div w:id="706835286">
                              <w:marLeft w:val="0"/>
                              <w:marRight w:val="0"/>
                              <w:marTop w:val="0"/>
                              <w:marBottom w:val="0"/>
                              <w:divBdr>
                                <w:top w:val="none" w:sz="0" w:space="0" w:color="auto"/>
                                <w:left w:val="none" w:sz="0" w:space="0" w:color="auto"/>
                                <w:bottom w:val="none" w:sz="0" w:space="0" w:color="auto"/>
                                <w:right w:val="none" w:sz="0" w:space="0" w:color="auto"/>
                              </w:divBdr>
                              <w:divsChild>
                                <w:div w:id="333265128">
                                  <w:marLeft w:val="0"/>
                                  <w:marRight w:val="0"/>
                                  <w:marTop w:val="0"/>
                                  <w:marBottom w:val="0"/>
                                  <w:divBdr>
                                    <w:top w:val="none" w:sz="0" w:space="0" w:color="auto"/>
                                    <w:left w:val="none" w:sz="0" w:space="0" w:color="auto"/>
                                    <w:bottom w:val="none" w:sz="0" w:space="0" w:color="auto"/>
                                    <w:right w:val="none" w:sz="0" w:space="0" w:color="auto"/>
                                  </w:divBdr>
                                  <w:divsChild>
                                    <w:div w:id="223490492">
                                      <w:marLeft w:val="0"/>
                                      <w:marRight w:val="0"/>
                                      <w:marTop w:val="0"/>
                                      <w:marBottom w:val="0"/>
                                      <w:divBdr>
                                        <w:top w:val="none" w:sz="0" w:space="0" w:color="auto"/>
                                        <w:left w:val="none" w:sz="0" w:space="0" w:color="auto"/>
                                        <w:bottom w:val="none" w:sz="0" w:space="0" w:color="auto"/>
                                        <w:right w:val="none" w:sz="0" w:space="0" w:color="auto"/>
                                      </w:divBdr>
                                      <w:divsChild>
                                        <w:div w:id="772675042">
                                          <w:marLeft w:val="0"/>
                                          <w:marRight w:val="0"/>
                                          <w:marTop w:val="0"/>
                                          <w:marBottom w:val="0"/>
                                          <w:divBdr>
                                            <w:top w:val="none" w:sz="0" w:space="0" w:color="auto"/>
                                            <w:left w:val="none" w:sz="0" w:space="0" w:color="auto"/>
                                            <w:bottom w:val="none" w:sz="0" w:space="0" w:color="auto"/>
                                            <w:right w:val="none" w:sz="0" w:space="0" w:color="auto"/>
                                          </w:divBdr>
                                          <w:divsChild>
                                            <w:div w:id="53629436">
                                              <w:marLeft w:val="0"/>
                                              <w:marRight w:val="0"/>
                                              <w:marTop w:val="0"/>
                                              <w:marBottom w:val="0"/>
                                              <w:divBdr>
                                                <w:top w:val="none" w:sz="0" w:space="0" w:color="auto"/>
                                                <w:left w:val="none" w:sz="0" w:space="0" w:color="auto"/>
                                                <w:bottom w:val="none" w:sz="0" w:space="0" w:color="auto"/>
                                                <w:right w:val="none" w:sz="0" w:space="0" w:color="auto"/>
                                              </w:divBdr>
                                              <w:divsChild>
                                                <w:div w:id="721755338">
                                                  <w:marLeft w:val="0"/>
                                                  <w:marRight w:val="0"/>
                                                  <w:marTop w:val="0"/>
                                                  <w:marBottom w:val="0"/>
                                                  <w:divBdr>
                                                    <w:top w:val="none" w:sz="0" w:space="0" w:color="auto"/>
                                                    <w:left w:val="none" w:sz="0" w:space="0" w:color="auto"/>
                                                    <w:bottom w:val="none" w:sz="0" w:space="0" w:color="auto"/>
                                                    <w:right w:val="none" w:sz="0" w:space="0" w:color="auto"/>
                                                  </w:divBdr>
                                                </w:div>
                                              </w:divsChild>
                                            </w:div>
                                            <w:div w:id="1032807067">
                                              <w:marLeft w:val="0"/>
                                              <w:marRight w:val="0"/>
                                              <w:marTop w:val="0"/>
                                              <w:marBottom w:val="0"/>
                                              <w:divBdr>
                                                <w:top w:val="none" w:sz="0" w:space="0" w:color="auto"/>
                                                <w:left w:val="none" w:sz="0" w:space="0" w:color="auto"/>
                                                <w:bottom w:val="none" w:sz="0" w:space="0" w:color="auto"/>
                                                <w:right w:val="none" w:sz="0" w:space="0" w:color="auto"/>
                                              </w:divBdr>
                                              <w:divsChild>
                                                <w:div w:id="1234437726">
                                                  <w:marLeft w:val="0"/>
                                                  <w:marRight w:val="0"/>
                                                  <w:marTop w:val="0"/>
                                                  <w:marBottom w:val="0"/>
                                                  <w:divBdr>
                                                    <w:top w:val="none" w:sz="0" w:space="0" w:color="auto"/>
                                                    <w:left w:val="none" w:sz="0" w:space="0" w:color="auto"/>
                                                    <w:bottom w:val="none" w:sz="0" w:space="0" w:color="auto"/>
                                                    <w:right w:val="none" w:sz="0" w:space="0" w:color="auto"/>
                                                  </w:divBdr>
                                                </w:div>
                                              </w:divsChild>
                                            </w:div>
                                            <w:div w:id="1658145255">
                                              <w:marLeft w:val="0"/>
                                              <w:marRight w:val="0"/>
                                              <w:marTop w:val="0"/>
                                              <w:marBottom w:val="0"/>
                                              <w:divBdr>
                                                <w:top w:val="none" w:sz="0" w:space="0" w:color="auto"/>
                                                <w:left w:val="none" w:sz="0" w:space="0" w:color="auto"/>
                                                <w:bottom w:val="none" w:sz="0" w:space="0" w:color="auto"/>
                                                <w:right w:val="none" w:sz="0" w:space="0" w:color="auto"/>
                                              </w:divBdr>
                                              <w:divsChild>
                                                <w:div w:id="1995454133">
                                                  <w:marLeft w:val="0"/>
                                                  <w:marRight w:val="0"/>
                                                  <w:marTop w:val="0"/>
                                                  <w:marBottom w:val="0"/>
                                                  <w:divBdr>
                                                    <w:top w:val="none" w:sz="0" w:space="0" w:color="auto"/>
                                                    <w:left w:val="none" w:sz="0" w:space="0" w:color="auto"/>
                                                    <w:bottom w:val="none" w:sz="0" w:space="0" w:color="auto"/>
                                                    <w:right w:val="none" w:sz="0" w:space="0" w:color="auto"/>
                                                  </w:divBdr>
                                                </w:div>
                                              </w:divsChild>
                                            </w:div>
                                            <w:div w:id="1546218805">
                                              <w:marLeft w:val="0"/>
                                              <w:marRight w:val="0"/>
                                              <w:marTop w:val="0"/>
                                              <w:marBottom w:val="0"/>
                                              <w:divBdr>
                                                <w:top w:val="none" w:sz="0" w:space="0" w:color="auto"/>
                                                <w:left w:val="none" w:sz="0" w:space="0" w:color="auto"/>
                                                <w:bottom w:val="none" w:sz="0" w:space="0" w:color="auto"/>
                                                <w:right w:val="none" w:sz="0" w:space="0" w:color="auto"/>
                                              </w:divBdr>
                                              <w:divsChild>
                                                <w:div w:id="11149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653198">
      <w:bodyDiv w:val="1"/>
      <w:marLeft w:val="0"/>
      <w:marRight w:val="0"/>
      <w:marTop w:val="0"/>
      <w:marBottom w:val="0"/>
      <w:divBdr>
        <w:top w:val="none" w:sz="0" w:space="0" w:color="auto"/>
        <w:left w:val="none" w:sz="0" w:space="0" w:color="auto"/>
        <w:bottom w:val="none" w:sz="0" w:space="0" w:color="auto"/>
        <w:right w:val="none" w:sz="0" w:space="0" w:color="auto"/>
      </w:divBdr>
      <w:divsChild>
        <w:div w:id="25716288">
          <w:marLeft w:val="0"/>
          <w:marRight w:val="0"/>
          <w:marTop w:val="0"/>
          <w:marBottom w:val="0"/>
          <w:divBdr>
            <w:top w:val="none" w:sz="0" w:space="0" w:color="auto"/>
            <w:left w:val="none" w:sz="0" w:space="0" w:color="auto"/>
            <w:bottom w:val="none" w:sz="0" w:space="0" w:color="auto"/>
            <w:right w:val="none" w:sz="0" w:space="0" w:color="auto"/>
          </w:divBdr>
        </w:div>
      </w:divsChild>
    </w:div>
    <w:div w:id="1359626123">
      <w:bodyDiv w:val="1"/>
      <w:marLeft w:val="0"/>
      <w:marRight w:val="0"/>
      <w:marTop w:val="0"/>
      <w:marBottom w:val="0"/>
      <w:divBdr>
        <w:top w:val="none" w:sz="0" w:space="0" w:color="auto"/>
        <w:left w:val="none" w:sz="0" w:space="0" w:color="auto"/>
        <w:bottom w:val="none" w:sz="0" w:space="0" w:color="auto"/>
        <w:right w:val="none" w:sz="0" w:space="0" w:color="auto"/>
      </w:divBdr>
      <w:divsChild>
        <w:div w:id="1714965915">
          <w:marLeft w:val="0"/>
          <w:marRight w:val="0"/>
          <w:marTop w:val="0"/>
          <w:marBottom w:val="0"/>
          <w:divBdr>
            <w:top w:val="none" w:sz="0" w:space="0" w:color="auto"/>
            <w:left w:val="none" w:sz="0" w:space="0" w:color="auto"/>
            <w:bottom w:val="none" w:sz="0" w:space="0" w:color="auto"/>
            <w:right w:val="none" w:sz="0" w:space="0" w:color="auto"/>
          </w:divBdr>
          <w:divsChild>
            <w:div w:id="1504202490">
              <w:marLeft w:val="0"/>
              <w:marRight w:val="0"/>
              <w:marTop w:val="0"/>
              <w:marBottom w:val="0"/>
              <w:divBdr>
                <w:top w:val="none" w:sz="0" w:space="0" w:color="auto"/>
                <w:left w:val="none" w:sz="0" w:space="0" w:color="auto"/>
                <w:bottom w:val="none" w:sz="0" w:space="0" w:color="auto"/>
                <w:right w:val="none" w:sz="0" w:space="0" w:color="auto"/>
              </w:divBdr>
              <w:divsChild>
                <w:div w:id="1831405127">
                  <w:marLeft w:val="0"/>
                  <w:marRight w:val="0"/>
                  <w:marTop w:val="0"/>
                  <w:marBottom w:val="0"/>
                  <w:divBdr>
                    <w:top w:val="none" w:sz="0" w:space="0" w:color="auto"/>
                    <w:left w:val="none" w:sz="0" w:space="0" w:color="auto"/>
                    <w:bottom w:val="none" w:sz="0" w:space="0" w:color="auto"/>
                    <w:right w:val="none" w:sz="0" w:space="0" w:color="auto"/>
                  </w:divBdr>
                  <w:divsChild>
                    <w:div w:id="1131629629">
                      <w:marLeft w:val="0"/>
                      <w:marRight w:val="0"/>
                      <w:marTop w:val="0"/>
                      <w:marBottom w:val="0"/>
                      <w:divBdr>
                        <w:top w:val="none" w:sz="0" w:space="0" w:color="auto"/>
                        <w:left w:val="none" w:sz="0" w:space="0" w:color="auto"/>
                        <w:bottom w:val="none" w:sz="0" w:space="0" w:color="auto"/>
                        <w:right w:val="none" w:sz="0" w:space="0" w:color="auto"/>
                      </w:divBdr>
                      <w:divsChild>
                        <w:div w:id="3417118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59962171">
      <w:bodyDiv w:val="1"/>
      <w:marLeft w:val="0"/>
      <w:marRight w:val="0"/>
      <w:marTop w:val="0"/>
      <w:marBottom w:val="0"/>
      <w:divBdr>
        <w:top w:val="none" w:sz="0" w:space="0" w:color="auto"/>
        <w:left w:val="none" w:sz="0" w:space="0" w:color="auto"/>
        <w:bottom w:val="none" w:sz="0" w:space="0" w:color="auto"/>
        <w:right w:val="none" w:sz="0" w:space="0" w:color="auto"/>
      </w:divBdr>
    </w:div>
    <w:div w:id="1359968302">
      <w:bodyDiv w:val="1"/>
      <w:marLeft w:val="0"/>
      <w:marRight w:val="0"/>
      <w:marTop w:val="0"/>
      <w:marBottom w:val="0"/>
      <w:divBdr>
        <w:top w:val="none" w:sz="0" w:space="0" w:color="auto"/>
        <w:left w:val="none" w:sz="0" w:space="0" w:color="auto"/>
        <w:bottom w:val="none" w:sz="0" w:space="0" w:color="auto"/>
        <w:right w:val="none" w:sz="0" w:space="0" w:color="auto"/>
      </w:divBdr>
      <w:divsChild>
        <w:div w:id="2005426932">
          <w:marLeft w:val="0"/>
          <w:marRight w:val="0"/>
          <w:marTop w:val="0"/>
          <w:marBottom w:val="0"/>
          <w:divBdr>
            <w:top w:val="single" w:sz="2" w:space="0" w:color="AAAAAA"/>
            <w:left w:val="single" w:sz="6" w:space="8" w:color="AAAAAA"/>
            <w:bottom w:val="single" w:sz="2" w:space="0" w:color="AAAAAA"/>
            <w:right w:val="single" w:sz="6" w:space="8" w:color="AAAAAA"/>
          </w:divBdr>
          <w:divsChild>
            <w:div w:id="1016075322">
              <w:marLeft w:val="0"/>
              <w:marRight w:val="0"/>
              <w:marTop w:val="0"/>
              <w:marBottom w:val="0"/>
              <w:divBdr>
                <w:top w:val="none" w:sz="0" w:space="0" w:color="auto"/>
                <w:left w:val="none" w:sz="0" w:space="0" w:color="auto"/>
                <w:bottom w:val="none" w:sz="0" w:space="0" w:color="auto"/>
                <w:right w:val="none" w:sz="0" w:space="0" w:color="auto"/>
              </w:divBdr>
              <w:divsChild>
                <w:div w:id="524635807">
                  <w:marLeft w:val="0"/>
                  <w:marRight w:val="0"/>
                  <w:marTop w:val="0"/>
                  <w:marBottom w:val="0"/>
                  <w:divBdr>
                    <w:top w:val="none" w:sz="0" w:space="0" w:color="auto"/>
                    <w:left w:val="none" w:sz="0" w:space="0" w:color="auto"/>
                    <w:bottom w:val="none" w:sz="0" w:space="0" w:color="auto"/>
                    <w:right w:val="none" w:sz="0" w:space="0" w:color="auto"/>
                  </w:divBdr>
                  <w:divsChild>
                    <w:div w:id="830874213">
                      <w:marLeft w:val="0"/>
                      <w:marRight w:val="2550"/>
                      <w:marTop w:val="0"/>
                      <w:marBottom w:val="48"/>
                      <w:divBdr>
                        <w:top w:val="none" w:sz="0" w:space="0" w:color="auto"/>
                        <w:left w:val="none" w:sz="0" w:space="0" w:color="auto"/>
                        <w:bottom w:val="none" w:sz="0" w:space="0" w:color="auto"/>
                        <w:right w:val="none" w:sz="0" w:space="0" w:color="auto"/>
                      </w:divBdr>
                      <w:divsChild>
                        <w:div w:id="605663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60399343">
      <w:bodyDiv w:val="1"/>
      <w:marLeft w:val="0"/>
      <w:marRight w:val="0"/>
      <w:marTop w:val="0"/>
      <w:marBottom w:val="0"/>
      <w:divBdr>
        <w:top w:val="none" w:sz="0" w:space="0" w:color="auto"/>
        <w:left w:val="none" w:sz="0" w:space="0" w:color="auto"/>
        <w:bottom w:val="none" w:sz="0" w:space="0" w:color="auto"/>
        <w:right w:val="none" w:sz="0" w:space="0" w:color="auto"/>
      </w:divBdr>
      <w:divsChild>
        <w:div w:id="251594551">
          <w:marLeft w:val="0"/>
          <w:marRight w:val="0"/>
          <w:marTop w:val="0"/>
          <w:marBottom w:val="0"/>
          <w:divBdr>
            <w:top w:val="single" w:sz="6" w:space="0" w:color="0E477A"/>
            <w:left w:val="single" w:sz="6" w:space="0" w:color="0E477A"/>
            <w:bottom w:val="single" w:sz="6" w:space="0" w:color="0E477A"/>
            <w:right w:val="single" w:sz="6" w:space="0" w:color="0E477A"/>
          </w:divBdr>
          <w:divsChild>
            <w:div w:id="294874850">
              <w:marLeft w:val="0"/>
              <w:marRight w:val="0"/>
              <w:marTop w:val="0"/>
              <w:marBottom w:val="0"/>
              <w:divBdr>
                <w:top w:val="none" w:sz="0" w:space="0" w:color="auto"/>
                <w:left w:val="none" w:sz="0" w:space="0" w:color="auto"/>
                <w:bottom w:val="none" w:sz="0" w:space="0" w:color="auto"/>
                <w:right w:val="none" w:sz="0" w:space="0" w:color="auto"/>
              </w:divBdr>
              <w:divsChild>
                <w:div w:id="947352007">
                  <w:marLeft w:val="75"/>
                  <w:marRight w:val="0"/>
                  <w:marTop w:val="0"/>
                  <w:marBottom w:val="0"/>
                  <w:divBdr>
                    <w:top w:val="none" w:sz="0" w:space="0" w:color="auto"/>
                    <w:left w:val="none" w:sz="0" w:space="0" w:color="auto"/>
                    <w:bottom w:val="none" w:sz="0" w:space="0" w:color="auto"/>
                    <w:right w:val="none" w:sz="0" w:space="0" w:color="auto"/>
                  </w:divBdr>
                  <w:divsChild>
                    <w:div w:id="1859157142">
                      <w:marLeft w:val="0"/>
                      <w:marRight w:val="0"/>
                      <w:marTop w:val="0"/>
                      <w:marBottom w:val="0"/>
                      <w:divBdr>
                        <w:top w:val="none" w:sz="0" w:space="0" w:color="auto"/>
                        <w:left w:val="none" w:sz="0" w:space="0" w:color="auto"/>
                        <w:bottom w:val="none" w:sz="0" w:space="0" w:color="auto"/>
                        <w:right w:val="none" w:sz="0" w:space="0" w:color="auto"/>
                      </w:divBdr>
                      <w:divsChild>
                        <w:div w:id="2140147966">
                          <w:marLeft w:val="0"/>
                          <w:marRight w:val="225"/>
                          <w:marTop w:val="150"/>
                          <w:marBottom w:val="150"/>
                          <w:divBdr>
                            <w:top w:val="single" w:sz="6" w:space="0" w:color="CCCCCC"/>
                            <w:left w:val="single" w:sz="6" w:space="8" w:color="CCCCCC"/>
                            <w:bottom w:val="single" w:sz="6" w:space="8" w:color="CCCCCC"/>
                            <w:right w:val="single" w:sz="6" w:space="8" w:color="CCCCCC"/>
                          </w:divBdr>
                          <w:divsChild>
                            <w:div w:id="329794454">
                              <w:marLeft w:val="-150"/>
                              <w:marRight w:val="0"/>
                              <w:marTop w:val="0"/>
                              <w:marBottom w:val="0"/>
                              <w:divBdr>
                                <w:top w:val="none" w:sz="0" w:space="0" w:color="auto"/>
                                <w:left w:val="none" w:sz="0" w:space="0" w:color="auto"/>
                                <w:bottom w:val="none" w:sz="0" w:space="0" w:color="auto"/>
                                <w:right w:val="none" w:sz="0" w:space="0" w:color="auto"/>
                              </w:divBdr>
                              <w:divsChild>
                                <w:div w:id="16758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053323">
      <w:bodyDiv w:val="1"/>
      <w:marLeft w:val="0"/>
      <w:marRight w:val="0"/>
      <w:marTop w:val="0"/>
      <w:marBottom w:val="0"/>
      <w:divBdr>
        <w:top w:val="none" w:sz="0" w:space="0" w:color="auto"/>
        <w:left w:val="none" w:sz="0" w:space="0" w:color="auto"/>
        <w:bottom w:val="none" w:sz="0" w:space="0" w:color="auto"/>
        <w:right w:val="none" w:sz="0" w:space="0" w:color="auto"/>
      </w:divBdr>
    </w:div>
    <w:div w:id="1362630725">
      <w:bodyDiv w:val="1"/>
      <w:marLeft w:val="0"/>
      <w:marRight w:val="0"/>
      <w:marTop w:val="0"/>
      <w:marBottom w:val="0"/>
      <w:divBdr>
        <w:top w:val="none" w:sz="0" w:space="0" w:color="auto"/>
        <w:left w:val="none" w:sz="0" w:space="0" w:color="auto"/>
        <w:bottom w:val="none" w:sz="0" w:space="0" w:color="auto"/>
        <w:right w:val="none" w:sz="0" w:space="0" w:color="auto"/>
      </w:divBdr>
    </w:div>
    <w:div w:id="1362971492">
      <w:bodyDiv w:val="1"/>
      <w:marLeft w:val="0"/>
      <w:marRight w:val="0"/>
      <w:marTop w:val="0"/>
      <w:marBottom w:val="0"/>
      <w:divBdr>
        <w:top w:val="none" w:sz="0" w:space="0" w:color="auto"/>
        <w:left w:val="none" w:sz="0" w:space="0" w:color="auto"/>
        <w:bottom w:val="none" w:sz="0" w:space="0" w:color="auto"/>
        <w:right w:val="none" w:sz="0" w:space="0" w:color="auto"/>
      </w:divBdr>
      <w:divsChild>
        <w:div w:id="846943543">
          <w:marLeft w:val="0"/>
          <w:marRight w:val="0"/>
          <w:marTop w:val="0"/>
          <w:marBottom w:val="0"/>
          <w:divBdr>
            <w:top w:val="none" w:sz="0" w:space="0" w:color="auto"/>
            <w:left w:val="none" w:sz="0" w:space="0" w:color="auto"/>
            <w:bottom w:val="none" w:sz="0" w:space="0" w:color="auto"/>
            <w:right w:val="none" w:sz="0" w:space="0" w:color="auto"/>
          </w:divBdr>
          <w:divsChild>
            <w:div w:id="450904870">
              <w:marLeft w:val="0"/>
              <w:marRight w:val="0"/>
              <w:marTop w:val="0"/>
              <w:marBottom w:val="0"/>
              <w:divBdr>
                <w:top w:val="none" w:sz="0" w:space="0" w:color="auto"/>
                <w:left w:val="none" w:sz="0" w:space="0" w:color="auto"/>
                <w:bottom w:val="none" w:sz="0" w:space="0" w:color="auto"/>
                <w:right w:val="none" w:sz="0" w:space="0" w:color="auto"/>
              </w:divBdr>
              <w:divsChild>
                <w:div w:id="657080969">
                  <w:marLeft w:val="0"/>
                  <w:marRight w:val="0"/>
                  <w:marTop w:val="0"/>
                  <w:marBottom w:val="0"/>
                  <w:divBdr>
                    <w:top w:val="none" w:sz="0" w:space="0" w:color="auto"/>
                    <w:left w:val="none" w:sz="0" w:space="0" w:color="auto"/>
                    <w:bottom w:val="none" w:sz="0" w:space="0" w:color="auto"/>
                    <w:right w:val="none" w:sz="0" w:space="0" w:color="auto"/>
                  </w:divBdr>
                  <w:divsChild>
                    <w:div w:id="727845129">
                      <w:marLeft w:val="0"/>
                      <w:marRight w:val="0"/>
                      <w:marTop w:val="0"/>
                      <w:marBottom w:val="0"/>
                      <w:divBdr>
                        <w:top w:val="none" w:sz="0" w:space="0" w:color="auto"/>
                        <w:left w:val="none" w:sz="0" w:space="0" w:color="auto"/>
                        <w:bottom w:val="none" w:sz="0" w:space="0" w:color="auto"/>
                        <w:right w:val="none" w:sz="0" w:space="0" w:color="auto"/>
                      </w:divBdr>
                      <w:divsChild>
                        <w:div w:id="1154835377">
                          <w:marLeft w:val="0"/>
                          <w:marRight w:val="0"/>
                          <w:marTop w:val="0"/>
                          <w:marBottom w:val="0"/>
                          <w:divBdr>
                            <w:top w:val="none" w:sz="0" w:space="0" w:color="auto"/>
                            <w:left w:val="none" w:sz="0" w:space="0" w:color="auto"/>
                            <w:bottom w:val="none" w:sz="0" w:space="0" w:color="auto"/>
                            <w:right w:val="none" w:sz="0" w:space="0" w:color="auto"/>
                          </w:divBdr>
                          <w:divsChild>
                            <w:div w:id="1646935913">
                              <w:marLeft w:val="0"/>
                              <w:marRight w:val="0"/>
                              <w:marTop w:val="0"/>
                              <w:marBottom w:val="0"/>
                              <w:divBdr>
                                <w:top w:val="none" w:sz="0" w:space="0" w:color="auto"/>
                                <w:left w:val="none" w:sz="0" w:space="0" w:color="auto"/>
                                <w:bottom w:val="none" w:sz="0" w:space="0" w:color="auto"/>
                                <w:right w:val="none" w:sz="0" w:space="0" w:color="auto"/>
                              </w:divBdr>
                              <w:divsChild>
                                <w:div w:id="1914699905">
                                  <w:marLeft w:val="0"/>
                                  <w:marRight w:val="0"/>
                                  <w:marTop w:val="0"/>
                                  <w:marBottom w:val="0"/>
                                  <w:divBdr>
                                    <w:top w:val="none" w:sz="0" w:space="0" w:color="auto"/>
                                    <w:left w:val="none" w:sz="0" w:space="0" w:color="auto"/>
                                    <w:bottom w:val="none" w:sz="0" w:space="0" w:color="auto"/>
                                    <w:right w:val="none" w:sz="0" w:space="0" w:color="auto"/>
                                  </w:divBdr>
                                  <w:divsChild>
                                    <w:div w:id="15427457">
                                      <w:marLeft w:val="0"/>
                                      <w:marRight w:val="0"/>
                                      <w:marTop w:val="0"/>
                                      <w:marBottom w:val="0"/>
                                      <w:divBdr>
                                        <w:top w:val="none" w:sz="0" w:space="0" w:color="auto"/>
                                        <w:left w:val="none" w:sz="0" w:space="0" w:color="auto"/>
                                        <w:bottom w:val="none" w:sz="0" w:space="0" w:color="auto"/>
                                        <w:right w:val="none" w:sz="0" w:space="0" w:color="auto"/>
                                      </w:divBdr>
                                      <w:divsChild>
                                        <w:div w:id="12772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550820">
      <w:bodyDiv w:val="1"/>
      <w:marLeft w:val="0"/>
      <w:marRight w:val="0"/>
      <w:marTop w:val="0"/>
      <w:marBottom w:val="0"/>
      <w:divBdr>
        <w:top w:val="none" w:sz="0" w:space="0" w:color="auto"/>
        <w:left w:val="none" w:sz="0" w:space="0" w:color="auto"/>
        <w:bottom w:val="none" w:sz="0" w:space="0" w:color="auto"/>
        <w:right w:val="none" w:sz="0" w:space="0" w:color="auto"/>
      </w:divBdr>
      <w:divsChild>
        <w:div w:id="1097871696">
          <w:marLeft w:val="0"/>
          <w:marRight w:val="0"/>
          <w:marTop w:val="0"/>
          <w:marBottom w:val="0"/>
          <w:divBdr>
            <w:top w:val="none" w:sz="0" w:space="0" w:color="auto"/>
            <w:left w:val="none" w:sz="0" w:space="0" w:color="auto"/>
            <w:bottom w:val="none" w:sz="0" w:space="0" w:color="auto"/>
            <w:right w:val="none" w:sz="0" w:space="0" w:color="auto"/>
          </w:divBdr>
          <w:divsChild>
            <w:div w:id="1337490282">
              <w:marLeft w:val="0"/>
              <w:marRight w:val="0"/>
              <w:marTop w:val="0"/>
              <w:marBottom w:val="0"/>
              <w:divBdr>
                <w:top w:val="none" w:sz="0" w:space="0" w:color="auto"/>
                <w:left w:val="none" w:sz="0" w:space="0" w:color="auto"/>
                <w:bottom w:val="none" w:sz="0" w:space="0" w:color="auto"/>
                <w:right w:val="none" w:sz="0" w:space="0" w:color="auto"/>
              </w:divBdr>
              <w:divsChild>
                <w:div w:id="247274276">
                  <w:marLeft w:val="0"/>
                  <w:marRight w:val="0"/>
                  <w:marTop w:val="0"/>
                  <w:marBottom w:val="0"/>
                  <w:divBdr>
                    <w:top w:val="none" w:sz="0" w:space="0" w:color="auto"/>
                    <w:left w:val="none" w:sz="0" w:space="0" w:color="auto"/>
                    <w:bottom w:val="none" w:sz="0" w:space="0" w:color="auto"/>
                    <w:right w:val="none" w:sz="0" w:space="0" w:color="auto"/>
                  </w:divBdr>
                  <w:divsChild>
                    <w:div w:id="1982223153">
                      <w:marLeft w:val="0"/>
                      <w:marRight w:val="0"/>
                      <w:marTop w:val="0"/>
                      <w:marBottom w:val="0"/>
                      <w:divBdr>
                        <w:top w:val="none" w:sz="0" w:space="0" w:color="auto"/>
                        <w:left w:val="none" w:sz="0" w:space="0" w:color="auto"/>
                        <w:bottom w:val="none" w:sz="0" w:space="0" w:color="auto"/>
                        <w:right w:val="none" w:sz="0" w:space="0" w:color="auto"/>
                      </w:divBdr>
                      <w:divsChild>
                        <w:div w:id="2117601590">
                          <w:marLeft w:val="-225"/>
                          <w:marRight w:val="-225"/>
                          <w:marTop w:val="0"/>
                          <w:marBottom w:val="0"/>
                          <w:divBdr>
                            <w:top w:val="none" w:sz="0" w:space="0" w:color="auto"/>
                            <w:left w:val="none" w:sz="0" w:space="0" w:color="auto"/>
                            <w:bottom w:val="none" w:sz="0" w:space="0" w:color="auto"/>
                            <w:right w:val="none" w:sz="0" w:space="0" w:color="auto"/>
                          </w:divBdr>
                          <w:divsChild>
                            <w:div w:id="2048993132">
                              <w:marLeft w:val="0"/>
                              <w:marRight w:val="0"/>
                              <w:marTop w:val="0"/>
                              <w:marBottom w:val="0"/>
                              <w:divBdr>
                                <w:top w:val="none" w:sz="0" w:space="0" w:color="auto"/>
                                <w:left w:val="none" w:sz="0" w:space="0" w:color="auto"/>
                                <w:bottom w:val="none" w:sz="0" w:space="0" w:color="auto"/>
                                <w:right w:val="none" w:sz="0" w:space="0" w:color="auto"/>
                              </w:divBdr>
                              <w:divsChild>
                                <w:div w:id="1454330455">
                                  <w:marLeft w:val="0"/>
                                  <w:marRight w:val="0"/>
                                  <w:marTop w:val="0"/>
                                  <w:marBottom w:val="0"/>
                                  <w:divBdr>
                                    <w:top w:val="none" w:sz="0" w:space="0" w:color="auto"/>
                                    <w:left w:val="none" w:sz="0" w:space="0" w:color="auto"/>
                                    <w:bottom w:val="none" w:sz="0" w:space="0" w:color="auto"/>
                                    <w:right w:val="none" w:sz="0" w:space="0" w:color="auto"/>
                                  </w:divBdr>
                                  <w:divsChild>
                                    <w:div w:id="12990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601288">
      <w:bodyDiv w:val="1"/>
      <w:marLeft w:val="0"/>
      <w:marRight w:val="0"/>
      <w:marTop w:val="0"/>
      <w:marBottom w:val="0"/>
      <w:divBdr>
        <w:top w:val="none" w:sz="0" w:space="0" w:color="auto"/>
        <w:left w:val="none" w:sz="0" w:space="0" w:color="auto"/>
        <w:bottom w:val="none" w:sz="0" w:space="0" w:color="auto"/>
        <w:right w:val="none" w:sz="0" w:space="0" w:color="auto"/>
      </w:divBdr>
      <w:divsChild>
        <w:div w:id="434056788">
          <w:marLeft w:val="0"/>
          <w:marRight w:val="0"/>
          <w:marTop w:val="0"/>
          <w:marBottom w:val="0"/>
          <w:divBdr>
            <w:top w:val="none" w:sz="0" w:space="0" w:color="auto"/>
            <w:left w:val="none" w:sz="0" w:space="0" w:color="auto"/>
            <w:bottom w:val="none" w:sz="0" w:space="0" w:color="auto"/>
            <w:right w:val="none" w:sz="0" w:space="0" w:color="auto"/>
          </w:divBdr>
          <w:divsChild>
            <w:div w:id="955257281">
              <w:marLeft w:val="0"/>
              <w:marRight w:val="0"/>
              <w:marTop w:val="0"/>
              <w:marBottom w:val="0"/>
              <w:divBdr>
                <w:top w:val="none" w:sz="0" w:space="0" w:color="auto"/>
                <w:left w:val="none" w:sz="0" w:space="0" w:color="auto"/>
                <w:bottom w:val="none" w:sz="0" w:space="0" w:color="auto"/>
                <w:right w:val="none" w:sz="0" w:space="0" w:color="auto"/>
              </w:divBdr>
              <w:divsChild>
                <w:div w:id="1139616622">
                  <w:marLeft w:val="0"/>
                  <w:marRight w:val="0"/>
                  <w:marTop w:val="0"/>
                  <w:marBottom w:val="0"/>
                  <w:divBdr>
                    <w:top w:val="none" w:sz="0" w:space="0" w:color="auto"/>
                    <w:left w:val="none" w:sz="0" w:space="0" w:color="auto"/>
                    <w:bottom w:val="none" w:sz="0" w:space="0" w:color="auto"/>
                    <w:right w:val="none" w:sz="0" w:space="0" w:color="auto"/>
                  </w:divBdr>
                  <w:divsChild>
                    <w:div w:id="2127117768">
                      <w:marLeft w:val="0"/>
                      <w:marRight w:val="0"/>
                      <w:marTop w:val="0"/>
                      <w:marBottom w:val="0"/>
                      <w:divBdr>
                        <w:top w:val="none" w:sz="0" w:space="0" w:color="auto"/>
                        <w:left w:val="none" w:sz="0" w:space="0" w:color="auto"/>
                        <w:bottom w:val="none" w:sz="0" w:space="0" w:color="auto"/>
                        <w:right w:val="none" w:sz="0" w:space="0" w:color="auto"/>
                      </w:divBdr>
                      <w:divsChild>
                        <w:div w:id="1647932430">
                          <w:marLeft w:val="-225"/>
                          <w:marRight w:val="-225"/>
                          <w:marTop w:val="0"/>
                          <w:marBottom w:val="0"/>
                          <w:divBdr>
                            <w:top w:val="none" w:sz="0" w:space="0" w:color="auto"/>
                            <w:left w:val="none" w:sz="0" w:space="0" w:color="auto"/>
                            <w:bottom w:val="none" w:sz="0" w:space="0" w:color="auto"/>
                            <w:right w:val="none" w:sz="0" w:space="0" w:color="auto"/>
                          </w:divBdr>
                          <w:divsChild>
                            <w:div w:id="648244341">
                              <w:marLeft w:val="0"/>
                              <w:marRight w:val="0"/>
                              <w:marTop w:val="0"/>
                              <w:marBottom w:val="0"/>
                              <w:divBdr>
                                <w:top w:val="none" w:sz="0" w:space="0" w:color="auto"/>
                                <w:left w:val="none" w:sz="0" w:space="0" w:color="auto"/>
                                <w:bottom w:val="none" w:sz="0" w:space="0" w:color="auto"/>
                                <w:right w:val="none" w:sz="0" w:space="0" w:color="auto"/>
                              </w:divBdr>
                              <w:divsChild>
                                <w:div w:id="1709909696">
                                  <w:marLeft w:val="0"/>
                                  <w:marRight w:val="0"/>
                                  <w:marTop w:val="0"/>
                                  <w:marBottom w:val="0"/>
                                  <w:divBdr>
                                    <w:top w:val="none" w:sz="0" w:space="0" w:color="auto"/>
                                    <w:left w:val="none" w:sz="0" w:space="0" w:color="auto"/>
                                    <w:bottom w:val="none" w:sz="0" w:space="0" w:color="auto"/>
                                    <w:right w:val="none" w:sz="0" w:space="0" w:color="auto"/>
                                  </w:divBdr>
                                  <w:divsChild>
                                    <w:div w:id="976567193">
                                      <w:marLeft w:val="0"/>
                                      <w:marRight w:val="0"/>
                                      <w:marTop w:val="0"/>
                                      <w:marBottom w:val="0"/>
                                      <w:divBdr>
                                        <w:top w:val="none" w:sz="0" w:space="0" w:color="auto"/>
                                        <w:left w:val="none" w:sz="0" w:space="0" w:color="auto"/>
                                        <w:bottom w:val="none" w:sz="0" w:space="0" w:color="auto"/>
                                        <w:right w:val="none" w:sz="0" w:space="0" w:color="auto"/>
                                      </w:divBdr>
                                      <w:divsChild>
                                        <w:div w:id="72626307">
                                          <w:marLeft w:val="0"/>
                                          <w:marRight w:val="0"/>
                                          <w:marTop w:val="0"/>
                                          <w:marBottom w:val="0"/>
                                          <w:divBdr>
                                            <w:top w:val="none" w:sz="0" w:space="0" w:color="auto"/>
                                            <w:left w:val="none" w:sz="0" w:space="0" w:color="auto"/>
                                            <w:bottom w:val="none" w:sz="0" w:space="0" w:color="auto"/>
                                            <w:right w:val="none" w:sz="0" w:space="0" w:color="auto"/>
                                          </w:divBdr>
                                          <w:divsChild>
                                            <w:div w:id="1067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78370">
                          <w:marLeft w:val="-225"/>
                          <w:marRight w:val="-225"/>
                          <w:marTop w:val="0"/>
                          <w:marBottom w:val="0"/>
                          <w:divBdr>
                            <w:top w:val="none" w:sz="0" w:space="0" w:color="auto"/>
                            <w:left w:val="none" w:sz="0" w:space="0" w:color="auto"/>
                            <w:bottom w:val="none" w:sz="0" w:space="0" w:color="auto"/>
                            <w:right w:val="none" w:sz="0" w:space="0" w:color="auto"/>
                          </w:divBdr>
                          <w:divsChild>
                            <w:div w:id="969554942">
                              <w:marLeft w:val="0"/>
                              <w:marRight w:val="0"/>
                              <w:marTop w:val="0"/>
                              <w:marBottom w:val="0"/>
                              <w:divBdr>
                                <w:top w:val="none" w:sz="0" w:space="0" w:color="auto"/>
                                <w:left w:val="none" w:sz="0" w:space="0" w:color="auto"/>
                                <w:bottom w:val="none" w:sz="0" w:space="0" w:color="auto"/>
                                <w:right w:val="none" w:sz="0" w:space="0" w:color="auto"/>
                              </w:divBdr>
                              <w:divsChild>
                                <w:div w:id="1144661837">
                                  <w:marLeft w:val="0"/>
                                  <w:marRight w:val="0"/>
                                  <w:marTop w:val="0"/>
                                  <w:marBottom w:val="0"/>
                                  <w:divBdr>
                                    <w:top w:val="none" w:sz="0" w:space="0" w:color="auto"/>
                                    <w:left w:val="none" w:sz="0" w:space="0" w:color="auto"/>
                                    <w:bottom w:val="none" w:sz="0" w:space="0" w:color="auto"/>
                                    <w:right w:val="none" w:sz="0" w:space="0" w:color="auto"/>
                                  </w:divBdr>
                                  <w:divsChild>
                                    <w:div w:id="1954168308">
                                      <w:marLeft w:val="0"/>
                                      <w:marRight w:val="0"/>
                                      <w:marTop w:val="0"/>
                                      <w:marBottom w:val="0"/>
                                      <w:divBdr>
                                        <w:top w:val="none" w:sz="0" w:space="0" w:color="auto"/>
                                        <w:left w:val="none" w:sz="0" w:space="0" w:color="auto"/>
                                        <w:bottom w:val="none" w:sz="0" w:space="0" w:color="auto"/>
                                        <w:right w:val="none" w:sz="0" w:space="0" w:color="auto"/>
                                      </w:divBdr>
                                      <w:divsChild>
                                        <w:div w:id="711660218">
                                          <w:marLeft w:val="0"/>
                                          <w:marRight w:val="0"/>
                                          <w:marTop w:val="0"/>
                                          <w:marBottom w:val="0"/>
                                          <w:divBdr>
                                            <w:top w:val="none" w:sz="0" w:space="0" w:color="auto"/>
                                            <w:left w:val="none" w:sz="0" w:space="0" w:color="auto"/>
                                            <w:bottom w:val="none" w:sz="0" w:space="0" w:color="auto"/>
                                            <w:right w:val="none" w:sz="0" w:space="0" w:color="auto"/>
                                          </w:divBdr>
                                          <w:divsChild>
                                            <w:div w:id="16589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96157">
      <w:bodyDiv w:val="1"/>
      <w:marLeft w:val="0"/>
      <w:marRight w:val="0"/>
      <w:marTop w:val="0"/>
      <w:marBottom w:val="0"/>
      <w:divBdr>
        <w:top w:val="none" w:sz="0" w:space="0" w:color="auto"/>
        <w:left w:val="none" w:sz="0" w:space="0" w:color="auto"/>
        <w:bottom w:val="none" w:sz="0" w:space="0" w:color="auto"/>
        <w:right w:val="none" w:sz="0" w:space="0" w:color="auto"/>
      </w:divBdr>
      <w:divsChild>
        <w:div w:id="1582713103">
          <w:marLeft w:val="0"/>
          <w:marRight w:val="0"/>
          <w:marTop w:val="0"/>
          <w:marBottom w:val="0"/>
          <w:divBdr>
            <w:top w:val="none" w:sz="0" w:space="0" w:color="auto"/>
            <w:left w:val="none" w:sz="0" w:space="0" w:color="auto"/>
            <w:bottom w:val="none" w:sz="0" w:space="0" w:color="auto"/>
            <w:right w:val="none" w:sz="0" w:space="0" w:color="auto"/>
          </w:divBdr>
          <w:divsChild>
            <w:div w:id="100272778">
              <w:marLeft w:val="0"/>
              <w:marRight w:val="0"/>
              <w:marTop w:val="0"/>
              <w:marBottom w:val="0"/>
              <w:divBdr>
                <w:top w:val="none" w:sz="0" w:space="0" w:color="auto"/>
                <w:left w:val="none" w:sz="0" w:space="0" w:color="auto"/>
                <w:bottom w:val="none" w:sz="0" w:space="0" w:color="auto"/>
                <w:right w:val="none" w:sz="0" w:space="0" w:color="auto"/>
              </w:divBdr>
              <w:divsChild>
                <w:div w:id="1480800634">
                  <w:marLeft w:val="0"/>
                  <w:marRight w:val="0"/>
                  <w:marTop w:val="0"/>
                  <w:marBottom w:val="0"/>
                  <w:divBdr>
                    <w:top w:val="none" w:sz="0" w:space="0" w:color="auto"/>
                    <w:left w:val="none" w:sz="0" w:space="0" w:color="auto"/>
                    <w:bottom w:val="none" w:sz="0" w:space="0" w:color="auto"/>
                    <w:right w:val="none" w:sz="0" w:space="0" w:color="auto"/>
                  </w:divBdr>
                  <w:divsChild>
                    <w:div w:id="1808625644">
                      <w:marLeft w:val="0"/>
                      <w:marRight w:val="0"/>
                      <w:marTop w:val="0"/>
                      <w:marBottom w:val="0"/>
                      <w:divBdr>
                        <w:top w:val="none" w:sz="0" w:space="0" w:color="auto"/>
                        <w:left w:val="none" w:sz="0" w:space="0" w:color="auto"/>
                        <w:bottom w:val="none" w:sz="0" w:space="0" w:color="auto"/>
                        <w:right w:val="none" w:sz="0" w:space="0" w:color="auto"/>
                      </w:divBdr>
                      <w:divsChild>
                        <w:div w:id="2106536472">
                          <w:marLeft w:val="0"/>
                          <w:marRight w:val="0"/>
                          <w:marTop w:val="0"/>
                          <w:marBottom w:val="0"/>
                          <w:divBdr>
                            <w:top w:val="none" w:sz="0" w:space="0" w:color="auto"/>
                            <w:left w:val="none" w:sz="0" w:space="0" w:color="auto"/>
                            <w:bottom w:val="none" w:sz="0" w:space="0" w:color="auto"/>
                            <w:right w:val="none" w:sz="0" w:space="0" w:color="auto"/>
                          </w:divBdr>
                          <w:divsChild>
                            <w:div w:id="160394141">
                              <w:marLeft w:val="0"/>
                              <w:marRight w:val="0"/>
                              <w:marTop w:val="0"/>
                              <w:marBottom w:val="0"/>
                              <w:divBdr>
                                <w:top w:val="none" w:sz="0" w:space="0" w:color="auto"/>
                                <w:left w:val="none" w:sz="0" w:space="0" w:color="auto"/>
                                <w:bottom w:val="none" w:sz="0" w:space="0" w:color="auto"/>
                                <w:right w:val="none" w:sz="0" w:space="0" w:color="auto"/>
                              </w:divBdr>
                              <w:divsChild>
                                <w:div w:id="1920794941">
                                  <w:marLeft w:val="0"/>
                                  <w:marRight w:val="0"/>
                                  <w:marTop w:val="0"/>
                                  <w:marBottom w:val="0"/>
                                  <w:divBdr>
                                    <w:top w:val="none" w:sz="0" w:space="0" w:color="auto"/>
                                    <w:left w:val="none" w:sz="0" w:space="0" w:color="auto"/>
                                    <w:bottom w:val="none" w:sz="0" w:space="0" w:color="auto"/>
                                    <w:right w:val="none" w:sz="0" w:space="0" w:color="auto"/>
                                  </w:divBdr>
                                  <w:divsChild>
                                    <w:div w:id="871308173">
                                      <w:marLeft w:val="0"/>
                                      <w:marRight w:val="0"/>
                                      <w:marTop w:val="0"/>
                                      <w:marBottom w:val="0"/>
                                      <w:divBdr>
                                        <w:top w:val="none" w:sz="0" w:space="0" w:color="auto"/>
                                        <w:left w:val="none" w:sz="0" w:space="0" w:color="auto"/>
                                        <w:bottom w:val="none" w:sz="0" w:space="0" w:color="auto"/>
                                        <w:right w:val="none" w:sz="0" w:space="0" w:color="auto"/>
                                      </w:divBdr>
                                      <w:divsChild>
                                        <w:div w:id="879170419">
                                          <w:marLeft w:val="0"/>
                                          <w:marRight w:val="0"/>
                                          <w:marTop w:val="0"/>
                                          <w:marBottom w:val="0"/>
                                          <w:divBdr>
                                            <w:top w:val="none" w:sz="0" w:space="0" w:color="auto"/>
                                            <w:left w:val="none" w:sz="0" w:space="0" w:color="auto"/>
                                            <w:bottom w:val="none" w:sz="0" w:space="0" w:color="auto"/>
                                            <w:right w:val="none" w:sz="0" w:space="0" w:color="auto"/>
                                          </w:divBdr>
                                          <w:divsChild>
                                            <w:div w:id="1693455750">
                                              <w:marLeft w:val="0"/>
                                              <w:marRight w:val="0"/>
                                              <w:marTop w:val="0"/>
                                              <w:marBottom w:val="0"/>
                                              <w:divBdr>
                                                <w:top w:val="none" w:sz="0" w:space="0" w:color="auto"/>
                                                <w:left w:val="none" w:sz="0" w:space="0" w:color="auto"/>
                                                <w:bottom w:val="none" w:sz="0" w:space="0" w:color="auto"/>
                                                <w:right w:val="none" w:sz="0" w:space="0" w:color="auto"/>
                                              </w:divBdr>
                                              <w:divsChild>
                                                <w:div w:id="1728532625">
                                                  <w:marLeft w:val="0"/>
                                                  <w:marRight w:val="0"/>
                                                  <w:marTop w:val="0"/>
                                                  <w:marBottom w:val="0"/>
                                                  <w:divBdr>
                                                    <w:top w:val="none" w:sz="0" w:space="0" w:color="auto"/>
                                                    <w:left w:val="none" w:sz="0" w:space="0" w:color="auto"/>
                                                    <w:bottom w:val="none" w:sz="0" w:space="0" w:color="auto"/>
                                                    <w:right w:val="none" w:sz="0" w:space="0" w:color="auto"/>
                                                  </w:divBdr>
                                                  <w:divsChild>
                                                    <w:div w:id="37247515">
                                                      <w:marLeft w:val="0"/>
                                                      <w:marRight w:val="0"/>
                                                      <w:marTop w:val="0"/>
                                                      <w:marBottom w:val="0"/>
                                                      <w:divBdr>
                                                        <w:top w:val="none" w:sz="0" w:space="0" w:color="auto"/>
                                                        <w:left w:val="none" w:sz="0" w:space="0" w:color="auto"/>
                                                        <w:bottom w:val="none" w:sz="0" w:space="0" w:color="auto"/>
                                                        <w:right w:val="none" w:sz="0" w:space="0" w:color="auto"/>
                                                      </w:divBdr>
                                                      <w:divsChild>
                                                        <w:div w:id="62919794">
                                                          <w:marLeft w:val="0"/>
                                                          <w:marRight w:val="0"/>
                                                          <w:marTop w:val="0"/>
                                                          <w:marBottom w:val="0"/>
                                                          <w:divBdr>
                                                            <w:top w:val="none" w:sz="0" w:space="0" w:color="auto"/>
                                                            <w:left w:val="none" w:sz="0" w:space="0" w:color="auto"/>
                                                            <w:bottom w:val="none" w:sz="0" w:space="0" w:color="auto"/>
                                                            <w:right w:val="none" w:sz="0" w:space="0" w:color="auto"/>
                                                          </w:divBdr>
                                                        </w:div>
                                                        <w:div w:id="411508822">
                                                          <w:marLeft w:val="0"/>
                                                          <w:marRight w:val="0"/>
                                                          <w:marTop w:val="0"/>
                                                          <w:marBottom w:val="0"/>
                                                          <w:divBdr>
                                                            <w:top w:val="none" w:sz="0" w:space="0" w:color="auto"/>
                                                            <w:left w:val="none" w:sz="0" w:space="0" w:color="auto"/>
                                                            <w:bottom w:val="none" w:sz="0" w:space="0" w:color="auto"/>
                                                            <w:right w:val="none" w:sz="0" w:space="0" w:color="auto"/>
                                                          </w:divBdr>
                                                          <w:divsChild>
                                                            <w:div w:id="14197869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6321768">
      <w:bodyDiv w:val="1"/>
      <w:marLeft w:val="0"/>
      <w:marRight w:val="0"/>
      <w:marTop w:val="0"/>
      <w:marBottom w:val="0"/>
      <w:divBdr>
        <w:top w:val="none" w:sz="0" w:space="0" w:color="auto"/>
        <w:left w:val="none" w:sz="0" w:space="0" w:color="auto"/>
        <w:bottom w:val="none" w:sz="0" w:space="0" w:color="auto"/>
        <w:right w:val="none" w:sz="0" w:space="0" w:color="auto"/>
      </w:divBdr>
      <w:divsChild>
        <w:div w:id="1931818420">
          <w:marLeft w:val="0"/>
          <w:marRight w:val="0"/>
          <w:marTop w:val="0"/>
          <w:marBottom w:val="450"/>
          <w:divBdr>
            <w:top w:val="none" w:sz="0" w:space="0" w:color="auto"/>
            <w:left w:val="none" w:sz="0" w:space="0" w:color="auto"/>
            <w:bottom w:val="none" w:sz="0" w:space="0" w:color="auto"/>
            <w:right w:val="none" w:sz="0" w:space="0" w:color="auto"/>
          </w:divBdr>
        </w:div>
      </w:divsChild>
    </w:div>
    <w:div w:id="1367489854">
      <w:bodyDiv w:val="1"/>
      <w:marLeft w:val="0"/>
      <w:marRight w:val="0"/>
      <w:marTop w:val="0"/>
      <w:marBottom w:val="0"/>
      <w:divBdr>
        <w:top w:val="none" w:sz="0" w:space="0" w:color="auto"/>
        <w:left w:val="none" w:sz="0" w:space="0" w:color="auto"/>
        <w:bottom w:val="none" w:sz="0" w:space="0" w:color="auto"/>
        <w:right w:val="none" w:sz="0" w:space="0" w:color="auto"/>
      </w:divBdr>
      <w:divsChild>
        <w:div w:id="613443453">
          <w:marLeft w:val="0"/>
          <w:marRight w:val="0"/>
          <w:marTop w:val="0"/>
          <w:marBottom w:val="0"/>
          <w:divBdr>
            <w:top w:val="none" w:sz="0" w:space="0" w:color="auto"/>
            <w:left w:val="none" w:sz="0" w:space="0" w:color="auto"/>
            <w:bottom w:val="none" w:sz="0" w:space="0" w:color="auto"/>
            <w:right w:val="none" w:sz="0" w:space="0" w:color="auto"/>
          </w:divBdr>
          <w:divsChild>
            <w:div w:id="2145190893">
              <w:marLeft w:val="0"/>
              <w:marRight w:val="0"/>
              <w:marTop w:val="0"/>
              <w:marBottom w:val="0"/>
              <w:divBdr>
                <w:top w:val="none" w:sz="0" w:space="0" w:color="auto"/>
                <w:left w:val="none" w:sz="0" w:space="0" w:color="auto"/>
                <w:bottom w:val="none" w:sz="0" w:space="0" w:color="auto"/>
                <w:right w:val="none" w:sz="0" w:space="0" w:color="auto"/>
              </w:divBdr>
              <w:divsChild>
                <w:div w:id="1117674913">
                  <w:marLeft w:val="0"/>
                  <w:marRight w:val="0"/>
                  <w:marTop w:val="0"/>
                  <w:marBottom w:val="0"/>
                  <w:divBdr>
                    <w:top w:val="none" w:sz="0" w:space="0" w:color="auto"/>
                    <w:left w:val="none" w:sz="0" w:space="0" w:color="auto"/>
                    <w:bottom w:val="none" w:sz="0" w:space="0" w:color="auto"/>
                    <w:right w:val="none" w:sz="0" w:space="0" w:color="auto"/>
                  </w:divBdr>
                  <w:divsChild>
                    <w:div w:id="1960604064">
                      <w:marLeft w:val="0"/>
                      <w:marRight w:val="0"/>
                      <w:marTop w:val="0"/>
                      <w:marBottom w:val="0"/>
                      <w:divBdr>
                        <w:top w:val="none" w:sz="0" w:space="0" w:color="auto"/>
                        <w:left w:val="none" w:sz="0" w:space="0" w:color="auto"/>
                        <w:bottom w:val="none" w:sz="0" w:space="0" w:color="auto"/>
                        <w:right w:val="none" w:sz="0" w:space="0" w:color="auto"/>
                      </w:divBdr>
                    </w:div>
                  </w:divsChild>
                </w:div>
                <w:div w:id="3974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77587">
      <w:bodyDiv w:val="1"/>
      <w:marLeft w:val="0"/>
      <w:marRight w:val="0"/>
      <w:marTop w:val="0"/>
      <w:marBottom w:val="0"/>
      <w:divBdr>
        <w:top w:val="none" w:sz="0" w:space="0" w:color="auto"/>
        <w:left w:val="none" w:sz="0" w:space="0" w:color="auto"/>
        <w:bottom w:val="none" w:sz="0" w:space="0" w:color="auto"/>
        <w:right w:val="none" w:sz="0" w:space="0" w:color="auto"/>
      </w:divBdr>
      <w:divsChild>
        <w:div w:id="1571696215">
          <w:marLeft w:val="0"/>
          <w:marRight w:val="0"/>
          <w:marTop w:val="0"/>
          <w:marBottom w:val="0"/>
          <w:divBdr>
            <w:top w:val="none" w:sz="0" w:space="0" w:color="auto"/>
            <w:left w:val="none" w:sz="0" w:space="0" w:color="auto"/>
            <w:bottom w:val="none" w:sz="0" w:space="0" w:color="auto"/>
            <w:right w:val="none" w:sz="0" w:space="0" w:color="auto"/>
          </w:divBdr>
          <w:divsChild>
            <w:div w:id="130885147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69451323">
      <w:bodyDiv w:val="1"/>
      <w:marLeft w:val="0"/>
      <w:marRight w:val="0"/>
      <w:marTop w:val="0"/>
      <w:marBottom w:val="0"/>
      <w:divBdr>
        <w:top w:val="none" w:sz="0" w:space="0" w:color="auto"/>
        <w:left w:val="none" w:sz="0" w:space="0" w:color="auto"/>
        <w:bottom w:val="none" w:sz="0" w:space="0" w:color="auto"/>
        <w:right w:val="none" w:sz="0" w:space="0" w:color="auto"/>
      </w:divBdr>
    </w:div>
    <w:div w:id="1369523999">
      <w:bodyDiv w:val="1"/>
      <w:marLeft w:val="0"/>
      <w:marRight w:val="0"/>
      <w:marTop w:val="0"/>
      <w:marBottom w:val="0"/>
      <w:divBdr>
        <w:top w:val="none" w:sz="0" w:space="0" w:color="auto"/>
        <w:left w:val="none" w:sz="0" w:space="0" w:color="auto"/>
        <w:bottom w:val="none" w:sz="0" w:space="0" w:color="auto"/>
        <w:right w:val="none" w:sz="0" w:space="0" w:color="auto"/>
      </w:divBdr>
      <w:divsChild>
        <w:div w:id="652373415">
          <w:marLeft w:val="0"/>
          <w:marRight w:val="0"/>
          <w:marTop w:val="0"/>
          <w:marBottom w:val="0"/>
          <w:divBdr>
            <w:top w:val="single" w:sz="6" w:space="0" w:color="0E477A"/>
            <w:left w:val="single" w:sz="6" w:space="0" w:color="0E477A"/>
            <w:bottom w:val="single" w:sz="6" w:space="0" w:color="0E477A"/>
            <w:right w:val="single" w:sz="6" w:space="0" w:color="0E477A"/>
          </w:divBdr>
          <w:divsChild>
            <w:div w:id="2132820691">
              <w:marLeft w:val="2925"/>
              <w:marRight w:val="0"/>
              <w:marTop w:val="0"/>
              <w:marBottom w:val="0"/>
              <w:divBdr>
                <w:top w:val="none" w:sz="0" w:space="0" w:color="auto"/>
                <w:left w:val="none" w:sz="0" w:space="0" w:color="auto"/>
                <w:bottom w:val="none" w:sz="0" w:space="0" w:color="auto"/>
                <w:right w:val="none" w:sz="0" w:space="0" w:color="auto"/>
              </w:divBdr>
              <w:divsChild>
                <w:div w:id="1847404510">
                  <w:marLeft w:val="0"/>
                  <w:marRight w:val="0"/>
                  <w:marTop w:val="0"/>
                  <w:marBottom w:val="0"/>
                  <w:divBdr>
                    <w:top w:val="none" w:sz="0" w:space="0" w:color="auto"/>
                    <w:left w:val="none" w:sz="0" w:space="0" w:color="auto"/>
                    <w:bottom w:val="none" w:sz="0" w:space="0" w:color="auto"/>
                    <w:right w:val="none" w:sz="0" w:space="0" w:color="auto"/>
                  </w:divBdr>
                  <w:divsChild>
                    <w:div w:id="401608551">
                      <w:marLeft w:val="0"/>
                      <w:marRight w:val="150"/>
                      <w:marTop w:val="0"/>
                      <w:marBottom w:val="0"/>
                      <w:divBdr>
                        <w:top w:val="single" w:sz="6" w:space="0" w:color="CCCCCC"/>
                        <w:left w:val="single" w:sz="6" w:space="8" w:color="CCCCCC"/>
                        <w:bottom w:val="single" w:sz="6" w:space="8" w:color="CCCCCC"/>
                        <w:right w:val="single" w:sz="6" w:space="8" w:color="CCCCCC"/>
                      </w:divBdr>
                      <w:divsChild>
                        <w:div w:id="1002777552">
                          <w:marLeft w:val="0"/>
                          <w:marRight w:val="0"/>
                          <w:marTop w:val="0"/>
                          <w:marBottom w:val="0"/>
                          <w:divBdr>
                            <w:top w:val="none" w:sz="0" w:space="0" w:color="auto"/>
                            <w:left w:val="none" w:sz="0" w:space="0" w:color="auto"/>
                            <w:bottom w:val="none" w:sz="0" w:space="0" w:color="auto"/>
                            <w:right w:val="none" w:sz="0" w:space="0" w:color="auto"/>
                          </w:divBdr>
                        </w:div>
                        <w:div w:id="1737968126">
                          <w:marLeft w:val="0"/>
                          <w:marRight w:val="0"/>
                          <w:marTop w:val="0"/>
                          <w:marBottom w:val="0"/>
                          <w:divBdr>
                            <w:top w:val="none" w:sz="0" w:space="0" w:color="auto"/>
                            <w:left w:val="none" w:sz="0" w:space="0" w:color="auto"/>
                            <w:bottom w:val="none" w:sz="0" w:space="0" w:color="auto"/>
                            <w:right w:val="none" w:sz="0" w:space="0" w:color="auto"/>
                          </w:divBdr>
                        </w:div>
                        <w:div w:id="1087850272">
                          <w:marLeft w:val="0"/>
                          <w:marRight w:val="0"/>
                          <w:marTop w:val="0"/>
                          <w:marBottom w:val="0"/>
                          <w:divBdr>
                            <w:top w:val="none" w:sz="0" w:space="0" w:color="auto"/>
                            <w:left w:val="none" w:sz="0" w:space="0" w:color="auto"/>
                            <w:bottom w:val="none" w:sz="0" w:space="0" w:color="auto"/>
                            <w:right w:val="none" w:sz="0" w:space="0" w:color="auto"/>
                          </w:divBdr>
                        </w:div>
                        <w:div w:id="1004935683">
                          <w:marLeft w:val="0"/>
                          <w:marRight w:val="0"/>
                          <w:marTop w:val="0"/>
                          <w:marBottom w:val="0"/>
                          <w:divBdr>
                            <w:top w:val="none" w:sz="0" w:space="0" w:color="auto"/>
                            <w:left w:val="none" w:sz="0" w:space="0" w:color="auto"/>
                            <w:bottom w:val="none" w:sz="0" w:space="0" w:color="auto"/>
                            <w:right w:val="none" w:sz="0" w:space="0" w:color="auto"/>
                          </w:divBdr>
                        </w:div>
                        <w:div w:id="2043631751">
                          <w:marLeft w:val="0"/>
                          <w:marRight w:val="0"/>
                          <w:marTop w:val="0"/>
                          <w:marBottom w:val="0"/>
                          <w:divBdr>
                            <w:top w:val="none" w:sz="0" w:space="0" w:color="auto"/>
                            <w:left w:val="none" w:sz="0" w:space="0" w:color="auto"/>
                            <w:bottom w:val="none" w:sz="0" w:space="0" w:color="auto"/>
                            <w:right w:val="none" w:sz="0" w:space="0" w:color="auto"/>
                          </w:divBdr>
                        </w:div>
                        <w:div w:id="1583224828">
                          <w:marLeft w:val="0"/>
                          <w:marRight w:val="0"/>
                          <w:marTop w:val="0"/>
                          <w:marBottom w:val="0"/>
                          <w:divBdr>
                            <w:top w:val="none" w:sz="0" w:space="0" w:color="auto"/>
                            <w:left w:val="none" w:sz="0" w:space="0" w:color="auto"/>
                            <w:bottom w:val="none" w:sz="0" w:space="0" w:color="auto"/>
                            <w:right w:val="none" w:sz="0" w:space="0" w:color="auto"/>
                          </w:divBdr>
                        </w:div>
                        <w:div w:id="774324485">
                          <w:marLeft w:val="0"/>
                          <w:marRight w:val="0"/>
                          <w:marTop w:val="0"/>
                          <w:marBottom w:val="0"/>
                          <w:divBdr>
                            <w:top w:val="none" w:sz="0" w:space="0" w:color="auto"/>
                            <w:left w:val="none" w:sz="0" w:space="0" w:color="auto"/>
                            <w:bottom w:val="none" w:sz="0" w:space="0" w:color="auto"/>
                            <w:right w:val="none" w:sz="0" w:space="0" w:color="auto"/>
                          </w:divBdr>
                        </w:div>
                        <w:div w:id="1984189136">
                          <w:marLeft w:val="0"/>
                          <w:marRight w:val="0"/>
                          <w:marTop w:val="0"/>
                          <w:marBottom w:val="0"/>
                          <w:divBdr>
                            <w:top w:val="none" w:sz="0" w:space="0" w:color="auto"/>
                            <w:left w:val="none" w:sz="0" w:space="0" w:color="auto"/>
                            <w:bottom w:val="none" w:sz="0" w:space="0" w:color="auto"/>
                            <w:right w:val="none" w:sz="0" w:space="0" w:color="auto"/>
                          </w:divBdr>
                        </w:div>
                        <w:div w:id="551382841">
                          <w:marLeft w:val="0"/>
                          <w:marRight w:val="0"/>
                          <w:marTop w:val="0"/>
                          <w:marBottom w:val="0"/>
                          <w:divBdr>
                            <w:top w:val="none" w:sz="0" w:space="0" w:color="auto"/>
                            <w:left w:val="none" w:sz="0" w:space="0" w:color="auto"/>
                            <w:bottom w:val="none" w:sz="0" w:space="0" w:color="auto"/>
                            <w:right w:val="none" w:sz="0" w:space="0" w:color="auto"/>
                          </w:divBdr>
                        </w:div>
                        <w:div w:id="20179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55488">
      <w:bodyDiv w:val="1"/>
      <w:marLeft w:val="0"/>
      <w:marRight w:val="0"/>
      <w:marTop w:val="0"/>
      <w:marBottom w:val="0"/>
      <w:divBdr>
        <w:top w:val="none" w:sz="0" w:space="0" w:color="auto"/>
        <w:left w:val="none" w:sz="0" w:space="0" w:color="auto"/>
        <w:bottom w:val="none" w:sz="0" w:space="0" w:color="auto"/>
        <w:right w:val="none" w:sz="0" w:space="0" w:color="auto"/>
      </w:divBdr>
      <w:divsChild>
        <w:div w:id="1075393778">
          <w:marLeft w:val="0"/>
          <w:marRight w:val="0"/>
          <w:marTop w:val="0"/>
          <w:marBottom w:val="0"/>
          <w:divBdr>
            <w:top w:val="none" w:sz="0" w:space="0" w:color="auto"/>
            <w:left w:val="none" w:sz="0" w:space="0" w:color="auto"/>
            <w:bottom w:val="none" w:sz="0" w:space="0" w:color="auto"/>
            <w:right w:val="none" w:sz="0" w:space="0" w:color="auto"/>
          </w:divBdr>
          <w:divsChild>
            <w:div w:id="255556381">
              <w:marLeft w:val="0"/>
              <w:marRight w:val="0"/>
              <w:marTop w:val="0"/>
              <w:marBottom w:val="0"/>
              <w:divBdr>
                <w:top w:val="none" w:sz="0" w:space="0" w:color="auto"/>
                <w:left w:val="none" w:sz="0" w:space="0" w:color="auto"/>
                <w:bottom w:val="none" w:sz="0" w:space="0" w:color="auto"/>
                <w:right w:val="none" w:sz="0" w:space="0" w:color="auto"/>
              </w:divBdr>
              <w:divsChild>
                <w:div w:id="997270471">
                  <w:marLeft w:val="0"/>
                  <w:marRight w:val="0"/>
                  <w:marTop w:val="0"/>
                  <w:marBottom w:val="0"/>
                  <w:divBdr>
                    <w:top w:val="none" w:sz="0" w:space="0" w:color="auto"/>
                    <w:left w:val="none" w:sz="0" w:space="0" w:color="auto"/>
                    <w:bottom w:val="none" w:sz="0" w:space="0" w:color="auto"/>
                    <w:right w:val="none" w:sz="0" w:space="0" w:color="auto"/>
                  </w:divBdr>
                  <w:divsChild>
                    <w:div w:id="1319723173">
                      <w:marLeft w:val="0"/>
                      <w:marRight w:val="0"/>
                      <w:marTop w:val="0"/>
                      <w:marBottom w:val="0"/>
                      <w:divBdr>
                        <w:top w:val="none" w:sz="0" w:space="0" w:color="auto"/>
                        <w:left w:val="none" w:sz="0" w:space="0" w:color="auto"/>
                        <w:bottom w:val="none" w:sz="0" w:space="0" w:color="auto"/>
                        <w:right w:val="none" w:sz="0" w:space="0" w:color="auto"/>
                      </w:divBdr>
                      <w:divsChild>
                        <w:div w:id="827788791">
                          <w:marLeft w:val="0"/>
                          <w:marRight w:val="0"/>
                          <w:marTop w:val="0"/>
                          <w:marBottom w:val="0"/>
                          <w:divBdr>
                            <w:top w:val="none" w:sz="0" w:space="0" w:color="auto"/>
                            <w:left w:val="none" w:sz="0" w:space="0" w:color="auto"/>
                            <w:bottom w:val="none" w:sz="0" w:space="0" w:color="auto"/>
                            <w:right w:val="none" w:sz="0" w:space="0" w:color="auto"/>
                          </w:divBdr>
                          <w:divsChild>
                            <w:div w:id="69737548">
                              <w:marLeft w:val="0"/>
                              <w:marRight w:val="0"/>
                              <w:marTop w:val="0"/>
                              <w:marBottom w:val="0"/>
                              <w:divBdr>
                                <w:top w:val="none" w:sz="0" w:space="0" w:color="auto"/>
                                <w:left w:val="none" w:sz="0" w:space="0" w:color="auto"/>
                                <w:bottom w:val="none" w:sz="0" w:space="0" w:color="auto"/>
                                <w:right w:val="none" w:sz="0" w:space="0" w:color="auto"/>
                              </w:divBdr>
                              <w:divsChild>
                                <w:div w:id="1117287642">
                                  <w:marLeft w:val="0"/>
                                  <w:marRight w:val="0"/>
                                  <w:marTop w:val="0"/>
                                  <w:marBottom w:val="0"/>
                                  <w:divBdr>
                                    <w:top w:val="none" w:sz="0" w:space="0" w:color="auto"/>
                                    <w:left w:val="none" w:sz="0" w:space="0" w:color="auto"/>
                                    <w:bottom w:val="none" w:sz="0" w:space="0" w:color="auto"/>
                                    <w:right w:val="none" w:sz="0" w:space="0" w:color="auto"/>
                                  </w:divBdr>
                                  <w:divsChild>
                                    <w:div w:id="1546138269">
                                      <w:marLeft w:val="0"/>
                                      <w:marRight w:val="0"/>
                                      <w:marTop w:val="0"/>
                                      <w:marBottom w:val="0"/>
                                      <w:divBdr>
                                        <w:top w:val="none" w:sz="0" w:space="0" w:color="auto"/>
                                        <w:left w:val="none" w:sz="0" w:space="0" w:color="auto"/>
                                        <w:bottom w:val="none" w:sz="0" w:space="0" w:color="auto"/>
                                        <w:right w:val="none" w:sz="0" w:space="0" w:color="auto"/>
                                      </w:divBdr>
                                      <w:divsChild>
                                        <w:div w:id="1417946347">
                                          <w:marLeft w:val="0"/>
                                          <w:marRight w:val="0"/>
                                          <w:marTop w:val="0"/>
                                          <w:marBottom w:val="0"/>
                                          <w:divBdr>
                                            <w:top w:val="none" w:sz="0" w:space="0" w:color="auto"/>
                                            <w:left w:val="none" w:sz="0" w:space="0" w:color="auto"/>
                                            <w:bottom w:val="none" w:sz="0" w:space="0" w:color="auto"/>
                                            <w:right w:val="none" w:sz="0" w:space="0" w:color="auto"/>
                                          </w:divBdr>
                                          <w:divsChild>
                                            <w:div w:id="1676036480">
                                              <w:marLeft w:val="0"/>
                                              <w:marRight w:val="0"/>
                                              <w:marTop w:val="0"/>
                                              <w:marBottom w:val="0"/>
                                              <w:divBdr>
                                                <w:top w:val="none" w:sz="0" w:space="0" w:color="auto"/>
                                                <w:left w:val="none" w:sz="0" w:space="0" w:color="auto"/>
                                                <w:bottom w:val="none" w:sz="0" w:space="0" w:color="auto"/>
                                                <w:right w:val="none" w:sz="0" w:space="0" w:color="auto"/>
                                              </w:divBdr>
                                              <w:divsChild>
                                                <w:div w:id="1459565734">
                                                  <w:marLeft w:val="0"/>
                                                  <w:marRight w:val="0"/>
                                                  <w:marTop w:val="0"/>
                                                  <w:marBottom w:val="0"/>
                                                  <w:divBdr>
                                                    <w:top w:val="none" w:sz="0" w:space="0" w:color="auto"/>
                                                    <w:left w:val="none" w:sz="0" w:space="0" w:color="auto"/>
                                                    <w:bottom w:val="none" w:sz="0" w:space="0" w:color="auto"/>
                                                    <w:right w:val="none" w:sz="0" w:space="0" w:color="auto"/>
                                                  </w:divBdr>
                                                  <w:divsChild>
                                                    <w:div w:id="1739591149">
                                                      <w:marLeft w:val="0"/>
                                                      <w:marRight w:val="0"/>
                                                      <w:marTop w:val="0"/>
                                                      <w:marBottom w:val="0"/>
                                                      <w:divBdr>
                                                        <w:top w:val="none" w:sz="0" w:space="0" w:color="auto"/>
                                                        <w:left w:val="none" w:sz="0" w:space="0" w:color="auto"/>
                                                        <w:bottom w:val="none" w:sz="0" w:space="0" w:color="auto"/>
                                                        <w:right w:val="none" w:sz="0" w:space="0" w:color="auto"/>
                                                      </w:divBdr>
                                                      <w:divsChild>
                                                        <w:div w:id="12141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3112815">
      <w:bodyDiv w:val="1"/>
      <w:marLeft w:val="0"/>
      <w:marRight w:val="0"/>
      <w:marTop w:val="0"/>
      <w:marBottom w:val="0"/>
      <w:divBdr>
        <w:top w:val="none" w:sz="0" w:space="0" w:color="auto"/>
        <w:left w:val="none" w:sz="0" w:space="0" w:color="auto"/>
        <w:bottom w:val="none" w:sz="0" w:space="0" w:color="auto"/>
        <w:right w:val="none" w:sz="0" w:space="0" w:color="auto"/>
      </w:divBdr>
      <w:divsChild>
        <w:div w:id="1555779346">
          <w:marLeft w:val="0"/>
          <w:marRight w:val="0"/>
          <w:marTop w:val="0"/>
          <w:marBottom w:val="0"/>
          <w:divBdr>
            <w:top w:val="none" w:sz="0" w:space="0" w:color="auto"/>
            <w:left w:val="none" w:sz="0" w:space="0" w:color="auto"/>
            <w:bottom w:val="none" w:sz="0" w:space="0" w:color="auto"/>
            <w:right w:val="none" w:sz="0" w:space="0" w:color="auto"/>
          </w:divBdr>
        </w:div>
      </w:divsChild>
    </w:div>
    <w:div w:id="1374620761">
      <w:bodyDiv w:val="1"/>
      <w:marLeft w:val="0"/>
      <w:marRight w:val="0"/>
      <w:marTop w:val="0"/>
      <w:marBottom w:val="0"/>
      <w:divBdr>
        <w:top w:val="none" w:sz="0" w:space="0" w:color="auto"/>
        <w:left w:val="none" w:sz="0" w:space="0" w:color="auto"/>
        <w:bottom w:val="none" w:sz="0" w:space="0" w:color="auto"/>
        <w:right w:val="none" w:sz="0" w:space="0" w:color="auto"/>
      </w:divBdr>
      <w:divsChild>
        <w:div w:id="626012039">
          <w:marLeft w:val="0"/>
          <w:marRight w:val="0"/>
          <w:marTop w:val="0"/>
          <w:marBottom w:val="0"/>
          <w:divBdr>
            <w:top w:val="none" w:sz="0" w:space="0" w:color="auto"/>
            <w:left w:val="none" w:sz="0" w:space="0" w:color="auto"/>
            <w:bottom w:val="none" w:sz="0" w:space="0" w:color="auto"/>
            <w:right w:val="none" w:sz="0" w:space="0" w:color="auto"/>
          </w:divBdr>
          <w:divsChild>
            <w:div w:id="636227946">
              <w:marLeft w:val="0"/>
              <w:marRight w:val="0"/>
              <w:marTop w:val="0"/>
              <w:marBottom w:val="0"/>
              <w:divBdr>
                <w:top w:val="none" w:sz="0" w:space="0" w:color="auto"/>
                <w:left w:val="none" w:sz="0" w:space="0" w:color="auto"/>
                <w:bottom w:val="none" w:sz="0" w:space="0" w:color="auto"/>
                <w:right w:val="none" w:sz="0" w:space="0" w:color="auto"/>
              </w:divBdr>
              <w:divsChild>
                <w:div w:id="1868444797">
                  <w:marLeft w:val="0"/>
                  <w:marRight w:val="0"/>
                  <w:marTop w:val="0"/>
                  <w:marBottom w:val="0"/>
                  <w:divBdr>
                    <w:top w:val="none" w:sz="0" w:space="0" w:color="auto"/>
                    <w:left w:val="none" w:sz="0" w:space="0" w:color="auto"/>
                    <w:bottom w:val="none" w:sz="0" w:space="0" w:color="auto"/>
                    <w:right w:val="none" w:sz="0" w:space="0" w:color="auto"/>
                  </w:divBdr>
                  <w:divsChild>
                    <w:div w:id="1181775927">
                      <w:marLeft w:val="0"/>
                      <w:marRight w:val="0"/>
                      <w:marTop w:val="0"/>
                      <w:marBottom w:val="0"/>
                      <w:divBdr>
                        <w:top w:val="none" w:sz="0" w:space="0" w:color="auto"/>
                        <w:left w:val="none" w:sz="0" w:space="0" w:color="auto"/>
                        <w:bottom w:val="none" w:sz="0" w:space="0" w:color="auto"/>
                        <w:right w:val="none" w:sz="0" w:space="0" w:color="auto"/>
                      </w:divBdr>
                      <w:divsChild>
                        <w:div w:id="2106533552">
                          <w:marLeft w:val="0"/>
                          <w:marRight w:val="0"/>
                          <w:marTop w:val="0"/>
                          <w:marBottom w:val="0"/>
                          <w:divBdr>
                            <w:top w:val="none" w:sz="0" w:space="0" w:color="auto"/>
                            <w:left w:val="none" w:sz="0" w:space="0" w:color="auto"/>
                            <w:bottom w:val="none" w:sz="0" w:space="0" w:color="auto"/>
                            <w:right w:val="none" w:sz="0" w:space="0" w:color="auto"/>
                          </w:divBdr>
                          <w:divsChild>
                            <w:div w:id="766192853">
                              <w:marLeft w:val="0"/>
                              <w:marRight w:val="0"/>
                              <w:marTop w:val="0"/>
                              <w:marBottom w:val="0"/>
                              <w:divBdr>
                                <w:top w:val="none" w:sz="0" w:space="0" w:color="auto"/>
                                <w:left w:val="none" w:sz="0" w:space="0" w:color="auto"/>
                                <w:bottom w:val="none" w:sz="0" w:space="0" w:color="auto"/>
                                <w:right w:val="none" w:sz="0" w:space="0" w:color="auto"/>
                              </w:divBdr>
                              <w:divsChild>
                                <w:div w:id="781807251">
                                  <w:marLeft w:val="0"/>
                                  <w:marRight w:val="0"/>
                                  <w:marTop w:val="0"/>
                                  <w:marBottom w:val="0"/>
                                  <w:divBdr>
                                    <w:top w:val="none" w:sz="0" w:space="0" w:color="auto"/>
                                    <w:left w:val="none" w:sz="0" w:space="0" w:color="auto"/>
                                    <w:bottom w:val="none" w:sz="0" w:space="0" w:color="auto"/>
                                    <w:right w:val="none" w:sz="0" w:space="0" w:color="auto"/>
                                  </w:divBdr>
                                  <w:divsChild>
                                    <w:div w:id="988553279">
                                      <w:marLeft w:val="0"/>
                                      <w:marRight w:val="0"/>
                                      <w:marTop w:val="0"/>
                                      <w:marBottom w:val="0"/>
                                      <w:divBdr>
                                        <w:top w:val="none" w:sz="0" w:space="0" w:color="auto"/>
                                        <w:left w:val="none" w:sz="0" w:space="0" w:color="auto"/>
                                        <w:bottom w:val="none" w:sz="0" w:space="0" w:color="auto"/>
                                        <w:right w:val="none" w:sz="0" w:space="0" w:color="auto"/>
                                      </w:divBdr>
                                      <w:divsChild>
                                        <w:div w:id="1757899044">
                                          <w:marLeft w:val="0"/>
                                          <w:marRight w:val="0"/>
                                          <w:marTop w:val="0"/>
                                          <w:marBottom w:val="0"/>
                                          <w:divBdr>
                                            <w:top w:val="none" w:sz="0" w:space="0" w:color="auto"/>
                                            <w:left w:val="none" w:sz="0" w:space="0" w:color="auto"/>
                                            <w:bottom w:val="none" w:sz="0" w:space="0" w:color="auto"/>
                                            <w:right w:val="none" w:sz="0" w:space="0" w:color="auto"/>
                                          </w:divBdr>
                                          <w:divsChild>
                                            <w:div w:id="1554385530">
                                              <w:marLeft w:val="0"/>
                                              <w:marRight w:val="0"/>
                                              <w:marTop w:val="0"/>
                                              <w:marBottom w:val="0"/>
                                              <w:divBdr>
                                                <w:top w:val="none" w:sz="0" w:space="0" w:color="auto"/>
                                                <w:left w:val="none" w:sz="0" w:space="0" w:color="auto"/>
                                                <w:bottom w:val="none" w:sz="0" w:space="0" w:color="auto"/>
                                                <w:right w:val="none" w:sz="0" w:space="0" w:color="auto"/>
                                              </w:divBdr>
                                              <w:divsChild>
                                                <w:div w:id="2083063230">
                                                  <w:marLeft w:val="0"/>
                                                  <w:marRight w:val="0"/>
                                                  <w:marTop w:val="0"/>
                                                  <w:marBottom w:val="0"/>
                                                  <w:divBdr>
                                                    <w:top w:val="none" w:sz="0" w:space="0" w:color="auto"/>
                                                    <w:left w:val="none" w:sz="0" w:space="0" w:color="auto"/>
                                                    <w:bottom w:val="none" w:sz="0" w:space="0" w:color="auto"/>
                                                    <w:right w:val="none" w:sz="0" w:space="0" w:color="auto"/>
                                                  </w:divBdr>
                                                  <w:divsChild>
                                                    <w:div w:id="728922884">
                                                      <w:marLeft w:val="0"/>
                                                      <w:marRight w:val="0"/>
                                                      <w:marTop w:val="0"/>
                                                      <w:marBottom w:val="0"/>
                                                      <w:divBdr>
                                                        <w:top w:val="none" w:sz="0" w:space="0" w:color="auto"/>
                                                        <w:left w:val="none" w:sz="0" w:space="0" w:color="auto"/>
                                                        <w:bottom w:val="none" w:sz="0" w:space="0" w:color="auto"/>
                                                        <w:right w:val="none" w:sz="0" w:space="0" w:color="auto"/>
                                                      </w:divBdr>
                                                      <w:divsChild>
                                                        <w:div w:id="371420726">
                                                          <w:marLeft w:val="0"/>
                                                          <w:marRight w:val="0"/>
                                                          <w:marTop w:val="0"/>
                                                          <w:marBottom w:val="0"/>
                                                          <w:divBdr>
                                                            <w:top w:val="none" w:sz="0" w:space="0" w:color="auto"/>
                                                            <w:left w:val="none" w:sz="0" w:space="0" w:color="auto"/>
                                                            <w:bottom w:val="none" w:sz="0" w:space="0" w:color="auto"/>
                                                            <w:right w:val="none" w:sz="0" w:space="0" w:color="auto"/>
                                                          </w:divBdr>
                                                        </w:div>
                                                        <w:div w:id="861866903">
                                                          <w:marLeft w:val="0"/>
                                                          <w:marRight w:val="0"/>
                                                          <w:marTop w:val="0"/>
                                                          <w:marBottom w:val="0"/>
                                                          <w:divBdr>
                                                            <w:top w:val="none" w:sz="0" w:space="0" w:color="auto"/>
                                                            <w:left w:val="none" w:sz="0" w:space="0" w:color="auto"/>
                                                            <w:bottom w:val="none" w:sz="0" w:space="0" w:color="auto"/>
                                                            <w:right w:val="none" w:sz="0" w:space="0" w:color="auto"/>
                                                          </w:divBdr>
                                                          <w:divsChild>
                                                            <w:div w:id="21317746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543444">
      <w:bodyDiv w:val="1"/>
      <w:marLeft w:val="0"/>
      <w:marRight w:val="0"/>
      <w:marTop w:val="0"/>
      <w:marBottom w:val="0"/>
      <w:divBdr>
        <w:top w:val="none" w:sz="0" w:space="0" w:color="auto"/>
        <w:left w:val="none" w:sz="0" w:space="0" w:color="auto"/>
        <w:bottom w:val="none" w:sz="0" w:space="0" w:color="auto"/>
        <w:right w:val="none" w:sz="0" w:space="0" w:color="auto"/>
      </w:divBdr>
      <w:divsChild>
        <w:div w:id="1190993454">
          <w:marLeft w:val="0"/>
          <w:marRight w:val="0"/>
          <w:marTop w:val="0"/>
          <w:marBottom w:val="0"/>
          <w:divBdr>
            <w:top w:val="none" w:sz="0" w:space="0" w:color="auto"/>
            <w:left w:val="none" w:sz="0" w:space="0" w:color="auto"/>
            <w:bottom w:val="none" w:sz="0" w:space="0" w:color="auto"/>
            <w:right w:val="none" w:sz="0" w:space="0" w:color="auto"/>
          </w:divBdr>
          <w:divsChild>
            <w:div w:id="856384394">
              <w:marLeft w:val="0"/>
              <w:marRight w:val="0"/>
              <w:marTop w:val="0"/>
              <w:marBottom w:val="0"/>
              <w:divBdr>
                <w:top w:val="none" w:sz="0" w:space="0" w:color="auto"/>
                <w:left w:val="none" w:sz="0" w:space="0" w:color="auto"/>
                <w:bottom w:val="none" w:sz="0" w:space="0" w:color="auto"/>
                <w:right w:val="none" w:sz="0" w:space="0" w:color="auto"/>
              </w:divBdr>
              <w:divsChild>
                <w:div w:id="745688344">
                  <w:marLeft w:val="0"/>
                  <w:marRight w:val="0"/>
                  <w:marTop w:val="0"/>
                  <w:marBottom w:val="0"/>
                  <w:divBdr>
                    <w:top w:val="none" w:sz="0" w:space="0" w:color="auto"/>
                    <w:left w:val="none" w:sz="0" w:space="0" w:color="auto"/>
                    <w:bottom w:val="none" w:sz="0" w:space="0" w:color="auto"/>
                    <w:right w:val="none" w:sz="0" w:space="0" w:color="auto"/>
                  </w:divBdr>
                  <w:divsChild>
                    <w:div w:id="1943417303">
                      <w:marLeft w:val="0"/>
                      <w:marRight w:val="0"/>
                      <w:marTop w:val="0"/>
                      <w:marBottom w:val="0"/>
                      <w:divBdr>
                        <w:top w:val="none" w:sz="0" w:space="0" w:color="auto"/>
                        <w:left w:val="none" w:sz="0" w:space="0" w:color="auto"/>
                        <w:bottom w:val="none" w:sz="0" w:space="0" w:color="auto"/>
                        <w:right w:val="none" w:sz="0" w:space="0" w:color="auto"/>
                      </w:divBdr>
                      <w:divsChild>
                        <w:div w:id="74785937">
                          <w:marLeft w:val="0"/>
                          <w:marRight w:val="0"/>
                          <w:marTop w:val="0"/>
                          <w:marBottom w:val="0"/>
                          <w:divBdr>
                            <w:top w:val="none" w:sz="0" w:space="0" w:color="auto"/>
                            <w:left w:val="none" w:sz="0" w:space="0" w:color="auto"/>
                            <w:bottom w:val="none" w:sz="0" w:space="0" w:color="auto"/>
                            <w:right w:val="none" w:sz="0" w:space="0" w:color="auto"/>
                          </w:divBdr>
                          <w:divsChild>
                            <w:div w:id="1006443922">
                              <w:marLeft w:val="570"/>
                              <w:marRight w:val="720"/>
                              <w:marTop w:val="120"/>
                              <w:marBottom w:val="120"/>
                              <w:divBdr>
                                <w:top w:val="none" w:sz="0" w:space="0" w:color="auto"/>
                                <w:left w:val="none" w:sz="0" w:space="0" w:color="auto"/>
                                <w:bottom w:val="none" w:sz="0" w:space="0" w:color="auto"/>
                                <w:right w:val="none" w:sz="0" w:space="0" w:color="auto"/>
                              </w:divBdr>
                              <w:divsChild>
                                <w:div w:id="1742368140">
                                  <w:marLeft w:val="0"/>
                                  <w:marRight w:val="0"/>
                                  <w:marTop w:val="0"/>
                                  <w:marBottom w:val="0"/>
                                  <w:divBdr>
                                    <w:top w:val="none" w:sz="0" w:space="0" w:color="auto"/>
                                    <w:left w:val="none" w:sz="0" w:space="0" w:color="auto"/>
                                    <w:bottom w:val="none" w:sz="0" w:space="0" w:color="auto"/>
                                    <w:right w:val="none" w:sz="0" w:space="0" w:color="auto"/>
                                  </w:divBdr>
                                  <w:divsChild>
                                    <w:div w:id="1751466351">
                                      <w:marLeft w:val="0"/>
                                      <w:marRight w:val="0"/>
                                      <w:marTop w:val="0"/>
                                      <w:marBottom w:val="0"/>
                                      <w:divBdr>
                                        <w:top w:val="none" w:sz="0" w:space="0" w:color="auto"/>
                                        <w:left w:val="none" w:sz="0" w:space="0" w:color="auto"/>
                                        <w:bottom w:val="none" w:sz="0" w:space="0" w:color="auto"/>
                                        <w:right w:val="none" w:sz="0" w:space="0" w:color="auto"/>
                                      </w:divBdr>
                                      <w:divsChild>
                                        <w:div w:id="1730109519">
                                          <w:marLeft w:val="0"/>
                                          <w:marRight w:val="0"/>
                                          <w:marTop w:val="0"/>
                                          <w:marBottom w:val="0"/>
                                          <w:divBdr>
                                            <w:top w:val="none" w:sz="0" w:space="0" w:color="auto"/>
                                            <w:left w:val="none" w:sz="0" w:space="0" w:color="auto"/>
                                            <w:bottom w:val="none" w:sz="0" w:space="0" w:color="auto"/>
                                            <w:right w:val="none" w:sz="0" w:space="0" w:color="auto"/>
                                          </w:divBdr>
                                        </w:div>
                                        <w:div w:id="1214538808">
                                          <w:marLeft w:val="0"/>
                                          <w:marRight w:val="0"/>
                                          <w:marTop w:val="0"/>
                                          <w:marBottom w:val="150"/>
                                          <w:divBdr>
                                            <w:top w:val="none" w:sz="0" w:space="0" w:color="auto"/>
                                            <w:left w:val="none" w:sz="0" w:space="0" w:color="auto"/>
                                            <w:bottom w:val="none" w:sz="0" w:space="0" w:color="auto"/>
                                            <w:right w:val="none" w:sz="0" w:space="0" w:color="auto"/>
                                          </w:divBdr>
                                          <w:divsChild>
                                            <w:div w:id="1522159206">
                                              <w:marLeft w:val="0"/>
                                              <w:marRight w:val="0"/>
                                              <w:marTop w:val="240"/>
                                              <w:marBottom w:val="240"/>
                                              <w:divBdr>
                                                <w:top w:val="single" w:sz="6" w:space="6" w:color="F2F2F2"/>
                                                <w:left w:val="none" w:sz="0" w:space="0" w:color="auto"/>
                                                <w:bottom w:val="single" w:sz="6" w:space="6" w:color="F2F2F2"/>
                                                <w:right w:val="none" w:sz="0" w:space="0" w:color="auto"/>
                                              </w:divBdr>
                                            </w:div>
                                            <w:div w:id="47151865">
                                              <w:marLeft w:val="0"/>
                                              <w:marRight w:val="0"/>
                                              <w:marTop w:val="0"/>
                                              <w:marBottom w:val="0"/>
                                              <w:divBdr>
                                                <w:top w:val="none" w:sz="0" w:space="0" w:color="auto"/>
                                                <w:left w:val="none" w:sz="0" w:space="0" w:color="auto"/>
                                                <w:bottom w:val="none" w:sz="0" w:space="0" w:color="auto"/>
                                                <w:right w:val="none" w:sz="0" w:space="0" w:color="auto"/>
                                              </w:divBdr>
                                              <w:divsChild>
                                                <w:div w:id="7373604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884420">
      <w:bodyDiv w:val="1"/>
      <w:marLeft w:val="0"/>
      <w:marRight w:val="0"/>
      <w:marTop w:val="0"/>
      <w:marBottom w:val="0"/>
      <w:divBdr>
        <w:top w:val="none" w:sz="0" w:space="0" w:color="auto"/>
        <w:left w:val="none" w:sz="0" w:space="0" w:color="auto"/>
        <w:bottom w:val="none" w:sz="0" w:space="0" w:color="auto"/>
        <w:right w:val="none" w:sz="0" w:space="0" w:color="auto"/>
      </w:divBdr>
      <w:divsChild>
        <w:div w:id="1389303391">
          <w:marLeft w:val="0"/>
          <w:marRight w:val="0"/>
          <w:marTop w:val="0"/>
          <w:marBottom w:val="0"/>
          <w:divBdr>
            <w:top w:val="single" w:sz="6" w:space="0" w:color="0E477A"/>
            <w:left w:val="single" w:sz="6" w:space="0" w:color="0E477A"/>
            <w:bottom w:val="single" w:sz="6" w:space="0" w:color="0E477A"/>
            <w:right w:val="single" w:sz="6" w:space="0" w:color="0E477A"/>
          </w:divBdr>
          <w:divsChild>
            <w:div w:id="510141828">
              <w:marLeft w:val="2925"/>
              <w:marRight w:val="0"/>
              <w:marTop w:val="0"/>
              <w:marBottom w:val="0"/>
              <w:divBdr>
                <w:top w:val="none" w:sz="0" w:space="0" w:color="auto"/>
                <w:left w:val="none" w:sz="0" w:space="0" w:color="auto"/>
                <w:bottom w:val="none" w:sz="0" w:space="0" w:color="auto"/>
                <w:right w:val="none" w:sz="0" w:space="0" w:color="auto"/>
              </w:divBdr>
              <w:divsChild>
                <w:div w:id="1286306318">
                  <w:marLeft w:val="0"/>
                  <w:marRight w:val="0"/>
                  <w:marTop w:val="0"/>
                  <w:marBottom w:val="0"/>
                  <w:divBdr>
                    <w:top w:val="none" w:sz="0" w:space="0" w:color="auto"/>
                    <w:left w:val="none" w:sz="0" w:space="0" w:color="auto"/>
                    <w:bottom w:val="none" w:sz="0" w:space="0" w:color="auto"/>
                    <w:right w:val="none" w:sz="0" w:space="0" w:color="auto"/>
                  </w:divBdr>
                  <w:divsChild>
                    <w:div w:id="1701929729">
                      <w:marLeft w:val="0"/>
                      <w:marRight w:val="150"/>
                      <w:marTop w:val="0"/>
                      <w:marBottom w:val="0"/>
                      <w:divBdr>
                        <w:top w:val="single" w:sz="6" w:space="0" w:color="CCCCCC"/>
                        <w:left w:val="single" w:sz="6" w:space="8" w:color="CCCCCC"/>
                        <w:bottom w:val="single" w:sz="6" w:space="8" w:color="CCCCCC"/>
                        <w:right w:val="single" w:sz="6" w:space="8" w:color="CCCCCC"/>
                      </w:divBdr>
                      <w:divsChild>
                        <w:div w:id="12784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959531">
      <w:bodyDiv w:val="1"/>
      <w:marLeft w:val="0"/>
      <w:marRight w:val="0"/>
      <w:marTop w:val="0"/>
      <w:marBottom w:val="0"/>
      <w:divBdr>
        <w:top w:val="none" w:sz="0" w:space="0" w:color="auto"/>
        <w:left w:val="none" w:sz="0" w:space="0" w:color="auto"/>
        <w:bottom w:val="none" w:sz="0" w:space="0" w:color="auto"/>
        <w:right w:val="none" w:sz="0" w:space="0" w:color="auto"/>
      </w:divBdr>
      <w:divsChild>
        <w:div w:id="446193536">
          <w:marLeft w:val="0"/>
          <w:marRight w:val="0"/>
          <w:marTop w:val="0"/>
          <w:marBottom w:val="0"/>
          <w:divBdr>
            <w:top w:val="none" w:sz="0" w:space="0" w:color="auto"/>
            <w:left w:val="none" w:sz="0" w:space="0" w:color="auto"/>
            <w:bottom w:val="none" w:sz="0" w:space="0" w:color="auto"/>
            <w:right w:val="none" w:sz="0" w:space="0" w:color="auto"/>
          </w:divBdr>
          <w:divsChild>
            <w:div w:id="845439477">
              <w:marLeft w:val="0"/>
              <w:marRight w:val="0"/>
              <w:marTop w:val="0"/>
              <w:marBottom w:val="0"/>
              <w:divBdr>
                <w:top w:val="none" w:sz="0" w:space="0" w:color="auto"/>
                <w:left w:val="none" w:sz="0" w:space="0" w:color="auto"/>
                <w:bottom w:val="none" w:sz="0" w:space="0" w:color="auto"/>
                <w:right w:val="none" w:sz="0" w:space="0" w:color="auto"/>
              </w:divBdr>
              <w:divsChild>
                <w:div w:id="879053694">
                  <w:marLeft w:val="0"/>
                  <w:marRight w:val="0"/>
                  <w:marTop w:val="0"/>
                  <w:marBottom w:val="0"/>
                  <w:divBdr>
                    <w:top w:val="none" w:sz="0" w:space="0" w:color="auto"/>
                    <w:left w:val="none" w:sz="0" w:space="0" w:color="auto"/>
                    <w:bottom w:val="none" w:sz="0" w:space="0" w:color="auto"/>
                    <w:right w:val="none" w:sz="0" w:space="0" w:color="auto"/>
                  </w:divBdr>
                  <w:divsChild>
                    <w:div w:id="1323267725">
                      <w:marLeft w:val="0"/>
                      <w:marRight w:val="0"/>
                      <w:marTop w:val="0"/>
                      <w:marBottom w:val="0"/>
                      <w:divBdr>
                        <w:top w:val="none" w:sz="0" w:space="0" w:color="auto"/>
                        <w:left w:val="none" w:sz="0" w:space="0" w:color="auto"/>
                        <w:bottom w:val="none" w:sz="0" w:space="0" w:color="auto"/>
                        <w:right w:val="none" w:sz="0" w:space="0" w:color="auto"/>
                      </w:divBdr>
                      <w:divsChild>
                        <w:div w:id="47973553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376931450">
      <w:bodyDiv w:val="1"/>
      <w:marLeft w:val="0"/>
      <w:marRight w:val="0"/>
      <w:marTop w:val="0"/>
      <w:marBottom w:val="0"/>
      <w:divBdr>
        <w:top w:val="none" w:sz="0" w:space="0" w:color="auto"/>
        <w:left w:val="none" w:sz="0" w:space="0" w:color="auto"/>
        <w:bottom w:val="none" w:sz="0" w:space="0" w:color="auto"/>
        <w:right w:val="none" w:sz="0" w:space="0" w:color="auto"/>
      </w:divBdr>
      <w:divsChild>
        <w:div w:id="1048333746">
          <w:marLeft w:val="0"/>
          <w:marRight w:val="0"/>
          <w:marTop w:val="0"/>
          <w:marBottom w:val="0"/>
          <w:divBdr>
            <w:top w:val="none" w:sz="0" w:space="0" w:color="auto"/>
            <w:left w:val="none" w:sz="0" w:space="0" w:color="auto"/>
            <w:bottom w:val="none" w:sz="0" w:space="0" w:color="auto"/>
            <w:right w:val="none" w:sz="0" w:space="0" w:color="auto"/>
          </w:divBdr>
          <w:divsChild>
            <w:div w:id="595403847">
              <w:marLeft w:val="0"/>
              <w:marRight w:val="0"/>
              <w:marTop w:val="0"/>
              <w:marBottom w:val="0"/>
              <w:divBdr>
                <w:top w:val="none" w:sz="0" w:space="0" w:color="auto"/>
                <w:left w:val="none" w:sz="0" w:space="0" w:color="auto"/>
                <w:bottom w:val="none" w:sz="0" w:space="0" w:color="auto"/>
                <w:right w:val="none" w:sz="0" w:space="0" w:color="auto"/>
              </w:divBdr>
              <w:divsChild>
                <w:div w:id="1635259504">
                  <w:marLeft w:val="0"/>
                  <w:marRight w:val="0"/>
                  <w:marTop w:val="0"/>
                  <w:marBottom w:val="0"/>
                  <w:divBdr>
                    <w:top w:val="none" w:sz="0" w:space="0" w:color="auto"/>
                    <w:left w:val="none" w:sz="0" w:space="0" w:color="auto"/>
                    <w:bottom w:val="none" w:sz="0" w:space="0" w:color="auto"/>
                    <w:right w:val="none" w:sz="0" w:space="0" w:color="auto"/>
                  </w:divBdr>
                  <w:divsChild>
                    <w:div w:id="1233469656">
                      <w:marLeft w:val="0"/>
                      <w:marRight w:val="0"/>
                      <w:marTop w:val="0"/>
                      <w:marBottom w:val="0"/>
                      <w:divBdr>
                        <w:top w:val="none" w:sz="0" w:space="0" w:color="auto"/>
                        <w:left w:val="none" w:sz="0" w:space="0" w:color="auto"/>
                        <w:bottom w:val="none" w:sz="0" w:space="0" w:color="auto"/>
                        <w:right w:val="none" w:sz="0" w:space="0" w:color="auto"/>
                      </w:divBdr>
                    </w:div>
                    <w:div w:id="9713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5950">
          <w:marLeft w:val="0"/>
          <w:marRight w:val="0"/>
          <w:marTop w:val="0"/>
          <w:marBottom w:val="0"/>
          <w:divBdr>
            <w:top w:val="none" w:sz="0" w:space="0" w:color="auto"/>
            <w:left w:val="none" w:sz="0" w:space="0" w:color="auto"/>
            <w:bottom w:val="none" w:sz="0" w:space="0" w:color="auto"/>
            <w:right w:val="none" w:sz="0" w:space="0" w:color="auto"/>
          </w:divBdr>
          <w:divsChild>
            <w:div w:id="1072049090">
              <w:marLeft w:val="0"/>
              <w:marRight w:val="0"/>
              <w:marTop w:val="0"/>
              <w:marBottom w:val="0"/>
              <w:divBdr>
                <w:top w:val="none" w:sz="0" w:space="0" w:color="auto"/>
                <w:left w:val="none" w:sz="0" w:space="0" w:color="auto"/>
                <w:bottom w:val="none" w:sz="0" w:space="0" w:color="auto"/>
                <w:right w:val="none" w:sz="0" w:space="0" w:color="auto"/>
              </w:divBdr>
              <w:divsChild>
                <w:div w:id="288781305">
                  <w:marLeft w:val="0"/>
                  <w:marRight w:val="0"/>
                  <w:marTop w:val="0"/>
                  <w:marBottom w:val="0"/>
                  <w:divBdr>
                    <w:top w:val="none" w:sz="0" w:space="0" w:color="auto"/>
                    <w:left w:val="none" w:sz="0" w:space="0" w:color="auto"/>
                    <w:bottom w:val="none" w:sz="0" w:space="0" w:color="auto"/>
                    <w:right w:val="none" w:sz="0" w:space="0" w:color="auto"/>
                  </w:divBdr>
                  <w:divsChild>
                    <w:div w:id="1833985121">
                      <w:marLeft w:val="0"/>
                      <w:marRight w:val="0"/>
                      <w:marTop w:val="0"/>
                      <w:marBottom w:val="0"/>
                      <w:divBdr>
                        <w:top w:val="none" w:sz="0" w:space="0" w:color="auto"/>
                        <w:left w:val="none" w:sz="0" w:space="0" w:color="auto"/>
                        <w:bottom w:val="none" w:sz="0" w:space="0" w:color="auto"/>
                        <w:right w:val="none" w:sz="0" w:space="0" w:color="auto"/>
                      </w:divBdr>
                      <w:divsChild>
                        <w:div w:id="362293454">
                          <w:marLeft w:val="0"/>
                          <w:marRight w:val="0"/>
                          <w:marTop w:val="0"/>
                          <w:marBottom w:val="0"/>
                          <w:divBdr>
                            <w:top w:val="none" w:sz="0" w:space="0" w:color="auto"/>
                            <w:left w:val="none" w:sz="0" w:space="0" w:color="auto"/>
                            <w:bottom w:val="none" w:sz="0" w:space="0" w:color="auto"/>
                            <w:right w:val="none" w:sz="0" w:space="0" w:color="auto"/>
                          </w:divBdr>
                          <w:divsChild>
                            <w:div w:id="1701661231">
                              <w:marLeft w:val="0"/>
                              <w:marRight w:val="0"/>
                              <w:marTop w:val="0"/>
                              <w:marBottom w:val="0"/>
                              <w:divBdr>
                                <w:top w:val="none" w:sz="0" w:space="0" w:color="auto"/>
                                <w:left w:val="none" w:sz="0" w:space="0" w:color="auto"/>
                                <w:bottom w:val="none" w:sz="0" w:space="0" w:color="auto"/>
                                <w:right w:val="none" w:sz="0" w:space="0" w:color="auto"/>
                              </w:divBdr>
                            </w:div>
                          </w:divsChild>
                        </w:div>
                        <w:div w:id="1526015275">
                          <w:marLeft w:val="0"/>
                          <w:marRight w:val="0"/>
                          <w:marTop w:val="0"/>
                          <w:marBottom w:val="0"/>
                          <w:divBdr>
                            <w:top w:val="none" w:sz="0" w:space="0" w:color="auto"/>
                            <w:left w:val="none" w:sz="0" w:space="0" w:color="auto"/>
                            <w:bottom w:val="none" w:sz="0" w:space="0" w:color="auto"/>
                            <w:right w:val="none" w:sz="0" w:space="0" w:color="auto"/>
                          </w:divBdr>
                          <w:divsChild>
                            <w:div w:id="1582179349">
                              <w:marLeft w:val="0"/>
                              <w:marRight w:val="0"/>
                              <w:marTop w:val="0"/>
                              <w:marBottom w:val="0"/>
                              <w:divBdr>
                                <w:top w:val="none" w:sz="0" w:space="0" w:color="auto"/>
                                <w:left w:val="none" w:sz="0" w:space="0" w:color="auto"/>
                                <w:bottom w:val="none" w:sz="0" w:space="0" w:color="auto"/>
                                <w:right w:val="none" w:sz="0" w:space="0" w:color="auto"/>
                              </w:divBdr>
                              <w:divsChild>
                                <w:div w:id="1210529448">
                                  <w:marLeft w:val="0"/>
                                  <w:marRight w:val="0"/>
                                  <w:marTop w:val="0"/>
                                  <w:marBottom w:val="0"/>
                                  <w:divBdr>
                                    <w:top w:val="none" w:sz="0" w:space="0" w:color="auto"/>
                                    <w:left w:val="none" w:sz="0" w:space="0" w:color="auto"/>
                                    <w:bottom w:val="none" w:sz="0" w:space="0" w:color="auto"/>
                                    <w:right w:val="none" w:sz="0" w:space="0" w:color="auto"/>
                                  </w:divBdr>
                                  <w:divsChild>
                                    <w:div w:id="1042367293">
                                      <w:marLeft w:val="0"/>
                                      <w:marRight w:val="0"/>
                                      <w:marTop w:val="0"/>
                                      <w:marBottom w:val="0"/>
                                      <w:divBdr>
                                        <w:top w:val="none" w:sz="0" w:space="0" w:color="auto"/>
                                        <w:left w:val="none" w:sz="0" w:space="0" w:color="auto"/>
                                        <w:bottom w:val="none" w:sz="0" w:space="0" w:color="auto"/>
                                        <w:right w:val="none" w:sz="0" w:space="0" w:color="auto"/>
                                      </w:divBdr>
                                      <w:divsChild>
                                        <w:div w:id="1820219870">
                                          <w:marLeft w:val="0"/>
                                          <w:marRight w:val="0"/>
                                          <w:marTop w:val="0"/>
                                          <w:marBottom w:val="0"/>
                                          <w:divBdr>
                                            <w:top w:val="none" w:sz="0" w:space="0" w:color="auto"/>
                                            <w:left w:val="none" w:sz="0" w:space="0" w:color="auto"/>
                                            <w:bottom w:val="none" w:sz="0" w:space="0" w:color="auto"/>
                                            <w:right w:val="none" w:sz="0" w:space="0" w:color="auto"/>
                                          </w:divBdr>
                                        </w:div>
                                        <w:div w:id="821429182">
                                          <w:marLeft w:val="0"/>
                                          <w:marRight w:val="0"/>
                                          <w:marTop w:val="0"/>
                                          <w:marBottom w:val="0"/>
                                          <w:divBdr>
                                            <w:top w:val="none" w:sz="0" w:space="0" w:color="auto"/>
                                            <w:left w:val="none" w:sz="0" w:space="0" w:color="auto"/>
                                            <w:bottom w:val="none" w:sz="0" w:space="0" w:color="auto"/>
                                            <w:right w:val="none" w:sz="0" w:space="0" w:color="auto"/>
                                          </w:divBdr>
                                        </w:div>
                                        <w:div w:id="182786972">
                                          <w:marLeft w:val="0"/>
                                          <w:marRight w:val="0"/>
                                          <w:marTop w:val="0"/>
                                          <w:marBottom w:val="0"/>
                                          <w:divBdr>
                                            <w:top w:val="none" w:sz="0" w:space="0" w:color="auto"/>
                                            <w:left w:val="none" w:sz="0" w:space="0" w:color="auto"/>
                                            <w:bottom w:val="none" w:sz="0" w:space="0" w:color="auto"/>
                                            <w:right w:val="none" w:sz="0" w:space="0" w:color="auto"/>
                                          </w:divBdr>
                                        </w:div>
                                        <w:div w:id="938870190">
                                          <w:marLeft w:val="0"/>
                                          <w:marRight w:val="0"/>
                                          <w:marTop w:val="0"/>
                                          <w:marBottom w:val="0"/>
                                          <w:divBdr>
                                            <w:top w:val="none" w:sz="0" w:space="0" w:color="auto"/>
                                            <w:left w:val="none" w:sz="0" w:space="0" w:color="auto"/>
                                            <w:bottom w:val="none" w:sz="0" w:space="0" w:color="auto"/>
                                            <w:right w:val="none" w:sz="0" w:space="0" w:color="auto"/>
                                          </w:divBdr>
                                        </w:div>
                                        <w:div w:id="1582258554">
                                          <w:marLeft w:val="0"/>
                                          <w:marRight w:val="0"/>
                                          <w:marTop w:val="0"/>
                                          <w:marBottom w:val="0"/>
                                          <w:divBdr>
                                            <w:top w:val="none" w:sz="0" w:space="0" w:color="auto"/>
                                            <w:left w:val="none" w:sz="0" w:space="0" w:color="auto"/>
                                            <w:bottom w:val="none" w:sz="0" w:space="0" w:color="auto"/>
                                            <w:right w:val="none" w:sz="0" w:space="0" w:color="auto"/>
                                          </w:divBdr>
                                          <w:divsChild>
                                            <w:div w:id="16503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58146">
                                      <w:marLeft w:val="0"/>
                                      <w:marRight w:val="0"/>
                                      <w:marTop w:val="0"/>
                                      <w:marBottom w:val="0"/>
                                      <w:divBdr>
                                        <w:top w:val="none" w:sz="0" w:space="0" w:color="auto"/>
                                        <w:left w:val="none" w:sz="0" w:space="0" w:color="auto"/>
                                        <w:bottom w:val="none" w:sz="0" w:space="0" w:color="auto"/>
                                        <w:right w:val="none" w:sz="0" w:space="0" w:color="auto"/>
                                      </w:divBdr>
                                      <w:divsChild>
                                        <w:div w:id="13737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582900">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3">
          <w:marLeft w:val="0"/>
          <w:marRight w:val="0"/>
          <w:marTop w:val="0"/>
          <w:marBottom w:val="0"/>
          <w:divBdr>
            <w:top w:val="none" w:sz="0" w:space="0" w:color="auto"/>
            <w:left w:val="none" w:sz="0" w:space="0" w:color="auto"/>
            <w:bottom w:val="none" w:sz="0" w:space="0" w:color="auto"/>
            <w:right w:val="none" w:sz="0" w:space="0" w:color="auto"/>
          </w:divBdr>
          <w:divsChild>
            <w:div w:id="1398674422">
              <w:marLeft w:val="0"/>
              <w:marRight w:val="0"/>
              <w:marTop w:val="0"/>
              <w:marBottom w:val="0"/>
              <w:divBdr>
                <w:top w:val="none" w:sz="0" w:space="0" w:color="auto"/>
                <w:left w:val="none" w:sz="0" w:space="0" w:color="auto"/>
                <w:bottom w:val="none" w:sz="0" w:space="0" w:color="auto"/>
                <w:right w:val="none" w:sz="0" w:space="0" w:color="auto"/>
              </w:divBdr>
              <w:divsChild>
                <w:div w:id="2117558067">
                  <w:marLeft w:val="0"/>
                  <w:marRight w:val="0"/>
                  <w:marTop w:val="0"/>
                  <w:marBottom w:val="0"/>
                  <w:divBdr>
                    <w:top w:val="none" w:sz="0" w:space="0" w:color="auto"/>
                    <w:left w:val="none" w:sz="0" w:space="0" w:color="auto"/>
                    <w:bottom w:val="none" w:sz="0" w:space="0" w:color="auto"/>
                    <w:right w:val="none" w:sz="0" w:space="0" w:color="auto"/>
                  </w:divBdr>
                  <w:divsChild>
                    <w:div w:id="114636707">
                      <w:marLeft w:val="0"/>
                      <w:marRight w:val="0"/>
                      <w:marTop w:val="0"/>
                      <w:marBottom w:val="0"/>
                      <w:divBdr>
                        <w:top w:val="none" w:sz="0" w:space="0" w:color="auto"/>
                        <w:left w:val="none" w:sz="0" w:space="0" w:color="auto"/>
                        <w:bottom w:val="none" w:sz="0" w:space="0" w:color="auto"/>
                        <w:right w:val="none" w:sz="0" w:space="0" w:color="auto"/>
                      </w:divBdr>
                      <w:divsChild>
                        <w:div w:id="340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160438">
      <w:bodyDiv w:val="1"/>
      <w:marLeft w:val="0"/>
      <w:marRight w:val="0"/>
      <w:marTop w:val="0"/>
      <w:marBottom w:val="0"/>
      <w:divBdr>
        <w:top w:val="none" w:sz="0" w:space="0" w:color="auto"/>
        <w:left w:val="none" w:sz="0" w:space="0" w:color="auto"/>
        <w:bottom w:val="none" w:sz="0" w:space="0" w:color="auto"/>
        <w:right w:val="none" w:sz="0" w:space="0" w:color="auto"/>
      </w:divBdr>
      <w:divsChild>
        <w:div w:id="1300380324">
          <w:marLeft w:val="0"/>
          <w:marRight w:val="0"/>
          <w:marTop w:val="0"/>
          <w:marBottom w:val="0"/>
          <w:divBdr>
            <w:top w:val="none" w:sz="0" w:space="0" w:color="auto"/>
            <w:left w:val="none" w:sz="0" w:space="0" w:color="auto"/>
            <w:bottom w:val="none" w:sz="0" w:space="0" w:color="auto"/>
            <w:right w:val="none" w:sz="0" w:space="0" w:color="auto"/>
          </w:divBdr>
          <w:divsChild>
            <w:div w:id="518466982">
              <w:marLeft w:val="0"/>
              <w:marRight w:val="0"/>
              <w:marTop w:val="0"/>
              <w:marBottom w:val="0"/>
              <w:divBdr>
                <w:top w:val="none" w:sz="0" w:space="0" w:color="auto"/>
                <w:left w:val="none" w:sz="0" w:space="0" w:color="auto"/>
                <w:bottom w:val="none" w:sz="0" w:space="0" w:color="auto"/>
                <w:right w:val="none" w:sz="0" w:space="0" w:color="auto"/>
              </w:divBdr>
              <w:divsChild>
                <w:div w:id="1494444724">
                  <w:marLeft w:val="0"/>
                  <w:marRight w:val="0"/>
                  <w:marTop w:val="100"/>
                  <w:marBottom w:val="100"/>
                  <w:divBdr>
                    <w:top w:val="none" w:sz="0" w:space="0" w:color="auto"/>
                    <w:left w:val="none" w:sz="0" w:space="0" w:color="auto"/>
                    <w:bottom w:val="none" w:sz="0" w:space="0" w:color="auto"/>
                    <w:right w:val="none" w:sz="0" w:space="0" w:color="auto"/>
                  </w:divBdr>
                  <w:divsChild>
                    <w:div w:id="369111609">
                      <w:marLeft w:val="0"/>
                      <w:marRight w:val="0"/>
                      <w:marTop w:val="0"/>
                      <w:marBottom w:val="0"/>
                      <w:divBdr>
                        <w:top w:val="none" w:sz="0" w:space="0" w:color="auto"/>
                        <w:left w:val="none" w:sz="0" w:space="0" w:color="auto"/>
                        <w:bottom w:val="none" w:sz="0" w:space="0" w:color="auto"/>
                        <w:right w:val="none" w:sz="0" w:space="0" w:color="auto"/>
                      </w:divBdr>
                      <w:divsChild>
                        <w:div w:id="967735608">
                          <w:marLeft w:val="0"/>
                          <w:marRight w:val="0"/>
                          <w:marTop w:val="0"/>
                          <w:marBottom w:val="0"/>
                          <w:divBdr>
                            <w:top w:val="none" w:sz="0" w:space="0" w:color="auto"/>
                            <w:left w:val="none" w:sz="0" w:space="0" w:color="auto"/>
                            <w:bottom w:val="none" w:sz="0" w:space="0" w:color="auto"/>
                            <w:right w:val="none" w:sz="0" w:space="0" w:color="auto"/>
                          </w:divBdr>
                          <w:divsChild>
                            <w:div w:id="993021595">
                              <w:marLeft w:val="0"/>
                              <w:marRight w:val="0"/>
                              <w:marTop w:val="0"/>
                              <w:marBottom w:val="0"/>
                              <w:divBdr>
                                <w:top w:val="none" w:sz="0" w:space="0" w:color="auto"/>
                                <w:left w:val="none" w:sz="0" w:space="0" w:color="auto"/>
                                <w:bottom w:val="none" w:sz="0" w:space="0" w:color="auto"/>
                                <w:right w:val="none" w:sz="0" w:space="0" w:color="auto"/>
                              </w:divBdr>
                              <w:divsChild>
                                <w:div w:id="845484031">
                                  <w:marLeft w:val="0"/>
                                  <w:marRight w:val="0"/>
                                  <w:marTop w:val="0"/>
                                  <w:marBottom w:val="0"/>
                                  <w:divBdr>
                                    <w:top w:val="none" w:sz="0" w:space="0" w:color="auto"/>
                                    <w:left w:val="none" w:sz="0" w:space="0" w:color="auto"/>
                                    <w:bottom w:val="none" w:sz="0" w:space="0" w:color="auto"/>
                                    <w:right w:val="none" w:sz="0" w:space="0" w:color="auto"/>
                                  </w:divBdr>
                                  <w:divsChild>
                                    <w:div w:id="1316028998">
                                      <w:marLeft w:val="0"/>
                                      <w:marRight w:val="0"/>
                                      <w:marTop w:val="0"/>
                                      <w:marBottom w:val="0"/>
                                      <w:divBdr>
                                        <w:top w:val="none" w:sz="0" w:space="0" w:color="auto"/>
                                        <w:left w:val="none" w:sz="0" w:space="0" w:color="auto"/>
                                        <w:bottom w:val="none" w:sz="0" w:space="0" w:color="auto"/>
                                        <w:right w:val="none" w:sz="0" w:space="0" w:color="auto"/>
                                      </w:divBdr>
                                      <w:divsChild>
                                        <w:div w:id="1903783809">
                                          <w:marLeft w:val="0"/>
                                          <w:marRight w:val="0"/>
                                          <w:marTop w:val="0"/>
                                          <w:marBottom w:val="0"/>
                                          <w:divBdr>
                                            <w:top w:val="none" w:sz="0" w:space="0" w:color="auto"/>
                                            <w:left w:val="none" w:sz="0" w:space="0" w:color="auto"/>
                                            <w:bottom w:val="none" w:sz="0" w:space="0" w:color="auto"/>
                                            <w:right w:val="none" w:sz="0" w:space="0" w:color="auto"/>
                                          </w:divBdr>
                                          <w:divsChild>
                                            <w:div w:id="2037002847">
                                              <w:marLeft w:val="0"/>
                                              <w:marRight w:val="0"/>
                                              <w:marTop w:val="0"/>
                                              <w:marBottom w:val="0"/>
                                              <w:divBdr>
                                                <w:top w:val="none" w:sz="0" w:space="0" w:color="auto"/>
                                                <w:left w:val="none" w:sz="0" w:space="0" w:color="auto"/>
                                                <w:bottom w:val="none" w:sz="0" w:space="0" w:color="auto"/>
                                                <w:right w:val="none" w:sz="0" w:space="0" w:color="auto"/>
                                              </w:divBdr>
                                              <w:divsChild>
                                                <w:div w:id="1024476136">
                                                  <w:marLeft w:val="0"/>
                                                  <w:marRight w:val="0"/>
                                                  <w:marTop w:val="0"/>
                                                  <w:marBottom w:val="0"/>
                                                  <w:divBdr>
                                                    <w:top w:val="none" w:sz="0" w:space="0" w:color="auto"/>
                                                    <w:left w:val="none" w:sz="0" w:space="0" w:color="auto"/>
                                                    <w:bottom w:val="none" w:sz="0" w:space="0" w:color="auto"/>
                                                    <w:right w:val="none" w:sz="0" w:space="0" w:color="auto"/>
                                                  </w:divBdr>
                                                  <w:divsChild>
                                                    <w:div w:id="2033803715">
                                                      <w:marLeft w:val="0"/>
                                                      <w:marRight w:val="0"/>
                                                      <w:marTop w:val="0"/>
                                                      <w:marBottom w:val="0"/>
                                                      <w:divBdr>
                                                        <w:top w:val="none" w:sz="0" w:space="0" w:color="auto"/>
                                                        <w:left w:val="none" w:sz="0" w:space="0" w:color="auto"/>
                                                        <w:bottom w:val="none" w:sz="0" w:space="0" w:color="auto"/>
                                                        <w:right w:val="none" w:sz="0" w:space="0" w:color="auto"/>
                                                      </w:divBdr>
                                                    </w:div>
                                                    <w:div w:id="2234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161984">
      <w:bodyDiv w:val="1"/>
      <w:marLeft w:val="0"/>
      <w:marRight w:val="0"/>
      <w:marTop w:val="0"/>
      <w:marBottom w:val="0"/>
      <w:divBdr>
        <w:top w:val="none" w:sz="0" w:space="0" w:color="auto"/>
        <w:left w:val="none" w:sz="0" w:space="0" w:color="auto"/>
        <w:bottom w:val="none" w:sz="0" w:space="0" w:color="auto"/>
        <w:right w:val="none" w:sz="0" w:space="0" w:color="auto"/>
      </w:divBdr>
      <w:divsChild>
        <w:div w:id="592907130">
          <w:marLeft w:val="0"/>
          <w:marRight w:val="0"/>
          <w:marTop w:val="0"/>
          <w:marBottom w:val="0"/>
          <w:divBdr>
            <w:top w:val="none" w:sz="0" w:space="0" w:color="auto"/>
            <w:left w:val="none" w:sz="0" w:space="0" w:color="auto"/>
            <w:bottom w:val="none" w:sz="0" w:space="0" w:color="auto"/>
            <w:right w:val="none" w:sz="0" w:space="0" w:color="auto"/>
          </w:divBdr>
          <w:divsChild>
            <w:div w:id="71701129">
              <w:marLeft w:val="0"/>
              <w:marRight w:val="0"/>
              <w:marTop w:val="0"/>
              <w:marBottom w:val="0"/>
              <w:divBdr>
                <w:top w:val="none" w:sz="0" w:space="0" w:color="auto"/>
                <w:left w:val="none" w:sz="0" w:space="0" w:color="auto"/>
                <w:bottom w:val="none" w:sz="0" w:space="0" w:color="auto"/>
                <w:right w:val="none" w:sz="0" w:space="0" w:color="auto"/>
              </w:divBdr>
              <w:divsChild>
                <w:div w:id="981543435">
                  <w:marLeft w:val="0"/>
                  <w:marRight w:val="0"/>
                  <w:marTop w:val="0"/>
                  <w:marBottom w:val="0"/>
                  <w:divBdr>
                    <w:top w:val="none" w:sz="0" w:space="0" w:color="auto"/>
                    <w:left w:val="none" w:sz="0" w:space="0" w:color="auto"/>
                    <w:bottom w:val="none" w:sz="0" w:space="0" w:color="auto"/>
                    <w:right w:val="none" w:sz="0" w:space="0" w:color="auto"/>
                  </w:divBdr>
                  <w:divsChild>
                    <w:div w:id="313920908">
                      <w:marLeft w:val="0"/>
                      <w:marRight w:val="0"/>
                      <w:marTop w:val="0"/>
                      <w:marBottom w:val="0"/>
                      <w:divBdr>
                        <w:top w:val="none" w:sz="0" w:space="0" w:color="auto"/>
                        <w:left w:val="none" w:sz="0" w:space="0" w:color="auto"/>
                        <w:bottom w:val="none" w:sz="0" w:space="0" w:color="auto"/>
                        <w:right w:val="none" w:sz="0" w:space="0" w:color="auto"/>
                      </w:divBdr>
                      <w:divsChild>
                        <w:div w:id="1717270674">
                          <w:marLeft w:val="0"/>
                          <w:marRight w:val="0"/>
                          <w:marTop w:val="0"/>
                          <w:marBottom w:val="0"/>
                          <w:divBdr>
                            <w:top w:val="none" w:sz="0" w:space="0" w:color="auto"/>
                            <w:left w:val="none" w:sz="0" w:space="0" w:color="auto"/>
                            <w:bottom w:val="none" w:sz="0" w:space="0" w:color="auto"/>
                            <w:right w:val="none" w:sz="0" w:space="0" w:color="auto"/>
                          </w:divBdr>
                          <w:divsChild>
                            <w:div w:id="242641546">
                              <w:marLeft w:val="0"/>
                              <w:marRight w:val="0"/>
                              <w:marTop w:val="0"/>
                              <w:marBottom w:val="0"/>
                              <w:divBdr>
                                <w:top w:val="none" w:sz="0" w:space="0" w:color="auto"/>
                                <w:left w:val="none" w:sz="0" w:space="0" w:color="auto"/>
                                <w:bottom w:val="none" w:sz="0" w:space="0" w:color="auto"/>
                                <w:right w:val="none" w:sz="0" w:space="0" w:color="auto"/>
                              </w:divBdr>
                              <w:divsChild>
                                <w:div w:id="1790197538">
                                  <w:marLeft w:val="0"/>
                                  <w:marRight w:val="0"/>
                                  <w:marTop w:val="0"/>
                                  <w:marBottom w:val="0"/>
                                  <w:divBdr>
                                    <w:top w:val="none" w:sz="0" w:space="0" w:color="auto"/>
                                    <w:left w:val="none" w:sz="0" w:space="0" w:color="auto"/>
                                    <w:bottom w:val="none" w:sz="0" w:space="0" w:color="auto"/>
                                    <w:right w:val="none" w:sz="0" w:space="0" w:color="auto"/>
                                  </w:divBdr>
                                  <w:divsChild>
                                    <w:div w:id="1551071063">
                                      <w:marLeft w:val="0"/>
                                      <w:marRight w:val="0"/>
                                      <w:marTop w:val="0"/>
                                      <w:marBottom w:val="0"/>
                                      <w:divBdr>
                                        <w:top w:val="none" w:sz="0" w:space="0" w:color="auto"/>
                                        <w:left w:val="none" w:sz="0" w:space="0" w:color="auto"/>
                                        <w:bottom w:val="none" w:sz="0" w:space="0" w:color="auto"/>
                                        <w:right w:val="none" w:sz="0" w:space="0" w:color="auto"/>
                                      </w:divBdr>
                                      <w:divsChild>
                                        <w:div w:id="757023671">
                                          <w:marLeft w:val="0"/>
                                          <w:marRight w:val="0"/>
                                          <w:marTop w:val="0"/>
                                          <w:marBottom w:val="0"/>
                                          <w:divBdr>
                                            <w:top w:val="none" w:sz="0" w:space="0" w:color="auto"/>
                                            <w:left w:val="none" w:sz="0" w:space="0" w:color="auto"/>
                                            <w:bottom w:val="none" w:sz="0" w:space="0" w:color="auto"/>
                                            <w:right w:val="none" w:sz="0" w:space="0" w:color="auto"/>
                                          </w:divBdr>
                                        </w:div>
                                        <w:div w:id="37977950">
                                          <w:marLeft w:val="0"/>
                                          <w:marRight w:val="0"/>
                                          <w:marTop w:val="0"/>
                                          <w:marBottom w:val="0"/>
                                          <w:divBdr>
                                            <w:top w:val="none" w:sz="0" w:space="0" w:color="auto"/>
                                            <w:left w:val="none" w:sz="0" w:space="0" w:color="auto"/>
                                            <w:bottom w:val="none" w:sz="0" w:space="0" w:color="auto"/>
                                            <w:right w:val="none" w:sz="0" w:space="0" w:color="auto"/>
                                          </w:divBdr>
                                          <w:divsChild>
                                            <w:div w:id="10190444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242198">
      <w:bodyDiv w:val="1"/>
      <w:marLeft w:val="0"/>
      <w:marRight w:val="0"/>
      <w:marTop w:val="0"/>
      <w:marBottom w:val="0"/>
      <w:divBdr>
        <w:top w:val="none" w:sz="0" w:space="0" w:color="auto"/>
        <w:left w:val="none" w:sz="0" w:space="0" w:color="auto"/>
        <w:bottom w:val="none" w:sz="0" w:space="0" w:color="auto"/>
        <w:right w:val="none" w:sz="0" w:space="0" w:color="auto"/>
      </w:divBdr>
      <w:divsChild>
        <w:div w:id="717557973">
          <w:marLeft w:val="0"/>
          <w:marRight w:val="0"/>
          <w:marTop w:val="0"/>
          <w:marBottom w:val="0"/>
          <w:divBdr>
            <w:top w:val="none" w:sz="0" w:space="0" w:color="auto"/>
            <w:left w:val="none" w:sz="0" w:space="0" w:color="auto"/>
            <w:bottom w:val="none" w:sz="0" w:space="0" w:color="auto"/>
            <w:right w:val="none" w:sz="0" w:space="0" w:color="auto"/>
          </w:divBdr>
          <w:divsChild>
            <w:div w:id="1423062845">
              <w:marLeft w:val="0"/>
              <w:marRight w:val="-100"/>
              <w:marTop w:val="1050"/>
              <w:marBottom w:val="0"/>
              <w:divBdr>
                <w:top w:val="none" w:sz="0" w:space="0" w:color="auto"/>
                <w:left w:val="none" w:sz="0" w:space="0" w:color="auto"/>
                <w:bottom w:val="none" w:sz="0" w:space="0" w:color="auto"/>
                <w:right w:val="none" w:sz="0" w:space="0" w:color="auto"/>
              </w:divBdr>
              <w:divsChild>
                <w:div w:id="621348239">
                  <w:marLeft w:val="3450"/>
                  <w:marRight w:val="0"/>
                  <w:marTop w:val="330"/>
                  <w:marBottom w:val="0"/>
                  <w:divBdr>
                    <w:top w:val="none" w:sz="0" w:space="0" w:color="auto"/>
                    <w:left w:val="none" w:sz="0" w:space="0" w:color="auto"/>
                    <w:bottom w:val="none" w:sz="0" w:space="0" w:color="auto"/>
                    <w:right w:val="none" w:sz="0" w:space="0" w:color="auto"/>
                  </w:divBdr>
                  <w:divsChild>
                    <w:div w:id="2112315186">
                      <w:marLeft w:val="0"/>
                      <w:marRight w:val="0"/>
                      <w:marTop w:val="0"/>
                      <w:marBottom w:val="0"/>
                      <w:divBdr>
                        <w:top w:val="none" w:sz="0" w:space="0" w:color="auto"/>
                        <w:left w:val="none" w:sz="0" w:space="0" w:color="auto"/>
                        <w:bottom w:val="none" w:sz="0" w:space="0" w:color="auto"/>
                        <w:right w:val="none" w:sz="0" w:space="0" w:color="auto"/>
                      </w:divBdr>
                      <w:divsChild>
                        <w:div w:id="12803800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094356">
      <w:bodyDiv w:val="1"/>
      <w:marLeft w:val="0"/>
      <w:marRight w:val="0"/>
      <w:marTop w:val="0"/>
      <w:marBottom w:val="0"/>
      <w:divBdr>
        <w:top w:val="none" w:sz="0" w:space="0" w:color="auto"/>
        <w:left w:val="none" w:sz="0" w:space="0" w:color="auto"/>
        <w:bottom w:val="none" w:sz="0" w:space="0" w:color="auto"/>
        <w:right w:val="none" w:sz="0" w:space="0" w:color="auto"/>
      </w:divBdr>
      <w:divsChild>
        <w:div w:id="1879006954">
          <w:marLeft w:val="0"/>
          <w:marRight w:val="0"/>
          <w:marTop w:val="0"/>
          <w:marBottom w:val="0"/>
          <w:divBdr>
            <w:top w:val="none" w:sz="0" w:space="0" w:color="auto"/>
            <w:left w:val="none" w:sz="0" w:space="0" w:color="auto"/>
            <w:bottom w:val="none" w:sz="0" w:space="0" w:color="auto"/>
            <w:right w:val="none" w:sz="0" w:space="0" w:color="auto"/>
          </w:divBdr>
          <w:divsChild>
            <w:div w:id="1978872618">
              <w:marLeft w:val="210"/>
              <w:marRight w:val="0"/>
              <w:marTop w:val="0"/>
              <w:marBottom w:val="0"/>
              <w:divBdr>
                <w:top w:val="none" w:sz="0" w:space="0" w:color="auto"/>
                <w:left w:val="none" w:sz="0" w:space="0" w:color="auto"/>
                <w:bottom w:val="none" w:sz="0" w:space="0" w:color="auto"/>
                <w:right w:val="none" w:sz="0" w:space="0" w:color="auto"/>
              </w:divBdr>
              <w:divsChild>
                <w:div w:id="5218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5015">
      <w:bodyDiv w:val="1"/>
      <w:marLeft w:val="0"/>
      <w:marRight w:val="0"/>
      <w:marTop w:val="0"/>
      <w:marBottom w:val="0"/>
      <w:divBdr>
        <w:top w:val="none" w:sz="0" w:space="0" w:color="auto"/>
        <w:left w:val="none" w:sz="0" w:space="0" w:color="auto"/>
        <w:bottom w:val="none" w:sz="0" w:space="0" w:color="auto"/>
        <w:right w:val="none" w:sz="0" w:space="0" w:color="auto"/>
      </w:divBdr>
      <w:divsChild>
        <w:div w:id="2118138696">
          <w:marLeft w:val="0"/>
          <w:marRight w:val="0"/>
          <w:marTop w:val="150"/>
          <w:marBottom w:val="0"/>
          <w:divBdr>
            <w:top w:val="none" w:sz="0" w:space="0" w:color="auto"/>
            <w:left w:val="none" w:sz="0" w:space="0" w:color="auto"/>
            <w:bottom w:val="none" w:sz="0" w:space="0" w:color="auto"/>
            <w:right w:val="none" w:sz="0" w:space="0" w:color="auto"/>
          </w:divBdr>
          <w:divsChild>
            <w:div w:id="2043246320">
              <w:marLeft w:val="2"/>
              <w:marRight w:val="2"/>
              <w:marTop w:val="0"/>
              <w:marBottom w:val="0"/>
              <w:divBdr>
                <w:top w:val="none" w:sz="0" w:space="0" w:color="auto"/>
                <w:left w:val="none" w:sz="0" w:space="0" w:color="auto"/>
                <w:bottom w:val="none" w:sz="0" w:space="0" w:color="auto"/>
                <w:right w:val="none" w:sz="0" w:space="0" w:color="auto"/>
              </w:divBdr>
              <w:divsChild>
                <w:div w:id="2106265637">
                  <w:marLeft w:val="0"/>
                  <w:marRight w:val="0"/>
                  <w:marTop w:val="0"/>
                  <w:marBottom w:val="0"/>
                  <w:divBdr>
                    <w:top w:val="none" w:sz="0" w:space="0" w:color="auto"/>
                    <w:left w:val="none" w:sz="0" w:space="0" w:color="auto"/>
                    <w:bottom w:val="none" w:sz="0" w:space="0" w:color="auto"/>
                    <w:right w:val="none" w:sz="0" w:space="0" w:color="auto"/>
                  </w:divBdr>
                  <w:divsChild>
                    <w:div w:id="1930657100">
                      <w:marLeft w:val="0"/>
                      <w:marRight w:val="0"/>
                      <w:marTop w:val="0"/>
                      <w:marBottom w:val="0"/>
                      <w:divBdr>
                        <w:top w:val="none" w:sz="0" w:space="0" w:color="auto"/>
                        <w:left w:val="none" w:sz="0" w:space="0" w:color="auto"/>
                        <w:bottom w:val="none" w:sz="0" w:space="0" w:color="auto"/>
                        <w:right w:val="none" w:sz="0" w:space="0" w:color="auto"/>
                      </w:divBdr>
                      <w:divsChild>
                        <w:div w:id="1885752715">
                          <w:marLeft w:val="0"/>
                          <w:marRight w:val="0"/>
                          <w:marTop w:val="0"/>
                          <w:marBottom w:val="0"/>
                          <w:divBdr>
                            <w:top w:val="none" w:sz="0" w:space="0" w:color="auto"/>
                            <w:left w:val="none" w:sz="0" w:space="0" w:color="auto"/>
                            <w:bottom w:val="none" w:sz="0" w:space="0" w:color="auto"/>
                            <w:right w:val="none" w:sz="0" w:space="0" w:color="auto"/>
                          </w:divBdr>
                          <w:divsChild>
                            <w:div w:id="511071257">
                              <w:marLeft w:val="0"/>
                              <w:marRight w:val="0"/>
                              <w:marTop w:val="0"/>
                              <w:marBottom w:val="0"/>
                              <w:divBdr>
                                <w:top w:val="none" w:sz="0" w:space="0" w:color="auto"/>
                                <w:left w:val="none" w:sz="0" w:space="0" w:color="auto"/>
                                <w:bottom w:val="none" w:sz="0" w:space="0" w:color="auto"/>
                                <w:right w:val="none" w:sz="0" w:space="0" w:color="auto"/>
                              </w:divBdr>
                              <w:divsChild>
                                <w:div w:id="243536364">
                                  <w:marLeft w:val="0"/>
                                  <w:marRight w:val="0"/>
                                  <w:marTop w:val="0"/>
                                  <w:marBottom w:val="0"/>
                                  <w:divBdr>
                                    <w:top w:val="none" w:sz="0" w:space="0" w:color="auto"/>
                                    <w:left w:val="none" w:sz="0" w:space="0" w:color="auto"/>
                                    <w:bottom w:val="none" w:sz="0" w:space="0" w:color="auto"/>
                                    <w:right w:val="none" w:sz="0" w:space="0" w:color="auto"/>
                                  </w:divBdr>
                                  <w:divsChild>
                                    <w:div w:id="111827234">
                                      <w:marLeft w:val="0"/>
                                      <w:marRight w:val="0"/>
                                      <w:marTop w:val="0"/>
                                      <w:marBottom w:val="0"/>
                                      <w:divBdr>
                                        <w:top w:val="none" w:sz="0" w:space="0" w:color="auto"/>
                                        <w:left w:val="none" w:sz="0" w:space="0" w:color="auto"/>
                                        <w:bottom w:val="none" w:sz="0" w:space="0" w:color="auto"/>
                                        <w:right w:val="none" w:sz="0" w:space="0" w:color="auto"/>
                                      </w:divBdr>
                                      <w:divsChild>
                                        <w:div w:id="2038001687">
                                          <w:marLeft w:val="0"/>
                                          <w:marRight w:val="0"/>
                                          <w:marTop w:val="0"/>
                                          <w:marBottom w:val="0"/>
                                          <w:divBdr>
                                            <w:top w:val="none" w:sz="0" w:space="0" w:color="auto"/>
                                            <w:left w:val="none" w:sz="0" w:space="0" w:color="auto"/>
                                            <w:bottom w:val="none" w:sz="0" w:space="0" w:color="auto"/>
                                            <w:right w:val="none" w:sz="0" w:space="0" w:color="auto"/>
                                          </w:divBdr>
                                          <w:divsChild>
                                            <w:div w:id="274750797">
                                              <w:marLeft w:val="0"/>
                                              <w:marRight w:val="0"/>
                                              <w:marTop w:val="0"/>
                                              <w:marBottom w:val="0"/>
                                              <w:divBdr>
                                                <w:top w:val="none" w:sz="0" w:space="0" w:color="auto"/>
                                                <w:left w:val="none" w:sz="0" w:space="0" w:color="auto"/>
                                                <w:bottom w:val="none" w:sz="0" w:space="0" w:color="auto"/>
                                                <w:right w:val="none" w:sz="0" w:space="0" w:color="auto"/>
                                              </w:divBdr>
                                              <w:divsChild>
                                                <w:div w:id="378096185">
                                                  <w:marLeft w:val="0"/>
                                                  <w:marRight w:val="0"/>
                                                  <w:marTop w:val="0"/>
                                                  <w:marBottom w:val="0"/>
                                                  <w:divBdr>
                                                    <w:top w:val="none" w:sz="0" w:space="0" w:color="auto"/>
                                                    <w:left w:val="none" w:sz="0" w:space="0" w:color="auto"/>
                                                    <w:bottom w:val="none" w:sz="0" w:space="0" w:color="auto"/>
                                                    <w:right w:val="none" w:sz="0" w:space="0" w:color="auto"/>
                                                  </w:divBdr>
                                                </w:div>
                                              </w:divsChild>
                                            </w:div>
                                            <w:div w:id="2136439695">
                                              <w:marLeft w:val="0"/>
                                              <w:marRight w:val="0"/>
                                              <w:marTop w:val="0"/>
                                              <w:marBottom w:val="0"/>
                                              <w:divBdr>
                                                <w:top w:val="none" w:sz="0" w:space="0" w:color="auto"/>
                                                <w:left w:val="none" w:sz="0" w:space="0" w:color="auto"/>
                                                <w:bottom w:val="none" w:sz="0" w:space="0" w:color="auto"/>
                                                <w:right w:val="none" w:sz="0" w:space="0" w:color="auto"/>
                                              </w:divBdr>
                                              <w:divsChild>
                                                <w:div w:id="1846096149">
                                                  <w:marLeft w:val="0"/>
                                                  <w:marRight w:val="0"/>
                                                  <w:marTop w:val="0"/>
                                                  <w:marBottom w:val="0"/>
                                                  <w:divBdr>
                                                    <w:top w:val="none" w:sz="0" w:space="0" w:color="auto"/>
                                                    <w:left w:val="none" w:sz="0" w:space="0" w:color="auto"/>
                                                    <w:bottom w:val="none" w:sz="0" w:space="0" w:color="auto"/>
                                                    <w:right w:val="none" w:sz="0" w:space="0" w:color="auto"/>
                                                  </w:divBdr>
                                                </w:div>
                                              </w:divsChild>
                                            </w:div>
                                            <w:div w:id="1026634265">
                                              <w:marLeft w:val="0"/>
                                              <w:marRight w:val="0"/>
                                              <w:marTop w:val="0"/>
                                              <w:marBottom w:val="0"/>
                                              <w:divBdr>
                                                <w:top w:val="none" w:sz="0" w:space="0" w:color="auto"/>
                                                <w:left w:val="none" w:sz="0" w:space="0" w:color="auto"/>
                                                <w:bottom w:val="none" w:sz="0" w:space="0" w:color="auto"/>
                                                <w:right w:val="none" w:sz="0" w:space="0" w:color="auto"/>
                                              </w:divBdr>
                                              <w:divsChild>
                                                <w:div w:id="1201092190">
                                                  <w:marLeft w:val="0"/>
                                                  <w:marRight w:val="0"/>
                                                  <w:marTop w:val="0"/>
                                                  <w:marBottom w:val="0"/>
                                                  <w:divBdr>
                                                    <w:top w:val="none" w:sz="0" w:space="0" w:color="auto"/>
                                                    <w:left w:val="none" w:sz="0" w:space="0" w:color="auto"/>
                                                    <w:bottom w:val="none" w:sz="0" w:space="0" w:color="auto"/>
                                                    <w:right w:val="none" w:sz="0" w:space="0" w:color="auto"/>
                                                  </w:divBdr>
                                                </w:div>
                                              </w:divsChild>
                                            </w:div>
                                            <w:div w:id="1802455220">
                                              <w:marLeft w:val="0"/>
                                              <w:marRight w:val="0"/>
                                              <w:marTop w:val="0"/>
                                              <w:marBottom w:val="0"/>
                                              <w:divBdr>
                                                <w:top w:val="none" w:sz="0" w:space="0" w:color="auto"/>
                                                <w:left w:val="none" w:sz="0" w:space="0" w:color="auto"/>
                                                <w:bottom w:val="none" w:sz="0" w:space="0" w:color="auto"/>
                                                <w:right w:val="none" w:sz="0" w:space="0" w:color="auto"/>
                                              </w:divBdr>
                                              <w:divsChild>
                                                <w:div w:id="117843630">
                                                  <w:marLeft w:val="0"/>
                                                  <w:marRight w:val="0"/>
                                                  <w:marTop w:val="0"/>
                                                  <w:marBottom w:val="0"/>
                                                  <w:divBdr>
                                                    <w:top w:val="none" w:sz="0" w:space="0" w:color="auto"/>
                                                    <w:left w:val="none" w:sz="0" w:space="0" w:color="auto"/>
                                                    <w:bottom w:val="none" w:sz="0" w:space="0" w:color="auto"/>
                                                    <w:right w:val="none" w:sz="0" w:space="0" w:color="auto"/>
                                                  </w:divBdr>
                                                </w:div>
                                              </w:divsChild>
                                            </w:div>
                                            <w:div w:id="1905097710">
                                              <w:marLeft w:val="0"/>
                                              <w:marRight w:val="0"/>
                                              <w:marTop w:val="0"/>
                                              <w:marBottom w:val="0"/>
                                              <w:divBdr>
                                                <w:top w:val="none" w:sz="0" w:space="0" w:color="auto"/>
                                                <w:left w:val="none" w:sz="0" w:space="0" w:color="auto"/>
                                                <w:bottom w:val="none" w:sz="0" w:space="0" w:color="auto"/>
                                                <w:right w:val="none" w:sz="0" w:space="0" w:color="auto"/>
                                              </w:divBdr>
                                              <w:divsChild>
                                                <w:div w:id="1227254931">
                                                  <w:marLeft w:val="0"/>
                                                  <w:marRight w:val="0"/>
                                                  <w:marTop w:val="0"/>
                                                  <w:marBottom w:val="0"/>
                                                  <w:divBdr>
                                                    <w:top w:val="none" w:sz="0" w:space="0" w:color="auto"/>
                                                    <w:left w:val="none" w:sz="0" w:space="0" w:color="auto"/>
                                                    <w:bottom w:val="none" w:sz="0" w:space="0" w:color="auto"/>
                                                    <w:right w:val="none" w:sz="0" w:space="0" w:color="auto"/>
                                                  </w:divBdr>
                                                </w:div>
                                              </w:divsChild>
                                            </w:div>
                                            <w:div w:id="177471651">
                                              <w:marLeft w:val="0"/>
                                              <w:marRight w:val="0"/>
                                              <w:marTop w:val="0"/>
                                              <w:marBottom w:val="0"/>
                                              <w:divBdr>
                                                <w:top w:val="none" w:sz="0" w:space="0" w:color="auto"/>
                                                <w:left w:val="none" w:sz="0" w:space="0" w:color="auto"/>
                                                <w:bottom w:val="none" w:sz="0" w:space="0" w:color="auto"/>
                                                <w:right w:val="none" w:sz="0" w:space="0" w:color="auto"/>
                                              </w:divBdr>
                                              <w:divsChild>
                                                <w:div w:id="923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2763">
                                          <w:marLeft w:val="0"/>
                                          <w:marRight w:val="0"/>
                                          <w:marTop w:val="0"/>
                                          <w:marBottom w:val="0"/>
                                          <w:divBdr>
                                            <w:top w:val="none" w:sz="0" w:space="0" w:color="auto"/>
                                            <w:left w:val="none" w:sz="0" w:space="0" w:color="auto"/>
                                            <w:bottom w:val="none" w:sz="0" w:space="0" w:color="auto"/>
                                            <w:right w:val="none" w:sz="0" w:space="0" w:color="auto"/>
                                          </w:divBdr>
                                          <w:divsChild>
                                            <w:div w:id="2103916065">
                                              <w:marLeft w:val="0"/>
                                              <w:marRight w:val="0"/>
                                              <w:marTop w:val="0"/>
                                              <w:marBottom w:val="0"/>
                                              <w:divBdr>
                                                <w:top w:val="none" w:sz="0" w:space="0" w:color="auto"/>
                                                <w:left w:val="none" w:sz="0" w:space="0" w:color="auto"/>
                                                <w:bottom w:val="none" w:sz="0" w:space="0" w:color="auto"/>
                                                <w:right w:val="none" w:sz="0" w:space="0" w:color="auto"/>
                                              </w:divBdr>
                                              <w:divsChild>
                                                <w:div w:id="1377045014">
                                                  <w:marLeft w:val="0"/>
                                                  <w:marRight w:val="0"/>
                                                  <w:marTop w:val="0"/>
                                                  <w:marBottom w:val="0"/>
                                                  <w:divBdr>
                                                    <w:top w:val="none" w:sz="0" w:space="0" w:color="auto"/>
                                                    <w:left w:val="none" w:sz="0" w:space="0" w:color="auto"/>
                                                    <w:bottom w:val="none" w:sz="0" w:space="0" w:color="auto"/>
                                                    <w:right w:val="none" w:sz="0" w:space="0" w:color="auto"/>
                                                  </w:divBdr>
                                                </w:div>
                                              </w:divsChild>
                                            </w:div>
                                            <w:div w:id="121386058">
                                              <w:marLeft w:val="0"/>
                                              <w:marRight w:val="0"/>
                                              <w:marTop w:val="0"/>
                                              <w:marBottom w:val="0"/>
                                              <w:divBdr>
                                                <w:top w:val="none" w:sz="0" w:space="0" w:color="auto"/>
                                                <w:left w:val="none" w:sz="0" w:space="0" w:color="auto"/>
                                                <w:bottom w:val="none" w:sz="0" w:space="0" w:color="auto"/>
                                                <w:right w:val="none" w:sz="0" w:space="0" w:color="auto"/>
                                              </w:divBdr>
                                              <w:divsChild>
                                                <w:div w:id="692995757">
                                                  <w:marLeft w:val="0"/>
                                                  <w:marRight w:val="0"/>
                                                  <w:marTop w:val="0"/>
                                                  <w:marBottom w:val="0"/>
                                                  <w:divBdr>
                                                    <w:top w:val="none" w:sz="0" w:space="0" w:color="auto"/>
                                                    <w:left w:val="none" w:sz="0" w:space="0" w:color="auto"/>
                                                    <w:bottom w:val="none" w:sz="0" w:space="0" w:color="auto"/>
                                                    <w:right w:val="none" w:sz="0" w:space="0" w:color="auto"/>
                                                  </w:divBdr>
                                                </w:div>
                                              </w:divsChild>
                                            </w:div>
                                            <w:div w:id="1988584333">
                                              <w:marLeft w:val="0"/>
                                              <w:marRight w:val="0"/>
                                              <w:marTop w:val="0"/>
                                              <w:marBottom w:val="0"/>
                                              <w:divBdr>
                                                <w:top w:val="none" w:sz="0" w:space="0" w:color="auto"/>
                                                <w:left w:val="none" w:sz="0" w:space="0" w:color="auto"/>
                                                <w:bottom w:val="none" w:sz="0" w:space="0" w:color="auto"/>
                                                <w:right w:val="none" w:sz="0" w:space="0" w:color="auto"/>
                                              </w:divBdr>
                                              <w:divsChild>
                                                <w:div w:id="468323946">
                                                  <w:marLeft w:val="0"/>
                                                  <w:marRight w:val="0"/>
                                                  <w:marTop w:val="0"/>
                                                  <w:marBottom w:val="0"/>
                                                  <w:divBdr>
                                                    <w:top w:val="none" w:sz="0" w:space="0" w:color="auto"/>
                                                    <w:left w:val="none" w:sz="0" w:space="0" w:color="auto"/>
                                                    <w:bottom w:val="none" w:sz="0" w:space="0" w:color="auto"/>
                                                    <w:right w:val="none" w:sz="0" w:space="0" w:color="auto"/>
                                                  </w:divBdr>
                                                </w:div>
                                              </w:divsChild>
                                            </w:div>
                                            <w:div w:id="1497263633">
                                              <w:marLeft w:val="0"/>
                                              <w:marRight w:val="0"/>
                                              <w:marTop w:val="0"/>
                                              <w:marBottom w:val="0"/>
                                              <w:divBdr>
                                                <w:top w:val="none" w:sz="0" w:space="0" w:color="auto"/>
                                                <w:left w:val="none" w:sz="0" w:space="0" w:color="auto"/>
                                                <w:bottom w:val="none" w:sz="0" w:space="0" w:color="auto"/>
                                                <w:right w:val="none" w:sz="0" w:space="0" w:color="auto"/>
                                              </w:divBdr>
                                              <w:divsChild>
                                                <w:div w:id="747506594">
                                                  <w:marLeft w:val="0"/>
                                                  <w:marRight w:val="0"/>
                                                  <w:marTop w:val="0"/>
                                                  <w:marBottom w:val="0"/>
                                                  <w:divBdr>
                                                    <w:top w:val="none" w:sz="0" w:space="0" w:color="auto"/>
                                                    <w:left w:val="none" w:sz="0" w:space="0" w:color="auto"/>
                                                    <w:bottom w:val="none" w:sz="0" w:space="0" w:color="auto"/>
                                                    <w:right w:val="none" w:sz="0" w:space="0" w:color="auto"/>
                                                  </w:divBdr>
                                                </w:div>
                                              </w:divsChild>
                                            </w:div>
                                            <w:div w:id="1635210015">
                                              <w:marLeft w:val="0"/>
                                              <w:marRight w:val="0"/>
                                              <w:marTop w:val="0"/>
                                              <w:marBottom w:val="0"/>
                                              <w:divBdr>
                                                <w:top w:val="none" w:sz="0" w:space="0" w:color="auto"/>
                                                <w:left w:val="none" w:sz="0" w:space="0" w:color="auto"/>
                                                <w:bottom w:val="none" w:sz="0" w:space="0" w:color="auto"/>
                                                <w:right w:val="none" w:sz="0" w:space="0" w:color="auto"/>
                                              </w:divBdr>
                                              <w:divsChild>
                                                <w:div w:id="6338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9539">
                                          <w:marLeft w:val="0"/>
                                          <w:marRight w:val="0"/>
                                          <w:marTop w:val="0"/>
                                          <w:marBottom w:val="0"/>
                                          <w:divBdr>
                                            <w:top w:val="none" w:sz="0" w:space="0" w:color="auto"/>
                                            <w:left w:val="none" w:sz="0" w:space="0" w:color="auto"/>
                                            <w:bottom w:val="none" w:sz="0" w:space="0" w:color="auto"/>
                                            <w:right w:val="none" w:sz="0" w:space="0" w:color="auto"/>
                                          </w:divBdr>
                                          <w:divsChild>
                                            <w:div w:id="1478230253">
                                              <w:marLeft w:val="0"/>
                                              <w:marRight w:val="0"/>
                                              <w:marTop w:val="0"/>
                                              <w:marBottom w:val="0"/>
                                              <w:divBdr>
                                                <w:top w:val="none" w:sz="0" w:space="0" w:color="auto"/>
                                                <w:left w:val="none" w:sz="0" w:space="0" w:color="auto"/>
                                                <w:bottom w:val="none" w:sz="0" w:space="0" w:color="auto"/>
                                                <w:right w:val="none" w:sz="0" w:space="0" w:color="auto"/>
                                              </w:divBdr>
                                              <w:divsChild>
                                                <w:div w:id="1148938156">
                                                  <w:marLeft w:val="0"/>
                                                  <w:marRight w:val="0"/>
                                                  <w:marTop w:val="0"/>
                                                  <w:marBottom w:val="0"/>
                                                  <w:divBdr>
                                                    <w:top w:val="none" w:sz="0" w:space="0" w:color="auto"/>
                                                    <w:left w:val="none" w:sz="0" w:space="0" w:color="auto"/>
                                                    <w:bottom w:val="none" w:sz="0" w:space="0" w:color="auto"/>
                                                    <w:right w:val="none" w:sz="0" w:space="0" w:color="auto"/>
                                                  </w:divBdr>
                                                </w:div>
                                              </w:divsChild>
                                            </w:div>
                                            <w:div w:id="1971781693">
                                              <w:marLeft w:val="0"/>
                                              <w:marRight w:val="0"/>
                                              <w:marTop w:val="0"/>
                                              <w:marBottom w:val="0"/>
                                              <w:divBdr>
                                                <w:top w:val="none" w:sz="0" w:space="0" w:color="auto"/>
                                                <w:left w:val="none" w:sz="0" w:space="0" w:color="auto"/>
                                                <w:bottom w:val="none" w:sz="0" w:space="0" w:color="auto"/>
                                                <w:right w:val="none" w:sz="0" w:space="0" w:color="auto"/>
                                              </w:divBdr>
                                              <w:divsChild>
                                                <w:div w:id="2140801141">
                                                  <w:marLeft w:val="0"/>
                                                  <w:marRight w:val="0"/>
                                                  <w:marTop w:val="0"/>
                                                  <w:marBottom w:val="0"/>
                                                  <w:divBdr>
                                                    <w:top w:val="none" w:sz="0" w:space="0" w:color="auto"/>
                                                    <w:left w:val="none" w:sz="0" w:space="0" w:color="auto"/>
                                                    <w:bottom w:val="none" w:sz="0" w:space="0" w:color="auto"/>
                                                    <w:right w:val="none" w:sz="0" w:space="0" w:color="auto"/>
                                                  </w:divBdr>
                                                </w:div>
                                              </w:divsChild>
                                            </w:div>
                                            <w:div w:id="468983103">
                                              <w:marLeft w:val="0"/>
                                              <w:marRight w:val="0"/>
                                              <w:marTop w:val="0"/>
                                              <w:marBottom w:val="0"/>
                                              <w:divBdr>
                                                <w:top w:val="none" w:sz="0" w:space="0" w:color="auto"/>
                                                <w:left w:val="none" w:sz="0" w:space="0" w:color="auto"/>
                                                <w:bottom w:val="none" w:sz="0" w:space="0" w:color="auto"/>
                                                <w:right w:val="none" w:sz="0" w:space="0" w:color="auto"/>
                                              </w:divBdr>
                                              <w:divsChild>
                                                <w:div w:id="513106074">
                                                  <w:marLeft w:val="0"/>
                                                  <w:marRight w:val="0"/>
                                                  <w:marTop w:val="0"/>
                                                  <w:marBottom w:val="0"/>
                                                  <w:divBdr>
                                                    <w:top w:val="none" w:sz="0" w:space="0" w:color="auto"/>
                                                    <w:left w:val="none" w:sz="0" w:space="0" w:color="auto"/>
                                                    <w:bottom w:val="none" w:sz="0" w:space="0" w:color="auto"/>
                                                    <w:right w:val="none" w:sz="0" w:space="0" w:color="auto"/>
                                                  </w:divBdr>
                                                </w:div>
                                              </w:divsChild>
                                            </w:div>
                                            <w:div w:id="709646006">
                                              <w:marLeft w:val="0"/>
                                              <w:marRight w:val="0"/>
                                              <w:marTop w:val="0"/>
                                              <w:marBottom w:val="0"/>
                                              <w:divBdr>
                                                <w:top w:val="none" w:sz="0" w:space="0" w:color="auto"/>
                                                <w:left w:val="none" w:sz="0" w:space="0" w:color="auto"/>
                                                <w:bottom w:val="none" w:sz="0" w:space="0" w:color="auto"/>
                                                <w:right w:val="none" w:sz="0" w:space="0" w:color="auto"/>
                                              </w:divBdr>
                                              <w:divsChild>
                                                <w:div w:id="146479017">
                                                  <w:marLeft w:val="0"/>
                                                  <w:marRight w:val="0"/>
                                                  <w:marTop w:val="0"/>
                                                  <w:marBottom w:val="0"/>
                                                  <w:divBdr>
                                                    <w:top w:val="none" w:sz="0" w:space="0" w:color="auto"/>
                                                    <w:left w:val="none" w:sz="0" w:space="0" w:color="auto"/>
                                                    <w:bottom w:val="none" w:sz="0" w:space="0" w:color="auto"/>
                                                    <w:right w:val="none" w:sz="0" w:space="0" w:color="auto"/>
                                                  </w:divBdr>
                                                </w:div>
                                              </w:divsChild>
                                            </w:div>
                                            <w:div w:id="1411389788">
                                              <w:marLeft w:val="0"/>
                                              <w:marRight w:val="0"/>
                                              <w:marTop w:val="0"/>
                                              <w:marBottom w:val="0"/>
                                              <w:divBdr>
                                                <w:top w:val="none" w:sz="0" w:space="0" w:color="auto"/>
                                                <w:left w:val="none" w:sz="0" w:space="0" w:color="auto"/>
                                                <w:bottom w:val="none" w:sz="0" w:space="0" w:color="auto"/>
                                                <w:right w:val="none" w:sz="0" w:space="0" w:color="auto"/>
                                              </w:divBdr>
                                              <w:divsChild>
                                                <w:div w:id="495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4034">
                                          <w:marLeft w:val="0"/>
                                          <w:marRight w:val="0"/>
                                          <w:marTop w:val="0"/>
                                          <w:marBottom w:val="0"/>
                                          <w:divBdr>
                                            <w:top w:val="none" w:sz="0" w:space="0" w:color="auto"/>
                                            <w:left w:val="none" w:sz="0" w:space="0" w:color="auto"/>
                                            <w:bottom w:val="none" w:sz="0" w:space="0" w:color="auto"/>
                                            <w:right w:val="none" w:sz="0" w:space="0" w:color="auto"/>
                                          </w:divBdr>
                                          <w:divsChild>
                                            <w:div w:id="1379087661">
                                              <w:marLeft w:val="0"/>
                                              <w:marRight w:val="0"/>
                                              <w:marTop w:val="0"/>
                                              <w:marBottom w:val="0"/>
                                              <w:divBdr>
                                                <w:top w:val="none" w:sz="0" w:space="0" w:color="auto"/>
                                                <w:left w:val="none" w:sz="0" w:space="0" w:color="auto"/>
                                                <w:bottom w:val="none" w:sz="0" w:space="0" w:color="auto"/>
                                                <w:right w:val="none" w:sz="0" w:space="0" w:color="auto"/>
                                              </w:divBdr>
                                              <w:divsChild>
                                                <w:div w:id="155415946">
                                                  <w:marLeft w:val="0"/>
                                                  <w:marRight w:val="0"/>
                                                  <w:marTop w:val="0"/>
                                                  <w:marBottom w:val="0"/>
                                                  <w:divBdr>
                                                    <w:top w:val="none" w:sz="0" w:space="0" w:color="auto"/>
                                                    <w:left w:val="none" w:sz="0" w:space="0" w:color="auto"/>
                                                    <w:bottom w:val="none" w:sz="0" w:space="0" w:color="auto"/>
                                                    <w:right w:val="none" w:sz="0" w:space="0" w:color="auto"/>
                                                  </w:divBdr>
                                                </w:div>
                                              </w:divsChild>
                                            </w:div>
                                            <w:div w:id="283926396">
                                              <w:marLeft w:val="0"/>
                                              <w:marRight w:val="0"/>
                                              <w:marTop w:val="0"/>
                                              <w:marBottom w:val="0"/>
                                              <w:divBdr>
                                                <w:top w:val="none" w:sz="0" w:space="0" w:color="auto"/>
                                                <w:left w:val="none" w:sz="0" w:space="0" w:color="auto"/>
                                                <w:bottom w:val="none" w:sz="0" w:space="0" w:color="auto"/>
                                                <w:right w:val="none" w:sz="0" w:space="0" w:color="auto"/>
                                              </w:divBdr>
                                              <w:divsChild>
                                                <w:div w:id="384524579">
                                                  <w:marLeft w:val="0"/>
                                                  <w:marRight w:val="0"/>
                                                  <w:marTop w:val="0"/>
                                                  <w:marBottom w:val="0"/>
                                                  <w:divBdr>
                                                    <w:top w:val="none" w:sz="0" w:space="0" w:color="auto"/>
                                                    <w:left w:val="none" w:sz="0" w:space="0" w:color="auto"/>
                                                    <w:bottom w:val="none" w:sz="0" w:space="0" w:color="auto"/>
                                                    <w:right w:val="none" w:sz="0" w:space="0" w:color="auto"/>
                                                  </w:divBdr>
                                                </w:div>
                                              </w:divsChild>
                                            </w:div>
                                            <w:div w:id="390736230">
                                              <w:marLeft w:val="0"/>
                                              <w:marRight w:val="0"/>
                                              <w:marTop w:val="0"/>
                                              <w:marBottom w:val="0"/>
                                              <w:divBdr>
                                                <w:top w:val="none" w:sz="0" w:space="0" w:color="auto"/>
                                                <w:left w:val="none" w:sz="0" w:space="0" w:color="auto"/>
                                                <w:bottom w:val="none" w:sz="0" w:space="0" w:color="auto"/>
                                                <w:right w:val="none" w:sz="0" w:space="0" w:color="auto"/>
                                              </w:divBdr>
                                              <w:divsChild>
                                                <w:div w:id="1214806829">
                                                  <w:marLeft w:val="0"/>
                                                  <w:marRight w:val="0"/>
                                                  <w:marTop w:val="0"/>
                                                  <w:marBottom w:val="0"/>
                                                  <w:divBdr>
                                                    <w:top w:val="none" w:sz="0" w:space="0" w:color="auto"/>
                                                    <w:left w:val="none" w:sz="0" w:space="0" w:color="auto"/>
                                                    <w:bottom w:val="none" w:sz="0" w:space="0" w:color="auto"/>
                                                    <w:right w:val="none" w:sz="0" w:space="0" w:color="auto"/>
                                                  </w:divBdr>
                                                </w:div>
                                              </w:divsChild>
                                            </w:div>
                                            <w:div w:id="1044795754">
                                              <w:marLeft w:val="0"/>
                                              <w:marRight w:val="0"/>
                                              <w:marTop w:val="0"/>
                                              <w:marBottom w:val="0"/>
                                              <w:divBdr>
                                                <w:top w:val="none" w:sz="0" w:space="0" w:color="auto"/>
                                                <w:left w:val="none" w:sz="0" w:space="0" w:color="auto"/>
                                                <w:bottom w:val="none" w:sz="0" w:space="0" w:color="auto"/>
                                                <w:right w:val="none" w:sz="0" w:space="0" w:color="auto"/>
                                              </w:divBdr>
                                              <w:divsChild>
                                                <w:div w:id="1363557338">
                                                  <w:marLeft w:val="0"/>
                                                  <w:marRight w:val="0"/>
                                                  <w:marTop w:val="0"/>
                                                  <w:marBottom w:val="0"/>
                                                  <w:divBdr>
                                                    <w:top w:val="none" w:sz="0" w:space="0" w:color="auto"/>
                                                    <w:left w:val="none" w:sz="0" w:space="0" w:color="auto"/>
                                                    <w:bottom w:val="none" w:sz="0" w:space="0" w:color="auto"/>
                                                    <w:right w:val="none" w:sz="0" w:space="0" w:color="auto"/>
                                                  </w:divBdr>
                                                </w:div>
                                              </w:divsChild>
                                            </w:div>
                                            <w:div w:id="1752845383">
                                              <w:marLeft w:val="0"/>
                                              <w:marRight w:val="0"/>
                                              <w:marTop w:val="0"/>
                                              <w:marBottom w:val="0"/>
                                              <w:divBdr>
                                                <w:top w:val="none" w:sz="0" w:space="0" w:color="auto"/>
                                                <w:left w:val="none" w:sz="0" w:space="0" w:color="auto"/>
                                                <w:bottom w:val="none" w:sz="0" w:space="0" w:color="auto"/>
                                                <w:right w:val="none" w:sz="0" w:space="0" w:color="auto"/>
                                              </w:divBdr>
                                              <w:divsChild>
                                                <w:div w:id="20587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671424">
      <w:bodyDiv w:val="1"/>
      <w:marLeft w:val="0"/>
      <w:marRight w:val="0"/>
      <w:marTop w:val="0"/>
      <w:marBottom w:val="0"/>
      <w:divBdr>
        <w:top w:val="none" w:sz="0" w:space="0" w:color="auto"/>
        <w:left w:val="none" w:sz="0" w:space="0" w:color="auto"/>
        <w:bottom w:val="none" w:sz="0" w:space="0" w:color="auto"/>
        <w:right w:val="none" w:sz="0" w:space="0" w:color="auto"/>
      </w:divBdr>
      <w:divsChild>
        <w:div w:id="1436706488">
          <w:marLeft w:val="0"/>
          <w:marRight w:val="0"/>
          <w:marTop w:val="0"/>
          <w:marBottom w:val="0"/>
          <w:divBdr>
            <w:top w:val="none" w:sz="0" w:space="0" w:color="auto"/>
            <w:left w:val="none" w:sz="0" w:space="0" w:color="auto"/>
            <w:bottom w:val="none" w:sz="0" w:space="0" w:color="auto"/>
            <w:right w:val="none" w:sz="0" w:space="0" w:color="auto"/>
          </w:divBdr>
          <w:divsChild>
            <w:div w:id="20309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1877">
      <w:bodyDiv w:val="1"/>
      <w:marLeft w:val="0"/>
      <w:marRight w:val="0"/>
      <w:marTop w:val="0"/>
      <w:marBottom w:val="0"/>
      <w:divBdr>
        <w:top w:val="none" w:sz="0" w:space="0" w:color="auto"/>
        <w:left w:val="none" w:sz="0" w:space="0" w:color="auto"/>
        <w:bottom w:val="none" w:sz="0" w:space="0" w:color="auto"/>
        <w:right w:val="none" w:sz="0" w:space="0" w:color="auto"/>
      </w:divBdr>
      <w:divsChild>
        <w:div w:id="1036932591">
          <w:marLeft w:val="0"/>
          <w:marRight w:val="0"/>
          <w:marTop w:val="0"/>
          <w:marBottom w:val="405"/>
          <w:divBdr>
            <w:top w:val="none" w:sz="0" w:space="0" w:color="auto"/>
            <w:left w:val="none" w:sz="0" w:space="0" w:color="auto"/>
            <w:bottom w:val="none" w:sz="0" w:space="0" w:color="auto"/>
            <w:right w:val="none" w:sz="0" w:space="0" w:color="auto"/>
          </w:divBdr>
          <w:divsChild>
            <w:div w:id="1471285680">
              <w:marLeft w:val="0"/>
              <w:marRight w:val="0"/>
              <w:marTop w:val="0"/>
              <w:marBottom w:val="0"/>
              <w:divBdr>
                <w:top w:val="none" w:sz="0" w:space="0" w:color="auto"/>
                <w:left w:val="none" w:sz="0" w:space="0" w:color="auto"/>
                <w:bottom w:val="none" w:sz="0" w:space="0" w:color="auto"/>
                <w:right w:val="none" w:sz="0" w:space="0" w:color="auto"/>
              </w:divBdr>
              <w:divsChild>
                <w:div w:id="1073700759">
                  <w:marLeft w:val="0"/>
                  <w:marRight w:val="-14460"/>
                  <w:marTop w:val="0"/>
                  <w:marBottom w:val="0"/>
                  <w:divBdr>
                    <w:top w:val="none" w:sz="0" w:space="0" w:color="auto"/>
                    <w:left w:val="none" w:sz="0" w:space="0" w:color="auto"/>
                    <w:bottom w:val="none" w:sz="0" w:space="0" w:color="auto"/>
                    <w:right w:val="none" w:sz="0" w:space="0" w:color="auto"/>
                  </w:divBdr>
                  <w:divsChild>
                    <w:div w:id="1999651546">
                      <w:marLeft w:val="180"/>
                      <w:marRight w:val="0"/>
                      <w:marTop w:val="0"/>
                      <w:marBottom w:val="0"/>
                      <w:divBdr>
                        <w:top w:val="none" w:sz="0" w:space="0" w:color="auto"/>
                        <w:left w:val="none" w:sz="0" w:space="0" w:color="auto"/>
                        <w:bottom w:val="none" w:sz="0" w:space="0" w:color="auto"/>
                        <w:right w:val="none" w:sz="0" w:space="0" w:color="auto"/>
                      </w:divBdr>
                      <w:divsChild>
                        <w:div w:id="1505316061">
                          <w:marLeft w:val="0"/>
                          <w:marRight w:val="0"/>
                          <w:marTop w:val="0"/>
                          <w:marBottom w:val="0"/>
                          <w:divBdr>
                            <w:top w:val="none" w:sz="0" w:space="0" w:color="auto"/>
                            <w:left w:val="none" w:sz="0" w:space="0" w:color="auto"/>
                            <w:bottom w:val="none" w:sz="0" w:space="0" w:color="auto"/>
                            <w:right w:val="none" w:sz="0" w:space="0" w:color="auto"/>
                          </w:divBdr>
                          <w:divsChild>
                            <w:div w:id="472330769">
                              <w:marLeft w:val="0"/>
                              <w:marRight w:val="0"/>
                              <w:marTop w:val="0"/>
                              <w:marBottom w:val="0"/>
                              <w:divBdr>
                                <w:top w:val="none" w:sz="0" w:space="0" w:color="auto"/>
                                <w:left w:val="none" w:sz="0" w:space="0" w:color="auto"/>
                                <w:bottom w:val="none" w:sz="0" w:space="0" w:color="auto"/>
                                <w:right w:val="none" w:sz="0" w:space="0" w:color="auto"/>
                              </w:divBdr>
                              <w:divsChild>
                                <w:div w:id="359672739">
                                  <w:marLeft w:val="0"/>
                                  <w:marRight w:val="0"/>
                                  <w:marTop w:val="0"/>
                                  <w:marBottom w:val="240"/>
                                  <w:divBdr>
                                    <w:top w:val="none" w:sz="0" w:space="0" w:color="auto"/>
                                    <w:left w:val="none" w:sz="0" w:space="0" w:color="auto"/>
                                    <w:bottom w:val="none" w:sz="0" w:space="0" w:color="auto"/>
                                    <w:right w:val="none" w:sz="0" w:space="0" w:color="auto"/>
                                  </w:divBdr>
                                  <w:divsChild>
                                    <w:div w:id="1565065683">
                                      <w:marLeft w:val="0"/>
                                      <w:marRight w:val="0"/>
                                      <w:marTop w:val="0"/>
                                      <w:marBottom w:val="0"/>
                                      <w:divBdr>
                                        <w:top w:val="none" w:sz="0" w:space="0" w:color="auto"/>
                                        <w:left w:val="none" w:sz="0" w:space="0" w:color="auto"/>
                                        <w:bottom w:val="none" w:sz="0" w:space="0" w:color="auto"/>
                                        <w:right w:val="none" w:sz="0" w:space="0" w:color="auto"/>
                                      </w:divBdr>
                                      <w:divsChild>
                                        <w:div w:id="1651864917">
                                          <w:marLeft w:val="0"/>
                                          <w:marRight w:val="0"/>
                                          <w:marTop w:val="0"/>
                                          <w:marBottom w:val="0"/>
                                          <w:divBdr>
                                            <w:top w:val="none" w:sz="0" w:space="0" w:color="auto"/>
                                            <w:left w:val="none" w:sz="0" w:space="0" w:color="auto"/>
                                            <w:bottom w:val="none" w:sz="0" w:space="0" w:color="auto"/>
                                            <w:right w:val="none" w:sz="0" w:space="0" w:color="auto"/>
                                          </w:divBdr>
                                          <w:divsChild>
                                            <w:div w:id="1647397290">
                                              <w:marLeft w:val="0"/>
                                              <w:marRight w:val="0"/>
                                              <w:marTop w:val="0"/>
                                              <w:marBottom w:val="150"/>
                                              <w:divBdr>
                                                <w:top w:val="single" w:sz="6" w:space="0" w:color="EDEDED"/>
                                                <w:left w:val="single" w:sz="6" w:space="0" w:color="EDEDED"/>
                                                <w:bottom w:val="single" w:sz="6" w:space="0" w:color="EDEDED"/>
                                                <w:right w:val="single" w:sz="6" w:space="0" w:color="EDEDED"/>
                                              </w:divBdr>
                                            </w:div>
                                            <w:div w:id="330184094">
                                              <w:marLeft w:val="0"/>
                                              <w:marRight w:val="0"/>
                                              <w:marTop w:val="0"/>
                                              <w:marBottom w:val="150"/>
                                              <w:divBdr>
                                                <w:top w:val="single" w:sz="6" w:space="0" w:color="EDEDED"/>
                                                <w:left w:val="single" w:sz="6" w:space="0" w:color="EDEDED"/>
                                                <w:bottom w:val="single" w:sz="6" w:space="0" w:color="EDEDED"/>
                                                <w:right w:val="single" w:sz="6" w:space="0" w:color="EDEDED"/>
                                              </w:divBdr>
                                            </w:div>
                                            <w:div w:id="234978647">
                                              <w:marLeft w:val="0"/>
                                              <w:marRight w:val="0"/>
                                              <w:marTop w:val="0"/>
                                              <w:marBottom w:val="150"/>
                                              <w:divBdr>
                                                <w:top w:val="single" w:sz="6" w:space="0" w:color="EDEDED"/>
                                                <w:left w:val="single" w:sz="6" w:space="0" w:color="EDEDED"/>
                                                <w:bottom w:val="single" w:sz="6" w:space="0" w:color="EDEDED"/>
                                                <w:right w:val="single" w:sz="6" w:space="0" w:color="EDEDED"/>
                                              </w:divBdr>
                                            </w:div>
                                            <w:div w:id="242645093">
                                              <w:marLeft w:val="0"/>
                                              <w:marRight w:val="0"/>
                                              <w:marTop w:val="0"/>
                                              <w:marBottom w:val="150"/>
                                              <w:divBdr>
                                                <w:top w:val="single" w:sz="6" w:space="0" w:color="EDEDED"/>
                                                <w:left w:val="single" w:sz="6" w:space="0" w:color="EDEDED"/>
                                                <w:bottom w:val="single" w:sz="6" w:space="0" w:color="EDEDED"/>
                                                <w:right w:val="single" w:sz="6" w:space="0" w:color="EDEDED"/>
                                              </w:divBdr>
                                            </w:div>
                                          </w:divsChild>
                                        </w:div>
                                      </w:divsChild>
                                    </w:div>
                                  </w:divsChild>
                                </w:div>
                              </w:divsChild>
                            </w:div>
                          </w:divsChild>
                        </w:div>
                        <w:div w:id="32047581">
                          <w:marLeft w:val="0"/>
                          <w:marRight w:val="0"/>
                          <w:marTop w:val="0"/>
                          <w:marBottom w:val="0"/>
                          <w:divBdr>
                            <w:top w:val="none" w:sz="0" w:space="0" w:color="auto"/>
                            <w:left w:val="none" w:sz="0" w:space="0" w:color="auto"/>
                            <w:bottom w:val="none" w:sz="0" w:space="0" w:color="auto"/>
                            <w:right w:val="none" w:sz="0" w:space="0" w:color="auto"/>
                          </w:divBdr>
                          <w:divsChild>
                            <w:div w:id="429741072">
                              <w:marLeft w:val="0"/>
                              <w:marRight w:val="0"/>
                              <w:marTop w:val="0"/>
                              <w:marBottom w:val="0"/>
                              <w:divBdr>
                                <w:top w:val="none" w:sz="0" w:space="0" w:color="auto"/>
                                <w:left w:val="none" w:sz="0" w:space="0" w:color="auto"/>
                                <w:bottom w:val="none" w:sz="0" w:space="0" w:color="auto"/>
                                <w:right w:val="none" w:sz="0" w:space="0" w:color="auto"/>
                              </w:divBdr>
                              <w:divsChild>
                                <w:div w:id="1872719223">
                                  <w:marLeft w:val="0"/>
                                  <w:marRight w:val="0"/>
                                  <w:marTop w:val="0"/>
                                  <w:marBottom w:val="240"/>
                                  <w:divBdr>
                                    <w:top w:val="none" w:sz="0" w:space="0" w:color="auto"/>
                                    <w:left w:val="none" w:sz="0" w:space="0" w:color="auto"/>
                                    <w:bottom w:val="none" w:sz="0" w:space="0" w:color="auto"/>
                                    <w:right w:val="none" w:sz="0" w:space="0" w:color="auto"/>
                                  </w:divBdr>
                                  <w:divsChild>
                                    <w:div w:id="685248940">
                                      <w:marLeft w:val="0"/>
                                      <w:marRight w:val="0"/>
                                      <w:marTop w:val="0"/>
                                      <w:marBottom w:val="0"/>
                                      <w:divBdr>
                                        <w:top w:val="none" w:sz="0" w:space="0" w:color="auto"/>
                                        <w:left w:val="none" w:sz="0" w:space="0" w:color="auto"/>
                                        <w:bottom w:val="none" w:sz="0" w:space="0" w:color="auto"/>
                                        <w:right w:val="none" w:sz="0" w:space="0" w:color="auto"/>
                                      </w:divBdr>
                                      <w:divsChild>
                                        <w:div w:id="2079596327">
                                          <w:marLeft w:val="0"/>
                                          <w:marRight w:val="0"/>
                                          <w:marTop w:val="0"/>
                                          <w:marBottom w:val="0"/>
                                          <w:divBdr>
                                            <w:top w:val="single" w:sz="6" w:space="2" w:color="EDEDED"/>
                                            <w:left w:val="single" w:sz="6" w:space="8" w:color="EDEDED"/>
                                            <w:bottom w:val="single" w:sz="6" w:space="3" w:color="EDEDED"/>
                                            <w:right w:val="single" w:sz="6" w:space="8" w:color="EDEDED"/>
                                          </w:divBdr>
                                          <w:divsChild>
                                            <w:div w:id="566965034">
                                              <w:marLeft w:val="0"/>
                                              <w:marRight w:val="0"/>
                                              <w:marTop w:val="0"/>
                                              <w:marBottom w:val="0"/>
                                              <w:divBdr>
                                                <w:top w:val="none" w:sz="0" w:space="0" w:color="auto"/>
                                                <w:left w:val="none" w:sz="0" w:space="0" w:color="auto"/>
                                                <w:bottom w:val="none" w:sz="0" w:space="0" w:color="auto"/>
                                                <w:right w:val="none" w:sz="0" w:space="0" w:color="auto"/>
                                              </w:divBdr>
                                              <w:divsChild>
                                                <w:div w:id="66224078">
                                                  <w:marLeft w:val="0"/>
                                                  <w:marRight w:val="0"/>
                                                  <w:marTop w:val="0"/>
                                                  <w:marBottom w:val="150"/>
                                                  <w:divBdr>
                                                    <w:top w:val="none" w:sz="0" w:space="0" w:color="auto"/>
                                                    <w:left w:val="none" w:sz="0" w:space="0" w:color="auto"/>
                                                    <w:bottom w:val="none" w:sz="0" w:space="0" w:color="auto"/>
                                                    <w:right w:val="none" w:sz="0" w:space="0" w:color="auto"/>
                                                  </w:divBdr>
                                                  <w:divsChild>
                                                    <w:div w:id="1252200823">
                                                      <w:marLeft w:val="0"/>
                                                      <w:marRight w:val="0"/>
                                                      <w:marTop w:val="0"/>
                                                      <w:marBottom w:val="0"/>
                                                      <w:divBdr>
                                                        <w:top w:val="single" w:sz="6" w:space="0" w:color="D8D8D8"/>
                                                        <w:left w:val="single" w:sz="6" w:space="0" w:color="D8D8D8"/>
                                                        <w:bottom w:val="single" w:sz="6" w:space="0" w:color="D8D8D8"/>
                                                        <w:right w:val="single" w:sz="6" w:space="0" w:color="D8D8D8"/>
                                                      </w:divBdr>
                                                    </w:div>
                                                    <w:div w:id="3950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713998">
      <w:bodyDiv w:val="1"/>
      <w:marLeft w:val="0"/>
      <w:marRight w:val="0"/>
      <w:marTop w:val="0"/>
      <w:marBottom w:val="0"/>
      <w:divBdr>
        <w:top w:val="none" w:sz="0" w:space="0" w:color="auto"/>
        <w:left w:val="none" w:sz="0" w:space="0" w:color="auto"/>
        <w:bottom w:val="none" w:sz="0" w:space="0" w:color="auto"/>
        <w:right w:val="none" w:sz="0" w:space="0" w:color="auto"/>
      </w:divBdr>
      <w:divsChild>
        <w:div w:id="1370960281">
          <w:marLeft w:val="0"/>
          <w:marRight w:val="0"/>
          <w:marTop w:val="150"/>
          <w:marBottom w:val="0"/>
          <w:divBdr>
            <w:top w:val="none" w:sz="0" w:space="0" w:color="auto"/>
            <w:left w:val="none" w:sz="0" w:space="0" w:color="auto"/>
            <w:bottom w:val="none" w:sz="0" w:space="0" w:color="auto"/>
            <w:right w:val="none" w:sz="0" w:space="0" w:color="auto"/>
          </w:divBdr>
          <w:divsChild>
            <w:div w:id="850803972">
              <w:marLeft w:val="0"/>
              <w:marRight w:val="0"/>
              <w:marTop w:val="0"/>
              <w:marBottom w:val="0"/>
              <w:divBdr>
                <w:top w:val="none" w:sz="0" w:space="0" w:color="auto"/>
                <w:left w:val="none" w:sz="0" w:space="0" w:color="auto"/>
                <w:bottom w:val="none" w:sz="0" w:space="0" w:color="auto"/>
                <w:right w:val="none" w:sz="0" w:space="0" w:color="auto"/>
              </w:divBdr>
              <w:divsChild>
                <w:div w:id="1980382147">
                  <w:marLeft w:val="0"/>
                  <w:marRight w:val="0"/>
                  <w:marTop w:val="0"/>
                  <w:marBottom w:val="0"/>
                  <w:divBdr>
                    <w:top w:val="none" w:sz="0" w:space="0" w:color="auto"/>
                    <w:left w:val="none" w:sz="0" w:space="0" w:color="auto"/>
                    <w:bottom w:val="none" w:sz="0" w:space="0" w:color="auto"/>
                    <w:right w:val="none" w:sz="0" w:space="0" w:color="auto"/>
                  </w:divBdr>
                  <w:divsChild>
                    <w:div w:id="3161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37282">
      <w:bodyDiv w:val="1"/>
      <w:marLeft w:val="0"/>
      <w:marRight w:val="0"/>
      <w:marTop w:val="0"/>
      <w:marBottom w:val="0"/>
      <w:divBdr>
        <w:top w:val="none" w:sz="0" w:space="0" w:color="auto"/>
        <w:left w:val="none" w:sz="0" w:space="0" w:color="auto"/>
        <w:bottom w:val="none" w:sz="0" w:space="0" w:color="auto"/>
        <w:right w:val="none" w:sz="0" w:space="0" w:color="auto"/>
      </w:divBdr>
      <w:divsChild>
        <w:div w:id="1422603230">
          <w:marLeft w:val="0"/>
          <w:marRight w:val="0"/>
          <w:marTop w:val="0"/>
          <w:marBottom w:val="0"/>
          <w:divBdr>
            <w:top w:val="none" w:sz="0" w:space="0" w:color="auto"/>
            <w:left w:val="none" w:sz="0" w:space="0" w:color="auto"/>
            <w:bottom w:val="none" w:sz="0" w:space="0" w:color="auto"/>
            <w:right w:val="none" w:sz="0" w:space="0" w:color="auto"/>
          </w:divBdr>
          <w:divsChild>
            <w:div w:id="1912502443">
              <w:marLeft w:val="0"/>
              <w:marRight w:val="0"/>
              <w:marTop w:val="0"/>
              <w:marBottom w:val="0"/>
              <w:divBdr>
                <w:top w:val="none" w:sz="0" w:space="0" w:color="auto"/>
                <w:left w:val="none" w:sz="0" w:space="0" w:color="auto"/>
                <w:bottom w:val="none" w:sz="0" w:space="0" w:color="auto"/>
                <w:right w:val="none" w:sz="0" w:space="0" w:color="auto"/>
              </w:divBdr>
              <w:divsChild>
                <w:div w:id="1396390789">
                  <w:marLeft w:val="0"/>
                  <w:marRight w:val="0"/>
                  <w:marTop w:val="0"/>
                  <w:marBottom w:val="0"/>
                  <w:divBdr>
                    <w:top w:val="none" w:sz="0" w:space="0" w:color="auto"/>
                    <w:left w:val="none" w:sz="0" w:space="0" w:color="auto"/>
                    <w:bottom w:val="none" w:sz="0" w:space="0" w:color="auto"/>
                    <w:right w:val="none" w:sz="0" w:space="0" w:color="auto"/>
                  </w:divBdr>
                  <w:divsChild>
                    <w:div w:id="1957828839">
                      <w:marLeft w:val="0"/>
                      <w:marRight w:val="0"/>
                      <w:marTop w:val="0"/>
                      <w:marBottom w:val="0"/>
                      <w:divBdr>
                        <w:top w:val="none" w:sz="0" w:space="0" w:color="auto"/>
                        <w:left w:val="none" w:sz="0" w:space="0" w:color="auto"/>
                        <w:bottom w:val="none" w:sz="0" w:space="0" w:color="auto"/>
                        <w:right w:val="none" w:sz="0" w:space="0" w:color="auto"/>
                      </w:divBdr>
                      <w:divsChild>
                        <w:div w:id="975181982">
                          <w:marLeft w:val="0"/>
                          <w:marRight w:val="0"/>
                          <w:marTop w:val="0"/>
                          <w:marBottom w:val="0"/>
                          <w:divBdr>
                            <w:top w:val="none" w:sz="0" w:space="0" w:color="auto"/>
                            <w:left w:val="none" w:sz="0" w:space="0" w:color="auto"/>
                            <w:bottom w:val="none" w:sz="0" w:space="0" w:color="auto"/>
                            <w:right w:val="none" w:sz="0" w:space="0" w:color="auto"/>
                          </w:divBdr>
                          <w:divsChild>
                            <w:div w:id="765540164">
                              <w:marLeft w:val="0"/>
                              <w:marRight w:val="0"/>
                              <w:marTop w:val="0"/>
                              <w:marBottom w:val="0"/>
                              <w:divBdr>
                                <w:top w:val="none" w:sz="0" w:space="0" w:color="auto"/>
                                <w:left w:val="none" w:sz="0" w:space="0" w:color="auto"/>
                                <w:bottom w:val="none" w:sz="0" w:space="0" w:color="auto"/>
                                <w:right w:val="none" w:sz="0" w:space="0" w:color="auto"/>
                              </w:divBdr>
                              <w:divsChild>
                                <w:div w:id="441922064">
                                  <w:marLeft w:val="0"/>
                                  <w:marRight w:val="0"/>
                                  <w:marTop w:val="0"/>
                                  <w:marBottom w:val="0"/>
                                  <w:divBdr>
                                    <w:top w:val="none" w:sz="0" w:space="0" w:color="auto"/>
                                    <w:left w:val="none" w:sz="0" w:space="0" w:color="auto"/>
                                    <w:bottom w:val="none" w:sz="0" w:space="0" w:color="auto"/>
                                    <w:right w:val="none" w:sz="0" w:space="0" w:color="auto"/>
                                  </w:divBdr>
                                  <w:divsChild>
                                    <w:div w:id="1567178847">
                                      <w:marLeft w:val="0"/>
                                      <w:marRight w:val="0"/>
                                      <w:marTop w:val="0"/>
                                      <w:marBottom w:val="0"/>
                                      <w:divBdr>
                                        <w:top w:val="none" w:sz="0" w:space="0" w:color="auto"/>
                                        <w:left w:val="none" w:sz="0" w:space="0" w:color="auto"/>
                                        <w:bottom w:val="none" w:sz="0" w:space="0" w:color="auto"/>
                                        <w:right w:val="none" w:sz="0" w:space="0" w:color="auto"/>
                                      </w:divBdr>
                                      <w:divsChild>
                                        <w:div w:id="882981928">
                                          <w:marLeft w:val="0"/>
                                          <w:marRight w:val="0"/>
                                          <w:marTop w:val="0"/>
                                          <w:marBottom w:val="0"/>
                                          <w:divBdr>
                                            <w:top w:val="none" w:sz="0" w:space="0" w:color="auto"/>
                                            <w:left w:val="none" w:sz="0" w:space="0" w:color="auto"/>
                                            <w:bottom w:val="none" w:sz="0" w:space="0" w:color="auto"/>
                                            <w:right w:val="none" w:sz="0" w:space="0" w:color="auto"/>
                                          </w:divBdr>
                                          <w:divsChild>
                                            <w:div w:id="225604164">
                                              <w:marLeft w:val="0"/>
                                              <w:marRight w:val="0"/>
                                              <w:marTop w:val="0"/>
                                              <w:marBottom w:val="0"/>
                                              <w:divBdr>
                                                <w:top w:val="none" w:sz="0" w:space="0" w:color="auto"/>
                                                <w:left w:val="none" w:sz="0" w:space="0" w:color="auto"/>
                                                <w:bottom w:val="none" w:sz="0" w:space="0" w:color="auto"/>
                                                <w:right w:val="none" w:sz="0" w:space="0" w:color="auto"/>
                                              </w:divBdr>
                                              <w:divsChild>
                                                <w:div w:id="1649437097">
                                                  <w:marLeft w:val="0"/>
                                                  <w:marRight w:val="0"/>
                                                  <w:marTop w:val="0"/>
                                                  <w:marBottom w:val="0"/>
                                                  <w:divBdr>
                                                    <w:top w:val="none" w:sz="0" w:space="0" w:color="auto"/>
                                                    <w:left w:val="none" w:sz="0" w:space="0" w:color="auto"/>
                                                    <w:bottom w:val="none" w:sz="0" w:space="0" w:color="auto"/>
                                                    <w:right w:val="none" w:sz="0" w:space="0" w:color="auto"/>
                                                  </w:divBdr>
                                                  <w:divsChild>
                                                    <w:div w:id="881555854">
                                                      <w:marLeft w:val="0"/>
                                                      <w:marRight w:val="0"/>
                                                      <w:marTop w:val="0"/>
                                                      <w:marBottom w:val="0"/>
                                                      <w:divBdr>
                                                        <w:top w:val="none" w:sz="0" w:space="0" w:color="auto"/>
                                                        <w:left w:val="none" w:sz="0" w:space="0" w:color="auto"/>
                                                        <w:bottom w:val="none" w:sz="0" w:space="0" w:color="auto"/>
                                                        <w:right w:val="none" w:sz="0" w:space="0" w:color="auto"/>
                                                      </w:divBdr>
                                                      <w:divsChild>
                                                        <w:div w:id="10797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7803360">
      <w:bodyDiv w:val="1"/>
      <w:marLeft w:val="0"/>
      <w:marRight w:val="0"/>
      <w:marTop w:val="0"/>
      <w:marBottom w:val="0"/>
      <w:divBdr>
        <w:top w:val="none" w:sz="0" w:space="0" w:color="auto"/>
        <w:left w:val="none" w:sz="0" w:space="0" w:color="auto"/>
        <w:bottom w:val="none" w:sz="0" w:space="0" w:color="auto"/>
        <w:right w:val="none" w:sz="0" w:space="0" w:color="auto"/>
      </w:divBdr>
      <w:divsChild>
        <w:div w:id="946427772">
          <w:marLeft w:val="0"/>
          <w:marRight w:val="0"/>
          <w:marTop w:val="0"/>
          <w:marBottom w:val="0"/>
          <w:divBdr>
            <w:top w:val="none" w:sz="0" w:space="0" w:color="auto"/>
            <w:left w:val="none" w:sz="0" w:space="0" w:color="auto"/>
            <w:bottom w:val="none" w:sz="0" w:space="0" w:color="auto"/>
            <w:right w:val="none" w:sz="0" w:space="0" w:color="auto"/>
          </w:divBdr>
          <w:divsChild>
            <w:div w:id="444691362">
              <w:marLeft w:val="0"/>
              <w:marRight w:val="0"/>
              <w:marTop w:val="0"/>
              <w:marBottom w:val="0"/>
              <w:divBdr>
                <w:top w:val="none" w:sz="0" w:space="0" w:color="auto"/>
                <w:left w:val="none" w:sz="0" w:space="0" w:color="auto"/>
                <w:bottom w:val="none" w:sz="0" w:space="0" w:color="auto"/>
                <w:right w:val="none" w:sz="0" w:space="0" w:color="auto"/>
              </w:divBdr>
            </w:div>
          </w:divsChild>
        </w:div>
        <w:div w:id="58526177">
          <w:marLeft w:val="0"/>
          <w:marRight w:val="0"/>
          <w:marTop w:val="0"/>
          <w:marBottom w:val="0"/>
          <w:divBdr>
            <w:top w:val="none" w:sz="0" w:space="0" w:color="auto"/>
            <w:left w:val="none" w:sz="0" w:space="0" w:color="auto"/>
            <w:bottom w:val="none" w:sz="0" w:space="0" w:color="auto"/>
            <w:right w:val="none" w:sz="0" w:space="0" w:color="auto"/>
          </w:divBdr>
          <w:divsChild>
            <w:div w:id="1025402917">
              <w:marLeft w:val="0"/>
              <w:marRight w:val="0"/>
              <w:marTop w:val="0"/>
              <w:marBottom w:val="0"/>
              <w:divBdr>
                <w:top w:val="none" w:sz="0" w:space="0" w:color="auto"/>
                <w:left w:val="none" w:sz="0" w:space="0" w:color="auto"/>
                <w:bottom w:val="none" w:sz="0" w:space="0" w:color="auto"/>
                <w:right w:val="none" w:sz="0" w:space="0" w:color="auto"/>
              </w:divBdr>
            </w:div>
          </w:divsChild>
        </w:div>
        <w:div w:id="1438913094">
          <w:marLeft w:val="0"/>
          <w:marRight w:val="0"/>
          <w:marTop w:val="0"/>
          <w:marBottom w:val="0"/>
          <w:divBdr>
            <w:top w:val="none" w:sz="0" w:space="0" w:color="auto"/>
            <w:left w:val="none" w:sz="0" w:space="0" w:color="auto"/>
            <w:bottom w:val="none" w:sz="0" w:space="0" w:color="auto"/>
            <w:right w:val="none" w:sz="0" w:space="0" w:color="auto"/>
          </w:divBdr>
          <w:divsChild>
            <w:div w:id="228267579">
              <w:marLeft w:val="0"/>
              <w:marRight w:val="0"/>
              <w:marTop w:val="0"/>
              <w:marBottom w:val="0"/>
              <w:divBdr>
                <w:top w:val="none" w:sz="0" w:space="0" w:color="auto"/>
                <w:left w:val="none" w:sz="0" w:space="0" w:color="auto"/>
                <w:bottom w:val="none" w:sz="0" w:space="0" w:color="auto"/>
                <w:right w:val="none" w:sz="0" w:space="0" w:color="auto"/>
              </w:divBdr>
            </w:div>
          </w:divsChild>
        </w:div>
        <w:div w:id="1542982165">
          <w:marLeft w:val="0"/>
          <w:marRight w:val="0"/>
          <w:marTop w:val="0"/>
          <w:marBottom w:val="0"/>
          <w:divBdr>
            <w:top w:val="none" w:sz="0" w:space="0" w:color="auto"/>
            <w:left w:val="none" w:sz="0" w:space="0" w:color="auto"/>
            <w:bottom w:val="none" w:sz="0" w:space="0" w:color="auto"/>
            <w:right w:val="none" w:sz="0" w:space="0" w:color="auto"/>
          </w:divBdr>
          <w:divsChild>
            <w:div w:id="6237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8441">
      <w:bodyDiv w:val="1"/>
      <w:marLeft w:val="0"/>
      <w:marRight w:val="0"/>
      <w:marTop w:val="0"/>
      <w:marBottom w:val="0"/>
      <w:divBdr>
        <w:top w:val="none" w:sz="0" w:space="0" w:color="auto"/>
        <w:left w:val="none" w:sz="0" w:space="0" w:color="auto"/>
        <w:bottom w:val="none" w:sz="0" w:space="0" w:color="auto"/>
        <w:right w:val="none" w:sz="0" w:space="0" w:color="auto"/>
      </w:divBdr>
      <w:divsChild>
        <w:div w:id="1847667516">
          <w:marLeft w:val="0"/>
          <w:marRight w:val="0"/>
          <w:marTop w:val="0"/>
          <w:marBottom w:val="0"/>
          <w:divBdr>
            <w:top w:val="none" w:sz="0" w:space="0" w:color="auto"/>
            <w:left w:val="none" w:sz="0" w:space="0" w:color="auto"/>
            <w:bottom w:val="none" w:sz="0" w:space="0" w:color="auto"/>
            <w:right w:val="none" w:sz="0" w:space="0" w:color="auto"/>
          </w:divBdr>
        </w:div>
        <w:div w:id="847063842">
          <w:marLeft w:val="0"/>
          <w:marRight w:val="0"/>
          <w:marTop w:val="900"/>
          <w:marBottom w:val="0"/>
          <w:divBdr>
            <w:top w:val="none" w:sz="0" w:space="0" w:color="auto"/>
            <w:left w:val="none" w:sz="0" w:space="0" w:color="auto"/>
            <w:bottom w:val="none" w:sz="0" w:space="0" w:color="auto"/>
            <w:right w:val="none" w:sz="0" w:space="0" w:color="auto"/>
          </w:divBdr>
        </w:div>
      </w:divsChild>
    </w:div>
    <w:div w:id="1391462334">
      <w:bodyDiv w:val="1"/>
      <w:marLeft w:val="0"/>
      <w:marRight w:val="0"/>
      <w:marTop w:val="0"/>
      <w:marBottom w:val="0"/>
      <w:divBdr>
        <w:top w:val="none" w:sz="0" w:space="0" w:color="auto"/>
        <w:left w:val="none" w:sz="0" w:space="0" w:color="auto"/>
        <w:bottom w:val="none" w:sz="0" w:space="0" w:color="auto"/>
        <w:right w:val="none" w:sz="0" w:space="0" w:color="auto"/>
      </w:divBdr>
      <w:divsChild>
        <w:div w:id="477456497">
          <w:marLeft w:val="0"/>
          <w:marRight w:val="0"/>
          <w:marTop w:val="150"/>
          <w:marBottom w:val="0"/>
          <w:divBdr>
            <w:top w:val="none" w:sz="0" w:space="0" w:color="auto"/>
            <w:left w:val="none" w:sz="0" w:space="0" w:color="auto"/>
            <w:bottom w:val="none" w:sz="0" w:space="0" w:color="auto"/>
            <w:right w:val="none" w:sz="0" w:space="0" w:color="auto"/>
          </w:divBdr>
          <w:divsChild>
            <w:div w:id="253439193">
              <w:marLeft w:val="2"/>
              <w:marRight w:val="2"/>
              <w:marTop w:val="0"/>
              <w:marBottom w:val="0"/>
              <w:divBdr>
                <w:top w:val="none" w:sz="0" w:space="0" w:color="auto"/>
                <w:left w:val="none" w:sz="0" w:space="0" w:color="auto"/>
                <w:bottom w:val="none" w:sz="0" w:space="0" w:color="auto"/>
                <w:right w:val="none" w:sz="0" w:space="0" w:color="auto"/>
              </w:divBdr>
              <w:divsChild>
                <w:div w:id="715469458">
                  <w:marLeft w:val="0"/>
                  <w:marRight w:val="0"/>
                  <w:marTop w:val="0"/>
                  <w:marBottom w:val="0"/>
                  <w:divBdr>
                    <w:top w:val="none" w:sz="0" w:space="0" w:color="auto"/>
                    <w:left w:val="none" w:sz="0" w:space="0" w:color="auto"/>
                    <w:bottom w:val="none" w:sz="0" w:space="0" w:color="auto"/>
                    <w:right w:val="none" w:sz="0" w:space="0" w:color="auto"/>
                  </w:divBdr>
                  <w:divsChild>
                    <w:div w:id="1384209742">
                      <w:marLeft w:val="0"/>
                      <w:marRight w:val="0"/>
                      <w:marTop w:val="0"/>
                      <w:marBottom w:val="0"/>
                      <w:divBdr>
                        <w:top w:val="none" w:sz="0" w:space="0" w:color="auto"/>
                        <w:left w:val="none" w:sz="0" w:space="0" w:color="auto"/>
                        <w:bottom w:val="none" w:sz="0" w:space="0" w:color="auto"/>
                        <w:right w:val="none" w:sz="0" w:space="0" w:color="auto"/>
                      </w:divBdr>
                      <w:divsChild>
                        <w:div w:id="1693456908">
                          <w:marLeft w:val="0"/>
                          <w:marRight w:val="0"/>
                          <w:marTop w:val="0"/>
                          <w:marBottom w:val="0"/>
                          <w:divBdr>
                            <w:top w:val="none" w:sz="0" w:space="0" w:color="auto"/>
                            <w:left w:val="none" w:sz="0" w:space="0" w:color="auto"/>
                            <w:bottom w:val="none" w:sz="0" w:space="0" w:color="auto"/>
                            <w:right w:val="none" w:sz="0" w:space="0" w:color="auto"/>
                          </w:divBdr>
                          <w:divsChild>
                            <w:div w:id="1477187902">
                              <w:marLeft w:val="0"/>
                              <w:marRight w:val="0"/>
                              <w:marTop w:val="0"/>
                              <w:marBottom w:val="0"/>
                              <w:divBdr>
                                <w:top w:val="none" w:sz="0" w:space="0" w:color="auto"/>
                                <w:left w:val="none" w:sz="0" w:space="0" w:color="auto"/>
                                <w:bottom w:val="none" w:sz="0" w:space="0" w:color="auto"/>
                                <w:right w:val="none" w:sz="0" w:space="0" w:color="auto"/>
                              </w:divBdr>
                              <w:divsChild>
                                <w:div w:id="1516577139">
                                  <w:marLeft w:val="0"/>
                                  <w:marRight w:val="0"/>
                                  <w:marTop w:val="0"/>
                                  <w:marBottom w:val="0"/>
                                  <w:divBdr>
                                    <w:top w:val="none" w:sz="0" w:space="0" w:color="auto"/>
                                    <w:left w:val="none" w:sz="0" w:space="0" w:color="auto"/>
                                    <w:bottom w:val="none" w:sz="0" w:space="0" w:color="auto"/>
                                    <w:right w:val="none" w:sz="0" w:space="0" w:color="auto"/>
                                  </w:divBdr>
                                  <w:divsChild>
                                    <w:div w:id="576016328">
                                      <w:marLeft w:val="0"/>
                                      <w:marRight w:val="0"/>
                                      <w:marTop w:val="0"/>
                                      <w:marBottom w:val="0"/>
                                      <w:divBdr>
                                        <w:top w:val="none" w:sz="0" w:space="0" w:color="auto"/>
                                        <w:left w:val="none" w:sz="0" w:space="0" w:color="auto"/>
                                        <w:bottom w:val="none" w:sz="0" w:space="0" w:color="auto"/>
                                        <w:right w:val="none" w:sz="0" w:space="0" w:color="auto"/>
                                      </w:divBdr>
                                      <w:divsChild>
                                        <w:div w:id="1794664503">
                                          <w:marLeft w:val="0"/>
                                          <w:marRight w:val="0"/>
                                          <w:marTop w:val="0"/>
                                          <w:marBottom w:val="0"/>
                                          <w:divBdr>
                                            <w:top w:val="none" w:sz="0" w:space="0" w:color="auto"/>
                                            <w:left w:val="none" w:sz="0" w:space="0" w:color="auto"/>
                                            <w:bottom w:val="none" w:sz="0" w:space="0" w:color="auto"/>
                                            <w:right w:val="none" w:sz="0" w:space="0" w:color="auto"/>
                                          </w:divBdr>
                                          <w:divsChild>
                                            <w:div w:id="1601797635">
                                              <w:marLeft w:val="0"/>
                                              <w:marRight w:val="0"/>
                                              <w:marTop w:val="0"/>
                                              <w:marBottom w:val="0"/>
                                              <w:divBdr>
                                                <w:top w:val="none" w:sz="0" w:space="0" w:color="auto"/>
                                                <w:left w:val="none" w:sz="0" w:space="0" w:color="auto"/>
                                                <w:bottom w:val="none" w:sz="0" w:space="0" w:color="auto"/>
                                                <w:right w:val="none" w:sz="0" w:space="0" w:color="auto"/>
                                              </w:divBdr>
                                              <w:divsChild>
                                                <w:div w:id="5114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492026">
      <w:bodyDiv w:val="1"/>
      <w:marLeft w:val="0"/>
      <w:marRight w:val="0"/>
      <w:marTop w:val="0"/>
      <w:marBottom w:val="0"/>
      <w:divBdr>
        <w:top w:val="none" w:sz="0" w:space="0" w:color="auto"/>
        <w:left w:val="none" w:sz="0" w:space="0" w:color="auto"/>
        <w:bottom w:val="none" w:sz="0" w:space="0" w:color="auto"/>
        <w:right w:val="none" w:sz="0" w:space="0" w:color="auto"/>
      </w:divBdr>
      <w:divsChild>
        <w:div w:id="1378703235">
          <w:marLeft w:val="0"/>
          <w:marRight w:val="0"/>
          <w:marTop w:val="0"/>
          <w:marBottom w:val="0"/>
          <w:divBdr>
            <w:top w:val="none" w:sz="0" w:space="0" w:color="auto"/>
            <w:left w:val="none" w:sz="0" w:space="0" w:color="auto"/>
            <w:bottom w:val="none" w:sz="0" w:space="0" w:color="auto"/>
            <w:right w:val="none" w:sz="0" w:space="0" w:color="auto"/>
          </w:divBdr>
          <w:divsChild>
            <w:div w:id="468984653">
              <w:marLeft w:val="2"/>
              <w:marRight w:val="2"/>
              <w:marTop w:val="0"/>
              <w:marBottom w:val="0"/>
              <w:divBdr>
                <w:top w:val="none" w:sz="0" w:space="0" w:color="auto"/>
                <w:left w:val="none" w:sz="0" w:space="0" w:color="auto"/>
                <w:bottom w:val="none" w:sz="0" w:space="0" w:color="auto"/>
                <w:right w:val="none" w:sz="0" w:space="0" w:color="auto"/>
              </w:divBdr>
              <w:divsChild>
                <w:div w:id="1161039720">
                  <w:marLeft w:val="0"/>
                  <w:marRight w:val="0"/>
                  <w:marTop w:val="0"/>
                  <w:marBottom w:val="0"/>
                  <w:divBdr>
                    <w:top w:val="none" w:sz="0" w:space="0" w:color="auto"/>
                    <w:left w:val="none" w:sz="0" w:space="0" w:color="auto"/>
                    <w:bottom w:val="none" w:sz="0" w:space="0" w:color="auto"/>
                    <w:right w:val="none" w:sz="0" w:space="0" w:color="auto"/>
                  </w:divBdr>
                  <w:divsChild>
                    <w:div w:id="1520242541">
                      <w:marLeft w:val="0"/>
                      <w:marRight w:val="0"/>
                      <w:marTop w:val="0"/>
                      <w:marBottom w:val="0"/>
                      <w:divBdr>
                        <w:top w:val="none" w:sz="0" w:space="0" w:color="auto"/>
                        <w:left w:val="none" w:sz="0" w:space="0" w:color="auto"/>
                        <w:bottom w:val="none" w:sz="0" w:space="0" w:color="auto"/>
                        <w:right w:val="none" w:sz="0" w:space="0" w:color="auto"/>
                      </w:divBdr>
                      <w:divsChild>
                        <w:div w:id="170145628">
                          <w:marLeft w:val="0"/>
                          <w:marRight w:val="0"/>
                          <w:marTop w:val="0"/>
                          <w:marBottom w:val="0"/>
                          <w:divBdr>
                            <w:top w:val="none" w:sz="0" w:space="0" w:color="auto"/>
                            <w:left w:val="none" w:sz="0" w:space="0" w:color="auto"/>
                            <w:bottom w:val="none" w:sz="0" w:space="0" w:color="auto"/>
                            <w:right w:val="none" w:sz="0" w:space="0" w:color="auto"/>
                          </w:divBdr>
                          <w:divsChild>
                            <w:div w:id="1748264897">
                              <w:marLeft w:val="0"/>
                              <w:marRight w:val="0"/>
                              <w:marTop w:val="0"/>
                              <w:marBottom w:val="0"/>
                              <w:divBdr>
                                <w:top w:val="none" w:sz="0" w:space="0" w:color="auto"/>
                                <w:left w:val="none" w:sz="0" w:space="0" w:color="auto"/>
                                <w:bottom w:val="none" w:sz="0" w:space="0" w:color="auto"/>
                                <w:right w:val="none" w:sz="0" w:space="0" w:color="auto"/>
                              </w:divBdr>
                              <w:divsChild>
                                <w:div w:id="1163358285">
                                  <w:marLeft w:val="0"/>
                                  <w:marRight w:val="0"/>
                                  <w:marTop w:val="0"/>
                                  <w:marBottom w:val="0"/>
                                  <w:divBdr>
                                    <w:top w:val="none" w:sz="0" w:space="0" w:color="auto"/>
                                    <w:left w:val="none" w:sz="0" w:space="0" w:color="auto"/>
                                    <w:bottom w:val="none" w:sz="0" w:space="0" w:color="auto"/>
                                    <w:right w:val="none" w:sz="0" w:space="0" w:color="auto"/>
                                  </w:divBdr>
                                  <w:divsChild>
                                    <w:div w:id="825895140">
                                      <w:marLeft w:val="0"/>
                                      <w:marRight w:val="0"/>
                                      <w:marTop w:val="0"/>
                                      <w:marBottom w:val="0"/>
                                      <w:divBdr>
                                        <w:top w:val="none" w:sz="0" w:space="0" w:color="auto"/>
                                        <w:left w:val="none" w:sz="0" w:space="0" w:color="auto"/>
                                        <w:bottom w:val="none" w:sz="0" w:space="0" w:color="auto"/>
                                        <w:right w:val="none" w:sz="0" w:space="0" w:color="auto"/>
                                      </w:divBdr>
                                      <w:divsChild>
                                        <w:div w:id="2008433543">
                                          <w:marLeft w:val="0"/>
                                          <w:marRight w:val="0"/>
                                          <w:marTop w:val="0"/>
                                          <w:marBottom w:val="0"/>
                                          <w:divBdr>
                                            <w:top w:val="none" w:sz="0" w:space="0" w:color="auto"/>
                                            <w:left w:val="none" w:sz="0" w:space="0" w:color="auto"/>
                                            <w:bottom w:val="none" w:sz="0" w:space="0" w:color="auto"/>
                                            <w:right w:val="none" w:sz="0" w:space="0" w:color="auto"/>
                                          </w:divBdr>
                                          <w:divsChild>
                                            <w:div w:id="5906747">
                                              <w:marLeft w:val="0"/>
                                              <w:marRight w:val="0"/>
                                              <w:marTop w:val="0"/>
                                              <w:marBottom w:val="0"/>
                                              <w:divBdr>
                                                <w:top w:val="none" w:sz="0" w:space="0" w:color="auto"/>
                                                <w:left w:val="none" w:sz="0" w:space="0" w:color="auto"/>
                                                <w:bottom w:val="none" w:sz="0" w:space="0" w:color="auto"/>
                                                <w:right w:val="none" w:sz="0" w:space="0" w:color="auto"/>
                                              </w:divBdr>
                                            </w:div>
                                          </w:divsChild>
                                        </w:div>
                                        <w:div w:id="225455349">
                                          <w:marLeft w:val="0"/>
                                          <w:marRight w:val="0"/>
                                          <w:marTop w:val="0"/>
                                          <w:marBottom w:val="0"/>
                                          <w:divBdr>
                                            <w:top w:val="none" w:sz="0" w:space="0" w:color="auto"/>
                                            <w:left w:val="none" w:sz="0" w:space="0" w:color="auto"/>
                                            <w:bottom w:val="none" w:sz="0" w:space="0" w:color="auto"/>
                                            <w:right w:val="none" w:sz="0" w:space="0" w:color="auto"/>
                                          </w:divBdr>
                                          <w:divsChild>
                                            <w:div w:id="806163671">
                                              <w:marLeft w:val="0"/>
                                              <w:marRight w:val="0"/>
                                              <w:marTop w:val="0"/>
                                              <w:marBottom w:val="0"/>
                                              <w:divBdr>
                                                <w:top w:val="none" w:sz="0" w:space="0" w:color="auto"/>
                                                <w:left w:val="none" w:sz="0" w:space="0" w:color="auto"/>
                                                <w:bottom w:val="none" w:sz="0" w:space="0" w:color="auto"/>
                                                <w:right w:val="none" w:sz="0" w:space="0" w:color="auto"/>
                                              </w:divBdr>
                                            </w:div>
                                          </w:divsChild>
                                        </w:div>
                                        <w:div w:id="635181025">
                                          <w:marLeft w:val="0"/>
                                          <w:marRight w:val="0"/>
                                          <w:marTop w:val="0"/>
                                          <w:marBottom w:val="0"/>
                                          <w:divBdr>
                                            <w:top w:val="none" w:sz="0" w:space="0" w:color="auto"/>
                                            <w:left w:val="none" w:sz="0" w:space="0" w:color="auto"/>
                                            <w:bottom w:val="none" w:sz="0" w:space="0" w:color="auto"/>
                                            <w:right w:val="none" w:sz="0" w:space="0" w:color="auto"/>
                                          </w:divBdr>
                                          <w:divsChild>
                                            <w:div w:id="10903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117639">
      <w:bodyDiv w:val="1"/>
      <w:marLeft w:val="0"/>
      <w:marRight w:val="0"/>
      <w:marTop w:val="0"/>
      <w:marBottom w:val="0"/>
      <w:divBdr>
        <w:top w:val="none" w:sz="0" w:space="0" w:color="auto"/>
        <w:left w:val="none" w:sz="0" w:space="0" w:color="auto"/>
        <w:bottom w:val="none" w:sz="0" w:space="0" w:color="auto"/>
        <w:right w:val="none" w:sz="0" w:space="0" w:color="auto"/>
      </w:divBdr>
      <w:divsChild>
        <w:div w:id="1131940727">
          <w:marLeft w:val="0"/>
          <w:marRight w:val="0"/>
          <w:marTop w:val="0"/>
          <w:marBottom w:val="450"/>
          <w:divBdr>
            <w:top w:val="none" w:sz="0" w:space="0" w:color="auto"/>
            <w:left w:val="none" w:sz="0" w:space="0" w:color="auto"/>
            <w:bottom w:val="none" w:sz="0" w:space="0" w:color="auto"/>
            <w:right w:val="none" w:sz="0" w:space="0" w:color="auto"/>
          </w:divBdr>
        </w:div>
      </w:divsChild>
    </w:div>
    <w:div w:id="1394082906">
      <w:bodyDiv w:val="1"/>
      <w:marLeft w:val="0"/>
      <w:marRight w:val="0"/>
      <w:marTop w:val="0"/>
      <w:marBottom w:val="0"/>
      <w:divBdr>
        <w:top w:val="none" w:sz="0" w:space="0" w:color="auto"/>
        <w:left w:val="none" w:sz="0" w:space="0" w:color="auto"/>
        <w:bottom w:val="none" w:sz="0" w:space="0" w:color="auto"/>
        <w:right w:val="none" w:sz="0" w:space="0" w:color="auto"/>
      </w:divBdr>
      <w:divsChild>
        <w:div w:id="231088368">
          <w:marLeft w:val="0"/>
          <w:marRight w:val="0"/>
          <w:marTop w:val="0"/>
          <w:marBottom w:val="75"/>
          <w:divBdr>
            <w:top w:val="none" w:sz="0" w:space="0" w:color="auto"/>
            <w:left w:val="none" w:sz="0" w:space="0" w:color="auto"/>
            <w:bottom w:val="none" w:sz="0" w:space="0" w:color="auto"/>
            <w:right w:val="none" w:sz="0" w:space="0" w:color="auto"/>
          </w:divBdr>
        </w:div>
        <w:div w:id="762140503">
          <w:marLeft w:val="0"/>
          <w:marRight w:val="0"/>
          <w:marTop w:val="150"/>
          <w:marBottom w:val="0"/>
          <w:divBdr>
            <w:top w:val="none" w:sz="0" w:space="0" w:color="auto"/>
            <w:left w:val="none" w:sz="0" w:space="0" w:color="auto"/>
            <w:bottom w:val="none" w:sz="0" w:space="0" w:color="auto"/>
            <w:right w:val="none" w:sz="0" w:space="0" w:color="auto"/>
          </w:divBdr>
        </w:div>
        <w:div w:id="938025271">
          <w:marLeft w:val="0"/>
          <w:marRight w:val="0"/>
          <w:marTop w:val="45"/>
          <w:marBottom w:val="0"/>
          <w:divBdr>
            <w:top w:val="none" w:sz="0" w:space="0" w:color="auto"/>
            <w:left w:val="none" w:sz="0" w:space="0" w:color="auto"/>
            <w:bottom w:val="none" w:sz="0" w:space="0" w:color="auto"/>
            <w:right w:val="none" w:sz="0" w:space="0" w:color="auto"/>
          </w:divBdr>
        </w:div>
      </w:divsChild>
    </w:div>
    <w:div w:id="1395540707">
      <w:bodyDiv w:val="1"/>
      <w:marLeft w:val="0"/>
      <w:marRight w:val="0"/>
      <w:marTop w:val="0"/>
      <w:marBottom w:val="0"/>
      <w:divBdr>
        <w:top w:val="none" w:sz="0" w:space="0" w:color="auto"/>
        <w:left w:val="none" w:sz="0" w:space="0" w:color="auto"/>
        <w:bottom w:val="none" w:sz="0" w:space="0" w:color="auto"/>
        <w:right w:val="none" w:sz="0" w:space="0" w:color="auto"/>
      </w:divBdr>
    </w:div>
    <w:div w:id="1396202373">
      <w:bodyDiv w:val="1"/>
      <w:marLeft w:val="0"/>
      <w:marRight w:val="0"/>
      <w:marTop w:val="0"/>
      <w:marBottom w:val="0"/>
      <w:divBdr>
        <w:top w:val="none" w:sz="0" w:space="0" w:color="auto"/>
        <w:left w:val="none" w:sz="0" w:space="0" w:color="auto"/>
        <w:bottom w:val="none" w:sz="0" w:space="0" w:color="auto"/>
        <w:right w:val="none" w:sz="0" w:space="0" w:color="auto"/>
      </w:divBdr>
      <w:divsChild>
        <w:div w:id="1357461350">
          <w:marLeft w:val="0"/>
          <w:marRight w:val="0"/>
          <w:marTop w:val="0"/>
          <w:marBottom w:val="0"/>
          <w:divBdr>
            <w:top w:val="none" w:sz="0" w:space="0" w:color="auto"/>
            <w:left w:val="none" w:sz="0" w:space="0" w:color="auto"/>
            <w:bottom w:val="none" w:sz="0" w:space="0" w:color="auto"/>
            <w:right w:val="none" w:sz="0" w:space="0" w:color="auto"/>
          </w:divBdr>
          <w:divsChild>
            <w:div w:id="1911302449">
              <w:marLeft w:val="0"/>
              <w:marRight w:val="0"/>
              <w:marTop w:val="0"/>
              <w:marBottom w:val="0"/>
              <w:divBdr>
                <w:top w:val="none" w:sz="0" w:space="0" w:color="auto"/>
                <w:left w:val="none" w:sz="0" w:space="0" w:color="auto"/>
                <w:bottom w:val="none" w:sz="0" w:space="0" w:color="auto"/>
                <w:right w:val="none" w:sz="0" w:space="0" w:color="auto"/>
              </w:divBdr>
              <w:divsChild>
                <w:div w:id="2125073772">
                  <w:marLeft w:val="0"/>
                  <w:marRight w:val="0"/>
                  <w:marTop w:val="0"/>
                  <w:marBottom w:val="0"/>
                  <w:divBdr>
                    <w:top w:val="none" w:sz="0" w:space="0" w:color="auto"/>
                    <w:left w:val="none" w:sz="0" w:space="0" w:color="auto"/>
                    <w:bottom w:val="none" w:sz="0" w:space="0" w:color="auto"/>
                    <w:right w:val="none" w:sz="0" w:space="0" w:color="auto"/>
                  </w:divBdr>
                  <w:divsChild>
                    <w:div w:id="1669209347">
                      <w:marLeft w:val="0"/>
                      <w:marRight w:val="0"/>
                      <w:marTop w:val="0"/>
                      <w:marBottom w:val="0"/>
                      <w:divBdr>
                        <w:top w:val="none" w:sz="0" w:space="0" w:color="auto"/>
                        <w:left w:val="none" w:sz="0" w:space="0" w:color="auto"/>
                        <w:bottom w:val="none" w:sz="0" w:space="0" w:color="auto"/>
                        <w:right w:val="none" w:sz="0" w:space="0" w:color="auto"/>
                      </w:divBdr>
                      <w:divsChild>
                        <w:div w:id="557782043">
                          <w:marLeft w:val="0"/>
                          <w:marRight w:val="0"/>
                          <w:marTop w:val="0"/>
                          <w:marBottom w:val="0"/>
                          <w:divBdr>
                            <w:top w:val="none" w:sz="0" w:space="0" w:color="auto"/>
                            <w:left w:val="none" w:sz="0" w:space="0" w:color="auto"/>
                            <w:bottom w:val="none" w:sz="0" w:space="0" w:color="auto"/>
                            <w:right w:val="none" w:sz="0" w:space="0" w:color="auto"/>
                          </w:divBdr>
                          <w:divsChild>
                            <w:div w:id="81605533">
                              <w:marLeft w:val="0"/>
                              <w:marRight w:val="0"/>
                              <w:marTop w:val="0"/>
                              <w:marBottom w:val="0"/>
                              <w:divBdr>
                                <w:top w:val="none" w:sz="0" w:space="0" w:color="auto"/>
                                <w:left w:val="none" w:sz="0" w:space="0" w:color="auto"/>
                                <w:bottom w:val="none" w:sz="0" w:space="0" w:color="auto"/>
                                <w:right w:val="none" w:sz="0" w:space="0" w:color="auto"/>
                              </w:divBdr>
                              <w:divsChild>
                                <w:div w:id="1660039992">
                                  <w:marLeft w:val="0"/>
                                  <w:marRight w:val="0"/>
                                  <w:marTop w:val="0"/>
                                  <w:marBottom w:val="0"/>
                                  <w:divBdr>
                                    <w:top w:val="none" w:sz="0" w:space="0" w:color="auto"/>
                                    <w:left w:val="none" w:sz="0" w:space="0" w:color="auto"/>
                                    <w:bottom w:val="none" w:sz="0" w:space="0" w:color="auto"/>
                                    <w:right w:val="none" w:sz="0" w:space="0" w:color="auto"/>
                                  </w:divBdr>
                                  <w:divsChild>
                                    <w:div w:id="775054569">
                                      <w:marLeft w:val="0"/>
                                      <w:marRight w:val="0"/>
                                      <w:marTop w:val="0"/>
                                      <w:marBottom w:val="0"/>
                                      <w:divBdr>
                                        <w:top w:val="none" w:sz="0" w:space="0" w:color="auto"/>
                                        <w:left w:val="none" w:sz="0" w:space="0" w:color="auto"/>
                                        <w:bottom w:val="none" w:sz="0" w:space="0" w:color="auto"/>
                                        <w:right w:val="none" w:sz="0" w:space="0" w:color="auto"/>
                                      </w:divBdr>
                                      <w:divsChild>
                                        <w:div w:id="789325597">
                                          <w:marLeft w:val="0"/>
                                          <w:marRight w:val="0"/>
                                          <w:marTop w:val="0"/>
                                          <w:marBottom w:val="0"/>
                                          <w:divBdr>
                                            <w:top w:val="none" w:sz="0" w:space="0" w:color="auto"/>
                                            <w:left w:val="none" w:sz="0" w:space="0" w:color="auto"/>
                                            <w:bottom w:val="none" w:sz="0" w:space="0" w:color="auto"/>
                                            <w:right w:val="none" w:sz="0" w:space="0" w:color="auto"/>
                                          </w:divBdr>
                                        </w:div>
                                        <w:div w:id="527255381">
                                          <w:marLeft w:val="0"/>
                                          <w:marRight w:val="0"/>
                                          <w:marTop w:val="0"/>
                                          <w:marBottom w:val="0"/>
                                          <w:divBdr>
                                            <w:top w:val="none" w:sz="0" w:space="0" w:color="auto"/>
                                            <w:left w:val="none" w:sz="0" w:space="0" w:color="auto"/>
                                            <w:bottom w:val="none" w:sz="0" w:space="0" w:color="auto"/>
                                            <w:right w:val="none" w:sz="0" w:space="0" w:color="auto"/>
                                          </w:divBdr>
                                          <w:divsChild>
                                            <w:div w:id="886219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392207">
      <w:bodyDiv w:val="1"/>
      <w:marLeft w:val="0"/>
      <w:marRight w:val="0"/>
      <w:marTop w:val="0"/>
      <w:marBottom w:val="0"/>
      <w:divBdr>
        <w:top w:val="none" w:sz="0" w:space="0" w:color="auto"/>
        <w:left w:val="none" w:sz="0" w:space="0" w:color="auto"/>
        <w:bottom w:val="none" w:sz="0" w:space="0" w:color="auto"/>
        <w:right w:val="none" w:sz="0" w:space="0" w:color="auto"/>
      </w:divBdr>
      <w:divsChild>
        <w:div w:id="962686702">
          <w:marLeft w:val="0"/>
          <w:marRight w:val="0"/>
          <w:marTop w:val="0"/>
          <w:marBottom w:val="0"/>
          <w:divBdr>
            <w:top w:val="none" w:sz="0" w:space="0" w:color="auto"/>
            <w:left w:val="none" w:sz="0" w:space="0" w:color="auto"/>
            <w:bottom w:val="none" w:sz="0" w:space="0" w:color="auto"/>
            <w:right w:val="none" w:sz="0" w:space="0" w:color="auto"/>
          </w:divBdr>
          <w:divsChild>
            <w:div w:id="146560227">
              <w:marLeft w:val="0"/>
              <w:marRight w:val="0"/>
              <w:marTop w:val="0"/>
              <w:marBottom w:val="0"/>
              <w:divBdr>
                <w:top w:val="none" w:sz="0" w:space="0" w:color="auto"/>
                <w:left w:val="none" w:sz="0" w:space="0" w:color="auto"/>
                <w:bottom w:val="none" w:sz="0" w:space="0" w:color="auto"/>
                <w:right w:val="none" w:sz="0" w:space="0" w:color="auto"/>
              </w:divBdr>
              <w:divsChild>
                <w:div w:id="70321546">
                  <w:marLeft w:val="150"/>
                  <w:marRight w:val="0"/>
                  <w:marTop w:val="0"/>
                  <w:marBottom w:val="0"/>
                  <w:divBdr>
                    <w:top w:val="none" w:sz="0" w:space="0" w:color="auto"/>
                    <w:left w:val="none" w:sz="0" w:space="0" w:color="auto"/>
                    <w:bottom w:val="none" w:sz="0" w:space="0" w:color="auto"/>
                    <w:right w:val="none" w:sz="0" w:space="0" w:color="auto"/>
                  </w:divBdr>
                  <w:divsChild>
                    <w:div w:id="964777857">
                      <w:marLeft w:val="0"/>
                      <w:marRight w:val="0"/>
                      <w:marTop w:val="0"/>
                      <w:marBottom w:val="0"/>
                      <w:divBdr>
                        <w:top w:val="none" w:sz="0" w:space="0" w:color="auto"/>
                        <w:left w:val="none" w:sz="0" w:space="0" w:color="auto"/>
                        <w:bottom w:val="none" w:sz="0" w:space="0" w:color="auto"/>
                        <w:right w:val="none" w:sz="0" w:space="0" w:color="auto"/>
                      </w:divBdr>
                      <w:divsChild>
                        <w:div w:id="1835953329">
                          <w:marLeft w:val="0"/>
                          <w:marRight w:val="0"/>
                          <w:marTop w:val="0"/>
                          <w:marBottom w:val="0"/>
                          <w:divBdr>
                            <w:top w:val="none" w:sz="0" w:space="0" w:color="auto"/>
                            <w:left w:val="none" w:sz="0" w:space="0" w:color="auto"/>
                            <w:bottom w:val="none" w:sz="0" w:space="0" w:color="auto"/>
                            <w:right w:val="none" w:sz="0" w:space="0" w:color="auto"/>
                          </w:divBdr>
                        </w:div>
                        <w:div w:id="578442160">
                          <w:marLeft w:val="0"/>
                          <w:marRight w:val="0"/>
                          <w:marTop w:val="0"/>
                          <w:marBottom w:val="0"/>
                          <w:divBdr>
                            <w:top w:val="none" w:sz="0" w:space="0" w:color="auto"/>
                            <w:left w:val="none" w:sz="0" w:space="0" w:color="auto"/>
                            <w:bottom w:val="none" w:sz="0" w:space="0" w:color="auto"/>
                            <w:right w:val="none" w:sz="0" w:space="0" w:color="auto"/>
                          </w:divBdr>
                        </w:div>
                        <w:div w:id="1693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473331">
      <w:bodyDiv w:val="1"/>
      <w:marLeft w:val="0"/>
      <w:marRight w:val="0"/>
      <w:marTop w:val="0"/>
      <w:marBottom w:val="0"/>
      <w:divBdr>
        <w:top w:val="none" w:sz="0" w:space="0" w:color="auto"/>
        <w:left w:val="none" w:sz="0" w:space="0" w:color="auto"/>
        <w:bottom w:val="none" w:sz="0" w:space="0" w:color="auto"/>
        <w:right w:val="none" w:sz="0" w:space="0" w:color="auto"/>
      </w:divBdr>
      <w:divsChild>
        <w:div w:id="1333023442">
          <w:marLeft w:val="0"/>
          <w:marRight w:val="0"/>
          <w:marTop w:val="0"/>
          <w:marBottom w:val="0"/>
          <w:divBdr>
            <w:top w:val="none" w:sz="0" w:space="0" w:color="auto"/>
            <w:left w:val="none" w:sz="0" w:space="0" w:color="auto"/>
            <w:bottom w:val="none" w:sz="0" w:space="0" w:color="auto"/>
            <w:right w:val="none" w:sz="0" w:space="0" w:color="auto"/>
          </w:divBdr>
          <w:divsChild>
            <w:div w:id="580722969">
              <w:marLeft w:val="210"/>
              <w:marRight w:val="0"/>
              <w:marTop w:val="0"/>
              <w:marBottom w:val="0"/>
              <w:divBdr>
                <w:top w:val="none" w:sz="0" w:space="0" w:color="auto"/>
                <w:left w:val="none" w:sz="0" w:space="0" w:color="auto"/>
                <w:bottom w:val="none" w:sz="0" w:space="0" w:color="auto"/>
                <w:right w:val="none" w:sz="0" w:space="0" w:color="auto"/>
              </w:divBdr>
              <w:divsChild>
                <w:div w:id="1049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2129">
      <w:bodyDiv w:val="1"/>
      <w:marLeft w:val="0"/>
      <w:marRight w:val="0"/>
      <w:marTop w:val="0"/>
      <w:marBottom w:val="0"/>
      <w:divBdr>
        <w:top w:val="none" w:sz="0" w:space="0" w:color="auto"/>
        <w:left w:val="none" w:sz="0" w:space="0" w:color="auto"/>
        <w:bottom w:val="none" w:sz="0" w:space="0" w:color="auto"/>
        <w:right w:val="none" w:sz="0" w:space="0" w:color="auto"/>
      </w:divBdr>
      <w:divsChild>
        <w:div w:id="298994595">
          <w:marLeft w:val="0"/>
          <w:marRight w:val="0"/>
          <w:marTop w:val="0"/>
          <w:marBottom w:val="450"/>
          <w:divBdr>
            <w:top w:val="none" w:sz="0" w:space="0" w:color="auto"/>
            <w:left w:val="none" w:sz="0" w:space="0" w:color="auto"/>
            <w:bottom w:val="none" w:sz="0" w:space="0" w:color="auto"/>
            <w:right w:val="none" w:sz="0" w:space="0" w:color="auto"/>
          </w:divBdr>
        </w:div>
      </w:divsChild>
    </w:div>
    <w:div w:id="1398818090">
      <w:bodyDiv w:val="1"/>
      <w:marLeft w:val="0"/>
      <w:marRight w:val="0"/>
      <w:marTop w:val="0"/>
      <w:marBottom w:val="0"/>
      <w:divBdr>
        <w:top w:val="none" w:sz="0" w:space="0" w:color="auto"/>
        <w:left w:val="none" w:sz="0" w:space="0" w:color="auto"/>
        <w:bottom w:val="none" w:sz="0" w:space="0" w:color="auto"/>
        <w:right w:val="none" w:sz="0" w:space="0" w:color="auto"/>
      </w:divBdr>
    </w:div>
    <w:div w:id="1399209899">
      <w:bodyDiv w:val="1"/>
      <w:marLeft w:val="0"/>
      <w:marRight w:val="0"/>
      <w:marTop w:val="0"/>
      <w:marBottom w:val="0"/>
      <w:divBdr>
        <w:top w:val="none" w:sz="0" w:space="0" w:color="auto"/>
        <w:left w:val="none" w:sz="0" w:space="0" w:color="auto"/>
        <w:bottom w:val="none" w:sz="0" w:space="0" w:color="auto"/>
        <w:right w:val="none" w:sz="0" w:space="0" w:color="auto"/>
      </w:divBdr>
      <w:divsChild>
        <w:div w:id="198015885">
          <w:marLeft w:val="0"/>
          <w:marRight w:val="0"/>
          <w:marTop w:val="0"/>
          <w:marBottom w:val="0"/>
          <w:divBdr>
            <w:top w:val="none" w:sz="0" w:space="0" w:color="auto"/>
            <w:left w:val="none" w:sz="0" w:space="0" w:color="auto"/>
            <w:bottom w:val="none" w:sz="0" w:space="0" w:color="auto"/>
            <w:right w:val="none" w:sz="0" w:space="0" w:color="auto"/>
          </w:divBdr>
          <w:divsChild>
            <w:div w:id="949622779">
              <w:marLeft w:val="0"/>
              <w:marRight w:val="0"/>
              <w:marTop w:val="0"/>
              <w:marBottom w:val="450"/>
              <w:divBdr>
                <w:top w:val="none" w:sz="0" w:space="0" w:color="auto"/>
                <w:left w:val="none" w:sz="0" w:space="0" w:color="auto"/>
                <w:bottom w:val="none" w:sz="0" w:space="0" w:color="auto"/>
                <w:right w:val="none" w:sz="0" w:space="0" w:color="auto"/>
              </w:divBdr>
            </w:div>
          </w:divsChild>
        </w:div>
        <w:div w:id="109863154">
          <w:marLeft w:val="0"/>
          <w:marRight w:val="0"/>
          <w:marTop w:val="0"/>
          <w:marBottom w:val="0"/>
          <w:divBdr>
            <w:top w:val="none" w:sz="0" w:space="0" w:color="auto"/>
            <w:left w:val="none" w:sz="0" w:space="0" w:color="auto"/>
            <w:bottom w:val="none" w:sz="0" w:space="0" w:color="auto"/>
            <w:right w:val="none" w:sz="0" w:space="0" w:color="auto"/>
          </w:divBdr>
        </w:div>
      </w:divsChild>
    </w:div>
    <w:div w:id="1399473651">
      <w:bodyDiv w:val="1"/>
      <w:marLeft w:val="0"/>
      <w:marRight w:val="0"/>
      <w:marTop w:val="0"/>
      <w:marBottom w:val="0"/>
      <w:divBdr>
        <w:top w:val="none" w:sz="0" w:space="0" w:color="auto"/>
        <w:left w:val="none" w:sz="0" w:space="0" w:color="auto"/>
        <w:bottom w:val="none" w:sz="0" w:space="0" w:color="auto"/>
        <w:right w:val="none" w:sz="0" w:space="0" w:color="auto"/>
      </w:divBdr>
    </w:div>
    <w:div w:id="1400639161">
      <w:bodyDiv w:val="1"/>
      <w:marLeft w:val="0"/>
      <w:marRight w:val="0"/>
      <w:marTop w:val="0"/>
      <w:marBottom w:val="0"/>
      <w:divBdr>
        <w:top w:val="none" w:sz="0" w:space="0" w:color="auto"/>
        <w:left w:val="none" w:sz="0" w:space="0" w:color="auto"/>
        <w:bottom w:val="none" w:sz="0" w:space="0" w:color="auto"/>
        <w:right w:val="none" w:sz="0" w:space="0" w:color="auto"/>
      </w:divBdr>
      <w:divsChild>
        <w:div w:id="516165115">
          <w:marLeft w:val="0"/>
          <w:marRight w:val="0"/>
          <w:marTop w:val="0"/>
          <w:marBottom w:val="0"/>
          <w:divBdr>
            <w:top w:val="single" w:sz="4" w:space="0" w:color="0E477A"/>
            <w:left w:val="single" w:sz="4" w:space="0" w:color="0E477A"/>
            <w:bottom w:val="single" w:sz="4" w:space="0" w:color="0E477A"/>
            <w:right w:val="single" w:sz="4" w:space="0" w:color="0E477A"/>
          </w:divBdr>
          <w:divsChild>
            <w:div w:id="476260679">
              <w:marLeft w:val="2442"/>
              <w:marRight w:val="0"/>
              <w:marTop w:val="0"/>
              <w:marBottom w:val="0"/>
              <w:divBdr>
                <w:top w:val="none" w:sz="0" w:space="0" w:color="auto"/>
                <w:left w:val="none" w:sz="0" w:space="0" w:color="auto"/>
                <w:bottom w:val="none" w:sz="0" w:space="0" w:color="auto"/>
                <w:right w:val="none" w:sz="0" w:space="0" w:color="auto"/>
              </w:divBdr>
              <w:divsChild>
                <w:div w:id="847213940">
                  <w:marLeft w:val="0"/>
                  <w:marRight w:val="0"/>
                  <w:marTop w:val="0"/>
                  <w:marBottom w:val="0"/>
                  <w:divBdr>
                    <w:top w:val="none" w:sz="0" w:space="0" w:color="auto"/>
                    <w:left w:val="none" w:sz="0" w:space="0" w:color="auto"/>
                    <w:bottom w:val="none" w:sz="0" w:space="0" w:color="auto"/>
                    <w:right w:val="none" w:sz="0" w:space="0" w:color="auto"/>
                  </w:divBdr>
                  <w:divsChild>
                    <w:div w:id="459803286">
                      <w:marLeft w:val="0"/>
                      <w:marRight w:val="125"/>
                      <w:marTop w:val="0"/>
                      <w:marBottom w:val="0"/>
                      <w:divBdr>
                        <w:top w:val="single" w:sz="4" w:space="0" w:color="CCCCCC"/>
                        <w:left w:val="single" w:sz="4" w:space="6" w:color="CCCCCC"/>
                        <w:bottom w:val="single" w:sz="4" w:space="6" w:color="CCCCCC"/>
                        <w:right w:val="single" w:sz="4" w:space="6" w:color="CCCCCC"/>
                      </w:divBdr>
                      <w:divsChild>
                        <w:div w:id="1412894571">
                          <w:marLeft w:val="0"/>
                          <w:marRight w:val="0"/>
                          <w:marTop w:val="0"/>
                          <w:marBottom w:val="0"/>
                          <w:divBdr>
                            <w:top w:val="none" w:sz="0" w:space="0" w:color="auto"/>
                            <w:left w:val="none" w:sz="0" w:space="0" w:color="auto"/>
                            <w:bottom w:val="none" w:sz="0" w:space="0" w:color="auto"/>
                            <w:right w:val="none" w:sz="0" w:space="0" w:color="auto"/>
                          </w:divBdr>
                        </w:div>
                        <w:div w:id="1995252009">
                          <w:marLeft w:val="0"/>
                          <w:marRight w:val="0"/>
                          <w:marTop w:val="0"/>
                          <w:marBottom w:val="0"/>
                          <w:divBdr>
                            <w:top w:val="none" w:sz="0" w:space="0" w:color="auto"/>
                            <w:left w:val="none" w:sz="0" w:space="0" w:color="auto"/>
                            <w:bottom w:val="none" w:sz="0" w:space="0" w:color="auto"/>
                            <w:right w:val="none" w:sz="0" w:space="0" w:color="auto"/>
                          </w:divBdr>
                        </w:div>
                        <w:div w:id="858549733">
                          <w:marLeft w:val="0"/>
                          <w:marRight w:val="0"/>
                          <w:marTop w:val="0"/>
                          <w:marBottom w:val="0"/>
                          <w:divBdr>
                            <w:top w:val="none" w:sz="0" w:space="0" w:color="auto"/>
                            <w:left w:val="none" w:sz="0" w:space="0" w:color="auto"/>
                            <w:bottom w:val="none" w:sz="0" w:space="0" w:color="auto"/>
                            <w:right w:val="none" w:sz="0" w:space="0" w:color="auto"/>
                          </w:divBdr>
                        </w:div>
                        <w:div w:id="390350813">
                          <w:marLeft w:val="0"/>
                          <w:marRight w:val="0"/>
                          <w:marTop w:val="0"/>
                          <w:marBottom w:val="0"/>
                          <w:divBdr>
                            <w:top w:val="none" w:sz="0" w:space="0" w:color="auto"/>
                            <w:left w:val="none" w:sz="0" w:space="0" w:color="auto"/>
                            <w:bottom w:val="none" w:sz="0" w:space="0" w:color="auto"/>
                            <w:right w:val="none" w:sz="0" w:space="0" w:color="auto"/>
                          </w:divBdr>
                        </w:div>
                        <w:div w:id="21436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15052">
      <w:bodyDiv w:val="1"/>
      <w:marLeft w:val="0"/>
      <w:marRight w:val="0"/>
      <w:marTop w:val="0"/>
      <w:marBottom w:val="0"/>
      <w:divBdr>
        <w:top w:val="none" w:sz="0" w:space="0" w:color="auto"/>
        <w:left w:val="none" w:sz="0" w:space="0" w:color="auto"/>
        <w:bottom w:val="none" w:sz="0" w:space="0" w:color="auto"/>
        <w:right w:val="none" w:sz="0" w:space="0" w:color="auto"/>
      </w:divBdr>
      <w:divsChild>
        <w:div w:id="1527668738">
          <w:marLeft w:val="0"/>
          <w:marRight w:val="0"/>
          <w:marTop w:val="0"/>
          <w:marBottom w:val="0"/>
          <w:divBdr>
            <w:top w:val="none" w:sz="0" w:space="0" w:color="auto"/>
            <w:left w:val="none" w:sz="0" w:space="0" w:color="auto"/>
            <w:bottom w:val="none" w:sz="0" w:space="0" w:color="auto"/>
            <w:right w:val="none" w:sz="0" w:space="0" w:color="auto"/>
          </w:divBdr>
          <w:divsChild>
            <w:div w:id="757404035">
              <w:marLeft w:val="0"/>
              <w:marRight w:val="0"/>
              <w:marTop w:val="0"/>
              <w:marBottom w:val="0"/>
              <w:divBdr>
                <w:top w:val="none" w:sz="0" w:space="0" w:color="auto"/>
                <w:left w:val="none" w:sz="0" w:space="0" w:color="auto"/>
                <w:bottom w:val="none" w:sz="0" w:space="0" w:color="auto"/>
                <w:right w:val="none" w:sz="0" w:space="0" w:color="auto"/>
              </w:divBdr>
              <w:divsChild>
                <w:div w:id="1644970960">
                  <w:marLeft w:val="0"/>
                  <w:marRight w:val="0"/>
                  <w:marTop w:val="0"/>
                  <w:marBottom w:val="0"/>
                  <w:divBdr>
                    <w:top w:val="none" w:sz="0" w:space="0" w:color="auto"/>
                    <w:left w:val="none" w:sz="0" w:space="0" w:color="auto"/>
                    <w:bottom w:val="none" w:sz="0" w:space="0" w:color="auto"/>
                    <w:right w:val="none" w:sz="0" w:space="0" w:color="auto"/>
                  </w:divBdr>
                  <w:divsChild>
                    <w:div w:id="1004746591">
                      <w:marLeft w:val="0"/>
                      <w:marRight w:val="0"/>
                      <w:marTop w:val="0"/>
                      <w:marBottom w:val="0"/>
                      <w:divBdr>
                        <w:top w:val="none" w:sz="0" w:space="0" w:color="auto"/>
                        <w:left w:val="none" w:sz="0" w:space="0" w:color="auto"/>
                        <w:bottom w:val="none" w:sz="0" w:space="0" w:color="auto"/>
                        <w:right w:val="none" w:sz="0" w:space="0" w:color="auto"/>
                      </w:divBdr>
                      <w:divsChild>
                        <w:div w:id="1723940366">
                          <w:marLeft w:val="0"/>
                          <w:marRight w:val="0"/>
                          <w:marTop w:val="0"/>
                          <w:marBottom w:val="0"/>
                          <w:divBdr>
                            <w:top w:val="none" w:sz="0" w:space="0" w:color="auto"/>
                            <w:left w:val="none" w:sz="0" w:space="0" w:color="auto"/>
                            <w:bottom w:val="none" w:sz="0" w:space="0" w:color="auto"/>
                            <w:right w:val="none" w:sz="0" w:space="0" w:color="auto"/>
                          </w:divBdr>
                          <w:divsChild>
                            <w:div w:id="592015020">
                              <w:marLeft w:val="0"/>
                              <w:marRight w:val="0"/>
                              <w:marTop w:val="0"/>
                              <w:marBottom w:val="0"/>
                              <w:divBdr>
                                <w:top w:val="none" w:sz="0" w:space="0" w:color="auto"/>
                                <w:left w:val="none" w:sz="0" w:space="0" w:color="auto"/>
                                <w:bottom w:val="none" w:sz="0" w:space="0" w:color="auto"/>
                                <w:right w:val="none" w:sz="0" w:space="0" w:color="auto"/>
                              </w:divBdr>
                              <w:divsChild>
                                <w:div w:id="1863591539">
                                  <w:marLeft w:val="0"/>
                                  <w:marRight w:val="0"/>
                                  <w:marTop w:val="0"/>
                                  <w:marBottom w:val="0"/>
                                  <w:divBdr>
                                    <w:top w:val="none" w:sz="0" w:space="0" w:color="auto"/>
                                    <w:left w:val="none" w:sz="0" w:space="0" w:color="auto"/>
                                    <w:bottom w:val="none" w:sz="0" w:space="0" w:color="auto"/>
                                    <w:right w:val="none" w:sz="0" w:space="0" w:color="auto"/>
                                  </w:divBdr>
                                  <w:divsChild>
                                    <w:div w:id="1120875503">
                                      <w:marLeft w:val="0"/>
                                      <w:marRight w:val="0"/>
                                      <w:marTop w:val="0"/>
                                      <w:marBottom w:val="0"/>
                                      <w:divBdr>
                                        <w:top w:val="none" w:sz="0" w:space="0" w:color="auto"/>
                                        <w:left w:val="none" w:sz="0" w:space="0" w:color="auto"/>
                                        <w:bottom w:val="none" w:sz="0" w:space="0" w:color="auto"/>
                                        <w:right w:val="none" w:sz="0" w:space="0" w:color="auto"/>
                                      </w:divBdr>
                                      <w:divsChild>
                                        <w:div w:id="426972804">
                                          <w:marLeft w:val="0"/>
                                          <w:marRight w:val="0"/>
                                          <w:marTop w:val="0"/>
                                          <w:marBottom w:val="0"/>
                                          <w:divBdr>
                                            <w:top w:val="none" w:sz="0" w:space="0" w:color="auto"/>
                                            <w:left w:val="none" w:sz="0" w:space="0" w:color="auto"/>
                                            <w:bottom w:val="none" w:sz="0" w:space="0" w:color="auto"/>
                                            <w:right w:val="none" w:sz="0" w:space="0" w:color="auto"/>
                                          </w:divBdr>
                                          <w:divsChild>
                                            <w:div w:id="83845197">
                                              <w:marLeft w:val="0"/>
                                              <w:marRight w:val="0"/>
                                              <w:marTop w:val="0"/>
                                              <w:marBottom w:val="0"/>
                                              <w:divBdr>
                                                <w:top w:val="none" w:sz="0" w:space="0" w:color="auto"/>
                                                <w:left w:val="none" w:sz="0" w:space="0" w:color="auto"/>
                                                <w:bottom w:val="none" w:sz="0" w:space="0" w:color="auto"/>
                                                <w:right w:val="none" w:sz="0" w:space="0" w:color="auto"/>
                                              </w:divBdr>
                                              <w:divsChild>
                                                <w:div w:id="1088817276">
                                                  <w:marLeft w:val="0"/>
                                                  <w:marRight w:val="0"/>
                                                  <w:marTop w:val="0"/>
                                                  <w:marBottom w:val="0"/>
                                                  <w:divBdr>
                                                    <w:top w:val="none" w:sz="0" w:space="0" w:color="auto"/>
                                                    <w:left w:val="none" w:sz="0" w:space="0" w:color="auto"/>
                                                    <w:bottom w:val="none" w:sz="0" w:space="0" w:color="auto"/>
                                                    <w:right w:val="none" w:sz="0" w:space="0" w:color="auto"/>
                                                  </w:divBdr>
                                                  <w:divsChild>
                                                    <w:div w:id="590820224">
                                                      <w:marLeft w:val="0"/>
                                                      <w:marRight w:val="0"/>
                                                      <w:marTop w:val="0"/>
                                                      <w:marBottom w:val="0"/>
                                                      <w:divBdr>
                                                        <w:top w:val="none" w:sz="0" w:space="0" w:color="auto"/>
                                                        <w:left w:val="none" w:sz="0" w:space="0" w:color="auto"/>
                                                        <w:bottom w:val="none" w:sz="0" w:space="0" w:color="auto"/>
                                                        <w:right w:val="none" w:sz="0" w:space="0" w:color="auto"/>
                                                      </w:divBdr>
                                                      <w:divsChild>
                                                        <w:div w:id="788088111">
                                                          <w:marLeft w:val="0"/>
                                                          <w:marRight w:val="0"/>
                                                          <w:marTop w:val="0"/>
                                                          <w:marBottom w:val="0"/>
                                                          <w:divBdr>
                                                            <w:top w:val="none" w:sz="0" w:space="0" w:color="auto"/>
                                                            <w:left w:val="none" w:sz="0" w:space="0" w:color="auto"/>
                                                            <w:bottom w:val="none" w:sz="0" w:space="0" w:color="auto"/>
                                                            <w:right w:val="none" w:sz="0" w:space="0" w:color="auto"/>
                                                          </w:divBdr>
                                                        </w:div>
                                                        <w:div w:id="518011939">
                                                          <w:marLeft w:val="0"/>
                                                          <w:marRight w:val="0"/>
                                                          <w:marTop w:val="0"/>
                                                          <w:marBottom w:val="0"/>
                                                          <w:divBdr>
                                                            <w:top w:val="none" w:sz="0" w:space="0" w:color="auto"/>
                                                            <w:left w:val="none" w:sz="0" w:space="0" w:color="auto"/>
                                                            <w:bottom w:val="none" w:sz="0" w:space="0" w:color="auto"/>
                                                            <w:right w:val="none" w:sz="0" w:space="0" w:color="auto"/>
                                                          </w:divBdr>
                                                          <w:divsChild>
                                                            <w:div w:id="2583686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0790971">
      <w:bodyDiv w:val="1"/>
      <w:marLeft w:val="0"/>
      <w:marRight w:val="0"/>
      <w:marTop w:val="0"/>
      <w:marBottom w:val="0"/>
      <w:divBdr>
        <w:top w:val="none" w:sz="0" w:space="0" w:color="auto"/>
        <w:left w:val="none" w:sz="0" w:space="0" w:color="auto"/>
        <w:bottom w:val="none" w:sz="0" w:space="0" w:color="auto"/>
        <w:right w:val="none" w:sz="0" w:space="0" w:color="auto"/>
      </w:divBdr>
      <w:divsChild>
        <w:div w:id="1140657902">
          <w:marLeft w:val="0"/>
          <w:marRight w:val="0"/>
          <w:marTop w:val="0"/>
          <w:marBottom w:val="0"/>
          <w:divBdr>
            <w:top w:val="none" w:sz="0" w:space="0" w:color="auto"/>
            <w:left w:val="none" w:sz="0" w:space="0" w:color="auto"/>
            <w:bottom w:val="none" w:sz="0" w:space="0" w:color="auto"/>
            <w:right w:val="none" w:sz="0" w:space="0" w:color="auto"/>
          </w:divBdr>
          <w:divsChild>
            <w:div w:id="2119449372">
              <w:marLeft w:val="0"/>
              <w:marRight w:val="0"/>
              <w:marTop w:val="0"/>
              <w:marBottom w:val="0"/>
              <w:divBdr>
                <w:top w:val="none" w:sz="0" w:space="0" w:color="auto"/>
                <w:left w:val="none" w:sz="0" w:space="0" w:color="auto"/>
                <w:bottom w:val="none" w:sz="0" w:space="0" w:color="auto"/>
                <w:right w:val="none" w:sz="0" w:space="0" w:color="auto"/>
              </w:divBdr>
              <w:divsChild>
                <w:div w:id="125241901">
                  <w:marLeft w:val="0"/>
                  <w:marRight w:val="0"/>
                  <w:marTop w:val="0"/>
                  <w:marBottom w:val="0"/>
                  <w:divBdr>
                    <w:top w:val="none" w:sz="0" w:space="0" w:color="auto"/>
                    <w:left w:val="none" w:sz="0" w:space="0" w:color="auto"/>
                    <w:bottom w:val="none" w:sz="0" w:space="0" w:color="auto"/>
                    <w:right w:val="none" w:sz="0" w:space="0" w:color="auto"/>
                  </w:divBdr>
                  <w:divsChild>
                    <w:div w:id="1257401725">
                      <w:marLeft w:val="0"/>
                      <w:marRight w:val="0"/>
                      <w:marTop w:val="0"/>
                      <w:marBottom w:val="0"/>
                      <w:divBdr>
                        <w:top w:val="none" w:sz="0" w:space="0" w:color="auto"/>
                        <w:left w:val="none" w:sz="0" w:space="0" w:color="auto"/>
                        <w:bottom w:val="none" w:sz="0" w:space="0" w:color="auto"/>
                        <w:right w:val="none" w:sz="0" w:space="0" w:color="auto"/>
                      </w:divBdr>
                      <w:divsChild>
                        <w:div w:id="386880099">
                          <w:marLeft w:val="0"/>
                          <w:marRight w:val="0"/>
                          <w:marTop w:val="0"/>
                          <w:marBottom w:val="0"/>
                          <w:divBdr>
                            <w:top w:val="none" w:sz="0" w:space="0" w:color="auto"/>
                            <w:left w:val="none" w:sz="0" w:space="0" w:color="auto"/>
                            <w:bottom w:val="none" w:sz="0" w:space="0" w:color="auto"/>
                            <w:right w:val="none" w:sz="0" w:space="0" w:color="auto"/>
                          </w:divBdr>
                          <w:divsChild>
                            <w:div w:id="976954881">
                              <w:marLeft w:val="0"/>
                              <w:marRight w:val="0"/>
                              <w:marTop w:val="0"/>
                              <w:marBottom w:val="0"/>
                              <w:divBdr>
                                <w:top w:val="none" w:sz="0" w:space="0" w:color="auto"/>
                                <w:left w:val="none" w:sz="0" w:space="0" w:color="auto"/>
                                <w:bottom w:val="none" w:sz="0" w:space="0" w:color="auto"/>
                                <w:right w:val="none" w:sz="0" w:space="0" w:color="auto"/>
                              </w:divBdr>
                              <w:divsChild>
                                <w:div w:id="805702742">
                                  <w:marLeft w:val="0"/>
                                  <w:marRight w:val="0"/>
                                  <w:marTop w:val="0"/>
                                  <w:marBottom w:val="0"/>
                                  <w:divBdr>
                                    <w:top w:val="none" w:sz="0" w:space="0" w:color="auto"/>
                                    <w:left w:val="none" w:sz="0" w:space="0" w:color="auto"/>
                                    <w:bottom w:val="none" w:sz="0" w:space="0" w:color="auto"/>
                                    <w:right w:val="none" w:sz="0" w:space="0" w:color="auto"/>
                                  </w:divBdr>
                                  <w:divsChild>
                                    <w:div w:id="1922836720">
                                      <w:marLeft w:val="0"/>
                                      <w:marRight w:val="0"/>
                                      <w:marTop w:val="0"/>
                                      <w:marBottom w:val="120"/>
                                      <w:divBdr>
                                        <w:top w:val="none" w:sz="0" w:space="0" w:color="auto"/>
                                        <w:left w:val="none" w:sz="0" w:space="0" w:color="auto"/>
                                        <w:bottom w:val="none" w:sz="0" w:space="0" w:color="auto"/>
                                        <w:right w:val="none" w:sz="0" w:space="0" w:color="auto"/>
                                      </w:divBdr>
                                    </w:div>
                                    <w:div w:id="628632170">
                                      <w:marLeft w:val="0"/>
                                      <w:marRight w:val="0"/>
                                      <w:marTop w:val="0"/>
                                      <w:marBottom w:val="120"/>
                                      <w:divBdr>
                                        <w:top w:val="none" w:sz="0" w:space="0" w:color="auto"/>
                                        <w:left w:val="none" w:sz="0" w:space="0" w:color="auto"/>
                                        <w:bottom w:val="none" w:sz="0" w:space="0" w:color="auto"/>
                                        <w:right w:val="none" w:sz="0" w:space="0" w:color="auto"/>
                                      </w:divBdr>
                                    </w:div>
                                    <w:div w:id="12670795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519619">
      <w:bodyDiv w:val="1"/>
      <w:marLeft w:val="0"/>
      <w:marRight w:val="0"/>
      <w:marTop w:val="0"/>
      <w:marBottom w:val="0"/>
      <w:divBdr>
        <w:top w:val="none" w:sz="0" w:space="0" w:color="auto"/>
        <w:left w:val="none" w:sz="0" w:space="0" w:color="auto"/>
        <w:bottom w:val="none" w:sz="0" w:space="0" w:color="auto"/>
        <w:right w:val="none" w:sz="0" w:space="0" w:color="auto"/>
      </w:divBdr>
    </w:div>
    <w:div w:id="1402144678">
      <w:bodyDiv w:val="1"/>
      <w:marLeft w:val="0"/>
      <w:marRight w:val="0"/>
      <w:marTop w:val="0"/>
      <w:marBottom w:val="0"/>
      <w:divBdr>
        <w:top w:val="none" w:sz="0" w:space="0" w:color="auto"/>
        <w:left w:val="none" w:sz="0" w:space="0" w:color="auto"/>
        <w:bottom w:val="none" w:sz="0" w:space="0" w:color="auto"/>
        <w:right w:val="none" w:sz="0" w:space="0" w:color="auto"/>
      </w:divBdr>
      <w:divsChild>
        <w:div w:id="1557159955">
          <w:marLeft w:val="0"/>
          <w:marRight w:val="0"/>
          <w:marTop w:val="0"/>
          <w:marBottom w:val="0"/>
          <w:divBdr>
            <w:top w:val="single" w:sz="6" w:space="0" w:color="0E477A"/>
            <w:left w:val="single" w:sz="6" w:space="0" w:color="0E477A"/>
            <w:bottom w:val="single" w:sz="6" w:space="0" w:color="0E477A"/>
            <w:right w:val="single" w:sz="6" w:space="0" w:color="0E477A"/>
          </w:divBdr>
          <w:divsChild>
            <w:div w:id="1977831752">
              <w:marLeft w:val="2925"/>
              <w:marRight w:val="0"/>
              <w:marTop w:val="0"/>
              <w:marBottom w:val="0"/>
              <w:divBdr>
                <w:top w:val="none" w:sz="0" w:space="0" w:color="auto"/>
                <w:left w:val="none" w:sz="0" w:space="0" w:color="auto"/>
                <w:bottom w:val="none" w:sz="0" w:space="0" w:color="auto"/>
                <w:right w:val="none" w:sz="0" w:space="0" w:color="auto"/>
              </w:divBdr>
              <w:divsChild>
                <w:div w:id="1547058857">
                  <w:marLeft w:val="0"/>
                  <w:marRight w:val="0"/>
                  <w:marTop w:val="0"/>
                  <w:marBottom w:val="0"/>
                  <w:divBdr>
                    <w:top w:val="none" w:sz="0" w:space="0" w:color="auto"/>
                    <w:left w:val="none" w:sz="0" w:space="0" w:color="auto"/>
                    <w:bottom w:val="none" w:sz="0" w:space="0" w:color="auto"/>
                    <w:right w:val="none" w:sz="0" w:space="0" w:color="auto"/>
                  </w:divBdr>
                  <w:divsChild>
                    <w:div w:id="2069112477">
                      <w:marLeft w:val="0"/>
                      <w:marRight w:val="150"/>
                      <w:marTop w:val="0"/>
                      <w:marBottom w:val="0"/>
                      <w:divBdr>
                        <w:top w:val="single" w:sz="6" w:space="0" w:color="CCCCCC"/>
                        <w:left w:val="single" w:sz="6" w:space="8" w:color="CCCCCC"/>
                        <w:bottom w:val="single" w:sz="6" w:space="8" w:color="CCCCCC"/>
                        <w:right w:val="single" w:sz="6" w:space="8" w:color="CCCCCC"/>
                      </w:divBdr>
                      <w:divsChild>
                        <w:div w:id="1733038456">
                          <w:marLeft w:val="0"/>
                          <w:marRight w:val="0"/>
                          <w:marTop w:val="0"/>
                          <w:marBottom w:val="0"/>
                          <w:divBdr>
                            <w:top w:val="none" w:sz="0" w:space="0" w:color="auto"/>
                            <w:left w:val="none" w:sz="0" w:space="0" w:color="auto"/>
                            <w:bottom w:val="none" w:sz="0" w:space="0" w:color="auto"/>
                            <w:right w:val="none" w:sz="0" w:space="0" w:color="auto"/>
                          </w:divBdr>
                        </w:div>
                        <w:div w:id="620109722">
                          <w:marLeft w:val="0"/>
                          <w:marRight w:val="0"/>
                          <w:marTop w:val="0"/>
                          <w:marBottom w:val="0"/>
                          <w:divBdr>
                            <w:top w:val="none" w:sz="0" w:space="0" w:color="auto"/>
                            <w:left w:val="none" w:sz="0" w:space="0" w:color="auto"/>
                            <w:bottom w:val="none" w:sz="0" w:space="0" w:color="auto"/>
                            <w:right w:val="none" w:sz="0" w:space="0" w:color="auto"/>
                          </w:divBdr>
                        </w:div>
                        <w:div w:id="1714890371">
                          <w:marLeft w:val="0"/>
                          <w:marRight w:val="0"/>
                          <w:marTop w:val="0"/>
                          <w:marBottom w:val="0"/>
                          <w:divBdr>
                            <w:top w:val="none" w:sz="0" w:space="0" w:color="auto"/>
                            <w:left w:val="none" w:sz="0" w:space="0" w:color="auto"/>
                            <w:bottom w:val="none" w:sz="0" w:space="0" w:color="auto"/>
                            <w:right w:val="none" w:sz="0" w:space="0" w:color="auto"/>
                          </w:divBdr>
                        </w:div>
                        <w:div w:id="1913270916">
                          <w:marLeft w:val="0"/>
                          <w:marRight w:val="0"/>
                          <w:marTop w:val="0"/>
                          <w:marBottom w:val="0"/>
                          <w:divBdr>
                            <w:top w:val="none" w:sz="0" w:space="0" w:color="auto"/>
                            <w:left w:val="none" w:sz="0" w:space="0" w:color="auto"/>
                            <w:bottom w:val="none" w:sz="0" w:space="0" w:color="auto"/>
                            <w:right w:val="none" w:sz="0" w:space="0" w:color="auto"/>
                          </w:divBdr>
                        </w:div>
                        <w:div w:id="2120639808">
                          <w:marLeft w:val="0"/>
                          <w:marRight w:val="0"/>
                          <w:marTop w:val="0"/>
                          <w:marBottom w:val="0"/>
                          <w:divBdr>
                            <w:top w:val="none" w:sz="0" w:space="0" w:color="auto"/>
                            <w:left w:val="none" w:sz="0" w:space="0" w:color="auto"/>
                            <w:bottom w:val="none" w:sz="0" w:space="0" w:color="auto"/>
                            <w:right w:val="none" w:sz="0" w:space="0" w:color="auto"/>
                          </w:divBdr>
                        </w:div>
                        <w:div w:id="1632712254">
                          <w:marLeft w:val="0"/>
                          <w:marRight w:val="0"/>
                          <w:marTop w:val="0"/>
                          <w:marBottom w:val="0"/>
                          <w:divBdr>
                            <w:top w:val="none" w:sz="0" w:space="0" w:color="auto"/>
                            <w:left w:val="none" w:sz="0" w:space="0" w:color="auto"/>
                            <w:bottom w:val="none" w:sz="0" w:space="0" w:color="auto"/>
                            <w:right w:val="none" w:sz="0" w:space="0" w:color="auto"/>
                          </w:divBdr>
                        </w:div>
                        <w:div w:id="75787505">
                          <w:marLeft w:val="0"/>
                          <w:marRight w:val="0"/>
                          <w:marTop w:val="0"/>
                          <w:marBottom w:val="0"/>
                          <w:divBdr>
                            <w:top w:val="none" w:sz="0" w:space="0" w:color="auto"/>
                            <w:left w:val="none" w:sz="0" w:space="0" w:color="auto"/>
                            <w:bottom w:val="none" w:sz="0" w:space="0" w:color="auto"/>
                            <w:right w:val="none" w:sz="0" w:space="0" w:color="auto"/>
                          </w:divBdr>
                        </w:div>
                        <w:div w:id="234096514">
                          <w:marLeft w:val="0"/>
                          <w:marRight w:val="0"/>
                          <w:marTop w:val="0"/>
                          <w:marBottom w:val="0"/>
                          <w:divBdr>
                            <w:top w:val="none" w:sz="0" w:space="0" w:color="auto"/>
                            <w:left w:val="none" w:sz="0" w:space="0" w:color="auto"/>
                            <w:bottom w:val="none" w:sz="0" w:space="0" w:color="auto"/>
                            <w:right w:val="none" w:sz="0" w:space="0" w:color="auto"/>
                          </w:divBdr>
                        </w:div>
                        <w:div w:id="2118255621">
                          <w:marLeft w:val="0"/>
                          <w:marRight w:val="0"/>
                          <w:marTop w:val="0"/>
                          <w:marBottom w:val="0"/>
                          <w:divBdr>
                            <w:top w:val="none" w:sz="0" w:space="0" w:color="auto"/>
                            <w:left w:val="none" w:sz="0" w:space="0" w:color="auto"/>
                            <w:bottom w:val="none" w:sz="0" w:space="0" w:color="auto"/>
                            <w:right w:val="none" w:sz="0" w:space="0" w:color="auto"/>
                          </w:divBdr>
                        </w:div>
                        <w:div w:id="8095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824696">
      <w:bodyDiv w:val="1"/>
      <w:marLeft w:val="0"/>
      <w:marRight w:val="0"/>
      <w:marTop w:val="0"/>
      <w:marBottom w:val="0"/>
      <w:divBdr>
        <w:top w:val="none" w:sz="0" w:space="0" w:color="auto"/>
        <w:left w:val="none" w:sz="0" w:space="0" w:color="auto"/>
        <w:bottom w:val="none" w:sz="0" w:space="0" w:color="auto"/>
        <w:right w:val="none" w:sz="0" w:space="0" w:color="auto"/>
      </w:divBdr>
    </w:div>
    <w:div w:id="1404183216">
      <w:bodyDiv w:val="1"/>
      <w:marLeft w:val="0"/>
      <w:marRight w:val="0"/>
      <w:marTop w:val="0"/>
      <w:marBottom w:val="0"/>
      <w:divBdr>
        <w:top w:val="none" w:sz="0" w:space="0" w:color="auto"/>
        <w:left w:val="none" w:sz="0" w:space="0" w:color="auto"/>
        <w:bottom w:val="none" w:sz="0" w:space="0" w:color="auto"/>
        <w:right w:val="none" w:sz="0" w:space="0" w:color="auto"/>
      </w:divBdr>
      <w:divsChild>
        <w:div w:id="1478065283">
          <w:marLeft w:val="0"/>
          <w:marRight w:val="0"/>
          <w:marTop w:val="0"/>
          <w:marBottom w:val="0"/>
          <w:divBdr>
            <w:top w:val="none" w:sz="0" w:space="0" w:color="auto"/>
            <w:left w:val="none" w:sz="0" w:space="0" w:color="auto"/>
            <w:bottom w:val="none" w:sz="0" w:space="0" w:color="auto"/>
            <w:right w:val="none" w:sz="0" w:space="0" w:color="auto"/>
          </w:divBdr>
          <w:divsChild>
            <w:div w:id="572004426">
              <w:marLeft w:val="0"/>
              <w:marRight w:val="0"/>
              <w:marTop w:val="0"/>
              <w:marBottom w:val="0"/>
              <w:divBdr>
                <w:top w:val="none" w:sz="0" w:space="0" w:color="auto"/>
                <w:left w:val="none" w:sz="0" w:space="0" w:color="auto"/>
                <w:bottom w:val="none" w:sz="0" w:space="0" w:color="auto"/>
                <w:right w:val="none" w:sz="0" w:space="0" w:color="auto"/>
              </w:divBdr>
              <w:divsChild>
                <w:div w:id="1122500852">
                  <w:marLeft w:val="0"/>
                  <w:marRight w:val="0"/>
                  <w:marTop w:val="0"/>
                  <w:marBottom w:val="0"/>
                  <w:divBdr>
                    <w:top w:val="none" w:sz="0" w:space="0" w:color="auto"/>
                    <w:left w:val="none" w:sz="0" w:space="0" w:color="auto"/>
                    <w:bottom w:val="none" w:sz="0" w:space="0" w:color="auto"/>
                    <w:right w:val="none" w:sz="0" w:space="0" w:color="auto"/>
                  </w:divBdr>
                  <w:divsChild>
                    <w:div w:id="221019253">
                      <w:marLeft w:val="0"/>
                      <w:marRight w:val="0"/>
                      <w:marTop w:val="0"/>
                      <w:marBottom w:val="0"/>
                      <w:divBdr>
                        <w:top w:val="none" w:sz="0" w:space="0" w:color="auto"/>
                        <w:left w:val="none" w:sz="0" w:space="0" w:color="auto"/>
                        <w:bottom w:val="none" w:sz="0" w:space="0" w:color="auto"/>
                        <w:right w:val="none" w:sz="0" w:space="0" w:color="auto"/>
                      </w:divBdr>
                      <w:divsChild>
                        <w:div w:id="8674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716238">
      <w:bodyDiv w:val="1"/>
      <w:marLeft w:val="0"/>
      <w:marRight w:val="0"/>
      <w:marTop w:val="0"/>
      <w:marBottom w:val="0"/>
      <w:divBdr>
        <w:top w:val="none" w:sz="0" w:space="0" w:color="auto"/>
        <w:left w:val="none" w:sz="0" w:space="0" w:color="auto"/>
        <w:bottom w:val="none" w:sz="0" w:space="0" w:color="auto"/>
        <w:right w:val="none" w:sz="0" w:space="0" w:color="auto"/>
      </w:divBdr>
      <w:divsChild>
        <w:div w:id="702898659">
          <w:marLeft w:val="0"/>
          <w:marRight w:val="0"/>
          <w:marTop w:val="0"/>
          <w:marBottom w:val="0"/>
          <w:divBdr>
            <w:top w:val="none" w:sz="0" w:space="0" w:color="auto"/>
            <w:left w:val="none" w:sz="0" w:space="0" w:color="auto"/>
            <w:bottom w:val="none" w:sz="0" w:space="0" w:color="auto"/>
            <w:right w:val="none" w:sz="0" w:space="0" w:color="auto"/>
          </w:divBdr>
          <w:divsChild>
            <w:div w:id="1491748600">
              <w:marLeft w:val="0"/>
              <w:marRight w:val="0"/>
              <w:marTop w:val="150"/>
              <w:marBottom w:val="0"/>
              <w:divBdr>
                <w:top w:val="none" w:sz="0" w:space="0" w:color="auto"/>
                <w:left w:val="none" w:sz="0" w:space="0" w:color="auto"/>
                <w:bottom w:val="none" w:sz="0" w:space="0" w:color="auto"/>
                <w:right w:val="none" w:sz="0" w:space="0" w:color="auto"/>
              </w:divBdr>
              <w:divsChild>
                <w:div w:id="1456409723">
                  <w:marLeft w:val="0"/>
                  <w:marRight w:val="0"/>
                  <w:marTop w:val="0"/>
                  <w:marBottom w:val="0"/>
                  <w:divBdr>
                    <w:top w:val="none" w:sz="0" w:space="0" w:color="auto"/>
                    <w:left w:val="none" w:sz="0" w:space="0" w:color="auto"/>
                    <w:bottom w:val="none" w:sz="0" w:space="0" w:color="auto"/>
                    <w:right w:val="none" w:sz="0" w:space="0" w:color="auto"/>
                  </w:divBdr>
                  <w:divsChild>
                    <w:div w:id="1647053980">
                      <w:marLeft w:val="0"/>
                      <w:marRight w:val="0"/>
                      <w:marTop w:val="0"/>
                      <w:marBottom w:val="0"/>
                      <w:divBdr>
                        <w:top w:val="none" w:sz="0" w:space="0" w:color="auto"/>
                        <w:left w:val="none" w:sz="0" w:space="0" w:color="auto"/>
                        <w:bottom w:val="none" w:sz="0" w:space="0" w:color="auto"/>
                        <w:right w:val="none" w:sz="0" w:space="0" w:color="auto"/>
                      </w:divBdr>
                      <w:divsChild>
                        <w:div w:id="20711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89581">
      <w:bodyDiv w:val="1"/>
      <w:marLeft w:val="0"/>
      <w:marRight w:val="0"/>
      <w:marTop w:val="0"/>
      <w:marBottom w:val="0"/>
      <w:divBdr>
        <w:top w:val="none" w:sz="0" w:space="0" w:color="auto"/>
        <w:left w:val="none" w:sz="0" w:space="0" w:color="auto"/>
        <w:bottom w:val="none" w:sz="0" w:space="0" w:color="auto"/>
        <w:right w:val="none" w:sz="0" w:space="0" w:color="auto"/>
      </w:divBdr>
      <w:divsChild>
        <w:div w:id="1948930686">
          <w:marLeft w:val="0"/>
          <w:marRight w:val="0"/>
          <w:marTop w:val="0"/>
          <w:marBottom w:val="0"/>
          <w:divBdr>
            <w:top w:val="none" w:sz="0" w:space="0" w:color="auto"/>
            <w:left w:val="none" w:sz="0" w:space="0" w:color="auto"/>
            <w:bottom w:val="none" w:sz="0" w:space="0" w:color="auto"/>
            <w:right w:val="none" w:sz="0" w:space="0" w:color="auto"/>
          </w:divBdr>
          <w:divsChild>
            <w:div w:id="735664494">
              <w:marLeft w:val="0"/>
              <w:marRight w:val="0"/>
              <w:marTop w:val="0"/>
              <w:marBottom w:val="0"/>
              <w:divBdr>
                <w:top w:val="none" w:sz="0" w:space="0" w:color="auto"/>
                <w:left w:val="none" w:sz="0" w:space="0" w:color="auto"/>
                <w:bottom w:val="none" w:sz="0" w:space="0" w:color="auto"/>
                <w:right w:val="none" w:sz="0" w:space="0" w:color="auto"/>
              </w:divBdr>
              <w:divsChild>
                <w:div w:id="169948498">
                  <w:marLeft w:val="0"/>
                  <w:marRight w:val="0"/>
                  <w:marTop w:val="0"/>
                  <w:marBottom w:val="0"/>
                  <w:divBdr>
                    <w:top w:val="none" w:sz="0" w:space="0" w:color="auto"/>
                    <w:left w:val="none" w:sz="0" w:space="0" w:color="auto"/>
                    <w:bottom w:val="none" w:sz="0" w:space="0" w:color="auto"/>
                    <w:right w:val="none" w:sz="0" w:space="0" w:color="auto"/>
                  </w:divBdr>
                  <w:divsChild>
                    <w:div w:id="274606366">
                      <w:marLeft w:val="0"/>
                      <w:marRight w:val="0"/>
                      <w:marTop w:val="0"/>
                      <w:marBottom w:val="0"/>
                      <w:divBdr>
                        <w:top w:val="none" w:sz="0" w:space="0" w:color="auto"/>
                        <w:left w:val="none" w:sz="0" w:space="0" w:color="auto"/>
                        <w:bottom w:val="none" w:sz="0" w:space="0" w:color="auto"/>
                        <w:right w:val="none" w:sz="0" w:space="0" w:color="auto"/>
                      </w:divBdr>
                      <w:divsChild>
                        <w:div w:id="637801407">
                          <w:marLeft w:val="0"/>
                          <w:marRight w:val="0"/>
                          <w:marTop w:val="0"/>
                          <w:marBottom w:val="0"/>
                          <w:divBdr>
                            <w:top w:val="none" w:sz="0" w:space="0" w:color="auto"/>
                            <w:left w:val="none" w:sz="0" w:space="0" w:color="auto"/>
                            <w:bottom w:val="none" w:sz="0" w:space="0" w:color="auto"/>
                            <w:right w:val="none" w:sz="0" w:space="0" w:color="auto"/>
                          </w:divBdr>
                          <w:divsChild>
                            <w:div w:id="210307013">
                              <w:marLeft w:val="570"/>
                              <w:marRight w:val="720"/>
                              <w:marTop w:val="120"/>
                              <w:marBottom w:val="120"/>
                              <w:divBdr>
                                <w:top w:val="none" w:sz="0" w:space="0" w:color="auto"/>
                                <w:left w:val="none" w:sz="0" w:space="0" w:color="auto"/>
                                <w:bottom w:val="none" w:sz="0" w:space="0" w:color="auto"/>
                                <w:right w:val="none" w:sz="0" w:space="0" w:color="auto"/>
                              </w:divBdr>
                              <w:divsChild>
                                <w:div w:id="89785051">
                                  <w:marLeft w:val="0"/>
                                  <w:marRight w:val="0"/>
                                  <w:marTop w:val="0"/>
                                  <w:marBottom w:val="0"/>
                                  <w:divBdr>
                                    <w:top w:val="none" w:sz="0" w:space="0" w:color="auto"/>
                                    <w:left w:val="none" w:sz="0" w:space="0" w:color="auto"/>
                                    <w:bottom w:val="none" w:sz="0" w:space="0" w:color="auto"/>
                                    <w:right w:val="none" w:sz="0" w:space="0" w:color="auto"/>
                                  </w:divBdr>
                                  <w:divsChild>
                                    <w:div w:id="990207803">
                                      <w:marLeft w:val="0"/>
                                      <w:marRight w:val="0"/>
                                      <w:marTop w:val="0"/>
                                      <w:marBottom w:val="0"/>
                                      <w:divBdr>
                                        <w:top w:val="none" w:sz="0" w:space="0" w:color="auto"/>
                                        <w:left w:val="none" w:sz="0" w:space="0" w:color="auto"/>
                                        <w:bottom w:val="none" w:sz="0" w:space="0" w:color="auto"/>
                                        <w:right w:val="none" w:sz="0" w:space="0" w:color="auto"/>
                                      </w:divBdr>
                                      <w:divsChild>
                                        <w:div w:id="877011362">
                                          <w:marLeft w:val="0"/>
                                          <w:marRight w:val="0"/>
                                          <w:marTop w:val="0"/>
                                          <w:marBottom w:val="0"/>
                                          <w:divBdr>
                                            <w:top w:val="none" w:sz="0" w:space="0" w:color="auto"/>
                                            <w:left w:val="none" w:sz="0" w:space="0" w:color="auto"/>
                                            <w:bottom w:val="none" w:sz="0" w:space="0" w:color="auto"/>
                                            <w:right w:val="none" w:sz="0" w:space="0" w:color="auto"/>
                                          </w:divBdr>
                                        </w:div>
                                        <w:div w:id="569778170">
                                          <w:marLeft w:val="0"/>
                                          <w:marRight w:val="0"/>
                                          <w:marTop w:val="0"/>
                                          <w:marBottom w:val="150"/>
                                          <w:divBdr>
                                            <w:top w:val="none" w:sz="0" w:space="0" w:color="auto"/>
                                            <w:left w:val="none" w:sz="0" w:space="0" w:color="auto"/>
                                            <w:bottom w:val="none" w:sz="0" w:space="0" w:color="auto"/>
                                            <w:right w:val="none" w:sz="0" w:space="0" w:color="auto"/>
                                          </w:divBdr>
                                          <w:divsChild>
                                            <w:div w:id="1233393736">
                                              <w:marLeft w:val="0"/>
                                              <w:marRight w:val="0"/>
                                              <w:marTop w:val="240"/>
                                              <w:marBottom w:val="240"/>
                                              <w:divBdr>
                                                <w:top w:val="single" w:sz="6" w:space="6" w:color="F2F2F2"/>
                                                <w:left w:val="none" w:sz="0" w:space="0" w:color="auto"/>
                                                <w:bottom w:val="single" w:sz="6" w:space="6" w:color="F2F2F2"/>
                                                <w:right w:val="none" w:sz="0" w:space="0" w:color="auto"/>
                                              </w:divBdr>
                                            </w:div>
                                            <w:div w:id="1212569927">
                                              <w:marLeft w:val="0"/>
                                              <w:marRight w:val="0"/>
                                              <w:marTop w:val="0"/>
                                              <w:marBottom w:val="0"/>
                                              <w:divBdr>
                                                <w:top w:val="none" w:sz="0" w:space="0" w:color="auto"/>
                                                <w:left w:val="none" w:sz="0" w:space="0" w:color="auto"/>
                                                <w:bottom w:val="none" w:sz="0" w:space="0" w:color="auto"/>
                                                <w:right w:val="none" w:sz="0" w:space="0" w:color="auto"/>
                                              </w:divBdr>
                                              <w:divsChild>
                                                <w:div w:id="4998083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7993026">
      <w:bodyDiv w:val="1"/>
      <w:marLeft w:val="0"/>
      <w:marRight w:val="0"/>
      <w:marTop w:val="0"/>
      <w:marBottom w:val="0"/>
      <w:divBdr>
        <w:top w:val="none" w:sz="0" w:space="0" w:color="auto"/>
        <w:left w:val="none" w:sz="0" w:space="0" w:color="auto"/>
        <w:bottom w:val="none" w:sz="0" w:space="0" w:color="auto"/>
        <w:right w:val="none" w:sz="0" w:space="0" w:color="auto"/>
      </w:divBdr>
    </w:div>
    <w:div w:id="1409426440">
      <w:bodyDiv w:val="1"/>
      <w:marLeft w:val="0"/>
      <w:marRight w:val="0"/>
      <w:marTop w:val="0"/>
      <w:marBottom w:val="0"/>
      <w:divBdr>
        <w:top w:val="none" w:sz="0" w:space="0" w:color="auto"/>
        <w:left w:val="none" w:sz="0" w:space="0" w:color="auto"/>
        <w:bottom w:val="none" w:sz="0" w:space="0" w:color="auto"/>
        <w:right w:val="none" w:sz="0" w:space="0" w:color="auto"/>
      </w:divBdr>
      <w:divsChild>
        <w:div w:id="1892842804">
          <w:marLeft w:val="0"/>
          <w:marRight w:val="0"/>
          <w:marTop w:val="0"/>
          <w:marBottom w:val="0"/>
          <w:divBdr>
            <w:top w:val="none" w:sz="0" w:space="0" w:color="auto"/>
            <w:left w:val="none" w:sz="0" w:space="0" w:color="auto"/>
            <w:bottom w:val="none" w:sz="0" w:space="0" w:color="auto"/>
            <w:right w:val="none" w:sz="0" w:space="0" w:color="auto"/>
          </w:divBdr>
          <w:divsChild>
            <w:div w:id="569005458">
              <w:marLeft w:val="210"/>
              <w:marRight w:val="0"/>
              <w:marTop w:val="0"/>
              <w:marBottom w:val="0"/>
              <w:divBdr>
                <w:top w:val="none" w:sz="0" w:space="0" w:color="auto"/>
                <w:left w:val="none" w:sz="0" w:space="0" w:color="auto"/>
                <w:bottom w:val="none" w:sz="0" w:space="0" w:color="auto"/>
                <w:right w:val="none" w:sz="0" w:space="0" w:color="auto"/>
              </w:divBdr>
              <w:divsChild>
                <w:div w:id="4783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1407">
      <w:bodyDiv w:val="1"/>
      <w:marLeft w:val="0"/>
      <w:marRight w:val="0"/>
      <w:marTop w:val="0"/>
      <w:marBottom w:val="0"/>
      <w:divBdr>
        <w:top w:val="none" w:sz="0" w:space="0" w:color="auto"/>
        <w:left w:val="none" w:sz="0" w:space="0" w:color="auto"/>
        <w:bottom w:val="none" w:sz="0" w:space="0" w:color="auto"/>
        <w:right w:val="none" w:sz="0" w:space="0" w:color="auto"/>
      </w:divBdr>
      <w:divsChild>
        <w:div w:id="625893528">
          <w:marLeft w:val="0"/>
          <w:marRight w:val="0"/>
          <w:marTop w:val="210"/>
          <w:marBottom w:val="0"/>
          <w:divBdr>
            <w:top w:val="none" w:sz="0" w:space="0" w:color="auto"/>
            <w:left w:val="none" w:sz="0" w:space="0" w:color="auto"/>
            <w:bottom w:val="none" w:sz="0" w:space="0" w:color="auto"/>
            <w:right w:val="none" w:sz="0" w:space="0" w:color="auto"/>
          </w:divBdr>
          <w:divsChild>
            <w:div w:id="360741500">
              <w:marLeft w:val="0"/>
              <w:marRight w:val="0"/>
              <w:marTop w:val="0"/>
              <w:marBottom w:val="0"/>
              <w:divBdr>
                <w:top w:val="none" w:sz="0" w:space="0" w:color="auto"/>
                <w:left w:val="none" w:sz="0" w:space="0" w:color="auto"/>
                <w:bottom w:val="none" w:sz="0" w:space="0" w:color="auto"/>
                <w:right w:val="none" w:sz="0" w:space="0" w:color="auto"/>
              </w:divBdr>
              <w:divsChild>
                <w:div w:id="1701852071">
                  <w:marLeft w:val="1"/>
                  <w:marRight w:val="0"/>
                  <w:marTop w:val="0"/>
                  <w:marBottom w:val="0"/>
                  <w:divBdr>
                    <w:top w:val="single" w:sz="6" w:space="0" w:color="FFFFFF"/>
                    <w:left w:val="none" w:sz="0" w:space="0" w:color="auto"/>
                    <w:bottom w:val="none" w:sz="0" w:space="0" w:color="auto"/>
                    <w:right w:val="none" w:sz="0" w:space="0" w:color="auto"/>
                  </w:divBdr>
                  <w:divsChild>
                    <w:div w:id="65929849">
                      <w:marLeft w:val="0"/>
                      <w:marRight w:val="0"/>
                      <w:marTop w:val="0"/>
                      <w:marBottom w:val="0"/>
                      <w:divBdr>
                        <w:top w:val="none" w:sz="0" w:space="0" w:color="auto"/>
                        <w:left w:val="none" w:sz="0" w:space="0" w:color="auto"/>
                        <w:bottom w:val="none" w:sz="0" w:space="0" w:color="auto"/>
                        <w:right w:val="none" w:sz="0" w:space="0" w:color="auto"/>
                      </w:divBdr>
                      <w:divsChild>
                        <w:div w:id="1578440472">
                          <w:marLeft w:val="2445"/>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10423409">
      <w:bodyDiv w:val="1"/>
      <w:marLeft w:val="0"/>
      <w:marRight w:val="0"/>
      <w:marTop w:val="0"/>
      <w:marBottom w:val="0"/>
      <w:divBdr>
        <w:top w:val="none" w:sz="0" w:space="0" w:color="auto"/>
        <w:left w:val="none" w:sz="0" w:space="0" w:color="auto"/>
        <w:bottom w:val="none" w:sz="0" w:space="0" w:color="auto"/>
        <w:right w:val="none" w:sz="0" w:space="0" w:color="auto"/>
      </w:divBdr>
      <w:divsChild>
        <w:div w:id="2103185735">
          <w:marLeft w:val="0"/>
          <w:marRight w:val="0"/>
          <w:marTop w:val="0"/>
          <w:marBottom w:val="0"/>
          <w:divBdr>
            <w:top w:val="none" w:sz="0" w:space="0" w:color="auto"/>
            <w:left w:val="none" w:sz="0" w:space="0" w:color="auto"/>
            <w:bottom w:val="none" w:sz="0" w:space="0" w:color="auto"/>
            <w:right w:val="none" w:sz="0" w:space="0" w:color="auto"/>
          </w:divBdr>
          <w:divsChild>
            <w:div w:id="1835416800">
              <w:marLeft w:val="0"/>
              <w:marRight w:val="0"/>
              <w:marTop w:val="0"/>
              <w:marBottom w:val="0"/>
              <w:divBdr>
                <w:top w:val="none" w:sz="0" w:space="0" w:color="auto"/>
                <w:left w:val="none" w:sz="0" w:space="0" w:color="auto"/>
                <w:bottom w:val="none" w:sz="0" w:space="0" w:color="auto"/>
                <w:right w:val="none" w:sz="0" w:space="0" w:color="auto"/>
              </w:divBdr>
              <w:divsChild>
                <w:div w:id="878778392">
                  <w:marLeft w:val="0"/>
                  <w:marRight w:val="0"/>
                  <w:marTop w:val="0"/>
                  <w:marBottom w:val="0"/>
                  <w:divBdr>
                    <w:top w:val="none" w:sz="0" w:space="0" w:color="auto"/>
                    <w:left w:val="none" w:sz="0" w:space="0" w:color="auto"/>
                    <w:bottom w:val="none" w:sz="0" w:space="0" w:color="auto"/>
                    <w:right w:val="none" w:sz="0" w:space="0" w:color="auto"/>
                  </w:divBdr>
                  <w:divsChild>
                    <w:div w:id="1429429843">
                      <w:marLeft w:val="0"/>
                      <w:marRight w:val="0"/>
                      <w:marTop w:val="0"/>
                      <w:marBottom w:val="0"/>
                      <w:divBdr>
                        <w:top w:val="none" w:sz="0" w:space="0" w:color="auto"/>
                        <w:left w:val="none" w:sz="0" w:space="0" w:color="auto"/>
                        <w:bottom w:val="none" w:sz="0" w:space="0" w:color="auto"/>
                        <w:right w:val="none" w:sz="0" w:space="0" w:color="auto"/>
                      </w:divBdr>
                      <w:divsChild>
                        <w:div w:id="949355466">
                          <w:marLeft w:val="0"/>
                          <w:marRight w:val="0"/>
                          <w:marTop w:val="0"/>
                          <w:marBottom w:val="0"/>
                          <w:divBdr>
                            <w:top w:val="none" w:sz="0" w:space="0" w:color="auto"/>
                            <w:left w:val="none" w:sz="0" w:space="0" w:color="auto"/>
                            <w:bottom w:val="none" w:sz="0" w:space="0" w:color="auto"/>
                            <w:right w:val="none" w:sz="0" w:space="0" w:color="auto"/>
                          </w:divBdr>
                          <w:divsChild>
                            <w:div w:id="1085498213">
                              <w:marLeft w:val="0"/>
                              <w:marRight w:val="0"/>
                              <w:marTop w:val="0"/>
                              <w:marBottom w:val="0"/>
                              <w:divBdr>
                                <w:top w:val="none" w:sz="0" w:space="0" w:color="auto"/>
                                <w:left w:val="none" w:sz="0" w:space="0" w:color="auto"/>
                                <w:bottom w:val="none" w:sz="0" w:space="0" w:color="auto"/>
                                <w:right w:val="none" w:sz="0" w:space="0" w:color="auto"/>
                              </w:divBdr>
                              <w:divsChild>
                                <w:div w:id="1037663589">
                                  <w:marLeft w:val="0"/>
                                  <w:marRight w:val="0"/>
                                  <w:marTop w:val="0"/>
                                  <w:marBottom w:val="0"/>
                                  <w:divBdr>
                                    <w:top w:val="none" w:sz="0" w:space="0" w:color="auto"/>
                                    <w:left w:val="none" w:sz="0" w:space="0" w:color="auto"/>
                                    <w:bottom w:val="none" w:sz="0" w:space="0" w:color="auto"/>
                                    <w:right w:val="none" w:sz="0" w:space="0" w:color="auto"/>
                                  </w:divBdr>
                                  <w:divsChild>
                                    <w:div w:id="1464424666">
                                      <w:marLeft w:val="0"/>
                                      <w:marRight w:val="0"/>
                                      <w:marTop w:val="0"/>
                                      <w:marBottom w:val="0"/>
                                      <w:divBdr>
                                        <w:top w:val="none" w:sz="0" w:space="0" w:color="auto"/>
                                        <w:left w:val="none" w:sz="0" w:space="0" w:color="auto"/>
                                        <w:bottom w:val="none" w:sz="0" w:space="0" w:color="auto"/>
                                        <w:right w:val="none" w:sz="0" w:space="0" w:color="auto"/>
                                      </w:divBdr>
                                      <w:divsChild>
                                        <w:div w:id="5368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536678">
      <w:bodyDiv w:val="1"/>
      <w:marLeft w:val="0"/>
      <w:marRight w:val="0"/>
      <w:marTop w:val="0"/>
      <w:marBottom w:val="0"/>
      <w:divBdr>
        <w:top w:val="none" w:sz="0" w:space="0" w:color="auto"/>
        <w:left w:val="none" w:sz="0" w:space="0" w:color="auto"/>
        <w:bottom w:val="none" w:sz="0" w:space="0" w:color="auto"/>
        <w:right w:val="none" w:sz="0" w:space="0" w:color="auto"/>
      </w:divBdr>
      <w:divsChild>
        <w:div w:id="1549756509">
          <w:marLeft w:val="0"/>
          <w:marRight w:val="0"/>
          <w:marTop w:val="0"/>
          <w:marBottom w:val="0"/>
          <w:divBdr>
            <w:top w:val="single" w:sz="2" w:space="0" w:color="AAAAAA"/>
            <w:left w:val="single" w:sz="6" w:space="8" w:color="AAAAAA"/>
            <w:bottom w:val="single" w:sz="2" w:space="0" w:color="AAAAAA"/>
            <w:right w:val="single" w:sz="6" w:space="8" w:color="AAAAAA"/>
          </w:divBdr>
          <w:divsChild>
            <w:div w:id="123471775">
              <w:marLeft w:val="0"/>
              <w:marRight w:val="0"/>
              <w:marTop w:val="0"/>
              <w:marBottom w:val="0"/>
              <w:divBdr>
                <w:top w:val="none" w:sz="0" w:space="0" w:color="auto"/>
                <w:left w:val="none" w:sz="0" w:space="0" w:color="auto"/>
                <w:bottom w:val="none" w:sz="0" w:space="0" w:color="auto"/>
                <w:right w:val="none" w:sz="0" w:space="0" w:color="auto"/>
              </w:divBdr>
              <w:divsChild>
                <w:div w:id="261449695">
                  <w:marLeft w:val="0"/>
                  <w:marRight w:val="0"/>
                  <w:marTop w:val="0"/>
                  <w:marBottom w:val="0"/>
                  <w:divBdr>
                    <w:top w:val="none" w:sz="0" w:space="0" w:color="auto"/>
                    <w:left w:val="none" w:sz="0" w:space="0" w:color="auto"/>
                    <w:bottom w:val="none" w:sz="0" w:space="0" w:color="auto"/>
                    <w:right w:val="none" w:sz="0" w:space="0" w:color="auto"/>
                  </w:divBdr>
                  <w:divsChild>
                    <w:div w:id="1475412088">
                      <w:marLeft w:val="0"/>
                      <w:marRight w:val="2550"/>
                      <w:marTop w:val="0"/>
                      <w:marBottom w:val="48"/>
                      <w:divBdr>
                        <w:top w:val="none" w:sz="0" w:space="0" w:color="auto"/>
                        <w:left w:val="none" w:sz="0" w:space="0" w:color="auto"/>
                        <w:bottom w:val="none" w:sz="0" w:space="0" w:color="auto"/>
                        <w:right w:val="none" w:sz="0" w:space="0" w:color="auto"/>
                      </w:divBdr>
                      <w:divsChild>
                        <w:div w:id="85599586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2192665">
      <w:bodyDiv w:val="1"/>
      <w:marLeft w:val="0"/>
      <w:marRight w:val="0"/>
      <w:marTop w:val="0"/>
      <w:marBottom w:val="0"/>
      <w:divBdr>
        <w:top w:val="none" w:sz="0" w:space="0" w:color="auto"/>
        <w:left w:val="none" w:sz="0" w:space="0" w:color="auto"/>
        <w:bottom w:val="none" w:sz="0" w:space="0" w:color="auto"/>
        <w:right w:val="none" w:sz="0" w:space="0" w:color="auto"/>
      </w:divBdr>
      <w:divsChild>
        <w:div w:id="661203019">
          <w:marLeft w:val="0"/>
          <w:marRight w:val="0"/>
          <w:marTop w:val="0"/>
          <w:marBottom w:val="0"/>
          <w:divBdr>
            <w:top w:val="none" w:sz="0" w:space="0" w:color="auto"/>
            <w:left w:val="none" w:sz="0" w:space="0" w:color="auto"/>
            <w:bottom w:val="none" w:sz="0" w:space="0" w:color="auto"/>
            <w:right w:val="none" w:sz="0" w:space="0" w:color="auto"/>
          </w:divBdr>
          <w:divsChild>
            <w:div w:id="1996445576">
              <w:marLeft w:val="0"/>
              <w:marRight w:val="0"/>
              <w:marTop w:val="0"/>
              <w:marBottom w:val="0"/>
              <w:divBdr>
                <w:top w:val="none" w:sz="0" w:space="0" w:color="auto"/>
                <w:left w:val="none" w:sz="0" w:space="0" w:color="auto"/>
                <w:bottom w:val="none" w:sz="0" w:space="0" w:color="auto"/>
                <w:right w:val="none" w:sz="0" w:space="0" w:color="auto"/>
              </w:divBdr>
              <w:divsChild>
                <w:div w:id="298845507">
                  <w:marLeft w:val="0"/>
                  <w:marRight w:val="0"/>
                  <w:marTop w:val="0"/>
                  <w:marBottom w:val="0"/>
                  <w:divBdr>
                    <w:top w:val="none" w:sz="0" w:space="0" w:color="auto"/>
                    <w:left w:val="none" w:sz="0" w:space="0" w:color="auto"/>
                    <w:bottom w:val="none" w:sz="0" w:space="0" w:color="auto"/>
                    <w:right w:val="none" w:sz="0" w:space="0" w:color="auto"/>
                  </w:divBdr>
                  <w:divsChild>
                    <w:div w:id="1482037207">
                      <w:marLeft w:val="0"/>
                      <w:marRight w:val="0"/>
                      <w:marTop w:val="300"/>
                      <w:marBottom w:val="600"/>
                      <w:divBdr>
                        <w:top w:val="none" w:sz="0" w:space="0" w:color="auto"/>
                        <w:left w:val="none" w:sz="0" w:space="0" w:color="auto"/>
                        <w:bottom w:val="none" w:sz="0" w:space="0" w:color="auto"/>
                        <w:right w:val="none" w:sz="0" w:space="0" w:color="auto"/>
                      </w:divBdr>
                      <w:divsChild>
                        <w:div w:id="1099301200">
                          <w:marLeft w:val="0"/>
                          <w:marRight w:val="0"/>
                          <w:marTop w:val="0"/>
                          <w:marBottom w:val="0"/>
                          <w:divBdr>
                            <w:top w:val="none" w:sz="0" w:space="0" w:color="auto"/>
                            <w:left w:val="none" w:sz="0" w:space="0" w:color="auto"/>
                            <w:bottom w:val="none" w:sz="0" w:space="0" w:color="auto"/>
                            <w:right w:val="none" w:sz="0" w:space="0" w:color="auto"/>
                          </w:divBdr>
                          <w:divsChild>
                            <w:div w:id="332923719">
                              <w:marLeft w:val="0"/>
                              <w:marRight w:val="0"/>
                              <w:marTop w:val="0"/>
                              <w:marBottom w:val="0"/>
                              <w:divBdr>
                                <w:top w:val="none" w:sz="0" w:space="0" w:color="auto"/>
                                <w:left w:val="none" w:sz="0" w:space="0" w:color="auto"/>
                                <w:bottom w:val="none" w:sz="0" w:space="0" w:color="auto"/>
                                <w:right w:val="none" w:sz="0" w:space="0" w:color="auto"/>
                              </w:divBdr>
                              <w:divsChild>
                                <w:div w:id="1495487875">
                                  <w:marLeft w:val="0"/>
                                  <w:marRight w:val="0"/>
                                  <w:marTop w:val="0"/>
                                  <w:marBottom w:val="0"/>
                                  <w:divBdr>
                                    <w:top w:val="none" w:sz="0" w:space="0" w:color="auto"/>
                                    <w:left w:val="none" w:sz="0" w:space="0" w:color="auto"/>
                                    <w:bottom w:val="none" w:sz="0" w:space="0" w:color="auto"/>
                                    <w:right w:val="none" w:sz="0" w:space="0" w:color="auto"/>
                                  </w:divBdr>
                                  <w:divsChild>
                                    <w:div w:id="900284953">
                                      <w:marLeft w:val="0"/>
                                      <w:marRight w:val="0"/>
                                      <w:marTop w:val="150"/>
                                      <w:marBottom w:val="0"/>
                                      <w:divBdr>
                                        <w:top w:val="none" w:sz="0" w:space="0" w:color="auto"/>
                                        <w:left w:val="none" w:sz="0" w:space="0" w:color="auto"/>
                                        <w:bottom w:val="none" w:sz="0" w:space="0" w:color="auto"/>
                                        <w:right w:val="none" w:sz="0" w:space="0" w:color="auto"/>
                                      </w:divBdr>
                                      <w:divsChild>
                                        <w:div w:id="2059892329">
                                          <w:marLeft w:val="0"/>
                                          <w:marRight w:val="0"/>
                                          <w:marTop w:val="0"/>
                                          <w:marBottom w:val="0"/>
                                          <w:divBdr>
                                            <w:top w:val="none" w:sz="0" w:space="0" w:color="auto"/>
                                            <w:left w:val="none" w:sz="0" w:space="0" w:color="auto"/>
                                            <w:bottom w:val="none" w:sz="0" w:space="0" w:color="auto"/>
                                            <w:right w:val="none" w:sz="0" w:space="0" w:color="auto"/>
                                          </w:divBdr>
                                          <w:divsChild>
                                            <w:div w:id="1245140344">
                                              <w:marLeft w:val="0"/>
                                              <w:marRight w:val="0"/>
                                              <w:marTop w:val="0"/>
                                              <w:marBottom w:val="0"/>
                                              <w:divBdr>
                                                <w:top w:val="none" w:sz="0" w:space="0" w:color="auto"/>
                                                <w:left w:val="none" w:sz="0" w:space="0" w:color="auto"/>
                                                <w:bottom w:val="none" w:sz="0" w:space="0" w:color="auto"/>
                                                <w:right w:val="none" w:sz="0" w:space="0" w:color="auto"/>
                                              </w:divBdr>
                                              <w:divsChild>
                                                <w:div w:id="2144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510577">
      <w:bodyDiv w:val="1"/>
      <w:marLeft w:val="0"/>
      <w:marRight w:val="0"/>
      <w:marTop w:val="0"/>
      <w:marBottom w:val="0"/>
      <w:divBdr>
        <w:top w:val="none" w:sz="0" w:space="0" w:color="auto"/>
        <w:left w:val="none" w:sz="0" w:space="0" w:color="auto"/>
        <w:bottom w:val="none" w:sz="0" w:space="0" w:color="auto"/>
        <w:right w:val="none" w:sz="0" w:space="0" w:color="auto"/>
      </w:divBdr>
      <w:divsChild>
        <w:div w:id="245237562">
          <w:marLeft w:val="0"/>
          <w:marRight w:val="0"/>
          <w:marTop w:val="0"/>
          <w:marBottom w:val="0"/>
          <w:divBdr>
            <w:top w:val="single" w:sz="2" w:space="0" w:color="AAAAAA"/>
            <w:left w:val="single" w:sz="6" w:space="8" w:color="AAAAAA"/>
            <w:bottom w:val="single" w:sz="2" w:space="0" w:color="AAAAAA"/>
            <w:right w:val="single" w:sz="6" w:space="8" w:color="AAAAAA"/>
          </w:divBdr>
          <w:divsChild>
            <w:div w:id="2131850025">
              <w:marLeft w:val="0"/>
              <w:marRight w:val="0"/>
              <w:marTop w:val="0"/>
              <w:marBottom w:val="0"/>
              <w:divBdr>
                <w:top w:val="none" w:sz="0" w:space="0" w:color="auto"/>
                <w:left w:val="none" w:sz="0" w:space="0" w:color="auto"/>
                <w:bottom w:val="none" w:sz="0" w:space="0" w:color="auto"/>
                <w:right w:val="none" w:sz="0" w:space="0" w:color="auto"/>
              </w:divBdr>
              <w:divsChild>
                <w:div w:id="765076496">
                  <w:marLeft w:val="0"/>
                  <w:marRight w:val="0"/>
                  <w:marTop w:val="0"/>
                  <w:marBottom w:val="0"/>
                  <w:divBdr>
                    <w:top w:val="none" w:sz="0" w:space="0" w:color="auto"/>
                    <w:left w:val="none" w:sz="0" w:space="0" w:color="auto"/>
                    <w:bottom w:val="none" w:sz="0" w:space="0" w:color="auto"/>
                    <w:right w:val="none" w:sz="0" w:space="0" w:color="auto"/>
                  </w:divBdr>
                  <w:divsChild>
                    <w:div w:id="894122997">
                      <w:marLeft w:val="0"/>
                      <w:marRight w:val="2550"/>
                      <w:marTop w:val="0"/>
                      <w:marBottom w:val="48"/>
                      <w:divBdr>
                        <w:top w:val="none" w:sz="0" w:space="0" w:color="auto"/>
                        <w:left w:val="none" w:sz="0" w:space="0" w:color="auto"/>
                        <w:bottom w:val="none" w:sz="0" w:space="0" w:color="auto"/>
                        <w:right w:val="none" w:sz="0" w:space="0" w:color="auto"/>
                      </w:divBdr>
                      <w:divsChild>
                        <w:div w:id="170520936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3509945">
      <w:bodyDiv w:val="1"/>
      <w:marLeft w:val="0"/>
      <w:marRight w:val="0"/>
      <w:marTop w:val="0"/>
      <w:marBottom w:val="0"/>
      <w:divBdr>
        <w:top w:val="none" w:sz="0" w:space="0" w:color="auto"/>
        <w:left w:val="none" w:sz="0" w:space="0" w:color="auto"/>
        <w:bottom w:val="none" w:sz="0" w:space="0" w:color="auto"/>
        <w:right w:val="none" w:sz="0" w:space="0" w:color="auto"/>
      </w:divBdr>
      <w:divsChild>
        <w:div w:id="452747800">
          <w:marLeft w:val="0"/>
          <w:marRight w:val="0"/>
          <w:marTop w:val="0"/>
          <w:marBottom w:val="0"/>
          <w:divBdr>
            <w:top w:val="none" w:sz="0" w:space="0" w:color="auto"/>
            <w:left w:val="none" w:sz="0" w:space="0" w:color="auto"/>
            <w:bottom w:val="none" w:sz="0" w:space="0" w:color="auto"/>
            <w:right w:val="none" w:sz="0" w:space="0" w:color="auto"/>
          </w:divBdr>
          <w:divsChild>
            <w:div w:id="745958211">
              <w:marLeft w:val="0"/>
              <w:marRight w:val="0"/>
              <w:marTop w:val="0"/>
              <w:marBottom w:val="0"/>
              <w:divBdr>
                <w:top w:val="none" w:sz="0" w:space="0" w:color="auto"/>
                <w:left w:val="none" w:sz="0" w:space="0" w:color="auto"/>
                <w:bottom w:val="none" w:sz="0" w:space="0" w:color="auto"/>
                <w:right w:val="none" w:sz="0" w:space="0" w:color="auto"/>
              </w:divBdr>
              <w:divsChild>
                <w:div w:id="1081751724">
                  <w:marLeft w:val="0"/>
                  <w:marRight w:val="0"/>
                  <w:marTop w:val="0"/>
                  <w:marBottom w:val="0"/>
                  <w:divBdr>
                    <w:top w:val="none" w:sz="0" w:space="0" w:color="auto"/>
                    <w:left w:val="none" w:sz="0" w:space="0" w:color="auto"/>
                    <w:bottom w:val="none" w:sz="0" w:space="0" w:color="auto"/>
                    <w:right w:val="none" w:sz="0" w:space="0" w:color="auto"/>
                  </w:divBdr>
                  <w:divsChild>
                    <w:div w:id="365102766">
                      <w:marLeft w:val="0"/>
                      <w:marRight w:val="0"/>
                      <w:marTop w:val="0"/>
                      <w:marBottom w:val="0"/>
                      <w:divBdr>
                        <w:top w:val="none" w:sz="0" w:space="0" w:color="auto"/>
                        <w:left w:val="none" w:sz="0" w:space="0" w:color="auto"/>
                        <w:bottom w:val="none" w:sz="0" w:space="0" w:color="auto"/>
                        <w:right w:val="none" w:sz="0" w:space="0" w:color="auto"/>
                      </w:divBdr>
                      <w:divsChild>
                        <w:div w:id="9045355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13818259">
      <w:bodyDiv w:val="1"/>
      <w:marLeft w:val="0"/>
      <w:marRight w:val="0"/>
      <w:marTop w:val="0"/>
      <w:marBottom w:val="0"/>
      <w:divBdr>
        <w:top w:val="none" w:sz="0" w:space="0" w:color="auto"/>
        <w:left w:val="none" w:sz="0" w:space="0" w:color="auto"/>
        <w:bottom w:val="none" w:sz="0" w:space="0" w:color="auto"/>
        <w:right w:val="none" w:sz="0" w:space="0" w:color="auto"/>
      </w:divBdr>
      <w:divsChild>
        <w:div w:id="965086428">
          <w:marLeft w:val="0"/>
          <w:marRight w:val="0"/>
          <w:marTop w:val="0"/>
          <w:marBottom w:val="0"/>
          <w:divBdr>
            <w:top w:val="none" w:sz="0" w:space="0" w:color="auto"/>
            <w:left w:val="none" w:sz="0" w:space="0" w:color="auto"/>
            <w:bottom w:val="none" w:sz="0" w:space="0" w:color="auto"/>
            <w:right w:val="none" w:sz="0" w:space="0" w:color="auto"/>
          </w:divBdr>
          <w:divsChild>
            <w:div w:id="1223709153">
              <w:marLeft w:val="0"/>
              <w:marRight w:val="0"/>
              <w:marTop w:val="0"/>
              <w:marBottom w:val="0"/>
              <w:divBdr>
                <w:top w:val="none" w:sz="0" w:space="0" w:color="auto"/>
                <w:left w:val="none" w:sz="0" w:space="0" w:color="auto"/>
                <w:bottom w:val="none" w:sz="0" w:space="0" w:color="auto"/>
                <w:right w:val="none" w:sz="0" w:space="0" w:color="auto"/>
              </w:divBdr>
              <w:divsChild>
                <w:div w:id="1739285893">
                  <w:marLeft w:val="0"/>
                  <w:marRight w:val="0"/>
                  <w:marTop w:val="0"/>
                  <w:marBottom w:val="0"/>
                  <w:divBdr>
                    <w:top w:val="none" w:sz="0" w:space="0" w:color="auto"/>
                    <w:left w:val="none" w:sz="0" w:space="0" w:color="auto"/>
                    <w:bottom w:val="none" w:sz="0" w:space="0" w:color="auto"/>
                    <w:right w:val="none" w:sz="0" w:space="0" w:color="auto"/>
                  </w:divBdr>
                  <w:divsChild>
                    <w:div w:id="1000742813">
                      <w:marLeft w:val="0"/>
                      <w:marRight w:val="0"/>
                      <w:marTop w:val="0"/>
                      <w:marBottom w:val="0"/>
                      <w:divBdr>
                        <w:top w:val="none" w:sz="0" w:space="0" w:color="auto"/>
                        <w:left w:val="none" w:sz="0" w:space="0" w:color="auto"/>
                        <w:bottom w:val="none" w:sz="0" w:space="0" w:color="auto"/>
                        <w:right w:val="none" w:sz="0" w:space="0" w:color="auto"/>
                      </w:divBdr>
                      <w:divsChild>
                        <w:div w:id="1100221786">
                          <w:marLeft w:val="0"/>
                          <w:marRight w:val="0"/>
                          <w:marTop w:val="0"/>
                          <w:marBottom w:val="0"/>
                          <w:divBdr>
                            <w:top w:val="none" w:sz="0" w:space="0" w:color="auto"/>
                            <w:left w:val="none" w:sz="0" w:space="0" w:color="auto"/>
                            <w:bottom w:val="none" w:sz="0" w:space="0" w:color="auto"/>
                            <w:right w:val="none" w:sz="0" w:space="0" w:color="auto"/>
                          </w:divBdr>
                          <w:divsChild>
                            <w:div w:id="548347134">
                              <w:marLeft w:val="0"/>
                              <w:marRight w:val="0"/>
                              <w:marTop w:val="0"/>
                              <w:marBottom w:val="0"/>
                              <w:divBdr>
                                <w:top w:val="none" w:sz="0" w:space="0" w:color="auto"/>
                                <w:left w:val="none" w:sz="0" w:space="0" w:color="auto"/>
                                <w:bottom w:val="none" w:sz="0" w:space="0" w:color="auto"/>
                                <w:right w:val="none" w:sz="0" w:space="0" w:color="auto"/>
                              </w:divBdr>
                              <w:divsChild>
                                <w:div w:id="702831670">
                                  <w:marLeft w:val="0"/>
                                  <w:marRight w:val="0"/>
                                  <w:marTop w:val="0"/>
                                  <w:marBottom w:val="0"/>
                                  <w:divBdr>
                                    <w:top w:val="none" w:sz="0" w:space="0" w:color="auto"/>
                                    <w:left w:val="none" w:sz="0" w:space="0" w:color="auto"/>
                                    <w:bottom w:val="none" w:sz="0" w:space="0" w:color="auto"/>
                                    <w:right w:val="none" w:sz="0" w:space="0" w:color="auto"/>
                                  </w:divBdr>
                                  <w:divsChild>
                                    <w:div w:id="1874347291">
                                      <w:marLeft w:val="0"/>
                                      <w:marRight w:val="0"/>
                                      <w:marTop w:val="0"/>
                                      <w:marBottom w:val="0"/>
                                      <w:divBdr>
                                        <w:top w:val="none" w:sz="0" w:space="0" w:color="auto"/>
                                        <w:left w:val="none" w:sz="0" w:space="0" w:color="auto"/>
                                        <w:bottom w:val="none" w:sz="0" w:space="0" w:color="auto"/>
                                        <w:right w:val="none" w:sz="0" w:space="0" w:color="auto"/>
                                      </w:divBdr>
                                      <w:divsChild>
                                        <w:div w:id="1143162904">
                                          <w:marLeft w:val="0"/>
                                          <w:marRight w:val="0"/>
                                          <w:marTop w:val="0"/>
                                          <w:marBottom w:val="0"/>
                                          <w:divBdr>
                                            <w:top w:val="none" w:sz="0" w:space="0" w:color="auto"/>
                                            <w:left w:val="none" w:sz="0" w:space="0" w:color="auto"/>
                                            <w:bottom w:val="none" w:sz="0" w:space="0" w:color="auto"/>
                                            <w:right w:val="none" w:sz="0" w:space="0" w:color="auto"/>
                                          </w:divBdr>
                                          <w:divsChild>
                                            <w:div w:id="111362451">
                                              <w:marLeft w:val="0"/>
                                              <w:marRight w:val="0"/>
                                              <w:marTop w:val="0"/>
                                              <w:marBottom w:val="0"/>
                                              <w:divBdr>
                                                <w:top w:val="none" w:sz="0" w:space="0" w:color="auto"/>
                                                <w:left w:val="none" w:sz="0" w:space="0" w:color="auto"/>
                                                <w:bottom w:val="none" w:sz="0" w:space="0" w:color="auto"/>
                                                <w:right w:val="none" w:sz="0" w:space="0" w:color="auto"/>
                                              </w:divBdr>
                                              <w:divsChild>
                                                <w:div w:id="1099254833">
                                                  <w:marLeft w:val="0"/>
                                                  <w:marRight w:val="0"/>
                                                  <w:marTop w:val="0"/>
                                                  <w:marBottom w:val="0"/>
                                                  <w:divBdr>
                                                    <w:top w:val="none" w:sz="0" w:space="0" w:color="auto"/>
                                                    <w:left w:val="none" w:sz="0" w:space="0" w:color="auto"/>
                                                    <w:bottom w:val="none" w:sz="0" w:space="0" w:color="auto"/>
                                                    <w:right w:val="none" w:sz="0" w:space="0" w:color="auto"/>
                                                  </w:divBdr>
                                                  <w:divsChild>
                                                    <w:div w:id="739135695">
                                                      <w:marLeft w:val="0"/>
                                                      <w:marRight w:val="0"/>
                                                      <w:marTop w:val="0"/>
                                                      <w:marBottom w:val="0"/>
                                                      <w:divBdr>
                                                        <w:top w:val="none" w:sz="0" w:space="0" w:color="auto"/>
                                                        <w:left w:val="none" w:sz="0" w:space="0" w:color="auto"/>
                                                        <w:bottom w:val="none" w:sz="0" w:space="0" w:color="auto"/>
                                                        <w:right w:val="none" w:sz="0" w:space="0" w:color="auto"/>
                                                      </w:divBdr>
                                                      <w:divsChild>
                                                        <w:div w:id="7957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010527">
      <w:bodyDiv w:val="1"/>
      <w:marLeft w:val="0"/>
      <w:marRight w:val="0"/>
      <w:marTop w:val="0"/>
      <w:marBottom w:val="0"/>
      <w:divBdr>
        <w:top w:val="none" w:sz="0" w:space="0" w:color="auto"/>
        <w:left w:val="none" w:sz="0" w:space="0" w:color="auto"/>
        <w:bottom w:val="none" w:sz="0" w:space="0" w:color="auto"/>
        <w:right w:val="none" w:sz="0" w:space="0" w:color="auto"/>
      </w:divBdr>
    </w:div>
    <w:div w:id="1414663445">
      <w:bodyDiv w:val="1"/>
      <w:marLeft w:val="0"/>
      <w:marRight w:val="0"/>
      <w:marTop w:val="0"/>
      <w:marBottom w:val="0"/>
      <w:divBdr>
        <w:top w:val="none" w:sz="0" w:space="0" w:color="auto"/>
        <w:left w:val="none" w:sz="0" w:space="0" w:color="auto"/>
        <w:bottom w:val="none" w:sz="0" w:space="0" w:color="auto"/>
        <w:right w:val="none" w:sz="0" w:space="0" w:color="auto"/>
      </w:divBdr>
    </w:div>
    <w:div w:id="1414934144">
      <w:bodyDiv w:val="1"/>
      <w:marLeft w:val="0"/>
      <w:marRight w:val="0"/>
      <w:marTop w:val="0"/>
      <w:marBottom w:val="0"/>
      <w:divBdr>
        <w:top w:val="none" w:sz="0" w:space="0" w:color="auto"/>
        <w:left w:val="none" w:sz="0" w:space="0" w:color="auto"/>
        <w:bottom w:val="none" w:sz="0" w:space="0" w:color="auto"/>
        <w:right w:val="none" w:sz="0" w:space="0" w:color="auto"/>
      </w:divBdr>
      <w:divsChild>
        <w:div w:id="1886792032">
          <w:marLeft w:val="0"/>
          <w:marRight w:val="0"/>
          <w:marTop w:val="0"/>
          <w:marBottom w:val="0"/>
          <w:divBdr>
            <w:top w:val="single" w:sz="6" w:space="0" w:color="0E477A"/>
            <w:left w:val="single" w:sz="6" w:space="0" w:color="0E477A"/>
            <w:bottom w:val="single" w:sz="6" w:space="0" w:color="0E477A"/>
            <w:right w:val="single" w:sz="6" w:space="0" w:color="0E477A"/>
          </w:divBdr>
          <w:divsChild>
            <w:div w:id="1229343051">
              <w:marLeft w:val="2925"/>
              <w:marRight w:val="0"/>
              <w:marTop w:val="0"/>
              <w:marBottom w:val="0"/>
              <w:divBdr>
                <w:top w:val="none" w:sz="0" w:space="0" w:color="auto"/>
                <w:left w:val="none" w:sz="0" w:space="0" w:color="auto"/>
                <w:bottom w:val="none" w:sz="0" w:space="0" w:color="auto"/>
                <w:right w:val="none" w:sz="0" w:space="0" w:color="auto"/>
              </w:divBdr>
              <w:divsChild>
                <w:div w:id="1628929949">
                  <w:marLeft w:val="0"/>
                  <w:marRight w:val="0"/>
                  <w:marTop w:val="0"/>
                  <w:marBottom w:val="0"/>
                  <w:divBdr>
                    <w:top w:val="none" w:sz="0" w:space="0" w:color="auto"/>
                    <w:left w:val="none" w:sz="0" w:space="0" w:color="auto"/>
                    <w:bottom w:val="none" w:sz="0" w:space="0" w:color="auto"/>
                    <w:right w:val="none" w:sz="0" w:space="0" w:color="auto"/>
                  </w:divBdr>
                  <w:divsChild>
                    <w:div w:id="1194927906">
                      <w:marLeft w:val="0"/>
                      <w:marRight w:val="150"/>
                      <w:marTop w:val="0"/>
                      <w:marBottom w:val="0"/>
                      <w:divBdr>
                        <w:top w:val="single" w:sz="6" w:space="0" w:color="CCCCCC"/>
                        <w:left w:val="single" w:sz="6" w:space="8" w:color="CCCCCC"/>
                        <w:bottom w:val="single" w:sz="6" w:space="8" w:color="CCCCCC"/>
                        <w:right w:val="single" w:sz="6" w:space="8" w:color="CCCCCC"/>
                      </w:divBdr>
                      <w:divsChild>
                        <w:div w:id="265620332">
                          <w:marLeft w:val="0"/>
                          <w:marRight w:val="0"/>
                          <w:marTop w:val="0"/>
                          <w:marBottom w:val="0"/>
                          <w:divBdr>
                            <w:top w:val="none" w:sz="0" w:space="0" w:color="auto"/>
                            <w:left w:val="none" w:sz="0" w:space="0" w:color="auto"/>
                            <w:bottom w:val="none" w:sz="0" w:space="0" w:color="auto"/>
                            <w:right w:val="none" w:sz="0" w:space="0" w:color="auto"/>
                          </w:divBdr>
                        </w:div>
                        <w:div w:id="1093165933">
                          <w:marLeft w:val="0"/>
                          <w:marRight w:val="0"/>
                          <w:marTop w:val="0"/>
                          <w:marBottom w:val="0"/>
                          <w:divBdr>
                            <w:top w:val="none" w:sz="0" w:space="0" w:color="auto"/>
                            <w:left w:val="none" w:sz="0" w:space="0" w:color="auto"/>
                            <w:bottom w:val="none" w:sz="0" w:space="0" w:color="auto"/>
                            <w:right w:val="none" w:sz="0" w:space="0" w:color="auto"/>
                          </w:divBdr>
                        </w:div>
                        <w:div w:id="4291911">
                          <w:marLeft w:val="0"/>
                          <w:marRight w:val="0"/>
                          <w:marTop w:val="0"/>
                          <w:marBottom w:val="0"/>
                          <w:divBdr>
                            <w:top w:val="none" w:sz="0" w:space="0" w:color="auto"/>
                            <w:left w:val="none" w:sz="0" w:space="0" w:color="auto"/>
                            <w:bottom w:val="none" w:sz="0" w:space="0" w:color="auto"/>
                            <w:right w:val="none" w:sz="0" w:space="0" w:color="auto"/>
                          </w:divBdr>
                        </w:div>
                        <w:div w:id="1261179991">
                          <w:marLeft w:val="0"/>
                          <w:marRight w:val="0"/>
                          <w:marTop w:val="0"/>
                          <w:marBottom w:val="0"/>
                          <w:divBdr>
                            <w:top w:val="none" w:sz="0" w:space="0" w:color="auto"/>
                            <w:left w:val="none" w:sz="0" w:space="0" w:color="auto"/>
                            <w:bottom w:val="none" w:sz="0" w:space="0" w:color="auto"/>
                            <w:right w:val="none" w:sz="0" w:space="0" w:color="auto"/>
                          </w:divBdr>
                        </w:div>
                        <w:div w:id="1738897480">
                          <w:marLeft w:val="0"/>
                          <w:marRight w:val="0"/>
                          <w:marTop w:val="0"/>
                          <w:marBottom w:val="0"/>
                          <w:divBdr>
                            <w:top w:val="none" w:sz="0" w:space="0" w:color="auto"/>
                            <w:left w:val="none" w:sz="0" w:space="0" w:color="auto"/>
                            <w:bottom w:val="none" w:sz="0" w:space="0" w:color="auto"/>
                            <w:right w:val="none" w:sz="0" w:space="0" w:color="auto"/>
                          </w:divBdr>
                        </w:div>
                        <w:div w:id="106394527">
                          <w:marLeft w:val="0"/>
                          <w:marRight w:val="0"/>
                          <w:marTop w:val="0"/>
                          <w:marBottom w:val="0"/>
                          <w:divBdr>
                            <w:top w:val="none" w:sz="0" w:space="0" w:color="auto"/>
                            <w:left w:val="none" w:sz="0" w:space="0" w:color="auto"/>
                            <w:bottom w:val="none" w:sz="0" w:space="0" w:color="auto"/>
                            <w:right w:val="none" w:sz="0" w:space="0" w:color="auto"/>
                          </w:divBdr>
                        </w:div>
                        <w:div w:id="1306736979">
                          <w:marLeft w:val="0"/>
                          <w:marRight w:val="0"/>
                          <w:marTop w:val="0"/>
                          <w:marBottom w:val="0"/>
                          <w:divBdr>
                            <w:top w:val="none" w:sz="0" w:space="0" w:color="auto"/>
                            <w:left w:val="none" w:sz="0" w:space="0" w:color="auto"/>
                            <w:bottom w:val="none" w:sz="0" w:space="0" w:color="auto"/>
                            <w:right w:val="none" w:sz="0" w:space="0" w:color="auto"/>
                          </w:divBdr>
                        </w:div>
                        <w:div w:id="724911389">
                          <w:marLeft w:val="0"/>
                          <w:marRight w:val="0"/>
                          <w:marTop w:val="0"/>
                          <w:marBottom w:val="0"/>
                          <w:divBdr>
                            <w:top w:val="none" w:sz="0" w:space="0" w:color="auto"/>
                            <w:left w:val="none" w:sz="0" w:space="0" w:color="auto"/>
                            <w:bottom w:val="none" w:sz="0" w:space="0" w:color="auto"/>
                            <w:right w:val="none" w:sz="0" w:space="0" w:color="auto"/>
                          </w:divBdr>
                        </w:div>
                        <w:div w:id="110128042">
                          <w:marLeft w:val="0"/>
                          <w:marRight w:val="0"/>
                          <w:marTop w:val="0"/>
                          <w:marBottom w:val="0"/>
                          <w:divBdr>
                            <w:top w:val="none" w:sz="0" w:space="0" w:color="auto"/>
                            <w:left w:val="none" w:sz="0" w:space="0" w:color="auto"/>
                            <w:bottom w:val="none" w:sz="0" w:space="0" w:color="auto"/>
                            <w:right w:val="none" w:sz="0" w:space="0" w:color="auto"/>
                          </w:divBdr>
                        </w:div>
                        <w:div w:id="2721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60757">
      <w:bodyDiv w:val="1"/>
      <w:marLeft w:val="0"/>
      <w:marRight w:val="0"/>
      <w:marTop w:val="0"/>
      <w:marBottom w:val="0"/>
      <w:divBdr>
        <w:top w:val="none" w:sz="0" w:space="0" w:color="auto"/>
        <w:left w:val="none" w:sz="0" w:space="0" w:color="auto"/>
        <w:bottom w:val="none" w:sz="0" w:space="0" w:color="auto"/>
        <w:right w:val="none" w:sz="0" w:space="0" w:color="auto"/>
      </w:divBdr>
    </w:div>
    <w:div w:id="1416171358">
      <w:bodyDiv w:val="1"/>
      <w:marLeft w:val="0"/>
      <w:marRight w:val="0"/>
      <w:marTop w:val="0"/>
      <w:marBottom w:val="0"/>
      <w:divBdr>
        <w:top w:val="none" w:sz="0" w:space="0" w:color="auto"/>
        <w:left w:val="none" w:sz="0" w:space="0" w:color="auto"/>
        <w:bottom w:val="none" w:sz="0" w:space="0" w:color="auto"/>
        <w:right w:val="none" w:sz="0" w:space="0" w:color="auto"/>
      </w:divBdr>
    </w:div>
    <w:div w:id="1416433782">
      <w:bodyDiv w:val="1"/>
      <w:marLeft w:val="0"/>
      <w:marRight w:val="0"/>
      <w:marTop w:val="0"/>
      <w:marBottom w:val="0"/>
      <w:divBdr>
        <w:top w:val="none" w:sz="0" w:space="0" w:color="auto"/>
        <w:left w:val="none" w:sz="0" w:space="0" w:color="auto"/>
        <w:bottom w:val="none" w:sz="0" w:space="0" w:color="auto"/>
        <w:right w:val="none" w:sz="0" w:space="0" w:color="auto"/>
      </w:divBdr>
      <w:divsChild>
        <w:div w:id="1773360770">
          <w:marLeft w:val="0"/>
          <w:marRight w:val="0"/>
          <w:marTop w:val="0"/>
          <w:marBottom w:val="0"/>
          <w:divBdr>
            <w:top w:val="none" w:sz="0" w:space="0" w:color="auto"/>
            <w:left w:val="none" w:sz="0" w:space="0" w:color="auto"/>
            <w:bottom w:val="none" w:sz="0" w:space="0" w:color="auto"/>
            <w:right w:val="none" w:sz="0" w:space="0" w:color="auto"/>
          </w:divBdr>
          <w:divsChild>
            <w:div w:id="1358391079">
              <w:marLeft w:val="0"/>
              <w:marRight w:val="0"/>
              <w:marTop w:val="0"/>
              <w:marBottom w:val="0"/>
              <w:divBdr>
                <w:top w:val="none" w:sz="0" w:space="0" w:color="auto"/>
                <w:left w:val="none" w:sz="0" w:space="0" w:color="auto"/>
                <w:bottom w:val="none" w:sz="0" w:space="0" w:color="auto"/>
                <w:right w:val="none" w:sz="0" w:space="0" w:color="auto"/>
              </w:divBdr>
              <w:divsChild>
                <w:div w:id="1492939406">
                  <w:marLeft w:val="0"/>
                  <w:marRight w:val="0"/>
                  <w:marTop w:val="0"/>
                  <w:marBottom w:val="0"/>
                  <w:divBdr>
                    <w:top w:val="none" w:sz="0" w:space="0" w:color="auto"/>
                    <w:left w:val="none" w:sz="0" w:space="0" w:color="auto"/>
                    <w:bottom w:val="none" w:sz="0" w:space="0" w:color="auto"/>
                    <w:right w:val="none" w:sz="0" w:space="0" w:color="auto"/>
                  </w:divBdr>
                  <w:divsChild>
                    <w:div w:id="1435898096">
                      <w:marLeft w:val="0"/>
                      <w:marRight w:val="0"/>
                      <w:marTop w:val="0"/>
                      <w:marBottom w:val="0"/>
                      <w:divBdr>
                        <w:top w:val="none" w:sz="0" w:space="0" w:color="auto"/>
                        <w:left w:val="none" w:sz="0" w:space="0" w:color="auto"/>
                        <w:bottom w:val="none" w:sz="0" w:space="0" w:color="auto"/>
                        <w:right w:val="none" w:sz="0" w:space="0" w:color="auto"/>
                      </w:divBdr>
                      <w:divsChild>
                        <w:div w:id="14124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706979">
      <w:bodyDiv w:val="1"/>
      <w:marLeft w:val="0"/>
      <w:marRight w:val="0"/>
      <w:marTop w:val="0"/>
      <w:marBottom w:val="0"/>
      <w:divBdr>
        <w:top w:val="none" w:sz="0" w:space="0" w:color="auto"/>
        <w:left w:val="none" w:sz="0" w:space="0" w:color="auto"/>
        <w:bottom w:val="none" w:sz="0" w:space="0" w:color="auto"/>
        <w:right w:val="none" w:sz="0" w:space="0" w:color="auto"/>
      </w:divBdr>
      <w:divsChild>
        <w:div w:id="759765052">
          <w:marLeft w:val="0"/>
          <w:marRight w:val="0"/>
          <w:marTop w:val="0"/>
          <w:marBottom w:val="0"/>
          <w:divBdr>
            <w:top w:val="none" w:sz="0" w:space="0" w:color="auto"/>
            <w:left w:val="none" w:sz="0" w:space="0" w:color="auto"/>
            <w:bottom w:val="none" w:sz="0" w:space="0" w:color="auto"/>
            <w:right w:val="none" w:sz="0" w:space="0" w:color="auto"/>
          </w:divBdr>
          <w:divsChild>
            <w:div w:id="1378814174">
              <w:marLeft w:val="0"/>
              <w:marRight w:val="0"/>
              <w:marTop w:val="0"/>
              <w:marBottom w:val="0"/>
              <w:divBdr>
                <w:top w:val="none" w:sz="0" w:space="0" w:color="auto"/>
                <w:left w:val="none" w:sz="0" w:space="0" w:color="auto"/>
                <w:bottom w:val="none" w:sz="0" w:space="0" w:color="auto"/>
                <w:right w:val="none" w:sz="0" w:space="0" w:color="auto"/>
              </w:divBdr>
              <w:divsChild>
                <w:div w:id="1554922112">
                  <w:marLeft w:val="0"/>
                  <w:marRight w:val="15"/>
                  <w:marTop w:val="0"/>
                  <w:marBottom w:val="0"/>
                  <w:divBdr>
                    <w:top w:val="none" w:sz="0" w:space="0" w:color="auto"/>
                    <w:left w:val="none" w:sz="0" w:space="0" w:color="auto"/>
                    <w:bottom w:val="none" w:sz="0" w:space="0" w:color="auto"/>
                    <w:right w:val="none" w:sz="0" w:space="0" w:color="auto"/>
                  </w:divBdr>
                  <w:divsChild>
                    <w:div w:id="15743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91505">
      <w:bodyDiv w:val="1"/>
      <w:marLeft w:val="0"/>
      <w:marRight w:val="0"/>
      <w:marTop w:val="0"/>
      <w:marBottom w:val="0"/>
      <w:divBdr>
        <w:top w:val="none" w:sz="0" w:space="0" w:color="auto"/>
        <w:left w:val="none" w:sz="0" w:space="0" w:color="auto"/>
        <w:bottom w:val="none" w:sz="0" w:space="0" w:color="auto"/>
        <w:right w:val="none" w:sz="0" w:space="0" w:color="auto"/>
      </w:divBdr>
      <w:divsChild>
        <w:div w:id="980232010">
          <w:marLeft w:val="0"/>
          <w:marRight w:val="0"/>
          <w:marTop w:val="0"/>
          <w:marBottom w:val="0"/>
          <w:divBdr>
            <w:top w:val="single" w:sz="2" w:space="0" w:color="AAAAAA"/>
            <w:left w:val="single" w:sz="6" w:space="8" w:color="AAAAAA"/>
            <w:bottom w:val="single" w:sz="2" w:space="0" w:color="AAAAAA"/>
            <w:right w:val="single" w:sz="6" w:space="8" w:color="AAAAAA"/>
          </w:divBdr>
          <w:divsChild>
            <w:div w:id="1902406351">
              <w:marLeft w:val="0"/>
              <w:marRight w:val="0"/>
              <w:marTop w:val="0"/>
              <w:marBottom w:val="0"/>
              <w:divBdr>
                <w:top w:val="none" w:sz="0" w:space="0" w:color="auto"/>
                <w:left w:val="none" w:sz="0" w:space="0" w:color="auto"/>
                <w:bottom w:val="none" w:sz="0" w:space="0" w:color="auto"/>
                <w:right w:val="none" w:sz="0" w:space="0" w:color="auto"/>
              </w:divBdr>
              <w:divsChild>
                <w:div w:id="2127776396">
                  <w:marLeft w:val="0"/>
                  <w:marRight w:val="0"/>
                  <w:marTop w:val="0"/>
                  <w:marBottom w:val="0"/>
                  <w:divBdr>
                    <w:top w:val="none" w:sz="0" w:space="0" w:color="auto"/>
                    <w:left w:val="none" w:sz="0" w:space="0" w:color="auto"/>
                    <w:bottom w:val="none" w:sz="0" w:space="0" w:color="auto"/>
                    <w:right w:val="none" w:sz="0" w:space="0" w:color="auto"/>
                  </w:divBdr>
                  <w:divsChild>
                    <w:div w:id="834689550">
                      <w:marLeft w:val="0"/>
                      <w:marRight w:val="2550"/>
                      <w:marTop w:val="0"/>
                      <w:marBottom w:val="48"/>
                      <w:divBdr>
                        <w:top w:val="none" w:sz="0" w:space="0" w:color="auto"/>
                        <w:left w:val="none" w:sz="0" w:space="0" w:color="auto"/>
                        <w:bottom w:val="none" w:sz="0" w:space="0" w:color="auto"/>
                        <w:right w:val="none" w:sz="0" w:space="0" w:color="auto"/>
                      </w:divBdr>
                      <w:divsChild>
                        <w:div w:id="84340193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7439203">
      <w:bodyDiv w:val="1"/>
      <w:marLeft w:val="0"/>
      <w:marRight w:val="0"/>
      <w:marTop w:val="0"/>
      <w:marBottom w:val="0"/>
      <w:divBdr>
        <w:top w:val="none" w:sz="0" w:space="0" w:color="auto"/>
        <w:left w:val="none" w:sz="0" w:space="0" w:color="auto"/>
        <w:bottom w:val="none" w:sz="0" w:space="0" w:color="auto"/>
        <w:right w:val="none" w:sz="0" w:space="0" w:color="auto"/>
      </w:divBdr>
      <w:divsChild>
        <w:div w:id="1464739090">
          <w:marLeft w:val="0"/>
          <w:marRight w:val="0"/>
          <w:marTop w:val="0"/>
          <w:marBottom w:val="0"/>
          <w:divBdr>
            <w:top w:val="none" w:sz="0" w:space="0" w:color="auto"/>
            <w:left w:val="none" w:sz="0" w:space="0" w:color="auto"/>
            <w:bottom w:val="none" w:sz="0" w:space="0" w:color="auto"/>
            <w:right w:val="none" w:sz="0" w:space="0" w:color="auto"/>
          </w:divBdr>
          <w:divsChild>
            <w:div w:id="535236074">
              <w:marLeft w:val="0"/>
              <w:marRight w:val="0"/>
              <w:marTop w:val="0"/>
              <w:marBottom w:val="0"/>
              <w:divBdr>
                <w:top w:val="none" w:sz="0" w:space="0" w:color="auto"/>
                <w:left w:val="none" w:sz="0" w:space="0" w:color="auto"/>
                <w:bottom w:val="none" w:sz="0" w:space="0" w:color="auto"/>
                <w:right w:val="none" w:sz="0" w:space="0" w:color="auto"/>
              </w:divBdr>
              <w:divsChild>
                <w:div w:id="2103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8897">
          <w:marLeft w:val="0"/>
          <w:marRight w:val="0"/>
          <w:marTop w:val="0"/>
          <w:marBottom w:val="0"/>
          <w:divBdr>
            <w:top w:val="none" w:sz="0" w:space="0" w:color="auto"/>
            <w:left w:val="none" w:sz="0" w:space="0" w:color="auto"/>
            <w:bottom w:val="none" w:sz="0" w:space="0" w:color="auto"/>
            <w:right w:val="none" w:sz="0" w:space="0" w:color="auto"/>
          </w:divBdr>
        </w:div>
      </w:divsChild>
    </w:div>
    <w:div w:id="1419055390">
      <w:bodyDiv w:val="1"/>
      <w:marLeft w:val="0"/>
      <w:marRight w:val="0"/>
      <w:marTop w:val="0"/>
      <w:marBottom w:val="0"/>
      <w:divBdr>
        <w:top w:val="none" w:sz="0" w:space="0" w:color="auto"/>
        <w:left w:val="none" w:sz="0" w:space="0" w:color="auto"/>
        <w:bottom w:val="none" w:sz="0" w:space="0" w:color="auto"/>
        <w:right w:val="none" w:sz="0" w:space="0" w:color="auto"/>
      </w:divBdr>
    </w:div>
    <w:div w:id="1419252857">
      <w:bodyDiv w:val="1"/>
      <w:marLeft w:val="0"/>
      <w:marRight w:val="0"/>
      <w:marTop w:val="0"/>
      <w:marBottom w:val="0"/>
      <w:divBdr>
        <w:top w:val="none" w:sz="0" w:space="0" w:color="auto"/>
        <w:left w:val="none" w:sz="0" w:space="0" w:color="auto"/>
        <w:bottom w:val="none" w:sz="0" w:space="0" w:color="auto"/>
        <w:right w:val="none" w:sz="0" w:space="0" w:color="auto"/>
      </w:divBdr>
    </w:div>
    <w:div w:id="1419903425">
      <w:bodyDiv w:val="1"/>
      <w:marLeft w:val="0"/>
      <w:marRight w:val="0"/>
      <w:marTop w:val="0"/>
      <w:marBottom w:val="0"/>
      <w:divBdr>
        <w:top w:val="none" w:sz="0" w:space="0" w:color="auto"/>
        <w:left w:val="none" w:sz="0" w:space="0" w:color="auto"/>
        <w:bottom w:val="none" w:sz="0" w:space="0" w:color="auto"/>
        <w:right w:val="none" w:sz="0" w:space="0" w:color="auto"/>
      </w:divBdr>
    </w:div>
    <w:div w:id="1420977753">
      <w:bodyDiv w:val="1"/>
      <w:marLeft w:val="0"/>
      <w:marRight w:val="0"/>
      <w:marTop w:val="0"/>
      <w:marBottom w:val="0"/>
      <w:divBdr>
        <w:top w:val="none" w:sz="0" w:space="0" w:color="auto"/>
        <w:left w:val="none" w:sz="0" w:space="0" w:color="auto"/>
        <w:bottom w:val="none" w:sz="0" w:space="0" w:color="auto"/>
        <w:right w:val="none" w:sz="0" w:space="0" w:color="auto"/>
      </w:divBdr>
      <w:divsChild>
        <w:div w:id="2106220853">
          <w:marLeft w:val="0"/>
          <w:marRight w:val="0"/>
          <w:marTop w:val="0"/>
          <w:marBottom w:val="0"/>
          <w:divBdr>
            <w:top w:val="none" w:sz="0" w:space="0" w:color="auto"/>
            <w:left w:val="none" w:sz="0" w:space="0" w:color="auto"/>
            <w:bottom w:val="none" w:sz="0" w:space="0" w:color="auto"/>
            <w:right w:val="none" w:sz="0" w:space="0" w:color="auto"/>
          </w:divBdr>
          <w:divsChild>
            <w:div w:id="19842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8109">
      <w:bodyDiv w:val="1"/>
      <w:marLeft w:val="0"/>
      <w:marRight w:val="0"/>
      <w:marTop w:val="0"/>
      <w:marBottom w:val="0"/>
      <w:divBdr>
        <w:top w:val="none" w:sz="0" w:space="0" w:color="auto"/>
        <w:left w:val="none" w:sz="0" w:space="0" w:color="auto"/>
        <w:bottom w:val="none" w:sz="0" w:space="0" w:color="auto"/>
        <w:right w:val="none" w:sz="0" w:space="0" w:color="auto"/>
      </w:divBdr>
      <w:divsChild>
        <w:div w:id="1047993345">
          <w:marLeft w:val="0"/>
          <w:marRight w:val="0"/>
          <w:marTop w:val="0"/>
          <w:marBottom w:val="0"/>
          <w:divBdr>
            <w:top w:val="none" w:sz="0" w:space="0" w:color="auto"/>
            <w:left w:val="none" w:sz="0" w:space="0" w:color="auto"/>
            <w:bottom w:val="none" w:sz="0" w:space="0" w:color="auto"/>
            <w:right w:val="none" w:sz="0" w:space="0" w:color="auto"/>
          </w:divBdr>
          <w:divsChild>
            <w:div w:id="114446420">
              <w:marLeft w:val="0"/>
              <w:marRight w:val="0"/>
              <w:marTop w:val="0"/>
              <w:marBottom w:val="0"/>
              <w:divBdr>
                <w:top w:val="none" w:sz="0" w:space="0" w:color="auto"/>
                <w:left w:val="none" w:sz="0" w:space="0" w:color="auto"/>
                <w:bottom w:val="none" w:sz="0" w:space="0" w:color="auto"/>
                <w:right w:val="none" w:sz="0" w:space="0" w:color="auto"/>
              </w:divBdr>
              <w:divsChild>
                <w:div w:id="390807436">
                  <w:marLeft w:val="-225"/>
                  <w:marRight w:val="-225"/>
                  <w:marTop w:val="0"/>
                  <w:marBottom w:val="0"/>
                  <w:divBdr>
                    <w:top w:val="none" w:sz="0" w:space="0" w:color="auto"/>
                    <w:left w:val="none" w:sz="0" w:space="0" w:color="auto"/>
                    <w:bottom w:val="none" w:sz="0" w:space="0" w:color="auto"/>
                    <w:right w:val="none" w:sz="0" w:space="0" w:color="auto"/>
                  </w:divBdr>
                  <w:divsChild>
                    <w:div w:id="1512331624">
                      <w:marLeft w:val="0"/>
                      <w:marRight w:val="0"/>
                      <w:marTop w:val="0"/>
                      <w:marBottom w:val="0"/>
                      <w:divBdr>
                        <w:top w:val="none" w:sz="0" w:space="0" w:color="auto"/>
                        <w:left w:val="none" w:sz="0" w:space="0" w:color="auto"/>
                        <w:bottom w:val="none" w:sz="0" w:space="0" w:color="auto"/>
                        <w:right w:val="none" w:sz="0" w:space="0" w:color="auto"/>
                      </w:divBdr>
                      <w:divsChild>
                        <w:div w:id="1507936206">
                          <w:marLeft w:val="0"/>
                          <w:marRight w:val="0"/>
                          <w:marTop w:val="300"/>
                          <w:marBottom w:val="0"/>
                          <w:divBdr>
                            <w:top w:val="none" w:sz="0" w:space="0" w:color="auto"/>
                            <w:left w:val="none" w:sz="0" w:space="0" w:color="auto"/>
                            <w:bottom w:val="none" w:sz="0" w:space="0" w:color="auto"/>
                            <w:right w:val="none" w:sz="0" w:space="0" w:color="auto"/>
                          </w:divBdr>
                          <w:divsChild>
                            <w:div w:id="1945383381">
                              <w:marLeft w:val="0"/>
                              <w:marRight w:val="0"/>
                              <w:marTop w:val="0"/>
                              <w:marBottom w:val="0"/>
                              <w:divBdr>
                                <w:top w:val="none" w:sz="0" w:space="0" w:color="auto"/>
                                <w:left w:val="none" w:sz="0" w:space="0" w:color="auto"/>
                                <w:bottom w:val="none" w:sz="0" w:space="0" w:color="auto"/>
                                <w:right w:val="none" w:sz="0" w:space="0" w:color="auto"/>
                              </w:divBdr>
                              <w:divsChild>
                                <w:div w:id="588852280">
                                  <w:marLeft w:val="0"/>
                                  <w:marRight w:val="0"/>
                                  <w:marTop w:val="0"/>
                                  <w:marBottom w:val="0"/>
                                  <w:divBdr>
                                    <w:top w:val="none" w:sz="0" w:space="0" w:color="auto"/>
                                    <w:left w:val="none" w:sz="0" w:space="0" w:color="auto"/>
                                    <w:bottom w:val="none" w:sz="0" w:space="0" w:color="auto"/>
                                    <w:right w:val="none" w:sz="0" w:space="0" w:color="auto"/>
                                  </w:divBdr>
                                  <w:divsChild>
                                    <w:div w:id="324940187">
                                      <w:marLeft w:val="0"/>
                                      <w:marRight w:val="0"/>
                                      <w:marTop w:val="0"/>
                                      <w:marBottom w:val="0"/>
                                      <w:divBdr>
                                        <w:top w:val="none" w:sz="0" w:space="0" w:color="auto"/>
                                        <w:left w:val="none" w:sz="0" w:space="0" w:color="auto"/>
                                        <w:bottom w:val="none" w:sz="0" w:space="0" w:color="auto"/>
                                        <w:right w:val="none" w:sz="0" w:space="0" w:color="auto"/>
                                      </w:divBdr>
                                      <w:divsChild>
                                        <w:div w:id="951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532509">
      <w:bodyDiv w:val="1"/>
      <w:marLeft w:val="0"/>
      <w:marRight w:val="0"/>
      <w:marTop w:val="0"/>
      <w:marBottom w:val="0"/>
      <w:divBdr>
        <w:top w:val="none" w:sz="0" w:space="0" w:color="auto"/>
        <w:left w:val="none" w:sz="0" w:space="0" w:color="auto"/>
        <w:bottom w:val="none" w:sz="0" w:space="0" w:color="auto"/>
        <w:right w:val="none" w:sz="0" w:space="0" w:color="auto"/>
      </w:divBdr>
      <w:divsChild>
        <w:div w:id="210725581">
          <w:marLeft w:val="0"/>
          <w:marRight w:val="0"/>
          <w:marTop w:val="0"/>
          <w:marBottom w:val="0"/>
          <w:divBdr>
            <w:top w:val="none" w:sz="0" w:space="0" w:color="auto"/>
            <w:left w:val="none" w:sz="0" w:space="0" w:color="auto"/>
            <w:bottom w:val="none" w:sz="0" w:space="0" w:color="auto"/>
            <w:right w:val="none" w:sz="0" w:space="0" w:color="auto"/>
          </w:divBdr>
          <w:divsChild>
            <w:div w:id="1719083201">
              <w:marLeft w:val="0"/>
              <w:marRight w:val="0"/>
              <w:marTop w:val="0"/>
              <w:marBottom w:val="0"/>
              <w:divBdr>
                <w:top w:val="none" w:sz="0" w:space="0" w:color="auto"/>
                <w:left w:val="none" w:sz="0" w:space="0" w:color="auto"/>
                <w:bottom w:val="none" w:sz="0" w:space="0" w:color="auto"/>
                <w:right w:val="none" w:sz="0" w:space="0" w:color="auto"/>
              </w:divBdr>
              <w:divsChild>
                <w:div w:id="1641764125">
                  <w:marLeft w:val="0"/>
                  <w:marRight w:val="0"/>
                  <w:marTop w:val="0"/>
                  <w:marBottom w:val="0"/>
                  <w:divBdr>
                    <w:top w:val="none" w:sz="0" w:space="0" w:color="auto"/>
                    <w:left w:val="none" w:sz="0" w:space="0" w:color="auto"/>
                    <w:bottom w:val="none" w:sz="0" w:space="0" w:color="auto"/>
                    <w:right w:val="none" w:sz="0" w:space="0" w:color="auto"/>
                  </w:divBdr>
                  <w:divsChild>
                    <w:div w:id="1015691814">
                      <w:marLeft w:val="0"/>
                      <w:marRight w:val="0"/>
                      <w:marTop w:val="0"/>
                      <w:marBottom w:val="0"/>
                      <w:divBdr>
                        <w:top w:val="none" w:sz="0" w:space="0" w:color="auto"/>
                        <w:left w:val="none" w:sz="0" w:space="0" w:color="auto"/>
                        <w:bottom w:val="none" w:sz="0" w:space="0" w:color="auto"/>
                        <w:right w:val="none" w:sz="0" w:space="0" w:color="auto"/>
                      </w:divBdr>
                      <w:divsChild>
                        <w:div w:id="1428192767">
                          <w:marLeft w:val="0"/>
                          <w:marRight w:val="0"/>
                          <w:marTop w:val="0"/>
                          <w:marBottom w:val="0"/>
                          <w:divBdr>
                            <w:top w:val="none" w:sz="0" w:space="0" w:color="auto"/>
                            <w:left w:val="none" w:sz="0" w:space="0" w:color="auto"/>
                            <w:bottom w:val="none" w:sz="0" w:space="0" w:color="auto"/>
                            <w:right w:val="none" w:sz="0" w:space="0" w:color="auto"/>
                          </w:divBdr>
                          <w:divsChild>
                            <w:div w:id="141973646">
                              <w:marLeft w:val="0"/>
                              <w:marRight w:val="0"/>
                              <w:marTop w:val="0"/>
                              <w:marBottom w:val="0"/>
                              <w:divBdr>
                                <w:top w:val="none" w:sz="0" w:space="0" w:color="auto"/>
                                <w:left w:val="none" w:sz="0" w:space="0" w:color="auto"/>
                                <w:bottom w:val="none" w:sz="0" w:space="0" w:color="auto"/>
                                <w:right w:val="none" w:sz="0" w:space="0" w:color="auto"/>
                              </w:divBdr>
                              <w:divsChild>
                                <w:div w:id="1867792402">
                                  <w:marLeft w:val="0"/>
                                  <w:marRight w:val="0"/>
                                  <w:marTop w:val="0"/>
                                  <w:marBottom w:val="0"/>
                                  <w:divBdr>
                                    <w:top w:val="none" w:sz="0" w:space="0" w:color="auto"/>
                                    <w:left w:val="none" w:sz="0" w:space="0" w:color="auto"/>
                                    <w:bottom w:val="none" w:sz="0" w:space="0" w:color="auto"/>
                                    <w:right w:val="none" w:sz="0" w:space="0" w:color="auto"/>
                                  </w:divBdr>
                                  <w:divsChild>
                                    <w:div w:id="809981037">
                                      <w:marLeft w:val="0"/>
                                      <w:marRight w:val="0"/>
                                      <w:marTop w:val="0"/>
                                      <w:marBottom w:val="0"/>
                                      <w:divBdr>
                                        <w:top w:val="none" w:sz="0" w:space="0" w:color="auto"/>
                                        <w:left w:val="none" w:sz="0" w:space="0" w:color="auto"/>
                                        <w:bottom w:val="none" w:sz="0" w:space="0" w:color="auto"/>
                                        <w:right w:val="none" w:sz="0" w:space="0" w:color="auto"/>
                                      </w:divBdr>
                                      <w:divsChild>
                                        <w:div w:id="1159885041">
                                          <w:marLeft w:val="0"/>
                                          <w:marRight w:val="0"/>
                                          <w:marTop w:val="0"/>
                                          <w:marBottom w:val="0"/>
                                          <w:divBdr>
                                            <w:top w:val="none" w:sz="0" w:space="0" w:color="auto"/>
                                            <w:left w:val="none" w:sz="0" w:space="0" w:color="auto"/>
                                            <w:bottom w:val="none" w:sz="0" w:space="0" w:color="auto"/>
                                            <w:right w:val="none" w:sz="0" w:space="0" w:color="auto"/>
                                          </w:divBdr>
                                        </w:div>
                                        <w:div w:id="848833343">
                                          <w:marLeft w:val="0"/>
                                          <w:marRight w:val="0"/>
                                          <w:marTop w:val="0"/>
                                          <w:marBottom w:val="0"/>
                                          <w:divBdr>
                                            <w:top w:val="none" w:sz="0" w:space="0" w:color="auto"/>
                                            <w:left w:val="none" w:sz="0" w:space="0" w:color="auto"/>
                                            <w:bottom w:val="none" w:sz="0" w:space="0" w:color="auto"/>
                                            <w:right w:val="none" w:sz="0" w:space="0" w:color="auto"/>
                                          </w:divBdr>
                                          <w:divsChild>
                                            <w:div w:id="4075356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256223">
      <w:bodyDiv w:val="1"/>
      <w:marLeft w:val="0"/>
      <w:marRight w:val="0"/>
      <w:marTop w:val="0"/>
      <w:marBottom w:val="0"/>
      <w:divBdr>
        <w:top w:val="none" w:sz="0" w:space="0" w:color="auto"/>
        <w:left w:val="none" w:sz="0" w:space="0" w:color="auto"/>
        <w:bottom w:val="none" w:sz="0" w:space="0" w:color="auto"/>
        <w:right w:val="none" w:sz="0" w:space="0" w:color="auto"/>
      </w:divBdr>
      <w:divsChild>
        <w:div w:id="75053519">
          <w:marLeft w:val="0"/>
          <w:marRight w:val="0"/>
          <w:marTop w:val="0"/>
          <w:marBottom w:val="0"/>
          <w:divBdr>
            <w:top w:val="none" w:sz="0" w:space="0" w:color="auto"/>
            <w:left w:val="none" w:sz="0" w:space="0" w:color="auto"/>
            <w:bottom w:val="none" w:sz="0" w:space="0" w:color="auto"/>
            <w:right w:val="none" w:sz="0" w:space="0" w:color="auto"/>
          </w:divBdr>
          <w:divsChild>
            <w:div w:id="421529007">
              <w:marLeft w:val="0"/>
              <w:marRight w:val="0"/>
              <w:marTop w:val="0"/>
              <w:marBottom w:val="0"/>
              <w:divBdr>
                <w:top w:val="none" w:sz="0" w:space="0" w:color="auto"/>
                <w:left w:val="none" w:sz="0" w:space="0" w:color="auto"/>
                <w:bottom w:val="none" w:sz="0" w:space="0" w:color="auto"/>
                <w:right w:val="none" w:sz="0" w:space="0" w:color="auto"/>
              </w:divBdr>
              <w:divsChild>
                <w:div w:id="1736582084">
                  <w:marLeft w:val="0"/>
                  <w:marRight w:val="0"/>
                  <w:marTop w:val="0"/>
                  <w:marBottom w:val="0"/>
                  <w:divBdr>
                    <w:top w:val="none" w:sz="0" w:space="0" w:color="auto"/>
                    <w:left w:val="none" w:sz="0" w:space="0" w:color="auto"/>
                    <w:bottom w:val="none" w:sz="0" w:space="0" w:color="auto"/>
                    <w:right w:val="none" w:sz="0" w:space="0" w:color="auto"/>
                  </w:divBdr>
                  <w:divsChild>
                    <w:div w:id="73749449">
                      <w:marLeft w:val="0"/>
                      <w:marRight w:val="0"/>
                      <w:marTop w:val="0"/>
                      <w:marBottom w:val="0"/>
                      <w:divBdr>
                        <w:top w:val="none" w:sz="0" w:space="0" w:color="auto"/>
                        <w:left w:val="none" w:sz="0" w:space="0" w:color="auto"/>
                        <w:bottom w:val="none" w:sz="0" w:space="0" w:color="auto"/>
                        <w:right w:val="none" w:sz="0" w:space="0" w:color="auto"/>
                      </w:divBdr>
                      <w:divsChild>
                        <w:div w:id="9666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919207">
      <w:bodyDiv w:val="1"/>
      <w:marLeft w:val="0"/>
      <w:marRight w:val="0"/>
      <w:marTop w:val="0"/>
      <w:marBottom w:val="0"/>
      <w:divBdr>
        <w:top w:val="none" w:sz="0" w:space="0" w:color="auto"/>
        <w:left w:val="none" w:sz="0" w:space="0" w:color="auto"/>
        <w:bottom w:val="none" w:sz="0" w:space="0" w:color="auto"/>
        <w:right w:val="none" w:sz="0" w:space="0" w:color="auto"/>
      </w:divBdr>
    </w:div>
    <w:div w:id="1426531903">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12290517">
              <w:marLeft w:val="0"/>
              <w:marRight w:val="0"/>
              <w:marTop w:val="0"/>
              <w:marBottom w:val="0"/>
              <w:divBdr>
                <w:top w:val="none" w:sz="0" w:space="0" w:color="auto"/>
                <w:left w:val="none" w:sz="0" w:space="0" w:color="auto"/>
                <w:bottom w:val="none" w:sz="0" w:space="0" w:color="auto"/>
                <w:right w:val="none" w:sz="0" w:space="0" w:color="auto"/>
              </w:divBdr>
              <w:divsChild>
                <w:div w:id="290140070">
                  <w:marLeft w:val="-180"/>
                  <w:marRight w:val="-180"/>
                  <w:marTop w:val="0"/>
                  <w:marBottom w:val="0"/>
                  <w:divBdr>
                    <w:top w:val="none" w:sz="0" w:space="0" w:color="auto"/>
                    <w:left w:val="none" w:sz="0" w:space="0" w:color="auto"/>
                    <w:bottom w:val="none" w:sz="0" w:space="0" w:color="auto"/>
                    <w:right w:val="none" w:sz="0" w:space="0" w:color="auto"/>
                  </w:divBdr>
                  <w:divsChild>
                    <w:div w:id="1200120122">
                      <w:marLeft w:val="0"/>
                      <w:marRight w:val="0"/>
                      <w:marTop w:val="0"/>
                      <w:marBottom w:val="0"/>
                      <w:divBdr>
                        <w:top w:val="none" w:sz="0" w:space="0" w:color="auto"/>
                        <w:left w:val="none" w:sz="0" w:space="0" w:color="auto"/>
                        <w:bottom w:val="none" w:sz="0" w:space="0" w:color="auto"/>
                        <w:right w:val="none" w:sz="0" w:space="0" w:color="auto"/>
                      </w:divBdr>
                      <w:divsChild>
                        <w:div w:id="1432702640">
                          <w:marLeft w:val="0"/>
                          <w:marRight w:val="0"/>
                          <w:marTop w:val="960"/>
                          <w:marBottom w:val="600"/>
                          <w:divBdr>
                            <w:top w:val="none" w:sz="0" w:space="0" w:color="auto"/>
                            <w:left w:val="none" w:sz="0" w:space="0" w:color="auto"/>
                            <w:bottom w:val="none" w:sz="0" w:space="0" w:color="auto"/>
                            <w:right w:val="none" w:sz="0" w:space="0" w:color="auto"/>
                          </w:divBdr>
                          <w:divsChild>
                            <w:div w:id="1937399117">
                              <w:marLeft w:val="0"/>
                              <w:marRight w:val="0"/>
                              <w:marTop w:val="0"/>
                              <w:marBottom w:val="0"/>
                              <w:divBdr>
                                <w:top w:val="none" w:sz="0" w:space="0" w:color="auto"/>
                                <w:left w:val="none" w:sz="0" w:space="0" w:color="auto"/>
                                <w:bottom w:val="none" w:sz="0" w:space="0" w:color="auto"/>
                                <w:right w:val="none" w:sz="0" w:space="0" w:color="auto"/>
                              </w:divBdr>
                            </w:div>
                            <w:div w:id="1673098420">
                              <w:marLeft w:val="0"/>
                              <w:marRight w:val="0"/>
                              <w:marTop w:val="0"/>
                              <w:marBottom w:val="0"/>
                              <w:divBdr>
                                <w:top w:val="none" w:sz="0" w:space="0" w:color="auto"/>
                                <w:left w:val="none" w:sz="0" w:space="0" w:color="auto"/>
                                <w:bottom w:val="none" w:sz="0" w:space="0" w:color="auto"/>
                                <w:right w:val="none" w:sz="0" w:space="0" w:color="auto"/>
                              </w:divBdr>
                              <w:divsChild>
                                <w:div w:id="1860004539">
                                  <w:marLeft w:val="0"/>
                                  <w:marRight w:val="0"/>
                                  <w:marTop w:val="0"/>
                                  <w:marBottom w:val="0"/>
                                  <w:divBdr>
                                    <w:top w:val="none" w:sz="0" w:space="0" w:color="auto"/>
                                    <w:left w:val="none" w:sz="0" w:space="0" w:color="auto"/>
                                    <w:bottom w:val="none" w:sz="0" w:space="0" w:color="auto"/>
                                    <w:right w:val="none" w:sz="0" w:space="0" w:color="auto"/>
                                  </w:divBdr>
                                </w:div>
                                <w:div w:id="491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458497">
      <w:bodyDiv w:val="1"/>
      <w:marLeft w:val="0"/>
      <w:marRight w:val="0"/>
      <w:marTop w:val="0"/>
      <w:marBottom w:val="0"/>
      <w:divBdr>
        <w:top w:val="none" w:sz="0" w:space="0" w:color="auto"/>
        <w:left w:val="none" w:sz="0" w:space="0" w:color="auto"/>
        <w:bottom w:val="none" w:sz="0" w:space="0" w:color="auto"/>
        <w:right w:val="none" w:sz="0" w:space="0" w:color="auto"/>
      </w:divBdr>
      <w:divsChild>
        <w:div w:id="155658669">
          <w:marLeft w:val="0"/>
          <w:marRight w:val="0"/>
          <w:marTop w:val="0"/>
          <w:marBottom w:val="0"/>
          <w:divBdr>
            <w:top w:val="single" w:sz="2" w:space="0" w:color="AAAAAA"/>
            <w:left w:val="single" w:sz="6" w:space="8" w:color="AAAAAA"/>
            <w:bottom w:val="single" w:sz="2" w:space="0" w:color="AAAAAA"/>
            <w:right w:val="single" w:sz="6" w:space="8" w:color="AAAAAA"/>
          </w:divBdr>
          <w:divsChild>
            <w:div w:id="1889681249">
              <w:marLeft w:val="0"/>
              <w:marRight w:val="0"/>
              <w:marTop w:val="0"/>
              <w:marBottom w:val="0"/>
              <w:divBdr>
                <w:top w:val="none" w:sz="0" w:space="0" w:color="auto"/>
                <w:left w:val="none" w:sz="0" w:space="0" w:color="auto"/>
                <w:bottom w:val="none" w:sz="0" w:space="0" w:color="auto"/>
                <w:right w:val="none" w:sz="0" w:space="0" w:color="auto"/>
              </w:divBdr>
              <w:divsChild>
                <w:div w:id="1204907375">
                  <w:marLeft w:val="0"/>
                  <w:marRight w:val="0"/>
                  <w:marTop w:val="0"/>
                  <w:marBottom w:val="0"/>
                  <w:divBdr>
                    <w:top w:val="none" w:sz="0" w:space="0" w:color="auto"/>
                    <w:left w:val="none" w:sz="0" w:space="0" w:color="auto"/>
                    <w:bottom w:val="none" w:sz="0" w:space="0" w:color="auto"/>
                    <w:right w:val="none" w:sz="0" w:space="0" w:color="auto"/>
                  </w:divBdr>
                  <w:divsChild>
                    <w:div w:id="563376351">
                      <w:marLeft w:val="0"/>
                      <w:marRight w:val="2550"/>
                      <w:marTop w:val="0"/>
                      <w:marBottom w:val="48"/>
                      <w:divBdr>
                        <w:top w:val="none" w:sz="0" w:space="0" w:color="auto"/>
                        <w:left w:val="none" w:sz="0" w:space="0" w:color="auto"/>
                        <w:bottom w:val="none" w:sz="0" w:space="0" w:color="auto"/>
                        <w:right w:val="none" w:sz="0" w:space="0" w:color="auto"/>
                      </w:divBdr>
                      <w:divsChild>
                        <w:div w:id="123007336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27654983">
      <w:bodyDiv w:val="1"/>
      <w:marLeft w:val="0"/>
      <w:marRight w:val="0"/>
      <w:marTop w:val="0"/>
      <w:marBottom w:val="0"/>
      <w:divBdr>
        <w:top w:val="none" w:sz="0" w:space="0" w:color="auto"/>
        <w:left w:val="none" w:sz="0" w:space="0" w:color="auto"/>
        <w:bottom w:val="none" w:sz="0" w:space="0" w:color="auto"/>
        <w:right w:val="none" w:sz="0" w:space="0" w:color="auto"/>
      </w:divBdr>
      <w:divsChild>
        <w:div w:id="1608923212">
          <w:marLeft w:val="0"/>
          <w:marRight w:val="0"/>
          <w:marTop w:val="0"/>
          <w:marBottom w:val="0"/>
          <w:divBdr>
            <w:top w:val="single" w:sz="4" w:space="0" w:color="0E477A"/>
            <w:left w:val="single" w:sz="4" w:space="0" w:color="0E477A"/>
            <w:bottom w:val="single" w:sz="4" w:space="0" w:color="0E477A"/>
            <w:right w:val="single" w:sz="4" w:space="0" w:color="0E477A"/>
          </w:divBdr>
          <w:divsChild>
            <w:div w:id="1650984649">
              <w:marLeft w:val="0"/>
              <w:marRight w:val="0"/>
              <w:marTop w:val="0"/>
              <w:marBottom w:val="0"/>
              <w:divBdr>
                <w:top w:val="none" w:sz="0" w:space="0" w:color="auto"/>
                <w:left w:val="none" w:sz="0" w:space="0" w:color="auto"/>
                <w:bottom w:val="none" w:sz="0" w:space="0" w:color="auto"/>
                <w:right w:val="none" w:sz="0" w:space="0" w:color="auto"/>
              </w:divBdr>
              <w:divsChild>
                <w:div w:id="1153137528">
                  <w:marLeft w:val="0"/>
                  <w:marRight w:val="0"/>
                  <w:marTop w:val="0"/>
                  <w:marBottom w:val="0"/>
                  <w:divBdr>
                    <w:top w:val="none" w:sz="0" w:space="0" w:color="auto"/>
                    <w:left w:val="none" w:sz="0" w:space="0" w:color="auto"/>
                    <w:bottom w:val="none" w:sz="0" w:space="0" w:color="auto"/>
                    <w:right w:val="none" w:sz="0" w:space="0" w:color="auto"/>
                  </w:divBdr>
                  <w:divsChild>
                    <w:div w:id="81293505">
                      <w:marLeft w:val="0"/>
                      <w:marRight w:val="0"/>
                      <w:marTop w:val="0"/>
                      <w:marBottom w:val="0"/>
                      <w:divBdr>
                        <w:top w:val="none" w:sz="0" w:space="0" w:color="auto"/>
                        <w:left w:val="none" w:sz="0" w:space="0" w:color="auto"/>
                        <w:bottom w:val="none" w:sz="0" w:space="0" w:color="auto"/>
                        <w:right w:val="none" w:sz="0" w:space="0" w:color="auto"/>
                      </w:divBdr>
                      <w:divsChild>
                        <w:div w:id="1356082469">
                          <w:marLeft w:val="0"/>
                          <w:marRight w:val="0"/>
                          <w:marTop w:val="0"/>
                          <w:marBottom w:val="0"/>
                          <w:divBdr>
                            <w:top w:val="none" w:sz="0" w:space="0" w:color="auto"/>
                            <w:left w:val="none" w:sz="0" w:space="0" w:color="auto"/>
                            <w:bottom w:val="none" w:sz="0" w:space="0" w:color="auto"/>
                            <w:right w:val="none" w:sz="0" w:space="0" w:color="auto"/>
                          </w:divBdr>
                          <w:divsChild>
                            <w:div w:id="702096705">
                              <w:marLeft w:val="0"/>
                              <w:marRight w:val="0"/>
                              <w:marTop w:val="0"/>
                              <w:marBottom w:val="0"/>
                              <w:divBdr>
                                <w:top w:val="none" w:sz="0" w:space="0" w:color="auto"/>
                                <w:left w:val="none" w:sz="0" w:space="0" w:color="auto"/>
                                <w:bottom w:val="none" w:sz="0" w:space="0" w:color="auto"/>
                                <w:right w:val="none" w:sz="0" w:space="0" w:color="auto"/>
                              </w:divBdr>
                              <w:divsChild>
                                <w:div w:id="6295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187643">
      <w:bodyDiv w:val="1"/>
      <w:marLeft w:val="0"/>
      <w:marRight w:val="0"/>
      <w:marTop w:val="0"/>
      <w:marBottom w:val="0"/>
      <w:divBdr>
        <w:top w:val="none" w:sz="0" w:space="0" w:color="auto"/>
        <w:left w:val="none" w:sz="0" w:space="0" w:color="auto"/>
        <w:bottom w:val="none" w:sz="0" w:space="0" w:color="auto"/>
        <w:right w:val="none" w:sz="0" w:space="0" w:color="auto"/>
      </w:divBdr>
      <w:divsChild>
        <w:div w:id="1000157416">
          <w:marLeft w:val="0"/>
          <w:marRight w:val="0"/>
          <w:marTop w:val="0"/>
          <w:marBottom w:val="0"/>
          <w:divBdr>
            <w:top w:val="none" w:sz="0" w:space="0" w:color="auto"/>
            <w:left w:val="none" w:sz="0" w:space="0" w:color="auto"/>
            <w:bottom w:val="none" w:sz="0" w:space="0" w:color="auto"/>
            <w:right w:val="none" w:sz="0" w:space="0" w:color="auto"/>
          </w:divBdr>
          <w:divsChild>
            <w:div w:id="429352098">
              <w:marLeft w:val="0"/>
              <w:marRight w:val="0"/>
              <w:marTop w:val="0"/>
              <w:marBottom w:val="0"/>
              <w:divBdr>
                <w:top w:val="none" w:sz="0" w:space="0" w:color="auto"/>
                <w:left w:val="none" w:sz="0" w:space="0" w:color="auto"/>
                <w:bottom w:val="none" w:sz="0" w:space="0" w:color="auto"/>
                <w:right w:val="none" w:sz="0" w:space="0" w:color="auto"/>
              </w:divBdr>
              <w:divsChild>
                <w:div w:id="1372539916">
                  <w:marLeft w:val="0"/>
                  <w:marRight w:val="0"/>
                  <w:marTop w:val="0"/>
                  <w:marBottom w:val="0"/>
                  <w:divBdr>
                    <w:top w:val="none" w:sz="0" w:space="0" w:color="auto"/>
                    <w:left w:val="none" w:sz="0" w:space="0" w:color="auto"/>
                    <w:bottom w:val="none" w:sz="0" w:space="0" w:color="auto"/>
                    <w:right w:val="none" w:sz="0" w:space="0" w:color="auto"/>
                  </w:divBdr>
                  <w:divsChild>
                    <w:div w:id="741414212">
                      <w:marLeft w:val="0"/>
                      <w:marRight w:val="0"/>
                      <w:marTop w:val="0"/>
                      <w:marBottom w:val="0"/>
                      <w:divBdr>
                        <w:top w:val="none" w:sz="0" w:space="0" w:color="auto"/>
                        <w:left w:val="none" w:sz="0" w:space="0" w:color="auto"/>
                        <w:bottom w:val="none" w:sz="0" w:space="0" w:color="auto"/>
                        <w:right w:val="none" w:sz="0" w:space="0" w:color="auto"/>
                      </w:divBdr>
                      <w:divsChild>
                        <w:div w:id="9264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934758">
      <w:bodyDiv w:val="1"/>
      <w:marLeft w:val="0"/>
      <w:marRight w:val="0"/>
      <w:marTop w:val="0"/>
      <w:marBottom w:val="0"/>
      <w:divBdr>
        <w:top w:val="none" w:sz="0" w:space="0" w:color="auto"/>
        <w:left w:val="none" w:sz="0" w:space="0" w:color="auto"/>
        <w:bottom w:val="none" w:sz="0" w:space="0" w:color="auto"/>
        <w:right w:val="none" w:sz="0" w:space="0" w:color="auto"/>
      </w:divBdr>
    </w:div>
    <w:div w:id="1430003718">
      <w:bodyDiv w:val="1"/>
      <w:marLeft w:val="0"/>
      <w:marRight w:val="0"/>
      <w:marTop w:val="0"/>
      <w:marBottom w:val="0"/>
      <w:divBdr>
        <w:top w:val="none" w:sz="0" w:space="0" w:color="auto"/>
        <w:left w:val="none" w:sz="0" w:space="0" w:color="auto"/>
        <w:bottom w:val="none" w:sz="0" w:space="0" w:color="auto"/>
        <w:right w:val="none" w:sz="0" w:space="0" w:color="auto"/>
      </w:divBdr>
      <w:divsChild>
        <w:div w:id="5233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1537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16">
          <w:marLeft w:val="0"/>
          <w:marRight w:val="0"/>
          <w:marTop w:val="0"/>
          <w:marBottom w:val="0"/>
          <w:divBdr>
            <w:top w:val="none" w:sz="0" w:space="0" w:color="auto"/>
            <w:left w:val="none" w:sz="0" w:space="0" w:color="auto"/>
            <w:bottom w:val="none" w:sz="0" w:space="0" w:color="auto"/>
            <w:right w:val="none" w:sz="0" w:space="0" w:color="auto"/>
          </w:divBdr>
          <w:divsChild>
            <w:div w:id="1309479310">
              <w:marLeft w:val="210"/>
              <w:marRight w:val="0"/>
              <w:marTop w:val="0"/>
              <w:marBottom w:val="0"/>
              <w:divBdr>
                <w:top w:val="none" w:sz="0" w:space="0" w:color="auto"/>
                <w:left w:val="none" w:sz="0" w:space="0" w:color="auto"/>
                <w:bottom w:val="none" w:sz="0" w:space="0" w:color="auto"/>
                <w:right w:val="none" w:sz="0" w:space="0" w:color="auto"/>
              </w:divBdr>
              <w:divsChild>
                <w:div w:id="16464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13919">
      <w:bodyDiv w:val="1"/>
      <w:marLeft w:val="0"/>
      <w:marRight w:val="0"/>
      <w:marTop w:val="0"/>
      <w:marBottom w:val="0"/>
      <w:divBdr>
        <w:top w:val="none" w:sz="0" w:space="0" w:color="auto"/>
        <w:left w:val="none" w:sz="0" w:space="0" w:color="auto"/>
        <w:bottom w:val="none" w:sz="0" w:space="0" w:color="auto"/>
        <w:right w:val="none" w:sz="0" w:space="0" w:color="auto"/>
      </w:divBdr>
      <w:divsChild>
        <w:div w:id="337345591">
          <w:marLeft w:val="0"/>
          <w:marRight w:val="0"/>
          <w:marTop w:val="0"/>
          <w:marBottom w:val="900"/>
          <w:divBdr>
            <w:top w:val="none" w:sz="0" w:space="0" w:color="auto"/>
            <w:left w:val="none" w:sz="0" w:space="0" w:color="auto"/>
            <w:bottom w:val="none" w:sz="0" w:space="0" w:color="auto"/>
            <w:right w:val="none" w:sz="0" w:space="0" w:color="auto"/>
          </w:divBdr>
          <w:divsChild>
            <w:div w:id="640963053">
              <w:marLeft w:val="0"/>
              <w:marRight w:val="0"/>
              <w:marTop w:val="0"/>
              <w:marBottom w:val="0"/>
              <w:divBdr>
                <w:top w:val="none" w:sz="0" w:space="0" w:color="auto"/>
                <w:left w:val="none" w:sz="0" w:space="0" w:color="auto"/>
                <w:bottom w:val="none" w:sz="0" w:space="0" w:color="auto"/>
                <w:right w:val="none" w:sz="0" w:space="0" w:color="auto"/>
              </w:divBdr>
            </w:div>
            <w:div w:id="967322431">
              <w:marLeft w:val="0"/>
              <w:marRight w:val="0"/>
              <w:marTop w:val="0"/>
              <w:marBottom w:val="0"/>
              <w:divBdr>
                <w:top w:val="none" w:sz="0" w:space="0" w:color="auto"/>
                <w:left w:val="none" w:sz="0" w:space="0" w:color="auto"/>
                <w:bottom w:val="none" w:sz="0" w:space="0" w:color="auto"/>
                <w:right w:val="none" w:sz="0" w:space="0" w:color="auto"/>
              </w:divBdr>
              <w:divsChild>
                <w:div w:id="286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818">
          <w:marLeft w:val="0"/>
          <w:marRight w:val="0"/>
          <w:marTop w:val="0"/>
          <w:marBottom w:val="0"/>
          <w:divBdr>
            <w:top w:val="none" w:sz="0" w:space="0" w:color="auto"/>
            <w:left w:val="none" w:sz="0" w:space="0" w:color="auto"/>
            <w:bottom w:val="none" w:sz="0" w:space="0" w:color="auto"/>
            <w:right w:val="none" w:sz="0" w:space="0" w:color="auto"/>
          </w:divBdr>
        </w:div>
      </w:divsChild>
    </w:div>
    <w:div w:id="1431006645">
      <w:bodyDiv w:val="1"/>
      <w:marLeft w:val="0"/>
      <w:marRight w:val="0"/>
      <w:marTop w:val="0"/>
      <w:marBottom w:val="0"/>
      <w:divBdr>
        <w:top w:val="none" w:sz="0" w:space="0" w:color="auto"/>
        <w:left w:val="none" w:sz="0" w:space="0" w:color="auto"/>
        <w:bottom w:val="none" w:sz="0" w:space="0" w:color="auto"/>
        <w:right w:val="none" w:sz="0" w:space="0" w:color="auto"/>
      </w:divBdr>
      <w:divsChild>
        <w:div w:id="182404246">
          <w:marLeft w:val="0"/>
          <w:marRight w:val="0"/>
          <w:marTop w:val="0"/>
          <w:marBottom w:val="0"/>
          <w:divBdr>
            <w:top w:val="none" w:sz="0" w:space="0" w:color="auto"/>
            <w:left w:val="none" w:sz="0" w:space="0" w:color="auto"/>
            <w:bottom w:val="none" w:sz="0" w:space="0" w:color="auto"/>
            <w:right w:val="none" w:sz="0" w:space="0" w:color="auto"/>
          </w:divBdr>
          <w:divsChild>
            <w:div w:id="460655180">
              <w:marLeft w:val="0"/>
              <w:marRight w:val="0"/>
              <w:marTop w:val="0"/>
              <w:marBottom w:val="0"/>
              <w:divBdr>
                <w:top w:val="none" w:sz="0" w:space="0" w:color="auto"/>
                <w:left w:val="none" w:sz="0" w:space="0" w:color="auto"/>
                <w:bottom w:val="none" w:sz="0" w:space="0" w:color="auto"/>
                <w:right w:val="none" w:sz="0" w:space="0" w:color="auto"/>
              </w:divBdr>
              <w:divsChild>
                <w:div w:id="863441358">
                  <w:marLeft w:val="0"/>
                  <w:marRight w:val="0"/>
                  <w:marTop w:val="0"/>
                  <w:marBottom w:val="0"/>
                  <w:divBdr>
                    <w:top w:val="none" w:sz="0" w:space="0" w:color="auto"/>
                    <w:left w:val="none" w:sz="0" w:space="0" w:color="auto"/>
                    <w:bottom w:val="none" w:sz="0" w:space="0" w:color="auto"/>
                    <w:right w:val="none" w:sz="0" w:space="0" w:color="auto"/>
                  </w:divBdr>
                  <w:divsChild>
                    <w:div w:id="564100413">
                      <w:marLeft w:val="0"/>
                      <w:marRight w:val="0"/>
                      <w:marTop w:val="0"/>
                      <w:marBottom w:val="0"/>
                      <w:divBdr>
                        <w:top w:val="none" w:sz="0" w:space="0" w:color="auto"/>
                        <w:left w:val="none" w:sz="0" w:space="0" w:color="auto"/>
                        <w:bottom w:val="none" w:sz="0" w:space="0" w:color="auto"/>
                        <w:right w:val="none" w:sz="0" w:space="0" w:color="auto"/>
                      </w:divBdr>
                      <w:divsChild>
                        <w:div w:id="899289987">
                          <w:marLeft w:val="0"/>
                          <w:marRight w:val="0"/>
                          <w:marTop w:val="0"/>
                          <w:marBottom w:val="0"/>
                          <w:divBdr>
                            <w:top w:val="none" w:sz="0" w:space="0" w:color="auto"/>
                            <w:left w:val="none" w:sz="0" w:space="0" w:color="auto"/>
                            <w:bottom w:val="none" w:sz="0" w:space="0" w:color="auto"/>
                            <w:right w:val="none" w:sz="0" w:space="0" w:color="auto"/>
                          </w:divBdr>
                          <w:divsChild>
                            <w:div w:id="1875606421">
                              <w:marLeft w:val="0"/>
                              <w:marRight w:val="0"/>
                              <w:marTop w:val="0"/>
                              <w:marBottom w:val="0"/>
                              <w:divBdr>
                                <w:top w:val="none" w:sz="0" w:space="0" w:color="auto"/>
                                <w:left w:val="none" w:sz="0" w:space="0" w:color="auto"/>
                                <w:bottom w:val="none" w:sz="0" w:space="0" w:color="auto"/>
                                <w:right w:val="none" w:sz="0" w:space="0" w:color="auto"/>
                              </w:divBdr>
                              <w:divsChild>
                                <w:div w:id="1592591974">
                                  <w:marLeft w:val="0"/>
                                  <w:marRight w:val="0"/>
                                  <w:marTop w:val="0"/>
                                  <w:marBottom w:val="0"/>
                                  <w:divBdr>
                                    <w:top w:val="none" w:sz="0" w:space="0" w:color="auto"/>
                                    <w:left w:val="none" w:sz="0" w:space="0" w:color="auto"/>
                                    <w:bottom w:val="none" w:sz="0" w:space="0" w:color="auto"/>
                                    <w:right w:val="none" w:sz="0" w:space="0" w:color="auto"/>
                                  </w:divBdr>
                                  <w:divsChild>
                                    <w:div w:id="1673677328">
                                      <w:marLeft w:val="0"/>
                                      <w:marRight w:val="0"/>
                                      <w:marTop w:val="0"/>
                                      <w:marBottom w:val="0"/>
                                      <w:divBdr>
                                        <w:top w:val="none" w:sz="0" w:space="0" w:color="auto"/>
                                        <w:left w:val="none" w:sz="0" w:space="0" w:color="auto"/>
                                        <w:bottom w:val="none" w:sz="0" w:space="0" w:color="auto"/>
                                        <w:right w:val="none" w:sz="0" w:space="0" w:color="auto"/>
                                      </w:divBdr>
                                      <w:divsChild>
                                        <w:div w:id="8721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164765">
      <w:bodyDiv w:val="1"/>
      <w:marLeft w:val="0"/>
      <w:marRight w:val="0"/>
      <w:marTop w:val="0"/>
      <w:marBottom w:val="0"/>
      <w:divBdr>
        <w:top w:val="none" w:sz="0" w:space="0" w:color="auto"/>
        <w:left w:val="none" w:sz="0" w:space="0" w:color="auto"/>
        <w:bottom w:val="none" w:sz="0" w:space="0" w:color="auto"/>
        <w:right w:val="none" w:sz="0" w:space="0" w:color="auto"/>
      </w:divBdr>
      <w:divsChild>
        <w:div w:id="1227180583">
          <w:marLeft w:val="0"/>
          <w:marRight w:val="0"/>
          <w:marTop w:val="0"/>
          <w:marBottom w:val="0"/>
          <w:divBdr>
            <w:top w:val="none" w:sz="0" w:space="0" w:color="auto"/>
            <w:left w:val="none" w:sz="0" w:space="0" w:color="auto"/>
            <w:bottom w:val="none" w:sz="0" w:space="0" w:color="auto"/>
            <w:right w:val="none" w:sz="0" w:space="0" w:color="auto"/>
          </w:divBdr>
          <w:divsChild>
            <w:div w:id="264459352">
              <w:marLeft w:val="0"/>
              <w:marRight w:val="0"/>
              <w:marTop w:val="0"/>
              <w:marBottom w:val="0"/>
              <w:divBdr>
                <w:top w:val="none" w:sz="0" w:space="0" w:color="auto"/>
                <w:left w:val="none" w:sz="0" w:space="0" w:color="auto"/>
                <w:bottom w:val="none" w:sz="0" w:space="0" w:color="auto"/>
                <w:right w:val="none" w:sz="0" w:space="0" w:color="auto"/>
              </w:divBdr>
              <w:divsChild>
                <w:div w:id="1783108546">
                  <w:marLeft w:val="0"/>
                  <w:marRight w:val="0"/>
                  <w:marTop w:val="0"/>
                  <w:marBottom w:val="0"/>
                  <w:divBdr>
                    <w:top w:val="none" w:sz="0" w:space="0" w:color="auto"/>
                    <w:left w:val="none" w:sz="0" w:space="0" w:color="auto"/>
                    <w:bottom w:val="none" w:sz="0" w:space="0" w:color="auto"/>
                    <w:right w:val="none" w:sz="0" w:space="0" w:color="auto"/>
                  </w:divBdr>
                  <w:divsChild>
                    <w:div w:id="1577283544">
                      <w:marLeft w:val="0"/>
                      <w:marRight w:val="0"/>
                      <w:marTop w:val="0"/>
                      <w:marBottom w:val="0"/>
                      <w:divBdr>
                        <w:top w:val="none" w:sz="0" w:space="0" w:color="auto"/>
                        <w:left w:val="none" w:sz="0" w:space="0" w:color="auto"/>
                        <w:bottom w:val="none" w:sz="0" w:space="0" w:color="auto"/>
                        <w:right w:val="none" w:sz="0" w:space="0" w:color="auto"/>
                      </w:divBdr>
                      <w:divsChild>
                        <w:div w:id="770667334">
                          <w:marLeft w:val="0"/>
                          <w:marRight w:val="0"/>
                          <w:marTop w:val="0"/>
                          <w:marBottom w:val="0"/>
                          <w:divBdr>
                            <w:top w:val="none" w:sz="0" w:space="0" w:color="auto"/>
                            <w:left w:val="none" w:sz="0" w:space="0" w:color="auto"/>
                            <w:bottom w:val="none" w:sz="0" w:space="0" w:color="auto"/>
                            <w:right w:val="none" w:sz="0" w:space="0" w:color="auto"/>
                          </w:divBdr>
                          <w:divsChild>
                            <w:div w:id="1022973996">
                              <w:marLeft w:val="0"/>
                              <w:marRight w:val="0"/>
                              <w:marTop w:val="0"/>
                              <w:marBottom w:val="0"/>
                              <w:divBdr>
                                <w:top w:val="none" w:sz="0" w:space="0" w:color="auto"/>
                                <w:left w:val="none" w:sz="0" w:space="0" w:color="auto"/>
                                <w:bottom w:val="none" w:sz="0" w:space="0" w:color="auto"/>
                                <w:right w:val="none" w:sz="0" w:space="0" w:color="auto"/>
                              </w:divBdr>
                              <w:divsChild>
                                <w:div w:id="867990932">
                                  <w:marLeft w:val="0"/>
                                  <w:marRight w:val="0"/>
                                  <w:marTop w:val="0"/>
                                  <w:marBottom w:val="0"/>
                                  <w:divBdr>
                                    <w:top w:val="none" w:sz="0" w:space="0" w:color="auto"/>
                                    <w:left w:val="none" w:sz="0" w:space="0" w:color="auto"/>
                                    <w:bottom w:val="none" w:sz="0" w:space="0" w:color="auto"/>
                                    <w:right w:val="none" w:sz="0" w:space="0" w:color="auto"/>
                                  </w:divBdr>
                                  <w:divsChild>
                                    <w:div w:id="1140270437">
                                      <w:marLeft w:val="0"/>
                                      <w:marRight w:val="0"/>
                                      <w:marTop w:val="0"/>
                                      <w:marBottom w:val="0"/>
                                      <w:divBdr>
                                        <w:top w:val="none" w:sz="0" w:space="0" w:color="auto"/>
                                        <w:left w:val="none" w:sz="0" w:space="0" w:color="auto"/>
                                        <w:bottom w:val="none" w:sz="0" w:space="0" w:color="auto"/>
                                        <w:right w:val="none" w:sz="0" w:space="0" w:color="auto"/>
                                      </w:divBdr>
                                      <w:divsChild>
                                        <w:div w:id="183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052969">
      <w:bodyDiv w:val="1"/>
      <w:marLeft w:val="0"/>
      <w:marRight w:val="0"/>
      <w:marTop w:val="0"/>
      <w:marBottom w:val="0"/>
      <w:divBdr>
        <w:top w:val="none" w:sz="0" w:space="0" w:color="auto"/>
        <w:left w:val="none" w:sz="0" w:space="0" w:color="auto"/>
        <w:bottom w:val="none" w:sz="0" w:space="0" w:color="auto"/>
        <w:right w:val="none" w:sz="0" w:space="0" w:color="auto"/>
      </w:divBdr>
      <w:divsChild>
        <w:div w:id="1088623249">
          <w:marLeft w:val="0"/>
          <w:marRight w:val="0"/>
          <w:marTop w:val="0"/>
          <w:marBottom w:val="0"/>
          <w:divBdr>
            <w:top w:val="single" w:sz="6" w:space="0" w:color="0E477A"/>
            <w:left w:val="single" w:sz="6" w:space="0" w:color="0E477A"/>
            <w:bottom w:val="single" w:sz="6" w:space="0" w:color="0E477A"/>
            <w:right w:val="single" w:sz="6" w:space="0" w:color="0E477A"/>
          </w:divBdr>
          <w:divsChild>
            <w:div w:id="743572805">
              <w:marLeft w:val="2925"/>
              <w:marRight w:val="0"/>
              <w:marTop w:val="0"/>
              <w:marBottom w:val="0"/>
              <w:divBdr>
                <w:top w:val="none" w:sz="0" w:space="0" w:color="auto"/>
                <w:left w:val="none" w:sz="0" w:space="0" w:color="auto"/>
                <w:bottom w:val="none" w:sz="0" w:space="0" w:color="auto"/>
                <w:right w:val="none" w:sz="0" w:space="0" w:color="auto"/>
              </w:divBdr>
              <w:divsChild>
                <w:div w:id="1182545264">
                  <w:marLeft w:val="0"/>
                  <w:marRight w:val="0"/>
                  <w:marTop w:val="0"/>
                  <w:marBottom w:val="0"/>
                  <w:divBdr>
                    <w:top w:val="none" w:sz="0" w:space="0" w:color="auto"/>
                    <w:left w:val="none" w:sz="0" w:space="0" w:color="auto"/>
                    <w:bottom w:val="none" w:sz="0" w:space="0" w:color="auto"/>
                    <w:right w:val="none" w:sz="0" w:space="0" w:color="auto"/>
                  </w:divBdr>
                  <w:divsChild>
                    <w:div w:id="356857538">
                      <w:marLeft w:val="0"/>
                      <w:marRight w:val="150"/>
                      <w:marTop w:val="0"/>
                      <w:marBottom w:val="0"/>
                      <w:divBdr>
                        <w:top w:val="single" w:sz="6" w:space="0" w:color="CCCCCC"/>
                        <w:left w:val="single" w:sz="6" w:space="8" w:color="CCCCCC"/>
                        <w:bottom w:val="single" w:sz="6" w:space="8" w:color="CCCCCC"/>
                        <w:right w:val="single" w:sz="6" w:space="8" w:color="CCCCCC"/>
                      </w:divBdr>
                      <w:divsChild>
                        <w:div w:id="1100178141">
                          <w:marLeft w:val="0"/>
                          <w:marRight w:val="0"/>
                          <w:marTop w:val="0"/>
                          <w:marBottom w:val="0"/>
                          <w:divBdr>
                            <w:top w:val="none" w:sz="0" w:space="0" w:color="auto"/>
                            <w:left w:val="none" w:sz="0" w:space="0" w:color="auto"/>
                            <w:bottom w:val="none" w:sz="0" w:space="0" w:color="auto"/>
                            <w:right w:val="none" w:sz="0" w:space="0" w:color="auto"/>
                          </w:divBdr>
                        </w:div>
                        <w:div w:id="1760250407">
                          <w:marLeft w:val="0"/>
                          <w:marRight w:val="0"/>
                          <w:marTop w:val="0"/>
                          <w:marBottom w:val="0"/>
                          <w:divBdr>
                            <w:top w:val="none" w:sz="0" w:space="0" w:color="auto"/>
                            <w:left w:val="none" w:sz="0" w:space="0" w:color="auto"/>
                            <w:bottom w:val="none" w:sz="0" w:space="0" w:color="auto"/>
                            <w:right w:val="none" w:sz="0" w:space="0" w:color="auto"/>
                          </w:divBdr>
                        </w:div>
                        <w:div w:id="1247181268">
                          <w:marLeft w:val="0"/>
                          <w:marRight w:val="0"/>
                          <w:marTop w:val="0"/>
                          <w:marBottom w:val="0"/>
                          <w:divBdr>
                            <w:top w:val="none" w:sz="0" w:space="0" w:color="auto"/>
                            <w:left w:val="none" w:sz="0" w:space="0" w:color="auto"/>
                            <w:bottom w:val="none" w:sz="0" w:space="0" w:color="auto"/>
                            <w:right w:val="none" w:sz="0" w:space="0" w:color="auto"/>
                          </w:divBdr>
                        </w:div>
                        <w:div w:id="1563524032">
                          <w:marLeft w:val="0"/>
                          <w:marRight w:val="0"/>
                          <w:marTop w:val="0"/>
                          <w:marBottom w:val="0"/>
                          <w:divBdr>
                            <w:top w:val="none" w:sz="0" w:space="0" w:color="auto"/>
                            <w:left w:val="none" w:sz="0" w:space="0" w:color="auto"/>
                            <w:bottom w:val="none" w:sz="0" w:space="0" w:color="auto"/>
                            <w:right w:val="none" w:sz="0" w:space="0" w:color="auto"/>
                          </w:divBdr>
                        </w:div>
                        <w:div w:id="614366427">
                          <w:marLeft w:val="0"/>
                          <w:marRight w:val="0"/>
                          <w:marTop w:val="0"/>
                          <w:marBottom w:val="0"/>
                          <w:divBdr>
                            <w:top w:val="none" w:sz="0" w:space="0" w:color="auto"/>
                            <w:left w:val="none" w:sz="0" w:space="0" w:color="auto"/>
                            <w:bottom w:val="none" w:sz="0" w:space="0" w:color="auto"/>
                            <w:right w:val="none" w:sz="0" w:space="0" w:color="auto"/>
                          </w:divBdr>
                        </w:div>
                        <w:div w:id="488251660">
                          <w:marLeft w:val="0"/>
                          <w:marRight w:val="0"/>
                          <w:marTop w:val="0"/>
                          <w:marBottom w:val="0"/>
                          <w:divBdr>
                            <w:top w:val="none" w:sz="0" w:space="0" w:color="auto"/>
                            <w:left w:val="none" w:sz="0" w:space="0" w:color="auto"/>
                            <w:bottom w:val="none" w:sz="0" w:space="0" w:color="auto"/>
                            <w:right w:val="none" w:sz="0" w:space="0" w:color="auto"/>
                          </w:divBdr>
                        </w:div>
                        <w:div w:id="1318152177">
                          <w:marLeft w:val="0"/>
                          <w:marRight w:val="0"/>
                          <w:marTop w:val="0"/>
                          <w:marBottom w:val="0"/>
                          <w:divBdr>
                            <w:top w:val="none" w:sz="0" w:space="0" w:color="auto"/>
                            <w:left w:val="none" w:sz="0" w:space="0" w:color="auto"/>
                            <w:bottom w:val="none" w:sz="0" w:space="0" w:color="auto"/>
                            <w:right w:val="none" w:sz="0" w:space="0" w:color="auto"/>
                          </w:divBdr>
                        </w:div>
                        <w:div w:id="786850056">
                          <w:marLeft w:val="0"/>
                          <w:marRight w:val="0"/>
                          <w:marTop w:val="0"/>
                          <w:marBottom w:val="0"/>
                          <w:divBdr>
                            <w:top w:val="none" w:sz="0" w:space="0" w:color="auto"/>
                            <w:left w:val="none" w:sz="0" w:space="0" w:color="auto"/>
                            <w:bottom w:val="none" w:sz="0" w:space="0" w:color="auto"/>
                            <w:right w:val="none" w:sz="0" w:space="0" w:color="auto"/>
                          </w:divBdr>
                        </w:div>
                        <w:div w:id="383605491">
                          <w:marLeft w:val="0"/>
                          <w:marRight w:val="0"/>
                          <w:marTop w:val="0"/>
                          <w:marBottom w:val="0"/>
                          <w:divBdr>
                            <w:top w:val="none" w:sz="0" w:space="0" w:color="auto"/>
                            <w:left w:val="none" w:sz="0" w:space="0" w:color="auto"/>
                            <w:bottom w:val="none" w:sz="0" w:space="0" w:color="auto"/>
                            <w:right w:val="none" w:sz="0" w:space="0" w:color="auto"/>
                          </w:divBdr>
                        </w:div>
                        <w:div w:id="11224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512600">
      <w:bodyDiv w:val="1"/>
      <w:marLeft w:val="0"/>
      <w:marRight w:val="0"/>
      <w:marTop w:val="0"/>
      <w:marBottom w:val="0"/>
      <w:divBdr>
        <w:top w:val="none" w:sz="0" w:space="0" w:color="auto"/>
        <w:left w:val="none" w:sz="0" w:space="0" w:color="auto"/>
        <w:bottom w:val="none" w:sz="0" w:space="0" w:color="auto"/>
        <w:right w:val="none" w:sz="0" w:space="0" w:color="auto"/>
      </w:divBdr>
    </w:div>
    <w:div w:id="1435513255">
      <w:bodyDiv w:val="1"/>
      <w:marLeft w:val="0"/>
      <w:marRight w:val="0"/>
      <w:marTop w:val="0"/>
      <w:marBottom w:val="0"/>
      <w:divBdr>
        <w:top w:val="none" w:sz="0" w:space="0" w:color="auto"/>
        <w:left w:val="none" w:sz="0" w:space="0" w:color="auto"/>
        <w:bottom w:val="none" w:sz="0" w:space="0" w:color="auto"/>
        <w:right w:val="none" w:sz="0" w:space="0" w:color="auto"/>
      </w:divBdr>
    </w:div>
    <w:div w:id="1435706877">
      <w:bodyDiv w:val="1"/>
      <w:marLeft w:val="0"/>
      <w:marRight w:val="0"/>
      <w:marTop w:val="0"/>
      <w:marBottom w:val="0"/>
      <w:divBdr>
        <w:top w:val="none" w:sz="0" w:space="0" w:color="auto"/>
        <w:left w:val="none" w:sz="0" w:space="0" w:color="auto"/>
        <w:bottom w:val="none" w:sz="0" w:space="0" w:color="auto"/>
        <w:right w:val="none" w:sz="0" w:space="0" w:color="auto"/>
      </w:divBdr>
      <w:divsChild>
        <w:div w:id="552888189">
          <w:marLeft w:val="0"/>
          <w:marRight w:val="0"/>
          <w:marTop w:val="0"/>
          <w:marBottom w:val="0"/>
          <w:divBdr>
            <w:top w:val="none" w:sz="0" w:space="0" w:color="auto"/>
            <w:left w:val="none" w:sz="0" w:space="0" w:color="auto"/>
            <w:bottom w:val="none" w:sz="0" w:space="0" w:color="auto"/>
            <w:right w:val="none" w:sz="0" w:space="0" w:color="auto"/>
          </w:divBdr>
          <w:divsChild>
            <w:div w:id="171921611">
              <w:marLeft w:val="0"/>
              <w:marRight w:val="0"/>
              <w:marTop w:val="0"/>
              <w:marBottom w:val="0"/>
              <w:divBdr>
                <w:top w:val="none" w:sz="0" w:space="0" w:color="auto"/>
                <w:left w:val="none" w:sz="0" w:space="0" w:color="auto"/>
                <w:bottom w:val="none" w:sz="0" w:space="0" w:color="auto"/>
                <w:right w:val="none" w:sz="0" w:space="0" w:color="auto"/>
              </w:divBdr>
              <w:divsChild>
                <w:div w:id="993024637">
                  <w:marLeft w:val="0"/>
                  <w:marRight w:val="0"/>
                  <w:marTop w:val="0"/>
                  <w:marBottom w:val="0"/>
                  <w:divBdr>
                    <w:top w:val="none" w:sz="0" w:space="0" w:color="auto"/>
                    <w:left w:val="none" w:sz="0" w:space="0" w:color="auto"/>
                    <w:bottom w:val="none" w:sz="0" w:space="0" w:color="auto"/>
                    <w:right w:val="none" w:sz="0" w:space="0" w:color="auto"/>
                  </w:divBdr>
                  <w:divsChild>
                    <w:div w:id="825975866">
                      <w:marLeft w:val="0"/>
                      <w:marRight w:val="0"/>
                      <w:marTop w:val="0"/>
                      <w:marBottom w:val="0"/>
                      <w:divBdr>
                        <w:top w:val="none" w:sz="0" w:space="0" w:color="auto"/>
                        <w:left w:val="none" w:sz="0" w:space="0" w:color="auto"/>
                        <w:bottom w:val="none" w:sz="0" w:space="0" w:color="auto"/>
                        <w:right w:val="none" w:sz="0" w:space="0" w:color="auto"/>
                      </w:divBdr>
                      <w:divsChild>
                        <w:div w:id="641689575">
                          <w:marLeft w:val="0"/>
                          <w:marRight w:val="0"/>
                          <w:marTop w:val="0"/>
                          <w:marBottom w:val="0"/>
                          <w:divBdr>
                            <w:top w:val="none" w:sz="0" w:space="0" w:color="auto"/>
                            <w:left w:val="none" w:sz="0" w:space="0" w:color="auto"/>
                            <w:bottom w:val="none" w:sz="0" w:space="0" w:color="auto"/>
                            <w:right w:val="none" w:sz="0" w:space="0" w:color="auto"/>
                          </w:divBdr>
                          <w:divsChild>
                            <w:div w:id="1028261883">
                              <w:marLeft w:val="0"/>
                              <w:marRight w:val="0"/>
                              <w:marTop w:val="0"/>
                              <w:marBottom w:val="0"/>
                              <w:divBdr>
                                <w:top w:val="none" w:sz="0" w:space="0" w:color="auto"/>
                                <w:left w:val="none" w:sz="0" w:space="0" w:color="auto"/>
                                <w:bottom w:val="none" w:sz="0" w:space="0" w:color="auto"/>
                                <w:right w:val="none" w:sz="0" w:space="0" w:color="auto"/>
                              </w:divBdr>
                              <w:divsChild>
                                <w:div w:id="618996987">
                                  <w:marLeft w:val="0"/>
                                  <w:marRight w:val="0"/>
                                  <w:marTop w:val="0"/>
                                  <w:marBottom w:val="0"/>
                                  <w:divBdr>
                                    <w:top w:val="none" w:sz="0" w:space="0" w:color="auto"/>
                                    <w:left w:val="none" w:sz="0" w:space="0" w:color="auto"/>
                                    <w:bottom w:val="none" w:sz="0" w:space="0" w:color="auto"/>
                                    <w:right w:val="none" w:sz="0" w:space="0" w:color="auto"/>
                                  </w:divBdr>
                                  <w:divsChild>
                                    <w:div w:id="1993942243">
                                      <w:marLeft w:val="0"/>
                                      <w:marRight w:val="0"/>
                                      <w:marTop w:val="0"/>
                                      <w:marBottom w:val="0"/>
                                      <w:divBdr>
                                        <w:top w:val="none" w:sz="0" w:space="0" w:color="auto"/>
                                        <w:left w:val="none" w:sz="0" w:space="0" w:color="auto"/>
                                        <w:bottom w:val="none" w:sz="0" w:space="0" w:color="auto"/>
                                        <w:right w:val="none" w:sz="0" w:space="0" w:color="auto"/>
                                      </w:divBdr>
                                      <w:divsChild>
                                        <w:div w:id="11299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901831">
      <w:bodyDiv w:val="1"/>
      <w:marLeft w:val="0"/>
      <w:marRight w:val="0"/>
      <w:marTop w:val="0"/>
      <w:marBottom w:val="0"/>
      <w:divBdr>
        <w:top w:val="none" w:sz="0" w:space="0" w:color="auto"/>
        <w:left w:val="none" w:sz="0" w:space="0" w:color="auto"/>
        <w:bottom w:val="none" w:sz="0" w:space="0" w:color="auto"/>
        <w:right w:val="none" w:sz="0" w:space="0" w:color="auto"/>
      </w:divBdr>
      <w:divsChild>
        <w:div w:id="56443080">
          <w:marLeft w:val="0"/>
          <w:marRight w:val="0"/>
          <w:marTop w:val="0"/>
          <w:marBottom w:val="0"/>
          <w:divBdr>
            <w:top w:val="none" w:sz="0" w:space="0" w:color="auto"/>
            <w:left w:val="none" w:sz="0" w:space="0" w:color="auto"/>
            <w:bottom w:val="none" w:sz="0" w:space="0" w:color="auto"/>
            <w:right w:val="none" w:sz="0" w:space="0" w:color="auto"/>
          </w:divBdr>
          <w:divsChild>
            <w:div w:id="617956650">
              <w:marLeft w:val="0"/>
              <w:marRight w:val="0"/>
              <w:marTop w:val="0"/>
              <w:marBottom w:val="0"/>
              <w:divBdr>
                <w:top w:val="none" w:sz="0" w:space="0" w:color="auto"/>
                <w:left w:val="none" w:sz="0" w:space="0" w:color="auto"/>
                <w:bottom w:val="none" w:sz="0" w:space="0" w:color="auto"/>
                <w:right w:val="none" w:sz="0" w:space="0" w:color="auto"/>
              </w:divBdr>
              <w:divsChild>
                <w:div w:id="759059089">
                  <w:marLeft w:val="0"/>
                  <w:marRight w:val="0"/>
                  <w:marTop w:val="0"/>
                  <w:marBottom w:val="0"/>
                  <w:divBdr>
                    <w:top w:val="none" w:sz="0" w:space="0" w:color="auto"/>
                    <w:left w:val="none" w:sz="0" w:space="0" w:color="auto"/>
                    <w:bottom w:val="none" w:sz="0" w:space="0" w:color="auto"/>
                    <w:right w:val="none" w:sz="0" w:space="0" w:color="auto"/>
                  </w:divBdr>
                  <w:divsChild>
                    <w:div w:id="775439639">
                      <w:marLeft w:val="0"/>
                      <w:marRight w:val="0"/>
                      <w:marTop w:val="0"/>
                      <w:marBottom w:val="0"/>
                      <w:divBdr>
                        <w:top w:val="none" w:sz="0" w:space="0" w:color="auto"/>
                        <w:left w:val="none" w:sz="0" w:space="0" w:color="auto"/>
                        <w:bottom w:val="none" w:sz="0" w:space="0" w:color="auto"/>
                        <w:right w:val="none" w:sz="0" w:space="0" w:color="auto"/>
                      </w:divBdr>
                      <w:divsChild>
                        <w:div w:id="1060253877">
                          <w:marLeft w:val="0"/>
                          <w:marRight w:val="0"/>
                          <w:marTop w:val="0"/>
                          <w:marBottom w:val="0"/>
                          <w:divBdr>
                            <w:top w:val="none" w:sz="0" w:space="0" w:color="auto"/>
                            <w:left w:val="none" w:sz="0" w:space="0" w:color="auto"/>
                            <w:bottom w:val="none" w:sz="0" w:space="0" w:color="auto"/>
                            <w:right w:val="none" w:sz="0" w:space="0" w:color="auto"/>
                          </w:divBdr>
                          <w:divsChild>
                            <w:div w:id="1045178189">
                              <w:marLeft w:val="0"/>
                              <w:marRight w:val="0"/>
                              <w:marTop w:val="0"/>
                              <w:marBottom w:val="0"/>
                              <w:divBdr>
                                <w:top w:val="none" w:sz="0" w:space="0" w:color="auto"/>
                                <w:left w:val="none" w:sz="0" w:space="0" w:color="auto"/>
                                <w:bottom w:val="none" w:sz="0" w:space="0" w:color="auto"/>
                                <w:right w:val="none" w:sz="0" w:space="0" w:color="auto"/>
                              </w:divBdr>
                              <w:divsChild>
                                <w:div w:id="1956205559">
                                  <w:marLeft w:val="0"/>
                                  <w:marRight w:val="0"/>
                                  <w:marTop w:val="0"/>
                                  <w:marBottom w:val="0"/>
                                  <w:divBdr>
                                    <w:top w:val="none" w:sz="0" w:space="0" w:color="auto"/>
                                    <w:left w:val="none" w:sz="0" w:space="0" w:color="auto"/>
                                    <w:bottom w:val="none" w:sz="0" w:space="0" w:color="auto"/>
                                    <w:right w:val="none" w:sz="0" w:space="0" w:color="auto"/>
                                  </w:divBdr>
                                  <w:divsChild>
                                    <w:div w:id="138619993">
                                      <w:marLeft w:val="0"/>
                                      <w:marRight w:val="0"/>
                                      <w:marTop w:val="0"/>
                                      <w:marBottom w:val="0"/>
                                      <w:divBdr>
                                        <w:top w:val="none" w:sz="0" w:space="0" w:color="auto"/>
                                        <w:left w:val="none" w:sz="0" w:space="0" w:color="auto"/>
                                        <w:bottom w:val="none" w:sz="0" w:space="0" w:color="auto"/>
                                        <w:right w:val="none" w:sz="0" w:space="0" w:color="auto"/>
                                      </w:divBdr>
                                      <w:divsChild>
                                        <w:div w:id="1078013795">
                                          <w:marLeft w:val="0"/>
                                          <w:marRight w:val="0"/>
                                          <w:marTop w:val="0"/>
                                          <w:marBottom w:val="0"/>
                                          <w:divBdr>
                                            <w:top w:val="none" w:sz="0" w:space="0" w:color="auto"/>
                                            <w:left w:val="none" w:sz="0" w:space="0" w:color="auto"/>
                                            <w:bottom w:val="none" w:sz="0" w:space="0" w:color="auto"/>
                                            <w:right w:val="none" w:sz="0" w:space="0" w:color="auto"/>
                                          </w:divBdr>
                                          <w:divsChild>
                                            <w:div w:id="1855487196">
                                              <w:marLeft w:val="0"/>
                                              <w:marRight w:val="0"/>
                                              <w:marTop w:val="0"/>
                                              <w:marBottom w:val="0"/>
                                              <w:divBdr>
                                                <w:top w:val="none" w:sz="0" w:space="0" w:color="auto"/>
                                                <w:left w:val="none" w:sz="0" w:space="0" w:color="auto"/>
                                                <w:bottom w:val="none" w:sz="0" w:space="0" w:color="auto"/>
                                                <w:right w:val="none" w:sz="0" w:space="0" w:color="auto"/>
                                              </w:divBdr>
                                              <w:divsChild>
                                                <w:div w:id="35787266">
                                                  <w:marLeft w:val="0"/>
                                                  <w:marRight w:val="0"/>
                                                  <w:marTop w:val="0"/>
                                                  <w:marBottom w:val="0"/>
                                                  <w:divBdr>
                                                    <w:top w:val="none" w:sz="0" w:space="0" w:color="auto"/>
                                                    <w:left w:val="none" w:sz="0" w:space="0" w:color="auto"/>
                                                    <w:bottom w:val="none" w:sz="0" w:space="0" w:color="auto"/>
                                                    <w:right w:val="none" w:sz="0" w:space="0" w:color="auto"/>
                                                  </w:divBdr>
                                                  <w:divsChild>
                                                    <w:div w:id="1366636121">
                                                      <w:marLeft w:val="0"/>
                                                      <w:marRight w:val="0"/>
                                                      <w:marTop w:val="0"/>
                                                      <w:marBottom w:val="0"/>
                                                      <w:divBdr>
                                                        <w:top w:val="none" w:sz="0" w:space="0" w:color="auto"/>
                                                        <w:left w:val="none" w:sz="0" w:space="0" w:color="auto"/>
                                                        <w:bottom w:val="none" w:sz="0" w:space="0" w:color="auto"/>
                                                        <w:right w:val="none" w:sz="0" w:space="0" w:color="auto"/>
                                                      </w:divBdr>
                                                      <w:divsChild>
                                                        <w:div w:id="12262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709889">
      <w:bodyDiv w:val="1"/>
      <w:marLeft w:val="0"/>
      <w:marRight w:val="0"/>
      <w:marTop w:val="0"/>
      <w:marBottom w:val="0"/>
      <w:divBdr>
        <w:top w:val="none" w:sz="0" w:space="0" w:color="auto"/>
        <w:left w:val="none" w:sz="0" w:space="0" w:color="auto"/>
        <w:bottom w:val="none" w:sz="0" w:space="0" w:color="auto"/>
        <w:right w:val="none" w:sz="0" w:space="0" w:color="auto"/>
      </w:divBdr>
      <w:divsChild>
        <w:div w:id="1401950675">
          <w:marLeft w:val="0"/>
          <w:marRight w:val="0"/>
          <w:marTop w:val="0"/>
          <w:marBottom w:val="0"/>
          <w:divBdr>
            <w:top w:val="none" w:sz="0" w:space="0" w:color="auto"/>
            <w:left w:val="none" w:sz="0" w:space="0" w:color="auto"/>
            <w:bottom w:val="none" w:sz="0" w:space="0" w:color="auto"/>
            <w:right w:val="none" w:sz="0" w:space="0" w:color="auto"/>
          </w:divBdr>
          <w:divsChild>
            <w:div w:id="471216223">
              <w:marLeft w:val="0"/>
              <w:marRight w:val="0"/>
              <w:marTop w:val="0"/>
              <w:marBottom w:val="0"/>
              <w:divBdr>
                <w:top w:val="none" w:sz="0" w:space="0" w:color="auto"/>
                <w:left w:val="none" w:sz="0" w:space="0" w:color="auto"/>
                <w:bottom w:val="none" w:sz="0" w:space="0" w:color="auto"/>
                <w:right w:val="none" w:sz="0" w:space="0" w:color="auto"/>
              </w:divBdr>
              <w:divsChild>
                <w:div w:id="1318999347">
                  <w:marLeft w:val="0"/>
                  <w:marRight w:val="0"/>
                  <w:marTop w:val="0"/>
                  <w:marBottom w:val="0"/>
                  <w:divBdr>
                    <w:top w:val="none" w:sz="0" w:space="0" w:color="auto"/>
                    <w:left w:val="none" w:sz="0" w:space="0" w:color="auto"/>
                    <w:bottom w:val="none" w:sz="0" w:space="0" w:color="auto"/>
                    <w:right w:val="none" w:sz="0" w:space="0" w:color="auto"/>
                  </w:divBdr>
                  <w:divsChild>
                    <w:div w:id="379864562">
                      <w:marLeft w:val="0"/>
                      <w:marRight w:val="0"/>
                      <w:marTop w:val="0"/>
                      <w:marBottom w:val="0"/>
                      <w:divBdr>
                        <w:top w:val="none" w:sz="0" w:space="0" w:color="auto"/>
                        <w:left w:val="none" w:sz="0" w:space="0" w:color="auto"/>
                        <w:bottom w:val="none" w:sz="0" w:space="0" w:color="auto"/>
                        <w:right w:val="none" w:sz="0" w:space="0" w:color="auto"/>
                      </w:divBdr>
                    </w:div>
                    <w:div w:id="1770616541">
                      <w:marLeft w:val="0"/>
                      <w:marRight w:val="0"/>
                      <w:marTop w:val="0"/>
                      <w:marBottom w:val="0"/>
                      <w:divBdr>
                        <w:top w:val="none" w:sz="0" w:space="0" w:color="auto"/>
                        <w:left w:val="none" w:sz="0" w:space="0" w:color="auto"/>
                        <w:bottom w:val="none" w:sz="0" w:space="0" w:color="auto"/>
                        <w:right w:val="none" w:sz="0" w:space="0" w:color="auto"/>
                      </w:divBdr>
                    </w:div>
                    <w:div w:id="7838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4796">
      <w:bodyDiv w:val="1"/>
      <w:marLeft w:val="0"/>
      <w:marRight w:val="0"/>
      <w:marTop w:val="0"/>
      <w:marBottom w:val="0"/>
      <w:divBdr>
        <w:top w:val="none" w:sz="0" w:space="0" w:color="auto"/>
        <w:left w:val="none" w:sz="0" w:space="0" w:color="auto"/>
        <w:bottom w:val="none" w:sz="0" w:space="0" w:color="auto"/>
        <w:right w:val="none" w:sz="0" w:space="0" w:color="auto"/>
      </w:divBdr>
      <w:divsChild>
        <w:div w:id="934438688">
          <w:marLeft w:val="0"/>
          <w:marRight w:val="0"/>
          <w:marTop w:val="0"/>
          <w:marBottom w:val="0"/>
          <w:divBdr>
            <w:top w:val="single" w:sz="2" w:space="0" w:color="AAAAAA"/>
            <w:left w:val="single" w:sz="6" w:space="8" w:color="AAAAAA"/>
            <w:bottom w:val="single" w:sz="2" w:space="0" w:color="AAAAAA"/>
            <w:right w:val="single" w:sz="6" w:space="8" w:color="AAAAAA"/>
          </w:divBdr>
          <w:divsChild>
            <w:div w:id="91317326">
              <w:marLeft w:val="0"/>
              <w:marRight w:val="0"/>
              <w:marTop w:val="0"/>
              <w:marBottom w:val="0"/>
              <w:divBdr>
                <w:top w:val="none" w:sz="0" w:space="0" w:color="auto"/>
                <w:left w:val="none" w:sz="0" w:space="0" w:color="auto"/>
                <w:bottom w:val="none" w:sz="0" w:space="0" w:color="auto"/>
                <w:right w:val="none" w:sz="0" w:space="0" w:color="auto"/>
              </w:divBdr>
              <w:divsChild>
                <w:div w:id="1967811101">
                  <w:marLeft w:val="0"/>
                  <w:marRight w:val="0"/>
                  <w:marTop w:val="0"/>
                  <w:marBottom w:val="0"/>
                  <w:divBdr>
                    <w:top w:val="none" w:sz="0" w:space="0" w:color="auto"/>
                    <w:left w:val="none" w:sz="0" w:space="0" w:color="auto"/>
                    <w:bottom w:val="none" w:sz="0" w:space="0" w:color="auto"/>
                    <w:right w:val="none" w:sz="0" w:space="0" w:color="auto"/>
                  </w:divBdr>
                  <w:divsChild>
                    <w:div w:id="1430158845">
                      <w:marLeft w:val="0"/>
                      <w:marRight w:val="2550"/>
                      <w:marTop w:val="0"/>
                      <w:marBottom w:val="48"/>
                      <w:divBdr>
                        <w:top w:val="none" w:sz="0" w:space="0" w:color="auto"/>
                        <w:left w:val="none" w:sz="0" w:space="0" w:color="auto"/>
                        <w:bottom w:val="none" w:sz="0" w:space="0" w:color="auto"/>
                        <w:right w:val="none" w:sz="0" w:space="0" w:color="auto"/>
                      </w:divBdr>
                      <w:divsChild>
                        <w:div w:id="7901238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40107192">
      <w:bodyDiv w:val="1"/>
      <w:marLeft w:val="0"/>
      <w:marRight w:val="0"/>
      <w:marTop w:val="0"/>
      <w:marBottom w:val="0"/>
      <w:divBdr>
        <w:top w:val="none" w:sz="0" w:space="0" w:color="auto"/>
        <w:left w:val="none" w:sz="0" w:space="0" w:color="auto"/>
        <w:bottom w:val="none" w:sz="0" w:space="0" w:color="auto"/>
        <w:right w:val="none" w:sz="0" w:space="0" w:color="auto"/>
      </w:divBdr>
      <w:divsChild>
        <w:div w:id="1333218963">
          <w:marLeft w:val="0"/>
          <w:marRight w:val="0"/>
          <w:marTop w:val="0"/>
          <w:marBottom w:val="0"/>
          <w:divBdr>
            <w:top w:val="none" w:sz="0" w:space="0" w:color="auto"/>
            <w:left w:val="none" w:sz="0" w:space="0" w:color="auto"/>
            <w:bottom w:val="none" w:sz="0" w:space="0" w:color="auto"/>
            <w:right w:val="none" w:sz="0" w:space="0" w:color="auto"/>
          </w:divBdr>
          <w:divsChild>
            <w:div w:id="1333296028">
              <w:marLeft w:val="210"/>
              <w:marRight w:val="0"/>
              <w:marTop w:val="0"/>
              <w:marBottom w:val="0"/>
              <w:divBdr>
                <w:top w:val="none" w:sz="0" w:space="0" w:color="auto"/>
                <w:left w:val="none" w:sz="0" w:space="0" w:color="auto"/>
                <w:bottom w:val="none" w:sz="0" w:space="0" w:color="auto"/>
                <w:right w:val="none" w:sz="0" w:space="0" w:color="auto"/>
              </w:divBdr>
              <w:divsChild>
                <w:div w:id="7511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8550">
          <w:marLeft w:val="0"/>
          <w:marRight w:val="0"/>
          <w:marTop w:val="0"/>
          <w:marBottom w:val="0"/>
          <w:divBdr>
            <w:top w:val="none" w:sz="0" w:space="0" w:color="auto"/>
            <w:left w:val="none" w:sz="0" w:space="0" w:color="auto"/>
            <w:bottom w:val="none" w:sz="0" w:space="0" w:color="auto"/>
            <w:right w:val="none" w:sz="0" w:space="0" w:color="auto"/>
          </w:divBdr>
          <w:divsChild>
            <w:div w:id="165172856">
              <w:marLeft w:val="0"/>
              <w:marRight w:val="0"/>
              <w:marTop w:val="0"/>
              <w:marBottom w:val="0"/>
              <w:divBdr>
                <w:top w:val="none" w:sz="0" w:space="0" w:color="auto"/>
                <w:left w:val="none" w:sz="0" w:space="0" w:color="auto"/>
                <w:bottom w:val="none" w:sz="0" w:space="0" w:color="auto"/>
                <w:right w:val="none" w:sz="0" w:space="0" w:color="auto"/>
              </w:divBdr>
            </w:div>
          </w:divsChild>
        </w:div>
        <w:div w:id="1794058782">
          <w:marLeft w:val="0"/>
          <w:marRight w:val="0"/>
          <w:marTop w:val="150"/>
          <w:marBottom w:val="0"/>
          <w:divBdr>
            <w:top w:val="none" w:sz="0" w:space="0" w:color="auto"/>
            <w:left w:val="none" w:sz="0" w:space="0" w:color="auto"/>
            <w:bottom w:val="none" w:sz="0" w:space="0" w:color="auto"/>
            <w:right w:val="none" w:sz="0" w:space="0" w:color="auto"/>
          </w:divBdr>
        </w:div>
      </w:divsChild>
    </w:div>
    <w:div w:id="1442844247">
      <w:bodyDiv w:val="1"/>
      <w:marLeft w:val="0"/>
      <w:marRight w:val="0"/>
      <w:marTop w:val="0"/>
      <w:marBottom w:val="0"/>
      <w:divBdr>
        <w:top w:val="none" w:sz="0" w:space="0" w:color="auto"/>
        <w:left w:val="none" w:sz="0" w:space="0" w:color="auto"/>
        <w:bottom w:val="none" w:sz="0" w:space="0" w:color="auto"/>
        <w:right w:val="none" w:sz="0" w:space="0" w:color="auto"/>
      </w:divBdr>
      <w:divsChild>
        <w:div w:id="1345940575">
          <w:marLeft w:val="-225"/>
          <w:marRight w:val="-225"/>
          <w:marTop w:val="0"/>
          <w:marBottom w:val="0"/>
          <w:divBdr>
            <w:top w:val="none" w:sz="0" w:space="0" w:color="auto"/>
            <w:left w:val="none" w:sz="0" w:space="0" w:color="auto"/>
            <w:bottom w:val="none" w:sz="0" w:space="0" w:color="auto"/>
            <w:right w:val="none" w:sz="0" w:space="0" w:color="auto"/>
          </w:divBdr>
          <w:divsChild>
            <w:div w:id="1418944417">
              <w:marLeft w:val="0"/>
              <w:marRight w:val="0"/>
              <w:marTop w:val="0"/>
              <w:marBottom w:val="0"/>
              <w:divBdr>
                <w:top w:val="none" w:sz="0" w:space="0" w:color="auto"/>
                <w:left w:val="none" w:sz="0" w:space="0" w:color="auto"/>
                <w:bottom w:val="none" w:sz="0" w:space="0" w:color="auto"/>
                <w:right w:val="none" w:sz="0" w:space="0" w:color="auto"/>
              </w:divBdr>
            </w:div>
          </w:divsChild>
        </w:div>
        <w:div w:id="253126969">
          <w:marLeft w:val="0"/>
          <w:marRight w:val="0"/>
          <w:marTop w:val="0"/>
          <w:marBottom w:val="0"/>
          <w:divBdr>
            <w:top w:val="none" w:sz="0" w:space="0" w:color="auto"/>
            <w:left w:val="none" w:sz="0" w:space="0" w:color="auto"/>
            <w:bottom w:val="none" w:sz="0" w:space="0" w:color="auto"/>
            <w:right w:val="none" w:sz="0" w:space="0" w:color="auto"/>
          </w:divBdr>
        </w:div>
      </w:divsChild>
    </w:div>
    <w:div w:id="1443305684">
      <w:bodyDiv w:val="1"/>
      <w:marLeft w:val="0"/>
      <w:marRight w:val="0"/>
      <w:marTop w:val="0"/>
      <w:marBottom w:val="0"/>
      <w:divBdr>
        <w:top w:val="none" w:sz="0" w:space="0" w:color="auto"/>
        <w:left w:val="none" w:sz="0" w:space="0" w:color="auto"/>
        <w:bottom w:val="none" w:sz="0" w:space="0" w:color="auto"/>
        <w:right w:val="none" w:sz="0" w:space="0" w:color="auto"/>
      </w:divBdr>
      <w:divsChild>
        <w:div w:id="294066740">
          <w:marLeft w:val="0"/>
          <w:marRight w:val="0"/>
          <w:marTop w:val="0"/>
          <w:marBottom w:val="0"/>
          <w:divBdr>
            <w:top w:val="none" w:sz="0" w:space="0" w:color="auto"/>
            <w:left w:val="none" w:sz="0" w:space="0" w:color="auto"/>
            <w:bottom w:val="none" w:sz="0" w:space="0" w:color="auto"/>
            <w:right w:val="none" w:sz="0" w:space="0" w:color="auto"/>
          </w:divBdr>
          <w:divsChild>
            <w:div w:id="1526476920">
              <w:marLeft w:val="0"/>
              <w:marRight w:val="0"/>
              <w:marTop w:val="0"/>
              <w:marBottom w:val="0"/>
              <w:divBdr>
                <w:top w:val="none" w:sz="0" w:space="0" w:color="auto"/>
                <w:left w:val="none" w:sz="0" w:space="0" w:color="auto"/>
                <w:bottom w:val="none" w:sz="0" w:space="0" w:color="auto"/>
                <w:right w:val="none" w:sz="0" w:space="0" w:color="auto"/>
              </w:divBdr>
              <w:divsChild>
                <w:div w:id="570889103">
                  <w:marLeft w:val="0"/>
                  <w:marRight w:val="0"/>
                  <w:marTop w:val="0"/>
                  <w:marBottom w:val="0"/>
                  <w:divBdr>
                    <w:top w:val="none" w:sz="0" w:space="0" w:color="auto"/>
                    <w:left w:val="none" w:sz="0" w:space="0" w:color="auto"/>
                    <w:bottom w:val="none" w:sz="0" w:space="0" w:color="auto"/>
                    <w:right w:val="none" w:sz="0" w:space="0" w:color="auto"/>
                  </w:divBdr>
                  <w:divsChild>
                    <w:div w:id="2034458825">
                      <w:marLeft w:val="0"/>
                      <w:marRight w:val="0"/>
                      <w:marTop w:val="0"/>
                      <w:marBottom w:val="0"/>
                      <w:divBdr>
                        <w:top w:val="none" w:sz="0" w:space="0" w:color="auto"/>
                        <w:left w:val="none" w:sz="0" w:space="0" w:color="auto"/>
                        <w:bottom w:val="none" w:sz="0" w:space="0" w:color="auto"/>
                        <w:right w:val="none" w:sz="0" w:space="0" w:color="auto"/>
                      </w:divBdr>
                      <w:divsChild>
                        <w:div w:id="1457599882">
                          <w:marLeft w:val="0"/>
                          <w:marRight w:val="0"/>
                          <w:marTop w:val="0"/>
                          <w:marBottom w:val="0"/>
                          <w:divBdr>
                            <w:top w:val="none" w:sz="0" w:space="0" w:color="auto"/>
                            <w:left w:val="none" w:sz="0" w:space="0" w:color="auto"/>
                            <w:bottom w:val="none" w:sz="0" w:space="0" w:color="auto"/>
                            <w:right w:val="none" w:sz="0" w:space="0" w:color="auto"/>
                          </w:divBdr>
                          <w:divsChild>
                            <w:div w:id="1202472834">
                              <w:marLeft w:val="0"/>
                              <w:marRight w:val="0"/>
                              <w:marTop w:val="0"/>
                              <w:marBottom w:val="0"/>
                              <w:divBdr>
                                <w:top w:val="none" w:sz="0" w:space="0" w:color="auto"/>
                                <w:left w:val="none" w:sz="0" w:space="0" w:color="auto"/>
                                <w:bottom w:val="none" w:sz="0" w:space="0" w:color="auto"/>
                                <w:right w:val="none" w:sz="0" w:space="0" w:color="auto"/>
                              </w:divBdr>
                              <w:divsChild>
                                <w:div w:id="1607807575">
                                  <w:marLeft w:val="0"/>
                                  <w:marRight w:val="0"/>
                                  <w:marTop w:val="0"/>
                                  <w:marBottom w:val="0"/>
                                  <w:divBdr>
                                    <w:top w:val="none" w:sz="0" w:space="0" w:color="auto"/>
                                    <w:left w:val="none" w:sz="0" w:space="0" w:color="auto"/>
                                    <w:bottom w:val="none" w:sz="0" w:space="0" w:color="auto"/>
                                    <w:right w:val="none" w:sz="0" w:space="0" w:color="auto"/>
                                  </w:divBdr>
                                  <w:divsChild>
                                    <w:div w:id="2087802949">
                                      <w:marLeft w:val="0"/>
                                      <w:marRight w:val="0"/>
                                      <w:marTop w:val="0"/>
                                      <w:marBottom w:val="0"/>
                                      <w:divBdr>
                                        <w:top w:val="none" w:sz="0" w:space="0" w:color="auto"/>
                                        <w:left w:val="none" w:sz="0" w:space="0" w:color="auto"/>
                                        <w:bottom w:val="none" w:sz="0" w:space="0" w:color="auto"/>
                                        <w:right w:val="none" w:sz="0" w:space="0" w:color="auto"/>
                                      </w:divBdr>
                                      <w:divsChild>
                                        <w:div w:id="89089114">
                                          <w:marLeft w:val="0"/>
                                          <w:marRight w:val="0"/>
                                          <w:marTop w:val="0"/>
                                          <w:marBottom w:val="0"/>
                                          <w:divBdr>
                                            <w:top w:val="none" w:sz="0" w:space="0" w:color="auto"/>
                                            <w:left w:val="none" w:sz="0" w:space="0" w:color="auto"/>
                                            <w:bottom w:val="none" w:sz="0" w:space="0" w:color="auto"/>
                                            <w:right w:val="none" w:sz="0" w:space="0" w:color="auto"/>
                                          </w:divBdr>
                                          <w:divsChild>
                                            <w:div w:id="1534540377">
                                              <w:marLeft w:val="0"/>
                                              <w:marRight w:val="0"/>
                                              <w:marTop w:val="0"/>
                                              <w:marBottom w:val="0"/>
                                              <w:divBdr>
                                                <w:top w:val="none" w:sz="0" w:space="0" w:color="auto"/>
                                                <w:left w:val="none" w:sz="0" w:space="0" w:color="auto"/>
                                                <w:bottom w:val="none" w:sz="0" w:space="0" w:color="auto"/>
                                                <w:right w:val="none" w:sz="0" w:space="0" w:color="auto"/>
                                              </w:divBdr>
                                              <w:divsChild>
                                                <w:div w:id="1436827338">
                                                  <w:marLeft w:val="0"/>
                                                  <w:marRight w:val="0"/>
                                                  <w:marTop w:val="0"/>
                                                  <w:marBottom w:val="0"/>
                                                  <w:divBdr>
                                                    <w:top w:val="none" w:sz="0" w:space="0" w:color="auto"/>
                                                    <w:left w:val="none" w:sz="0" w:space="0" w:color="auto"/>
                                                    <w:bottom w:val="none" w:sz="0" w:space="0" w:color="auto"/>
                                                    <w:right w:val="none" w:sz="0" w:space="0" w:color="auto"/>
                                                  </w:divBdr>
                                                  <w:divsChild>
                                                    <w:div w:id="150559522">
                                                      <w:marLeft w:val="0"/>
                                                      <w:marRight w:val="0"/>
                                                      <w:marTop w:val="0"/>
                                                      <w:marBottom w:val="0"/>
                                                      <w:divBdr>
                                                        <w:top w:val="none" w:sz="0" w:space="0" w:color="auto"/>
                                                        <w:left w:val="none" w:sz="0" w:space="0" w:color="auto"/>
                                                        <w:bottom w:val="none" w:sz="0" w:space="0" w:color="auto"/>
                                                        <w:right w:val="none" w:sz="0" w:space="0" w:color="auto"/>
                                                      </w:divBdr>
                                                      <w:divsChild>
                                                        <w:div w:id="575671320">
                                                          <w:marLeft w:val="0"/>
                                                          <w:marRight w:val="0"/>
                                                          <w:marTop w:val="0"/>
                                                          <w:marBottom w:val="0"/>
                                                          <w:divBdr>
                                                            <w:top w:val="none" w:sz="0" w:space="0" w:color="auto"/>
                                                            <w:left w:val="none" w:sz="0" w:space="0" w:color="auto"/>
                                                            <w:bottom w:val="none" w:sz="0" w:space="0" w:color="auto"/>
                                                            <w:right w:val="none" w:sz="0" w:space="0" w:color="auto"/>
                                                          </w:divBdr>
                                                          <w:divsChild>
                                                            <w:div w:id="1641767210">
                                                              <w:marLeft w:val="0"/>
                                                              <w:marRight w:val="0"/>
                                                              <w:marTop w:val="0"/>
                                                              <w:marBottom w:val="0"/>
                                                              <w:divBdr>
                                                                <w:top w:val="none" w:sz="0" w:space="0" w:color="auto"/>
                                                                <w:left w:val="none" w:sz="0" w:space="0" w:color="auto"/>
                                                                <w:bottom w:val="none" w:sz="0" w:space="0" w:color="auto"/>
                                                                <w:right w:val="none" w:sz="0" w:space="0" w:color="auto"/>
                                                              </w:divBdr>
                                                              <w:divsChild>
                                                                <w:div w:id="19581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3918265">
      <w:bodyDiv w:val="1"/>
      <w:marLeft w:val="0"/>
      <w:marRight w:val="0"/>
      <w:marTop w:val="0"/>
      <w:marBottom w:val="0"/>
      <w:divBdr>
        <w:top w:val="none" w:sz="0" w:space="0" w:color="auto"/>
        <w:left w:val="none" w:sz="0" w:space="0" w:color="auto"/>
        <w:bottom w:val="none" w:sz="0" w:space="0" w:color="auto"/>
        <w:right w:val="none" w:sz="0" w:space="0" w:color="auto"/>
      </w:divBdr>
      <w:divsChild>
        <w:div w:id="1291127067">
          <w:marLeft w:val="0"/>
          <w:marRight w:val="0"/>
          <w:marTop w:val="0"/>
          <w:marBottom w:val="0"/>
          <w:divBdr>
            <w:top w:val="none" w:sz="0" w:space="0" w:color="auto"/>
            <w:left w:val="none" w:sz="0" w:space="0" w:color="auto"/>
            <w:bottom w:val="none" w:sz="0" w:space="0" w:color="auto"/>
            <w:right w:val="none" w:sz="0" w:space="0" w:color="auto"/>
          </w:divBdr>
          <w:divsChild>
            <w:div w:id="1701009900">
              <w:marLeft w:val="210"/>
              <w:marRight w:val="0"/>
              <w:marTop w:val="0"/>
              <w:marBottom w:val="0"/>
              <w:divBdr>
                <w:top w:val="none" w:sz="0" w:space="0" w:color="auto"/>
                <w:left w:val="none" w:sz="0" w:space="0" w:color="auto"/>
                <w:bottom w:val="none" w:sz="0" w:space="0" w:color="auto"/>
                <w:right w:val="none" w:sz="0" w:space="0" w:color="auto"/>
              </w:divBdr>
              <w:divsChild>
                <w:div w:id="9802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9389">
      <w:bodyDiv w:val="1"/>
      <w:marLeft w:val="0"/>
      <w:marRight w:val="0"/>
      <w:marTop w:val="0"/>
      <w:marBottom w:val="0"/>
      <w:divBdr>
        <w:top w:val="none" w:sz="0" w:space="0" w:color="auto"/>
        <w:left w:val="none" w:sz="0" w:space="0" w:color="auto"/>
        <w:bottom w:val="none" w:sz="0" w:space="0" w:color="auto"/>
        <w:right w:val="none" w:sz="0" w:space="0" w:color="auto"/>
      </w:divBdr>
      <w:divsChild>
        <w:div w:id="644891475">
          <w:marLeft w:val="0"/>
          <w:marRight w:val="0"/>
          <w:marTop w:val="0"/>
          <w:marBottom w:val="0"/>
          <w:divBdr>
            <w:top w:val="none" w:sz="0" w:space="0" w:color="auto"/>
            <w:left w:val="none" w:sz="0" w:space="0" w:color="auto"/>
            <w:bottom w:val="none" w:sz="0" w:space="0" w:color="auto"/>
            <w:right w:val="none" w:sz="0" w:space="0" w:color="auto"/>
          </w:divBdr>
          <w:divsChild>
            <w:div w:id="823163460">
              <w:marLeft w:val="175"/>
              <w:marRight w:val="0"/>
              <w:marTop w:val="0"/>
              <w:marBottom w:val="0"/>
              <w:divBdr>
                <w:top w:val="none" w:sz="0" w:space="0" w:color="auto"/>
                <w:left w:val="none" w:sz="0" w:space="0" w:color="auto"/>
                <w:bottom w:val="none" w:sz="0" w:space="0" w:color="auto"/>
                <w:right w:val="none" w:sz="0" w:space="0" w:color="auto"/>
              </w:divBdr>
              <w:divsChild>
                <w:div w:id="618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9786">
      <w:bodyDiv w:val="1"/>
      <w:marLeft w:val="0"/>
      <w:marRight w:val="0"/>
      <w:marTop w:val="0"/>
      <w:marBottom w:val="0"/>
      <w:divBdr>
        <w:top w:val="none" w:sz="0" w:space="0" w:color="auto"/>
        <w:left w:val="none" w:sz="0" w:space="0" w:color="auto"/>
        <w:bottom w:val="none" w:sz="0" w:space="0" w:color="auto"/>
        <w:right w:val="none" w:sz="0" w:space="0" w:color="auto"/>
      </w:divBdr>
      <w:divsChild>
        <w:div w:id="1965884512">
          <w:marLeft w:val="0"/>
          <w:marRight w:val="0"/>
          <w:marTop w:val="0"/>
          <w:marBottom w:val="0"/>
          <w:divBdr>
            <w:top w:val="none" w:sz="0" w:space="0" w:color="auto"/>
            <w:left w:val="none" w:sz="0" w:space="0" w:color="auto"/>
            <w:bottom w:val="none" w:sz="0" w:space="0" w:color="auto"/>
            <w:right w:val="none" w:sz="0" w:space="0" w:color="auto"/>
          </w:divBdr>
          <w:divsChild>
            <w:div w:id="63584187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444887574">
      <w:bodyDiv w:val="1"/>
      <w:marLeft w:val="0"/>
      <w:marRight w:val="0"/>
      <w:marTop w:val="0"/>
      <w:marBottom w:val="0"/>
      <w:divBdr>
        <w:top w:val="none" w:sz="0" w:space="0" w:color="auto"/>
        <w:left w:val="none" w:sz="0" w:space="0" w:color="auto"/>
        <w:bottom w:val="none" w:sz="0" w:space="0" w:color="auto"/>
        <w:right w:val="none" w:sz="0" w:space="0" w:color="auto"/>
      </w:divBdr>
      <w:divsChild>
        <w:div w:id="263004314">
          <w:marLeft w:val="0"/>
          <w:marRight w:val="0"/>
          <w:marTop w:val="0"/>
          <w:marBottom w:val="0"/>
          <w:divBdr>
            <w:top w:val="none" w:sz="0" w:space="0" w:color="auto"/>
            <w:left w:val="none" w:sz="0" w:space="0" w:color="auto"/>
            <w:bottom w:val="none" w:sz="0" w:space="0" w:color="auto"/>
            <w:right w:val="none" w:sz="0" w:space="0" w:color="auto"/>
          </w:divBdr>
          <w:divsChild>
            <w:div w:id="1285427385">
              <w:marLeft w:val="0"/>
              <w:marRight w:val="0"/>
              <w:marTop w:val="0"/>
              <w:marBottom w:val="0"/>
              <w:divBdr>
                <w:top w:val="none" w:sz="0" w:space="0" w:color="auto"/>
                <w:left w:val="none" w:sz="0" w:space="0" w:color="auto"/>
                <w:bottom w:val="none" w:sz="0" w:space="0" w:color="auto"/>
                <w:right w:val="none" w:sz="0" w:space="0" w:color="auto"/>
              </w:divBdr>
              <w:divsChild>
                <w:div w:id="1752191604">
                  <w:marLeft w:val="0"/>
                  <w:marRight w:val="0"/>
                  <w:marTop w:val="0"/>
                  <w:marBottom w:val="0"/>
                  <w:divBdr>
                    <w:top w:val="none" w:sz="0" w:space="0" w:color="auto"/>
                    <w:left w:val="none" w:sz="0" w:space="0" w:color="auto"/>
                    <w:bottom w:val="none" w:sz="0" w:space="0" w:color="auto"/>
                    <w:right w:val="none" w:sz="0" w:space="0" w:color="auto"/>
                  </w:divBdr>
                  <w:divsChild>
                    <w:div w:id="2080781545">
                      <w:marLeft w:val="0"/>
                      <w:marRight w:val="0"/>
                      <w:marTop w:val="0"/>
                      <w:marBottom w:val="0"/>
                      <w:divBdr>
                        <w:top w:val="none" w:sz="0" w:space="0" w:color="auto"/>
                        <w:left w:val="none" w:sz="0" w:space="0" w:color="auto"/>
                        <w:bottom w:val="none" w:sz="0" w:space="0" w:color="auto"/>
                        <w:right w:val="none" w:sz="0" w:space="0" w:color="auto"/>
                      </w:divBdr>
                      <w:divsChild>
                        <w:div w:id="1450735357">
                          <w:marLeft w:val="0"/>
                          <w:marRight w:val="0"/>
                          <w:marTop w:val="0"/>
                          <w:marBottom w:val="0"/>
                          <w:divBdr>
                            <w:top w:val="none" w:sz="0" w:space="0" w:color="auto"/>
                            <w:left w:val="none" w:sz="0" w:space="0" w:color="auto"/>
                            <w:bottom w:val="none" w:sz="0" w:space="0" w:color="auto"/>
                            <w:right w:val="none" w:sz="0" w:space="0" w:color="auto"/>
                          </w:divBdr>
                          <w:divsChild>
                            <w:div w:id="778794001">
                              <w:marLeft w:val="570"/>
                              <w:marRight w:val="720"/>
                              <w:marTop w:val="120"/>
                              <w:marBottom w:val="120"/>
                              <w:divBdr>
                                <w:top w:val="none" w:sz="0" w:space="0" w:color="auto"/>
                                <w:left w:val="none" w:sz="0" w:space="0" w:color="auto"/>
                                <w:bottom w:val="none" w:sz="0" w:space="0" w:color="auto"/>
                                <w:right w:val="none" w:sz="0" w:space="0" w:color="auto"/>
                              </w:divBdr>
                              <w:divsChild>
                                <w:div w:id="1782846149">
                                  <w:marLeft w:val="0"/>
                                  <w:marRight w:val="0"/>
                                  <w:marTop w:val="0"/>
                                  <w:marBottom w:val="0"/>
                                  <w:divBdr>
                                    <w:top w:val="none" w:sz="0" w:space="0" w:color="auto"/>
                                    <w:left w:val="none" w:sz="0" w:space="0" w:color="auto"/>
                                    <w:bottom w:val="none" w:sz="0" w:space="0" w:color="auto"/>
                                    <w:right w:val="none" w:sz="0" w:space="0" w:color="auto"/>
                                  </w:divBdr>
                                  <w:divsChild>
                                    <w:div w:id="1959528942">
                                      <w:marLeft w:val="0"/>
                                      <w:marRight w:val="0"/>
                                      <w:marTop w:val="0"/>
                                      <w:marBottom w:val="0"/>
                                      <w:divBdr>
                                        <w:top w:val="none" w:sz="0" w:space="0" w:color="auto"/>
                                        <w:left w:val="none" w:sz="0" w:space="0" w:color="auto"/>
                                        <w:bottom w:val="none" w:sz="0" w:space="0" w:color="auto"/>
                                        <w:right w:val="none" w:sz="0" w:space="0" w:color="auto"/>
                                      </w:divBdr>
                                      <w:divsChild>
                                        <w:div w:id="731319068">
                                          <w:marLeft w:val="0"/>
                                          <w:marRight w:val="0"/>
                                          <w:marTop w:val="0"/>
                                          <w:marBottom w:val="0"/>
                                          <w:divBdr>
                                            <w:top w:val="none" w:sz="0" w:space="0" w:color="auto"/>
                                            <w:left w:val="none" w:sz="0" w:space="0" w:color="auto"/>
                                            <w:bottom w:val="none" w:sz="0" w:space="0" w:color="auto"/>
                                            <w:right w:val="none" w:sz="0" w:space="0" w:color="auto"/>
                                          </w:divBdr>
                                        </w:div>
                                        <w:div w:id="1948848713">
                                          <w:marLeft w:val="0"/>
                                          <w:marRight w:val="0"/>
                                          <w:marTop w:val="0"/>
                                          <w:marBottom w:val="150"/>
                                          <w:divBdr>
                                            <w:top w:val="none" w:sz="0" w:space="0" w:color="auto"/>
                                            <w:left w:val="none" w:sz="0" w:space="0" w:color="auto"/>
                                            <w:bottom w:val="none" w:sz="0" w:space="0" w:color="auto"/>
                                            <w:right w:val="none" w:sz="0" w:space="0" w:color="auto"/>
                                          </w:divBdr>
                                          <w:divsChild>
                                            <w:div w:id="849875690">
                                              <w:marLeft w:val="0"/>
                                              <w:marRight w:val="0"/>
                                              <w:marTop w:val="240"/>
                                              <w:marBottom w:val="240"/>
                                              <w:divBdr>
                                                <w:top w:val="single" w:sz="6" w:space="6" w:color="F2F2F2"/>
                                                <w:left w:val="none" w:sz="0" w:space="0" w:color="auto"/>
                                                <w:bottom w:val="single" w:sz="6" w:space="6" w:color="F2F2F2"/>
                                                <w:right w:val="none" w:sz="0" w:space="0" w:color="auto"/>
                                              </w:divBdr>
                                            </w:div>
                                            <w:div w:id="1486891944">
                                              <w:marLeft w:val="0"/>
                                              <w:marRight w:val="0"/>
                                              <w:marTop w:val="0"/>
                                              <w:marBottom w:val="0"/>
                                              <w:divBdr>
                                                <w:top w:val="none" w:sz="0" w:space="0" w:color="auto"/>
                                                <w:left w:val="none" w:sz="0" w:space="0" w:color="auto"/>
                                                <w:bottom w:val="none" w:sz="0" w:space="0" w:color="auto"/>
                                                <w:right w:val="none" w:sz="0" w:space="0" w:color="auto"/>
                                              </w:divBdr>
                                              <w:divsChild>
                                                <w:div w:id="7621858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08293">
      <w:bodyDiv w:val="1"/>
      <w:marLeft w:val="0"/>
      <w:marRight w:val="0"/>
      <w:marTop w:val="0"/>
      <w:marBottom w:val="0"/>
      <w:divBdr>
        <w:top w:val="none" w:sz="0" w:space="0" w:color="auto"/>
        <w:left w:val="none" w:sz="0" w:space="0" w:color="auto"/>
        <w:bottom w:val="none" w:sz="0" w:space="0" w:color="auto"/>
        <w:right w:val="none" w:sz="0" w:space="0" w:color="auto"/>
      </w:divBdr>
      <w:divsChild>
        <w:div w:id="488524407">
          <w:marLeft w:val="0"/>
          <w:marRight w:val="0"/>
          <w:marTop w:val="0"/>
          <w:marBottom w:val="0"/>
          <w:divBdr>
            <w:top w:val="none" w:sz="0" w:space="0" w:color="auto"/>
            <w:left w:val="none" w:sz="0" w:space="0" w:color="auto"/>
            <w:bottom w:val="none" w:sz="0" w:space="0" w:color="auto"/>
            <w:right w:val="none" w:sz="0" w:space="0" w:color="auto"/>
          </w:divBdr>
          <w:divsChild>
            <w:div w:id="1273635483">
              <w:marLeft w:val="0"/>
              <w:marRight w:val="0"/>
              <w:marTop w:val="0"/>
              <w:marBottom w:val="0"/>
              <w:divBdr>
                <w:top w:val="none" w:sz="0" w:space="0" w:color="auto"/>
                <w:left w:val="none" w:sz="0" w:space="0" w:color="auto"/>
                <w:bottom w:val="none" w:sz="0" w:space="0" w:color="auto"/>
                <w:right w:val="none" w:sz="0" w:space="0" w:color="auto"/>
              </w:divBdr>
              <w:divsChild>
                <w:div w:id="1047872348">
                  <w:marLeft w:val="0"/>
                  <w:marRight w:val="0"/>
                  <w:marTop w:val="100"/>
                  <w:marBottom w:val="100"/>
                  <w:divBdr>
                    <w:top w:val="none" w:sz="0" w:space="0" w:color="auto"/>
                    <w:left w:val="none" w:sz="0" w:space="0" w:color="auto"/>
                    <w:bottom w:val="none" w:sz="0" w:space="0" w:color="auto"/>
                    <w:right w:val="none" w:sz="0" w:space="0" w:color="auto"/>
                  </w:divBdr>
                  <w:divsChild>
                    <w:div w:id="1879930309">
                      <w:marLeft w:val="0"/>
                      <w:marRight w:val="0"/>
                      <w:marTop w:val="0"/>
                      <w:marBottom w:val="0"/>
                      <w:divBdr>
                        <w:top w:val="none" w:sz="0" w:space="0" w:color="auto"/>
                        <w:left w:val="none" w:sz="0" w:space="0" w:color="auto"/>
                        <w:bottom w:val="none" w:sz="0" w:space="0" w:color="auto"/>
                        <w:right w:val="none" w:sz="0" w:space="0" w:color="auto"/>
                      </w:divBdr>
                      <w:divsChild>
                        <w:div w:id="519273500">
                          <w:marLeft w:val="0"/>
                          <w:marRight w:val="0"/>
                          <w:marTop w:val="0"/>
                          <w:marBottom w:val="0"/>
                          <w:divBdr>
                            <w:top w:val="none" w:sz="0" w:space="0" w:color="auto"/>
                            <w:left w:val="none" w:sz="0" w:space="0" w:color="auto"/>
                            <w:bottom w:val="none" w:sz="0" w:space="0" w:color="auto"/>
                            <w:right w:val="none" w:sz="0" w:space="0" w:color="auto"/>
                          </w:divBdr>
                          <w:divsChild>
                            <w:div w:id="972173052">
                              <w:marLeft w:val="0"/>
                              <w:marRight w:val="0"/>
                              <w:marTop w:val="0"/>
                              <w:marBottom w:val="0"/>
                              <w:divBdr>
                                <w:top w:val="none" w:sz="0" w:space="0" w:color="auto"/>
                                <w:left w:val="none" w:sz="0" w:space="0" w:color="auto"/>
                                <w:bottom w:val="none" w:sz="0" w:space="0" w:color="auto"/>
                                <w:right w:val="none" w:sz="0" w:space="0" w:color="auto"/>
                              </w:divBdr>
                              <w:divsChild>
                                <w:div w:id="1763993105">
                                  <w:marLeft w:val="0"/>
                                  <w:marRight w:val="0"/>
                                  <w:marTop w:val="0"/>
                                  <w:marBottom w:val="0"/>
                                  <w:divBdr>
                                    <w:top w:val="none" w:sz="0" w:space="0" w:color="auto"/>
                                    <w:left w:val="none" w:sz="0" w:space="0" w:color="auto"/>
                                    <w:bottom w:val="none" w:sz="0" w:space="0" w:color="auto"/>
                                    <w:right w:val="none" w:sz="0" w:space="0" w:color="auto"/>
                                  </w:divBdr>
                                  <w:divsChild>
                                    <w:div w:id="1617954085">
                                      <w:marLeft w:val="0"/>
                                      <w:marRight w:val="0"/>
                                      <w:marTop w:val="0"/>
                                      <w:marBottom w:val="0"/>
                                      <w:divBdr>
                                        <w:top w:val="none" w:sz="0" w:space="0" w:color="auto"/>
                                        <w:left w:val="none" w:sz="0" w:space="0" w:color="auto"/>
                                        <w:bottom w:val="none" w:sz="0" w:space="0" w:color="auto"/>
                                        <w:right w:val="none" w:sz="0" w:space="0" w:color="auto"/>
                                      </w:divBdr>
                                      <w:divsChild>
                                        <w:div w:id="463473344">
                                          <w:marLeft w:val="0"/>
                                          <w:marRight w:val="0"/>
                                          <w:marTop w:val="0"/>
                                          <w:marBottom w:val="0"/>
                                          <w:divBdr>
                                            <w:top w:val="none" w:sz="0" w:space="0" w:color="auto"/>
                                            <w:left w:val="none" w:sz="0" w:space="0" w:color="auto"/>
                                            <w:bottom w:val="none" w:sz="0" w:space="0" w:color="auto"/>
                                            <w:right w:val="none" w:sz="0" w:space="0" w:color="auto"/>
                                          </w:divBdr>
                                          <w:divsChild>
                                            <w:div w:id="536158031">
                                              <w:marLeft w:val="0"/>
                                              <w:marRight w:val="0"/>
                                              <w:marTop w:val="0"/>
                                              <w:marBottom w:val="0"/>
                                              <w:divBdr>
                                                <w:top w:val="single" w:sz="6"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928921">
      <w:bodyDiv w:val="1"/>
      <w:marLeft w:val="0"/>
      <w:marRight w:val="0"/>
      <w:marTop w:val="0"/>
      <w:marBottom w:val="0"/>
      <w:divBdr>
        <w:top w:val="none" w:sz="0" w:space="0" w:color="auto"/>
        <w:left w:val="none" w:sz="0" w:space="0" w:color="auto"/>
        <w:bottom w:val="none" w:sz="0" w:space="0" w:color="auto"/>
        <w:right w:val="none" w:sz="0" w:space="0" w:color="auto"/>
      </w:divBdr>
      <w:divsChild>
        <w:div w:id="531579450">
          <w:marLeft w:val="0"/>
          <w:marRight w:val="0"/>
          <w:marTop w:val="0"/>
          <w:marBottom w:val="405"/>
          <w:divBdr>
            <w:top w:val="none" w:sz="0" w:space="0" w:color="auto"/>
            <w:left w:val="none" w:sz="0" w:space="0" w:color="auto"/>
            <w:bottom w:val="none" w:sz="0" w:space="0" w:color="auto"/>
            <w:right w:val="none" w:sz="0" w:space="0" w:color="auto"/>
          </w:divBdr>
          <w:divsChild>
            <w:div w:id="1162505301">
              <w:marLeft w:val="0"/>
              <w:marRight w:val="0"/>
              <w:marTop w:val="0"/>
              <w:marBottom w:val="0"/>
              <w:divBdr>
                <w:top w:val="none" w:sz="0" w:space="0" w:color="auto"/>
                <w:left w:val="none" w:sz="0" w:space="0" w:color="auto"/>
                <w:bottom w:val="none" w:sz="0" w:space="0" w:color="auto"/>
                <w:right w:val="none" w:sz="0" w:space="0" w:color="auto"/>
              </w:divBdr>
              <w:divsChild>
                <w:div w:id="2025204861">
                  <w:marLeft w:val="0"/>
                  <w:marRight w:val="-14460"/>
                  <w:marTop w:val="0"/>
                  <w:marBottom w:val="0"/>
                  <w:divBdr>
                    <w:top w:val="none" w:sz="0" w:space="0" w:color="auto"/>
                    <w:left w:val="none" w:sz="0" w:space="0" w:color="auto"/>
                    <w:bottom w:val="none" w:sz="0" w:space="0" w:color="auto"/>
                    <w:right w:val="none" w:sz="0" w:space="0" w:color="auto"/>
                  </w:divBdr>
                  <w:divsChild>
                    <w:div w:id="132142209">
                      <w:marLeft w:val="180"/>
                      <w:marRight w:val="0"/>
                      <w:marTop w:val="0"/>
                      <w:marBottom w:val="0"/>
                      <w:divBdr>
                        <w:top w:val="none" w:sz="0" w:space="0" w:color="auto"/>
                        <w:left w:val="none" w:sz="0" w:space="0" w:color="auto"/>
                        <w:bottom w:val="none" w:sz="0" w:space="0" w:color="auto"/>
                        <w:right w:val="none" w:sz="0" w:space="0" w:color="auto"/>
                      </w:divBdr>
                      <w:divsChild>
                        <w:div w:id="381750880">
                          <w:marLeft w:val="0"/>
                          <w:marRight w:val="0"/>
                          <w:marTop w:val="0"/>
                          <w:marBottom w:val="0"/>
                          <w:divBdr>
                            <w:top w:val="none" w:sz="0" w:space="0" w:color="auto"/>
                            <w:left w:val="none" w:sz="0" w:space="0" w:color="auto"/>
                            <w:bottom w:val="none" w:sz="0" w:space="0" w:color="auto"/>
                            <w:right w:val="none" w:sz="0" w:space="0" w:color="auto"/>
                          </w:divBdr>
                          <w:divsChild>
                            <w:div w:id="88627624">
                              <w:marLeft w:val="0"/>
                              <w:marRight w:val="0"/>
                              <w:marTop w:val="0"/>
                              <w:marBottom w:val="0"/>
                              <w:divBdr>
                                <w:top w:val="none" w:sz="0" w:space="0" w:color="auto"/>
                                <w:left w:val="none" w:sz="0" w:space="0" w:color="auto"/>
                                <w:bottom w:val="none" w:sz="0" w:space="0" w:color="auto"/>
                                <w:right w:val="none" w:sz="0" w:space="0" w:color="auto"/>
                              </w:divBdr>
                              <w:divsChild>
                                <w:div w:id="1014842786">
                                  <w:marLeft w:val="0"/>
                                  <w:marRight w:val="0"/>
                                  <w:marTop w:val="0"/>
                                  <w:marBottom w:val="0"/>
                                  <w:divBdr>
                                    <w:top w:val="none" w:sz="0" w:space="0" w:color="auto"/>
                                    <w:left w:val="none" w:sz="0" w:space="0" w:color="auto"/>
                                    <w:bottom w:val="none" w:sz="0" w:space="0" w:color="auto"/>
                                    <w:right w:val="none" w:sz="0" w:space="0" w:color="auto"/>
                                  </w:divBdr>
                                  <w:divsChild>
                                    <w:div w:id="452941978">
                                      <w:marLeft w:val="0"/>
                                      <w:marRight w:val="0"/>
                                      <w:marTop w:val="0"/>
                                      <w:marBottom w:val="0"/>
                                      <w:divBdr>
                                        <w:top w:val="none" w:sz="0" w:space="0" w:color="auto"/>
                                        <w:left w:val="none" w:sz="0" w:space="0" w:color="auto"/>
                                        <w:bottom w:val="none" w:sz="0" w:space="0" w:color="auto"/>
                                        <w:right w:val="none" w:sz="0" w:space="0" w:color="auto"/>
                                      </w:divBdr>
                                      <w:divsChild>
                                        <w:div w:id="137265111">
                                          <w:marLeft w:val="0"/>
                                          <w:marRight w:val="0"/>
                                          <w:marTop w:val="0"/>
                                          <w:marBottom w:val="0"/>
                                          <w:divBdr>
                                            <w:top w:val="none" w:sz="0" w:space="0" w:color="auto"/>
                                            <w:left w:val="none" w:sz="0" w:space="0" w:color="auto"/>
                                            <w:bottom w:val="none" w:sz="0" w:space="0" w:color="auto"/>
                                            <w:right w:val="none" w:sz="0" w:space="0" w:color="auto"/>
                                          </w:divBdr>
                                          <w:divsChild>
                                            <w:div w:id="2045792468">
                                              <w:marLeft w:val="0"/>
                                              <w:marRight w:val="0"/>
                                              <w:marTop w:val="0"/>
                                              <w:marBottom w:val="300"/>
                                              <w:divBdr>
                                                <w:top w:val="none" w:sz="0" w:space="0" w:color="auto"/>
                                                <w:left w:val="none" w:sz="0" w:space="0" w:color="auto"/>
                                                <w:bottom w:val="single" w:sz="6" w:space="8" w:color="CCCCCC"/>
                                                <w:right w:val="none" w:sz="0" w:space="0" w:color="auto"/>
                                              </w:divBdr>
                                              <w:divsChild>
                                                <w:div w:id="2081168762">
                                                  <w:marLeft w:val="0"/>
                                                  <w:marRight w:val="0"/>
                                                  <w:marTop w:val="0"/>
                                                  <w:marBottom w:val="0"/>
                                                  <w:divBdr>
                                                    <w:top w:val="none" w:sz="0" w:space="0" w:color="auto"/>
                                                    <w:left w:val="none" w:sz="0" w:space="0" w:color="auto"/>
                                                    <w:bottom w:val="none" w:sz="0" w:space="0" w:color="auto"/>
                                                    <w:right w:val="none" w:sz="0" w:space="0" w:color="auto"/>
                                                  </w:divBdr>
                                                </w:div>
                                                <w:div w:id="1438283659">
                                                  <w:marLeft w:val="0"/>
                                                  <w:marRight w:val="0"/>
                                                  <w:marTop w:val="0"/>
                                                  <w:marBottom w:val="0"/>
                                                  <w:divBdr>
                                                    <w:top w:val="none" w:sz="0" w:space="0" w:color="auto"/>
                                                    <w:left w:val="none" w:sz="0" w:space="0" w:color="auto"/>
                                                    <w:bottom w:val="none" w:sz="0" w:space="0" w:color="auto"/>
                                                    <w:right w:val="none" w:sz="0" w:space="0" w:color="auto"/>
                                                  </w:divBdr>
                                                </w:div>
                                                <w:div w:id="1004354871">
                                                  <w:marLeft w:val="0"/>
                                                  <w:marRight w:val="0"/>
                                                  <w:marTop w:val="0"/>
                                                  <w:marBottom w:val="0"/>
                                                  <w:divBdr>
                                                    <w:top w:val="none" w:sz="0" w:space="0" w:color="auto"/>
                                                    <w:left w:val="none" w:sz="0" w:space="0" w:color="auto"/>
                                                    <w:bottom w:val="none" w:sz="0" w:space="0" w:color="auto"/>
                                                    <w:right w:val="none" w:sz="0" w:space="0" w:color="auto"/>
                                                  </w:divBdr>
                                                </w:div>
                                                <w:div w:id="1915434306">
                                                  <w:marLeft w:val="0"/>
                                                  <w:marRight w:val="0"/>
                                                  <w:marTop w:val="0"/>
                                                  <w:marBottom w:val="0"/>
                                                  <w:divBdr>
                                                    <w:top w:val="none" w:sz="0" w:space="0" w:color="auto"/>
                                                    <w:left w:val="none" w:sz="0" w:space="0" w:color="auto"/>
                                                    <w:bottom w:val="none" w:sz="0" w:space="0" w:color="auto"/>
                                                    <w:right w:val="none" w:sz="0" w:space="0" w:color="auto"/>
                                                  </w:divBdr>
                                                </w:div>
                                                <w:div w:id="713164214">
                                                  <w:marLeft w:val="0"/>
                                                  <w:marRight w:val="0"/>
                                                  <w:marTop w:val="0"/>
                                                  <w:marBottom w:val="0"/>
                                                  <w:divBdr>
                                                    <w:top w:val="none" w:sz="0" w:space="0" w:color="auto"/>
                                                    <w:left w:val="none" w:sz="0" w:space="0" w:color="auto"/>
                                                    <w:bottom w:val="none" w:sz="0" w:space="0" w:color="auto"/>
                                                    <w:right w:val="none" w:sz="0" w:space="0" w:color="auto"/>
                                                  </w:divBdr>
                                                </w:div>
                                                <w:div w:id="247662537">
                                                  <w:marLeft w:val="0"/>
                                                  <w:marRight w:val="0"/>
                                                  <w:marTop w:val="0"/>
                                                  <w:marBottom w:val="0"/>
                                                  <w:divBdr>
                                                    <w:top w:val="none" w:sz="0" w:space="0" w:color="auto"/>
                                                    <w:left w:val="none" w:sz="0" w:space="0" w:color="auto"/>
                                                    <w:bottom w:val="none" w:sz="0" w:space="0" w:color="auto"/>
                                                    <w:right w:val="none" w:sz="0" w:space="0" w:color="auto"/>
                                                  </w:divBdr>
                                                </w:div>
                                                <w:div w:id="194271943">
                                                  <w:marLeft w:val="0"/>
                                                  <w:marRight w:val="0"/>
                                                  <w:marTop w:val="0"/>
                                                  <w:marBottom w:val="0"/>
                                                  <w:divBdr>
                                                    <w:top w:val="none" w:sz="0" w:space="0" w:color="auto"/>
                                                    <w:left w:val="none" w:sz="0" w:space="0" w:color="auto"/>
                                                    <w:bottom w:val="none" w:sz="0" w:space="0" w:color="auto"/>
                                                    <w:right w:val="none" w:sz="0" w:space="0" w:color="auto"/>
                                                  </w:divBdr>
                                                  <w:divsChild>
                                                    <w:div w:id="798034882">
                                                      <w:marLeft w:val="0"/>
                                                      <w:marRight w:val="0"/>
                                                      <w:marTop w:val="0"/>
                                                      <w:marBottom w:val="0"/>
                                                      <w:divBdr>
                                                        <w:top w:val="single" w:sz="6" w:space="2" w:color="D8D8D8"/>
                                                        <w:left w:val="single" w:sz="6" w:space="6" w:color="D8D8D8"/>
                                                        <w:bottom w:val="single" w:sz="6" w:space="2" w:color="D8D8D8"/>
                                                        <w:right w:val="single" w:sz="6" w:space="6" w:color="D8D8D8"/>
                                                      </w:divBdr>
                                                    </w:div>
                                                  </w:divsChild>
                                                </w:div>
                                                <w:div w:id="777069000">
                                                  <w:marLeft w:val="0"/>
                                                  <w:marRight w:val="0"/>
                                                  <w:marTop w:val="0"/>
                                                  <w:marBottom w:val="0"/>
                                                  <w:divBdr>
                                                    <w:top w:val="none" w:sz="0" w:space="0" w:color="auto"/>
                                                    <w:left w:val="none" w:sz="0" w:space="0" w:color="auto"/>
                                                    <w:bottom w:val="none" w:sz="0" w:space="0" w:color="auto"/>
                                                    <w:right w:val="none" w:sz="0" w:space="0" w:color="auto"/>
                                                  </w:divBdr>
                                                  <w:divsChild>
                                                    <w:div w:id="3844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2088786">
      <w:bodyDiv w:val="1"/>
      <w:marLeft w:val="0"/>
      <w:marRight w:val="0"/>
      <w:marTop w:val="0"/>
      <w:marBottom w:val="0"/>
      <w:divBdr>
        <w:top w:val="none" w:sz="0" w:space="0" w:color="auto"/>
        <w:left w:val="none" w:sz="0" w:space="0" w:color="auto"/>
        <w:bottom w:val="none" w:sz="0" w:space="0" w:color="auto"/>
        <w:right w:val="none" w:sz="0" w:space="0" w:color="auto"/>
      </w:divBdr>
      <w:divsChild>
        <w:div w:id="1712070297">
          <w:marLeft w:val="0"/>
          <w:marRight w:val="0"/>
          <w:marTop w:val="0"/>
          <w:marBottom w:val="0"/>
          <w:divBdr>
            <w:top w:val="none" w:sz="0" w:space="0" w:color="auto"/>
            <w:left w:val="none" w:sz="0" w:space="0" w:color="auto"/>
            <w:bottom w:val="none" w:sz="0" w:space="0" w:color="auto"/>
            <w:right w:val="none" w:sz="0" w:space="0" w:color="auto"/>
          </w:divBdr>
          <w:divsChild>
            <w:div w:id="1892575932">
              <w:marLeft w:val="0"/>
              <w:marRight w:val="0"/>
              <w:marTop w:val="0"/>
              <w:marBottom w:val="0"/>
              <w:divBdr>
                <w:top w:val="none" w:sz="0" w:space="0" w:color="auto"/>
                <w:left w:val="none" w:sz="0" w:space="0" w:color="auto"/>
                <w:bottom w:val="none" w:sz="0" w:space="0" w:color="auto"/>
                <w:right w:val="none" w:sz="0" w:space="0" w:color="auto"/>
              </w:divBdr>
              <w:divsChild>
                <w:div w:id="1497568894">
                  <w:marLeft w:val="0"/>
                  <w:marRight w:val="0"/>
                  <w:marTop w:val="0"/>
                  <w:marBottom w:val="0"/>
                  <w:divBdr>
                    <w:top w:val="none" w:sz="0" w:space="0" w:color="auto"/>
                    <w:left w:val="none" w:sz="0" w:space="0" w:color="auto"/>
                    <w:bottom w:val="none" w:sz="0" w:space="0" w:color="auto"/>
                    <w:right w:val="none" w:sz="0" w:space="0" w:color="auto"/>
                  </w:divBdr>
                  <w:divsChild>
                    <w:div w:id="17703697">
                      <w:marLeft w:val="0"/>
                      <w:marRight w:val="0"/>
                      <w:marTop w:val="0"/>
                      <w:marBottom w:val="0"/>
                      <w:divBdr>
                        <w:top w:val="none" w:sz="0" w:space="0" w:color="auto"/>
                        <w:left w:val="none" w:sz="0" w:space="0" w:color="auto"/>
                        <w:bottom w:val="none" w:sz="0" w:space="0" w:color="auto"/>
                        <w:right w:val="none" w:sz="0" w:space="0" w:color="auto"/>
                      </w:divBdr>
                      <w:divsChild>
                        <w:div w:id="229704170">
                          <w:marLeft w:val="0"/>
                          <w:marRight w:val="0"/>
                          <w:marTop w:val="0"/>
                          <w:marBottom w:val="0"/>
                          <w:divBdr>
                            <w:top w:val="none" w:sz="0" w:space="0" w:color="auto"/>
                            <w:left w:val="none" w:sz="0" w:space="0" w:color="auto"/>
                            <w:bottom w:val="none" w:sz="0" w:space="0" w:color="auto"/>
                            <w:right w:val="none" w:sz="0" w:space="0" w:color="auto"/>
                          </w:divBdr>
                          <w:divsChild>
                            <w:div w:id="1614166270">
                              <w:marLeft w:val="570"/>
                              <w:marRight w:val="720"/>
                              <w:marTop w:val="120"/>
                              <w:marBottom w:val="120"/>
                              <w:divBdr>
                                <w:top w:val="none" w:sz="0" w:space="0" w:color="auto"/>
                                <w:left w:val="none" w:sz="0" w:space="0" w:color="auto"/>
                                <w:bottom w:val="none" w:sz="0" w:space="0" w:color="auto"/>
                                <w:right w:val="none" w:sz="0" w:space="0" w:color="auto"/>
                              </w:divBdr>
                              <w:divsChild>
                                <w:div w:id="1810315377">
                                  <w:marLeft w:val="0"/>
                                  <w:marRight w:val="0"/>
                                  <w:marTop w:val="0"/>
                                  <w:marBottom w:val="0"/>
                                  <w:divBdr>
                                    <w:top w:val="none" w:sz="0" w:space="0" w:color="auto"/>
                                    <w:left w:val="none" w:sz="0" w:space="0" w:color="auto"/>
                                    <w:bottom w:val="none" w:sz="0" w:space="0" w:color="auto"/>
                                    <w:right w:val="none" w:sz="0" w:space="0" w:color="auto"/>
                                  </w:divBdr>
                                  <w:divsChild>
                                    <w:div w:id="1985507462">
                                      <w:marLeft w:val="0"/>
                                      <w:marRight w:val="0"/>
                                      <w:marTop w:val="0"/>
                                      <w:marBottom w:val="0"/>
                                      <w:divBdr>
                                        <w:top w:val="none" w:sz="0" w:space="0" w:color="auto"/>
                                        <w:left w:val="none" w:sz="0" w:space="0" w:color="auto"/>
                                        <w:bottom w:val="none" w:sz="0" w:space="0" w:color="auto"/>
                                        <w:right w:val="none" w:sz="0" w:space="0" w:color="auto"/>
                                      </w:divBdr>
                                      <w:divsChild>
                                        <w:div w:id="2118285676">
                                          <w:marLeft w:val="0"/>
                                          <w:marRight w:val="0"/>
                                          <w:marTop w:val="0"/>
                                          <w:marBottom w:val="0"/>
                                          <w:divBdr>
                                            <w:top w:val="none" w:sz="0" w:space="0" w:color="auto"/>
                                            <w:left w:val="none" w:sz="0" w:space="0" w:color="auto"/>
                                            <w:bottom w:val="none" w:sz="0" w:space="0" w:color="auto"/>
                                            <w:right w:val="none" w:sz="0" w:space="0" w:color="auto"/>
                                          </w:divBdr>
                                        </w:div>
                                        <w:div w:id="152717390">
                                          <w:marLeft w:val="0"/>
                                          <w:marRight w:val="0"/>
                                          <w:marTop w:val="0"/>
                                          <w:marBottom w:val="150"/>
                                          <w:divBdr>
                                            <w:top w:val="none" w:sz="0" w:space="0" w:color="auto"/>
                                            <w:left w:val="none" w:sz="0" w:space="0" w:color="auto"/>
                                            <w:bottom w:val="none" w:sz="0" w:space="0" w:color="auto"/>
                                            <w:right w:val="none" w:sz="0" w:space="0" w:color="auto"/>
                                          </w:divBdr>
                                          <w:divsChild>
                                            <w:div w:id="1342781756">
                                              <w:marLeft w:val="0"/>
                                              <w:marRight w:val="0"/>
                                              <w:marTop w:val="240"/>
                                              <w:marBottom w:val="240"/>
                                              <w:divBdr>
                                                <w:top w:val="single" w:sz="6" w:space="6" w:color="F2F2F2"/>
                                                <w:left w:val="none" w:sz="0" w:space="0" w:color="auto"/>
                                                <w:bottom w:val="single" w:sz="6" w:space="6" w:color="F2F2F2"/>
                                                <w:right w:val="none" w:sz="0" w:space="0" w:color="auto"/>
                                              </w:divBdr>
                                            </w:div>
                                            <w:div w:id="1945652416">
                                              <w:marLeft w:val="0"/>
                                              <w:marRight w:val="0"/>
                                              <w:marTop w:val="0"/>
                                              <w:marBottom w:val="0"/>
                                              <w:divBdr>
                                                <w:top w:val="none" w:sz="0" w:space="0" w:color="auto"/>
                                                <w:left w:val="none" w:sz="0" w:space="0" w:color="auto"/>
                                                <w:bottom w:val="none" w:sz="0" w:space="0" w:color="auto"/>
                                                <w:right w:val="none" w:sz="0" w:space="0" w:color="auto"/>
                                              </w:divBdr>
                                              <w:divsChild>
                                                <w:div w:id="1090197809">
                                                  <w:marLeft w:val="0"/>
                                                  <w:marRight w:val="0"/>
                                                  <w:marTop w:val="0"/>
                                                  <w:marBottom w:val="240"/>
                                                  <w:divBdr>
                                                    <w:top w:val="none" w:sz="0" w:space="0" w:color="auto"/>
                                                    <w:left w:val="none" w:sz="0" w:space="0" w:color="auto"/>
                                                    <w:bottom w:val="none" w:sz="0" w:space="0" w:color="auto"/>
                                                    <w:right w:val="none" w:sz="0" w:space="0" w:color="auto"/>
                                                  </w:divBdr>
                                                </w:div>
                                                <w:div w:id="249897429">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355718">
      <w:bodyDiv w:val="1"/>
      <w:marLeft w:val="0"/>
      <w:marRight w:val="0"/>
      <w:marTop w:val="0"/>
      <w:marBottom w:val="0"/>
      <w:divBdr>
        <w:top w:val="none" w:sz="0" w:space="0" w:color="auto"/>
        <w:left w:val="none" w:sz="0" w:space="0" w:color="auto"/>
        <w:bottom w:val="none" w:sz="0" w:space="0" w:color="auto"/>
        <w:right w:val="none" w:sz="0" w:space="0" w:color="auto"/>
      </w:divBdr>
      <w:divsChild>
        <w:div w:id="1997685046">
          <w:marLeft w:val="0"/>
          <w:marRight w:val="0"/>
          <w:marTop w:val="0"/>
          <w:marBottom w:val="0"/>
          <w:divBdr>
            <w:top w:val="none" w:sz="0" w:space="0" w:color="auto"/>
            <w:left w:val="none" w:sz="0" w:space="0" w:color="auto"/>
            <w:bottom w:val="none" w:sz="0" w:space="0" w:color="auto"/>
            <w:right w:val="none" w:sz="0" w:space="0" w:color="auto"/>
          </w:divBdr>
          <w:divsChild>
            <w:div w:id="1250694872">
              <w:marLeft w:val="0"/>
              <w:marRight w:val="0"/>
              <w:marTop w:val="0"/>
              <w:marBottom w:val="0"/>
              <w:divBdr>
                <w:top w:val="none" w:sz="0" w:space="0" w:color="auto"/>
                <w:left w:val="none" w:sz="0" w:space="0" w:color="auto"/>
                <w:bottom w:val="none" w:sz="0" w:space="0" w:color="auto"/>
                <w:right w:val="none" w:sz="0" w:space="0" w:color="auto"/>
              </w:divBdr>
              <w:divsChild>
                <w:div w:id="1670257651">
                  <w:marLeft w:val="0"/>
                  <w:marRight w:val="0"/>
                  <w:marTop w:val="0"/>
                  <w:marBottom w:val="0"/>
                  <w:divBdr>
                    <w:top w:val="none" w:sz="0" w:space="0" w:color="auto"/>
                    <w:left w:val="none" w:sz="0" w:space="0" w:color="auto"/>
                    <w:bottom w:val="none" w:sz="0" w:space="0" w:color="auto"/>
                    <w:right w:val="none" w:sz="0" w:space="0" w:color="auto"/>
                  </w:divBdr>
                  <w:divsChild>
                    <w:div w:id="520969015">
                      <w:marLeft w:val="-225"/>
                      <w:marRight w:val="-225"/>
                      <w:marTop w:val="0"/>
                      <w:marBottom w:val="0"/>
                      <w:divBdr>
                        <w:top w:val="none" w:sz="0" w:space="0" w:color="auto"/>
                        <w:left w:val="none" w:sz="0" w:space="0" w:color="auto"/>
                        <w:bottom w:val="none" w:sz="0" w:space="0" w:color="auto"/>
                        <w:right w:val="none" w:sz="0" w:space="0" w:color="auto"/>
                      </w:divBdr>
                      <w:divsChild>
                        <w:div w:id="548802145">
                          <w:marLeft w:val="0"/>
                          <w:marRight w:val="0"/>
                          <w:marTop w:val="0"/>
                          <w:marBottom w:val="0"/>
                          <w:divBdr>
                            <w:top w:val="none" w:sz="0" w:space="0" w:color="auto"/>
                            <w:left w:val="none" w:sz="0" w:space="0" w:color="auto"/>
                            <w:bottom w:val="none" w:sz="0" w:space="0" w:color="auto"/>
                            <w:right w:val="none" w:sz="0" w:space="0" w:color="auto"/>
                          </w:divBdr>
                          <w:divsChild>
                            <w:div w:id="12956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364286">
      <w:bodyDiv w:val="1"/>
      <w:marLeft w:val="0"/>
      <w:marRight w:val="0"/>
      <w:marTop w:val="0"/>
      <w:marBottom w:val="0"/>
      <w:divBdr>
        <w:top w:val="none" w:sz="0" w:space="0" w:color="auto"/>
        <w:left w:val="none" w:sz="0" w:space="0" w:color="auto"/>
        <w:bottom w:val="none" w:sz="0" w:space="0" w:color="auto"/>
        <w:right w:val="none" w:sz="0" w:space="0" w:color="auto"/>
      </w:divBdr>
    </w:div>
    <w:div w:id="1453358272">
      <w:bodyDiv w:val="1"/>
      <w:marLeft w:val="0"/>
      <w:marRight w:val="0"/>
      <w:marTop w:val="0"/>
      <w:marBottom w:val="0"/>
      <w:divBdr>
        <w:top w:val="none" w:sz="0" w:space="0" w:color="auto"/>
        <w:left w:val="none" w:sz="0" w:space="0" w:color="auto"/>
        <w:bottom w:val="none" w:sz="0" w:space="0" w:color="auto"/>
        <w:right w:val="none" w:sz="0" w:space="0" w:color="auto"/>
      </w:divBdr>
      <w:divsChild>
        <w:div w:id="1959994222">
          <w:marLeft w:val="0"/>
          <w:marRight w:val="0"/>
          <w:marTop w:val="0"/>
          <w:marBottom w:val="0"/>
          <w:divBdr>
            <w:top w:val="none" w:sz="0" w:space="0" w:color="auto"/>
            <w:left w:val="none" w:sz="0" w:space="0" w:color="auto"/>
            <w:bottom w:val="none" w:sz="0" w:space="0" w:color="auto"/>
            <w:right w:val="none" w:sz="0" w:space="0" w:color="auto"/>
          </w:divBdr>
          <w:divsChild>
            <w:div w:id="932974239">
              <w:marLeft w:val="0"/>
              <w:marRight w:val="0"/>
              <w:marTop w:val="0"/>
              <w:marBottom w:val="0"/>
              <w:divBdr>
                <w:top w:val="none" w:sz="0" w:space="0" w:color="auto"/>
                <w:left w:val="none" w:sz="0" w:space="0" w:color="auto"/>
                <w:bottom w:val="none" w:sz="0" w:space="0" w:color="auto"/>
                <w:right w:val="none" w:sz="0" w:space="0" w:color="auto"/>
              </w:divBdr>
              <w:divsChild>
                <w:div w:id="1697460185">
                  <w:marLeft w:val="0"/>
                  <w:marRight w:val="0"/>
                  <w:marTop w:val="0"/>
                  <w:marBottom w:val="0"/>
                  <w:divBdr>
                    <w:top w:val="none" w:sz="0" w:space="0" w:color="auto"/>
                    <w:left w:val="none" w:sz="0" w:space="0" w:color="auto"/>
                    <w:bottom w:val="none" w:sz="0" w:space="0" w:color="auto"/>
                    <w:right w:val="none" w:sz="0" w:space="0" w:color="auto"/>
                  </w:divBdr>
                  <w:divsChild>
                    <w:div w:id="292291170">
                      <w:marLeft w:val="0"/>
                      <w:marRight w:val="0"/>
                      <w:marTop w:val="0"/>
                      <w:marBottom w:val="0"/>
                      <w:divBdr>
                        <w:top w:val="none" w:sz="0" w:space="0" w:color="auto"/>
                        <w:left w:val="none" w:sz="0" w:space="0" w:color="auto"/>
                        <w:bottom w:val="none" w:sz="0" w:space="0" w:color="auto"/>
                        <w:right w:val="none" w:sz="0" w:space="0" w:color="auto"/>
                      </w:divBdr>
                      <w:divsChild>
                        <w:div w:id="128324196">
                          <w:marLeft w:val="0"/>
                          <w:marRight w:val="0"/>
                          <w:marTop w:val="0"/>
                          <w:marBottom w:val="0"/>
                          <w:divBdr>
                            <w:top w:val="none" w:sz="0" w:space="0" w:color="auto"/>
                            <w:left w:val="none" w:sz="0" w:space="0" w:color="auto"/>
                            <w:bottom w:val="none" w:sz="0" w:space="0" w:color="auto"/>
                            <w:right w:val="none" w:sz="0" w:space="0" w:color="auto"/>
                          </w:divBdr>
                          <w:divsChild>
                            <w:div w:id="188837699">
                              <w:marLeft w:val="0"/>
                              <w:marRight w:val="0"/>
                              <w:marTop w:val="0"/>
                              <w:marBottom w:val="0"/>
                              <w:divBdr>
                                <w:top w:val="none" w:sz="0" w:space="0" w:color="auto"/>
                                <w:left w:val="none" w:sz="0" w:space="0" w:color="auto"/>
                                <w:bottom w:val="none" w:sz="0" w:space="0" w:color="auto"/>
                                <w:right w:val="none" w:sz="0" w:space="0" w:color="auto"/>
                              </w:divBdr>
                              <w:divsChild>
                                <w:div w:id="1796751561">
                                  <w:marLeft w:val="0"/>
                                  <w:marRight w:val="0"/>
                                  <w:marTop w:val="0"/>
                                  <w:marBottom w:val="0"/>
                                  <w:divBdr>
                                    <w:top w:val="none" w:sz="0" w:space="0" w:color="auto"/>
                                    <w:left w:val="none" w:sz="0" w:space="0" w:color="auto"/>
                                    <w:bottom w:val="none" w:sz="0" w:space="0" w:color="auto"/>
                                    <w:right w:val="none" w:sz="0" w:space="0" w:color="auto"/>
                                  </w:divBdr>
                                  <w:divsChild>
                                    <w:div w:id="145359862">
                                      <w:marLeft w:val="0"/>
                                      <w:marRight w:val="0"/>
                                      <w:marTop w:val="0"/>
                                      <w:marBottom w:val="0"/>
                                      <w:divBdr>
                                        <w:top w:val="none" w:sz="0" w:space="0" w:color="auto"/>
                                        <w:left w:val="none" w:sz="0" w:space="0" w:color="auto"/>
                                        <w:bottom w:val="none" w:sz="0" w:space="0" w:color="auto"/>
                                        <w:right w:val="none" w:sz="0" w:space="0" w:color="auto"/>
                                      </w:divBdr>
                                      <w:divsChild>
                                        <w:div w:id="1944219342">
                                          <w:marLeft w:val="0"/>
                                          <w:marRight w:val="0"/>
                                          <w:marTop w:val="0"/>
                                          <w:marBottom w:val="0"/>
                                          <w:divBdr>
                                            <w:top w:val="none" w:sz="0" w:space="0" w:color="auto"/>
                                            <w:left w:val="none" w:sz="0" w:space="0" w:color="auto"/>
                                            <w:bottom w:val="none" w:sz="0" w:space="0" w:color="auto"/>
                                            <w:right w:val="none" w:sz="0" w:space="0" w:color="auto"/>
                                          </w:divBdr>
                                          <w:divsChild>
                                            <w:div w:id="2072996921">
                                              <w:marLeft w:val="0"/>
                                              <w:marRight w:val="0"/>
                                              <w:marTop w:val="0"/>
                                              <w:marBottom w:val="0"/>
                                              <w:divBdr>
                                                <w:top w:val="none" w:sz="0" w:space="0" w:color="auto"/>
                                                <w:left w:val="none" w:sz="0" w:space="0" w:color="auto"/>
                                                <w:bottom w:val="none" w:sz="0" w:space="0" w:color="auto"/>
                                                <w:right w:val="none" w:sz="0" w:space="0" w:color="auto"/>
                                              </w:divBdr>
                                              <w:divsChild>
                                                <w:div w:id="466551861">
                                                  <w:marLeft w:val="0"/>
                                                  <w:marRight w:val="0"/>
                                                  <w:marTop w:val="0"/>
                                                  <w:marBottom w:val="0"/>
                                                  <w:divBdr>
                                                    <w:top w:val="none" w:sz="0" w:space="0" w:color="auto"/>
                                                    <w:left w:val="none" w:sz="0" w:space="0" w:color="auto"/>
                                                    <w:bottom w:val="none" w:sz="0" w:space="0" w:color="auto"/>
                                                    <w:right w:val="none" w:sz="0" w:space="0" w:color="auto"/>
                                                  </w:divBdr>
                                                  <w:divsChild>
                                                    <w:div w:id="490754691">
                                                      <w:marLeft w:val="0"/>
                                                      <w:marRight w:val="0"/>
                                                      <w:marTop w:val="0"/>
                                                      <w:marBottom w:val="0"/>
                                                      <w:divBdr>
                                                        <w:top w:val="none" w:sz="0" w:space="0" w:color="auto"/>
                                                        <w:left w:val="none" w:sz="0" w:space="0" w:color="auto"/>
                                                        <w:bottom w:val="none" w:sz="0" w:space="0" w:color="auto"/>
                                                        <w:right w:val="none" w:sz="0" w:space="0" w:color="auto"/>
                                                      </w:divBdr>
                                                      <w:divsChild>
                                                        <w:div w:id="762071388">
                                                          <w:marLeft w:val="0"/>
                                                          <w:marRight w:val="0"/>
                                                          <w:marTop w:val="0"/>
                                                          <w:marBottom w:val="0"/>
                                                          <w:divBdr>
                                                            <w:top w:val="none" w:sz="0" w:space="0" w:color="auto"/>
                                                            <w:left w:val="none" w:sz="0" w:space="0" w:color="auto"/>
                                                            <w:bottom w:val="none" w:sz="0" w:space="0" w:color="auto"/>
                                                            <w:right w:val="none" w:sz="0" w:space="0" w:color="auto"/>
                                                          </w:divBdr>
                                                        </w:div>
                                                        <w:div w:id="693189830">
                                                          <w:marLeft w:val="0"/>
                                                          <w:marRight w:val="0"/>
                                                          <w:marTop w:val="0"/>
                                                          <w:marBottom w:val="0"/>
                                                          <w:divBdr>
                                                            <w:top w:val="none" w:sz="0" w:space="0" w:color="auto"/>
                                                            <w:left w:val="none" w:sz="0" w:space="0" w:color="auto"/>
                                                            <w:bottom w:val="none" w:sz="0" w:space="0" w:color="auto"/>
                                                            <w:right w:val="none" w:sz="0" w:space="0" w:color="auto"/>
                                                          </w:divBdr>
                                                          <w:divsChild>
                                                            <w:div w:id="210533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3553596">
      <w:bodyDiv w:val="1"/>
      <w:marLeft w:val="0"/>
      <w:marRight w:val="0"/>
      <w:marTop w:val="0"/>
      <w:marBottom w:val="0"/>
      <w:divBdr>
        <w:top w:val="none" w:sz="0" w:space="0" w:color="auto"/>
        <w:left w:val="none" w:sz="0" w:space="0" w:color="auto"/>
        <w:bottom w:val="none" w:sz="0" w:space="0" w:color="auto"/>
        <w:right w:val="none" w:sz="0" w:space="0" w:color="auto"/>
      </w:divBdr>
      <w:divsChild>
        <w:div w:id="1116287559">
          <w:marLeft w:val="2400"/>
          <w:marRight w:val="0"/>
          <w:marTop w:val="0"/>
          <w:marBottom w:val="0"/>
          <w:divBdr>
            <w:top w:val="none" w:sz="0" w:space="0" w:color="auto"/>
            <w:left w:val="none" w:sz="0" w:space="0" w:color="auto"/>
            <w:bottom w:val="none" w:sz="0" w:space="0" w:color="auto"/>
            <w:right w:val="none" w:sz="0" w:space="0" w:color="auto"/>
          </w:divBdr>
          <w:divsChild>
            <w:div w:id="6450659">
              <w:marLeft w:val="0"/>
              <w:marRight w:val="0"/>
              <w:marTop w:val="0"/>
              <w:marBottom w:val="0"/>
              <w:divBdr>
                <w:top w:val="none" w:sz="0" w:space="0" w:color="auto"/>
                <w:left w:val="none" w:sz="0" w:space="0" w:color="auto"/>
                <w:bottom w:val="none" w:sz="0" w:space="0" w:color="auto"/>
                <w:right w:val="none" w:sz="0" w:space="0" w:color="auto"/>
              </w:divBdr>
              <w:divsChild>
                <w:div w:id="1323436233">
                  <w:marLeft w:val="0"/>
                  <w:marRight w:val="0"/>
                  <w:marTop w:val="0"/>
                  <w:marBottom w:val="0"/>
                  <w:divBdr>
                    <w:top w:val="none" w:sz="0" w:space="0" w:color="auto"/>
                    <w:left w:val="none" w:sz="0" w:space="0" w:color="auto"/>
                    <w:bottom w:val="none" w:sz="0" w:space="0" w:color="auto"/>
                    <w:right w:val="none" w:sz="0" w:space="0" w:color="auto"/>
                  </w:divBdr>
                  <w:divsChild>
                    <w:div w:id="999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6151">
      <w:bodyDiv w:val="1"/>
      <w:marLeft w:val="0"/>
      <w:marRight w:val="0"/>
      <w:marTop w:val="0"/>
      <w:marBottom w:val="0"/>
      <w:divBdr>
        <w:top w:val="none" w:sz="0" w:space="0" w:color="auto"/>
        <w:left w:val="none" w:sz="0" w:space="0" w:color="auto"/>
        <w:bottom w:val="none" w:sz="0" w:space="0" w:color="auto"/>
        <w:right w:val="none" w:sz="0" w:space="0" w:color="auto"/>
      </w:divBdr>
    </w:div>
    <w:div w:id="1456753364">
      <w:bodyDiv w:val="1"/>
      <w:marLeft w:val="0"/>
      <w:marRight w:val="0"/>
      <w:marTop w:val="0"/>
      <w:marBottom w:val="0"/>
      <w:divBdr>
        <w:top w:val="none" w:sz="0" w:space="0" w:color="auto"/>
        <w:left w:val="none" w:sz="0" w:space="0" w:color="auto"/>
        <w:bottom w:val="none" w:sz="0" w:space="0" w:color="auto"/>
        <w:right w:val="none" w:sz="0" w:space="0" w:color="auto"/>
      </w:divBdr>
      <w:divsChild>
        <w:div w:id="27143390">
          <w:marLeft w:val="0"/>
          <w:marRight w:val="0"/>
          <w:marTop w:val="0"/>
          <w:marBottom w:val="0"/>
          <w:divBdr>
            <w:top w:val="none" w:sz="0" w:space="0" w:color="auto"/>
            <w:left w:val="none" w:sz="0" w:space="0" w:color="auto"/>
            <w:bottom w:val="none" w:sz="0" w:space="0" w:color="auto"/>
            <w:right w:val="none" w:sz="0" w:space="0" w:color="auto"/>
          </w:divBdr>
          <w:divsChild>
            <w:div w:id="1326939208">
              <w:marLeft w:val="0"/>
              <w:marRight w:val="0"/>
              <w:marTop w:val="0"/>
              <w:marBottom w:val="0"/>
              <w:divBdr>
                <w:top w:val="none" w:sz="0" w:space="0" w:color="auto"/>
                <w:left w:val="none" w:sz="0" w:space="0" w:color="auto"/>
                <w:bottom w:val="none" w:sz="0" w:space="0" w:color="auto"/>
                <w:right w:val="none" w:sz="0" w:space="0" w:color="auto"/>
              </w:divBdr>
              <w:divsChild>
                <w:div w:id="368066706">
                  <w:marLeft w:val="0"/>
                  <w:marRight w:val="0"/>
                  <w:marTop w:val="0"/>
                  <w:marBottom w:val="0"/>
                  <w:divBdr>
                    <w:top w:val="none" w:sz="0" w:space="0" w:color="auto"/>
                    <w:left w:val="none" w:sz="0" w:space="0" w:color="auto"/>
                    <w:bottom w:val="none" w:sz="0" w:space="0" w:color="auto"/>
                    <w:right w:val="none" w:sz="0" w:space="0" w:color="auto"/>
                  </w:divBdr>
                  <w:divsChild>
                    <w:div w:id="56516492">
                      <w:marLeft w:val="0"/>
                      <w:marRight w:val="0"/>
                      <w:marTop w:val="0"/>
                      <w:marBottom w:val="0"/>
                      <w:divBdr>
                        <w:top w:val="none" w:sz="0" w:space="0" w:color="auto"/>
                        <w:left w:val="none" w:sz="0" w:space="0" w:color="auto"/>
                        <w:bottom w:val="none" w:sz="0" w:space="0" w:color="auto"/>
                        <w:right w:val="none" w:sz="0" w:space="0" w:color="auto"/>
                      </w:divBdr>
                      <w:divsChild>
                        <w:div w:id="532613507">
                          <w:marLeft w:val="0"/>
                          <w:marRight w:val="0"/>
                          <w:marTop w:val="0"/>
                          <w:marBottom w:val="0"/>
                          <w:divBdr>
                            <w:top w:val="none" w:sz="0" w:space="0" w:color="auto"/>
                            <w:left w:val="none" w:sz="0" w:space="0" w:color="auto"/>
                            <w:bottom w:val="none" w:sz="0" w:space="0" w:color="auto"/>
                            <w:right w:val="none" w:sz="0" w:space="0" w:color="auto"/>
                          </w:divBdr>
                          <w:divsChild>
                            <w:div w:id="1932004837">
                              <w:marLeft w:val="570"/>
                              <w:marRight w:val="720"/>
                              <w:marTop w:val="120"/>
                              <w:marBottom w:val="120"/>
                              <w:divBdr>
                                <w:top w:val="none" w:sz="0" w:space="0" w:color="auto"/>
                                <w:left w:val="none" w:sz="0" w:space="0" w:color="auto"/>
                                <w:bottom w:val="none" w:sz="0" w:space="0" w:color="auto"/>
                                <w:right w:val="none" w:sz="0" w:space="0" w:color="auto"/>
                              </w:divBdr>
                              <w:divsChild>
                                <w:div w:id="997227028">
                                  <w:marLeft w:val="0"/>
                                  <w:marRight w:val="0"/>
                                  <w:marTop w:val="0"/>
                                  <w:marBottom w:val="0"/>
                                  <w:divBdr>
                                    <w:top w:val="none" w:sz="0" w:space="0" w:color="auto"/>
                                    <w:left w:val="none" w:sz="0" w:space="0" w:color="auto"/>
                                    <w:bottom w:val="none" w:sz="0" w:space="0" w:color="auto"/>
                                    <w:right w:val="none" w:sz="0" w:space="0" w:color="auto"/>
                                  </w:divBdr>
                                  <w:divsChild>
                                    <w:div w:id="31997781">
                                      <w:marLeft w:val="0"/>
                                      <w:marRight w:val="0"/>
                                      <w:marTop w:val="0"/>
                                      <w:marBottom w:val="0"/>
                                      <w:divBdr>
                                        <w:top w:val="none" w:sz="0" w:space="0" w:color="auto"/>
                                        <w:left w:val="none" w:sz="0" w:space="0" w:color="auto"/>
                                        <w:bottom w:val="none" w:sz="0" w:space="0" w:color="auto"/>
                                        <w:right w:val="none" w:sz="0" w:space="0" w:color="auto"/>
                                      </w:divBdr>
                                      <w:divsChild>
                                        <w:div w:id="37435652">
                                          <w:marLeft w:val="0"/>
                                          <w:marRight w:val="0"/>
                                          <w:marTop w:val="0"/>
                                          <w:marBottom w:val="0"/>
                                          <w:divBdr>
                                            <w:top w:val="none" w:sz="0" w:space="0" w:color="auto"/>
                                            <w:left w:val="none" w:sz="0" w:space="0" w:color="auto"/>
                                            <w:bottom w:val="none" w:sz="0" w:space="0" w:color="auto"/>
                                            <w:right w:val="none" w:sz="0" w:space="0" w:color="auto"/>
                                          </w:divBdr>
                                        </w:div>
                                        <w:div w:id="450326756">
                                          <w:marLeft w:val="0"/>
                                          <w:marRight w:val="0"/>
                                          <w:marTop w:val="0"/>
                                          <w:marBottom w:val="150"/>
                                          <w:divBdr>
                                            <w:top w:val="none" w:sz="0" w:space="0" w:color="auto"/>
                                            <w:left w:val="none" w:sz="0" w:space="0" w:color="auto"/>
                                            <w:bottom w:val="none" w:sz="0" w:space="0" w:color="auto"/>
                                            <w:right w:val="none" w:sz="0" w:space="0" w:color="auto"/>
                                          </w:divBdr>
                                          <w:divsChild>
                                            <w:div w:id="1480418098">
                                              <w:marLeft w:val="0"/>
                                              <w:marRight w:val="0"/>
                                              <w:marTop w:val="240"/>
                                              <w:marBottom w:val="240"/>
                                              <w:divBdr>
                                                <w:top w:val="single" w:sz="6" w:space="6" w:color="F2F2F2"/>
                                                <w:left w:val="none" w:sz="0" w:space="0" w:color="auto"/>
                                                <w:bottom w:val="single" w:sz="6" w:space="6" w:color="F2F2F2"/>
                                                <w:right w:val="none" w:sz="0" w:space="0" w:color="auto"/>
                                              </w:divBdr>
                                            </w:div>
                                            <w:div w:id="378167597">
                                              <w:marLeft w:val="0"/>
                                              <w:marRight w:val="0"/>
                                              <w:marTop w:val="0"/>
                                              <w:marBottom w:val="0"/>
                                              <w:divBdr>
                                                <w:top w:val="none" w:sz="0" w:space="0" w:color="auto"/>
                                                <w:left w:val="none" w:sz="0" w:space="0" w:color="auto"/>
                                                <w:bottom w:val="none" w:sz="0" w:space="0" w:color="auto"/>
                                                <w:right w:val="none" w:sz="0" w:space="0" w:color="auto"/>
                                              </w:divBdr>
                                              <w:divsChild>
                                                <w:div w:id="270825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718723">
      <w:bodyDiv w:val="1"/>
      <w:marLeft w:val="0"/>
      <w:marRight w:val="0"/>
      <w:marTop w:val="0"/>
      <w:marBottom w:val="0"/>
      <w:divBdr>
        <w:top w:val="none" w:sz="0" w:space="0" w:color="auto"/>
        <w:left w:val="none" w:sz="0" w:space="0" w:color="auto"/>
        <w:bottom w:val="none" w:sz="0" w:space="0" w:color="auto"/>
        <w:right w:val="none" w:sz="0" w:space="0" w:color="auto"/>
      </w:divBdr>
    </w:div>
    <w:div w:id="1459835388">
      <w:bodyDiv w:val="1"/>
      <w:marLeft w:val="0"/>
      <w:marRight w:val="0"/>
      <w:marTop w:val="0"/>
      <w:marBottom w:val="0"/>
      <w:divBdr>
        <w:top w:val="none" w:sz="0" w:space="0" w:color="auto"/>
        <w:left w:val="none" w:sz="0" w:space="0" w:color="auto"/>
        <w:bottom w:val="none" w:sz="0" w:space="0" w:color="auto"/>
        <w:right w:val="none" w:sz="0" w:space="0" w:color="auto"/>
      </w:divBdr>
      <w:divsChild>
        <w:div w:id="158816104">
          <w:marLeft w:val="0"/>
          <w:marRight w:val="0"/>
          <w:marTop w:val="150"/>
          <w:marBottom w:val="0"/>
          <w:divBdr>
            <w:top w:val="none" w:sz="0" w:space="0" w:color="auto"/>
            <w:left w:val="none" w:sz="0" w:space="0" w:color="auto"/>
            <w:bottom w:val="none" w:sz="0" w:space="0" w:color="auto"/>
            <w:right w:val="none" w:sz="0" w:space="0" w:color="auto"/>
          </w:divBdr>
          <w:divsChild>
            <w:div w:id="1623878063">
              <w:marLeft w:val="2"/>
              <w:marRight w:val="2"/>
              <w:marTop w:val="0"/>
              <w:marBottom w:val="0"/>
              <w:divBdr>
                <w:top w:val="none" w:sz="0" w:space="0" w:color="auto"/>
                <w:left w:val="none" w:sz="0" w:space="0" w:color="auto"/>
                <w:bottom w:val="none" w:sz="0" w:space="0" w:color="auto"/>
                <w:right w:val="none" w:sz="0" w:space="0" w:color="auto"/>
              </w:divBdr>
              <w:divsChild>
                <w:div w:id="1345744616">
                  <w:marLeft w:val="0"/>
                  <w:marRight w:val="0"/>
                  <w:marTop w:val="0"/>
                  <w:marBottom w:val="0"/>
                  <w:divBdr>
                    <w:top w:val="none" w:sz="0" w:space="0" w:color="auto"/>
                    <w:left w:val="none" w:sz="0" w:space="0" w:color="auto"/>
                    <w:bottom w:val="none" w:sz="0" w:space="0" w:color="auto"/>
                    <w:right w:val="none" w:sz="0" w:space="0" w:color="auto"/>
                  </w:divBdr>
                  <w:divsChild>
                    <w:div w:id="2013214886">
                      <w:marLeft w:val="0"/>
                      <w:marRight w:val="0"/>
                      <w:marTop w:val="0"/>
                      <w:marBottom w:val="0"/>
                      <w:divBdr>
                        <w:top w:val="none" w:sz="0" w:space="0" w:color="auto"/>
                        <w:left w:val="none" w:sz="0" w:space="0" w:color="auto"/>
                        <w:bottom w:val="none" w:sz="0" w:space="0" w:color="auto"/>
                        <w:right w:val="none" w:sz="0" w:space="0" w:color="auto"/>
                      </w:divBdr>
                      <w:divsChild>
                        <w:div w:id="371812526">
                          <w:marLeft w:val="0"/>
                          <w:marRight w:val="0"/>
                          <w:marTop w:val="0"/>
                          <w:marBottom w:val="0"/>
                          <w:divBdr>
                            <w:top w:val="none" w:sz="0" w:space="0" w:color="auto"/>
                            <w:left w:val="none" w:sz="0" w:space="0" w:color="auto"/>
                            <w:bottom w:val="none" w:sz="0" w:space="0" w:color="auto"/>
                            <w:right w:val="none" w:sz="0" w:space="0" w:color="auto"/>
                          </w:divBdr>
                          <w:divsChild>
                            <w:div w:id="137260347">
                              <w:marLeft w:val="0"/>
                              <w:marRight w:val="0"/>
                              <w:marTop w:val="0"/>
                              <w:marBottom w:val="0"/>
                              <w:divBdr>
                                <w:top w:val="none" w:sz="0" w:space="0" w:color="auto"/>
                                <w:left w:val="none" w:sz="0" w:space="0" w:color="auto"/>
                                <w:bottom w:val="none" w:sz="0" w:space="0" w:color="auto"/>
                                <w:right w:val="none" w:sz="0" w:space="0" w:color="auto"/>
                              </w:divBdr>
                              <w:divsChild>
                                <w:div w:id="91899285">
                                  <w:marLeft w:val="0"/>
                                  <w:marRight w:val="0"/>
                                  <w:marTop w:val="0"/>
                                  <w:marBottom w:val="0"/>
                                  <w:divBdr>
                                    <w:top w:val="none" w:sz="0" w:space="0" w:color="auto"/>
                                    <w:left w:val="none" w:sz="0" w:space="0" w:color="auto"/>
                                    <w:bottom w:val="none" w:sz="0" w:space="0" w:color="auto"/>
                                    <w:right w:val="none" w:sz="0" w:space="0" w:color="auto"/>
                                  </w:divBdr>
                                  <w:divsChild>
                                    <w:div w:id="1614635088">
                                      <w:marLeft w:val="0"/>
                                      <w:marRight w:val="0"/>
                                      <w:marTop w:val="0"/>
                                      <w:marBottom w:val="0"/>
                                      <w:divBdr>
                                        <w:top w:val="none" w:sz="0" w:space="0" w:color="auto"/>
                                        <w:left w:val="none" w:sz="0" w:space="0" w:color="auto"/>
                                        <w:bottom w:val="none" w:sz="0" w:space="0" w:color="auto"/>
                                        <w:right w:val="none" w:sz="0" w:space="0" w:color="auto"/>
                                      </w:divBdr>
                                      <w:divsChild>
                                        <w:div w:id="423188512">
                                          <w:marLeft w:val="0"/>
                                          <w:marRight w:val="0"/>
                                          <w:marTop w:val="0"/>
                                          <w:marBottom w:val="0"/>
                                          <w:divBdr>
                                            <w:top w:val="none" w:sz="0" w:space="0" w:color="auto"/>
                                            <w:left w:val="none" w:sz="0" w:space="0" w:color="auto"/>
                                            <w:bottom w:val="none" w:sz="0" w:space="0" w:color="auto"/>
                                            <w:right w:val="none" w:sz="0" w:space="0" w:color="auto"/>
                                          </w:divBdr>
                                          <w:divsChild>
                                            <w:div w:id="392394649">
                                              <w:marLeft w:val="0"/>
                                              <w:marRight w:val="0"/>
                                              <w:marTop w:val="0"/>
                                              <w:marBottom w:val="0"/>
                                              <w:divBdr>
                                                <w:top w:val="none" w:sz="0" w:space="0" w:color="auto"/>
                                                <w:left w:val="none" w:sz="0" w:space="0" w:color="auto"/>
                                                <w:bottom w:val="none" w:sz="0" w:space="0" w:color="auto"/>
                                                <w:right w:val="none" w:sz="0" w:space="0" w:color="auto"/>
                                              </w:divBdr>
                                              <w:divsChild>
                                                <w:div w:id="1112169943">
                                                  <w:marLeft w:val="0"/>
                                                  <w:marRight w:val="0"/>
                                                  <w:marTop w:val="0"/>
                                                  <w:marBottom w:val="0"/>
                                                  <w:divBdr>
                                                    <w:top w:val="none" w:sz="0" w:space="0" w:color="auto"/>
                                                    <w:left w:val="none" w:sz="0" w:space="0" w:color="auto"/>
                                                    <w:bottom w:val="none" w:sz="0" w:space="0" w:color="auto"/>
                                                    <w:right w:val="none" w:sz="0" w:space="0" w:color="auto"/>
                                                  </w:divBdr>
                                                </w:div>
                                              </w:divsChild>
                                            </w:div>
                                            <w:div w:id="1549224291">
                                              <w:marLeft w:val="0"/>
                                              <w:marRight w:val="0"/>
                                              <w:marTop w:val="0"/>
                                              <w:marBottom w:val="0"/>
                                              <w:divBdr>
                                                <w:top w:val="none" w:sz="0" w:space="0" w:color="auto"/>
                                                <w:left w:val="none" w:sz="0" w:space="0" w:color="auto"/>
                                                <w:bottom w:val="none" w:sz="0" w:space="0" w:color="auto"/>
                                                <w:right w:val="none" w:sz="0" w:space="0" w:color="auto"/>
                                              </w:divBdr>
                                              <w:divsChild>
                                                <w:div w:id="1676691146">
                                                  <w:marLeft w:val="0"/>
                                                  <w:marRight w:val="0"/>
                                                  <w:marTop w:val="0"/>
                                                  <w:marBottom w:val="0"/>
                                                  <w:divBdr>
                                                    <w:top w:val="none" w:sz="0" w:space="0" w:color="auto"/>
                                                    <w:left w:val="none" w:sz="0" w:space="0" w:color="auto"/>
                                                    <w:bottom w:val="none" w:sz="0" w:space="0" w:color="auto"/>
                                                    <w:right w:val="none" w:sz="0" w:space="0" w:color="auto"/>
                                                  </w:divBdr>
                                                </w:div>
                                              </w:divsChild>
                                            </w:div>
                                            <w:div w:id="1547184716">
                                              <w:marLeft w:val="0"/>
                                              <w:marRight w:val="0"/>
                                              <w:marTop w:val="0"/>
                                              <w:marBottom w:val="0"/>
                                              <w:divBdr>
                                                <w:top w:val="none" w:sz="0" w:space="0" w:color="auto"/>
                                                <w:left w:val="none" w:sz="0" w:space="0" w:color="auto"/>
                                                <w:bottom w:val="none" w:sz="0" w:space="0" w:color="auto"/>
                                                <w:right w:val="none" w:sz="0" w:space="0" w:color="auto"/>
                                              </w:divBdr>
                                              <w:divsChild>
                                                <w:div w:id="2071418968">
                                                  <w:marLeft w:val="0"/>
                                                  <w:marRight w:val="0"/>
                                                  <w:marTop w:val="0"/>
                                                  <w:marBottom w:val="0"/>
                                                  <w:divBdr>
                                                    <w:top w:val="none" w:sz="0" w:space="0" w:color="auto"/>
                                                    <w:left w:val="none" w:sz="0" w:space="0" w:color="auto"/>
                                                    <w:bottom w:val="none" w:sz="0" w:space="0" w:color="auto"/>
                                                    <w:right w:val="none" w:sz="0" w:space="0" w:color="auto"/>
                                                  </w:divBdr>
                                                </w:div>
                                              </w:divsChild>
                                            </w:div>
                                            <w:div w:id="23333829">
                                              <w:marLeft w:val="0"/>
                                              <w:marRight w:val="0"/>
                                              <w:marTop w:val="0"/>
                                              <w:marBottom w:val="0"/>
                                              <w:divBdr>
                                                <w:top w:val="none" w:sz="0" w:space="0" w:color="auto"/>
                                                <w:left w:val="none" w:sz="0" w:space="0" w:color="auto"/>
                                                <w:bottom w:val="none" w:sz="0" w:space="0" w:color="auto"/>
                                                <w:right w:val="none" w:sz="0" w:space="0" w:color="auto"/>
                                              </w:divBdr>
                                              <w:divsChild>
                                                <w:div w:id="6903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1531927">
      <w:bodyDiv w:val="1"/>
      <w:marLeft w:val="0"/>
      <w:marRight w:val="0"/>
      <w:marTop w:val="0"/>
      <w:marBottom w:val="0"/>
      <w:divBdr>
        <w:top w:val="none" w:sz="0" w:space="0" w:color="auto"/>
        <w:left w:val="none" w:sz="0" w:space="0" w:color="auto"/>
        <w:bottom w:val="none" w:sz="0" w:space="0" w:color="auto"/>
        <w:right w:val="none" w:sz="0" w:space="0" w:color="auto"/>
      </w:divBdr>
      <w:divsChild>
        <w:div w:id="1917396490">
          <w:marLeft w:val="0"/>
          <w:marRight w:val="0"/>
          <w:marTop w:val="0"/>
          <w:marBottom w:val="0"/>
          <w:divBdr>
            <w:top w:val="none" w:sz="0" w:space="0" w:color="auto"/>
            <w:left w:val="none" w:sz="0" w:space="0" w:color="auto"/>
            <w:bottom w:val="none" w:sz="0" w:space="0" w:color="auto"/>
            <w:right w:val="none" w:sz="0" w:space="0" w:color="auto"/>
          </w:divBdr>
          <w:divsChild>
            <w:div w:id="1746100510">
              <w:marLeft w:val="0"/>
              <w:marRight w:val="0"/>
              <w:marTop w:val="0"/>
              <w:marBottom w:val="0"/>
              <w:divBdr>
                <w:top w:val="none" w:sz="0" w:space="0" w:color="auto"/>
                <w:left w:val="none" w:sz="0" w:space="0" w:color="auto"/>
                <w:bottom w:val="none" w:sz="0" w:space="0" w:color="auto"/>
                <w:right w:val="none" w:sz="0" w:space="0" w:color="auto"/>
              </w:divBdr>
              <w:divsChild>
                <w:div w:id="1425763705">
                  <w:marLeft w:val="0"/>
                  <w:marRight w:val="0"/>
                  <w:marTop w:val="0"/>
                  <w:marBottom w:val="0"/>
                  <w:divBdr>
                    <w:top w:val="none" w:sz="0" w:space="0" w:color="auto"/>
                    <w:left w:val="none" w:sz="0" w:space="0" w:color="auto"/>
                    <w:bottom w:val="none" w:sz="0" w:space="0" w:color="auto"/>
                    <w:right w:val="none" w:sz="0" w:space="0" w:color="auto"/>
                  </w:divBdr>
                  <w:divsChild>
                    <w:div w:id="1176699466">
                      <w:marLeft w:val="0"/>
                      <w:marRight w:val="0"/>
                      <w:marTop w:val="0"/>
                      <w:marBottom w:val="0"/>
                      <w:divBdr>
                        <w:top w:val="none" w:sz="0" w:space="0" w:color="auto"/>
                        <w:left w:val="none" w:sz="0" w:space="0" w:color="auto"/>
                        <w:bottom w:val="none" w:sz="0" w:space="0" w:color="auto"/>
                        <w:right w:val="none" w:sz="0" w:space="0" w:color="auto"/>
                      </w:divBdr>
                      <w:divsChild>
                        <w:div w:id="546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772631">
      <w:bodyDiv w:val="1"/>
      <w:marLeft w:val="0"/>
      <w:marRight w:val="0"/>
      <w:marTop w:val="0"/>
      <w:marBottom w:val="0"/>
      <w:divBdr>
        <w:top w:val="none" w:sz="0" w:space="0" w:color="auto"/>
        <w:left w:val="none" w:sz="0" w:space="0" w:color="auto"/>
        <w:bottom w:val="none" w:sz="0" w:space="0" w:color="auto"/>
        <w:right w:val="none" w:sz="0" w:space="0" w:color="auto"/>
      </w:divBdr>
      <w:divsChild>
        <w:div w:id="508329805">
          <w:marLeft w:val="0"/>
          <w:marRight w:val="0"/>
          <w:marTop w:val="0"/>
          <w:marBottom w:val="0"/>
          <w:divBdr>
            <w:top w:val="single" w:sz="6" w:space="0" w:color="0E477A"/>
            <w:left w:val="single" w:sz="6" w:space="0" w:color="0E477A"/>
            <w:bottom w:val="single" w:sz="6" w:space="0" w:color="0E477A"/>
            <w:right w:val="single" w:sz="6" w:space="0" w:color="0E477A"/>
          </w:divBdr>
          <w:divsChild>
            <w:div w:id="724447626">
              <w:marLeft w:val="2925"/>
              <w:marRight w:val="0"/>
              <w:marTop w:val="0"/>
              <w:marBottom w:val="0"/>
              <w:divBdr>
                <w:top w:val="none" w:sz="0" w:space="0" w:color="auto"/>
                <w:left w:val="none" w:sz="0" w:space="0" w:color="auto"/>
                <w:bottom w:val="none" w:sz="0" w:space="0" w:color="auto"/>
                <w:right w:val="none" w:sz="0" w:space="0" w:color="auto"/>
              </w:divBdr>
              <w:divsChild>
                <w:div w:id="507641914">
                  <w:marLeft w:val="0"/>
                  <w:marRight w:val="0"/>
                  <w:marTop w:val="0"/>
                  <w:marBottom w:val="0"/>
                  <w:divBdr>
                    <w:top w:val="none" w:sz="0" w:space="0" w:color="auto"/>
                    <w:left w:val="none" w:sz="0" w:space="0" w:color="auto"/>
                    <w:bottom w:val="none" w:sz="0" w:space="0" w:color="auto"/>
                    <w:right w:val="none" w:sz="0" w:space="0" w:color="auto"/>
                  </w:divBdr>
                  <w:divsChild>
                    <w:div w:id="351610747">
                      <w:marLeft w:val="0"/>
                      <w:marRight w:val="150"/>
                      <w:marTop w:val="0"/>
                      <w:marBottom w:val="0"/>
                      <w:divBdr>
                        <w:top w:val="single" w:sz="6" w:space="0" w:color="CCCCCC"/>
                        <w:left w:val="single" w:sz="6" w:space="8" w:color="CCCCCC"/>
                        <w:bottom w:val="single" w:sz="6" w:space="8" w:color="CCCCCC"/>
                        <w:right w:val="single" w:sz="6" w:space="8" w:color="CCCCCC"/>
                      </w:divBdr>
                      <w:divsChild>
                        <w:div w:id="1206789980">
                          <w:marLeft w:val="0"/>
                          <w:marRight w:val="0"/>
                          <w:marTop w:val="0"/>
                          <w:marBottom w:val="0"/>
                          <w:divBdr>
                            <w:top w:val="none" w:sz="0" w:space="0" w:color="auto"/>
                            <w:left w:val="none" w:sz="0" w:space="0" w:color="auto"/>
                            <w:bottom w:val="none" w:sz="0" w:space="0" w:color="auto"/>
                            <w:right w:val="none" w:sz="0" w:space="0" w:color="auto"/>
                          </w:divBdr>
                        </w:div>
                        <w:div w:id="1965846638">
                          <w:marLeft w:val="0"/>
                          <w:marRight w:val="0"/>
                          <w:marTop w:val="0"/>
                          <w:marBottom w:val="0"/>
                          <w:divBdr>
                            <w:top w:val="none" w:sz="0" w:space="0" w:color="auto"/>
                            <w:left w:val="none" w:sz="0" w:space="0" w:color="auto"/>
                            <w:bottom w:val="none" w:sz="0" w:space="0" w:color="auto"/>
                            <w:right w:val="none" w:sz="0" w:space="0" w:color="auto"/>
                          </w:divBdr>
                        </w:div>
                        <w:div w:id="1366446938">
                          <w:marLeft w:val="0"/>
                          <w:marRight w:val="0"/>
                          <w:marTop w:val="0"/>
                          <w:marBottom w:val="0"/>
                          <w:divBdr>
                            <w:top w:val="none" w:sz="0" w:space="0" w:color="auto"/>
                            <w:left w:val="none" w:sz="0" w:space="0" w:color="auto"/>
                            <w:bottom w:val="none" w:sz="0" w:space="0" w:color="auto"/>
                            <w:right w:val="none" w:sz="0" w:space="0" w:color="auto"/>
                          </w:divBdr>
                        </w:div>
                        <w:div w:id="1088232532">
                          <w:marLeft w:val="0"/>
                          <w:marRight w:val="0"/>
                          <w:marTop w:val="0"/>
                          <w:marBottom w:val="0"/>
                          <w:divBdr>
                            <w:top w:val="none" w:sz="0" w:space="0" w:color="auto"/>
                            <w:left w:val="none" w:sz="0" w:space="0" w:color="auto"/>
                            <w:bottom w:val="none" w:sz="0" w:space="0" w:color="auto"/>
                            <w:right w:val="none" w:sz="0" w:space="0" w:color="auto"/>
                          </w:divBdr>
                        </w:div>
                        <w:div w:id="13600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960949">
      <w:bodyDiv w:val="1"/>
      <w:marLeft w:val="0"/>
      <w:marRight w:val="0"/>
      <w:marTop w:val="0"/>
      <w:marBottom w:val="0"/>
      <w:divBdr>
        <w:top w:val="none" w:sz="0" w:space="0" w:color="auto"/>
        <w:left w:val="none" w:sz="0" w:space="0" w:color="auto"/>
        <w:bottom w:val="none" w:sz="0" w:space="0" w:color="auto"/>
        <w:right w:val="none" w:sz="0" w:space="0" w:color="auto"/>
      </w:divBdr>
      <w:divsChild>
        <w:div w:id="1822303964">
          <w:marLeft w:val="0"/>
          <w:marRight w:val="0"/>
          <w:marTop w:val="0"/>
          <w:marBottom w:val="0"/>
          <w:divBdr>
            <w:top w:val="none" w:sz="0" w:space="0" w:color="auto"/>
            <w:left w:val="none" w:sz="0" w:space="0" w:color="auto"/>
            <w:bottom w:val="none" w:sz="0" w:space="0" w:color="auto"/>
            <w:right w:val="none" w:sz="0" w:space="0" w:color="auto"/>
          </w:divBdr>
          <w:divsChild>
            <w:div w:id="623854319">
              <w:marLeft w:val="0"/>
              <w:marRight w:val="0"/>
              <w:marTop w:val="0"/>
              <w:marBottom w:val="0"/>
              <w:divBdr>
                <w:top w:val="none" w:sz="0" w:space="0" w:color="auto"/>
                <w:left w:val="none" w:sz="0" w:space="0" w:color="auto"/>
                <w:bottom w:val="none" w:sz="0" w:space="0" w:color="auto"/>
                <w:right w:val="none" w:sz="0" w:space="0" w:color="auto"/>
              </w:divBdr>
              <w:divsChild>
                <w:div w:id="928273558">
                  <w:marLeft w:val="0"/>
                  <w:marRight w:val="0"/>
                  <w:marTop w:val="0"/>
                  <w:marBottom w:val="0"/>
                  <w:divBdr>
                    <w:top w:val="none" w:sz="0" w:space="0" w:color="auto"/>
                    <w:left w:val="none" w:sz="0" w:space="0" w:color="auto"/>
                    <w:bottom w:val="none" w:sz="0" w:space="0" w:color="auto"/>
                    <w:right w:val="none" w:sz="0" w:space="0" w:color="auto"/>
                  </w:divBdr>
                  <w:divsChild>
                    <w:div w:id="358626936">
                      <w:marLeft w:val="0"/>
                      <w:marRight w:val="0"/>
                      <w:marTop w:val="0"/>
                      <w:marBottom w:val="0"/>
                      <w:divBdr>
                        <w:top w:val="none" w:sz="0" w:space="0" w:color="auto"/>
                        <w:left w:val="none" w:sz="0" w:space="0" w:color="auto"/>
                        <w:bottom w:val="none" w:sz="0" w:space="0" w:color="auto"/>
                        <w:right w:val="none" w:sz="0" w:space="0" w:color="auto"/>
                      </w:divBdr>
                      <w:divsChild>
                        <w:div w:id="1318532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64035418">
      <w:bodyDiv w:val="1"/>
      <w:marLeft w:val="0"/>
      <w:marRight w:val="0"/>
      <w:marTop w:val="0"/>
      <w:marBottom w:val="0"/>
      <w:divBdr>
        <w:top w:val="none" w:sz="0" w:space="0" w:color="auto"/>
        <w:left w:val="none" w:sz="0" w:space="0" w:color="auto"/>
        <w:bottom w:val="none" w:sz="0" w:space="0" w:color="auto"/>
        <w:right w:val="none" w:sz="0" w:space="0" w:color="auto"/>
      </w:divBdr>
      <w:divsChild>
        <w:div w:id="395131610">
          <w:marLeft w:val="0"/>
          <w:marRight w:val="0"/>
          <w:marTop w:val="0"/>
          <w:marBottom w:val="0"/>
          <w:divBdr>
            <w:top w:val="none" w:sz="0" w:space="0" w:color="auto"/>
            <w:left w:val="none" w:sz="0" w:space="0" w:color="auto"/>
            <w:bottom w:val="none" w:sz="0" w:space="0" w:color="auto"/>
            <w:right w:val="none" w:sz="0" w:space="0" w:color="auto"/>
          </w:divBdr>
          <w:divsChild>
            <w:div w:id="552959305">
              <w:marLeft w:val="0"/>
              <w:marRight w:val="0"/>
              <w:marTop w:val="0"/>
              <w:marBottom w:val="0"/>
              <w:divBdr>
                <w:top w:val="none" w:sz="0" w:space="0" w:color="auto"/>
                <w:left w:val="none" w:sz="0" w:space="0" w:color="auto"/>
                <w:bottom w:val="none" w:sz="0" w:space="0" w:color="auto"/>
                <w:right w:val="none" w:sz="0" w:space="0" w:color="auto"/>
              </w:divBdr>
              <w:divsChild>
                <w:div w:id="1723097005">
                  <w:marLeft w:val="0"/>
                  <w:marRight w:val="0"/>
                  <w:marTop w:val="100"/>
                  <w:marBottom w:val="100"/>
                  <w:divBdr>
                    <w:top w:val="none" w:sz="0" w:space="0" w:color="auto"/>
                    <w:left w:val="none" w:sz="0" w:space="0" w:color="auto"/>
                    <w:bottom w:val="none" w:sz="0" w:space="0" w:color="auto"/>
                    <w:right w:val="none" w:sz="0" w:space="0" w:color="auto"/>
                  </w:divBdr>
                  <w:divsChild>
                    <w:div w:id="484857454">
                      <w:marLeft w:val="0"/>
                      <w:marRight w:val="0"/>
                      <w:marTop w:val="0"/>
                      <w:marBottom w:val="0"/>
                      <w:divBdr>
                        <w:top w:val="none" w:sz="0" w:space="0" w:color="auto"/>
                        <w:left w:val="none" w:sz="0" w:space="0" w:color="auto"/>
                        <w:bottom w:val="none" w:sz="0" w:space="0" w:color="auto"/>
                        <w:right w:val="none" w:sz="0" w:space="0" w:color="auto"/>
                      </w:divBdr>
                      <w:divsChild>
                        <w:div w:id="2058964431">
                          <w:marLeft w:val="0"/>
                          <w:marRight w:val="0"/>
                          <w:marTop w:val="0"/>
                          <w:marBottom w:val="0"/>
                          <w:divBdr>
                            <w:top w:val="none" w:sz="0" w:space="0" w:color="auto"/>
                            <w:left w:val="none" w:sz="0" w:space="0" w:color="auto"/>
                            <w:bottom w:val="none" w:sz="0" w:space="0" w:color="auto"/>
                            <w:right w:val="none" w:sz="0" w:space="0" w:color="auto"/>
                          </w:divBdr>
                          <w:divsChild>
                            <w:div w:id="715661421">
                              <w:marLeft w:val="0"/>
                              <w:marRight w:val="0"/>
                              <w:marTop w:val="0"/>
                              <w:marBottom w:val="0"/>
                              <w:divBdr>
                                <w:top w:val="none" w:sz="0" w:space="0" w:color="auto"/>
                                <w:left w:val="none" w:sz="0" w:space="0" w:color="auto"/>
                                <w:bottom w:val="none" w:sz="0" w:space="0" w:color="auto"/>
                                <w:right w:val="none" w:sz="0" w:space="0" w:color="auto"/>
                              </w:divBdr>
                              <w:divsChild>
                                <w:div w:id="1916084978">
                                  <w:marLeft w:val="0"/>
                                  <w:marRight w:val="0"/>
                                  <w:marTop w:val="0"/>
                                  <w:marBottom w:val="0"/>
                                  <w:divBdr>
                                    <w:top w:val="none" w:sz="0" w:space="0" w:color="auto"/>
                                    <w:left w:val="none" w:sz="0" w:space="0" w:color="auto"/>
                                    <w:bottom w:val="none" w:sz="0" w:space="0" w:color="auto"/>
                                    <w:right w:val="none" w:sz="0" w:space="0" w:color="auto"/>
                                  </w:divBdr>
                                  <w:divsChild>
                                    <w:div w:id="314183687">
                                      <w:marLeft w:val="0"/>
                                      <w:marRight w:val="0"/>
                                      <w:marTop w:val="0"/>
                                      <w:marBottom w:val="0"/>
                                      <w:divBdr>
                                        <w:top w:val="none" w:sz="0" w:space="0" w:color="auto"/>
                                        <w:left w:val="none" w:sz="0" w:space="0" w:color="auto"/>
                                        <w:bottom w:val="none" w:sz="0" w:space="0" w:color="auto"/>
                                        <w:right w:val="none" w:sz="0" w:space="0" w:color="auto"/>
                                      </w:divBdr>
                                      <w:divsChild>
                                        <w:div w:id="2086339074">
                                          <w:marLeft w:val="0"/>
                                          <w:marRight w:val="0"/>
                                          <w:marTop w:val="0"/>
                                          <w:marBottom w:val="0"/>
                                          <w:divBdr>
                                            <w:top w:val="none" w:sz="0" w:space="0" w:color="auto"/>
                                            <w:left w:val="none" w:sz="0" w:space="0" w:color="auto"/>
                                            <w:bottom w:val="none" w:sz="0" w:space="0" w:color="auto"/>
                                            <w:right w:val="none" w:sz="0" w:space="0" w:color="auto"/>
                                          </w:divBdr>
                                          <w:divsChild>
                                            <w:div w:id="129903252">
                                              <w:marLeft w:val="0"/>
                                              <w:marRight w:val="0"/>
                                              <w:marTop w:val="0"/>
                                              <w:marBottom w:val="0"/>
                                              <w:divBdr>
                                                <w:top w:val="single" w:sz="6" w:space="0" w:color="B6D444"/>
                                                <w:left w:val="none" w:sz="0" w:space="0" w:color="auto"/>
                                                <w:bottom w:val="none" w:sz="0" w:space="0" w:color="auto"/>
                                                <w:right w:val="none" w:sz="0" w:space="0" w:color="auto"/>
                                              </w:divBdr>
                                              <w:divsChild>
                                                <w:div w:id="2039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5393379">
      <w:bodyDiv w:val="1"/>
      <w:marLeft w:val="0"/>
      <w:marRight w:val="0"/>
      <w:marTop w:val="0"/>
      <w:marBottom w:val="0"/>
      <w:divBdr>
        <w:top w:val="none" w:sz="0" w:space="0" w:color="auto"/>
        <w:left w:val="none" w:sz="0" w:space="0" w:color="auto"/>
        <w:bottom w:val="none" w:sz="0" w:space="0" w:color="auto"/>
        <w:right w:val="none" w:sz="0" w:space="0" w:color="auto"/>
      </w:divBdr>
      <w:divsChild>
        <w:div w:id="1905875880">
          <w:marLeft w:val="0"/>
          <w:marRight w:val="0"/>
          <w:marTop w:val="0"/>
          <w:marBottom w:val="0"/>
          <w:divBdr>
            <w:top w:val="none" w:sz="0" w:space="0" w:color="auto"/>
            <w:left w:val="none" w:sz="0" w:space="0" w:color="auto"/>
            <w:bottom w:val="none" w:sz="0" w:space="0" w:color="auto"/>
            <w:right w:val="none" w:sz="0" w:space="0" w:color="auto"/>
          </w:divBdr>
          <w:divsChild>
            <w:div w:id="1968966483">
              <w:marLeft w:val="0"/>
              <w:marRight w:val="0"/>
              <w:marTop w:val="0"/>
              <w:marBottom w:val="0"/>
              <w:divBdr>
                <w:top w:val="none" w:sz="0" w:space="0" w:color="auto"/>
                <w:left w:val="none" w:sz="0" w:space="0" w:color="auto"/>
                <w:bottom w:val="none" w:sz="0" w:space="0" w:color="auto"/>
                <w:right w:val="none" w:sz="0" w:space="0" w:color="auto"/>
              </w:divBdr>
              <w:divsChild>
                <w:div w:id="1142698691">
                  <w:marLeft w:val="0"/>
                  <w:marRight w:val="0"/>
                  <w:marTop w:val="0"/>
                  <w:marBottom w:val="0"/>
                  <w:divBdr>
                    <w:top w:val="none" w:sz="0" w:space="0" w:color="auto"/>
                    <w:left w:val="none" w:sz="0" w:space="0" w:color="auto"/>
                    <w:bottom w:val="none" w:sz="0" w:space="0" w:color="auto"/>
                    <w:right w:val="none" w:sz="0" w:space="0" w:color="auto"/>
                  </w:divBdr>
                  <w:divsChild>
                    <w:div w:id="181087921">
                      <w:marLeft w:val="0"/>
                      <w:marRight w:val="0"/>
                      <w:marTop w:val="0"/>
                      <w:marBottom w:val="0"/>
                      <w:divBdr>
                        <w:top w:val="none" w:sz="0" w:space="0" w:color="auto"/>
                        <w:left w:val="none" w:sz="0" w:space="0" w:color="auto"/>
                        <w:bottom w:val="none" w:sz="0" w:space="0" w:color="auto"/>
                        <w:right w:val="none" w:sz="0" w:space="0" w:color="auto"/>
                      </w:divBdr>
                      <w:divsChild>
                        <w:div w:id="1058865696">
                          <w:marLeft w:val="0"/>
                          <w:marRight w:val="0"/>
                          <w:marTop w:val="0"/>
                          <w:marBottom w:val="0"/>
                          <w:divBdr>
                            <w:top w:val="none" w:sz="0" w:space="0" w:color="auto"/>
                            <w:left w:val="none" w:sz="0" w:space="0" w:color="auto"/>
                            <w:bottom w:val="none" w:sz="0" w:space="0" w:color="auto"/>
                            <w:right w:val="none" w:sz="0" w:space="0" w:color="auto"/>
                          </w:divBdr>
                          <w:divsChild>
                            <w:div w:id="1028601311">
                              <w:marLeft w:val="0"/>
                              <w:marRight w:val="0"/>
                              <w:marTop w:val="0"/>
                              <w:marBottom w:val="0"/>
                              <w:divBdr>
                                <w:top w:val="none" w:sz="0" w:space="0" w:color="auto"/>
                                <w:left w:val="none" w:sz="0" w:space="0" w:color="auto"/>
                                <w:bottom w:val="none" w:sz="0" w:space="0" w:color="auto"/>
                                <w:right w:val="none" w:sz="0" w:space="0" w:color="auto"/>
                              </w:divBdr>
                              <w:divsChild>
                                <w:div w:id="1660574618">
                                  <w:marLeft w:val="0"/>
                                  <w:marRight w:val="0"/>
                                  <w:marTop w:val="0"/>
                                  <w:marBottom w:val="0"/>
                                  <w:divBdr>
                                    <w:top w:val="none" w:sz="0" w:space="0" w:color="auto"/>
                                    <w:left w:val="none" w:sz="0" w:space="0" w:color="auto"/>
                                    <w:bottom w:val="none" w:sz="0" w:space="0" w:color="auto"/>
                                    <w:right w:val="none" w:sz="0" w:space="0" w:color="auto"/>
                                  </w:divBdr>
                                  <w:divsChild>
                                    <w:div w:id="1204051707">
                                      <w:marLeft w:val="0"/>
                                      <w:marRight w:val="0"/>
                                      <w:marTop w:val="0"/>
                                      <w:marBottom w:val="0"/>
                                      <w:divBdr>
                                        <w:top w:val="none" w:sz="0" w:space="0" w:color="auto"/>
                                        <w:left w:val="none" w:sz="0" w:space="0" w:color="auto"/>
                                        <w:bottom w:val="none" w:sz="0" w:space="0" w:color="auto"/>
                                        <w:right w:val="none" w:sz="0" w:space="0" w:color="auto"/>
                                      </w:divBdr>
                                      <w:divsChild>
                                        <w:div w:id="20203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731719">
      <w:bodyDiv w:val="1"/>
      <w:marLeft w:val="0"/>
      <w:marRight w:val="0"/>
      <w:marTop w:val="0"/>
      <w:marBottom w:val="0"/>
      <w:divBdr>
        <w:top w:val="none" w:sz="0" w:space="0" w:color="auto"/>
        <w:left w:val="none" w:sz="0" w:space="0" w:color="auto"/>
        <w:bottom w:val="none" w:sz="0" w:space="0" w:color="auto"/>
        <w:right w:val="none" w:sz="0" w:space="0" w:color="auto"/>
      </w:divBdr>
      <w:divsChild>
        <w:div w:id="1813596467">
          <w:marLeft w:val="0"/>
          <w:marRight w:val="0"/>
          <w:marTop w:val="0"/>
          <w:marBottom w:val="0"/>
          <w:divBdr>
            <w:top w:val="single" w:sz="6" w:space="0" w:color="0E477A"/>
            <w:left w:val="single" w:sz="6" w:space="0" w:color="0E477A"/>
            <w:bottom w:val="single" w:sz="6" w:space="0" w:color="0E477A"/>
            <w:right w:val="single" w:sz="6" w:space="0" w:color="0E477A"/>
          </w:divBdr>
          <w:divsChild>
            <w:div w:id="921643197">
              <w:marLeft w:val="2925"/>
              <w:marRight w:val="0"/>
              <w:marTop w:val="0"/>
              <w:marBottom w:val="0"/>
              <w:divBdr>
                <w:top w:val="none" w:sz="0" w:space="0" w:color="auto"/>
                <w:left w:val="none" w:sz="0" w:space="0" w:color="auto"/>
                <w:bottom w:val="none" w:sz="0" w:space="0" w:color="auto"/>
                <w:right w:val="none" w:sz="0" w:space="0" w:color="auto"/>
              </w:divBdr>
              <w:divsChild>
                <w:div w:id="829836151">
                  <w:marLeft w:val="0"/>
                  <w:marRight w:val="0"/>
                  <w:marTop w:val="0"/>
                  <w:marBottom w:val="0"/>
                  <w:divBdr>
                    <w:top w:val="none" w:sz="0" w:space="0" w:color="auto"/>
                    <w:left w:val="none" w:sz="0" w:space="0" w:color="auto"/>
                    <w:bottom w:val="none" w:sz="0" w:space="0" w:color="auto"/>
                    <w:right w:val="none" w:sz="0" w:space="0" w:color="auto"/>
                  </w:divBdr>
                  <w:divsChild>
                    <w:div w:id="1547060927">
                      <w:marLeft w:val="0"/>
                      <w:marRight w:val="150"/>
                      <w:marTop w:val="0"/>
                      <w:marBottom w:val="0"/>
                      <w:divBdr>
                        <w:top w:val="single" w:sz="6" w:space="0" w:color="CCCCCC"/>
                        <w:left w:val="single" w:sz="6" w:space="8" w:color="CCCCCC"/>
                        <w:bottom w:val="single" w:sz="6" w:space="8" w:color="CCCCCC"/>
                        <w:right w:val="single" w:sz="6" w:space="8" w:color="CCCCCC"/>
                      </w:divBdr>
                      <w:divsChild>
                        <w:div w:id="1657416550">
                          <w:marLeft w:val="0"/>
                          <w:marRight w:val="0"/>
                          <w:marTop w:val="0"/>
                          <w:marBottom w:val="0"/>
                          <w:divBdr>
                            <w:top w:val="none" w:sz="0" w:space="0" w:color="auto"/>
                            <w:left w:val="none" w:sz="0" w:space="0" w:color="auto"/>
                            <w:bottom w:val="none" w:sz="0" w:space="0" w:color="auto"/>
                            <w:right w:val="none" w:sz="0" w:space="0" w:color="auto"/>
                          </w:divBdr>
                        </w:div>
                        <w:div w:id="1929582519">
                          <w:marLeft w:val="0"/>
                          <w:marRight w:val="0"/>
                          <w:marTop w:val="0"/>
                          <w:marBottom w:val="0"/>
                          <w:divBdr>
                            <w:top w:val="none" w:sz="0" w:space="0" w:color="auto"/>
                            <w:left w:val="none" w:sz="0" w:space="0" w:color="auto"/>
                            <w:bottom w:val="none" w:sz="0" w:space="0" w:color="auto"/>
                            <w:right w:val="none" w:sz="0" w:space="0" w:color="auto"/>
                          </w:divBdr>
                        </w:div>
                        <w:div w:id="1713142386">
                          <w:marLeft w:val="0"/>
                          <w:marRight w:val="0"/>
                          <w:marTop w:val="0"/>
                          <w:marBottom w:val="0"/>
                          <w:divBdr>
                            <w:top w:val="none" w:sz="0" w:space="0" w:color="auto"/>
                            <w:left w:val="none" w:sz="0" w:space="0" w:color="auto"/>
                            <w:bottom w:val="none" w:sz="0" w:space="0" w:color="auto"/>
                            <w:right w:val="none" w:sz="0" w:space="0" w:color="auto"/>
                          </w:divBdr>
                        </w:div>
                        <w:div w:id="167722433">
                          <w:marLeft w:val="0"/>
                          <w:marRight w:val="0"/>
                          <w:marTop w:val="0"/>
                          <w:marBottom w:val="0"/>
                          <w:divBdr>
                            <w:top w:val="none" w:sz="0" w:space="0" w:color="auto"/>
                            <w:left w:val="none" w:sz="0" w:space="0" w:color="auto"/>
                            <w:bottom w:val="none" w:sz="0" w:space="0" w:color="auto"/>
                            <w:right w:val="none" w:sz="0" w:space="0" w:color="auto"/>
                          </w:divBdr>
                        </w:div>
                        <w:div w:id="735081515">
                          <w:marLeft w:val="0"/>
                          <w:marRight w:val="0"/>
                          <w:marTop w:val="0"/>
                          <w:marBottom w:val="0"/>
                          <w:divBdr>
                            <w:top w:val="none" w:sz="0" w:space="0" w:color="auto"/>
                            <w:left w:val="none" w:sz="0" w:space="0" w:color="auto"/>
                            <w:bottom w:val="none" w:sz="0" w:space="0" w:color="auto"/>
                            <w:right w:val="none" w:sz="0" w:space="0" w:color="auto"/>
                          </w:divBdr>
                        </w:div>
                        <w:div w:id="1197356803">
                          <w:marLeft w:val="0"/>
                          <w:marRight w:val="0"/>
                          <w:marTop w:val="0"/>
                          <w:marBottom w:val="0"/>
                          <w:divBdr>
                            <w:top w:val="none" w:sz="0" w:space="0" w:color="auto"/>
                            <w:left w:val="none" w:sz="0" w:space="0" w:color="auto"/>
                            <w:bottom w:val="none" w:sz="0" w:space="0" w:color="auto"/>
                            <w:right w:val="none" w:sz="0" w:space="0" w:color="auto"/>
                          </w:divBdr>
                        </w:div>
                        <w:div w:id="2017416530">
                          <w:marLeft w:val="0"/>
                          <w:marRight w:val="0"/>
                          <w:marTop w:val="0"/>
                          <w:marBottom w:val="0"/>
                          <w:divBdr>
                            <w:top w:val="none" w:sz="0" w:space="0" w:color="auto"/>
                            <w:left w:val="none" w:sz="0" w:space="0" w:color="auto"/>
                            <w:bottom w:val="none" w:sz="0" w:space="0" w:color="auto"/>
                            <w:right w:val="none" w:sz="0" w:space="0" w:color="auto"/>
                          </w:divBdr>
                        </w:div>
                        <w:div w:id="1458600176">
                          <w:marLeft w:val="0"/>
                          <w:marRight w:val="0"/>
                          <w:marTop w:val="0"/>
                          <w:marBottom w:val="0"/>
                          <w:divBdr>
                            <w:top w:val="none" w:sz="0" w:space="0" w:color="auto"/>
                            <w:left w:val="none" w:sz="0" w:space="0" w:color="auto"/>
                            <w:bottom w:val="none" w:sz="0" w:space="0" w:color="auto"/>
                            <w:right w:val="none" w:sz="0" w:space="0" w:color="auto"/>
                          </w:divBdr>
                        </w:div>
                        <w:div w:id="1255749285">
                          <w:marLeft w:val="0"/>
                          <w:marRight w:val="0"/>
                          <w:marTop w:val="0"/>
                          <w:marBottom w:val="0"/>
                          <w:divBdr>
                            <w:top w:val="none" w:sz="0" w:space="0" w:color="auto"/>
                            <w:left w:val="none" w:sz="0" w:space="0" w:color="auto"/>
                            <w:bottom w:val="none" w:sz="0" w:space="0" w:color="auto"/>
                            <w:right w:val="none" w:sz="0" w:space="0" w:color="auto"/>
                          </w:divBdr>
                        </w:div>
                        <w:div w:id="2013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05631">
      <w:bodyDiv w:val="1"/>
      <w:marLeft w:val="0"/>
      <w:marRight w:val="0"/>
      <w:marTop w:val="0"/>
      <w:marBottom w:val="0"/>
      <w:divBdr>
        <w:top w:val="none" w:sz="0" w:space="0" w:color="auto"/>
        <w:left w:val="none" w:sz="0" w:space="0" w:color="auto"/>
        <w:bottom w:val="none" w:sz="0" w:space="0" w:color="auto"/>
        <w:right w:val="none" w:sz="0" w:space="0" w:color="auto"/>
      </w:divBdr>
      <w:divsChild>
        <w:div w:id="1383671602">
          <w:marLeft w:val="0"/>
          <w:marRight w:val="0"/>
          <w:marTop w:val="0"/>
          <w:marBottom w:val="0"/>
          <w:divBdr>
            <w:top w:val="none" w:sz="0" w:space="0" w:color="auto"/>
            <w:left w:val="none" w:sz="0" w:space="0" w:color="auto"/>
            <w:bottom w:val="none" w:sz="0" w:space="0" w:color="auto"/>
            <w:right w:val="none" w:sz="0" w:space="0" w:color="auto"/>
          </w:divBdr>
          <w:divsChild>
            <w:div w:id="1691176531">
              <w:marLeft w:val="0"/>
              <w:marRight w:val="0"/>
              <w:marTop w:val="0"/>
              <w:marBottom w:val="0"/>
              <w:divBdr>
                <w:top w:val="none" w:sz="0" w:space="0" w:color="auto"/>
                <w:left w:val="none" w:sz="0" w:space="0" w:color="auto"/>
                <w:bottom w:val="none" w:sz="0" w:space="0" w:color="auto"/>
                <w:right w:val="none" w:sz="0" w:space="0" w:color="auto"/>
              </w:divBdr>
              <w:divsChild>
                <w:div w:id="118687056">
                  <w:marLeft w:val="0"/>
                  <w:marRight w:val="0"/>
                  <w:marTop w:val="0"/>
                  <w:marBottom w:val="0"/>
                  <w:divBdr>
                    <w:top w:val="none" w:sz="0" w:space="0" w:color="auto"/>
                    <w:left w:val="none" w:sz="0" w:space="0" w:color="auto"/>
                    <w:bottom w:val="none" w:sz="0" w:space="0" w:color="auto"/>
                    <w:right w:val="none" w:sz="0" w:space="0" w:color="auto"/>
                  </w:divBdr>
                  <w:divsChild>
                    <w:div w:id="1400710363">
                      <w:marLeft w:val="0"/>
                      <w:marRight w:val="0"/>
                      <w:marTop w:val="0"/>
                      <w:marBottom w:val="0"/>
                      <w:divBdr>
                        <w:top w:val="none" w:sz="0" w:space="0" w:color="auto"/>
                        <w:left w:val="none" w:sz="0" w:space="0" w:color="auto"/>
                        <w:bottom w:val="none" w:sz="0" w:space="0" w:color="auto"/>
                        <w:right w:val="none" w:sz="0" w:space="0" w:color="auto"/>
                      </w:divBdr>
                    </w:div>
                    <w:div w:id="1928882730">
                      <w:marLeft w:val="0"/>
                      <w:marRight w:val="0"/>
                      <w:marTop w:val="0"/>
                      <w:marBottom w:val="0"/>
                      <w:divBdr>
                        <w:top w:val="none" w:sz="0" w:space="0" w:color="auto"/>
                        <w:left w:val="none" w:sz="0" w:space="0" w:color="auto"/>
                        <w:bottom w:val="none" w:sz="0" w:space="0" w:color="auto"/>
                        <w:right w:val="none" w:sz="0" w:space="0" w:color="auto"/>
                      </w:divBdr>
                      <w:divsChild>
                        <w:div w:id="3468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92208">
          <w:marLeft w:val="0"/>
          <w:marRight w:val="0"/>
          <w:marTop w:val="0"/>
          <w:marBottom w:val="0"/>
          <w:divBdr>
            <w:top w:val="none" w:sz="0" w:space="0" w:color="auto"/>
            <w:left w:val="none" w:sz="0" w:space="0" w:color="auto"/>
            <w:bottom w:val="none" w:sz="0" w:space="0" w:color="auto"/>
            <w:right w:val="none" w:sz="0" w:space="0" w:color="auto"/>
          </w:divBdr>
        </w:div>
      </w:divsChild>
    </w:div>
    <w:div w:id="1468353567">
      <w:bodyDiv w:val="1"/>
      <w:marLeft w:val="0"/>
      <w:marRight w:val="0"/>
      <w:marTop w:val="0"/>
      <w:marBottom w:val="0"/>
      <w:divBdr>
        <w:top w:val="none" w:sz="0" w:space="0" w:color="auto"/>
        <w:left w:val="none" w:sz="0" w:space="0" w:color="auto"/>
        <w:bottom w:val="none" w:sz="0" w:space="0" w:color="auto"/>
        <w:right w:val="none" w:sz="0" w:space="0" w:color="auto"/>
      </w:divBdr>
      <w:divsChild>
        <w:div w:id="173963438">
          <w:marLeft w:val="0"/>
          <w:marRight w:val="0"/>
          <w:marTop w:val="0"/>
          <w:marBottom w:val="0"/>
          <w:divBdr>
            <w:top w:val="none" w:sz="0" w:space="0" w:color="auto"/>
            <w:left w:val="none" w:sz="0" w:space="0" w:color="auto"/>
            <w:bottom w:val="none" w:sz="0" w:space="0" w:color="auto"/>
            <w:right w:val="none" w:sz="0" w:space="0" w:color="auto"/>
          </w:divBdr>
          <w:divsChild>
            <w:div w:id="549461798">
              <w:marLeft w:val="0"/>
              <w:marRight w:val="0"/>
              <w:marTop w:val="0"/>
              <w:marBottom w:val="0"/>
              <w:divBdr>
                <w:top w:val="none" w:sz="0" w:space="0" w:color="auto"/>
                <w:left w:val="none" w:sz="0" w:space="0" w:color="auto"/>
                <w:bottom w:val="none" w:sz="0" w:space="0" w:color="auto"/>
                <w:right w:val="none" w:sz="0" w:space="0" w:color="auto"/>
              </w:divBdr>
              <w:divsChild>
                <w:div w:id="1540315797">
                  <w:marLeft w:val="0"/>
                  <w:marRight w:val="0"/>
                  <w:marTop w:val="0"/>
                  <w:marBottom w:val="0"/>
                  <w:divBdr>
                    <w:top w:val="none" w:sz="0" w:space="0" w:color="auto"/>
                    <w:left w:val="none" w:sz="0" w:space="0" w:color="auto"/>
                    <w:bottom w:val="none" w:sz="0" w:space="0" w:color="auto"/>
                    <w:right w:val="none" w:sz="0" w:space="0" w:color="auto"/>
                  </w:divBdr>
                  <w:divsChild>
                    <w:div w:id="2139449727">
                      <w:marLeft w:val="0"/>
                      <w:marRight w:val="0"/>
                      <w:marTop w:val="0"/>
                      <w:marBottom w:val="0"/>
                      <w:divBdr>
                        <w:top w:val="none" w:sz="0" w:space="0" w:color="auto"/>
                        <w:left w:val="none" w:sz="0" w:space="0" w:color="auto"/>
                        <w:bottom w:val="none" w:sz="0" w:space="0" w:color="auto"/>
                        <w:right w:val="none" w:sz="0" w:space="0" w:color="auto"/>
                      </w:divBdr>
                      <w:divsChild>
                        <w:div w:id="269245153">
                          <w:marLeft w:val="0"/>
                          <w:marRight w:val="0"/>
                          <w:marTop w:val="0"/>
                          <w:marBottom w:val="0"/>
                          <w:divBdr>
                            <w:top w:val="none" w:sz="0" w:space="0" w:color="auto"/>
                            <w:left w:val="none" w:sz="0" w:space="0" w:color="auto"/>
                            <w:bottom w:val="none" w:sz="0" w:space="0" w:color="auto"/>
                            <w:right w:val="none" w:sz="0" w:space="0" w:color="auto"/>
                          </w:divBdr>
                          <w:divsChild>
                            <w:div w:id="243337917">
                              <w:marLeft w:val="0"/>
                              <w:marRight w:val="0"/>
                              <w:marTop w:val="0"/>
                              <w:marBottom w:val="0"/>
                              <w:divBdr>
                                <w:top w:val="none" w:sz="0" w:space="0" w:color="auto"/>
                                <w:left w:val="none" w:sz="0" w:space="0" w:color="auto"/>
                                <w:bottom w:val="none" w:sz="0" w:space="0" w:color="auto"/>
                                <w:right w:val="none" w:sz="0" w:space="0" w:color="auto"/>
                              </w:divBdr>
                              <w:divsChild>
                                <w:div w:id="1732313165">
                                  <w:marLeft w:val="0"/>
                                  <w:marRight w:val="0"/>
                                  <w:marTop w:val="0"/>
                                  <w:marBottom w:val="0"/>
                                  <w:divBdr>
                                    <w:top w:val="none" w:sz="0" w:space="0" w:color="auto"/>
                                    <w:left w:val="none" w:sz="0" w:space="0" w:color="auto"/>
                                    <w:bottom w:val="none" w:sz="0" w:space="0" w:color="auto"/>
                                    <w:right w:val="none" w:sz="0" w:space="0" w:color="auto"/>
                                  </w:divBdr>
                                  <w:divsChild>
                                    <w:div w:id="838623258">
                                      <w:marLeft w:val="0"/>
                                      <w:marRight w:val="0"/>
                                      <w:marTop w:val="0"/>
                                      <w:marBottom w:val="0"/>
                                      <w:divBdr>
                                        <w:top w:val="none" w:sz="0" w:space="0" w:color="auto"/>
                                        <w:left w:val="none" w:sz="0" w:space="0" w:color="auto"/>
                                        <w:bottom w:val="none" w:sz="0" w:space="0" w:color="auto"/>
                                        <w:right w:val="none" w:sz="0" w:space="0" w:color="auto"/>
                                      </w:divBdr>
                                      <w:divsChild>
                                        <w:div w:id="4975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858913">
      <w:bodyDiv w:val="1"/>
      <w:marLeft w:val="0"/>
      <w:marRight w:val="0"/>
      <w:marTop w:val="0"/>
      <w:marBottom w:val="0"/>
      <w:divBdr>
        <w:top w:val="none" w:sz="0" w:space="0" w:color="auto"/>
        <w:left w:val="none" w:sz="0" w:space="0" w:color="auto"/>
        <w:bottom w:val="none" w:sz="0" w:space="0" w:color="auto"/>
        <w:right w:val="none" w:sz="0" w:space="0" w:color="auto"/>
      </w:divBdr>
      <w:divsChild>
        <w:div w:id="284048907">
          <w:marLeft w:val="0"/>
          <w:marRight w:val="0"/>
          <w:marTop w:val="0"/>
          <w:marBottom w:val="0"/>
          <w:divBdr>
            <w:top w:val="none" w:sz="0" w:space="0" w:color="auto"/>
            <w:left w:val="none" w:sz="0" w:space="0" w:color="auto"/>
            <w:bottom w:val="none" w:sz="0" w:space="0" w:color="auto"/>
            <w:right w:val="none" w:sz="0" w:space="0" w:color="auto"/>
          </w:divBdr>
          <w:divsChild>
            <w:div w:id="759064317">
              <w:marLeft w:val="0"/>
              <w:marRight w:val="-100"/>
              <w:marTop w:val="1050"/>
              <w:marBottom w:val="0"/>
              <w:divBdr>
                <w:top w:val="none" w:sz="0" w:space="0" w:color="auto"/>
                <w:left w:val="none" w:sz="0" w:space="0" w:color="auto"/>
                <w:bottom w:val="none" w:sz="0" w:space="0" w:color="auto"/>
                <w:right w:val="none" w:sz="0" w:space="0" w:color="auto"/>
              </w:divBdr>
              <w:divsChild>
                <w:div w:id="669915579">
                  <w:marLeft w:val="3450"/>
                  <w:marRight w:val="0"/>
                  <w:marTop w:val="330"/>
                  <w:marBottom w:val="0"/>
                  <w:divBdr>
                    <w:top w:val="none" w:sz="0" w:space="0" w:color="auto"/>
                    <w:left w:val="none" w:sz="0" w:space="0" w:color="auto"/>
                    <w:bottom w:val="none" w:sz="0" w:space="0" w:color="auto"/>
                    <w:right w:val="none" w:sz="0" w:space="0" w:color="auto"/>
                  </w:divBdr>
                  <w:divsChild>
                    <w:div w:id="808329436">
                      <w:marLeft w:val="0"/>
                      <w:marRight w:val="0"/>
                      <w:marTop w:val="0"/>
                      <w:marBottom w:val="0"/>
                      <w:divBdr>
                        <w:top w:val="none" w:sz="0" w:space="0" w:color="auto"/>
                        <w:left w:val="none" w:sz="0" w:space="0" w:color="auto"/>
                        <w:bottom w:val="none" w:sz="0" w:space="0" w:color="auto"/>
                        <w:right w:val="none" w:sz="0" w:space="0" w:color="auto"/>
                      </w:divBdr>
                      <w:divsChild>
                        <w:div w:id="2373998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49292">
      <w:bodyDiv w:val="1"/>
      <w:marLeft w:val="0"/>
      <w:marRight w:val="0"/>
      <w:marTop w:val="0"/>
      <w:marBottom w:val="0"/>
      <w:divBdr>
        <w:top w:val="none" w:sz="0" w:space="0" w:color="auto"/>
        <w:left w:val="none" w:sz="0" w:space="0" w:color="auto"/>
        <w:bottom w:val="none" w:sz="0" w:space="0" w:color="auto"/>
        <w:right w:val="none" w:sz="0" w:space="0" w:color="auto"/>
      </w:divBdr>
      <w:divsChild>
        <w:div w:id="197204389">
          <w:marLeft w:val="0"/>
          <w:marRight w:val="0"/>
          <w:marTop w:val="0"/>
          <w:marBottom w:val="0"/>
          <w:divBdr>
            <w:top w:val="none" w:sz="0" w:space="0" w:color="auto"/>
            <w:left w:val="none" w:sz="0" w:space="0" w:color="auto"/>
            <w:bottom w:val="none" w:sz="0" w:space="0" w:color="auto"/>
            <w:right w:val="none" w:sz="0" w:space="0" w:color="auto"/>
          </w:divBdr>
          <w:divsChild>
            <w:div w:id="133642664">
              <w:marLeft w:val="0"/>
              <w:marRight w:val="0"/>
              <w:marTop w:val="0"/>
              <w:marBottom w:val="0"/>
              <w:divBdr>
                <w:top w:val="none" w:sz="0" w:space="0" w:color="auto"/>
                <w:left w:val="none" w:sz="0" w:space="0" w:color="auto"/>
                <w:bottom w:val="none" w:sz="0" w:space="0" w:color="auto"/>
                <w:right w:val="none" w:sz="0" w:space="0" w:color="auto"/>
              </w:divBdr>
              <w:divsChild>
                <w:div w:id="7743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60294">
      <w:bodyDiv w:val="1"/>
      <w:marLeft w:val="0"/>
      <w:marRight w:val="0"/>
      <w:marTop w:val="0"/>
      <w:marBottom w:val="0"/>
      <w:divBdr>
        <w:top w:val="none" w:sz="0" w:space="4" w:color="000000"/>
        <w:left w:val="none" w:sz="0" w:space="0" w:color="auto"/>
        <w:bottom w:val="none" w:sz="0" w:space="0" w:color="auto"/>
        <w:right w:val="none" w:sz="0" w:space="0" w:color="auto"/>
      </w:divBdr>
      <w:divsChild>
        <w:div w:id="1676299601">
          <w:marLeft w:val="0"/>
          <w:marRight w:val="0"/>
          <w:marTop w:val="0"/>
          <w:marBottom w:val="0"/>
          <w:divBdr>
            <w:top w:val="none" w:sz="0" w:space="0" w:color="auto"/>
            <w:left w:val="none" w:sz="0" w:space="0" w:color="auto"/>
            <w:bottom w:val="none" w:sz="0" w:space="0" w:color="auto"/>
            <w:right w:val="none" w:sz="0" w:space="0" w:color="auto"/>
          </w:divBdr>
        </w:div>
      </w:divsChild>
    </w:div>
    <w:div w:id="1472744378">
      <w:bodyDiv w:val="1"/>
      <w:marLeft w:val="0"/>
      <w:marRight w:val="0"/>
      <w:marTop w:val="0"/>
      <w:marBottom w:val="0"/>
      <w:divBdr>
        <w:top w:val="none" w:sz="0" w:space="0" w:color="auto"/>
        <w:left w:val="none" w:sz="0" w:space="0" w:color="auto"/>
        <w:bottom w:val="none" w:sz="0" w:space="0" w:color="auto"/>
        <w:right w:val="none" w:sz="0" w:space="0" w:color="auto"/>
      </w:divBdr>
      <w:divsChild>
        <w:div w:id="1208682265">
          <w:marLeft w:val="0"/>
          <w:marRight w:val="0"/>
          <w:marTop w:val="0"/>
          <w:marBottom w:val="0"/>
          <w:divBdr>
            <w:top w:val="none" w:sz="0" w:space="0" w:color="auto"/>
            <w:left w:val="none" w:sz="0" w:space="0" w:color="auto"/>
            <w:bottom w:val="none" w:sz="0" w:space="0" w:color="auto"/>
            <w:right w:val="none" w:sz="0" w:space="0" w:color="auto"/>
          </w:divBdr>
          <w:divsChild>
            <w:div w:id="2117678739">
              <w:marLeft w:val="0"/>
              <w:marRight w:val="0"/>
              <w:marTop w:val="150"/>
              <w:marBottom w:val="0"/>
              <w:divBdr>
                <w:top w:val="none" w:sz="0" w:space="0" w:color="auto"/>
                <w:left w:val="none" w:sz="0" w:space="0" w:color="auto"/>
                <w:bottom w:val="none" w:sz="0" w:space="0" w:color="auto"/>
                <w:right w:val="none" w:sz="0" w:space="0" w:color="auto"/>
              </w:divBdr>
              <w:divsChild>
                <w:div w:id="620841018">
                  <w:marLeft w:val="0"/>
                  <w:marRight w:val="0"/>
                  <w:marTop w:val="0"/>
                  <w:marBottom w:val="0"/>
                  <w:divBdr>
                    <w:top w:val="none" w:sz="0" w:space="0" w:color="auto"/>
                    <w:left w:val="none" w:sz="0" w:space="0" w:color="auto"/>
                    <w:bottom w:val="none" w:sz="0" w:space="0" w:color="auto"/>
                    <w:right w:val="none" w:sz="0" w:space="0" w:color="auto"/>
                  </w:divBdr>
                  <w:divsChild>
                    <w:div w:id="1005985128">
                      <w:marLeft w:val="0"/>
                      <w:marRight w:val="0"/>
                      <w:marTop w:val="0"/>
                      <w:marBottom w:val="0"/>
                      <w:divBdr>
                        <w:top w:val="none" w:sz="0" w:space="0" w:color="auto"/>
                        <w:left w:val="none" w:sz="0" w:space="0" w:color="auto"/>
                        <w:bottom w:val="none" w:sz="0" w:space="0" w:color="auto"/>
                        <w:right w:val="none" w:sz="0" w:space="0" w:color="auto"/>
                      </w:divBdr>
                      <w:divsChild>
                        <w:div w:id="18307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131837">
      <w:bodyDiv w:val="1"/>
      <w:marLeft w:val="0"/>
      <w:marRight w:val="0"/>
      <w:marTop w:val="0"/>
      <w:marBottom w:val="0"/>
      <w:divBdr>
        <w:top w:val="none" w:sz="0" w:space="0" w:color="auto"/>
        <w:left w:val="none" w:sz="0" w:space="0" w:color="auto"/>
        <w:bottom w:val="none" w:sz="0" w:space="0" w:color="auto"/>
        <w:right w:val="none" w:sz="0" w:space="0" w:color="auto"/>
      </w:divBdr>
      <w:divsChild>
        <w:div w:id="1663046506">
          <w:marLeft w:val="0"/>
          <w:marRight w:val="0"/>
          <w:marTop w:val="105"/>
          <w:marBottom w:val="105"/>
          <w:divBdr>
            <w:top w:val="none" w:sz="0" w:space="0" w:color="auto"/>
            <w:left w:val="none" w:sz="0" w:space="0" w:color="auto"/>
            <w:bottom w:val="none" w:sz="0" w:space="0" w:color="auto"/>
            <w:right w:val="none" w:sz="0" w:space="0" w:color="auto"/>
          </w:divBdr>
          <w:divsChild>
            <w:div w:id="1200364665">
              <w:marLeft w:val="0"/>
              <w:marRight w:val="0"/>
              <w:marTop w:val="105"/>
              <w:marBottom w:val="105"/>
              <w:divBdr>
                <w:top w:val="none" w:sz="0" w:space="0" w:color="auto"/>
                <w:left w:val="none" w:sz="0" w:space="0" w:color="auto"/>
                <w:bottom w:val="none" w:sz="0" w:space="0" w:color="auto"/>
                <w:right w:val="none" w:sz="0" w:space="0" w:color="auto"/>
              </w:divBdr>
              <w:divsChild>
                <w:div w:id="306472268">
                  <w:marLeft w:val="0"/>
                  <w:marRight w:val="0"/>
                  <w:marTop w:val="105"/>
                  <w:marBottom w:val="105"/>
                  <w:divBdr>
                    <w:top w:val="none" w:sz="0" w:space="0" w:color="auto"/>
                    <w:left w:val="none" w:sz="0" w:space="0" w:color="auto"/>
                    <w:bottom w:val="none" w:sz="0" w:space="0" w:color="auto"/>
                    <w:right w:val="none" w:sz="0" w:space="0" w:color="auto"/>
                  </w:divBdr>
                  <w:divsChild>
                    <w:div w:id="294870793">
                      <w:marLeft w:val="0"/>
                      <w:marRight w:val="0"/>
                      <w:marTop w:val="105"/>
                      <w:marBottom w:val="105"/>
                      <w:divBdr>
                        <w:top w:val="none" w:sz="0" w:space="0" w:color="auto"/>
                        <w:left w:val="none" w:sz="0" w:space="0" w:color="auto"/>
                        <w:bottom w:val="none" w:sz="0" w:space="0" w:color="auto"/>
                        <w:right w:val="none" w:sz="0" w:space="0" w:color="auto"/>
                      </w:divBdr>
                      <w:divsChild>
                        <w:div w:id="1095401058">
                          <w:marLeft w:val="0"/>
                          <w:marRight w:val="0"/>
                          <w:marTop w:val="105"/>
                          <w:marBottom w:val="105"/>
                          <w:divBdr>
                            <w:top w:val="none" w:sz="0" w:space="0" w:color="auto"/>
                            <w:left w:val="none" w:sz="0" w:space="0" w:color="auto"/>
                            <w:bottom w:val="none" w:sz="0" w:space="0" w:color="auto"/>
                            <w:right w:val="none" w:sz="0" w:space="0" w:color="auto"/>
                          </w:divBdr>
                          <w:divsChild>
                            <w:div w:id="515770264">
                              <w:marLeft w:val="0"/>
                              <w:marRight w:val="0"/>
                              <w:marTop w:val="105"/>
                              <w:marBottom w:val="105"/>
                              <w:divBdr>
                                <w:top w:val="none" w:sz="0" w:space="0" w:color="auto"/>
                                <w:left w:val="none" w:sz="0" w:space="0" w:color="auto"/>
                                <w:bottom w:val="none" w:sz="0" w:space="0" w:color="auto"/>
                                <w:right w:val="none" w:sz="0" w:space="0" w:color="auto"/>
                              </w:divBdr>
                            </w:div>
                            <w:div w:id="89278200">
                              <w:marLeft w:val="0"/>
                              <w:marRight w:val="0"/>
                              <w:marTop w:val="105"/>
                              <w:marBottom w:val="105"/>
                              <w:divBdr>
                                <w:top w:val="none" w:sz="0" w:space="0" w:color="auto"/>
                                <w:left w:val="none" w:sz="0" w:space="0" w:color="auto"/>
                                <w:bottom w:val="none" w:sz="0" w:space="0" w:color="auto"/>
                                <w:right w:val="none" w:sz="0" w:space="0" w:color="auto"/>
                              </w:divBdr>
                              <w:divsChild>
                                <w:div w:id="1320382939">
                                  <w:marLeft w:val="0"/>
                                  <w:marRight w:val="0"/>
                                  <w:marTop w:val="105"/>
                                  <w:marBottom w:val="105"/>
                                  <w:divBdr>
                                    <w:top w:val="none" w:sz="0" w:space="0" w:color="auto"/>
                                    <w:left w:val="none" w:sz="0" w:space="0" w:color="auto"/>
                                    <w:bottom w:val="none" w:sz="0" w:space="0" w:color="auto"/>
                                    <w:right w:val="none" w:sz="0" w:space="0" w:color="auto"/>
                                  </w:divBdr>
                                </w:div>
                                <w:div w:id="16742081">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14313">
      <w:bodyDiv w:val="1"/>
      <w:marLeft w:val="0"/>
      <w:marRight w:val="0"/>
      <w:marTop w:val="0"/>
      <w:marBottom w:val="0"/>
      <w:divBdr>
        <w:top w:val="none" w:sz="0" w:space="0" w:color="auto"/>
        <w:left w:val="none" w:sz="0" w:space="0" w:color="auto"/>
        <w:bottom w:val="none" w:sz="0" w:space="0" w:color="auto"/>
        <w:right w:val="none" w:sz="0" w:space="0" w:color="auto"/>
      </w:divBdr>
      <w:divsChild>
        <w:div w:id="607389565">
          <w:marLeft w:val="0"/>
          <w:marRight w:val="0"/>
          <w:marTop w:val="0"/>
          <w:marBottom w:val="0"/>
          <w:divBdr>
            <w:top w:val="none" w:sz="0" w:space="0" w:color="auto"/>
            <w:left w:val="none" w:sz="0" w:space="0" w:color="auto"/>
            <w:bottom w:val="none" w:sz="0" w:space="0" w:color="auto"/>
            <w:right w:val="none" w:sz="0" w:space="0" w:color="auto"/>
          </w:divBdr>
          <w:divsChild>
            <w:div w:id="577331308">
              <w:marLeft w:val="0"/>
              <w:marRight w:val="0"/>
              <w:marTop w:val="0"/>
              <w:marBottom w:val="0"/>
              <w:divBdr>
                <w:top w:val="none" w:sz="0" w:space="0" w:color="auto"/>
                <w:left w:val="none" w:sz="0" w:space="0" w:color="auto"/>
                <w:bottom w:val="none" w:sz="0" w:space="0" w:color="auto"/>
                <w:right w:val="none" w:sz="0" w:space="0" w:color="auto"/>
              </w:divBdr>
              <w:divsChild>
                <w:div w:id="1241790122">
                  <w:marLeft w:val="0"/>
                  <w:marRight w:val="0"/>
                  <w:marTop w:val="0"/>
                  <w:marBottom w:val="0"/>
                  <w:divBdr>
                    <w:top w:val="none" w:sz="0" w:space="0" w:color="auto"/>
                    <w:left w:val="none" w:sz="0" w:space="0" w:color="auto"/>
                    <w:bottom w:val="none" w:sz="0" w:space="0" w:color="auto"/>
                    <w:right w:val="none" w:sz="0" w:space="0" w:color="auto"/>
                  </w:divBdr>
                  <w:divsChild>
                    <w:div w:id="1128938172">
                      <w:marLeft w:val="0"/>
                      <w:marRight w:val="0"/>
                      <w:marTop w:val="0"/>
                      <w:marBottom w:val="0"/>
                      <w:divBdr>
                        <w:top w:val="none" w:sz="0" w:space="0" w:color="auto"/>
                        <w:left w:val="none" w:sz="0" w:space="0" w:color="auto"/>
                        <w:bottom w:val="none" w:sz="0" w:space="0" w:color="auto"/>
                        <w:right w:val="none" w:sz="0" w:space="0" w:color="auto"/>
                      </w:divBdr>
                      <w:divsChild>
                        <w:div w:id="1715889064">
                          <w:marLeft w:val="0"/>
                          <w:marRight w:val="0"/>
                          <w:marTop w:val="0"/>
                          <w:marBottom w:val="0"/>
                          <w:divBdr>
                            <w:top w:val="none" w:sz="0" w:space="0" w:color="auto"/>
                            <w:left w:val="none" w:sz="0" w:space="0" w:color="auto"/>
                            <w:bottom w:val="none" w:sz="0" w:space="0" w:color="auto"/>
                            <w:right w:val="none" w:sz="0" w:space="0" w:color="auto"/>
                          </w:divBdr>
                          <w:divsChild>
                            <w:div w:id="25562456">
                              <w:marLeft w:val="0"/>
                              <w:marRight w:val="0"/>
                              <w:marTop w:val="0"/>
                              <w:marBottom w:val="0"/>
                              <w:divBdr>
                                <w:top w:val="none" w:sz="0" w:space="0" w:color="auto"/>
                                <w:left w:val="none" w:sz="0" w:space="0" w:color="auto"/>
                                <w:bottom w:val="none" w:sz="0" w:space="0" w:color="auto"/>
                                <w:right w:val="none" w:sz="0" w:space="0" w:color="auto"/>
                              </w:divBdr>
                              <w:divsChild>
                                <w:div w:id="785658146">
                                  <w:marLeft w:val="0"/>
                                  <w:marRight w:val="0"/>
                                  <w:marTop w:val="0"/>
                                  <w:marBottom w:val="0"/>
                                  <w:divBdr>
                                    <w:top w:val="none" w:sz="0" w:space="0" w:color="auto"/>
                                    <w:left w:val="none" w:sz="0" w:space="0" w:color="auto"/>
                                    <w:bottom w:val="none" w:sz="0" w:space="0" w:color="auto"/>
                                    <w:right w:val="none" w:sz="0" w:space="0" w:color="auto"/>
                                  </w:divBdr>
                                  <w:divsChild>
                                    <w:div w:id="534971817">
                                      <w:marLeft w:val="0"/>
                                      <w:marRight w:val="0"/>
                                      <w:marTop w:val="0"/>
                                      <w:marBottom w:val="0"/>
                                      <w:divBdr>
                                        <w:top w:val="none" w:sz="0" w:space="0" w:color="auto"/>
                                        <w:left w:val="none" w:sz="0" w:space="0" w:color="auto"/>
                                        <w:bottom w:val="none" w:sz="0" w:space="0" w:color="auto"/>
                                        <w:right w:val="none" w:sz="0" w:space="0" w:color="auto"/>
                                      </w:divBdr>
                                      <w:divsChild>
                                        <w:div w:id="1868255061">
                                          <w:marLeft w:val="0"/>
                                          <w:marRight w:val="0"/>
                                          <w:marTop w:val="0"/>
                                          <w:marBottom w:val="0"/>
                                          <w:divBdr>
                                            <w:top w:val="none" w:sz="0" w:space="0" w:color="auto"/>
                                            <w:left w:val="none" w:sz="0" w:space="0" w:color="auto"/>
                                            <w:bottom w:val="none" w:sz="0" w:space="0" w:color="auto"/>
                                            <w:right w:val="none" w:sz="0" w:space="0" w:color="auto"/>
                                          </w:divBdr>
                                          <w:divsChild>
                                            <w:div w:id="1665086490">
                                              <w:marLeft w:val="0"/>
                                              <w:marRight w:val="0"/>
                                              <w:marTop w:val="0"/>
                                              <w:marBottom w:val="0"/>
                                              <w:divBdr>
                                                <w:top w:val="none" w:sz="0" w:space="0" w:color="auto"/>
                                                <w:left w:val="none" w:sz="0" w:space="0" w:color="auto"/>
                                                <w:bottom w:val="none" w:sz="0" w:space="0" w:color="auto"/>
                                                <w:right w:val="none" w:sz="0" w:space="0" w:color="auto"/>
                                              </w:divBdr>
                                              <w:divsChild>
                                                <w:div w:id="648481278">
                                                  <w:marLeft w:val="0"/>
                                                  <w:marRight w:val="0"/>
                                                  <w:marTop w:val="0"/>
                                                  <w:marBottom w:val="0"/>
                                                  <w:divBdr>
                                                    <w:top w:val="none" w:sz="0" w:space="0" w:color="auto"/>
                                                    <w:left w:val="none" w:sz="0" w:space="0" w:color="auto"/>
                                                    <w:bottom w:val="none" w:sz="0" w:space="0" w:color="auto"/>
                                                    <w:right w:val="none" w:sz="0" w:space="0" w:color="auto"/>
                                                  </w:divBdr>
                                                  <w:divsChild>
                                                    <w:div w:id="1984583457">
                                                      <w:marLeft w:val="0"/>
                                                      <w:marRight w:val="0"/>
                                                      <w:marTop w:val="0"/>
                                                      <w:marBottom w:val="0"/>
                                                      <w:divBdr>
                                                        <w:top w:val="none" w:sz="0" w:space="0" w:color="auto"/>
                                                        <w:left w:val="none" w:sz="0" w:space="0" w:color="auto"/>
                                                        <w:bottom w:val="none" w:sz="0" w:space="0" w:color="auto"/>
                                                        <w:right w:val="none" w:sz="0" w:space="0" w:color="auto"/>
                                                      </w:divBdr>
                                                      <w:divsChild>
                                                        <w:div w:id="1888684564">
                                                          <w:marLeft w:val="0"/>
                                                          <w:marRight w:val="0"/>
                                                          <w:marTop w:val="0"/>
                                                          <w:marBottom w:val="0"/>
                                                          <w:divBdr>
                                                            <w:top w:val="none" w:sz="0" w:space="0" w:color="auto"/>
                                                            <w:left w:val="none" w:sz="0" w:space="0" w:color="auto"/>
                                                            <w:bottom w:val="none" w:sz="0" w:space="0" w:color="auto"/>
                                                            <w:right w:val="none" w:sz="0" w:space="0" w:color="auto"/>
                                                          </w:divBdr>
                                                        </w:div>
                                                        <w:div w:id="1108505244">
                                                          <w:marLeft w:val="0"/>
                                                          <w:marRight w:val="0"/>
                                                          <w:marTop w:val="0"/>
                                                          <w:marBottom w:val="0"/>
                                                          <w:divBdr>
                                                            <w:top w:val="none" w:sz="0" w:space="0" w:color="auto"/>
                                                            <w:left w:val="none" w:sz="0" w:space="0" w:color="auto"/>
                                                            <w:bottom w:val="none" w:sz="0" w:space="0" w:color="auto"/>
                                                            <w:right w:val="none" w:sz="0" w:space="0" w:color="auto"/>
                                                          </w:divBdr>
                                                          <w:divsChild>
                                                            <w:div w:id="117546000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6217190">
      <w:bodyDiv w:val="1"/>
      <w:marLeft w:val="0"/>
      <w:marRight w:val="0"/>
      <w:marTop w:val="0"/>
      <w:marBottom w:val="0"/>
      <w:divBdr>
        <w:top w:val="none" w:sz="0" w:space="0" w:color="auto"/>
        <w:left w:val="none" w:sz="0" w:space="0" w:color="auto"/>
        <w:bottom w:val="none" w:sz="0" w:space="0" w:color="auto"/>
        <w:right w:val="none" w:sz="0" w:space="0" w:color="auto"/>
      </w:divBdr>
      <w:divsChild>
        <w:div w:id="239338952">
          <w:marLeft w:val="0"/>
          <w:marRight w:val="0"/>
          <w:marTop w:val="0"/>
          <w:marBottom w:val="0"/>
          <w:divBdr>
            <w:top w:val="none" w:sz="0" w:space="0" w:color="auto"/>
            <w:left w:val="none" w:sz="0" w:space="0" w:color="auto"/>
            <w:bottom w:val="none" w:sz="0" w:space="0" w:color="auto"/>
            <w:right w:val="none" w:sz="0" w:space="0" w:color="auto"/>
          </w:divBdr>
          <w:divsChild>
            <w:div w:id="215623856">
              <w:marLeft w:val="0"/>
              <w:marRight w:val="0"/>
              <w:marTop w:val="0"/>
              <w:marBottom w:val="0"/>
              <w:divBdr>
                <w:top w:val="none" w:sz="0" w:space="0" w:color="auto"/>
                <w:left w:val="none" w:sz="0" w:space="0" w:color="auto"/>
                <w:bottom w:val="none" w:sz="0" w:space="0" w:color="auto"/>
                <w:right w:val="none" w:sz="0" w:space="0" w:color="auto"/>
              </w:divBdr>
              <w:divsChild>
                <w:div w:id="1169979267">
                  <w:marLeft w:val="0"/>
                  <w:marRight w:val="0"/>
                  <w:marTop w:val="0"/>
                  <w:marBottom w:val="0"/>
                  <w:divBdr>
                    <w:top w:val="none" w:sz="0" w:space="0" w:color="auto"/>
                    <w:left w:val="none" w:sz="0" w:space="0" w:color="auto"/>
                    <w:bottom w:val="none" w:sz="0" w:space="0" w:color="auto"/>
                    <w:right w:val="none" w:sz="0" w:space="0" w:color="auto"/>
                  </w:divBdr>
                  <w:divsChild>
                    <w:div w:id="1625426466">
                      <w:marLeft w:val="0"/>
                      <w:marRight w:val="0"/>
                      <w:marTop w:val="0"/>
                      <w:marBottom w:val="0"/>
                      <w:divBdr>
                        <w:top w:val="none" w:sz="0" w:space="0" w:color="auto"/>
                        <w:left w:val="none" w:sz="0" w:space="0" w:color="auto"/>
                        <w:bottom w:val="none" w:sz="0" w:space="0" w:color="auto"/>
                        <w:right w:val="none" w:sz="0" w:space="0" w:color="auto"/>
                      </w:divBdr>
                      <w:divsChild>
                        <w:div w:id="16083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684581">
      <w:bodyDiv w:val="1"/>
      <w:marLeft w:val="0"/>
      <w:marRight w:val="0"/>
      <w:marTop w:val="0"/>
      <w:marBottom w:val="0"/>
      <w:divBdr>
        <w:top w:val="none" w:sz="0" w:space="0" w:color="auto"/>
        <w:left w:val="none" w:sz="0" w:space="0" w:color="auto"/>
        <w:bottom w:val="none" w:sz="0" w:space="0" w:color="auto"/>
        <w:right w:val="none" w:sz="0" w:space="0" w:color="auto"/>
      </w:divBdr>
    </w:div>
    <w:div w:id="1477069184">
      <w:bodyDiv w:val="1"/>
      <w:marLeft w:val="0"/>
      <w:marRight w:val="0"/>
      <w:marTop w:val="0"/>
      <w:marBottom w:val="0"/>
      <w:divBdr>
        <w:top w:val="none" w:sz="0" w:space="0" w:color="auto"/>
        <w:left w:val="none" w:sz="0" w:space="0" w:color="auto"/>
        <w:bottom w:val="none" w:sz="0" w:space="0" w:color="auto"/>
        <w:right w:val="none" w:sz="0" w:space="0" w:color="auto"/>
      </w:divBdr>
      <w:divsChild>
        <w:div w:id="531499232">
          <w:marLeft w:val="0"/>
          <w:marRight w:val="0"/>
          <w:marTop w:val="0"/>
          <w:marBottom w:val="0"/>
          <w:divBdr>
            <w:top w:val="none" w:sz="0" w:space="0" w:color="auto"/>
            <w:left w:val="none" w:sz="0" w:space="0" w:color="auto"/>
            <w:bottom w:val="none" w:sz="0" w:space="0" w:color="auto"/>
            <w:right w:val="none" w:sz="0" w:space="0" w:color="auto"/>
          </w:divBdr>
        </w:div>
        <w:div w:id="1768622757">
          <w:marLeft w:val="0"/>
          <w:marRight w:val="0"/>
          <w:marTop w:val="0"/>
          <w:marBottom w:val="0"/>
          <w:divBdr>
            <w:top w:val="none" w:sz="0" w:space="0" w:color="auto"/>
            <w:left w:val="none" w:sz="0" w:space="0" w:color="auto"/>
            <w:bottom w:val="none" w:sz="0" w:space="0" w:color="auto"/>
            <w:right w:val="none" w:sz="0" w:space="0" w:color="auto"/>
          </w:divBdr>
          <w:divsChild>
            <w:div w:id="3180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2263">
      <w:bodyDiv w:val="1"/>
      <w:marLeft w:val="0"/>
      <w:marRight w:val="0"/>
      <w:marTop w:val="0"/>
      <w:marBottom w:val="0"/>
      <w:divBdr>
        <w:top w:val="none" w:sz="0" w:space="0" w:color="auto"/>
        <w:left w:val="none" w:sz="0" w:space="0" w:color="auto"/>
        <w:bottom w:val="none" w:sz="0" w:space="0" w:color="auto"/>
        <w:right w:val="none" w:sz="0" w:space="0" w:color="auto"/>
      </w:divBdr>
      <w:divsChild>
        <w:div w:id="2142456812">
          <w:marLeft w:val="0"/>
          <w:marRight w:val="0"/>
          <w:marTop w:val="0"/>
          <w:marBottom w:val="0"/>
          <w:divBdr>
            <w:top w:val="none" w:sz="0" w:space="0" w:color="auto"/>
            <w:left w:val="none" w:sz="0" w:space="0" w:color="auto"/>
            <w:bottom w:val="none" w:sz="0" w:space="0" w:color="auto"/>
            <w:right w:val="none" w:sz="0" w:space="0" w:color="auto"/>
          </w:divBdr>
        </w:div>
      </w:divsChild>
    </w:div>
    <w:div w:id="1480147544">
      <w:bodyDiv w:val="1"/>
      <w:marLeft w:val="0"/>
      <w:marRight w:val="0"/>
      <w:marTop w:val="0"/>
      <w:marBottom w:val="0"/>
      <w:divBdr>
        <w:top w:val="none" w:sz="0" w:space="0" w:color="auto"/>
        <w:left w:val="none" w:sz="0" w:space="0" w:color="auto"/>
        <w:bottom w:val="none" w:sz="0" w:space="0" w:color="auto"/>
        <w:right w:val="none" w:sz="0" w:space="0" w:color="auto"/>
      </w:divBdr>
      <w:divsChild>
        <w:div w:id="100804940">
          <w:marLeft w:val="0"/>
          <w:marRight w:val="0"/>
          <w:marTop w:val="0"/>
          <w:marBottom w:val="0"/>
          <w:divBdr>
            <w:top w:val="none" w:sz="0" w:space="0" w:color="auto"/>
            <w:left w:val="none" w:sz="0" w:space="0" w:color="auto"/>
            <w:bottom w:val="none" w:sz="0" w:space="0" w:color="auto"/>
            <w:right w:val="none" w:sz="0" w:space="0" w:color="auto"/>
          </w:divBdr>
          <w:divsChild>
            <w:div w:id="1756054393">
              <w:marLeft w:val="0"/>
              <w:marRight w:val="0"/>
              <w:marTop w:val="0"/>
              <w:marBottom w:val="0"/>
              <w:divBdr>
                <w:top w:val="none" w:sz="0" w:space="0" w:color="auto"/>
                <w:left w:val="none" w:sz="0" w:space="0" w:color="auto"/>
                <w:bottom w:val="none" w:sz="0" w:space="0" w:color="auto"/>
                <w:right w:val="none" w:sz="0" w:space="0" w:color="auto"/>
              </w:divBdr>
              <w:divsChild>
                <w:div w:id="1659190496">
                  <w:marLeft w:val="0"/>
                  <w:marRight w:val="0"/>
                  <w:marTop w:val="0"/>
                  <w:marBottom w:val="0"/>
                  <w:divBdr>
                    <w:top w:val="none" w:sz="0" w:space="0" w:color="auto"/>
                    <w:left w:val="none" w:sz="0" w:space="0" w:color="auto"/>
                    <w:bottom w:val="none" w:sz="0" w:space="0" w:color="auto"/>
                    <w:right w:val="none" w:sz="0" w:space="0" w:color="auto"/>
                  </w:divBdr>
                  <w:divsChild>
                    <w:div w:id="2010985021">
                      <w:marLeft w:val="0"/>
                      <w:marRight w:val="0"/>
                      <w:marTop w:val="0"/>
                      <w:marBottom w:val="0"/>
                      <w:divBdr>
                        <w:top w:val="none" w:sz="0" w:space="0" w:color="auto"/>
                        <w:left w:val="none" w:sz="0" w:space="0" w:color="auto"/>
                        <w:bottom w:val="none" w:sz="0" w:space="0" w:color="auto"/>
                        <w:right w:val="none" w:sz="0" w:space="0" w:color="auto"/>
                      </w:divBdr>
                      <w:divsChild>
                        <w:div w:id="735862543">
                          <w:marLeft w:val="0"/>
                          <w:marRight w:val="0"/>
                          <w:marTop w:val="0"/>
                          <w:marBottom w:val="0"/>
                          <w:divBdr>
                            <w:top w:val="none" w:sz="0" w:space="0" w:color="auto"/>
                            <w:left w:val="none" w:sz="0" w:space="0" w:color="auto"/>
                            <w:bottom w:val="none" w:sz="0" w:space="0" w:color="auto"/>
                            <w:right w:val="none" w:sz="0" w:space="0" w:color="auto"/>
                          </w:divBdr>
                          <w:divsChild>
                            <w:div w:id="594750952">
                              <w:marLeft w:val="570"/>
                              <w:marRight w:val="720"/>
                              <w:marTop w:val="120"/>
                              <w:marBottom w:val="120"/>
                              <w:divBdr>
                                <w:top w:val="none" w:sz="0" w:space="0" w:color="auto"/>
                                <w:left w:val="none" w:sz="0" w:space="0" w:color="auto"/>
                                <w:bottom w:val="none" w:sz="0" w:space="0" w:color="auto"/>
                                <w:right w:val="none" w:sz="0" w:space="0" w:color="auto"/>
                              </w:divBdr>
                              <w:divsChild>
                                <w:div w:id="1062100602">
                                  <w:marLeft w:val="0"/>
                                  <w:marRight w:val="0"/>
                                  <w:marTop w:val="0"/>
                                  <w:marBottom w:val="0"/>
                                  <w:divBdr>
                                    <w:top w:val="none" w:sz="0" w:space="0" w:color="auto"/>
                                    <w:left w:val="none" w:sz="0" w:space="0" w:color="auto"/>
                                    <w:bottom w:val="none" w:sz="0" w:space="0" w:color="auto"/>
                                    <w:right w:val="none" w:sz="0" w:space="0" w:color="auto"/>
                                  </w:divBdr>
                                  <w:divsChild>
                                    <w:div w:id="489636854">
                                      <w:marLeft w:val="0"/>
                                      <w:marRight w:val="0"/>
                                      <w:marTop w:val="0"/>
                                      <w:marBottom w:val="0"/>
                                      <w:divBdr>
                                        <w:top w:val="none" w:sz="0" w:space="0" w:color="auto"/>
                                        <w:left w:val="none" w:sz="0" w:space="0" w:color="auto"/>
                                        <w:bottom w:val="none" w:sz="0" w:space="0" w:color="auto"/>
                                        <w:right w:val="none" w:sz="0" w:space="0" w:color="auto"/>
                                      </w:divBdr>
                                      <w:divsChild>
                                        <w:div w:id="1847863363">
                                          <w:marLeft w:val="0"/>
                                          <w:marRight w:val="0"/>
                                          <w:marTop w:val="0"/>
                                          <w:marBottom w:val="150"/>
                                          <w:divBdr>
                                            <w:top w:val="none" w:sz="0" w:space="0" w:color="auto"/>
                                            <w:left w:val="none" w:sz="0" w:space="0" w:color="auto"/>
                                            <w:bottom w:val="none" w:sz="0" w:space="0" w:color="auto"/>
                                            <w:right w:val="none" w:sz="0" w:space="0" w:color="auto"/>
                                          </w:divBdr>
                                          <w:divsChild>
                                            <w:div w:id="375398937">
                                              <w:marLeft w:val="0"/>
                                              <w:marRight w:val="0"/>
                                              <w:marTop w:val="240"/>
                                              <w:marBottom w:val="240"/>
                                              <w:divBdr>
                                                <w:top w:val="single" w:sz="6" w:space="6" w:color="F2F2F2"/>
                                                <w:left w:val="none" w:sz="0" w:space="0" w:color="auto"/>
                                                <w:bottom w:val="single" w:sz="6" w:space="6" w:color="F2F2F2"/>
                                                <w:right w:val="none" w:sz="0" w:space="0" w:color="auto"/>
                                              </w:divBdr>
                                            </w:div>
                                            <w:div w:id="1302617421">
                                              <w:marLeft w:val="0"/>
                                              <w:marRight w:val="0"/>
                                              <w:marTop w:val="0"/>
                                              <w:marBottom w:val="0"/>
                                              <w:divBdr>
                                                <w:top w:val="none" w:sz="0" w:space="0" w:color="auto"/>
                                                <w:left w:val="none" w:sz="0" w:space="0" w:color="auto"/>
                                                <w:bottom w:val="none" w:sz="0" w:space="0" w:color="auto"/>
                                                <w:right w:val="none" w:sz="0" w:space="0" w:color="auto"/>
                                              </w:divBdr>
                                              <w:divsChild>
                                                <w:div w:id="4174092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224915">
      <w:bodyDiv w:val="1"/>
      <w:marLeft w:val="0"/>
      <w:marRight w:val="0"/>
      <w:marTop w:val="0"/>
      <w:marBottom w:val="0"/>
      <w:divBdr>
        <w:top w:val="none" w:sz="0" w:space="0" w:color="auto"/>
        <w:left w:val="none" w:sz="0" w:space="0" w:color="auto"/>
        <w:bottom w:val="none" w:sz="0" w:space="0" w:color="auto"/>
        <w:right w:val="none" w:sz="0" w:space="0" w:color="auto"/>
      </w:divBdr>
      <w:divsChild>
        <w:div w:id="744498047">
          <w:marLeft w:val="0"/>
          <w:marRight w:val="0"/>
          <w:marTop w:val="0"/>
          <w:marBottom w:val="0"/>
          <w:divBdr>
            <w:top w:val="single" w:sz="2" w:space="0" w:color="AAAAAA"/>
            <w:left w:val="single" w:sz="6" w:space="8" w:color="AAAAAA"/>
            <w:bottom w:val="single" w:sz="2" w:space="0" w:color="AAAAAA"/>
            <w:right w:val="single" w:sz="6" w:space="8" w:color="AAAAAA"/>
          </w:divBdr>
          <w:divsChild>
            <w:div w:id="978221089">
              <w:marLeft w:val="0"/>
              <w:marRight w:val="0"/>
              <w:marTop w:val="0"/>
              <w:marBottom w:val="0"/>
              <w:divBdr>
                <w:top w:val="none" w:sz="0" w:space="0" w:color="auto"/>
                <w:left w:val="none" w:sz="0" w:space="0" w:color="auto"/>
                <w:bottom w:val="none" w:sz="0" w:space="0" w:color="auto"/>
                <w:right w:val="none" w:sz="0" w:space="0" w:color="auto"/>
              </w:divBdr>
              <w:divsChild>
                <w:div w:id="1942487772">
                  <w:marLeft w:val="0"/>
                  <w:marRight w:val="0"/>
                  <w:marTop w:val="0"/>
                  <w:marBottom w:val="0"/>
                  <w:divBdr>
                    <w:top w:val="none" w:sz="0" w:space="0" w:color="auto"/>
                    <w:left w:val="none" w:sz="0" w:space="0" w:color="auto"/>
                    <w:bottom w:val="none" w:sz="0" w:space="0" w:color="auto"/>
                    <w:right w:val="none" w:sz="0" w:space="0" w:color="auto"/>
                  </w:divBdr>
                  <w:divsChild>
                    <w:div w:id="1277828545">
                      <w:marLeft w:val="0"/>
                      <w:marRight w:val="2550"/>
                      <w:marTop w:val="0"/>
                      <w:marBottom w:val="48"/>
                      <w:divBdr>
                        <w:top w:val="none" w:sz="0" w:space="0" w:color="auto"/>
                        <w:left w:val="none" w:sz="0" w:space="0" w:color="auto"/>
                        <w:bottom w:val="none" w:sz="0" w:space="0" w:color="auto"/>
                        <w:right w:val="none" w:sz="0" w:space="0" w:color="auto"/>
                      </w:divBdr>
                      <w:divsChild>
                        <w:div w:id="499584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82187562">
      <w:bodyDiv w:val="1"/>
      <w:marLeft w:val="0"/>
      <w:marRight w:val="0"/>
      <w:marTop w:val="0"/>
      <w:marBottom w:val="0"/>
      <w:divBdr>
        <w:top w:val="none" w:sz="0" w:space="0" w:color="auto"/>
        <w:left w:val="none" w:sz="0" w:space="0" w:color="auto"/>
        <w:bottom w:val="none" w:sz="0" w:space="0" w:color="auto"/>
        <w:right w:val="none" w:sz="0" w:space="0" w:color="auto"/>
      </w:divBdr>
      <w:divsChild>
        <w:div w:id="694695111">
          <w:marLeft w:val="0"/>
          <w:marRight w:val="0"/>
          <w:marTop w:val="0"/>
          <w:marBottom w:val="0"/>
          <w:divBdr>
            <w:top w:val="none" w:sz="0" w:space="0" w:color="auto"/>
            <w:left w:val="none" w:sz="0" w:space="0" w:color="auto"/>
            <w:bottom w:val="none" w:sz="0" w:space="0" w:color="auto"/>
            <w:right w:val="none" w:sz="0" w:space="0" w:color="auto"/>
          </w:divBdr>
          <w:divsChild>
            <w:div w:id="895242086">
              <w:marLeft w:val="0"/>
              <w:marRight w:val="0"/>
              <w:marTop w:val="0"/>
              <w:marBottom w:val="0"/>
              <w:divBdr>
                <w:top w:val="none" w:sz="0" w:space="0" w:color="auto"/>
                <w:left w:val="none" w:sz="0" w:space="0" w:color="auto"/>
                <w:bottom w:val="none" w:sz="0" w:space="0" w:color="auto"/>
                <w:right w:val="none" w:sz="0" w:space="0" w:color="auto"/>
              </w:divBdr>
              <w:divsChild>
                <w:div w:id="1860896139">
                  <w:marLeft w:val="0"/>
                  <w:marRight w:val="0"/>
                  <w:marTop w:val="0"/>
                  <w:marBottom w:val="0"/>
                  <w:divBdr>
                    <w:top w:val="none" w:sz="0" w:space="0" w:color="auto"/>
                    <w:left w:val="none" w:sz="0" w:space="0" w:color="auto"/>
                    <w:bottom w:val="none" w:sz="0" w:space="0" w:color="auto"/>
                    <w:right w:val="none" w:sz="0" w:space="0" w:color="auto"/>
                  </w:divBdr>
                  <w:divsChild>
                    <w:div w:id="1091850819">
                      <w:marLeft w:val="0"/>
                      <w:marRight w:val="0"/>
                      <w:marTop w:val="0"/>
                      <w:marBottom w:val="0"/>
                      <w:divBdr>
                        <w:top w:val="none" w:sz="0" w:space="0" w:color="auto"/>
                        <w:left w:val="none" w:sz="0" w:space="0" w:color="auto"/>
                        <w:bottom w:val="none" w:sz="0" w:space="0" w:color="auto"/>
                        <w:right w:val="none" w:sz="0" w:space="0" w:color="auto"/>
                      </w:divBdr>
                      <w:divsChild>
                        <w:div w:id="1700660603">
                          <w:marLeft w:val="0"/>
                          <w:marRight w:val="0"/>
                          <w:marTop w:val="0"/>
                          <w:marBottom w:val="0"/>
                          <w:divBdr>
                            <w:top w:val="none" w:sz="0" w:space="0" w:color="auto"/>
                            <w:left w:val="none" w:sz="0" w:space="0" w:color="auto"/>
                            <w:bottom w:val="none" w:sz="0" w:space="0" w:color="auto"/>
                            <w:right w:val="none" w:sz="0" w:space="0" w:color="auto"/>
                          </w:divBdr>
                          <w:divsChild>
                            <w:div w:id="505243758">
                              <w:marLeft w:val="0"/>
                              <w:marRight w:val="0"/>
                              <w:marTop w:val="0"/>
                              <w:marBottom w:val="0"/>
                              <w:divBdr>
                                <w:top w:val="none" w:sz="0" w:space="0" w:color="auto"/>
                                <w:left w:val="none" w:sz="0" w:space="0" w:color="auto"/>
                                <w:bottom w:val="none" w:sz="0" w:space="0" w:color="auto"/>
                                <w:right w:val="none" w:sz="0" w:space="0" w:color="auto"/>
                              </w:divBdr>
                              <w:divsChild>
                                <w:div w:id="497311881">
                                  <w:marLeft w:val="0"/>
                                  <w:marRight w:val="0"/>
                                  <w:marTop w:val="0"/>
                                  <w:marBottom w:val="0"/>
                                  <w:divBdr>
                                    <w:top w:val="none" w:sz="0" w:space="0" w:color="auto"/>
                                    <w:left w:val="none" w:sz="0" w:space="0" w:color="auto"/>
                                    <w:bottom w:val="none" w:sz="0" w:space="0" w:color="auto"/>
                                    <w:right w:val="none" w:sz="0" w:space="0" w:color="auto"/>
                                  </w:divBdr>
                                  <w:divsChild>
                                    <w:div w:id="2095395517">
                                      <w:marLeft w:val="0"/>
                                      <w:marRight w:val="0"/>
                                      <w:marTop w:val="0"/>
                                      <w:marBottom w:val="0"/>
                                      <w:divBdr>
                                        <w:top w:val="none" w:sz="0" w:space="0" w:color="auto"/>
                                        <w:left w:val="none" w:sz="0" w:space="0" w:color="auto"/>
                                        <w:bottom w:val="none" w:sz="0" w:space="0" w:color="auto"/>
                                        <w:right w:val="none" w:sz="0" w:space="0" w:color="auto"/>
                                      </w:divBdr>
                                      <w:divsChild>
                                        <w:div w:id="270821610">
                                          <w:marLeft w:val="0"/>
                                          <w:marRight w:val="0"/>
                                          <w:marTop w:val="0"/>
                                          <w:marBottom w:val="0"/>
                                          <w:divBdr>
                                            <w:top w:val="none" w:sz="0" w:space="0" w:color="auto"/>
                                            <w:left w:val="none" w:sz="0" w:space="0" w:color="auto"/>
                                            <w:bottom w:val="none" w:sz="0" w:space="0" w:color="auto"/>
                                            <w:right w:val="none" w:sz="0" w:space="0" w:color="auto"/>
                                          </w:divBdr>
                                          <w:divsChild>
                                            <w:div w:id="223874193">
                                              <w:marLeft w:val="0"/>
                                              <w:marRight w:val="0"/>
                                              <w:marTop w:val="0"/>
                                              <w:marBottom w:val="0"/>
                                              <w:divBdr>
                                                <w:top w:val="none" w:sz="0" w:space="0" w:color="auto"/>
                                                <w:left w:val="none" w:sz="0" w:space="0" w:color="auto"/>
                                                <w:bottom w:val="none" w:sz="0" w:space="0" w:color="auto"/>
                                                <w:right w:val="none" w:sz="0" w:space="0" w:color="auto"/>
                                              </w:divBdr>
                                              <w:divsChild>
                                                <w:div w:id="810370907">
                                                  <w:marLeft w:val="0"/>
                                                  <w:marRight w:val="0"/>
                                                  <w:marTop w:val="0"/>
                                                  <w:marBottom w:val="0"/>
                                                  <w:divBdr>
                                                    <w:top w:val="none" w:sz="0" w:space="0" w:color="auto"/>
                                                    <w:left w:val="none" w:sz="0" w:space="0" w:color="auto"/>
                                                    <w:bottom w:val="none" w:sz="0" w:space="0" w:color="auto"/>
                                                    <w:right w:val="none" w:sz="0" w:space="0" w:color="auto"/>
                                                  </w:divBdr>
                                                  <w:divsChild>
                                                    <w:div w:id="461072910">
                                                      <w:marLeft w:val="0"/>
                                                      <w:marRight w:val="0"/>
                                                      <w:marTop w:val="0"/>
                                                      <w:marBottom w:val="0"/>
                                                      <w:divBdr>
                                                        <w:top w:val="none" w:sz="0" w:space="0" w:color="auto"/>
                                                        <w:left w:val="none" w:sz="0" w:space="0" w:color="auto"/>
                                                        <w:bottom w:val="none" w:sz="0" w:space="0" w:color="auto"/>
                                                        <w:right w:val="none" w:sz="0" w:space="0" w:color="auto"/>
                                                      </w:divBdr>
                                                      <w:divsChild>
                                                        <w:div w:id="10328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348118">
      <w:bodyDiv w:val="1"/>
      <w:marLeft w:val="0"/>
      <w:marRight w:val="0"/>
      <w:marTop w:val="0"/>
      <w:marBottom w:val="0"/>
      <w:divBdr>
        <w:top w:val="none" w:sz="0" w:space="0" w:color="auto"/>
        <w:left w:val="none" w:sz="0" w:space="0" w:color="auto"/>
        <w:bottom w:val="none" w:sz="0" w:space="0" w:color="auto"/>
        <w:right w:val="none" w:sz="0" w:space="0" w:color="auto"/>
      </w:divBdr>
      <w:divsChild>
        <w:div w:id="1215509717">
          <w:marLeft w:val="0"/>
          <w:marRight w:val="0"/>
          <w:marTop w:val="0"/>
          <w:marBottom w:val="0"/>
          <w:divBdr>
            <w:top w:val="none" w:sz="0" w:space="0" w:color="auto"/>
            <w:left w:val="none" w:sz="0" w:space="0" w:color="auto"/>
            <w:bottom w:val="none" w:sz="0" w:space="0" w:color="auto"/>
            <w:right w:val="none" w:sz="0" w:space="0" w:color="auto"/>
          </w:divBdr>
          <w:divsChild>
            <w:div w:id="4401884">
              <w:marLeft w:val="0"/>
              <w:marRight w:val="0"/>
              <w:marTop w:val="0"/>
              <w:marBottom w:val="0"/>
              <w:divBdr>
                <w:top w:val="none" w:sz="0" w:space="0" w:color="auto"/>
                <w:left w:val="none" w:sz="0" w:space="0" w:color="auto"/>
                <w:bottom w:val="none" w:sz="0" w:space="0" w:color="auto"/>
                <w:right w:val="none" w:sz="0" w:space="0" w:color="auto"/>
              </w:divBdr>
              <w:divsChild>
                <w:div w:id="1341852212">
                  <w:marLeft w:val="0"/>
                  <w:marRight w:val="0"/>
                  <w:marTop w:val="0"/>
                  <w:marBottom w:val="0"/>
                  <w:divBdr>
                    <w:top w:val="none" w:sz="0" w:space="0" w:color="auto"/>
                    <w:left w:val="none" w:sz="0" w:space="0" w:color="auto"/>
                    <w:bottom w:val="none" w:sz="0" w:space="0" w:color="auto"/>
                    <w:right w:val="none" w:sz="0" w:space="0" w:color="auto"/>
                  </w:divBdr>
                  <w:divsChild>
                    <w:div w:id="1546408284">
                      <w:marLeft w:val="0"/>
                      <w:marRight w:val="0"/>
                      <w:marTop w:val="0"/>
                      <w:marBottom w:val="0"/>
                      <w:divBdr>
                        <w:top w:val="none" w:sz="0" w:space="0" w:color="auto"/>
                        <w:left w:val="none" w:sz="0" w:space="0" w:color="auto"/>
                        <w:bottom w:val="none" w:sz="0" w:space="0" w:color="auto"/>
                        <w:right w:val="none" w:sz="0" w:space="0" w:color="auto"/>
                      </w:divBdr>
                      <w:divsChild>
                        <w:div w:id="1549486451">
                          <w:marLeft w:val="0"/>
                          <w:marRight w:val="0"/>
                          <w:marTop w:val="0"/>
                          <w:marBottom w:val="0"/>
                          <w:divBdr>
                            <w:top w:val="none" w:sz="0" w:space="0" w:color="auto"/>
                            <w:left w:val="none" w:sz="0" w:space="0" w:color="auto"/>
                            <w:bottom w:val="none" w:sz="0" w:space="0" w:color="auto"/>
                            <w:right w:val="none" w:sz="0" w:space="0" w:color="auto"/>
                          </w:divBdr>
                          <w:divsChild>
                            <w:div w:id="2016885419">
                              <w:marLeft w:val="0"/>
                              <w:marRight w:val="0"/>
                              <w:marTop w:val="0"/>
                              <w:marBottom w:val="0"/>
                              <w:divBdr>
                                <w:top w:val="none" w:sz="0" w:space="0" w:color="auto"/>
                                <w:left w:val="none" w:sz="0" w:space="0" w:color="auto"/>
                                <w:bottom w:val="none" w:sz="0" w:space="0" w:color="auto"/>
                                <w:right w:val="none" w:sz="0" w:space="0" w:color="auto"/>
                              </w:divBdr>
                              <w:divsChild>
                                <w:div w:id="72164724">
                                  <w:marLeft w:val="0"/>
                                  <w:marRight w:val="0"/>
                                  <w:marTop w:val="0"/>
                                  <w:marBottom w:val="0"/>
                                  <w:divBdr>
                                    <w:top w:val="none" w:sz="0" w:space="0" w:color="auto"/>
                                    <w:left w:val="none" w:sz="0" w:space="0" w:color="auto"/>
                                    <w:bottom w:val="none" w:sz="0" w:space="0" w:color="auto"/>
                                    <w:right w:val="none" w:sz="0" w:space="0" w:color="auto"/>
                                  </w:divBdr>
                                  <w:divsChild>
                                    <w:div w:id="2078357561">
                                      <w:marLeft w:val="0"/>
                                      <w:marRight w:val="0"/>
                                      <w:marTop w:val="0"/>
                                      <w:marBottom w:val="0"/>
                                      <w:divBdr>
                                        <w:top w:val="none" w:sz="0" w:space="0" w:color="auto"/>
                                        <w:left w:val="none" w:sz="0" w:space="0" w:color="auto"/>
                                        <w:bottom w:val="none" w:sz="0" w:space="0" w:color="auto"/>
                                        <w:right w:val="none" w:sz="0" w:space="0" w:color="auto"/>
                                      </w:divBdr>
                                      <w:divsChild>
                                        <w:div w:id="1513256775">
                                          <w:marLeft w:val="0"/>
                                          <w:marRight w:val="0"/>
                                          <w:marTop w:val="0"/>
                                          <w:marBottom w:val="0"/>
                                          <w:divBdr>
                                            <w:top w:val="none" w:sz="0" w:space="0" w:color="auto"/>
                                            <w:left w:val="none" w:sz="0" w:space="0" w:color="auto"/>
                                            <w:bottom w:val="none" w:sz="0" w:space="0" w:color="auto"/>
                                            <w:right w:val="none" w:sz="0" w:space="0" w:color="auto"/>
                                          </w:divBdr>
                                          <w:divsChild>
                                            <w:div w:id="1615402648">
                                              <w:marLeft w:val="0"/>
                                              <w:marRight w:val="0"/>
                                              <w:marTop w:val="0"/>
                                              <w:marBottom w:val="0"/>
                                              <w:divBdr>
                                                <w:top w:val="none" w:sz="0" w:space="0" w:color="auto"/>
                                                <w:left w:val="none" w:sz="0" w:space="0" w:color="auto"/>
                                                <w:bottom w:val="none" w:sz="0" w:space="0" w:color="auto"/>
                                                <w:right w:val="none" w:sz="0" w:space="0" w:color="auto"/>
                                              </w:divBdr>
                                              <w:divsChild>
                                                <w:div w:id="2136099744">
                                                  <w:marLeft w:val="0"/>
                                                  <w:marRight w:val="0"/>
                                                  <w:marTop w:val="0"/>
                                                  <w:marBottom w:val="0"/>
                                                  <w:divBdr>
                                                    <w:top w:val="none" w:sz="0" w:space="0" w:color="auto"/>
                                                    <w:left w:val="none" w:sz="0" w:space="0" w:color="auto"/>
                                                    <w:bottom w:val="none" w:sz="0" w:space="0" w:color="auto"/>
                                                    <w:right w:val="none" w:sz="0" w:space="0" w:color="auto"/>
                                                  </w:divBdr>
                                                  <w:divsChild>
                                                    <w:div w:id="1166048041">
                                                      <w:marLeft w:val="0"/>
                                                      <w:marRight w:val="0"/>
                                                      <w:marTop w:val="0"/>
                                                      <w:marBottom w:val="0"/>
                                                      <w:divBdr>
                                                        <w:top w:val="none" w:sz="0" w:space="0" w:color="auto"/>
                                                        <w:left w:val="none" w:sz="0" w:space="0" w:color="auto"/>
                                                        <w:bottom w:val="none" w:sz="0" w:space="0" w:color="auto"/>
                                                        <w:right w:val="none" w:sz="0" w:space="0" w:color="auto"/>
                                                      </w:divBdr>
                                                      <w:divsChild>
                                                        <w:div w:id="2699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619760">
      <w:bodyDiv w:val="1"/>
      <w:marLeft w:val="0"/>
      <w:marRight w:val="0"/>
      <w:marTop w:val="0"/>
      <w:marBottom w:val="0"/>
      <w:divBdr>
        <w:top w:val="none" w:sz="0" w:space="0" w:color="auto"/>
        <w:left w:val="none" w:sz="0" w:space="0" w:color="auto"/>
        <w:bottom w:val="none" w:sz="0" w:space="0" w:color="auto"/>
        <w:right w:val="none" w:sz="0" w:space="0" w:color="auto"/>
      </w:divBdr>
      <w:divsChild>
        <w:div w:id="1322883">
          <w:marLeft w:val="0"/>
          <w:marRight w:val="0"/>
          <w:marTop w:val="0"/>
          <w:marBottom w:val="0"/>
          <w:divBdr>
            <w:top w:val="none" w:sz="0" w:space="0" w:color="auto"/>
            <w:left w:val="none" w:sz="0" w:space="0" w:color="auto"/>
            <w:bottom w:val="none" w:sz="0" w:space="0" w:color="auto"/>
            <w:right w:val="none" w:sz="0" w:space="0" w:color="auto"/>
          </w:divBdr>
          <w:divsChild>
            <w:div w:id="965424592">
              <w:marLeft w:val="0"/>
              <w:marRight w:val="0"/>
              <w:marTop w:val="150"/>
              <w:marBottom w:val="0"/>
              <w:divBdr>
                <w:top w:val="none" w:sz="0" w:space="0" w:color="auto"/>
                <w:left w:val="none" w:sz="0" w:space="0" w:color="auto"/>
                <w:bottom w:val="none" w:sz="0" w:space="0" w:color="auto"/>
                <w:right w:val="none" w:sz="0" w:space="0" w:color="auto"/>
              </w:divBdr>
              <w:divsChild>
                <w:div w:id="1887791943">
                  <w:marLeft w:val="0"/>
                  <w:marRight w:val="0"/>
                  <w:marTop w:val="0"/>
                  <w:marBottom w:val="0"/>
                  <w:divBdr>
                    <w:top w:val="none" w:sz="0" w:space="0" w:color="auto"/>
                    <w:left w:val="none" w:sz="0" w:space="0" w:color="auto"/>
                    <w:bottom w:val="none" w:sz="0" w:space="0" w:color="auto"/>
                    <w:right w:val="none" w:sz="0" w:space="0" w:color="auto"/>
                  </w:divBdr>
                  <w:divsChild>
                    <w:div w:id="1921672185">
                      <w:marLeft w:val="0"/>
                      <w:marRight w:val="0"/>
                      <w:marTop w:val="0"/>
                      <w:marBottom w:val="0"/>
                      <w:divBdr>
                        <w:top w:val="none" w:sz="0" w:space="0" w:color="auto"/>
                        <w:left w:val="none" w:sz="0" w:space="0" w:color="auto"/>
                        <w:bottom w:val="none" w:sz="0" w:space="0" w:color="auto"/>
                        <w:right w:val="none" w:sz="0" w:space="0" w:color="auto"/>
                      </w:divBdr>
                      <w:divsChild>
                        <w:div w:id="4858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07719">
      <w:bodyDiv w:val="1"/>
      <w:marLeft w:val="0"/>
      <w:marRight w:val="0"/>
      <w:marTop w:val="0"/>
      <w:marBottom w:val="0"/>
      <w:divBdr>
        <w:top w:val="none" w:sz="0" w:space="0" w:color="auto"/>
        <w:left w:val="none" w:sz="0" w:space="0" w:color="auto"/>
        <w:bottom w:val="none" w:sz="0" w:space="0" w:color="auto"/>
        <w:right w:val="none" w:sz="0" w:space="0" w:color="auto"/>
      </w:divBdr>
      <w:divsChild>
        <w:div w:id="786776581">
          <w:marLeft w:val="0"/>
          <w:marRight w:val="0"/>
          <w:marTop w:val="0"/>
          <w:marBottom w:val="0"/>
          <w:divBdr>
            <w:top w:val="none" w:sz="0" w:space="0" w:color="auto"/>
            <w:left w:val="none" w:sz="0" w:space="0" w:color="auto"/>
            <w:bottom w:val="none" w:sz="0" w:space="0" w:color="auto"/>
            <w:right w:val="none" w:sz="0" w:space="0" w:color="auto"/>
          </w:divBdr>
          <w:divsChild>
            <w:div w:id="1262033436">
              <w:marLeft w:val="0"/>
              <w:marRight w:val="0"/>
              <w:marTop w:val="0"/>
              <w:marBottom w:val="0"/>
              <w:divBdr>
                <w:top w:val="none" w:sz="0" w:space="0" w:color="auto"/>
                <w:left w:val="none" w:sz="0" w:space="0" w:color="auto"/>
                <w:bottom w:val="none" w:sz="0" w:space="0" w:color="auto"/>
                <w:right w:val="none" w:sz="0" w:space="0" w:color="auto"/>
              </w:divBdr>
              <w:divsChild>
                <w:div w:id="1865363478">
                  <w:marLeft w:val="0"/>
                  <w:marRight w:val="0"/>
                  <w:marTop w:val="0"/>
                  <w:marBottom w:val="0"/>
                  <w:divBdr>
                    <w:top w:val="none" w:sz="0" w:space="0" w:color="auto"/>
                    <w:left w:val="none" w:sz="0" w:space="0" w:color="auto"/>
                    <w:bottom w:val="none" w:sz="0" w:space="0" w:color="auto"/>
                    <w:right w:val="none" w:sz="0" w:space="0" w:color="auto"/>
                  </w:divBdr>
                  <w:divsChild>
                    <w:div w:id="348794506">
                      <w:marLeft w:val="0"/>
                      <w:marRight w:val="0"/>
                      <w:marTop w:val="0"/>
                      <w:marBottom w:val="0"/>
                      <w:divBdr>
                        <w:top w:val="none" w:sz="0" w:space="0" w:color="auto"/>
                        <w:left w:val="none" w:sz="0" w:space="0" w:color="auto"/>
                        <w:bottom w:val="none" w:sz="0" w:space="0" w:color="auto"/>
                        <w:right w:val="none" w:sz="0" w:space="0" w:color="auto"/>
                      </w:divBdr>
                      <w:divsChild>
                        <w:div w:id="218439823">
                          <w:marLeft w:val="0"/>
                          <w:marRight w:val="0"/>
                          <w:marTop w:val="150"/>
                          <w:marBottom w:val="0"/>
                          <w:divBdr>
                            <w:top w:val="none" w:sz="0" w:space="0" w:color="auto"/>
                            <w:left w:val="none" w:sz="0" w:space="0" w:color="auto"/>
                            <w:bottom w:val="none" w:sz="0" w:space="0" w:color="auto"/>
                            <w:right w:val="none" w:sz="0" w:space="0" w:color="auto"/>
                          </w:divBdr>
                          <w:divsChild>
                            <w:div w:id="1896770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05441">
      <w:bodyDiv w:val="1"/>
      <w:marLeft w:val="0"/>
      <w:marRight w:val="0"/>
      <w:marTop w:val="0"/>
      <w:marBottom w:val="0"/>
      <w:divBdr>
        <w:top w:val="none" w:sz="0" w:space="0" w:color="auto"/>
        <w:left w:val="none" w:sz="0" w:space="0" w:color="auto"/>
        <w:bottom w:val="none" w:sz="0" w:space="0" w:color="auto"/>
        <w:right w:val="none" w:sz="0" w:space="0" w:color="auto"/>
      </w:divBdr>
      <w:divsChild>
        <w:div w:id="874461911">
          <w:marLeft w:val="0"/>
          <w:marRight w:val="0"/>
          <w:marTop w:val="0"/>
          <w:marBottom w:val="450"/>
          <w:divBdr>
            <w:top w:val="none" w:sz="0" w:space="0" w:color="auto"/>
            <w:left w:val="none" w:sz="0" w:space="0" w:color="auto"/>
            <w:bottom w:val="none" w:sz="0" w:space="0" w:color="auto"/>
            <w:right w:val="none" w:sz="0" w:space="0" w:color="auto"/>
          </w:divBdr>
        </w:div>
      </w:divsChild>
    </w:div>
    <w:div w:id="1487433850">
      <w:bodyDiv w:val="1"/>
      <w:marLeft w:val="0"/>
      <w:marRight w:val="0"/>
      <w:marTop w:val="0"/>
      <w:marBottom w:val="0"/>
      <w:divBdr>
        <w:top w:val="none" w:sz="0" w:space="0" w:color="auto"/>
        <w:left w:val="none" w:sz="0" w:space="0" w:color="auto"/>
        <w:bottom w:val="none" w:sz="0" w:space="0" w:color="auto"/>
        <w:right w:val="none" w:sz="0" w:space="0" w:color="auto"/>
      </w:divBdr>
      <w:divsChild>
        <w:div w:id="2056660253">
          <w:marLeft w:val="0"/>
          <w:marRight w:val="0"/>
          <w:marTop w:val="0"/>
          <w:marBottom w:val="0"/>
          <w:divBdr>
            <w:top w:val="none" w:sz="0" w:space="0" w:color="auto"/>
            <w:left w:val="none" w:sz="0" w:space="0" w:color="auto"/>
            <w:bottom w:val="none" w:sz="0" w:space="0" w:color="auto"/>
            <w:right w:val="none" w:sz="0" w:space="0" w:color="auto"/>
          </w:divBdr>
          <w:divsChild>
            <w:div w:id="815727976">
              <w:marLeft w:val="0"/>
              <w:marRight w:val="0"/>
              <w:marTop w:val="0"/>
              <w:marBottom w:val="0"/>
              <w:divBdr>
                <w:top w:val="none" w:sz="0" w:space="0" w:color="auto"/>
                <w:left w:val="none" w:sz="0" w:space="0" w:color="auto"/>
                <w:bottom w:val="none" w:sz="0" w:space="0" w:color="auto"/>
                <w:right w:val="none" w:sz="0" w:space="0" w:color="auto"/>
              </w:divBdr>
              <w:divsChild>
                <w:div w:id="785388226">
                  <w:marLeft w:val="0"/>
                  <w:marRight w:val="0"/>
                  <w:marTop w:val="0"/>
                  <w:marBottom w:val="0"/>
                  <w:divBdr>
                    <w:top w:val="none" w:sz="0" w:space="0" w:color="auto"/>
                    <w:left w:val="none" w:sz="0" w:space="0" w:color="auto"/>
                    <w:bottom w:val="none" w:sz="0" w:space="0" w:color="auto"/>
                    <w:right w:val="none" w:sz="0" w:space="0" w:color="auto"/>
                  </w:divBdr>
                  <w:divsChild>
                    <w:div w:id="199628312">
                      <w:marLeft w:val="0"/>
                      <w:marRight w:val="0"/>
                      <w:marTop w:val="0"/>
                      <w:marBottom w:val="0"/>
                      <w:divBdr>
                        <w:top w:val="none" w:sz="0" w:space="0" w:color="auto"/>
                        <w:left w:val="none" w:sz="0" w:space="0" w:color="auto"/>
                        <w:bottom w:val="none" w:sz="0" w:space="0" w:color="auto"/>
                        <w:right w:val="none" w:sz="0" w:space="0" w:color="auto"/>
                      </w:divBdr>
                      <w:divsChild>
                        <w:div w:id="1802992175">
                          <w:marLeft w:val="0"/>
                          <w:marRight w:val="0"/>
                          <w:marTop w:val="0"/>
                          <w:marBottom w:val="0"/>
                          <w:divBdr>
                            <w:top w:val="none" w:sz="0" w:space="0" w:color="auto"/>
                            <w:left w:val="none" w:sz="0" w:space="0" w:color="auto"/>
                            <w:bottom w:val="single" w:sz="6" w:space="15" w:color="CCCCCC"/>
                            <w:right w:val="none" w:sz="0" w:space="0" w:color="auto"/>
                          </w:divBdr>
                          <w:divsChild>
                            <w:div w:id="2062510924">
                              <w:marLeft w:val="0"/>
                              <w:marRight w:val="0"/>
                              <w:marTop w:val="0"/>
                              <w:marBottom w:val="0"/>
                              <w:divBdr>
                                <w:top w:val="none" w:sz="0" w:space="0" w:color="auto"/>
                                <w:left w:val="none" w:sz="0" w:space="0" w:color="auto"/>
                                <w:bottom w:val="none" w:sz="0" w:space="0" w:color="auto"/>
                                <w:right w:val="none" w:sz="0" w:space="0" w:color="auto"/>
                              </w:divBdr>
                              <w:divsChild>
                                <w:div w:id="5924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673342">
      <w:bodyDiv w:val="1"/>
      <w:marLeft w:val="0"/>
      <w:marRight w:val="0"/>
      <w:marTop w:val="0"/>
      <w:marBottom w:val="0"/>
      <w:divBdr>
        <w:top w:val="none" w:sz="0" w:space="0" w:color="auto"/>
        <w:left w:val="none" w:sz="0" w:space="0" w:color="auto"/>
        <w:bottom w:val="none" w:sz="0" w:space="0" w:color="auto"/>
        <w:right w:val="none" w:sz="0" w:space="0" w:color="auto"/>
      </w:divBdr>
    </w:div>
    <w:div w:id="1487739719">
      <w:bodyDiv w:val="1"/>
      <w:marLeft w:val="0"/>
      <w:marRight w:val="0"/>
      <w:marTop w:val="0"/>
      <w:marBottom w:val="0"/>
      <w:divBdr>
        <w:top w:val="none" w:sz="0" w:space="0" w:color="auto"/>
        <w:left w:val="none" w:sz="0" w:space="0" w:color="auto"/>
        <w:bottom w:val="none" w:sz="0" w:space="0" w:color="auto"/>
        <w:right w:val="none" w:sz="0" w:space="0" w:color="auto"/>
      </w:divBdr>
      <w:divsChild>
        <w:div w:id="1454250051">
          <w:marLeft w:val="0"/>
          <w:marRight w:val="0"/>
          <w:marTop w:val="0"/>
          <w:marBottom w:val="0"/>
          <w:divBdr>
            <w:top w:val="none" w:sz="0" w:space="0" w:color="auto"/>
            <w:left w:val="none" w:sz="0" w:space="0" w:color="auto"/>
            <w:bottom w:val="none" w:sz="0" w:space="0" w:color="auto"/>
            <w:right w:val="none" w:sz="0" w:space="0" w:color="auto"/>
          </w:divBdr>
          <w:divsChild>
            <w:div w:id="2588229">
              <w:marLeft w:val="0"/>
              <w:marRight w:val="0"/>
              <w:marTop w:val="0"/>
              <w:marBottom w:val="0"/>
              <w:divBdr>
                <w:top w:val="none" w:sz="0" w:space="0" w:color="auto"/>
                <w:left w:val="none" w:sz="0" w:space="0" w:color="auto"/>
                <w:bottom w:val="none" w:sz="0" w:space="0" w:color="auto"/>
                <w:right w:val="none" w:sz="0" w:space="0" w:color="auto"/>
              </w:divBdr>
              <w:divsChild>
                <w:div w:id="788549774">
                  <w:marLeft w:val="0"/>
                  <w:marRight w:val="0"/>
                  <w:marTop w:val="0"/>
                  <w:marBottom w:val="0"/>
                  <w:divBdr>
                    <w:top w:val="none" w:sz="0" w:space="0" w:color="auto"/>
                    <w:left w:val="none" w:sz="0" w:space="0" w:color="auto"/>
                    <w:bottom w:val="none" w:sz="0" w:space="0" w:color="auto"/>
                    <w:right w:val="none" w:sz="0" w:space="0" w:color="auto"/>
                  </w:divBdr>
                  <w:divsChild>
                    <w:div w:id="1497381540">
                      <w:marLeft w:val="0"/>
                      <w:marRight w:val="0"/>
                      <w:marTop w:val="0"/>
                      <w:marBottom w:val="0"/>
                      <w:divBdr>
                        <w:top w:val="none" w:sz="0" w:space="0" w:color="auto"/>
                        <w:left w:val="none" w:sz="0" w:space="0" w:color="auto"/>
                        <w:bottom w:val="none" w:sz="0" w:space="0" w:color="auto"/>
                        <w:right w:val="none" w:sz="0" w:space="0" w:color="auto"/>
                      </w:divBdr>
                      <w:divsChild>
                        <w:div w:id="1662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402343">
      <w:bodyDiv w:val="1"/>
      <w:marLeft w:val="0"/>
      <w:marRight w:val="0"/>
      <w:marTop w:val="0"/>
      <w:marBottom w:val="0"/>
      <w:divBdr>
        <w:top w:val="none" w:sz="0" w:space="0" w:color="auto"/>
        <w:left w:val="none" w:sz="0" w:space="0" w:color="auto"/>
        <w:bottom w:val="none" w:sz="0" w:space="0" w:color="auto"/>
        <w:right w:val="none" w:sz="0" w:space="0" w:color="auto"/>
      </w:divBdr>
      <w:divsChild>
        <w:div w:id="2028827408">
          <w:marLeft w:val="0"/>
          <w:marRight w:val="0"/>
          <w:marTop w:val="0"/>
          <w:marBottom w:val="0"/>
          <w:divBdr>
            <w:top w:val="none" w:sz="0" w:space="0" w:color="auto"/>
            <w:left w:val="none" w:sz="0" w:space="0" w:color="auto"/>
            <w:bottom w:val="none" w:sz="0" w:space="0" w:color="auto"/>
            <w:right w:val="none" w:sz="0" w:space="0" w:color="auto"/>
          </w:divBdr>
          <w:divsChild>
            <w:div w:id="1677145665">
              <w:marLeft w:val="0"/>
              <w:marRight w:val="0"/>
              <w:marTop w:val="0"/>
              <w:marBottom w:val="0"/>
              <w:divBdr>
                <w:top w:val="none" w:sz="0" w:space="0" w:color="auto"/>
                <w:left w:val="none" w:sz="0" w:space="0" w:color="auto"/>
                <w:bottom w:val="none" w:sz="0" w:space="0" w:color="auto"/>
                <w:right w:val="none" w:sz="0" w:space="0" w:color="auto"/>
              </w:divBdr>
              <w:divsChild>
                <w:div w:id="344137119">
                  <w:marLeft w:val="0"/>
                  <w:marRight w:val="0"/>
                  <w:marTop w:val="0"/>
                  <w:marBottom w:val="0"/>
                  <w:divBdr>
                    <w:top w:val="none" w:sz="0" w:space="0" w:color="auto"/>
                    <w:left w:val="none" w:sz="0" w:space="0" w:color="auto"/>
                    <w:bottom w:val="none" w:sz="0" w:space="0" w:color="auto"/>
                    <w:right w:val="none" w:sz="0" w:space="0" w:color="auto"/>
                  </w:divBdr>
                  <w:divsChild>
                    <w:div w:id="1312906751">
                      <w:marLeft w:val="0"/>
                      <w:marRight w:val="0"/>
                      <w:marTop w:val="0"/>
                      <w:marBottom w:val="0"/>
                      <w:divBdr>
                        <w:top w:val="none" w:sz="0" w:space="0" w:color="auto"/>
                        <w:left w:val="none" w:sz="0" w:space="0" w:color="auto"/>
                        <w:bottom w:val="none" w:sz="0" w:space="0" w:color="auto"/>
                        <w:right w:val="none" w:sz="0" w:space="0" w:color="auto"/>
                      </w:divBdr>
                      <w:divsChild>
                        <w:div w:id="1093016653">
                          <w:marLeft w:val="0"/>
                          <w:marRight w:val="0"/>
                          <w:marTop w:val="0"/>
                          <w:marBottom w:val="0"/>
                          <w:divBdr>
                            <w:top w:val="none" w:sz="0" w:space="0" w:color="auto"/>
                            <w:left w:val="none" w:sz="0" w:space="0" w:color="auto"/>
                            <w:bottom w:val="none" w:sz="0" w:space="0" w:color="auto"/>
                            <w:right w:val="none" w:sz="0" w:space="0" w:color="auto"/>
                          </w:divBdr>
                          <w:divsChild>
                            <w:div w:id="505442140">
                              <w:marLeft w:val="0"/>
                              <w:marRight w:val="0"/>
                              <w:marTop w:val="0"/>
                              <w:marBottom w:val="0"/>
                              <w:divBdr>
                                <w:top w:val="none" w:sz="0" w:space="0" w:color="auto"/>
                                <w:left w:val="none" w:sz="0" w:space="0" w:color="auto"/>
                                <w:bottom w:val="none" w:sz="0" w:space="0" w:color="auto"/>
                                <w:right w:val="none" w:sz="0" w:space="0" w:color="auto"/>
                              </w:divBdr>
                              <w:divsChild>
                                <w:div w:id="669258450">
                                  <w:marLeft w:val="570"/>
                                  <w:marRight w:val="720"/>
                                  <w:marTop w:val="120"/>
                                  <w:marBottom w:val="120"/>
                                  <w:divBdr>
                                    <w:top w:val="none" w:sz="0" w:space="0" w:color="auto"/>
                                    <w:left w:val="none" w:sz="0" w:space="0" w:color="auto"/>
                                    <w:bottom w:val="none" w:sz="0" w:space="0" w:color="auto"/>
                                    <w:right w:val="none" w:sz="0" w:space="0" w:color="auto"/>
                                  </w:divBdr>
                                  <w:divsChild>
                                    <w:div w:id="944463629">
                                      <w:marLeft w:val="0"/>
                                      <w:marRight w:val="0"/>
                                      <w:marTop w:val="0"/>
                                      <w:marBottom w:val="0"/>
                                      <w:divBdr>
                                        <w:top w:val="none" w:sz="0" w:space="0" w:color="auto"/>
                                        <w:left w:val="none" w:sz="0" w:space="0" w:color="auto"/>
                                        <w:bottom w:val="none" w:sz="0" w:space="0" w:color="auto"/>
                                        <w:right w:val="none" w:sz="0" w:space="0" w:color="auto"/>
                                      </w:divBdr>
                                      <w:divsChild>
                                        <w:div w:id="804205109">
                                          <w:marLeft w:val="0"/>
                                          <w:marRight w:val="0"/>
                                          <w:marTop w:val="0"/>
                                          <w:marBottom w:val="0"/>
                                          <w:divBdr>
                                            <w:top w:val="none" w:sz="0" w:space="0" w:color="auto"/>
                                            <w:left w:val="none" w:sz="0" w:space="0" w:color="auto"/>
                                            <w:bottom w:val="none" w:sz="0" w:space="0" w:color="auto"/>
                                            <w:right w:val="none" w:sz="0" w:space="0" w:color="auto"/>
                                          </w:divBdr>
                                          <w:divsChild>
                                            <w:div w:id="1288388483">
                                              <w:marLeft w:val="0"/>
                                              <w:marRight w:val="0"/>
                                              <w:marTop w:val="0"/>
                                              <w:marBottom w:val="0"/>
                                              <w:divBdr>
                                                <w:top w:val="none" w:sz="0" w:space="0" w:color="auto"/>
                                                <w:left w:val="none" w:sz="0" w:space="0" w:color="auto"/>
                                                <w:bottom w:val="none" w:sz="0" w:space="0" w:color="auto"/>
                                                <w:right w:val="none" w:sz="0" w:space="0" w:color="auto"/>
                                              </w:divBdr>
                                              <w:divsChild>
                                                <w:div w:id="499658650">
                                                  <w:marLeft w:val="0"/>
                                                  <w:marRight w:val="0"/>
                                                  <w:marTop w:val="240"/>
                                                  <w:marBottom w:val="240"/>
                                                  <w:divBdr>
                                                    <w:top w:val="single" w:sz="6" w:space="6" w:color="F2F2F2"/>
                                                    <w:left w:val="none" w:sz="0" w:space="0" w:color="auto"/>
                                                    <w:bottom w:val="single" w:sz="6" w:space="6" w:color="F2F2F2"/>
                                                    <w:right w:val="none" w:sz="0" w:space="0" w:color="auto"/>
                                                  </w:divBdr>
                                                </w:div>
                                                <w:div w:id="1963884044">
                                                  <w:marLeft w:val="0"/>
                                                  <w:marRight w:val="0"/>
                                                  <w:marTop w:val="0"/>
                                                  <w:marBottom w:val="0"/>
                                                  <w:divBdr>
                                                    <w:top w:val="none" w:sz="0" w:space="0" w:color="auto"/>
                                                    <w:left w:val="none" w:sz="0" w:space="0" w:color="auto"/>
                                                    <w:bottom w:val="none" w:sz="0" w:space="0" w:color="auto"/>
                                                    <w:right w:val="none" w:sz="0" w:space="0" w:color="auto"/>
                                                  </w:divBdr>
                                                  <w:divsChild>
                                                    <w:div w:id="11380640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557149">
      <w:bodyDiv w:val="1"/>
      <w:marLeft w:val="0"/>
      <w:marRight w:val="0"/>
      <w:marTop w:val="0"/>
      <w:marBottom w:val="0"/>
      <w:divBdr>
        <w:top w:val="none" w:sz="0" w:space="0" w:color="auto"/>
        <w:left w:val="none" w:sz="0" w:space="0" w:color="auto"/>
        <w:bottom w:val="none" w:sz="0" w:space="0" w:color="auto"/>
        <w:right w:val="none" w:sz="0" w:space="0" w:color="auto"/>
      </w:divBdr>
      <w:divsChild>
        <w:div w:id="298655812">
          <w:marLeft w:val="0"/>
          <w:marRight w:val="0"/>
          <w:marTop w:val="0"/>
          <w:marBottom w:val="0"/>
          <w:divBdr>
            <w:top w:val="none" w:sz="0" w:space="0" w:color="auto"/>
            <w:left w:val="none" w:sz="0" w:space="0" w:color="auto"/>
            <w:bottom w:val="none" w:sz="0" w:space="0" w:color="auto"/>
            <w:right w:val="none" w:sz="0" w:space="0" w:color="auto"/>
          </w:divBdr>
          <w:divsChild>
            <w:div w:id="301736225">
              <w:marLeft w:val="0"/>
              <w:marRight w:val="0"/>
              <w:marTop w:val="0"/>
              <w:marBottom w:val="0"/>
              <w:divBdr>
                <w:top w:val="none" w:sz="0" w:space="0" w:color="auto"/>
                <w:left w:val="none" w:sz="0" w:space="0" w:color="auto"/>
                <w:bottom w:val="none" w:sz="0" w:space="0" w:color="auto"/>
                <w:right w:val="none" w:sz="0" w:space="0" w:color="auto"/>
              </w:divBdr>
              <w:divsChild>
                <w:div w:id="58020960">
                  <w:marLeft w:val="0"/>
                  <w:marRight w:val="0"/>
                  <w:marTop w:val="0"/>
                  <w:marBottom w:val="0"/>
                  <w:divBdr>
                    <w:top w:val="none" w:sz="0" w:space="0" w:color="auto"/>
                    <w:left w:val="none" w:sz="0" w:space="0" w:color="auto"/>
                    <w:bottom w:val="none" w:sz="0" w:space="0" w:color="auto"/>
                    <w:right w:val="none" w:sz="0" w:space="0" w:color="auto"/>
                  </w:divBdr>
                  <w:divsChild>
                    <w:div w:id="1701083171">
                      <w:marLeft w:val="0"/>
                      <w:marRight w:val="0"/>
                      <w:marTop w:val="0"/>
                      <w:marBottom w:val="0"/>
                      <w:divBdr>
                        <w:top w:val="none" w:sz="0" w:space="0" w:color="auto"/>
                        <w:left w:val="none" w:sz="0" w:space="0" w:color="auto"/>
                        <w:bottom w:val="none" w:sz="0" w:space="0" w:color="auto"/>
                        <w:right w:val="none" w:sz="0" w:space="0" w:color="auto"/>
                      </w:divBdr>
                      <w:divsChild>
                        <w:div w:id="21555554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90557398">
      <w:bodyDiv w:val="1"/>
      <w:marLeft w:val="300"/>
      <w:marRight w:val="300"/>
      <w:marTop w:val="0"/>
      <w:marBottom w:val="0"/>
      <w:divBdr>
        <w:top w:val="none" w:sz="0" w:space="0" w:color="auto"/>
        <w:left w:val="none" w:sz="0" w:space="0" w:color="auto"/>
        <w:bottom w:val="none" w:sz="0" w:space="0" w:color="auto"/>
        <w:right w:val="none" w:sz="0" w:space="0" w:color="auto"/>
      </w:divBdr>
      <w:divsChild>
        <w:div w:id="984361122">
          <w:marLeft w:val="0"/>
          <w:marRight w:val="0"/>
          <w:marTop w:val="0"/>
          <w:marBottom w:val="0"/>
          <w:divBdr>
            <w:top w:val="none" w:sz="0" w:space="0" w:color="auto"/>
            <w:left w:val="none" w:sz="0" w:space="0" w:color="auto"/>
            <w:bottom w:val="none" w:sz="0" w:space="0" w:color="auto"/>
            <w:right w:val="none" w:sz="0" w:space="0" w:color="auto"/>
          </w:divBdr>
          <w:divsChild>
            <w:div w:id="1358116279">
              <w:marLeft w:val="0"/>
              <w:marRight w:val="0"/>
              <w:marTop w:val="0"/>
              <w:marBottom w:val="0"/>
              <w:divBdr>
                <w:top w:val="none" w:sz="0" w:space="0" w:color="auto"/>
                <w:left w:val="none" w:sz="0" w:space="0" w:color="auto"/>
                <w:bottom w:val="none" w:sz="0" w:space="0" w:color="auto"/>
                <w:right w:val="none" w:sz="0" w:space="0" w:color="auto"/>
              </w:divBdr>
              <w:divsChild>
                <w:div w:id="859514381">
                  <w:marLeft w:val="0"/>
                  <w:marRight w:val="0"/>
                  <w:marTop w:val="0"/>
                  <w:marBottom w:val="0"/>
                  <w:divBdr>
                    <w:top w:val="none" w:sz="0" w:space="0" w:color="auto"/>
                    <w:left w:val="none" w:sz="0" w:space="0" w:color="auto"/>
                    <w:bottom w:val="none" w:sz="0" w:space="0" w:color="auto"/>
                    <w:right w:val="none" w:sz="0" w:space="0" w:color="auto"/>
                  </w:divBdr>
                  <w:divsChild>
                    <w:div w:id="644966749">
                      <w:marLeft w:val="0"/>
                      <w:marRight w:val="0"/>
                      <w:marTop w:val="0"/>
                      <w:marBottom w:val="0"/>
                      <w:divBdr>
                        <w:top w:val="none" w:sz="0" w:space="0" w:color="auto"/>
                        <w:left w:val="none" w:sz="0" w:space="0" w:color="auto"/>
                        <w:bottom w:val="none" w:sz="0" w:space="0" w:color="auto"/>
                        <w:right w:val="none" w:sz="0" w:space="0" w:color="auto"/>
                      </w:divBdr>
                      <w:divsChild>
                        <w:div w:id="1858159441">
                          <w:marLeft w:val="0"/>
                          <w:marRight w:val="0"/>
                          <w:marTop w:val="0"/>
                          <w:marBottom w:val="0"/>
                          <w:divBdr>
                            <w:top w:val="none" w:sz="0" w:space="0" w:color="auto"/>
                            <w:left w:val="none" w:sz="0" w:space="0" w:color="auto"/>
                            <w:bottom w:val="none" w:sz="0" w:space="0" w:color="auto"/>
                            <w:right w:val="none" w:sz="0" w:space="0" w:color="auto"/>
                          </w:divBdr>
                          <w:divsChild>
                            <w:div w:id="802424582">
                              <w:marLeft w:val="0"/>
                              <w:marRight w:val="0"/>
                              <w:marTop w:val="0"/>
                              <w:marBottom w:val="0"/>
                              <w:divBdr>
                                <w:top w:val="none" w:sz="0" w:space="0" w:color="auto"/>
                                <w:left w:val="none" w:sz="0" w:space="0" w:color="auto"/>
                                <w:bottom w:val="none" w:sz="0" w:space="0" w:color="auto"/>
                                <w:right w:val="none" w:sz="0" w:space="0" w:color="auto"/>
                              </w:divBdr>
                              <w:divsChild>
                                <w:div w:id="1405683547">
                                  <w:marLeft w:val="0"/>
                                  <w:marRight w:val="0"/>
                                  <w:marTop w:val="0"/>
                                  <w:marBottom w:val="0"/>
                                  <w:divBdr>
                                    <w:top w:val="none" w:sz="0" w:space="0" w:color="auto"/>
                                    <w:left w:val="none" w:sz="0" w:space="0" w:color="auto"/>
                                    <w:bottom w:val="none" w:sz="0" w:space="0" w:color="auto"/>
                                    <w:right w:val="none" w:sz="0" w:space="0" w:color="auto"/>
                                  </w:divBdr>
                                  <w:divsChild>
                                    <w:div w:id="7061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751966">
      <w:bodyDiv w:val="1"/>
      <w:marLeft w:val="0"/>
      <w:marRight w:val="0"/>
      <w:marTop w:val="0"/>
      <w:marBottom w:val="0"/>
      <w:divBdr>
        <w:top w:val="none" w:sz="0" w:space="0" w:color="auto"/>
        <w:left w:val="none" w:sz="0" w:space="0" w:color="auto"/>
        <w:bottom w:val="none" w:sz="0" w:space="0" w:color="auto"/>
        <w:right w:val="none" w:sz="0" w:space="0" w:color="auto"/>
      </w:divBdr>
      <w:divsChild>
        <w:div w:id="337465492">
          <w:marLeft w:val="0"/>
          <w:marRight w:val="0"/>
          <w:marTop w:val="0"/>
          <w:marBottom w:val="0"/>
          <w:divBdr>
            <w:top w:val="none" w:sz="0" w:space="0" w:color="auto"/>
            <w:left w:val="none" w:sz="0" w:space="0" w:color="auto"/>
            <w:bottom w:val="none" w:sz="0" w:space="0" w:color="auto"/>
            <w:right w:val="none" w:sz="0" w:space="0" w:color="auto"/>
          </w:divBdr>
          <w:divsChild>
            <w:div w:id="25179387">
              <w:marLeft w:val="210"/>
              <w:marRight w:val="0"/>
              <w:marTop w:val="0"/>
              <w:marBottom w:val="0"/>
              <w:divBdr>
                <w:top w:val="none" w:sz="0" w:space="0" w:color="auto"/>
                <w:left w:val="none" w:sz="0" w:space="0" w:color="auto"/>
                <w:bottom w:val="none" w:sz="0" w:space="0" w:color="auto"/>
                <w:right w:val="none" w:sz="0" w:space="0" w:color="auto"/>
              </w:divBdr>
              <w:divsChild>
                <w:div w:id="13754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3732">
      <w:bodyDiv w:val="1"/>
      <w:marLeft w:val="0"/>
      <w:marRight w:val="0"/>
      <w:marTop w:val="0"/>
      <w:marBottom w:val="0"/>
      <w:divBdr>
        <w:top w:val="none" w:sz="0" w:space="0" w:color="auto"/>
        <w:left w:val="none" w:sz="0" w:space="0" w:color="auto"/>
        <w:bottom w:val="none" w:sz="0" w:space="0" w:color="auto"/>
        <w:right w:val="none" w:sz="0" w:space="0" w:color="auto"/>
      </w:divBdr>
      <w:divsChild>
        <w:div w:id="923077290">
          <w:marLeft w:val="-225"/>
          <w:marRight w:val="-225"/>
          <w:marTop w:val="0"/>
          <w:marBottom w:val="0"/>
          <w:divBdr>
            <w:top w:val="none" w:sz="0" w:space="0" w:color="auto"/>
            <w:left w:val="none" w:sz="0" w:space="0" w:color="auto"/>
            <w:bottom w:val="none" w:sz="0" w:space="0" w:color="auto"/>
            <w:right w:val="none" w:sz="0" w:space="0" w:color="auto"/>
          </w:divBdr>
          <w:divsChild>
            <w:div w:id="1365474267">
              <w:marLeft w:val="0"/>
              <w:marRight w:val="0"/>
              <w:marTop w:val="0"/>
              <w:marBottom w:val="0"/>
              <w:divBdr>
                <w:top w:val="none" w:sz="0" w:space="0" w:color="auto"/>
                <w:left w:val="none" w:sz="0" w:space="0" w:color="auto"/>
                <w:bottom w:val="none" w:sz="0" w:space="0" w:color="auto"/>
                <w:right w:val="none" w:sz="0" w:space="0" w:color="auto"/>
              </w:divBdr>
            </w:div>
          </w:divsChild>
        </w:div>
        <w:div w:id="93014914">
          <w:marLeft w:val="-225"/>
          <w:marRight w:val="-225"/>
          <w:marTop w:val="0"/>
          <w:marBottom w:val="0"/>
          <w:divBdr>
            <w:top w:val="none" w:sz="0" w:space="0" w:color="auto"/>
            <w:left w:val="none" w:sz="0" w:space="0" w:color="auto"/>
            <w:bottom w:val="none" w:sz="0" w:space="0" w:color="auto"/>
            <w:right w:val="none" w:sz="0" w:space="0" w:color="auto"/>
          </w:divBdr>
          <w:divsChild>
            <w:div w:id="952321132">
              <w:marLeft w:val="0"/>
              <w:marRight w:val="0"/>
              <w:marTop w:val="0"/>
              <w:marBottom w:val="0"/>
              <w:divBdr>
                <w:top w:val="none" w:sz="0" w:space="0" w:color="auto"/>
                <w:left w:val="none" w:sz="0" w:space="0" w:color="auto"/>
                <w:bottom w:val="none" w:sz="0" w:space="0" w:color="auto"/>
                <w:right w:val="none" w:sz="0" w:space="0" w:color="auto"/>
              </w:divBdr>
              <w:divsChild>
                <w:div w:id="607081689">
                  <w:marLeft w:val="0"/>
                  <w:marRight w:val="0"/>
                  <w:marTop w:val="0"/>
                  <w:marBottom w:val="0"/>
                  <w:divBdr>
                    <w:top w:val="none" w:sz="0" w:space="0" w:color="auto"/>
                    <w:left w:val="none" w:sz="0" w:space="0" w:color="auto"/>
                    <w:bottom w:val="none" w:sz="0" w:space="0" w:color="auto"/>
                    <w:right w:val="none" w:sz="0" w:space="0" w:color="auto"/>
                  </w:divBdr>
                  <w:divsChild>
                    <w:div w:id="1196389809">
                      <w:marLeft w:val="0"/>
                      <w:marRight w:val="0"/>
                      <w:marTop w:val="0"/>
                      <w:marBottom w:val="0"/>
                      <w:divBdr>
                        <w:top w:val="none" w:sz="0" w:space="0" w:color="auto"/>
                        <w:left w:val="none" w:sz="0" w:space="0" w:color="auto"/>
                        <w:bottom w:val="none" w:sz="0" w:space="0" w:color="auto"/>
                        <w:right w:val="none" w:sz="0" w:space="0" w:color="auto"/>
                      </w:divBdr>
                      <w:divsChild>
                        <w:div w:id="675227095">
                          <w:marLeft w:val="0"/>
                          <w:marRight w:val="0"/>
                          <w:marTop w:val="0"/>
                          <w:marBottom w:val="0"/>
                          <w:divBdr>
                            <w:top w:val="none" w:sz="0" w:space="0" w:color="auto"/>
                            <w:left w:val="none" w:sz="0" w:space="0" w:color="auto"/>
                            <w:bottom w:val="none" w:sz="0" w:space="0" w:color="auto"/>
                            <w:right w:val="none" w:sz="0" w:space="0" w:color="auto"/>
                          </w:divBdr>
                          <w:divsChild>
                            <w:div w:id="748621322">
                              <w:marLeft w:val="-225"/>
                              <w:marRight w:val="-225"/>
                              <w:marTop w:val="0"/>
                              <w:marBottom w:val="0"/>
                              <w:divBdr>
                                <w:top w:val="none" w:sz="0" w:space="0" w:color="auto"/>
                                <w:left w:val="none" w:sz="0" w:space="0" w:color="auto"/>
                                <w:bottom w:val="none" w:sz="0" w:space="0" w:color="auto"/>
                                <w:right w:val="none" w:sz="0" w:space="0" w:color="auto"/>
                              </w:divBdr>
                              <w:divsChild>
                                <w:div w:id="15301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5225">
      <w:bodyDiv w:val="1"/>
      <w:marLeft w:val="0"/>
      <w:marRight w:val="0"/>
      <w:marTop w:val="0"/>
      <w:marBottom w:val="0"/>
      <w:divBdr>
        <w:top w:val="none" w:sz="0" w:space="0" w:color="auto"/>
        <w:left w:val="none" w:sz="0" w:space="0" w:color="auto"/>
        <w:bottom w:val="none" w:sz="0" w:space="0" w:color="auto"/>
        <w:right w:val="none" w:sz="0" w:space="0" w:color="auto"/>
      </w:divBdr>
      <w:divsChild>
        <w:div w:id="1365640728">
          <w:marLeft w:val="0"/>
          <w:marRight w:val="0"/>
          <w:marTop w:val="150"/>
          <w:marBottom w:val="0"/>
          <w:divBdr>
            <w:top w:val="none" w:sz="0" w:space="0" w:color="auto"/>
            <w:left w:val="none" w:sz="0" w:space="0" w:color="auto"/>
            <w:bottom w:val="none" w:sz="0" w:space="0" w:color="auto"/>
            <w:right w:val="none" w:sz="0" w:space="0" w:color="auto"/>
          </w:divBdr>
          <w:divsChild>
            <w:div w:id="2140344600">
              <w:marLeft w:val="0"/>
              <w:marRight w:val="0"/>
              <w:marTop w:val="0"/>
              <w:marBottom w:val="0"/>
              <w:divBdr>
                <w:top w:val="none" w:sz="0" w:space="0" w:color="auto"/>
                <w:left w:val="none" w:sz="0" w:space="0" w:color="auto"/>
                <w:bottom w:val="none" w:sz="0" w:space="0" w:color="auto"/>
                <w:right w:val="none" w:sz="0" w:space="0" w:color="auto"/>
              </w:divBdr>
              <w:divsChild>
                <w:div w:id="739717053">
                  <w:marLeft w:val="0"/>
                  <w:marRight w:val="0"/>
                  <w:marTop w:val="0"/>
                  <w:marBottom w:val="0"/>
                  <w:divBdr>
                    <w:top w:val="none" w:sz="0" w:space="0" w:color="auto"/>
                    <w:left w:val="none" w:sz="0" w:space="0" w:color="auto"/>
                    <w:bottom w:val="none" w:sz="0" w:space="0" w:color="auto"/>
                    <w:right w:val="none" w:sz="0" w:space="0" w:color="auto"/>
                  </w:divBdr>
                  <w:divsChild>
                    <w:div w:id="11308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38692">
      <w:bodyDiv w:val="1"/>
      <w:marLeft w:val="0"/>
      <w:marRight w:val="0"/>
      <w:marTop w:val="0"/>
      <w:marBottom w:val="0"/>
      <w:divBdr>
        <w:top w:val="none" w:sz="0" w:space="0" w:color="auto"/>
        <w:left w:val="none" w:sz="0" w:space="0" w:color="auto"/>
        <w:bottom w:val="none" w:sz="0" w:space="0" w:color="auto"/>
        <w:right w:val="none" w:sz="0" w:space="0" w:color="auto"/>
      </w:divBdr>
      <w:divsChild>
        <w:div w:id="44719166">
          <w:marLeft w:val="0"/>
          <w:marRight w:val="0"/>
          <w:marTop w:val="150"/>
          <w:marBottom w:val="0"/>
          <w:divBdr>
            <w:top w:val="none" w:sz="0" w:space="0" w:color="auto"/>
            <w:left w:val="none" w:sz="0" w:space="0" w:color="auto"/>
            <w:bottom w:val="none" w:sz="0" w:space="0" w:color="auto"/>
            <w:right w:val="none" w:sz="0" w:space="0" w:color="auto"/>
          </w:divBdr>
          <w:divsChild>
            <w:div w:id="1205797261">
              <w:marLeft w:val="2"/>
              <w:marRight w:val="2"/>
              <w:marTop w:val="0"/>
              <w:marBottom w:val="0"/>
              <w:divBdr>
                <w:top w:val="none" w:sz="0" w:space="0" w:color="auto"/>
                <w:left w:val="none" w:sz="0" w:space="0" w:color="auto"/>
                <w:bottom w:val="none" w:sz="0" w:space="0" w:color="auto"/>
                <w:right w:val="none" w:sz="0" w:space="0" w:color="auto"/>
              </w:divBdr>
              <w:divsChild>
                <w:div w:id="2044164019">
                  <w:marLeft w:val="0"/>
                  <w:marRight w:val="0"/>
                  <w:marTop w:val="0"/>
                  <w:marBottom w:val="0"/>
                  <w:divBdr>
                    <w:top w:val="none" w:sz="0" w:space="0" w:color="auto"/>
                    <w:left w:val="none" w:sz="0" w:space="0" w:color="auto"/>
                    <w:bottom w:val="none" w:sz="0" w:space="0" w:color="auto"/>
                    <w:right w:val="none" w:sz="0" w:space="0" w:color="auto"/>
                  </w:divBdr>
                  <w:divsChild>
                    <w:div w:id="2059552209">
                      <w:marLeft w:val="0"/>
                      <w:marRight w:val="0"/>
                      <w:marTop w:val="0"/>
                      <w:marBottom w:val="0"/>
                      <w:divBdr>
                        <w:top w:val="none" w:sz="0" w:space="0" w:color="auto"/>
                        <w:left w:val="none" w:sz="0" w:space="0" w:color="auto"/>
                        <w:bottom w:val="none" w:sz="0" w:space="0" w:color="auto"/>
                        <w:right w:val="none" w:sz="0" w:space="0" w:color="auto"/>
                      </w:divBdr>
                      <w:divsChild>
                        <w:div w:id="602883687">
                          <w:marLeft w:val="0"/>
                          <w:marRight w:val="0"/>
                          <w:marTop w:val="0"/>
                          <w:marBottom w:val="0"/>
                          <w:divBdr>
                            <w:top w:val="none" w:sz="0" w:space="0" w:color="auto"/>
                            <w:left w:val="none" w:sz="0" w:space="0" w:color="auto"/>
                            <w:bottom w:val="none" w:sz="0" w:space="0" w:color="auto"/>
                            <w:right w:val="none" w:sz="0" w:space="0" w:color="auto"/>
                          </w:divBdr>
                          <w:divsChild>
                            <w:div w:id="1155023691">
                              <w:marLeft w:val="0"/>
                              <w:marRight w:val="0"/>
                              <w:marTop w:val="0"/>
                              <w:marBottom w:val="0"/>
                              <w:divBdr>
                                <w:top w:val="none" w:sz="0" w:space="0" w:color="auto"/>
                                <w:left w:val="none" w:sz="0" w:space="0" w:color="auto"/>
                                <w:bottom w:val="none" w:sz="0" w:space="0" w:color="auto"/>
                                <w:right w:val="none" w:sz="0" w:space="0" w:color="auto"/>
                              </w:divBdr>
                              <w:divsChild>
                                <w:div w:id="1179151679">
                                  <w:marLeft w:val="0"/>
                                  <w:marRight w:val="0"/>
                                  <w:marTop w:val="0"/>
                                  <w:marBottom w:val="0"/>
                                  <w:divBdr>
                                    <w:top w:val="none" w:sz="0" w:space="0" w:color="auto"/>
                                    <w:left w:val="none" w:sz="0" w:space="0" w:color="auto"/>
                                    <w:bottom w:val="none" w:sz="0" w:space="0" w:color="auto"/>
                                    <w:right w:val="none" w:sz="0" w:space="0" w:color="auto"/>
                                  </w:divBdr>
                                  <w:divsChild>
                                    <w:div w:id="1478188671">
                                      <w:marLeft w:val="0"/>
                                      <w:marRight w:val="0"/>
                                      <w:marTop w:val="0"/>
                                      <w:marBottom w:val="0"/>
                                      <w:divBdr>
                                        <w:top w:val="none" w:sz="0" w:space="0" w:color="auto"/>
                                        <w:left w:val="none" w:sz="0" w:space="0" w:color="auto"/>
                                        <w:bottom w:val="none" w:sz="0" w:space="0" w:color="auto"/>
                                        <w:right w:val="none" w:sz="0" w:space="0" w:color="auto"/>
                                      </w:divBdr>
                                      <w:divsChild>
                                        <w:div w:id="311447897">
                                          <w:marLeft w:val="0"/>
                                          <w:marRight w:val="0"/>
                                          <w:marTop w:val="0"/>
                                          <w:marBottom w:val="0"/>
                                          <w:divBdr>
                                            <w:top w:val="none" w:sz="0" w:space="0" w:color="auto"/>
                                            <w:left w:val="none" w:sz="0" w:space="0" w:color="auto"/>
                                            <w:bottom w:val="none" w:sz="0" w:space="0" w:color="auto"/>
                                            <w:right w:val="none" w:sz="0" w:space="0" w:color="auto"/>
                                          </w:divBdr>
                                          <w:divsChild>
                                            <w:div w:id="121115790">
                                              <w:marLeft w:val="0"/>
                                              <w:marRight w:val="0"/>
                                              <w:marTop w:val="0"/>
                                              <w:marBottom w:val="0"/>
                                              <w:divBdr>
                                                <w:top w:val="none" w:sz="0" w:space="0" w:color="auto"/>
                                                <w:left w:val="none" w:sz="0" w:space="0" w:color="auto"/>
                                                <w:bottom w:val="none" w:sz="0" w:space="0" w:color="auto"/>
                                                <w:right w:val="none" w:sz="0" w:space="0" w:color="auto"/>
                                              </w:divBdr>
                                              <w:divsChild>
                                                <w:div w:id="1873494798">
                                                  <w:marLeft w:val="0"/>
                                                  <w:marRight w:val="0"/>
                                                  <w:marTop w:val="0"/>
                                                  <w:marBottom w:val="0"/>
                                                  <w:divBdr>
                                                    <w:top w:val="none" w:sz="0" w:space="0" w:color="auto"/>
                                                    <w:left w:val="none" w:sz="0" w:space="0" w:color="auto"/>
                                                    <w:bottom w:val="none" w:sz="0" w:space="0" w:color="auto"/>
                                                    <w:right w:val="none" w:sz="0" w:space="0" w:color="auto"/>
                                                  </w:divBdr>
                                                </w:div>
                                              </w:divsChild>
                                            </w:div>
                                            <w:div w:id="157617283">
                                              <w:marLeft w:val="0"/>
                                              <w:marRight w:val="0"/>
                                              <w:marTop w:val="0"/>
                                              <w:marBottom w:val="0"/>
                                              <w:divBdr>
                                                <w:top w:val="none" w:sz="0" w:space="0" w:color="auto"/>
                                                <w:left w:val="none" w:sz="0" w:space="0" w:color="auto"/>
                                                <w:bottom w:val="none" w:sz="0" w:space="0" w:color="auto"/>
                                                <w:right w:val="none" w:sz="0" w:space="0" w:color="auto"/>
                                              </w:divBdr>
                                              <w:divsChild>
                                                <w:div w:id="538203622">
                                                  <w:marLeft w:val="0"/>
                                                  <w:marRight w:val="0"/>
                                                  <w:marTop w:val="0"/>
                                                  <w:marBottom w:val="0"/>
                                                  <w:divBdr>
                                                    <w:top w:val="none" w:sz="0" w:space="0" w:color="auto"/>
                                                    <w:left w:val="none" w:sz="0" w:space="0" w:color="auto"/>
                                                    <w:bottom w:val="none" w:sz="0" w:space="0" w:color="auto"/>
                                                    <w:right w:val="none" w:sz="0" w:space="0" w:color="auto"/>
                                                  </w:divBdr>
                                                </w:div>
                                              </w:divsChild>
                                            </w:div>
                                            <w:div w:id="1751000830">
                                              <w:marLeft w:val="0"/>
                                              <w:marRight w:val="0"/>
                                              <w:marTop w:val="0"/>
                                              <w:marBottom w:val="0"/>
                                              <w:divBdr>
                                                <w:top w:val="none" w:sz="0" w:space="0" w:color="auto"/>
                                                <w:left w:val="none" w:sz="0" w:space="0" w:color="auto"/>
                                                <w:bottom w:val="none" w:sz="0" w:space="0" w:color="auto"/>
                                                <w:right w:val="none" w:sz="0" w:space="0" w:color="auto"/>
                                              </w:divBdr>
                                              <w:divsChild>
                                                <w:div w:id="137648137">
                                                  <w:marLeft w:val="0"/>
                                                  <w:marRight w:val="0"/>
                                                  <w:marTop w:val="0"/>
                                                  <w:marBottom w:val="0"/>
                                                  <w:divBdr>
                                                    <w:top w:val="none" w:sz="0" w:space="0" w:color="auto"/>
                                                    <w:left w:val="none" w:sz="0" w:space="0" w:color="auto"/>
                                                    <w:bottom w:val="none" w:sz="0" w:space="0" w:color="auto"/>
                                                    <w:right w:val="none" w:sz="0" w:space="0" w:color="auto"/>
                                                  </w:divBdr>
                                                </w:div>
                                              </w:divsChild>
                                            </w:div>
                                            <w:div w:id="1277444494">
                                              <w:marLeft w:val="0"/>
                                              <w:marRight w:val="0"/>
                                              <w:marTop w:val="0"/>
                                              <w:marBottom w:val="0"/>
                                              <w:divBdr>
                                                <w:top w:val="none" w:sz="0" w:space="0" w:color="auto"/>
                                                <w:left w:val="none" w:sz="0" w:space="0" w:color="auto"/>
                                                <w:bottom w:val="none" w:sz="0" w:space="0" w:color="auto"/>
                                                <w:right w:val="none" w:sz="0" w:space="0" w:color="auto"/>
                                              </w:divBdr>
                                              <w:divsChild>
                                                <w:div w:id="18808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293118">
      <w:bodyDiv w:val="1"/>
      <w:marLeft w:val="0"/>
      <w:marRight w:val="0"/>
      <w:marTop w:val="0"/>
      <w:marBottom w:val="0"/>
      <w:divBdr>
        <w:top w:val="none" w:sz="0" w:space="0" w:color="auto"/>
        <w:left w:val="none" w:sz="0" w:space="0" w:color="auto"/>
        <w:bottom w:val="none" w:sz="0" w:space="0" w:color="auto"/>
        <w:right w:val="none" w:sz="0" w:space="0" w:color="auto"/>
      </w:divBdr>
      <w:divsChild>
        <w:div w:id="1678339465">
          <w:marLeft w:val="0"/>
          <w:marRight w:val="0"/>
          <w:marTop w:val="0"/>
          <w:marBottom w:val="0"/>
          <w:divBdr>
            <w:top w:val="none" w:sz="0" w:space="0" w:color="auto"/>
            <w:left w:val="none" w:sz="0" w:space="0" w:color="auto"/>
            <w:bottom w:val="none" w:sz="0" w:space="0" w:color="auto"/>
            <w:right w:val="none" w:sz="0" w:space="0" w:color="auto"/>
          </w:divBdr>
          <w:divsChild>
            <w:div w:id="2033452936">
              <w:marLeft w:val="0"/>
              <w:marRight w:val="0"/>
              <w:marTop w:val="0"/>
              <w:marBottom w:val="0"/>
              <w:divBdr>
                <w:top w:val="none" w:sz="0" w:space="0" w:color="auto"/>
                <w:left w:val="none" w:sz="0" w:space="0" w:color="auto"/>
                <w:bottom w:val="none" w:sz="0" w:space="0" w:color="auto"/>
                <w:right w:val="none" w:sz="0" w:space="0" w:color="auto"/>
              </w:divBdr>
              <w:divsChild>
                <w:div w:id="1548645874">
                  <w:marLeft w:val="0"/>
                  <w:marRight w:val="0"/>
                  <w:marTop w:val="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509179001">
                          <w:marLeft w:val="0"/>
                          <w:marRight w:val="0"/>
                          <w:marTop w:val="0"/>
                          <w:marBottom w:val="0"/>
                          <w:divBdr>
                            <w:top w:val="none" w:sz="0" w:space="0" w:color="auto"/>
                            <w:left w:val="none" w:sz="0" w:space="0" w:color="auto"/>
                            <w:bottom w:val="single" w:sz="4" w:space="13" w:color="CCCCCC"/>
                            <w:right w:val="none" w:sz="0" w:space="0" w:color="auto"/>
                          </w:divBdr>
                          <w:divsChild>
                            <w:div w:id="1692412521">
                              <w:marLeft w:val="0"/>
                              <w:marRight w:val="0"/>
                              <w:marTop w:val="0"/>
                              <w:marBottom w:val="0"/>
                              <w:divBdr>
                                <w:top w:val="none" w:sz="0" w:space="0" w:color="auto"/>
                                <w:left w:val="none" w:sz="0" w:space="0" w:color="auto"/>
                                <w:bottom w:val="none" w:sz="0" w:space="0" w:color="auto"/>
                                <w:right w:val="none" w:sz="0" w:space="0" w:color="auto"/>
                              </w:divBdr>
                              <w:divsChild>
                                <w:div w:id="10206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534782">
      <w:bodyDiv w:val="1"/>
      <w:marLeft w:val="0"/>
      <w:marRight w:val="0"/>
      <w:marTop w:val="0"/>
      <w:marBottom w:val="0"/>
      <w:divBdr>
        <w:top w:val="none" w:sz="0" w:space="0" w:color="auto"/>
        <w:left w:val="none" w:sz="0" w:space="0" w:color="auto"/>
        <w:bottom w:val="none" w:sz="0" w:space="0" w:color="auto"/>
        <w:right w:val="none" w:sz="0" w:space="0" w:color="auto"/>
      </w:divBdr>
      <w:divsChild>
        <w:div w:id="2094664358">
          <w:marLeft w:val="0"/>
          <w:marRight w:val="0"/>
          <w:marTop w:val="375"/>
          <w:marBottom w:val="375"/>
          <w:divBdr>
            <w:top w:val="none" w:sz="0" w:space="0" w:color="auto"/>
            <w:left w:val="none" w:sz="0" w:space="0" w:color="auto"/>
            <w:bottom w:val="none" w:sz="0" w:space="0" w:color="auto"/>
            <w:right w:val="none" w:sz="0" w:space="0" w:color="auto"/>
          </w:divBdr>
          <w:divsChild>
            <w:div w:id="794642253">
              <w:marLeft w:val="0"/>
              <w:marRight w:val="0"/>
              <w:marTop w:val="375"/>
              <w:marBottom w:val="375"/>
              <w:divBdr>
                <w:top w:val="none" w:sz="0" w:space="0" w:color="auto"/>
                <w:left w:val="none" w:sz="0" w:space="0" w:color="auto"/>
                <w:bottom w:val="none" w:sz="0" w:space="0" w:color="auto"/>
                <w:right w:val="none" w:sz="0" w:space="0" w:color="auto"/>
              </w:divBdr>
            </w:div>
          </w:divsChild>
        </w:div>
        <w:div w:id="432437471">
          <w:marLeft w:val="0"/>
          <w:marRight w:val="0"/>
          <w:marTop w:val="0"/>
          <w:marBottom w:val="375"/>
          <w:divBdr>
            <w:top w:val="none" w:sz="0" w:space="0" w:color="auto"/>
            <w:left w:val="none" w:sz="0" w:space="0" w:color="auto"/>
            <w:bottom w:val="none" w:sz="0" w:space="0" w:color="auto"/>
            <w:right w:val="none" w:sz="0" w:space="0" w:color="auto"/>
          </w:divBdr>
        </w:div>
        <w:div w:id="858742783">
          <w:marLeft w:val="0"/>
          <w:marRight w:val="0"/>
          <w:marTop w:val="375"/>
          <w:marBottom w:val="375"/>
          <w:divBdr>
            <w:top w:val="none" w:sz="0" w:space="0" w:color="auto"/>
            <w:left w:val="none" w:sz="0" w:space="0" w:color="auto"/>
            <w:bottom w:val="none" w:sz="0" w:space="0" w:color="auto"/>
            <w:right w:val="none" w:sz="0" w:space="0" w:color="auto"/>
          </w:divBdr>
        </w:div>
      </w:divsChild>
    </w:div>
    <w:div w:id="1496611781">
      <w:bodyDiv w:val="1"/>
      <w:marLeft w:val="0"/>
      <w:marRight w:val="0"/>
      <w:marTop w:val="0"/>
      <w:marBottom w:val="0"/>
      <w:divBdr>
        <w:top w:val="none" w:sz="0" w:space="0" w:color="auto"/>
        <w:left w:val="none" w:sz="0" w:space="0" w:color="auto"/>
        <w:bottom w:val="none" w:sz="0" w:space="0" w:color="auto"/>
        <w:right w:val="none" w:sz="0" w:space="0" w:color="auto"/>
      </w:divBdr>
    </w:div>
    <w:div w:id="1496799075">
      <w:bodyDiv w:val="1"/>
      <w:marLeft w:val="0"/>
      <w:marRight w:val="0"/>
      <w:marTop w:val="0"/>
      <w:marBottom w:val="0"/>
      <w:divBdr>
        <w:top w:val="none" w:sz="0" w:space="0" w:color="auto"/>
        <w:left w:val="none" w:sz="0" w:space="0" w:color="auto"/>
        <w:bottom w:val="none" w:sz="0" w:space="0" w:color="auto"/>
        <w:right w:val="none" w:sz="0" w:space="0" w:color="auto"/>
      </w:divBdr>
      <w:divsChild>
        <w:div w:id="1429545088">
          <w:marLeft w:val="0"/>
          <w:marRight w:val="0"/>
          <w:marTop w:val="0"/>
          <w:marBottom w:val="0"/>
          <w:divBdr>
            <w:top w:val="none" w:sz="0" w:space="0" w:color="auto"/>
            <w:left w:val="none" w:sz="0" w:space="0" w:color="auto"/>
            <w:bottom w:val="none" w:sz="0" w:space="0" w:color="auto"/>
            <w:right w:val="none" w:sz="0" w:space="0" w:color="auto"/>
          </w:divBdr>
          <w:divsChild>
            <w:div w:id="434515933">
              <w:marLeft w:val="0"/>
              <w:marRight w:val="0"/>
              <w:marTop w:val="0"/>
              <w:marBottom w:val="0"/>
              <w:divBdr>
                <w:top w:val="none" w:sz="0" w:space="0" w:color="auto"/>
                <w:left w:val="none" w:sz="0" w:space="0" w:color="auto"/>
                <w:bottom w:val="none" w:sz="0" w:space="0" w:color="auto"/>
                <w:right w:val="none" w:sz="0" w:space="0" w:color="auto"/>
              </w:divBdr>
              <w:divsChild>
                <w:div w:id="1804081725">
                  <w:marLeft w:val="0"/>
                  <w:marRight w:val="0"/>
                  <w:marTop w:val="0"/>
                  <w:marBottom w:val="0"/>
                  <w:divBdr>
                    <w:top w:val="none" w:sz="0" w:space="0" w:color="auto"/>
                    <w:left w:val="none" w:sz="0" w:space="0" w:color="auto"/>
                    <w:bottom w:val="none" w:sz="0" w:space="0" w:color="auto"/>
                    <w:right w:val="none" w:sz="0" w:space="0" w:color="auto"/>
                  </w:divBdr>
                  <w:divsChild>
                    <w:div w:id="1719742343">
                      <w:marLeft w:val="0"/>
                      <w:marRight w:val="0"/>
                      <w:marTop w:val="0"/>
                      <w:marBottom w:val="0"/>
                      <w:divBdr>
                        <w:top w:val="none" w:sz="0" w:space="0" w:color="auto"/>
                        <w:left w:val="none" w:sz="0" w:space="0" w:color="auto"/>
                        <w:bottom w:val="none" w:sz="0" w:space="0" w:color="auto"/>
                        <w:right w:val="none" w:sz="0" w:space="0" w:color="auto"/>
                      </w:divBdr>
                      <w:divsChild>
                        <w:div w:id="647174038">
                          <w:marLeft w:val="0"/>
                          <w:marRight w:val="0"/>
                          <w:marTop w:val="0"/>
                          <w:marBottom w:val="0"/>
                          <w:divBdr>
                            <w:top w:val="none" w:sz="0" w:space="0" w:color="auto"/>
                            <w:left w:val="none" w:sz="0" w:space="0" w:color="auto"/>
                            <w:bottom w:val="none" w:sz="0" w:space="0" w:color="auto"/>
                            <w:right w:val="none" w:sz="0" w:space="0" w:color="auto"/>
                          </w:divBdr>
                          <w:divsChild>
                            <w:div w:id="645090323">
                              <w:marLeft w:val="0"/>
                              <w:marRight w:val="0"/>
                              <w:marTop w:val="0"/>
                              <w:marBottom w:val="0"/>
                              <w:divBdr>
                                <w:top w:val="none" w:sz="0" w:space="0" w:color="auto"/>
                                <w:left w:val="none" w:sz="0" w:space="0" w:color="auto"/>
                                <w:bottom w:val="none" w:sz="0" w:space="0" w:color="auto"/>
                                <w:right w:val="none" w:sz="0" w:space="0" w:color="auto"/>
                              </w:divBdr>
                              <w:divsChild>
                                <w:div w:id="1680113257">
                                  <w:marLeft w:val="0"/>
                                  <w:marRight w:val="0"/>
                                  <w:marTop w:val="0"/>
                                  <w:marBottom w:val="0"/>
                                  <w:divBdr>
                                    <w:top w:val="none" w:sz="0" w:space="0" w:color="auto"/>
                                    <w:left w:val="none" w:sz="0" w:space="0" w:color="auto"/>
                                    <w:bottom w:val="none" w:sz="0" w:space="0" w:color="auto"/>
                                    <w:right w:val="none" w:sz="0" w:space="0" w:color="auto"/>
                                  </w:divBdr>
                                  <w:divsChild>
                                    <w:div w:id="445780802">
                                      <w:marLeft w:val="0"/>
                                      <w:marRight w:val="0"/>
                                      <w:marTop w:val="0"/>
                                      <w:marBottom w:val="0"/>
                                      <w:divBdr>
                                        <w:top w:val="none" w:sz="0" w:space="0" w:color="auto"/>
                                        <w:left w:val="none" w:sz="0" w:space="0" w:color="auto"/>
                                        <w:bottom w:val="none" w:sz="0" w:space="0" w:color="auto"/>
                                        <w:right w:val="none" w:sz="0" w:space="0" w:color="auto"/>
                                      </w:divBdr>
                                      <w:divsChild>
                                        <w:div w:id="389961354">
                                          <w:marLeft w:val="0"/>
                                          <w:marRight w:val="0"/>
                                          <w:marTop w:val="0"/>
                                          <w:marBottom w:val="0"/>
                                          <w:divBdr>
                                            <w:top w:val="none" w:sz="0" w:space="0" w:color="auto"/>
                                            <w:left w:val="none" w:sz="0" w:space="0" w:color="auto"/>
                                            <w:bottom w:val="none" w:sz="0" w:space="0" w:color="auto"/>
                                            <w:right w:val="none" w:sz="0" w:space="0" w:color="auto"/>
                                          </w:divBdr>
                                          <w:divsChild>
                                            <w:div w:id="287397498">
                                              <w:marLeft w:val="0"/>
                                              <w:marRight w:val="0"/>
                                              <w:marTop w:val="0"/>
                                              <w:marBottom w:val="0"/>
                                              <w:divBdr>
                                                <w:top w:val="none" w:sz="0" w:space="0" w:color="auto"/>
                                                <w:left w:val="none" w:sz="0" w:space="0" w:color="auto"/>
                                                <w:bottom w:val="none" w:sz="0" w:space="0" w:color="auto"/>
                                                <w:right w:val="none" w:sz="0" w:space="0" w:color="auto"/>
                                              </w:divBdr>
                                              <w:divsChild>
                                                <w:div w:id="1422145964">
                                                  <w:marLeft w:val="0"/>
                                                  <w:marRight w:val="0"/>
                                                  <w:marTop w:val="0"/>
                                                  <w:marBottom w:val="0"/>
                                                  <w:divBdr>
                                                    <w:top w:val="none" w:sz="0" w:space="0" w:color="auto"/>
                                                    <w:left w:val="none" w:sz="0" w:space="0" w:color="auto"/>
                                                    <w:bottom w:val="none" w:sz="0" w:space="0" w:color="auto"/>
                                                    <w:right w:val="none" w:sz="0" w:space="0" w:color="auto"/>
                                                  </w:divBdr>
                                                  <w:divsChild>
                                                    <w:div w:id="445126666">
                                                      <w:marLeft w:val="0"/>
                                                      <w:marRight w:val="0"/>
                                                      <w:marTop w:val="0"/>
                                                      <w:marBottom w:val="0"/>
                                                      <w:divBdr>
                                                        <w:top w:val="none" w:sz="0" w:space="0" w:color="auto"/>
                                                        <w:left w:val="none" w:sz="0" w:space="0" w:color="auto"/>
                                                        <w:bottom w:val="none" w:sz="0" w:space="0" w:color="auto"/>
                                                        <w:right w:val="none" w:sz="0" w:space="0" w:color="auto"/>
                                                      </w:divBdr>
                                                      <w:divsChild>
                                                        <w:div w:id="421335847">
                                                          <w:marLeft w:val="0"/>
                                                          <w:marRight w:val="0"/>
                                                          <w:marTop w:val="0"/>
                                                          <w:marBottom w:val="0"/>
                                                          <w:divBdr>
                                                            <w:top w:val="none" w:sz="0" w:space="0" w:color="auto"/>
                                                            <w:left w:val="none" w:sz="0" w:space="0" w:color="auto"/>
                                                            <w:bottom w:val="none" w:sz="0" w:space="0" w:color="auto"/>
                                                            <w:right w:val="none" w:sz="0" w:space="0" w:color="auto"/>
                                                          </w:divBdr>
                                                        </w:div>
                                                        <w:div w:id="1430590209">
                                                          <w:marLeft w:val="0"/>
                                                          <w:marRight w:val="0"/>
                                                          <w:marTop w:val="0"/>
                                                          <w:marBottom w:val="0"/>
                                                          <w:divBdr>
                                                            <w:top w:val="none" w:sz="0" w:space="0" w:color="auto"/>
                                                            <w:left w:val="none" w:sz="0" w:space="0" w:color="auto"/>
                                                            <w:bottom w:val="none" w:sz="0" w:space="0" w:color="auto"/>
                                                            <w:right w:val="none" w:sz="0" w:space="0" w:color="auto"/>
                                                          </w:divBdr>
                                                          <w:divsChild>
                                                            <w:div w:id="40542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7040606">
      <w:bodyDiv w:val="1"/>
      <w:marLeft w:val="0"/>
      <w:marRight w:val="0"/>
      <w:marTop w:val="0"/>
      <w:marBottom w:val="0"/>
      <w:divBdr>
        <w:top w:val="none" w:sz="0" w:space="0" w:color="auto"/>
        <w:left w:val="none" w:sz="0" w:space="0" w:color="auto"/>
        <w:bottom w:val="none" w:sz="0" w:space="0" w:color="auto"/>
        <w:right w:val="none" w:sz="0" w:space="0" w:color="auto"/>
      </w:divBdr>
      <w:divsChild>
        <w:div w:id="356126947">
          <w:marLeft w:val="0"/>
          <w:marRight w:val="0"/>
          <w:marTop w:val="0"/>
          <w:marBottom w:val="0"/>
          <w:divBdr>
            <w:top w:val="none" w:sz="0" w:space="0" w:color="auto"/>
            <w:left w:val="none" w:sz="0" w:space="0" w:color="auto"/>
            <w:bottom w:val="none" w:sz="0" w:space="0" w:color="auto"/>
            <w:right w:val="none" w:sz="0" w:space="0" w:color="auto"/>
          </w:divBdr>
          <w:divsChild>
            <w:div w:id="549221918">
              <w:marLeft w:val="0"/>
              <w:marRight w:val="0"/>
              <w:marTop w:val="0"/>
              <w:marBottom w:val="0"/>
              <w:divBdr>
                <w:top w:val="none" w:sz="0" w:space="0" w:color="auto"/>
                <w:left w:val="none" w:sz="0" w:space="0" w:color="auto"/>
                <w:bottom w:val="none" w:sz="0" w:space="0" w:color="auto"/>
                <w:right w:val="none" w:sz="0" w:space="0" w:color="auto"/>
              </w:divBdr>
              <w:divsChild>
                <w:div w:id="2089114341">
                  <w:marLeft w:val="0"/>
                  <w:marRight w:val="0"/>
                  <w:marTop w:val="0"/>
                  <w:marBottom w:val="0"/>
                  <w:divBdr>
                    <w:top w:val="none" w:sz="0" w:space="0" w:color="auto"/>
                    <w:left w:val="none" w:sz="0" w:space="0" w:color="auto"/>
                    <w:bottom w:val="none" w:sz="0" w:space="0" w:color="auto"/>
                    <w:right w:val="none" w:sz="0" w:space="0" w:color="auto"/>
                  </w:divBdr>
                  <w:divsChild>
                    <w:div w:id="773480791">
                      <w:marLeft w:val="0"/>
                      <w:marRight w:val="0"/>
                      <w:marTop w:val="0"/>
                      <w:marBottom w:val="0"/>
                      <w:divBdr>
                        <w:top w:val="none" w:sz="0" w:space="0" w:color="auto"/>
                        <w:left w:val="none" w:sz="0" w:space="0" w:color="auto"/>
                        <w:bottom w:val="none" w:sz="0" w:space="0" w:color="auto"/>
                        <w:right w:val="none" w:sz="0" w:space="0" w:color="auto"/>
                      </w:divBdr>
                      <w:divsChild>
                        <w:div w:id="2003196862">
                          <w:marLeft w:val="0"/>
                          <w:marRight w:val="0"/>
                          <w:marTop w:val="0"/>
                          <w:marBottom w:val="0"/>
                          <w:divBdr>
                            <w:top w:val="none" w:sz="0" w:space="0" w:color="auto"/>
                            <w:left w:val="none" w:sz="0" w:space="0" w:color="auto"/>
                            <w:bottom w:val="none" w:sz="0" w:space="0" w:color="auto"/>
                            <w:right w:val="none" w:sz="0" w:space="0" w:color="auto"/>
                          </w:divBdr>
                          <w:divsChild>
                            <w:div w:id="1984311819">
                              <w:marLeft w:val="0"/>
                              <w:marRight w:val="0"/>
                              <w:marTop w:val="0"/>
                              <w:marBottom w:val="0"/>
                              <w:divBdr>
                                <w:top w:val="none" w:sz="0" w:space="0" w:color="auto"/>
                                <w:left w:val="none" w:sz="0" w:space="0" w:color="auto"/>
                                <w:bottom w:val="none" w:sz="0" w:space="0" w:color="auto"/>
                                <w:right w:val="none" w:sz="0" w:space="0" w:color="auto"/>
                              </w:divBdr>
                              <w:divsChild>
                                <w:div w:id="653294347">
                                  <w:marLeft w:val="0"/>
                                  <w:marRight w:val="0"/>
                                  <w:marTop w:val="0"/>
                                  <w:marBottom w:val="0"/>
                                  <w:divBdr>
                                    <w:top w:val="none" w:sz="0" w:space="0" w:color="auto"/>
                                    <w:left w:val="none" w:sz="0" w:space="0" w:color="auto"/>
                                    <w:bottom w:val="none" w:sz="0" w:space="0" w:color="auto"/>
                                    <w:right w:val="none" w:sz="0" w:space="0" w:color="auto"/>
                                  </w:divBdr>
                                  <w:divsChild>
                                    <w:div w:id="1957327254">
                                      <w:marLeft w:val="0"/>
                                      <w:marRight w:val="0"/>
                                      <w:marTop w:val="0"/>
                                      <w:marBottom w:val="0"/>
                                      <w:divBdr>
                                        <w:top w:val="none" w:sz="0" w:space="0" w:color="auto"/>
                                        <w:left w:val="none" w:sz="0" w:space="0" w:color="auto"/>
                                        <w:bottom w:val="none" w:sz="0" w:space="0" w:color="auto"/>
                                        <w:right w:val="none" w:sz="0" w:space="0" w:color="auto"/>
                                      </w:divBdr>
                                      <w:divsChild>
                                        <w:div w:id="1647467980">
                                          <w:marLeft w:val="0"/>
                                          <w:marRight w:val="0"/>
                                          <w:marTop w:val="0"/>
                                          <w:marBottom w:val="0"/>
                                          <w:divBdr>
                                            <w:top w:val="none" w:sz="0" w:space="0" w:color="auto"/>
                                            <w:left w:val="none" w:sz="0" w:space="0" w:color="auto"/>
                                            <w:bottom w:val="none" w:sz="0" w:space="0" w:color="auto"/>
                                            <w:right w:val="none" w:sz="0" w:space="0" w:color="auto"/>
                                          </w:divBdr>
                                          <w:divsChild>
                                            <w:div w:id="2028824479">
                                              <w:marLeft w:val="0"/>
                                              <w:marRight w:val="0"/>
                                              <w:marTop w:val="0"/>
                                              <w:marBottom w:val="0"/>
                                              <w:divBdr>
                                                <w:top w:val="none" w:sz="0" w:space="0" w:color="auto"/>
                                                <w:left w:val="none" w:sz="0" w:space="0" w:color="auto"/>
                                                <w:bottom w:val="none" w:sz="0" w:space="0" w:color="auto"/>
                                                <w:right w:val="none" w:sz="0" w:space="0" w:color="auto"/>
                                              </w:divBdr>
                                              <w:divsChild>
                                                <w:div w:id="1454405463">
                                                  <w:marLeft w:val="0"/>
                                                  <w:marRight w:val="0"/>
                                                  <w:marTop w:val="0"/>
                                                  <w:marBottom w:val="0"/>
                                                  <w:divBdr>
                                                    <w:top w:val="none" w:sz="0" w:space="0" w:color="auto"/>
                                                    <w:left w:val="none" w:sz="0" w:space="0" w:color="auto"/>
                                                    <w:bottom w:val="none" w:sz="0" w:space="0" w:color="auto"/>
                                                    <w:right w:val="none" w:sz="0" w:space="0" w:color="auto"/>
                                                  </w:divBdr>
                                                  <w:divsChild>
                                                    <w:div w:id="283386921">
                                                      <w:marLeft w:val="0"/>
                                                      <w:marRight w:val="0"/>
                                                      <w:marTop w:val="0"/>
                                                      <w:marBottom w:val="0"/>
                                                      <w:divBdr>
                                                        <w:top w:val="none" w:sz="0" w:space="0" w:color="auto"/>
                                                        <w:left w:val="none" w:sz="0" w:space="0" w:color="auto"/>
                                                        <w:bottom w:val="none" w:sz="0" w:space="0" w:color="auto"/>
                                                        <w:right w:val="none" w:sz="0" w:space="0" w:color="auto"/>
                                                      </w:divBdr>
                                                      <w:divsChild>
                                                        <w:div w:id="1608462697">
                                                          <w:marLeft w:val="0"/>
                                                          <w:marRight w:val="0"/>
                                                          <w:marTop w:val="0"/>
                                                          <w:marBottom w:val="0"/>
                                                          <w:divBdr>
                                                            <w:top w:val="none" w:sz="0" w:space="0" w:color="auto"/>
                                                            <w:left w:val="none" w:sz="0" w:space="0" w:color="auto"/>
                                                            <w:bottom w:val="none" w:sz="0" w:space="0" w:color="auto"/>
                                                            <w:right w:val="none" w:sz="0" w:space="0" w:color="auto"/>
                                                          </w:divBdr>
                                                        </w:div>
                                                        <w:div w:id="952052539">
                                                          <w:marLeft w:val="0"/>
                                                          <w:marRight w:val="0"/>
                                                          <w:marTop w:val="0"/>
                                                          <w:marBottom w:val="0"/>
                                                          <w:divBdr>
                                                            <w:top w:val="none" w:sz="0" w:space="0" w:color="auto"/>
                                                            <w:left w:val="none" w:sz="0" w:space="0" w:color="auto"/>
                                                            <w:bottom w:val="none" w:sz="0" w:space="0" w:color="auto"/>
                                                            <w:right w:val="none" w:sz="0" w:space="0" w:color="auto"/>
                                                          </w:divBdr>
                                                          <w:divsChild>
                                                            <w:div w:id="19123017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7501409">
      <w:bodyDiv w:val="1"/>
      <w:marLeft w:val="0"/>
      <w:marRight w:val="0"/>
      <w:marTop w:val="0"/>
      <w:marBottom w:val="0"/>
      <w:divBdr>
        <w:top w:val="none" w:sz="0" w:space="0" w:color="auto"/>
        <w:left w:val="none" w:sz="0" w:space="0" w:color="auto"/>
        <w:bottom w:val="none" w:sz="0" w:space="0" w:color="auto"/>
        <w:right w:val="none" w:sz="0" w:space="0" w:color="auto"/>
      </w:divBdr>
      <w:divsChild>
        <w:div w:id="1183787437">
          <w:marLeft w:val="0"/>
          <w:marRight w:val="0"/>
          <w:marTop w:val="0"/>
          <w:marBottom w:val="0"/>
          <w:divBdr>
            <w:top w:val="none" w:sz="0" w:space="0" w:color="auto"/>
            <w:left w:val="none" w:sz="0" w:space="0" w:color="auto"/>
            <w:bottom w:val="none" w:sz="0" w:space="0" w:color="auto"/>
            <w:right w:val="none" w:sz="0" w:space="0" w:color="auto"/>
          </w:divBdr>
          <w:divsChild>
            <w:div w:id="505943036">
              <w:marLeft w:val="0"/>
              <w:marRight w:val="0"/>
              <w:marTop w:val="0"/>
              <w:marBottom w:val="0"/>
              <w:divBdr>
                <w:top w:val="none" w:sz="0" w:space="0" w:color="auto"/>
                <w:left w:val="none" w:sz="0" w:space="0" w:color="auto"/>
                <w:bottom w:val="none" w:sz="0" w:space="0" w:color="auto"/>
                <w:right w:val="none" w:sz="0" w:space="0" w:color="auto"/>
              </w:divBdr>
              <w:divsChild>
                <w:div w:id="945037922">
                  <w:marLeft w:val="0"/>
                  <w:marRight w:val="0"/>
                  <w:marTop w:val="0"/>
                  <w:marBottom w:val="0"/>
                  <w:divBdr>
                    <w:top w:val="none" w:sz="0" w:space="0" w:color="auto"/>
                    <w:left w:val="none" w:sz="0" w:space="0" w:color="auto"/>
                    <w:bottom w:val="none" w:sz="0" w:space="0" w:color="auto"/>
                    <w:right w:val="none" w:sz="0" w:space="0" w:color="auto"/>
                  </w:divBdr>
                  <w:divsChild>
                    <w:div w:id="637615550">
                      <w:marLeft w:val="0"/>
                      <w:marRight w:val="0"/>
                      <w:marTop w:val="0"/>
                      <w:marBottom w:val="0"/>
                      <w:divBdr>
                        <w:top w:val="none" w:sz="0" w:space="0" w:color="auto"/>
                        <w:left w:val="none" w:sz="0" w:space="0" w:color="auto"/>
                        <w:bottom w:val="none" w:sz="0" w:space="0" w:color="auto"/>
                        <w:right w:val="none" w:sz="0" w:space="0" w:color="auto"/>
                      </w:divBdr>
                      <w:divsChild>
                        <w:div w:id="1348289285">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 w:id="1497576761">
      <w:bodyDiv w:val="1"/>
      <w:marLeft w:val="0"/>
      <w:marRight w:val="0"/>
      <w:marTop w:val="0"/>
      <w:marBottom w:val="0"/>
      <w:divBdr>
        <w:top w:val="none" w:sz="0" w:space="0" w:color="auto"/>
        <w:left w:val="none" w:sz="0" w:space="0" w:color="auto"/>
        <w:bottom w:val="none" w:sz="0" w:space="0" w:color="auto"/>
        <w:right w:val="none" w:sz="0" w:space="0" w:color="auto"/>
      </w:divBdr>
    </w:div>
    <w:div w:id="1498497701">
      <w:bodyDiv w:val="1"/>
      <w:marLeft w:val="0"/>
      <w:marRight w:val="0"/>
      <w:marTop w:val="0"/>
      <w:marBottom w:val="0"/>
      <w:divBdr>
        <w:top w:val="none" w:sz="0" w:space="0" w:color="auto"/>
        <w:left w:val="none" w:sz="0" w:space="0" w:color="auto"/>
        <w:bottom w:val="none" w:sz="0" w:space="0" w:color="auto"/>
        <w:right w:val="none" w:sz="0" w:space="0" w:color="auto"/>
      </w:divBdr>
      <w:divsChild>
        <w:div w:id="125853131">
          <w:marLeft w:val="0"/>
          <w:marRight w:val="0"/>
          <w:marTop w:val="0"/>
          <w:marBottom w:val="0"/>
          <w:divBdr>
            <w:top w:val="none" w:sz="0" w:space="0" w:color="auto"/>
            <w:left w:val="none" w:sz="0" w:space="0" w:color="auto"/>
            <w:bottom w:val="none" w:sz="0" w:space="0" w:color="auto"/>
            <w:right w:val="none" w:sz="0" w:space="0" w:color="auto"/>
          </w:divBdr>
          <w:divsChild>
            <w:div w:id="1673948725">
              <w:marLeft w:val="2"/>
              <w:marRight w:val="2"/>
              <w:marTop w:val="0"/>
              <w:marBottom w:val="0"/>
              <w:divBdr>
                <w:top w:val="none" w:sz="0" w:space="0" w:color="auto"/>
                <w:left w:val="none" w:sz="0" w:space="0" w:color="auto"/>
                <w:bottom w:val="none" w:sz="0" w:space="0" w:color="auto"/>
                <w:right w:val="none" w:sz="0" w:space="0" w:color="auto"/>
              </w:divBdr>
              <w:divsChild>
                <w:div w:id="619529303">
                  <w:marLeft w:val="0"/>
                  <w:marRight w:val="0"/>
                  <w:marTop w:val="0"/>
                  <w:marBottom w:val="0"/>
                  <w:divBdr>
                    <w:top w:val="none" w:sz="0" w:space="0" w:color="auto"/>
                    <w:left w:val="none" w:sz="0" w:space="0" w:color="auto"/>
                    <w:bottom w:val="none" w:sz="0" w:space="0" w:color="auto"/>
                    <w:right w:val="none" w:sz="0" w:space="0" w:color="auto"/>
                  </w:divBdr>
                  <w:divsChild>
                    <w:div w:id="1115910186">
                      <w:marLeft w:val="0"/>
                      <w:marRight w:val="0"/>
                      <w:marTop w:val="0"/>
                      <w:marBottom w:val="0"/>
                      <w:divBdr>
                        <w:top w:val="none" w:sz="0" w:space="0" w:color="auto"/>
                        <w:left w:val="none" w:sz="0" w:space="0" w:color="auto"/>
                        <w:bottom w:val="none" w:sz="0" w:space="0" w:color="auto"/>
                        <w:right w:val="none" w:sz="0" w:space="0" w:color="auto"/>
                      </w:divBdr>
                      <w:divsChild>
                        <w:div w:id="1034814456">
                          <w:marLeft w:val="0"/>
                          <w:marRight w:val="0"/>
                          <w:marTop w:val="0"/>
                          <w:marBottom w:val="0"/>
                          <w:divBdr>
                            <w:top w:val="none" w:sz="0" w:space="0" w:color="auto"/>
                            <w:left w:val="none" w:sz="0" w:space="0" w:color="auto"/>
                            <w:bottom w:val="none" w:sz="0" w:space="0" w:color="auto"/>
                            <w:right w:val="none" w:sz="0" w:space="0" w:color="auto"/>
                          </w:divBdr>
                          <w:divsChild>
                            <w:div w:id="1493064809">
                              <w:marLeft w:val="0"/>
                              <w:marRight w:val="0"/>
                              <w:marTop w:val="0"/>
                              <w:marBottom w:val="0"/>
                              <w:divBdr>
                                <w:top w:val="none" w:sz="0" w:space="0" w:color="auto"/>
                                <w:left w:val="none" w:sz="0" w:space="0" w:color="auto"/>
                                <w:bottom w:val="none" w:sz="0" w:space="0" w:color="auto"/>
                                <w:right w:val="none" w:sz="0" w:space="0" w:color="auto"/>
                              </w:divBdr>
                              <w:divsChild>
                                <w:div w:id="1630167272">
                                  <w:marLeft w:val="0"/>
                                  <w:marRight w:val="0"/>
                                  <w:marTop w:val="0"/>
                                  <w:marBottom w:val="0"/>
                                  <w:divBdr>
                                    <w:top w:val="none" w:sz="0" w:space="0" w:color="auto"/>
                                    <w:left w:val="none" w:sz="0" w:space="0" w:color="auto"/>
                                    <w:bottom w:val="none" w:sz="0" w:space="0" w:color="auto"/>
                                    <w:right w:val="none" w:sz="0" w:space="0" w:color="auto"/>
                                  </w:divBdr>
                                  <w:divsChild>
                                    <w:div w:id="116221895">
                                      <w:marLeft w:val="0"/>
                                      <w:marRight w:val="0"/>
                                      <w:marTop w:val="0"/>
                                      <w:marBottom w:val="0"/>
                                      <w:divBdr>
                                        <w:top w:val="none" w:sz="0" w:space="0" w:color="auto"/>
                                        <w:left w:val="none" w:sz="0" w:space="0" w:color="auto"/>
                                        <w:bottom w:val="none" w:sz="0" w:space="0" w:color="auto"/>
                                        <w:right w:val="none" w:sz="0" w:space="0" w:color="auto"/>
                                      </w:divBdr>
                                      <w:divsChild>
                                        <w:div w:id="595594716">
                                          <w:marLeft w:val="0"/>
                                          <w:marRight w:val="0"/>
                                          <w:marTop w:val="0"/>
                                          <w:marBottom w:val="0"/>
                                          <w:divBdr>
                                            <w:top w:val="none" w:sz="0" w:space="0" w:color="auto"/>
                                            <w:left w:val="none" w:sz="0" w:space="0" w:color="auto"/>
                                            <w:bottom w:val="none" w:sz="0" w:space="0" w:color="auto"/>
                                            <w:right w:val="none" w:sz="0" w:space="0" w:color="auto"/>
                                          </w:divBdr>
                                          <w:divsChild>
                                            <w:div w:id="1235511561">
                                              <w:marLeft w:val="0"/>
                                              <w:marRight w:val="0"/>
                                              <w:marTop w:val="0"/>
                                              <w:marBottom w:val="0"/>
                                              <w:divBdr>
                                                <w:top w:val="none" w:sz="0" w:space="0" w:color="auto"/>
                                                <w:left w:val="none" w:sz="0" w:space="0" w:color="auto"/>
                                                <w:bottom w:val="none" w:sz="0" w:space="0" w:color="auto"/>
                                                <w:right w:val="none" w:sz="0" w:space="0" w:color="auto"/>
                                              </w:divBdr>
                                            </w:div>
                                          </w:divsChild>
                                        </w:div>
                                        <w:div w:id="863203380">
                                          <w:marLeft w:val="0"/>
                                          <w:marRight w:val="0"/>
                                          <w:marTop w:val="0"/>
                                          <w:marBottom w:val="0"/>
                                          <w:divBdr>
                                            <w:top w:val="none" w:sz="0" w:space="0" w:color="auto"/>
                                            <w:left w:val="none" w:sz="0" w:space="0" w:color="auto"/>
                                            <w:bottom w:val="none" w:sz="0" w:space="0" w:color="auto"/>
                                            <w:right w:val="none" w:sz="0" w:space="0" w:color="auto"/>
                                          </w:divBdr>
                                          <w:divsChild>
                                            <w:div w:id="1078483912">
                                              <w:marLeft w:val="0"/>
                                              <w:marRight w:val="0"/>
                                              <w:marTop w:val="0"/>
                                              <w:marBottom w:val="0"/>
                                              <w:divBdr>
                                                <w:top w:val="none" w:sz="0" w:space="0" w:color="auto"/>
                                                <w:left w:val="none" w:sz="0" w:space="0" w:color="auto"/>
                                                <w:bottom w:val="none" w:sz="0" w:space="0" w:color="auto"/>
                                                <w:right w:val="none" w:sz="0" w:space="0" w:color="auto"/>
                                              </w:divBdr>
                                            </w:div>
                                          </w:divsChild>
                                        </w:div>
                                        <w:div w:id="454367220">
                                          <w:marLeft w:val="0"/>
                                          <w:marRight w:val="0"/>
                                          <w:marTop w:val="0"/>
                                          <w:marBottom w:val="0"/>
                                          <w:divBdr>
                                            <w:top w:val="none" w:sz="0" w:space="0" w:color="auto"/>
                                            <w:left w:val="none" w:sz="0" w:space="0" w:color="auto"/>
                                            <w:bottom w:val="none" w:sz="0" w:space="0" w:color="auto"/>
                                            <w:right w:val="none" w:sz="0" w:space="0" w:color="auto"/>
                                          </w:divBdr>
                                          <w:divsChild>
                                            <w:div w:id="558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571213">
      <w:bodyDiv w:val="1"/>
      <w:marLeft w:val="0"/>
      <w:marRight w:val="0"/>
      <w:marTop w:val="0"/>
      <w:marBottom w:val="0"/>
      <w:divBdr>
        <w:top w:val="none" w:sz="0" w:space="0" w:color="auto"/>
        <w:left w:val="none" w:sz="0" w:space="0" w:color="auto"/>
        <w:bottom w:val="none" w:sz="0" w:space="0" w:color="auto"/>
        <w:right w:val="none" w:sz="0" w:space="0" w:color="auto"/>
      </w:divBdr>
      <w:divsChild>
        <w:div w:id="1054425332">
          <w:marLeft w:val="0"/>
          <w:marRight w:val="0"/>
          <w:marTop w:val="0"/>
          <w:marBottom w:val="0"/>
          <w:divBdr>
            <w:top w:val="single" w:sz="2" w:space="0" w:color="AAAAAA"/>
            <w:left w:val="single" w:sz="6" w:space="8" w:color="AAAAAA"/>
            <w:bottom w:val="single" w:sz="2" w:space="0" w:color="AAAAAA"/>
            <w:right w:val="single" w:sz="6" w:space="8" w:color="AAAAAA"/>
          </w:divBdr>
          <w:divsChild>
            <w:div w:id="1536192174">
              <w:marLeft w:val="0"/>
              <w:marRight w:val="0"/>
              <w:marTop w:val="0"/>
              <w:marBottom w:val="0"/>
              <w:divBdr>
                <w:top w:val="none" w:sz="0" w:space="0" w:color="auto"/>
                <w:left w:val="none" w:sz="0" w:space="0" w:color="auto"/>
                <w:bottom w:val="none" w:sz="0" w:space="0" w:color="auto"/>
                <w:right w:val="none" w:sz="0" w:space="0" w:color="auto"/>
              </w:divBdr>
              <w:divsChild>
                <w:div w:id="1727488526">
                  <w:marLeft w:val="0"/>
                  <w:marRight w:val="0"/>
                  <w:marTop w:val="0"/>
                  <w:marBottom w:val="0"/>
                  <w:divBdr>
                    <w:top w:val="none" w:sz="0" w:space="0" w:color="auto"/>
                    <w:left w:val="none" w:sz="0" w:space="0" w:color="auto"/>
                    <w:bottom w:val="none" w:sz="0" w:space="0" w:color="auto"/>
                    <w:right w:val="none" w:sz="0" w:space="0" w:color="auto"/>
                  </w:divBdr>
                  <w:divsChild>
                    <w:div w:id="1625965585">
                      <w:marLeft w:val="0"/>
                      <w:marRight w:val="2550"/>
                      <w:marTop w:val="0"/>
                      <w:marBottom w:val="48"/>
                      <w:divBdr>
                        <w:top w:val="none" w:sz="0" w:space="0" w:color="auto"/>
                        <w:left w:val="none" w:sz="0" w:space="0" w:color="auto"/>
                        <w:bottom w:val="none" w:sz="0" w:space="0" w:color="auto"/>
                        <w:right w:val="none" w:sz="0" w:space="0" w:color="auto"/>
                      </w:divBdr>
                      <w:divsChild>
                        <w:div w:id="48883389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98687571">
      <w:bodyDiv w:val="1"/>
      <w:marLeft w:val="0"/>
      <w:marRight w:val="0"/>
      <w:marTop w:val="0"/>
      <w:marBottom w:val="0"/>
      <w:divBdr>
        <w:top w:val="none" w:sz="0" w:space="0" w:color="auto"/>
        <w:left w:val="none" w:sz="0" w:space="0" w:color="auto"/>
        <w:bottom w:val="none" w:sz="0" w:space="0" w:color="auto"/>
        <w:right w:val="none" w:sz="0" w:space="0" w:color="auto"/>
      </w:divBdr>
      <w:divsChild>
        <w:div w:id="1955475041">
          <w:marLeft w:val="2400"/>
          <w:marRight w:val="0"/>
          <w:marTop w:val="0"/>
          <w:marBottom w:val="0"/>
          <w:divBdr>
            <w:top w:val="none" w:sz="0" w:space="0" w:color="auto"/>
            <w:left w:val="none" w:sz="0" w:space="0" w:color="auto"/>
            <w:bottom w:val="none" w:sz="0" w:space="0" w:color="auto"/>
            <w:right w:val="none" w:sz="0" w:space="0" w:color="auto"/>
          </w:divBdr>
          <w:divsChild>
            <w:div w:id="1409379278">
              <w:marLeft w:val="0"/>
              <w:marRight w:val="0"/>
              <w:marTop w:val="0"/>
              <w:marBottom w:val="0"/>
              <w:divBdr>
                <w:top w:val="none" w:sz="0" w:space="0" w:color="auto"/>
                <w:left w:val="none" w:sz="0" w:space="0" w:color="auto"/>
                <w:bottom w:val="none" w:sz="0" w:space="0" w:color="auto"/>
                <w:right w:val="none" w:sz="0" w:space="0" w:color="auto"/>
              </w:divBdr>
              <w:divsChild>
                <w:div w:id="671876585">
                  <w:marLeft w:val="0"/>
                  <w:marRight w:val="0"/>
                  <w:marTop w:val="0"/>
                  <w:marBottom w:val="0"/>
                  <w:divBdr>
                    <w:top w:val="none" w:sz="0" w:space="0" w:color="auto"/>
                    <w:left w:val="none" w:sz="0" w:space="0" w:color="auto"/>
                    <w:bottom w:val="none" w:sz="0" w:space="0" w:color="auto"/>
                    <w:right w:val="none" w:sz="0" w:space="0" w:color="auto"/>
                  </w:divBdr>
                  <w:divsChild>
                    <w:div w:id="16866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6607">
      <w:bodyDiv w:val="1"/>
      <w:marLeft w:val="0"/>
      <w:marRight w:val="0"/>
      <w:marTop w:val="0"/>
      <w:marBottom w:val="0"/>
      <w:divBdr>
        <w:top w:val="none" w:sz="0" w:space="0" w:color="auto"/>
        <w:left w:val="none" w:sz="0" w:space="0" w:color="auto"/>
        <w:bottom w:val="none" w:sz="0" w:space="0" w:color="auto"/>
        <w:right w:val="none" w:sz="0" w:space="0" w:color="auto"/>
      </w:divBdr>
      <w:divsChild>
        <w:div w:id="1855722443">
          <w:marLeft w:val="0"/>
          <w:marRight w:val="0"/>
          <w:marTop w:val="0"/>
          <w:marBottom w:val="0"/>
          <w:divBdr>
            <w:top w:val="none" w:sz="0" w:space="0" w:color="auto"/>
            <w:left w:val="none" w:sz="0" w:space="0" w:color="auto"/>
            <w:bottom w:val="none" w:sz="0" w:space="0" w:color="auto"/>
            <w:right w:val="none" w:sz="0" w:space="0" w:color="auto"/>
          </w:divBdr>
          <w:divsChild>
            <w:div w:id="1278442401">
              <w:marLeft w:val="210"/>
              <w:marRight w:val="0"/>
              <w:marTop w:val="0"/>
              <w:marBottom w:val="0"/>
              <w:divBdr>
                <w:top w:val="none" w:sz="0" w:space="0" w:color="auto"/>
                <w:left w:val="none" w:sz="0" w:space="0" w:color="auto"/>
                <w:bottom w:val="none" w:sz="0" w:space="0" w:color="auto"/>
                <w:right w:val="none" w:sz="0" w:space="0" w:color="auto"/>
              </w:divBdr>
              <w:divsChild>
                <w:div w:id="16522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5347">
      <w:bodyDiv w:val="1"/>
      <w:marLeft w:val="0"/>
      <w:marRight w:val="0"/>
      <w:marTop w:val="0"/>
      <w:marBottom w:val="0"/>
      <w:divBdr>
        <w:top w:val="none" w:sz="0" w:space="0" w:color="auto"/>
        <w:left w:val="none" w:sz="0" w:space="0" w:color="auto"/>
        <w:bottom w:val="none" w:sz="0" w:space="0" w:color="auto"/>
        <w:right w:val="none" w:sz="0" w:space="0" w:color="auto"/>
      </w:divBdr>
      <w:divsChild>
        <w:div w:id="1631015073">
          <w:marLeft w:val="0"/>
          <w:marRight w:val="0"/>
          <w:marTop w:val="0"/>
          <w:marBottom w:val="450"/>
          <w:divBdr>
            <w:top w:val="none" w:sz="0" w:space="0" w:color="auto"/>
            <w:left w:val="none" w:sz="0" w:space="0" w:color="auto"/>
            <w:bottom w:val="none" w:sz="0" w:space="0" w:color="auto"/>
            <w:right w:val="none" w:sz="0" w:space="0" w:color="auto"/>
          </w:divBdr>
        </w:div>
      </w:divsChild>
    </w:div>
    <w:div w:id="1501195626">
      <w:bodyDiv w:val="1"/>
      <w:marLeft w:val="0"/>
      <w:marRight w:val="0"/>
      <w:marTop w:val="0"/>
      <w:marBottom w:val="0"/>
      <w:divBdr>
        <w:top w:val="none" w:sz="0" w:space="0" w:color="auto"/>
        <w:left w:val="none" w:sz="0" w:space="0" w:color="auto"/>
        <w:bottom w:val="none" w:sz="0" w:space="0" w:color="auto"/>
        <w:right w:val="none" w:sz="0" w:space="0" w:color="auto"/>
      </w:divBdr>
      <w:divsChild>
        <w:div w:id="1526559607">
          <w:marLeft w:val="0"/>
          <w:marRight w:val="0"/>
          <w:marTop w:val="0"/>
          <w:marBottom w:val="0"/>
          <w:divBdr>
            <w:top w:val="none" w:sz="0" w:space="0" w:color="auto"/>
            <w:left w:val="none" w:sz="0" w:space="0" w:color="auto"/>
            <w:bottom w:val="none" w:sz="0" w:space="0" w:color="auto"/>
            <w:right w:val="none" w:sz="0" w:space="0" w:color="auto"/>
          </w:divBdr>
          <w:divsChild>
            <w:div w:id="344332312">
              <w:marLeft w:val="210"/>
              <w:marRight w:val="0"/>
              <w:marTop w:val="0"/>
              <w:marBottom w:val="0"/>
              <w:divBdr>
                <w:top w:val="none" w:sz="0" w:space="0" w:color="auto"/>
                <w:left w:val="none" w:sz="0" w:space="0" w:color="auto"/>
                <w:bottom w:val="none" w:sz="0" w:space="0" w:color="auto"/>
                <w:right w:val="none" w:sz="0" w:space="0" w:color="auto"/>
              </w:divBdr>
              <w:divsChild>
                <w:div w:id="16698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41922">
      <w:bodyDiv w:val="1"/>
      <w:marLeft w:val="0"/>
      <w:marRight w:val="0"/>
      <w:marTop w:val="0"/>
      <w:marBottom w:val="0"/>
      <w:divBdr>
        <w:top w:val="none" w:sz="0" w:space="0" w:color="auto"/>
        <w:left w:val="none" w:sz="0" w:space="0" w:color="auto"/>
        <w:bottom w:val="none" w:sz="0" w:space="0" w:color="auto"/>
        <w:right w:val="none" w:sz="0" w:space="0" w:color="auto"/>
      </w:divBdr>
      <w:divsChild>
        <w:div w:id="684015653">
          <w:marLeft w:val="0"/>
          <w:marRight w:val="0"/>
          <w:marTop w:val="0"/>
          <w:marBottom w:val="0"/>
          <w:divBdr>
            <w:top w:val="none" w:sz="0" w:space="0" w:color="auto"/>
            <w:left w:val="none" w:sz="0" w:space="0" w:color="auto"/>
            <w:bottom w:val="none" w:sz="0" w:space="0" w:color="auto"/>
            <w:right w:val="none" w:sz="0" w:space="0" w:color="auto"/>
          </w:divBdr>
          <w:divsChild>
            <w:div w:id="1216700244">
              <w:marLeft w:val="0"/>
              <w:marRight w:val="0"/>
              <w:marTop w:val="0"/>
              <w:marBottom w:val="0"/>
              <w:divBdr>
                <w:top w:val="none" w:sz="0" w:space="0" w:color="auto"/>
                <w:left w:val="none" w:sz="0" w:space="0" w:color="auto"/>
                <w:bottom w:val="none" w:sz="0" w:space="0" w:color="auto"/>
                <w:right w:val="none" w:sz="0" w:space="0" w:color="auto"/>
              </w:divBdr>
            </w:div>
            <w:div w:id="1423333597">
              <w:marLeft w:val="0"/>
              <w:marRight w:val="0"/>
              <w:marTop w:val="0"/>
              <w:marBottom w:val="0"/>
              <w:divBdr>
                <w:top w:val="none" w:sz="0" w:space="0" w:color="auto"/>
                <w:left w:val="none" w:sz="0" w:space="0" w:color="auto"/>
                <w:bottom w:val="none" w:sz="0" w:space="0" w:color="auto"/>
                <w:right w:val="none" w:sz="0" w:space="0" w:color="auto"/>
              </w:divBdr>
              <w:divsChild>
                <w:div w:id="15470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31563">
      <w:bodyDiv w:val="1"/>
      <w:marLeft w:val="0"/>
      <w:marRight w:val="0"/>
      <w:marTop w:val="0"/>
      <w:marBottom w:val="0"/>
      <w:divBdr>
        <w:top w:val="none" w:sz="0" w:space="0" w:color="auto"/>
        <w:left w:val="none" w:sz="0" w:space="0" w:color="auto"/>
        <w:bottom w:val="none" w:sz="0" w:space="0" w:color="auto"/>
        <w:right w:val="none" w:sz="0" w:space="0" w:color="auto"/>
      </w:divBdr>
      <w:divsChild>
        <w:div w:id="1838694052">
          <w:marLeft w:val="0"/>
          <w:marRight w:val="0"/>
          <w:marTop w:val="0"/>
          <w:marBottom w:val="0"/>
          <w:divBdr>
            <w:top w:val="none" w:sz="0" w:space="0" w:color="auto"/>
            <w:left w:val="none" w:sz="0" w:space="0" w:color="auto"/>
            <w:bottom w:val="none" w:sz="0" w:space="0" w:color="auto"/>
            <w:right w:val="none" w:sz="0" w:space="0" w:color="auto"/>
          </w:divBdr>
          <w:divsChild>
            <w:div w:id="1476096524">
              <w:marLeft w:val="0"/>
              <w:marRight w:val="150"/>
              <w:marTop w:val="0"/>
              <w:marBottom w:val="75"/>
              <w:divBdr>
                <w:top w:val="none" w:sz="0" w:space="0" w:color="auto"/>
                <w:left w:val="none" w:sz="0" w:space="0" w:color="auto"/>
                <w:bottom w:val="none" w:sz="0" w:space="0" w:color="auto"/>
                <w:right w:val="none" w:sz="0" w:space="0" w:color="auto"/>
              </w:divBdr>
              <w:divsChild>
                <w:div w:id="205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4067">
          <w:marLeft w:val="0"/>
          <w:marRight w:val="0"/>
          <w:marTop w:val="0"/>
          <w:marBottom w:val="0"/>
          <w:divBdr>
            <w:top w:val="none" w:sz="0" w:space="0" w:color="auto"/>
            <w:left w:val="none" w:sz="0" w:space="0" w:color="auto"/>
            <w:bottom w:val="none" w:sz="0" w:space="0" w:color="auto"/>
            <w:right w:val="none" w:sz="0" w:space="0" w:color="auto"/>
          </w:divBdr>
          <w:divsChild>
            <w:div w:id="1140726896">
              <w:marLeft w:val="0"/>
              <w:marRight w:val="0"/>
              <w:marTop w:val="0"/>
              <w:marBottom w:val="0"/>
              <w:divBdr>
                <w:top w:val="none" w:sz="0" w:space="0" w:color="auto"/>
                <w:left w:val="none" w:sz="0" w:space="0" w:color="auto"/>
                <w:bottom w:val="none" w:sz="0" w:space="0" w:color="auto"/>
                <w:right w:val="none" w:sz="0" w:space="0" w:color="auto"/>
              </w:divBdr>
            </w:div>
            <w:div w:id="146018267">
              <w:marLeft w:val="0"/>
              <w:marRight w:val="0"/>
              <w:marTop w:val="0"/>
              <w:marBottom w:val="0"/>
              <w:divBdr>
                <w:top w:val="none" w:sz="0" w:space="0" w:color="auto"/>
                <w:left w:val="none" w:sz="0" w:space="0" w:color="auto"/>
                <w:bottom w:val="none" w:sz="0" w:space="0" w:color="auto"/>
                <w:right w:val="none" w:sz="0" w:space="0" w:color="auto"/>
              </w:divBdr>
              <w:divsChild>
                <w:div w:id="56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51670">
      <w:bodyDiv w:val="1"/>
      <w:marLeft w:val="0"/>
      <w:marRight w:val="0"/>
      <w:marTop w:val="0"/>
      <w:marBottom w:val="0"/>
      <w:divBdr>
        <w:top w:val="none" w:sz="0" w:space="0" w:color="auto"/>
        <w:left w:val="none" w:sz="0" w:space="0" w:color="auto"/>
        <w:bottom w:val="none" w:sz="0" w:space="0" w:color="auto"/>
        <w:right w:val="none" w:sz="0" w:space="0" w:color="auto"/>
      </w:divBdr>
      <w:divsChild>
        <w:div w:id="1490245507">
          <w:marLeft w:val="0"/>
          <w:marRight w:val="0"/>
          <w:marTop w:val="0"/>
          <w:marBottom w:val="0"/>
          <w:divBdr>
            <w:top w:val="none" w:sz="0" w:space="0" w:color="auto"/>
            <w:left w:val="none" w:sz="0" w:space="0" w:color="auto"/>
            <w:bottom w:val="none" w:sz="0" w:space="0" w:color="auto"/>
            <w:right w:val="none" w:sz="0" w:space="0" w:color="auto"/>
          </w:divBdr>
          <w:divsChild>
            <w:div w:id="13381948">
              <w:marLeft w:val="0"/>
              <w:marRight w:val="0"/>
              <w:marTop w:val="150"/>
              <w:marBottom w:val="0"/>
              <w:divBdr>
                <w:top w:val="none" w:sz="0" w:space="0" w:color="auto"/>
                <w:left w:val="none" w:sz="0" w:space="0" w:color="auto"/>
                <w:bottom w:val="none" w:sz="0" w:space="0" w:color="auto"/>
                <w:right w:val="none" w:sz="0" w:space="0" w:color="auto"/>
              </w:divBdr>
              <w:divsChild>
                <w:div w:id="1461420004">
                  <w:marLeft w:val="0"/>
                  <w:marRight w:val="0"/>
                  <w:marTop w:val="0"/>
                  <w:marBottom w:val="0"/>
                  <w:divBdr>
                    <w:top w:val="none" w:sz="0" w:space="0" w:color="auto"/>
                    <w:left w:val="none" w:sz="0" w:space="0" w:color="auto"/>
                    <w:bottom w:val="none" w:sz="0" w:space="0" w:color="auto"/>
                    <w:right w:val="none" w:sz="0" w:space="0" w:color="auto"/>
                  </w:divBdr>
                  <w:divsChild>
                    <w:div w:id="875117628">
                      <w:marLeft w:val="0"/>
                      <w:marRight w:val="0"/>
                      <w:marTop w:val="0"/>
                      <w:marBottom w:val="0"/>
                      <w:divBdr>
                        <w:top w:val="none" w:sz="0" w:space="0" w:color="auto"/>
                        <w:left w:val="none" w:sz="0" w:space="0" w:color="auto"/>
                        <w:bottom w:val="none" w:sz="0" w:space="0" w:color="auto"/>
                        <w:right w:val="none" w:sz="0" w:space="0" w:color="auto"/>
                      </w:divBdr>
                      <w:divsChild>
                        <w:div w:id="19719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622481">
      <w:bodyDiv w:val="1"/>
      <w:marLeft w:val="0"/>
      <w:marRight w:val="0"/>
      <w:marTop w:val="0"/>
      <w:marBottom w:val="0"/>
      <w:divBdr>
        <w:top w:val="none" w:sz="0" w:space="0" w:color="auto"/>
        <w:left w:val="none" w:sz="0" w:space="0" w:color="auto"/>
        <w:bottom w:val="none" w:sz="0" w:space="0" w:color="auto"/>
        <w:right w:val="none" w:sz="0" w:space="0" w:color="auto"/>
      </w:divBdr>
      <w:divsChild>
        <w:div w:id="1333485847">
          <w:marLeft w:val="0"/>
          <w:marRight w:val="0"/>
          <w:marTop w:val="0"/>
          <w:marBottom w:val="0"/>
          <w:divBdr>
            <w:top w:val="none" w:sz="0" w:space="0" w:color="auto"/>
            <w:left w:val="none" w:sz="0" w:space="0" w:color="auto"/>
            <w:bottom w:val="none" w:sz="0" w:space="0" w:color="auto"/>
            <w:right w:val="none" w:sz="0" w:space="0" w:color="auto"/>
          </w:divBdr>
          <w:divsChild>
            <w:div w:id="1189101081">
              <w:marLeft w:val="0"/>
              <w:marRight w:val="0"/>
              <w:marTop w:val="0"/>
              <w:marBottom w:val="0"/>
              <w:divBdr>
                <w:top w:val="none" w:sz="0" w:space="0" w:color="auto"/>
                <w:left w:val="none" w:sz="0" w:space="0" w:color="auto"/>
                <w:bottom w:val="none" w:sz="0" w:space="0" w:color="auto"/>
                <w:right w:val="none" w:sz="0" w:space="0" w:color="auto"/>
              </w:divBdr>
              <w:divsChild>
                <w:div w:id="339744841">
                  <w:marLeft w:val="-225"/>
                  <w:marRight w:val="-225"/>
                  <w:marTop w:val="0"/>
                  <w:marBottom w:val="0"/>
                  <w:divBdr>
                    <w:top w:val="none" w:sz="0" w:space="0" w:color="auto"/>
                    <w:left w:val="none" w:sz="0" w:space="0" w:color="auto"/>
                    <w:bottom w:val="none" w:sz="0" w:space="0" w:color="auto"/>
                    <w:right w:val="none" w:sz="0" w:space="0" w:color="auto"/>
                  </w:divBdr>
                  <w:divsChild>
                    <w:div w:id="1927618079">
                      <w:marLeft w:val="0"/>
                      <w:marRight w:val="0"/>
                      <w:marTop w:val="0"/>
                      <w:marBottom w:val="0"/>
                      <w:divBdr>
                        <w:top w:val="none" w:sz="0" w:space="0" w:color="auto"/>
                        <w:left w:val="none" w:sz="0" w:space="0" w:color="auto"/>
                        <w:bottom w:val="none" w:sz="0" w:space="0" w:color="auto"/>
                        <w:right w:val="none" w:sz="0" w:space="0" w:color="auto"/>
                      </w:divBdr>
                      <w:divsChild>
                        <w:div w:id="128937321">
                          <w:marLeft w:val="0"/>
                          <w:marRight w:val="0"/>
                          <w:marTop w:val="300"/>
                          <w:marBottom w:val="0"/>
                          <w:divBdr>
                            <w:top w:val="none" w:sz="0" w:space="0" w:color="auto"/>
                            <w:left w:val="none" w:sz="0" w:space="0" w:color="auto"/>
                            <w:bottom w:val="none" w:sz="0" w:space="0" w:color="auto"/>
                            <w:right w:val="none" w:sz="0" w:space="0" w:color="auto"/>
                          </w:divBdr>
                          <w:divsChild>
                            <w:div w:id="539754900">
                              <w:marLeft w:val="0"/>
                              <w:marRight w:val="0"/>
                              <w:marTop w:val="0"/>
                              <w:marBottom w:val="0"/>
                              <w:divBdr>
                                <w:top w:val="none" w:sz="0" w:space="0" w:color="auto"/>
                                <w:left w:val="none" w:sz="0" w:space="0" w:color="auto"/>
                                <w:bottom w:val="none" w:sz="0" w:space="0" w:color="auto"/>
                                <w:right w:val="none" w:sz="0" w:space="0" w:color="auto"/>
                              </w:divBdr>
                              <w:divsChild>
                                <w:div w:id="378091781">
                                  <w:marLeft w:val="0"/>
                                  <w:marRight w:val="0"/>
                                  <w:marTop w:val="0"/>
                                  <w:marBottom w:val="0"/>
                                  <w:divBdr>
                                    <w:top w:val="none" w:sz="0" w:space="0" w:color="auto"/>
                                    <w:left w:val="none" w:sz="0" w:space="0" w:color="auto"/>
                                    <w:bottom w:val="none" w:sz="0" w:space="0" w:color="auto"/>
                                    <w:right w:val="none" w:sz="0" w:space="0" w:color="auto"/>
                                  </w:divBdr>
                                  <w:divsChild>
                                    <w:div w:id="1993096090">
                                      <w:marLeft w:val="0"/>
                                      <w:marRight w:val="0"/>
                                      <w:marTop w:val="0"/>
                                      <w:marBottom w:val="0"/>
                                      <w:divBdr>
                                        <w:top w:val="none" w:sz="0" w:space="0" w:color="auto"/>
                                        <w:left w:val="none" w:sz="0" w:space="0" w:color="auto"/>
                                        <w:bottom w:val="none" w:sz="0" w:space="0" w:color="auto"/>
                                        <w:right w:val="none" w:sz="0" w:space="0" w:color="auto"/>
                                      </w:divBdr>
                                      <w:divsChild>
                                        <w:div w:id="395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432849">
      <w:bodyDiv w:val="1"/>
      <w:marLeft w:val="0"/>
      <w:marRight w:val="0"/>
      <w:marTop w:val="0"/>
      <w:marBottom w:val="0"/>
      <w:divBdr>
        <w:top w:val="none" w:sz="0" w:space="0" w:color="auto"/>
        <w:left w:val="none" w:sz="0" w:space="0" w:color="auto"/>
        <w:bottom w:val="none" w:sz="0" w:space="0" w:color="auto"/>
        <w:right w:val="none" w:sz="0" w:space="0" w:color="auto"/>
      </w:divBdr>
      <w:divsChild>
        <w:div w:id="1964727198">
          <w:marLeft w:val="0"/>
          <w:marRight w:val="0"/>
          <w:marTop w:val="240"/>
          <w:marBottom w:val="240"/>
          <w:divBdr>
            <w:top w:val="single" w:sz="6" w:space="6" w:color="F2F2F2"/>
            <w:left w:val="none" w:sz="0" w:space="0" w:color="auto"/>
            <w:bottom w:val="single" w:sz="6" w:space="6" w:color="F2F2F2"/>
            <w:right w:val="none" w:sz="0" w:space="0" w:color="auto"/>
          </w:divBdr>
        </w:div>
        <w:div w:id="1991009079">
          <w:marLeft w:val="0"/>
          <w:marRight w:val="0"/>
          <w:marTop w:val="0"/>
          <w:marBottom w:val="0"/>
          <w:divBdr>
            <w:top w:val="none" w:sz="0" w:space="0" w:color="auto"/>
            <w:left w:val="none" w:sz="0" w:space="0" w:color="auto"/>
            <w:bottom w:val="none" w:sz="0" w:space="0" w:color="auto"/>
            <w:right w:val="none" w:sz="0" w:space="0" w:color="auto"/>
          </w:divBdr>
          <w:divsChild>
            <w:div w:id="13013745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9178046">
      <w:bodyDiv w:val="1"/>
      <w:marLeft w:val="0"/>
      <w:marRight w:val="0"/>
      <w:marTop w:val="0"/>
      <w:marBottom w:val="0"/>
      <w:divBdr>
        <w:top w:val="none" w:sz="0" w:space="0" w:color="auto"/>
        <w:left w:val="none" w:sz="0" w:space="0" w:color="auto"/>
        <w:bottom w:val="none" w:sz="0" w:space="0" w:color="auto"/>
        <w:right w:val="none" w:sz="0" w:space="0" w:color="auto"/>
      </w:divBdr>
      <w:divsChild>
        <w:div w:id="1805346145">
          <w:marLeft w:val="0"/>
          <w:marRight w:val="0"/>
          <w:marTop w:val="0"/>
          <w:marBottom w:val="0"/>
          <w:divBdr>
            <w:top w:val="none" w:sz="0" w:space="0" w:color="auto"/>
            <w:left w:val="none" w:sz="0" w:space="0" w:color="auto"/>
            <w:bottom w:val="none" w:sz="0" w:space="0" w:color="auto"/>
            <w:right w:val="none" w:sz="0" w:space="0" w:color="auto"/>
          </w:divBdr>
          <w:divsChild>
            <w:div w:id="2079396574">
              <w:marLeft w:val="0"/>
              <w:marRight w:val="0"/>
              <w:marTop w:val="0"/>
              <w:marBottom w:val="0"/>
              <w:divBdr>
                <w:top w:val="none" w:sz="0" w:space="0" w:color="auto"/>
                <w:left w:val="none" w:sz="0" w:space="0" w:color="auto"/>
                <w:bottom w:val="none" w:sz="0" w:space="0" w:color="auto"/>
                <w:right w:val="none" w:sz="0" w:space="0" w:color="auto"/>
              </w:divBdr>
              <w:divsChild>
                <w:div w:id="1840579684">
                  <w:marLeft w:val="0"/>
                  <w:marRight w:val="0"/>
                  <w:marTop w:val="0"/>
                  <w:marBottom w:val="0"/>
                  <w:divBdr>
                    <w:top w:val="none" w:sz="0" w:space="0" w:color="auto"/>
                    <w:left w:val="none" w:sz="0" w:space="0" w:color="auto"/>
                    <w:bottom w:val="none" w:sz="0" w:space="0" w:color="auto"/>
                    <w:right w:val="none" w:sz="0" w:space="0" w:color="auto"/>
                  </w:divBdr>
                  <w:divsChild>
                    <w:div w:id="1260868383">
                      <w:marLeft w:val="0"/>
                      <w:marRight w:val="0"/>
                      <w:marTop w:val="0"/>
                      <w:marBottom w:val="0"/>
                      <w:divBdr>
                        <w:top w:val="none" w:sz="0" w:space="0" w:color="auto"/>
                        <w:left w:val="none" w:sz="0" w:space="0" w:color="auto"/>
                        <w:bottom w:val="none" w:sz="0" w:space="0" w:color="auto"/>
                        <w:right w:val="none" w:sz="0" w:space="0" w:color="auto"/>
                      </w:divBdr>
                      <w:divsChild>
                        <w:div w:id="1065375078">
                          <w:marLeft w:val="0"/>
                          <w:marRight w:val="0"/>
                          <w:marTop w:val="0"/>
                          <w:marBottom w:val="0"/>
                          <w:divBdr>
                            <w:top w:val="none" w:sz="0" w:space="0" w:color="auto"/>
                            <w:left w:val="none" w:sz="0" w:space="0" w:color="auto"/>
                            <w:bottom w:val="none" w:sz="0" w:space="0" w:color="auto"/>
                            <w:right w:val="none" w:sz="0" w:space="0" w:color="auto"/>
                          </w:divBdr>
                          <w:divsChild>
                            <w:div w:id="1069032719">
                              <w:marLeft w:val="0"/>
                              <w:marRight w:val="0"/>
                              <w:marTop w:val="0"/>
                              <w:marBottom w:val="0"/>
                              <w:divBdr>
                                <w:top w:val="none" w:sz="0" w:space="0" w:color="auto"/>
                                <w:left w:val="none" w:sz="0" w:space="0" w:color="auto"/>
                                <w:bottom w:val="none" w:sz="0" w:space="0" w:color="auto"/>
                                <w:right w:val="none" w:sz="0" w:space="0" w:color="auto"/>
                              </w:divBdr>
                              <w:divsChild>
                                <w:div w:id="361444938">
                                  <w:marLeft w:val="0"/>
                                  <w:marRight w:val="0"/>
                                  <w:marTop w:val="0"/>
                                  <w:marBottom w:val="0"/>
                                  <w:divBdr>
                                    <w:top w:val="none" w:sz="0" w:space="0" w:color="auto"/>
                                    <w:left w:val="none" w:sz="0" w:space="0" w:color="auto"/>
                                    <w:bottom w:val="none" w:sz="0" w:space="0" w:color="auto"/>
                                    <w:right w:val="none" w:sz="0" w:space="0" w:color="auto"/>
                                  </w:divBdr>
                                  <w:divsChild>
                                    <w:div w:id="544490004">
                                      <w:marLeft w:val="0"/>
                                      <w:marRight w:val="0"/>
                                      <w:marTop w:val="0"/>
                                      <w:marBottom w:val="0"/>
                                      <w:divBdr>
                                        <w:top w:val="none" w:sz="0" w:space="0" w:color="auto"/>
                                        <w:left w:val="none" w:sz="0" w:space="0" w:color="auto"/>
                                        <w:bottom w:val="none" w:sz="0" w:space="0" w:color="auto"/>
                                        <w:right w:val="none" w:sz="0" w:space="0" w:color="auto"/>
                                      </w:divBdr>
                                      <w:divsChild>
                                        <w:div w:id="966659894">
                                          <w:marLeft w:val="0"/>
                                          <w:marRight w:val="0"/>
                                          <w:marTop w:val="0"/>
                                          <w:marBottom w:val="0"/>
                                          <w:divBdr>
                                            <w:top w:val="none" w:sz="0" w:space="0" w:color="auto"/>
                                            <w:left w:val="none" w:sz="0" w:space="0" w:color="auto"/>
                                            <w:bottom w:val="none" w:sz="0" w:space="0" w:color="auto"/>
                                            <w:right w:val="none" w:sz="0" w:space="0" w:color="auto"/>
                                          </w:divBdr>
                                          <w:divsChild>
                                            <w:div w:id="1921254098">
                                              <w:marLeft w:val="0"/>
                                              <w:marRight w:val="0"/>
                                              <w:marTop w:val="0"/>
                                              <w:marBottom w:val="0"/>
                                              <w:divBdr>
                                                <w:top w:val="none" w:sz="0" w:space="0" w:color="auto"/>
                                                <w:left w:val="none" w:sz="0" w:space="0" w:color="auto"/>
                                                <w:bottom w:val="none" w:sz="0" w:space="0" w:color="auto"/>
                                                <w:right w:val="none" w:sz="0" w:space="0" w:color="auto"/>
                                              </w:divBdr>
                                              <w:divsChild>
                                                <w:div w:id="216627425">
                                                  <w:marLeft w:val="0"/>
                                                  <w:marRight w:val="0"/>
                                                  <w:marTop w:val="0"/>
                                                  <w:marBottom w:val="0"/>
                                                  <w:divBdr>
                                                    <w:top w:val="none" w:sz="0" w:space="0" w:color="auto"/>
                                                    <w:left w:val="none" w:sz="0" w:space="0" w:color="auto"/>
                                                    <w:bottom w:val="none" w:sz="0" w:space="0" w:color="auto"/>
                                                    <w:right w:val="none" w:sz="0" w:space="0" w:color="auto"/>
                                                  </w:divBdr>
                                                  <w:divsChild>
                                                    <w:div w:id="1045561648">
                                                      <w:marLeft w:val="0"/>
                                                      <w:marRight w:val="0"/>
                                                      <w:marTop w:val="0"/>
                                                      <w:marBottom w:val="0"/>
                                                      <w:divBdr>
                                                        <w:top w:val="none" w:sz="0" w:space="0" w:color="auto"/>
                                                        <w:left w:val="none" w:sz="0" w:space="0" w:color="auto"/>
                                                        <w:bottom w:val="none" w:sz="0" w:space="0" w:color="auto"/>
                                                        <w:right w:val="none" w:sz="0" w:space="0" w:color="auto"/>
                                                      </w:divBdr>
                                                      <w:divsChild>
                                                        <w:div w:id="811364102">
                                                          <w:marLeft w:val="0"/>
                                                          <w:marRight w:val="0"/>
                                                          <w:marTop w:val="0"/>
                                                          <w:marBottom w:val="0"/>
                                                          <w:divBdr>
                                                            <w:top w:val="none" w:sz="0" w:space="0" w:color="auto"/>
                                                            <w:left w:val="none" w:sz="0" w:space="0" w:color="auto"/>
                                                            <w:bottom w:val="none" w:sz="0" w:space="0" w:color="auto"/>
                                                            <w:right w:val="none" w:sz="0" w:space="0" w:color="auto"/>
                                                          </w:divBdr>
                                                        </w:div>
                                                        <w:div w:id="2143231310">
                                                          <w:marLeft w:val="0"/>
                                                          <w:marRight w:val="0"/>
                                                          <w:marTop w:val="0"/>
                                                          <w:marBottom w:val="0"/>
                                                          <w:divBdr>
                                                            <w:top w:val="none" w:sz="0" w:space="0" w:color="auto"/>
                                                            <w:left w:val="none" w:sz="0" w:space="0" w:color="auto"/>
                                                            <w:bottom w:val="none" w:sz="0" w:space="0" w:color="auto"/>
                                                            <w:right w:val="none" w:sz="0" w:space="0" w:color="auto"/>
                                                          </w:divBdr>
                                                          <w:divsChild>
                                                            <w:div w:id="8916915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1796438">
      <w:bodyDiv w:val="1"/>
      <w:marLeft w:val="0"/>
      <w:marRight w:val="0"/>
      <w:marTop w:val="0"/>
      <w:marBottom w:val="0"/>
      <w:divBdr>
        <w:top w:val="none" w:sz="0" w:space="0" w:color="auto"/>
        <w:left w:val="none" w:sz="0" w:space="0" w:color="auto"/>
        <w:bottom w:val="none" w:sz="0" w:space="0" w:color="auto"/>
        <w:right w:val="none" w:sz="0" w:space="0" w:color="auto"/>
      </w:divBdr>
      <w:divsChild>
        <w:div w:id="716394751">
          <w:marLeft w:val="0"/>
          <w:marRight w:val="0"/>
          <w:marTop w:val="0"/>
          <w:marBottom w:val="0"/>
          <w:divBdr>
            <w:top w:val="none" w:sz="0" w:space="0" w:color="auto"/>
            <w:left w:val="single" w:sz="6" w:space="0" w:color="0065A2"/>
            <w:bottom w:val="none" w:sz="0" w:space="0" w:color="auto"/>
            <w:right w:val="single" w:sz="6" w:space="0" w:color="0065A2"/>
          </w:divBdr>
          <w:divsChild>
            <w:div w:id="1733191555">
              <w:marLeft w:val="0"/>
              <w:marRight w:val="0"/>
              <w:marTop w:val="0"/>
              <w:marBottom w:val="0"/>
              <w:divBdr>
                <w:top w:val="none" w:sz="0" w:space="0" w:color="auto"/>
                <w:left w:val="single" w:sz="24" w:space="0" w:color="FFFFFF"/>
                <w:bottom w:val="none" w:sz="0" w:space="0" w:color="auto"/>
                <w:right w:val="single" w:sz="24" w:space="0" w:color="FFFFFF"/>
              </w:divBdr>
              <w:divsChild>
                <w:div w:id="957835514">
                  <w:marLeft w:val="0"/>
                  <w:marRight w:val="0"/>
                  <w:marTop w:val="0"/>
                  <w:marBottom w:val="0"/>
                  <w:divBdr>
                    <w:top w:val="none" w:sz="0" w:space="0" w:color="auto"/>
                    <w:left w:val="none" w:sz="0" w:space="0" w:color="auto"/>
                    <w:bottom w:val="none" w:sz="0" w:space="0" w:color="auto"/>
                    <w:right w:val="none" w:sz="0" w:space="0" w:color="auto"/>
                  </w:divBdr>
                  <w:divsChild>
                    <w:div w:id="1205563088">
                      <w:marLeft w:val="0"/>
                      <w:marRight w:val="0"/>
                      <w:marTop w:val="0"/>
                      <w:marBottom w:val="0"/>
                      <w:divBdr>
                        <w:top w:val="none" w:sz="0" w:space="0" w:color="auto"/>
                        <w:left w:val="none" w:sz="0" w:space="0" w:color="auto"/>
                        <w:bottom w:val="none" w:sz="0" w:space="0" w:color="auto"/>
                        <w:right w:val="none" w:sz="0" w:space="0" w:color="auto"/>
                      </w:divBdr>
                      <w:divsChild>
                        <w:div w:id="2036692365">
                          <w:marLeft w:val="0"/>
                          <w:marRight w:val="0"/>
                          <w:marTop w:val="0"/>
                          <w:marBottom w:val="0"/>
                          <w:divBdr>
                            <w:top w:val="none" w:sz="0" w:space="0" w:color="auto"/>
                            <w:left w:val="none" w:sz="0" w:space="0" w:color="auto"/>
                            <w:bottom w:val="none" w:sz="0" w:space="0" w:color="auto"/>
                            <w:right w:val="none" w:sz="0" w:space="0" w:color="auto"/>
                          </w:divBdr>
                          <w:divsChild>
                            <w:div w:id="1287853170">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835107">
      <w:bodyDiv w:val="1"/>
      <w:marLeft w:val="0"/>
      <w:marRight w:val="0"/>
      <w:marTop w:val="0"/>
      <w:marBottom w:val="0"/>
      <w:divBdr>
        <w:top w:val="none" w:sz="0" w:space="0" w:color="auto"/>
        <w:left w:val="none" w:sz="0" w:space="0" w:color="auto"/>
        <w:bottom w:val="none" w:sz="0" w:space="0" w:color="auto"/>
        <w:right w:val="none" w:sz="0" w:space="0" w:color="auto"/>
      </w:divBdr>
      <w:divsChild>
        <w:div w:id="1630672259">
          <w:marLeft w:val="0"/>
          <w:marRight w:val="0"/>
          <w:marTop w:val="0"/>
          <w:marBottom w:val="0"/>
          <w:divBdr>
            <w:top w:val="none" w:sz="0" w:space="0" w:color="auto"/>
            <w:left w:val="none" w:sz="0" w:space="0" w:color="auto"/>
            <w:bottom w:val="none" w:sz="0" w:space="0" w:color="auto"/>
            <w:right w:val="none" w:sz="0" w:space="0" w:color="auto"/>
          </w:divBdr>
          <w:divsChild>
            <w:div w:id="561914555">
              <w:marLeft w:val="0"/>
              <w:marRight w:val="0"/>
              <w:marTop w:val="0"/>
              <w:marBottom w:val="0"/>
              <w:divBdr>
                <w:top w:val="none" w:sz="0" w:space="0" w:color="auto"/>
                <w:left w:val="none" w:sz="0" w:space="0" w:color="auto"/>
                <w:bottom w:val="none" w:sz="0" w:space="0" w:color="auto"/>
                <w:right w:val="none" w:sz="0" w:space="0" w:color="auto"/>
              </w:divBdr>
              <w:divsChild>
                <w:div w:id="333531375">
                  <w:marLeft w:val="0"/>
                  <w:marRight w:val="0"/>
                  <w:marTop w:val="0"/>
                  <w:marBottom w:val="0"/>
                  <w:divBdr>
                    <w:top w:val="none" w:sz="0" w:space="0" w:color="auto"/>
                    <w:left w:val="none" w:sz="0" w:space="0" w:color="auto"/>
                    <w:bottom w:val="none" w:sz="0" w:space="0" w:color="auto"/>
                    <w:right w:val="none" w:sz="0" w:space="0" w:color="auto"/>
                  </w:divBdr>
                  <w:divsChild>
                    <w:div w:id="1274164959">
                      <w:marLeft w:val="0"/>
                      <w:marRight w:val="0"/>
                      <w:marTop w:val="0"/>
                      <w:marBottom w:val="0"/>
                      <w:divBdr>
                        <w:top w:val="none" w:sz="0" w:space="0" w:color="auto"/>
                        <w:left w:val="none" w:sz="0" w:space="0" w:color="auto"/>
                        <w:bottom w:val="none" w:sz="0" w:space="0" w:color="auto"/>
                        <w:right w:val="none" w:sz="0" w:space="0" w:color="auto"/>
                      </w:divBdr>
                      <w:divsChild>
                        <w:div w:id="2976871">
                          <w:marLeft w:val="0"/>
                          <w:marRight w:val="0"/>
                          <w:marTop w:val="0"/>
                          <w:marBottom w:val="0"/>
                          <w:divBdr>
                            <w:top w:val="none" w:sz="0" w:space="0" w:color="auto"/>
                            <w:left w:val="none" w:sz="0" w:space="0" w:color="auto"/>
                            <w:bottom w:val="none" w:sz="0" w:space="0" w:color="auto"/>
                            <w:right w:val="none" w:sz="0" w:space="0" w:color="auto"/>
                          </w:divBdr>
                          <w:divsChild>
                            <w:div w:id="806976297">
                              <w:marLeft w:val="0"/>
                              <w:marRight w:val="0"/>
                              <w:marTop w:val="0"/>
                              <w:marBottom w:val="0"/>
                              <w:divBdr>
                                <w:top w:val="none" w:sz="0" w:space="0" w:color="auto"/>
                                <w:left w:val="none" w:sz="0" w:space="0" w:color="auto"/>
                                <w:bottom w:val="none" w:sz="0" w:space="0" w:color="auto"/>
                                <w:right w:val="none" w:sz="0" w:space="0" w:color="auto"/>
                              </w:divBdr>
                              <w:divsChild>
                                <w:div w:id="1957637184">
                                  <w:marLeft w:val="0"/>
                                  <w:marRight w:val="0"/>
                                  <w:marTop w:val="0"/>
                                  <w:marBottom w:val="0"/>
                                  <w:divBdr>
                                    <w:top w:val="none" w:sz="0" w:space="0" w:color="auto"/>
                                    <w:left w:val="none" w:sz="0" w:space="0" w:color="auto"/>
                                    <w:bottom w:val="none" w:sz="0" w:space="0" w:color="auto"/>
                                    <w:right w:val="none" w:sz="0" w:space="0" w:color="auto"/>
                                  </w:divBdr>
                                  <w:divsChild>
                                    <w:div w:id="1690988995">
                                      <w:marLeft w:val="0"/>
                                      <w:marRight w:val="0"/>
                                      <w:marTop w:val="0"/>
                                      <w:marBottom w:val="0"/>
                                      <w:divBdr>
                                        <w:top w:val="none" w:sz="0" w:space="0" w:color="auto"/>
                                        <w:left w:val="none" w:sz="0" w:space="0" w:color="auto"/>
                                        <w:bottom w:val="none" w:sz="0" w:space="0" w:color="auto"/>
                                        <w:right w:val="none" w:sz="0" w:space="0" w:color="auto"/>
                                      </w:divBdr>
                                      <w:divsChild>
                                        <w:div w:id="910886785">
                                          <w:marLeft w:val="0"/>
                                          <w:marRight w:val="0"/>
                                          <w:marTop w:val="0"/>
                                          <w:marBottom w:val="0"/>
                                          <w:divBdr>
                                            <w:top w:val="none" w:sz="0" w:space="0" w:color="auto"/>
                                            <w:left w:val="none" w:sz="0" w:space="0" w:color="auto"/>
                                            <w:bottom w:val="none" w:sz="0" w:space="0" w:color="auto"/>
                                            <w:right w:val="none" w:sz="0" w:space="0" w:color="auto"/>
                                          </w:divBdr>
                                          <w:divsChild>
                                            <w:div w:id="323241246">
                                              <w:marLeft w:val="0"/>
                                              <w:marRight w:val="0"/>
                                              <w:marTop w:val="0"/>
                                              <w:marBottom w:val="0"/>
                                              <w:divBdr>
                                                <w:top w:val="none" w:sz="0" w:space="0" w:color="auto"/>
                                                <w:left w:val="none" w:sz="0" w:space="0" w:color="auto"/>
                                                <w:bottom w:val="none" w:sz="0" w:space="0" w:color="auto"/>
                                                <w:right w:val="none" w:sz="0" w:space="0" w:color="auto"/>
                                              </w:divBdr>
                                              <w:divsChild>
                                                <w:div w:id="1692030168">
                                                  <w:marLeft w:val="0"/>
                                                  <w:marRight w:val="0"/>
                                                  <w:marTop w:val="0"/>
                                                  <w:marBottom w:val="0"/>
                                                  <w:divBdr>
                                                    <w:top w:val="none" w:sz="0" w:space="0" w:color="auto"/>
                                                    <w:left w:val="none" w:sz="0" w:space="0" w:color="auto"/>
                                                    <w:bottom w:val="none" w:sz="0" w:space="0" w:color="auto"/>
                                                    <w:right w:val="none" w:sz="0" w:space="0" w:color="auto"/>
                                                  </w:divBdr>
                                                  <w:divsChild>
                                                    <w:div w:id="591013796">
                                                      <w:marLeft w:val="0"/>
                                                      <w:marRight w:val="0"/>
                                                      <w:marTop w:val="0"/>
                                                      <w:marBottom w:val="0"/>
                                                      <w:divBdr>
                                                        <w:top w:val="none" w:sz="0" w:space="0" w:color="auto"/>
                                                        <w:left w:val="none" w:sz="0" w:space="0" w:color="auto"/>
                                                        <w:bottom w:val="none" w:sz="0" w:space="0" w:color="auto"/>
                                                        <w:right w:val="none" w:sz="0" w:space="0" w:color="auto"/>
                                                      </w:divBdr>
                                                      <w:divsChild>
                                                        <w:div w:id="14963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4227203">
      <w:bodyDiv w:val="1"/>
      <w:marLeft w:val="0"/>
      <w:marRight w:val="0"/>
      <w:marTop w:val="0"/>
      <w:marBottom w:val="0"/>
      <w:divBdr>
        <w:top w:val="none" w:sz="0" w:space="0" w:color="auto"/>
        <w:left w:val="none" w:sz="0" w:space="0" w:color="auto"/>
        <w:bottom w:val="none" w:sz="0" w:space="0" w:color="auto"/>
        <w:right w:val="none" w:sz="0" w:space="0" w:color="auto"/>
      </w:divBdr>
      <w:divsChild>
        <w:div w:id="1205941327">
          <w:marLeft w:val="0"/>
          <w:marRight w:val="0"/>
          <w:marTop w:val="0"/>
          <w:marBottom w:val="0"/>
          <w:divBdr>
            <w:top w:val="single" w:sz="2" w:space="0" w:color="AAAAAA"/>
            <w:left w:val="single" w:sz="6" w:space="8" w:color="AAAAAA"/>
            <w:bottom w:val="single" w:sz="2" w:space="0" w:color="AAAAAA"/>
            <w:right w:val="single" w:sz="6" w:space="8" w:color="AAAAAA"/>
          </w:divBdr>
          <w:divsChild>
            <w:div w:id="158541038">
              <w:marLeft w:val="0"/>
              <w:marRight w:val="0"/>
              <w:marTop w:val="0"/>
              <w:marBottom w:val="0"/>
              <w:divBdr>
                <w:top w:val="none" w:sz="0" w:space="0" w:color="auto"/>
                <w:left w:val="none" w:sz="0" w:space="0" w:color="auto"/>
                <w:bottom w:val="none" w:sz="0" w:space="0" w:color="auto"/>
                <w:right w:val="none" w:sz="0" w:space="0" w:color="auto"/>
              </w:divBdr>
              <w:divsChild>
                <w:div w:id="271783818">
                  <w:marLeft w:val="0"/>
                  <w:marRight w:val="0"/>
                  <w:marTop w:val="0"/>
                  <w:marBottom w:val="0"/>
                  <w:divBdr>
                    <w:top w:val="none" w:sz="0" w:space="0" w:color="auto"/>
                    <w:left w:val="none" w:sz="0" w:space="0" w:color="auto"/>
                    <w:bottom w:val="none" w:sz="0" w:space="0" w:color="auto"/>
                    <w:right w:val="none" w:sz="0" w:space="0" w:color="auto"/>
                  </w:divBdr>
                  <w:divsChild>
                    <w:div w:id="458187600">
                      <w:marLeft w:val="0"/>
                      <w:marRight w:val="2550"/>
                      <w:marTop w:val="0"/>
                      <w:marBottom w:val="48"/>
                      <w:divBdr>
                        <w:top w:val="none" w:sz="0" w:space="0" w:color="auto"/>
                        <w:left w:val="none" w:sz="0" w:space="0" w:color="auto"/>
                        <w:bottom w:val="none" w:sz="0" w:space="0" w:color="auto"/>
                        <w:right w:val="none" w:sz="0" w:space="0" w:color="auto"/>
                      </w:divBdr>
                      <w:divsChild>
                        <w:div w:id="1504511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14344538">
      <w:bodyDiv w:val="1"/>
      <w:marLeft w:val="0"/>
      <w:marRight w:val="0"/>
      <w:marTop w:val="0"/>
      <w:marBottom w:val="0"/>
      <w:divBdr>
        <w:top w:val="none" w:sz="0" w:space="0" w:color="auto"/>
        <w:left w:val="none" w:sz="0" w:space="0" w:color="auto"/>
        <w:bottom w:val="none" w:sz="0" w:space="0" w:color="auto"/>
        <w:right w:val="none" w:sz="0" w:space="0" w:color="auto"/>
      </w:divBdr>
      <w:divsChild>
        <w:div w:id="1983347235">
          <w:marLeft w:val="-225"/>
          <w:marRight w:val="-225"/>
          <w:marTop w:val="0"/>
          <w:marBottom w:val="0"/>
          <w:divBdr>
            <w:top w:val="none" w:sz="0" w:space="0" w:color="auto"/>
            <w:left w:val="none" w:sz="0" w:space="0" w:color="auto"/>
            <w:bottom w:val="none" w:sz="0" w:space="0" w:color="auto"/>
            <w:right w:val="none" w:sz="0" w:space="0" w:color="auto"/>
          </w:divBdr>
          <w:divsChild>
            <w:div w:id="919606139">
              <w:marLeft w:val="0"/>
              <w:marRight w:val="0"/>
              <w:marTop w:val="0"/>
              <w:marBottom w:val="0"/>
              <w:divBdr>
                <w:top w:val="none" w:sz="0" w:space="0" w:color="auto"/>
                <w:left w:val="none" w:sz="0" w:space="0" w:color="auto"/>
                <w:bottom w:val="none" w:sz="0" w:space="0" w:color="auto"/>
                <w:right w:val="none" w:sz="0" w:space="0" w:color="auto"/>
              </w:divBdr>
              <w:divsChild>
                <w:div w:id="1620841722">
                  <w:marLeft w:val="0"/>
                  <w:marRight w:val="0"/>
                  <w:marTop w:val="0"/>
                  <w:marBottom w:val="0"/>
                  <w:divBdr>
                    <w:top w:val="none" w:sz="0" w:space="0" w:color="auto"/>
                    <w:left w:val="none" w:sz="0" w:space="0" w:color="auto"/>
                    <w:bottom w:val="none" w:sz="0" w:space="0" w:color="auto"/>
                    <w:right w:val="none" w:sz="0" w:space="0" w:color="auto"/>
                  </w:divBdr>
                  <w:divsChild>
                    <w:div w:id="38359912">
                      <w:marLeft w:val="0"/>
                      <w:marRight w:val="0"/>
                      <w:marTop w:val="0"/>
                      <w:marBottom w:val="0"/>
                      <w:divBdr>
                        <w:top w:val="none" w:sz="0" w:space="0" w:color="auto"/>
                        <w:left w:val="none" w:sz="0" w:space="0" w:color="auto"/>
                        <w:bottom w:val="none" w:sz="0" w:space="0" w:color="auto"/>
                        <w:right w:val="none" w:sz="0" w:space="0" w:color="auto"/>
                      </w:divBdr>
                      <w:divsChild>
                        <w:div w:id="230163810">
                          <w:marLeft w:val="0"/>
                          <w:marRight w:val="0"/>
                          <w:marTop w:val="0"/>
                          <w:marBottom w:val="525"/>
                          <w:divBdr>
                            <w:top w:val="none" w:sz="0" w:space="0" w:color="auto"/>
                            <w:left w:val="none" w:sz="0" w:space="0" w:color="auto"/>
                            <w:bottom w:val="none" w:sz="0" w:space="0" w:color="auto"/>
                            <w:right w:val="none" w:sz="0" w:space="0" w:color="auto"/>
                          </w:divBdr>
                          <w:divsChild>
                            <w:div w:id="7291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24077">
          <w:marLeft w:val="-225"/>
          <w:marRight w:val="-225"/>
          <w:marTop w:val="0"/>
          <w:marBottom w:val="0"/>
          <w:divBdr>
            <w:top w:val="none" w:sz="0" w:space="0" w:color="auto"/>
            <w:left w:val="none" w:sz="0" w:space="0" w:color="auto"/>
            <w:bottom w:val="none" w:sz="0" w:space="0" w:color="auto"/>
            <w:right w:val="none" w:sz="0" w:space="0" w:color="auto"/>
          </w:divBdr>
          <w:divsChild>
            <w:div w:id="585456256">
              <w:marLeft w:val="0"/>
              <w:marRight w:val="0"/>
              <w:marTop w:val="0"/>
              <w:marBottom w:val="0"/>
              <w:divBdr>
                <w:top w:val="none" w:sz="0" w:space="0" w:color="auto"/>
                <w:left w:val="none" w:sz="0" w:space="0" w:color="auto"/>
                <w:bottom w:val="none" w:sz="0" w:space="0" w:color="auto"/>
                <w:right w:val="none" w:sz="0" w:space="0" w:color="auto"/>
              </w:divBdr>
              <w:divsChild>
                <w:div w:id="471018433">
                  <w:marLeft w:val="0"/>
                  <w:marRight w:val="0"/>
                  <w:marTop w:val="0"/>
                  <w:marBottom w:val="0"/>
                  <w:divBdr>
                    <w:top w:val="none" w:sz="0" w:space="0" w:color="auto"/>
                    <w:left w:val="none" w:sz="0" w:space="0" w:color="auto"/>
                    <w:bottom w:val="none" w:sz="0" w:space="0" w:color="auto"/>
                    <w:right w:val="none" w:sz="0" w:space="0" w:color="auto"/>
                  </w:divBdr>
                  <w:divsChild>
                    <w:div w:id="676229592">
                      <w:marLeft w:val="0"/>
                      <w:marRight w:val="0"/>
                      <w:marTop w:val="0"/>
                      <w:marBottom w:val="0"/>
                      <w:divBdr>
                        <w:top w:val="none" w:sz="0" w:space="0" w:color="auto"/>
                        <w:left w:val="none" w:sz="0" w:space="0" w:color="auto"/>
                        <w:bottom w:val="none" w:sz="0" w:space="0" w:color="auto"/>
                        <w:right w:val="none" w:sz="0" w:space="0" w:color="auto"/>
                      </w:divBdr>
                      <w:divsChild>
                        <w:div w:id="675961353">
                          <w:marLeft w:val="0"/>
                          <w:marRight w:val="0"/>
                          <w:marTop w:val="0"/>
                          <w:marBottom w:val="0"/>
                          <w:divBdr>
                            <w:top w:val="none" w:sz="0" w:space="0" w:color="auto"/>
                            <w:left w:val="none" w:sz="0" w:space="0" w:color="auto"/>
                            <w:bottom w:val="none" w:sz="0" w:space="0" w:color="auto"/>
                            <w:right w:val="none" w:sz="0" w:space="0" w:color="auto"/>
                          </w:divBdr>
                          <w:divsChild>
                            <w:div w:id="748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068771">
      <w:bodyDiv w:val="1"/>
      <w:marLeft w:val="0"/>
      <w:marRight w:val="0"/>
      <w:marTop w:val="0"/>
      <w:marBottom w:val="0"/>
      <w:divBdr>
        <w:top w:val="none" w:sz="0" w:space="0" w:color="auto"/>
        <w:left w:val="none" w:sz="0" w:space="0" w:color="auto"/>
        <w:bottom w:val="none" w:sz="0" w:space="0" w:color="auto"/>
        <w:right w:val="none" w:sz="0" w:space="0" w:color="auto"/>
      </w:divBdr>
    </w:div>
    <w:div w:id="1518303403">
      <w:bodyDiv w:val="1"/>
      <w:marLeft w:val="0"/>
      <w:marRight w:val="0"/>
      <w:marTop w:val="0"/>
      <w:marBottom w:val="0"/>
      <w:divBdr>
        <w:top w:val="none" w:sz="0" w:space="0" w:color="auto"/>
        <w:left w:val="none" w:sz="0" w:space="0" w:color="auto"/>
        <w:bottom w:val="none" w:sz="0" w:space="0" w:color="auto"/>
        <w:right w:val="none" w:sz="0" w:space="0" w:color="auto"/>
      </w:divBdr>
      <w:divsChild>
        <w:div w:id="1302423905">
          <w:marLeft w:val="0"/>
          <w:marRight w:val="0"/>
          <w:marTop w:val="0"/>
          <w:marBottom w:val="0"/>
          <w:divBdr>
            <w:top w:val="single" w:sz="6" w:space="0" w:color="0E477A"/>
            <w:left w:val="single" w:sz="6" w:space="0" w:color="0E477A"/>
            <w:bottom w:val="single" w:sz="6" w:space="0" w:color="0E477A"/>
            <w:right w:val="single" w:sz="6" w:space="0" w:color="0E477A"/>
          </w:divBdr>
          <w:divsChild>
            <w:div w:id="2016033691">
              <w:marLeft w:val="2925"/>
              <w:marRight w:val="0"/>
              <w:marTop w:val="0"/>
              <w:marBottom w:val="0"/>
              <w:divBdr>
                <w:top w:val="none" w:sz="0" w:space="0" w:color="auto"/>
                <w:left w:val="none" w:sz="0" w:space="0" w:color="auto"/>
                <w:bottom w:val="none" w:sz="0" w:space="0" w:color="auto"/>
                <w:right w:val="none" w:sz="0" w:space="0" w:color="auto"/>
              </w:divBdr>
              <w:divsChild>
                <w:div w:id="488329428">
                  <w:marLeft w:val="0"/>
                  <w:marRight w:val="0"/>
                  <w:marTop w:val="0"/>
                  <w:marBottom w:val="0"/>
                  <w:divBdr>
                    <w:top w:val="none" w:sz="0" w:space="0" w:color="auto"/>
                    <w:left w:val="none" w:sz="0" w:space="0" w:color="auto"/>
                    <w:bottom w:val="none" w:sz="0" w:space="0" w:color="auto"/>
                    <w:right w:val="none" w:sz="0" w:space="0" w:color="auto"/>
                  </w:divBdr>
                  <w:divsChild>
                    <w:div w:id="1370839691">
                      <w:marLeft w:val="0"/>
                      <w:marRight w:val="150"/>
                      <w:marTop w:val="0"/>
                      <w:marBottom w:val="0"/>
                      <w:divBdr>
                        <w:top w:val="single" w:sz="6" w:space="0" w:color="CCCCCC"/>
                        <w:left w:val="single" w:sz="6" w:space="8" w:color="CCCCCC"/>
                        <w:bottom w:val="single" w:sz="6" w:space="8" w:color="CCCCCC"/>
                        <w:right w:val="single" w:sz="6" w:space="8" w:color="CCCCCC"/>
                      </w:divBdr>
                      <w:divsChild>
                        <w:div w:id="12689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5423">
      <w:bodyDiv w:val="1"/>
      <w:marLeft w:val="0"/>
      <w:marRight w:val="0"/>
      <w:marTop w:val="0"/>
      <w:marBottom w:val="0"/>
      <w:divBdr>
        <w:top w:val="none" w:sz="0" w:space="0" w:color="auto"/>
        <w:left w:val="none" w:sz="0" w:space="0" w:color="auto"/>
        <w:bottom w:val="none" w:sz="0" w:space="0" w:color="auto"/>
        <w:right w:val="none" w:sz="0" w:space="0" w:color="auto"/>
      </w:divBdr>
      <w:divsChild>
        <w:div w:id="835149980">
          <w:marLeft w:val="0"/>
          <w:marRight w:val="0"/>
          <w:marTop w:val="0"/>
          <w:marBottom w:val="0"/>
          <w:divBdr>
            <w:top w:val="single" w:sz="6" w:space="0" w:color="0E477A"/>
            <w:left w:val="single" w:sz="6" w:space="0" w:color="0E477A"/>
            <w:bottom w:val="single" w:sz="6" w:space="0" w:color="0E477A"/>
            <w:right w:val="single" w:sz="6" w:space="0" w:color="0E477A"/>
          </w:divBdr>
          <w:divsChild>
            <w:div w:id="2141611186">
              <w:marLeft w:val="0"/>
              <w:marRight w:val="0"/>
              <w:marTop w:val="0"/>
              <w:marBottom w:val="0"/>
              <w:divBdr>
                <w:top w:val="none" w:sz="0" w:space="0" w:color="auto"/>
                <w:left w:val="none" w:sz="0" w:space="0" w:color="auto"/>
                <w:bottom w:val="none" w:sz="0" w:space="0" w:color="auto"/>
                <w:right w:val="none" w:sz="0" w:space="0" w:color="auto"/>
              </w:divBdr>
              <w:divsChild>
                <w:div w:id="1599220382">
                  <w:marLeft w:val="0"/>
                  <w:marRight w:val="0"/>
                  <w:marTop w:val="0"/>
                  <w:marBottom w:val="0"/>
                  <w:divBdr>
                    <w:top w:val="none" w:sz="0" w:space="0" w:color="auto"/>
                    <w:left w:val="none" w:sz="0" w:space="0" w:color="auto"/>
                    <w:bottom w:val="none" w:sz="0" w:space="0" w:color="auto"/>
                    <w:right w:val="none" w:sz="0" w:space="0" w:color="auto"/>
                  </w:divBdr>
                  <w:divsChild>
                    <w:div w:id="1064911946">
                      <w:marLeft w:val="0"/>
                      <w:marRight w:val="0"/>
                      <w:marTop w:val="0"/>
                      <w:marBottom w:val="0"/>
                      <w:divBdr>
                        <w:top w:val="none" w:sz="0" w:space="0" w:color="auto"/>
                        <w:left w:val="none" w:sz="0" w:space="0" w:color="auto"/>
                        <w:bottom w:val="none" w:sz="0" w:space="0" w:color="auto"/>
                        <w:right w:val="none" w:sz="0" w:space="0" w:color="auto"/>
                      </w:divBdr>
                      <w:divsChild>
                        <w:div w:id="1072510801">
                          <w:marLeft w:val="0"/>
                          <w:marRight w:val="0"/>
                          <w:marTop w:val="0"/>
                          <w:marBottom w:val="0"/>
                          <w:divBdr>
                            <w:top w:val="none" w:sz="0" w:space="0" w:color="auto"/>
                            <w:left w:val="none" w:sz="0" w:space="0" w:color="auto"/>
                            <w:bottom w:val="none" w:sz="0" w:space="0" w:color="auto"/>
                            <w:right w:val="none" w:sz="0" w:space="0" w:color="auto"/>
                          </w:divBdr>
                          <w:divsChild>
                            <w:div w:id="54008452">
                              <w:marLeft w:val="0"/>
                              <w:marRight w:val="0"/>
                              <w:marTop w:val="0"/>
                              <w:marBottom w:val="0"/>
                              <w:divBdr>
                                <w:top w:val="none" w:sz="0" w:space="0" w:color="auto"/>
                                <w:left w:val="none" w:sz="0" w:space="0" w:color="auto"/>
                                <w:bottom w:val="none" w:sz="0" w:space="0" w:color="auto"/>
                                <w:right w:val="none" w:sz="0" w:space="0" w:color="auto"/>
                              </w:divBdr>
                              <w:divsChild>
                                <w:div w:id="1162626540">
                                  <w:marLeft w:val="0"/>
                                  <w:marRight w:val="0"/>
                                  <w:marTop w:val="0"/>
                                  <w:marBottom w:val="0"/>
                                  <w:divBdr>
                                    <w:top w:val="none" w:sz="0" w:space="0" w:color="auto"/>
                                    <w:left w:val="none" w:sz="0" w:space="0" w:color="auto"/>
                                    <w:bottom w:val="none" w:sz="0" w:space="0" w:color="auto"/>
                                    <w:right w:val="none" w:sz="0" w:space="0" w:color="auto"/>
                                  </w:divBdr>
                                  <w:divsChild>
                                    <w:div w:id="172382136">
                                      <w:marLeft w:val="0"/>
                                      <w:marRight w:val="0"/>
                                      <w:marTop w:val="0"/>
                                      <w:marBottom w:val="0"/>
                                      <w:divBdr>
                                        <w:top w:val="none" w:sz="0" w:space="0" w:color="auto"/>
                                        <w:left w:val="none" w:sz="0" w:space="0" w:color="auto"/>
                                        <w:bottom w:val="none" w:sz="0" w:space="0" w:color="auto"/>
                                        <w:right w:val="none" w:sz="0" w:space="0" w:color="auto"/>
                                      </w:divBdr>
                                      <w:divsChild>
                                        <w:div w:id="1939176720">
                                          <w:marLeft w:val="0"/>
                                          <w:marRight w:val="0"/>
                                          <w:marTop w:val="0"/>
                                          <w:marBottom w:val="0"/>
                                          <w:divBdr>
                                            <w:top w:val="none" w:sz="0" w:space="0" w:color="auto"/>
                                            <w:left w:val="none" w:sz="0" w:space="0" w:color="auto"/>
                                            <w:bottom w:val="none" w:sz="0" w:space="0" w:color="auto"/>
                                            <w:right w:val="none" w:sz="0" w:space="0" w:color="auto"/>
                                          </w:divBdr>
                                          <w:divsChild>
                                            <w:div w:id="182020099">
                                              <w:marLeft w:val="0"/>
                                              <w:marRight w:val="0"/>
                                              <w:marTop w:val="0"/>
                                              <w:marBottom w:val="0"/>
                                              <w:divBdr>
                                                <w:top w:val="none" w:sz="0" w:space="0" w:color="auto"/>
                                                <w:left w:val="none" w:sz="0" w:space="0" w:color="auto"/>
                                                <w:bottom w:val="none" w:sz="0" w:space="0" w:color="auto"/>
                                                <w:right w:val="none" w:sz="0" w:space="0" w:color="auto"/>
                                              </w:divBdr>
                                              <w:divsChild>
                                                <w:div w:id="13973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7992">
                                          <w:marLeft w:val="0"/>
                                          <w:marRight w:val="0"/>
                                          <w:marTop w:val="0"/>
                                          <w:marBottom w:val="0"/>
                                          <w:divBdr>
                                            <w:top w:val="none" w:sz="0" w:space="0" w:color="auto"/>
                                            <w:left w:val="none" w:sz="0" w:space="0" w:color="auto"/>
                                            <w:bottom w:val="none" w:sz="0" w:space="0" w:color="auto"/>
                                            <w:right w:val="none" w:sz="0" w:space="0" w:color="auto"/>
                                          </w:divBdr>
                                          <w:divsChild>
                                            <w:div w:id="318198886">
                                              <w:marLeft w:val="0"/>
                                              <w:marRight w:val="0"/>
                                              <w:marTop w:val="0"/>
                                              <w:marBottom w:val="0"/>
                                              <w:divBdr>
                                                <w:top w:val="none" w:sz="0" w:space="0" w:color="auto"/>
                                                <w:left w:val="none" w:sz="0" w:space="0" w:color="auto"/>
                                                <w:bottom w:val="none" w:sz="0" w:space="0" w:color="auto"/>
                                                <w:right w:val="none" w:sz="0" w:space="0" w:color="auto"/>
                                              </w:divBdr>
                                              <w:divsChild>
                                                <w:div w:id="19189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388761">
      <w:bodyDiv w:val="1"/>
      <w:marLeft w:val="0"/>
      <w:marRight w:val="0"/>
      <w:marTop w:val="0"/>
      <w:marBottom w:val="0"/>
      <w:divBdr>
        <w:top w:val="none" w:sz="0" w:space="0" w:color="auto"/>
        <w:left w:val="none" w:sz="0" w:space="0" w:color="auto"/>
        <w:bottom w:val="none" w:sz="0" w:space="0" w:color="auto"/>
        <w:right w:val="none" w:sz="0" w:space="0" w:color="auto"/>
      </w:divBdr>
      <w:divsChild>
        <w:div w:id="1143422325">
          <w:marLeft w:val="0"/>
          <w:marRight w:val="0"/>
          <w:marTop w:val="0"/>
          <w:marBottom w:val="0"/>
          <w:divBdr>
            <w:top w:val="none" w:sz="0" w:space="0" w:color="auto"/>
            <w:left w:val="none" w:sz="0" w:space="0" w:color="auto"/>
            <w:bottom w:val="none" w:sz="0" w:space="0" w:color="auto"/>
            <w:right w:val="none" w:sz="0" w:space="0" w:color="auto"/>
          </w:divBdr>
          <w:divsChild>
            <w:div w:id="833103750">
              <w:marLeft w:val="0"/>
              <w:marRight w:val="0"/>
              <w:marTop w:val="0"/>
              <w:marBottom w:val="0"/>
              <w:divBdr>
                <w:top w:val="none" w:sz="0" w:space="0" w:color="auto"/>
                <w:left w:val="none" w:sz="0" w:space="0" w:color="auto"/>
                <w:bottom w:val="none" w:sz="0" w:space="0" w:color="auto"/>
                <w:right w:val="none" w:sz="0" w:space="0" w:color="auto"/>
              </w:divBdr>
              <w:divsChild>
                <w:div w:id="1827358623">
                  <w:marLeft w:val="0"/>
                  <w:marRight w:val="0"/>
                  <w:marTop w:val="100"/>
                  <w:marBottom w:val="100"/>
                  <w:divBdr>
                    <w:top w:val="none" w:sz="0" w:space="0" w:color="auto"/>
                    <w:left w:val="none" w:sz="0" w:space="0" w:color="auto"/>
                    <w:bottom w:val="none" w:sz="0" w:space="0" w:color="auto"/>
                    <w:right w:val="none" w:sz="0" w:space="0" w:color="auto"/>
                  </w:divBdr>
                  <w:divsChild>
                    <w:div w:id="1059481580">
                      <w:marLeft w:val="0"/>
                      <w:marRight w:val="0"/>
                      <w:marTop w:val="0"/>
                      <w:marBottom w:val="0"/>
                      <w:divBdr>
                        <w:top w:val="none" w:sz="0" w:space="0" w:color="auto"/>
                        <w:left w:val="none" w:sz="0" w:space="0" w:color="auto"/>
                        <w:bottom w:val="none" w:sz="0" w:space="0" w:color="auto"/>
                        <w:right w:val="none" w:sz="0" w:space="0" w:color="auto"/>
                      </w:divBdr>
                      <w:divsChild>
                        <w:div w:id="1322852366">
                          <w:marLeft w:val="0"/>
                          <w:marRight w:val="0"/>
                          <w:marTop w:val="0"/>
                          <w:marBottom w:val="0"/>
                          <w:divBdr>
                            <w:top w:val="none" w:sz="0" w:space="0" w:color="auto"/>
                            <w:left w:val="none" w:sz="0" w:space="0" w:color="auto"/>
                            <w:bottom w:val="none" w:sz="0" w:space="0" w:color="auto"/>
                            <w:right w:val="none" w:sz="0" w:space="0" w:color="auto"/>
                          </w:divBdr>
                          <w:divsChild>
                            <w:div w:id="1418361873">
                              <w:marLeft w:val="0"/>
                              <w:marRight w:val="0"/>
                              <w:marTop w:val="0"/>
                              <w:marBottom w:val="0"/>
                              <w:divBdr>
                                <w:top w:val="none" w:sz="0" w:space="0" w:color="auto"/>
                                <w:left w:val="none" w:sz="0" w:space="0" w:color="auto"/>
                                <w:bottom w:val="none" w:sz="0" w:space="0" w:color="auto"/>
                                <w:right w:val="none" w:sz="0" w:space="0" w:color="auto"/>
                              </w:divBdr>
                              <w:divsChild>
                                <w:div w:id="1886789119">
                                  <w:marLeft w:val="0"/>
                                  <w:marRight w:val="0"/>
                                  <w:marTop w:val="0"/>
                                  <w:marBottom w:val="0"/>
                                  <w:divBdr>
                                    <w:top w:val="none" w:sz="0" w:space="0" w:color="auto"/>
                                    <w:left w:val="none" w:sz="0" w:space="0" w:color="auto"/>
                                    <w:bottom w:val="none" w:sz="0" w:space="0" w:color="auto"/>
                                    <w:right w:val="none" w:sz="0" w:space="0" w:color="auto"/>
                                  </w:divBdr>
                                  <w:divsChild>
                                    <w:div w:id="2080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391955">
      <w:bodyDiv w:val="1"/>
      <w:marLeft w:val="0"/>
      <w:marRight w:val="0"/>
      <w:marTop w:val="0"/>
      <w:marBottom w:val="0"/>
      <w:divBdr>
        <w:top w:val="none" w:sz="0" w:space="0" w:color="auto"/>
        <w:left w:val="none" w:sz="0" w:space="0" w:color="auto"/>
        <w:bottom w:val="none" w:sz="0" w:space="0" w:color="auto"/>
        <w:right w:val="none" w:sz="0" w:space="0" w:color="auto"/>
      </w:divBdr>
      <w:divsChild>
        <w:div w:id="916863189">
          <w:marLeft w:val="0"/>
          <w:marRight w:val="0"/>
          <w:marTop w:val="0"/>
          <w:marBottom w:val="0"/>
          <w:divBdr>
            <w:top w:val="none" w:sz="0" w:space="0" w:color="auto"/>
            <w:left w:val="none" w:sz="0" w:space="0" w:color="auto"/>
            <w:bottom w:val="none" w:sz="0" w:space="0" w:color="auto"/>
            <w:right w:val="none" w:sz="0" w:space="0" w:color="auto"/>
          </w:divBdr>
          <w:divsChild>
            <w:div w:id="1848401734">
              <w:marLeft w:val="0"/>
              <w:marRight w:val="0"/>
              <w:marTop w:val="0"/>
              <w:marBottom w:val="0"/>
              <w:divBdr>
                <w:top w:val="none" w:sz="0" w:space="0" w:color="auto"/>
                <w:left w:val="none" w:sz="0" w:space="0" w:color="auto"/>
                <w:bottom w:val="none" w:sz="0" w:space="0" w:color="auto"/>
                <w:right w:val="none" w:sz="0" w:space="0" w:color="auto"/>
              </w:divBdr>
              <w:divsChild>
                <w:div w:id="1316950440">
                  <w:marLeft w:val="0"/>
                  <w:marRight w:val="0"/>
                  <w:marTop w:val="0"/>
                  <w:marBottom w:val="0"/>
                  <w:divBdr>
                    <w:top w:val="none" w:sz="0" w:space="0" w:color="auto"/>
                    <w:left w:val="none" w:sz="0" w:space="0" w:color="auto"/>
                    <w:bottom w:val="none" w:sz="0" w:space="0" w:color="auto"/>
                    <w:right w:val="none" w:sz="0" w:space="0" w:color="auto"/>
                  </w:divBdr>
                  <w:divsChild>
                    <w:div w:id="2049138203">
                      <w:marLeft w:val="0"/>
                      <w:marRight w:val="0"/>
                      <w:marTop w:val="0"/>
                      <w:marBottom w:val="0"/>
                      <w:divBdr>
                        <w:top w:val="none" w:sz="0" w:space="0" w:color="auto"/>
                        <w:left w:val="none" w:sz="0" w:space="0" w:color="auto"/>
                        <w:bottom w:val="none" w:sz="0" w:space="0" w:color="auto"/>
                        <w:right w:val="none" w:sz="0" w:space="0" w:color="auto"/>
                      </w:divBdr>
                      <w:divsChild>
                        <w:div w:id="1090464123">
                          <w:marLeft w:val="0"/>
                          <w:marRight w:val="0"/>
                          <w:marTop w:val="0"/>
                          <w:marBottom w:val="0"/>
                          <w:divBdr>
                            <w:top w:val="none" w:sz="0" w:space="0" w:color="auto"/>
                            <w:left w:val="none" w:sz="0" w:space="0" w:color="auto"/>
                            <w:bottom w:val="none" w:sz="0" w:space="0" w:color="auto"/>
                            <w:right w:val="none" w:sz="0" w:space="0" w:color="auto"/>
                          </w:divBdr>
                          <w:divsChild>
                            <w:div w:id="1066800628">
                              <w:marLeft w:val="0"/>
                              <w:marRight w:val="0"/>
                              <w:marTop w:val="0"/>
                              <w:marBottom w:val="0"/>
                              <w:divBdr>
                                <w:top w:val="none" w:sz="0" w:space="0" w:color="auto"/>
                                <w:left w:val="none" w:sz="0" w:space="0" w:color="auto"/>
                                <w:bottom w:val="none" w:sz="0" w:space="0" w:color="auto"/>
                                <w:right w:val="none" w:sz="0" w:space="0" w:color="auto"/>
                              </w:divBdr>
                              <w:divsChild>
                                <w:div w:id="1039821656">
                                  <w:marLeft w:val="0"/>
                                  <w:marRight w:val="0"/>
                                  <w:marTop w:val="0"/>
                                  <w:marBottom w:val="0"/>
                                  <w:divBdr>
                                    <w:top w:val="none" w:sz="0" w:space="0" w:color="auto"/>
                                    <w:left w:val="none" w:sz="0" w:space="0" w:color="auto"/>
                                    <w:bottom w:val="none" w:sz="0" w:space="0" w:color="auto"/>
                                    <w:right w:val="none" w:sz="0" w:space="0" w:color="auto"/>
                                  </w:divBdr>
                                  <w:divsChild>
                                    <w:div w:id="1724132170">
                                      <w:marLeft w:val="0"/>
                                      <w:marRight w:val="0"/>
                                      <w:marTop w:val="0"/>
                                      <w:marBottom w:val="0"/>
                                      <w:divBdr>
                                        <w:top w:val="none" w:sz="0" w:space="0" w:color="auto"/>
                                        <w:left w:val="none" w:sz="0" w:space="0" w:color="auto"/>
                                        <w:bottom w:val="none" w:sz="0" w:space="0" w:color="auto"/>
                                        <w:right w:val="none" w:sz="0" w:space="0" w:color="auto"/>
                                      </w:divBdr>
                                      <w:divsChild>
                                        <w:div w:id="1731421067">
                                          <w:marLeft w:val="0"/>
                                          <w:marRight w:val="0"/>
                                          <w:marTop w:val="0"/>
                                          <w:marBottom w:val="0"/>
                                          <w:divBdr>
                                            <w:top w:val="none" w:sz="0" w:space="0" w:color="auto"/>
                                            <w:left w:val="none" w:sz="0" w:space="0" w:color="auto"/>
                                            <w:bottom w:val="none" w:sz="0" w:space="0" w:color="auto"/>
                                            <w:right w:val="none" w:sz="0" w:space="0" w:color="auto"/>
                                          </w:divBdr>
                                          <w:divsChild>
                                            <w:div w:id="513568475">
                                              <w:marLeft w:val="0"/>
                                              <w:marRight w:val="0"/>
                                              <w:marTop w:val="0"/>
                                              <w:marBottom w:val="0"/>
                                              <w:divBdr>
                                                <w:top w:val="none" w:sz="0" w:space="0" w:color="auto"/>
                                                <w:left w:val="none" w:sz="0" w:space="0" w:color="auto"/>
                                                <w:bottom w:val="none" w:sz="0" w:space="0" w:color="auto"/>
                                                <w:right w:val="none" w:sz="0" w:space="0" w:color="auto"/>
                                              </w:divBdr>
                                              <w:divsChild>
                                                <w:div w:id="420025503">
                                                  <w:marLeft w:val="0"/>
                                                  <w:marRight w:val="0"/>
                                                  <w:marTop w:val="0"/>
                                                  <w:marBottom w:val="0"/>
                                                  <w:divBdr>
                                                    <w:top w:val="none" w:sz="0" w:space="0" w:color="auto"/>
                                                    <w:left w:val="none" w:sz="0" w:space="0" w:color="auto"/>
                                                    <w:bottom w:val="none" w:sz="0" w:space="0" w:color="auto"/>
                                                    <w:right w:val="none" w:sz="0" w:space="0" w:color="auto"/>
                                                  </w:divBdr>
                                                  <w:divsChild>
                                                    <w:div w:id="1281645855">
                                                      <w:marLeft w:val="0"/>
                                                      <w:marRight w:val="0"/>
                                                      <w:marTop w:val="0"/>
                                                      <w:marBottom w:val="0"/>
                                                      <w:divBdr>
                                                        <w:top w:val="none" w:sz="0" w:space="0" w:color="auto"/>
                                                        <w:left w:val="none" w:sz="0" w:space="0" w:color="auto"/>
                                                        <w:bottom w:val="none" w:sz="0" w:space="0" w:color="auto"/>
                                                        <w:right w:val="none" w:sz="0" w:space="0" w:color="auto"/>
                                                      </w:divBdr>
                                                      <w:divsChild>
                                                        <w:div w:id="10850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049040">
      <w:bodyDiv w:val="1"/>
      <w:marLeft w:val="0"/>
      <w:marRight w:val="0"/>
      <w:marTop w:val="0"/>
      <w:marBottom w:val="0"/>
      <w:divBdr>
        <w:top w:val="none" w:sz="0" w:space="0" w:color="auto"/>
        <w:left w:val="none" w:sz="0" w:space="0" w:color="auto"/>
        <w:bottom w:val="none" w:sz="0" w:space="0" w:color="auto"/>
        <w:right w:val="none" w:sz="0" w:space="0" w:color="auto"/>
      </w:divBdr>
      <w:divsChild>
        <w:div w:id="145097464">
          <w:marLeft w:val="0"/>
          <w:marRight w:val="0"/>
          <w:marTop w:val="0"/>
          <w:marBottom w:val="0"/>
          <w:divBdr>
            <w:top w:val="none" w:sz="0" w:space="0" w:color="auto"/>
            <w:left w:val="none" w:sz="0" w:space="0" w:color="auto"/>
            <w:bottom w:val="none" w:sz="0" w:space="0" w:color="auto"/>
            <w:right w:val="none" w:sz="0" w:space="0" w:color="auto"/>
          </w:divBdr>
          <w:divsChild>
            <w:div w:id="1390420170">
              <w:marLeft w:val="0"/>
              <w:marRight w:val="0"/>
              <w:marTop w:val="0"/>
              <w:marBottom w:val="0"/>
              <w:divBdr>
                <w:top w:val="none" w:sz="0" w:space="0" w:color="auto"/>
                <w:left w:val="none" w:sz="0" w:space="0" w:color="auto"/>
                <w:bottom w:val="none" w:sz="0" w:space="0" w:color="auto"/>
                <w:right w:val="none" w:sz="0" w:space="0" w:color="auto"/>
              </w:divBdr>
              <w:divsChild>
                <w:div w:id="1523739844">
                  <w:marLeft w:val="0"/>
                  <w:marRight w:val="0"/>
                  <w:marTop w:val="100"/>
                  <w:marBottom w:val="100"/>
                  <w:divBdr>
                    <w:top w:val="none" w:sz="0" w:space="0" w:color="auto"/>
                    <w:left w:val="none" w:sz="0" w:space="0" w:color="auto"/>
                    <w:bottom w:val="none" w:sz="0" w:space="0" w:color="auto"/>
                    <w:right w:val="none" w:sz="0" w:space="0" w:color="auto"/>
                  </w:divBdr>
                  <w:divsChild>
                    <w:div w:id="654186683">
                      <w:marLeft w:val="0"/>
                      <w:marRight w:val="0"/>
                      <w:marTop w:val="0"/>
                      <w:marBottom w:val="0"/>
                      <w:divBdr>
                        <w:top w:val="none" w:sz="0" w:space="0" w:color="auto"/>
                        <w:left w:val="none" w:sz="0" w:space="0" w:color="auto"/>
                        <w:bottom w:val="none" w:sz="0" w:space="0" w:color="auto"/>
                        <w:right w:val="none" w:sz="0" w:space="0" w:color="auto"/>
                      </w:divBdr>
                      <w:divsChild>
                        <w:div w:id="432092718">
                          <w:marLeft w:val="0"/>
                          <w:marRight w:val="0"/>
                          <w:marTop w:val="0"/>
                          <w:marBottom w:val="0"/>
                          <w:divBdr>
                            <w:top w:val="none" w:sz="0" w:space="0" w:color="auto"/>
                            <w:left w:val="none" w:sz="0" w:space="0" w:color="auto"/>
                            <w:bottom w:val="none" w:sz="0" w:space="0" w:color="auto"/>
                            <w:right w:val="none" w:sz="0" w:space="0" w:color="auto"/>
                          </w:divBdr>
                          <w:divsChild>
                            <w:div w:id="425031262">
                              <w:marLeft w:val="0"/>
                              <w:marRight w:val="0"/>
                              <w:marTop w:val="0"/>
                              <w:marBottom w:val="0"/>
                              <w:divBdr>
                                <w:top w:val="none" w:sz="0" w:space="0" w:color="auto"/>
                                <w:left w:val="none" w:sz="0" w:space="0" w:color="auto"/>
                                <w:bottom w:val="none" w:sz="0" w:space="0" w:color="auto"/>
                                <w:right w:val="none" w:sz="0" w:space="0" w:color="auto"/>
                              </w:divBdr>
                              <w:divsChild>
                                <w:div w:id="1092747431">
                                  <w:marLeft w:val="0"/>
                                  <w:marRight w:val="0"/>
                                  <w:marTop w:val="0"/>
                                  <w:marBottom w:val="0"/>
                                  <w:divBdr>
                                    <w:top w:val="none" w:sz="0" w:space="0" w:color="auto"/>
                                    <w:left w:val="none" w:sz="0" w:space="0" w:color="auto"/>
                                    <w:bottom w:val="none" w:sz="0" w:space="0" w:color="auto"/>
                                    <w:right w:val="none" w:sz="0" w:space="0" w:color="auto"/>
                                  </w:divBdr>
                                  <w:divsChild>
                                    <w:div w:id="1390030776">
                                      <w:marLeft w:val="0"/>
                                      <w:marRight w:val="0"/>
                                      <w:marTop w:val="0"/>
                                      <w:marBottom w:val="0"/>
                                      <w:divBdr>
                                        <w:top w:val="none" w:sz="0" w:space="0" w:color="auto"/>
                                        <w:left w:val="none" w:sz="0" w:space="0" w:color="auto"/>
                                        <w:bottom w:val="none" w:sz="0" w:space="0" w:color="auto"/>
                                        <w:right w:val="none" w:sz="0" w:space="0" w:color="auto"/>
                                      </w:divBdr>
                                      <w:divsChild>
                                        <w:div w:id="139078704">
                                          <w:marLeft w:val="0"/>
                                          <w:marRight w:val="0"/>
                                          <w:marTop w:val="0"/>
                                          <w:marBottom w:val="0"/>
                                          <w:divBdr>
                                            <w:top w:val="none" w:sz="0" w:space="0" w:color="auto"/>
                                            <w:left w:val="none" w:sz="0" w:space="0" w:color="auto"/>
                                            <w:bottom w:val="none" w:sz="0" w:space="0" w:color="auto"/>
                                            <w:right w:val="none" w:sz="0" w:space="0" w:color="auto"/>
                                          </w:divBdr>
                                          <w:divsChild>
                                            <w:div w:id="149561930">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049468">
      <w:bodyDiv w:val="1"/>
      <w:marLeft w:val="0"/>
      <w:marRight w:val="0"/>
      <w:marTop w:val="0"/>
      <w:marBottom w:val="0"/>
      <w:divBdr>
        <w:top w:val="none" w:sz="0" w:space="0" w:color="auto"/>
        <w:left w:val="none" w:sz="0" w:space="0" w:color="auto"/>
        <w:bottom w:val="none" w:sz="0" w:space="0" w:color="auto"/>
        <w:right w:val="none" w:sz="0" w:space="0" w:color="auto"/>
      </w:divBdr>
      <w:divsChild>
        <w:div w:id="1666084494">
          <w:marLeft w:val="0"/>
          <w:marRight w:val="0"/>
          <w:marTop w:val="0"/>
          <w:marBottom w:val="0"/>
          <w:divBdr>
            <w:top w:val="none" w:sz="0" w:space="0" w:color="auto"/>
            <w:left w:val="none" w:sz="0" w:space="0" w:color="auto"/>
            <w:bottom w:val="none" w:sz="0" w:space="0" w:color="auto"/>
            <w:right w:val="none" w:sz="0" w:space="0" w:color="auto"/>
          </w:divBdr>
          <w:divsChild>
            <w:div w:id="1297561763">
              <w:marLeft w:val="0"/>
              <w:marRight w:val="0"/>
              <w:marTop w:val="0"/>
              <w:marBottom w:val="0"/>
              <w:divBdr>
                <w:top w:val="none" w:sz="0" w:space="0" w:color="auto"/>
                <w:left w:val="none" w:sz="0" w:space="0" w:color="auto"/>
                <w:bottom w:val="none" w:sz="0" w:space="0" w:color="auto"/>
                <w:right w:val="none" w:sz="0" w:space="0" w:color="auto"/>
              </w:divBdr>
              <w:divsChild>
                <w:div w:id="878132113">
                  <w:marLeft w:val="0"/>
                  <w:marRight w:val="0"/>
                  <w:marTop w:val="0"/>
                  <w:marBottom w:val="0"/>
                  <w:divBdr>
                    <w:top w:val="none" w:sz="0" w:space="0" w:color="auto"/>
                    <w:left w:val="none" w:sz="0" w:space="0" w:color="auto"/>
                    <w:bottom w:val="none" w:sz="0" w:space="0" w:color="auto"/>
                    <w:right w:val="none" w:sz="0" w:space="0" w:color="auto"/>
                  </w:divBdr>
                  <w:divsChild>
                    <w:div w:id="1516462495">
                      <w:marLeft w:val="0"/>
                      <w:marRight w:val="0"/>
                      <w:marTop w:val="0"/>
                      <w:marBottom w:val="0"/>
                      <w:divBdr>
                        <w:top w:val="none" w:sz="0" w:space="0" w:color="auto"/>
                        <w:left w:val="none" w:sz="0" w:space="0" w:color="auto"/>
                        <w:bottom w:val="none" w:sz="0" w:space="0" w:color="auto"/>
                        <w:right w:val="none" w:sz="0" w:space="0" w:color="auto"/>
                      </w:divBdr>
                      <w:divsChild>
                        <w:div w:id="170419449">
                          <w:marLeft w:val="0"/>
                          <w:marRight w:val="0"/>
                          <w:marTop w:val="0"/>
                          <w:marBottom w:val="0"/>
                          <w:divBdr>
                            <w:top w:val="none" w:sz="0" w:space="0" w:color="auto"/>
                            <w:left w:val="none" w:sz="0" w:space="0" w:color="auto"/>
                            <w:bottom w:val="none" w:sz="0" w:space="0" w:color="auto"/>
                            <w:right w:val="none" w:sz="0" w:space="0" w:color="auto"/>
                          </w:divBdr>
                          <w:divsChild>
                            <w:div w:id="728575530">
                              <w:marLeft w:val="0"/>
                              <w:marRight w:val="0"/>
                              <w:marTop w:val="0"/>
                              <w:marBottom w:val="0"/>
                              <w:divBdr>
                                <w:top w:val="none" w:sz="0" w:space="0" w:color="auto"/>
                                <w:left w:val="none" w:sz="0" w:space="0" w:color="auto"/>
                                <w:bottom w:val="none" w:sz="0" w:space="0" w:color="auto"/>
                                <w:right w:val="none" w:sz="0" w:space="0" w:color="auto"/>
                              </w:divBdr>
                              <w:divsChild>
                                <w:div w:id="1215391142">
                                  <w:marLeft w:val="0"/>
                                  <w:marRight w:val="0"/>
                                  <w:marTop w:val="0"/>
                                  <w:marBottom w:val="0"/>
                                  <w:divBdr>
                                    <w:top w:val="none" w:sz="0" w:space="0" w:color="auto"/>
                                    <w:left w:val="none" w:sz="0" w:space="0" w:color="auto"/>
                                    <w:bottom w:val="none" w:sz="0" w:space="0" w:color="auto"/>
                                    <w:right w:val="none" w:sz="0" w:space="0" w:color="auto"/>
                                  </w:divBdr>
                                  <w:divsChild>
                                    <w:div w:id="1077556379">
                                      <w:marLeft w:val="0"/>
                                      <w:marRight w:val="0"/>
                                      <w:marTop w:val="0"/>
                                      <w:marBottom w:val="0"/>
                                      <w:divBdr>
                                        <w:top w:val="none" w:sz="0" w:space="0" w:color="auto"/>
                                        <w:left w:val="none" w:sz="0" w:space="0" w:color="auto"/>
                                        <w:bottom w:val="none" w:sz="0" w:space="0" w:color="auto"/>
                                        <w:right w:val="none" w:sz="0" w:space="0" w:color="auto"/>
                                      </w:divBdr>
                                      <w:divsChild>
                                        <w:div w:id="1914049312">
                                          <w:marLeft w:val="0"/>
                                          <w:marRight w:val="0"/>
                                          <w:marTop w:val="0"/>
                                          <w:marBottom w:val="0"/>
                                          <w:divBdr>
                                            <w:top w:val="none" w:sz="0" w:space="0" w:color="auto"/>
                                            <w:left w:val="none" w:sz="0" w:space="0" w:color="auto"/>
                                            <w:bottom w:val="none" w:sz="0" w:space="0" w:color="auto"/>
                                            <w:right w:val="none" w:sz="0" w:space="0" w:color="auto"/>
                                          </w:divBdr>
                                          <w:divsChild>
                                            <w:div w:id="1615362923">
                                              <w:marLeft w:val="0"/>
                                              <w:marRight w:val="0"/>
                                              <w:marTop w:val="0"/>
                                              <w:marBottom w:val="0"/>
                                              <w:divBdr>
                                                <w:top w:val="none" w:sz="0" w:space="0" w:color="auto"/>
                                                <w:left w:val="none" w:sz="0" w:space="0" w:color="auto"/>
                                                <w:bottom w:val="none" w:sz="0" w:space="0" w:color="auto"/>
                                                <w:right w:val="none" w:sz="0" w:space="0" w:color="auto"/>
                                              </w:divBdr>
                                              <w:divsChild>
                                                <w:div w:id="63456910">
                                                  <w:marLeft w:val="0"/>
                                                  <w:marRight w:val="0"/>
                                                  <w:marTop w:val="0"/>
                                                  <w:marBottom w:val="0"/>
                                                  <w:divBdr>
                                                    <w:top w:val="none" w:sz="0" w:space="0" w:color="auto"/>
                                                    <w:left w:val="none" w:sz="0" w:space="0" w:color="auto"/>
                                                    <w:bottom w:val="none" w:sz="0" w:space="0" w:color="auto"/>
                                                    <w:right w:val="none" w:sz="0" w:space="0" w:color="auto"/>
                                                  </w:divBdr>
                                                  <w:divsChild>
                                                    <w:div w:id="1041050437">
                                                      <w:marLeft w:val="0"/>
                                                      <w:marRight w:val="0"/>
                                                      <w:marTop w:val="0"/>
                                                      <w:marBottom w:val="0"/>
                                                      <w:divBdr>
                                                        <w:top w:val="none" w:sz="0" w:space="0" w:color="auto"/>
                                                        <w:left w:val="none" w:sz="0" w:space="0" w:color="auto"/>
                                                        <w:bottom w:val="none" w:sz="0" w:space="0" w:color="auto"/>
                                                        <w:right w:val="none" w:sz="0" w:space="0" w:color="auto"/>
                                                      </w:divBdr>
                                                      <w:divsChild>
                                                        <w:div w:id="5679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310802">
      <w:bodyDiv w:val="1"/>
      <w:marLeft w:val="0"/>
      <w:marRight w:val="0"/>
      <w:marTop w:val="0"/>
      <w:marBottom w:val="0"/>
      <w:divBdr>
        <w:top w:val="none" w:sz="0" w:space="0" w:color="auto"/>
        <w:left w:val="none" w:sz="0" w:space="0" w:color="auto"/>
        <w:bottom w:val="none" w:sz="0" w:space="0" w:color="auto"/>
        <w:right w:val="none" w:sz="0" w:space="0" w:color="auto"/>
      </w:divBdr>
      <w:divsChild>
        <w:div w:id="5256398">
          <w:marLeft w:val="0"/>
          <w:marRight w:val="0"/>
          <w:marTop w:val="0"/>
          <w:marBottom w:val="0"/>
          <w:divBdr>
            <w:top w:val="none" w:sz="0" w:space="0" w:color="auto"/>
            <w:left w:val="none" w:sz="0" w:space="0" w:color="auto"/>
            <w:bottom w:val="none" w:sz="0" w:space="0" w:color="auto"/>
            <w:right w:val="none" w:sz="0" w:space="0" w:color="auto"/>
          </w:divBdr>
          <w:divsChild>
            <w:div w:id="1904442206">
              <w:marLeft w:val="0"/>
              <w:marRight w:val="0"/>
              <w:marTop w:val="0"/>
              <w:marBottom w:val="0"/>
              <w:divBdr>
                <w:top w:val="none" w:sz="0" w:space="0" w:color="auto"/>
                <w:left w:val="none" w:sz="0" w:space="0" w:color="auto"/>
                <w:bottom w:val="none" w:sz="0" w:space="0" w:color="auto"/>
                <w:right w:val="none" w:sz="0" w:space="0" w:color="auto"/>
              </w:divBdr>
              <w:divsChild>
                <w:div w:id="1487669301">
                  <w:marLeft w:val="0"/>
                  <w:marRight w:val="0"/>
                  <w:marTop w:val="0"/>
                  <w:marBottom w:val="0"/>
                  <w:divBdr>
                    <w:top w:val="none" w:sz="0" w:space="0" w:color="auto"/>
                    <w:left w:val="none" w:sz="0" w:space="0" w:color="auto"/>
                    <w:bottom w:val="none" w:sz="0" w:space="0" w:color="auto"/>
                    <w:right w:val="none" w:sz="0" w:space="0" w:color="auto"/>
                  </w:divBdr>
                  <w:divsChild>
                    <w:div w:id="722874177">
                      <w:marLeft w:val="0"/>
                      <w:marRight w:val="0"/>
                      <w:marTop w:val="0"/>
                      <w:marBottom w:val="0"/>
                      <w:divBdr>
                        <w:top w:val="none" w:sz="0" w:space="0" w:color="auto"/>
                        <w:left w:val="none" w:sz="0" w:space="0" w:color="auto"/>
                        <w:bottom w:val="none" w:sz="0" w:space="0" w:color="auto"/>
                        <w:right w:val="none" w:sz="0" w:space="0" w:color="auto"/>
                      </w:divBdr>
                      <w:divsChild>
                        <w:div w:id="433599256">
                          <w:marLeft w:val="0"/>
                          <w:marRight w:val="0"/>
                          <w:marTop w:val="0"/>
                          <w:marBottom w:val="0"/>
                          <w:divBdr>
                            <w:top w:val="none" w:sz="0" w:space="0" w:color="auto"/>
                            <w:left w:val="none" w:sz="0" w:space="0" w:color="auto"/>
                            <w:bottom w:val="none" w:sz="0" w:space="0" w:color="auto"/>
                            <w:right w:val="none" w:sz="0" w:space="0" w:color="auto"/>
                          </w:divBdr>
                          <w:divsChild>
                            <w:div w:id="1215969061">
                              <w:marLeft w:val="0"/>
                              <w:marRight w:val="0"/>
                              <w:marTop w:val="0"/>
                              <w:marBottom w:val="0"/>
                              <w:divBdr>
                                <w:top w:val="none" w:sz="0" w:space="0" w:color="auto"/>
                                <w:left w:val="none" w:sz="0" w:space="0" w:color="auto"/>
                                <w:bottom w:val="none" w:sz="0" w:space="0" w:color="auto"/>
                                <w:right w:val="none" w:sz="0" w:space="0" w:color="auto"/>
                              </w:divBdr>
                              <w:divsChild>
                                <w:div w:id="1631746682">
                                  <w:marLeft w:val="0"/>
                                  <w:marRight w:val="0"/>
                                  <w:marTop w:val="0"/>
                                  <w:marBottom w:val="0"/>
                                  <w:divBdr>
                                    <w:top w:val="none" w:sz="0" w:space="0" w:color="auto"/>
                                    <w:left w:val="none" w:sz="0" w:space="0" w:color="auto"/>
                                    <w:bottom w:val="none" w:sz="0" w:space="0" w:color="auto"/>
                                    <w:right w:val="none" w:sz="0" w:space="0" w:color="auto"/>
                                  </w:divBdr>
                                  <w:divsChild>
                                    <w:div w:id="49886825">
                                      <w:marLeft w:val="0"/>
                                      <w:marRight w:val="0"/>
                                      <w:marTop w:val="0"/>
                                      <w:marBottom w:val="0"/>
                                      <w:divBdr>
                                        <w:top w:val="none" w:sz="0" w:space="0" w:color="auto"/>
                                        <w:left w:val="none" w:sz="0" w:space="0" w:color="auto"/>
                                        <w:bottom w:val="none" w:sz="0" w:space="0" w:color="auto"/>
                                        <w:right w:val="none" w:sz="0" w:space="0" w:color="auto"/>
                                      </w:divBdr>
                                      <w:divsChild>
                                        <w:div w:id="59791844">
                                          <w:marLeft w:val="0"/>
                                          <w:marRight w:val="0"/>
                                          <w:marTop w:val="0"/>
                                          <w:marBottom w:val="0"/>
                                          <w:divBdr>
                                            <w:top w:val="none" w:sz="0" w:space="0" w:color="auto"/>
                                            <w:left w:val="none" w:sz="0" w:space="0" w:color="auto"/>
                                            <w:bottom w:val="none" w:sz="0" w:space="0" w:color="auto"/>
                                            <w:right w:val="none" w:sz="0" w:space="0" w:color="auto"/>
                                          </w:divBdr>
                                        </w:div>
                                        <w:div w:id="326909189">
                                          <w:marLeft w:val="0"/>
                                          <w:marRight w:val="0"/>
                                          <w:marTop w:val="0"/>
                                          <w:marBottom w:val="0"/>
                                          <w:divBdr>
                                            <w:top w:val="none" w:sz="0" w:space="0" w:color="auto"/>
                                            <w:left w:val="none" w:sz="0" w:space="0" w:color="auto"/>
                                            <w:bottom w:val="none" w:sz="0" w:space="0" w:color="auto"/>
                                            <w:right w:val="none" w:sz="0" w:space="0" w:color="auto"/>
                                          </w:divBdr>
                                          <w:divsChild>
                                            <w:div w:id="5922515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968466">
      <w:bodyDiv w:val="1"/>
      <w:marLeft w:val="0"/>
      <w:marRight w:val="0"/>
      <w:marTop w:val="0"/>
      <w:marBottom w:val="0"/>
      <w:divBdr>
        <w:top w:val="none" w:sz="0" w:space="0" w:color="auto"/>
        <w:left w:val="none" w:sz="0" w:space="0" w:color="auto"/>
        <w:bottom w:val="none" w:sz="0" w:space="0" w:color="auto"/>
        <w:right w:val="none" w:sz="0" w:space="0" w:color="auto"/>
      </w:divBdr>
      <w:divsChild>
        <w:div w:id="1297561800">
          <w:marLeft w:val="0"/>
          <w:marRight w:val="0"/>
          <w:marTop w:val="0"/>
          <w:marBottom w:val="0"/>
          <w:divBdr>
            <w:top w:val="none" w:sz="0" w:space="0" w:color="auto"/>
            <w:left w:val="none" w:sz="0" w:space="0" w:color="auto"/>
            <w:bottom w:val="none" w:sz="0" w:space="0" w:color="auto"/>
            <w:right w:val="none" w:sz="0" w:space="0" w:color="auto"/>
          </w:divBdr>
          <w:divsChild>
            <w:div w:id="472715317">
              <w:marLeft w:val="0"/>
              <w:marRight w:val="0"/>
              <w:marTop w:val="0"/>
              <w:marBottom w:val="0"/>
              <w:divBdr>
                <w:top w:val="none" w:sz="0" w:space="0" w:color="auto"/>
                <w:left w:val="none" w:sz="0" w:space="0" w:color="auto"/>
                <w:bottom w:val="none" w:sz="0" w:space="0" w:color="auto"/>
                <w:right w:val="none" w:sz="0" w:space="0" w:color="auto"/>
              </w:divBdr>
              <w:divsChild>
                <w:div w:id="1702052726">
                  <w:marLeft w:val="-375"/>
                  <w:marRight w:val="0"/>
                  <w:marTop w:val="0"/>
                  <w:marBottom w:val="0"/>
                  <w:divBdr>
                    <w:top w:val="none" w:sz="0" w:space="0" w:color="auto"/>
                    <w:left w:val="none" w:sz="0" w:space="0" w:color="auto"/>
                    <w:bottom w:val="none" w:sz="0" w:space="0" w:color="auto"/>
                    <w:right w:val="none" w:sz="0" w:space="0" w:color="auto"/>
                  </w:divBdr>
                  <w:divsChild>
                    <w:div w:id="994720374">
                      <w:marLeft w:val="0"/>
                      <w:marRight w:val="0"/>
                      <w:marTop w:val="0"/>
                      <w:marBottom w:val="0"/>
                      <w:divBdr>
                        <w:top w:val="none" w:sz="0" w:space="0" w:color="auto"/>
                        <w:left w:val="none" w:sz="0" w:space="0" w:color="auto"/>
                        <w:bottom w:val="none" w:sz="0" w:space="0" w:color="auto"/>
                        <w:right w:val="none" w:sz="0" w:space="0" w:color="auto"/>
                      </w:divBdr>
                      <w:divsChild>
                        <w:div w:id="323321219">
                          <w:marLeft w:val="0"/>
                          <w:marRight w:val="0"/>
                          <w:marTop w:val="0"/>
                          <w:marBottom w:val="0"/>
                          <w:divBdr>
                            <w:top w:val="none" w:sz="0" w:space="0" w:color="auto"/>
                            <w:left w:val="none" w:sz="0" w:space="0" w:color="auto"/>
                            <w:bottom w:val="none" w:sz="0" w:space="0" w:color="auto"/>
                            <w:right w:val="none" w:sz="0" w:space="0" w:color="auto"/>
                          </w:divBdr>
                          <w:divsChild>
                            <w:div w:id="2769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311736">
      <w:bodyDiv w:val="1"/>
      <w:marLeft w:val="0"/>
      <w:marRight w:val="0"/>
      <w:marTop w:val="0"/>
      <w:marBottom w:val="0"/>
      <w:divBdr>
        <w:top w:val="none" w:sz="0" w:space="0" w:color="auto"/>
        <w:left w:val="none" w:sz="0" w:space="0" w:color="auto"/>
        <w:bottom w:val="none" w:sz="0" w:space="0" w:color="auto"/>
        <w:right w:val="none" w:sz="0" w:space="0" w:color="auto"/>
      </w:divBdr>
      <w:divsChild>
        <w:div w:id="825243541">
          <w:marLeft w:val="0"/>
          <w:marRight w:val="0"/>
          <w:marTop w:val="0"/>
          <w:marBottom w:val="0"/>
          <w:divBdr>
            <w:top w:val="none" w:sz="0" w:space="0" w:color="auto"/>
            <w:left w:val="none" w:sz="0" w:space="0" w:color="auto"/>
            <w:bottom w:val="none" w:sz="0" w:space="0" w:color="auto"/>
            <w:right w:val="none" w:sz="0" w:space="0" w:color="auto"/>
          </w:divBdr>
          <w:divsChild>
            <w:div w:id="610550490">
              <w:marLeft w:val="210"/>
              <w:marRight w:val="0"/>
              <w:marTop w:val="0"/>
              <w:marBottom w:val="0"/>
              <w:divBdr>
                <w:top w:val="none" w:sz="0" w:space="0" w:color="auto"/>
                <w:left w:val="none" w:sz="0" w:space="0" w:color="auto"/>
                <w:bottom w:val="none" w:sz="0" w:space="0" w:color="auto"/>
                <w:right w:val="none" w:sz="0" w:space="0" w:color="auto"/>
              </w:divBdr>
              <w:divsChild>
                <w:div w:id="856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642604">
          <w:marLeft w:val="0"/>
          <w:marRight w:val="0"/>
          <w:marTop w:val="0"/>
          <w:marBottom w:val="0"/>
          <w:divBdr>
            <w:top w:val="none" w:sz="0" w:space="0" w:color="auto"/>
            <w:left w:val="none" w:sz="0" w:space="0" w:color="auto"/>
            <w:bottom w:val="none" w:sz="0" w:space="0" w:color="auto"/>
            <w:right w:val="none" w:sz="0" w:space="0" w:color="auto"/>
          </w:divBdr>
          <w:divsChild>
            <w:div w:id="1801797039">
              <w:marLeft w:val="0"/>
              <w:marRight w:val="0"/>
              <w:marTop w:val="0"/>
              <w:marBottom w:val="0"/>
              <w:divBdr>
                <w:top w:val="none" w:sz="0" w:space="0" w:color="auto"/>
                <w:left w:val="none" w:sz="0" w:space="0" w:color="auto"/>
                <w:bottom w:val="none" w:sz="0" w:space="0" w:color="auto"/>
                <w:right w:val="none" w:sz="0" w:space="0" w:color="auto"/>
              </w:divBdr>
              <w:divsChild>
                <w:div w:id="914969482">
                  <w:marLeft w:val="0"/>
                  <w:marRight w:val="0"/>
                  <w:marTop w:val="100"/>
                  <w:marBottom w:val="100"/>
                  <w:divBdr>
                    <w:top w:val="none" w:sz="0" w:space="0" w:color="auto"/>
                    <w:left w:val="none" w:sz="0" w:space="0" w:color="auto"/>
                    <w:bottom w:val="none" w:sz="0" w:space="0" w:color="auto"/>
                    <w:right w:val="none" w:sz="0" w:space="0" w:color="auto"/>
                  </w:divBdr>
                  <w:divsChild>
                    <w:div w:id="1602058150">
                      <w:marLeft w:val="0"/>
                      <w:marRight w:val="0"/>
                      <w:marTop w:val="0"/>
                      <w:marBottom w:val="0"/>
                      <w:divBdr>
                        <w:top w:val="none" w:sz="0" w:space="0" w:color="auto"/>
                        <w:left w:val="none" w:sz="0" w:space="0" w:color="auto"/>
                        <w:bottom w:val="none" w:sz="0" w:space="0" w:color="auto"/>
                        <w:right w:val="none" w:sz="0" w:space="0" w:color="auto"/>
                      </w:divBdr>
                      <w:divsChild>
                        <w:div w:id="2033455965">
                          <w:marLeft w:val="0"/>
                          <w:marRight w:val="0"/>
                          <w:marTop w:val="0"/>
                          <w:marBottom w:val="0"/>
                          <w:divBdr>
                            <w:top w:val="none" w:sz="0" w:space="0" w:color="auto"/>
                            <w:left w:val="none" w:sz="0" w:space="0" w:color="auto"/>
                            <w:bottom w:val="none" w:sz="0" w:space="0" w:color="auto"/>
                            <w:right w:val="none" w:sz="0" w:space="0" w:color="auto"/>
                          </w:divBdr>
                          <w:divsChild>
                            <w:div w:id="2123258559">
                              <w:marLeft w:val="0"/>
                              <w:marRight w:val="0"/>
                              <w:marTop w:val="0"/>
                              <w:marBottom w:val="0"/>
                              <w:divBdr>
                                <w:top w:val="none" w:sz="0" w:space="0" w:color="auto"/>
                                <w:left w:val="none" w:sz="0" w:space="0" w:color="auto"/>
                                <w:bottom w:val="none" w:sz="0" w:space="0" w:color="auto"/>
                                <w:right w:val="none" w:sz="0" w:space="0" w:color="auto"/>
                              </w:divBdr>
                              <w:divsChild>
                                <w:div w:id="665010184">
                                  <w:marLeft w:val="0"/>
                                  <w:marRight w:val="0"/>
                                  <w:marTop w:val="0"/>
                                  <w:marBottom w:val="0"/>
                                  <w:divBdr>
                                    <w:top w:val="none" w:sz="0" w:space="0" w:color="auto"/>
                                    <w:left w:val="none" w:sz="0" w:space="0" w:color="auto"/>
                                    <w:bottom w:val="none" w:sz="0" w:space="0" w:color="auto"/>
                                    <w:right w:val="none" w:sz="0" w:space="0" w:color="auto"/>
                                  </w:divBdr>
                                  <w:divsChild>
                                    <w:div w:id="149684238">
                                      <w:marLeft w:val="0"/>
                                      <w:marRight w:val="0"/>
                                      <w:marTop w:val="0"/>
                                      <w:marBottom w:val="0"/>
                                      <w:divBdr>
                                        <w:top w:val="none" w:sz="0" w:space="0" w:color="auto"/>
                                        <w:left w:val="none" w:sz="0" w:space="0" w:color="auto"/>
                                        <w:bottom w:val="none" w:sz="0" w:space="0" w:color="auto"/>
                                        <w:right w:val="none" w:sz="0" w:space="0" w:color="auto"/>
                                      </w:divBdr>
                                      <w:divsChild>
                                        <w:div w:id="1146125945">
                                          <w:marLeft w:val="0"/>
                                          <w:marRight w:val="0"/>
                                          <w:marTop w:val="0"/>
                                          <w:marBottom w:val="0"/>
                                          <w:divBdr>
                                            <w:top w:val="none" w:sz="0" w:space="0" w:color="auto"/>
                                            <w:left w:val="none" w:sz="0" w:space="0" w:color="auto"/>
                                            <w:bottom w:val="none" w:sz="0" w:space="0" w:color="auto"/>
                                            <w:right w:val="none" w:sz="0" w:space="0" w:color="auto"/>
                                          </w:divBdr>
                                          <w:divsChild>
                                            <w:div w:id="329143480">
                                              <w:marLeft w:val="0"/>
                                              <w:marRight w:val="0"/>
                                              <w:marTop w:val="0"/>
                                              <w:marBottom w:val="0"/>
                                              <w:divBdr>
                                                <w:top w:val="single" w:sz="6" w:space="0" w:color="B6D444"/>
                                                <w:left w:val="none" w:sz="0" w:space="0" w:color="auto"/>
                                                <w:bottom w:val="none" w:sz="0" w:space="0" w:color="auto"/>
                                                <w:right w:val="none" w:sz="0" w:space="0" w:color="auto"/>
                                              </w:divBdr>
                                              <w:divsChild>
                                                <w:div w:id="2307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701866">
      <w:bodyDiv w:val="1"/>
      <w:marLeft w:val="0"/>
      <w:marRight w:val="0"/>
      <w:marTop w:val="0"/>
      <w:marBottom w:val="0"/>
      <w:divBdr>
        <w:top w:val="none" w:sz="0" w:space="0" w:color="auto"/>
        <w:left w:val="none" w:sz="0" w:space="0" w:color="auto"/>
        <w:bottom w:val="none" w:sz="0" w:space="0" w:color="auto"/>
        <w:right w:val="none" w:sz="0" w:space="0" w:color="auto"/>
      </w:divBdr>
      <w:divsChild>
        <w:div w:id="804737996">
          <w:marLeft w:val="0"/>
          <w:marRight w:val="0"/>
          <w:marTop w:val="0"/>
          <w:marBottom w:val="0"/>
          <w:divBdr>
            <w:top w:val="none" w:sz="0" w:space="0" w:color="auto"/>
            <w:left w:val="none" w:sz="0" w:space="0" w:color="auto"/>
            <w:bottom w:val="none" w:sz="0" w:space="0" w:color="auto"/>
            <w:right w:val="none" w:sz="0" w:space="0" w:color="auto"/>
          </w:divBdr>
          <w:divsChild>
            <w:div w:id="1912961104">
              <w:marLeft w:val="0"/>
              <w:marRight w:val="0"/>
              <w:marTop w:val="0"/>
              <w:marBottom w:val="0"/>
              <w:divBdr>
                <w:top w:val="none" w:sz="0" w:space="0" w:color="auto"/>
                <w:left w:val="none" w:sz="0" w:space="0" w:color="auto"/>
                <w:bottom w:val="none" w:sz="0" w:space="0" w:color="auto"/>
                <w:right w:val="none" w:sz="0" w:space="0" w:color="auto"/>
              </w:divBdr>
              <w:divsChild>
                <w:div w:id="296224548">
                  <w:marLeft w:val="0"/>
                  <w:marRight w:val="0"/>
                  <w:marTop w:val="0"/>
                  <w:marBottom w:val="0"/>
                  <w:divBdr>
                    <w:top w:val="none" w:sz="0" w:space="0" w:color="auto"/>
                    <w:left w:val="none" w:sz="0" w:space="0" w:color="auto"/>
                    <w:bottom w:val="none" w:sz="0" w:space="0" w:color="auto"/>
                    <w:right w:val="none" w:sz="0" w:space="0" w:color="auto"/>
                  </w:divBdr>
                  <w:divsChild>
                    <w:div w:id="1509447470">
                      <w:marLeft w:val="0"/>
                      <w:marRight w:val="0"/>
                      <w:marTop w:val="300"/>
                      <w:marBottom w:val="600"/>
                      <w:divBdr>
                        <w:top w:val="none" w:sz="0" w:space="0" w:color="auto"/>
                        <w:left w:val="none" w:sz="0" w:space="0" w:color="auto"/>
                        <w:bottom w:val="none" w:sz="0" w:space="0" w:color="auto"/>
                        <w:right w:val="none" w:sz="0" w:space="0" w:color="auto"/>
                      </w:divBdr>
                      <w:divsChild>
                        <w:div w:id="1829394057">
                          <w:marLeft w:val="0"/>
                          <w:marRight w:val="0"/>
                          <w:marTop w:val="0"/>
                          <w:marBottom w:val="0"/>
                          <w:divBdr>
                            <w:top w:val="none" w:sz="0" w:space="0" w:color="auto"/>
                            <w:left w:val="none" w:sz="0" w:space="0" w:color="auto"/>
                            <w:bottom w:val="none" w:sz="0" w:space="0" w:color="auto"/>
                            <w:right w:val="none" w:sz="0" w:space="0" w:color="auto"/>
                          </w:divBdr>
                          <w:divsChild>
                            <w:div w:id="1268077800">
                              <w:marLeft w:val="0"/>
                              <w:marRight w:val="0"/>
                              <w:marTop w:val="0"/>
                              <w:marBottom w:val="0"/>
                              <w:divBdr>
                                <w:top w:val="none" w:sz="0" w:space="0" w:color="auto"/>
                                <w:left w:val="none" w:sz="0" w:space="0" w:color="auto"/>
                                <w:bottom w:val="none" w:sz="0" w:space="0" w:color="auto"/>
                                <w:right w:val="none" w:sz="0" w:space="0" w:color="auto"/>
                              </w:divBdr>
                              <w:divsChild>
                                <w:div w:id="1708411654">
                                  <w:marLeft w:val="0"/>
                                  <w:marRight w:val="0"/>
                                  <w:marTop w:val="0"/>
                                  <w:marBottom w:val="0"/>
                                  <w:divBdr>
                                    <w:top w:val="none" w:sz="0" w:space="0" w:color="auto"/>
                                    <w:left w:val="none" w:sz="0" w:space="0" w:color="auto"/>
                                    <w:bottom w:val="none" w:sz="0" w:space="0" w:color="auto"/>
                                    <w:right w:val="none" w:sz="0" w:space="0" w:color="auto"/>
                                  </w:divBdr>
                                  <w:divsChild>
                                    <w:div w:id="1751611139">
                                      <w:marLeft w:val="0"/>
                                      <w:marRight w:val="0"/>
                                      <w:marTop w:val="150"/>
                                      <w:marBottom w:val="0"/>
                                      <w:divBdr>
                                        <w:top w:val="none" w:sz="0" w:space="0" w:color="auto"/>
                                        <w:left w:val="none" w:sz="0" w:space="0" w:color="auto"/>
                                        <w:bottom w:val="none" w:sz="0" w:space="0" w:color="auto"/>
                                        <w:right w:val="none" w:sz="0" w:space="0" w:color="auto"/>
                                      </w:divBdr>
                                      <w:divsChild>
                                        <w:div w:id="1102725998">
                                          <w:marLeft w:val="0"/>
                                          <w:marRight w:val="0"/>
                                          <w:marTop w:val="0"/>
                                          <w:marBottom w:val="0"/>
                                          <w:divBdr>
                                            <w:top w:val="none" w:sz="0" w:space="0" w:color="auto"/>
                                            <w:left w:val="none" w:sz="0" w:space="0" w:color="auto"/>
                                            <w:bottom w:val="none" w:sz="0" w:space="0" w:color="auto"/>
                                            <w:right w:val="none" w:sz="0" w:space="0" w:color="auto"/>
                                          </w:divBdr>
                                          <w:divsChild>
                                            <w:div w:id="222563430">
                                              <w:marLeft w:val="0"/>
                                              <w:marRight w:val="0"/>
                                              <w:marTop w:val="0"/>
                                              <w:marBottom w:val="0"/>
                                              <w:divBdr>
                                                <w:top w:val="none" w:sz="0" w:space="0" w:color="auto"/>
                                                <w:left w:val="none" w:sz="0" w:space="0" w:color="auto"/>
                                                <w:bottom w:val="none" w:sz="0" w:space="0" w:color="auto"/>
                                                <w:right w:val="none" w:sz="0" w:space="0" w:color="auto"/>
                                              </w:divBdr>
                                              <w:divsChild>
                                                <w:div w:id="13220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898361">
      <w:bodyDiv w:val="1"/>
      <w:marLeft w:val="0"/>
      <w:marRight w:val="0"/>
      <w:marTop w:val="0"/>
      <w:marBottom w:val="0"/>
      <w:divBdr>
        <w:top w:val="none" w:sz="0" w:space="0" w:color="auto"/>
        <w:left w:val="none" w:sz="0" w:space="0" w:color="auto"/>
        <w:bottom w:val="none" w:sz="0" w:space="0" w:color="auto"/>
        <w:right w:val="none" w:sz="0" w:space="0" w:color="auto"/>
      </w:divBdr>
      <w:divsChild>
        <w:div w:id="77868404">
          <w:marLeft w:val="0"/>
          <w:marRight w:val="0"/>
          <w:marTop w:val="0"/>
          <w:marBottom w:val="0"/>
          <w:divBdr>
            <w:top w:val="none" w:sz="0" w:space="0" w:color="auto"/>
            <w:left w:val="none" w:sz="0" w:space="0" w:color="auto"/>
            <w:bottom w:val="none" w:sz="0" w:space="0" w:color="auto"/>
            <w:right w:val="none" w:sz="0" w:space="0" w:color="auto"/>
          </w:divBdr>
          <w:divsChild>
            <w:div w:id="1680623570">
              <w:marLeft w:val="0"/>
              <w:marRight w:val="0"/>
              <w:marTop w:val="0"/>
              <w:marBottom w:val="0"/>
              <w:divBdr>
                <w:top w:val="none" w:sz="0" w:space="0" w:color="auto"/>
                <w:left w:val="none" w:sz="0" w:space="0" w:color="auto"/>
                <w:bottom w:val="none" w:sz="0" w:space="0" w:color="auto"/>
                <w:right w:val="none" w:sz="0" w:space="0" w:color="auto"/>
              </w:divBdr>
            </w:div>
            <w:div w:id="18869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177">
      <w:bodyDiv w:val="1"/>
      <w:marLeft w:val="0"/>
      <w:marRight w:val="0"/>
      <w:marTop w:val="0"/>
      <w:marBottom w:val="0"/>
      <w:divBdr>
        <w:top w:val="none" w:sz="0" w:space="0" w:color="auto"/>
        <w:left w:val="none" w:sz="0" w:space="0" w:color="auto"/>
        <w:bottom w:val="none" w:sz="0" w:space="0" w:color="auto"/>
        <w:right w:val="none" w:sz="0" w:space="0" w:color="auto"/>
      </w:divBdr>
      <w:divsChild>
        <w:div w:id="783622294">
          <w:marLeft w:val="0"/>
          <w:marRight w:val="0"/>
          <w:marTop w:val="0"/>
          <w:marBottom w:val="0"/>
          <w:divBdr>
            <w:top w:val="none" w:sz="0" w:space="0" w:color="auto"/>
            <w:left w:val="none" w:sz="0" w:space="0" w:color="auto"/>
            <w:bottom w:val="none" w:sz="0" w:space="0" w:color="auto"/>
            <w:right w:val="none" w:sz="0" w:space="0" w:color="auto"/>
          </w:divBdr>
          <w:divsChild>
            <w:div w:id="405804358">
              <w:marLeft w:val="0"/>
              <w:marRight w:val="0"/>
              <w:marTop w:val="0"/>
              <w:marBottom w:val="0"/>
              <w:divBdr>
                <w:top w:val="none" w:sz="0" w:space="0" w:color="auto"/>
                <w:left w:val="none" w:sz="0" w:space="0" w:color="auto"/>
                <w:bottom w:val="none" w:sz="0" w:space="0" w:color="auto"/>
                <w:right w:val="none" w:sz="0" w:space="0" w:color="auto"/>
              </w:divBdr>
            </w:div>
          </w:divsChild>
        </w:div>
        <w:div w:id="327371974">
          <w:marLeft w:val="0"/>
          <w:marRight w:val="0"/>
          <w:marTop w:val="0"/>
          <w:marBottom w:val="0"/>
          <w:divBdr>
            <w:top w:val="none" w:sz="0" w:space="0" w:color="auto"/>
            <w:left w:val="none" w:sz="0" w:space="0" w:color="auto"/>
            <w:bottom w:val="none" w:sz="0" w:space="0" w:color="auto"/>
            <w:right w:val="none" w:sz="0" w:space="0" w:color="auto"/>
          </w:divBdr>
        </w:div>
        <w:div w:id="1262910275">
          <w:marLeft w:val="0"/>
          <w:marRight w:val="0"/>
          <w:marTop w:val="0"/>
          <w:marBottom w:val="0"/>
          <w:divBdr>
            <w:top w:val="none" w:sz="0" w:space="0" w:color="auto"/>
            <w:left w:val="none" w:sz="0" w:space="0" w:color="auto"/>
            <w:bottom w:val="none" w:sz="0" w:space="0" w:color="auto"/>
            <w:right w:val="none" w:sz="0" w:space="0" w:color="auto"/>
          </w:divBdr>
        </w:div>
        <w:div w:id="1300190249">
          <w:marLeft w:val="0"/>
          <w:marRight w:val="0"/>
          <w:marTop w:val="0"/>
          <w:marBottom w:val="0"/>
          <w:divBdr>
            <w:top w:val="none" w:sz="0" w:space="0" w:color="auto"/>
            <w:left w:val="none" w:sz="0" w:space="0" w:color="auto"/>
            <w:bottom w:val="none" w:sz="0" w:space="0" w:color="auto"/>
            <w:right w:val="none" w:sz="0" w:space="0" w:color="auto"/>
          </w:divBdr>
          <w:divsChild>
            <w:div w:id="71200854">
              <w:marLeft w:val="0"/>
              <w:marRight w:val="0"/>
              <w:marTop w:val="0"/>
              <w:marBottom w:val="0"/>
              <w:divBdr>
                <w:top w:val="none" w:sz="0" w:space="0" w:color="auto"/>
                <w:left w:val="none" w:sz="0" w:space="0" w:color="auto"/>
                <w:bottom w:val="none" w:sz="0" w:space="0" w:color="auto"/>
                <w:right w:val="none" w:sz="0" w:space="0" w:color="auto"/>
              </w:divBdr>
              <w:divsChild>
                <w:div w:id="1987732997">
                  <w:marLeft w:val="0"/>
                  <w:marRight w:val="0"/>
                  <w:marTop w:val="0"/>
                  <w:marBottom w:val="0"/>
                  <w:divBdr>
                    <w:top w:val="none" w:sz="0" w:space="0" w:color="auto"/>
                    <w:left w:val="none" w:sz="0" w:space="0" w:color="auto"/>
                    <w:bottom w:val="none" w:sz="0" w:space="0" w:color="auto"/>
                    <w:right w:val="none" w:sz="0" w:space="0" w:color="auto"/>
                  </w:divBdr>
                  <w:divsChild>
                    <w:div w:id="1712027735">
                      <w:marLeft w:val="0"/>
                      <w:marRight w:val="0"/>
                      <w:marTop w:val="0"/>
                      <w:marBottom w:val="0"/>
                      <w:divBdr>
                        <w:top w:val="none" w:sz="0" w:space="0" w:color="auto"/>
                        <w:left w:val="none" w:sz="0" w:space="0" w:color="auto"/>
                        <w:bottom w:val="none" w:sz="0" w:space="0" w:color="auto"/>
                        <w:right w:val="none" w:sz="0" w:space="0" w:color="auto"/>
                      </w:divBdr>
                    </w:div>
                    <w:div w:id="1328096305">
                      <w:marLeft w:val="0"/>
                      <w:marRight w:val="0"/>
                      <w:marTop w:val="300"/>
                      <w:marBottom w:val="375"/>
                      <w:divBdr>
                        <w:top w:val="none" w:sz="0" w:space="0" w:color="auto"/>
                        <w:left w:val="none" w:sz="0" w:space="0" w:color="auto"/>
                        <w:bottom w:val="none" w:sz="0" w:space="0" w:color="auto"/>
                        <w:right w:val="none" w:sz="0" w:space="0" w:color="auto"/>
                      </w:divBdr>
                    </w:div>
                    <w:div w:id="104006016">
                      <w:marLeft w:val="0"/>
                      <w:marRight w:val="0"/>
                      <w:marTop w:val="0"/>
                      <w:marBottom w:val="0"/>
                      <w:divBdr>
                        <w:top w:val="none" w:sz="0" w:space="0" w:color="auto"/>
                        <w:left w:val="none" w:sz="0" w:space="0" w:color="auto"/>
                        <w:bottom w:val="none" w:sz="0" w:space="0" w:color="auto"/>
                        <w:right w:val="none" w:sz="0" w:space="0" w:color="auto"/>
                      </w:divBdr>
                    </w:div>
                    <w:div w:id="56519055">
                      <w:marLeft w:val="0"/>
                      <w:marRight w:val="0"/>
                      <w:marTop w:val="450"/>
                      <w:marBottom w:val="450"/>
                      <w:divBdr>
                        <w:top w:val="none" w:sz="0" w:space="0" w:color="auto"/>
                        <w:left w:val="none" w:sz="0" w:space="0" w:color="auto"/>
                        <w:bottom w:val="none" w:sz="0" w:space="0" w:color="auto"/>
                        <w:right w:val="none" w:sz="0" w:space="0" w:color="auto"/>
                      </w:divBdr>
                    </w:div>
                    <w:div w:id="268009090">
                      <w:marLeft w:val="0"/>
                      <w:marRight w:val="0"/>
                      <w:marTop w:val="0"/>
                      <w:marBottom w:val="0"/>
                      <w:divBdr>
                        <w:top w:val="none" w:sz="0" w:space="0" w:color="auto"/>
                        <w:left w:val="none" w:sz="0" w:space="0" w:color="auto"/>
                        <w:bottom w:val="none" w:sz="0" w:space="0" w:color="auto"/>
                        <w:right w:val="none" w:sz="0" w:space="0" w:color="auto"/>
                      </w:divBdr>
                      <w:divsChild>
                        <w:div w:id="30035624">
                          <w:marLeft w:val="0"/>
                          <w:marRight w:val="0"/>
                          <w:marTop w:val="0"/>
                          <w:marBottom w:val="0"/>
                          <w:divBdr>
                            <w:top w:val="none" w:sz="0" w:space="0" w:color="auto"/>
                            <w:left w:val="none" w:sz="0" w:space="0" w:color="auto"/>
                            <w:bottom w:val="none" w:sz="0" w:space="0" w:color="auto"/>
                            <w:right w:val="none" w:sz="0" w:space="0" w:color="auto"/>
                          </w:divBdr>
                          <w:divsChild>
                            <w:div w:id="1314480275">
                              <w:marLeft w:val="0"/>
                              <w:marRight w:val="0"/>
                              <w:marTop w:val="0"/>
                              <w:marBottom w:val="0"/>
                              <w:divBdr>
                                <w:top w:val="none" w:sz="0" w:space="0" w:color="auto"/>
                                <w:left w:val="none" w:sz="0" w:space="0" w:color="auto"/>
                                <w:bottom w:val="none" w:sz="0" w:space="0" w:color="auto"/>
                                <w:right w:val="none" w:sz="0" w:space="0" w:color="auto"/>
                              </w:divBdr>
                              <w:divsChild>
                                <w:div w:id="1716197985">
                                  <w:marLeft w:val="0"/>
                                  <w:marRight w:val="0"/>
                                  <w:marTop w:val="0"/>
                                  <w:marBottom w:val="150"/>
                                  <w:divBdr>
                                    <w:top w:val="none" w:sz="0" w:space="0" w:color="auto"/>
                                    <w:left w:val="none" w:sz="0" w:space="0" w:color="auto"/>
                                    <w:bottom w:val="double" w:sz="6" w:space="0" w:color="CCCCCC"/>
                                    <w:right w:val="none" w:sz="0" w:space="0" w:color="auto"/>
                                  </w:divBdr>
                                  <w:divsChild>
                                    <w:div w:id="789008909">
                                      <w:marLeft w:val="0"/>
                                      <w:marRight w:val="0"/>
                                      <w:marTop w:val="0"/>
                                      <w:marBottom w:val="0"/>
                                      <w:divBdr>
                                        <w:top w:val="none" w:sz="0" w:space="0" w:color="auto"/>
                                        <w:left w:val="none" w:sz="0" w:space="0" w:color="auto"/>
                                        <w:bottom w:val="none" w:sz="0" w:space="0" w:color="auto"/>
                                        <w:right w:val="none" w:sz="0" w:space="0" w:color="auto"/>
                                      </w:divBdr>
                                    </w:div>
                                  </w:divsChild>
                                </w:div>
                                <w:div w:id="12350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356743">
      <w:bodyDiv w:val="1"/>
      <w:marLeft w:val="0"/>
      <w:marRight w:val="0"/>
      <w:marTop w:val="0"/>
      <w:marBottom w:val="0"/>
      <w:divBdr>
        <w:top w:val="none" w:sz="0" w:space="0" w:color="auto"/>
        <w:left w:val="none" w:sz="0" w:space="0" w:color="auto"/>
        <w:bottom w:val="none" w:sz="0" w:space="0" w:color="auto"/>
        <w:right w:val="none" w:sz="0" w:space="0" w:color="auto"/>
      </w:divBdr>
      <w:divsChild>
        <w:div w:id="1131049944">
          <w:marLeft w:val="0"/>
          <w:marRight w:val="0"/>
          <w:marTop w:val="0"/>
          <w:marBottom w:val="0"/>
          <w:divBdr>
            <w:top w:val="none" w:sz="0" w:space="0" w:color="auto"/>
            <w:left w:val="none" w:sz="0" w:space="0" w:color="auto"/>
            <w:bottom w:val="none" w:sz="0" w:space="0" w:color="auto"/>
            <w:right w:val="none" w:sz="0" w:space="0" w:color="auto"/>
          </w:divBdr>
          <w:divsChild>
            <w:div w:id="427893774">
              <w:marLeft w:val="0"/>
              <w:marRight w:val="0"/>
              <w:marTop w:val="0"/>
              <w:marBottom w:val="0"/>
              <w:divBdr>
                <w:top w:val="none" w:sz="0" w:space="0" w:color="auto"/>
                <w:left w:val="none" w:sz="0" w:space="0" w:color="auto"/>
                <w:bottom w:val="none" w:sz="0" w:space="0" w:color="auto"/>
                <w:right w:val="none" w:sz="0" w:space="0" w:color="auto"/>
              </w:divBdr>
              <w:divsChild>
                <w:div w:id="1876771535">
                  <w:marLeft w:val="0"/>
                  <w:marRight w:val="0"/>
                  <w:marTop w:val="0"/>
                  <w:marBottom w:val="0"/>
                  <w:divBdr>
                    <w:top w:val="none" w:sz="0" w:space="0" w:color="auto"/>
                    <w:left w:val="none" w:sz="0" w:space="0" w:color="auto"/>
                    <w:bottom w:val="none" w:sz="0" w:space="0" w:color="auto"/>
                    <w:right w:val="none" w:sz="0" w:space="0" w:color="auto"/>
                  </w:divBdr>
                  <w:divsChild>
                    <w:div w:id="917635275">
                      <w:marLeft w:val="0"/>
                      <w:marRight w:val="0"/>
                      <w:marTop w:val="0"/>
                      <w:marBottom w:val="0"/>
                      <w:divBdr>
                        <w:top w:val="none" w:sz="0" w:space="0" w:color="auto"/>
                        <w:left w:val="none" w:sz="0" w:space="0" w:color="auto"/>
                        <w:bottom w:val="none" w:sz="0" w:space="0" w:color="auto"/>
                        <w:right w:val="none" w:sz="0" w:space="0" w:color="auto"/>
                      </w:divBdr>
                      <w:divsChild>
                        <w:div w:id="18930338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22939654">
      <w:bodyDiv w:val="1"/>
      <w:marLeft w:val="0"/>
      <w:marRight w:val="0"/>
      <w:marTop w:val="0"/>
      <w:marBottom w:val="0"/>
      <w:divBdr>
        <w:top w:val="none" w:sz="0" w:space="0" w:color="auto"/>
        <w:left w:val="none" w:sz="0" w:space="0" w:color="auto"/>
        <w:bottom w:val="none" w:sz="0" w:space="0" w:color="auto"/>
        <w:right w:val="none" w:sz="0" w:space="0" w:color="auto"/>
      </w:divBdr>
      <w:divsChild>
        <w:div w:id="1956254777">
          <w:marLeft w:val="0"/>
          <w:marRight w:val="0"/>
          <w:marTop w:val="0"/>
          <w:marBottom w:val="0"/>
          <w:divBdr>
            <w:top w:val="single" w:sz="2" w:space="0" w:color="AAAAAA"/>
            <w:left w:val="single" w:sz="6" w:space="8" w:color="AAAAAA"/>
            <w:bottom w:val="single" w:sz="2" w:space="0" w:color="AAAAAA"/>
            <w:right w:val="single" w:sz="6" w:space="8" w:color="AAAAAA"/>
          </w:divBdr>
          <w:divsChild>
            <w:div w:id="265120772">
              <w:marLeft w:val="0"/>
              <w:marRight w:val="0"/>
              <w:marTop w:val="0"/>
              <w:marBottom w:val="0"/>
              <w:divBdr>
                <w:top w:val="none" w:sz="0" w:space="0" w:color="auto"/>
                <w:left w:val="none" w:sz="0" w:space="0" w:color="auto"/>
                <w:bottom w:val="none" w:sz="0" w:space="0" w:color="auto"/>
                <w:right w:val="none" w:sz="0" w:space="0" w:color="auto"/>
              </w:divBdr>
              <w:divsChild>
                <w:div w:id="1618024103">
                  <w:marLeft w:val="0"/>
                  <w:marRight w:val="0"/>
                  <w:marTop w:val="0"/>
                  <w:marBottom w:val="0"/>
                  <w:divBdr>
                    <w:top w:val="none" w:sz="0" w:space="0" w:color="auto"/>
                    <w:left w:val="none" w:sz="0" w:space="0" w:color="auto"/>
                    <w:bottom w:val="none" w:sz="0" w:space="0" w:color="auto"/>
                    <w:right w:val="none" w:sz="0" w:space="0" w:color="auto"/>
                  </w:divBdr>
                  <w:divsChild>
                    <w:div w:id="1994017466">
                      <w:marLeft w:val="0"/>
                      <w:marRight w:val="2550"/>
                      <w:marTop w:val="0"/>
                      <w:marBottom w:val="48"/>
                      <w:divBdr>
                        <w:top w:val="none" w:sz="0" w:space="0" w:color="auto"/>
                        <w:left w:val="none" w:sz="0" w:space="0" w:color="auto"/>
                        <w:bottom w:val="none" w:sz="0" w:space="0" w:color="auto"/>
                        <w:right w:val="none" w:sz="0" w:space="0" w:color="auto"/>
                      </w:divBdr>
                      <w:divsChild>
                        <w:div w:id="336992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3127420">
      <w:bodyDiv w:val="1"/>
      <w:marLeft w:val="0"/>
      <w:marRight w:val="0"/>
      <w:marTop w:val="0"/>
      <w:marBottom w:val="0"/>
      <w:divBdr>
        <w:top w:val="none" w:sz="0" w:space="0" w:color="auto"/>
        <w:left w:val="none" w:sz="0" w:space="0" w:color="auto"/>
        <w:bottom w:val="none" w:sz="0" w:space="0" w:color="auto"/>
        <w:right w:val="none" w:sz="0" w:space="0" w:color="auto"/>
      </w:divBdr>
      <w:divsChild>
        <w:div w:id="134760352">
          <w:marLeft w:val="0"/>
          <w:marRight w:val="0"/>
          <w:marTop w:val="0"/>
          <w:marBottom w:val="0"/>
          <w:divBdr>
            <w:top w:val="none" w:sz="0" w:space="0" w:color="auto"/>
            <w:left w:val="none" w:sz="0" w:space="0" w:color="auto"/>
            <w:bottom w:val="none" w:sz="0" w:space="0" w:color="auto"/>
            <w:right w:val="none" w:sz="0" w:space="0" w:color="auto"/>
          </w:divBdr>
          <w:divsChild>
            <w:div w:id="2019965362">
              <w:marLeft w:val="0"/>
              <w:marRight w:val="0"/>
              <w:marTop w:val="0"/>
              <w:marBottom w:val="0"/>
              <w:divBdr>
                <w:top w:val="none" w:sz="0" w:space="0" w:color="auto"/>
                <w:left w:val="none" w:sz="0" w:space="0" w:color="auto"/>
                <w:bottom w:val="none" w:sz="0" w:space="0" w:color="auto"/>
                <w:right w:val="none" w:sz="0" w:space="0" w:color="auto"/>
              </w:divBdr>
              <w:divsChild>
                <w:div w:id="404378202">
                  <w:marLeft w:val="0"/>
                  <w:marRight w:val="0"/>
                  <w:marTop w:val="0"/>
                  <w:marBottom w:val="0"/>
                  <w:divBdr>
                    <w:top w:val="none" w:sz="0" w:space="0" w:color="auto"/>
                    <w:left w:val="none" w:sz="0" w:space="0" w:color="auto"/>
                    <w:bottom w:val="none" w:sz="0" w:space="0" w:color="auto"/>
                    <w:right w:val="none" w:sz="0" w:space="0" w:color="auto"/>
                  </w:divBdr>
                  <w:divsChild>
                    <w:div w:id="1617828414">
                      <w:marLeft w:val="0"/>
                      <w:marRight w:val="0"/>
                      <w:marTop w:val="0"/>
                      <w:marBottom w:val="0"/>
                      <w:divBdr>
                        <w:top w:val="none" w:sz="0" w:space="0" w:color="auto"/>
                        <w:left w:val="none" w:sz="0" w:space="0" w:color="auto"/>
                        <w:bottom w:val="none" w:sz="0" w:space="0" w:color="auto"/>
                        <w:right w:val="none" w:sz="0" w:space="0" w:color="auto"/>
                      </w:divBdr>
                    </w:div>
                    <w:div w:id="13088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17569">
      <w:bodyDiv w:val="1"/>
      <w:marLeft w:val="0"/>
      <w:marRight w:val="0"/>
      <w:marTop w:val="0"/>
      <w:marBottom w:val="0"/>
      <w:divBdr>
        <w:top w:val="none" w:sz="0" w:space="0" w:color="auto"/>
        <w:left w:val="none" w:sz="0" w:space="0" w:color="auto"/>
        <w:bottom w:val="none" w:sz="0" w:space="0" w:color="auto"/>
        <w:right w:val="none" w:sz="0" w:space="0" w:color="auto"/>
      </w:divBdr>
      <w:divsChild>
        <w:div w:id="759571621">
          <w:marLeft w:val="0"/>
          <w:marRight w:val="0"/>
          <w:marTop w:val="0"/>
          <w:marBottom w:val="0"/>
          <w:divBdr>
            <w:top w:val="none" w:sz="0" w:space="0" w:color="auto"/>
            <w:left w:val="none" w:sz="0" w:space="0" w:color="auto"/>
            <w:bottom w:val="none" w:sz="0" w:space="0" w:color="auto"/>
            <w:right w:val="none" w:sz="0" w:space="0" w:color="auto"/>
          </w:divBdr>
          <w:divsChild>
            <w:div w:id="453407843">
              <w:marLeft w:val="0"/>
              <w:marRight w:val="0"/>
              <w:marTop w:val="0"/>
              <w:marBottom w:val="0"/>
              <w:divBdr>
                <w:top w:val="none" w:sz="0" w:space="0" w:color="auto"/>
                <w:left w:val="none" w:sz="0" w:space="0" w:color="auto"/>
                <w:bottom w:val="none" w:sz="0" w:space="0" w:color="auto"/>
                <w:right w:val="none" w:sz="0" w:space="0" w:color="auto"/>
              </w:divBdr>
              <w:divsChild>
                <w:div w:id="172037799">
                  <w:marLeft w:val="0"/>
                  <w:marRight w:val="0"/>
                  <w:marTop w:val="100"/>
                  <w:marBottom w:val="100"/>
                  <w:divBdr>
                    <w:top w:val="none" w:sz="0" w:space="0" w:color="auto"/>
                    <w:left w:val="none" w:sz="0" w:space="0" w:color="auto"/>
                    <w:bottom w:val="none" w:sz="0" w:space="0" w:color="auto"/>
                    <w:right w:val="none" w:sz="0" w:space="0" w:color="auto"/>
                  </w:divBdr>
                  <w:divsChild>
                    <w:div w:id="2089764425">
                      <w:marLeft w:val="0"/>
                      <w:marRight w:val="0"/>
                      <w:marTop w:val="0"/>
                      <w:marBottom w:val="0"/>
                      <w:divBdr>
                        <w:top w:val="none" w:sz="0" w:space="0" w:color="auto"/>
                        <w:left w:val="none" w:sz="0" w:space="0" w:color="auto"/>
                        <w:bottom w:val="none" w:sz="0" w:space="0" w:color="auto"/>
                        <w:right w:val="none" w:sz="0" w:space="0" w:color="auto"/>
                      </w:divBdr>
                      <w:divsChild>
                        <w:div w:id="584537024">
                          <w:marLeft w:val="0"/>
                          <w:marRight w:val="0"/>
                          <w:marTop w:val="0"/>
                          <w:marBottom w:val="0"/>
                          <w:divBdr>
                            <w:top w:val="none" w:sz="0" w:space="0" w:color="auto"/>
                            <w:left w:val="none" w:sz="0" w:space="0" w:color="auto"/>
                            <w:bottom w:val="none" w:sz="0" w:space="0" w:color="auto"/>
                            <w:right w:val="none" w:sz="0" w:space="0" w:color="auto"/>
                          </w:divBdr>
                          <w:divsChild>
                            <w:div w:id="1624724487">
                              <w:marLeft w:val="0"/>
                              <w:marRight w:val="0"/>
                              <w:marTop w:val="0"/>
                              <w:marBottom w:val="0"/>
                              <w:divBdr>
                                <w:top w:val="none" w:sz="0" w:space="0" w:color="auto"/>
                                <w:left w:val="none" w:sz="0" w:space="0" w:color="auto"/>
                                <w:bottom w:val="none" w:sz="0" w:space="0" w:color="auto"/>
                                <w:right w:val="none" w:sz="0" w:space="0" w:color="auto"/>
                              </w:divBdr>
                              <w:divsChild>
                                <w:div w:id="1038699978">
                                  <w:marLeft w:val="0"/>
                                  <w:marRight w:val="0"/>
                                  <w:marTop w:val="0"/>
                                  <w:marBottom w:val="0"/>
                                  <w:divBdr>
                                    <w:top w:val="none" w:sz="0" w:space="0" w:color="auto"/>
                                    <w:left w:val="none" w:sz="0" w:space="0" w:color="auto"/>
                                    <w:bottom w:val="none" w:sz="0" w:space="0" w:color="auto"/>
                                    <w:right w:val="none" w:sz="0" w:space="0" w:color="auto"/>
                                  </w:divBdr>
                                  <w:divsChild>
                                    <w:div w:id="5479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249240">
      <w:bodyDiv w:val="1"/>
      <w:marLeft w:val="0"/>
      <w:marRight w:val="0"/>
      <w:marTop w:val="0"/>
      <w:marBottom w:val="0"/>
      <w:divBdr>
        <w:top w:val="none" w:sz="0" w:space="0" w:color="auto"/>
        <w:left w:val="none" w:sz="0" w:space="0" w:color="auto"/>
        <w:bottom w:val="none" w:sz="0" w:space="0" w:color="auto"/>
        <w:right w:val="none" w:sz="0" w:space="0" w:color="auto"/>
      </w:divBdr>
    </w:div>
    <w:div w:id="1524443258">
      <w:bodyDiv w:val="1"/>
      <w:marLeft w:val="0"/>
      <w:marRight w:val="0"/>
      <w:marTop w:val="0"/>
      <w:marBottom w:val="0"/>
      <w:divBdr>
        <w:top w:val="none" w:sz="0" w:space="0" w:color="auto"/>
        <w:left w:val="none" w:sz="0" w:space="0" w:color="auto"/>
        <w:bottom w:val="none" w:sz="0" w:space="0" w:color="auto"/>
        <w:right w:val="none" w:sz="0" w:space="0" w:color="auto"/>
      </w:divBdr>
      <w:divsChild>
        <w:div w:id="1931699850">
          <w:marLeft w:val="0"/>
          <w:marRight w:val="0"/>
          <w:marTop w:val="0"/>
          <w:marBottom w:val="0"/>
          <w:divBdr>
            <w:top w:val="single" w:sz="2" w:space="0" w:color="AAAAAA"/>
            <w:left w:val="single" w:sz="6" w:space="8" w:color="AAAAAA"/>
            <w:bottom w:val="single" w:sz="2" w:space="0" w:color="AAAAAA"/>
            <w:right w:val="single" w:sz="6" w:space="8" w:color="AAAAAA"/>
          </w:divBdr>
          <w:divsChild>
            <w:div w:id="1212696123">
              <w:marLeft w:val="0"/>
              <w:marRight w:val="0"/>
              <w:marTop w:val="0"/>
              <w:marBottom w:val="0"/>
              <w:divBdr>
                <w:top w:val="none" w:sz="0" w:space="0" w:color="auto"/>
                <w:left w:val="none" w:sz="0" w:space="0" w:color="auto"/>
                <w:bottom w:val="none" w:sz="0" w:space="0" w:color="auto"/>
                <w:right w:val="none" w:sz="0" w:space="0" w:color="auto"/>
              </w:divBdr>
              <w:divsChild>
                <w:div w:id="1443374691">
                  <w:marLeft w:val="0"/>
                  <w:marRight w:val="0"/>
                  <w:marTop w:val="0"/>
                  <w:marBottom w:val="0"/>
                  <w:divBdr>
                    <w:top w:val="none" w:sz="0" w:space="0" w:color="auto"/>
                    <w:left w:val="none" w:sz="0" w:space="0" w:color="auto"/>
                    <w:bottom w:val="none" w:sz="0" w:space="0" w:color="auto"/>
                    <w:right w:val="none" w:sz="0" w:space="0" w:color="auto"/>
                  </w:divBdr>
                  <w:divsChild>
                    <w:div w:id="1504854530">
                      <w:marLeft w:val="0"/>
                      <w:marRight w:val="2550"/>
                      <w:marTop w:val="0"/>
                      <w:marBottom w:val="48"/>
                      <w:divBdr>
                        <w:top w:val="none" w:sz="0" w:space="0" w:color="auto"/>
                        <w:left w:val="none" w:sz="0" w:space="0" w:color="auto"/>
                        <w:bottom w:val="none" w:sz="0" w:space="0" w:color="auto"/>
                        <w:right w:val="none" w:sz="0" w:space="0" w:color="auto"/>
                      </w:divBdr>
                      <w:divsChild>
                        <w:div w:id="6085896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6872010">
      <w:bodyDiv w:val="1"/>
      <w:marLeft w:val="0"/>
      <w:marRight w:val="0"/>
      <w:marTop w:val="0"/>
      <w:marBottom w:val="0"/>
      <w:divBdr>
        <w:top w:val="none" w:sz="0" w:space="0" w:color="auto"/>
        <w:left w:val="none" w:sz="0" w:space="0" w:color="auto"/>
        <w:bottom w:val="none" w:sz="0" w:space="0" w:color="auto"/>
        <w:right w:val="none" w:sz="0" w:space="0" w:color="auto"/>
      </w:divBdr>
      <w:divsChild>
        <w:div w:id="297805315">
          <w:marLeft w:val="0"/>
          <w:marRight w:val="0"/>
          <w:marTop w:val="0"/>
          <w:marBottom w:val="0"/>
          <w:divBdr>
            <w:top w:val="none" w:sz="0" w:space="0" w:color="auto"/>
            <w:left w:val="none" w:sz="0" w:space="0" w:color="auto"/>
            <w:bottom w:val="none" w:sz="0" w:space="0" w:color="auto"/>
            <w:right w:val="none" w:sz="0" w:space="0" w:color="auto"/>
          </w:divBdr>
          <w:divsChild>
            <w:div w:id="419839511">
              <w:marLeft w:val="0"/>
              <w:marRight w:val="0"/>
              <w:marTop w:val="0"/>
              <w:marBottom w:val="0"/>
              <w:divBdr>
                <w:top w:val="none" w:sz="0" w:space="0" w:color="auto"/>
                <w:left w:val="none" w:sz="0" w:space="0" w:color="auto"/>
                <w:bottom w:val="none" w:sz="0" w:space="0" w:color="auto"/>
                <w:right w:val="none" w:sz="0" w:space="0" w:color="auto"/>
              </w:divBdr>
              <w:divsChild>
                <w:div w:id="734160130">
                  <w:marLeft w:val="0"/>
                  <w:marRight w:val="0"/>
                  <w:marTop w:val="0"/>
                  <w:marBottom w:val="0"/>
                  <w:divBdr>
                    <w:top w:val="none" w:sz="0" w:space="0" w:color="auto"/>
                    <w:left w:val="none" w:sz="0" w:space="0" w:color="auto"/>
                    <w:bottom w:val="none" w:sz="0" w:space="0" w:color="auto"/>
                    <w:right w:val="none" w:sz="0" w:space="0" w:color="auto"/>
                  </w:divBdr>
                  <w:divsChild>
                    <w:div w:id="665674463">
                      <w:marLeft w:val="0"/>
                      <w:marRight w:val="0"/>
                      <w:marTop w:val="0"/>
                      <w:marBottom w:val="0"/>
                      <w:divBdr>
                        <w:top w:val="none" w:sz="0" w:space="0" w:color="auto"/>
                        <w:left w:val="none" w:sz="0" w:space="0" w:color="auto"/>
                        <w:bottom w:val="none" w:sz="0" w:space="0" w:color="auto"/>
                        <w:right w:val="none" w:sz="0" w:space="0" w:color="auto"/>
                      </w:divBdr>
                      <w:divsChild>
                        <w:div w:id="415905406">
                          <w:marLeft w:val="0"/>
                          <w:marRight w:val="0"/>
                          <w:marTop w:val="0"/>
                          <w:marBottom w:val="0"/>
                          <w:divBdr>
                            <w:top w:val="none" w:sz="0" w:space="0" w:color="auto"/>
                            <w:left w:val="none" w:sz="0" w:space="0" w:color="auto"/>
                            <w:bottom w:val="none" w:sz="0" w:space="0" w:color="auto"/>
                            <w:right w:val="none" w:sz="0" w:space="0" w:color="auto"/>
                          </w:divBdr>
                          <w:divsChild>
                            <w:div w:id="880937785">
                              <w:marLeft w:val="0"/>
                              <w:marRight w:val="0"/>
                              <w:marTop w:val="0"/>
                              <w:marBottom w:val="0"/>
                              <w:divBdr>
                                <w:top w:val="none" w:sz="0" w:space="0" w:color="auto"/>
                                <w:left w:val="none" w:sz="0" w:space="0" w:color="auto"/>
                                <w:bottom w:val="none" w:sz="0" w:space="0" w:color="auto"/>
                                <w:right w:val="none" w:sz="0" w:space="0" w:color="auto"/>
                              </w:divBdr>
                              <w:divsChild>
                                <w:div w:id="1411393437">
                                  <w:marLeft w:val="0"/>
                                  <w:marRight w:val="0"/>
                                  <w:marTop w:val="0"/>
                                  <w:marBottom w:val="0"/>
                                  <w:divBdr>
                                    <w:top w:val="none" w:sz="0" w:space="0" w:color="auto"/>
                                    <w:left w:val="none" w:sz="0" w:space="0" w:color="auto"/>
                                    <w:bottom w:val="none" w:sz="0" w:space="0" w:color="auto"/>
                                    <w:right w:val="none" w:sz="0" w:space="0" w:color="auto"/>
                                  </w:divBdr>
                                  <w:divsChild>
                                    <w:div w:id="823619254">
                                      <w:marLeft w:val="0"/>
                                      <w:marRight w:val="0"/>
                                      <w:marTop w:val="0"/>
                                      <w:marBottom w:val="0"/>
                                      <w:divBdr>
                                        <w:top w:val="none" w:sz="0" w:space="0" w:color="auto"/>
                                        <w:left w:val="none" w:sz="0" w:space="0" w:color="auto"/>
                                        <w:bottom w:val="none" w:sz="0" w:space="0" w:color="auto"/>
                                        <w:right w:val="none" w:sz="0" w:space="0" w:color="auto"/>
                                      </w:divBdr>
                                      <w:divsChild>
                                        <w:div w:id="16975820">
                                          <w:marLeft w:val="0"/>
                                          <w:marRight w:val="0"/>
                                          <w:marTop w:val="0"/>
                                          <w:marBottom w:val="0"/>
                                          <w:divBdr>
                                            <w:top w:val="none" w:sz="0" w:space="0" w:color="auto"/>
                                            <w:left w:val="none" w:sz="0" w:space="0" w:color="auto"/>
                                            <w:bottom w:val="none" w:sz="0" w:space="0" w:color="auto"/>
                                            <w:right w:val="none" w:sz="0" w:space="0" w:color="auto"/>
                                          </w:divBdr>
                                          <w:divsChild>
                                            <w:div w:id="1279335326">
                                              <w:marLeft w:val="0"/>
                                              <w:marRight w:val="0"/>
                                              <w:marTop w:val="0"/>
                                              <w:marBottom w:val="0"/>
                                              <w:divBdr>
                                                <w:top w:val="none" w:sz="0" w:space="0" w:color="auto"/>
                                                <w:left w:val="none" w:sz="0" w:space="0" w:color="auto"/>
                                                <w:bottom w:val="none" w:sz="0" w:space="0" w:color="auto"/>
                                                <w:right w:val="none" w:sz="0" w:space="0" w:color="auto"/>
                                              </w:divBdr>
                                              <w:divsChild>
                                                <w:div w:id="981037306">
                                                  <w:marLeft w:val="0"/>
                                                  <w:marRight w:val="0"/>
                                                  <w:marTop w:val="0"/>
                                                  <w:marBottom w:val="0"/>
                                                  <w:divBdr>
                                                    <w:top w:val="none" w:sz="0" w:space="0" w:color="auto"/>
                                                    <w:left w:val="none" w:sz="0" w:space="0" w:color="auto"/>
                                                    <w:bottom w:val="none" w:sz="0" w:space="0" w:color="auto"/>
                                                    <w:right w:val="none" w:sz="0" w:space="0" w:color="auto"/>
                                                  </w:divBdr>
                                                  <w:divsChild>
                                                    <w:div w:id="1167674355">
                                                      <w:marLeft w:val="0"/>
                                                      <w:marRight w:val="0"/>
                                                      <w:marTop w:val="0"/>
                                                      <w:marBottom w:val="0"/>
                                                      <w:divBdr>
                                                        <w:top w:val="none" w:sz="0" w:space="0" w:color="auto"/>
                                                        <w:left w:val="none" w:sz="0" w:space="0" w:color="auto"/>
                                                        <w:bottom w:val="none" w:sz="0" w:space="0" w:color="auto"/>
                                                        <w:right w:val="none" w:sz="0" w:space="0" w:color="auto"/>
                                                      </w:divBdr>
                                                      <w:divsChild>
                                                        <w:div w:id="1751658183">
                                                          <w:marLeft w:val="0"/>
                                                          <w:marRight w:val="0"/>
                                                          <w:marTop w:val="0"/>
                                                          <w:marBottom w:val="0"/>
                                                          <w:divBdr>
                                                            <w:top w:val="none" w:sz="0" w:space="0" w:color="auto"/>
                                                            <w:left w:val="none" w:sz="0" w:space="0" w:color="auto"/>
                                                            <w:bottom w:val="none" w:sz="0" w:space="0" w:color="auto"/>
                                                            <w:right w:val="none" w:sz="0" w:space="0" w:color="auto"/>
                                                          </w:divBdr>
                                                        </w:div>
                                                        <w:div w:id="972447806">
                                                          <w:marLeft w:val="0"/>
                                                          <w:marRight w:val="0"/>
                                                          <w:marTop w:val="0"/>
                                                          <w:marBottom w:val="0"/>
                                                          <w:divBdr>
                                                            <w:top w:val="none" w:sz="0" w:space="0" w:color="auto"/>
                                                            <w:left w:val="none" w:sz="0" w:space="0" w:color="auto"/>
                                                            <w:bottom w:val="none" w:sz="0" w:space="0" w:color="auto"/>
                                                            <w:right w:val="none" w:sz="0" w:space="0" w:color="auto"/>
                                                          </w:divBdr>
                                                          <w:divsChild>
                                                            <w:div w:id="13269319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7519658">
      <w:bodyDiv w:val="1"/>
      <w:marLeft w:val="0"/>
      <w:marRight w:val="0"/>
      <w:marTop w:val="0"/>
      <w:marBottom w:val="0"/>
      <w:divBdr>
        <w:top w:val="none" w:sz="0" w:space="0" w:color="auto"/>
        <w:left w:val="none" w:sz="0" w:space="0" w:color="auto"/>
        <w:bottom w:val="none" w:sz="0" w:space="0" w:color="auto"/>
        <w:right w:val="none" w:sz="0" w:space="0" w:color="auto"/>
      </w:divBdr>
      <w:divsChild>
        <w:div w:id="1172405458">
          <w:marLeft w:val="0"/>
          <w:marRight w:val="0"/>
          <w:marTop w:val="0"/>
          <w:marBottom w:val="0"/>
          <w:divBdr>
            <w:top w:val="none" w:sz="0" w:space="0" w:color="auto"/>
            <w:left w:val="none" w:sz="0" w:space="0" w:color="auto"/>
            <w:bottom w:val="none" w:sz="0" w:space="0" w:color="auto"/>
            <w:right w:val="none" w:sz="0" w:space="0" w:color="auto"/>
          </w:divBdr>
        </w:div>
        <w:div w:id="1890141538">
          <w:marLeft w:val="0"/>
          <w:marRight w:val="0"/>
          <w:marTop w:val="0"/>
          <w:marBottom w:val="150"/>
          <w:divBdr>
            <w:top w:val="none" w:sz="0" w:space="0" w:color="auto"/>
            <w:left w:val="none" w:sz="0" w:space="0" w:color="auto"/>
            <w:bottom w:val="none" w:sz="0" w:space="0" w:color="auto"/>
            <w:right w:val="none" w:sz="0" w:space="0" w:color="auto"/>
          </w:divBdr>
          <w:divsChild>
            <w:div w:id="1056195930">
              <w:marLeft w:val="0"/>
              <w:marRight w:val="0"/>
              <w:marTop w:val="240"/>
              <w:marBottom w:val="240"/>
              <w:divBdr>
                <w:top w:val="single" w:sz="6" w:space="6" w:color="F2F2F2"/>
                <w:left w:val="none" w:sz="0" w:space="0" w:color="auto"/>
                <w:bottom w:val="single" w:sz="6" w:space="6" w:color="F2F2F2"/>
                <w:right w:val="none" w:sz="0" w:space="0" w:color="auto"/>
              </w:divBdr>
            </w:div>
            <w:div w:id="697898298">
              <w:marLeft w:val="0"/>
              <w:marRight w:val="0"/>
              <w:marTop w:val="0"/>
              <w:marBottom w:val="0"/>
              <w:divBdr>
                <w:top w:val="none" w:sz="0" w:space="0" w:color="auto"/>
                <w:left w:val="none" w:sz="0" w:space="0" w:color="auto"/>
                <w:bottom w:val="none" w:sz="0" w:space="0" w:color="auto"/>
                <w:right w:val="none" w:sz="0" w:space="0" w:color="auto"/>
              </w:divBdr>
              <w:divsChild>
                <w:div w:id="924148562">
                  <w:marLeft w:val="0"/>
                  <w:marRight w:val="0"/>
                  <w:marTop w:val="0"/>
                  <w:marBottom w:val="240"/>
                  <w:divBdr>
                    <w:top w:val="none" w:sz="0" w:space="0" w:color="auto"/>
                    <w:left w:val="none" w:sz="0" w:space="0" w:color="auto"/>
                    <w:bottom w:val="none" w:sz="0" w:space="0" w:color="auto"/>
                    <w:right w:val="none" w:sz="0" w:space="0" w:color="auto"/>
                  </w:divBdr>
                </w:div>
                <w:div w:id="157400050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8328544">
      <w:bodyDiv w:val="1"/>
      <w:marLeft w:val="0"/>
      <w:marRight w:val="0"/>
      <w:marTop w:val="0"/>
      <w:marBottom w:val="0"/>
      <w:divBdr>
        <w:top w:val="none" w:sz="0" w:space="0" w:color="auto"/>
        <w:left w:val="none" w:sz="0" w:space="0" w:color="auto"/>
        <w:bottom w:val="none" w:sz="0" w:space="0" w:color="auto"/>
        <w:right w:val="none" w:sz="0" w:space="0" w:color="auto"/>
      </w:divBdr>
      <w:divsChild>
        <w:div w:id="1520312071">
          <w:marLeft w:val="0"/>
          <w:marRight w:val="0"/>
          <w:marTop w:val="0"/>
          <w:marBottom w:val="0"/>
          <w:divBdr>
            <w:top w:val="none" w:sz="0" w:space="0" w:color="auto"/>
            <w:left w:val="none" w:sz="0" w:space="0" w:color="auto"/>
            <w:bottom w:val="none" w:sz="0" w:space="0" w:color="auto"/>
            <w:right w:val="none" w:sz="0" w:space="0" w:color="auto"/>
          </w:divBdr>
          <w:divsChild>
            <w:div w:id="209847502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528833956">
      <w:bodyDiv w:val="1"/>
      <w:marLeft w:val="0"/>
      <w:marRight w:val="0"/>
      <w:marTop w:val="0"/>
      <w:marBottom w:val="0"/>
      <w:divBdr>
        <w:top w:val="none" w:sz="0" w:space="0" w:color="auto"/>
        <w:left w:val="none" w:sz="0" w:space="0" w:color="auto"/>
        <w:bottom w:val="none" w:sz="0" w:space="0" w:color="auto"/>
        <w:right w:val="none" w:sz="0" w:space="0" w:color="auto"/>
      </w:divBdr>
    </w:div>
    <w:div w:id="1529949082">
      <w:bodyDiv w:val="1"/>
      <w:marLeft w:val="0"/>
      <w:marRight w:val="0"/>
      <w:marTop w:val="0"/>
      <w:marBottom w:val="0"/>
      <w:divBdr>
        <w:top w:val="none" w:sz="0" w:space="0" w:color="auto"/>
        <w:left w:val="none" w:sz="0" w:space="0" w:color="auto"/>
        <w:bottom w:val="none" w:sz="0" w:space="0" w:color="auto"/>
        <w:right w:val="none" w:sz="0" w:space="0" w:color="auto"/>
      </w:divBdr>
      <w:divsChild>
        <w:div w:id="417945101">
          <w:marLeft w:val="0"/>
          <w:marRight w:val="0"/>
          <w:marTop w:val="0"/>
          <w:marBottom w:val="0"/>
          <w:divBdr>
            <w:top w:val="none" w:sz="0" w:space="0" w:color="auto"/>
            <w:left w:val="none" w:sz="0" w:space="0" w:color="auto"/>
            <w:bottom w:val="none" w:sz="0" w:space="0" w:color="auto"/>
            <w:right w:val="none" w:sz="0" w:space="0" w:color="auto"/>
          </w:divBdr>
          <w:divsChild>
            <w:div w:id="203687310">
              <w:marLeft w:val="2"/>
              <w:marRight w:val="2"/>
              <w:marTop w:val="0"/>
              <w:marBottom w:val="0"/>
              <w:divBdr>
                <w:top w:val="none" w:sz="0" w:space="0" w:color="auto"/>
                <w:left w:val="none" w:sz="0" w:space="0" w:color="auto"/>
                <w:bottom w:val="none" w:sz="0" w:space="0" w:color="auto"/>
                <w:right w:val="none" w:sz="0" w:space="0" w:color="auto"/>
              </w:divBdr>
              <w:divsChild>
                <w:div w:id="144704739">
                  <w:marLeft w:val="0"/>
                  <w:marRight w:val="0"/>
                  <w:marTop w:val="0"/>
                  <w:marBottom w:val="0"/>
                  <w:divBdr>
                    <w:top w:val="none" w:sz="0" w:space="0" w:color="auto"/>
                    <w:left w:val="none" w:sz="0" w:space="0" w:color="auto"/>
                    <w:bottom w:val="none" w:sz="0" w:space="0" w:color="auto"/>
                    <w:right w:val="none" w:sz="0" w:space="0" w:color="auto"/>
                  </w:divBdr>
                  <w:divsChild>
                    <w:div w:id="143812892">
                      <w:marLeft w:val="0"/>
                      <w:marRight w:val="0"/>
                      <w:marTop w:val="0"/>
                      <w:marBottom w:val="0"/>
                      <w:divBdr>
                        <w:top w:val="none" w:sz="0" w:space="0" w:color="auto"/>
                        <w:left w:val="none" w:sz="0" w:space="0" w:color="auto"/>
                        <w:bottom w:val="none" w:sz="0" w:space="0" w:color="auto"/>
                        <w:right w:val="none" w:sz="0" w:space="0" w:color="auto"/>
                      </w:divBdr>
                      <w:divsChild>
                        <w:div w:id="1230530054">
                          <w:marLeft w:val="0"/>
                          <w:marRight w:val="0"/>
                          <w:marTop w:val="0"/>
                          <w:marBottom w:val="0"/>
                          <w:divBdr>
                            <w:top w:val="none" w:sz="0" w:space="0" w:color="auto"/>
                            <w:left w:val="none" w:sz="0" w:space="0" w:color="auto"/>
                            <w:bottom w:val="none" w:sz="0" w:space="0" w:color="auto"/>
                            <w:right w:val="none" w:sz="0" w:space="0" w:color="auto"/>
                          </w:divBdr>
                          <w:divsChild>
                            <w:div w:id="664473286">
                              <w:marLeft w:val="0"/>
                              <w:marRight w:val="0"/>
                              <w:marTop w:val="0"/>
                              <w:marBottom w:val="0"/>
                              <w:divBdr>
                                <w:top w:val="none" w:sz="0" w:space="0" w:color="auto"/>
                                <w:left w:val="none" w:sz="0" w:space="0" w:color="auto"/>
                                <w:bottom w:val="none" w:sz="0" w:space="0" w:color="auto"/>
                                <w:right w:val="none" w:sz="0" w:space="0" w:color="auto"/>
                              </w:divBdr>
                              <w:divsChild>
                                <w:div w:id="532694349">
                                  <w:marLeft w:val="0"/>
                                  <w:marRight w:val="0"/>
                                  <w:marTop w:val="0"/>
                                  <w:marBottom w:val="0"/>
                                  <w:divBdr>
                                    <w:top w:val="none" w:sz="0" w:space="0" w:color="auto"/>
                                    <w:left w:val="none" w:sz="0" w:space="0" w:color="auto"/>
                                    <w:bottom w:val="none" w:sz="0" w:space="0" w:color="auto"/>
                                    <w:right w:val="none" w:sz="0" w:space="0" w:color="auto"/>
                                  </w:divBdr>
                                  <w:divsChild>
                                    <w:div w:id="1329675677">
                                      <w:marLeft w:val="0"/>
                                      <w:marRight w:val="0"/>
                                      <w:marTop w:val="0"/>
                                      <w:marBottom w:val="0"/>
                                      <w:divBdr>
                                        <w:top w:val="none" w:sz="0" w:space="0" w:color="auto"/>
                                        <w:left w:val="none" w:sz="0" w:space="0" w:color="auto"/>
                                        <w:bottom w:val="none" w:sz="0" w:space="0" w:color="auto"/>
                                        <w:right w:val="none" w:sz="0" w:space="0" w:color="auto"/>
                                      </w:divBdr>
                                      <w:divsChild>
                                        <w:div w:id="1734041177">
                                          <w:marLeft w:val="0"/>
                                          <w:marRight w:val="0"/>
                                          <w:marTop w:val="0"/>
                                          <w:marBottom w:val="0"/>
                                          <w:divBdr>
                                            <w:top w:val="none" w:sz="0" w:space="0" w:color="auto"/>
                                            <w:left w:val="none" w:sz="0" w:space="0" w:color="auto"/>
                                            <w:bottom w:val="none" w:sz="0" w:space="0" w:color="auto"/>
                                            <w:right w:val="none" w:sz="0" w:space="0" w:color="auto"/>
                                          </w:divBdr>
                                          <w:divsChild>
                                            <w:div w:id="1329213563">
                                              <w:marLeft w:val="0"/>
                                              <w:marRight w:val="0"/>
                                              <w:marTop w:val="0"/>
                                              <w:marBottom w:val="0"/>
                                              <w:divBdr>
                                                <w:top w:val="none" w:sz="0" w:space="0" w:color="auto"/>
                                                <w:left w:val="none" w:sz="0" w:space="0" w:color="auto"/>
                                                <w:bottom w:val="none" w:sz="0" w:space="0" w:color="auto"/>
                                                <w:right w:val="none" w:sz="0" w:space="0" w:color="auto"/>
                                              </w:divBdr>
                                            </w:div>
                                          </w:divsChild>
                                        </w:div>
                                        <w:div w:id="1561597192">
                                          <w:marLeft w:val="0"/>
                                          <w:marRight w:val="0"/>
                                          <w:marTop w:val="0"/>
                                          <w:marBottom w:val="0"/>
                                          <w:divBdr>
                                            <w:top w:val="none" w:sz="0" w:space="0" w:color="auto"/>
                                            <w:left w:val="none" w:sz="0" w:space="0" w:color="auto"/>
                                            <w:bottom w:val="none" w:sz="0" w:space="0" w:color="auto"/>
                                            <w:right w:val="none" w:sz="0" w:space="0" w:color="auto"/>
                                          </w:divBdr>
                                          <w:divsChild>
                                            <w:div w:id="247888663">
                                              <w:marLeft w:val="0"/>
                                              <w:marRight w:val="0"/>
                                              <w:marTop w:val="0"/>
                                              <w:marBottom w:val="0"/>
                                              <w:divBdr>
                                                <w:top w:val="none" w:sz="0" w:space="0" w:color="auto"/>
                                                <w:left w:val="none" w:sz="0" w:space="0" w:color="auto"/>
                                                <w:bottom w:val="none" w:sz="0" w:space="0" w:color="auto"/>
                                                <w:right w:val="none" w:sz="0" w:space="0" w:color="auto"/>
                                              </w:divBdr>
                                            </w:div>
                                          </w:divsChild>
                                        </w:div>
                                        <w:div w:id="1498569903">
                                          <w:marLeft w:val="0"/>
                                          <w:marRight w:val="0"/>
                                          <w:marTop w:val="0"/>
                                          <w:marBottom w:val="0"/>
                                          <w:divBdr>
                                            <w:top w:val="none" w:sz="0" w:space="0" w:color="auto"/>
                                            <w:left w:val="none" w:sz="0" w:space="0" w:color="auto"/>
                                            <w:bottom w:val="none" w:sz="0" w:space="0" w:color="auto"/>
                                            <w:right w:val="none" w:sz="0" w:space="0" w:color="auto"/>
                                          </w:divBdr>
                                          <w:divsChild>
                                            <w:div w:id="1476416120">
                                              <w:marLeft w:val="0"/>
                                              <w:marRight w:val="0"/>
                                              <w:marTop w:val="0"/>
                                              <w:marBottom w:val="0"/>
                                              <w:divBdr>
                                                <w:top w:val="none" w:sz="0" w:space="0" w:color="auto"/>
                                                <w:left w:val="none" w:sz="0" w:space="0" w:color="auto"/>
                                                <w:bottom w:val="none" w:sz="0" w:space="0" w:color="auto"/>
                                                <w:right w:val="none" w:sz="0" w:space="0" w:color="auto"/>
                                              </w:divBdr>
                                            </w:div>
                                          </w:divsChild>
                                        </w:div>
                                        <w:div w:id="1877697385">
                                          <w:marLeft w:val="0"/>
                                          <w:marRight w:val="0"/>
                                          <w:marTop w:val="0"/>
                                          <w:marBottom w:val="0"/>
                                          <w:divBdr>
                                            <w:top w:val="none" w:sz="0" w:space="0" w:color="auto"/>
                                            <w:left w:val="none" w:sz="0" w:space="0" w:color="auto"/>
                                            <w:bottom w:val="none" w:sz="0" w:space="0" w:color="auto"/>
                                            <w:right w:val="none" w:sz="0" w:space="0" w:color="auto"/>
                                          </w:divBdr>
                                          <w:divsChild>
                                            <w:div w:id="1348946782">
                                              <w:marLeft w:val="0"/>
                                              <w:marRight w:val="0"/>
                                              <w:marTop w:val="0"/>
                                              <w:marBottom w:val="0"/>
                                              <w:divBdr>
                                                <w:top w:val="none" w:sz="0" w:space="0" w:color="auto"/>
                                                <w:left w:val="none" w:sz="0" w:space="0" w:color="auto"/>
                                                <w:bottom w:val="none" w:sz="0" w:space="0" w:color="auto"/>
                                                <w:right w:val="none" w:sz="0" w:space="0" w:color="auto"/>
                                              </w:divBdr>
                                            </w:div>
                                          </w:divsChild>
                                        </w:div>
                                        <w:div w:id="1332487886">
                                          <w:marLeft w:val="0"/>
                                          <w:marRight w:val="0"/>
                                          <w:marTop w:val="0"/>
                                          <w:marBottom w:val="0"/>
                                          <w:divBdr>
                                            <w:top w:val="none" w:sz="0" w:space="0" w:color="auto"/>
                                            <w:left w:val="none" w:sz="0" w:space="0" w:color="auto"/>
                                            <w:bottom w:val="none" w:sz="0" w:space="0" w:color="auto"/>
                                            <w:right w:val="none" w:sz="0" w:space="0" w:color="auto"/>
                                          </w:divBdr>
                                          <w:divsChild>
                                            <w:div w:id="17755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5305">
                                      <w:marLeft w:val="0"/>
                                      <w:marRight w:val="0"/>
                                      <w:marTop w:val="0"/>
                                      <w:marBottom w:val="0"/>
                                      <w:divBdr>
                                        <w:top w:val="none" w:sz="0" w:space="0" w:color="auto"/>
                                        <w:left w:val="none" w:sz="0" w:space="0" w:color="auto"/>
                                        <w:bottom w:val="none" w:sz="0" w:space="0" w:color="auto"/>
                                        <w:right w:val="none" w:sz="0" w:space="0" w:color="auto"/>
                                      </w:divBdr>
                                      <w:divsChild>
                                        <w:div w:id="417095515">
                                          <w:marLeft w:val="0"/>
                                          <w:marRight w:val="0"/>
                                          <w:marTop w:val="0"/>
                                          <w:marBottom w:val="0"/>
                                          <w:divBdr>
                                            <w:top w:val="none" w:sz="0" w:space="0" w:color="auto"/>
                                            <w:left w:val="none" w:sz="0" w:space="0" w:color="auto"/>
                                            <w:bottom w:val="none" w:sz="0" w:space="0" w:color="auto"/>
                                            <w:right w:val="none" w:sz="0" w:space="0" w:color="auto"/>
                                          </w:divBdr>
                                          <w:divsChild>
                                            <w:div w:id="1187907989">
                                              <w:marLeft w:val="0"/>
                                              <w:marRight w:val="0"/>
                                              <w:marTop w:val="0"/>
                                              <w:marBottom w:val="0"/>
                                              <w:divBdr>
                                                <w:top w:val="none" w:sz="0" w:space="0" w:color="auto"/>
                                                <w:left w:val="none" w:sz="0" w:space="0" w:color="auto"/>
                                                <w:bottom w:val="none" w:sz="0" w:space="0" w:color="auto"/>
                                                <w:right w:val="none" w:sz="0" w:space="0" w:color="auto"/>
                                              </w:divBdr>
                                            </w:div>
                                          </w:divsChild>
                                        </w:div>
                                        <w:div w:id="1164973082">
                                          <w:marLeft w:val="0"/>
                                          <w:marRight w:val="0"/>
                                          <w:marTop w:val="0"/>
                                          <w:marBottom w:val="0"/>
                                          <w:divBdr>
                                            <w:top w:val="none" w:sz="0" w:space="0" w:color="auto"/>
                                            <w:left w:val="none" w:sz="0" w:space="0" w:color="auto"/>
                                            <w:bottom w:val="none" w:sz="0" w:space="0" w:color="auto"/>
                                            <w:right w:val="none" w:sz="0" w:space="0" w:color="auto"/>
                                          </w:divBdr>
                                          <w:divsChild>
                                            <w:div w:id="1450781754">
                                              <w:marLeft w:val="0"/>
                                              <w:marRight w:val="0"/>
                                              <w:marTop w:val="0"/>
                                              <w:marBottom w:val="0"/>
                                              <w:divBdr>
                                                <w:top w:val="none" w:sz="0" w:space="0" w:color="auto"/>
                                                <w:left w:val="none" w:sz="0" w:space="0" w:color="auto"/>
                                                <w:bottom w:val="none" w:sz="0" w:space="0" w:color="auto"/>
                                                <w:right w:val="none" w:sz="0" w:space="0" w:color="auto"/>
                                              </w:divBdr>
                                            </w:div>
                                          </w:divsChild>
                                        </w:div>
                                        <w:div w:id="68623785">
                                          <w:marLeft w:val="0"/>
                                          <w:marRight w:val="0"/>
                                          <w:marTop w:val="0"/>
                                          <w:marBottom w:val="0"/>
                                          <w:divBdr>
                                            <w:top w:val="none" w:sz="0" w:space="0" w:color="auto"/>
                                            <w:left w:val="none" w:sz="0" w:space="0" w:color="auto"/>
                                            <w:bottom w:val="none" w:sz="0" w:space="0" w:color="auto"/>
                                            <w:right w:val="none" w:sz="0" w:space="0" w:color="auto"/>
                                          </w:divBdr>
                                          <w:divsChild>
                                            <w:div w:id="962921679">
                                              <w:marLeft w:val="0"/>
                                              <w:marRight w:val="0"/>
                                              <w:marTop w:val="0"/>
                                              <w:marBottom w:val="0"/>
                                              <w:divBdr>
                                                <w:top w:val="none" w:sz="0" w:space="0" w:color="auto"/>
                                                <w:left w:val="none" w:sz="0" w:space="0" w:color="auto"/>
                                                <w:bottom w:val="none" w:sz="0" w:space="0" w:color="auto"/>
                                                <w:right w:val="none" w:sz="0" w:space="0" w:color="auto"/>
                                              </w:divBdr>
                                            </w:div>
                                          </w:divsChild>
                                        </w:div>
                                        <w:div w:id="1199003913">
                                          <w:marLeft w:val="0"/>
                                          <w:marRight w:val="0"/>
                                          <w:marTop w:val="0"/>
                                          <w:marBottom w:val="0"/>
                                          <w:divBdr>
                                            <w:top w:val="none" w:sz="0" w:space="0" w:color="auto"/>
                                            <w:left w:val="none" w:sz="0" w:space="0" w:color="auto"/>
                                            <w:bottom w:val="none" w:sz="0" w:space="0" w:color="auto"/>
                                            <w:right w:val="none" w:sz="0" w:space="0" w:color="auto"/>
                                          </w:divBdr>
                                          <w:divsChild>
                                            <w:div w:id="2026010514">
                                              <w:marLeft w:val="0"/>
                                              <w:marRight w:val="0"/>
                                              <w:marTop w:val="0"/>
                                              <w:marBottom w:val="0"/>
                                              <w:divBdr>
                                                <w:top w:val="none" w:sz="0" w:space="0" w:color="auto"/>
                                                <w:left w:val="none" w:sz="0" w:space="0" w:color="auto"/>
                                                <w:bottom w:val="none" w:sz="0" w:space="0" w:color="auto"/>
                                                <w:right w:val="none" w:sz="0" w:space="0" w:color="auto"/>
                                              </w:divBdr>
                                            </w:div>
                                          </w:divsChild>
                                        </w:div>
                                        <w:div w:id="107745254">
                                          <w:marLeft w:val="0"/>
                                          <w:marRight w:val="0"/>
                                          <w:marTop w:val="0"/>
                                          <w:marBottom w:val="0"/>
                                          <w:divBdr>
                                            <w:top w:val="none" w:sz="0" w:space="0" w:color="auto"/>
                                            <w:left w:val="none" w:sz="0" w:space="0" w:color="auto"/>
                                            <w:bottom w:val="none" w:sz="0" w:space="0" w:color="auto"/>
                                            <w:right w:val="none" w:sz="0" w:space="0" w:color="auto"/>
                                          </w:divBdr>
                                          <w:divsChild>
                                            <w:div w:id="1488859883">
                                              <w:marLeft w:val="0"/>
                                              <w:marRight w:val="0"/>
                                              <w:marTop w:val="0"/>
                                              <w:marBottom w:val="0"/>
                                              <w:divBdr>
                                                <w:top w:val="none" w:sz="0" w:space="0" w:color="auto"/>
                                                <w:left w:val="none" w:sz="0" w:space="0" w:color="auto"/>
                                                <w:bottom w:val="none" w:sz="0" w:space="0" w:color="auto"/>
                                                <w:right w:val="none" w:sz="0" w:space="0" w:color="auto"/>
                                              </w:divBdr>
                                            </w:div>
                                          </w:divsChild>
                                        </w:div>
                                        <w:div w:id="376785282">
                                          <w:marLeft w:val="0"/>
                                          <w:marRight w:val="0"/>
                                          <w:marTop w:val="0"/>
                                          <w:marBottom w:val="0"/>
                                          <w:divBdr>
                                            <w:top w:val="none" w:sz="0" w:space="0" w:color="auto"/>
                                            <w:left w:val="none" w:sz="0" w:space="0" w:color="auto"/>
                                            <w:bottom w:val="none" w:sz="0" w:space="0" w:color="auto"/>
                                            <w:right w:val="none" w:sz="0" w:space="0" w:color="auto"/>
                                          </w:divBdr>
                                          <w:divsChild>
                                            <w:div w:id="1840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1167">
                                      <w:marLeft w:val="0"/>
                                      <w:marRight w:val="0"/>
                                      <w:marTop w:val="0"/>
                                      <w:marBottom w:val="0"/>
                                      <w:divBdr>
                                        <w:top w:val="none" w:sz="0" w:space="0" w:color="auto"/>
                                        <w:left w:val="none" w:sz="0" w:space="0" w:color="auto"/>
                                        <w:bottom w:val="none" w:sz="0" w:space="0" w:color="auto"/>
                                        <w:right w:val="none" w:sz="0" w:space="0" w:color="auto"/>
                                      </w:divBdr>
                                      <w:divsChild>
                                        <w:div w:id="1348016941">
                                          <w:marLeft w:val="0"/>
                                          <w:marRight w:val="0"/>
                                          <w:marTop w:val="0"/>
                                          <w:marBottom w:val="0"/>
                                          <w:divBdr>
                                            <w:top w:val="none" w:sz="0" w:space="0" w:color="auto"/>
                                            <w:left w:val="none" w:sz="0" w:space="0" w:color="auto"/>
                                            <w:bottom w:val="none" w:sz="0" w:space="0" w:color="auto"/>
                                            <w:right w:val="none" w:sz="0" w:space="0" w:color="auto"/>
                                          </w:divBdr>
                                          <w:divsChild>
                                            <w:div w:id="1514760955">
                                              <w:marLeft w:val="0"/>
                                              <w:marRight w:val="0"/>
                                              <w:marTop w:val="0"/>
                                              <w:marBottom w:val="0"/>
                                              <w:divBdr>
                                                <w:top w:val="none" w:sz="0" w:space="0" w:color="auto"/>
                                                <w:left w:val="none" w:sz="0" w:space="0" w:color="auto"/>
                                                <w:bottom w:val="none" w:sz="0" w:space="0" w:color="auto"/>
                                                <w:right w:val="none" w:sz="0" w:space="0" w:color="auto"/>
                                              </w:divBdr>
                                            </w:div>
                                          </w:divsChild>
                                        </w:div>
                                        <w:div w:id="529147312">
                                          <w:marLeft w:val="0"/>
                                          <w:marRight w:val="0"/>
                                          <w:marTop w:val="0"/>
                                          <w:marBottom w:val="0"/>
                                          <w:divBdr>
                                            <w:top w:val="none" w:sz="0" w:space="0" w:color="auto"/>
                                            <w:left w:val="none" w:sz="0" w:space="0" w:color="auto"/>
                                            <w:bottom w:val="none" w:sz="0" w:space="0" w:color="auto"/>
                                            <w:right w:val="none" w:sz="0" w:space="0" w:color="auto"/>
                                          </w:divBdr>
                                          <w:divsChild>
                                            <w:div w:id="657147860">
                                              <w:marLeft w:val="0"/>
                                              <w:marRight w:val="0"/>
                                              <w:marTop w:val="0"/>
                                              <w:marBottom w:val="0"/>
                                              <w:divBdr>
                                                <w:top w:val="none" w:sz="0" w:space="0" w:color="auto"/>
                                                <w:left w:val="none" w:sz="0" w:space="0" w:color="auto"/>
                                                <w:bottom w:val="none" w:sz="0" w:space="0" w:color="auto"/>
                                                <w:right w:val="none" w:sz="0" w:space="0" w:color="auto"/>
                                              </w:divBdr>
                                            </w:div>
                                          </w:divsChild>
                                        </w:div>
                                        <w:div w:id="1181432645">
                                          <w:marLeft w:val="0"/>
                                          <w:marRight w:val="0"/>
                                          <w:marTop w:val="0"/>
                                          <w:marBottom w:val="0"/>
                                          <w:divBdr>
                                            <w:top w:val="none" w:sz="0" w:space="0" w:color="auto"/>
                                            <w:left w:val="none" w:sz="0" w:space="0" w:color="auto"/>
                                            <w:bottom w:val="none" w:sz="0" w:space="0" w:color="auto"/>
                                            <w:right w:val="none" w:sz="0" w:space="0" w:color="auto"/>
                                          </w:divBdr>
                                          <w:divsChild>
                                            <w:div w:id="1652515885">
                                              <w:marLeft w:val="0"/>
                                              <w:marRight w:val="0"/>
                                              <w:marTop w:val="0"/>
                                              <w:marBottom w:val="0"/>
                                              <w:divBdr>
                                                <w:top w:val="none" w:sz="0" w:space="0" w:color="auto"/>
                                                <w:left w:val="none" w:sz="0" w:space="0" w:color="auto"/>
                                                <w:bottom w:val="none" w:sz="0" w:space="0" w:color="auto"/>
                                                <w:right w:val="none" w:sz="0" w:space="0" w:color="auto"/>
                                              </w:divBdr>
                                            </w:div>
                                          </w:divsChild>
                                        </w:div>
                                        <w:div w:id="1911189639">
                                          <w:marLeft w:val="0"/>
                                          <w:marRight w:val="0"/>
                                          <w:marTop w:val="0"/>
                                          <w:marBottom w:val="0"/>
                                          <w:divBdr>
                                            <w:top w:val="none" w:sz="0" w:space="0" w:color="auto"/>
                                            <w:left w:val="none" w:sz="0" w:space="0" w:color="auto"/>
                                            <w:bottom w:val="none" w:sz="0" w:space="0" w:color="auto"/>
                                            <w:right w:val="none" w:sz="0" w:space="0" w:color="auto"/>
                                          </w:divBdr>
                                          <w:divsChild>
                                            <w:div w:id="1711416589">
                                              <w:marLeft w:val="0"/>
                                              <w:marRight w:val="0"/>
                                              <w:marTop w:val="0"/>
                                              <w:marBottom w:val="0"/>
                                              <w:divBdr>
                                                <w:top w:val="none" w:sz="0" w:space="0" w:color="auto"/>
                                                <w:left w:val="none" w:sz="0" w:space="0" w:color="auto"/>
                                                <w:bottom w:val="none" w:sz="0" w:space="0" w:color="auto"/>
                                                <w:right w:val="none" w:sz="0" w:space="0" w:color="auto"/>
                                              </w:divBdr>
                                            </w:div>
                                          </w:divsChild>
                                        </w:div>
                                        <w:div w:id="59445286">
                                          <w:marLeft w:val="0"/>
                                          <w:marRight w:val="0"/>
                                          <w:marTop w:val="0"/>
                                          <w:marBottom w:val="0"/>
                                          <w:divBdr>
                                            <w:top w:val="none" w:sz="0" w:space="0" w:color="auto"/>
                                            <w:left w:val="none" w:sz="0" w:space="0" w:color="auto"/>
                                            <w:bottom w:val="none" w:sz="0" w:space="0" w:color="auto"/>
                                            <w:right w:val="none" w:sz="0" w:space="0" w:color="auto"/>
                                          </w:divBdr>
                                          <w:divsChild>
                                            <w:div w:id="821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295661">
      <w:bodyDiv w:val="1"/>
      <w:marLeft w:val="0"/>
      <w:marRight w:val="0"/>
      <w:marTop w:val="0"/>
      <w:marBottom w:val="0"/>
      <w:divBdr>
        <w:top w:val="none" w:sz="0" w:space="0" w:color="auto"/>
        <w:left w:val="none" w:sz="0" w:space="0" w:color="auto"/>
        <w:bottom w:val="none" w:sz="0" w:space="0" w:color="auto"/>
        <w:right w:val="none" w:sz="0" w:space="0" w:color="auto"/>
      </w:divBdr>
    </w:div>
    <w:div w:id="1530609699">
      <w:bodyDiv w:val="1"/>
      <w:marLeft w:val="0"/>
      <w:marRight w:val="0"/>
      <w:marTop w:val="0"/>
      <w:marBottom w:val="0"/>
      <w:divBdr>
        <w:top w:val="none" w:sz="0" w:space="0" w:color="auto"/>
        <w:left w:val="none" w:sz="0" w:space="0" w:color="auto"/>
        <w:bottom w:val="none" w:sz="0" w:space="0" w:color="auto"/>
        <w:right w:val="none" w:sz="0" w:space="0" w:color="auto"/>
      </w:divBdr>
      <w:divsChild>
        <w:div w:id="1989479764">
          <w:marLeft w:val="0"/>
          <w:marRight w:val="0"/>
          <w:marTop w:val="0"/>
          <w:marBottom w:val="0"/>
          <w:divBdr>
            <w:top w:val="none" w:sz="0" w:space="0" w:color="auto"/>
            <w:left w:val="none" w:sz="0" w:space="0" w:color="auto"/>
            <w:bottom w:val="none" w:sz="0" w:space="0" w:color="auto"/>
            <w:right w:val="none" w:sz="0" w:space="0" w:color="auto"/>
          </w:divBdr>
          <w:divsChild>
            <w:div w:id="125703199">
              <w:marLeft w:val="0"/>
              <w:marRight w:val="0"/>
              <w:marTop w:val="0"/>
              <w:marBottom w:val="0"/>
              <w:divBdr>
                <w:top w:val="none" w:sz="0" w:space="0" w:color="auto"/>
                <w:left w:val="none" w:sz="0" w:space="0" w:color="auto"/>
                <w:bottom w:val="none" w:sz="0" w:space="0" w:color="auto"/>
                <w:right w:val="none" w:sz="0" w:space="0" w:color="auto"/>
              </w:divBdr>
              <w:divsChild>
                <w:div w:id="1624000767">
                  <w:marLeft w:val="0"/>
                  <w:marRight w:val="0"/>
                  <w:marTop w:val="0"/>
                  <w:marBottom w:val="0"/>
                  <w:divBdr>
                    <w:top w:val="none" w:sz="0" w:space="0" w:color="auto"/>
                    <w:left w:val="none" w:sz="0" w:space="0" w:color="auto"/>
                    <w:bottom w:val="none" w:sz="0" w:space="0" w:color="auto"/>
                    <w:right w:val="none" w:sz="0" w:space="0" w:color="auto"/>
                  </w:divBdr>
                  <w:divsChild>
                    <w:div w:id="2039354952">
                      <w:marLeft w:val="0"/>
                      <w:marRight w:val="0"/>
                      <w:marTop w:val="0"/>
                      <w:marBottom w:val="0"/>
                      <w:divBdr>
                        <w:top w:val="none" w:sz="0" w:space="0" w:color="auto"/>
                        <w:left w:val="none" w:sz="0" w:space="0" w:color="auto"/>
                        <w:bottom w:val="none" w:sz="0" w:space="0" w:color="auto"/>
                        <w:right w:val="none" w:sz="0" w:space="0" w:color="auto"/>
                      </w:divBdr>
                      <w:divsChild>
                        <w:div w:id="1911426576">
                          <w:marLeft w:val="0"/>
                          <w:marRight w:val="0"/>
                          <w:marTop w:val="0"/>
                          <w:marBottom w:val="0"/>
                          <w:divBdr>
                            <w:top w:val="none" w:sz="0" w:space="0" w:color="auto"/>
                            <w:left w:val="none" w:sz="0" w:space="0" w:color="auto"/>
                            <w:bottom w:val="none" w:sz="0" w:space="0" w:color="auto"/>
                            <w:right w:val="none" w:sz="0" w:space="0" w:color="auto"/>
                          </w:divBdr>
                          <w:divsChild>
                            <w:div w:id="486635234">
                              <w:marLeft w:val="0"/>
                              <w:marRight w:val="0"/>
                              <w:marTop w:val="0"/>
                              <w:marBottom w:val="0"/>
                              <w:divBdr>
                                <w:top w:val="none" w:sz="0" w:space="0" w:color="auto"/>
                                <w:left w:val="none" w:sz="0" w:space="0" w:color="auto"/>
                                <w:bottom w:val="none" w:sz="0" w:space="0" w:color="auto"/>
                                <w:right w:val="none" w:sz="0" w:space="0" w:color="auto"/>
                              </w:divBdr>
                              <w:divsChild>
                                <w:div w:id="1399592645">
                                  <w:marLeft w:val="0"/>
                                  <w:marRight w:val="0"/>
                                  <w:marTop w:val="0"/>
                                  <w:marBottom w:val="0"/>
                                  <w:divBdr>
                                    <w:top w:val="none" w:sz="0" w:space="0" w:color="auto"/>
                                    <w:left w:val="none" w:sz="0" w:space="0" w:color="auto"/>
                                    <w:bottom w:val="none" w:sz="0" w:space="0" w:color="auto"/>
                                    <w:right w:val="none" w:sz="0" w:space="0" w:color="auto"/>
                                  </w:divBdr>
                                  <w:divsChild>
                                    <w:div w:id="1937052662">
                                      <w:marLeft w:val="0"/>
                                      <w:marRight w:val="0"/>
                                      <w:marTop w:val="0"/>
                                      <w:marBottom w:val="0"/>
                                      <w:divBdr>
                                        <w:top w:val="none" w:sz="0" w:space="0" w:color="auto"/>
                                        <w:left w:val="none" w:sz="0" w:space="0" w:color="auto"/>
                                        <w:bottom w:val="none" w:sz="0" w:space="0" w:color="auto"/>
                                        <w:right w:val="none" w:sz="0" w:space="0" w:color="auto"/>
                                      </w:divBdr>
                                      <w:divsChild>
                                        <w:div w:id="1852530768">
                                          <w:marLeft w:val="0"/>
                                          <w:marRight w:val="0"/>
                                          <w:marTop w:val="0"/>
                                          <w:marBottom w:val="0"/>
                                          <w:divBdr>
                                            <w:top w:val="none" w:sz="0" w:space="0" w:color="auto"/>
                                            <w:left w:val="none" w:sz="0" w:space="0" w:color="auto"/>
                                            <w:bottom w:val="none" w:sz="0" w:space="0" w:color="auto"/>
                                            <w:right w:val="none" w:sz="0" w:space="0" w:color="auto"/>
                                          </w:divBdr>
                                        </w:div>
                                        <w:div w:id="216861082">
                                          <w:marLeft w:val="0"/>
                                          <w:marRight w:val="0"/>
                                          <w:marTop w:val="0"/>
                                          <w:marBottom w:val="0"/>
                                          <w:divBdr>
                                            <w:top w:val="none" w:sz="0" w:space="0" w:color="auto"/>
                                            <w:left w:val="none" w:sz="0" w:space="0" w:color="auto"/>
                                            <w:bottom w:val="none" w:sz="0" w:space="0" w:color="auto"/>
                                            <w:right w:val="none" w:sz="0" w:space="0" w:color="auto"/>
                                          </w:divBdr>
                                          <w:divsChild>
                                            <w:div w:id="5263308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573361">
      <w:bodyDiv w:val="1"/>
      <w:marLeft w:val="0"/>
      <w:marRight w:val="0"/>
      <w:marTop w:val="0"/>
      <w:marBottom w:val="0"/>
      <w:divBdr>
        <w:top w:val="none" w:sz="0" w:space="0" w:color="auto"/>
        <w:left w:val="none" w:sz="0" w:space="0" w:color="auto"/>
        <w:bottom w:val="none" w:sz="0" w:space="0" w:color="auto"/>
        <w:right w:val="none" w:sz="0" w:space="0" w:color="auto"/>
      </w:divBdr>
    </w:div>
    <w:div w:id="1532645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32">
          <w:marLeft w:val="0"/>
          <w:marRight w:val="0"/>
          <w:marTop w:val="0"/>
          <w:marBottom w:val="0"/>
          <w:divBdr>
            <w:top w:val="none" w:sz="0" w:space="0" w:color="auto"/>
            <w:left w:val="none" w:sz="0" w:space="0" w:color="auto"/>
            <w:bottom w:val="none" w:sz="0" w:space="0" w:color="auto"/>
            <w:right w:val="none" w:sz="0" w:space="0" w:color="auto"/>
          </w:divBdr>
          <w:divsChild>
            <w:div w:id="1555313470">
              <w:marLeft w:val="0"/>
              <w:marRight w:val="0"/>
              <w:marTop w:val="0"/>
              <w:marBottom w:val="0"/>
              <w:divBdr>
                <w:top w:val="none" w:sz="0" w:space="0" w:color="auto"/>
                <w:left w:val="none" w:sz="0" w:space="0" w:color="auto"/>
                <w:bottom w:val="none" w:sz="0" w:space="0" w:color="auto"/>
                <w:right w:val="none" w:sz="0" w:space="0" w:color="auto"/>
              </w:divBdr>
              <w:divsChild>
                <w:div w:id="682509870">
                  <w:marLeft w:val="0"/>
                  <w:marRight w:val="0"/>
                  <w:marTop w:val="0"/>
                  <w:marBottom w:val="0"/>
                  <w:divBdr>
                    <w:top w:val="none" w:sz="0" w:space="0" w:color="auto"/>
                    <w:left w:val="none" w:sz="0" w:space="0" w:color="auto"/>
                    <w:bottom w:val="none" w:sz="0" w:space="0" w:color="auto"/>
                    <w:right w:val="none" w:sz="0" w:space="0" w:color="auto"/>
                  </w:divBdr>
                  <w:divsChild>
                    <w:div w:id="2041591833">
                      <w:marLeft w:val="0"/>
                      <w:marRight w:val="0"/>
                      <w:marTop w:val="0"/>
                      <w:marBottom w:val="0"/>
                      <w:divBdr>
                        <w:top w:val="none" w:sz="0" w:space="0" w:color="auto"/>
                        <w:left w:val="none" w:sz="0" w:space="0" w:color="auto"/>
                        <w:bottom w:val="none" w:sz="0" w:space="0" w:color="auto"/>
                        <w:right w:val="none" w:sz="0" w:space="0" w:color="auto"/>
                      </w:divBdr>
                      <w:divsChild>
                        <w:div w:id="731930190">
                          <w:marLeft w:val="0"/>
                          <w:marRight w:val="0"/>
                          <w:marTop w:val="0"/>
                          <w:marBottom w:val="0"/>
                          <w:divBdr>
                            <w:top w:val="none" w:sz="0" w:space="0" w:color="auto"/>
                            <w:left w:val="none" w:sz="0" w:space="0" w:color="auto"/>
                            <w:bottom w:val="none" w:sz="0" w:space="0" w:color="auto"/>
                            <w:right w:val="none" w:sz="0" w:space="0" w:color="auto"/>
                          </w:divBdr>
                          <w:divsChild>
                            <w:div w:id="1248147661">
                              <w:marLeft w:val="0"/>
                              <w:marRight w:val="0"/>
                              <w:marTop w:val="0"/>
                              <w:marBottom w:val="0"/>
                              <w:divBdr>
                                <w:top w:val="none" w:sz="0" w:space="0" w:color="auto"/>
                                <w:left w:val="none" w:sz="0" w:space="0" w:color="auto"/>
                                <w:bottom w:val="none" w:sz="0" w:space="0" w:color="auto"/>
                                <w:right w:val="none" w:sz="0" w:space="0" w:color="auto"/>
                              </w:divBdr>
                              <w:divsChild>
                                <w:div w:id="540018904">
                                  <w:marLeft w:val="0"/>
                                  <w:marRight w:val="0"/>
                                  <w:marTop w:val="0"/>
                                  <w:marBottom w:val="0"/>
                                  <w:divBdr>
                                    <w:top w:val="none" w:sz="0" w:space="0" w:color="auto"/>
                                    <w:left w:val="none" w:sz="0" w:space="0" w:color="auto"/>
                                    <w:bottom w:val="none" w:sz="0" w:space="0" w:color="auto"/>
                                    <w:right w:val="none" w:sz="0" w:space="0" w:color="auto"/>
                                  </w:divBdr>
                                  <w:divsChild>
                                    <w:div w:id="392122278">
                                      <w:marLeft w:val="0"/>
                                      <w:marRight w:val="0"/>
                                      <w:marTop w:val="0"/>
                                      <w:marBottom w:val="0"/>
                                      <w:divBdr>
                                        <w:top w:val="none" w:sz="0" w:space="0" w:color="auto"/>
                                        <w:left w:val="none" w:sz="0" w:space="0" w:color="auto"/>
                                        <w:bottom w:val="none" w:sz="0" w:space="0" w:color="auto"/>
                                        <w:right w:val="none" w:sz="0" w:space="0" w:color="auto"/>
                                      </w:divBdr>
                                      <w:divsChild>
                                        <w:div w:id="237639852">
                                          <w:marLeft w:val="0"/>
                                          <w:marRight w:val="0"/>
                                          <w:marTop w:val="0"/>
                                          <w:marBottom w:val="0"/>
                                          <w:divBdr>
                                            <w:top w:val="none" w:sz="0" w:space="0" w:color="auto"/>
                                            <w:left w:val="none" w:sz="0" w:space="0" w:color="auto"/>
                                            <w:bottom w:val="none" w:sz="0" w:space="0" w:color="auto"/>
                                            <w:right w:val="none" w:sz="0" w:space="0" w:color="auto"/>
                                          </w:divBdr>
                                          <w:divsChild>
                                            <w:div w:id="1640261439">
                                              <w:marLeft w:val="0"/>
                                              <w:marRight w:val="0"/>
                                              <w:marTop w:val="0"/>
                                              <w:marBottom w:val="0"/>
                                              <w:divBdr>
                                                <w:top w:val="none" w:sz="0" w:space="0" w:color="auto"/>
                                                <w:left w:val="none" w:sz="0" w:space="0" w:color="auto"/>
                                                <w:bottom w:val="none" w:sz="0" w:space="0" w:color="auto"/>
                                                <w:right w:val="none" w:sz="0" w:space="0" w:color="auto"/>
                                              </w:divBdr>
                                              <w:divsChild>
                                                <w:div w:id="339360388">
                                                  <w:marLeft w:val="0"/>
                                                  <w:marRight w:val="0"/>
                                                  <w:marTop w:val="0"/>
                                                  <w:marBottom w:val="0"/>
                                                  <w:divBdr>
                                                    <w:top w:val="none" w:sz="0" w:space="0" w:color="auto"/>
                                                    <w:left w:val="none" w:sz="0" w:space="0" w:color="auto"/>
                                                    <w:bottom w:val="none" w:sz="0" w:space="0" w:color="auto"/>
                                                    <w:right w:val="none" w:sz="0" w:space="0" w:color="auto"/>
                                                  </w:divBdr>
                                                  <w:divsChild>
                                                    <w:div w:id="1153253214">
                                                      <w:marLeft w:val="0"/>
                                                      <w:marRight w:val="0"/>
                                                      <w:marTop w:val="0"/>
                                                      <w:marBottom w:val="0"/>
                                                      <w:divBdr>
                                                        <w:top w:val="none" w:sz="0" w:space="0" w:color="auto"/>
                                                        <w:left w:val="none" w:sz="0" w:space="0" w:color="auto"/>
                                                        <w:bottom w:val="none" w:sz="0" w:space="0" w:color="auto"/>
                                                        <w:right w:val="none" w:sz="0" w:space="0" w:color="auto"/>
                                                      </w:divBdr>
                                                      <w:divsChild>
                                                        <w:div w:id="276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843141">
      <w:bodyDiv w:val="1"/>
      <w:marLeft w:val="0"/>
      <w:marRight w:val="0"/>
      <w:marTop w:val="0"/>
      <w:marBottom w:val="0"/>
      <w:divBdr>
        <w:top w:val="none" w:sz="0" w:space="0" w:color="auto"/>
        <w:left w:val="none" w:sz="0" w:space="0" w:color="auto"/>
        <w:bottom w:val="none" w:sz="0" w:space="0" w:color="auto"/>
        <w:right w:val="none" w:sz="0" w:space="0" w:color="auto"/>
      </w:divBdr>
      <w:divsChild>
        <w:div w:id="1621298052">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0"/>
              <w:marRight w:val="0"/>
              <w:marTop w:val="0"/>
              <w:marBottom w:val="0"/>
              <w:divBdr>
                <w:top w:val="none" w:sz="0" w:space="0" w:color="auto"/>
                <w:left w:val="none" w:sz="0" w:space="0" w:color="auto"/>
                <w:bottom w:val="none" w:sz="0" w:space="0" w:color="auto"/>
                <w:right w:val="none" w:sz="0" w:space="0" w:color="auto"/>
              </w:divBdr>
              <w:divsChild>
                <w:div w:id="1352611499">
                  <w:marLeft w:val="0"/>
                  <w:marRight w:val="0"/>
                  <w:marTop w:val="0"/>
                  <w:marBottom w:val="0"/>
                  <w:divBdr>
                    <w:top w:val="none" w:sz="0" w:space="0" w:color="auto"/>
                    <w:left w:val="none" w:sz="0" w:space="0" w:color="auto"/>
                    <w:bottom w:val="none" w:sz="0" w:space="0" w:color="auto"/>
                    <w:right w:val="none" w:sz="0" w:space="0" w:color="auto"/>
                  </w:divBdr>
                  <w:divsChild>
                    <w:div w:id="1022706127">
                      <w:marLeft w:val="0"/>
                      <w:marRight w:val="0"/>
                      <w:marTop w:val="0"/>
                      <w:marBottom w:val="0"/>
                      <w:divBdr>
                        <w:top w:val="none" w:sz="0" w:space="0" w:color="auto"/>
                        <w:left w:val="none" w:sz="0" w:space="0" w:color="auto"/>
                        <w:bottom w:val="none" w:sz="0" w:space="0" w:color="auto"/>
                        <w:right w:val="none" w:sz="0" w:space="0" w:color="auto"/>
                      </w:divBdr>
                      <w:divsChild>
                        <w:div w:id="1430272713">
                          <w:marLeft w:val="0"/>
                          <w:marRight w:val="0"/>
                          <w:marTop w:val="0"/>
                          <w:marBottom w:val="0"/>
                          <w:divBdr>
                            <w:top w:val="none" w:sz="0" w:space="0" w:color="auto"/>
                            <w:left w:val="none" w:sz="0" w:space="0" w:color="auto"/>
                            <w:bottom w:val="none" w:sz="0" w:space="0" w:color="auto"/>
                            <w:right w:val="none" w:sz="0" w:space="0" w:color="auto"/>
                          </w:divBdr>
                          <w:divsChild>
                            <w:div w:id="1273050658">
                              <w:marLeft w:val="0"/>
                              <w:marRight w:val="0"/>
                              <w:marTop w:val="0"/>
                              <w:marBottom w:val="0"/>
                              <w:divBdr>
                                <w:top w:val="none" w:sz="0" w:space="0" w:color="auto"/>
                                <w:left w:val="none" w:sz="0" w:space="0" w:color="auto"/>
                                <w:bottom w:val="none" w:sz="0" w:space="0" w:color="auto"/>
                                <w:right w:val="none" w:sz="0" w:space="0" w:color="auto"/>
                              </w:divBdr>
                              <w:divsChild>
                                <w:div w:id="287012681">
                                  <w:marLeft w:val="0"/>
                                  <w:marRight w:val="0"/>
                                  <w:marTop w:val="0"/>
                                  <w:marBottom w:val="0"/>
                                  <w:divBdr>
                                    <w:top w:val="none" w:sz="0" w:space="0" w:color="auto"/>
                                    <w:left w:val="none" w:sz="0" w:space="0" w:color="auto"/>
                                    <w:bottom w:val="none" w:sz="0" w:space="0" w:color="auto"/>
                                    <w:right w:val="none" w:sz="0" w:space="0" w:color="auto"/>
                                  </w:divBdr>
                                  <w:divsChild>
                                    <w:div w:id="2069255141">
                                      <w:marLeft w:val="0"/>
                                      <w:marRight w:val="0"/>
                                      <w:marTop w:val="0"/>
                                      <w:marBottom w:val="0"/>
                                      <w:divBdr>
                                        <w:top w:val="none" w:sz="0" w:space="0" w:color="auto"/>
                                        <w:left w:val="none" w:sz="0" w:space="0" w:color="auto"/>
                                        <w:bottom w:val="none" w:sz="0" w:space="0" w:color="auto"/>
                                        <w:right w:val="none" w:sz="0" w:space="0" w:color="auto"/>
                                      </w:divBdr>
                                      <w:divsChild>
                                        <w:div w:id="91365608">
                                          <w:marLeft w:val="0"/>
                                          <w:marRight w:val="0"/>
                                          <w:marTop w:val="0"/>
                                          <w:marBottom w:val="0"/>
                                          <w:divBdr>
                                            <w:top w:val="none" w:sz="0" w:space="0" w:color="auto"/>
                                            <w:left w:val="none" w:sz="0" w:space="0" w:color="auto"/>
                                            <w:bottom w:val="none" w:sz="0" w:space="0" w:color="auto"/>
                                            <w:right w:val="none" w:sz="0" w:space="0" w:color="auto"/>
                                          </w:divBdr>
                                          <w:divsChild>
                                            <w:div w:id="710416859">
                                              <w:marLeft w:val="0"/>
                                              <w:marRight w:val="0"/>
                                              <w:marTop w:val="0"/>
                                              <w:marBottom w:val="0"/>
                                              <w:divBdr>
                                                <w:top w:val="none" w:sz="0" w:space="0" w:color="auto"/>
                                                <w:left w:val="none" w:sz="0" w:space="0" w:color="auto"/>
                                                <w:bottom w:val="none" w:sz="0" w:space="0" w:color="auto"/>
                                                <w:right w:val="none" w:sz="0" w:space="0" w:color="auto"/>
                                              </w:divBdr>
                                              <w:divsChild>
                                                <w:div w:id="1378816119">
                                                  <w:marLeft w:val="0"/>
                                                  <w:marRight w:val="0"/>
                                                  <w:marTop w:val="0"/>
                                                  <w:marBottom w:val="0"/>
                                                  <w:divBdr>
                                                    <w:top w:val="none" w:sz="0" w:space="0" w:color="auto"/>
                                                    <w:left w:val="none" w:sz="0" w:space="0" w:color="auto"/>
                                                    <w:bottom w:val="none" w:sz="0" w:space="0" w:color="auto"/>
                                                    <w:right w:val="none" w:sz="0" w:space="0" w:color="auto"/>
                                                  </w:divBdr>
                                                  <w:divsChild>
                                                    <w:div w:id="285550730">
                                                      <w:marLeft w:val="0"/>
                                                      <w:marRight w:val="0"/>
                                                      <w:marTop w:val="0"/>
                                                      <w:marBottom w:val="0"/>
                                                      <w:divBdr>
                                                        <w:top w:val="none" w:sz="0" w:space="0" w:color="auto"/>
                                                        <w:left w:val="none" w:sz="0" w:space="0" w:color="auto"/>
                                                        <w:bottom w:val="none" w:sz="0" w:space="0" w:color="auto"/>
                                                        <w:right w:val="none" w:sz="0" w:space="0" w:color="auto"/>
                                                      </w:divBdr>
                                                      <w:divsChild>
                                                        <w:div w:id="8319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3616832">
      <w:bodyDiv w:val="1"/>
      <w:marLeft w:val="0"/>
      <w:marRight w:val="0"/>
      <w:marTop w:val="0"/>
      <w:marBottom w:val="0"/>
      <w:divBdr>
        <w:top w:val="none" w:sz="0" w:space="0" w:color="auto"/>
        <w:left w:val="none" w:sz="0" w:space="0" w:color="auto"/>
        <w:bottom w:val="none" w:sz="0" w:space="0" w:color="auto"/>
        <w:right w:val="none" w:sz="0" w:space="0" w:color="auto"/>
      </w:divBdr>
    </w:div>
    <w:div w:id="1534883451">
      <w:bodyDiv w:val="1"/>
      <w:marLeft w:val="0"/>
      <w:marRight w:val="0"/>
      <w:marTop w:val="0"/>
      <w:marBottom w:val="0"/>
      <w:divBdr>
        <w:top w:val="none" w:sz="0" w:space="0" w:color="auto"/>
        <w:left w:val="none" w:sz="0" w:space="0" w:color="auto"/>
        <w:bottom w:val="none" w:sz="0" w:space="0" w:color="auto"/>
        <w:right w:val="none" w:sz="0" w:space="0" w:color="auto"/>
      </w:divBdr>
      <w:divsChild>
        <w:div w:id="98725538">
          <w:marLeft w:val="0"/>
          <w:marRight w:val="0"/>
          <w:marTop w:val="0"/>
          <w:marBottom w:val="0"/>
          <w:divBdr>
            <w:top w:val="none" w:sz="0" w:space="0" w:color="auto"/>
            <w:left w:val="none" w:sz="0" w:space="0" w:color="auto"/>
            <w:bottom w:val="none" w:sz="0" w:space="0" w:color="auto"/>
            <w:right w:val="none" w:sz="0" w:space="0" w:color="auto"/>
          </w:divBdr>
          <w:divsChild>
            <w:div w:id="24717485">
              <w:marLeft w:val="0"/>
              <w:marRight w:val="0"/>
              <w:marTop w:val="0"/>
              <w:marBottom w:val="0"/>
              <w:divBdr>
                <w:top w:val="none" w:sz="0" w:space="0" w:color="auto"/>
                <w:left w:val="none" w:sz="0" w:space="0" w:color="auto"/>
                <w:bottom w:val="none" w:sz="0" w:space="0" w:color="auto"/>
                <w:right w:val="none" w:sz="0" w:space="0" w:color="auto"/>
              </w:divBdr>
              <w:divsChild>
                <w:div w:id="678240498">
                  <w:marLeft w:val="0"/>
                  <w:marRight w:val="0"/>
                  <w:marTop w:val="0"/>
                  <w:marBottom w:val="0"/>
                  <w:divBdr>
                    <w:top w:val="none" w:sz="0" w:space="0" w:color="auto"/>
                    <w:left w:val="none" w:sz="0" w:space="0" w:color="auto"/>
                    <w:bottom w:val="none" w:sz="0" w:space="0" w:color="auto"/>
                    <w:right w:val="none" w:sz="0" w:space="0" w:color="auto"/>
                  </w:divBdr>
                  <w:divsChild>
                    <w:div w:id="1327173731">
                      <w:marLeft w:val="0"/>
                      <w:marRight w:val="0"/>
                      <w:marTop w:val="0"/>
                      <w:marBottom w:val="0"/>
                      <w:divBdr>
                        <w:top w:val="none" w:sz="0" w:space="0" w:color="auto"/>
                        <w:left w:val="none" w:sz="0" w:space="0" w:color="auto"/>
                        <w:bottom w:val="none" w:sz="0" w:space="0" w:color="auto"/>
                        <w:right w:val="none" w:sz="0" w:space="0" w:color="auto"/>
                      </w:divBdr>
                      <w:divsChild>
                        <w:div w:id="1500147308">
                          <w:marLeft w:val="0"/>
                          <w:marRight w:val="0"/>
                          <w:marTop w:val="0"/>
                          <w:marBottom w:val="0"/>
                          <w:divBdr>
                            <w:top w:val="none" w:sz="0" w:space="0" w:color="auto"/>
                            <w:left w:val="none" w:sz="0" w:space="0" w:color="auto"/>
                            <w:bottom w:val="none" w:sz="0" w:space="0" w:color="auto"/>
                            <w:right w:val="none" w:sz="0" w:space="0" w:color="auto"/>
                          </w:divBdr>
                          <w:divsChild>
                            <w:div w:id="228661065">
                              <w:marLeft w:val="0"/>
                              <w:marRight w:val="0"/>
                              <w:marTop w:val="0"/>
                              <w:marBottom w:val="0"/>
                              <w:divBdr>
                                <w:top w:val="none" w:sz="0" w:space="0" w:color="auto"/>
                                <w:left w:val="none" w:sz="0" w:space="0" w:color="auto"/>
                                <w:bottom w:val="none" w:sz="0" w:space="0" w:color="auto"/>
                                <w:right w:val="none" w:sz="0" w:space="0" w:color="auto"/>
                              </w:divBdr>
                              <w:divsChild>
                                <w:div w:id="1658681843">
                                  <w:marLeft w:val="0"/>
                                  <w:marRight w:val="0"/>
                                  <w:marTop w:val="0"/>
                                  <w:marBottom w:val="0"/>
                                  <w:divBdr>
                                    <w:top w:val="none" w:sz="0" w:space="0" w:color="auto"/>
                                    <w:left w:val="none" w:sz="0" w:space="0" w:color="auto"/>
                                    <w:bottom w:val="none" w:sz="0" w:space="0" w:color="auto"/>
                                    <w:right w:val="none" w:sz="0" w:space="0" w:color="auto"/>
                                  </w:divBdr>
                                  <w:divsChild>
                                    <w:div w:id="1218274597">
                                      <w:marLeft w:val="0"/>
                                      <w:marRight w:val="0"/>
                                      <w:marTop w:val="0"/>
                                      <w:marBottom w:val="0"/>
                                      <w:divBdr>
                                        <w:top w:val="none" w:sz="0" w:space="0" w:color="auto"/>
                                        <w:left w:val="none" w:sz="0" w:space="0" w:color="auto"/>
                                        <w:bottom w:val="none" w:sz="0" w:space="0" w:color="auto"/>
                                        <w:right w:val="none" w:sz="0" w:space="0" w:color="auto"/>
                                      </w:divBdr>
                                      <w:divsChild>
                                        <w:div w:id="2056392226">
                                          <w:marLeft w:val="0"/>
                                          <w:marRight w:val="0"/>
                                          <w:marTop w:val="0"/>
                                          <w:marBottom w:val="0"/>
                                          <w:divBdr>
                                            <w:top w:val="none" w:sz="0" w:space="0" w:color="auto"/>
                                            <w:left w:val="none" w:sz="0" w:space="0" w:color="auto"/>
                                            <w:bottom w:val="none" w:sz="0" w:space="0" w:color="auto"/>
                                            <w:right w:val="none" w:sz="0" w:space="0" w:color="auto"/>
                                          </w:divBdr>
                                          <w:divsChild>
                                            <w:div w:id="203520772">
                                              <w:marLeft w:val="0"/>
                                              <w:marRight w:val="0"/>
                                              <w:marTop w:val="0"/>
                                              <w:marBottom w:val="0"/>
                                              <w:divBdr>
                                                <w:top w:val="none" w:sz="0" w:space="0" w:color="auto"/>
                                                <w:left w:val="none" w:sz="0" w:space="0" w:color="auto"/>
                                                <w:bottom w:val="none" w:sz="0" w:space="0" w:color="auto"/>
                                                <w:right w:val="none" w:sz="0" w:space="0" w:color="auto"/>
                                              </w:divBdr>
                                              <w:divsChild>
                                                <w:div w:id="2099056681">
                                                  <w:marLeft w:val="0"/>
                                                  <w:marRight w:val="0"/>
                                                  <w:marTop w:val="0"/>
                                                  <w:marBottom w:val="0"/>
                                                  <w:divBdr>
                                                    <w:top w:val="none" w:sz="0" w:space="0" w:color="auto"/>
                                                    <w:left w:val="none" w:sz="0" w:space="0" w:color="auto"/>
                                                    <w:bottom w:val="none" w:sz="0" w:space="0" w:color="auto"/>
                                                    <w:right w:val="none" w:sz="0" w:space="0" w:color="auto"/>
                                                  </w:divBdr>
                                                  <w:divsChild>
                                                    <w:div w:id="771317333">
                                                      <w:marLeft w:val="0"/>
                                                      <w:marRight w:val="0"/>
                                                      <w:marTop w:val="0"/>
                                                      <w:marBottom w:val="0"/>
                                                      <w:divBdr>
                                                        <w:top w:val="none" w:sz="0" w:space="0" w:color="auto"/>
                                                        <w:left w:val="none" w:sz="0" w:space="0" w:color="auto"/>
                                                        <w:bottom w:val="none" w:sz="0" w:space="0" w:color="auto"/>
                                                        <w:right w:val="none" w:sz="0" w:space="0" w:color="auto"/>
                                                      </w:divBdr>
                                                      <w:divsChild>
                                                        <w:div w:id="511452981">
                                                          <w:marLeft w:val="0"/>
                                                          <w:marRight w:val="0"/>
                                                          <w:marTop w:val="0"/>
                                                          <w:marBottom w:val="0"/>
                                                          <w:divBdr>
                                                            <w:top w:val="none" w:sz="0" w:space="0" w:color="auto"/>
                                                            <w:left w:val="none" w:sz="0" w:space="0" w:color="auto"/>
                                                            <w:bottom w:val="none" w:sz="0" w:space="0" w:color="auto"/>
                                                            <w:right w:val="none" w:sz="0" w:space="0" w:color="auto"/>
                                                          </w:divBdr>
                                                          <w:divsChild>
                                                            <w:div w:id="1755281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4883627">
      <w:bodyDiv w:val="1"/>
      <w:marLeft w:val="0"/>
      <w:marRight w:val="0"/>
      <w:marTop w:val="0"/>
      <w:marBottom w:val="0"/>
      <w:divBdr>
        <w:top w:val="none" w:sz="0" w:space="0" w:color="auto"/>
        <w:left w:val="none" w:sz="0" w:space="0" w:color="auto"/>
        <w:bottom w:val="none" w:sz="0" w:space="0" w:color="auto"/>
        <w:right w:val="none" w:sz="0" w:space="0" w:color="auto"/>
      </w:divBdr>
      <w:divsChild>
        <w:div w:id="611325112">
          <w:marLeft w:val="0"/>
          <w:marRight w:val="0"/>
          <w:marTop w:val="0"/>
          <w:marBottom w:val="0"/>
          <w:divBdr>
            <w:top w:val="none" w:sz="0" w:space="0" w:color="auto"/>
            <w:left w:val="none" w:sz="0" w:space="0" w:color="auto"/>
            <w:bottom w:val="none" w:sz="0" w:space="0" w:color="auto"/>
            <w:right w:val="none" w:sz="0" w:space="0" w:color="auto"/>
          </w:divBdr>
          <w:divsChild>
            <w:div w:id="412967797">
              <w:marLeft w:val="0"/>
              <w:marRight w:val="0"/>
              <w:marTop w:val="0"/>
              <w:marBottom w:val="0"/>
              <w:divBdr>
                <w:top w:val="none" w:sz="0" w:space="0" w:color="auto"/>
                <w:left w:val="none" w:sz="0" w:space="0" w:color="auto"/>
                <w:bottom w:val="none" w:sz="0" w:space="0" w:color="auto"/>
                <w:right w:val="none" w:sz="0" w:space="0" w:color="auto"/>
              </w:divBdr>
              <w:divsChild>
                <w:div w:id="672147713">
                  <w:marLeft w:val="0"/>
                  <w:marRight w:val="0"/>
                  <w:marTop w:val="0"/>
                  <w:marBottom w:val="0"/>
                  <w:divBdr>
                    <w:top w:val="none" w:sz="0" w:space="0" w:color="auto"/>
                    <w:left w:val="none" w:sz="0" w:space="0" w:color="auto"/>
                    <w:bottom w:val="none" w:sz="0" w:space="0" w:color="auto"/>
                    <w:right w:val="none" w:sz="0" w:space="0" w:color="auto"/>
                  </w:divBdr>
                  <w:divsChild>
                    <w:div w:id="1301959503">
                      <w:marLeft w:val="0"/>
                      <w:marRight w:val="0"/>
                      <w:marTop w:val="0"/>
                      <w:marBottom w:val="0"/>
                      <w:divBdr>
                        <w:top w:val="none" w:sz="0" w:space="0" w:color="auto"/>
                        <w:left w:val="none" w:sz="0" w:space="0" w:color="auto"/>
                        <w:bottom w:val="none" w:sz="0" w:space="0" w:color="auto"/>
                        <w:right w:val="none" w:sz="0" w:space="0" w:color="auto"/>
                      </w:divBdr>
                      <w:divsChild>
                        <w:div w:id="6317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118153">
      <w:bodyDiv w:val="1"/>
      <w:marLeft w:val="0"/>
      <w:marRight w:val="0"/>
      <w:marTop w:val="0"/>
      <w:marBottom w:val="0"/>
      <w:divBdr>
        <w:top w:val="none" w:sz="0" w:space="0" w:color="auto"/>
        <w:left w:val="none" w:sz="0" w:space="0" w:color="auto"/>
        <w:bottom w:val="none" w:sz="0" w:space="0" w:color="auto"/>
        <w:right w:val="none" w:sz="0" w:space="0" w:color="auto"/>
      </w:divBdr>
      <w:divsChild>
        <w:div w:id="1492524360">
          <w:marLeft w:val="0"/>
          <w:marRight w:val="0"/>
          <w:marTop w:val="0"/>
          <w:marBottom w:val="0"/>
          <w:divBdr>
            <w:top w:val="none" w:sz="0" w:space="0" w:color="auto"/>
            <w:left w:val="none" w:sz="0" w:space="0" w:color="auto"/>
            <w:bottom w:val="none" w:sz="0" w:space="0" w:color="auto"/>
            <w:right w:val="none" w:sz="0" w:space="0" w:color="auto"/>
          </w:divBdr>
          <w:divsChild>
            <w:div w:id="963579453">
              <w:marLeft w:val="0"/>
              <w:marRight w:val="0"/>
              <w:marTop w:val="0"/>
              <w:marBottom w:val="0"/>
              <w:divBdr>
                <w:top w:val="none" w:sz="0" w:space="0" w:color="auto"/>
                <w:left w:val="none" w:sz="0" w:space="0" w:color="auto"/>
                <w:bottom w:val="none" w:sz="0" w:space="0" w:color="auto"/>
                <w:right w:val="none" w:sz="0" w:space="0" w:color="auto"/>
              </w:divBdr>
              <w:divsChild>
                <w:div w:id="479157639">
                  <w:marLeft w:val="0"/>
                  <w:marRight w:val="0"/>
                  <w:marTop w:val="0"/>
                  <w:marBottom w:val="0"/>
                  <w:divBdr>
                    <w:top w:val="none" w:sz="0" w:space="0" w:color="auto"/>
                    <w:left w:val="none" w:sz="0" w:space="0" w:color="auto"/>
                    <w:bottom w:val="none" w:sz="0" w:space="0" w:color="auto"/>
                    <w:right w:val="none" w:sz="0" w:space="0" w:color="auto"/>
                  </w:divBdr>
                  <w:divsChild>
                    <w:div w:id="172183028">
                      <w:marLeft w:val="0"/>
                      <w:marRight w:val="0"/>
                      <w:marTop w:val="0"/>
                      <w:marBottom w:val="0"/>
                      <w:divBdr>
                        <w:top w:val="none" w:sz="0" w:space="0" w:color="auto"/>
                        <w:left w:val="none" w:sz="0" w:space="0" w:color="auto"/>
                        <w:bottom w:val="none" w:sz="0" w:space="0" w:color="auto"/>
                        <w:right w:val="none" w:sz="0" w:space="0" w:color="auto"/>
                      </w:divBdr>
                      <w:divsChild>
                        <w:div w:id="10185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87024">
      <w:bodyDiv w:val="1"/>
      <w:marLeft w:val="0"/>
      <w:marRight w:val="0"/>
      <w:marTop w:val="0"/>
      <w:marBottom w:val="0"/>
      <w:divBdr>
        <w:top w:val="none" w:sz="0" w:space="0" w:color="auto"/>
        <w:left w:val="none" w:sz="0" w:space="0" w:color="auto"/>
        <w:bottom w:val="none" w:sz="0" w:space="0" w:color="auto"/>
        <w:right w:val="none" w:sz="0" w:space="0" w:color="auto"/>
      </w:divBdr>
    </w:div>
    <w:div w:id="1536888220">
      <w:bodyDiv w:val="1"/>
      <w:marLeft w:val="0"/>
      <w:marRight w:val="0"/>
      <w:marTop w:val="0"/>
      <w:marBottom w:val="0"/>
      <w:divBdr>
        <w:top w:val="none" w:sz="0" w:space="0" w:color="auto"/>
        <w:left w:val="none" w:sz="0" w:space="0" w:color="auto"/>
        <w:bottom w:val="none" w:sz="0" w:space="0" w:color="auto"/>
        <w:right w:val="none" w:sz="0" w:space="0" w:color="auto"/>
      </w:divBdr>
      <w:divsChild>
        <w:div w:id="1818911733">
          <w:marLeft w:val="0"/>
          <w:marRight w:val="0"/>
          <w:marTop w:val="0"/>
          <w:marBottom w:val="0"/>
          <w:divBdr>
            <w:top w:val="single" w:sz="6" w:space="0" w:color="0E477A"/>
            <w:left w:val="single" w:sz="6" w:space="0" w:color="0E477A"/>
            <w:bottom w:val="single" w:sz="6" w:space="0" w:color="0E477A"/>
            <w:right w:val="single" w:sz="6" w:space="0" w:color="0E477A"/>
          </w:divBdr>
          <w:divsChild>
            <w:div w:id="1355425387">
              <w:marLeft w:val="2925"/>
              <w:marRight w:val="0"/>
              <w:marTop w:val="0"/>
              <w:marBottom w:val="0"/>
              <w:divBdr>
                <w:top w:val="none" w:sz="0" w:space="0" w:color="auto"/>
                <w:left w:val="none" w:sz="0" w:space="0" w:color="auto"/>
                <w:bottom w:val="none" w:sz="0" w:space="0" w:color="auto"/>
                <w:right w:val="none" w:sz="0" w:space="0" w:color="auto"/>
              </w:divBdr>
              <w:divsChild>
                <w:div w:id="370156885">
                  <w:marLeft w:val="0"/>
                  <w:marRight w:val="0"/>
                  <w:marTop w:val="0"/>
                  <w:marBottom w:val="0"/>
                  <w:divBdr>
                    <w:top w:val="none" w:sz="0" w:space="0" w:color="auto"/>
                    <w:left w:val="none" w:sz="0" w:space="0" w:color="auto"/>
                    <w:bottom w:val="none" w:sz="0" w:space="0" w:color="auto"/>
                    <w:right w:val="none" w:sz="0" w:space="0" w:color="auto"/>
                  </w:divBdr>
                  <w:divsChild>
                    <w:div w:id="7102261">
                      <w:marLeft w:val="0"/>
                      <w:marRight w:val="150"/>
                      <w:marTop w:val="0"/>
                      <w:marBottom w:val="0"/>
                      <w:divBdr>
                        <w:top w:val="single" w:sz="6" w:space="0" w:color="CCCCCC"/>
                        <w:left w:val="single" w:sz="6" w:space="8" w:color="CCCCCC"/>
                        <w:bottom w:val="single" w:sz="6" w:space="8" w:color="CCCCCC"/>
                        <w:right w:val="single" w:sz="6" w:space="8" w:color="CCCCCC"/>
                      </w:divBdr>
                      <w:divsChild>
                        <w:div w:id="557279710">
                          <w:marLeft w:val="0"/>
                          <w:marRight w:val="0"/>
                          <w:marTop w:val="0"/>
                          <w:marBottom w:val="0"/>
                          <w:divBdr>
                            <w:top w:val="none" w:sz="0" w:space="0" w:color="auto"/>
                            <w:left w:val="none" w:sz="0" w:space="0" w:color="auto"/>
                            <w:bottom w:val="none" w:sz="0" w:space="0" w:color="auto"/>
                            <w:right w:val="none" w:sz="0" w:space="0" w:color="auto"/>
                          </w:divBdr>
                        </w:div>
                        <w:div w:id="116335805">
                          <w:marLeft w:val="0"/>
                          <w:marRight w:val="0"/>
                          <w:marTop w:val="0"/>
                          <w:marBottom w:val="0"/>
                          <w:divBdr>
                            <w:top w:val="none" w:sz="0" w:space="0" w:color="auto"/>
                            <w:left w:val="none" w:sz="0" w:space="0" w:color="auto"/>
                            <w:bottom w:val="none" w:sz="0" w:space="0" w:color="auto"/>
                            <w:right w:val="none" w:sz="0" w:space="0" w:color="auto"/>
                          </w:divBdr>
                        </w:div>
                        <w:div w:id="1760977240">
                          <w:marLeft w:val="0"/>
                          <w:marRight w:val="0"/>
                          <w:marTop w:val="0"/>
                          <w:marBottom w:val="0"/>
                          <w:divBdr>
                            <w:top w:val="none" w:sz="0" w:space="0" w:color="auto"/>
                            <w:left w:val="none" w:sz="0" w:space="0" w:color="auto"/>
                            <w:bottom w:val="none" w:sz="0" w:space="0" w:color="auto"/>
                            <w:right w:val="none" w:sz="0" w:space="0" w:color="auto"/>
                          </w:divBdr>
                        </w:div>
                        <w:div w:id="319772575">
                          <w:marLeft w:val="0"/>
                          <w:marRight w:val="0"/>
                          <w:marTop w:val="0"/>
                          <w:marBottom w:val="0"/>
                          <w:divBdr>
                            <w:top w:val="none" w:sz="0" w:space="0" w:color="auto"/>
                            <w:left w:val="none" w:sz="0" w:space="0" w:color="auto"/>
                            <w:bottom w:val="none" w:sz="0" w:space="0" w:color="auto"/>
                            <w:right w:val="none" w:sz="0" w:space="0" w:color="auto"/>
                          </w:divBdr>
                        </w:div>
                        <w:div w:id="1355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197367">
      <w:bodyDiv w:val="1"/>
      <w:marLeft w:val="0"/>
      <w:marRight w:val="0"/>
      <w:marTop w:val="0"/>
      <w:marBottom w:val="0"/>
      <w:divBdr>
        <w:top w:val="none" w:sz="0" w:space="0" w:color="auto"/>
        <w:left w:val="none" w:sz="0" w:space="0" w:color="auto"/>
        <w:bottom w:val="none" w:sz="0" w:space="0" w:color="auto"/>
        <w:right w:val="none" w:sz="0" w:space="0" w:color="auto"/>
      </w:divBdr>
      <w:divsChild>
        <w:div w:id="1009598274">
          <w:marLeft w:val="0"/>
          <w:marRight w:val="0"/>
          <w:marTop w:val="0"/>
          <w:marBottom w:val="0"/>
          <w:divBdr>
            <w:top w:val="none" w:sz="0" w:space="0" w:color="auto"/>
            <w:left w:val="none" w:sz="0" w:space="0" w:color="auto"/>
            <w:bottom w:val="none" w:sz="0" w:space="0" w:color="auto"/>
            <w:right w:val="none" w:sz="0" w:space="0" w:color="auto"/>
          </w:divBdr>
          <w:divsChild>
            <w:div w:id="1397895950">
              <w:marLeft w:val="0"/>
              <w:marRight w:val="0"/>
              <w:marTop w:val="0"/>
              <w:marBottom w:val="0"/>
              <w:divBdr>
                <w:top w:val="none" w:sz="0" w:space="0" w:color="auto"/>
                <w:left w:val="none" w:sz="0" w:space="0" w:color="auto"/>
                <w:bottom w:val="none" w:sz="0" w:space="0" w:color="auto"/>
                <w:right w:val="none" w:sz="0" w:space="0" w:color="auto"/>
              </w:divBdr>
              <w:divsChild>
                <w:div w:id="443304764">
                  <w:marLeft w:val="0"/>
                  <w:marRight w:val="0"/>
                  <w:marTop w:val="0"/>
                  <w:marBottom w:val="0"/>
                  <w:divBdr>
                    <w:top w:val="none" w:sz="0" w:space="0" w:color="auto"/>
                    <w:left w:val="none" w:sz="0" w:space="0" w:color="auto"/>
                    <w:bottom w:val="none" w:sz="0" w:space="0" w:color="auto"/>
                    <w:right w:val="none" w:sz="0" w:space="0" w:color="auto"/>
                  </w:divBdr>
                  <w:divsChild>
                    <w:div w:id="1129251487">
                      <w:marLeft w:val="0"/>
                      <w:marRight w:val="0"/>
                      <w:marTop w:val="0"/>
                      <w:marBottom w:val="0"/>
                      <w:divBdr>
                        <w:top w:val="none" w:sz="0" w:space="0" w:color="auto"/>
                        <w:left w:val="none" w:sz="0" w:space="0" w:color="auto"/>
                        <w:bottom w:val="none" w:sz="0" w:space="0" w:color="auto"/>
                        <w:right w:val="none" w:sz="0" w:space="0" w:color="auto"/>
                      </w:divBdr>
                      <w:divsChild>
                        <w:div w:id="977614783">
                          <w:marLeft w:val="0"/>
                          <w:marRight w:val="0"/>
                          <w:marTop w:val="0"/>
                          <w:marBottom w:val="0"/>
                          <w:divBdr>
                            <w:top w:val="none" w:sz="0" w:space="0" w:color="auto"/>
                            <w:left w:val="none" w:sz="0" w:space="0" w:color="auto"/>
                            <w:bottom w:val="none" w:sz="0" w:space="0" w:color="auto"/>
                            <w:right w:val="none" w:sz="0" w:space="0" w:color="auto"/>
                          </w:divBdr>
                          <w:divsChild>
                            <w:div w:id="59182146">
                              <w:marLeft w:val="0"/>
                              <w:marRight w:val="0"/>
                              <w:marTop w:val="0"/>
                              <w:marBottom w:val="0"/>
                              <w:divBdr>
                                <w:top w:val="none" w:sz="0" w:space="0" w:color="auto"/>
                                <w:left w:val="none" w:sz="0" w:space="0" w:color="auto"/>
                                <w:bottom w:val="none" w:sz="0" w:space="0" w:color="auto"/>
                                <w:right w:val="none" w:sz="0" w:space="0" w:color="auto"/>
                              </w:divBdr>
                              <w:divsChild>
                                <w:div w:id="1558398727">
                                  <w:marLeft w:val="0"/>
                                  <w:marRight w:val="0"/>
                                  <w:marTop w:val="0"/>
                                  <w:marBottom w:val="0"/>
                                  <w:divBdr>
                                    <w:top w:val="none" w:sz="0" w:space="0" w:color="auto"/>
                                    <w:left w:val="none" w:sz="0" w:space="0" w:color="auto"/>
                                    <w:bottom w:val="none" w:sz="0" w:space="0" w:color="auto"/>
                                    <w:right w:val="none" w:sz="0" w:space="0" w:color="auto"/>
                                  </w:divBdr>
                                  <w:divsChild>
                                    <w:div w:id="1641183620">
                                      <w:marLeft w:val="0"/>
                                      <w:marRight w:val="0"/>
                                      <w:marTop w:val="0"/>
                                      <w:marBottom w:val="0"/>
                                      <w:divBdr>
                                        <w:top w:val="none" w:sz="0" w:space="0" w:color="auto"/>
                                        <w:left w:val="none" w:sz="0" w:space="0" w:color="auto"/>
                                        <w:bottom w:val="none" w:sz="0" w:space="0" w:color="auto"/>
                                        <w:right w:val="none" w:sz="0" w:space="0" w:color="auto"/>
                                      </w:divBdr>
                                      <w:divsChild>
                                        <w:div w:id="1709064866">
                                          <w:marLeft w:val="0"/>
                                          <w:marRight w:val="0"/>
                                          <w:marTop w:val="0"/>
                                          <w:marBottom w:val="0"/>
                                          <w:divBdr>
                                            <w:top w:val="none" w:sz="0" w:space="0" w:color="auto"/>
                                            <w:left w:val="none" w:sz="0" w:space="0" w:color="auto"/>
                                            <w:bottom w:val="none" w:sz="0" w:space="0" w:color="auto"/>
                                            <w:right w:val="none" w:sz="0" w:space="0" w:color="auto"/>
                                          </w:divBdr>
                                          <w:divsChild>
                                            <w:div w:id="1247111138">
                                              <w:marLeft w:val="0"/>
                                              <w:marRight w:val="0"/>
                                              <w:marTop w:val="0"/>
                                              <w:marBottom w:val="0"/>
                                              <w:divBdr>
                                                <w:top w:val="none" w:sz="0" w:space="0" w:color="auto"/>
                                                <w:left w:val="none" w:sz="0" w:space="0" w:color="auto"/>
                                                <w:bottom w:val="none" w:sz="0" w:space="0" w:color="auto"/>
                                                <w:right w:val="none" w:sz="0" w:space="0" w:color="auto"/>
                                              </w:divBdr>
                                              <w:divsChild>
                                                <w:div w:id="2071614378">
                                                  <w:marLeft w:val="0"/>
                                                  <w:marRight w:val="0"/>
                                                  <w:marTop w:val="0"/>
                                                  <w:marBottom w:val="0"/>
                                                  <w:divBdr>
                                                    <w:top w:val="none" w:sz="0" w:space="0" w:color="auto"/>
                                                    <w:left w:val="none" w:sz="0" w:space="0" w:color="auto"/>
                                                    <w:bottom w:val="none" w:sz="0" w:space="0" w:color="auto"/>
                                                    <w:right w:val="none" w:sz="0" w:space="0" w:color="auto"/>
                                                  </w:divBdr>
                                                  <w:divsChild>
                                                    <w:div w:id="818810837">
                                                      <w:marLeft w:val="0"/>
                                                      <w:marRight w:val="0"/>
                                                      <w:marTop w:val="0"/>
                                                      <w:marBottom w:val="0"/>
                                                      <w:divBdr>
                                                        <w:top w:val="none" w:sz="0" w:space="0" w:color="auto"/>
                                                        <w:left w:val="none" w:sz="0" w:space="0" w:color="auto"/>
                                                        <w:bottom w:val="none" w:sz="0" w:space="0" w:color="auto"/>
                                                        <w:right w:val="none" w:sz="0" w:space="0" w:color="auto"/>
                                                      </w:divBdr>
                                                      <w:divsChild>
                                                        <w:div w:id="1650746105">
                                                          <w:marLeft w:val="0"/>
                                                          <w:marRight w:val="0"/>
                                                          <w:marTop w:val="0"/>
                                                          <w:marBottom w:val="0"/>
                                                          <w:divBdr>
                                                            <w:top w:val="none" w:sz="0" w:space="0" w:color="auto"/>
                                                            <w:left w:val="none" w:sz="0" w:space="0" w:color="auto"/>
                                                            <w:bottom w:val="none" w:sz="0" w:space="0" w:color="auto"/>
                                                            <w:right w:val="none" w:sz="0" w:space="0" w:color="auto"/>
                                                          </w:divBdr>
                                                        </w:div>
                                                        <w:div w:id="284048319">
                                                          <w:marLeft w:val="0"/>
                                                          <w:marRight w:val="0"/>
                                                          <w:marTop w:val="0"/>
                                                          <w:marBottom w:val="0"/>
                                                          <w:divBdr>
                                                            <w:top w:val="none" w:sz="0" w:space="0" w:color="auto"/>
                                                            <w:left w:val="none" w:sz="0" w:space="0" w:color="auto"/>
                                                            <w:bottom w:val="none" w:sz="0" w:space="0" w:color="auto"/>
                                                            <w:right w:val="none" w:sz="0" w:space="0" w:color="auto"/>
                                                          </w:divBdr>
                                                          <w:divsChild>
                                                            <w:div w:id="14671604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615186">
      <w:bodyDiv w:val="1"/>
      <w:marLeft w:val="0"/>
      <w:marRight w:val="0"/>
      <w:marTop w:val="0"/>
      <w:marBottom w:val="0"/>
      <w:divBdr>
        <w:top w:val="none" w:sz="0" w:space="0" w:color="auto"/>
        <w:left w:val="none" w:sz="0" w:space="0" w:color="auto"/>
        <w:bottom w:val="none" w:sz="0" w:space="0" w:color="auto"/>
        <w:right w:val="none" w:sz="0" w:space="0" w:color="auto"/>
      </w:divBdr>
    </w:div>
    <w:div w:id="1538621263">
      <w:bodyDiv w:val="1"/>
      <w:marLeft w:val="0"/>
      <w:marRight w:val="0"/>
      <w:marTop w:val="0"/>
      <w:marBottom w:val="0"/>
      <w:divBdr>
        <w:top w:val="none" w:sz="0" w:space="0" w:color="auto"/>
        <w:left w:val="none" w:sz="0" w:space="0" w:color="auto"/>
        <w:bottom w:val="none" w:sz="0" w:space="0" w:color="auto"/>
        <w:right w:val="none" w:sz="0" w:space="0" w:color="auto"/>
      </w:divBdr>
    </w:div>
    <w:div w:id="1538817112">
      <w:bodyDiv w:val="1"/>
      <w:marLeft w:val="0"/>
      <w:marRight w:val="0"/>
      <w:marTop w:val="0"/>
      <w:marBottom w:val="0"/>
      <w:divBdr>
        <w:top w:val="none" w:sz="0" w:space="0" w:color="auto"/>
        <w:left w:val="none" w:sz="0" w:space="0" w:color="auto"/>
        <w:bottom w:val="none" w:sz="0" w:space="0" w:color="auto"/>
        <w:right w:val="none" w:sz="0" w:space="0" w:color="auto"/>
      </w:divBdr>
      <w:divsChild>
        <w:div w:id="2089577158">
          <w:marLeft w:val="0"/>
          <w:marRight w:val="0"/>
          <w:marTop w:val="0"/>
          <w:marBottom w:val="0"/>
          <w:divBdr>
            <w:top w:val="none" w:sz="0" w:space="0" w:color="auto"/>
            <w:left w:val="none" w:sz="0" w:space="0" w:color="auto"/>
            <w:bottom w:val="none" w:sz="0" w:space="0" w:color="auto"/>
            <w:right w:val="none" w:sz="0" w:space="0" w:color="auto"/>
          </w:divBdr>
        </w:div>
      </w:divsChild>
    </w:div>
    <w:div w:id="1539195678">
      <w:bodyDiv w:val="1"/>
      <w:marLeft w:val="0"/>
      <w:marRight w:val="0"/>
      <w:marTop w:val="0"/>
      <w:marBottom w:val="0"/>
      <w:divBdr>
        <w:top w:val="none" w:sz="0" w:space="0" w:color="auto"/>
        <w:left w:val="none" w:sz="0" w:space="0" w:color="auto"/>
        <w:bottom w:val="none" w:sz="0" w:space="0" w:color="auto"/>
        <w:right w:val="none" w:sz="0" w:space="0" w:color="auto"/>
      </w:divBdr>
    </w:div>
    <w:div w:id="1539275334">
      <w:bodyDiv w:val="1"/>
      <w:marLeft w:val="0"/>
      <w:marRight w:val="0"/>
      <w:marTop w:val="0"/>
      <w:marBottom w:val="0"/>
      <w:divBdr>
        <w:top w:val="none" w:sz="0" w:space="0" w:color="auto"/>
        <w:left w:val="none" w:sz="0" w:space="0" w:color="auto"/>
        <w:bottom w:val="none" w:sz="0" w:space="0" w:color="auto"/>
        <w:right w:val="none" w:sz="0" w:space="0" w:color="auto"/>
      </w:divBdr>
    </w:div>
    <w:div w:id="1540632720">
      <w:bodyDiv w:val="1"/>
      <w:marLeft w:val="0"/>
      <w:marRight w:val="0"/>
      <w:marTop w:val="0"/>
      <w:marBottom w:val="0"/>
      <w:divBdr>
        <w:top w:val="none" w:sz="0" w:space="0" w:color="auto"/>
        <w:left w:val="none" w:sz="0" w:space="0" w:color="auto"/>
        <w:bottom w:val="none" w:sz="0" w:space="0" w:color="auto"/>
        <w:right w:val="none" w:sz="0" w:space="0" w:color="auto"/>
      </w:divBdr>
      <w:divsChild>
        <w:div w:id="1080759296">
          <w:marLeft w:val="0"/>
          <w:marRight w:val="0"/>
          <w:marTop w:val="0"/>
          <w:marBottom w:val="0"/>
          <w:divBdr>
            <w:top w:val="none" w:sz="0" w:space="0" w:color="auto"/>
            <w:left w:val="none" w:sz="0" w:space="0" w:color="auto"/>
            <w:bottom w:val="none" w:sz="0" w:space="0" w:color="auto"/>
            <w:right w:val="none" w:sz="0" w:space="0" w:color="auto"/>
          </w:divBdr>
          <w:divsChild>
            <w:div w:id="1330713086">
              <w:marLeft w:val="0"/>
              <w:marRight w:val="0"/>
              <w:marTop w:val="0"/>
              <w:marBottom w:val="0"/>
              <w:divBdr>
                <w:top w:val="none" w:sz="0" w:space="0" w:color="auto"/>
                <w:left w:val="none" w:sz="0" w:space="0" w:color="auto"/>
                <w:bottom w:val="none" w:sz="0" w:space="0" w:color="auto"/>
                <w:right w:val="none" w:sz="0" w:space="0" w:color="auto"/>
              </w:divBdr>
              <w:divsChild>
                <w:div w:id="918632494">
                  <w:marLeft w:val="0"/>
                  <w:marRight w:val="0"/>
                  <w:marTop w:val="0"/>
                  <w:marBottom w:val="0"/>
                  <w:divBdr>
                    <w:top w:val="none" w:sz="0" w:space="0" w:color="auto"/>
                    <w:left w:val="none" w:sz="0" w:space="0" w:color="auto"/>
                    <w:bottom w:val="none" w:sz="0" w:space="0" w:color="auto"/>
                    <w:right w:val="none" w:sz="0" w:space="0" w:color="auto"/>
                  </w:divBdr>
                  <w:divsChild>
                    <w:div w:id="1681471513">
                      <w:marLeft w:val="0"/>
                      <w:marRight w:val="0"/>
                      <w:marTop w:val="0"/>
                      <w:marBottom w:val="0"/>
                      <w:divBdr>
                        <w:top w:val="none" w:sz="0" w:space="0" w:color="auto"/>
                        <w:left w:val="none" w:sz="0" w:space="0" w:color="auto"/>
                        <w:bottom w:val="none" w:sz="0" w:space="0" w:color="auto"/>
                        <w:right w:val="none" w:sz="0" w:space="0" w:color="auto"/>
                      </w:divBdr>
                      <w:divsChild>
                        <w:div w:id="2266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283183">
      <w:bodyDiv w:val="1"/>
      <w:marLeft w:val="0"/>
      <w:marRight w:val="0"/>
      <w:marTop w:val="0"/>
      <w:marBottom w:val="0"/>
      <w:divBdr>
        <w:top w:val="none" w:sz="0" w:space="0" w:color="auto"/>
        <w:left w:val="none" w:sz="0" w:space="0" w:color="auto"/>
        <w:bottom w:val="none" w:sz="0" w:space="0" w:color="auto"/>
        <w:right w:val="none" w:sz="0" w:space="0" w:color="auto"/>
      </w:divBdr>
      <w:divsChild>
        <w:div w:id="83887925">
          <w:marLeft w:val="0"/>
          <w:marRight w:val="0"/>
          <w:marTop w:val="0"/>
          <w:marBottom w:val="0"/>
          <w:divBdr>
            <w:top w:val="none" w:sz="0" w:space="0" w:color="auto"/>
            <w:left w:val="none" w:sz="0" w:space="0" w:color="auto"/>
            <w:bottom w:val="none" w:sz="0" w:space="0" w:color="auto"/>
            <w:right w:val="none" w:sz="0" w:space="0" w:color="auto"/>
          </w:divBdr>
          <w:divsChild>
            <w:div w:id="1426996600">
              <w:marLeft w:val="0"/>
              <w:marRight w:val="0"/>
              <w:marTop w:val="0"/>
              <w:marBottom w:val="0"/>
              <w:divBdr>
                <w:top w:val="none" w:sz="0" w:space="0" w:color="auto"/>
                <w:left w:val="none" w:sz="0" w:space="0" w:color="auto"/>
                <w:bottom w:val="none" w:sz="0" w:space="0" w:color="auto"/>
                <w:right w:val="none" w:sz="0" w:space="0" w:color="auto"/>
              </w:divBdr>
            </w:div>
            <w:div w:id="1294558018">
              <w:marLeft w:val="0"/>
              <w:marRight w:val="0"/>
              <w:marTop w:val="0"/>
              <w:marBottom w:val="0"/>
              <w:divBdr>
                <w:top w:val="none" w:sz="0" w:space="0" w:color="auto"/>
                <w:left w:val="none" w:sz="0" w:space="0" w:color="auto"/>
                <w:bottom w:val="none" w:sz="0" w:space="0" w:color="auto"/>
                <w:right w:val="none" w:sz="0" w:space="0" w:color="auto"/>
              </w:divBdr>
            </w:div>
          </w:divsChild>
        </w:div>
        <w:div w:id="498470038">
          <w:marLeft w:val="0"/>
          <w:marRight w:val="0"/>
          <w:marTop w:val="0"/>
          <w:marBottom w:val="0"/>
          <w:divBdr>
            <w:top w:val="none" w:sz="0" w:space="0" w:color="auto"/>
            <w:left w:val="none" w:sz="0" w:space="0" w:color="auto"/>
            <w:bottom w:val="none" w:sz="0" w:space="0" w:color="auto"/>
            <w:right w:val="none" w:sz="0" w:space="0" w:color="auto"/>
          </w:divBdr>
        </w:div>
      </w:divsChild>
    </w:div>
    <w:div w:id="1541480380">
      <w:bodyDiv w:val="1"/>
      <w:marLeft w:val="0"/>
      <w:marRight w:val="0"/>
      <w:marTop w:val="0"/>
      <w:marBottom w:val="0"/>
      <w:divBdr>
        <w:top w:val="none" w:sz="0" w:space="0" w:color="auto"/>
        <w:left w:val="none" w:sz="0" w:space="0" w:color="auto"/>
        <w:bottom w:val="none" w:sz="0" w:space="0" w:color="auto"/>
        <w:right w:val="none" w:sz="0" w:space="0" w:color="auto"/>
      </w:divBdr>
      <w:divsChild>
        <w:div w:id="658966651">
          <w:marLeft w:val="0"/>
          <w:marRight w:val="0"/>
          <w:marTop w:val="0"/>
          <w:marBottom w:val="0"/>
          <w:divBdr>
            <w:top w:val="none" w:sz="0" w:space="0" w:color="auto"/>
            <w:left w:val="none" w:sz="0" w:space="0" w:color="auto"/>
            <w:bottom w:val="none" w:sz="0" w:space="0" w:color="auto"/>
            <w:right w:val="none" w:sz="0" w:space="0" w:color="auto"/>
          </w:divBdr>
          <w:divsChild>
            <w:div w:id="1175921804">
              <w:marLeft w:val="0"/>
              <w:marRight w:val="0"/>
              <w:marTop w:val="0"/>
              <w:marBottom w:val="0"/>
              <w:divBdr>
                <w:top w:val="none" w:sz="0" w:space="0" w:color="auto"/>
                <w:left w:val="none" w:sz="0" w:space="0" w:color="auto"/>
                <w:bottom w:val="none" w:sz="0" w:space="0" w:color="auto"/>
                <w:right w:val="none" w:sz="0" w:space="0" w:color="auto"/>
              </w:divBdr>
              <w:divsChild>
                <w:div w:id="609819959">
                  <w:marLeft w:val="0"/>
                  <w:marRight w:val="0"/>
                  <w:marTop w:val="0"/>
                  <w:marBottom w:val="0"/>
                  <w:divBdr>
                    <w:top w:val="none" w:sz="0" w:space="0" w:color="auto"/>
                    <w:left w:val="none" w:sz="0" w:space="0" w:color="auto"/>
                    <w:bottom w:val="none" w:sz="0" w:space="0" w:color="auto"/>
                    <w:right w:val="none" w:sz="0" w:space="0" w:color="auto"/>
                  </w:divBdr>
                  <w:divsChild>
                    <w:div w:id="947809115">
                      <w:marLeft w:val="0"/>
                      <w:marRight w:val="0"/>
                      <w:marTop w:val="0"/>
                      <w:marBottom w:val="0"/>
                      <w:divBdr>
                        <w:top w:val="none" w:sz="0" w:space="0" w:color="auto"/>
                        <w:left w:val="none" w:sz="0" w:space="0" w:color="auto"/>
                        <w:bottom w:val="none" w:sz="0" w:space="0" w:color="auto"/>
                        <w:right w:val="none" w:sz="0" w:space="0" w:color="auto"/>
                      </w:divBdr>
                      <w:divsChild>
                        <w:div w:id="673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326077">
      <w:bodyDiv w:val="1"/>
      <w:marLeft w:val="0"/>
      <w:marRight w:val="0"/>
      <w:marTop w:val="0"/>
      <w:marBottom w:val="0"/>
      <w:divBdr>
        <w:top w:val="none" w:sz="0" w:space="0" w:color="auto"/>
        <w:left w:val="none" w:sz="0" w:space="0" w:color="auto"/>
        <w:bottom w:val="none" w:sz="0" w:space="0" w:color="auto"/>
        <w:right w:val="none" w:sz="0" w:space="0" w:color="auto"/>
      </w:divBdr>
      <w:divsChild>
        <w:div w:id="62991018">
          <w:marLeft w:val="0"/>
          <w:marRight w:val="0"/>
          <w:marTop w:val="0"/>
          <w:marBottom w:val="0"/>
          <w:divBdr>
            <w:top w:val="none" w:sz="0" w:space="0" w:color="auto"/>
            <w:left w:val="none" w:sz="0" w:space="0" w:color="auto"/>
            <w:bottom w:val="none" w:sz="0" w:space="0" w:color="auto"/>
            <w:right w:val="none" w:sz="0" w:space="0" w:color="auto"/>
          </w:divBdr>
          <w:divsChild>
            <w:div w:id="2069183535">
              <w:marLeft w:val="0"/>
              <w:marRight w:val="0"/>
              <w:marTop w:val="0"/>
              <w:marBottom w:val="0"/>
              <w:divBdr>
                <w:top w:val="none" w:sz="0" w:space="0" w:color="auto"/>
                <w:left w:val="none" w:sz="0" w:space="0" w:color="auto"/>
                <w:bottom w:val="none" w:sz="0" w:space="0" w:color="auto"/>
                <w:right w:val="none" w:sz="0" w:space="0" w:color="auto"/>
              </w:divBdr>
              <w:divsChild>
                <w:div w:id="1335379853">
                  <w:marLeft w:val="0"/>
                  <w:marRight w:val="0"/>
                  <w:marTop w:val="0"/>
                  <w:marBottom w:val="0"/>
                  <w:divBdr>
                    <w:top w:val="none" w:sz="0" w:space="0" w:color="auto"/>
                    <w:left w:val="none" w:sz="0" w:space="0" w:color="auto"/>
                    <w:bottom w:val="none" w:sz="0" w:space="0" w:color="auto"/>
                    <w:right w:val="none" w:sz="0" w:space="0" w:color="auto"/>
                  </w:divBdr>
                  <w:divsChild>
                    <w:div w:id="1636983583">
                      <w:marLeft w:val="0"/>
                      <w:marRight w:val="0"/>
                      <w:marTop w:val="0"/>
                      <w:marBottom w:val="0"/>
                      <w:divBdr>
                        <w:top w:val="none" w:sz="0" w:space="0" w:color="auto"/>
                        <w:left w:val="none" w:sz="0" w:space="0" w:color="auto"/>
                        <w:bottom w:val="none" w:sz="0" w:space="0" w:color="auto"/>
                        <w:right w:val="none" w:sz="0" w:space="0" w:color="auto"/>
                      </w:divBdr>
                      <w:divsChild>
                        <w:div w:id="1516991602">
                          <w:marLeft w:val="0"/>
                          <w:marRight w:val="0"/>
                          <w:marTop w:val="0"/>
                          <w:marBottom w:val="0"/>
                          <w:divBdr>
                            <w:top w:val="none" w:sz="0" w:space="0" w:color="auto"/>
                            <w:left w:val="none" w:sz="0" w:space="0" w:color="auto"/>
                            <w:bottom w:val="none" w:sz="0" w:space="0" w:color="auto"/>
                            <w:right w:val="none" w:sz="0" w:space="0" w:color="auto"/>
                          </w:divBdr>
                          <w:divsChild>
                            <w:div w:id="2073918502">
                              <w:marLeft w:val="0"/>
                              <w:marRight w:val="0"/>
                              <w:marTop w:val="0"/>
                              <w:marBottom w:val="0"/>
                              <w:divBdr>
                                <w:top w:val="none" w:sz="0" w:space="0" w:color="auto"/>
                                <w:left w:val="none" w:sz="0" w:space="0" w:color="auto"/>
                                <w:bottom w:val="none" w:sz="0" w:space="0" w:color="auto"/>
                                <w:right w:val="none" w:sz="0" w:space="0" w:color="auto"/>
                              </w:divBdr>
                              <w:divsChild>
                                <w:div w:id="1974361581">
                                  <w:marLeft w:val="0"/>
                                  <w:marRight w:val="0"/>
                                  <w:marTop w:val="0"/>
                                  <w:marBottom w:val="0"/>
                                  <w:divBdr>
                                    <w:top w:val="none" w:sz="0" w:space="0" w:color="auto"/>
                                    <w:left w:val="none" w:sz="0" w:space="0" w:color="auto"/>
                                    <w:bottom w:val="none" w:sz="0" w:space="0" w:color="auto"/>
                                    <w:right w:val="none" w:sz="0" w:space="0" w:color="auto"/>
                                  </w:divBdr>
                                  <w:divsChild>
                                    <w:div w:id="311908458">
                                      <w:marLeft w:val="0"/>
                                      <w:marRight w:val="0"/>
                                      <w:marTop w:val="0"/>
                                      <w:marBottom w:val="0"/>
                                      <w:divBdr>
                                        <w:top w:val="none" w:sz="0" w:space="0" w:color="auto"/>
                                        <w:left w:val="none" w:sz="0" w:space="0" w:color="auto"/>
                                        <w:bottom w:val="none" w:sz="0" w:space="0" w:color="auto"/>
                                        <w:right w:val="none" w:sz="0" w:space="0" w:color="auto"/>
                                      </w:divBdr>
                                      <w:divsChild>
                                        <w:div w:id="11094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551938">
      <w:bodyDiv w:val="1"/>
      <w:marLeft w:val="0"/>
      <w:marRight w:val="0"/>
      <w:marTop w:val="0"/>
      <w:marBottom w:val="0"/>
      <w:divBdr>
        <w:top w:val="none" w:sz="0" w:space="0" w:color="auto"/>
        <w:left w:val="none" w:sz="0" w:space="0" w:color="auto"/>
        <w:bottom w:val="none" w:sz="0" w:space="0" w:color="auto"/>
        <w:right w:val="none" w:sz="0" w:space="0" w:color="auto"/>
      </w:divBdr>
      <w:divsChild>
        <w:div w:id="2122988437">
          <w:marLeft w:val="0"/>
          <w:marRight w:val="0"/>
          <w:marTop w:val="0"/>
          <w:marBottom w:val="0"/>
          <w:divBdr>
            <w:top w:val="none" w:sz="0" w:space="0" w:color="auto"/>
            <w:left w:val="none" w:sz="0" w:space="0" w:color="auto"/>
            <w:bottom w:val="none" w:sz="0" w:space="0" w:color="auto"/>
            <w:right w:val="none" w:sz="0" w:space="0" w:color="auto"/>
          </w:divBdr>
          <w:divsChild>
            <w:div w:id="415324159">
              <w:marLeft w:val="0"/>
              <w:marRight w:val="0"/>
              <w:marTop w:val="0"/>
              <w:marBottom w:val="0"/>
              <w:divBdr>
                <w:top w:val="none" w:sz="0" w:space="0" w:color="auto"/>
                <w:left w:val="none" w:sz="0" w:space="0" w:color="auto"/>
                <w:bottom w:val="none" w:sz="0" w:space="0" w:color="auto"/>
                <w:right w:val="none" w:sz="0" w:space="0" w:color="auto"/>
              </w:divBdr>
              <w:divsChild>
                <w:div w:id="1264923225">
                  <w:marLeft w:val="0"/>
                  <w:marRight w:val="0"/>
                  <w:marTop w:val="0"/>
                  <w:marBottom w:val="0"/>
                  <w:divBdr>
                    <w:top w:val="none" w:sz="0" w:space="0" w:color="auto"/>
                    <w:left w:val="none" w:sz="0" w:space="0" w:color="auto"/>
                    <w:bottom w:val="none" w:sz="0" w:space="0" w:color="auto"/>
                    <w:right w:val="none" w:sz="0" w:space="0" w:color="auto"/>
                  </w:divBdr>
                  <w:divsChild>
                    <w:div w:id="856581849">
                      <w:marLeft w:val="0"/>
                      <w:marRight w:val="0"/>
                      <w:marTop w:val="0"/>
                      <w:marBottom w:val="0"/>
                      <w:divBdr>
                        <w:top w:val="none" w:sz="0" w:space="0" w:color="auto"/>
                        <w:left w:val="none" w:sz="0" w:space="0" w:color="auto"/>
                        <w:bottom w:val="none" w:sz="0" w:space="0" w:color="auto"/>
                        <w:right w:val="none" w:sz="0" w:space="0" w:color="auto"/>
                      </w:divBdr>
                      <w:divsChild>
                        <w:div w:id="644624255">
                          <w:marLeft w:val="0"/>
                          <w:marRight w:val="0"/>
                          <w:marTop w:val="0"/>
                          <w:marBottom w:val="0"/>
                          <w:divBdr>
                            <w:top w:val="none" w:sz="0" w:space="0" w:color="auto"/>
                            <w:left w:val="none" w:sz="0" w:space="0" w:color="auto"/>
                            <w:bottom w:val="none" w:sz="0" w:space="0" w:color="auto"/>
                            <w:right w:val="none" w:sz="0" w:space="0" w:color="auto"/>
                          </w:divBdr>
                          <w:divsChild>
                            <w:div w:id="1704280410">
                              <w:marLeft w:val="0"/>
                              <w:marRight w:val="0"/>
                              <w:marTop w:val="0"/>
                              <w:marBottom w:val="0"/>
                              <w:divBdr>
                                <w:top w:val="none" w:sz="0" w:space="0" w:color="auto"/>
                                <w:left w:val="none" w:sz="0" w:space="0" w:color="auto"/>
                                <w:bottom w:val="none" w:sz="0" w:space="0" w:color="auto"/>
                                <w:right w:val="none" w:sz="0" w:space="0" w:color="auto"/>
                              </w:divBdr>
                              <w:divsChild>
                                <w:div w:id="333728542">
                                  <w:marLeft w:val="0"/>
                                  <w:marRight w:val="0"/>
                                  <w:marTop w:val="0"/>
                                  <w:marBottom w:val="0"/>
                                  <w:divBdr>
                                    <w:top w:val="none" w:sz="0" w:space="0" w:color="auto"/>
                                    <w:left w:val="none" w:sz="0" w:space="0" w:color="auto"/>
                                    <w:bottom w:val="none" w:sz="0" w:space="0" w:color="auto"/>
                                    <w:right w:val="none" w:sz="0" w:space="0" w:color="auto"/>
                                  </w:divBdr>
                                  <w:divsChild>
                                    <w:div w:id="1367828074">
                                      <w:marLeft w:val="0"/>
                                      <w:marRight w:val="0"/>
                                      <w:marTop w:val="0"/>
                                      <w:marBottom w:val="0"/>
                                      <w:divBdr>
                                        <w:top w:val="none" w:sz="0" w:space="0" w:color="auto"/>
                                        <w:left w:val="none" w:sz="0" w:space="0" w:color="auto"/>
                                        <w:bottom w:val="none" w:sz="0" w:space="0" w:color="auto"/>
                                        <w:right w:val="none" w:sz="0" w:space="0" w:color="auto"/>
                                      </w:divBdr>
                                      <w:divsChild>
                                        <w:div w:id="1627396377">
                                          <w:marLeft w:val="0"/>
                                          <w:marRight w:val="0"/>
                                          <w:marTop w:val="0"/>
                                          <w:marBottom w:val="0"/>
                                          <w:divBdr>
                                            <w:top w:val="none" w:sz="0" w:space="0" w:color="auto"/>
                                            <w:left w:val="none" w:sz="0" w:space="0" w:color="auto"/>
                                            <w:bottom w:val="none" w:sz="0" w:space="0" w:color="auto"/>
                                            <w:right w:val="none" w:sz="0" w:space="0" w:color="auto"/>
                                          </w:divBdr>
                                          <w:divsChild>
                                            <w:div w:id="76753638">
                                              <w:marLeft w:val="0"/>
                                              <w:marRight w:val="0"/>
                                              <w:marTop w:val="0"/>
                                              <w:marBottom w:val="0"/>
                                              <w:divBdr>
                                                <w:top w:val="none" w:sz="0" w:space="0" w:color="auto"/>
                                                <w:left w:val="none" w:sz="0" w:space="0" w:color="auto"/>
                                                <w:bottom w:val="none" w:sz="0" w:space="0" w:color="auto"/>
                                                <w:right w:val="none" w:sz="0" w:space="0" w:color="auto"/>
                                              </w:divBdr>
                                              <w:divsChild>
                                                <w:div w:id="1004745955">
                                                  <w:marLeft w:val="0"/>
                                                  <w:marRight w:val="0"/>
                                                  <w:marTop w:val="0"/>
                                                  <w:marBottom w:val="0"/>
                                                  <w:divBdr>
                                                    <w:top w:val="none" w:sz="0" w:space="0" w:color="auto"/>
                                                    <w:left w:val="none" w:sz="0" w:space="0" w:color="auto"/>
                                                    <w:bottom w:val="none" w:sz="0" w:space="0" w:color="auto"/>
                                                    <w:right w:val="none" w:sz="0" w:space="0" w:color="auto"/>
                                                  </w:divBdr>
                                                  <w:divsChild>
                                                    <w:div w:id="1426653482">
                                                      <w:marLeft w:val="0"/>
                                                      <w:marRight w:val="0"/>
                                                      <w:marTop w:val="0"/>
                                                      <w:marBottom w:val="0"/>
                                                      <w:divBdr>
                                                        <w:top w:val="none" w:sz="0" w:space="0" w:color="auto"/>
                                                        <w:left w:val="none" w:sz="0" w:space="0" w:color="auto"/>
                                                        <w:bottom w:val="none" w:sz="0" w:space="0" w:color="auto"/>
                                                        <w:right w:val="none" w:sz="0" w:space="0" w:color="auto"/>
                                                      </w:divBdr>
                                                      <w:divsChild>
                                                        <w:div w:id="7578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2740869">
      <w:bodyDiv w:val="1"/>
      <w:marLeft w:val="0"/>
      <w:marRight w:val="0"/>
      <w:marTop w:val="0"/>
      <w:marBottom w:val="0"/>
      <w:divBdr>
        <w:top w:val="none" w:sz="0" w:space="0" w:color="auto"/>
        <w:left w:val="none" w:sz="0" w:space="0" w:color="auto"/>
        <w:bottom w:val="none" w:sz="0" w:space="0" w:color="auto"/>
        <w:right w:val="none" w:sz="0" w:space="0" w:color="auto"/>
      </w:divBdr>
      <w:divsChild>
        <w:div w:id="1064987751">
          <w:marLeft w:val="2400"/>
          <w:marRight w:val="0"/>
          <w:marTop w:val="0"/>
          <w:marBottom w:val="0"/>
          <w:divBdr>
            <w:top w:val="none" w:sz="0" w:space="0" w:color="auto"/>
            <w:left w:val="none" w:sz="0" w:space="0" w:color="auto"/>
            <w:bottom w:val="none" w:sz="0" w:space="0" w:color="auto"/>
            <w:right w:val="none" w:sz="0" w:space="0" w:color="auto"/>
          </w:divBdr>
          <w:divsChild>
            <w:div w:id="1599412334">
              <w:marLeft w:val="0"/>
              <w:marRight w:val="0"/>
              <w:marTop w:val="0"/>
              <w:marBottom w:val="0"/>
              <w:divBdr>
                <w:top w:val="none" w:sz="0" w:space="0" w:color="auto"/>
                <w:left w:val="none" w:sz="0" w:space="0" w:color="auto"/>
                <w:bottom w:val="none" w:sz="0" w:space="0" w:color="auto"/>
                <w:right w:val="none" w:sz="0" w:space="0" w:color="auto"/>
              </w:divBdr>
              <w:divsChild>
                <w:div w:id="1518423825">
                  <w:marLeft w:val="0"/>
                  <w:marRight w:val="0"/>
                  <w:marTop w:val="0"/>
                  <w:marBottom w:val="0"/>
                  <w:divBdr>
                    <w:top w:val="none" w:sz="0" w:space="0" w:color="auto"/>
                    <w:left w:val="none" w:sz="0" w:space="0" w:color="auto"/>
                    <w:bottom w:val="none" w:sz="0" w:space="0" w:color="auto"/>
                    <w:right w:val="none" w:sz="0" w:space="0" w:color="auto"/>
                  </w:divBdr>
                  <w:divsChild>
                    <w:div w:id="1578127208">
                      <w:marLeft w:val="0"/>
                      <w:marRight w:val="0"/>
                      <w:marTop w:val="0"/>
                      <w:marBottom w:val="0"/>
                      <w:divBdr>
                        <w:top w:val="none" w:sz="0" w:space="0" w:color="auto"/>
                        <w:left w:val="none" w:sz="0" w:space="0" w:color="auto"/>
                        <w:bottom w:val="none" w:sz="0" w:space="0" w:color="auto"/>
                        <w:right w:val="none" w:sz="0" w:space="0" w:color="auto"/>
                      </w:divBdr>
                      <w:divsChild>
                        <w:div w:id="1267613699">
                          <w:marLeft w:val="0"/>
                          <w:marRight w:val="0"/>
                          <w:marTop w:val="0"/>
                          <w:marBottom w:val="0"/>
                          <w:divBdr>
                            <w:top w:val="none" w:sz="0" w:space="0" w:color="auto"/>
                            <w:left w:val="none" w:sz="0" w:space="0" w:color="auto"/>
                            <w:bottom w:val="none" w:sz="0" w:space="0" w:color="auto"/>
                            <w:right w:val="none" w:sz="0" w:space="0" w:color="auto"/>
                          </w:divBdr>
                          <w:divsChild>
                            <w:div w:id="948002634">
                              <w:marLeft w:val="0"/>
                              <w:marRight w:val="0"/>
                              <w:marTop w:val="0"/>
                              <w:marBottom w:val="0"/>
                              <w:divBdr>
                                <w:top w:val="none" w:sz="0" w:space="0" w:color="auto"/>
                                <w:left w:val="none" w:sz="0" w:space="0" w:color="auto"/>
                                <w:bottom w:val="none" w:sz="0" w:space="0" w:color="auto"/>
                                <w:right w:val="none" w:sz="0" w:space="0" w:color="auto"/>
                              </w:divBdr>
                            </w:div>
                            <w:div w:id="556280673">
                              <w:marLeft w:val="0"/>
                              <w:marRight w:val="0"/>
                              <w:marTop w:val="0"/>
                              <w:marBottom w:val="0"/>
                              <w:divBdr>
                                <w:top w:val="none" w:sz="0" w:space="0" w:color="auto"/>
                                <w:left w:val="none" w:sz="0" w:space="0" w:color="auto"/>
                                <w:bottom w:val="none" w:sz="0" w:space="0" w:color="auto"/>
                                <w:right w:val="none" w:sz="0" w:space="0" w:color="auto"/>
                              </w:divBdr>
                              <w:divsChild>
                                <w:div w:id="9513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3684">
      <w:bodyDiv w:val="1"/>
      <w:marLeft w:val="0"/>
      <w:marRight w:val="0"/>
      <w:marTop w:val="0"/>
      <w:marBottom w:val="0"/>
      <w:divBdr>
        <w:top w:val="none" w:sz="0" w:space="0" w:color="auto"/>
        <w:left w:val="none" w:sz="0" w:space="0" w:color="auto"/>
        <w:bottom w:val="none" w:sz="0" w:space="0" w:color="auto"/>
        <w:right w:val="none" w:sz="0" w:space="0" w:color="auto"/>
      </w:divBdr>
      <w:divsChild>
        <w:div w:id="364184118">
          <w:marLeft w:val="0"/>
          <w:marRight w:val="0"/>
          <w:marTop w:val="0"/>
          <w:marBottom w:val="0"/>
          <w:divBdr>
            <w:top w:val="none" w:sz="0" w:space="0" w:color="auto"/>
            <w:left w:val="none" w:sz="0" w:space="0" w:color="auto"/>
            <w:bottom w:val="none" w:sz="0" w:space="0" w:color="auto"/>
            <w:right w:val="none" w:sz="0" w:space="0" w:color="auto"/>
          </w:divBdr>
          <w:divsChild>
            <w:div w:id="2135520635">
              <w:marLeft w:val="0"/>
              <w:marRight w:val="0"/>
              <w:marTop w:val="0"/>
              <w:marBottom w:val="0"/>
              <w:divBdr>
                <w:top w:val="none" w:sz="0" w:space="0" w:color="auto"/>
                <w:left w:val="none" w:sz="0" w:space="0" w:color="auto"/>
                <w:bottom w:val="none" w:sz="0" w:space="0" w:color="auto"/>
                <w:right w:val="none" w:sz="0" w:space="0" w:color="auto"/>
              </w:divBdr>
              <w:divsChild>
                <w:div w:id="1417291362">
                  <w:marLeft w:val="0"/>
                  <w:marRight w:val="0"/>
                  <w:marTop w:val="0"/>
                  <w:marBottom w:val="0"/>
                  <w:divBdr>
                    <w:top w:val="none" w:sz="0" w:space="0" w:color="auto"/>
                    <w:left w:val="none" w:sz="0" w:space="0" w:color="auto"/>
                    <w:bottom w:val="none" w:sz="0" w:space="0" w:color="auto"/>
                    <w:right w:val="none" w:sz="0" w:space="0" w:color="auto"/>
                  </w:divBdr>
                  <w:divsChild>
                    <w:div w:id="2140875654">
                      <w:marLeft w:val="0"/>
                      <w:marRight w:val="0"/>
                      <w:marTop w:val="0"/>
                      <w:marBottom w:val="0"/>
                      <w:divBdr>
                        <w:top w:val="none" w:sz="0" w:space="0" w:color="auto"/>
                        <w:left w:val="none" w:sz="0" w:space="0" w:color="auto"/>
                        <w:bottom w:val="none" w:sz="0" w:space="0" w:color="auto"/>
                        <w:right w:val="none" w:sz="0" w:space="0" w:color="auto"/>
                      </w:divBdr>
                      <w:divsChild>
                        <w:div w:id="332993460">
                          <w:marLeft w:val="0"/>
                          <w:marRight w:val="0"/>
                          <w:marTop w:val="0"/>
                          <w:marBottom w:val="0"/>
                          <w:divBdr>
                            <w:top w:val="none" w:sz="0" w:space="0" w:color="auto"/>
                            <w:left w:val="none" w:sz="0" w:space="0" w:color="auto"/>
                            <w:bottom w:val="none" w:sz="0" w:space="0" w:color="auto"/>
                            <w:right w:val="none" w:sz="0" w:space="0" w:color="auto"/>
                          </w:divBdr>
                          <w:divsChild>
                            <w:div w:id="1829321916">
                              <w:marLeft w:val="570"/>
                              <w:marRight w:val="720"/>
                              <w:marTop w:val="120"/>
                              <w:marBottom w:val="120"/>
                              <w:divBdr>
                                <w:top w:val="none" w:sz="0" w:space="0" w:color="auto"/>
                                <w:left w:val="none" w:sz="0" w:space="0" w:color="auto"/>
                                <w:bottom w:val="none" w:sz="0" w:space="0" w:color="auto"/>
                                <w:right w:val="none" w:sz="0" w:space="0" w:color="auto"/>
                              </w:divBdr>
                              <w:divsChild>
                                <w:div w:id="976956121">
                                  <w:marLeft w:val="0"/>
                                  <w:marRight w:val="0"/>
                                  <w:marTop w:val="0"/>
                                  <w:marBottom w:val="0"/>
                                  <w:divBdr>
                                    <w:top w:val="none" w:sz="0" w:space="0" w:color="auto"/>
                                    <w:left w:val="none" w:sz="0" w:space="0" w:color="auto"/>
                                    <w:bottom w:val="none" w:sz="0" w:space="0" w:color="auto"/>
                                    <w:right w:val="none" w:sz="0" w:space="0" w:color="auto"/>
                                  </w:divBdr>
                                  <w:divsChild>
                                    <w:div w:id="1493716275">
                                      <w:marLeft w:val="0"/>
                                      <w:marRight w:val="0"/>
                                      <w:marTop w:val="0"/>
                                      <w:marBottom w:val="0"/>
                                      <w:divBdr>
                                        <w:top w:val="none" w:sz="0" w:space="0" w:color="auto"/>
                                        <w:left w:val="none" w:sz="0" w:space="0" w:color="auto"/>
                                        <w:bottom w:val="none" w:sz="0" w:space="0" w:color="auto"/>
                                        <w:right w:val="none" w:sz="0" w:space="0" w:color="auto"/>
                                      </w:divBdr>
                                      <w:divsChild>
                                        <w:div w:id="19940346">
                                          <w:marLeft w:val="0"/>
                                          <w:marRight w:val="0"/>
                                          <w:marTop w:val="0"/>
                                          <w:marBottom w:val="150"/>
                                          <w:divBdr>
                                            <w:top w:val="none" w:sz="0" w:space="0" w:color="auto"/>
                                            <w:left w:val="none" w:sz="0" w:space="0" w:color="auto"/>
                                            <w:bottom w:val="none" w:sz="0" w:space="0" w:color="auto"/>
                                            <w:right w:val="none" w:sz="0" w:space="0" w:color="auto"/>
                                          </w:divBdr>
                                          <w:divsChild>
                                            <w:div w:id="195392567">
                                              <w:marLeft w:val="0"/>
                                              <w:marRight w:val="0"/>
                                              <w:marTop w:val="0"/>
                                              <w:marBottom w:val="0"/>
                                              <w:divBdr>
                                                <w:top w:val="none" w:sz="0" w:space="0" w:color="auto"/>
                                                <w:left w:val="none" w:sz="0" w:space="0" w:color="auto"/>
                                                <w:bottom w:val="none" w:sz="0" w:space="0" w:color="auto"/>
                                                <w:right w:val="none" w:sz="0" w:space="0" w:color="auto"/>
                                              </w:divBdr>
                                              <w:divsChild>
                                                <w:div w:id="1565027726">
                                                  <w:marLeft w:val="0"/>
                                                  <w:marRight w:val="0"/>
                                                  <w:marTop w:val="0"/>
                                                  <w:marBottom w:val="240"/>
                                                  <w:divBdr>
                                                    <w:top w:val="none" w:sz="0" w:space="0" w:color="auto"/>
                                                    <w:left w:val="none" w:sz="0" w:space="0" w:color="auto"/>
                                                    <w:bottom w:val="none" w:sz="0" w:space="0" w:color="auto"/>
                                                    <w:right w:val="none" w:sz="0" w:space="0" w:color="auto"/>
                                                  </w:divBdr>
                                                </w:div>
                                                <w:div w:id="10742955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133738">
      <w:bodyDiv w:val="1"/>
      <w:marLeft w:val="0"/>
      <w:marRight w:val="0"/>
      <w:marTop w:val="0"/>
      <w:marBottom w:val="0"/>
      <w:divBdr>
        <w:top w:val="none" w:sz="0" w:space="0" w:color="auto"/>
        <w:left w:val="none" w:sz="0" w:space="0" w:color="auto"/>
        <w:bottom w:val="none" w:sz="0" w:space="0" w:color="auto"/>
        <w:right w:val="none" w:sz="0" w:space="0" w:color="auto"/>
      </w:divBdr>
      <w:divsChild>
        <w:div w:id="2146579332">
          <w:marLeft w:val="0"/>
          <w:marRight w:val="0"/>
          <w:marTop w:val="0"/>
          <w:marBottom w:val="0"/>
          <w:divBdr>
            <w:top w:val="none" w:sz="0" w:space="0" w:color="auto"/>
            <w:left w:val="single" w:sz="6" w:space="15" w:color="B4B4B4"/>
            <w:bottom w:val="single" w:sz="6" w:space="0" w:color="B4B4B4"/>
            <w:right w:val="single" w:sz="6" w:space="15" w:color="B4B4B4"/>
          </w:divBdr>
          <w:divsChild>
            <w:div w:id="881214842">
              <w:marLeft w:val="0"/>
              <w:marRight w:val="0"/>
              <w:marTop w:val="0"/>
              <w:marBottom w:val="0"/>
              <w:divBdr>
                <w:top w:val="none" w:sz="0" w:space="0" w:color="auto"/>
                <w:left w:val="none" w:sz="0" w:space="0" w:color="auto"/>
                <w:bottom w:val="none" w:sz="0" w:space="0" w:color="auto"/>
                <w:right w:val="none" w:sz="0" w:space="0" w:color="auto"/>
              </w:divBdr>
              <w:divsChild>
                <w:div w:id="84346415">
                  <w:marLeft w:val="-300"/>
                  <w:marRight w:val="0"/>
                  <w:marTop w:val="0"/>
                  <w:marBottom w:val="0"/>
                  <w:divBdr>
                    <w:top w:val="none" w:sz="0" w:space="0" w:color="auto"/>
                    <w:left w:val="none" w:sz="0" w:space="0" w:color="auto"/>
                    <w:bottom w:val="none" w:sz="0" w:space="0" w:color="auto"/>
                    <w:right w:val="none" w:sz="0" w:space="0" w:color="auto"/>
                  </w:divBdr>
                  <w:divsChild>
                    <w:div w:id="584536003">
                      <w:marLeft w:val="0"/>
                      <w:marRight w:val="0"/>
                      <w:marTop w:val="0"/>
                      <w:marBottom w:val="0"/>
                      <w:divBdr>
                        <w:top w:val="none" w:sz="0" w:space="0" w:color="auto"/>
                        <w:left w:val="none" w:sz="0" w:space="0" w:color="auto"/>
                        <w:bottom w:val="none" w:sz="0" w:space="0" w:color="auto"/>
                        <w:right w:val="none" w:sz="0" w:space="0" w:color="auto"/>
                      </w:divBdr>
                      <w:divsChild>
                        <w:div w:id="970743175">
                          <w:marLeft w:val="-300"/>
                          <w:marRight w:val="0"/>
                          <w:marTop w:val="0"/>
                          <w:marBottom w:val="0"/>
                          <w:divBdr>
                            <w:top w:val="none" w:sz="0" w:space="0" w:color="auto"/>
                            <w:left w:val="none" w:sz="0" w:space="0" w:color="auto"/>
                            <w:bottom w:val="none" w:sz="0" w:space="0" w:color="auto"/>
                            <w:right w:val="none" w:sz="0" w:space="0" w:color="auto"/>
                          </w:divBdr>
                          <w:divsChild>
                            <w:div w:id="1159269291">
                              <w:marLeft w:val="0"/>
                              <w:marRight w:val="0"/>
                              <w:marTop w:val="0"/>
                              <w:marBottom w:val="0"/>
                              <w:divBdr>
                                <w:top w:val="none" w:sz="0" w:space="0" w:color="auto"/>
                                <w:left w:val="none" w:sz="0" w:space="0" w:color="auto"/>
                                <w:bottom w:val="none" w:sz="0" w:space="0" w:color="auto"/>
                                <w:right w:val="none" w:sz="0" w:space="0" w:color="auto"/>
                              </w:divBdr>
                              <w:divsChild>
                                <w:div w:id="1719742349">
                                  <w:marLeft w:val="0"/>
                                  <w:marRight w:val="0"/>
                                  <w:marTop w:val="0"/>
                                  <w:marBottom w:val="0"/>
                                  <w:divBdr>
                                    <w:top w:val="none" w:sz="0" w:space="0" w:color="auto"/>
                                    <w:left w:val="none" w:sz="0" w:space="0" w:color="auto"/>
                                    <w:bottom w:val="none" w:sz="0" w:space="0" w:color="auto"/>
                                    <w:right w:val="none" w:sz="0" w:space="0" w:color="auto"/>
                                  </w:divBdr>
                                  <w:divsChild>
                                    <w:div w:id="209835899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1545678226">
      <w:bodyDiv w:val="1"/>
      <w:marLeft w:val="0"/>
      <w:marRight w:val="0"/>
      <w:marTop w:val="0"/>
      <w:marBottom w:val="0"/>
      <w:divBdr>
        <w:top w:val="none" w:sz="0" w:space="0" w:color="auto"/>
        <w:left w:val="none" w:sz="0" w:space="0" w:color="auto"/>
        <w:bottom w:val="none" w:sz="0" w:space="0" w:color="auto"/>
        <w:right w:val="none" w:sz="0" w:space="0" w:color="auto"/>
      </w:divBdr>
      <w:divsChild>
        <w:div w:id="1608350044">
          <w:marLeft w:val="0"/>
          <w:marRight w:val="0"/>
          <w:marTop w:val="0"/>
          <w:marBottom w:val="0"/>
          <w:divBdr>
            <w:top w:val="single" w:sz="6" w:space="0" w:color="0E477A"/>
            <w:left w:val="single" w:sz="6" w:space="0" w:color="0E477A"/>
            <w:bottom w:val="single" w:sz="6" w:space="0" w:color="0E477A"/>
            <w:right w:val="single" w:sz="6" w:space="0" w:color="0E477A"/>
          </w:divBdr>
          <w:divsChild>
            <w:div w:id="1258172955">
              <w:marLeft w:val="0"/>
              <w:marRight w:val="0"/>
              <w:marTop w:val="0"/>
              <w:marBottom w:val="0"/>
              <w:divBdr>
                <w:top w:val="none" w:sz="0" w:space="0" w:color="auto"/>
                <w:left w:val="none" w:sz="0" w:space="0" w:color="auto"/>
                <w:bottom w:val="none" w:sz="0" w:space="0" w:color="auto"/>
                <w:right w:val="none" w:sz="0" w:space="0" w:color="auto"/>
              </w:divBdr>
              <w:divsChild>
                <w:div w:id="1009016851">
                  <w:marLeft w:val="0"/>
                  <w:marRight w:val="0"/>
                  <w:marTop w:val="0"/>
                  <w:marBottom w:val="0"/>
                  <w:divBdr>
                    <w:top w:val="none" w:sz="0" w:space="0" w:color="auto"/>
                    <w:left w:val="none" w:sz="0" w:space="0" w:color="auto"/>
                    <w:bottom w:val="none" w:sz="0" w:space="0" w:color="auto"/>
                    <w:right w:val="none" w:sz="0" w:space="0" w:color="auto"/>
                  </w:divBdr>
                  <w:divsChild>
                    <w:div w:id="1914005236">
                      <w:marLeft w:val="0"/>
                      <w:marRight w:val="0"/>
                      <w:marTop w:val="0"/>
                      <w:marBottom w:val="0"/>
                      <w:divBdr>
                        <w:top w:val="none" w:sz="0" w:space="0" w:color="auto"/>
                        <w:left w:val="none" w:sz="0" w:space="0" w:color="auto"/>
                        <w:bottom w:val="none" w:sz="0" w:space="0" w:color="auto"/>
                        <w:right w:val="none" w:sz="0" w:space="0" w:color="auto"/>
                      </w:divBdr>
                      <w:divsChild>
                        <w:div w:id="1973441671">
                          <w:marLeft w:val="0"/>
                          <w:marRight w:val="0"/>
                          <w:marTop w:val="0"/>
                          <w:marBottom w:val="0"/>
                          <w:divBdr>
                            <w:top w:val="none" w:sz="0" w:space="0" w:color="auto"/>
                            <w:left w:val="none" w:sz="0" w:space="0" w:color="auto"/>
                            <w:bottom w:val="none" w:sz="0" w:space="0" w:color="auto"/>
                            <w:right w:val="none" w:sz="0" w:space="0" w:color="auto"/>
                          </w:divBdr>
                          <w:divsChild>
                            <w:div w:id="1892960044">
                              <w:marLeft w:val="0"/>
                              <w:marRight w:val="0"/>
                              <w:marTop w:val="0"/>
                              <w:marBottom w:val="0"/>
                              <w:divBdr>
                                <w:top w:val="none" w:sz="0" w:space="0" w:color="auto"/>
                                <w:left w:val="none" w:sz="0" w:space="0" w:color="auto"/>
                                <w:bottom w:val="none" w:sz="0" w:space="0" w:color="auto"/>
                                <w:right w:val="none" w:sz="0" w:space="0" w:color="auto"/>
                              </w:divBdr>
                              <w:divsChild>
                                <w:div w:id="11664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529512">
      <w:bodyDiv w:val="1"/>
      <w:marLeft w:val="0"/>
      <w:marRight w:val="0"/>
      <w:marTop w:val="0"/>
      <w:marBottom w:val="0"/>
      <w:divBdr>
        <w:top w:val="none" w:sz="0" w:space="0" w:color="auto"/>
        <w:left w:val="none" w:sz="0" w:space="0" w:color="auto"/>
        <w:bottom w:val="none" w:sz="0" w:space="0" w:color="auto"/>
        <w:right w:val="none" w:sz="0" w:space="0" w:color="auto"/>
      </w:divBdr>
    </w:div>
    <w:div w:id="1547984894">
      <w:bodyDiv w:val="1"/>
      <w:marLeft w:val="0"/>
      <w:marRight w:val="0"/>
      <w:marTop w:val="0"/>
      <w:marBottom w:val="0"/>
      <w:divBdr>
        <w:top w:val="none" w:sz="0" w:space="0" w:color="auto"/>
        <w:left w:val="none" w:sz="0" w:space="0" w:color="auto"/>
        <w:bottom w:val="none" w:sz="0" w:space="0" w:color="auto"/>
        <w:right w:val="none" w:sz="0" w:space="0" w:color="auto"/>
      </w:divBdr>
      <w:divsChild>
        <w:div w:id="1599171827">
          <w:marLeft w:val="0"/>
          <w:marRight w:val="0"/>
          <w:marTop w:val="0"/>
          <w:marBottom w:val="0"/>
          <w:divBdr>
            <w:top w:val="none" w:sz="0" w:space="0" w:color="auto"/>
            <w:left w:val="none" w:sz="0" w:space="0" w:color="auto"/>
            <w:bottom w:val="none" w:sz="0" w:space="0" w:color="auto"/>
            <w:right w:val="none" w:sz="0" w:space="0" w:color="auto"/>
          </w:divBdr>
          <w:divsChild>
            <w:div w:id="905188930">
              <w:marLeft w:val="2"/>
              <w:marRight w:val="2"/>
              <w:marTop w:val="0"/>
              <w:marBottom w:val="0"/>
              <w:divBdr>
                <w:top w:val="none" w:sz="0" w:space="0" w:color="auto"/>
                <w:left w:val="none" w:sz="0" w:space="0" w:color="auto"/>
                <w:bottom w:val="none" w:sz="0" w:space="0" w:color="auto"/>
                <w:right w:val="none" w:sz="0" w:space="0" w:color="auto"/>
              </w:divBdr>
              <w:divsChild>
                <w:div w:id="463431795">
                  <w:marLeft w:val="0"/>
                  <w:marRight w:val="0"/>
                  <w:marTop w:val="0"/>
                  <w:marBottom w:val="0"/>
                  <w:divBdr>
                    <w:top w:val="none" w:sz="0" w:space="0" w:color="auto"/>
                    <w:left w:val="none" w:sz="0" w:space="0" w:color="auto"/>
                    <w:bottom w:val="none" w:sz="0" w:space="0" w:color="auto"/>
                    <w:right w:val="none" w:sz="0" w:space="0" w:color="auto"/>
                  </w:divBdr>
                  <w:divsChild>
                    <w:div w:id="305353898">
                      <w:marLeft w:val="0"/>
                      <w:marRight w:val="0"/>
                      <w:marTop w:val="0"/>
                      <w:marBottom w:val="0"/>
                      <w:divBdr>
                        <w:top w:val="none" w:sz="0" w:space="0" w:color="auto"/>
                        <w:left w:val="none" w:sz="0" w:space="0" w:color="auto"/>
                        <w:bottom w:val="none" w:sz="0" w:space="0" w:color="auto"/>
                        <w:right w:val="none" w:sz="0" w:space="0" w:color="auto"/>
                      </w:divBdr>
                      <w:divsChild>
                        <w:div w:id="1264069862">
                          <w:marLeft w:val="0"/>
                          <w:marRight w:val="0"/>
                          <w:marTop w:val="0"/>
                          <w:marBottom w:val="0"/>
                          <w:divBdr>
                            <w:top w:val="none" w:sz="0" w:space="0" w:color="auto"/>
                            <w:left w:val="none" w:sz="0" w:space="0" w:color="auto"/>
                            <w:bottom w:val="none" w:sz="0" w:space="0" w:color="auto"/>
                            <w:right w:val="none" w:sz="0" w:space="0" w:color="auto"/>
                          </w:divBdr>
                          <w:divsChild>
                            <w:div w:id="1417559076">
                              <w:marLeft w:val="0"/>
                              <w:marRight w:val="0"/>
                              <w:marTop w:val="0"/>
                              <w:marBottom w:val="0"/>
                              <w:divBdr>
                                <w:top w:val="none" w:sz="0" w:space="0" w:color="auto"/>
                                <w:left w:val="none" w:sz="0" w:space="0" w:color="auto"/>
                                <w:bottom w:val="none" w:sz="0" w:space="0" w:color="auto"/>
                                <w:right w:val="none" w:sz="0" w:space="0" w:color="auto"/>
                              </w:divBdr>
                              <w:divsChild>
                                <w:div w:id="1089086712">
                                  <w:marLeft w:val="0"/>
                                  <w:marRight w:val="0"/>
                                  <w:marTop w:val="0"/>
                                  <w:marBottom w:val="0"/>
                                  <w:divBdr>
                                    <w:top w:val="none" w:sz="0" w:space="0" w:color="auto"/>
                                    <w:left w:val="none" w:sz="0" w:space="0" w:color="auto"/>
                                    <w:bottom w:val="none" w:sz="0" w:space="0" w:color="auto"/>
                                    <w:right w:val="none" w:sz="0" w:space="0" w:color="auto"/>
                                  </w:divBdr>
                                  <w:divsChild>
                                    <w:div w:id="284239773">
                                      <w:marLeft w:val="0"/>
                                      <w:marRight w:val="0"/>
                                      <w:marTop w:val="0"/>
                                      <w:marBottom w:val="0"/>
                                      <w:divBdr>
                                        <w:top w:val="none" w:sz="0" w:space="0" w:color="auto"/>
                                        <w:left w:val="none" w:sz="0" w:space="0" w:color="auto"/>
                                        <w:bottom w:val="none" w:sz="0" w:space="0" w:color="auto"/>
                                        <w:right w:val="none" w:sz="0" w:space="0" w:color="auto"/>
                                      </w:divBdr>
                                      <w:divsChild>
                                        <w:div w:id="1007829908">
                                          <w:marLeft w:val="0"/>
                                          <w:marRight w:val="0"/>
                                          <w:marTop w:val="0"/>
                                          <w:marBottom w:val="0"/>
                                          <w:divBdr>
                                            <w:top w:val="none" w:sz="0" w:space="0" w:color="auto"/>
                                            <w:left w:val="none" w:sz="0" w:space="0" w:color="auto"/>
                                            <w:bottom w:val="none" w:sz="0" w:space="0" w:color="auto"/>
                                            <w:right w:val="none" w:sz="0" w:space="0" w:color="auto"/>
                                          </w:divBdr>
                                          <w:divsChild>
                                            <w:div w:id="5117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028981">
      <w:bodyDiv w:val="1"/>
      <w:marLeft w:val="0"/>
      <w:marRight w:val="0"/>
      <w:marTop w:val="0"/>
      <w:marBottom w:val="0"/>
      <w:divBdr>
        <w:top w:val="none" w:sz="0" w:space="0" w:color="auto"/>
        <w:left w:val="none" w:sz="0" w:space="0" w:color="auto"/>
        <w:bottom w:val="none" w:sz="0" w:space="0" w:color="auto"/>
        <w:right w:val="none" w:sz="0" w:space="0" w:color="auto"/>
      </w:divBdr>
      <w:divsChild>
        <w:div w:id="382027713">
          <w:marLeft w:val="0"/>
          <w:marRight w:val="0"/>
          <w:marTop w:val="0"/>
          <w:marBottom w:val="0"/>
          <w:divBdr>
            <w:top w:val="single" w:sz="2" w:space="0" w:color="AAAAAA"/>
            <w:left w:val="single" w:sz="4" w:space="6" w:color="AAAAAA"/>
            <w:bottom w:val="single" w:sz="2" w:space="0" w:color="AAAAAA"/>
            <w:right w:val="single" w:sz="4" w:space="6" w:color="AAAAAA"/>
          </w:divBdr>
          <w:divsChild>
            <w:div w:id="784888500">
              <w:marLeft w:val="0"/>
              <w:marRight w:val="0"/>
              <w:marTop w:val="0"/>
              <w:marBottom w:val="0"/>
              <w:divBdr>
                <w:top w:val="none" w:sz="0" w:space="0" w:color="auto"/>
                <w:left w:val="none" w:sz="0" w:space="0" w:color="auto"/>
                <w:bottom w:val="none" w:sz="0" w:space="0" w:color="auto"/>
                <w:right w:val="none" w:sz="0" w:space="0" w:color="auto"/>
              </w:divBdr>
              <w:divsChild>
                <w:div w:id="841701180">
                  <w:marLeft w:val="0"/>
                  <w:marRight w:val="0"/>
                  <w:marTop w:val="0"/>
                  <w:marBottom w:val="0"/>
                  <w:divBdr>
                    <w:top w:val="none" w:sz="0" w:space="0" w:color="auto"/>
                    <w:left w:val="none" w:sz="0" w:space="0" w:color="auto"/>
                    <w:bottom w:val="none" w:sz="0" w:space="0" w:color="auto"/>
                    <w:right w:val="none" w:sz="0" w:space="0" w:color="auto"/>
                  </w:divBdr>
                  <w:divsChild>
                    <w:div w:id="870847410">
                      <w:marLeft w:val="0"/>
                      <w:marRight w:val="2129"/>
                      <w:marTop w:val="0"/>
                      <w:marBottom w:val="48"/>
                      <w:divBdr>
                        <w:top w:val="none" w:sz="0" w:space="0" w:color="auto"/>
                        <w:left w:val="none" w:sz="0" w:space="0" w:color="auto"/>
                        <w:bottom w:val="none" w:sz="0" w:space="0" w:color="auto"/>
                        <w:right w:val="none" w:sz="0" w:space="0" w:color="auto"/>
                      </w:divBdr>
                      <w:divsChild>
                        <w:div w:id="14241124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8376423">
      <w:bodyDiv w:val="1"/>
      <w:marLeft w:val="0"/>
      <w:marRight w:val="0"/>
      <w:marTop w:val="0"/>
      <w:marBottom w:val="0"/>
      <w:divBdr>
        <w:top w:val="none" w:sz="0" w:space="0" w:color="auto"/>
        <w:left w:val="none" w:sz="0" w:space="0" w:color="auto"/>
        <w:bottom w:val="none" w:sz="0" w:space="0" w:color="auto"/>
        <w:right w:val="none" w:sz="0" w:space="0" w:color="auto"/>
      </w:divBdr>
      <w:divsChild>
        <w:div w:id="1745256429">
          <w:marLeft w:val="0"/>
          <w:marRight w:val="0"/>
          <w:marTop w:val="0"/>
          <w:marBottom w:val="0"/>
          <w:divBdr>
            <w:top w:val="single" w:sz="6" w:space="0" w:color="0E477A"/>
            <w:left w:val="single" w:sz="6" w:space="0" w:color="0E477A"/>
            <w:bottom w:val="single" w:sz="6" w:space="0" w:color="0E477A"/>
            <w:right w:val="single" w:sz="6" w:space="0" w:color="0E477A"/>
          </w:divBdr>
          <w:divsChild>
            <w:div w:id="1035693607">
              <w:marLeft w:val="0"/>
              <w:marRight w:val="0"/>
              <w:marTop w:val="0"/>
              <w:marBottom w:val="0"/>
              <w:divBdr>
                <w:top w:val="none" w:sz="0" w:space="0" w:color="auto"/>
                <w:left w:val="none" w:sz="0" w:space="0" w:color="auto"/>
                <w:bottom w:val="none" w:sz="0" w:space="0" w:color="auto"/>
                <w:right w:val="none" w:sz="0" w:space="0" w:color="auto"/>
              </w:divBdr>
              <w:divsChild>
                <w:div w:id="1446385600">
                  <w:marLeft w:val="0"/>
                  <w:marRight w:val="0"/>
                  <w:marTop w:val="0"/>
                  <w:marBottom w:val="0"/>
                  <w:divBdr>
                    <w:top w:val="none" w:sz="0" w:space="0" w:color="auto"/>
                    <w:left w:val="none" w:sz="0" w:space="0" w:color="auto"/>
                    <w:bottom w:val="none" w:sz="0" w:space="0" w:color="auto"/>
                    <w:right w:val="none" w:sz="0" w:space="0" w:color="auto"/>
                  </w:divBdr>
                  <w:divsChild>
                    <w:div w:id="1816557252">
                      <w:marLeft w:val="0"/>
                      <w:marRight w:val="0"/>
                      <w:marTop w:val="0"/>
                      <w:marBottom w:val="0"/>
                      <w:divBdr>
                        <w:top w:val="none" w:sz="0" w:space="0" w:color="auto"/>
                        <w:left w:val="none" w:sz="0" w:space="0" w:color="auto"/>
                        <w:bottom w:val="none" w:sz="0" w:space="0" w:color="auto"/>
                        <w:right w:val="none" w:sz="0" w:space="0" w:color="auto"/>
                      </w:divBdr>
                      <w:divsChild>
                        <w:div w:id="1840264866">
                          <w:marLeft w:val="0"/>
                          <w:marRight w:val="0"/>
                          <w:marTop w:val="0"/>
                          <w:marBottom w:val="0"/>
                          <w:divBdr>
                            <w:top w:val="none" w:sz="0" w:space="0" w:color="auto"/>
                            <w:left w:val="none" w:sz="0" w:space="0" w:color="auto"/>
                            <w:bottom w:val="none" w:sz="0" w:space="0" w:color="auto"/>
                            <w:right w:val="none" w:sz="0" w:space="0" w:color="auto"/>
                          </w:divBdr>
                          <w:divsChild>
                            <w:div w:id="1704593031">
                              <w:marLeft w:val="0"/>
                              <w:marRight w:val="0"/>
                              <w:marTop w:val="0"/>
                              <w:marBottom w:val="0"/>
                              <w:divBdr>
                                <w:top w:val="none" w:sz="0" w:space="0" w:color="auto"/>
                                <w:left w:val="none" w:sz="0" w:space="0" w:color="auto"/>
                                <w:bottom w:val="none" w:sz="0" w:space="0" w:color="auto"/>
                                <w:right w:val="none" w:sz="0" w:space="0" w:color="auto"/>
                              </w:divBdr>
                              <w:divsChild>
                                <w:div w:id="102313146">
                                  <w:marLeft w:val="0"/>
                                  <w:marRight w:val="0"/>
                                  <w:marTop w:val="0"/>
                                  <w:marBottom w:val="0"/>
                                  <w:divBdr>
                                    <w:top w:val="none" w:sz="0" w:space="0" w:color="auto"/>
                                    <w:left w:val="none" w:sz="0" w:space="0" w:color="auto"/>
                                    <w:bottom w:val="none" w:sz="0" w:space="0" w:color="auto"/>
                                    <w:right w:val="none" w:sz="0" w:space="0" w:color="auto"/>
                                  </w:divBdr>
                                  <w:divsChild>
                                    <w:div w:id="69080476">
                                      <w:marLeft w:val="0"/>
                                      <w:marRight w:val="0"/>
                                      <w:marTop w:val="0"/>
                                      <w:marBottom w:val="0"/>
                                      <w:divBdr>
                                        <w:top w:val="none" w:sz="0" w:space="0" w:color="auto"/>
                                        <w:left w:val="none" w:sz="0" w:space="0" w:color="auto"/>
                                        <w:bottom w:val="none" w:sz="0" w:space="0" w:color="auto"/>
                                        <w:right w:val="none" w:sz="0" w:space="0" w:color="auto"/>
                                      </w:divBdr>
                                      <w:divsChild>
                                        <w:div w:id="916941164">
                                          <w:marLeft w:val="0"/>
                                          <w:marRight w:val="0"/>
                                          <w:marTop w:val="0"/>
                                          <w:marBottom w:val="0"/>
                                          <w:divBdr>
                                            <w:top w:val="none" w:sz="0" w:space="0" w:color="auto"/>
                                            <w:left w:val="none" w:sz="0" w:space="0" w:color="auto"/>
                                            <w:bottom w:val="none" w:sz="0" w:space="0" w:color="auto"/>
                                            <w:right w:val="none" w:sz="0" w:space="0" w:color="auto"/>
                                          </w:divBdr>
                                          <w:divsChild>
                                            <w:div w:id="551967088">
                                              <w:marLeft w:val="0"/>
                                              <w:marRight w:val="0"/>
                                              <w:marTop w:val="0"/>
                                              <w:marBottom w:val="0"/>
                                              <w:divBdr>
                                                <w:top w:val="none" w:sz="0" w:space="0" w:color="auto"/>
                                                <w:left w:val="none" w:sz="0" w:space="0" w:color="auto"/>
                                                <w:bottom w:val="none" w:sz="0" w:space="0" w:color="auto"/>
                                                <w:right w:val="none" w:sz="0" w:space="0" w:color="auto"/>
                                              </w:divBdr>
                                              <w:divsChild>
                                                <w:div w:id="16720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298819">
      <w:bodyDiv w:val="1"/>
      <w:marLeft w:val="0"/>
      <w:marRight w:val="0"/>
      <w:marTop w:val="0"/>
      <w:marBottom w:val="0"/>
      <w:divBdr>
        <w:top w:val="none" w:sz="0" w:space="0" w:color="auto"/>
        <w:left w:val="none" w:sz="0" w:space="0" w:color="auto"/>
        <w:bottom w:val="none" w:sz="0" w:space="0" w:color="auto"/>
        <w:right w:val="none" w:sz="0" w:space="0" w:color="auto"/>
      </w:divBdr>
    </w:div>
    <w:div w:id="1555199409">
      <w:bodyDiv w:val="1"/>
      <w:marLeft w:val="0"/>
      <w:marRight w:val="0"/>
      <w:marTop w:val="0"/>
      <w:marBottom w:val="0"/>
      <w:divBdr>
        <w:top w:val="none" w:sz="0" w:space="0" w:color="auto"/>
        <w:left w:val="none" w:sz="0" w:space="0" w:color="auto"/>
        <w:bottom w:val="none" w:sz="0" w:space="0" w:color="auto"/>
        <w:right w:val="none" w:sz="0" w:space="0" w:color="auto"/>
      </w:divBdr>
    </w:div>
    <w:div w:id="1555505550">
      <w:bodyDiv w:val="1"/>
      <w:marLeft w:val="0"/>
      <w:marRight w:val="0"/>
      <w:marTop w:val="0"/>
      <w:marBottom w:val="0"/>
      <w:divBdr>
        <w:top w:val="none" w:sz="0" w:space="0" w:color="auto"/>
        <w:left w:val="none" w:sz="0" w:space="0" w:color="auto"/>
        <w:bottom w:val="none" w:sz="0" w:space="0" w:color="auto"/>
        <w:right w:val="none" w:sz="0" w:space="0" w:color="auto"/>
      </w:divBdr>
    </w:div>
    <w:div w:id="1557662646">
      <w:bodyDiv w:val="1"/>
      <w:marLeft w:val="0"/>
      <w:marRight w:val="0"/>
      <w:marTop w:val="0"/>
      <w:marBottom w:val="0"/>
      <w:divBdr>
        <w:top w:val="none" w:sz="0" w:space="0" w:color="auto"/>
        <w:left w:val="none" w:sz="0" w:space="0" w:color="auto"/>
        <w:bottom w:val="none" w:sz="0" w:space="0" w:color="auto"/>
        <w:right w:val="none" w:sz="0" w:space="0" w:color="auto"/>
      </w:divBdr>
    </w:div>
    <w:div w:id="1558470765">
      <w:bodyDiv w:val="1"/>
      <w:marLeft w:val="0"/>
      <w:marRight w:val="0"/>
      <w:marTop w:val="0"/>
      <w:marBottom w:val="0"/>
      <w:divBdr>
        <w:top w:val="none" w:sz="0" w:space="0" w:color="auto"/>
        <w:left w:val="none" w:sz="0" w:space="0" w:color="auto"/>
        <w:bottom w:val="none" w:sz="0" w:space="0" w:color="auto"/>
        <w:right w:val="none" w:sz="0" w:space="0" w:color="auto"/>
      </w:divBdr>
    </w:div>
    <w:div w:id="1558861574">
      <w:bodyDiv w:val="1"/>
      <w:marLeft w:val="0"/>
      <w:marRight w:val="0"/>
      <w:marTop w:val="0"/>
      <w:marBottom w:val="0"/>
      <w:divBdr>
        <w:top w:val="none" w:sz="0" w:space="0" w:color="auto"/>
        <w:left w:val="none" w:sz="0" w:space="0" w:color="auto"/>
        <w:bottom w:val="none" w:sz="0" w:space="0" w:color="auto"/>
        <w:right w:val="none" w:sz="0" w:space="0" w:color="auto"/>
      </w:divBdr>
      <w:divsChild>
        <w:div w:id="353073339">
          <w:marLeft w:val="2400"/>
          <w:marRight w:val="0"/>
          <w:marTop w:val="0"/>
          <w:marBottom w:val="0"/>
          <w:divBdr>
            <w:top w:val="none" w:sz="0" w:space="0" w:color="auto"/>
            <w:left w:val="none" w:sz="0" w:space="0" w:color="auto"/>
            <w:bottom w:val="none" w:sz="0" w:space="0" w:color="auto"/>
            <w:right w:val="none" w:sz="0" w:space="0" w:color="auto"/>
          </w:divBdr>
          <w:divsChild>
            <w:div w:id="897402925">
              <w:marLeft w:val="0"/>
              <w:marRight w:val="0"/>
              <w:marTop w:val="0"/>
              <w:marBottom w:val="0"/>
              <w:divBdr>
                <w:top w:val="none" w:sz="0" w:space="0" w:color="auto"/>
                <w:left w:val="none" w:sz="0" w:space="0" w:color="auto"/>
                <w:bottom w:val="none" w:sz="0" w:space="0" w:color="auto"/>
                <w:right w:val="none" w:sz="0" w:space="0" w:color="auto"/>
              </w:divBdr>
              <w:divsChild>
                <w:div w:id="481047844">
                  <w:marLeft w:val="0"/>
                  <w:marRight w:val="0"/>
                  <w:marTop w:val="0"/>
                  <w:marBottom w:val="0"/>
                  <w:divBdr>
                    <w:top w:val="none" w:sz="0" w:space="0" w:color="auto"/>
                    <w:left w:val="none" w:sz="0" w:space="0" w:color="auto"/>
                    <w:bottom w:val="none" w:sz="0" w:space="0" w:color="auto"/>
                    <w:right w:val="none" w:sz="0" w:space="0" w:color="auto"/>
                  </w:divBdr>
                  <w:divsChild>
                    <w:div w:id="1638102088">
                      <w:marLeft w:val="0"/>
                      <w:marRight w:val="0"/>
                      <w:marTop w:val="0"/>
                      <w:marBottom w:val="0"/>
                      <w:divBdr>
                        <w:top w:val="none" w:sz="0" w:space="0" w:color="auto"/>
                        <w:left w:val="none" w:sz="0" w:space="0" w:color="auto"/>
                        <w:bottom w:val="none" w:sz="0" w:space="0" w:color="auto"/>
                        <w:right w:val="none" w:sz="0" w:space="0" w:color="auto"/>
                      </w:divBdr>
                      <w:divsChild>
                        <w:div w:id="517088878">
                          <w:marLeft w:val="0"/>
                          <w:marRight w:val="0"/>
                          <w:marTop w:val="0"/>
                          <w:marBottom w:val="0"/>
                          <w:divBdr>
                            <w:top w:val="none" w:sz="0" w:space="0" w:color="auto"/>
                            <w:left w:val="none" w:sz="0" w:space="0" w:color="auto"/>
                            <w:bottom w:val="none" w:sz="0" w:space="0" w:color="auto"/>
                            <w:right w:val="none" w:sz="0" w:space="0" w:color="auto"/>
                          </w:divBdr>
                          <w:divsChild>
                            <w:div w:id="1818300201">
                              <w:marLeft w:val="0"/>
                              <w:marRight w:val="0"/>
                              <w:marTop w:val="0"/>
                              <w:marBottom w:val="0"/>
                              <w:divBdr>
                                <w:top w:val="none" w:sz="0" w:space="0" w:color="auto"/>
                                <w:left w:val="none" w:sz="0" w:space="0" w:color="auto"/>
                                <w:bottom w:val="none" w:sz="0" w:space="0" w:color="auto"/>
                                <w:right w:val="none" w:sz="0" w:space="0" w:color="auto"/>
                              </w:divBdr>
                              <w:divsChild>
                                <w:div w:id="1958678492">
                                  <w:marLeft w:val="0"/>
                                  <w:marRight w:val="0"/>
                                  <w:marTop w:val="0"/>
                                  <w:marBottom w:val="0"/>
                                  <w:divBdr>
                                    <w:top w:val="none" w:sz="0" w:space="0" w:color="auto"/>
                                    <w:left w:val="none" w:sz="0" w:space="0" w:color="auto"/>
                                    <w:bottom w:val="none" w:sz="0" w:space="0" w:color="auto"/>
                                    <w:right w:val="none" w:sz="0" w:space="0" w:color="auto"/>
                                  </w:divBdr>
                                  <w:divsChild>
                                    <w:div w:id="1035811814">
                                      <w:marLeft w:val="0"/>
                                      <w:marRight w:val="0"/>
                                      <w:marTop w:val="0"/>
                                      <w:marBottom w:val="0"/>
                                      <w:divBdr>
                                        <w:top w:val="none" w:sz="0" w:space="0" w:color="auto"/>
                                        <w:left w:val="none" w:sz="0" w:space="0" w:color="auto"/>
                                        <w:bottom w:val="none" w:sz="0" w:space="0" w:color="auto"/>
                                        <w:right w:val="none" w:sz="0" w:space="0" w:color="auto"/>
                                      </w:divBdr>
                                      <w:divsChild>
                                        <w:div w:id="1369600570">
                                          <w:marLeft w:val="0"/>
                                          <w:marRight w:val="0"/>
                                          <w:marTop w:val="0"/>
                                          <w:marBottom w:val="0"/>
                                          <w:divBdr>
                                            <w:top w:val="none" w:sz="0" w:space="0" w:color="auto"/>
                                            <w:left w:val="none" w:sz="0" w:space="0" w:color="auto"/>
                                            <w:bottom w:val="none" w:sz="0" w:space="0" w:color="auto"/>
                                            <w:right w:val="none" w:sz="0" w:space="0" w:color="auto"/>
                                          </w:divBdr>
                                        </w:div>
                                      </w:divsChild>
                                    </w:div>
                                    <w:div w:id="187329860">
                                      <w:marLeft w:val="0"/>
                                      <w:marRight w:val="0"/>
                                      <w:marTop w:val="0"/>
                                      <w:marBottom w:val="0"/>
                                      <w:divBdr>
                                        <w:top w:val="none" w:sz="0" w:space="0" w:color="auto"/>
                                        <w:left w:val="none" w:sz="0" w:space="0" w:color="auto"/>
                                        <w:bottom w:val="none" w:sz="0" w:space="0" w:color="auto"/>
                                        <w:right w:val="none" w:sz="0" w:space="0" w:color="auto"/>
                                      </w:divBdr>
                                    </w:div>
                                    <w:div w:id="16062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93271">
      <w:bodyDiv w:val="1"/>
      <w:marLeft w:val="0"/>
      <w:marRight w:val="0"/>
      <w:marTop w:val="0"/>
      <w:marBottom w:val="0"/>
      <w:divBdr>
        <w:top w:val="none" w:sz="0" w:space="0" w:color="auto"/>
        <w:left w:val="none" w:sz="0" w:space="0" w:color="auto"/>
        <w:bottom w:val="none" w:sz="0" w:space="0" w:color="auto"/>
        <w:right w:val="none" w:sz="0" w:space="0" w:color="auto"/>
      </w:divBdr>
      <w:divsChild>
        <w:div w:id="1724981546">
          <w:marLeft w:val="0"/>
          <w:marRight w:val="0"/>
          <w:marTop w:val="0"/>
          <w:marBottom w:val="0"/>
          <w:divBdr>
            <w:top w:val="none" w:sz="0" w:space="0" w:color="auto"/>
            <w:left w:val="none" w:sz="0" w:space="0" w:color="auto"/>
            <w:bottom w:val="none" w:sz="0" w:space="0" w:color="auto"/>
            <w:right w:val="none" w:sz="0" w:space="0" w:color="auto"/>
          </w:divBdr>
          <w:divsChild>
            <w:div w:id="1083257192">
              <w:marLeft w:val="0"/>
              <w:marRight w:val="0"/>
              <w:marTop w:val="0"/>
              <w:marBottom w:val="0"/>
              <w:divBdr>
                <w:top w:val="none" w:sz="0" w:space="0" w:color="auto"/>
                <w:left w:val="none" w:sz="0" w:space="0" w:color="auto"/>
                <w:bottom w:val="none" w:sz="0" w:space="0" w:color="auto"/>
                <w:right w:val="none" w:sz="0" w:space="0" w:color="auto"/>
              </w:divBdr>
              <w:divsChild>
                <w:div w:id="1721828417">
                  <w:marLeft w:val="0"/>
                  <w:marRight w:val="0"/>
                  <w:marTop w:val="0"/>
                  <w:marBottom w:val="0"/>
                  <w:divBdr>
                    <w:top w:val="none" w:sz="0" w:space="0" w:color="auto"/>
                    <w:left w:val="none" w:sz="0" w:space="0" w:color="auto"/>
                    <w:bottom w:val="none" w:sz="0" w:space="0" w:color="auto"/>
                    <w:right w:val="none" w:sz="0" w:space="0" w:color="auto"/>
                  </w:divBdr>
                  <w:divsChild>
                    <w:div w:id="24673685">
                      <w:marLeft w:val="0"/>
                      <w:marRight w:val="0"/>
                      <w:marTop w:val="0"/>
                      <w:marBottom w:val="0"/>
                      <w:divBdr>
                        <w:top w:val="none" w:sz="0" w:space="0" w:color="auto"/>
                        <w:left w:val="none" w:sz="0" w:space="0" w:color="auto"/>
                        <w:bottom w:val="none" w:sz="0" w:space="0" w:color="auto"/>
                        <w:right w:val="none" w:sz="0" w:space="0" w:color="auto"/>
                      </w:divBdr>
                      <w:divsChild>
                        <w:div w:id="14491612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60902396">
      <w:bodyDiv w:val="1"/>
      <w:marLeft w:val="0"/>
      <w:marRight w:val="0"/>
      <w:marTop w:val="0"/>
      <w:marBottom w:val="0"/>
      <w:divBdr>
        <w:top w:val="none" w:sz="0" w:space="0" w:color="auto"/>
        <w:left w:val="none" w:sz="0" w:space="0" w:color="auto"/>
        <w:bottom w:val="none" w:sz="0" w:space="0" w:color="auto"/>
        <w:right w:val="none" w:sz="0" w:space="0" w:color="auto"/>
      </w:divBdr>
    </w:div>
    <w:div w:id="1561671671">
      <w:bodyDiv w:val="1"/>
      <w:marLeft w:val="0"/>
      <w:marRight w:val="0"/>
      <w:marTop w:val="0"/>
      <w:marBottom w:val="0"/>
      <w:divBdr>
        <w:top w:val="none" w:sz="0" w:space="0" w:color="auto"/>
        <w:left w:val="none" w:sz="0" w:space="0" w:color="auto"/>
        <w:bottom w:val="none" w:sz="0" w:space="0" w:color="auto"/>
        <w:right w:val="none" w:sz="0" w:space="0" w:color="auto"/>
      </w:divBdr>
      <w:divsChild>
        <w:div w:id="1117795791">
          <w:marLeft w:val="0"/>
          <w:marRight w:val="0"/>
          <w:marTop w:val="0"/>
          <w:marBottom w:val="0"/>
          <w:divBdr>
            <w:top w:val="none" w:sz="0" w:space="0" w:color="auto"/>
            <w:left w:val="none" w:sz="0" w:space="0" w:color="auto"/>
            <w:bottom w:val="none" w:sz="0" w:space="0" w:color="auto"/>
            <w:right w:val="none" w:sz="0" w:space="0" w:color="auto"/>
          </w:divBdr>
          <w:divsChild>
            <w:div w:id="775441692">
              <w:marLeft w:val="0"/>
              <w:marRight w:val="0"/>
              <w:marTop w:val="150"/>
              <w:marBottom w:val="0"/>
              <w:divBdr>
                <w:top w:val="none" w:sz="0" w:space="0" w:color="auto"/>
                <w:left w:val="none" w:sz="0" w:space="0" w:color="auto"/>
                <w:bottom w:val="none" w:sz="0" w:space="0" w:color="auto"/>
                <w:right w:val="none" w:sz="0" w:space="0" w:color="auto"/>
              </w:divBdr>
              <w:divsChild>
                <w:div w:id="926503069">
                  <w:marLeft w:val="0"/>
                  <w:marRight w:val="0"/>
                  <w:marTop w:val="0"/>
                  <w:marBottom w:val="0"/>
                  <w:divBdr>
                    <w:top w:val="none" w:sz="0" w:space="0" w:color="auto"/>
                    <w:left w:val="none" w:sz="0" w:space="0" w:color="auto"/>
                    <w:bottom w:val="none" w:sz="0" w:space="0" w:color="auto"/>
                    <w:right w:val="none" w:sz="0" w:space="0" w:color="auto"/>
                  </w:divBdr>
                  <w:divsChild>
                    <w:div w:id="332731365">
                      <w:marLeft w:val="0"/>
                      <w:marRight w:val="0"/>
                      <w:marTop w:val="0"/>
                      <w:marBottom w:val="0"/>
                      <w:divBdr>
                        <w:top w:val="none" w:sz="0" w:space="0" w:color="auto"/>
                        <w:left w:val="none" w:sz="0" w:space="0" w:color="auto"/>
                        <w:bottom w:val="none" w:sz="0" w:space="0" w:color="auto"/>
                        <w:right w:val="none" w:sz="0" w:space="0" w:color="auto"/>
                      </w:divBdr>
                      <w:divsChild>
                        <w:div w:id="9189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746591">
      <w:bodyDiv w:val="1"/>
      <w:marLeft w:val="0"/>
      <w:marRight w:val="0"/>
      <w:marTop w:val="0"/>
      <w:marBottom w:val="0"/>
      <w:divBdr>
        <w:top w:val="none" w:sz="0" w:space="0" w:color="auto"/>
        <w:left w:val="none" w:sz="0" w:space="0" w:color="auto"/>
        <w:bottom w:val="none" w:sz="0" w:space="0" w:color="auto"/>
        <w:right w:val="none" w:sz="0" w:space="0" w:color="auto"/>
      </w:divBdr>
      <w:divsChild>
        <w:div w:id="451024650">
          <w:marLeft w:val="0"/>
          <w:marRight w:val="0"/>
          <w:marTop w:val="0"/>
          <w:marBottom w:val="0"/>
          <w:divBdr>
            <w:top w:val="none" w:sz="0" w:space="0" w:color="auto"/>
            <w:left w:val="none" w:sz="0" w:space="0" w:color="auto"/>
            <w:bottom w:val="none" w:sz="0" w:space="0" w:color="auto"/>
            <w:right w:val="none" w:sz="0" w:space="0" w:color="auto"/>
          </w:divBdr>
          <w:divsChild>
            <w:div w:id="1683431590">
              <w:marLeft w:val="0"/>
              <w:marRight w:val="0"/>
              <w:marTop w:val="150"/>
              <w:marBottom w:val="0"/>
              <w:divBdr>
                <w:top w:val="none" w:sz="0" w:space="0" w:color="auto"/>
                <w:left w:val="none" w:sz="0" w:space="0" w:color="auto"/>
                <w:bottom w:val="none" w:sz="0" w:space="0" w:color="auto"/>
                <w:right w:val="none" w:sz="0" w:space="0" w:color="auto"/>
              </w:divBdr>
              <w:divsChild>
                <w:div w:id="1198159406">
                  <w:marLeft w:val="0"/>
                  <w:marRight w:val="0"/>
                  <w:marTop w:val="0"/>
                  <w:marBottom w:val="0"/>
                  <w:divBdr>
                    <w:top w:val="none" w:sz="0" w:space="0" w:color="auto"/>
                    <w:left w:val="none" w:sz="0" w:space="0" w:color="auto"/>
                    <w:bottom w:val="none" w:sz="0" w:space="0" w:color="auto"/>
                    <w:right w:val="none" w:sz="0" w:space="0" w:color="auto"/>
                  </w:divBdr>
                  <w:divsChild>
                    <w:div w:id="1995909098">
                      <w:marLeft w:val="0"/>
                      <w:marRight w:val="0"/>
                      <w:marTop w:val="0"/>
                      <w:marBottom w:val="0"/>
                      <w:divBdr>
                        <w:top w:val="none" w:sz="0" w:space="0" w:color="auto"/>
                        <w:left w:val="none" w:sz="0" w:space="0" w:color="auto"/>
                        <w:bottom w:val="none" w:sz="0" w:space="0" w:color="auto"/>
                        <w:right w:val="none" w:sz="0" w:space="0" w:color="auto"/>
                      </w:divBdr>
                      <w:divsChild>
                        <w:div w:id="5286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37974">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685984743">
              <w:marLeft w:val="0"/>
              <w:marRight w:val="0"/>
              <w:marTop w:val="0"/>
              <w:marBottom w:val="0"/>
              <w:divBdr>
                <w:top w:val="none" w:sz="0" w:space="0" w:color="auto"/>
                <w:left w:val="none" w:sz="0" w:space="0" w:color="auto"/>
                <w:bottom w:val="none" w:sz="0" w:space="0" w:color="auto"/>
                <w:right w:val="none" w:sz="0" w:space="0" w:color="auto"/>
              </w:divBdr>
              <w:divsChild>
                <w:div w:id="1541745755">
                  <w:marLeft w:val="0"/>
                  <w:marRight w:val="0"/>
                  <w:marTop w:val="0"/>
                  <w:marBottom w:val="0"/>
                  <w:divBdr>
                    <w:top w:val="none" w:sz="0" w:space="0" w:color="auto"/>
                    <w:left w:val="none" w:sz="0" w:space="0" w:color="auto"/>
                    <w:bottom w:val="none" w:sz="0" w:space="0" w:color="auto"/>
                    <w:right w:val="none" w:sz="0" w:space="0" w:color="auto"/>
                  </w:divBdr>
                  <w:divsChild>
                    <w:div w:id="783575784">
                      <w:marLeft w:val="0"/>
                      <w:marRight w:val="0"/>
                      <w:marTop w:val="0"/>
                      <w:marBottom w:val="0"/>
                      <w:divBdr>
                        <w:top w:val="none" w:sz="0" w:space="0" w:color="auto"/>
                        <w:left w:val="none" w:sz="0" w:space="0" w:color="auto"/>
                        <w:bottom w:val="none" w:sz="0" w:space="0" w:color="auto"/>
                        <w:right w:val="none" w:sz="0" w:space="0" w:color="auto"/>
                      </w:divBdr>
                      <w:divsChild>
                        <w:div w:id="1340080292">
                          <w:marLeft w:val="570"/>
                          <w:marRight w:val="720"/>
                          <w:marTop w:val="120"/>
                          <w:marBottom w:val="120"/>
                          <w:divBdr>
                            <w:top w:val="none" w:sz="0" w:space="0" w:color="auto"/>
                            <w:left w:val="none" w:sz="0" w:space="0" w:color="auto"/>
                            <w:bottom w:val="none" w:sz="0" w:space="0" w:color="auto"/>
                            <w:right w:val="none" w:sz="0" w:space="0" w:color="auto"/>
                          </w:divBdr>
                          <w:divsChild>
                            <w:div w:id="1944335936">
                              <w:marLeft w:val="0"/>
                              <w:marRight w:val="0"/>
                              <w:marTop w:val="0"/>
                              <w:marBottom w:val="0"/>
                              <w:divBdr>
                                <w:top w:val="none" w:sz="0" w:space="0" w:color="auto"/>
                                <w:left w:val="none" w:sz="0" w:space="0" w:color="auto"/>
                                <w:bottom w:val="none" w:sz="0" w:space="0" w:color="auto"/>
                                <w:right w:val="none" w:sz="0" w:space="0" w:color="auto"/>
                              </w:divBdr>
                              <w:divsChild>
                                <w:div w:id="1213734116">
                                  <w:marLeft w:val="0"/>
                                  <w:marRight w:val="0"/>
                                  <w:marTop w:val="0"/>
                                  <w:marBottom w:val="0"/>
                                  <w:divBdr>
                                    <w:top w:val="none" w:sz="0" w:space="0" w:color="auto"/>
                                    <w:left w:val="none" w:sz="0" w:space="0" w:color="auto"/>
                                    <w:bottom w:val="none" w:sz="0" w:space="0" w:color="auto"/>
                                    <w:right w:val="none" w:sz="0" w:space="0" w:color="auto"/>
                                  </w:divBdr>
                                  <w:divsChild>
                                    <w:div w:id="1498499469">
                                      <w:marLeft w:val="0"/>
                                      <w:marRight w:val="0"/>
                                      <w:marTop w:val="0"/>
                                      <w:marBottom w:val="0"/>
                                      <w:divBdr>
                                        <w:top w:val="none" w:sz="0" w:space="0" w:color="auto"/>
                                        <w:left w:val="none" w:sz="0" w:space="0" w:color="auto"/>
                                        <w:bottom w:val="none" w:sz="0" w:space="0" w:color="auto"/>
                                        <w:right w:val="none" w:sz="0" w:space="0" w:color="auto"/>
                                      </w:divBdr>
                                      <w:divsChild>
                                        <w:div w:id="538976239">
                                          <w:marLeft w:val="0"/>
                                          <w:marRight w:val="0"/>
                                          <w:marTop w:val="240"/>
                                          <w:marBottom w:val="240"/>
                                          <w:divBdr>
                                            <w:top w:val="single" w:sz="6" w:space="6" w:color="F2F2F2"/>
                                            <w:left w:val="none" w:sz="0" w:space="0" w:color="auto"/>
                                            <w:bottom w:val="single" w:sz="6" w:space="6" w:color="F2F2F2"/>
                                            <w:right w:val="none" w:sz="0" w:space="0" w:color="auto"/>
                                          </w:divBdr>
                                        </w:div>
                                        <w:div w:id="2023586343">
                                          <w:marLeft w:val="0"/>
                                          <w:marRight w:val="0"/>
                                          <w:marTop w:val="0"/>
                                          <w:marBottom w:val="0"/>
                                          <w:divBdr>
                                            <w:top w:val="none" w:sz="0" w:space="0" w:color="auto"/>
                                            <w:left w:val="none" w:sz="0" w:space="0" w:color="auto"/>
                                            <w:bottom w:val="none" w:sz="0" w:space="0" w:color="auto"/>
                                            <w:right w:val="none" w:sz="0" w:space="0" w:color="auto"/>
                                          </w:divBdr>
                                          <w:divsChild>
                                            <w:div w:id="3189690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483974">
      <w:bodyDiv w:val="1"/>
      <w:marLeft w:val="0"/>
      <w:marRight w:val="0"/>
      <w:marTop w:val="0"/>
      <w:marBottom w:val="0"/>
      <w:divBdr>
        <w:top w:val="none" w:sz="0" w:space="0" w:color="auto"/>
        <w:left w:val="none" w:sz="0" w:space="0" w:color="auto"/>
        <w:bottom w:val="none" w:sz="0" w:space="0" w:color="auto"/>
        <w:right w:val="none" w:sz="0" w:space="0" w:color="auto"/>
      </w:divBdr>
      <w:divsChild>
        <w:div w:id="834225946">
          <w:marLeft w:val="0"/>
          <w:marRight w:val="0"/>
          <w:marTop w:val="0"/>
          <w:marBottom w:val="0"/>
          <w:divBdr>
            <w:top w:val="none" w:sz="0" w:space="0" w:color="auto"/>
            <w:left w:val="none" w:sz="0" w:space="0" w:color="auto"/>
            <w:bottom w:val="none" w:sz="0" w:space="0" w:color="auto"/>
            <w:right w:val="none" w:sz="0" w:space="0" w:color="auto"/>
          </w:divBdr>
          <w:divsChild>
            <w:div w:id="2068532294">
              <w:marLeft w:val="0"/>
              <w:marRight w:val="0"/>
              <w:marTop w:val="0"/>
              <w:marBottom w:val="0"/>
              <w:divBdr>
                <w:top w:val="none" w:sz="0" w:space="0" w:color="auto"/>
                <w:left w:val="none" w:sz="0" w:space="0" w:color="auto"/>
                <w:bottom w:val="none" w:sz="0" w:space="0" w:color="auto"/>
                <w:right w:val="none" w:sz="0" w:space="0" w:color="auto"/>
              </w:divBdr>
              <w:divsChild>
                <w:div w:id="569583985">
                  <w:marLeft w:val="0"/>
                  <w:marRight w:val="0"/>
                  <w:marTop w:val="0"/>
                  <w:marBottom w:val="0"/>
                  <w:divBdr>
                    <w:top w:val="none" w:sz="0" w:space="0" w:color="auto"/>
                    <w:left w:val="none" w:sz="0" w:space="0" w:color="auto"/>
                    <w:bottom w:val="none" w:sz="0" w:space="0" w:color="auto"/>
                    <w:right w:val="none" w:sz="0" w:space="0" w:color="auto"/>
                  </w:divBdr>
                  <w:divsChild>
                    <w:div w:id="2054305687">
                      <w:marLeft w:val="0"/>
                      <w:marRight w:val="0"/>
                      <w:marTop w:val="0"/>
                      <w:marBottom w:val="0"/>
                      <w:divBdr>
                        <w:top w:val="none" w:sz="0" w:space="0" w:color="auto"/>
                        <w:left w:val="none" w:sz="0" w:space="0" w:color="auto"/>
                        <w:bottom w:val="none" w:sz="0" w:space="0" w:color="auto"/>
                        <w:right w:val="none" w:sz="0" w:space="0" w:color="auto"/>
                      </w:divBdr>
                      <w:divsChild>
                        <w:div w:id="956526953">
                          <w:marLeft w:val="570"/>
                          <w:marRight w:val="720"/>
                          <w:marTop w:val="120"/>
                          <w:marBottom w:val="120"/>
                          <w:divBdr>
                            <w:top w:val="none" w:sz="0" w:space="0" w:color="auto"/>
                            <w:left w:val="none" w:sz="0" w:space="0" w:color="auto"/>
                            <w:bottom w:val="none" w:sz="0" w:space="0" w:color="auto"/>
                            <w:right w:val="none" w:sz="0" w:space="0" w:color="auto"/>
                          </w:divBdr>
                          <w:divsChild>
                            <w:div w:id="198709687">
                              <w:marLeft w:val="0"/>
                              <w:marRight w:val="0"/>
                              <w:marTop w:val="0"/>
                              <w:marBottom w:val="0"/>
                              <w:divBdr>
                                <w:top w:val="none" w:sz="0" w:space="0" w:color="auto"/>
                                <w:left w:val="none" w:sz="0" w:space="0" w:color="auto"/>
                                <w:bottom w:val="none" w:sz="0" w:space="0" w:color="auto"/>
                                <w:right w:val="none" w:sz="0" w:space="0" w:color="auto"/>
                              </w:divBdr>
                              <w:divsChild>
                                <w:div w:id="428475152">
                                  <w:marLeft w:val="0"/>
                                  <w:marRight w:val="0"/>
                                  <w:marTop w:val="0"/>
                                  <w:marBottom w:val="0"/>
                                  <w:divBdr>
                                    <w:top w:val="none" w:sz="0" w:space="0" w:color="auto"/>
                                    <w:left w:val="none" w:sz="0" w:space="0" w:color="auto"/>
                                    <w:bottom w:val="none" w:sz="0" w:space="0" w:color="auto"/>
                                    <w:right w:val="none" w:sz="0" w:space="0" w:color="auto"/>
                                  </w:divBdr>
                                  <w:divsChild>
                                    <w:div w:id="71124857">
                                      <w:marLeft w:val="0"/>
                                      <w:marRight w:val="0"/>
                                      <w:marTop w:val="0"/>
                                      <w:marBottom w:val="0"/>
                                      <w:divBdr>
                                        <w:top w:val="none" w:sz="0" w:space="0" w:color="auto"/>
                                        <w:left w:val="none" w:sz="0" w:space="0" w:color="auto"/>
                                        <w:bottom w:val="none" w:sz="0" w:space="0" w:color="auto"/>
                                        <w:right w:val="none" w:sz="0" w:space="0" w:color="auto"/>
                                      </w:divBdr>
                                      <w:divsChild>
                                        <w:div w:id="1559900426">
                                          <w:marLeft w:val="0"/>
                                          <w:marRight w:val="0"/>
                                          <w:marTop w:val="240"/>
                                          <w:marBottom w:val="240"/>
                                          <w:divBdr>
                                            <w:top w:val="single" w:sz="6" w:space="6" w:color="F2F2F2"/>
                                            <w:left w:val="none" w:sz="0" w:space="0" w:color="auto"/>
                                            <w:bottom w:val="single" w:sz="6" w:space="6" w:color="F2F2F2"/>
                                            <w:right w:val="none" w:sz="0" w:space="0" w:color="auto"/>
                                          </w:divBdr>
                                        </w:div>
                                        <w:div w:id="186407479">
                                          <w:marLeft w:val="0"/>
                                          <w:marRight w:val="0"/>
                                          <w:marTop w:val="0"/>
                                          <w:marBottom w:val="0"/>
                                          <w:divBdr>
                                            <w:top w:val="none" w:sz="0" w:space="0" w:color="auto"/>
                                            <w:left w:val="none" w:sz="0" w:space="0" w:color="auto"/>
                                            <w:bottom w:val="none" w:sz="0" w:space="0" w:color="auto"/>
                                            <w:right w:val="none" w:sz="0" w:space="0" w:color="auto"/>
                                          </w:divBdr>
                                          <w:divsChild>
                                            <w:div w:id="19394130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096626">
      <w:bodyDiv w:val="1"/>
      <w:marLeft w:val="0"/>
      <w:marRight w:val="0"/>
      <w:marTop w:val="0"/>
      <w:marBottom w:val="0"/>
      <w:divBdr>
        <w:top w:val="none" w:sz="0" w:space="0" w:color="auto"/>
        <w:left w:val="none" w:sz="0" w:space="0" w:color="auto"/>
        <w:bottom w:val="none" w:sz="0" w:space="0" w:color="auto"/>
        <w:right w:val="none" w:sz="0" w:space="0" w:color="auto"/>
      </w:divBdr>
    </w:div>
    <w:div w:id="1569002592">
      <w:bodyDiv w:val="1"/>
      <w:marLeft w:val="0"/>
      <w:marRight w:val="0"/>
      <w:marTop w:val="0"/>
      <w:marBottom w:val="0"/>
      <w:divBdr>
        <w:top w:val="none" w:sz="0" w:space="0" w:color="auto"/>
        <w:left w:val="none" w:sz="0" w:space="0" w:color="auto"/>
        <w:bottom w:val="none" w:sz="0" w:space="0" w:color="auto"/>
        <w:right w:val="none" w:sz="0" w:space="0" w:color="auto"/>
      </w:divBdr>
      <w:divsChild>
        <w:div w:id="1568883494">
          <w:marLeft w:val="0"/>
          <w:marRight w:val="105"/>
          <w:marTop w:val="0"/>
          <w:marBottom w:val="0"/>
          <w:divBdr>
            <w:top w:val="single" w:sz="6" w:space="0" w:color="D1D1D1"/>
            <w:left w:val="single" w:sz="6" w:space="0" w:color="D1D1D1"/>
            <w:bottom w:val="none" w:sz="0" w:space="0" w:color="auto"/>
            <w:right w:val="none" w:sz="0" w:space="0" w:color="auto"/>
          </w:divBdr>
          <w:divsChild>
            <w:div w:id="1229072362">
              <w:marLeft w:val="0"/>
              <w:marRight w:val="0"/>
              <w:marTop w:val="0"/>
              <w:marBottom w:val="0"/>
              <w:divBdr>
                <w:top w:val="none" w:sz="0" w:space="0" w:color="auto"/>
                <w:left w:val="none" w:sz="0" w:space="0" w:color="auto"/>
                <w:bottom w:val="none" w:sz="0" w:space="0" w:color="auto"/>
                <w:right w:val="none" w:sz="0" w:space="0" w:color="auto"/>
              </w:divBdr>
              <w:divsChild>
                <w:div w:id="17444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4111">
      <w:bodyDiv w:val="1"/>
      <w:marLeft w:val="0"/>
      <w:marRight w:val="0"/>
      <w:marTop w:val="0"/>
      <w:marBottom w:val="0"/>
      <w:divBdr>
        <w:top w:val="none" w:sz="0" w:space="0" w:color="auto"/>
        <w:left w:val="none" w:sz="0" w:space="0" w:color="auto"/>
        <w:bottom w:val="none" w:sz="0" w:space="0" w:color="auto"/>
        <w:right w:val="none" w:sz="0" w:space="0" w:color="auto"/>
      </w:divBdr>
      <w:divsChild>
        <w:div w:id="796724698">
          <w:marLeft w:val="0"/>
          <w:marRight w:val="0"/>
          <w:marTop w:val="0"/>
          <w:marBottom w:val="0"/>
          <w:divBdr>
            <w:top w:val="none" w:sz="0" w:space="0" w:color="auto"/>
            <w:left w:val="none" w:sz="0" w:space="0" w:color="auto"/>
            <w:bottom w:val="none" w:sz="0" w:space="0" w:color="auto"/>
            <w:right w:val="none" w:sz="0" w:space="0" w:color="auto"/>
          </w:divBdr>
        </w:div>
      </w:divsChild>
    </w:div>
    <w:div w:id="1570767082">
      <w:bodyDiv w:val="1"/>
      <w:marLeft w:val="0"/>
      <w:marRight w:val="0"/>
      <w:marTop w:val="0"/>
      <w:marBottom w:val="0"/>
      <w:divBdr>
        <w:top w:val="none" w:sz="0" w:space="0" w:color="auto"/>
        <w:left w:val="none" w:sz="0" w:space="0" w:color="auto"/>
        <w:bottom w:val="none" w:sz="0" w:space="0" w:color="auto"/>
        <w:right w:val="none" w:sz="0" w:space="0" w:color="auto"/>
      </w:divBdr>
      <w:divsChild>
        <w:div w:id="1354499073">
          <w:marLeft w:val="0"/>
          <w:marRight w:val="0"/>
          <w:marTop w:val="0"/>
          <w:marBottom w:val="0"/>
          <w:divBdr>
            <w:top w:val="none" w:sz="0" w:space="0" w:color="auto"/>
            <w:left w:val="none" w:sz="0" w:space="0" w:color="auto"/>
            <w:bottom w:val="none" w:sz="0" w:space="0" w:color="auto"/>
            <w:right w:val="none" w:sz="0" w:space="0" w:color="auto"/>
          </w:divBdr>
        </w:div>
        <w:div w:id="1987319641">
          <w:marLeft w:val="0"/>
          <w:marRight w:val="0"/>
          <w:marTop w:val="0"/>
          <w:marBottom w:val="150"/>
          <w:divBdr>
            <w:top w:val="none" w:sz="0" w:space="0" w:color="auto"/>
            <w:left w:val="none" w:sz="0" w:space="0" w:color="auto"/>
            <w:bottom w:val="none" w:sz="0" w:space="0" w:color="auto"/>
            <w:right w:val="none" w:sz="0" w:space="0" w:color="auto"/>
          </w:divBdr>
          <w:divsChild>
            <w:div w:id="535580627">
              <w:marLeft w:val="0"/>
              <w:marRight w:val="0"/>
              <w:marTop w:val="0"/>
              <w:marBottom w:val="0"/>
              <w:divBdr>
                <w:top w:val="none" w:sz="0" w:space="0" w:color="auto"/>
                <w:left w:val="none" w:sz="0" w:space="0" w:color="auto"/>
                <w:bottom w:val="none" w:sz="0" w:space="0" w:color="auto"/>
                <w:right w:val="none" w:sz="0" w:space="0" w:color="auto"/>
              </w:divBdr>
              <w:divsChild>
                <w:div w:id="722021226">
                  <w:marLeft w:val="0"/>
                  <w:marRight w:val="225"/>
                  <w:marTop w:val="0"/>
                  <w:marBottom w:val="0"/>
                  <w:divBdr>
                    <w:top w:val="none" w:sz="0" w:space="0" w:color="auto"/>
                    <w:left w:val="none" w:sz="0" w:space="0" w:color="auto"/>
                    <w:bottom w:val="none" w:sz="0" w:space="0" w:color="auto"/>
                    <w:right w:val="none" w:sz="0" w:space="0" w:color="auto"/>
                  </w:divBdr>
                  <w:divsChild>
                    <w:div w:id="2841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9561">
          <w:marLeft w:val="0"/>
          <w:marRight w:val="0"/>
          <w:marTop w:val="0"/>
          <w:marBottom w:val="150"/>
          <w:divBdr>
            <w:top w:val="none" w:sz="0" w:space="0" w:color="auto"/>
            <w:left w:val="none" w:sz="0" w:space="0" w:color="auto"/>
            <w:bottom w:val="none" w:sz="0" w:space="0" w:color="auto"/>
            <w:right w:val="none" w:sz="0" w:space="0" w:color="auto"/>
          </w:divBdr>
        </w:div>
      </w:divsChild>
    </w:div>
    <w:div w:id="1571691369">
      <w:bodyDiv w:val="1"/>
      <w:marLeft w:val="0"/>
      <w:marRight w:val="0"/>
      <w:marTop w:val="0"/>
      <w:marBottom w:val="0"/>
      <w:divBdr>
        <w:top w:val="none" w:sz="0" w:space="0" w:color="auto"/>
        <w:left w:val="none" w:sz="0" w:space="0" w:color="auto"/>
        <w:bottom w:val="none" w:sz="0" w:space="0" w:color="auto"/>
        <w:right w:val="none" w:sz="0" w:space="0" w:color="auto"/>
      </w:divBdr>
    </w:div>
    <w:div w:id="1572499583">
      <w:bodyDiv w:val="1"/>
      <w:marLeft w:val="0"/>
      <w:marRight w:val="0"/>
      <w:marTop w:val="0"/>
      <w:marBottom w:val="0"/>
      <w:divBdr>
        <w:top w:val="none" w:sz="0" w:space="0" w:color="auto"/>
        <w:left w:val="none" w:sz="0" w:space="0" w:color="auto"/>
        <w:bottom w:val="none" w:sz="0" w:space="0" w:color="auto"/>
        <w:right w:val="none" w:sz="0" w:space="0" w:color="auto"/>
      </w:divBdr>
      <w:divsChild>
        <w:div w:id="951548051">
          <w:marLeft w:val="0"/>
          <w:marRight w:val="0"/>
          <w:marTop w:val="0"/>
          <w:marBottom w:val="0"/>
          <w:divBdr>
            <w:top w:val="none" w:sz="0" w:space="0" w:color="auto"/>
            <w:left w:val="none" w:sz="0" w:space="0" w:color="auto"/>
            <w:bottom w:val="none" w:sz="0" w:space="0" w:color="auto"/>
            <w:right w:val="none" w:sz="0" w:space="0" w:color="auto"/>
          </w:divBdr>
          <w:divsChild>
            <w:div w:id="1283684225">
              <w:marLeft w:val="0"/>
              <w:marRight w:val="0"/>
              <w:marTop w:val="150"/>
              <w:marBottom w:val="0"/>
              <w:divBdr>
                <w:top w:val="none" w:sz="0" w:space="0" w:color="auto"/>
                <w:left w:val="none" w:sz="0" w:space="0" w:color="auto"/>
                <w:bottom w:val="none" w:sz="0" w:space="0" w:color="auto"/>
                <w:right w:val="none" w:sz="0" w:space="0" w:color="auto"/>
              </w:divBdr>
              <w:divsChild>
                <w:div w:id="1591113608">
                  <w:marLeft w:val="0"/>
                  <w:marRight w:val="0"/>
                  <w:marTop w:val="0"/>
                  <w:marBottom w:val="0"/>
                  <w:divBdr>
                    <w:top w:val="none" w:sz="0" w:space="0" w:color="auto"/>
                    <w:left w:val="none" w:sz="0" w:space="0" w:color="auto"/>
                    <w:bottom w:val="none" w:sz="0" w:space="0" w:color="auto"/>
                    <w:right w:val="none" w:sz="0" w:space="0" w:color="auto"/>
                  </w:divBdr>
                  <w:divsChild>
                    <w:div w:id="1954481351">
                      <w:marLeft w:val="0"/>
                      <w:marRight w:val="0"/>
                      <w:marTop w:val="0"/>
                      <w:marBottom w:val="0"/>
                      <w:divBdr>
                        <w:top w:val="none" w:sz="0" w:space="0" w:color="auto"/>
                        <w:left w:val="none" w:sz="0" w:space="0" w:color="auto"/>
                        <w:bottom w:val="none" w:sz="0" w:space="0" w:color="auto"/>
                        <w:right w:val="none" w:sz="0" w:space="0" w:color="auto"/>
                      </w:divBdr>
                      <w:divsChild>
                        <w:div w:id="87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351559">
      <w:bodyDiv w:val="1"/>
      <w:marLeft w:val="0"/>
      <w:marRight w:val="0"/>
      <w:marTop w:val="0"/>
      <w:marBottom w:val="0"/>
      <w:divBdr>
        <w:top w:val="none" w:sz="0" w:space="0" w:color="auto"/>
        <w:left w:val="none" w:sz="0" w:space="0" w:color="auto"/>
        <w:bottom w:val="none" w:sz="0" w:space="0" w:color="auto"/>
        <w:right w:val="none" w:sz="0" w:space="0" w:color="auto"/>
      </w:divBdr>
      <w:divsChild>
        <w:div w:id="610434089">
          <w:marLeft w:val="0"/>
          <w:marRight w:val="0"/>
          <w:marTop w:val="0"/>
          <w:marBottom w:val="0"/>
          <w:divBdr>
            <w:top w:val="none" w:sz="0" w:space="0" w:color="auto"/>
            <w:left w:val="none" w:sz="0" w:space="0" w:color="auto"/>
            <w:bottom w:val="none" w:sz="0" w:space="0" w:color="auto"/>
            <w:right w:val="none" w:sz="0" w:space="0" w:color="auto"/>
          </w:divBdr>
          <w:divsChild>
            <w:div w:id="434177165">
              <w:marLeft w:val="0"/>
              <w:marRight w:val="0"/>
              <w:marTop w:val="0"/>
              <w:marBottom w:val="0"/>
              <w:divBdr>
                <w:top w:val="none" w:sz="0" w:space="0" w:color="auto"/>
                <w:left w:val="none" w:sz="0" w:space="0" w:color="auto"/>
                <w:bottom w:val="none" w:sz="0" w:space="0" w:color="auto"/>
                <w:right w:val="none" w:sz="0" w:space="0" w:color="auto"/>
              </w:divBdr>
              <w:divsChild>
                <w:div w:id="1898852870">
                  <w:marLeft w:val="0"/>
                  <w:marRight w:val="0"/>
                  <w:marTop w:val="0"/>
                  <w:marBottom w:val="0"/>
                  <w:divBdr>
                    <w:top w:val="none" w:sz="0" w:space="0" w:color="auto"/>
                    <w:left w:val="none" w:sz="0" w:space="0" w:color="auto"/>
                    <w:bottom w:val="none" w:sz="0" w:space="0" w:color="auto"/>
                    <w:right w:val="none" w:sz="0" w:space="0" w:color="auto"/>
                  </w:divBdr>
                  <w:divsChild>
                    <w:div w:id="111633711">
                      <w:marLeft w:val="0"/>
                      <w:marRight w:val="0"/>
                      <w:marTop w:val="0"/>
                      <w:marBottom w:val="0"/>
                      <w:divBdr>
                        <w:top w:val="none" w:sz="0" w:space="0" w:color="auto"/>
                        <w:left w:val="none" w:sz="0" w:space="0" w:color="auto"/>
                        <w:bottom w:val="none" w:sz="0" w:space="0" w:color="auto"/>
                        <w:right w:val="none" w:sz="0" w:space="0" w:color="auto"/>
                      </w:divBdr>
                      <w:divsChild>
                        <w:div w:id="318655280">
                          <w:marLeft w:val="0"/>
                          <w:marRight w:val="0"/>
                          <w:marTop w:val="0"/>
                          <w:marBottom w:val="0"/>
                          <w:divBdr>
                            <w:top w:val="none" w:sz="0" w:space="0" w:color="auto"/>
                            <w:left w:val="none" w:sz="0" w:space="0" w:color="auto"/>
                            <w:bottom w:val="none" w:sz="0" w:space="0" w:color="auto"/>
                            <w:right w:val="none" w:sz="0" w:space="0" w:color="auto"/>
                          </w:divBdr>
                          <w:divsChild>
                            <w:div w:id="2083021634">
                              <w:marLeft w:val="0"/>
                              <w:marRight w:val="0"/>
                              <w:marTop w:val="0"/>
                              <w:marBottom w:val="0"/>
                              <w:divBdr>
                                <w:top w:val="none" w:sz="0" w:space="0" w:color="auto"/>
                                <w:left w:val="none" w:sz="0" w:space="0" w:color="auto"/>
                                <w:bottom w:val="none" w:sz="0" w:space="0" w:color="auto"/>
                                <w:right w:val="none" w:sz="0" w:space="0" w:color="auto"/>
                              </w:divBdr>
                              <w:divsChild>
                                <w:div w:id="1611817994">
                                  <w:marLeft w:val="0"/>
                                  <w:marRight w:val="0"/>
                                  <w:marTop w:val="0"/>
                                  <w:marBottom w:val="0"/>
                                  <w:divBdr>
                                    <w:top w:val="none" w:sz="0" w:space="0" w:color="auto"/>
                                    <w:left w:val="none" w:sz="0" w:space="0" w:color="auto"/>
                                    <w:bottom w:val="none" w:sz="0" w:space="0" w:color="auto"/>
                                    <w:right w:val="none" w:sz="0" w:space="0" w:color="auto"/>
                                  </w:divBdr>
                                  <w:divsChild>
                                    <w:div w:id="1282953861">
                                      <w:marLeft w:val="0"/>
                                      <w:marRight w:val="0"/>
                                      <w:marTop w:val="0"/>
                                      <w:marBottom w:val="0"/>
                                      <w:divBdr>
                                        <w:top w:val="none" w:sz="0" w:space="0" w:color="auto"/>
                                        <w:left w:val="none" w:sz="0" w:space="0" w:color="auto"/>
                                        <w:bottom w:val="none" w:sz="0" w:space="0" w:color="auto"/>
                                        <w:right w:val="none" w:sz="0" w:space="0" w:color="auto"/>
                                      </w:divBdr>
                                      <w:divsChild>
                                        <w:div w:id="1646352022">
                                          <w:marLeft w:val="0"/>
                                          <w:marRight w:val="0"/>
                                          <w:marTop w:val="0"/>
                                          <w:marBottom w:val="0"/>
                                          <w:divBdr>
                                            <w:top w:val="none" w:sz="0" w:space="0" w:color="auto"/>
                                            <w:left w:val="none" w:sz="0" w:space="0" w:color="auto"/>
                                            <w:bottom w:val="none" w:sz="0" w:space="0" w:color="auto"/>
                                            <w:right w:val="none" w:sz="0" w:space="0" w:color="auto"/>
                                          </w:divBdr>
                                          <w:divsChild>
                                            <w:div w:id="1375928793">
                                              <w:marLeft w:val="0"/>
                                              <w:marRight w:val="0"/>
                                              <w:marTop w:val="0"/>
                                              <w:marBottom w:val="0"/>
                                              <w:divBdr>
                                                <w:top w:val="none" w:sz="0" w:space="0" w:color="auto"/>
                                                <w:left w:val="none" w:sz="0" w:space="0" w:color="auto"/>
                                                <w:bottom w:val="none" w:sz="0" w:space="0" w:color="auto"/>
                                                <w:right w:val="none" w:sz="0" w:space="0" w:color="auto"/>
                                              </w:divBdr>
                                              <w:divsChild>
                                                <w:div w:id="673066746">
                                                  <w:marLeft w:val="0"/>
                                                  <w:marRight w:val="0"/>
                                                  <w:marTop w:val="0"/>
                                                  <w:marBottom w:val="0"/>
                                                  <w:divBdr>
                                                    <w:top w:val="none" w:sz="0" w:space="0" w:color="auto"/>
                                                    <w:left w:val="none" w:sz="0" w:space="0" w:color="auto"/>
                                                    <w:bottom w:val="none" w:sz="0" w:space="0" w:color="auto"/>
                                                    <w:right w:val="none" w:sz="0" w:space="0" w:color="auto"/>
                                                  </w:divBdr>
                                                  <w:divsChild>
                                                    <w:div w:id="2068066749">
                                                      <w:marLeft w:val="0"/>
                                                      <w:marRight w:val="0"/>
                                                      <w:marTop w:val="0"/>
                                                      <w:marBottom w:val="0"/>
                                                      <w:divBdr>
                                                        <w:top w:val="none" w:sz="0" w:space="0" w:color="auto"/>
                                                        <w:left w:val="none" w:sz="0" w:space="0" w:color="auto"/>
                                                        <w:bottom w:val="none" w:sz="0" w:space="0" w:color="auto"/>
                                                        <w:right w:val="none" w:sz="0" w:space="0" w:color="auto"/>
                                                      </w:divBdr>
                                                      <w:divsChild>
                                                        <w:div w:id="216824367">
                                                          <w:marLeft w:val="0"/>
                                                          <w:marRight w:val="0"/>
                                                          <w:marTop w:val="0"/>
                                                          <w:marBottom w:val="0"/>
                                                          <w:divBdr>
                                                            <w:top w:val="none" w:sz="0" w:space="0" w:color="auto"/>
                                                            <w:left w:val="none" w:sz="0" w:space="0" w:color="auto"/>
                                                            <w:bottom w:val="none" w:sz="0" w:space="0" w:color="auto"/>
                                                            <w:right w:val="none" w:sz="0" w:space="0" w:color="auto"/>
                                                          </w:divBdr>
                                                        </w:div>
                                                        <w:div w:id="533807936">
                                                          <w:marLeft w:val="0"/>
                                                          <w:marRight w:val="0"/>
                                                          <w:marTop w:val="0"/>
                                                          <w:marBottom w:val="0"/>
                                                          <w:divBdr>
                                                            <w:top w:val="none" w:sz="0" w:space="0" w:color="auto"/>
                                                            <w:left w:val="none" w:sz="0" w:space="0" w:color="auto"/>
                                                            <w:bottom w:val="none" w:sz="0" w:space="0" w:color="auto"/>
                                                            <w:right w:val="none" w:sz="0" w:space="0" w:color="auto"/>
                                                          </w:divBdr>
                                                          <w:divsChild>
                                                            <w:div w:id="6274427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393472">
      <w:bodyDiv w:val="1"/>
      <w:marLeft w:val="0"/>
      <w:marRight w:val="0"/>
      <w:marTop w:val="0"/>
      <w:marBottom w:val="0"/>
      <w:divBdr>
        <w:top w:val="none" w:sz="0" w:space="0" w:color="auto"/>
        <w:left w:val="none" w:sz="0" w:space="0" w:color="auto"/>
        <w:bottom w:val="none" w:sz="0" w:space="0" w:color="auto"/>
        <w:right w:val="none" w:sz="0" w:space="0" w:color="auto"/>
      </w:divBdr>
    </w:div>
    <w:div w:id="1573466268">
      <w:bodyDiv w:val="1"/>
      <w:marLeft w:val="0"/>
      <w:marRight w:val="0"/>
      <w:marTop w:val="100"/>
      <w:marBottom w:val="100"/>
      <w:divBdr>
        <w:top w:val="none" w:sz="0" w:space="0" w:color="auto"/>
        <w:left w:val="none" w:sz="0" w:space="0" w:color="auto"/>
        <w:bottom w:val="none" w:sz="0" w:space="0" w:color="auto"/>
        <w:right w:val="none" w:sz="0" w:space="0" w:color="auto"/>
      </w:divBdr>
      <w:divsChild>
        <w:div w:id="20592806">
          <w:marLeft w:val="0"/>
          <w:marRight w:val="0"/>
          <w:marTop w:val="0"/>
          <w:marBottom w:val="0"/>
          <w:divBdr>
            <w:top w:val="none" w:sz="0" w:space="0" w:color="auto"/>
            <w:left w:val="none" w:sz="0" w:space="0" w:color="auto"/>
            <w:bottom w:val="none" w:sz="0" w:space="0" w:color="auto"/>
            <w:right w:val="none" w:sz="0" w:space="0" w:color="auto"/>
          </w:divBdr>
          <w:divsChild>
            <w:div w:id="523180057">
              <w:marLeft w:val="0"/>
              <w:marRight w:val="0"/>
              <w:marTop w:val="0"/>
              <w:marBottom w:val="0"/>
              <w:divBdr>
                <w:top w:val="none" w:sz="0" w:space="0" w:color="auto"/>
                <w:left w:val="none" w:sz="0" w:space="0" w:color="auto"/>
                <w:bottom w:val="none" w:sz="0" w:space="0" w:color="auto"/>
                <w:right w:val="none" w:sz="0" w:space="0" w:color="auto"/>
              </w:divBdr>
              <w:divsChild>
                <w:div w:id="1827284849">
                  <w:marLeft w:val="0"/>
                  <w:marRight w:val="0"/>
                  <w:marTop w:val="0"/>
                  <w:marBottom w:val="0"/>
                  <w:divBdr>
                    <w:top w:val="none" w:sz="0" w:space="0" w:color="auto"/>
                    <w:left w:val="single" w:sz="4" w:space="0" w:color="0B5092"/>
                    <w:bottom w:val="none" w:sz="0" w:space="0" w:color="auto"/>
                    <w:right w:val="single" w:sz="4" w:space="0" w:color="0B5092"/>
                  </w:divBdr>
                  <w:divsChild>
                    <w:div w:id="814638413">
                      <w:marLeft w:val="0"/>
                      <w:marRight w:val="0"/>
                      <w:marTop w:val="0"/>
                      <w:marBottom w:val="0"/>
                      <w:divBdr>
                        <w:top w:val="none" w:sz="0" w:space="0" w:color="auto"/>
                        <w:left w:val="none" w:sz="0" w:space="0" w:color="auto"/>
                        <w:bottom w:val="none" w:sz="0" w:space="0" w:color="auto"/>
                        <w:right w:val="none" w:sz="0" w:space="0" w:color="auto"/>
                      </w:divBdr>
                      <w:divsChild>
                        <w:div w:id="772482305">
                          <w:marLeft w:val="0"/>
                          <w:marRight w:val="0"/>
                          <w:marTop w:val="0"/>
                          <w:marBottom w:val="0"/>
                          <w:divBdr>
                            <w:top w:val="none" w:sz="0" w:space="0" w:color="auto"/>
                            <w:left w:val="none" w:sz="0" w:space="0" w:color="auto"/>
                            <w:bottom w:val="none" w:sz="0" w:space="0" w:color="auto"/>
                            <w:right w:val="none" w:sz="0" w:space="0" w:color="auto"/>
                          </w:divBdr>
                          <w:divsChild>
                            <w:div w:id="745105510">
                              <w:marLeft w:val="0"/>
                              <w:marRight w:val="0"/>
                              <w:marTop w:val="0"/>
                              <w:marBottom w:val="0"/>
                              <w:divBdr>
                                <w:top w:val="none" w:sz="0" w:space="0" w:color="auto"/>
                                <w:left w:val="none" w:sz="0" w:space="0" w:color="auto"/>
                                <w:bottom w:val="none" w:sz="0" w:space="0" w:color="auto"/>
                                <w:right w:val="none" w:sz="0" w:space="0" w:color="auto"/>
                              </w:divBdr>
                              <w:divsChild>
                                <w:div w:id="1706249392">
                                  <w:marLeft w:val="0"/>
                                  <w:marRight w:val="0"/>
                                  <w:marTop w:val="0"/>
                                  <w:marBottom w:val="0"/>
                                  <w:divBdr>
                                    <w:top w:val="none" w:sz="0" w:space="0" w:color="auto"/>
                                    <w:left w:val="none" w:sz="0" w:space="0" w:color="auto"/>
                                    <w:bottom w:val="none" w:sz="0" w:space="0" w:color="auto"/>
                                    <w:right w:val="none" w:sz="0" w:space="0" w:color="auto"/>
                                  </w:divBdr>
                                  <w:divsChild>
                                    <w:div w:id="1912427028">
                                      <w:marLeft w:val="0"/>
                                      <w:marRight w:val="0"/>
                                      <w:marTop w:val="0"/>
                                      <w:marBottom w:val="0"/>
                                      <w:divBdr>
                                        <w:top w:val="none" w:sz="0" w:space="0" w:color="auto"/>
                                        <w:left w:val="none" w:sz="0" w:space="0" w:color="auto"/>
                                        <w:bottom w:val="none" w:sz="0" w:space="0" w:color="auto"/>
                                        <w:right w:val="none" w:sz="0" w:space="0" w:color="auto"/>
                                      </w:divBdr>
                                      <w:divsChild>
                                        <w:div w:id="1985351824">
                                          <w:marLeft w:val="0"/>
                                          <w:marRight w:val="0"/>
                                          <w:marTop w:val="0"/>
                                          <w:marBottom w:val="0"/>
                                          <w:divBdr>
                                            <w:top w:val="none" w:sz="0" w:space="0" w:color="auto"/>
                                            <w:left w:val="none" w:sz="0" w:space="0" w:color="auto"/>
                                            <w:bottom w:val="none" w:sz="0" w:space="0" w:color="auto"/>
                                            <w:right w:val="none" w:sz="0" w:space="0" w:color="auto"/>
                                          </w:divBdr>
                                          <w:divsChild>
                                            <w:div w:id="1285887764">
                                              <w:marLeft w:val="100"/>
                                              <w:marRight w:val="100"/>
                                              <w:marTop w:val="0"/>
                                              <w:marBottom w:val="100"/>
                                              <w:divBdr>
                                                <w:top w:val="none" w:sz="0" w:space="0" w:color="auto"/>
                                                <w:left w:val="none" w:sz="0" w:space="0" w:color="auto"/>
                                                <w:bottom w:val="none" w:sz="0" w:space="0" w:color="auto"/>
                                                <w:right w:val="none" w:sz="0" w:space="0" w:color="auto"/>
                                              </w:divBdr>
                                              <w:divsChild>
                                                <w:div w:id="283586949">
                                                  <w:marLeft w:val="0"/>
                                                  <w:marRight w:val="0"/>
                                                  <w:marTop w:val="0"/>
                                                  <w:marBottom w:val="0"/>
                                                  <w:divBdr>
                                                    <w:top w:val="none" w:sz="0" w:space="0" w:color="auto"/>
                                                    <w:left w:val="none" w:sz="0" w:space="0" w:color="auto"/>
                                                    <w:bottom w:val="none" w:sz="0" w:space="0" w:color="auto"/>
                                                    <w:right w:val="none" w:sz="0" w:space="0" w:color="auto"/>
                                                  </w:divBdr>
                                                  <w:divsChild>
                                                    <w:div w:id="717440642">
                                                      <w:marLeft w:val="0"/>
                                                      <w:marRight w:val="75"/>
                                                      <w:marTop w:val="0"/>
                                                      <w:marBottom w:val="0"/>
                                                      <w:divBdr>
                                                        <w:top w:val="none" w:sz="0" w:space="0" w:color="auto"/>
                                                        <w:left w:val="none" w:sz="0" w:space="0" w:color="auto"/>
                                                        <w:bottom w:val="none" w:sz="0" w:space="0" w:color="auto"/>
                                                        <w:right w:val="none" w:sz="0" w:space="0" w:color="auto"/>
                                                      </w:divBdr>
                                                      <w:divsChild>
                                                        <w:div w:id="532809466">
                                                          <w:marLeft w:val="50"/>
                                                          <w:marRight w:val="-75"/>
                                                          <w:marTop w:val="0"/>
                                                          <w:marBottom w:val="0"/>
                                                          <w:divBdr>
                                                            <w:top w:val="none" w:sz="0" w:space="0" w:color="auto"/>
                                                            <w:left w:val="none" w:sz="0" w:space="0" w:color="auto"/>
                                                            <w:bottom w:val="none" w:sz="0" w:space="0" w:color="auto"/>
                                                            <w:right w:val="none" w:sz="0" w:space="0" w:color="auto"/>
                                                          </w:divBdr>
                                                          <w:divsChild>
                                                            <w:div w:id="1009991428">
                                                              <w:marLeft w:val="0"/>
                                                              <w:marRight w:val="0"/>
                                                              <w:marTop w:val="0"/>
                                                              <w:marBottom w:val="0"/>
                                                              <w:divBdr>
                                                                <w:top w:val="none" w:sz="0" w:space="0" w:color="auto"/>
                                                                <w:left w:val="none" w:sz="0" w:space="0" w:color="auto"/>
                                                                <w:bottom w:val="none" w:sz="0" w:space="0" w:color="auto"/>
                                                                <w:right w:val="none" w:sz="0" w:space="0" w:color="auto"/>
                                                              </w:divBdr>
                                                              <w:divsChild>
                                                                <w:div w:id="1393846077">
                                                                  <w:marLeft w:val="0"/>
                                                                  <w:marRight w:val="0"/>
                                                                  <w:marTop w:val="0"/>
                                                                  <w:marBottom w:val="0"/>
                                                                  <w:divBdr>
                                                                    <w:top w:val="none" w:sz="0" w:space="0" w:color="auto"/>
                                                                    <w:left w:val="none" w:sz="0" w:space="0" w:color="auto"/>
                                                                    <w:bottom w:val="none" w:sz="0" w:space="0" w:color="auto"/>
                                                                    <w:right w:val="none" w:sz="0" w:space="0" w:color="auto"/>
                                                                  </w:divBdr>
                                                                  <w:divsChild>
                                                                    <w:div w:id="272443600">
                                                                      <w:marLeft w:val="0"/>
                                                                      <w:marRight w:val="0"/>
                                                                      <w:marTop w:val="0"/>
                                                                      <w:marBottom w:val="0"/>
                                                                      <w:divBdr>
                                                                        <w:top w:val="none" w:sz="0" w:space="0" w:color="auto"/>
                                                                        <w:left w:val="none" w:sz="0" w:space="0" w:color="auto"/>
                                                                        <w:bottom w:val="none" w:sz="0" w:space="0" w:color="auto"/>
                                                                        <w:right w:val="none" w:sz="0" w:space="0" w:color="auto"/>
                                                                      </w:divBdr>
                                                                      <w:divsChild>
                                                                        <w:div w:id="205144877">
                                                                          <w:marLeft w:val="0"/>
                                                                          <w:marRight w:val="0"/>
                                                                          <w:marTop w:val="0"/>
                                                                          <w:marBottom w:val="0"/>
                                                                          <w:divBdr>
                                                                            <w:top w:val="none" w:sz="0" w:space="0" w:color="auto"/>
                                                                            <w:left w:val="none" w:sz="0" w:space="0" w:color="auto"/>
                                                                            <w:bottom w:val="none" w:sz="0" w:space="0" w:color="auto"/>
                                                                            <w:right w:val="none" w:sz="0" w:space="0" w:color="auto"/>
                                                                          </w:divBdr>
                                                                          <w:divsChild>
                                                                            <w:div w:id="299652993">
                                                                              <w:marLeft w:val="0"/>
                                                                              <w:marRight w:val="0"/>
                                                                              <w:marTop w:val="0"/>
                                                                              <w:marBottom w:val="0"/>
                                                                              <w:divBdr>
                                                                                <w:top w:val="none" w:sz="0" w:space="0" w:color="auto"/>
                                                                                <w:left w:val="none" w:sz="0" w:space="0" w:color="auto"/>
                                                                                <w:bottom w:val="none" w:sz="0" w:space="0" w:color="auto"/>
                                                                                <w:right w:val="none" w:sz="0" w:space="0" w:color="auto"/>
                                                                              </w:divBdr>
                                                                            </w:div>
                                                                            <w:div w:id="1479345716">
                                                                              <w:marLeft w:val="0"/>
                                                                              <w:marRight w:val="0"/>
                                                                              <w:marTop w:val="0"/>
                                                                              <w:marBottom w:val="240"/>
                                                                              <w:divBdr>
                                                                                <w:top w:val="none" w:sz="0" w:space="0" w:color="auto"/>
                                                                                <w:left w:val="none" w:sz="0" w:space="0" w:color="auto"/>
                                                                                <w:bottom w:val="none" w:sz="0" w:space="0" w:color="auto"/>
                                                                                <w:right w:val="none" w:sz="0" w:space="0" w:color="auto"/>
                                                                              </w:divBdr>
                                                                              <w:divsChild>
                                                                                <w:div w:id="262997146">
                                                                                  <w:marLeft w:val="0"/>
                                                                                  <w:marRight w:val="0"/>
                                                                                  <w:marTop w:val="0"/>
                                                                                  <w:marBottom w:val="0"/>
                                                                                  <w:divBdr>
                                                                                    <w:top w:val="none" w:sz="0" w:space="0" w:color="auto"/>
                                                                                    <w:left w:val="none" w:sz="0" w:space="0" w:color="auto"/>
                                                                                    <w:bottom w:val="none" w:sz="0" w:space="0" w:color="auto"/>
                                                                                    <w:right w:val="none" w:sz="0" w:space="0" w:color="auto"/>
                                                                                  </w:divBdr>
                                                                                </w:div>
                                                                                <w:div w:id="21315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9386">
                                                                          <w:marLeft w:val="0"/>
                                                                          <w:marRight w:val="0"/>
                                                                          <w:marTop w:val="0"/>
                                                                          <w:marBottom w:val="0"/>
                                                                          <w:divBdr>
                                                                            <w:top w:val="none" w:sz="0" w:space="0" w:color="auto"/>
                                                                            <w:left w:val="none" w:sz="0" w:space="0" w:color="auto"/>
                                                                            <w:bottom w:val="none" w:sz="0" w:space="0" w:color="auto"/>
                                                                            <w:right w:val="none" w:sz="0" w:space="0" w:color="auto"/>
                                                                          </w:divBdr>
                                                                        </w:div>
                                                                        <w:div w:id="1084648598">
                                                                          <w:marLeft w:val="0"/>
                                                                          <w:marRight w:val="0"/>
                                                                          <w:marTop w:val="0"/>
                                                                          <w:marBottom w:val="0"/>
                                                                          <w:divBdr>
                                                                            <w:top w:val="none" w:sz="0" w:space="0" w:color="auto"/>
                                                                            <w:left w:val="none" w:sz="0" w:space="0" w:color="auto"/>
                                                                            <w:bottom w:val="none" w:sz="0" w:space="0" w:color="auto"/>
                                                                            <w:right w:val="none" w:sz="0" w:space="0" w:color="auto"/>
                                                                          </w:divBdr>
                                                                        </w:div>
                                                                        <w:div w:id="1611472226">
                                                                          <w:marLeft w:val="0"/>
                                                                          <w:marRight w:val="0"/>
                                                                          <w:marTop w:val="0"/>
                                                                          <w:marBottom w:val="0"/>
                                                                          <w:divBdr>
                                                                            <w:top w:val="none" w:sz="0" w:space="0" w:color="auto"/>
                                                                            <w:left w:val="none" w:sz="0" w:space="0" w:color="auto"/>
                                                                            <w:bottom w:val="none" w:sz="0" w:space="0" w:color="auto"/>
                                                                            <w:right w:val="none" w:sz="0" w:space="0" w:color="auto"/>
                                                                          </w:divBdr>
                                                                        </w:div>
                                                                        <w:div w:id="1242448092">
                                                                          <w:marLeft w:val="0"/>
                                                                          <w:marRight w:val="0"/>
                                                                          <w:marTop w:val="0"/>
                                                                          <w:marBottom w:val="0"/>
                                                                          <w:divBdr>
                                                                            <w:top w:val="none" w:sz="0" w:space="0" w:color="auto"/>
                                                                            <w:left w:val="none" w:sz="0" w:space="0" w:color="auto"/>
                                                                            <w:bottom w:val="none" w:sz="0" w:space="0" w:color="auto"/>
                                                                            <w:right w:val="none" w:sz="0" w:space="0" w:color="auto"/>
                                                                          </w:divBdr>
                                                                        </w:div>
                                                                        <w:div w:id="11257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437807">
      <w:bodyDiv w:val="1"/>
      <w:marLeft w:val="0"/>
      <w:marRight w:val="0"/>
      <w:marTop w:val="0"/>
      <w:marBottom w:val="0"/>
      <w:divBdr>
        <w:top w:val="none" w:sz="0" w:space="0" w:color="auto"/>
        <w:left w:val="none" w:sz="0" w:space="0" w:color="auto"/>
        <w:bottom w:val="none" w:sz="0" w:space="0" w:color="auto"/>
        <w:right w:val="none" w:sz="0" w:space="0" w:color="auto"/>
      </w:divBdr>
    </w:div>
    <w:div w:id="1575238289">
      <w:bodyDiv w:val="1"/>
      <w:marLeft w:val="0"/>
      <w:marRight w:val="0"/>
      <w:marTop w:val="0"/>
      <w:marBottom w:val="0"/>
      <w:divBdr>
        <w:top w:val="none" w:sz="0" w:space="0" w:color="auto"/>
        <w:left w:val="none" w:sz="0" w:space="0" w:color="auto"/>
        <w:bottom w:val="none" w:sz="0" w:space="0" w:color="auto"/>
        <w:right w:val="none" w:sz="0" w:space="0" w:color="auto"/>
      </w:divBdr>
      <w:divsChild>
        <w:div w:id="828835669">
          <w:marLeft w:val="2400"/>
          <w:marRight w:val="0"/>
          <w:marTop w:val="0"/>
          <w:marBottom w:val="0"/>
          <w:divBdr>
            <w:top w:val="none" w:sz="0" w:space="0" w:color="auto"/>
            <w:left w:val="none" w:sz="0" w:space="0" w:color="auto"/>
            <w:bottom w:val="none" w:sz="0" w:space="0" w:color="auto"/>
            <w:right w:val="none" w:sz="0" w:space="0" w:color="auto"/>
          </w:divBdr>
          <w:divsChild>
            <w:div w:id="1280573785">
              <w:marLeft w:val="0"/>
              <w:marRight w:val="0"/>
              <w:marTop w:val="0"/>
              <w:marBottom w:val="0"/>
              <w:divBdr>
                <w:top w:val="none" w:sz="0" w:space="0" w:color="auto"/>
                <w:left w:val="none" w:sz="0" w:space="0" w:color="auto"/>
                <w:bottom w:val="none" w:sz="0" w:space="0" w:color="auto"/>
                <w:right w:val="none" w:sz="0" w:space="0" w:color="auto"/>
              </w:divBdr>
              <w:divsChild>
                <w:div w:id="627392929">
                  <w:marLeft w:val="0"/>
                  <w:marRight w:val="0"/>
                  <w:marTop w:val="0"/>
                  <w:marBottom w:val="0"/>
                  <w:divBdr>
                    <w:top w:val="none" w:sz="0" w:space="0" w:color="auto"/>
                    <w:left w:val="none" w:sz="0" w:space="0" w:color="auto"/>
                    <w:bottom w:val="none" w:sz="0" w:space="0" w:color="auto"/>
                    <w:right w:val="none" w:sz="0" w:space="0" w:color="auto"/>
                  </w:divBdr>
                  <w:divsChild>
                    <w:div w:id="2740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16577">
      <w:bodyDiv w:val="1"/>
      <w:marLeft w:val="0"/>
      <w:marRight w:val="0"/>
      <w:marTop w:val="0"/>
      <w:marBottom w:val="0"/>
      <w:divBdr>
        <w:top w:val="none" w:sz="0" w:space="0" w:color="auto"/>
        <w:left w:val="none" w:sz="0" w:space="0" w:color="auto"/>
        <w:bottom w:val="none" w:sz="0" w:space="0" w:color="auto"/>
        <w:right w:val="none" w:sz="0" w:space="0" w:color="auto"/>
      </w:divBdr>
      <w:divsChild>
        <w:div w:id="86006673">
          <w:marLeft w:val="2400"/>
          <w:marRight w:val="0"/>
          <w:marTop w:val="0"/>
          <w:marBottom w:val="0"/>
          <w:divBdr>
            <w:top w:val="none" w:sz="0" w:space="0" w:color="auto"/>
            <w:left w:val="none" w:sz="0" w:space="0" w:color="auto"/>
            <w:bottom w:val="none" w:sz="0" w:space="0" w:color="auto"/>
            <w:right w:val="none" w:sz="0" w:space="0" w:color="auto"/>
          </w:divBdr>
          <w:divsChild>
            <w:div w:id="816411643">
              <w:marLeft w:val="0"/>
              <w:marRight w:val="0"/>
              <w:marTop w:val="0"/>
              <w:marBottom w:val="0"/>
              <w:divBdr>
                <w:top w:val="none" w:sz="0" w:space="0" w:color="auto"/>
                <w:left w:val="none" w:sz="0" w:space="0" w:color="auto"/>
                <w:bottom w:val="none" w:sz="0" w:space="0" w:color="auto"/>
                <w:right w:val="none" w:sz="0" w:space="0" w:color="auto"/>
              </w:divBdr>
              <w:divsChild>
                <w:div w:id="521433958">
                  <w:marLeft w:val="0"/>
                  <w:marRight w:val="0"/>
                  <w:marTop w:val="0"/>
                  <w:marBottom w:val="0"/>
                  <w:divBdr>
                    <w:top w:val="none" w:sz="0" w:space="0" w:color="auto"/>
                    <w:left w:val="none" w:sz="0" w:space="0" w:color="auto"/>
                    <w:bottom w:val="none" w:sz="0" w:space="0" w:color="auto"/>
                    <w:right w:val="none" w:sz="0" w:space="0" w:color="auto"/>
                  </w:divBdr>
                  <w:divsChild>
                    <w:div w:id="2906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58411">
      <w:bodyDiv w:val="1"/>
      <w:marLeft w:val="0"/>
      <w:marRight w:val="0"/>
      <w:marTop w:val="0"/>
      <w:marBottom w:val="0"/>
      <w:divBdr>
        <w:top w:val="none" w:sz="0" w:space="0" w:color="auto"/>
        <w:left w:val="none" w:sz="0" w:space="0" w:color="auto"/>
        <w:bottom w:val="none" w:sz="0" w:space="0" w:color="auto"/>
        <w:right w:val="none" w:sz="0" w:space="0" w:color="auto"/>
      </w:divBdr>
      <w:divsChild>
        <w:div w:id="362363390">
          <w:marLeft w:val="0"/>
          <w:marRight w:val="0"/>
          <w:marTop w:val="0"/>
          <w:marBottom w:val="0"/>
          <w:divBdr>
            <w:top w:val="none" w:sz="0" w:space="0" w:color="auto"/>
            <w:left w:val="none" w:sz="0" w:space="0" w:color="auto"/>
            <w:bottom w:val="none" w:sz="0" w:space="0" w:color="auto"/>
            <w:right w:val="none" w:sz="0" w:space="0" w:color="auto"/>
          </w:divBdr>
          <w:divsChild>
            <w:div w:id="1482769143">
              <w:marLeft w:val="0"/>
              <w:marRight w:val="0"/>
              <w:marTop w:val="0"/>
              <w:marBottom w:val="0"/>
              <w:divBdr>
                <w:top w:val="none" w:sz="0" w:space="0" w:color="auto"/>
                <w:left w:val="none" w:sz="0" w:space="0" w:color="auto"/>
                <w:bottom w:val="none" w:sz="0" w:space="0" w:color="auto"/>
                <w:right w:val="none" w:sz="0" w:space="0" w:color="auto"/>
              </w:divBdr>
              <w:divsChild>
                <w:div w:id="728959332">
                  <w:marLeft w:val="0"/>
                  <w:marRight w:val="0"/>
                  <w:marTop w:val="0"/>
                  <w:marBottom w:val="0"/>
                  <w:divBdr>
                    <w:top w:val="none" w:sz="0" w:space="0" w:color="auto"/>
                    <w:left w:val="none" w:sz="0" w:space="0" w:color="auto"/>
                    <w:bottom w:val="none" w:sz="0" w:space="0" w:color="auto"/>
                    <w:right w:val="none" w:sz="0" w:space="0" w:color="auto"/>
                  </w:divBdr>
                  <w:divsChild>
                    <w:div w:id="1471245924">
                      <w:marLeft w:val="0"/>
                      <w:marRight w:val="0"/>
                      <w:marTop w:val="0"/>
                      <w:marBottom w:val="0"/>
                      <w:divBdr>
                        <w:top w:val="none" w:sz="0" w:space="0" w:color="auto"/>
                        <w:left w:val="none" w:sz="0" w:space="0" w:color="auto"/>
                        <w:bottom w:val="none" w:sz="0" w:space="0" w:color="auto"/>
                        <w:right w:val="none" w:sz="0" w:space="0" w:color="auto"/>
                      </w:divBdr>
                      <w:divsChild>
                        <w:div w:id="1756365940">
                          <w:marLeft w:val="0"/>
                          <w:marRight w:val="0"/>
                          <w:marTop w:val="0"/>
                          <w:marBottom w:val="0"/>
                          <w:divBdr>
                            <w:top w:val="none" w:sz="0" w:space="0" w:color="auto"/>
                            <w:left w:val="none" w:sz="0" w:space="0" w:color="auto"/>
                            <w:bottom w:val="none" w:sz="0" w:space="0" w:color="auto"/>
                            <w:right w:val="none" w:sz="0" w:space="0" w:color="auto"/>
                          </w:divBdr>
                          <w:divsChild>
                            <w:div w:id="1498106257">
                              <w:marLeft w:val="0"/>
                              <w:marRight w:val="0"/>
                              <w:marTop w:val="0"/>
                              <w:marBottom w:val="0"/>
                              <w:divBdr>
                                <w:top w:val="none" w:sz="0" w:space="0" w:color="auto"/>
                                <w:left w:val="none" w:sz="0" w:space="0" w:color="auto"/>
                                <w:bottom w:val="none" w:sz="0" w:space="0" w:color="auto"/>
                                <w:right w:val="none" w:sz="0" w:space="0" w:color="auto"/>
                              </w:divBdr>
                              <w:divsChild>
                                <w:div w:id="1067607590">
                                  <w:marLeft w:val="0"/>
                                  <w:marRight w:val="0"/>
                                  <w:marTop w:val="0"/>
                                  <w:marBottom w:val="0"/>
                                  <w:divBdr>
                                    <w:top w:val="none" w:sz="0" w:space="0" w:color="auto"/>
                                    <w:left w:val="none" w:sz="0" w:space="0" w:color="auto"/>
                                    <w:bottom w:val="none" w:sz="0" w:space="0" w:color="auto"/>
                                    <w:right w:val="none" w:sz="0" w:space="0" w:color="auto"/>
                                  </w:divBdr>
                                  <w:divsChild>
                                    <w:div w:id="1150485512">
                                      <w:marLeft w:val="0"/>
                                      <w:marRight w:val="0"/>
                                      <w:marTop w:val="0"/>
                                      <w:marBottom w:val="0"/>
                                      <w:divBdr>
                                        <w:top w:val="none" w:sz="0" w:space="0" w:color="auto"/>
                                        <w:left w:val="none" w:sz="0" w:space="0" w:color="auto"/>
                                        <w:bottom w:val="none" w:sz="0" w:space="0" w:color="auto"/>
                                        <w:right w:val="none" w:sz="0" w:space="0" w:color="auto"/>
                                      </w:divBdr>
                                      <w:divsChild>
                                        <w:div w:id="17435097">
                                          <w:marLeft w:val="0"/>
                                          <w:marRight w:val="0"/>
                                          <w:marTop w:val="0"/>
                                          <w:marBottom w:val="0"/>
                                          <w:divBdr>
                                            <w:top w:val="none" w:sz="0" w:space="0" w:color="auto"/>
                                            <w:left w:val="none" w:sz="0" w:space="0" w:color="auto"/>
                                            <w:bottom w:val="none" w:sz="0" w:space="0" w:color="auto"/>
                                            <w:right w:val="none" w:sz="0" w:space="0" w:color="auto"/>
                                          </w:divBdr>
                                          <w:divsChild>
                                            <w:div w:id="1805544452">
                                              <w:marLeft w:val="0"/>
                                              <w:marRight w:val="0"/>
                                              <w:marTop w:val="0"/>
                                              <w:marBottom w:val="0"/>
                                              <w:divBdr>
                                                <w:top w:val="none" w:sz="0" w:space="0" w:color="auto"/>
                                                <w:left w:val="none" w:sz="0" w:space="0" w:color="auto"/>
                                                <w:bottom w:val="none" w:sz="0" w:space="0" w:color="auto"/>
                                                <w:right w:val="none" w:sz="0" w:space="0" w:color="auto"/>
                                              </w:divBdr>
                                              <w:divsChild>
                                                <w:div w:id="1313099914">
                                                  <w:marLeft w:val="0"/>
                                                  <w:marRight w:val="0"/>
                                                  <w:marTop w:val="0"/>
                                                  <w:marBottom w:val="0"/>
                                                  <w:divBdr>
                                                    <w:top w:val="none" w:sz="0" w:space="0" w:color="auto"/>
                                                    <w:left w:val="none" w:sz="0" w:space="0" w:color="auto"/>
                                                    <w:bottom w:val="none" w:sz="0" w:space="0" w:color="auto"/>
                                                    <w:right w:val="none" w:sz="0" w:space="0" w:color="auto"/>
                                                  </w:divBdr>
                                                  <w:divsChild>
                                                    <w:div w:id="1638224954">
                                                      <w:marLeft w:val="0"/>
                                                      <w:marRight w:val="0"/>
                                                      <w:marTop w:val="0"/>
                                                      <w:marBottom w:val="0"/>
                                                      <w:divBdr>
                                                        <w:top w:val="none" w:sz="0" w:space="0" w:color="auto"/>
                                                        <w:left w:val="none" w:sz="0" w:space="0" w:color="auto"/>
                                                        <w:bottom w:val="none" w:sz="0" w:space="0" w:color="auto"/>
                                                        <w:right w:val="none" w:sz="0" w:space="0" w:color="auto"/>
                                                      </w:divBdr>
                                                      <w:divsChild>
                                                        <w:div w:id="1102339298">
                                                          <w:marLeft w:val="0"/>
                                                          <w:marRight w:val="0"/>
                                                          <w:marTop w:val="0"/>
                                                          <w:marBottom w:val="0"/>
                                                          <w:divBdr>
                                                            <w:top w:val="none" w:sz="0" w:space="0" w:color="auto"/>
                                                            <w:left w:val="none" w:sz="0" w:space="0" w:color="auto"/>
                                                            <w:bottom w:val="none" w:sz="0" w:space="0" w:color="auto"/>
                                                            <w:right w:val="none" w:sz="0" w:space="0" w:color="auto"/>
                                                          </w:divBdr>
                                                          <w:divsChild>
                                                            <w:div w:id="928081872">
                                                              <w:marLeft w:val="0"/>
                                                              <w:marRight w:val="0"/>
                                                              <w:marTop w:val="0"/>
                                                              <w:marBottom w:val="0"/>
                                                              <w:divBdr>
                                                                <w:top w:val="none" w:sz="0" w:space="0" w:color="auto"/>
                                                                <w:left w:val="none" w:sz="0" w:space="0" w:color="auto"/>
                                                                <w:bottom w:val="none" w:sz="0" w:space="0" w:color="auto"/>
                                                                <w:right w:val="none" w:sz="0" w:space="0" w:color="auto"/>
                                                              </w:divBdr>
                                                              <w:divsChild>
                                                                <w:div w:id="170026783">
                                                                  <w:marLeft w:val="0"/>
                                                                  <w:marRight w:val="0"/>
                                                                  <w:marTop w:val="0"/>
                                                                  <w:marBottom w:val="0"/>
                                                                  <w:divBdr>
                                                                    <w:top w:val="none" w:sz="0" w:space="0" w:color="auto"/>
                                                                    <w:left w:val="none" w:sz="0" w:space="0" w:color="auto"/>
                                                                    <w:bottom w:val="none" w:sz="0" w:space="0" w:color="auto"/>
                                                                    <w:right w:val="none" w:sz="0" w:space="0" w:color="auto"/>
                                                                  </w:divBdr>
                                                                  <w:divsChild>
                                                                    <w:div w:id="759058064">
                                                                      <w:marLeft w:val="0"/>
                                                                      <w:marRight w:val="0"/>
                                                                      <w:marTop w:val="0"/>
                                                                      <w:marBottom w:val="0"/>
                                                                      <w:divBdr>
                                                                        <w:top w:val="none" w:sz="0" w:space="0" w:color="auto"/>
                                                                        <w:left w:val="none" w:sz="0" w:space="0" w:color="auto"/>
                                                                        <w:bottom w:val="none" w:sz="0" w:space="0" w:color="auto"/>
                                                                        <w:right w:val="none" w:sz="0" w:space="0" w:color="auto"/>
                                                                      </w:divBdr>
                                                                      <w:divsChild>
                                                                        <w:div w:id="9646518">
                                                                          <w:marLeft w:val="0"/>
                                                                          <w:marRight w:val="0"/>
                                                                          <w:marTop w:val="0"/>
                                                                          <w:marBottom w:val="0"/>
                                                                          <w:divBdr>
                                                                            <w:top w:val="none" w:sz="0" w:space="0" w:color="auto"/>
                                                                            <w:left w:val="none" w:sz="0" w:space="0" w:color="auto"/>
                                                                            <w:bottom w:val="none" w:sz="0" w:space="0" w:color="auto"/>
                                                                            <w:right w:val="none" w:sz="0" w:space="0" w:color="auto"/>
                                                                          </w:divBdr>
                                                                          <w:divsChild>
                                                                            <w:div w:id="1054157250">
                                                                              <w:marLeft w:val="0"/>
                                                                              <w:marRight w:val="0"/>
                                                                              <w:marTop w:val="0"/>
                                                                              <w:marBottom w:val="0"/>
                                                                              <w:divBdr>
                                                                                <w:top w:val="none" w:sz="0" w:space="0" w:color="auto"/>
                                                                                <w:left w:val="none" w:sz="0" w:space="0" w:color="auto"/>
                                                                                <w:bottom w:val="none" w:sz="0" w:space="0" w:color="auto"/>
                                                                                <w:right w:val="none" w:sz="0" w:space="0" w:color="auto"/>
                                                                              </w:divBdr>
                                                                              <w:divsChild>
                                                                                <w:div w:id="559906786">
                                                                                  <w:marLeft w:val="0"/>
                                                                                  <w:marRight w:val="0"/>
                                                                                  <w:marTop w:val="0"/>
                                                                                  <w:marBottom w:val="0"/>
                                                                                  <w:divBdr>
                                                                                    <w:top w:val="none" w:sz="0" w:space="0" w:color="auto"/>
                                                                                    <w:left w:val="none" w:sz="0" w:space="0" w:color="auto"/>
                                                                                    <w:bottom w:val="none" w:sz="0" w:space="0" w:color="auto"/>
                                                                                    <w:right w:val="none" w:sz="0" w:space="0" w:color="auto"/>
                                                                                  </w:divBdr>
                                                                                  <w:divsChild>
                                                                                    <w:div w:id="679895594">
                                                                                      <w:marLeft w:val="0"/>
                                                                                      <w:marRight w:val="0"/>
                                                                                      <w:marTop w:val="0"/>
                                                                                      <w:marBottom w:val="0"/>
                                                                                      <w:divBdr>
                                                                                        <w:top w:val="none" w:sz="0" w:space="0" w:color="auto"/>
                                                                                        <w:left w:val="none" w:sz="0" w:space="0" w:color="auto"/>
                                                                                        <w:bottom w:val="none" w:sz="0" w:space="0" w:color="auto"/>
                                                                                        <w:right w:val="none" w:sz="0" w:space="0" w:color="auto"/>
                                                                                      </w:divBdr>
                                                                                    </w:div>
                                                                                    <w:div w:id="2103254862">
                                                                                      <w:marLeft w:val="0"/>
                                                                                      <w:marRight w:val="0"/>
                                                                                      <w:marTop w:val="0"/>
                                                                                      <w:marBottom w:val="0"/>
                                                                                      <w:divBdr>
                                                                                        <w:top w:val="none" w:sz="0" w:space="0" w:color="auto"/>
                                                                                        <w:left w:val="none" w:sz="0" w:space="0" w:color="auto"/>
                                                                                        <w:bottom w:val="none" w:sz="0" w:space="0" w:color="auto"/>
                                                                                        <w:right w:val="none" w:sz="0" w:space="0" w:color="auto"/>
                                                                                      </w:divBdr>
                                                                                    </w:div>
                                                                                    <w:div w:id="278487732">
                                                                                      <w:marLeft w:val="0"/>
                                                                                      <w:marRight w:val="0"/>
                                                                                      <w:marTop w:val="0"/>
                                                                                      <w:marBottom w:val="0"/>
                                                                                      <w:divBdr>
                                                                                        <w:top w:val="none" w:sz="0" w:space="0" w:color="auto"/>
                                                                                        <w:left w:val="none" w:sz="0" w:space="0" w:color="auto"/>
                                                                                        <w:bottom w:val="none" w:sz="0" w:space="0" w:color="auto"/>
                                                                                        <w:right w:val="none" w:sz="0" w:space="0" w:color="auto"/>
                                                                                      </w:divBdr>
                                                                                    </w:div>
                                                                                    <w:div w:id="776867812">
                                                                                      <w:marLeft w:val="0"/>
                                                                                      <w:marRight w:val="0"/>
                                                                                      <w:marTop w:val="0"/>
                                                                                      <w:marBottom w:val="0"/>
                                                                                      <w:divBdr>
                                                                                        <w:top w:val="none" w:sz="0" w:space="0" w:color="auto"/>
                                                                                        <w:left w:val="none" w:sz="0" w:space="0" w:color="auto"/>
                                                                                        <w:bottom w:val="none" w:sz="0" w:space="0" w:color="auto"/>
                                                                                        <w:right w:val="none" w:sz="0" w:space="0" w:color="auto"/>
                                                                                      </w:divBdr>
                                                                                    </w:div>
                                                                                    <w:div w:id="870655667">
                                                                                      <w:marLeft w:val="0"/>
                                                                                      <w:marRight w:val="0"/>
                                                                                      <w:marTop w:val="0"/>
                                                                                      <w:marBottom w:val="0"/>
                                                                                      <w:divBdr>
                                                                                        <w:top w:val="none" w:sz="0" w:space="0" w:color="auto"/>
                                                                                        <w:left w:val="none" w:sz="0" w:space="0" w:color="auto"/>
                                                                                        <w:bottom w:val="none" w:sz="0" w:space="0" w:color="auto"/>
                                                                                        <w:right w:val="none" w:sz="0" w:space="0" w:color="auto"/>
                                                                                      </w:divBdr>
                                                                                    </w:div>
                                                                                    <w:div w:id="955022011">
                                                                                      <w:marLeft w:val="0"/>
                                                                                      <w:marRight w:val="0"/>
                                                                                      <w:marTop w:val="0"/>
                                                                                      <w:marBottom w:val="0"/>
                                                                                      <w:divBdr>
                                                                                        <w:top w:val="none" w:sz="0" w:space="0" w:color="auto"/>
                                                                                        <w:left w:val="none" w:sz="0" w:space="0" w:color="auto"/>
                                                                                        <w:bottom w:val="none" w:sz="0" w:space="0" w:color="auto"/>
                                                                                        <w:right w:val="none" w:sz="0" w:space="0" w:color="auto"/>
                                                                                      </w:divBdr>
                                                                                    </w:div>
                                                                                    <w:div w:id="2141343481">
                                                                                      <w:marLeft w:val="0"/>
                                                                                      <w:marRight w:val="0"/>
                                                                                      <w:marTop w:val="0"/>
                                                                                      <w:marBottom w:val="0"/>
                                                                                      <w:divBdr>
                                                                                        <w:top w:val="none" w:sz="0" w:space="0" w:color="auto"/>
                                                                                        <w:left w:val="none" w:sz="0" w:space="0" w:color="auto"/>
                                                                                        <w:bottom w:val="none" w:sz="0" w:space="0" w:color="auto"/>
                                                                                        <w:right w:val="none" w:sz="0" w:space="0" w:color="auto"/>
                                                                                      </w:divBdr>
                                                                                    </w:div>
                                                                                    <w:div w:id="1264920256">
                                                                                      <w:marLeft w:val="0"/>
                                                                                      <w:marRight w:val="0"/>
                                                                                      <w:marTop w:val="0"/>
                                                                                      <w:marBottom w:val="0"/>
                                                                                      <w:divBdr>
                                                                                        <w:top w:val="none" w:sz="0" w:space="0" w:color="auto"/>
                                                                                        <w:left w:val="none" w:sz="0" w:space="0" w:color="auto"/>
                                                                                        <w:bottom w:val="none" w:sz="0" w:space="0" w:color="auto"/>
                                                                                        <w:right w:val="none" w:sz="0" w:space="0" w:color="auto"/>
                                                                                      </w:divBdr>
                                                                                    </w:div>
                                                                                    <w:div w:id="771510614">
                                                                                      <w:marLeft w:val="0"/>
                                                                                      <w:marRight w:val="0"/>
                                                                                      <w:marTop w:val="0"/>
                                                                                      <w:marBottom w:val="0"/>
                                                                                      <w:divBdr>
                                                                                        <w:top w:val="none" w:sz="0" w:space="0" w:color="auto"/>
                                                                                        <w:left w:val="none" w:sz="0" w:space="0" w:color="auto"/>
                                                                                        <w:bottom w:val="none" w:sz="0" w:space="0" w:color="auto"/>
                                                                                        <w:right w:val="none" w:sz="0" w:space="0" w:color="auto"/>
                                                                                      </w:divBdr>
                                                                                    </w:div>
                                                                                    <w:div w:id="1599144560">
                                                                                      <w:marLeft w:val="0"/>
                                                                                      <w:marRight w:val="0"/>
                                                                                      <w:marTop w:val="0"/>
                                                                                      <w:marBottom w:val="0"/>
                                                                                      <w:divBdr>
                                                                                        <w:top w:val="none" w:sz="0" w:space="0" w:color="auto"/>
                                                                                        <w:left w:val="none" w:sz="0" w:space="0" w:color="auto"/>
                                                                                        <w:bottom w:val="none" w:sz="0" w:space="0" w:color="auto"/>
                                                                                        <w:right w:val="none" w:sz="0" w:space="0" w:color="auto"/>
                                                                                      </w:divBdr>
                                                                                    </w:div>
                                                                                    <w:div w:id="397168161">
                                                                                      <w:marLeft w:val="720"/>
                                                                                      <w:marRight w:val="0"/>
                                                                                      <w:marTop w:val="0"/>
                                                                                      <w:marBottom w:val="0"/>
                                                                                      <w:divBdr>
                                                                                        <w:top w:val="none" w:sz="0" w:space="0" w:color="auto"/>
                                                                                        <w:left w:val="none" w:sz="0" w:space="0" w:color="auto"/>
                                                                                        <w:bottom w:val="none" w:sz="0" w:space="0" w:color="auto"/>
                                                                                        <w:right w:val="none" w:sz="0" w:space="0" w:color="auto"/>
                                                                                      </w:divBdr>
                                                                                    </w:div>
                                                                                    <w:div w:id="1849514318">
                                                                                      <w:marLeft w:val="720"/>
                                                                                      <w:marRight w:val="0"/>
                                                                                      <w:marTop w:val="0"/>
                                                                                      <w:marBottom w:val="0"/>
                                                                                      <w:divBdr>
                                                                                        <w:top w:val="none" w:sz="0" w:space="0" w:color="auto"/>
                                                                                        <w:left w:val="none" w:sz="0" w:space="0" w:color="auto"/>
                                                                                        <w:bottom w:val="none" w:sz="0" w:space="0" w:color="auto"/>
                                                                                        <w:right w:val="none" w:sz="0" w:space="0" w:color="auto"/>
                                                                                      </w:divBdr>
                                                                                    </w:div>
                                                                                    <w:div w:id="501747652">
                                                                                      <w:marLeft w:val="720"/>
                                                                                      <w:marRight w:val="0"/>
                                                                                      <w:marTop w:val="0"/>
                                                                                      <w:marBottom w:val="0"/>
                                                                                      <w:divBdr>
                                                                                        <w:top w:val="none" w:sz="0" w:space="0" w:color="auto"/>
                                                                                        <w:left w:val="none" w:sz="0" w:space="0" w:color="auto"/>
                                                                                        <w:bottom w:val="none" w:sz="0" w:space="0" w:color="auto"/>
                                                                                        <w:right w:val="none" w:sz="0" w:space="0" w:color="auto"/>
                                                                                      </w:divBdr>
                                                                                    </w:div>
                                                                                    <w:div w:id="1733656472">
                                                                                      <w:marLeft w:val="720"/>
                                                                                      <w:marRight w:val="0"/>
                                                                                      <w:marTop w:val="0"/>
                                                                                      <w:marBottom w:val="0"/>
                                                                                      <w:divBdr>
                                                                                        <w:top w:val="none" w:sz="0" w:space="0" w:color="auto"/>
                                                                                        <w:left w:val="none" w:sz="0" w:space="0" w:color="auto"/>
                                                                                        <w:bottom w:val="none" w:sz="0" w:space="0" w:color="auto"/>
                                                                                        <w:right w:val="none" w:sz="0" w:space="0" w:color="auto"/>
                                                                                      </w:divBdr>
                                                                                    </w:div>
                                                                                    <w:div w:id="244387022">
                                                                                      <w:marLeft w:val="720"/>
                                                                                      <w:marRight w:val="0"/>
                                                                                      <w:marTop w:val="0"/>
                                                                                      <w:marBottom w:val="0"/>
                                                                                      <w:divBdr>
                                                                                        <w:top w:val="none" w:sz="0" w:space="0" w:color="auto"/>
                                                                                        <w:left w:val="none" w:sz="0" w:space="0" w:color="auto"/>
                                                                                        <w:bottom w:val="none" w:sz="0" w:space="0" w:color="auto"/>
                                                                                        <w:right w:val="none" w:sz="0" w:space="0" w:color="auto"/>
                                                                                      </w:divBdr>
                                                                                    </w:div>
                                                                                    <w:div w:id="1283925037">
                                                                                      <w:marLeft w:val="720"/>
                                                                                      <w:marRight w:val="0"/>
                                                                                      <w:marTop w:val="0"/>
                                                                                      <w:marBottom w:val="0"/>
                                                                                      <w:divBdr>
                                                                                        <w:top w:val="none" w:sz="0" w:space="0" w:color="auto"/>
                                                                                        <w:left w:val="none" w:sz="0" w:space="0" w:color="auto"/>
                                                                                        <w:bottom w:val="none" w:sz="0" w:space="0" w:color="auto"/>
                                                                                        <w:right w:val="none" w:sz="0" w:space="0" w:color="auto"/>
                                                                                      </w:divBdr>
                                                                                    </w:div>
                                                                                    <w:div w:id="1493911458">
                                                                                      <w:marLeft w:val="720"/>
                                                                                      <w:marRight w:val="0"/>
                                                                                      <w:marTop w:val="0"/>
                                                                                      <w:marBottom w:val="0"/>
                                                                                      <w:divBdr>
                                                                                        <w:top w:val="none" w:sz="0" w:space="0" w:color="auto"/>
                                                                                        <w:left w:val="none" w:sz="0" w:space="0" w:color="auto"/>
                                                                                        <w:bottom w:val="none" w:sz="0" w:space="0" w:color="auto"/>
                                                                                        <w:right w:val="none" w:sz="0" w:space="0" w:color="auto"/>
                                                                                      </w:divBdr>
                                                                                    </w:div>
                                                                                    <w:div w:id="7009332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627517">
      <w:bodyDiv w:val="1"/>
      <w:marLeft w:val="0"/>
      <w:marRight w:val="0"/>
      <w:marTop w:val="0"/>
      <w:marBottom w:val="0"/>
      <w:divBdr>
        <w:top w:val="none" w:sz="0" w:space="0" w:color="auto"/>
        <w:left w:val="none" w:sz="0" w:space="0" w:color="auto"/>
        <w:bottom w:val="none" w:sz="0" w:space="0" w:color="auto"/>
        <w:right w:val="none" w:sz="0" w:space="0" w:color="auto"/>
      </w:divBdr>
    </w:div>
    <w:div w:id="1576940850">
      <w:bodyDiv w:val="1"/>
      <w:marLeft w:val="0"/>
      <w:marRight w:val="0"/>
      <w:marTop w:val="0"/>
      <w:marBottom w:val="0"/>
      <w:divBdr>
        <w:top w:val="none" w:sz="0" w:space="0" w:color="auto"/>
        <w:left w:val="none" w:sz="0" w:space="0" w:color="auto"/>
        <w:bottom w:val="none" w:sz="0" w:space="0" w:color="auto"/>
        <w:right w:val="none" w:sz="0" w:space="0" w:color="auto"/>
      </w:divBdr>
      <w:divsChild>
        <w:div w:id="1172525618">
          <w:marLeft w:val="0"/>
          <w:marRight w:val="0"/>
          <w:marTop w:val="0"/>
          <w:marBottom w:val="0"/>
          <w:divBdr>
            <w:top w:val="none" w:sz="0" w:space="0" w:color="auto"/>
            <w:left w:val="none" w:sz="0" w:space="0" w:color="auto"/>
            <w:bottom w:val="none" w:sz="0" w:space="0" w:color="auto"/>
            <w:right w:val="none" w:sz="0" w:space="0" w:color="auto"/>
          </w:divBdr>
          <w:divsChild>
            <w:div w:id="1192766259">
              <w:marLeft w:val="0"/>
              <w:marRight w:val="0"/>
              <w:marTop w:val="0"/>
              <w:marBottom w:val="0"/>
              <w:divBdr>
                <w:top w:val="none" w:sz="0" w:space="0" w:color="auto"/>
                <w:left w:val="none" w:sz="0" w:space="0" w:color="auto"/>
                <w:bottom w:val="none" w:sz="0" w:space="0" w:color="auto"/>
                <w:right w:val="none" w:sz="0" w:space="0" w:color="auto"/>
              </w:divBdr>
              <w:divsChild>
                <w:div w:id="1061950277">
                  <w:marLeft w:val="0"/>
                  <w:marRight w:val="0"/>
                  <w:marTop w:val="0"/>
                  <w:marBottom w:val="0"/>
                  <w:divBdr>
                    <w:top w:val="none" w:sz="0" w:space="0" w:color="auto"/>
                    <w:left w:val="none" w:sz="0" w:space="0" w:color="auto"/>
                    <w:bottom w:val="none" w:sz="0" w:space="0" w:color="auto"/>
                    <w:right w:val="none" w:sz="0" w:space="0" w:color="auto"/>
                  </w:divBdr>
                  <w:divsChild>
                    <w:div w:id="624046475">
                      <w:marLeft w:val="0"/>
                      <w:marRight w:val="0"/>
                      <w:marTop w:val="0"/>
                      <w:marBottom w:val="0"/>
                      <w:divBdr>
                        <w:top w:val="none" w:sz="0" w:space="0" w:color="auto"/>
                        <w:left w:val="none" w:sz="0" w:space="0" w:color="auto"/>
                        <w:bottom w:val="none" w:sz="0" w:space="0" w:color="auto"/>
                        <w:right w:val="none" w:sz="0" w:space="0" w:color="auto"/>
                      </w:divBdr>
                      <w:divsChild>
                        <w:div w:id="1718627936">
                          <w:marLeft w:val="0"/>
                          <w:marRight w:val="0"/>
                          <w:marTop w:val="0"/>
                          <w:marBottom w:val="0"/>
                          <w:divBdr>
                            <w:top w:val="none" w:sz="0" w:space="0" w:color="auto"/>
                            <w:left w:val="none" w:sz="0" w:space="0" w:color="auto"/>
                            <w:bottom w:val="none" w:sz="0" w:space="0" w:color="auto"/>
                            <w:right w:val="none" w:sz="0" w:space="0" w:color="auto"/>
                          </w:divBdr>
                          <w:divsChild>
                            <w:div w:id="28529532">
                              <w:marLeft w:val="0"/>
                              <w:marRight w:val="0"/>
                              <w:marTop w:val="0"/>
                              <w:marBottom w:val="0"/>
                              <w:divBdr>
                                <w:top w:val="none" w:sz="0" w:space="0" w:color="auto"/>
                                <w:left w:val="none" w:sz="0" w:space="0" w:color="auto"/>
                                <w:bottom w:val="none" w:sz="0" w:space="0" w:color="auto"/>
                                <w:right w:val="none" w:sz="0" w:space="0" w:color="auto"/>
                              </w:divBdr>
                              <w:divsChild>
                                <w:div w:id="1525249112">
                                  <w:marLeft w:val="0"/>
                                  <w:marRight w:val="0"/>
                                  <w:marTop w:val="0"/>
                                  <w:marBottom w:val="0"/>
                                  <w:divBdr>
                                    <w:top w:val="none" w:sz="0" w:space="0" w:color="auto"/>
                                    <w:left w:val="none" w:sz="0" w:space="0" w:color="auto"/>
                                    <w:bottom w:val="none" w:sz="0" w:space="0" w:color="auto"/>
                                    <w:right w:val="none" w:sz="0" w:space="0" w:color="auto"/>
                                  </w:divBdr>
                                  <w:divsChild>
                                    <w:div w:id="1227717957">
                                      <w:marLeft w:val="0"/>
                                      <w:marRight w:val="0"/>
                                      <w:marTop w:val="0"/>
                                      <w:marBottom w:val="0"/>
                                      <w:divBdr>
                                        <w:top w:val="none" w:sz="0" w:space="0" w:color="auto"/>
                                        <w:left w:val="none" w:sz="0" w:space="0" w:color="auto"/>
                                        <w:bottom w:val="none" w:sz="0" w:space="0" w:color="auto"/>
                                        <w:right w:val="none" w:sz="0" w:space="0" w:color="auto"/>
                                      </w:divBdr>
                                      <w:divsChild>
                                        <w:div w:id="1205367951">
                                          <w:marLeft w:val="0"/>
                                          <w:marRight w:val="0"/>
                                          <w:marTop w:val="0"/>
                                          <w:marBottom w:val="0"/>
                                          <w:divBdr>
                                            <w:top w:val="none" w:sz="0" w:space="0" w:color="auto"/>
                                            <w:left w:val="none" w:sz="0" w:space="0" w:color="auto"/>
                                            <w:bottom w:val="none" w:sz="0" w:space="0" w:color="auto"/>
                                            <w:right w:val="none" w:sz="0" w:space="0" w:color="auto"/>
                                          </w:divBdr>
                                          <w:divsChild>
                                            <w:div w:id="918639840">
                                              <w:marLeft w:val="0"/>
                                              <w:marRight w:val="0"/>
                                              <w:marTop w:val="0"/>
                                              <w:marBottom w:val="0"/>
                                              <w:divBdr>
                                                <w:top w:val="none" w:sz="0" w:space="0" w:color="auto"/>
                                                <w:left w:val="none" w:sz="0" w:space="0" w:color="auto"/>
                                                <w:bottom w:val="none" w:sz="0" w:space="0" w:color="auto"/>
                                                <w:right w:val="none" w:sz="0" w:space="0" w:color="auto"/>
                                              </w:divBdr>
                                              <w:divsChild>
                                                <w:div w:id="1686978669">
                                                  <w:marLeft w:val="0"/>
                                                  <w:marRight w:val="0"/>
                                                  <w:marTop w:val="0"/>
                                                  <w:marBottom w:val="0"/>
                                                  <w:divBdr>
                                                    <w:top w:val="none" w:sz="0" w:space="0" w:color="auto"/>
                                                    <w:left w:val="none" w:sz="0" w:space="0" w:color="auto"/>
                                                    <w:bottom w:val="none" w:sz="0" w:space="0" w:color="auto"/>
                                                    <w:right w:val="none" w:sz="0" w:space="0" w:color="auto"/>
                                                  </w:divBdr>
                                                  <w:divsChild>
                                                    <w:div w:id="1250118110">
                                                      <w:marLeft w:val="0"/>
                                                      <w:marRight w:val="0"/>
                                                      <w:marTop w:val="0"/>
                                                      <w:marBottom w:val="0"/>
                                                      <w:divBdr>
                                                        <w:top w:val="none" w:sz="0" w:space="0" w:color="auto"/>
                                                        <w:left w:val="none" w:sz="0" w:space="0" w:color="auto"/>
                                                        <w:bottom w:val="none" w:sz="0" w:space="0" w:color="auto"/>
                                                        <w:right w:val="none" w:sz="0" w:space="0" w:color="auto"/>
                                                      </w:divBdr>
                                                      <w:divsChild>
                                                        <w:div w:id="739133500">
                                                          <w:marLeft w:val="0"/>
                                                          <w:marRight w:val="0"/>
                                                          <w:marTop w:val="0"/>
                                                          <w:marBottom w:val="0"/>
                                                          <w:divBdr>
                                                            <w:top w:val="none" w:sz="0" w:space="0" w:color="auto"/>
                                                            <w:left w:val="none" w:sz="0" w:space="0" w:color="auto"/>
                                                            <w:bottom w:val="none" w:sz="0" w:space="0" w:color="auto"/>
                                                            <w:right w:val="none" w:sz="0" w:space="0" w:color="auto"/>
                                                          </w:divBdr>
                                                        </w:div>
                                                        <w:div w:id="1307736695">
                                                          <w:marLeft w:val="0"/>
                                                          <w:marRight w:val="0"/>
                                                          <w:marTop w:val="0"/>
                                                          <w:marBottom w:val="0"/>
                                                          <w:divBdr>
                                                            <w:top w:val="none" w:sz="0" w:space="0" w:color="auto"/>
                                                            <w:left w:val="none" w:sz="0" w:space="0" w:color="auto"/>
                                                            <w:bottom w:val="none" w:sz="0" w:space="0" w:color="auto"/>
                                                            <w:right w:val="none" w:sz="0" w:space="0" w:color="auto"/>
                                                          </w:divBdr>
                                                          <w:divsChild>
                                                            <w:div w:id="11084330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132354">
      <w:bodyDiv w:val="1"/>
      <w:marLeft w:val="0"/>
      <w:marRight w:val="0"/>
      <w:marTop w:val="0"/>
      <w:marBottom w:val="0"/>
      <w:divBdr>
        <w:top w:val="none" w:sz="0" w:space="0" w:color="auto"/>
        <w:left w:val="none" w:sz="0" w:space="0" w:color="auto"/>
        <w:bottom w:val="none" w:sz="0" w:space="0" w:color="auto"/>
        <w:right w:val="none" w:sz="0" w:space="0" w:color="auto"/>
      </w:divBdr>
      <w:divsChild>
        <w:div w:id="2018266590">
          <w:marLeft w:val="0"/>
          <w:marRight w:val="0"/>
          <w:marTop w:val="0"/>
          <w:marBottom w:val="0"/>
          <w:divBdr>
            <w:top w:val="single" w:sz="2" w:space="0" w:color="AAAAAA"/>
            <w:left w:val="single" w:sz="4" w:space="6" w:color="AAAAAA"/>
            <w:bottom w:val="single" w:sz="2" w:space="0" w:color="AAAAAA"/>
            <w:right w:val="single" w:sz="4" w:space="6" w:color="AAAAAA"/>
          </w:divBdr>
          <w:divsChild>
            <w:div w:id="818959219">
              <w:marLeft w:val="0"/>
              <w:marRight w:val="0"/>
              <w:marTop w:val="0"/>
              <w:marBottom w:val="0"/>
              <w:divBdr>
                <w:top w:val="none" w:sz="0" w:space="0" w:color="auto"/>
                <w:left w:val="none" w:sz="0" w:space="0" w:color="auto"/>
                <w:bottom w:val="none" w:sz="0" w:space="0" w:color="auto"/>
                <w:right w:val="none" w:sz="0" w:space="0" w:color="auto"/>
              </w:divBdr>
              <w:divsChild>
                <w:div w:id="4595298">
                  <w:marLeft w:val="0"/>
                  <w:marRight w:val="0"/>
                  <w:marTop w:val="0"/>
                  <w:marBottom w:val="0"/>
                  <w:divBdr>
                    <w:top w:val="none" w:sz="0" w:space="0" w:color="auto"/>
                    <w:left w:val="none" w:sz="0" w:space="0" w:color="auto"/>
                    <w:bottom w:val="none" w:sz="0" w:space="0" w:color="auto"/>
                    <w:right w:val="none" w:sz="0" w:space="0" w:color="auto"/>
                  </w:divBdr>
                  <w:divsChild>
                    <w:div w:id="1131285865">
                      <w:marLeft w:val="0"/>
                      <w:marRight w:val="2129"/>
                      <w:marTop w:val="0"/>
                      <w:marBottom w:val="48"/>
                      <w:divBdr>
                        <w:top w:val="none" w:sz="0" w:space="0" w:color="auto"/>
                        <w:left w:val="none" w:sz="0" w:space="0" w:color="auto"/>
                        <w:bottom w:val="none" w:sz="0" w:space="0" w:color="auto"/>
                        <w:right w:val="none" w:sz="0" w:space="0" w:color="auto"/>
                      </w:divBdr>
                      <w:divsChild>
                        <w:div w:id="441073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77544468">
      <w:bodyDiv w:val="1"/>
      <w:marLeft w:val="0"/>
      <w:marRight w:val="0"/>
      <w:marTop w:val="0"/>
      <w:marBottom w:val="0"/>
      <w:divBdr>
        <w:top w:val="none" w:sz="0" w:space="0" w:color="auto"/>
        <w:left w:val="none" w:sz="0" w:space="0" w:color="auto"/>
        <w:bottom w:val="none" w:sz="0" w:space="0" w:color="auto"/>
        <w:right w:val="none" w:sz="0" w:space="0" w:color="auto"/>
      </w:divBdr>
      <w:divsChild>
        <w:div w:id="87968540">
          <w:marLeft w:val="0"/>
          <w:marRight w:val="0"/>
          <w:marTop w:val="0"/>
          <w:marBottom w:val="450"/>
          <w:divBdr>
            <w:top w:val="none" w:sz="0" w:space="0" w:color="auto"/>
            <w:left w:val="none" w:sz="0" w:space="0" w:color="auto"/>
            <w:bottom w:val="none" w:sz="0" w:space="0" w:color="auto"/>
            <w:right w:val="none" w:sz="0" w:space="0" w:color="auto"/>
          </w:divBdr>
        </w:div>
        <w:div w:id="512767532">
          <w:marLeft w:val="0"/>
          <w:marRight w:val="0"/>
          <w:marTop w:val="0"/>
          <w:marBottom w:val="450"/>
          <w:divBdr>
            <w:top w:val="none" w:sz="0" w:space="0" w:color="auto"/>
            <w:left w:val="none" w:sz="0" w:space="0" w:color="auto"/>
            <w:bottom w:val="none" w:sz="0" w:space="0" w:color="auto"/>
            <w:right w:val="none" w:sz="0" w:space="0" w:color="auto"/>
          </w:divBdr>
        </w:div>
      </w:divsChild>
    </w:div>
    <w:div w:id="1579048062">
      <w:bodyDiv w:val="1"/>
      <w:marLeft w:val="0"/>
      <w:marRight w:val="0"/>
      <w:marTop w:val="0"/>
      <w:marBottom w:val="0"/>
      <w:divBdr>
        <w:top w:val="none" w:sz="0" w:space="0" w:color="auto"/>
        <w:left w:val="none" w:sz="0" w:space="0" w:color="auto"/>
        <w:bottom w:val="none" w:sz="0" w:space="0" w:color="auto"/>
        <w:right w:val="none" w:sz="0" w:space="0" w:color="auto"/>
      </w:divBdr>
      <w:divsChild>
        <w:div w:id="1769934187">
          <w:marLeft w:val="0"/>
          <w:marRight w:val="0"/>
          <w:marTop w:val="0"/>
          <w:marBottom w:val="0"/>
          <w:divBdr>
            <w:top w:val="none" w:sz="0" w:space="0" w:color="auto"/>
            <w:left w:val="none" w:sz="0" w:space="0" w:color="auto"/>
            <w:bottom w:val="none" w:sz="0" w:space="0" w:color="auto"/>
            <w:right w:val="none" w:sz="0" w:space="0" w:color="auto"/>
          </w:divBdr>
          <w:divsChild>
            <w:div w:id="695233853">
              <w:marLeft w:val="0"/>
              <w:marRight w:val="0"/>
              <w:marTop w:val="0"/>
              <w:marBottom w:val="0"/>
              <w:divBdr>
                <w:top w:val="none" w:sz="0" w:space="0" w:color="auto"/>
                <w:left w:val="none" w:sz="0" w:space="0" w:color="auto"/>
                <w:bottom w:val="none" w:sz="0" w:space="0" w:color="auto"/>
                <w:right w:val="none" w:sz="0" w:space="0" w:color="auto"/>
              </w:divBdr>
              <w:divsChild>
                <w:div w:id="1978531951">
                  <w:marLeft w:val="0"/>
                  <w:marRight w:val="0"/>
                  <w:marTop w:val="0"/>
                  <w:marBottom w:val="0"/>
                  <w:divBdr>
                    <w:top w:val="none" w:sz="0" w:space="0" w:color="auto"/>
                    <w:left w:val="none" w:sz="0" w:space="0" w:color="auto"/>
                    <w:bottom w:val="none" w:sz="0" w:space="0" w:color="auto"/>
                    <w:right w:val="none" w:sz="0" w:space="0" w:color="auto"/>
                  </w:divBdr>
                  <w:divsChild>
                    <w:div w:id="598834885">
                      <w:marLeft w:val="0"/>
                      <w:marRight w:val="0"/>
                      <w:marTop w:val="0"/>
                      <w:marBottom w:val="0"/>
                      <w:divBdr>
                        <w:top w:val="none" w:sz="0" w:space="0" w:color="auto"/>
                        <w:left w:val="none" w:sz="0" w:space="0" w:color="auto"/>
                        <w:bottom w:val="none" w:sz="0" w:space="0" w:color="auto"/>
                        <w:right w:val="none" w:sz="0" w:space="0" w:color="auto"/>
                      </w:divBdr>
                      <w:divsChild>
                        <w:div w:id="9874440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79485132">
      <w:bodyDiv w:val="1"/>
      <w:marLeft w:val="0"/>
      <w:marRight w:val="0"/>
      <w:marTop w:val="0"/>
      <w:marBottom w:val="0"/>
      <w:divBdr>
        <w:top w:val="none" w:sz="0" w:space="0" w:color="auto"/>
        <w:left w:val="none" w:sz="0" w:space="0" w:color="auto"/>
        <w:bottom w:val="none" w:sz="0" w:space="0" w:color="auto"/>
        <w:right w:val="none" w:sz="0" w:space="0" w:color="auto"/>
      </w:divBdr>
      <w:divsChild>
        <w:div w:id="1493137849">
          <w:marLeft w:val="0"/>
          <w:marRight w:val="0"/>
          <w:marTop w:val="0"/>
          <w:marBottom w:val="0"/>
          <w:divBdr>
            <w:top w:val="none" w:sz="0" w:space="0" w:color="auto"/>
            <w:left w:val="none" w:sz="0" w:space="0" w:color="auto"/>
            <w:bottom w:val="none" w:sz="0" w:space="0" w:color="auto"/>
            <w:right w:val="none" w:sz="0" w:space="0" w:color="auto"/>
          </w:divBdr>
          <w:divsChild>
            <w:div w:id="119150399">
              <w:marLeft w:val="0"/>
              <w:marRight w:val="0"/>
              <w:marTop w:val="0"/>
              <w:marBottom w:val="0"/>
              <w:divBdr>
                <w:top w:val="none" w:sz="0" w:space="0" w:color="auto"/>
                <w:left w:val="none" w:sz="0" w:space="0" w:color="auto"/>
                <w:bottom w:val="none" w:sz="0" w:space="0" w:color="auto"/>
                <w:right w:val="none" w:sz="0" w:space="0" w:color="auto"/>
              </w:divBdr>
              <w:divsChild>
                <w:div w:id="953024542">
                  <w:marLeft w:val="0"/>
                  <w:marRight w:val="0"/>
                  <w:marTop w:val="0"/>
                  <w:marBottom w:val="0"/>
                  <w:divBdr>
                    <w:top w:val="none" w:sz="0" w:space="0" w:color="auto"/>
                    <w:left w:val="none" w:sz="0" w:space="0" w:color="auto"/>
                    <w:bottom w:val="none" w:sz="0" w:space="0" w:color="auto"/>
                    <w:right w:val="none" w:sz="0" w:space="0" w:color="auto"/>
                  </w:divBdr>
                  <w:divsChild>
                    <w:div w:id="518010285">
                      <w:marLeft w:val="0"/>
                      <w:marRight w:val="0"/>
                      <w:marTop w:val="0"/>
                      <w:marBottom w:val="0"/>
                      <w:divBdr>
                        <w:top w:val="none" w:sz="0" w:space="0" w:color="auto"/>
                        <w:left w:val="none" w:sz="0" w:space="0" w:color="auto"/>
                        <w:bottom w:val="none" w:sz="0" w:space="0" w:color="auto"/>
                        <w:right w:val="none" w:sz="0" w:space="0" w:color="auto"/>
                      </w:divBdr>
                      <w:divsChild>
                        <w:div w:id="13874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019480">
      <w:bodyDiv w:val="1"/>
      <w:marLeft w:val="0"/>
      <w:marRight w:val="0"/>
      <w:marTop w:val="0"/>
      <w:marBottom w:val="0"/>
      <w:divBdr>
        <w:top w:val="none" w:sz="0" w:space="0" w:color="auto"/>
        <w:left w:val="none" w:sz="0" w:space="0" w:color="auto"/>
        <w:bottom w:val="none" w:sz="0" w:space="0" w:color="auto"/>
        <w:right w:val="none" w:sz="0" w:space="0" w:color="auto"/>
      </w:divBdr>
    </w:div>
    <w:div w:id="1580481076">
      <w:bodyDiv w:val="1"/>
      <w:marLeft w:val="0"/>
      <w:marRight w:val="0"/>
      <w:marTop w:val="0"/>
      <w:marBottom w:val="0"/>
      <w:divBdr>
        <w:top w:val="none" w:sz="0" w:space="0" w:color="auto"/>
        <w:left w:val="none" w:sz="0" w:space="0" w:color="auto"/>
        <w:bottom w:val="none" w:sz="0" w:space="0" w:color="auto"/>
        <w:right w:val="none" w:sz="0" w:space="0" w:color="auto"/>
      </w:divBdr>
      <w:divsChild>
        <w:div w:id="233703233">
          <w:marLeft w:val="0"/>
          <w:marRight w:val="0"/>
          <w:marTop w:val="0"/>
          <w:marBottom w:val="0"/>
          <w:divBdr>
            <w:top w:val="none" w:sz="0" w:space="0" w:color="auto"/>
            <w:left w:val="none" w:sz="0" w:space="0" w:color="auto"/>
            <w:bottom w:val="none" w:sz="0" w:space="0" w:color="auto"/>
            <w:right w:val="none" w:sz="0" w:space="0" w:color="auto"/>
          </w:divBdr>
          <w:divsChild>
            <w:div w:id="1860855765">
              <w:marLeft w:val="0"/>
              <w:marRight w:val="0"/>
              <w:marTop w:val="0"/>
              <w:marBottom w:val="0"/>
              <w:divBdr>
                <w:top w:val="none" w:sz="0" w:space="0" w:color="auto"/>
                <w:left w:val="none" w:sz="0" w:space="0" w:color="auto"/>
                <w:bottom w:val="none" w:sz="0" w:space="0" w:color="auto"/>
                <w:right w:val="none" w:sz="0" w:space="0" w:color="auto"/>
              </w:divBdr>
              <w:divsChild>
                <w:div w:id="494343873">
                  <w:marLeft w:val="0"/>
                  <w:marRight w:val="0"/>
                  <w:marTop w:val="0"/>
                  <w:marBottom w:val="0"/>
                  <w:divBdr>
                    <w:top w:val="none" w:sz="0" w:space="0" w:color="auto"/>
                    <w:left w:val="none" w:sz="0" w:space="0" w:color="auto"/>
                    <w:bottom w:val="none" w:sz="0" w:space="0" w:color="auto"/>
                    <w:right w:val="none" w:sz="0" w:space="0" w:color="auto"/>
                  </w:divBdr>
                  <w:divsChild>
                    <w:div w:id="653067028">
                      <w:marLeft w:val="0"/>
                      <w:marRight w:val="0"/>
                      <w:marTop w:val="0"/>
                      <w:marBottom w:val="0"/>
                      <w:divBdr>
                        <w:top w:val="none" w:sz="0" w:space="0" w:color="auto"/>
                        <w:left w:val="none" w:sz="0" w:space="0" w:color="auto"/>
                        <w:bottom w:val="none" w:sz="0" w:space="0" w:color="auto"/>
                        <w:right w:val="none" w:sz="0" w:space="0" w:color="auto"/>
                      </w:divBdr>
                      <w:divsChild>
                        <w:div w:id="962228056">
                          <w:marLeft w:val="0"/>
                          <w:marRight w:val="0"/>
                          <w:marTop w:val="0"/>
                          <w:marBottom w:val="0"/>
                          <w:divBdr>
                            <w:top w:val="none" w:sz="0" w:space="0" w:color="auto"/>
                            <w:left w:val="none" w:sz="0" w:space="0" w:color="auto"/>
                            <w:bottom w:val="none" w:sz="0" w:space="0" w:color="auto"/>
                            <w:right w:val="none" w:sz="0" w:space="0" w:color="auto"/>
                          </w:divBdr>
                          <w:divsChild>
                            <w:div w:id="92481420">
                              <w:marLeft w:val="0"/>
                              <w:marRight w:val="0"/>
                              <w:marTop w:val="0"/>
                              <w:marBottom w:val="0"/>
                              <w:divBdr>
                                <w:top w:val="none" w:sz="0" w:space="0" w:color="auto"/>
                                <w:left w:val="none" w:sz="0" w:space="0" w:color="auto"/>
                                <w:bottom w:val="none" w:sz="0" w:space="0" w:color="auto"/>
                                <w:right w:val="none" w:sz="0" w:space="0" w:color="auto"/>
                              </w:divBdr>
                              <w:divsChild>
                                <w:div w:id="1787583651">
                                  <w:marLeft w:val="0"/>
                                  <w:marRight w:val="0"/>
                                  <w:marTop w:val="0"/>
                                  <w:marBottom w:val="0"/>
                                  <w:divBdr>
                                    <w:top w:val="none" w:sz="0" w:space="0" w:color="auto"/>
                                    <w:left w:val="none" w:sz="0" w:space="0" w:color="auto"/>
                                    <w:bottom w:val="none" w:sz="0" w:space="0" w:color="auto"/>
                                    <w:right w:val="none" w:sz="0" w:space="0" w:color="auto"/>
                                  </w:divBdr>
                                  <w:divsChild>
                                    <w:div w:id="395591801">
                                      <w:marLeft w:val="0"/>
                                      <w:marRight w:val="0"/>
                                      <w:marTop w:val="0"/>
                                      <w:marBottom w:val="0"/>
                                      <w:divBdr>
                                        <w:top w:val="none" w:sz="0" w:space="0" w:color="auto"/>
                                        <w:left w:val="none" w:sz="0" w:space="0" w:color="auto"/>
                                        <w:bottom w:val="none" w:sz="0" w:space="0" w:color="auto"/>
                                        <w:right w:val="none" w:sz="0" w:space="0" w:color="auto"/>
                                      </w:divBdr>
                                      <w:divsChild>
                                        <w:div w:id="142088514">
                                          <w:marLeft w:val="0"/>
                                          <w:marRight w:val="0"/>
                                          <w:marTop w:val="0"/>
                                          <w:marBottom w:val="0"/>
                                          <w:divBdr>
                                            <w:top w:val="none" w:sz="0" w:space="0" w:color="auto"/>
                                            <w:left w:val="none" w:sz="0" w:space="0" w:color="auto"/>
                                            <w:bottom w:val="none" w:sz="0" w:space="0" w:color="auto"/>
                                            <w:right w:val="none" w:sz="0" w:space="0" w:color="auto"/>
                                          </w:divBdr>
                                          <w:divsChild>
                                            <w:div w:id="1083989259">
                                              <w:marLeft w:val="0"/>
                                              <w:marRight w:val="0"/>
                                              <w:marTop w:val="0"/>
                                              <w:marBottom w:val="0"/>
                                              <w:divBdr>
                                                <w:top w:val="none" w:sz="0" w:space="0" w:color="auto"/>
                                                <w:left w:val="none" w:sz="0" w:space="0" w:color="auto"/>
                                                <w:bottom w:val="none" w:sz="0" w:space="0" w:color="auto"/>
                                                <w:right w:val="none" w:sz="0" w:space="0" w:color="auto"/>
                                              </w:divBdr>
                                              <w:divsChild>
                                                <w:div w:id="266815057">
                                                  <w:marLeft w:val="0"/>
                                                  <w:marRight w:val="0"/>
                                                  <w:marTop w:val="0"/>
                                                  <w:marBottom w:val="0"/>
                                                  <w:divBdr>
                                                    <w:top w:val="none" w:sz="0" w:space="0" w:color="auto"/>
                                                    <w:left w:val="none" w:sz="0" w:space="0" w:color="auto"/>
                                                    <w:bottom w:val="none" w:sz="0" w:space="0" w:color="auto"/>
                                                    <w:right w:val="none" w:sz="0" w:space="0" w:color="auto"/>
                                                  </w:divBdr>
                                                  <w:divsChild>
                                                    <w:div w:id="1513258460">
                                                      <w:marLeft w:val="0"/>
                                                      <w:marRight w:val="0"/>
                                                      <w:marTop w:val="0"/>
                                                      <w:marBottom w:val="0"/>
                                                      <w:divBdr>
                                                        <w:top w:val="none" w:sz="0" w:space="0" w:color="auto"/>
                                                        <w:left w:val="none" w:sz="0" w:space="0" w:color="auto"/>
                                                        <w:bottom w:val="none" w:sz="0" w:space="0" w:color="auto"/>
                                                        <w:right w:val="none" w:sz="0" w:space="0" w:color="auto"/>
                                                      </w:divBdr>
                                                      <w:divsChild>
                                                        <w:div w:id="9167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0554800">
      <w:bodyDiv w:val="1"/>
      <w:marLeft w:val="0"/>
      <w:marRight w:val="0"/>
      <w:marTop w:val="0"/>
      <w:marBottom w:val="0"/>
      <w:divBdr>
        <w:top w:val="none" w:sz="0" w:space="0" w:color="auto"/>
        <w:left w:val="none" w:sz="0" w:space="0" w:color="auto"/>
        <w:bottom w:val="none" w:sz="0" w:space="0" w:color="auto"/>
        <w:right w:val="none" w:sz="0" w:space="0" w:color="auto"/>
      </w:divBdr>
    </w:div>
    <w:div w:id="1583636172">
      <w:bodyDiv w:val="1"/>
      <w:marLeft w:val="0"/>
      <w:marRight w:val="0"/>
      <w:marTop w:val="0"/>
      <w:marBottom w:val="0"/>
      <w:divBdr>
        <w:top w:val="none" w:sz="0" w:space="0" w:color="auto"/>
        <w:left w:val="none" w:sz="0" w:space="0" w:color="auto"/>
        <w:bottom w:val="none" w:sz="0" w:space="0" w:color="auto"/>
        <w:right w:val="none" w:sz="0" w:space="0" w:color="auto"/>
      </w:divBdr>
      <w:divsChild>
        <w:div w:id="1441025058">
          <w:marLeft w:val="0"/>
          <w:marRight w:val="0"/>
          <w:marTop w:val="0"/>
          <w:marBottom w:val="0"/>
          <w:divBdr>
            <w:top w:val="none" w:sz="0" w:space="0" w:color="auto"/>
            <w:left w:val="none" w:sz="0" w:space="0" w:color="auto"/>
            <w:bottom w:val="none" w:sz="0" w:space="0" w:color="auto"/>
            <w:right w:val="none" w:sz="0" w:space="0" w:color="auto"/>
          </w:divBdr>
          <w:divsChild>
            <w:div w:id="1332832956">
              <w:marLeft w:val="0"/>
              <w:marRight w:val="0"/>
              <w:marTop w:val="0"/>
              <w:marBottom w:val="0"/>
              <w:divBdr>
                <w:top w:val="none" w:sz="0" w:space="0" w:color="auto"/>
                <w:left w:val="none" w:sz="0" w:space="0" w:color="auto"/>
                <w:bottom w:val="none" w:sz="0" w:space="0" w:color="auto"/>
                <w:right w:val="none" w:sz="0" w:space="0" w:color="auto"/>
              </w:divBdr>
              <w:divsChild>
                <w:div w:id="58867428">
                  <w:marLeft w:val="0"/>
                  <w:marRight w:val="0"/>
                  <w:marTop w:val="0"/>
                  <w:marBottom w:val="0"/>
                  <w:divBdr>
                    <w:top w:val="none" w:sz="0" w:space="0" w:color="auto"/>
                    <w:left w:val="none" w:sz="0" w:space="0" w:color="auto"/>
                    <w:bottom w:val="none" w:sz="0" w:space="0" w:color="auto"/>
                    <w:right w:val="none" w:sz="0" w:space="0" w:color="auto"/>
                  </w:divBdr>
                  <w:divsChild>
                    <w:div w:id="1379470487">
                      <w:marLeft w:val="0"/>
                      <w:marRight w:val="0"/>
                      <w:marTop w:val="0"/>
                      <w:marBottom w:val="0"/>
                      <w:divBdr>
                        <w:top w:val="none" w:sz="0" w:space="0" w:color="auto"/>
                        <w:left w:val="none" w:sz="0" w:space="0" w:color="auto"/>
                        <w:bottom w:val="none" w:sz="0" w:space="0" w:color="auto"/>
                        <w:right w:val="none" w:sz="0" w:space="0" w:color="auto"/>
                      </w:divBdr>
                      <w:divsChild>
                        <w:div w:id="90429148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85188314">
      <w:bodyDiv w:val="1"/>
      <w:marLeft w:val="0"/>
      <w:marRight w:val="0"/>
      <w:marTop w:val="0"/>
      <w:marBottom w:val="0"/>
      <w:divBdr>
        <w:top w:val="none" w:sz="0" w:space="0" w:color="auto"/>
        <w:left w:val="none" w:sz="0" w:space="0" w:color="auto"/>
        <w:bottom w:val="none" w:sz="0" w:space="0" w:color="auto"/>
        <w:right w:val="none" w:sz="0" w:space="0" w:color="auto"/>
      </w:divBdr>
      <w:divsChild>
        <w:div w:id="1741442443">
          <w:marLeft w:val="0"/>
          <w:marRight w:val="0"/>
          <w:marTop w:val="0"/>
          <w:marBottom w:val="0"/>
          <w:divBdr>
            <w:top w:val="none" w:sz="0" w:space="0" w:color="auto"/>
            <w:left w:val="none" w:sz="0" w:space="0" w:color="auto"/>
            <w:bottom w:val="none" w:sz="0" w:space="0" w:color="auto"/>
            <w:right w:val="none" w:sz="0" w:space="0" w:color="auto"/>
          </w:divBdr>
          <w:divsChild>
            <w:div w:id="1040319034">
              <w:marLeft w:val="0"/>
              <w:marRight w:val="0"/>
              <w:marTop w:val="0"/>
              <w:marBottom w:val="0"/>
              <w:divBdr>
                <w:top w:val="none" w:sz="0" w:space="0" w:color="auto"/>
                <w:left w:val="none" w:sz="0" w:space="0" w:color="auto"/>
                <w:bottom w:val="none" w:sz="0" w:space="0" w:color="auto"/>
                <w:right w:val="none" w:sz="0" w:space="0" w:color="auto"/>
              </w:divBdr>
              <w:divsChild>
                <w:div w:id="297954617">
                  <w:marLeft w:val="0"/>
                  <w:marRight w:val="0"/>
                  <w:marTop w:val="0"/>
                  <w:marBottom w:val="0"/>
                  <w:divBdr>
                    <w:top w:val="none" w:sz="0" w:space="0" w:color="auto"/>
                    <w:left w:val="none" w:sz="0" w:space="0" w:color="auto"/>
                    <w:bottom w:val="none" w:sz="0" w:space="0" w:color="auto"/>
                    <w:right w:val="none" w:sz="0" w:space="0" w:color="auto"/>
                  </w:divBdr>
                  <w:divsChild>
                    <w:div w:id="1775515078">
                      <w:marLeft w:val="0"/>
                      <w:marRight w:val="0"/>
                      <w:marTop w:val="0"/>
                      <w:marBottom w:val="0"/>
                      <w:divBdr>
                        <w:top w:val="none" w:sz="0" w:space="0" w:color="auto"/>
                        <w:left w:val="none" w:sz="0" w:space="0" w:color="auto"/>
                        <w:bottom w:val="none" w:sz="0" w:space="0" w:color="auto"/>
                        <w:right w:val="none" w:sz="0" w:space="0" w:color="auto"/>
                      </w:divBdr>
                      <w:divsChild>
                        <w:div w:id="1455757293">
                          <w:marLeft w:val="0"/>
                          <w:marRight w:val="0"/>
                          <w:marTop w:val="0"/>
                          <w:marBottom w:val="0"/>
                          <w:divBdr>
                            <w:top w:val="none" w:sz="0" w:space="0" w:color="auto"/>
                            <w:left w:val="none" w:sz="0" w:space="0" w:color="auto"/>
                            <w:bottom w:val="none" w:sz="0" w:space="0" w:color="auto"/>
                            <w:right w:val="none" w:sz="0" w:space="0" w:color="auto"/>
                          </w:divBdr>
                          <w:divsChild>
                            <w:div w:id="1718384510">
                              <w:marLeft w:val="0"/>
                              <w:marRight w:val="0"/>
                              <w:marTop w:val="0"/>
                              <w:marBottom w:val="0"/>
                              <w:divBdr>
                                <w:top w:val="none" w:sz="0" w:space="0" w:color="auto"/>
                                <w:left w:val="none" w:sz="0" w:space="0" w:color="auto"/>
                                <w:bottom w:val="none" w:sz="0" w:space="0" w:color="auto"/>
                                <w:right w:val="none" w:sz="0" w:space="0" w:color="auto"/>
                              </w:divBdr>
                              <w:divsChild>
                                <w:div w:id="744961007">
                                  <w:marLeft w:val="0"/>
                                  <w:marRight w:val="0"/>
                                  <w:marTop w:val="0"/>
                                  <w:marBottom w:val="0"/>
                                  <w:divBdr>
                                    <w:top w:val="none" w:sz="0" w:space="0" w:color="auto"/>
                                    <w:left w:val="none" w:sz="0" w:space="0" w:color="auto"/>
                                    <w:bottom w:val="none" w:sz="0" w:space="0" w:color="auto"/>
                                    <w:right w:val="none" w:sz="0" w:space="0" w:color="auto"/>
                                  </w:divBdr>
                                  <w:divsChild>
                                    <w:div w:id="1319069267">
                                      <w:marLeft w:val="0"/>
                                      <w:marRight w:val="0"/>
                                      <w:marTop w:val="0"/>
                                      <w:marBottom w:val="0"/>
                                      <w:divBdr>
                                        <w:top w:val="none" w:sz="0" w:space="0" w:color="auto"/>
                                        <w:left w:val="none" w:sz="0" w:space="0" w:color="auto"/>
                                        <w:bottom w:val="none" w:sz="0" w:space="0" w:color="auto"/>
                                        <w:right w:val="none" w:sz="0" w:space="0" w:color="auto"/>
                                      </w:divBdr>
                                      <w:divsChild>
                                        <w:div w:id="306129191">
                                          <w:marLeft w:val="0"/>
                                          <w:marRight w:val="0"/>
                                          <w:marTop w:val="0"/>
                                          <w:marBottom w:val="0"/>
                                          <w:divBdr>
                                            <w:top w:val="none" w:sz="0" w:space="0" w:color="auto"/>
                                            <w:left w:val="none" w:sz="0" w:space="0" w:color="auto"/>
                                            <w:bottom w:val="none" w:sz="0" w:space="0" w:color="auto"/>
                                            <w:right w:val="none" w:sz="0" w:space="0" w:color="auto"/>
                                          </w:divBdr>
                                          <w:divsChild>
                                            <w:div w:id="1399668774">
                                              <w:marLeft w:val="0"/>
                                              <w:marRight w:val="0"/>
                                              <w:marTop w:val="0"/>
                                              <w:marBottom w:val="0"/>
                                              <w:divBdr>
                                                <w:top w:val="none" w:sz="0" w:space="0" w:color="auto"/>
                                                <w:left w:val="none" w:sz="0" w:space="0" w:color="auto"/>
                                                <w:bottom w:val="none" w:sz="0" w:space="0" w:color="auto"/>
                                                <w:right w:val="none" w:sz="0" w:space="0" w:color="auto"/>
                                              </w:divBdr>
                                              <w:divsChild>
                                                <w:div w:id="1730614395">
                                                  <w:marLeft w:val="0"/>
                                                  <w:marRight w:val="0"/>
                                                  <w:marTop w:val="0"/>
                                                  <w:marBottom w:val="0"/>
                                                  <w:divBdr>
                                                    <w:top w:val="none" w:sz="0" w:space="0" w:color="auto"/>
                                                    <w:left w:val="none" w:sz="0" w:space="0" w:color="auto"/>
                                                    <w:bottom w:val="none" w:sz="0" w:space="0" w:color="auto"/>
                                                    <w:right w:val="none" w:sz="0" w:space="0" w:color="auto"/>
                                                  </w:divBdr>
                                                  <w:divsChild>
                                                    <w:div w:id="214858717">
                                                      <w:marLeft w:val="0"/>
                                                      <w:marRight w:val="0"/>
                                                      <w:marTop w:val="0"/>
                                                      <w:marBottom w:val="0"/>
                                                      <w:divBdr>
                                                        <w:top w:val="none" w:sz="0" w:space="0" w:color="auto"/>
                                                        <w:left w:val="none" w:sz="0" w:space="0" w:color="auto"/>
                                                        <w:bottom w:val="none" w:sz="0" w:space="0" w:color="auto"/>
                                                        <w:right w:val="none" w:sz="0" w:space="0" w:color="auto"/>
                                                      </w:divBdr>
                                                      <w:divsChild>
                                                        <w:div w:id="4381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533831">
      <w:bodyDiv w:val="1"/>
      <w:marLeft w:val="0"/>
      <w:marRight w:val="0"/>
      <w:marTop w:val="0"/>
      <w:marBottom w:val="0"/>
      <w:divBdr>
        <w:top w:val="none" w:sz="0" w:space="0" w:color="auto"/>
        <w:left w:val="none" w:sz="0" w:space="0" w:color="auto"/>
        <w:bottom w:val="none" w:sz="0" w:space="0" w:color="auto"/>
        <w:right w:val="none" w:sz="0" w:space="0" w:color="auto"/>
      </w:divBdr>
      <w:divsChild>
        <w:div w:id="857937417">
          <w:marLeft w:val="0"/>
          <w:marRight w:val="0"/>
          <w:marTop w:val="0"/>
          <w:marBottom w:val="0"/>
          <w:divBdr>
            <w:top w:val="none" w:sz="0" w:space="0" w:color="auto"/>
            <w:left w:val="none" w:sz="0" w:space="0" w:color="auto"/>
            <w:bottom w:val="none" w:sz="0" w:space="0" w:color="auto"/>
            <w:right w:val="none" w:sz="0" w:space="0" w:color="auto"/>
          </w:divBdr>
          <w:divsChild>
            <w:div w:id="1775711851">
              <w:marLeft w:val="2"/>
              <w:marRight w:val="2"/>
              <w:marTop w:val="0"/>
              <w:marBottom w:val="0"/>
              <w:divBdr>
                <w:top w:val="none" w:sz="0" w:space="0" w:color="auto"/>
                <w:left w:val="none" w:sz="0" w:space="0" w:color="auto"/>
                <w:bottom w:val="none" w:sz="0" w:space="0" w:color="auto"/>
                <w:right w:val="none" w:sz="0" w:space="0" w:color="auto"/>
              </w:divBdr>
              <w:divsChild>
                <w:div w:id="1349599693">
                  <w:marLeft w:val="0"/>
                  <w:marRight w:val="0"/>
                  <w:marTop w:val="0"/>
                  <w:marBottom w:val="0"/>
                  <w:divBdr>
                    <w:top w:val="none" w:sz="0" w:space="0" w:color="auto"/>
                    <w:left w:val="none" w:sz="0" w:space="0" w:color="auto"/>
                    <w:bottom w:val="none" w:sz="0" w:space="0" w:color="auto"/>
                    <w:right w:val="none" w:sz="0" w:space="0" w:color="auto"/>
                  </w:divBdr>
                  <w:divsChild>
                    <w:div w:id="154078808">
                      <w:marLeft w:val="0"/>
                      <w:marRight w:val="0"/>
                      <w:marTop w:val="0"/>
                      <w:marBottom w:val="0"/>
                      <w:divBdr>
                        <w:top w:val="none" w:sz="0" w:space="0" w:color="auto"/>
                        <w:left w:val="none" w:sz="0" w:space="0" w:color="auto"/>
                        <w:bottom w:val="none" w:sz="0" w:space="0" w:color="auto"/>
                        <w:right w:val="none" w:sz="0" w:space="0" w:color="auto"/>
                      </w:divBdr>
                      <w:divsChild>
                        <w:div w:id="1344430571">
                          <w:marLeft w:val="0"/>
                          <w:marRight w:val="0"/>
                          <w:marTop w:val="0"/>
                          <w:marBottom w:val="0"/>
                          <w:divBdr>
                            <w:top w:val="none" w:sz="0" w:space="0" w:color="auto"/>
                            <w:left w:val="none" w:sz="0" w:space="0" w:color="auto"/>
                            <w:bottom w:val="none" w:sz="0" w:space="0" w:color="auto"/>
                            <w:right w:val="none" w:sz="0" w:space="0" w:color="auto"/>
                          </w:divBdr>
                          <w:divsChild>
                            <w:div w:id="311952563">
                              <w:marLeft w:val="0"/>
                              <w:marRight w:val="0"/>
                              <w:marTop w:val="0"/>
                              <w:marBottom w:val="0"/>
                              <w:divBdr>
                                <w:top w:val="none" w:sz="0" w:space="0" w:color="auto"/>
                                <w:left w:val="none" w:sz="0" w:space="0" w:color="auto"/>
                                <w:bottom w:val="none" w:sz="0" w:space="0" w:color="auto"/>
                                <w:right w:val="none" w:sz="0" w:space="0" w:color="auto"/>
                              </w:divBdr>
                              <w:divsChild>
                                <w:div w:id="1014503803">
                                  <w:marLeft w:val="0"/>
                                  <w:marRight w:val="0"/>
                                  <w:marTop w:val="0"/>
                                  <w:marBottom w:val="0"/>
                                  <w:divBdr>
                                    <w:top w:val="none" w:sz="0" w:space="0" w:color="auto"/>
                                    <w:left w:val="none" w:sz="0" w:space="0" w:color="auto"/>
                                    <w:bottom w:val="none" w:sz="0" w:space="0" w:color="auto"/>
                                    <w:right w:val="none" w:sz="0" w:space="0" w:color="auto"/>
                                  </w:divBdr>
                                  <w:divsChild>
                                    <w:div w:id="997225797">
                                      <w:marLeft w:val="0"/>
                                      <w:marRight w:val="0"/>
                                      <w:marTop w:val="0"/>
                                      <w:marBottom w:val="0"/>
                                      <w:divBdr>
                                        <w:top w:val="none" w:sz="0" w:space="0" w:color="auto"/>
                                        <w:left w:val="none" w:sz="0" w:space="0" w:color="auto"/>
                                        <w:bottom w:val="none" w:sz="0" w:space="0" w:color="auto"/>
                                        <w:right w:val="none" w:sz="0" w:space="0" w:color="auto"/>
                                      </w:divBdr>
                                      <w:divsChild>
                                        <w:div w:id="559368572">
                                          <w:marLeft w:val="0"/>
                                          <w:marRight w:val="0"/>
                                          <w:marTop w:val="0"/>
                                          <w:marBottom w:val="0"/>
                                          <w:divBdr>
                                            <w:top w:val="none" w:sz="0" w:space="0" w:color="auto"/>
                                            <w:left w:val="none" w:sz="0" w:space="0" w:color="auto"/>
                                            <w:bottom w:val="none" w:sz="0" w:space="0" w:color="auto"/>
                                            <w:right w:val="none" w:sz="0" w:space="0" w:color="auto"/>
                                          </w:divBdr>
                                          <w:divsChild>
                                            <w:div w:id="366029394">
                                              <w:marLeft w:val="0"/>
                                              <w:marRight w:val="0"/>
                                              <w:marTop w:val="0"/>
                                              <w:marBottom w:val="0"/>
                                              <w:divBdr>
                                                <w:top w:val="none" w:sz="0" w:space="0" w:color="auto"/>
                                                <w:left w:val="none" w:sz="0" w:space="0" w:color="auto"/>
                                                <w:bottom w:val="none" w:sz="0" w:space="0" w:color="auto"/>
                                                <w:right w:val="none" w:sz="0" w:space="0" w:color="auto"/>
                                              </w:divBdr>
                                            </w:div>
                                          </w:divsChild>
                                        </w:div>
                                        <w:div w:id="2065520058">
                                          <w:marLeft w:val="0"/>
                                          <w:marRight w:val="0"/>
                                          <w:marTop w:val="0"/>
                                          <w:marBottom w:val="0"/>
                                          <w:divBdr>
                                            <w:top w:val="none" w:sz="0" w:space="0" w:color="auto"/>
                                            <w:left w:val="none" w:sz="0" w:space="0" w:color="auto"/>
                                            <w:bottom w:val="none" w:sz="0" w:space="0" w:color="auto"/>
                                            <w:right w:val="none" w:sz="0" w:space="0" w:color="auto"/>
                                          </w:divBdr>
                                          <w:divsChild>
                                            <w:div w:id="663896789">
                                              <w:marLeft w:val="0"/>
                                              <w:marRight w:val="0"/>
                                              <w:marTop w:val="0"/>
                                              <w:marBottom w:val="0"/>
                                              <w:divBdr>
                                                <w:top w:val="none" w:sz="0" w:space="0" w:color="auto"/>
                                                <w:left w:val="none" w:sz="0" w:space="0" w:color="auto"/>
                                                <w:bottom w:val="none" w:sz="0" w:space="0" w:color="auto"/>
                                                <w:right w:val="none" w:sz="0" w:space="0" w:color="auto"/>
                                              </w:divBdr>
                                            </w:div>
                                          </w:divsChild>
                                        </w:div>
                                        <w:div w:id="439447937">
                                          <w:marLeft w:val="0"/>
                                          <w:marRight w:val="0"/>
                                          <w:marTop w:val="0"/>
                                          <w:marBottom w:val="0"/>
                                          <w:divBdr>
                                            <w:top w:val="none" w:sz="0" w:space="0" w:color="auto"/>
                                            <w:left w:val="none" w:sz="0" w:space="0" w:color="auto"/>
                                            <w:bottom w:val="none" w:sz="0" w:space="0" w:color="auto"/>
                                            <w:right w:val="none" w:sz="0" w:space="0" w:color="auto"/>
                                          </w:divBdr>
                                          <w:divsChild>
                                            <w:div w:id="1869561851">
                                              <w:marLeft w:val="0"/>
                                              <w:marRight w:val="0"/>
                                              <w:marTop w:val="0"/>
                                              <w:marBottom w:val="0"/>
                                              <w:divBdr>
                                                <w:top w:val="none" w:sz="0" w:space="0" w:color="auto"/>
                                                <w:left w:val="none" w:sz="0" w:space="0" w:color="auto"/>
                                                <w:bottom w:val="none" w:sz="0" w:space="0" w:color="auto"/>
                                                <w:right w:val="none" w:sz="0" w:space="0" w:color="auto"/>
                                              </w:divBdr>
                                            </w:div>
                                          </w:divsChild>
                                        </w:div>
                                        <w:div w:id="1413553132">
                                          <w:marLeft w:val="0"/>
                                          <w:marRight w:val="0"/>
                                          <w:marTop w:val="0"/>
                                          <w:marBottom w:val="0"/>
                                          <w:divBdr>
                                            <w:top w:val="none" w:sz="0" w:space="0" w:color="auto"/>
                                            <w:left w:val="none" w:sz="0" w:space="0" w:color="auto"/>
                                            <w:bottom w:val="none" w:sz="0" w:space="0" w:color="auto"/>
                                            <w:right w:val="none" w:sz="0" w:space="0" w:color="auto"/>
                                          </w:divBdr>
                                          <w:divsChild>
                                            <w:div w:id="1955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8553">
                                      <w:marLeft w:val="0"/>
                                      <w:marRight w:val="0"/>
                                      <w:marTop w:val="0"/>
                                      <w:marBottom w:val="0"/>
                                      <w:divBdr>
                                        <w:top w:val="none" w:sz="0" w:space="0" w:color="auto"/>
                                        <w:left w:val="none" w:sz="0" w:space="0" w:color="auto"/>
                                        <w:bottom w:val="none" w:sz="0" w:space="0" w:color="auto"/>
                                        <w:right w:val="none" w:sz="0" w:space="0" w:color="auto"/>
                                      </w:divBdr>
                                      <w:divsChild>
                                        <w:div w:id="455955705">
                                          <w:marLeft w:val="0"/>
                                          <w:marRight w:val="0"/>
                                          <w:marTop w:val="0"/>
                                          <w:marBottom w:val="0"/>
                                          <w:divBdr>
                                            <w:top w:val="none" w:sz="0" w:space="0" w:color="auto"/>
                                            <w:left w:val="none" w:sz="0" w:space="0" w:color="auto"/>
                                            <w:bottom w:val="none" w:sz="0" w:space="0" w:color="auto"/>
                                            <w:right w:val="none" w:sz="0" w:space="0" w:color="auto"/>
                                          </w:divBdr>
                                          <w:divsChild>
                                            <w:div w:id="1967000507">
                                              <w:marLeft w:val="0"/>
                                              <w:marRight w:val="0"/>
                                              <w:marTop w:val="0"/>
                                              <w:marBottom w:val="0"/>
                                              <w:divBdr>
                                                <w:top w:val="none" w:sz="0" w:space="0" w:color="auto"/>
                                                <w:left w:val="none" w:sz="0" w:space="0" w:color="auto"/>
                                                <w:bottom w:val="none" w:sz="0" w:space="0" w:color="auto"/>
                                                <w:right w:val="none" w:sz="0" w:space="0" w:color="auto"/>
                                              </w:divBdr>
                                            </w:div>
                                          </w:divsChild>
                                        </w:div>
                                        <w:div w:id="1907063202">
                                          <w:marLeft w:val="0"/>
                                          <w:marRight w:val="0"/>
                                          <w:marTop w:val="0"/>
                                          <w:marBottom w:val="0"/>
                                          <w:divBdr>
                                            <w:top w:val="none" w:sz="0" w:space="0" w:color="auto"/>
                                            <w:left w:val="none" w:sz="0" w:space="0" w:color="auto"/>
                                            <w:bottom w:val="none" w:sz="0" w:space="0" w:color="auto"/>
                                            <w:right w:val="none" w:sz="0" w:space="0" w:color="auto"/>
                                          </w:divBdr>
                                          <w:divsChild>
                                            <w:div w:id="1746956626">
                                              <w:marLeft w:val="0"/>
                                              <w:marRight w:val="0"/>
                                              <w:marTop w:val="0"/>
                                              <w:marBottom w:val="0"/>
                                              <w:divBdr>
                                                <w:top w:val="none" w:sz="0" w:space="0" w:color="auto"/>
                                                <w:left w:val="none" w:sz="0" w:space="0" w:color="auto"/>
                                                <w:bottom w:val="none" w:sz="0" w:space="0" w:color="auto"/>
                                                <w:right w:val="none" w:sz="0" w:space="0" w:color="auto"/>
                                              </w:divBdr>
                                            </w:div>
                                          </w:divsChild>
                                        </w:div>
                                        <w:div w:id="796262639">
                                          <w:marLeft w:val="0"/>
                                          <w:marRight w:val="0"/>
                                          <w:marTop w:val="0"/>
                                          <w:marBottom w:val="0"/>
                                          <w:divBdr>
                                            <w:top w:val="none" w:sz="0" w:space="0" w:color="auto"/>
                                            <w:left w:val="none" w:sz="0" w:space="0" w:color="auto"/>
                                            <w:bottom w:val="none" w:sz="0" w:space="0" w:color="auto"/>
                                            <w:right w:val="none" w:sz="0" w:space="0" w:color="auto"/>
                                          </w:divBdr>
                                          <w:divsChild>
                                            <w:div w:id="1671367608">
                                              <w:marLeft w:val="0"/>
                                              <w:marRight w:val="0"/>
                                              <w:marTop w:val="0"/>
                                              <w:marBottom w:val="0"/>
                                              <w:divBdr>
                                                <w:top w:val="none" w:sz="0" w:space="0" w:color="auto"/>
                                                <w:left w:val="none" w:sz="0" w:space="0" w:color="auto"/>
                                                <w:bottom w:val="none" w:sz="0" w:space="0" w:color="auto"/>
                                                <w:right w:val="none" w:sz="0" w:space="0" w:color="auto"/>
                                              </w:divBdr>
                                            </w:div>
                                          </w:divsChild>
                                        </w:div>
                                        <w:div w:id="1081869705">
                                          <w:marLeft w:val="0"/>
                                          <w:marRight w:val="0"/>
                                          <w:marTop w:val="0"/>
                                          <w:marBottom w:val="0"/>
                                          <w:divBdr>
                                            <w:top w:val="none" w:sz="0" w:space="0" w:color="auto"/>
                                            <w:left w:val="none" w:sz="0" w:space="0" w:color="auto"/>
                                            <w:bottom w:val="none" w:sz="0" w:space="0" w:color="auto"/>
                                            <w:right w:val="none" w:sz="0" w:space="0" w:color="auto"/>
                                          </w:divBdr>
                                          <w:divsChild>
                                            <w:div w:id="1255473724">
                                              <w:marLeft w:val="0"/>
                                              <w:marRight w:val="0"/>
                                              <w:marTop w:val="0"/>
                                              <w:marBottom w:val="0"/>
                                              <w:divBdr>
                                                <w:top w:val="none" w:sz="0" w:space="0" w:color="auto"/>
                                                <w:left w:val="none" w:sz="0" w:space="0" w:color="auto"/>
                                                <w:bottom w:val="none" w:sz="0" w:space="0" w:color="auto"/>
                                                <w:right w:val="none" w:sz="0" w:space="0" w:color="auto"/>
                                              </w:divBdr>
                                            </w:div>
                                          </w:divsChild>
                                        </w:div>
                                        <w:div w:id="168643872">
                                          <w:marLeft w:val="0"/>
                                          <w:marRight w:val="0"/>
                                          <w:marTop w:val="0"/>
                                          <w:marBottom w:val="0"/>
                                          <w:divBdr>
                                            <w:top w:val="none" w:sz="0" w:space="0" w:color="auto"/>
                                            <w:left w:val="none" w:sz="0" w:space="0" w:color="auto"/>
                                            <w:bottom w:val="none" w:sz="0" w:space="0" w:color="auto"/>
                                            <w:right w:val="none" w:sz="0" w:space="0" w:color="auto"/>
                                          </w:divBdr>
                                          <w:divsChild>
                                            <w:div w:id="13332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08532">
                                      <w:marLeft w:val="0"/>
                                      <w:marRight w:val="0"/>
                                      <w:marTop w:val="0"/>
                                      <w:marBottom w:val="0"/>
                                      <w:divBdr>
                                        <w:top w:val="none" w:sz="0" w:space="0" w:color="auto"/>
                                        <w:left w:val="none" w:sz="0" w:space="0" w:color="auto"/>
                                        <w:bottom w:val="none" w:sz="0" w:space="0" w:color="auto"/>
                                        <w:right w:val="none" w:sz="0" w:space="0" w:color="auto"/>
                                      </w:divBdr>
                                      <w:divsChild>
                                        <w:div w:id="1314529763">
                                          <w:marLeft w:val="0"/>
                                          <w:marRight w:val="0"/>
                                          <w:marTop w:val="0"/>
                                          <w:marBottom w:val="0"/>
                                          <w:divBdr>
                                            <w:top w:val="none" w:sz="0" w:space="0" w:color="auto"/>
                                            <w:left w:val="none" w:sz="0" w:space="0" w:color="auto"/>
                                            <w:bottom w:val="none" w:sz="0" w:space="0" w:color="auto"/>
                                            <w:right w:val="none" w:sz="0" w:space="0" w:color="auto"/>
                                          </w:divBdr>
                                          <w:divsChild>
                                            <w:div w:id="2124030200">
                                              <w:marLeft w:val="0"/>
                                              <w:marRight w:val="0"/>
                                              <w:marTop w:val="0"/>
                                              <w:marBottom w:val="0"/>
                                              <w:divBdr>
                                                <w:top w:val="none" w:sz="0" w:space="0" w:color="auto"/>
                                                <w:left w:val="none" w:sz="0" w:space="0" w:color="auto"/>
                                                <w:bottom w:val="none" w:sz="0" w:space="0" w:color="auto"/>
                                                <w:right w:val="none" w:sz="0" w:space="0" w:color="auto"/>
                                              </w:divBdr>
                                            </w:div>
                                          </w:divsChild>
                                        </w:div>
                                        <w:div w:id="33387989">
                                          <w:marLeft w:val="0"/>
                                          <w:marRight w:val="0"/>
                                          <w:marTop w:val="0"/>
                                          <w:marBottom w:val="0"/>
                                          <w:divBdr>
                                            <w:top w:val="none" w:sz="0" w:space="0" w:color="auto"/>
                                            <w:left w:val="none" w:sz="0" w:space="0" w:color="auto"/>
                                            <w:bottom w:val="none" w:sz="0" w:space="0" w:color="auto"/>
                                            <w:right w:val="none" w:sz="0" w:space="0" w:color="auto"/>
                                          </w:divBdr>
                                          <w:divsChild>
                                            <w:div w:id="606891933">
                                              <w:marLeft w:val="0"/>
                                              <w:marRight w:val="0"/>
                                              <w:marTop w:val="0"/>
                                              <w:marBottom w:val="0"/>
                                              <w:divBdr>
                                                <w:top w:val="none" w:sz="0" w:space="0" w:color="auto"/>
                                                <w:left w:val="none" w:sz="0" w:space="0" w:color="auto"/>
                                                <w:bottom w:val="none" w:sz="0" w:space="0" w:color="auto"/>
                                                <w:right w:val="none" w:sz="0" w:space="0" w:color="auto"/>
                                              </w:divBdr>
                                            </w:div>
                                          </w:divsChild>
                                        </w:div>
                                        <w:div w:id="2026981225">
                                          <w:marLeft w:val="0"/>
                                          <w:marRight w:val="0"/>
                                          <w:marTop w:val="0"/>
                                          <w:marBottom w:val="0"/>
                                          <w:divBdr>
                                            <w:top w:val="none" w:sz="0" w:space="0" w:color="auto"/>
                                            <w:left w:val="none" w:sz="0" w:space="0" w:color="auto"/>
                                            <w:bottom w:val="none" w:sz="0" w:space="0" w:color="auto"/>
                                            <w:right w:val="none" w:sz="0" w:space="0" w:color="auto"/>
                                          </w:divBdr>
                                          <w:divsChild>
                                            <w:div w:id="128935886">
                                              <w:marLeft w:val="0"/>
                                              <w:marRight w:val="0"/>
                                              <w:marTop w:val="0"/>
                                              <w:marBottom w:val="0"/>
                                              <w:divBdr>
                                                <w:top w:val="none" w:sz="0" w:space="0" w:color="auto"/>
                                                <w:left w:val="none" w:sz="0" w:space="0" w:color="auto"/>
                                                <w:bottom w:val="none" w:sz="0" w:space="0" w:color="auto"/>
                                                <w:right w:val="none" w:sz="0" w:space="0" w:color="auto"/>
                                              </w:divBdr>
                                            </w:div>
                                          </w:divsChild>
                                        </w:div>
                                        <w:div w:id="741026304">
                                          <w:marLeft w:val="0"/>
                                          <w:marRight w:val="0"/>
                                          <w:marTop w:val="0"/>
                                          <w:marBottom w:val="0"/>
                                          <w:divBdr>
                                            <w:top w:val="none" w:sz="0" w:space="0" w:color="auto"/>
                                            <w:left w:val="none" w:sz="0" w:space="0" w:color="auto"/>
                                            <w:bottom w:val="none" w:sz="0" w:space="0" w:color="auto"/>
                                            <w:right w:val="none" w:sz="0" w:space="0" w:color="auto"/>
                                          </w:divBdr>
                                          <w:divsChild>
                                            <w:div w:id="876698441">
                                              <w:marLeft w:val="0"/>
                                              <w:marRight w:val="0"/>
                                              <w:marTop w:val="0"/>
                                              <w:marBottom w:val="0"/>
                                              <w:divBdr>
                                                <w:top w:val="none" w:sz="0" w:space="0" w:color="auto"/>
                                                <w:left w:val="none" w:sz="0" w:space="0" w:color="auto"/>
                                                <w:bottom w:val="none" w:sz="0" w:space="0" w:color="auto"/>
                                                <w:right w:val="none" w:sz="0" w:space="0" w:color="auto"/>
                                              </w:divBdr>
                                            </w:div>
                                          </w:divsChild>
                                        </w:div>
                                        <w:div w:id="2049454181">
                                          <w:marLeft w:val="0"/>
                                          <w:marRight w:val="0"/>
                                          <w:marTop w:val="0"/>
                                          <w:marBottom w:val="0"/>
                                          <w:divBdr>
                                            <w:top w:val="none" w:sz="0" w:space="0" w:color="auto"/>
                                            <w:left w:val="none" w:sz="0" w:space="0" w:color="auto"/>
                                            <w:bottom w:val="none" w:sz="0" w:space="0" w:color="auto"/>
                                            <w:right w:val="none" w:sz="0" w:space="0" w:color="auto"/>
                                          </w:divBdr>
                                          <w:divsChild>
                                            <w:div w:id="1403135105">
                                              <w:marLeft w:val="0"/>
                                              <w:marRight w:val="0"/>
                                              <w:marTop w:val="0"/>
                                              <w:marBottom w:val="0"/>
                                              <w:divBdr>
                                                <w:top w:val="none" w:sz="0" w:space="0" w:color="auto"/>
                                                <w:left w:val="none" w:sz="0" w:space="0" w:color="auto"/>
                                                <w:bottom w:val="none" w:sz="0" w:space="0" w:color="auto"/>
                                                <w:right w:val="none" w:sz="0" w:space="0" w:color="auto"/>
                                              </w:divBdr>
                                            </w:div>
                                          </w:divsChild>
                                        </w:div>
                                        <w:div w:id="656109222">
                                          <w:marLeft w:val="0"/>
                                          <w:marRight w:val="0"/>
                                          <w:marTop w:val="0"/>
                                          <w:marBottom w:val="0"/>
                                          <w:divBdr>
                                            <w:top w:val="none" w:sz="0" w:space="0" w:color="auto"/>
                                            <w:left w:val="none" w:sz="0" w:space="0" w:color="auto"/>
                                            <w:bottom w:val="none" w:sz="0" w:space="0" w:color="auto"/>
                                            <w:right w:val="none" w:sz="0" w:space="0" w:color="auto"/>
                                          </w:divBdr>
                                          <w:divsChild>
                                            <w:div w:id="640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3803">
                                      <w:marLeft w:val="0"/>
                                      <w:marRight w:val="0"/>
                                      <w:marTop w:val="0"/>
                                      <w:marBottom w:val="0"/>
                                      <w:divBdr>
                                        <w:top w:val="none" w:sz="0" w:space="0" w:color="auto"/>
                                        <w:left w:val="none" w:sz="0" w:space="0" w:color="auto"/>
                                        <w:bottom w:val="none" w:sz="0" w:space="0" w:color="auto"/>
                                        <w:right w:val="none" w:sz="0" w:space="0" w:color="auto"/>
                                      </w:divBdr>
                                      <w:divsChild>
                                        <w:div w:id="1628118924">
                                          <w:marLeft w:val="0"/>
                                          <w:marRight w:val="0"/>
                                          <w:marTop w:val="0"/>
                                          <w:marBottom w:val="0"/>
                                          <w:divBdr>
                                            <w:top w:val="none" w:sz="0" w:space="0" w:color="auto"/>
                                            <w:left w:val="none" w:sz="0" w:space="0" w:color="auto"/>
                                            <w:bottom w:val="none" w:sz="0" w:space="0" w:color="auto"/>
                                            <w:right w:val="none" w:sz="0" w:space="0" w:color="auto"/>
                                          </w:divBdr>
                                          <w:divsChild>
                                            <w:div w:id="607003329">
                                              <w:marLeft w:val="0"/>
                                              <w:marRight w:val="0"/>
                                              <w:marTop w:val="0"/>
                                              <w:marBottom w:val="0"/>
                                              <w:divBdr>
                                                <w:top w:val="none" w:sz="0" w:space="0" w:color="auto"/>
                                                <w:left w:val="none" w:sz="0" w:space="0" w:color="auto"/>
                                                <w:bottom w:val="none" w:sz="0" w:space="0" w:color="auto"/>
                                                <w:right w:val="none" w:sz="0" w:space="0" w:color="auto"/>
                                              </w:divBdr>
                                            </w:div>
                                          </w:divsChild>
                                        </w:div>
                                        <w:div w:id="908997346">
                                          <w:marLeft w:val="0"/>
                                          <w:marRight w:val="0"/>
                                          <w:marTop w:val="0"/>
                                          <w:marBottom w:val="0"/>
                                          <w:divBdr>
                                            <w:top w:val="none" w:sz="0" w:space="0" w:color="auto"/>
                                            <w:left w:val="none" w:sz="0" w:space="0" w:color="auto"/>
                                            <w:bottom w:val="none" w:sz="0" w:space="0" w:color="auto"/>
                                            <w:right w:val="none" w:sz="0" w:space="0" w:color="auto"/>
                                          </w:divBdr>
                                          <w:divsChild>
                                            <w:div w:id="1080756356">
                                              <w:marLeft w:val="0"/>
                                              <w:marRight w:val="0"/>
                                              <w:marTop w:val="0"/>
                                              <w:marBottom w:val="0"/>
                                              <w:divBdr>
                                                <w:top w:val="none" w:sz="0" w:space="0" w:color="auto"/>
                                                <w:left w:val="none" w:sz="0" w:space="0" w:color="auto"/>
                                                <w:bottom w:val="none" w:sz="0" w:space="0" w:color="auto"/>
                                                <w:right w:val="none" w:sz="0" w:space="0" w:color="auto"/>
                                              </w:divBdr>
                                            </w:div>
                                          </w:divsChild>
                                        </w:div>
                                        <w:div w:id="1591546113">
                                          <w:marLeft w:val="0"/>
                                          <w:marRight w:val="0"/>
                                          <w:marTop w:val="0"/>
                                          <w:marBottom w:val="0"/>
                                          <w:divBdr>
                                            <w:top w:val="none" w:sz="0" w:space="0" w:color="auto"/>
                                            <w:left w:val="none" w:sz="0" w:space="0" w:color="auto"/>
                                            <w:bottom w:val="none" w:sz="0" w:space="0" w:color="auto"/>
                                            <w:right w:val="none" w:sz="0" w:space="0" w:color="auto"/>
                                          </w:divBdr>
                                          <w:divsChild>
                                            <w:div w:id="714352014">
                                              <w:marLeft w:val="0"/>
                                              <w:marRight w:val="0"/>
                                              <w:marTop w:val="0"/>
                                              <w:marBottom w:val="0"/>
                                              <w:divBdr>
                                                <w:top w:val="none" w:sz="0" w:space="0" w:color="auto"/>
                                                <w:left w:val="none" w:sz="0" w:space="0" w:color="auto"/>
                                                <w:bottom w:val="none" w:sz="0" w:space="0" w:color="auto"/>
                                                <w:right w:val="none" w:sz="0" w:space="0" w:color="auto"/>
                                              </w:divBdr>
                                            </w:div>
                                          </w:divsChild>
                                        </w:div>
                                        <w:div w:id="2091463254">
                                          <w:marLeft w:val="0"/>
                                          <w:marRight w:val="0"/>
                                          <w:marTop w:val="0"/>
                                          <w:marBottom w:val="0"/>
                                          <w:divBdr>
                                            <w:top w:val="none" w:sz="0" w:space="0" w:color="auto"/>
                                            <w:left w:val="none" w:sz="0" w:space="0" w:color="auto"/>
                                            <w:bottom w:val="none" w:sz="0" w:space="0" w:color="auto"/>
                                            <w:right w:val="none" w:sz="0" w:space="0" w:color="auto"/>
                                          </w:divBdr>
                                          <w:divsChild>
                                            <w:div w:id="1606384505">
                                              <w:marLeft w:val="0"/>
                                              <w:marRight w:val="0"/>
                                              <w:marTop w:val="0"/>
                                              <w:marBottom w:val="0"/>
                                              <w:divBdr>
                                                <w:top w:val="none" w:sz="0" w:space="0" w:color="auto"/>
                                                <w:left w:val="none" w:sz="0" w:space="0" w:color="auto"/>
                                                <w:bottom w:val="none" w:sz="0" w:space="0" w:color="auto"/>
                                                <w:right w:val="none" w:sz="0" w:space="0" w:color="auto"/>
                                              </w:divBdr>
                                            </w:div>
                                          </w:divsChild>
                                        </w:div>
                                        <w:div w:id="1084299908">
                                          <w:marLeft w:val="0"/>
                                          <w:marRight w:val="0"/>
                                          <w:marTop w:val="0"/>
                                          <w:marBottom w:val="0"/>
                                          <w:divBdr>
                                            <w:top w:val="none" w:sz="0" w:space="0" w:color="auto"/>
                                            <w:left w:val="none" w:sz="0" w:space="0" w:color="auto"/>
                                            <w:bottom w:val="none" w:sz="0" w:space="0" w:color="auto"/>
                                            <w:right w:val="none" w:sz="0" w:space="0" w:color="auto"/>
                                          </w:divBdr>
                                          <w:divsChild>
                                            <w:div w:id="3095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723282">
      <w:bodyDiv w:val="1"/>
      <w:marLeft w:val="0"/>
      <w:marRight w:val="0"/>
      <w:marTop w:val="0"/>
      <w:marBottom w:val="0"/>
      <w:divBdr>
        <w:top w:val="none" w:sz="0" w:space="0" w:color="auto"/>
        <w:left w:val="none" w:sz="0" w:space="0" w:color="auto"/>
        <w:bottom w:val="none" w:sz="0" w:space="0" w:color="auto"/>
        <w:right w:val="none" w:sz="0" w:space="0" w:color="auto"/>
      </w:divBdr>
      <w:divsChild>
        <w:div w:id="1856991969">
          <w:marLeft w:val="0"/>
          <w:marRight w:val="0"/>
          <w:marTop w:val="150"/>
          <w:marBottom w:val="0"/>
          <w:divBdr>
            <w:top w:val="none" w:sz="0" w:space="0" w:color="auto"/>
            <w:left w:val="none" w:sz="0" w:space="0" w:color="auto"/>
            <w:bottom w:val="none" w:sz="0" w:space="0" w:color="auto"/>
            <w:right w:val="none" w:sz="0" w:space="0" w:color="auto"/>
          </w:divBdr>
          <w:divsChild>
            <w:div w:id="86343021">
              <w:marLeft w:val="2"/>
              <w:marRight w:val="2"/>
              <w:marTop w:val="0"/>
              <w:marBottom w:val="0"/>
              <w:divBdr>
                <w:top w:val="none" w:sz="0" w:space="0" w:color="auto"/>
                <w:left w:val="none" w:sz="0" w:space="0" w:color="auto"/>
                <w:bottom w:val="none" w:sz="0" w:space="0" w:color="auto"/>
                <w:right w:val="none" w:sz="0" w:space="0" w:color="auto"/>
              </w:divBdr>
              <w:divsChild>
                <w:div w:id="1022361710">
                  <w:marLeft w:val="0"/>
                  <w:marRight w:val="0"/>
                  <w:marTop w:val="0"/>
                  <w:marBottom w:val="0"/>
                  <w:divBdr>
                    <w:top w:val="none" w:sz="0" w:space="0" w:color="auto"/>
                    <w:left w:val="none" w:sz="0" w:space="0" w:color="auto"/>
                    <w:bottom w:val="none" w:sz="0" w:space="0" w:color="auto"/>
                    <w:right w:val="none" w:sz="0" w:space="0" w:color="auto"/>
                  </w:divBdr>
                  <w:divsChild>
                    <w:div w:id="901405280">
                      <w:marLeft w:val="0"/>
                      <w:marRight w:val="0"/>
                      <w:marTop w:val="0"/>
                      <w:marBottom w:val="0"/>
                      <w:divBdr>
                        <w:top w:val="none" w:sz="0" w:space="0" w:color="auto"/>
                        <w:left w:val="none" w:sz="0" w:space="0" w:color="auto"/>
                        <w:bottom w:val="none" w:sz="0" w:space="0" w:color="auto"/>
                        <w:right w:val="none" w:sz="0" w:space="0" w:color="auto"/>
                      </w:divBdr>
                      <w:divsChild>
                        <w:div w:id="1359887826">
                          <w:marLeft w:val="0"/>
                          <w:marRight w:val="0"/>
                          <w:marTop w:val="0"/>
                          <w:marBottom w:val="0"/>
                          <w:divBdr>
                            <w:top w:val="none" w:sz="0" w:space="0" w:color="auto"/>
                            <w:left w:val="none" w:sz="0" w:space="0" w:color="auto"/>
                            <w:bottom w:val="none" w:sz="0" w:space="0" w:color="auto"/>
                            <w:right w:val="none" w:sz="0" w:space="0" w:color="auto"/>
                          </w:divBdr>
                          <w:divsChild>
                            <w:div w:id="566913300">
                              <w:marLeft w:val="0"/>
                              <w:marRight w:val="0"/>
                              <w:marTop w:val="0"/>
                              <w:marBottom w:val="0"/>
                              <w:divBdr>
                                <w:top w:val="none" w:sz="0" w:space="0" w:color="auto"/>
                                <w:left w:val="none" w:sz="0" w:space="0" w:color="auto"/>
                                <w:bottom w:val="none" w:sz="0" w:space="0" w:color="auto"/>
                                <w:right w:val="none" w:sz="0" w:space="0" w:color="auto"/>
                              </w:divBdr>
                              <w:divsChild>
                                <w:div w:id="1977443966">
                                  <w:marLeft w:val="0"/>
                                  <w:marRight w:val="0"/>
                                  <w:marTop w:val="0"/>
                                  <w:marBottom w:val="0"/>
                                  <w:divBdr>
                                    <w:top w:val="none" w:sz="0" w:space="0" w:color="auto"/>
                                    <w:left w:val="none" w:sz="0" w:space="0" w:color="auto"/>
                                    <w:bottom w:val="none" w:sz="0" w:space="0" w:color="auto"/>
                                    <w:right w:val="none" w:sz="0" w:space="0" w:color="auto"/>
                                  </w:divBdr>
                                  <w:divsChild>
                                    <w:div w:id="203644307">
                                      <w:marLeft w:val="0"/>
                                      <w:marRight w:val="0"/>
                                      <w:marTop w:val="0"/>
                                      <w:marBottom w:val="0"/>
                                      <w:divBdr>
                                        <w:top w:val="none" w:sz="0" w:space="0" w:color="auto"/>
                                        <w:left w:val="none" w:sz="0" w:space="0" w:color="auto"/>
                                        <w:bottom w:val="none" w:sz="0" w:space="0" w:color="auto"/>
                                        <w:right w:val="none" w:sz="0" w:space="0" w:color="auto"/>
                                      </w:divBdr>
                                      <w:divsChild>
                                        <w:div w:id="1109546264">
                                          <w:marLeft w:val="0"/>
                                          <w:marRight w:val="0"/>
                                          <w:marTop w:val="0"/>
                                          <w:marBottom w:val="0"/>
                                          <w:divBdr>
                                            <w:top w:val="none" w:sz="0" w:space="0" w:color="auto"/>
                                            <w:left w:val="none" w:sz="0" w:space="0" w:color="auto"/>
                                            <w:bottom w:val="none" w:sz="0" w:space="0" w:color="auto"/>
                                            <w:right w:val="none" w:sz="0" w:space="0" w:color="auto"/>
                                          </w:divBdr>
                                          <w:divsChild>
                                            <w:div w:id="1147360346">
                                              <w:marLeft w:val="0"/>
                                              <w:marRight w:val="0"/>
                                              <w:marTop w:val="0"/>
                                              <w:marBottom w:val="0"/>
                                              <w:divBdr>
                                                <w:top w:val="none" w:sz="0" w:space="0" w:color="auto"/>
                                                <w:left w:val="none" w:sz="0" w:space="0" w:color="auto"/>
                                                <w:bottom w:val="none" w:sz="0" w:space="0" w:color="auto"/>
                                                <w:right w:val="none" w:sz="0" w:space="0" w:color="auto"/>
                                              </w:divBdr>
                                              <w:divsChild>
                                                <w:div w:id="1628974061">
                                                  <w:marLeft w:val="0"/>
                                                  <w:marRight w:val="0"/>
                                                  <w:marTop w:val="0"/>
                                                  <w:marBottom w:val="0"/>
                                                  <w:divBdr>
                                                    <w:top w:val="none" w:sz="0" w:space="0" w:color="auto"/>
                                                    <w:left w:val="none" w:sz="0" w:space="0" w:color="auto"/>
                                                    <w:bottom w:val="none" w:sz="0" w:space="0" w:color="auto"/>
                                                    <w:right w:val="none" w:sz="0" w:space="0" w:color="auto"/>
                                                  </w:divBdr>
                                                  <w:divsChild>
                                                    <w:div w:id="18592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3619">
                                              <w:marLeft w:val="0"/>
                                              <w:marRight w:val="0"/>
                                              <w:marTop w:val="0"/>
                                              <w:marBottom w:val="0"/>
                                              <w:divBdr>
                                                <w:top w:val="none" w:sz="0" w:space="0" w:color="auto"/>
                                                <w:left w:val="none" w:sz="0" w:space="0" w:color="auto"/>
                                                <w:bottom w:val="none" w:sz="0" w:space="0" w:color="auto"/>
                                                <w:right w:val="none" w:sz="0" w:space="0" w:color="auto"/>
                                              </w:divBdr>
                                              <w:divsChild>
                                                <w:div w:id="831413138">
                                                  <w:marLeft w:val="0"/>
                                                  <w:marRight w:val="0"/>
                                                  <w:marTop w:val="0"/>
                                                  <w:marBottom w:val="0"/>
                                                  <w:divBdr>
                                                    <w:top w:val="none" w:sz="0" w:space="0" w:color="auto"/>
                                                    <w:left w:val="none" w:sz="0" w:space="0" w:color="auto"/>
                                                    <w:bottom w:val="none" w:sz="0" w:space="0" w:color="auto"/>
                                                    <w:right w:val="none" w:sz="0" w:space="0" w:color="auto"/>
                                                  </w:divBdr>
                                                </w:div>
                                                <w:div w:id="1118181330">
                                                  <w:marLeft w:val="0"/>
                                                  <w:marRight w:val="0"/>
                                                  <w:marTop w:val="0"/>
                                                  <w:marBottom w:val="0"/>
                                                  <w:divBdr>
                                                    <w:top w:val="none" w:sz="0" w:space="0" w:color="auto"/>
                                                    <w:left w:val="none" w:sz="0" w:space="0" w:color="auto"/>
                                                    <w:bottom w:val="none" w:sz="0" w:space="0" w:color="auto"/>
                                                    <w:right w:val="none" w:sz="0" w:space="0" w:color="auto"/>
                                                  </w:divBdr>
                                                  <w:divsChild>
                                                    <w:div w:id="6071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6761353">
      <w:bodyDiv w:val="1"/>
      <w:marLeft w:val="0"/>
      <w:marRight w:val="0"/>
      <w:marTop w:val="0"/>
      <w:marBottom w:val="0"/>
      <w:divBdr>
        <w:top w:val="none" w:sz="0" w:space="0" w:color="auto"/>
        <w:left w:val="none" w:sz="0" w:space="0" w:color="auto"/>
        <w:bottom w:val="none" w:sz="0" w:space="0" w:color="auto"/>
        <w:right w:val="none" w:sz="0" w:space="0" w:color="auto"/>
      </w:divBdr>
    </w:div>
    <w:div w:id="1587768892">
      <w:bodyDiv w:val="1"/>
      <w:marLeft w:val="0"/>
      <w:marRight w:val="0"/>
      <w:marTop w:val="0"/>
      <w:marBottom w:val="0"/>
      <w:divBdr>
        <w:top w:val="none" w:sz="0" w:space="0" w:color="auto"/>
        <w:left w:val="none" w:sz="0" w:space="0" w:color="auto"/>
        <w:bottom w:val="none" w:sz="0" w:space="0" w:color="auto"/>
        <w:right w:val="none" w:sz="0" w:space="0" w:color="auto"/>
      </w:divBdr>
      <w:divsChild>
        <w:div w:id="1863280219">
          <w:marLeft w:val="0"/>
          <w:marRight w:val="0"/>
          <w:marTop w:val="0"/>
          <w:marBottom w:val="0"/>
          <w:divBdr>
            <w:top w:val="none" w:sz="0" w:space="0" w:color="auto"/>
            <w:left w:val="none" w:sz="0" w:space="0" w:color="auto"/>
            <w:bottom w:val="none" w:sz="0" w:space="0" w:color="auto"/>
            <w:right w:val="none" w:sz="0" w:space="0" w:color="auto"/>
          </w:divBdr>
          <w:divsChild>
            <w:div w:id="910892988">
              <w:marLeft w:val="0"/>
              <w:marRight w:val="0"/>
              <w:marTop w:val="0"/>
              <w:marBottom w:val="0"/>
              <w:divBdr>
                <w:top w:val="none" w:sz="0" w:space="0" w:color="auto"/>
                <w:left w:val="none" w:sz="0" w:space="0" w:color="auto"/>
                <w:bottom w:val="none" w:sz="0" w:space="0" w:color="auto"/>
                <w:right w:val="none" w:sz="0" w:space="0" w:color="auto"/>
              </w:divBdr>
              <w:divsChild>
                <w:div w:id="664475214">
                  <w:marLeft w:val="0"/>
                  <w:marRight w:val="0"/>
                  <w:marTop w:val="0"/>
                  <w:marBottom w:val="0"/>
                  <w:divBdr>
                    <w:top w:val="none" w:sz="0" w:space="0" w:color="auto"/>
                    <w:left w:val="none" w:sz="0" w:space="0" w:color="auto"/>
                    <w:bottom w:val="none" w:sz="0" w:space="0" w:color="auto"/>
                    <w:right w:val="none" w:sz="0" w:space="0" w:color="auto"/>
                  </w:divBdr>
                  <w:divsChild>
                    <w:div w:id="288820806">
                      <w:marLeft w:val="0"/>
                      <w:marRight w:val="0"/>
                      <w:marTop w:val="0"/>
                      <w:marBottom w:val="0"/>
                      <w:divBdr>
                        <w:top w:val="none" w:sz="0" w:space="0" w:color="auto"/>
                        <w:left w:val="none" w:sz="0" w:space="0" w:color="auto"/>
                        <w:bottom w:val="none" w:sz="0" w:space="0" w:color="auto"/>
                        <w:right w:val="none" w:sz="0" w:space="0" w:color="auto"/>
                      </w:divBdr>
                      <w:divsChild>
                        <w:div w:id="67001334">
                          <w:marLeft w:val="0"/>
                          <w:marRight w:val="0"/>
                          <w:marTop w:val="0"/>
                          <w:marBottom w:val="0"/>
                          <w:divBdr>
                            <w:top w:val="none" w:sz="0" w:space="0" w:color="auto"/>
                            <w:left w:val="none" w:sz="0" w:space="0" w:color="auto"/>
                            <w:bottom w:val="none" w:sz="0" w:space="0" w:color="auto"/>
                            <w:right w:val="none" w:sz="0" w:space="0" w:color="auto"/>
                          </w:divBdr>
                          <w:divsChild>
                            <w:div w:id="329330114">
                              <w:marLeft w:val="0"/>
                              <w:marRight w:val="0"/>
                              <w:marTop w:val="0"/>
                              <w:marBottom w:val="0"/>
                              <w:divBdr>
                                <w:top w:val="none" w:sz="0" w:space="0" w:color="auto"/>
                                <w:left w:val="none" w:sz="0" w:space="0" w:color="auto"/>
                                <w:bottom w:val="none" w:sz="0" w:space="0" w:color="auto"/>
                                <w:right w:val="none" w:sz="0" w:space="0" w:color="auto"/>
                              </w:divBdr>
                              <w:divsChild>
                                <w:div w:id="1556431523">
                                  <w:marLeft w:val="0"/>
                                  <w:marRight w:val="0"/>
                                  <w:marTop w:val="0"/>
                                  <w:marBottom w:val="0"/>
                                  <w:divBdr>
                                    <w:top w:val="none" w:sz="0" w:space="0" w:color="auto"/>
                                    <w:left w:val="none" w:sz="0" w:space="0" w:color="auto"/>
                                    <w:bottom w:val="none" w:sz="0" w:space="0" w:color="auto"/>
                                    <w:right w:val="none" w:sz="0" w:space="0" w:color="auto"/>
                                  </w:divBdr>
                                  <w:divsChild>
                                    <w:div w:id="560872695">
                                      <w:marLeft w:val="0"/>
                                      <w:marRight w:val="0"/>
                                      <w:marTop w:val="0"/>
                                      <w:marBottom w:val="0"/>
                                      <w:divBdr>
                                        <w:top w:val="none" w:sz="0" w:space="0" w:color="auto"/>
                                        <w:left w:val="none" w:sz="0" w:space="0" w:color="auto"/>
                                        <w:bottom w:val="none" w:sz="0" w:space="0" w:color="auto"/>
                                        <w:right w:val="none" w:sz="0" w:space="0" w:color="auto"/>
                                      </w:divBdr>
                                      <w:divsChild>
                                        <w:div w:id="1883664202">
                                          <w:marLeft w:val="0"/>
                                          <w:marRight w:val="0"/>
                                          <w:marTop w:val="0"/>
                                          <w:marBottom w:val="0"/>
                                          <w:divBdr>
                                            <w:top w:val="none" w:sz="0" w:space="0" w:color="auto"/>
                                            <w:left w:val="none" w:sz="0" w:space="0" w:color="auto"/>
                                            <w:bottom w:val="none" w:sz="0" w:space="0" w:color="auto"/>
                                            <w:right w:val="none" w:sz="0" w:space="0" w:color="auto"/>
                                          </w:divBdr>
                                          <w:divsChild>
                                            <w:div w:id="37826826">
                                              <w:marLeft w:val="0"/>
                                              <w:marRight w:val="0"/>
                                              <w:marTop w:val="0"/>
                                              <w:marBottom w:val="0"/>
                                              <w:divBdr>
                                                <w:top w:val="none" w:sz="0" w:space="0" w:color="auto"/>
                                                <w:left w:val="none" w:sz="0" w:space="0" w:color="auto"/>
                                                <w:bottom w:val="none" w:sz="0" w:space="0" w:color="auto"/>
                                                <w:right w:val="none" w:sz="0" w:space="0" w:color="auto"/>
                                              </w:divBdr>
                                              <w:divsChild>
                                                <w:div w:id="1238587828">
                                                  <w:marLeft w:val="0"/>
                                                  <w:marRight w:val="0"/>
                                                  <w:marTop w:val="0"/>
                                                  <w:marBottom w:val="0"/>
                                                  <w:divBdr>
                                                    <w:top w:val="none" w:sz="0" w:space="0" w:color="auto"/>
                                                    <w:left w:val="none" w:sz="0" w:space="0" w:color="auto"/>
                                                    <w:bottom w:val="none" w:sz="0" w:space="0" w:color="auto"/>
                                                    <w:right w:val="none" w:sz="0" w:space="0" w:color="auto"/>
                                                  </w:divBdr>
                                                  <w:divsChild>
                                                    <w:div w:id="271401130">
                                                      <w:marLeft w:val="0"/>
                                                      <w:marRight w:val="0"/>
                                                      <w:marTop w:val="0"/>
                                                      <w:marBottom w:val="0"/>
                                                      <w:divBdr>
                                                        <w:top w:val="none" w:sz="0" w:space="0" w:color="auto"/>
                                                        <w:left w:val="none" w:sz="0" w:space="0" w:color="auto"/>
                                                        <w:bottom w:val="none" w:sz="0" w:space="0" w:color="auto"/>
                                                        <w:right w:val="none" w:sz="0" w:space="0" w:color="auto"/>
                                                      </w:divBdr>
                                                      <w:divsChild>
                                                        <w:div w:id="20735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504536">
      <w:bodyDiv w:val="1"/>
      <w:marLeft w:val="0"/>
      <w:marRight w:val="0"/>
      <w:marTop w:val="0"/>
      <w:marBottom w:val="0"/>
      <w:divBdr>
        <w:top w:val="none" w:sz="0" w:space="0" w:color="auto"/>
        <w:left w:val="none" w:sz="0" w:space="0" w:color="auto"/>
        <w:bottom w:val="none" w:sz="0" w:space="0" w:color="auto"/>
        <w:right w:val="none" w:sz="0" w:space="0" w:color="auto"/>
      </w:divBdr>
      <w:divsChild>
        <w:div w:id="1036076543">
          <w:marLeft w:val="0"/>
          <w:marRight w:val="0"/>
          <w:marTop w:val="150"/>
          <w:marBottom w:val="0"/>
          <w:divBdr>
            <w:top w:val="none" w:sz="0" w:space="0" w:color="auto"/>
            <w:left w:val="none" w:sz="0" w:space="0" w:color="auto"/>
            <w:bottom w:val="none" w:sz="0" w:space="0" w:color="auto"/>
            <w:right w:val="none" w:sz="0" w:space="0" w:color="auto"/>
          </w:divBdr>
          <w:divsChild>
            <w:div w:id="895313605">
              <w:marLeft w:val="2"/>
              <w:marRight w:val="2"/>
              <w:marTop w:val="0"/>
              <w:marBottom w:val="0"/>
              <w:divBdr>
                <w:top w:val="none" w:sz="0" w:space="0" w:color="auto"/>
                <w:left w:val="none" w:sz="0" w:space="0" w:color="auto"/>
                <w:bottom w:val="none" w:sz="0" w:space="0" w:color="auto"/>
                <w:right w:val="none" w:sz="0" w:space="0" w:color="auto"/>
              </w:divBdr>
              <w:divsChild>
                <w:div w:id="1866552521">
                  <w:marLeft w:val="0"/>
                  <w:marRight w:val="0"/>
                  <w:marTop w:val="0"/>
                  <w:marBottom w:val="0"/>
                  <w:divBdr>
                    <w:top w:val="none" w:sz="0" w:space="0" w:color="auto"/>
                    <w:left w:val="none" w:sz="0" w:space="0" w:color="auto"/>
                    <w:bottom w:val="none" w:sz="0" w:space="0" w:color="auto"/>
                    <w:right w:val="none" w:sz="0" w:space="0" w:color="auto"/>
                  </w:divBdr>
                  <w:divsChild>
                    <w:div w:id="1268806917">
                      <w:marLeft w:val="0"/>
                      <w:marRight w:val="0"/>
                      <w:marTop w:val="0"/>
                      <w:marBottom w:val="0"/>
                      <w:divBdr>
                        <w:top w:val="none" w:sz="0" w:space="0" w:color="auto"/>
                        <w:left w:val="none" w:sz="0" w:space="0" w:color="auto"/>
                        <w:bottom w:val="none" w:sz="0" w:space="0" w:color="auto"/>
                        <w:right w:val="none" w:sz="0" w:space="0" w:color="auto"/>
                      </w:divBdr>
                      <w:divsChild>
                        <w:div w:id="1292708735">
                          <w:marLeft w:val="0"/>
                          <w:marRight w:val="0"/>
                          <w:marTop w:val="0"/>
                          <w:marBottom w:val="0"/>
                          <w:divBdr>
                            <w:top w:val="none" w:sz="0" w:space="0" w:color="auto"/>
                            <w:left w:val="none" w:sz="0" w:space="0" w:color="auto"/>
                            <w:bottom w:val="none" w:sz="0" w:space="0" w:color="auto"/>
                            <w:right w:val="none" w:sz="0" w:space="0" w:color="auto"/>
                          </w:divBdr>
                          <w:divsChild>
                            <w:div w:id="1455827689">
                              <w:marLeft w:val="0"/>
                              <w:marRight w:val="0"/>
                              <w:marTop w:val="0"/>
                              <w:marBottom w:val="0"/>
                              <w:divBdr>
                                <w:top w:val="none" w:sz="0" w:space="0" w:color="auto"/>
                                <w:left w:val="none" w:sz="0" w:space="0" w:color="auto"/>
                                <w:bottom w:val="none" w:sz="0" w:space="0" w:color="auto"/>
                                <w:right w:val="none" w:sz="0" w:space="0" w:color="auto"/>
                              </w:divBdr>
                              <w:divsChild>
                                <w:div w:id="857040722">
                                  <w:marLeft w:val="0"/>
                                  <w:marRight w:val="0"/>
                                  <w:marTop w:val="0"/>
                                  <w:marBottom w:val="0"/>
                                  <w:divBdr>
                                    <w:top w:val="none" w:sz="0" w:space="0" w:color="auto"/>
                                    <w:left w:val="none" w:sz="0" w:space="0" w:color="auto"/>
                                    <w:bottom w:val="none" w:sz="0" w:space="0" w:color="auto"/>
                                    <w:right w:val="none" w:sz="0" w:space="0" w:color="auto"/>
                                  </w:divBdr>
                                  <w:divsChild>
                                    <w:div w:id="192380057">
                                      <w:marLeft w:val="0"/>
                                      <w:marRight w:val="0"/>
                                      <w:marTop w:val="0"/>
                                      <w:marBottom w:val="0"/>
                                      <w:divBdr>
                                        <w:top w:val="none" w:sz="0" w:space="0" w:color="auto"/>
                                        <w:left w:val="none" w:sz="0" w:space="0" w:color="auto"/>
                                        <w:bottom w:val="none" w:sz="0" w:space="0" w:color="auto"/>
                                        <w:right w:val="none" w:sz="0" w:space="0" w:color="auto"/>
                                      </w:divBdr>
                                      <w:divsChild>
                                        <w:div w:id="638269377">
                                          <w:marLeft w:val="0"/>
                                          <w:marRight w:val="0"/>
                                          <w:marTop w:val="0"/>
                                          <w:marBottom w:val="0"/>
                                          <w:divBdr>
                                            <w:top w:val="none" w:sz="0" w:space="0" w:color="auto"/>
                                            <w:left w:val="none" w:sz="0" w:space="0" w:color="auto"/>
                                            <w:bottom w:val="none" w:sz="0" w:space="0" w:color="auto"/>
                                            <w:right w:val="none" w:sz="0" w:space="0" w:color="auto"/>
                                          </w:divBdr>
                                          <w:divsChild>
                                            <w:div w:id="69542966">
                                              <w:marLeft w:val="0"/>
                                              <w:marRight w:val="0"/>
                                              <w:marTop w:val="0"/>
                                              <w:marBottom w:val="0"/>
                                              <w:divBdr>
                                                <w:top w:val="none" w:sz="0" w:space="0" w:color="auto"/>
                                                <w:left w:val="none" w:sz="0" w:space="0" w:color="auto"/>
                                                <w:bottom w:val="none" w:sz="0" w:space="0" w:color="auto"/>
                                                <w:right w:val="none" w:sz="0" w:space="0" w:color="auto"/>
                                              </w:divBdr>
                                              <w:divsChild>
                                                <w:div w:id="319433351">
                                                  <w:marLeft w:val="0"/>
                                                  <w:marRight w:val="0"/>
                                                  <w:marTop w:val="0"/>
                                                  <w:marBottom w:val="0"/>
                                                  <w:divBdr>
                                                    <w:top w:val="none" w:sz="0" w:space="0" w:color="auto"/>
                                                    <w:left w:val="none" w:sz="0" w:space="0" w:color="auto"/>
                                                    <w:bottom w:val="none" w:sz="0" w:space="0" w:color="auto"/>
                                                    <w:right w:val="none" w:sz="0" w:space="0" w:color="auto"/>
                                                  </w:divBdr>
                                                </w:div>
                                              </w:divsChild>
                                            </w:div>
                                            <w:div w:id="850994831">
                                              <w:marLeft w:val="0"/>
                                              <w:marRight w:val="0"/>
                                              <w:marTop w:val="0"/>
                                              <w:marBottom w:val="0"/>
                                              <w:divBdr>
                                                <w:top w:val="none" w:sz="0" w:space="0" w:color="auto"/>
                                                <w:left w:val="none" w:sz="0" w:space="0" w:color="auto"/>
                                                <w:bottom w:val="none" w:sz="0" w:space="0" w:color="auto"/>
                                                <w:right w:val="none" w:sz="0" w:space="0" w:color="auto"/>
                                              </w:divBdr>
                                              <w:divsChild>
                                                <w:div w:id="1319848399">
                                                  <w:marLeft w:val="0"/>
                                                  <w:marRight w:val="0"/>
                                                  <w:marTop w:val="0"/>
                                                  <w:marBottom w:val="0"/>
                                                  <w:divBdr>
                                                    <w:top w:val="none" w:sz="0" w:space="0" w:color="auto"/>
                                                    <w:left w:val="none" w:sz="0" w:space="0" w:color="auto"/>
                                                    <w:bottom w:val="none" w:sz="0" w:space="0" w:color="auto"/>
                                                    <w:right w:val="none" w:sz="0" w:space="0" w:color="auto"/>
                                                  </w:divBdr>
                                                </w:div>
                                              </w:divsChild>
                                            </w:div>
                                            <w:div w:id="796879246">
                                              <w:marLeft w:val="0"/>
                                              <w:marRight w:val="0"/>
                                              <w:marTop w:val="0"/>
                                              <w:marBottom w:val="0"/>
                                              <w:divBdr>
                                                <w:top w:val="none" w:sz="0" w:space="0" w:color="auto"/>
                                                <w:left w:val="none" w:sz="0" w:space="0" w:color="auto"/>
                                                <w:bottom w:val="none" w:sz="0" w:space="0" w:color="auto"/>
                                                <w:right w:val="none" w:sz="0" w:space="0" w:color="auto"/>
                                              </w:divBdr>
                                              <w:divsChild>
                                                <w:div w:id="1277369454">
                                                  <w:marLeft w:val="0"/>
                                                  <w:marRight w:val="0"/>
                                                  <w:marTop w:val="0"/>
                                                  <w:marBottom w:val="0"/>
                                                  <w:divBdr>
                                                    <w:top w:val="none" w:sz="0" w:space="0" w:color="auto"/>
                                                    <w:left w:val="none" w:sz="0" w:space="0" w:color="auto"/>
                                                    <w:bottom w:val="none" w:sz="0" w:space="0" w:color="auto"/>
                                                    <w:right w:val="none" w:sz="0" w:space="0" w:color="auto"/>
                                                  </w:divBdr>
                                                </w:div>
                                              </w:divsChild>
                                            </w:div>
                                            <w:div w:id="353387395">
                                              <w:marLeft w:val="0"/>
                                              <w:marRight w:val="0"/>
                                              <w:marTop w:val="0"/>
                                              <w:marBottom w:val="0"/>
                                              <w:divBdr>
                                                <w:top w:val="none" w:sz="0" w:space="0" w:color="auto"/>
                                                <w:left w:val="none" w:sz="0" w:space="0" w:color="auto"/>
                                                <w:bottom w:val="none" w:sz="0" w:space="0" w:color="auto"/>
                                                <w:right w:val="none" w:sz="0" w:space="0" w:color="auto"/>
                                              </w:divBdr>
                                              <w:divsChild>
                                                <w:div w:id="6103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1155448">
      <w:bodyDiv w:val="1"/>
      <w:marLeft w:val="0"/>
      <w:marRight w:val="0"/>
      <w:marTop w:val="0"/>
      <w:marBottom w:val="0"/>
      <w:divBdr>
        <w:top w:val="none" w:sz="0" w:space="0" w:color="auto"/>
        <w:left w:val="none" w:sz="0" w:space="0" w:color="auto"/>
        <w:bottom w:val="none" w:sz="0" w:space="0" w:color="auto"/>
        <w:right w:val="none" w:sz="0" w:space="0" w:color="auto"/>
      </w:divBdr>
      <w:divsChild>
        <w:div w:id="2021199135">
          <w:marLeft w:val="0"/>
          <w:marRight w:val="0"/>
          <w:marTop w:val="0"/>
          <w:marBottom w:val="0"/>
          <w:divBdr>
            <w:top w:val="none" w:sz="0" w:space="0" w:color="auto"/>
            <w:left w:val="none" w:sz="0" w:space="0" w:color="auto"/>
            <w:bottom w:val="none" w:sz="0" w:space="0" w:color="auto"/>
            <w:right w:val="none" w:sz="0" w:space="0" w:color="auto"/>
          </w:divBdr>
          <w:divsChild>
            <w:div w:id="1099375858">
              <w:marLeft w:val="0"/>
              <w:marRight w:val="0"/>
              <w:marTop w:val="0"/>
              <w:marBottom w:val="0"/>
              <w:divBdr>
                <w:top w:val="none" w:sz="0" w:space="0" w:color="auto"/>
                <w:left w:val="none" w:sz="0" w:space="0" w:color="auto"/>
                <w:bottom w:val="none" w:sz="0" w:space="0" w:color="auto"/>
                <w:right w:val="none" w:sz="0" w:space="0" w:color="auto"/>
              </w:divBdr>
              <w:divsChild>
                <w:div w:id="94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4206">
      <w:bodyDiv w:val="1"/>
      <w:marLeft w:val="0"/>
      <w:marRight w:val="0"/>
      <w:marTop w:val="0"/>
      <w:marBottom w:val="0"/>
      <w:divBdr>
        <w:top w:val="none" w:sz="0" w:space="0" w:color="auto"/>
        <w:left w:val="none" w:sz="0" w:space="0" w:color="auto"/>
        <w:bottom w:val="none" w:sz="0" w:space="0" w:color="auto"/>
        <w:right w:val="none" w:sz="0" w:space="0" w:color="auto"/>
      </w:divBdr>
      <w:divsChild>
        <w:div w:id="1457874930">
          <w:marLeft w:val="0"/>
          <w:marRight w:val="0"/>
          <w:marTop w:val="0"/>
          <w:marBottom w:val="0"/>
          <w:divBdr>
            <w:top w:val="none" w:sz="0" w:space="0" w:color="auto"/>
            <w:left w:val="none" w:sz="0" w:space="0" w:color="auto"/>
            <w:bottom w:val="none" w:sz="0" w:space="0" w:color="auto"/>
            <w:right w:val="none" w:sz="0" w:space="0" w:color="auto"/>
          </w:divBdr>
          <w:divsChild>
            <w:div w:id="211113602">
              <w:marLeft w:val="0"/>
              <w:marRight w:val="0"/>
              <w:marTop w:val="0"/>
              <w:marBottom w:val="0"/>
              <w:divBdr>
                <w:top w:val="none" w:sz="0" w:space="0" w:color="auto"/>
                <w:left w:val="none" w:sz="0" w:space="0" w:color="auto"/>
                <w:bottom w:val="none" w:sz="0" w:space="0" w:color="auto"/>
                <w:right w:val="none" w:sz="0" w:space="0" w:color="auto"/>
              </w:divBdr>
              <w:divsChild>
                <w:div w:id="478814310">
                  <w:marLeft w:val="0"/>
                  <w:marRight w:val="0"/>
                  <w:marTop w:val="0"/>
                  <w:marBottom w:val="0"/>
                  <w:divBdr>
                    <w:top w:val="none" w:sz="0" w:space="0" w:color="auto"/>
                    <w:left w:val="none" w:sz="0" w:space="0" w:color="auto"/>
                    <w:bottom w:val="none" w:sz="0" w:space="0" w:color="auto"/>
                    <w:right w:val="none" w:sz="0" w:space="0" w:color="auto"/>
                  </w:divBdr>
                  <w:divsChild>
                    <w:div w:id="1213151710">
                      <w:marLeft w:val="0"/>
                      <w:marRight w:val="0"/>
                      <w:marTop w:val="0"/>
                      <w:marBottom w:val="0"/>
                      <w:divBdr>
                        <w:top w:val="none" w:sz="0" w:space="0" w:color="auto"/>
                        <w:left w:val="none" w:sz="0" w:space="0" w:color="auto"/>
                        <w:bottom w:val="none" w:sz="0" w:space="0" w:color="auto"/>
                        <w:right w:val="none" w:sz="0" w:space="0" w:color="auto"/>
                      </w:divBdr>
                      <w:divsChild>
                        <w:div w:id="1227230184">
                          <w:marLeft w:val="0"/>
                          <w:marRight w:val="0"/>
                          <w:marTop w:val="0"/>
                          <w:marBottom w:val="0"/>
                          <w:divBdr>
                            <w:top w:val="none" w:sz="0" w:space="0" w:color="auto"/>
                            <w:left w:val="none" w:sz="0" w:space="0" w:color="auto"/>
                            <w:bottom w:val="none" w:sz="0" w:space="0" w:color="auto"/>
                            <w:right w:val="none" w:sz="0" w:space="0" w:color="auto"/>
                          </w:divBdr>
                          <w:divsChild>
                            <w:div w:id="1173838513">
                              <w:marLeft w:val="0"/>
                              <w:marRight w:val="0"/>
                              <w:marTop w:val="0"/>
                              <w:marBottom w:val="0"/>
                              <w:divBdr>
                                <w:top w:val="none" w:sz="0" w:space="0" w:color="auto"/>
                                <w:left w:val="none" w:sz="0" w:space="0" w:color="auto"/>
                                <w:bottom w:val="none" w:sz="0" w:space="0" w:color="auto"/>
                                <w:right w:val="none" w:sz="0" w:space="0" w:color="auto"/>
                              </w:divBdr>
                              <w:divsChild>
                                <w:div w:id="400719359">
                                  <w:marLeft w:val="0"/>
                                  <w:marRight w:val="0"/>
                                  <w:marTop w:val="0"/>
                                  <w:marBottom w:val="0"/>
                                  <w:divBdr>
                                    <w:top w:val="none" w:sz="0" w:space="0" w:color="auto"/>
                                    <w:left w:val="none" w:sz="0" w:space="0" w:color="auto"/>
                                    <w:bottom w:val="none" w:sz="0" w:space="0" w:color="auto"/>
                                    <w:right w:val="none" w:sz="0" w:space="0" w:color="auto"/>
                                  </w:divBdr>
                                  <w:divsChild>
                                    <w:div w:id="1308314256">
                                      <w:marLeft w:val="0"/>
                                      <w:marRight w:val="0"/>
                                      <w:marTop w:val="0"/>
                                      <w:marBottom w:val="0"/>
                                      <w:divBdr>
                                        <w:top w:val="none" w:sz="0" w:space="0" w:color="auto"/>
                                        <w:left w:val="none" w:sz="0" w:space="0" w:color="auto"/>
                                        <w:bottom w:val="none" w:sz="0" w:space="0" w:color="auto"/>
                                        <w:right w:val="none" w:sz="0" w:space="0" w:color="auto"/>
                                      </w:divBdr>
                                      <w:divsChild>
                                        <w:div w:id="1281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696440">
      <w:bodyDiv w:val="1"/>
      <w:marLeft w:val="0"/>
      <w:marRight w:val="0"/>
      <w:marTop w:val="0"/>
      <w:marBottom w:val="0"/>
      <w:divBdr>
        <w:top w:val="none" w:sz="0" w:space="0" w:color="auto"/>
        <w:left w:val="none" w:sz="0" w:space="0" w:color="auto"/>
        <w:bottom w:val="none" w:sz="0" w:space="0" w:color="auto"/>
        <w:right w:val="none" w:sz="0" w:space="0" w:color="auto"/>
      </w:divBdr>
    </w:div>
    <w:div w:id="1591887581">
      <w:bodyDiv w:val="1"/>
      <w:marLeft w:val="0"/>
      <w:marRight w:val="0"/>
      <w:marTop w:val="0"/>
      <w:marBottom w:val="0"/>
      <w:divBdr>
        <w:top w:val="none" w:sz="0" w:space="0" w:color="auto"/>
        <w:left w:val="none" w:sz="0" w:space="0" w:color="auto"/>
        <w:bottom w:val="none" w:sz="0" w:space="0" w:color="auto"/>
        <w:right w:val="none" w:sz="0" w:space="0" w:color="auto"/>
      </w:divBdr>
      <w:divsChild>
        <w:div w:id="102267104">
          <w:marLeft w:val="0"/>
          <w:marRight w:val="0"/>
          <w:marTop w:val="0"/>
          <w:marBottom w:val="0"/>
          <w:divBdr>
            <w:top w:val="none" w:sz="0" w:space="0" w:color="auto"/>
            <w:left w:val="none" w:sz="0" w:space="0" w:color="auto"/>
            <w:bottom w:val="none" w:sz="0" w:space="0" w:color="auto"/>
            <w:right w:val="none" w:sz="0" w:space="0" w:color="auto"/>
          </w:divBdr>
          <w:divsChild>
            <w:div w:id="14330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5717">
      <w:bodyDiv w:val="1"/>
      <w:marLeft w:val="0"/>
      <w:marRight w:val="0"/>
      <w:marTop w:val="0"/>
      <w:marBottom w:val="0"/>
      <w:divBdr>
        <w:top w:val="none" w:sz="0" w:space="0" w:color="auto"/>
        <w:left w:val="none" w:sz="0" w:space="0" w:color="auto"/>
        <w:bottom w:val="none" w:sz="0" w:space="0" w:color="auto"/>
        <w:right w:val="none" w:sz="0" w:space="0" w:color="auto"/>
      </w:divBdr>
      <w:divsChild>
        <w:div w:id="265118529">
          <w:marLeft w:val="2400"/>
          <w:marRight w:val="0"/>
          <w:marTop w:val="0"/>
          <w:marBottom w:val="0"/>
          <w:divBdr>
            <w:top w:val="none" w:sz="0" w:space="0" w:color="auto"/>
            <w:left w:val="none" w:sz="0" w:space="0" w:color="auto"/>
            <w:bottom w:val="none" w:sz="0" w:space="0" w:color="auto"/>
            <w:right w:val="none" w:sz="0" w:space="0" w:color="auto"/>
          </w:divBdr>
          <w:divsChild>
            <w:div w:id="2128735">
              <w:marLeft w:val="0"/>
              <w:marRight w:val="0"/>
              <w:marTop w:val="0"/>
              <w:marBottom w:val="0"/>
              <w:divBdr>
                <w:top w:val="none" w:sz="0" w:space="0" w:color="auto"/>
                <w:left w:val="none" w:sz="0" w:space="0" w:color="auto"/>
                <w:bottom w:val="none" w:sz="0" w:space="0" w:color="auto"/>
                <w:right w:val="none" w:sz="0" w:space="0" w:color="auto"/>
              </w:divBdr>
              <w:divsChild>
                <w:div w:id="1909994690">
                  <w:marLeft w:val="0"/>
                  <w:marRight w:val="0"/>
                  <w:marTop w:val="0"/>
                  <w:marBottom w:val="0"/>
                  <w:divBdr>
                    <w:top w:val="none" w:sz="0" w:space="0" w:color="auto"/>
                    <w:left w:val="none" w:sz="0" w:space="0" w:color="auto"/>
                    <w:bottom w:val="none" w:sz="0" w:space="0" w:color="auto"/>
                    <w:right w:val="none" w:sz="0" w:space="0" w:color="auto"/>
                  </w:divBdr>
                  <w:divsChild>
                    <w:div w:id="2678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01058">
      <w:bodyDiv w:val="1"/>
      <w:marLeft w:val="0"/>
      <w:marRight w:val="0"/>
      <w:marTop w:val="0"/>
      <w:marBottom w:val="0"/>
      <w:divBdr>
        <w:top w:val="none" w:sz="0" w:space="0" w:color="auto"/>
        <w:left w:val="none" w:sz="0" w:space="0" w:color="auto"/>
        <w:bottom w:val="none" w:sz="0" w:space="0" w:color="auto"/>
        <w:right w:val="none" w:sz="0" w:space="0" w:color="auto"/>
      </w:divBdr>
      <w:divsChild>
        <w:div w:id="1172452555">
          <w:marLeft w:val="0"/>
          <w:marRight w:val="0"/>
          <w:marTop w:val="0"/>
          <w:marBottom w:val="0"/>
          <w:divBdr>
            <w:top w:val="none" w:sz="0" w:space="0" w:color="auto"/>
            <w:left w:val="none" w:sz="0" w:space="0" w:color="auto"/>
            <w:bottom w:val="none" w:sz="0" w:space="0" w:color="auto"/>
            <w:right w:val="none" w:sz="0" w:space="0" w:color="auto"/>
          </w:divBdr>
          <w:divsChild>
            <w:div w:id="1813399829">
              <w:marLeft w:val="0"/>
              <w:marRight w:val="0"/>
              <w:marTop w:val="0"/>
              <w:marBottom w:val="0"/>
              <w:divBdr>
                <w:top w:val="none" w:sz="0" w:space="0" w:color="auto"/>
                <w:left w:val="none" w:sz="0" w:space="0" w:color="auto"/>
                <w:bottom w:val="none" w:sz="0" w:space="0" w:color="auto"/>
                <w:right w:val="none" w:sz="0" w:space="0" w:color="auto"/>
              </w:divBdr>
              <w:divsChild>
                <w:div w:id="894975163">
                  <w:marLeft w:val="0"/>
                  <w:marRight w:val="0"/>
                  <w:marTop w:val="0"/>
                  <w:marBottom w:val="0"/>
                  <w:divBdr>
                    <w:top w:val="none" w:sz="0" w:space="0" w:color="auto"/>
                    <w:left w:val="none" w:sz="0" w:space="0" w:color="auto"/>
                    <w:bottom w:val="none" w:sz="0" w:space="0" w:color="auto"/>
                    <w:right w:val="none" w:sz="0" w:space="0" w:color="auto"/>
                  </w:divBdr>
                  <w:divsChild>
                    <w:div w:id="656542532">
                      <w:marLeft w:val="0"/>
                      <w:marRight w:val="0"/>
                      <w:marTop w:val="0"/>
                      <w:marBottom w:val="0"/>
                      <w:divBdr>
                        <w:top w:val="none" w:sz="0" w:space="0" w:color="auto"/>
                        <w:left w:val="none" w:sz="0" w:space="0" w:color="auto"/>
                        <w:bottom w:val="none" w:sz="0" w:space="0" w:color="auto"/>
                        <w:right w:val="none" w:sz="0" w:space="0" w:color="auto"/>
                      </w:divBdr>
                      <w:divsChild>
                        <w:div w:id="87539222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94361101">
      <w:bodyDiv w:val="1"/>
      <w:marLeft w:val="0"/>
      <w:marRight w:val="0"/>
      <w:marTop w:val="0"/>
      <w:marBottom w:val="0"/>
      <w:divBdr>
        <w:top w:val="none" w:sz="0" w:space="0" w:color="auto"/>
        <w:left w:val="none" w:sz="0" w:space="0" w:color="auto"/>
        <w:bottom w:val="none" w:sz="0" w:space="0" w:color="auto"/>
        <w:right w:val="none" w:sz="0" w:space="0" w:color="auto"/>
      </w:divBdr>
      <w:divsChild>
        <w:div w:id="592013245">
          <w:marLeft w:val="0"/>
          <w:marRight w:val="0"/>
          <w:marTop w:val="0"/>
          <w:marBottom w:val="0"/>
          <w:divBdr>
            <w:top w:val="none" w:sz="0" w:space="0" w:color="auto"/>
            <w:left w:val="none" w:sz="0" w:space="0" w:color="auto"/>
            <w:bottom w:val="none" w:sz="0" w:space="0" w:color="auto"/>
            <w:right w:val="none" w:sz="0" w:space="0" w:color="auto"/>
          </w:divBdr>
          <w:divsChild>
            <w:div w:id="235016561">
              <w:marLeft w:val="0"/>
              <w:marRight w:val="0"/>
              <w:marTop w:val="0"/>
              <w:marBottom w:val="0"/>
              <w:divBdr>
                <w:top w:val="none" w:sz="0" w:space="0" w:color="auto"/>
                <w:left w:val="none" w:sz="0" w:space="0" w:color="auto"/>
                <w:bottom w:val="none" w:sz="0" w:space="0" w:color="auto"/>
                <w:right w:val="none" w:sz="0" w:space="0" w:color="auto"/>
              </w:divBdr>
              <w:divsChild>
                <w:div w:id="1981416445">
                  <w:marLeft w:val="0"/>
                  <w:marRight w:val="0"/>
                  <w:marTop w:val="0"/>
                  <w:marBottom w:val="0"/>
                  <w:divBdr>
                    <w:top w:val="none" w:sz="0" w:space="0" w:color="auto"/>
                    <w:left w:val="none" w:sz="0" w:space="0" w:color="auto"/>
                    <w:bottom w:val="none" w:sz="0" w:space="0" w:color="auto"/>
                    <w:right w:val="none" w:sz="0" w:space="0" w:color="auto"/>
                  </w:divBdr>
                  <w:divsChild>
                    <w:div w:id="92674023">
                      <w:marLeft w:val="0"/>
                      <w:marRight w:val="0"/>
                      <w:marTop w:val="0"/>
                      <w:marBottom w:val="0"/>
                      <w:divBdr>
                        <w:top w:val="none" w:sz="0" w:space="0" w:color="auto"/>
                        <w:left w:val="none" w:sz="0" w:space="0" w:color="auto"/>
                        <w:bottom w:val="none" w:sz="0" w:space="0" w:color="auto"/>
                        <w:right w:val="none" w:sz="0" w:space="0" w:color="auto"/>
                      </w:divBdr>
                      <w:divsChild>
                        <w:div w:id="76753573">
                          <w:marLeft w:val="0"/>
                          <w:marRight w:val="0"/>
                          <w:marTop w:val="0"/>
                          <w:marBottom w:val="0"/>
                          <w:divBdr>
                            <w:top w:val="none" w:sz="0" w:space="0" w:color="auto"/>
                            <w:left w:val="none" w:sz="0" w:space="0" w:color="auto"/>
                            <w:bottom w:val="none" w:sz="0" w:space="0" w:color="auto"/>
                            <w:right w:val="none" w:sz="0" w:space="0" w:color="auto"/>
                          </w:divBdr>
                          <w:divsChild>
                            <w:div w:id="1894078544">
                              <w:marLeft w:val="0"/>
                              <w:marRight w:val="0"/>
                              <w:marTop w:val="0"/>
                              <w:marBottom w:val="0"/>
                              <w:divBdr>
                                <w:top w:val="none" w:sz="0" w:space="0" w:color="auto"/>
                                <w:left w:val="none" w:sz="0" w:space="0" w:color="auto"/>
                                <w:bottom w:val="none" w:sz="0" w:space="0" w:color="auto"/>
                                <w:right w:val="none" w:sz="0" w:space="0" w:color="auto"/>
                              </w:divBdr>
                              <w:divsChild>
                                <w:div w:id="676006775">
                                  <w:marLeft w:val="120"/>
                                  <w:marRight w:val="720"/>
                                  <w:marTop w:val="120"/>
                                  <w:marBottom w:val="120"/>
                                  <w:divBdr>
                                    <w:top w:val="none" w:sz="0" w:space="0" w:color="auto"/>
                                    <w:left w:val="none" w:sz="0" w:space="0" w:color="auto"/>
                                    <w:bottom w:val="none" w:sz="0" w:space="0" w:color="auto"/>
                                    <w:right w:val="none" w:sz="0" w:space="0" w:color="auto"/>
                                  </w:divBdr>
                                  <w:divsChild>
                                    <w:div w:id="492377984">
                                      <w:marLeft w:val="0"/>
                                      <w:marRight w:val="0"/>
                                      <w:marTop w:val="0"/>
                                      <w:marBottom w:val="0"/>
                                      <w:divBdr>
                                        <w:top w:val="none" w:sz="0" w:space="0" w:color="auto"/>
                                        <w:left w:val="none" w:sz="0" w:space="0" w:color="auto"/>
                                        <w:bottom w:val="none" w:sz="0" w:space="0" w:color="auto"/>
                                        <w:right w:val="none" w:sz="0" w:space="0" w:color="auto"/>
                                      </w:divBdr>
                                      <w:divsChild>
                                        <w:div w:id="1254434376">
                                          <w:marLeft w:val="0"/>
                                          <w:marRight w:val="0"/>
                                          <w:marTop w:val="0"/>
                                          <w:marBottom w:val="0"/>
                                          <w:divBdr>
                                            <w:top w:val="none" w:sz="0" w:space="0" w:color="auto"/>
                                            <w:left w:val="none" w:sz="0" w:space="0" w:color="auto"/>
                                            <w:bottom w:val="none" w:sz="0" w:space="0" w:color="auto"/>
                                            <w:right w:val="none" w:sz="0" w:space="0" w:color="auto"/>
                                          </w:divBdr>
                                          <w:divsChild>
                                            <w:div w:id="689139361">
                                              <w:marLeft w:val="0"/>
                                              <w:marRight w:val="0"/>
                                              <w:marTop w:val="0"/>
                                              <w:marBottom w:val="0"/>
                                              <w:divBdr>
                                                <w:top w:val="none" w:sz="0" w:space="0" w:color="auto"/>
                                                <w:left w:val="none" w:sz="0" w:space="0" w:color="auto"/>
                                                <w:bottom w:val="none" w:sz="0" w:space="0" w:color="auto"/>
                                                <w:right w:val="none" w:sz="0" w:space="0" w:color="auto"/>
                                              </w:divBdr>
                                              <w:divsChild>
                                                <w:div w:id="598292768">
                                                  <w:marLeft w:val="0"/>
                                                  <w:marRight w:val="0"/>
                                                  <w:marTop w:val="240"/>
                                                  <w:marBottom w:val="240"/>
                                                  <w:divBdr>
                                                    <w:top w:val="single" w:sz="6" w:space="6" w:color="F2F2F2"/>
                                                    <w:left w:val="none" w:sz="0" w:space="0" w:color="auto"/>
                                                    <w:bottom w:val="single" w:sz="6" w:space="6" w:color="F2F2F2"/>
                                                    <w:right w:val="none" w:sz="0" w:space="0" w:color="auto"/>
                                                  </w:divBdr>
                                                </w:div>
                                                <w:div w:id="2053533922">
                                                  <w:marLeft w:val="0"/>
                                                  <w:marRight w:val="0"/>
                                                  <w:marTop w:val="0"/>
                                                  <w:marBottom w:val="0"/>
                                                  <w:divBdr>
                                                    <w:top w:val="none" w:sz="0" w:space="0" w:color="auto"/>
                                                    <w:left w:val="none" w:sz="0" w:space="0" w:color="auto"/>
                                                    <w:bottom w:val="none" w:sz="0" w:space="0" w:color="auto"/>
                                                    <w:right w:val="none" w:sz="0" w:space="0" w:color="auto"/>
                                                  </w:divBdr>
                                                  <w:divsChild>
                                                    <w:div w:id="200242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4434945">
      <w:bodyDiv w:val="1"/>
      <w:marLeft w:val="0"/>
      <w:marRight w:val="0"/>
      <w:marTop w:val="0"/>
      <w:marBottom w:val="0"/>
      <w:divBdr>
        <w:top w:val="none" w:sz="0" w:space="0" w:color="auto"/>
        <w:left w:val="none" w:sz="0" w:space="0" w:color="auto"/>
        <w:bottom w:val="none" w:sz="0" w:space="0" w:color="auto"/>
        <w:right w:val="none" w:sz="0" w:space="0" w:color="auto"/>
      </w:divBdr>
    </w:div>
    <w:div w:id="1594703004">
      <w:bodyDiv w:val="1"/>
      <w:marLeft w:val="0"/>
      <w:marRight w:val="0"/>
      <w:marTop w:val="0"/>
      <w:marBottom w:val="0"/>
      <w:divBdr>
        <w:top w:val="none" w:sz="0" w:space="0" w:color="auto"/>
        <w:left w:val="none" w:sz="0" w:space="0" w:color="auto"/>
        <w:bottom w:val="none" w:sz="0" w:space="0" w:color="auto"/>
        <w:right w:val="none" w:sz="0" w:space="0" w:color="auto"/>
      </w:divBdr>
      <w:divsChild>
        <w:div w:id="859973246">
          <w:marLeft w:val="0"/>
          <w:marRight w:val="0"/>
          <w:marTop w:val="0"/>
          <w:marBottom w:val="0"/>
          <w:divBdr>
            <w:top w:val="none" w:sz="0" w:space="0" w:color="auto"/>
            <w:left w:val="none" w:sz="0" w:space="0" w:color="auto"/>
            <w:bottom w:val="none" w:sz="0" w:space="0" w:color="auto"/>
            <w:right w:val="none" w:sz="0" w:space="0" w:color="auto"/>
          </w:divBdr>
        </w:div>
        <w:div w:id="1149249965">
          <w:marLeft w:val="0"/>
          <w:marRight w:val="0"/>
          <w:marTop w:val="900"/>
          <w:marBottom w:val="0"/>
          <w:divBdr>
            <w:top w:val="none" w:sz="0" w:space="0" w:color="auto"/>
            <w:left w:val="none" w:sz="0" w:space="0" w:color="auto"/>
            <w:bottom w:val="none" w:sz="0" w:space="0" w:color="auto"/>
            <w:right w:val="none" w:sz="0" w:space="0" w:color="auto"/>
          </w:divBdr>
        </w:div>
      </w:divsChild>
    </w:div>
    <w:div w:id="1596208819">
      <w:bodyDiv w:val="1"/>
      <w:marLeft w:val="0"/>
      <w:marRight w:val="0"/>
      <w:marTop w:val="0"/>
      <w:marBottom w:val="0"/>
      <w:divBdr>
        <w:top w:val="none" w:sz="0" w:space="0" w:color="auto"/>
        <w:left w:val="none" w:sz="0" w:space="0" w:color="auto"/>
        <w:bottom w:val="none" w:sz="0" w:space="0" w:color="auto"/>
        <w:right w:val="none" w:sz="0" w:space="0" w:color="auto"/>
      </w:divBdr>
    </w:div>
    <w:div w:id="1597901618">
      <w:bodyDiv w:val="1"/>
      <w:marLeft w:val="0"/>
      <w:marRight w:val="0"/>
      <w:marTop w:val="0"/>
      <w:marBottom w:val="0"/>
      <w:divBdr>
        <w:top w:val="none" w:sz="0" w:space="0" w:color="auto"/>
        <w:left w:val="none" w:sz="0" w:space="0" w:color="auto"/>
        <w:bottom w:val="none" w:sz="0" w:space="0" w:color="auto"/>
        <w:right w:val="none" w:sz="0" w:space="0" w:color="auto"/>
      </w:divBdr>
      <w:divsChild>
        <w:div w:id="264923756">
          <w:marLeft w:val="0"/>
          <w:marRight w:val="0"/>
          <w:marTop w:val="0"/>
          <w:marBottom w:val="0"/>
          <w:divBdr>
            <w:top w:val="none" w:sz="0" w:space="0" w:color="auto"/>
            <w:left w:val="none" w:sz="0" w:space="0" w:color="auto"/>
            <w:bottom w:val="none" w:sz="0" w:space="0" w:color="auto"/>
            <w:right w:val="none" w:sz="0" w:space="0" w:color="auto"/>
          </w:divBdr>
        </w:div>
      </w:divsChild>
    </w:div>
    <w:div w:id="1598901627">
      <w:bodyDiv w:val="1"/>
      <w:marLeft w:val="0"/>
      <w:marRight w:val="0"/>
      <w:marTop w:val="0"/>
      <w:marBottom w:val="0"/>
      <w:divBdr>
        <w:top w:val="none" w:sz="0" w:space="0" w:color="auto"/>
        <w:left w:val="none" w:sz="0" w:space="0" w:color="auto"/>
        <w:bottom w:val="none" w:sz="0" w:space="0" w:color="auto"/>
        <w:right w:val="none" w:sz="0" w:space="0" w:color="auto"/>
      </w:divBdr>
      <w:divsChild>
        <w:div w:id="1041629824">
          <w:marLeft w:val="0"/>
          <w:marRight w:val="0"/>
          <w:marTop w:val="0"/>
          <w:marBottom w:val="0"/>
          <w:divBdr>
            <w:top w:val="single" w:sz="2" w:space="0" w:color="AAAAAA"/>
            <w:left w:val="single" w:sz="6" w:space="8" w:color="AAAAAA"/>
            <w:bottom w:val="single" w:sz="2" w:space="0" w:color="AAAAAA"/>
            <w:right w:val="single" w:sz="6" w:space="8" w:color="AAAAAA"/>
          </w:divBdr>
          <w:divsChild>
            <w:div w:id="2069914839">
              <w:marLeft w:val="0"/>
              <w:marRight w:val="0"/>
              <w:marTop w:val="0"/>
              <w:marBottom w:val="0"/>
              <w:divBdr>
                <w:top w:val="none" w:sz="0" w:space="0" w:color="auto"/>
                <w:left w:val="none" w:sz="0" w:space="0" w:color="auto"/>
                <w:bottom w:val="none" w:sz="0" w:space="0" w:color="auto"/>
                <w:right w:val="none" w:sz="0" w:space="0" w:color="auto"/>
              </w:divBdr>
              <w:divsChild>
                <w:div w:id="1796366219">
                  <w:marLeft w:val="0"/>
                  <w:marRight w:val="0"/>
                  <w:marTop w:val="0"/>
                  <w:marBottom w:val="0"/>
                  <w:divBdr>
                    <w:top w:val="none" w:sz="0" w:space="0" w:color="auto"/>
                    <w:left w:val="none" w:sz="0" w:space="0" w:color="auto"/>
                    <w:bottom w:val="none" w:sz="0" w:space="0" w:color="auto"/>
                    <w:right w:val="none" w:sz="0" w:space="0" w:color="auto"/>
                  </w:divBdr>
                  <w:divsChild>
                    <w:div w:id="1800873989">
                      <w:marLeft w:val="0"/>
                      <w:marRight w:val="2550"/>
                      <w:marTop w:val="0"/>
                      <w:marBottom w:val="48"/>
                      <w:divBdr>
                        <w:top w:val="none" w:sz="0" w:space="0" w:color="auto"/>
                        <w:left w:val="none" w:sz="0" w:space="0" w:color="auto"/>
                        <w:bottom w:val="none" w:sz="0" w:space="0" w:color="auto"/>
                        <w:right w:val="none" w:sz="0" w:space="0" w:color="auto"/>
                      </w:divBdr>
                      <w:divsChild>
                        <w:div w:id="496897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99867061">
      <w:bodyDiv w:val="1"/>
      <w:marLeft w:val="0"/>
      <w:marRight w:val="0"/>
      <w:marTop w:val="0"/>
      <w:marBottom w:val="0"/>
      <w:divBdr>
        <w:top w:val="none" w:sz="0" w:space="0" w:color="auto"/>
        <w:left w:val="none" w:sz="0" w:space="0" w:color="auto"/>
        <w:bottom w:val="none" w:sz="0" w:space="0" w:color="auto"/>
        <w:right w:val="none" w:sz="0" w:space="0" w:color="auto"/>
      </w:divBdr>
      <w:divsChild>
        <w:div w:id="465781657">
          <w:marLeft w:val="0"/>
          <w:marRight w:val="0"/>
          <w:marTop w:val="0"/>
          <w:marBottom w:val="0"/>
          <w:divBdr>
            <w:top w:val="none" w:sz="0" w:space="0" w:color="auto"/>
            <w:left w:val="none" w:sz="0" w:space="0" w:color="auto"/>
            <w:bottom w:val="none" w:sz="0" w:space="0" w:color="auto"/>
            <w:right w:val="none" w:sz="0" w:space="0" w:color="auto"/>
          </w:divBdr>
          <w:divsChild>
            <w:div w:id="1112936923">
              <w:marLeft w:val="210"/>
              <w:marRight w:val="0"/>
              <w:marTop w:val="0"/>
              <w:marBottom w:val="0"/>
              <w:divBdr>
                <w:top w:val="none" w:sz="0" w:space="0" w:color="auto"/>
                <w:left w:val="none" w:sz="0" w:space="0" w:color="auto"/>
                <w:bottom w:val="none" w:sz="0" w:space="0" w:color="auto"/>
                <w:right w:val="none" w:sz="0" w:space="0" w:color="auto"/>
              </w:divBdr>
              <w:divsChild>
                <w:div w:id="17184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1870">
      <w:bodyDiv w:val="1"/>
      <w:marLeft w:val="0"/>
      <w:marRight w:val="0"/>
      <w:marTop w:val="0"/>
      <w:marBottom w:val="0"/>
      <w:divBdr>
        <w:top w:val="none" w:sz="0" w:space="0" w:color="auto"/>
        <w:left w:val="none" w:sz="0" w:space="0" w:color="auto"/>
        <w:bottom w:val="none" w:sz="0" w:space="0" w:color="auto"/>
        <w:right w:val="none" w:sz="0" w:space="0" w:color="auto"/>
      </w:divBdr>
      <w:divsChild>
        <w:div w:id="1249387061">
          <w:marLeft w:val="0"/>
          <w:marRight w:val="0"/>
          <w:marTop w:val="150"/>
          <w:marBottom w:val="0"/>
          <w:divBdr>
            <w:top w:val="none" w:sz="0" w:space="0" w:color="auto"/>
            <w:left w:val="none" w:sz="0" w:space="0" w:color="auto"/>
            <w:bottom w:val="none" w:sz="0" w:space="0" w:color="auto"/>
            <w:right w:val="none" w:sz="0" w:space="0" w:color="auto"/>
          </w:divBdr>
          <w:divsChild>
            <w:div w:id="1520663179">
              <w:marLeft w:val="2"/>
              <w:marRight w:val="2"/>
              <w:marTop w:val="0"/>
              <w:marBottom w:val="0"/>
              <w:divBdr>
                <w:top w:val="none" w:sz="0" w:space="0" w:color="auto"/>
                <w:left w:val="none" w:sz="0" w:space="0" w:color="auto"/>
                <w:bottom w:val="none" w:sz="0" w:space="0" w:color="auto"/>
                <w:right w:val="none" w:sz="0" w:space="0" w:color="auto"/>
              </w:divBdr>
              <w:divsChild>
                <w:div w:id="1731660082">
                  <w:marLeft w:val="0"/>
                  <w:marRight w:val="0"/>
                  <w:marTop w:val="0"/>
                  <w:marBottom w:val="0"/>
                  <w:divBdr>
                    <w:top w:val="none" w:sz="0" w:space="0" w:color="auto"/>
                    <w:left w:val="none" w:sz="0" w:space="0" w:color="auto"/>
                    <w:bottom w:val="none" w:sz="0" w:space="0" w:color="auto"/>
                    <w:right w:val="none" w:sz="0" w:space="0" w:color="auto"/>
                  </w:divBdr>
                  <w:divsChild>
                    <w:div w:id="1940329062">
                      <w:marLeft w:val="0"/>
                      <w:marRight w:val="0"/>
                      <w:marTop w:val="0"/>
                      <w:marBottom w:val="0"/>
                      <w:divBdr>
                        <w:top w:val="none" w:sz="0" w:space="0" w:color="auto"/>
                        <w:left w:val="none" w:sz="0" w:space="0" w:color="auto"/>
                        <w:bottom w:val="none" w:sz="0" w:space="0" w:color="auto"/>
                        <w:right w:val="none" w:sz="0" w:space="0" w:color="auto"/>
                      </w:divBdr>
                      <w:divsChild>
                        <w:div w:id="652107655">
                          <w:marLeft w:val="0"/>
                          <w:marRight w:val="0"/>
                          <w:marTop w:val="0"/>
                          <w:marBottom w:val="0"/>
                          <w:divBdr>
                            <w:top w:val="none" w:sz="0" w:space="0" w:color="auto"/>
                            <w:left w:val="none" w:sz="0" w:space="0" w:color="auto"/>
                            <w:bottom w:val="none" w:sz="0" w:space="0" w:color="auto"/>
                            <w:right w:val="none" w:sz="0" w:space="0" w:color="auto"/>
                          </w:divBdr>
                          <w:divsChild>
                            <w:div w:id="1022362311">
                              <w:marLeft w:val="0"/>
                              <w:marRight w:val="0"/>
                              <w:marTop w:val="0"/>
                              <w:marBottom w:val="0"/>
                              <w:divBdr>
                                <w:top w:val="none" w:sz="0" w:space="0" w:color="auto"/>
                                <w:left w:val="none" w:sz="0" w:space="0" w:color="auto"/>
                                <w:bottom w:val="none" w:sz="0" w:space="0" w:color="auto"/>
                                <w:right w:val="none" w:sz="0" w:space="0" w:color="auto"/>
                              </w:divBdr>
                              <w:divsChild>
                                <w:div w:id="1822186561">
                                  <w:marLeft w:val="0"/>
                                  <w:marRight w:val="0"/>
                                  <w:marTop w:val="0"/>
                                  <w:marBottom w:val="0"/>
                                  <w:divBdr>
                                    <w:top w:val="none" w:sz="0" w:space="0" w:color="auto"/>
                                    <w:left w:val="none" w:sz="0" w:space="0" w:color="auto"/>
                                    <w:bottom w:val="none" w:sz="0" w:space="0" w:color="auto"/>
                                    <w:right w:val="none" w:sz="0" w:space="0" w:color="auto"/>
                                  </w:divBdr>
                                  <w:divsChild>
                                    <w:div w:id="598223247">
                                      <w:marLeft w:val="0"/>
                                      <w:marRight w:val="0"/>
                                      <w:marTop w:val="0"/>
                                      <w:marBottom w:val="0"/>
                                      <w:divBdr>
                                        <w:top w:val="none" w:sz="0" w:space="0" w:color="auto"/>
                                        <w:left w:val="none" w:sz="0" w:space="0" w:color="auto"/>
                                        <w:bottom w:val="none" w:sz="0" w:space="0" w:color="auto"/>
                                        <w:right w:val="none" w:sz="0" w:space="0" w:color="auto"/>
                                      </w:divBdr>
                                      <w:divsChild>
                                        <w:div w:id="193428216">
                                          <w:marLeft w:val="0"/>
                                          <w:marRight w:val="0"/>
                                          <w:marTop w:val="0"/>
                                          <w:marBottom w:val="0"/>
                                          <w:divBdr>
                                            <w:top w:val="none" w:sz="0" w:space="0" w:color="auto"/>
                                            <w:left w:val="none" w:sz="0" w:space="0" w:color="auto"/>
                                            <w:bottom w:val="none" w:sz="0" w:space="0" w:color="auto"/>
                                            <w:right w:val="none" w:sz="0" w:space="0" w:color="auto"/>
                                          </w:divBdr>
                                          <w:divsChild>
                                            <w:div w:id="1228960050">
                                              <w:marLeft w:val="0"/>
                                              <w:marRight w:val="0"/>
                                              <w:marTop w:val="0"/>
                                              <w:marBottom w:val="0"/>
                                              <w:divBdr>
                                                <w:top w:val="none" w:sz="0" w:space="0" w:color="auto"/>
                                                <w:left w:val="none" w:sz="0" w:space="0" w:color="auto"/>
                                                <w:bottom w:val="none" w:sz="0" w:space="0" w:color="auto"/>
                                                <w:right w:val="none" w:sz="0" w:space="0" w:color="auto"/>
                                              </w:divBdr>
                                              <w:divsChild>
                                                <w:div w:id="280380072">
                                                  <w:marLeft w:val="0"/>
                                                  <w:marRight w:val="0"/>
                                                  <w:marTop w:val="0"/>
                                                  <w:marBottom w:val="0"/>
                                                  <w:divBdr>
                                                    <w:top w:val="none" w:sz="0" w:space="0" w:color="auto"/>
                                                    <w:left w:val="none" w:sz="0" w:space="0" w:color="auto"/>
                                                    <w:bottom w:val="none" w:sz="0" w:space="0" w:color="auto"/>
                                                    <w:right w:val="none" w:sz="0" w:space="0" w:color="auto"/>
                                                  </w:divBdr>
                                                </w:div>
                                              </w:divsChild>
                                            </w:div>
                                            <w:div w:id="1065489929">
                                              <w:marLeft w:val="0"/>
                                              <w:marRight w:val="0"/>
                                              <w:marTop w:val="0"/>
                                              <w:marBottom w:val="0"/>
                                              <w:divBdr>
                                                <w:top w:val="none" w:sz="0" w:space="0" w:color="auto"/>
                                                <w:left w:val="none" w:sz="0" w:space="0" w:color="auto"/>
                                                <w:bottom w:val="none" w:sz="0" w:space="0" w:color="auto"/>
                                                <w:right w:val="none" w:sz="0" w:space="0" w:color="auto"/>
                                              </w:divBdr>
                                              <w:divsChild>
                                                <w:div w:id="597180362">
                                                  <w:marLeft w:val="0"/>
                                                  <w:marRight w:val="0"/>
                                                  <w:marTop w:val="0"/>
                                                  <w:marBottom w:val="0"/>
                                                  <w:divBdr>
                                                    <w:top w:val="none" w:sz="0" w:space="0" w:color="auto"/>
                                                    <w:left w:val="none" w:sz="0" w:space="0" w:color="auto"/>
                                                    <w:bottom w:val="none" w:sz="0" w:space="0" w:color="auto"/>
                                                    <w:right w:val="none" w:sz="0" w:space="0" w:color="auto"/>
                                                  </w:divBdr>
                                                </w:div>
                                              </w:divsChild>
                                            </w:div>
                                            <w:div w:id="147676895">
                                              <w:marLeft w:val="0"/>
                                              <w:marRight w:val="0"/>
                                              <w:marTop w:val="0"/>
                                              <w:marBottom w:val="0"/>
                                              <w:divBdr>
                                                <w:top w:val="none" w:sz="0" w:space="0" w:color="auto"/>
                                                <w:left w:val="none" w:sz="0" w:space="0" w:color="auto"/>
                                                <w:bottom w:val="none" w:sz="0" w:space="0" w:color="auto"/>
                                                <w:right w:val="none" w:sz="0" w:space="0" w:color="auto"/>
                                              </w:divBdr>
                                              <w:divsChild>
                                                <w:div w:id="1640766753">
                                                  <w:marLeft w:val="0"/>
                                                  <w:marRight w:val="0"/>
                                                  <w:marTop w:val="0"/>
                                                  <w:marBottom w:val="0"/>
                                                  <w:divBdr>
                                                    <w:top w:val="none" w:sz="0" w:space="0" w:color="auto"/>
                                                    <w:left w:val="none" w:sz="0" w:space="0" w:color="auto"/>
                                                    <w:bottom w:val="none" w:sz="0" w:space="0" w:color="auto"/>
                                                    <w:right w:val="none" w:sz="0" w:space="0" w:color="auto"/>
                                                  </w:divBdr>
                                                </w:div>
                                              </w:divsChild>
                                            </w:div>
                                            <w:div w:id="1099373616">
                                              <w:marLeft w:val="0"/>
                                              <w:marRight w:val="0"/>
                                              <w:marTop w:val="0"/>
                                              <w:marBottom w:val="0"/>
                                              <w:divBdr>
                                                <w:top w:val="none" w:sz="0" w:space="0" w:color="auto"/>
                                                <w:left w:val="none" w:sz="0" w:space="0" w:color="auto"/>
                                                <w:bottom w:val="none" w:sz="0" w:space="0" w:color="auto"/>
                                                <w:right w:val="none" w:sz="0" w:space="0" w:color="auto"/>
                                              </w:divBdr>
                                              <w:divsChild>
                                                <w:div w:id="1090353732">
                                                  <w:marLeft w:val="0"/>
                                                  <w:marRight w:val="0"/>
                                                  <w:marTop w:val="0"/>
                                                  <w:marBottom w:val="0"/>
                                                  <w:divBdr>
                                                    <w:top w:val="none" w:sz="0" w:space="0" w:color="auto"/>
                                                    <w:left w:val="none" w:sz="0" w:space="0" w:color="auto"/>
                                                    <w:bottom w:val="none" w:sz="0" w:space="0" w:color="auto"/>
                                                    <w:right w:val="none" w:sz="0" w:space="0" w:color="auto"/>
                                                  </w:divBdr>
                                                </w:div>
                                              </w:divsChild>
                                            </w:div>
                                            <w:div w:id="1674530592">
                                              <w:marLeft w:val="0"/>
                                              <w:marRight w:val="0"/>
                                              <w:marTop w:val="0"/>
                                              <w:marBottom w:val="0"/>
                                              <w:divBdr>
                                                <w:top w:val="none" w:sz="0" w:space="0" w:color="auto"/>
                                                <w:left w:val="none" w:sz="0" w:space="0" w:color="auto"/>
                                                <w:bottom w:val="none" w:sz="0" w:space="0" w:color="auto"/>
                                                <w:right w:val="none" w:sz="0" w:space="0" w:color="auto"/>
                                              </w:divBdr>
                                              <w:divsChild>
                                                <w:div w:id="18441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47468">
                                          <w:marLeft w:val="0"/>
                                          <w:marRight w:val="0"/>
                                          <w:marTop w:val="0"/>
                                          <w:marBottom w:val="0"/>
                                          <w:divBdr>
                                            <w:top w:val="none" w:sz="0" w:space="0" w:color="auto"/>
                                            <w:left w:val="none" w:sz="0" w:space="0" w:color="auto"/>
                                            <w:bottom w:val="none" w:sz="0" w:space="0" w:color="auto"/>
                                            <w:right w:val="none" w:sz="0" w:space="0" w:color="auto"/>
                                          </w:divBdr>
                                          <w:divsChild>
                                            <w:div w:id="191001135">
                                              <w:marLeft w:val="0"/>
                                              <w:marRight w:val="0"/>
                                              <w:marTop w:val="0"/>
                                              <w:marBottom w:val="0"/>
                                              <w:divBdr>
                                                <w:top w:val="none" w:sz="0" w:space="0" w:color="auto"/>
                                                <w:left w:val="none" w:sz="0" w:space="0" w:color="auto"/>
                                                <w:bottom w:val="none" w:sz="0" w:space="0" w:color="auto"/>
                                                <w:right w:val="none" w:sz="0" w:space="0" w:color="auto"/>
                                              </w:divBdr>
                                              <w:divsChild>
                                                <w:div w:id="365061020">
                                                  <w:marLeft w:val="0"/>
                                                  <w:marRight w:val="0"/>
                                                  <w:marTop w:val="0"/>
                                                  <w:marBottom w:val="0"/>
                                                  <w:divBdr>
                                                    <w:top w:val="none" w:sz="0" w:space="0" w:color="auto"/>
                                                    <w:left w:val="none" w:sz="0" w:space="0" w:color="auto"/>
                                                    <w:bottom w:val="none" w:sz="0" w:space="0" w:color="auto"/>
                                                    <w:right w:val="none" w:sz="0" w:space="0" w:color="auto"/>
                                                  </w:divBdr>
                                                </w:div>
                                              </w:divsChild>
                                            </w:div>
                                            <w:div w:id="310401329">
                                              <w:marLeft w:val="0"/>
                                              <w:marRight w:val="0"/>
                                              <w:marTop w:val="0"/>
                                              <w:marBottom w:val="0"/>
                                              <w:divBdr>
                                                <w:top w:val="none" w:sz="0" w:space="0" w:color="auto"/>
                                                <w:left w:val="none" w:sz="0" w:space="0" w:color="auto"/>
                                                <w:bottom w:val="none" w:sz="0" w:space="0" w:color="auto"/>
                                                <w:right w:val="none" w:sz="0" w:space="0" w:color="auto"/>
                                              </w:divBdr>
                                              <w:divsChild>
                                                <w:div w:id="242179432">
                                                  <w:marLeft w:val="0"/>
                                                  <w:marRight w:val="0"/>
                                                  <w:marTop w:val="0"/>
                                                  <w:marBottom w:val="0"/>
                                                  <w:divBdr>
                                                    <w:top w:val="none" w:sz="0" w:space="0" w:color="auto"/>
                                                    <w:left w:val="none" w:sz="0" w:space="0" w:color="auto"/>
                                                    <w:bottom w:val="none" w:sz="0" w:space="0" w:color="auto"/>
                                                    <w:right w:val="none" w:sz="0" w:space="0" w:color="auto"/>
                                                  </w:divBdr>
                                                </w:div>
                                              </w:divsChild>
                                            </w:div>
                                            <w:div w:id="492069362">
                                              <w:marLeft w:val="0"/>
                                              <w:marRight w:val="0"/>
                                              <w:marTop w:val="0"/>
                                              <w:marBottom w:val="0"/>
                                              <w:divBdr>
                                                <w:top w:val="none" w:sz="0" w:space="0" w:color="auto"/>
                                                <w:left w:val="none" w:sz="0" w:space="0" w:color="auto"/>
                                                <w:bottom w:val="none" w:sz="0" w:space="0" w:color="auto"/>
                                                <w:right w:val="none" w:sz="0" w:space="0" w:color="auto"/>
                                              </w:divBdr>
                                              <w:divsChild>
                                                <w:div w:id="1413702060">
                                                  <w:marLeft w:val="0"/>
                                                  <w:marRight w:val="0"/>
                                                  <w:marTop w:val="0"/>
                                                  <w:marBottom w:val="0"/>
                                                  <w:divBdr>
                                                    <w:top w:val="none" w:sz="0" w:space="0" w:color="auto"/>
                                                    <w:left w:val="none" w:sz="0" w:space="0" w:color="auto"/>
                                                    <w:bottom w:val="none" w:sz="0" w:space="0" w:color="auto"/>
                                                    <w:right w:val="none" w:sz="0" w:space="0" w:color="auto"/>
                                                  </w:divBdr>
                                                </w:div>
                                              </w:divsChild>
                                            </w:div>
                                            <w:div w:id="1027370383">
                                              <w:marLeft w:val="0"/>
                                              <w:marRight w:val="0"/>
                                              <w:marTop w:val="0"/>
                                              <w:marBottom w:val="0"/>
                                              <w:divBdr>
                                                <w:top w:val="none" w:sz="0" w:space="0" w:color="auto"/>
                                                <w:left w:val="none" w:sz="0" w:space="0" w:color="auto"/>
                                                <w:bottom w:val="none" w:sz="0" w:space="0" w:color="auto"/>
                                                <w:right w:val="none" w:sz="0" w:space="0" w:color="auto"/>
                                              </w:divBdr>
                                              <w:divsChild>
                                                <w:div w:id="661392350">
                                                  <w:marLeft w:val="0"/>
                                                  <w:marRight w:val="0"/>
                                                  <w:marTop w:val="0"/>
                                                  <w:marBottom w:val="0"/>
                                                  <w:divBdr>
                                                    <w:top w:val="none" w:sz="0" w:space="0" w:color="auto"/>
                                                    <w:left w:val="none" w:sz="0" w:space="0" w:color="auto"/>
                                                    <w:bottom w:val="none" w:sz="0" w:space="0" w:color="auto"/>
                                                    <w:right w:val="none" w:sz="0" w:space="0" w:color="auto"/>
                                                  </w:divBdr>
                                                </w:div>
                                              </w:divsChild>
                                            </w:div>
                                            <w:div w:id="2005353669">
                                              <w:marLeft w:val="0"/>
                                              <w:marRight w:val="0"/>
                                              <w:marTop w:val="0"/>
                                              <w:marBottom w:val="0"/>
                                              <w:divBdr>
                                                <w:top w:val="none" w:sz="0" w:space="0" w:color="auto"/>
                                                <w:left w:val="none" w:sz="0" w:space="0" w:color="auto"/>
                                                <w:bottom w:val="none" w:sz="0" w:space="0" w:color="auto"/>
                                                <w:right w:val="none" w:sz="0" w:space="0" w:color="auto"/>
                                              </w:divBdr>
                                              <w:divsChild>
                                                <w:div w:id="4887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570">
                                          <w:marLeft w:val="0"/>
                                          <w:marRight w:val="0"/>
                                          <w:marTop w:val="0"/>
                                          <w:marBottom w:val="0"/>
                                          <w:divBdr>
                                            <w:top w:val="none" w:sz="0" w:space="0" w:color="auto"/>
                                            <w:left w:val="none" w:sz="0" w:space="0" w:color="auto"/>
                                            <w:bottom w:val="none" w:sz="0" w:space="0" w:color="auto"/>
                                            <w:right w:val="none" w:sz="0" w:space="0" w:color="auto"/>
                                          </w:divBdr>
                                          <w:divsChild>
                                            <w:div w:id="399786557">
                                              <w:marLeft w:val="0"/>
                                              <w:marRight w:val="0"/>
                                              <w:marTop w:val="0"/>
                                              <w:marBottom w:val="0"/>
                                              <w:divBdr>
                                                <w:top w:val="none" w:sz="0" w:space="0" w:color="auto"/>
                                                <w:left w:val="none" w:sz="0" w:space="0" w:color="auto"/>
                                                <w:bottom w:val="none" w:sz="0" w:space="0" w:color="auto"/>
                                                <w:right w:val="none" w:sz="0" w:space="0" w:color="auto"/>
                                              </w:divBdr>
                                              <w:divsChild>
                                                <w:div w:id="866606621">
                                                  <w:marLeft w:val="0"/>
                                                  <w:marRight w:val="0"/>
                                                  <w:marTop w:val="0"/>
                                                  <w:marBottom w:val="0"/>
                                                  <w:divBdr>
                                                    <w:top w:val="none" w:sz="0" w:space="0" w:color="auto"/>
                                                    <w:left w:val="none" w:sz="0" w:space="0" w:color="auto"/>
                                                    <w:bottom w:val="none" w:sz="0" w:space="0" w:color="auto"/>
                                                    <w:right w:val="none" w:sz="0" w:space="0" w:color="auto"/>
                                                  </w:divBdr>
                                                </w:div>
                                              </w:divsChild>
                                            </w:div>
                                            <w:div w:id="246116211">
                                              <w:marLeft w:val="0"/>
                                              <w:marRight w:val="0"/>
                                              <w:marTop w:val="0"/>
                                              <w:marBottom w:val="0"/>
                                              <w:divBdr>
                                                <w:top w:val="none" w:sz="0" w:space="0" w:color="auto"/>
                                                <w:left w:val="none" w:sz="0" w:space="0" w:color="auto"/>
                                                <w:bottom w:val="none" w:sz="0" w:space="0" w:color="auto"/>
                                                <w:right w:val="none" w:sz="0" w:space="0" w:color="auto"/>
                                              </w:divBdr>
                                              <w:divsChild>
                                                <w:div w:id="1113017026">
                                                  <w:marLeft w:val="0"/>
                                                  <w:marRight w:val="0"/>
                                                  <w:marTop w:val="0"/>
                                                  <w:marBottom w:val="0"/>
                                                  <w:divBdr>
                                                    <w:top w:val="none" w:sz="0" w:space="0" w:color="auto"/>
                                                    <w:left w:val="none" w:sz="0" w:space="0" w:color="auto"/>
                                                    <w:bottom w:val="none" w:sz="0" w:space="0" w:color="auto"/>
                                                    <w:right w:val="none" w:sz="0" w:space="0" w:color="auto"/>
                                                  </w:divBdr>
                                                </w:div>
                                              </w:divsChild>
                                            </w:div>
                                            <w:div w:id="1260064138">
                                              <w:marLeft w:val="0"/>
                                              <w:marRight w:val="0"/>
                                              <w:marTop w:val="0"/>
                                              <w:marBottom w:val="0"/>
                                              <w:divBdr>
                                                <w:top w:val="none" w:sz="0" w:space="0" w:color="auto"/>
                                                <w:left w:val="none" w:sz="0" w:space="0" w:color="auto"/>
                                                <w:bottom w:val="none" w:sz="0" w:space="0" w:color="auto"/>
                                                <w:right w:val="none" w:sz="0" w:space="0" w:color="auto"/>
                                              </w:divBdr>
                                              <w:divsChild>
                                                <w:div w:id="1164852570">
                                                  <w:marLeft w:val="0"/>
                                                  <w:marRight w:val="0"/>
                                                  <w:marTop w:val="0"/>
                                                  <w:marBottom w:val="0"/>
                                                  <w:divBdr>
                                                    <w:top w:val="none" w:sz="0" w:space="0" w:color="auto"/>
                                                    <w:left w:val="none" w:sz="0" w:space="0" w:color="auto"/>
                                                    <w:bottom w:val="none" w:sz="0" w:space="0" w:color="auto"/>
                                                    <w:right w:val="none" w:sz="0" w:space="0" w:color="auto"/>
                                                  </w:divBdr>
                                                </w:div>
                                              </w:divsChild>
                                            </w:div>
                                            <w:div w:id="1235362439">
                                              <w:marLeft w:val="0"/>
                                              <w:marRight w:val="0"/>
                                              <w:marTop w:val="0"/>
                                              <w:marBottom w:val="0"/>
                                              <w:divBdr>
                                                <w:top w:val="none" w:sz="0" w:space="0" w:color="auto"/>
                                                <w:left w:val="none" w:sz="0" w:space="0" w:color="auto"/>
                                                <w:bottom w:val="none" w:sz="0" w:space="0" w:color="auto"/>
                                                <w:right w:val="none" w:sz="0" w:space="0" w:color="auto"/>
                                              </w:divBdr>
                                              <w:divsChild>
                                                <w:div w:id="1613319999">
                                                  <w:marLeft w:val="0"/>
                                                  <w:marRight w:val="0"/>
                                                  <w:marTop w:val="0"/>
                                                  <w:marBottom w:val="0"/>
                                                  <w:divBdr>
                                                    <w:top w:val="none" w:sz="0" w:space="0" w:color="auto"/>
                                                    <w:left w:val="none" w:sz="0" w:space="0" w:color="auto"/>
                                                    <w:bottom w:val="none" w:sz="0" w:space="0" w:color="auto"/>
                                                    <w:right w:val="none" w:sz="0" w:space="0" w:color="auto"/>
                                                  </w:divBdr>
                                                </w:div>
                                              </w:divsChild>
                                            </w:div>
                                            <w:div w:id="982733668">
                                              <w:marLeft w:val="0"/>
                                              <w:marRight w:val="0"/>
                                              <w:marTop w:val="0"/>
                                              <w:marBottom w:val="0"/>
                                              <w:divBdr>
                                                <w:top w:val="none" w:sz="0" w:space="0" w:color="auto"/>
                                                <w:left w:val="none" w:sz="0" w:space="0" w:color="auto"/>
                                                <w:bottom w:val="none" w:sz="0" w:space="0" w:color="auto"/>
                                                <w:right w:val="none" w:sz="0" w:space="0" w:color="auto"/>
                                              </w:divBdr>
                                              <w:divsChild>
                                                <w:div w:id="3436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4844">
                                          <w:marLeft w:val="0"/>
                                          <w:marRight w:val="0"/>
                                          <w:marTop w:val="0"/>
                                          <w:marBottom w:val="0"/>
                                          <w:divBdr>
                                            <w:top w:val="none" w:sz="0" w:space="0" w:color="auto"/>
                                            <w:left w:val="none" w:sz="0" w:space="0" w:color="auto"/>
                                            <w:bottom w:val="none" w:sz="0" w:space="0" w:color="auto"/>
                                            <w:right w:val="none" w:sz="0" w:space="0" w:color="auto"/>
                                          </w:divBdr>
                                          <w:divsChild>
                                            <w:div w:id="410660834">
                                              <w:marLeft w:val="0"/>
                                              <w:marRight w:val="0"/>
                                              <w:marTop w:val="0"/>
                                              <w:marBottom w:val="0"/>
                                              <w:divBdr>
                                                <w:top w:val="none" w:sz="0" w:space="0" w:color="auto"/>
                                                <w:left w:val="none" w:sz="0" w:space="0" w:color="auto"/>
                                                <w:bottom w:val="none" w:sz="0" w:space="0" w:color="auto"/>
                                                <w:right w:val="none" w:sz="0" w:space="0" w:color="auto"/>
                                              </w:divBdr>
                                              <w:divsChild>
                                                <w:div w:id="1419251610">
                                                  <w:marLeft w:val="0"/>
                                                  <w:marRight w:val="0"/>
                                                  <w:marTop w:val="0"/>
                                                  <w:marBottom w:val="0"/>
                                                  <w:divBdr>
                                                    <w:top w:val="none" w:sz="0" w:space="0" w:color="auto"/>
                                                    <w:left w:val="none" w:sz="0" w:space="0" w:color="auto"/>
                                                    <w:bottom w:val="none" w:sz="0" w:space="0" w:color="auto"/>
                                                    <w:right w:val="none" w:sz="0" w:space="0" w:color="auto"/>
                                                  </w:divBdr>
                                                </w:div>
                                              </w:divsChild>
                                            </w:div>
                                            <w:div w:id="1935895026">
                                              <w:marLeft w:val="0"/>
                                              <w:marRight w:val="0"/>
                                              <w:marTop w:val="0"/>
                                              <w:marBottom w:val="0"/>
                                              <w:divBdr>
                                                <w:top w:val="none" w:sz="0" w:space="0" w:color="auto"/>
                                                <w:left w:val="none" w:sz="0" w:space="0" w:color="auto"/>
                                                <w:bottom w:val="none" w:sz="0" w:space="0" w:color="auto"/>
                                                <w:right w:val="none" w:sz="0" w:space="0" w:color="auto"/>
                                              </w:divBdr>
                                              <w:divsChild>
                                                <w:div w:id="85198671">
                                                  <w:marLeft w:val="0"/>
                                                  <w:marRight w:val="0"/>
                                                  <w:marTop w:val="0"/>
                                                  <w:marBottom w:val="0"/>
                                                  <w:divBdr>
                                                    <w:top w:val="none" w:sz="0" w:space="0" w:color="auto"/>
                                                    <w:left w:val="none" w:sz="0" w:space="0" w:color="auto"/>
                                                    <w:bottom w:val="none" w:sz="0" w:space="0" w:color="auto"/>
                                                    <w:right w:val="none" w:sz="0" w:space="0" w:color="auto"/>
                                                  </w:divBdr>
                                                </w:div>
                                              </w:divsChild>
                                            </w:div>
                                            <w:div w:id="1853105174">
                                              <w:marLeft w:val="0"/>
                                              <w:marRight w:val="0"/>
                                              <w:marTop w:val="0"/>
                                              <w:marBottom w:val="0"/>
                                              <w:divBdr>
                                                <w:top w:val="none" w:sz="0" w:space="0" w:color="auto"/>
                                                <w:left w:val="none" w:sz="0" w:space="0" w:color="auto"/>
                                                <w:bottom w:val="none" w:sz="0" w:space="0" w:color="auto"/>
                                                <w:right w:val="none" w:sz="0" w:space="0" w:color="auto"/>
                                              </w:divBdr>
                                              <w:divsChild>
                                                <w:div w:id="35783036">
                                                  <w:marLeft w:val="0"/>
                                                  <w:marRight w:val="0"/>
                                                  <w:marTop w:val="0"/>
                                                  <w:marBottom w:val="0"/>
                                                  <w:divBdr>
                                                    <w:top w:val="none" w:sz="0" w:space="0" w:color="auto"/>
                                                    <w:left w:val="none" w:sz="0" w:space="0" w:color="auto"/>
                                                    <w:bottom w:val="none" w:sz="0" w:space="0" w:color="auto"/>
                                                    <w:right w:val="none" w:sz="0" w:space="0" w:color="auto"/>
                                                  </w:divBdr>
                                                </w:div>
                                              </w:divsChild>
                                            </w:div>
                                            <w:div w:id="1170490632">
                                              <w:marLeft w:val="0"/>
                                              <w:marRight w:val="0"/>
                                              <w:marTop w:val="0"/>
                                              <w:marBottom w:val="0"/>
                                              <w:divBdr>
                                                <w:top w:val="none" w:sz="0" w:space="0" w:color="auto"/>
                                                <w:left w:val="none" w:sz="0" w:space="0" w:color="auto"/>
                                                <w:bottom w:val="none" w:sz="0" w:space="0" w:color="auto"/>
                                                <w:right w:val="none" w:sz="0" w:space="0" w:color="auto"/>
                                              </w:divBdr>
                                              <w:divsChild>
                                                <w:div w:id="1862282552">
                                                  <w:marLeft w:val="0"/>
                                                  <w:marRight w:val="0"/>
                                                  <w:marTop w:val="0"/>
                                                  <w:marBottom w:val="0"/>
                                                  <w:divBdr>
                                                    <w:top w:val="none" w:sz="0" w:space="0" w:color="auto"/>
                                                    <w:left w:val="none" w:sz="0" w:space="0" w:color="auto"/>
                                                    <w:bottom w:val="none" w:sz="0" w:space="0" w:color="auto"/>
                                                    <w:right w:val="none" w:sz="0" w:space="0" w:color="auto"/>
                                                  </w:divBdr>
                                                </w:div>
                                              </w:divsChild>
                                            </w:div>
                                            <w:div w:id="260846206">
                                              <w:marLeft w:val="0"/>
                                              <w:marRight w:val="0"/>
                                              <w:marTop w:val="0"/>
                                              <w:marBottom w:val="0"/>
                                              <w:divBdr>
                                                <w:top w:val="none" w:sz="0" w:space="0" w:color="auto"/>
                                                <w:left w:val="none" w:sz="0" w:space="0" w:color="auto"/>
                                                <w:bottom w:val="none" w:sz="0" w:space="0" w:color="auto"/>
                                                <w:right w:val="none" w:sz="0" w:space="0" w:color="auto"/>
                                              </w:divBdr>
                                              <w:divsChild>
                                                <w:div w:id="1776517106">
                                                  <w:marLeft w:val="0"/>
                                                  <w:marRight w:val="0"/>
                                                  <w:marTop w:val="0"/>
                                                  <w:marBottom w:val="0"/>
                                                  <w:divBdr>
                                                    <w:top w:val="none" w:sz="0" w:space="0" w:color="auto"/>
                                                    <w:left w:val="none" w:sz="0" w:space="0" w:color="auto"/>
                                                    <w:bottom w:val="none" w:sz="0" w:space="0" w:color="auto"/>
                                                    <w:right w:val="none" w:sz="0" w:space="0" w:color="auto"/>
                                                  </w:divBdr>
                                                </w:div>
                                              </w:divsChild>
                                            </w:div>
                                            <w:div w:id="1741976916">
                                              <w:marLeft w:val="0"/>
                                              <w:marRight w:val="0"/>
                                              <w:marTop w:val="0"/>
                                              <w:marBottom w:val="0"/>
                                              <w:divBdr>
                                                <w:top w:val="none" w:sz="0" w:space="0" w:color="auto"/>
                                                <w:left w:val="none" w:sz="0" w:space="0" w:color="auto"/>
                                                <w:bottom w:val="none" w:sz="0" w:space="0" w:color="auto"/>
                                                <w:right w:val="none" w:sz="0" w:space="0" w:color="auto"/>
                                              </w:divBdr>
                                              <w:divsChild>
                                                <w:div w:id="6234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2879607">
      <w:bodyDiv w:val="1"/>
      <w:marLeft w:val="0"/>
      <w:marRight w:val="0"/>
      <w:marTop w:val="0"/>
      <w:marBottom w:val="0"/>
      <w:divBdr>
        <w:top w:val="none" w:sz="0" w:space="0" w:color="auto"/>
        <w:left w:val="none" w:sz="0" w:space="0" w:color="auto"/>
        <w:bottom w:val="none" w:sz="0" w:space="0" w:color="auto"/>
        <w:right w:val="none" w:sz="0" w:space="0" w:color="auto"/>
      </w:divBdr>
      <w:divsChild>
        <w:div w:id="1668945919">
          <w:marLeft w:val="0"/>
          <w:marRight w:val="0"/>
          <w:marTop w:val="0"/>
          <w:marBottom w:val="0"/>
          <w:divBdr>
            <w:top w:val="none" w:sz="0" w:space="0" w:color="auto"/>
            <w:left w:val="none" w:sz="0" w:space="0" w:color="auto"/>
            <w:bottom w:val="none" w:sz="0" w:space="0" w:color="auto"/>
            <w:right w:val="none" w:sz="0" w:space="0" w:color="auto"/>
          </w:divBdr>
        </w:div>
        <w:div w:id="744035532">
          <w:marLeft w:val="0"/>
          <w:marRight w:val="0"/>
          <w:marTop w:val="0"/>
          <w:marBottom w:val="0"/>
          <w:divBdr>
            <w:top w:val="none" w:sz="0" w:space="0" w:color="auto"/>
            <w:left w:val="none" w:sz="0" w:space="0" w:color="auto"/>
            <w:bottom w:val="none" w:sz="0" w:space="0" w:color="auto"/>
            <w:right w:val="none" w:sz="0" w:space="0" w:color="auto"/>
          </w:divBdr>
          <w:divsChild>
            <w:div w:id="13490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3686">
      <w:bodyDiv w:val="1"/>
      <w:marLeft w:val="0"/>
      <w:marRight w:val="0"/>
      <w:marTop w:val="0"/>
      <w:marBottom w:val="0"/>
      <w:divBdr>
        <w:top w:val="none" w:sz="0" w:space="0" w:color="auto"/>
        <w:left w:val="none" w:sz="0" w:space="0" w:color="auto"/>
        <w:bottom w:val="none" w:sz="0" w:space="0" w:color="auto"/>
        <w:right w:val="none" w:sz="0" w:space="0" w:color="auto"/>
      </w:divBdr>
      <w:divsChild>
        <w:div w:id="770010650">
          <w:marLeft w:val="0"/>
          <w:marRight w:val="0"/>
          <w:marTop w:val="0"/>
          <w:marBottom w:val="100"/>
          <w:divBdr>
            <w:top w:val="none" w:sz="0" w:space="0" w:color="auto"/>
            <w:left w:val="none" w:sz="0" w:space="0" w:color="auto"/>
            <w:bottom w:val="none" w:sz="0" w:space="0" w:color="auto"/>
            <w:right w:val="none" w:sz="0" w:space="0" w:color="auto"/>
          </w:divBdr>
        </w:div>
        <w:div w:id="86079419">
          <w:marLeft w:val="0"/>
          <w:marRight w:val="0"/>
          <w:marTop w:val="0"/>
          <w:marBottom w:val="0"/>
          <w:divBdr>
            <w:top w:val="none" w:sz="0" w:space="0" w:color="auto"/>
            <w:left w:val="none" w:sz="0" w:space="0" w:color="auto"/>
            <w:bottom w:val="none" w:sz="0" w:space="0" w:color="auto"/>
            <w:right w:val="none" w:sz="0" w:space="0" w:color="auto"/>
          </w:divBdr>
        </w:div>
      </w:divsChild>
    </w:div>
    <w:div w:id="1604996257">
      <w:bodyDiv w:val="1"/>
      <w:marLeft w:val="0"/>
      <w:marRight w:val="0"/>
      <w:marTop w:val="0"/>
      <w:marBottom w:val="0"/>
      <w:divBdr>
        <w:top w:val="none" w:sz="0" w:space="0" w:color="auto"/>
        <w:left w:val="none" w:sz="0" w:space="0" w:color="auto"/>
        <w:bottom w:val="none" w:sz="0" w:space="0" w:color="auto"/>
        <w:right w:val="none" w:sz="0" w:space="0" w:color="auto"/>
      </w:divBdr>
    </w:div>
    <w:div w:id="1605335793">
      <w:bodyDiv w:val="1"/>
      <w:marLeft w:val="0"/>
      <w:marRight w:val="0"/>
      <w:marTop w:val="0"/>
      <w:marBottom w:val="0"/>
      <w:divBdr>
        <w:top w:val="none" w:sz="0" w:space="0" w:color="auto"/>
        <w:left w:val="none" w:sz="0" w:space="0" w:color="auto"/>
        <w:bottom w:val="none" w:sz="0" w:space="0" w:color="auto"/>
        <w:right w:val="none" w:sz="0" w:space="0" w:color="auto"/>
      </w:divBdr>
      <w:divsChild>
        <w:div w:id="1468887924">
          <w:marLeft w:val="0"/>
          <w:marRight w:val="0"/>
          <w:marTop w:val="0"/>
          <w:marBottom w:val="0"/>
          <w:divBdr>
            <w:top w:val="none" w:sz="0" w:space="0" w:color="auto"/>
            <w:left w:val="none" w:sz="0" w:space="0" w:color="auto"/>
            <w:bottom w:val="none" w:sz="0" w:space="0" w:color="auto"/>
            <w:right w:val="none" w:sz="0" w:space="0" w:color="auto"/>
          </w:divBdr>
          <w:divsChild>
            <w:div w:id="581717360">
              <w:marLeft w:val="0"/>
              <w:marRight w:val="0"/>
              <w:marTop w:val="150"/>
              <w:marBottom w:val="0"/>
              <w:divBdr>
                <w:top w:val="none" w:sz="0" w:space="0" w:color="auto"/>
                <w:left w:val="none" w:sz="0" w:space="0" w:color="auto"/>
                <w:bottom w:val="none" w:sz="0" w:space="0" w:color="auto"/>
                <w:right w:val="none" w:sz="0" w:space="0" w:color="auto"/>
              </w:divBdr>
              <w:divsChild>
                <w:div w:id="1026835104">
                  <w:marLeft w:val="0"/>
                  <w:marRight w:val="0"/>
                  <w:marTop w:val="0"/>
                  <w:marBottom w:val="0"/>
                  <w:divBdr>
                    <w:top w:val="none" w:sz="0" w:space="0" w:color="auto"/>
                    <w:left w:val="none" w:sz="0" w:space="0" w:color="auto"/>
                    <w:bottom w:val="none" w:sz="0" w:space="0" w:color="auto"/>
                    <w:right w:val="none" w:sz="0" w:space="0" w:color="auto"/>
                  </w:divBdr>
                  <w:divsChild>
                    <w:div w:id="1578705794">
                      <w:marLeft w:val="0"/>
                      <w:marRight w:val="0"/>
                      <w:marTop w:val="0"/>
                      <w:marBottom w:val="0"/>
                      <w:divBdr>
                        <w:top w:val="none" w:sz="0" w:space="0" w:color="auto"/>
                        <w:left w:val="none" w:sz="0" w:space="0" w:color="auto"/>
                        <w:bottom w:val="none" w:sz="0" w:space="0" w:color="auto"/>
                        <w:right w:val="none" w:sz="0" w:space="0" w:color="auto"/>
                      </w:divBdr>
                      <w:divsChild>
                        <w:div w:id="21357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452781">
      <w:bodyDiv w:val="1"/>
      <w:marLeft w:val="0"/>
      <w:marRight w:val="0"/>
      <w:marTop w:val="0"/>
      <w:marBottom w:val="0"/>
      <w:divBdr>
        <w:top w:val="none" w:sz="0" w:space="0" w:color="auto"/>
        <w:left w:val="none" w:sz="0" w:space="0" w:color="auto"/>
        <w:bottom w:val="none" w:sz="0" w:space="0" w:color="auto"/>
        <w:right w:val="none" w:sz="0" w:space="0" w:color="auto"/>
      </w:divBdr>
      <w:divsChild>
        <w:div w:id="2033721102">
          <w:marLeft w:val="0"/>
          <w:marRight w:val="0"/>
          <w:marTop w:val="0"/>
          <w:marBottom w:val="0"/>
          <w:divBdr>
            <w:top w:val="none" w:sz="0" w:space="0" w:color="auto"/>
            <w:left w:val="none" w:sz="0" w:space="0" w:color="auto"/>
            <w:bottom w:val="none" w:sz="0" w:space="0" w:color="auto"/>
            <w:right w:val="none" w:sz="0" w:space="0" w:color="auto"/>
          </w:divBdr>
          <w:divsChild>
            <w:div w:id="437022954">
              <w:marLeft w:val="0"/>
              <w:marRight w:val="0"/>
              <w:marTop w:val="0"/>
              <w:marBottom w:val="0"/>
              <w:divBdr>
                <w:top w:val="none" w:sz="0" w:space="0" w:color="auto"/>
                <w:left w:val="none" w:sz="0" w:space="0" w:color="auto"/>
                <w:bottom w:val="none" w:sz="0" w:space="0" w:color="auto"/>
                <w:right w:val="none" w:sz="0" w:space="0" w:color="auto"/>
              </w:divBdr>
              <w:divsChild>
                <w:div w:id="1118376178">
                  <w:marLeft w:val="0"/>
                  <w:marRight w:val="0"/>
                  <w:marTop w:val="100"/>
                  <w:marBottom w:val="100"/>
                  <w:divBdr>
                    <w:top w:val="none" w:sz="0" w:space="0" w:color="auto"/>
                    <w:left w:val="none" w:sz="0" w:space="0" w:color="auto"/>
                    <w:bottom w:val="none" w:sz="0" w:space="0" w:color="auto"/>
                    <w:right w:val="none" w:sz="0" w:space="0" w:color="auto"/>
                  </w:divBdr>
                  <w:divsChild>
                    <w:div w:id="1882521612">
                      <w:marLeft w:val="0"/>
                      <w:marRight w:val="0"/>
                      <w:marTop w:val="0"/>
                      <w:marBottom w:val="0"/>
                      <w:divBdr>
                        <w:top w:val="none" w:sz="0" w:space="0" w:color="auto"/>
                        <w:left w:val="none" w:sz="0" w:space="0" w:color="auto"/>
                        <w:bottom w:val="none" w:sz="0" w:space="0" w:color="auto"/>
                        <w:right w:val="none" w:sz="0" w:space="0" w:color="auto"/>
                      </w:divBdr>
                      <w:divsChild>
                        <w:div w:id="1637645120">
                          <w:marLeft w:val="0"/>
                          <w:marRight w:val="0"/>
                          <w:marTop w:val="0"/>
                          <w:marBottom w:val="0"/>
                          <w:divBdr>
                            <w:top w:val="none" w:sz="0" w:space="0" w:color="auto"/>
                            <w:left w:val="none" w:sz="0" w:space="0" w:color="auto"/>
                            <w:bottom w:val="none" w:sz="0" w:space="0" w:color="auto"/>
                            <w:right w:val="none" w:sz="0" w:space="0" w:color="auto"/>
                          </w:divBdr>
                          <w:divsChild>
                            <w:div w:id="1300528126">
                              <w:marLeft w:val="0"/>
                              <w:marRight w:val="0"/>
                              <w:marTop w:val="0"/>
                              <w:marBottom w:val="0"/>
                              <w:divBdr>
                                <w:top w:val="none" w:sz="0" w:space="0" w:color="auto"/>
                                <w:left w:val="none" w:sz="0" w:space="0" w:color="auto"/>
                                <w:bottom w:val="none" w:sz="0" w:space="0" w:color="auto"/>
                                <w:right w:val="none" w:sz="0" w:space="0" w:color="auto"/>
                              </w:divBdr>
                              <w:divsChild>
                                <w:div w:id="184754637">
                                  <w:marLeft w:val="0"/>
                                  <w:marRight w:val="0"/>
                                  <w:marTop w:val="0"/>
                                  <w:marBottom w:val="0"/>
                                  <w:divBdr>
                                    <w:top w:val="none" w:sz="0" w:space="0" w:color="auto"/>
                                    <w:left w:val="none" w:sz="0" w:space="0" w:color="auto"/>
                                    <w:bottom w:val="none" w:sz="0" w:space="0" w:color="auto"/>
                                    <w:right w:val="none" w:sz="0" w:space="0" w:color="auto"/>
                                  </w:divBdr>
                                  <w:divsChild>
                                    <w:div w:id="544413331">
                                      <w:marLeft w:val="0"/>
                                      <w:marRight w:val="0"/>
                                      <w:marTop w:val="0"/>
                                      <w:marBottom w:val="0"/>
                                      <w:divBdr>
                                        <w:top w:val="none" w:sz="0" w:space="0" w:color="auto"/>
                                        <w:left w:val="none" w:sz="0" w:space="0" w:color="auto"/>
                                        <w:bottom w:val="none" w:sz="0" w:space="0" w:color="auto"/>
                                        <w:right w:val="none" w:sz="0" w:space="0" w:color="auto"/>
                                      </w:divBdr>
                                      <w:divsChild>
                                        <w:div w:id="123356105">
                                          <w:marLeft w:val="0"/>
                                          <w:marRight w:val="0"/>
                                          <w:marTop w:val="0"/>
                                          <w:marBottom w:val="0"/>
                                          <w:divBdr>
                                            <w:top w:val="none" w:sz="0" w:space="0" w:color="auto"/>
                                            <w:left w:val="none" w:sz="0" w:space="0" w:color="auto"/>
                                            <w:bottom w:val="none" w:sz="0" w:space="0" w:color="auto"/>
                                            <w:right w:val="none" w:sz="0" w:space="0" w:color="auto"/>
                                          </w:divBdr>
                                          <w:divsChild>
                                            <w:div w:id="1292589706">
                                              <w:marLeft w:val="0"/>
                                              <w:marRight w:val="0"/>
                                              <w:marTop w:val="0"/>
                                              <w:marBottom w:val="0"/>
                                              <w:divBdr>
                                                <w:top w:val="single" w:sz="6" w:space="0" w:color="B6D444"/>
                                                <w:left w:val="none" w:sz="0" w:space="0" w:color="auto"/>
                                                <w:bottom w:val="none" w:sz="0" w:space="0" w:color="auto"/>
                                                <w:right w:val="none" w:sz="0" w:space="0" w:color="auto"/>
                                              </w:divBdr>
                                              <w:divsChild>
                                                <w:div w:id="8245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343584">
      <w:bodyDiv w:val="1"/>
      <w:marLeft w:val="0"/>
      <w:marRight w:val="0"/>
      <w:marTop w:val="0"/>
      <w:marBottom w:val="0"/>
      <w:divBdr>
        <w:top w:val="none" w:sz="0" w:space="0" w:color="auto"/>
        <w:left w:val="none" w:sz="0" w:space="0" w:color="auto"/>
        <w:bottom w:val="none" w:sz="0" w:space="0" w:color="auto"/>
        <w:right w:val="none" w:sz="0" w:space="0" w:color="auto"/>
      </w:divBdr>
    </w:div>
    <w:div w:id="1607889413">
      <w:bodyDiv w:val="1"/>
      <w:marLeft w:val="0"/>
      <w:marRight w:val="0"/>
      <w:marTop w:val="0"/>
      <w:marBottom w:val="0"/>
      <w:divBdr>
        <w:top w:val="none" w:sz="0" w:space="0" w:color="auto"/>
        <w:left w:val="none" w:sz="0" w:space="0" w:color="auto"/>
        <w:bottom w:val="none" w:sz="0" w:space="0" w:color="auto"/>
        <w:right w:val="none" w:sz="0" w:space="0" w:color="auto"/>
      </w:divBdr>
    </w:div>
    <w:div w:id="1608344525">
      <w:bodyDiv w:val="1"/>
      <w:marLeft w:val="0"/>
      <w:marRight w:val="0"/>
      <w:marTop w:val="0"/>
      <w:marBottom w:val="0"/>
      <w:divBdr>
        <w:top w:val="none" w:sz="0" w:space="0" w:color="auto"/>
        <w:left w:val="none" w:sz="0" w:space="0" w:color="auto"/>
        <w:bottom w:val="none" w:sz="0" w:space="0" w:color="auto"/>
        <w:right w:val="none" w:sz="0" w:space="0" w:color="auto"/>
      </w:divBdr>
      <w:divsChild>
        <w:div w:id="1429085515">
          <w:marLeft w:val="0"/>
          <w:marRight w:val="0"/>
          <w:marTop w:val="0"/>
          <w:marBottom w:val="0"/>
          <w:divBdr>
            <w:top w:val="none" w:sz="0" w:space="0" w:color="auto"/>
            <w:left w:val="none" w:sz="0" w:space="0" w:color="auto"/>
            <w:bottom w:val="none" w:sz="0" w:space="0" w:color="auto"/>
            <w:right w:val="none" w:sz="0" w:space="0" w:color="auto"/>
          </w:divBdr>
          <w:divsChild>
            <w:div w:id="741610297">
              <w:marLeft w:val="0"/>
              <w:marRight w:val="0"/>
              <w:marTop w:val="0"/>
              <w:marBottom w:val="0"/>
              <w:divBdr>
                <w:top w:val="none" w:sz="0" w:space="0" w:color="auto"/>
                <w:left w:val="none" w:sz="0" w:space="0" w:color="auto"/>
                <w:bottom w:val="none" w:sz="0" w:space="0" w:color="auto"/>
                <w:right w:val="none" w:sz="0" w:space="0" w:color="auto"/>
              </w:divBdr>
              <w:divsChild>
                <w:div w:id="1625579628">
                  <w:marLeft w:val="0"/>
                  <w:marRight w:val="0"/>
                  <w:marTop w:val="0"/>
                  <w:marBottom w:val="0"/>
                  <w:divBdr>
                    <w:top w:val="none" w:sz="0" w:space="0" w:color="auto"/>
                    <w:left w:val="none" w:sz="0" w:space="0" w:color="auto"/>
                    <w:bottom w:val="none" w:sz="0" w:space="0" w:color="auto"/>
                    <w:right w:val="none" w:sz="0" w:space="0" w:color="auto"/>
                  </w:divBdr>
                </w:div>
              </w:divsChild>
            </w:div>
            <w:div w:id="740954462">
              <w:marLeft w:val="0"/>
              <w:marRight w:val="0"/>
              <w:marTop w:val="0"/>
              <w:marBottom w:val="0"/>
              <w:divBdr>
                <w:top w:val="none" w:sz="0" w:space="0" w:color="auto"/>
                <w:left w:val="none" w:sz="0" w:space="0" w:color="auto"/>
                <w:bottom w:val="none" w:sz="0" w:space="0" w:color="auto"/>
                <w:right w:val="none" w:sz="0" w:space="0" w:color="auto"/>
              </w:divBdr>
              <w:divsChild>
                <w:div w:id="89786117">
                  <w:marLeft w:val="0"/>
                  <w:marRight w:val="0"/>
                  <w:marTop w:val="0"/>
                  <w:marBottom w:val="0"/>
                  <w:divBdr>
                    <w:top w:val="none" w:sz="0" w:space="0" w:color="auto"/>
                    <w:left w:val="none" w:sz="0" w:space="0" w:color="auto"/>
                    <w:bottom w:val="none" w:sz="0" w:space="0" w:color="auto"/>
                    <w:right w:val="none" w:sz="0" w:space="0" w:color="auto"/>
                  </w:divBdr>
                </w:div>
                <w:div w:id="1980720206">
                  <w:marLeft w:val="0"/>
                  <w:marRight w:val="0"/>
                  <w:marTop w:val="0"/>
                  <w:marBottom w:val="0"/>
                  <w:divBdr>
                    <w:top w:val="none" w:sz="0" w:space="0" w:color="auto"/>
                    <w:left w:val="none" w:sz="0" w:space="0" w:color="auto"/>
                    <w:bottom w:val="none" w:sz="0" w:space="0" w:color="auto"/>
                    <w:right w:val="none" w:sz="0" w:space="0" w:color="auto"/>
                  </w:divBdr>
                  <w:divsChild>
                    <w:div w:id="698361418">
                      <w:marLeft w:val="0"/>
                      <w:marRight w:val="0"/>
                      <w:marTop w:val="0"/>
                      <w:marBottom w:val="0"/>
                      <w:divBdr>
                        <w:top w:val="none" w:sz="0" w:space="0" w:color="auto"/>
                        <w:left w:val="none" w:sz="0" w:space="0" w:color="auto"/>
                        <w:bottom w:val="none" w:sz="0" w:space="0" w:color="auto"/>
                        <w:right w:val="none" w:sz="0" w:space="0" w:color="auto"/>
                      </w:divBdr>
                      <w:divsChild>
                        <w:div w:id="1005205602">
                          <w:marLeft w:val="0"/>
                          <w:marRight w:val="0"/>
                          <w:marTop w:val="0"/>
                          <w:marBottom w:val="0"/>
                          <w:divBdr>
                            <w:top w:val="none" w:sz="0" w:space="0" w:color="auto"/>
                            <w:left w:val="none" w:sz="0" w:space="0" w:color="auto"/>
                            <w:bottom w:val="none" w:sz="0" w:space="0" w:color="auto"/>
                            <w:right w:val="none" w:sz="0" w:space="0" w:color="auto"/>
                          </w:divBdr>
                        </w:div>
                        <w:div w:id="923680980">
                          <w:marLeft w:val="0"/>
                          <w:marRight w:val="0"/>
                          <w:marTop w:val="0"/>
                          <w:marBottom w:val="0"/>
                          <w:divBdr>
                            <w:top w:val="none" w:sz="0" w:space="0" w:color="auto"/>
                            <w:left w:val="none" w:sz="0" w:space="0" w:color="auto"/>
                            <w:bottom w:val="none" w:sz="0" w:space="0" w:color="auto"/>
                            <w:right w:val="none" w:sz="0" w:space="0" w:color="auto"/>
                          </w:divBdr>
                          <w:divsChild>
                            <w:div w:id="198317586">
                              <w:marLeft w:val="0"/>
                              <w:marRight w:val="0"/>
                              <w:marTop w:val="0"/>
                              <w:marBottom w:val="0"/>
                              <w:divBdr>
                                <w:top w:val="none" w:sz="0" w:space="0" w:color="auto"/>
                                <w:left w:val="none" w:sz="0" w:space="0" w:color="auto"/>
                                <w:bottom w:val="none" w:sz="0" w:space="0" w:color="auto"/>
                                <w:right w:val="none" w:sz="0" w:space="0" w:color="auto"/>
                              </w:divBdr>
                              <w:divsChild>
                                <w:div w:id="1089540127">
                                  <w:marLeft w:val="0"/>
                                  <w:marRight w:val="0"/>
                                  <w:marTop w:val="0"/>
                                  <w:marBottom w:val="0"/>
                                  <w:divBdr>
                                    <w:top w:val="none" w:sz="0" w:space="0" w:color="auto"/>
                                    <w:left w:val="none" w:sz="0" w:space="0" w:color="auto"/>
                                    <w:bottom w:val="none" w:sz="0" w:space="0" w:color="auto"/>
                                    <w:right w:val="none" w:sz="0" w:space="0" w:color="auto"/>
                                  </w:divBdr>
                                  <w:divsChild>
                                    <w:div w:id="765883912">
                                      <w:marLeft w:val="0"/>
                                      <w:marRight w:val="0"/>
                                      <w:marTop w:val="0"/>
                                      <w:marBottom w:val="0"/>
                                      <w:divBdr>
                                        <w:top w:val="none" w:sz="0" w:space="0" w:color="auto"/>
                                        <w:left w:val="none" w:sz="0" w:space="0" w:color="auto"/>
                                        <w:bottom w:val="none" w:sz="0" w:space="0" w:color="auto"/>
                                        <w:right w:val="none" w:sz="0" w:space="0" w:color="auto"/>
                                      </w:divBdr>
                                      <w:divsChild>
                                        <w:div w:id="1763380579">
                                          <w:marLeft w:val="0"/>
                                          <w:marRight w:val="0"/>
                                          <w:marTop w:val="0"/>
                                          <w:marBottom w:val="0"/>
                                          <w:divBdr>
                                            <w:top w:val="none" w:sz="0" w:space="0" w:color="auto"/>
                                            <w:left w:val="none" w:sz="0" w:space="0" w:color="auto"/>
                                            <w:bottom w:val="none" w:sz="0" w:space="0" w:color="auto"/>
                                            <w:right w:val="none" w:sz="0" w:space="0" w:color="auto"/>
                                          </w:divBdr>
                                          <w:divsChild>
                                            <w:div w:id="439644594">
                                              <w:marLeft w:val="0"/>
                                              <w:marRight w:val="0"/>
                                              <w:marTop w:val="0"/>
                                              <w:marBottom w:val="0"/>
                                              <w:divBdr>
                                                <w:top w:val="none" w:sz="0" w:space="0" w:color="auto"/>
                                                <w:left w:val="none" w:sz="0" w:space="0" w:color="auto"/>
                                                <w:bottom w:val="none" w:sz="0" w:space="0" w:color="auto"/>
                                                <w:right w:val="none" w:sz="0" w:space="0" w:color="auto"/>
                                              </w:divBdr>
                                              <w:divsChild>
                                                <w:div w:id="761607836">
                                                  <w:marLeft w:val="0"/>
                                                  <w:marRight w:val="0"/>
                                                  <w:marTop w:val="0"/>
                                                  <w:marBottom w:val="0"/>
                                                  <w:divBdr>
                                                    <w:top w:val="none" w:sz="0" w:space="0" w:color="auto"/>
                                                    <w:left w:val="none" w:sz="0" w:space="0" w:color="auto"/>
                                                    <w:bottom w:val="none" w:sz="0" w:space="0" w:color="auto"/>
                                                    <w:right w:val="none" w:sz="0" w:space="0" w:color="auto"/>
                                                  </w:divBdr>
                                                  <w:divsChild>
                                                    <w:div w:id="793792853">
                                                      <w:marLeft w:val="0"/>
                                                      <w:marRight w:val="0"/>
                                                      <w:marTop w:val="0"/>
                                                      <w:marBottom w:val="0"/>
                                                      <w:divBdr>
                                                        <w:top w:val="none" w:sz="0" w:space="0" w:color="auto"/>
                                                        <w:left w:val="none" w:sz="0" w:space="0" w:color="auto"/>
                                                        <w:bottom w:val="none" w:sz="0" w:space="0" w:color="auto"/>
                                                        <w:right w:val="none" w:sz="0" w:space="0" w:color="auto"/>
                                                      </w:divBdr>
                                                    </w:div>
                                                    <w:div w:id="735397810">
                                                      <w:marLeft w:val="0"/>
                                                      <w:marRight w:val="0"/>
                                                      <w:marTop w:val="0"/>
                                                      <w:marBottom w:val="0"/>
                                                      <w:divBdr>
                                                        <w:top w:val="none" w:sz="0" w:space="0" w:color="auto"/>
                                                        <w:left w:val="none" w:sz="0" w:space="0" w:color="auto"/>
                                                        <w:bottom w:val="none" w:sz="0" w:space="0" w:color="auto"/>
                                                        <w:right w:val="none" w:sz="0" w:space="0" w:color="auto"/>
                                                      </w:divBdr>
                                                      <w:divsChild>
                                                        <w:div w:id="1521625469">
                                                          <w:marLeft w:val="0"/>
                                                          <w:marRight w:val="0"/>
                                                          <w:marTop w:val="0"/>
                                                          <w:marBottom w:val="0"/>
                                                          <w:divBdr>
                                                            <w:top w:val="none" w:sz="0" w:space="0" w:color="auto"/>
                                                            <w:left w:val="none" w:sz="0" w:space="0" w:color="auto"/>
                                                            <w:bottom w:val="none" w:sz="0" w:space="0" w:color="auto"/>
                                                            <w:right w:val="none" w:sz="0" w:space="0" w:color="auto"/>
                                                          </w:divBdr>
                                                        </w:div>
                                                      </w:divsChild>
                                                    </w:div>
                                                    <w:div w:id="753743683">
                                                      <w:marLeft w:val="0"/>
                                                      <w:marRight w:val="0"/>
                                                      <w:marTop w:val="0"/>
                                                      <w:marBottom w:val="0"/>
                                                      <w:divBdr>
                                                        <w:top w:val="none" w:sz="0" w:space="0" w:color="auto"/>
                                                        <w:left w:val="none" w:sz="0" w:space="0" w:color="auto"/>
                                                        <w:bottom w:val="none" w:sz="0" w:space="0" w:color="auto"/>
                                                        <w:right w:val="none" w:sz="0" w:space="0" w:color="auto"/>
                                                      </w:divBdr>
                                                      <w:divsChild>
                                                        <w:div w:id="251861018">
                                                          <w:marLeft w:val="0"/>
                                                          <w:marRight w:val="0"/>
                                                          <w:marTop w:val="0"/>
                                                          <w:marBottom w:val="0"/>
                                                          <w:divBdr>
                                                            <w:top w:val="none" w:sz="0" w:space="0" w:color="auto"/>
                                                            <w:left w:val="none" w:sz="0" w:space="0" w:color="auto"/>
                                                            <w:bottom w:val="none" w:sz="0" w:space="0" w:color="auto"/>
                                                            <w:right w:val="none" w:sz="0" w:space="0" w:color="auto"/>
                                                          </w:divBdr>
                                                        </w:div>
                                                      </w:divsChild>
                                                    </w:div>
                                                    <w:div w:id="1078288398">
                                                      <w:marLeft w:val="0"/>
                                                      <w:marRight w:val="0"/>
                                                      <w:marTop w:val="0"/>
                                                      <w:marBottom w:val="0"/>
                                                      <w:divBdr>
                                                        <w:top w:val="none" w:sz="0" w:space="0" w:color="auto"/>
                                                        <w:left w:val="none" w:sz="0" w:space="0" w:color="auto"/>
                                                        <w:bottom w:val="none" w:sz="0" w:space="0" w:color="auto"/>
                                                        <w:right w:val="none" w:sz="0" w:space="0" w:color="auto"/>
                                                      </w:divBdr>
                                                    </w:div>
                                                    <w:div w:id="5496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660533">
      <w:bodyDiv w:val="1"/>
      <w:marLeft w:val="0"/>
      <w:marRight w:val="0"/>
      <w:marTop w:val="0"/>
      <w:marBottom w:val="0"/>
      <w:divBdr>
        <w:top w:val="none" w:sz="0" w:space="0" w:color="auto"/>
        <w:left w:val="none" w:sz="0" w:space="0" w:color="auto"/>
        <w:bottom w:val="none" w:sz="0" w:space="0" w:color="auto"/>
        <w:right w:val="none" w:sz="0" w:space="0" w:color="auto"/>
      </w:divBdr>
      <w:divsChild>
        <w:div w:id="2091001407">
          <w:marLeft w:val="0"/>
          <w:marRight w:val="0"/>
          <w:marTop w:val="0"/>
          <w:marBottom w:val="0"/>
          <w:divBdr>
            <w:top w:val="none" w:sz="0" w:space="0" w:color="auto"/>
            <w:left w:val="none" w:sz="0" w:space="0" w:color="auto"/>
            <w:bottom w:val="none" w:sz="0" w:space="0" w:color="auto"/>
            <w:right w:val="none" w:sz="0" w:space="0" w:color="auto"/>
          </w:divBdr>
          <w:divsChild>
            <w:div w:id="1600915550">
              <w:marLeft w:val="210"/>
              <w:marRight w:val="0"/>
              <w:marTop w:val="0"/>
              <w:marBottom w:val="0"/>
              <w:divBdr>
                <w:top w:val="none" w:sz="0" w:space="0" w:color="auto"/>
                <w:left w:val="none" w:sz="0" w:space="0" w:color="auto"/>
                <w:bottom w:val="none" w:sz="0" w:space="0" w:color="auto"/>
                <w:right w:val="none" w:sz="0" w:space="0" w:color="auto"/>
              </w:divBdr>
              <w:divsChild>
                <w:div w:id="15273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7523">
      <w:bodyDiv w:val="1"/>
      <w:marLeft w:val="0"/>
      <w:marRight w:val="0"/>
      <w:marTop w:val="0"/>
      <w:marBottom w:val="0"/>
      <w:divBdr>
        <w:top w:val="none" w:sz="0" w:space="0" w:color="auto"/>
        <w:left w:val="none" w:sz="0" w:space="0" w:color="auto"/>
        <w:bottom w:val="none" w:sz="0" w:space="0" w:color="auto"/>
        <w:right w:val="none" w:sz="0" w:space="0" w:color="auto"/>
      </w:divBdr>
      <w:divsChild>
        <w:div w:id="1908881127">
          <w:marLeft w:val="0"/>
          <w:marRight w:val="0"/>
          <w:marTop w:val="0"/>
          <w:marBottom w:val="0"/>
          <w:divBdr>
            <w:top w:val="none" w:sz="0" w:space="0" w:color="auto"/>
            <w:left w:val="none" w:sz="0" w:space="0" w:color="auto"/>
            <w:bottom w:val="none" w:sz="0" w:space="0" w:color="auto"/>
            <w:right w:val="none" w:sz="0" w:space="0" w:color="auto"/>
          </w:divBdr>
          <w:divsChild>
            <w:div w:id="739598856">
              <w:marLeft w:val="0"/>
              <w:marRight w:val="0"/>
              <w:marTop w:val="0"/>
              <w:marBottom w:val="0"/>
              <w:divBdr>
                <w:top w:val="none" w:sz="0" w:space="0" w:color="auto"/>
                <w:left w:val="none" w:sz="0" w:space="0" w:color="auto"/>
                <w:bottom w:val="none" w:sz="0" w:space="0" w:color="auto"/>
                <w:right w:val="none" w:sz="0" w:space="0" w:color="auto"/>
              </w:divBdr>
              <w:divsChild>
                <w:div w:id="1303118856">
                  <w:marLeft w:val="0"/>
                  <w:marRight w:val="0"/>
                  <w:marTop w:val="0"/>
                  <w:marBottom w:val="0"/>
                  <w:divBdr>
                    <w:top w:val="none" w:sz="0" w:space="0" w:color="auto"/>
                    <w:left w:val="none" w:sz="0" w:space="0" w:color="auto"/>
                    <w:bottom w:val="none" w:sz="0" w:space="0" w:color="auto"/>
                    <w:right w:val="none" w:sz="0" w:space="0" w:color="auto"/>
                  </w:divBdr>
                  <w:divsChild>
                    <w:div w:id="2104911708">
                      <w:marLeft w:val="0"/>
                      <w:marRight w:val="0"/>
                      <w:marTop w:val="0"/>
                      <w:marBottom w:val="0"/>
                      <w:divBdr>
                        <w:top w:val="none" w:sz="0" w:space="0" w:color="auto"/>
                        <w:left w:val="none" w:sz="0" w:space="0" w:color="auto"/>
                        <w:bottom w:val="none" w:sz="0" w:space="0" w:color="auto"/>
                        <w:right w:val="none" w:sz="0" w:space="0" w:color="auto"/>
                      </w:divBdr>
                      <w:divsChild>
                        <w:div w:id="799033746">
                          <w:marLeft w:val="0"/>
                          <w:marRight w:val="0"/>
                          <w:marTop w:val="0"/>
                          <w:marBottom w:val="0"/>
                          <w:divBdr>
                            <w:top w:val="none" w:sz="0" w:space="0" w:color="auto"/>
                            <w:left w:val="none" w:sz="0" w:space="0" w:color="auto"/>
                            <w:bottom w:val="none" w:sz="0" w:space="0" w:color="auto"/>
                            <w:right w:val="none" w:sz="0" w:space="0" w:color="auto"/>
                          </w:divBdr>
                          <w:divsChild>
                            <w:div w:id="2141724038">
                              <w:marLeft w:val="0"/>
                              <w:marRight w:val="0"/>
                              <w:marTop w:val="0"/>
                              <w:marBottom w:val="0"/>
                              <w:divBdr>
                                <w:top w:val="none" w:sz="0" w:space="0" w:color="auto"/>
                                <w:left w:val="none" w:sz="0" w:space="0" w:color="auto"/>
                                <w:bottom w:val="none" w:sz="0" w:space="0" w:color="auto"/>
                                <w:right w:val="none" w:sz="0" w:space="0" w:color="auto"/>
                              </w:divBdr>
                              <w:divsChild>
                                <w:div w:id="1998530703">
                                  <w:marLeft w:val="0"/>
                                  <w:marRight w:val="0"/>
                                  <w:marTop w:val="0"/>
                                  <w:marBottom w:val="0"/>
                                  <w:divBdr>
                                    <w:top w:val="none" w:sz="0" w:space="0" w:color="auto"/>
                                    <w:left w:val="none" w:sz="0" w:space="0" w:color="auto"/>
                                    <w:bottom w:val="none" w:sz="0" w:space="0" w:color="auto"/>
                                    <w:right w:val="none" w:sz="0" w:space="0" w:color="auto"/>
                                  </w:divBdr>
                                  <w:divsChild>
                                    <w:div w:id="2055809040">
                                      <w:marLeft w:val="0"/>
                                      <w:marRight w:val="0"/>
                                      <w:marTop w:val="0"/>
                                      <w:marBottom w:val="0"/>
                                      <w:divBdr>
                                        <w:top w:val="none" w:sz="0" w:space="0" w:color="auto"/>
                                        <w:left w:val="none" w:sz="0" w:space="0" w:color="auto"/>
                                        <w:bottom w:val="none" w:sz="0" w:space="0" w:color="auto"/>
                                        <w:right w:val="none" w:sz="0" w:space="0" w:color="auto"/>
                                      </w:divBdr>
                                      <w:divsChild>
                                        <w:div w:id="2129080653">
                                          <w:marLeft w:val="0"/>
                                          <w:marRight w:val="0"/>
                                          <w:marTop w:val="0"/>
                                          <w:marBottom w:val="0"/>
                                          <w:divBdr>
                                            <w:top w:val="none" w:sz="0" w:space="0" w:color="auto"/>
                                            <w:left w:val="none" w:sz="0" w:space="0" w:color="auto"/>
                                            <w:bottom w:val="none" w:sz="0" w:space="0" w:color="auto"/>
                                            <w:right w:val="none" w:sz="0" w:space="0" w:color="auto"/>
                                          </w:divBdr>
                                        </w:div>
                                        <w:div w:id="898782144">
                                          <w:marLeft w:val="0"/>
                                          <w:marRight w:val="0"/>
                                          <w:marTop w:val="0"/>
                                          <w:marBottom w:val="0"/>
                                          <w:divBdr>
                                            <w:top w:val="none" w:sz="0" w:space="0" w:color="auto"/>
                                            <w:left w:val="none" w:sz="0" w:space="0" w:color="auto"/>
                                            <w:bottom w:val="none" w:sz="0" w:space="0" w:color="auto"/>
                                            <w:right w:val="none" w:sz="0" w:space="0" w:color="auto"/>
                                          </w:divBdr>
                                          <w:divsChild>
                                            <w:div w:id="6315922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354152">
      <w:bodyDiv w:val="1"/>
      <w:marLeft w:val="0"/>
      <w:marRight w:val="0"/>
      <w:marTop w:val="0"/>
      <w:marBottom w:val="0"/>
      <w:divBdr>
        <w:top w:val="none" w:sz="0" w:space="0" w:color="auto"/>
        <w:left w:val="none" w:sz="0" w:space="0" w:color="auto"/>
        <w:bottom w:val="none" w:sz="0" w:space="0" w:color="auto"/>
        <w:right w:val="none" w:sz="0" w:space="0" w:color="auto"/>
      </w:divBdr>
      <w:divsChild>
        <w:div w:id="1756516323">
          <w:marLeft w:val="0"/>
          <w:marRight w:val="0"/>
          <w:marTop w:val="0"/>
          <w:marBottom w:val="0"/>
          <w:divBdr>
            <w:top w:val="single" w:sz="2" w:space="0" w:color="AAAAAA"/>
            <w:left w:val="single" w:sz="6" w:space="8" w:color="AAAAAA"/>
            <w:bottom w:val="single" w:sz="2" w:space="0" w:color="AAAAAA"/>
            <w:right w:val="single" w:sz="6" w:space="8" w:color="AAAAAA"/>
          </w:divBdr>
          <w:divsChild>
            <w:div w:id="1802383486">
              <w:marLeft w:val="0"/>
              <w:marRight w:val="0"/>
              <w:marTop w:val="0"/>
              <w:marBottom w:val="0"/>
              <w:divBdr>
                <w:top w:val="none" w:sz="0" w:space="0" w:color="auto"/>
                <w:left w:val="none" w:sz="0" w:space="0" w:color="auto"/>
                <w:bottom w:val="none" w:sz="0" w:space="0" w:color="auto"/>
                <w:right w:val="none" w:sz="0" w:space="0" w:color="auto"/>
              </w:divBdr>
              <w:divsChild>
                <w:div w:id="1276133196">
                  <w:marLeft w:val="0"/>
                  <w:marRight w:val="0"/>
                  <w:marTop w:val="0"/>
                  <w:marBottom w:val="0"/>
                  <w:divBdr>
                    <w:top w:val="none" w:sz="0" w:space="0" w:color="auto"/>
                    <w:left w:val="none" w:sz="0" w:space="0" w:color="auto"/>
                    <w:bottom w:val="none" w:sz="0" w:space="0" w:color="auto"/>
                    <w:right w:val="none" w:sz="0" w:space="0" w:color="auto"/>
                  </w:divBdr>
                  <w:divsChild>
                    <w:div w:id="683749595">
                      <w:marLeft w:val="0"/>
                      <w:marRight w:val="2550"/>
                      <w:marTop w:val="0"/>
                      <w:marBottom w:val="48"/>
                      <w:divBdr>
                        <w:top w:val="none" w:sz="0" w:space="0" w:color="auto"/>
                        <w:left w:val="none" w:sz="0" w:space="0" w:color="auto"/>
                        <w:bottom w:val="none" w:sz="0" w:space="0" w:color="auto"/>
                        <w:right w:val="none" w:sz="0" w:space="0" w:color="auto"/>
                      </w:divBdr>
                      <w:divsChild>
                        <w:div w:id="1953148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1549365">
      <w:bodyDiv w:val="1"/>
      <w:marLeft w:val="0"/>
      <w:marRight w:val="0"/>
      <w:marTop w:val="0"/>
      <w:marBottom w:val="0"/>
      <w:divBdr>
        <w:top w:val="none" w:sz="0" w:space="0" w:color="auto"/>
        <w:left w:val="none" w:sz="0" w:space="0" w:color="auto"/>
        <w:bottom w:val="none" w:sz="0" w:space="0" w:color="auto"/>
        <w:right w:val="none" w:sz="0" w:space="0" w:color="auto"/>
      </w:divBdr>
    </w:div>
    <w:div w:id="1611667999">
      <w:bodyDiv w:val="1"/>
      <w:marLeft w:val="0"/>
      <w:marRight w:val="0"/>
      <w:marTop w:val="0"/>
      <w:marBottom w:val="0"/>
      <w:divBdr>
        <w:top w:val="none" w:sz="0" w:space="0" w:color="auto"/>
        <w:left w:val="none" w:sz="0" w:space="0" w:color="auto"/>
        <w:bottom w:val="none" w:sz="0" w:space="0" w:color="auto"/>
        <w:right w:val="none" w:sz="0" w:space="0" w:color="auto"/>
      </w:divBdr>
    </w:div>
    <w:div w:id="1614828302">
      <w:bodyDiv w:val="1"/>
      <w:marLeft w:val="0"/>
      <w:marRight w:val="0"/>
      <w:marTop w:val="0"/>
      <w:marBottom w:val="0"/>
      <w:divBdr>
        <w:top w:val="none" w:sz="0" w:space="0" w:color="auto"/>
        <w:left w:val="none" w:sz="0" w:space="0" w:color="auto"/>
        <w:bottom w:val="none" w:sz="0" w:space="0" w:color="auto"/>
        <w:right w:val="none" w:sz="0" w:space="0" w:color="auto"/>
      </w:divBdr>
      <w:divsChild>
        <w:div w:id="185488789">
          <w:marLeft w:val="0"/>
          <w:marRight w:val="0"/>
          <w:marTop w:val="0"/>
          <w:marBottom w:val="0"/>
          <w:divBdr>
            <w:top w:val="none" w:sz="0" w:space="0" w:color="auto"/>
            <w:left w:val="none" w:sz="0" w:space="0" w:color="auto"/>
            <w:bottom w:val="none" w:sz="0" w:space="0" w:color="auto"/>
            <w:right w:val="none" w:sz="0" w:space="0" w:color="auto"/>
          </w:divBdr>
          <w:divsChild>
            <w:div w:id="183909410">
              <w:marLeft w:val="0"/>
              <w:marRight w:val="0"/>
              <w:marTop w:val="0"/>
              <w:marBottom w:val="0"/>
              <w:divBdr>
                <w:top w:val="none" w:sz="0" w:space="0" w:color="auto"/>
                <w:left w:val="none" w:sz="0" w:space="0" w:color="auto"/>
                <w:bottom w:val="none" w:sz="0" w:space="0" w:color="auto"/>
                <w:right w:val="none" w:sz="0" w:space="0" w:color="auto"/>
              </w:divBdr>
              <w:divsChild>
                <w:div w:id="254166351">
                  <w:marLeft w:val="-225"/>
                  <w:marRight w:val="-225"/>
                  <w:marTop w:val="0"/>
                  <w:marBottom w:val="0"/>
                  <w:divBdr>
                    <w:top w:val="none" w:sz="0" w:space="0" w:color="auto"/>
                    <w:left w:val="none" w:sz="0" w:space="0" w:color="auto"/>
                    <w:bottom w:val="none" w:sz="0" w:space="0" w:color="auto"/>
                    <w:right w:val="none" w:sz="0" w:space="0" w:color="auto"/>
                  </w:divBdr>
                  <w:divsChild>
                    <w:div w:id="146746355">
                      <w:marLeft w:val="0"/>
                      <w:marRight w:val="0"/>
                      <w:marTop w:val="0"/>
                      <w:marBottom w:val="0"/>
                      <w:divBdr>
                        <w:top w:val="none" w:sz="0" w:space="0" w:color="auto"/>
                        <w:left w:val="none" w:sz="0" w:space="0" w:color="auto"/>
                        <w:bottom w:val="none" w:sz="0" w:space="0" w:color="auto"/>
                        <w:right w:val="none" w:sz="0" w:space="0" w:color="auto"/>
                      </w:divBdr>
                      <w:divsChild>
                        <w:div w:id="1262295629">
                          <w:marLeft w:val="0"/>
                          <w:marRight w:val="0"/>
                          <w:marTop w:val="300"/>
                          <w:marBottom w:val="0"/>
                          <w:divBdr>
                            <w:top w:val="none" w:sz="0" w:space="0" w:color="auto"/>
                            <w:left w:val="none" w:sz="0" w:space="0" w:color="auto"/>
                            <w:bottom w:val="none" w:sz="0" w:space="0" w:color="auto"/>
                            <w:right w:val="none" w:sz="0" w:space="0" w:color="auto"/>
                          </w:divBdr>
                          <w:divsChild>
                            <w:div w:id="997920544">
                              <w:marLeft w:val="0"/>
                              <w:marRight w:val="0"/>
                              <w:marTop w:val="0"/>
                              <w:marBottom w:val="0"/>
                              <w:divBdr>
                                <w:top w:val="none" w:sz="0" w:space="0" w:color="auto"/>
                                <w:left w:val="none" w:sz="0" w:space="0" w:color="auto"/>
                                <w:bottom w:val="none" w:sz="0" w:space="0" w:color="auto"/>
                                <w:right w:val="none" w:sz="0" w:space="0" w:color="auto"/>
                              </w:divBdr>
                              <w:divsChild>
                                <w:div w:id="135336993">
                                  <w:marLeft w:val="0"/>
                                  <w:marRight w:val="0"/>
                                  <w:marTop w:val="0"/>
                                  <w:marBottom w:val="0"/>
                                  <w:divBdr>
                                    <w:top w:val="none" w:sz="0" w:space="0" w:color="auto"/>
                                    <w:left w:val="none" w:sz="0" w:space="0" w:color="auto"/>
                                    <w:bottom w:val="none" w:sz="0" w:space="0" w:color="auto"/>
                                    <w:right w:val="none" w:sz="0" w:space="0" w:color="auto"/>
                                  </w:divBdr>
                                  <w:divsChild>
                                    <w:div w:id="2087799974">
                                      <w:marLeft w:val="0"/>
                                      <w:marRight w:val="0"/>
                                      <w:marTop w:val="0"/>
                                      <w:marBottom w:val="0"/>
                                      <w:divBdr>
                                        <w:top w:val="none" w:sz="0" w:space="0" w:color="auto"/>
                                        <w:left w:val="none" w:sz="0" w:space="0" w:color="auto"/>
                                        <w:bottom w:val="none" w:sz="0" w:space="0" w:color="auto"/>
                                        <w:right w:val="none" w:sz="0" w:space="0" w:color="auto"/>
                                      </w:divBdr>
                                      <w:divsChild>
                                        <w:div w:id="20443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165332">
      <w:bodyDiv w:val="1"/>
      <w:marLeft w:val="0"/>
      <w:marRight w:val="0"/>
      <w:marTop w:val="0"/>
      <w:marBottom w:val="0"/>
      <w:divBdr>
        <w:top w:val="none" w:sz="0" w:space="0" w:color="auto"/>
        <w:left w:val="none" w:sz="0" w:space="0" w:color="auto"/>
        <w:bottom w:val="none" w:sz="0" w:space="0" w:color="auto"/>
        <w:right w:val="none" w:sz="0" w:space="0" w:color="auto"/>
      </w:divBdr>
      <w:divsChild>
        <w:div w:id="1895308299">
          <w:marLeft w:val="0"/>
          <w:marRight w:val="0"/>
          <w:marTop w:val="0"/>
          <w:marBottom w:val="0"/>
          <w:divBdr>
            <w:top w:val="none" w:sz="0" w:space="0" w:color="auto"/>
            <w:left w:val="none" w:sz="0" w:space="0" w:color="auto"/>
            <w:bottom w:val="none" w:sz="0" w:space="0" w:color="auto"/>
            <w:right w:val="none" w:sz="0" w:space="0" w:color="auto"/>
          </w:divBdr>
          <w:divsChild>
            <w:div w:id="1728261820">
              <w:marLeft w:val="0"/>
              <w:marRight w:val="0"/>
              <w:marTop w:val="0"/>
              <w:marBottom w:val="0"/>
              <w:divBdr>
                <w:top w:val="none" w:sz="0" w:space="0" w:color="auto"/>
                <w:left w:val="none" w:sz="0" w:space="0" w:color="auto"/>
                <w:bottom w:val="none" w:sz="0" w:space="0" w:color="auto"/>
                <w:right w:val="none" w:sz="0" w:space="0" w:color="auto"/>
              </w:divBdr>
              <w:divsChild>
                <w:div w:id="483356776">
                  <w:marLeft w:val="0"/>
                  <w:marRight w:val="0"/>
                  <w:marTop w:val="0"/>
                  <w:marBottom w:val="0"/>
                  <w:divBdr>
                    <w:top w:val="none" w:sz="0" w:space="0" w:color="auto"/>
                    <w:left w:val="none" w:sz="0" w:space="0" w:color="auto"/>
                    <w:bottom w:val="none" w:sz="0" w:space="0" w:color="auto"/>
                    <w:right w:val="none" w:sz="0" w:space="0" w:color="auto"/>
                  </w:divBdr>
                  <w:divsChild>
                    <w:div w:id="1277831999">
                      <w:marLeft w:val="0"/>
                      <w:marRight w:val="0"/>
                      <w:marTop w:val="0"/>
                      <w:marBottom w:val="0"/>
                      <w:divBdr>
                        <w:top w:val="none" w:sz="0" w:space="0" w:color="auto"/>
                        <w:left w:val="none" w:sz="0" w:space="0" w:color="auto"/>
                        <w:bottom w:val="none" w:sz="0" w:space="0" w:color="auto"/>
                        <w:right w:val="none" w:sz="0" w:space="0" w:color="auto"/>
                      </w:divBdr>
                      <w:divsChild>
                        <w:div w:id="805510308">
                          <w:marLeft w:val="0"/>
                          <w:marRight w:val="0"/>
                          <w:marTop w:val="0"/>
                          <w:marBottom w:val="0"/>
                          <w:divBdr>
                            <w:top w:val="none" w:sz="0" w:space="0" w:color="auto"/>
                            <w:left w:val="none" w:sz="0" w:space="0" w:color="auto"/>
                            <w:bottom w:val="none" w:sz="0" w:space="0" w:color="auto"/>
                            <w:right w:val="none" w:sz="0" w:space="0" w:color="auto"/>
                          </w:divBdr>
                          <w:divsChild>
                            <w:div w:id="142553089">
                              <w:marLeft w:val="0"/>
                              <w:marRight w:val="0"/>
                              <w:marTop w:val="0"/>
                              <w:marBottom w:val="0"/>
                              <w:divBdr>
                                <w:top w:val="none" w:sz="0" w:space="0" w:color="auto"/>
                                <w:left w:val="none" w:sz="0" w:space="0" w:color="auto"/>
                                <w:bottom w:val="none" w:sz="0" w:space="0" w:color="auto"/>
                                <w:right w:val="none" w:sz="0" w:space="0" w:color="auto"/>
                              </w:divBdr>
                              <w:divsChild>
                                <w:div w:id="2005667804">
                                  <w:marLeft w:val="0"/>
                                  <w:marRight w:val="0"/>
                                  <w:marTop w:val="0"/>
                                  <w:marBottom w:val="0"/>
                                  <w:divBdr>
                                    <w:top w:val="none" w:sz="0" w:space="0" w:color="auto"/>
                                    <w:left w:val="none" w:sz="0" w:space="0" w:color="auto"/>
                                    <w:bottom w:val="none" w:sz="0" w:space="0" w:color="auto"/>
                                    <w:right w:val="none" w:sz="0" w:space="0" w:color="auto"/>
                                  </w:divBdr>
                                  <w:divsChild>
                                    <w:div w:id="1454907044">
                                      <w:marLeft w:val="0"/>
                                      <w:marRight w:val="0"/>
                                      <w:marTop w:val="0"/>
                                      <w:marBottom w:val="0"/>
                                      <w:divBdr>
                                        <w:top w:val="none" w:sz="0" w:space="0" w:color="auto"/>
                                        <w:left w:val="none" w:sz="0" w:space="0" w:color="auto"/>
                                        <w:bottom w:val="none" w:sz="0" w:space="0" w:color="auto"/>
                                        <w:right w:val="none" w:sz="0" w:space="0" w:color="auto"/>
                                      </w:divBdr>
                                      <w:divsChild>
                                        <w:div w:id="1645041659">
                                          <w:marLeft w:val="0"/>
                                          <w:marRight w:val="0"/>
                                          <w:marTop w:val="0"/>
                                          <w:marBottom w:val="0"/>
                                          <w:divBdr>
                                            <w:top w:val="none" w:sz="0" w:space="0" w:color="auto"/>
                                            <w:left w:val="none" w:sz="0" w:space="0" w:color="auto"/>
                                            <w:bottom w:val="none" w:sz="0" w:space="0" w:color="auto"/>
                                            <w:right w:val="none" w:sz="0" w:space="0" w:color="auto"/>
                                          </w:divBdr>
                                          <w:divsChild>
                                            <w:div w:id="1378748579">
                                              <w:marLeft w:val="0"/>
                                              <w:marRight w:val="0"/>
                                              <w:marTop w:val="0"/>
                                              <w:marBottom w:val="0"/>
                                              <w:divBdr>
                                                <w:top w:val="none" w:sz="0" w:space="0" w:color="auto"/>
                                                <w:left w:val="none" w:sz="0" w:space="0" w:color="auto"/>
                                                <w:bottom w:val="none" w:sz="0" w:space="0" w:color="auto"/>
                                                <w:right w:val="none" w:sz="0" w:space="0" w:color="auto"/>
                                              </w:divBdr>
                                              <w:divsChild>
                                                <w:div w:id="1918321717">
                                                  <w:marLeft w:val="0"/>
                                                  <w:marRight w:val="0"/>
                                                  <w:marTop w:val="0"/>
                                                  <w:marBottom w:val="0"/>
                                                  <w:divBdr>
                                                    <w:top w:val="none" w:sz="0" w:space="0" w:color="auto"/>
                                                    <w:left w:val="none" w:sz="0" w:space="0" w:color="auto"/>
                                                    <w:bottom w:val="none" w:sz="0" w:space="0" w:color="auto"/>
                                                    <w:right w:val="none" w:sz="0" w:space="0" w:color="auto"/>
                                                  </w:divBdr>
                                                  <w:divsChild>
                                                    <w:div w:id="268008663">
                                                      <w:marLeft w:val="0"/>
                                                      <w:marRight w:val="0"/>
                                                      <w:marTop w:val="0"/>
                                                      <w:marBottom w:val="0"/>
                                                      <w:divBdr>
                                                        <w:top w:val="none" w:sz="0" w:space="0" w:color="auto"/>
                                                        <w:left w:val="none" w:sz="0" w:space="0" w:color="auto"/>
                                                        <w:bottom w:val="none" w:sz="0" w:space="0" w:color="auto"/>
                                                        <w:right w:val="none" w:sz="0" w:space="0" w:color="auto"/>
                                                      </w:divBdr>
                                                      <w:divsChild>
                                                        <w:div w:id="1996521465">
                                                          <w:marLeft w:val="0"/>
                                                          <w:marRight w:val="0"/>
                                                          <w:marTop w:val="0"/>
                                                          <w:marBottom w:val="0"/>
                                                          <w:divBdr>
                                                            <w:top w:val="none" w:sz="0" w:space="0" w:color="auto"/>
                                                            <w:left w:val="none" w:sz="0" w:space="0" w:color="auto"/>
                                                            <w:bottom w:val="none" w:sz="0" w:space="0" w:color="auto"/>
                                                            <w:right w:val="none" w:sz="0" w:space="0" w:color="auto"/>
                                                          </w:divBdr>
                                                          <w:divsChild>
                                                            <w:div w:id="1893804568">
                                                              <w:marLeft w:val="0"/>
                                                              <w:marRight w:val="0"/>
                                                              <w:marTop w:val="0"/>
                                                              <w:marBottom w:val="0"/>
                                                              <w:divBdr>
                                                                <w:top w:val="none" w:sz="0" w:space="0" w:color="auto"/>
                                                                <w:left w:val="none" w:sz="0" w:space="0" w:color="auto"/>
                                                                <w:bottom w:val="none" w:sz="0" w:space="0" w:color="auto"/>
                                                                <w:right w:val="none" w:sz="0" w:space="0" w:color="auto"/>
                                                              </w:divBdr>
                                                              <w:divsChild>
                                                                <w:div w:id="5313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6450390">
      <w:bodyDiv w:val="1"/>
      <w:marLeft w:val="0"/>
      <w:marRight w:val="0"/>
      <w:marTop w:val="0"/>
      <w:marBottom w:val="0"/>
      <w:divBdr>
        <w:top w:val="none" w:sz="0" w:space="0" w:color="auto"/>
        <w:left w:val="none" w:sz="0" w:space="0" w:color="auto"/>
        <w:bottom w:val="none" w:sz="0" w:space="0" w:color="auto"/>
        <w:right w:val="none" w:sz="0" w:space="0" w:color="auto"/>
      </w:divBdr>
    </w:div>
    <w:div w:id="1617759442">
      <w:bodyDiv w:val="1"/>
      <w:marLeft w:val="0"/>
      <w:marRight w:val="0"/>
      <w:marTop w:val="0"/>
      <w:marBottom w:val="0"/>
      <w:divBdr>
        <w:top w:val="none" w:sz="0" w:space="0" w:color="auto"/>
        <w:left w:val="none" w:sz="0" w:space="0" w:color="auto"/>
        <w:bottom w:val="none" w:sz="0" w:space="0" w:color="auto"/>
        <w:right w:val="none" w:sz="0" w:space="0" w:color="auto"/>
      </w:divBdr>
      <w:divsChild>
        <w:div w:id="643852688">
          <w:marLeft w:val="0"/>
          <w:marRight w:val="0"/>
          <w:marTop w:val="0"/>
          <w:marBottom w:val="0"/>
          <w:divBdr>
            <w:top w:val="none" w:sz="0" w:space="0" w:color="auto"/>
            <w:left w:val="none" w:sz="0" w:space="0" w:color="auto"/>
            <w:bottom w:val="none" w:sz="0" w:space="0" w:color="auto"/>
            <w:right w:val="none" w:sz="0" w:space="0" w:color="auto"/>
          </w:divBdr>
          <w:divsChild>
            <w:div w:id="540017722">
              <w:marLeft w:val="0"/>
              <w:marRight w:val="0"/>
              <w:marTop w:val="0"/>
              <w:marBottom w:val="0"/>
              <w:divBdr>
                <w:top w:val="none" w:sz="0" w:space="0" w:color="auto"/>
                <w:left w:val="none" w:sz="0" w:space="0" w:color="auto"/>
                <w:bottom w:val="none" w:sz="0" w:space="0" w:color="auto"/>
                <w:right w:val="none" w:sz="0" w:space="0" w:color="auto"/>
              </w:divBdr>
              <w:divsChild>
                <w:div w:id="46802941">
                  <w:marLeft w:val="0"/>
                  <w:marRight w:val="0"/>
                  <w:marTop w:val="0"/>
                  <w:marBottom w:val="0"/>
                  <w:divBdr>
                    <w:top w:val="none" w:sz="0" w:space="0" w:color="auto"/>
                    <w:left w:val="none" w:sz="0" w:space="0" w:color="auto"/>
                    <w:bottom w:val="none" w:sz="0" w:space="0" w:color="auto"/>
                    <w:right w:val="none" w:sz="0" w:space="0" w:color="auto"/>
                  </w:divBdr>
                  <w:divsChild>
                    <w:div w:id="643393416">
                      <w:marLeft w:val="0"/>
                      <w:marRight w:val="0"/>
                      <w:marTop w:val="0"/>
                      <w:marBottom w:val="0"/>
                      <w:divBdr>
                        <w:top w:val="none" w:sz="0" w:space="0" w:color="auto"/>
                        <w:left w:val="none" w:sz="0" w:space="0" w:color="auto"/>
                        <w:bottom w:val="none" w:sz="0" w:space="0" w:color="auto"/>
                        <w:right w:val="none" w:sz="0" w:space="0" w:color="auto"/>
                      </w:divBdr>
                      <w:divsChild>
                        <w:div w:id="6566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834515">
      <w:bodyDiv w:val="1"/>
      <w:marLeft w:val="0"/>
      <w:marRight w:val="0"/>
      <w:marTop w:val="0"/>
      <w:marBottom w:val="0"/>
      <w:divBdr>
        <w:top w:val="none" w:sz="0" w:space="0" w:color="auto"/>
        <w:left w:val="none" w:sz="0" w:space="0" w:color="auto"/>
        <w:bottom w:val="none" w:sz="0" w:space="0" w:color="auto"/>
        <w:right w:val="none" w:sz="0" w:space="0" w:color="auto"/>
      </w:divBdr>
      <w:divsChild>
        <w:div w:id="262734333">
          <w:marLeft w:val="0"/>
          <w:marRight w:val="0"/>
          <w:marTop w:val="0"/>
          <w:marBottom w:val="0"/>
          <w:divBdr>
            <w:top w:val="none" w:sz="0" w:space="0" w:color="auto"/>
            <w:left w:val="none" w:sz="0" w:space="0" w:color="auto"/>
            <w:bottom w:val="none" w:sz="0" w:space="0" w:color="auto"/>
            <w:right w:val="none" w:sz="0" w:space="0" w:color="auto"/>
          </w:divBdr>
        </w:div>
      </w:divsChild>
    </w:div>
    <w:div w:id="1621254234">
      <w:bodyDiv w:val="1"/>
      <w:marLeft w:val="0"/>
      <w:marRight w:val="0"/>
      <w:marTop w:val="0"/>
      <w:marBottom w:val="0"/>
      <w:divBdr>
        <w:top w:val="none" w:sz="0" w:space="0" w:color="auto"/>
        <w:left w:val="none" w:sz="0" w:space="0" w:color="auto"/>
        <w:bottom w:val="none" w:sz="0" w:space="0" w:color="auto"/>
        <w:right w:val="none" w:sz="0" w:space="0" w:color="auto"/>
      </w:divBdr>
      <w:divsChild>
        <w:div w:id="1105272510">
          <w:marLeft w:val="0"/>
          <w:marRight w:val="0"/>
          <w:marTop w:val="0"/>
          <w:marBottom w:val="0"/>
          <w:divBdr>
            <w:top w:val="none" w:sz="0" w:space="0" w:color="auto"/>
            <w:left w:val="none" w:sz="0" w:space="0" w:color="auto"/>
            <w:bottom w:val="none" w:sz="0" w:space="0" w:color="auto"/>
            <w:right w:val="none" w:sz="0" w:space="0" w:color="auto"/>
          </w:divBdr>
          <w:divsChild>
            <w:div w:id="1319379335">
              <w:marLeft w:val="0"/>
              <w:marRight w:val="0"/>
              <w:marTop w:val="0"/>
              <w:marBottom w:val="0"/>
              <w:divBdr>
                <w:top w:val="none" w:sz="0" w:space="0" w:color="auto"/>
                <w:left w:val="none" w:sz="0" w:space="0" w:color="auto"/>
                <w:bottom w:val="none" w:sz="0" w:space="0" w:color="auto"/>
                <w:right w:val="none" w:sz="0" w:space="0" w:color="auto"/>
              </w:divBdr>
              <w:divsChild>
                <w:div w:id="565144128">
                  <w:marLeft w:val="0"/>
                  <w:marRight w:val="0"/>
                  <w:marTop w:val="0"/>
                  <w:marBottom w:val="0"/>
                  <w:divBdr>
                    <w:top w:val="none" w:sz="0" w:space="0" w:color="auto"/>
                    <w:left w:val="none" w:sz="0" w:space="0" w:color="auto"/>
                    <w:bottom w:val="none" w:sz="0" w:space="0" w:color="auto"/>
                    <w:right w:val="none" w:sz="0" w:space="0" w:color="auto"/>
                  </w:divBdr>
                  <w:divsChild>
                    <w:div w:id="127434241">
                      <w:marLeft w:val="0"/>
                      <w:marRight w:val="0"/>
                      <w:marTop w:val="0"/>
                      <w:marBottom w:val="0"/>
                      <w:divBdr>
                        <w:top w:val="none" w:sz="0" w:space="0" w:color="auto"/>
                        <w:left w:val="none" w:sz="0" w:space="0" w:color="auto"/>
                        <w:bottom w:val="none" w:sz="0" w:space="0" w:color="auto"/>
                        <w:right w:val="none" w:sz="0" w:space="0" w:color="auto"/>
                      </w:divBdr>
                      <w:divsChild>
                        <w:div w:id="56245262">
                          <w:marLeft w:val="0"/>
                          <w:marRight w:val="0"/>
                          <w:marTop w:val="0"/>
                          <w:marBottom w:val="0"/>
                          <w:divBdr>
                            <w:top w:val="none" w:sz="0" w:space="0" w:color="auto"/>
                            <w:left w:val="none" w:sz="0" w:space="0" w:color="auto"/>
                            <w:bottom w:val="none" w:sz="0" w:space="0" w:color="auto"/>
                            <w:right w:val="none" w:sz="0" w:space="0" w:color="auto"/>
                          </w:divBdr>
                          <w:divsChild>
                            <w:div w:id="2125924609">
                              <w:marLeft w:val="0"/>
                              <w:marRight w:val="0"/>
                              <w:marTop w:val="0"/>
                              <w:marBottom w:val="0"/>
                              <w:divBdr>
                                <w:top w:val="none" w:sz="0" w:space="0" w:color="auto"/>
                                <w:left w:val="none" w:sz="0" w:space="0" w:color="auto"/>
                                <w:bottom w:val="none" w:sz="0" w:space="0" w:color="auto"/>
                                <w:right w:val="none" w:sz="0" w:space="0" w:color="auto"/>
                              </w:divBdr>
                              <w:divsChild>
                                <w:div w:id="1148280391">
                                  <w:marLeft w:val="120"/>
                                  <w:marRight w:val="720"/>
                                  <w:marTop w:val="120"/>
                                  <w:marBottom w:val="120"/>
                                  <w:divBdr>
                                    <w:top w:val="none" w:sz="0" w:space="0" w:color="auto"/>
                                    <w:left w:val="none" w:sz="0" w:space="0" w:color="auto"/>
                                    <w:bottom w:val="none" w:sz="0" w:space="0" w:color="auto"/>
                                    <w:right w:val="none" w:sz="0" w:space="0" w:color="auto"/>
                                  </w:divBdr>
                                  <w:divsChild>
                                    <w:div w:id="2030062289">
                                      <w:marLeft w:val="0"/>
                                      <w:marRight w:val="0"/>
                                      <w:marTop w:val="0"/>
                                      <w:marBottom w:val="0"/>
                                      <w:divBdr>
                                        <w:top w:val="none" w:sz="0" w:space="0" w:color="auto"/>
                                        <w:left w:val="none" w:sz="0" w:space="0" w:color="auto"/>
                                        <w:bottom w:val="none" w:sz="0" w:space="0" w:color="auto"/>
                                        <w:right w:val="none" w:sz="0" w:space="0" w:color="auto"/>
                                      </w:divBdr>
                                      <w:divsChild>
                                        <w:div w:id="649019723">
                                          <w:marLeft w:val="0"/>
                                          <w:marRight w:val="0"/>
                                          <w:marTop w:val="0"/>
                                          <w:marBottom w:val="0"/>
                                          <w:divBdr>
                                            <w:top w:val="none" w:sz="0" w:space="0" w:color="auto"/>
                                            <w:left w:val="none" w:sz="0" w:space="0" w:color="auto"/>
                                            <w:bottom w:val="none" w:sz="0" w:space="0" w:color="auto"/>
                                            <w:right w:val="none" w:sz="0" w:space="0" w:color="auto"/>
                                          </w:divBdr>
                                          <w:divsChild>
                                            <w:div w:id="813983999">
                                              <w:marLeft w:val="0"/>
                                              <w:marRight w:val="0"/>
                                              <w:marTop w:val="0"/>
                                              <w:marBottom w:val="0"/>
                                              <w:divBdr>
                                                <w:top w:val="none" w:sz="0" w:space="0" w:color="auto"/>
                                                <w:left w:val="none" w:sz="0" w:space="0" w:color="auto"/>
                                                <w:bottom w:val="none" w:sz="0" w:space="0" w:color="auto"/>
                                                <w:right w:val="none" w:sz="0" w:space="0" w:color="auto"/>
                                              </w:divBdr>
                                              <w:divsChild>
                                                <w:div w:id="1312707561">
                                                  <w:marLeft w:val="0"/>
                                                  <w:marRight w:val="0"/>
                                                  <w:marTop w:val="240"/>
                                                  <w:marBottom w:val="240"/>
                                                  <w:divBdr>
                                                    <w:top w:val="single" w:sz="6" w:space="6" w:color="F2F2F2"/>
                                                    <w:left w:val="none" w:sz="0" w:space="0" w:color="auto"/>
                                                    <w:bottom w:val="single" w:sz="6" w:space="6" w:color="F2F2F2"/>
                                                    <w:right w:val="none" w:sz="0" w:space="0" w:color="auto"/>
                                                  </w:divBdr>
                                                </w:div>
                                                <w:div w:id="1793089143">
                                                  <w:marLeft w:val="0"/>
                                                  <w:marRight w:val="0"/>
                                                  <w:marTop w:val="0"/>
                                                  <w:marBottom w:val="0"/>
                                                  <w:divBdr>
                                                    <w:top w:val="none" w:sz="0" w:space="0" w:color="auto"/>
                                                    <w:left w:val="none" w:sz="0" w:space="0" w:color="auto"/>
                                                    <w:bottom w:val="none" w:sz="0" w:space="0" w:color="auto"/>
                                                    <w:right w:val="none" w:sz="0" w:space="0" w:color="auto"/>
                                                  </w:divBdr>
                                                  <w:divsChild>
                                                    <w:div w:id="709034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111763">
      <w:bodyDiv w:val="1"/>
      <w:marLeft w:val="0"/>
      <w:marRight w:val="0"/>
      <w:marTop w:val="0"/>
      <w:marBottom w:val="0"/>
      <w:divBdr>
        <w:top w:val="none" w:sz="0" w:space="0" w:color="auto"/>
        <w:left w:val="none" w:sz="0" w:space="0" w:color="auto"/>
        <w:bottom w:val="none" w:sz="0" w:space="0" w:color="auto"/>
        <w:right w:val="none" w:sz="0" w:space="0" w:color="auto"/>
      </w:divBdr>
    </w:div>
    <w:div w:id="1623340694">
      <w:bodyDiv w:val="1"/>
      <w:marLeft w:val="0"/>
      <w:marRight w:val="0"/>
      <w:marTop w:val="0"/>
      <w:marBottom w:val="0"/>
      <w:divBdr>
        <w:top w:val="none" w:sz="0" w:space="0" w:color="auto"/>
        <w:left w:val="none" w:sz="0" w:space="0" w:color="auto"/>
        <w:bottom w:val="none" w:sz="0" w:space="0" w:color="auto"/>
        <w:right w:val="none" w:sz="0" w:space="0" w:color="auto"/>
      </w:divBdr>
    </w:div>
    <w:div w:id="1624657265">
      <w:bodyDiv w:val="1"/>
      <w:marLeft w:val="0"/>
      <w:marRight w:val="0"/>
      <w:marTop w:val="0"/>
      <w:marBottom w:val="0"/>
      <w:divBdr>
        <w:top w:val="none" w:sz="0" w:space="0" w:color="auto"/>
        <w:left w:val="none" w:sz="0" w:space="0" w:color="auto"/>
        <w:bottom w:val="none" w:sz="0" w:space="0" w:color="auto"/>
        <w:right w:val="none" w:sz="0" w:space="0" w:color="auto"/>
      </w:divBdr>
    </w:div>
    <w:div w:id="1624848389">
      <w:bodyDiv w:val="1"/>
      <w:marLeft w:val="0"/>
      <w:marRight w:val="0"/>
      <w:marTop w:val="0"/>
      <w:marBottom w:val="0"/>
      <w:divBdr>
        <w:top w:val="none" w:sz="0" w:space="0" w:color="auto"/>
        <w:left w:val="none" w:sz="0" w:space="0" w:color="auto"/>
        <w:bottom w:val="none" w:sz="0" w:space="0" w:color="auto"/>
        <w:right w:val="none" w:sz="0" w:space="0" w:color="auto"/>
      </w:divBdr>
      <w:divsChild>
        <w:div w:id="777211682">
          <w:marLeft w:val="0"/>
          <w:marRight w:val="0"/>
          <w:marTop w:val="0"/>
          <w:marBottom w:val="0"/>
          <w:divBdr>
            <w:top w:val="none" w:sz="0" w:space="0" w:color="auto"/>
            <w:left w:val="none" w:sz="0" w:space="0" w:color="auto"/>
            <w:bottom w:val="none" w:sz="0" w:space="0" w:color="auto"/>
            <w:right w:val="none" w:sz="0" w:space="0" w:color="auto"/>
          </w:divBdr>
          <w:divsChild>
            <w:div w:id="1701129177">
              <w:marLeft w:val="-225"/>
              <w:marRight w:val="-225"/>
              <w:marTop w:val="0"/>
              <w:marBottom w:val="0"/>
              <w:divBdr>
                <w:top w:val="none" w:sz="0" w:space="0" w:color="auto"/>
                <w:left w:val="none" w:sz="0" w:space="0" w:color="auto"/>
                <w:bottom w:val="none" w:sz="0" w:space="0" w:color="auto"/>
                <w:right w:val="none" w:sz="0" w:space="0" w:color="auto"/>
              </w:divBdr>
              <w:divsChild>
                <w:div w:id="1975018134">
                  <w:marLeft w:val="0"/>
                  <w:marRight w:val="0"/>
                  <w:marTop w:val="0"/>
                  <w:marBottom w:val="0"/>
                  <w:divBdr>
                    <w:top w:val="none" w:sz="0" w:space="0" w:color="auto"/>
                    <w:left w:val="none" w:sz="0" w:space="0" w:color="auto"/>
                    <w:bottom w:val="none" w:sz="0" w:space="0" w:color="auto"/>
                    <w:right w:val="none" w:sz="0" w:space="0" w:color="auto"/>
                  </w:divBdr>
                  <w:divsChild>
                    <w:div w:id="111169288">
                      <w:marLeft w:val="0"/>
                      <w:marRight w:val="0"/>
                      <w:marTop w:val="0"/>
                      <w:marBottom w:val="0"/>
                      <w:divBdr>
                        <w:top w:val="none" w:sz="0" w:space="0" w:color="auto"/>
                        <w:left w:val="none" w:sz="0" w:space="0" w:color="auto"/>
                        <w:bottom w:val="none" w:sz="0" w:space="0" w:color="auto"/>
                        <w:right w:val="none" w:sz="0" w:space="0" w:color="auto"/>
                      </w:divBdr>
                      <w:divsChild>
                        <w:div w:id="1577280786">
                          <w:marLeft w:val="0"/>
                          <w:marRight w:val="0"/>
                          <w:marTop w:val="0"/>
                          <w:marBottom w:val="0"/>
                          <w:divBdr>
                            <w:top w:val="none" w:sz="0" w:space="0" w:color="auto"/>
                            <w:left w:val="none" w:sz="0" w:space="0" w:color="auto"/>
                            <w:bottom w:val="none" w:sz="0" w:space="0" w:color="auto"/>
                            <w:right w:val="none" w:sz="0" w:space="0" w:color="auto"/>
                          </w:divBdr>
                          <w:divsChild>
                            <w:div w:id="1909924161">
                              <w:marLeft w:val="0"/>
                              <w:marRight w:val="0"/>
                              <w:marTop w:val="0"/>
                              <w:marBottom w:val="0"/>
                              <w:divBdr>
                                <w:top w:val="none" w:sz="0" w:space="0" w:color="auto"/>
                                <w:left w:val="none" w:sz="0" w:space="0" w:color="auto"/>
                                <w:bottom w:val="none" w:sz="0" w:space="0" w:color="auto"/>
                                <w:right w:val="none" w:sz="0" w:space="0" w:color="auto"/>
                              </w:divBdr>
                              <w:divsChild>
                                <w:div w:id="1835758346">
                                  <w:marLeft w:val="-225"/>
                                  <w:marRight w:val="-225"/>
                                  <w:marTop w:val="300"/>
                                  <w:marBottom w:val="0"/>
                                  <w:divBdr>
                                    <w:top w:val="none" w:sz="0" w:space="0" w:color="auto"/>
                                    <w:left w:val="none" w:sz="0" w:space="0" w:color="auto"/>
                                    <w:bottom w:val="none" w:sz="0" w:space="0" w:color="auto"/>
                                    <w:right w:val="none" w:sz="0" w:space="0" w:color="auto"/>
                                  </w:divBdr>
                                  <w:divsChild>
                                    <w:div w:id="10441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47729">
                  <w:marLeft w:val="0"/>
                  <w:marRight w:val="0"/>
                  <w:marTop w:val="0"/>
                  <w:marBottom w:val="0"/>
                  <w:divBdr>
                    <w:top w:val="none" w:sz="0" w:space="0" w:color="auto"/>
                    <w:left w:val="none" w:sz="0" w:space="0" w:color="auto"/>
                    <w:bottom w:val="none" w:sz="0" w:space="0" w:color="auto"/>
                    <w:right w:val="none" w:sz="0" w:space="0" w:color="auto"/>
                  </w:divBdr>
                  <w:divsChild>
                    <w:div w:id="1955671223">
                      <w:marLeft w:val="0"/>
                      <w:marRight w:val="0"/>
                      <w:marTop w:val="0"/>
                      <w:marBottom w:val="225"/>
                      <w:divBdr>
                        <w:top w:val="none" w:sz="0" w:space="0" w:color="auto"/>
                        <w:left w:val="none" w:sz="0" w:space="0" w:color="auto"/>
                        <w:bottom w:val="none" w:sz="0" w:space="0" w:color="auto"/>
                        <w:right w:val="none" w:sz="0" w:space="0" w:color="auto"/>
                      </w:divBdr>
                      <w:divsChild>
                        <w:div w:id="1264679889">
                          <w:marLeft w:val="0"/>
                          <w:marRight w:val="0"/>
                          <w:marTop w:val="0"/>
                          <w:marBottom w:val="0"/>
                          <w:divBdr>
                            <w:top w:val="none" w:sz="0" w:space="0" w:color="auto"/>
                            <w:left w:val="none" w:sz="0" w:space="0" w:color="auto"/>
                            <w:bottom w:val="none" w:sz="0" w:space="0" w:color="auto"/>
                            <w:right w:val="none" w:sz="0" w:space="0" w:color="auto"/>
                          </w:divBdr>
                        </w:div>
                        <w:div w:id="849299564">
                          <w:marLeft w:val="0"/>
                          <w:marRight w:val="0"/>
                          <w:marTop w:val="0"/>
                          <w:marBottom w:val="0"/>
                          <w:divBdr>
                            <w:top w:val="none" w:sz="0" w:space="0" w:color="auto"/>
                            <w:left w:val="none" w:sz="0" w:space="0" w:color="auto"/>
                            <w:bottom w:val="none" w:sz="0" w:space="0" w:color="auto"/>
                            <w:right w:val="none" w:sz="0" w:space="0" w:color="auto"/>
                          </w:divBdr>
                          <w:divsChild>
                            <w:div w:id="1132098256">
                              <w:marLeft w:val="0"/>
                              <w:marRight w:val="0"/>
                              <w:marTop w:val="0"/>
                              <w:marBottom w:val="0"/>
                              <w:divBdr>
                                <w:top w:val="none" w:sz="0" w:space="0" w:color="auto"/>
                                <w:left w:val="none" w:sz="0" w:space="0" w:color="auto"/>
                                <w:bottom w:val="none" w:sz="0" w:space="0" w:color="auto"/>
                                <w:right w:val="none" w:sz="0" w:space="0" w:color="auto"/>
                              </w:divBdr>
                              <w:divsChild>
                                <w:div w:id="2030527877">
                                  <w:marLeft w:val="0"/>
                                  <w:marRight w:val="0"/>
                                  <w:marTop w:val="0"/>
                                  <w:marBottom w:val="0"/>
                                  <w:divBdr>
                                    <w:top w:val="none" w:sz="0" w:space="0" w:color="auto"/>
                                    <w:left w:val="none" w:sz="0" w:space="0" w:color="auto"/>
                                    <w:bottom w:val="none" w:sz="0" w:space="0" w:color="auto"/>
                                    <w:right w:val="none" w:sz="0" w:space="0" w:color="auto"/>
                                  </w:divBdr>
                                  <w:divsChild>
                                    <w:div w:id="1344938837">
                                      <w:marLeft w:val="0"/>
                                      <w:marRight w:val="0"/>
                                      <w:marTop w:val="0"/>
                                      <w:marBottom w:val="0"/>
                                      <w:divBdr>
                                        <w:top w:val="none" w:sz="0" w:space="0" w:color="auto"/>
                                        <w:left w:val="none" w:sz="0" w:space="0" w:color="auto"/>
                                        <w:bottom w:val="none" w:sz="0" w:space="0" w:color="auto"/>
                                        <w:right w:val="none" w:sz="0" w:space="0" w:color="auto"/>
                                      </w:divBdr>
                                      <w:divsChild>
                                        <w:div w:id="1116605012">
                                          <w:marLeft w:val="0"/>
                                          <w:marRight w:val="0"/>
                                          <w:marTop w:val="0"/>
                                          <w:marBottom w:val="0"/>
                                          <w:divBdr>
                                            <w:top w:val="none" w:sz="0" w:space="0" w:color="auto"/>
                                            <w:left w:val="none" w:sz="0" w:space="0" w:color="auto"/>
                                            <w:bottom w:val="none" w:sz="0" w:space="0" w:color="auto"/>
                                            <w:right w:val="none" w:sz="0" w:space="0" w:color="auto"/>
                                          </w:divBdr>
                                          <w:divsChild>
                                            <w:div w:id="1368679746">
                                              <w:marLeft w:val="0"/>
                                              <w:marRight w:val="0"/>
                                              <w:marTop w:val="0"/>
                                              <w:marBottom w:val="0"/>
                                              <w:divBdr>
                                                <w:top w:val="none" w:sz="0" w:space="0" w:color="auto"/>
                                                <w:left w:val="none" w:sz="0" w:space="0" w:color="auto"/>
                                                <w:bottom w:val="none" w:sz="0" w:space="0" w:color="auto"/>
                                                <w:right w:val="none" w:sz="0" w:space="0" w:color="auto"/>
                                              </w:divBdr>
                                              <w:divsChild>
                                                <w:div w:id="1490751031">
                                                  <w:marLeft w:val="0"/>
                                                  <w:marRight w:val="0"/>
                                                  <w:marTop w:val="0"/>
                                                  <w:marBottom w:val="0"/>
                                                  <w:divBdr>
                                                    <w:top w:val="none" w:sz="0" w:space="0" w:color="auto"/>
                                                    <w:left w:val="none" w:sz="0" w:space="0" w:color="auto"/>
                                                    <w:bottom w:val="none" w:sz="0" w:space="0" w:color="auto"/>
                                                    <w:right w:val="none" w:sz="0" w:space="0" w:color="auto"/>
                                                  </w:divBdr>
                                                  <w:divsChild>
                                                    <w:div w:id="908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5962026">
      <w:bodyDiv w:val="1"/>
      <w:marLeft w:val="0"/>
      <w:marRight w:val="0"/>
      <w:marTop w:val="0"/>
      <w:marBottom w:val="0"/>
      <w:divBdr>
        <w:top w:val="none" w:sz="0" w:space="0" w:color="auto"/>
        <w:left w:val="none" w:sz="0" w:space="0" w:color="auto"/>
        <w:bottom w:val="none" w:sz="0" w:space="0" w:color="auto"/>
        <w:right w:val="none" w:sz="0" w:space="0" w:color="auto"/>
      </w:divBdr>
    </w:div>
    <w:div w:id="1627269772">
      <w:bodyDiv w:val="1"/>
      <w:marLeft w:val="0"/>
      <w:marRight w:val="0"/>
      <w:marTop w:val="0"/>
      <w:marBottom w:val="0"/>
      <w:divBdr>
        <w:top w:val="none" w:sz="0" w:space="0" w:color="auto"/>
        <w:left w:val="none" w:sz="0" w:space="0" w:color="auto"/>
        <w:bottom w:val="none" w:sz="0" w:space="0" w:color="auto"/>
        <w:right w:val="none" w:sz="0" w:space="0" w:color="auto"/>
      </w:divBdr>
      <w:divsChild>
        <w:div w:id="1727609262">
          <w:marLeft w:val="0"/>
          <w:marRight w:val="0"/>
          <w:marTop w:val="0"/>
          <w:marBottom w:val="0"/>
          <w:divBdr>
            <w:top w:val="none" w:sz="0" w:space="0" w:color="auto"/>
            <w:left w:val="none" w:sz="0" w:space="0" w:color="auto"/>
            <w:bottom w:val="none" w:sz="0" w:space="0" w:color="auto"/>
            <w:right w:val="none" w:sz="0" w:space="0" w:color="auto"/>
          </w:divBdr>
          <w:divsChild>
            <w:div w:id="1802727107">
              <w:marLeft w:val="0"/>
              <w:marRight w:val="0"/>
              <w:marTop w:val="0"/>
              <w:marBottom w:val="0"/>
              <w:divBdr>
                <w:top w:val="none" w:sz="0" w:space="0" w:color="auto"/>
                <w:left w:val="none" w:sz="0" w:space="0" w:color="auto"/>
                <w:bottom w:val="none" w:sz="0" w:space="0" w:color="auto"/>
                <w:right w:val="none" w:sz="0" w:space="0" w:color="auto"/>
              </w:divBdr>
              <w:divsChild>
                <w:div w:id="1884322120">
                  <w:marLeft w:val="0"/>
                  <w:marRight w:val="0"/>
                  <w:marTop w:val="0"/>
                  <w:marBottom w:val="0"/>
                  <w:divBdr>
                    <w:top w:val="none" w:sz="0" w:space="0" w:color="auto"/>
                    <w:left w:val="none" w:sz="0" w:space="0" w:color="auto"/>
                    <w:bottom w:val="none" w:sz="0" w:space="0" w:color="auto"/>
                    <w:right w:val="none" w:sz="0" w:space="0" w:color="auto"/>
                  </w:divBdr>
                  <w:divsChild>
                    <w:div w:id="217740536">
                      <w:marLeft w:val="0"/>
                      <w:marRight w:val="0"/>
                      <w:marTop w:val="0"/>
                      <w:marBottom w:val="0"/>
                      <w:divBdr>
                        <w:top w:val="none" w:sz="0" w:space="0" w:color="auto"/>
                        <w:left w:val="none" w:sz="0" w:space="0" w:color="auto"/>
                        <w:bottom w:val="none" w:sz="0" w:space="0" w:color="auto"/>
                        <w:right w:val="none" w:sz="0" w:space="0" w:color="auto"/>
                      </w:divBdr>
                      <w:divsChild>
                        <w:div w:id="177740702">
                          <w:marLeft w:val="0"/>
                          <w:marRight w:val="0"/>
                          <w:marTop w:val="0"/>
                          <w:marBottom w:val="0"/>
                          <w:divBdr>
                            <w:top w:val="none" w:sz="0" w:space="0" w:color="auto"/>
                            <w:left w:val="none" w:sz="0" w:space="0" w:color="auto"/>
                            <w:bottom w:val="none" w:sz="0" w:space="0" w:color="auto"/>
                            <w:right w:val="none" w:sz="0" w:space="0" w:color="auto"/>
                          </w:divBdr>
                          <w:divsChild>
                            <w:div w:id="1583563924">
                              <w:marLeft w:val="0"/>
                              <w:marRight w:val="0"/>
                              <w:marTop w:val="0"/>
                              <w:marBottom w:val="0"/>
                              <w:divBdr>
                                <w:top w:val="none" w:sz="0" w:space="0" w:color="auto"/>
                                <w:left w:val="none" w:sz="0" w:space="0" w:color="auto"/>
                                <w:bottom w:val="none" w:sz="0" w:space="0" w:color="auto"/>
                                <w:right w:val="none" w:sz="0" w:space="0" w:color="auto"/>
                              </w:divBdr>
                              <w:divsChild>
                                <w:div w:id="857351673">
                                  <w:marLeft w:val="570"/>
                                  <w:marRight w:val="720"/>
                                  <w:marTop w:val="120"/>
                                  <w:marBottom w:val="120"/>
                                  <w:divBdr>
                                    <w:top w:val="none" w:sz="0" w:space="0" w:color="auto"/>
                                    <w:left w:val="none" w:sz="0" w:space="0" w:color="auto"/>
                                    <w:bottom w:val="none" w:sz="0" w:space="0" w:color="auto"/>
                                    <w:right w:val="none" w:sz="0" w:space="0" w:color="auto"/>
                                  </w:divBdr>
                                  <w:divsChild>
                                    <w:div w:id="1687561213">
                                      <w:marLeft w:val="0"/>
                                      <w:marRight w:val="0"/>
                                      <w:marTop w:val="0"/>
                                      <w:marBottom w:val="0"/>
                                      <w:divBdr>
                                        <w:top w:val="none" w:sz="0" w:space="0" w:color="auto"/>
                                        <w:left w:val="none" w:sz="0" w:space="0" w:color="auto"/>
                                        <w:bottom w:val="none" w:sz="0" w:space="0" w:color="auto"/>
                                        <w:right w:val="none" w:sz="0" w:space="0" w:color="auto"/>
                                      </w:divBdr>
                                      <w:divsChild>
                                        <w:div w:id="1313218241">
                                          <w:marLeft w:val="0"/>
                                          <w:marRight w:val="0"/>
                                          <w:marTop w:val="0"/>
                                          <w:marBottom w:val="0"/>
                                          <w:divBdr>
                                            <w:top w:val="none" w:sz="0" w:space="0" w:color="auto"/>
                                            <w:left w:val="none" w:sz="0" w:space="0" w:color="auto"/>
                                            <w:bottom w:val="none" w:sz="0" w:space="0" w:color="auto"/>
                                            <w:right w:val="none" w:sz="0" w:space="0" w:color="auto"/>
                                          </w:divBdr>
                                          <w:divsChild>
                                            <w:div w:id="2064866292">
                                              <w:marLeft w:val="0"/>
                                              <w:marRight w:val="0"/>
                                              <w:marTop w:val="0"/>
                                              <w:marBottom w:val="0"/>
                                              <w:divBdr>
                                                <w:top w:val="none" w:sz="0" w:space="0" w:color="auto"/>
                                                <w:left w:val="none" w:sz="0" w:space="0" w:color="auto"/>
                                                <w:bottom w:val="none" w:sz="0" w:space="0" w:color="auto"/>
                                                <w:right w:val="none" w:sz="0" w:space="0" w:color="auto"/>
                                              </w:divBdr>
                                              <w:divsChild>
                                                <w:div w:id="1292903325">
                                                  <w:marLeft w:val="0"/>
                                                  <w:marRight w:val="0"/>
                                                  <w:marTop w:val="240"/>
                                                  <w:marBottom w:val="240"/>
                                                  <w:divBdr>
                                                    <w:top w:val="single" w:sz="6" w:space="6" w:color="F2F2F2"/>
                                                    <w:left w:val="none" w:sz="0" w:space="0" w:color="auto"/>
                                                    <w:bottom w:val="single" w:sz="6" w:space="6" w:color="F2F2F2"/>
                                                    <w:right w:val="none" w:sz="0" w:space="0" w:color="auto"/>
                                                  </w:divBdr>
                                                </w:div>
                                                <w:div w:id="1615138226">
                                                  <w:marLeft w:val="0"/>
                                                  <w:marRight w:val="0"/>
                                                  <w:marTop w:val="0"/>
                                                  <w:marBottom w:val="0"/>
                                                  <w:divBdr>
                                                    <w:top w:val="none" w:sz="0" w:space="0" w:color="auto"/>
                                                    <w:left w:val="none" w:sz="0" w:space="0" w:color="auto"/>
                                                    <w:bottom w:val="none" w:sz="0" w:space="0" w:color="auto"/>
                                                    <w:right w:val="none" w:sz="0" w:space="0" w:color="auto"/>
                                                  </w:divBdr>
                                                  <w:divsChild>
                                                    <w:div w:id="14874331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855350">
      <w:bodyDiv w:val="1"/>
      <w:marLeft w:val="0"/>
      <w:marRight w:val="0"/>
      <w:marTop w:val="0"/>
      <w:marBottom w:val="0"/>
      <w:divBdr>
        <w:top w:val="none" w:sz="0" w:space="0" w:color="auto"/>
        <w:left w:val="none" w:sz="0" w:space="0" w:color="auto"/>
        <w:bottom w:val="none" w:sz="0" w:space="0" w:color="auto"/>
        <w:right w:val="none" w:sz="0" w:space="0" w:color="auto"/>
      </w:divBdr>
      <w:divsChild>
        <w:div w:id="59449635">
          <w:marLeft w:val="0"/>
          <w:marRight w:val="0"/>
          <w:marTop w:val="0"/>
          <w:marBottom w:val="0"/>
          <w:divBdr>
            <w:top w:val="none" w:sz="0" w:space="0" w:color="auto"/>
            <w:left w:val="none" w:sz="0" w:space="0" w:color="auto"/>
            <w:bottom w:val="none" w:sz="0" w:space="0" w:color="auto"/>
            <w:right w:val="none" w:sz="0" w:space="0" w:color="auto"/>
          </w:divBdr>
          <w:divsChild>
            <w:div w:id="2137946939">
              <w:marLeft w:val="0"/>
              <w:marRight w:val="0"/>
              <w:marTop w:val="0"/>
              <w:marBottom w:val="0"/>
              <w:divBdr>
                <w:top w:val="none" w:sz="0" w:space="0" w:color="auto"/>
                <w:left w:val="none" w:sz="0" w:space="0" w:color="auto"/>
                <w:bottom w:val="none" w:sz="0" w:space="0" w:color="auto"/>
                <w:right w:val="none" w:sz="0" w:space="0" w:color="auto"/>
              </w:divBdr>
            </w:div>
            <w:div w:id="724531272">
              <w:marLeft w:val="0"/>
              <w:marRight w:val="0"/>
              <w:marTop w:val="0"/>
              <w:marBottom w:val="0"/>
              <w:divBdr>
                <w:top w:val="none" w:sz="0" w:space="0" w:color="auto"/>
                <w:left w:val="none" w:sz="0" w:space="0" w:color="auto"/>
                <w:bottom w:val="none" w:sz="0" w:space="0" w:color="auto"/>
                <w:right w:val="none" w:sz="0" w:space="0" w:color="auto"/>
              </w:divBdr>
            </w:div>
          </w:divsChild>
        </w:div>
        <w:div w:id="1119569827">
          <w:marLeft w:val="0"/>
          <w:marRight w:val="0"/>
          <w:marTop w:val="0"/>
          <w:marBottom w:val="0"/>
          <w:divBdr>
            <w:top w:val="none" w:sz="0" w:space="0" w:color="auto"/>
            <w:left w:val="none" w:sz="0" w:space="0" w:color="auto"/>
            <w:bottom w:val="none" w:sz="0" w:space="0" w:color="auto"/>
            <w:right w:val="none" w:sz="0" w:space="0" w:color="auto"/>
          </w:divBdr>
        </w:div>
      </w:divsChild>
    </w:div>
    <w:div w:id="1628196255">
      <w:bodyDiv w:val="1"/>
      <w:marLeft w:val="0"/>
      <w:marRight w:val="0"/>
      <w:marTop w:val="0"/>
      <w:marBottom w:val="0"/>
      <w:divBdr>
        <w:top w:val="none" w:sz="0" w:space="0" w:color="auto"/>
        <w:left w:val="none" w:sz="0" w:space="0" w:color="auto"/>
        <w:bottom w:val="none" w:sz="0" w:space="0" w:color="auto"/>
        <w:right w:val="none" w:sz="0" w:space="0" w:color="auto"/>
      </w:divBdr>
      <w:divsChild>
        <w:div w:id="1507936033">
          <w:marLeft w:val="0"/>
          <w:marRight w:val="0"/>
          <w:marTop w:val="0"/>
          <w:marBottom w:val="0"/>
          <w:divBdr>
            <w:top w:val="none" w:sz="0" w:space="0" w:color="auto"/>
            <w:left w:val="none" w:sz="0" w:space="0" w:color="auto"/>
            <w:bottom w:val="none" w:sz="0" w:space="0" w:color="auto"/>
            <w:right w:val="none" w:sz="0" w:space="0" w:color="auto"/>
          </w:divBdr>
          <w:divsChild>
            <w:div w:id="808321743">
              <w:marLeft w:val="-225"/>
              <w:marRight w:val="-225"/>
              <w:marTop w:val="0"/>
              <w:marBottom w:val="0"/>
              <w:divBdr>
                <w:top w:val="none" w:sz="0" w:space="0" w:color="auto"/>
                <w:left w:val="none" w:sz="0" w:space="0" w:color="auto"/>
                <w:bottom w:val="none" w:sz="0" w:space="0" w:color="auto"/>
                <w:right w:val="none" w:sz="0" w:space="0" w:color="auto"/>
              </w:divBdr>
              <w:divsChild>
                <w:div w:id="36047604">
                  <w:marLeft w:val="0"/>
                  <w:marRight w:val="0"/>
                  <w:marTop w:val="0"/>
                  <w:marBottom w:val="0"/>
                  <w:divBdr>
                    <w:top w:val="none" w:sz="0" w:space="0" w:color="auto"/>
                    <w:left w:val="none" w:sz="0" w:space="0" w:color="auto"/>
                    <w:bottom w:val="none" w:sz="0" w:space="0" w:color="auto"/>
                    <w:right w:val="none" w:sz="0" w:space="0" w:color="auto"/>
                  </w:divBdr>
                  <w:divsChild>
                    <w:div w:id="2023240471">
                      <w:marLeft w:val="0"/>
                      <w:marRight w:val="0"/>
                      <w:marTop w:val="0"/>
                      <w:marBottom w:val="0"/>
                      <w:divBdr>
                        <w:top w:val="none" w:sz="0" w:space="0" w:color="auto"/>
                        <w:left w:val="none" w:sz="0" w:space="0" w:color="auto"/>
                        <w:bottom w:val="none" w:sz="0" w:space="0" w:color="auto"/>
                        <w:right w:val="none" w:sz="0" w:space="0" w:color="auto"/>
                      </w:divBdr>
                      <w:divsChild>
                        <w:div w:id="861239795">
                          <w:marLeft w:val="0"/>
                          <w:marRight w:val="0"/>
                          <w:marTop w:val="0"/>
                          <w:marBottom w:val="0"/>
                          <w:divBdr>
                            <w:top w:val="none" w:sz="0" w:space="0" w:color="auto"/>
                            <w:left w:val="none" w:sz="0" w:space="0" w:color="auto"/>
                            <w:bottom w:val="none" w:sz="0" w:space="0" w:color="auto"/>
                            <w:right w:val="none" w:sz="0" w:space="0" w:color="auto"/>
                          </w:divBdr>
                          <w:divsChild>
                            <w:div w:id="1505392179">
                              <w:marLeft w:val="0"/>
                              <w:marRight w:val="0"/>
                              <w:marTop w:val="0"/>
                              <w:marBottom w:val="0"/>
                              <w:divBdr>
                                <w:top w:val="none" w:sz="0" w:space="0" w:color="auto"/>
                                <w:left w:val="none" w:sz="0" w:space="0" w:color="auto"/>
                                <w:bottom w:val="none" w:sz="0" w:space="0" w:color="auto"/>
                                <w:right w:val="none" w:sz="0" w:space="0" w:color="auto"/>
                              </w:divBdr>
                              <w:divsChild>
                                <w:div w:id="1501197913">
                                  <w:marLeft w:val="-225"/>
                                  <w:marRight w:val="-225"/>
                                  <w:marTop w:val="300"/>
                                  <w:marBottom w:val="0"/>
                                  <w:divBdr>
                                    <w:top w:val="none" w:sz="0" w:space="0" w:color="auto"/>
                                    <w:left w:val="none" w:sz="0" w:space="0" w:color="auto"/>
                                    <w:bottom w:val="none" w:sz="0" w:space="0" w:color="auto"/>
                                    <w:right w:val="none" w:sz="0" w:space="0" w:color="auto"/>
                                  </w:divBdr>
                                  <w:divsChild>
                                    <w:div w:id="13443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3016">
      <w:bodyDiv w:val="1"/>
      <w:marLeft w:val="0"/>
      <w:marRight w:val="0"/>
      <w:marTop w:val="0"/>
      <w:marBottom w:val="0"/>
      <w:divBdr>
        <w:top w:val="none" w:sz="0" w:space="0" w:color="auto"/>
        <w:left w:val="none" w:sz="0" w:space="0" w:color="auto"/>
        <w:bottom w:val="none" w:sz="0" w:space="0" w:color="auto"/>
        <w:right w:val="none" w:sz="0" w:space="0" w:color="auto"/>
      </w:divBdr>
      <w:divsChild>
        <w:div w:id="363406428">
          <w:marLeft w:val="0"/>
          <w:marRight w:val="0"/>
          <w:marTop w:val="0"/>
          <w:marBottom w:val="0"/>
          <w:divBdr>
            <w:top w:val="none" w:sz="0" w:space="0" w:color="auto"/>
            <w:left w:val="none" w:sz="0" w:space="0" w:color="auto"/>
            <w:bottom w:val="none" w:sz="0" w:space="0" w:color="auto"/>
            <w:right w:val="none" w:sz="0" w:space="0" w:color="auto"/>
          </w:divBdr>
          <w:divsChild>
            <w:div w:id="553084679">
              <w:marLeft w:val="0"/>
              <w:marRight w:val="0"/>
              <w:marTop w:val="0"/>
              <w:marBottom w:val="0"/>
              <w:divBdr>
                <w:top w:val="none" w:sz="0" w:space="0" w:color="auto"/>
                <w:left w:val="none" w:sz="0" w:space="0" w:color="auto"/>
                <w:bottom w:val="none" w:sz="0" w:space="0" w:color="auto"/>
                <w:right w:val="none" w:sz="0" w:space="0" w:color="auto"/>
              </w:divBdr>
              <w:divsChild>
                <w:div w:id="1265074139">
                  <w:marLeft w:val="0"/>
                  <w:marRight w:val="0"/>
                  <w:marTop w:val="0"/>
                  <w:marBottom w:val="0"/>
                  <w:divBdr>
                    <w:top w:val="none" w:sz="0" w:space="0" w:color="auto"/>
                    <w:left w:val="none" w:sz="0" w:space="0" w:color="auto"/>
                    <w:bottom w:val="none" w:sz="0" w:space="0" w:color="auto"/>
                    <w:right w:val="none" w:sz="0" w:space="0" w:color="auto"/>
                  </w:divBdr>
                  <w:divsChild>
                    <w:div w:id="1607735420">
                      <w:marLeft w:val="0"/>
                      <w:marRight w:val="0"/>
                      <w:marTop w:val="0"/>
                      <w:marBottom w:val="0"/>
                      <w:divBdr>
                        <w:top w:val="none" w:sz="0" w:space="0" w:color="auto"/>
                        <w:left w:val="none" w:sz="0" w:space="0" w:color="auto"/>
                        <w:bottom w:val="none" w:sz="0" w:space="0" w:color="auto"/>
                        <w:right w:val="none" w:sz="0" w:space="0" w:color="auto"/>
                      </w:divBdr>
                      <w:divsChild>
                        <w:div w:id="976883142">
                          <w:marLeft w:val="570"/>
                          <w:marRight w:val="720"/>
                          <w:marTop w:val="120"/>
                          <w:marBottom w:val="120"/>
                          <w:divBdr>
                            <w:top w:val="none" w:sz="0" w:space="0" w:color="auto"/>
                            <w:left w:val="none" w:sz="0" w:space="0" w:color="auto"/>
                            <w:bottom w:val="none" w:sz="0" w:space="0" w:color="auto"/>
                            <w:right w:val="none" w:sz="0" w:space="0" w:color="auto"/>
                          </w:divBdr>
                          <w:divsChild>
                            <w:div w:id="647905066">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sChild>
                                    <w:div w:id="1128083522">
                                      <w:marLeft w:val="0"/>
                                      <w:marRight w:val="0"/>
                                      <w:marTop w:val="0"/>
                                      <w:marBottom w:val="0"/>
                                      <w:divBdr>
                                        <w:top w:val="none" w:sz="0" w:space="0" w:color="auto"/>
                                        <w:left w:val="none" w:sz="0" w:space="0" w:color="auto"/>
                                        <w:bottom w:val="none" w:sz="0" w:space="0" w:color="auto"/>
                                        <w:right w:val="none" w:sz="0" w:space="0" w:color="auto"/>
                                      </w:divBdr>
                                      <w:divsChild>
                                        <w:div w:id="1977563302">
                                          <w:marLeft w:val="0"/>
                                          <w:marRight w:val="0"/>
                                          <w:marTop w:val="0"/>
                                          <w:marBottom w:val="0"/>
                                          <w:divBdr>
                                            <w:top w:val="none" w:sz="0" w:space="0" w:color="auto"/>
                                            <w:left w:val="none" w:sz="0" w:space="0" w:color="auto"/>
                                            <w:bottom w:val="none" w:sz="0" w:space="0" w:color="auto"/>
                                            <w:right w:val="none" w:sz="0" w:space="0" w:color="auto"/>
                                          </w:divBdr>
                                          <w:divsChild>
                                            <w:div w:id="21414099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123636">
      <w:bodyDiv w:val="1"/>
      <w:marLeft w:val="0"/>
      <w:marRight w:val="0"/>
      <w:marTop w:val="0"/>
      <w:marBottom w:val="0"/>
      <w:divBdr>
        <w:top w:val="none" w:sz="0" w:space="0" w:color="auto"/>
        <w:left w:val="none" w:sz="0" w:space="0" w:color="auto"/>
        <w:bottom w:val="none" w:sz="0" w:space="0" w:color="auto"/>
        <w:right w:val="none" w:sz="0" w:space="0" w:color="auto"/>
      </w:divBdr>
      <w:divsChild>
        <w:div w:id="1732804035">
          <w:marLeft w:val="0"/>
          <w:marRight w:val="0"/>
          <w:marTop w:val="0"/>
          <w:marBottom w:val="0"/>
          <w:divBdr>
            <w:top w:val="none" w:sz="0" w:space="0" w:color="auto"/>
            <w:left w:val="none" w:sz="0" w:space="0" w:color="auto"/>
            <w:bottom w:val="none" w:sz="0" w:space="0" w:color="auto"/>
            <w:right w:val="none" w:sz="0" w:space="0" w:color="auto"/>
          </w:divBdr>
          <w:divsChild>
            <w:div w:id="1662925057">
              <w:marLeft w:val="0"/>
              <w:marRight w:val="0"/>
              <w:marTop w:val="0"/>
              <w:marBottom w:val="0"/>
              <w:divBdr>
                <w:top w:val="none" w:sz="0" w:space="0" w:color="auto"/>
                <w:left w:val="none" w:sz="0" w:space="0" w:color="auto"/>
                <w:bottom w:val="none" w:sz="0" w:space="0" w:color="auto"/>
                <w:right w:val="none" w:sz="0" w:space="0" w:color="auto"/>
              </w:divBdr>
              <w:divsChild>
                <w:div w:id="1314598631">
                  <w:marLeft w:val="0"/>
                  <w:marRight w:val="0"/>
                  <w:marTop w:val="0"/>
                  <w:marBottom w:val="0"/>
                  <w:divBdr>
                    <w:top w:val="none" w:sz="0" w:space="0" w:color="auto"/>
                    <w:left w:val="none" w:sz="0" w:space="0" w:color="auto"/>
                    <w:bottom w:val="none" w:sz="0" w:space="0" w:color="auto"/>
                    <w:right w:val="none" w:sz="0" w:space="0" w:color="auto"/>
                  </w:divBdr>
                  <w:divsChild>
                    <w:div w:id="2038462191">
                      <w:marLeft w:val="0"/>
                      <w:marRight w:val="0"/>
                      <w:marTop w:val="0"/>
                      <w:marBottom w:val="0"/>
                      <w:divBdr>
                        <w:top w:val="none" w:sz="0" w:space="0" w:color="auto"/>
                        <w:left w:val="none" w:sz="0" w:space="0" w:color="auto"/>
                        <w:bottom w:val="none" w:sz="0" w:space="0" w:color="auto"/>
                        <w:right w:val="none" w:sz="0" w:space="0" w:color="auto"/>
                      </w:divBdr>
                      <w:divsChild>
                        <w:div w:id="232325133">
                          <w:marLeft w:val="0"/>
                          <w:marRight w:val="0"/>
                          <w:marTop w:val="0"/>
                          <w:marBottom w:val="0"/>
                          <w:divBdr>
                            <w:top w:val="none" w:sz="0" w:space="0" w:color="auto"/>
                            <w:left w:val="none" w:sz="0" w:space="0" w:color="auto"/>
                            <w:bottom w:val="none" w:sz="0" w:space="0" w:color="auto"/>
                            <w:right w:val="none" w:sz="0" w:space="0" w:color="auto"/>
                          </w:divBdr>
                          <w:divsChild>
                            <w:div w:id="158887767">
                              <w:marLeft w:val="570"/>
                              <w:marRight w:val="720"/>
                              <w:marTop w:val="120"/>
                              <w:marBottom w:val="120"/>
                              <w:divBdr>
                                <w:top w:val="none" w:sz="0" w:space="0" w:color="auto"/>
                                <w:left w:val="none" w:sz="0" w:space="0" w:color="auto"/>
                                <w:bottom w:val="none" w:sz="0" w:space="0" w:color="auto"/>
                                <w:right w:val="none" w:sz="0" w:space="0" w:color="auto"/>
                              </w:divBdr>
                              <w:divsChild>
                                <w:div w:id="2094617306">
                                  <w:marLeft w:val="0"/>
                                  <w:marRight w:val="0"/>
                                  <w:marTop w:val="0"/>
                                  <w:marBottom w:val="0"/>
                                  <w:divBdr>
                                    <w:top w:val="none" w:sz="0" w:space="0" w:color="auto"/>
                                    <w:left w:val="none" w:sz="0" w:space="0" w:color="auto"/>
                                    <w:bottom w:val="none" w:sz="0" w:space="0" w:color="auto"/>
                                    <w:right w:val="none" w:sz="0" w:space="0" w:color="auto"/>
                                  </w:divBdr>
                                  <w:divsChild>
                                    <w:div w:id="1133907992">
                                      <w:marLeft w:val="0"/>
                                      <w:marRight w:val="0"/>
                                      <w:marTop w:val="0"/>
                                      <w:marBottom w:val="0"/>
                                      <w:divBdr>
                                        <w:top w:val="none" w:sz="0" w:space="0" w:color="auto"/>
                                        <w:left w:val="none" w:sz="0" w:space="0" w:color="auto"/>
                                        <w:bottom w:val="none" w:sz="0" w:space="0" w:color="auto"/>
                                        <w:right w:val="none" w:sz="0" w:space="0" w:color="auto"/>
                                      </w:divBdr>
                                      <w:divsChild>
                                        <w:div w:id="1935429165">
                                          <w:marLeft w:val="0"/>
                                          <w:marRight w:val="0"/>
                                          <w:marTop w:val="0"/>
                                          <w:marBottom w:val="150"/>
                                          <w:divBdr>
                                            <w:top w:val="none" w:sz="0" w:space="0" w:color="auto"/>
                                            <w:left w:val="none" w:sz="0" w:space="0" w:color="auto"/>
                                            <w:bottom w:val="none" w:sz="0" w:space="0" w:color="auto"/>
                                            <w:right w:val="none" w:sz="0" w:space="0" w:color="auto"/>
                                          </w:divBdr>
                                          <w:divsChild>
                                            <w:div w:id="553465327">
                                              <w:marLeft w:val="0"/>
                                              <w:marRight w:val="0"/>
                                              <w:marTop w:val="240"/>
                                              <w:marBottom w:val="240"/>
                                              <w:divBdr>
                                                <w:top w:val="single" w:sz="6" w:space="6" w:color="F2F2F2"/>
                                                <w:left w:val="none" w:sz="0" w:space="0" w:color="auto"/>
                                                <w:bottom w:val="single" w:sz="6" w:space="6" w:color="F2F2F2"/>
                                                <w:right w:val="none" w:sz="0" w:space="0" w:color="auto"/>
                                              </w:divBdr>
                                            </w:div>
                                            <w:div w:id="1752040024">
                                              <w:marLeft w:val="0"/>
                                              <w:marRight w:val="0"/>
                                              <w:marTop w:val="0"/>
                                              <w:marBottom w:val="0"/>
                                              <w:divBdr>
                                                <w:top w:val="none" w:sz="0" w:space="0" w:color="auto"/>
                                                <w:left w:val="none" w:sz="0" w:space="0" w:color="auto"/>
                                                <w:bottom w:val="none" w:sz="0" w:space="0" w:color="auto"/>
                                                <w:right w:val="none" w:sz="0" w:space="0" w:color="auto"/>
                                              </w:divBdr>
                                              <w:divsChild>
                                                <w:div w:id="502161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71819">
      <w:bodyDiv w:val="1"/>
      <w:marLeft w:val="0"/>
      <w:marRight w:val="0"/>
      <w:marTop w:val="0"/>
      <w:marBottom w:val="0"/>
      <w:divBdr>
        <w:top w:val="none" w:sz="0" w:space="0" w:color="auto"/>
        <w:left w:val="none" w:sz="0" w:space="0" w:color="auto"/>
        <w:bottom w:val="none" w:sz="0" w:space="0" w:color="auto"/>
        <w:right w:val="none" w:sz="0" w:space="0" w:color="auto"/>
      </w:divBdr>
    </w:div>
    <w:div w:id="1630939858">
      <w:bodyDiv w:val="1"/>
      <w:marLeft w:val="0"/>
      <w:marRight w:val="0"/>
      <w:marTop w:val="0"/>
      <w:marBottom w:val="0"/>
      <w:divBdr>
        <w:top w:val="none" w:sz="0" w:space="0" w:color="auto"/>
        <w:left w:val="none" w:sz="0" w:space="0" w:color="auto"/>
        <w:bottom w:val="none" w:sz="0" w:space="0" w:color="auto"/>
        <w:right w:val="none" w:sz="0" w:space="0" w:color="auto"/>
      </w:divBdr>
      <w:divsChild>
        <w:div w:id="1740056588">
          <w:marLeft w:val="0"/>
          <w:marRight w:val="0"/>
          <w:marTop w:val="0"/>
          <w:marBottom w:val="0"/>
          <w:divBdr>
            <w:top w:val="none" w:sz="0" w:space="0" w:color="auto"/>
            <w:left w:val="none" w:sz="0" w:space="0" w:color="auto"/>
            <w:bottom w:val="none" w:sz="0" w:space="0" w:color="auto"/>
            <w:right w:val="none" w:sz="0" w:space="0" w:color="auto"/>
          </w:divBdr>
          <w:divsChild>
            <w:div w:id="1028918863">
              <w:marLeft w:val="0"/>
              <w:marRight w:val="0"/>
              <w:marTop w:val="0"/>
              <w:marBottom w:val="0"/>
              <w:divBdr>
                <w:top w:val="none" w:sz="0" w:space="0" w:color="auto"/>
                <w:left w:val="none" w:sz="0" w:space="0" w:color="auto"/>
                <w:bottom w:val="none" w:sz="0" w:space="0" w:color="auto"/>
                <w:right w:val="none" w:sz="0" w:space="0" w:color="auto"/>
              </w:divBdr>
            </w:div>
          </w:divsChild>
        </w:div>
        <w:div w:id="1373656933">
          <w:marLeft w:val="0"/>
          <w:marRight w:val="0"/>
          <w:marTop w:val="0"/>
          <w:marBottom w:val="0"/>
          <w:divBdr>
            <w:top w:val="none" w:sz="0" w:space="0" w:color="auto"/>
            <w:left w:val="none" w:sz="0" w:space="0" w:color="auto"/>
            <w:bottom w:val="none" w:sz="0" w:space="0" w:color="auto"/>
            <w:right w:val="none" w:sz="0" w:space="0" w:color="auto"/>
          </w:divBdr>
          <w:divsChild>
            <w:div w:id="1171288131">
              <w:marLeft w:val="0"/>
              <w:marRight w:val="0"/>
              <w:marTop w:val="0"/>
              <w:marBottom w:val="0"/>
              <w:divBdr>
                <w:top w:val="none" w:sz="0" w:space="0" w:color="auto"/>
                <w:left w:val="none" w:sz="0" w:space="0" w:color="auto"/>
                <w:bottom w:val="none" w:sz="0" w:space="0" w:color="auto"/>
                <w:right w:val="none" w:sz="0" w:space="0" w:color="auto"/>
              </w:divBdr>
              <w:divsChild>
                <w:div w:id="1368018864">
                  <w:marLeft w:val="0"/>
                  <w:marRight w:val="0"/>
                  <w:marTop w:val="0"/>
                  <w:marBottom w:val="0"/>
                  <w:divBdr>
                    <w:top w:val="none" w:sz="0" w:space="0" w:color="auto"/>
                    <w:left w:val="none" w:sz="0" w:space="0" w:color="auto"/>
                    <w:bottom w:val="none" w:sz="0" w:space="0" w:color="auto"/>
                    <w:right w:val="none" w:sz="0" w:space="0" w:color="auto"/>
                  </w:divBdr>
                  <w:divsChild>
                    <w:div w:id="19288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2475">
      <w:bodyDiv w:val="1"/>
      <w:marLeft w:val="0"/>
      <w:marRight w:val="0"/>
      <w:marTop w:val="0"/>
      <w:marBottom w:val="0"/>
      <w:divBdr>
        <w:top w:val="none" w:sz="0" w:space="0" w:color="auto"/>
        <w:left w:val="none" w:sz="0" w:space="0" w:color="auto"/>
        <w:bottom w:val="none" w:sz="0" w:space="0" w:color="auto"/>
        <w:right w:val="none" w:sz="0" w:space="0" w:color="auto"/>
      </w:divBdr>
      <w:divsChild>
        <w:div w:id="926111039">
          <w:marLeft w:val="0"/>
          <w:marRight w:val="0"/>
          <w:marTop w:val="0"/>
          <w:marBottom w:val="0"/>
          <w:divBdr>
            <w:top w:val="none" w:sz="0" w:space="0" w:color="auto"/>
            <w:left w:val="none" w:sz="0" w:space="0" w:color="auto"/>
            <w:bottom w:val="none" w:sz="0" w:space="0" w:color="auto"/>
            <w:right w:val="none" w:sz="0" w:space="0" w:color="auto"/>
          </w:divBdr>
          <w:divsChild>
            <w:div w:id="932249755">
              <w:marLeft w:val="0"/>
              <w:marRight w:val="0"/>
              <w:marTop w:val="0"/>
              <w:marBottom w:val="0"/>
              <w:divBdr>
                <w:top w:val="none" w:sz="0" w:space="0" w:color="auto"/>
                <w:left w:val="none" w:sz="0" w:space="0" w:color="auto"/>
                <w:bottom w:val="none" w:sz="0" w:space="0" w:color="auto"/>
                <w:right w:val="none" w:sz="0" w:space="0" w:color="auto"/>
              </w:divBdr>
              <w:divsChild>
                <w:div w:id="1118374140">
                  <w:marLeft w:val="0"/>
                  <w:marRight w:val="0"/>
                  <w:marTop w:val="100"/>
                  <w:marBottom w:val="100"/>
                  <w:divBdr>
                    <w:top w:val="none" w:sz="0" w:space="0" w:color="auto"/>
                    <w:left w:val="none" w:sz="0" w:space="0" w:color="auto"/>
                    <w:bottom w:val="none" w:sz="0" w:space="0" w:color="auto"/>
                    <w:right w:val="none" w:sz="0" w:space="0" w:color="auto"/>
                  </w:divBdr>
                  <w:divsChild>
                    <w:div w:id="579563876">
                      <w:marLeft w:val="0"/>
                      <w:marRight w:val="0"/>
                      <w:marTop w:val="0"/>
                      <w:marBottom w:val="0"/>
                      <w:divBdr>
                        <w:top w:val="none" w:sz="0" w:space="0" w:color="auto"/>
                        <w:left w:val="none" w:sz="0" w:space="0" w:color="auto"/>
                        <w:bottom w:val="none" w:sz="0" w:space="0" w:color="auto"/>
                        <w:right w:val="none" w:sz="0" w:space="0" w:color="auto"/>
                      </w:divBdr>
                      <w:divsChild>
                        <w:div w:id="1194414924">
                          <w:marLeft w:val="0"/>
                          <w:marRight w:val="0"/>
                          <w:marTop w:val="0"/>
                          <w:marBottom w:val="0"/>
                          <w:divBdr>
                            <w:top w:val="none" w:sz="0" w:space="0" w:color="auto"/>
                            <w:left w:val="none" w:sz="0" w:space="0" w:color="auto"/>
                            <w:bottom w:val="none" w:sz="0" w:space="0" w:color="auto"/>
                            <w:right w:val="none" w:sz="0" w:space="0" w:color="auto"/>
                          </w:divBdr>
                          <w:divsChild>
                            <w:div w:id="1320768990">
                              <w:marLeft w:val="0"/>
                              <w:marRight w:val="0"/>
                              <w:marTop w:val="0"/>
                              <w:marBottom w:val="0"/>
                              <w:divBdr>
                                <w:top w:val="none" w:sz="0" w:space="0" w:color="auto"/>
                                <w:left w:val="none" w:sz="0" w:space="0" w:color="auto"/>
                                <w:bottom w:val="none" w:sz="0" w:space="0" w:color="auto"/>
                                <w:right w:val="none" w:sz="0" w:space="0" w:color="auto"/>
                              </w:divBdr>
                              <w:divsChild>
                                <w:div w:id="541940150">
                                  <w:marLeft w:val="0"/>
                                  <w:marRight w:val="0"/>
                                  <w:marTop w:val="0"/>
                                  <w:marBottom w:val="0"/>
                                  <w:divBdr>
                                    <w:top w:val="none" w:sz="0" w:space="0" w:color="auto"/>
                                    <w:left w:val="none" w:sz="0" w:space="0" w:color="auto"/>
                                    <w:bottom w:val="none" w:sz="0" w:space="0" w:color="auto"/>
                                    <w:right w:val="none" w:sz="0" w:space="0" w:color="auto"/>
                                  </w:divBdr>
                                  <w:divsChild>
                                    <w:div w:id="656375464">
                                      <w:marLeft w:val="0"/>
                                      <w:marRight w:val="0"/>
                                      <w:marTop w:val="0"/>
                                      <w:marBottom w:val="0"/>
                                      <w:divBdr>
                                        <w:top w:val="none" w:sz="0" w:space="0" w:color="auto"/>
                                        <w:left w:val="none" w:sz="0" w:space="0" w:color="auto"/>
                                        <w:bottom w:val="none" w:sz="0" w:space="0" w:color="auto"/>
                                        <w:right w:val="none" w:sz="0" w:space="0" w:color="auto"/>
                                      </w:divBdr>
                                      <w:divsChild>
                                        <w:div w:id="1854227235">
                                          <w:marLeft w:val="0"/>
                                          <w:marRight w:val="0"/>
                                          <w:marTop w:val="0"/>
                                          <w:marBottom w:val="0"/>
                                          <w:divBdr>
                                            <w:top w:val="none" w:sz="0" w:space="0" w:color="auto"/>
                                            <w:left w:val="none" w:sz="0" w:space="0" w:color="auto"/>
                                            <w:bottom w:val="none" w:sz="0" w:space="0" w:color="auto"/>
                                            <w:right w:val="none" w:sz="0" w:space="0" w:color="auto"/>
                                          </w:divBdr>
                                          <w:divsChild>
                                            <w:div w:id="1150293383">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254486">
      <w:bodyDiv w:val="1"/>
      <w:marLeft w:val="0"/>
      <w:marRight w:val="0"/>
      <w:marTop w:val="0"/>
      <w:marBottom w:val="0"/>
      <w:divBdr>
        <w:top w:val="none" w:sz="0" w:space="0" w:color="auto"/>
        <w:left w:val="none" w:sz="0" w:space="0" w:color="auto"/>
        <w:bottom w:val="none" w:sz="0" w:space="0" w:color="auto"/>
        <w:right w:val="none" w:sz="0" w:space="0" w:color="auto"/>
      </w:divBdr>
    </w:div>
    <w:div w:id="1636177251">
      <w:bodyDiv w:val="1"/>
      <w:marLeft w:val="0"/>
      <w:marRight w:val="0"/>
      <w:marTop w:val="0"/>
      <w:marBottom w:val="0"/>
      <w:divBdr>
        <w:top w:val="none" w:sz="0" w:space="0" w:color="auto"/>
        <w:left w:val="none" w:sz="0" w:space="0" w:color="auto"/>
        <w:bottom w:val="none" w:sz="0" w:space="0" w:color="auto"/>
        <w:right w:val="none" w:sz="0" w:space="0" w:color="auto"/>
      </w:divBdr>
      <w:divsChild>
        <w:div w:id="1779253295">
          <w:marLeft w:val="0"/>
          <w:marRight w:val="0"/>
          <w:marTop w:val="0"/>
          <w:marBottom w:val="0"/>
          <w:divBdr>
            <w:top w:val="single" w:sz="6" w:space="0" w:color="0E477A"/>
            <w:left w:val="single" w:sz="6" w:space="0" w:color="0E477A"/>
            <w:bottom w:val="single" w:sz="6" w:space="0" w:color="0E477A"/>
            <w:right w:val="single" w:sz="6" w:space="0" w:color="0E477A"/>
          </w:divBdr>
          <w:divsChild>
            <w:div w:id="1263295147">
              <w:marLeft w:val="0"/>
              <w:marRight w:val="0"/>
              <w:marTop w:val="0"/>
              <w:marBottom w:val="0"/>
              <w:divBdr>
                <w:top w:val="none" w:sz="0" w:space="0" w:color="auto"/>
                <w:left w:val="none" w:sz="0" w:space="0" w:color="auto"/>
                <w:bottom w:val="none" w:sz="0" w:space="0" w:color="auto"/>
                <w:right w:val="none" w:sz="0" w:space="0" w:color="auto"/>
              </w:divBdr>
              <w:divsChild>
                <w:div w:id="1729301937">
                  <w:marLeft w:val="0"/>
                  <w:marRight w:val="0"/>
                  <w:marTop w:val="0"/>
                  <w:marBottom w:val="0"/>
                  <w:divBdr>
                    <w:top w:val="none" w:sz="0" w:space="0" w:color="auto"/>
                    <w:left w:val="none" w:sz="0" w:space="0" w:color="auto"/>
                    <w:bottom w:val="none" w:sz="0" w:space="0" w:color="auto"/>
                    <w:right w:val="none" w:sz="0" w:space="0" w:color="auto"/>
                  </w:divBdr>
                  <w:divsChild>
                    <w:div w:id="1340306853">
                      <w:marLeft w:val="0"/>
                      <w:marRight w:val="0"/>
                      <w:marTop w:val="0"/>
                      <w:marBottom w:val="0"/>
                      <w:divBdr>
                        <w:top w:val="none" w:sz="0" w:space="0" w:color="auto"/>
                        <w:left w:val="none" w:sz="0" w:space="0" w:color="auto"/>
                        <w:bottom w:val="none" w:sz="0" w:space="0" w:color="auto"/>
                        <w:right w:val="none" w:sz="0" w:space="0" w:color="auto"/>
                      </w:divBdr>
                      <w:divsChild>
                        <w:div w:id="1515147535">
                          <w:marLeft w:val="0"/>
                          <w:marRight w:val="0"/>
                          <w:marTop w:val="0"/>
                          <w:marBottom w:val="0"/>
                          <w:divBdr>
                            <w:top w:val="none" w:sz="0" w:space="0" w:color="auto"/>
                            <w:left w:val="none" w:sz="0" w:space="0" w:color="auto"/>
                            <w:bottom w:val="none" w:sz="0" w:space="0" w:color="auto"/>
                            <w:right w:val="none" w:sz="0" w:space="0" w:color="auto"/>
                          </w:divBdr>
                          <w:divsChild>
                            <w:div w:id="1501695850">
                              <w:marLeft w:val="0"/>
                              <w:marRight w:val="0"/>
                              <w:marTop w:val="0"/>
                              <w:marBottom w:val="0"/>
                              <w:divBdr>
                                <w:top w:val="none" w:sz="0" w:space="0" w:color="auto"/>
                                <w:left w:val="none" w:sz="0" w:space="0" w:color="auto"/>
                                <w:bottom w:val="none" w:sz="0" w:space="0" w:color="auto"/>
                                <w:right w:val="none" w:sz="0" w:space="0" w:color="auto"/>
                              </w:divBdr>
                              <w:divsChild>
                                <w:div w:id="12908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914012">
      <w:bodyDiv w:val="1"/>
      <w:marLeft w:val="0"/>
      <w:marRight w:val="0"/>
      <w:marTop w:val="0"/>
      <w:marBottom w:val="0"/>
      <w:divBdr>
        <w:top w:val="none" w:sz="0" w:space="0" w:color="auto"/>
        <w:left w:val="none" w:sz="0" w:space="0" w:color="auto"/>
        <w:bottom w:val="none" w:sz="0" w:space="0" w:color="auto"/>
        <w:right w:val="none" w:sz="0" w:space="0" w:color="auto"/>
      </w:divBdr>
      <w:divsChild>
        <w:div w:id="2094471392">
          <w:marLeft w:val="0"/>
          <w:marRight w:val="0"/>
          <w:marTop w:val="0"/>
          <w:marBottom w:val="0"/>
          <w:divBdr>
            <w:top w:val="none" w:sz="0" w:space="0" w:color="auto"/>
            <w:left w:val="none" w:sz="0" w:space="0" w:color="auto"/>
            <w:bottom w:val="none" w:sz="0" w:space="0" w:color="auto"/>
            <w:right w:val="none" w:sz="0" w:space="0" w:color="auto"/>
          </w:divBdr>
          <w:divsChild>
            <w:div w:id="969898443">
              <w:marLeft w:val="0"/>
              <w:marRight w:val="0"/>
              <w:marTop w:val="0"/>
              <w:marBottom w:val="0"/>
              <w:divBdr>
                <w:top w:val="none" w:sz="0" w:space="0" w:color="auto"/>
                <w:left w:val="none" w:sz="0" w:space="0" w:color="auto"/>
                <w:bottom w:val="none" w:sz="0" w:space="0" w:color="auto"/>
                <w:right w:val="none" w:sz="0" w:space="0" w:color="auto"/>
              </w:divBdr>
              <w:divsChild>
                <w:div w:id="242763419">
                  <w:marLeft w:val="0"/>
                  <w:marRight w:val="0"/>
                  <w:marTop w:val="0"/>
                  <w:marBottom w:val="0"/>
                  <w:divBdr>
                    <w:top w:val="none" w:sz="0" w:space="0" w:color="auto"/>
                    <w:left w:val="none" w:sz="0" w:space="0" w:color="auto"/>
                    <w:bottom w:val="none" w:sz="0" w:space="0" w:color="auto"/>
                    <w:right w:val="none" w:sz="0" w:space="0" w:color="auto"/>
                  </w:divBdr>
                  <w:divsChild>
                    <w:div w:id="239944846">
                      <w:marLeft w:val="0"/>
                      <w:marRight w:val="0"/>
                      <w:marTop w:val="0"/>
                      <w:marBottom w:val="0"/>
                      <w:divBdr>
                        <w:top w:val="none" w:sz="0" w:space="0" w:color="auto"/>
                        <w:left w:val="none" w:sz="0" w:space="0" w:color="auto"/>
                        <w:bottom w:val="none" w:sz="0" w:space="0" w:color="auto"/>
                        <w:right w:val="none" w:sz="0" w:space="0" w:color="auto"/>
                      </w:divBdr>
                      <w:divsChild>
                        <w:div w:id="960574421">
                          <w:marLeft w:val="0"/>
                          <w:marRight w:val="0"/>
                          <w:marTop w:val="0"/>
                          <w:marBottom w:val="0"/>
                          <w:divBdr>
                            <w:top w:val="none" w:sz="0" w:space="0" w:color="auto"/>
                            <w:left w:val="none" w:sz="0" w:space="0" w:color="auto"/>
                            <w:bottom w:val="none" w:sz="0" w:space="0" w:color="auto"/>
                            <w:right w:val="none" w:sz="0" w:space="0" w:color="auto"/>
                          </w:divBdr>
                          <w:divsChild>
                            <w:div w:id="1455438937">
                              <w:marLeft w:val="0"/>
                              <w:marRight w:val="0"/>
                              <w:marTop w:val="0"/>
                              <w:marBottom w:val="0"/>
                              <w:divBdr>
                                <w:top w:val="none" w:sz="0" w:space="0" w:color="auto"/>
                                <w:left w:val="none" w:sz="0" w:space="0" w:color="auto"/>
                                <w:bottom w:val="none" w:sz="0" w:space="0" w:color="auto"/>
                                <w:right w:val="none" w:sz="0" w:space="0" w:color="auto"/>
                              </w:divBdr>
                              <w:divsChild>
                                <w:div w:id="772551055">
                                  <w:marLeft w:val="0"/>
                                  <w:marRight w:val="0"/>
                                  <w:marTop w:val="0"/>
                                  <w:marBottom w:val="0"/>
                                  <w:divBdr>
                                    <w:top w:val="none" w:sz="0" w:space="0" w:color="auto"/>
                                    <w:left w:val="none" w:sz="0" w:space="0" w:color="auto"/>
                                    <w:bottom w:val="none" w:sz="0" w:space="0" w:color="auto"/>
                                    <w:right w:val="none" w:sz="0" w:space="0" w:color="auto"/>
                                  </w:divBdr>
                                  <w:divsChild>
                                    <w:div w:id="1513689777">
                                      <w:marLeft w:val="0"/>
                                      <w:marRight w:val="0"/>
                                      <w:marTop w:val="0"/>
                                      <w:marBottom w:val="0"/>
                                      <w:divBdr>
                                        <w:top w:val="none" w:sz="0" w:space="0" w:color="auto"/>
                                        <w:left w:val="none" w:sz="0" w:space="0" w:color="auto"/>
                                        <w:bottom w:val="none" w:sz="0" w:space="0" w:color="auto"/>
                                        <w:right w:val="none" w:sz="0" w:space="0" w:color="auto"/>
                                      </w:divBdr>
                                      <w:divsChild>
                                        <w:div w:id="1492867506">
                                          <w:marLeft w:val="0"/>
                                          <w:marRight w:val="0"/>
                                          <w:marTop w:val="0"/>
                                          <w:marBottom w:val="0"/>
                                          <w:divBdr>
                                            <w:top w:val="none" w:sz="0" w:space="0" w:color="auto"/>
                                            <w:left w:val="none" w:sz="0" w:space="0" w:color="auto"/>
                                            <w:bottom w:val="none" w:sz="0" w:space="0" w:color="auto"/>
                                            <w:right w:val="none" w:sz="0" w:space="0" w:color="auto"/>
                                          </w:divBdr>
                                        </w:div>
                                        <w:div w:id="1978219556">
                                          <w:marLeft w:val="0"/>
                                          <w:marRight w:val="0"/>
                                          <w:marTop w:val="0"/>
                                          <w:marBottom w:val="0"/>
                                          <w:divBdr>
                                            <w:top w:val="none" w:sz="0" w:space="0" w:color="auto"/>
                                            <w:left w:val="none" w:sz="0" w:space="0" w:color="auto"/>
                                            <w:bottom w:val="none" w:sz="0" w:space="0" w:color="auto"/>
                                            <w:right w:val="none" w:sz="0" w:space="0" w:color="auto"/>
                                          </w:divBdr>
                                          <w:divsChild>
                                            <w:div w:id="21065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653099">
      <w:bodyDiv w:val="1"/>
      <w:marLeft w:val="0"/>
      <w:marRight w:val="0"/>
      <w:marTop w:val="0"/>
      <w:marBottom w:val="0"/>
      <w:divBdr>
        <w:top w:val="none" w:sz="0" w:space="0" w:color="auto"/>
        <w:left w:val="none" w:sz="0" w:space="0" w:color="auto"/>
        <w:bottom w:val="none" w:sz="0" w:space="0" w:color="auto"/>
        <w:right w:val="none" w:sz="0" w:space="0" w:color="auto"/>
      </w:divBdr>
    </w:div>
    <w:div w:id="1640261191">
      <w:bodyDiv w:val="1"/>
      <w:marLeft w:val="0"/>
      <w:marRight w:val="0"/>
      <w:marTop w:val="0"/>
      <w:marBottom w:val="0"/>
      <w:divBdr>
        <w:top w:val="none" w:sz="0" w:space="0" w:color="auto"/>
        <w:left w:val="none" w:sz="0" w:space="0" w:color="auto"/>
        <w:bottom w:val="none" w:sz="0" w:space="0" w:color="auto"/>
        <w:right w:val="none" w:sz="0" w:space="0" w:color="auto"/>
      </w:divBdr>
    </w:div>
    <w:div w:id="1640577526">
      <w:bodyDiv w:val="1"/>
      <w:marLeft w:val="0"/>
      <w:marRight w:val="0"/>
      <w:marTop w:val="0"/>
      <w:marBottom w:val="0"/>
      <w:divBdr>
        <w:top w:val="none" w:sz="0" w:space="0" w:color="auto"/>
        <w:left w:val="none" w:sz="0" w:space="0" w:color="auto"/>
        <w:bottom w:val="none" w:sz="0" w:space="0" w:color="auto"/>
        <w:right w:val="none" w:sz="0" w:space="0" w:color="auto"/>
      </w:divBdr>
      <w:divsChild>
        <w:div w:id="362093542">
          <w:marLeft w:val="0"/>
          <w:marRight w:val="0"/>
          <w:marTop w:val="0"/>
          <w:marBottom w:val="0"/>
          <w:divBdr>
            <w:top w:val="none" w:sz="0" w:space="0" w:color="auto"/>
            <w:left w:val="none" w:sz="0" w:space="0" w:color="auto"/>
            <w:bottom w:val="none" w:sz="0" w:space="0" w:color="auto"/>
            <w:right w:val="none" w:sz="0" w:space="0" w:color="auto"/>
          </w:divBdr>
          <w:divsChild>
            <w:div w:id="1358391781">
              <w:marLeft w:val="0"/>
              <w:marRight w:val="0"/>
              <w:marTop w:val="0"/>
              <w:marBottom w:val="0"/>
              <w:divBdr>
                <w:top w:val="none" w:sz="0" w:space="0" w:color="auto"/>
                <w:left w:val="none" w:sz="0" w:space="0" w:color="auto"/>
                <w:bottom w:val="none" w:sz="0" w:space="0" w:color="auto"/>
                <w:right w:val="none" w:sz="0" w:space="0" w:color="auto"/>
              </w:divBdr>
              <w:divsChild>
                <w:div w:id="1247038588">
                  <w:marLeft w:val="0"/>
                  <w:marRight w:val="0"/>
                  <w:marTop w:val="0"/>
                  <w:marBottom w:val="0"/>
                  <w:divBdr>
                    <w:top w:val="none" w:sz="0" w:space="0" w:color="auto"/>
                    <w:left w:val="none" w:sz="0" w:space="0" w:color="auto"/>
                    <w:bottom w:val="none" w:sz="0" w:space="0" w:color="auto"/>
                    <w:right w:val="none" w:sz="0" w:space="0" w:color="auto"/>
                  </w:divBdr>
                  <w:divsChild>
                    <w:div w:id="2130852213">
                      <w:marLeft w:val="0"/>
                      <w:marRight w:val="0"/>
                      <w:marTop w:val="0"/>
                      <w:marBottom w:val="0"/>
                      <w:divBdr>
                        <w:top w:val="none" w:sz="0" w:space="0" w:color="auto"/>
                        <w:left w:val="none" w:sz="0" w:space="0" w:color="auto"/>
                        <w:bottom w:val="none" w:sz="0" w:space="0" w:color="auto"/>
                        <w:right w:val="none" w:sz="0" w:space="0" w:color="auto"/>
                      </w:divBdr>
                      <w:divsChild>
                        <w:div w:id="252664638">
                          <w:marLeft w:val="0"/>
                          <w:marRight w:val="0"/>
                          <w:marTop w:val="0"/>
                          <w:marBottom w:val="0"/>
                          <w:divBdr>
                            <w:top w:val="none" w:sz="0" w:space="0" w:color="auto"/>
                            <w:left w:val="none" w:sz="0" w:space="0" w:color="auto"/>
                            <w:bottom w:val="none" w:sz="0" w:space="0" w:color="auto"/>
                            <w:right w:val="none" w:sz="0" w:space="0" w:color="auto"/>
                          </w:divBdr>
                          <w:divsChild>
                            <w:div w:id="32313015">
                              <w:marLeft w:val="570"/>
                              <w:marRight w:val="720"/>
                              <w:marTop w:val="120"/>
                              <w:marBottom w:val="120"/>
                              <w:divBdr>
                                <w:top w:val="none" w:sz="0" w:space="0" w:color="auto"/>
                                <w:left w:val="none" w:sz="0" w:space="0" w:color="auto"/>
                                <w:bottom w:val="none" w:sz="0" w:space="0" w:color="auto"/>
                                <w:right w:val="none" w:sz="0" w:space="0" w:color="auto"/>
                              </w:divBdr>
                              <w:divsChild>
                                <w:div w:id="40713377">
                                  <w:marLeft w:val="0"/>
                                  <w:marRight w:val="0"/>
                                  <w:marTop w:val="0"/>
                                  <w:marBottom w:val="0"/>
                                  <w:divBdr>
                                    <w:top w:val="none" w:sz="0" w:space="0" w:color="auto"/>
                                    <w:left w:val="none" w:sz="0" w:space="0" w:color="auto"/>
                                    <w:bottom w:val="none" w:sz="0" w:space="0" w:color="auto"/>
                                    <w:right w:val="none" w:sz="0" w:space="0" w:color="auto"/>
                                  </w:divBdr>
                                  <w:divsChild>
                                    <w:div w:id="963267102">
                                      <w:marLeft w:val="0"/>
                                      <w:marRight w:val="0"/>
                                      <w:marTop w:val="0"/>
                                      <w:marBottom w:val="0"/>
                                      <w:divBdr>
                                        <w:top w:val="none" w:sz="0" w:space="0" w:color="auto"/>
                                        <w:left w:val="none" w:sz="0" w:space="0" w:color="auto"/>
                                        <w:bottom w:val="none" w:sz="0" w:space="0" w:color="auto"/>
                                        <w:right w:val="none" w:sz="0" w:space="0" w:color="auto"/>
                                      </w:divBdr>
                                      <w:divsChild>
                                        <w:div w:id="1721594134">
                                          <w:marLeft w:val="0"/>
                                          <w:marRight w:val="0"/>
                                          <w:marTop w:val="0"/>
                                          <w:marBottom w:val="0"/>
                                          <w:divBdr>
                                            <w:top w:val="none" w:sz="0" w:space="0" w:color="auto"/>
                                            <w:left w:val="none" w:sz="0" w:space="0" w:color="auto"/>
                                            <w:bottom w:val="none" w:sz="0" w:space="0" w:color="auto"/>
                                            <w:right w:val="none" w:sz="0" w:space="0" w:color="auto"/>
                                          </w:divBdr>
                                        </w:div>
                                        <w:div w:id="1859348839">
                                          <w:marLeft w:val="0"/>
                                          <w:marRight w:val="0"/>
                                          <w:marTop w:val="0"/>
                                          <w:marBottom w:val="150"/>
                                          <w:divBdr>
                                            <w:top w:val="none" w:sz="0" w:space="0" w:color="auto"/>
                                            <w:left w:val="none" w:sz="0" w:space="0" w:color="auto"/>
                                            <w:bottom w:val="none" w:sz="0" w:space="0" w:color="auto"/>
                                            <w:right w:val="none" w:sz="0" w:space="0" w:color="auto"/>
                                          </w:divBdr>
                                          <w:divsChild>
                                            <w:div w:id="308748903">
                                              <w:marLeft w:val="0"/>
                                              <w:marRight w:val="0"/>
                                              <w:marTop w:val="240"/>
                                              <w:marBottom w:val="240"/>
                                              <w:divBdr>
                                                <w:top w:val="single" w:sz="6" w:space="6" w:color="F2F2F2"/>
                                                <w:left w:val="none" w:sz="0" w:space="0" w:color="auto"/>
                                                <w:bottom w:val="single" w:sz="6" w:space="6" w:color="F2F2F2"/>
                                                <w:right w:val="none" w:sz="0" w:space="0" w:color="auto"/>
                                              </w:divBdr>
                                            </w:div>
                                            <w:div w:id="2135250469">
                                              <w:marLeft w:val="0"/>
                                              <w:marRight w:val="0"/>
                                              <w:marTop w:val="0"/>
                                              <w:marBottom w:val="0"/>
                                              <w:divBdr>
                                                <w:top w:val="none" w:sz="0" w:space="0" w:color="auto"/>
                                                <w:left w:val="none" w:sz="0" w:space="0" w:color="auto"/>
                                                <w:bottom w:val="none" w:sz="0" w:space="0" w:color="auto"/>
                                                <w:right w:val="none" w:sz="0" w:space="0" w:color="auto"/>
                                              </w:divBdr>
                                              <w:divsChild>
                                                <w:div w:id="13963944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882247">
      <w:bodyDiv w:val="1"/>
      <w:marLeft w:val="0"/>
      <w:marRight w:val="0"/>
      <w:marTop w:val="0"/>
      <w:marBottom w:val="0"/>
      <w:divBdr>
        <w:top w:val="none" w:sz="0" w:space="0" w:color="auto"/>
        <w:left w:val="none" w:sz="0" w:space="0" w:color="auto"/>
        <w:bottom w:val="none" w:sz="0" w:space="0" w:color="auto"/>
        <w:right w:val="none" w:sz="0" w:space="0" w:color="auto"/>
      </w:divBdr>
    </w:div>
    <w:div w:id="1643340274">
      <w:bodyDiv w:val="1"/>
      <w:marLeft w:val="0"/>
      <w:marRight w:val="0"/>
      <w:marTop w:val="0"/>
      <w:marBottom w:val="0"/>
      <w:divBdr>
        <w:top w:val="none" w:sz="0" w:space="0" w:color="auto"/>
        <w:left w:val="none" w:sz="0" w:space="0" w:color="auto"/>
        <w:bottom w:val="none" w:sz="0" w:space="0" w:color="auto"/>
        <w:right w:val="none" w:sz="0" w:space="0" w:color="auto"/>
      </w:divBdr>
    </w:div>
    <w:div w:id="1643542317">
      <w:bodyDiv w:val="1"/>
      <w:marLeft w:val="0"/>
      <w:marRight w:val="0"/>
      <w:marTop w:val="0"/>
      <w:marBottom w:val="0"/>
      <w:divBdr>
        <w:top w:val="none" w:sz="0" w:space="0" w:color="auto"/>
        <w:left w:val="none" w:sz="0" w:space="0" w:color="auto"/>
        <w:bottom w:val="none" w:sz="0" w:space="0" w:color="auto"/>
        <w:right w:val="none" w:sz="0" w:space="0" w:color="auto"/>
      </w:divBdr>
      <w:divsChild>
        <w:div w:id="981621395">
          <w:marLeft w:val="0"/>
          <w:marRight w:val="0"/>
          <w:marTop w:val="0"/>
          <w:marBottom w:val="0"/>
          <w:divBdr>
            <w:top w:val="none" w:sz="0" w:space="0" w:color="auto"/>
            <w:left w:val="none" w:sz="0" w:space="0" w:color="auto"/>
            <w:bottom w:val="none" w:sz="0" w:space="0" w:color="auto"/>
            <w:right w:val="none" w:sz="0" w:space="0" w:color="auto"/>
          </w:divBdr>
          <w:divsChild>
            <w:div w:id="1794981994">
              <w:marLeft w:val="0"/>
              <w:marRight w:val="0"/>
              <w:marTop w:val="0"/>
              <w:marBottom w:val="0"/>
              <w:divBdr>
                <w:top w:val="none" w:sz="0" w:space="0" w:color="auto"/>
                <w:left w:val="none" w:sz="0" w:space="0" w:color="auto"/>
                <w:bottom w:val="none" w:sz="0" w:space="0" w:color="auto"/>
                <w:right w:val="none" w:sz="0" w:space="0" w:color="auto"/>
              </w:divBdr>
              <w:divsChild>
                <w:div w:id="135533946">
                  <w:marLeft w:val="0"/>
                  <w:marRight w:val="0"/>
                  <w:marTop w:val="100"/>
                  <w:marBottom w:val="100"/>
                  <w:divBdr>
                    <w:top w:val="none" w:sz="0" w:space="0" w:color="auto"/>
                    <w:left w:val="none" w:sz="0" w:space="0" w:color="auto"/>
                    <w:bottom w:val="none" w:sz="0" w:space="0" w:color="auto"/>
                    <w:right w:val="none" w:sz="0" w:space="0" w:color="auto"/>
                  </w:divBdr>
                  <w:divsChild>
                    <w:div w:id="1831632395">
                      <w:marLeft w:val="0"/>
                      <w:marRight w:val="0"/>
                      <w:marTop w:val="0"/>
                      <w:marBottom w:val="0"/>
                      <w:divBdr>
                        <w:top w:val="none" w:sz="0" w:space="0" w:color="auto"/>
                        <w:left w:val="none" w:sz="0" w:space="0" w:color="auto"/>
                        <w:bottom w:val="none" w:sz="0" w:space="0" w:color="auto"/>
                        <w:right w:val="none" w:sz="0" w:space="0" w:color="auto"/>
                      </w:divBdr>
                      <w:divsChild>
                        <w:div w:id="419569525">
                          <w:marLeft w:val="0"/>
                          <w:marRight w:val="0"/>
                          <w:marTop w:val="0"/>
                          <w:marBottom w:val="0"/>
                          <w:divBdr>
                            <w:top w:val="none" w:sz="0" w:space="0" w:color="auto"/>
                            <w:left w:val="none" w:sz="0" w:space="0" w:color="auto"/>
                            <w:bottom w:val="none" w:sz="0" w:space="0" w:color="auto"/>
                            <w:right w:val="none" w:sz="0" w:space="0" w:color="auto"/>
                          </w:divBdr>
                          <w:divsChild>
                            <w:div w:id="2130317244">
                              <w:marLeft w:val="0"/>
                              <w:marRight w:val="0"/>
                              <w:marTop w:val="0"/>
                              <w:marBottom w:val="0"/>
                              <w:divBdr>
                                <w:top w:val="none" w:sz="0" w:space="0" w:color="auto"/>
                                <w:left w:val="none" w:sz="0" w:space="0" w:color="auto"/>
                                <w:bottom w:val="none" w:sz="0" w:space="0" w:color="auto"/>
                                <w:right w:val="none" w:sz="0" w:space="0" w:color="auto"/>
                              </w:divBdr>
                              <w:divsChild>
                                <w:div w:id="970131757">
                                  <w:marLeft w:val="0"/>
                                  <w:marRight w:val="0"/>
                                  <w:marTop w:val="0"/>
                                  <w:marBottom w:val="0"/>
                                  <w:divBdr>
                                    <w:top w:val="none" w:sz="0" w:space="0" w:color="auto"/>
                                    <w:left w:val="none" w:sz="0" w:space="0" w:color="auto"/>
                                    <w:bottom w:val="none" w:sz="0" w:space="0" w:color="auto"/>
                                    <w:right w:val="none" w:sz="0" w:space="0" w:color="auto"/>
                                  </w:divBdr>
                                  <w:divsChild>
                                    <w:div w:id="1720128224">
                                      <w:marLeft w:val="0"/>
                                      <w:marRight w:val="0"/>
                                      <w:marTop w:val="0"/>
                                      <w:marBottom w:val="0"/>
                                      <w:divBdr>
                                        <w:top w:val="none" w:sz="0" w:space="0" w:color="auto"/>
                                        <w:left w:val="none" w:sz="0" w:space="0" w:color="auto"/>
                                        <w:bottom w:val="none" w:sz="0" w:space="0" w:color="auto"/>
                                        <w:right w:val="none" w:sz="0" w:space="0" w:color="auto"/>
                                      </w:divBdr>
                                      <w:divsChild>
                                        <w:div w:id="1802336510">
                                          <w:marLeft w:val="0"/>
                                          <w:marRight w:val="0"/>
                                          <w:marTop w:val="0"/>
                                          <w:marBottom w:val="0"/>
                                          <w:divBdr>
                                            <w:top w:val="none" w:sz="0" w:space="0" w:color="auto"/>
                                            <w:left w:val="none" w:sz="0" w:space="0" w:color="auto"/>
                                            <w:bottom w:val="none" w:sz="0" w:space="0" w:color="auto"/>
                                            <w:right w:val="none" w:sz="0" w:space="0" w:color="auto"/>
                                          </w:divBdr>
                                          <w:divsChild>
                                            <w:div w:id="1771900064">
                                              <w:marLeft w:val="0"/>
                                              <w:marRight w:val="0"/>
                                              <w:marTop w:val="0"/>
                                              <w:marBottom w:val="0"/>
                                              <w:divBdr>
                                                <w:top w:val="single" w:sz="6" w:space="0" w:color="B6D444"/>
                                                <w:left w:val="none" w:sz="0" w:space="0" w:color="auto"/>
                                                <w:bottom w:val="none" w:sz="0" w:space="0" w:color="auto"/>
                                                <w:right w:val="none" w:sz="0" w:space="0" w:color="auto"/>
                                              </w:divBdr>
                                              <w:divsChild>
                                                <w:div w:id="16344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775826">
      <w:bodyDiv w:val="1"/>
      <w:marLeft w:val="0"/>
      <w:marRight w:val="0"/>
      <w:marTop w:val="0"/>
      <w:marBottom w:val="0"/>
      <w:divBdr>
        <w:top w:val="none" w:sz="0" w:space="0" w:color="auto"/>
        <w:left w:val="none" w:sz="0" w:space="0" w:color="auto"/>
        <w:bottom w:val="none" w:sz="0" w:space="0" w:color="auto"/>
        <w:right w:val="none" w:sz="0" w:space="0" w:color="auto"/>
      </w:divBdr>
    </w:div>
    <w:div w:id="1643921386">
      <w:bodyDiv w:val="1"/>
      <w:marLeft w:val="0"/>
      <w:marRight w:val="0"/>
      <w:marTop w:val="0"/>
      <w:marBottom w:val="0"/>
      <w:divBdr>
        <w:top w:val="none" w:sz="0" w:space="0" w:color="auto"/>
        <w:left w:val="none" w:sz="0" w:space="0" w:color="auto"/>
        <w:bottom w:val="none" w:sz="0" w:space="0" w:color="auto"/>
        <w:right w:val="none" w:sz="0" w:space="0" w:color="auto"/>
      </w:divBdr>
    </w:div>
    <w:div w:id="1644653717">
      <w:bodyDiv w:val="1"/>
      <w:marLeft w:val="0"/>
      <w:marRight w:val="0"/>
      <w:marTop w:val="0"/>
      <w:marBottom w:val="0"/>
      <w:divBdr>
        <w:top w:val="none" w:sz="0" w:space="0" w:color="auto"/>
        <w:left w:val="none" w:sz="0" w:space="0" w:color="auto"/>
        <w:bottom w:val="none" w:sz="0" w:space="0" w:color="auto"/>
        <w:right w:val="none" w:sz="0" w:space="0" w:color="auto"/>
      </w:divBdr>
      <w:divsChild>
        <w:div w:id="1655639967">
          <w:marLeft w:val="0"/>
          <w:marRight w:val="0"/>
          <w:marTop w:val="0"/>
          <w:marBottom w:val="0"/>
          <w:divBdr>
            <w:top w:val="none" w:sz="0" w:space="0" w:color="auto"/>
            <w:left w:val="none" w:sz="0" w:space="0" w:color="auto"/>
            <w:bottom w:val="none" w:sz="0" w:space="0" w:color="auto"/>
            <w:right w:val="none" w:sz="0" w:space="0" w:color="auto"/>
          </w:divBdr>
          <w:divsChild>
            <w:div w:id="940530276">
              <w:marLeft w:val="175"/>
              <w:marRight w:val="0"/>
              <w:marTop w:val="0"/>
              <w:marBottom w:val="0"/>
              <w:divBdr>
                <w:top w:val="none" w:sz="0" w:space="0" w:color="auto"/>
                <w:left w:val="none" w:sz="0" w:space="0" w:color="auto"/>
                <w:bottom w:val="none" w:sz="0" w:space="0" w:color="auto"/>
                <w:right w:val="none" w:sz="0" w:space="0" w:color="auto"/>
              </w:divBdr>
              <w:divsChild>
                <w:div w:id="1575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5204">
      <w:bodyDiv w:val="1"/>
      <w:marLeft w:val="0"/>
      <w:marRight w:val="0"/>
      <w:marTop w:val="0"/>
      <w:marBottom w:val="0"/>
      <w:divBdr>
        <w:top w:val="none" w:sz="0" w:space="0" w:color="auto"/>
        <w:left w:val="none" w:sz="0" w:space="0" w:color="auto"/>
        <w:bottom w:val="none" w:sz="0" w:space="0" w:color="auto"/>
        <w:right w:val="none" w:sz="0" w:space="0" w:color="auto"/>
      </w:divBdr>
      <w:divsChild>
        <w:div w:id="446849707">
          <w:marLeft w:val="0"/>
          <w:marRight w:val="0"/>
          <w:marTop w:val="0"/>
          <w:marBottom w:val="0"/>
          <w:divBdr>
            <w:top w:val="none" w:sz="0" w:space="0" w:color="auto"/>
            <w:left w:val="none" w:sz="0" w:space="0" w:color="auto"/>
            <w:bottom w:val="none" w:sz="0" w:space="0" w:color="auto"/>
            <w:right w:val="none" w:sz="0" w:space="0" w:color="auto"/>
          </w:divBdr>
        </w:div>
      </w:divsChild>
    </w:div>
    <w:div w:id="1645501471">
      <w:bodyDiv w:val="1"/>
      <w:marLeft w:val="0"/>
      <w:marRight w:val="0"/>
      <w:marTop w:val="0"/>
      <w:marBottom w:val="0"/>
      <w:divBdr>
        <w:top w:val="none" w:sz="0" w:space="0" w:color="auto"/>
        <w:left w:val="none" w:sz="0" w:space="0" w:color="auto"/>
        <w:bottom w:val="none" w:sz="0" w:space="0" w:color="auto"/>
        <w:right w:val="none" w:sz="0" w:space="0" w:color="auto"/>
      </w:divBdr>
      <w:divsChild>
        <w:div w:id="337659671">
          <w:marLeft w:val="0"/>
          <w:marRight w:val="0"/>
          <w:marTop w:val="0"/>
          <w:marBottom w:val="0"/>
          <w:divBdr>
            <w:top w:val="none" w:sz="0" w:space="0" w:color="auto"/>
            <w:left w:val="none" w:sz="0" w:space="0" w:color="auto"/>
            <w:bottom w:val="none" w:sz="0" w:space="0" w:color="auto"/>
            <w:right w:val="none" w:sz="0" w:space="0" w:color="auto"/>
          </w:divBdr>
          <w:divsChild>
            <w:div w:id="1565142310">
              <w:marLeft w:val="0"/>
              <w:marRight w:val="0"/>
              <w:marTop w:val="0"/>
              <w:marBottom w:val="0"/>
              <w:divBdr>
                <w:top w:val="none" w:sz="0" w:space="0" w:color="auto"/>
                <w:left w:val="none" w:sz="0" w:space="0" w:color="auto"/>
                <w:bottom w:val="none" w:sz="0" w:space="0" w:color="auto"/>
                <w:right w:val="none" w:sz="0" w:space="0" w:color="auto"/>
              </w:divBdr>
              <w:divsChild>
                <w:div w:id="780103650">
                  <w:marLeft w:val="0"/>
                  <w:marRight w:val="0"/>
                  <w:marTop w:val="0"/>
                  <w:marBottom w:val="0"/>
                  <w:divBdr>
                    <w:top w:val="none" w:sz="0" w:space="0" w:color="auto"/>
                    <w:left w:val="none" w:sz="0" w:space="0" w:color="auto"/>
                    <w:bottom w:val="none" w:sz="0" w:space="0" w:color="auto"/>
                    <w:right w:val="none" w:sz="0" w:space="0" w:color="auto"/>
                  </w:divBdr>
                  <w:divsChild>
                    <w:div w:id="59670244">
                      <w:marLeft w:val="0"/>
                      <w:marRight w:val="0"/>
                      <w:marTop w:val="0"/>
                      <w:marBottom w:val="0"/>
                      <w:divBdr>
                        <w:top w:val="none" w:sz="0" w:space="0" w:color="auto"/>
                        <w:left w:val="none" w:sz="0" w:space="0" w:color="auto"/>
                        <w:bottom w:val="none" w:sz="0" w:space="0" w:color="auto"/>
                        <w:right w:val="none" w:sz="0" w:space="0" w:color="auto"/>
                      </w:divBdr>
                      <w:divsChild>
                        <w:div w:id="259223887">
                          <w:marLeft w:val="0"/>
                          <w:marRight w:val="0"/>
                          <w:marTop w:val="0"/>
                          <w:marBottom w:val="0"/>
                          <w:divBdr>
                            <w:top w:val="none" w:sz="0" w:space="0" w:color="auto"/>
                            <w:left w:val="none" w:sz="0" w:space="0" w:color="auto"/>
                            <w:bottom w:val="none" w:sz="0" w:space="0" w:color="auto"/>
                            <w:right w:val="none" w:sz="0" w:space="0" w:color="auto"/>
                          </w:divBdr>
                          <w:divsChild>
                            <w:div w:id="6644303">
                              <w:marLeft w:val="0"/>
                              <w:marRight w:val="0"/>
                              <w:marTop w:val="0"/>
                              <w:marBottom w:val="0"/>
                              <w:divBdr>
                                <w:top w:val="none" w:sz="0" w:space="0" w:color="auto"/>
                                <w:left w:val="none" w:sz="0" w:space="0" w:color="auto"/>
                                <w:bottom w:val="none" w:sz="0" w:space="0" w:color="auto"/>
                                <w:right w:val="none" w:sz="0" w:space="0" w:color="auto"/>
                              </w:divBdr>
                              <w:divsChild>
                                <w:div w:id="1825314661">
                                  <w:marLeft w:val="0"/>
                                  <w:marRight w:val="0"/>
                                  <w:marTop w:val="0"/>
                                  <w:marBottom w:val="0"/>
                                  <w:divBdr>
                                    <w:top w:val="none" w:sz="0" w:space="0" w:color="auto"/>
                                    <w:left w:val="none" w:sz="0" w:space="0" w:color="auto"/>
                                    <w:bottom w:val="none" w:sz="0" w:space="0" w:color="auto"/>
                                    <w:right w:val="none" w:sz="0" w:space="0" w:color="auto"/>
                                  </w:divBdr>
                                  <w:divsChild>
                                    <w:div w:id="1842891340">
                                      <w:marLeft w:val="0"/>
                                      <w:marRight w:val="0"/>
                                      <w:marTop w:val="0"/>
                                      <w:marBottom w:val="0"/>
                                      <w:divBdr>
                                        <w:top w:val="none" w:sz="0" w:space="0" w:color="auto"/>
                                        <w:left w:val="none" w:sz="0" w:space="0" w:color="auto"/>
                                        <w:bottom w:val="none" w:sz="0" w:space="0" w:color="auto"/>
                                        <w:right w:val="none" w:sz="0" w:space="0" w:color="auto"/>
                                      </w:divBdr>
                                      <w:divsChild>
                                        <w:div w:id="1936328110">
                                          <w:marLeft w:val="0"/>
                                          <w:marRight w:val="0"/>
                                          <w:marTop w:val="0"/>
                                          <w:marBottom w:val="0"/>
                                          <w:divBdr>
                                            <w:top w:val="none" w:sz="0" w:space="0" w:color="auto"/>
                                            <w:left w:val="none" w:sz="0" w:space="0" w:color="auto"/>
                                            <w:bottom w:val="none" w:sz="0" w:space="0" w:color="auto"/>
                                            <w:right w:val="none" w:sz="0" w:space="0" w:color="auto"/>
                                          </w:divBdr>
                                          <w:divsChild>
                                            <w:div w:id="5061889">
                                              <w:marLeft w:val="0"/>
                                              <w:marRight w:val="0"/>
                                              <w:marTop w:val="0"/>
                                              <w:marBottom w:val="0"/>
                                              <w:divBdr>
                                                <w:top w:val="none" w:sz="0" w:space="0" w:color="auto"/>
                                                <w:left w:val="none" w:sz="0" w:space="0" w:color="auto"/>
                                                <w:bottom w:val="none" w:sz="0" w:space="0" w:color="auto"/>
                                                <w:right w:val="none" w:sz="0" w:space="0" w:color="auto"/>
                                              </w:divBdr>
                                              <w:divsChild>
                                                <w:div w:id="116459417">
                                                  <w:marLeft w:val="0"/>
                                                  <w:marRight w:val="0"/>
                                                  <w:marTop w:val="0"/>
                                                  <w:marBottom w:val="0"/>
                                                  <w:divBdr>
                                                    <w:top w:val="none" w:sz="0" w:space="0" w:color="auto"/>
                                                    <w:left w:val="none" w:sz="0" w:space="0" w:color="auto"/>
                                                    <w:bottom w:val="none" w:sz="0" w:space="0" w:color="auto"/>
                                                    <w:right w:val="none" w:sz="0" w:space="0" w:color="auto"/>
                                                  </w:divBdr>
                                                  <w:divsChild>
                                                    <w:div w:id="1446536019">
                                                      <w:marLeft w:val="0"/>
                                                      <w:marRight w:val="0"/>
                                                      <w:marTop w:val="0"/>
                                                      <w:marBottom w:val="0"/>
                                                      <w:divBdr>
                                                        <w:top w:val="none" w:sz="0" w:space="0" w:color="auto"/>
                                                        <w:left w:val="none" w:sz="0" w:space="0" w:color="auto"/>
                                                        <w:bottom w:val="none" w:sz="0" w:space="0" w:color="auto"/>
                                                        <w:right w:val="none" w:sz="0" w:space="0" w:color="auto"/>
                                                      </w:divBdr>
                                                      <w:divsChild>
                                                        <w:div w:id="69085407">
                                                          <w:marLeft w:val="0"/>
                                                          <w:marRight w:val="0"/>
                                                          <w:marTop w:val="0"/>
                                                          <w:marBottom w:val="0"/>
                                                          <w:divBdr>
                                                            <w:top w:val="none" w:sz="0" w:space="0" w:color="auto"/>
                                                            <w:left w:val="none" w:sz="0" w:space="0" w:color="auto"/>
                                                            <w:bottom w:val="none" w:sz="0" w:space="0" w:color="auto"/>
                                                            <w:right w:val="none" w:sz="0" w:space="0" w:color="auto"/>
                                                          </w:divBdr>
                                                        </w:div>
                                                        <w:div w:id="1251162985">
                                                          <w:marLeft w:val="0"/>
                                                          <w:marRight w:val="0"/>
                                                          <w:marTop w:val="0"/>
                                                          <w:marBottom w:val="0"/>
                                                          <w:divBdr>
                                                            <w:top w:val="none" w:sz="0" w:space="0" w:color="auto"/>
                                                            <w:left w:val="none" w:sz="0" w:space="0" w:color="auto"/>
                                                            <w:bottom w:val="none" w:sz="0" w:space="0" w:color="auto"/>
                                                            <w:right w:val="none" w:sz="0" w:space="0" w:color="auto"/>
                                                          </w:divBdr>
                                                          <w:divsChild>
                                                            <w:div w:id="18177240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6742310">
      <w:bodyDiv w:val="1"/>
      <w:marLeft w:val="0"/>
      <w:marRight w:val="0"/>
      <w:marTop w:val="0"/>
      <w:marBottom w:val="0"/>
      <w:divBdr>
        <w:top w:val="none" w:sz="0" w:space="0" w:color="auto"/>
        <w:left w:val="none" w:sz="0" w:space="0" w:color="auto"/>
        <w:bottom w:val="none" w:sz="0" w:space="0" w:color="auto"/>
        <w:right w:val="none" w:sz="0" w:space="0" w:color="auto"/>
      </w:divBdr>
      <w:divsChild>
        <w:div w:id="1444812504">
          <w:marLeft w:val="0"/>
          <w:marRight w:val="0"/>
          <w:marTop w:val="0"/>
          <w:marBottom w:val="0"/>
          <w:divBdr>
            <w:top w:val="none" w:sz="0" w:space="0" w:color="auto"/>
            <w:left w:val="none" w:sz="0" w:space="0" w:color="auto"/>
            <w:bottom w:val="none" w:sz="0" w:space="0" w:color="auto"/>
            <w:right w:val="none" w:sz="0" w:space="0" w:color="auto"/>
          </w:divBdr>
          <w:divsChild>
            <w:div w:id="18011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29716">
      <w:bodyDiv w:val="1"/>
      <w:marLeft w:val="0"/>
      <w:marRight w:val="0"/>
      <w:marTop w:val="0"/>
      <w:marBottom w:val="0"/>
      <w:divBdr>
        <w:top w:val="none" w:sz="0" w:space="0" w:color="auto"/>
        <w:left w:val="none" w:sz="0" w:space="0" w:color="auto"/>
        <w:bottom w:val="none" w:sz="0" w:space="0" w:color="auto"/>
        <w:right w:val="none" w:sz="0" w:space="0" w:color="auto"/>
      </w:divBdr>
      <w:divsChild>
        <w:div w:id="1958246758">
          <w:marLeft w:val="0"/>
          <w:marRight w:val="0"/>
          <w:marTop w:val="0"/>
          <w:marBottom w:val="0"/>
          <w:divBdr>
            <w:top w:val="none" w:sz="0" w:space="0" w:color="auto"/>
            <w:left w:val="none" w:sz="0" w:space="0" w:color="auto"/>
            <w:bottom w:val="none" w:sz="0" w:space="0" w:color="auto"/>
            <w:right w:val="none" w:sz="0" w:space="0" w:color="auto"/>
          </w:divBdr>
          <w:divsChild>
            <w:div w:id="1576818504">
              <w:marLeft w:val="0"/>
              <w:marRight w:val="0"/>
              <w:marTop w:val="0"/>
              <w:marBottom w:val="0"/>
              <w:divBdr>
                <w:top w:val="none" w:sz="0" w:space="0" w:color="auto"/>
                <w:left w:val="none" w:sz="0" w:space="0" w:color="auto"/>
                <w:bottom w:val="none" w:sz="0" w:space="0" w:color="auto"/>
                <w:right w:val="none" w:sz="0" w:space="0" w:color="auto"/>
              </w:divBdr>
              <w:divsChild>
                <w:div w:id="772283473">
                  <w:marLeft w:val="0"/>
                  <w:marRight w:val="0"/>
                  <w:marTop w:val="0"/>
                  <w:marBottom w:val="0"/>
                  <w:divBdr>
                    <w:top w:val="none" w:sz="0" w:space="0" w:color="auto"/>
                    <w:left w:val="none" w:sz="0" w:space="0" w:color="auto"/>
                    <w:bottom w:val="none" w:sz="0" w:space="0" w:color="auto"/>
                    <w:right w:val="none" w:sz="0" w:space="0" w:color="auto"/>
                  </w:divBdr>
                  <w:divsChild>
                    <w:div w:id="1305895103">
                      <w:marLeft w:val="0"/>
                      <w:marRight w:val="0"/>
                      <w:marTop w:val="0"/>
                      <w:marBottom w:val="0"/>
                      <w:divBdr>
                        <w:top w:val="none" w:sz="0" w:space="0" w:color="auto"/>
                        <w:left w:val="none" w:sz="0" w:space="0" w:color="auto"/>
                        <w:bottom w:val="none" w:sz="0" w:space="0" w:color="auto"/>
                        <w:right w:val="none" w:sz="0" w:space="0" w:color="auto"/>
                      </w:divBdr>
                      <w:divsChild>
                        <w:div w:id="20450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629618">
      <w:bodyDiv w:val="1"/>
      <w:marLeft w:val="0"/>
      <w:marRight w:val="0"/>
      <w:marTop w:val="0"/>
      <w:marBottom w:val="0"/>
      <w:divBdr>
        <w:top w:val="none" w:sz="0" w:space="0" w:color="auto"/>
        <w:left w:val="none" w:sz="0" w:space="0" w:color="auto"/>
        <w:bottom w:val="none" w:sz="0" w:space="0" w:color="auto"/>
        <w:right w:val="none" w:sz="0" w:space="0" w:color="auto"/>
      </w:divBdr>
    </w:div>
    <w:div w:id="1649280452">
      <w:bodyDiv w:val="1"/>
      <w:marLeft w:val="0"/>
      <w:marRight w:val="0"/>
      <w:marTop w:val="0"/>
      <w:marBottom w:val="0"/>
      <w:divBdr>
        <w:top w:val="none" w:sz="0" w:space="0" w:color="auto"/>
        <w:left w:val="none" w:sz="0" w:space="0" w:color="auto"/>
        <w:bottom w:val="none" w:sz="0" w:space="0" w:color="auto"/>
        <w:right w:val="none" w:sz="0" w:space="0" w:color="auto"/>
      </w:divBdr>
      <w:divsChild>
        <w:div w:id="2030794446">
          <w:marLeft w:val="0"/>
          <w:marRight w:val="0"/>
          <w:marTop w:val="150"/>
          <w:marBottom w:val="0"/>
          <w:divBdr>
            <w:top w:val="none" w:sz="0" w:space="0" w:color="auto"/>
            <w:left w:val="none" w:sz="0" w:space="0" w:color="auto"/>
            <w:bottom w:val="none" w:sz="0" w:space="0" w:color="auto"/>
            <w:right w:val="none" w:sz="0" w:space="0" w:color="auto"/>
          </w:divBdr>
          <w:divsChild>
            <w:div w:id="1621759708">
              <w:marLeft w:val="2"/>
              <w:marRight w:val="2"/>
              <w:marTop w:val="0"/>
              <w:marBottom w:val="0"/>
              <w:divBdr>
                <w:top w:val="none" w:sz="0" w:space="0" w:color="auto"/>
                <w:left w:val="none" w:sz="0" w:space="0" w:color="auto"/>
                <w:bottom w:val="none" w:sz="0" w:space="0" w:color="auto"/>
                <w:right w:val="none" w:sz="0" w:space="0" w:color="auto"/>
              </w:divBdr>
              <w:divsChild>
                <w:div w:id="522286251">
                  <w:marLeft w:val="0"/>
                  <w:marRight w:val="0"/>
                  <w:marTop w:val="0"/>
                  <w:marBottom w:val="0"/>
                  <w:divBdr>
                    <w:top w:val="none" w:sz="0" w:space="0" w:color="auto"/>
                    <w:left w:val="none" w:sz="0" w:space="0" w:color="auto"/>
                    <w:bottom w:val="none" w:sz="0" w:space="0" w:color="auto"/>
                    <w:right w:val="none" w:sz="0" w:space="0" w:color="auto"/>
                  </w:divBdr>
                  <w:divsChild>
                    <w:div w:id="660305138">
                      <w:marLeft w:val="0"/>
                      <w:marRight w:val="0"/>
                      <w:marTop w:val="0"/>
                      <w:marBottom w:val="0"/>
                      <w:divBdr>
                        <w:top w:val="none" w:sz="0" w:space="0" w:color="auto"/>
                        <w:left w:val="none" w:sz="0" w:space="0" w:color="auto"/>
                        <w:bottom w:val="none" w:sz="0" w:space="0" w:color="auto"/>
                        <w:right w:val="none" w:sz="0" w:space="0" w:color="auto"/>
                      </w:divBdr>
                      <w:divsChild>
                        <w:div w:id="197666092">
                          <w:marLeft w:val="0"/>
                          <w:marRight w:val="0"/>
                          <w:marTop w:val="0"/>
                          <w:marBottom w:val="0"/>
                          <w:divBdr>
                            <w:top w:val="none" w:sz="0" w:space="0" w:color="auto"/>
                            <w:left w:val="none" w:sz="0" w:space="0" w:color="auto"/>
                            <w:bottom w:val="none" w:sz="0" w:space="0" w:color="auto"/>
                            <w:right w:val="none" w:sz="0" w:space="0" w:color="auto"/>
                          </w:divBdr>
                          <w:divsChild>
                            <w:div w:id="1576092317">
                              <w:marLeft w:val="0"/>
                              <w:marRight w:val="0"/>
                              <w:marTop w:val="0"/>
                              <w:marBottom w:val="0"/>
                              <w:divBdr>
                                <w:top w:val="none" w:sz="0" w:space="0" w:color="auto"/>
                                <w:left w:val="none" w:sz="0" w:space="0" w:color="auto"/>
                                <w:bottom w:val="none" w:sz="0" w:space="0" w:color="auto"/>
                                <w:right w:val="none" w:sz="0" w:space="0" w:color="auto"/>
                              </w:divBdr>
                              <w:divsChild>
                                <w:div w:id="2049525717">
                                  <w:marLeft w:val="0"/>
                                  <w:marRight w:val="0"/>
                                  <w:marTop w:val="0"/>
                                  <w:marBottom w:val="0"/>
                                  <w:divBdr>
                                    <w:top w:val="none" w:sz="0" w:space="0" w:color="auto"/>
                                    <w:left w:val="none" w:sz="0" w:space="0" w:color="auto"/>
                                    <w:bottom w:val="none" w:sz="0" w:space="0" w:color="auto"/>
                                    <w:right w:val="none" w:sz="0" w:space="0" w:color="auto"/>
                                  </w:divBdr>
                                  <w:divsChild>
                                    <w:div w:id="942225265">
                                      <w:marLeft w:val="0"/>
                                      <w:marRight w:val="0"/>
                                      <w:marTop w:val="0"/>
                                      <w:marBottom w:val="0"/>
                                      <w:divBdr>
                                        <w:top w:val="none" w:sz="0" w:space="0" w:color="auto"/>
                                        <w:left w:val="none" w:sz="0" w:space="0" w:color="auto"/>
                                        <w:bottom w:val="none" w:sz="0" w:space="0" w:color="auto"/>
                                        <w:right w:val="none" w:sz="0" w:space="0" w:color="auto"/>
                                      </w:divBdr>
                                      <w:divsChild>
                                        <w:div w:id="1598709551">
                                          <w:marLeft w:val="0"/>
                                          <w:marRight w:val="0"/>
                                          <w:marTop w:val="0"/>
                                          <w:marBottom w:val="0"/>
                                          <w:divBdr>
                                            <w:top w:val="none" w:sz="0" w:space="0" w:color="auto"/>
                                            <w:left w:val="none" w:sz="0" w:space="0" w:color="auto"/>
                                            <w:bottom w:val="none" w:sz="0" w:space="0" w:color="auto"/>
                                            <w:right w:val="none" w:sz="0" w:space="0" w:color="auto"/>
                                          </w:divBdr>
                                          <w:divsChild>
                                            <w:div w:id="1619948604">
                                              <w:marLeft w:val="0"/>
                                              <w:marRight w:val="0"/>
                                              <w:marTop w:val="0"/>
                                              <w:marBottom w:val="0"/>
                                              <w:divBdr>
                                                <w:top w:val="none" w:sz="0" w:space="0" w:color="auto"/>
                                                <w:left w:val="none" w:sz="0" w:space="0" w:color="auto"/>
                                                <w:bottom w:val="none" w:sz="0" w:space="0" w:color="auto"/>
                                                <w:right w:val="none" w:sz="0" w:space="0" w:color="auto"/>
                                              </w:divBdr>
                                              <w:divsChild>
                                                <w:div w:id="429936301">
                                                  <w:marLeft w:val="0"/>
                                                  <w:marRight w:val="0"/>
                                                  <w:marTop w:val="0"/>
                                                  <w:marBottom w:val="0"/>
                                                  <w:divBdr>
                                                    <w:top w:val="none" w:sz="0" w:space="0" w:color="auto"/>
                                                    <w:left w:val="none" w:sz="0" w:space="0" w:color="auto"/>
                                                    <w:bottom w:val="none" w:sz="0" w:space="0" w:color="auto"/>
                                                    <w:right w:val="none" w:sz="0" w:space="0" w:color="auto"/>
                                                  </w:divBdr>
                                                </w:div>
                                              </w:divsChild>
                                            </w:div>
                                            <w:div w:id="495263571">
                                              <w:marLeft w:val="0"/>
                                              <w:marRight w:val="0"/>
                                              <w:marTop w:val="0"/>
                                              <w:marBottom w:val="0"/>
                                              <w:divBdr>
                                                <w:top w:val="none" w:sz="0" w:space="0" w:color="auto"/>
                                                <w:left w:val="none" w:sz="0" w:space="0" w:color="auto"/>
                                                <w:bottom w:val="none" w:sz="0" w:space="0" w:color="auto"/>
                                                <w:right w:val="none" w:sz="0" w:space="0" w:color="auto"/>
                                              </w:divBdr>
                                              <w:divsChild>
                                                <w:div w:id="1554659623">
                                                  <w:marLeft w:val="0"/>
                                                  <w:marRight w:val="0"/>
                                                  <w:marTop w:val="0"/>
                                                  <w:marBottom w:val="0"/>
                                                  <w:divBdr>
                                                    <w:top w:val="none" w:sz="0" w:space="0" w:color="auto"/>
                                                    <w:left w:val="none" w:sz="0" w:space="0" w:color="auto"/>
                                                    <w:bottom w:val="none" w:sz="0" w:space="0" w:color="auto"/>
                                                    <w:right w:val="none" w:sz="0" w:space="0" w:color="auto"/>
                                                  </w:divBdr>
                                                </w:div>
                                              </w:divsChild>
                                            </w:div>
                                            <w:div w:id="438650239">
                                              <w:marLeft w:val="0"/>
                                              <w:marRight w:val="0"/>
                                              <w:marTop w:val="0"/>
                                              <w:marBottom w:val="0"/>
                                              <w:divBdr>
                                                <w:top w:val="none" w:sz="0" w:space="0" w:color="auto"/>
                                                <w:left w:val="none" w:sz="0" w:space="0" w:color="auto"/>
                                                <w:bottom w:val="none" w:sz="0" w:space="0" w:color="auto"/>
                                                <w:right w:val="none" w:sz="0" w:space="0" w:color="auto"/>
                                              </w:divBdr>
                                              <w:divsChild>
                                                <w:div w:id="1412461974">
                                                  <w:marLeft w:val="0"/>
                                                  <w:marRight w:val="0"/>
                                                  <w:marTop w:val="0"/>
                                                  <w:marBottom w:val="0"/>
                                                  <w:divBdr>
                                                    <w:top w:val="none" w:sz="0" w:space="0" w:color="auto"/>
                                                    <w:left w:val="none" w:sz="0" w:space="0" w:color="auto"/>
                                                    <w:bottom w:val="none" w:sz="0" w:space="0" w:color="auto"/>
                                                    <w:right w:val="none" w:sz="0" w:space="0" w:color="auto"/>
                                                  </w:divBdr>
                                                </w:div>
                                              </w:divsChild>
                                            </w:div>
                                            <w:div w:id="1788742903">
                                              <w:marLeft w:val="0"/>
                                              <w:marRight w:val="0"/>
                                              <w:marTop w:val="0"/>
                                              <w:marBottom w:val="0"/>
                                              <w:divBdr>
                                                <w:top w:val="none" w:sz="0" w:space="0" w:color="auto"/>
                                                <w:left w:val="none" w:sz="0" w:space="0" w:color="auto"/>
                                                <w:bottom w:val="none" w:sz="0" w:space="0" w:color="auto"/>
                                                <w:right w:val="none" w:sz="0" w:space="0" w:color="auto"/>
                                              </w:divBdr>
                                              <w:divsChild>
                                                <w:div w:id="10982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010675">
      <w:bodyDiv w:val="1"/>
      <w:marLeft w:val="0"/>
      <w:marRight w:val="0"/>
      <w:marTop w:val="0"/>
      <w:marBottom w:val="0"/>
      <w:divBdr>
        <w:top w:val="none" w:sz="0" w:space="0" w:color="auto"/>
        <w:left w:val="none" w:sz="0" w:space="0" w:color="auto"/>
        <w:bottom w:val="none" w:sz="0" w:space="0" w:color="auto"/>
        <w:right w:val="none" w:sz="0" w:space="0" w:color="auto"/>
      </w:divBdr>
      <w:divsChild>
        <w:div w:id="1732924644">
          <w:marLeft w:val="0"/>
          <w:marRight w:val="0"/>
          <w:marTop w:val="0"/>
          <w:marBottom w:val="0"/>
          <w:divBdr>
            <w:top w:val="none" w:sz="0" w:space="0" w:color="auto"/>
            <w:left w:val="none" w:sz="0" w:space="0" w:color="auto"/>
            <w:bottom w:val="none" w:sz="0" w:space="0" w:color="auto"/>
            <w:right w:val="none" w:sz="0" w:space="0" w:color="auto"/>
          </w:divBdr>
          <w:divsChild>
            <w:div w:id="72260097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651640506">
      <w:bodyDiv w:val="1"/>
      <w:marLeft w:val="0"/>
      <w:marRight w:val="0"/>
      <w:marTop w:val="0"/>
      <w:marBottom w:val="0"/>
      <w:divBdr>
        <w:top w:val="none" w:sz="0" w:space="0" w:color="auto"/>
        <w:left w:val="none" w:sz="0" w:space="0" w:color="auto"/>
        <w:bottom w:val="none" w:sz="0" w:space="0" w:color="auto"/>
        <w:right w:val="none" w:sz="0" w:space="0" w:color="auto"/>
      </w:divBdr>
      <w:divsChild>
        <w:div w:id="622426850">
          <w:marLeft w:val="0"/>
          <w:marRight w:val="0"/>
          <w:marTop w:val="0"/>
          <w:marBottom w:val="0"/>
          <w:divBdr>
            <w:top w:val="none" w:sz="0" w:space="0" w:color="auto"/>
            <w:left w:val="none" w:sz="0" w:space="0" w:color="auto"/>
            <w:bottom w:val="none" w:sz="0" w:space="0" w:color="auto"/>
            <w:right w:val="none" w:sz="0" w:space="0" w:color="auto"/>
          </w:divBdr>
          <w:divsChild>
            <w:div w:id="373313369">
              <w:marLeft w:val="0"/>
              <w:marRight w:val="0"/>
              <w:marTop w:val="0"/>
              <w:marBottom w:val="0"/>
              <w:divBdr>
                <w:top w:val="none" w:sz="0" w:space="0" w:color="auto"/>
                <w:left w:val="none" w:sz="0" w:space="0" w:color="auto"/>
                <w:bottom w:val="none" w:sz="0" w:space="0" w:color="auto"/>
                <w:right w:val="none" w:sz="0" w:space="0" w:color="auto"/>
              </w:divBdr>
              <w:divsChild>
                <w:div w:id="1584291827">
                  <w:marLeft w:val="0"/>
                  <w:marRight w:val="0"/>
                  <w:marTop w:val="0"/>
                  <w:marBottom w:val="0"/>
                  <w:divBdr>
                    <w:top w:val="none" w:sz="0" w:space="0" w:color="auto"/>
                    <w:left w:val="none" w:sz="0" w:space="0" w:color="auto"/>
                    <w:bottom w:val="none" w:sz="0" w:space="0" w:color="auto"/>
                    <w:right w:val="none" w:sz="0" w:space="0" w:color="auto"/>
                  </w:divBdr>
                  <w:divsChild>
                    <w:div w:id="1927765037">
                      <w:marLeft w:val="0"/>
                      <w:marRight w:val="0"/>
                      <w:marTop w:val="0"/>
                      <w:marBottom w:val="0"/>
                      <w:divBdr>
                        <w:top w:val="none" w:sz="0" w:space="0" w:color="auto"/>
                        <w:left w:val="none" w:sz="0" w:space="0" w:color="auto"/>
                        <w:bottom w:val="none" w:sz="0" w:space="0" w:color="auto"/>
                        <w:right w:val="none" w:sz="0" w:space="0" w:color="auto"/>
                      </w:divBdr>
                      <w:divsChild>
                        <w:div w:id="20464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678470">
      <w:bodyDiv w:val="1"/>
      <w:marLeft w:val="0"/>
      <w:marRight w:val="0"/>
      <w:marTop w:val="0"/>
      <w:marBottom w:val="0"/>
      <w:divBdr>
        <w:top w:val="none" w:sz="0" w:space="0" w:color="auto"/>
        <w:left w:val="none" w:sz="0" w:space="0" w:color="auto"/>
        <w:bottom w:val="none" w:sz="0" w:space="0" w:color="auto"/>
        <w:right w:val="none" w:sz="0" w:space="0" w:color="auto"/>
      </w:divBdr>
      <w:divsChild>
        <w:div w:id="1676422476">
          <w:marLeft w:val="0"/>
          <w:marRight w:val="0"/>
          <w:marTop w:val="0"/>
          <w:marBottom w:val="0"/>
          <w:divBdr>
            <w:top w:val="none" w:sz="0" w:space="0" w:color="auto"/>
            <w:left w:val="none" w:sz="0" w:space="0" w:color="auto"/>
            <w:bottom w:val="none" w:sz="0" w:space="0" w:color="auto"/>
            <w:right w:val="none" w:sz="0" w:space="0" w:color="auto"/>
          </w:divBdr>
          <w:divsChild>
            <w:div w:id="295642754">
              <w:marLeft w:val="0"/>
              <w:marRight w:val="0"/>
              <w:marTop w:val="0"/>
              <w:marBottom w:val="0"/>
              <w:divBdr>
                <w:top w:val="none" w:sz="0" w:space="0" w:color="auto"/>
                <w:left w:val="none" w:sz="0" w:space="0" w:color="auto"/>
                <w:bottom w:val="none" w:sz="0" w:space="0" w:color="auto"/>
                <w:right w:val="none" w:sz="0" w:space="0" w:color="auto"/>
              </w:divBdr>
              <w:divsChild>
                <w:div w:id="401220611">
                  <w:marLeft w:val="0"/>
                  <w:marRight w:val="0"/>
                  <w:marTop w:val="0"/>
                  <w:marBottom w:val="0"/>
                  <w:divBdr>
                    <w:top w:val="none" w:sz="0" w:space="0" w:color="auto"/>
                    <w:left w:val="none" w:sz="0" w:space="0" w:color="auto"/>
                    <w:bottom w:val="none" w:sz="0" w:space="0" w:color="auto"/>
                    <w:right w:val="none" w:sz="0" w:space="0" w:color="auto"/>
                  </w:divBdr>
                  <w:divsChild>
                    <w:div w:id="71663022">
                      <w:marLeft w:val="0"/>
                      <w:marRight w:val="0"/>
                      <w:marTop w:val="0"/>
                      <w:marBottom w:val="0"/>
                      <w:divBdr>
                        <w:top w:val="none" w:sz="0" w:space="0" w:color="auto"/>
                        <w:left w:val="none" w:sz="0" w:space="0" w:color="auto"/>
                        <w:bottom w:val="none" w:sz="0" w:space="0" w:color="auto"/>
                        <w:right w:val="none" w:sz="0" w:space="0" w:color="auto"/>
                      </w:divBdr>
                      <w:divsChild>
                        <w:div w:id="1853304008">
                          <w:marLeft w:val="570"/>
                          <w:marRight w:val="720"/>
                          <w:marTop w:val="120"/>
                          <w:marBottom w:val="120"/>
                          <w:divBdr>
                            <w:top w:val="none" w:sz="0" w:space="0" w:color="auto"/>
                            <w:left w:val="none" w:sz="0" w:space="0" w:color="auto"/>
                            <w:bottom w:val="none" w:sz="0" w:space="0" w:color="auto"/>
                            <w:right w:val="none" w:sz="0" w:space="0" w:color="auto"/>
                          </w:divBdr>
                          <w:divsChild>
                            <w:div w:id="100998552">
                              <w:marLeft w:val="0"/>
                              <w:marRight w:val="0"/>
                              <w:marTop w:val="0"/>
                              <w:marBottom w:val="0"/>
                              <w:divBdr>
                                <w:top w:val="none" w:sz="0" w:space="0" w:color="auto"/>
                                <w:left w:val="none" w:sz="0" w:space="0" w:color="auto"/>
                                <w:bottom w:val="none" w:sz="0" w:space="0" w:color="auto"/>
                                <w:right w:val="none" w:sz="0" w:space="0" w:color="auto"/>
                              </w:divBdr>
                              <w:divsChild>
                                <w:div w:id="2057924005">
                                  <w:marLeft w:val="0"/>
                                  <w:marRight w:val="0"/>
                                  <w:marTop w:val="0"/>
                                  <w:marBottom w:val="0"/>
                                  <w:divBdr>
                                    <w:top w:val="none" w:sz="0" w:space="0" w:color="auto"/>
                                    <w:left w:val="none" w:sz="0" w:space="0" w:color="auto"/>
                                    <w:bottom w:val="none" w:sz="0" w:space="0" w:color="auto"/>
                                    <w:right w:val="none" w:sz="0" w:space="0" w:color="auto"/>
                                  </w:divBdr>
                                  <w:divsChild>
                                    <w:div w:id="1741562552">
                                      <w:marLeft w:val="0"/>
                                      <w:marRight w:val="0"/>
                                      <w:marTop w:val="0"/>
                                      <w:marBottom w:val="150"/>
                                      <w:divBdr>
                                        <w:top w:val="none" w:sz="0" w:space="0" w:color="auto"/>
                                        <w:left w:val="none" w:sz="0" w:space="0" w:color="auto"/>
                                        <w:bottom w:val="none" w:sz="0" w:space="0" w:color="auto"/>
                                        <w:right w:val="none" w:sz="0" w:space="0" w:color="auto"/>
                                      </w:divBdr>
                                      <w:divsChild>
                                        <w:div w:id="497615935">
                                          <w:marLeft w:val="0"/>
                                          <w:marRight w:val="0"/>
                                          <w:marTop w:val="0"/>
                                          <w:marBottom w:val="0"/>
                                          <w:divBdr>
                                            <w:top w:val="none" w:sz="0" w:space="0" w:color="auto"/>
                                            <w:left w:val="none" w:sz="0" w:space="0" w:color="auto"/>
                                            <w:bottom w:val="none" w:sz="0" w:space="0" w:color="auto"/>
                                            <w:right w:val="none" w:sz="0" w:space="0" w:color="auto"/>
                                          </w:divBdr>
                                          <w:divsChild>
                                            <w:div w:id="30302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792331">
      <w:bodyDiv w:val="1"/>
      <w:marLeft w:val="0"/>
      <w:marRight w:val="0"/>
      <w:marTop w:val="0"/>
      <w:marBottom w:val="0"/>
      <w:divBdr>
        <w:top w:val="none" w:sz="0" w:space="0" w:color="auto"/>
        <w:left w:val="none" w:sz="0" w:space="0" w:color="auto"/>
        <w:bottom w:val="none" w:sz="0" w:space="0" w:color="auto"/>
        <w:right w:val="none" w:sz="0" w:space="0" w:color="auto"/>
      </w:divBdr>
      <w:divsChild>
        <w:div w:id="908463484">
          <w:marLeft w:val="0"/>
          <w:marRight w:val="0"/>
          <w:marTop w:val="0"/>
          <w:marBottom w:val="0"/>
          <w:divBdr>
            <w:top w:val="none" w:sz="0" w:space="0" w:color="auto"/>
            <w:left w:val="none" w:sz="0" w:space="0" w:color="auto"/>
            <w:bottom w:val="none" w:sz="0" w:space="0" w:color="auto"/>
            <w:right w:val="none" w:sz="0" w:space="0" w:color="auto"/>
          </w:divBdr>
          <w:divsChild>
            <w:div w:id="582882440">
              <w:marLeft w:val="210"/>
              <w:marRight w:val="0"/>
              <w:marTop w:val="0"/>
              <w:marBottom w:val="0"/>
              <w:divBdr>
                <w:top w:val="none" w:sz="0" w:space="0" w:color="auto"/>
                <w:left w:val="none" w:sz="0" w:space="0" w:color="auto"/>
                <w:bottom w:val="none" w:sz="0" w:space="0" w:color="auto"/>
                <w:right w:val="none" w:sz="0" w:space="0" w:color="auto"/>
              </w:divBdr>
              <w:divsChild>
                <w:div w:id="13919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1175">
      <w:bodyDiv w:val="1"/>
      <w:marLeft w:val="0"/>
      <w:marRight w:val="0"/>
      <w:marTop w:val="0"/>
      <w:marBottom w:val="0"/>
      <w:divBdr>
        <w:top w:val="none" w:sz="0" w:space="0" w:color="auto"/>
        <w:left w:val="none" w:sz="0" w:space="0" w:color="auto"/>
        <w:bottom w:val="none" w:sz="0" w:space="0" w:color="auto"/>
        <w:right w:val="none" w:sz="0" w:space="0" w:color="auto"/>
      </w:divBdr>
      <w:divsChild>
        <w:div w:id="1424448521">
          <w:marLeft w:val="0"/>
          <w:marRight w:val="0"/>
          <w:marTop w:val="0"/>
          <w:marBottom w:val="0"/>
          <w:divBdr>
            <w:top w:val="none" w:sz="0" w:space="0" w:color="auto"/>
            <w:left w:val="none" w:sz="0" w:space="0" w:color="auto"/>
            <w:bottom w:val="none" w:sz="0" w:space="0" w:color="auto"/>
            <w:right w:val="none" w:sz="0" w:space="0" w:color="auto"/>
          </w:divBdr>
          <w:divsChild>
            <w:div w:id="68965574">
              <w:marLeft w:val="0"/>
              <w:marRight w:val="0"/>
              <w:marTop w:val="0"/>
              <w:marBottom w:val="0"/>
              <w:divBdr>
                <w:top w:val="none" w:sz="0" w:space="0" w:color="auto"/>
                <w:left w:val="none" w:sz="0" w:space="0" w:color="auto"/>
                <w:bottom w:val="none" w:sz="0" w:space="0" w:color="auto"/>
                <w:right w:val="none" w:sz="0" w:space="0" w:color="auto"/>
              </w:divBdr>
              <w:divsChild>
                <w:div w:id="1883008982">
                  <w:marLeft w:val="0"/>
                  <w:marRight w:val="0"/>
                  <w:marTop w:val="0"/>
                  <w:marBottom w:val="0"/>
                  <w:divBdr>
                    <w:top w:val="none" w:sz="0" w:space="0" w:color="auto"/>
                    <w:left w:val="none" w:sz="0" w:space="0" w:color="auto"/>
                    <w:bottom w:val="none" w:sz="0" w:space="0" w:color="auto"/>
                    <w:right w:val="none" w:sz="0" w:space="0" w:color="auto"/>
                  </w:divBdr>
                  <w:divsChild>
                    <w:div w:id="751315573">
                      <w:marLeft w:val="0"/>
                      <w:marRight w:val="0"/>
                      <w:marTop w:val="0"/>
                      <w:marBottom w:val="0"/>
                      <w:divBdr>
                        <w:top w:val="none" w:sz="0" w:space="0" w:color="auto"/>
                        <w:left w:val="none" w:sz="0" w:space="0" w:color="auto"/>
                        <w:bottom w:val="none" w:sz="0" w:space="0" w:color="auto"/>
                        <w:right w:val="none" w:sz="0" w:space="0" w:color="auto"/>
                      </w:divBdr>
                      <w:divsChild>
                        <w:div w:id="129131752">
                          <w:marLeft w:val="0"/>
                          <w:marRight w:val="0"/>
                          <w:marTop w:val="0"/>
                          <w:marBottom w:val="0"/>
                          <w:divBdr>
                            <w:top w:val="none" w:sz="0" w:space="0" w:color="auto"/>
                            <w:left w:val="none" w:sz="0" w:space="0" w:color="auto"/>
                            <w:bottom w:val="none" w:sz="0" w:space="0" w:color="auto"/>
                            <w:right w:val="none" w:sz="0" w:space="0" w:color="auto"/>
                          </w:divBdr>
                          <w:divsChild>
                            <w:div w:id="755900932">
                              <w:marLeft w:val="570"/>
                              <w:marRight w:val="720"/>
                              <w:marTop w:val="120"/>
                              <w:marBottom w:val="120"/>
                              <w:divBdr>
                                <w:top w:val="none" w:sz="0" w:space="0" w:color="auto"/>
                                <w:left w:val="none" w:sz="0" w:space="0" w:color="auto"/>
                                <w:bottom w:val="none" w:sz="0" w:space="0" w:color="auto"/>
                                <w:right w:val="none" w:sz="0" w:space="0" w:color="auto"/>
                              </w:divBdr>
                              <w:divsChild>
                                <w:div w:id="1672835495">
                                  <w:marLeft w:val="0"/>
                                  <w:marRight w:val="0"/>
                                  <w:marTop w:val="0"/>
                                  <w:marBottom w:val="0"/>
                                  <w:divBdr>
                                    <w:top w:val="none" w:sz="0" w:space="0" w:color="auto"/>
                                    <w:left w:val="none" w:sz="0" w:space="0" w:color="auto"/>
                                    <w:bottom w:val="none" w:sz="0" w:space="0" w:color="auto"/>
                                    <w:right w:val="none" w:sz="0" w:space="0" w:color="auto"/>
                                  </w:divBdr>
                                  <w:divsChild>
                                    <w:div w:id="1540505440">
                                      <w:marLeft w:val="0"/>
                                      <w:marRight w:val="0"/>
                                      <w:marTop w:val="0"/>
                                      <w:marBottom w:val="0"/>
                                      <w:divBdr>
                                        <w:top w:val="none" w:sz="0" w:space="0" w:color="auto"/>
                                        <w:left w:val="none" w:sz="0" w:space="0" w:color="auto"/>
                                        <w:bottom w:val="none" w:sz="0" w:space="0" w:color="auto"/>
                                        <w:right w:val="none" w:sz="0" w:space="0" w:color="auto"/>
                                      </w:divBdr>
                                      <w:divsChild>
                                        <w:div w:id="1331256916">
                                          <w:marLeft w:val="0"/>
                                          <w:marRight w:val="0"/>
                                          <w:marTop w:val="0"/>
                                          <w:marBottom w:val="150"/>
                                          <w:divBdr>
                                            <w:top w:val="none" w:sz="0" w:space="0" w:color="auto"/>
                                            <w:left w:val="none" w:sz="0" w:space="0" w:color="auto"/>
                                            <w:bottom w:val="none" w:sz="0" w:space="0" w:color="auto"/>
                                            <w:right w:val="none" w:sz="0" w:space="0" w:color="auto"/>
                                          </w:divBdr>
                                          <w:divsChild>
                                            <w:div w:id="1711761880">
                                              <w:marLeft w:val="0"/>
                                              <w:marRight w:val="0"/>
                                              <w:marTop w:val="240"/>
                                              <w:marBottom w:val="240"/>
                                              <w:divBdr>
                                                <w:top w:val="single" w:sz="6" w:space="6" w:color="F2F2F2"/>
                                                <w:left w:val="none" w:sz="0" w:space="0" w:color="auto"/>
                                                <w:bottom w:val="single" w:sz="6" w:space="6" w:color="F2F2F2"/>
                                                <w:right w:val="none" w:sz="0" w:space="0" w:color="auto"/>
                                              </w:divBdr>
                                            </w:div>
                                            <w:div w:id="1155803811">
                                              <w:marLeft w:val="0"/>
                                              <w:marRight w:val="0"/>
                                              <w:marTop w:val="0"/>
                                              <w:marBottom w:val="0"/>
                                              <w:divBdr>
                                                <w:top w:val="none" w:sz="0" w:space="0" w:color="auto"/>
                                                <w:left w:val="none" w:sz="0" w:space="0" w:color="auto"/>
                                                <w:bottom w:val="none" w:sz="0" w:space="0" w:color="auto"/>
                                                <w:right w:val="none" w:sz="0" w:space="0" w:color="auto"/>
                                              </w:divBdr>
                                              <w:divsChild>
                                                <w:div w:id="784690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801265">
      <w:bodyDiv w:val="1"/>
      <w:marLeft w:val="0"/>
      <w:marRight w:val="0"/>
      <w:marTop w:val="0"/>
      <w:marBottom w:val="0"/>
      <w:divBdr>
        <w:top w:val="none" w:sz="0" w:space="0" w:color="auto"/>
        <w:left w:val="none" w:sz="0" w:space="0" w:color="auto"/>
        <w:bottom w:val="none" w:sz="0" w:space="0" w:color="auto"/>
        <w:right w:val="none" w:sz="0" w:space="0" w:color="auto"/>
      </w:divBdr>
    </w:div>
    <w:div w:id="1659073840">
      <w:bodyDiv w:val="1"/>
      <w:marLeft w:val="0"/>
      <w:marRight w:val="0"/>
      <w:marTop w:val="0"/>
      <w:marBottom w:val="0"/>
      <w:divBdr>
        <w:top w:val="none" w:sz="0" w:space="0" w:color="auto"/>
        <w:left w:val="none" w:sz="0" w:space="0" w:color="auto"/>
        <w:bottom w:val="none" w:sz="0" w:space="0" w:color="auto"/>
        <w:right w:val="none" w:sz="0" w:space="0" w:color="auto"/>
      </w:divBdr>
      <w:divsChild>
        <w:div w:id="1729650734">
          <w:marLeft w:val="0"/>
          <w:marRight w:val="0"/>
          <w:marTop w:val="0"/>
          <w:marBottom w:val="0"/>
          <w:divBdr>
            <w:top w:val="none" w:sz="0" w:space="0" w:color="auto"/>
            <w:left w:val="none" w:sz="0" w:space="0" w:color="auto"/>
            <w:bottom w:val="none" w:sz="0" w:space="0" w:color="auto"/>
            <w:right w:val="none" w:sz="0" w:space="0" w:color="auto"/>
          </w:divBdr>
          <w:divsChild>
            <w:div w:id="1726678853">
              <w:marLeft w:val="210"/>
              <w:marRight w:val="0"/>
              <w:marTop w:val="0"/>
              <w:marBottom w:val="0"/>
              <w:divBdr>
                <w:top w:val="none" w:sz="0" w:space="0" w:color="auto"/>
                <w:left w:val="none" w:sz="0" w:space="0" w:color="auto"/>
                <w:bottom w:val="none" w:sz="0" w:space="0" w:color="auto"/>
                <w:right w:val="none" w:sz="0" w:space="0" w:color="auto"/>
              </w:divBdr>
              <w:divsChild>
                <w:div w:id="12490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75577">
      <w:bodyDiv w:val="1"/>
      <w:marLeft w:val="0"/>
      <w:marRight w:val="0"/>
      <w:marTop w:val="0"/>
      <w:marBottom w:val="0"/>
      <w:divBdr>
        <w:top w:val="none" w:sz="0" w:space="0" w:color="auto"/>
        <w:left w:val="none" w:sz="0" w:space="0" w:color="auto"/>
        <w:bottom w:val="none" w:sz="0" w:space="0" w:color="auto"/>
        <w:right w:val="none" w:sz="0" w:space="0" w:color="auto"/>
      </w:divBdr>
      <w:divsChild>
        <w:div w:id="1080101788">
          <w:marLeft w:val="0"/>
          <w:marRight w:val="0"/>
          <w:marTop w:val="0"/>
          <w:marBottom w:val="0"/>
          <w:divBdr>
            <w:top w:val="none" w:sz="0" w:space="0" w:color="auto"/>
            <w:left w:val="none" w:sz="0" w:space="0" w:color="auto"/>
            <w:bottom w:val="none" w:sz="0" w:space="0" w:color="auto"/>
            <w:right w:val="none" w:sz="0" w:space="0" w:color="auto"/>
          </w:divBdr>
          <w:divsChild>
            <w:div w:id="232812987">
              <w:marLeft w:val="0"/>
              <w:marRight w:val="0"/>
              <w:marTop w:val="0"/>
              <w:marBottom w:val="0"/>
              <w:divBdr>
                <w:top w:val="none" w:sz="0" w:space="0" w:color="auto"/>
                <w:left w:val="none" w:sz="0" w:space="0" w:color="auto"/>
                <w:bottom w:val="none" w:sz="0" w:space="0" w:color="auto"/>
                <w:right w:val="none" w:sz="0" w:space="0" w:color="auto"/>
              </w:divBdr>
              <w:divsChild>
                <w:div w:id="2020543739">
                  <w:marLeft w:val="-375"/>
                  <w:marRight w:val="0"/>
                  <w:marTop w:val="0"/>
                  <w:marBottom w:val="0"/>
                  <w:divBdr>
                    <w:top w:val="none" w:sz="0" w:space="0" w:color="auto"/>
                    <w:left w:val="none" w:sz="0" w:space="0" w:color="auto"/>
                    <w:bottom w:val="none" w:sz="0" w:space="0" w:color="auto"/>
                    <w:right w:val="none" w:sz="0" w:space="0" w:color="auto"/>
                  </w:divBdr>
                  <w:divsChild>
                    <w:div w:id="2133328445">
                      <w:marLeft w:val="0"/>
                      <w:marRight w:val="0"/>
                      <w:marTop w:val="0"/>
                      <w:marBottom w:val="0"/>
                      <w:divBdr>
                        <w:top w:val="none" w:sz="0" w:space="0" w:color="auto"/>
                        <w:left w:val="none" w:sz="0" w:space="0" w:color="auto"/>
                        <w:bottom w:val="none" w:sz="0" w:space="0" w:color="auto"/>
                        <w:right w:val="none" w:sz="0" w:space="0" w:color="auto"/>
                      </w:divBdr>
                      <w:divsChild>
                        <w:div w:id="284000225">
                          <w:marLeft w:val="0"/>
                          <w:marRight w:val="0"/>
                          <w:marTop w:val="0"/>
                          <w:marBottom w:val="0"/>
                          <w:divBdr>
                            <w:top w:val="none" w:sz="0" w:space="0" w:color="auto"/>
                            <w:left w:val="none" w:sz="0" w:space="0" w:color="auto"/>
                            <w:bottom w:val="none" w:sz="0" w:space="0" w:color="auto"/>
                            <w:right w:val="none" w:sz="0" w:space="0" w:color="auto"/>
                          </w:divBdr>
                          <w:divsChild>
                            <w:div w:id="352651418">
                              <w:marLeft w:val="-375"/>
                              <w:marRight w:val="0"/>
                              <w:marTop w:val="0"/>
                              <w:marBottom w:val="0"/>
                              <w:divBdr>
                                <w:top w:val="none" w:sz="0" w:space="0" w:color="auto"/>
                                <w:left w:val="none" w:sz="0" w:space="0" w:color="auto"/>
                                <w:bottom w:val="none" w:sz="0" w:space="0" w:color="auto"/>
                                <w:right w:val="none" w:sz="0" w:space="0" w:color="auto"/>
                              </w:divBdr>
                              <w:divsChild>
                                <w:div w:id="1110900980">
                                  <w:marLeft w:val="0"/>
                                  <w:marRight w:val="0"/>
                                  <w:marTop w:val="0"/>
                                  <w:marBottom w:val="0"/>
                                  <w:divBdr>
                                    <w:top w:val="none" w:sz="0" w:space="0" w:color="auto"/>
                                    <w:left w:val="none" w:sz="0" w:space="0" w:color="auto"/>
                                    <w:bottom w:val="none" w:sz="0" w:space="0" w:color="auto"/>
                                    <w:right w:val="none" w:sz="0" w:space="0" w:color="auto"/>
                                  </w:divBdr>
                                  <w:divsChild>
                                    <w:div w:id="300235238">
                                      <w:marLeft w:val="-375"/>
                                      <w:marRight w:val="0"/>
                                      <w:marTop w:val="0"/>
                                      <w:marBottom w:val="0"/>
                                      <w:divBdr>
                                        <w:top w:val="none" w:sz="0" w:space="0" w:color="auto"/>
                                        <w:left w:val="none" w:sz="0" w:space="0" w:color="auto"/>
                                        <w:bottom w:val="none" w:sz="0" w:space="0" w:color="auto"/>
                                        <w:right w:val="none" w:sz="0" w:space="0" w:color="auto"/>
                                      </w:divBdr>
                                      <w:divsChild>
                                        <w:div w:id="271134165">
                                          <w:marLeft w:val="0"/>
                                          <w:marRight w:val="0"/>
                                          <w:marTop w:val="0"/>
                                          <w:marBottom w:val="0"/>
                                          <w:divBdr>
                                            <w:top w:val="none" w:sz="0" w:space="0" w:color="auto"/>
                                            <w:left w:val="none" w:sz="0" w:space="0" w:color="auto"/>
                                            <w:bottom w:val="none" w:sz="0" w:space="0" w:color="auto"/>
                                            <w:right w:val="none" w:sz="0" w:space="0" w:color="auto"/>
                                          </w:divBdr>
                                        </w:div>
                                        <w:div w:id="1750233056">
                                          <w:marLeft w:val="0"/>
                                          <w:marRight w:val="0"/>
                                          <w:marTop w:val="0"/>
                                          <w:marBottom w:val="0"/>
                                          <w:divBdr>
                                            <w:top w:val="none" w:sz="0" w:space="0" w:color="auto"/>
                                            <w:left w:val="none" w:sz="0" w:space="0" w:color="auto"/>
                                            <w:bottom w:val="none" w:sz="0" w:space="0" w:color="auto"/>
                                            <w:right w:val="none" w:sz="0" w:space="0" w:color="auto"/>
                                          </w:divBdr>
                                        </w:div>
                                      </w:divsChild>
                                    </w:div>
                                    <w:div w:id="916743187">
                                      <w:marLeft w:val="-375"/>
                                      <w:marRight w:val="0"/>
                                      <w:marTop w:val="0"/>
                                      <w:marBottom w:val="0"/>
                                      <w:divBdr>
                                        <w:top w:val="none" w:sz="0" w:space="0" w:color="auto"/>
                                        <w:left w:val="none" w:sz="0" w:space="0" w:color="auto"/>
                                        <w:bottom w:val="none" w:sz="0" w:space="0" w:color="auto"/>
                                        <w:right w:val="none" w:sz="0" w:space="0" w:color="auto"/>
                                      </w:divBdr>
                                      <w:divsChild>
                                        <w:div w:id="968366398">
                                          <w:marLeft w:val="0"/>
                                          <w:marRight w:val="0"/>
                                          <w:marTop w:val="0"/>
                                          <w:marBottom w:val="0"/>
                                          <w:divBdr>
                                            <w:top w:val="none" w:sz="0" w:space="0" w:color="auto"/>
                                            <w:left w:val="none" w:sz="0" w:space="0" w:color="auto"/>
                                            <w:bottom w:val="none" w:sz="0" w:space="0" w:color="auto"/>
                                            <w:right w:val="none" w:sz="0" w:space="0" w:color="auto"/>
                                          </w:divBdr>
                                        </w:div>
                                        <w:div w:id="15454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082483">
      <w:bodyDiv w:val="1"/>
      <w:marLeft w:val="0"/>
      <w:marRight w:val="0"/>
      <w:marTop w:val="0"/>
      <w:marBottom w:val="0"/>
      <w:divBdr>
        <w:top w:val="none" w:sz="0" w:space="0" w:color="auto"/>
        <w:left w:val="none" w:sz="0" w:space="0" w:color="auto"/>
        <w:bottom w:val="none" w:sz="0" w:space="0" w:color="auto"/>
        <w:right w:val="none" w:sz="0" w:space="0" w:color="auto"/>
      </w:divBdr>
      <w:divsChild>
        <w:div w:id="978266905">
          <w:marLeft w:val="0"/>
          <w:marRight w:val="0"/>
          <w:marTop w:val="0"/>
          <w:marBottom w:val="0"/>
          <w:divBdr>
            <w:top w:val="single" w:sz="2" w:space="0" w:color="AAAAAA"/>
            <w:left w:val="single" w:sz="6" w:space="8" w:color="AAAAAA"/>
            <w:bottom w:val="single" w:sz="2" w:space="0" w:color="AAAAAA"/>
            <w:right w:val="single" w:sz="6" w:space="8" w:color="AAAAAA"/>
          </w:divBdr>
          <w:divsChild>
            <w:div w:id="216816591">
              <w:marLeft w:val="0"/>
              <w:marRight w:val="0"/>
              <w:marTop w:val="0"/>
              <w:marBottom w:val="0"/>
              <w:divBdr>
                <w:top w:val="none" w:sz="0" w:space="0" w:color="auto"/>
                <w:left w:val="none" w:sz="0" w:space="0" w:color="auto"/>
                <w:bottom w:val="none" w:sz="0" w:space="0" w:color="auto"/>
                <w:right w:val="none" w:sz="0" w:space="0" w:color="auto"/>
              </w:divBdr>
              <w:divsChild>
                <w:div w:id="781146806">
                  <w:marLeft w:val="0"/>
                  <w:marRight w:val="0"/>
                  <w:marTop w:val="0"/>
                  <w:marBottom w:val="0"/>
                  <w:divBdr>
                    <w:top w:val="none" w:sz="0" w:space="0" w:color="auto"/>
                    <w:left w:val="none" w:sz="0" w:space="0" w:color="auto"/>
                    <w:bottom w:val="none" w:sz="0" w:space="0" w:color="auto"/>
                    <w:right w:val="none" w:sz="0" w:space="0" w:color="auto"/>
                  </w:divBdr>
                  <w:divsChild>
                    <w:div w:id="1165364987">
                      <w:marLeft w:val="0"/>
                      <w:marRight w:val="2550"/>
                      <w:marTop w:val="0"/>
                      <w:marBottom w:val="48"/>
                      <w:divBdr>
                        <w:top w:val="none" w:sz="0" w:space="0" w:color="auto"/>
                        <w:left w:val="none" w:sz="0" w:space="0" w:color="auto"/>
                        <w:bottom w:val="none" w:sz="0" w:space="0" w:color="auto"/>
                        <w:right w:val="none" w:sz="0" w:space="0" w:color="auto"/>
                      </w:divBdr>
                      <w:divsChild>
                        <w:div w:id="21241850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662736152">
      <w:bodyDiv w:val="1"/>
      <w:marLeft w:val="0"/>
      <w:marRight w:val="0"/>
      <w:marTop w:val="0"/>
      <w:marBottom w:val="0"/>
      <w:divBdr>
        <w:top w:val="none" w:sz="0" w:space="0" w:color="auto"/>
        <w:left w:val="none" w:sz="0" w:space="0" w:color="auto"/>
        <w:bottom w:val="none" w:sz="0" w:space="0" w:color="auto"/>
        <w:right w:val="none" w:sz="0" w:space="0" w:color="auto"/>
      </w:divBdr>
      <w:divsChild>
        <w:div w:id="1304039801">
          <w:marLeft w:val="0"/>
          <w:marRight w:val="0"/>
          <w:marTop w:val="0"/>
          <w:marBottom w:val="0"/>
          <w:divBdr>
            <w:top w:val="none" w:sz="0" w:space="0" w:color="auto"/>
            <w:left w:val="none" w:sz="0" w:space="0" w:color="auto"/>
            <w:bottom w:val="none" w:sz="0" w:space="0" w:color="auto"/>
            <w:right w:val="none" w:sz="0" w:space="0" w:color="auto"/>
          </w:divBdr>
          <w:divsChild>
            <w:div w:id="1893227755">
              <w:marLeft w:val="0"/>
              <w:marRight w:val="0"/>
              <w:marTop w:val="0"/>
              <w:marBottom w:val="0"/>
              <w:divBdr>
                <w:top w:val="none" w:sz="0" w:space="0" w:color="auto"/>
                <w:left w:val="none" w:sz="0" w:space="0" w:color="auto"/>
                <w:bottom w:val="none" w:sz="0" w:space="0" w:color="auto"/>
                <w:right w:val="none" w:sz="0" w:space="0" w:color="auto"/>
              </w:divBdr>
              <w:divsChild>
                <w:div w:id="786922888">
                  <w:marLeft w:val="0"/>
                  <w:marRight w:val="0"/>
                  <w:marTop w:val="0"/>
                  <w:marBottom w:val="0"/>
                  <w:divBdr>
                    <w:top w:val="none" w:sz="0" w:space="0" w:color="auto"/>
                    <w:left w:val="none" w:sz="0" w:space="0" w:color="auto"/>
                    <w:bottom w:val="none" w:sz="0" w:space="0" w:color="auto"/>
                    <w:right w:val="none" w:sz="0" w:space="0" w:color="auto"/>
                  </w:divBdr>
                  <w:divsChild>
                    <w:div w:id="1031228993">
                      <w:marLeft w:val="0"/>
                      <w:marRight w:val="0"/>
                      <w:marTop w:val="0"/>
                      <w:marBottom w:val="0"/>
                      <w:divBdr>
                        <w:top w:val="none" w:sz="0" w:space="0" w:color="auto"/>
                        <w:left w:val="none" w:sz="0" w:space="0" w:color="auto"/>
                        <w:bottom w:val="none" w:sz="0" w:space="0" w:color="auto"/>
                        <w:right w:val="none" w:sz="0" w:space="0" w:color="auto"/>
                      </w:divBdr>
                      <w:divsChild>
                        <w:div w:id="151680293">
                          <w:marLeft w:val="0"/>
                          <w:marRight w:val="0"/>
                          <w:marTop w:val="0"/>
                          <w:marBottom w:val="0"/>
                          <w:divBdr>
                            <w:top w:val="none" w:sz="0" w:space="0" w:color="auto"/>
                            <w:left w:val="none" w:sz="0" w:space="0" w:color="auto"/>
                            <w:bottom w:val="none" w:sz="0" w:space="0" w:color="auto"/>
                            <w:right w:val="none" w:sz="0" w:space="0" w:color="auto"/>
                          </w:divBdr>
                          <w:divsChild>
                            <w:div w:id="15070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241333">
      <w:bodyDiv w:val="1"/>
      <w:marLeft w:val="0"/>
      <w:marRight w:val="0"/>
      <w:marTop w:val="0"/>
      <w:marBottom w:val="0"/>
      <w:divBdr>
        <w:top w:val="none" w:sz="0" w:space="0" w:color="auto"/>
        <w:left w:val="none" w:sz="0" w:space="0" w:color="auto"/>
        <w:bottom w:val="none" w:sz="0" w:space="0" w:color="auto"/>
        <w:right w:val="none" w:sz="0" w:space="0" w:color="auto"/>
      </w:divBdr>
    </w:div>
    <w:div w:id="1663850448">
      <w:bodyDiv w:val="1"/>
      <w:marLeft w:val="0"/>
      <w:marRight w:val="0"/>
      <w:marTop w:val="0"/>
      <w:marBottom w:val="0"/>
      <w:divBdr>
        <w:top w:val="none" w:sz="0" w:space="0" w:color="auto"/>
        <w:left w:val="none" w:sz="0" w:space="0" w:color="auto"/>
        <w:bottom w:val="none" w:sz="0" w:space="0" w:color="auto"/>
        <w:right w:val="none" w:sz="0" w:space="0" w:color="auto"/>
      </w:divBdr>
      <w:divsChild>
        <w:div w:id="1268193604">
          <w:marLeft w:val="0"/>
          <w:marRight w:val="0"/>
          <w:marTop w:val="0"/>
          <w:marBottom w:val="0"/>
          <w:divBdr>
            <w:top w:val="none" w:sz="0" w:space="0" w:color="auto"/>
            <w:left w:val="none" w:sz="0" w:space="0" w:color="auto"/>
            <w:bottom w:val="none" w:sz="0" w:space="0" w:color="auto"/>
            <w:right w:val="none" w:sz="0" w:space="0" w:color="auto"/>
          </w:divBdr>
          <w:divsChild>
            <w:div w:id="1664161272">
              <w:marLeft w:val="0"/>
              <w:marRight w:val="0"/>
              <w:marTop w:val="0"/>
              <w:marBottom w:val="0"/>
              <w:divBdr>
                <w:top w:val="none" w:sz="0" w:space="0" w:color="auto"/>
                <w:left w:val="none" w:sz="0" w:space="0" w:color="auto"/>
                <w:bottom w:val="none" w:sz="0" w:space="0" w:color="auto"/>
                <w:right w:val="none" w:sz="0" w:space="0" w:color="auto"/>
              </w:divBdr>
              <w:divsChild>
                <w:div w:id="260260598">
                  <w:marLeft w:val="0"/>
                  <w:marRight w:val="0"/>
                  <w:marTop w:val="100"/>
                  <w:marBottom w:val="100"/>
                  <w:divBdr>
                    <w:top w:val="none" w:sz="0" w:space="0" w:color="auto"/>
                    <w:left w:val="none" w:sz="0" w:space="0" w:color="auto"/>
                    <w:bottom w:val="none" w:sz="0" w:space="0" w:color="auto"/>
                    <w:right w:val="none" w:sz="0" w:space="0" w:color="auto"/>
                  </w:divBdr>
                  <w:divsChild>
                    <w:div w:id="1592006241">
                      <w:marLeft w:val="0"/>
                      <w:marRight w:val="0"/>
                      <w:marTop w:val="0"/>
                      <w:marBottom w:val="0"/>
                      <w:divBdr>
                        <w:top w:val="none" w:sz="0" w:space="0" w:color="auto"/>
                        <w:left w:val="none" w:sz="0" w:space="0" w:color="auto"/>
                        <w:bottom w:val="none" w:sz="0" w:space="0" w:color="auto"/>
                        <w:right w:val="none" w:sz="0" w:space="0" w:color="auto"/>
                      </w:divBdr>
                      <w:divsChild>
                        <w:div w:id="271591683">
                          <w:marLeft w:val="0"/>
                          <w:marRight w:val="0"/>
                          <w:marTop w:val="0"/>
                          <w:marBottom w:val="0"/>
                          <w:divBdr>
                            <w:top w:val="none" w:sz="0" w:space="0" w:color="auto"/>
                            <w:left w:val="none" w:sz="0" w:space="0" w:color="auto"/>
                            <w:bottom w:val="none" w:sz="0" w:space="0" w:color="auto"/>
                            <w:right w:val="none" w:sz="0" w:space="0" w:color="auto"/>
                          </w:divBdr>
                          <w:divsChild>
                            <w:div w:id="135684537">
                              <w:marLeft w:val="0"/>
                              <w:marRight w:val="0"/>
                              <w:marTop w:val="0"/>
                              <w:marBottom w:val="0"/>
                              <w:divBdr>
                                <w:top w:val="none" w:sz="0" w:space="0" w:color="auto"/>
                                <w:left w:val="none" w:sz="0" w:space="0" w:color="auto"/>
                                <w:bottom w:val="none" w:sz="0" w:space="0" w:color="auto"/>
                                <w:right w:val="none" w:sz="0" w:space="0" w:color="auto"/>
                              </w:divBdr>
                              <w:divsChild>
                                <w:div w:id="1857116026">
                                  <w:marLeft w:val="0"/>
                                  <w:marRight w:val="0"/>
                                  <w:marTop w:val="0"/>
                                  <w:marBottom w:val="0"/>
                                  <w:divBdr>
                                    <w:top w:val="none" w:sz="0" w:space="0" w:color="auto"/>
                                    <w:left w:val="none" w:sz="0" w:space="0" w:color="auto"/>
                                    <w:bottom w:val="none" w:sz="0" w:space="0" w:color="auto"/>
                                    <w:right w:val="none" w:sz="0" w:space="0" w:color="auto"/>
                                  </w:divBdr>
                                  <w:divsChild>
                                    <w:div w:id="6094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622684">
      <w:bodyDiv w:val="1"/>
      <w:marLeft w:val="0"/>
      <w:marRight w:val="0"/>
      <w:marTop w:val="0"/>
      <w:marBottom w:val="0"/>
      <w:divBdr>
        <w:top w:val="none" w:sz="0" w:space="0" w:color="auto"/>
        <w:left w:val="none" w:sz="0" w:space="0" w:color="auto"/>
        <w:bottom w:val="none" w:sz="0" w:space="0" w:color="auto"/>
        <w:right w:val="none" w:sz="0" w:space="0" w:color="auto"/>
      </w:divBdr>
      <w:divsChild>
        <w:div w:id="1892111362">
          <w:marLeft w:val="0"/>
          <w:marRight w:val="0"/>
          <w:marTop w:val="0"/>
          <w:marBottom w:val="0"/>
          <w:divBdr>
            <w:top w:val="single" w:sz="4" w:space="0" w:color="0E477A"/>
            <w:left w:val="single" w:sz="4" w:space="0" w:color="0E477A"/>
            <w:bottom w:val="single" w:sz="4" w:space="0" w:color="0E477A"/>
            <w:right w:val="single" w:sz="4" w:space="0" w:color="0E477A"/>
          </w:divBdr>
          <w:divsChild>
            <w:div w:id="1746222694">
              <w:marLeft w:val="0"/>
              <w:marRight w:val="0"/>
              <w:marTop w:val="0"/>
              <w:marBottom w:val="0"/>
              <w:divBdr>
                <w:top w:val="none" w:sz="0" w:space="0" w:color="auto"/>
                <w:left w:val="none" w:sz="0" w:space="0" w:color="auto"/>
                <w:bottom w:val="none" w:sz="0" w:space="0" w:color="auto"/>
                <w:right w:val="none" w:sz="0" w:space="0" w:color="auto"/>
              </w:divBdr>
              <w:divsChild>
                <w:div w:id="1459178958">
                  <w:marLeft w:val="63"/>
                  <w:marRight w:val="0"/>
                  <w:marTop w:val="0"/>
                  <w:marBottom w:val="0"/>
                  <w:divBdr>
                    <w:top w:val="none" w:sz="0" w:space="0" w:color="auto"/>
                    <w:left w:val="none" w:sz="0" w:space="0" w:color="auto"/>
                    <w:bottom w:val="none" w:sz="0" w:space="0" w:color="auto"/>
                    <w:right w:val="none" w:sz="0" w:space="0" w:color="auto"/>
                  </w:divBdr>
                  <w:divsChild>
                    <w:div w:id="1153834405">
                      <w:marLeft w:val="0"/>
                      <w:marRight w:val="0"/>
                      <w:marTop w:val="0"/>
                      <w:marBottom w:val="0"/>
                      <w:divBdr>
                        <w:top w:val="none" w:sz="0" w:space="0" w:color="auto"/>
                        <w:left w:val="none" w:sz="0" w:space="0" w:color="auto"/>
                        <w:bottom w:val="none" w:sz="0" w:space="0" w:color="auto"/>
                        <w:right w:val="none" w:sz="0" w:space="0" w:color="auto"/>
                      </w:divBdr>
                      <w:divsChild>
                        <w:div w:id="1323703633">
                          <w:marLeft w:val="0"/>
                          <w:marRight w:val="188"/>
                          <w:marTop w:val="125"/>
                          <w:marBottom w:val="125"/>
                          <w:divBdr>
                            <w:top w:val="single" w:sz="4" w:space="0" w:color="CCCCCC"/>
                            <w:left w:val="single" w:sz="4" w:space="6" w:color="CCCCCC"/>
                            <w:bottom w:val="single" w:sz="4" w:space="6" w:color="CCCCCC"/>
                            <w:right w:val="single" w:sz="4" w:space="6" w:color="CCCCCC"/>
                          </w:divBdr>
                          <w:divsChild>
                            <w:div w:id="1777363764">
                              <w:marLeft w:val="-125"/>
                              <w:marRight w:val="0"/>
                              <w:marTop w:val="0"/>
                              <w:marBottom w:val="0"/>
                              <w:divBdr>
                                <w:top w:val="none" w:sz="0" w:space="0" w:color="auto"/>
                                <w:left w:val="none" w:sz="0" w:space="0" w:color="auto"/>
                                <w:bottom w:val="none" w:sz="0" w:space="0" w:color="auto"/>
                                <w:right w:val="none" w:sz="0" w:space="0" w:color="auto"/>
                              </w:divBdr>
                              <w:divsChild>
                                <w:div w:id="6487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862852">
      <w:bodyDiv w:val="1"/>
      <w:marLeft w:val="0"/>
      <w:marRight w:val="0"/>
      <w:marTop w:val="0"/>
      <w:marBottom w:val="0"/>
      <w:divBdr>
        <w:top w:val="none" w:sz="0" w:space="0" w:color="auto"/>
        <w:left w:val="none" w:sz="0" w:space="0" w:color="auto"/>
        <w:bottom w:val="none" w:sz="0" w:space="0" w:color="auto"/>
        <w:right w:val="none" w:sz="0" w:space="0" w:color="auto"/>
      </w:divBdr>
      <w:divsChild>
        <w:div w:id="231159607">
          <w:marLeft w:val="0"/>
          <w:marRight w:val="0"/>
          <w:marTop w:val="0"/>
          <w:marBottom w:val="0"/>
          <w:divBdr>
            <w:top w:val="none" w:sz="0" w:space="0" w:color="auto"/>
            <w:left w:val="none" w:sz="0" w:space="0" w:color="auto"/>
            <w:bottom w:val="none" w:sz="0" w:space="0" w:color="auto"/>
            <w:right w:val="none" w:sz="0" w:space="0" w:color="auto"/>
          </w:divBdr>
          <w:divsChild>
            <w:div w:id="1154227135">
              <w:marLeft w:val="0"/>
              <w:marRight w:val="0"/>
              <w:marTop w:val="0"/>
              <w:marBottom w:val="0"/>
              <w:divBdr>
                <w:top w:val="none" w:sz="0" w:space="0" w:color="auto"/>
                <w:left w:val="none" w:sz="0" w:space="0" w:color="auto"/>
                <w:bottom w:val="none" w:sz="0" w:space="0" w:color="auto"/>
                <w:right w:val="none" w:sz="0" w:space="0" w:color="auto"/>
              </w:divBdr>
              <w:divsChild>
                <w:div w:id="1742409477">
                  <w:marLeft w:val="0"/>
                  <w:marRight w:val="0"/>
                  <w:marTop w:val="0"/>
                  <w:marBottom w:val="0"/>
                  <w:divBdr>
                    <w:top w:val="none" w:sz="0" w:space="0" w:color="auto"/>
                    <w:left w:val="none" w:sz="0" w:space="0" w:color="auto"/>
                    <w:bottom w:val="none" w:sz="0" w:space="0" w:color="auto"/>
                    <w:right w:val="none" w:sz="0" w:space="0" w:color="auto"/>
                  </w:divBdr>
                  <w:divsChild>
                    <w:div w:id="381634711">
                      <w:marLeft w:val="0"/>
                      <w:marRight w:val="0"/>
                      <w:marTop w:val="0"/>
                      <w:marBottom w:val="0"/>
                      <w:divBdr>
                        <w:top w:val="none" w:sz="0" w:space="0" w:color="auto"/>
                        <w:left w:val="none" w:sz="0" w:space="0" w:color="auto"/>
                        <w:bottom w:val="none" w:sz="0" w:space="0" w:color="auto"/>
                        <w:right w:val="none" w:sz="0" w:space="0" w:color="auto"/>
                      </w:divBdr>
                      <w:divsChild>
                        <w:div w:id="603877785">
                          <w:marLeft w:val="0"/>
                          <w:marRight w:val="0"/>
                          <w:marTop w:val="0"/>
                          <w:marBottom w:val="0"/>
                          <w:divBdr>
                            <w:top w:val="none" w:sz="0" w:space="0" w:color="auto"/>
                            <w:left w:val="none" w:sz="0" w:space="0" w:color="auto"/>
                            <w:bottom w:val="none" w:sz="0" w:space="0" w:color="auto"/>
                            <w:right w:val="none" w:sz="0" w:space="0" w:color="auto"/>
                          </w:divBdr>
                          <w:divsChild>
                            <w:div w:id="1771311850">
                              <w:marLeft w:val="0"/>
                              <w:marRight w:val="0"/>
                              <w:marTop w:val="0"/>
                              <w:marBottom w:val="0"/>
                              <w:divBdr>
                                <w:top w:val="none" w:sz="0" w:space="0" w:color="auto"/>
                                <w:left w:val="none" w:sz="0" w:space="0" w:color="auto"/>
                                <w:bottom w:val="none" w:sz="0" w:space="0" w:color="auto"/>
                                <w:right w:val="none" w:sz="0" w:space="0" w:color="auto"/>
                              </w:divBdr>
                              <w:divsChild>
                                <w:div w:id="188764629">
                                  <w:marLeft w:val="0"/>
                                  <w:marRight w:val="0"/>
                                  <w:marTop w:val="0"/>
                                  <w:marBottom w:val="0"/>
                                  <w:divBdr>
                                    <w:top w:val="none" w:sz="0" w:space="0" w:color="auto"/>
                                    <w:left w:val="none" w:sz="0" w:space="0" w:color="auto"/>
                                    <w:bottom w:val="none" w:sz="0" w:space="0" w:color="auto"/>
                                    <w:right w:val="none" w:sz="0" w:space="0" w:color="auto"/>
                                  </w:divBdr>
                                  <w:divsChild>
                                    <w:div w:id="402457847">
                                      <w:marLeft w:val="0"/>
                                      <w:marRight w:val="0"/>
                                      <w:marTop w:val="0"/>
                                      <w:marBottom w:val="0"/>
                                      <w:divBdr>
                                        <w:top w:val="none" w:sz="0" w:space="0" w:color="auto"/>
                                        <w:left w:val="none" w:sz="0" w:space="0" w:color="auto"/>
                                        <w:bottom w:val="none" w:sz="0" w:space="0" w:color="auto"/>
                                        <w:right w:val="none" w:sz="0" w:space="0" w:color="auto"/>
                                      </w:divBdr>
                                      <w:divsChild>
                                        <w:div w:id="434055035">
                                          <w:marLeft w:val="0"/>
                                          <w:marRight w:val="0"/>
                                          <w:marTop w:val="0"/>
                                          <w:marBottom w:val="0"/>
                                          <w:divBdr>
                                            <w:top w:val="none" w:sz="0" w:space="0" w:color="auto"/>
                                            <w:left w:val="none" w:sz="0" w:space="0" w:color="auto"/>
                                            <w:bottom w:val="none" w:sz="0" w:space="0" w:color="auto"/>
                                            <w:right w:val="none" w:sz="0" w:space="0" w:color="auto"/>
                                          </w:divBdr>
                                        </w:div>
                                        <w:div w:id="1148982541">
                                          <w:marLeft w:val="0"/>
                                          <w:marRight w:val="0"/>
                                          <w:marTop w:val="0"/>
                                          <w:marBottom w:val="0"/>
                                          <w:divBdr>
                                            <w:top w:val="none" w:sz="0" w:space="0" w:color="auto"/>
                                            <w:left w:val="none" w:sz="0" w:space="0" w:color="auto"/>
                                            <w:bottom w:val="none" w:sz="0" w:space="0" w:color="auto"/>
                                            <w:right w:val="none" w:sz="0" w:space="0" w:color="auto"/>
                                          </w:divBdr>
                                          <w:divsChild>
                                            <w:div w:id="2804587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737380">
      <w:bodyDiv w:val="1"/>
      <w:marLeft w:val="0"/>
      <w:marRight w:val="0"/>
      <w:marTop w:val="0"/>
      <w:marBottom w:val="0"/>
      <w:divBdr>
        <w:top w:val="none" w:sz="0" w:space="0" w:color="auto"/>
        <w:left w:val="none" w:sz="0" w:space="0" w:color="auto"/>
        <w:bottom w:val="none" w:sz="0" w:space="0" w:color="auto"/>
        <w:right w:val="none" w:sz="0" w:space="0" w:color="auto"/>
      </w:divBdr>
      <w:divsChild>
        <w:div w:id="400755725">
          <w:marLeft w:val="0"/>
          <w:marRight w:val="0"/>
          <w:marTop w:val="0"/>
          <w:marBottom w:val="0"/>
          <w:divBdr>
            <w:top w:val="none" w:sz="0" w:space="0" w:color="auto"/>
            <w:left w:val="none" w:sz="0" w:space="0" w:color="auto"/>
            <w:bottom w:val="none" w:sz="0" w:space="0" w:color="auto"/>
            <w:right w:val="none" w:sz="0" w:space="0" w:color="auto"/>
          </w:divBdr>
          <w:divsChild>
            <w:div w:id="691342234">
              <w:marLeft w:val="0"/>
              <w:marRight w:val="0"/>
              <w:marTop w:val="0"/>
              <w:marBottom w:val="0"/>
              <w:divBdr>
                <w:top w:val="none" w:sz="0" w:space="0" w:color="auto"/>
                <w:left w:val="none" w:sz="0" w:space="0" w:color="auto"/>
                <w:bottom w:val="none" w:sz="0" w:space="0" w:color="auto"/>
                <w:right w:val="none" w:sz="0" w:space="0" w:color="auto"/>
              </w:divBdr>
              <w:divsChild>
                <w:div w:id="159590070">
                  <w:marLeft w:val="0"/>
                  <w:marRight w:val="0"/>
                  <w:marTop w:val="0"/>
                  <w:marBottom w:val="0"/>
                  <w:divBdr>
                    <w:top w:val="none" w:sz="0" w:space="0" w:color="auto"/>
                    <w:left w:val="none" w:sz="0" w:space="0" w:color="auto"/>
                    <w:bottom w:val="none" w:sz="0" w:space="0" w:color="auto"/>
                    <w:right w:val="none" w:sz="0" w:space="0" w:color="auto"/>
                  </w:divBdr>
                  <w:divsChild>
                    <w:div w:id="88239776">
                      <w:marLeft w:val="0"/>
                      <w:marRight w:val="0"/>
                      <w:marTop w:val="0"/>
                      <w:marBottom w:val="0"/>
                      <w:divBdr>
                        <w:top w:val="none" w:sz="0" w:space="0" w:color="auto"/>
                        <w:left w:val="none" w:sz="0" w:space="0" w:color="auto"/>
                        <w:bottom w:val="none" w:sz="0" w:space="0" w:color="auto"/>
                        <w:right w:val="none" w:sz="0" w:space="0" w:color="auto"/>
                      </w:divBdr>
                      <w:divsChild>
                        <w:div w:id="969242496">
                          <w:marLeft w:val="0"/>
                          <w:marRight w:val="0"/>
                          <w:marTop w:val="0"/>
                          <w:marBottom w:val="0"/>
                          <w:divBdr>
                            <w:top w:val="none" w:sz="0" w:space="0" w:color="auto"/>
                            <w:left w:val="none" w:sz="0" w:space="0" w:color="auto"/>
                            <w:bottom w:val="none" w:sz="0" w:space="0" w:color="auto"/>
                            <w:right w:val="none" w:sz="0" w:space="0" w:color="auto"/>
                          </w:divBdr>
                          <w:divsChild>
                            <w:div w:id="1251114151">
                              <w:marLeft w:val="0"/>
                              <w:marRight w:val="0"/>
                              <w:marTop w:val="0"/>
                              <w:marBottom w:val="0"/>
                              <w:divBdr>
                                <w:top w:val="none" w:sz="0" w:space="0" w:color="auto"/>
                                <w:left w:val="none" w:sz="0" w:space="0" w:color="auto"/>
                                <w:bottom w:val="none" w:sz="0" w:space="0" w:color="auto"/>
                                <w:right w:val="none" w:sz="0" w:space="0" w:color="auto"/>
                              </w:divBdr>
                              <w:divsChild>
                                <w:div w:id="567308137">
                                  <w:marLeft w:val="0"/>
                                  <w:marRight w:val="0"/>
                                  <w:marTop w:val="0"/>
                                  <w:marBottom w:val="0"/>
                                  <w:divBdr>
                                    <w:top w:val="none" w:sz="0" w:space="0" w:color="auto"/>
                                    <w:left w:val="none" w:sz="0" w:space="0" w:color="auto"/>
                                    <w:bottom w:val="none" w:sz="0" w:space="0" w:color="auto"/>
                                    <w:right w:val="none" w:sz="0" w:space="0" w:color="auto"/>
                                  </w:divBdr>
                                  <w:divsChild>
                                    <w:div w:id="155074922">
                                      <w:marLeft w:val="0"/>
                                      <w:marRight w:val="0"/>
                                      <w:marTop w:val="0"/>
                                      <w:marBottom w:val="0"/>
                                      <w:divBdr>
                                        <w:top w:val="none" w:sz="0" w:space="0" w:color="auto"/>
                                        <w:left w:val="none" w:sz="0" w:space="0" w:color="auto"/>
                                        <w:bottom w:val="none" w:sz="0" w:space="0" w:color="auto"/>
                                        <w:right w:val="none" w:sz="0" w:space="0" w:color="auto"/>
                                      </w:divBdr>
                                      <w:divsChild>
                                        <w:div w:id="770584980">
                                          <w:marLeft w:val="0"/>
                                          <w:marRight w:val="0"/>
                                          <w:marTop w:val="0"/>
                                          <w:marBottom w:val="0"/>
                                          <w:divBdr>
                                            <w:top w:val="none" w:sz="0" w:space="0" w:color="auto"/>
                                            <w:left w:val="none" w:sz="0" w:space="0" w:color="auto"/>
                                            <w:bottom w:val="none" w:sz="0" w:space="0" w:color="auto"/>
                                            <w:right w:val="none" w:sz="0" w:space="0" w:color="auto"/>
                                          </w:divBdr>
                                          <w:divsChild>
                                            <w:div w:id="499351465">
                                              <w:marLeft w:val="0"/>
                                              <w:marRight w:val="0"/>
                                              <w:marTop w:val="0"/>
                                              <w:marBottom w:val="0"/>
                                              <w:divBdr>
                                                <w:top w:val="none" w:sz="0" w:space="0" w:color="auto"/>
                                                <w:left w:val="none" w:sz="0" w:space="0" w:color="auto"/>
                                                <w:bottom w:val="none" w:sz="0" w:space="0" w:color="auto"/>
                                                <w:right w:val="none" w:sz="0" w:space="0" w:color="auto"/>
                                              </w:divBdr>
                                              <w:divsChild>
                                                <w:div w:id="2109108876">
                                                  <w:marLeft w:val="0"/>
                                                  <w:marRight w:val="0"/>
                                                  <w:marTop w:val="0"/>
                                                  <w:marBottom w:val="0"/>
                                                  <w:divBdr>
                                                    <w:top w:val="none" w:sz="0" w:space="0" w:color="auto"/>
                                                    <w:left w:val="none" w:sz="0" w:space="0" w:color="auto"/>
                                                    <w:bottom w:val="none" w:sz="0" w:space="0" w:color="auto"/>
                                                    <w:right w:val="none" w:sz="0" w:space="0" w:color="auto"/>
                                                  </w:divBdr>
                                                  <w:divsChild>
                                                    <w:div w:id="1528104450">
                                                      <w:marLeft w:val="0"/>
                                                      <w:marRight w:val="0"/>
                                                      <w:marTop w:val="0"/>
                                                      <w:marBottom w:val="0"/>
                                                      <w:divBdr>
                                                        <w:top w:val="none" w:sz="0" w:space="0" w:color="auto"/>
                                                        <w:left w:val="none" w:sz="0" w:space="0" w:color="auto"/>
                                                        <w:bottom w:val="none" w:sz="0" w:space="0" w:color="auto"/>
                                                        <w:right w:val="none" w:sz="0" w:space="0" w:color="auto"/>
                                                      </w:divBdr>
                                                      <w:divsChild>
                                                        <w:div w:id="8815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635246">
      <w:bodyDiv w:val="1"/>
      <w:marLeft w:val="0"/>
      <w:marRight w:val="0"/>
      <w:marTop w:val="0"/>
      <w:marBottom w:val="0"/>
      <w:divBdr>
        <w:top w:val="none" w:sz="0" w:space="0" w:color="auto"/>
        <w:left w:val="none" w:sz="0" w:space="0" w:color="auto"/>
        <w:bottom w:val="none" w:sz="0" w:space="0" w:color="auto"/>
        <w:right w:val="none" w:sz="0" w:space="0" w:color="auto"/>
      </w:divBdr>
      <w:divsChild>
        <w:div w:id="1095514982">
          <w:marLeft w:val="0"/>
          <w:marRight w:val="0"/>
          <w:marTop w:val="0"/>
          <w:marBottom w:val="0"/>
          <w:divBdr>
            <w:top w:val="none" w:sz="0" w:space="0" w:color="auto"/>
            <w:left w:val="none" w:sz="0" w:space="0" w:color="auto"/>
            <w:bottom w:val="none" w:sz="0" w:space="0" w:color="auto"/>
            <w:right w:val="none" w:sz="0" w:space="0" w:color="auto"/>
          </w:divBdr>
          <w:divsChild>
            <w:div w:id="1303269236">
              <w:marLeft w:val="0"/>
              <w:marRight w:val="0"/>
              <w:marTop w:val="0"/>
              <w:marBottom w:val="0"/>
              <w:divBdr>
                <w:top w:val="none" w:sz="0" w:space="0" w:color="auto"/>
                <w:left w:val="none" w:sz="0" w:space="0" w:color="auto"/>
                <w:bottom w:val="none" w:sz="0" w:space="0" w:color="auto"/>
                <w:right w:val="none" w:sz="0" w:space="0" w:color="auto"/>
              </w:divBdr>
              <w:divsChild>
                <w:div w:id="1329091672">
                  <w:marLeft w:val="0"/>
                  <w:marRight w:val="0"/>
                  <w:marTop w:val="0"/>
                  <w:marBottom w:val="0"/>
                  <w:divBdr>
                    <w:top w:val="none" w:sz="0" w:space="0" w:color="auto"/>
                    <w:left w:val="none" w:sz="0" w:space="0" w:color="auto"/>
                    <w:bottom w:val="none" w:sz="0" w:space="0" w:color="auto"/>
                    <w:right w:val="none" w:sz="0" w:space="0" w:color="auto"/>
                  </w:divBdr>
                  <w:divsChild>
                    <w:div w:id="917709555">
                      <w:marLeft w:val="0"/>
                      <w:marRight w:val="0"/>
                      <w:marTop w:val="0"/>
                      <w:marBottom w:val="0"/>
                      <w:divBdr>
                        <w:top w:val="none" w:sz="0" w:space="0" w:color="auto"/>
                        <w:left w:val="none" w:sz="0" w:space="0" w:color="auto"/>
                        <w:bottom w:val="none" w:sz="0" w:space="0" w:color="auto"/>
                        <w:right w:val="none" w:sz="0" w:space="0" w:color="auto"/>
                      </w:divBdr>
                      <w:divsChild>
                        <w:div w:id="11099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828428">
      <w:bodyDiv w:val="1"/>
      <w:marLeft w:val="0"/>
      <w:marRight w:val="0"/>
      <w:marTop w:val="0"/>
      <w:marBottom w:val="0"/>
      <w:divBdr>
        <w:top w:val="none" w:sz="0" w:space="0" w:color="auto"/>
        <w:left w:val="none" w:sz="0" w:space="0" w:color="auto"/>
        <w:bottom w:val="none" w:sz="0" w:space="0" w:color="auto"/>
        <w:right w:val="none" w:sz="0" w:space="0" w:color="auto"/>
      </w:divBdr>
      <w:divsChild>
        <w:div w:id="1156459345">
          <w:marLeft w:val="0"/>
          <w:marRight w:val="0"/>
          <w:marTop w:val="150"/>
          <w:marBottom w:val="0"/>
          <w:divBdr>
            <w:top w:val="none" w:sz="0" w:space="0" w:color="auto"/>
            <w:left w:val="none" w:sz="0" w:space="0" w:color="auto"/>
            <w:bottom w:val="none" w:sz="0" w:space="0" w:color="auto"/>
            <w:right w:val="none" w:sz="0" w:space="0" w:color="auto"/>
          </w:divBdr>
          <w:divsChild>
            <w:div w:id="1048263819">
              <w:marLeft w:val="2"/>
              <w:marRight w:val="2"/>
              <w:marTop w:val="0"/>
              <w:marBottom w:val="0"/>
              <w:divBdr>
                <w:top w:val="none" w:sz="0" w:space="0" w:color="auto"/>
                <w:left w:val="none" w:sz="0" w:space="0" w:color="auto"/>
                <w:bottom w:val="none" w:sz="0" w:space="0" w:color="auto"/>
                <w:right w:val="none" w:sz="0" w:space="0" w:color="auto"/>
              </w:divBdr>
              <w:divsChild>
                <w:div w:id="858274818">
                  <w:marLeft w:val="0"/>
                  <w:marRight w:val="0"/>
                  <w:marTop w:val="0"/>
                  <w:marBottom w:val="0"/>
                  <w:divBdr>
                    <w:top w:val="none" w:sz="0" w:space="0" w:color="auto"/>
                    <w:left w:val="none" w:sz="0" w:space="0" w:color="auto"/>
                    <w:bottom w:val="none" w:sz="0" w:space="0" w:color="auto"/>
                    <w:right w:val="none" w:sz="0" w:space="0" w:color="auto"/>
                  </w:divBdr>
                  <w:divsChild>
                    <w:div w:id="441649657">
                      <w:marLeft w:val="0"/>
                      <w:marRight w:val="0"/>
                      <w:marTop w:val="0"/>
                      <w:marBottom w:val="0"/>
                      <w:divBdr>
                        <w:top w:val="none" w:sz="0" w:space="0" w:color="auto"/>
                        <w:left w:val="none" w:sz="0" w:space="0" w:color="auto"/>
                        <w:bottom w:val="none" w:sz="0" w:space="0" w:color="auto"/>
                        <w:right w:val="none" w:sz="0" w:space="0" w:color="auto"/>
                      </w:divBdr>
                      <w:divsChild>
                        <w:div w:id="534006166">
                          <w:marLeft w:val="0"/>
                          <w:marRight w:val="0"/>
                          <w:marTop w:val="0"/>
                          <w:marBottom w:val="0"/>
                          <w:divBdr>
                            <w:top w:val="none" w:sz="0" w:space="0" w:color="auto"/>
                            <w:left w:val="none" w:sz="0" w:space="0" w:color="auto"/>
                            <w:bottom w:val="none" w:sz="0" w:space="0" w:color="auto"/>
                            <w:right w:val="none" w:sz="0" w:space="0" w:color="auto"/>
                          </w:divBdr>
                          <w:divsChild>
                            <w:div w:id="1106343598">
                              <w:marLeft w:val="0"/>
                              <w:marRight w:val="0"/>
                              <w:marTop w:val="0"/>
                              <w:marBottom w:val="0"/>
                              <w:divBdr>
                                <w:top w:val="none" w:sz="0" w:space="0" w:color="auto"/>
                                <w:left w:val="none" w:sz="0" w:space="0" w:color="auto"/>
                                <w:bottom w:val="none" w:sz="0" w:space="0" w:color="auto"/>
                                <w:right w:val="none" w:sz="0" w:space="0" w:color="auto"/>
                              </w:divBdr>
                              <w:divsChild>
                                <w:div w:id="836305835">
                                  <w:marLeft w:val="0"/>
                                  <w:marRight w:val="0"/>
                                  <w:marTop w:val="0"/>
                                  <w:marBottom w:val="0"/>
                                  <w:divBdr>
                                    <w:top w:val="none" w:sz="0" w:space="0" w:color="auto"/>
                                    <w:left w:val="none" w:sz="0" w:space="0" w:color="auto"/>
                                    <w:bottom w:val="none" w:sz="0" w:space="0" w:color="auto"/>
                                    <w:right w:val="none" w:sz="0" w:space="0" w:color="auto"/>
                                  </w:divBdr>
                                  <w:divsChild>
                                    <w:div w:id="216161725">
                                      <w:marLeft w:val="0"/>
                                      <w:marRight w:val="0"/>
                                      <w:marTop w:val="0"/>
                                      <w:marBottom w:val="0"/>
                                      <w:divBdr>
                                        <w:top w:val="none" w:sz="0" w:space="0" w:color="auto"/>
                                        <w:left w:val="none" w:sz="0" w:space="0" w:color="auto"/>
                                        <w:bottom w:val="none" w:sz="0" w:space="0" w:color="auto"/>
                                        <w:right w:val="none" w:sz="0" w:space="0" w:color="auto"/>
                                      </w:divBdr>
                                      <w:divsChild>
                                        <w:div w:id="1504204036">
                                          <w:marLeft w:val="0"/>
                                          <w:marRight w:val="0"/>
                                          <w:marTop w:val="0"/>
                                          <w:marBottom w:val="0"/>
                                          <w:divBdr>
                                            <w:top w:val="none" w:sz="0" w:space="0" w:color="auto"/>
                                            <w:left w:val="none" w:sz="0" w:space="0" w:color="auto"/>
                                            <w:bottom w:val="none" w:sz="0" w:space="0" w:color="auto"/>
                                            <w:right w:val="none" w:sz="0" w:space="0" w:color="auto"/>
                                          </w:divBdr>
                                          <w:divsChild>
                                            <w:div w:id="1562133886">
                                              <w:marLeft w:val="0"/>
                                              <w:marRight w:val="0"/>
                                              <w:marTop w:val="0"/>
                                              <w:marBottom w:val="0"/>
                                              <w:divBdr>
                                                <w:top w:val="none" w:sz="0" w:space="0" w:color="auto"/>
                                                <w:left w:val="none" w:sz="0" w:space="0" w:color="auto"/>
                                                <w:bottom w:val="none" w:sz="0" w:space="0" w:color="auto"/>
                                                <w:right w:val="none" w:sz="0" w:space="0" w:color="auto"/>
                                              </w:divBdr>
                                              <w:divsChild>
                                                <w:div w:id="889537913">
                                                  <w:marLeft w:val="0"/>
                                                  <w:marRight w:val="0"/>
                                                  <w:marTop w:val="0"/>
                                                  <w:marBottom w:val="0"/>
                                                  <w:divBdr>
                                                    <w:top w:val="none" w:sz="0" w:space="0" w:color="auto"/>
                                                    <w:left w:val="none" w:sz="0" w:space="0" w:color="auto"/>
                                                    <w:bottom w:val="none" w:sz="0" w:space="0" w:color="auto"/>
                                                    <w:right w:val="none" w:sz="0" w:space="0" w:color="auto"/>
                                                  </w:divBdr>
                                                </w:div>
                                              </w:divsChild>
                                            </w:div>
                                            <w:div w:id="558983784">
                                              <w:marLeft w:val="0"/>
                                              <w:marRight w:val="0"/>
                                              <w:marTop w:val="0"/>
                                              <w:marBottom w:val="0"/>
                                              <w:divBdr>
                                                <w:top w:val="none" w:sz="0" w:space="0" w:color="auto"/>
                                                <w:left w:val="none" w:sz="0" w:space="0" w:color="auto"/>
                                                <w:bottom w:val="none" w:sz="0" w:space="0" w:color="auto"/>
                                                <w:right w:val="none" w:sz="0" w:space="0" w:color="auto"/>
                                              </w:divBdr>
                                              <w:divsChild>
                                                <w:div w:id="95711808">
                                                  <w:marLeft w:val="0"/>
                                                  <w:marRight w:val="0"/>
                                                  <w:marTop w:val="0"/>
                                                  <w:marBottom w:val="0"/>
                                                  <w:divBdr>
                                                    <w:top w:val="none" w:sz="0" w:space="0" w:color="auto"/>
                                                    <w:left w:val="none" w:sz="0" w:space="0" w:color="auto"/>
                                                    <w:bottom w:val="none" w:sz="0" w:space="0" w:color="auto"/>
                                                    <w:right w:val="none" w:sz="0" w:space="0" w:color="auto"/>
                                                  </w:divBdr>
                                                </w:div>
                                              </w:divsChild>
                                            </w:div>
                                            <w:div w:id="1088578918">
                                              <w:marLeft w:val="0"/>
                                              <w:marRight w:val="0"/>
                                              <w:marTop w:val="0"/>
                                              <w:marBottom w:val="0"/>
                                              <w:divBdr>
                                                <w:top w:val="none" w:sz="0" w:space="0" w:color="auto"/>
                                                <w:left w:val="none" w:sz="0" w:space="0" w:color="auto"/>
                                                <w:bottom w:val="none" w:sz="0" w:space="0" w:color="auto"/>
                                                <w:right w:val="none" w:sz="0" w:space="0" w:color="auto"/>
                                              </w:divBdr>
                                              <w:divsChild>
                                                <w:div w:id="1382900791">
                                                  <w:marLeft w:val="0"/>
                                                  <w:marRight w:val="0"/>
                                                  <w:marTop w:val="0"/>
                                                  <w:marBottom w:val="0"/>
                                                  <w:divBdr>
                                                    <w:top w:val="none" w:sz="0" w:space="0" w:color="auto"/>
                                                    <w:left w:val="none" w:sz="0" w:space="0" w:color="auto"/>
                                                    <w:bottom w:val="none" w:sz="0" w:space="0" w:color="auto"/>
                                                    <w:right w:val="none" w:sz="0" w:space="0" w:color="auto"/>
                                                  </w:divBdr>
                                                </w:div>
                                              </w:divsChild>
                                            </w:div>
                                            <w:div w:id="562907093">
                                              <w:marLeft w:val="0"/>
                                              <w:marRight w:val="0"/>
                                              <w:marTop w:val="0"/>
                                              <w:marBottom w:val="0"/>
                                              <w:divBdr>
                                                <w:top w:val="none" w:sz="0" w:space="0" w:color="auto"/>
                                                <w:left w:val="none" w:sz="0" w:space="0" w:color="auto"/>
                                                <w:bottom w:val="none" w:sz="0" w:space="0" w:color="auto"/>
                                                <w:right w:val="none" w:sz="0" w:space="0" w:color="auto"/>
                                              </w:divBdr>
                                              <w:divsChild>
                                                <w:div w:id="668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942693">
      <w:bodyDiv w:val="1"/>
      <w:marLeft w:val="0"/>
      <w:marRight w:val="0"/>
      <w:marTop w:val="0"/>
      <w:marBottom w:val="0"/>
      <w:divBdr>
        <w:top w:val="none" w:sz="0" w:space="0" w:color="auto"/>
        <w:left w:val="none" w:sz="0" w:space="0" w:color="auto"/>
        <w:bottom w:val="none" w:sz="0" w:space="0" w:color="auto"/>
        <w:right w:val="none" w:sz="0" w:space="0" w:color="auto"/>
      </w:divBdr>
      <w:divsChild>
        <w:div w:id="2090879150">
          <w:marLeft w:val="0"/>
          <w:marRight w:val="0"/>
          <w:marTop w:val="0"/>
          <w:marBottom w:val="0"/>
          <w:divBdr>
            <w:top w:val="none" w:sz="0" w:space="0" w:color="auto"/>
            <w:left w:val="none" w:sz="0" w:space="0" w:color="auto"/>
            <w:bottom w:val="none" w:sz="0" w:space="0" w:color="auto"/>
            <w:right w:val="none" w:sz="0" w:space="0" w:color="auto"/>
          </w:divBdr>
          <w:divsChild>
            <w:div w:id="10835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0869">
      <w:bodyDiv w:val="1"/>
      <w:marLeft w:val="0"/>
      <w:marRight w:val="0"/>
      <w:marTop w:val="0"/>
      <w:marBottom w:val="0"/>
      <w:divBdr>
        <w:top w:val="none" w:sz="0" w:space="0" w:color="auto"/>
        <w:left w:val="none" w:sz="0" w:space="0" w:color="auto"/>
        <w:bottom w:val="none" w:sz="0" w:space="0" w:color="auto"/>
        <w:right w:val="none" w:sz="0" w:space="0" w:color="auto"/>
      </w:divBdr>
      <w:divsChild>
        <w:div w:id="1430464204">
          <w:marLeft w:val="0"/>
          <w:marRight w:val="0"/>
          <w:marTop w:val="0"/>
          <w:marBottom w:val="0"/>
          <w:divBdr>
            <w:top w:val="single" w:sz="2" w:space="0" w:color="AAAAAA"/>
            <w:left w:val="single" w:sz="6" w:space="8" w:color="AAAAAA"/>
            <w:bottom w:val="single" w:sz="2" w:space="0" w:color="AAAAAA"/>
            <w:right w:val="single" w:sz="6" w:space="8" w:color="AAAAAA"/>
          </w:divBdr>
          <w:divsChild>
            <w:div w:id="1696731009">
              <w:marLeft w:val="0"/>
              <w:marRight w:val="0"/>
              <w:marTop w:val="0"/>
              <w:marBottom w:val="0"/>
              <w:divBdr>
                <w:top w:val="none" w:sz="0" w:space="0" w:color="auto"/>
                <w:left w:val="none" w:sz="0" w:space="0" w:color="auto"/>
                <w:bottom w:val="none" w:sz="0" w:space="0" w:color="auto"/>
                <w:right w:val="none" w:sz="0" w:space="0" w:color="auto"/>
              </w:divBdr>
              <w:divsChild>
                <w:div w:id="391318458">
                  <w:marLeft w:val="0"/>
                  <w:marRight w:val="0"/>
                  <w:marTop w:val="0"/>
                  <w:marBottom w:val="0"/>
                  <w:divBdr>
                    <w:top w:val="none" w:sz="0" w:space="0" w:color="auto"/>
                    <w:left w:val="none" w:sz="0" w:space="0" w:color="auto"/>
                    <w:bottom w:val="none" w:sz="0" w:space="0" w:color="auto"/>
                    <w:right w:val="none" w:sz="0" w:space="0" w:color="auto"/>
                  </w:divBdr>
                  <w:divsChild>
                    <w:div w:id="1347556387">
                      <w:marLeft w:val="0"/>
                      <w:marRight w:val="2550"/>
                      <w:marTop w:val="0"/>
                      <w:marBottom w:val="48"/>
                      <w:divBdr>
                        <w:top w:val="none" w:sz="0" w:space="0" w:color="auto"/>
                        <w:left w:val="none" w:sz="0" w:space="0" w:color="auto"/>
                        <w:bottom w:val="none" w:sz="0" w:space="0" w:color="auto"/>
                        <w:right w:val="none" w:sz="0" w:space="0" w:color="auto"/>
                      </w:divBdr>
                      <w:divsChild>
                        <w:div w:id="1501920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9753084">
      <w:bodyDiv w:val="1"/>
      <w:marLeft w:val="0"/>
      <w:marRight w:val="0"/>
      <w:marTop w:val="0"/>
      <w:marBottom w:val="0"/>
      <w:divBdr>
        <w:top w:val="none" w:sz="0" w:space="0" w:color="auto"/>
        <w:left w:val="none" w:sz="0" w:space="0" w:color="auto"/>
        <w:bottom w:val="none" w:sz="0" w:space="0" w:color="auto"/>
        <w:right w:val="none" w:sz="0" w:space="0" w:color="auto"/>
      </w:divBdr>
      <w:divsChild>
        <w:div w:id="1846241447">
          <w:marLeft w:val="0"/>
          <w:marRight w:val="0"/>
          <w:marTop w:val="0"/>
          <w:marBottom w:val="0"/>
          <w:divBdr>
            <w:top w:val="none" w:sz="0" w:space="0" w:color="auto"/>
            <w:left w:val="none" w:sz="0" w:space="0" w:color="auto"/>
            <w:bottom w:val="none" w:sz="0" w:space="0" w:color="auto"/>
            <w:right w:val="none" w:sz="0" w:space="0" w:color="auto"/>
          </w:divBdr>
          <w:divsChild>
            <w:div w:id="848182579">
              <w:marLeft w:val="0"/>
              <w:marRight w:val="0"/>
              <w:marTop w:val="0"/>
              <w:marBottom w:val="0"/>
              <w:divBdr>
                <w:top w:val="none" w:sz="0" w:space="0" w:color="auto"/>
                <w:left w:val="none" w:sz="0" w:space="0" w:color="auto"/>
                <w:bottom w:val="none" w:sz="0" w:space="0" w:color="auto"/>
                <w:right w:val="none" w:sz="0" w:space="0" w:color="auto"/>
              </w:divBdr>
              <w:divsChild>
                <w:div w:id="40978685">
                  <w:marLeft w:val="0"/>
                  <w:marRight w:val="0"/>
                  <w:marTop w:val="0"/>
                  <w:marBottom w:val="0"/>
                  <w:divBdr>
                    <w:top w:val="none" w:sz="0" w:space="0" w:color="auto"/>
                    <w:left w:val="none" w:sz="0" w:space="0" w:color="auto"/>
                    <w:bottom w:val="none" w:sz="0" w:space="0" w:color="auto"/>
                    <w:right w:val="none" w:sz="0" w:space="0" w:color="auto"/>
                  </w:divBdr>
                  <w:divsChild>
                    <w:div w:id="68044732">
                      <w:marLeft w:val="0"/>
                      <w:marRight w:val="0"/>
                      <w:marTop w:val="0"/>
                      <w:marBottom w:val="0"/>
                      <w:divBdr>
                        <w:top w:val="none" w:sz="0" w:space="0" w:color="auto"/>
                        <w:left w:val="none" w:sz="0" w:space="0" w:color="auto"/>
                        <w:bottom w:val="none" w:sz="0" w:space="0" w:color="auto"/>
                        <w:right w:val="none" w:sz="0" w:space="0" w:color="auto"/>
                      </w:divBdr>
                      <w:divsChild>
                        <w:div w:id="19434174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670210634">
      <w:bodyDiv w:val="1"/>
      <w:marLeft w:val="0"/>
      <w:marRight w:val="0"/>
      <w:marTop w:val="0"/>
      <w:marBottom w:val="0"/>
      <w:divBdr>
        <w:top w:val="none" w:sz="0" w:space="0" w:color="auto"/>
        <w:left w:val="none" w:sz="0" w:space="0" w:color="auto"/>
        <w:bottom w:val="none" w:sz="0" w:space="0" w:color="auto"/>
        <w:right w:val="none" w:sz="0" w:space="0" w:color="auto"/>
      </w:divBdr>
    </w:div>
    <w:div w:id="1670325618">
      <w:bodyDiv w:val="1"/>
      <w:marLeft w:val="0"/>
      <w:marRight w:val="0"/>
      <w:marTop w:val="0"/>
      <w:marBottom w:val="0"/>
      <w:divBdr>
        <w:top w:val="none" w:sz="0" w:space="0" w:color="auto"/>
        <w:left w:val="none" w:sz="0" w:space="0" w:color="auto"/>
        <w:bottom w:val="none" w:sz="0" w:space="0" w:color="auto"/>
        <w:right w:val="none" w:sz="0" w:space="0" w:color="auto"/>
      </w:divBdr>
      <w:divsChild>
        <w:div w:id="562106258">
          <w:marLeft w:val="0"/>
          <w:marRight w:val="0"/>
          <w:marTop w:val="0"/>
          <w:marBottom w:val="0"/>
          <w:divBdr>
            <w:top w:val="none" w:sz="0" w:space="0" w:color="auto"/>
            <w:left w:val="none" w:sz="0" w:space="0" w:color="auto"/>
            <w:bottom w:val="none" w:sz="0" w:space="0" w:color="auto"/>
            <w:right w:val="none" w:sz="0" w:space="0" w:color="auto"/>
          </w:divBdr>
          <w:divsChild>
            <w:div w:id="39867816">
              <w:marLeft w:val="0"/>
              <w:marRight w:val="0"/>
              <w:marTop w:val="0"/>
              <w:marBottom w:val="0"/>
              <w:divBdr>
                <w:top w:val="none" w:sz="0" w:space="0" w:color="auto"/>
                <w:left w:val="none" w:sz="0" w:space="0" w:color="auto"/>
                <w:bottom w:val="none" w:sz="0" w:space="0" w:color="auto"/>
                <w:right w:val="none" w:sz="0" w:space="0" w:color="auto"/>
              </w:divBdr>
              <w:divsChild>
                <w:div w:id="1530099360">
                  <w:marLeft w:val="0"/>
                  <w:marRight w:val="0"/>
                  <w:marTop w:val="0"/>
                  <w:marBottom w:val="0"/>
                  <w:divBdr>
                    <w:top w:val="none" w:sz="0" w:space="0" w:color="auto"/>
                    <w:left w:val="none" w:sz="0" w:space="0" w:color="auto"/>
                    <w:bottom w:val="none" w:sz="0" w:space="0" w:color="auto"/>
                    <w:right w:val="none" w:sz="0" w:space="0" w:color="auto"/>
                  </w:divBdr>
                  <w:divsChild>
                    <w:div w:id="1164978955">
                      <w:marLeft w:val="0"/>
                      <w:marRight w:val="0"/>
                      <w:marTop w:val="0"/>
                      <w:marBottom w:val="0"/>
                      <w:divBdr>
                        <w:top w:val="none" w:sz="0" w:space="0" w:color="auto"/>
                        <w:left w:val="none" w:sz="0" w:space="0" w:color="auto"/>
                        <w:bottom w:val="none" w:sz="0" w:space="0" w:color="auto"/>
                        <w:right w:val="none" w:sz="0" w:space="0" w:color="auto"/>
                      </w:divBdr>
                      <w:divsChild>
                        <w:div w:id="15257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23330">
      <w:bodyDiv w:val="1"/>
      <w:marLeft w:val="0"/>
      <w:marRight w:val="0"/>
      <w:marTop w:val="0"/>
      <w:marBottom w:val="0"/>
      <w:divBdr>
        <w:top w:val="none" w:sz="0" w:space="0" w:color="auto"/>
        <w:left w:val="none" w:sz="0" w:space="0" w:color="auto"/>
        <w:bottom w:val="none" w:sz="0" w:space="0" w:color="auto"/>
        <w:right w:val="none" w:sz="0" w:space="0" w:color="auto"/>
      </w:divBdr>
      <w:divsChild>
        <w:div w:id="1828589468">
          <w:marLeft w:val="0"/>
          <w:marRight w:val="0"/>
          <w:marTop w:val="0"/>
          <w:marBottom w:val="0"/>
          <w:divBdr>
            <w:top w:val="none" w:sz="0" w:space="0" w:color="auto"/>
            <w:left w:val="none" w:sz="0" w:space="0" w:color="auto"/>
            <w:bottom w:val="none" w:sz="0" w:space="0" w:color="auto"/>
            <w:right w:val="none" w:sz="0" w:space="0" w:color="auto"/>
          </w:divBdr>
          <w:divsChild>
            <w:div w:id="147285926">
              <w:marLeft w:val="210"/>
              <w:marRight w:val="0"/>
              <w:marTop w:val="0"/>
              <w:marBottom w:val="0"/>
              <w:divBdr>
                <w:top w:val="none" w:sz="0" w:space="0" w:color="auto"/>
                <w:left w:val="none" w:sz="0" w:space="0" w:color="auto"/>
                <w:bottom w:val="none" w:sz="0" w:space="0" w:color="auto"/>
                <w:right w:val="none" w:sz="0" w:space="0" w:color="auto"/>
              </w:divBdr>
              <w:divsChild>
                <w:div w:id="14639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370371">
      <w:bodyDiv w:val="1"/>
      <w:marLeft w:val="0"/>
      <w:marRight w:val="0"/>
      <w:marTop w:val="0"/>
      <w:marBottom w:val="0"/>
      <w:divBdr>
        <w:top w:val="none" w:sz="0" w:space="0" w:color="auto"/>
        <w:left w:val="none" w:sz="0" w:space="0" w:color="auto"/>
        <w:bottom w:val="none" w:sz="0" w:space="0" w:color="auto"/>
        <w:right w:val="none" w:sz="0" w:space="0" w:color="auto"/>
      </w:divBdr>
    </w:div>
    <w:div w:id="1674838058">
      <w:bodyDiv w:val="1"/>
      <w:marLeft w:val="0"/>
      <w:marRight w:val="0"/>
      <w:marTop w:val="0"/>
      <w:marBottom w:val="0"/>
      <w:divBdr>
        <w:top w:val="none" w:sz="0" w:space="0" w:color="auto"/>
        <w:left w:val="none" w:sz="0" w:space="0" w:color="auto"/>
        <w:bottom w:val="none" w:sz="0" w:space="0" w:color="auto"/>
        <w:right w:val="none" w:sz="0" w:space="0" w:color="auto"/>
      </w:divBdr>
    </w:div>
    <w:div w:id="1674910603">
      <w:bodyDiv w:val="1"/>
      <w:marLeft w:val="0"/>
      <w:marRight w:val="0"/>
      <w:marTop w:val="0"/>
      <w:marBottom w:val="0"/>
      <w:divBdr>
        <w:top w:val="none" w:sz="0" w:space="0" w:color="auto"/>
        <w:left w:val="none" w:sz="0" w:space="0" w:color="auto"/>
        <w:bottom w:val="none" w:sz="0" w:space="0" w:color="auto"/>
        <w:right w:val="none" w:sz="0" w:space="0" w:color="auto"/>
      </w:divBdr>
      <w:divsChild>
        <w:div w:id="765082264">
          <w:marLeft w:val="0"/>
          <w:marRight w:val="0"/>
          <w:marTop w:val="0"/>
          <w:marBottom w:val="0"/>
          <w:divBdr>
            <w:top w:val="none" w:sz="0" w:space="0" w:color="auto"/>
            <w:left w:val="none" w:sz="0" w:space="0" w:color="auto"/>
            <w:bottom w:val="none" w:sz="0" w:space="0" w:color="auto"/>
            <w:right w:val="none" w:sz="0" w:space="0" w:color="auto"/>
          </w:divBdr>
          <w:divsChild>
            <w:div w:id="812406578">
              <w:marLeft w:val="0"/>
              <w:marRight w:val="0"/>
              <w:marTop w:val="0"/>
              <w:marBottom w:val="0"/>
              <w:divBdr>
                <w:top w:val="none" w:sz="0" w:space="0" w:color="auto"/>
                <w:left w:val="none" w:sz="0" w:space="0" w:color="auto"/>
                <w:bottom w:val="none" w:sz="0" w:space="0" w:color="auto"/>
                <w:right w:val="none" w:sz="0" w:space="0" w:color="auto"/>
              </w:divBdr>
              <w:divsChild>
                <w:div w:id="709770906">
                  <w:marLeft w:val="0"/>
                  <w:marRight w:val="0"/>
                  <w:marTop w:val="0"/>
                  <w:marBottom w:val="0"/>
                  <w:divBdr>
                    <w:top w:val="none" w:sz="0" w:space="0" w:color="auto"/>
                    <w:left w:val="none" w:sz="0" w:space="0" w:color="auto"/>
                    <w:bottom w:val="none" w:sz="0" w:space="0" w:color="auto"/>
                    <w:right w:val="none" w:sz="0" w:space="0" w:color="auto"/>
                  </w:divBdr>
                  <w:divsChild>
                    <w:div w:id="174656734">
                      <w:marLeft w:val="0"/>
                      <w:marRight w:val="0"/>
                      <w:marTop w:val="0"/>
                      <w:marBottom w:val="0"/>
                      <w:divBdr>
                        <w:top w:val="none" w:sz="0" w:space="0" w:color="auto"/>
                        <w:left w:val="none" w:sz="0" w:space="0" w:color="auto"/>
                        <w:bottom w:val="none" w:sz="0" w:space="0" w:color="auto"/>
                        <w:right w:val="none" w:sz="0" w:space="0" w:color="auto"/>
                      </w:divBdr>
                      <w:divsChild>
                        <w:div w:id="1072315243">
                          <w:marLeft w:val="0"/>
                          <w:marRight w:val="0"/>
                          <w:marTop w:val="0"/>
                          <w:marBottom w:val="0"/>
                          <w:divBdr>
                            <w:top w:val="none" w:sz="0" w:space="0" w:color="auto"/>
                            <w:left w:val="none" w:sz="0" w:space="0" w:color="auto"/>
                            <w:bottom w:val="none" w:sz="0" w:space="0" w:color="auto"/>
                            <w:right w:val="none" w:sz="0" w:space="0" w:color="auto"/>
                          </w:divBdr>
                          <w:divsChild>
                            <w:div w:id="1197277386">
                              <w:marLeft w:val="0"/>
                              <w:marRight w:val="0"/>
                              <w:marTop w:val="0"/>
                              <w:marBottom w:val="0"/>
                              <w:divBdr>
                                <w:top w:val="none" w:sz="0" w:space="0" w:color="auto"/>
                                <w:left w:val="none" w:sz="0" w:space="0" w:color="auto"/>
                                <w:bottom w:val="none" w:sz="0" w:space="0" w:color="auto"/>
                                <w:right w:val="none" w:sz="0" w:space="0" w:color="auto"/>
                              </w:divBdr>
                              <w:divsChild>
                                <w:div w:id="2073120358">
                                  <w:marLeft w:val="0"/>
                                  <w:marRight w:val="0"/>
                                  <w:marTop w:val="0"/>
                                  <w:marBottom w:val="0"/>
                                  <w:divBdr>
                                    <w:top w:val="none" w:sz="0" w:space="0" w:color="auto"/>
                                    <w:left w:val="none" w:sz="0" w:space="0" w:color="auto"/>
                                    <w:bottom w:val="none" w:sz="0" w:space="0" w:color="auto"/>
                                    <w:right w:val="none" w:sz="0" w:space="0" w:color="auto"/>
                                  </w:divBdr>
                                  <w:divsChild>
                                    <w:div w:id="887960643">
                                      <w:marLeft w:val="0"/>
                                      <w:marRight w:val="0"/>
                                      <w:marTop w:val="0"/>
                                      <w:marBottom w:val="0"/>
                                      <w:divBdr>
                                        <w:top w:val="none" w:sz="0" w:space="0" w:color="auto"/>
                                        <w:left w:val="none" w:sz="0" w:space="0" w:color="auto"/>
                                        <w:bottom w:val="none" w:sz="0" w:space="0" w:color="auto"/>
                                        <w:right w:val="none" w:sz="0" w:space="0" w:color="auto"/>
                                      </w:divBdr>
                                      <w:divsChild>
                                        <w:div w:id="868224356">
                                          <w:marLeft w:val="0"/>
                                          <w:marRight w:val="0"/>
                                          <w:marTop w:val="0"/>
                                          <w:marBottom w:val="0"/>
                                          <w:divBdr>
                                            <w:top w:val="none" w:sz="0" w:space="0" w:color="auto"/>
                                            <w:left w:val="none" w:sz="0" w:space="0" w:color="auto"/>
                                            <w:bottom w:val="none" w:sz="0" w:space="0" w:color="auto"/>
                                            <w:right w:val="none" w:sz="0" w:space="0" w:color="auto"/>
                                          </w:divBdr>
                                        </w:div>
                                        <w:div w:id="1254364319">
                                          <w:marLeft w:val="0"/>
                                          <w:marRight w:val="0"/>
                                          <w:marTop w:val="0"/>
                                          <w:marBottom w:val="0"/>
                                          <w:divBdr>
                                            <w:top w:val="none" w:sz="0" w:space="0" w:color="auto"/>
                                            <w:left w:val="none" w:sz="0" w:space="0" w:color="auto"/>
                                            <w:bottom w:val="none" w:sz="0" w:space="0" w:color="auto"/>
                                            <w:right w:val="none" w:sz="0" w:space="0" w:color="auto"/>
                                          </w:divBdr>
                                          <w:divsChild>
                                            <w:div w:id="20027375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989676">
      <w:bodyDiv w:val="1"/>
      <w:marLeft w:val="0"/>
      <w:marRight w:val="0"/>
      <w:marTop w:val="0"/>
      <w:marBottom w:val="0"/>
      <w:divBdr>
        <w:top w:val="none" w:sz="0" w:space="0" w:color="auto"/>
        <w:left w:val="none" w:sz="0" w:space="0" w:color="auto"/>
        <w:bottom w:val="none" w:sz="0" w:space="0" w:color="auto"/>
        <w:right w:val="none" w:sz="0" w:space="0" w:color="auto"/>
      </w:divBdr>
      <w:divsChild>
        <w:div w:id="1704819530">
          <w:marLeft w:val="0"/>
          <w:marRight w:val="0"/>
          <w:marTop w:val="0"/>
          <w:marBottom w:val="0"/>
          <w:divBdr>
            <w:top w:val="none" w:sz="0" w:space="0" w:color="auto"/>
            <w:left w:val="none" w:sz="0" w:space="0" w:color="auto"/>
            <w:bottom w:val="none" w:sz="0" w:space="0" w:color="auto"/>
            <w:right w:val="none" w:sz="0" w:space="0" w:color="auto"/>
          </w:divBdr>
          <w:divsChild>
            <w:div w:id="1899903516">
              <w:marLeft w:val="0"/>
              <w:marRight w:val="0"/>
              <w:marTop w:val="0"/>
              <w:marBottom w:val="0"/>
              <w:divBdr>
                <w:top w:val="none" w:sz="0" w:space="0" w:color="auto"/>
                <w:left w:val="none" w:sz="0" w:space="0" w:color="auto"/>
                <w:bottom w:val="none" w:sz="0" w:space="0" w:color="auto"/>
                <w:right w:val="none" w:sz="0" w:space="0" w:color="auto"/>
              </w:divBdr>
              <w:divsChild>
                <w:div w:id="1905140758">
                  <w:marLeft w:val="-225"/>
                  <w:marRight w:val="-225"/>
                  <w:marTop w:val="0"/>
                  <w:marBottom w:val="0"/>
                  <w:divBdr>
                    <w:top w:val="none" w:sz="0" w:space="0" w:color="auto"/>
                    <w:left w:val="none" w:sz="0" w:space="0" w:color="auto"/>
                    <w:bottom w:val="none" w:sz="0" w:space="0" w:color="auto"/>
                    <w:right w:val="none" w:sz="0" w:space="0" w:color="auto"/>
                  </w:divBdr>
                  <w:divsChild>
                    <w:div w:id="13973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9971">
      <w:bodyDiv w:val="1"/>
      <w:marLeft w:val="0"/>
      <w:marRight w:val="0"/>
      <w:marTop w:val="0"/>
      <w:marBottom w:val="0"/>
      <w:divBdr>
        <w:top w:val="none" w:sz="0" w:space="0" w:color="auto"/>
        <w:left w:val="none" w:sz="0" w:space="0" w:color="auto"/>
        <w:bottom w:val="none" w:sz="0" w:space="0" w:color="auto"/>
        <w:right w:val="none" w:sz="0" w:space="0" w:color="auto"/>
      </w:divBdr>
      <w:divsChild>
        <w:div w:id="729696130">
          <w:marLeft w:val="0"/>
          <w:marRight w:val="0"/>
          <w:marTop w:val="0"/>
          <w:marBottom w:val="0"/>
          <w:divBdr>
            <w:top w:val="none" w:sz="0" w:space="0" w:color="auto"/>
            <w:left w:val="none" w:sz="0" w:space="0" w:color="auto"/>
            <w:bottom w:val="none" w:sz="0" w:space="0" w:color="auto"/>
            <w:right w:val="none" w:sz="0" w:space="0" w:color="auto"/>
          </w:divBdr>
          <w:divsChild>
            <w:div w:id="1376586350">
              <w:marLeft w:val="0"/>
              <w:marRight w:val="0"/>
              <w:marTop w:val="0"/>
              <w:marBottom w:val="0"/>
              <w:divBdr>
                <w:top w:val="none" w:sz="0" w:space="0" w:color="auto"/>
                <w:left w:val="none" w:sz="0" w:space="0" w:color="auto"/>
                <w:bottom w:val="none" w:sz="0" w:space="0" w:color="auto"/>
                <w:right w:val="none" w:sz="0" w:space="0" w:color="auto"/>
              </w:divBdr>
              <w:divsChild>
                <w:div w:id="628438555">
                  <w:marLeft w:val="0"/>
                  <w:marRight w:val="0"/>
                  <w:marTop w:val="0"/>
                  <w:marBottom w:val="0"/>
                  <w:divBdr>
                    <w:top w:val="none" w:sz="0" w:space="0" w:color="auto"/>
                    <w:left w:val="none" w:sz="0" w:space="0" w:color="auto"/>
                    <w:bottom w:val="none" w:sz="0" w:space="0" w:color="auto"/>
                    <w:right w:val="none" w:sz="0" w:space="0" w:color="auto"/>
                  </w:divBdr>
                  <w:divsChild>
                    <w:div w:id="1673069776">
                      <w:marLeft w:val="0"/>
                      <w:marRight w:val="0"/>
                      <w:marTop w:val="0"/>
                      <w:marBottom w:val="0"/>
                      <w:divBdr>
                        <w:top w:val="none" w:sz="0" w:space="0" w:color="auto"/>
                        <w:left w:val="none" w:sz="0" w:space="0" w:color="auto"/>
                        <w:bottom w:val="none" w:sz="0" w:space="0" w:color="auto"/>
                        <w:right w:val="none" w:sz="0" w:space="0" w:color="auto"/>
                      </w:divBdr>
                      <w:divsChild>
                        <w:div w:id="778909622">
                          <w:marLeft w:val="0"/>
                          <w:marRight w:val="0"/>
                          <w:marTop w:val="0"/>
                          <w:marBottom w:val="0"/>
                          <w:divBdr>
                            <w:top w:val="none" w:sz="0" w:space="0" w:color="auto"/>
                            <w:left w:val="none" w:sz="0" w:space="0" w:color="auto"/>
                            <w:bottom w:val="none" w:sz="0" w:space="0" w:color="auto"/>
                            <w:right w:val="none" w:sz="0" w:space="0" w:color="auto"/>
                          </w:divBdr>
                          <w:divsChild>
                            <w:div w:id="664473839">
                              <w:marLeft w:val="0"/>
                              <w:marRight w:val="0"/>
                              <w:marTop w:val="0"/>
                              <w:marBottom w:val="0"/>
                              <w:divBdr>
                                <w:top w:val="none" w:sz="0" w:space="0" w:color="auto"/>
                                <w:left w:val="none" w:sz="0" w:space="0" w:color="auto"/>
                                <w:bottom w:val="none" w:sz="0" w:space="0" w:color="auto"/>
                                <w:right w:val="none" w:sz="0" w:space="0" w:color="auto"/>
                              </w:divBdr>
                              <w:divsChild>
                                <w:div w:id="251545246">
                                  <w:marLeft w:val="0"/>
                                  <w:marRight w:val="0"/>
                                  <w:marTop w:val="0"/>
                                  <w:marBottom w:val="0"/>
                                  <w:divBdr>
                                    <w:top w:val="none" w:sz="0" w:space="0" w:color="auto"/>
                                    <w:left w:val="none" w:sz="0" w:space="0" w:color="auto"/>
                                    <w:bottom w:val="none" w:sz="0" w:space="0" w:color="auto"/>
                                    <w:right w:val="none" w:sz="0" w:space="0" w:color="auto"/>
                                  </w:divBdr>
                                  <w:divsChild>
                                    <w:div w:id="489104764">
                                      <w:marLeft w:val="0"/>
                                      <w:marRight w:val="0"/>
                                      <w:marTop w:val="0"/>
                                      <w:marBottom w:val="0"/>
                                      <w:divBdr>
                                        <w:top w:val="none" w:sz="0" w:space="0" w:color="auto"/>
                                        <w:left w:val="none" w:sz="0" w:space="0" w:color="auto"/>
                                        <w:bottom w:val="none" w:sz="0" w:space="0" w:color="auto"/>
                                        <w:right w:val="none" w:sz="0" w:space="0" w:color="auto"/>
                                      </w:divBdr>
                                      <w:divsChild>
                                        <w:div w:id="2083915967">
                                          <w:marLeft w:val="0"/>
                                          <w:marRight w:val="0"/>
                                          <w:marTop w:val="0"/>
                                          <w:marBottom w:val="0"/>
                                          <w:divBdr>
                                            <w:top w:val="none" w:sz="0" w:space="0" w:color="auto"/>
                                            <w:left w:val="none" w:sz="0" w:space="0" w:color="auto"/>
                                            <w:bottom w:val="none" w:sz="0" w:space="0" w:color="auto"/>
                                            <w:right w:val="none" w:sz="0" w:space="0" w:color="auto"/>
                                          </w:divBdr>
                                          <w:divsChild>
                                            <w:div w:id="1729567659">
                                              <w:marLeft w:val="0"/>
                                              <w:marRight w:val="0"/>
                                              <w:marTop w:val="0"/>
                                              <w:marBottom w:val="0"/>
                                              <w:divBdr>
                                                <w:top w:val="none" w:sz="0" w:space="0" w:color="auto"/>
                                                <w:left w:val="none" w:sz="0" w:space="0" w:color="auto"/>
                                                <w:bottom w:val="none" w:sz="0" w:space="0" w:color="auto"/>
                                                <w:right w:val="none" w:sz="0" w:space="0" w:color="auto"/>
                                              </w:divBdr>
                                              <w:divsChild>
                                                <w:div w:id="1150444657">
                                                  <w:marLeft w:val="0"/>
                                                  <w:marRight w:val="0"/>
                                                  <w:marTop w:val="0"/>
                                                  <w:marBottom w:val="0"/>
                                                  <w:divBdr>
                                                    <w:top w:val="none" w:sz="0" w:space="0" w:color="auto"/>
                                                    <w:left w:val="none" w:sz="0" w:space="0" w:color="auto"/>
                                                    <w:bottom w:val="none" w:sz="0" w:space="0" w:color="auto"/>
                                                    <w:right w:val="none" w:sz="0" w:space="0" w:color="auto"/>
                                                  </w:divBdr>
                                                  <w:divsChild>
                                                    <w:div w:id="986781572">
                                                      <w:marLeft w:val="0"/>
                                                      <w:marRight w:val="0"/>
                                                      <w:marTop w:val="0"/>
                                                      <w:marBottom w:val="0"/>
                                                      <w:divBdr>
                                                        <w:top w:val="none" w:sz="0" w:space="0" w:color="auto"/>
                                                        <w:left w:val="none" w:sz="0" w:space="0" w:color="auto"/>
                                                        <w:bottom w:val="none" w:sz="0" w:space="0" w:color="auto"/>
                                                        <w:right w:val="none" w:sz="0" w:space="0" w:color="auto"/>
                                                      </w:divBdr>
                                                      <w:divsChild>
                                                        <w:div w:id="1380277491">
                                                          <w:marLeft w:val="0"/>
                                                          <w:marRight w:val="0"/>
                                                          <w:marTop w:val="0"/>
                                                          <w:marBottom w:val="0"/>
                                                          <w:divBdr>
                                                            <w:top w:val="none" w:sz="0" w:space="0" w:color="auto"/>
                                                            <w:left w:val="none" w:sz="0" w:space="0" w:color="auto"/>
                                                            <w:bottom w:val="none" w:sz="0" w:space="0" w:color="auto"/>
                                                            <w:right w:val="none" w:sz="0" w:space="0" w:color="auto"/>
                                                          </w:divBdr>
                                                        </w:div>
                                                        <w:div w:id="1924755599">
                                                          <w:marLeft w:val="0"/>
                                                          <w:marRight w:val="0"/>
                                                          <w:marTop w:val="0"/>
                                                          <w:marBottom w:val="0"/>
                                                          <w:divBdr>
                                                            <w:top w:val="none" w:sz="0" w:space="0" w:color="auto"/>
                                                            <w:left w:val="none" w:sz="0" w:space="0" w:color="auto"/>
                                                            <w:bottom w:val="none" w:sz="0" w:space="0" w:color="auto"/>
                                                            <w:right w:val="none" w:sz="0" w:space="0" w:color="auto"/>
                                                          </w:divBdr>
                                                          <w:divsChild>
                                                            <w:div w:id="3982136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688379">
      <w:bodyDiv w:val="1"/>
      <w:marLeft w:val="0"/>
      <w:marRight w:val="0"/>
      <w:marTop w:val="0"/>
      <w:marBottom w:val="0"/>
      <w:divBdr>
        <w:top w:val="none" w:sz="0" w:space="0" w:color="auto"/>
        <w:left w:val="none" w:sz="0" w:space="0" w:color="auto"/>
        <w:bottom w:val="none" w:sz="0" w:space="0" w:color="auto"/>
        <w:right w:val="none" w:sz="0" w:space="0" w:color="auto"/>
      </w:divBdr>
      <w:divsChild>
        <w:div w:id="1787963617">
          <w:marLeft w:val="0"/>
          <w:marRight w:val="0"/>
          <w:marTop w:val="0"/>
          <w:marBottom w:val="0"/>
          <w:divBdr>
            <w:top w:val="none" w:sz="0" w:space="0" w:color="auto"/>
            <w:left w:val="none" w:sz="0" w:space="0" w:color="auto"/>
            <w:bottom w:val="none" w:sz="0" w:space="0" w:color="auto"/>
            <w:right w:val="none" w:sz="0" w:space="0" w:color="auto"/>
          </w:divBdr>
          <w:divsChild>
            <w:div w:id="1919515206">
              <w:marLeft w:val="0"/>
              <w:marRight w:val="0"/>
              <w:marTop w:val="0"/>
              <w:marBottom w:val="0"/>
              <w:divBdr>
                <w:top w:val="none" w:sz="0" w:space="0" w:color="auto"/>
                <w:left w:val="none" w:sz="0" w:space="0" w:color="auto"/>
                <w:bottom w:val="none" w:sz="0" w:space="0" w:color="auto"/>
                <w:right w:val="none" w:sz="0" w:space="0" w:color="auto"/>
              </w:divBdr>
              <w:divsChild>
                <w:div w:id="429394841">
                  <w:marLeft w:val="0"/>
                  <w:marRight w:val="0"/>
                  <w:marTop w:val="0"/>
                  <w:marBottom w:val="0"/>
                  <w:divBdr>
                    <w:top w:val="none" w:sz="0" w:space="0" w:color="auto"/>
                    <w:left w:val="none" w:sz="0" w:space="0" w:color="auto"/>
                    <w:bottom w:val="none" w:sz="0" w:space="0" w:color="auto"/>
                    <w:right w:val="none" w:sz="0" w:space="0" w:color="auto"/>
                  </w:divBdr>
                  <w:divsChild>
                    <w:div w:id="736126116">
                      <w:marLeft w:val="0"/>
                      <w:marRight w:val="0"/>
                      <w:marTop w:val="0"/>
                      <w:marBottom w:val="0"/>
                      <w:divBdr>
                        <w:top w:val="none" w:sz="0" w:space="0" w:color="auto"/>
                        <w:left w:val="none" w:sz="0" w:space="0" w:color="auto"/>
                        <w:bottom w:val="none" w:sz="0" w:space="0" w:color="auto"/>
                        <w:right w:val="none" w:sz="0" w:space="0" w:color="auto"/>
                      </w:divBdr>
                      <w:divsChild>
                        <w:div w:id="1754933796">
                          <w:marLeft w:val="0"/>
                          <w:marRight w:val="0"/>
                          <w:marTop w:val="0"/>
                          <w:marBottom w:val="0"/>
                          <w:divBdr>
                            <w:top w:val="none" w:sz="0" w:space="0" w:color="auto"/>
                            <w:left w:val="none" w:sz="0" w:space="0" w:color="auto"/>
                            <w:bottom w:val="none" w:sz="0" w:space="0" w:color="auto"/>
                            <w:right w:val="none" w:sz="0" w:space="0" w:color="auto"/>
                          </w:divBdr>
                          <w:divsChild>
                            <w:div w:id="451902779">
                              <w:marLeft w:val="0"/>
                              <w:marRight w:val="0"/>
                              <w:marTop w:val="0"/>
                              <w:marBottom w:val="0"/>
                              <w:divBdr>
                                <w:top w:val="none" w:sz="0" w:space="0" w:color="auto"/>
                                <w:left w:val="none" w:sz="0" w:space="0" w:color="auto"/>
                                <w:bottom w:val="none" w:sz="0" w:space="0" w:color="auto"/>
                                <w:right w:val="none" w:sz="0" w:space="0" w:color="auto"/>
                              </w:divBdr>
                              <w:divsChild>
                                <w:div w:id="1495029680">
                                  <w:marLeft w:val="0"/>
                                  <w:marRight w:val="0"/>
                                  <w:marTop w:val="0"/>
                                  <w:marBottom w:val="0"/>
                                  <w:divBdr>
                                    <w:top w:val="none" w:sz="0" w:space="0" w:color="auto"/>
                                    <w:left w:val="none" w:sz="0" w:space="0" w:color="auto"/>
                                    <w:bottom w:val="none" w:sz="0" w:space="0" w:color="auto"/>
                                    <w:right w:val="none" w:sz="0" w:space="0" w:color="auto"/>
                                  </w:divBdr>
                                  <w:divsChild>
                                    <w:div w:id="1240096894">
                                      <w:marLeft w:val="0"/>
                                      <w:marRight w:val="0"/>
                                      <w:marTop w:val="0"/>
                                      <w:marBottom w:val="0"/>
                                      <w:divBdr>
                                        <w:top w:val="none" w:sz="0" w:space="0" w:color="auto"/>
                                        <w:left w:val="none" w:sz="0" w:space="0" w:color="auto"/>
                                        <w:bottom w:val="none" w:sz="0" w:space="0" w:color="auto"/>
                                        <w:right w:val="none" w:sz="0" w:space="0" w:color="auto"/>
                                      </w:divBdr>
                                      <w:divsChild>
                                        <w:div w:id="2138720383">
                                          <w:marLeft w:val="0"/>
                                          <w:marRight w:val="0"/>
                                          <w:marTop w:val="0"/>
                                          <w:marBottom w:val="0"/>
                                          <w:divBdr>
                                            <w:top w:val="none" w:sz="0" w:space="0" w:color="auto"/>
                                            <w:left w:val="none" w:sz="0" w:space="0" w:color="auto"/>
                                            <w:bottom w:val="none" w:sz="0" w:space="0" w:color="auto"/>
                                            <w:right w:val="none" w:sz="0" w:space="0" w:color="auto"/>
                                          </w:divBdr>
                                          <w:divsChild>
                                            <w:div w:id="2069037877">
                                              <w:marLeft w:val="0"/>
                                              <w:marRight w:val="0"/>
                                              <w:marTop w:val="0"/>
                                              <w:marBottom w:val="0"/>
                                              <w:divBdr>
                                                <w:top w:val="none" w:sz="0" w:space="0" w:color="auto"/>
                                                <w:left w:val="none" w:sz="0" w:space="0" w:color="auto"/>
                                                <w:bottom w:val="none" w:sz="0" w:space="0" w:color="auto"/>
                                                <w:right w:val="none" w:sz="0" w:space="0" w:color="auto"/>
                                              </w:divBdr>
                                              <w:divsChild>
                                                <w:div w:id="2070297450">
                                                  <w:marLeft w:val="0"/>
                                                  <w:marRight w:val="0"/>
                                                  <w:marTop w:val="0"/>
                                                  <w:marBottom w:val="0"/>
                                                  <w:divBdr>
                                                    <w:top w:val="none" w:sz="0" w:space="0" w:color="auto"/>
                                                    <w:left w:val="none" w:sz="0" w:space="0" w:color="auto"/>
                                                    <w:bottom w:val="none" w:sz="0" w:space="0" w:color="auto"/>
                                                    <w:right w:val="none" w:sz="0" w:space="0" w:color="auto"/>
                                                  </w:divBdr>
                                                  <w:divsChild>
                                                    <w:div w:id="494033376">
                                                      <w:marLeft w:val="0"/>
                                                      <w:marRight w:val="0"/>
                                                      <w:marTop w:val="0"/>
                                                      <w:marBottom w:val="0"/>
                                                      <w:divBdr>
                                                        <w:top w:val="none" w:sz="0" w:space="0" w:color="auto"/>
                                                        <w:left w:val="none" w:sz="0" w:space="0" w:color="auto"/>
                                                        <w:bottom w:val="none" w:sz="0" w:space="0" w:color="auto"/>
                                                        <w:right w:val="none" w:sz="0" w:space="0" w:color="auto"/>
                                                      </w:divBdr>
                                                      <w:divsChild>
                                                        <w:div w:id="11056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653006">
      <w:bodyDiv w:val="1"/>
      <w:marLeft w:val="0"/>
      <w:marRight w:val="0"/>
      <w:marTop w:val="0"/>
      <w:marBottom w:val="0"/>
      <w:divBdr>
        <w:top w:val="none" w:sz="0" w:space="0" w:color="auto"/>
        <w:left w:val="none" w:sz="0" w:space="0" w:color="auto"/>
        <w:bottom w:val="none" w:sz="0" w:space="0" w:color="auto"/>
        <w:right w:val="none" w:sz="0" w:space="0" w:color="auto"/>
      </w:divBdr>
      <w:divsChild>
        <w:div w:id="1310817822">
          <w:marLeft w:val="0"/>
          <w:marRight w:val="0"/>
          <w:marTop w:val="0"/>
          <w:marBottom w:val="0"/>
          <w:divBdr>
            <w:top w:val="none" w:sz="0" w:space="0" w:color="auto"/>
            <w:left w:val="none" w:sz="0" w:space="0" w:color="auto"/>
            <w:bottom w:val="none" w:sz="0" w:space="0" w:color="auto"/>
            <w:right w:val="none" w:sz="0" w:space="0" w:color="auto"/>
          </w:divBdr>
          <w:divsChild>
            <w:div w:id="1085762102">
              <w:marLeft w:val="0"/>
              <w:marRight w:val="0"/>
              <w:marTop w:val="0"/>
              <w:marBottom w:val="0"/>
              <w:divBdr>
                <w:top w:val="none" w:sz="0" w:space="0" w:color="auto"/>
                <w:left w:val="none" w:sz="0" w:space="0" w:color="auto"/>
                <w:bottom w:val="none" w:sz="0" w:space="0" w:color="auto"/>
                <w:right w:val="none" w:sz="0" w:space="0" w:color="auto"/>
              </w:divBdr>
              <w:divsChild>
                <w:div w:id="2081443293">
                  <w:marLeft w:val="0"/>
                  <w:marRight w:val="0"/>
                  <w:marTop w:val="0"/>
                  <w:marBottom w:val="0"/>
                  <w:divBdr>
                    <w:top w:val="none" w:sz="0" w:space="0" w:color="auto"/>
                    <w:left w:val="none" w:sz="0" w:space="0" w:color="auto"/>
                    <w:bottom w:val="none" w:sz="0" w:space="0" w:color="auto"/>
                    <w:right w:val="none" w:sz="0" w:space="0" w:color="auto"/>
                  </w:divBdr>
                  <w:divsChild>
                    <w:div w:id="1254709241">
                      <w:marLeft w:val="0"/>
                      <w:marRight w:val="0"/>
                      <w:marTop w:val="0"/>
                      <w:marBottom w:val="0"/>
                      <w:divBdr>
                        <w:top w:val="none" w:sz="0" w:space="0" w:color="auto"/>
                        <w:left w:val="none" w:sz="0" w:space="0" w:color="auto"/>
                        <w:bottom w:val="none" w:sz="0" w:space="0" w:color="auto"/>
                        <w:right w:val="none" w:sz="0" w:space="0" w:color="auto"/>
                      </w:divBdr>
                      <w:divsChild>
                        <w:div w:id="13363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959417">
      <w:bodyDiv w:val="1"/>
      <w:marLeft w:val="0"/>
      <w:marRight w:val="0"/>
      <w:marTop w:val="0"/>
      <w:marBottom w:val="0"/>
      <w:divBdr>
        <w:top w:val="none" w:sz="0" w:space="0" w:color="auto"/>
        <w:left w:val="none" w:sz="0" w:space="0" w:color="auto"/>
        <w:bottom w:val="none" w:sz="0" w:space="0" w:color="auto"/>
        <w:right w:val="none" w:sz="0" w:space="0" w:color="auto"/>
      </w:divBdr>
      <w:divsChild>
        <w:div w:id="451678070">
          <w:marLeft w:val="0"/>
          <w:marRight w:val="0"/>
          <w:marTop w:val="0"/>
          <w:marBottom w:val="0"/>
          <w:divBdr>
            <w:top w:val="none" w:sz="0" w:space="0" w:color="auto"/>
            <w:left w:val="none" w:sz="0" w:space="0" w:color="auto"/>
            <w:bottom w:val="none" w:sz="0" w:space="0" w:color="auto"/>
            <w:right w:val="none" w:sz="0" w:space="0" w:color="auto"/>
          </w:divBdr>
          <w:divsChild>
            <w:div w:id="840122390">
              <w:marLeft w:val="0"/>
              <w:marRight w:val="0"/>
              <w:marTop w:val="0"/>
              <w:marBottom w:val="450"/>
              <w:divBdr>
                <w:top w:val="none" w:sz="0" w:space="0" w:color="auto"/>
                <w:left w:val="none" w:sz="0" w:space="0" w:color="auto"/>
                <w:bottom w:val="none" w:sz="0" w:space="0" w:color="auto"/>
                <w:right w:val="none" w:sz="0" w:space="0" w:color="auto"/>
              </w:divBdr>
            </w:div>
          </w:divsChild>
        </w:div>
        <w:div w:id="483814994">
          <w:marLeft w:val="0"/>
          <w:marRight w:val="0"/>
          <w:marTop w:val="0"/>
          <w:marBottom w:val="0"/>
          <w:divBdr>
            <w:top w:val="none" w:sz="0" w:space="0" w:color="auto"/>
            <w:left w:val="none" w:sz="0" w:space="0" w:color="auto"/>
            <w:bottom w:val="none" w:sz="0" w:space="0" w:color="auto"/>
            <w:right w:val="none" w:sz="0" w:space="0" w:color="auto"/>
          </w:divBdr>
        </w:div>
      </w:divsChild>
    </w:div>
    <w:div w:id="1681083361">
      <w:bodyDiv w:val="1"/>
      <w:marLeft w:val="0"/>
      <w:marRight w:val="0"/>
      <w:marTop w:val="0"/>
      <w:marBottom w:val="0"/>
      <w:divBdr>
        <w:top w:val="none" w:sz="0" w:space="0" w:color="auto"/>
        <w:left w:val="none" w:sz="0" w:space="0" w:color="auto"/>
        <w:bottom w:val="none" w:sz="0" w:space="0" w:color="auto"/>
        <w:right w:val="none" w:sz="0" w:space="0" w:color="auto"/>
      </w:divBdr>
      <w:divsChild>
        <w:div w:id="1140617224">
          <w:marLeft w:val="0"/>
          <w:marRight w:val="0"/>
          <w:marTop w:val="0"/>
          <w:marBottom w:val="0"/>
          <w:divBdr>
            <w:top w:val="none" w:sz="0" w:space="0" w:color="auto"/>
            <w:left w:val="none" w:sz="0" w:space="0" w:color="auto"/>
            <w:bottom w:val="none" w:sz="0" w:space="0" w:color="auto"/>
            <w:right w:val="none" w:sz="0" w:space="0" w:color="auto"/>
          </w:divBdr>
          <w:divsChild>
            <w:div w:id="314187952">
              <w:marLeft w:val="0"/>
              <w:marRight w:val="0"/>
              <w:marTop w:val="0"/>
              <w:marBottom w:val="0"/>
              <w:divBdr>
                <w:top w:val="none" w:sz="0" w:space="0" w:color="auto"/>
                <w:left w:val="none" w:sz="0" w:space="0" w:color="auto"/>
                <w:bottom w:val="none" w:sz="0" w:space="0" w:color="auto"/>
                <w:right w:val="none" w:sz="0" w:space="0" w:color="auto"/>
              </w:divBdr>
            </w:div>
            <w:div w:id="449398711">
              <w:marLeft w:val="0"/>
              <w:marRight w:val="0"/>
              <w:marTop w:val="0"/>
              <w:marBottom w:val="0"/>
              <w:divBdr>
                <w:top w:val="none" w:sz="0" w:space="0" w:color="auto"/>
                <w:left w:val="none" w:sz="0" w:space="0" w:color="auto"/>
                <w:bottom w:val="none" w:sz="0" w:space="0" w:color="auto"/>
                <w:right w:val="none" w:sz="0" w:space="0" w:color="auto"/>
              </w:divBdr>
            </w:div>
          </w:divsChild>
        </w:div>
        <w:div w:id="506559069">
          <w:marLeft w:val="0"/>
          <w:marRight w:val="0"/>
          <w:marTop w:val="0"/>
          <w:marBottom w:val="0"/>
          <w:divBdr>
            <w:top w:val="none" w:sz="0" w:space="0" w:color="auto"/>
            <w:left w:val="none" w:sz="0" w:space="0" w:color="auto"/>
            <w:bottom w:val="none" w:sz="0" w:space="0" w:color="auto"/>
            <w:right w:val="none" w:sz="0" w:space="0" w:color="auto"/>
          </w:divBdr>
        </w:div>
      </w:divsChild>
    </w:div>
    <w:div w:id="1681734179">
      <w:bodyDiv w:val="1"/>
      <w:marLeft w:val="0"/>
      <w:marRight w:val="0"/>
      <w:marTop w:val="0"/>
      <w:marBottom w:val="0"/>
      <w:divBdr>
        <w:top w:val="none" w:sz="0" w:space="0" w:color="auto"/>
        <w:left w:val="none" w:sz="0" w:space="0" w:color="auto"/>
        <w:bottom w:val="none" w:sz="0" w:space="0" w:color="auto"/>
        <w:right w:val="none" w:sz="0" w:space="0" w:color="auto"/>
      </w:divBdr>
      <w:divsChild>
        <w:div w:id="2040664785">
          <w:marLeft w:val="0"/>
          <w:marRight w:val="0"/>
          <w:marTop w:val="0"/>
          <w:marBottom w:val="0"/>
          <w:divBdr>
            <w:top w:val="none" w:sz="0" w:space="0" w:color="auto"/>
            <w:left w:val="none" w:sz="0" w:space="0" w:color="auto"/>
            <w:bottom w:val="none" w:sz="0" w:space="0" w:color="auto"/>
            <w:right w:val="none" w:sz="0" w:space="0" w:color="auto"/>
          </w:divBdr>
          <w:divsChild>
            <w:div w:id="2007631695">
              <w:marLeft w:val="0"/>
              <w:marRight w:val="-100"/>
              <w:marTop w:val="1050"/>
              <w:marBottom w:val="0"/>
              <w:divBdr>
                <w:top w:val="none" w:sz="0" w:space="0" w:color="auto"/>
                <w:left w:val="none" w:sz="0" w:space="0" w:color="auto"/>
                <w:bottom w:val="none" w:sz="0" w:space="0" w:color="auto"/>
                <w:right w:val="none" w:sz="0" w:space="0" w:color="auto"/>
              </w:divBdr>
              <w:divsChild>
                <w:div w:id="1349604818">
                  <w:marLeft w:val="3450"/>
                  <w:marRight w:val="0"/>
                  <w:marTop w:val="330"/>
                  <w:marBottom w:val="0"/>
                  <w:divBdr>
                    <w:top w:val="none" w:sz="0" w:space="0" w:color="auto"/>
                    <w:left w:val="none" w:sz="0" w:space="0" w:color="auto"/>
                    <w:bottom w:val="none" w:sz="0" w:space="0" w:color="auto"/>
                    <w:right w:val="none" w:sz="0" w:space="0" w:color="auto"/>
                  </w:divBdr>
                  <w:divsChild>
                    <w:div w:id="706835326">
                      <w:marLeft w:val="0"/>
                      <w:marRight w:val="0"/>
                      <w:marTop w:val="0"/>
                      <w:marBottom w:val="0"/>
                      <w:divBdr>
                        <w:top w:val="none" w:sz="0" w:space="0" w:color="auto"/>
                        <w:left w:val="none" w:sz="0" w:space="0" w:color="auto"/>
                        <w:bottom w:val="none" w:sz="0" w:space="0" w:color="auto"/>
                        <w:right w:val="none" w:sz="0" w:space="0" w:color="auto"/>
                      </w:divBdr>
                      <w:divsChild>
                        <w:div w:id="14533576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358451">
      <w:bodyDiv w:val="1"/>
      <w:marLeft w:val="0"/>
      <w:marRight w:val="0"/>
      <w:marTop w:val="0"/>
      <w:marBottom w:val="0"/>
      <w:divBdr>
        <w:top w:val="none" w:sz="0" w:space="0" w:color="auto"/>
        <w:left w:val="none" w:sz="0" w:space="0" w:color="auto"/>
        <w:bottom w:val="none" w:sz="0" w:space="0" w:color="auto"/>
        <w:right w:val="none" w:sz="0" w:space="0" w:color="auto"/>
      </w:divBdr>
      <w:divsChild>
        <w:div w:id="1645575206">
          <w:marLeft w:val="0"/>
          <w:marRight w:val="0"/>
          <w:marTop w:val="0"/>
          <w:marBottom w:val="0"/>
          <w:divBdr>
            <w:top w:val="none" w:sz="0" w:space="0" w:color="auto"/>
            <w:left w:val="none" w:sz="0" w:space="0" w:color="auto"/>
            <w:bottom w:val="none" w:sz="0" w:space="0" w:color="auto"/>
            <w:right w:val="none" w:sz="0" w:space="0" w:color="auto"/>
          </w:divBdr>
          <w:divsChild>
            <w:div w:id="447704885">
              <w:marLeft w:val="0"/>
              <w:marRight w:val="0"/>
              <w:marTop w:val="0"/>
              <w:marBottom w:val="0"/>
              <w:divBdr>
                <w:top w:val="none" w:sz="0" w:space="0" w:color="auto"/>
                <w:left w:val="none" w:sz="0" w:space="0" w:color="auto"/>
                <w:bottom w:val="none" w:sz="0" w:space="0" w:color="auto"/>
                <w:right w:val="none" w:sz="0" w:space="0" w:color="auto"/>
              </w:divBdr>
              <w:divsChild>
                <w:div w:id="1958639138">
                  <w:marLeft w:val="0"/>
                  <w:marRight w:val="0"/>
                  <w:marTop w:val="0"/>
                  <w:marBottom w:val="0"/>
                  <w:divBdr>
                    <w:top w:val="none" w:sz="0" w:space="0" w:color="auto"/>
                    <w:left w:val="none" w:sz="0" w:space="0" w:color="auto"/>
                    <w:bottom w:val="none" w:sz="0" w:space="0" w:color="auto"/>
                    <w:right w:val="none" w:sz="0" w:space="0" w:color="auto"/>
                  </w:divBdr>
                  <w:divsChild>
                    <w:div w:id="546793465">
                      <w:marLeft w:val="0"/>
                      <w:marRight w:val="0"/>
                      <w:marTop w:val="0"/>
                      <w:marBottom w:val="0"/>
                      <w:divBdr>
                        <w:top w:val="none" w:sz="0" w:space="0" w:color="auto"/>
                        <w:left w:val="none" w:sz="0" w:space="0" w:color="auto"/>
                        <w:bottom w:val="none" w:sz="0" w:space="0" w:color="auto"/>
                        <w:right w:val="none" w:sz="0" w:space="0" w:color="auto"/>
                      </w:divBdr>
                      <w:divsChild>
                        <w:div w:id="1962803998">
                          <w:marLeft w:val="0"/>
                          <w:marRight w:val="0"/>
                          <w:marTop w:val="0"/>
                          <w:marBottom w:val="0"/>
                          <w:divBdr>
                            <w:top w:val="none" w:sz="0" w:space="0" w:color="auto"/>
                            <w:left w:val="none" w:sz="0" w:space="0" w:color="auto"/>
                            <w:bottom w:val="none" w:sz="0" w:space="0" w:color="auto"/>
                            <w:right w:val="none" w:sz="0" w:space="0" w:color="auto"/>
                          </w:divBdr>
                          <w:divsChild>
                            <w:div w:id="15931527">
                              <w:marLeft w:val="0"/>
                              <w:marRight w:val="0"/>
                              <w:marTop w:val="0"/>
                              <w:marBottom w:val="0"/>
                              <w:divBdr>
                                <w:top w:val="none" w:sz="0" w:space="0" w:color="auto"/>
                                <w:left w:val="none" w:sz="0" w:space="0" w:color="auto"/>
                                <w:bottom w:val="none" w:sz="0" w:space="0" w:color="auto"/>
                                <w:right w:val="none" w:sz="0" w:space="0" w:color="auto"/>
                              </w:divBdr>
                              <w:divsChild>
                                <w:div w:id="319963194">
                                  <w:marLeft w:val="0"/>
                                  <w:marRight w:val="0"/>
                                  <w:marTop w:val="0"/>
                                  <w:marBottom w:val="0"/>
                                  <w:divBdr>
                                    <w:top w:val="none" w:sz="0" w:space="0" w:color="auto"/>
                                    <w:left w:val="none" w:sz="0" w:space="0" w:color="auto"/>
                                    <w:bottom w:val="none" w:sz="0" w:space="0" w:color="auto"/>
                                    <w:right w:val="none" w:sz="0" w:space="0" w:color="auto"/>
                                  </w:divBdr>
                                  <w:divsChild>
                                    <w:div w:id="1932276496">
                                      <w:marLeft w:val="0"/>
                                      <w:marRight w:val="0"/>
                                      <w:marTop w:val="0"/>
                                      <w:marBottom w:val="0"/>
                                      <w:divBdr>
                                        <w:top w:val="none" w:sz="0" w:space="0" w:color="auto"/>
                                        <w:left w:val="none" w:sz="0" w:space="0" w:color="auto"/>
                                        <w:bottom w:val="none" w:sz="0" w:space="0" w:color="auto"/>
                                        <w:right w:val="none" w:sz="0" w:space="0" w:color="auto"/>
                                      </w:divBdr>
                                      <w:divsChild>
                                        <w:div w:id="308292767">
                                          <w:marLeft w:val="0"/>
                                          <w:marRight w:val="0"/>
                                          <w:marTop w:val="0"/>
                                          <w:marBottom w:val="0"/>
                                          <w:divBdr>
                                            <w:top w:val="none" w:sz="0" w:space="0" w:color="auto"/>
                                            <w:left w:val="none" w:sz="0" w:space="0" w:color="auto"/>
                                            <w:bottom w:val="none" w:sz="0" w:space="0" w:color="auto"/>
                                            <w:right w:val="none" w:sz="0" w:space="0" w:color="auto"/>
                                          </w:divBdr>
                                          <w:divsChild>
                                            <w:div w:id="88696933">
                                              <w:marLeft w:val="0"/>
                                              <w:marRight w:val="0"/>
                                              <w:marTop w:val="0"/>
                                              <w:marBottom w:val="0"/>
                                              <w:divBdr>
                                                <w:top w:val="none" w:sz="0" w:space="0" w:color="auto"/>
                                                <w:left w:val="none" w:sz="0" w:space="0" w:color="auto"/>
                                                <w:bottom w:val="none" w:sz="0" w:space="0" w:color="auto"/>
                                                <w:right w:val="none" w:sz="0" w:space="0" w:color="auto"/>
                                              </w:divBdr>
                                              <w:divsChild>
                                                <w:div w:id="1372026858">
                                                  <w:marLeft w:val="0"/>
                                                  <w:marRight w:val="0"/>
                                                  <w:marTop w:val="0"/>
                                                  <w:marBottom w:val="0"/>
                                                  <w:divBdr>
                                                    <w:top w:val="none" w:sz="0" w:space="0" w:color="auto"/>
                                                    <w:left w:val="none" w:sz="0" w:space="0" w:color="auto"/>
                                                    <w:bottom w:val="none" w:sz="0" w:space="0" w:color="auto"/>
                                                    <w:right w:val="none" w:sz="0" w:space="0" w:color="auto"/>
                                                  </w:divBdr>
                                                  <w:divsChild>
                                                    <w:div w:id="971637502">
                                                      <w:marLeft w:val="0"/>
                                                      <w:marRight w:val="0"/>
                                                      <w:marTop w:val="0"/>
                                                      <w:marBottom w:val="0"/>
                                                      <w:divBdr>
                                                        <w:top w:val="none" w:sz="0" w:space="0" w:color="auto"/>
                                                        <w:left w:val="none" w:sz="0" w:space="0" w:color="auto"/>
                                                        <w:bottom w:val="none" w:sz="0" w:space="0" w:color="auto"/>
                                                        <w:right w:val="none" w:sz="0" w:space="0" w:color="auto"/>
                                                      </w:divBdr>
                                                      <w:divsChild>
                                                        <w:div w:id="11354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671253">
      <w:bodyDiv w:val="1"/>
      <w:marLeft w:val="0"/>
      <w:marRight w:val="0"/>
      <w:marTop w:val="0"/>
      <w:marBottom w:val="0"/>
      <w:divBdr>
        <w:top w:val="none" w:sz="0" w:space="0" w:color="auto"/>
        <w:left w:val="none" w:sz="0" w:space="0" w:color="auto"/>
        <w:bottom w:val="none" w:sz="0" w:space="0" w:color="auto"/>
        <w:right w:val="none" w:sz="0" w:space="0" w:color="auto"/>
      </w:divBdr>
      <w:divsChild>
        <w:div w:id="273370624">
          <w:marLeft w:val="0"/>
          <w:marRight w:val="0"/>
          <w:marTop w:val="0"/>
          <w:marBottom w:val="0"/>
          <w:divBdr>
            <w:top w:val="none" w:sz="0" w:space="0" w:color="auto"/>
            <w:left w:val="none" w:sz="0" w:space="0" w:color="auto"/>
            <w:bottom w:val="none" w:sz="0" w:space="0" w:color="auto"/>
            <w:right w:val="none" w:sz="0" w:space="0" w:color="auto"/>
          </w:divBdr>
          <w:divsChild>
            <w:div w:id="1874152854">
              <w:marLeft w:val="0"/>
              <w:marRight w:val="0"/>
              <w:marTop w:val="0"/>
              <w:marBottom w:val="0"/>
              <w:divBdr>
                <w:top w:val="none" w:sz="0" w:space="0" w:color="auto"/>
                <w:left w:val="none" w:sz="0" w:space="0" w:color="auto"/>
                <w:bottom w:val="none" w:sz="0" w:space="0" w:color="auto"/>
                <w:right w:val="none" w:sz="0" w:space="0" w:color="auto"/>
              </w:divBdr>
              <w:divsChild>
                <w:div w:id="323316596">
                  <w:marLeft w:val="0"/>
                  <w:marRight w:val="0"/>
                  <w:marTop w:val="0"/>
                  <w:marBottom w:val="0"/>
                  <w:divBdr>
                    <w:top w:val="none" w:sz="0" w:space="0" w:color="auto"/>
                    <w:left w:val="none" w:sz="0" w:space="0" w:color="auto"/>
                    <w:bottom w:val="none" w:sz="0" w:space="0" w:color="auto"/>
                    <w:right w:val="none" w:sz="0" w:space="0" w:color="auto"/>
                  </w:divBdr>
                  <w:divsChild>
                    <w:div w:id="531070128">
                      <w:marLeft w:val="0"/>
                      <w:marRight w:val="0"/>
                      <w:marTop w:val="0"/>
                      <w:marBottom w:val="0"/>
                      <w:divBdr>
                        <w:top w:val="none" w:sz="0" w:space="0" w:color="auto"/>
                        <w:left w:val="none" w:sz="0" w:space="0" w:color="auto"/>
                        <w:bottom w:val="none" w:sz="0" w:space="0" w:color="auto"/>
                        <w:right w:val="none" w:sz="0" w:space="0" w:color="auto"/>
                      </w:divBdr>
                      <w:divsChild>
                        <w:div w:id="2095081800">
                          <w:marLeft w:val="0"/>
                          <w:marRight w:val="0"/>
                          <w:marTop w:val="0"/>
                          <w:marBottom w:val="0"/>
                          <w:divBdr>
                            <w:top w:val="none" w:sz="0" w:space="0" w:color="auto"/>
                            <w:left w:val="none" w:sz="0" w:space="0" w:color="auto"/>
                            <w:bottom w:val="none" w:sz="0" w:space="0" w:color="auto"/>
                            <w:right w:val="none" w:sz="0" w:space="0" w:color="auto"/>
                          </w:divBdr>
                          <w:divsChild>
                            <w:div w:id="1137725742">
                              <w:marLeft w:val="0"/>
                              <w:marRight w:val="0"/>
                              <w:marTop w:val="0"/>
                              <w:marBottom w:val="0"/>
                              <w:divBdr>
                                <w:top w:val="none" w:sz="0" w:space="0" w:color="auto"/>
                                <w:left w:val="none" w:sz="0" w:space="0" w:color="auto"/>
                                <w:bottom w:val="none" w:sz="0" w:space="0" w:color="auto"/>
                                <w:right w:val="none" w:sz="0" w:space="0" w:color="auto"/>
                              </w:divBdr>
                              <w:divsChild>
                                <w:div w:id="1034111994">
                                  <w:marLeft w:val="0"/>
                                  <w:marRight w:val="0"/>
                                  <w:marTop w:val="0"/>
                                  <w:marBottom w:val="0"/>
                                  <w:divBdr>
                                    <w:top w:val="none" w:sz="0" w:space="0" w:color="auto"/>
                                    <w:left w:val="none" w:sz="0" w:space="0" w:color="auto"/>
                                    <w:bottom w:val="none" w:sz="0" w:space="0" w:color="auto"/>
                                    <w:right w:val="none" w:sz="0" w:space="0" w:color="auto"/>
                                  </w:divBdr>
                                  <w:divsChild>
                                    <w:div w:id="113063334">
                                      <w:marLeft w:val="0"/>
                                      <w:marRight w:val="0"/>
                                      <w:marTop w:val="0"/>
                                      <w:marBottom w:val="0"/>
                                      <w:divBdr>
                                        <w:top w:val="none" w:sz="0" w:space="0" w:color="auto"/>
                                        <w:left w:val="none" w:sz="0" w:space="0" w:color="auto"/>
                                        <w:bottom w:val="none" w:sz="0" w:space="0" w:color="auto"/>
                                        <w:right w:val="none" w:sz="0" w:space="0" w:color="auto"/>
                                      </w:divBdr>
                                      <w:divsChild>
                                        <w:div w:id="1439596276">
                                          <w:marLeft w:val="0"/>
                                          <w:marRight w:val="0"/>
                                          <w:marTop w:val="0"/>
                                          <w:marBottom w:val="0"/>
                                          <w:divBdr>
                                            <w:top w:val="none" w:sz="0" w:space="0" w:color="auto"/>
                                            <w:left w:val="none" w:sz="0" w:space="0" w:color="auto"/>
                                            <w:bottom w:val="none" w:sz="0" w:space="0" w:color="auto"/>
                                            <w:right w:val="none" w:sz="0" w:space="0" w:color="auto"/>
                                          </w:divBdr>
                                          <w:divsChild>
                                            <w:div w:id="80759528">
                                              <w:marLeft w:val="0"/>
                                              <w:marRight w:val="0"/>
                                              <w:marTop w:val="0"/>
                                              <w:marBottom w:val="0"/>
                                              <w:divBdr>
                                                <w:top w:val="none" w:sz="0" w:space="0" w:color="auto"/>
                                                <w:left w:val="none" w:sz="0" w:space="0" w:color="auto"/>
                                                <w:bottom w:val="none" w:sz="0" w:space="0" w:color="auto"/>
                                                <w:right w:val="none" w:sz="0" w:space="0" w:color="auto"/>
                                              </w:divBdr>
                                              <w:divsChild>
                                                <w:div w:id="301539911">
                                                  <w:marLeft w:val="0"/>
                                                  <w:marRight w:val="0"/>
                                                  <w:marTop w:val="0"/>
                                                  <w:marBottom w:val="0"/>
                                                  <w:divBdr>
                                                    <w:top w:val="none" w:sz="0" w:space="0" w:color="auto"/>
                                                    <w:left w:val="none" w:sz="0" w:space="0" w:color="auto"/>
                                                    <w:bottom w:val="none" w:sz="0" w:space="0" w:color="auto"/>
                                                    <w:right w:val="none" w:sz="0" w:space="0" w:color="auto"/>
                                                  </w:divBdr>
                                                  <w:divsChild>
                                                    <w:div w:id="563567389">
                                                      <w:marLeft w:val="0"/>
                                                      <w:marRight w:val="0"/>
                                                      <w:marTop w:val="0"/>
                                                      <w:marBottom w:val="0"/>
                                                      <w:divBdr>
                                                        <w:top w:val="none" w:sz="0" w:space="0" w:color="auto"/>
                                                        <w:left w:val="none" w:sz="0" w:space="0" w:color="auto"/>
                                                        <w:bottom w:val="none" w:sz="0" w:space="0" w:color="auto"/>
                                                        <w:right w:val="none" w:sz="0" w:space="0" w:color="auto"/>
                                                      </w:divBdr>
                                                      <w:divsChild>
                                                        <w:div w:id="15923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816277">
      <w:bodyDiv w:val="1"/>
      <w:marLeft w:val="0"/>
      <w:marRight w:val="0"/>
      <w:marTop w:val="0"/>
      <w:marBottom w:val="0"/>
      <w:divBdr>
        <w:top w:val="none" w:sz="0" w:space="0" w:color="auto"/>
        <w:left w:val="none" w:sz="0" w:space="0" w:color="auto"/>
        <w:bottom w:val="none" w:sz="0" w:space="0" w:color="auto"/>
        <w:right w:val="none" w:sz="0" w:space="0" w:color="auto"/>
      </w:divBdr>
    </w:div>
    <w:div w:id="1685858128">
      <w:bodyDiv w:val="1"/>
      <w:marLeft w:val="0"/>
      <w:marRight w:val="0"/>
      <w:marTop w:val="0"/>
      <w:marBottom w:val="0"/>
      <w:divBdr>
        <w:top w:val="none" w:sz="0" w:space="0" w:color="auto"/>
        <w:left w:val="none" w:sz="0" w:space="0" w:color="auto"/>
        <w:bottom w:val="none" w:sz="0" w:space="0" w:color="auto"/>
        <w:right w:val="none" w:sz="0" w:space="0" w:color="auto"/>
      </w:divBdr>
    </w:div>
    <w:div w:id="1686858777">
      <w:bodyDiv w:val="1"/>
      <w:marLeft w:val="0"/>
      <w:marRight w:val="0"/>
      <w:marTop w:val="0"/>
      <w:marBottom w:val="0"/>
      <w:divBdr>
        <w:top w:val="none" w:sz="0" w:space="0" w:color="auto"/>
        <w:left w:val="none" w:sz="0" w:space="0" w:color="auto"/>
        <w:bottom w:val="none" w:sz="0" w:space="0" w:color="auto"/>
        <w:right w:val="none" w:sz="0" w:space="0" w:color="auto"/>
      </w:divBdr>
    </w:div>
    <w:div w:id="1686899773">
      <w:bodyDiv w:val="1"/>
      <w:marLeft w:val="0"/>
      <w:marRight w:val="0"/>
      <w:marTop w:val="0"/>
      <w:marBottom w:val="0"/>
      <w:divBdr>
        <w:top w:val="none" w:sz="0" w:space="0" w:color="auto"/>
        <w:left w:val="none" w:sz="0" w:space="0" w:color="auto"/>
        <w:bottom w:val="none" w:sz="0" w:space="0" w:color="auto"/>
        <w:right w:val="none" w:sz="0" w:space="0" w:color="auto"/>
      </w:divBdr>
    </w:div>
    <w:div w:id="1686982677">
      <w:bodyDiv w:val="1"/>
      <w:marLeft w:val="0"/>
      <w:marRight w:val="0"/>
      <w:marTop w:val="0"/>
      <w:marBottom w:val="0"/>
      <w:divBdr>
        <w:top w:val="none" w:sz="0" w:space="0" w:color="auto"/>
        <w:left w:val="none" w:sz="0" w:space="0" w:color="auto"/>
        <w:bottom w:val="none" w:sz="0" w:space="0" w:color="auto"/>
        <w:right w:val="none" w:sz="0" w:space="0" w:color="auto"/>
      </w:divBdr>
    </w:div>
    <w:div w:id="1687712051">
      <w:bodyDiv w:val="1"/>
      <w:marLeft w:val="0"/>
      <w:marRight w:val="0"/>
      <w:marTop w:val="0"/>
      <w:marBottom w:val="0"/>
      <w:divBdr>
        <w:top w:val="none" w:sz="0" w:space="0" w:color="auto"/>
        <w:left w:val="none" w:sz="0" w:space="0" w:color="auto"/>
        <w:bottom w:val="none" w:sz="0" w:space="0" w:color="auto"/>
        <w:right w:val="none" w:sz="0" w:space="0" w:color="auto"/>
      </w:divBdr>
    </w:div>
    <w:div w:id="1687947465">
      <w:bodyDiv w:val="1"/>
      <w:marLeft w:val="0"/>
      <w:marRight w:val="0"/>
      <w:marTop w:val="0"/>
      <w:marBottom w:val="0"/>
      <w:divBdr>
        <w:top w:val="none" w:sz="0" w:space="0" w:color="auto"/>
        <w:left w:val="none" w:sz="0" w:space="0" w:color="auto"/>
        <w:bottom w:val="none" w:sz="0" w:space="0" w:color="auto"/>
        <w:right w:val="none" w:sz="0" w:space="0" w:color="auto"/>
      </w:divBdr>
      <w:divsChild>
        <w:div w:id="654186343">
          <w:marLeft w:val="0"/>
          <w:marRight w:val="0"/>
          <w:marTop w:val="0"/>
          <w:marBottom w:val="0"/>
          <w:divBdr>
            <w:top w:val="none" w:sz="0" w:space="0" w:color="auto"/>
            <w:left w:val="none" w:sz="0" w:space="0" w:color="auto"/>
            <w:bottom w:val="none" w:sz="0" w:space="0" w:color="auto"/>
            <w:right w:val="none" w:sz="0" w:space="0" w:color="auto"/>
          </w:divBdr>
          <w:divsChild>
            <w:div w:id="58019763">
              <w:marLeft w:val="0"/>
              <w:marRight w:val="0"/>
              <w:marTop w:val="0"/>
              <w:marBottom w:val="0"/>
              <w:divBdr>
                <w:top w:val="none" w:sz="0" w:space="0" w:color="auto"/>
                <w:left w:val="none" w:sz="0" w:space="0" w:color="auto"/>
                <w:bottom w:val="none" w:sz="0" w:space="0" w:color="auto"/>
                <w:right w:val="none" w:sz="0" w:space="0" w:color="auto"/>
              </w:divBdr>
              <w:divsChild>
                <w:div w:id="1651906538">
                  <w:marLeft w:val="150"/>
                  <w:marRight w:val="0"/>
                  <w:marTop w:val="0"/>
                  <w:marBottom w:val="0"/>
                  <w:divBdr>
                    <w:top w:val="none" w:sz="0" w:space="0" w:color="auto"/>
                    <w:left w:val="none" w:sz="0" w:space="0" w:color="auto"/>
                    <w:bottom w:val="none" w:sz="0" w:space="0" w:color="auto"/>
                    <w:right w:val="none" w:sz="0" w:space="0" w:color="auto"/>
                  </w:divBdr>
                  <w:divsChild>
                    <w:div w:id="2252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754450">
      <w:bodyDiv w:val="1"/>
      <w:marLeft w:val="0"/>
      <w:marRight w:val="0"/>
      <w:marTop w:val="0"/>
      <w:marBottom w:val="0"/>
      <w:divBdr>
        <w:top w:val="none" w:sz="0" w:space="0" w:color="auto"/>
        <w:left w:val="none" w:sz="0" w:space="0" w:color="auto"/>
        <w:bottom w:val="none" w:sz="0" w:space="0" w:color="auto"/>
        <w:right w:val="none" w:sz="0" w:space="0" w:color="auto"/>
      </w:divBdr>
      <w:divsChild>
        <w:div w:id="1853565123">
          <w:marLeft w:val="0"/>
          <w:marRight w:val="0"/>
          <w:marTop w:val="0"/>
          <w:marBottom w:val="0"/>
          <w:divBdr>
            <w:top w:val="none" w:sz="0" w:space="0" w:color="auto"/>
            <w:left w:val="none" w:sz="0" w:space="0" w:color="auto"/>
            <w:bottom w:val="none" w:sz="0" w:space="0" w:color="auto"/>
            <w:right w:val="none" w:sz="0" w:space="0" w:color="auto"/>
          </w:divBdr>
          <w:divsChild>
            <w:div w:id="1140416642">
              <w:marLeft w:val="0"/>
              <w:marRight w:val="0"/>
              <w:marTop w:val="0"/>
              <w:marBottom w:val="0"/>
              <w:divBdr>
                <w:top w:val="none" w:sz="0" w:space="0" w:color="auto"/>
                <w:left w:val="none" w:sz="0" w:space="0" w:color="auto"/>
                <w:bottom w:val="none" w:sz="0" w:space="0" w:color="auto"/>
                <w:right w:val="none" w:sz="0" w:space="0" w:color="auto"/>
              </w:divBdr>
              <w:divsChild>
                <w:div w:id="1291933864">
                  <w:marLeft w:val="-375"/>
                  <w:marRight w:val="0"/>
                  <w:marTop w:val="0"/>
                  <w:marBottom w:val="0"/>
                  <w:divBdr>
                    <w:top w:val="none" w:sz="0" w:space="0" w:color="auto"/>
                    <w:left w:val="none" w:sz="0" w:space="0" w:color="auto"/>
                    <w:bottom w:val="none" w:sz="0" w:space="0" w:color="auto"/>
                    <w:right w:val="none" w:sz="0" w:space="0" w:color="auto"/>
                  </w:divBdr>
                  <w:divsChild>
                    <w:div w:id="1578594908">
                      <w:marLeft w:val="0"/>
                      <w:marRight w:val="0"/>
                      <w:marTop w:val="0"/>
                      <w:marBottom w:val="0"/>
                      <w:divBdr>
                        <w:top w:val="none" w:sz="0" w:space="0" w:color="auto"/>
                        <w:left w:val="none" w:sz="0" w:space="0" w:color="auto"/>
                        <w:bottom w:val="none" w:sz="0" w:space="0" w:color="auto"/>
                        <w:right w:val="none" w:sz="0" w:space="0" w:color="auto"/>
                      </w:divBdr>
                      <w:divsChild>
                        <w:div w:id="281425192">
                          <w:marLeft w:val="0"/>
                          <w:marRight w:val="0"/>
                          <w:marTop w:val="0"/>
                          <w:marBottom w:val="0"/>
                          <w:divBdr>
                            <w:top w:val="none" w:sz="0" w:space="0" w:color="auto"/>
                            <w:left w:val="none" w:sz="0" w:space="0" w:color="auto"/>
                            <w:bottom w:val="none" w:sz="0" w:space="0" w:color="auto"/>
                            <w:right w:val="none" w:sz="0" w:space="0" w:color="auto"/>
                          </w:divBdr>
                          <w:divsChild>
                            <w:div w:id="11043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6838">
      <w:bodyDiv w:val="1"/>
      <w:marLeft w:val="0"/>
      <w:marRight w:val="0"/>
      <w:marTop w:val="0"/>
      <w:marBottom w:val="0"/>
      <w:divBdr>
        <w:top w:val="none" w:sz="0" w:space="0" w:color="auto"/>
        <w:left w:val="none" w:sz="0" w:space="0" w:color="auto"/>
        <w:bottom w:val="none" w:sz="0" w:space="0" w:color="auto"/>
        <w:right w:val="none" w:sz="0" w:space="0" w:color="auto"/>
      </w:divBdr>
    </w:div>
    <w:div w:id="16899848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412">
          <w:marLeft w:val="0"/>
          <w:marRight w:val="0"/>
          <w:marTop w:val="0"/>
          <w:marBottom w:val="0"/>
          <w:divBdr>
            <w:top w:val="none" w:sz="0" w:space="0" w:color="auto"/>
            <w:left w:val="none" w:sz="0" w:space="0" w:color="auto"/>
            <w:bottom w:val="none" w:sz="0" w:space="0" w:color="auto"/>
            <w:right w:val="none" w:sz="0" w:space="0" w:color="auto"/>
          </w:divBdr>
          <w:divsChild>
            <w:div w:id="150021331">
              <w:marLeft w:val="0"/>
              <w:marRight w:val="0"/>
              <w:marTop w:val="0"/>
              <w:marBottom w:val="0"/>
              <w:divBdr>
                <w:top w:val="none" w:sz="0" w:space="0" w:color="auto"/>
                <w:left w:val="none" w:sz="0" w:space="0" w:color="auto"/>
                <w:bottom w:val="none" w:sz="0" w:space="0" w:color="auto"/>
                <w:right w:val="none" w:sz="0" w:space="0" w:color="auto"/>
              </w:divBdr>
              <w:divsChild>
                <w:div w:id="1280143748">
                  <w:marLeft w:val="0"/>
                  <w:marRight w:val="0"/>
                  <w:marTop w:val="0"/>
                  <w:marBottom w:val="0"/>
                  <w:divBdr>
                    <w:top w:val="none" w:sz="0" w:space="0" w:color="auto"/>
                    <w:left w:val="none" w:sz="0" w:space="0" w:color="auto"/>
                    <w:bottom w:val="none" w:sz="0" w:space="0" w:color="auto"/>
                    <w:right w:val="none" w:sz="0" w:space="0" w:color="auto"/>
                  </w:divBdr>
                  <w:divsChild>
                    <w:div w:id="2038774943">
                      <w:marLeft w:val="0"/>
                      <w:marRight w:val="0"/>
                      <w:marTop w:val="0"/>
                      <w:marBottom w:val="0"/>
                      <w:divBdr>
                        <w:top w:val="none" w:sz="0" w:space="0" w:color="auto"/>
                        <w:left w:val="none" w:sz="0" w:space="0" w:color="auto"/>
                        <w:bottom w:val="none" w:sz="0" w:space="0" w:color="auto"/>
                        <w:right w:val="none" w:sz="0" w:space="0" w:color="auto"/>
                      </w:divBdr>
                      <w:divsChild>
                        <w:div w:id="1981688758">
                          <w:marLeft w:val="0"/>
                          <w:marRight w:val="0"/>
                          <w:marTop w:val="0"/>
                          <w:marBottom w:val="0"/>
                          <w:divBdr>
                            <w:top w:val="none" w:sz="0" w:space="0" w:color="auto"/>
                            <w:left w:val="none" w:sz="0" w:space="0" w:color="auto"/>
                            <w:bottom w:val="none" w:sz="0" w:space="0" w:color="auto"/>
                            <w:right w:val="none" w:sz="0" w:space="0" w:color="auto"/>
                          </w:divBdr>
                          <w:divsChild>
                            <w:div w:id="539514639">
                              <w:marLeft w:val="0"/>
                              <w:marRight w:val="0"/>
                              <w:marTop w:val="0"/>
                              <w:marBottom w:val="0"/>
                              <w:divBdr>
                                <w:top w:val="none" w:sz="0" w:space="0" w:color="auto"/>
                                <w:left w:val="none" w:sz="0" w:space="0" w:color="auto"/>
                                <w:bottom w:val="none" w:sz="0" w:space="0" w:color="auto"/>
                                <w:right w:val="none" w:sz="0" w:space="0" w:color="auto"/>
                              </w:divBdr>
                              <w:divsChild>
                                <w:div w:id="1979148249">
                                  <w:marLeft w:val="570"/>
                                  <w:marRight w:val="720"/>
                                  <w:marTop w:val="120"/>
                                  <w:marBottom w:val="120"/>
                                  <w:divBdr>
                                    <w:top w:val="none" w:sz="0" w:space="0" w:color="auto"/>
                                    <w:left w:val="none" w:sz="0" w:space="0" w:color="auto"/>
                                    <w:bottom w:val="none" w:sz="0" w:space="0" w:color="auto"/>
                                    <w:right w:val="none" w:sz="0" w:space="0" w:color="auto"/>
                                  </w:divBdr>
                                  <w:divsChild>
                                    <w:div w:id="509489752">
                                      <w:marLeft w:val="0"/>
                                      <w:marRight w:val="0"/>
                                      <w:marTop w:val="0"/>
                                      <w:marBottom w:val="0"/>
                                      <w:divBdr>
                                        <w:top w:val="none" w:sz="0" w:space="0" w:color="auto"/>
                                        <w:left w:val="none" w:sz="0" w:space="0" w:color="auto"/>
                                        <w:bottom w:val="none" w:sz="0" w:space="0" w:color="auto"/>
                                        <w:right w:val="none" w:sz="0" w:space="0" w:color="auto"/>
                                      </w:divBdr>
                                      <w:divsChild>
                                        <w:div w:id="252401224">
                                          <w:marLeft w:val="0"/>
                                          <w:marRight w:val="0"/>
                                          <w:marTop w:val="0"/>
                                          <w:marBottom w:val="0"/>
                                          <w:divBdr>
                                            <w:top w:val="none" w:sz="0" w:space="0" w:color="auto"/>
                                            <w:left w:val="none" w:sz="0" w:space="0" w:color="auto"/>
                                            <w:bottom w:val="none" w:sz="0" w:space="0" w:color="auto"/>
                                            <w:right w:val="none" w:sz="0" w:space="0" w:color="auto"/>
                                          </w:divBdr>
                                          <w:divsChild>
                                            <w:div w:id="1791126933">
                                              <w:marLeft w:val="0"/>
                                              <w:marRight w:val="0"/>
                                              <w:marTop w:val="0"/>
                                              <w:marBottom w:val="0"/>
                                              <w:divBdr>
                                                <w:top w:val="none" w:sz="0" w:space="0" w:color="auto"/>
                                                <w:left w:val="none" w:sz="0" w:space="0" w:color="auto"/>
                                                <w:bottom w:val="none" w:sz="0" w:space="0" w:color="auto"/>
                                                <w:right w:val="none" w:sz="0" w:space="0" w:color="auto"/>
                                              </w:divBdr>
                                              <w:divsChild>
                                                <w:div w:id="306054647">
                                                  <w:marLeft w:val="0"/>
                                                  <w:marRight w:val="0"/>
                                                  <w:marTop w:val="240"/>
                                                  <w:marBottom w:val="240"/>
                                                  <w:divBdr>
                                                    <w:top w:val="single" w:sz="6" w:space="6" w:color="F2F2F2"/>
                                                    <w:left w:val="none" w:sz="0" w:space="0" w:color="auto"/>
                                                    <w:bottom w:val="single" w:sz="6" w:space="6" w:color="F2F2F2"/>
                                                    <w:right w:val="none" w:sz="0" w:space="0" w:color="auto"/>
                                                  </w:divBdr>
                                                </w:div>
                                                <w:div w:id="1063217859">
                                                  <w:marLeft w:val="0"/>
                                                  <w:marRight w:val="0"/>
                                                  <w:marTop w:val="0"/>
                                                  <w:marBottom w:val="0"/>
                                                  <w:divBdr>
                                                    <w:top w:val="none" w:sz="0" w:space="0" w:color="auto"/>
                                                    <w:left w:val="none" w:sz="0" w:space="0" w:color="auto"/>
                                                    <w:bottom w:val="none" w:sz="0" w:space="0" w:color="auto"/>
                                                    <w:right w:val="none" w:sz="0" w:space="0" w:color="auto"/>
                                                  </w:divBdr>
                                                  <w:divsChild>
                                                    <w:div w:id="14419504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0377714">
      <w:bodyDiv w:val="1"/>
      <w:marLeft w:val="0"/>
      <w:marRight w:val="0"/>
      <w:marTop w:val="0"/>
      <w:marBottom w:val="0"/>
      <w:divBdr>
        <w:top w:val="none" w:sz="0" w:space="0" w:color="auto"/>
        <w:left w:val="none" w:sz="0" w:space="0" w:color="auto"/>
        <w:bottom w:val="none" w:sz="0" w:space="0" w:color="auto"/>
        <w:right w:val="none" w:sz="0" w:space="0" w:color="auto"/>
      </w:divBdr>
      <w:divsChild>
        <w:div w:id="1610117077">
          <w:marLeft w:val="0"/>
          <w:marRight w:val="0"/>
          <w:marTop w:val="0"/>
          <w:marBottom w:val="0"/>
          <w:divBdr>
            <w:top w:val="none" w:sz="0" w:space="0" w:color="auto"/>
            <w:left w:val="none" w:sz="0" w:space="0" w:color="auto"/>
            <w:bottom w:val="none" w:sz="0" w:space="0" w:color="auto"/>
            <w:right w:val="none" w:sz="0" w:space="0" w:color="auto"/>
          </w:divBdr>
          <w:divsChild>
            <w:div w:id="566450955">
              <w:marLeft w:val="0"/>
              <w:marRight w:val="0"/>
              <w:marTop w:val="0"/>
              <w:marBottom w:val="0"/>
              <w:divBdr>
                <w:top w:val="none" w:sz="0" w:space="0" w:color="auto"/>
                <w:left w:val="none" w:sz="0" w:space="0" w:color="auto"/>
                <w:bottom w:val="none" w:sz="0" w:space="0" w:color="auto"/>
                <w:right w:val="none" w:sz="0" w:space="0" w:color="auto"/>
              </w:divBdr>
              <w:divsChild>
                <w:div w:id="64885916">
                  <w:marLeft w:val="0"/>
                  <w:marRight w:val="0"/>
                  <w:marTop w:val="0"/>
                  <w:marBottom w:val="0"/>
                  <w:divBdr>
                    <w:top w:val="none" w:sz="0" w:space="0" w:color="auto"/>
                    <w:left w:val="none" w:sz="0" w:space="0" w:color="auto"/>
                    <w:bottom w:val="none" w:sz="0" w:space="0" w:color="auto"/>
                    <w:right w:val="none" w:sz="0" w:space="0" w:color="auto"/>
                  </w:divBdr>
                  <w:divsChild>
                    <w:div w:id="91585268">
                      <w:marLeft w:val="0"/>
                      <w:marRight w:val="0"/>
                      <w:marTop w:val="0"/>
                      <w:marBottom w:val="0"/>
                      <w:divBdr>
                        <w:top w:val="none" w:sz="0" w:space="0" w:color="auto"/>
                        <w:left w:val="none" w:sz="0" w:space="0" w:color="auto"/>
                        <w:bottom w:val="none" w:sz="0" w:space="0" w:color="auto"/>
                        <w:right w:val="none" w:sz="0" w:space="0" w:color="auto"/>
                      </w:divBdr>
                      <w:divsChild>
                        <w:div w:id="2028094075">
                          <w:marLeft w:val="0"/>
                          <w:marRight w:val="0"/>
                          <w:marTop w:val="0"/>
                          <w:marBottom w:val="0"/>
                          <w:divBdr>
                            <w:top w:val="none" w:sz="0" w:space="0" w:color="auto"/>
                            <w:left w:val="none" w:sz="0" w:space="0" w:color="auto"/>
                            <w:bottom w:val="none" w:sz="0" w:space="0" w:color="auto"/>
                            <w:right w:val="none" w:sz="0" w:space="0" w:color="auto"/>
                          </w:divBdr>
                          <w:divsChild>
                            <w:div w:id="974680265">
                              <w:marLeft w:val="0"/>
                              <w:marRight w:val="0"/>
                              <w:marTop w:val="0"/>
                              <w:marBottom w:val="0"/>
                              <w:divBdr>
                                <w:top w:val="none" w:sz="0" w:space="0" w:color="auto"/>
                                <w:left w:val="none" w:sz="0" w:space="0" w:color="auto"/>
                                <w:bottom w:val="none" w:sz="0" w:space="0" w:color="auto"/>
                                <w:right w:val="none" w:sz="0" w:space="0" w:color="auto"/>
                              </w:divBdr>
                              <w:divsChild>
                                <w:div w:id="594631678">
                                  <w:marLeft w:val="0"/>
                                  <w:marRight w:val="0"/>
                                  <w:marTop w:val="0"/>
                                  <w:marBottom w:val="0"/>
                                  <w:divBdr>
                                    <w:top w:val="none" w:sz="0" w:space="0" w:color="auto"/>
                                    <w:left w:val="none" w:sz="0" w:space="0" w:color="auto"/>
                                    <w:bottom w:val="none" w:sz="0" w:space="0" w:color="auto"/>
                                    <w:right w:val="none" w:sz="0" w:space="0" w:color="auto"/>
                                  </w:divBdr>
                                  <w:divsChild>
                                    <w:div w:id="917909371">
                                      <w:marLeft w:val="0"/>
                                      <w:marRight w:val="0"/>
                                      <w:marTop w:val="0"/>
                                      <w:marBottom w:val="0"/>
                                      <w:divBdr>
                                        <w:top w:val="none" w:sz="0" w:space="0" w:color="auto"/>
                                        <w:left w:val="none" w:sz="0" w:space="0" w:color="auto"/>
                                        <w:bottom w:val="none" w:sz="0" w:space="0" w:color="auto"/>
                                        <w:right w:val="none" w:sz="0" w:space="0" w:color="auto"/>
                                      </w:divBdr>
                                      <w:divsChild>
                                        <w:div w:id="1523974496">
                                          <w:marLeft w:val="0"/>
                                          <w:marRight w:val="0"/>
                                          <w:marTop w:val="0"/>
                                          <w:marBottom w:val="0"/>
                                          <w:divBdr>
                                            <w:top w:val="none" w:sz="0" w:space="0" w:color="auto"/>
                                            <w:left w:val="none" w:sz="0" w:space="0" w:color="auto"/>
                                            <w:bottom w:val="none" w:sz="0" w:space="0" w:color="auto"/>
                                            <w:right w:val="none" w:sz="0" w:space="0" w:color="auto"/>
                                          </w:divBdr>
                                        </w:div>
                                        <w:div w:id="1523740831">
                                          <w:marLeft w:val="0"/>
                                          <w:marRight w:val="0"/>
                                          <w:marTop w:val="0"/>
                                          <w:marBottom w:val="0"/>
                                          <w:divBdr>
                                            <w:top w:val="none" w:sz="0" w:space="0" w:color="auto"/>
                                            <w:left w:val="none" w:sz="0" w:space="0" w:color="auto"/>
                                            <w:bottom w:val="none" w:sz="0" w:space="0" w:color="auto"/>
                                            <w:right w:val="none" w:sz="0" w:space="0" w:color="auto"/>
                                          </w:divBdr>
                                          <w:divsChild>
                                            <w:div w:id="1768769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907275">
      <w:bodyDiv w:val="1"/>
      <w:marLeft w:val="0"/>
      <w:marRight w:val="0"/>
      <w:marTop w:val="0"/>
      <w:marBottom w:val="0"/>
      <w:divBdr>
        <w:top w:val="none" w:sz="0" w:space="0" w:color="auto"/>
        <w:left w:val="none" w:sz="0" w:space="0" w:color="auto"/>
        <w:bottom w:val="none" w:sz="0" w:space="0" w:color="auto"/>
        <w:right w:val="none" w:sz="0" w:space="0" w:color="auto"/>
      </w:divBdr>
      <w:divsChild>
        <w:div w:id="95751991">
          <w:marLeft w:val="0"/>
          <w:marRight w:val="0"/>
          <w:marTop w:val="0"/>
          <w:marBottom w:val="0"/>
          <w:divBdr>
            <w:top w:val="none" w:sz="0" w:space="0" w:color="auto"/>
            <w:left w:val="none" w:sz="0" w:space="0" w:color="auto"/>
            <w:bottom w:val="none" w:sz="0" w:space="0" w:color="auto"/>
            <w:right w:val="none" w:sz="0" w:space="0" w:color="auto"/>
          </w:divBdr>
        </w:div>
        <w:div w:id="659576705">
          <w:marLeft w:val="0"/>
          <w:marRight w:val="0"/>
          <w:marTop w:val="0"/>
          <w:marBottom w:val="150"/>
          <w:divBdr>
            <w:top w:val="none" w:sz="0" w:space="0" w:color="auto"/>
            <w:left w:val="none" w:sz="0" w:space="0" w:color="auto"/>
            <w:bottom w:val="none" w:sz="0" w:space="0" w:color="auto"/>
            <w:right w:val="none" w:sz="0" w:space="0" w:color="auto"/>
          </w:divBdr>
          <w:divsChild>
            <w:div w:id="835652042">
              <w:marLeft w:val="0"/>
              <w:marRight w:val="0"/>
              <w:marTop w:val="0"/>
              <w:marBottom w:val="0"/>
              <w:divBdr>
                <w:top w:val="none" w:sz="0" w:space="0" w:color="auto"/>
                <w:left w:val="none" w:sz="0" w:space="0" w:color="auto"/>
                <w:bottom w:val="none" w:sz="0" w:space="0" w:color="auto"/>
                <w:right w:val="none" w:sz="0" w:space="0" w:color="auto"/>
              </w:divBdr>
              <w:divsChild>
                <w:div w:id="2004313577">
                  <w:marLeft w:val="0"/>
                  <w:marRight w:val="225"/>
                  <w:marTop w:val="0"/>
                  <w:marBottom w:val="0"/>
                  <w:divBdr>
                    <w:top w:val="none" w:sz="0" w:space="0" w:color="auto"/>
                    <w:left w:val="none" w:sz="0" w:space="0" w:color="auto"/>
                    <w:bottom w:val="none" w:sz="0" w:space="0" w:color="auto"/>
                    <w:right w:val="none" w:sz="0" w:space="0" w:color="auto"/>
                  </w:divBdr>
                  <w:divsChild>
                    <w:div w:id="775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232">
          <w:marLeft w:val="0"/>
          <w:marRight w:val="0"/>
          <w:marTop w:val="0"/>
          <w:marBottom w:val="150"/>
          <w:divBdr>
            <w:top w:val="none" w:sz="0" w:space="0" w:color="auto"/>
            <w:left w:val="none" w:sz="0" w:space="0" w:color="auto"/>
            <w:bottom w:val="none" w:sz="0" w:space="0" w:color="auto"/>
            <w:right w:val="none" w:sz="0" w:space="0" w:color="auto"/>
          </w:divBdr>
        </w:div>
      </w:divsChild>
    </w:div>
    <w:div w:id="1692803411">
      <w:bodyDiv w:val="1"/>
      <w:marLeft w:val="0"/>
      <w:marRight w:val="0"/>
      <w:marTop w:val="0"/>
      <w:marBottom w:val="0"/>
      <w:divBdr>
        <w:top w:val="none" w:sz="0" w:space="0" w:color="auto"/>
        <w:left w:val="none" w:sz="0" w:space="0" w:color="auto"/>
        <w:bottom w:val="none" w:sz="0" w:space="0" w:color="auto"/>
        <w:right w:val="none" w:sz="0" w:space="0" w:color="auto"/>
      </w:divBdr>
      <w:divsChild>
        <w:div w:id="1777679200">
          <w:marLeft w:val="0"/>
          <w:marRight w:val="0"/>
          <w:marTop w:val="0"/>
          <w:marBottom w:val="405"/>
          <w:divBdr>
            <w:top w:val="none" w:sz="0" w:space="0" w:color="auto"/>
            <w:left w:val="none" w:sz="0" w:space="0" w:color="auto"/>
            <w:bottom w:val="none" w:sz="0" w:space="0" w:color="auto"/>
            <w:right w:val="none" w:sz="0" w:space="0" w:color="auto"/>
          </w:divBdr>
          <w:divsChild>
            <w:div w:id="379716401">
              <w:marLeft w:val="0"/>
              <w:marRight w:val="0"/>
              <w:marTop w:val="0"/>
              <w:marBottom w:val="0"/>
              <w:divBdr>
                <w:top w:val="none" w:sz="0" w:space="0" w:color="auto"/>
                <w:left w:val="none" w:sz="0" w:space="0" w:color="auto"/>
                <w:bottom w:val="none" w:sz="0" w:space="0" w:color="auto"/>
                <w:right w:val="none" w:sz="0" w:space="0" w:color="auto"/>
              </w:divBdr>
              <w:divsChild>
                <w:div w:id="815798541">
                  <w:marLeft w:val="0"/>
                  <w:marRight w:val="-14460"/>
                  <w:marTop w:val="0"/>
                  <w:marBottom w:val="0"/>
                  <w:divBdr>
                    <w:top w:val="none" w:sz="0" w:space="0" w:color="auto"/>
                    <w:left w:val="none" w:sz="0" w:space="0" w:color="auto"/>
                    <w:bottom w:val="none" w:sz="0" w:space="0" w:color="auto"/>
                    <w:right w:val="none" w:sz="0" w:space="0" w:color="auto"/>
                  </w:divBdr>
                  <w:divsChild>
                    <w:div w:id="1729307064">
                      <w:marLeft w:val="180"/>
                      <w:marRight w:val="0"/>
                      <w:marTop w:val="0"/>
                      <w:marBottom w:val="0"/>
                      <w:divBdr>
                        <w:top w:val="none" w:sz="0" w:space="0" w:color="auto"/>
                        <w:left w:val="none" w:sz="0" w:space="0" w:color="auto"/>
                        <w:bottom w:val="none" w:sz="0" w:space="0" w:color="auto"/>
                        <w:right w:val="none" w:sz="0" w:space="0" w:color="auto"/>
                      </w:divBdr>
                      <w:divsChild>
                        <w:div w:id="270668000">
                          <w:marLeft w:val="0"/>
                          <w:marRight w:val="0"/>
                          <w:marTop w:val="0"/>
                          <w:marBottom w:val="0"/>
                          <w:divBdr>
                            <w:top w:val="none" w:sz="0" w:space="0" w:color="auto"/>
                            <w:left w:val="none" w:sz="0" w:space="0" w:color="auto"/>
                            <w:bottom w:val="none" w:sz="0" w:space="0" w:color="auto"/>
                            <w:right w:val="none" w:sz="0" w:space="0" w:color="auto"/>
                          </w:divBdr>
                          <w:divsChild>
                            <w:div w:id="1880435115">
                              <w:marLeft w:val="0"/>
                              <w:marRight w:val="0"/>
                              <w:marTop w:val="0"/>
                              <w:marBottom w:val="0"/>
                              <w:divBdr>
                                <w:top w:val="none" w:sz="0" w:space="0" w:color="auto"/>
                                <w:left w:val="none" w:sz="0" w:space="0" w:color="auto"/>
                                <w:bottom w:val="none" w:sz="0" w:space="0" w:color="auto"/>
                                <w:right w:val="none" w:sz="0" w:space="0" w:color="auto"/>
                              </w:divBdr>
                              <w:divsChild>
                                <w:div w:id="2107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216318">
      <w:bodyDiv w:val="1"/>
      <w:marLeft w:val="0"/>
      <w:marRight w:val="0"/>
      <w:marTop w:val="0"/>
      <w:marBottom w:val="0"/>
      <w:divBdr>
        <w:top w:val="none" w:sz="0" w:space="0" w:color="auto"/>
        <w:left w:val="none" w:sz="0" w:space="0" w:color="auto"/>
        <w:bottom w:val="none" w:sz="0" w:space="0" w:color="auto"/>
        <w:right w:val="none" w:sz="0" w:space="0" w:color="auto"/>
      </w:divBdr>
    </w:div>
    <w:div w:id="1693535558">
      <w:bodyDiv w:val="1"/>
      <w:marLeft w:val="0"/>
      <w:marRight w:val="0"/>
      <w:marTop w:val="0"/>
      <w:marBottom w:val="0"/>
      <w:divBdr>
        <w:top w:val="none" w:sz="0" w:space="0" w:color="auto"/>
        <w:left w:val="none" w:sz="0" w:space="0" w:color="auto"/>
        <w:bottom w:val="none" w:sz="0" w:space="0" w:color="auto"/>
        <w:right w:val="none" w:sz="0" w:space="0" w:color="auto"/>
      </w:divBdr>
    </w:div>
    <w:div w:id="1693651080">
      <w:bodyDiv w:val="1"/>
      <w:marLeft w:val="0"/>
      <w:marRight w:val="0"/>
      <w:marTop w:val="0"/>
      <w:marBottom w:val="0"/>
      <w:divBdr>
        <w:top w:val="none" w:sz="0" w:space="0" w:color="auto"/>
        <w:left w:val="none" w:sz="0" w:space="0" w:color="auto"/>
        <w:bottom w:val="none" w:sz="0" w:space="0" w:color="auto"/>
        <w:right w:val="none" w:sz="0" w:space="0" w:color="auto"/>
      </w:divBdr>
      <w:divsChild>
        <w:div w:id="1039403321">
          <w:marLeft w:val="0"/>
          <w:marRight w:val="0"/>
          <w:marTop w:val="0"/>
          <w:marBottom w:val="0"/>
          <w:divBdr>
            <w:top w:val="none" w:sz="0" w:space="0" w:color="auto"/>
            <w:left w:val="none" w:sz="0" w:space="0" w:color="auto"/>
            <w:bottom w:val="none" w:sz="0" w:space="0" w:color="auto"/>
            <w:right w:val="none" w:sz="0" w:space="0" w:color="auto"/>
          </w:divBdr>
          <w:divsChild>
            <w:div w:id="1058745078">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1693724813">
      <w:bodyDiv w:val="1"/>
      <w:marLeft w:val="0"/>
      <w:marRight w:val="0"/>
      <w:marTop w:val="0"/>
      <w:marBottom w:val="0"/>
      <w:divBdr>
        <w:top w:val="none" w:sz="0" w:space="0" w:color="auto"/>
        <w:left w:val="none" w:sz="0" w:space="0" w:color="auto"/>
        <w:bottom w:val="none" w:sz="0" w:space="0" w:color="auto"/>
        <w:right w:val="none" w:sz="0" w:space="0" w:color="auto"/>
      </w:divBdr>
    </w:div>
    <w:div w:id="1693872345">
      <w:bodyDiv w:val="1"/>
      <w:marLeft w:val="0"/>
      <w:marRight w:val="0"/>
      <w:marTop w:val="0"/>
      <w:marBottom w:val="0"/>
      <w:divBdr>
        <w:top w:val="none" w:sz="0" w:space="0" w:color="auto"/>
        <w:left w:val="none" w:sz="0" w:space="0" w:color="auto"/>
        <w:bottom w:val="none" w:sz="0" w:space="0" w:color="auto"/>
        <w:right w:val="none" w:sz="0" w:space="0" w:color="auto"/>
      </w:divBdr>
      <w:divsChild>
        <w:div w:id="2135325220">
          <w:marLeft w:val="0"/>
          <w:marRight w:val="0"/>
          <w:marTop w:val="0"/>
          <w:marBottom w:val="0"/>
          <w:divBdr>
            <w:top w:val="none" w:sz="0" w:space="0" w:color="auto"/>
            <w:left w:val="none" w:sz="0" w:space="0" w:color="auto"/>
            <w:bottom w:val="none" w:sz="0" w:space="0" w:color="auto"/>
            <w:right w:val="none" w:sz="0" w:space="0" w:color="auto"/>
          </w:divBdr>
          <w:divsChild>
            <w:div w:id="2014144015">
              <w:marLeft w:val="0"/>
              <w:marRight w:val="0"/>
              <w:marTop w:val="0"/>
              <w:marBottom w:val="0"/>
              <w:divBdr>
                <w:top w:val="none" w:sz="0" w:space="0" w:color="auto"/>
                <w:left w:val="none" w:sz="0" w:space="0" w:color="auto"/>
                <w:bottom w:val="none" w:sz="0" w:space="0" w:color="auto"/>
                <w:right w:val="none" w:sz="0" w:space="0" w:color="auto"/>
              </w:divBdr>
              <w:divsChild>
                <w:div w:id="258294855">
                  <w:marLeft w:val="-225"/>
                  <w:marRight w:val="-225"/>
                  <w:marTop w:val="0"/>
                  <w:marBottom w:val="0"/>
                  <w:divBdr>
                    <w:top w:val="none" w:sz="0" w:space="0" w:color="auto"/>
                    <w:left w:val="none" w:sz="0" w:space="0" w:color="auto"/>
                    <w:bottom w:val="none" w:sz="0" w:space="0" w:color="auto"/>
                    <w:right w:val="none" w:sz="0" w:space="0" w:color="auto"/>
                  </w:divBdr>
                  <w:divsChild>
                    <w:div w:id="14691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77705">
      <w:bodyDiv w:val="1"/>
      <w:marLeft w:val="0"/>
      <w:marRight w:val="0"/>
      <w:marTop w:val="0"/>
      <w:marBottom w:val="0"/>
      <w:divBdr>
        <w:top w:val="none" w:sz="0" w:space="0" w:color="auto"/>
        <w:left w:val="none" w:sz="0" w:space="0" w:color="auto"/>
        <w:bottom w:val="none" w:sz="0" w:space="0" w:color="auto"/>
        <w:right w:val="none" w:sz="0" w:space="0" w:color="auto"/>
      </w:divBdr>
      <w:divsChild>
        <w:div w:id="1565602195">
          <w:marLeft w:val="0"/>
          <w:marRight w:val="0"/>
          <w:marTop w:val="0"/>
          <w:marBottom w:val="0"/>
          <w:divBdr>
            <w:top w:val="none" w:sz="0" w:space="0" w:color="auto"/>
            <w:left w:val="none" w:sz="0" w:space="0" w:color="auto"/>
            <w:bottom w:val="none" w:sz="0" w:space="0" w:color="auto"/>
            <w:right w:val="none" w:sz="0" w:space="0" w:color="auto"/>
          </w:divBdr>
          <w:divsChild>
            <w:div w:id="732659003">
              <w:marLeft w:val="0"/>
              <w:marRight w:val="0"/>
              <w:marTop w:val="0"/>
              <w:marBottom w:val="0"/>
              <w:divBdr>
                <w:top w:val="none" w:sz="0" w:space="0" w:color="auto"/>
                <w:left w:val="none" w:sz="0" w:space="0" w:color="auto"/>
                <w:bottom w:val="none" w:sz="0" w:space="0" w:color="auto"/>
                <w:right w:val="none" w:sz="0" w:space="0" w:color="auto"/>
              </w:divBdr>
              <w:divsChild>
                <w:div w:id="1210997360">
                  <w:marLeft w:val="-375"/>
                  <w:marRight w:val="0"/>
                  <w:marTop w:val="0"/>
                  <w:marBottom w:val="0"/>
                  <w:divBdr>
                    <w:top w:val="none" w:sz="0" w:space="0" w:color="auto"/>
                    <w:left w:val="none" w:sz="0" w:space="0" w:color="auto"/>
                    <w:bottom w:val="none" w:sz="0" w:space="0" w:color="auto"/>
                    <w:right w:val="none" w:sz="0" w:space="0" w:color="auto"/>
                  </w:divBdr>
                  <w:divsChild>
                    <w:div w:id="636380329">
                      <w:marLeft w:val="0"/>
                      <w:marRight w:val="0"/>
                      <w:marTop w:val="0"/>
                      <w:marBottom w:val="0"/>
                      <w:divBdr>
                        <w:top w:val="none" w:sz="0" w:space="0" w:color="auto"/>
                        <w:left w:val="none" w:sz="0" w:space="0" w:color="auto"/>
                        <w:bottom w:val="none" w:sz="0" w:space="0" w:color="auto"/>
                        <w:right w:val="none" w:sz="0" w:space="0" w:color="auto"/>
                      </w:divBdr>
                      <w:divsChild>
                        <w:div w:id="1628781636">
                          <w:marLeft w:val="0"/>
                          <w:marRight w:val="0"/>
                          <w:marTop w:val="0"/>
                          <w:marBottom w:val="0"/>
                          <w:divBdr>
                            <w:top w:val="none" w:sz="0" w:space="0" w:color="auto"/>
                            <w:left w:val="none" w:sz="0" w:space="0" w:color="auto"/>
                            <w:bottom w:val="none" w:sz="0" w:space="0" w:color="auto"/>
                            <w:right w:val="none" w:sz="0" w:space="0" w:color="auto"/>
                          </w:divBdr>
                          <w:divsChild>
                            <w:div w:id="19860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24172">
      <w:bodyDiv w:val="1"/>
      <w:marLeft w:val="0"/>
      <w:marRight w:val="0"/>
      <w:marTop w:val="0"/>
      <w:marBottom w:val="0"/>
      <w:divBdr>
        <w:top w:val="none" w:sz="0" w:space="0" w:color="auto"/>
        <w:left w:val="none" w:sz="0" w:space="0" w:color="auto"/>
        <w:bottom w:val="none" w:sz="0" w:space="0" w:color="auto"/>
        <w:right w:val="none" w:sz="0" w:space="0" w:color="auto"/>
      </w:divBdr>
      <w:divsChild>
        <w:div w:id="964391209">
          <w:marLeft w:val="0"/>
          <w:marRight w:val="0"/>
          <w:marTop w:val="150"/>
          <w:marBottom w:val="0"/>
          <w:divBdr>
            <w:top w:val="none" w:sz="0" w:space="0" w:color="auto"/>
            <w:left w:val="none" w:sz="0" w:space="0" w:color="auto"/>
            <w:bottom w:val="none" w:sz="0" w:space="0" w:color="auto"/>
            <w:right w:val="none" w:sz="0" w:space="0" w:color="auto"/>
          </w:divBdr>
          <w:divsChild>
            <w:div w:id="277300100">
              <w:marLeft w:val="2"/>
              <w:marRight w:val="2"/>
              <w:marTop w:val="0"/>
              <w:marBottom w:val="0"/>
              <w:divBdr>
                <w:top w:val="none" w:sz="0" w:space="0" w:color="auto"/>
                <w:left w:val="none" w:sz="0" w:space="0" w:color="auto"/>
                <w:bottom w:val="none" w:sz="0" w:space="0" w:color="auto"/>
                <w:right w:val="none" w:sz="0" w:space="0" w:color="auto"/>
              </w:divBdr>
              <w:divsChild>
                <w:div w:id="697781918">
                  <w:marLeft w:val="0"/>
                  <w:marRight w:val="0"/>
                  <w:marTop w:val="0"/>
                  <w:marBottom w:val="0"/>
                  <w:divBdr>
                    <w:top w:val="none" w:sz="0" w:space="0" w:color="auto"/>
                    <w:left w:val="none" w:sz="0" w:space="0" w:color="auto"/>
                    <w:bottom w:val="none" w:sz="0" w:space="0" w:color="auto"/>
                    <w:right w:val="none" w:sz="0" w:space="0" w:color="auto"/>
                  </w:divBdr>
                  <w:divsChild>
                    <w:div w:id="128323870">
                      <w:marLeft w:val="0"/>
                      <w:marRight w:val="0"/>
                      <w:marTop w:val="0"/>
                      <w:marBottom w:val="0"/>
                      <w:divBdr>
                        <w:top w:val="none" w:sz="0" w:space="0" w:color="auto"/>
                        <w:left w:val="none" w:sz="0" w:space="0" w:color="auto"/>
                        <w:bottom w:val="none" w:sz="0" w:space="0" w:color="auto"/>
                        <w:right w:val="none" w:sz="0" w:space="0" w:color="auto"/>
                      </w:divBdr>
                      <w:divsChild>
                        <w:div w:id="730229057">
                          <w:marLeft w:val="0"/>
                          <w:marRight w:val="0"/>
                          <w:marTop w:val="0"/>
                          <w:marBottom w:val="0"/>
                          <w:divBdr>
                            <w:top w:val="none" w:sz="0" w:space="0" w:color="auto"/>
                            <w:left w:val="none" w:sz="0" w:space="0" w:color="auto"/>
                            <w:bottom w:val="none" w:sz="0" w:space="0" w:color="auto"/>
                            <w:right w:val="none" w:sz="0" w:space="0" w:color="auto"/>
                          </w:divBdr>
                          <w:divsChild>
                            <w:div w:id="1649166342">
                              <w:marLeft w:val="0"/>
                              <w:marRight w:val="0"/>
                              <w:marTop w:val="0"/>
                              <w:marBottom w:val="0"/>
                              <w:divBdr>
                                <w:top w:val="none" w:sz="0" w:space="0" w:color="auto"/>
                                <w:left w:val="none" w:sz="0" w:space="0" w:color="auto"/>
                                <w:bottom w:val="none" w:sz="0" w:space="0" w:color="auto"/>
                                <w:right w:val="none" w:sz="0" w:space="0" w:color="auto"/>
                              </w:divBdr>
                              <w:divsChild>
                                <w:div w:id="817842277">
                                  <w:marLeft w:val="0"/>
                                  <w:marRight w:val="0"/>
                                  <w:marTop w:val="0"/>
                                  <w:marBottom w:val="0"/>
                                  <w:divBdr>
                                    <w:top w:val="none" w:sz="0" w:space="0" w:color="auto"/>
                                    <w:left w:val="none" w:sz="0" w:space="0" w:color="auto"/>
                                    <w:bottom w:val="none" w:sz="0" w:space="0" w:color="auto"/>
                                    <w:right w:val="none" w:sz="0" w:space="0" w:color="auto"/>
                                  </w:divBdr>
                                  <w:divsChild>
                                    <w:div w:id="910971237">
                                      <w:marLeft w:val="0"/>
                                      <w:marRight w:val="0"/>
                                      <w:marTop w:val="0"/>
                                      <w:marBottom w:val="0"/>
                                      <w:divBdr>
                                        <w:top w:val="none" w:sz="0" w:space="0" w:color="auto"/>
                                        <w:left w:val="none" w:sz="0" w:space="0" w:color="auto"/>
                                        <w:bottom w:val="none" w:sz="0" w:space="0" w:color="auto"/>
                                        <w:right w:val="none" w:sz="0" w:space="0" w:color="auto"/>
                                      </w:divBdr>
                                      <w:divsChild>
                                        <w:div w:id="1122459526">
                                          <w:marLeft w:val="0"/>
                                          <w:marRight w:val="0"/>
                                          <w:marTop w:val="0"/>
                                          <w:marBottom w:val="0"/>
                                          <w:divBdr>
                                            <w:top w:val="none" w:sz="0" w:space="0" w:color="auto"/>
                                            <w:left w:val="none" w:sz="0" w:space="0" w:color="auto"/>
                                            <w:bottom w:val="none" w:sz="0" w:space="0" w:color="auto"/>
                                            <w:right w:val="none" w:sz="0" w:space="0" w:color="auto"/>
                                          </w:divBdr>
                                          <w:divsChild>
                                            <w:div w:id="1703362656">
                                              <w:marLeft w:val="0"/>
                                              <w:marRight w:val="0"/>
                                              <w:marTop w:val="0"/>
                                              <w:marBottom w:val="0"/>
                                              <w:divBdr>
                                                <w:top w:val="none" w:sz="0" w:space="0" w:color="auto"/>
                                                <w:left w:val="none" w:sz="0" w:space="0" w:color="auto"/>
                                                <w:bottom w:val="none" w:sz="0" w:space="0" w:color="auto"/>
                                                <w:right w:val="none" w:sz="0" w:space="0" w:color="auto"/>
                                              </w:divBdr>
                                              <w:divsChild>
                                                <w:div w:id="306786010">
                                                  <w:marLeft w:val="0"/>
                                                  <w:marRight w:val="0"/>
                                                  <w:marTop w:val="0"/>
                                                  <w:marBottom w:val="0"/>
                                                  <w:divBdr>
                                                    <w:top w:val="none" w:sz="0" w:space="0" w:color="auto"/>
                                                    <w:left w:val="none" w:sz="0" w:space="0" w:color="auto"/>
                                                    <w:bottom w:val="none" w:sz="0" w:space="0" w:color="auto"/>
                                                    <w:right w:val="none" w:sz="0" w:space="0" w:color="auto"/>
                                                  </w:divBdr>
                                                </w:div>
                                              </w:divsChild>
                                            </w:div>
                                            <w:div w:id="1932204723">
                                              <w:marLeft w:val="0"/>
                                              <w:marRight w:val="0"/>
                                              <w:marTop w:val="0"/>
                                              <w:marBottom w:val="0"/>
                                              <w:divBdr>
                                                <w:top w:val="none" w:sz="0" w:space="0" w:color="auto"/>
                                                <w:left w:val="none" w:sz="0" w:space="0" w:color="auto"/>
                                                <w:bottom w:val="none" w:sz="0" w:space="0" w:color="auto"/>
                                                <w:right w:val="none" w:sz="0" w:space="0" w:color="auto"/>
                                              </w:divBdr>
                                              <w:divsChild>
                                                <w:div w:id="749038012">
                                                  <w:marLeft w:val="0"/>
                                                  <w:marRight w:val="0"/>
                                                  <w:marTop w:val="0"/>
                                                  <w:marBottom w:val="0"/>
                                                  <w:divBdr>
                                                    <w:top w:val="none" w:sz="0" w:space="0" w:color="auto"/>
                                                    <w:left w:val="none" w:sz="0" w:space="0" w:color="auto"/>
                                                    <w:bottom w:val="none" w:sz="0" w:space="0" w:color="auto"/>
                                                    <w:right w:val="none" w:sz="0" w:space="0" w:color="auto"/>
                                                  </w:divBdr>
                                                </w:div>
                                              </w:divsChild>
                                            </w:div>
                                            <w:div w:id="979116835">
                                              <w:marLeft w:val="0"/>
                                              <w:marRight w:val="0"/>
                                              <w:marTop w:val="0"/>
                                              <w:marBottom w:val="0"/>
                                              <w:divBdr>
                                                <w:top w:val="none" w:sz="0" w:space="0" w:color="auto"/>
                                                <w:left w:val="none" w:sz="0" w:space="0" w:color="auto"/>
                                                <w:bottom w:val="none" w:sz="0" w:space="0" w:color="auto"/>
                                                <w:right w:val="none" w:sz="0" w:space="0" w:color="auto"/>
                                              </w:divBdr>
                                              <w:divsChild>
                                                <w:div w:id="1260799646">
                                                  <w:marLeft w:val="0"/>
                                                  <w:marRight w:val="0"/>
                                                  <w:marTop w:val="0"/>
                                                  <w:marBottom w:val="0"/>
                                                  <w:divBdr>
                                                    <w:top w:val="none" w:sz="0" w:space="0" w:color="auto"/>
                                                    <w:left w:val="none" w:sz="0" w:space="0" w:color="auto"/>
                                                    <w:bottom w:val="none" w:sz="0" w:space="0" w:color="auto"/>
                                                    <w:right w:val="none" w:sz="0" w:space="0" w:color="auto"/>
                                                  </w:divBdr>
                                                </w:div>
                                              </w:divsChild>
                                            </w:div>
                                            <w:div w:id="2029326265">
                                              <w:marLeft w:val="0"/>
                                              <w:marRight w:val="0"/>
                                              <w:marTop w:val="0"/>
                                              <w:marBottom w:val="0"/>
                                              <w:divBdr>
                                                <w:top w:val="none" w:sz="0" w:space="0" w:color="auto"/>
                                                <w:left w:val="none" w:sz="0" w:space="0" w:color="auto"/>
                                                <w:bottom w:val="none" w:sz="0" w:space="0" w:color="auto"/>
                                                <w:right w:val="none" w:sz="0" w:space="0" w:color="auto"/>
                                              </w:divBdr>
                                              <w:divsChild>
                                                <w:div w:id="2054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690407">
      <w:bodyDiv w:val="1"/>
      <w:marLeft w:val="0"/>
      <w:marRight w:val="0"/>
      <w:marTop w:val="0"/>
      <w:marBottom w:val="0"/>
      <w:divBdr>
        <w:top w:val="none" w:sz="0" w:space="0" w:color="auto"/>
        <w:left w:val="none" w:sz="0" w:space="0" w:color="auto"/>
        <w:bottom w:val="none" w:sz="0" w:space="0" w:color="auto"/>
        <w:right w:val="none" w:sz="0" w:space="0" w:color="auto"/>
      </w:divBdr>
    </w:div>
    <w:div w:id="1698236842">
      <w:bodyDiv w:val="1"/>
      <w:marLeft w:val="0"/>
      <w:marRight w:val="0"/>
      <w:marTop w:val="0"/>
      <w:marBottom w:val="0"/>
      <w:divBdr>
        <w:top w:val="none" w:sz="0" w:space="0" w:color="auto"/>
        <w:left w:val="none" w:sz="0" w:space="0" w:color="auto"/>
        <w:bottom w:val="none" w:sz="0" w:space="0" w:color="auto"/>
        <w:right w:val="none" w:sz="0" w:space="0" w:color="auto"/>
      </w:divBdr>
      <w:divsChild>
        <w:div w:id="1189100521">
          <w:marLeft w:val="0"/>
          <w:marRight w:val="0"/>
          <w:marTop w:val="0"/>
          <w:marBottom w:val="0"/>
          <w:divBdr>
            <w:top w:val="none" w:sz="0" w:space="0" w:color="auto"/>
            <w:left w:val="none" w:sz="0" w:space="0" w:color="auto"/>
            <w:bottom w:val="none" w:sz="0" w:space="0" w:color="auto"/>
            <w:right w:val="none" w:sz="0" w:space="0" w:color="auto"/>
          </w:divBdr>
          <w:divsChild>
            <w:div w:id="19490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9108">
      <w:bodyDiv w:val="1"/>
      <w:marLeft w:val="0"/>
      <w:marRight w:val="0"/>
      <w:marTop w:val="0"/>
      <w:marBottom w:val="0"/>
      <w:divBdr>
        <w:top w:val="none" w:sz="0" w:space="0" w:color="auto"/>
        <w:left w:val="none" w:sz="0" w:space="0" w:color="auto"/>
        <w:bottom w:val="none" w:sz="0" w:space="0" w:color="auto"/>
        <w:right w:val="none" w:sz="0" w:space="0" w:color="auto"/>
      </w:divBdr>
      <w:divsChild>
        <w:div w:id="1038773662">
          <w:marLeft w:val="0"/>
          <w:marRight w:val="0"/>
          <w:marTop w:val="0"/>
          <w:marBottom w:val="0"/>
          <w:divBdr>
            <w:top w:val="single" w:sz="2" w:space="0" w:color="AAAAAA"/>
            <w:left w:val="single" w:sz="6" w:space="8" w:color="AAAAAA"/>
            <w:bottom w:val="single" w:sz="2" w:space="0" w:color="AAAAAA"/>
            <w:right w:val="single" w:sz="6" w:space="8" w:color="AAAAAA"/>
          </w:divBdr>
          <w:divsChild>
            <w:div w:id="198708934">
              <w:marLeft w:val="0"/>
              <w:marRight w:val="0"/>
              <w:marTop w:val="0"/>
              <w:marBottom w:val="0"/>
              <w:divBdr>
                <w:top w:val="none" w:sz="0" w:space="0" w:color="auto"/>
                <w:left w:val="none" w:sz="0" w:space="0" w:color="auto"/>
                <w:bottom w:val="none" w:sz="0" w:space="0" w:color="auto"/>
                <w:right w:val="none" w:sz="0" w:space="0" w:color="auto"/>
              </w:divBdr>
              <w:divsChild>
                <w:div w:id="1237473850">
                  <w:marLeft w:val="0"/>
                  <w:marRight w:val="0"/>
                  <w:marTop w:val="0"/>
                  <w:marBottom w:val="0"/>
                  <w:divBdr>
                    <w:top w:val="none" w:sz="0" w:space="0" w:color="auto"/>
                    <w:left w:val="none" w:sz="0" w:space="0" w:color="auto"/>
                    <w:bottom w:val="none" w:sz="0" w:space="0" w:color="auto"/>
                    <w:right w:val="none" w:sz="0" w:space="0" w:color="auto"/>
                  </w:divBdr>
                  <w:divsChild>
                    <w:div w:id="655305356">
                      <w:marLeft w:val="0"/>
                      <w:marRight w:val="2550"/>
                      <w:marTop w:val="0"/>
                      <w:marBottom w:val="48"/>
                      <w:divBdr>
                        <w:top w:val="none" w:sz="0" w:space="0" w:color="auto"/>
                        <w:left w:val="none" w:sz="0" w:space="0" w:color="auto"/>
                        <w:bottom w:val="none" w:sz="0" w:space="0" w:color="auto"/>
                        <w:right w:val="none" w:sz="0" w:space="0" w:color="auto"/>
                      </w:divBdr>
                      <w:divsChild>
                        <w:div w:id="2137479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99700034">
      <w:bodyDiv w:val="1"/>
      <w:marLeft w:val="0"/>
      <w:marRight w:val="0"/>
      <w:marTop w:val="0"/>
      <w:marBottom w:val="0"/>
      <w:divBdr>
        <w:top w:val="none" w:sz="0" w:space="0" w:color="auto"/>
        <w:left w:val="none" w:sz="0" w:space="0" w:color="auto"/>
        <w:bottom w:val="none" w:sz="0" w:space="0" w:color="auto"/>
        <w:right w:val="none" w:sz="0" w:space="0" w:color="auto"/>
      </w:divBdr>
    </w:div>
    <w:div w:id="1702588649">
      <w:bodyDiv w:val="1"/>
      <w:marLeft w:val="0"/>
      <w:marRight w:val="0"/>
      <w:marTop w:val="0"/>
      <w:marBottom w:val="0"/>
      <w:divBdr>
        <w:top w:val="none" w:sz="0" w:space="0" w:color="auto"/>
        <w:left w:val="none" w:sz="0" w:space="0" w:color="auto"/>
        <w:bottom w:val="none" w:sz="0" w:space="0" w:color="auto"/>
        <w:right w:val="none" w:sz="0" w:space="0" w:color="auto"/>
      </w:divBdr>
      <w:divsChild>
        <w:div w:id="1189298637">
          <w:marLeft w:val="0"/>
          <w:marRight w:val="0"/>
          <w:marTop w:val="0"/>
          <w:marBottom w:val="0"/>
          <w:divBdr>
            <w:top w:val="none" w:sz="0" w:space="0" w:color="auto"/>
            <w:left w:val="none" w:sz="0" w:space="0" w:color="auto"/>
            <w:bottom w:val="none" w:sz="0" w:space="0" w:color="auto"/>
            <w:right w:val="none" w:sz="0" w:space="0" w:color="auto"/>
          </w:divBdr>
          <w:divsChild>
            <w:div w:id="512957961">
              <w:marLeft w:val="0"/>
              <w:marRight w:val="0"/>
              <w:marTop w:val="0"/>
              <w:marBottom w:val="0"/>
              <w:divBdr>
                <w:top w:val="none" w:sz="0" w:space="0" w:color="auto"/>
                <w:left w:val="none" w:sz="0" w:space="0" w:color="auto"/>
                <w:bottom w:val="none" w:sz="0" w:space="0" w:color="auto"/>
                <w:right w:val="none" w:sz="0" w:space="0" w:color="auto"/>
              </w:divBdr>
              <w:divsChild>
                <w:div w:id="1700231647">
                  <w:marLeft w:val="0"/>
                  <w:marRight w:val="0"/>
                  <w:marTop w:val="0"/>
                  <w:marBottom w:val="0"/>
                  <w:divBdr>
                    <w:top w:val="none" w:sz="0" w:space="0" w:color="auto"/>
                    <w:left w:val="none" w:sz="0" w:space="0" w:color="auto"/>
                    <w:bottom w:val="none" w:sz="0" w:space="0" w:color="auto"/>
                    <w:right w:val="none" w:sz="0" w:space="0" w:color="auto"/>
                  </w:divBdr>
                  <w:divsChild>
                    <w:div w:id="1036272791">
                      <w:marLeft w:val="0"/>
                      <w:marRight w:val="0"/>
                      <w:marTop w:val="0"/>
                      <w:marBottom w:val="0"/>
                      <w:divBdr>
                        <w:top w:val="none" w:sz="0" w:space="0" w:color="auto"/>
                        <w:left w:val="none" w:sz="0" w:space="0" w:color="auto"/>
                        <w:bottom w:val="none" w:sz="0" w:space="0" w:color="auto"/>
                        <w:right w:val="none" w:sz="0" w:space="0" w:color="auto"/>
                      </w:divBdr>
                      <w:divsChild>
                        <w:div w:id="1394235256">
                          <w:marLeft w:val="0"/>
                          <w:marRight w:val="0"/>
                          <w:marTop w:val="0"/>
                          <w:marBottom w:val="0"/>
                          <w:divBdr>
                            <w:top w:val="none" w:sz="0" w:space="0" w:color="auto"/>
                            <w:left w:val="none" w:sz="0" w:space="0" w:color="auto"/>
                            <w:bottom w:val="none" w:sz="0" w:space="0" w:color="auto"/>
                            <w:right w:val="none" w:sz="0" w:space="0" w:color="auto"/>
                          </w:divBdr>
                          <w:divsChild>
                            <w:div w:id="974526217">
                              <w:marLeft w:val="0"/>
                              <w:marRight w:val="0"/>
                              <w:marTop w:val="0"/>
                              <w:marBottom w:val="0"/>
                              <w:divBdr>
                                <w:top w:val="none" w:sz="0" w:space="0" w:color="auto"/>
                                <w:left w:val="none" w:sz="0" w:space="0" w:color="auto"/>
                                <w:bottom w:val="none" w:sz="0" w:space="0" w:color="auto"/>
                                <w:right w:val="none" w:sz="0" w:space="0" w:color="auto"/>
                              </w:divBdr>
                              <w:divsChild>
                                <w:div w:id="477263578">
                                  <w:marLeft w:val="0"/>
                                  <w:marRight w:val="0"/>
                                  <w:marTop w:val="0"/>
                                  <w:marBottom w:val="0"/>
                                  <w:divBdr>
                                    <w:top w:val="none" w:sz="0" w:space="0" w:color="auto"/>
                                    <w:left w:val="none" w:sz="0" w:space="0" w:color="auto"/>
                                    <w:bottom w:val="none" w:sz="0" w:space="0" w:color="auto"/>
                                    <w:right w:val="none" w:sz="0" w:space="0" w:color="auto"/>
                                  </w:divBdr>
                                  <w:divsChild>
                                    <w:div w:id="237642912">
                                      <w:marLeft w:val="0"/>
                                      <w:marRight w:val="0"/>
                                      <w:marTop w:val="0"/>
                                      <w:marBottom w:val="0"/>
                                      <w:divBdr>
                                        <w:top w:val="none" w:sz="0" w:space="0" w:color="auto"/>
                                        <w:left w:val="none" w:sz="0" w:space="0" w:color="auto"/>
                                        <w:bottom w:val="none" w:sz="0" w:space="0" w:color="auto"/>
                                        <w:right w:val="none" w:sz="0" w:space="0" w:color="auto"/>
                                      </w:divBdr>
                                      <w:divsChild>
                                        <w:div w:id="6064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757842">
      <w:bodyDiv w:val="1"/>
      <w:marLeft w:val="0"/>
      <w:marRight w:val="0"/>
      <w:marTop w:val="0"/>
      <w:marBottom w:val="0"/>
      <w:divBdr>
        <w:top w:val="none" w:sz="0" w:space="0" w:color="auto"/>
        <w:left w:val="none" w:sz="0" w:space="0" w:color="auto"/>
        <w:bottom w:val="none" w:sz="0" w:space="0" w:color="auto"/>
        <w:right w:val="none" w:sz="0" w:space="0" w:color="auto"/>
      </w:divBdr>
    </w:div>
    <w:div w:id="1708867858">
      <w:bodyDiv w:val="1"/>
      <w:marLeft w:val="0"/>
      <w:marRight w:val="0"/>
      <w:marTop w:val="0"/>
      <w:marBottom w:val="0"/>
      <w:divBdr>
        <w:top w:val="none" w:sz="0" w:space="0" w:color="auto"/>
        <w:left w:val="none" w:sz="0" w:space="0" w:color="auto"/>
        <w:bottom w:val="none" w:sz="0" w:space="0" w:color="auto"/>
        <w:right w:val="none" w:sz="0" w:space="0" w:color="auto"/>
      </w:divBdr>
      <w:divsChild>
        <w:div w:id="1011759651">
          <w:marLeft w:val="0"/>
          <w:marRight w:val="0"/>
          <w:marTop w:val="0"/>
          <w:marBottom w:val="0"/>
          <w:divBdr>
            <w:top w:val="single" w:sz="2" w:space="0" w:color="AAAAAA"/>
            <w:left w:val="single" w:sz="6" w:space="8" w:color="AAAAAA"/>
            <w:bottom w:val="single" w:sz="2" w:space="0" w:color="AAAAAA"/>
            <w:right w:val="single" w:sz="6" w:space="8" w:color="AAAAAA"/>
          </w:divBdr>
          <w:divsChild>
            <w:div w:id="1782608385">
              <w:marLeft w:val="0"/>
              <w:marRight w:val="0"/>
              <w:marTop w:val="0"/>
              <w:marBottom w:val="0"/>
              <w:divBdr>
                <w:top w:val="none" w:sz="0" w:space="0" w:color="auto"/>
                <w:left w:val="none" w:sz="0" w:space="0" w:color="auto"/>
                <w:bottom w:val="none" w:sz="0" w:space="0" w:color="auto"/>
                <w:right w:val="none" w:sz="0" w:space="0" w:color="auto"/>
              </w:divBdr>
              <w:divsChild>
                <w:div w:id="1889100316">
                  <w:marLeft w:val="0"/>
                  <w:marRight w:val="0"/>
                  <w:marTop w:val="0"/>
                  <w:marBottom w:val="0"/>
                  <w:divBdr>
                    <w:top w:val="none" w:sz="0" w:space="0" w:color="auto"/>
                    <w:left w:val="none" w:sz="0" w:space="0" w:color="auto"/>
                    <w:bottom w:val="none" w:sz="0" w:space="0" w:color="auto"/>
                    <w:right w:val="none" w:sz="0" w:space="0" w:color="auto"/>
                  </w:divBdr>
                  <w:divsChild>
                    <w:div w:id="913273763">
                      <w:marLeft w:val="0"/>
                      <w:marRight w:val="2550"/>
                      <w:marTop w:val="0"/>
                      <w:marBottom w:val="48"/>
                      <w:divBdr>
                        <w:top w:val="none" w:sz="0" w:space="0" w:color="auto"/>
                        <w:left w:val="none" w:sz="0" w:space="0" w:color="auto"/>
                        <w:bottom w:val="none" w:sz="0" w:space="0" w:color="auto"/>
                        <w:right w:val="none" w:sz="0" w:space="0" w:color="auto"/>
                      </w:divBdr>
                      <w:divsChild>
                        <w:div w:id="2053728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09180775">
      <w:bodyDiv w:val="1"/>
      <w:marLeft w:val="0"/>
      <w:marRight w:val="0"/>
      <w:marTop w:val="0"/>
      <w:marBottom w:val="0"/>
      <w:divBdr>
        <w:top w:val="none" w:sz="0" w:space="0" w:color="auto"/>
        <w:left w:val="none" w:sz="0" w:space="0" w:color="auto"/>
        <w:bottom w:val="none" w:sz="0" w:space="0" w:color="auto"/>
        <w:right w:val="none" w:sz="0" w:space="0" w:color="auto"/>
      </w:divBdr>
      <w:divsChild>
        <w:div w:id="1924341361">
          <w:marLeft w:val="0"/>
          <w:marRight w:val="0"/>
          <w:marTop w:val="0"/>
          <w:marBottom w:val="0"/>
          <w:divBdr>
            <w:top w:val="none" w:sz="0" w:space="0" w:color="auto"/>
            <w:left w:val="none" w:sz="0" w:space="0" w:color="auto"/>
            <w:bottom w:val="none" w:sz="0" w:space="0" w:color="auto"/>
            <w:right w:val="none" w:sz="0" w:space="0" w:color="auto"/>
          </w:divBdr>
          <w:divsChild>
            <w:div w:id="1107971697">
              <w:marLeft w:val="0"/>
              <w:marRight w:val="0"/>
              <w:marTop w:val="0"/>
              <w:marBottom w:val="0"/>
              <w:divBdr>
                <w:top w:val="none" w:sz="0" w:space="0" w:color="auto"/>
                <w:left w:val="none" w:sz="0" w:space="0" w:color="auto"/>
                <w:bottom w:val="none" w:sz="0" w:space="0" w:color="auto"/>
                <w:right w:val="none" w:sz="0" w:space="0" w:color="auto"/>
              </w:divBdr>
              <w:divsChild>
                <w:div w:id="1839881050">
                  <w:marLeft w:val="0"/>
                  <w:marRight w:val="0"/>
                  <w:marTop w:val="0"/>
                  <w:marBottom w:val="0"/>
                  <w:divBdr>
                    <w:top w:val="none" w:sz="0" w:space="0" w:color="auto"/>
                    <w:left w:val="none" w:sz="0" w:space="0" w:color="auto"/>
                    <w:bottom w:val="none" w:sz="0" w:space="0" w:color="auto"/>
                    <w:right w:val="none" w:sz="0" w:space="0" w:color="auto"/>
                  </w:divBdr>
                  <w:divsChild>
                    <w:div w:id="414085484">
                      <w:marLeft w:val="0"/>
                      <w:marRight w:val="0"/>
                      <w:marTop w:val="0"/>
                      <w:marBottom w:val="0"/>
                      <w:divBdr>
                        <w:top w:val="none" w:sz="0" w:space="0" w:color="auto"/>
                        <w:left w:val="none" w:sz="0" w:space="0" w:color="auto"/>
                        <w:bottom w:val="none" w:sz="0" w:space="0" w:color="auto"/>
                        <w:right w:val="none" w:sz="0" w:space="0" w:color="auto"/>
                      </w:divBdr>
                      <w:divsChild>
                        <w:div w:id="1974827828">
                          <w:marLeft w:val="0"/>
                          <w:marRight w:val="0"/>
                          <w:marTop w:val="0"/>
                          <w:marBottom w:val="0"/>
                          <w:divBdr>
                            <w:top w:val="none" w:sz="0" w:space="0" w:color="auto"/>
                            <w:left w:val="none" w:sz="0" w:space="0" w:color="auto"/>
                            <w:bottom w:val="none" w:sz="0" w:space="0" w:color="auto"/>
                            <w:right w:val="none" w:sz="0" w:space="0" w:color="auto"/>
                          </w:divBdr>
                          <w:divsChild>
                            <w:div w:id="528224480">
                              <w:marLeft w:val="0"/>
                              <w:marRight w:val="0"/>
                              <w:marTop w:val="0"/>
                              <w:marBottom w:val="0"/>
                              <w:divBdr>
                                <w:top w:val="none" w:sz="0" w:space="0" w:color="auto"/>
                                <w:left w:val="none" w:sz="0" w:space="0" w:color="auto"/>
                                <w:bottom w:val="none" w:sz="0" w:space="0" w:color="auto"/>
                                <w:right w:val="none" w:sz="0" w:space="0" w:color="auto"/>
                              </w:divBdr>
                              <w:divsChild>
                                <w:div w:id="854926339">
                                  <w:marLeft w:val="0"/>
                                  <w:marRight w:val="0"/>
                                  <w:marTop w:val="0"/>
                                  <w:marBottom w:val="0"/>
                                  <w:divBdr>
                                    <w:top w:val="none" w:sz="0" w:space="0" w:color="auto"/>
                                    <w:left w:val="none" w:sz="0" w:space="0" w:color="auto"/>
                                    <w:bottom w:val="none" w:sz="0" w:space="0" w:color="auto"/>
                                    <w:right w:val="none" w:sz="0" w:space="0" w:color="auto"/>
                                  </w:divBdr>
                                  <w:divsChild>
                                    <w:div w:id="789663467">
                                      <w:marLeft w:val="0"/>
                                      <w:marRight w:val="0"/>
                                      <w:marTop w:val="0"/>
                                      <w:marBottom w:val="0"/>
                                      <w:divBdr>
                                        <w:top w:val="none" w:sz="0" w:space="0" w:color="auto"/>
                                        <w:left w:val="none" w:sz="0" w:space="0" w:color="auto"/>
                                        <w:bottom w:val="none" w:sz="0" w:space="0" w:color="auto"/>
                                        <w:right w:val="none" w:sz="0" w:space="0" w:color="auto"/>
                                      </w:divBdr>
                                      <w:divsChild>
                                        <w:div w:id="1148550210">
                                          <w:marLeft w:val="0"/>
                                          <w:marRight w:val="0"/>
                                          <w:marTop w:val="0"/>
                                          <w:marBottom w:val="0"/>
                                          <w:divBdr>
                                            <w:top w:val="none" w:sz="0" w:space="0" w:color="auto"/>
                                            <w:left w:val="none" w:sz="0" w:space="0" w:color="auto"/>
                                            <w:bottom w:val="none" w:sz="0" w:space="0" w:color="auto"/>
                                            <w:right w:val="none" w:sz="0" w:space="0" w:color="auto"/>
                                          </w:divBdr>
                                          <w:divsChild>
                                            <w:div w:id="1150975397">
                                              <w:marLeft w:val="0"/>
                                              <w:marRight w:val="0"/>
                                              <w:marTop w:val="0"/>
                                              <w:marBottom w:val="0"/>
                                              <w:divBdr>
                                                <w:top w:val="none" w:sz="0" w:space="0" w:color="auto"/>
                                                <w:left w:val="none" w:sz="0" w:space="0" w:color="auto"/>
                                                <w:bottom w:val="none" w:sz="0" w:space="0" w:color="auto"/>
                                                <w:right w:val="none" w:sz="0" w:space="0" w:color="auto"/>
                                              </w:divBdr>
                                              <w:divsChild>
                                                <w:div w:id="929046238">
                                                  <w:marLeft w:val="0"/>
                                                  <w:marRight w:val="0"/>
                                                  <w:marTop w:val="0"/>
                                                  <w:marBottom w:val="0"/>
                                                  <w:divBdr>
                                                    <w:top w:val="none" w:sz="0" w:space="0" w:color="auto"/>
                                                    <w:left w:val="none" w:sz="0" w:space="0" w:color="auto"/>
                                                    <w:bottom w:val="none" w:sz="0" w:space="0" w:color="auto"/>
                                                    <w:right w:val="none" w:sz="0" w:space="0" w:color="auto"/>
                                                  </w:divBdr>
                                                  <w:divsChild>
                                                    <w:div w:id="1796751049">
                                                      <w:marLeft w:val="0"/>
                                                      <w:marRight w:val="0"/>
                                                      <w:marTop w:val="0"/>
                                                      <w:marBottom w:val="0"/>
                                                      <w:divBdr>
                                                        <w:top w:val="none" w:sz="0" w:space="0" w:color="auto"/>
                                                        <w:left w:val="none" w:sz="0" w:space="0" w:color="auto"/>
                                                        <w:bottom w:val="none" w:sz="0" w:space="0" w:color="auto"/>
                                                        <w:right w:val="none" w:sz="0" w:space="0" w:color="auto"/>
                                                      </w:divBdr>
                                                      <w:divsChild>
                                                        <w:div w:id="1802074028">
                                                          <w:marLeft w:val="0"/>
                                                          <w:marRight w:val="0"/>
                                                          <w:marTop w:val="0"/>
                                                          <w:marBottom w:val="0"/>
                                                          <w:divBdr>
                                                            <w:top w:val="none" w:sz="0" w:space="0" w:color="auto"/>
                                                            <w:left w:val="none" w:sz="0" w:space="0" w:color="auto"/>
                                                            <w:bottom w:val="none" w:sz="0" w:space="0" w:color="auto"/>
                                                            <w:right w:val="none" w:sz="0" w:space="0" w:color="auto"/>
                                                          </w:divBdr>
                                                        </w:div>
                                                        <w:div w:id="1638297117">
                                                          <w:marLeft w:val="0"/>
                                                          <w:marRight w:val="0"/>
                                                          <w:marTop w:val="0"/>
                                                          <w:marBottom w:val="0"/>
                                                          <w:divBdr>
                                                            <w:top w:val="none" w:sz="0" w:space="0" w:color="auto"/>
                                                            <w:left w:val="none" w:sz="0" w:space="0" w:color="auto"/>
                                                            <w:bottom w:val="none" w:sz="0" w:space="0" w:color="auto"/>
                                                            <w:right w:val="none" w:sz="0" w:space="0" w:color="auto"/>
                                                          </w:divBdr>
                                                          <w:divsChild>
                                                            <w:div w:id="4699020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9406760">
      <w:bodyDiv w:val="1"/>
      <w:marLeft w:val="0"/>
      <w:marRight w:val="0"/>
      <w:marTop w:val="0"/>
      <w:marBottom w:val="0"/>
      <w:divBdr>
        <w:top w:val="none" w:sz="0" w:space="0" w:color="auto"/>
        <w:left w:val="none" w:sz="0" w:space="0" w:color="auto"/>
        <w:bottom w:val="none" w:sz="0" w:space="0" w:color="auto"/>
        <w:right w:val="none" w:sz="0" w:space="0" w:color="auto"/>
      </w:divBdr>
      <w:divsChild>
        <w:div w:id="1355299883">
          <w:marLeft w:val="0"/>
          <w:marRight w:val="0"/>
          <w:marTop w:val="0"/>
          <w:marBottom w:val="0"/>
          <w:divBdr>
            <w:top w:val="none" w:sz="0" w:space="0" w:color="auto"/>
            <w:left w:val="none" w:sz="0" w:space="0" w:color="auto"/>
            <w:bottom w:val="none" w:sz="0" w:space="0" w:color="auto"/>
            <w:right w:val="none" w:sz="0" w:space="0" w:color="auto"/>
          </w:divBdr>
          <w:divsChild>
            <w:div w:id="1031415319">
              <w:marLeft w:val="0"/>
              <w:marRight w:val="0"/>
              <w:marTop w:val="0"/>
              <w:marBottom w:val="0"/>
              <w:divBdr>
                <w:top w:val="none" w:sz="0" w:space="0" w:color="auto"/>
                <w:left w:val="none" w:sz="0" w:space="0" w:color="auto"/>
                <w:bottom w:val="none" w:sz="0" w:space="0" w:color="auto"/>
                <w:right w:val="none" w:sz="0" w:space="0" w:color="auto"/>
              </w:divBdr>
              <w:divsChild>
                <w:div w:id="145126890">
                  <w:marLeft w:val="0"/>
                  <w:marRight w:val="0"/>
                  <w:marTop w:val="100"/>
                  <w:marBottom w:val="100"/>
                  <w:divBdr>
                    <w:top w:val="none" w:sz="0" w:space="0" w:color="auto"/>
                    <w:left w:val="none" w:sz="0" w:space="0" w:color="auto"/>
                    <w:bottom w:val="none" w:sz="0" w:space="0" w:color="auto"/>
                    <w:right w:val="none" w:sz="0" w:space="0" w:color="auto"/>
                  </w:divBdr>
                  <w:divsChild>
                    <w:div w:id="400251190">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590651985">
                              <w:marLeft w:val="0"/>
                              <w:marRight w:val="0"/>
                              <w:marTop w:val="0"/>
                              <w:marBottom w:val="0"/>
                              <w:divBdr>
                                <w:top w:val="none" w:sz="0" w:space="0" w:color="auto"/>
                                <w:left w:val="none" w:sz="0" w:space="0" w:color="auto"/>
                                <w:bottom w:val="none" w:sz="0" w:space="0" w:color="auto"/>
                                <w:right w:val="none" w:sz="0" w:space="0" w:color="auto"/>
                              </w:divBdr>
                              <w:divsChild>
                                <w:div w:id="1946883987">
                                  <w:marLeft w:val="0"/>
                                  <w:marRight w:val="0"/>
                                  <w:marTop w:val="0"/>
                                  <w:marBottom w:val="0"/>
                                  <w:divBdr>
                                    <w:top w:val="none" w:sz="0" w:space="0" w:color="auto"/>
                                    <w:left w:val="none" w:sz="0" w:space="0" w:color="auto"/>
                                    <w:bottom w:val="none" w:sz="0" w:space="0" w:color="auto"/>
                                    <w:right w:val="none" w:sz="0" w:space="0" w:color="auto"/>
                                  </w:divBdr>
                                  <w:divsChild>
                                    <w:div w:id="401833058">
                                      <w:marLeft w:val="0"/>
                                      <w:marRight w:val="0"/>
                                      <w:marTop w:val="0"/>
                                      <w:marBottom w:val="0"/>
                                      <w:divBdr>
                                        <w:top w:val="none" w:sz="0" w:space="0" w:color="auto"/>
                                        <w:left w:val="none" w:sz="0" w:space="0" w:color="auto"/>
                                        <w:bottom w:val="none" w:sz="0" w:space="0" w:color="auto"/>
                                        <w:right w:val="none" w:sz="0" w:space="0" w:color="auto"/>
                                      </w:divBdr>
                                      <w:divsChild>
                                        <w:div w:id="1480729283">
                                          <w:marLeft w:val="0"/>
                                          <w:marRight w:val="0"/>
                                          <w:marTop w:val="0"/>
                                          <w:marBottom w:val="0"/>
                                          <w:divBdr>
                                            <w:top w:val="none" w:sz="0" w:space="0" w:color="auto"/>
                                            <w:left w:val="none" w:sz="0" w:space="0" w:color="auto"/>
                                            <w:bottom w:val="none" w:sz="0" w:space="0" w:color="auto"/>
                                            <w:right w:val="none" w:sz="0" w:space="0" w:color="auto"/>
                                          </w:divBdr>
                                          <w:divsChild>
                                            <w:div w:id="1855456509">
                                              <w:marLeft w:val="0"/>
                                              <w:marRight w:val="0"/>
                                              <w:marTop w:val="0"/>
                                              <w:marBottom w:val="0"/>
                                              <w:divBdr>
                                                <w:top w:val="single" w:sz="4" w:space="0" w:color="B6D444"/>
                                                <w:left w:val="none" w:sz="0" w:space="0" w:color="auto"/>
                                                <w:bottom w:val="none" w:sz="0" w:space="0" w:color="auto"/>
                                                <w:right w:val="none" w:sz="0" w:space="0" w:color="auto"/>
                                              </w:divBdr>
                                              <w:divsChild>
                                                <w:div w:id="18965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454349">
      <w:bodyDiv w:val="1"/>
      <w:marLeft w:val="0"/>
      <w:marRight w:val="0"/>
      <w:marTop w:val="0"/>
      <w:marBottom w:val="0"/>
      <w:divBdr>
        <w:top w:val="none" w:sz="0" w:space="0" w:color="auto"/>
        <w:left w:val="none" w:sz="0" w:space="0" w:color="auto"/>
        <w:bottom w:val="none" w:sz="0" w:space="0" w:color="auto"/>
        <w:right w:val="none" w:sz="0" w:space="0" w:color="auto"/>
      </w:divBdr>
    </w:div>
    <w:div w:id="1710573145">
      <w:bodyDiv w:val="1"/>
      <w:marLeft w:val="0"/>
      <w:marRight w:val="0"/>
      <w:marTop w:val="0"/>
      <w:marBottom w:val="0"/>
      <w:divBdr>
        <w:top w:val="none" w:sz="0" w:space="0" w:color="auto"/>
        <w:left w:val="none" w:sz="0" w:space="0" w:color="auto"/>
        <w:bottom w:val="none" w:sz="0" w:space="0" w:color="auto"/>
        <w:right w:val="none" w:sz="0" w:space="0" w:color="auto"/>
      </w:divBdr>
      <w:divsChild>
        <w:div w:id="1532375723">
          <w:marLeft w:val="0"/>
          <w:marRight w:val="0"/>
          <w:marTop w:val="0"/>
          <w:marBottom w:val="0"/>
          <w:divBdr>
            <w:top w:val="none" w:sz="0" w:space="0" w:color="auto"/>
            <w:left w:val="none" w:sz="0" w:space="0" w:color="auto"/>
            <w:bottom w:val="none" w:sz="0" w:space="0" w:color="auto"/>
            <w:right w:val="none" w:sz="0" w:space="0" w:color="auto"/>
          </w:divBdr>
          <w:divsChild>
            <w:div w:id="1240628929">
              <w:marLeft w:val="0"/>
              <w:marRight w:val="0"/>
              <w:marTop w:val="0"/>
              <w:marBottom w:val="0"/>
              <w:divBdr>
                <w:top w:val="none" w:sz="0" w:space="0" w:color="auto"/>
                <w:left w:val="none" w:sz="0" w:space="0" w:color="auto"/>
                <w:bottom w:val="none" w:sz="0" w:space="0" w:color="auto"/>
                <w:right w:val="none" w:sz="0" w:space="0" w:color="auto"/>
              </w:divBdr>
              <w:divsChild>
                <w:div w:id="534661007">
                  <w:marLeft w:val="0"/>
                  <w:marRight w:val="0"/>
                  <w:marTop w:val="0"/>
                  <w:marBottom w:val="0"/>
                  <w:divBdr>
                    <w:top w:val="none" w:sz="0" w:space="0" w:color="auto"/>
                    <w:left w:val="none" w:sz="0" w:space="0" w:color="auto"/>
                    <w:bottom w:val="none" w:sz="0" w:space="0" w:color="auto"/>
                    <w:right w:val="none" w:sz="0" w:space="0" w:color="auto"/>
                  </w:divBdr>
                  <w:divsChild>
                    <w:div w:id="2141414344">
                      <w:marLeft w:val="0"/>
                      <w:marRight w:val="0"/>
                      <w:marTop w:val="0"/>
                      <w:marBottom w:val="0"/>
                      <w:divBdr>
                        <w:top w:val="none" w:sz="0" w:space="0" w:color="auto"/>
                        <w:left w:val="none" w:sz="0" w:space="0" w:color="auto"/>
                        <w:bottom w:val="none" w:sz="0" w:space="0" w:color="auto"/>
                        <w:right w:val="none" w:sz="0" w:space="0" w:color="auto"/>
                      </w:divBdr>
                      <w:divsChild>
                        <w:div w:id="53361649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11151571">
      <w:bodyDiv w:val="1"/>
      <w:marLeft w:val="0"/>
      <w:marRight w:val="0"/>
      <w:marTop w:val="0"/>
      <w:marBottom w:val="0"/>
      <w:divBdr>
        <w:top w:val="none" w:sz="0" w:space="0" w:color="auto"/>
        <w:left w:val="none" w:sz="0" w:space="0" w:color="auto"/>
        <w:bottom w:val="none" w:sz="0" w:space="0" w:color="auto"/>
        <w:right w:val="none" w:sz="0" w:space="0" w:color="auto"/>
      </w:divBdr>
      <w:divsChild>
        <w:div w:id="1221789756">
          <w:marLeft w:val="0"/>
          <w:marRight w:val="0"/>
          <w:marTop w:val="0"/>
          <w:marBottom w:val="0"/>
          <w:divBdr>
            <w:top w:val="none" w:sz="0" w:space="0" w:color="auto"/>
            <w:left w:val="none" w:sz="0" w:space="0" w:color="auto"/>
            <w:bottom w:val="none" w:sz="0" w:space="0" w:color="auto"/>
            <w:right w:val="none" w:sz="0" w:space="0" w:color="auto"/>
          </w:divBdr>
          <w:divsChild>
            <w:div w:id="1040937573">
              <w:marLeft w:val="210"/>
              <w:marRight w:val="0"/>
              <w:marTop w:val="0"/>
              <w:marBottom w:val="0"/>
              <w:divBdr>
                <w:top w:val="none" w:sz="0" w:space="0" w:color="auto"/>
                <w:left w:val="none" w:sz="0" w:space="0" w:color="auto"/>
                <w:bottom w:val="none" w:sz="0" w:space="0" w:color="auto"/>
                <w:right w:val="none" w:sz="0" w:space="0" w:color="auto"/>
              </w:divBdr>
              <w:divsChild>
                <w:div w:id="8765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7616">
      <w:bodyDiv w:val="1"/>
      <w:marLeft w:val="0"/>
      <w:marRight w:val="0"/>
      <w:marTop w:val="0"/>
      <w:marBottom w:val="0"/>
      <w:divBdr>
        <w:top w:val="none" w:sz="0" w:space="0" w:color="auto"/>
        <w:left w:val="none" w:sz="0" w:space="0" w:color="auto"/>
        <w:bottom w:val="none" w:sz="0" w:space="0" w:color="auto"/>
        <w:right w:val="none" w:sz="0" w:space="0" w:color="auto"/>
      </w:divBdr>
      <w:divsChild>
        <w:div w:id="1170564806">
          <w:marLeft w:val="0"/>
          <w:marRight w:val="0"/>
          <w:marTop w:val="0"/>
          <w:marBottom w:val="0"/>
          <w:divBdr>
            <w:top w:val="none" w:sz="0" w:space="0" w:color="auto"/>
            <w:left w:val="none" w:sz="0" w:space="0" w:color="auto"/>
            <w:bottom w:val="none" w:sz="0" w:space="0" w:color="auto"/>
            <w:right w:val="none" w:sz="0" w:space="0" w:color="auto"/>
          </w:divBdr>
          <w:divsChild>
            <w:div w:id="1799375649">
              <w:marLeft w:val="0"/>
              <w:marRight w:val="0"/>
              <w:marTop w:val="0"/>
              <w:marBottom w:val="0"/>
              <w:divBdr>
                <w:top w:val="none" w:sz="0" w:space="0" w:color="auto"/>
                <w:left w:val="none" w:sz="0" w:space="0" w:color="auto"/>
                <w:bottom w:val="none" w:sz="0" w:space="0" w:color="auto"/>
                <w:right w:val="none" w:sz="0" w:space="0" w:color="auto"/>
              </w:divBdr>
              <w:divsChild>
                <w:div w:id="1099830960">
                  <w:marLeft w:val="0"/>
                  <w:marRight w:val="0"/>
                  <w:marTop w:val="0"/>
                  <w:marBottom w:val="0"/>
                  <w:divBdr>
                    <w:top w:val="none" w:sz="0" w:space="0" w:color="auto"/>
                    <w:left w:val="none" w:sz="0" w:space="0" w:color="auto"/>
                    <w:bottom w:val="none" w:sz="0" w:space="0" w:color="auto"/>
                    <w:right w:val="none" w:sz="0" w:space="0" w:color="auto"/>
                  </w:divBdr>
                  <w:divsChild>
                    <w:div w:id="10609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99200">
      <w:bodyDiv w:val="1"/>
      <w:marLeft w:val="0"/>
      <w:marRight w:val="0"/>
      <w:marTop w:val="0"/>
      <w:marBottom w:val="0"/>
      <w:divBdr>
        <w:top w:val="none" w:sz="0" w:space="0" w:color="auto"/>
        <w:left w:val="none" w:sz="0" w:space="0" w:color="auto"/>
        <w:bottom w:val="none" w:sz="0" w:space="0" w:color="auto"/>
        <w:right w:val="none" w:sz="0" w:space="0" w:color="auto"/>
      </w:divBdr>
      <w:divsChild>
        <w:div w:id="268974250">
          <w:marLeft w:val="0"/>
          <w:marRight w:val="0"/>
          <w:marTop w:val="0"/>
          <w:marBottom w:val="0"/>
          <w:divBdr>
            <w:top w:val="none" w:sz="0" w:space="0" w:color="auto"/>
            <w:left w:val="none" w:sz="0" w:space="0" w:color="auto"/>
            <w:bottom w:val="none" w:sz="0" w:space="0" w:color="auto"/>
            <w:right w:val="none" w:sz="0" w:space="0" w:color="auto"/>
          </w:divBdr>
          <w:divsChild>
            <w:div w:id="474638527">
              <w:marLeft w:val="0"/>
              <w:marRight w:val="0"/>
              <w:marTop w:val="0"/>
              <w:marBottom w:val="0"/>
              <w:divBdr>
                <w:top w:val="none" w:sz="0" w:space="0" w:color="auto"/>
                <w:left w:val="none" w:sz="0" w:space="0" w:color="auto"/>
                <w:bottom w:val="none" w:sz="0" w:space="0" w:color="auto"/>
                <w:right w:val="none" w:sz="0" w:space="0" w:color="auto"/>
              </w:divBdr>
              <w:divsChild>
                <w:div w:id="1685745022">
                  <w:marLeft w:val="0"/>
                  <w:marRight w:val="0"/>
                  <w:marTop w:val="0"/>
                  <w:marBottom w:val="0"/>
                  <w:divBdr>
                    <w:top w:val="none" w:sz="0" w:space="0" w:color="auto"/>
                    <w:left w:val="none" w:sz="0" w:space="0" w:color="auto"/>
                    <w:bottom w:val="none" w:sz="0" w:space="0" w:color="auto"/>
                    <w:right w:val="none" w:sz="0" w:space="0" w:color="auto"/>
                  </w:divBdr>
                  <w:divsChild>
                    <w:div w:id="1844860847">
                      <w:marLeft w:val="0"/>
                      <w:marRight w:val="0"/>
                      <w:marTop w:val="0"/>
                      <w:marBottom w:val="0"/>
                      <w:divBdr>
                        <w:top w:val="none" w:sz="0" w:space="0" w:color="auto"/>
                        <w:left w:val="none" w:sz="0" w:space="0" w:color="auto"/>
                        <w:bottom w:val="none" w:sz="0" w:space="0" w:color="auto"/>
                        <w:right w:val="none" w:sz="0" w:space="0" w:color="auto"/>
                      </w:divBdr>
                      <w:divsChild>
                        <w:div w:id="283007582">
                          <w:marLeft w:val="-375"/>
                          <w:marRight w:val="0"/>
                          <w:marTop w:val="0"/>
                          <w:marBottom w:val="0"/>
                          <w:divBdr>
                            <w:top w:val="none" w:sz="0" w:space="0" w:color="auto"/>
                            <w:left w:val="none" w:sz="0" w:space="0" w:color="auto"/>
                            <w:bottom w:val="none" w:sz="0" w:space="0" w:color="auto"/>
                            <w:right w:val="none" w:sz="0" w:space="0" w:color="auto"/>
                          </w:divBdr>
                          <w:divsChild>
                            <w:div w:id="295598963">
                              <w:marLeft w:val="0"/>
                              <w:marRight w:val="0"/>
                              <w:marTop w:val="0"/>
                              <w:marBottom w:val="0"/>
                              <w:divBdr>
                                <w:top w:val="none" w:sz="0" w:space="0" w:color="auto"/>
                                <w:left w:val="none" w:sz="0" w:space="0" w:color="auto"/>
                                <w:bottom w:val="none" w:sz="0" w:space="0" w:color="auto"/>
                                <w:right w:val="none" w:sz="0" w:space="0" w:color="auto"/>
                              </w:divBdr>
                              <w:divsChild>
                                <w:div w:id="1322006309">
                                  <w:marLeft w:val="0"/>
                                  <w:marRight w:val="0"/>
                                  <w:marTop w:val="0"/>
                                  <w:marBottom w:val="0"/>
                                  <w:divBdr>
                                    <w:top w:val="none" w:sz="0" w:space="0" w:color="auto"/>
                                    <w:left w:val="none" w:sz="0" w:space="0" w:color="auto"/>
                                    <w:bottom w:val="none" w:sz="0" w:space="0" w:color="auto"/>
                                    <w:right w:val="none" w:sz="0" w:space="0" w:color="auto"/>
                                  </w:divBdr>
                                  <w:divsChild>
                                    <w:div w:id="390463800">
                                      <w:marLeft w:val="0"/>
                                      <w:marRight w:val="0"/>
                                      <w:marTop w:val="0"/>
                                      <w:marBottom w:val="0"/>
                                      <w:divBdr>
                                        <w:top w:val="none" w:sz="0" w:space="0" w:color="auto"/>
                                        <w:left w:val="none" w:sz="0" w:space="0" w:color="auto"/>
                                        <w:bottom w:val="none" w:sz="0" w:space="0" w:color="auto"/>
                                        <w:right w:val="none" w:sz="0" w:space="0" w:color="auto"/>
                                      </w:divBdr>
                                      <w:divsChild>
                                        <w:div w:id="1650329167">
                                          <w:marLeft w:val="-375"/>
                                          <w:marRight w:val="0"/>
                                          <w:marTop w:val="0"/>
                                          <w:marBottom w:val="0"/>
                                          <w:divBdr>
                                            <w:top w:val="none" w:sz="0" w:space="0" w:color="auto"/>
                                            <w:left w:val="none" w:sz="0" w:space="0" w:color="auto"/>
                                            <w:bottom w:val="none" w:sz="0" w:space="0" w:color="auto"/>
                                            <w:right w:val="none" w:sz="0" w:space="0" w:color="auto"/>
                                          </w:divBdr>
                                          <w:divsChild>
                                            <w:div w:id="1940794971">
                                              <w:marLeft w:val="0"/>
                                              <w:marRight w:val="0"/>
                                              <w:marTop w:val="0"/>
                                              <w:marBottom w:val="0"/>
                                              <w:divBdr>
                                                <w:top w:val="none" w:sz="0" w:space="0" w:color="auto"/>
                                                <w:left w:val="none" w:sz="0" w:space="0" w:color="auto"/>
                                                <w:bottom w:val="none" w:sz="0" w:space="0" w:color="auto"/>
                                                <w:right w:val="none" w:sz="0" w:space="0" w:color="auto"/>
                                              </w:divBdr>
                                            </w:div>
                                            <w:div w:id="19660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7848">
                                      <w:marLeft w:val="-375"/>
                                      <w:marRight w:val="0"/>
                                      <w:marTop w:val="0"/>
                                      <w:marBottom w:val="0"/>
                                      <w:divBdr>
                                        <w:top w:val="none" w:sz="0" w:space="0" w:color="auto"/>
                                        <w:left w:val="none" w:sz="0" w:space="0" w:color="auto"/>
                                        <w:bottom w:val="none" w:sz="0" w:space="0" w:color="auto"/>
                                        <w:right w:val="none" w:sz="0" w:space="0" w:color="auto"/>
                                      </w:divBdr>
                                      <w:divsChild>
                                        <w:div w:id="1327855253">
                                          <w:marLeft w:val="0"/>
                                          <w:marRight w:val="0"/>
                                          <w:marTop w:val="0"/>
                                          <w:marBottom w:val="0"/>
                                          <w:divBdr>
                                            <w:top w:val="none" w:sz="0" w:space="0" w:color="auto"/>
                                            <w:left w:val="none" w:sz="0" w:space="0" w:color="auto"/>
                                            <w:bottom w:val="none" w:sz="0" w:space="0" w:color="auto"/>
                                            <w:right w:val="none" w:sz="0" w:space="0" w:color="auto"/>
                                          </w:divBdr>
                                        </w:div>
                                        <w:div w:id="18612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460292">
      <w:bodyDiv w:val="1"/>
      <w:marLeft w:val="0"/>
      <w:marRight w:val="0"/>
      <w:marTop w:val="0"/>
      <w:marBottom w:val="0"/>
      <w:divBdr>
        <w:top w:val="none" w:sz="0" w:space="0" w:color="auto"/>
        <w:left w:val="none" w:sz="0" w:space="0" w:color="auto"/>
        <w:bottom w:val="none" w:sz="0" w:space="0" w:color="auto"/>
        <w:right w:val="none" w:sz="0" w:space="0" w:color="auto"/>
      </w:divBdr>
    </w:div>
    <w:div w:id="1713918800">
      <w:bodyDiv w:val="1"/>
      <w:marLeft w:val="0"/>
      <w:marRight w:val="0"/>
      <w:marTop w:val="0"/>
      <w:marBottom w:val="0"/>
      <w:divBdr>
        <w:top w:val="none" w:sz="0" w:space="0" w:color="auto"/>
        <w:left w:val="none" w:sz="0" w:space="0" w:color="auto"/>
        <w:bottom w:val="none" w:sz="0" w:space="0" w:color="auto"/>
        <w:right w:val="none" w:sz="0" w:space="0" w:color="auto"/>
      </w:divBdr>
    </w:div>
    <w:div w:id="1717005276">
      <w:bodyDiv w:val="1"/>
      <w:marLeft w:val="0"/>
      <w:marRight w:val="0"/>
      <w:marTop w:val="0"/>
      <w:marBottom w:val="0"/>
      <w:divBdr>
        <w:top w:val="none" w:sz="0" w:space="0" w:color="auto"/>
        <w:left w:val="none" w:sz="0" w:space="0" w:color="auto"/>
        <w:bottom w:val="none" w:sz="0" w:space="0" w:color="auto"/>
        <w:right w:val="none" w:sz="0" w:space="0" w:color="auto"/>
      </w:divBdr>
      <w:divsChild>
        <w:div w:id="1205367338">
          <w:marLeft w:val="0"/>
          <w:marRight w:val="0"/>
          <w:marTop w:val="0"/>
          <w:marBottom w:val="0"/>
          <w:divBdr>
            <w:top w:val="none" w:sz="0" w:space="0" w:color="auto"/>
            <w:left w:val="none" w:sz="0" w:space="0" w:color="auto"/>
            <w:bottom w:val="none" w:sz="0" w:space="0" w:color="auto"/>
            <w:right w:val="none" w:sz="0" w:space="0" w:color="auto"/>
          </w:divBdr>
        </w:div>
      </w:divsChild>
    </w:div>
    <w:div w:id="1718356222">
      <w:bodyDiv w:val="1"/>
      <w:marLeft w:val="0"/>
      <w:marRight w:val="0"/>
      <w:marTop w:val="0"/>
      <w:marBottom w:val="0"/>
      <w:divBdr>
        <w:top w:val="none" w:sz="0" w:space="0" w:color="auto"/>
        <w:left w:val="none" w:sz="0" w:space="0" w:color="auto"/>
        <w:bottom w:val="none" w:sz="0" w:space="0" w:color="auto"/>
        <w:right w:val="none" w:sz="0" w:space="0" w:color="auto"/>
      </w:divBdr>
    </w:div>
    <w:div w:id="1719084237">
      <w:bodyDiv w:val="1"/>
      <w:marLeft w:val="0"/>
      <w:marRight w:val="0"/>
      <w:marTop w:val="0"/>
      <w:marBottom w:val="0"/>
      <w:divBdr>
        <w:top w:val="none" w:sz="0" w:space="0" w:color="auto"/>
        <w:left w:val="none" w:sz="0" w:space="0" w:color="auto"/>
        <w:bottom w:val="none" w:sz="0" w:space="0" w:color="auto"/>
        <w:right w:val="none" w:sz="0" w:space="0" w:color="auto"/>
      </w:divBdr>
    </w:div>
    <w:div w:id="1720350902">
      <w:bodyDiv w:val="1"/>
      <w:marLeft w:val="0"/>
      <w:marRight w:val="0"/>
      <w:marTop w:val="0"/>
      <w:marBottom w:val="0"/>
      <w:divBdr>
        <w:top w:val="none" w:sz="0" w:space="0" w:color="auto"/>
        <w:left w:val="none" w:sz="0" w:space="0" w:color="auto"/>
        <w:bottom w:val="none" w:sz="0" w:space="0" w:color="auto"/>
        <w:right w:val="none" w:sz="0" w:space="0" w:color="auto"/>
      </w:divBdr>
    </w:div>
    <w:div w:id="1721053503">
      <w:bodyDiv w:val="1"/>
      <w:marLeft w:val="0"/>
      <w:marRight w:val="0"/>
      <w:marTop w:val="0"/>
      <w:marBottom w:val="0"/>
      <w:divBdr>
        <w:top w:val="none" w:sz="0" w:space="0" w:color="auto"/>
        <w:left w:val="none" w:sz="0" w:space="0" w:color="auto"/>
        <w:bottom w:val="none" w:sz="0" w:space="0" w:color="auto"/>
        <w:right w:val="none" w:sz="0" w:space="0" w:color="auto"/>
      </w:divBdr>
      <w:divsChild>
        <w:div w:id="1144158392">
          <w:marLeft w:val="0"/>
          <w:marRight w:val="0"/>
          <w:marTop w:val="0"/>
          <w:marBottom w:val="0"/>
          <w:divBdr>
            <w:top w:val="single" w:sz="6" w:space="0" w:color="0E477A"/>
            <w:left w:val="single" w:sz="6" w:space="0" w:color="0E477A"/>
            <w:bottom w:val="single" w:sz="6" w:space="0" w:color="0E477A"/>
            <w:right w:val="single" w:sz="6" w:space="0" w:color="0E477A"/>
          </w:divBdr>
          <w:divsChild>
            <w:div w:id="345448322">
              <w:marLeft w:val="2925"/>
              <w:marRight w:val="0"/>
              <w:marTop w:val="0"/>
              <w:marBottom w:val="0"/>
              <w:divBdr>
                <w:top w:val="none" w:sz="0" w:space="0" w:color="auto"/>
                <w:left w:val="none" w:sz="0" w:space="0" w:color="auto"/>
                <w:bottom w:val="none" w:sz="0" w:space="0" w:color="auto"/>
                <w:right w:val="none" w:sz="0" w:space="0" w:color="auto"/>
              </w:divBdr>
              <w:divsChild>
                <w:div w:id="1363628735">
                  <w:marLeft w:val="0"/>
                  <w:marRight w:val="0"/>
                  <w:marTop w:val="0"/>
                  <w:marBottom w:val="0"/>
                  <w:divBdr>
                    <w:top w:val="none" w:sz="0" w:space="0" w:color="auto"/>
                    <w:left w:val="none" w:sz="0" w:space="0" w:color="auto"/>
                    <w:bottom w:val="none" w:sz="0" w:space="0" w:color="auto"/>
                    <w:right w:val="none" w:sz="0" w:space="0" w:color="auto"/>
                  </w:divBdr>
                  <w:divsChild>
                    <w:div w:id="853884464">
                      <w:marLeft w:val="0"/>
                      <w:marRight w:val="150"/>
                      <w:marTop w:val="0"/>
                      <w:marBottom w:val="0"/>
                      <w:divBdr>
                        <w:top w:val="single" w:sz="6" w:space="0" w:color="CCCCCC"/>
                        <w:left w:val="single" w:sz="6" w:space="8" w:color="CCCCCC"/>
                        <w:bottom w:val="single" w:sz="6" w:space="8" w:color="CCCCCC"/>
                        <w:right w:val="single" w:sz="6" w:space="8" w:color="CCCCCC"/>
                      </w:divBdr>
                      <w:divsChild>
                        <w:div w:id="7998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93319">
      <w:bodyDiv w:val="1"/>
      <w:marLeft w:val="0"/>
      <w:marRight w:val="0"/>
      <w:marTop w:val="0"/>
      <w:marBottom w:val="0"/>
      <w:divBdr>
        <w:top w:val="none" w:sz="0" w:space="0" w:color="auto"/>
        <w:left w:val="none" w:sz="0" w:space="0" w:color="auto"/>
        <w:bottom w:val="none" w:sz="0" w:space="0" w:color="auto"/>
        <w:right w:val="none" w:sz="0" w:space="0" w:color="auto"/>
      </w:divBdr>
      <w:divsChild>
        <w:div w:id="849442036">
          <w:marLeft w:val="0"/>
          <w:marRight w:val="0"/>
          <w:marTop w:val="0"/>
          <w:marBottom w:val="0"/>
          <w:divBdr>
            <w:top w:val="none" w:sz="0" w:space="0" w:color="auto"/>
            <w:left w:val="none" w:sz="0" w:space="0" w:color="auto"/>
            <w:bottom w:val="none" w:sz="0" w:space="0" w:color="auto"/>
            <w:right w:val="none" w:sz="0" w:space="0" w:color="auto"/>
          </w:divBdr>
        </w:div>
      </w:divsChild>
    </w:div>
    <w:div w:id="1721898599">
      <w:bodyDiv w:val="1"/>
      <w:marLeft w:val="0"/>
      <w:marRight w:val="0"/>
      <w:marTop w:val="0"/>
      <w:marBottom w:val="0"/>
      <w:divBdr>
        <w:top w:val="none" w:sz="0" w:space="0" w:color="auto"/>
        <w:left w:val="none" w:sz="0" w:space="0" w:color="auto"/>
        <w:bottom w:val="none" w:sz="0" w:space="0" w:color="auto"/>
        <w:right w:val="none" w:sz="0" w:space="0" w:color="auto"/>
      </w:divBdr>
      <w:divsChild>
        <w:div w:id="150486647">
          <w:marLeft w:val="0"/>
          <w:marRight w:val="0"/>
          <w:marTop w:val="0"/>
          <w:marBottom w:val="0"/>
          <w:divBdr>
            <w:top w:val="none" w:sz="0" w:space="0" w:color="auto"/>
            <w:left w:val="none" w:sz="0" w:space="0" w:color="auto"/>
            <w:bottom w:val="none" w:sz="0" w:space="0" w:color="auto"/>
            <w:right w:val="none" w:sz="0" w:space="0" w:color="auto"/>
          </w:divBdr>
          <w:divsChild>
            <w:div w:id="1566605248">
              <w:marLeft w:val="0"/>
              <w:marRight w:val="0"/>
              <w:marTop w:val="0"/>
              <w:marBottom w:val="0"/>
              <w:divBdr>
                <w:top w:val="none" w:sz="0" w:space="0" w:color="auto"/>
                <w:left w:val="none" w:sz="0" w:space="0" w:color="auto"/>
                <w:bottom w:val="none" w:sz="0" w:space="0" w:color="auto"/>
                <w:right w:val="none" w:sz="0" w:space="0" w:color="auto"/>
              </w:divBdr>
              <w:divsChild>
                <w:div w:id="715275841">
                  <w:marLeft w:val="0"/>
                  <w:marRight w:val="0"/>
                  <w:marTop w:val="0"/>
                  <w:marBottom w:val="0"/>
                  <w:divBdr>
                    <w:top w:val="none" w:sz="0" w:space="0" w:color="auto"/>
                    <w:left w:val="none" w:sz="0" w:space="0" w:color="auto"/>
                    <w:bottom w:val="none" w:sz="0" w:space="0" w:color="auto"/>
                    <w:right w:val="none" w:sz="0" w:space="0" w:color="auto"/>
                  </w:divBdr>
                  <w:divsChild>
                    <w:div w:id="1412238945">
                      <w:marLeft w:val="0"/>
                      <w:marRight w:val="0"/>
                      <w:marTop w:val="0"/>
                      <w:marBottom w:val="0"/>
                      <w:divBdr>
                        <w:top w:val="none" w:sz="0" w:space="0" w:color="auto"/>
                        <w:left w:val="none" w:sz="0" w:space="0" w:color="auto"/>
                        <w:bottom w:val="none" w:sz="0" w:space="0" w:color="auto"/>
                        <w:right w:val="none" w:sz="0" w:space="0" w:color="auto"/>
                      </w:divBdr>
                      <w:divsChild>
                        <w:div w:id="448008846">
                          <w:marLeft w:val="0"/>
                          <w:marRight w:val="0"/>
                          <w:marTop w:val="0"/>
                          <w:marBottom w:val="0"/>
                          <w:divBdr>
                            <w:top w:val="none" w:sz="0" w:space="0" w:color="auto"/>
                            <w:left w:val="none" w:sz="0" w:space="0" w:color="auto"/>
                            <w:bottom w:val="none" w:sz="0" w:space="0" w:color="auto"/>
                            <w:right w:val="none" w:sz="0" w:space="0" w:color="auto"/>
                          </w:divBdr>
                          <w:divsChild>
                            <w:div w:id="1537501392">
                              <w:marLeft w:val="0"/>
                              <w:marRight w:val="0"/>
                              <w:marTop w:val="0"/>
                              <w:marBottom w:val="0"/>
                              <w:divBdr>
                                <w:top w:val="none" w:sz="0" w:space="0" w:color="auto"/>
                                <w:left w:val="none" w:sz="0" w:space="0" w:color="auto"/>
                                <w:bottom w:val="none" w:sz="0" w:space="0" w:color="auto"/>
                                <w:right w:val="none" w:sz="0" w:space="0" w:color="auto"/>
                              </w:divBdr>
                              <w:divsChild>
                                <w:div w:id="2102287736">
                                  <w:marLeft w:val="0"/>
                                  <w:marRight w:val="0"/>
                                  <w:marTop w:val="0"/>
                                  <w:marBottom w:val="0"/>
                                  <w:divBdr>
                                    <w:top w:val="none" w:sz="0" w:space="0" w:color="auto"/>
                                    <w:left w:val="none" w:sz="0" w:space="0" w:color="auto"/>
                                    <w:bottom w:val="none" w:sz="0" w:space="0" w:color="auto"/>
                                    <w:right w:val="none" w:sz="0" w:space="0" w:color="auto"/>
                                  </w:divBdr>
                                  <w:divsChild>
                                    <w:div w:id="1616129691">
                                      <w:marLeft w:val="0"/>
                                      <w:marRight w:val="0"/>
                                      <w:marTop w:val="0"/>
                                      <w:marBottom w:val="0"/>
                                      <w:divBdr>
                                        <w:top w:val="none" w:sz="0" w:space="0" w:color="auto"/>
                                        <w:left w:val="none" w:sz="0" w:space="0" w:color="auto"/>
                                        <w:bottom w:val="none" w:sz="0" w:space="0" w:color="auto"/>
                                        <w:right w:val="none" w:sz="0" w:space="0" w:color="auto"/>
                                      </w:divBdr>
                                      <w:divsChild>
                                        <w:div w:id="1782921679">
                                          <w:marLeft w:val="0"/>
                                          <w:marRight w:val="0"/>
                                          <w:marTop w:val="0"/>
                                          <w:marBottom w:val="0"/>
                                          <w:divBdr>
                                            <w:top w:val="none" w:sz="0" w:space="0" w:color="auto"/>
                                            <w:left w:val="none" w:sz="0" w:space="0" w:color="auto"/>
                                            <w:bottom w:val="none" w:sz="0" w:space="0" w:color="auto"/>
                                            <w:right w:val="none" w:sz="0" w:space="0" w:color="auto"/>
                                          </w:divBdr>
                                          <w:divsChild>
                                            <w:div w:id="45032350">
                                              <w:marLeft w:val="0"/>
                                              <w:marRight w:val="0"/>
                                              <w:marTop w:val="0"/>
                                              <w:marBottom w:val="0"/>
                                              <w:divBdr>
                                                <w:top w:val="none" w:sz="0" w:space="0" w:color="auto"/>
                                                <w:left w:val="none" w:sz="0" w:space="0" w:color="auto"/>
                                                <w:bottom w:val="none" w:sz="0" w:space="0" w:color="auto"/>
                                                <w:right w:val="none" w:sz="0" w:space="0" w:color="auto"/>
                                              </w:divBdr>
                                              <w:divsChild>
                                                <w:div w:id="1237931748">
                                                  <w:marLeft w:val="0"/>
                                                  <w:marRight w:val="0"/>
                                                  <w:marTop w:val="0"/>
                                                  <w:marBottom w:val="0"/>
                                                  <w:divBdr>
                                                    <w:top w:val="none" w:sz="0" w:space="0" w:color="auto"/>
                                                    <w:left w:val="none" w:sz="0" w:space="0" w:color="auto"/>
                                                    <w:bottom w:val="none" w:sz="0" w:space="0" w:color="auto"/>
                                                    <w:right w:val="none" w:sz="0" w:space="0" w:color="auto"/>
                                                  </w:divBdr>
                                                  <w:divsChild>
                                                    <w:div w:id="790779308">
                                                      <w:marLeft w:val="0"/>
                                                      <w:marRight w:val="0"/>
                                                      <w:marTop w:val="0"/>
                                                      <w:marBottom w:val="0"/>
                                                      <w:divBdr>
                                                        <w:top w:val="none" w:sz="0" w:space="0" w:color="auto"/>
                                                        <w:left w:val="none" w:sz="0" w:space="0" w:color="auto"/>
                                                        <w:bottom w:val="none" w:sz="0" w:space="0" w:color="auto"/>
                                                        <w:right w:val="none" w:sz="0" w:space="0" w:color="auto"/>
                                                      </w:divBdr>
                                                      <w:divsChild>
                                                        <w:div w:id="14596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024342">
      <w:bodyDiv w:val="1"/>
      <w:marLeft w:val="0"/>
      <w:marRight w:val="0"/>
      <w:marTop w:val="0"/>
      <w:marBottom w:val="0"/>
      <w:divBdr>
        <w:top w:val="none" w:sz="0" w:space="0" w:color="auto"/>
        <w:left w:val="none" w:sz="0" w:space="0" w:color="auto"/>
        <w:bottom w:val="none" w:sz="0" w:space="0" w:color="auto"/>
        <w:right w:val="none" w:sz="0" w:space="0" w:color="auto"/>
      </w:divBdr>
      <w:divsChild>
        <w:div w:id="1825318336">
          <w:marLeft w:val="0"/>
          <w:marRight w:val="0"/>
          <w:marTop w:val="0"/>
          <w:marBottom w:val="0"/>
          <w:divBdr>
            <w:top w:val="none" w:sz="0" w:space="0" w:color="auto"/>
            <w:left w:val="none" w:sz="0" w:space="0" w:color="auto"/>
            <w:bottom w:val="none" w:sz="0" w:space="0" w:color="auto"/>
            <w:right w:val="none" w:sz="0" w:space="0" w:color="auto"/>
          </w:divBdr>
        </w:div>
      </w:divsChild>
    </w:div>
    <w:div w:id="1722096460">
      <w:bodyDiv w:val="1"/>
      <w:marLeft w:val="0"/>
      <w:marRight w:val="0"/>
      <w:marTop w:val="0"/>
      <w:marBottom w:val="0"/>
      <w:divBdr>
        <w:top w:val="none" w:sz="0" w:space="0" w:color="auto"/>
        <w:left w:val="none" w:sz="0" w:space="0" w:color="auto"/>
        <w:bottom w:val="none" w:sz="0" w:space="0" w:color="auto"/>
        <w:right w:val="none" w:sz="0" w:space="0" w:color="auto"/>
      </w:divBdr>
      <w:divsChild>
        <w:div w:id="1159881707">
          <w:marLeft w:val="0"/>
          <w:marRight w:val="0"/>
          <w:marTop w:val="0"/>
          <w:marBottom w:val="0"/>
          <w:divBdr>
            <w:top w:val="none" w:sz="0" w:space="0" w:color="auto"/>
            <w:left w:val="none" w:sz="0" w:space="0" w:color="auto"/>
            <w:bottom w:val="none" w:sz="0" w:space="0" w:color="auto"/>
            <w:right w:val="none" w:sz="0" w:space="0" w:color="auto"/>
          </w:divBdr>
          <w:divsChild>
            <w:div w:id="1886941210">
              <w:marLeft w:val="0"/>
              <w:marRight w:val="0"/>
              <w:marTop w:val="0"/>
              <w:marBottom w:val="0"/>
              <w:divBdr>
                <w:top w:val="none" w:sz="0" w:space="0" w:color="auto"/>
                <w:left w:val="none" w:sz="0" w:space="0" w:color="auto"/>
                <w:bottom w:val="none" w:sz="0" w:space="0" w:color="auto"/>
                <w:right w:val="none" w:sz="0" w:space="0" w:color="auto"/>
              </w:divBdr>
              <w:divsChild>
                <w:div w:id="1937202012">
                  <w:marLeft w:val="0"/>
                  <w:marRight w:val="0"/>
                  <w:marTop w:val="0"/>
                  <w:marBottom w:val="0"/>
                  <w:divBdr>
                    <w:top w:val="none" w:sz="0" w:space="0" w:color="auto"/>
                    <w:left w:val="none" w:sz="0" w:space="0" w:color="auto"/>
                    <w:bottom w:val="none" w:sz="0" w:space="0" w:color="auto"/>
                    <w:right w:val="none" w:sz="0" w:space="0" w:color="auto"/>
                  </w:divBdr>
                  <w:divsChild>
                    <w:div w:id="1186285312">
                      <w:marLeft w:val="0"/>
                      <w:marRight w:val="0"/>
                      <w:marTop w:val="0"/>
                      <w:marBottom w:val="0"/>
                      <w:divBdr>
                        <w:top w:val="none" w:sz="0" w:space="0" w:color="auto"/>
                        <w:left w:val="none" w:sz="0" w:space="0" w:color="auto"/>
                        <w:bottom w:val="none" w:sz="0" w:space="0" w:color="auto"/>
                        <w:right w:val="none" w:sz="0" w:space="0" w:color="auto"/>
                      </w:divBdr>
                      <w:divsChild>
                        <w:div w:id="777795733">
                          <w:marLeft w:val="0"/>
                          <w:marRight w:val="0"/>
                          <w:marTop w:val="0"/>
                          <w:marBottom w:val="0"/>
                          <w:divBdr>
                            <w:top w:val="none" w:sz="0" w:space="0" w:color="auto"/>
                            <w:left w:val="none" w:sz="0" w:space="0" w:color="auto"/>
                            <w:bottom w:val="none" w:sz="0" w:space="0" w:color="auto"/>
                            <w:right w:val="none" w:sz="0" w:space="0" w:color="auto"/>
                          </w:divBdr>
                          <w:divsChild>
                            <w:div w:id="1632246597">
                              <w:marLeft w:val="0"/>
                              <w:marRight w:val="0"/>
                              <w:marTop w:val="0"/>
                              <w:marBottom w:val="0"/>
                              <w:divBdr>
                                <w:top w:val="none" w:sz="0" w:space="0" w:color="auto"/>
                                <w:left w:val="none" w:sz="0" w:space="0" w:color="auto"/>
                                <w:bottom w:val="none" w:sz="0" w:space="0" w:color="auto"/>
                                <w:right w:val="none" w:sz="0" w:space="0" w:color="auto"/>
                              </w:divBdr>
                              <w:divsChild>
                                <w:div w:id="655962541">
                                  <w:marLeft w:val="0"/>
                                  <w:marRight w:val="0"/>
                                  <w:marTop w:val="0"/>
                                  <w:marBottom w:val="0"/>
                                  <w:divBdr>
                                    <w:top w:val="none" w:sz="0" w:space="0" w:color="auto"/>
                                    <w:left w:val="none" w:sz="0" w:space="0" w:color="auto"/>
                                    <w:bottom w:val="none" w:sz="0" w:space="0" w:color="auto"/>
                                    <w:right w:val="none" w:sz="0" w:space="0" w:color="auto"/>
                                  </w:divBdr>
                                  <w:divsChild>
                                    <w:div w:id="311830288">
                                      <w:marLeft w:val="0"/>
                                      <w:marRight w:val="0"/>
                                      <w:marTop w:val="0"/>
                                      <w:marBottom w:val="0"/>
                                      <w:divBdr>
                                        <w:top w:val="none" w:sz="0" w:space="0" w:color="auto"/>
                                        <w:left w:val="none" w:sz="0" w:space="0" w:color="auto"/>
                                        <w:bottom w:val="none" w:sz="0" w:space="0" w:color="auto"/>
                                        <w:right w:val="none" w:sz="0" w:space="0" w:color="auto"/>
                                      </w:divBdr>
                                      <w:divsChild>
                                        <w:div w:id="1492257496">
                                          <w:marLeft w:val="0"/>
                                          <w:marRight w:val="0"/>
                                          <w:marTop w:val="0"/>
                                          <w:marBottom w:val="0"/>
                                          <w:divBdr>
                                            <w:top w:val="none" w:sz="0" w:space="0" w:color="auto"/>
                                            <w:left w:val="none" w:sz="0" w:space="0" w:color="auto"/>
                                            <w:bottom w:val="none" w:sz="0" w:space="0" w:color="auto"/>
                                            <w:right w:val="none" w:sz="0" w:space="0" w:color="auto"/>
                                          </w:divBdr>
                                          <w:divsChild>
                                            <w:div w:id="1943562506">
                                              <w:marLeft w:val="0"/>
                                              <w:marRight w:val="0"/>
                                              <w:marTop w:val="0"/>
                                              <w:marBottom w:val="0"/>
                                              <w:divBdr>
                                                <w:top w:val="none" w:sz="0" w:space="0" w:color="auto"/>
                                                <w:left w:val="none" w:sz="0" w:space="0" w:color="auto"/>
                                                <w:bottom w:val="none" w:sz="0" w:space="0" w:color="auto"/>
                                                <w:right w:val="none" w:sz="0" w:space="0" w:color="auto"/>
                                              </w:divBdr>
                                              <w:divsChild>
                                                <w:div w:id="2033916319">
                                                  <w:marLeft w:val="0"/>
                                                  <w:marRight w:val="0"/>
                                                  <w:marTop w:val="0"/>
                                                  <w:marBottom w:val="0"/>
                                                  <w:divBdr>
                                                    <w:top w:val="none" w:sz="0" w:space="0" w:color="auto"/>
                                                    <w:left w:val="none" w:sz="0" w:space="0" w:color="auto"/>
                                                    <w:bottom w:val="none" w:sz="0" w:space="0" w:color="auto"/>
                                                    <w:right w:val="none" w:sz="0" w:space="0" w:color="auto"/>
                                                  </w:divBdr>
                                                  <w:divsChild>
                                                    <w:div w:id="1215894162">
                                                      <w:marLeft w:val="0"/>
                                                      <w:marRight w:val="0"/>
                                                      <w:marTop w:val="0"/>
                                                      <w:marBottom w:val="0"/>
                                                      <w:divBdr>
                                                        <w:top w:val="none" w:sz="0" w:space="0" w:color="auto"/>
                                                        <w:left w:val="none" w:sz="0" w:space="0" w:color="auto"/>
                                                        <w:bottom w:val="none" w:sz="0" w:space="0" w:color="auto"/>
                                                        <w:right w:val="none" w:sz="0" w:space="0" w:color="auto"/>
                                                      </w:divBdr>
                                                      <w:divsChild>
                                                        <w:div w:id="622156394">
                                                          <w:marLeft w:val="0"/>
                                                          <w:marRight w:val="0"/>
                                                          <w:marTop w:val="0"/>
                                                          <w:marBottom w:val="0"/>
                                                          <w:divBdr>
                                                            <w:top w:val="none" w:sz="0" w:space="0" w:color="auto"/>
                                                            <w:left w:val="none" w:sz="0" w:space="0" w:color="auto"/>
                                                            <w:bottom w:val="none" w:sz="0" w:space="0" w:color="auto"/>
                                                            <w:right w:val="none" w:sz="0" w:space="0" w:color="auto"/>
                                                          </w:divBdr>
                                                          <w:divsChild>
                                                            <w:div w:id="2142381117">
                                                              <w:marLeft w:val="0"/>
                                                              <w:marRight w:val="0"/>
                                                              <w:marTop w:val="0"/>
                                                              <w:marBottom w:val="0"/>
                                                              <w:divBdr>
                                                                <w:top w:val="none" w:sz="0" w:space="0" w:color="auto"/>
                                                                <w:left w:val="none" w:sz="0" w:space="0" w:color="auto"/>
                                                                <w:bottom w:val="none" w:sz="0" w:space="0" w:color="auto"/>
                                                                <w:right w:val="none" w:sz="0" w:space="0" w:color="auto"/>
                                                              </w:divBdr>
                                                            </w:div>
                                                            <w:div w:id="13775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4403630">
      <w:bodyDiv w:val="1"/>
      <w:marLeft w:val="0"/>
      <w:marRight w:val="0"/>
      <w:marTop w:val="0"/>
      <w:marBottom w:val="0"/>
      <w:divBdr>
        <w:top w:val="none" w:sz="0" w:space="0" w:color="auto"/>
        <w:left w:val="none" w:sz="0" w:space="0" w:color="auto"/>
        <w:bottom w:val="none" w:sz="0" w:space="0" w:color="auto"/>
        <w:right w:val="none" w:sz="0" w:space="0" w:color="auto"/>
      </w:divBdr>
      <w:divsChild>
        <w:div w:id="1949195627">
          <w:marLeft w:val="0"/>
          <w:marRight w:val="0"/>
          <w:marTop w:val="0"/>
          <w:marBottom w:val="0"/>
          <w:divBdr>
            <w:top w:val="none" w:sz="0" w:space="0" w:color="auto"/>
            <w:left w:val="none" w:sz="0" w:space="0" w:color="auto"/>
            <w:bottom w:val="none" w:sz="0" w:space="0" w:color="auto"/>
            <w:right w:val="none" w:sz="0" w:space="0" w:color="auto"/>
          </w:divBdr>
          <w:divsChild>
            <w:div w:id="5772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44605">
      <w:bodyDiv w:val="1"/>
      <w:marLeft w:val="0"/>
      <w:marRight w:val="0"/>
      <w:marTop w:val="0"/>
      <w:marBottom w:val="0"/>
      <w:divBdr>
        <w:top w:val="none" w:sz="0" w:space="0" w:color="auto"/>
        <w:left w:val="none" w:sz="0" w:space="0" w:color="auto"/>
        <w:bottom w:val="none" w:sz="0" w:space="0" w:color="auto"/>
        <w:right w:val="none" w:sz="0" w:space="0" w:color="auto"/>
      </w:divBdr>
      <w:divsChild>
        <w:div w:id="407265129">
          <w:marLeft w:val="0"/>
          <w:marRight w:val="0"/>
          <w:marTop w:val="0"/>
          <w:marBottom w:val="0"/>
          <w:divBdr>
            <w:top w:val="none" w:sz="0" w:space="0" w:color="auto"/>
            <w:left w:val="none" w:sz="0" w:space="0" w:color="auto"/>
            <w:bottom w:val="none" w:sz="0" w:space="0" w:color="auto"/>
            <w:right w:val="none" w:sz="0" w:space="0" w:color="auto"/>
          </w:divBdr>
          <w:divsChild>
            <w:div w:id="394818132">
              <w:marLeft w:val="0"/>
              <w:marRight w:val="0"/>
              <w:marTop w:val="0"/>
              <w:marBottom w:val="0"/>
              <w:divBdr>
                <w:top w:val="none" w:sz="0" w:space="0" w:color="auto"/>
                <w:left w:val="none" w:sz="0" w:space="0" w:color="auto"/>
                <w:bottom w:val="none" w:sz="0" w:space="0" w:color="auto"/>
                <w:right w:val="none" w:sz="0" w:space="0" w:color="auto"/>
              </w:divBdr>
              <w:divsChild>
                <w:div w:id="1573856516">
                  <w:marLeft w:val="0"/>
                  <w:marRight w:val="0"/>
                  <w:marTop w:val="0"/>
                  <w:marBottom w:val="0"/>
                  <w:divBdr>
                    <w:top w:val="none" w:sz="0" w:space="0" w:color="auto"/>
                    <w:left w:val="none" w:sz="0" w:space="0" w:color="auto"/>
                    <w:bottom w:val="none" w:sz="0" w:space="0" w:color="auto"/>
                    <w:right w:val="none" w:sz="0" w:space="0" w:color="auto"/>
                  </w:divBdr>
                  <w:divsChild>
                    <w:div w:id="724837087">
                      <w:marLeft w:val="0"/>
                      <w:marRight w:val="0"/>
                      <w:marTop w:val="0"/>
                      <w:marBottom w:val="0"/>
                      <w:divBdr>
                        <w:top w:val="none" w:sz="0" w:space="0" w:color="auto"/>
                        <w:left w:val="none" w:sz="0" w:space="0" w:color="auto"/>
                        <w:bottom w:val="none" w:sz="0" w:space="0" w:color="auto"/>
                        <w:right w:val="none" w:sz="0" w:space="0" w:color="auto"/>
                      </w:divBdr>
                      <w:divsChild>
                        <w:div w:id="409928068">
                          <w:marLeft w:val="0"/>
                          <w:marRight w:val="0"/>
                          <w:marTop w:val="0"/>
                          <w:marBottom w:val="0"/>
                          <w:divBdr>
                            <w:top w:val="none" w:sz="0" w:space="0" w:color="auto"/>
                            <w:left w:val="none" w:sz="0" w:space="0" w:color="auto"/>
                            <w:bottom w:val="none" w:sz="0" w:space="0" w:color="auto"/>
                            <w:right w:val="none" w:sz="0" w:space="0" w:color="auto"/>
                          </w:divBdr>
                          <w:divsChild>
                            <w:div w:id="808519017">
                              <w:marLeft w:val="0"/>
                              <w:marRight w:val="0"/>
                              <w:marTop w:val="0"/>
                              <w:marBottom w:val="0"/>
                              <w:divBdr>
                                <w:top w:val="none" w:sz="0" w:space="0" w:color="auto"/>
                                <w:left w:val="none" w:sz="0" w:space="0" w:color="auto"/>
                                <w:bottom w:val="none" w:sz="0" w:space="0" w:color="auto"/>
                                <w:right w:val="none" w:sz="0" w:space="0" w:color="auto"/>
                              </w:divBdr>
                              <w:divsChild>
                                <w:div w:id="543373277">
                                  <w:marLeft w:val="0"/>
                                  <w:marRight w:val="0"/>
                                  <w:marTop w:val="0"/>
                                  <w:marBottom w:val="0"/>
                                  <w:divBdr>
                                    <w:top w:val="none" w:sz="0" w:space="0" w:color="auto"/>
                                    <w:left w:val="none" w:sz="0" w:space="0" w:color="auto"/>
                                    <w:bottom w:val="none" w:sz="0" w:space="0" w:color="auto"/>
                                    <w:right w:val="none" w:sz="0" w:space="0" w:color="auto"/>
                                  </w:divBdr>
                                  <w:divsChild>
                                    <w:div w:id="2028872534">
                                      <w:marLeft w:val="0"/>
                                      <w:marRight w:val="0"/>
                                      <w:marTop w:val="0"/>
                                      <w:marBottom w:val="0"/>
                                      <w:divBdr>
                                        <w:top w:val="none" w:sz="0" w:space="0" w:color="auto"/>
                                        <w:left w:val="none" w:sz="0" w:space="0" w:color="auto"/>
                                        <w:bottom w:val="none" w:sz="0" w:space="0" w:color="auto"/>
                                        <w:right w:val="none" w:sz="0" w:space="0" w:color="auto"/>
                                      </w:divBdr>
                                      <w:divsChild>
                                        <w:div w:id="2113285249">
                                          <w:marLeft w:val="0"/>
                                          <w:marRight w:val="0"/>
                                          <w:marTop w:val="0"/>
                                          <w:marBottom w:val="0"/>
                                          <w:divBdr>
                                            <w:top w:val="none" w:sz="0" w:space="0" w:color="auto"/>
                                            <w:left w:val="none" w:sz="0" w:space="0" w:color="auto"/>
                                            <w:bottom w:val="none" w:sz="0" w:space="0" w:color="auto"/>
                                            <w:right w:val="none" w:sz="0" w:space="0" w:color="auto"/>
                                          </w:divBdr>
                                          <w:divsChild>
                                            <w:div w:id="1849904670">
                                              <w:marLeft w:val="0"/>
                                              <w:marRight w:val="0"/>
                                              <w:marTop w:val="0"/>
                                              <w:marBottom w:val="0"/>
                                              <w:divBdr>
                                                <w:top w:val="none" w:sz="0" w:space="0" w:color="auto"/>
                                                <w:left w:val="none" w:sz="0" w:space="0" w:color="auto"/>
                                                <w:bottom w:val="none" w:sz="0" w:space="0" w:color="auto"/>
                                                <w:right w:val="none" w:sz="0" w:space="0" w:color="auto"/>
                                              </w:divBdr>
                                              <w:divsChild>
                                                <w:div w:id="934243041">
                                                  <w:marLeft w:val="0"/>
                                                  <w:marRight w:val="0"/>
                                                  <w:marTop w:val="0"/>
                                                  <w:marBottom w:val="0"/>
                                                  <w:divBdr>
                                                    <w:top w:val="none" w:sz="0" w:space="0" w:color="auto"/>
                                                    <w:left w:val="none" w:sz="0" w:space="0" w:color="auto"/>
                                                    <w:bottom w:val="none" w:sz="0" w:space="0" w:color="auto"/>
                                                    <w:right w:val="none" w:sz="0" w:space="0" w:color="auto"/>
                                                  </w:divBdr>
                                                  <w:divsChild>
                                                    <w:div w:id="764766120">
                                                      <w:marLeft w:val="0"/>
                                                      <w:marRight w:val="0"/>
                                                      <w:marTop w:val="0"/>
                                                      <w:marBottom w:val="0"/>
                                                      <w:divBdr>
                                                        <w:top w:val="none" w:sz="0" w:space="0" w:color="auto"/>
                                                        <w:left w:val="none" w:sz="0" w:space="0" w:color="auto"/>
                                                        <w:bottom w:val="none" w:sz="0" w:space="0" w:color="auto"/>
                                                        <w:right w:val="none" w:sz="0" w:space="0" w:color="auto"/>
                                                      </w:divBdr>
                                                      <w:divsChild>
                                                        <w:div w:id="13145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836501">
      <w:bodyDiv w:val="1"/>
      <w:marLeft w:val="0"/>
      <w:marRight w:val="0"/>
      <w:marTop w:val="0"/>
      <w:marBottom w:val="0"/>
      <w:divBdr>
        <w:top w:val="none" w:sz="0" w:space="0" w:color="auto"/>
        <w:left w:val="none" w:sz="0" w:space="0" w:color="auto"/>
        <w:bottom w:val="none" w:sz="0" w:space="0" w:color="auto"/>
        <w:right w:val="none" w:sz="0" w:space="0" w:color="auto"/>
      </w:divBdr>
      <w:divsChild>
        <w:div w:id="621113348">
          <w:marLeft w:val="0"/>
          <w:marRight w:val="0"/>
          <w:marTop w:val="0"/>
          <w:marBottom w:val="0"/>
          <w:divBdr>
            <w:top w:val="none" w:sz="0" w:space="0" w:color="auto"/>
            <w:left w:val="none" w:sz="0" w:space="0" w:color="auto"/>
            <w:bottom w:val="none" w:sz="0" w:space="0" w:color="auto"/>
            <w:right w:val="none" w:sz="0" w:space="0" w:color="auto"/>
          </w:divBdr>
          <w:divsChild>
            <w:div w:id="407264961">
              <w:marLeft w:val="0"/>
              <w:marRight w:val="0"/>
              <w:marTop w:val="0"/>
              <w:marBottom w:val="0"/>
              <w:divBdr>
                <w:top w:val="none" w:sz="0" w:space="0" w:color="auto"/>
                <w:left w:val="none" w:sz="0" w:space="0" w:color="auto"/>
                <w:bottom w:val="none" w:sz="0" w:space="0" w:color="auto"/>
                <w:right w:val="none" w:sz="0" w:space="0" w:color="auto"/>
              </w:divBdr>
              <w:divsChild>
                <w:div w:id="732432035">
                  <w:marLeft w:val="0"/>
                  <w:marRight w:val="0"/>
                  <w:marTop w:val="0"/>
                  <w:marBottom w:val="0"/>
                  <w:divBdr>
                    <w:top w:val="none" w:sz="0" w:space="0" w:color="auto"/>
                    <w:left w:val="none" w:sz="0" w:space="0" w:color="auto"/>
                    <w:bottom w:val="none" w:sz="0" w:space="0" w:color="auto"/>
                    <w:right w:val="none" w:sz="0" w:space="0" w:color="auto"/>
                  </w:divBdr>
                  <w:divsChild>
                    <w:div w:id="1341616374">
                      <w:marLeft w:val="0"/>
                      <w:marRight w:val="0"/>
                      <w:marTop w:val="0"/>
                      <w:marBottom w:val="0"/>
                      <w:divBdr>
                        <w:top w:val="none" w:sz="0" w:space="0" w:color="auto"/>
                        <w:left w:val="none" w:sz="0" w:space="0" w:color="auto"/>
                        <w:bottom w:val="none" w:sz="0" w:space="0" w:color="auto"/>
                        <w:right w:val="none" w:sz="0" w:space="0" w:color="auto"/>
                      </w:divBdr>
                      <w:divsChild>
                        <w:div w:id="110395196">
                          <w:marLeft w:val="0"/>
                          <w:marRight w:val="0"/>
                          <w:marTop w:val="0"/>
                          <w:marBottom w:val="0"/>
                          <w:divBdr>
                            <w:top w:val="none" w:sz="0" w:space="0" w:color="auto"/>
                            <w:left w:val="none" w:sz="0" w:space="0" w:color="auto"/>
                            <w:bottom w:val="none" w:sz="0" w:space="0" w:color="auto"/>
                            <w:right w:val="none" w:sz="0" w:space="0" w:color="auto"/>
                          </w:divBdr>
                          <w:divsChild>
                            <w:div w:id="344402583">
                              <w:marLeft w:val="0"/>
                              <w:marRight w:val="0"/>
                              <w:marTop w:val="0"/>
                              <w:marBottom w:val="0"/>
                              <w:divBdr>
                                <w:top w:val="none" w:sz="0" w:space="0" w:color="auto"/>
                                <w:left w:val="none" w:sz="0" w:space="0" w:color="auto"/>
                                <w:bottom w:val="none" w:sz="0" w:space="0" w:color="auto"/>
                                <w:right w:val="none" w:sz="0" w:space="0" w:color="auto"/>
                              </w:divBdr>
                              <w:divsChild>
                                <w:div w:id="1541167671">
                                  <w:marLeft w:val="0"/>
                                  <w:marRight w:val="0"/>
                                  <w:marTop w:val="0"/>
                                  <w:marBottom w:val="0"/>
                                  <w:divBdr>
                                    <w:top w:val="none" w:sz="0" w:space="0" w:color="auto"/>
                                    <w:left w:val="none" w:sz="0" w:space="0" w:color="auto"/>
                                    <w:bottom w:val="none" w:sz="0" w:space="0" w:color="auto"/>
                                    <w:right w:val="none" w:sz="0" w:space="0" w:color="auto"/>
                                  </w:divBdr>
                                  <w:divsChild>
                                    <w:div w:id="168368959">
                                      <w:marLeft w:val="0"/>
                                      <w:marRight w:val="0"/>
                                      <w:marTop w:val="0"/>
                                      <w:marBottom w:val="0"/>
                                      <w:divBdr>
                                        <w:top w:val="none" w:sz="0" w:space="0" w:color="auto"/>
                                        <w:left w:val="none" w:sz="0" w:space="0" w:color="auto"/>
                                        <w:bottom w:val="none" w:sz="0" w:space="0" w:color="auto"/>
                                        <w:right w:val="none" w:sz="0" w:space="0" w:color="auto"/>
                                      </w:divBdr>
                                      <w:divsChild>
                                        <w:div w:id="260185998">
                                          <w:marLeft w:val="0"/>
                                          <w:marRight w:val="0"/>
                                          <w:marTop w:val="0"/>
                                          <w:marBottom w:val="0"/>
                                          <w:divBdr>
                                            <w:top w:val="none" w:sz="0" w:space="0" w:color="auto"/>
                                            <w:left w:val="none" w:sz="0" w:space="0" w:color="auto"/>
                                            <w:bottom w:val="none" w:sz="0" w:space="0" w:color="auto"/>
                                            <w:right w:val="none" w:sz="0" w:space="0" w:color="auto"/>
                                          </w:divBdr>
                                          <w:divsChild>
                                            <w:div w:id="1974748916">
                                              <w:marLeft w:val="0"/>
                                              <w:marRight w:val="0"/>
                                              <w:marTop w:val="0"/>
                                              <w:marBottom w:val="0"/>
                                              <w:divBdr>
                                                <w:top w:val="none" w:sz="0" w:space="0" w:color="auto"/>
                                                <w:left w:val="none" w:sz="0" w:space="0" w:color="auto"/>
                                                <w:bottom w:val="none" w:sz="0" w:space="0" w:color="auto"/>
                                                <w:right w:val="none" w:sz="0" w:space="0" w:color="auto"/>
                                              </w:divBdr>
                                              <w:divsChild>
                                                <w:div w:id="1111583915">
                                                  <w:marLeft w:val="0"/>
                                                  <w:marRight w:val="0"/>
                                                  <w:marTop w:val="0"/>
                                                  <w:marBottom w:val="0"/>
                                                  <w:divBdr>
                                                    <w:top w:val="none" w:sz="0" w:space="0" w:color="auto"/>
                                                    <w:left w:val="none" w:sz="0" w:space="0" w:color="auto"/>
                                                    <w:bottom w:val="none" w:sz="0" w:space="0" w:color="auto"/>
                                                    <w:right w:val="none" w:sz="0" w:space="0" w:color="auto"/>
                                                  </w:divBdr>
                                                  <w:divsChild>
                                                    <w:div w:id="161548190">
                                                      <w:marLeft w:val="0"/>
                                                      <w:marRight w:val="0"/>
                                                      <w:marTop w:val="0"/>
                                                      <w:marBottom w:val="0"/>
                                                      <w:divBdr>
                                                        <w:top w:val="none" w:sz="0" w:space="0" w:color="auto"/>
                                                        <w:left w:val="none" w:sz="0" w:space="0" w:color="auto"/>
                                                        <w:bottom w:val="none" w:sz="0" w:space="0" w:color="auto"/>
                                                        <w:right w:val="none" w:sz="0" w:space="0" w:color="auto"/>
                                                      </w:divBdr>
                                                      <w:divsChild>
                                                        <w:div w:id="8467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6023632">
      <w:bodyDiv w:val="1"/>
      <w:marLeft w:val="0"/>
      <w:marRight w:val="0"/>
      <w:marTop w:val="0"/>
      <w:marBottom w:val="0"/>
      <w:divBdr>
        <w:top w:val="none" w:sz="0" w:space="0" w:color="auto"/>
        <w:left w:val="none" w:sz="0" w:space="0" w:color="auto"/>
        <w:bottom w:val="none" w:sz="0" w:space="0" w:color="auto"/>
        <w:right w:val="none" w:sz="0" w:space="0" w:color="auto"/>
      </w:divBdr>
      <w:divsChild>
        <w:div w:id="844395597">
          <w:marLeft w:val="0"/>
          <w:marRight w:val="0"/>
          <w:marTop w:val="0"/>
          <w:marBottom w:val="0"/>
          <w:divBdr>
            <w:top w:val="none" w:sz="0" w:space="0" w:color="auto"/>
            <w:left w:val="none" w:sz="0" w:space="0" w:color="auto"/>
            <w:bottom w:val="none" w:sz="0" w:space="0" w:color="auto"/>
            <w:right w:val="none" w:sz="0" w:space="0" w:color="auto"/>
          </w:divBdr>
          <w:divsChild>
            <w:div w:id="1436707432">
              <w:marLeft w:val="0"/>
              <w:marRight w:val="0"/>
              <w:marTop w:val="0"/>
              <w:marBottom w:val="0"/>
              <w:divBdr>
                <w:top w:val="none" w:sz="0" w:space="0" w:color="auto"/>
                <w:left w:val="none" w:sz="0" w:space="0" w:color="auto"/>
                <w:bottom w:val="none" w:sz="0" w:space="0" w:color="auto"/>
                <w:right w:val="none" w:sz="0" w:space="0" w:color="auto"/>
              </w:divBdr>
              <w:divsChild>
                <w:div w:id="1062363602">
                  <w:marLeft w:val="0"/>
                  <w:marRight w:val="0"/>
                  <w:marTop w:val="0"/>
                  <w:marBottom w:val="0"/>
                  <w:divBdr>
                    <w:top w:val="none" w:sz="0" w:space="0" w:color="auto"/>
                    <w:left w:val="none" w:sz="0" w:space="0" w:color="auto"/>
                    <w:bottom w:val="none" w:sz="0" w:space="0" w:color="auto"/>
                    <w:right w:val="none" w:sz="0" w:space="0" w:color="auto"/>
                  </w:divBdr>
                  <w:divsChild>
                    <w:div w:id="178277766">
                      <w:marLeft w:val="0"/>
                      <w:marRight w:val="0"/>
                      <w:marTop w:val="0"/>
                      <w:marBottom w:val="0"/>
                      <w:divBdr>
                        <w:top w:val="none" w:sz="0" w:space="0" w:color="auto"/>
                        <w:left w:val="none" w:sz="0" w:space="0" w:color="auto"/>
                        <w:bottom w:val="none" w:sz="0" w:space="0" w:color="auto"/>
                        <w:right w:val="none" w:sz="0" w:space="0" w:color="auto"/>
                      </w:divBdr>
                      <w:divsChild>
                        <w:div w:id="1071999881">
                          <w:marLeft w:val="0"/>
                          <w:marRight w:val="0"/>
                          <w:marTop w:val="0"/>
                          <w:marBottom w:val="0"/>
                          <w:divBdr>
                            <w:top w:val="none" w:sz="0" w:space="0" w:color="auto"/>
                            <w:left w:val="none" w:sz="0" w:space="0" w:color="auto"/>
                            <w:bottom w:val="none" w:sz="0" w:space="0" w:color="auto"/>
                            <w:right w:val="none" w:sz="0" w:space="0" w:color="auto"/>
                          </w:divBdr>
                          <w:divsChild>
                            <w:div w:id="1736783037">
                              <w:marLeft w:val="0"/>
                              <w:marRight w:val="0"/>
                              <w:marTop w:val="0"/>
                              <w:marBottom w:val="0"/>
                              <w:divBdr>
                                <w:top w:val="none" w:sz="0" w:space="0" w:color="auto"/>
                                <w:left w:val="none" w:sz="0" w:space="0" w:color="auto"/>
                                <w:bottom w:val="none" w:sz="0" w:space="0" w:color="auto"/>
                                <w:right w:val="none" w:sz="0" w:space="0" w:color="auto"/>
                              </w:divBdr>
                              <w:divsChild>
                                <w:div w:id="1598557785">
                                  <w:marLeft w:val="0"/>
                                  <w:marRight w:val="0"/>
                                  <w:marTop w:val="0"/>
                                  <w:marBottom w:val="0"/>
                                  <w:divBdr>
                                    <w:top w:val="none" w:sz="0" w:space="0" w:color="auto"/>
                                    <w:left w:val="none" w:sz="0" w:space="0" w:color="auto"/>
                                    <w:bottom w:val="none" w:sz="0" w:space="0" w:color="auto"/>
                                    <w:right w:val="none" w:sz="0" w:space="0" w:color="auto"/>
                                  </w:divBdr>
                                  <w:divsChild>
                                    <w:div w:id="437793601">
                                      <w:marLeft w:val="0"/>
                                      <w:marRight w:val="0"/>
                                      <w:marTop w:val="0"/>
                                      <w:marBottom w:val="0"/>
                                      <w:divBdr>
                                        <w:top w:val="none" w:sz="0" w:space="0" w:color="auto"/>
                                        <w:left w:val="none" w:sz="0" w:space="0" w:color="auto"/>
                                        <w:bottom w:val="none" w:sz="0" w:space="0" w:color="auto"/>
                                        <w:right w:val="none" w:sz="0" w:space="0" w:color="auto"/>
                                      </w:divBdr>
                                      <w:divsChild>
                                        <w:div w:id="1003319361">
                                          <w:marLeft w:val="0"/>
                                          <w:marRight w:val="0"/>
                                          <w:marTop w:val="0"/>
                                          <w:marBottom w:val="0"/>
                                          <w:divBdr>
                                            <w:top w:val="none" w:sz="0" w:space="0" w:color="auto"/>
                                            <w:left w:val="none" w:sz="0" w:space="0" w:color="auto"/>
                                            <w:bottom w:val="none" w:sz="0" w:space="0" w:color="auto"/>
                                            <w:right w:val="none" w:sz="0" w:space="0" w:color="auto"/>
                                          </w:divBdr>
                                          <w:divsChild>
                                            <w:div w:id="1270315725">
                                              <w:marLeft w:val="0"/>
                                              <w:marRight w:val="0"/>
                                              <w:marTop w:val="0"/>
                                              <w:marBottom w:val="0"/>
                                              <w:divBdr>
                                                <w:top w:val="none" w:sz="0" w:space="0" w:color="auto"/>
                                                <w:left w:val="none" w:sz="0" w:space="0" w:color="auto"/>
                                                <w:bottom w:val="none" w:sz="0" w:space="0" w:color="auto"/>
                                                <w:right w:val="none" w:sz="0" w:space="0" w:color="auto"/>
                                              </w:divBdr>
                                              <w:divsChild>
                                                <w:div w:id="1795368724">
                                                  <w:marLeft w:val="0"/>
                                                  <w:marRight w:val="0"/>
                                                  <w:marTop w:val="0"/>
                                                  <w:marBottom w:val="0"/>
                                                  <w:divBdr>
                                                    <w:top w:val="none" w:sz="0" w:space="0" w:color="auto"/>
                                                    <w:left w:val="none" w:sz="0" w:space="0" w:color="auto"/>
                                                    <w:bottom w:val="none" w:sz="0" w:space="0" w:color="auto"/>
                                                    <w:right w:val="none" w:sz="0" w:space="0" w:color="auto"/>
                                                  </w:divBdr>
                                                  <w:divsChild>
                                                    <w:div w:id="1230114856">
                                                      <w:marLeft w:val="0"/>
                                                      <w:marRight w:val="0"/>
                                                      <w:marTop w:val="0"/>
                                                      <w:marBottom w:val="0"/>
                                                      <w:divBdr>
                                                        <w:top w:val="none" w:sz="0" w:space="0" w:color="auto"/>
                                                        <w:left w:val="none" w:sz="0" w:space="0" w:color="auto"/>
                                                        <w:bottom w:val="none" w:sz="0" w:space="0" w:color="auto"/>
                                                        <w:right w:val="none" w:sz="0" w:space="0" w:color="auto"/>
                                                      </w:divBdr>
                                                      <w:divsChild>
                                                        <w:div w:id="196430638">
                                                          <w:marLeft w:val="0"/>
                                                          <w:marRight w:val="0"/>
                                                          <w:marTop w:val="0"/>
                                                          <w:marBottom w:val="0"/>
                                                          <w:divBdr>
                                                            <w:top w:val="none" w:sz="0" w:space="0" w:color="auto"/>
                                                            <w:left w:val="none" w:sz="0" w:space="0" w:color="auto"/>
                                                            <w:bottom w:val="none" w:sz="0" w:space="0" w:color="auto"/>
                                                            <w:right w:val="none" w:sz="0" w:space="0" w:color="auto"/>
                                                          </w:divBdr>
                                                        </w:div>
                                                        <w:div w:id="1049498460">
                                                          <w:marLeft w:val="0"/>
                                                          <w:marRight w:val="0"/>
                                                          <w:marTop w:val="0"/>
                                                          <w:marBottom w:val="0"/>
                                                          <w:divBdr>
                                                            <w:top w:val="none" w:sz="0" w:space="0" w:color="auto"/>
                                                            <w:left w:val="none" w:sz="0" w:space="0" w:color="auto"/>
                                                            <w:bottom w:val="none" w:sz="0" w:space="0" w:color="auto"/>
                                                            <w:right w:val="none" w:sz="0" w:space="0" w:color="auto"/>
                                                          </w:divBdr>
                                                          <w:divsChild>
                                                            <w:div w:id="15394708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6641141">
      <w:bodyDiv w:val="1"/>
      <w:marLeft w:val="0"/>
      <w:marRight w:val="0"/>
      <w:marTop w:val="0"/>
      <w:marBottom w:val="0"/>
      <w:divBdr>
        <w:top w:val="none" w:sz="0" w:space="0" w:color="auto"/>
        <w:left w:val="none" w:sz="0" w:space="0" w:color="auto"/>
        <w:bottom w:val="none" w:sz="0" w:space="0" w:color="auto"/>
        <w:right w:val="none" w:sz="0" w:space="0" w:color="auto"/>
      </w:divBdr>
      <w:divsChild>
        <w:div w:id="1185902569">
          <w:marLeft w:val="0"/>
          <w:marRight w:val="0"/>
          <w:marTop w:val="0"/>
          <w:marBottom w:val="0"/>
          <w:divBdr>
            <w:top w:val="none" w:sz="0" w:space="0" w:color="auto"/>
            <w:left w:val="none" w:sz="0" w:space="0" w:color="auto"/>
            <w:bottom w:val="none" w:sz="0" w:space="0" w:color="auto"/>
            <w:right w:val="none" w:sz="0" w:space="0" w:color="auto"/>
          </w:divBdr>
          <w:divsChild>
            <w:div w:id="1753576341">
              <w:marLeft w:val="0"/>
              <w:marRight w:val="0"/>
              <w:marTop w:val="0"/>
              <w:marBottom w:val="0"/>
              <w:divBdr>
                <w:top w:val="none" w:sz="0" w:space="0" w:color="auto"/>
                <w:left w:val="none" w:sz="0" w:space="0" w:color="auto"/>
                <w:bottom w:val="none" w:sz="0" w:space="0" w:color="auto"/>
                <w:right w:val="none" w:sz="0" w:space="0" w:color="auto"/>
              </w:divBdr>
              <w:divsChild>
                <w:div w:id="1300037641">
                  <w:marLeft w:val="0"/>
                  <w:marRight w:val="0"/>
                  <w:marTop w:val="100"/>
                  <w:marBottom w:val="100"/>
                  <w:divBdr>
                    <w:top w:val="none" w:sz="0" w:space="0" w:color="auto"/>
                    <w:left w:val="none" w:sz="0" w:space="0" w:color="auto"/>
                    <w:bottom w:val="none" w:sz="0" w:space="0" w:color="auto"/>
                    <w:right w:val="none" w:sz="0" w:space="0" w:color="auto"/>
                  </w:divBdr>
                  <w:divsChild>
                    <w:div w:id="468284159">
                      <w:marLeft w:val="0"/>
                      <w:marRight w:val="0"/>
                      <w:marTop w:val="0"/>
                      <w:marBottom w:val="0"/>
                      <w:divBdr>
                        <w:top w:val="none" w:sz="0" w:space="0" w:color="auto"/>
                        <w:left w:val="none" w:sz="0" w:space="0" w:color="auto"/>
                        <w:bottom w:val="none" w:sz="0" w:space="0" w:color="auto"/>
                        <w:right w:val="none" w:sz="0" w:space="0" w:color="auto"/>
                      </w:divBdr>
                      <w:divsChild>
                        <w:div w:id="86273443">
                          <w:marLeft w:val="0"/>
                          <w:marRight w:val="0"/>
                          <w:marTop w:val="0"/>
                          <w:marBottom w:val="0"/>
                          <w:divBdr>
                            <w:top w:val="none" w:sz="0" w:space="0" w:color="auto"/>
                            <w:left w:val="none" w:sz="0" w:space="0" w:color="auto"/>
                            <w:bottom w:val="none" w:sz="0" w:space="0" w:color="auto"/>
                            <w:right w:val="none" w:sz="0" w:space="0" w:color="auto"/>
                          </w:divBdr>
                          <w:divsChild>
                            <w:div w:id="1594238135">
                              <w:marLeft w:val="0"/>
                              <w:marRight w:val="0"/>
                              <w:marTop w:val="0"/>
                              <w:marBottom w:val="0"/>
                              <w:divBdr>
                                <w:top w:val="none" w:sz="0" w:space="0" w:color="auto"/>
                                <w:left w:val="none" w:sz="0" w:space="0" w:color="auto"/>
                                <w:bottom w:val="none" w:sz="0" w:space="0" w:color="auto"/>
                                <w:right w:val="none" w:sz="0" w:space="0" w:color="auto"/>
                              </w:divBdr>
                              <w:divsChild>
                                <w:div w:id="2145811537">
                                  <w:marLeft w:val="0"/>
                                  <w:marRight w:val="0"/>
                                  <w:marTop w:val="0"/>
                                  <w:marBottom w:val="0"/>
                                  <w:divBdr>
                                    <w:top w:val="none" w:sz="0" w:space="0" w:color="auto"/>
                                    <w:left w:val="none" w:sz="0" w:space="0" w:color="auto"/>
                                    <w:bottom w:val="none" w:sz="0" w:space="0" w:color="auto"/>
                                    <w:right w:val="none" w:sz="0" w:space="0" w:color="auto"/>
                                  </w:divBdr>
                                  <w:divsChild>
                                    <w:div w:id="2136872971">
                                      <w:marLeft w:val="0"/>
                                      <w:marRight w:val="0"/>
                                      <w:marTop w:val="0"/>
                                      <w:marBottom w:val="0"/>
                                      <w:divBdr>
                                        <w:top w:val="none" w:sz="0" w:space="0" w:color="auto"/>
                                        <w:left w:val="none" w:sz="0" w:space="0" w:color="auto"/>
                                        <w:bottom w:val="none" w:sz="0" w:space="0" w:color="auto"/>
                                        <w:right w:val="none" w:sz="0" w:space="0" w:color="auto"/>
                                      </w:divBdr>
                                      <w:divsChild>
                                        <w:div w:id="1886067003">
                                          <w:marLeft w:val="0"/>
                                          <w:marRight w:val="0"/>
                                          <w:marTop w:val="0"/>
                                          <w:marBottom w:val="0"/>
                                          <w:divBdr>
                                            <w:top w:val="none" w:sz="0" w:space="0" w:color="auto"/>
                                            <w:left w:val="none" w:sz="0" w:space="0" w:color="auto"/>
                                            <w:bottom w:val="none" w:sz="0" w:space="0" w:color="auto"/>
                                            <w:right w:val="none" w:sz="0" w:space="0" w:color="auto"/>
                                          </w:divBdr>
                                          <w:divsChild>
                                            <w:div w:id="1954437046">
                                              <w:marLeft w:val="0"/>
                                              <w:marRight w:val="0"/>
                                              <w:marTop w:val="0"/>
                                              <w:marBottom w:val="0"/>
                                              <w:divBdr>
                                                <w:top w:val="none" w:sz="0" w:space="0" w:color="auto"/>
                                                <w:left w:val="none" w:sz="0" w:space="0" w:color="auto"/>
                                                <w:bottom w:val="none" w:sz="0" w:space="0" w:color="auto"/>
                                                <w:right w:val="none" w:sz="0" w:space="0" w:color="auto"/>
                                              </w:divBdr>
                                              <w:divsChild>
                                                <w:div w:id="13755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037965">
      <w:bodyDiv w:val="1"/>
      <w:marLeft w:val="0"/>
      <w:marRight w:val="0"/>
      <w:marTop w:val="0"/>
      <w:marBottom w:val="0"/>
      <w:divBdr>
        <w:top w:val="none" w:sz="0" w:space="0" w:color="auto"/>
        <w:left w:val="none" w:sz="0" w:space="0" w:color="auto"/>
        <w:bottom w:val="none" w:sz="0" w:space="0" w:color="auto"/>
        <w:right w:val="none" w:sz="0" w:space="0" w:color="auto"/>
      </w:divBdr>
      <w:divsChild>
        <w:div w:id="1156729154">
          <w:marLeft w:val="0"/>
          <w:marRight w:val="0"/>
          <w:marTop w:val="0"/>
          <w:marBottom w:val="0"/>
          <w:divBdr>
            <w:top w:val="none" w:sz="0" w:space="0" w:color="auto"/>
            <w:left w:val="none" w:sz="0" w:space="0" w:color="auto"/>
            <w:bottom w:val="none" w:sz="0" w:space="0" w:color="auto"/>
            <w:right w:val="none" w:sz="0" w:space="0" w:color="auto"/>
          </w:divBdr>
        </w:div>
        <w:div w:id="480387949">
          <w:marLeft w:val="0"/>
          <w:marRight w:val="0"/>
          <w:marTop w:val="0"/>
          <w:marBottom w:val="150"/>
          <w:divBdr>
            <w:top w:val="none" w:sz="0" w:space="0" w:color="auto"/>
            <w:left w:val="none" w:sz="0" w:space="0" w:color="auto"/>
            <w:bottom w:val="none" w:sz="0" w:space="0" w:color="auto"/>
            <w:right w:val="none" w:sz="0" w:space="0" w:color="auto"/>
          </w:divBdr>
          <w:divsChild>
            <w:div w:id="1031029191">
              <w:marLeft w:val="0"/>
              <w:marRight w:val="0"/>
              <w:marTop w:val="0"/>
              <w:marBottom w:val="0"/>
              <w:divBdr>
                <w:top w:val="none" w:sz="0" w:space="0" w:color="auto"/>
                <w:left w:val="none" w:sz="0" w:space="0" w:color="auto"/>
                <w:bottom w:val="none" w:sz="0" w:space="0" w:color="auto"/>
                <w:right w:val="none" w:sz="0" w:space="0" w:color="auto"/>
              </w:divBdr>
              <w:divsChild>
                <w:div w:id="2105568759">
                  <w:marLeft w:val="0"/>
                  <w:marRight w:val="225"/>
                  <w:marTop w:val="0"/>
                  <w:marBottom w:val="0"/>
                  <w:divBdr>
                    <w:top w:val="none" w:sz="0" w:space="0" w:color="auto"/>
                    <w:left w:val="none" w:sz="0" w:space="0" w:color="auto"/>
                    <w:bottom w:val="none" w:sz="0" w:space="0" w:color="auto"/>
                    <w:right w:val="none" w:sz="0" w:space="0" w:color="auto"/>
                  </w:divBdr>
                  <w:divsChild>
                    <w:div w:id="3025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1709">
          <w:marLeft w:val="0"/>
          <w:marRight w:val="0"/>
          <w:marTop w:val="0"/>
          <w:marBottom w:val="150"/>
          <w:divBdr>
            <w:top w:val="none" w:sz="0" w:space="0" w:color="auto"/>
            <w:left w:val="none" w:sz="0" w:space="0" w:color="auto"/>
            <w:bottom w:val="none" w:sz="0" w:space="0" w:color="auto"/>
            <w:right w:val="none" w:sz="0" w:space="0" w:color="auto"/>
          </w:divBdr>
        </w:div>
      </w:divsChild>
    </w:div>
    <w:div w:id="1729113022">
      <w:bodyDiv w:val="1"/>
      <w:marLeft w:val="0"/>
      <w:marRight w:val="0"/>
      <w:marTop w:val="0"/>
      <w:marBottom w:val="0"/>
      <w:divBdr>
        <w:top w:val="none" w:sz="0" w:space="0" w:color="auto"/>
        <w:left w:val="none" w:sz="0" w:space="0" w:color="auto"/>
        <w:bottom w:val="none" w:sz="0" w:space="0" w:color="auto"/>
        <w:right w:val="none" w:sz="0" w:space="0" w:color="auto"/>
      </w:divBdr>
      <w:divsChild>
        <w:div w:id="1956668215">
          <w:marLeft w:val="0"/>
          <w:marRight w:val="0"/>
          <w:marTop w:val="0"/>
          <w:marBottom w:val="0"/>
          <w:divBdr>
            <w:top w:val="single" w:sz="4" w:space="0" w:color="0E477A"/>
            <w:left w:val="single" w:sz="4" w:space="0" w:color="0E477A"/>
            <w:bottom w:val="single" w:sz="4" w:space="0" w:color="0E477A"/>
            <w:right w:val="single" w:sz="4" w:space="0" w:color="0E477A"/>
          </w:divBdr>
          <w:divsChild>
            <w:div w:id="1524129908">
              <w:marLeft w:val="2442"/>
              <w:marRight w:val="0"/>
              <w:marTop w:val="0"/>
              <w:marBottom w:val="0"/>
              <w:divBdr>
                <w:top w:val="none" w:sz="0" w:space="0" w:color="auto"/>
                <w:left w:val="none" w:sz="0" w:space="0" w:color="auto"/>
                <w:bottom w:val="none" w:sz="0" w:space="0" w:color="auto"/>
                <w:right w:val="none" w:sz="0" w:space="0" w:color="auto"/>
              </w:divBdr>
              <w:divsChild>
                <w:div w:id="478770633">
                  <w:marLeft w:val="0"/>
                  <w:marRight w:val="0"/>
                  <w:marTop w:val="0"/>
                  <w:marBottom w:val="0"/>
                  <w:divBdr>
                    <w:top w:val="none" w:sz="0" w:space="0" w:color="auto"/>
                    <w:left w:val="none" w:sz="0" w:space="0" w:color="auto"/>
                    <w:bottom w:val="none" w:sz="0" w:space="0" w:color="auto"/>
                    <w:right w:val="none" w:sz="0" w:space="0" w:color="auto"/>
                  </w:divBdr>
                  <w:divsChild>
                    <w:div w:id="1022241105">
                      <w:marLeft w:val="0"/>
                      <w:marRight w:val="125"/>
                      <w:marTop w:val="0"/>
                      <w:marBottom w:val="0"/>
                      <w:divBdr>
                        <w:top w:val="single" w:sz="4" w:space="0" w:color="CCCCCC"/>
                        <w:left w:val="single" w:sz="4" w:space="6" w:color="CCCCCC"/>
                        <w:bottom w:val="single" w:sz="4" w:space="6" w:color="CCCCCC"/>
                        <w:right w:val="single" w:sz="4" w:space="6" w:color="CCCCCC"/>
                      </w:divBdr>
                      <w:divsChild>
                        <w:div w:id="1537111145">
                          <w:marLeft w:val="0"/>
                          <w:marRight w:val="0"/>
                          <w:marTop w:val="0"/>
                          <w:marBottom w:val="0"/>
                          <w:divBdr>
                            <w:top w:val="none" w:sz="0" w:space="0" w:color="auto"/>
                            <w:left w:val="none" w:sz="0" w:space="0" w:color="auto"/>
                            <w:bottom w:val="none" w:sz="0" w:space="0" w:color="auto"/>
                            <w:right w:val="none" w:sz="0" w:space="0" w:color="auto"/>
                          </w:divBdr>
                        </w:div>
                        <w:div w:id="2142649834">
                          <w:marLeft w:val="0"/>
                          <w:marRight w:val="0"/>
                          <w:marTop w:val="0"/>
                          <w:marBottom w:val="0"/>
                          <w:divBdr>
                            <w:top w:val="none" w:sz="0" w:space="0" w:color="auto"/>
                            <w:left w:val="none" w:sz="0" w:space="0" w:color="auto"/>
                            <w:bottom w:val="none" w:sz="0" w:space="0" w:color="auto"/>
                            <w:right w:val="none" w:sz="0" w:space="0" w:color="auto"/>
                          </w:divBdr>
                        </w:div>
                        <w:div w:id="1114597814">
                          <w:marLeft w:val="0"/>
                          <w:marRight w:val="0"/>
                          <w:marTop w:val="0"/>
                          <w:marBottom w:val="0"/>
                          <w:divBdr>
                            <w:top w:val="none" w:sz="0" w:space="0" w:color="auto"/>
                            <w:left w:val="none" w:sz="0" w:space="0" w:color="auto"/>
                            <w:bottom w:val="none" w:sz="0" w:space="0" w:color="auto"/>
                            <w:right w:val="none" w:sz="0" w:space="0" w:color="auto"/>
                          </w:divBdr>
                        </w:div>
                        <w:div w:id="517814843">
                          <w:marLeft w:val="0"/>
                          <w:marRight w:val="0"/>
                          <w:marTop w:val="0"/>
                          <w:marBottom w:val="0"/>
                          <w:divBdr>
                            <w:top w:val="none" w:sz="0" w:space="0" w:color="auto"/>
                            <w:left w:val="none" w:sz="0" w:space="0" w:color="auto"/>
                            <w:bottom w:val="none" w:sz="0" w:space="0" w:color="auto"/>
                            <w:right w:val="none" w:sz="0" w:space="0" w:color="auto"/>
                          </w:divBdr>
                        </w:div>
                        <w:div w:id="178475004">
                          <w:marLeft w:val="0"/>
                          <w:marRight w:val="0"/>
                          <w:marTop w:val="0"/>
                          <w:marBottom w:val="0"/>
                          <w:divBdr>
                            <w:top w:val="none" w:sz="0" w:space="0" w:color="auto"/>
                            <w:left w:val="none" w:sz="0" w:space="0" w:color="auto"/>
                            <w:bottom w:val="none" w:sz="0" w:space="0" w:color="auto"/>
                            <w:right w:val="none" w:sz="0" w:space="0" w:color="auto"/>
                          </w:divBdr>
                        </w:div>
                        <w:div w:id="117113648">
                          <w:marLeft w:val="0"/>
                          <w:marRight w:val="0"/>
                          <w:marTop w:val="0"/>
                          <w:marBottom w:val="0"/>
                          <w:divBdr>
                            <w:top w:val="none" w:sz="0" w:space="0" w:color="auto"/>
                            <w:left w:val="none" w:sz="0" w:space="0" w:color="auto"/>
                            <w:bottom w:val="none" w:sz="0" w:space="0" w:color="auto"/>
                            <w:right w:val="none" w:sz="0" w:space="0" w:color="auto"/>
                          </w:divBdr>
                        </w:div>
                        <w:div w:id="13894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20098">
      <w:bodyDiv w:val="1"/>
      <w:marLeft w:val="0"/>
      <w:marRight w:val="0"/>
      <w:marTop w:val="0"/>
      <w:marBottom w:val="0"/>
      <w:divBdr>
        <w:top w:val="none" w:sz="0" w:space="0" w:color="auto"/>
        <w:left w:val="none" w:sz="0" w:space="0" w:color="auto"/>
        <w:bottom w:val="none" w:sz="0" w:space="0" w:color="auto"/>
        <w:right w:val="none" w:sz="0" w:space="0" w:color="auto"/>
      </w:divBdr>
      <w:divsChild>
        <w:div w:id="1070227819">
          <w:marLeft w:val="0"/>
          <w:marRight w:val="0"/>
          <w:marTop w:val="0"/>
          <w:marBottom w:val="0"/>
          <w:divBdr>
            <w:top w:val="none" w:sz="0" w:space="0" w:color="auto"/>
            <w:left w:val="none" w:sz="0" w:space="0" w:color="auto"/>
            <w:bottom w:val="none" w:sz="0" w:space="0" w:color="auto"/>
            <w:right w:val="none" w:sz="0" w:space="0" w:color="auto"/>
          </w:divBdr>
          <w:divsChild>
            <w:div w:id="271089548">
              <w:marLeft w:val="0"/>
              <w:marRight w:val="0"/>
              <w:marTop w:val="0"/>
              <w:marBottom w:val="0"/>
              <w:divBdr>
                <w:top w:val="none" w:sz="0" w:space="0" w:color="auto"/>
                <w:left w:val="none" w:sz="0" w:space="0" w:color="auto"/>
                <w:bottom w:val="none" w:sz="0" w:space="0" w:color="auto"/>
                <w:right w:val="none" w:sz="0" w:space="0" w:color="auto"/>
              </w:divBdr>
              <w:divsChild>
                <w:div w:id="1317342186">
                  <w:marLeft w:val="0"/>
                  <w:marRight w:val="0"/>
                  <w:marTop w:val="0"/>
                  <w:marBottom w:val="0"/>
                  <w:divBdr>
                    <w:top w:val="none" w:sz="0" w:space="0" w:color="auto"/>
                    <w:left w:val="none" w:sz="0" w:space="0" w:color="auto"/>
                    <w:bottom w:val="none" w:sz="0" w:space="0" w:color="auto"/>
                    <w:right w:val="none" w:sz="0" w:space="0" w:color="auto"/>
                  </w:divBdr>
                  <w:divsChild>
                    <w:div w:id="731082878">
                      <w:marLeft w:val="0"/>
                      <w:marRight w:val="0"/>
                      <w:marTop w:val="0"/>
                      <w:marBottom w:val="0"/>
                      <w:divBdr>
                        <w:top w:val="none" w:sz="0" w:space="0" w:color="auto"/>
                        <w:left w:val="none" w:sz="0" w:space="0" w:color="auto"/>
                        <w:bottom w:val="none" w:sz="0" w:space="0" w:color="auto"/>
                        <w:right w:val="none" w:sz="0" w:space="0" w:color="auto"/>
                      </w:divBdr>
                      <w:divsChild>
                        <w:div w:id="167017538">
                          <w:marLeft w:val="0"/>
                          <w:marRight w:val="0"/>
                          <w:marTop w:val="0"/>
                          <w:marBottom w:val="0"/>
                          <w:divBdr>
                            <w:top w:val="none" w:sz="0" w:space="0" w:color="auto"/>
                            <w:left w:val="none" w:sz="0" w:space="0" w:color="auto"/>
                            <w:bottom w:val="none" w:sz="0" w:space="0" w:color="auto"/>
                            <w:right w:val="none" w:sz="0" w:space="0" w:color="auto"/>
                          </w:divBdr>
                          <w:divsChild>
                            <w:div w:id="635569863">
                              <w:marLeft w:val="0"/>
                              <w:marRight w:val="0"/>
                              <w:marTop w:val="0"/>
                              <w:marBottom w:val="0"/>
                              <w:divBdr>
                                <w:top w:val="none" w:sz="0" w:space="0" w:color="auto"/>
                                <w:left w:val="none" w:sz="0" w:space="0" w:color="auto"/>
                                <w:bottom w:val="none" w:sz="0" w:space="0" w:color="auto"/>
                                <w:right w:val="none" w:sz="0" w:space="0" w:color="auto"/>
                              </w:divBdr>
                              <w:divsChild>
                                <w:div w:id="1125662575">
                                  <w:marLeft w:val="0"/>
                                  <w:marRight w:val="0"/>
                                  <w:marTop w:val="0"/>
                                  <w:marBottom w:val="0"/>
                                  <w:divBdr>
                                    <w:top w:val="none" w:sz="0" w:space="0" w:color="auto"/>
                                    <w:left w:val="none" w:sz="0" w:space="0" w:color="auto"/>
                                    <w:bottom w:val="none" w:sz="0" w:space="0" w:color="auto"/>
                                    <w:right w:val="none" w:sz="0" w:space="0" w:color="auto"/>
                                  </w:divBdr>
                                  <w:divsChild>
                                    <w:div w:id="983974658">
                                      <w:marLeft w:val="0"/>
                                      <w:marRight w:val="0"/>
                                      <w:marTop w:val="0"/>
                                      <w:marBottom w:val="0"/>
                                      <w:divBdr>
                                        <w:top w:val="none" w:sz="0" w:space="0" w:color="auto"/>
                                        <w:left w:val="none" w:sz="0" w:space="0" w:color="auto"/>
                                        <w:bottom w:val="none" w:sz="0" w:space="0" w:color="auto"/>
                                        <w:right w:val="none" w:sz="0" w:space="0" w:color="auto"/>
                                      </w:divBdr>
                                      <w:divsChild>
                                        <w:div w:id="487789938">
                                          <w:marLeft w:val="0"/>
                                          <w:marRight w:val="0"/>
                                          <w:marTop w:val="0"/>
                                          <w:marBottom w:val="0"/>
                                          <w:divBdr>
                                            <w:top w:val="none" w:sz="0" w:space="0" w:color="auto"/>
                                            <w:left w:val="none" w:sz="0" w:space="0" w:color="auto"/>
                                            <w:bottom w:val="none" w:sz="0" w:space="0" w:color="auto"/>
                                            <w:right w:val="none" w:sz="0" w:space="0" w:color="auto"/>
                                          </w:divBdr>
                                          <w:divsChild>
                                            <w:div w:id="909315370">
                                              <w:marLeft w:val="0"/>
                                              <w:marRight w:val="0"/>
                                              <w:marTop w:val="0"/>
                                              <w:marBottom w:val="0"/>
                                              <w:divBdr>
                                                <w:top w:val="none" w:sz="0" w:space="0" w:color="auto"/>
                                                <w:left w:val="none" w:sz="0" w:space="0" w:color="auto"/>
                                                <w:bottom w:val="none" w:sz="0" w:space="0" w:color="auto"/>
                                                <w:right w:val="none" w:sz="0" w:space="0" w:color="auto"/>
                                              </w:divBdr>
                                              <w:divsChild>
                                                <w:div w:id="746730544">
                                                  <w:marLeft w:val="0"/>
                                                  <w:marRight w:val="0"/>
                                                  <w:marTop w:val="0"/>
                                                  <w:marBottom w:val="0"/>
                                                  <w:divBdr>
                                                    <w:top w:val="none" w:sz="0" w:space="0" w:color="auto"/>
                                                    <w:left w:val="none" w:sz="0" w:space="0" w:color="auto"/>
                                                    <w:bottom w:val="none" w:sz="0" w:space="0" w:color="auto"/>
                                                    <w:right w:val="none" w:sz="0" w:space="0" w:color="auto"/>
                                                  </w:divBdr>
                                                  <w:divsChild>
                                                    <w:div w:id="1277062396">
                                                      <w:marLeft w:val="0"/>
                                                      <w:marRight w:val="0"/>
                                                      <w:marTop w:val="0"/>
                                                      <w:marBottom w:val="0"/>
                                                      <w:divBdr>
                                                        <w:top w:val="none" w:sz="0" w:space="0" w:color="auto"/>
                                                        <w:left w:val="none" w:sz="0" w:space="0" w:color="auto"/>
                                                        <w:bottom w:val="none" w:sz="0" w:space="0" w:color="auto"/>
                                                        <w:right w:val="none" w:sz="0" w:space="0" w:color="auto"/>
                                                      </w:divBdr>
                                                      <w:divsChild>
                                                        <w:div w:id="21385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120542">
      <w:bodyDiv w:val="1"/>
      <w:marLeft w:val="0"/>
      <w:marRight w:val="0"/>
      <w:marTop w:val="0"/>
      <w:marBottom w:val="0"/>
      <w:divBdr>
        <w:top w:val="none" w:sz="0" w:space="0" w:color="auto"/>
        <w:left w:val="none" w:sz="0" w:space="0" w:color="auto"/>
        <w:bottom w:val="none" w:sz="0" w:space="0" w:color="auto"/>
        <w:right w:val="none" w:sz="0" w:space="0" w:color="auto"/>
      </w:divBdr>
      <w:divsChild>
        <w:div w:id="1103692272">
          <w:marLeft w:val="0"/>
          <w:marRight w:val="0"/>
          <w:marTop w:val="0"/>
          <w:marBottom w:val="0"/>
          <w:divBdr>
            <w:top w:val="none" w:sz="0" w:space="0" w:color="auto"/>
            <w:left w:val="none" w:sz="0" w:space="0" w:color="auto"/>
            <w:bottom w:val="none" w:sz="0" w:space="0" w:color="auto"/>
            <w:right w:val="none" w:sz="0" w:space="0" w:color="auto"/>
          </w:divBdr>
          <w:divsChild>
            <w:div w:id="334962712">
              <w:marLeft w:val="0"/>
              <w:marRight w:val="0"/>
              <w:marTop w:val="0"/>
              <w:marBottom w:val="0"/>
              <w:divBdr>
                <w:top w:val="none" w:sz="0" w:space="0" w:color="auto"/>
                <w:left w:val="none" w:sz="0" w:space="0" w:color="auto"/>
                <w:bottom w:val="none" w:sz="0" w:space="0" w:color="auto"/>
                <w:right w:val="none" w:sz="0" w:space="0" w:color="auto"/>
              </w:divBdr>
              <w:divsChild>
                <w:div w:id="761953689">
                  <w:marLeft w:val="-375"/>
                  <w:marRight w:val="0"/>
                  <w:marTop w:val="0"/>
                  <w:marBottom w:val="0"/>
                  <w:divBdr>
                    <w:top w:val="none" w:sz="0" w:space="0" w:color="auto"/>
                    <w:left w:val="none" w:sz="0" w:space="0" w:color="auto"/>
                    <w:bottom w:val="none" w:sz="0" w:space="0" w:color="auto"/>
                    <w:right w:val="none" w:sz="0" w:space="0" w:color="auto"/>
                  </w:divBdr>
                  <w:divsChild>
                    <w:div w:id="2083717938">
                      <w:marLeft w:val="0"/>
                      <w:marRight w:val="0"/>
                      <w:marTop w:val="0"/>
                      <w:marBottom w:val="0"/>
                      <w:divBdr>
                        <w:top w:val="none" w:sz="0" w:space="0" w:color="auto"/>
                        <w:left w:val="none" w:sz="0" w:space="0" w:color="auto"/>
                        <w:bottom w:val="none" w:sz="0" w:space="0" w:color="auto"/>
                        <w:right w:val="none" w:sz="0" w:space="0" w:color="auto"/>
                      </w:divBdr>
                      <w:divsChild>
                        <w:div w:id="1329285385">
                          <w:marLeft w:val="0"/>
                          <w:marRight w:val="0"/>
                          <w:marTop w:val="0"/>
                          <w:marBottom w:val="0"/>
                          <w:divBdr>
                            <w:top w:val="none" w:sz="0" w:space="0" w:color="auto"/>
                            <w:left w:val="none" w:sz="0" w:space="0" w:color="auto"/>
                            <w:bottom w:val="none" w:sz="0" w:space="0" w:color="auto"/>
                            <w:right w:val="none" w:sz="0" w:space="0" w:color="auto"/>
                          </w:divBdr>
                          <w:divsChild>
                            <w:div w:id="11403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464629">
      <w:bodyDiv w:val="1"/>
      <w:marLeft w:val="0"/>
      <w:marRight w:val="0"/>
      <w:marTop w:val="0"/>
      <w:marBottom w:val="0"/>
      <w:divBdr>
        <w:top w:val="none" w:sz="0" w:space="0" w:color="auto"/>
        <w:left w:val="none" w:sz="0" w:space="0" w:color="auto"/>
        <w:bottom w:val="none" w:sz="0" w:space="0" w:color="auto"/>
        <w:right w:val="none" w:sz="0" w:space="0" w:color="auto"/>
      </w:divBdr>
      <w:divsChild>
        <w:div w:id="1515337638">
          <w:marLeft w:val="0"/>
          <w:marRight w:val="0"/>
          <w:marTop w:val="0"/>
          <w:marBottom w:val="0"/>
          <w:divBdr>
            <w:top w:val="none" w:sz="0" w:space="0" w:color="auto"/>
            <w:left w:val="none" w:sz="0" w:space="0" w:color="auto"/>
            <w:bottom w:val="none" w:sz="0" w:space="0" w:color="auto"/>
            <w:right w:val="none" w:sz="0" w:space="0" w:color="auto"/>
          </w:divBdr>
          <w:divsChild>
            <w:div w:id="1465543943">
              <w:marLeft w:val="0"/>
              <w:marRight w:val="0"/>
              <w:marTop w:val="0"/>
              <w:marBottom w:val="0"/>
              <w:divBdr>
                <w:top w:val="none" w:sz="0" w:space="0" w:color="auto"/>
                <w:left w:val="none" w:sz="0" w:space="0" w:color="auto"/>
                <w:bottom w:val="none" w:sz="0" w:space="0" w:color="auto"/>
                <w:right w:val="none" w:sz="0" w:space="0" w:color="auto"/>
              </w:divBdr>
              <w:divsChild>
                <w:div w:id="1475291251">
                  <w:marLeft w:val="0"/>
                  <w:marRight w:val="0"/>
                  <w:marTop w:val="0"/>
                  <w:marBottom w:val="0"/>
                  <w:divBdr>
                    <w:top w:val="none" w:sz="0" w:space="0" w:color="auto"/>
                    <w:left w:val="none" w:sz="0" w:space="0" w:color="auto"/>
                    <w:bottom w:val="none" w:sz="0" w:space="0" w:color="auto"/>
                    <w:right w:val="none" w:sz="0" w:space="0" w:color="auto"/>
                  </w:divBdr>
                  <w:divsChild>
                    <w:div w:id="1467162502">
                      <w:marLeft w:val="0"/>
                      <w:marRight w:val="0"/>
                      <w:marTop w:val="0"/>
                      <w:marBottom w:val="0"/>
                      <w:divBdr>
                        <w:top w:val="none" w:sz="0" w:space="0" w:color="auto"/>
                        <w:left w:val="none" w:sz="0" w:space="0" w:color="auto"/>
                        <w:bottom w:val="none" w:sz="0" w:space="0" w:color="auto"/>
                        <w:right w:val="none" w:sz="0" w:space="0" w:color="auto"/>
                      </w:divBdr>
                      <w:divsChild>
                        <w:div w:id="1278291663">
                          <w:marLeft w:val="0"/>
                          <w:marRight w:val="0"/>
                          <w:marTop w:val="0"/>
                          <w:marBottom w:val="0"/>
                          <w:divBdr>
                            <w:top w:val="none" w:sz="0" w:space="0" w:color="auto"/>
                            <w:left w:val="none" w:sz="0" w:space="0" w:color="auto"/>
                            <w:bottom w:val="none" w:sz="0" w:space="0" w:color="auto"/>
                            <w:right w:val="none" w:sz="0" w:space="0" w:color="auto"/>
                          </w:divBdr>
                          <w:divsChild>
                            <w:div w:id="1188255368">
                              <w:marLeft w:val="0"/>
                              <w:marRight w:val="0"/>
                              <w:marTop w:val="0"/>
                              <w:marBottom w:val="0"/>
                              <w:divBdr>
                                <w:top w:val="none" w:sz="0" w:space="0" w:color="auto"/>
                                <w:left w:val="none" w:sz="0" w:space="0" w:color="auto"/>
                                <w:bottom w:val="none" w:sz="0" w:space="0" w:color="auto"/>
                                <w:right w:val="none" w:sz="0" w:space="0" w:color="auto"/>
                              </w:divBdr>
                              <w:divsChild>
                                <w:div w:id="803887893">
                                  <w:marLeft w:val="0"/>
                                  <w:marRight w:val="0"/>
                                  <w:marTop w:val="0"/>
                                  <w:marBottom w:val="0"/>
                                  <w:divBdr>
                                    <w:top w:val="none" w:sz="0" w:space="0" w:color="auto"/>
                                    <w:left w:val="none" w:sz="0" w:space="0" w:color="auto"/>
                                    <w:bottom w:val="none" w:sz="0" w:space="0" w:color="auto"/>
                                    <w:right w:val="none" w:sz="0" w:space="0" w:color="auto"/>
                                  </w:divBdr>
                                  <w:divsChild>
                                    <w:div w:id="1716389913">
                                      <w:marLeft w:val="0"/>
                                      <w:marRight w:val="0"/>
                                      <w:marTop w:val="0"/>
                                      <w:marBottom w:val="0"/>
                                      <w:divBdr>
                                        <w:top w:val="none" w:sz="0" w:space="0" w:color="auto"/>
                                        <w:left w:val="none" w:sz="0" w:space="0" w:color="auto"/>
                                        <w:bottom w:val="none" w:sz="0" w:space="0" w:color="auto"/>
                                        <w:right w:val="none" w:sz="0" w:space="0" w:color="auto"/>
                                      </w:divBdr>
                                      <w:divsChild>
                                        <w:div w:id="1993632697">
                                          <w:marLeft w:val="0"/>
                                          <w:marRight w:val="0"/>
                                          <w:marTop w:val="0"/>
                                          <w:marBottom w:val="0"/>
                                          <w:divBdr>
                                            <w:top w:val="none" w:sz="0" w:space="0" w:color="auto"/>
                                            <w:left w:val="none" w:sz="0" w:space="0" w:color="auto"/>
                                            <w:bottom w:val="none" w:sz="0" w:space="0" w:color="auto"/>
                                            <w:right w:val="none" w:sz="0" w:space="0" w:color="auto"/>
                                          </w:divBdr>
                                        </w:div>
                                        <w:div w:id="79255984">
                                          <w:marLeft w:val="0"/>
                                          <w:marRight w:val="0"/>
                                          <w:marTop w:val="0"/>
                                          <w:marBottom w:val="0"/>
                                          <w:divBdr>
                                            <w:top w:val="none" w:sz="0" w:space="0" w:color="auto"/>
                                            <w:left w:val="none" w:sz="0" w:space="0" w:color="auto"/>
                                            <w:bottom w:val="none" w:sz="0" w:space="0" w:color="auto"/>
                                            <w:right w:val="none" w:sz="0" w:space="0" w:color="auto"/>
                                          </w:divBdr>
                                          <w:divsChild>
                                            <w:div w:id="16899124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733619">
      <w:bodyDiv w:val="1"/>
      <w:marLeft w:val="0"/>
      <w:marRight w:val="0"/>
      <w:marTop w:val="0"/>
      <w:marBottom w:val="0"/>
      <w:divBdr>
        <w:top w:val="none" w:sz="0" w:space="0" w:color="auto"/>
        <w:left w:val="none" w:sz="0" w:space="0" w:color="auto"/>
        <w:bottom w:val="none" w:sz="0" w:space="0" w:color="auto"/>
        <w:right w:val="none" w:sz="0" w:space="0" w:color="auto"/>
      </w:divBdr>
    </w:div>
    <w:div w:id="1732920913">
      <w:bodyDiv w:val="1"/>
      <w:marLeft w:val="0"/>
      <w:marRight w:val="0"/>
      <w:marTop w:val="0"/>
      <w:marBottom w:val="0"/>
      <w:divBdr>
        <w:top w:val="none" w:sz="0" w:space="0" w:color="auto"/>
        <w:left w:val="none" w:sz="0" w:space="0" w:color="auto"/>
        <w:bottom w:val="none" w:sz="0" w:space="0" w:color="auto"/>
        <w:right w:val="none" w:sz="0" w:space="0" w:color="auto"/>
      </w:divBdr>
      <w:divsChild>
        <w:div w:id="436289660">
          <w:marLeft w:val="0"/>
          <w:marRight w:val="0"/>
          <w:marTop w:val="0"/>
          <w:marBottom w:val="0"/>
          <w:divBdr>
            <w:top w:val="none" w:sz="0" w:space="0" w:color="auto"/>
            <w:left w:val="none" w:sz="0" w:space="0" w:color="auto"/>
            <w:bottom w:val="none" w:sz="0" w:space="0" w:color="auto"/>
            <w:right w:val="none" w:sz="0" w:space="0" w:color="auto"/>
          </w:divBdr>
        </w:div>
      </w:divsChild>
    </w:div>
    <w:div w:id="1733385021">
      <w:bodyDiv w:val="1"/>
      <w:marLeft w:val="0"/>
      <w:marRight w:val="0"/>
      <w:marTop w:val="0"/>
      <w:marBottom w:val="0"/>
      <w:divBdr>
        <w:top w:val="none" w:sz="0" w:space="0" w:color="auto"/>
        <w:left w:val="none" w:sz="0" w:space="0" w:color="auto"/>
        <w:bottom w:val="none" w:sz="0" w:space="0" w:color="auto"/>
        <w:right w:val="none" w:sz="0" w:space="0" w:color="auto"/>
      </w:divBdr>
      <w:divsChild>
        <w:div w:id="1057050275">
          <w:marLeft w:val="0"/>
          <w:marRight w:val="0"/>
          <w:marTop w:val="0"/>
          <w:marBottom w:val="0"/>
          <w:divBdr>
            <w:top w:val="none" w:sz="0" w:space="0" w:color="auto"/>
            <w:left w:val="none" w:sz="0" w:space="0" w:color="auto"/>
            <w:bottom w:val="none" w:sz="0" w:space="0" w:color="auto"/>
            <w:right w:val="none" w:sz="0" w:space="0" w:color="auto"/>
          </w:divBdr>
          <w:divsChild>
            <w:div w:id="544561550">
              <w:marLeft w:val="0"/>
              <w:marRight w:val="0"/>
              <w:marTop w:val="0"/>
              <w:marBottom w:val="0"/>
              <w:divBdr>
                <w:top w:val="none" w:sz="0" w:space="0" w:color="auto"/>
                <w:left w:val="none" w:sz="0" w:space="0" w:color="auto"/>
                <w:bottom w:val="none" w:sz="0" w:space="0" w:color="auto"/>
                <w:right w:val="none" w:sz="0" w:space="0" w:color="auto"/>
              </w:divBdr>
              <w:divsChild>
                <w:div w:id="496848512">
                  <w:marLeft w:val="0"/>
                  <w:marRight w:val="0"/>
                  <w:marTop w:val="0"/>
                  <w:marBottom w:val="0"/>
                  <w:divBdr>
                    <w:top w:val="none" w:sz="0" w:space="0" w:color="auto"/>
                    <w:left w:val="none" w:sz="0" w:space="0" w:color="auto"/>
                    <w:bottom w:val="none" w:sz="0" w:space="0" w:color="auto"/>
                    <w:right w:val="none" w:sz="0" w:space="0" w:color="auto"/>
                  </w:divBdr>
                  <w:divsChild>
                    <w:div w:id="92553421">
                      <w:marLeft w:val="0"/>
                      <w:marRight w:val="0"/>
                      <w:marTop w:val="0"/>
                      <w:marBottom w:val="0"/>
                      <w:divBdr>
                        <w:top w:val="none" w:sz="0" w:space="0" w:color="auto"/>
                        <w:left w:val="none" w:sz="0" w:space="0" w:color="auto"/>
                        <w:bottom w:val="none" w:sz="0" w:space="0" w:color="auto"/>
                        <w:right w:val="none" w:sz="0" w:space="0" w:color="auto"/>
                      </w:divBdr>
                      <w:divsChild>
                        <w:div w:id="18965013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734812721">
      <w:bodyDiv w:val="1"/>
      <w:marLeft w:val="0"/>
      <w:marRight w:val="0"/>
      <w:marTop w:val="0"/>
      <w:marBottom w:val="0"/>
      <w:divBdr>
        <w:top w:val="none" w:sz="0" w:space="0" w:color="auto"/>
        <w:left w:val="none" w:sz="0" w:space="0" w:color="auto"/>
        <w:bottom w:val="none" w:sz="0" w:space="0" w:color="auto"/>
        <w:right w:val="none" w:sz="0" w:space="0" w:color="auto"/>
      </w:divBdr>
      <w:divsChild>
        <w:div w:id="1692488503">
          <w:marLeft w:val="0"/>
          <w:marRight w:val="0"/>
          <w:marTop w:val="0"/>
          <w:marBottom w:val="0"/>
          <w:divBdr>
            <w:top w:val="none" w:sz="0" w:space="0" w:color="auto"/>
            <w:left w:val="none" w:sz="0" w:space="0" w:color="auto"/>
            <w:bottom w:val="none" w:sz="0" w:space="0" w:color="auto"/>
            <w:right w:val="none" w:sz="0" w:space="0" w:color="auto"/>
          </w:divBdr>
        </w:div>
        <w:div w:id="158927213">
          <w:marLeft w:val="0"/>
          <w:marRight w:val="0"/>
          <w:marTop w:val="0"/>
          <w:marBottom w:val="0"/>
          <w:divBdr>
            <w:top w:val="none" w:sz="0" w:space="0" w:color="auto"/>
            <w:left w:val="none" w:sz="0" w:space="0" w:color="auto"/>
            <w:bottom w:val="none" w:sz="0" w:space="0" w:color="auto"/>
            <w:right w:val="none" w:sz="0" w:space="0" w:color="auto"/>
          </w:divBdr>
        </w:div>
        <w:div w:id="850796906">
          <w:marLeft w:val="0"/>
          <w:marRight w:val="0"/>
          <w:marTop w:val="0"/>
          <w:marBottom w:val="0"/>
          <w:divBdr>
            <w:top w:val="none" w:sz="0" w:space="0" w:color="auto"/>
            <w:left w:val="none" w:sz="0" w:space="0" w:color="auto"/>
            <w:bottom w:val="none" w:sz="0" w:space="0" w:color="auto"/>
            <w:right w:val="none" w:sz="0" w:space="0" w:color="auto"/>
          </w:divBdr>
        </w:div>
        <w:div w:id="1853690856">
          <w:marLeft w:val="0"/>
          <w:marRight w:val="0"/>
          <w:marTop w:val="0"/>
          <w:marBottom w:val="0"/>
          <w:divBdr>
            <w:top w:val="none" w:sz="0" w:space="0" w:color="auto"/>
            <w:left w:val="none" w:sz="0" w:space="0" w:color="auto"/>
            <w:bottom w:val="none" w:sz="0" w:space="0" w:color="auto"/>
            <w:right w:val="none" w:sz="0" w:space="0" w:color="auto"/>
          </w:divBdr>
        </w:div>
        <w:div w:id="486365086">
          <w:marLeft w:val="0"/>
          <w:marRight w:val="0"/>
          <w:marTop w:val="0"/>
          <w:marBottom w:val="0"/>
          <w:divBdr>
            <w:top w:val="none" w:sz="0" w:space="0" w:color="auto"/>
            <w:left w:val="none" w:sz="0" w:space="0" w:color="auto"/>
            <w:bottom w:val="none" w:sz="0" w:space="0" w:color="auto"/>
            <w:right w:val="none" w:sz="0" w:space="0" w:color="auto"/>
          </w:divBdr>
        </w:div>
        <w:div w:id="1490710212">
          <w:marLeft w:val="0"/>
          <w:marRight w:val="0"/>
          <w:marTop w:val="0"/>
          <w:marBottom w:val="0"/>
          <w:divBdr>
            <w:top w:val="none" w:sz="0" w:space="0" w:color="auto"/>
            <w:left w:val="none" w:sz="0" w:space="0" w:color="auto"/>
            <w:bottom w:val="none" w:sz="0" w:space="0" w:color="auto"/>
            <w:right w:val="none" w:sz="0" w:space="0" w:color="auto"/>
          </w:divBdr>
        </w:div>
        <w:div w:id="1135562224">
          <w:marLeft w:val="0"/>
          <w:marRight w:val="0"/>
          <w:marTop w:val="0"/>
          <w:marBottom w:val="0"/>
          <w:divBdr>
            <w:top w:val="none" w:sz="0" w:space="0" w:color="auto"/>
            <w:left w:val="none" w:sz="0" w:space="0" w:color="auto"/>
            <w:bottom w:val="none" w:sz="0" w:space="0" w:color="auto"/>
            <w:right w:val="none" w:sz="0" w:space="0" w:color="auto"/>
          </w:divBdr>
        </w:div>
        <w:div w:id="237397992">
          <w:marLeft w:val="0"/>
          <w:marRight w:val="0"/>
          <w:marTop w:val="0"/>
          <w:marBottom w:val="0"/>
          <w:divBdr>
            <w:top w:val="none" w:sz="0" w:space="0" w:color="auto"/>
            <w:left w:val="none" w:sz="0" w:space="0" w:color="auto"/>
            <w:bottom w:val="none" w:sz="0" w:space="0" w:color="auto"/>
            <w:right w:val="none" w:sz="0" w:space="0" w:color="auto"/>
          </w:divBdr>
          <w:divsChild>
            <w:div w:id="198903338">
              <w:marLeft w:val="0"/>
              <w:marRight w:val="0"/>
              <w:marTop w:val="0"/>
              <w:marBottom w:val="0"/>
              <w:divBdr>
                <w:top w:val="none" w:sz="0" w:space="0" w:color="auto"/>
                <w:left w:val="none" w:sz="0" w:space="0" w:color="auto"/>
                <w:bottom w:val="none" w:sz="0" w:space="0" w:color="auto"/>
                <w:right w:val="none" w:sz="0" w:space="0" w:color="auto"/>
              </w:divBdr>
            </w:div>
            <w:div w:id="74212629">
              <w:marLeft w:val="0"/>
              <w:marRight w:val="0"/>
              <w:marTop w:val="0"/>
              <w:marBottom w:val="0"/>
              <w:divBdr>
                <w:top w:val="none" w:sz="0" w:space="0" w:color="auto"/>
                <w:left w:val="none" w:sz="0" w:space="0" w:color="auto"/>
                <w:bottom w:val="none" w:sz="0" w:space="0" w:color="auto"/>
                <w:right w:val="none" w:sz="0" w:space="0" w:color="auto"/>
              </w:divBdr>
            </w:div>
            <w:div w:id="1981379759">
              <w:marLeft w:val="0"/>
              <w:marRight w:val="0"/>
              <w:marTop w:val="0"/>
              <w:marBottom w:val="0"/>
              <w:divBdr>
                <w:top w:val="none" w:sz="0" w:space="0" w:color="auto"/>
                <w:left w:val="none" w:sz="0" w:space="0" w:color="auto"/>
                <w:bottom w:val="none" w:sz="0" w:space="0" w:color="auto"/>
                <w:right w:val="none" w:sz="0" w:space="0" w:color="auto"/>
              </w:divBdr>
            </w:div>
            <w:div w:id="1874148204">
              <w:marLeft w:val="0"/>
              <w:marRight w:val="0"/>
              <w:marTop w:val="0"/>
              <w:marBottom w:val="0"/>
              <w:divBdr>
                <w:top w:val="none" w:sz="0" w:space="0" w:color="auto"/>
                <w:left w:val="none" w:sz="0" w:space="0" w:color="auto"/>
                <w:bottom w:val="none" w:sz="0" w:space="0" w:color="auto"/>
                <w:right w:val="none" w:sz="0" w:space="0" w:color="auto"/>
              </w:divBdr>
            </w:div>
            <w:div w:id="1097754310">
              <w:marLeft w:val="0"/>
              <w:marRight w:val="0"/>
              <w:marTop w:val="0"/>
              <w:marBottom w:val="0"/>
              <w:divBdr>
                <w:top w:val="none" w:sz="0" w:space="0" w:color="auto"/>
                <w:left w:val="none" w:sz="0" w:space="0" w:color="auto"/>
                <w:bottom w:val="none" w:sz="0" w:space="0" w:color="auto"/>
                <w:right w:val="none" w:sz="0" w:space="0" w:color="auto"/>
              </w:divBdr>
            </w:div>
            <w:div w:id="1669477529">
              <w:marLeft w:val="0"/>
              <w:marRight w:val="0"/>
              <w:marTop w:val="0"/>
              <w:marBottom w:val="0"/>
              <w:divBdr>
                <w:top w:val="none" w:sz="0" w:space="0" w:color="auto"/>
                <w:left w:val="none" w:sz="0" w:space="0" w:color="auto"/>
                <w:bottom w:val="none" w:sz="0" w:space="0" w:color="auto"/>
                <w:right w:val="none" w:sz="0" w:space="0" w:color="auto"/>
              </w:divBdr>
            </w:div>
            <w:div w:id="2058815724">
              <w:marLeft w:val="0"/>
              <w:marRight w:val="0"/>
              <w:marTop w:val="0"/>
              <w:marBottom w:val="0"/>
              <w:divBdr>
                <w:top w:val="none" w:sz="0" w:space="0" w:color="auto"/>
                <w:left w:val="none" w:sz="0" w:space="0" w:color="auto"/>
                <w:bottom w:val="none" w:sz="0" w:space="0" w:color="auto"/>
                <w:right w:val="none" w:sz="0" w:space="0" w:color="auto"/>
              </w:divBdr>
            </w:div>
            <w:div w:id="1313296415">
              <w:marLeft w:val="0"/>
              <w:marRight w:val="0"/>
              <w:marTop w:val="0"/>
              <w:marBottom w:val="0"/>
              <w:divBdr>
                <w:top w:val="none" w:sz="0" w:space="0" w:color="auto"/>
                <w:left w:val="none" w:sz="0" w:space="0" w:color="auto"/>
                <w:bottom w:val="none" w:sz="0" w:space="0" w:color="auto"/>
                <w:right w:val="none" w:sz="0" w:space="0" w:color="auto"/>
              </w:divBdr>
            </w:div>
            <w:div w:id="1886913797">
              <w:marLeft w:val="0"/>
              <w:marRight w:val="0"/>
              <w:marTop w:val="0"/>
              <w:marBottom w:val="0"/>
              <w:divBdr>
                <w:top w:val="none" w:sz="0" w:space="0" w:color="auto"/>
                <w:left w:val="none" w:sz="0" w:space="0" w:color="auto"/>
                <w:bottom w:val="none" w:sz="0" w:space="0" w:color="auto"/>
                <w:right w:val="none" w:sz="0" w:space="0" w:color="auto"/>
              </w:divBdr>
              <w:divsChild>
                <w:div w:id="182091360">
                  <w:marLeft w:val="0"/>
                  <w:marRight w:val="0"/>
                  <w:marTop w:val="0"/>
                  <w:marBottom w:val="0"/>
                  <w:divBdr>
                    <w:top w:val="none" w:sz="0" w:space="0" w:color="auto"/>
                    <w:left w:val="none" w:sz="0" w:space="0" w:color="auto"/>
                    <w:bottom w:val="none" w:sz="0" w:space="0" w:color="auto"/>
                    <w:right w:val="none" w:sz="0" w:space="0" w:color="auto"/>
                  </w:divBdr>
                </w:div>
                <w:div w:id="1581601576">
                  <w:marLeft w:val="0"/>
                  <w:marRight w:val="0"/>
                  <w:marTop w:val="0"/>
                  <w:marBottom w:val="0"/>
                  <w:divBdr>
                    <w:top w:val="none" w:sz="0" w:space="0" w:color="auto"/>
                    <w:left w:val="none" w:sz="0" w:space="0" w:color="auto"/>
                    <w:bottom w:val="none" w:sz="0" w:space="0" w:color="auto"/>
                    <w:right w:val="none" w:sz="0" w:space="0" w:color="auto"/>
                  </w:divBdr>
                </w:div>
                <w:div w:id="618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5703">
      <w:bodyDiv w:val="1"/>
      <w:marLeft w:val="0"/>
      <w:marRight w:val="0"/>
      <w:marTop w:val="0"/>
      <w:marBottom w:val="0"/>
      <w:divBdr>
        <w:top w:val="none" w:sz="0" w:space="0" w:color="auto"/>
        <w:left w:val="none" w:sz="0" w:space="0" w:color="auto"/>
        <w:bottom w:val="none" w:sz="0" w:space="0" w:color="auto"/>
        <w:right w:val="none" w:sz="0" w:space="0" w:color="auto"/>
      </w:divBdr>
      <w:divsChild>
        <w:div w:id="971519216">
          <w:marLeft w:val="0"/>
          <w:marRight w:val="0"/>
          <w:marTop w:val="0"/>
          <w:marBottom w:val="0"/>
          <w:divBdr>
            <w:top w:val="none" w:sz="0" w:space="0" w:color="auto"/>
            <w:left w:val="none" w:sz="0" w:space="0" w:color="auto"/>
            <w:bottom w:val="none" w:sz="0" w:space="0" w:color="auto"/>
            <w:right w:val="none" w:sz="0" w:space="0" w:color="auto"/>
          </w:divBdr>
          <w:divsChild>
            <w:div w:id="1835875030">
              <w:marLeft w:val="0"/>
              <w:marRight w:val="0"/>
              <w:marTop w:val="0"/>
              <w:marBottom w:val="0"/>
              <w:divBdr>
                <w:top w:val="none" w:sz="0" w:space="0" w:color="auto"/>
                <w:left w:val="none" w:sz="0" w:space="0" w:color="auto"/>
                <w:bottom w:val="none" w:sz="0" w:space="0" w:color="auto"/>
                <w:right w:val="none" w:sz="0" w:space="0" w:color="auto"/>
              </w:divBdr>
              <w:divsChild>
                <w:div w:id="543522447">
                  <w:marLeft w:val="0"/>
                  <w:marRight w:val="0"/>
                  <w:marTop w:val="0"/>
                  <w:marBottom w:val="0"/>
                  <w:divBdr>
                    <w:top w:val="none" w:sz="0" w:space="0" w:color="auto"/>
                    <w:left w:val="none" w:sz="0" w:space="0" w:color="auto"/>
                    <w:bottom w:val="none" w:sz="0" w:space="0" w:color="auto"/>
                    <w:right w:val="none" w:sz="0" w:space="0" w:color="auto"/>
                  </w:divBdr>
                  <w:divsChild>
                    <w:div w:id="738939100">
                      <w:marLeft w:val="0"/>
                      <w:marRight w:val="0"/>
                      <w:marTop w:val="0"/>
                      <w:marBottom w:val="0"/>
                      <w:divBdr>
                        <w:top w:val="none" w:sz="0" w:space="0" w:color="auto"/>
                        <w:left w:val="none" w:sz="0" w:space="0" w:color="auto"/>
                        <w:bottom w:val="none" w:sz="0" w:space="0" w:color="auto"/>
                        <w:right w:val="none" w:sz="0" w:space="0" w:color="auto"/>
                      </w:divBdr>
                      <w:divsChild>
                        <w:div w:id="295455650">
                          <w:marLeft w:val="0"/>
                          <w:marRight w:val="0"/>
                          <w:marTop w:val="0"/>
                          <w:marBottom w:val="0"/>
                          <w:divBdr>
                            <w:top w:val="none" w:sz="0" w:space="0" w:color="auto"/>
                            <w:left w:val="none" w:sz="0" w:space="0" w:color="auto"/>
                            <w:bottom w:val="none" w:sz="0" w:space="0" w:color="auto"/>
                            <w:right w:val="none" w:sz="0" w:space="0" w:color="auto"/>
                          </w:divBdr>
                          <w:divsChild>
                            <w:div w:id="1025862233">
                              <w:marLeft w:val="570"/>
                              <w:marRight w:val="720"/>
                              <w:marTop w:val="120"/>
                              <w:marBottom w:val="120"/>
                              <w:divBdr>
                                <w:top w:val="none" w:sz="0" w:space="0" w:color="auto"/>
                                <w:left w:val="none" w:sz="0" w:space="0" w:color="auto"/>
                                <w:bottom w:val="none" w:sz="0" w:space="0" w:color="auto"/>
                                <w:right w:val="none" w:sz="0" w:space="0" w:color="auto"/>
                              </w:divBdr>
                              <w:divsChild>
                                <w:div w:id="1037438048">
                                  <w:marLeft w:val="0"/>
                                  <w:marRight w:val="0"/>
                                  <w:marTop w:val="0"/>
                                  <w:marBottom w:val="0"/>
                                  <w:divBdr>
                                    <w:top w:val="none" w:sz="0" w:space="0" w:color="auto"/>
                                    <w:left w:val="none" w:sz="0" w:space="0" w:color="auto"/>
                                    <w:bottom w:val="none" w:sz="0" w:space="0" w:color="auto"/>
                                    <w:right w:val="none" w:sz="0" w:space="0" w:color="auto"/>
                                  </w:divBdr>
                                  <w:divsChild>
                                    <w:div w:id="609092877">
                                      <w:marLeft w:val="0"/>
                                      <w:marRight w:val="0"/>
                                      <w:marTop w:val="0"/>
                                      <w:marBottom w:val="0"/>
                                      <w:divBdr>
                                        <w:top w:val="none" w:sz="0" w:space="0" w:color="auto"/>
                                        <w:left w:val="none" w:sz="0" w:space="0" w:color="auto"/>
                                        <w:bottom w:val="none" w:sz="0" w:space="0" w:color="auto"/>
                                        <w:right w:val="none" w:sz="0" w:space="0" w:color="auto"/>
                                      </w:divBdr>
                                      <w:divsChild>
                                        <w:div w:id="1940403134">
                                          <w:marLeft w:val="0"/>
                                          <w:marRight w:val="0"/>
                                          <w:marTop w:val="0"/>
                                          <w:marBottom w:val="150"/>
                                          <w:divBdr>
                                            <w:top w:val="none" w:sz="0" w:space="0" w:color="auto"/>
                                            <w:left w:val="none" w:sz="0" w:space="0" w:color="auto"/>
                                            <w:bottom w:val="none" w:sz="0" w:space="0" w:color="auto"/>
                                            <w:right w:val="none" w:sz="0" w:space="0" w:color="auto"/>
                                          </w:divBdr>
                                          <w:divsChild>
                                            <w:div w:id="1219172667">
                                              <w:marLeft w:val="0"/>
                                              <w:marRight w:val="0"/>
                                              <w:marTop w:val="0"/>
                                              <w:marBottom w:val="0"/>
                                              <w:divBdr>
                                                <w:top w:val="none" w:sz="0" w:space="0" w:color="auto"/>
                                                <w:left w:val="none" w:sz="0" w:space="0" w:color="auto"/>
                                                <w:bottom w:val="none" w:sz="0" w:space="0" w:color="auto"/>
                                                <w:right w:val="none" w:sz="0" w:space="0" w:color="auto"/>
                                              </w:divBdr>
                                              <w:divsChild>
                                                <w:div w:id="142702728">
                                                  <w:marLeft w:val="0"/>
                                                  <w:marRight w:val="0"/>
                                                  <w:marTop w:val="0"/>
                                                  <w:marBottom w:val="0"/>
                                                  <w:divBdr>
                                                    <w:top w:val="none" w:sz="0" w:space="0" w:color="auto"/>
                                                    <w:left w:val="none" w:sz="0" w:space="0" w:color="auto"/>
                                                    <w:bottom w:val="none" w:sz="0" w:space="0" w:color="auto"/>
                                                    <w:right w:val="none" w:sz="0" w:space="0" w:color="auto"/>
                                                  </w:divBdr>
                                                </w:div>
                                                <w:div w:id="3953210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473056">
      <w:bodyDiv w:val="1"/>
      <w:marLeft w:val="0"/>
      <w:marRight w:val="0"/>
      <w:marTop w:val="0"/>
      <w:marBottom w:val="0"/>
      <w:divBdr>
        <w:top w:val="none" w:sz="0" w:space="0" w:color="auto"/>
        <w:left w:val="none" w:sz="0" w:space="0" w:color="auto"/>
        <w:bottom w:val="none" w:sz="0" w:space="0" w:color="auto"/>
        <w:right w:val="none" w:sz="0" w:space="0" w:color="auto"/>
      </w:divBdr>
    </w:div>
    <w:div w:id="1741322898">
      <w:bodyDiv w:val="1"/>
      <w:marLeft w:val="0"/>
      <w:marRight w:val="0"/>
      <w:marTop w:val="0"/>
      <w:marBottom w:val="0"/>
      <w:divBdr>
        <w:top w:val="none" w:sz="0" w:space="0" w:color="auto"/>
        <w:left w:val="none" w:sz="0" w:space="0" w:color="auto"/>
        <w:bottom w:val="none" w:sz="0" w:space="0" w:color="auto"/>
        <w:right w:val="none" w:sz="0" w:space="0" w:color="auto"/>
      </w:divBdr>
      <w:divsChild>
        <w:div w:id="1271889661">
          <w:marLeft w:val="0"/>
          <w:marRight w:val="0"/>
          <w:marTop w:val="0"/>
          <w:marBottom w:val="0"/>
          <w:divBdr>
            <w:top w:val="none" w:sz="0" w:space="0" w:color="auto"/>
            <w:left w:val="none" w:sz="0" w:space="0" w:color="auto"/>
            <w:bottom w:val="none" w:sz="0" w:space="0" w:color="auto"/>
            <w:right w:val="none" w:sz="0" w:space="0" w:color="auto"/>
          </w:divBdr>
          <w:divsChild>
            <w:div w:id="1638142168">
              <w:marLeft w:val="0"/>
              <w:marRight w:val="0"/>
              <w:marTop w:val="0"/>
              <w:marBottom w:val="0"/>
              <w:divBdr>
                <w:top w:val="none" w:sz="0" w:space="0" w:color="auto"/>
                <w:left w:val="none" w:sz="0" w:space="0" w:color="auto"/>
                <w:bottom w:val="none" w:sz="0" w:space="0" w:color="auto"/>
                <w:right w:val="none" w:sz="0" w:space="0" w:color="auto"/>
              </w:divBdr>
              <w:divsChild>
                <w:div w:id="654184368">
                  <w:marLeft w:val="0"/>
                  <w:marRight w:val="0"/>
                  <w:marTop w:val="100"/>
                  <w:marBottom w:val="100"/>
                  <w:divBdr>
                    <w:top w:val="none" w:sz="0" w:space="0" w:color="auto"/>
                    <w:left w:val="none" w:sz="0" w:space="0" w:color="auto"/>
                    <w:bottom w:val="none" w:sz="0" w:space="0" w:color="auto"/>
                    <w:right w:val="none" w:sz="0" w:space="0" w:color="auto"/>
                  </w:divBdr>
                  <w:divsChild>
                    <w:div w:id="1626081728">
                      <w:marLeft w:val="0"/>
                      <w:marRight w:val="0"/>
                      <w:marTop w:val="0"/>
                      <w:marBottom w:val="0"/>
                      <w:divBdr>
                        <w:top w:val="none" w:sz="0" w:space="0" w:color="auto"/>
                        <w:left w:val="none" w:sz="0" w:space="0" w:color="auto"/>
                        <w:bottom w:val="none" w:sz="0" w:space="0" w:color="auto"/>
                        <w:right w:val="none" w:sz="0" w:space="0" w:color="auto"/>
                      </w:divBdr>
                      <w:divsChild>
                        <w:div w:id="702942505">
                          <w:marLeft w:val="0"/>
                          <w:marRight w:val="0"/>
                          <w:marTop w:val="0"/>
                          <w:marBottom w:val="0"/>
                          <w:divBdr>
                            <w:top w:val="none" w:sz="0" w:space="0" w:color="auto"/>
                            <w:left w:val="none" w:sz="0" w:space="0" w:color="auto"/>
                            <w:bottom w:val="none" w:sz="0" w:space="0" w:color="auto"/>
                            <w:right w:val="none" w:sz="0" w:space="0" w:color="auto"/>
                          </w:divBdr>
                          <w:divsChild>
                            <w:div w:id="1478571797">
                              <w:marLeft w:val="0"/>
                              <w:marRight w:val="0"/>
                              <w:marTop w:val="0"/>
                              <w:marBottom w:val="0"/>
                              <w:divBdr>
                                <w:top w:val="none" w:sz="0" w:space="0" w:color="auto"/>
                                <w:left w:val="none" w:sz="0" w:space="0" w:color="auto"/>
                                <w:bottom w:val="none" w:sz="0" w:space="0" w:color="auto"/>
                                <w:right w:val="none" w:sz="0" w:space="0" w:color="auto"/>
                              </w:divBdr>
                              <w:divsChild>
                                <w:div w:id="1560743475">
                                  <w:marLeft w:val="0"/>
                                  <w:marRight w:val="0"/>
                                  <w:marTop w:val="0"/>
                                  <w:marBottom w:val="0"/>
                                  <w:divBdr>
                                    <w:top w:val="none" w:sz="0" w:space="0" w:color="auto"/>
                                    <w:left w:val="none" w:sz="0" w:space="0" w:color="auto"/>
                                    <w:bottom w:val="none" w:sz="0" w:space="0" w:color="auto"/>
                                    <w:right w:val="none" w:sz="0" w:space="0" w:color="auto"/>
                                  </w:divBdr>
                                  <w:divsChild>
                                    <w:div w:id="9824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63125">
      <w:bodyDiv w:val="1"/>
      <w:marLeft w:val="0"/>
      <w:marRight w:val="0"/>
      <w:marTop w:val="0"/>
      <w:marBottom w:val="0"/>
      <w:divBdr>
        <w:top w:val="none" w:sz="0" w:space="0" w:color="auto"/>
        <w:left w:val="none" w:sz="0" w:space="0" w:color="auto"/>
        <w:bottom w:val="none" w:sz="0" w:space="0" w:color="auto"/>
        <w:right w:val="none" w:sz="0" w:space="0" w:color="auto"/>
      </w:divBdr>
    </w:div>
    <w:div w:id="1742407719">
      <w:bodyDiv w:val="1"/>
      <w:marLeft w:val="0"/>
      <w:marRight w:val="0"/>
      <w:marTop w:val="0"/>
      <w:marBottom w:val="0"/>
      <w:divBdr>
        <w:top w:val="none" w:sz="0" w:space="0" w:color="auto"/>
        <w:left w:val="none" w:sz="0" w:space="0" w:color="auto"/>
        <w:bottom w:val="none" w:sz="0" w:space="0" w:color="auto"/>
        <w:right w:val="none" w:sz="0" w:space="0" w:color="auto"/>
      </w:divBdr>
      <w:divsChild>
        <w:div w:id="452138181">
          <w:marLeft w:val="0"/>
          <w:marRight w:val="0"/>
          <w:marTop w:val="0"/>
          <w:marBottom w:val="0"/>
          <w:divBdr>
            <w:top w:val="none" w:sz="0" w:space="0" w:color="auto"/>
            <w:left w:val="none" w:sz="0" w:space="0" w:color="auto"/>
            <w:bottom w:val="none" w:sz="0" w:space="0" w:color="auto"/>
            <w:right w:val="none" w:sz="0" w:space="0" w:color="auto"/>
          </w:divBdr>
          <w:divsChild>
            <w:div w:id="203098013">
              <w:marLeft w:val="0"/>
              <w:marRight w:val="0"/>
              <w:marTop w:val="0"/>
              <w:marBottom w:val="0"/>
              <w:divBdr>
                <w:top w:val="none" w:sz="0" w:space="0" w:color="auto"/>
                <w:left w:val="none" w:sz="0" w:space="0" w:color="auto"/>
                <w:bottom w:val="none" w:sz="0" w:space="0" w:color="auto"/>
                <w:right w:val="none" w:sz="0" w:space="0" w:color="auto"/>
              </w:divBdr>
              <w:divsChild>
                <w:div w:id="298272163">
                  <w:marLeft w:val="0"/>
                  <w:marRight w:val="0"/>
                  <w:marTop w:val="0"/>
                  <w:marBottom w:val="0"/>
                  <w:divBdr>
                    <w:top w:val="none" w:sz="0" w:space="0" w:color="auto"/>
                    <w:left w:val="none" w:sz="0" w:space="0" w:color="auto"/>
                    <w:bottom w:val="none" w:sz="0" w:space="0" w:color="auto"/>
                    <w:right w:val="none" w:sz="0" w:space="0" w:color="auto"/>
                  </w:divBdr>
                  <w:divsChild>
                    <w:div w:id="1166632077">
                      <w:marLeft w:val="0"/>
                      <w:marRight w:val="0"/>
                      <w:marTop w:val="0"/>
                      <w:marBottom w:val="0"/>
                      <w:divBdr>
                        <w:top w:val="none" w:sz="0" w:space="0" w:color="auto"/>
                        <w:left w:val="none" w:sz="0" w:space="0" w:color="auto"/>
                        <w:bottom w:val="none" w:sz="0" w:space="0" w:color="auto"/>
                        <w:right w:val="none" w:sz="0" w:space="0" w:color="auto"/>
                      </w:divBdr>
                      <w:divsChild>
                        <w:div w:id="1488206840">
                          <w:marLeft w:val="0"/>
                          <w:marRight w:val="0"/>
                          <w:marTop w:val="0"/>
                          <w:marBottom w:val="0"/>
                          <w:divBdr>
                            <w:top w:val="none" w:sz="0" w:space="0" w:color="auto"/>
                            <w:left w:val="none" w:sz="0" w:space="0" w:color="auto"/>
                            <w:bottom w:val="none" w:sz="0" w:space="0" w:color="auto"/>
                            <w:right w:val="none" w:sz="0" w:space="0" w:color="auto"/>
                          </w:divBdr>
                          <w:divsChild>
                            <w:div w:id="2108305861">
                              <w:marLeft w:val="0"/>
                              <w:marRight w:val="0"/>
                              <w:marTop w:val="0"/>
                              <w:marBottom w:val="0"/>
                              <w:divBdr>
                                <w:top w:val="none" w:sz="0" w:space="0" w:color="auto"/>
                                <w:left w:val="none" w:sz="0" w:space="0" w:color="auto"/>
                                <w:bottom w:val="none" w:sz="0" w:space="0" w:color="auto"/>
                                <w:right w:val="none" w:sz="0" w:space="0" w:color="auto"/>
                              </w:divBdr>
                              <w:divsChild>
                                <w:div w:id="63188775">
                                  <w:marLeft w:val="0"/>
                                  <w:marRight w:val="0"/>
                                  <w:marTop w:val="0"/>
                                  <w:marBottom w:val="0"/>
                                  <w:divBdr>
                                    <w:top w:val="none" w:sz="0" w:space="0" w:color="auto"/>
                                    <w:left w:val="none" w:sz="0" w:space="0" w:color="auto"/>
                                    <w:bottom w:val="none" w:sz="0" w:space="0" w:color="auto"/>
                                    <w:right w:val="none" w:sz="0" w:space="0" w:color="auto"/>
                                  </w:divBdr>
                                  <w:divsChild>
                                    <w:div w:id="1160124257">
                                      <w:marLeft w:val="0"/>
                                      <w:marRight w:val="0"/>
                                      <w:marTop w:val="0"/>
                                      <w:marBottom w:val="0"/>
                                      <w:divBdr>
                                        <w:top w:val="none" w:sz="0" w:space="0" w:color="auto"/>
                                        <w:left w:val="none" w:sz="0" w:space="0" w:color="auto"/>
                                        <w:bottom w:val="none" w:sz="0" w:space="0" w:color="auto"/>
                                        <w:right w:val="none" w:sz="0" w:space="0" w:color="auto"/>
                                      </w:divBdr>
                                      <w:divsChild>
                                        <w:div w:id="965818374">
                                          <w:marLeft w:val="0"/>
                                          <w:marRight w:val="0"/>
                                          <w:marTop w:val="0"/>
                                          <w:marBottom w:val="0"/>
                                          <w:divBdr>
                                            <w:top w:val="none" w:sz="0" w:space="0" w:color="auto"/>
                                            <w:left w:val="none" w:sz="0" w:space="0" w:color="auto"/>
                                            <w:bottom w:val="none" w:sz="0" w:space="0" w:color="auto"/>
                                            <w:right w:val="none" w:sz="0" w:space="0" w:color="auto"/>
                                          </w:divBdr>
                                          <w:divsChild>
                                            <w:div w:id="870846970">
                                              <w:marLeft w:val="0"/>
                                              <w:marRight w:val="0"/>
                                              <w:marTop w:val="0"/>
                                              <w:marBottom w:val="0"/>
                                              <w:divBdr>
                                                <w:top w:val="none" w:sz="0" w:space="0" w:color="auto"/>
                                                <w:left w:val="none" w:sz="0" w:space="0" w:color="auto"/>
                                                <w:bottom w:val="none" w:sz="0" w:space="0" w:color="auto"/>
                                                <w:right w:val="none" w:sz="0" w:space="0" w:color="auto"/>
                                              </w:divBdr>
                                              <w:divsChild>
                                                <w:div w:id="751316316">
                                                  <w:marLeft w:val="0"/>
                                                  <w:marRight w:val="0"/>
                                                  <w:marTop w:val="0"/>
                                                  <w:marBottom w:val="0"/>
                                                  <w:divBdr>
                                                    <w:top w:val="none" w:sz="0" w:space="0" w:color="auto"/>
                                                    <w:left w:val="none" w:sz="0" w:space="0" w:color="auto"/>
                                                    <w:bottom w:val="none" w:sz="0" w:space="0" w:color="auto"/>
                                                    <w:right w:val="none" w:sz="0" w:space="0" w:color="auto"/>
                                                  </w:divBdr>
                                                  <w:divsChild>
                                                    <w:div w:id="2093090087">
                                                      <w:marLeft w:val="0"/>
                                                      <w:marRight w:val="0"/>
                                                      <w:marTop w:val="0"/>
                                                      <w:marBottom w:val="0"/>
                                                      <w:divBdr>
                                                        <w:top w:val="none" w:sz="0" w:space="0" w:color="auto"/>
                                                        <w:left w:val="none" w:sz="0" w:space="0" w:color="auto"/>
                                                        <w:bottom w:val="none" w:sz="0" w:space="0" w:color="auto"/>
                                                        <w:right w:val="none" w:sz="0" w:space="0" w:color="auto"/>
                                                      </w:divBdr>
                                                      <w:divsChild>
                                                        <w:div w:id="9614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3988980">
      <w:bodyDiv w:val="1"/>
      <w:marLeft w:val="0"/>
      <w:marRight w:val="0"/>
      <w:marTop w:val="0"/>
      <w:marBottom w:val="0"/>
      <w:divBdr>
        <w:top w:val="none" w:sz="0" w:space="0" w:color="auto"/>
        <w:left w:val="none" w:sz="0" w:space="0" w:color="auto"/>
        <w:bottom w:val="none" w:sz="0" w:space="0" w:color="auto"/>
        <w:right w:val="none" w:sz="0" w:space="0" w:color="auto"/>
      </w:divBdr>
      <w:divsChild>
        <w:div w:id="562646841">
          <w:marLeft w:val="0"/>
          <w:marRight w:val="0"/>
          <w:marTop w:val="0"/>
          <w:marBottom w:val="0"/>
          <w:divBdr>
            <w:top w:val="none" w:sz="0" w:space="0" w:color="auto"/>
            <w:left w:val="none" w:sz="0" w:space="0" w:color="auto"/>
            <w:bottom w:val="none" w:sz="0" w:space="0" w:color="auto"/>
            <w:right w:val="none" w:sz="0" w:space="0" w:color="auto"/>
          </w:divBdr>
          <w:divsChild>
            <w:div w:id="1036470661">
              <w:marLeft w:val="0"/>
              <w:marRight w:val="0"/>
              <w:marTop w:val="0"/>
              <w:marBottom w:val="0"/>
              <w:divBdr>
                <w:top w:val="none" w:sz="0" w:space="0" w:color="auto"/>
                <w:left w:val="none" w:sz="0" w:space="0" w:color="auto"/>
                <w:bottom w:val="none" w:sz="0" w:space="0" w:color="auto"/>
                <w:right w:val="none" w:sz="0" w:space="0" w:color="auto"/>
              </w:divBdr>
              <w:divsChild>
                <w:div w:id="1223982774">
                  <w:marLeft w:val="0"/>
                  <w:marRight w:val="0"/>
                  <w:marTop w:val="0"/>
                  <w:marBottom w:val="0"/>
                  <w:divBdr>
                    <w:top w:val="none" w:sz="0" w:space="0" w:color="auto"/>
                    <w:left w:val="none" w:sz="0" w:space="0" w:color="auto"/>
                    <w:bottom w:val="none" w:sz="0" w:space="0" w:color="auto"/>
                    <w:right w:val="none" w:sz="0" w:space="0" w:color="auto"/>
                  </w:divBdr>
                  <w:divsChild>
                    <w:div w:id="538586894">
                      <w:marLeft w:val="0"/>
                      <w:marRight w:val="0"/>
                      <w:marTop w:val="0"/>
                      <w:marBottom w:val="0"/>
                      <w:divBdr>
                        <w:top w:val="none" w:sz="0" w:space="0" w:color="auto"/>
                        <w:left w:val="none" w:sz="0" w:space="0" w:color="auto"/>
                        <w:bottom w:val="none" w:sz="0" w:space="0" w:color="auto"/>
                        <w:right w:val="none" w:sz="0" w:space="0" w:color="auto"/>
                      </w:divBdr>
                      <w:divsChild>
                        <w:div w:id="242567337">
                          <w:marLeft w:val="0"/>
                          <w:marRight w:val="0"/>
                          <w:marTop w:val="0"/>
                          <w:marBottom w:val="0"/>
                          <w:divBdr>
                            <w:top w:val="none" w:sz="0" w:space="0" w:color="auto"/>
                            <w:left w:val="none" w:sz="0" w:space="0" w:color="auto"/>
                            <w:bottom w:val="none" w:sz="0" w:space="0" w:color="auto"/>
                            <w:right w:val="none" w:sz="0" w:space="0" w:color="auto"/>
                          </w:divBdr>
                          <w:divsChild>
                            <w:div w:id="12536347">
                              <w:marLeft w:val="0"/>
                              <w:marRight w:val="0"/>
                              <w:marTop w:val="0"/>
                              <w:marBottom w:val="0"/>
                              <w:divBdr>
                                <w:top w:val="none" w:sz="0" w:space="0" w:color="auto"/>
                                <w:left w:val="none" w:sz="0" w:space="0" w:color="auto"/>
                                <w:bottom w:val="none" w:sz="0" w:space="0" w:color="auto"/>
                                <w:right w:val="none" w:sz="0" w:space="0" w:color="auto"/>
                              </w:divBdr>
                              <w:divsChild>
                                <w:div w:id="1076786608">
                                  <w:marLeft w:val="0"/>
                                  <w:marRight w:val="0"/>
                                  <w:marTop w:val="0"/>
                                  <w:marBottom w:val="0"/>
                                  <w:divBdr>
                                    <w:top w:val="none" w:sz="0" w:space="0" w:color="auto"/>
                                    <w:left w:val="none" w:sz="0" w:space="0" w:color="auto"/>
                                    <w:bottom w:val="none" w:sz="0" w:space="0" w:color="auto"/>
                                    <w:right w:val="none" w:sz="0" w:space="0" w:color="auto"/>
                                  </w:divBdr>
                                  <w:divsChild>
                                    <w:div w:id="1795563654">
                                      <w:marLeft w:val="0"/>
                                      <w:marRight w:val="0"/>
                                      <w:marTop w:val="0"/>
                                      <w:marBottom w:val="0"/>
                                      <w:divBdr>
                                        <w:top w:val="none" w:sz="0" w:space="0" w:color="auto"/>
                                        <w:left w:val="none" w:sz="0" w:space="0" w:color="auto"/>
                                        <w:bottom w:val="none" w:sz="0" w:space="0" w:color="auto"/>
                                        <w:right w:val="none" w:sz="0" w:space="0" w:color="auto"/>
                                      </w:divBdr>
                                      <w:divsChild>
                                        <w:div w:id="365983124">
                                          <w:marLeft w:val="0"/>
                                          <w:marRight w:val="0"/>
                                          <w:marTop w:val="0"/>
                                          <w:marBottom w:val="0"/>
                                          <w:divBdr>
                                            <w:top w:val="none" w:sz="0" w:space="0" w:color="auto"/>
                                            <w:left w:val="none" w:sz="0" w:space="0" w:color="auto"/>
                                            <w:bottom w:val="none" w:sz="0" w:space="0" w:color="auto"/>
                                            <w:right w:val="none" w:sz="0" w:space="0" w:color="auto"/>
                                          </w:divBdr>
                                        </w:div>
                                        <w:div w:id="58329082">
                                          <w:marLeft w:val="0"/>
                                          <w:marRight w:val="0"/>
                                          <w:marTop w:val="0"/>
                                          <w:marBottom w:val="0"/>
                                          <w:divBdr>
                                            <w:top w:val="none" w:sz="0" w:space="0" w:color="auto"/>
                                            <w:left w:val="none" w:sz="0" w:space="0" w:color="auto"/>
                                            <w:bottom w:val="none" w:sz="0" w:space="0" w:color="auto"/>
                                            <w:right w:val="none" w:sz="0" w:space="0" w:color="auto"/>
                                          </w:divBdr>
                                          <w:divsChild>
                                            <w:div w:id="1644582973">
                                              <w:marLeft w:val="0"/>
                                              <w:marRight w:val="0"/>
                                              <w:marTop w:val="0"/>
                                              <w:marBottom w:val="0"/>
                                              <w:divBdr>
                                                <w:top w:val="none" w:sz="0" w:space="0" w:color="auto"/>
                                                <w:left w:val="none" w:sz="0" w:space="0" w:color="auto"/>
                                                <w:bottom w:val="none" w:sz="0" w:space="0" w:color="auto"/>
                                                <w:right w:val="none" w:sz="0" w:space="0" w:color="auto"/>
                                              </w:divBdr>
                                            </w:div>
                                            <w:div w:id="926694107">
                                              <w:marLeft w:val="0"/>
                                              <w:marRight w:val="0"/>
                                              <w:marTop w:val="0"/>
                                              <w:marBottom w:val="0"/>
                                              <w:divBdr>
                                                <w:top w:val="none" w:sz="0" w:space="0" w:color="auto"/>
                                                <w:left w:val="none" w:sz="0" w:space="0" w:color="auto"/>
                                                <w:bottom w:val="none" w:sz="0" w:space="0" w:color="auto"/>
                                                <w:right w:val="none" w:sz="0" w:space="0" w:color="auto"/>
                                              </w:divBdr>
                                            </w:div>
                                          </w:divsChild>
                                        </w:div>
                                        <w:div w:id="346372419">
                                          <w:marLeft w:val="0"/>
                                          <w:marRight w:val="0"/>
                                          <w:marTop w:val="0"/>
                                          <w:marBottom w:val="0"/>
                                          <w:divBdr>
                                            <w:top w:val="none" w:sz="0" w:space="0" w:color="auto"/>
                                            <w:left w:val="none" w:sz="0" w:space="0" w:color="auto"/>
                                            <w:bottom w:val="none" w:sz="0" w:space="0" w:color="auto"/>
                                            <w:right w:val="none" w:sz="0" w:space="0" w:color="auto"/>
                                          </w:divBdr>
                                        </w:div>
                                        <w:div w:id="1474371347">
                                          <w:marLeft w:val="0"/>
                                          <w:marRight w:val="0"/>
                                          <w:marTop w:val="0"/>
                                          <w:marBottom w:val="0"/>
                                          <w:divBdr>
                                            <w:top w:val="none" w:sz="0" w:space="0" w:color="auto"/>
                                            <w:left w:val="none" w:sz="0" w:space="0" w:color="auto"/>
                                            <w:bottom w:val="none" w:sz="0" w:space="0" w:color="auto"/>
                                            <w:right w:val="none" w:sz="0" w:space="0" w:color="auto"/>
                                          </w:divBdr>
                                        </w:div>
                                        <w:div w:id="1158350307">
                                          <w:marLeft w:val="0"/>
                                          <w:marRight w:val="0"/>
                                          <w:marTop w:val="0"/>
                                          <w:marBottom w:val="0"/>
                                          <w:divBdr>
                                            <w:top w:val="none" w:sz="0" w:space="0" w:color="auto"/>
                                            <w:left w:val="none" w:sz="0" w:space="0" w:color="auto"/>
                                            <w:bottom w:val="none" w:sz="0" w:space="0" w:color="auto"/>
                                            <w:right w:val="none" w:sz="0" w:space="0" w:color="auto"/>
                                          </w:divBdr>
                                          <w:divsChild>
                                            <w:div w:id="6541879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377298">
      <w:bodyDiv w:val="1"/>
      <w:marLeft w:val="0"/>
      <w:marRight w:val="0"/>
      <w:marTop w:val="0"/>
      <w:marBottom w:val="0"/>
      <w:divBdr>
        <w:top w:val="none" w:sz="0" w:space="0" w:color="auto"/>
        <w:left w:val="none" w:sz="0" w:space="0" w:color="auto"/>
        <w:bottom w:val="none" w:sz="0" w:space="0" w:color="auto"/>
        <w:right w:val="none" w:sz="0" w:space="0" w:color="auto"/>
      </w:divBdr>
    </w:div>
    <w:div w:id="1744912363">
      <w:bodyDiv w:val="1"/>
      <w:marLeft w:val="0"/>
      <w:marRight w:val="0"/>
      <w:marTop w:val="0"/>
      <w:marBottom w:val="0"/>
      <w:divBdr>
        <w:top w:val="none" w:sz="0" w:space="0" w:color="auto"/>
        <w:left w:val="none" w:sz="0" w:space="0" w:color="auto"/>
        <w:bottom w:val="none" w:sz="0" w:space="0" w:color="auto"/>
        <w:right w:val="none" w:sz="0" w:space="0" w:color="auto"/>
      </w:divBdr>
      <w:divsChild>
        <w:div w:id="517156973">
          <w:marLeft w:val="0"/>
          <w:marRight w:val="0"/>
          <w:marTop w:val="0"/>
          <w:marBottom w:val="0"/>
          <w:divBdr>
            <w:top w:val="none" w:sz="0" w:space="0" w:color="auto"/>
            <w:left w:val="none" w:sz="0" w:space="0" w:color="auto"/>
            <w:bottom w:val="none" w:sz="0" w:space="0" w:color="auto"/>
            <w:right w:val="none" w:sz="0" w:space="0" w:color="auto"/>
          </w:divBdr>
          <w:divsChild>
            <w:div w:id="1902061912">
              <w:marLeft w:val="0"/>
              <w:marRight w:val="0"/>
              <w:marTop w:val="0"/>
              <w:marBottom w:val="0"/>
              <w:divBdr>
                <w:top w:val="none" w:sz="0" w:space="0" w:color="auto"/>
                <w:left w:val="none" w:sz="0" w:space="0" w:color="auto"/>
                <w:bottom w:val="none" w:sz="0" w:space="0" w:color="auto"/>
                <w:right w:val="none" w:sz="0" w:space="0" w:color="auto"/>
              </w:divBdr>
              <w:divsChild>
                <w:div w:id="224873567">
                  <w:marLeft w:val="0"/>
                  <w:marRight w:val="0"/>
                  <w:marTop w:val="0"/>
                  <w:marBottom w:val="0"/>
                  <w:divBdr>
                    <w:top w:val="none" w:sz="0" w:space="0" w:color="auto"/>
                    <w:left w:val="none" w:sz="0" w:space="0" w:color="auto"/>
                    <w:bottom w:val="none" w:sz="0" w:space="0" w:color="auto"/>
                    <w:right w:val="none" w:sz="0" w:space="0" w:color="auto"/>
                  </w:divBdr>
                  <w:divsChild>
                    <w:div w:id="2042703142">
                      <w:marLeft w:val="0"/>
                      <w:marRight w:val="0"/>
                      <w:marTop w:val="0"/>
                      <w:marBottom w:val="0"/>
                      <w:divBdr>
                        <w:top w:val="none" w:sz="0" w:space="0" w:color="auto"/>
                        <w:left w:val="none" w:sz="0" w:space="0" w:color="auto"/>
                        <w:bottom w:val="none" w:sz="0" w:space="0" w:color="auto"/>
                        <w:right w:val="none" w:sz="0" w:space="0" w:color="auto"/>
                      </w:divBdr>
                      <w:divsChild>
                        <w:div w:id="630290320">
                          <w:marLeft w:val="0"/>
                          <w:marRight w:val="0"/>
                          <w:marTop w:val="0"/>
                          <w:marBottom w:val="0"/>
                          <w:divBdr>
                            <w:top w:val="none" w:sz="0" w:space="0" w:color="auto"/>
                            <w:left w:val="none" w:sz="0" w:space="0" w:color="auto"/>
                            <w:bottom w:val="none" w:sz="0" w:space="0" w:color="auto"/>
                            <w:right w:val="none" w:sz="0" w:space="0" w:color="auto"/>
                          </w:divBdr>
                          <w:divsChild>
                            <w:div w:id="1454245509">
                              <w:marLeft w:val="0"/>
                              <w:marRight w:val="0"/>
                              <w:marTop w:val="0"/>
                              <w:marBottom w:val="0"/>
                              <w:divBdr>
                                <w:top w:val="none" w:sz="0" w:space="0" w:color="auto"/>
                                <w:left w:val="none" w:sz="0" w:space="0" w:color="auto"/>
                                <w:bottom w:val="none" w:sz="0" w:space="0" w:color="auto"/>
                                <w:right w:val="none" w:sz="0" w:space="0" w:color="auto"/>
                              </w:divBdr>
                              <w:divsChild>
                                <w:div w:id="849829867">
                                  <w:marLeft w:val="0"/>
                                  <w:marRight w:val="0"/>
                                  <w:marTop w:val="0"/>
                                  <w:marBottom w:val="0"/>
                                  <w:divBdr>
                                    <w:top w:val="none" w:sz="0" w:space="0" w:color="auto"/>
                                    <w:left w:val="none" w:sz="0" w:space="0" w:color="auto"/>
                                    <w:bottom w:val="none" w:sz="0" w:space="0" w:color="auto"/>
                                    <w:right w:val="none" w:sz="0" w:space="0" w:color="auto"/>
                                  </w:divBdr>
                                  <w:divsChild>
                                    <w:div w:id="761029937">
                                      <w:marLeft w:val="0"/>
                                      <w:marRight w:val="0"/>
                                      <w:marTop w:val="0"/>
                                      <w:marBottom w:val="0"/>
                                      <w:divBdr>
                                        <w:top w:val="none" w:sz="0" w:space="0" w:color="auto"/>
                                        <w:left w:val="none" w:sz="0" w:space="0" w:color="auto"/>
                                        <w:bottom w:val="none" w:sz="0" w:space="0" w:color="auto"/>
                                        <w:right w:val="none" w:sz="0" w:space="0" w:color="auto"/>
                                      </w:divBdr>
                                      <w:divsChild>
                                        <w:div w:id="1398742633">
                                          <w:marLeft w:val="0"/>
                                          <w:marRight w:val="0"/>
                                          <w:marTop w:val="0"/>
                                          <w:marBottom w:val="0"/>
                                          <w:divBdr>
                                            <w:top w:val="none" w:sz="0" w:space="0" w:color="auto"/>
                                            <w:left w:val="none" w:sz="0" w:space="0" w:color="auto"/>
                                            <w:bottom w:val="none" w:sz="0" w:space="0" w:color="auto"/>
                                            <w:right w:val="none" w:sz="0" w:space="0" w:color="auto"/>
                                          </w:divBdr>
                                          <w:divsChild>
                                            <w:div w:id="598876154">
                                              <w:marLeft w:val="0"/>
                                              <w:marRight w:val="0"/>
                                              <w:marTop w:val="0"/>
                                              <w:marBottom w:val="0"/>
                                              <w:divBdr>
                                                <w:top w:val="none" w:sz="0" w:space="0" w:color="auto"/>
                                                <w:left w:val="none" w:sz="0" w:space="0" w:color="auto"/>
                                                <w:bottom w:val="none" w:sz="0" w:space="0" w:color="auto"/>
                                                <w:right w:val="none" w:sz="0" w:space="0" w:color="auto"/>
                                              </w:divBdr>
                                              <w:divsChild>
                                                <w:div w:id="992415556">
                                                  <w:marLeft w:val="0"/>
                                                  <w:marRight w:val="0"/>
                                                  <w:marTop w:val="0"/>
                                                  <w:marBottom w:val="0"/>
                                                  <w:divBdr>
                                                    <w:top w:val="none" w:sz="0" w:space="0" w:color="auto"/>
                                                    <w:left w:val="none" w:sz="0" w:space="0" w:color="auto"/>
                                                    <w:bottom w:val="none" w:sz="0" w:space="0" w:color="auto"/>
                                                    <w:right w:val="none" w:sz="0" w:space="0" w:color="auto"/>
                                                  </w:divBdr>
                                                  <w:divsChild>
                                                    <w:div w:id="1094517418">
                                                      <w:marLeft w:val="0"/>
                                                      <w:marRight w:val="0"/>
                                                      <w:marTop w:val="0"/>
                                                      <w:marBottom w:val="0"/>
                                                      <w:divBdr>
                                                        <w:top w:val="none" w:sz="0" w:space="0" w:color="auto"/>
                                                        <w:left w:val="none" w:sz="0" w:space="0" w:color="auto"/>
                                                        <w:bottom w:val="none" w:sz="0" w:space="0" w:color="auto"/>
                                                        <w:right w:val="none" w:sz="0" w:space="0" w:color="auto"/>
                                                      </w:divBdr>
                                                      <w:divsChild>
                                                        <w:div w:id="14991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5104345">
      <w:bodyDiv w:val="1"/>
      <w:marLeft w:val="0"/>
      <w:marRight w:val="0"/>
      <w:marTop w:val="0"/>
      <w:marBottom w:val="0"/>
      <w:divBdr>
        <w:top w:val="none" w:sz="0" w:space="0" w:color="auto"/>
        <w:left w:val="none" w:sz="0" w:space="0" w:color="auto"/>
        <w:bottom w:val="none" w:sz="0" w:space="0" w:color="auto"/>
        <w:right w:val="none" w:sz="0" w:space="0" w:color="auto"/>
      </w:divBdr>
      <w:divsChild>
        <w:div w:id="187765911">
          <w:marLeft w:val="0"/>
          <w:marRight w:val="0"/>
          <w:marTop w:val="0"/>
          <w:marBottom w:val="0"/>
          <w:divBdr>
            <w:top w:val="none" w:sz="0" w:space="0" w:color="auto"/>
            <w:left w:val="none" w:sz="0" w:space="0" w:color="auto"/>
            <w:bottom w:val="none" w:sz="0" w:space="0" w:color="auto"/>
            <w:right w:val="none" w:sz="0" w:space="0" w:color="auto"/>
          </w:divBdr>
          <w:divsChild>
            <w:div w:id="123352278">
              <w:marLeft w:val="0"/>
              <w:marRight w:val="0"/>
              <w:marTop w:val="0"/>
              <w:marBottom w:val="0"/>
              <w:divBdr>
                <w:top w:val="none" w:sz="0" w:space="0" w:color="auto"/>
                <w:left w:val="none" w:sz="0" w:space="0" w:color="auto"/>
                <w:bottom w:val="none" w:sz="0" w:space="0" w:color="auto"/>
                <w:right w:val="none" w:sz="0" w:space="0" w:color="auto"/>
              </w:divBdr>
              <w:divsChild>
                <w:div w:id="197470501">
                  <w:marLeft w:val="0"/>
                  <w:marRight w:val="0"/>
                  <w:marTop w:val="100"/>
                  <w:marBottom w:val="100"/>
                  <w:divBdr>
                    <w:top w:val="none" w:sz="0" w:space="0" w:color="auto"/>
                    <w:left w:val="none" w:sz="0" w:space="0" w:color="auto"/>
                    <w:bottom w:val="none" w:sz="0" w:space="0" w:color="auto"/>
                    <w:right w:val="none" w:sz="0" w:space="0" w:color="auto"/>
                  </w:divBdr>
                  <w:divsChild>
                    <w:div w:id="1372148909">
                      <w:marLeft w:val="0"/>
                      <w:marRight w:val="0"/>
                      <w:marTop w:val="0"/>
                      <w:marBottom w:val="0"/>
                      <w:divBdr>
                        <w:top w:val="none" w:sz="0" w:space="0" w:color="auto"/>
                        <w:left w:val="none" w:sz="0" w:space="0" w:color="auto"/>
                        <w:bottom w:val="none" w:sz="0" w:space="0" w:color="auto"/>
                        <w:right w:val="none" w:sz="0" w:space="0" w:color="auto"/>
                      </w:divBdr>
                      <w:divsChild>
                        <w:div w:id="1968656108">
                          <w:marLeft w:val="0"/>
                          <w:marRight w:val="0"/>
                          <w:marTop w:val="0"/>
                          <w:marBottom w:val="0"/>
                          <w:divBdr>
                            <w:top w:val="none" w:sz="0" w:space="0" w:color="auto"/>
                            <w:left w:val="none" w:sz="0" w:space="0" w:color="auto"/>
                            <w:bottom w:val="none" w:sz="0" w:space="0" w:color="auto"/>
                            <w:right w:val="none" w:sz="0" w:space="0" w:color="auto"/>
                          </w:divBdr>
                          <w:divsChild>
                            <w:div w:id="690494129">
                              <w:marLeft w:val="0"/>
                              <w:marRight w:val="0"/>
                              <w:marTop w:val="0"/>
                              <w:marBottom w:val="0"/>
                              <w:divBdr>
                                <w:top w:val="none" w:sz="0" w:space="0" w:color="auto"/>
                                <w:left w:val="none" w:sz="0" w:space="0" w:color="auto"/>
                                <w:bottom w:val="none" w:sz="0" w:space="0" w:color="auto"/>
                                <w:right w:val="none" w:sz="0" w:space="0" w:color="auto"/>
                              </w:divBdr>
                              <w:divsChild>
                                <w:div w:id="1173184319">
                                  <w:marLeft w:val="0"/>
                                  <w:marRight w:val="0"/>
                                  <w:marTop w:val="0"/>
                                  <w:marBottom w:val="0"/>
                                  <w:divBdr>
                                    <w:top w:val="none" w:sz="0" w:space="0" w:color="auto"/>
                                    <w:left w:val="none" w:sz="0" w:space="0" w:color="auto"/>
                                    <w:bottom w:val="none" w:sz="0" w:space="0" w:color="auto"/>
                                    <w:right w:val="none" w:sz="0" w:space="0" w:color="auto"/>
                                  </w:divBdr>
                                  <w:divsChild>
                                    <w:div w:id="19640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75176">
      <w:bodyDiv w:val="1"/>
      <w:marLeft w:val="0"/>
      <w:marRight w:val="0"/>
      <w:marTop w:val="0"/>
      <w:marBottom w:val="0"/>
      <w:divBdr>
        <w:top w:val="none" w:sz="0" w:space="0" w:color="auto"/>
        <w:left w:val="none" w:sz="0" w:space="0" w:color="auto"/>
        <w:bottom w:val="none" w:sz="0" w:space="0" w:color="auto"/>
        <w:right w:val="none" w:sz="0" w:space="0" w:color="auto"/>
      </w:divBdr>
      <w:divsChild>
        <w:div w:id="1047409320">
          <w:marLeft w:val="0"/>
          <w:marRight w:val="0"/>
          <w:marTop w:val="0"/>
          <w:marBottom w:val="0"/>
          <w:divBdr>
            <w:top w:val="single" w:sz="4" w:space="0" w:color="0E477A"/>
            <w:left w:val="single" w:sz="4" w:space="0" w:color="0E477A"/>
            <w:bottom w:val="single" w:sz="4" w:space="0" w:color="0E477A"/>
            <w:right w:val="single" w:sz="4" w:space="0" w:color="0E477A"/>
          </w:divBdr>
          <w:divsChild>
            <w:div w:id="1183477292">
              <w:marLeft w:val="2442"/>
              <w:marRight w:val="0"/>
              <w:marTop w:val="0"/>
              <w:marBottom w:val="0"/>
              <w:divBdr>
                <w:top w:val="none" w:sz="0" w:space="0" w:color="auto"/>
                <w:left w:val="none" w:sz="0" w:space="0" w:color="auto"/>
                <w:bottom w:val="none" w:sz="0" w:space="0" w:color="auto"/>
                <w:right w:val="none" w:sz="0" w:space="0" w:color="auto"/>
              </w:divBdr>
              <w:divsChild>
                <w:div w:id="92092535">
                  <w:marLeft w:val="0"/>
                  <w:marRight w:val="0"/>
                  <w:marTop w:val="0"/>
                  <w:marBottom w:val="0"/>
                  <w:divBdr>
                    <w:top w:val="none" w:sz="0" w:space="0" w:color="auto"/>
                    <w:left w:val="none" w:sz="0" w:space="0" w:color="auto"/>
                    <w:bottom w:val="none" w:sz="0" w:space="0" w:color="auto"/>
                    <w:right w:val="none" w:sz="0" w:space="0" w:color="auto"/>
                  </w:divBdr>
                  <w:divsChild>
                    <w:div w:id="983201877">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1745183725">
      <w:bodyDiv w:val="1"/>
      <w:marLeft w:val="0"/>
      <w:marRight w:val="0"/>
      <w:marTop w:val="0"/>
      <w:marBottom w:val="0"/>
      <w:divBdr>
        <w:top w:val="none" w:sz="0" w:space="0" w:color="auto"/>
        <w:left w:val="none" w:sz="0" w:space="0" w:color="auto"/>
        <w:bottom w:val="none" w:sz="0" w:space="0" w:color="auto"/>
        <w:right w:val="none" w:sz="0" w:space="0" w:color="auto"/>
      </w:divBdr>
    </w:div>
    <w:div w:id="1745954088">
      <w:bodyDiv w:val="1"/>
      <w:marLeft w:val="0"/>
      <w:marRight w:val="0"/>
      <w:marTop w:val="0"/>
      <w:marBottom w:val="0"/>
      <w:divBdr>
        <w:top w:val="none" w:sz="0" w:space="0" w:color="auto"/>
        <w:left w:val="none" w:sz="0" w:space="0" w:color="auto"/>
        <w:bottom w:val="none" w:sz="0" w:space="0" w:color="auto"/>
        <w:right w:val="none" w:sz="0" w:space="0" w:color="auto"/>
      </w:divBdr>
      <w:divsChild>
        <w:div w:id="299311623">
          <w:marLeft w:val="0"/>
          <w:marRight w:val="0"/>
          <w:marTop w:val="150"/>
          <w:marBottom w:val="0"/>
          <w:divBdr>
            <w:top w:val="none" w:sz="0" w:space="0" w:color="auto"/>
            <w:left w:val="none" w:sz="0" w:space="0" w:color="auto"/>
            <w:bottom w:val="none" w:sz="0" w:space="0" w:color="auto"/>
            <w:right w:val="none" w:sz="0" w:space="0" w:color="auto"/>
          </w:divBdr>
          <w:divsChild>
            <w:div w:id="628247094">
              <w:marLeft w:val="0"/>
              <w:marRight w:val="0"/>
              <w:marTop w:val="0"/>
              <w:marBottom w:val="0"/>
              <w:divBdr>
                <w:top w:val="none" w:sz="0" w:space="0" w:color="auto"/>
                <w:left w:val="none" w:sz="0" w:space="0" w:color="auto"/>
                <w:bottom w:val="none" w:sz="0" w:space="0" w:color="auto"/>
                <w:right w:val="none" w:sz="0" w:space="0" w:color="auto"/>
              </w:divBdr>
              <w:divsChild>
                <w:div w:id="576552019">
                  <w:marLeft w:val="0"/>
                  <w:marRight w:val="0"/>
                  <w:marTop w:val="0"/>
                  <w:marBottom w:val="0"/>
                  <w:divBdr>
                    <w:top w:val="none" w:sz="0" w:space="0" w:color="auto"/>
                    <w:left w:val="none" w:sz="0" w:space="0" w:color="auto"/>
                    <w:bottom w:val="none" w:sz="0" w:space="0" w:color="auto"/>
                    <w:right w:val="none" w:sz="0" w:space="0" w:color="auto"/>
                  </w:divBdr>
                  <w:divsChild>
                    <w:div w:id="13010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6631">
      <w:bodyDiv w:val="1"/>
      <w:marLeft w:val="0"/>
      <w:marRight w:val="0"/>
      <w:marTop w:val="0"/>
      <w:marBottom w:val="0"/>
      <w:divBdr>
        <w:top w:val="none" w:sz="0" w:space="0" w:color="auto"/>
        <w:left w:val="none" w:sz="0" w:space="0" w:color="auto"/>
        <w:bottom w:val="none" w:sz="0" w:space="0" w:color="auto"/>
        <w:right w:val="none" w:sz="0" w:space="0" w:color="auto"/>
      </w:divBdr>
    </w:div>
    <w:div w:id="1748723933">
      <w:bodyDiv w:val="1"/>
      <w:marLeft w:val="0"/>
      <w:marRight w:val="0"/>
      <w:marTop w:val="0"/>
      <w:marBottom w:val="0"/>
      <w:divBdr>
        <w:top w:val="none" w:sz="0" w:space="0" w:color="auto"/>
        <w:left w:val="none" w:sz="0" w:space="0" w:color="auto"/>
        <w:bottom w:val="none" w:sz="0" w:space="0" w:color="auto"/>
        <w:right w:val="none" w:sz="0" w:space="0" w:color="auto"/>
      </w:divBdr>
      <w:divsChild>
        <w:div w:id="809399127">
          <w:marLeft w:val="0"/>
          <w:marRight w:val="0"/>
          <w:marTop w:val="0"/>
          <w:marBottom w:val="0"/>
          <w:divBdr>
            <w:top w:val="none" w:sz="0" w:space="0" w:color="auto"/>
            <w:left w:val="none" w:sz="0" w:space="0" w:color="auto"/>
            <w:bottom w:val="none" w:sz="0" w:space="0" w:color="auto"/>
            <w:right w:val="none" w:sz="0" w:space="0" w:color="auto"/>
          </w:divBdr>
          <w:divsChild>
            <w:div w:id="258834349">
              <w:marLeft w:val="0"/>
              <w:marRight w:val="0"/>
              <w:marTop w:val="0"/>
              <w:marBottom w:val="0"/>
              <w:divBdr>
                <w:top w:val="none" w:sz="0" w:space="0" w:color="auto"/>
                <w:left w:val="none" w:sz="0" w:space="0" w:color="auto"/>
                <w:bottom w:val="none" w:sz="0" w:space="0" w:color="auto"/>
                <w:right w:val="none" w:sz="0" w:space="0" w:color="auto"/>
              </w:divBdr>
              <w:divsChild>
                <w:div w:id="1133445471">
                  <w:marLeft w:val="0"/>
                  <w:marRight w:val="0"/>
                  <w:marTop w:val="0"/>
                  <w:marBottom w:val="0"/>
                  <w:divBdr>
                    <w:top w:val="none" w:sz="0" w:space="0" w:color="auto"/>
                    <w:left w:val="none" w:sz="0" w:space="0" w:color="auto"/>
                    <w:bottom w:val="none" w:sz="0" w:space="0" w:color="auto"/>
                    <w:right w:val="none" w:sz="0" w:space="0" w:color="auto"/>
                  </w:divBdr>
                  <w:divsChild>
                    <w:div w:id="19331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5399">
          <w:marLeft w:val="0"/>
          <w:marRight w:val="0"/>
          <w:marTop w:val="0"/>
          <w:marBottom w:val="0"/>
          <w:divBdr>
            <w:top w:val="none" w:sz="0" w:space="0" w:color="auto"/>
            <w:left w:val="none" w:sz="0" w:space="0" w:color="auto"/>
            <w:bottom w:val="none" w:sz="0" w:space="0" w:color="auto"/>
            <w:right w:val="none" w:sz="0" w:space="0" w:color="auto"/>
          </w:divBdr>
          <w:divsChild>
            <w:div w:id="797261953">
              <w:marLeft w:val="0"/>
              <w:marRight w:val="0"/>
              <w:marTop w:val="0"/>
              <w:marBottom w:val="0"/>
              <w:divBdr>
                <w:top w:val="none" w:sz="0" w:space="0" w:color="auto"/>
                <w:left w:val="none" w:sz="0" w:space="0" w:color="auto"/>
                <w:bottom w:val="none" w:sz="0" w:space="0" w:color="auto"/>
                <w:right w:val="none" w:sz="0" w:space="0" w:color="auto"/>
              </w:divBdr>
              <w:divsChild>
                <w:div w:id="17578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0794">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7">
          <w:marLeft w:val="0"/>
          <w:marRight w:val="0"/>
          <w:marTop w:val="0"/>
          <w:marBottom w:val="0"/>
          <w:divBdr>
            <w:top w:val="none" w:sz="0" w:space="0" w:color="auto"/>
            <w:left w:val="none" w:sz="0" w:space="0" w:color="auto"/>
            <w:bottom w:val="none" w:sz="0" w:space="0" w:color="auto"/>
            <w:right w:val="none" w:sz="0" w:space="0" w:color="auto"/>
          </w:divBdr>
          <w:divsChild>
            <w:div w:id="1148716344">
              <w:marLeft w:val="0"/>
              <w:marRight w:val="0"/>
              <w:marTop w:val="0"/>
              <w:marBottom w:val="0"/>
              <w:divBdr>
                <w:top w:val="none" w:sz="0" w:space="0" w:color="auto"/>
                <w:left w:val="none" w:sz="0" w:space="0" w:color="auto"/>
                <w:bottom w:val="none" w:sz="0" w:space="0" w:color="auto"/>
                <w:right w:val="none" w:sz="0" w:space="0" w:color="auto"/>
              </w:divBdr>
              <w:divsChild>
                <w:div w:id="1194075864">
                  <w:marLeft w:val="0"/>
                  <w:marRight w:val="0"/>
                  <w:marTop w:val="100"/>
                  <w:marBottom w:val="100"/>
                  <w:divBdr>
                    <w:top w:val="none" w:sz="0" w:space="0" w:color="auto"/>
                    <w:left w:val="none" w:sz="0" w:space="0" w:color="auto"/>
                    <w:bottom w:val="none" w:sz="0" w:space="0" w:color="auto"/>
                    <w:right w:val="none" w:sz="0" w:space="0" w:color="auto"/>
                  </w:divBdr>
                  <w:divsChild>
                    <w:div w:id="1319384693">
                      <w:marLeft w:val="0"/>
                      <w:marRight w:val="0"/>
                      <w:marTop w:val="0"/>
                      <w:marBottom w:val="0"/>
                      <w:divBdr>
                        <w:top w:val="none" w:sz="0" w:space="0" w:color="auto"/>
                        <w:left w:val="none" w:sz="0" w:space="0" w:color="auto"/>
                        <w:bottom w:val="none" w:sz="0" w:space="0" w:color="auto"/>
                        <w:right w:val="none" w:sz="0" w:space="0" w:color="auto"/>
                      </w:divBdr>
                      <w:divsChild>
                        <w:div w:id="1682199737">
                          <w:marLeft w:val="0"/>
                          <w:marRight w:val="0"/>
                          <w:marTop w:val="0"/>
                          <w:marBottom w:val="0"/>
                          <w:divBdr>
                            <w:top w:val="none" w:sz="0" w:space="0" w:color="auto"/>
                            <w:left w:val="none" w:sz="0" w:space="0" w:color="auto"/>
                            <w:bottom w:val="none" w:sz="0" w:space="0" w:color="auto"/>
                            <w:right w:val="none" w:sz="0" w:space="0" w:color="auto"/>
                          </w:divBdr>
                          <w:divsChild>
                            <w:div w:id="1585144321">
                              <w:marLeft w:val="0"/>
                              <w:marRight w:val="0"/>
                              <w:marTop w:val="0"/>
                              <w:marBottom w:val="0"/>
                              <w:divBdr>
                                <w:top w:val="none" w:sz="0" w:space="0" w:color="auto"/>
                                <w:left w:val="none" w:sz="0" w:space="0" w:color="auto"/>
                                <w:bottom w:val="none" w:sz="0" w:space="0" w:color="auto"/>
                                <w:right w:val="none" w:sz="0" w:space="0" w:color="auto"/>
                              </w:divBdr>
                              <w:divsChild>
                                <w:div w:id="78605399">
                                  <w:marLeft w:val="0"/>
                                  <w:marRight w:val="0"/>
                                  <w:marTop w:val="0"/>
                                  <w:marBottom w:val="0"/>
                                  <w:divBdr>
                                    <w:top w:val="none" w:sz="0" w:space="0" w:color="auto"/>
                                    <w:left w:val="none" w:sz="0" w:space="0" w:color="auto"/>
                                    <w:bottom w:val="none" w:sz="0" w:space="0" w:color="auto"/>
                                    <w:right w:val="none" w:sz="0" w:space="0" w:color="auto"/>
                                  </w:divBdr>
                                  <w:divsChild>
                                    <w:div w:id="1804032740">
                                      <w:marLeft w:val="0"/>
                                      <w:marRight w:val="0"/>
                                      <w:marTop w:val="0"/>
                                      <w:marBottom w:val="0"/>
                                      <w:divBdr>
                                        <w:top w:val="none" w:sz="0" w:space="0" w:color="auto"/>
                                        <w:left w:val="none" w:sz="0" w:space="0" w:color="auto"/>
                                        <w:bottom w:val="none" w:sz="0" w:space="0" w:color="auto"/>
                                        <w:right w:val="none" w:sz="0" w:space="0" w:color="auto"/>
                                      </w:divBdr>
                                      <w:divsChild>
                                        <w:div w:id="1117212467">
                                          <w:marLeft w:val="0"/>
                                          <w:marRight w:val="0"/>
                                          <w:marTop w:val="0"/>
                                          <w:marBottom w:val="0"/>
                                          <w:divBdr>
                                            <w:top w:val="none" w:sz="0" w:space="0" w:color="auto"/>
                                            <w:left w:val="none" w:sz="0" w:space="0" w:color="auto"/>
                                            <w:bottom w:val="none" w:sz="0" w:space="0" w:color="auto"/>
                                            <w:right w:val="none" w:sz="0" w:space="0" w:color="auto"/>
                                          </w:divBdr>
                                          <w:divsChild>
                                            <w:div w:id="2067413084">
                                              <w:marLeft w:val="0"/>
                                              <w:marRight w:val="0"/>
                                              <w:marTop w:val="0"/>
                                              <w:marBottom w:val="0"/>
                                              <w:divBdr>
                                                <w:top w:val="single" w:sz="6" w:space="0" w:color="B6D444"/>
                                                <w:left w:val="none" w:sz="0" w:space="0" w:color="auto"/>
                                                <w:bottom w:val="none" w:sz="0" w:space="0" w:color="auto"/>
                                                <w:right w:val="none" w:sz="0" w:space="0" w:color="auto"/>
                                              </w:divBdr>
                                              <w:divsChild>
                                                <w:div w:id="4164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349005">
      <w:bodyDiv w:val="1"/>
      <w:marLeft w:val="0"/>
      <w:marRight w:val="0"/>
      <w:marTop w:val="0"/>
      <w:marBottom w:val="0"/>
      <w:divBdr>
        <w:top w:val="none" w:sz="0" w:space="0" w:color="auto"/>
        <w:left w:val="none" w:sz="0" w:space="0" w:color="auto"/>
        <w:bottom w:val="none" w:sz="0" w:space="0" w:color="auto"/>
        <w:right w:val="none" w:sz="0" w:space="0" w:color="auto"/>
      </w:divBdr>
      <w:divsChild>
        <w:div w:id="706955065">
          <w:marLeft w:val="0"/>
          <w:marRight w:val="0"/>
          <w:marTop w:val="0"/>
          <w:marBottom w:val="0"/>
          <w:divBdr>
            <w:top w:val="none" w:sz="0" w:space="0" w:color="auto"/>
            <w:left w:val="none" w:sz="0" w:space="0" w:color="auto"/>
            <w:bottom w:val="none" w:sz="0" w:space="0" w:color="auto"/>
            <w:right w:val="none" w:sz="0" w:space="0" w:color="auto"/>
          </w:divBdr>
          <w:divsChild>
            <w:div w:id="534390841">
              <w:marLeft w:val="0"/>
              <w:marRight w:val="0"/>
              <w:marTop w:val="0"/>
              <w:marBottom w:val="0"/>
              <w:divBdr>
                <w:top w:val="none" w:sz="0" w:space="0" w:color="auto"/>
                <w:left w:val="none" w:sz="0" w:space="0" w:color="auto"/>
                <w:bottom w:val="none" w:sz="0" w:space="0" w:color="auto"/>
                <w:right w:val="none" w:sz="0" w:space="0" w:color="auto"/>
              </w:divBdr>
              <w:divsChild>
                <w:div w:id="1795059043">
                  <w:marLeft w:val="0"/>
                  <w:marRight w:val="0"/>
                  <w:marTop w:val="0"/>
                  <w:marBottom w:val="0"/>
                  <w:divBdr>
                    <w:top w:val="none" w:sz="0" w:space="0" w:color="auto"/>
                    <w:left w:val="none" w:sz="0" w:space="0" w:color="auto"/>
                    <w:bottom w:val="none" w:sz="0" w:space="0" w:color="auto"/>
                    <w:right w:val="none" w:sz="0" w:space="0" w:color="auto"/>
                  </w:divBdr>
                  <w:divsChild>
                    <w:div w:id="1247230059">
                      <w:marLeft w:val="-225"/>
                      <w:marRight w:val="-225"/>
                      <w:marTop w:val="0"/>
                      <w:marBottom w:val="0"/>
                      <w:divBdr>
                        <w:top w:val="none" w:sz="0" w:space="0" w:color="auto"/>
                        <w:left w:val="none" w:sz="0" w:space="0" w:color="auto"/>
                        <w:bottom w:val="none" w:sz="0" w:space="0" w:color="auto"/>
                        <w:right w:val="none" w:sz="0" w:space="0" w:color="auto"/>
                      </w:divBdr>
                      <w:divsChild>
                        <w:div w:id="675109716">
                          <w:marLeft w:val="0"/>
                          <w:marRight w:val="0"/>
                          <w:marTop w:val="0"/>
                          <w:marBottom w:val="0"/>
                          <w:divBdr>
                            <w:top w:val="none" w:sz="0" w:space="0" w:color="auto"/>
                            <w:left w:val="none" w:sz="0" w:space="0" w:color="auto"/>
                            <w:bottom w:val="none" w:sz="0" w:space="0" w:color="auto"/>
                            <w:right w:val="none" w:sz="0" w:space="0" w:color="auto"/>
                          </w:divBdr>
                          <w:divsChild>
                            <w:div w:id="1658606405">
                              <w:marLeft w:val="0"/>
                              <w:marRight w:val="0"/>
                              <w:marTop w:val="0"/>
                              <w:marBottom w:val="0"/>
                              <w:divBdr>
                                <w:top w:val="none" w:sz="0" w:space="0" w:color="auto"/>
                                <w:left w:val="none" w:sz="0" w:space="0" w:color="auto"/>
                                <w:bottom w:val="none" w:sz="0" w:space="0" w:color="auto"/>
                                <w:right w:val="none" w:sz="0" w:space="0" w:color="auto"/>
                              </w:divBdr>
                              <w:divsChild>
                                <w:div w:id="1947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88519">
      <w:bodyDiv w:val="1"/>
      <w:marLeft w:val="0"/>
      <w:marRight w:val="0"/>
      <w:marTop w:val="0"/>
      <w:marBottom w:val="0"/>
      <w:divBdr>
        <w:top w:val="none" w:sz="0" w:space="0" w:color="auto"/>
        <w:left w:val="none" w:sz="0" w:space="0" w:color="auto"/>
        <w:bottom w:val="none" w:sz="0" w:space="0" w:color="auto"/>
        <w:right w:val="none" w:sz="0" w:space="0" w:color="auto"/>
      </w:divBdr>
      <w:divsChild>
        <w:div w:id="860977193">
          <w:marLeft w:val="0"/>
          <w:marRight w:val="0"/>
          <w:marTop w:val="0"/>
          <w:marBottom w:val="0"/>
          <w:divBdr>
            <w:top w:val="none" w:sz="0" w:space="0" w:color="auto"/>
            <w:left w:val="none" w:sz="0" w:space="0" w:color="auto"/>
            <w:bottom w:val="none" w:sz="0" w:space="0" w:color="auto"/>
            <w:right w:val="none" w:sz="0" w:space="0" w:color="auto"/>
          </w:divBdr>
          <w:divsChild>
            <w:div w:id="250969819">
              <w:marLeft w:val="0"/>
              <w:marRight w:val="0"/>
              <w:marTop w:val="0"/>
              <w:marBottom w:val="0"/>
              <w:divBdr>
                <w:top w:val="none" w:sz="0" w:space="0" w:color="auto"/>
                <w:left w:val="none" w:sz="0" w:space="0" w:color="auto"/>
                <w:bottom w:val="none" w:sz="0" w:space="0" w:color="auto"/>
                <w:right w:val="none" w:sz="0" w:space="0" w:color="auto"/>
              </w:divBdr>
              <w:divsChild>
                <w:div w:id="341053618">
                  <w:marLeft w:val="0"/>
                  <w:marRight w:val="0"/>
                  <w:marTop w:val="0"/>
                  <w:marBottom w:val="0"/>
                  <w:divBdr>
                    <w:top w:val="none" w:sz="0" w:space="0" w:color="auto"/>
                    <w:left w:val="none" w:sz="0" w:space="0" w:color="auto"/>
                    <w:bottom w:val="none" w:sz="0" w:space="0" w:color="auto"/>
                    <w:right w:val="none" w:sz="0" w:space="0" w:color="auto"/>
                  </w:divBdr>
                  <w:divsChild>
                    <w:div w:id="1032463119">
                      <w:marLeft w:val="0"/>
                      <w:marRight w:val="0"/>
                      <w:marTop w:val="0"/>
                      <w:marBottom w:val="0"/>
                      <w:divBdr>
                        <w:top w:val="none" w:sz="0" w:space="0" w:color="auto"/>
                        <w:left w:val="none" w:sz="0" w:space="0" w:color="auto"/>
                        <w:bottom w:val="none" w:sz="0" w:space="0" w:color="auto"/>
                        <w:right w:val="none" w:sz="0" w:space="0" w:color="auto"/>
                      </w:divBdr>
                      <w:divsChild>
                        <w:div w:id="312031231">
                          <w:marLeft w:val="0"/>
                          <w:marRight w:val="0"/>
                          <w:marTop w:val="0"/>
                          <w:marBottom w:val="0"/>
                          <w:divBdr>
                            <w:top w:val="none" w:sz="0" w:space="0" w:color="auto"/>
                            <w:left w:val="none" w:sz="0" w:space="0" w:color="auto"/>
                            <w:bottom w:val="single" w:sz="6" w:space="15" w:color="CCCCCC"/>
                            <w:right w:val="none" w:sz="0" w:space="0" w:color="auto"/>
                          </w:divBdr>
                          <w:divsChild>
                            <w:div w:id="321979720">
                              <w:marLeft w:val="0"/>
                              <w:marRight w:val="0"/>
                              <w:marTop w:val="0"/>
                              <w:marBottom w:val="0"/>
                              <w:divBdr>
                                <w:top w:val="none" w:sz="0" w:space="0" w:color="auto"/>
                                <w:left w:val="none" w:sz="0" w:space="0" w:color="auto"/>
                                <w:bottom w:val="none" w:sz="0" w:space="0" w:color="auto"/>
                                <w:right w:val="none" w:sz="0" w:space="0" w:color="auto"/>
                              </w:divBdr>
                              <w:divsChild>
                                <w:div w:id="19200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732732">
      <w:bodyDiv w:val="1"/>
      <w:marLeft w:val="0"/>
      <w:marRight w:val="0"/>
      <w:marTop w:val="0"/>
      <w:marBottom w:val="0"/>
      <w:divBdr>
        <w:top w:val="none" w:sz="0" w:space="0" w:color="auto"/>
        <w:left w:val="none" w:sz="0" w:space="0" w:color="auto"/>
        <w:bottom w:val="none" w:sz="0" w:space="0" w:color="auto"/>
        <w:right w:val="none" w:sz="0" w:space="0" w:color="auto"/>
      </w:divBdr>
      <w:divsChild>
        <w:div w:id="843327543">
          <w:marLeft w:val="0"/>
          <w:marRight w:val="0"/>
          <w:marTop w:val="0"/>
          <w:marBottom w:val="0"/>
          <w:divBdr>
            <w:top w:val="none" w:sz="0" w:space="0" w:color="auto"/>
            <w:left w:val="none" w:sz="0" w:space="0" w:color="auto"/>
            <w:bottom w:val="none" w:sz="0" w:space="0" w:color="auto"/>
            <w:right w:val="none" w:sz="0" w:space="0" w:color="auto"/>
          </w:divBdr>
          <w:divsChild>
            <w:div w:id="1431124043">
              <w:marLeft w:val="0"/>
              <w:marRight w:val="0"/>
              <w:marTop w:val="0"/>
              <w:marBottom w:val="0"/>
              <w:divBdr>
                <w:top w:val="none" w:sz="0" w:space="0" w:color="auto"/>
                <w:left w:val="none" w:sz="0" w:space="0" w:color="auto"/>
                <w:bottom w:val="none" w:sz="0" w:space="0" w:color="auto"/>
                <w:right w:val="none" w:sz="0" w:space="0" w:color="auto"/>
              </w:divBdr>
              <w:divsChild>
                <w:div w:id="2012372237">
                  <w:marLeft w:val="0"/>
                  <w:marRight w:val="0"/>
                  <w:marTop w:val="0"/>
                  <w:marBottom w:val="0"/>
                  <w:divBdr>
                    <w:top w:val="none" w:sz="0" w:space="0" w:color="auto"/>
                    <w:left w:val="none" w:sz="0" w:space="0" w:color="auto"/>
                    <w:bottom w:val="none" w:sz="0" w:space="0" w:color="auto"/>
                    <w:right w:val="none" w:sz="0" w:space="0" w:color="auto"/>
                  </w:divBdr>
                  <w:divsChild>
                    <w:div w:id="948124616">
                      <w:marLeft w:val="0"/>
                      <w:marRight w:val="0"/>
                      <w:marTop w:val="0"/>
                      <w:marBottom w:val="0"/>
                      <w:divBdr>
                        <w:top w:val="none" w:sz="0" w:space="0" w:color="auto"/>
                        <w:left w:val="none" w:sz="0" w:space="0" w:color="auto"/>
                        <w:bottom w:val="none" w:sz="0" w:space="0" w:color="auto"/>
                        <w:right w:val="none" w:sz="0" w:space="0" w:color="auto"/>
                      </w:divBdr>
                      <w:divsChild>
                        <w:div w:id="30425971">
                          <w:marLeft w:val="0"/>
                          <w:marRight w:val="0"/>
                          <w:marTop w:val="0"/>
                          <w:marBottom w:val="0"/>
                          <w:divBdr>
                            <w:top w:val="none" w:sz="0" w:space="0" w:color="auto"/>
                            <w:left w:val="none" w:sz="0" w:space="0" w:color="auto"/>
                            <w:bottom w:val="none" w:sz="0" w:space="0" w:color="auto"/>
                            <w:right w:val="none" w:sz="0" w:space="0" w:color="auto"/>
                          </w:divBdr>
                          <w:divsChild>
                            <w:div w:id="1201939151">
                              <w:marLeft w:val="0"/>
                              <w:marRight w:val="0"/>
                              <w:marTop w:val="0"/>
                              <w:marBottom w:val="0"/>
                              <w:divBdr>
                                <w:top w:val="none" w:sz="0" w:space="0" w:color="auto"/>
                                <w:left w:val="none" w:sz="0" w:space="0" w:color="auto"/>
                                <w:bottom w:val="none" w:sz="0" w:space="0" w:color="auto"/>
                                <w:right w:val="none" w:sz="0" w:space="0" w:color="auto"/>
                              </w:divBdr>
                              <w:divsChild>
                                <w:div w:id="1400441451">
                                  <w:marLeft w:val="0"/>
                                  <w:marRight w:val="0"/>
                                  <w:marTop w:val="0"/>
                                  <w:marBottom w:val="0"/>
                                  <w:divBdr>
                                    <w:top w:val="none" w:sz="0" w:space="0" w:color="auto"/>
                                    <w:left w:val="none" w:sz="0" w:space="0" w:color="auto"/>
                                    <w:bottom w:val="none" w:sz="0" w:space="0" w:color="auto"/>
                                    <w:right w:val="none" w:sz="0" w:space="0" w:color="auto"/>
                                  </w:divBdr>
                                  <w:divsChild>
                                    <w:div w:id="1480731620">
                                      <w:marLeft w:val="0"/>
                                      <w:marRight w:val="0"/>
                                      <w:marTop w:val="0"/>
                                      <w:marBottom w:val="0"/>
                                      <w:divBdr>
                                        <w:top w:val="none" w:sz="0" w:space="0" w:color="auto"/>
                                        <w:left w:val="none" w:sz="0" w:space="0" w:color="auto"/>
                                        <w:bottom w:val="none" w:sz="0" w:space="0" w:color="auto"/>
                                        <w:right w:val="none" w:sz="0" w:space="0" w:color="auto"/>
                                      </w:divBdr>
                                      <w:divsChild>
                                        <w:div w:id="700088021">
                                          <w:marLeft w:val="0"/>
                                          <w:marRight w:val="0"/>
                                          <w:marTop w:val="0"/>
                                          <w:marBottom w:val="0"/>
                                          <w:divBdr>
                                            <w:top w:val="none" w:sz="0" w:space="0" w:color="auto"/>
                                            <w:left w:val="none" w:sz="0" w:space="0" w:color="auto"/>
                                            <w:bottom w:val="none" w:sz="0" w:space="0" w:color="auto"/>
                                            <w:right w:val="none" w:sz="0" w:space="0" w:color="auto"/>
                                          </w:divBdr>
                                          <w:divsChild>
                                            <w:div w:id="785277540">
                                              <w:marLeft w:val="0"/>
                                              <w:marRight w:val="0"/>
                                              <w:marTop w:val="0"/>
                                              <w:marBottom w:val="0"/>
                                              <w:divBdr>
                                                <w:top w:val="none" w:sz="0" w:space="0" w:color="auto"/>
                                                <w:left w:val="none" w:sz="0" w:space="0" w:color="auto"/>
                                                <w:bottom w:val="none" w:sz="0" w:space="0" w:color="auto"/>
                                                <w:right w:val="none" w:sz="0" w:space="0" w:color="auto"/>
                                              </w:divBdr>
                                              <w:divsChild>
                                                <w:div w:id="1391536162">
                                                  <w:marLeft w:val="0"/>
                                                  <w:marRight w:val="0"/>
                                                  <w:marTop w:val="0"/>
                                                  <w:marBottom w:val="0"/>
                                                  <w:divBdr>
                                                    <w:top w:val="none" w:sz="0" w:space="0" w:color="auto"/>
                                                    <w:left w:val="none" w:sz="0" w:space="0" w:color="auto"/>
                                                    <w:bottom w:val="none" w:sz="0" w:space="0" w:color="auto"/>
                                                    <w:right w:val="none" w:sz="0" w:space="0" w:color="auto"/>
                                                  </w:divBdr>
                                                  <w:divsChild>
                                                    <w:div w:id="412363517">
                                                      <w:marLeft w:val="0"/>
                                                      <w:marRight w:val="0"/>
                                                      <w:marTop w:val="0"/>
                                                      <w:marBottom w:val="0"/>
                                                      <w:divBdr>
                                                        <w:top w:val="none" w:sz="0" w:space="0" w:color="auto"/>
                                                        <w:left w:val="none" w:sz="0" w:space="0" w:color="auto"/>
                                                        <w:bottom w:val="none" w:sz="0" w:space="0" w:color="auto"/>
                                                        <w:right w:val="none" w:sz="0" w:space="0" w:color="auto"/>
                                                      </w:divBdr>
                                                      <w:divsChild>
                                                        <w:div w:id="1469198965">
                                                          <w:marLeft w:val="0"/>
                                                          <w:marRight w:val="0"/>
                                                          <w:marTop w:val="0"/>
                                                          <w:marBottom w:val="0"/>
                                                          <w:divBdr>
                                                            <w:top w:val="none" w:sz="0" w:space="0" w:color="auto"/>
                                                            <w:left w:val="none" w:sz="0" w:space="0" w:color="auto"/>
                                                            <w:bottom w:val="none" w:sz="0" w:space="0" w:color="auto"/>
                                                            <w:right w:val="none" w:sz="0" w:space="0" w:color="auto"/>
                                                          </w:divBdr>
                                                        </w:div>
                                                        <w:div w:id="1611622198">
                                                          <w:marLeft w:val="0"/>
                                                          <w:marRight w:val="0"/>
                                                          <w:marTop w:val="0"/>
                                                          <w:marBottom w:val="0"/>
                                                          <w:divBdr>
                                                            <w:top w:val="none" w:sz="0" w:space="0" w:color="auto"/>
                                                            <w:left w:val="none" w:sz="0" w:space="0" w:color="auto"/>
                                                            <w:bottom w:val="none" w:sz="0" w:space="0" w:color="auto"/>
                                                            <w:right w:val="none" w:sz="0" w:space="0" w:color="auto"/>
                                                          </w:divBdr>
                                                          <w:divsChild>
                                                            <w:div w:id="56368069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881119">
      <w:bodyDiv w:val="1"/>
      <w:marLeft w:val="0"/>
      <w:marRight w:val="0"/>
      <w:marTop w:val="0"/>
      <w:marBottom w:val="0"/>
      <w:divBdr>
        <w:top w:val="none" w:sz="0" w:space="0" w:color="auto"/>
        <w:left w:val="none" w:sz="0" w:space="0" w:color="auto"/>
        <w:bottom w:val="none" w:sz="0" w:space="0" w:color="auto"/>
        <w:right w:val="none" w:sz="0" w:space="0" w:color="auto"/>
      </w:divBdr>
      <w:divsChild>
        <w:div w:id="1177770109">
          <w:marLeft w:val="0"/>
          <w:marRight w:val="0"/>
          <w:marTop w:val="0"/>
          <w:marBottom w:val="0"/>
          <w:divBdr>
            <w:top w:val="none" w:sz="0" w:space="0" w:color="auto"/>
            <w:left w:val="none" w:sz="0" w:space="0" w:color="auto"/>
            <w:bottom w:val="none" w:sz="0" w:space="0" w:color="auto"/>
            <w:right w:val="none" w:sz="0" w:space="0" w:color="auto"/>
          </w:divBdr>
          <w:divsChild>
            <w:div w:id="1725907534">
              <w:marLeft w:val="0"/>
              <w:marRight w:val="0"/>
              <w:marTop w:val="0"/>
              <w:marBottom w:val="0"/>
              <w:divBdr>
                <w:top w:val="none" w:sz="0" w:space="0" w:color="auto"/>
                <w:left w:val="none" w:sz="0" w:space="0" w:color="auto"/>
                <w:bottom w:val="none" w:sz="0" w:space="0" w:color="auto"/>
                <w:right w:val="none" w:sz="0" w:space="0" w:color="auto"/>
              </w:divBdr>
              <w:divsChild>
                <w:div w:id="1674799641">
                  <w:marLeft w:val="0"/>
                  <w:marRight w:val="0"/>
                  <w:marTop w:val="0"/>
                  <w:marBottom w:val="0"/>
                  <w:divBdr>
                    <w:top w:val="none" w:sz="0" w:space="0" w:color="auto"/>
                    <w:left w:val="none" w:sz="0" w:space="0" w:color="auto"/>
                    <w:bottom w:val="none" w:sz="0" w:space="0" w:color="auto"/>
                    <w:right w:val="none" w:sz="0" w:space="0" w:color="auto"/>
                  </w:divBdr>
                  <w:divsChild>
                    <w:div w:id="2033264181">
                      <w:marLeft w:val="0"/>
                      <w:marRight w:val="0"/>
                      <w:marTop w:val="0"/>
                      <w:marBottom w:val="0"/>
                      <w:divBdr>
                        <w:top w:val="none" w:sz="0" w:space="0" w:color="auto"/>
                        <w:left w:val="none" w:sz="0" w:space="0" w:color="auto"/>
                        <w:bottom w:val="none" w:sz="0" w:space="0" w:color="auto"/>
                        <w:right w:val="none" w:sz="0" w:space="0" w:color="auto"/>
                      </w:divBdr>
                      <w:divsChild>
                        <w:div w:id="722414228">
                          <w:marLeft w:val="0"/>
                          <w:marRight w:val="0"/>
                          <w:marTop w:val="0"/>
                          <w:marBottom w:val="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1266383358">
                                          <w:marLeft w:val="0"/>
                                          <w:marRight w:val="0"/>
                                          <w:marTop w:val="0"/>
                                          <w:marBottom w:val="0"/>
                                          <w:divBdr>
                                            <w:top w:val="none" w:sz="0" w:space="0" w:color="auto"/>
                                            <w:left w:val="none" w:sz="0" w:space="0" w:color="auto"/>
                                            <w:bottom w:val="none" w:sz="0" w:space="0" w:color="auto"/>
                                            <w:right w:val="none" w:sz="0" w:space="0" w:color="auto"/>
                                          </w:divBdr>
                                        </w:div>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390427">
      <w:bodyDiv w:val="1"/>
      <w:marLeft w:val="0"/>
      <w:marRight w:val="0"/>
      <w:marTop w:val="0"/>
      <w:marBottom w:val="0"/>
      <w:divBdr>
        <w:top w:val="none" w:sz="0" w:space="0" w:color="auto"/>
        <w:left w:val="none" w:sz="0" w:space="0" w:color="auto"/>
        <w:bottom w:val="none" w:sz="0" w:space="0" w:color="auto"/>
        <w:right w:val="none" w:sz="0" w:space="0" w:color="auto"/>
      </w:divBdr>
    </w:div>
    <w:div w:id="1751392781">
      <w:bodyDiv w:val="1"/>
      <w:marLeft w:val="0"/>
      <w:marRight w:val="0"/>
      <w:marTop w:val="0"/>
      <w:marBottom w:val="0"/>
      <w:divBdr>
        <w:top w:val="none" w:sz="0" w:space="0" w:color="auto"/>
        <w:left w:val="none" w:sz="0" w:space="0" w:color="auto"/>
        <w:bottom w:val="none" w:sz="0" w:space="0" w:color="auto"/>
        <w:right w:val="none" w:sz="0" w:space="0" w:color="auto"/>
      </w:divBdr>
      <w:divsChild>
        <w:div w:id="2056192576">
          <w:marLeft w:val="0"/>
          <w:marRight w:val="0"/>
          <w:marTop w:val="0"/>
          <w:marBottom w:val="0"/>
          <w:divBdr>
            <w:top w:val="none" w:sz="0" w:space="0" w:color="auto"/>
            <w:left w:val="none" w:sz="0" w:space="0" w:color="auto"/>
            <w:bottom w:val="none" w:sz="0" w:space="0" w:color="auto"/>
            <w:right w:val="none" w:sz="0" w:space="0" w:color="auto"/>
          </w:divBdr>
          <w:divsChild>
            <w:div w:id="268973623">
              <w:marLeft w:val="0"/>
              <w:marRight w:val="0"/>
              <w:marTop w:val="0"/>
              <w:marBottom w:val="0"/>
              <w:divBdr>
                <w:top w:val="none" w:sz="0" w:space="0" w:color="auto"/>
                <w:left w:val="none" w:sz="0" w:space="0" w:color="auto"/>
                <w:bottom w:val="none" w:sz="0" w:space="0" w:color="auto"/>
                <w:right w:val="none" w:sz="0" w:space="0" w:color="auto"/>
              </w:divBdr>
              <w:divsChild>
                <w:div w:id="570774517">
                  <w:marLeft w:val="0"/>
                  <w:marRight w:val="0"/>
                  <w:marTop w:val="0"/>
                  <w:marBottom w:val="0"/>
                  <w:divBdr>
                    <w:top w:val="none" w:sz="0" w:space="0" w:color="auto"/>
                    <w:left w:val="none" w:sz="0" w:space="0" w:color="auto"/>
                    <w:bottom w:val="none" w:sz="0" w:space="0" w:color="auto"/>
                    <w:right w:val="none" w:sz="0" w:space="0" w:color="auto"/>
                  </w:divBdr>
                  <w:divsChild>
                    <w:div w:id="1551453574">
                      <w:marLeft w:val="0"/>
                      <w:marRight w:val="0"/>
                      <w:marTop w:val="0"/>
                      <w:marBottom w:val="0"/>
                      <w:divBdr>
                        <w:top w:val="none" w:sz="0" w:space="0" w:color="auto"/>
                        <w:left w:val="none" w:sz="0" w:space="0" w:color="auto"/>
                        <w:bottom w:val="none" w:sz="0" w:space="0" w:color="auto"/>
                        <w:right w:val="none" w:sz="0" w:space="0" w:color="auto"/>
                      </w:divBdr>
                      <w:divsChild>
                        <w:div w:id="16058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265957">
      <w:bodyDiv w:val="1"/>
      <w:marLeft w:val="0"/>
      <w:marRight w:val="0"/>
      <w:marTop w:val="0"/>
      <w:marBottom w:val="0"/>
      <w:divBdr>
        <w:top w:val="none" w:sz="0" w:space="0" w:color="auto"/>
        <w:left w:val="none" w:sz="0" w:space="0" w:color="auto"/>
        <w:bottom w:val="none" w:sz="0" w:space="0" w:color="auto"/>
        <w:right w:val="none" w:sz="0" w:space="0" w:color="auto"/>
      </w:divBdr>
      <w:divsChild>
        <w:div w:id="864059227">
          <w:marLeft w:val="0"/>
          <w:marRight w:val="0"/>
          <w:marTop w:val="0"/>
          <w:marBottom w:val="0"/>
          <w:divBdr>
            <w:top w:val="none" w:sz="0" w:space="0" w:color="auto"/>
            <w:left w:val="none" w:sz="0" w:space="0" w:color="auto"/>
            <w:bottom w:val="none" w:sz="0" w:space="0" w:color="auto"/>
            <w:right w:val="none" w:sz="0" w:space="0" w:color="auto"/>
          </w:divBdr>
          <w:divsChild>
            <w:div w:id="1301883231">
              <w:marLeft w:val="0"/>
              <w:marRight w:val="0"/>
              <w:marTop w:val="0"/>
              <w:marBottom w:val="0"/>
              <w:divBdr>
                <w:top w:val="none" w:sz="0" w:space="0" w:color="auto"/>
                <w:left w:val="none" w:sz="0" w:space="0" w:color="auto"/>
                <w:bottom w:val="none" w:sz="0" w:space="0" w:color="auto"/>
                <w:right w:val="none" w:sz="0" w:space="0" w:color="auto"/>
              </w:divBdr>
              <w:divsChild>
                <w:div w:id="1426538085">
                  <w:marLeft w:val="0"/>
                  <w:marRight w:val="0"/>
                  <w:marTop w:val="0"/>
                  <w:marBottom w:val="0"/>
                  <w:divBdr>
                    <w:top w:val="none" w:sz="0" w:space="0" w:color="auto"/>
                    <w:left w:val="none" w:sz="0" w:space="0" w:color="auto"/>
                    <w:bottom w:val="none" w:sz="0" w:space="0" w:color="auto"/>
                    <w:right w:val="none" w:sz="0" w:space="0" w:color="auto"/>
                  </w:divBdr>
                  <w:divsChild>
                    <w:div w:id="674262596">
                      <w:marLeft w:val="0"/>
                      <w:marRight w:val="0"/>
                      <w:marTop w:val="0"/>
                      <w:marBottom w:val="0"/>
                      <w:divBdr>
                        <w:top w:val="none" w:sz="0" w:space="0" w:color="auto"/>
                        <w:left w:val="none" w:sz="0" w:space="0" w:color="auto"/>
                        <w:bottom w:val="none" w:sz="0" w:space="0" w:color="auto"/>
                        <w:right w:val="none" w:sz="0" w:space="0" w:color="auto"/>
                      </w:divBdr>
                      <w:divsChild>
                        <w:div w:id="379208439">
                          <w:marLeft w:val="570"/>
                          <w:marRight w:val="720"/>
                          <w:marTop w:val="120"/>
                          <w:marBottom w:val="120"/>
                          <w:divBdr>
                            <w:top w:val="none" w:sz="0" w:space="0" w:color="auto"/>
                            <w:left w:val="none" w:sz="0" w:space="0" w:color="auto"/>
                            <w:bottom w:val="none" w:sz="0" w:space="0" w:color="auto"/>
                            <w:right w:val="none" w:sz="0" w:space="0" w:color="auto"/>
                          </w:divBdr>
                          <w:divsChild>
                            <w:div w:id="1247493422">
                              <w:marLeft w:val="0"/>
                              <w:marRight w:val="0"/>
                              <w:marTop w:val="0"/>
                              <w:marBottom w:val="0"/>
                              <w:divBdr>
                                <w:top w:val="none" w:sz="0" w:space="0" w:color="auto"/>
                                <w:left w:val="none" w:sz="0" w:space="0" w:color="auto"/>
                                <w:bottom w:val="none" w:sz="0" w:space="0" w:color="auto"/>
                                <w:right w:val="none" w:sz="0" w:space="0" w:color="auto"/>
                              </w:divBdr>
                              <w:divsChild>
                                <w:div w:id="443573397">
                                  <w:marLeft w:val="0"/>
                                  <w:marRight w:val="0"/>
                                  <w:marTop w:val="0"/>
                                  <w:marBottom w:val="0"/>
                                  <w:divBdr>
                                    <w:top w:val="none" w:sz="0" w:space="0" w:color="auto"/>
                                    <w:left w:val="none" w:sz="0" w:space="0" w:color="auto"/>
                                    <w:bottom w:val="none" w:sz="0" w:space="0" w:color="auto"/>
                                    <w:right w:val="none" w:sz="0" w:space="0" w:color="auto"/>
                                  </w:divBdr>
                                  <w:divsChild>
                                    <w:div w:id="1497500143">
                                      <w:marLeft w:val="0"/>
                                      <w:marRight w:val="0"/>
                                      <w:marTop w:val="0"/>
                                      <w:marBottom w:val="0"/>
                                      <w:divBdr>
                                        <w:top w:val="none" w:sz="0" w:space="0" w:color="auto"/>
                                        <w:left w:val="none" w:sz="0" w:space="0" w:color="auto"/>
                                        <w:bottom w:val="none" w:sz="0" w:space="0" w:color="auto"/>
                                        <w:right w:val="none" w:sz="0" w:space="0" w:color="auto"/>
                                      </w:divBdr>
                                      <w:divsChild>
                                        <w:div w:id="391971508">
                                          <w:marLeft w:val="0"/>
                                          <w:marRight w:val="0"/>
                                          <w:marTop w:val="240"/>
                                          <w:marBottom w:val="240"/>
                                          <w:divBdr>
                                            <w:top w:val="single" w:sz="6" w:space="6" w:color="F2F2F2"/>
                                            <w:left w:val="none" w:sz="0" w:space="0" w:color="auto"/>
                                            <w:bottom w:val="single" w:sz="6" w:space="6" w:color="F2F2F2"/>
                                            <w:right w:val="none" w:sz="0" w:space="0" w:color="auto"/>
                                          </w:divBdr>
                                        </w:div>
                                        <w:div w:id="530069020">
                                          <w:marLeft w:val="0"/>
                                          <w:marRight w:val="0"/>
                                          <w:marTop w:val="0"/>
                                          <w:marBottom w:val="0"/>
                                          <w:divBdr>
                                            <w:top w:val="none" w:sz="0" w:space="0" w:color="auto"/>
                                            <w:left w:val="none" w:sz="0" w:space="0" w:color="auto"/>
                                            <w:bottom w:val="none" w:sz="0" w:space="0" w:color="auto"/>
                                            <w:right w:val="none" w:sz="0" w:space="0" w:color="auto"/>
                                          </w:divBdr>
                                          <w:divsChild>
                                            <w:div w:id="12988720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045262">
      <w:bodyDiv w:val="1"/>
      <w:marLeft w:val="0"/>
      <w:marRight w:val="0"/>
      <w:marTop w:val="0"/>
      <w:marBottom w:val="0"/>
      <w:divBdr>
        <w:top w:val="none" w:sz="0" w:space="0" w:color="auto"/>
        <w:left w:val="none" w:sz="0" w:space="0" w:color="auto"/>
        <w:bottom w:val="none" w:sz="0" w:space="0" w:color="auto"/>
        <w:right w:val="none" w:sz="0" w:space="0" w:color="auto"/>
      </w:divBdr>
      <w:divsChild>
        <w:div w:id="1811747697">
          <w:marLeft w:val="0"/>
          <w:marRight w:val="0"/>
          <w:marTop w:val="0"/>
          <w:marBottom w:val="0"/>
          <w:divBdr>
            <w:top w:val="single" w:sz="2" w:space="0" w:color="AAAAAA"/>
            <w:left w:val="single" w:sz="6" w:space="8" w:color="AAAAAA"/>
            <w:bottom w:val="single" w:sz="2" w:space="0" w:color="AAAAAA"/>
            <w:right w:val="single" w:sz="6" w:space="8" w:color="AAAAAA"/>
          </w:divBdr>
          <w:divsChild>
            <w:div w:id="1391688248">
              <w:marLeft w:val="0"/>
              <w:marRight w:val="0"/>
              <w:marTop w:val="0"/>
              <w:marBottom w:val="0"/>
              <w:divBdr>
                <w:top w:val="none" w:sz="0" w:space="0" w:color="auto"/>
                <w:left w:val="none" w:sz="0" w:space="0" w:color="auto"/>
                <w:bottom w:val="none" w:sz="0" w:space="0" w:color="auto"/>
                <w:right w:val="none" w:sz="0" w:space="0" w:color="auto"/>
              </w:divBdr>
              <w:divsChild>
                <w:div w:id="1519008374">
                  <w:marLeft w:val="0"/>
                  <w:marRight w:val="0"/>
                  <w:marTop w:val="0"/>
                  <w:marBottom w:val="0"/>
                  <w:divBdr>
                    <w:top w:val="none" w:sz="0" w:space="0" w:color="auto"/>
                    <w:left w:val="none" w:sz="0" w:space="0" w:color="auto"/>
                    <w:bottom w:val="none" w:sz="0" w:space="0" w:color="auto"/>
                    <w:right w:val="none" w:sz="0" w:space="0" w:color="auto"/>
                  </w:divBdr>
                  <w:divsChild>
                    <w:div w:id="1201698757">
                      <w:marLeft w:val="0"/>
                      <w:marRight w:val="2550"/>
                      <w:marTop w:val="0"/>
                      <w:marBottom w:val="48"/>
                      <w:divBdr>
                        <w:top w:val="none" w:sz="0" w:space="0" w:color="auto"/>
                        <w:left w:val="none" w:sz="0" w:space="0" w:color="auto"/>
                        <w:bottom w:val="none" w:sz="0" w:space="0" w:color="auto"/>
                        <w:right w:val="none" w:sz="0" w:space="0" w:color="auto"/>
                      </w:divBdr>
                      <w:divsChild>
                        <w:div w:id="48558686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53547680">
      <w:bodyDiv w:val="1"/>
      <w:marLeft w:val="0"/>
      <w:marRight w:val="0"/>
      <w:marTop w:val="0"/>
      <w:marBottom w:val="0"/>
      <w:divBdr>
        <w:top w:val="none" w:sz="0" w:space="0" w:color="auto"/>
        <w:left w:val="none" w:sz="0" w:space="0" w:color="auto"/>
        <w:bottom w:val="none" w:sz="0" w:space="0" w:color="auto"/>
        <w:right w:val="none" w:sz="0" w:space="0" w:color="auto"/>
      </w:divBdr>
      <w:divsChild>
        <w:div w:id="301422327">
          <w:marLeft w:val="0"/>
          <w:marRight w:val="0"/>
          <w:marTop w:val="0"/>
          <w:marBottom w:val="0"/>
          <w:divBdr>
            <w:top w:val="none" w:sz="0" w:space="0" w:color="auto"/>
            <w:left w:val="none" w:sz="0" w:space="0" w:color="auto"/>
            <w:bottom w:val="none" w:sz="0" w:space="0" w:color="auto"/>
            <w:right w:val="none" w:sz="0" w:space="0" w:color="auto"/>
          </w:divBdr>
          <w:divsChild>
            <w:div w:id="68770172">
              <w:marLeft w:val="0"/>
              <w:marRight w:val="0"/>
              <w:marTop w:val="0"/>
              <w:marBottom w:val="0"/>
              <w:divBdr>
                <w:top w:val="none" w:sz="0" w:space="0" w:color="auto"/>
                <w:left w:val="none" w:sz="0" w:space="0" w:color="auto"/>
                <w:bottom w:val="none" w:sz="0" w:space="0" w:color="auto"/>
                <w:right w:val="none" w:sz="0" w:space="0" w:color="auto"/>
              </w:divBdr>
              <w:divsChild>
                <w:div w:id="814880182">
                  <w:marLeft w:val="0"/>
                  <w:marRight w:val="0"/>
                  <w:marTop w:val="0"/>
                  <w:marBottom w:val="0"/>
                  <w:divBdr>
                    <w:top w:val="none" w:sz="0" w:space="0" w:color="auto"/>
                    <w:left w:val="none" w:sz="0" w:space="0" w:color="auto"/>
                    <w:bottom w:val="none" w:sz="0" w:space="0" w:color="auto"/>
                    <w:right w:val="none" w:sz="0" w:space="0" w:color="auto"/>
                  </w:divBdr>
                  <w:divsChild>
                    <w:div w:id="418406344">
                      <w:marLeft w:val="0"/>
                      <w:marRight w:val="0"/>
                      <w:marTop w:val="0"/>
                      <w:marBottom w:val="0"/>
                      <w:divBdr>
                        <w:top w:val="none" w:sz="0" w:space="0" w:color="auto"/>
                        <w:left w:val="none" w:sz="0" w:space="0" w:color="auto"/>
                        <w:bottom w:val="none" w:sz="0" w:space="0" w:color="auto"/>
                        <w:right w:val="none" w:sz="0" w:space="0" w:color="auto"/>
                      </w:divBdr>
                      <w:divsChild>
                        <w:div w:id="1301576006">
                          <w:marLeft w:val="0"/>
                          <w:marRight w:val="0"/>
                          <w:marTop w:val="0"/>
                          <w:marBottom w:val="0"/>
                          <w:divBdr>
                            <w:top w:val="none" w:sz="0" w:space="0" w:color="auto"/>
                            <w:left w:val="none" w:sz="0" w:space="0" w:color="auto"/>
                            <w:bottom w:val="none" w:sz="0" w:space="0" w:color="auto"/>
                            <w:right w:val="none" w:sz="0" w:space="0" w:color="auto"/>
                          </w:divBdr>
                          <w:divsChild>
                            <w:div w:id="1302462746">
                              <w:marLeft w:val="0"/>
                              <w:marRight w:val="0"/>
                              <w:marTop w:val="0"/>
                              <w:marBottom w:val="0"/>
                              <w:divBdr>
                                <w:top w:val="none" w:sz="0" w:space="0" w:color="auto"/>
                                <w:left w:val="none" w:sz="0" w:space="0" w:color="auto"/>
                                <w:bottom w:val="none" w:sz="0" w:space="0" w:color="auto"/>
                                <w:right w:val="none" w:sz="0" w:space="0" w:color="auto"/>
                              </w:divBdr>
                              <w:divsChild>
                                <w:div w:id="1952976202">
                                  <w:marLeft w:val="0"/>
                                  <w:marRight w:val="0"/>
                                  <w:marTop w:val="0"/>
                                  <w:marBottom w:val="0"/>
                                  <w:divBdr>
                                    <w:top w:val="none" w:sz="0" w:space="0" w:color="auto"/>
                                    <w:left w:val="none" w:sz="0" w:space="0" w:color="auto"/>
                                    <w:bottom w:val="none" w:sz="0" w:space="0" w:color="auto"/>
                                    <w:right w:val="none" w:sz="0" w:space="0" w:color="auto"/>
                                  </w:divBdr>
                                  <w:divsChild>
                                    <w:div w:id="1471897463">
                                      <w:marLeft w:val="0"/>
                                      <w:marRight w:val="0"/>
                                      <w:marTop w:val="0"/>
                                      <w:marBottom w:val="0"/>
                                      <w:divBdr>
                                        <w:top w:val="none" w:sz="0" w:space="0" w:color="auto"/>
                                        <w:left w:val="none" w:sz="0" w:space="0" w:color="auto"/>
                                        <w:bottom w:val="none" w:sz="0" w:space="0" w:color="auto"/>
                                        <w:right w:val="none" w:sz="0" w:space="0" w:color="auto"/>
                                      </w:divBdr>
                                      <w:divsChild>
                                        <w:div w:id="2017269380">
                                          <w:marLeft w:val="0"/>
                                          <w:marRight w:val="0"/>
                                          <w:marTop w:val="0"/>
                                          <w:marBottom w:val="0"/>
                                          <w:divBdr>
                                            <w:top w:val="none" w:sz="0" w:space="0" w:color="auto"/>
                                            <w:left w:val="none" w:sz="0" w:space="0" w:color="auto"/>
                                            <w:bottom w:val="none" w:sz="0" w:space="0" w:color="auto"/>
                                            <w:right w:val="none" w:sz="0" w:space="0" w:color="auto"/>
                                          </w:divBdr>
                                          <w:divsChild>
                                            <w:div w:id="1743064628">
                                              <w:marLeft w:val="0"/>
                                              <w:marRight w:val="0"/>
                                              <w:marTop w:val="0"/>
                                              <w:marBottom w:val="0"/>
                                              <w:divBdr>
                                                <w:top w:val="none" w:sz="0" w:space="0" w:color="auto"/>
                                                <w:left w:val="none" w:sz="0" w:space="0" w:color="auto"/>
                                                <w:bottom w:val="none" w:sz="0" w:space="0" w:color="auto"/>
                                                <w:right w:val="none" w:sz="0" w:space="0" w:color="auto"/>
                                              </w:divBdr>
                                              <w:divsChild>
                                                <w:div w:id="1274552875">
                                                  <w:marLeft w:val="0"/>
                                                  <w:marRight w:val="0"/>
                                                  <w:marTop w:val="0"/>
                                                  <w:marBottom w:val="0"/>
                                                  <w:divBdr>
                                                    <w:top w:val="none" w:sz="0" w:space="0" w:color="auto"/>
                                                    <w:left w:val="none" w:sz="0" w:space="0" w:color="auto"/>
                                                    <w:bottom w:val="none" w:sz="0" w:space="0" w:color="auto"/>
                                                    <w:right w:val="none" w:sz="0" w:space="0" w:color="auto"/>
                                                  </w:divBdr>
                                                  <w:divsChild>
                                                    <w:div w:id="751389139">
                                                      <w:marLeft w:val="0"/>
                                                      <w:marRight w:val="0"/>
                                                      <w:marTop w:val="0"/>
                                                      <w:marBottom w:val="0"/>
                                                      <w:divBdr>
                                                        <w:top w:val="none" w:sz="0" w:space="0" w:color="auto"/>
                                                        <w:left w:val="none" w:sz="0" w:space="0" w:color="auto"/>
                                                        <w:bottom w:val="none" w:sz="0" w:space="0" w:color="auto"/>
                                                        <w:right w:val="none" w:sz="0" w:space="0" w:color="auto"/>
                                                      </w:divBdr>
                                                      <w:divsChild>
                                                        <w:div w:id="1707098642">
                                                          <w:marLeft w:val="0"/>
                                                          <w:marRight w:val="0"/>
                                                          <w:marTop w:val="0"/>
                                                          <w:marBottom w:val="0"/>
                                                          <w:divBdr>
                                                            <w:top w:val="none" w:sz="0" w:space="0" w:color="auto"/>
                                                            <w:left w:val="none" w:sz="0" w:space="0" w:color="auto"/>
                                                            <w:bottom w:val="none" w:sz="0" w:space="0" w:color="auto"/>
                                                            <w:right w:val="none" w:sz="0" w:space="0" w:color="auto"/>
                                                          </w:divBdr>
                                                        </w:div>
                                                        <w:div w:id="1801607265">
                                                          <w:marLeft w:val="0"/>
                                                          <w:marRight w:val="0"/>
                                                          <w:marTop w:val="0"/>
                                                          <w:marBottom w:val="0"/>
                                                          <w:divBdr>
                                                            <w:top w:val="none" w:sz="0" w:space="0" w:color="auto"/>
                                                            <w:left w:val="none" w:sz="0" w:space="0" w:color="auto"/>
                                                            <w:bottom w:val="none" w:sz="0" w:space="0" w:color="auto"/>
                                                            <w:right w:val="none" w:sz="0" w:space="0" w:color="auto"/>
                                                          </w:divBdr>
                                                          <w:divsChild>
                                                            <w:div w:id="16102413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7440166">
      <w:bodyDiv w:val="1"/>
      <w:marLeft w:val="0"/>
      <w:marRight w:val="0"/>
      <w:marTop w:val="0"/>
      <w:marBottom w:val="0"/>
      <w:divBdr>
        <w:top w:val="none" w:sz="0" w:space="0" w:color="auto"/>
        <w:left w:val="none" w:sz="0" w:space="0" w:color="auto"/>
        <w:bottom w:val="none" w:sz="0" w:space="0" w:color="auto"/>
        <w:right w:val="none" w:sz="0" w:space="0" w:color="auto"/>
      </w:divBdr>
      <w:divsChild>
        <w:div w:id="1138842857">
          <w:marLeft w:val="0"/>
          <w:marRight w:val="0"/>
          <w:marTop w:val="0"/>
          <w:marBottom w:val="0"/>
          <w:divBdr>
            <w:top w:val="none" w:sz="0" w:space="0" w:color="auto"/>
            <w:left w:val="none" w:sz="0" w:space="0" w:color="auto"/>
            <w:bottom w:val="none" w:sz="0" w:space="0" w:color="auto"/>
            <w:right w:val="none" w:sz="0" w:space="0" w:color="auto"/>
          </w:divBdr>
          <w:divsChild>
            <w:div w:id="1159418901">
              <w:marLeft w:val="0"/>
              <w:marRight w:val="0"/>
              <w:marTop w:val="0"/>
              <w:marBottom w:val="0"/>
              <w:divBdr>
                <w:top w:val="single" w:sz="6" w:space="0" w:color="0E477A"/>
                <w:left w:val="single" w:sz="6" w:space="0" w:color="0E477A"/>
                <w:bottom w:val="single" w:sz="6" w:space="0" w:color="0E477A"/>
                <w:right w:val="single" w:sz="6" w:space="0" w:color="0E477A"/>
              </w:divBdr>
              <w:divsChild>
                <w:div w:id="1040085452">
                  <w:marLeft w:val="0"/>
                  <w:marRight w:val="0"/>
                  <w:marTop w:val="0"/>
                  <w:marBottom w:val="0"/>
                  <w:divBdr>
                    <w:top w:val="none" w:sz="0" w:space="0" w:color="auto"/>
                    <w:left w:val="none" w:sz="0" w:space="0" w:color="auto"/>
                    <w:bottom w:val="none" w:sz="0" w:space="0" w:color="auto"/>
                    <w:right w:val="none" w:sz="0" w:space="0" w:color="auto"/>
                  </w:divBdr>
                  <w:divsChild>
                    <w:div w:id="406927249">
                      <w:marLeft w:val="0"/>
                      <w:marRight w:val="0"/>
                      <w:marTop w:val="0"/>
                      <w:marBottom w:val="0"/>
                      <w:divBdr>
                        <w:top w:val="none" w:sz="0" w:space="0" w:color="auto"/>
                        <w:left w:val="none" w:sz="0" w:space="0" w:color="auto"/>
                        <w:bottom w:val="none" w:sz="0" w:space="0" w:color="auto"/>
                        <w:right w:val="none" w:sz="0" w:space="0" w:color="auto"/>
                      </w:divBdr>
                      <w:divsChild>
                        <w:div w:id="101413143">
                          <w:marLeft w:val="0"/>
                          <w:marRight w:val="0"/>
                          <w:marTop w:val="0"/>
                          <w:marBottom w:val="0"/>
                          <w:divBdr>
                            <w:top w:val="none" w:sz="0" w:space="0" w:color="auto"/>
                            <w:left w:val="none" w:sz="0" w:space="0" w:color="auto"/>
                            <w:bottom w:val="none" w:sz="0" w:space="0" w:color="auto"/>
                            <w:right w:val="none" w:sz="0" w:space="0" w:color="auto"/>
                          </w:divBdr>
                          <w:divsChild>
                            <w:div w:id="1867675783">
                              <w:marLeft w:val="0"/>
                              <w:marRight w:val="0"/>
                              <w:marTop w:val="0"/>
                              <w:marBottom w:val="0"/>
                              <w:divBdr>
                                <w:top w:val="none" w:sz="0" w:space="0" w:color="auto"/>
                                <w:left w:val="none" w:sz="0" w:space="0" w:color="auto"/>
                                <w:bottom w:val="none" w:sz="0" w:space="0" w:color="auto"/>
                                <w:right w:val="none" w:sz="0" w:space="0" w:color="auto"/>
                              </w:divBdr>
                              <w:divsChild>
                                <w:div w:id="356658095">
                                  <w:marLeft w:val="0"/>
                                  <w:marRight w:val="0"/>
                                  <w:marTop w:val="0"/>
                                  <w:marBottom w:val="0"/>
                                  <w:divBdr>
                                    <w:top w:val="none" w:sz="0" w:space="0" w:color="auto"/>
                                    <w:left w:val="none" w:sz="0" w:space="0" w:color="auto"/>
                                    <w:bottom w:val="none" w:sz="0" w:space="0" w:color="auto"/>
                                    <w:right w:val="none" w:sz="0" w:space="0" w:color="auto"/>
                                  </w:divBdr>
                                  <w:divsChild>
                                    <w:div w:id="674646789">
                                      <w:marLeft w:val="0"/>
                                      <w:marRight w:val="0"/>
                                      <w:marTop w:val="0"/>
                                      <w:marBottom w:val="0"/>
                                      <w:divBdr>
                                        <w:top w:val="none" w:sz="0" w:space="0" w:color="auto"/>
                                        <w:left w:val="none" w:sz="0" w:space="0" w:color="auto"/>
                                        <w:bottom w:val="none" w:sz="0" w:space="0" w:color="auto"/>
                                        <w:right w:val="none" w:sz="0" w:space="0" w:color="auto"/>
                                      </w:divBdr>
                                      <w:divsChild>
                                        <w:div w:id="1094282706">
                                          <w:marLeft w:val="0"/>
                                          <w:marRight w:val="0"/>
                                          <w:marTop w:val="0"/>
                                          <w:marBottom w:val="0"/>
                                          <w:divBdr>
                                            <w:top w:val="none" w:sz="0" w:space="0" w:color="auto"/>
                                            <w:left w:val="none" w:sz="0" w:space="0" w:color="auto"/>
                                            <w:bottom w:val="none" w:sz="0" w:space="0" w:color="auto"/>
                                            <w:right w:val="none" w:sz="0" w:space="0" w:color="auto"/>
                                          </w:divBdr>
                                          <w:divsChild>
                                            <w:div w:id="630522922">
                                              <w:marLeft w:val="0"/>
                                              <w:marRight w:val="0"/>
                                              <w:marTop w:val="0"/>
                                              <w:marBottom w:val="0"/>
                                              <w:divBdr>
                                                <w:top w:val="none" w:sz="0" w:space="0" w:color="auto"/>
                                                <w:left w:val="none" w:sz="0" w:space="0" w:color="auto"/>
                                                <w:bottom w:val="none" w:sz="0" w:space="0" w:color="auto"/>
                                                <w:right w:val="none" w:sz="0" w:space="0" w:color="auto"/>
                                              </w:divBdr>
                                              <w:divsChild>
                                                <w:div w:id="1523470466">
                                                  <w:marLeft w:val="0"/>
                                                  <w:marRight w:val="0"/>
                                                  <w:marTop w:val="0"/>
                                                  <w:marBottom w:val="0"/>
                                                  <w:divBdr>
                                                    <w:top w:val="none" w:sz="0" w:space="0" w:color="auto"/>
                                                    <w:left w:val="none" w:sz="0" w:space="0" w:color="auto"/>
                                                    <w:bottom w:val="none" w:sz="0" w:space="0" w:color="auto"/>
                                                    <w:right w:val="none" w:sz="0" w:space="0" w:color="auto"/>
                                                  </w:divBdr>
                                                  <w:divsChild>
                                                    <w:div w:id="1732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095038">
      <w:bodyDiv w:val="1"/>
      <w:marLeft w:val="0"/>
      <w:marRight w:val="0"/>
      <w:marTop w:val="0"/>
      <w:marBottom w:val="0"/>
      <w:divBdr>
        <w:top w:val="none" w:sz="0" w:space="0" w:color="auto"/>
        <w:left w:val="none" w:sz="0" w:space="0" w:color="auto"/>
        <w:bottom w:val="none" w:sz="0" w:space="0" w:color="auto"/>
        <w:right w:val="none" w:sz="0" w:space="0" w:color="auto"/>
      </w:divBdr>
      <w:divsChild>
        <w:div w:id="326712073">
          <w:marLeft w:val="0"/>
          <w:marRight w:val="0"/>
          <w:marTop w:val="0"/>
          <w:marBottom w:val="0"/>
          <w:divBdr>
            <w:top w:val="none" w:sz="0" w:space="0" w:color="auto"/>
            <w:left w:val="none" w:sz="0" w:space="0" w:color="auto"/>
            <w:bottom w:val="none" w:sz="0" w:space="0" w:color="auto"/>
            <w:right w:val="none" w:sz="0" w:space="0" w:color="auto"/>
          </w:divBdr>
          <w:divsChild>
            <w:div w:id="414285580">
              <w:marLeft w:val="0"/>
              <w:marRight w:val="0"/>
              <w:marTop w:val="150"/>
              <w:marBottom w:val="0"/>
              <w:divBdr>
                <w:top w:val="none" w:sz="0" w:space="0" w:color="auto"/>
                <w:left w:val="none" w:sz="0" w:space="0" w:color="auto"/>
                <w:bottom w:val="none" w:sz="0" w:space="0" w:color="auto"/>
                <w:right w:val="none" w:sz="0" w:space="0" w:color="auto"/>
              </w:divBdr>
              <w:divsChild>
                <w:div w:id="691221315">
                  <w:marLeft w:val="0"/>
                  <w:marRight w:val="0"/>
                  <w:marTop w:val="0"/>
                  <w:marBottom w:val="0"/>
                  <w:divBdr>
                    <w:top w:val="none" w:sz="0" w:space="0" w:color="auto"/>
                    <w:left w:val="none" w:sz="0" w:space="0" w:color="auto"/>
                    <w:bottom w:val="none" w:sz="0" w:space="0" w:color="auto"/>
                    <w:right w:val="none" w:sz="0" w:space="0" w:color="auto"/>
                  </w:divBdr>
                  <w:divsChild>
                    <w:div w:id="981890474">
                      <w:marLeft w:val="0"/>
                      <w:marRight w:val="0"/>
                      <w:marTop w:val="0"/>
                      <w:marBottom w:val="0"/>
                      <w:divBdr>
                        <w:top w:val="none" w:sz="0" w:space="0" w:color="auto"/>
                        <w:left w:val="none" w:sz="0" w:space="0" w:color="auto"/>
                        <w:bottom w:val="none" w:sz="0" w:space="0" w:color="auto"/>
                        <w:right w:val="none" w:sz="0" w:space="0" w:color="auto"/>
                      </w:divBdr>
                      <w:divsChild>
                        <w:div w:id="2523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39535">
      <w:bodyDiv w:val="1"/>
      <w:marLeft w:val="0"/>
      <w:marRight w:val="0"/>
      <w:marTop w:val="0"/>
      <w:marBottom w:val="0"/>
      <w:divBdr>
        <w:top w:val="none" w:sz="0" w:space="0" w:color="auto"/>
        <w:left w:val="none" w:sz="0" w:space="0" w:color="auto"/>
        <w:bottom w:val="none" w:sz="0" w:space="0" w:color="auto"/>
        <w:right w:val="none" w:sz="0" w:space="0" w:color="auto"/>
      </w:divBdr>
      <w:divsChild>
        <w:div w:id="1150631172">
          <w:marLeft w:val="0"/>
          <w:marRight w:val="0"/>
          <w:marTop w:val="0"/>
          <w:marBottom w:val="0"/>
          <w:divBdr>
            <w:top w:val="none" w:sz="0" w:space="0" w:color="auto"/>
            <w:left w:val="none" w:sz="0" w:space="0" w:color="auto"/>
            <w:bottom w:val="none" w:sz="0" w:space="0" w:color="auto"/>
            <w:right w:val="none" w:sz="0" w:space="0" w:color="auto"/>
          </w:divBdr>
          <w:divsChild>
            <w:div w:id="888734478">
              <w:marLeft w:val="0"/>
              <w:marRight w:val="0"/>
              <w:marTop w:val="0"/>
              <w:marBottom w:val="0"/>
              <w:divBdr>
                <w:top w:val="none" w:sz="0" w:space="0" w:color="auto"/>
                <w:left w:val="none" w:sz="0" w:space="0" w:color="auto"/>
                <w:bottom w:val="none" w:sz="0" w:space="0" w:color="auto"/>
                <w:right w:val="none" w:sz="0" w:space="0" w:color="auto"/>
              </w:divBdr>
              <w:divsChild>
                <w:div w:id="833497519">
                  <w:marLeft w:val="0"/>
                  <w:marRight w:val="0"/>
                  <w:marTop w:val="0"/>
                  <w:marBottom w:val="0"/>
                  <w:divBdr>
                    <w:top w:val="none" w:sz="0" w:space="0" w:color="auto"/>
                    <w:left w:val="none" w:sz="0" w:space="0" w:color="auto"/>
                    <w:bottom w:val="none" w:sz="0" w:space="0" w:color="auto"/>
                    <w:right w:val="none" w:sz="0" w:space="0" w:color="auto"/>
                  </w:divBdr>
                  <w:divsChild>
                    <w:div w:id="197863681">
                      <w:marLeft w:val="0"/>
                      <w:marRight w:val="0"/>
                      <w:marTop w:val="0"/>
                      <w:marBottom w:val="0"/>
                      <w:divBdr>
                        <w:top w:val="none" w:sz="0" w:space="0" w:color="auto"/>
                        <w:left w:val="none" w:sz="0" w:space="0" w:color="auto"/>
                        <w:bottom w:val="none" w:sz="0" w:space="0" w:color="auto"/>
                        <w:right w:val="none" w:sz="0" w:space="0" w:color="auto"/>
                      </w:divBdr>
                      <w:divsChild>
                        <w:div w:id="50818412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59011854">
      <w:bodyDiv w:val="1"/>
      <w:marLeft w:val="0"/>
      <w:marRight w:val="0"/>
      <w:marTop w:val="0"/>
      <w:marBottom w:val="0"/>
      <w:divBdr>
        <w:top w:val="none" w:sz="0" w:space="0" w:color="auto"/>
        <w:left w:val="none" w:sz="0" w:space="0" w:color="auto"/>
        <w:bottom w:val="none" w:sz="0" w:space="0" w:color="auto"/>
        <w:right w:val="none" w:sz="0" w:space="0" w:color="auto"/>
      </w:divBdr>
    </w:div>
    <w:div w:id="1759518668">
      <w:bodyDiv w:val="1"/>
      <w:marLeft w:val="0"/>
      <w:marRight w:val="0"/>
      <w:marTop w:val="0"/>
      <w:marBottom w:val="0"/>
      <w:divBdr>
        <w:top w:val="none" w:sz="0" w:space="0" w:color="auto"/>
        <w:left w:val="none" w:sz="0" w:space="0" w:color="auto"/>
        <w:bottom w:val="none" w:sz="0" w:space="0" w:color="auto"/>
        <w:right w:val="none" w:sz="0" w:space="0" w:color="auto"/>
      </w:divBdr>
    </w:div>
    <w:div w:id="1759786748">
      <w:bodyDiv w:val="1"/>
      <w:marLeft w:val="0"/>
      <w:marRight w:val="0"/>
      <w:marTop w:val="0"/>
      <w:marBottom w:val="0"/>
      <w:divBdr>
        <w:top w:val="none" w:sz="0" w:space="0" w:color="auto"/>
        <w:left w:val="none" w:sz="0" w:space="0" w:color="auto"/>
        <w:bottom w:val="none" w:sz="0" w:space="0" w:color="auto"/>
        <w:right w:val="none" w:sz="0" w:space="0" w:color="auto"/>
      </w:divBdr>
    </w:div>
    <w:div w:id="1760518309">
      <w:bodyDiv w:val="1"/>
      <w:marLeft w:val="0"/>
      <w:marRight w:val="0"/>
      <w:marTop w:val="0"/>
      <w:marBottom w:val="0"/>
      <w:divBdr>
        <w:top w:val="none" w:sz="0" w:space="0" w:color="auto"/>
        <w:left w:val="none" w:sz="0" w:space="0" w:color="auto"/>
        <w:bottom w:val="none" w:sz="0" w:space="0" w:color="auto"/>
        <w:right w:val="none" w:sz="0" w:space="0" w:color="auto"/>
      </w:divBdr>
      <w:divsChild>
        <w:div w:id="1982075451">
          <w:marLeft w:val="0"/>
          <w:marRight w:val="0"/>
          <w:marTop w:val="0"/>
          <w:marBottom w:val="0"/>
          <w:divBdr>
            <w:top w:val="none" w:sz="0" w:space="0" w:color="auto"/>
            <w:left w:val="none" w:sz="0" w:space="0" w:color="auto"/>
            <w:bottom w:val="none" w:sz="0" w:space="0" w:color="auto"/>
            <w:right w:val="none" w:sz="0" w:space="0" w:color="auto"/>
          </w:divBdr>
          <w:divsChild>
            <w:div w:id="718700412">
              <w:marLeft w:val="0"/>
              <w:marRight w:val="0"/>
              <w:marTop w:val="0"/>
              <w:marBottom w:val="0"/>
              <w:divBdr>
                <w:top w:val="none" w:sz="0" w:space="0" w:color="auto"/>
                <w:left w:val="none" w:sz="0" w:space="0" w:color="auto"/>
                <w:bottom w:val="none" w:sz="0" w:space="0" w:color="auto"/>
                <w:right w:val="none" w:sz="0" w:space="0" w:color="auto"/>
              </w:divBdr>
              <w:divsChild>
                <w:div w:id="1418988592">
                  <w:marLeft w:val="0"/>
                  <w:marRight w:val="0"/>
                  <w:marTop w:val="0"/>
                  <w:marBottom w:val="0"/>
                  <w:divBdr>
                    <w:top w:val="none" w:sz="0" w:space="0" w:color="auto"/>
                    <w:left w:val="none" w:sz="0" w:space="0" w:color="auto"/>
                    <w:bottom w:val="none" w:sz="0" w:space="0" w:color="auto"/>
                    <w:right w:val="none" w:sz="0" w:space="0" w:color="auto"/>
                  </w:divBdr>
                  <w:divsChild>
                    <w:div w:id="1179075778">
                      <w:marLeft w:val="0"/>
                      <w:marRight w:val="0"/>
                      <w:marTop w:val="300"/>
                      <w:marBottom w:val="600"/>
                      <w:divBdr>
                        <w:top w:val="none" w:sz="0" w:space="0" w:color="auto"/>
                        <w:left w:val="none" w:sz="0" w:space="0" w:color="auto"/>
                        <w:bottom w:val="none" w:sz="0" w:space="0" w:color="auto"/>
                        <w:right w:val="none" w:sz="0" w:space="0" w:color="auto"/>
                      </w:divBdr>
                      <w:divsChild>
                        <w:div w:id="911044738">
                          <w:marLeft w:val="0"/>
                          <w:marRight w:val="0"/>
                          <w:marTop w:val="0"/>
                          <w:marBottom w:val="0"/>
                          <w:divBdr>
                            <w:top w:val="none" w:sz="0" w:space="0" w:color="auto"/>
                            <w:left w:val="none" w:sz="0" w:space="0" w:color="auto"/>
                            <w:bottom w:val="none" w:sz="0" w:space="0" w:color="auto"/>
                            <w:right w:val="none" w:sz="0" w:space="0" w:color="auto"/>
                          </w:divBdr>
                          <w:divsChild>
                            <w:div w:id="650789347">
                              <w:marLeft w:val="0"/>
                              <w:marRight w:val="0"/>
                              <w:marTop w:val="0"/>
                              <w:marBottom w:val="0"/>
                              <w:divBdr>
                                <w:top w:val="none" w:sz="0" w:space="0" w:color="auto"/>
                                <w:left w:val="none" w:sz="0" w:space="0" w:color="auto"/>
                                <w:bottom w:val="none" w:sz="0" w:space="0" w:color="auto"/>
                                <w:right w:val="none" w:sz="0" w:space="0" w:color="auto"/>
                              </w:divBdr>
                              <w:divsChild>
                                <w:div w:id="1840608555">
                                  <w:marLeft w:val="0"/>
                                  <w:marRight w:val="0"/>
                                  <w:marTop w:val="0"/>
                                  <w:marBottom w:val="0"/>
                                  <w:divBdr>
                                    <w:top w:val="none" w:sz="0" w:space="0" w:color="auto"/>
                                    <w:left w:val="none" w:sz="0" w:space="0" w:color="auto"/>
                                    <w:bottom w:val="none" w:sz="0" w:space="0" w:color="auto"/>
                                    <w:right w:val="none" w:sz="0" w:space="0" w:color="auto"/>
                                  </w:divBdr>
                                  <w:divsChild>
                                    <w:div w:id="1614896894">
                                      <w:marLeft w:val="0"/>
                                      <w:marRight w:val="0"/>
                                      <w:marTop w:val="150"/>
                                      <w:marBottom w:val="0"/>
                                      <w:divBdr>
                                        <w:top w:val="none" w:sz="0" w:space="0" w:color="auto"/>
                                        <w:left w:val="none" w:sz="0" w:space="0" w:color="auto"/>
                                        <w:bottom w:val="none" w:sz="0" w:space="0" w:color="auto"/>
                                        <w:right w:val="none" w:sz="0" w:space="0" w:color="auto"/>
                                      </w:divBdr>
                                      <w:divsChild>
                                        <w:div w:id="282226578">
                                          <w:marLeft w:val="0"/>
                                          <w:marRight w:val="0"/>
                                          <w:marTop w:val="0"/>
                                          <w:marBottom w:val="0"/>
                                          <w:divBdr>
                                            <w:top w:val="none" w:sz="0" w:space="0" w:color="auto"/>
                                            <w:left w:val="none" w:sz="0" w:space="0" w:color="auto"/>
                                            <w:bottom w:val="none" w:sz="0" w:space="0" w:color="auto"/>
                                            <w:right w:val="none" w:sz="0" w:space="0" w:color="auto"/>
                                          </w:divBdr>
                                          <w:divsChild>
                                            <w:div w:id="1686636638">
                                              <w:marLeft w:val="0"/>
                                              <w:marRight w:val="0"/>
                                              <w:marTop w:val="0"/>
                                              <w:marBottom w:val="0"/>
                                              <w:divBdr>
                                                <w:top w:val="none" w:sz="0" w:space="0" w:color="auto"/>
                                                <w:left w:val="none" w:sz="0" w:space="0" w:color="auto"/>
                                                <w:bottom w:val="none" w:sz="0" w:space="0" w:color="auto"/>
                                                <w:right w:val="none" w:sz="0" w:space="0" w:color="auto"/>
                                              </w:divBdr>
                                              <w:divsChild>
                                                <w:div w:id="373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634337">
      <w:bodyDiv w:val="1"/>
      <w:marLeft w:val="0"/>
      <w:marRight w:val="0"/>
      <w:marTop w:val="0"/>
      <w:marBottom w:val="0"/>
      <w:divBdr>
        <w:top w:val="none" w:sz="0" w:space="0" w:color="auto"/>
        <w:left w:val="none" w:sz="0" w:space="0" w:color="auto"/>
        <w:bottom w:val="none" w:sz="0" w:space="0" w:color="auto"/>
        <w:right w:val="none" w:sz="0" w:space="0" w:color="auto"/>
      </w:divBdr>
      <w:divsChild>
        <w:div w:id="684670396">
          <w:marLeft w:val="0"/>
          <w:marRight w:val="0"/>
          <w:marTop w:val="0"/>
          <w:marBottom w:val="0"/>
          <w:divBdr>
            <w:top w:val="single" w:sz="2" w:space="0" w:color="AAAAAA"/>
            <w:left w:val="single" w:sz="6" w:space="8" w:color="AAAAAA"/>
            <w:bottom w:val="single" w:sz="2" w:space="0" w:color="AAAAAA"/>
            <w:right w:val="single" w:sz="6" w:space="8" w:color="AAAAAA"/>
          </w:divBdr>
          <w:divsChild>
            <w:div w:id="742141696">
              <w:marLeft w:val="0"/>
              <w:marRight w:val="0"/>
              <w:marTop w:val="0"/>
              <w:marBottom w:val="0"/>
              <w:divBdr>
                <w:top w:val="none" w:sz="0" w:space="0" w:color="auto"/>
                <w:left w:val="none" w:sz="0" w:space="0" w:color="auto"/>
                <w:bottom w:val="none" w:sz="0" w:space="0" w:color="auto"/>
                <w:right w:val="none" w:sz="0" w:space="0" w:color="auto"/>
              </w:divBdr>
              <w:divsChild>
                <w:div w:id="744642240">
                  <w:marLeft w:val="0"/>
                  <w:marRight w:val="0"/>
                  <w:marTop w:val="0"/>
                  <w:marBottom w:val="0"/>
                  <w:divBdr>
                    <w:top w:val="none" w:sz="0" w:space="0" w:color="auto"/>
                    <w:left w:val="none" w:sz="0" w:space="0" w:color="auto"/>
                    <w:bottom w:val="none" w:sz="0" w:space="0" w:color="auto"/>
                    <w:right w:val="none" w:sz="0" w:space="0" w:color="auto"/>
                  </w:divBdr>
                  <w:divsChild>
                    <w:div w:id="1379823041">
                      <w:marLeft w:val="0"/>
                      <w:marRight w:val="2550"/>
                      <w:marTop w:val="0"/>
                      <w:marBottom w:val="48"/>
                      <w:divBdr>
                        <w:top w:val="none" w:sz="0" w:space="0" w:color="auto"/>
                        <w:left w:val="none" w:sz="0" w:space="0" w:color="auto"/>
                        <w:bottom w:val="none" w:sz="0" w:space="0" w:color="auto"/>
                        <w:right w:val="none" w:sz="0" w:space="0" w:color="auto"/>
                      </w:divBdr>
                      <w:divsChild>
                        <w:div w:id="77899043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62336174">
      <w:bodyDiv w:val="1"/>
      <w:marLeft w:val="0"/>
      <w:marRight w:val="0"/>
      <w:marTop w:val="0"/>
      <w:marBottom w:val="0"/>
      <w:divBdr>
        <w:top w:val="none" w:sz="0" w:space="0" w:color="auto"/>
        <w:left w:val="none" w:sz="0" w:space="0" w:color="auto"/>
        <w:bottom w:val="none" w:sz="0" w:space="0" w:color="auto"/>
        <w:right w:val="none" w:sz="0" w:space="0" w:color="auto"/>
      </w:divBdr>
      <w:divsChild>
        <w:div w:id="1336499659">
          <w:marLeft w:val="0"/>
          <w:marRight w:val="0"/>
          <w:marTop w:val="0"/>
          <w:marBottom w:val="0"/>
          <w:divBdr>
            <w:top w:val="none" w:sz="0" w:space="0" w:color="auto"/>
            <w:left w:val="none" w:sz="0" w:space="0" w:color="auto"/>
            <w:bottom w:val="none" w:sz="0" w:space="0" w:color="auto"/>
            <w:right w:val="none" w:sz="0" w:space="0" w:color="auto"/>
          </w:divBdr>
          <w:divsChild>
            <w:div w:id="1460684060">
              <w:marLeft w:val="0"/>
              <w:marRight w:val="0"/>
              <w:marTop w:val="0"/>
              <w:marBottom w:val="0"/>
              <w:divBdr>
                <w:top w:val="none" w:sz="0" w:space="0" w:color="auto"/>
                <w:left w:val="none" w:sz="0" w:space="0" w:color="auto"/>
                <w:bottom w:val="none" w:sz="0" w:space="0" w:color="auto"/>
                <w:right w:val="none" w:sz="0" w:space="0" w:color="auto"/>
              </w:divBdr>
              <w:divsChild>
                <w:div w:id="1781727681">
                  <w:marLeft w:val="0"/>
                  <w:marRight w:val="0"/>
                  <w:marTop w:val="0"/>
                  <w:marBottom w:val="0"/>
                  <w:divBdr>
                    <w:top w:val="none" w:sz="0" w:space="0" w:color="auto"/>
                    <w:left w:val="none" w:sz="0" w:space="0" w:color="auto"/>
                    <w:bottom w:val="none" w:sz="0" w:space="0" w:color="auto"/>
                    <w:right w:val="none" w:sz="0" w:space="0" w:color="auto"/>
                  </w:divBdr>
                  <w:divsChild>
                    <w:div w:id="1056049192">
                      <w:marLeft w:val="0"/>
                      <w:marRight w:val="0"/>
                      <w:marTop w:val="0"/>
                      <w:marBottom w:val="0"/>
                      <w:divBdr>
                        <w:top w:val="none" w:sz="0" w:space="0" w:color="auto"/>
                        <w:left w:val="none" w:sz="0" w:space="0" w:color="auto"/>
                        <w:bottom w:val="none" w:sz="0" w:space="0" w:color="auto"/>
                        <w:right w:val="none" w:sz="0" w:space="0" w:color="auto"/>
                      </w:divBdr>
                      <w:divsChild>
                        <w:div w:id="1296063753">
                          <w:marLeft w:val="0"/>
                          <w:marRight w:val="0"/>
                          <w:marTop w:val="0"/>
                          <w:marBottom w:val="0"/>
                          <w:divBdr>
                            <w:top w:val="none" w:sz="0" w:space="0" w:color="auto"/>
                            <w:left w:val="none" w:sz="0" w:space="0" w:color="auto"/>
                            <w:bottom w:val="none" w:sz="0" w:space="0" w:color="auto"/>
                            <w:right w:val="none" w:sz="0" w:space="0" w:color="auto"/>
                          </w:divBdr>
                          <w:divsChild>
                            <w:div w:id="704872085">
                              <w:marLeft w:val="0"/>
                              <w:marRight w:val="0"/>
                              <w:marTop w:val="0"/>
                              <w:marBottom w:val="0"/>
                              <w:divBdr>
                                <w:top w:val="none" w:sz="0" w:space="0" w:color="auto"/>
                                <w:left w:val="none" w:sz="0" w:space="0" w:color="auto"/>
                                <w:bottom w:val="none" w:sz="0" w:space="0" w:color="auto"/>
                                <w:right w:val="none" w:sz="0" w:space="0" w:color="auto"/>
                              </w:divBdr>
                              <w:divsChild>
                                <w:div w:id="1978142769">
                                  <w:marLeft w:val="0"/>
                                  <w:marRight w:val="0"/>
                                  <w:marTop w:val="0"/>
                                  <w:marBottom w:val="0"/>
                                  <w:divBdr>
                                    <w:top w:val="none" w:sz="0" w:space="0" w:color="auto"/>
                                    <w:left w:val="none" w:sz="0" w:space="0" w:color="auto"/>
                                    <w:bottom w:val="none" w:sz="0" w:space="0" w:color="auto"/>
                                    <w:right w:val="none" w:sz="0" w:space="0" w:color="auto"/>
                                  </w:divBdr>
                                  <w:divsChild>
                                    <w:div w:id="1872718118">
                                      <w:marLeft w:val="0"/>
                                      <w:marRight w:val="0"/>
                                      <w:marTop w:val="0"/>
                                      <w:marBottom w:val="0"/>
                                      <w:divBdr>
                                        <w:top w:val="none" w:sz="0" w:space="0" w:color="auto"/>
                                        <w:left w:val="none" w:sz="0" w:space="0" w:color="auto"/>
                                        <w:bottom w:val="none" w:sz="0" w:space="0" w:color="auto"/>
                                        <w:right w:val="none" w:sz="0" w:space="0" w:color="auto"/>
                                      </w:divBdr>
                                      <w:divsChild>
                                        <w:div w:id="2098556580">
                                          <w:marLeft w:val="0"/>
                                          <w:marRight w:val="0"/>
                                          <w:marTop w:val="0"/>
                                          <w:marBottom w:val="0"/>
                                          <w:divBdr>
                                            <w:top w:val="none" w:sz="0" w:space="0" w:color="auto"/>
                                            <w:left w:val="none" w:sz="0" w:space="0" w:color="auto"/>
                                            <w:bottom w:val="none" w:sz="0" w:space="0" w:color="auto"/>
                                            <w:right w:val="none" w:sz="0" w:space="0" w:color="auto"/>
                                          </w:divBdr>
                                        </w:div>
                                        <w:div w:id="373621546">
                                          <w:marLeft w:val="0"/>
                                          <w:marRight w:val="0"/>
                                          <w:marTop w:val="0"/>
                                          <w:marBottom w:val="0"/>
                                          <w:divBdr>
                                            <w:top w:val="none" w:sz="0" w:space="0" w:color="auto"/>
                                            <w:left w:val="none" w:sz="0" w:space="0" w:color="auto"/>
                                            <w:bottom w:val="none" w:sz="0" w:space="0" w:color="auto"/>
                                            <w:right w:val="none" w:sz="0" w:space="0" w:color="auto"/>
                                          </w:divBdr>
                                          <w:divsChild>
                                            <w:div w:id="95953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137392">
      <w:bodyDiv w:val="1"/>
      <w:marLeft w:val="0"/>
      <w:marRight w:val="0"/>
      <w:marTop w:val="0"/>
      <w:marBottom w:val="0"/>
      <w:divBdr>
        <w:top w:val="none" w:sz="0" w:space="0" w:color="auto"/>
        <w:left w:val="none" w:sz="0" w:space="0" w:color="auto"/>
        <w:bottom w:val="none" w:sz="0" w:space="0" w:color="auto"/>
        <w:right w:val="none" w:sz="0" w:space="0" w:color="auto"/>
      </w:divBdr>
      <w:divsChild>
        <w:div w:id="1034573676">
          <w:marLeft w:val="0"/>
          <w:marRight w:val="0"/>
          <w:marTop w:val="0"/>
          <w:marBottom w:val="0"/>
          <w:divBdr>
            <w:top w:val="none" w:sz="0" w:space="0" w:color="auto"/>
            <w:left w:val="none" w:sz="0" w:space="0" w:color="auto"/>
            <w:bottom w:val="none" w:sz="0" w:space="0" w:color="auto"/>
            <w:right w:val="none" w:sz="0" w:space="0" w:color="auto"/>
          </w:divBdr>
          <w:divsChild>
            <w:div w:id="2004896378">
              <w:marLeft w:val="-225"/>
              <w:marRight w:val="-225"/>
              <w:marTop w:val="0"/>
              <w:marBottom w:val="0"/>
              <w:divBdr>
                <w:top w:val="none" w:sz="0" w:space="0" w:color="auto"/>
                <w:left w:val="none" w:sz="0" w:space="0" w:color="auto"/>
                <w:bottom w:val="none" w:sz="0" w:space="0" w:color="auto"/>
                <w:right w:val="none" w:sz="0" w:space="0" w:color="auto"/>
              </w:divBdr>
              <w:divsChild>
                <w:div w:id="12523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51242">
      <w:bodyDiv w:val="1"/>
      <w:marLeft w:val="0"/>
      <w:marRight w:val="0"/>
      <w:marTop w:val="0"/>
      <w:marBottom w:val="0"/>
      <w:divBdr>
        <w:top w:val="none" w:sz="0" w:space="0" w:color="auto"/>
        <w:left w:val="none" w:sz="0" w:space="0" w:color="auto"/>
        <w:bottom w:val="none" w:sz="0" w:space="0" w:color="auto"/>
        <w:right w:val="none" w:sz="0" w:space="0" w:color="auto"/>
      </w:divBdr>
    </w:div>
    <w:div w:id="1763836293">
      <w:bodyDiv w:val="1"/>
      <w:marLeft w:val="0"/>
      <w:marRight w:val="0"/>
      <w:marTop w:val="0"/>
      <w:marBottom w:val="0"/>
      <w:divBdr>
        <w:top w:val="none" w:sz="0" w:space="0" w:color="auto"/>
        <w:left w:val="none" w:sz="0" w:space="0" w:color="auto"/>
        <w:bottom w:val="none" w:sz="0" w:space="0" w:color="auto"/>
        <w:right w:val="none" w:sz="0" w:space="0" w:color="auto"/>
      </w:divBdr>
      <w:divsChild>
        <w:div w:id="1284724231">
          <w:marLeft w:val="2400"/>
          <w:marRight w:val="0"/>
          <w:marTop w:val="0"/>
          <w:marBottom w:val="0"/>
          <w:divBdr>
            <w:top w:val="none" w:sz="0" w:space="0" w:color="auto"/>
            <w:left w:val="none" w:sz="0" w:space="0" w:color="auto"/>
            <w:bottom w:val="none" w:sz="0" w:space="0" w:color="auto"/>
            <w:right w:val="none" w:sz="0" w:space="0" w:color="auto"/>
          </w:divBdr>
          <w:divsChild>
            <w:div w:id="611282897">
              <w:marLeft w:val="0"/>
              <w:marRight w:val="0"/>
              <w:marTop w:val="0"/>
              <w:marBottom w:val="0"/>
              <w:divBdr>
                <w:top w:val="none" w:sz="0" w:space="0" w:color="auto"/>
                <w:left w:val="none" w:sz="0" w:space="0" w:color="auto"/>
                <w:bottom w:val="none" w:sz="0" w:space="0" w:color="auto"/>
                <w:right w:val="none" w:sz="0" w:space="0" w:color="auto"/>
              </w:divBdr>
              <w:divsChild>
                <w:div w:id="1193959665">
                  <w:marLeft w:val="0"/>
                  <w:marRight w:val="0"/>
                  <w:marTop w:val="0"/>
                  <w:marBottom w:val="0"/>
                  <w:divBdr>
                    <w:top w:val="none" w:sz="0" w:space="0" w:color="auto"/>
                    <w:left w:val="none" w:sz="0" w:space="0" w:color="auto"/>
                    <w:bottom w:val="none" w:sz="0" w:space="0" w:color="auto"/>
                    <w:right w:val="none" w:sz="0" w:space="0" w:color="auto"/>
                  </w:divBdr>
                  <w:divsChild>
                    <w:div w:id="8740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48491">
      <w:bodyDiv w:val="1"/>
      <w:marLeft w:val="0"/>
      <w:marRight w:val="0"/>
      <w:marTop w:val="0"/>
      <w:marBottom w:val="0"/>
      <w:divBdr>
        <w:top w:val="none" w:sz="0" w:space="0" w:color="auto"/>
        <w:left w:val="none" w:sz="0" w:space="0" w:color="auto"/>
        <w:bottom w:val="none" w:sz="0" w:space="0" w:color="auto"/>
        <w:right w:val="none" w:sz="0" w:space="0" w:color="auto"/>
      </w:divBdr>
    </w:div>
    <w:div w:id="1764914063">
      <w:bodyDiv w:val="1"/>
      <w:marLeft w:val="0"/>
      <w:marRight w:val="0"/>
      <w:marTop w:val="0"/>
      <w:marBottom w:val="0"/>
      <w:divBdr>
        <w:top w:val="none" w:sz="0" w:space="0" w:color="auto"/>
        <w:left w:val="none" w:sz="0" w:space="0" w:color="auto"/>
        <w:bottom w:val="none" w:sz="0" w:space="0" w:color="auto"/>
        <w:right w:val="none" w:sz="0" w:space="0" w:color="auto"/>
      </w:divBdr>
      <w:divsChild>
        <w:div w:id="643588209">
          <w:marLeft w:val="0"/>
          <w:marRight w:val="0"/>
          <w:marTop w:val="0"/>
          <w:marBottom w:val="0"/>
          <w:divBdr>
            <w:top w:val="single" w:sz="6" w:space="0" w:color="0E477A"/>
            <w:left w:val="single" w:sz="6" w:space="0" w:color="0E477A"/>
            <w:bottom w:val="single" w:sz="6" w:space="0" w:color="0E477A"/>
            <w:right w:val="single" w:sz="6" w:space="0" w:color="0E477A"/>
          </w:divBdr>
          <w:divsChild>
            <w:div w:id="962228726">
              <w:marLeft w:val="2925"/>
              <w:marRight w:val="0"/>
              <w:marTop w:val="0"/>
              <w:marBottom w:val="0"/>
              <w:divBdr>
                <w:top w:val="none" w:sz="0" w:space="0" w:color="auto"/>
                <w:left w:val="none" w:sz="0" w:space="0" w:color="auto"/>
                <w:bottom w:val="none" w:sz="0" w:space="0" w:color="auto"/>
                <w:right w:val="none" w:sz="0" w:space="0" w:color="auto"/>
              </w:divBdr>
              <w:divsChild>
                <w:div w:id="2040929313">
                  <w:marLeft w:val="0"/>
                  <w:marRight w:val="0"/>
                  <w:marTop w:val="0"/>
                  <w:marBottom w:val="0"/>
                  <w:divBdr>
                    <w:top w:val="none" w:sz="0" w:space="0" w:color="auto"/>
                    <w:left w:val="none" w:sz="0" w:space="0" w:color="auto"/>
                    <w:bottom w:val="none" w:sz="0" w:space="0" w:color="auto"/>
                    <w:right w:val="none" w:sz="0" w:space="0" w:color="auto"/>
                  </w:divBdr>
                  <w:divsChild>
                    <w:div w:id="1395198953">
                      <w:marLeft w:val="0"/>
                      <w:marRight w:val="150"/>
                      <w:marTop w:val="0"/>
                      <w:marBottom w:val="0"/>
                      <w:divBdr>
                        <w:top w:val="single" w:sz="6" w:space="0" w:color="CCCCCC"/>
                        <w:left w:val="single" w:sz="6" w:space="8" w:color="CCCCCC"/>
                        <w:bottom w:val="single" w:sz="6" w:space="8" w:color="CCCCCC"/>
                        <w:right w:val="single" w:sz="6" w:space="8" w:color="CCCCCC"/>
                      </w:divBdr>
                      <w:divsChild>
                        <w:div w:id="1426415485">
                          <w:marLeft w:val="0"/>
                          <w:marRight w:val="0"/>
                          <w:marTop w:val="0"/>
                          <w:marBottom w:val="0"/>
                          <w:divBdr>
                            <w:top w:val="none" w:sz="0" w:space="0" w:color="auto"/>
                            <w:left w:val="none" w:sz="0" w:space="0" w:color="auto"/>
                            <w:bottom w:val="none" w:sz="0" w:space="0" w:color="auto"/>
                            <w:right w:val="none" w:sz="0" w:space="0" w:color="auto"/>
                          </w:divBdr>
                        </w:div>
                        <w:div w:id="1480884171">
                          <w:marLeft w:val="0"/>
                          <w:marRight w:val="0"/>
                          <w:marTop w:val="0"/>
                          <w:marBottom w:val="0"/>
                          <w:divBdr>
                            <w:top w:val="none" w:sz="0" w:space="0" w:color="auto"/>
                            <w:left w:val="none" w:sz="0" w:space="0" w:color="auto"/>
                            <w:bottom w:val="none" w:sz="0" w:space="0" w:color="auto"/>
                            <w:right w:val="none" w:sz="0" w:space="0" w:color="auto"/>
                          </w:divBdr>
                        </w:div>
                        <w:div w:id="1306860674">
                          <w:marLeft w:val="0"/>
                          <w:marRight w:val="0"/>
                          <w:marTop w:val="0"/>
                          <w:marBottom w:val="0"/>
                          <w:divBdr>
                            <w:top w:val="none" w:sz="0" w:space="0" w:color="auto"/>
                            <w:left w:val="none" w:sz="0" w:space="0" w:color="auto"/>
                            <w:bottom w:val="none" w:sz="0" w:space="0" w:color="auto"/>
                            <w:right w:val="none" w:sz="0" w:space="0" w:color="auto"/>
                          </w:divBdr>
                        </w:div>
                        <w:div w:id="1001665644">
                          <w:marLeft w:val="0"/>
                          <w:marRight w:val="0"/>
                          <w:marTop w:val="0"/>
                          <w:marBottom w:val="0"/>
                          <w:divBdr>
                            <w:top w:val="none" w:sz="0" w:space="0" w:color="auto"/>
                            <w:left w:val="none" w:sz="0" w:space="0" w:color="auto"/>
                            <w:bottom w:val="none" w:sz="0" w:space="0" w:color="auto"/>
                            <w:right w:val="none" w:sz="0" w:space="0" w:color="auto"/>
                          </w:divBdr>
                        </w:div>
                        <w:div w:id="541209030">
                          <w:marLeft w:val="0"/>
                          <w:marRight w:val="0"/>
                          <w:marTop w:val="0"/>
                          <w:marBottom w:val="0"/>
                          <w:divBdr>
                            <w:top w:val="none" w:sz="0" w:space="0" w:color="auto"/>
                            <w:left w:val="none" w:sz="0" w:space="0" w:color="auto"/>
                            <w:bottom w:val="none" w:sz="0" w:space="0" w:color="auto"/>
                            <w:right w:val="none" w:sz="0" w:space="0" w:color="auto"/>
                          </w:divBdr>
                        </w:div>
                        <w:div w:id="298925269">
                          <w:marLeft w:val="0"/>
                          <w:marRight w:val="0"/>
                          <w:marTop w:val="0"/>
                          <w:marBottom w:val="0"/>
                          <w:divBdr>
                            <w:top w:val="none" w:sz="0" w:space="0" w:color="auto"/>
                            <w:left w:val="none" w:sz="0" w:space="0" w:color="auto"/>
                            <w:bottom w:val="none" w:sz="0" w:space="0" w:color="auto"/>
                            <w:right w:val="none" w:sz="0" w:space="0" w:color="auto"/>
                          </w:divBdr>
                        </w:div>
                        <w:div w:id="1460804683">
                          <w:marLeft w:val="0"/>
                          <w:marRight w:val="0"/>
                          <w:marTop w:val="0"/>
                          <w:marBottom w:val="0"/>
                          <w:divBdr>
                            <w:top w:val="none" w:sz="0" w:space="0" w:color="auto"/>
                            <w:left w:val="none" w:sz="0" w:space="0" w:color="auto"/>
                            <w:bottom w:val="none" w:sz="0" w:space="0" w:color="auto"/>
                            <w:right w:val="none" w:sz="0" w:space="0" w:color="auto"/>
                          </w:divBdr>
                        </w:div>
                        <w:div w:id="1852254634">
                          <w:marLeft w:val="0"/>
                          <w:marRight w:val="0"/>
                          <w:marTop w:val="0"/>
                          <w:marBottom w:val="0"/>
                          <w:divBdr>
                            <w:top w:val="none" w:sz="0" w:space="0" w:color="auto"/>
                            <w:left w:val="none" w:sz="0" w:space="0" w:color="auto"/>
                            <w:bottom w:val="none" w:sz="0" w:space="0" w:color="auto"/>
                            <w:right w:val="none" w:sz="0" w:space="0" w:color="auto"/>
                          </w:divBdr>
                        </w:div>
                        <w:div w:id="1617710372">
                          <w:marLeft w:val="0"/>
                          <w:marRight w:val="0"/>
                          <w:marTop w:val="0"/>
                          <w:marBottom w:val="0"/>
                          <w:divBdr>
                            <w:top w:val="none" w:sz="0" w:space="0" w:color="auto"/>
                            <w:left w:val="none" w:sz="0" w:space="0" w:color="auto"/>
                            <w:bottom w:val="none" w:sz="0" w:space="0" w:color="auto"/>
                            <w:right w:val="none" w:sz="0" w:space="0" w:color="auto"/>
                          </w:divBdr>
                        </w:div>
                        <w:div w:id="70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703">
      <w:bodyDiv w:val="1"/>
      <w:marLeft w:val="0"/>
      <w:marRight w:val="0"/>
      <w:marTop w:val="0"/>
      <w:marBottom w:val="0"/>
      <w:divBdr>
        <w:top w:val="none" w:sz="0" w:space="0" w:color="auto"/>
        <w:left w:val="none" w:sz="0" w:space="0" w:color="auto"/>
        <w:bottom w:val="none" w:sz="0" w:space="0" w:color="auto"/>
        <w:right w:val="none" w:sz="0" w:space="0" w:color="auto"/>
      </w:divBdr>
    </w:div>
    <w:div w:id="1766151417">
      <w:bodyDiv w:val="1"/>
      <w:marLeft w:val="0"/>
      <w:marRight w:val="0"/>
      <w:marTop w:val="0"/>
      <w:marBottom w:val="0"/>
      <w:divBdr>
        <w:top w:val="none" w:sz="0" w:space="0" w:color="auto"/>
        <w:left w:val="none" w:sz="0" w:space="0" w:color="auto"/>
        <w:bottom w:val="none" w:sz="0" w:space="0" w:color="auto"/>
        <w:right w:val="none" w:sz="0" w:space="0" w:color="auto"/>
      </w:divBdr>
    </w:div>
    <w:div w:id="1766723927">
      <w:bodyDiv w:val="1"/>
      <w:marLeft w:val="0"/>
      <w:marRight w:val="0"/>
      <w:marTop w:val="0"/>
      <w:marBottom w:val="0"/>
      <w:divBdr>
        <w:top w:val="none" w:sz="0" w:space="0" w:color="auto"/>
        <w:left w:val="none" w:sz="0" w:space="0" w:color="auto"/>
        <w:bottom w:val="none" w:sz="0" w:space="0" w:color="auto"/>
        <w:right w:val="none" w:sz="0" w:space="0" w:color="auto"/>
      </w:divBdr>
      <w:divsChild>
        <w:div w:id="423183594">
          <w:marLeft w:val="0"/>
          <w:marRight w:val="0"/>
          <w:marTop w:val="0"/>
          <w:marBottom w:val="0"/>
          <w:divBdr>
            <w:top w:val="single" w:sz="2" w:space="0" w:color="AAAAAA"/>
            <w:left w:val="single" w:sz="6" w:space="8" w:color="AAAAAA"/>
            <w:bottom w:val="single" w:sz="2" w:space="0" w:color="AAAAAA"/>
            <w:right w:val="single" w:sz="6" w:space="8" w:color="AAAAAA"/>
          </w:divBdr>
          <w:divsChild>
            <w:div w:id="470640351">
              <w:marLeft w:val="0"/>
              <w:marRight w:val="0"/>
              <w:marTop w:val="0"/>
              <w:marBottom w:val="0"/>
              <w:divBdr>
                <w:top w:val="none" w:sz="0" w:space="0" w:color="auto"/>
                <w:left w:val="none" w:sz="0" w:space="0" w:color="auto"/>
                <w:bottom w:val="none" w:sz="0" w:space="0" w:color="auto"/>
                <w:right w:val="none" w:sz="0" w:space="0" w:color="auto"/>
              </w:divBdr>
              <w:divsChild>
                <w:div w:id="1644383898">
                  <w:marLeft w:val="0"/>
                  <w:marRight w:val="0"/>
                  <w:marTop w:val="0"/>
                  <w:marBottom w:val="0"/>
                  <w:divBdr>
                    <w:top w:val="none" w:sz="0" w:space="0" w:color="auto"/>
                    <w:left w:val="none" w:sz="0" w:space="0" w:color="auto"/>
                    <w:bottom w:val="none" w:sz="0" w:space="0" w:color="auto"/>
                    <w:right w:val="none" w:sz="0" w:space="0" w:color="auto"/>
                  </w:divBdr>
                  <w:divsChild>
                    <w:div w:id="1381399773">
                      <w:marLeft w:val="0"/>
                      <w:marRight w:val="2550"/>
                      <w:marTop w:val="0"/>
                      <w:marBottom w:val="48"/>
                      <w:divBdr>
                        <w:top w:val="none" w:sz="0" w:space="0" w:color="auto"/>
                        <w:left w:val="none" w:sz="0" w:space="0" w:color="auto"/>
                        <w:bottom w:val="none" w:sz="0" w:space="0" w:color="auto"/>
                        <w:right w:val="none" w:sz="0" w:space="0" w:color="auto"/>
                      </w:divBdr>
                      <w:divsChild>
                        <w:div w:id="20756629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67576015">
      <w:bodyDiv w:val="1"/>
      <w:marLeft w:val="0"/>
      <w:marRight w:val="0"/>
      <w:marTop w:val="0"/>
      <w:marBottom w:val="0"/>
      <w:divBdr>
        <w:top w:val="none" w:sz="0" w:space="0" w:color="auto"/>
        <w:left w:val="none" w:sz="0" w:space="0" w:color="auto"/>
        <w:bottom w:val="none" w:sz="0" w:space="0" w:color="auto"/>
        <w:right w:val="none" w:sz="0" w:space="0" w:color="auto"/>
      </w:divBdr>
      <w:divsChild>
        <w:div w:id="324013416">
          <w:marLeft w:val="0"/>
          <w:marRight w:val="0"/>
          <w:marTop w:val="0"/>
          <w:marBottom w:val="0"/>
          <w:divBdr>
            <w:top w:val="none" w:sz="0" w:space="0" w:color="auto"/>
            <w:left w:val="none" w:sz="0" w:space="0" w:color="auto"/>
            <w:bottom w:val="none" w:sz="0" w:space="0" w:color="auto"/>
            <w:right w:val="none" w:sz="0" w:space="0" w:color="auto"/>
          </w:divBdr>
          <w:divsChild>
            <w:div w:id="1734767494">
              <w:marLeft w:val="0"/>
              <w:marRight w:val="0"/>
              <w:marTop w:val="0"/>
              <w:marBottom w:val="0"/>
              <w:divBdr>
                <w:top w:val="none" w:sz="0" w:space="0" w:color="auto"/>
                <w:left w:val="none" w:sz="0" w:space="0" w:color="auto"/>
                <w:bottom w:val="none" w:sz="0" w:space="0" w:color="auto"/>
                <w:right w:val="none" w:sz="0" w:space="0" w:color="auto"/>
              </w:divBdr>
              <w:divsChild>
                <w:div w:id="201752537">
                  <w:marLeft w:val="0"/>
                  <w:marRight w:val="0"/>
                  <w:marTop w:val="0"/>
                  <w:marBottom w:val="0"/>
                  <w:divBdr>
                    <w:top w:val="none" w:sz="0" w:space="0" w:color="auto"/>
                    <w:left w:val="none" w:sz="0" w:space="0" w:color="auto"/>
                    <w:bottom w:val="none" w:sz="0" w:space="0" w:color="auto"/>
                    <w:right w:val="none" w:sz="0" w:space="0" w:color="auto"/>
                  </w:divBdr>
                  <w:divsChild>
                    <w:div w:id="1748960710">
                      <w:marLeft w:val="0"/>
                      <w:marRight w:val="0"/>
                      <w:marTop w:val="0"/>
                      <w:marBottom w:val="0"/>
                      <w:divBdr>
                        <w:top w:val="none" w:sz="0" w:space="0" w:color="auto"/>
                        <w:left w:val="none" w:sz="0" w:space="0" w:color="auto"/>
                        <w:bottom w:val="none" w:sz="0" w:space="0" w:color="auto"/>
                        <w:right w:val="none" w:sz="0" w:space="0" w:color="auto"/>
                      </w:divBdr>
                      <w:divsChild>
                        <w:div w:id="308050381">
                          <w:marLeft w:val="0"/>
                          <w:marRight w:val="0"/>
                          <w:marTop w:val="0"/>
                          <w:marBottom w:val="0"/>
                          <w:divBdr>
                            <w:top w:val="none" w:sz="0" w:space="0" w:color="auto"/>
                            <w:left w:val="none" w:sz="0" w:space="0" w:color="auto"/>
                            <w:bottom w:val="single" w:sz="6" w:space="15" w:color="CCCCCC"/>
                            <w:right w:val="none" w:sz="0" w:space="0" w:color="auto"/>
                          </w:divBdr>
                          <w:divsChild>
                            <w:div w:id="2730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26125">
      <w:bodyDiv w:val="1"/>
      <w:marLeft w:val="0"/>
      <w:marRight w:val="0"/>
      <w:marTop w:val="0"/>
      <w:marBottom w:val="0"/>
      <w:divBdr>
        <w:top w:val="none" w:sz="0" w:space="0" w:color="auto"/>
        <w:left w:val="none" w:sz="0" w:space="0" w:color="auto"/>
        <w:bottom w:val="none" w:sz="0" w:space="0" w:color="auto"/>
        <w:right w:val="none" w:sz="0" w:space="0" w:color="auto"/>
      </w:divBdr>
      <w:divsChild>
        <w:div w:id="31348548">
          <w:marLeft w:val="0"/>
          <w:marRight w:val="0"/>
          <w:marTop w:val="0"/>
          <w:marBottom w:val="0"/>
          <w:divBdr>
            <w:top w:val="none" w:sz="0" w:space="0" w:color="auto"/>
            <w:left w:val="none" w:sz="0" w:space="0" w:color="auto"/>
            <w:bottom w:val="none" w:sz="0" w:space="0" w:color="auto"/>
            <w:right w:val="none" w:sz="0" w:space="0" w:color="auto"/>
          </w:divBdr>
        </w:div>
      </w:divsChild>
    </w:div>
    <w:div w:id="1769424097">
      <w:bodyDiv w:val="1"/>
      <w:marLeft w:val="0"/>
      <w:marRight w:val="0"/>
      <w:marTop w:val="0"/>
      <w:marBottom w:val="0"/>
      <w:divBdr>
        <w:top w:val="none" w:sz="0" w:space="0" w:color="auto"/>
        <w:left w:val="none" w:sz="0" w:space="0" w:color="auto"/>
        <w:bottom w:val="none" w:sz="0" w:space="0" w:color="auto"/>
        <w:right w:val="none" w:sz="0" w:space="0" w:color="auto"/>
      </w:divBdr>
    </w:div>
    <w:div w:id="1769961385">
      <w:bodyDiv w:val="1"/>
      <w:marLeft w:val="0"/>
      <w:marRight w:val="0"/>
      <w:marTop w:val="0"/>
      <w:marBottom w:val="0"/>
      <w:divBdr>
        <w:top w:val="none" w:sz="0" w:space="0" w:color="auto"/>
        <w:left w:val="none" w:sz="0" w:space="0" w:color="auto"/>
        <w:bottom w:val="none" w:sz="0" w:space="0" w:color="auto"/>
        <w:right w:val="none" w:sz="0" w:space="0" w:color="auto"/>
      </w:divBdr>
      <w:divsChild>
        <w:div w:id="1396314079">
          <w:marLeft w:val="0"/>
          <w:marRight w:val="0"/>
          <w:marTop w:val="0"/>
          <w:marBottom w:val="0"/>
          <w:divBdr>
            <w:top w:val="none" w:sz="0" w:space="0" w:color="auto"/>
            <w:left w:val="none" w:sz="0" w:space="0" w:color="auto"/>
            <w:bottom w:val="none" w:sz="0" w:space="0" w:color="auto"/>
            <w:right w:val="none" w:sz="0" w:space="0" w:color="auto"/>
          </w:divBdr>
          <w:divsChild>
            <w:div w:id="1976331821">
              <w:marLeft w:val="0"/>
              <w:marRight w:val="0"/>
              <w:marTop w:val="0"/>
              <w:marBottom w:val="0"/>
              <w:divBdr>
                <w:top w:val="none" w:sz="0" w:space="0" w:color="auto"/>
                <w:left w:val="none" w:sz="0" w:space="0" w:color="auto"/>
                <w:bottom w:val="none" w:sz="0" w:space="0" w:color="auto"/>
                <w:right w:val="none" w:sz="0" w:space="0" w:color="auto"/>
              </w:divBdr>
              <w:divsChild>
                <w:div w:id="1798570190">
                  <w:marLeft w:val="0"/>
                  <w:marRight w:val="0"/>
                  <w:marTop w:val="0"/>
                  <w:marBottom w:val="0"/>
                  <w:divBdr>
                    <w:top w:val="none" w:sz="0" w:space="0" w:color="auto"/>
                    <w:left w:val="none" w:sz="0" w:space="0" w:color="auto"/>
                    <w:bottom w:val="none" w:sz="0" w:space="0" w:color="auto"/>
                    <w:right w:val="none" w:sz="0" w:space="0" w:color="auto"/>
                  </w:divBdr>
                  <w:divsChild>
                    <w:div w:id="596669154">
                      <w:marLeft w:val="0"/>
                      <w:marRight w:val="0"/>
                      <w:marTop w:val="0"/>
                      <w:marBottom w:val="0"/>
                      <w:divBdr>
                        <w:top w:val="none" w:sz="0" w:space="0" w:color="auto"/>
                        <w:left w:val="none" w:sz="0" w:space="0" w:color="auto"/>
                        <w:bottom w:val="none" w:sz="0" w:space="0" w:color="auto"/>
                        <w:right w:val="none" w:sz="0" w:space="0" w:color="auto"/>
                      </w:divBdr>
                      <w:divsChild>
                        <w:div w:id="1409694158">
                          <w:marLeft w:val="0"/>
                          <w:marRight w:val="0"/>
                          <w:marTop w:val="0"/>
                          <w:marBottom w:val="0"/>
                          <w:divBdr>
                            <w:top w:val="none" w:sz="0" w:space="0" w:color="auto"/>
                            <w:left w:val="none" w:sz="0" w:space="0" w:color="auto"/>
                            <w:bottom w:val="none" w:sz="0" w:space="0" w:color="auto"/>
                            <w:right w:val="none" w:sz="0" w:space="0" w:color="auto"/>
                          </w:divBdr>
                          <w:divsChild>
                            <w:div w:id="17022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083102">
      <w:bodyDiv w:val="1"/>
      <w:marLeft w:val="0"/>
      <w:marRight w:val="0"/>
      <w:marTop w:val="0"/>
      <w:marBottom w:val="0"/>
      <w:divBdr>
        <w:top w:val="none" w:sz="0" w:space="0" w:color="auto"/>
        <w:left w:val="none" w:sz="0" w:space="0" w:color="auto"/>
        <w:bottom w:val="none" w:sz="0" w:space="0" w:color="auto"/>
        <w:right w:val="none" w:sz="0" w:space="0" w:color="auto"/>
      </w:divBdr>
    </w:div>
    <w:div w:id="1770156949">
      <w:bodyDiv w:val="1"/>
      <w:marLeft w:val="0"/>
      <w:marRight w:val="0"/>
      <w:marTop w:val="0"/>
      <w:marBottom w:val="0"/>
      <w:divBdr>
        <w:top w:val="none" w:sz="0" w:space="0" w:color="auto"/>
        <w:left w:val="none" w:sz="0" w:space="0" w:color="auto"/>
        <w:bottom w:val="none" w:sz="0" w:space="0" w:color="auto"/>
        <w:right w:val="none" w:sz="0" w:space="0" w:color="auto"/>
      </w:divBdr>
    </w:div>
    <w:div w:id="1770157555">
      <w:bodyDiv w:val="1"/>
      <w:marLeft w:val="0"/>
      <w:marRight w:val="0"/>
      <w:marTop w:val="0"/>
      <w:marBottom w:val="0"/>
      <w:divBdr>
        <w:top w:val="none" w:sz="0" w:space="0" w:color="auto"/>
        <w:left w:val="none" w:sz="0" w:space="0" w:color="auto"/>
        <w:bottom w:val="none" w:sz="0" w:space="0" w:color="auto"/>
        <w:right w:val="none" w:sz="0" w:space="0" w:color="auto"/>
      </w:divBdr>
      <w:divsChild>
        <w:div w:id="724912863">
          <w:marLeft w:val="0"/>
          <w:marRight w:val="0"/>
          <w:marTop w:val="0"/>
          <w:marBottom w:val="0"/>
          <w:divBdr>
            <w:top w:val="none" w:sz="0" w:space="0" w:color="auto"/>
            <w:left w:val="none" w:sz="0" w:space="0" w:color="auto"/>
            <w:bottom w:val="none" w:sz="0" w:space="0" w:color="auto"/>
            <w:right w:val="none" w:sz="0" w:space="0" w:color="auto"/>
          </w:divBdr>
          <w:divsChild>
            <w:div w:id="1484080107">
              <w:marLeft w:val="0"/>
              <w:marRight w:val="0"/>
              <w:marTop w:val="0"/>
              <w:marBottom w:val="0"/>
              <w:divBdr>
                <w:top w:val="none" w:sz="0" w:space="0" w:color="auto"/>
                <w:left w:val="none" w:sz="0" w:space="0" w:color="auto"/>
                <w:bottom w:val="none" w:sz="0" w:space="0" w:color="auto"/>
                <w:right w:val="none" w:sz="0" w:space="0" w:color="auto"/>
              </w:divBdr>
              <w:divsChild>
                <w:div w:id="67072244">
                  <w:marLeft w:val="0"/>
                  <w:marRight w:val="0"/>
                  <w:marTop w:val="0"/>
                  <w:marBottom w:val="0"/>
                  <w:divBdr>
                    <w:top w:val="none" w:sz="0" w:space="0" w:color="auto"/>
                    <w:left w:val="none" w:sz="0" w:space="0" w:color="auto"/>
                    <w:bottom w:val="none" w:sz="0" w:space="0" w:color="auto"/>
                    <w:right w:val="none" w:sz="0" w:space="0" w:color="auto"/>
                  </w:divBdr>
                  <w:divsChild>
                    <w:div w:id="109132037">
                      <w:marLeft w:val="0"/>
                      <w:marRight w:val="0"/>
                      <w:marTop w:val="0"/>
                      <w:marBottom w:val="0"/>
                      <w:divBdr>
                        <w:top w:val="none" w:sz="0" w:space="0" w:color="auto"/>
                        <w:left w:val="none" w:sz="0" w:space="0" w:color="auto"/>
                        <w:bottom w:val="none" w:sz="0" w:space="0" w:color="auto"/>
                        <w:right w:val="none" w:sz="0" w:space="0" w:color="auto"/>
                      </w:divBdr>
                      <w:divsChild>
                        <w:div w:id="1226529325">
                          <w:marLeft w:val="0"/>
                          <w:marRight w:val="0"/>
                          <w:marTop w:val="0"/>
                          <w:marBottom w:val="0"/>
                          <w:divBdr>
                            <w:top w:val="none" w:sz="0" w:space="0" w:color="auto"/>
                            <w:left w:val="none" w:sz="0" w:space="0" w:color="auto"/>
                            <w:bottom w:val="none" w:sz="0" w:space="0" w:color="auto"/>
                            <w:right w:val="none" w:sz="0" w:space="0" w:color="auto"/>
                          </w:divBdr>
                          <w:divsChild>
                            <w:div w:id="137917266">
                              <w:marLeft w:val="0"/>
                              <w:marRight w:val="0"/>
                              <w:marTop w:val="0"/>
                              <w:marBottom w:val="0"/>
                              <w:divBdr>
                                <w:top w:val="none" w:sz="0" w:space="0" w:color="auto"/>
                                <w:left w:val="none" w:sz="0" w:space="0" w:color="auto"/>
                                <w:bottom w:val="none" w:sz="0" w:space="0" w:color="auto"/>
                                <w:right w:val="none" w:sz="0" w:space="0" w:color="auto"/>
                              </w:divBdr>
                              <w:divsChild>
                                <w:div w:id="1427768327">
                                  <w:marLeft w:val="0"/>
                                  <w:marRight w:val="0"/>
                                  <w:marTop w:val="0"/>
                                  <w:marBottom w:val="0"/>
                                  <w:divBdr>
                                    <w:top w:val="none" w:sz="0" w:space="0" w:color="auto"/>
                                    <w:left w:val="none" w:sz="0" w:space="0" w:color="auto"/>
                                    <w:bottom w:val="none" w:sz="0" w:space="0" w:color="auto"/>
                                    <w:right w:val="none" w:sz="0" w:space="0" w:color="auto"/>
                                  </w:divBdr>
                                  <w:divsChild>
                                    <w:div w:id="1989436128">
                                      <w:marLeft w:val="0"/>
                                      <w:marRight w:val="0"/>
                                      <w:marTop w:val="0"/>
                                      <w:marBottom w:val="0"/>
                                      <w:divBdr>
                                        <w:top w:val="none" w:sz="0" w:space="0" w:color="auto"/>
                                        <w:left w:val="none" w:sz="0" w:space="0" w:color="auto"/>
                                        <w:bottom w:val="none" w:sz="0" w:space="0" w:color="auto"/>
                                        <w:right w:val="none" w:sz="0" w:space="0" w:color="auto"/>
                                      </w:divBdr>
                                      <w:divsChild>
                                        <w:div w:id="73940231">
                                          <w:marLeft w:val="0"/>
                                          <w:marRight w:val="0"/>
                                          <w:marTop w:val="0"/>
                                          <w:marBottom w:val="0"/>
                                          <w:divBdr>
                                            <w:top w:val="none" w:sz="0" w:space="0" w:color="auto"/>
                                            <w:left w:val="none" w:sz="0" w:space="0" w:color="auto"/>
                                            <w:bottom w:val="none" w:sz="0" w:space="0" w:color="auto"/>
                                            <w:right w:val="none" w:sz="0" w:space="0" w:color="auto"/>
                                          </w:divBdr>
                                        </w:div>
                                        <w:div w:id="504126774">
                                          <w:marLeft w:val="0"/>
                                          <w:marRight w:val="0"/>
                                          <w:marTop w:val="0"/>
                                          <w:marBottom w:val="0"/>
                                          <w:divBdr>
                                            <w:top w:val="none" w:sz="0" w:space="0" w:color="auto"/>
                                            <w:left w:val="none" w:sz="0" w:space="0" w:color="auto"/>
                                            <w:bottom w:val="none" w:sz="0" w:space="0" w:color="auto"/>
                                            <w:right w:val="none" w:sz="0" w:space="0" w:color="auto"/>
                                          </w:divBdr>
                                          <w:divsChild>
                                            <w:div w:id="17730844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777674">
      <w:bodyDiv w:val="1"/>
      <w:marLeft w:val="0"/>
      <w:marRight w:val="0"/>
      <w:marTop w:val="0"/>
      <w:marBottom w:val="0"/>
      <w:divBdr>
        <w:top w:val="none" w:sz="0" w:space="0" w:color="auto"/>
        <w:left w:val="none" w:sz="0" w:space="0" w:color="auto"/>
        <w:bottom w:val="none" w:sz="0" w:space="0" w:color="auto"/>
        <w:right w:val="none" w:sz="0" w:space="0" w:color="auto"/>
      </w:divBdr>
      <w:divsChild>
        <w:div w:id="876814374">
          <w:marLeft w:val="0"/>
          <w:marRight w:val="0"/>
          <w:marTop w:val="0"/>
          <w:marBottom w:val="0"/>
          <w:divBdr>
            <w:top w:val="none" w:sz="0" w:space="0" w:color="auto"/>
            <w:left w:val="none" w:sz="0" w:space="0" w:color="auto"/>
            <w:bottom w:val="none" w:sz="0" w:space="0" w:color="auto"/>
            <w:right w:val="none" w:sz="0" w:space="0" w:color="auto"/>
          </w:divBdr>
          <w:divsChild>
            <w:div w:id="371418714">
              <w:marLeft w:val="0"/>
              <w:marRight w:val="0"/>
              <w:marTop w:val="0"/>
              <w:marBottom w:val="0"/>
              <w:divBdr>
                <w:top w:val="none" w:sz="0" w:space="0" w:color="auto"/>
                <w:left w:val="none" w:sz="0" w:space="0" w:color="auto"/>
                <w:bottom w:val="none" w:sz="0" w:space="0" w:color="auto"/>
                <w:right w:val="none" w:sz="0" w:space="0" w:color="auto"/>
              </w:divBdr>
              <w:divsChild>
                <w:div w:id="1491824842">
                  <w:marLeft w:val="0"/>
                  <w:marRight w:val="0"/>
                  <w:marTop w:val="0"/>
                  <w:marBottom w:val="0"/>
                  <w:divBdr>
                    <w:top w:val="none" w:sz="0" w:space="0" w:color="auto"/>
                    <w:left w:val="none" w:sz="0" w:space="0" w:color="auto"/>
                    <w:bottom w:val="none" w:sz="0" w:space="0" w:color="auto"/>
                    <w:right w:val="none" w:sz="0" w:space="0" w:color="auto"/>
                  </w:divBdr>
                  <w:divsChild>
                    <w:div w:id="1443181781">
                      <w:marLeft w:val="0"/>
                      <w:marRight w:val="0"/>
                      <w:marTop w:val="300"/>
                      <w:marBottom w:val="600"/>
                      <w:divBdr>
                        <w:top w:val="none" w:sz="0" w:space="0" w:color="auto"/>
                        <w:left w:val="none" w:sz="0" w:space="0" w:color="auto"/>
                        <w:bottom w:val="none" w:sz="0" w:space="0" w:color="auto"/>
                        <w:right w:val="none" w:sz="0" w:space="0" w:color="auto"/>
                      </w:divBdr>
                      <w:divsChild>
                        <w:div w:id="1739286621">
                          <w:marLeft w:val="0"/>
                          <w:marRight w:val="0"/>
                          <w:marTop w:val="0"/>
                          <w:marBottom w:val="0"/>
                          <w:divBdr>
                            <w:top w:val="none" w:sz="0" w:space="0" w:color="auto"/>
                            <w:left w:val="none" w:sz="0" w:space="0" w:color="auto"/>
                            <w:bottom w:val="none" w:sz="0" w:space="0" w:color="auto"/>
                            <w:right w:val="none" w:sz="0" w:space="0" w:color="auto"/>
                          </w:divBdr>
                          <w:divsChild>
                            <w:div w:id="1777869022">
                              <w:marLeft w:val="0"/>
                              <w:marRight w:val="0"/>
                              <w:marTop w:val="0"/>
                              <w:marBottom w:val="0"/>
                              <w:divBdr>
                                <w:top w:val="none" w:sz="0" w:space="0" w:color="auto"/>
                                <w:left w:val="none" w:sz="0" w:space="0" w:color="auto"/>
                                <w:bottom w:val="none" w:sz="0" w:space="0" w:color="auto"/>
                                <w:right w:val="none" w:sz="0" w:space="0" w:color="auto"/>
                              </w:divBdr>
                              <w:divsChild>
                                <w:div w:id="201330425">
                                  <w:marLeft w:val="0"/>
                                  <w:marRight w:val="0"/>
                                  <w:marTop w:val="0"/>
                                  <w:marBottom w:val="0"/>
                                  <w:divBdr>
                                    <w:top w:val="none" w:sz="0" w:space="0" w:color="auto"/>
                                    <w:left w:val="none" w:sz="0" w:space="0" w:color="auto"/>
                                    <w:bottom w:val="none" w:sz="0" w:space="0" w:color="auto"/>
                                    <w:right w:val="none" w:sz="0" w:space="0" w:color="auto"/>
                                  </w:divBdr>
                                  <w:divsChild>
                                    <w:div w:id="167915740">
                                      <w:marLeft w:val="0"/>
                                      <w:marRight w:val="0"/>
                                      <w:marTop w:val="150"/>
                                      <w:marBottom w:val="0"/>
                                      <w:divBdr>
                                        <w:top w:val="none" w:sz="0" w:space="0" w:color="auto"/>
                                        <w:left w:val="none" w:sz="0" w:space="0" w:color="auto"/>
                                        <w:bottom w:val="none" w:sz="0" w:space="0" w:color="auto"/>
                                        <w:right w:val="none" w:sz="0" w:space="0" w:color="auto"/>
                                      </w:divBdr>
                                      <w:divsChild>
                                        <w:div w:id="762803338">
                                          <w:marLeft w:val="0"/>
                                          <w:marRight w:val="0"/>
                                          <w:marTop w:val="0"/>
                                          <w:marBottom w:val="0"/>
                                          <w:divBdr>
                                            <w:top w:val="none" w:sz="0" w:space="0" w:color="auto"/>
                                            <w:left w:val="none" w:sz="0" w:space="0" w:color="auto"/>
                                            <w:bottom w:val="none" w:sz="0" w:space="0" w:color="auto"/>
                                            <w:right w:val="none" w:sz="0" w:space="0" w:color="auto"/>
                                          </w:divBdr>
                                          <w:divsChild>
                                            <w:div w:id="1680229599">
                                              <w:marLeft w:val="0"/>
                                              <w:marRight w:val="0"/>
                                              <w:marTop w:val="0"/>
                                              <w:marBottom w:val="0"/>
                                              <w:divBdr>
                                                <w:top w:val="none" w:sz="0" w:space="0" w:color="auto"/>
                                                <w:left w:val="none" w:sz="0" w:space="0" w:color="auto"/>
                                                <w:bottom w:val="none" w:sz="0" w:space="0" w:color="auto"/>
                                                <w:right w:val="none" w:sz="0" w:space="0" w:color="auto"/>
                                              </w:divBdr>
                                              <w:divsChild>
                                                <w:div w:id="1167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705292">
      <w:bodyDiv w:val="1"/>
      <w:marLeft w:val="0"/>
      <w:marRight w:val="0"/>
      <w:marTop w:val="0"/>
      <w:marBottom w:val="0"/>
      <w:divBdr>
        <w:top w:val="none" w:sz="0" w:space="0" w:color="auto"/>
        <w:left w:val="none" w:sz="0" w:space="0" w:color="auto"/>
        <w:bottom w:val="none" w:sz="0" w:space="0" w:color="auto"/>
        <w:right w:val="none" w:sz="0" w:space="0" w:color="auto"/>
      </w:divBdr>
      <w:divsChild>
        <w:div w:id="411243184">
          <w:marLeft w:val="2400"/>
          <w:marRight w:val="0"/>
          <w:marTop w:val="0"/>
          <w:marBottom w:val="0"/>
          <w:divBdr>
            <w:top w:val="none" w:sz="0" w:space="0" w:color="auto"/>
            <w:left w:val="none" w:sz="0" w:space="0" w:color="auto"/>
            <w:bottom w:val="none" w:sz="0" w:space="0" w:color="auto"/>
            <w:right w:val="none" w:sz="0" w:space="0" w:color="auto"/>
          </w:divBdr>
          <w:divsChild>
            <w:div w:id="623539105">
              <w:marLeft w:val="0"/>
              <w:marRight w:val="0"/>
              <w:marTop w:val="0"/>
              <w:marBottom w:val="0"/>
              <w:divBdr>
                <w:top w:val="none" w:sz="0" w:space="0" w:color="auto"/>
                <w:left w:val="none" w:sz="0" w:space="0" w:color="auto"/>
                <w:bottom w:val="none" w:sz="0" w:space="0" w:color="auto"/>
                <w:right w:val="none" w:sz="0" w:space="0" w:color="auto"/>
              </w:divBdr>
              <w:divsChild>
                <w:div w:id="1921212971">
                  <w:marLeft w:val="0"/>
                  <w:marRight w:val="0"/>
                  <w:marTop w:val="0"/>
                  <w:marBottom w:val="0"/>
                  <w:divBdr>
                    <w:top w:val="none" w:sz="0" w:space="0" w:color="auto"/>
                    <w:left w:val="none" w:sz="0" w:space="0" w:color="auto"/>
                    <w:bottom w:val="none" w:sz="0" w:space="0" w:color="auto"/>
                    <w:right w:val="none" w:sz="0" w:space="0" w:color="auto"/>
                  </w:divBdr>
                  <w:divsChild>
                    <w:div w:id="9176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91994">
      <w:bodyDiv w:val="1"/>
      <w:marLeft w:val="0"/>
      <w:marRight w:val="0"/>
      <w:marTop w:val="0"/>
      <w:marBottom w:val="0"/>
      <w:divBdr>
        <w:top w:val="none" w:sz="0" w:space="0" w:color="auto"/>
        <w:left w:val="none" w:sz="0" w:space="0" w:color="auto"/>
        <w:bottom w:val="none" w:sz="0" w:space="0" w:color="auto"/>
        <w:right w:val="none" w:sz="0" w:space="0" w:color="auto"/>
      </w:divBdr>
      <w:divsChild>
        <w:div w:id="1995912131">
          <w:marLeft w:val="0"/>
          <w:marRight w:val="0"/>
          <w:marTop w:val="0"/>
          <w:marBottom w:val="0"/>
          <w:divBdr>
            <w:top w:val="none" w:sz="0" w:space="0" w:color="auto"/>
            <w:left w:val="none" w:sz="0" w:space="0" w:color="auto"/>
            <w:bottom w:val="none" w:sz="0" w:space="0" w:color="auto"/>
            <w:right w:val="none" w:sz="0" w:space="0" w:color="auto"/>
          </w:divBdr>
        </w:div>
      </w:divsChild>
    </w:div>
    <w:div w:id="1774008953">
      <w:bodyDiv w:val="1"/>
      <w:marLeft w:val="0"/>
      <w:marRight w:val="0"/>
      <w:marTop w:val="0"/>
      <w:marBottom w:val="0"/>
      <w:divBdr>
        <w:top w:val="none" w:sz="0" w:space="0" w:color="auto"/>
        <w:left w:val="none" w:sz="0" w:space="0" w:color="auto"/>
        <w:bottom w:val="none" w:sz="0" w:space="0" w:color="auto"/>
        <w:right w:val="none" w:sz="0" w:space="0" w:color="auto"/>
      </w:divBdr>
      <w:divsChild>
        <w:div w:id="1019741574">
          <w:marLeft w:val="0"/>
          <w:marRight w:val="0"/>
          <w:marTop w:val="0"/>
          <w:marBottom w:val="0"/>
          <w:divBdr>
            <w:top w:val="single" w:sz="6" w:space="0" w:color="0E477A"/>
            <w:left w:val="single" w:sz="6" w:space="0" w:color="0E477A"/>
            <w:bottom w:val="single" w:sz="6" w:space="0" w:color="0E477A"/>
            <w:right w:val="single" w:sz="6" w:space="0" w:color="0E477A"/>
          </w:divBdr>
          <w:divsChild>
            <w:div w:id="1505970396">
              <w:marLeft w:val="2925"/>
              <w:marRight w:val="0"/>
              <w:marTop w:val="0"/>
              <w:marBottom w:val="0"/>
              <w:divBdr>
                <w:top w:val="none" w:sz="0" w:space="0" w:color="auto"/>
                <w:left w:val="none" w:sz="0" w:space="0" w:color="auto"/>
                <w:bottom w:val="none" w:sz="0" w:space="0" w:color="auto"/>
                <w:right w:val="none" w:sz="0" w:space="0" w:color="auto"/>
              </w:divBdr>
              <w:divsChild>
                <w:div w:id="1057779472">
                  <w:marLeft w:val="0"/>
                  <w:marRight w:val="0"/>
                  <w:marTop w:val="0"/>
                  <w:marBottom w:val="0"/>
                  <w:divBdr>
                    <w:top w:val="none" w:sz="0" w:space="0" w:color="auto"/>
                    <w:left w:val="none" w:sz="0" w:space="0" w:color="auto"/>
                    <w:bottom w:val="none" w:sz="0" w:space="0" w:color="auto"/>
                    <w:right w:val="none" w:sz="0" w:space="0" w:color="auto"/>
                  </w:divBdr>
                  <w:divsChild>
                    <w:div w:id="1446852046">
                      <w:marLeft w:val="0"/>
                      <w:marRight w:val="150"/>
                      <w:marTop w:val="0"/>
                      <w:marBottom w:val="0"/>
                      <w:divBdr>
                        <w:top w:val="single" w:sz="6" w:space="0" w:color="CCCCCC"/>
                        <w:left w:val="single" w:sz="6" w:space="8" w:color="CCCCCC"/>
                        <w:bottom w:val="single" w:sz="6" w:space="8" w:color="CCCCCC"/>
                        <w:right w:val="single" w:sz="6" w:space="8" w:color="CCCCCC"/>
                      </w:divBdr>
                      <w:divsChild>
                        <w:div w:id="1973898029">
                          <w:marLeft w:val="0"/>
                          <w:marRight w:val="0"/>
                          <w:marTop w:val="0"/>
                          <w:marBottom w:val="0"/>
                          <w:divBdr>
                            <w:top w:val="none" w:sz="0" w:space="0" w:color="auto"/>
                            <w:left w:val="none" w:sz="0" w:space="0" w:color="auto"/>
                            <w:bottom w:val="none" w:sz="0" w:space="0" w:color="auto"/>
                            <w:right w:val="none" w:sz="0" w:space="0" w:color="auto"/>
                          </w:divBdr>
                        </w:div>
                        <w:div w:id="163056499">
                          <w:marLeft w:val="0"/>
                          <w:marRight w:val="0"/>
                          <w:marTop w:val="0"/>
                          <w:marBottom w:val="0"/>
                          <w:divBdr>
                            <w:top w:val="none" w:sz="0" w:space="0" w:color="auto"/>
                            <w:left w:val="none" w:sz="0" w:space="0" w:color="auto"/>
                            <w:bottom w:val="none" w:sz="0" w:space="0" w:color="auto"/>
                            <w:right w:val="none" w:sz="0" w:space="0" w:color="auto"/>
                          </w:divBdr>
                        </w:div>
                        <w:div w:id="1310283184">
                          <w:marLeft w:val="0"/>
                          <w:marRight w:val="0"/>
                          <w:marTop w:val="0"/>
                          <w:marBottom w:val="0"/>
                          <w:divBdr>
                            <w:top w:val="none" w:sz="0" w:space="0" w:color="auto"/>
                            <w:left w:val="none" w:sz="0" w:space="0" w:color="auto"/>
                            <w:bottom w:val="none" w:sz="0" w:space="0" w:color="auto"/>
                            <w:right w:val="none" w:sz="0" w:space="0" w:color="auto"/>
                          </w:divBdr>
                        </w:div>
                        <w:div w:id="1812212704">
                          <w:marLeft w:val="0"/>
                          <w:marRight w:val="0"/>
                          <w:marTop w:val="0"/>
                          <w:marBottom w:val="0"/>
                          <w:divBdr>
                            <w:top w:val="none" w:sz="0" w:space="0" w:color="auto"/>
                            <w:left w:val="none" w:sz="0" w:space="0" w:color="auto"/>
                            <w:bottom w:val="none" w:sz="0" w:space="0" w:color="auto"/>
                            <w:right w:val="none" w:sz="0" w:space="0" w:color="auto"/>
                          </w:divBdr>
                        </w:div>
                        <w:div w:id="1061366338">
                          <w:marLeft w:val="0"/>
                          <w:marRight w:val="0"/>
                          <w:marTop w:val="0"/>
                          <w:marBottom w:val="0"/>
                          <w:divBdr>
                            <w:top w:val="none" w:sz="0" w:space="0" w:color="auto"/>
                            <w:left w:val="none" w:sz="0" w:space="0" w:color="auto"/>
                            <w:bottom w:val="none" w:sz="0" w:space="0" w:color="auto"/>
                            <w:right w:val="none" w:sz="0" w:space="0" w:color="auto"/>
                          </w:divBdr>
                        </w:div>
                        <w:div w:id="987055117">
                          <w:marLeft w:val="0"/>
                          <w:marRight w:val="0"/>
                          <w:marTop w:val="0"/>
                          <w:marBottom w:val="0"/>
                          <w:divBdr>
                            <w:top w:val="none" w:sz="0" w:space="0" w:color="auto"/>
                            <w:left w:val="none" w:sz="0" w:space="0" w:color="auto"/>
                            <w:bottom w:val="none" w:sz="0" w:space="0" w:color="auto"/>
                            <w:right w:val="none" w:sz="0" w:space="0" w:color="auto"/>
                          </w:divBdr>
                        </w:div>
                        <w:div w:id="993338689">
                          <w:marLeft w:val="0"/>
                          <w:marRight w:val="0"/>
                          <w:marTop w:val="0"/>
                          <w:marBottom w:val="0"/>
                          <w:divBdr>
                            <w:top w:val="none" w:sz="0" w:space="0" w:color="auto"/>
                            <w:left w:val="none" w:sz="0" w:space="0" w:color="auto"/>
                            <w:bottom w:val="none" w:sz="0" w:space="0" w:color="auto"/>
                            <w:right w:val="none" w:sz="0" w:space="0" w:color="auto"/>
                          </w:divBdr>
                        </w:div>
                        <w:div w:id="993681037">
                          <w:marLeft w:val="0"/>
                          <w:marRight w:val="0"/>
                          <w:marTop w:val="0"/>
                          <w:marBottom w:val="0"/>
                          <w:divBdr>
                            <w:top w:val="none" w:sz="0" w:space="0" w:color="auto"/>
                            <w:left w:val="none" w:sz="0" w:space="0" w:color="auto"/>
                            <w:bottom w:val="none" w:sz="0" w:space="0" w:color="auto"/>
                            <w:right w:val="none" w:sz="0" w:space="0" w:color="auto"/>
                          </w:divBdr>
                        </w:div>
                        <w:div w:id="2001039576">
                          <w:marLeft w:val="0"/>
                          <w:marRight w:val="0"/>
                          <w:marTop w:val="0"/>
                          <w:marBottom w:val="0"/>
                          <w:divBdr>
                            <w:top w:val="none" w:sz="0" w:space="0" w:color="auto"/>
                            <w:left w:val="none" w:sz="0" w:space="0" w:color="auto"/>
                            <w:bottom w:val="none" w:sz="0" w:space="0" w:color="auto"/>
                            <w:right w:val="none" w:sz="0" w:space="0" w:color="auto"/>
                          </w:divBdr>
                        </w:div>
                        <w:div w:id="915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10633">
      <w:bodyDiv w:val="1"/>
      <w:marLeft w:val="0"/>
      <w:marRight w:val="0"/>
      <w:marTop w:val="0"/>
      <w:marBottom w:val="0"/>
      <w:divBdr>
        <w:top w:val="none" w:sz="0" w:space="0" w:color="auto"/>
        <w:left w:val="none" w:sz="0" w:space="0" w:color="auto"/>
        <w:bottom w:val="none" w:sz="0" w:space="0" w:color="auto"/>
        <w:right w:val="none" w:sz="0" w:space="0" w:color="auto"/>
      </w:divBdr>
      <w:divsChild>
        <w:div w:id="2003044502">
          <w:marLeft w:val="0"/>
          <w:marRight w:val="0"/>
          <w:marTop w:val="0"/>
          <w:marBottom w:val="0"/>
          <w:divBdr>
            <w:top w:val="none" w:sz="0" w:space="0" w:color="auto"/>
            <w:left w:val="none" w:sz="0" w:space="0" w:color="auto"/>
            <w:bottom w:val="none" w:sz="0" w:space="0" w:color="auto"/>
            <w:right w:val="none" w:sz="0" w:space="0" w:color="auto"/>
          </w:divBdr>
          <w:divsChild>
            <w:div w:id="1347710853">
              <w:marLeft w:val="0"/>
              <w:marRight w:val="0"/>
              <w:marTop w:val="150"/>
              <w:marBottom w:val="0"/>
              <w:divBdr>
                <w:top w:val="none" w:sz="0" w:space="0" w:color="auto"/>
                <w:left w:val="none" w:sz="0" w:space="0" w:color="auto"/>
                <w:bottom w:val="none" w:sz="0" w:space="0" w:color="auto"/>
                <w:right w:val="none" w:sz="0" w:space="0" w:color="auto"/>
              </w:divBdr>
              <w:divsChild>
                <w:div w:id="2120175357">
                  <w:marLeft w:val="0"/>
                  <w:marRight w:val="0"/>
                  <w:marTop w:val="0"/>
                  <w:marBottom w:val="0"/>
                  <w:divBdr>
                    <w:top w:val="none" w:sz="0" w:space="0" w:color="auto"/>
                    <w:left w:val="none" w:sz="0" w:space="0" w:color="auto"/>
                    <w:bottom w:val="none" w:sz="0" w:space="0" w:color="auto"/>
                    <w:right w:val="none" w:sz="0" w:space="0" w:color="auto"/>
                  </w:divBdr>
                  <w:divsChild>
                    <w:div w:id="1529104202">
                      <w:marLeft w:val="0"/>
                      <w:marRight w:val="0"/>
                      <w:marTop w:val="0"/>
                      <w:marBottom w:val="0"/>
                      <w:divBdr>
                        <w:top w:val="none" w:sz="0" w:space="0" w:color="auto"/>
                        <w:left w:val="none" w:sz="0" w:space="0" w:color="auto"/>
                        <w:bottom w:val="none" w:sz="0" w:space="0" w:color="auto"/>
                        <w:right w:val="none" w:sz="0" w:space="0" w:color="auto"/>
                      </w:divBdr>
                      <w:divsChild>
                        <w:div w:id="13200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18875">
      <w:bodyDiv w:val="1"/>
      <w:marLeft w:val="0"/>
      <w:marRight w:val="0"/>
      <w:marTop w:val="0"/>
      <w:marBottom w:val="0"/>
      <w:divBdr>
        <w:top w:val="none" w:sz="0" w:space="0" w:color="auto"/>
        <w:left w:val="none" w:sz="0" w:space="0" w:color="auto"/>
        <w:bottom w:val="none" w:sz="0" w:space="0" w:color="auto"/>
        <w:right w:val="none" w:sz="0" w:space="0" w:color="auto"/>
      </w:divBdr>
      <w:divsChild>
        <w:div w:id="46361749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79596064">
      <w:bodyDiv w:val="1"/>
      <w:marLeft w:val="0"/>
      <w:marRight w:val="0"/>
      <w:marTop w:val="0"/>
      <w:marBottom w:val="0"/>
      <w:divBdr>
        <w:top w:val="none" w:sz="0" w:space="0" w:color="auto"/>
        <w:left w:val="none" w:sz="0" w:space="0" w:color="auto"/>
        <w:bottom w:val="none" w:sz="0" w:space="0" w:color="auto"/>
        <w:right w:val="none" w:sz="0" w:space="0" w:color="auto"/>
      </w:divBdr>
      <w:divsChild>
        <w:div w:id="1591817813">
          <w:marLeft w:val="0"/>
          <w:marRight w:val="0"/>
          <w:marTop w:val="0"/>
          <w:marBottom w:val="0"/>
          <w:divBdr>
            <w:top w:val="none" w:sz="0" w:space="0" w:color="auto"/>
            <w:left w:val="none" w:sz="0" w:space="0" w:color="auto"/>
            <w:bottom w:val="none" w:sz="0" w:space="0" w:color="auto"/>
            <w:right w:val="none" w:sz="0" w:space="0" w:color="auto"/>
          </w:divBdr>
          <w:divsChild>
            <w:div w:id="1510146290">
              <w:marLeft w:val="0"/>
              <w:marRight w:val="0"/>
              <w:marTop w:val="0"/>
              <w:marBottom w:val="0"/>
              <w:divBdr>
                <w:top w:val="none" w:sz="0" w:space="0" w:color="auto"/>
                <w:left w:val="none" w:sz="0" w:space="0" w:color="auto"/>
                <w:bottom w:val="none" w:sz="0" w:space="0" w:color="auto"/>
                <w:right w:val="none" w:sz="0" w:space="0" w:color="auto"/>
              </w:divBdr>
              <w:divsChild>
                <w:div w:id="427392211">
                  <w:marLeft w:val="0"/>
                  <w:marRight w:val="0"/>
                  <w:marTop w:val="0"/>
                  <w:marBottom w:val="0"/>
                  <w:divBdr>
                    <w:top w:val="none" w:sz="0" w:space="0" w:color="auto"/>
                    <w:left w:val="none" w:sz="0" w:space="0" w:color="auto"/>
                    <w:bottom w:val="none" w:sz="0" w:space="0" w:color="auto"/>
                    <w:right w:val="none" w:sz="0" w:space="0" w:color="auto"/>
                  </w:divBdr>
                  <w:divsChild>
                    <w:div w:id="2049136323">
                      <w:marLeft w:val="0"/>
                      <w:marRight w:val="0"/>
                      <w:marTop w:val="0"/>
                      <w:marBottom w:val="0"/>
                      <w:divBdr>
                        <w:top w:val="none" w:sz="0" w:space="0" w:color="auto"/>
                        <w:left w:val="none" w:sz="0" w:space="0" w:color="auto"/>
                        <w:bottom w:val="none" w:sz="0" w:space="0" w:color="auto"/>
                        <w:right w:val="none" w:sz="0" w:space="0" w:color="auto"/>
                      </w:divBdr>
                      <w:divsChild>
                        <w:div w:id="922955842">
                          <w:marLeft w:val="570"/>
                          <w:marRight w:val="720"/>
                          <w:marTop w:val="120"/>
                          <w:marBottom w:val="120"/>
                          <w:divBdr>
                            <w:top w:val="none" w:sz="0" w:space="0" w:color="auto"/>
                            <w:left w:val="none" w:sz="0" w:space="0" w:color="auto"/>
                            <w:bottom w:val="none" w:sz="0" w:space="0" w:color="auto"/>
                            <w:right w:val="none" w:sz="0" w:space="0" w:color="auto"/>
                          </w:divBdr>
                          <w:divsChild>
                            <w:div w:id="2048210899">
                              <w:marLeft w:val="0"/>
                              <w:marRight w:val="0"/>
                              <w:marTop w:val="0"/>
                              <w:marBottom w:val="0"/>
                              <w:divBdr>
                                <w:top w:val="none" w:sz="0" w:space="0" w:color="auto"/>
                                <w:left w:val="none" w:sz="0" w:space="0" w:color="auto"/>
                                <w:bottom w:val="none" w:sz="0" w:space="0" w:color="auto"/>
                                <w:right w:val="none" w:sz="0" w:space="0" w:color="auto"/>
                              </w:divBdr>
                              <w:divsChild>
                                <w:div w:id="496917150">
                                  <w:marLeft w:val="0"/>
                                  <w:marRight w:val="0"/>
                                  <w:marTop w:val="0"/>
                                  <w:marBottom w:val="0"/>
                                  <w:divBdr>
                                    <w:top w:val="none" w:sz="0" w:space="0" w:color="auto"/>
                                    <w:left w:val="none" w:sz="0" w:space="0" w:color="auto"/>
                                    <w:bottom w:val="none" w:sz="0" w:space="0" w:color="auto"/>
                                    <w:right w:val="none" w:sz="0" w:space="0" w:color="auto"/>
                                  </w:divBdr>
                                  <w:divsChild>
                                    <w:div w:id="761419619">
                                      <w:marLeft w:val="0"/>
                                      <w:marRight w:val="0"/>
                                      <w:marTop w:val="0"/>
                                      <w:marBottom w:val="0"/>
                                      <w:divBdr>
                                        <w:top w:val="none" w:sz="0" w:space="0" w:color="auto"/>
                                        <w:left w:val="none" w:sz="0" w:space="0" w:color="auto"/>
                                        <w:bottom w:val="none" w:sz="0" w:space="0" w:color="auto"/>
                                        <w:right w:val="none" w:sz="0" w:space="0" w:color="auto"/>
                                      </w:divBdr>
                                      <w:divsChild>
                                        <w:div w:id="712928161">
                                          <w:marLeft w:val="0"/>
                                          <w:marRight w:val="0"/>
                                          <w:marTop w:val="0"/>
                                          <w:marBottom w:val="0"/>
                                          <w:divBdr>
                                            <w:top w:val="none" w:sz="0" w:space="0" w:color="auto"/>
                                            <w:left w:val="none" w:sz="0" w:space="0" w:color="auto"/>
                                            <w:bottom w:val="none" w:sz="0" w:space="0" w:color="auto"/>
                                            <w:right w:val="none" w:sz="0" w:space="0" w:color="auto"/>
                                          </w:divBdr>
                                          <w:divsChild>
                                            <w:div w:id="859275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713188">
      <w:bodyDiv w:val="1"/>
      <w:marLeft w:val="0"/>
      <w:marRight w:val="0"/>
      <w:marTop w:val="0"/>
      <w:marBottom w:val="0"/>
      <w:divBdr>
        <w:top w:val="none" w:sz="0" w:space="0" w:color="auto"/>
        <w:left w:val="none" w:sz="0" w:space="0" w:color="auto"/>
        <w:bottom w:val="none" w:sz="0" w:space="0" w:color="auto"/>
        <w:right w:val="none" w:sz="0" w:space="0" w:color="auto"/>
      </w:divBdr>
      <w:divsChild>
        <w:div w:id="1543135899">
          <w:marLeft w:val="0"/>
          <w:marRight w:val="0"/>
          <w:marTop w:val="0"/>
          <w:marBottom w:val="0"/>
          <w:divBdr>
            <w:top w:val="none" w:sz="0" w:space="0" w:color="auto"/>
            <w:left w:val="none" w:sz="0" w:space="0" w:color="auto"/>
            <w:bottom w:val="none" w:sz="0" w:space="0" w:color="auto"/>
            <w:right w:val="none" w:sz="0" w:space="0" w:color="auto"/>
          </w:divBdr>
          <w:divsChild>
            <w:div w:id="1468204331">
              <w:marLeft w:val="0"/>
              <w:marRight w:val="0"/>
              <w:marTop w:val="0"/>
              <w:marBottom w:val="0"/>
              <w:divBdr>
                <w:top w:val="none" w:sz="0" w:space="0" w:color="auto"/>
                <w:left w:val="none" w:sz="0" w:space="0" w:color="auto"/>
                <w:bottom w:val="none" w:sz="0" w:space="0" w:color="auto"/>
                <w:right w:val="none" w:sz="0" w:space="0" w:color="auto"/>
              </w:divBdr>
              <w:divsChild>
                <w:div w:id="1036272934">
                  <w:marLeft w:val="0"/>
                  <w:marRight w:val="0"/>
                  <w:marTop w:val="0"/>
                  <w:marBottom w:val="0"/>
                  <w:divBdr>
                    <w:top w:val="none" w:sz="0" w:space="0" w:color="auto"/>
                    <w:left w:val="none" w:sz="0" w:space="0" w:color="auto"/>
                    <w:bottom w:val="none" w:sz="0" w:space="0" w:color="auto"/>
                    <w:right w:val="none" w:sz="0" w:space="0" w:color="auto"/>
                  </w:divBdr>
                  <w:divsChild>
                    <w:div w:id="547840876">
                      <w:marLeft w:val="0"/>
                      <w:marRight w:val="0"/>
                      <w:marTop w:val="0"/>
                      <w:marBottom w:val="0"/>
                      <w:divBdr>
                        <w:top w:val="none" w:sz="0" w:space="0" w:color="auto"/>
                        <w:left w:val="none" w:sz="0" w:space="0" w:color="auto"/>
                        <w:bottom w:val="none" w:sz="0" w:space="0" w:color="auto"/>
                        <w:right w:val="none" w:sz="0" w:space="0" w:color="auto"/>
                      </w:divBdr>
                      <w:divsChild>
                        <w:div w:id="11482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47137">
      <w:bodyDiv w:val="1"/>
      <w:marLeft w:val="0"/>
      <w:marRight w:val="0"/>
      <w:marTop w:val="0"/>
      <w:marBottom w:val="0"/>
      <w:divBdr>
        <w:top w:val="none" w:sz="0" w:space="0" w:color="auto"/>
        <w:left w:val="none" w:sz="0" w:space="0" w:color="auto"/>
        <w:bottom w:val="none" w:sz="0" w:space="0" w:color="auto"/>
        <w:right w:val="none" w:sz="0" w:space="0" w:color="auto"/>
      </w:divBdr>
    </w:div>
    <w:div w:id="1781991052">
      <w:bodyDiv w:val="1"/>
      <w:marLeft w:val="0"/>
      <w:marRight w:val="0"/>
      <w:marTop w:val="0"/>
      <w:marBottom w:val="0"/>
      <w:divBdr>
        <w:top w:val="none" w:sz="0" w:space="0" w:color="auto"/>
        <w:left w:val="none" w:sz="0" w:space="0" w:color="auto"/>
        <w:bottom w:val="none" w:sz="0" w:space="0" w:color="auto"/>
        <w:right w:val="none" w:sz="0" w:space="0" w:color="auto"/>
      </w:divBdr>
    </w:div>
    <w:div w:id="1785615069">
      <w:bodyDiv w:val="1"/>
      <w:marLeft w:val="0"/>
      <w:marRight w:val="0"/>
      <w:marTop w:val="0"/>
      <w:marBottom w:val="0"/>
      <w:divBdr>
        <w:top w:val="none" w:sz="0" w:space="0" w:color="auto"/>
        <w:left w:val="none" w:sz="0" w:space="0" w:color="auto"/>
        <w:bottom w:val="none" w:sz="0" w:space="0" w:color="auto"/>
        <w:right w:val="none" w:sz="0" w:space="0" w:color="auto"/>
      </w:divBdr>
      <w:divsChild>
        <w:div w:id="254946280">
          <w:marLeft w:val="0"/>
          <w:marRight w:val="0"/>
          <w:marTop w:val="0"/>
          <w:marBottom w:val="0"/>
          <w:divBdr>
            <w:top w:val="none" w:sz="0" w:space="0" w:color="auto"/>
            <w:left w:val="none" w:sz="0" w:space="0" w:color="auto"/>
            <w:bottom w:val="none" w:sz="0" w:space="0" w:color="auto"/>
            <w:right w:val="none" w:sz="0" w:space="0" w:color="auto"/>
          </w:divBdr>
          <w:divsChild>
            <w:div w:id="404836501">
              <w:marLeft w:val="0"/>
              <w:marRight w:val="0"/>
              <w:marTop w:val="0"/>
              <w:marBottom w:val="0"/>
              <w:divBdr>
                <w:top w:val="none" w:sz="0" w:space="0" w:color="auto"/>
                <w:left w:val="none" w:sz="0" w:space="0" w:color="auto"/>
                <w:bottom w:val="none" w:sz="0" w:space="0" w:color="auto"/>
                <w:right w:val="none" w:sz="0" w:space="0" w:color="auto"/>
              </w:divBdr>
              <w:divsChild>
                <w:div w:id="348022044">
                  <w:marLeft w:val="0"/>
                  <w:marRight w:val="0"/>
                  <w:marTop w:val="0"/>
                  <w:marBottom w:val="0"/>
                  <w:divBdr>
                    <w:top w:val="none" w:sz="0" w:space="0" w:color="auto"/>
                    <w:left w:val="none" w:sz="0" w:space="0" w:color="auto"/>
                    <w:bottom w:val="none" w:sz="0" w:space="0" w:color="auto"/>
                    <w:right w:val="none" w:sz="0" w:space="0" w:color="auto"/>
                  </w:divBdr>
                  <w:divsChild>
                    <w:div w:id="826094426">
                      <w:marLeft w:val="0"/>
                      <w:marRight w:val="0"/>
                      <w:marTop w:val="0"/>
                      <w:marBottom w:val="0"/>
                      <w:divBdr>
                        <w:top w:val="none" w:sz="0" w:space="0" w:color="auto"/>
                        <w:left w:val="none" w:sz="0" w:space="0" w:color="auto"/>
                        <w:bottom w:val="none" w:sz="0" w:space="0" w:color="auto"/>
                        <w:right w:val="none" w:sz="0" w:space="0" w:color="auto"/>
                      </w:divBdr>
                      <w:divsChild>
                        <w:div w:id="724254395">
                          <w:marLeft w:val="0"/>
                          <w:marRight w:val="0"/>
                          <w:marTop w:val="0"/>
                          <w:marBottom w:val="0"/>
                          <w:divBdr>
                            <w:top w:val="none" w:sz="0" w:space="0" w:color="auto"/>
                            <w:left w:val="none" w:sz="0" w:space="0" w:color="auto"/>
                            <w:bottom w:val="none" w:sz="0" w:space="0" w:color="auto"/>
                            <w:right w:val="none" w:sz="0" w:space="0" w:color="auto"/>
                          </w:divBdr>
                          <w:divsChild>
                            <w:div w:id="271936337">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923690">
      <w:bodyDiv w:val="1"/>
      <w:marLeft w:val="0"/>
      <w:marRight w:val="0"/>
      <w:marTop w:val="0"/>
      <w:marBottom w:val="0"/>
      <w:divBdr>
        <w:top w:val="none" w:sz="0" w:space="0" w:color="auto"/>
        <w:left w:val="none" w:sz="0" w:space="0" w:color="auto"/>
        <w:bottom w:val="none" w:sz="0" w:space="0" w:color="auto"/>
        <w:right w:val="none" w:sz="0" w:space="0" w:color="auto"/>
      </w:divBdr>
      <w:divsChild>
        <w:div w:id="1764453741">
          <w:marLeft w:val="0"/>
          <w:marRight w:val="0"/>
          <w:marTop w:val="0"/>
          <w:marBottom w:val="0"/>
          <w:divBdr>
            <w:top w:val="none" w:sz="0" w:space="0" w:color="auto"/>
            <w:left w:val="none" w:sz="0" w:space="0" w:color="auto"/>
            <w:bottom w:val="none" w:sz="0" w:space="0" w:color="auto"/>
            <w:right w:val="none" w:sz="0" w:space="0" w:color="auto"/>
          </w:divBdr>
          <w:divsChild>
            <w:div w:id="1477339429">
              <w:marLeft w:val="0"/>
              <w:marRight w:val="0"/>
              <w:marTop w:val="0"/>
              <w:marBottom w:val="0"/>
              <w:divBdr>
                <w:top w:val="none" w:sz="0" w:space="0" w:color="auto"/>
                <w:left w:val="none" w:sz="0" w:space="0" w:color="auto"/>
                <w:bottom w:val="none" w:sz="0" w:space="0" w:color="auto"/>
                <w:right w:val="none" w:sz="0" w:space="0" w:color="auto"/>
              </w:divBdr>
              <w:divsChild>
                <w:div w:id="1911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7091">
          <w:marLeft w:val="0"/>
          <w:marRight w:val="0"/>
          <w:marTop w:val="0"/>
          <w:marBottom w:val="0"/>
          <w:divBdr>
            <w:top w:val="none" w:sz="0" w:space="0" w:color="auto"/>
            <w:left w:val="none" w:sz="0" w:space="0" w:color="auto"/>
            <w:bottom w:val="none" w:sz="0" w:space="0" w:color="auto"/>
            <w:right w:val="none" w:sz="0" w:space="0" w:color="auto"/>
          </w:divBdr>
          <w:divsChild>
            <w:div w:id="40374084">
              <w:marLeft w:val="0"/>
              <w:marRight w:val="0"/>
              <w:marTop w:val="0"/>
              <w:marBottom w:val="0"/>
              <w:divBdr>
                <w:top w:val="none" w:sz="0" w:space="0" w:color="auto"/>
                <w:left w:val="none" w:sz="0" w:space="0" w:color="auto"/>
                <w:bottom w:val="none" w:sz="0" w:space="0" w:color="auto"/>
                <w:right w:val="none" w:sz="0" w:space="0" w:color="auto"/>
              </w:divBdr>
              <w:divsChild>
                <w:div w:id="5081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6465">
          <w:marLeft w:val="0"/>
          <w:marRight w:val="0"/>
          <w:marTop w:val="0"/>
          <w:marBottom w:val="0"/>
          <w:divBdr>
            <w:top w:val="none" w:sz="0" w:space="0" w:color="auto"/>
            <w:left w:val="none" w:sz="0" w:space="0" w:color="auto"/>
            <w:bottom w:val="none" w:sz="0" w:space="0" w:color="auto"/>
            <w:right w:val="none" w:sz="0" w:space="0" w:color="auto"/>
          </w:divBdr>
          <w:divsChild>
            <w:div w:id="516238451">
              <w:marLeft w:val="0"/>
              <w:marRight w:val="0"/>
              <w:marTop w:val="0"/>
              <w:marBottom w:val="0"/>
              <w:divBdr>
                <w:top w:val="none" w:sz="0" w:space="0" w:color="auto"/>
                <w:left w:val="none" w:sz="0" w:space="0" w:color="auto"/>
                <w:bottom w:val="none" w:sz="0" w:space="0" w:color="auto"/>
                <w:right w:val="none" w:sz="0" w:space="0" w:color="auto"/>
              </w:divBdr>
              <w:divsChild>
                <w:div w:id="3279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84924">
          <w:marLeft w:val="0"/>
          <w:marRight w:val="0"/>
          <w:marTop w:val="0"/>
          <w:marBottom w:val="0"/>
          <w:divBdr>
            <w:top w:val="none" w:sz="0" w:space="0" w:color="auto"/>
            <w:left w:val="none" w:sz="0" w:space="0" w:color="auto"/>
            <w:bottom w:val="none" w:sz="0" w:space="0" w:color="auto"/>
            <w:right w:val="none" w:sz="0" w:space="0" w:color="auto"/>
          </w:divBdr>
          <w:divsChild>
            <w:div w:id="390349801">
              <w:marLeft w:val="0"/>
              <w:marRight w:val="0"/>
              <w:marTop w:val="0"/>
              <w:marBottom w:val="0"/>
              <w:divBdr>
                <w:top w:val="none" w:sz="0" w:space="0" w:color="auto"/>
                <w:left w:val="none" w:sz="0" w:space="0" w:color="auto"/>
                <w:bottom w:val="none" w:sz="0" w:space="0" w:color="auto"/>
                <w:right w:val="none" w:sz="0" w:space="0" w:color="auto"/>
              </w:divBdr>
              <w:divsChild>
                <w:div w:id="15463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248">
          <w:marLeft w:val="0"/>
          <w:marRight w:val="0"/>
          <w:marTop w:val="0"/>
          <w:marBottom w:val="0"/>
          <w:divBdr>
            <w:top w:val="none" w:sz="0" w:space="0" w:color="auto"/>
            <w:left w:val="none" w:sz="0" w:space="0" w:color="auto"/>
            <w:bottom w:val="none" w:sz="0" w:space="0" w:color="auto"/>
            <w:right w:val="none" w:sz="0" w:space="0" w:color="auto"/>
          </w:divBdr>
          <w:divsChild>
            <w:div w:id="1166167234">
              <w:marLeft w:val="0"/>
              <w:marRight w:val="0"/>
              <w:marTop w:val="0"/>
              <w:marBottom w:val="0"/>
              <w:divBdr>
                <w:top w:val="none" w:sz="0" w:space="0" w:color="auto"/>
                <w:left w:val="none" w:sz="0" w:space="0" w:color="auto"/>
                <w:bottom w:val="none" w:sz="0" w:space="0" w:color="auto"/>
                <w:right w:val="none" w:sz="0" w:space="0" w:color="auto"/>
              </w:divBdr>
              <w:divsChild>
                <w:div w:id="13272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1379">
          <w:marLeft w:val="0"/>
          <w:marRight w:val="0"/>
          <w:marTop w:val="0"/>
          <w:marBottom w:val="0"/>
          <w:divBdr>
            <w:top w:val="none" w:sz="0" w:space="0" w:color="auto"/>
            <w:left w:val="none" w:sz="0" w:space="0" w:color="auto"/>
            <w:bottom w:val="none" w:sz="0" w:space="0" w:color="auto"/>
            <w:right w:val="none" w:sz="0" w:space="0" w:color="auto"/>
          </w:divBdr>
          <w:divsChild>
            <w:div w:id="19579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0487">
      <w:bodyDiv w:val="1"/>
      <w:marLeft w:val="0"/>
      <w:marRight w:val="0"/>
      <w:marTop w:val="0"/>
      <w:marBottom w:val="0"/>
      <w:divBdr>
        <w:top w:val="none" w:sz="0" w:space="0" w:color="auto"/>
        <w:left w:val="none" w:sz="0" w:space="0" w:color="auto"/>
        <w:bottom w:val="none" w:sz="0" w:space="0" w:color="auto"/>
        <w:right w:val="none" w:sz="0" w:space="0" w:color="auto"/>
      </w:divBdr>
      <w:divsChild>
        <w:div w:id="1794328293">
          <w:marLeft w:val="0"/>
          <w:marRight w:val="0"/>
          <w:marTop w:val="0"/>
          <w:marBottom w:val="0"/>
          <w:divBdr>
            <w:top w:val="none" w:sz="0" w:space="0" w:color="auto"/>
            <w:left w:val="none" w:sz="0" w:space="0" w:color="auto"/>
            <w:bottom w:val="none" w:sz="0" w:space="0" w:color="auto"/>
            <w:right w:val="none" w:sz="0" w:space="0" w:color="auto"/>
          </w:divBdr>
          <w:divsChild>
            <w:div w:id="729617135">
              <w:marLeft w:val="0"/>
              <w:marRight w:val="0"/>
              <w:marTop w:val="0"/>
              <w:marBottom w:val="0"/>
              <w:divBdr>
                <w:top w:val="none" w:sz="0" w:space="0" w:color="auto"/>
                <w:left w:val="none" w:sz="0" w:space="0" w:color="auto"/>
                <w:bottom w:val="none" w:sz="0" w:space="0" w:color="auto"/>
                <w:right w:val="none" w:sz="0" w:space="0" w:color="auto"/>
              </w:divBdr>
              <w:divsChild>
                <w:div w:id="239870859">
                  <w:marLeft w:val="0"/>
                  <w:marRight w:val="0"/>
                  <w:marTop w:val="0"/>
                  <w:marBottom w:val="0"/>
                  <w:divBdr>
                    <w:top w:val="none" w:sz="0" w:space="0" w:color="auto"/>
                    <w:left w:val="none" w:sz="0" w:space="0" w:color="auto"/>
                    <w:bottom w:val="none" w:sz="0" w:space="0" w:color="auto"/>
                    <w:right w:val="none" w:sz="0" w:space="0" w:color="auto"/>
                  </w:divBdr>
                  <w:divsChild>
                    <w:div w:id="1832714594">
                      <w:marLeft w:val="0"/>
                      <w:marRight w:val="0"/>
                      <w:marTop w:val="0"/>
                      <w:marBottom w:val="0"/>
                      <w:divBdr>
                        <w:top w:val="none" w:sz="0" w:space="0" w:color="auto"/>
                        <w:left w:val="none" w:sz="0" w:space="0" w:color="auto"/>
                        <w:bottom w:val="none" w:sz="0" w:space="0" w:color="auto"/>
                        <w:right w:val="none" w:sz="0" w:space="0" w:color="auto"/>
                      </w:divBdr>
                      <w:divsChild>
                        <w:div w:id="146638746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7969993">
      <w:bodyDiv w:val="1"/>
      <w:marLeft w:val="0"/>
      <w:marRight w:val="0"/>
      <w:marTop w:val="0"/>
      <w:marBottom w:val="0"/>
      <w:divBdr>
        <w:top w:val="none" w:sz="0" w:space="0" w:color="auto"/>
        <w:left w:val="none" w:sz="0" w:space="0" w:color="auto"/>
        <w:bottom w:val="none" w:sz="0" w:space="0" w:color="auto"/>
        <w:right w:val="none" w:sz="0" w:space="0" w:color="auto"/>
      </w:divBdr>
      <w:divsChild>
        <w:div w:id="417679478">
          <w:marLeft w:val="0"/>
          <w:marRight w:val="0"/>
          <w:marTop w:val="0"/>
          <w:marBottom w:val="0"/>
          <w:divBdr>
            <w:top w:val="none" w:sz="0" w:space="0" w:color="auto"/>
            <w:left w:val="none" w:sz="0" w:space="0" w:color="auto"/>
            <w:bottom w:val="none" w:sz="0" w:space="0" w:color="auto"/>
            <w:right w:val="none" w:sz="0" w:space="0" w:color="auto"/>
          </w:divBdr>
          <w:divsChild>
            <w:div w:id="1750417396">
              <w:marLeft w:val="0"/>
              <w:marRight w:val="0"/>
              <w:marTop w:val="0"/>
              <w:marBottom w:val="0"/>
              <w:divBdr>
                <w:top w:val="none" w:sz="0" w:space="0" w:color="auto"/>
                <w:left w:val="none" w:sz="0" w:space="0" w:color="auto"/>
                <w:bottom w:val="none" w:sz="0" w:space="0" w:color="auto"/>
                <w:right w:val="none" w:sz="0" w:space="0" w:color="auto"/>
              </w:divBdr>
              <w:divsChild>
                <w:div w:id="377361435">
                  <w:marLeft w:val="0"/>
                  <w:marRight w:val="0"/>
                  <w:marTop w:val="0"/>
                  <w:marBottom w:val="0"/>
                  <w:divBdr>
                    <w:top w:val="none" w:sz="0" w:space="0" w:color="auto"/>
                    <w:left w:val="none" w:sz="0" w:space="0" w:color="auto"/>
                    <w:bottom w:val="none" w:sz="0" w:space="0" w:color="auto"/>
                    <w:right w:val="none" w:sz="0" w:space="0" w:color="auto"/>
                  </w:divBdr>
                  <w:divsChild>
                    <w:div w:id="491674924">
                      <w:marLeft w:val="0"/>
                      <w:marRight w:val="0"/>
                      <w:marTop w:val="0"/>
                      <w:marBottom w:val="0"/>
                      <w:divBdr>
                        <w:top w:val="none" w:sz="0" w:space="0" w:color="auto"/>
                        <w:left w:val="none" w:sz="0" w:space="0" w:color="auto"/>
                        <w:bottom w:val="none" w:sz="0" w:space="0" w:color="auto"/>
                        <w:right w:val="none" w:sz="0" w:space="0" w:color="auto"/>
                      </w:divBdr>
                      <w:divsChild>
                        <w:div w:id="1544976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501343">
      <w:bodyDiv w:val="1"/>
      <w:marLeft w:val="0"/>
      <w:marRight w:val="0"/>
      <w:marTop w:val="0"/>
      <w:marBottom w:val="0"/>
      <w:divBdr>
        <w:top w:val="none" w:sz="0" w:space="0" w:color="auto"/>
        <w:left w:val="none" w:sz="0" w:space="0" w:color="auto"/>
        <w:bottom w:val="none" w:sz="0" w:space="0" w:color="auto"/>
        <w:right w:val="none" w:sz="0" w:space="0" w:color="auto"/>
      </w:divBdr>
      <w:divsChild>
        <w:div w:id="2021197177">
          <w:marLeft w:val="0"/>
          <w:marRight w:val="0"/>
          <w:marTop w:val="0"/>
          <w:marBottom w:val="0"/>
          <w:divBdr>
            <w:top w:val="none" w:sz="0" w:space="0" w:color="auto"/>
            <w:left w:val="none" w:sz="0" w:space="0" w:color="auto"/>
            <w:bottom w:val="none" w:sz="0" w:space="0" w:color="auto"/>
            <w:right w:val="none" w:sz="0" w:space="0" w:color="auto"/>
          </w:divBdr>
          <w:divsChild>
            <w:div w:id="51123912">
              <w:marLeft w:val="0"/>
              <w:marRight w:val="0"/>
              <w:marTop w:val="0"/>
              <w:marBottom w:val="0"/>
              <w:divBdr>
                <w:top w:val="none" w:sz="0" w:space="0" w:color="auto"/>
                <w:left w:val="none" w:sz="0" w:space="0" w:color="auto"/>
                <w:bottom w:val="none" w:sz="0" w:space="0" w:color="auto"/>
                <w:right w:val="none" w:sz="0" w:space="0" w:color="auto"/>
              </w:divBdr>
              <w:divsChild>
                <w:div w:id="223950825">
                  <w:marLeft w:val="0"/>
                  <w:marRight w:val="0"/>
                  <w:marTop w:val="0"/>
                  <w:marBottom w:val="0"/>
                  <w:divBdr>
                    <w:top w:val="none" w:sz="0" w:space="0" w:color="auto"/>
                    <w:left w:val="none" w:sz="0" w:space="0" w:color="auto"/>
                    <w:bottom w:val="none" w:sz="0" w:space="0" w:color="auto"/>
                    <w:right w:val="none" w:sz="0" w:space="0" w:color="auto"/>
                  </w:divBdr>
                  <w:divsChild>
                    <w:div w:id="785347182">
                      <w:marLeft w:val="0"/>
                      <w:marRight w:val="0"/>
                      <w:marTop w:val="0"/>
                      <w:marBottom w:val="0"/>
                      <w:divBdr>
                        <w:top w:val="none" w:sz="0" w:space="0" w:color="auto"/>
                        <w:left w:val="none" w:sz="0" w:space="0" w:color="auto"/>
                        <w:bottom w:val="none" w:sz="0" w:space="0" w:color="auto"/>
                        <w:right w:val="none" w:sz="0" w:space="0" w:color="auto"/>
                      </w:divBdr>
                      <w:divsChild>
                        <w:div w:id="467819117">
                          <w:marLeft w:val="0"/>
                          <w:marRight w:val="0"/>
                          <w:marTop w:val="0"/>
                          <w:marBottom w:val="0"/>
                          <w:divBdr>
                            <w:top w:val="none" w:sz="0" w:space="0" w:color="auto"/>
                            <w:left w:val="none" w:sz="0" w:space="0" w:color="auto"/>
                            <w:bottom w:val="none" w:sz="0" w:space="0" w:color="auto"/>
                            <w:right w:val="none" w:sz="0" w:space="0" w:color="auto"/>
                          </w:divBdr>
                          <w:divsChild>
                            <w:div w:id="623580345">
                              <w:marLeft w:val="0"/>
                              <w:marRight w:val="0"/>
                              <w:marTop w:val="0"/>
                              <w:marBottom w:val="0"/>
                              <w:divBdr>
                                <w:top w:val="none" w:sz="0" w:space="0" w:color="auto"/>
                                <w:left w:val="none" w:sz="0" w:space="0" w:color="auto"/>
                                <w:bottom w:val="none" w:sz="0" w:space="0" w:color="auto"/>
                                <w:right w:val="none" w:sz="0" w:space="0" w:color="auto"/>
                              </w:divBdr>
                              <w:divsChild>
                                <w:div w:id="1504004335">
                                  <w:marLeft w:val="0"/>
                                  <w:marRight w:val="0"/>
                                  <w:marTop w:val="0"/>
                                  <w:marBottom w:val="0"/>
                                  <w:divBdr>
                                    <w:top w:val="none" w:sz="0" w:space="0" w:color="auto"/>
                                    <w:left w:val="none" w:sz="0" w:space="0" w:color="auto"/>
                                    <w:bottom w:val="none" w:sz="0" w:space="0" w:color="auto"/>
                                    <w:right w:val="none" w:sz="0" w:space="0" w:color="auto"/>
                                  </w:divBdr>
                                  <w:divsChild>
                                    <w:div w:id="302005555">
                                      <w:marLeft w:val="0"/>
                                      <w:marRight w:val="0"/>
                                      <w:marTop w:val="0"/>
                                      <w:marBottom w:val="0"/>
                                      <w:divBdr>
                                        <w:top w:val="none" w:sz="0" w:space="0" w:color="auto"/>
                                        <w:left w:val="none" w:sz="0" w:space="0" w:color="auto"/>
                                        <w:bottom w:val="none" w:sz="0" w:space="0" w:color="auto"/>
                                        <w:right w:val="none" w:sz="0" w:space="0" w:color="auto"/>
                                      </w:divBdr>
                                      <w:divsChild>
                                        <w:div w:id="42678335">
                                          <w:marLeft w:val="0"/>
                                          <w:marRight w:val="0"/>
                                          <w:marTop w:val="0"/>
                                          <w:marBottom w:val="0"/>
                                          <w:divBdr>
                                            <w:top w:val="none" w:sz="0" w:space="0" w:color="auto"/>
                                            <w:left w:val="none" w:sz="0" w:space="0" w:color="auto"/>
                                            <w:bottom w:val="none" w:sz="0" w:space="0" w:color="auto"/>
                                            <w:right w:val="none" w:sz="0" w:space="0" w:color="auto"/>
                                          </w:divBdr>
                                        </w:div>
                                        <w:div w:id="653922539">
                                          <w:marLeft w:val="0"/>
                                          <w:marRight w:val="0"/>
                                          <w:marTop w:val="0"/>
                                          <w:marBottom w:val="0"/>
                                          <w:divBdr>
                                            <w:top w:val="none" w:sz="0" w:space="0" w:color="auto"/>
                                            <w:left w:val="none" w:sz="0" w:space="0" w:color="auto"/>
                                            <w:bottom w:val="none" w:sz="0" w:space="0" w:color="auto"/>
                                            <w:right w:val="none" w:sz="0" w:space="0" w:color="auto"/>
                                          </w:divBdr>
                                          <w:divsChild>
                                            <w:div w:id="70333346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74074">
      <w:bodyDiv w:val="1"/>
      <w:marLeft w:val="0"/>
      <w:marRight w:val="0"/>
      <w:marTop w:val="0"/>
      <w:marBottom w:val="0"/>
      <w:divBdr>
        <w:top w:val="none" w:sz="0" w:space="0" w:color="auto"/>
        <w:left w:val="none" w:sz="0" w:space="0" w:color="auto"/>
        <w:bottom w:val="none" w:sz="0" w:space="0" w:color="auto"/>
        <w:right w:val="none" w:sz="0" w:space="0" w:color="auto"/>
      </w:divBdr>
      <w:divsChild>
        <w:div w:id="246960557">
          <w:marLeft w:val="0"/>
          <w:marRight w:val="0"/>
          <w:marTop w:val="0"/>
          <w:marBottom w:val="0"/>
          <w:divBdr>
            <w:top w:val="none" w:sz="0" w:space="0" w:color="auto"/>
            <w:left w:val="none" w:sz="0" w:space="0" w:color="auto"/>
            <w:bottom w:val="none" w:sz="0" w:space="0" w:color="auto"/>
            <w:right w:val="none" w:sz="0" w:space="0" w:color="auto"/>
          </w:divBdr>
          <w:divsChild>
            <w:div w:id="2092120785">
              <w:marLeft w:val="0"/>
              <w:marRight w:val="0"/>
              <w:marTop w:val="0"/>
              <w:marBottom w:val="0"/>
              <w:divBdr>
                <w:top w:val="none" w:sz="0" w:space="0" w:color="auto"/>
                <w:left w:val="none" w:sz="0" w:space="0" w:color="auto"/>
                <w:bottom w:val="none" w:sz="0" w:space="0" w:color="auto"/>
                <w:right w:val="none" w:sz="0" w:space="0" w:color="auto"/>
              </w:divBdr>
              <w:divsChild>
                <w:div w:id="674577035">
                  <w:marLeft w:val="0"/>
                  <w:marRight w:val="0"/>
                  <w:marTop w:val="0"/>
                  <w:marBottom w:val="0"/>
                  <w:divBdr>
                    <w:top w:val="none" w:sz="0" w:space="0" w:color="auto"/>
                    <w:left w:val="none" w:sz="0" w:space="0" w:color="auto"/>
                    <w:bottom w:val="none" w:sz="0" w:space="0" w:color="auto"/>
                    <w:right w:val="none" w:sz="0" w:space="0" w:color="auto"/>
                  </w:divBdr>
                  <w:divsChild>
                    <w:div w:id="766775812">
                      <w:marLeft w:val="0"/>
                      <w:marRight w:val="0"/>
                      <w:marTop w:val="0"/>
                      <w:marBottom w:val="0"/>
                      <w:divBdr>
                        <w:top w:val="none" w:sz="0" w:space="0" w:color="auto"/>
                        <w:left w:val="none" w:sz="0" w:space="0" w:color="auto"/>
                        <w:bottom w:val="none" w:sz="0" w:space="0" w:color="auto"/>
                        <w:right w:val="none" w:sz="0" w:space="0" w:color="auto"/>
                      </w:divBdr>
                      <w:divsChild>
                        <w:div w:id="15839552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815481">
      <w:bodyDiv w:val="1"/>
      <w:marLeft w:val="0"/>
      <w:marRight w:val="0"/>
      <w:marTop w:val="0"/>
      <w:marBottom w:val="0"/>
      <w:divBdr>
        <w:top w:val="none" w:sz="0" w:space="0" w:color="auto"/>
        <w:left w:val="none" w:sz="0" w:space="0" w:color="auto"/>
        <w:bottom w:val="none" w:sz="0" w:space="0" w:color="auto"/>
        <w:right w:val="none" w:sz="0" w:space="0" w:color="auto"/>
      </w:divBdr>
      <w:divsChild>
        <w:div w:id="1151290066">
          <w:marLeft w:val="0"/>
          <w:marRight w:val="0"/>
          <w:marTop w:val="0"/>
          <w:marBottom w:val="0"/>
          <w:divBdr>
            <w:top w:val="none" w:sz="0" w:space="0" w:color="auto"/>
            <w:left w:val="none" w:sz="0" w:space="0" w:color="auto"/>
            <w:bottom w:val="none" w:sz="0" w:space="0" w:color="auto"/>
            <w:right w:val="none" w:sz="0" w:space="0" w:color="auto"/>
          </w:divBdr>
          <w:divsChild>
            <w:div w:id="1368606149">
              <w:marLeft w:val="0"/>
              <w:marRight w:val="0"/>
              <w:marTop w:val="0"/>
              <w:marBottom w:val="0"/>
              <w:divBdr>
                <w:top w:val="none" w:sz="0" w:space="0" w:color="auto"/>
                <w:left w:val="none" w:sz="0" w:space="0" w:color="auto"/>
                <w:bottom w:val="none" w:sz="0" w:space="0" w:color="auto"/>
                <w:right w:val="none" w:sz="0" w:space="0" w:color="auto"/>
              </w:divBdr>
              <w:divsChild>
                <w:div w:id="1748648226">
                  <w:marLeft w:val="0"/>
                  <w:marRight w:val="0"/>
                  <w:marTop w:val="0"/>
                  <w:marBottom w:val="0"/>
                  <w:divBdr>
                    <w:top w:val="none" w:sz="0" w:space="0" w:color="auto"/>
                    <w:left w:val="none" w:sz="0" w:space="0" w:color="auto"/>
                    <w:bottom w:val="none" w:sz="0" w:space="0" w:color="auto"/>
                    <w:right w:val="none" w:sz="0" w:space="0" w:color="auto"/>
                  </w:divBdr>
                  <w:divsChild>
                    <w:div w:id="658848264">
                      <w:marLeft w:val="0"/>
                      <w:marRight w:val="0"/>
                      <w:marTop w:val="300"/>
                      <w:marBottom w:val="600"/>
                      <w:divBdr>
                        <w:top w:val="none" w:sz="0" w:space="0" w:color="auto"/>
                        <w:left w:val="none" w:sz="0" w:space="0" w:color="auto"/>
                        <w:bottom w:val="none" w:sz="0" w:space="0" w:color="auto"/>
                        <w:right w:val="none" w:sz="0" w:space="0" w:color="auto"/>
                      </w:divBdr>
                      <w:divsChild>
                        <w:div w:id="653143084">
                          <w:marLeft w:val="0"/>
                          <w:marRight w:val="0"/>
                          <w:marTop w:val="0"/>
                          <w:marBottom w:val="0"/>
                          <w:divBdr>
                            <w:top w:val="none" w:sz="0" w:space="0" w:color="auto"/>
                            <w:left w:val="none" w:sz="0" w:space="0" w:color="auto"/>
                            <w:bottom w:val="none" w:sz="0" w:space="0" w:color="auto"/>
                            <w:right w:val="none" w:sz="0" w:space="0" w:color="auto"/>
                          </w:divBdr>
                          <w:divsChild>
                            <w:div w:id="1196623256">
                              <w:marLeft w:val="0"/>
                              <w:marRight w:val="0"/>
                              <w:marTop w:val="0"/>
                              <w:marBottom w:val="0"/>
                              <w:divBdr>
                                <w:top w:val="none" w:sz="0" w:space="0" w:color="auto"/>
                                <w:left w:val="none" w:sz="0" w:space="0" w:color="auto"/>
                                <w:bottom w:val="none" w:sz="0" w:space="0" w:color="auto"/>
                                <w:right w:val="none" w:sz="0" w:space="0" w:color="auto"/>
                              </w:divBdr>
                              <w:divsChild>
                                <w:div w:id="509179821">
                                  <w:marLeft w:val="0"/>
                                  <w:marRight w:val="0"/>
                                  <w:marTop w:val="0"/>
                                  <w:marBottom w:val="0"/>
                                  <w:divBdr>
                                    <w:top w:val="none" w:sz="0" w:space="0" w:color="auto"/>
                                    <w:left w:val="none" w:sz="0" w:space="0" w:color="auto"/>
                                    <w:bottom w:val="none" w:sz="0" w:space="0" w:color="auto"/>
                                    <w:right w:val="none" w:sz="0" w:space="0" w:color="auto"/>
                                  </w:divBdr>
                                  <w:divsChild>
                                    <w:div w:id="174080369">
                                      <w:marLeft w:val="0"/>
                                      <w:marRight w:val="0"/>
                                      <w:marTop w:val="150"/>
                                      <w:marBottom w:val="0"/>
                                      <w:divBdr>
                                        <w:top w:val="none" w:sz="0" w:space="0" w:color="auto"/>
                                        <w:left w:val="none" w:sz="0" w:space="0" w:color="auto"/>
                                        <w:bottom w:val="none" w:sz="0" w:space="0" w:color="auto"/>
                                        <w:right w:val="none" w:sz="0" w:space="0" w:color="auto"/>
                                      </w:divBdr>
                                      <w:divsChild>
                                        <w:div w:id="217402043">
                                          <w:marLeft w:val="0"/>
                                          <w:marRight w:val="0"/>
                                          <w:marTop w:val="0"/>
                                          <w:marBottom w:val="0"/>
                                          <w:divBdr>
                                            <w:top w:val="none" w:sz="0" w:space="0" w:color="auto"/>
                                            <w:left w:val="none" w:sz="0" w:space="0" w:color="auto"/>
                                            <w:bottom w:val="none" w:sz="0" w:space="0" w:color="auto"/>
                                            <w:right w:val="none" w:sz="0" w:space="0" w:color="auto"/>
                                          </w:divBdr>
                                          <w:divsChild>
                                            <w:div w:id="1935630076">
                                              <w:marLeft w:val="0"/>
                                              <w:marRight w:val="0"/>
                                              <w:marTop w:val="0"/>
                                              <w:marBottom w:val="0"/>
                                              <w:divBdr>
                                                <w:top w:val="none" w:sz="0" w:space="0" w:color="auto"/>
                                                <w:left w:val="none" w:sz="0" w:space="0" w:color="auto"/>
                                                <w:bottom w:val="none" w:sz="0" w:space="0" w:color="auto"/>
                                                <w:right w:val="none" w:sz="0" w:space="0" w:color="auto"/>
                                              </w:divBdr>
                                              <w:divsChild>
                                                <w:div w:id="2083140521">
                                                  <w:marLeft w:val="0"/>
                                                  <w:marRight w:val="0"/>
                                                  <w:marTop w:val="0"/>
                                                  <w:marBottom w:val="0"/>
                                                  <w:divBdr>
                                                    <w:top w:val="none" w:sz="0" w:space="0" w:color="auto"/>
                                                    <w:left w:val="none" w:sz="0" w:space="0" w:color="auto"/>
                                                    <w:bottom w:val="none" w:sz="0" w:space="0" w:color="auto"/>
                                                    <w:right w:val="none" w:sz="0" w:space="0" w:color="auto"/>
                                                  </w:divBdr>
                                                  <w:divsChild>
                                                    <w:div w:id="1340304051">
                                                      <w:marLeft w:val="0"/>
                                                      <w:marRight w:val="0"/>
                                                      <w:marTop w:val="0"/>
                                                      <w:marBottom w:val="0"/>
                                                      <w:divBdr>
                                                        <w:top w:val="none" w:sz="0" w:space="0" w:color="auto"/>
                                                        <w:left w:val="none" w:sz="0" w:space="0" w:color="auto"/>
                                                        <w:bottom w:val="none" w:sz="0" w:space="0" w:color="auto"/>
                                                        <w:right w:val="none" w:sz="0" w:space="0" w:color="auto"/>
                                                      </w:divBdr>
                                                    </w:div>
                                                    <w:div w:id="1889299713">
                                                      <w:marLeft w:val="0"/>
                                                      <w:marRight w:val="0"/>
                                                      <w:marTop w:val="0"/>
                                                      <w:marBottom w:val="0"/>
                                                      <w:divBdr>
                                                        <w:top w:val="none" w:sz="0" w:space="0" w:color="auto"/>
                                                        <w:left w:val="none" w:sz="0" w:space="0" w:color="auto"/>
                                                        <w:bottom w:val="none" w:sz="0" w:space="0" w:color="auto"/>
                                                        <w:right w:val="none" w:sz="0" w:space="0" w:color="auto"/>
                                                      </w:divBdr>
                                                    </w:div>
                                                    <w:div w:id="1719822039">
                                                      <w:marLeft w:val="0"/>
                                                      <w:marRight w:val="0"/>
                                                      <w:marTop w:val="0"/>
                                                      <w:marBottom w:val="0"/>
                                                      <w:divBdr>
                                                        <w:top w:val="none" w:sz="0" w:space="0" w:color="auto"/>
                                                        <w:left w:val="none" w:sz="0" w:space="0" w:color="auto"/>
                                                        <w:bottom w:val="none" w:sz="0" w:space="0" w:color="auto"/>
                                                        <w:right w:val="none" w:sz="0" w:space="0" w:color="auto"/>
                                                      </w:divBdr>
                                                    </w:div>
                                                    <w:div w:id="1589386686">
                                                      <w:marLeft w:val="0"/>
                                                      <w:marRight w:val="0"/>
                                                      <w:marTop w:val="0"/>
                                                      <w:marBottom w:val="0"/>
                                                      <w:divBdr>
                                                        <w:top w:val="none" w:sz="0" w:space="0" w:color="auto"/>
                                                        <w:left w:val="none" w:sz="0" w:space="0" w:color="auto"/>
                                                        <w:bottom w:val="none" w:sz="0" w:space="0" w:color="auto"/>
                                                        <w:right w:val="none" w:sz="0" w:space="0" w:color="auto"/>
                                                      </w:divBdr>
                                                    </w:div>
                                                    <w:div w:id="280310679">
                                                      <w:marLeft w:val="0"/>
                                                      <w:marRight w:val="0"/>
                                                      <w:marTop w:val="0"/>
                                                      <w:marBottom w:val="0"/>
                                                      <w:divBdr>
                                                        <w:top w:val="none" w:sz="0" w:space="0" w:color="auto"/>
                                                        <w:left w:val="none" w:sz="0" w:space="0" w:color="auto"/>
                                                        <w:bottom w:val="none" w:sz="0" w:space="0" w:color="auto"/>
                                                        <w:right w:val="none" w:sz="0" w:space="0" w:color="auto"/>
                                                      </w:divBdr>
                                                    </w:div>
                                                    <w:div w:id="1221598668">
                                                      <w:marLeft w:val="0"/>
                                                      <w:marRight w:val="0"/>
                                                      <w:marTop w:val="0"/>
                                                      <w:marBottom w:val="0"/>
                                                      <w:divBdr>
                                                        <w:top w:val="none" w:sz="0" w:space="0" w:color="auto"/>
                                                        <w:left w:val="none" w:sz="0" w:space="0" w:color="auto"/>
                                                        <w:bottom w:val="none" w:sz="0" w:space="0" w:color="auto"/>
                                                        <w:right w:val="none" w:sz="0" w:space="0" w:color="auto"/>
                                                      </w:divBdr>
                                                    </w:div>
                                                    <w:div w:id="529033476">
                                                      <w:marLeft w:val="0"/>
                                                      <w:marRight w:val="0"/>
                                                      <w:marTop w:val="0"/>
                                                      <w:marBottom w:val="0"/>
                                                      <w:divBdr>
                                                        <w:top w:val="none" w:sz="0" w:space="0" w:color="auto"/>
                                                        <w:left w:val="none" w:sz="0" w:space="0" w:color="auto"/>
                                                        <w:bottom w:val="none" w:sz="0" w:space="0" w:color="auto"/>
                                                        <w:right w:val="none" w:sz="0" w:space="0" w:color="auto"/>
                                                      </w:divBdr>
                                                    </w:div>
                                                    <w:div w:id="2022126891">
                                                      <w:marLeft w:val="0"/>
                                                      <w:marRight w:val="0"/>
                                                      <w:marTop w:val="0"/>
                                                      <w:marBottom w:val="0"/>
                                                      <w:divBdr>
                                                        <w:top w:val="none" w:sz="0" w:space="0" w:color="auto"/>
                                                        <w:left w:val="none" w:sz="0" w:space="0" w:color="auto"/>
                                                        <w:bottom w:val="none" w:sz="0" w:space="0" w:color="auto"/>
                                                        <w:right w:val="none" w:sz="0" w:space="0" w:color="auto"/>
                                                      </w:divBdr>
                                                    </w:div>
                                                    <w:div w:id="1100640087">
                                                      <w:marLeft w:val="0"/>
                                                      <w:marRight w:val="0"/>
                                                      <w:marTop w:val="0"/>
                                                      <w:marBottom w:val="0"/>
                                                      <w:divBdr>
                                                        <w:top w:val="none" w:sz="0" w:space="0" w:color="auto"/>
                                                        <w:left w:val="none" w:sz="0" w:space="0" w:color="auto"/>
                                                        <w:bottom w:val="none" w:sz="0" w:space="0" w:color="auto"/>
                                                        <w:right w:val="none" w:sz="0" w:space="0" w:color="auto"/>
                                                      </w:divBdr>
                                                    </w:div>
                                                    <w:div w:id="2070683683">
                                                      <w:marLeft w:val="0"/>
                                                      <w:marRight w:val="0"/>
                                                      <w:marTop w:val="0"/>
                                                      <w:marBottom w:val="0"/>
                                                      <w:divBdr>
                                                        <w:top w:val="none" w:sz="0" w:space="0" w:color="auto"/>
                                                        <w:left w:val="none" w:sz="0" w:space="0" w:color="auto"/>
                                                        <w:bottom w:val="none" w:sz="0" w:space="0" w:color="auto"/>
                                                        <w:right w:val="none" w:sz="0" w:space="0" w:color="auto"/>
                                                      </w:divBdr>
                                                    </w:div>
                                                    <w:div w:id="17247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9350852">
      <w:bodyDiv w:val="1"/>
      <w:marLeft w:val="0"/>
      <w:marRight w:val="0"/>
      <w:marTop w:val="0"/>
      <w:marBottom w:val="0"/>
      <w:divBdr>
        <w:top w:val="none" w:sz="0" w:space="0" w:color="auto"/>
        <w:left w:val="none" w:sz="0" w:space="0" w:color="auto"/>
        <w:bottom w:val="none" w:sz="0" w:space="0" w:color="auto"/>
        <w:right w:val="none" w:sz="0" w:space="0" w:color="auto"/>
      </w:divBdr>
      <w:divsChild>
        <w:div w:id="1922788609">
          <w:marLeft w:val="0"/>
          <w:marRight w:val="0"/>
          <w:marTop w:val="0"/>
          <w:marBottom w:val="0"/>
          <w:divBdr>
            <w:top w:val="none" w:sz="0" w:space="0" w:color="auto"/>
            <w:left w:val="none" w:sz="0" w:space="0" w:color="auto"/>
            <w:bottom w:val="none" w:sz="0" w:space="0" w:color="auto"/>
            <w:right w:val="none" w:sz="0" w:space="0" w:color="auto"/>
          </w:divBdr>
          <w:divsChild>
            <w:div w:id="1844856389">
              <w:marLeft w:val="0"/>
              <w:marRight w:val="0"/>
              <w:marTop w:val="0"/>
              <w:marBottom w:val="0"/>
              <w:divBdr>
                <w:top w:val="none" w:sz="0" w:space="0" w:color="auto"/>
                <w:left w:val="none" w:sz="0" w:space="0" w:color="auto"/>
                <w:bottom w:val="none" w:sz="0" w:space="0" w:color="auto"/>
                <w:right w:val="none" w:sz="0" w:space="0" w:color="auto"/>
              </w:divBdr>
              <w:divsChild>
                <w:div w:id="500507627">
                  <w:marLeft w:val="-225"/>
                  <w:marRight w:val="-225"/>
                  <w:marTop w:val="0"/>
                  <w:marBottom w:val="0"/>
                  <w:divBdr>
                    <w:top w:val="none" w:sz="0" w:space="0" w:color="auto"/>
                    <w:left w:val="none" w:sz="0" w:space="0" w:color="auto"/>
                    <w:bottom w:val="none" w:sz="0" w:space="0" w:color="auto"/>
                    <w:right w:val="none" w:sz="0" w:space="0" w:color="auto"/>
                  </w:divBdr>
                  <w:divsChild>
                    <w:div w:id="13893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8559">
      <w:bodyDiv w:val="1"/>
      <w:marLeft w:val="0"/>
      <w:marRight w:val="0"/>
      <w:marTop w:val="0"/>
      <w:marBottom w:val="0"/>
      <w:divBdr>
        <w:top w:val="none" w:sz="0" w:space="0" w:color="auto"/>
        <w:left w:val="none" w:sz="0" w:space="0" w:color="auto"/>
        <w:bottom w:val="none" w:sz="0" w:space="0" w:color="auto"/>
        <w:right w:val="none" w:sz="0" w:space="0" w:color="auto"/>
      </w:divBdr>
      <w:divsChild>
        <w:div w:id="1222206153">
          <w:marLeft w:val="0"/>
          <w:marRight w:val="0"/>
          <w:marTop w:val="0"/>
          <w:marBottom w:val="0"/>
          <w:divBdr>
            <w:top w:val="none" w:sz="0" w:space="0" w:color="auto"/>
            <w:left w:val="none" w:sz="0" w:space="0" w:color="auto"/>
            <w:bottom w:val="none" w:sz="0" w:space="0" w:color="auto"/>
            <w:right w:val="none" w:sz="0" w:space="0" w:color="auto"/>
          </w:divBdr>
          <w:divsChild>
            <w:div w:id="1050499804">
              <w:marLeft w:val="0"/>
              <w:marRight w:val="0"/>
              <w:marTop w:val="0"/>
              <w:marBottom w:val="0"/>
              <w:divBdr>
                <w:top w:val="none" w:sz="0" w:space="0" w:color="auto"/>
                <w:left w:val="none" w:sz="0" w:space="0" w:color="auto"/>
                <w:bottom w:val="none" w:sz="0" w:space="0" w:color="auto"/>
                <w:right w:val="none" w:sz="0" w:space="0" w:color="auto"/>
              </w:divBdr>
              <w:divsChild>
                <w:div w:id="722022198">
                  <w:marLeft w:val="-225"/>
                  <w:marRight w:val="-225"/>
                  <w:marTop w:val="0"/>
                  <w:marBottom w:val="0"/>
                  <w:divBdr>
                    <w:top w:val="none" w:sz="0" w:space="0" w:color="auto"/>
                    <w:left w:val="none" w:sz="0" w:space="0" w:color="auto"/>
                    <w:bottom w:val="none" w:sz="0" w:space="0" w:color="auto"/>
                    <w:right w:val="none" w:sz="0" w:space="0" w:color="auto"/>
                  </w:divBdr>
                  <w:divsChild>
                    <w:div w:id="346257030">
                      <w:marLeft w:val="0"/>
                      <w:marRight w:val="0"/>
                      <w:marTop w:val="0"/>
                      <w:marBottom w:val="0"/>
                      <w:divBdr>
                        <w:top w:val="none" w:sz="0" w:space="0" w:color="auto"/>
                        <w:left w:val="none" w:sz="0" w:space="0" w:color="auto"/>
                        <w:bottom w:val="none" w:sz="0" w:space="0" w:color="auto"/>
                        <w:right w:val="none" w:sz="0" w:space="0" w:color="auto"/>
                      </w:divBdr>
                      <w:divsChild>
                        <w:div w:id="616789164">
                          <w:marLeft w:val="0"/>
                          <w:marRight w:val="0"/>
                          <w:marTop w:val="1200"/>
                          <w:marBottom w:val="750"/>
                          <w:divBdr>
                            <w:top w:val="none" w:sz="0" w:space="0" w:color="auto"/>
                            <w:left w:val="none" w:sz="0" w:space="0" w:color="auto"/>
                            <w:bottom w:val="none" w:sz="0" w:space="0" w:color="auto"/>
                            <w:right w:val="none" w:sz="0" w:space="0" w:color="auto"/>
                          </w:divBdr>
                          <w:divsChild>
                            <w:div w:id="20136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241978">
      <w:bodyDiv w:val="1"/>
      <w:marLeft w:val="0"/>
      <w:marRight w:val="0"/>
      <w:marTop w:val="0"/>
      <w:marBottom w:val="0"/>
      <w:divBdr>
        <w:top w:val="none" w:sz="0" w:space="0" w:color="auto"/>
        <w:left w:val="none" w:sz="0" w:space="0" w:color="auto"/>
        <w:bottom w:val="none" w:sz="0" w:space="0" w:color="auto"/>
        <w:right w:val="none" w:sz="0" w:space="0" w:color="auto"/>
      </w:divBdr>
      <w:divsChild>
        <w:div w:id="1103453864">
          <w:marLeft w:val="0"/>
          <w:marRight w:val="0"/>
          <w:marTop w:val="0"/>
          <w:marBottom w:val="0"/>
          <w:divBdr>
            <w:top w:val="none" w:sz="0" w:space="0" w:color="auto"/>
            <w:left w:val="none" w:sz="0" w:space="0" w:color="auto"/>
            <w:bottom w:val="none" w:sz="0" w:space="0" w:color="auto"/>
            <w:right w:val="none" w:sz="0" w:space="0" w:color="auto"/>
          </w:divBdr>
        </w:div>
        <w:div w:id="1173295815">
          <w:marLeft w:val="0"/>
          <w:marRight w:val="0"/>
          <w:marTop w:val="0"/>
          <w:marBottom w:val="0"/>
          <w:divBdr>
            <w:top w:val="none" w:sz="0" w:space="0" w:color="auto"/>
            <w:left w:val="none" w:sz="0" w:space="0" w:color="auto"/>
            <w:bottom w:val="none" w:sz="0" w:space="0" w:color="auto"/>
            <w:right w:val="none" w:sz="0" w:space="0" w:color="auto"/>
          </w:divBdr>
          <w:divsChild>
            <w:div w:id="7318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7251">
      <w:bodyDiv w:val="1"/>
      <w:marLeft w:val="0"/>
      <w:marRight w:val="0"/>
      <w:marTop w:val="0"/>
      <w:marBottom w:val="0"/>
      <w:divBdr>
        <w:top w:val="none" w:sz="0" w:space="0" w:color="auto"/>
        <w:left w:val="none" w:sz="0" w:space="0" w:color="auto"/>
        <w:bottom w:val="none" w:sz="0" w:space="0" w:color="auto"/>
        <w:right w:val="none" w:sz="0" w:space="0" w:color="auto"/>
      </w:divBdr>
      <w:divsChild>
        <w:div w:id="1060205706">
          <w:marLeft w:val="0"/>
          <w:marRight w:val="0"/>
          <w:marTop w:val="0"/>
          <w:marBottom w:val="0"/>
          <w:divBdr>
            <w:top w:val="none" w:sz="0" w:space="0" w:color="auto"/>
            <w:left w:val="none" w:sz="0" w:space="0" w:color="auto"/>
            <w:bottom w:val="none" w:sz="0" w:space="0" w:color="auto"/>
            <w:right w:val="none" w:sz="0" w:space="0" w:color="auto"/>
          </w:divBdr>
          <w:divsChild>
            <w:div w:id="1884443695">
              <w:marLeft w:val="0"/>
              <w:marRight w:val="0"/>
              <w:marTop w:val="0"/>
              <w:marBottom w:val="0"/>
              <w:divBdr>
                <w:top w:val="none" w:sz="0" w:space="0" w:color="auto"/>
                <w:left w:val="none" w:sz="0" w:space="0" w:color="auto"/>
                <w:bottom w:val="none" w:sz="0" w:space="0" w:color="auto"/>
                <w:right w:val="none" w:sz="0" w:space="0" w:color="auto"/>
              </w:divBdr>
              <w:divsChild>
                <w:div w:id="1727217531">
                  <w:marLeft w:val="0"/>
                  <w:marRight w:val="0"/>
                  <w:marTop w:val="0"/>
                  <w:marBottom w:val="0"/>
                  <w:divBdr>
                    <w:top w:val="none" w:sz="0" w:space="0" w:color="auto"/>
                    <w:left w:val="none" w:sz="0" w:space="0" w:color="auto"/>
                    <w:bottom w:val="none" w:sz="0" w:space="0" w:color="auto"/>
                    <w:right w:val="none" w:sz="0" w:space="0" w:color="auto"/>
                  </w:divBdr>
                  <w:divsChild>
                    <w:div w:id="542989001">
                      <w:marLeft w:val="0"/>
                      <w:marRight w:val="0"/>
                      <w:marTop w:val="0"/>
                      <w:marBottom w:val="0"/>
                      <w:divBdr>
                        <w:top w:val="none" w:sz="0" w:space="0" w:color="auto"/>
                        <w:left w:val="none" w:sz="0" w:space="0" w:color="auto"/>
                        <w:bottom w:val="none" w:sz="0" w:space="0" w:color="auto"/>
                        <w:right w:val="none" w:sz="0" w:space="0" w:color="auto"/>
                      </w:divBdr>
                      <w:divsChild>
                        <w:div w:id="41222351">
                          <w:marLeft w:val="0"/>
                          <w:marRight w:val="0"/>
                          <w:marTop w:val="0"/>
                          <w:marBottom w:val="0"/>
                          <w:divBdr>
                            <w:top w:val="none" w:sz="0" w:space="0" w:color="auto"/>
                            <w:left w:val="none" w:sz="0" w:space="0" w:color="auto"/>
                            <w:bottom w:val="none" w:sz="0" w:space="0" w:color="auto"/>
                            <w:right w:val="none" w:sz="0" w:space="0" w:color="auto"/>
                          </w:divBdr>
                          <w:divsChild>
                            <w:div w:id="1108428088">
                              <w:marLeft w:val="0"/>
                              <w:marRight w:val="0"/>
                              <w:marTop w:val="0"/>
                              <w:marBottom w:val="0"/>
                              <w:divBdr>
                                <w:top w:val="none" w:sz="0" w:space="0" w:color="auto"/>
                                <w:left w:val="none" w:sz="0" w:space="0" w:color="auto"/>
                                <w:bottom w:val="none" w:sz="0" w:space="0" w:color="auto"/>
                                <w:right w:val="none" w:sz="0" w:space="0" w:color="auto"/>
                              </w:divBdr>
                              <w:divsChild>
                                <w:div w:id="476148779">
                                  <w:marLeft w:val="0"/>
                                  <w:marRight w:val="0"/>
                                  <w:marTop w:val="0"/>
                                  <w:marBottom w:val="0"/>
                                  <w:divBdr>
                                    <w:top w:val="none" w:sz="0" w:space="0" w:color="auto"/>
                                    <w:left w:val="none" w:sz="0" w:space="0" w:color="auto"/>
                                    <w:bottom w:val="none" w:sz="0" w:space="0" w:color="auto"/>
                                    <w:right w:val="none" w:sz="0" w:space="0" w:color="auto"/>
                                  </w:divBdr>
                                  <w:divsChild>
                                    <w:div w:id="389229899">
                                      <w:marLeft w:val="0"/>
                                      <w:marRight w:val="0"/>
                                      <w:marTop w:val="0"/>
                                      <w:marBottom w:val="0"/>
                                      <w:divBdr>
                                        <w:top w:val="none" w:sz="0" w:space="0" w:color="auto"/>
                                        <w:left w:val="none" w:sz="0" w:space="0" w:color="auto"/>
                                        <w:bottom w:val="none" w:sz="0" w:space="0" w:color="auto"/>
                                        <w:right w:val="none" w:sz="0" w:space="0" w:color="auto"/>
                                      </w:divBdr>
                                      <w:divsChild>
                                        <w:div w:id="151143790">
                                          <w:marLeft w:val="0"/>
                                          <w:marRight w:val="0"/>
                                          <w:marTop w:val="0"/>
                                          <w:marBottom w:val="0"/>
                                          <w:divBdr>
                                            <w:top w:val="none" w:sz="0" w:space="0" w:color="auto"/>
                                            <w:left w:val="none" w:sz="0" w:space="0" w:color="auto"/>
                                            <w:bottom w:val="none" w:sz="0" w:space="0" w:color="auto"/>
                                            <w:right w:val="none" w:sz="0" w:space="0" w:color="auto"/>
                                          </w:divBdr>
                                          <w:divsChild>
                                            <w:div w:id="1344626231">
                                              <w:marLeft w:val="0"/>
                                              <w:marRight w:val="0"/>
                                              <w:marTop w:val="0"/>
                                              <w:marBottom w:val="0"/>
                                              <w:divBdr>
                                                <w:top w:val="none" w:sz="0" w:space="0" w:color="auto"/>
                                                <w:left w:val="none" w:sz="0" w:space="0" w:color="auto"/>
                                                <w:bottom w:val="none" w:sz="0" w:space="0" w:color="auto"/>
                                                <w:right w:val="none" w:sz="0" w:space="0" w:color="auto"/>
                                              </w:divBdr>
                                              <w:divsChild>
                                                <w:div w:id="2127116324">
                                                  <w:marLeft w:val="0"/>
                                                  <w:marRight w:val="0"/>
                                                  <w:marTop w:val="0"/>
                                                  <w:marBottom w:val="0"/>
                                                  <w:divBdr>
                                                    <w:top w:val="none" w:sz="0" w:space="0" w:color="auto"/>
                                                    <w:left w:val="none" w:sz="0" w:space="0" w:color="auto"/>
                                                    <w:bottom w:val="none" w:sz="0" w:space="0" w:color="auto"/>
                                                    <w:right w:val="none" w:sz="0" w:space="0" w:color="auto"/>
                                                  </w:divBdr>
                                                  <w:divsChild>
                                                    <w:div w:id="1653874693">
                                                      <w:marLeft w:val="0"/>
                                                      <w:marRight w:val="0"/>
                                                      <w:marTop w:val="0"/>
                                                      <w:marBottom w:val="0"/>
                                                      <w:divBdr>
                                                        <w:top w:val="none" w:sz="0" w:space="0" w:color="auto"/>
                                                        <w:left w:val="none" w:sz="0" w:space="0" w:color="auto"/>
                                                        <w:bottom w:val="none" w:sz="0" w:space="0" w:color="auto"/>
                                                        <w:right w:val="none" w:sz="0" w:space="0" w:color="auto"/>
                                                      </w:divBdr>
                                                      <w:divsChild>
                                                        <w:div w:id="13514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864835">
      <w:bodyDiv w:val="1"/>
      <w:marLeft w:val="0"/>
      <w:marRight w:val="0"/>
      <w:marTop w:val="0"/>
      <w:marBottom w:val="0"/>
      <w:divBdr>
        <w:top w:val="none" w:sz="0" w:space="0" w:color="auto"/>
        <w:left w:val="none" w:sz="0" w:space="0" w:color="auto"/>
        <w:bottom w:val="none" w:sz="0" w:space="0" w:color="auto"/>
        <w:right w:val="none" w:sz="0" w:space="0" w:color="auto"/>
      </w:divBdr>
      <w:divsChild>
        <w:div w:id="1354307585">
          <w:marLeft w:val="0"/>
          <w:marRight w:val="0"/>
          <w:marTop w:val="0"/>
          <w:marBottom w:val="0"/>
          <w:divBdr>
            <w:top w:val="none" w:sz="0" w:space="0" w:color="auto"/>
            <w:left w:val="none" w:sz="0" w:space="0" w:color="auto"/>
            <w:bottom w:val="none" w:sz="0" w:space="0" w:color="auto"/>
            <w:right w:val="none" w:sz="0" w:space="0" w:color="auto"/>
          </w:divBdr>
          <w:divsChild>
            <w:div w:id="1022782877">
              <w:marLeft w:val="0"/>
              <w:marRight w:val="0"/>
              <w:marTop w:val="0"/>
              <w:marBottom w:val="0"/>
              <w:divBdr>
                <w:top w:val="none" w:sz="0" w:space="0" w:color="auto"/>
                <w:left w:val="none" w:sz="0" w:space="0" w:color="auto"/>
                <w:bottom w:val="none" w:sz="0" w:space="0" w:color="auto"/>
                <w:right w:val="none" w:sz="0" w:space="0" w:color="auto"/>
              </w:divBdr>
              <w:divsChild>
                <w:div w:id="1229455431">
                  <w:marLeft w:val="0"/>
                  <w:marRight w:val="0"/>
                  <w:marTop w:val="0"/>
                  <w:marBottom w:val="0"/>
                  <w:divBdr>
                    <w:top w:val="none" w:sz="0" w:space="0" w:color="auto"/>
                    <w:left w:val="none" w:sz="0" w:space="0" w:color="auto"/>
                    <w:bottom w:val="none" w:sz="0" w:space="0" w:color="auto"/>
                    <w:right w:val="none" w:sz="0" w:space="0" w:color="auto"/>
                  </w:divBdr>
                  <w:divsChild>
                    <w:div w:id="1618560250">
                      <w:marLeft w:val="0"/>
                      <w:marRight w:val="0"/>
                      <w:marTop w:val="0"/>
                      <w:marBottom w:val="0"/>
                      <w:divBdr>
                        <w:top w:val="none" w:sz="0" w:space="0" w:color="auto"/>
                        <w:left w:val="none" w:sz="0" w:space="0" w:color="auto"/>
                        <w:bottom w:val="none" w:sz="0" w:space="0" w:color="auto"/>
                        <w:right w:val="none" w:sz="0" w:space="0" w:color="auto"/>
                      </w:divBdr>
                      <w:divsChild>
                        <w:div w:id="1450273792">
                          <w:marLeft w:val="0"/>
                          <w:marRight w:val="0"/>
                          <w:marTop w:val="0"/>
                          <w:marBottom w:val="0"/>
                          <w:divBdr>
                            <w:top w:val="none" w:sz="0" w:space="0" w:color="auto"/>
                            <w:left w:val="none" w:sz="0" w:space="0" w:color="auto"/>
                            <w:bottom w:val="none" w:sz="0" w:space="0" w:color="auto"/>
                            <w:right w:val="none" w:sz="0" w:space="0" w:color="auto"/>
                          </w:divBdr>
                          <w:divsChild>
                            <w:div w:id="534317065">
                              <w:marLeft w:val="0"/>
                              <w:marRight w:val="0"/>
                              <w:marTop w:val="0"/>
                              <w:marBottom w:val="0"/>
                              <w:divBdr>
                                <w:top w:val="none" w:sz="0" w:space="0" w:color="auto"/>
                                <w:left w:val="none" w:sz="0" w:space="0" w:color="auto"/>
                                <w:bottom w:val="none" w:sz="0" w:space="0" w:color="auto"/>
                                <w:right w:val="none" w:sz="0" w:space="0" w:color="auto"/>
                              </w:divBdr>
                              <w:divsChild>
                                <w:div w:id="18119679">
                                  <w:marLeft w:val="0"/>
                                  <w:marRight w:val="0"/>
                                  <w:marTop w:val="0"/>
                                  <w:marBottom w:val="0"/>
                                  <w:divBdr>
                                    <w:top w:val="none" w:sz="0" w:space="0" w:color="auto"/>
                                    <w:left w:val="none" w:sz="0" w:space="0" w:color="auto"/>
                                    <w:bottom w:val="none" w:sz="0" w:space="0" w:color="auto"/>
                                    <w:right w:val="none" w:sz="0" w:space="0" w:color="auto"/>
                                  </w:divBdr>
                                  <w:divsChild>
                                    <w:div w:id="1051462136">
                                      <w:marLeft w:val="0"/>
                                      <w:marRight w:val="0"/>
                                      <w:marTop w:val="0"/>
                                      <w:marBottom w:val="0"/>
                                      <w:divBdr>
                                        <w:top w:val="none" w:sz="0" w:space="0" w:color="auto"/>
                                        <w:left w:val="none" w:sz="0" w:space="0" w:color="auto"/>
                                        <w:bottom w:val="none" w:sz="0" w:space="0" w:color="auto"/>
                                        <w:right w:val="none" w:sz="0" w:space="0" w:color="auto"/>
                                      </w:divBdr>
                                      <w:divsChild>
                                        <w:div w:id="797994003">
                                          <w:marLeft w:val="0"/>
                                          <w:marRight w:val="0"/>
                                          <w:marTop w:val="0"/>
                                          <w:marBottom w:val="0"/>
                                          <w:divBdr>
                                            <w:top w:val="none" w:sz="0" w:space="0" w:color="auto"/>
                                            <w:left w:val="none" w:sz="0" w:space="0" w:color="auto"/>
                                            <w:bottom w:val="none" w:sz="0" w:space="0" w:color="auto"/>
                                            <w:right w:val="none" w:sz="0" w:space="0" w:color="auto"/>
                                          </w:divBdr>
                                          <w:divsChild>
                                            <w:div w:id="1918439109">
                                              <w:marLeft w:val="0"/>
                                              <w:marRight w:val="0"/>
                                              <w:marTop w:val="0"/>
                                              <w:marBottom w:val="0"/>
                                              <w:divBdr>
                                                <w:top w:val="none" w:sz="0" w:space="0" w:color="auto"/>
                                                <w:left w:val="none" w:sz="0" w:space="0" w:color="auto"/>
                                                <w:bottom w:val="none" w:sz="0" w:space="0" w:color="auto"/>
                                                <w:right w:val="none" w:sz="0" w:space="0" w:color="auto"/>
                                              </w:divBdr>
                                              <w:divsChild>
                                                <w:div w:id="2104910467">
                                                  <w:marLeft w:val="0"/>
                                                  <w:marRight w:val="0"/>
                                                  <w:marTop w:val="0"/>
                                                  <w:marBottom w:val="0"/>
                                                  <w:divBdr>
                                                    <w:top w:val="none" w:sz="0" w:space="0" w:color="auto"/>
                                                    <w:left w:val="none" w:sz="0" w:space="0" w:color="auto"/>
                                                    <w:bottom w:val="none" w:sz="0" w:space="0" w:color="auto"/>
                                                    <w:right w:val="none" w:sz="0" w:space="0" w:color="auto"/>
                                                  </w:divBdr>
                                                  <w:divsChild>
                                                    <w:div w:id="763569848">
                                                      <w:marLeft w:val="0"/>
                                                      <w:marRight w:val="0"/>
                                                      <w:marTop w:val="0"/>
                                                      <w:marBottom w:val="0"/>
                                                      <w:divBdr>
                                                        <w:top w:val="none" w:sz="0" w:space="0" w:color="auto"/>
                                                        <w:left w:val="none" w:sz="0" w:space="0" w:color="auto"/>
                                                        <w:bottom w:val="none" w:sz="0" w:space="0" w:color="auto"/>
                                                        <w:right w:val="none" w:sz="0" w:space="0" w:color="auto"/>
                                                      </w:divBdr>
                                                      <w:divsChild>
                                                        <w:div w:id="1888713327">
                                                          <w:marLeft w:val="0"/>
                                                          <w:marRight w:val="0"/>
                                                          <w:marTop w:val="0"/>
                                                          <w:marBottom w:val="0"/>
                                                          <w:divBdr>
                                                            <w:top w:val="none" w:sz="0" w:space="0" w:color="auto"/>
                                                            <w:left w:val="none" w:sz="0" w:space="0" w:color="auto"/>
                                                            <w:bottom w:val="none" w:sz="0" w:space="0" w:color="auto"/>
                                                            <w:right w:val="none" w:sz="0" w:space="0" w:color="auto"/>
                                                          </w:divBdr>
                                                          <w:divsChild>
                                                            <w:div w:id="2997275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132113">
      <w:bodyDiv w:val="1"/>
      <w:marLeft w:val="0"/>
      <w:marRight w:val="0"/>
      <w:marTop w:val="0"/>
      <w:marBottom w:val="0"/>
      <w:divBdr>
        <w:top w:val="none" w:sz="0" w:space="0" w:color="auto"/>
        <w:left w:val="none" w:sz="0" w:space="0" w:color="auto"/>
        <w:bottom w:val="none" w:sz="0" w:space="0" w:color="auto"/>
        <w:right w:val="none" w:sz="0" w:space="0" w:color="auto"/>
      </w:divBdr>
    </w:div>
    <w:div w:id="1794523319">
      <w:bodyDiv w:val="1"/>
      <w:marLeft w:val="0"/>
      <w:marRight w:val="0"/>
      <w:marTop w:val="0"/>
      <w:marBottom w:val="0"/>
      <w:divBdr>
        <w:top w:val="none" w:sz="0" w:space="0" w:color="auto"/>
        <w:left w:val="none" w:sz="0" w:space="0" w:color="auto"/>
        <w:bottom w:val="none" w:sz="0" w:space="0" w:color="auto"/>
        <w:right w:val="none" w:sz="0" w:space="0" w:color="auto"/>
      </w:divBdr>
      <w:divsChild>
        <w:div w:id="1949660938">
          <w:marLeft w:val="0"/>
          <w:marRight w:val="0"/>
          <w:marTop w:val="0"/>
          <w:marBottom w:val="0"/>
          <w:divBdr>
            <w:top w:val="none" w:sz="0" w:space="0" w:color="auto"/>
            <w:left w:val="none" w:sz="0" w:space="0" w:color="auto"/>
            <w:bottom w:val="none" w:sz="0" w:space="0" w:color="auto"/>
            <w:right w:val="none" w:sz="0" w:space="0" w:color="auto"/>
          </w:divBdr>
          <w:divsChild>
            <w:div w:id="1213031134">
              <w:marLeft w:val="0"/>
              <w:marRight w:val="0"/>
              <w:marTop w:val="0"/>
              <w:marBottom w:val="0"/>
              <w:divBdr>
                <w:top w:val="none" w:sz="0" w:space="0" w:color="auto"/>
                <w:left w:val="none" w:sz="0" w:space="0" w:color="auto"/>
                <w:bottom w:val="none" w:sz="0" w:space="0" w:color="auto"/>
                <w:right w:val="none" w:sz="0" w:space="0" w:color="auto"/>
              </w:divBdr>
              <w:divsChild>
                <w:div w:id="602612637">
                  <w:marLeft w:val="0"/>
                  <w:marRight w:val="0"/>
                  <w:marTop w:val="0"/>
                  <w:marBottom w:val="0"/>
                  <w:divBdr>
                    <w:top w:val="none" w:sz="0" w:space="0" w:color="auto"/>
                    <w:left w:val="none" w:sz="0" w:space="0" w:color="auto"/>
                    <w:bottom w:val="none" w:sz="0" w:space="0" w:color="auto"/>
                    <w:right w:val="none" w:sz="0" w:space="0" w:color="auto"/>
                  </w:divBdr>
                  <w:divsChild>
                    <w:div w:id="414596945">
                      <w:marLeft w:val="0"/>
                      <w:marRight w:val="0"/>
                      <w:marTop w:val="0"/>
                      <w:marBottom w:val="0"/>
                      <w:divBdr>
                        <w:top w:val="none" w:sz="0" w:space="0" w:color="auto"/>
                        <w:left w:val="none" w:sz="0" w:space="0" w:color="auto"/>
                        <w:bottom w:val="none" w:sz="0" w:space="0" w:color="auto"/>
                        <w:right w:val="none" w:sz="0" w:space="0" w:color="auto"/>
                      </w:divBdr>
                      <w:divsChild>
                        <w:div w:id="743265153">
                          <w:marLeft w:val="0"/>
                          <w:marRight w:val="0"/>
                          <w:marTop w:val="0"/>
                          <w:marBottom w:val="0"/>
                          <w:divBdr>
                            <w:top w:val="none" w:sz="0" w:space="0" w:color="auto"/>
                            <w:left w:val="none" w:sz="0" w:space="0" w:color="auto"/>
                            <w:bottom w:val="none" w:sz="0" w:space="0" w:color="auto"/>
                            <w:right w:val="none" w:sz="0" w:space="0" w:color="auto"/>
                          </w:divBdr>
                          <w:divsChild>
                            <w:div w:id="983854265">
                              <w:marLeft w:val="0"/>
                              <w:marRight w:val="0"/>
                              <w:marTop w:val="0"/>
                              <w:marBottom w:val="0"/>
                              <w:divBdr>
                                <w:top w:val="none" w:sz="0" w:space="0" w:color="auto"/>
                                <w:left w:val="none" w:sz="0" w:space="0" w:color="auto"/>
                                <w:bottom w:val="none" w:sz="0" w:space="0" w:color="auto"/>
                                <w:right w:val="none" w:sz="0" w:space="0" w:color="auto"/>
                              </w:divBdr>
                              <w:divsChild>
                                <w:div w:id="805198379">
                                  <w:marLeft w:val="0"/>
                                  <w:marRight w:val="0"/>
                                  <w:marTop w:val="0"/>
                                  <w:marBottom w:val="0"/>
                                  <w:divBdr>
                                    <w:top w:val="none" w:sz="0" w:space="0" w:color="auto"/>
                                    <w:left w:val="none" w:sz="0" w:space="0" w:color="auto"/>
                                    <w:bottom w:val="none" w:sz="0" w:space="0" w:color="auto"/>
                                    <w:right w:val="none" w:sz="0" w:space="0" w:color="auto"/>
                                  </w:divBdr>
                                  <w:divsChild>
                                    <w:div w:id="1742870297">
                                      <w:marLeft w:val="0"/>
                                      <w:marRight w:val="0"/>
                                      <w:marTop w:val="0"/>
                                      <w:marBottom w:val="0"/>
                                      <w:divBdr>
                                        <w:top w:val="none" w:sz="0" w:space="0" w:color="auto"/>
                                        <w:left w:val="none" w:sz="0" w:space="0" w:color="auto"/>
                                        <w:bottom w:val="none" w:sz="0" w:space="0" w:color="auto"/>
                                        <w:right w:val="none" w:sz="0" w:space="0" w:color="auto"/>
                                      </w:divBdr>
                                      <w:divsChild>
                                        <w:div w:id="2782985">
                                          <w:marLeft w:val="0"/>
                                          <w:marRight w:val="0"/>
                                          <w:marTop w:val="0"/>
                                          <w:marBottom w:val="0"/>
                                          <w:divBdr>
                                            <w:top w:val="none" w:sz="0" w:space="0" w:color="auto"/>
                                            <w:left w:val="none" w:sz="0" w:space="0" w:color="auto"/>
                                            <w:bottom w:val="none" w:sz="0" w:space="0" w:color="auto"/>
                                            <w:right w:val="none" w:sz="0" w:space="0" w:color="auto"/>
                                          </w:divBdr>
                                        </w:div>
                                        <w:div w:id="13504916">
                                          <w:marLeft w:val="0"/>
                                          <w:marRight w:val="0"/>
                                          <w:marTop w:val="0"/>
                                          <w:marBottom w:val="0"/>
                                          <w:divBdr>
                                            <w:top w:val="none" w:sz="0" w:space="0" w:color="auto"/>
                                            <w:left w:val="none" w:sz="0" w:space="0" w:color="auto"/>
                                            <w:bottom w:val="none" w:sz="0" w:space="0" w:color="auto"/>
                                            <w:right w:val="none" w:sz="0" w:space="0" w:color="auto"/>
                                          </w:divBdr>
                                          <w:divsChild>
                                            <w:div w:id="158329212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173541">
      <w:bodyDiv w:val="1"/>
      <w:marLeft w:val="0"/>
      <w:marRight w:val="0"/>
      <w:marTop w:val="0"/>
      <w:marBottom w:val="0"/>
      <w:divBdr>
        <w:top w:val="none" w:sz="0" w:space="0" w:color="auto"/>
        <w:left w:val="none" w:sz="0" w:space="0" w:color="auto"/>
        <w:bottom w:val="none" w:sz="0" w:space="0" w:color="auto"/>
        <w:right w:val="none" w:sz="0" w:space="0" w:color="auto"/>
      </w:divBdr>
      <w:divsChild>
        <w:div w:id="1338189456">
          <w:marLeft w:val="0"/>
          <w:marRight w:val="0"/>
          <w:marTop w:val="0"/>
          <w:marBottom w:val="0"/>
          <w:divBdr>
            <w:top w:val="none" w:sz="0" w:space="0" w:color="auto"/>
            <w:left w:val="none" w:sz="0" w:space="0" w:color="auto"/>
            <w:bottom w:val="none" w:sz="0" w:space="0" w:color="auto"/>
            <w:right w:val="none" w:sz="0" w:space="0" w:color="auto"/>
          </w:divBdr>
          <w:divsChild>
            <w:div w:id="1522473484">
              <w:marLeft w:val="-225"/>
              <w:marRight w:val="-225"/>
              <w:marTop w:val="0"/>
              <w:marBottom w:val="0"/>
              <w:divBdr>
                <w:top w:val="none" w:sz="0" w:space="0" w:color="auto"/>
                <w:left w:val="none" w:sz="0" w:space="0" w:color="auto"/>
                <w:bottom w:val="none" w:sz="0" w:space="0" w:color="auto"/>
                <w:right w:val="none" w:sz="0" w:space="0" w:color="auto"/>
              </w:divBdr>
              <w:divsChild>
                <w:div w:id="17210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2421">
      <w:bodyDiv w:val="1"/>
      <w:marLeft w:val="0"/>
      <w:marRight w:val="0"/>
      <w:marTop w:val="0"/>
      <w:marBottom w:val="0"/>
      <w:divBdr>
        <w:top w:val="none" w:sz="0" w:space="0" w:color="auto"/>
        <w:left w:val="none" w:sz="0" w:space="0" w:color="auto"/>
        <w:bottom w:val="none" w:sz="0" w:space="0" w:color="auto"/>
        <w:right w:val="none" w:sz="0" w:space="0" w:color="auto"/>
      </w:divBdr>
      <w:divsChild>
        <w:div w:id="531069106">
          <w:marLeft w:val="0"/>
          <w:marRight w:val="0"/>
          <w:marTop w:val="0"/>
          <w:marBottom w:val="0"/>
          <w:divBdr>
            <w:top w:val="none" w:sz="0" w:space="0" w:color="auto"/>
            <w:left w:val="none" w:sz="0" w:space="0" w:color="auto"/>
            <w:bottom w:val="none" w:sz="0" w:space="0" w:color="auto"/>
            <w:right w:val="none" w:sz="0" w:space="0" w:color="auto"/>
          </w:divBdr>
          <w:divsChild>
            <w:div w:id="1887445692">
              <w:marLeft w:val="0"/>
              <w:marRight w:val="0"/>
              <w:marTop w:val="0"/>
              <w:marBottom w:val="0"/>
              <w:divBdr>
                <w:top w:val="none" w:sz="0" w:space="0" w:color="auto"/>
                <w:left w:val="none" w:sz="0" w:space="0" w:color="auto"/>
                <w:bottom w:val="none" w:sz="0" w:space="0" w:color="auto"/>
                <w:right w:val="none" w:sz="0" w:space="0" w:color="auto"/>
              </w:divBdr>
              <w:divsChild>
                <w:div w:id="895776372">
                  <w:marLeft w:val="0"/>
                  <w:marRight w:val="0"/>
                  <w:marTop w:val="0"/>
                  <w:marBottom w:val="0"/>
                  <w:divBdr>
                    <w:top w:val="none" w:sz="0" w:space="0" w:color="auto"/>
                    <w:left w:val="none" w:sz="0" w:space="0" w:color="auto"/>
                    <w:bottom w:val="none" w:sz="0" w:space="0" w:color="auto"/>
                    <w:right w:val="none" w:sz="0" w:space="0" w:color="auto"/>
                  </w:divBdr>
                  <w:divsChild>
                    <w:div w:id="386924926">
                      <w:marLeft w:val="0"/>
                      <w:marRight w:val="0"/>
                      <w:marTop w:val="0"/>
                      <w:marBottom w:val="0"/>
                      <w:divBdr>
                        <w:top w:val="none" w:sz="0" w:space="0" w:color="auto"/>
                        <w:left w:val="none" w:sz="0" w:space="0" w:color="auto"/>
                        <w:bottom w:val="none" w:sz="0" w:space="0" w:color="auto"/>
                        <w:right w:val="none" w:sz="0" w:space="0" w:color="auto"/>
                      </w:divBdr>
                      <w:divsChild>
                        <w:div w:id="1514996123">
                          <w:marLeft w:val="0"/>
                          <w:marRight w:val="0"/>
                          <w:marTop w:val="0"/>
                          <w:marBottom w:val="0"/>
                          <w:divBdr>
                            <w:top w:val="none" w:sz="0" w:space="0" w:color="auto"/>
                            <w:left w:val="none" w:sz="0" w:space="0" w:color="auto"/>
                            <w:bottom w:val="none" w:sz="0" w:space="0" w:color="auto"/>
                            <w:right w:val="none" w:sz="0" w:space="0" w:color="auto"/>
                          </w:divBdr>
                          <w:divsChild>
                            <w:div w:id="1463157242">
                              <w:marLeft w:val="0"/>
                              <w:marRight w:val="0"/>
                              <w:marTop w:val="0"/>
                              <w:marBottom w:val="0"/>
                              <w:divBdr>
                                <w:top w:val="none" w:sz="0" w:space="0" w:color="auto"/>
                                <w:left w:val="none" w:sz="0" w:space="0" w:color="auto"/>
                                <w:bottom w:val="none" w:sz="0" w:space="0" w:color="auto"/>
                                <w:right w:val="none" w:sz="0" w:space="0" w:color="auto"/>
                              </w:divBdr>
                              <w:divsChild>
                                <w:div w:id="2074157297">
                                  <w:marLeft w:val="0"/>
                                  <w:marRight w:val="0"/>
                                  <w:marTop w:val="0"/>
                                  <w:marBottom w:val="0"/>
                                  <w:divBdr>
                                    <w:top w:val="none" w:sz="0" w:space="0" w:color="auto"/>
                                    <w:left w:val="none" w:sz="0" w:space="0" w:color="auto"/>
                                    <w:bottom w:val="none" w:sz="0" w:space="0" w:color="auto"/>
                                    <w:right w:val="none" w:sz="0" w:space="0" w:color="auto"/>
                                  </w:divBdr>
                                  <w:divsChild>
                                    <w:div w:id="345716349">
                                      <w:marLeft w:val="0"/>
                                      <w:marRight w:val="0"/>
                                      <w:marTop w:val="0"/>
                                      <w:marBottom w:val="0"/>
                                      <w:divBdr>
                                        <w:top w:val="none" w:sz="0" w:space="0" w:color="auto"/>
                                        <w:left w:val="none" w:sz="0" w:space="0" w:color="auto"/>
                                        <w:bottom w:val="none" w:sz="0" w:space="0" w:color="auto"/>
                                        <w:right w:val="none" w:sz="0" w:space="0" w:color="auto"/>
                                      </w:divBdr>
                                      <w:divsChild>
                                        <w:div w:id="1852183731">
                                          <w:marLeft w:val="0"/>
                                          <w:marRight w:val="0"/>
                                          <w:marTop w:val="0"/>
                                          <w:marBottom w:val="0"/>
                                          <w:divBdr>
                                            <w:top w:val="none" w:sz="0" w:space="0" w:color="auto"/>
                                            <w:left w:val="none" w:sz="0" w:space="0" w:color="auto"/>
                                            <w:bottom w:val="none" w:sz="0" w:space="0" w:color="auto"/>
                                            <w:right w:val="none" w:sz="0" w:space="0" w:color="auto"/>
                                          </w:divBdr>
                                          <w:divsChild>
                                            <w:div w:id="670059922">
                                              <w:marLeft w:val="0"/>
                                              <w:marRight w:val="0"/>
                                              <w:marTop w:val="0"/>
                                              <w:marBottom w:val="0"/>
                                              <w:divBdr>
                                                <w:top w:val="none" w:sz="0" w:space="0" w:color="auto"/>
                                                <w:left w:val="none" w:sz="0" w:space="0" w:color="auto"/>
                                                <w:bottom w:val="none" w:sz="0" w:space="0" w:color="auto"/>
                                                <w:right w:val="none" w:sz="0" w:space="0" w:color="auto"/>
                                              </w:divBdr>
                                              <w:divsChild>
                                                <w:div w:id="1916434158">
                                                  <w:marLeft w:val="0"/>
                                                  <w:marRight w:val="0"/>
                                                  <w:marTop w:val="0"/>
                                                  <w:marBottom w:val="0"/>
                                                  <w:divBdr>
                                                    <w:top w:val="none" w:sz="0" w:space="0" w:color="auto"/>
                                                    <w:left w:val="none" w:sz="0" w:space="0" w:color="auto"/>
                                                    <w:bottom w:val="none" w:sz="0" w:space="0" w:color="auto"/>
                                                    <w:right w:val="none" w:sz="0" w:space="0" w:color="auto"/>
                                                  </w:divBdr>
                                                  <w:divsChild>
                                                    <w:div w:id="345519908">
                                                      <w:marLeft w:val="0"/>
                                                      <w:marRight w:val="0"/>
                                                      <w:marTop w:val="0"/>
                                                      <w:marBottom w:val="0"/>
                                                      <w:divBdr>
                                                        <w:top w:val="none" w:sz="0" w:space="0" w:color="auto"/>
                                                        <w:left w:val="none" w:sz="0" w:space="0" w:color="auto"/>
                                                        <w:bottom w:val="none" w:sz="0" w:space="0" w:color="auto"/>
                                                        <w:right w:val="none" w:sz="0" w:space="0" w:color="auto"/>
                                                      </w:divBdr>
                                                      <w:divsChild>
                                                        <w:div w:id="77674203">
                                                          <w:marLeft w:val="0"/>
                                                          <w:marRight w:val="0"/>
                                                          <w:marTop w:val="0"/>
                                                          <w:marBottom w:val="0"/>
                                                          <w:divBdr>
                                                            <w:top w:val="none" w:sz="0" w:space="0" w:color="auto"/>
                                                            <w:left w:val="none" w:sz="0" w:space="0" w:color="auto"/>
                                                            <w:bottom w:val="none" w:sz="0" w:space="0" w:color="auto"/>
                                                            <w:right w:val="none" w:sz="0" w:space="0" w:color="auto"/>
                                                          </w:divBdr>
                                                        </w:div>
                                                        <w:div w:id="1716004142">
                                                          <w:marLeft w:val="0"/>
                                                          <w:marRight w:val="0"/>
                                                          <w:marTop w:val="0"/>
                                                          <w:marBottom w:val="0"/>
                                                          <w:divBdr>
                                                            <w:top w:val="none" w:sz="0" w:space="0" w:color="auto"/>
                                                            <w:left w:val="none" w:sz="0" w:space="0" w:color="auto"/>
                                                            <w:bottom w:val="none" w:sz="0" w:space="0" w:color="auto"/>
                                                            <w:right w:val="none" w:sz="0" w:space="0" w:color="auto"/>
                                                          </w:divBdr>
                                                          <w:divsChild>
                                                            <w:div w:id="157499327">
                                                              <w:marLeft w:val="0"/>
                                                              <w:marRight w:val="0"/>
                                                              <w:marTop w:val="0"/>
                                                              <w:marBottom w:val="0"/>
                                                              <w:divBdr>
                                                                <w:top w:val="none" w:sz="0" w:space="0" w:color="auto"/>
                                                                <w:left w:val="none" w:sz="0" w:space="0" w:color="auto"/>
                                                                <w:bottom w:val="none" w:sz="0" w:space="0" w:color="auto"/>
                                                                <w:right w:val="none" w:sz="0" w:space="0" w:color="auto"/>
                                                              </w:divBdr>
                                                            </w:div>
                                                            <w:div w:id="437021219">
                                                              <w:marLeft w:val="0"/>
                                                              <w:marRight w:val="0"/>
                                                              <w:marTop w:val="0"/>
                                                              <w:marBottom w:val="0"/>
                                                              <w:divBdr>
                                                                <w:top w:val="none" w:sz="0" w:space="0" w:color="auto"/>
                                                                <w:left w:val="none" w:sz="0" w:space="0" w:color="auto"/>
                                                                <w:bottom w:val="none" w:sz="0" w:space="0" w:color="auto"/>
                                                                <w:right w:val="none" w:sz="0" w:space="0" w:color="auto"/>
                                                              </w:divBdr>
                                                            </w:div>
                                                          </w:divsChild>
                                                        </w:div>
                                                        <w:div w:id="1882208787">
                                                          <w:marLeft w:val="0"/>
                                                          <w:marRight w:val="0"/>
                                                          <w:marTop w:val="0"/>
                                                          <w:marBottom w:val="0"/>
                                                          <w:divBdr>
                                                            <w:top w:val="none" w:sz="0" w:space="0" w:color="auto"/>
                                                            <w:left w:val="none" w:sz="0" w:space="0" w:color="auto"/>
                                                            <w:bottom w:val="none" w:sz="0" w:space="0" w:color="auto"/>
                                                            <w:right w:val="none" w:sz="0" w:space="0" w:color="auto"/>
                                                          </w:divBdr>
                                                        </w:div>
                                                        <w:div w:id="776950103">
                                                          <w:marLeft w:val="0"/>
                                                          <w:marRight w:val="0"/>
                                                          <w:marTop w:val="0"/>
                                                          <w:marBottom w:val="0"/>
                                                          <w:divBdr>
                                                            <w:top w:val="none" w:sz="0" w:space="0" w:color="auto"/>
                                                            <w:left w:val="none" w:sz="0" w:space="0" w:color="auto"/>
                                                            <w:bottom w:val="none" w:sz="0" w:space="0" w:color="auto"/>
                                                            <w:right w:val="none" w:sz="0" w:space="0" w:color="auto"/>
                                                          </w:divBdr>
                                                        </w:div>
                                                        <w:div w:id="616134194">
                                                          <w:marLeft w:val="0"/>
                                                          <w:marRight w:val="0"/>
                                                          <w:marTop w:val="0"/>
                                                          <w:marBottom w:val="0"/>
                                                          <w:divBdr>
                                                            <w:top w:val="none" w:sz="0" w:space="0" w:color="auto"/>
                                                            <w:left w:val="none" w:sz="0" w:space="0" w:color="auto"/>
                                                            <w:bottom w:val="none" w:sz="0" w:space="0" w:color="auto"/>
                                                            <w:right w:val="none" w:sz="0" w:space="0" w:color="auto"/>
                                                          </w:divBdr>
                                                          <w:divsChild>
                                                            <w:div w:id="1050373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604103">
      <w:bodyDiv w:val="1"/>
      <w:marLeft w:val="0"/>
      <w:marRight w:val="0"/>
      <w:marTop w:val="0"/>
      <w:marBottom w:val="0"/>
      <w:divBdr>
        <w:top w:val="none" w:sz="0" w:space="0" w:color="auto"/>
        <w:left w:val="none" w:sz="0" w:space="0" w:color="auto"/>
        <w:bottom w:val="none" w:sz="0" w:space="0" w:color="auto"/>
        <w:right w:val="none" w:sz="0" w:space="0" w:color="auto"/>
      </w:divBdr>
    </w:div>
    <w:div w:id="1797750464">
      <w:bodyDiv w:val="1"/>
      <w:marLeft w:val="0"/>
      <w:marRight w:val="0"/>
      <w:marTop w:val="0"/>
      <w:marBottom w:val="0"/>
      <w:divBdr>
        <w:top w:val="none" w:sz="0" w:space="0" w:color="auto"/>
        <w:left w:val="none" w:sz="0" w:space="0" w:color="auto"/>
        <w:bottom w:val="none" w:sz="0" w:space="0" w:color="auto"/>
        <w:right w:val="none" w:sz="0" w:space="0" w:color="auto"/>
      </w:divBdr>
      <w:divsChild>
        <w:div w:id="1269464442">
          <w:marLeft w:val="0"/>
          <w:marRight w:val="0"/>
          <w:marTop w:val="150"/>
          <w:marBottom w:val="0"/>
          <w:divBdr>
            <w:top w:val="none" w:sz="0" w:space="0" w:color="auto"/>
            <w:left w:val="none" w:sz="0" w:space="0" w:color="auto"/>
            <w:bottom w:val="none" w:sz="0" w:space="0" w:color="auto"/>
            <w:right w:val="none" w:sz="0" w:space="0" w:color="auto"/>
          </w:divBdr>
          <w:divsChild>
            <w:div w:id="1313217223">
              <w:marLeft w:val="0"/>
              <w:marRight w:val="0"/>
              <w:marTop w:val="0"/>
              <w:marBottom w:val="0"/>
              <w:divBdr>
                <w:top w:val="none" w:sz="0" w:space="0" w:color="auto"/>
                <w:left w:val="none" w:sz="0" w:space="0" w:color="auto"/>
                <w:bottom w:val="none" w:sz="0" w:space="0" w:color="auto"/>
                <w:right w:val="none" w:sz="0" w:space="0" w:color="auto"/>
              </w:divBdr>
              <w:divsChild>
                <w:div w:id="871385065">
                  <w:marLeft w:val="0"/>
                  <w:marRight w:val="0"/>
                  <w:marTop w:val="0"/>
                  <w:marBottom w:val="0"/>
                  <w:divBdr>
                    <w:top w:val="none" w:sz="0" w:space="0" w:color="auto"/>
                    <w:left w:val="none" w:sz="0" w:space="0" w:color="auto"/>
                    <w:bottom w:val="none" w:sz="0" w:space="0" w:color="auto"/>
                    <w:right w:val="none" w:sz="0" w:space="0" w:color="auto"/>
                  </w:divBdr>
                  <w:divsChild>
                    <w:div w:id="5882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4926">
      <w:bodyDiv w:val="1"/>
      <w:marLeft w:val="0"/>
      <w:marRight w:val="0"/>
      <w:marTop w:val="0"/>
      <w:marBottom w:val="0"/>
      <w:divBdr>
        <w:top w:val="none" w:sz="0" w:space="0" w:color="auto"/>
        <w:left w:val="none" w:sz="0" w:space="0" w:color="auto"/>
        <w:bottom w:val="none" w:sz="0" w:space="0" w:color="auto"/>
        <w:right w:val="none" w:sz="0" w:space="0" w:color="auto"/>
      </w:divBdr>
      <w:divsChild>
        <w:div w:id="1666931534">
          <w:marLeft w:val="0"/>
          <w:marRight w:val="0"/>
          <w:marTop w:val="0"/>
          <w:marBottom w:val="0"/>
          <w:divBdr>
            <w:top w:val="none" w:sz="0" w:space="0" w:color="auto"/>
            <w:left w:val="none" w:sz="0" w:space="0" w:color="auto"/>
            <w:bottom w:val="none" w:sz="0" w:space="0" w:color="auto"/>
            <w:right w:val="none" w:sz="0" w:space="0" w:color="auto"/>
          </w:divBdr>
        </w:div>
      </w:divsChild>
    </w:div>
    <w:div w:id="1799101465">
      <w:bodyDiv w:val="1"/>
      <w:marLeft w:val="0"/>
      <w:marRight w:val="0"/>
      <w:marTop w:val="0"/>
      <w:marBottom w:val="0"/>
      <w:divBdr>
        <w:top w:val="none" w:sz="0" w:space="0" w:color="auto"/>
        <w:left w:val="none" w:sz="0" w:space="0" w:color="auto"/>
        <w:bottom w:val="none" w:sz="0" w:space="0" w:color="auto"/>
        <w:right w:val="none" w:sz="0" w:space="0" w:color="auto"/>
      </w:divBdr>
      <w:divsChild>
        <w:div w:id="1406295329">
          <w:marLeft w:val="0"/>
          <w:marRight w:val="0"/>
          <w:marTop w:val="0"/>
          <w:marBottom w:val="0"/>
          <w:divBdr>
            <w:top w:val="single" w:sz="2" w:space="0" w:color="AAAAAA"/>
            <w:left w:val="single" w:sz="6" w:space="8" w:color="AAAAAA"/>
            <w:bottom w:val="single" w:sz="2" w:space="0" w:color="AAAAAA"/>
            <w:right w:val="single" w:sz="6" w:space="8" w:color="AAAAAA"/>
          </w:divBdr>
          <w:divsChild>
            <w:div w:id="684096596">
              <w:marLeft w:val="0"/>
              <w:marRight w:val="0"/>
              <w:marTop w:val="0"/>
              <w:marBottom w:val="0"/>
              <w:divBdr>
                <w:top w:val="none" w:sz="0" w:space="0" w:color="auto"/>
                <w:left w:val="none" w:sz="0" w:space="0" w:color="auto"/>
                <w:bottom w:val="none" w:sz="0" w:space="0" w:color="auto"/>
                <w:right w:val="none" w:sz="0" w:space="0" w:color="auto"/>
              </w:divBdr>
              <w:divsChild>
                <w:div w:id="1113982243">
                  <w:marLeft w:val="0"/>
                  <w:marRight w:val="0"/>
                  <w:marTop w:val="0"/>
                  <w:marBottom w:val="0"/>
                  <w:divBdr>
                    <w:top w:val="none" w:sz="0" w:space="0" w:color="auto"/>
                    <w:left w:val="none" w:sz="0" w:space="0" w:color="auto"/>
                    <w:bottom w:val="none" w:sz="0" w:space="0" w:color="auto"/>
                    <w:right w:val="none" w:sz="0" w:space="0" w:color="auto"/>
                  </w:divBdr>
                  <w:divsChild>
                    <w:div w:id="792868583">
                      <w:marLeft w:val="0"/>
                      <w:marRight w:val="2550"/>
                      <w:marTop w:val="0"/>
                      <w:marBottom w:val="48"/>
                      <w:divBdr>
                        <w:top w:val="none" w:sz="0" w:space="0" w:color="auto"/>
                        <w:left w:val="none" w:sz="0" w:space="0" w:color="auto"/>
                        <w:bottom w:val="none" w:sz="0" w:space="0" w:color="auto"/>
                        <w:right w:val="none" w:sz="0" w:space="0" w:color="auto"/>
                      </w:divBdr>
                      <w:divsChild>
                        <w:div w:id="1601832468">
                          <w:marLeft w:val="0"/>
                          <w:marRight w:val="0"/>
                          <w:marTop w:val="0"/>
                          <w:marBottom w:val="48"/>
                          <w:divBdr>
                            <w:top w:val="none" w:sz="0" w:space="0" w:color="auto"/>
                            <w:left w:val="none" w:sz="0" w:space="0" w:color="auto"/>
                            <w:bottom w:val="none" w:sz="0" w:space="0" w:color="auto"/>
                            <w:right w:val="none" w:sz="0" w:space="0" w:color="auto"/>
                          </w:divBdr>
                          <w:divsChild>
                            <w:div w:id="21289631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8289">
      <w:bodyDiv w:val="1"/>
      <w:marLeft w:val="0"/>
      <w:marRight w:val="0"/>
      <w:marTop w:val="0"/>
      <w:marBottom w:val="0"/>
      <w:divBdr>
        <w:top w:val="none" w:sz="0" w:space="0" w:color="auto"/>
        <w:left w:val="none" w:sz="0" w:space="0" w:color="auto"/>
        <w:bottom w:val="none" w:sz="0" w:space="0" w:color="auto"/>
        <w:right w:val="none" w:sz="0" w:space="0" w:color="auto"/>
      </w:divBdr>
      <w:divsChild>
        <w:div w:id="829097587">
          <w:marLeft w:val="0"/>
          <w:marRight w:val="0"/>
          <w:marTop w:val="0"/>
          <w:marBottom w:val="0"/>
          <w:divBdr>
            <w:top w:val="none" w:sz="0" w:space="0" w:color="auto"/>
            <w:left w:val="none" w:sz="0" w:space="0" w:color="auto"/>
            <w:bottom w:val="none" w:sz="0" w:space="0" w:color="auto"/>
            <w:right w:val="none" w:sz="0" w:space="0" w:color="auto"/>
          </w:divBdr>
          <w:divsChild>
            <w:div w:id="925461813">
              <w:marLeft w:val="0"/>
              <w:marRight w:val="0"/>
              <w:marTop w:val="0"/>
              <w:marBottom w:val="0"/>
              <w:divBdr>
                <w:top w:val="none" w:sz="0" w:space="0" w:color="auto"/>
                <w:left w:val="none" w:sz="0" w:space="0" w:color="auto"/>
                <w:bottom w:val="none" w:sz="0" w:space="0" w:color="auto"/>
                <w:right w:val="none" w:sz="0" w:space="0" w:color="auto"/>
              </w:divBdr>
              <w:divsChild>
                <w:div w:id="1941595922">
                  <w:marLeft w:val="0"/>
                  <w:marRight w:val="0"/>
                  <w:marTop w:val="0"/>
                  <w:marBottom w:val="0"/>
                  <w:divBdr>
                    <w:top w:val="none" w:sz="0" w:space="0" w:color="auto"/>
                    <w:left w:val="none" w:sz="0" w:space="0" w:color="auto"/>
                    <w:bottom w:val="none" w:sz="0" w:space="0" w:color="auto"/>
                    <w:right w:val="none" w:sz="0" w:space="0" w:color="auto"/>
                  </w:divBdr>
                  <w:divsChild>
                    <w:div w:id="955671178">
                      <w:marLeft w:val="0"/>
                      <w:marRight w:val="0"/>
                      <w:marTop w:val="0"/>
                      <w:marBottom w:val="0"/>
                      <w:divBdr>
                        <w:top w:val="none" w:sz="0" w:space="0" w:color="auto"/>
                        <w:left w:val="none" w:sz="0" w:space="0" w:color="auto"/>
                        <w:bottom w:val="none" w:sz="0" w:space="0" w:color="auto"/>
                        <w:right w:val="none" w:sz="0" w:space="0" w:color="auto"/>
                      </w:divBdr>
                      <w:divsChild>
                        <w:div w:id="713890702">
                          <w:marLeft w:val="0"/>
                          <w:marRight w:val="0"/>
                          <w:marTop w:val="0"/>
                          <w:marBottom w:val="0"/>
                          <w:divBdr>
                            <w:top w:val="none" w:sz="0" w:space="0" w:color="auto"/>
                            <w:left w:val="none" w:sz="0" w:space="0" w:color="auto"/>
                            <w:bottom w:val="none" w:sz="0" w:space="0" w:color="auto"/>
                            <w:right w:val="none" w:sz="0" w:space="0" w:color="auto"/>
                          </w:divBdr>
                          <w:divsChild>
                            <w:div w:id="1938975649">
                              <w:marLeft w:val="570"/>
                              <w:marRight w:val="720"/>
                              <w:marTop w:val="120"/>
                              <w:marBottom w:val="120"/>
                              <w:divBdr>
                                <w:top w:val="none" w:sz="0" w:space="0" w:color="auto"/>
                                <w:left w:val="none" w:sz="0" w:space="0" w:color="auto"/>
                                <w:bottom w:val="none" w:sz="0" w:space="0" w:color="auto"/>
                                <w:right w:val="none" w:sz="0" w:space="0" w:color="auto"/>
                              </w:divBdr>
                              <w:divsChild>
                                <w:div w:id="4020717">
                                  <w:marLeft w:val="0"/>
                                  <w:marRight w:val="0"/>
                                  <w:marTop w:val="0"/>
                                  <w:marBottom w:val="0"/>
                                  <w:divBdr>
                                    <w:top w:val="none" w:sz="0" w:space="0" w:color="auto"/>
                                    <w:left w:val="none" w:sz="0" w:space="0" w:color="auto"/>
                                    <w:bottom w:val="none" w:sz="0" w:space="0" w:color="auto"/>
                                    <w:right w:val="none" w:sz="0" w:space="0" w:color="auto"/>
                                  </w:divBdr>
                                  <w:divsChild>
                                    <w:div w:id="1516067549">
                                      <w:marLeft w:val="0"/>
                                      <w:marRight w:val="0"/>
                                      <w:marTop w:val="0"/>
                                      <w:marBottom w:val="0"/>
                                      <w:divBdr>
                                        <w:top w:val="none" w:sz="0" w:space="0" w:color="auto"/>
                                        <w:left w:val="none" w:sz="0" w:space="0" w:color="auto"/>
                                        <w:bottom w:val="none" w:sz="0" w:space="0" w:color="auto"/>
                                        <w:right w:val="none" w:sz="0" w:space="0" w:color="auto"/>
                                      </w:divBdr>
                                      <w:divsChild>
                                        <w:div w:id="932207598">
                                          <w:marLeft w:val="0"/>
                                          <w:marRight w:val="0"/>
                                          <w:marTop w:val="0"/>
                                          <w:marBottom w:val="0"/>
                                          <w:divBdr>
                                            <w:top w:val="none" w:sz="0" w:space="0" w:color="auto"/>
                                            <w:left w:val="none" w:sz="0" w:space="0" w:color="auto"/>
                                            <w:bottom w:val="none" w:sz="0" w:space="0" w:color="auto"/>
                                            <w:right w:val="none" w:sz="0" w:space="0" w:color="auto"/>
                                          </w:divBdr>
                                        </w:div>
                                        <w:div w:id="144786262">
                                          <w:marLeft w:val="0"/>
                                          <w:marRight w:val="0"/>
                                          <w:marTop w:val="0"/>
                                          <w:marBottom w:val="150"/>
                                          <w:divBdr>
                                            <w:top w:val="none" w:sz="0" w:space="0" w:color="auto"/>
                                            <w:left w:val="none" w:sz="0" w:space="0" w:color="auto"/>
                                            <w:bottom w:val="none" w:sz="0" w:space="0" w:color="auto"/>
                                            <w:right w:val="none" w:sz="0" w:space="0" w:color="auto"/>
                                          </w:divBdr>
                                          <w:divsChild>
                                            <w:div w:id="1735933753">
                                              <w:marLeft w:val="0"/>
                                              <w:marRight w:val="0"/>
                                              <w:marTop w:val="240"/>
                                              <w:marBottom w:val="240"/>
                                              <w:divBdr>
                                                <w:top w:val="single" w:sz="6" w:space="6" w:color="F2F2F2"/>
                                                <w:left w:val="none" w:sz="0" w:space="0" w:color="auto"/>
                                                <w:bottom w:val="single" w:sz="6" w:space="6" w:color="F2F2F2"/>
                                                <w:right w:val="none" w:sz="0" w:space="0" w:color="auto"/>
                                              </w:divBdr>
                                            </w:div>
                                            <w:div w:id="328951912">
                                              <w:marLeft w:val="0"/>
                                              <w:marRight w:val="0"/>
                                              <w:marTop w:val="0"/>
                                              <w:marBottom w:val="0"/>
                                              <w:divBdr>
                                                <w:top w:val="none" w:sz="0" w:space="0" w:color="auto"/>
                                                <w:left w:val="none" w:sz="0" w:space="0" w:color="auto"/>
                                                <w:bottom w:val="none" w:sz="0" w:space="0" w:color="auto"/>
                                                <w:right w:val="none" w:sz="0" w:space="0" w:color="auto"/>
                                              </w:divBdr>
                                              <w:divsChild>
                                                <w:div w:id="2834626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492123">
      <w:bodyDiv w:val="1"/>
      <w:marLeft w:val="0"/>
      <w:marRight w:val="0"/>
      <w:marTop w:val="0"/>
      <w:marBottom w:val="0"/>
      <w:divBdr>
        <w:top w:val="none" w:sz="0" w:space="0" w:color="auto"/>
        <w:left w:val="none" w:sz="0" w:space="0" w:color="auto"/>
        <w:bottom w:val="none" w:sz="0" w:space="0" w:color="auto"/>
        <w:right w:val="none" w:sz="0" w:space="0" w:color="auto"/>
      </w:divBdr>
    </w:div>
    <w:div w:id="1799833320">
      <w:bodyDiv w:val="1"/>
      <w:marLeft w:val="0"/>
      <w:marRight w:val="0"/>
      <w:marTop w:val="0"/>
      <w:marBottom w:val="0"/>
      <w:divBdr>
        <w:top w:val="none" w:sz="0" w:space="0" w:color="auto"/>
        <w:left w:val="none" w:sz="0" w:space="0" w:color="auto"/>
        <w:bottom w:val="none" w:sz="0" w:space="0" w:color="auto"/>
        <w:right w:val="none" w:sz="0" w:space="0" w:color="auto"/>
      </w:divBdr>
      <w:divsChild>
        <w:div w:id="1248003042">
          <w:marLeft w:val="0"/>
          <w:marRight w:val="0"/>
          <w:marTop w:val="0"/>
          <w:marBottom w:val="0"/>
          <w:divBdr>
            <w:top w:val="none" w:sz="0" w:space="0" w:color="auto"/>
            <w:left w:val="none" w:sz="0" w:space="0" w:color="auto"/>
            <w:bottom w:val="none" w:sz="0" w:space="0" w:color="auto"/>
            <w:right w:val="none" w:sz="0" w:space="0" w:color="auto"/>
          </w:divBdr>
          <w:divsChild>
            <w:div w:id="1628270522">
              <w:marLeft w:val="0"/>
              <w:marRight w:val="0"/>
              <w:marTop w:val="0"/>
              <w:marBottom w:val="0"/>
              <w:divBdr>
                <w:top w:val="none" w:sz="0" w:space="0" w:color="auto"/>
                <w:left w:val="none" w:sz="0" w:space="0" w:color="auto"/>
                <w:bottom w:val="none" w:sz="0" w:space="0" w:color="auto"/>
                <w:right w:val="none" w:sz="0" w:space="0" w:color="auto"/>
              </w:divBdr>
              <w:divsChild>
                <w:div w:id="295567442">
                  <w:marLeft w:val="0"/>
                  <w:marRight w:val="0"/>
                  <w:marTop w:val="0"/>
                  <w:marBottom w:val="0"/>
                  <w:divBdr>
                    <w:top w:val="none" w:sz="0" w:space="0" w:color="auto"/>
                    <w:left w:val="none" w:sz="0" w:space="0" w:color="auto"/>
                    <w:bottom w:val="none" w:sz="0" w:space="0" w:color="auto"/>
                    <w:right w:val="none" w:sz="0" w:space="0" w:color="auto"/>
                  </w:divBdr>
                  <w:divsChild>
                    <w:div w:id="769473457">
                      <w:marLeft w:val="0"/>
                      <w:marRight w:val="0"/>
                      <w:marTop w:val="0"/>
                      <w:marBottom w:val="0"/>
                      <w:divBdr>
                        <w:top w:val="none" w:sz="0" w:space="0" w:color="auto"/>
                        <w:left w:val="none" w:sz="0" w:space="0" w:color="auto"/>
                        <w:bottom w:val="none" w:sz="0" w:space="0" w:color="auto"/>
                        <w:right w:val="none" w:sz="0" w:space="0" w:color="auto"/>
                      </w:divBdr>
                      <w:divsChild>
                        <w:div w:id="318309077">
                          <w:marLeft w:val="0"/>
                          <w:marRight w:val="0"/>
                          <w:marTop w:val="0"/>
                          <w:marBottom w:val="0"/>
                          <w:divBdr>
                            <w:top w:val="none" w:sz="0" w:space="0" w:color="auto"/>
                            <w:left w:val="none" w:sz="0" w:space="0" w:color="auto"/>
                            <w:bottom w:val="none" w:sz="0" w:space="0" w:color="auto"/>
                            <w:right w:val="none" w:sz="0" w:space="0" w:color="auto"/>
                          </w:divBdr>
                          <w:divsChild>
                            <w:div w:id="1856994904">
                              <w:marLeft w:val="0"/>
                              <w:marRight w:val="0"/>
                              <w:marTop w:val="0"/>
                              <w:marBottom w:val="0"/>
                              <w:divBdr>
                                <w:top w:val="none" w:sz="0" w:space="0" w:color="auto"/>
                                <w:left w:val="none" w:sz="0" w:space="0" w:color="auto"/>
                                <w:bottom w:val="none" w:sz="0" w:space="0" w:color="auto"/>
                                <w:right w:val="none" w:sz="0" w:space="0" w:color="auto"/>
                              </w:divBdr>
                              <w:divsChild>
                                <w:div w:id="312376748">
                                  <w:marLeft w:val="0"/>
                                  <w:marRight w:val="0"/>
                                  <w:marTop w:val="0"/>
                                  <w:marBottom w:val="0"/>
                                  <w:divBdr>
                                    <w:top w:val="none" w:sz="0" w:space="0" w:color="auto"/>
                                    <w:left w:val="none" w:sz="0" w:space="0" w:color="auto"/>
                                    <w:bottom w:val="none" w:sz="0" w:space="0" w:color="auto"/>
                                    <w:right w:val="none" w:sz="0" w:space="0" w:color="auto"/>
                                  </w:divBdr>
                                  <w:divsChild>
                                    <w:div w:id="1468737619">
                                      <w:marLeft w:val="0"/>
                                      <w:marRight w:val="0"/>
                                      <w:marTop w:val="0"/>
                                      <w:marBottom w:val="0"/>
                                      <w:divBdr>
                                        <w:top w:val="none" w:sz="0" w:space="0" w:color="auto"/>
                                        <w:left w:val="none" w:sz="0" w:space="0" w:color="auto"/>
                                        <w:bottom w:val="none" w:sz="0" w:space="0" w:color="auto"/>
                                        <w:right w:val="none" w:sz="0" w:space="0" w:color="auto"/>
                                      </w:divBdr>
                                      <w:divsChild>
                                        <w:div w:id="174079186">
                                          <w:marLeft w:val="0"/>
                                          <w:marRight w:val="0"/>
                                          <w:marTop w:val="0"/>
                                          <w:marBottom w:val="0"/>
                                          <w:divBdr>
                                            <w:top w:val="none" w:sz="0" w:space="0" w:color="auto"/>
                                            <w:left w:val="none" w:sz="0" w:space="0" w:color="auto"/>
                                            <w:bottom w:val="none" w:sz="0" w:space="0" w:color="auto"/>
                                            <w:right w:val="none" w:sz="0" w:space="0" w:color="auto"/>
                                          </w:divBdr>
                                          <w:divsChild>
                                            <w:div w:id="1648197244">
                                              <w:marLeft w:val="0"/>
                                              <w:marRight w:val="0"/>
                                              <w:marTop w:val="0"/>
                                              <w:marBottom w:val="0"/>
                                              <w:divBdr>
                                                <w:top w:val="none" w:sz="0" w:space="0" w:color="auto"/>
                                                <w:left w:val="none" w:sz="0" w:space="0" w:color="auto"/>
                                                <w:bottom w:val="none" w:sz="0" w:space="0" w:color="auto"/>
                                                <w:right w:val="none" w:sz="0" w:space="0" w:color="auto"/>
                                              </w:divBdr>
                                              <w:divsChild>
                                                <w:div w:id="1528134784">
                                                  <w:marLeft w:val="0"/>
                                                  <w:marRight w:val="0"/>
                                                  <w:marTop w:val="0"/>
                                                  <w:marBottom w:val="0"/>
                                                  <w:divBdr>
                                                    <w:top w:val="none" w:sz="0" w:space="0" w:color="auto"/>
                                                    <w:left w:val="none" w:sz="0" w:space="0" w:color="auto"/>
                                                    <w:bottom w:val="none" w:sz="0" w:space="0" w:color="auto"/>
                                                    <w:right w:val="none" w:sz="0" w:space="0" w:color="auto"/>
                                                  </w:divBdr>
                                                  <w:divsChild>
                                                    <w:div w:id="876895448">
                                                      <w:marLeft w:val="0"/>
                                                      <w:marRight w:val="0"/>
                                                      <w:marTop w:val="0"/>
                                                      <w:marBottom w:val="0"/>
                                                      <w:divBdr>
                                                        <w:top w:val="none" w:sz="0" w:space="0" w:color="auto"/>
                                                        <w:left w:val="none" w:sz="0" w:space="0" w:color="auto"/>
                                                        <w:bottom w:val="none" w:sz="0" w:space="0" w:color="auto"/>
                                                        <w:right w:val="none" w:sz="0" w:space="0" w:color="auto"/>
                                                      </w:divBdr>
                                                      <w:divsChild>
                                                        <w:div w:id="1314993139">
                                                          <w:marLeft w:val="0"/>
                                                          <w:marRight w:val="0"/>
                                                          <w:marTop w:val="0"/>
                                                          <w:marBottom w:val="0"/>
                                                          <w:divBdr>
                                                            <w:top w:val="none" w:sz="0" w:space="0" w:color="auto"/>
                                                            <w:left w:val="none" w:sz="0" w:space="0" w:color="auto"/>
                                                            <w:bottom w:val="none" w:sz="0" w:space="0" w:color="auto"/>
                                                            <w:right w:val="none" w:sz="0" w:space="0" w:color="auto"/>
                                                          </w:divBdr>
                                                        </w:div>
                                                        <w:div w:id="984160566">
                                                          <w:marLeft w:val="0"/>
                                                          <w:marRight w:val="0"/>
                                                          <w:marTop w:val="0"/>
                                                          <w:marBottom w:val="0"/>
                                                          <w:divBdr>
                                                            <w:top w:val="none" w:sz="0" w:space="0" w:color="auto"/>
                                                            <w:left w:val="none" w:sz="0" w:space="0" w:color="auto"/>
                                                            <w:bottom w:val="none" w:sz="0" w:space="0" w:color="auto"/>
                                                            <w:right w:val="none" w:sz="0" w:space="0" w:color="auto"/>
                                                          </w:divBdr>
                                                          <w:divsChild>
                                                            <w:div w:id="7547847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0300845">
      <w:bodyDiv w:val="1"/>
      <w:marLeft w:val="0"/>
      <w:marRight w:val="0"/>
      <w:marTop w:val="0"/>
      <w:marBottom w:val="0"/>
      <w:divBdr>
        <w:top w:val="none" w:sz="0" w:space="0" w:color="auto"/>
        <w:left w:val="none" w:sz="0" w:space="0" w:color="auto"/>
        <w:bottom w:val="none" w:sz="0" w:space="0" w:color="auto"/>
        <w:right w:val="none" w:sz="0" w:space="0" w:color="auto"/>
      </w:divBdr>
      <w:divsChild>
        <w:div w:id="669452888">
          <w:marLeft w:val="0"/>
          <w:marRight w:val="0"/>
          <w:marTop w:val="150"/>
          <w:marBottom w:val="0"/>
          <w:divBdr>
            <w:top w:val="none" w:sz="0" w:space="0" w:color="auto"/>
            <w:left w:val="none" w:sz="0" w:space="0" w:color="auto"/>
            <w:bottom w:val="none" w:sz="0" w:space="0" w:color="auto"/>
            <w:right w:val="none" w:sz="0" w:space="0" w:color="auto"/>
          </w:divBdr>
          <w:divsChild>
            <w:div w:id="1887519319">
              <w:marLeft w:val="2"/>
              <w:marRight w:val="2"/>
              <w:marTop w:val="0"/>
              <w:marBottom w:val="0"/>
              <w:divBdr>
                <w:top w:val="none" w:sz="0" w:space="0" w:color="auto"/>
                <w:left w:val="none" w:sz="0" w:space="0" w:color="auto"/>
                <w:bottom w:val="none" w:sz="0" w:space="0" w:color="auto"/>
                <w:right w:val="none" w:sz="0" w:space="0" w:color="auto"/>
              </w:divBdr>
              <w:divsChild>
                <w:div w:id="447747797">
                  <w:marLeft w:val="0"/>
                  <w:marRight w:val="0"/>
                  <w:marTop w:val="0"/>
                  <w:marBottom w:val="0"/>
                  <w:divBdr>
                    <w:top w:val="none" w:sz="0" w:space="0" w:color="auto"/>
                    <w:left w:val="none" w:sz="0" w:space="0" w:color="auto"/>
                    <w:bottom w:val="none" w:sz="0" w:space="0" w:color="auto"/>
                    <w:right w:val="none" w:sz="0" w:space="0" w:color="auto"/>
                  </w:divBdr>
                  <w:divsChild>
                    <w:div w:id="1218975596">
                      <w:marLeft w:val="0"/>
                      <w:marRight w:val="0"/>
                      <w:marTop w:val="0"/>
                      <w:marBottom w:val="0"/>
                      <w:divBdr>
                        <w:top w:val="none" w:sz="0" w:space="0" w:color="auto"/>
                        <w:left w:val="none" w:sz="0" w:space="0" w:color="auto"/>
                        <w:bottom w:val="none" w:sz="0" w:space="0" w:color="auto"/>
                        <w:right w:val="none" w:sz="0" w:space="0" w:color="auto"/>
                      </w:divBdr>
                      <w:divsChild>
                        <w:div w:id="752162763">
                          <w:marLeft w:val="0"/>
                          <w:marRight w:val="0"/>
                          <w:marTop w:val="0"/>
                          <w:marBottom w:val="0"/>
                          <w:divBdr>
                            <w:top w:val="none" w:sz="0" w:space="0" w:color="auto"/>
                            <w:left w:val="none" w:sz="0" w:space="0" w:color="auto"/>
                            <w:bottom w:val="none" w:sz="0" w:space="0" w:color="auto"/>
                            <w:right w:val="none" w:sz="0" w:space="0" w:color="auto"/>
                          </w:divBdr>
                          <w:divsChild>
                            <w:div w:id="1092123064">
                              <w:marLeft w:val="0"/>
                              <w:marRight w:val="0"/>
                              <w:marTop w:val="0"/>
                              <w:marBottom w:val="0"/>
                              <w:divBdr>
                                <w:top w:val="none" w:sz="0" w:space="0" w:color="auto"/>
                                <w:left w:val="none" w:sz="0" w:space="0" w:color="auto"/>
                                <w:bottom w:val="none" w:sz="0" w:space="0" w:color="auto"/>
                                <w:right w:val="none" w:sz="0" w:space="0" w:color="auto"/>
                              </w:divBdr>
                              <w:divsChild>
                                <w:div w:id="131875786">
                                  <w:marLeft w:val="0"/>
                                  <w:marRight w:val="0"/>
                                  <w:marTop w:val="0"/>
                                  <w:marBottom w:val="0"/>
                                  <w:divBdr>
                                    <w:top w:val="none" w:sz="0" w:space="0" w:color="auto"/>
                                    <w:left w:val="none" w:sz="0" w:space="0" w:color="auto"/>
                                    <w:bottom w:val="none" w:sz="0" w:space="0" w:color="auto"/>
                                    <w:right w:val="none" w:sz="0" w:space="0" w:color="auto"/>
                                  </w:divBdr>
                                  <w:divsChild>
                                    <w:div w:id="1360156525">
                                      <w:marLeft w:val="0"/>
                                      <w:marRight w:val="0"/>
                                      <w:marTop w:val="0"/>
                                      <w:marBottom w:val="0"/>
                                      <w:divBdr>
                                        <w:top w:val="none" w:sz="0" w:space="0" w:color="auto"/>
                                        <w:left w:val="none" w:sz="0" w:space="0" w:color="auto"/>
                                        <w:bottom w:val="none" w:sz="0" w:space="0" w:color="auto"/>
                                        <w:right w:val="none" w:sz="0" w:space="0" w:color="auto"/>
                                      </w:divBdr>
                                      <w:divsChild>
                                        <w:div w:id="644358502">
                                          <w:marLeft w:val="0"/>
                                          <w:marRight w:val="0"/>
                                          <w:marTop w:val="0"/>
                                          <w:marBottom w:val="0"/>
                                          <w:divBdr>
                                            <w:top w:val="none" w:sz="0" w:space="0" w:color="auto"/>
                                            <w:left w:val="none" w:sz="0" w:space="0" w:color="auto"/>
                                            <w:bottom w:val="none" w:sz="0" w:space="0" w:color="auto"/>
                                            <w:right w:val="none" w:sz="0" w:space="0" w:color="auto"/>
                                          </w:divBdr>
                                          <w:divsChild>
                                            <w:div w:id="1177579252">
                                              <w:marLeft w:val="0"/>
                                              <w:marRight w:val="0"/>
                                              <w:marTop w:val="0"/>
                                              <w:marBottom w:val="0"/>
                                              <w:divBdr>
                                                <w:top w:val="none" w:sz="0" w:space="0" w:color="auto"/>
                                                <w:left w:val="none" w:sz="0" w:space="0" w:color="auto"/>
                                                <w:bottom w:val="none" w:sz="0" w:space="0" w:color="auto"/>
                                                <w:right w:val="none" w:sz="0" w:space="0" w:color="auto"/>
                                              </w:divBdr>
                                              <w:divsChild>
                                                <w:div w:id="866062602">
                                                  <w:marLeft w:val="0"/>
                                                  <w:marRight w:val="0"/>
                                                  <w:marTop w:val="0"/>
                                                  <w:marBottom w:val="0"/>
                                                  <w:divBdr>
                                                    <w:top w:val="none" w:sz="0" w:space="0" w:color="auto"/>
                                                    <w:left w:val="none" w:sz="0" w:space="0" w:color="auto"/>
                                                    <w:bottom w:val="none" w:sz="0" w:space="0" w:color="auto"/>
                                                    <w:right w:val="none" w:sz="0" w:space="0" w:color="auto"/>
                                                  </w:divBdr>
                                                </w:div>
                                              </w:divsChild>
                                            </w:div>
                                            <w:div w:id="551383836">
                                              <w:marLeft w:val="0"/>
                                              <w:marRight w:val="0"/>
                                              <w:marTop w:val="0"/>
                                              <w:marBottom w:val="0"/>
                                              <w:divBdr>
                                                <w:top w:val="none" w:sz="0" w:space="0" w:color="auto"/>
                                                <w:left w:val="none" w:sz="0" w:space="0" w:color="auto"/>
                                                <w:bottom w:val="none" w:sz="0" w:space="0" w:color="auto"/>
                                                <w:right w:val="none" w:sz="0" w:space="0" w:color="auto"/>
                                              </w:divBdr>
                                              <w:divsChild>
                                                <w:div w:id="763842603">
                                                  <w:marLeft w:val="0"/>
                                                  <w:marRight w:val="0"/>
                                                  <w:marTop w:val="0"/>
                                                  <w:marBottom w:val="0"/>
                                                  <w:divBdr>
                                                    <w:top w:val="none" w:sz="0" w:space="0" w:color="auto"/>
                                                    <w:left w:val="none" w:sz="0" w:space="0" w:color="auto"/>
                                                    <w:bottom w:val="none" w:sz="0" w:space="0" w:color="auto"/>
                                                    <w:right w:val="none" w:sz="0" w:space="0" w:color="auto"/>
                                                  </w:divBdr>
                                                </w:div>
                                              </w:divsChild>
                                            </w:div>
                                            <w:div w:id="218058592">
                                              <w:marLeft w:val="0"/>
                                              <w:marRight w:val="0"/>
                                              <w:marTop w:val="0"/>
                                              <w:marBottom w:val="0"/>
                                              <w:divBdr>
                                                <w:top w:val="none" w:sz="0" w:space="0" w:color="auto"/>
                                                <w:left w:val="none" w:sz="0" w:space="0" w:color="auto"/>
                                                <w:bottom w:val="none" w:sz="0" w:space="0" w:color="auto"/>
                                                <w:right w:val="none" w:sz="0" w:space="0" w:color="auto"/>
                                              </w:divBdr>
                                              <w:divsChild>
                                                <w:div w:id="555049180">
                                                  <w:marLeft w:val="0"/>
                                                  <w:marRight w:val="0"/>
                                                  <w:marTop w:val="0"/>
                                                  <w:marBottom w:val="0"/>
                                                  <w:divBdr>
                                                    <w:top w:val="none" w:sz="0" w:space="0" w:color="auto"/>
                                                    <w:left w:val="none" w:sz="0" w:space="0" w:color="auto"/>
                                                    <w:bottom w:val="none" w:sz="0" w:space="0" w:color="auto"/>
                                                    <w:right w:val="none" w:sz="0" w:space="0" w:color="auto"/>
                                                  </w:divBdr>
                                                </w:div>
                                              </w:divsChild>
                                            </w:div>
                                            <w:div w:id="1681857545">
                                              <w:marLeft w:val="0"/>
                                              <w:marRight w:val="0"/>
                                              <w:marTop w:val="0"/>
                                              <w:marBottom w:val="0"/>
                                              <w:divBdr>
                                                <w:top w:val="none" w:sz="0" w:space="0" w:color="auto"/>
                                                <w:left w:val="none" w:sz="0" w:space="0" w:color="auto"/>
                                                <w:bottom w:val="none" w:sz="0" w:space="0" w:color="auto"/>
                                                <w:right w:val="none" w:sz="0" w:space="0" w:color="auto"/>
                                              </w:divBdr>
                                              <w:divsChild>
                                                <w:div w:id="7509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415205">
      <w:bodyDiv w:val="1"/>
      <w:marLeft w:val="0"/>
      <w:marRight w:val="0"/>
      <w:marTop w:val="0"/>
      <w:marBottom w:val="0"/>
      <w:divBdr>
        <w:top w:val="none" w:sz="0" w:space="0" w:color="auto"/>
        <w:left w:val="none" w:sz="0" w:space="0" w:color="auto"/>
        <w:bottom w:val="none" w:sz="0" w:space="0" w:color="auto"/>
        <w:right w:val="none" w:sz="0" w:space="0" w:color="auto"/>
      </w:divBdr>
      <w:divsChild>
        <w:div w:id="1404186059">
          <w:marLeft w:val="0"/>
          <w:marRight w:val="0"/>
          <w:marTop w:val="0"/>
          <w:marBottom w:val="0"/>
          <w:divBdr>
            <w:top w:val="none" w:sz="0" w:space="0" w:color="auto"/>
            <w:left w:val="none" w:sz="0" w:space="0" w:color="auto"/>
            <w:bottom w:val="none" w:sz="0" w:space="0" w:color="auto"/>
            <w:right w:val="none" w:sz="0" w:space="0" w:color="auto"/>
          </w:divBdr>
          <w:divsChild>
            <w:div w:id="2014723802">
              <w:marLeft w:val="0"/>
              <w:marRight w:val="0"/>
              <w:marTop w:val="150"/>
              <w:marBottom w:val="0"/>
              <w:divBdr>
                <w:top w:val="none" w:sz="0" w:space="0" w:color="auto"/>
                <w:left w:val="none" w:sz="0" w:space="0" w:color="auto"/>
                <w:bottom w:val="none" w:sz="0" w:space="0" w:color="auto"/>
                <w:right w:val="none" w:sz="0" w:space="0" w:color="auto"/>
              </w:divBdr>
              <w:divsChild>
                <w:div w:id="1326319293">
                  <w:marLeft w:val="0"/>
                  <w:marRight w:val="0"/>
                  <w:marTop w:val="0"/>
                  <w:marBottom w:val="0"/>
                  <w:divBdr>
                    <w:top w:val="none" w:sz="0" w:space="0" w:color="auto"/>
                    <w:left w:val="none" w:sz="0" w:space="0" w:color="auto"/>
                    <w:bottom w:val="none" w:sz="0" w:space="0" w:color="auto"/>
                    <w:right w:val="none" w:sz="0" w:space="0" w:color="auto"/>
                  </w:divBdr>
                  <w:divsChild>
                    <w:div w:id="1206722681">
                      <w:marLeft w:val="0"/>
                      <w:marRight w:val="0"/>
                      <w:marTop w:val="0"/>
                      <w:marBottom w:val="0"/>
                      <w:divBdr>
                        <w:top w:val="none" w:sz="0" w:space="0" w:color="auto"/>
                        <w:left w:val="none" w:sz="0" w:space="0" w:color="auto"/>
                        <w:bottom w:val="none" w:sz="0" w:space="0" w:color="auto"/>
                        <w:right w:val="none" w:sz="0" w:space="0" w:color="auto"/>
                      </w:divBdr>
                      <w:divsChild>
                        <w:div w:id="748430307">
                          <w:marLeft w:val="0"/>
                          <w:marRight w:val="0"/>
                          <w:marTop w:val="0"/>
                          <w:marBottom w:val="0"/>
                          <w:divBdr>
                            <w:top w:val="none" w:sz="0" w:space="0" w:color="auto"/>
                            <w:left w:val="none" w:sz="0" w:space="0" w:color="auto"/>
                            <w:bottom w:val="none" w:sz="0" w:space="0" w:color="auto"/>
                            <w:right w:val="none" w:sz="0" w:space="0" w:color="auto"/>
                          </w:divBdr>
                          <w:divsChild>
                            <w:div w:id="1697997819">
                              <w:marLeft w:val="0"/>
                              <w:marRight w:val="0"/>
                              <w:marTop w:val="0"/>
                              <w:marBottom w:val="0"/>
                              <w:divBdr>
                                <w:top w:val="none" w:sz="0" w:space="0" w:color="auto"/>
                                <w:left w:val="none" w:sz="0" w:space="0" w:color="auto"/>
                                <w:bottom w:val="none" w:sz="0" w:space="0" w:color="auto"/>
                                <w:right w:val="none" w:sz="0" w:space="0" w:color="auto"/>
                              </w:divBdr>
                              <w:divsChild>
                                <w:div w:id="10455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458809">
      <w:bodyDiv w:val="1"/>
      <w:marLeft w:val="0"/>
      <w:marRight w:val="0"/>
      <w:marTop w:val="0"/>
      <w:marBottom w:val="0"/>
      <w:divBdr>
        <w:top w:val="none" w:sz="0" w:space="0" w:color="auto"/>
        <w:left w:val="none" w:sz="0" w:space="0" w:color="auto"/>
        <w:bottom w:val="none" w:sz="0" w:space="0" w:color="auto"/>
        <w:right w:val="none" w:sz="0" w:space="0" w:color="auto"/>
      </w:divBdr>
      <w:divsChild>
        <w:div w:id="574164505">
          <w:marLeft w:val="0"/>
          <w:marRight w:val="0"/>
          <w:marTop w:val="0"/>
          <w:marBottom w:val="0"/>
          <w:divBdr>
            <w:top w:val="none" w:sz="0" w:space="0" w:color="auto"/>
            <w:left w:val="none" w:sz="0" w:space="0" w:color="auto"/>
            <w:bottom w:val="none" w:sz="0" w:space="0" w:color="auto"/>
            <w:right w:val="none" w:sz="0" w:space="0" w:color="auto"/>
          </w:divBdr>
          <w:divsChild>
            <w:div w:id="330915941">
              <w:marLeft w:val="0"/>
              <w:marRight w:val="0"/>
              <w:marTop w:val="0"/>
              <w:marBottom w:val="0"/>
              <w:divBdr>
                <w:top w:val="none" w:sz="0" w:space="0" w:color="auto"/>
                <w:left w:val="none" w:sz="0" w:space="0" w:color="auto"/>
                <w:bottom w:val="none" w:sz="0" w:space="0" w:color="auto"/>
                <w:right w:val="none" w:sz="0" w:space="0" w:color="auto"/>
              </w:divBdr>
              <w:divsChild>
                <w:div w:id="1442605240">
                  <w:marLeft w:val="0"/>
                  <w:marRight w:val="0"/>
                  <w:marTop w:val="100"/>
                  <w:marBottom w:val="100"/>
                  <w:divBdr>
                    <w:top w:val="none" w:sz="0" w:space="0" w:color="auto"/>
                    <w:left w:val="none" w:sz="0" w:space="0" w:color="auto"/>
                    <w:bottom w:val="none" w:sz="0" w:space="0" w:color="auto"/>
                    <w:right w:val="none" w:sz="0" w:space="0" w:color="auto"/>
                  </w:divBdr>
                  <w:divsChild>
                    <w:div w:id="883105603">
                      <w:marLeft w:val="0"/>
                      <w:marRight w:val="0"/>
                      <w:marTop w:val="0"/>
                      <w:marBottom w:val="0"/>
                      <w:divBdr>
                        <w:top w:val="none" w:sz="0" w:space="0" w:color="auto"/>
                        <w:left w:val="none" w:sz="0" w:space="0" w:color="auto"/>
                        <w:bottom w:val="none" w:sz="0" w:space="0" w:color="auto"/>
                        <w:right w:val="none" w:sz="0" w:space="0" w:color="auto"/>
                      </w:divBdr>
                      <w:divsChild>
                        <w:div w:id="1017273255">
                          <w:marLeft w:val="0"/>
                          <w:marRight w:val="0"/>
                          <w:marTop w:val="0"/>
                          <w:marBottom w:val="0"/>
                          <w:divBdr>
                            <w:top w:val="none" w:sz="0" w:space="0" w:color="auto"/>
                            <w:left w:val="none" w:sz="0" w:space="0" w:color="auto"/>
                            <w:bottom w:val="none" w:sz="0" w:space="0" w:color="auto"/>
                            <w:right w:val="none" w:sz="0" w:space="0" w:color="auto"/>
                          </w:divBdr>
                          <w:divsChild>
                            <w:div w:id="69667962">
                              <w:marLeft w:val="0"/>
                              <w:marRight w:val="0"/>
                              <w:marTop w:val="0"/>
                              <w:marBottom w:val="0"/>
                              <w:divBdr>
                                <w:top w:val="none" w:sz="0" w:space="0" w:color="auto"/>
                                <w:left w:val="none" w:sz="0" w:space="0" w:color="auto"/>
                                <w:bottom w:val="none" w:sz="0" w:space="0" w:color="auto"/>
                                <w:right w:val="none" w:sz="0" w:space="0" w:color="auto"/>
                              </w:divBdr>
                              <w:divsChild>
                                <w:div w:id="199130875">
                                  <w:marLeft w:val="0"/>
                                  <w:marRight w:val="0"/>
                                  <w:marTop w:val="0"/>
                                  <w:marBottom w:val="0"/>
                                  <w:divBdr>
                                    <w:top w:val="none" w:sz="0" w:space="0" w:color="auto"/>
                                    <w:left w:val="none" w:sz="0" w:space="0" w:color="auto"/>
                                    <w:bottom w:val="none" w:sz="0" w:space="0" w:color="auto"/>
                                    <w:right w:val="none" w:sz="0" w:space="0" w:color="auto"/>
                                  </w:divBdr>
                                  <w:divsChild>
                                    <w:div w:id="7878186">
                                      <w:marLeft w:val="0"/>
                                      <w:marRight w:val="0"/>
                                      <w:marTop w:val="0"/>
                                      <w:marBottom w:val="0"/>
                                      <w:divBdr>
                                        <w:top w:val="none" w:sz="0" w:space="0" w:color="auto"/>
                                        <w:left w:val="none" w:sz="0" w:space="0" w:color="auto"/>
                                        <w:bottom w:val="none" w:sz="0" w:space="0" w:color="auto"/>
                                        <w:right w:val="none" w:sz="0" w:space="0" w:color="auto"/>
                                      </w:divBdr>
                                      <w:divsChild>
                                        <w:div w:id="1293441841">
                                          <w:marLeft w:val="0"/>
                                          <w:marRight w:val="0"/>
                                          <w:marTop w:val="0"/>
                                          <w:marBottom w:val="0"/>
                                          <w:divBdr>
                                            <w:top w:val="none" w:sz="0" w:space="0" w:color="auto"/>
                                            <w:left w:val="none" w:sz="0" w:space="0" w:color="auto"/>
                                            <w:bottom w:val="none" w:sz="0" w:space="0" w:color="auto"/>
                                            <w:right w:val="none" w:sz="0" w:space="0" w:color="auto"/>
                                          </w:divBdr>
                                          <w:divsChild>
                                            <w:div w:id="1913544736">
                                              <w:marLeft w:val="0"/>
                                              <w:marRight w:val="0"/>
                                              <w:marTop w:val="0"/>
                                              <w:marBottom w:val="0"/>
                                              <w:divBdr>
                                                <w:top w:val="single" w:sz="6" w:space="0" w:color="B6D444"/>
                                                <w:left w:val="none" w:sz="0" w:space="0" w:color="auto"/>
                                                <w:bottom w:val="none" w:sz="0" w:space="0" w:color="auto"/>
                                                <w:right w:val="none" w:sz="0" w:space="0" w:color="auto"/>
                                              </w:divBdr>
                                              <w:divsChild>
                                                <w:div w:id="20387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691162">
      <w:bodyDiv w:val="1"/>
      <w:marLeft w:val="0"/>
      <w:marRight w:val="0"/>
      <w:marTop w:val="0"/>
      <w:marBottom w:val="0"/>
      <w:divBdr>
        <w:top w:val="none" w:sz="0" w:space="0" w:color="auto"/>
        <w:left w:val="none" w:sz="0" w:space="0" w:color="auto"/>
        <w:bottom w:val="none" w:sz="0" w:space="0" w:color="auto"/>
        <w:right w:val="none" w:sz="0" w:space="0" w:color="auto"/>
      </w:divBdr>
    </w:div>
    <w:div w:id="1804344411">
      <w:bodyDiv w:val="1"/>
      <w:marLeft w:val="0"/>
      <w:marRight w:val="0"/>
      <w:marTop w:val="0"/>
      <w:marBottom w:val="0"/>
      <w:divBdr>
        <w:top w:val="none" w:sz="0" w:space="0" w:color="auto"/>
        <w:left w:val="none" w:sz="0" w:space="0" w:color="auto"/>
        <w:bottom w:val="none" w:sz="0" w:space="0" w:color="auto"/>
        <w:right w:val="none" w:sz="0" w:space="0" w:color="auto"/>
      </w:divBdr>
      <w:divsChild>
        <w:div w:id="1080567183">
          <w:marLeft w:val="0"/>
          <w:marRight w:val="0"/>
          <w:marTop w:val="0"/>
          <w:marBottom w:val="0"/>
          <w:divBdr>
            <w:top w:val="none" w:sz="0" w:space="0" w:color="auto"/>
            <w:left w:val="none" w:sz="0" w:space="0" w:color="auto"/>
            <w:bottom w:val="none" w:sz="0" w:space="0" w:color="auto"/>
            <w:right w:val="none" w:sz="0" w:space="0" w:color="auto"/>
          </w:divBdr>
          <w:divsChild>
            <w:div w:id="1281843545">
              <w:marLeft w:val="0"/>
              <w:marRight w:val="0"/>
              <w:marTop w:val="0"/>
              <w:marBottom w:val="0"/>
              <w:divBdr>
                <w:top w:val="none" w:sz="0" w:space="0" w:color="auto"/>
                <w:left w:val="none" w:sz="0" w:space="0" w:color="auto"/>
                <w:bottom w:val="none" w:sz="0" w:space="0" w:color="auto"/>
                <w:right w:val="none" w:sz="0" w:space="0" w:color="auto"/>
              </w:divBdr>
              <w:divsChild>
                <w:div w:id="1040519771">
                  <w:marLeft w:val="0"/>
                  <w:marRight w:val="0"/>
                  <w:marTop w:val="0"/>
                  <w:marBottom w:val="0"/>
                  <w:divBdr>
                    <w:top w:val="none" w:sz="0" w:space="0" w:color="auto"/>
                    <w:left w:val="none" w:sz="0" w:space="0" w:color="auto"/>
                    <w:bottom w:val="none" w:sz="0" w:space="0" w:color="auto"/>
                    <w:right w:val="none" w:sz="0" w:space="0" w:color="auto"/>
                  </w:divBdr>
                  <w:divsChild>
                    <w:div w:id="264922614">
                      <w:marLeft w:val="0"/>
                      <w:marRight w:val="0"/>
                      <w:marTop w:val="0"/>
                      <w:marBottom w:val="0"/>
                      <w:divBdr>
                        <w:top w:val="none" w:sz="0" w:space="0" w:color="auto"/>
                        <w:left w:val="none" w:sz="0" w:space="0" w:color="auto"/>
                        <w:bottom w:val="none" w:sz="0" w:space="0" w:color="auto"/>
                        <w:right w:val="none" w:sz="0" w:space="0" w:color="auto"/>
                      </w:divBdr>
                      <w:divsChild>
                        <w:div w:id="868028861">
                          <w:marLeft w:val="0"/>
                          <w:marRight w:val="0"/>
                          <w:marTop w:val="0"/>
                          <w:marBottom w:val="0"/>
                          <w:divBdr>
                            <w:top w:val="none" w:sz="0" w:space="0" w:color="auto"/>
                            <w:left w:val="none" w:sz="0" w:space="0" w:color="auto"/>
                            <w:bottom w:val="none" w:sz="0" w:space="0" w:color="auto"/>
                            <w:right w:val="none" w:sz="0" w:space="0" w:color="auto"/>
                          </w:divBdr>
                          <w:divsChild>
                            <w:div w:id="896014265">
                              <w:marLeft w:val="0"/>
                              <w:marRight w:val="0"/>
                              <w:marTop w:val="0"/>
                              <w:marBottom w:val="0"/>
                              <w:divBdr>
                                <w:top w:val="none" w:sz="0" w:space="0" w:color="auto"/>
                                <w:left w:val="none" w:sz="0" w:space="0" w:color="auto"/>
                                <w:bottom w:val="none" w:sz="0" w:space="0" w:color="auto"/>
                                <w:right w:val="none" w:sz="0" w:space="0" w:color="auto"/>
                              </w:divBdr>
                              <w:divsChild>
                                <w:div w:id="1626348564">
                                  <w:marLeft w:val="0"/>
                                  <w:marRight w:val="0"/>
                                  <w:marTop w:val="0"/>
                                  <w:marBottom w:val="0"/>
                                  <w:divBdr>
                                    <w:top w:val="none" w:sz="0" w:space="0" w:color="auto"/>
                                    <w:left w:val="none" w:sz="0" w:space="0" w:color="auto"/>
                                    <w:bottom w:val="none" w:sz="0" w:space="0" w:color="auto"/>
                                    <w:right w:val="none" w:sz="0" w:space="0" w:color="auto"/>
                                  </w:divBdr>
                                  <w:divsChild>
                                    <w:div w:id="347679469">
                                      <w:marLeft w:val="0"/>
                                      <w:marRight w:val="0"/>
                                      <w:marTop w:val="0"/>
                                      <w:marBottom w:val="0"/>
                                      <w:divBdr>
                                        <w:top w:val="none" w:sz="0" w:space="0" w:color="auto"/>
                                        <w:left w:val="none" w:sz="0" w:space="0" w:color="auto"/>
                                        <w:bottom w:val="none" w:sz="0" w:space="0" w:color="auto"/>
                                        <w:right w:val="none" w:sz="0" w:space="0" w:color="auto"/>
                                      </w:divBdr>
                                      <w:divsChild>
                                        <w:div w:id="584731854">
                                          <w:marLeft w:val="0"/>
                                          <w:marRight w:val="0"/>
                                          <w:marTop w:val="0"/>
                                          <w:marBottom w:val="0"/>
                                          <w:divBdr>
                                            <w:top w:val="none" w:sz="0" w:space="0" w:color="auto"/>
                                            <w:left w:val="none" w:sz="0" w:space="0" w:color="auto"/>
                                            <w:bottom w:val="none" w:sz="0" w:space="0" w:color="auto"/>
                                            <w:right w:val="none" w:sz="0" w:space="0" w:color="auto"/>
                                          </w:divBdr>
                                          <w:divsChild>
                                            <w:div w:id="1500539595">
                                              <w:marLeft w:val="0"/>
                                              <w:marRight w:val="0"/>
                                              <w:marTop w:val="0"/>
                                              <w:marBottom w:val="0"/>
                                              <w:divBdr>
                                                <w:top w:val="none" w:sz="0" w:space="0" w:color="auto"/>
                                                <w:left w:val="none" w:sz="0" w:space="0" w:color="auto"/>
                                                <w:bottom w:val="none" w:sz="0" w:space="0" w:color="auto"/>
                                                <w:right w:val="none" w:sz="0" w:space="0" w:color="auto"/>
                                              </w:divBdr>
                                              <w:divsChild>
                                                <w:div w:id="2033528497">
                                                  <w:marLeft w:val="0"/>
                                                  <w:marRight w:val="0"/>
                                                  <w:marTop w:val="0"/>
                                                  <w:marBottom w:val="0"/>
                                                  <w:divBdr>
                                                    <w:top w:val="none" w:sz="0" w:space="0" w:color="auto"/>
                                                    <w:left w:val="none" w:sz="0" w:space="0" w:color="auto"/>
                                                    <w:bottom w:val="none" w:sz="0" w:space="0" w:color="auto"/>
                                                    <w:right w:val="none" w:sz="0" w:space="0" w:color="auto"/>
                                                  </w:divBdr>
                                                  <w:divsChild>
                                                    <w:div w:id="1993482145">
                                                      <w:marLeft w:val="0"/>
                                                      <w:marRight w:val="0"/>
                                                      <w:marTop w:val="0"/>
                                                      <w:marBottom w:val="0"/>
                                                      <w:divBdr>
                                                        <w:top w:val="none" w:sz="0" w:space="0" w:color="auto"/>
                                                        <w:left w:val="none" w:sz="0" w:space="0" w:color="auto"/>
                                                        <w:bottom w:val="none" w:sz="0" w:space="0" w:color="auto"/>
                                                        <w:right w:val="none" w:sz="0" w:space="0" w:color="auto"/>
                                                      </w:divBdr>
                                                      <w:divsChild>
                                                        <w:div w:id="11500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998762">
      <w:bodyDiv w:val="1"/>
      <w:marLeft w:val="0"/>
      <w:marRight w:val="0"/>
      <w:marTop w:val="0"/>
      <w:marBottom w:val="0"/>
      <w:divBdr>
        <w:top w:val="none" w:sz="0" w:space="0" w:color="auto"/>
        <w:left w:val="none" w:sz="0" w:space="0" w:color="auto"/>
        <w:bottom w:val="none" w:sz="0" w:space="0" w:color="auto"/>
        <w:right w:val="none" w:sz="0" w:space="0" w:color="auto"/>
      </w:divBdr>
    </w:div>
    <w:div w:id="1807620361">
      <w:bodyDiv w:val="1"/>
      <w:marLeft w:val="0"/>
      <w:marRight w:val="0"/>
      <w:marTop w:val="0"/>
      <w:marBottom w:val="0"/>
      <w:divBdr>
        <w:top w:val="none" w:sz="0" w:space="0" w:color="auto"/>
        <w:left w:val="none" w:sz="0" w:space="0" w:color="auto"/>
        <w:bottom w:val="none" w:sz="0" w:space="0" w:color="auto"/>
        <w:right w:val="none" w:sz="0" w:space="0" w:color="auto"/>
      </w:divBdr>
    </w:div>
    <w:div w:id="1807776100">
      <w:bodyDiv w:val="1"/>
      <w:marLeft w:val="0"/>
      <w:marRight w:val="0"/>
      <w:marTop w:val="0"/>
      <w:marBottom w:val="0"/>
      <w:divBdr>
        <w:top w:val="none" w:sz="0" w:space="0" w:color="auto"/>
        <w:left w:val="none" w:sz="0" w:space="0" w:color="auto"/>
        <w:bottom w:val="none" w:sz="0" w:space="0" w:color="auto"/>
        <w:right w:val="none" w:sz="0" w:space="0" w:color="auto"/>
      </w:divBdr>
    </w:div>
    <w:div w:id="1808232355">
      <w:bodyDiv w:val="1"/>
      <w:marLeft w:val="0"/>
      <w:marRight w:val="0"/>
      <w:marTop w:val="0"/>
      <w:marBottom w:val="0"/>
      <w:divBdr>
        <w:top w:val="none" w:sz="0" w:space="0" w:color="auto"/>
        <w:left w:val="none" w:sz="0" w:space="0" w:color="auto"/>
        <w:bottom w:val="none" w:sz="0" w:space="0" w:color="auto"/>
        <w:right w:val="none" w:sz="0" w:space="0" w:color="auto"/>
      </w:divBdr>
    </w:div>
    <w:div w:id="1808819930">
      <w:bodyDiv w:val="1"/>
      <w:marLeft w:val="0"/>
      <w:marRight w:val="0"/>
      <w:marTop w:val="0"/>
      <w:marBottom w:val="0"/>
      <w:divBdr>
        <w:top w:val="none" w:sz="0" w:space="0" w:color="auto"/>
        <w:left w:val="none" w:sz="0" w:space="0" w:color="auto"/>
        <w:bottom w:val="none" w:sz="0" w:space="0" w:color="auto"/>
        <w:right w:val="none" w:sz="0" w:space="0" w:color="auto"/>
      </w:divBdr>
      <w:divsChild>
        <w:div w:id="96294517">
          <w:marLeft w:val="0"/>
          <w:marRight w:val="0"/>
          <w:marTop w:val="0"/>
          <w:marBottom w:val="0"/>
          <w:divBdr>
            <w:top w:val="none" w:sz="0" w:space="0" w:color="auto"/>
            <w:left w:val="none" w:sz="0" w:space="0" w:color="auto"/>
            <w:bottom w:val="none" w:sz="0" w:space="0" w:color="auto"/>
            <w:right w:val="none" w:sz="0" w:space="0" w:color="auto"/>
          </w:divBdr>
          <w:divsChild>
            <w:div w:id="1042632986">
              <w:marLeft w:val="175"/>
              <w:marRight w:val="0"/>
              <w:marTop w:val="0"/>
              <w:marBottom w:val="0"/>
              <w:divBdr>
                <w:top w:val="none" w:sz="0" w:space="0" w:color="auto"/>
                <w:left w:val="none" w:sz="0" w:space="0" w:color="auto"/>
                <w:bottom w:val="none" w:sz="0" w:space="0" w:color="auto"/>
                <w:right w:val="none" w:sz="0" w:space="0" w:color="auto"/>
              </w:divBdr>
              <w:divsChild>
                <w:div w:id="21162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8876">
      <w:bodyDiv w:val="1"/>
      <w:marLeft w:val="0"/>
      <w:marRight w:val="0"/>
      <w:marTop w:val="0"/>
      <w:marBottom w:val="0"/>
      <w:divBdr>
        <w:top w:val="none" w:sz="0" w:space="0" w:color="auto"/>
        <w:left w:val="none" w:sz="0" w:space="0" w:color="auto"/>
        <w:bottom w:val="none" w:sz="0" w:space="0" w:color="auto"/>
        <w:right w:val="none" w:sz="0" w:space="0" w:color="auto"/>
      </w:divBdr>
      <w:divsChild>
        <w:div w:id="1431121429">
          <w:marLeft w:val="2400"/>
          <w:marRight w:val="0"/>
          <w:marTop w:val="0"/>
          <w:marBottom w:val="0"/>
          <w:divBdr>
            <w:top w:val="none" w:sz="0" w:space="0" w:color="auto"/>
            <w:left w:val="none" w:sz="0" w:space="0" w:color="auto"/>
            <w:bottom w:val="none" w:sz="0" w:space="0" w:color="auto"/>
            <w:right w:val="none" w:sz="0" w:space="0" w:color="auto"/>
          </w:divBdr>
          <w:divsChild>
            <w:div w:id="132799560">
              <w:marLeft w:val="0"/>
              <w:marRight w:val="0"/>
              <w:marTop w:val="0"/>
              <w:marBottom w:val="0"/>
              <w:divBdr>
                <w:top w:val="none" w:sz="0" w:space="0" w:color="auto"/>
                <w:left w:val="none" w:sz="0" w:space="0" w:color="auto"/>
                <w:bottom w:val="none" w:sz="0" w:space="0" w:color="auto"/>
                <w:right w:val="none" w:sz="0" w:space="0" w:color="auto"/>
              </w:divBdr>
              <w:divsChild>
                <w:div w:id="1924681350">
                  <w:marLeft w:val="0"/>
                  <w:marRight w:val="0"/>
                  <w:marTop w:val="0"/>
                  <w:marBottom w:val="0"/>
                  <w:divBdr>
                    <w:top w:val="none" w:sz="0" w:space="0" w:color="auto"/>
                    <w:left w:val="none" w:sz="0" w:space="0" w:color="auto"/>
                    <w:bottom w:val="none" w:sz="0" w:space="0" w:color="auto"/>
                    <w:right w:val="none" w:sz="0" w:space="0" w:color="auto"/>
                  </w:divBdr>
                  <w:divsChild>
                    <w:div w:id="3161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31500">
      <w:bodyDiv w:val="1"/>
      <w:marLeft w:val="0"/>
      <w:marRight w:val="0"/>
      <w:marTop w:val="0"/>
      <w:marBottom w:val="0"/>
      <w:divBdr>
        <w:top w:val="none" w:sz="0" w:space="0" w:color="auto"/>
        <w:left w:val="none" w:sz="0" w:space="0" w:color="auto"/>
        <w:bottom w:val="none" w:sz="0" w:space="0" w:color="auto"/>
        <w:right w:val="none" w:sz="0" w:space="0" w:color="auto"/>
      </w:divBdr>
      <w:divsChild>
        <w:div w:id="1592394835">
          <w:marLeft w:val="300"/>
          <w:marRight w:val="300"/>
          <w:marTop w:val="300"/>
          <w:marBottom w:val="300"/>
          <w:divBdr>
            <w:top w:val="none" w:sz="0" w:space="0" w:color="auto"/>
            <w:left w:val="none" w:sz="0" w:space="0" w:color="auto"/>
            <w:bottom w:val="none" w:sz="0" w:space="0" w:color="auto"/>
            <w:right w:val="none" w:sz="0" w:space="0" w:color="auto"/>
          </w:divBdr>
          <w:divsChild>
            <w:div w:id="1739865268">
              <w:marLeft w:val="0"/>
              <w:marRight w:val="150"/>
              <w:marTop w:val="0"/>
              <w:marBottom w:val="0"/>
              <w:divBdr>
                <w:top w:val="none" w:sz="0" w:space="0" w:color="auto"/>
                <w:left w:val="none" w:sz="0" w:space="0" w:color="auto"/>
                <w:bottom w:val="none" w:sz="0" w:space="0" w:color="auto"/>
                <w:right w:val="none" w:sz="0" w:space="0" w:color="auto"/>
              </w:divBdr>
              <w:divsChild>
                <w:div w:id="1050962618">
                  <w:marLeft w:val="0"/>
                  <w:marRight w:val="0"/>
                  <w:marTop w:val="0"/>
                  <w:marBottom w:val="225"/>
                  <w:divBdr>
                    <w:top w:val="single" w:sz="6" w:space="0" w:color="888888"/>
                    <w:left w:val="single" w:sz="6" w:space="0" w:color="888888"/>
                    <w:bottom w:val="single" w:sz="6" w:space="0" w:color="888888"/>
                    <w:right w:val="single" w:sz="6" w:space="0" w:color="888888"/>
                  </w:divBdr>
                </w:div>
                <w:div w:id="1199052654">
                  <w:marLeft w:val="0"/>
                  <w:marRight w:val="0"/>
                  <w:marTop w:val="0"/>
                  <w:marBottom w:val="0"/>
                  <w:divBdr>
                    <w:top w:val="single" w:sz="6" w:space="0" w:color="888888"/>
                    <w:left w:val="single" w:sz="6" w:space="0" w:color="888888"/>
                    <w:bottom w:val="single" w:sz="6" w:space="0" w:color="888888"/>
                    <w:right w:val="single" w:sz="6" w:space="0" w:color="888888"/>
                  </w:divBdr>
                  <w:divsChild>
                    <w:div w:id="260993167">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812290508">
      <w:bodyDiv w:val="1"/>
      <w:marLeft w:val="0"/>
      <w:marRight w:val="0"/>
      <w:marTop w:val="0"/>
      <w:marBottom w:val="0"/>
      <w:divBdr>
        <w:top w:val="none" w:sz="0" w:space="0" w:color="auto"/>
        <w:left w:val="none" w:sz="0" w:space="0" w:color="auto"/>
        <w:bottom w:val="none" w:sz="0" w:space="0" w:color="auto"/>
        <w:right w:val="none" w:sz="0" w:space="0" w:color="auto"/>
      </w:divBdr>
      <w:divsChild>
        <w:div w:id="475033941">
          <w:marLeft w:val="0"/>
          <w:marRight w:val="0"/>
          <w:marTop w:val="0"/>
          <w:marBottom w:val="0"/>
          <w:divBdr>
            <w:top w:val="none" w:sz="0" w:space="0" w:color="auto"/>
            <w:left w:val="none" w:sz="0" w:space="0" w:color="auto"/>
            <w:bottom w:val="none" w:sz="0" w:space="0" w:color="auto"/>
            <w:right w:val="none" w:sz="0" w:space="0" w:color="auto"/>
          </w:divBdr>
          <w:divsChild>
            <w:div w:id="1901551420">
              <w:marLeft w:val="0"/>
              <w:marRight w:val="0"/>
              <w:marTop w:val="0"/>
              <w:marBottom w:val="0"/>
              <w:divBdr>
                <w:top w:val="none" w:sz="0" w:space="0" w:color="auto"/>
                <w:left w:val="none" w:sz="0" w:space="0" w:color="auto"/>
                <w:bottom w:val="none" w:sz="0" w:space="0" w:color="auto"/>
                <w:right w:val="none" w:sz="0" w:space="0" w:color="auto"/>
              </w:divBdr>
              <w:divsChild>
                <w:div w:id="637685064">
                  <w:marLeft w:val="0"/>
                  <w:marRight w:val="0"/>
                  <w:marTop w:val="0"/>
                  <w:marBottom w:val="0"/>
                  <w:divBdr>
                    <w:top w:val="none" w:sz="0" w:space="0" w:color="auto"/>
                    <w:left w:val="none" w:sz="0" w:space="0" w:color="auto"/>
                    <w:bottom w:val="none" w:sz="0" w:space="0" w:color="auto"/>
                    <w:right w:val="none" w:sz="0" w:space="0" w:color="auto"/>
                  </w:divBdr>
                  <w:divsChild>
                    <w:div w:id="511457298">
                      <w:marLeft w:val="0"/>
                      <w:marRight w:val="0"/>
                      <w:marTop w:val="0"/>
                      <w:marBottom w:val="0"/>
                      <w:divBdr>
                        <w:top w:val="none" w:sz="0" w:space="0" w:color="auto"/>
                        <w:left w:val="none" w:sz="0" w:space="0" w:color="auto"/>
                        <w:bottom w:val="none" w:sz="0" w:space="0" w:color="auto"/>
                        <w:right w:val="none" w:sz="0" w:space="0" w:color="auto"/>
                      </w:divBdr>
                      <w:divsChild>
                        <w:div w:id="1048410918">
                          <w:marLeft w:val="0"/>
                          <w:marRight w:val="0"/>
                          <w:marTop w:val="0"/>
                          <w:marBottom w:val="0"/>
                          <w:divBdr>
                            <w:top w:val="none" w:sz="0" w:space="0" w:color="auto"/>
                            <w:left w:val="none" w:sz="0" w:space="0" w:color="auto"/>
                            <w:bottom w:val="none" w:sz="0" w:space="0" w:color="auto"/>
                            <w:right w:val="none" w:sz="0" w:space="0" w:color="auto"/>
                          </w:divBdr>
                          <w:divsChild>
                            <w:div w:id="856313880">
                              <w:marLeft w:val="0"/>
                              <w:marRight w:val="0"/>
                              <w:marTop w:val="0"/>
                              <w:marBottom w:val="0"/>
                              <w:divBdr>
                                <w:top w:val="none" w:sz="0" w:space="0" w:color="auto"/>
                                <w:left w:val="none" w:sz="0" w:space="0" w:color="auto"/>
                                <w:bottom w:val="none" w:sz="0" w:space="0" w:color="auto"/>
                                <w:right w:val="none" w:sz="0" w:space="0" w:color="auto"/>
                              </w:divBdr>
                              <w:divsChild>
                                <w:div w:id="679625624">
                                  <w:marLeft w:val="0"/>
                                  <w:marRight w:val="0"/>
                                  <w:marTop w:val="0"/>
                                  <w:marBottom w:val="0"/>
                                  <w:divBdr>
                                    <w:top w:val="none" w:sz="0" w:space="0" w:color="auto"/>
                                    <w:left w:val="none" w:sz="0" w:space="0" w:color="auto"/>
                                    <w:bottom w:val="none" w:sz="0" w:space="0" w:color="auto"/>
                                    <w:right w:val="none" w:sz="0" w:space="0" w:color="auto"/>
                                  </w:divBdr>
                                  <w:divsChild>
                                    <w:div w:id="1461681462">
                                      <w:marLeft w:val="0"/>
                                      <w:marRight w:val="0"/>
                                      <w:marTop w:val="0"/>
                                      <w:marBottom w:val="0"/>
                                      <w:divBdr>
                                        <w:top w:val="none" w:sz="0" w:space="0" w:color="auto"/>
                                        <w:left w:val="none" w:sz="0" w:space="0" w:color="auto"/>
                                        <w:bottom w:val="none" w:sz="0" w:space="0" w:color="auto"/>
                                        <w:right w:val="none" w:sz="0" w:space="0" w:color="auto"/>
                                      </w:divBdr>
                                      <w:divsChild>
                                        <w:div w:id="1358190664">
                                          <w:marLeft w:val="0"/>
                                          <w:marRight w:val="0"/>
                                          <w:marTop w:val="0"/>
                                          <w:marBottom w:val="0"/>
                                          <w:divBdr>
                                            <w:top w:val="none" w:sz="0" w:space="0" w:color="auto"/>
                                            <w:left w:val="none" w:sz="0" w:space="0" w:color="auto"/>
                                            <w:bottom w:val="none" w:sz="0" w:space="0" w:color="auto"/>
                                            <w:right w:val="none" w:sz="0" w:space="0" w:color="auto"/>
                                          </w:divBdr>
                                        </w:div>
                                        <w:div w:id="1101606183">
                                          <w:marLeft w:val="0"/>
                                          <w:marRight w:val="0"/>
                                          <w:marTop w:val="0"/>
                                          <w:marBottom w:val="0"/>
                                          <w:divBdr>
                                            <w:top w:val="none" w:sz="0" w:space="0" w:color="auto"/>
                                            <w:left w:val="none" w:sz="0" w:space="0" w:color="auto"/>
                                            <w:bottom w:val="none" w:sz="0" w:space="0" w:color="auto"/>
                                            <w:right w:val="none" w:sz="0" w:space="0" w:color="auto"/>
                                          </w:divBdr>
                                          <w:divsChild>
                                            <w:div w:id="186786590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357896">
      <w:bodyDiv w:val="1"/>
      <w:marLeft w:val="0"/>
      <w:marRight w:val="0"/>
      <w:marTop w:val="0"/>
      <w:marBottom w:val="0"/>
      <w:divBdr>
        <w:top w:val="none" w:sz="0" w:space="0" w:color="auto"/>
        <w:left w:val="none" w:sz="0" w:space="0" w:color="auto"/>
        <w:bottom w:val="none" w:sz="0" w:space="0" w:color="auto"/>
        <w:right w:val="none" w:sz="0" w:space="0" w:color="auto"/>
      </w:divBdr>
      <w:divsChild>
        <w:div w:id="2137871879">
          <w:marLeft w:val="0"/>
          <w:marRight w:val="0"/>
          <w:marTop w:val="0"/>
          <w:marBottom w:val="0"/>
          <w:divBdr>
            <w:top w:val="none" w:sz="0" w:space="0" w:color="auto"/>
            <w:left w:val="none" w:sz="0" w:space="0" w:color="auto"/>
            <w:bottom w:val="none" w:sz="0" w:space="0" w:color="auto"/>
            <w:right w:val="none" w:sz="0" w:space="0" w:color="auto"/>
          </w:divBdr>
          <w:divsChild>
            <w:div w:id="1539470574">
              <w:marLeft w:val="0"/>
              <w:marRight w:val="0"/>
              <w:marTop w:val="0"/>
              <w:marBottom w:val="0"/>
              <w:divBdr>
                <w:top w:val="none" w:sz="0" w:space="0" w:color="auto"/>
                <w:left w:val="none" w:sz="0" w:space="0" w:color="auto"/>
                <w:bottom w:val="none" w:sz="0" w:space="0" w:color="auto"/>
                <w:right w:val="none" w:sz="0" w:space="0" w:color="auto"/>
              </w:divBdr>
              <w:divsChild>
                <w:div w:id="1177113702">
                  <w:marLeft w:val="0"/>
                  <w:marRight w:val="0"/>
                  <w:marTop w:val="0"/>
                  <w:marBottom w:val="0"/>
                  <w:divBdr>
                    <w:top w:val="none" w:sz="0" w:space="0" w:color="auto"/>
                    <w:left w:val="none" w:sz="0" w:space="0" w:color="auto"/>
                    <w:bottom w:val="none" w:sz="0" w:space="0" w:color="auto"/>
                    <w:right w:val="none" w:sz="0" w:space="0" w:color="auto"/>
                  </w:divBdr>
                  <w:divsChild>
                    <w:div w:id="1425570099">
                      <w:marLeft w:val="0"/>
                      <w:marRight w:val="0"/>
                      <w:marTop w:val="0"/>
                      <w:marBottom w:val="0"/>
                      <w:divBdr>
                        <w:top w:val="none" w:sz="0" w:space="0" w:color="auto"/>
                        <w:left w:val="none" w:sz="0" w:space="0" w:color="auto"/>
                        <w:bottom w:val="none" w:sz="0" w:space="0" w:color="auto"/>
                        <w:right w:val="none" w:sz="0" w:space="0" w:color="auto"/>
                      </w:divBdr>
                      <w:divsChild>
                        <w:div w:id="11017470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12600549">
      <w:bodyDiv w:val="1"/>
      <w:marLeft w:val="0"/>
      <w:marRight w:val="0"/>
      <w:marTop w:val="0"/>
      <w:marBottom w:val="0"/>
      <w:divBdr>
        <w:top w:val="none" w:sz="0" w:space="0" w:color="auto"/>
        <w:left w:val="none" w:sz="0" w:space="0" w:color="auto"/>
        <w:bottom w:val="none" w:sz="0" w:space="0" w:color="auto"/>
        <w:right w:val="none" w:sz="0" w:space="0" w:color="auto"/>
      </w:divBdr>
      <w:divsChild>
        <w:div w:id="1060635374">
          <w:marLeft w:val="0"/>
          <w:marRight w:val="0"/>
          <w:marTop w:val="0"/>
          <w:marBottom w:val="0"/>
          <w:divBdr>
            <w:top w:val="none" w:sz="0" w:space="0" w:color="auto"/>
            <w:left w:val="none" w:sz="0" w:space="0" w:color="auto"/>
            <w:bottom w:val="none" w:sz="0" w:space="0" w:color="auto"/>
            <w:right w:val="none" w:sz="0" w:space="0" w:color="auto"/>
          </w:divBdr>
          <w:divsChild>
            <w:div w:id="733772984">
              <w:marLeft w:val="210"/>
              <w:marRight w:val="0"/>
              <w:marTop w:val="0"/>
              <w:marBottom w:val="0"/>
              <w:divBdr>
                <w:top w:val="none" w:sz="0" w:space="0" w:color="auto"/>
                <w:left w:val="none" w:sz="0" w:space="0" w:color="auto"/>
                <w:bottom w:val="none" w:sz="0" w:space="0" w:color="auto"/>
                <w:right w:val="none" w:sz="0" w:space="0" w:color="auto"/>
              </w:divBdr>
              <w:divsChild>
                <w:div w:id="8727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2286">
      <w:bodyDiv w:val="1"/>
      <w:marLeft w:val="0"/>
      <w:marRight w:val="0"/>
      <w:marTop w:val="0"/>
      <w:marBottom w:val="0"/>
      <w:divBdr>
        <w:top w:val="none" w:sz="0" w:space="0" w:color="auto"/>
        <w:left w:val="none" w:sz="0" w:space="0" w:color="auto"/>
        <w:bottom w:val="none" w:sz="0" w:space="0" w:color="auto"/>
        <w:right w:val="none" w:sz="0" w:space="0" w:color="auto"/>
      </w:divBdr>
    </w:div>
    <w:div w:id="1813404734">
      <w:bodyDiv w:val="1"/>
      <w:marLeft w:val="0"/>
      <w:marRight w:val="0"/>
      <w:marTop w:val="0"/>
      <w:marBottom w:val="0"/>
      <w:divBdr>
        <w:top w:val="none" w:sz="0" w:space="0" w:color="auto"/>
        <w:left w:val="none" w:sz="0" w:space="0" w:color="auto"/>
        <w:bottom w:val="none" w:sz="0" w:space="0" w:color="auto"/>
        <w:right w:val="none" w:sz="0" w:space="0" w:color="auto"/>
      </w:divBdr>
      <w:divsChild>
        <w:div w:id="1994792551">
          <w:marLeft w:val="0"/>
          <w:marRight w:val="0"/>
          <w:marTop w:val="0"/>
          <w:marBottom w:val="0"/>
          <w:divBdr>
            <w:top w:val="none" w:sz="0" w:space="0" w:color="auto"/>
            <w:left w:val="none" w:sz="0" w:space="0" w:color="auto"/>
            <w:bottom w:val="none" w:sz="0" w:space="0" w:color="auto"/>
            <w:right w:val="none" w:sz="0" w:space="0" w:color="auto"/>
          </w:divBdr>
        </w:div>
      </w:divsChild>
    </w:div>
    <w:div w:id="1813596514">
      <w:bodyDiv w:val="1"/>
      <w:marLeft w:val="0"/>
      <w:marRight w:val="0"/>
      <w:marTop w:val="0"/>
      <w:marBottom w:val="0"/>
      <w:divBdr>
        <w:top w:val="none" w:sz="0" w:space="0" w:color="auto"/>
        <w:left w:val="none" w:sz="0" w:space="0" w:color="auto"/>
        <w:bottom w:val="none" w:sz="0" w:space="0" w:color="auto"/>
        <w:right w:val="none" w:sz="0" w:space="0" w:color="auto"/>
      </w:divBdr>
    </w:div>
    <w:div w:id="1813909373">
      <w:bodyDiv w:val="1"/>
      <w:marLeft w:val="0"/>
      <w:marRight w:val="0"/>
      <w:marTop w:val="0"/>
      <w:marBottom w:val="0"/>
      <w:divBdr>
        <w:top w:val="none" w:sz="0" w:space="0" w:color="auto"/>
        <w:left w:val="none" w:sz="0" w:space="0" w:color="auto"/>
        <w:bottom w:val="none" w:sz="0" w:space="0" w:color="auto"/>
        <w:right w:val="none" w:sz="0" w:space="0" w:color="auto"/>
      </w:divBdr>
      <w:divsChild>
        <w:div w:id="746073034">
          <w:marLeft w:val="0"/>
          <w:marRight w:val="0"/>
          <w:marTop w:val="0"/>
          <w:marBottom w:val="0"/>
          <w:divBdr>
            <w:top w:val="none" w:sz="0" w:space="0" w:color="auto"/>
            <w:left w:val="none" w:sz="0" w:space="0" w:color="auto"/>
            <w:bottom w:val="none" w:sz="0" w:space="0" w:color="auto"/>
            <w:right w:val="none" w:sz="0" w:space="0" w:color="auto"/>
          </w:divBdr>
          <w:divsChild>
            <w:div w:id="751001404">
              <w:marLeft w:val="0"/>
              <w:marRight w:val="0"/>
              <w:marTop w:val="0"/>
              <w:marBottom w:val="0"/>
              <w:divBdr>
                <w:top w:val="none" w:sz="0" w:space="0" w:color="auto"/>
                <w:left w:val="none" w:sz="0" w:space="0" w:color="auto"/>
                <w:bottom w:val="none" w:sz="0" w:space="0" w:color="auto"/>
                <w:right w:val="none" w:sz="0" w:space="0" w:color="auto"/>
              </w:divBdr>
              <w:divsChild>
                <w:div w:id="79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11939">
      <w:bodyDiv w:val="1"/>
      <w:marLeft w:val="0"/>
      <w:marRight w:val="0"/>
      <w:marTop w:val="0"/>
      <w:marBottom w:val="0"/>
      <w:divBdr>
        <w:top w:val="none" w:sz="0" w:space="0" w:color="auto"/>
        <w:left w:val="none" w:sz="0" w:space="0" w:color="auto"/>
        <w:bottom w:val="none" w:sz="0" w:space="0" w:color="auto"/>
        <w:right w:val="none" w:sz="0" w:space="0" w:color="auto"/>
      </w:divBdr>
      <w:divsChild>
        <w:div w:id="1197550205">
          <w:marLeft w:val="0"/>
          <w:marRight w:val="0"/>
          <w:marTop w:val="0"/>
          <w:marBottom w:val="900"/>
          <w:divBdr>
            <w:top w:val="none" w:sz="0" w:space="0" w:color="auto"/>
            <w:left w:val="none" w:sz="0" w:space="0" w:color="auto"/>
            <w:bottom w:val="none" w:sz="0" w:space="0" w:color="auto"/>
            <w:right w:val="none" w:sz="0" w:space="0" w:color="auto"/>
          </w:divBdr>
          <w:divsChild>
            <w:div w:id="248391111">
              <w:marLeft w:val="0"/>
              <w:marRight w:val="0"/>
              <w:marTop w:val="0"/>
              <w:marBottom w:val="0"/>
              <w:divBdr>
                <w:top w:val="none" w:sz="0" w:space="0" w:color="auto"/>
                <w:left w:val="none" w:sz="0" w:space="0" w:color="auto"/>
                <w:bottom w:val="none" w:sz="0" w:space="0" w:color="auto"/>
                <w:right w:val="none" w:sz="0" w:space="0" w:color="auto"/>
              </w:divBdr>
              <w:divsChild>
                <w:div w:id="3586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0077">
          <w:marLeft w:val="0"/>
          <w:marRight w:val="0"/>
          <w:marTop w:val="450"/>
          <w:marBottom w:val="450"/>
          <w:divBdr>
            <w:top w:val="none" w:sz="0" w:space="0" w:color="auto"/>
            <w:left w:val="none" w:sz="0" w:space="0" w:color="auto"/>
            <w:bottom w:val="none" w:sz="0" w:space="0" w:color="auto"/>
            <w:right w:val="none" w:sz="0" w:space="0" w:color="auto"/>
          </w:divBdr>
        </w:div>
      </w:divsChild>
    </w:div>
    <w:div w:id="1814327903">
      <w:bodyDiv w:val="1"/>
      <w:marLeft w:val="0"/>
      <w:marRight w:val="0"/>
      <w:marTop w:val="0"/>
      <w:marBottom w:val="0"/>
      <w:divBdr>
        <w:top w:val="none" w:sz="0" w:space="0" w:color="auto"/>
        <w:left w:val="none" w:sz="0" w:space="0" w:color="auto"/>
        <w:bottom w:val="none" w:sz="0" w:space="0" w:color="auto"/>
        <w:right w:val="none" w:sz="0" w:space="0" w:color="auto"/>
      </w:divBdr>
    </w:div>
    <w:div w:id="1816213898">
      <w:bodyDiv w:val="1"/>
      <w:marLeft w:val="0"/>
      <w:marRight w:val="0"/>
      <w:marTop w:val="0"/>
      <w:marBottom w:val="0"/>
      <w:divBdr>
        <w:top w:val="none" w:sz="0" w:space="0" w:color="auto"/>
        <w:left w:val="none" w:sz="0" w:space="0" w:color="auto"/>
        <w:bottom w:val="none" w:sz="0" w:space="0" w:color="auto"/>
        <w:right w:val="none" w:sz="0" w:space="0" w:color="auto"/>
      </w:divBdr>
      <w:divsChild>
        <w:div w:id="246816716">
          <w:marLeft w:val="0"/>
          <w:marRight w:val="0"/>
          <w:marTop w:val="0"/>
          <w:marBottom w:val="0"/>
          <w:divBdr>
            <w:top w:val="none" w:sz="0" w:space="0" w:color="auto"/>
            <w:left w:val="none" w:sz="0" w:space="0" w:color="auto"/>
            <w:bottom w:val="none" w:sz="0" w:space="0" w:color="auto"/>
            <w:right w:val="none" w:sz="0" w:space="0" w:color="auto"/>
          </w:divBdr>
          <w:divsChild>
            <w:div w:id="1003357822">
              <w:marLeft w:val="0"/>
              <w:marRight w:val="0"/>
              <w:marTop w:val="0"/>
              <w:marBottom w:val="0"/>
              <w:divBdr>
                <w:top w:val="none" w:sz="0" w:space="0" w:color="auto"/>
                <w:left w:val="none" w:sz="0" w:space="0" w:color="auto"/>
                <w:bottom w:val="none" w:sz="0" w:space="0" w:color="auto"/>
                <w:right w:val="none" w:sz="0" w:space="0" w:color="auto"/>
              </w:divBdr>
              <w:divsChild>
                <w:div w:id="1285035845">
                  <w:marLeft w:val="0"/>
                  <w:marRight w:val="0"/>
                  <w:marTop w:val="0"/>
                  <w:marBottom w:val="0"/>
                  <w:divBdr>
                    <w:top w:val="none" w:sz="0" w:space="0" w:color="auto"/>
                    <w:left w:val="none" w:sz="0" w:space="0" w:color="auto"/>
                    <w:bottom w:val="none" w:sz="0" w:space="0" w:color="auto"/>
                    <w:right w:val="none" w:sz="0" w:space="0" w:color="auto"/>
                  </w:divBdr>
                  <w:divsChild>
                    <w:div w:id="1630436639">
                      <w:marLeft w:val="0"/>
                      <w:marRight w:val="0"/>
                      <w:marTop w:val="0"/>
                      <w:marBottom w:val="0"/>
                      <w:divBdr>
                        <w:top w:val="none" w:sz="0" w:space="0" w:color="auto"/>
                        <w:left w:val="none" w:sz="0" w:space="0" w:color="auto"/>
                        <w:bottom w:val="none" w:sz="0" w:space="0" w:color="auto"/>
                        <w:right w:val="none" w:sz="0" w:space="0" w:color="auto"/>
                      </w:divBdr>
                      <w:divsChild>
                        <w:div w:id="208745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34482">
      <w:bodyDiv w:val="1"/>
      <w:marLeft w:val="0"/>
      <w:marRight w:val="0"/>
      <w:marTop w:val="0"/>
      <w:marBottom w:val="0"/>
      <w:divBdr>
        <w:top w:val="none" w:sz="0" w:space="0" w:color="auto"/>
        <w:left w:val="none" w:sz="0" w:space="0" w:color="auto"/>
        <w:bottom w:val="none" w:sz="0" w:space="0" w:color="auto"/>
        <w:right w:val="none" w:sz="0" w:space="0" w:color="auto"/>
      </w:divBdr>
      <w:divsChild>
        <w:div w:id="266620783">
          <w:marLeft w:val="0"/>
          <w:marRight w:val="0"/>
          <w:marTop w:val="0"/>
          <w:marBottom w:val="0"/>
          <w:divBdr>
            <w:top w:val="none" w:sz="0" w:space="0" w:color="auto"/>
            <w:left w:val="none" w:sz="0" w:space="0" w:color="auto"/>
            <w:bottom w:val="none" w:sz="0" w:space="0" w:color="auto"/>
            <w:right w:val="none" w:sz="0" w:space="0" w:color="auto"/>
          </w:divBdr>
          <w:divsChild>
            <w:div w:id="229584206">
              <w:marLeft w:val="0"/>
              <w:marRight w:val="0"/>
              <w:marTop w:val="0"/>
              <w:marBottom w:val="0"/>
              <w:divBdr>
                <w:top w:val="none" w:sz="0" w:space="0" w:color="auto"/>
                <w:left w:val="none" w:sz="0" w:space="0" w:color="auto"/>
                <w:bottom w:val="none" w:sz="0" w:space="0" w:color="auto"/>
                <w:right w:val="none" w:sz="0" w:space="0" w:color="auto"/>
              </w:divBdr>
              <w:divsChild>
                <w:div w:id="245043775">
                  <w:marLeft w:val="0"/>
                  <w:marRight w:val="0"/>
                  <w:marTop w:val="0"/>
                  <w:marBottom w:val="0"/>
                  <w:divBdr>
                    <w:top w:val="none" w:sz="0" w:space="0" w:color="auto"/>
                    <w:left w:val="none" w:sz="0" w:space="0" w:color="auto"/>
                    <w:bottom w:val="none" w:sz="0" w:space="0" w:color="auto"/>
                    <w:right w:val="none" w:sz="0" w:space="0" w:color="auto"/>
                  </w:divBdr>
                  <w:divsChild>
                    <w:div w:id="264777848">
                      <w:marLeft w:val="0"/>
                      <w:marRight w:val="0"/>
                      <w:marTop w:val="0"/>
                      <w:marBottom w:val="0"/>
                      <w:divBdr>
                        <w:top w:val="none" w:sz="0" w:space="0" w:color="auto"/>
                        <w:left w:val="none" w:sz="0" w:space="0" w:color="auto"/>
                        <w:bottom w:val="none" w:sz="0" w:space="0" w:color="auto"/>
                        <w:right w:val="none" w:sz="0" w:space="0" w:color="auto"/>
                      </w:divBdr>
                      <w:divsChild>
                        <w:div w:id="1902786694">
                          <w:marLeft w:val="0"/>
                          <w:marRight w:val="0"/>
                          <w:marTop w:val="0"/>
                          <w:marBottom w:val="0"/>
                          <w:divBdr>
                            <w:top w:val="none" w:sz="0" w:space="0" w:color="auto"/>
                            <w:left w:val="none" w:sz="0" w:space="0" w:color="auto"/>
                            <w:bottom w:val="none" w:sz="0" w:space="0" w:color="auto"/>
                            <w:right w:val="none" w:sz="0" w:space="0" w:color="auto"/>
                          </w:divBdr>
                          <w:divsChild>
                            <w:div w:id="820199795">
                              <w:marLeft w:val="0"/>
                              <w:marRight w:val="0"/>
                              <w:marTop w:val="0"/>
                              <w:marBottom w:val="0"/>
                              <w:divBdr>
                                <w:top w:val="none" w:sz="0" w:space="0" w:color="auto"/>
                                <w:left w:val="none" w:sz="0" w:space="0" w:color="auto"/>
                                <w:bottom w:val="none" w:sz="0" w:space="0" w:color="auto"/>
                                <w:right w:val="none" w:sz="0" w:space="0" w:color="auto"/>
                              </w:divBdr>
                              <w:divsChild>
                                <w:div w:id="723917083">
                                  <w:marLeft w:val="0"/>
                                  <w:marRight w:val="0"/>
                                  <w:marTop w:val="0"/>
                                  <w:marBottom w:val="0"/>
                                  <w:divBdr>
                                    <w:top w:val="none" w:sz="0" w:space="0" w:color="auto"/>
                                    <w:left w:val="none" w:sz="0" w:space="0" w:color="auto"/>
                                    <w:bottom w:val="none" w:sz="0" w:space="0" w:color="auto"/>
                                    <w:right w:val="none" w:sz="0" w:space="0" w:color="auto"/>
                                  </w:divBdr>
                                  <w:divsChild>
                                    <w:div w:id="321010296">
                                      <w:marLeft w:val="0"/>
                                      <w:marRight w:val="0"/>
                                      <w:marTop w:val="0"/>
                                      <w:marBottom w:val="0"/>
                                      <w:divBdr>
                                        <w:top w:val="none" w:sz="0" w:space="0" w:color="auto"/>
                                        <w:left w:val="none" w:sz="0" w:space="0" w:color="auto"/>
                                        <w:bottom w:val="none" w:sz="0" w:space="0" w:color="auto"/>
                                        <w:right w:val="none" w:sz="0" w:space="0" w:color="auto"/>
                                      </w:divBdr>
                                      <w:divsChild>
                                        <w:div w:id="1909072699">
                                          <w:marLeft w:val="0"/>
                                          <w:marRight w:val="0"/>
                                          <w:marTop w:val="0"/>
                                          <w:marBottom w:val="0"/>
                                          <w:divBdr>
                                            <w:top w:val="none" w:sz="0" w:space="0" w:color="auto"/>
                                            <w:left w:val="none" w:sz="0" w:space="0" w:color="auto"/>
                                            <w:bottom w:val="none" w:sz="0" w:space="0" w:color="auto"/>
                                            <w:right w:val="none" w:sz="0" w:space="0" w:color="auto"/>
                                          </w:divBdr>
                                          <w:divsChild>
                                            <w:div w:id="1896433031">
                                              <w:marLeft w:val="0"/>
                                              <w:marRight w:val="0"/>
                                              <w:marTop w:val="0"/>
                                              <w:marBottom w:val="0"/>
                                              <w:divBdr>
                                                <w:top w:val="none" w:sz="0" w:space="0" w:color="auto"/>
                                                <w:left w:val="none" w:sz="0" w:space="0" w:color="auto"/>
                                                <w:bottom w:val="none" w:sz="0" w:space="0" w:color="auto"/>
                                                <w:right w:val="none" w:sz="0" w:space="0" w:color="auto"/>
                                              </w:divBdr>
                                              <w:divsChild>
                                                <w:div w:id="1425957821">
                                                  <w:marLeft w:val="0"/>
                                                  <w:marRight w:val="0"/>
                                                  <w:marTop w:val="0"/>
                                                  <w:marBottom w:val="0"/>
                                                  <w:divBdr>
                                                    <w:top w:val="none" w:sz="0" w:space="0" w:color="auto"/>
                                                    <w:left w:val="none" w:sz="0" w:space="0" w:color="auto"/>
                                                    <w:bottom w:val="none" w:sz="0" w:space="0" w:color="auto"/>
                                                    <w:right w:val="none" w:sz="0" w:space="0" w:color="auto"/>
                                                  </w:divBdr>
                                                  <w:divsChild>
                                                    <w:div w:id="1404645532">
                                                      <w:marLeft w:val="0"/>
                                                      <w:marRight w:val="0"/>
                                                      <w:marTop w:val="0"/>
                                                      <w:marBottom w:val="0"/>
                                                      <w:divBdr>
                                                        <w:top w:val="none" w:sz="0" w:space="0" w:color="auto"/>
                                                        <w:left w:val="none" w:sz="0" w:space="0" w:color="auto"/>
                                                        <w:bottom w:val="none" w:sz="0" w:space="0" w:color="auto"/>
                                                        <w:right w:val="none" w:sz="0" w:space="0" w:color="auto"/>
                                                      </w:divBdr>
                                                      <w:divsChild>
                                                        <w:div w:id="61801611">
                                                          <w:marLeft w:val="0"/>
                                                          <w:marRight w:val="0"/>
                                                          <w:marTop w:val="0"/>
                                                          <w:marBottom w:val="0"/>
                                                          <w:divBdr>
                                                            <w:top w:val="none" w:sz="0" w:space="0" w:color="auto"/>
                                                            <w:left w:val="none" w:sz="0" w:space="0" w:color="auto"/>
                                                            <w:bottom w:val="none" w:sz="0" w:space="0" w:color="auto"/>
                                                            <w:right w:val="none" w:sz="0" w:space="0" w:color="auto"/>
                                                          </w:divBdr>
                                                        </w:div>
                                                        <w:div w:id="1227884340">
                                                          <w:marLeft w:val="0"/>
                                                          <w:marRight w:val="0"/>
                                                          <w:marTop w:val="0"/>
                                                          <w:marBottom w:val="0"/>
                                                          <w:divBdr>
                                                            <w:top w:val="none" w:sz="0" w:space="0" w:color="auto"/>
                                                            <w:left w:val="none" w:sz="0" w:space="0" w:color="auto"/>
                                                            <w:bottom w:val="none" w:sz="0" w:space="0" w:color="auto"/>
                                                            <w:right w:val="none" w:sz="0" w:space="0" w:color="auto"/>
                                                          </w:divBdr>
                                                          <w:divsChild>
                                                            <w:div w:id="4880591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8178832">
      <w:bodyDiv w:val="1"/>
      <w:marLeft w:val="0"/>
      <w:marRight w:val="0"/>
      <w:marTop w:val="0"/>
      <w:marBottom w:val="0"/>
      <w:divBdr>
        <w:top w:val="none" w:sz="0" w:space="0" w:color="auto"/>
        <w:left w:val="none" w:sz="0" w:space="0" w:color="auto"/>
        <w:bottom w:val="none" w:sz="0" w:space="0" w:color="auto"/>
        <w:right w:val="none" w:sz="0" w:space="0" w:color="auto"/>
      </w:divBdr>
      <w:divsChild>
        <w:div w:id="1356806604">
          <w:marLeft w:val="0"/>
          <w:marRight w:val="0"/>
          <w:marTop w:val="0"/>
          <w:marBottom w:val="0"/>
          <w:divBdr>
            <w:top w:val="none" w:sz="0" w:space="0" w:color="auto"/>
            <w:left w:val="none" w:sz="0" w:space="0" w:color="auto"/>
            <w:bottom w:val="none" w:sz="0" w:space="0" w:color="auto"/>
            <w:right w:val="none" w:sz="0" w:space="0" w:color="auto"/>
          </w:divBdr>
          <w:divsChild>
            <w:div w:id="2013410890">
              <w:marLeft w:val="0"/>
              <w:marRight w:val="0"/>
              <w:marTop w:val="0"/>
              <w:marBottom w:val="0"/>
              <w:divBdr>
                <w:top w:val="none" w:sz="0" w:space="0" w:color="auto"/>
                <w:left w:val="none" w:sz="0" w:space="0" w:color="auto"/>
                <w:bottom w:val="none" w:sz="0" w:space="0" w:color="auto"/>
                <w:right w:val="none" w:sz="0" w:space="0" w:color="auto"/>
              </w:divBdr>
              <w:divsChild>
                <w:div w:id="1826969416">
                  <w:marLeft w:val="0"/>
                  <w:marRight w:val="0"/>
                  <w:marTop w:val="0"/>
                  <w:marBottom w:val="0"/>
                  <w:divBdr>
                    <w:top w:val="none" w:sz="0" w:space="0" w:color="auto"/>
                    <w:left w:val="none" w:sz="0" w:space="0" w:color="auto"/>
                    <w:bottom w:val="none" w:sz="0" w:space="0" w:color="auto"/>
                    <w:right w:val="none" w:sz="0" w:space="0" w:color="auto"/>
                  </w:divBdr>
                  <w:divsChild>
                    <w:div w:id="248466810">
                      <w:marLeft w:val="0"/>
                      <w:marRight w:val="0"/>
                      <w:marTop w:val="0"/>
                      <w:marBottom w:val="0"/>
                      <w:divBdr>
                        <w:top w:val="none" w:sz="0" w:space="0" w:color="auto"/>
                        <w:left w:val="none" w:sz="0" w:space="0" w:color="auto"/>
                        <w:bottom w:val="none" w:sz="0" w:space="0" w:color="auto"/>
                        <w:right w:val="none" w:sz="0" w:space="0" w:color="auto"/>
                      </w:divBdr>
                      <w:divsChild>
                        <w:div w:id="1135757287">
                          <w:marLeft w:val="0"/>
                          <w:marRight w:val="0"/>
                          <w:marTop w:val="0"/>
                          <w:marBottom w:val="0"/>
                          <w:divBdr>
                            <w:top w:val="none" w:sz="0" w:space="0" w:color="auto"/>
                            <w:left w:val="none" w:sz="0" w:space="0" w:color="auto"/>
                            <w:bottom w:val="none" w:sz="0" w:space="0" w:color="auto"/>
                            <w:right w:val="none" w:sz="0" w:space="0" w:color="auto"/>
                          </w:divBdr>
                          <w:divsChild>
                            <w:div w:id="685180960">
                              <w:marLeft w:val="0"/>
                              <w:marRight w:val="0"/>
                              <w:marTop w:val="0"/>
                              <w:marBottom w:val="0"/>
                              <w:divBdr>
                                <w:top w:val="none" w:sz="0" w:space="0" w:color="auto"/>
                                <w:left w:val="none" w:sz="0" w:space="0" w:color="auto"/>
                                <w:bottom w:val="none" w:sz="0" w:space="0" w:color="auto"/>
                                <w:right w:val="none" w:sz="0" w:space="0" w:color="auto"/>
                              </w:divBdr>
                              <w:divsChild>
                                <w:div w:id="1502158771">
                                  <w:marLeft w:val="0"/>
                                  <w:marRight w:val="0"/>
                                  <w:marTop w:val="0"/>
                                  <w:marBottom w:val="0"/>
                                  <w:divBdr>
                                    <w:top w:val="none" w:sz="0" w:space="0" w:color="auto"/>
                                    <w:left w:val="none" w:sz="0" w:space="0" w:color="auto"/>
                                    <w:bottom w:val="none" w:sz="0" w:space="0" w:color="auto"/>
                                    <w:right w:val="none" w:sz="0" w:space="0" w:color="auto"/>
                                  </w:divBdr>
                                  <w:divsChild>
                                    <w:div w:id="24983311">
                                      <w:marLeft w:val="0"/>
                                      <w:marRight w:val="0"/>
                                      <w:marTop w:val="0"/>
                                      <w:marBottom w:val="0"/>
                                      <w:divBdr>
                                        <w:top w:val="none" w:sz="0" w:space="0" w:color="auto"/>
                                        <w:left w:val="none" w:sz="0" w:space="0" w:color="auto"/>
                                        <w:bottom w:val="none" w:sz="0" w:space="0" w:color="auto"/>
                                        <w:right w:val="none" w:sz="0" w:space="0" w:color="auto"/>
                                      </w:divBdr>
                                      <w:divsChild>
                                        <w:div w:id="538325706">
                                          <w:marLeft w:val="0"/>
                                          <w:marRight w:val="0"/>
                                          <w:marTop w:val="0"/>
                                          <w:marBottom w:val="0"/>
                                          <w:divBdr>
                                            <w:top w:val="none" w:sz="0" w:space="0" w:color="auto"/>
                                            <w:left w:val="none" w:sz="0" w:space="0" w:color="auto"/>
                                            <w:bottom w:val="none" w:sz="0" w:space="0" w:color="auto"/>
                                            <w:right w:val="none" w:sz="0" w:space="0" w:color="auto"/>
                                          </w:divBdr>
                                          <w:divsChild>
                                            <w:div w:id="820191415">
                                              <w:marLeft w:val="0"/>
                                              <w:marRight w:val="0"/>
                                              <w:marTop w:val="0"/>
                                              <w:marBottom w:val="0"/>
                                              <w:divBdr>
                                                <w:top w:val="none" w:sz="0" w:space="0" w:color="auto"/>
                                                <w:left w:val="none" w:sz="0" w:space="0" w:color="auto"/>
                                                <w:bottom w:val="none" w:sz="0" w:space="0" w:color="auto"/>
                                                <w:right w:val="none" w:sz="0" w:space="0" w:color="auto"/>
                                              </w:divBdr>
                                              <w:divsChild>
                                                <w:div w:id="808207679">
                                                  <w:marLeft w:val="0"/>
                                                  <w:marRight w:val="0"/>
                                                  <w:marTop w:val="0"/>
                                                  <w:marBottom w:val="0"/>
                                                  <w:divBdr>
                                                    <w:top w:val="none" w:sz="0" w:space="0" w:color="auto"/>
                                                    <w:left w:val="none" w:sz="0" w:space="0" w:color="auto"/>
                                                    <w:bottom w:val="none" w:sz="0" w:space="0" w:color="auto"/>
                                                    <w:right w:val="none" w:sz="0" w:space="0" w:color="auto"/>
                                                  </w:divBdr>
                                                  <w:divsChild>
                                                    <w:div w:id="1443106391">
                                                      <w:marLeft w:val="0"/>
                                                      <w:marRight w:val="0"/>
                                                      <w:marTop w:val="0"/>
                                                      <w:marBottom w:val="0"/>
                                                      <w:divBdr>
                                                        <w:top w:val="none" w:sz="0" w:space="0" w:color="auto"/>
                                                        <w:left w:val="none" w:sz="0" w:space="0" w:color="auto"/>
                                                        <w:bottom w:val="none" w:sz="0" w:space="0" w:color="auto"/>
                                                        <w:right w:val="none" w:sz="0" w:space="0" w:color="auto"/>
                                                      </w:divBdr>
                                                      <w:divsChild>
                                                        <w:div w:id="16612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8721538">
      <w:bodyDiv w:val="1"/>
      <w:marLeft w:val="0"/>
      <w:marRight w:val="0"/>
      <w:marTop w:val="0"/>
      <w:marBottom w:val="0"/>
      <w:divBdr>
        <w:top w:val="none" w:sz="0" w:space="0" w:color="auto"/>
        <w:left w:val="none" w:sz="0" w:space="0" w:color="auto"/>
        <w:bottom w:val="none" w:sz="0" w:space="0" w:color="auto"/>
        <w:right w:val="none" w:sz="0" w:space="0" w:color="auto"/>
      </w:divBdr>
      <w:divsChild>
        <w:div w:id="735666029">
          <w:marLeft w:val="0"/>
          <w:marRight w:val="0"/>
          <w:marTop w:val="0"/>
          <w:marBottom w:val="0"/>
          <w:divBdr>
            <w:top w:val="none" w:sz="0" w:space="0" w:color="auto"/>
            <w:left w:val="none" w:sz="0" w:space="0" w:color="auto"/>
            <w:bottom w:val="none" w:sz="0" w:space="0" w:color="auto"/>
            <w:right w:val="none" w:sz="0" w:space="0" w:color="auto"/>
          </w:divBdr>
          <w:divsChild>
            <w:div w:id="679745455">
              <w:marLeft w:val="0"/>
              <w:marRight w:val="0"/>
              <w:marTop w:val="0"/>
              <w:marBottom w:val="0"/>
              <w:divBdr>
                <w:top w:val="none" w:sz="0" w:space="0" w:color="auto"/>
                <w:left w:val="none" w:sz="0" w:space="0" w:color="auto"/>
                <w:bottom w:val="none" w:sz="0" w:space="0" w:color="auto"/>
                <w:right w:val="none" w:sz="0" w:space="0" w:color="auto"/>
              </w:divBdr>
              <w:divsChild>
                <w:div w:id="1484814367">
                  <w:marLeft w:val="0"/>
                  <w:marRight w:val="0"/>
                  <w:marTop w:val="0"/>
                  <w:marBottom w:val="0"/>
                  <w:divBdr>
                    <w:top w:val="none" w:sz="0" w:space="0" w:color="auto"/>
                    <w:left w:val="none" w:sz="0" w:space="0" w:color="auto"/>
                    <w:bottom w:val="none" w:sz="0" w:space="0" w:color="auto"/>
                    <w:right w:val="none" w:sz="0" w:space="0" w:color="auto"/>
                  </w:divBdr>
                  <w:divsChild>
                    <w:div w:id="9375570">
                      <w:marLeft w:val="0"/>
                      <w:marRight w:val="0"/>
                      <w:marTop w:val="0"/>
                      <w:marBottom w:val="0"/>
                      <w:divBdr>
                        <w:top w:val="single" w:sz="6" w:space="23" w:color="C0C0C0"/>
                        <w:left w:val="single" w:sz="6" w:space="23" w:color="C0C0C0"/>
                        <w:bottom w:val="single" w:sz="6" w:space="23" w:color="C0C0C0"/>
                        <w:right w:val="single" w:sz="6" w:space="23" w:color="C0C0C0"/>
                      </w:divBdr>
                      <w:divsChild>
                        <w:div w:id="20006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762867">
      <w:bodyDiv w:val="1"/>
      <w:marLeft w:val="0"/>
      <w:marRight w:val="0"/>
      <w:marTop w:val="0"/>
      <w:marBottom w:val="0"/>
      <w:divBdr>
        <w:top w:val="none" w:sz="0" w:space="0" w:color="auto"/>
        <w:left w:val="none" w:sz="0" w:space="0" w:color="auto"/>
        <w:bottom w:val="none" w:sz="0" w:space="0" w:color="auto"/>
        <w:right w:val="none" w:sz="0" w:space="0" w:color="auto"/>
      </w:divBdr>
      <w:divsChild>
        <w:div w:id="1899855794">
          <w:marLeft w:val="0"/>
          <w:marRight w:val="0"/>
          <w:marTop w:val="0"/>
          <w:marBottom w:val="0"/>
          <w:divBdr>
            <w:top w:val="single" w:sz="2" w:space="0" w:color="AAAAAA"/>
            <w:left w:val="single" w:sz="6" w:space="8" w:color="AAAAAA"/>
            <w:bottom w:val="single" w:sz="2" w:space="0" w:color="AAAAAA"/>
            <w:right w:val="single" w:sz="6" w:space="8" w:color="AAAAAA"/>
          </w:divBdr>
          <w:divsChild>
            <w:div w:id="1766270491">
              <w:marLeft w:val="0"/>
              <w:marRight w:val="0"/>
              <w:marTop w:val="0"/>
              <w:marBottom w:val="0"/>
              <w:divBdr>
                <w:top w:val="none" w:sz="0" w:space="0" w:color="auto"/>
                <w:left w:val="none" w:sz="0" w:space="0" w:color="auto"/>
                <w:bottom w:val="none" w:sz="0" w:space="0" w:color="auto"/>
                <w:right w:val="none" w:sz="0" w:space="0" w:color="auto"/>
              </w:divBdr>
              <w:divsChild>
                <w:div w:id="1850213996">
                  <w:marLeft w:val="0"/>
                  <w:marRight w:val="0"/>
                  <w:marTop w:val="0"/>
                  <w:marBottom w:val="0"/>
                  <w:divBdr>
                    <w:top w:val="none" w:sz="0" w:space="0" w:color="auto"/>
                    <w:left w:val="none" w:sz="0" w:space="0" w:color="auto"/>
                    <w:bottom w:val="none" w:sz="0" w:space="0" w:color="auto"/>
                    <w:right w:val="none" w:sz="0" w:space="0" w:color="auto"/>
                  </w:divBdr>
                  <w:divsChild>
                    <w:div w:id="1576551201">
                      <w:marLeft w:val="0"/>
                      <w:marRight w:val="2550"/>
                      <w:marTop w:val="0"/>
                      <w:marBottom w:val="48"/>
                      <w:divBdr>
                        <w:top w:val="none" w:sz="0" w:space="0" w:color="auto"/>
                        <w:left w:val="none" w:sz="0" w:space="0" w:color="auto"/>
                        <w:bottom w:val="none" w:sz="0" w:space="0" w:color="auto"/>
                        <w:right w:val="none" w:sz="0" w:space="0" w:color="auto"/>
                      </w:divBdr>
                      <w:divsChild>
                        <w:div w:id="1323393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8912718">
      <w:bodyDiv w:val="1"/>
      <w:marLeft w:val="0"/>
      <w:marRight w:val="0"/>
      <w:marTop w:val="0"/>
      <w:marBottom w:val="0"/>
      <w:divBdr>
        <w:top w:val="none" w:sz="0" w:space="0" w:color="auto"/>
        <w:left w:val="none" w:sz="0" w:space="0" w:color="auto"/>
        <w:bottom w:val="none" w:sz="0" w:space="0" w:color="auto"/>
        <w:right w:val="none" w:sz="0" w:space="0" w:color="auto"/>
      </w:divBdr>
      <w:divsChild>
        <w:div w:id="420571129">
          <w:marLeft w:val="0"/>
          <w:marRight w:val="0"/>
          <w:marTop w:val="0"/>
          <w:marBottom w:val="0"/>
          <w:divBdr>
            <w:top w:val="none" w:sz="0" w:space="0" w:color="auto"/>
            <w:left w:val="none" w:sz="0" w:space="0" w:color="auto"/>
            <w:bottom w:val="none" w:sz="0" w:space="0" w:color="auto"/>
            <w:right w:val="none" w:sz="0" w:space="0" w:color="auto"/>
          </w:divBdr>
          <w:divsChild>
            <w:div w:id="2009361146">
              <w:marLeft w:val="0"/>
              <w:marRight w:val="0"/>
              <w:marTop w:val="0"/>
              <w:marBottom w:val="0"/>
              <w:divBdr>
                <w:top w:val="none" w:sz="0" w:space="0" w:color="auto"/>
                <w:left w:val="none" w:sz="0" w:space="0" w:color="auto"/>
                <w:bottom w:val="none" w:sz="0" w:space="0" w:color="auto"/>
                <w:right w:val="none" w:sz="0" w:space="0" w:color="auto"/>
              </w:divBdr>
              <w:divsChild>
                <w:div w:id="170335354">
                  <w:marLeft w:val="0"/>
                  <w:marRight w:val="0"/>
                  <w:marTop w:val="0"/>
                  <w:marBottom w:val="0"/>
                  <w:divBdr>
                    <w:top w:val="none" w:sz="0" w:space="0" w:color="auto"/>
                    <w:left w:val="none" w:sz="0" w:space="0" w:color="auto"/>
                    <w:bottom w:val="none" w:sz="0" w:space="0" w:color="auto"/>
                    <w:right w:val="none" w:sz="0" w:space="0" w:color="auto"/>
                  </w:divBdr>
                  <w:divsChild>
                    <w:div w:id="1900288372">
                      <w:marLeft w:val="0"/>
                      <w:marRight w:val="0"/>
                      <w:marTop w:val="0"/>
                      <w:marBottom w:val="0"/>
                      <w:divBdr>
                        <w:top w:val="none" w:sz="0" w:space="0" w:color="auto"/>
                        <w:left w:val="none" w:sz="0" w:space="0" w:color="auto"/>
                        <w:bottom w:val="none" w:sz="0" w:space="0" w:color="auto"/>
                        <w:right w:val="none" w:sz="0" w:space="0" w:color="auto"/>
                      </w:divBdr>
                      <w:divsChild>
                        <w:div w:id="783813072">
                          <w:marLeft w:val="0"/>
                          <w:marRight w:val="0"/>
                          <w:marTop w:val="0"/>
                          <w:marBottom w:val="0"/>
                          <w:divBdr>
                            <w:top w:val="none" w:sz="0" w:space="0" w:color="auto"/>
                            <w:left w:val="none" w:sz="0" w:space="0" w:color="auto"/>
                            <w:bottom w:val="none" w:sz="0" w:space="0" w:color="auto"/>
                            <w:right w:val="none" w:sz="0" w:space="0" w:color="auto"/>
                          </w:divBdr>
                          <w:divsChild>
                            <w:div w:id="1756121891">
                              <w:marLeft w:val="0"/>
                              <w:marRight w:val="0"/>
                              <w:marTop w:val="0"/>
                              <w:marBottom w:val="0"/>
                              <w:divBdr>
                                <w:top w:val="none" w:sz="0" w:space="0" w:color="auto"/>
                                <w:left w:val="none" w:sz="0" w:space="0" w:color="auto"/>
                                <w:bottom w:val="none" w:sz="0" w:space="0" w:color="auto"/>
                                <w:right w:val="none" w:sz="0" w:space="0" w:color="auto"/>
                              </w:divBdr>
                              <w:divsChild>
                                <w:div w:id="611017734">
                                  <w:marLeft w:val="0"/>
                                  <w:marRight w:val="0"/>
                                  <w:marTop w:val="0"/>
                                  <w:marBottom w:val="0"/>
                                  <w:divBdr>
                                    <w:top w:val="none" w:sz="0" w:space="0" w:color="auto"/>
                                    <w:left w:val="none" w:sz="0" w:space="0" w:color="auto"/>
                                    <w:bottom w:val="none" w:sz="0" w:space="0" w:color="auto"/>
                                    <w:right w:val="none" w:sz="0" w:space="0" w:color="auto"/>
                                  </w:divBdr>
                                  <w:divsChild>
                                    <w:div w:id="576600983">
                                      <w:marLeft w:val="0"/>
                                      <w:marRight w:val="0"/>
                                      <w:marTop w:val="0"/>
                                      <w:marBottom w:val="0"/>
                                      <w:divBdr>
                                        <w:top w:val="none" w:sz="0" w:space="0" w:color="auto"/>
                                        <w:left w:val="none" w:sz="0" w:space="0" w:color="auto"/>
                                        <w:bottom w:val="none" w:sz="0" w:space="0" w:color="auto"/>
                                        <w:right w:val="none" w:sz="0" w:space="0" w:color="auto"/>
                                      </w:divBdr>
                                      <w:divsChild>
                                        <w:div w:id="1046836655">
                                          <w:marLeft w:val="0"/>
                                          <w:marRight w:val="0"/>
                                          <w:marTop w:val="0"/>
                                          <w:marBottom w:val="0"/>
                                          <w:divBdr>
                                            <w:top w:val="none" w:sz="0" w:space="0" w:color="auto"/>
                                            <w:left w:val="none" w:sz="0" w:space="0" w:color="auto"/>
                                            <w:bottom w:val="none" w:sz="0" w:space="0" w:color="auto"/>
                                            <w:right w:val="none" w:sz="0" w:space="0" w:color="auto"/>
                                          </w:divBdr>
                                        </w:div>
                                        <w:div w:id="420420073">
                                          <w:marLeft w:val="0"/>
                                          <w:marRight w:val="0"/>
                                          <w:marTop w:val="0"/>
                                          <w:marBottom w:val="0"/>
                                          <w:divBdr>
                                            <w:top w:val="none" w:sz="0" w:space="0" w:color="auto"/>
                                            <w:left w:val="none" w:sz="0" w:space="0" w:color="auto"/>
                                            <w:bottom w:val="none" w:sz="0" w:space="0" w:color="auto"/>
                                            <w:right w:val="none" w:sz="0" w:space="0" w:color="auto"/>
                                          </w:divBdr>
                                          <w:divsChild>
                                            <w:div w:id="1710699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9375956">
      <w:bodyDiv w:val="1"/>
      <w:marLeft w:val="0"/>
      <w:marRight w:val="0"/>
      <w:marTop w:val="0"/>
      <w:marBottom w:val="0"/>
      <w:divBdr>
        <w:top w:val="none" w:sz="0" w:space="0" w:color="auto"/>
        <w:left w:val="none" w:sz="0" w:space="0" w:color="auto"/>
        <w:bottom w:val="none" w:sz="0" w:space="0" w:color="auto"/>
        <w:right w:val="none" w:sz="0" w:space="0" w:color="auto"/>
      </w:divBdr>
      <w:divsChild>
        <w:div w:id="1609194031">
          <w:marLeft w:val="0"/>
          <w:marRight w:val="0"/>
          <w:marTop w:val="0"/>
          <w:marBottom w:val="0"/>
          <w:divBdr>
            <w:top w:val="none" w:sz="0" w:space="0" w:color="auto"/>
            <w:left w:val="none" w:sz="0" w:space="0" w:color="auto"/>
            <w:bottom w:val="none" w:sz="0" w:space="0" w:color="auto"/>
            <w:right w:val="none" w:sz="0" w:space="0" w:color="auto"/>
          </w:divBdr>
          <w:divsChild>
            <w:div w:id="875696715">
              <w:marLeft w:val="0"/>
              <w:marRight w:val="0"/>
              <w:marTop w:val="0"/>
              <w:marBottom w:val="0"/>
              <w:divBdr>
                <w:top w:val="none" w:sz="0" w:space="0" w:color="auto"/>
                <w:left w:val="none" w:sz="0" w:space="0" w:color="auto"/>
                <w:bottom w:val="none" w:sz="0" w:space="0" w:color="auto"/>
                <w:right w:val="none" w:sz="0" w:space="0" w:color="auto"/>
              </w:divBdr>
              <w:divsChild>
                <w:div w:id="1436897791">
                  <w:marLeft w:val="0"/>
                  <w:marRight w:val="0"/>
                  <w:marTop w:val="0"/>
                  <w:marBottom w:val="0"/>
                  <w:divBdr>
                    <w:top w:val="none" w:sz="0" w:space="0" w:color="auto"/>
                    <w:left w:val="none" w:sz="0" w:space="0" w:color="auto"/>
                    <w:bottom w:val="none" w:sz="0" w:space="0" w:color="auto"/>
                    <w:right w:val="none" w:sz="0" w:space="0" w:color="auto"/>
                  </w:divBdr>
                  <w:divsChild>
                    <w:div w:id="1002046820">
                      <w:marLeft w:val="0"/>
                      <w:marRight w:val="0"/>
                      <w:marTop w:val="0"/>
                      <w:marBottom w:val="0"/>
                      <w:divBdr>
                        <w:top w:val="none" w:sz="0" w:space="0" w:color="auto"/>
                        <w:left w:val="none" w:sz="0" w:space="0" w:color="auto"/>
                        <w:bottom w:val="none" w:sz="0" w:space="0" w:color="auto"/>
                        <w:right w:val="none" w:sz="0" w:space="0" w:color="auto"/>
                      </w:divBdr>
                      <w:divsChild>
                        <w:div w:id="602802485">
                          <w:marLeft w:val="0"/>
                          <w:marRight w:val="0"/>
                          <w:marTop w:val="0"/>
                          <w:marBottom w:val="0"/>
                          <w:divBdr>
                            <w:top w:val="none" w:sz="0" w:space="0" w:color="auto"/>
                            <w:left w:val="none" w:sz="0" w:space="0" w:color="auto"/>
                            <w:bottom w:val="none" w:sz="0" w:space="0" w:color="auto"/>
                            <w:right w:val="none" w:sz="0" w:space="0" w:color="auto"/>
                          </w:divBdr>
                          <w:divsChild>
                            <w:div w:id="1874999855">
                              <w:marLeft w:val="0"/>
                              <w:marRight w:val="0"/>
                              <w:marTop w:val="0"/>
                              <w:marBottom w:val="0"/>
                              <w:divBdr>
                                <w:top w:val="none" w:sz="0" w:space="0" w:color="auto"/>
                                <w:left w:val="none" w:sz="0" w:space="0" w:color="auto"/>
                                <w:bottom w:val="none" w:sz="0" w:space="0" w:color="auto"/>
                                <w:right w:val="none" w:sz="0" w:space="0" w:color="auto"/>
                              </w:divBdr>
                              <w:divsChild>
                                <w:div w:id="880478165">
                                  <w:marLeft w:val="0"/>
                                  <w:marRight w:val="0"/>
                                  <w:marTop w:val="0"/>
                                  <w:marBottom w:val="0"/>
                                  <w:divBdr>
                                    <w:top w:val="none" w:sz="0" w:space="0" w:color="auto"/>
                                    <w:left w:val="none" w:sz="0" w:space="0" w:color="auto"/>
                                    <w:bottom w:val="none" w:sz="0" w:space="0" w:color="auto"/>
                                    <w:right w:val="none" w:sz="0" w:space="0" w:color="auto"/>
                                  </w:divBdr>
                                  <w:divsChild>
                                    <w:div w:id="79572680">
                                      <w:marLeft w:val="0"/>
                                      <w:marRight w:val="0"/>
                                      <w:marTop w:val="0"/>
                                      <w:marBottom w:val="0"/>
                                      <w:divBdr>
                                        <w:top w:val="none" w:sz="0" w:space="0" w:color="auto"/>
                                        <w:left w:val="none" w:sz="0" w:space="0" w:color="auto"/>
                                        <w:bottom w:val="none" w:sz="0" w:space="0" w:color="auto"/>
                                        <w:right w:val="none" w:sz="0" w:space="0" w:color="auto"/>
                                      </w:divBdr>
                                      <w:divsChild>
                                        <w:div w:id="1135179814">
                                          <w:marLeft w:val="0"/>
                                          <w:marRight w:val="0"/>
                                          <w:marTop w:val="0"/>
                                          <w:marBottom w:val="0"/>
                                          <w:divBdr>
                                            <w:top w:val="none" w:sz="0" w:space="0" w:color="auto"/>
                                            <w:left w:val="none" w:sz="0" w:space="0" w:color="auto"/>
                                            <w:bottom w:val="none" w:sz="0" w:space="0" w:color="auto"/>
                                            <w:right w:val="none" w:sz="0" w:space="0" w:color="auto"/>
                                          </w:divBdr>
                                          <w:divsChild>
                                            <w:div w:id="1550067947">
                                              <w:marLeft w:val="0"/>
                                              <w:marRight w:val="0"/>
                                              <w:marTop w:val="0"/>
                                              <w:marBottom w:val="0"/>
                                              <w:divBdr>
                                                <w:top w:val="none" w:sz="0" w:space="0" w:color="auto"/>
                                                <w:left w:val="none" w:sz="0" w:space="0" w:color="auto"/>
                                                <w:bottom w:val="none" w:sz="0" w:space="0" w:color="auto"/>
                                                <w:right w:val="none" w:sz="0" w:space="0" w:color="auto"/>
                                              </w:divBdr>
                                              <w:divsChild>
                                                <w:div w:id="1429422143">
                                                  <w:marLeft w:val="0"/>
                                                  <w:marRight w:val="0"/>
                                                  <w:marTop w:val="0"/>
                                                  <w:marBottom w:val="0"/>
                                                  <w:divBdr>
                                                    <w:top w:val="none" w:sz="0" w:space="0" w:color="auto"/>
                                                    <w:left w:val="none" w:sz="0" w:space="0" w:color="auto"/>
                                                    <w:bottom w:val="none" w:sz="0" w:space="0" w:color="auto"/>
                                                    <w:right w:val="none" w:sz="0" w:space="0" w:color="auto"/>
                                                  </w:divBdr>
                                                  <w:divsChild>
                                                    <w:div w:id="298653303">
                                                      <w:marLeft w:val="0"/>
                                                      <w:marRight w:val="0"/>
                                                      <w:marTop w:val="0"/>
                                                      <w:marBottom w:val="0"/>
                                                      <w:divBdr>
                                                        <w:top w:val="none" w:sz="0" w:space="0" w:color="auto"/>
                                                        <w:left w:val="none" w:sz="0" w:space="0" w:color="auto"/>
                                                        <w:bottom w:val="none" w:sz="0" w:space="0" w:color="auto"/>
                                                        <w:right w:val="none" w:sz="0" w:space="0" w:color="auto"/>
                                                      </w:divBdr>
                                                      <w:divsChild>
                                                        <w:div w:id="1808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0148757">
      <w:bodyDiv w:val="1"/>
      <w:marLeft w:val="0"/>
      <w:marRight w:val="0"/>
      <w:marTop w:val="0"/>
      <w:marBottom w:val="0"/>
      <w:divBdr>
        <w:top w:val="none" w:sz="0" w:space="0" w:color="auto"/>
        <w:left w:val="none" w:sz="0" w:space="0" w:color="auto"/>
        <w:bottom w:val="none" w:sz="0" w:space="0" w:color="auto"/>
        <w:right w:val="none" w:sz="0" w:space="0" w:color="auto"/>
      </w:divBdr>
      <w:divsChild>
        <w:div w:id="896626098">
          <w:marLeft w:val="0"/>
          <w:marRight w:val="0"/>
          <w:marTop w:val="0"/>
          <w:marBottom w:val="0"/>
          <w:divBdr>
            <w:top w:val="none" w:sz="0" w:space="0" w:color="auto"/>
            <w:left w:val="none" w:sz="0" w:space="0" w:color="auto"/>
            <w:bottom w:val="none" w:sz="0" w:space="0" w:color="auto"/>
            <w:right w:val="none" w:sz="0" w:space="0" w:color="auto"/>
          </w:divBdr>
          <w:divsChild>
            <w:div w:id="1959793583">
              <w:marLeft w:val="0"/>
              <w:marRight w:val="0"/>
              <w:marTop w:val="0"/>
              <w:marBottom w:val="0"/>
              <w:divBdr>
                <w:top w:val="none" w:sz="0" w:space="0" w:color="auto"/>
                <w:left w:val="none" w:sz="0" w:space="0" w:color="auto"/>
                <w:bottom w:val="none" w:sz="0" w:space="0" w:color="auto"/>
                <w:right w:val="none" w:sz="0" w:space="0" w:color="auto"/>
              </w:divBdr>
              <w:divsChild>
                <w:div w:id="1895970035">
                  <w:marLeft w:val="0"/>
                  <w:marRight w:val="0"/>
                  <w:marTop w:val="0"/>
                  <w:marBottom w:val="0"/>
                  <w:divBdr>
                    <w:top w:val="none" w:sz="0" w:space="0" w:color="auto"/>
                    <w:left w:val="none" w:sz="0" w:space="0" w:color="auto"/>
                    <w:bottom w:val="none" w:sz="0" w:space="0" w:color="auto"/>
                    <w:right w:val="none" w:sz="0" w:space="0" w:color="auto"/>
                  </w:divBdr>
                  <w:divsChild>
                    <w:div w:id="1705129277">
                      <w:marLeft w:val="0"/>
                      <w:marRight w:val="0"/>
                      <w:marTop w:val="0"/>
                      <w:marBottom w:val="0"/>
                      <w:divBdr>
                        <w:top w:val="none" w:sz="0" w:space="0" w:color="auto"/>
                        <w:left w:val="none" w:sz="0" w:space="0" w:color="auto"/>
                        <w:bottom w:val="none" w:sz="0" w:space="0" w:color="auto"/>
                        <w:right w:val="none" w:sz="0" w:space="0" w:color="auto"/>
                      </w:divBdr>
                      <w:divsChild>
                        <w:div w:id="233977972">
                          <w:marLeft w:val="0"/>
                          <w:marRight w:val="0"/>
                          <w:marTop w:val="0"/>
                          <w:marBottom w:val="0"/>
                          <w:divBdr>
                            <w:top w:val="none" w:sz="0" w:space="0" w:color="auto"/>
                            <w:left w:val="none" w:sz="0" w:space="0" w:color="auto"/>
                            <w:bottom w:val="none" w:sz="0" w:space="0" w:color="auto"/>
                            <w:right w:val="none" w:sz="0" w:space="0" w:color="auto"/>
                          </w:divBdr>
                          <w:divsChild>
                            <w:div w:id="1921522353">
                              <w:marLeft w:val="0"/>
                              <w:marRight w:val="0"/>
                              <w:marTop w:val="0"/>
                              <w:marBottom w:val="0"/>
                              <w:divBdr>
                                <w:top w:val="none" w:sz="0" w:space="0" w:color="auto"/>
                                <w:left w:val="none" w:sz="0" w:space="0" w:color="auto"/>
                                <w:bottom w:val="none" w:sz="0" w:space="0" w:color="auto"/>
                                <w:right w:val="none" w:sz="0" w:space="0" w:color="auto"/>
                              </w:divBdr>
                              <w:divsChild>
                                <w:div w:id="912743270">
                                  <w:marLeft w:val="0"/>
                                  <w:marRight w:val="0"/>
                                  <w:marTop w:val="0"/>
                                  <w:marBottom w:val="0"/>
                                  <w:divBdr>
                                    <w:top w:val="none" w:sz="0" w:space="0" w:color="auto"/>
                                    <w:left w:val="none" w:sz="0" w:space="0" w:color="auto"/>
                                    <w:bottom w:val="none" w:sz="0" w:space="0" w:color="auto"/>
                                    <w:right w:val="none" w:sz="0" w:space="0" w:color="auto"/>
                                  </w:divBdr>
                                  <w:divsChild>
                                    <w:div w:id="554389164">
                                      <w:marLeft w:val="0"/>
                                      <w:marRight w:val="0"/>
                                      <w:marTop w:val="0"/>
                                      <w:marBottom w:val="0"/>
                                      <w:divBdr>
                                        <w:top w:val="none" w:sz="0" w:space="0" w:color="auto"/>
                                        <w:left w:val="none" w:sz="0" w:space="0" w:color="auto"/>
                                        <w:bottom w:val="none" w:sz="0" w:space="0" w:color="auto"/>
                                        <w:right w:val="none" w:sz="0" w:space="0" w:color="auto"/>
                                      </w:divBdr>
                                      <w:divsChild>
                                        <w:div w:id="803621457">
                                          <w:marLeft w:val="0"/>
                                          <w:marRight w:val="0"/>
                                          <w:marTop w:val="0"/>
                                          <w:marBottom w:val="0"/>
                                          <w:divBdr>
                                            <w:top w:val="none" w:sz="0" w:space="0" w:color="auto"/>
                                            <w:left w:val="none" w:sz="0" w:space="0" w:color="auto"/>
                                            <w:bottom w:val="none" w:sz="0" w:space="0" w:color="auto"/>
                                            <w:right w:val="none" w:sz="0" w:space="0" w:color="auto"/>
                                          </w:divBdr>
                                          <w:divsChild>
                                            <w:div w:id="1445079264">
                                              <w:marLeft w:val="0"/>
                                              <w:marRight w:val="0"/>
                                              <w:marTop w:val="0"/>
                                              <w:marBottom w:val="0"/>
                                              <w:divBdr>
                                                <w:top w:val="none" w:sz="0" w:space="0" w:color="auto"/>
                                                <w:left w:val="none" w:sz="0" w:space="0" w:color="auto"/>
                                                <w:bottom w:val="none" w:sz="0" w:space="0" w:color="auto"/>
                                                <w:right w:val="none" w:sz="0" w:space="0" w:color="auto"/>
                                              </w:divBdr>
                                              <w:divsChild>
                                                <w:div w:id="566719949">
                                                  <w:marLeft w:val="0"/>
                                                  <w:marRight w:val="0"/>
                                                  <w:marTop w:val="0"/>
                                                  <w:marBottom w:val="0"/>
                                                  <w:divBdr>
                                                    <w:top w:val="none" w:sz="0" w:space="0" w:color="auto"/>
                                                    <w:left w:val="none" w:sz="0" w:space="0" w:color="auto"/>
                                                    <w:bottom w:val="none" w:sz="0" w:space="0" w:color="auto"/>
                                                    <w:right w:val="none" w:sz="0" w:space="0" w:color="auto"/>
                                                  </w:divBdr>
                                                  <w:divsChild>
                                                    <w:div w:id="189801038">
                                                      <w:marLeft w:val="0"/>
                                                      <w:marRight w:val="0"/>
                                                      <w:marTop w:val="0"/>
                                                      <w:marBottom w:val="0"/>
                                                      <w:divBdr>
                                                        <w:top w:val="none" w:sz="0" w:space="0" w:color="auto"/>
                                                        <w:left w:val="none" w:sz="0" w:space="0" w:color="auto"/>
                                                        <w:bottom w:val="none" w:sz="0" w:space="0" w:color="auto"/>
                                                        <w:right w:val="none" w:sz="0" w:space="0" w:color="auto"/>
                                                      </w:divBdr>
                                                      <w:divsChild>
                                                        <w:div w:id="1378896409">
                                                          <w:marLeft w:val="0"/>
                                                          <w:marRight w:val="0"/>
                                                          <w:marTop w:val="0"/>
                                                          <w:marBottom w:val="0"/>
                                                          <w:divBdr>
                                                            <w:top w:val="none" w:sz="0" w:space="0" w:color="auto"/>
                                                            <w:left w:val="none" w:sz="0" w:space="0" w:color="auto"/>
                                                            <w:bottom w:val="none" w:sz="0" w:space="0" w:color="auto"/>
                                                            <w:right w:val="none" w:sz="0" w:space="0" w:color="auto"/>
                                                          </w:divBdr>
                                                        </w:div>
                                                        <w:div w:id="683941420">
                                                          <w:marLeft w:val="0"/>
                                                          <w:marRight w:val="0"/>
                                                          <w:marTop w:val="0"/>
                                                          <w:marBottom w:val="0"/>
                                                          <w:divBdr>
                                                            <w:top w:val="none" w:sz="0" w:space="0" w:color="auto"/>
                                                            <w:left w:val="none" w:sz="0" w:space="0" w:color="auto"/>
                                                            <w:bottom w:val="none" w:sz="0" w:space="0" w:color="auto"/>
                                                            <w:right w:val="none" w:sz="0" w:space="0" w:color="auto"/>
                                                          </w:divBdr>
                                                          <w:divsChild>
                                                            <w:div w:id="11310992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0922706">
      <w:bodyDiv w:val="1"/>
      <w:marLeft w:val="0"/>
      <w:marRight w:val="0"/>
      <w:marTop w:val="0"/>
      <w:marBottom w:val="0"/>
      <w:divBdr>
        <w:top w:val="none" w:sz="0" w:space="0" w:color="auto"/>
        <w:left w:val="none" w:sz="0" w:space="0" w:color="auto"/>
        <w:bottom w:val="none" w:sz="0" w:space="0" w:color="auto"/>
        <w:right w:val="none" w:sz="0" w:space="0" w:color="auto"/>
      </w:divBdr>
      <w:divsChild>
        <w:div w:id="757137501">
          <w:marLeft w:val="0"/>
          <w:marRight w:val="0"/>
          <w:marTop w:val="0"/>
          <w:marBottom w:val="0"/>
          <w:divBdr>
            <w:top w:val="none" w:sz="0" w:space="0" w:color="auto"/>
            <w:left w:val="none" w:sz="0" w:space="0" w:color="auto"/>
            <w:bottom w:val="none" w:sz="0" w:space="0" w:color="auto"/>
            <w:right w:val="none" w:sz="0" w:space="0" w:color="auto"/>
          </w:divBdr>
          <w:divsChild>
            <w:div w:id="1962152796">
              <w:marLeft w:val="0"/>
              <w:marRight w:val="0"/>
              <w:marTop w:val="0"/>
              <w:marBottom w:val="0"/>
              <w:divBdr>
                <w:top w:val="none" w:sz="0" w:space="0" w:color="auto"/>
                <w:left w:val="none" w:sz="0" w:space="0" w:color="auto"/>
                <w:bottom w:val="none" w:sz="0" w:space="0" w:color="auto"/>
                <w:right w:val="none" w:sz="0" w:space="0" w:color="auto"/>
              </w:divBdr>
              <w:divsChild>
                <w:div w:id="2053771325">
                  <w:marLeft w:val="0"/>
                  <w:marRight w:val="0"/>
                  <w:marTop w:val="0"/>
                  <w:marBottom w:val="0"/>
                  <w:divBdr>
                    <w:top w:val="none" w:sz="0" w:space="0" w:color="auto"/>
                    <w:left w:val="none" w:sz="0" w:space="0" w:color="auto"/>
                    <w:bottom w:val="none" w:sz="0" w:space="0" w:color="auto"/>
                    <w:right w:val="none" w:sz="0" w:space="0" w:color="auto"/>
                  </w:divBdr>
                  <w:divsChild>
                    <w:div w:id="129715632">
                      <w:marLeft w:val="0"/>
                      <w:marRight w:val="0"/>
                      <w:marTop w:val="0"/>
                      <w:marBottom w:val="0"/>
                      <w:divBdr>
                        <w:top w:val="none" w:sz="0" w:space="0" w:color="auto"/>
                        <w:left w:val="none" w:sz="0" w:space="0" w:color="auto"/>
                        <w:bottom w:val="none" w:sz="0" w:space="0" w:color="auto"/>
                        <w:right w:val="none" w:sz="0" w:space="0" w:color="auto"/>
                      </w:divBdr>
                      <w:divsChild>
                        <w:div w:id="143343267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21000829">
      <w:bodyDiv w:val="1"/>
      <w:marLeft w:val="0"/>
      <w:marRight w:val="0"/>
      <w:marTop w:val="0"/>
      <w:marBottom w:val="0"/>
      <w:divBdr>
        <w:top w:val="none" w:sz="0" w:space="0" w:color="auto"/>
        <w:left w:val="none" w:sz="0" w:space="0" w:color="auto"/>
        <w:bottom w:val="none" w:sz="0" w:space="0" w:color="auto"/>
        <w:right w:val="none" w:sz="0" w:space="0" w:color="auto"/>
      </w:divBdr>
      <w:divsChild>
        <w:div w:id="195891040">
          <w:marLeft w:val="0"/>
          <w:marRight w:val="0"/>
          <w:marTop w:val="0"/>
          <w:marBottom w:val="0"/>
          <w:divBdr>
            <w:top w:val="none" w:sz="0" w:space="0" w:color="auto"/>
            <w:left w:val="none" w:sz="0" w:space="0" w:color="auto"/>
            <w:bottom w:val="none" w:sz="0" w:space="0" w:color="auto"/>
            <w:right w:val="none" w:sz="0" w:space="0" w:color="auto"/>
          </w:divBdr>
          <w:divsChild>
            <w:div w:id="442656842">
              <w:marLeft w:val="0"/>
              <w:marRight w:val="0"/>
              <w:marTop w:val="0"/>
              <w:marBottom w:val="0"/>
              <w:divBdr>
                <w:top w:val="none" w:sz="0" w:space="0" w:color="auto"/>
                <w:left w:val="none" w:sz="0" w:space="0" w:color="auto"/>
                <w:bottom w:val="none" w:sz="0" w:space="0" w:color="auto"/>
                <w:right w:val="none" w:sz="0" w:space="0" w:color="auto"/>
              </w:divBdr>
              <w:divsChild>
                <w:div w:id="423189461">
                  <w:marLeft w:val="0"/>
                  <w:marRight w:val="0"/>
                  <w:marTop w:val="0"/>
                  <w:marBottom w:val="0"/>
                  <w:divBdr>
                    <w:top w:val="none" w:sz="0" w:space="0" w:color="auto"/>
                    <w:left w:val="none" w:sz="0" w:space="0" w:color="auto"/>
                    <w:bottom w:val="none" w:sz="0" w:space="0" w:color="auto"/>
                    <w:right w:val="none" w:sz="0" w:space="0" w:color="auto"/>
                  </w:divBdr>
                  <w:divsChild>
                    <w:div w:id="1478960284">
                      <w:marLeft w:val="0"/>
                      <w:marRight w:val="0"/>
                      <w:marTop w:val="0"/>
                      <w:marBottom w:val="0"/>
                      <w:divBdr>
                        <w:top w:val="none" w:sz="0" w:space="0" w:color="auto"/>
                        <w:left w:val="none" w:sz="0" w:space="0" w:color="auto"/>
                        <w:bottom w:val="none" w:sz="0" w:space="0" w:color="auto"/>
                        <w:right w:val="none" w:sz="0" w:space="0" w:color="auto"/>
                      </w:divBdr>
                      <w:divsChild>
                        <w:div w:id="1632831427">
                          <w:marLeft w:val="0"/>
                          <w:marRight w:val="0"/>
                          <w:marTop w:val="0"/>
                          <w:marBottom w:val="450"/>
                          <w:divBdr>
                            <w:top w:val="none" w:sz="0" w:space="0" w:color="auto"/>
                            <w:left w:val="none" w:sz="0" w:space="0" w:color="auto"/>
                            <w:bottom w:val="none" w:sz="0" w:space="0" w:color="auto"/>
                            <w:right w:val="none" w:sz="0" w:space="0" w:color="auto"/>
                          </w:divBdr>
                          <w:divsChild>
                            <w:div w:id="615065105">
                              <w:marLeft w:val="0"/>
                              <w:marRight w:val="0"/>
                              <w:marTop w:val="0"/>
                              <w:marBottom w:val="0"/>
                              <w:divBdr>
                                <w:top w:val="none" w:sz="0" w:space="0" w:color="auto"/>
                                <w:left w:val="none" w:sz="0" w:space="0" w:color="auto"/>
                                <w:bottom w:val="none" w:sz="0" w:space="0" w:color="auto"/>
                                <w:right w:val="none" w:sz="0" w:space="0" w:color="auto"/>
                              </w:divBdr>
                              <w:divsChild>
                                <w:div w:id="863977347">
                                  <w:marLeft w:val="0"/>
                                  <w:marRight w:val="0"/>
                                  <w:marTop w:val="0"/>
                                  <w:marBottom w:val="0"/>
                                  <w:divBdr>
                                    <w:top w:val="none" w:sz="0" w:space="0" w:color="auto"/>
                                    <w:left w:val="none" w:sz="0" w:space="0" w:color="auto"/>
                                    <w:bottom w:val="none" w:sz="0" w:space="0" w:color="auto"/>
                                    <w:right w:val="none" w:sz="0" w:space="0" w:color="auto"/>
                                  </w:divBdr>
                                  <w:divsChild>
                                    <w:div w:id="228003575">
                                      <w:marLeft w:val="0"/>
                                      <w:marRight w:val="4"/>
                                      <w:marTop w:val="0"/>
                                      <w:marBottom w:val="0"/>
                                      <w:divBdr>
                                        <w:top w:val="none" w:sz="0" w:space="0" w:color="auto"/>
                                        <w:left w:val="none" w:sz="0" w:space="0" w:color="auto"/>
                                        <w:bottom w:val="none" w:sz="0" w:space="0" w:color="auto"/>
                                        <w:right w:val="none" w:sz="0" w:space="0" w:color="auto"/>
                                      </w:divBdr>
                                      <w:divsChild>
                                        <w:div w:id="1042171792">
                                          <w:marLeft w:val="0"/>
                                          <w:marRight w:val="0"/>
                                          <w:marTop w:val="300"/>
                                          <w:marBottom w:val="300"/>
                                          <w:divBdr>
                                            <w:top w:val="single" w:sz="6" w:space="0" w:color="EFEFEF"/>
                                            <w:left w:val="single" w:sz="6" w:space="0" w:color="EFEFEF"/>
                                            <w:bottom w:val="single" w:sz="6" w:space="0" w:color="EFEFEF"/>
                                            <w:right w:val="single" w:sz="6" w:space="0" w:color="EFEFEF"/>
                                          </w:divBdr>
                                          <w:divsChild>
                                            <w:div w:id="10592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844538">
      <w:bodyDiv w:val="1"/>
      <w:marLeft w:val="0"/>
      <w:marRight w:val="0"/>
      <w:marTop w:val="0"/>
      <w:marBottom w:val="0"/>
      <w:divBdr>
        <w:top w:val="none" w:sz="0" w:space="0" w:color="auto"/>
        <w:left w:val="none" w:sz="0" w:space="0" w:color="auto"/>
        <w:bottom w:val="none" w:sz="0" w:space="0" w:color="auto"/>
        <w:right w:val="none" w:sz="0" w:space="0" w:color="auto"/>
      </w:divBdr>
      <w:divsChild>
        <w:div w:id="250940490">
          <w:marLeft w:val="0"/>
          <w:marRight w:val="0"/>
          <w:marTop w:val="0"/>
          <w:marBottom w:val="0"/>
          <w:divBdr>
            <w:top w:val="none" w:sz="0" w:space="0" w:color="auto"/>
            <w:left w:val="none" w:sz="0" w:space="0" w:color="auto"/>
            <w:bottom w:val="none" w:sz="0" w:space="0" w:color="auto"/>
            <w:right w:val="none" w:sz="0" w:space="0" w:color="auto"/>
          </w:divBdr>
          <w:divsChild>
            <w:div w:id="1544173038">
              <w:marLeft w:val="0"/>
              <w:marRight w:val="0"/>
              <w:marTop w:val="0"/>
              <w:marBottom w:val="0"/>
              <w:divBdr>
                <w:top w:val="none" w:sz="0" w:space="0" w:color="auto"/>
                <w:left w:val="none" w:sz="0" w:space="0" w:color="auto"/>
                <w:bottom w:val="none" w:sz="0" w:space="0" w:color="auto"/>
                <w:right w:val="none" w:sz="0" w:space="0" w:color="auto"/>
              </w:divBdr>
              <w:divsChild>
                <w:div w:id="1865291903">
                  <w:marLeft w:val="0"/>
                  <w:marRight w:val="0"/>
                  <w:marTop w:val="100"/>
                  <w:marBottom w:val="100"/>
                  <w:divBdr>
                    <w:top w:val="none" w:sz="0" w:space="0" w:color="auto"/>
                    <w:left w:val="none" w:sz="0" w:space="0" w:color="auto"/>
                    <w:bottom w:val="none" w:sz="0" w:space="0" w:color="auto"/>
                    <w:right w:val="none" w:sz="0" w:space="0" w:color="auto"/>
                  </w:divBdr>
                  <w:divsChild>
                    <w:div w:id="1911578360">
                      <w:marLeft w:val="0"/>
                      <w:marRight w:val="0"/>
                      <w:marTop w:val="0"/>
                      <w:marBottom w:val="0"/>
                      <w:divBdr>
                        <w:top w:val="none" w:sz="0" w:space="0" w:color="auto"/>
                        <w:left w:val="none" w:sz="0" w:space="0" w:color="auto"/>
                        <w:bottom w:val="none" w:sz="0" w:space="0" w:color="auto"/>
                        <w:right w:val="none" w:sz="0" w:space="0" w:color="auto"/>
                      </w:divBdr>
                      <w:divsChild>
                        <w:div w:id="1673097827">
                          <w:marLeft w:val="0"/>
                          <w:marRight w:val="0"/>
                          <w:marTop w:val="0"/>
                          <w:marBottom w:val="0"/>
                          <w:divBdr>
                            <w:top w:val="none" w:sz="0" w:space="0" w:color="auto"/>
                            <w:left w:val="none" w:sz="0" w:space="0" w:color="auto"/>
                            <w:bottom w:val="none" w:sz="0" w:space="0" w:color="auto"/>
                            <w:right w:val="none" w:sz="0" w:space="0" w:color="auto"/>
                          </w:divBdr>
                          <w:divsChild>
                            <w:div w:id="49963608">
                              <w:marLeft w:val="0"/>
                              <w:marRight w:val="0"/>
                              <w:marTop w:val="0"/>
                              <w:marBottom w:val="0"/>
                              <w:divBdr>
                                <w:top w:val="none" w:sz="0" w:space="0" w:color="auto"/>
                                <w:left w:val="none" w:sz="0" w:space="0" w:color="auto"/>
                                <w:bottom w:val="none" w:sz="0" w:space="0" w:color="auto"/>
                                <w:right w:val="none" w:sz="0" w:space="0" w:color="auto"/>
                              </w:divBdr>
                              <w:divsChild>
                                <w:div w:id="1403138862">
                                  <w:marLeft w:val="0"/>
                                  <w:marRight w:val="0"/>
                                  <w:marTop w:val="0"/>
                                  <w:marBottom w:val="0"/>
                                  <w:divBdr>
                                    <w:top w:val="none" w:sz="0" w:space="0" w:color="auto"/>
                                    <w:left w:val="none" w:sz="0" w:space="0" w:color="auto"/>
                                    <w:bottom w:val="none" w:sz="0" w:space="0" w:color="auto"/>
                                    <w:right w:val="none" w:sz="0" w:space="0" w:color="auto"/>
                                  </w:divBdr>
                                  <w:divsChild>
                                    <w:div w:id="13563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922461">
      <w:bodyDiv w:val="1"/>
      <w:marLeft w:val="0"/>
      <w:marRight w:val="0"/>
      <w:marTop w:val="0"/>
      <w:marBottom w:val="0"/>
      <w:divBdr>
        <w:top w:val="none" w:sz="0" w:space="0" w:color="auto"/>
        <w:left w:val="none" w:sz="0" w:space="0" w:color="auto"/>
        <w:bottom w:val="none" w:sz="0" w:space="0" w:color="auto"/>
        <w:right w:val="none" w:sz="0" w:space="0" w:color="auto"/>
      </w:divBdr>
    </w:div>
    <w:div w:id="1822501340">
      <w:bodyDiv w:val="1"/>
      <w:marLeft w:val="0"/>
      <w:marRight w:val="0"/>
      <w:marTop w:val="0"/>
      <w:marBottom w:val="0"/>
      <w:divBdr>
        <w:top w:val="none" w:sz="0" w:space="0" w:color="auto"/>
        <w:left w:val="none" w:sz="0" w:space="0" w:color="auto"/>
        <w:bottom w:val="none" w:sz="0" w:space="0" w:color="auto"/>
        <w:right w:val="none" w:sz="0" w:space="0" w:color="auto"/>
      </w:divBdr>
      <w:divsChild>
        <w:div w:id="409499903">
          <w:marLeft w:val="0"/>
          <w:marRight w:val="0"/>
          <w:marTop w:val="0"/>
          <w:marBottom w:val="0"/>
          <w:divBdr>
            <w:top w:val="none" w:sz="0" w:space="0" w:color="auto"/>
            <w:left w:val="none" w:sz="0" w:space="0" w:color="auto"/>
            <w:bottom w:val="none" w:sz="0" w:space="0" w:color="auto"/>
            <w:right w:val="none" w:sz="0" w:space="0" w:color="auto"/>
          </w:divBdr>
          <w:divsChild>
            <w:div w:id="1487160372">
              <w:marLeft w:val="0"/>
              <w:marRight w:val="0"/>
              <w:marTop w:val="0"/>
              <w:marBottom w:val="0"/>
              <w:divBdr>
                <w:top w:val="none" w:sz="0" w:space="0" w:color="auto"/>
                <w:left w:val="none" w:sz="0" w:space="0" w:color="auto"/>
                <w:bottom w:val="none" w:sz="0" w:space="0" w:color="auto"/>
                <w:right w:val="none" w:sz="0" w:space="0" w:color="auto"/>
              </w:divBdr>
              <w:divsChild>
                <w:div w:id="2105179817">
                  <w:marLeft w:val="0"/>
                  <w:marRight w:val="0"/>
                  <w:marTop w:val="0"/>
                  <w:marBottom w:val="0"/>
                  <w:divBdr>
                    <w:top w:val="none" w:sz="0" w:space="0" w:color="auto"/>
                    <w:left w:val="none" w:sz="0" w:space="0" w:color="auto"/>
                    <w:bottom w:val="none" w:sz="0" w:space="0" w:color="auto"/>
                    <w:right w:val="none" w:sz="0" w:space="0" w:color="auto"/>
                  </w:divBdr>
                  <w:divsChild>
                    <w:div w:id="1303729211">
                      <w:marLeft w:val="0"/>
                      <w:marRight w:val="0"/>
                      <w:marTop w:val="0"/>
                      <w:marBottom w:val="0"/>
                      <w:divBdr>
                        <w:top w:val="none" w:sz="0" w:space="0" w:color="auto"/>
                        <w:left w:val="none" w:sz="0" w:space="0" w:color="auto"/>
                        <w:bottom w:val="none" w:sz="0" w:space="0" w:color="auto"/>
                        <w:right w:val="none" w:sz="0" w:space="0" w:color="auto"/>
                      </w:divBdr>
                      <w:divsChild>
                        <w:div w:id="1668552821">
                          <w:marLeft w:val="0"/>
                          <w:marRight w:val="0"/>
                          <w:marTop w:val="0"/>
                          <w:marBottom w:val="0"/>
                          <w:divBdr>
                            <w:top w:val="none" w:sz="0" w:space="0" w:color="auto"/>
                            <w:left w:val="none" w:sz="0" w:space="0" w:color="auto"/>
                            <w:bottom w:val="none" w:sz="0" w:space="0" w:color="auto"/>
                            <w:right w:val="none" w:sz="0" w:space="0" w:color="auto"/>
                          </w:divBdr>
                          <w:divsChild>
                            <w:div w:id="1079449581">
                              <w:marLeft w:val="0"/>
                              <w:marRight w:val="0"/>
                              <w:marTop w:val="0"/>
                              <w:marBottom w:val="0"/>
                              <w:divBdr>
                                <w:top w:val="none" w:sz="0" w:space="0" w:color="auto"/>
                                <w:left w:val="none" w:sz="0" w:space="0" w:color="auto"/>
                                <w:bottom w:val="none" w:sz="0" w:space="0" w:color="auto"/>
                                <w:right w:val="none" w:sz="0" w:space="0" w:color="auto"/>
                              </w:divBdr>
                              <w:divsChild>
                                <w:div w:id="215316190">
                                  <w:marLeft w:val="120"/>
                                  <w:marRight w:val="720"/>
                                  <w:marTop w:val="120"/>
                                  <w:marBottom w:val="120"/>
                                  <w:divBdr>
                                    <w:top w:val="none" w:sz="0" w:space="0" w:color="auto"/>
                                    <w:left w:val="none" w:sz="0" w:space="0" w:color="auto"/>
                                    <w:bottom w:val="none" w:sz="0" w:space="0" w:color="auto"/>
                                    <w:right w:val="none" w:sz="0" w:space="0" w:color="auto"/>
                                  </w:divBdr>
                                  <w:divsChild>
                                    <w:div w:id="1006904887">
                                      <w:marLeft w:val="0"/>
                                      <w:marRight w:val="0"/>
                                      <w:marTop w:val="0"/>
                                      <w:marBottom w:val="0"/>
                                      <w:divBdr>
                                        <w:top w:val="none" w:sz="0" w:space="0" w:color="auto"/>
                                        <w:left w:val="none" w:sz="0" w:space="0" w:color="auto"/>
                                        <w:bottom w:val="none" w:sz="0" w:space="0" w:color="auto"/>
                                        <w:right w:val="none" w:sz="0" w:space="0" w:color="auto"/>
                                      </w:divBdr>
                                      <w:divsChild>
                                        <w:div w:id="750812978">
                                          <w:marLeft w:val="0"/>
                                          <w:marRight w:val="0"/>
                                          <w:marTop w:val="0"/>
                                          <w:marBottom w:val="0"/>
                                          <w:divBdr>
                                            <w:top w:val="none" w:sz="0" w:space="0" w:color="auto"/>
                                            <w:left w:val="none" w:sz="0" w:space="0" w:color="auto"/>
                                            <w:bottom w:val="none" w:sz="0" w:space="0" w:color="auto"/>
                                            <w:right w:val="none" w:sz="0" w:space="0" w:color="auto"/>
                                          </w:divBdr>
                                          <w:divsChild>
                                            <w:div w:id="205336654">
                                              <w:marLeft w:val="0"/>
                                              <w:marRight w:val="0"/>
                                              <w:marTop w:val="0"/>
                                              <w:marBottom w:val="0"/>
                                              <w:divBdr>
                                                <w:top w:val="none" w:sz="0" w:space="0" w:color="auto"/>
                                                <w:left w:val="none" w:sz="0" w:space="0" w:color="auto"/>
                                                <w:bottom w:val="none" w:sz="0" w:space="0" w:color="auto"/>
                                                <w:right w:val="none" w:sz="0" w:space="0" w:color="auto"/>
                                              </w:divBdr>
                                              <w:divsChild>
                                                <w:div w:id="1322661353">
                                                  <w:marLeft w:val="0"/>
                                                  <w:marRight w:val="0"/>
                                                  <w:marTop w:val="240"/>
                                                  <w:marBottom w:val="240"/>
                                                  <w:divBdr>
                                                    <w:top w:val="single" w:sz="6" w:space="6" w:color="F2F2F2"/>
                                                    <w:left w:val="none" w:sz="0" w:space="0" w:color="auto"/>
                                                    <w:bottom w:val="single" w:sz="6" w:space="6" w:color="F2F2F2"/>
                                                    <w:right w:val="none" w:sz="0" w:space="0" w:color="auto"/>
                                                  </w:divBdr>
                                                </w:div>
                                                <w:div w:id="419060919">
                                                  <w:marLeft w:val="0"/>
                                                  <w:marRight w:val="0"/>
                                                  <w:marTop w:val="0"/>
                                                  <w:marBottom w:val="0"/>
                                                  <w:divBdr>
                                                    <w:top w:val="none" w:sz="0" w:space="0" w:color="auto"/>
                                                    <w:left w:val="none" w:sz="0" w:space="0" w:color="auto"/>
                                                    <w:bottom w:val="none" w:sz="0" w:space="0" w:color="auto"/>
                                                    <w:right w:val="none" w:sz="0" w:space="0" w:color="auto"/>
                                                  </w:divBdr>
                                                  <w:divsChild>
                                                    <w:div w:id="1295402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2503426">
      <w:bodyDiv w:val="1"/>
      <w:marLeft w:val="0"/>
      <w:marRight w:val="0"/>
      <w:marTop w:val="0"/>
      <w:marBottom w:val="0"/>
      <w:divBdr>
        <w:top w:val="none" w:sz="0" w:space="0" w:color="auto"/>
        <w:left w:val="none" w:sz="0" w:space="0" w:color="auto"/>
        <w:bottom w:val="none" w:sz="0" w:space="0" w:color="auto"/>
        <w:right w:val="none" w:sz="0" w:space="0" w:color="auto"/>
      </w:divBdr>
      <w:divsChild>
        <w:div w:id="1162503601">
          <w:marLeft w:val="0"/>
          <w:marRight w:val="0"/>
          <w:marTop w:val="0"/>
          <w:marBottom w:val="0"/>
          <w:divBdr>
            <w:top w:val="none" w:sz="0" w:space="0" w:color="auto"/>
            <w:left w:val="none" w:sz="0" w:space="0" w:color="auto"/>
            <w:bottom w:val="none" w:sz="0" w:space="0" w:color="auto"/>
            <w:right w:val="none" w:sz="0" w:space="0" w:color="auto"/>
          </w:divBdr>
          <w:divsChild>
            <w:div w:id="769399685">
              <w:marLeft w:val="0"/>
              <w:marRight w:val="0"/>
              <w:marTop w:val="0"/>
              <w:marBottom w:val="0"/>
              <w:divBdr>
                <w:top w:val="none" w:sz="0" w:space="0" w:color="auto"/>
                <w:left w:val="none" w:sz="0" w:space="0" w:color="auto"/>
                <w:bottom w:val="none" w:sz="0" w:space="0" w:color="auto"/>
                <w:right w:val="none" w:sz="0" w:space="0" w:color="auto"/>
              </w:divBdr>
              <w:divsChild>
                <w:div w:id="1847816578">
                  <w:marLeft w:val="0"/>
                  <w:marRight w:val="0"/>
                  <w:marTop w:val="0"/>
                  <w:marBottom w:val="0"/>
                  <w:divBdr>
                    <w:top w:val="none" w:sz="0" w:space="0" w:color="auto"/>
                    <w:left w:val="none" w:sz="0" w:space="0" w:color="auto"/>
                    <w:bottom w:val="none" w:sz="0" w:space="0" w:color="auto"/>
                    <w:right w:val="none" w:sz="0" w:space="0" w:color="auto"/>
                  </w:divBdr>
                  <w:divsChild>
                    <w:div w:id="1390153225">
                      <w:marLeft w:val="0"/>
                      <w:marRight w:val="0"/>
                      <w:marTop w:val="0"/>
                      <w:marBottom w:val="0"/>
                      <w:divBdr>
                        <w:top w:val="none" w:sz="0" w:space="0" w:color="auto"/>
                        <w:left w:val="none" w:sz="0" w:space="0" w:color="auto"/>
                        <w:bottom w:val="none" w:sz="0" w:space="0" w:color="auto"/>
                        <w:right w:val="none" w:sz="0" w:space="0" w:color="auto"/>
                      </w:divBdr>
                      <w:divsChild>
                        <w:div w:id="1202745861">
                          <w:marLeft w:val="0"/>
                          <w:marRight w:val="0"/>
                          <w:marTop w:val="0"/>
                          <w:marBottom w:val="0"/>
                          <w:divBdr>
                            <w:top w:val="none" w:sz="0" w:space="0" w:color="auto"/>
                            <w:left w:val="none" w:sz="0" w:space="0" w:color="auto"/>
                            <w:bottom w:val="none" w:sz="0" w:space="0" w:color="auto"/>
                            <w:right w:val="none" w:sz="0" w:space="0" w:color="auto"/>
                          </w:divBdr>
                          <w:divsChild>
                            <w:div w:id="1104151200">
                              <w:marLeft w:val="0"/>
                              <w:marRight w:val="0"/>
                              <w:marTop w:val="0"/>
                              <w:marBottom w:val="0"/>
                              <w:divBdr>
                                <w:top w:val="none" w:sz="0" w:space="0" w:color="auto"/>
                                <w:left w:val="none" w:sz="0" w:space="0" w:color="auto"/>
                                <w:bottom w:val="none" w:sz="0" w:space="0" w:color="auto"/>
                                <w:right w:val="none" w:sz="0" w:space="0" w:color="auto"/>
                              </w:divBdr>
                              <w:divsChild>
                                <w:div w:id="597906256">
                                  <w:marLeft w:val="0"/>
                                  <w:marRight w:val="0"/>
                                  <w:marTop w:val="0"/>
                                  <w:marBottom w:val="0"/>
                                  <w:divBdr>
                                    <w:top w:val="none" w:sz="0" w:space="0" w:color="auto"/>
                                    <w:left w:val="none" w:sz="0" w:space="0" w:color="auto"/>
                                    <w:bottom w:val="none" w:sz="0" w:space="0" w:color="auto"/>
                                    <w:right w:val="none" w:sz="0" w:space="0" w:color="auto"/>
                                  </w:divBdr>
                                  <w:divsChild>
                                    <w:div w:id="1166214178">
                                      <w:marLeft w:val="0"/>
                                      <w:marRight w:val="0"/>
                                      <w:marTop w:val="0"/>
                                      <w:marBottom w:val="0"/>
                                      <w:divBdr>
                                        <w:top w:val="none" w:sz="0" w:space="0" w:color="auto"/>
                                        <w:left w:val="none" w:sz="0" w:space="0" w:color="auto"/>
                                        <w:bottom w:val="none" w:sz="0" w:space="0" w:color="auto"/>
                                        <w:right w:val="none" w:sz="0" w:space="0" w:color="auto"/>
                                      </w:divBdr>
                                      <w:divsChild>
                                        <w:div w:id="347951959">
                                          <w:marLeft w:val="0"/>
                                          <w:marRight w:val="0"/>
                                          <w:marTop w:val="0"/>
                                          <w:marBottom w:val="0"/>
                                          <w:divBdr>
                                            <w:top w:val="none" w:sz="0" w:space="0" w:color="auto"/>
                                            <w:left w:val="none" w:sz="0" w:space="0" w:color="auto"/>
                                            <w:bottom w:val="none" w:sz="0" w:space="0" w:color="auto"/>
                                            <w:right w:val="none" w:sz="0" w:space="0" w:color="auto"/>
                                          </w:divBdr>
                                          <w:divsChild>
                                            <w:div w:id="1972052891">
                                              <w:marLeft w:val="0"/>
                                              <w:marRight w:val="0"/>
                                              <w:marTop w:val="0"/>
                                              <w:marBottom w:val="0"/>
                                              <w:divBdr>
                                                <w:top w:val="none" w:sz="0" w:space="0" w:color="auto"/>
                                                <w:left w:val="none" w:sz="0" w:space="0" w:color="auto"/>
                                                <w:bottom w:val="none" w:sz="0" w:space="0" w:color="auto"/>
                                                <w:right w:val="none" w:sz="0" w:space="0" w:color="auto"/>
                                              </w:divBdr>
                                              <w:divsChild>
                                                <w:div w:id="2082485632">
                                                  <w:marLeft w:val="0"/>
                                                  <w:marRight w:val="0"/>
                                                  <w:marTop w:val="0"/>
                                                  <w:marBottom w:val="0"/>
                                                  <w:divBdr>
                                                    <w:top w:val="none" w:sz="0" w:space="0" w:color="auto"/>
                                                    <w:left w:val="none" w:sz="0" w:space="0" w:color="auto"/>
                                                    <w:bottom w:val="none" w:sz="0" w:space="0" w:color="auto"/>
                                                    <w:right w:val="none" w:sz="0" w:space="0" w:color="auto"/>
                                                  </w:divBdr>
                                                  <w:divsChild>
                                                    <w:div w:id="2009358716">
                                                      <w:marLeft w:val="0"/>
                                                      <w:marRight w:val="0"/>
                                                      <w:marTop w:val="0"/>
                                                      <w:marBottom w:val="0"/>
                                                      <w:divBdr>
                                                        <w:top w:val="none" w:sz="0" w:space="0" w:color="auto"/>
                                                        <w:left w:val="none" w:sz="0" w:space="0" w:color="auto"/>
                                                        <w:bottom w:val="none" w:sz="0" w:space="0" w:color="auto"/>
                                                        <w:right w:val="none" w:sz="0" w:space="0" w:color="auto"/>
                                                      </w:divBdr>
                                                      <w:divsChild>
                                                        <w:div w:id="1299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387721">
      <w:bodyDiv w:val="1"/>
      <w:marLeft w:val="0"/>
      <w:marRight w:val="0"/>
      <w:marTop w:val="0"/>
      <w:marBottom w:val="0"/>
      <w:divBdr>
        <w:top w:val="none" w:sz="0" w:space="0" w:color="auto"/>
        <w:left w:val="none" w:sz="0" w:space="0" w:color="auto"/>
        <w:bottom w:val="none" w:sz="0" w:space="0" w:color="auto"/>
        <w:right w:val="none" w:sz="0" w:space="0" w:color="auto"/>
      </w:divBdr>
      <w:divsChild>
        <w:div w:id="602223452">
          <w:marLeft w:val="0"/>
          <w:marRight w:val="0"/>
          <w:marTop w:val="0"/>
          <w:marBottom w:val="150"/>
          <w:divBdr>
            <w:top w:val="none" w:sz="0" w:space="0" w:color="auto"/>
            <w:left w:val="none" w:sz="0" w:space="0" w:color="auto"/>
            <w:bottom w:val="none" w:sz="0" w:space="0" w:color="auto"/>
            <w:right w:val="none" w:sz="0" w:space="0" w:color="auto"/>
          </w:divBdr>
          <w:divsChild>
            <w:div w:id="100883646">
              <w:marLeft w:val="0"/>
              <w:marRight w:val="0"/>
              <w:marTop w:val="0"/>
              <w:marBottom w:val="100"/>
              <w:divBdr>
                <w:top w:val="none" w:sz="0" w:space="0" w:color="auto"/>
                <w:left w:val="none" w:sz="0" w:space="0" w:color="auto"/>
                <w:bottom w:val="none" w:sz="0" w:space="0" w:color="auto"/>
                <w:right w:val="none" w:sz="0" w:space="0" w:color="auto"/>
              </w:divBdr>
            </w:div>
            <w:div w:id="15291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06195">
      <w:bodyDiv w:val="1"/>
      <w:marLeft w:val="0"/>
      <w:marRight w:val="0"/>
      <w:marTop w:val="0"/>
      <w:marBottom w:val="0"/>
      <w:divBdr>
        <w:top w:val="none" w:sz="0" w:space="0" w:color="auto"/>
        <w:left w:val="none" w:sz="0" w:space="0" w:color="auto"/>
        <w:bottom w:val="none" w:sz="0" w:space="0" w:color="auto"/>
        <w:right w:val="none" w:sz="0" w:space="0" w:color="auto"/>
      </w:divBdr>
      <w:divsChild>
        <w:div w:id="142309327">
          <w:marLeft w:val="0"/>
          <w:marRight w:val="0"/>
          <w:marTop w:val="0"/>
          <w:marBottom w:val="0"/>
          <w:divBdr>
            <w:top w:val="none" w:sz="0" w:space="0" w:color="auto"/>
            <w:left w:val="none" w:sz="0" w:space="0" w:color="auto"/>
            <w:bottom w:val="none" w:sz="0" w:space="0" w:color="auto"/>
            <w:right w:val="none" w:sz="0" w:space="0" w:color="auto"/>
          </w:divBdr>
          <w:divsChild>
            <w:div w:id="1999188999">
              <w:marLeft w:val="0"/>
              <w:marRight w:val="0"/>
              <w:marTop w:val="0"/>
              <w:marBottom w:val="0"/>
              <w:divBdr>
                <w:top w:val="none" w:sz="0" w:space="0" w:color="auto"/>
                <w:left w:val="none" w:sz="0" w:space="0" w:color="auto"/>
                <w:bottom w:val="none" w:sz="0" w:space="0" w:color="auto"/>
                <w:right w:val="none" w:sz="0" w:space="0" w:color="auto"/>
              </w:divBdr>
              <w:divsChild>
                <w:div w:id="569076046">
                  <w:marLeft w:val="0"/>
                  <w:marRight w:val="0"/>
                  <w:marTop w:val="0"/>
                  <w:marBottom w:val="0"/>
                  <w:divBdr>
                    <w:top w:val="none" w:sz="0" w:space="0" w:color="auto"/>
                    <w:left w:val="none" w:sz="0" w:space="0" w:color="auto"/>
                    <w:bottom w:val="none" w:sz="0" w:space="0" w:color="auto"/>
                    <w:right w:val="none" w:sz="0" w:space="0" w:color="auto"/>
                  </w:divBdr>
                  <w:divsChild>
                    <w:div w:id="1548837329">
                      <w:marLeft w:val="0"/>
                      <w:marRight w:val="0"/>
                      <w:marTop w:val="0"/>
                      <w:marBottom w:val="0"/>
                      <w:divBdr>
                        <w:top w:val="none" w:sz="0" w:space="0" w:color="auto"/>
                        <w:left w:val="none" w:sz="0" w:space="0" w:color="auto"/>
                        <w:bottom w:val="none" w:sz="0" w:space="0" w:color="auto"/>
                        <w:right w:val="none" w:sz="0" w:space="0" w:color="auto"/>
                      </w:divBdr>
                      <w:divsChild>
                        <w:div w:id="1669887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25583530">
      <w:bodyDiv w:val="1"/>
      <w:marLeft w:val="0"/>
      <w:marRight w:val="0"/>
      <w:marTop w:val="0"/>
      <w:marBottom w:val="0"/>
      <w:divBdr>
        <w:top w:val="none" w:sz="0" w:space="0" w:color="auto"/>
        <w:left w:val="none" w:sz="0" w:space="0" w:color="auto"/>
        <w:bottom w:val="none" w:sz="0" w:space="0" w:color="auto"/>
        <w:right w:val="none" w:sz="0" w:space="0" w:color="auto"/>
      </w:divBdr>
      <w:divsChild>
        <w:div w:id="121577507">
          <w:marLeft w:val="0"/>
          <w:marRight w:val="0"/>
          <w:marTop w:val="0"/>
          <w:marBottom w:val="0"/>
          <w:divBdr>
            <w:top w:val="none" w:sz="0" w:space="0" w:color="auto"/>
            <w:left w:val="none" w:sz="0" w:space="0" w:color="auto"/>
            <w:bottom w:val="none" w:sz="0" w:space="0" w:color="auto"/>
            <w:right w:val="none" w:sz="0" w:space="0" w:color="auto"/>
          </w:divBdr>
          <w:divsChild>
            <w:div w:id="935091674">
              <w:marLeft w:val="0"/>
              <w:marRight w:val="0"/>
              <w:marTop w:val="0"/>
              <w:marBottom w:val="0"/>
              <w:divBdr>
                <w:top w:val="none" w:sz="0" w:space="0" w:color="auto"/>
                <w:left w:val="none" w:sz="0" w:space="0" w:color="auto"/>
                <w:bottom w:val="none" w:sz="0" w:space="0" w:color="auto"/>
                <w:right w:val="none" w:sz="0" w:space="0" w:color="auto"/>
              </w:divBdr>
              <w:divsChild>
                <w:div w:id="1764448173">
                  <w:marLeft w:val="0"/>
                  <w:marRight w:val="0"/>
                  <w:marTop w:val="0"/>
                  <w:marBottom w:val="0"/>
                  <w:divBdr>
                    <w:top w:val="none" w:sz="0" w:space="0" w:color="auto"/>
                    <w:left w:val="none" w:sz="0" w:space="0" w:color="auto"/>
                    <w:bottom w:val="none" w:sz="0" w:space="0" w:color="auto"/>
                    <w:right w:val="none" w:sz="0" w:space="0" w:color="auto"/>
                  </w:divBdr>
                  <w:divsChild>
                    <w:div w:id="13072308">
                      <w:marLeft w:val="0"/>
                      <w:marRight w:val="0"/>
                      <w:marTop w:val="0"/>
                      <w:marBottom w:val="0"/>
                      <w:divBdr>
                        <w:top w:val="none" w:sz="0" w:space="0" w:color="auto"/>
                        <w:left w:val="none" w:sz="0" w:space="0" w:color="auto"/>
                        <w:bottom w:val="none" w:sz="0" w:space="0" w:color="auto"/>
                        <w:right w:val="none" w:sz="0" w:space="0" w:color="auto"/>
                      </w:divBdr>
                      <w:divsChild>
                        <w:div w:id="438717509">
                          <w:marLeft w:val="0"/>
                          <w:marRight w:val="0"/>
                          <w:marTop w:val="0"/>
                          <w:marBottom w:val="0"/>
                          <w:divBdr>
                            <w:top w:val="none" w:sz="0" w:space="0" w:color="auto"/>
                            <w:left w:val="none" w:sz="0" w:space="0" w:color="auto"/>
                            <w:bottom w:val="none" w:sz="0" w:space="0" w:color="auto"/>
                            <w:right w:val="none" w:sz="0" w:space="0" w:color="auto"/>
                          </w:divBdr>
                          <w:divsChild>
                            <w:div w:id="2143495181">
                              <w:marLeft w:val="0"/>
                              <w:marRight w:val="0"/>
                              <w:marTop w:val="0"/>
                              <w:marBottom w:val="0"/>
                              <w:divBdr>
                                <w:top w:val="none" w:sz="0" w:space="0" w:color="auto"/>
                                <w:left w:val="none" w:sz="0" w:space="0" w:color="auto"/>
                                <w:bottom w:val="none" w:sz="0" w:space="0" w:color="auto"/>
                                <w:right w:val="none" w:sz="0" w:space="0" w:color="auto"/>
                              </w:divBdr>
                              <w:divsChild>
                                <w:div w:id="2082750528">
                                  <w:marLeft w:val="120"/>
                                  <w:marRight w:val="720"/>
                                  <w:marTop w:val="120"/>
                                  <w:marBottom w:val="120"/>
                                  <w:divBdr>
                                    <w:top w:val="none" w:sz="0" w:space="0" w:color="auto"/>
                                    <w:left w:val="none" w:sz="0" w:space="0" w:color="auto"/>
                                    <w:bottom w:val="none" w:sz="0" w:space="0" w:color="auto"/>
                                    <w:right w:val="none" w:sz="0" w:space="0" w:color="auto"/>
                                  </w:divBdr>
                                  <w:divsChild>
                                    <w:div w:id="2110150972">
                                      <w:marLeft w:val="0"/>
                                      <w:marRight w:val="0"/>
                                      <w:marTop w:val="0"/>
                                      <w:marBottom w:val="0"/>
                                      <w:divBdr>
                                        <w:top w:val="none" w:sz="0" w:space="0" w:color="auto"/>
                                        <w:left w:val="none" w:sz="0" w:space="0" w:color="auto"/>
                                        <w:bottom w:val="none" w:sz="0" w:space="0" w:color="auto"/>
                                        <w:right w:val="none" w:sz="0" w:space="0" w:color="auto"/>
                                      </w:divBdr>
                                      <w:divsChild>
                                        <w:div w:id="1322729843">
                                          <w:marLeft w:val="0"/>
                                          <w:marRight w:val="0"/>
                                          <w:marTop w:val="0"/>
                                          <w:marBottom w:val="0"/>
                                          <w:divBdr>
                                            <w:top w:val="none" w:sz="0" w:space="0" w:color="auto"/>
                                            <w:left w:val="none" w:sz="0" w:space="0" w:color="auto"/>
                                            <w:bottom w:val="none" w:sz="0" w:space="0" w:color="auto"/>
                                            <w:right w:val="none" w:sz="0" w:space="0" w:color="auto"/>
                                          </w:divBdr>
                                          <w:divsChild>
                                            <w:div w:id="300112247">
                                              <w:marLeft w:val="0"/>
                                              <w:marRight w:val="0"/>
                                              <w:marTop w:val="0"/>
                                              <w:marBottom w:val="0"/>
                                              <w:divBdr>
                                                <w:top w:val="none" w:sz="0" w:space="0" w:color="auto"/>
                                                <w:left w:val="none" w:sz="0" w:space="0" w:color="auto"/>
                                                <w:bottom w:val="none" w:sz="0" w:space="0" w:color="auto"/>
                                                <w:right w:val="none" w:sz="0" w:space="0" w:color="auto"/>
                                              </w:divBdr>
                                              <w:divsChild>
                                                <w:div w:id="799689256">
                                                  <w:marLeft w:val="0"/>
                                                  <w:marRight w:val="0"/>
                                                  <w:marTop w:val="240"/>
                                                  <w:marBottom w:val="240"/>
                                                  <w:divBdr>
                                                    <w:top w:val="single" w:sz="6" w:space="6" w:color="F2F2F2"/>
                                                    <w:left w:val="none" w:sz="0" w:space="0" w:color="auto"/>
                                                    <w:bottom w:val="single" w:sz="6" w:space="6" w:color="F2F2F2"/>
                                                    <w:right w:val="none" w:sz="0" w:space="0" w:color="auto"/>
                                                  </w:divBdr>
                                                </w:div>
                                                <w:div w:id="1469012158">
                                                  <w:marLeft w:val="0"/>
                                                  <w:marRight w:val="0"/>
                                                  <w:marTop w:val="0"/>
                                                  <w:marBottom w:val="0"/>
                                                  <w:divBdr>
                                                    <w:top w:val="none" w:sz="0" w:space="0" w:color="auto"/>
                                                    <w:left w:val="none" w:sz="0" w:space="0" w:color="auto"/>
                                                    <w:bottom w:val="none" w:sz="0" w:space="0" w:color="auto"/>
                                                    <w:right w:val="none" w:sz="0" w:space="0" w:color="auto"/>
                                                  </w:divBdr>
                                                  <w:divsChild>
                                                    <w:div w:id="19963761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312000">
      <w:bodyDiv w:val="1"/>
      <w:marLeft w:val="0"/>
      <w:marRight w:val="0"/>
      <w:marTop w:val="0"/>
      <w:marBottom w:val="0"/>
      <w:divBdr>
        <w:top w:val="none" w:sz="0" w:space="0" w:color="auto"/>
        <w:left w:val="none" w:sz="0" w:space="0" w:color="auto"/>
        <w:bottom w:val="none" w:sz="0" w:space="0" w:color="auto"/>
        <w:right w:val="none" w:sz="0" w:space="0" w:color="auto"/>
      </w:divBdr>
      <w:divsChild>
        <w:div w:id="1584877036">
          <w:marLeft w:val="0"/>
          <w:marRight w:val="0"/>
          <w:marTop w:val="0"/>
          <w:marBottom w:val="0"/>
          <w:divBdr>
            <w:top w:val="none" w:sz="0" w:space="0" w:color="auto"/>
            <w:left w:val="none" w:sz="0" w:space="0" w:color="auto"/>
            <w:bottom w:val="none" w:sz="0" w:space="0" w:color="auto"/>
            <w:right w:val="none" w:sz="0" w:space="0" w:color="auto"/>
          </w:divBdr>
          <w:divsChild>
            <w:div w:id="1534609806">
              <w:marLeft w:val="210"/>
              <w:marRight w:val="0"/>
              <w:marTop w:val="0"/>
              <w:marBottom w:val="0"/>
              <w:divBdr>
                <w:top w:val="none" w:sz="0" w:space="0" w:color="auto"/>
                <w:left w:val="none" w:sz="0" w:space="0" w:color="auto"/>
                <w:bottom w:val="none" w:sz="0" w:space="0" w:color="auto"/>
                <w:right w:val="none" w:sz="0" w:space="0" w:color="auto"/>
              </w:divBdr>
              <w:divsChild>
                <w:div w:id="8417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7363">
      <w:bodyDiv w:val="1"/>
      <w:marLeft w:val="0"/>
      <w:marRight w:val="0"/>
      <w:marTop w:val="0"/>
      <w:marBottom w:val="0"/>
      <w:divBdr>
        <w:top w:val="none" w:sz="0" w:space="0" w:color="auto"/>
        <w:left w:val="none" w:sz="0" w:space="0" w:color="auto"/>
        <w:bottom w:val="none" w:sz="0" w:space="0" w:color="auto"/>
        <w:right w:val="none" w:sz="0" w:space="0" w:color="auto"/>
      </w:divBdr>
      <w:divsChild>
        <w:div w:id="1181772550">
          <w:marLeft w:val="0"/>
          <w:marRight w:val="0"/>
          <w:marTop w:val="0"/>
          <w:marBottom w:val="0"/>
          <w:divBdr>
            <w:top w:val="none" w:sz="0" w:space="0" w:color="auto"/>
            <w:left w:val="none" w:sz="0" w:space="0" w:color="auto"/>
            <w:bottom w:val="none" w:sz="0" w:space="0" w:color="auto"/>
            <w:right w:val="none" w:sz="0" w:space="0" w:color="auto"/>
          </w:divBdr>
          <w:divsChild>
            <w:div w:id="74937284">
              <w:marLeft w:val="0"/>
              <w:marRight w:val="0"/>
              <w:marTop w:val="0"/>
              <w:marBottom w:val="0"/>
              <w:divBdr>
                <w:top w:val="none" w:sz="0" w:space="0" w:color="auto"/>
                <w:left w:val="none" w:sz="0" w:space="0" w:color="auto"/>
                <w:bottom w:val="none" w:sz="0" w:space="0" w:color="auto"/>
                <w:right w:val="none" w:sz="0" w:space="0" w:color="auto"/>
              </w:divBdr>
              <w:divsChild>
                <w:div w:id="1715231397">
                  <w:marLeft w:val="0"/>
                  <w:marRight w:val="0"/>
                  <w:marTop w:val="0"/>
                  <w:marBottom w:val="0"/>
                  <w:divBdr>
                    <w:top w:val="none" w:sz="0" w:space="0" w:color="auto"/>
                    <w:left w:val="none" w:sz="0" w:space="0" w:color="auto"/>
                    <w:bottom w:val="none" w:sz="0" w:space="0" w:color="auto"/>
                    <w:right w:val="none" w:sz="0" w:space="0" w:color="auto"/>
                  </w:divBdr>
                  <w:divsChild>
                    <w:div w:id="715397014">
                      <w:marLeft w:val="0"/>
                      <w:marRight w:val="0"/>
                      <w:marTop w:val="0"/>
                      <w:marBottom w:val="0"/>
                      <w:divBdr>
                        <w:top w:val="none" w:sz="0" w:space="0" w:color="auto"/>
                        <w:left w:val="none" w:sz="0" w:space="0" w:color="auto"/>
                        <w:bottom w:val="none" w:sz="0" w:space="0" w:color="auto"/>
                        <w:right w:val="none" w:sz="0" w:space="0" w:color="auto"/>
                      </w:divBdr>
                      <w:divsChild>
                        <w:div w:id="544215973">
                          <w:marLeft w:val="0"/>
                          <w:marRight w:val="0"/>
                          <w:marTop w:val="0"/>
                          <w:marBottom w:val="0"/>
                          <w:divBdr>
                            <w:top w:val="none" w:sz="0" w:space="0" w:color="auto"/>
                            <w:left w:val="none" w:sz="0" w:space="0" w:color="auto"/>
                            <w:bottom w:val="none" w:sz="0" w:space="0" w:color="auto"/>
                            <w:right w:val="none" w:sz="0" w:space="0" w:color="auto"/>
                          </w:divBdr>
                          <w:divsChild>
                            <w:div w:id="1883787063">
                              <w:marLeft w:val="0"/>
                              <w:marRight w:val="0"/>
                              <w:marTop w:val="0"/>
                              <w:marBottom w:val="0"/>
                              <w:divBdr>
                                <w:top w:val="none" w:sz="0" w:space="0" w:color="auto"/>
                                <w:left w:val="none" w:sz="0" w:space="0" w:color="auto"/>
                                <w:bottom w:val="none" w:sz="0" w:space="0" w:color="auto"/>
                                <w:right w:val="none" w:sz="0" w:space="0" w:color="auto"/>
                              </w:divBdr>
                              <w:divsChild>
                                <w:div w:id="594436616">
                                  <w:marLeft w:val="0"/>
                                  <w:marRight w:val="0"/>
                                  <w:marTop w:val="0"/>
                                  <w:marBottom w:val="0"/>
                                  <w:divBdr>
                                    <w:top w:val="none" w:sz="0" w:space="0" w:color="auto"/>
                                    <w:left w:val="none" w:sz="0" w:space="0" w:color="auto"/>
                                    <w:bottom w:val="none" w:sz="0" w:space="0" w:color="auto"/>
                                    <w:right w:val="none" w:sz="0" w:space="0" w:color="auto"/>
                                  </w:divBdr>
                                  <w:divsChild>
                                    <w:div w:id="384257861">
                                      <w:marLeft w:val="0"/>
                                      <w:marRight w:val="0"/>
                                      <w:marTop w:val="0"/>
                                      <w:marBottom w:val="0"/>
                                      <w:divBdr>
                                        <w:top w:val="none" w:sz="0" w:space="0" w:color="auto"/>
                                        <w:left w:val="none" w:sz="0" w:space="0" w:color="auto"/>
                                        <w:bottom w:val="none" w:sz="0" w:space="0" w:color="auto"/>
                                        <w:right w:val="none" w:sz="0" w:space="0" w:color="auto"/>
                                      </w:divBdr>
                                      <w:divsChild>
                                        <w:div w:id="667248004">
                                          <w:marLeft w:val="0"/>
                                          <w:marRight w:val="0"/>
                                          <w:marTop w:val="0"/>
                                          <w:marBottom w:val="0"/>
                                          <w:divBdr>
                                            <w:top w:val="none" w:sz="0" w:space="0" w:color="auto"/>
                                            <w:left w:val="none" w:sz="0" w:space="0" w:color="auto"/>
                                            <w:bottom w:val="none" w:sz="0" w:space="0" w:color="auto"/>
                                            <w:right w:val="none" w:sz="0" w:space="0" w:color="auto"/>
                                          </w:divBdr>
                                          <w:divsChild>
                                            <w:div w:id="748187356">
                                              <w:marLeft w:val="0"/>
                                              <w:marRight w:val="0"/>
                                              <w:marTop w:val="0"/>
                                              <w:marBottom w:val="0"/>
                                              <w:divBdr>
                                                <w:top w:val="none" w:sz="0" w:space="0" w:color="auto"/>
                                                <w:left w:val="none" w:sz="0" w:space="0" w:color="auto"/>
                                                <w:bottom w:val="none" w:sz="0" w:space="0" w:color="auto"/>
                                                <w:right w:val="none" w:sz="0" w:space="0" w:color="auto"/>
                                              </w:divBdr>
                                              <w:divsChild>
                                                <w:div w:id="227110744">
                                                  <w:marLeft w:val="0"/>
                                                  <w:marRight w:val="0"/>
                                                  <w:marTop w:val="0"/>
                                                  <w:marBottom w:val="0"/>
                                                  <w:divBdr>
                                                    <w:top w:val="none" w:sz="0" w:space="0" w:color="auto"/>
                                                    <w:left w:val="none" w:sz="0" w:space="0" w:color="auto"/>
                                                    <w:bottom w:val="none" w:sz="0" w:space="0" w:color="auto"/>
                                                    <w:right w:val="none" w:sz="0" w:space="0" w:color="auto"/>
                                                  </w:divBdr>
                                                  <w:divsChild>
                                                    <w:div w:id="418020588">
                                                      <w:marLeft w:val="0"/>
                                                      <w:marRight w:val="0"/>
                                                      <w:marTop w:val="0"/>
                                                      <w:marBottom w:val="0"/>
                                                      <w:divBdr>
                                                        <w:top w:val="none" w:sz="0" w:space="0" w:color="auto"/>
                                                        <w:left w:val="none" w:sz="0" w:space="0" w:color="auto"/>
                                                        <w:bottom w:val="none" w:sz="0" w:space="0" w:color="auto"/>
                                                        <w:right w:val="none" w:sz="0" w:space="0" w:color="auto"/>
                                                      </w:divBdr>
                                                      <w:divsChild>
                                                        <w:div w:id="1687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697375">
      <w:bodyDiv w:val="1"/>
      <w:marLeft w:val="0"/>
      <w:marRight w:val="0"/>
      <w:marTop w:val="0"/>
      <w:marBottom w:val="0"/>
      <w:divBdr>
        <w:top w:val="none" w:sz="0" w:space="0" w:color="auto"/>
        <w:left w:val="none" w:sz="0" w:space="0" w:color="auto"/>
        <w:bottom w:val="none" w:sz="0" w:space="0" w:color="auto"/>
        <w:right w:val="none" w:sz="0" w:space="0" w:color="auto"/>
      </w:divBdr>
      <w:divsChild>
        <w:div w:id="718405948">
          <w:marLeft w:val="0"/>
          <w:marRight w:val="0"/>
          <w:marTop w:val="0"/>
          <w:marBottom w:val="0"/>
          <w:divBdr>
            <w:top w:val="none" w:sz="0" w:space="0" w:color="auto"/>
            <w:left w:val="none" w:sz="0" w:space="0" w:color="auto"/>
            <w:bottom w:val="none" w:sz="0" w:space="0" w:color="auto"/>
            <w:right w:val="none" w:sz="0" w:space="0" w:color="auto"/>
          </w:divBdr>
          <w:divsChild>
            <w:div w:id="1129011164">
              <w:marLeft w:val="2"/>
              <w:marRight w:val="2"/>
              <w:marTop w:val="0"/>
              <w:marBottom w:val="0"/>
              <w:divBdr>
                <w:top w:val="none" w:sz="0" w:space="0" w:color="auto"/>
                <w:left w:val="none" w:sz="0" w:space="0" w:color="auto"/>
                <w:bottom w:val="none" w:sz="0" w:space="0" w:color="auto"/>
                <w:right w:val="none" w:sz="0" w:space="0" w:color="auto"/>
              </w:divBdr>
              <w:divsChild>
                <w:div w:id="108159321">
                  <w:marLeft w:val="0"/>
                  <w:marRight w:val="0"/>
                  <w:marTop w:val="0"/>
                  <w:marBottom w:val="0"/>
                  <w:divBdr>
                    <w:top w:val="none" w:sz="0" w:space="0" w:color="auto"/>
                    <w:left w:val="none" w:sz="0" w:space="0" w:color="auto"/>
                    <w:bottom w:val="none" w:sz="0" w:space="0" w:color="auto"/>
                    <w:right w:val="none" w:sz="0" w:space="0" w:color="auto"/>
                  </w:divBdr>
                  <w:divsChild>
                    <w:div w:id="797114658">
                      <w:marLeft w:val="0"/>
                      <w:marRight w:val="0"/>
                      <w:marTop w:val="0"/>
                      <w:marBottom w:val="0"/>
                      <w:divBdr>
                        <w:top w:val="none" w:sz="0" w:space="0" w:color="auto"/>
                        <w:left w:val="none" w:sz="0" w:space="0" w:color="auto"/>
                        <w:bottom w:val="none" w:sz="0" w:space="0" w:color="auto"/>
                        <w:right w:val="none" w:sz="0" w:space="0" w:color="auto"/>
                      </w:divBdr>
                      <w:divsChild>
                        <w:div w:id="1732457036">
                          <w:marLeft w:val="0"/>
                          <w:marRight w:val="0"/>
                          <w:marTop w:val="0"/>
                          <w:marBottom w:val="0"/>
                          <w:divBdr>
                            <w:top w:val="none" w:sz="0" w:space="0" w:color="auto"/>
                            <w:left w:val="none" w:sz="0" w:space="0" w:color="auto"/>
                            <w:bottom w:val="none" w:sz="0" w:space="0" w:color="auto"/>
                            <w:right w:val="none" w:sz="0" w:space="0" w:color="auto"/>
                          </w:divBdr>
                          <w:divsChild>
                            <w:div w:id="2118520769">
                              <w:marLeft w:val="0"/>
                              <w:marRight w:val="0"/>
                              <w:marTop w:val="0"/>
                              <w:marBottom w:val="0"/>
                              <w:divBdr>
                                <w:top w:val="none" w:sz="0" w:space="0" w:color="auto"/>
                                <w:left w:val="none" w:sz="0" w:space="0" w:color="auto"/>
                                <w:bottom w:val="none" w:sz="0" w:space="0" w:color="auto"/>
                                <w:right w:val="none" w:sz="0" w:space="0" w:color="auto"/>
                              </w:divBdr>
                              <w:divsChild>
                                <w:div w:id="1006517098">
                                  <w:marLeft w:val="0"/>
                                  <w:marRight w:val="0"/>
                                  <w:marTop w:val="0"/>
                                  <w:marBottom w:val="0"/>
                                  <w:divBdr>
                                    <w:top w:val="none" w:sz="0" w:space="0" w:color="auto"/>
                                    <w:left w:val="none" w:sz="0" w:space="0" w:color="auto"/>
                                    <w:bottom w:val="none" w:sz="0" w:space="0" w:color="auto"/>
                                    <w:right w:val="none" w:sz="0" w:space="0" w:color="auto"/>
                                  </w:divBdr>
                                  <w:divsChild>
                                    <w:div w:id="1956255516">
                                      <w:marLeft w:val="0"/>
                                      <w:marRight w:val="0"/>
                                      <w:marTop w:val="0"/>
                                      <w:marBottom w:val="0"/>
                                      <w:divBdr>
                                        <w:top w:val="none" w:sz="0" w:space="0" w:color="auto"/>
                                        <w:left w:val="none" w:sz="0" w:space="0" w:color="auto"/>
                                        <w:bottom w:val="none" w:sz="0" w:space="0" w:color="auto"/>
                                        <w:right w:val="none" w:sz="0" w:space="0" w:color="auto"/>
                                      </w:divBdr>
                                      <w:divsChild>
                                        <w:div w:id="804469019">
                                          <w:marLeft w:val="0"/>
                                          <w:marRight w:val="0"/>
                                          <w:marTop w:val="0"/>
                                          <w:marBottom w:val="0"/>
                                          <w:divBdr>
                                            <w:top w:val="none" w:sz="0" w:space="0" w:color="auto"/>
                                            <w:left w:val="none" w:sz="0" w:space="0" w:color="auto"/>
                                            <w:bottom w:val="none" w:sz="0" w:space="0" w:color="auto"/>
                                            <w:right w:val="none" w:sz="0" w:space="0" w:color="auto"/>
                                          </w:divBdr>
                                          <w:divsChild>
                                            <w:div w:id="490564256">
                                              <w:marLeft w:val="0"/>
                                              <w:marRight w:val="0"/>
                                              <w:marTop w:val="0"/>
                                              <w:marBottom w:val="0"/>
                                              <w:divBdr>
                                                <w:top w:val="none" w:sz="0" w:space="0" w:color="auto"/>
                                                <w:left w:val="none" w:sz="0" w:space="0" w:color="auto"/>
                                                <w:bottom w:val="none" w:sz="0" w:space="0" w:color="auto"/>
                                                <w:right w:val="none" w:sz="0" w:space="0" w:color="auto"/>
                                              </w:divBdr>
                                            </w:div>
                                          </w:divsChild>
                                        </w:div>
                                        <w:div w:id="82144037">
                                          <w:marLeft w:val="0"/>
                                          <w:marRight w:val="0"/>
                                          <w:marTop w:val="0"/>
                                          <w:marBottom w:val="0"/>
                                          <w:divBdr>
                                            <w:top w:val="none" w:sz="0" w:space="0" w:color="auto"/>
                                            <w:left w:val="none" w:sz="0" w:space="0" w:color="auto"/>
                                            <w:bottom w:val="none" w:sz="0" w:space="0" w:color="auto"/>
                                            <w:right w:val="none" w:sz="0" w:space="0" w:color="auto"/>
                                          </w:divBdr>
                                          <w:divsChild>
                                            <w:div w:id="1782991594">
                                              <w:marLeft w:val="0"/>
                                              <w:marRight w:val="0"/>
                                              <w:marTop w:val="0"/>
                                              <w:marBottom w:val="0"/>
                                              <w:divBdr>
                                                <w:top w:val="none" w:sz="0" w:space="0" w:color="auto"/>
                                                <w:left w:val="none" w:sz="0" w:space="0" w:color="auto"/>
                                                <w:bottom w:val="none" w:sz="0" w:space="0" w:color="auto"/>
                                                <w:right w:val="none" w:sz="0" w:space="0" w:color="auto"/>
                                              </w:divBdr>
                                            </w:div>
                                          </w:divsChild>
                                        </w:div>
                                        <w:div w:id="2042784028">
                                          <w:marLeft w:val="0"/>
                                          <w:marRight w:val="0"/>
                                          <w:marTop w:val="0"/>
                                          <w:marBottom w:val="0"/>
                                          <w:divBdr>
                                            <w:top w:val="none" w:sz="0" w:space="0" w:color="auto"/>
                                            <w:left w:val="none" w:sz="0" w:space="0" w:color="auto"/>
                                            <w:bottom w:val="none" w:sz="0" w:space="0" w:color="auto"/>
                                            <w:right w:val="none" w:sz="0" w:space="0" w:color="auto"/>
                                          </w:divBdr>
                                          <w:divsChild>
                                            <w:div w:id="289940389">
                                              <w:marLeft w:val="0"/>
                                              <w:marRight w:val="0"/>
                                              <w:marTop w:val="0"/>
                                              <w:marBottom w:val="0"/>
                                              <w:divBdr>
                                                <w:top w:val="none" w:sz="0" w:space="0" w:color="auto"/>
                                                <w:left w:val="none" w:sz="0" w:space="0" w:color="auto"/>
                                                <w:bottom w:val="none" w:sz="0" w:space="0" w:color="auto"/>
                                                <w:right w:val="none" w:sz="0" w:space="0" w:color="auto"/>
                                              </w:divBdr>
                                            </w:div>
                                          </w:divsChild>
                                        </w:div>
                                        <w:div w:id="1444878784">
                                          <w:marLeft w:val="0"/>
                                          <w:marRight w:val="0"/>
                                          <w:marTop w:val="0"/>
                                          <w:marBottom w:val="0"/>
                                          <w:divBdr>
                                            <w:top w:val="none" w:sz="0" w:space="0" w:color="auto"/>
                                            <w:left w:val="none" w:sz="0" w:space="0" w:color="auto"/>
                                            <w:bottom w:val="none" w:sz="0" w:space="0" w:color="auto"/>
                                            <w:right w:val="none" w:sz="0" w:space="0" w:color="auto"/>
                                          </w:divBdr>
                                          <w:divsChild>
                                            <w:div w:id="20826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4044">
                                      <w:marLeft w:val="0"/>
                                      <w:marRight w:val="0"/>
                                      <w:marTop w:val="0"/>
                                      <w:marBottom w:val="0"/>
                                      <w:divBdr>
                                        <w:top w:val="none" w:sz="0" w:space="0" w:color="auto"/>
                                        <w:left w:val="none" w:sz="0" w:space="0" w:color="auto"/>
                                        <w:bottom w:val="none" w:sz="0" w:space="0" w:color="auto"/>
                                        <w:right w:val="none" w:sz="0" w:space="0" w:color="auto"/>
                                      </w:divBdr>
                                      <w:divsChild>
                                        <w:div w:id="1927565958">
                                          <w:marLeft w:val="0"/>
                                          <w:marRight w:val="0"/>
                                          <w:marTop w:val="0"/>
                                          <w:marBottom w:val="0"/>
                                          <w:divBdr>
                                            <w:top w:val="none" w:sz="0" w:space="0" w:color="auto"/>
                                            <w:left w:val="none" w:sz="0" w:space="0" w:color="auto"/>
                                            <w:bottom w:val="none" w:sz="0" w:space="0" w:color="auto"/>
                                            <w:right w:val="none" w:sz="0" w:space="0" w:color="auto"/>
                                          </w:divBdr>
                                          <w:divsChild>
                                            <w:div w:id="387801074">
                                              <w:marLeft w:val="0"/>
                                              <w:marRight w:val="0"/>
                                              <w:marTop w:val="0"/>
                                              <w:marBottom w:val="0"/>
                                              <w:divBdr>
                                                <w:top w:val="none" w:sz="0" w:space="0" w:color="auto"/>
                                                <w:left w:val="none" w:sz="0" w:space="0" w:color="auto"/>
                                                <w:bottom w:val="none" w:sz="0" w:space="0" w:color="auto"/>
                                                <w:right w:val="none" w:sz="0" w:space="0" w:color="auto"/>
                                              </w:divBdr>
                                            </w:div>
                                          </w:divsChild>
                                        </w:div>
                                        <w:div w:id="1629168261">
                                          <w:marLeft w:val="0"/>
                                          <w:marRight w:val="0"/>
                                          <w:marTop w:val="0"/>
                                          <w:marBottom w:val="0"/>
                                          <w:divBdr>
                                            <w:top w:val="none" w:sz="0" w:space="0" w:color="auto"/>
                                            <w:left w:val="none" w:sz="0" w:space="0" w:color="auto"/>
                                            <w:bottom w:val="none" w:sz="0" w:space="0" w:color="auto"/>
                                            <w:right w:val="none" w:sz="0" w:space="0" w:color="auto"/>
                                          </w:divBdr>
                                          <w:divsChild>
                                            <w:div w:id="1924141857">
                                              <w:marLeft w:val="0"/>
                                              <w:marRight w:val="0"/>
                                              <w:marTop w:val="0"/>
                                              <w:marBottom w:val="0"/>
                                              <w:divBdr>
                                                <w:top w:val="none" w:sz="0" w:space="0" w:color="auto"/>
                                                <w:left w:val="none" w:sz="0" w:space="0" w:color="auto"/>
                                                <w:bottom w:val="none" w:sz="0" w:space="0" w:color="auto"/>
                                                <w:right w:val="none" w:sz="0" w:space="0" w:color="auto"/>
                                              </w:divBdr>
                                            </w:div>
                                          </w:divsChild>
                                        </w:div>
                                        <w:div w:id="1114205783">
                                          <w:marLeft w:val="0"/>
                                          <w:marRight w:val="0"/>
                                          <w:marTop w:val="0"/>
                                          <w:marBottom w:val="0"/>
                                          <w:divBdr>
                                            <w:top w:val="none" w:sz="0" w:space="0" w:color="auto"/>
                                            <w:left w:val="none" w:sz="0" w:space="0" w:color="auto"/>
                                            <w:bottom w:val="none" w:sz="0" w:space="0" w:color="auto"/>
                                            <w:right w:val="none" w:sz="0" w:space="0" w:color="auto"/>
                                          </w:divBdr>
                                          <w:divsChild>
                                            <w:div w:id="1791245825">
                                              <w:marLeft w:val="0"/>
                                              <w:marRight w:val="0"/>
                                              <w:marTop w:val="0"/>
                                              <w:marBottom w:val="0"/>
                                              <w:divBdr>
                                                <w:top w:val="none" w:sz="0" w:space="0" w:color="auto"/>
                                                <w:left w:val="none" w:sz="0" w:space="0" w:color="auto"/>
                                                <w:bottom w:val="none" w:sz="0" w:space="0" w:color="auto"/>
                                                <w:right w:val="none" w:sz="0" w:space="0" w:color="auto"/>
                                              </w:divBdr>
                                            </w:div>
                                          </w:divsChild>
                                        </w:div>
                                        <w:div w:id="991173737">
                                          <w:marLeft w:val="0"/>
                                          <w:marRight w:val="0"/>
                                          <w:marTop w:val="0"/>
                                          <w:marBottom w:val="0"/>
                                          <w:divBdr>
                                            <w:top w:val="none" w:sz="0" w:space="0" w:color="auto"/>
                                            <w:left w:val="none" w:sz="0" w:space="0" w:color="auto"/>
                                            <w:bottom w:val="none" w:sz="0" w:space="0" w:color="auto"/>
                                            <w:right w:val="none" w:sz="0" w:space="0" w:color="auto"/>
                                          </w:divBdr>
                                          <w:divsChild>
                                            <w:div w:id="641277098">
                                              <w:marLeft w:val="0"/>
                                              <w:marRight w:val="0"/>
                                              <w:marTop w:val="0"/>
                                              <w:marBottom w:val="0"/>
                                              <w:divBdr>
                                                <w:top w:val="none" w:sz="0" w:space="0" w:color="auto"/>
                                                <w:left w:val="none" w:sz="0" w:space="0" w:color="auto"/>
                                                <w:bottom w:val="none" w:sz="0" w:space="0" w:color="auto"/>
                                                <w:right w:val="none" w:sz="0" w:space="0" w:color="auto"/>
                                              </w:divBdr>
                                            </w:div>
                                          </w:divsChild>
                                        </w:div>
                                        <w:div w:id="1758594076">
                                          <w:marLeft w:val="0"/>
                                          <w:marRight w:val="0"/>
                                          <w:marTop w:val="0"/>
                                          <w:marBottom w:val="0"/>
                                          <w:divBdr>
                                            <w:top w:val="none" w:sz="0" w:space="0" w:color="auto"/>
                                            <w:left w:val="none" w:sz="0" w:space="0" w:color="auto"/>
                                            <w:bottom w:val="none" w:sz="0" w:space="0" w:color="auto"/>
                                            <w:right w:val="none" w:sz="0" w:space="0" w:color="auto"/>
                                          </w:divBdr>
                                          <w:divsChild>
                                            <w:div w:id="19847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477105">
      <w:bodyDiv w:val="1"/>
      <w:marLeft w:val="0"/>
      <w:marRight w:val="0"/>
      <w:marTop w:val="0"/>
      <w:marBottom w:val="0"/>
      <w:divBdr>
        <w:top w:val="none" w:sz="0" w:space="0" w:color="auto"/>
        <w:left w:val="none" w:sz="0" w:space="0" w:color="auto"/>
        <w:bottom w:val="none" w:sz="0" w:space="0" w:color="auto"/>
        <w:right w:val="none" w:sz="0" w:space="0" w:color="auto"/>
      </w:divBdr>
      <w:divsChild>
        <w:div w:id="238713604">
          <w:marLeft w:val="0"/>
          <w:marRight w:val="105"/>
          <w:marTop w:val="0"/>
          <w:marBottom w:val="0"/>
          <w:divBdr>
            <w:top w:val="single" w:sz="6" w:space="0" w:color="D1D1D1"/>
            <w:left w:val="single" w:sz="6" w:space="0" w:color="D1D1D1"/>
            <w:bottom w:val="none" w:sz="0" w:space="0" w:color="auto"/>
            <w:right w:val="none" w:sz="0" w:space="0" w:color="auto"/>
          </w:divBdr>
          <w:divsChild>
            <w:div w:id="1273513519">
              <w:marLeft w:val="0"/>
              <w:marRight w:val="0"/>
              <w:marTop w:val="0"/>
              <w:marBottom w:val="0"/>
              <w:divBdr>
                <w:top w:val="none" w:sz="0" w:space="0" w:color="auto"/>
                <w:left w:val="none" w:sz="0" w:space="0" w:color="auto"/>
                <w:bottom w:val="none" w:sz="0" w:space="0" w:color="auto"/>
                <w:right w:val="none" w:sz="0" w:space="0" w:color="auto"/>
              </w:divBdr>
              <w:divsChild>
                <w:div w:id="18995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4465">
      <w:bodyDiv w:val="1"/>
      <w:marLeft w:val="0"/>
      <w:marRight w:val="0"/>
      <w:marTop w:val="0"/>
      <w:marBottom w:val="0"/>
      <w:divBdr>
        <w:top w:val="none" w:sz="0" w:space="0" w:color="auto"/>
        <w:left w:val="none" w:sz="0" w:space="0" w:color="auto"/>
        <w:bottom w:val="none" w:sz="0" w:space="0" w:color="auto"/>
        <w:right w:val="none" w:sz="0" w:space="0" w:color="auto"/>
      </w:divBdr>
      <w:divsChild>
        <w:div w:id="1854876861">
          <w:marLeft w:val="0"/>
          <w:marRight w:val="0"/>
          <w:marTop w:val="0"/>
          <w:marBottom w:val="0"/>
          <w:divBdr>
            <w:top w:val="none" w:sz="0" w:space="0" w:color="auto"/>
            <w:left w:val="none" w:sz="0" w:space="0" w:color="auto"/>
            <w:bottom w:val="none" w:sz="0" w:space="0" w:color="auto"/>
            <w:right w:val="none" w:sz="0" w:space="0" w:color="auto"/>
          </w:divBdr>
          <w:divsChild>
            <w:div w:id="1198857988">
              <w:marLeft w:val="0"/>
              <w:marRight w:val="0"/>
              <w:marTop w:val="0"/>
              <w:marBottom w:val="0"/>
              <w:divBdr>
                <w:top w:val="none" w:sz="0" w:space="0" w:color="auto"/>
                <w:left w:val="none" w:sz="0" w:space="0" w:color="auto"/>
                <w:bottom w:val="none" w:sz="0" w:space="0" w:color="auto"/>
                <w:right w:val="none" w:sz="0" w:space="0" w:color="auto"/>
              </w:divBdr>
              <w:divsChild>
                <w:div w:id="1800686486">
                  <w:marLeft w:val="0"/>
                  <w:marRight w:val="0"/>
                  <w:marTop w:val="100"/>
                  <w:marBottom w:val="100"/>
                  <w:divBdr>
                    <w:top w:val="none" w:sz="0" w:space="0" w:color="auto"/>
                    <w:left w:val="none" w:sz="0" w:space="0" w:color="auto"/>
                    <w:bottom w:val="none" w:sz="0" w:space="0" w:color="auto"/>
                    <w:right w:val="none" w:sz="0" w:space="0" w:color="auto"/>
                  </w:divBdr>
                  <w:divsChild>
                    <w:div w:id="37049082">
                      <w:marLeft w:val="0"/>
                      <w:marRight w:val="0"/>
                      <w:marTop w:val="0"/>
                      <w:marBottom w:val="0"/>
                      <w:divBdr>
                        <w:top w:val="none" w:sz="0" w:space="0" w:color="auto"/>
                        <w:left w:val="none" w:sz="0" w:space="0" w:color="auto"/>
                        <w:bottom w:val="none" w:sz="0" w:space="0" w:color="auto"/>
                        <w:right w:val="none" w:sz="0" w:space="0" w:color="auto"/>
                      </w:divBdr>
                      <w:divsChild>
                        <w:div w:id="1567033868">
                          <w:marLeft w:val="0"/>
                          <w:marRight w:val="0"/>
                          <w:marTop w:val="0"/>
                          <w:marBottom w:val="0"/>
                          <w:divBdr>
                            <w:top w:val="none" w:sz="0" w:space="0" w:color="auto"/>
                            <w:left w:val="none" w:sz="0" w:space="0" w:color="auto"/>
                            <w:bottom w:val="none" w:sz="0" w:space="0" w:color="auto"/>
                            <w:right w:val="none" w:sz="0" w:space="0" w:color="auto"/>
                          </w:divBdr>
                          <w:divsChild>
                            <w:div w:id="1021513188">
                              <w:marLeft w:val="0"/>
                              <w:marRight w:val="0"/>
                              <w:marTop w:val="0"/>
                              <w:marBottom w:val="0"/>
                              <w:divBdr>
                                <w:top w:val="none" w:sz="0" w:space="0" w:color="auto"/>
                                <w:left w:val="none" w:sz="0" w:space="0" w:color="auto"/>
                                <w:bottom w:val="none" w:sz="0" w:space="0" w:color="auto"/>
                                <w:right w:val="none" w:sz="0" w:space="0" w:color="auto"/>
                              </w:divBdr>
                              <w:divsChild>
                                <w:div w:id="24523618">
                                  <w:marLeft w:val="0"/>
                                  <w:marRight w:val="0"/>
                                  <w:marTop w:val="0"/>
                                  <w:marBottom w:val="0"/>
                                  <w:divBdr>
                                    <w:top w:val="none" w:sz="0" w:space="0" w:color="auto"/>
                                    <w:left w:val="none" w:sz="0" w:space="0" w:color="auto"/>
                                    <w:bottom w:val="none" w:sz="0" w:space="0" w:color="auto"/>
                                    <w:right w:val="none" w:sz="0" w:space="0" w:color="auto"/>
                                  </w:divBdr>
                                  <w:divsChild>
                                    <w:div w:id="1186359020">
                                      <w:marLeft w:val="0"/>
                                      <w:marRight w:val="0"/>
                                      <w:marTop w:val="0"/>
                                      <w:marBottom w:val="0"/>
                                      <w:divBdr>
                                        <w:top w:val="none" w:sz="0" w:space="0" w:color="auto"/>
                                        <w:left w:val="none" w:sz="0" w:space="0" w:color="auto"/>
                                        <w:bottom w:val="none" w:sz="0" w:space="0" w:color="auto"/>
                                        <w:right w:val="none" w:sz="0" w:space="0" w:color="auto"/>
                                      </w:divBdr>
                                      <w:divsChild>
                                        <w:div w:id="1028022137">
                                          <w:marLeft w:val="0"/>
                                          <w:marRight w:val="0"/>
                                          <w:marTop w:val="0"/>
                                          <w:marBottom w:val="0"/>
                                          <w:divBdr>
                                            <w:top w:val="none" w:sz="0" w:space="0" w:color="auto"/>
                                            <w:left w:val="none" w:sz="0" w:space="0" w:color="auto"/>
                                            <w:bottom w:val="none" w:sz="0" w:space="0" w:color="auto"/>
                                            <w:right w:val="none" w:sz="0" w:space="0" w:color="auto"/>
                                          </w:divBdr>
                                          <w:divsChild>
                                            <w:div w:id="591276643">
                                              <w:marLeft w:val="0"/>
                                              <w:marRight w:val="0"/>
                                              <w:marTop w:val="0"/>
                                              <w:marBottom w:val="0"/>
                                              <w:divBdr>
                                                <w:top w:val="single" w:sz="6" w:space="0" w:color="B6D444"/>
                                                <w:left w:val="none" w:sz="0" w:space="0" w:color="auto"/>
                                                <w:bottom w:val="none" w:sz="0" w:space="0" w:color="auto"/>
                                                <w:right w:val="none" w:sz="0" w:space="0" w:color="auto"/>
                                              </w:divBdr>
                                              <w:divsChild>
                                                <w:div w:id="2158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521454">
      <w:bodyDiv w:val="1"/>
      <w:marLeft w:val="0"/>
      <w:marRight w:val="0"/>
      <w:marTop w:val="0"/>
      <w:marBottom w:val="0"/>
      <w:divBdr>
        <w:top w:val="none" w:sz="0" w:space="0" w:color="auto"/>
        <w:left w:val="none" w:sz="0" w:space="0" w:color="auto"/>
        <w:bottom w:val="none" w:sz="0" w:space="0" w:color="auto"/>
        <w:right w:val="none" w:sz="0" w:space="0" w:color="auto"/>
      </w:divBdr>
      <w:divsChild>
        <w:div w:id="1472752824">
          <w:marLeft w:val="0"/>
          <w:marRight w:val="0"/>
          <w:marTop w:val="0"/>
          <w:marBottom w:val="0"/>
          <w:divBdr>
            <w:top w:val="none" w:sz="0" w:space="0" w:color="auto"/>
            <w:left w:val="none" w:sz="0" w:space="0" w:color="auto"/>
            <w:bottom w:val="none" w:sz="0" w:space="0" w:color="auto"/>
            <w:right w:val="none" w:sz="0" w:space="0" w:color="auto"/>
          </w:divBdr>
          <w:divsChild>
            <w:div w:id="1298099747">
              <w:marLeft w:val="210"/>
              <w:marRight w:val="0"/>
              <w:marTop w:val="0"/>
              <w:marBottom w:val="0"/>
              <w:divBdr>
                <w:top w:val="none" w:sz="0" w:space="0" w:color="auto"/>
                <w:left w:val="none" w:sz="0" w:space="0" w:color="auto"/>
                <w:bottom w:val="none" w:sz="0" w:space="0" w:color="auto"/>
                <w:right w:val="none" w:sz="0" w:space="0" w:color="auto"/>
              </w:divBdr>
              <w:divsChild>
                <w:div w:id="15494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332242">
      <w:bodyDiv w:val="1"/>
      <w:marLeft w:val="0"/>
      <w:marRight w:val="0"/>
      <w:marTop w:val="0"/>
      <w:marBottom w:val="0"/>
      <w:divBdr>
        <w:top w:val="none" w:sz="0" w:space="0" w:color="auto"/>
        <w:left w:val="none" w:sz="0" w:space="0" w:color="auto"/>
        <w:bottom w:val="none" w:sz="0" w:space="0" w:color="auto"/>
        <w:right w:val="none" w:sz="0" w:space="0" w:color="auto"/>
      </w:divBdr>
    </w:div>
    <w:div w:id="1832402025">
      <w:bodyDiv w:val="1"/>
      <w:marLeft w:val="0"/>
      <w:marRight w:val="0"/>
      <w:marTop w:val="0"/>
      <w:marBottom w:val="0"/>
      <w:divBdr>
        <w:top w:val="none" w:sz="0" w:space="0" w:color="auto"/>
        <w:left w:val="none" w:sz="0" w:space="0" w:color="auto"/>
        <w:bottom w:val="none" w:sz="0" w:space="0" w:color="auto"/>
        <w:right w:val="none" w:sz="0" w:space="0" w:color="auto"/>
      </w:divBdr>
    </w:div>
    <w:div w:id="1832675853">
      <w:bodyDiv w:val="1"/>
      <w:marLeft w:val="0"/>
      <w:marRight w:val="0"/>
      <w:marTop w:val="0"/>
      <w:marBottom w:val="0"/>
      <w:divBdr>
        <w:top w:val="none" w:sz="0" w:space="0" w:color="auto"/>
        <w:left w:val="none" w:sz="0" w:space="0" w:color="auto"/>
        <w:bottom w:val="none" w:sz="0" w:space="0" w:color="auto"/>
        <w:right w:val="none" w:sz="0" w:space="0" w:color="auto"/>
      </w:divBdr>
      <w:divsChild>
        <w:div w:id="83648088">
          <w:marLeft w:val="0"/>
          <w:marRight w:val="0"/>
          <w:marTop w:val="0"/>
          <w:marBottom w:val="0"/>
          <w:divBdr>
            <w:top w:val="none" w:sz="0" w:space="0" w:color="auto"/>
            <w:left w:val="none" w:sz="0" w:space="0" w:color="auto"/>
            <w:bottom w:val="none" w:sz="0" w:space="0" w:color="auto"/>
            <w:right w:val="none" w:sz="0" w:space="0" w:color="auto"/>
          </w:divBdr>
          <w:divsChild>
            <w:div w:id="1069811676">
              <w:marLeft w:val="0"/>
              <w:marRight w:val="-100"/>
              <w:marTop w:val="1050"/>
              <w:marBottom w:val="0"/>
              <w:divBdr>
                <w:top w:val="none" w:sz="0" w:space="0" w:color="auto"/>
                <w:left w:val="none" w:sz="0" w:space="0" w:color="auto"/>
                <w:bottom w:val="none" w:sz="0" w:space="0" w:color="auto"/>
                <w:right w:val="none" w:sz="0" w:space="0" w:color="auto"/>
              </w:divBdr>
              <w:divsChild>
                <w:div w:id="204102404">
                  <w:marLeft w:val="3450"/>
                  <w:marRight w:val="0"/>
                  <w:marTop w:val="330"/>
                  <w:marBottom w:val="0"/>
                  <w:divBdr>
                    <w:top w:val="none" w:sz="0" w:space="0" w:color="auto"/>
                    <w:left w:val="none" w:sz="0" w:space="0" w:color="auto"/>
                    <w:bottom w:val="none" w:sz="0" w:space="0" w:color="auto"/>
                    <w:right w:val="none" w:sz="0" w:space="0" w:color="auto"/>
                  </w:divBdr>
                  <w:divsChild>
                    <w:div w:id="2071687843">
                      <w:marLeft w:val="0"/>
                      <w:marRight w:val="0"/>
                      <w:marTop w:val="0"/>
                      <w:marBottom w:val="0"/>
                      <w:divBdr>
                        <w:top w:val="none" w:sz="0" w:space="0" w:color="auto"/>
                        <w:left w:val="none" w:sz="0" w:space="0" w:color="auto"/>
                        <w:bottom w:val="none" w:sz="0" w:space="0" w:color="auto"/>
                        <w:right w:val="none" w:sz="0" w:space="0" w:color="auto"/>
                      </w:divBdr>
                      <w:divsChild>
                        <w:div w:id="6634359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640068">
      <w:bodyDiv w:val="1"/>
      <w:marLeft w:val="0"/>
      <w:marRight w:val="0"/>
      <w:marTop w:val="0"/>
      <w:marBottom w:val="0"/>
      <w:divBdr>
        <w:top w:val="none" w:sz="0" w:space="0" w:color="auto"/>
        <w:left w:val="none" w:sz="0" w:space="0" w:color="auto"/>
        <w:bottom w:val="none" w:sz="0" w:space="0" w:color="auto"/>
        <w:right w:val="none" w:sz="0" w:space="0" w:color="auto"/>
      </w:divBdr>
      <w:divsChild>
        <w:div w:id="1101146641">
          <w:marLeft w:val="0"/>
          <w:marRight w:val="0"/>
          <w:marTop w:val="0"/>
          <w:marBottom w:val="0"/>
          <w:divBdr>
            <w:top w:val="none" w:sz="0" w:space="0" w:color="auto"/>
            <w:left w:val="none" w:sz="0" w:space="0" w:color="auto"/>
            <w:bottom w:val="none" w:sz="0" w:space="0" w:color="auto"/>
            <w:right w:val="none" w:sz="0" w:space="0" w:color="auto"/>
          </w:divBdr>
          <w:divsChild>
            <w:div w:id="432626853">
              <w:marLeft w:val="0"/>
              <w:marRight w:val="0"/>
              <w:marTop w:val="0"/>
              <w:marBottom w:val="0"/>
              <w:divBdr>
                <w:top w:val="none" w:sz="0" w:space="0" w:color="auto"/>
                <w:left w:val="none" w:sz="0" w:space="0" w:color="auto"/>
                <w:bottom w:val="none" w:sz="0" w:space="0" w:color="auto"/>
                <w:right w:val="none" w:sz="0" w:space="0" w:color="auto"/>
              </w:divBdr>
              <w:divsChild>
                <w:div w:id="1553685978">
                  <w:marLeft w:val="0"/>
                  <w:marRight w:val="0"/>
                  <w:marTop w:val="0"/>
                  <w:marBottom w:val="0"/>
                  <w:divBdr>
                    <w:top w:val="none" w:sz="0" w:space="0" w:color="auto"/>
                    <w:left w:val="none" w:sz="0" w:space="0" w:color="auto"/>
                    <w:bottom w:val="none" w:sz="0" w:space="0" w:color="auto"/>
                    <w:right w:val="none" w:sz="0" w:space="0" w:color="auto"/>
                  </w:divBdr>
                  <w:divsChild>
                    <w:div w:id="2144226428">
                      <w:marLeft w:val="0"/>
                      <w:marRight w:val="0"/>
                      <w:marTop w:val="0"/>
                      <w:marBottom w:val="0"/>
                      <w:divBdr>
                        <w:top w:val="none" w:sz="0" w:space="0" w:color="auto"/>
                        <w:left w:val="none" w:sz="0" w:space="0" w:color="auto"/>
                        <w:bottom w:val="none" w:sz="0" w:space="0" w:color="auto"/>
                        <w:right w:val="none" w:sz="0" w:space="0" w:color="auto"/>
                      </w:divBdr>
                      <w:divsChild>
                        <w:div w:id="1573659200">
                          <w:marLeft w:val="0"/>
                          <w:marRight w:val="0"/>
                          <w:marTop w:val="0"/>
                          <w:marBottom w:val="0"/>
                          <w:divBdr>
                            <w:top w:val="none" w:sz="0" w:space="0" w:color="auto"/>
                            <w:left w:val="none" w:sz="0" w:space="0" w:color="auto"/>
                            <w:bottom w:val="none" w:sz="0" w:space="0" w:color="auto"/>
                            <w:right w:val="none" w:sz="0" w:space="0" w:color="auto"/>
                          </w:divBdr>
                          <w:divsChild>
                            <w:div w:id="960646962">
                              <w:marLeft w:val="0"/>
                              <w:marRight w:val="0"/>
                              <w:marTop w:val="0"/>
                              <w:marBottom w:val="0"/>
                              <w:divBdr>
                                <w:top w:val="none" w:sz="0" w:space="0" w:color="auto"/>
                                <w:left w:val="none" w:sz="0" w:space="0" w:color="auto"/>
                                <w:bottom w:val="none" w:sz="0" w:space="0" w:color="auto"/>
                                <w:right w:val="none" w:sz="0" w:space="0" w:color="auto"/>
                              </w:divBdr>
                              <w:divsChild>
                                <w:div w:id="1838034608">
                                  <w:marLeft w:val="0"/>
                                  <w:marRight w:val="0"/>
                                  <w:marTop w:val="0"/>
                                  <w:marBottom w:val="0"/>
                                  <w:divBdr>
                                    <w:top w:val="none" w:sz="0" w:space="0" w:color="auto"/>
                                    <w:left w:val="none" w:sz="0" w:space="0" w:color="auto"/>
                                    <w:bottom w:val="none" w:sz="0" w:space="0" w:color="auto"/>
                                    <w:right w:val="none" w:sz="0" w:space="0" w:color="auto"/>
                                  </w:divBdr>
                                  <w:divsChild>
                                    <w:div w:id="209073475">
                                      <w:marLeft w:val="0"/>
                                      <w:marRight w:val="0"/>
                                      <w:marTop w:val="0"/>
                                      <w:marBottom w:val="0"/>
                                      <w:divBdr>
                                        <w:top w:val="none" w:sz="0" w:space="0" w:color="auto"/>
                                        <w:left w:val="none" w:sz="0" w:space="0" w:color="auto"/>
                                        <w:bottom w:val="none" w:sz="0" w:space="0" w:color="auto"/>
                                        <w:right w:val="none" w:sz="0" w:space="0" w:color="auto"/>
                                      </w:divBdr>
                                      <w:divsChild>
                                        <w:div w:id="2079014708">
                                          <w:marLeft w:val="0"/>
                                          <w:marRight w:val="0"/>
                                          <w:marTop w:val="0"/>
                                          <w:marBottom w:val="0"/>
                                          <w:divBdr>
                                            <w:top w:val="none" w:sz="0" w:space="0" w:color="auto"/>
                                            <w:left w:val="none" w:sz="0" w:space="0" w:color="auto"/>
                                            <w:bottom w:val="none" w:sz="0" w:space="0" w:color="auto"/>
                                            <w:right w:val="none" w:sz="0" w:space="0" w:color="auto"/>
                                          </w:divBdr>
                                        </w:div>
                                        <w:div w:id="2078898288">
                                          <w:marLeft w:val="0"/>
                                          <w:marRight w:val="0"/>
                                          <w:marTop w:val="0"/>
                                          <w:marBottom w:val="0"/>
                                          <w:divBdr>
                                            <w:top w:val="none" w:sz="0" w:space="0" w:color="auto"/>
                                            <w:left w:val="none" w:sz="0" w:space="0" w:color="auto"/>
                                            <w:bottom w:val="none" w:sz="0" w:space="0" w:color="auto"/>
                                            <w:right w:val="none" w:sz="0" w:space="0" w:color="auto"/>
                                          </w:divBdr>
                                          <w:divsChild>
                                            <w:div w:id="9274488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4834230">
      <w:bodyDiv w:val="1"/>
      <w:marLeft w:val="0"/>
      <w:marRight w:val="0"/>
      <w:marTop w:val="0"/>
      <w:marBottom w:val="0"/>
      <w:divBdr>
        <w:top w:val="none" w:sz="0" w:space="0" w:color="auto"/>
        <w:left w:val="none" w:sz="0" w:space="0" w:color="auto"/>
        <w:bottom w:val="none" w:sz="0" w:space="0" w:color="auto"/>
        <w:right w:val="none" w:sz="0" w:space="0" w:color="auto"/>
      </w:divBdr>
      <w:divsChild>
        <w:div w:id="1217163024">
          <w:marLeft w:val="0"/>
          <w:marRight w:val="0"/>
          <w:marTop w:val="0"/>
          <w:marBottom w:val="0"/>
          <w:divBdr>
            <w:top w:val="none" w:sz="0" w:space="0" w:color="auto"/>
            <w:left w:val="none" w:sz="0" w:space="0" w:color="auto"/>
            <w:bottom w:val="none" w:sz="0" w:space="0" w:color="auto"/>
            <w:right w:val="none" w:sz="0" w:space="0" w:color="auto"/>
          </w:divBdr>
          <w:divsChild>
            <w:div w:id="1025910281">
              <w:marLeft w:val="0"/>
              <w:marRight w:val="0"/>
              <w:marTop w:val="0"/>
              <w:marBottom w:val="0"/>
              <w:divBdr>
                <w:top w:val="none" w:sz="0" w:space="0" w:color="auto"/>
                <w:left w:val="none" w:sz="0" w:space="0" w:color="auto"/>
                <w:bottom w:val="none" w:sz="0" w:space="0" w:color="auto"/>
                <w:right w:val="none" w:sz="0" w:space="0" w:color="auto"/>
              </w:divBdr>
              <w:divsChild>
                <w:div w:id="931085905">
                  <w:marLeft w:val="0"/>
                  <w:marRight w:val="0"/>
                  <w:marTop w:val="0"/>
                  <w:marBottom w:val="0"/>
                  <w:divBdr>
                    <w:top w:val="none" w:sz="0" w:space="0" w:color="auto"/>
                    <w:left w:val="none" w:sz="0" w:space="0" w:color="auto"/>
                    <w:bottom w:val="none" w:sz="0" w:space="0" w:color="auto"/>
                    <w:right w:val="none" w:sz="0" w:space="0" w:color="auto"/>
                  </w:divBdr>
                  <w:divsChild>
                    <w:div w:id="1668628426">
                      <w:marLeft w:val="0"/>
                      <w:marRight w:val="0"/>
                      <w:marTop w:val="0"/>
                      <w:marBottom w:val="0"/>
                      <w:divBdr>
                        <w:top w:val="none" w:sz="0" w:space="0" w:color="auto"/>
                        <w:left w:val="none" w:sz="0" w:space="0" w:color="auto"/>
                        <w:bottom w:val="none" w:sz="0" w:space="0" w:color="auto"/>
                        <w:right w:val="none" w:sz="0" w:space="0" w:color="auto"/>
                      </w:divBdr>
                      <w:divsChild>
                        <w:div w:id="1967272162">
                          <w:marLeft w:val="0"/>
                          <w:marRight w:val="0"/>
                          <w:marTop w:val="0"/>
                          <w:marBottom w:val="0"/>
                          <w:divBdr>
                            <w:top w:val="none" w:sz="0" w:space="0" w:color="auto"/>
                            <w:left w:val="none" w:sz="0" w:space="0" w:color="auto"/>
                            <w:bottom w:val="none" w:sz="0" w:space="0" w:color="auto"/>
                            <w:right w:val="none" w:sz="0" w:space="0" w:color="auto"/>
                          </w:divBdr>
                          <w:divsChild>
                            <w:div w:id="1043866109">
                              <w:marLeft w:val="0"/>
                              <w:marRight w:val="0"/>
                              <w:marTop w:val="0"/>
                              <w:marBottom w:val="0"/>
                              <w:divBdr>
                                <w:top w:val="none" w:sz="0" w:space="0" w:color="auto"/>
                                <w:left w:val="none" w:sz="0" w:space="0" w:color="auto"/>
                                <w:bottom w:val="none" w:sz="0" w:space="0" w:color="auto"/>
                                <w:right w:val="none" w:sz="0" w:space="0" w:color="auto"/>
                              </w:divBdr>
                              <w:divsChild>
                                <w:div w:id="1629242671">
                                  <w:marLeft w:val="0"/>
                                  <w:marRight w:val="0"/>
                                  <w:marTop w:val="0"/>
                                  <w:marBottom w:val="0"/>
                                  <w:divBdr>
                                    <w:top w:val="none" w:sz="0" w:space="0" w:color="auto"/>
                                    <w:left w:val="none" w:sz="0" w:space="0" w:color="auto"/>
                                    <w:bottom w:val="none" w:sz="0" w:space="0" w:color="auto"/>
                                    <w:right w:val="none" w:sz="0" w:space="0" w:color="auto"/>
                                  </w:divBdr>
                                  <w:divsChild>
                                    <w:div w:id="1798452437">
                                      <w:marLeft w:val="0"/>
                                      <w:marRight w:val="0"/>
                                      <w:marTop w:val="0"/>
                                      <w:marBottom w:val="0"/>
                                      <w:divBdr>
                                        <w:top w:val="none" w:sz="0" w:space="0" w:color="auto"/>
                                        <w:left w:val="none" w:sz="0" w:space="0" w:color="auto"/>
                                        <w:bottom w:val="none" w:sz="0" w:space="0" w:color="auto"/>
                                        <w:right w:val="none" w:sz="0" w:space="0" w:color="auto"/>
                                      </w:divBdr>
                                      <w:divsChild>
                                        <w:div w:id="1225145257">
                                          <w:marLeft w:val="0"/>
                                          <w:marRight w:val="0"/>
                                          <w:marTop w:val="0"/>
                                          <w:marBottom w:val="0"/>
                                          <w:divBdr>
                                            <w:top w:val="none" w:sz="0" w:space="0" w:color="auto"/>
                                            <w:left w:val="none" w:sz="0" w:space="0" w:color="auto"/>
                                            <w:bottom w:val="none" w:sz="0" w:space="0" w:color="auto"/>
                                            <w:right w:val="none" w:sz="0" w:space="0" w:color="auto"/>
                                          </w:divBdr>
                                          <w:divsChild>
                                            <w:div w:id="718211378">
                                              <w:marLeft w:val="0"/>
                                              <w:marRight w:val="0"/>
                                              <w:marTop w:val="0"/>
                                              <w:marBottom w:val="0"/>
                                              <w:divBdr>
                                                <w:top w:val="none" w:sz="0" w:space="0" w:color="auto"/>
                                                <w:left w:val="none" w:sz="0" w:space="0" w:color="auto"/>
                                                <w:bottom w:val="none" w:sz="0" w:space="0" w:color="auto"/>
                                                <w:right w:val="none" w:sz="0" w:space="0" w:color="auto"/>
                                              </w:divBdr>
                                              <w:divsChild>
                                                <w:div w:id="99767490">
                                                  <w:marLeft w:val="0"/>
                                                  <w:marRight w:val="0"/>
                                                  <w:marTop w:val="0"/>
                                                  <w:marBottom w:val="0"/>
                                                  <w:divBdr>
                                                    <w:top w:val="none" w:sz="0" w:space="0" w:color="auto"/>
                                                    <w:left w:val="none" w:sz="0" w:space="0" w:color="auto"/>
                                                    <w:bottom w:val="none" w:sz="0" w:space="0" w:color="auto"/>
                                                    <w:right w:val="none" w:sz="0" w:space="0" w:color="auto"/>
                                                  </w:divBdr>
                                                  <w:divsChild>
                                                    <w:div w:id="855315164">
                                                      <w:marLeft w:val="0"/>
                                                      <w:marRight w:val="0"/>
                                                      <w:marTop w:val="0"/>
                                                      <w:marBottom w:val="0"/>
                                                      <w:divBdr>
                                                        <w:top w:val="none" w:sz="0" w:space="0" w:color="auto"/>
                                                        <w:left w:val="none" w:sz="0" w:space="0" w:color="auto"/>
                                                        <w:bottom w:val="none" w:sz="0" w:space="0" w:color="auto"/>
                                                        <w:right w:val="none" w:sz="0" w:space="0" w:color="auto"/>
                                                      </w:divBdr>
                                                      <w:divsChild>
                                                        <w:div w:id="5492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4838715">
      <w:bodyDiv w:val="1"/>
      <w:marLeft w:val="0"/>
      <w:marRight w:val="0"/>
      <w:marTop w:val="0"/>
      <w:marBottom w:val="0"/>
      <w:divBdr>
        <w:top w:val="none" w:sz="0" w:space="0" w:color="auto"/>
        <w:left w:val="none" w:sz="0" w:space="0" w:color="auto"/>
        <w:bottom w:val="none" w:sz="0" w:space="0" w:color="auto"/>
        <w:right w:val="none" w:sz="0" w:space="0" w:color="auto"/>
      </w:divBdr>
      <w:divsChild>
        <w:div w:id="1982269206">
          <w:marLeft w:val="0"/>
          <w:marRight w:val="0"/>
          <w:marTop w:val="0"/>
          <w:marBottom w:val="0"/>
          <w:divBdr>
            <w:top w:val="single" w:sz="6" w:space="0" w:color="0E477A"/>
            <w:left w:val="single" w:sz="6" w:space="0" w:color="0E477A"/>
            <w:bottom w:val="single" w:sz="6" w:space="0" w:color="0E477A"/>
            <w:right w:val="single" w:sz="6" w:space="0" w:color="0E477A"/>
          </w:divBdr>
          <w:divsChild>
            <w:div w:id="614947826">
              <w:marLeft w:val="2925"/>
              <w:marRight w:val="0"/>
              <w:marTop w:val="0"/>
              <w:marBottom w:val="0"/>
              <w:divBdr>
                <w:top w:val="none" w:sz="0" w:space="0" w:color="auto"/>
                <w:left w:val="none" w:sz="0" w:space="0" w:color="auto"/>
                <w:bottom w:val="none" w:sz="0" w:space="0" w:color="auto"/>
                <w:right w:val="none" w:sz="0" w:space="0" w:color="auto"/>
              </w:divBdr>
              <w:divsChild>
                <w:div w:id="414285280">
                  <w:marLeft w:val="0"/>
                  <w:marRight w:val="0"/>
                  <w:marTop w:val="0"/>
                  <w:marBottom w:val="0"/>
                  <w:divBdr>
                    <w:top w:val="none" w:sz="0" w:space="0" w:color="auto"/>
                    <w:left w:val="none" w:sz="0" w:space="0" w:color="auto"/>
                    <w:bottom w:val="none" w:sz="0" w:space="0" w:color="auto"/>
                    <w:right w:val="none" w:sz="0" w:space="0" w:color="auto"/>
                  </w:divBdr>
                  <w:divsChild>
                    <w:div w:id="1947544336">
                      <w:marLeft w:val="0"/>
                      <w:marRight w:val="150"/>
                      <w:marTop w:val="0"/>
                      <w:marBottom w:val="0"/>
                      <w:divBdr>
                        <w:top w:val="single" w:sz="6" w:space="0" w:color="CCCCCC"/>
                        <w:left w:val="single" w:sz="6" w:space="8" w:color="CCCCCC"/>
                        <w:bottom w:val="single" w:sz="6" w:space="8" w:color="CCCCCC"/>
                        <w:right w:val="single" w:sz="6" w:space="8" w:color="CCCCCC"/>
                      </w:divBdr>
                      <w:divsChild>
                        <w:div w:id="1980843486">
                          <w:marLeft w:val="0"/>
                          <w:marRight w:val="0"/>
                          <w:marTop w:val="0"/>
                          <w:marBottom w:val="0"/>
                          <w:divBdr>
                            <w:top w:val="none" w:sz="0" w:space="0" w:color="auto"/>
                            <w:left w:val="none" w:sz="0" w:space="0" w:color="auto"/>
                            <w:bottom w:val="none" w:sz="0" w:space="0" w:color="auto"/>
                            <w:right w:val="none" w:sz="0" w:space="0" w:color="auto"/>
                          </w:divBdr>
                        </w:div>
                        <w:div w:id="1899780205">
                          <w:marLeft w:val="0"/>
                          <w:marRight w:val="0"/>
                          <w:marTop w:val="0"/>
                          <w:marBottom w:val="0"/>
                          <w:divBdr>
                            <w:top w:val="none" w:sz="0" w:space="0" w:color="auto"/>
                            <w:left w:val="none" w:sz="0" w:space="0" w:color="auto"/>
                            <w:bottom w:val="none" w:sz="0" w:space="0" w:color="auto"/>
                            <w:right w:val="none" w:sz="0" w:space="0" w:color="auto"/>
                          </w:divBdr>
                        </w:div>
                        <w:div w:id="1675839239">
                          <w:marLeft w:val="0"/>
                          <w:marRight w:val="0"/>
                          <w:marTop w:val="0"/>
                          <w:marBottom w:val="0"/>
                          <w:divBdr>
                            <w:top w:val="none" w:sz="0" w:space="0" w:color="auto"/>
                            <w:left w:val="none" w:sz="0" w:space="0" w:color="auto"/>
                            <w:bottom w:val="none" w:sz="0" w:space="0" w:color="auto"/>
                            <w:right w:val="none" w:sz="0" w:space="0" w:color="auto"/>
                          </w:divBdr>
                        </w:div>
                        <w:div w:id="2030986502">
                          <w:marLeft w:val="0"/>
                          <w:marRight w:val="0"/>
                          <w:marTop w:val="0"/>
                          <w:marBottom w:val="0"/>
                          <w:divBdr>
                            <w:top w:val="none" w:sz="0" w:space="0" w:color="auto"/>
                            <w:left w:val="none" w:sz="0" w:space="0" w:color="auto"/>
                            <w:bottom w:val="none" w:sz="0" w:space="0" w:color="auto"/>
                            <w:right w:val="none" w:sz="0" w:space="0" w:color="auto"/>
                          </w:divBdr>
                        </w:div>
                        <w:div w:id="1243106463">
                          <w:marLeft w:val="0"/>
                          <w:marRight w:val="0"/>
                          <w:marTop w:val="0"/>
                          <w:marBottom w:val="0"/>
                          <w:divBdr>
                            <w:top w:val="none" w:sz="0" w:space="0" w:color="auto"/>
                            <w:left w:val="none" w:sz="0" w:space="0" w:color="auto"/>
                            <w:bottom w:val="none" w:sz="0" w:space="0" w:color="auto"/>
                            <w:right w:val="none" w:sz="0" w:space="0" w:color="auto"/>
                          </w:divBdr>
                        </w:div>
                        <w:div w:id="367800150">
                          <w:marLeft w:val="0"/>
                          <w:marRight w:val="0"/>
                          <w:marTop w:val="0"/>
                          <w:marBottom w:val="0"/>
                          <w:divBdr>
                            <w:top w:val="none" w:sz="0" w:space="0" w:color="auto"/>
                            <w:left w:val="none" w:sz="0" w:space="0" w:color="auto"/>
                            <w:bottom w:val="none" w:sz="0" w:space="0" w:color="auto"/>
                            <w:right w:val="none" w:sz="0" w:space="0" w:color="auto"/>
                          </w:divBdr>
                        </w:div>
                        <w:div w:id="23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70969">
      <w:bodyDiv w:val="1"/>
      <w:marLeft w:val="0"/>
      <w:marRight w:val="0"/>
      <w:marTop w:val="0"/>
      <w:marBottom w:val="0"/>
      <w:divBdr>
        <w:top w:val="none" w:sz="0" w:space="0" w:color="auto"/>
        <w:left w:val="none" w:sz="0" w:space="0" w:color="auto"/>
        <w:bottom w:val="none" w:sz="0" w:space="0" w:color="auto"/>
        <w:right w:val="none" w:sz="0" w:space="0" w:color="auto"/>
      </w:divBdr>
      <w:divsChild>
        <w:div w:id="416945767">
          <w:marLeft w:val="0"/>
          <w:marRight w:val="0"/>
          <w:marTop w:val="0"/>
          <w:marBottom w:val="0"/>
          <w:divBdr>
            <w:top w:val="none" w:sz="0" w:space="0" w:color="auto"/>
            <w:left w:val="none" w:sz="0" w:space="0" w:color="auto"/>
            <w:bottom w:val="none" w:sz="0" w:space="0" w:color="auto"/>
            <w:right w:val="none" w:sz="0" w:space="0" w:color="auto"/>
          </w:divBdr>
          <w:divsChild>
            <w:div w:id="468910394">
              <w:marLeft w:val="0"/>
              <w:marRight w:val="0"/>
              <w:marTop w:val="0"/>
              <w:marBottom w:val="0"/>
              <w:divBdr>
                <w:top w:val="none" w:sz="0" w:space="0" w:color="auto"/>
                <w:left w:val="none" w:sz="0" w:space="0" w:color="auto"/>
                <w:bottom w:val="none" w:sz="0" w:space="0" w:color="auto"/>
                <w:right w:val="none" w:sz="0" w:space="0" w:color="auto"/>
              </w:divBdr>
              <w:divsChild>
                <w:div w:id="1057707722">
                  <w:marLeft w:val="0"/>
                  <w:marRight w:val="0"/>
                  <w:marTop w:val="0"/>
                  <w:marBottom w:val="0"/>
                  <w:divBdr>
                    <w:top w:val="none" w:sz="0" w:space="0" w:color="auto"/>
                    <w:left w:val="none" w:sz="0" w:space="0" w:color="auto"/>
                    <w:bottom w:val="none" w:sz="0" w:space="0" w:color="auto"/>
                    <w:right w:val="none" w:sz="0" w:space="0" w:color="auto"/>
                  </w:divBdr>
                  <w:divsChild>
                    <w:div w:id="1572692663">
                      <w:marLeft w:val="0"/>
                      <w:marRight w:val="0"/>
                      <w:marTop w:val="0"/>
                      <w:marBottom w:val="0"/>
                      <w:divBdr>
                        <w:top w:val="none" w:sz="0" w:space="0" w:color="auto"/>
                        <w:left w:val="none" w:sz="0" w:space="0" w:color="auto"/>
                        <w:bottom w:val="none" w:sz="0" w:space="0" w:color="auto"/>
                        <w:right w:val="none" w:sz="0" w:space="0" w:color="auto"/>
                      </w:divBdr>
                      <w:divsChild>
                        <w:div w:id="1593776195">
                          <w:marLeft w:val="0"/>
                          <w:marRight w:val="0"/>
                          <w:marTop w:val="0"/>
                          <w:marBottom w:val="0"/>
                          <w:divBdr>
                            <w:top w:val="none" w:sz="0" w:space="0" w:color="auto"/>
                            <w:left w:val="none" w:sz="0" w:space="0" w:color="auto"/>
                            <w:bottom w:val="single" w:sz="6" w:space="15" w:color="CCCCCC"/>
                            <w:right w:val="none" w:sz="0" w:space="0" w:color="auto"/>
                          </w:divBdr>
                          <w:divsChild>
                            <w:div w:id="1099636951">
                              <w:marLeft w:val="0"/>
                              <w:marRight w:val="0"/>
                              <w:marTop w:val="0"/>
                              <w:marBottom w:val="0"/>
                              <w:divBdr>
                                <w:top w:val="none" w:sz="0" w:space="0" w:color="auto"/>
                                <w:left w:val="none" w:sz="0" w:space="0" w:color="auto"/>
                                <w:bottom w:val="none" w:sz="0" w:space="0" w:color="auto"/>
                                <w:right w:val="none" w:sz="0" w:space="0" w:color="auto"/>
                              </w:divBdr>
                              <w:divsChild>
                                <w:div w:id="4143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574487">
      <w:bodyDiv w:val="1"/>
      <w:marLeft w:val="0"/>
      <w:marRight w:val="0"/>
      <w:marTop w:val="0"/>
      <w:marBottom w:val="0"/>
      <w:divBdr>
        <w:top w:val="none" w:sz="0" w:space="0" w:color="auto"/>
        <w:left w:val="none" w:sz="0" w:space="0" w:color="auto"/>
        <w:bottom w:val="none" w:sz="0" w:space="0" w:color="auto"/>
        <w:right w:val="none" w:sz="0" w:space="0" w:color="auto"/>
      </w:divBdr>
      <w:divsChild>
        <w:div w:id="1271350356">
          <w:marLeft w:val="0"/>
          <w:marRight w:val="0"/>
          <w:marTop w:val="0"/>
          <w:marBottom w:val="0"/>
          <w:divBdr>
            <w:top w:val="none" w:sz="0" w:space="0" w:color="auto"/>
            <w:left w:val="none" w:sz="0" w:space="0" w:color="auto"/>
            <w:bottom w:val="none" w:sz="0" w:space="0" w:color="auto"/>
            <w:right w:val="none" w:sz="0" w:space="0" w:color="auto"/>
          </w:divBdr>
          <w:divsChild>
            <w:div w:id="1892768760">
              <w:marLeft w:val="0"/>
              <w:marRight w:val="0"/>
              <w:marTop w:val="0"/>
              <w:marBottom w:val="0"/>
              <w:divBdr>
                <w:top w:val="none" w:sz="0" w:space="0" w:color="auto"/>
                <w:left w:val="none" w:sz="0" w:space="0" w:color="auto"/>
                <w:bottom w:val="none" w:sz="0" w:space="0" w:color="auto"/>
                <w:right w:val="none" w:sz="0" w:space="0" w:color="auto"/>
              </w:divBdr>
            </w:div>
            <w:div w:id="14802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8403">
      <w:bodyDiv w:val="1"/>
      <w:marLeft w:val="0"/>
      <w:marRight w:val="0"/>
      <w:marTop w:val="0"/>
      <w:marBottom w:val="0"/>
      <w:divBdr>
        <w:top w:val="none" w:sz="0" w:space="0" w:color="auto"/>
        <w:left w:val="none" w:sz="0" w:space="0" w:color="auto"/>
        <w:bottom w:val="none" w:sz="0" w:space="0" w:color="auto"/>
        <w:right w:val="none" w:sz="0" w:space="0" w:color="auto"/>
      </w:divBdr>
      <w:divsChild>
        <w:div w:id="314333920">
          <w:marLeft w:val="0"/>
          <w:marRight w:val="0"/>
          <w:marTop w:val="0"/>
          <w:marBottom w:val="0"/>
          <w:divBdr>
            <w:top w:val="single" w:sz="6" w:space="0" w:color="0E477A"/>
            <w:left w:val="single" w:sz="6" w:space="0" w:color="0E477A"/>
            <w:bottom w:val="single" w:sz="6" w:space="0" w:color="0E477A"/>
            <w:right w:val="single" w:sz="6" w:space="0" w:color="0E477A"/>
          </w:divBdr>
          <w:divsChild>
            <w:div w:id="2090808711">
              <w:marLeft w:val="2925"/>
              <w:marRight w:val="0"/>
              <w:marTop w:val="0"/>
              <w:marBottom w:val="0"/>
              <w:divBdr>
                <w:top w:val="none" w:sz="0" w:space="0" w:color="auto"/>
                <w:left w:val="none" w:sz="0" w:space="0" w:color="auto"/>
                <w:bottom w:val="none" w:sz="0" w:space="0" w:color="auto"/>
                <w:right w:val="none" w:sz="0" w:space="0" w:color="auto"/>
              </w:divBdr>
              <w:divsChild>
                <w:div w:id="1582832328">
                  <w:marLeft w:val="0"/>
                  <w:marRight w:val="0"/>
                  <w:marTop w:val="0"/>
                  <w:marBottom w:val="0"/>
                  <w:divBdr>
                    <w:top w:val="none" w:sz="0" w:space="0" w:color="auto"/>
                    <w:left w:val="none" w:sz="0" w:space="0" w:color="auto"/>
                    <w:bottom w:val="none" w:sz="0" w:space="0" w:color="auto"/>
                    <w:right w:val="none" w:sz="0" w:space="0" w:color="auto"/>
                  </w:divBdr>
                  <w:divsChild>
                    <w:div w:id="891893156">
                      <w:marLeft w:val="0"/>
                      <w:marRight w:val="150"/>
                      <w:marTop w:val="0"/>
                      <w:marBottom w:val="0"/>
                      <w:divBdr>
                        <w:top w:val="single" w:sz="6" w:space="0" w:color="CCCCCC"/>
                        <w:left w:val="single" w:sz="6" w:space="8" w:color="CCCCCC"/>
                        <w:bottom w:val="single" w:sz="6" w:space="8" w:color="CCCCCC"/>
                        <w:right w:val="single" w:sz="6" w:space="8" w:color="CCCCCC"/>
                      </w:divBdr>
                      <w:divsChild>
                        <w:div w:id="1936867148">
                          <w:marLeft w:val="0"/>
                          <w:marRight w:val="0"/>
                          <w:marTop w:val="0"/>
                          <w:marBottom w:val="0"/>
                          <w:divBdr>
                            <w:top w:val="none" w:sz="0" w:space="0" w:color="auto"/>
                            <w:left w:val="none" w:sz="0" w:space="0" w:color="auto"/>
                            <w:bottom w:val="none" w:sz="0" w:space="0" w:color="auto"/>
                            <w:right w:val="none" w:sz="0" w:space="0" w:color="auto"/>
                          </w:divBdr>
                        </w:div>
                        <w:div w:id="1596011144">
                          <w:marLeft w:val="0"/>
                          <w:marRight w:val="0"/>
                          <w:marTop w:val="0"/>
                          <w:marBottom w:val="0"/>
                          <w:divBdr>
                            <w:top w:val="none" w:sz="0" w:space="0" w:color="auto"/>
                            <w:left w:val="none" w:sz="0" w:space="0" w:color="auto"/>
                            <w:bottom w:val="none" w:sz="0" w:space="0" w:color="auto"/>
                            <w:right w:val="none" w:sz="0" w:space="0" w:color="auto"/>
                          </w:divBdr>
                        </w:div>
                        <w:div w:id="327291506">
                          <w:marLeft w:val="0"/>
                          <w:marRight w:val="0"/>
                          <w:marTop w:val="0"/>
                          <w:marBottom w:val="0"/>
                          <w:divBdr>
                            <w:top w:val="none" w:sz="0" w:space="0" w:color="auto"/>
                            <w:left w:val="none" w:sz="0" w:space="0" w:color="auto"/>
                            <w:bottom w:val="none" w:sz="0" w:space="0" w:color="auto"/>
                            <w:right w:val="none" w:sz="0" w:space="0" w:color="auto"/>
                          </w:divBdr>
                        </w:div>
                        <w:div w:id="474883201">
                          <w:marLeft w:val="0"/>
                          <w:marRight w:val="0"/>
                          <w:marTop w:val="0"/>
                          <w:marBottom w:val="0"/>
                          <w:divBdr>
                            <w:top w:val="none" w:sz="0" w:space="0" w:color="auto"/>
                            <w:left w:val="none" w:sz="0" w:space="0" w:color="auto"/>
                            <w:bottom w:val="none" w:sz="0" w:space="0" w:color="auto"/>
                            <w:right w:val="none" w:sz="0" w:space="0" w:color="auto"/>
                          </w:divBdr>
                        </w:div>
                        <w:div w:id="1886717953">
                          <w:marLeft w:val="0"/>
                          <w:marRight w:val="0"/>
                          <w:marTop w:val="0"/>
                          <w:marBottom w:val="0"/>
                          <w:divBdr>
                            <w:top w:val="none" w:sz="0" w:space="0" w:color="auto"/>
                            <w:left w:val="none" w:sz="0" w:space="0" w:color="auto"/>
                            <w:bottom w:val="none" w:sz="0" w:space="0" w:color="auto"/>
                            <w:right w:val="none" w:sz="0" w:space="0" w:color="auto"/>
                          </w:divBdr>
                        </w:div>
                        <w:div w:id="492574547">
                          <w:marLeft w:val="0"/>
                          <w:marRight w:val="0"/>
                          <w:marTop w:val="0"/>
                          <w:marBottom w:val="0"/>
                          <w:divBdr>
                            <w:top w:val="none" w:sz="0" w:space="0" w:color="auto"/>
                            <w:left w:val="none" w:sz="0" w:space="0" w:color="auto"/>
                            <w:bottom w:val="none" w:sz="0" w:space="0" w:color="auto"/>
                            <w:right w:val="none" w:sz="0" w:space="0" w:color="auto"/>
                          </w:divBdr>
                        </w:div>
                        <w:div w:id="1812095887">
                          <w:marLeft w:val="0"/>
                          <w:marRight w:val="0"/>
                          <w:marTop w:val="0"/>
                          <w:marBottom w:val="0"/>
                          <w:divBdr>
                            <w:top w:val="none" w:sz="0" w:space="0" w:color="auto"/>
                            <w:left w:val="none" w:sz="0" w:space="0" w:color="auto"/>
                            <w:bottom w:val="none" w:sz="0" w:space="0" w:color="auto"/>
                            <w:right w:val="none" w:sz="0" w:space="0" w:color="auto"/>
                          </w:divBdr>
                        </w:div>
                        <w:div w:id="427431598">
                          <w:marLeft w:val="0"/>
                          <w:marRight w:val="0"/>
                          <w:marTop w:val="0"/>
                          <w:marBottom w:val="0"/>
                          <w:divBdr>
                            <w:top w:val="none" w:sz="0" w:space="0" w:color="auto"/>
                            <w:left w:val="none" w:sz="0" w:space="0" w:color="auto"/>
                            <w:bottom w:val="none" w:sz="0" w:space="0" w:color="auto"/>
                            <w:right w:val="none" w:sz="0" w:space="0" w:color="auto"/>
                          </w:divBdr>
                        </w:div>
                        <w:div w:id="618880162">
                          <w:marLeft w:val="0"/>
                          <w:marRight w:val="0"/>
                          <w:marTop w:val="0"/>
                          <w:marBottom w:val="0"/>
                          <w:divBdr>
                            <w:top w:val="none" w:sz="0" w:space="0" w:color="auto"/>
                            <w:left w:val="none" w:sz="0" w:space="0" w:color="auto"/>
                            <w:bottom w:val="none" w:sz="0" w:space="0" w:color="auto"/>
                            <w:right w:val="none" w:sz="0" w:space="0" w:color="auto"/>
                          </w:divBdr>
                        </w:div>
                        <w:div w:id="17523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72979">
      <w:bodyDiv w:val="1"/>
      <w:marLeft w:val="0"/>
      <w:marRight w:val="0"/>
      <w:marTop w:val="0"/>
      <w:marBottom w:val="0"/>
      <w:divBdr>
        <w:top w:val="none" w:sz="0" w:space="0" w:color="auto"/>
        <w:left w:val="none" w:sz="0" w:space="0" w:color="auto"/>
        <w:bottom w:val="none" w:sz="0" w:space="0" w:color="auto"/>
        <w:right w:val="none" w:sz="0" w:space="0" w:color="auto"/>
      </w:divBdr>
      <w:divsChild>
        <w:div w:id="1113862951">
          <w:marLeft w:val="0"/>
          <w:marRight w:val="0"/>
          <w:marTop w:val="0"/>
          <w:marBottom w:val="0"/>
          <w:divBdr>
            <w:top w:val="none" w:sz="0" w:space="0" w:color="auto"/>
            <w:left w:val="none" w:sz="0" w:space="0" w:color="auto"/>
            <w:bottom w:val="none" w:sz="0" w:space="0" w:color="auto"/>
            <w:right w:val="none" w:sz="0" w:space="0" w:color="auto"/>
          </w:divBdr>
          <w:divsChild>
            <w:div w:id="995652044">
              <w:marLeft w:val="0"/>
              <w:marRight w:val="0"/>
              <w:marTop w:val="0"/>
              <w:marBottom w:val="0"/>
              <w:divBdr>
                <w:top w:val="none" w:sz="0" w:space="0" w:color="auto"/>
                <w:left w:val="none" w:sz="0" w:space="0" w:color="auto"/>
                <w:bottom w:val="none" w:sz="0" w:space="0" w:color="auto"/>
                <w:right w:val="none" w:sz="0" w:space="0" w:color="auto"/>
              </w:divBdr>
              <w:divsChild>
                <w:div w:id="870999082">
                  <w:marLeft w:val="0"/>
                  <w:marRight w:val="0"/>
                  <w:marTop w:val="0"/>
                  <w:marBottom w:val="0"/>
                  <w:divBdr>
                    <w:top w:val="none" w:sz="0" w:space="0" w:color="auto"/>
                    <w:left w:val="none" w:sz="0" w:space="0" w:color="auto"/>
                    <w:bottom w:val="none" w:sz="0" w:space="0" w:color="auto"/>
                    <w:right w:val="none" w:sz="0" w:space="0" w:color="auto"/>
                  </w:divBdr>
                  <w:divsChild>
                    <w:div w:id="497233160">
                      <w:marLeft w:val="0"/>
                      <w:marRight w:val="0"/>
                      <w:marTop w:val="0"/>
                      <w:marBottom w:val="0"/>
                      <w:divBdr>
                        <w:top w:val="none" w:sz="0" w:space="0" w:color="auto"/>
                        <w:left w:val="none" w:sz="0" w:space="0" w:color="auto"/>
                        <w:bottom w:val="none" w:sz="0" w:space="0" w:color="auto"/>
                        <w:right w:val="none" w:sz="0" w:space="0" w:color="auto"/>
                      </w:divBdr>
                      <w:divsChild>
                        <w:div w:id="2095467232">
                          <w:marLeft w:val="0"/>
                          <w:marRight w:val="0"/>
                          <w:marTop w:val="0"/>
                          <w:marBottom w:val="0"/>
                          <w:divBdr>
                            <w:top w:val="none" w:sz="0" w:space="0" w:color="auto"/>
                            <w:left w:val="none" w:sz="0" w:space="0" w:color="auto"/>
                            <w:bottom w:val="none" w:sz="0" w:space="0" w:color="auto"/>
                            <w:right w:val="none" w:sz="0" w:space="0" w:color="auto"/>
                          </w:divBdr>
                          <w:divsChild>
                            <w:div w:id="1231698648">
                              <w:marLeft w:val="570"/>
                              <w:marRight w:val="720"/>
                              <w:marTop w:val="120"/>
                              <w:marBottom w:val="120"/>
                              <w:divBdr>
                                <w:top w:val="none" w:sz="0" w:space="0" w:color="auto"/>
                                <w:left w:val="none" w:sz="0" w:space="0" w:color="auto"/>
                                <w:bottom w:val="none" w:sz="0" w:space="0" w:color="auto"/>
                                <w:right w:val="none" w:sz="0" w:space="0" w:color="auto"/>
                              </w:divBdr>
                              <w:divsChild>
                                <w:div w:id="369383565">
                                  <w:marLeft w:val="0"/>
                                  <w:marRight w:val="0"/>
                                  <w:marTop w:val="0"/>
                                  <w:marBottom w:val="0"/>
                                  <w:divBdr>
                                    <w:top w:val="none" w:sz="0" w:space="0" w:color="auto"/>
                                    <w:left w:val="none" w:sz="0" w:space="0" w:color="auto"/>
                                    <w:bottom w:val="none" w:sz="0" w:space="0" w:color="auto"/>
                                    <w:right w:val="none" w:sz="0" w:space="0" w:color="auto"/>
                                  </w:divBdr>
                                  <w:divsChild>
                                    <w:div w:id="2095542107">
                                      <w:marLeft w:val="0"/>
                                      <w:marRight w:val="0"/>
                                      <w:marTop w:val="0"/>
                                      <w:marBottom w:val="0"/>
                                      <w:divBdr>
                                        <w:top w:val="none" w:sz="0" w:space="0" w:color="auto"/>
                                        <w:left w:val="none" w:sz="0" w:space="0" w:color="auto"/>
                                        <w:bottom w:val="none" w:sz="0" w:space="0" w:color="auto"/>
                                        <w:right w:val="none" w:sz="0" w:space="0" w:color="auto"/>
                                      </w:divBdr>
                                      <w:divsChild>
                                        <w:div w:id="290552675">
                                          <w:marLeft w:val="0"/>
                                          <w:marRight w:val="0"/>
                                          <w:marTop w:val="0"/>
                                          <w:marBottom w:val="0"/>
                                          <w:divBdr>
                                            <w:top w:val="none" w:sz="0" w:space="0" w:color="auto"/>
                                            <w:left w:val="none" w:sz="0" w:space="0" w:color="auto"/>
                                            <w:bottom w:val="none" w:sz="0" w:space="0" w:color="auto"/>
                                            <w:right w:val="none" w:sz="0" w:space="0" w:color="auto"/>
                                          </w:divBdr>
                                        </w:div>
                                        <w:div w:id="1916470709">
                                          <w:marLeft w:val="0"/>
                                          <w:marRight w:val="0"/>
                                          <w:marTop w:val="0"/>
                                          <w:marBottom w:val="150"/>
                                          <w:divBdr>
                                            <w:top w:val="none" w:sz="0" w:space="0" w:color="auto"/>
                                            <w:left w:val="none" w:sz="0" w:space="0" w:color="auto"/>
                                            <w:bottom w:val="none" w:sz="0" w:space="0" w:color="auto"/>
                                            <w:right w:val="none" w:sz="0" w:space="0" w:color="auto"/>
                                          </w:divBdr>
                                          <w:divsChild>
                                            <w:div w:id="1117598268">
                                              <w:marLeft w:val="0"/>
                                              <w:marRight w:val="0"/>
                                              <w:marTop w:val="240"/>
                                              <w:marBottom w:val="240"/>
                                              <w:divBdr>
                                                <w:top w:val="single" w:sz="6" w:space="6" w:color="F2F2F2"/>
                                                <w:left w:val="none" w:sz="0" w:space="0" w:color="auto"/>
                                                <w:bottom w:val="single" w:sz="6" w:space="6" w:color="F2F2F2"/>
                                                <w:right w:val="none" w:sz="0" w:space="0" w:color="auto"/>
                                              </w:divBdr>
                                            </w:div>
                                            <w:div w:id="98641772">
                                              <w:marLeft w:val="0"/>
                                              <w:marRight w:val="0"/>
                                              <w:marTop w:val="0"/>
                                              <w:marBottom w:val="0"/>
                                              <w:divBdr>
                                                <w:top w:val="none" w:sz="0" w:space="0" w:color="auto"/>
                                                <w:left w:val="none" w:sz="0" w:space="0" w:color="auto"/>
                                                <w:bottom w:val="none" w:sz="0" w:space="0" w:color="auto"/>
                                                <w:right w:val="none" w:sz="0" w:space="0" w:color="auto"/>
                                              </w:divBdr>
                                              <w:divsChild>
                                                <w:div w:id="865022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615543">
      <w:bodyDiv w:val="1"/>
      <w:marLeft w:val="0"/>
      <w:marRight w:val="0"/>
      <w:marTop w:val="0"/>
      <w:marBottom w:val="0"/>
      <w:divBdr>
        <w:top w:val="none" w:sz="0" w:space="0" w:color="auto"/>
        <w:left w:val="none" w:sz="0" w:space="0" w:color="auto"/>
        <w:bottom w:val="none" w:sz="0" w:space="0" w:color="auto"/>
        <w:right w:val="none" w:sz="0" w:space="0" w:color="auto"/>
      </w:divBdr>
      <w:divsChild>
        <w:div w:id="51466555">
          <w:marLeft w:val="0"/>
          <w:marRight w:val="0"/>
          <w:marTop w:val="0"/>
          <w:marBottom w:val="0"/>
          <w:divBdr>
            <w:top w:val="none" w:sz="0" w:space="0" w:color="auto"/>
            <w:left w:val="none" w:sz="0" w:space="0" w:color="auto"/>
            <w:bottom w:val="none" w:sz="0" w:space="0" w:color="auto"/>
            <w:right w:val="none" w:sz="0" w:space="0" w:color="auto"/>
          </w:divBdr>
          <w:divsChild>
            <w:div w:id="322897750">
              <w:marLeft w:val="0"/>
              <w:marRight w:val="0"/>
              <w:marTop w:val="0"/>
              <w:marBottom w:val="0"/>
              <w:divBdr>
                <w:top w:val="none" w:sz="0" w:space="0" w:color="auto"/>
                <w:left w:val="none" w:sz="0" w:space="0" w:color="auto"/>
                <w:bottom w:val="none" w:sz="0" w:space="0" w:color="auto"/>
                <w:right w:val="none" w:sz="0" w:space="0" w:color="auto"/>
              </w:divBdr>
              <w:divsChild>
                <w:div w:id="1116096698">
                  <w:marLeft w:val="0"/>
                  <w:marRight w:val="0"/>
                  <w:marTop w:val="0"/>
                  <w:marBottom w:val="0"/>
                  <w:divBdr>
                    <w:top w:val="none" w:sz="0" w:space="0" w:color="auto"/>
                    <w:left w:val="none" w:sz="0" w:space="0" w:color="auto"/>
                    <w:bottom w:val="none" w:sz="0" w:space="0" w:color="auto"/>
                    <w:right w:val="none" w:sz="0" w:space="0" w:color="auto"/>
                  </w:divBdr>
                  <w:divsChild>
                    <w:div w:id="1440836193">
                      <w:marLeft w:val="0"/>
                      <w:marRight w:val="0"/>
                      <w:marTop w:val="0"/>
                      <w:marBottom w:val="0"/>
                      <w:divBdr>
                        <w:top w:val="none" w:sz="0" w:space="0" w:color="auto"/>
                        <w:left w:val="none" w:sz="0" w:space="0" w:color="auto"/>
                        <w:bottom w:val="none" w:sz="0" w:space="0" w:color="auto"/>
                        <w:right w:val="none" w:sz="0" w:space="0" w:color="auto"/>
                      </w:divBdr>
                      <w:divsChild>
                        <w:div w:id="1292400594">
                          <w:marLeft w:val="0"/>
                          <w:marRight w:val="0"/>
                          <w:marTop w:val="0"/>
                          <w:marBottom w:val="0"/>
                          <w:divBdr>
                            <w:top w:val="none" w:sz="0" w:space="0" w:color="auto"/>
                            <w:left w:val="none" w:sz="0" w:space="0" w:color="auto"/>
                            <w:bottom w:val="none" w:sz="0" w:space="0" w:color="auto"/>
                            <w:right w:val="none" w:sz="0" w:space="0" w:color="auto"/>
                          </w:divBdr>
                          <w:divsChild>
                            <w:div w:id="243078427">
                              <w:marLeft w:val="0"/>
                              <w:marRight w:val="0"/>
                              <w:marTop w:val="0"/>
                              <w:marBottom w:val="0"/>
                              <w:divBdr>
                                <w:top w:val="none" w:sz="0" w:space="0" w:color="auto"/>
                                <w:left w:val="none" w:sz="0" w:space="0" w:color="auto"/>
                                <w:bottom w:val="none" w:sz="0" w:space="0" w:color="auto"/>
                                <w:right w:val="none" w:sz="0" w:space="0" w:color="auto"/>
                              </w:divBdr>
                              <w:divsChild>
                                <w:div w:id="433938282">
                                  <w:marLeft w:val="0"/>
                                  <w:marRight w:val="0"/>
                                  <w:marTop w:val="0"/>
                                  <w:marBottom w:val="0"/>
                                  <w:divBdr>
                                    <w:top w:val="none" w:sz="0" w:space="0" w:color="auto"/>
                                    <w:left w:val="none" w:sz="0" w:space="0" w:color="auto"/>
                                    <w:bottom w:val="none" w:sz="0" w:space="0" w:color="auto"/>
                                    <w:right w:val="none" w:sz="0" w:space="0" w:color="auto"/>
                                  </w:divBdr>
                                  <w:divsChild>
                                    <w:div w:id="2021539101">
                                      <w:marLeft w:val="0"/>
                                      <w:marRight w:val="0"/>
                                      <w:marTop w:val="0"/>
                                      <w:marBottom w:val="0"/>
                                      <w:divBdr>
                                        <w:top w:val="none" w:sz="0" w:space="0" w:color="auto"/>
                                        <w:left w:val="none" w:sz="0" w:space="0" w:color="auto"/>
                                        <w:bottom w:val="none" w:sz="0" w:space="0" w:color="auto"/>
                                        <w:right w:val="none" w:sz="0" w:space="0" w:color="auto"/>
                                      </w:divBdr>
                                      <w:divsChild>
                                        <w:div w:id="1958365399">
                                          <w:marLeft w:val="0"/>
                                          <w:marRight w:val="0"/>
                                          <w:marTop w:val="0"/>
                                          <w:marBottom w:val="0"/>
                                          <w:divBdr>
                                            <w:top w:val="none" w:sz="0" w:space="0" w:color="auto"/>
                                            <w:left w:val="none" w:sz="0" w:space="0" w:color="auto"/>
                                            <w:bottom w:val="none" w:sz="0" w:space="0" w:color="auto"/>
                                            <w:right w:val="none" w:sz="0" w:space="0" w:color="auto"/>
                                          </w:divBdr>
                                          <w:divsChild>
                                            <w:div w:id="713120233">
                                              <w:marLeft w:val="0"/>
                                              <w:marRight w:val="0"/>
                                              <w:marTop w:val="0"/>
                                              <w:marBottom w:val="0"/>
                                              <w:divBdr>
                                                <w:top w:val="none" w:sz="0" w:space="0" w:color="auto"/>
                                                <w:left w:val="none" w:sz="0" w:space="0" w:color="auto"/>
                                                <w:bottom w:val="none" w:sz="0" w:space="0" w:color="auto"/>
                                                <w:right w:val="none" w:sz="0" w:space="0" w:color="auto"/>
                                              </w:divBdr>
                                              <w:divsChild>
                                                <w:div w:id="2097743617">
                                                  <w:marLeft w:val="0"/>
                                                  <w:marRight w:val="0"/>
                                                  <w:marTop w:val="0"/>
                                                  <w:marBottom w:val="0"/>
                                                  <w:divBdr>
                                                    <w:top w:val="none" w:sz="0" w:space="0" w:color="auto"/>
                                                    <w:left w:val="none" w:sz="0" w:space="0" w:color="auto"/>
                                                    <w:bottom w:val="none" w:sz="0" w:space="0" w:color="auto"/>
                                                    <w:right w:val="none" w:sz="0" w:space="0" w:color="auto"/>
                                                  </w:divBdr>
                                                  <w:divsChild>
                                                    <w:div w:id="1379938250">
                                                      <w:marLeft w:val="0"/>
                                                      <w:marRight w:val="0"/>
                                                      <w:marTop w:val="0"/>
                                                      <w:marBottom w:val="0"/>
                                                      <w:divBdr>
                                                        <w:top w:val="none" w:sz="0" w:space="0" w:color="auto"/>
                                                        <w:left w:val="none" w:sz="0" w:space="0" w:color="auto"/>
                                                        <w:bottom w:val="none" w:sz="0" w:space="0" w:color="auto"/>
                                                        <w:right w:val="none" w:sz="0" w:space="0" w:color="auto"/>
                                                      </w:divBdr>
                                                      <w:divsChild>
                                                        <w:div w:id="158667035">
                                                          <w:marLeft w:val="0"/>
                                                          <w:marRight w:val="0"/>
                                                          <w:marTop w:val="0"/>
                                                          <w:marBottom w:val="0"/>
                                                          <w:divBdr>
                                                            <w:top w:val="none" w:sz="0" w:space="0" w:color="auto"/>
                                                            <w:left w:val="none" w:sz="0" w:space="0" w:color="auto"/>
                                                            <w:bottom w:val="none" w:sz="0" w:space="0" w:color="auto"/>
                                                            <w:right w:val="none" w:sz="0" w:space="0" w:color="auto"/>
                                                          </w:divBdr>
                                                        </w:div>
                                                        <w:div w:id="574825250">
                                                          <w:marLeft w:val="0"/>
                                                          <w:marRight w:val="0"/>
                                                          <w:marTop w:val="0"/>
                                                          <w:marBottom w:val="0"/>
                                                          <w:divBdr>
                                                            <w:top w:val="none" w:sz="0" w:space="0" w:color="auto"/>
                                                            <w:left w:val="none" w:sz="0" w:space="0" w:color="auto"/>
                                                            <w:bottom w:val="none" w:sz="0" w:space="0" w:color="auto"/>
                                                            <w:right w:val="none" w:sz="0" w:space="0" w:color="auto"/>
                                                          </w:divBdr>
                                                          <w:divsChild>
                                                            <w:div w:id="15072092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0458436">
      <w:bodyDiv w:val="1"/>
      <w:marLeft w:val="0"/>
      <w:marRight w:val="0"/>
      <w:marTop w:val="0"/>
      <w:marBottom w:val="0"/>
      <w:divBdr>
        <w:top w:val="none" w:sz="0" w:space="0" w:color="auto"/>
        <w:left w:val="none" w:sz="0" w:space="0" w:color="auto"/>
        <w:bottom w:val="none" w:sz="0" w:space="0" w:color="auto"/>
        <w:right w:val="none" w:sz="0" w:space="0" w:color="auto"/>
      </w:divBdr>
      <w:divsChild>
        <w:div w:id="1170026455">
          <w:marLeft w:val="0"/>
          <w:marRight w:val="0"/>
          <w:marTop w:val="150"/>
          <w:marBottom w:val="0"/>
          <w:divBdr>
            <w:top w:val="none" w:sz="0" w:space="0" w:color="auto"/>
            <w:left w:val="none" w:sz="0" w:space="0" w:color="auto"/>
            <w:bottom w:val="none" w:sz="0" w:space="0" w:color="auto"/>
            <w:right w:val="none" w:sz="0" w:space="0" w:color="auto"/>
          </w:divBdr>
          <w:divsChild>
            <w:div w:id="998458725">
              <w:marLeft w:val="2"/>
              <w:marRight w:val="2"/>
              <w:marTop w:val="0"/>
              <w:marBottom w:val="0"/>
              <w:divBdr>
                <w:top w:val="none" w:sz="0" w:space="0" w:color="auto"/>
                <w:left w:val="none" w:sz="0" w:space="0" w:color="auto"/>
                <w:bottom w:val="none" w:sz="0" w:space="0" w:color="auto"/>
                <w:right w:val="none" w:sz="0" w:space="0" w:color="auto"/>
              </w:divBdr>
              <w:divsChild>
                <w:div w:id="1437019981">
                  <w:marLeft w:val="0"/>
                  <w:marRight w:val="0"/>
                  <w:marTop w:val="0"/>
                  <w:marBottom w:val="0"/>
                  <w:divBdr>
                    <w:top w:val="none" w:sz="0" w:space="0" w:color="auto"/>
                    <w:left w:val="none" w:sz="0" w:space="0" w:color="auto"/>
                    <w:bottom w:val="none" w:sz="0" w:space="0" w:color="auto"/>
                    <w:right w:val="none" w:sz="0" w:space="0" w:color="auto"/>
                  </w:divBdr>
                  <w:divsChild>
                    <w:div w:id="1706253708">
                      <w:marLeft w:val="0"/>
                      <w:marRight w:val="0"/>
                      <w:marTop w:val="0"/>
                      <w:marBottom w:val="0"/>
                      <w:divBdr>
                        <w:top w:val="none" w:sz="0" w:space="0" w:color="auto"/>
                        <w:left w:val="none" w:sz="0" w:space="0" w:color="auto"/>
                        <w:bottom w:val="none" w:sz="0" w:space="0" w:color="auto"/>
                        <w:right w:val="none" w:sz="0" w:space="0" w:color="auto"/>
                      </w:divBdr>
                      <w:divsChild>
                        <w:div w:id="1554462403">
                          <w:marLeft w:val="0"/>
                          <w:marRight w:val="0"/>
                          <w:marTop w:val="0"/>
                          <w:marBottom w:val="0"/>
                          <w:divBdr>
                            <w:top w:val="none" w:sz="0" w:space="0" w:color="auto"/>
                            <w:left w:val="none" w:sz="0" w:space="0" w:color="auto"/>
                            <w:bottom w:val="none" w:sz="0" w:space="0" w:color="auto"/>
                            <w:right w:val="none" w:sz="0" w:space="0" w:color="auto"/>
                          </w:divBdr>
                          <w:divsChild>
                            <w:div w:id="2065792685">
                              <w:marLeft w:val="0"/>
                              <w:marRight w:val="0"/>
                              <w:marTop w:val="0"/>
                              <w:marBottom w:val="0"/>
                              <w:divBdr>
                                <w:top w:val="none" w:sz="0" w:space="0" w:color="auto"/>
                                <w:left w:val="none" w:sz="0" w:space="0" w:color="auto"/>
                                <w:bottom w:val="none" w:sz="0" w:space="0" w:color="auto"/>
                                <w:right w:val="none" w:sz="0" w:space="0" w:color="auto"/>
                              </w:divBdr>
                              <w:divsChild>
                                <w:div w:id="642079794">
                                  <w:marLeft w:val="0"/>
                                  <w:marRight w:val="0"/>
                                  <w:marTop w:val="0"/>
                                  <w:marBottom w:val="0"/>
                                  <w:divBdr>
                                    <w:top w:val="none" w:sz="0" w:space="0" w:color="auto"/>
                                    <w:left w:val="none" w:sz="0" w:space="0" w:color="auto"/>
                                    <w:bottom w:val="none" w:sz="0" w:space="0" w:color="auto"/>
                                    <w:right w:val="none" w:sz="0" w:space="0" w:color="auto"/>
                                  </w:divBdr>
                                  <w:divsChild>
                                    <w:div w:id="2069956549">
                                      <w:marLeft w:val="0"/>
                                      <w:marRight w:val="0"/>
                                      <w:marTop w:val="0"/>
                                      <w:marBottom w:val="0"/>
                                      <w:divBdr>
                                        <w:top w:val="none" w:sz="0" w:space="0" w:color="auto"/>
                                        <w:left w:val="none" w:sz="0" w:space="0" w:color="auto"/>
                                        <w:bottom w:val="none" w:sz="0" w:space="0" w:color="auto"/>
                                        <w:right w:val="none" w:sz="0" w:space="0" w:color="auto"/>
                                      </w:divBdr>
                                      <w:divsChild>
                                        <w:div w:id="858931765">
                                          <w:marLeft w:val="0"/>
                                          <w:marRight w:val="0"/>
                                          <w:marTop w:val="0"/>
                                          <w:marBottom w:val="0"/>
                                          <w:divBdr>
                                            <w:top w:val="none" w:sz="0" w:space="0" w:color="auto"/>
                                            <w:left w:val="none" w:sz="0" w:space="0" w:color="auto"/>
                                            <w:bottom w:val="none" w:sz="0" w:space="0" w:color="auto"/>
                                            <w:right w:val="none" w:sz="0" w:space="0" w:color="auto"/>
                                          </w:divBdr>
                                          <w:divsChild>
                                            <w:div w:id="1852256215">
                                              <w:marLeft w:val="0"/>
                                              <w:marRight w:val="0"/>
                                              <w:marTop w:val="0"/>
                                              <w:marBottom w:val="0"/>
                                              <w:divBdr>
                                                <w:top w:val="none" w:sz="0" w:space="0" w:color="auto"/>
                                                <w:left w:val="none" w:sz="0" w:space="0" w:color="auto"/>
                                                <w:bottom w:val="none" w:sz="0" w:space="0" w:color="auto"/>
                                                <w:right w:val="none" w:sz="0" w:space="0" w:color="auto"/>
                                              </w:divBdr>
                                              <w:divsChild>
                                                <w:div w:id="149029554">
                                                  <w:marLeft w:val="0"/>
                                                  <w:marRight w:val="0"/>
                                                  <w:marTop w:val="0"/>
                                                  <w:marBottom w:val="0"/>
                                                  <w:divBdr>
                                                    <w:top w:val="none" w:sz="0" w:space="0" w:color="auto"/>
                                                    <w:left w:val="none" w:sz="0" w:space="0" w:color="auto"/>
                                                    <w:bottom w:val="none" w:sz="0" w:space="0" w:color="auto"/>
                                                    <w:right w:val="none" w:sz="0" w:space="0" w:color="auto"/>
                                                  </w:divBdr>
                                                </w:div>
                                              </w:divsChild>
                                            </w:div>
                                            <w:div w:id="675887806">
                                              <w:marLeft w:val="0"/>
                                              <w:marRight w:val="0"/>
                                              <w:marTop w:val="0"/>
                                              <w:marBottom w:val="0"/>
                                              <w:divBdr>
                                                <w:top w:val="none" w:sz="0" w:space="0" w:color="auto"/>
                                                <w:left w:val="none" w:sz="0" w:space="0" w:color="auto"/>
                                                <w:bottom w:val="none" w:sz="0" w:space="0" w:color="auto"/>
                                                <w:right w:val="none" w:sz="0" w:space="0" w:color="auto"/>
                                              </w:divBdr>
                                              <w:divsChild>
                                                <w:div w:id="1586692841">
                                                  <w:marLeft w:val="0"/>
                                                  <w:marRight w:val="0"/>
                                                  <w:marTop w:val="0"/>
                                                  <w:marBottom w:val="0"/>
                                                  <w:divBdr>
                                                    <w:top w:val="none" w:sz="0" w:space="0" w:color="auto"/>
                                                    <w:left w:val="none" w:sz="0" w:space="0" w:color="auto"/>
                                                    <w:bottom w:val="none" w:sz="0" w:space="0" w:color="auto"/>
                                                    <w:right w:val="none" w:sz="0" w:space="0" w:color="auto"/>
                                                  </w:divBdr>
                                                </w:div>
                                              </w:divsChild>
                                            </w:div>
                                            <w:div w:id="192813228">
                                              <w:marLeft w:val="0"/>
                                              <w:marRight w:val="0"/>
                                              <w:marTop w:val="0"/>
                                              <w:marBottom w:val="0"/>
                                              <w:divBdr>
                                                <w:top w:val="none" w:sz="0" w:space="0" w:color="auto"/>
                                                <w:left w:val="none" w:sz="0" w:space="0" w:color="auto"/>
                                                <w:bottom w:val="none" w:sz="0" w:space="0" w:color="auto"/>
                                                <w:right w:val="none" w:sz="0" w:space="0" w:color="auto"/>
                                              </w:divBdr>
                                              <w:divsChild>
                                                <w:div w:id="471750893">
                                                  <w:marLeft w:val="0"/>
                                                  <w:marRight w:val="0"/>
                                                  <w:marTop w:val="0"/>
                                                  <w:marBottom w:val="0"/>
                                                  <w:divBdr>
                                                    <w:top w:val="none" w:sz="0" w:space="0" w:color="auto"/>
                                                    <w:left w:val="none" w:sz="0" w:space="0" w:color="auto"/>
                                                    <w:bottom w:val="none" w:sz="0" w:space="0" w:color="auto"/>
                                                    <w:right w:val="none" w:sz="0" w:space="0" w:color="auto"/>
                                                  </w:divBdr>
                                                </w:div>
                                              </w:divsChild>
                                            </w:div>
                                            <w:div w:id="1875193757">
                                              <w:marLeft w:val="0"/>
                                              <w:marRight w:val="0"/>
                                              <w:marTop w:val="0"/>
                                              <w:marBottom w:val="0"/>
                                              <w:divBdr>
                                                <w:top w:val="none" w:sz="0" w:space="0" w:color="auto"/>
                                                <w:left w:val="none" w:sz="0" w:space="0" w:color="auto"/>
                                                <w:bottom w:val="none" w:sz="0" w:space="0" w:color="auto"/>
                                                <w:right w:val="none" w:sz="0" w:space="0" w:color="auto"/>
                                              </w:divBdr>
                                              <w:divsChild>
                                                <w:div w:id="306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962756">
      <w:bodyDiv w:val="1"/>
      <w:marLeft w:val="0"/>
      <w:marRight w:val="0"/>
      <w:marTop w:val="0"/>
      <w:marBottom w:val="0"/>
      <w:divBdr>
        <w:top w:val="none" w:sz="0" w:space="0" w:color="auto"/>
        <w:left w:val="none" w:sz="0" w:space="0" w:color="auto"/>
        <w:bottom w:val="none" w:sz="0" w:space="0" w:color="auto"/>
        <w:right w:val="none" w:sz="0" w:space="0" w:color="auto"/>
      </w:divBdr>
      <w:divsChild>
        <w:div w:id="868448007">
          <w:marLeft w:val="0"/>
          <w:marRight w:val="0"/>
          <w:marTop w:val="0"/>
          <w:marBottom w:val="0"/>
          <w:divBdr>
            <w:top w:val="none" w:sz="0" w:space="0" w:color="auto"/>
            <w:left w:val="none" w:sz="0" w:space="0" w:color="auto"/>
            <w:bottom w:val="none" w:sz="0" w:space="0" w:color="auto"/>
            <w:right w:val="none" w:sz="0" w:space="0" w:color="auto"/>
          </w:divBdr>
          <w:divsChild>
            <w:div w:id="1153565204">
              <w:marLeft w:val="0"/>
              <w:marRight w:val="0"/>
              <w:marTop w:val="0"/>
              <w:marBottom w:val="0"/>
              <w:divBdr>
                <w:top w:val="none" w:sz="0" w:space="0" w:color="auto"/>
                <w:left w:val="none" w:sz="0" w:space="0" w:color="auto"/>
                <w:bottom w:val="none" w:sz="0" w:space="0" w:color="auto"/>
                <w:right w:val="none" w:sz="0" w:space="0" w:color="auto"/>
              </w:divBdr>
              <w:divsChild>
                <w:div w:id="2001734365">
                  <w:marLeft w:val="0"/>
                  <w:marRight w:val="0"/>
                  <w:marTop w:val="0"/>
                  <w:marBottom w:val="0"/>
                  <w:divBdr>
                    <w:top w:val="none" w:sz="0" w:space="0" w:color="auto"/>
                    <w:left w:val="none" w:sz="0" w:space="0" w:color="auto"/>
                    <w:bottom w:val="none" w:sz="0" w:space="0" w:color="auto"/>
                    <w:right w:val="none" w:sz="0" w:space="0" w:color="auto"/>
                  </w:divBdr>
                  <w:divsChild>
                    <w:div w:id="1286235323">
                      <w:marLeft w:val="0"/>
                      <w:marRight w:val="0"/>
                      <w:marTop w:val="0"/>
                      <w:marBottom w:val="0"/>
                      <w:divBdr>
                        <w:top w:val="none" w:sz="0" w:space="0" w:color="auto"/>
                        <w:left w:val="none" w:sz="0" w:space="0" w:color="auto"/>
                        <w:bottom w:val="none" w:sz="0" w:space="0" w:color="auto"/>
                        <w:right w:val="none" w:sz="0" w:space="0" w:color="auto"/>
                      </w:divBdr>
                      <w:divsChild>
                        <w:div w:id="425467848">
                          <w:marLeft w:val="0"/>
                          <w:marRight w:val="0"/>
                          <w:marTop w:val="0"/>
                          <w:marBottom w:val="0"/>
                          <w:divBdr>
                            <w:top w:val="none" w:sz="0" w:space="0" w:color="auto"/>
                            <w:left w:val="none" w:sz="0" w:space="0" w:color="auto"/>
                            <w:bottom w:val="none" w:sz="0" w:space="0" w:color="auto"/>
                            <w:right w:val="none" w:sz="0" w:space="0" w:color="auto"/>
                          </w:divBdr>
                          <w:divsChild>
                            <w:div w:id="1957059334">
                              <w:marLeft w:val="0"/>
                              <w:marRight w:val="0"/>
                              <w:marTop w:val="0"/>
                              <w:marBottom w:val="0"/>
                              <w:divBdr>
                                <w:top w:val="none" w:sz="0" w:space="0" w:color="auto"/>
                                <w:left w:val="none" w:sz="0" w:space="0" w:color="auto"/>
                                <w:bottom w:val="none" w:sz="0" w:space="0" w:color="auto"/>
                                <w:right w:val="none" w:sz="0" w:space="0" w:color="auto"/>
                              </w:divBdr>
                              <w:divsChild>
                                <w:div w:id="480393333">
                                  <w:marLeft w:val="0"/>
                                  <w:marRight w:val="0"/>
                                  <w:marTop w:val="0"/>
                                  <w:marBottom w:val="0"/>
                                  <w:divBdr>
                                    <w:top w:val="none" w:sz="0" w:space="0" w:color="auto"/>
                                    <w:left w:val="none" w:sz="0" w:space="0" w:color="auto"/>
                                    <w:bottom w:val="none" w:sz="0" w:space="0" w:color="auto"/>
                                    <w:right w:val="none" w:sz="0" w:space="0" w:color="auto"/>
                                  </w:divBdr>
                                  <w:divsChild>
                                    <w:div w:id="2013871519">
                                      <w:marLeft w:val="0"/>
                                      <w:marRight w:val="0"/>
                                      <w:marTop w:val="0"/>
                                      <w:marBottom w:val="0"/>
                                      <w:divBdr>
                                        <w:top w:val="none" w:sz="0" w:space="0" w:color="auto"/>
                                        <w:left w:val="none" w:sz="0" w:space="0" w:color="auto"/>
                                        <w:bottom w:val="none" w:sz="0" w:space="0" w:color="auto"/>
                                        <w:right w:val="none" w:sz="0" w:space="0" w:color="auto"/>
                                      </w:divBdr>
                                      <w:divsChild>
                                        <w:div w:id="1329555823">
                                          <w:marLeft w:val="0"/>
                                          <w:marRight w:val="0"/>
                                          <w:marTop w:val="0"/>
                                          <w:marBottom w:val="0"/>
                                          <w:divBdr>
                                            <w:top w:val="none" w:sz="0" w:space="0" w:color="auto"/>
                                            <w:left w:val="none" w:sz="0" w:space="0" w:color="auto"/>
                                            <w:bottom w:val="none" w:sz="0" w:space="0" w:color="auto"/>
                                            <w:right w:val="none" w:sz="0" w:space="0" w:color="auto"/>
                                          </w:divBdr>
                                          <w:divsChild>
                                            <w:div w:id="790898793">
                                              <w:marLeft w:val="0"/>
                                              <w:marRight w:val="0"/>
                                              <w:marTop w:val="0"/>
                                              <w:marBottom w:val="0"/>
                                              <w:divBdr>
                                                <w:top w:val="none" w:sz="0" w:space="0" w:color="auto"/>
                                                <w:left w:val="none" w:sz="0" w:space="0" w:color="auto"/>
                                                <w:bottom w:val="none" w:sz="0" w:space="0" w:color="auto"/>
                                                <w:right w:val="none" w:sz="0" w:space="0" w:color="auto"/>
                                              </w:divBdr>
                                              <w:divsChild>
                                                <w:div w:id="961349550">
                                                  <w:marLeft w:val="0"/>
                                                  <w:marRight w:val="0"/>
                                                  <w:marTop w:val="0"/>
                                                  <w:marBottom w:val="0"/>
                                                  <w:divBdr>
                                                    <w:top w:val="none" w:sz="0" w:space="0" w:color="auto"/>
                                                    <w:left w:val="none" w:sz="0" w:space="0" w:color="auto"/>
                                                    <w:bottom w:val="none" w:sz="0" w:space="0" w:color="auto"/>
                                                    <w:right w:val="none" w:sz="0" w:space="0" w:color="auto"/>
                                                  </w:divBdr>
                                                  <w:divsChild>
                                                    <w:div w:id="123011387">
                                                      <w:marLeft w:val="0"/>
                                                      <w:marRight w:val="0"/>
                                                      <w:marTop w:val="0"/>
                                                      <w:marBottom w:val="0"/>
                                                      <w:divBdr>
                                                        <w:top w:val="none" w:sz="0" w:space="0" w:color="auto"/>
                                                        <w:left w:val="none" w:sz="0" w:space="0" w:color="auto"/>
                                                        <w:bottom w:val="none" w:sz="0" w:space="0" w:color="auto"/>
                                                        <w:right w:val="none" w:sz="0" w:space="0" w:color="auto"/>
                                                      </w:divBdr>
                                                      <w:divsChild>
                                                        <w:div w:id="1215894455">
                                                          <w:marLeft w:val="0"/>
                                                          <w:marRight w:val="0"/>
                                                          <w:marTop w:val="0"/>
                                                          <w:marBottom w:val="0"/>
                                                          <w:divBdr>
                                                            <w:top w:val="none" w:sz="0" w:space="0" w:color="auto"/>
                                                            <w:left w:val="none" w:sz="0" w:space="0" w:color="auto"/>
                                                            <w:bottom w:val="none" w:sz="0" w:space="0" w:color="auto"/>
                                                            <w:right w:val="none" w:sz="0" w:space="0" w:color="auto"/>
                                                          </w:divBdr>
                                                        </w:div>
                                                        <w:div w:id="442848662">
                                                          <w:marLeft w:val="0"/>
                                                          <w:marRight w:val="0"/>
                                                          <w:marTop w:val="0"/>
                                                          <w:marBottom w:val="0"/>
                                                          <w:divBdr>
                                                            <w:top w:val="none" w:sz="0" w:space="0" w:color="auto"/>
                                                            <w:left w:val="none" w:sz="0" w:space="0" w:color="auto"/>
                                                            <w:bottom w:val="none" w:sz="0" w:space="0" w:color="auto"/>
                                                            <w:right w:val="none" w:sz="0" w:space="0" w:color="auto"/>
                                                          </w:divBdr>
                                                          <w:divsChild>
                                                            <w:div w:id="13950087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858410">
      <w:bodyDiv w:val="1"/>
      <w:marLeft w:val="0"/>
      <w:marRight w:val="0"/>
      <w:marTop w:val="0"/>
      <w:marBottom w:val="0"/>
      <w:divBdr>
        <w:top w:val="none" w:sz="0" w:space="0" w:color="auto"/>
        <w:left w:val="none" w:sz="0" w:space="0" w:color="auto"/>
        <w:bottom w:val="none" w:sz="0" w:space="0" w:color="auto"/>
        <w:right w:val="none" w:sz="0" w:space="0" w:color="auto"/>
      </w:divBdr>
      <w:divsChild>
        <w:div w:id="1752119243">
          <w:marLeft w:val="0"/>
          <w:marRight w:val="0"/>
          <w:marTop w:val="150"/>
          <w:marBottom w:val="0"/>
          <w:divBdr>
            <w:top w:val="none" w:sz="0" w:space="0" w:color="auto"/>
            <w:left w:val="none" w:sz="0" w:space="0" w:color="auto"/>
            <w:bottom w:val="none" w:sz="0" w:space="0" w:color="auto"/>
            <w:right w:val="none" w:sz="0" w:space="0" w:color="auto"/>
          </w:divBdr>
          <w:divsChild>
            <w:div w:id="123693990">
              <w:marLeft w:val="2"/>
              <w:marRight w:val="2"/>
              <w:marTop w:val="0"/>
              <w:marBottom w:val="0"/>
              <w:divBdr>
                <w:top w:val="none" w:sz="0" w:space="0" w:color="auto"/>
                <w:left w:val="none" w:sz="0" w:space="0" w:color="auto"/>
                <w:bottom w:val="none" w:sz="0" w:space="0" w:color="auto"/>
                <w:right w:val="none" w:sz="0" w:space="0" w:color="auto"/>
              </w:divBdr>
              <w:divsChild>
                <w:div w:id="1015617568">
                  <w:marLeft w:val="0"/>
                  <w:marRight w:val="0"/>
                  <w:marTop w:val="0"/>
                  <w:marBottom w:val="0"/>
                  <w:divBdr>
                    <w:top w:val="none" w:sz="0" w:space="0" w:color="auto"/>
                    <w:left w:val="none" w:sz="0" w:space="0" w:color="auto"/>
                    <w:bottom w:val="none" w:sz="0" w:space="0" w:color="auto"/>
                    <w:right w:val="none" w:sz="0" w:space="0" w:color="auto"/>
                  </w:divBdr>
                  <w:divsChild>
                    <w:div w:id="1803185925">
                      <w:marLeft w:val="0"/>
                      <w:marRight w:val="0"/>
                      <w:marTop w:val="0"/>
                      <w:marBottom w:val="0"/>
                      <w:divBdr>
                        <w:top w:val="none" w:sz="0" w:space="0" w:color="auto"/>
                        <w:left w:val="none" w:sz="0" w:space="0" w:color="auto"/>
                        <w:bottom w:val="none" w:sz="0" w:space="0" w:color="auto"/>
                        <w:right w:val="none" w:sz="0" w:space="0" w:color="auto"/>
                      </w:divBdr>
                      <w:divsChild>
                        <w:div w:id="143083618">
                          <w:marLeft w:val="0"/>
                          <w:marRight w:val="0"/>
                          <w:marTop w:val="0"/>
                          <w:marBottom w:val="0"/>
                          <w:divBdr>
                            <w:top w:val="none" w:sz="0" w:space="0" w:color="auto"/>
                            <w:left w:val="none" w:sz="0" w:space="0" w:color="auto"/>
                            <w:bottom w:val="none" w:sz="0" w:space="0" w:color="auto"/>
                            <w:right w:val="none" w:sz="0" w:space="0" w:color="auto"/>
                          </w:divBdr>
                          <w:divsChild>
                            <w:div w:id="344551752">
                              <w:marLeft w:val="0"/>
                              <w:marRight w:val="0"/>
                              <w:marTop w:val="0"/>
                              <w:marBottom w:val="0"/>
                              <w:divBdr>
                                <w:top w:val="none" w:sz="0" w:space="0" w:color="auto"/>
                                <w:left w:val="none" w:sz="0" w:space="0" w:color="auto"/>
                                <w:bottom w:val="none" w:sz="0" w:space="0" w:color="auto"/>
                                <w:right w:val="none" w:sz="0" w:space="0" w:color="auto"/>
                              </w:divBdr>
                              <w:divsChild>
                                <w:div w:id="1130317492">
                                  <w:marLeft w:val="0"/>
                                  <w:marRight w:val="0"/>
                                  <w:marTop w:val="0"/>
                                  <w:marBottom w:val="0"/>
                                  <w:divBdr>
                                    <w:top w:val="none" w:sz="0" w:space="0" w:color="auto"/>
                                    <w:left w:val="none" w:sz="0" w:space="0" w:color="auto"/>
                                    <w:bottom w:val="none" w:sz="0" w:space="0" w:color="auto"/>
                                    <w:right w:val="none" w:sz="0" w:space="0" w:color="auto"/>
                                  </w:divBdr>
                                  <w:divsChild>
                                    <w:div w:id="471022131">
                                      <w:marLeft w:val="0"/>
                                      <w:marRight w:val="0"/>
                                      <w:marTop w:val="0"/>
                                      <w:marBottom w:val="0"/>
                                      <w:divBdr>
                                        <w:top w:val="none" w:sz="0" w:space="0" w:color="auto"/>
                                        <w:left w:val="none" w:sz="0" w:space="0" w:color="auto"/>
                                        <w:bottom w:val="none" w:sz="0" w:space="0" w:color="auto"/>
                                        <w:right w:val="none" w:sz="0" w:space="0" w:color="auto"/>
                                      </w:divBdr>
                                      <w:divsChild>
                                        <w:div w:id="366412217">
                                          <w:marLeft w:val="0"/>
                                          <w:marRight w:val="0"/>
                                          <w:marTop w:val="0"/>
                                          <w:marBottom w:val="0"/>
                                          <w:divBdr>
                                            <w:top w:val="none" w:sz="0" w:space="0" w:color="auto"/>
                                            <w:left w:val="none" w:sz="0" w:space="0" w:color="auto"/>
                                            <w:bottom w:val="none" w:sz="0" w:space="0" w:color="auto"/>
                                            <w:right w:val="none" w:sz="0" w:space="0" w:color="auto"/>
                                          </w:divBdr>
                                          <w:divsChild>
                                            <w:div w:id="554973745">
                                              <w:marLeft w:val="0"/>
                                              <w:marRight w:val="0"/>
                                              <w:marTop w:val="0"/>
                                              <w:marBottom w:val="0"/>
                                              <w:divBdr>
                                                <w:top w:val="none" w:sz="0" w:space="0" w:color="auto"/>
                                                <w:left w:val="none" w:sz="0" w:space="0" w:color="auto"/>
                                                <w:bottom w:val="none" w:sz="0" w:space="0" w:color="auto"/>
                                                <w:right w:val="none" w:sz="0" w:space="0" w:color="auto"/>
                                              </w:divBdr>
                                              <w:divsChild>
                                                <w:div w:id="844439281">
                                                  <w:marLeft w:val="0"/>
                                                  <w:marRight w:val="0"/>
                                                  <w:marTop w:val="0"/>
                                                  <w:marBottom w:val="0"/>
                                                  <w:divBdr>
                                                    <w:top w:val="none" w:sz="0" w:space="0" w:color="auto"/>
                                                    <w:left w:val="none" w:sz="0" w:space="0" w:color="auto"/>
                                                    <w:bottom w:val="none" w:sz="0" w:space="0" w:color="auto"/>
                                                    <w:right w:val="none" w:sz="0" w:space="0" w:color="auto"/>
                                                  </w:divBdr>
                                                </w:div>
                                              </w:divsChild>
                                            </w:div>
                                            <w:div w:id="718165451">
                                              <w:marLeft w:val="0"/>
                                              <w:marRight w:val="0"/>
                                              <w:marTop w:val="0"/>
                                              <w:marBottom w:val="0"/>
                                              <w:divBdr>
                                                <w:top w:val="none" w:sz="0" w:space="0" w:color="auto"/>
                                                <w:left w:val="none" w:sz="0" w:space="0" w:color="auto"/>
                                                <w:bottom w:val="none" w:sz="0" w:space="0" w:color="auto"/>
                                                <w:right w:val="none" w:sz="0" w:space="0" w:color="auto"/>
                                              </w:divBdr>
                                              <w:divsChild>
                                                <w:div w:id="250507893">
                                                  <w:marLeft w:val="0"/>
                                                  <w:marRight w:val="0"/>
                                                  <w:marTop w:val="0"/>
                                                  <w:marBottom w:val="0"/>
                                                  <w:divBdr>
                                                    <w:top w:val="none" w:sz="0" w:space="0" w:color="auto"/>
                                                    <w:left w:val="none" w:sz="0" w:space="0" w:color="auto"/>
                                                    <w:bottom w:val="none" w:sz="0" w:space="0" w:color="auto"/>
                                                    <w:right w:val="none" w:sz="0" w:space="0" w:color="auto"/>
                                                  </w:divBdr>
                                                </w:div>
                                              </w:divsChild>
                                            </w:div>
                                            <w:div w:id="50545195">
                                              <w:marLeft w:val="0"/>
                                              <w:marRight w:val="0"/>
                                              <w:marTop w:val="0"/>
                                              <w:marBottom w:val="0"/>
                                              <w:divBdr>
                                                <w:top w:val="none" w:sz="0" w:space="0" w:color="auto"/>
                                                <w:left w:val="none" w:sz="0" w:space="0" w:color="auto"/>
                                                <w:bottom w:val="none" w:sz="0" w:space="0" w:color="auto"/>
                                                <w:right w:val="none" w:sz="0" w:space="0" w:color="auto"/>
                                              </w:divBdr>
                                              <w:divsChild>
                                                <w:div w:id="1866669525">
                                                  <w:marLeft w:val="0"/>
                                                  <w:marRight w:val="0"/>
                                                  <w:marTop w:val="0"/>
                                                  <w:marBottom w:val="0"/>
                                                  <w:divBdr>
                                                    <w:top w:val="none" w:sz="0" w:space="0" w:color="auto"/>
                                                    <w:left w:val="none" w:sz="0" w:space="0" w:color="auto"/>
                                                    <w:bottom w:val="none" w:sz="0" w:space="0" w:color="auto"/>
                                                    <w:right w:val="none" w:sz="0" w:space="0" w:color="auto"/>
                                                  </w:divBdr>
                                                </w:div>
                                              </w:divsChild>
                                            </w:div>
                                            <w:div w:id="2122215713">
                                              <w:marLeft w:val="0"/>
                                              <w:marRight w:val="0"/>
                                              <w:marTop w:val="0"/>
                                              <w:marBottom w:val="0"/>
                                              <w:divBdr>
                                                <w:top w:val="none" w:sz="0" w:space="0" w:color="auto"/>
                                                <w:left w:val="none" w:sz="0" w:space="0" w:color="auto"/>
                                                <w:bottom w:val="none" w:sz="0" w:space="0" w:color="auto"/>
                                                <w:right w:val="none" w:sz="0" w:space="0" w:color="auto"/>
                                              </w:divBdr>
                                              <w:divsChild>
                                                <w:div w:id="1093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5721">
      <w:bodyDiv w:val="1"/>
      <w:marLeft w:val="0"/>
      <w:marRight w:val="0"/>
      <w:marTop w:val="0"/>
      <w:marBottom w:val="0"/>
      <w:divBdr>
        <w:top w:val="none" w:sz="0" w:space="0" w:color="auto"/>
        <w:left w:val="none" w:sz="0" w:space="0" w:color="auto"/>
        <w:bottom w:val="none" w:sz="0" w:space="0" w:color="auto"/>
        <w:right w:val="none" w:sz="0" w:space="0" w:color="auto"/>
      </w:divBdr>
    </w:div>
    <w:div w:id="1845586691">
      <w:bodyDiv w:val="1"/>
      <w:marLeft w:val="0"/>
      <w:marRight w:val="0"/>
      <w:marTop w:val="0"/>
      <w:marBottom w:val="0"/>
      <w:divBdr>
        <w:top w:val="none" w:sz="0" w:space="0" w:color="auto"/>
        <w:left w:val="none" w:sz="0" w:space="0" w:color="auto"/>
        <w:bottom w:val="none" w:sz="0" w:space="0" w:color="auto"/>
        <w:right w:val="none" w:sz="0" w:space="0" w:color="auto"/>
      </w:divBdr>
      <w:divsChild>
        <w:div w:id="144592841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1845700985">
      <w:bodyDiv w:val="1"/>
      <w:marLeft w:val="0"/>
      <w:marRight w:val="0"/>
      <w:marTop w:val="0"/>
      <w:marBottom w:val="0"/>
      <w:divBdr>
        <w:top w:val="none" w:sz="0" w:space="0" w:color="auto"/>
        <w:left w:val="none" w:sz="0" w:space="0" w:color="auto"/>
        <w:bottom w:val="none" w:sz="0" w:space="0" w:color="auto"/>
        <w:right w:val="none" w:sz="0" w:space="0" w:color="auto"/>
      </w:divBdr>
      <w:divsChild>
        <w:div w:id="1586842785">
          <w:marLeft w:val="-225"/>
          <w:marRight w:val="-225"/>
          <w:marTop w:val="0"/>
          <w:marBottom w:val="0"/>
          <w:divBdr>
            <w:top w:val="none" w:sz="0" w:space="0" w:color="auto"/>
            <w:left w:val="none" w:sz="0" w:space="0" w:color="auto"/>
            <w:bottom w:val="none" w:sz="0" w:space="0" w:color="auto"/>
            <w:right w:val="none" w:sz="0" w:space="0" w:color="auto"/>
          </w:divBdr>
          <w:divsChild>
            <w:div w:id="1063604559">
              <w:marLeft w:val="0"/>
              <w:marRight w:val="0"/>
              <w:marTop w:val="0"/>
              <w:marBottom w:val="0"/>
              <w:divBdr>
                <w:top w:val="none" w:sz="0" w:space="0" w:color="auto"/>
                <w:left w:val="none" w:sz="0" w:space="0" w:color="auto"/>
                <w:bottom w:val="none" w:sz="0" w:space="0" w:color="auto"/>
                <w:right w:val="none" w:sz="0" w:space="0" w:color="auto"/>
              </w:divBdr>
              <w:divsChild>
                <w:div w:id="1023819679">
                  <w:marLeft w:val="0"/>
                  <w:marRight w:val="0"/>
                  <w:marTop w:val="0"/>
                  <w:marBottom w:val="0"/>
                  <w:divBdr>
                    <w:top w:val="none" w:sz="0" w:space="0" w:color="auto"/>
                    <w:left w:val="none" w:sz="0" w:space="0" w:color="auto"/>
                    <w:bottom w:val="none" w:sz="0" w:space="0" w:color="auto"/>
                    <w:right w:val="none" w:sz="0" w:space="0" w:color="auto"/>
                  </w:divBdr>
                  <w:divsChild>
                    <w:div w:id="429203193">
                      <w:marLeft w:val="-225"/>
                      <w:marRight w:val="-225"/>
                      <w:marTop w:val="0"/>
                      <w:marBottom w:val="0"/>
                      <w:divBdr>
                        <w:top w:val="none" w:sz="0" w:space="0" w:color="auto"/>
                        <w:left w:val="none" w:sz="0" w:space="0" w:color="auto"/>
                        <w:bottom w:val="none" w:sz="0" w:space="0" w:color="auto"/>
                        <w:right w:val="none" w:sz="0" w:space="0" w:color="auto"/>
                      </w:divBdr>
                      <w:divsChild>
                        <w:div w:id="1349715953">
                          <w:marLeft w:val="0"/>
                          <w:marRight w:val="0"/>
                          <w:marTop w:val="0"/>
                          <w:marBottom w:val="0"/>
                          <w:divBdr>
                            <w:top w:val="none" w:sz="0" w:space="0" w:color="auto"/>
                            <w:left w:val="none" w:sz="0" w:space="0" w:color="auto"/>
                            <w:bottom w:val="none" w:sz="0" w:space="0" w:color="auto"/>
                            <w:right w:val="none" w:sz="0" w:space="0" w:color="auto"/>
                          </w:divBdr>
                          <w:divsChild>
                            <w:div w:id="1281448531">
                              <w:marLeft w:val="0"/>
                              <w:marRight w:val="0"/>
                              <w:marTop w:val="0"/>
                              <w:marBottom w:val="0"/>
                              <w:divBdr>
                                <w:top w:val="single" w:sz="6" w:space="0" w:color="B4B4B4"/>
                                <w:left w:val="single" w:sz="6" w:space="0" w:color="B4B4B4"/>
                                <w:bottom w:val="single" w:sz="6" w:space="0" w:color="B4B4B4"/>
                                <w:right w:val="single" w:sz="6" w:space="0" w:color="B4B4B4"/>
                              </w:divBdr>
                              <w:divsChild>
                                <w:div w:id="1591550200">
                                  <w:marLeft w:val="0"/>
                                  <w:marRight w:val="0"/>
                                  <w:marTop w:val="0"/>
                                  <w:marBottom w:val="0"/>
                                  <w:divBdr>
                                    <w:top w:val="none" w:sz="0" w:space="0" w:color="auto"/>
                                    <w:left w:val="none" w:sz="0" w:space="0" w:color="auto"/>
                                    <w:bottom w:val="none" w:sz="0" w:space="0" w:color="auto"/>
                                    <w:right w:val="none" w:sz="0" w:space="0" w:color="auto"/>
                                  </w:divBdr>
                                  <w:divsChild>
                                    <w:div w:id="252445706">
                                      <w:marLeft w:val="0"/>
                                      <w:marRight w:val="0"/>
                                      <w:marTop w:val="0"/>
                                      <w:marBottom w:val="0"/>
                                      <w:divBdr>
                                        <w:top w:val="none" w:sz="0" w:space="0" w:color="auto"/>
                                        <w:left w:val="none" w:sz="0" w:space="0" w:color="auto"/>
                                        <w:bottom w:val="none" w:sz="0" w:space="0" w:color="auto"/>
                                        <w:right w:val="none" w:sz="0" w:space="0" w:color="auto"/>
                                      </w:divBdr>
                                    </w:div>
                                    <w:div w:id="1029379222">
                                      <w:marLeft w:val="0"/>
                                      <w:marRight w:val="0"/>
                                      <w:marTop w:val="0"/>
                                      <w:marBottom w:val="0"/>
                                      <w:divBdr>
                                        <w:top w:val="none" w:sz="0" w:space="0" w:color="auto"/>
                                        <w:left w:val="none" w:sz="0" w:space="0" w:color="auto"/>
                                        <w:bottom w:val="none" w:sz="0" w:space="0" w:color="auto"/>
                                        <w:right w:val="none" w:sz="0" w:space="0" w:color="auto"/>
                                      </w:divBdr>
                                      <w:divsChild>
                                        <w:div w:id="327754105">
                                          <w:marLeft w:val="0"/>
                                          <w:marRight w:val="0"/>
                                          <w:marTop w:val="0"/>
                                          <w:marBottom w:val="0"/>
                                          <w:divBdr>
                                            <w:top w:val="none" w:sz="0" w:space="0" w:color="auto"/>
                                            <w:left w:val="none" w:sz="0" w:space="0" w:color="auto"/>
                                            <w:bottom w:val="none" w:sz="0" w:space="0" w:color="auto"/>
                                            <w:right w:val="none" w:sz="0" w:space="0" w:color="auto"/>
                                          </w:divBdr>
                                          <w:divsChild>
                                            <w:div w:id="2122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266079">
                          <w:marLeft w:val="0"/>
                          <w:marRight w:val="0"/>
                          <w:marTop w:val="0"/>
                          <w:marBottom w:val="0"/>
                          <w:divBdr>
                            <w:top w:val="none" w:sz="0" w:space="0" w:color="auto"/>
                            <w:left w:val="none" w:sz="0" w:space="0" w:color="auto"/>
                            <w:bottom w:val="none" w:sz="0" w:space="0" w:color="auto"/>
                            <w:right w:val="none" w:sz="0" w:space="0" w:color="auto"/>
                          </w:divBdr>
                          <w:divsChild>
                            <w:div w:id="1369918022">
                              <w:marLeft w:val="0"/>
                              <w:marRight w:val="0"/>
                              <w:marTop w:val="0"/>
                              <w:marBottom w:val="0"/>
                              <w:divBdr>
                                <w:top w:val="single" w:sz="6" w:space="0" w:color="B4B4B4"/>
                                <w:left w:val="single" w:sz="6" w:space="0" w:color="B4B4B4"/>
                                <w:bottom w:val="single" w:sz="6" w:space="0" w:color="B4B4B4"/>
                                <w:right w:val="single" w:sz="6" w:space="0" w:color="B4B4B4"/>
                              </w:divBdr>
                              <w:divsChild>
                                <w:div w:id="567496385">
                                  <w:marLeft w:val="0"/>
                                  <w:marRight w:val="0"/>
                                  <w:marTop w:val="0"/>
                                  <w:marBottom w:val="0"/>
                                  <w:divBdr>
                                    <w:top w:val="none" w:sz="0" w:space="0" w:color="auto"/>
                                    <w:left w:val="none" w:sz="0" w:space="0" w:color="auto"/>
                                    <w:bottom w:val="none" w:sz="0" w:space="0" w:color="auto"/>
                                    <w:right w:val="none" w:sz="0" w:space="0" w:color="auto"/>
                                  </w:divBdr>
                                  <w:divsChild>
                                    <w:div w:id="583414359">
                                      <w:marLeft w:val="0"/>
                                      <w:marRight w:val="0"/>
                                      <w:marTop w:val="0"/>
                                      <w:marBottom w:val="0"/>
                                      <w:divBdr>
                                        <w:top w:val="none" w:sz="0" w:space="0" w:color="auto"/>
                                        <w:left w:val="none" w:sz="0" w:space="0" w:color="auto"/>
                                        <w:bottom w:val="none" w:sz="0" w:space="0" w:color="auto"/>
                                        <w:right w:val="none" w:sz="0" w:space="0" w:color="auto"/>
                                      </w:divBdr>
                                    </w:div>
                                    <w:div w:id="1281180431">
                                      <w:marLeft w:val="0"/>
                                      <w:marRight w:val="0"/>
                                      <w:marTop w:val="0"/>
                                      <w:marBottom w:val="0"/>
                                      <w:divBdr>
                                        <w:top w:val="none" w:sz="0" w:space="0" w:color="auto"/>
                                        <w:left w:val="none" w:sz="0" w:space="0" w:color="auto"/>
                                        <w:bottom w:val="none" w:sz="0" w:space="0" w:color="auto"/>
                                        <w:right w:val="none" w:sz="0" w:space="0" w:color="auto"/>
                                      </w:divBdr>
                                      <w:divsChild>
                                        <w:div w:id="1223515618">
                                          <w:marLeft w:val="0"/>
                                          <w:marRight w:val="0"/>
                                          <w:marTop w:val="0"/>
                                          <w:marBottom w:val="0"/>
                                          <w:divBdr>
                                            <w:top w:val="none" w:sz="0" w:space="0" w:color="auto"/>
                                            <w:left w:val="none" w:sz="0" w:space="0" w:color="auto"/>
                                            <w:bottom w:val="none" w:sz="0" w:space="0" w:color="auto"/>
                                            <w:right w:val="none" w:sz="0" w:space="0" w:color="auto"/>
                                          </w:divBdr>
                                          <w:divsChild>
                                            <w:div w:id="1220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775859">
      <w:bodyDiv w:val="1"/>
      <w:marLeft w:val="0"/>
      <w:marRight w:val="0"/>
      <w:marTop w:val="0"/>
      <w:marBottom w:val="0"/>
      <w:divBdr>
        <w:top w:val="none" w:sz="0" w:space="0" w:color="auto"/>
        <w:left w:val="none" w:sz="0" w:space="0" w:color="auto"/>
        <w:bottom w:val="none" w:sz="0" w:space="0" w:color="auto"/>
        <w:right w:val="none" w:sz="0" w:space="0" w:color="auto"/>
      </w:divBdr>
      <w:divsChild>
        <w:div w:id="558827303">
          <w:marLeft w:val="0"/>
          <w:marRight w:val="0"/>
          <w:marTop w:val="0"/>
          <w:marBottom w:val="0"/>
          <w:divBdr>
            <w:top w:val="none" w:sz="0" w:space="0" w:color="auto"/>
            <w:left w:val="none" w:sz="0" w:space="0" w:color="auto"/>
            <w:bottom w:val="none" w:sz="0" w:space="0" w:color="auto"/>
            <w:right w:val="none" w:sz="0" w:space="0" w:color="auto"/>
          </w:divBdr>
          <w:divsChild>
            <w:div w:id="886792650">
              <w:marLeft w:val="0"/>
              <w:marRight w:val="0"/>
              <w:marTop w:val="0"/>
              <w:marBottom w:val="0"/>
              <w:divBdr>
                <w:top w:val="none" w:sz="0" w:space="0" w:color="auto"/>
                <w:left w:val="none" w:sz="0" w:space="0" w:color="auto"/>
                <w:bottom w:val="none" w:sz="0" w:space="0" w:color="auto"/>
                <w:right w:val="none" w:sz="0" w:space="0" w:color="auto"/>
              </w:divBdr>
              <w:divsChild>
                <w:div w:id="1026563836">
                  <w:marLeft w:val="0"/>
                  <w:marRight w:val="0"/>
                  <w:marTop w:val="0"/>
                  <w:marBottom w:val="0"/>
                  <w:divBdr>
                    <w:top w:val="none" w:sz="0" w:space="0" w:color="auto"/>
                    <w:left w:val="none" w:sz="0" w:space="0" w:color="auto"/>
                    <w:bottom w:val="none" w:sz="0" w:space="0" w:color="auto"/>
                    <w:right w:val="none" w:sz="0" w:space="0" w:color="auto"/>
                  </w:divBdr>
                  <w:divsChild>
                    <w:div w:id="1731073060">
                      <w:marLeft w:val="0"/>
                      <w:marRight w:val="0"/>
                      <w:marTop w:val="0"/>
                      <w:marBottom w:val="0"/>
                      <w:divBdr>
                        <w:top w:val="none" w:sz="0" w:space="0" w:color="auto"/>
                        <w:left w:val="none" w:sz="0" w:space="0" w:color="auto"/>
                        <w:bottom w:val="none" w:sz="0" w:space="0" w:color="auto"/>
                        <w:right w:val="none" w:sz="0" w:space="0" w:color="auto"/>
                      </w:divBdr>
                      <w:divsChild>
                        <w:div w:id="18730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20408">
      <w:bodyDiv w:val="1"/>
      <w:marLeft w:val="0"/>
      <w:marRight w:val="0"/>
      <w:marTop w:val="0"/>
      <w:marBottom w:val="0"/>
      <w:divBdr>
        <w:top w:val="none" w:sz="0" w:space="0" w:color="auto"/>
        <w:left w:val="none" w:sz="0" w:space="0" w:color="auto"/>
        <w:bottom w:val="none" w:sz="0" w:space="0" w:color="auto"/>
        <w:right w:val="none" w:sz="0" w:space="0" w:color="auto"/>
      </w:divBdr>
    </w:div>
    <w:div w:id="1847206639">
      <w:bodyDiv w:val="1"/>
      <w:marLeft w:val="0"/>
      <w:marRight w:val="0"/>
      <w:marTop w:val="0"/>
      <w:marBottom w:val="0"/>
      <w:divBdr>
        <w:top w:val="none" w:sz="0" w:space="0" w:color="auto"/>
        <w:left w:val="none" w:sz="0" w:space="0" w:color="auto"/>
        <w:bottom w:val="none" w:sz="0" w:space="0" w:color="auto"/>
        <w:right w:val="none" w:sz="0" w:space="0" w:color="auto"/>
      </w:divBdr>
      <w:divsChild>
        <w:div w:id="1810709354">
          <w:marLeft w:val="0"/>
          <w:marRight w:val="0"/>
          <w:marTop w:val="0"/>
          <w:marBottom w:val="0"/>
          <w:divBdr>
            <w:top w:val="none" w:sz="0" w:space="0" w:color="auto"/>
            <w:left w:val="none" w:sz="0" w:space="0" w:color="auto"/>
            <w:bottom w:val="none" w:sz="0" w:space="0" w:color="auto"/>
            <w:right w:val="none" w:sz="0" w:space="0" w:color="auto"/>
          </w:divBdr>
          <w:divsChild>
            <w:div w:id="260768691">
              <w:marLeft w:val="0"/>
              <w:marRight w:val="0"/>
              <w:marTop w:val="0"/>
              <w:marBottom w:val="0"/>
              <w:divBdr>
                <w:top w:val="none" w:sz="0" w:space="0" w:color="auto"/>
                <w:left w:val="none" w:sz="0" w:space="0" w:color="auto"/>
                <w:bottom w:val="none" w:sz="0" w:space="0" w:color="auto"/>
                <w:right w:val="none" w:sz="0" w:space="0" w:color="auto"/>
              </w:divBdr>
              <w:divsChild>
                <w:div w:id="869033948">
                  <w:marLeft w:val="0"/>
                  <w:marRight w:val="0"/>
                  <w:marTop w:val="100"/>
                  <w:marBottom w:val="100"/>
                  <w:divBdr>
                    <w:top w:val="none" w:sz="0" w:space="0" w:color="auto"/>
                    <w:left w:val="none" w:sz="0" w:space="0" w:color="auto"/>
                    <w:bottom w:val="none" w:sz="0" w:space="0" w:color="auto"/>
                    <w:right w:val="none" w:sz="0" w:space="0" w:color="auto"/>
                  </w:divBdr>
                  <w:divsChild>
                    <w:div w:id="869728998">
                      <w:marLeft w:val="0"/>
                      <w:marRight w:val="0"/>
                      <w:marTop w:val="0"/>
                      <w:marBottom w:val="0"/>
                      <w:divBdr>
                        <w:top w:val="none" w:sz="0" w:space="0" w:color="auto"/>
                        <w:left w:val="none" w:sz="0" w:space="0" w:color="auto"/>
                        <w:bottom w:val="none" w:sz="0" w:space="0" w:color="auto"/>
                        <w:right w:val="none" w:sz="0" w:space="0" w:color="auto"/>
                      </w:divBdr>
                      <w:divsChild>
                        <w:div w:id="1124929505">
                          <w:marLeft w:val="0"/>
                          <w:marRight w:val="0"/>
                          <w:marTop w:val="0"/>
                          <w:marBottom w:val="0"/>
                          <w:divBdr>
                            <w:top w:val="none" w:sz="0" w:space="0" w:color="auto"/>
                            <w:left w:val="none" w:sz="0" w:space="0" w:color="auto"/>
                            <w:bottom w:val="none" w:sz="0" w:space="0" w:color="auto"/>
                            <w:right w:val="none" w:sz="0" w:space="0" w:color="auto"/>
                          </w:divBdr>
                          <w:divsChild>
                            <w:div w:id="725683122">
                              <w:marLeft w:val="0"/>
                              <w:marRight w:val="0"/>
                              <w:marTop w:val="0"/>
                              <w:marBottom w:val="0"/>
                              <w:divBdr>
                                <w:top w:val="none" w:sz="0" w:space="0" w:color="auto"/>
                                <w:left w:val="none" w:sz="0" w:space="0" w:color="auto"/>
                                <w:bottom w:val="none" w:sz="0" w:space="0" w:color="auto"/>
                                <w:right w:val="none" w:sz="0" w:space="0" w:color="auto"/>
                              </w:divBdr>
                              <w:divsChild>
                                <w:div w:id="273558916">
                                  <w:marLeft w:val="0"/>
                                  <w:marRight w:val="0"/>
                                  <w:marTop w:val="0"/>
                                  <w:marBottom w:val="0"/>
                                  <w:divBdr>
                                    <w:top w:val="none" w:sz="0" w:space="0" w:color="auto"/>
                                    <w:left w:val="none" w:sz="0" w:space="0" w:color="auto"/>
                                    <w:bottom w:val="none" w:sz="0" w:space="0" w:color="auto"/>
                                    <w:right w:val="none" w:sz="0" w:space="0" w:color="auto"/>
                                  </w:divBdr>
                                  <w:divsChild>
                                    <w:div w:id="324237434">
                                      <w:marLeft w:val="0"/>
                                      <w:marRight w:val="0"/>
                                      <w:marTop w:val="0"/>
                                      <w:marBottom w:val="0"/>
                                      <w:divBdr>
                                        <w:top w:val="none" w:sz="0" w:space="0" w:color="auto"/>
                                        <w:left w:val="none" w:sz="0" w:space="0" w:color="auto"/>
                                        <w:bottom w:val="none" w:sz="0" w:space="0" w:color="auto"/>
                                        <w:right w:val="none" w:sz="0" w:space="0" w:color="auto"/>
                                      </w:divBdr>
                                      <w:divsChild>
                                        <w:div w:id="614406717">
                                          <w:marLeft w:val="0"/>
                                          <w:marRight w:val="0"/>
                                          <w:marTop w:val="0"/>
                                          <w:marBottom w:val="0"/>
                                          <w:divBdr>
                                            <w:top w:val="none" w:sz="0" w:space="0" w:color="auto"/>
                                            <w:left w:val="none" w:sz="0" w:space="0" w:color="auto"/>
                                            <w:bottom w:val="none" w:sz="0" w:space="0" w:color="auto"/>
                                            <w:right w:val="none" w:sz="0" w:space="0" w:color="auto"/>
                                          </w:divBdr>
                                          <w:divsChild>
                                            <w:div w:id="14108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398263">
      <w:bodyDiv w:val="1"/>
      <w:marLeft w:val="0"/>
      <w:marRight w:val="0"/>
      <w:marTop w:val="0"/>
      <w:marBottom w:val="0"/>
      <w:divBdr>
        <w:top w:val="none" w:sz="0" w:space="0" w:color="auto"/>
        <w:left w:val="none" w:sz="0" w:space="0" w:color="auto"/>
        <w:bottom w:val="none" w:sz="0" w:space="0" w:color="auto"/>
        <w:right w:val="none" w:sz="0" w:space="0" w:color="auto"/>
      </w:divBdr>
      <w:divsChild>
        <w:div w:id="196622999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7789560">
      <w:bodyDiv w:val="1"/>
      <w:marLeft w:val="0"/>
      <w:marRight w:val="0"/>
      <w:marTop w:val="0"/>
      <w:marBottom w:val="0"/>
      <w:divBdr>
        <w:top w:val="none" w:sz="0" w:space="0" w:color="auto"/>
        <w:left w:val="none" w:sz="0" w:space="0" w:color="auto"/>
        <w:bottom w:val="none" w:sz="0" w:space="0" w:color="auto"/>
        <w:right w:val="none" w:sz="0" w:space="0" w:color="auto"/>
      </w:divBdr>
      <w:divsChild>
        <w:div w:id="277764015">
          <w:marLeft w:val="0"/>
          <w:marRight w:val="0"/>
          <w:marTop w:val="0"/>
          <w:marBottom w:val="0"/>
          <w:divBdr>
            <w:top w:val="none" w:sz="0" w:space="0" w:color="auto"/>
            <w:left w:val="none" w:sz="0" w:space="0" w:color="auto"/>
            <w:bottom w:val="none" w:sz="0" w:space="0" w:color="auto"/>
            <w:right w:val="none" w:sz="0" w:space="0" w:color="auto"/>
          </w:divBdr>
          <w:divsChild>
            <w:div w:id="761947464">
              <w:marLeft w:val="0"/>
              <w:marRight w:val="0"/>
              <w:marTop w:val="0"/>
              <w:marBottom w:val="0"/>
              <w:divBdr>
                <w:top w:val="none" w:sz="0" w:space="0" w:color="auto"/>
                <w:left w:val="none" w:sz="0" w:space="0" w:color="auto"/>
                <w:bottom w:val="none" w:sz="0" w:space="0" w:color="auto"/>
                <w:right w:val="none" w:sz="0" w:space="0" w:color="auto"/>
              </w:divBdr>
              <w:divsChild>
                <w:div w:id="18492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36732">
      <w:bodyDiv w:val="1"/>
      <w:marLeft w:val="0"/>
      <w:marRight w:val="0"/>
      <w:marTop w:val="0"/>
      <w:marBottom w:val="0"/>
      <w:divBdr>
        <w:top w:val="none" w:sz="0" w:space="0" w:color="auto"/>
        <w:left w:val="none" w:sz="0" w:space="0" w:color="auto"/>
        <w:bottom w:val="none" w:sz="0" w:space="0" w:color="auto"/>
        <w:right w:val="none" w:sz="0" w:space="0" w:color="auto"/>
      </w:divBdr>
      <w:divsChild>
        <w:div w:id="87990491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9326385">
      <w:bodyDiv w:val="1"/>
      <w:marLeft w:val="0"/>
      <w:marRight w:val="0"/>
      <w:marTop w:val="0"/>
      <w:marBottom w:val="0"/>
      <w:divBdr>
        <w:top w:val="none" w:sz="0" w:space="0" w:color="auto"/>
        <w:left w:val="none" w:sz="0" w:space="0" w:color="auto"/>
        <w:bottom w:val="none" w:sz="0" w:space="0" w:color="auto"/>
        <w:right w:val="none" w:sz="0" w:space="0" w:color="auto"/>
      </w:divBdr>
      <w:divsChild>
        <w:div w:id="1697464804">
          <w:marLeft w:val="0"/>
          <w:marRight w:val="0"/>
          <w:marTop w:val="0"/>
          <w:marBottom w:val="0"/>
          <w:divBdr>
            <w:top w:val="none" w:sz="0" w:space="0" w:color="auto"/>
            <w:left w:val="none" w:sz="0" w:space="0" w:color="auto"/>
            <w:bottom w:val="none" w:sz="0" w:space="0" w:color="auto"/>
            <w:right w:val="none" w:sz="0" w:space="0" w:color="auto"/>
          </w:divBdr>
          <w:divsChild>
            <w:div w:id="319427518">
              <w:marLeft w:val="0"/>
              <w:marRight w:val="0"/>
              <w:marTop w:val="0"/>
              <w:marBottom w:val="0"/>
              <w:divBdr>
                <w:top w:val="none" w:sz="0" w:space="0" w:color="auto"/>
                <w:left w:val="none" w:sz="0" w:space="0" w:color="auto"/>
                <w:bottom w:val="none" w:sz="0" w:space="0" w:color="auto"/>
                <w:right w:val="none" w:sz="0" w:space="0" w:color="auto"/>
              </w:divBdr>
              <w:divsChild>
                <w:div w:id="1968704723">
                  <w:marLeft w:val="0"/>
                  <w:marRight w:val="0"/>
                  <w:marTop w:val="0"/>
                  <w:marBottom w:val="0"/>
                  <w:divBdr>
                    <w:top w:val="none" w:sz="0" w:space="0" w:color="auto"/>
                    <w:left w:val="none" w:sz="0" w:space="0" w:color="auto"/>
                    <w:bottom w:val="none" w:sz="0" w:space="0" w:color="auto"/>
                    <w:right w:val="none" w:sz="0" w:space="0" w:color="auto"/>
                  </w:divBdr>
                  <w:divsChild>
                    <w:div w:id="1999990398">
                      <w:marLeft w:val="0"/>
                      <w:marRight w:val="0"/>
                      <w:marTop w:val="0"/>
                      <w:marBottom w:val="0"/>
                      <w:divBdr>
                        <w:top w:val="none" w:sz="0" w:space="0" w:color="auto"/>
                        <w:left w:val="none" w:sz="0" w:space="0" w:color="auto"/>
                        <w:bottom w:val="none" w:sz="0" w:space="0" w:color="auto"/>
                        <w:right w:val="none" w:sz="0" w:space="0" w:color="auto"/>
                      </w:divBdr>
                      <w:divsChild>
                        <w:div w:id="519317987">
                          <w:marLeft w:val="0"/>
                          <w:marRight w:val="0"/>
                          <w:marTop w:val="0"/>
                          <w:marBottom w:val="0"/>
                          <w:divBdr>
                            <w:top w:val="none" w:sz="0" w:space="0" w:color="auto"/>
                            <w:left w:val="none" w:sz="0" w:space="0" w:color="auto"/>
                            <w:bottom w:val="none" w:sz="0" w:space="0" w:color="auto"/>
                            <w:right w:val="none" w:sz="0" w:space="0" w:color="auto"/>
                          </w:divBdr>
                          <w:divsChild>
                            <w:div w:id="1984239401">
                              <w:marLeft w:val="0"/>
                              <w:marRight w:val="0"/>
                              <w:marTop w:val="0"/>
                              <w:marBottom w:val="0"/>
                              <w:divBdr>
                                <w:top w:val="none" w:sz="0" w:space="0" w:color="auto"/>
                                <w:left w:val="none" w:sz="0" w:space="0" w:color="auto"/>
                                <w:bottom w:val="none" w:sz="0" w:space="0" w:color="auto"/>
                                <w:right w:val="none" w:sz="0" w:space="0" w:color="auto"/>
                              </w:divBdr>
                              <w:divsChild>
                                <w:div w:id="637995886">
                                  <w:marLeft w:val="0"/>
                                  <w:marRight w:val="0"/>
                                  <w:marTop w:val="0"/>
                                  <w:marBottom w:val="0"/>
                                  <w:divBdr>
                                    <w:top w:val="none" w:sz="0" w:space="0" w:color="auto"/>
                                    <w:left w:val="none" w:sz="0" w:space="0" w:color="auto"/>
                                    <w:bottom w:val="none" w:sz="0" w:space="0" w:color="auto"/>
                                    <w:right w:val="none" w:sz="0" w:space="0" w:color="auto"/>
                                  </w:divBdr>
                                  <w:divsChild>
                                    <w:div w:id="1813786908">
                                      <w:marLeft w:val="0"/>
                                      <w:marRight w:val="0"/>
                                      <w:marTop w:val="0"/>
                                      <w:marBottom w:val="0"/>
                                      <w:divBdr>
                                        <w:top w:val="none" w:sz="0" w:space="0" w:color="auto"/>
                                        <w:left w:val="none" w:sz="0" w:space="0" w:color="auto"/>
                                        <w:bottom w:val="none" w:sz="0" w:space="0" w:color="auto"/>
                                        <w:right w:val="none" w:sz="0" w:space="0" w:color="auto"/>
                                      </w:divBdr>
                                      <w:divsChild>
                                        <w:div w:id="1741630136">
                                          <w:marLeft w:val="0"/>
                                          <w:marRight w:val="0"/>
                                          <w:marTop w:val="0"/>
                                          <w:marBottom w:val="0"/>
                                          <w:divBdr>
                                            <w:top w:val="none" w:sz="0" w:space="0" w:color="auto"/>
                                            <w:left w:val="none" w:sz="0" w:space="0" w:color="auto"/>
                                            <w:bottom w:val="none" w:sz="0" w:space="0" w:color="auto"/>
                                            <w:right w:val="none" w:sz="0" w:space="0" w:color="auto"/>
                                          </w:divBdr>
                                          <w:divsChild>
                                            <w:div w:id="672412722">
                                              <w:marLeft w:val="0"/>
                                              <w:marRight w:val="0"/>
                                              <w:marTop w:val="0"/>
                                              <w:marBottom w:val="0"/>
                                              <w:divBdr>
                                                <w:top w:val="none" w:sz="0" w:space="0" w:color="auto"/>
                                                <w:left w:val="none" w:sz="0" w:space="0" w:color="auto"/>
                                                <w:bottom w:val="none" w:sz="0" w:space="0" w:color="auto"/>
                                                <w:right w:val="none" w:sz="0" w:space="0" w:color="auto"/>
                                              </w:divBdr>
                                              <w:divsChild>
                                                <w:div w:id="366412804">
                                                  <w:marLeft w:val="0"/>
                                                  <w:marRight w:val="0"/>
                                                  <w:marTop w:val="0"/>
                                                  <w:marBottom w:val="0"/>
                                                  <w:divBdr>
                                                    <w:top w:val="none" w:sz="0" w:space="0" w:color="auto"/>
                                                    <w:left w:val="none" w:sz="0" w:space="0" w:color="auto"/>
                                                    <w:bottom w:val="none" w:sz="0" w:space="0" w:color="auto"/>
                                                    <w:right w:val="none" w:sz="0" w:space="0" w:color="auto"/>
                                                  </w:divBdr>
                                                  <w:divsChild>
                                                    <w:div w:id="664208311">
                                                      <w:marLeft w:val="0"/>
                                                      <w:marRight w:val="0"/>
                                                      <w:marTop w:val="0"/>
                                                      <w:marBottom w:val="0"/>
                                                      <w:divBdr>
                                                        <w:top w:val="none" w:sz="0" w:space="0" w:color="auto"/>
                                                        <w:left w:val="none" w:sz="0" w:space="0" w:color="auto"/>
                                                        <w:bottom w:val="none" w:sz="0" w:space="0" w:color="auto"/>
                                                        <w:right w:val="none" w:sz="0" w:space="0" w:color="auto"/>
                                                      </w:divBdr>
                                                      <w:divsChild>
                                                        <w:div w:id="18417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901501">
      <w:bodyDiv w:val="1"/>
      <w:marLeft w:val="0"/>
      <w:marRight w:val="0"/>
      <w:marTop w:val="0"/>
      <w:marBottom w:val="0"/>
      <w:divBdr>
        <w:top w:val="none" w:sz="0" w:space="0" w:color="auto"/>
        <w:left w:val="none" w:sz="0" w:space="0" w:color="auto"/>
        <w:bottom w:val="none" w:sz="0" w:space="0" w:color="auto"/>
        <w:right w:val="none" w:sz="0" w:space="0" w:color="auto"/>
      </w:divBdr>
      <w:divsChild>
        <w:div w:id="1277559107">
          <w:marLeft w:val="0"/>
          <w:marRight w:val="0"/>
          <w:marTop w:val="150"/>
          <w:marBottom w:val="0"/>
          <w:divBdr>
            <w:top w:val="none" w:sz="0" w:space="0" w:color="auto"/>
            <w:left w:val="none" w:sz="0" w:space="0" w:color="auto"/>
            <w:bottom w:val="none" w:sz="0" w:space="0" w:color="auto"/>
            <w:right w:val="none" w:sz="0" w:space="0" w:color="auto"/>
          </w:divBdr>
          <w:divsChild>
            <w:div w:id="1495876615">
              <w:marLeft w:val="2"/>
              <w:marRight w:val="2"/>
              <w:marTop w:val="0"/>
              <w:marBottom w:val="0"/>
              <w:divBdr>
                <w:top w:val="none" w:sz="0" w:space="0" w:color="auto"/>
                <w:left w:val="none" w:sz="0" w:space="0" w:color="auto"/>
                <w:bottom w:val="none" w:sz="0" w:space="0" w:color="auto"/>
                <w:right w:val="none" w:sz="0" w:space="0" w:color="auto"/>
              </w:divBdr>
              <w:divsChild>
                <w:div w:id="1592278283">
                  <w:marLeft w:val="0"/>
                  <w:marRight w:val="0"/>
                  <w:marTop w:val="0"/>
                  <w:marBottom w:val="0"/>
                  <w:divBdr>
                    <w:top w:val="none" w:sz="0" w:space="0" w:color="auto"/>
                    <w:left w:val="none" w:sz="0" w:space="0" w:color="auto"/>
                    <w:bottom w:val="none" w:sz="0" w:space="0" w:color="auto"/>
                    <w:right w:val="none" w:sz="0" w:space="0" w:color="auto"/>
                  </w:divBdr>
                  <w:divsChild>
                    <w:div w:id="977954242">
                      <w:marLeft w:val="0"/>
                      <w:marRight w:val="0"/>
                      <w:marTop w:val="0"/>
                      <w:marBottom w:val="0"/>
                      <w:divBdr>
                        <w:top w:val="none" w:sz="0" w:space="0" w:color="auto"/>
                        <w:left w:val="none" w:sz="0" w:space="0" w:color="auto"/>
                        <w:bottom w:val="none" w:sz="0" w:space="0" w:color="auto"/>
                        <w:right w:val="none" w:sz="0" w:space="0" w:color="auto"/>
                      </w:divBdr>
                      <w:divsChild>
                        <w:div w:id="559749186">
                          <w:marLeft w:val="0"/>
                          <w:marRight w:val="0"/>
                          <w:marTop w:val="0"/>
                          <w:marBottom w:val="0"/>
                          <w:divBdr>
                            <w:top w:val="none" w:sz="0" w:space="0" w:color="auto"/>
                            <w:left w:val="none" w:sz="0" w:space="0" w:color="auto"/>
                            <w:bottom w:val="none" w:sz="0" w:space="0" w:color="auto"/>
                            <w:right w:val="none" w:sz="0" w:space="0" w:color="auto"/>
                          </w:divBdr>
                          <w:divsChild>
                            <w:div w:id="1704593373">
                              <w:marLeft w:val="0"/>
                              <w:marRight w:val="0"/>
                              <w:marTop w:val="0"/>
                              <w:marBottom w:val="0"/>
                              <w:divBdr>
                                <w:top w:val="none" w:sz="0" w:space="0" w:color="auto"/>
                                <w:left w:val="none" w:sz="0" w:space="0" w:color="auto"/>
                                <w:bottom w:val="none" w:sz="0" w:space="0" w:color="auto"/>
                                <w:right w:val="none" w:sz="0" w:space="0" w:color="auto"/>
                              </w:divBdr>
                              <w:divsChild>
                                <w:div w:id="488405510">
                                  <w:marLeft w:val="0"/>
                                  <w:marRight w:val="0"/>
                                  <w:marTop w:val="0"/>
                                  <w:marBottom w:val="0"/>
                                  <w:divBdr>
                                    <w:top w:val="none" w:sz="0" w:space="0" w:color="auto"/>
                                    <w:left w:val="none" w:sz="0" w:space="0" w:color="auto"/>
                                    <w:bottom w:val="none" w:sz="0" w:space="0" w:color="auto"/>
                                    <w:right w:val="none" w:sz="0" w:space="0" w:color="auto"/>
                                  </w:divBdr>
                                  <w:divsChild>
                                    <w:div w:id="816268160">
                                      <w:marLeft w:val="0"/>
                                      <w:marRight w:val="0"/>
                                      <w:marTop w:val="0"/>
                                      <w:marBottom w:val="0"/>
                                      <w:divBdr>
                                        <w:top w:val="none" w:sz="0" w:space="0" w:color="auto"/>
                                        <w:left w:val="none" w:sz="0" w:space="0" w:color="auto"/>
                                        <w:bottom w:val="none" w:sz="0" w:space="0" w:color="auto"/>
                                        <w:right w:val="none" w:sz="0" w:space="0" w:color="auto"/>
                                      </w:divBdr>
                                      <w:divsChild>
                                        <w:div w:id="709381480">
                                          <w:marLeft w:val="0"/>
                                          <w:marRight w:val="0"/>
                                          <w:marTop w:val="0"/>
                                          <w:marBottom w:val="0"/>
                                          <w:divBdr>
                                            <w:top w:val="none" w:sz="0" w:space="0" w:color="auto"/>
                                            <w:left w:val="none" w:sz="0" w:space="0" w:color="auto"/>
                                            <w:bottom w:val="none" w:sz="0" w:space="0" w:color="auto"/>
                                            <w:right w:val="none" w:sz="0" w:space="0" w:color="auto"/>
                                          </w:divBdr>
                                          <w:divsChild>
                                            <w:div w:id="720518784">
                                              <w:marLeft w:val="0"/>
                                              <w:marRight w:val="0"/>
                                              <w:marTop w:val="0"/>
                                              <w:marBottom w:val="0"/>
                                              <w:divBdr>
                                                <w:top w:val="none" w:sz="0" w:space="0" w:color="auto"/>
                                                <w:left w:val="none" w:sz="0" w:space="0" w:color="auto"/>
                                                <w:bottom w:val="none" w:sz="0" w:space="0" w:color="auto"/>
                                                <w:right w:val="none" w:sz="0" w:space="0" w:color="auto"/>
                                              </w:divBdr>
                                            </w:div>
                                            <w:div w:id="1601794242">
                                              <w:marLeft w:val="0"/>
                                              <w:marRight w:val="0"/>
                                              <w:marTop w:val="0"/>
                                              <w:marBottom w:val="0"/>
                                              <w:divBdr>
                                                <w:top w:val="none" w:sz="0" w:space="0" w:color="auto"/>
                                                <w:left w:val="none" w:sz="0" w:space="0" w:color="auto"/>
                                                <w:bottom w:val="none" w:sz="0" w:space="0" w:color="auto"/>
                                                <w:right w:val="none" w:sz="0" w:space="0" w:color="auto"/>
                                              </w:divBdr>
                                            </w:div>
                                            <w:div w:id="1577208071">
                                              <w:marLeft w:val="0"/>
                                              <w:marRight w:val="0"/>
                                              <w:marTop w:val="0"/>
                                              <w:marBottom w:val="0"/>
                                              <w:divBdr>
                                                <w:top w:val="none" w:sz="0" w:space="0" w:color="auto"/>
                                                <w:left w:val="none" w:sz="0" w:space="0" w:color="auto"/>
                                                <w:bottom w:val="none" w:sz="0" w:space="0" w:color="auto"/>
                                                <w:right w:val="none" w:sz="0" w:space="0" w:color="auto"/>
                                              </w:divBdr>
                                            </w:div>
                                            <w:div w:id="8447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977429">
      <w:bodyDiv w:val="1"/>
      <w:marLeft w:val="0"/>
      <w:marRight w:val="0"/>
      <w:marTop w:val="0"/>
      <w:marBottom w:val="0"/>
      <w:divBdr>
        <w:top w:val="none" w:sz="0" w:space="0" w:color="auto"/>
        <w:left w:val="none" w:sz="0" w:space="0" w:color="auto"/>
        <w:bottom w:val="none" w:sz="0" w:space="0" w:color="auto"/>
        <w:right w:val="none" w:sz="0" w:space="0" w:color="auto"/>
      </w:divBdr>
      <w:divsChild>
        <w:div w:id="1558121979">
          <w:marLeft w:val="0"/>
          <w:marRight w:val="0"/>
          <w:marTop w:val="0"/>
          <w:marBottom w:val="0"/>
          <w:divBdr>
            <w:top w:val="none" w:sz="0" w:space="0" w:color="auto"/>
            <w:left w:val="none" w:sz="0" w:space="0" w:color="auto"/>
            <w:bottom w:val="none" w:sz="0" w:space="0" w:color="auto"/>
            <w:right w:val="none" w:sz="0" w:space="0" w:color="auto"/>
          </w:divBdr>
          <w:divsChild>
            <w:div w:id="213547055">
              <w:marLeft w:val="0"/>
              <w:marRight w:val="0"/>
              <w:marTop w:val="0"/>
              <w:marBottom w:val="0"/>
              <w:divBdr>
                <w:top w:val="none" w:sz="0" w:space="0" w:color="auto"/>
                <w:left w:val="none" w:sz="0" w:space="0" w:color="auto"/>
                <w:bottom w:val="none" w:sz="0" w:space="0" w:color="auto"/>
                <w:right w:val="none" w:sz="0" w:space="0" w:color="auto"/>
              </w:divBdr>
              <w:divsChild>
                <w:div w:id="958728500">
                  <w:marLeft w:val="0"/>
                  <w:marRight w:val="0"/>
                  <w:marTop w:val="0"/>
                  <w:marBottom w:val="0"/>
                  <w:divBdr>
                    <w:top w:val="none" w:sz="0" w:space="0" w:color="auto"/>
                    <w:left w:val="none" w:sz="0" w:space="0" w:color="auto"/>
                    <w:bottom w:val="none" w:sz="0" w:space="0" w:color="auto"/>
                    <w:right w:val="none" w:sz="0" w:space="0" w:color="auto"/>
                  </w:divBdr>
                  <w:divsChild>
                    <w:div w:id="226573131">
                      <w:marLeft w:val="0"/>
                      <w:marRight w:val="0"/>
                      <w:marTop w:val="0"/>
                      <w:marBottom w:val="0"/>
                      <w:divBdr>
                        <w:top w:val="none" w:sz="0" w:space="0" w:color="auto"/>
                        <w:left w:val="none" w:sz="0" w:space="0" w:color="auto"/>
                        <w:bottom w:val="none" w:sz="0" w:space="0" w:color="auto"/>
                        <w:right w:val="none" w:sz="0" w:space="0" w:color="auto"/>
                      </w:divBdr>
                      <w:divsChild>
                        <w:div w:id="391467331">
                          <w:marLeft w:val="0"/>
                          <w:marRight w:val="0"/>
                          <w:marTop w:val="0"/>
                          <w:marBottom w:val="0"/>
                          <w:divBdr>
                            <w:top w:val="none" w:sz="0" w:space="0" w:color="auto"/>
                            <w:left w:val="none" w:sz="0" w:space="0" w:color="auto"/>
                            <w:bottom w:val="none" w:sz="0" w:space="0" w:color="auto"/>
                            <w:right w:val="none" w:sz="0" w:space="0" w:color="auto"/>
                          </w:divBdr>
                          <w:divsChild>
                            <w:div w:id="1175418819">
                              <w:marLeft w:val="0"/>
                              <w:marRight w:val="0"/>
                              <w:marTop w:val="0"/>
                              <w:marBottom w:val="0"/>
                              <w:divBdr>
                                <w:top w:val="none" w:sz="0" w:space="0" w:color="auto"/>
                                <w:left w:val="none" w:sz="0" w:space="0" w:color="auto"/>
                                <w:bottom w:val="none" w:sz="0" w:space="0" w:color="auto"/>
                                <w:right w:val="none" w:sz="0" w:space="0" w:color="auto"/>
                              </w:divBdr>
                              <w:divsChild>
                                <w:div w:id="1615136056">
                                  <w:marLeft w:val="0"/>
                                  <w:marRight w:val="0"/>
                                  <w:marTop w:val="0"/>
                                  <w:marBottom w:val="0"/>
                                  <w:divBdr>
                                    <w:top w:val="none" w:sz="0" w:space="0" w:color="auto"/>
                                    <w:left w:val="none" w:sz="0" w:space="0" w:color="auto"/>
                                    <w:bottom w:val="none" w:sz="0" w:space="0" w:color="auto"/>
                                    <w:right w:val="none" w:sz="0" w:space="0" w:color="auto"/>
                                  </w:divBdr>
                                  <w:divsChild>
                                    <w:div w:id="351685560">
                                      <w:marLeft w:val="0"/>
                                      <w:marRight w:val="0"/>
                                      <w:marTop w:val="0"/>
                                      <w:marBottom w:val="0"/>
                                      <w:divBdr>
                                        <w:top w:val="none" w:sz="0" w:space="0" w:color="auto"/>
                                        <w:left w:val="none" w:sz="0" w:space="0" w:color="auto"/>
                                        <w:bottom w:val="none" w:sz="0" w:space="0" w:color="auto"/>
                                        <w:right w:val="none" w:sz="0" w:space="0" w:color="auto"/>
                                      </w:divBdr>
                                      <w:divsChild>
                                        <w:div w:id="562911209">
                                          <w:marLeft w:val="0"/>
                                          <w:marRight w:val="0"/>
                                          <w:marTop w:val="0"/>
                                          <w:marBottom w:val="0"/>
                                          <w:divBdr>
                                            <w:top w:val="none" w:sz="0" w:space="0" w:color="auto"/>
                                            <w:left w:val="none" w:sz="0" w:space="0" w:color="auto"/>
                                            <w:bottom w:val="none" w:sz="0" w:space="0" w:color="auto"/>
                                            <w:right w:val="none" w:sz="0" w:space="0" w:color="auto"/>
                                          </w:divBdr>
                                        </w:div>
                                        <w:div w:id="1603755292">
                                          <w:marLeft w:val="0"/>
                                          <w:marRight w:val="0"/>
                                          <w:marTop w:val="0"/>
                                          <w:marBottom w:val="0"/>
                                          <w:divBdr>
                                            <w:top w:val="none" w:sz="0" w:space="0" w:color="auto"/>
                                            <w:left w:val="none" w:sz="0" w:space="0" w:color="auto"/>
                                            <w:bottom w:val="none" w:sz="0" w:space="0" w:color="auto"/>
                                            <w:right w:val="none" w:sz="0" w:space="0" w:color="auto"/>
                                          </w:divBdr>
                                          <w:divsChild>
                                            <w:div w:id="20096732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81787">
      <w:bodyDiv w:val="1"/>
      <w:marLeft w:val="0"/>
      <w:marRight w:val="0"/>
      <w:marTop w:val="0"/>
      <w:marBottom w:val="0"/>
      <w:divBdr>
        <w:top w:val="none" w:sz="0" w:space="0" w:color="auto"/>
        <w:left w:val="none" w:sz="0" w:space="0" w:color="auto"/>
        <w:bottom w:val="none" w:sz="0" w:space="0" w:color="auto"/>
        <w:right w:val="none" w:sz="0" w:space="0" w:color="auto"/>
      </w:divBdr>
      <w:divsChild>
        <w:div w:id="1673868709">
          <w:marLeft w:val="0"/>
          <w:marRight w:val="0"/>
          <w:marTop w:val="0"/>
          <w:marBottom w:val="0"/>
          <w:divBdr>
            <w:top w:val="none" w:sz="0" w:space="0" w:color="auto"/>
            <w:left w:val="none" w:sz="0" w:space="0" w:color="auto"/>
            <w:bottom w:val="none" w:sz="0" w:space="0" w:color="auto"/>
            <w:right w:val="none" w:sz="0" w:space="0" w:color="auto"/>
          </w:divBdr>
          <w:divsChild>
            <w:div w:id="1562329598">
              <w:marLeft w:val="0"/>
              <w:marRight w:val="0"/>
              <w:marTop w:val="0"/>
              <w:marBottom w:val="0"/>
              <w:divBdr>
                <w:top w:val="none" w:sz="0" w:space="0" w:color="auto"/>
                <w:left w:val="none" w:sz="0" w:space="0" w:color="auto"/>
                <w:bottom w:val="none" w:sz="0" w:space="0" w:color="auto"/>
                <w:right w:val="none" w:sz="0" w:space="0" w:color="auto"/>
              </w:divBdr>
              <w:divsChild>
                <w:div w:id="750352041">
                  <w:marLeft w:val="0"/>
                  <w:marRight w:val="0"/>
                  <w:marTop w:val="0"/>
                  <w:marBottom w:val="0"/>
                  <w:divBdr>
                    <w:top w:val="none" w:sz="0" w:space="0" w:color="auto"/>
                    <w:left w:val="none" w:sz="0" w:space="0" w:color="auto"/>
                    <w:bottom w:val="none" w:sz="0" w:space="0" w:color="auto"/>
                    <w:right w:val="none" w:sz="0" w:space="0" w:color="auto"/>
                  </w:divBdr>
                  <w:divsChild>
                    <w:div w:id="710883185">
                      <w:marLeft w:val="0"/>
                      <w:marRight w:val="0"/>
                      <w:marTop w:val="0"/>
                      <w:marBottom w:val="0"/>
                      <w:divBdr>
                        <w:top w:val="none" w:sz="0" w:space="0" w:color="auto"/>
                        <w:left w:val="none" w:sz="0" w:space="0" w:color="auto"/>
                        <w:bottom w:val="none" w:sz="0" w:space="0" w:color="auto"/>
                        <w:right w:val="none" w:sz="0" w:space="0" w:color="auto"/>
                      </w:divBdr>
                    </w:div>
                    <w:div w:id="19510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131">
      <w:bodyDiv w:val="1"/>
      <w:marLeft w:val="0"/>
      <w:marRight w:val="0"/>
      <w:marTop w:val="0"/>
      <w:marBottom w:val="0"/>
      <w:divBdr>
        <w:top w:val="none" w:sz="0" w:space="0" w:color="auto"/>
        <w:left w:val="none" w:sz="0" w:space="0" w:color="auto"/>
        <w:bottom w:val="none" w:sz="0" w:space="0" w:color="auto"/>
        <w:right w:val="none" w:sz="0" w:space="0" w:color="auto"/>
      </w:divBdr>
      <w:divsChild>
        <w:div w:id="766580150">
          <w:marLeft w:val="0"/>
          <w:marRight w:val="0"/>
          <w:marTop w:val="0"/>
          <w:marBottom w:val="0"/>
          <w:divBdr>
            <w:top w:val="none" w:sz="0" w:space="0" w:color="auto"/>
            <w:left w:val="none" w:sz="0" w:space="0" w:color="auto"/>
            <w:bottom w:val="none" w:sz="0" w:space="0" w:color="auto"/>
            <w:right w:val="none" w:sz="0" w:space="0" w:color="auto"/>
          </w:divBdr>
          <w:divsChild>
            <w:div w:id="1867012834">
              <w:marLeft w:val="0"/>
              <w:marRight w:val="0"/>
              <w:marTop w:val="0"/>
              <w:marBottom w:val="0"/>
              <w:divBdr>
                <w:top w:val="none" w:sz="0" w:space="0" w:color="auto"/>
                <w:left w:val="none" w:sz="0" w:space="0" w:color="auto"/>
                <w:bottom w:val="none" w:sz="0" w:space="0" w:color="auto"/>
                <w:right w:val="none" w:sz="0" w:space="0" w:color="auto"/>
              </w:divBdr>
              <w:divsChild>
                <w:div w:id="1397053295">
                  <w:marLeft w:val="0"/>
                  <w:marRight w:val="0"/>
                  <w:marTop w:val="0"/>
                  <w:marBottom w:val="0"/>
                  <w:divBdr>
                    <w:top w:val="none" w:sz="0" w:space="0" w:color="auto"/>
                    <w:left w:val="none" w:sz="0" w:space="0" w:color="auto"/>
                    <w:bottom w:val="none" w:sz="0" w:space="0" w:color="auto"/>
                    <w:right w:val="none" w:sz="0" w:space="0" w:color="auto"/>
                  </w:divBdr>
                  <w:divsChild>
                    <w:div w:id="1202478976">
                      <w:marLeft w:val="0"/>
                      <w:marRight w:val="0"/>
                      <w:marTop w:val="0"/>
                      <w:marBottom w:val="0"/>
                      <w:divBdr>
                        <w:top w:val="none" w:sz="0" w:space="0" w:color="auto"/>
                        <w:left w:val="none" w:sz="0" w:space="0" w:color="auto"/>
                        <w:bottom w:val="none" w:sz="0" w:space="0" w:color="auto"/>
                        <w:right w:val="none" w:sz="0" w:space="0" w:color="auto"/>
                      </w:divBdr>
                      <w:divsChild>
                        <w:div w:id="1022514147">
                          <w:marLeft w:val="570"/>
                          <w:marRight w:val="720"/>
                          <w:marTop w:val="120"/>
                          <w:marBottom w:val="120"/>
                          <w:divBdr>
                            <w:top w:val="none" w:sz="0" w:space="0" w:color="auto"/>
                            <w:left w:val="none" w:sz="0" w:space="0" w:color="auto"/>
                            <w:bottom w:val="none" w:sz="0" w:space="0" w:color="auto"/>
                            <w:right w:val="none" w:sz="0" w:space="0" w:color="auto"/>
                          </w:divBdr>
                          <w:divsChild>
                            <w:div w:id="359203094">
                              <w:marLeft w:val="0"/>
                              <w:marRight w:val="0"/>
                              <w:marTop w:val="0"/>
                              <w:marBottom w:val="0"/>
                              <w:divBdr>
                                <w:top w:val="none" w:sz="0" w:space="0" w:color="auto"/>
                                <w:left w:val="none" w:sz="0" w:space="0" w:color="auto"/>
                                <w:bottom w:val="none" w:sz="0" w:space="0" w:color="auto"/>
                                <w:right w:val="none" w:sz="0" w:space="0" w:color="auto"/>
                              </w:divBdr>
                              <w:divsChild>
                                <w:div w:id="435100975">
                                  <w:marLeft w:val="0"/>
                                  <w:marRight w:val="0"/>
                                  <w:marTop w:val="0"/>
                                  <w:marBottom w:val="0"/>
                                  <w:divBdr>
                                    <w:top w:val="none" w:sz="0" w:space="0" w:color="auto"/>
                                    <w:left w:val="none" w:sz="0" w:space="0" w:color="auto"/>
                                    <w:bottom w:val="none" w:sz="0" w:space="0" w:color="auto"/>
                                    <w:right w:val="none" w:sz="0" w:space="0" w:color="auto"/>
                                  </w:divBdr>
                                  <w:divsChild>
                                    <w:div w:id="1161652639">
                                      <w:marLeft w:val="0"/>
                                      <w:marRight w:val="0"/>
                                      <w:marTop w:val="0"/>
                                      <w:marBottom w:val="0"/>
                                      <w:divBdr>
                                        <w:top w:val="none" w:sz="0" w:space="0" w:color="auto"/>
                                        <w:left w:val="none" w:sz="0" w:space="0" w:color="auto"/>
                                        <w:bottom w:val="none" w:sz="0" w:space="0" w:color="auto"/>
                                        <w:right w:val="none" w:sz="0" w:space="0" w:color="auto"/>
                                      </w:divBdr>
                                      <w:divsChild>
                                        <w:div w:id="170339563">
                                          <w:marLeft w:val="0"/>
                                          <w:marRight w:val="0"/>
                                          <w:marTop w:val="0"/>
                                          <w:marBottom w:val="0"/>
                                          <w:divBdr>
                                            <w:top w:val="none" w:sz="0" w:space="0" w:color="auto"/>
                                            <w:left w:val="none" w:sz="0" w:space="0" w:color="auto"/>
                                            <w:bottom w:val="none" w:sz="0" w:space="0" w:color="auto"/>
                                            <w:right w:val="none" w:sz="0" w:space="0" w:color="auto"/>
                                          </w:divBdr>
                                          <w:divsChild>
                                            <w:div w:id="455217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756896">
      <w:bodyDiv w:val="1"/>
      <w:marLeft w:val="0"/>
      <w:marRight w:val="0"/>
      <w:marTop w:val="0"/>
      <w:marBottom w:val="0"/>
      <w:divBdr>
        <w:top w:val="none" w:sz="0" w:space="0" w:color="auto"/>
        <w:left w:val="none" w:sz="0" w:space="0" w:color="auto"/>
        <w:bottom w:val="none" w:sz="0" w:space="0" w:color="auto"/>
        <w:right w:val="none" w:sz="0" w:space="0" w:color="auto"/>
      </w:divBdr>
      <w:divsChild>
        <w:div w:id="94400126">
          <w:marLeft w:val="0"/>
          <w:marRight w:val="0"/>
          <w:marTop w:val="150"/>
          <w:marBottom w:val="0"/>
          <w:divBdr>
            <w:top w:val="none" w:sz="0" w:space="0" w:color="auto"/>
            <w:left w:val="none" w:sz="0" w:space="0" w:color="auto"/>
            <w:bottom w:val="none" w:sz="0" w:space="0" w:color="auto"/>
            <w:right w:val="none" w:sz="0" w:space="0" w:color="auto"/>
          </w:divBdr>
          <w:divsChild>
            <w:div w:id="35089759">
              <w:marLeft w:val="2"/>
              <w:marRight w:val="2"/>
              <w:marTop w:val="0"/>
              <w:marBottom w:val="0"/>
              <w:divBdr>
                <w:top w:val="none" w:sz="0" w:space="0" w:color="auto"/>
                <w:left w:val="none" w:sz="0" w:space="0" w:color="auto"/>
                <w:bottom w:val="none" w:sz="0" w:space="0" w:color="auto"/>
                <w:right w:val="none" w:sz="0" w:space="0" w:color="auto"/>
              </w:divBdr>
              <w:divsChild>
                <w:div w:id="1973056657">
                  <w:marLeft w:val="0"/>
                  <w:marRight w:val="0"/>
                  <w:marTop w:val="0"/>
                  <w:marBottom w:val="0"/>
                  <w:divBdr>
                    <w:top w:val="none" w:sz="0" w:space="0" w:color="auto"/>
                    <w:left w:val="none" w:sz="0" w:space="0" w:color="auto"/>
                    <w:bottom w:val="none" w:sz="0" w:space="0" w:color="auto"/>
                    <w:right w:val="none" w:sz="0" w:space="0" w:color="auto"/>
                  </w:divBdr>
                  <w:divsChild>
                    <w:div w:id="68306498">
                      <w:marLeft w:val="0"/>
                      <w:marRight w:val="0"/>
                      <w:marTop w:val="0"/>
                      <w:marBottom w:val="0"/>
                      <w:divBdr>
                        <w:top w:val="none" w:sz="0" w:space="0" w:color="auto"/>
                        <w:left w:val="none" w:sz="0" w:space="0" w:color="auto"/>
                        <w:bottom w:val="none" w:sz="0" w:space="0" w:color="auto"/>
                        <w:right w:val="none" w:sz="0" w:space="0" w:color="auto"/>
                      </w:divBdr>
                      <w:divsChild>
                        <w:div w:id="951321934">
                          <w:marLeft w:val="0"/>
                          <w:marRight w:val="0"/>
                          <w:marTop w:val="0"/>
                          <w:marBottom w:val="0"/>
                          <w:divBdr>
                            <w:top w:val="none" w:sz="0" w:space="0" w:color="auto"/>
                            <w:left w:val="none" w:sz="0" w:space="0" w:color="auto"/>
                            <w:bottom w:val="none" w:sz="0" w:space="0" w:color="auto"/>
                            <w:right w:val="none" w:sz="0" w:space="0" w:color="auto"/>
                          </w:divBdr>
                          <w:divsChild>
                            <w:div w:id="298847895">
                              <w:marLeft w:val="0"/>
                              <w:marRight w:val="0"/>
                              <w:marTop w:val="0"/>
                              <w:marBottom w:val="0"/>
                              <w:divBdr>
                                <w:top w:val="none" w:sz="0" w:space="0" w:color="auto"/>
                                <w:left w:val="none" w:sz="0" w:space="0" w:color="auto"/>
                                <w:bottom w:val="none" w:sz="0" w:space="0" w:color="auto"/>
                                <w:right w:val="none" w:sz="0" w:space="0" w:color="auto"/>
                              </w:divBdr>
                              <w:divsChild>
                                <w:div w:id="2058774659">
                                  <w:marLeft w:val="0"/>
                                  <w:marRight w:val="0"/>
                                  <w:marTop w:val="0"/>
                                  <w:marBottom w:val="0"/>
                                  <w:divBdr>
                                    <w:top w:val="none" w:sz="0" w:space="0" w:color="auto"/>
                                    <w:left w:val="none" w:sz="0" w:space="0" w:color="auto"/>
                                    <w:bottom w:val="none" w:sz="0" w:space="0" w:color="auto"/>
                                    <w:right w:val="none" w:sz="0" w:space="0" w:color="auto"/>
                                  </w:divBdr>
                                  <w:divsChild>
                                    <w:div w:id="215044258">
                                      <w:marLeft w:val="0"/>
                                      <w:marRight w:val="0"/>
                                      <w:marTop w:val="0"/>
                                      <w:marBottom w:val="0"/>
                                      <w:divBdr>
                                        <w:top w:val="none" w:sz="0" w:space="0" w:color="auto"/>
                                        <w:left w:val="none" w:sz="0" w:space="0" w:color="auto"/>
                                        <w:bottom w:val="none" w:sz="0" w:space="0" w:color="auto"/>
                                        <w:right w:val="none" w:sz="0" w:space="0" w:color="auto"/>
                                      </w:divBdr>
                                      <w:divsChild>
                                        <w:div w:id="1814561702">
                                          <w:marLeft w:val="0"/>
                                          <w:marRight w:val="0"/>
                                          <w:marTop w:val="0"/>
                                          <w:marBottom w:val="0"/>
                                          <w:divBdr>
                                            <w:top w:val="none" w:sz="0" w:space="0" w:color="auto"/>
                                            <w:left w:val="none" w:sz="0" w:space="0" w:color="auto"/>
                                            <w:bottom w:val="none" w:sz="0" w:space="0" w:color="auto"/>
                                            <w:right w:val="none" w:sz="0" w:space="0" w:color="auto"/>
                                          </w:divBdr>
                                          <w:divsChild>
                                            <w:div w:id="1717311652">
                                              <w:marLeft w:val="0"/>
                                              <w:marRight w:val="0"/>
                                              <w:marTop w:val="0"/>
                                              <w:marBottom w:val="0"/>
                                              <w:divBdr>
                                                <w:top w:val="none" w:sz="0" w:space="0" w:color="auto"/>
                                                <w:left w:val="none" w:sz="0" w:space="0" w:color="auto"/>
                                                <w:bottom w:val="none" w:sz="0" w:space="0" w:color="auto"/>
                                                <w:right w:val="none" w:sz="0" w:space="0" w:color="auto"/>
                                              </w:divBdr>
                                              <w:divsChild>
                                                <w:div w:id="1168325906">
                                                  <w:marLeft w:val="0"/>
                                                  <w:marRight w:val="0"/>
                                                  <w:marTop w:val="0"/>
                                                  <w:marBottom w:val="0"/>
                                                  <w:divBdr>
                                                    <w:top w:val="none" w:sz="0" w:space="0" w:color="auto"/>
                                                    <w:left w:val="none" w:sz="0" w:space="0" w:color="auto"/>
                                                    <w:bottom w:val="none" w:sz="0" w:space="0" w:color="auto"/>
                                                    <w:right w:val="none" w:sz="0" w:space="0" w:color="auto"/>
                                                  </w:divBdr>
                                                </w:div>
                                              </w:divsChild>
                                            </w:div>
                                            <w:div w:id="491483644">
                                              <w:marLeft w:val="0"/>
                                              <w:marRight w:val="0"/>
                                              <w:marTop w:val="0"/>
                                              <w:marBottom w:val="0"/>
                                              <w:divBdr>
                                                <w:top w:val="none" w:sz="0" w:space="0" w:color="auto"/>
                                                <w:left w:val="none" w:sz="0" w:space="0" w:color="auto"/>
                                                <w:bottom w:val="none" w:sz="0" w:space="0" w:color="auto"/>
                                                <w:right w:val="none" w:sz="0" w:space="0" w:color="auto"/>
                                              </w:divBdr>
                                              <w:divsChild>
                                                <w:div w:id="1500540343">
                                                  <w:marLeft w:val="0"/>
                                                  <w:marRight w:val="0"/>
                                                  <w:marTop w:val="0"/>
                                                  <w:marBottom w:val="0"/>
                                                  <w:divBdr>
                                                    <w:top w:val="none" w:sz="0" w:space="0" w:color="auto"/>
                                                    <w:left w:val="none" w:sz="0" w:space="0" w:color="auto"/>
                                                    <w:bottom w:val="none" w:sz="0" w:space="0" w:color="auto"/>
                                                    <w:right w:val="none" w:sz="0" w:space="0" w:color="auto"/>
                                                  </w:divBdr>
                                                </w:div>
                                              </w:divsChild>
                                            </w:div>
                                            <w:div w:id="225838943">
                                              <w:marLeft w:val="0"/>
                                              <w:marRight w:val="0"/>
                                              <w:marTop w:val="0"/>
                                              <w:marBottom w:val="0"/>
                                              <w:divBdr>
                                                <w:top w:val="none" w:sz="0" w:space="0" w:color="auto"/>
                                                <w:left w:val="none" w:sz="0" w:space="0" w:color="auto"/>
                                                <w:bottom w:val="none" w:sz="0" w:space="0" w:color="auto"/>
                                                <w:right w:val="none" w:sz="0" w:space="0" w:color="auto"/>
                                              </w:divBdr>
                                              <w:divsChild>
                                                <w:div w:id="2102755020">
                                                  <w:marLeft w:val="0"/>
                                                  <w:marRight w:val="0"/>
                                                  <w:marTop w:val="0"/>
                                                  <w:marBottom w:val="0"/>
                                                  <w:divBdr>
                                                    <w:top w:val="none" w:sz="0" w:space="0" w:color="auto"/>
                                                    <w:left w:val="none" w:sz="0" w:space="0" w:color="auto"/>
                                                    <w:bottom w:val="none" w:sz="0" w:space="0" w:color="auto"/>
                                                    <w:right w:val="none" w:sz="0" w:space="0" w:color="auto"/>
                                                  </w:divBdr>
                                                </w:div>
                                              </w:divsChild>
                                            </w:div>
                                            <w:div w:id="1035696930">
                                              <w:marLeft w:val="0"/>
                                              <w:marRight w:val="0"/>
                                              <w:marTop w:val="0"/>
                                              <w:marBottom w:val="0"/>
                                              <w:divBdr>
                                                <w:top w:val="none" w:sz="0" w:space="0" w:color="auto"/>
                                                <w:left w:val="none" w:sz="0" w:space="0" w:color="auto"/>
                                                <w:bottom w:val="none" w:sz="0" w:space="0" w:color="auto"/>
                                                <w:right w:val="none" w:sz="0" w:space="0" w:color="auto"/>
                                              </w:divBdr>
                                              <w:divsChild>
                                                <w:div w:id="15160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840163">
      <w:bodyDiv w:val="1"/>
      <w:marLeft w:val="0"/>
      <w:marRight w:val="0"/>
      <w:marTop w:val="0"/>
      <w:marBottom w:val="0"/>
      <w:divBdr>
        <w:top w:val="none" w:sz="0" w:space="0" w:color="auto"/>
        <w:left w:val="none" w:sz="0" w:space="0" w:color="auto"/>
        <w:bottom w:val="none" w:sz="0" w:space="0" w:color="auto"/>
        <w:right w:val="none" w:sz="0" w:space="0" w:color="auto"/>
      </w:divBdr>
      <w:divsChild>
        <w:div w:id="1130630071">
          <w:marLeft w:val="0"/>
          <w:marRight w:val="0"/>
          <w:marTop w:val="0"/>
          <w:marBottom w:val="0"/>
          <w:divBdr>
            <w:top w:val="single" w:sz="6" w:space="0" w:color="0E477A"/>
            <w:left w:val="single" w:sz="6" w:space="0" w:color="0E477A"/>
            <w:bottom w:val="single" w:sz="6" w:space="0" w:color="0E477A"/>
            <w:right w:val="single" w:sz="6" w:space="0" w:color="0E477A"/>
          </w:divBdr>
          <w:divsChild>
            <w:div w:id="1935896425">
              <w:marLeft w:val="0"/>
              <w:marRight w:val="0"/>
              <w:marTop w:val="0"/>
              <w:marBottom w:val="0"/>
              <w:divBdr>
                <w:top w:val="none" w:sz="0" w:space="0" w:color="auto"/>
                <w:left w:val="none" w:sz="0" w:space="0" w:color="auto"/>
                <w:bottom w:val="none" w:sz="0" w:space="0" w:color="auto"/>
                <w:right w:val="none" w:sz="0" w:space="0" w:color="auto"/>
              </w:divBdr>
              <w:divsChild>
                <w:div w:id="572008874">
                  <w:marLeft w:val="0"/>
                  <w:marRight w:val="0"/>
                  <w:marTop w:val="0"/>
                  <w:marBottom w:val="0"/>
                  <w:divBdr>
                    <w:top w:val="none" w:sz="0" w:space="0" w:color="auto"/>
                    <w:left w:val="none" w:sz="0" w:space="0" w:color="auto"/>
                    <w:bottom w:val="none" w:sz="0" w:space="0" w:color="auto"/>
                    <w:right w:val="none" w:sz="0" w:space="0" w:color="auto"/>
                  </w:divBdr>
                  <w:divsChild>
                    <w:div w:id="223176415">
                      <w:marLeft w:val="0"/>
                      <w:marRight w:val="0"/>
                      <w:marTop w:val="0"/>
                      <w:marBottom w:val="0"/>
                      <w:divBdr>
                        <w:top w:val="none" w:sz="0" w:space="0" w:color="auto"/>
                        <w:left w:val="none" w:sz="0" w:space="0" w:color="auto"/>
                        <w:bottom w:val="none" w:sz="0" w:space="0" w:color="auto"/>
                        <w:right w:val="none" w:sz="0" w:space="0" w:color="auto"/>
                      </w:divBdr>
                      <w:divsChild>
                        <w:div w:id="33696538">
                          <w:marLeft w:val="0"/>
                          <w:marRight w:val="0"/>
                          <w:marTop w:val="0"/>
                          <w:marBottom w:val="0"/>
                          <w:divBdr>
                            <w:top w:val="none" w:sz="0" w:space="0" w:color="auto"/>
                            <w:left w:val="none" w:sz="0" w:space="0" w:color="auto"/>
                            <w:bottom w:val="none" w:sz="0" w:space="0" w:color="auto"/>
                            <w:right w:val="none" w:sz="0" w:space="0" w:color="auto"/>
                          </w:divBdr>
                          <w:divsChild>
                            <w:div w:id="1621302514">
                              <w:marLeft w:val="0"/>
                              <w:marRight w:val="0"/>
                              <w:marTop w:val="0"/>
                              <w:marBottom w:val="0"/>
                              <w:divBdr>
                                <w:top w:val="none" w:sz="0" w:space="0" w:color="auto"/>
                                <w:left w:val="none" w:sz="0" w:space="0" w:color="auto"/>
                                <w:bottom w:val="none" w:sz="0" w:space="0" w:color="auto"/>
                                <w:right w:val="none" w:sz="0" w:space="0" w:color="auto"/>
                              </w:divBdr>
                              <w:divsChild>
                                <w:div w:id="316686837">
                                  <w:marLeft w:val="0"/>
                                  <w:marRight w:val="0"/>
                                  <w:marTop w:val="0"/>
                                  <w:marBottom w:val="0"/>
                                  <w:divBdr>
                                    <w:top w:val="none" w:sz="0" w:space="0" w:color="auto"/>
                                    <w:left w:val="none" w:sz="0" w:space="0" w:color="auto"/>
                                    <w:bottom w:val="none" w:sz="0" w:space="0" w:color="auto"/>
                                    <w:right w:val="none" w:sz="0" w:space="0" w:color="auto"/>
                                  </w:divBdr>
                                  <w:divsChild>
                                    <w:div w:id="1690792568">
                                      <w:marLeft w:val="0"/>
                                      <w:marRight w:val="0"/>
                                      <w:marTop w:val="0"/>
                                      <w:marBottom w:val="0"/>
                                      <w:divBdr>
                                        <w:top w:val="none" w:sz="0" w:space="0" w:color="auto"/>
                                        <w:left w:val="none" w:sz="0" w:space="0" w:color="auto"/>
                                        <w:bottom w:val="none" w:sz="0" w:space="0" w:color="auto"/>
                                        <w:right w:val="none" w:sz="0" w:space="0" w:color="auto"/>
                                      </w:divBdr>
                                      <w:divsChild>
                                        <w:div w:id="1218905374">
                                          <w:marLeft w:val="0"/>
                                          <w:marRight w:val="0"/>
                                          <w:marTop w:val="0"/>
                                          <w:marBottom w:val="0"/>
                                          <w:divBdr>
                                            <w:top w:val="none" w:sz="0" w:space="0" w:color="auto"/>
                                            <w:left w:val="none" w:sz="0" w:space="0" w:color="auto"/>
                                            <w:bottom w:val="none" w:sz="0" w:space="0" w:color="auto"/>
                                            <w:right w:val="none" w:sz="0" w:space="0" w:color="auto"/>
                                          </w:divBdr>
                                          <w:divsChild>
                                            <w:div w:id="791748709">
                                              <w:marLeft w:val="0"/>
                                              <w:marRight w:val="0"/>
                                              <w:marTop w:val="0"/>
                                              <w:marBottom w:val="0"/>
                                              <w:divBdr>
                                                <w:top w:val="none" w:sz="0" w:space="0" w:color="auto"/>
                                                <w:left w:val="none" w:sz="0" w:space="0" w:color="auto"/>
                                                <w:bottom w:val="none" w:sz="0" w:space="0" w:color="auto"/>
                                                <w:right w:val="none" w:sz="0" w:space="0" w:color="auto"/>
                                              </w:divBdr>
                                              <w:divsChild>
                                                <w:div w:id="10807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027458">
      <w:bodyDiv w:val="1"/>
      <w:marLeft w:val="0"/>
      <w:marRight w:val="0"/>
      <w:marTop w:val="0"/>
      <w:marBottom w:val="0"/>
      <w:divBdr>
        <w:top w:val="none" w:sz="0" w:space="0" w:color="auto"/>
        <w:left w:val="none" w:sz="0" w:space="0" w:color="auto"/>
        <w:bottom w:val="none" w:sz="0" w:space="0" w:color="auto"/>
        <w:right w:val="none" w:sz="0" w:space="0" w:color="auto"/>
      </w:divBdr>
    </w:div>
    <w:div w:id="1854300707">
      <w:bodyDiv w:val="1"/>
      <w:marLeft w:val="0"/>
      <w:marRight w:val="0"/>
      <w:marTop w:val="0"/>
      <w:marBottom w:val="0"/>
      <w:divBdr>
        <w:top w:val="none" w:sz="0" w:space="0" w:color="auto"/>
        <w:left w:val="none" w:sz="0" w:space="0" w:color="auto"/>
        <w:bottom w:val="none" w:sz="0" w:space="0" w:color="auto"/>
        <w:right w:val="none" w:sz="0" w:space="0" w:color="auto"/>
      </w:divBdr>
      <w:divsChild>
        <w:div w:id="64955324">
          <w:marLeft w:val="0"/>
          <w:marRight w:val="0"/>
          <w:marTop w:val="0"/>
          <w:marBottom w:val="0"/>
          <w:divBdr>
            <w:top w:val="none" w:sz="0" w:space="0" w:color="auto"/>
            <w:left w:val="none" w:sz="0" w:space="0" w:color="auto"/>
            <w:bottom w:val="none" w:sz="0" w:space="0" w:color="auto"/>
            <w:right w:val="none" w:sz="0" w:space="0" w:color="auto"/>
          </w:divBdr>
          <w:divsChild>
            <w:div w:id="885486020">
              <w:marLeft w:val="0"/>
              <w:marRight w:val="0"/>
              <w:marTop w:val="0"/>
              <w:marBottom w:val="0"/>
              <w:divBdr>
                <w:top w:val="none" w:sz="0" w:space="0" w:color="auto"/>
                <w:left w:val="none" w:sz="0" w:space="0" w:color="auto"/>
                <w:bottom w:val="none" w:sz="0" w:space="0" w:color="auto"/>
                <w:right w:val="none" w:sz="0" w:space="0" w:color="auto"/>
              </w:divBdr>
              <w:divsChild>
                <w:div w:id="2142109821">
                  <w:marLeft w:val="0"/>
                  <w:marRight w:val="0"/>
                  <w:marTop w:val="0"/>
                  <w:marBottom w:val="0"/>
                  <w:divBdr>
                    <w:top w:val="none" w:sz="0" w:space="0" w:color="auto"/>
                    <w:left w:val="none" w:sz="0" w:space="0" w:color="auto"/>
                    <w:bottom w:val="none" w:sz="0" w:space="0" w:color="auto"/>
                    <w:right w:val="none" w:sz="0" w:space="0" w:color="auto"/>
                  </w:divBdr>
                  <w:divsChild>
                    <w:div w:id="1338272255">
                      <w:marLeft w:val="0"/>
                      <w:marRight w:val="0"/>
                      <w:marTop w:val="0"/>
                      <w:marBottom w:val="0"/>
                      <w:divBdr>
                        <w:top w:val="none" w:sz="0" w:space="0" w:color="auto"/>
                        <w:left w:val="none" w:sz="0" w:space="0" w:color="auto"/>
                        <w:bottom w:val="none" w:sz="0" w:space="0" w:color="auto"/>
                        <w:right w:val="none" w:sz="0" w:space="0" w:color="auto"/>
                      </w:divBdr>
                      <w:divsChild>
                        <w:div w:id="272595818">
                          <w:marLeft w:val="0"/>
                          <w:marRight w:val="0"/>
                          <w:marTop w:val="0"/>
                          <w:marBottom w:val="0"/>
                          <w:divBdr>
                            <w:top w:val="none" w:sz="0" w:space="0" w:color="auto"/>
                            <w:left w:val="none" w:sz="0" w:space="0" w:color="auto"/>
                            <w:bottom w:val="none" w:sz="0" w:space="0" w:color="auto"/>
                            <w:right w:val="none" w:sz="0" w:space="0" w:color="auto"/>
                          </w:divBdr>
                          <w:divsChild>
                            <w:div w:id="1556624855">
                              <w:marLeft w:val="0"/>
                              <w:marRight w:val="0"/>
                              <w:marTop w:val="0"/>
                              <w:marBottom w:val="0"/>
                              <w:divBdr>
                                <w:top w:val="none" w:sz="0" w:space="0" w:color="auto"/>
                                <w:left w:val="none" w:sz="0" w:space="0" w:color="auto"/>
                                <w:bottom w:val="none" w:sz="0" w:space="0" w:color="auto"/>
                                <w:right w:val="none" w:sz="0" w:space="0" w:color="auto"/>
                              </w:divBdr>
                              <w:divsChild>
                                <w:div w:id="1353339452">
                                  <w:marLeft w:val="0"/>
                                  <w:marRight w:val="0"/>
                                  <w:marTop w:val="0"/>
                                  <w:marBottom w:val="0"/>
                                  <w:divBdr>
                                    <w:top w:val="none" w:sz="0" w:space="0" w:color="auto"/>
                                    <w:left w:val="none" w:sz="0" w:space="0" w:color="auto"/>
                                    <w:bottom w:val="none" w:sz="0" w:space="0" w:color="auto"/>
                                    <w:right w:val="none" w:sz="0" w:space="0" w:color="auto"/>
                                  </w:divBdr>
                                  <w:divsChild>
                                    <w:div w:id="1965890090">
                                      <w:marLeft w:val="0"/>
                                      <w:marRight w:val="0"/>
                                      <w:marTop w:val="0"/>
                                      <w:marBottom w:val="0"/>
                                      <w:divBdr>
                                        <w:top w:val="none" w:sz="0" w:space="0" w:color="auto"/>
                                        <w:left w:val="none" w:sz="0" w:space="0" w:color="auto"/>
                                        <w:bottom w:val="none" w:sz="0" w:space="0" w:color="auto"/>
                                        <w:right w:val="none" w:sz="0" w:space="0" w:color="auto"/>
                                      </w:divBdr>
                                      <w:divsChild>
                                        <w:div w:id="1978606140">
                                          <w:marLeft w:val="0"/>
                                          <w:marRight w:val="0"/>
                                          <w:marTop w:val="0"/>
                                          <w:marBottom w:val="0"/>
                                          <w:divBdr>
                                            <w:top w:val="none" w:sz="0" w:space="0" w:color="auto"/>
                                            <w:left w:val="none" w:sz="0" w:space="0" w:color="auto"/>
                                            <w:bottom w:val="none" w:sz="0" w:space="0" w:color="auto"/>
                                            <w:right w:val="none" w:sz="0" w:space="0" w:color="auto"/>
                                          </w:divBdr>
                                          <w:divsChild>
                                            <w:div w:id="1507986182">
                                              <w:marLeft w:val="0"/>
                                              <w:marRight w:val="0"/>
                                              <w:marTop w:val="0"/>
                                              <w:marBottom w:val="0"/>
                                              <w:divBdr>
                                                <w:top w:val="none" w:sz="0" w:space="0" w:color="auto"/>
                                                <w:left w:val="none" w:sz="0" w:space="0" w:color="auto"/>
                                                <w:bottom w:val="none" w:sz="0" w:space="0" w:color="auto"/>
                                                <w:right w:val="none" w:sz="0" w:space="0" w:color="auto"/>
                                              </w:divBdr>
                                              <w:divsChild>
                                                <w:div w:id="1373381537">
                                                  <w:marLeft w:val="0"/>
                                                  <w:marRight w:val="0"/>
                                                  <w:marTop w:val="0"/>
                                                  <w:marBottom w:val="0"/>
                                                  <w:divBdr>
                                                    <w:top w:val="none" w:sz="0" w:space="0" w:color="auto"/>
                                                    <w:left w:val="none" w:sz="0" w:space="0" w:color="auto"/>
                                                    <w:bottom w:val="none" w:sz="0" w:space="0" w:color="auto"/>
                                                    <w:right w:val="none" w:sz="0" w:space="0" w:color="auto"/>
                                                  </w:divBdr>
                                                  <w:divsChild>
                                                    <w:div w:id="900797110">
                                                      <w:marLeft w:val="0"/>
                                                      <w:marRight w:val="0"/>
                                                      <w:marTop w:val="0"/>
                                                      <w:marBottom w:val="0"/>
                                                      <w:divBdr>
                                                        <w:top w:val="none" w:sz="0" w:space="0" w:color="auto"/>
                                                        <w:left w:val="none" w:sz="0" w:space="0" w:color="auto"/>
                                                        <w:bottom w:val="none" w:sz="0" w:space="0" w:color="auto"/>
                                                        <w:right w:val="none" w:sz="0" w:space="0" w:color="auto"/>
                                                      </w:divBdr>
                                                      <w:divsChild>
                                                        <w:div w:id="374938554">
                                                          <w:marLeft w:val="0"/>
                                                          <w:marRight w:val="0"/>
                                                          <w:marTop w:val="0"/>
                                                          <w:marBottom w:val="0"/>
                                                          <w:divBdr>
                                                            <w:top w:val="none" w:sz="0" w:space="0" w:color="auto"/>
                                                            <w:left w:val="none" w:sz="0" w:space="0" w:color="auto"/>
                                                            <w:bottom w:val="none" w:sz="0" w:space="0" w:color="auto"/>
                                                            <w:right w:val="none" w:sz="0" w:space="0" w:color="auto"/>
                                                          </w:divBdr>
                                                          <w:divsChild>
                                                            <w:div w:id="535967094">
                                                              <w:marLeft w:val="0"/>
                                                              <w:marRight w:val="0"/>
                                                              <w:marTop w:val="0"/>
                                                              <w:marBottom w:val="0"/>
                                                              <w:divBdr>
                                                                <w:top w:val="none" w:sz="0" w:space="0" w:color="auto"/>
                                                                <w:left w:val="none" w:sz="0" w:space="0" w:color="auto"/>
                                                                <w:bottom w:val="none" w:sz="0" w:space="0" w:color="auto"/>
                                                                <w:right w:val="none" w:sz="0" w:space="0" w:color="auto"/>
                                                              </w:divBdr>
                                                              <w:divsChild>
                                                                <w:div w:id="1182626301">
                                                                  <w:marLeft w:val="0"/>
                                                                  <w:marRight w:val="0"/>
                                                                  <w:marTop w:val="0"/>
                                                                  <w:marBottom w:val="0"/>
                                                                  <w:divBdr>
                                                                    <w:top w:val="none" w:sz="0" w:space="0" w:color="auto"/>
                                                                    <w:left w:val="none" w:sz="0" w:space="0" w:color="auto"/>
                                                                    <w:bottom w:val="none" w:sz="0" w:space="0" w:color="auto"/>
                                                                    <w:right w:val="none" w:sz="0" w:space="0" w:color="auto"/>
                                                                  </w:divBdr>
                                                                  <w:divsChild>
                                                                    <w:div w:id="684526878">
                                                                      <w:marLeft w:val="0"/>
                                                                      <w:marRight w:val="0"/>
                                                                      <w:marTop w:val="0"/>
                                                                      <w:marBottom w:val="0"/>
                                                                      <w:divBdr>
                                                                        <w:top w:val="none" w:sz="0" w:space="0" w:color="auto"/>
                                                                        <w:left w:val="none" w:sz="0" w:space="0" w:color="auto"/>
                                                                        <w:bottom w:val="none" w:sz="0" w:space="0" w:color="auto"/>
                                                                        <w:right w:val="none" w:sz="0" w:space="0" w:color="auto"/>
                                                                      </w:divBdr>
                                                                      <w:divsChild>
                                                                        <w:div w:id="625238057">
                                                                          <w:marLeft w:val="0"/>
                                                                          <w:marRight w:val="0"/>
                                                                          <w:marTop w:val="0"/>
                                                                          <w:marBottom w:val="0"/>
                                                                          <w:divBdr>
                                                                            <w:top w:val="none" w:sz="0" w:space="0" w:color="auto"/>
                                                                            <w:left w:val="none" w:sz="0" w:space="0" w:color="auto"/>
                                                                            <w:bottom w:val="none" w:sz="0" w:space="0" w:color="auto"/>
                                                                            <w:right w:val="none" w:sz="0" w:space="0" w:color="auto"/>
                                                                          </w:divBdr>
                                                                          <w:divsChild>
                                                                            <w:div w:id="294874150">
                                                                              <w:marLeft w:val="0"/>
                                                                              <w:marRight w:val="0"/>
                                                                              <w:marTop w:val="0"/>
                                                                              <w:marBottom w:val="0"/>
                                                                              <w:divBdr>
                                                                                <w:top w:val="none" w:sz="0" w:space="0" w:color="auto"/>
                                                                                <w:left w:val="none" w:sz="0" w:space="0" w:color="auto"/>
                                                                                <w:bottom w:val="none" w:sz="0" w:space="0" w:color="auto"/>
                                                                                <w:right w:val="none" w:sz="0" w:space="0" w:color="auto"/>
                                                                              </w:divBdr>
                                                                              <w:divsChild>
                                                                                <w:div w:id="1670206117">
                                                                                  <w:marLeft w:val="0"/>
                                                                                  <w:marRight w:val="0"/>
                                                                                  <w:marTop w:val="0"/>
                                                                                  <w:marBottom w:val="0"/>
                                                                                  <w:divBdr>
                                                                                    <w:top w:val="none" w:sz="0" w:space="0" w:color="auto"/>
                                                                                    <w:left w:val="none" w:sz="0" w:space="0" w:color="auto"/>
                                                                                    <w:bottom w:val="none" w:sz="0" w:space="0" w:color="auto"/>
                                                                                    <w:right w:val="none" w:sz="0" w:space="0" w:color="auto"/>
                                                                                  </w:divBdr>
                                                                                  <w:divsChild>
                                                                                    <w:div w:id="658853299">
                                                                                      <w:marLeft w:val="0"/>
                                                                                      <w:marRight w:val="0"/>
                                                                                      <w:marTop w:val="0"/>
                                                                                      <w:marBottom w:val="0"/>
                                                                                      <w:divBdr>
                                                                                        <w:top w:val="none" w:sz="0" w:space="0" w:color="auto"/>
                                                                                        <w:left w:val="none" w:sz="0" w:space="0" w:color="auto"/>
                                                                                        <w:bottom w:val="none" w:sz="0" w:space="0" w:color="auto"/>
                                                                                        <w:right w:val="none" w:sz="0" w:space="0" w:color="auto"/>
                                                                                      </w:divBdr>
                                                                                      <w:divsChild>
                                                                                        <w:div w:id="1275403250">
                                                                                          <w:marLeft w:val="600"/>
                                                                                          <w:marRight w:val="600"/>
                                                                                          <w:marTop w:val="280"/>
                                                                                          <w:marBottom w:val="280"/>
                                                                                          <w:divBdr>
                                                                                            <w:top w:val="none" w:sz="0" w:space="0" w:color="auto"/>
                                                                                            <w:left w:val="none" w:sz="0" w:space="0" w:color="auto"/>
                                                                                            <w:bottom w:val="none" w:sz="0" w:space="0" w:color="auto"/>
                                                                                            <w:right w:val="none" w:sz="0" w:space="0" w:color="auto"/>
                                                                                          </w:divBdr>
                                                                                          <w:divsChild>
                                                                                            <w:div w:id="1164393008">
                                                                                              <w:marLeft w:val="0"/>
                                                                                              <w:marRight w:val="0"/>
                                                                                              <w:marTop w:val="0"/>
                                                                                              <w:marBottom w:val="0"/>
                                                                                              <w:divBdr>
                                                                                                <w:top w:val="none" w:sz="0" w:space="0" w:color="auto"/>
                                                                                                <w:left w:val="none" w:sz="0" w:space="0" w:color="auto"/>
                                                                                                <w:bottom w:val="none" w:sz="0" w:space="0" w:color="auto"/>
                                                                                                <w:right w:val="none" w:sz="0" w:space="0" w:color="auto"/>
                                                                                              </w:divBdr>
                                                                                              <w:divsChild>
                                                                                                <w:div w:id="634604367">
                                                                                                  <w:marLeft w:val="0"/>
                                                                                                  <w:marRight w:val="0"/>
                                                                                                  <w:marTop w:val="0"/>
                                                                                                  <w:marBottom w:val="0"/>
                                                                                                  <w:divBdr>
                                                                                                    <w:top w:val="none" w:sz="0" w:space="0" w:color="auto"/>
                                                                                                    <w:left w:val="none" w:sz="0" w:space="0" w:color="auto"/>
                                                                                                    <w:bottom w:val="none" w:sz="0" w:space="0" w:color="auto"/>
                                                                                                    <w:right w:val="none" w:sz="0" w:space="0" w:color="auto"/>
                                                                                                  </w:divBdr>
                                                                                                  <w:divsChild>
                                                                                                    <w:div w:id="1745105658">
                                                                                                      <w:marLeft w:val="0"/>
                                                                                                      <w:marRight w:val="0"/>
                                                                                                      <w:marTop w:val="0"/>
                                                                                                      <w:marBottom w:val="0"/>
                                                                                                      <w:divBdr>
                                                                                                        <w:top w:val="none" w:sz="0" w:space="0" w:color="auto"/>
                                                                                                        <w:left w:val="none" w:sz="0" w:space="0" w:color="auto"/>
                                                                                                        <w:bottom w:val="none" w:sz="0" w:space="0" w:color="auto"/>
                                                                                                        <w:right w:val="none" w:sz="0" w:space="0" w:color="auto"/>
                                                                                                      </w:divBdr>
                                                                                                      <w:divsChild>
                                                                                                        <w:div w:id="2145350697">
                                                                                                          <w:marLeft w:val="0"/>
                                                                                                          <w:marRight w:val="0"/>
                                                                                                          <w:marTop w:val="0"/>
                                                                                                          <w:marBottom w:val="0"/>
                                                                                                          <w:divBdr>
                                                                                                            <w:top w:val="none" w:sz="0" w:space="0" w:color="auto"/>
                                                                                                            <w:left w:val="none" w:sz="0" w:space="0" w:color="auto"/>
                                                                                                            <w:bottom w:val="none" w:sz="0" w:space="0" w:color="auto"/>
                                                                                                            <w:right w:val="none" w:sz="0" w:space="0" w:color="auto"/>
                                                                                                          </w:divBdr>
                                                                                                          <w:divsChild>
                                                                                                            <w:div w:id="1486699217">
                                                                                                              <w:marLeft w:val="0"/>
                                                                                                              <w:marRight w:val="0"/>
                                                                                                              <w:marTop w:val="0"/>
                                                                                                              <w:marBottom w:val="0"/>
                                                                                                              <w:divBdr>
                                                                                                                <w:top w:val="none" w:sz="0" w:space="0" w:color="auto"/>
                                                                                                                <w:left w:val="none" w:sz="0" w:space="0" w:color="auto"/>
                                                                                                                <w:bottom w:val="none" w:sz="0" w:space="0" w:color="auto"/>
                                                                                                                <w:right w:val="none" w:sz="0" w:space="0" w:color="auto"/>
                                                                                                              </w:divBdr>
                                                                                                              <w:divsChild>
                                                                                                                <w:div w:id="1775051801">
                                                                                                                  <w:marLeft w:val="0"/>
                                                                                                                  <w:marRight w:val="0"/>
                                                                                                                  <w:marTop w:val="0"/>
                                                                                                                  <w:marBottom w:val="0"/>
                                                                                                                  <w:divBdr>
                                                                                                                    <w:top w:val="none" w:sz="0" w:space="0" w:color="auto"/>
                                                                                                                    <w:left w:val="none" w:sz="0" w:space="0" w:color="auto"/>
                                                                                                                    <w:bottom w:val="none" w:sz="0" w:space="0" w:color="auto"/>
                                                                                                                    <w:right w:val="none" w:sz="0" w:space="0" w:color="auto"/>
                                                                                                                  </w:divBdr>
                                                                                                                  <w:divsChild>
                                                                                                                    <w:div w:id="1021980007">
                                                                                                                      <w:marLeft w:val="600"/>
                                                                                                                      <w:marRight w:val="600"/>
                                                                                                                      <w:marTop w:val="280"/>
                                                                                                                      <w:marBottom w:val="280"/>
                                                                                                                      <w:divBdr>
                                                                                                                        <w:top w:val="none" w:sz="0" w:space="0" w:color="auto"/>
                                                                                                                        <w:left w:val="none" w:sz="0" w:space="0" w:color="auto"/>
                                                                                                                        <w:bottom w:val="none" w:sz="0" w:space="0" w:color="auto"/>
                                                                                                                        <w:right w:val="none" w:sz="0" w:space="0" w:color="auto"/>
                                                                                                                      </w:divBdr>
                                                                                                                      <w:divsChild>
                                                                                                                        <w:div w:id="53427796">
                                                                                                                          <w:marLeft w:val="0"/>
                                                                                                                          <w:marRight w:val="0"/>
                                                                                                                          <w:marTop w:val="0"/>
                                                                                                                          <w:marBottom w:val="0"/>
                                                                                                                          <w:divBdr>
                                                                                                                            <w:top w:val="none" w:sz="0" w:space="0" w:color="auto"/>
                                                                                                                            <w:left w:val="none" w:sz="0" w:space="0" w:color="auto"/>
                                                                                                                            <w:bottom w:val="none" w:sz="0" w:space="0" w:color="auto"/>
                                                                                                                            <w:right w:val="none" w:sz="0" w:space="0" w:color="auto"/>
                                                                                                                          </w:divBdr>
                                                                                                                          <w:divsChild>
                                                                                                                            <w:div w:id="1937129276">
                                                                                                                              <w:marLeft w:val="0"/>
                                                                                                                              <w:marRight w:val="0"/>
                                                                                                                              <w:marTop w:val="0"/>
                                                                                                                              <w:marBottom w:val="0"/>
                                                                                                                              <w:divBdr>
                                                                                                                                <w:top w:val="none" w:sz="0" w:space="0" w:color="auto"/>
                                                                                                                                <w:left w:val="none" w:sz="0" w:space="0" w:color="auto"/>
                                                                                                                                <w:bottom w:val="none" w:sz="0" w:space="0" w:color="auto"/>
                                                                                                                                <w:right w:val="none" w:sz="0" w:space="0" w:color="auto"/>
                                                                                                                              </w:divBdr>
                                                                                                                              <w:divsChild>
                                                                                                                                <w:div w:id="1938899671">
                                                                                                                                  <w:marLeft w:val="0"/>
                                                                                                                                  <w:marRight w:val="0"/>
                                                                                                                                  <w:marTop w:val="0"/>
                                                                                                                                  <w:marBottom w:val="120"/>
                                                                                                                                  <w:divBdr>
                                                                                                                                    <w:top w:val="none" w:sz="0" w:space="0" w:color="auto"/>
                                                                                                                                    <w:left w:val="none" w:sz="0" w:space="0" w:color="auto"/>
                                                                                                                                    <w:bottom w:val="none" w:sz="0" w:space="0" w:color="auto"/>
                                                                                                                                    <w:right w:val="none" w:sz="0" w:space="0" w:color="auto"/>
                                                                                                                                  </w:divBdr>
                                                                                                                                </w:div>
                                                                                                                                <w:div w:id="1174418718">
                                                                                                                                  <w:marLeft w:val="0"/>
                                                                                                                                  <w:marRight w:val="0"/>
                                                                                                                                  <w:marTop w:val="0"/>
                                                                                                                                  <w:marBottom w:val="120"/>
                                                                                                                                  <w:divBdr>
                                                                                                                                    <w:top w:val="none" w:sz="0" w:space="0" w:color="auto"/>
                                                                                                                                    <w:left w:val="none" w:sz="0" w:space="0" w:color="auto"/>
                                                                                                                                    <w:bottom w:val="none" w:sz="0" w:space="0" w:color="auto"/>
                                                                                                                                    <w:right w:val="none" w:sz="0" w:space="0" w:color="auto"/>
                                                                                                                                  </w:divBdr>
                                                                                                                                </w:div>
                                                                                                                                <w:div w:id="1463881358">
                                                                                                                                  <w:marLeft w:val="0"/>
                                                                                                                                  <w:marRight w:val="0"/>
                                                                                                                                  <w:marTop w:val="0"/>
                                                                                                                                  <w:marBottom w:val="120"/>
                                                                                                                                  <w:divBdr>
                                                                                                                                    <w:top w:val="none" w:sz="0" w:space="0" w:color="auto"/>
                                                                                                                                    <w:left w:val="none" w:sz="0" w:space="0" w:color="auto"/>
                                                                                                                                    <w:bottom w:val="none" w:sz="0" w:space="0" w:color="auto"/>
                                                                                                                                    <w:right w:val="none" w:sz="0" w:space="0" w:color="auto"/>
                                                                                                                                  </w:divBdr>
                                                                                                                                </w:div>
                                                                                                                                <w:div w:id="1505626798">
                                                                                                                                  <w:marLeft w:val="0"/>
                                                                                                                                  <w:marRight w:val="0"/>
                                                                                                                                  <w:marTop w:val="0"/>
                                                                                                                                  <w:marBottom w:val="120"/>
                                                                                                                                  <w:divBdr>
                                                                                                                                    <w:top w:val="none" w:sz="0" w:space="0" w:color="auto"/>
                                                                                                                                    <w:left w:val="none" w:sz="0" w:space="0" w:color="auto"/>
                                                                                                                                    <w:bottom w:val="none" w:sz="0" w:space="0" w:color="auto"/>
                                                                                                                                    <w:right w:val="none" w:sz="0" w:space="0" w:color="auto"/>
                                                                                                                                  </w:divBdr>
                                                                                                                                </w:div>
                                                                                                                                <w:div w:id="1184318513">
                                                                                                                                  <w:marLeft w:val="0"/>
                                                                                                                                  <w:marRight w:val="0"/>
                                                                                                                                  <w:marTop w:val="0"/>
                                                                                                                                  <w:marBottom w:val="120"/>
                                                                                                                                  <w:divBdr>
                                                                                                                                    <w:top w:val="none" w:sz="0" w:space="0" w:color="auto"/>
                                                                                                                                    <w:left w:val="none" w:sz="0" w:space="0" w:color="auto"/>
                                                                                                                                    <w:bottom w:val="none" w:sz="0" w:space="0" w:color="auto"/>
                                                                                                                                    <w:right w:val="none" w:sz="0" w:space="0" w:color="auto"/>
                                                                                                                                  </w:divBdr>
                                                                                                                                </w:div>
                                                                                                                                <w:div w:id="970131479">
                                                                                                                                  <w:marLeft w:val="0"/>
                                                                                                                                  <w:marRight w:val="0"/>
                                                                                                                                  <w:marTop w:val="0"/>
                                                                                                                                  <w:marBottom w:val="120"/>
                                                                                                                                  <w:divBdr>
                                                                                                                                    <w:top w:val="none" w:sz="0" w:space="0" w:color="auto"/>
                                                                                                                                    <w:left w:val="none" w:sz="0" w:space="0" w:color="auto"/>
                                                                                                                                    <w:bottom w:val="none" w:sz="0" w:space="0" w:color="auto"/>
                                                                                                                                    <w:right w:val="none" w:sz="0" w:space="0" w:color="auto"/>
                                                                                                                                  </w:divBdr>
                                                                                                                                </w:div>
                                                                                                                                <w:div w:id="1687513493">
                                                                                                                                  <w:marLeft w:val="0"/>
                                                                                                                                  <w:marRight w:val="0"/>
                                                                                                                                  <w:marTop w:val="0"/>
                                                                                                                                  <w:marBottom w:val="120"/>
                                                                                                                                  <w:divBdr>
                                                                                                                                    <w:top w:val="none" w:sz="0" w:space="0" w:color="auto"/>
                                                                                                                                    <w:left w:val="none" w:sz="0" w:space="0" w:color="auto"/>
                                                                                                                                    <w:bottom w:val="none" w:sz="0" w:space="0" w:color="auto"/>
                                                                                                                                    <w:right w:val="none" w:sz="0" w:space="0" w:color="auto"/>
                                                                                                                                  </w:divBdr>
                                                                                                                                </w:div>
                                                                                                                                <w:div w:id="819227262">
                                                                                                                                  <w:marLeft w:val="0"/>
                                                                                                                                  <w:marRight w:val="0"/>
                                                                                                                                  <w:marTop w:val="0"/>
                                                                                                                                  <w:marBottom w:val="120"/>
                                                                                                                                  <w:divBdr>
                                                                                                                                    <w:top w:val="none" w:sz="0" w:space="0" w:color="auto"/>
                                                                                                                                    <w:left w:val="none" w:sz="0" w:space="0" w:color="auto"/>
                                                                                                                                    <w:bottom w:val="none" w:sz="0" w:space="0" w:color="auto"/>
                                                                                                                                    <w:right w:val="none" w:sz="0" w:space="0" w:color="auto"/>
                                                                                                                                  </w:divBdr>
                                                                                                                                </w:div>
                                                                                                                                <w:div w:id="446387692">
                                                                                                                                  <w:marLeft w:val="0"/>
                                                                                                                                  <w:marRight w:val="0"/>
                                                                                                                                  <w:marTop w:val="0"/>
                                                                                                                                  <w:marBottom w:val="120"/>
                                                                                                                                  <w:divBdr>
                                                                                                                                    <w:top w:val="none" w:sz="0" w:space="0" w:color="auto"/>
                                                                                                                                    <w:left w:val="none" w:sz="0" w:space="0" w:color="auto"/>
                                                                                                                                    <w:bottom w:val="none" w:sz="0" w:space="0" w:color="auto"/>
                                                                                                                                    <w:right w:val="none" w:sz="0" w:space="0" w:color="auto"/>
                                                                                                                                  </w:divBdr>
                                                                                                                                </w:div>
                                                                                                                                <w:div w:id="1621524118">
                                                                                                                                  <w:marLeft w:val="0"/>
                                                                                                                                  <w:marRight w:val="0"/>
                                                                                                                                  <w:marTop w:val="0"/>
                                                                                                                                  <w:marBottom w:val="120"/>
                                                                                                                                  <w:divBdr>
                                                                                                                                    <w:top w:val="none" w:sz="0" w:space="0" w:color="auto"/>
                                                                                                                                    <w:left w:val="none" w:sz="0" w:space="0" w:color="auto"/>
                                                                                                                                    <w:bottom w:val="none" w:sz="0" w:space="0" w:color="auto"/>
                                                                                                                                    <w:right w:val="none" w:sz="0" w:space="0" w:color="auto"/>
                                                                                                                                  </w:divBdr>
                                                                                                                                </w:div>
                                                                                                                                <w:div w:id="1988823015">
                                                                                                                                  <w:marLeft w:val="0"/>
                                                                                                                                  <w:marRight w:val="0"/>
                                                                                                                                  <w:marTop w:val="0"/>
                                                                                                                                  <w:marBottom w:val="120"/>
                                                                                                                                  <w:divBdr>
                                                                                                                                    <w:top w:val="none" w:sz="0" w:space="0" w:color="auto"/>
                                                                                                                                    <w:left w:val="none" w:sz="0" w:space="0" w:color="auto"/>
                                                                                                                                    <w:bottom w:val="none" w:sz="0" w:space="0" w:color="auto"/>
                                                                                                                                    <w:right w:val="none" w:sz="0" w:space="0" w:color="auto"/>
                                                                                                                                  </w:divBdr>
                                                                                                                                </w:div>
                                                                                                                                <w:div w:id="1081172527">
                                                                                                                                  <w:marLeft w:val="0"/>
                                                                                                                                  <w:marRight w:val="0"/>
                                                                                                                                  <w:marTop w:val="0"/>
                                                                                                                                  <w:marBottom w:val="120"/>
                                                                                                                                  <w:divBdr>
                                                                                                                                    <w:top w:val="none" w:sz="0" w:space="0" w:color="auto"/>
                                                                                                                                    <w:left w:val="none" w:sz="0" w:space="0" w:color="auto"/>
                                                                                                                                    <w:bottom w:val="none" w:sz="0" w:space="0" w:color="auto"/>
                                                                                                                                    <w:right w:val="none" w:sz="0" w:space="0" w:color="auto"/>
                                                                                                                                  </w:divBdr>
                                                                                                                                </w:div>
                                                                                                                                <w:div w:id="1142161444">
                                                                                                                                  <w:marLeft w:val="0"/>
                                                                                                                                  <w:marRight w:val="0"/>
                                                                                                                                  <w:marTop w:val="0"/>
                                                                                                                                  <w:marBottom w:val="120"/>
                                                                                                                                  <w:divBdr>
                                                                                                                                    <w:top w:val="none" w:sz="0" w:space="0" w:color="auto"/>
                                                                                                                                    <w:left w:val="none" w:sz="0" w:space="0" w:color="auto"/>
                                                                                                                                    <w:bottom w:val="none" w:sz="0" w:space="0" w:color="auto"/>
                                                                                                                                    <w:right w:val="none" w:sz="0" w:space="0" w:color="auto"/>
                                                                                                                                  </w:divBdr>
                                                                                                                                </w:div>
                                                                                                                                <w:div w:id="17725040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419673">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sChild>
        <w:div w:id="1407653422">
          <w:marLeft w:val="0"/>
          <w:marRight w:val="0"/>
          <w:marTop w:val="0"/>
          <w:marBottom w:val="0"/>
          <w:divBdr>
            <w:top w:val="single" w:sz="6" w:space="0" w:color="0E477A"/>
            <w:left w:val="single" w:sz="6" w:space="0" w:color="0E477A"/>
            <w:bottom w:val="single" w:sz="6" w:space="0" w:color="0E477A"/>
            <w:right w:val="single" w:sz="6" w:space="0" w:color="0E477A"/>
          </w:divBdr>
          <w:divsChild>
            <w:div w:id="796607215">
              <w:marLeft w:val="0"/>
              <w:marRight w:val="0"/>
              <w:marTop w:val="0"/>
              <w:marBottom w:val="0"/>
              <w:divBdr>
                <w:top w:val="none" w:sz="0" w:space="0" w:color="auto"/>
                <w:left w:val="none" w:sz="0" w:space="0" w:color="auto"/>
                <w:bottom w:val="none" w:sz="0" w:space="0" w:color="auto"/>
                <w:right w:val="none" w:sz="0" w:space="0" w:color="auto"/>
              </w:divBdr>
              <w:divsChild>
                <w:div w:id="1355768827">
                  <w:marLeft w:val="0"/>
                  <w:marRight w:val="0"/>
                  <w:marTop w:val="0"/>
                  <w:marBottom w:val="0"/>
                  <w:divBdr>
                    <w:top w:val="none" w:sz="0" w:space="0" w:color="auto"/>
                    <w:left w:val="none" w:sz="0" w:space="0" w:color="auto"/>
                    <w:bottom w:val="none" w:sz="0" w:space="0" w:color="auto"/>
                    <w:right w:val="none" w:sz="0" w:space="0" w:color="auto"/>
                  </w:divBdr>
                  <w:divsChild>
                    <w:div w:id="728193282">
                      <w:marLeft w:val="0"/>
                      <w:marRight w:val="0"/>
                      <w:marTop w:val="0"/>
                      <w:marBottom w:val="0"/>
                      <w:divBdr>
                        <w:top w:val="none" w:sz="0" w:space="0" w:color="auto"/>
                        <w:left w:val="none" w:sz="0" w:space="0" w:color="auto"/>
                        <w:bottom w:val="none" w:sz="0" w:space="0" w:color="auto"/>
                        <w:right w:val="none" w:sz="0" w:space="0" w:color="auto"/>
                      </w:divBdr>
                      <w:divsChild>
                        <w:div w:id="1698852786">
                          <w:marLeft w:val="0"/>
                          <w:marRight w:val="0"/>
                          <w:marTop w:val="0"/>
                          <w:marBottom w:val="0"/>
                          <w:divBdr>
                            <w:top w:val="none" w:sz="0" w:space="0" w:color="auto"/>
                            <w:left w:val="none" w:sz="0" w:space="0" w:color="auto"/>
                            <w:bottom w:val="none" w:sz="0" w:space="0" w:color="auto"/>
                            <w:right w:val="none" w:sz="0" w:space="0" w:color="auto"/>
                          </w:divBdr>
                          <w:divsChild>
                            <w:div w:id="2042900633">
                              <w:marLeft w:val="0"/>
                              <w:marRight w:val="0"/>
                              <w:marTop w:val="0"/>
                              <w:marBottom w:val="0"/>
                              <w:divBdr>
                                <w:top w:val="none" w:sz="0" w:space="0" w:color="auto"/>
                                <w:left w:val="none" w:sz="0" w:space="0" w:color="auto"/>
                                <w:bottom w:val="none" w:sz="0" w:space="0" w:color="auto"/>
                                <w:right w:val="none" w:sz="0" w:space="0" w:color="auto"/>
                              </w:divBdr>
                              <w:divsChild>
                                <w:div w:id="19483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62214">
      <w:bodyDiv w:val="1"/>
      <w:marLeft w:val="0"/>
      <w:marRight w:val="0"/>
      <w:marTop w:val="0"/>
      <w:marBottom w:val="0"/>
      <w:divBdr>
        <w:top w:val="none" w:sz="0" w:space="0" w:color="auto"/>
        <w:left w:val="none" w:sz="0" w:space="0" w:color="auto"/>
        <w:bottom w:val="none" w:sz="0" w:space="0" w:color="auto"/>
        <w:right w:val="none" w:sz="0" w:space="0" w:color="auto"/>
      </w:divBdr>
    </w:div>
    <w:div w:id="1855726371">
      <w:bodyDiv w:val="1"/>
      <w:marLeft w:val="0"/>
      <w:marRight w:val="0"/>
      <w:marTop w:val="0"/>
      <w:marBottom w:val="0"/>
      <w:divBdr>
        <w:top w:val="none" w:sz="0" w:space="0" w:color="auto"/>
        <w:left w:val="none" w:sz="0" w:space="0" w:color="auto"/>
        <w:bottom w:val="none" w:sz="0" w:space="0" w:color="auto"/>
        <w:right w:val="none" w:sz="0" w:space="0" w:color="auto"/>
      </w:divBdr>
      <w:divsChild>
        <w:div w:id="38166230">
          <w:marLeft w:val="0"/>
          <w:marRight w:val="0"/>
          <w:marTop w:val="0"/>
          <w:marBottom w:val="0"/>
          <w:divBdr>
            <w:top w:val="none" w:sz="0" w:space="0" w:color="auto"/>
            <w:left w:val="none" w:sz="0" w:space="0" w:color="auto"/>
            <w:bottom w:val="none" w:sz="0" w:space="0" w:color="auto"/>
            <w:right w:val="none" w:sz="0" w:space="0" w:color="auto"/>
          </w:divBdr>
          <w:divsChild>
            <w:div w:id="968895448">
              <w:marLeft w:val="2"/>
              <w:marRight w:val="2"/>
              <w:marTop w:val="0"/>
              <w:marBottom w:val="0"/>
              <w:divBdr>
                <w:top w:val="none" w:sz="0" w:space="0" w:color="auto"/>
                <w:left w:val="none" w:sz="0" w:space="0" w:color="auto"/>
                <w:bottom w:val="none" w:sz="0" w:space="0" w:color="auto"/>
                <w:right w:val="none" w:sz="0" w:space="0" w:color="auto"/>
              </w:divBdr>
              <w:divsChild>
                <w:div w:id="848985108">
                  <w:marLeft w:val="0"/>
                  <w:marRight w:val="0"/>
                  <w:marTop w:val="0"/>
                  <w:marBottom w:val="0"/>
                  <w:divBdr>
                    <w:top w:val="none" w:sz="0" w:space="0" w:color="auto"/>
                    <w:left w:val="none" w:sz="0" w:space="0" w:color="auto"/>
                    <w:bottom w:val="none" w:sz="0" w:space="0" w:color="auto"/>
                    <w:right w:val="none" w:sz="0" w:space="0" w:color="auto"/>
                  </w:divBdr>
                  <w:divsChild>
                    <w:div w:id="813721719">
                      <w:marLeft w:val="0"/>
                      <w:marRight w:val="0"/>
                      <w:marTop w:val="0"/>
                      <w:marBottom w:val="0"/>
                      <w:divBdr>
                        <w:top w:val="none" w:sz="0" w:space="0" w:color="auto"/>
                        <w:left w:val="none" w:sz="0" w:space="0" w:color="auto"/>
                        <w:bottom w:val="none" w:sz="0" w:space="0" w:color="auto"/>
                        <w:right w:val="none" w:sz="0" w:space="0" w:color="auto"/>
                      </w:divBdr>
                      <w:divsChild>
                        <w:div w:id="1641350025">
                          <w:marLeft w:val="0"/>
                          <w:marRight w:val="0"/>
                          <w:marTop w:val="0"/>
                          <w:marBottom w:val="0"/>
                          <w:divBdr>
                            <w:top w:val="none" w:sz="0" w:space="0" w:color="auto"/>
                            <w:left w:val="none" w:sz="0" w:space="0" w:color="auto"/>
                            <w:bottom w:val="none" w:sz="0" w:space="0" w:color="auto"/>
                            <w:right w:val="none" w:sz="0" w:space="0" w:color="auto"/>
                          </w:divBdr>
                          <w:divsChild>
                            <w:div w:id="423262089">
                              <w:marLeft w:val="0"/>
                              <w:marRight w:val="0"/>
                              <w:marTop w:val="0"/>
                              <w:marBottom w:val="0"/>
                              <w:divBdr>
                                <w:top w:val="none" w:sz="0" w:space="0" w:color="auto"/>
                                <w:left w:val="none" w:sz="0" w:space="0" w:color="auto"/>
                                <w:bottom w:val="none" w:sz="0" w:space="0" w:color="auto"/>
                                <w:right w:val="none" w:sz="0" w:space="0" w:color="auto"/>
                              </w:divBdr>
                              <w:divsChild>
                                <w:div w:id="1165586774">
                                  <w:marLeft w:val="0"/>
                                  <w:marRight w:val="0"/>
                                  <w:marTop w:val="0"/>
                                  <w:marBottom w:val="0"/>
                                  <w:divBdr>
                                    <w:top w:val="none" w:sz="0" w:space="0" w:color="auto"/>
                                    <w:left w:val="none" w:sz="0" w:space="0" w:color="auto"/>
                                    <w:bottom w:val="none" w:sz="0" w:space="0" w:color="auto"/>
                                    <w:right w:val="none" w:sz="0" w:space="0" w:color="auto"/>
                                  </w:divBdr>
                                  <w:divsChild>
                                    <w:div w:id="1099789537">
                                      <w:marLeft w:val="0"/>
                                      <w:marRight w:val="0"/>
                                      <w:marTop w:val="0"/>
                                      <w:marBottom w:val="0"/>
                                      <w:divBdr>
                                        <w:top w:val="none" w:sz="0" w:space="0" w:color="auto"/>
                                        <w:left w:val="none" w:sz="0" w:space="0" w:color="auto"/>
                                        <w:bottom w:val="none" w:sz="0" w:space="0" w:color="auto"/>
                                        <w:right w:val="none" w:sz="0" w:space="0" w:color="auto"/>
                                      </w:divBdr>
                                      <w:divsChild>
                                        <w:div w:id="1379165883">
                                          <w:marLeft w:val="0"/>
                                          <w:marRight w:val="0"/>
                                          <w:marTop w:val="0"/>
                                          <w:marBottom w:val="0"/>
                                          <w:divBdr>
                                            <w:top w:val="none" w:sz="0" w:space="0" w:color="auto"/>
                                            <w:left w:val="none" w:sz="0" w:space="0" w:color="auto"/>
                                            <w:bottom w:val="none" w:sz="0" w:space="0" w:color="auto"/>
                                            <w:right w:val="none" w:sz="0" w:space="0" w:color="auto"/>
                                          </w:divBdr>
                                          <w:divsChild>
                                            <w:div w:id="1356883954">
                                              <w:marLeft w:val="0"/>
                                              <w:marRight w:val="0"/>
                                              <w:marTop w:val="0"/>
                                              <w:marBottom w:val="0"/>
                                              <w:divBdr>
                                                <w:top w:val="none" w:sz="0" w:space="0" w:color="auto"/>
                                                <w:left w:val="none" w:sz="0" w:space="0" w:color="auto"/>
                                                <w:bottom w:val="none" w:sz="0" w:space="0" w:color="auto"/>
                                                <w:right w:val="none" w:sz="0" w:space="0" w:color="auto"/>
                                              </w:divBdr>
                                            </w:div>
                                          </w:divsChild>
                                        </w:div>
                                        <w:div w:id="2022386740">
                                          <w:marLeft w:val="0"/>
                                          <w:marRight w:val="0"/>
                                          <w:marTop w:val="0"/>
                                          <w:marBottom w:val="0"/>
                                          <w:divBdr>
                                            <w:top w:val="none" w:sz="0" w:space="0" w:color="auto"/>
                                            <w:left w:val="none" w:sz="0" w:space="0" w:color="auto"/>
                                            <w:bottom w:val="none" w:sz="0" w:space="0" w:color="auto"/>
                                            <w:right w:val="none" w:sz="0" w:space="0" w:color="auto"/>
                                          </w:divBdr>
                                          <w:divsChild>
                                            <w:div w:id="883981701">
                                              <w:marLeft w:val="0"/>
                                              <w:marRight w:val="0"/>
                                              <w:marTop w:val="0"/>
                                              <w:marBottom w:val="0"/>
                                              <w:divBdr>
                                                <w:top w:val="none" w:sz="0" w:space="0" w:color="auto"/>
                                                <w:left w:val="none" w:sz="0" w:space="0" w:color="auto"/>
                                                <w:bottom w:val="none" w:sz="0" w:space="0" w:color="auto"/>
                                                <w:right w:val="none" w:sz="0" w:space="0" w:color="auto"/>
                                              </w:divBdr>
                                            </w:div>
                                          </w:divsChild>
                                        </w:div>
                                        <w:div w:id="1029767679">
                                          <w:marLeft w:val="0"/>
                                          <w:marRight w:val="0"/>
                                          <w:marTop w:val="0"/>
                                          <w:marBottom w:val="0"/>
                                          <w:divBdr>
                                            <w:top w:val="none" w:sz="0" w:space="0" w:color="auto"/>
                                            <w:left w:val="none" w:sz="0" w:space="0" w:color="auto"/>
                                            <w:bottom w:val="none" w:sz="0" w:space="0" w:color="auto"/>
                                            <w:right w:val="none" w:sz="0" w:space="0" w:color="auto"/>
                                          </w:divBdr>
                                          <w:divsChild>
                                            <w:div w:id="1508472542">
                                              <w:marLeft w:val="0"/>
                                              <w:marRight w:val="0"/>
                                              <w:marTop w:val="0"/>
                                              <w:marBottom w:val="0"/>
                                              <w:divBdr>
                                                <w:top w:val="none" w:sz="0" w:space="0" w:color="auto"/>
                                                <w:left w:val="none" w:sz="0" w:space="0" w:color="auto"/>
                                                <w:bottom w:val="none" w:sz="0" w:space="0" w:color="auto"/>
                                                <w:right w:val="none" w:sz="0" w:space="0" w:color="auto"/>
                                              </w:divBdr>
                                            </w:div>
                                          </w:divsChild>
                                        </w:div>
                                        <w:div w:id="575867606">
                                          <w:marLeft w:val="0"/>
                                          <w:marRight w:val="0"/>
                                          <w:marTop w:val="0"/>
                                          <w:marBottom w:val="0"/>
                                          <w:divBdr>
                                            <w:top w:val="none" w:sz="0" w:space="0" w:color="auto"/>
                                            <w:left w:val="none" w:sz="0" w:space="0" w:color="auto"/>
                                            <w:bottom w:val="none" w:sz="0" w:space="0" w:color="auto"/>
                                            <w:right w:val="none" w:sz="0" w:space="0" w:color="auto"/>
                                          </w:divBdr>
                                          <w:divsChild>
                                            <w:div w:id="4766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952">
                                      <w:marLeft w:val="0"/>
                                      <w:marRight w:val="0"/>
                                      <w:marTop w:val="0"/>
                                      <w:marBottom w:val="0"/>
                                      <w:divBdr>
                                        <w:top w:val="none" w:sz="0" w:space="0" w:color="auto"/>
                                        <w:left w:val="none" w:sz="0" w:space="0" w:color="auto"/>
                                        <w:bottom w:val="none" w:sz="0" w:space="0" w:color="auto"/>
                                        <w:right w:val="none" w:sz="0" w:space="0" w:color="auto"/>
                                      </w:divBdr>
                                      <w:divsChild>
                                        <w:div w:id="1851721533">
                                          <w:marLeft w:val="0"/>
                                          <w:marRight w:val="0"/>
                                          <w:marTop w:val="0"/>
                                          <w:marBottom w:val="0"/>
                                          <w:divBdr>
                                            <w:top w:val="none" w:sz="0" w:space="0" w:color="auto"/>
                                            <w:left w:val="none" w:sz="0" w:space="0" w:color="auto"/>
                                            <w:bottom w:val="none" w:sz="0" w:space="0" w:color="auto"/>
                                            <w:right w:val="none" w:sz="0" w:space="0" w:color="auto"/>
                                          </w:divBdr>
                                          <w:divsChild>
                                            <w:div w:id="405305355">
                                              <w:marLeft w:val="0"/>
                                              <w:marRight w:val="0"/>
                                              <w:marTop w:val="0"/>
                                              <w:marBottom w:val="0"/>
                                              <w:divBdr>
                                                <w:top w:val="none" w:sz="0" w:space="0" w:color="auto"/>
                                                <w:left w:val="none" w:sz="0" w:space="0" w:color="auto"/>
                                                <w:bottom w:val="none" w:sz="0" w:space="0" w:color="auto"/>
                                                <w:right w:val="none" w:sz="0" w:space="0" w:color="auto"/>
                                              </w:divBdr>
                                            </w:div>
                                          </w:divsChild>
                                        </w:div>
                                        <w:div w:id="709260146">
                                          <w:marLeft w:val="0"/>
                                          <w:marRight w:val="0"/>
                                          <w:marTop w:val="0"/>
                                          <w:marBottom w:val="0"/>
                                          <w:divBdr>
                                            <w:top w:val="none" w:sz="0" w:space="0" w:color="auto"/>
                                            <w:left w:val="none" w:sz="0" w:space="0" w:color="auto"/>
                                            <w:bottom w:val="none" w:sz="0" w:space="0" w:color="auto"/>
                                            <w:right w:val="none" w:sz="0" w:space="0" w:color="auto"/>
                                          </w:divBdr>
                                          <w:divsChild>
                                            <w:div w:id="881553657">
                                              <w:marLeft w:val="0"/>
                                              <w:marRight w:val="0"/>
                                              <w:marTop w:val="0"/>
                                              <w:marBottom w:val="0"/>
                                              <w:divBdr>
                                                <w:top w:val="none" w:sz="0" w:space="0" w:color="auto"/>
                                                <w:left w:val="none" w:sz="0" w:space="0" w:color="auto"/>
                                                <w:bottom w:val="none" w:sz="0" w:space="0" w:color="auto"/>
                                                <w:right w:val="none" w:sz="0" w:space="0" w:color="auto"/>
                                              </w:divBdr>
                                            </w:div>
                                          </w:divsChild>
                                        </w:div>
                                        <w:div w:id="1178495784">
                                          <w:marLeft w:val="0"/>
                                          <w:marRight w:val="0"/>
                                          <w:marTop w:val="0"/>
                                          <w:marBottom w:val="0"/>
                                          <w:divBdr>
                                            <w:top w:val="none" w:sz="0" w:space="0" w:color="auto"/>
                                            <w:left w:val="none" w:sz="0" w:space="0" w:color="auto"/>
                                            <w:bottom w:val="none" w:sz="0" w:space="0" w:color="auto"/>
                                            <w:right w:val="none" w:sz="0" w:space="0" w:color="auto"/>
                                          </w:divBdr>
                                          <w:divsChild>
                                            <w:div w:id="1989893178">
                                              <w:marLeft w:val="0"/>
                                              <w:marRight w:val="0"/>
                                              <w:marTop w:val="0"/>
                                              <w:marBottom w:val="0"/>
                                              <w:divBdr>
                                                <w:top w:val="none" w:sz="0" w:space="0" w:color="auto"/>
                                                <w:left w:val="none" w:sz="0" w:space="0" w:color="auto"/>
                                                <w:bottom w:val="none" w:sz="0" w:space="0" w:color="auto"/>
                                                <w:right w:val="none" w:sz="0" w:space="0" w:color="auto"/>
                                              </w:divBdr>
                                            </w:div>
                                          </w:divsChild>
                                        </w:div>
                                        <w:div w:id="1801458873">
                                          <w:marLeft w:val="0"/>
                                          <w:marRight w:val="0"/>
                                          <w:marTop w:val="0"/>
                                          <w:marBottom w:val="0"/>
                                          <w:divBdr>
                                            <w:top w:val="none" w:sz="0" w:space="0" w:color="auto"/>
                                            <w:left w:val="none" w:sz="0" w:space="0" w:color="auto"/>
                                            <w:bottom w:val="none" w:sz="0" w:space="0" w:color="auto"/>
                                            <w:right w:val="none" w:sz="0" w:space="0" w:color="auto"/>
                                          </w:divBdr>
                                          <w:divsChild>
                                            <w:div w:id="248007791">
                                              <w:marLeft w:val="0"/>
                                              <w:marRight w:val="0"/>
                                              <w:marTop w:val="0"/>
                                              <w:marBottom w:val="0"/>
                                              <w:divBdr>
                                                <w:top w:val="none" w:sz="0" w:space="0" w:color="auto"/>
                                                <w:left w:val="none" w:sz="0" w:space="0" w:color="auto"/>
                                                <w:bottom w:val="none" w:sz="0" w:space="0" w:color="auto"/>
                                                <w:right w:val="none" w:sz="0" w:space="0" w:color="auto"/>
                                              </w:divBdr>
                                            </w:div>
                                          </w:divsChild>
                                        </w:div>
                                        <w:div w:id="1879659809">
                                          <w:marLeft w:val="0"/>
                                          <w:marRight w:val="0"/>
                                          <w:marTop w:val="0"/>
                                          <w:marBottom w:val="0"/>
                                          <w:divBdr>
                                            <w:top w:val="none" w:sz="0" w:space="0" w:color="auto"/>
                                            <w:left w:val="none" w:sz="0" w:space="0" w:color="auto"/>
                                            <w:bottom w:val="none" w:sz="0" w:space="0" w:color="auto"/>
                                            <w:right w:val="none" w:sz="0" w:space="0" w:color="auto"/>
                                          </w:divBdr>
                                          <w:divsChild>
                                            <w:div w:id="4655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619329">
      <w:bodyDiv w:val="1"/>
      <w:marLeft w:val="0"/>
      <w:marRight w:val="0"/>
      <w:marTop w:val="0"/>
      <w:marBottom w:val="0"/>
      <w:divBdr>
        <w:top w:val="none" w:sz="0" w:space="0" w:color="auto"/>
        <w:left w:val="none" w:sz="0" w:space="0" w:color="auto"/>
        <w:bottom w:val="none" w:sz="0" w:space="0" w:color="auto"/>
        <w:right w:val="none" w:sz="0" w:space="0" w:color="auto"/>
      </w:divBdr>
    </w:div>
    <w:div w:id="1860388866">
      <w:bodyDiv w:val="1"/>
      <w:marLeft w:val="0"/>
      <w:marRight w:val="0"/>
      <w:marTop w:val="0"/>
      <w:marBottom w:val="0"/>
      <w:divBdr>
        <w:top w:val="none" w:sz="0" w:space="0" w:color="auto"/>
        <w:left w:val="none" w:sz="0" w:space="0" w:color="auto"/>
        <w:bottom w:val="none" w:sz="0" w:space="0" w:color="auto"/>
        <w:right w:val="none" w:sz="0" w:space="0" w:color="auto"/>
      </w:divBdr>
      <w:divsChild>
        <w:div w:id="227082850">
          <w:marLeft w:val="0"/>
          <w:marRight w:val="0"/>
          <w:marTop w:val="0"/>
          <w:marBottom w:val="0"/>
          <w:divBdr>
            <w:top w:val="none" w:sz="0" w:space="0" w:color="auto"/>
            <w:left w:val="none" w:sz="0" w:space="0" w:color="auto"/>
            <w:bottom w:val="none" w:sz="0" w:space="0" w:color="auto"/>
            <w:right w:val="none" w:sz="0" w:space="0" w:color="auto"/>
          </w:divBdr>
          <w:divsChild>
            <w:div w:id="627669204">
              <w:marLeft w:val="0"/>
              <w:marRight w:val="0"/>
              <w:marTop w:val="0"/>
              <w:marBottom w:val="0"/>
              <w:divBdr>
                <w:top w:val="none" w:sz="0" w:space="0" w:color="auto"/>
                <w:left w:val="none" w:sz="0" w:space="0" w:color="auto"/>
                <w:bottom w:val="none" w:sz="0" w:space="0" w:color="auto"/>
                <w:right w:val="none" w:sz="0" w:space="0" w:color="auto"/>
              </w:divBdr>
              <w:divsChild>
                <w:div w:id="212497590">
                  <w:marLeft w:val="0"/>
                  <w:marRight w:val="0"/>
                  <w:marTop w:val="0"/>
                  <w:marBottom w:val="0"/>
                  <w:divBdr>
                    <w:top w:val="none" w:sz="0" w:space="0" w:color="auto"/>
                    <w:left w:val="none" w:sz="0" w:space="0" w:color="auto"/>
                    <w:bottom w:val="none" w:sz="0" w:space="0" w:color="auto"/>
                    <w:right w:val="none" w:sz="0" w:space="0" w:color="auto"/>
                  </w:divBdr>
                  <w:divsChild>
                    <w:div w:id="1863398137">
                      <w:marLeft w:val="0"/>
                      <w:marRight w:val="0"/>
                      <w:marTop w:val="0"/>
                      <w:marBottom w:val="0"/>
                      <w:divBdr>
                        <w:top w:val="none" w:sz="0" w:space="0" w:color="auto"/>
                        <w:left w:val="none" w:sz="0" w:space="0" w:color="auto"/>
                        <w:bottom w:val="none" w:sz="0" w:space="0" w:color="auto"/>
                        <w:right w:val="none" w:sz="0" w:space="0" w:color="auto"/>
                      </w:divBdr>
                      <w:divsChild>
                        <w:div w:id="1630932525">
                          <w:marLeft w:val="0"/>
                          <w:marRight w:val="0"/>
                          <w:marTop w:val="0"/>
                          <w:marBottom w:val="0"/>
                          <w:divBdr>
                            <w:top w:val="none" w:sz="0" w:space="0" w:color="auto"/>
                            <w:left w:val="none" w:sz="0" w:space="0" w:color="auto"/>
                            <w:bottom w:val="none" w:sz="0" w:space="0" w:color="auto"/>
                            <w:right w:val="none" w:sz="0" w:space="0" w:color="auto"/>
                          </w:divBdr>
                          <w:divsChild>
                            <w:div w:id="946228876">
                              <w:marLeft w:val="0"/>
                              <w:marRight w:val="0"/>
                              <w:marTop w:val="0"/>
                              <w:marBottom w:val="0"/>
                              <w:divBdr>
                                <w:top w:val="none" w:sz="0" w:space="0" w:color="auto"/>
                                <w:left w:val="none" w:sz="0" w:space="0" w:color="auto"/>
                                <w:bottom w:val="none" w:sz="0" w:space="0" w:color="auto"/>
                                <w:right w:val="none" w:sz="0" w:space="0" w:color="auto"/>
                              </w:divBdr>
                              <w:divsChild>
                                <w:div w:id="861017291">
                                  <w:marLeft w:val="0"/>
                                  <w:marRight w:val="0"/>
                                  <w:marTop w:val="0"/>
                                  <w:marBottom w:val="0"/>
                                  <w:divBdr>
                                    <w:top w:val="none" w:sz="0" w:space="0" w:color="auto"/>
                                    <w:left w:val="none" w:sz="0" w:space="0" w:color="auto"/>
                                    <w:bottom w:val="none" w:sz="0" w:space="0" w:color="auto"/>
                                    <w:right w:val="none" w:sz="0" w:space="0" w:color="auto"/>
                                  </w:divBdr>
                                  <w:divsChild>
                                    <w:div w:id="1835028634">
                                      <w:marLeft w:val="0"/>
                                      <w:marRight w:val="0"/>
                                      <w:marTop w:val="0"/>
                                      <w:marBottom w:val="0"/>
                                      <w:divBdr>
                                        <w:top w:val="none" w:sz="0" w:space="0" w:color="auto"/>
                                        <w:left w:val="none" w:sz="0" w:space="0" w:color="auto"/>
                                        <w:bottom w:val="none" w:sz="0" w:space="0" w:color="auto"/>
                                        <w:right w:val="none" w:sz="0" w:space="0" w:color="auto"/>
                                      </w:divBdr>
                                      <w:divsChild>
                                        <w:div w:id="109209380">
                                          <w:marLeft w:val="0"/>
                                          <w:marRight w:val="0"/>
                                          <w:marTop w:val="0"/>
                                          <w:marBottom w:val="0"/>
                                          <w:divBdr>
                                            <w:top w:val="none" w:sz="0" w:space="0" w:color="auto"/>
                                            <w:left w:val="none" w:sz="0" w:space="0" w:color="auto"/>
                                            <w:bottom w:val="none" w:sz="0" w:space="0" w:color="auto"/>
                                            <w:right w:val="none" w:sz="0" w:space="0" w:color="auto"/>
                                          </w:divBdr>
                                          <w:divsChild>
                                            <w:div w:id="575241405">
                                              <w:marLeft w:val="0"/>
                                              <w:marRight w:val="0"/>
                                              <w:marTop w:val="0"/>
                                              <w:marBottom w:val="0"/>
                                              <w:divBdr>
                                                <w:top w:val="none" w:sz="0" w:space="0" w:color="auto"/>
                                                <w:left w:val="none" w:sz="0" w:space="0" w:color="auto"/>
                                                <w:bottom w:val="none" w:sz="0" w:space="0" w:color="auto"/>
                                                <w:right w:val="none" w:sz="0" w:space="0" w:color="auto"/>
                                              </w:divBdr>
                                              <w:divsChild>
                                                <w:div w:id="1571693571">
                                                  <w:marLeft w:val="0"/>
                                                  <w:marRight w:val="0"/>
                                                  <w:marTop w:val="0"/>
                                                  <w:marBottom w:val="0"/>
                                                  <w:divBdr>
                                                    <w:top w:val="none" w:sz="0" w:space="0" w:color="auto"/>
                                                    <w:left w:val="none" w:sz="0" w:space="0" w:color="auto"/>
                                                    <w:bottom w:val="none" w:sz="0" w:space="0" w:color="auto"/>
                                                    <w:right w:val="none" w:sz="0" w:space="0" w:color="auto"/>
                                                  </w:divBdr>
                                                  <w:divsChild>
                                                    <w:div w:id="480580538">
                                                      <w:marLeft w:val="0"/>
                                                      <w:marRight w:val="0"/>
                                                      <w:marTop w:val="0"/>
                                                      <w:marBottom w:val="0"/>
                                                      <w:divBdr>
                                                        <w:top w:val="none" w:sz="0" w:space="0" w:color="auto"/>
                                                        <w:left w:val="none" w:sz="0" w:space="0" w:color="auto"/>
                                                        <w:bottom w:val="none" w:sz="0" w:space="0" w:color="auto"/>
                                                        <w:right w:val="none" w:sz="0" w:space="0" w:color="auto"/>
                                                      </w:divBdr>
                                                      <w:divsChild>
                                                        <w:div w:id="21392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2166206">
      <w:bodyDiv w:val="1"/>
      <w:marLeft w:val="0"/>
      <w:marRight w:val="0"/>
      <w:marTop w:val="0"/>
      <w:marBottom w:val="0"/>
      <w:divBdr>
        <w:top w:val="none" w:sz="0" w:space="0" w:color="auto"/>
        <w:left w:val="none" w:sz="0" w:space="0" w:color="auto"/>
        <w:bottom w:val="none" w:sz="0" w:space="0" w:color="auto"/>
        <w:right w:val="none" w:sz="0" w:space="0" w:color="auto"/>
      </w:divBdr>
      <w:divsChild>
        <w:div w:id="1540242909">
          <w:marLeft w:val="0"/>
          <w:marRight w:val="0"/>
          <w:marTop w:val="0"/>
          <w:marBottom w:val="0"/>
          <w:divBdr>
            <w:top w:val="none" w:sz="0" w:space="0" w:color="auto"/>
            <w:left w:val="none" w:sz="0" w:space="0" w:color="auto"/>
            <w:bottom w:val="none" w:sz="0" w:space="0" w:color="auto"/>
            <w:right w:val="none" w:sz="0" w:space="0" w:color="auto"/>
          </w:divBdr>
          <w:divsChild>
            <w:div w:id="326173335">
              <w:marLeft w:val="0"/>
              <w:marRight w:val="0"/>
              <w:marTop w:val="0"/>
              <w:marBottom w:val="0"/>
              <w:divBdr>
                <w:top w:val="none" w:sz="0" w:space="0" w:color="auto"/>
                <w:left w:val="none" w:sz="0" w:space="0" w:color="auto"/>
                <w:bottom w:val="none" w:sz="0" w:space="0" w:color="auto"/>
                <w:right w:val="none" w:sz="0" w:space="0" w:color="auto"/>
              </w:divBdr>
              <w:divsChild>
                <w:div w:id="2068064126">
                  <w:marLeft w:val="0"/>
                  <w:marRight w:val="0"/>
                  <w:marTop w:val="0"/>
                  <w:marBottom w:val="0"/>
                  <w:divBdr>
                    <w:top w:val="none" w:sz="0" w:space="0" w:color="auto"/>
                    <w:left w:val="none" w:sz="0" w:space="0" w:color="auto"/>
                    <w:bottom w:val="none" w:sz="0" w:space="0" w:color="auto"/>
                    <w:right w:val="none" w:sz="0" w:space="0" w:color="auto"/>
                  </w:divBdr>
                  <w:divsChild>
                    <w:div w:id="934174082">
                      <w:marLeft w:val="0"/>
                      <w:marRight w:val="0"/>
                      <w:marTop w:val="0"/>
                      <w:marBottom w:val="0"/>
                      <w:divBdr>
                        <w:top w:val="none" w:sz="0" w:space="0" w:color="auto"/>
                        <w:left w:val="none" w:sz="0" w:space="0" w:color="auto"/>
                        <w:bottom w:val="none" w:sz="0" w:space="0" w:color="auto"/>
                        <w:right w:val="none" w:sz="0" w:space="0" w:color="auto"/>
                      </w:divBdr>
                      <w:divsChild>
                        <w:div w:id="1138836810">
                          <w:marLeft w:val="0"/>
                          <w:marRight w:val="0"/>
                          <w:marTop w:val="0"/>
                          <w:marBottom w:val="0"/>
                          <w:divBdr>
                            <w:top w:val="none" w:sz="0" w:space="0" w:color="auto"/>
                            <w:left w:val="none" w:sz="0" w:space="0" w:color="auto"/>
                            <w:bottom w:val="none" w:sz="0" w:space="0" w:color="auto"/>
                            <w:right w:val="none" w:sz="0" w:space="0" w:color="auto"/>
                          </w:divBdr>
                          <w:divsChild>
                            <w:div w:id="830102252">
                              <w:marLeft w:val="0"/>
                              <w:marRight w:val="0"/>
                              <w:marTop w:val="0"/>
                              <w:marBottom w:val="0"/>
                              <w:divBdr>
                                <w:top w:val="none" w:sz="0" w:space="0" w:color="auto"/>
                                <w:left w:val="none" w:sz="0" w:space="0" w:color="auto"/>
                                <w:bottom w:val="none" w:sz="0" w:space="0" w:color="auto"/>
                                <w:right w:val="none" w:sz="0" w:space="0" w:color="auto"/>
                              </w:divBdr>
                              <w:divsChild>
                                <w:div w:id="281888370">
                                  <w:marLeft w:val="0"/>
                                  <w:marRight w:val="0"/>
                                  <w:marTop w:val="0"/>
                                  <w:marBottom w:val="0"/>
                                  <w:divBdr>
                                    <w:top w:val="none" w:sz="0" w:space="0" w:color="auto"/>
                                    <w:left w:val="none" w:sz="0" w:space="0" w:color="auto"/>
                                    <w:bottom w:val="none" w:sz="0" w:space="0" w:color="auto"/>
                                    <w:right w:val="none" w:sz="0" w:space="0" w:color="auto"/>
                                  </w:divBdr>
                                  <w:divsChild>
                                    <w:div w:id="1374038112">
                                      <w:marLeft w:val="0"/>
                                      <w:marRight w:val="0"/>
                                      <w:marTop w:val="0"/>
                                      <w:marBottom w:val="0"/>
                                      <w:divBdr>
                                        <w:top w:val="none" w:sz="0" w:space="0" w:color="auto"/>
                                        <w:left w:val="none" w:sz="0" w:space="0" w:color="auto"/>
                                        <w:bottom w:val="none" w:sz="0" w:space="0" w:color="auto"/>
                                        <w:right w:val="none" w:sz="0" w:space="0" w:color="auto"/>
                                      </w:divBdr>
                                      <w:divsChild>
                                        <w:div w:id="947469990">
                                          <w:marLeft w:val="0"/>
                                          <w:marRight w:val="0"/>
                                          <w:marTop w:val="0"/>
                                          <w:marBottom w:val="0"/>
                                          <w:divBdr>
                                            <w:top w:val="none" w:sz="0" w:space="0" w:color="auto"/>
                                            <w:left w:val="none" w:sz="0" w:space="0" w:color="auto"/>
                                            <w:bottom w:val="none" w:sz="0" w:space="0" w:color="auto"/>
                                            <w:right w:val="none" w:sz="0" w:space="0" w:color="auto"/>
                                          </w:divBdr>
                                        </w:div>
                                        <w:div w:id="73555997">
                                          <w:marLeft w:val="0"/>
                                          <w:marRight w:val="0"/>
                                          <w:marTop w:val="0"/>
                                          <w:marBottom w:val="0"/>
                                          <w:divBdr>
                                            <w:top w:val="none" w:sz="0" w:space="0" w:color="auto"/>
                                            <w:left w:val="none" w:sz="0" w:space="0" w:color="auto"/>
                                            <w:bottom w:val="none" w:sz="0" w:space="0" w:color="auto"/>
                                            <w:right w:val="none" w:sz="0" w:space="0" w:color="auto"/>
                                          </w:divBdr>
                                          <w:divsChild>
                                            <w:div w:id="33095942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476128">
      <w:bodyDiv w:val="1"/>
      <w:marLeft w:val="0"/>
      <w:marRight w:val="0"/>
      <w:marTop w:val="0"/>
      <w:marBottom w:val="0"/>
      <w:divBdr>
        <w:top w:val="none" w:sz="0" w:space="0" w:color="auto"/>
        <w:left w:val="none" w:sz="0" w:space="0" w:color="auto"/>
        <w:bottom w:val="none" w:sz="0" w:space="0" w:color="auto"/>
        <w:right w:val="none" w:sz="0" w:space="0" w:color="auto"/>
      </w:divBdr>
      <w:divsChild>
        <w:div w:id="964581765">
          <w:marLeft w:val="0"/>
          <w:marRight w:val="0"/>
          <w:marTop w:val="0"/>
          <w:marBottom w:val="0"/>
          <w:divBdr>
            <w:top w:val="none" w:sz="0" w:space="0" w:color="auto"/>
            <w:left w:val="none" w:sz="0" w:space="0" w:color="auto"/>
            <w:bottom w:val="none" w:sz="0" w:space="0" w:color="auto"/>
            <w:right w:val="none" w:sz="0" w:space="0" w:color="auto"/>
          </w:divBdr>
          <w:divsChild>
            <w:div w:id="463430761">
              <w:marLeft w:val="0"/>
              <w:marRight w:val="0"/>
              <w:marTop w:val="0"/>
              <w:marBottom w:val="0"/>
              <w:divBdr>
                <w:top w:val="none" w:sz="0" w:space="0" w:color="auto"/>
                <w:left w:val="none" w:sz="0" w:space="0" w:color="auto"/>
                <w:bottom w:val="none" w:sz="0" w:space="0" w:color="auto"/>
                <w:right w:val="none" w:sz="0" w:space="0" w:color="auto"/>
              </w:divBdr>
              <w:divsChild>
                <w:div w:id="75057358">
                  <w:marLeft w:val="0"/>
                  <w:marRight w:val="0"/>
                  <w:marTop w:val="0"/>
                  <w:marBottom w:val="0"/>
                  <w:divBdr>
                    <w:top w:val="none" w:sz="0" w:space="0" w:color="auto"/>
                    <w:left w:val="none" w:sz="0" w:space="0" w:color="auto"/>
                    <w:bottom w:val="none" w:sz="0" w:space="0" w:color="auto"/>
                    <w:right w:val="none" w:sz="0" w:space="0" w:color="auto"/>
                  </w:divBdr>
                  <w:divsChild>
                    <w:div w:id="821240487">
                      <w:marLeft w:val="0"/>
                      <w:marRight w:val="0"/>
                      <w:marTop w:val="0"/>
                      <w:marBottom w:val="0"/>
                      <w:divBdr>
                        <w:top w:val="none" w:sz="0" w:space="0" w:color="auto"/>
                        <w:left w:val="none" w:sz="0" w:space="0" w:color="auto"/>
                        <w:bottom w:val="none" w:sz="0" w:space="0" w:color="auto"/>
                        <w:right w:val="none" w:sz="0" w:space="0" w:color="auto"/>
                      </w:divBdr>
                      <w:divsChild>
                        <w:div w:id="1897282485">
                          <w:marLeft w:val="0"/>
                          <w:marRight w:val="0"/>
                          <w:marTop w:val="0"/>
                          <w:marBottom w:val="0"/>
                          <w:divBdr>
                            <w:top w:val="none" w:sz="0" w:space="0" w:color="auto"/>
                            <w:left w:val="none" w:sz="0" w:space="0" w:color="auto"/>
                            <w:bottom w:val="none" w:sz="0" w:space="0" w:color="auto"/>
                            <w:right w:val="none" w:sz="0" w:space="0" w:color="auto"/>
                          </w:divBdr>
                          <w:divsChild>
                            <w:div w:id="13525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27832">
      <w:bodyDiv w:val="1"/>
      <w:marLeft w:val="0"/>
      <w:marRight w:val="0"/>
      <w:marTop w:val="0"/>
      <w:marBottom w:val="0"/>
      <w:divBdr>
        <w:top w:val="none" w:sz="0" w:space="0" w:color="auto"/>
        <w:left w:val="none" w:sz="0" w:space="0" w:color="auto"/>
        <w:bottom w:val="none" w:sz="0" w:space="0" w:color="auto"/>
        <w:right w:val="none" w:sz="0" w:space="0" w:color="auto"/>
      </w:divBdr>
      <w:divsChild>
        <w:div w:id="850144876">
          <w:marLeft w:val="2400"/>
          <w:marRight w:val="0"/>
          <w:marTop w:val="0"/>
          <w:marBottom w:val="0"/>
          <w:divBdr>
            <w:top w:val="none" w:sz="0" w:space="0" w:color="auto"/>
            <w:left w:val="none" w:sz="0" w:space="0" w:color="auto"/>
            <w:bottom w:val="none" w:sz="0" w:space="0" w:color="auto"/>
            <w:right w:val="none" w:sz="0" w:space="0" w:color="auto"/>
          </w:divBdr>
          <w:divsChild>
            <w:div w:id="1857191833">
              <w:marLeft w:val="0"/>
              <w:marRight w:val="0"/>
              <w:marTop w:val="0"/>
              <w:marBottom w:val="0"/>
              <w:divBdr>
                <w:top w:val="none" w:sz="0" w:space="0" w:color="auto"/>
                <w:left w:val="none" w:sz="0" w:space="0" w:color="auto"/>
                <w:bottom w:val="none" w:sz="0" w:space="0" w:color="auto"/>
                <w:right w:val="none" w:sz="0" w:space="0" w:color="auto"/>
              </w:divBdr>
              <w:divsChild>
                <w:div w:id="862478729">
                  <w:marLeft w:val="0"/>
                  <w:marRight w:val="0"/>
                  <w:marTop w:val="0"/>
                  <w:marBottom w:val="0"/>
                  <w:divBdr>
                    <w:top w:val="none" w:sz="0" w:space="0" w:color="auto"/>
                    <w:left w:val="none" w:sz="0" w:space="0" w:color="auto"/>
                    <w:bottom w:val="none" w:sz="0" w:space="0" w:color="auto"/>
                    <w:right w:val="none" w:sz="0" w:space="0" w:color="auto"/>
                  </w:divBdr>
                  <w:divsChild>
                    <w:div w:id="1839229734">
                      <w:marLeft w:val="0"/>
                      <w:marRight w:val="0"/>
                      <w:marTop w:val="0"/>
                      <w:marBottom w:val="0"/>
                      <w:divBdr>
                        <w:top w:val="none" w:sz="0" w:space="0" w:color="auto"/>
                        <w:left w:val="none" w:sz="0" w:space="0" w:color="auto"/>
                        <w:bottom w:val="none" w:sz="0" w:space="0" w:color="auto"/>
                        <w:right w:val="none" w:sz="0" w:space="0" w:color="auto"/>
                      </w:divBdr>
                      <w:divsChild>
                        <w:div w:id="2116823903">
                          <w:marLeft w:val="0"/>
                          <w:marRight w:val="0"/>
                          <w:marTop w:val="0"/>
                          <w:marBottom w:val="0"/>
                          <w:divBdr>
                            <w:top w:val="none" w:sz="0" w:space="0" w:color="auto"/>
                            <w:left w:val="none" w:sz="0" w:space="0" w:color="auto"/>
                            <w:bottom w:val="none" w:sz="0" w:space="0" w:color="auto"/>
                            <w:right w:val="none" w:sz="0" w:space="0" w:color="auto"/>
                          </w:divBdr>
                          <w:divsChild>
                            <w:div w:id="700321194">
                              <w:marLeft w:val="0"/>
                              <w:marRight w:val="0"/>
                              <w:marTop w:val="0"/>
                              <w:marBottom w:val="0"/>
                              <w:divBdr>
                                <w:top w:val="none" w:sz="0" w:space="0" w:color="auto"/>
                                <w:left w:val="none" w:sz="0" w:space="0" w:color="auto"/>
                                <w:bottom w:val="none" w:sz="0" w:space="0" w:color="auto"/>
                                <w:right w:val="none" w:sz="0" w:space="0" w:color="auto"/>
                              </w:divBdr>
                            </w:div>
                            <w:div w:id="1183133469">
                              <w:marLeft w:val="0"/>
                              <w:marRight w:val="0"/>
                              <w:marTop w:val="0"/>
                              <w:marBottom w:val="0"/>
                              <w:divBdr>
                                <w:top w:val="none" w:sz="0" w:space="0" w:color="auto"/>
                                <w:left w:val="none" w:sz="0" w:space="0" w:color="auto"/>
                                <w:bottom w:val="none" w:sz="0" w:space="0" w:color="auto"/>
                                <w:right w:val="none" w:sz="0" w:space="0" w:color="auto"/>
                              </w:divBdr>
                              <w:divsChild>
                                <w:div w:id="12530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815703">
      <w:bodyDiv w:val="1"/>
      <w:marLeft w:val="0"/>
      <w:marRight w:val="0"/>
      <w:marTop w:val="0"/>
      <w:marBottom w:val="0"/>
      <w:divBdr>
        <w:top w:val="none" w:sz="0" w:space="0" w:color="auto"/>
        <w:left w:val="none" w:sz="0" w:space="0" w:color="auto"/>
        <w:bottom w:val="none" w:sz="0" w:space="0" w:color="auto"/>
        <w:right w:val="none" w:sz="0" w:space="0" w:color="auto"/>
      </w:divBdr>
      <w:divsChild>
        <w:div w:id="1558280010">
          <w:marLeft w:val="0"/>
          <w:marRight w:val="0"/>
          <w:marTop w:val="0"/>
          <w:marBottom w:val="0"/>
          <w:divBdr>
            <w:top w:val="none" w:sz="0" w:space="0" w:color="auto"/>
            <w:left w:val="none" w:sz="0" w:space="0" w:color="auto"/>
            <w:bottom w:val="none" w:sz="0" w:space="0" w:color="auto"/>
            <w:right w:val="none" w:sz="0" w:space="0" w:color="auto"/>
          </w:divBdr>
          <w:divsChild>
            <w:div w:id="593901738">
              <w:marLeft w:val="0"/>
              <w:marRight w:val="0"/>
              <w:marTop w:val="0"/>
              <w:marBottom w:val="0"/>
              <w:divBdr>
                <w:top w:val="none" w:sz="0" w:space="0" w:color="auto"/>
                <w:left w:val="none" w:sz="0" w:space="0" w:color="auto"/>
                <w:bottom w:val="none" w:sz="0" w:space="0" w:color="auto"/>
                <w:right w:val="none" w:sz="0" w:space="0" w:color="auto"/>
              </w:divBdr>
              <w:divsChild>
                <w:div w:id="1372220037">
                  <w:marLeft w:val="0"/>
                  <w:marRight w:val="0"/>
                  <w:marTop w:val="0"/>
                  <w:marBottom w:val="0"/>
                  <w:divBdr>
                    <w:top w:val="none" w:sz="0" w:space="0" w:color="auto"/>
                    <w:left w:val="none" w:sz="0" w:space="0" w:color="auto"/>
                    <w:bottom w:val="none" w:sz="0" w:space="0" w:color="auto"/>
                    <w:right w:val="none" w:sz="0" w:space="0" w:color="auto"/>
                  </w:divBdr>
                  <w:divsChild>
                    <w:div w:id="1773284207">
                      <w:marLeft w:val="0"/>
                      <w:marRight w:val="0"/>
                      <w:marTop w:val="0"/>
                      <w:marBottom w:val="0"/>
                      <w:divBdr>
                        <w:top w:val="none" w:sz="0" w:space="0" w:color="auto"/>
                        <w:left w:val="none" w:sz="0" w:space="0" w:color="auto"/>
                        <w:bottom w:val="none" w:sz="0" w:space="0" w:color="auto"/>
                        <w:right w:val="none" w:sz="0" w:space="0" w:color="auto"/>
                      </w:divBdr>
                      <w:divsChild>
                        <w:div w:id="1325013360">
                          <w:marLeft w:val="0"/>
                          <w:marRight w:val="0"/>
                          <w:marTop w:val="0"/>
                          <w:marBottom w:val="0"/>
                          <w:divBdr>
                            <w:top w:val="none" w:sz="0" w:space="0" w:color="auto"/>
                            <w:left w:val="none" w:sz="0" w:space="0" w:color="auto"/>
                            <w:bottom w:val="none" w:sz="0" w:space="0" w:color="auto"/>
                            <w:right w:val="none" w:sz="0" w:space="0" w:color="auto"/>
                          </w:divBdr>
                          <w:divsChild>
                            <w:div w:id="1320425556">
                              <w:marLeft w:val="0"/>
                              <w:marRight w:val="0"/>
                              <w:marTop w:val="0"/>
                              <w:marBottom w:val="0"/>
                              <w:divBdr>
                                <w:top w:val="none" w:sz="0" w:space="0" w:color="auto"/>
                                <w:left w:val="none" w:sz="0" w:space="0" w:color="auto"/>
                                <w:bottom w:val="none" w:sz="0" w:space="0" w:color="auto"/>
                                <w:right w:val="none" w:sz="0" w:space="0" w:color="auto"/>
                              </w:divBdr>
                              <w:divsChild>
                                <w:div w:id="745155542">
                                  <w:marLeft w:val="0"/>
                                  <w:marRight w:val="0"/>
                                  <w:marTop w:val="0"/>
                                  <w:marBottom w:val="0"/>
                                  <w:divBdr>
                                    <w:top w:val="none" w:sz="0" w:space="0" w:color="auto"/>
                                    <w:left w:val="none" w:sz="0" w:space="0" w:color="auto"/>
                                    <w:bottom w:val="none" w:sz="0" w:space="0" w:color="auto"/>
                                    <w:right w:val="none" w:sz="0" w:space="0" w:color="auto"/>
                                  </w:divBdr>
                                  <w:divsChild>
                                    <w:div w:id="1518690569">
                                      <w:marLeft w:val="0"/>
                                      <w:marRight w:val="0"/>
                                      <w:marTop w:val="0"/>
                                      <w:marBottom w:val="0"/>
                                      <w:divBdr>
                                        <w:top w:val="none" w:sz="0" w:space="0" w:color="auto"/>
                                        <w:left w:val="none" w:sz="0" w:space="0" w:color="auto"/>
                                        <w:bottom w:val="none" w:sz="0" w:space="0" w:color="auto"/>
                                        <w:right w:val="none" w:sz="0" w:space="0" w:color="auto"/>
                                      </w:divBdr>
                                      <w:divsChild>
                                        <w:div w:id="267397661">
                                          <w:marLeft w:val="0"/>
                                          <w:marRight w:val="0"/>
                                          <w:marTop w:val="0"/>
                                          <w:marBottom w:val="0"/>
                                          <w:divBdr>
                                            <w:top w:val="none" w:sz="0" w:space="0" w:color="auto"/>
                                            <w:left w:val="none" w:sz="0" w:space="0" w:color="auto"/>
                                            <w:bottom w:val="none" w:sz="0" w:space="0" w:color="auto"/>
                                            <w:right w:val="none" w:sz="0" w:space="0" w:color="auto"/>
                                          </w:divBdr>
                                        </w:div>
                                        <w:div w:id="1044333855">
                                          <w:marLeft w:val="0"/>
                                          <w:marRight w:val="0"/>
                                          <w:marTop w:val="0"/>
                                          <w:marBottom w:val="0"/>
                                          <w:divBdr>
                                            <w:top w:val="none" w:sz="0" w:space="0" w:color="auto"/>
                                            <w:left w:val="none" w:sz="0" w:space="0" w:color="auto"/>
                                            <w:bottom w:val="none" w:sz="0" w:space="0" w:color="auto"/>
                                            <w:right w:val="none" w:sz="0" w:space="0" w:color="auto"/>
                                          </w:divBdr>
                                          <w:divsChild>
                                            <w:div w:id="84432713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545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0723">
          <w:marLeft w:val="0"/>
          <w:marRight w:val="0"/>
          <w:marTop w:val="0"/>
          <w:marBottom w:val="0"/>
          <w:divBdr>
            <w:top w:val="none" w:sz="0" w:space="0" w:color="auto"/>
            <w:left w:val="none" w:sz="0" w:space="0" w:color="auto"/>
            <w:bottom w:val="none" w:sz="0" w:space="0" w:color="auto"/>
            <w:right w:val="none" w:sz="0" w:space="0" w:color="auto"/>
          </w:divBdr>
          <w:divsChild>
            <w:div w:id="30345152">
              <w:marLeft w:val="0"/>
              <w:marRight w:val="0"/>
              <w:marTop w:val="0"/>
              <w:marBottom w:val="0"/>
              <w:divBdr>
                <w:top w:val="none" w:sz="0" w:space="0" w:color="auto"/>
                <w:left w:val="none" w:sz="0" w:space="0" w:color="auto"/>
                <w:bottom w:val="none" w:sz="0" w:space="0" w:color="auto"/>
                <w:right w:val="none" w:sz="0" w:space="0" w:color="auto"/>
              </w:divBdr>
              <w:divsChild>
                <w:div w:id="1175923348">
                  <w:marLeft w:val="0"/>
                  <w:marRight w:val="0"/>
                  <w:marTop w:val="0"/>
                  <w:marBottom w:val="0"/>
                  <w:divBdr>
                    <w:top w:val="none" w:sz="0" w:space="0" w:color="auto"/>
                    <w:left w:val="none" w:sz="0" w:space="0" w:color="auto"/>
                    <w:bottom w:val="none" w:sz="0" w:space="0" w:color="auto"/>
                    <w:right w:val="none" w:sz="0" w:space="0" w:color="auto"/>
                  </w:divBdr>
                  <w:divsChild>
                    <w:div w:id="1224414204">
                      <w:marLeft w:val="0"/>
                      <w:marRight w:val="0"/>
                      <w:marTop w:val="300"/>
                      <w:marBottom w:val="600"/>
                      <w:divBdr>
                        <w:top w:val="none" w:sz="0" w:space="0" w:color="auto"/>
                        <w:left w:val="none" w:sz="0" w:space="0" w:color="auto"/>
                        <w:bottom w:val="none" w:sz="0" w:space="0" w:color="auto"/>
                        <w:right w:val="none" w:sz="0" w:space="0" w:color="auto"/>
                      </w:divBdr>
                      <w:divsChild>
                        <w:div w:id="2026396794">
                          <w:marLeft w:val="0"/>
                          <w:marRight w:val="0"/>
                          <w:marTop w:val="0"/>
                          <w:marBottom w:val="0"/>
                          <w:divBdr>
                            <w:top w:val="none" w:sz="0" w:space="0" w:color="auto"/>
                            <w:left w:val="none" w:sz="0" w:space="0" w:color="auto"/>
                            <w:bottom w:val="none" w:sz="0" w:space="0" w:color="auto"/>
                            <w:right w:val="none" w:sz="0" w:space="0" w:color="auto"/>
                          </w:divBdr>
                          <w:divsChild>
                            <w:div w:id="578558360">
                              <w:marLeft w:val="0"/>
                              <w:marRight w:val="0"/>
                              <w:marTop w:val="0"/>
                              <w:marBottom w:val="0"/>
                              <w:divBdr>
                                <w:top w:val="none" w:sz="0" w:space="0" w:color="auto"/>
                                <w:left w:val="none" w:sz="0" w:space="0" w:color="auto"/>
                                <w:bottom w:val="none" w:sz="0" w:space="0" w:color="auto"/>
                                <w:right w:val="none" w:sz="0" w:space="0" w:color="auto"/>
                              </w:divBdr>
                              <w:divsChild>
                                <w:div w:id="225339684">
                                  <w:marLeft w:val="0"/>
                                  <w:marRight w:val="0"/>
                                  <w:marTop w:val="0"/>
                                  <w:marBottom w:val="0"/>
                                  <w:divBdr>
                                    <w:top w:val="none" w:sz="0" w:space="0" w:color="auto"/>
                                    <w:left w:val="none" w:sz="0" w:space="0" w:color="auto"/>
                                    <w:bottom w:val="none" w:sz="0" w:space="0" w:color="auto"/>
                                    <w:right w:val="none" w:sz="0" w:space="0" w:color="auto"/>
                                  </w:divBdr>
                                  <w:divsChild>
                                    <w:div w:id="116683911">
                                      <w:marLeft w:val="0"/>
                                      <w:marRight w:val="0"/>
                                      <w:marTop w:val="150"/>
                                      <w:marBottom w:val="0"/>
                                      <w:divBdr>
                                        <w:top w:val="none" w:sz="0" w:space="0" w:color="auto"/>
                                        <w:left w:val="none" w:sz="0" w:space="0" w:color="auto"/>
                                        <w:bottom w:val="none" w:sz="0" w:space="0" w:color="auto"/>
                                        <w:right w:val="none" w:sz="0" w:space="0" w:color="auto"/>
                                      </w:divBdr>
                                      <w:divsChild>
                                        <w:div w:id="273098191">
                                          <w:marLeft w:val="0"/>
                                          <w:marRight w:val="0"/>
                                          <w:marTop w:val="0"/>
                                          <w:marBottom w:val="0"/>
                                          <w:divBdr>
                                            <w:top w:val="none" w:sz="0" w:space="0" w:color="auto"/>
                                            <w:left w:val="none" w:sz="0" w:space="0" w:color="auto"/>
                                            <w:bottom w:val="none" w:sz="0" w:space="0" w:color="auto"/>
                                            <w:right w:val="none" w:sz="0" w:space="0" w:color="auto"/>
                                          </w:divBdr>
                                          <w:divsChild>
                                            <w:div w:id="1102451227">
                                              <w:marLeft w:val="0"/>
                                              <w:marRight w:val="0"/>
                                              <w:marTop w:val="0"/>
                                              <w:marBottom w:val="0"/>
                                              <w:divBdr>
                                                <w:top w:val="none" w:sz="0" w:space="0" w:color="auto"/>
                                                <w:left w:val="none" w:sz="0" w:space="0" w:color="auto"/>
                                                <w:bottom w:val="none" w:sz="0" w:space="0" w:color="auto"/>
                                                <w:right w:val="none" w:sz="0" w:space="0" w:color="auto"/>
                                              </w:divBdr>
                                              <w:divsChild>
                                                <w:div w:id="2670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172025">
      <w:bodyDiv w:val="1"/>
      <w:marLeft w:val="0"/>
      <w:marRight w:val="0"/>
      <w:marTop w:val="0"/>
      <w:marBottom w:val="0"/>
      <w:divBdr>
        <w:top w:val="none" w:sz="0" w:space="0" w:color="auto"/>
        <w:left w:val="none" w:sz="0" w:space="0" w:color="auto"/>
        <w:bottom w:val="none" w:sz="0" w:space="0" w:color="auto"/>
        <w:right w:val="none" w:sz="0" w:space="0" w:color="auto"/>
      </w:divBdr>
      <w:divsChild>
        <w:div w:id="1569655531">
          <w:marLeft w:val="0"/>
          <w:marRight w:val="0"/>
          <w:marTop w:val="0"/>
          <w:marBottom w:val="0"/>
          <w:divBdr>
            <w:top w:val="none" w:sz="0" w:space="0" w:color="auto"/>
            <w:left w:val="none" w:sz="0" w:space="0" w:color="auto"/>
            <w:bottom w:val="none" w:sz="0" w:space="0" w:color="auto"/>
            <w:right w:val="none" w:sz="0" w:space="0" w:color="auto"/>
          </w:divBdr>
          <w:divsChild>
            <w:div w:id="595938639">
              <w:marLeft w:val="0"/>
              <w:marRight w:val="0"/>
              <w:marTop w:val="0"/>
              <w:marBottom w:val="0"/>
              <w:divBdr>
                <w:top w:val="none" w:sz="0" w:space="0" w:color="auto"/>
                <w:left w:val="none" w:sz="0" w:space="0" w:color="auto"/>
                <w:bottom w:val="none" w:sz="0" w:space="0" w:color="auto"/>
                <w:right w:val="none" w:sz="0" w:space="0" w:color="auto"/>
              </w:divBdr>
              <w:divsChild>
                <w:div w:id="14644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5908">
      <w:bodyDiv w:val="1"/>
      <w:marLeft w:val="0"/>
      <w:marRight w:val="0"/>
      <w:marTop w:val="0"/>
      <w:marBottom w:val="0"/>
      <w:divBdr>
        <w:top w:val="none" w:sz="0" w:space="0" w:color="auto"/>
        <w:left w:val="none" w:sz="0" w:space="0" w:color="auto"/>
        <w:bottom w:val="none" w:sz="0" w:space="0" w:color="auto"/>
        <w:right w:val="none" w:sz="0" w:space="0" w:color="auto"/>
      </w:divBdr>
      <w:divsChild>
        <w:div w:id="439759318">
          <w:marLeft w:val="0"/>
          <w:marRight w:val="0"/>
          <w:marTop w:val="0"/>
          <w:marBottom w:val="0"/>
          <w:divBdr>
            <w:top w:val="none" w:sz="0" w:space="0" w:color="auto"/>
            <w:left w:val="none" w:sz="0" w:space="0" w:color="auto"/>
            <w:bottom w:val="none" w:sz="0" w:space="0" w:color="auto"/>
            <w:right w:val="none" w:sz="0" w:space="0" w:color="auto"/>
          </w:divBdr>
          <w:divsChild>
            <w:div w:id="71507207">
              <w:marLeft w:val="0"/>
              <w:marRight w:val="0"/>
              <w:marTop w:val="0"/>
              <w:marBottom w:val="150"/>
              <w:divBdr>
                <w:top w:val="none" w:sz="0" w:space="0" w:color="auto"/>
                <w:left w:val="none" w:sz="0" w:space="0" w:color="auto"/>
                <w:bottom w:val="none" w:sz="0" w:space="0" w:color="auto"/>
                <w:right w:val="none" w:sz="0" w:space="0" w:color="auto"/>
              </w:divBdr>
              <w:divsChild>
                <w:div w:id="1124537162">
                  <w:marLeft w:val="0"/>
                  <w:marRight w:val="0"/>
                  <w:marTop w:val="0"/>
                  <w:marBottom w:val="210"/>
                  <w:divBdr>
                    <w:top w:val="single" w:sz="6" w:space="8" w:color="E6E6E6"/>
                    <w:left w:val="single" w:sz="6" w:space="8" w:color="E6E6E6"/>
                    <w:bottom w:val="single" w:sz="6" w:space="8" w:color="E6E6E6"/>
                    <w:right w:val="single" w:sz="6" w:space="8" w:color="E6E6E6"/>
                  </w:divBdr>
                  <w:divsChild>
                    <w:div w:id="1547254369">
                      <w:marLeft w:val="0"/>
                      <w:marRight w:val="0"/>
                      <w:marTop w:val="0"/>
                      <w:marBottom w:val="0"/>
                      <w:divBdr>
                        <w:top w:val="single" w:sz="6" w:space="8" w:color="FFFFFF"/>
                        <w:left w:val="none" w:sz="0" w:space="0" w:color="auto"/>
                        <w:bottom w:val="single" w:sz="6" w:space="8" w:color="DCE7F5"/>
                        <w:right w:val="none" w:sz="0" w:space="0" w:color="auto"/>
                      </w:divBdr>
                    </w:div>
                  </w:divsChild>
                </w:div>
              </w:divsChild>
            </w:div>
          </w:divsChild>
        </w:div>
      </w:divsChild>
    </w:div>
    <w:div w:id="1867477389">
      <w:bodyDiv w:val="1"/>
      <w:marLeft w:val="0"/>
      <w:marRight w:val="0"/>
      <w:marTop w:val="0"/>
      <w:marBottom w:val="0"/>
      <w:divBdr>
        <w:top w:val="none" w:sz="0" w:space="0" w:color="auto"/>
        <w:left w:val="none" w:sz="0" w:space="0" w:color="auto"/>
        <w:bottom w:val="none" w:sz="0" w:space="0" w:color="auto"/>
        <w:right w:val="none" w:sz="0" w:space="0" w:color="auto"/>
      </w:divBdr>
      <w:divsChild>
        <w:div w:id="1373454523">
          <w:marLeft w:val="0"/>
          <w:marRight w:val="0"/>
          <w:marTop w:val="0"/>
          <w:marBottom w:val="0"/>
          <w:divBdr>
            <w:top w:val="none" w:sz="0" w:space="0" w:color="auto"/>
            <w:left w:val="none" w:sz="0" w:space="0" w:color="auto"/>
            <w:bottom w:val="none" w:sz="0" w:space="0" w:color="auto"/>
            <w:right w:val="none" w:sz="0" w:space="0" w:color="auto"/>
          </w:divBdr>
          <w:divsChild>
            <w:div w:id="784814308">
              <w:marLeft w:val="2"/>
              <w:marRight w:val="2"/>
              <w:marTop w:val="0"/>
              <w:marBottom w:val="0"/>
              <w:divBdr>
                <w:top w:val="none" w:sz="0" w:space="0" w:color="auto"/>
                <w:left w:val="none" w:sz="0" w:space="0" w:color="auto"/>
                <w:bottom w:val="none" w:sz="0" w:space="0" w:color="auto"/>
                <w:right w:val="none" w:sz="0" w:space="0" w:color="auto"/>
              </w:divBdr>
              <w:divsChild>
                <w:div w:id="1463184102">
                  <w:marLeft w:val="0"/>
                  <w:marRight w:val="0"/>
                  <w:marTop w:val="0"/>
                  <w:marBottom w:val="0"/>
                  <w:divBdr>
                    <w:top w:val="none" w:sz="0" w:space="0" w:color="auto"/>
                    <w:left w:val="none" w:sz="0" w:space="0" w:color="auto"/>
                    <w:bottom w:val="none" w:sz="0" w:space="0" w:color="auto"/>
                    <w:right w:val="none" w:sz="0" w:space="0" w:color="auto"/>
                  </w:divBdr>
                  <w:divsChild>
                    <w:div w:id="1885562065">
                      <w:marLeft w:val="0"/>
                      <w:marRight w:val="0"/>
                      <w:marTop w:val="0"/>
                      <w:marBottom w:val="0"/>
                      <w:divBdr>
                        <w:top w:val="none" w:sz="0" w:space="0" w:color="auto"/>
                        <w:left w:val="none" w:sz="0" w:space="0" w:color="auto"/>
                        <w:bottom w:val="none" w:sz="0" w:space="0" w:color="auto"/>
                        <w:right w:val="none" w:sz="0" w:space="0" w:color="auto"/>
                      </w:divBdr>
                      <w:divsChild>
                        <w:div w:id="1135831077">
                          <w:marLeft w:val="0"/>
                          <w:marRight w:val="0"/>
                          <w:marTop w:val="0"/>
                          <w:marBottom w:val="0"/>
                          <w:divBdr>
                            <w:top w:val="none" w:sz="0" w:space="0" w:color="auto"/>
                            <w:left w:val="none" w:sz="0" w:space="0" w:color="auto"/>
                            <w:bottom w:val="none" w:sz="0" w:space="0" w:color="auto"/>
                            <w:right w:val="none" w:sz="0" w:space="0" w:color="auto"/>
                          </w:divBdr>
                          <w:divsChild>
                            <w:div w:id="259991436">
                              <w:marLeft w:val="0"/>
                              <w:marRight w:val="0"/>
                              <w:marTop w:val="0"/>
                              <w:marBottom w:val="0"/>
                              <w:divBdr>
                                <w:top w:val="none" w:sz="0" w:space="0" w:color="auto"/>
                                <w:left w:val="none" w:sz="0" w:space="0" w:color="auto"/>
                                <w:bottom w:val="none" w:sz="0" w:space="0" w:color="auto"/>
                                <w:right w:val="none" w:sz="0" w:space="0" w:color="auto"/>
                              </w:divBdr>
                              <w:divsChild>
                                <w:div w:id="1686009761">
                                  <w:marLeft w:val="0"/>
                                  <w:marRight w:val="0"/>
                                  <w:marTop w:val="0"/>
                                  <w:marBottom w:val="0"/>
                                  <w:divBdr>
                                    <w:top w:val="none" w:sz="0" w:space="0" w:color="auto"/>
                                    <w:left w:val="none" w:sz="0" w:space="0" w:color="auto"/>
                                    <w:bottom w:val="none" w:sz="0" w:space="0" w:color="auto"/>
                                    <w:right w:val="none" w:sz="0" w:space="0" w:color="auto"/>
                                  </w:divBdr>
                                  <w:divsChild>
                                    <w:div w:id="1857377199">
                                      <w:marLeft w:val="0"/>
                                      <w:marRight w:val="0"/>
                                      <w:marTop w:val="0"/>
                                      <w:marBottom w:val="0"/>
                                      <w:divBdr>
                                        <w:top w:val="none" w:sz="0" w:space="0" w:color="auto"/>
                                        <w:left w:val="none" w:sz="0" w:space="0" w:color="auto"/>
                                        <w:bottom w:val="none" w:sz="0" w:space="0" w:color="auto"/>
                                        <w:right w:val="none" w:sz="0" w:space="0" w:color="auto"/>
                                      </w:divBdr>
                                      <w:divsChild>
                                        <w:div w:id="1758164635">
                                          <w:marLeft w:val="0"/>
                                          <w:marRight w:val="0"/>
                                          <w:marTop w:val="0"/>
                                          <w:marBottom w:val="0"/>
                                          <w:divBdr>
                                            <w:top w:val="none" w:sz="0" w:space="0" w:color="auto"/>
                                            <w:left w:val="none" w:sz="0" w:space="0" w:color="auto"/>
                                            <w:bottom w:val="none" w:sz="0" w:space="0" w:color="auto"/>
                                            <w:right w:val="none" w:sz="0" w:space="0" w:color="auto"/>
                                          </w:divBdr>
                                          <w:divsChild>
                                            <w:div w:id="666128689">
                                              <w:marLeft w:val="0"/>
                                              <w:marRight w:val="0"/>
                                              <w:marTop w:val="0"/>
                                              <w:marBottom w:val="0"/>
                                              <w:divBdr>
                                                <w:top w:val="none" w:sz="0" w:space="0" w:color="auto"/>
                                                <w:left w:val="none" w:sz="0" w:space="0" w:color="auto"/>
                                                <w:bottom w:val="none" w:sz="0" w:space="0" w:color="auto"/>
                                                <w:right w:val="none" w:sz="0" w:space="0" w:color="auto"/>
                                              </w:divBdr>
                                            </w:div>
                                          </w:divsChild>
                                        </w:div>
                                        <w:div w:id="1044405403">
                                          <w:marLeft w:val="0"/>
                                          <w:marRight w:val="0"/>
                                          <w:marTop w:val="0"/>
                                          <w:marBottom w:val="0"/>
                                          <w:divBdr>
                                            <w:top w:val="none" w:sz="0" w:space="0" w:color="auto"/>
                                            <w:left w:val="none" w:sz="0" w:space="0" w:color="auto"/>
                                            <w:bottom w:val="none" w:sz="0" w:space="0" w:color="auto"/>
                                            <w:right w:val="none" w:sz="0" w:space="0" w:color="auto"/>
                                          </w:divBdr>
                                          <w:divsChild>
                                            <w:div w:id="1114904185">
                                              <w:marLeft w:val="0"/>
                                              <w:marRight w:val="0"/>
                                              <w:marTop w:val="0"/>
                                              <w:marBottom w:val="0"/>
                                              <w:divBdr>
                                                <w:top w:val="none" w:sz="0" w:space="0" w:color="auto"/>
                                                <w:left w:val="none" w:sz="0" w:space="0" w:color="auto"/>
                                                <w:bottom w:val="none" w:sz="0" w:space="0" w:color="auto"/>
                                                <w:right w:val="none" w:sz="0" w:space="0" w:color="auto"/>
                                              </w:divBdr>
                                            </w:div>
                                          </w:divsChild>
                                        </w:div>
                                        <w:div w:id="2146043835">
                                          <w:marLeft w:val="0"/>
                                          <w:marRight w:val="0"/>
                                          <w:marTop w:val="0"/>
                                          <w:marBottom w:val="0"/>
                                          <w:divBdr>
                                            <w:top w:val="none" w:sz="0" w:space="0" w:color="auto"/>
                                            <w:left w:val="none" w:sz="0" w:space="0" w:color="auto"/>
                                            <w:bottom w:val="none" w:sz="0" w:space="0" w:color="auto"/>
                                            <w:right w:val="none" w:sz="0" w:space="0" w:color="auto"/>
                                          </w:divBdr>
                                          <w:divsChild>
                                            <w:div w:id="1275669607">
                                              <w:marLeft w:val="0"/>
                                              <w:marRight w:val="0"/>
                                              <w:marTop w:val="0"/>
                                              <w:marBottom w:val="0"/>
                                              <w:divBdr>
                                                <w:top w:val="none" w:sz="0" w:space="0" w:color="auto"/>
                                                <w:left w:val="none" w:sz="0" w:space="0" w:color="auto"/>
                                                <w:bottom w:val="none" w:sz="0" w:space="0" w:color="auto"/>
                                                <w:right w:val="none" w:sz="0" w:space="0" w:color="auto"/>
                                              </w:divBdr>
                                            </w:div>
                                          </w:divsChild>
                                        </w:div>
                                        <w:div w:id="1853642514">
                                          <w:marLeft w:val="0"/>
                                          <w:marRight w:val="0"/>
                                          <w:marTop w:val="0"/>
                                          <w:marBottom w:val="0"/>
                                          <w:divBdr>
                                            <w:top w:val="none" w:sz="0" w:space="0" w:color="auto"/>
                                            <w:left w:val="none" w:sz="0" w:space="0" w:color="auto"/>
                                            <w:bottom w:val="none" w:sz="0" w:space="0" w:color="auto"/>
                                            <w:right w:val="none" w:sz="0" w:space="0" w:color="auto"/>
                                          </w:divBdr>
                                          <w:divsChild>
                                            <w:div w:id="5180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5931">
                                      <w:marLeft w:val="0"/>
                                      <w:marRight w:val="0"/>
                                      <w:marTop w:val="0"/>
                                      <w:marBottom w:val="0"/>
                                      <w:divBdr>
                                        <w:top w:val="none" w:sz="0" w:space="0" w:color="auto"/>
                                        <w:left w:val="none" w:sz="0" w:space="0" w:color="auto"/>
                                        <w:bottom w:val="none" w:sz="0" w:space="0" w:color="auto"/>
                                        <w:right w:val="none" w:sz="0" w:space="0" w:color="auto"/>
                                      </w:divBdr>
                                      <w:divsChild>
                                        <w:div w:id="935022912">
                                          <w:marLeft w:val="0"/>
                                          <w:marRight w:val="0"/>
                                          <w:marTop w:val="0"/>
                                          <w:marBottom w:val="0"/>
                                          <w:divBdr>
                                            <w:top w:val="none" w:sz="0" w:space="0" w:color="auto"/>
                                            <w:left w:val="none" w:sz="0" w:space="0" w:color="auto"/>
                                            <w:bottom w:val="none" w:sz="0" w:space="0" w:color="auto"/>
                                            <w:right w:val="none" w:sz="0" w:space="0" w:color="auto"/>
                                          </w:divBdr>
                                          <w:divsChild>
                                            <w:div w:id="335226894">
                                              <w:marLeft w:val="0"/>
                                              <w:marRight w:val="0"/>
                                              <w:marTop w:val="0"/>
                                              <w:marBottom w:val="0"/>
                                              <w:divBdr>
                                                <w:top w:val="none" w:sz="0" w:space="0" w:color="auto"/>
                                                <w:left w:val="none" w:sz="0" w:space="0" w:color="auto"/>
                                                <w:bottom w:val="none" w:sz="0" w:space="0" w:color="auto"/>
                                                <w:right w:val="none" w:sz="0" w:space="0" w:color="auto"/>
                                              </w:divBdr>
                                            </w:div>
                                          </w:divsChild>
                                        </w:div>
                                        <w:div w:id="956719188">
                                          <w:marLeft w:val="0"/>
                                          <w:marRight w:val="0"/>
                                          <w:marTop w:val="0"/>
                                          <w:marBottom w:val="0"/>
                                          <w:divBdr>
                                            <w:top w:val="none" w:sz="0" w:space="0" w:color="auto"/>
                                            <w:left w:val="none" w:sz="0" w:space="0" w:color="auto"/>
                                            <w:bottom w:val="none" w:sz="0" w:space="0" w:color="auto"/>
                                            <w:right w:val="none" w:sz="0" w:space="0" w:color="auto"/>
                                          </w:divBdr>
                                          <w:divsChild>
                                            <w:div w:id="614672578">
                                              <w:marLeft w:val="0"/>
                                              <w:marRight w:val="0"/>
                                              <w:marTop w:val="0"/>
                                              <w:marBottom w:val="0"/>
                                              <w:divBdr>
                                                <w:top w:val="none" w:sz="0" w:space="0" w:color="auto"/>
                                                <w:left w:val="none" w:sz="0" w:space="0" w:color="auto"/>
                                                <w:bottom w:val="none" w:sz="0" w:space="0" w:color="auto"/>
                                                <w:right w:val="none" w:sz="0" w:space="0" w:color="auto"/>
                                              </w:divBdr>
                                            </w:div>
                                          </w:divsChild>
                                        </w:div>
                                        <w:div w:id="1759596109">
                                          <w:marLeft w:val="0"/>
                                          <w:marRight w:val="0"/>
                                          <w:marTop w:val="0"/>
                                          <w:marBottom w:val="0"/>
                                          <w:divBdr>
                                            <w:top w:val="none" w:sz="0" w:space="0" w:color="auto"/>
                                            <w:left w:val="none" w:sz="0" w:space="0" w:color="auto"/>
                                            <w:bottom w:val="none" w:sz="0" w:space="0" w:color="auto"/>
                                            <w:right w:val="none" w:sz="0" w:space="0" w:color="auto"/>
                                          </w:divBdr>
                                          <w:divsChild>
                                            <w:div w:id="586233165">
                                              <w:marLeft w:val="0"/>
                                              <w:marRight w:val="0"/>
                                              <w:marTop w:val="0"/>
                                              <w:marBottom w:val="0"/>
                                              <w:divBdr>
                                                <w:top w:val="none" w:sz="0" w:space="0" w:color="auto"/>
                                                <w:left w:val="none" w:sz="0" w:space="0" w:color="auto"/>
                                                <w:bottom w:val="none" w:sz="0" w:space="0" w:color="auto"/>
                                                <w:right w:val="none" w:sz="0" w:space="0" w:color="auto"/>
                                              </w:divBdr>
                                            </w:div>
                                          </w:divsChild>
                                        </w:div>
                                        <w:div w:id="359863626">
                                          <w:marLeft w:val="0"/>
                                          <w:marRight w:val="0"/>
                                          <w:marTop w:val="0"/>
                                          <w:marBottom w:val="0"/>
                                          <w:divBdr>
                                            <w:top w:val="none" w:sz="0" w:space="0" w:color="auto"/>
                                            <w:left w:val="none" w:sz="0" w:space="0" w:color="auto"/>
                                            <w:bottom w:val="none" w:sz="0" w:space="0" w:color="auto"/>
                                            <w:right w:val="none" w:sz="0" w:space="0" w:color="auto"/>
                                          </w:divBdr>
                                          <w:divsChild>
                                            <w:div w:id="297954886">
                                              <w:marLeft w:val="0"/>
                                              <w:marRight w:val="0"/>
                                              <w:marTop w:val="0"/>
                                              <w:marBottom w:val="0"/>
                                              <w:divBdr>
                                                <w:top w:val="none" w:sz="0" w:space="0" w:color="auto"/>
                                                <w:left w:val="none" w:sz="0" w:space="0" w:color="auto"/>
                                                <w:bottom w:val="none" w:sz="0" w:space="0" w:color="auto"/>
                                                <w:right w:val="none" w:sz="0" w:space="0" w:color="auto"/>
                                              </w:divBdr>
                                            </w:div>
                                          </w:divsChild>
                                        </w:div>
                                        <w:div w:id="239292220">
                                          <w:marLeft w:val="0"/>
                                          <w:marRight w:val="0"/>
                                          <w:marTop w:val="0"/>
                                          <w:marBottom w:val="0"/>
                                          <w:divBdr>
                                            <w:top w:val="none" w:sz="0" w:space="0" w:color="auto"/>
                                            <w:left w:val="none" w:sz="0" w:space="0" w:color="auto"/>
                                            <w:bottom w:val="none" w:sz="0" w:space="0" w:color="auto"/>
                                            <w:right w:val="none" w:sz="0" w:space="0" w:color="auto"/>
                                          </w:divBdr>
                                          <w:divsChild>
                                            <w:div w:id="11417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9228">
                                      <w:marLeft w:val="0"/>
                                      <w:marRight w:val="0"/>
                                      <w:marTop w:val="0"/>
                                      <w:marBottom w:val="0"/>
                                      <w:divBdr>
                                        <w:top w:val="none" w:sz="0" w:space="0" w:color="auto"/>
                                        <w:left w:val="none" w:sz="0" w:space="0" w:color="auto"/>
                                        <w:bottom w:val="none" w:sz="0" w:space="0" w:color="auto"/>
                                        <w:right w:val="none" w:sz="0" w:space="0" w:color="auto"/>
                                      </w:divBdr>
                                      <w:divsChild>
                                        <w:div w:id="1575436347">
                                          <w:marLeft w:val="0"/>
                                          <w:marRight w:val="0"/>
                                          <w:marTop w:val="0"/>
                                          <w:marBottom w:val="0"/>
                                          <w:divBdr>
                                            <w:top w:val="none" w:sz="0" w:space="0" w:color="auto"/>
                                            <w:left w:val="none" w:sz="0" w:space="0" w:color="auto"/>
                                            <w:bottom w:val="none" w:sz="0" w:space="0" w:color="auto"/>
                                            <w:right w:val="none" w:sz="0" w:space="0" w:color="auto"/>
                                          </w:divBdr>
                                          <w:divsChild>
                                            <w:div w:id="1378971538">
                                              <w:marLeft w:val="0"/>
                                              <w:marRight w:val="0"/>
                                              <w:marTop w:val="0"/>
                                              <w:marBottom w:val="0"/>
                                              <w:divBdr>
                                                <w:top w:val="none" w:sz="0" w:space="0" w:color="auto"/>
                                                <w:left w:val="none" w:sz="0" w:space="0" w:color="auto"/>
                                                <w:bottom w:val="none" w:sz="0" w:space="0" w:color="auto"/>
                                                <w:right w:val="none" w:sz="0" w:space="0" w:color="auto"/>
                                              </w:divBdr>
                                            </w:div>
                                          </w:divsChild>
                                        </w:div>
                                        <w:div w:id="1591542236">
                                          <w:marLeft w:val="0"/>
                                          <w:marRight w:val="0"/>
                                          <w:marTop w:val="0"/>
                                          <w:marBottom w:val="0"/>
                                          <w:divBdr>
                                            <w:top w:val="none" w:sz="0" w:space="0" w:color="auto"/>
                                            <w:left w:val="none" w:sz="0" w:space="0" w:color="auto"/>
                                            <w:bottom w:val="none" w:sz="0" w:space="0" w:color="auto"/>
                                            <w:right w:val="none" w:sz="0" w:space="0" w:color="auto"/>
                                          </w:divBdr>
                                          <w:divsChild>
                                            <w:div w:id="1144542950">
                                              <w:marLeft w:val="0"/>
                                              <w:marRight w:val="0"/>
                                              <w:marTop w:val="0"/>
                                              <w:marBottom w:val="0"/>
                                              <w:divBdr>
                                                <w:top w:val="none" w:sz="0" w:space="0" w:color="auto"/>
                                                <w:left w:val="none" w:sz="0" w:space="0" w:color="auto"/>
                                                <w:bottom w:val="none" w:sz="0" w:space="0" w:color="auto"/>
                                                <w:right w:val="none" w:sz="0" w:space="0" w:color="auto"/>
                                              </w:divBdr>
                                            </w:div>
                                          </w:divsChild>
                                        </w:div>
                                        <w:div w:id="765925735">
                                          <w:marLeft w:val="0"/>
                                          <w:marRight w:val="0"/>
                                          <w:marTop w:val="0"/>
                                          <w:marBottom w:val="0"/>
                                          <w:divBdr>
                                            <w:top w:val="none" w:sz="0" w:space="0" w:color="auto"/>
                                            <w:left w:val="none" w:sz="0" w:space="0" w:color="auto"/>
                                            <w:bottom w:val="none" w:sz="0" w:space="0" w:color="auto"/>
                                            <w:right w:val="none" w:sz="0" w:space="0" w:color="auto"/>
                                          </w:divBdr>
                                          <w:divsChild>
                                            <w:div w:id="1429227816">
                                              <w:marLeft w:val="0"/>
                                              <w:marRight w:val="0"/>
                                              <w:marTop w:val="0"/>
                                              <w:marBottom w:val="0"/>
                                              <w:divBdr>
                                                <w:top w:val="none" w:sz="0" w:space="0" w:color="auto"/>
                                                <w:left w:val="none" w:sz="0" w:space="0" w:color="auto"/>
                                                <w:bottom w:val="none" w:sz="0" w:space="0" w:color="auto"/>
                                                <w:right w:val="none" w:sz="0" w:space="0" w:color="auto"/>
                                              </w:divBdr>
                                            </w:div>
                                          </w:divsChild>
                                        </w:div>
                                        <w:div w:id="493302298">
                                          <w:marLeft w:val="0"/>
                                          <w:marRight w:val="0"/>
                                          <w:marTop w:val="0"/>
                                          <w:marBottom w:val="0"/>
                                          <w:divBdr>
                                            <w:top w:val="none" w:sz="0" w:space="0" w:color="auto"/>
                                            <w:left w:val="none" w:sz="0" w:space="0" w:color="auto"/>
                                            <w:bottom w:val="none" w:sz="0" w:space="0" w:color="auto"/>
                                            <w:right w:val="none" w:sz="0" w:space="0" w:color="auto"/>
                                          </w:divBdr>
                                          <w:divsChild>
                                            <w:div w:id="265695973">
                                              <w:marLeft w:val="0"/>
                                              <w:marRight w:val="0"/>
                                              <w:marTop w:val="0"/>
                                              <w:marBottom w:val="0"/>
                                              <w:divBdr>
                                                <w:top w:val="none" w:sz="0" w:space="0" w:color="auto"/>
                                                <w:left w:val="none" w:sz="0" w:space="0" w:color="auto"/>
                                                <w:bottom w:val="none" w:sz="0" w:space="0" w:color="auto"/>
                                                <w:right w:val="none" w:sz="0" w:space="0" w:color="auto"/>
                                              </w:divBdr>
                                            </w:div>
                                          </w:divsChild>
                                        </w:div>
                                        <w:div w:id="728498332">
                                          <w:marLeft w:val="0"/>
                                          <w:marRight w:val="0"/>
                                          <w:marTop w:val="0"/>
                                          <w:marBottom w:val="0"/>
                                          <w:divBdr>
                                            <w:top w:val="none" w:sz="0" w:space="0" w:color="auto"/>
                                            <w:left w:val="none" w:sz="0" w:space="0" w:color="auto"/>
                                            <w:bottom w:val="none" w:sz="0" w:space="0" w:color="auto"/>
                                            <w:right w:val="none" w:sz="0" w:space="0" w:color="auto"/>
                                          </w:divBdr>
                                          <w:divsChild>
                                            <w:div w:id="864296166">
                                              <w:marLeft w:val="0"/>
                                              <w:marRight w:val="0"/>
                                              <w:marTop w:val="0"/>
                                              <w:marBottom w:val="0"/>
                                              <w:divBdr>
                                                <w:top w:val="none" w:sz="0" w:space="0" w:color="auto"/>
                                                <w:left w:val="none" w:sz="0" w:space="0" w:color="auto"/>
                                                <w:bottom w:val="none" w:sz="0" w:space="0" w:color="auto"/>
                                                <w:right w:val="none" w:sz="0" w:space="0" w:color="auto"/>
                                              </w:divBdr>
                                            </w:div>
                                          </w:divsChild>
                                        </w:div>
                                        <w:div w:id="904993337">
                                          <w:marLeft w:val="0"/>
                                          <w:marRight w:val="0"/>
                                          <w:marTop w:val="0"/>
                                          <w:marBottom w:val="0"/>
                                          <w:divBdr>
                                            <w:top w:val="none" w:sz="0" w:space="0" w:color="auto"/>
                                            <w:left w:val="none" w:sz="0" w:space="0" w:color="auto"/>
                                            <w:bottom w:val="none" w:sz="0" w:space="0" w:color="auto"/>
                                            <w:right w:val="none" w:sz="0" w:space="0" w:color="auto"/>
                                          </w:divBdr>
                                          <w:divsChild>
                                            <w:div w:id="15457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7889">
                                      <w:marLeft w:val="0"/>
                                      <w:marRight w:val="0"/>
                                      <w:marTop w:val="0"/>
                                      <w:marBottom w:val="0"/>
                                      <w:divBdr>
                                        <w:top w:val="none" w:sz="0" w:space="0" w:color="auto"/>
                                        <w:left w:val="none" w:sz="0" w:space="0" w:color="auto"/>
                                        <w:bottom w:val="none" w:sz="0" w:space="0" w:color="auto"/>
                                        <w:right w:val="none" w:sz="0" w:space="0" w:color="auto"/>
                                      </w:divBdr>
                                      <w:divsChild>
                                        <w:div w:id="2110393411">
                                          <w:marLeft w:val="0"/>
                                          <w:marRight w:val="0"/>
                                          <w:marTop w:val="0"/>
                                          <w:marBottom w:val="0"/>
                                          <w:divBdr>
                                            <w:top w:val="none" w:sz="0" w:space="0" w:color="auto"/>
                                            <w:left w:val="none" w:sz="0" w:space="0" w:color="auto"/>
                                            <w:bottom w:val="none" w:sz="0" w:space="0" w:color="auto"/>
                                            <w:right w:val="none" w:sz="0" w:space="0" w:color="auto"/>
                                          </w:divBdr>
                                          <w:divsChild>
                                            <w:div w:id="1920406739">
                                              <w:marLeft w:val="0"/>
                                              <w:marRight w:val="0"/>
                                              <w:marTop w:val="0"/>
                                              <w:marBottom w:val="0"/>
                                              <w:divBdr>
                                                <w:top w:val="none" w:sz="0" w:space="0" w:color="auto"/>
                                                <w:left w:val="none" w:sz="0" w:space="0" w:color="auto"/>
                                                <w:bottom w:val="none" w:sz="0" w:space="0" w:color="auto"/>
                                                <w:right w:val="none" w:sz="0" w:space="0" w:color="auto"/>
                                              </w:divBdr>
                                            </w:div>
                                          </w:divsChild>
                                        </w:div>
                                        <w:div w:id="1538008618">
                                          <w:marLeft w:val="0"/>
                                          <w:marRight w:val="0"/>
                                          <w:marTop w:val="0"/>
                                          <w:marBottom w:val="0"/>
                                          <w:divBdr>
                                            <w:top w:val="none" w:sz="0" w:space="0" w:color="auto"/>
                                            <w:left w:val="none" w:sz="0" w:space="0" w:color="auto"/>
                                            <w:bottom w:val="none" w:sz="0" w:space="0" w:color="auto"/>
                                            <w:right w:val="none" w:sz="0" w:space="0" w:color="auto"/>
                                          </w:divBdr>
                                          <w:divsChild>
                                            <w:div w:id="1774520243">
                                              <w:marLeft w:val="0"/>
                                              <w:marRight w:val="0"/>
                                              <w:marTop w:val="0"/>
                                              <w:marBottom w:val="0"/>
                                              <w:divBdr>
                                                <w:top w:val="none" w:sz="0" w:space="0" w:color="auto"/>
                                                <w:left w:val="none" w:sz="0" w:space="0" w:color="auto"/>
                                                <w:bottom w:val="none" w:sz="0" w:space="0" w:color="auto"/>
                                                <w:right w:val="none" w:sz="0" w:space="0" w:color="auto"/>
                                              </w:divBdr>
                                            </w:div>
                                          </w:divsChild>
                                        </w:div>
                                        <w:div w:id="625083888">
                                          <w:marLeft w:val="0"/>
                                          <w:marRight w:val="0"/>
                                          <w:marTop w:val="0"/>
                                          <w:marBottom w:val="0"/>
                                          <w:divBdr>
                                            <w:top w:val="none" w:sz="0" w:space="0" w:color="auto"/>
                                            <w:left w:val="none" w:sz="0" w:space="0" w:color="auto"/>
                                            <w:bottom w:val="none" w:sz="0" w:space="0" w:color="auto"/>
                                            <w:right w:val="none" w:sz="0" w:space="0" w:color="auto"/>
                                          </w:divBdr>
                                          <w:divsChild>
                                            <w:div w:id="712075409">
                                              <w:marLeft w:val="0"/>
                                              <w:marRight w:val="0"/>
                                              <w:marTop w:val="0"/>
                                              <w:marBottom w:val="0"/>
                                              <w:divBdr>
                                                <w:top w:val="none" w:sz="0" w:space="0" w:color="auto"/>
                                                <w:left w:val="none" w:sz="0" w:space="0" w:color="auto"/>
                                                <w:bottom w:val="none" w:sz="0" w:space="0" w:color="auto"/>
                                                <w:right w:val="none" w:sz="0" w:space="0" w:color="auto"/>
                                              </w:divBdr>
                                            </w:div>
                                          </w:divsChild>
                                        </w:div>
                                        <w:div w:id="1790934793">
                                          <w:marLeft w:val="0"/>
                                          <w:marRight w:val="0"/>
                                          <w:marTop w:val="0"/>
                                          <w:marBottom w:val="0"/>
                                          <w:divBdr>
                                            <w:top w:val="none" w:sz="0" w:space="0" w:color="auto"/>
                                            <w:left w:val="none" w:sz="0" w:space="0" w:color="auto"/>
                                            <w:bottom w:val="none" w:sz="0" w:space="0" w:color="auto"/>
                                            <w:right w:val="none" w:sz="0" w:space="0" w:color="auto"/>
                                          </w:divBdr>
                                          <w:divsChild>
                                            <w:div w:id="1444886198">
                                              <w:marLeft w:val="0"/>
                                              <w:marRight w:val="0"/>
                                              <w:marTop w:val="0"/>
                                              <w:marBottom w:val="0"/>
                                              <w:divBdr>
                                                <w:top w:val="none" w:sz="0" w:space="0" w:color="auto"/>
                                                <w:left w:val="none" w:sz="0" w:space="0" w:color="auto"/>
                                                <w:bottom w:val="none" w:sz="0" w:space="0" w:color="auto"/>
                                                <w:right w:val="none" w:sz="0" w:space="0" w:color="auto"/>
                                              </w:divBdr>
                                            </w:div>
                                          </w:divsChild>
                                        </w:div>
                                        <w:div w:id="1207062880">
                                          <w:marLeft w:val="0"/>
                                          <w:marRight w:val="0"/>
                                          <w:marTop w:val="0"/>
                                          <w:marBottom w:val="0"/>
                                          <w:divBdr>
                                            <w:top w:val="none" w:sz="0" w:space="0" w:color="auto"/>
                                            <w:left w:val="none" w:sz="0" w:space="0" w:color="auto"/>
                                            <w:bottom w:val="none" w:sz="0" w:space="0" w:color="auto"/>
                                            <w:right w:val="none" w:sz="0" w:space="0" w:color="auto"/>
                                          </w:divBdr>
                                          <w:divsChild>
                                            <w:div w:id="6294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6295">
                                      <w:marLeft w:val="0"/>
                                      <w:marRight w:val="0"/>
                                      <w:marTop w:val="0"/>
                                      <w:marBottom w:val="0"/>
                                      <w:divBdr>
                                        <w:top w:val="none" w:sz="0" w:space="0" w:color="auto"/>
                                        <w:left w:val="none" w:sz="0" w:space="0" w:color="auto"/>
                                        <w:bottom w:val="none" w:sz="0" w:space="0" w:color="auto"/>
                                        <w:right w:val="none" w:sz="0" w:space="0" w:color="auto"/>
                                      </w:divBdr>
                                      <w:divsChild>
                                        <w:div w:id="1012418569">
                                          <w:marLeft w:val="0"/>
                                          <w:marRight w:val="0"/>
                                          <w:marTop w:val="0"/>
                                          <w:marBottom w:val="0"/>
                                          <w:divBdr>
                                            <w:top w:val="none" w:sz="0" w:space="0" w:color="auto"/>
                                            <w:left w:val="none" w:sz="0" w:space="0" w:color="auto"/>
                                            <w:bottom w:val="none" w:sz="0" w:space="0" w:color="auto"/>
                                            <w:right w:val="none" w:sz="0" w:space="0" w:color="auto"/>
                                          </w:divBdr>
                                          <w:divsChild>
                                            <w:div w:id="1455445300">
                                              <w:marLeft w:val="0"/>
                                              <w:marRight w:val="0"/>
                                              <w:marTop w:val="0"/>
                                              <w:marBottom w:val="0"/>
                                              <w:divBdr>
                                                <w:top w:val="none" w:sz="0" w:space="0" w:color="auto"/>
                                                <w:left w:val="none" w:sz="0" w:space="0" w:color="auto"/>
                                                <w:bottom w:val="none" w:sz="0" w:space="0" w:color="auto"/>
                                                <w:right w:val="none" w:sz="0" w:space="0" w:color="auto"/>
                                              </w:divBdr>
                                            </w:div>
                                          </w:divsChild>
                                        </w:div>
                                        <w:div w:id="1166625310">
                                          <w:marLeft w:val="0"/>
                                          <w:marRight w:val="0"/>
                                          <w:marTop w:val="0"/>
                                          <w:marBottom w:val="0"/>
                                          <w:divBdr>
                                            <w:top w:val="none" w:sz="0" w:space="0" w:color="auto"/>
                                            <w:left w:val="none" w:sz="0" w:space="0" w:color="auto"/>
                                            <w:bottom w:val="none" w:sz="0" w:space="0" w:color="auto"/>
                                            <w:right w:val="none" w:sz="0" w:space="0" w:color="auto"/>
                                          </w:divBdr>
                                          <w:divsChild>
                                            <w:div w:id="657155611">
                                              <w:marLeft w:val="0"/>
                                              <w:marRight w:val="0"/>
                                              <w:marTop w:val="0"/>
                                              <w:marBottom w:val="0"/>
                                              <w:divBdr>
                                                <w:top w:val="none" w:sz="0" w:space="0" w:color="auto"/>
                                                <w:left w:val="none" w:sz="0" w:space="0" w:color="auto"/>
                                                <w:bottom w:val="none" w:sz="0" w:space="0" w:color="auto"/>
                                                <w:right w:val="none" w:sz="0" w:space="0" w:color="auto"/>
                                              </w:divBdr>
                                            </w:div>
                                          </w:divsChild>
                                        </w:div>
                                        <w:div w:id="1326517281">
                                          <w:marLeft w:val="0"/>
                                          <w:marRight w:val="0"/>
                                          <w:marTop w:val="0"/>
                                          <w:marBottom w:val="0"/>
                                          <w:divBdr>
                                            <w:top w:val="none" w:sz="0" w:space="0" w:color="auto"/>
                                            <w:left w:val="none" w:sz="0" w:space="0" w:color="auto"/>
                                            <w:bottom w:val="none" w:sz="0" w:space="0" w:color="auto"/>
                                            <w:right w:val="none" w:sz="0" w:space="0" w:color="auto"/>
                                          </w:divBdr>
                                          <w:divsChild>
                                            <w:div w:id="2134596810">
                                              <w:marLeft w:val="0"/>
                                              <w:marRight w:val="0"/>
                                              <w:marTop w:val="0"/>
                                              <w:marBottom w:val="0"/>
                                              <w:divBdr>
                                                <w:top w:val="none" w:sz="0" w:space="0" w:color="auto"/>
                                                <w:left w:val="none" w:sz="0" w:space="0" w:color="auto"/>
                                                <w:bottom w:val="none" w:sz="0" w:space="0" w:color="auto"/>
                                                <w:right w:val="none" w:sz="0" w:space="0" w:color="auto"/>
                                              </w:divBdr>
                                            </w:div>
                                          </w:divsChild>
                                        </w:div>
                                        <w:div w:id="1702172172">
                                          <w:marLeft w:val="0"/>
                                          <w:marRight w:val="0"/>
                                          <w:marTop w:val="0"/>
                                          <w:marBottom w:val="0"/>
                                          <w:divBdr>
                                            <w:top w:val="none" w:sz="0" w:space="0" w:color="auto"/>
                                            <w:left w:val="none" w:sz="0" w:space="0" w:color="auto"/>
                                            <w:bottom w:val="none" w:sz="0" w:space="0" w:color="auto"/>
                                            <w:right w:val="none" w:sz="0" w:space="0" w:color="auto"/>
                                          </w:divBdr>
                                          <w:divsChild>
                                            <w:div w:id="13097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0057">
                                      <w:marLeft w:val="0"/>
                                      <w:marRight w:val="0"/>
                                      <w:marTop w:val="0"/>
                                      <w:marBottom w:val="0"/>
                                      <w:divBdr>
                                        <w:top w:val="none" w:sz="0" w:space="0" w:color="auto"/>
                                        <w:left w:val="none" w:sz="0" w:space="0" w:color="auto"/>
                                        <w:bottom w:val="none" w:sz="0" w:space="0" w:color="auto"/>
                                        <w:right w:val="none" w:sz="0" w:space="0" w:color="auto"/>
                                      </w:divBdr>
                                      <w:divsChild>
                                        <w:div w:id="691688276">
                                          <w:marLeft w:val="0"/>
                                          <w:marRight w:val="0"/>
                                          <w:marTop w:val="0"/>
                                          <w:marBottom w:val="0"/>
                                          <w:divBdr>
                                            <w:top w:val="none" w:sz="0" w:space="0" w:color="auto"/>
                                            <w:left w:val="none" w:sz="0" w:space="0" w:color="auto"/>
                                            <w:bottom w:val="none" w:sz="0" w:space="0" w:color="auto"/>
                                            <w:right w:val="none" w:sz="0" w:space="0" w:color="auto"/>
                                          </w:divBdr>
                                          <w:divsChild>
                                            <w:div w:id="1493721473">
                                              <w:marLeft w:val="0"/>
                                              <w:marRight w:val="0"/>
                                              <w:marTop w:val="0"/>
                                              <w:marBottom w:val="0"/>
                                              <w:divBdr>
                                                <w:top w:val="none" w:sz="0" w:space="0" w:color="auto"/>
                                                <w:left w:val="none" w:sz="0" w:space="0" w:color="auto"/>
                                                <w:bottom w:val="none" w:sz="0" w:space="0" w:color="auto"/>
                                                <w:right w:val="none" w:sz="0" w:space="0" w:color="auto"/>
                                              </w:divBdr>
                                            </w:div>
                                          </w:divsChild>
                                        </w:div>
                                        <w:div w:id="1593204686">
                                          <w:marLeft w:val="0"/>
                                          <w:marRight w:val="0"/>
                                          <w:marTop w:val="0"/>
                                          <w:marBottom w:val="0"/>
                                          <w:divBdr>
                                            <w:top w:val="none" w:sz="0" w:space="0" w:color="auto"/>
                                            <w:left w:val="none" w:sz="0" w:space="0" w:color="auto"/>
                                            <w:bottom w:val="none" w:sz="0" w:space="0" w:color="auto"/>
                                            <w:right w:val="none" w:sz="0" w:space="0" w:color="auto"/>
                                          </w:divBdr>
                                          <w:divsChild>
                                            <w:div w:id="1349716678">
                                              <w:marLeft w:val="0"/>
                                              <w:marRight w:val="0"/>
                                              <w:marTop w:val="0"/>
                                              <w:marBottom w:val="0"/>
                                              <w:divBdr>
                                                <w:top w:val="none" w:sz="0" w:space="0" w:color="auto"/>
                                                <w:left w:val="none" w:sz="0" w:space="0" w:color="auto"/>
                                                <w:bottom w:val="none" w:sz="0" w:space="0" w:color="auto"/>
                                                <w:right w:val="none" w:sz="0" w:space="0" w:color="auto"/>
                                              </w:divBdr>
                                            </w:div>
                                          </w:divsChild>
                                        </w:div>
                                        <w:div w:id="756484283">
                                          <w:marLeft w:val="0"/>
                                          <w:marRight w:val="0"/>
                                          <w:marTop w:val="0"/>
                                          <w:marBottom w:val="0"/>
                                          <w:divBdr>
                                            <w:top w:val="none" w:sz="0" w:space="0" w:color="auto"/>
                                            <w:left w:val="none" w:sz="0" w:space="0" w:color="auto"/>
                                            <w:bottom w:val="none" w:sz="0" w:space="0" w:color="auto"/>
                                            <w:right w:val="none" w:sz="0" w:space="0" w:color="auto"/>
                                          </w:divBdr>
                                          <w:divsChild>
                                            <w:div w:id="413672365">
                                              <w:marLeft w:val="0"/>
                                              <w:marRight w:val="0"/>
                                              <w:marTop w:val="0"/>
                                              <w:marBottom w:val="0"/>
                                              <w:divBdr>
                                                <w:top w:val="none" w:sz="0" w:space="0" w:color="auto"/>
                                                <w:left w:val="none" w:sz="0" w:space="0" w:color="auto"/>
                                                <w:bottom w:val="none" w:sz="0" w:space="0" w:color="auto"/>
                                                <w:right w:val="none" w:sz="0" w:space="0" w:color="auto"/>
                                              </w:divBdr>
                                            </w:div>
                                          </w:divsChild>
                                        </w:div>
                                        <w:div w:id="100271944">
                                          <w:marLeft w:val="0"/>
                                          <w:marRight w:val="0"/>
                                          <w:marTop w:val="0"/>
                                          <w:marBottom w:val="0"/>
                                          <w:divBdr>
                                            <w:top w:val="none" w:sz="0" w:space="0" w:color="auto"/>
                                            <w:left w:val="none" w:sz="0" w:space="0" w:color="auto"/>
                                            <w:bottom w:val="none" w:sz="0" w:space="0" w:color="auto"/>
                                            <w:right w:val="none" w:sz="0" w:space="0" w:color="auto"/>
                                          </w:divBdr>
                                          <w:divsChild>
                                            <w:div w:id="1819566707">
                                              <w:marLeft w:val="0"/>
                                              <w:marRight w:val="0"/>
                                              <w:marTop w:val="0"/>
                                              <w:marBottom w:val="0"/>
                                              <w:divBdr>
                                                <w:top w:val="none" w:sz="0" w:space="0" w:color="auto"/>
                                                <w:left w:val="none" w:sz="0" w:space="0" w:color="auto"/>
                                                <w:bottom w:val="none" w:sz="0" w:space="0" w:color="auto"/>
                                                <w:right w:val="none" w:sz="0" w:space="0" w:color="auto"/>
                                              </w:divBdr>
                                            </w:div>
                                          </w:divsChild>
                                        </w:div>
                                        <w:div w:id="1184129776">
                                          <w:marLeft w:val="0"/>
                                          <w:marRight w:val="0"/>
                                          <w:marTop w:val="0"/>
                                          <w:marBottom w:val="0"/>
                                          <w:divBdr>
                                            <w:top w:val="none" w:sz="0" w:space="0" w:color="auto"/>
                                            <w:left w:val="none" w:sz="0" w:space="0" w:color="auto"/>
                                            <w:bottom w:val="none" w:sz="0" w:space="0" w:color="auto"/>
                                            <w:right w:val="none" w:sz="0" w:space="0" w:color="auto"/>
                                          </w:divBdr>
                                          <w:divsChild>
                                            <w:div w:id="13587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298">
                                      <w:marLeft w:val="0"/>
                                      <w:marRight w:val="0"/>
                                      <w:marTop w:val="0"/>
                                      <w:marBottom w:val="0"/>
                                      <w:divBdr>
                                        <w:top w:val="none" w:sz="0" w:space="0" w:color="auto"/>
                                        <w:left w:val="none" w:sz="0" w:space="0" w:color="auto"/>
                                        <w:bottom w:val="none" w:sz="0" w:space="0" w:color="auto"/>
                                        <w:right w:val="none" w:sz="0" w:space="0" w:color="auto"/>
                                      </w:divBdr>
                                      <w:divsChild>
                                        <w:div w:id="806581410">
                                          <w:marLeft w:val="0"/>
                                          <w:marRight w:val="0"/>
                                          <w:marTop w:val="0"/>
                                          <w:marBottom w:val="0"/>
                                          <w:divBdr>
                                            <w:top w:val="none" w:sz="0" w:space="0" w:color="auto"/>
                                            <w:left w:val="none" w:sz="0" w:space="0" w:color="auto"/>
                                            <w:bottom w:val="none" w:sz="0" w:space="0" w:color="auto"/>
                                            <w:right w:val="none" w:sz="0" w:space="0" w:color="auto"/>
                                          </w:divBdr>
                                          <w:divsChild>
                                            <w:div w:id="1867135685">
                                              <w:marLeft w:val="0"/>
                                              <w:marRight w:val="0"/>
                                              <w:marTop w:val="0"/>
                                              <w:marBottom w:val="0"/>
                                              <w:divBdr>
                                                <w:top w:val="none" w:sz="0" w:space="0" w:color="auto"/>
                                                <w:left w:val="none" w:sz="0" w:space="0" w:color="auto"/>
                                                <w:bottom w:val="none" w:sz="0" w:space="0" w:color="auto"/>
                                                <w:right w:val="none" w:sz="0" w:space="0" w:color="auto"/>
                                              </w:divBdr>
                                            </w:div>
                                          </w:divsChild>
                                        </w:div>
                                        <w:div w:id="1391466907">
                                          <w:marLeft w:val="0"/>
                                          <w:marRight w:val="0"/>
                                          <w:marTop w:val="0"/>
                                          <w:marBottom w:val="0"/>
                                          <w:divBdr>
                                            <w:top w:val="none" w:sz="0" w:space="0" w:color="auto"/>
                                            <w:left w:val="none" w:sz="0" w:space="0" w:color="auto"/>
                                            <w:bottom w:val="none" w:sz="0" w:space="0" w:color="auto"/>
                                            <w:right w:val="none" w:sz="0" w:space="0" w:color="auto"/>
                                          </w:divBdr>
                                          <w:divsChild>
                                            <w:div w:id="89592558">
                                              <w:marLeft w:val="0"/>
                                              <w:marRight w:val="0"/>
                                              <w:marTop w:val="0"/>
                                              <w:marBottom w:val="0"/>
                                              <w:divBdr>
                                                <w:top w:val="none" w:sz="0" w:space="0" w:color="auto"/>
                                                <w:left w:val="none" w:sz="0" w:space="0" w:color="auto"/>
                                                <w:bottom w:val="none" w:sz="0" w:space="0" w:color="auto"/>
                                                <w:right w:val="none" w:sz="0" w:space="0" w:color="auto"/>
                                              </w:divBdr>
                                            </w:div>
                                          </w:divsChild>
                                        </w:div>
                                        <w:div w:id="549923783">
                                          <w:marLeft w:val="0"/>
                                          <w:marRight w:val="0"/>
                                          <w:marTop w:val="0"/>
                                          <w:marBottom w:val="0"/>
                                          <w:divBdr>
                                            <w:top w:val="none" w:sz="0" w:space="0" w:color="auto"/>
                                            <w:left w:val="none" w:sz="0" w:space="0" w:color="auto"/>
                                            <w:bottom w:val="none" w:sz="0" w:space="0" w:color="auto"/>
                                            <w:right w:val="none" w:sz="0" w:space="0" w:color="auto"/>
                                          </w:divBdr>
                                          <w:divsChild>
                                            <w:div w:id="1481270523">
                                              <w:marLeft w:val="0"/>
                                              <w:marRight w:val="0"/>
                                              <w:marTop w:val="0"/>
                                              <w:marBottom w:val="0"/>
                                              <w:divBdr>
                                                <w:top w:val="none" w:sz="0" w:space="0" w:color="auto"/>
                                                <w:left w:val="none" w:sz="0" w:space="0" w:color="auto"/>
                                                <w:bottom w:val="none" w:sz="0" w:space="0" w:color="auto"/>
                                                <w:right w:val="none" w:sz="0" w:space="0" w:color="auto"/>
                                              </w:divBdr>
                                            </w:div>
                                          </w:divsChild>
                                        </w:div>
                                        <w:div w:id="650866514">
                                          <w:marLeft w:val="0"/>
                                          <w:marRight w:val="0"/>
                                          <w:marTop w:val="0"/>
                                          <w:marBottom w:val="0"/>
                                          <w:divBdr>
                                            <w:top w:val="none" w:sz="0" w:space="0" w:color="auto"/>
                                            <w:left w:val="none" w:sz="0" w:space="0" w:color="auto"/>
                                            <w:bottom w:val="none" w:sz="0" w:space="0" w:color="auto"/>
                                            <w:right w:val="none" w:sz="0" w:space="0" w:color="auto"/>
                                          </w:divBdr>
                                          <w:divsChild>
                                            <w:div w:id="277445194">
                                              <w:marLeft w:val="0"/>
                                              <w:marRight w:val="0"/>
                                              <w:marTop w:val="0"/>
                                              <w:marBottom w:val="0"/>
                                              <w:divBdr>
                                                <w:top w:val="none" w:sz="0" w:space="0" w:color="auto"/>
                                                <w:left w:val="none" w:sz="0" w:space="0" w:color="auto"/>
                                                <w:bottom w:val="none" w:sz="0" w:space="0" w:color="auto"/>
                                                <w:right w:val="none" w:sz="0" w:space="0" w:color="auto"/>
                                              </w:divBdr>
                                            </w:div>
                                          </w:divsChild>
                                        </w:div>
                                        <w:div w:id="644819798">
                                          <w:marLeft w:val="0"/>
                                          <w:marRight w:val="0"/>
                                          <w:marTop w:val="0"/>
                                          <w:marBottom w:val="0"/>
                                          <w:divBdr>
                                            <w:top w:val="none" w:sz="0" w:space="0" w:color="auto"/>
                                            <w:left w:val="none" w:sz="0" w:space="0" w:color="auto"/>
                                            <w:bottom w:val="none" w:sz="0" w:space="0" w:color="auto"/>
                                            <w:right w:val="none" w:sz="0" w:space="0" w:color="auto"/>
                                          </w:divBdr>
                                          <w:divsChild>
                                            <w:div w:id="944768638">
                                              <w:marLeft w:val="0"/>
                                              <w:marRight w:val="0"/>
                                              <w:marTop w:val="0"/>
                                              <w:marBottom w:val="0"/>
                                              <w:divBdr>
                                                <w:top w:val="none" w:sz="0" w:space="0" w:color="auto"/>
                                                <w:left w:val="none" w:sz="0" w:space="0" w:color="auto"/>
                                                <w:bottom w:val="none" w:sz="0" w:space="0" w:color="auto"/>
                                                <w:right w:val="none" w:sz="0" w:space="0" w:color="auto"/>
                                              </w:divBdr>
                                            </w:div>
                                          </w:divsChild>
                                        </w:div>
                                        <w:div w:id="520322686">
                                          <w:marLeft w:val="0"/>
                                          <w:marRight w:val="0"/>
                                          <w:marTop w:val="0"/>
                                          <w:marBottom w:val="0"/>
                                          <w:divBdr>
                                            <w:top w:val="none" w:sz="0" w:space="0" w:color="auto"/>
                                            <w:left w:val="none" w:sz="0" w:space="0" w:color="auto"/>
                                            <w:bottom w:val="none" w:sz="0" w:space="0" w:color="auto"/>
                                            <w:right w:val="none" w:sz="0" w:space="0" w:color="auto"/>
                                          </w:divBdr>
                                          <w:divsChild>
                                            <w:div w:id="5356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0843">
                                      <w:marLeft w:val="0"/>
                                      <w:marRight w:val="0"/>
                                      <w:marTop w:val="0"/>
                                      <w:marBottom w:val="0"/>
                                      <w:divBdr>
                                        <w:top w:val="none" w:sz="0" w:space="0" w:color="auto"/>
                                        <w:left w:val="none" w:sz="0" w:space="0" w:color="auto"/>
                                        <w:bottom w:val="none" w:sz="0" w:space="0" w:color="auto"/>
                                        <w:right w:val="none" w:sz="0" w:space="0" w:color="auto"/>
                                      </w:divBdr>
                                      <w:divsChild>
                                        <w:div w:id="797459396">
                                          <w:marLeft w:val="0"/>
                                          <w:marRight w:val="0"/>
                                          <w:marTop w:val="0"/>
                                          <w:marBottom w:val="0"/>
                                          <w:divBdr>
                                            <w:top w:val="none" w:sz="0" w:space="0" w:color="auto"/>
                                            <w:left w:val="none" w:sz="0" w:space="0" w:color="auto"/>
                                            <w:bottom w:val="none" w:sz="0" w:space="0" w:color="auto"/>
                                            <w:right w:val="none" w:sz="0" w:space="0" w:color="auto"/>
                                          </w:divBdr>
                                          <w:divsChild>
                                            <w:div w:id="206724601">
                                              <w:marLeft w:val="0"/>
                                              <w:marRight w:val="0"/>
                                              <w:marTop w:val="0"/>
                                              <w:marBottom w:val="0"/>
                                              <w:divBdr>
                                                <w:top w:val="none" w:sz="0" w:space="0" w:color="auto"/>
                                                <w:left w:val="none" w:sz="0" w:space="0" w:color="auto"/>
                                                <w:bottom w:val="none" w:sz="0" w:space="0" w:color="auto"/>
                                                <w:right w:val="none" w:sz="0" w:space="0" w:color="auto"/>
                                              </w:divBdr>
                                            </w:div>
                                          </w:divsChild>
                                        </w:div>
                                        <w:div w:id="401174242">
                                          <w:marLeft w:val="0"/>
                                          <w:marRight w:val="0"/>
                                          <w:marTop w:val="0"/>
                                          <w:marBottom w:val="0"/>
                                          <w:divBdr>
                                            <w:top w:val="none" w:sz="0" w:space="0" w:color="auto"/>
                                            <w:left w:val="none" w:sz="0" w:space="0" w:color="auto"/>
                                            <w:bottom w:val="none" w:sz="0" w:space="0" w:color="auto"/>
                                            <w:right w:val="none" w:sz="0" w:space="0" w:color="auto"/>
                                          </w:divBdr>
                                          <w:divsChild>
                                            <w:div w:id="1236086641">
                                              <w:marLeft w:val="0"/>
                                              <w:marRight w:val="0"/>
                                              <w:marTop w:val="0"/>
                                              <w:marBottom w:val="0"/>
                                              <w:divBdr>
                                                <w:top w:val="none" w:sz="0" w:space="0" w:color="auto"/>
                                                <w:left w:val="none" w:sz="0" w:space="0" w:color="auto"/>
                                                <w:bottom w:val="none" w:sz="0" w:space="0" w:color="auto"/>
                                                <w:right w:val="none" w:sz="0" w:space="0" w:color="auto"/>
                                              </w:divBdr>
                                            </w:div>
                                          </w:divsChild>
                                        </w:div>
                                        <w:div w:id="1473249286">
                                          <w:marLeft w:val="0"/>
                                          <w:marRight w:val="0"/>
                                          <w:marTop w:val="0"/>
                                          <w:marBottom w:val="0"/>
                                          <w:divBdr>
                                            <w:top w:val="none" w:sz="0" w:space="0" w:color="auto"/>
                                            <w:left w:val="none" w:sz="0" w:space="0" w:color="auto"/>
                                            <w:bottom w:val="none" w:sz="0" w:space="0" w:color="auto"/>
                                            <w:right w:val="none" w:sz="0" w:space="0" w:color="auto"/>
                                          </w:divBdr>
                                          <w:divsChild>
                                            <w:div w:id="1830900153">
                                              <w:marLeft w:val="0"/>
                                              <w:marRight w:val="0"/>
                                              <w:marTop w:val="0"/>
                                              <w:marBottom w:val="0"/>
                                              <w:divBdr>
                                                <w:top w:val="none" w:sz="0" w:space="0" w:color="auto"/>
                                                <w:left w:val="none" w:sz="0" w:space="0" w:color="auto"/>
                                                <w:bottom w:val="none" w:sz="0" w:space="0" w:color="auto"/>
                                                <w:right w:val="none" w:sz="0" w:space="0" w:color="auto"/>
                                              </w:divBdr>
                                            </w:div>
                                          </w:divsChild>
                                        </w:div>
                                        <w:div w:id="401217995">
                                          <w:marLeft w:val="0"/>
                                          <w:marRight w:val="0"/>
                                          <w:marTop w:val="0"/>
                                          <w:marBottom w:val="0"/>
                                          <w:divBdr>
                                            <w:top w:val="none" w:sz="0" w:space="0" w:color="auto"/>
                                            <w:left w:val="none" w:sz="0" w:space="0" w:color="auto"/>
                                            <w:bottom w:val="none" w:sz="0" w:space="0" w:color="auto"/>
                                            <w:right w:val="none" w:sz="0" w:space="0" w:color="auto"/>
                                          </w:divBdr>
                                          <w:divsChild>
                                            <w:div w:id="2070104897">
                                              <w:marLeft w:val="0"/>
                                              <w:marRight w:val="0"/>
                                              <w:marTop w:val="0"/>
                                              <w:marBottom w:val="0"/>
                                              <w:divBdr>
                                                <w:top w:val="none" w:sz="0" w:space="0" w:color="auto"/>
                                                <w:left w:val="none" w:sz="0" w:space="0" w:color="auto"/>
                                                <w:bottom w:val="none" w:sz="0" w:space="0" w:color="auto"/>
                                                <w:right w:val="none" w:sz="0" w:space="0" w:color="auto"/>
                                              </w:divBdr>
                                            </w:div>
                                          </w:divsChild>
                                        </w:div>
                                        <w:div w:id="96600348">
                                          <w:marLeft w:val="0"/>
                                          <w:marRight w:val="0"/>
                                          <w:marTop w:val="0"/>
                                          <w:marBottom w:val="0"/>
                                          <w:divBdr>
                                            <w:top w:val="none" w:sz="0" w:space="0" w:color="auto"/>
                                            <w:left w:val="none" w:sz="0" w:space="0" w:color="auto"/>
                                            <w:bottom w:val="none" w:sz="0" w:space="0" w:color="auto"/>
                                            <w:right w:val="none" w:sz="0" w:space="0" w:color="auto"/>
                                          </w:divBdr>
                                          <w:divsChild>
                                            <w:div w:id="199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9411">
                                      <w:marLeft w:val="0"/>
                                      <w:marRight w:val="0"/>
                                      <w:marTop w:val="0"/>
                                      <w:marBottom w:val="0"/>
                                      <w:divBdr>
                                        <w:top w:val="none" w:sz="0" w:space="0" w:color="auto"/>
                                        <w:left w:val="none" w:sz="0" w:space="0" w:color="auto"/>
                                        <w:bottom w:val="none" w:sz="0" w:space="0" w:color="auto"/>
                                        <w:right w:val="none" w:sz="0" w:space="0" w:color="auto"/>
                                      </w:divBdr>
                                      <w:divsChild>
                                        <w:div w:id="1467504613">
                                          <w:marLeft w:val="0"/>
                                          <w:marRight w:val="0"/>
                                          <w:marTop w:val="0"/>
                                          <w:marBottom w:val="0"/>
                                          <w:divBdr>
                                            <w:top w:val="none" w:sz="0" w:space="0" w:color="auto"/>
                                            <w:left w:val="none" w:sz="0" w:space="0" w:color="auto"/>
                                            <w:bottom w:val="none" w:sz="0" w:space="0" w:color="auto"/>
                                            <w:right w:val="none" w:sz="0" w:space="0" w:color="auto"/>
                                          </w:divBdr>
                                          <w:divsChild>
                                            <w:div w:id="666979452">
                                              <w:marLeft w:val="0"/>
                                              <w:marRight w:val="0"/>
                                              <w:marTop w:val="0"/>
                                              <w:marBottom w:val="0"/>
                                              <w:divBdr>
                                                <w:top w:val="none" w:sz="0" w:space="0" w:color="auto"/>
                                                <w:left w:val="none" w:sz="0" w:space="0" w:color="auto"/>
                                                <w:bottom w:val="none" w:sz="0" w:space="0" w:color="auto"/>
                                                <w:right w:val="none" w:sz="0" w:space="0" w:color="auto"/>
                                              </w:divBdr>
                                            </w:div>
                                          </w:divsChild>
                                        </w:div>
                                        <w:div w:id="1395464698">
                                          <w:marLeft w:val="0"/>
                                          <w:marRight w:val="0"/>
                                          <w:marTop w:val="0"/>
                                          <w:marBottom w:val="0"/>
                                          <w:divBdr>
                                            <w:top w:val="none" w:sz="0" w:space="0" w:color="auto"/>
                                            <w:left w:val="none" w:sz="0" w:space="0" w:color="auto"/>
                                            <w:bottom w:val="none" w:sz="0" w:space="0" w:color="auto"/>
                                            <w:right w:val="none" w:sz="0" w:space="0" w:color="auto"/>
                                          </w:divBdr>
                                          <w:divsChild>
                                            <w:div w:id="174391875">
                                              <w:marLeft w:val="0"/>
                                              <w:marRight w:val="0"/>
                                              <w:marTop w:val="0"/>
                                              <w:marBottom w:val="0"/>
                                              <w:divBdr>
                                                <w:top w:val="none" w:sz="0" w:space="0" w:color="auto"/>
                                                <w:left w:val="none" w:sz="0" w:space="0" w:color="auto"/>
                                                <w:bottom w:val="none" w:sz="0" w:space="0" w:color="auto"/>
                                                <w:right w:val="none" w:sz="0" w:space="0" w:color="auto"/>
                                              </w:divBdr>
                                            </w:div>
                                          </w:divsChild>
                                        </w:div>
                                        <w:div w:id="162165834">
                                          <w:marLeft w:val="0"/>
                                          <w:marRight w:val="0"/>
                                          <w:marTop w:val="0"/>
                                          <w:marBottom w:val="0"/>
                                          <w:divBdr>
                                            <w:top w:val="none" w:sz="0" w:space="0" w:color="auto"/>
                                            <w:left w:val="none" w:sz="0" w:space="0" w:color="auto"/>
                                            <w:bottom w:val="none" w:sz="0" w:space="0" w:color="auto"/>
                                            <w:right w:val="none" w:sz="0" w:space="0" w:color="auto"/>
                                          </w:divBdr>
                                          <w:divsChild>
                                            <w:div w:id="587426040">
                                              <w:marLeft w:val="0"/>
                                              <w:marRight w:val="0"/>
                                              <w:marTop w:val="0"/>
                                              <w:marBottom w:val="0"/>
                                              <w:divBdr>
                                                <w:top w:val="none" w:sz="0" w:space="0" w:color="auto"/>
                                                <w:left w:val="none" w:sz="0" w:space="0" w:color="auto"/>
                                                <w:bottom w:val="none" w:sz="0" w:space="0" w:color="auto"/>
                                                <w:right w:val="none" w:sz="0" w:space="0" w:color="auto"/>
                                              </w:divBdr>
                                            </w:div>
                                          </w:divsChild>
                                        </w:div>
                                        <w:div w:id="1441990027">
                                          <w:marLeft w:val="0"/>
                                          <w:marRight w:val="0"/>
                                          <w:marTop w:val="0"/>
                                          <w:marBottom w:val="0"/>
                                          <w:divBdr>
                                            <w:top w:val="none" w:sz="0" w:space="0" w:color="auto"/>
                                            <w:left w:val="none" w:sz="0" w:space="0" w:color="auto"/>
                                            <w:bottom w:val="none" w:sz="0" w:space="0" w:color="auto"/>
                                            <w:right w:val="none" w:sz="0" w:space="0" w:color="auto"/>
                                          </w:divBdr>
                                          <w:divsChild>
                                            <w:div w:id="18652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7810">
                                      <w:marLeft w:val="0"/>
                                      <w:marRight w:val="0"/>
                                      <w:marTop w:val="0"/>
                                      <w:marBottom w:val="0"/>
                                      <w:divBdr>
                                        <w:top w:val="none" w:sz="0" w:space="0" w:color="auto"/>
                                        <w:left w:val="none" w:sz="0" w:space="0" w:color="auto"/>
                                        <w:bottom w:val="none" w:sz="0" w:space="0" w:color="auto"/>
                                        <w:right w:val="none" w:sz="0" w:space="0" w:color="auto"/>
                                      </w:divBdr>
                                      <w:divsChild>
                                        <w:div w:id="1328678929">
                                          <w:marLeft w:val="0"/>
                                          <w:marRight w:val="0"/>
                                          <w:marTop w:val="0"/>
                                          <w:marBottom w:val="0"/>
                                          <w:divBdr>
                                            <w:top w:val="none" w:sz="0" w:space="0" w:color="auto"/>
                                            <w:left w:val="none" w:sz="0" w:space="0" w:color="auto"/>
                                            <w:bottom w:val="none" w:sz="0" w:space="0" w:color="auto"/>
                                            <w:right w:val="none" w:sz="0" w:space="0" w:color="auto"/>
                                          </w:divBdr>
                                          <w:divsChild>
                                            <w:div w:id="1975210108">
                                              <w:marLeft w:val="0"/>
                                              <w:marRight w:val="0"/>
                                              <w:marTop w:val="0"/>
                                              <w:marBottom w:val="0"/>
                                              <w:divBdr>
                                                <w:top w:val="none" w:sz="0" w:space="0" w:color="auto"/>
                                                <w:left w:val="none" w:sz="0" w:space="0" w:color="auto"/>
                                                <w:bottom w:val="none" w:sz="0" w:space="0" w:color="auto"/>
                                                <w:right w:val="none" w:sz="0" w:space="0" w:color="auto"/>
                                              </w:divBdr>
                                            </w:div>
                                          </w:divsChild>
                                        </w:div>
                                        <w:div w:id="344791180">
                                          <w:marLeft w:val="0"/>
                                          <w:marRight w:val="0"/>
                                          <w:marTop w:val="0"/>
                                          <w:marBottom w:val="0"/>
                                          <w:divBdr>
                                            <w:top w:val="none" w:sz="0" w:space="0" w:color="auto"/>
                                            <w:left w:val="none" w:sz="0" w:space="0" w:color="auto"/>
                                            <w:bottom w:val="none" w:sz="0" w:space="0" w:color="auto"/>
                                            <w:right w:val="none" w:sz="0" w:space="0" w:color="auto"/>
                                          </w:divBdr>
                                          <w:divsChild>
                                            <w:div w:id="222105668">
                                              <w:marLeft w:val="0"/>
                                              <w:marRight w:val="0"/>
                                              <w:marTop w:val="0"/>
                                              <w:marBottom w:val="0"/>
                                              <w:divBdr>
                                                <w:top w:val="none" w:sz="0" w:space="0" w:color="auto"/>
                                                <w:left w:val="none" w:sz="0" w:space="0" w:color="auto"/>
                                                <w:bottom w:val="none" w:sz="0" w:space="0" w:color="auto"/>
                                                <w:right w:val="none" w:sz="0" w:space="0" w:color="auto"/>
                                              </w:divBdr>
                                            </w:div>
                                          </w:divsChild>
                                        </w:div>
                                        <w:div w:id="1692410031">
                                          <w:marLeft w:val="0"/>
                                          <w:marRight w:val="0"/>
                                          <w:marTop w:val="0"/>
                                          <w:marBottom w:val="0"/>
                                          <w:divBdr>
                                            <w:top w:val="none" w:sz="0" w:space="0" w:color="auto"/>
                                            <w:left w:val="none" w:sz="0" w:space="0" w:color="auto"/>
                                            <w:bottom w:val="none" w:sz="0" w:space="0" w:color="auto"/>
                                            <w:right w:val="none" w:sz="0" w:space="0" w:color="auto"/>
                                          </w:divBdr>
                                          <w:divsChild>
                                            <w:div w:id="1150170685">
                                              <w:marLeft w:val="0"/>
                                              <w:marRight w:val="0"/>
                                              <w:marTop w:val="0"/>
                                              <w:marBottom w:val="0"/>
                                              <w:divBdr>
                                                <w:top w:val="none" w:sz="0" w:space="0" w:color="auto"/>
                                                <w:left w:val="none" w:sz="0" w:space="0" w:color="auto"/>
                                                <w:bottom w:val="none" w:sz="0" w:space="0" w:color="auto"/>
                                                <w:right w:val="none" w:sz="0" w:space="0" w:color="auto"/>
                                              </w:divBdr>
                                            </w:div>
                                          </w:divsChild>
                                        </w:div>
                                        <w:div w:id="847476690">
                                          <w:marLeft w:val="0"/>
                                          <w:marRight w:val="0"/>
                                          <w:marTop w:val="0"/>
                                          <w:marBottom w:val="0"/>
                                          <w:divBdr>
                                            <w:top w:val="none" w:sz="0" w:space="0" w:color="auto"/>
                                            <w:left w:val="none" w:sz="0" w:space="0" w:color="auto"/>
                                            <w:bottom w:val="none" w:sz="0" w:space="0" w:color="auto"/>
                                            <w:right w:val="none" w:sz="0" w:space="0" w:color="auto"/>
                                          </w:divBdr>
                                          <w:divsChild>
                                            <w:div w:id="1801340244">
                                              <w:marLeft w:val="0"/>
                                              <w:marRight w:val="0"/>
                                              <w:marTop w:val="0"/>
                                              <w:marBottom w:val="0"/>
                                              <w:divBdr>
                                                <w:top w:val="none" w:sz="0" w:space="0" w:color="auto"/>
                                                <w:left w:val="none" w:sz="0" w:space="0" w:color="auto"/>
                                                <w:bottom w:val="none" w:sz="0" w:space="0" w:color="auto"/>
                                                <w:right w:val="none" w:sz="0" w:space="0" w:color="auto"/>
                                              </w:divBdr>
                                            </w:div>
                                          </w:divsChild>
                                        </w:div>
                                        <w:div w:id="491027366">
                                          <w:marLeft w:val="0"/>
                                          <w:marRight w:val="0"/>
                                          <w:marTop w:val="0"/>
                                          <w:marBottom w:val="0"/>
                                          <w:divBdr>
                                            <w:top w:val="none" w:sz="0" w:space="0" w:color="auto"/>
                                            <w:left w:val="none" w:sz="0" w:space="0" w:color="auto"/>
                                            <w:bottom w:val="none" w:sz="0" w:space="0" w:color="auto"/>
                                            <w:right w:val="none" w:sz="0" w:space="0" w:color="auto"/>
                                          </w:divBdr>
                                          <w:divsChild>
                                            <w:div w:id="14305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523914">
      <w:bodyDiv w:val="1"/>
      <w:marLeft w:val="0"/>
      <w:marRight w:val="0"/>
      <w:marTop w:val="0"/>
      <w:marBottom w:val="0"/>
      <w:divBdr>
        <w:top w:val="none" w:sz="0" w:space="0" w:color="auto"/>
        <w:left w:val="none" w:sz="0" w:space="0" w:color="auto"/>
        <w:bottom w:val="none" w:sz="0" w:space="0" w:color="auto"/>
        <w:right w:val="none" w:sz="0" w:space="0" w:color="auto"/>
      </w:divBdr>
      <w:divsChild>
        <w:div w:id="510995996">
          <w:marLeft w:val="0"/>
          <w:marRight w:val="0"/>
          <w:marTop w:val="0"/>
          <w:marBottom w:val="0"/>
          <w:divBdr>
            <w:top w:val="none" w:sz="0" w:space="0" w:color="auto"/>
            <w:left w:val="none" w:sz="0" w:space="0" w:color="auto"/>
            <w:bottom w:val="none" w:sz="0" w:space="0" w:color="auto"/>
            <w:right w:val="none" w:sz="0" w:space="0" w:color="auto"/>
          </w:divBdr>
          <w:divsChild>
            <w:div w:id="1597519069">
              <w:marLeft w:val="0"/>
              <w:marRight w:val="0"/>
              <w:marTop w:val="0"/>
              <w:marBottom w:val="0"/>
              <w:divBdr>
                <w:top w:val="none" w:sz="0" w:space="0" w:color="auto"/>
                <w:left w:val="none" w:sz="0" w:space="0" w:color="auto"/>
                <w:bottom w:val="none" w:sz="0" w:space="0" w:color="auto"/>
                <w:right w:val="none" w:sz="0" w:space="0" w:color="auto"/>
              </w:divBdr>
              <w:divsChild>
                <w:div w:id="1730879960">
                  <w:marLeft w:val="0"/>
                  <w:marRight w:val="0"/>
                  <w:marTop w:val="0"/>
                  <w:marBottom w:val="0"/>
                  <w:divBdr>
                    <w:top w:val="none" w:sz="0" w:space="0" w:color="auto"/>
                    <w:left w:val="none" w:sz="0" w:space="0" w:color="auto"/>
                    <w:bottom w:val="none" w:sz="0" w:space="0" w:color="auto"/>
                    <w:right w:val="none" w:sz="0" w:space="0" w:color="auto"/>
                  </w:divBdr>
                  <w:divsChild>
                    <w:div w:id="1670669302">
                      <w:marLeft w:val="0"/>
                      <w:marRight w:val="0"/>
                      <w:marTop w:val="0"/>
                      <w:marBottom w:val="0"/>
                      <w:divBdr>
                        <w:top w:val="none" w:sz="0" w:space="0" w:color="auto"/>
                        <w:left w:val="none" w:sz="0" w:space="0" w:color="auto"/>
                        <w:bottom w:val="none" w:sz="0" w:space="0" w:color="auto"/>
                        <w:right w:val="none" w:sz="0" w:space="0" w:color="auto"/>
                      </w:divBdr>
                      <w:divsChild>
                        <w:div w:id="196965987">
                          <w:marLeft w:val="0"/>
                          <w:marRight w:val="0"/>
                          <w:marTop w:val="0"/>
                          <w:marBottom w:val="0"/>
                          <w:divBdr>
                            <w:top w:val="none" w:sz="0" w:space="0" w:color="auto"/>
                            <w:left w:val="none" w:sz="0" w:space="0" w:color="auto"/>
                            <w:bottom w:val="none" w:sz="0" w:space="0" w:color="auto"/>
                            <w:right w:val="none" w:sz="0" w:space="0" w:color="auto"/>
                          </w:divBdr>
                          <w:divsChild>
                            <w:div w:id="1708916993">
                              <w:marLeft w:val="570"/>
                              <w:marRight w:val="720"/>
                              <w:marTop w:val="120"/>
                              <w:marBottom w:val="120"/>
                              <w:divBdr>
                                <w:top w:val="none" w:sz="0" w:space="0" w:color="auto"/>
                                <w:left w:val="none" w:sz="0" w:space="0" w:color="auto"/>
                                <w:bottom w:val="none" w:sz="0" w:space="0" w:color="auto"/>
                                <w:right w:val="none" w:sz="0" w:space="0" w:color="auto"/>
                              </w:divBdr>
                              <w:divsChild>
                                <w:div w:id="718940502">
                                  <w:marLeft w:val="0"/>
                                  <w:marRight w:val="0"/>
                                  <w:marTop w:val="0"/>
                                  <w:marBottom w:val="0"/>
                                  <w:divBdr>
                                    <w:top w:val="none" w:sz="0" w:space="0" w:color="auto"/>
                                    <w:left w:val="none" w:sz="0" w:space="0" w:color="auto"/>
                                    <w:bottom w:val="none" w:sz="0" w:space="0" w:color="auto"/>
                                    <w:right w:val="none" w:sz="0" w:space="0" w:color="auto"/>
                                  </w:divBdr>
                                  <w:divsChild>
                                    <w:div w:id="1496647398">
                                      <w:marLeft w:val="0"/>
                                      <w:marRight w:val="0"/>
                                      <w:marTop w:val="0"/>
                                      <w:marBottom w:val="0"/>
                                      <w:divBdr>
                                        <w:top w:val="none" w:sz="0" w:space="0" w:color="auto"/>
                                        <w:left w:val="none" w:sz="0" w:space="0" w:color="auto"/>
                                        <w:bottom w:val="none" w:sz="0" w:space="0" w:color="auto"/>
                                        <w:right w:val="none" w:sz="0" w:space="0" w:color="auto"/>
                                      </w:divBdr>
                                      <w:divsChild>
                                        <w:div w:id="1667202890">
                                          <w:marLeft w:val="0"/>
                                          <w:marRight w:val="0"/>
                                          <w:marTop w:val="0"/>
                                          <w:marBottom w:val="150"/>
                                          <w:divBdr>
                                            <w:top w:val="none" w:sz="0" w:space="0" w:color="auto"/>
                                            <w:left w:val="none" w:sz="0" w:space="0" w:color="auto"/>
                                            <w:bottom w:val="none" w:sz="0" w:space="0" w:color="auto"/>
                                            <w:right w:val="none" w:sz="0" w:space="0" w:color="auto"/>
                                          </w:divBdr>
                                          <w:divsChild>
                                            <w:div w:id="1942493805">
                                              <w:marLeft w:val="0"/>
                                              <w:marRight w:val="0"/>
                                              <w:marTop w:val="0"/>
                                              <w:marBottom w:val="0"/>
                                              <w:divBdr>
                                                <w:top w:val="none" w:sz="0" w:space="0" w:color="auto"/>
                                                <w:left w:val="none" w:sz="0" w:space="0" w:color="auto"/>
                                                <w:bottom w:val="none" w:sz="0" w:space="0" w:color="auto"/>
                                                <w:right w:val="none" w:sz="0" w:space="0" w:color="auto"/>
                                              </w:divBdr>
                                              <w:divsChild>
                                                <w:div w:id="15853400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9218043">
      <w:bodyDiv w:val="1"/>
      <w:marLeft w:val="0"/>
      <w:marRight w:val="0"/>
      <w:marTop w:val="0"/>
      <w:marBottom w:val="0"/>
      <w:divBdr>
        <w:top w:val="none" w:sz="0" w:space="0" w:color="auto"/>
        <w:left w:val="none" w:sz="0" w:space="0" w:color="auto"/>
        <w:bottom w:val="none" w:sz="0" w:space="0" w:color="auto"/>
        <w:right w:val="none" w:sz="0" w:space="0" w:color="auto"/>
      </w:divBdr>
    </w:div>
    <w:div w:id="1869441797">
      <w:bodyDiv w:val="1"/>
      <w:marLeft w:val="0"/>
      <w:marRight w:val="0"/>
      <w:marTop w:val="0"/>
      <w:marBottom w:val="0"/>
      <w:divBdr>
        <w:top w:val="none" w:sz="0" w:space="0" w:color="auto"/>
        <w:left w:val="none" w:sz="0" w:space="0" w:color="auto"/>
        <w:bottom w:val="none" w:sz="0" w:space="0" w:color="auto"/>
        <w:right w:val="none" w:sz="0" w:space="0" w:color="auto"/>
      </w:divBdr>
      <w:divsChild>
        <w:div w:id="661733950">
          <w:marLeft w:val="0"/>
          <w:marRight w:val="0"/>
          <w:marTop w:val="0"/>
          <w:marBottom w:val="0"/>
          <w:divBdr>
            <w:top w:val="none" w:sz="0" w:space="0" w:color="auto"/>
            <w:left w:val="none" w:sz="0" w:space="0" w:color="auto"/>
            <w:bottom w:val="single" w:sz="6" w:space="0" w:color="3D3D3D"/>
            <w:right w:val="none" w:sz="0" w:space="0" w:color="auto"/>
          </w:divBdr>
          <w:divsChild>
            <w:div w:id="687096130">
              <w:marLeft w:val="0"/>
              <w:marRight w:val="0"/>
              <w:marTop w:val="0"/>
              <w:marBottom w:val="0"/>
              <w:divBdr>
                <w:top w:val="none" w:sz="0" w:space="0" w:color="auto"/>
                <w:left w:val="none" w:sz="0" w:space="0" w:color="auto"/>
                <w:bottom w:val="none" w:sz="0" w:space="0" w:color="auto"/>
                <w:right w:val="none" w:sz="0" w:space="0" w:color="auto"/>
              </w:divBdr>
              <w:divsChild>
                <w:div w:id="1820338343">
                  <w:marLeft w:val="0"/>
                  <w:marRight w:val="0"/>
                  <w:marTop w:val="0"/>
                  <w:marBottom w:val="0"/>
                  <w:divBdr>
                    <w:top w:val="none" w:sz="0" w:space="0" w:color="auto"/>
                    <w:left w:val="none" w:sz="0" w:space="0" w:color="auto"/>
                    <w:bottom w:val="none" w:sz="0" w:space="0" w:color="auto"/>
                    <w:right w:val="none" w:sz="0" w:space="0" w:color="auto"/>
                  </w:divBdr>
                  <w:divsChild>
                    <w:div w:id="7686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44859">
      <w:bodyDiv w:val="1"/>
      <w:marLeft w:val="0"/>
      <w:marRight w:val="0"/>
      <w:marTop w:val="0"/>
      <w:marBottom w:val="0"/>
      <w:divBdr>
        <w:top w:val="none" w:sz="0" w:space="0" w:color="auto"/>
        <w:left w:val="none" w:sz="0" w:space="0" w:color="auto"/>
        <w:bottom w:val="none" w:sz="0" w:space="0" w:color="auto"/>
        <w:right w:val="none" w:sz="0" w:space="0" w:color="auto"/>
      </w:divBdr>
    </w:div>
    <w:div w:id="1870407679">
      <w:bodyDiv w:val="1"/>
      <w:marLeft w:val="0"/>
      <w:marRight w:val="0"/>
      <w:marTop w:val="0"/>
      <w:marBottom w:val="0"/>
      <w:divBdr>
        <w:top w:val="none" w:sz="0" w:space="0" w:color="auto"/>
        <w:left w:val="none" w:sz="0" w:space="0" w:color="auto"/>
        <w:bottom w:val="none" w:sz="0" w:space="0" w:color="auto"/>
        <w:right w:val="none" w:sz="0" w:space="0" w:color="auto"/>
      </w:divBdr>
      <w:divsChild>
        <w:div w:id="1047994903">
          <w:marLeft w:val="0"/>
          <w:marRight w:val="0"/>
          <w:marTop w:val="0"/>
          <w:marBottom w:val="0"/>
          <w:divBdr>
            <w:top w:val="none" w:sz="0" w:space="0" w:color="auto"/>
            <w:left w:val="none" w:sz="0" w:space="0" w:color="auto"/>
            <w:bottom w:val="none" w:sz="0" w:space="0" w:color="auto"/>
            <w:right w:val="none" w:sz="0" w:space="0" w:color="auto"/>
          </w:divBdr>
          <w:divsChild>
            <w:div w:id="1621296894">
              <w:marLeft w:val="0"/>
              <w:marRight w:val="0"/>
              <w:marTop w:val="0"/>
              <w:marBottom w:val="0"/>
              <w:divBdr>
                <w:top w:val="none" w:sz="0" w:space="0" w:color="auto"/>
                <w:left w:val="none" w:sz="0" w:space="0" w:color="auto"/>
                <w:bottom w:val="none" w:sz="0" w:space="0" w:color="auto"/>
                <w:right w:val="none" w:sz="0" w:space="0" w:color="auto"/>
              </w:divBdr>
              <w:divsChild>
                <w:div w:id="602152658">
                  <w:marLeft w:val="0"/>
                  <w:marRight w:val="0"/>
                  <w:marTop w:val="0"/>
                  <w:marBottom w:val="0"/>
                  <w:divBdr>
                    <w:top w:val="none" w:sz="0" w:space="0" w:color="auto"/>
                    <w:left w:val="none" w:sz="0" w:space="0" w:color="auto"/>
                    <w:bottom w:val="none" w:sz="0" w:space="0" w:color="auto"/>
                    <w:right w:val="none" w:sz="0" w:space="0" w:color="auto"/>
                  </w:divBdr>
                  <w:divsChild>
                    <w:div w:id="294337831">
                      <w:marLeft w:val="0"/>
                      <w:marRight w:val="0"/>
                      <w:marTop w:val="0"/>
                      <w:marBottom w:val="0"/>
                      <w:divBdr>
                        <w:top w:val="none" w:sz="0" w:space="0" w:color="auto"/>
                        <w:left w:val="none" w:sz="0" w:space="0" w:color="auto"/>
                        <w:bottom w:val="none" w:sz="0" w:space="0" w:color="auto"/>
                        <w:right w:val="none" w:sz="0" w:space="0" w:color="auto"/>
                      </w:divBdr>
                      <w:divsChild>
                        <w:div w:id="1349671085">
                          <w:marLeft w:val="0"/>
                          <w:marRight w:val="0"/>
                          <w:marTop w:val="0"/>
                          <w:marBottom w:val="0"/>
                          <w:divBdr>
                            <w:top w:val="none" w:sz="0" w:space="0" w:color="auto"/>
                            <w:left w:val="none" w:sz="0" w:space="0" w:color="auto"/>
                            <w:bottom w:val="none" w:sz="0" w:space="0" w:color="auto"/>
                            <w:right w:val="none" w:sz="0" w:space="0" w:color="auto"/>
                          </w:divBdr>
                          <w:divsChild>
                            <w:div w:id="83455796">
                              <w:marLeft w:val="570"/>
                              <w:marRight w:val="720"/>
                              <w:marTop w:val="120"/>
                              <w:marBottom w:val="120"/>
                              <w:divBdr>
                                <w:top w:val="none" w:sz="0" w:space="0" w:color="auto"/>
                                <w:left w:val="none" w:sz="0" w:space="0" w:color="auto"/>
                                <w:bottom w:val="none" w:sz="0" w:space="0" w:color="auto"/>
                                <w:right w:val="none" w:sz="0" w:space="0" w:color="auto"/>
                              </w:divBdr>
                              <w:divsChild>
                                <w:div w:id="950165220">
                                  <w:marLeft w:val="0"/>
                                  <w:marRight w:val="0"/>
                                  <w:marTop w:val="0"/>
                                  <w:marBottom w:val="0"/>
                                  <w:divBdr>
                                    <w:top w:val="none" w:sz="0" w:space="0" w:color="auto"/>
                                    <w:left w:val="none" w:sz="0" w:space="0" w:color="auto"/>
                                    <w:bottom w:val="none" w:sz="0" w:space="0" w:color="auto"/>
                                    <w:right w:val="none" w:sz="0" w:space="0" w:color="auto"/>
                                  </w:divBdr>
                                  <w:divsChild>
                                    <w:div w:id="2056922613">
                                      <w:marLeft w:val="0"/>
                                      <w:marRight w:val="0"/>
                                      <w:marTop w:val="0"/>
                                      <w:marBottom w:val="0"/>
                                      <w:divBdr>
                                        <w:top w:val="none" w:sz="0" w:space="0" w:color="auto"/>
                                        <w:left w:val="none" w:sz="0" w:space="0" w:color="auto"/>
                                        <w:bottom w:val="none" w:sz="0" w:space="0" w:color="auto"/>
                                        <w:right w:val="none" w:sz="0" w:space="0" w:color="auto"/>
                                      </w:divBdr>
                                      <w:divsChild>
                                        <w:div w:id="1600867219">
                                          <w:marLeft w:val="0"/>
                                          <w:marRight w:val="0"/>
                                          <w:marTop w:val="0"/>
                                          <w:marBottom w:val="0"/>
                                          <w:divBdr>
                                            <w:top w:val="none" w:sz="0" w:space="0" w:color="auto"/>
                                            <w:left w:val="none" w:sz="0" w:space="0" w:color="auto"/>
                                            <w:bottom w:val="none" w:sz="0" w:space="0" w:color="auto"/>
                                            <w:right w:val="none" w:sz="0" w:space="0" w:color="auto"/>
                                          </w:divBdr>
                                        </w:div>
                                        <w:div w:id="563369696">
                                          <w:marLeft w:val="0"/>
                                          <w:marRight w:val="0"/>
                                          <w:marTop w:val="0"/>
                                          <w:marBottom w:val="150"/>
                                          <w:divBdr>
                                            <w:top w:val="none" w:sz="0" w:space="0" w:color="auto"/>
                                            <w:left w:val="none" w:sz="0" w:space="0" w:color="auto"/>
                                            <w:bottom w:val="none" w:sz="0" w:space="0" w:color="auto"/>
                                            <w:right w:val="none" w:sz="0" w:space="0" w:color="auto"/>
                                          </w:divBdr>
                                          <w:divsChild>
                                            <w:div w:id="1893081379">
                                              <w:marLeft w:val="0"/>
                                              <w:marRight w:val="0"/>
                                              <w:marTop w:val="240"/>
                                              <w:marBottom w:val="240"/>
                                              <w:divBdr>
                                                <w:top w:val="single" w:sz="6" w:space="6" w:color="F2F2F2"/>
                                                <w:left w:val="none" w:sz="0" w:space="0" w:color="auto"/>
                                                <w:bottom w:val="single" w:sz="6" w:space="6" w:color="F2F2F2"/>
                                                <w:right w:val="none" w:sz="0" w:space="0" w:color="auto"/>
                                              </w:divBdr>
                                            </w:div>
                                            <w:div w:id="310603801">
                                              <w:marLeft w:val="0"/>
                                              <w:marRight w:val="0"/>
                                              <w:marTop w:val="0"/>
                                              <w:marBottom w:val="0"/>
                                              <w:divBdr>
                                                <w:top w:val="none" w:sz="0" w:space="0" w:color="auto"/>
                                                <w:left w:val="none" w:sz="0" w:space="0" w:color="auto"/>
                                                <w:bottom w:val="none" w:sz="0" w:space="0" w:color="auto"/>
                                                <w:right w:val="none" w:sz="0" w:space="0" w:color="auto"/>
                                              </w:divBdr>
                                              <w:divsChild>
                                                <w:div w:id="11779619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995370">
      <w:bodyDiv w:val="1"/>
      <w:marLeft w:val="0"/>
      <w:marRight w:val="0"/>
      <w:marTop w:val="0"/>
      <w:marBottom w:val="0"/>
      <w:divBdr>
        <w:top w:val="none" w:sz="0" w:space="0" w:color="auto"/>
        <w:left w:val="none" w:sz="0" w:space="0" w:color="auto"/>
        <w:bottom w:val="none" w:sz="0" w:space="0" w:color="auto"/>
        <w:right w:val="none" w:sz="0" w:space="0" w:color="auto"/>
      </w:divBdr>
      <w:divsChild>
        <w:div w:id="1775130880">
          <w:marLeft w:val="0"/>
          <w:marRight w:val="0"/>
          <w:marTop w:val="0"/>
          <w:marBottom w:val="0"/>
          <w:divBdr>
            <w:top w:val="none" w:sz="0" w:space="0" w:color="auto"/>
            <w:left w:val="none" w:sz="0" w:space="0" w:color="auto"/>
            <w:bottom w:val="none" w:sz="0" w:space="0" w:color="auto"/>
            <w:right w:val="none" w:sz="0" w:space="0" w:color="auto"/>
          </w:divBdr>
          <w:divsChild>
            <w:div w:id="1745642783">
              <w:marLeft w:val="0"/>
              <w:marRight w:val="0"/>
              <w:marTop w:val="0"/>
              <w:marBottom w:val="0"/>
              <w:divBdr>
                <w:top w:val="none" w:sz="0" w:space="0" w:color="auto"/>
                <w:left w:val="none" w:sz="0" w:space="0" w:color="auto"/>
                <w:bottom w:val="none" w:sz="0" w:space="0" w:color="auto"/>
                <w:right w:val="none" w:sz="0" w:space="0" w:color="auto"/>
              </w:divBdr>
              <w:divsChild>
                <w:div w:id="979268045">
                  <w:marLeft w:val="-375"/>
                  <w:marRight w:val="0"/>
                  <w:marTop w:val="0"/>
                  <w:marBottom w:val="0"/>
                  <w:divBdr>
                    <w:top w:val="none" w:sz="0" w:space="0" w:color="auto"/>
                    <w:left w:val="none" w:sz="0" w:space="0" w:color="auto"/>
                    <w:bottom w:val="none" w:sz="0" w:space="0" w:color="auto"/>
                    <w:right w:val="none" w:sz="0" w:space="0" w:color="auto"/>
                  </w:divBdr>
                  <w:divsChild>
                    <w:div w:id="168372128">
                      <w:marLeft w:val="0"/>
                      <w:marRight w:val="0"/>
                      <w:marTop w:val="0"/>
                      <w:marBottom w:val="0"/>
                      <w:divBdr>
                        <w:top w:val="none" w:sz="0" w:space="0" w:color="auto"/>
                        <w:left w:val="none" w:sz="0" w:space="0" w:color="auto"/>
                        <w:bottom w:val="none" w:sz="0" w:space="0" w:color="auto"/>
                        <w:right w:val="none" w:sz="0" w:space="0" w:color="auto"/>
                      </w:divBdr>
                      <w:divsChild>
                        <w:div w:id="621806532">
                          <w:marLeft w:val="0"/>
                          <w:marRight w:val="0"/>
                          <w:marTop w:val="0"/>
                          <w:marBottom w:val="0"/>
                          <w:divBdr>
                            <w:top w:val="none" w:sz="0" w:space="0" w:color="auto"/>
                            <w:left w:val="none" w:sz="0" w:space="0" w:color="auto"/>
                            <w:bottom w:val="none" w:sz="0" w:space="0" w:color="auto"/>
                            <w:right w:val="none" w:sz="0" w:space="0" w:color="auto"/>
                          </w:divBdr>
                          <w:divsChild>
                            <w:div w:id="13435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16185">
      <w:bodyDiv w:val="1"/>
      <w:marLeft w:val="0"/>
      <w:marRight w:val="0"/>
      <w:marTop w:val="0"/>
      <w:marBottom w:val="0"/>
      <w:divBdr>
        <w:top w:val="none" w:sz="0" w:space="0" w:color="auto"/>
        <w:left w:val="none" w:sz="0" w:space="0" w:color="auto"/>
        <w:bottom w:val="none" w:sz="0" w:space="0" w:color="auto"/>
        <w:right w:val="none" w:sz="0" w:space="0" w:color="auto"/>
      </w:divBdr>
      <w:divsChild>
        <w:div w:id="1982075177">
          <w:marLeft w:val="0"/>
          <w:marRight w:val="0"/>
          <w:marTop w:val="0"/>
          <w:marBottom w:val="0"/>
          <w:divBdr>
            <w:top w:val="none" w:sz="0" w:space="0" w:color="auto"/>
            <w:left w:val="none" w:sz="0" w:space="0" w:color="auto"/>
            <w:bottom w:val="none" w:sz="0" w:space="0" w:color="auto"/>
            <w:right w:val="none" w:sz="0" w:space="0" w:color="auto"/>
          </w:divBdr>
          <w:divsChild>
            <w:div w:id="1829857834">
              <w:marLeft w:val="0"/>
              <w:marRight w:val="0"/>
              <w:marTop w:val="0"/>
              <w:marBottom w:val="0"/>
              <w:divBdr>
                <w:top w:val="none" w:sz="0" w:space="0" w:color="auto"/>
                <w:left w:val="none" w:sz="0" w:space="0" w:color="auto"/>
                <w:bottom w:val="none" w:sz="0" w:space="0" w:color="auto"/>
                <w:right w:val="none" w:sz="0" w:space="0" w:color="auto"/>
              </w:divBdr>
              <w:divsChild>
                <w:div w:id="20974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65933">
      <w:bodyDiv w:val="1"/>
      <w:marLeft w:val="0"/>
      <w:marRight w:val="0"/>
      <w:marTop w:val="0"/>
      <w:marBottom w:val="0"/>
      <w:divBdr>
        <w:top w:val="none" w:sz="0" w:space="0" w:color="auto"/>
        <w:left w:val="none" w:sz="0" w:space="0" w:color="auto"/>
        <w:bottom w:val="none" w:sz="0" w:space="0" w:color="auto"/>
        <w:right w:val="none" w:sz="0" w:space="0" w:color="auto"/>
      </w:divBdr>
      <w:divsChild>
        <w:div w:id="1363630569">
          <w:marLeft w:val="0"/>
          <w:marRight w:val="0"/>
          <w:marTop w:val="0"/>
          <w:marBottom w:val="0"/>
          <w:divBdr>
            <w:top w:val="none" w:sz="0" w:space="0" w:color="auto"/>
            <w:left w:val="none" w:sz="0" w:space="0" w:color="auto"/>
            <w:bottom w:val="none" w:sz="0" w:space="0" w:color="auto"/>
            <w:right w:val="none" w:sz="0" w:space="0" w:color="auto"/>
          </w:divBdr>
          <w:divsChild>
            <w:div w:id="1830051652">
              <w:marLeft w:val="0"/>
              <w:marRight w:val="0"/>
              <w:marTop w:val="0"/>
              <w:marBottom w:val="0"/>
              <w:divBdr>
                <w:top w:val="none" w:sz="0" w:space="0" w:color="auto"/>
                <w:left w:val="none" w:sz="0" w:space="0" w:color="auto"/>
                <w:bottom w:val="none" w:sz="0" w:space="0" w:color="auto"/>
                <w:right w:val="none" w:sz="0" w:space="0" w:color="auto"/>
              </w:divBdr>
              <w:divsChild>
                <w:div w:id="1668941627">
                  <w:marLeft w:val="0"/>
                  <w:marRight w:val="0"/>
                  <w:marTop w:val="0"/>
                  <w:marBottom w:val="0"/>
                  <w:divBdr>
                    <w:top w:val="none" w:sz="0" w:space="0" w:color="auto"/>
                    <w:left w:val="none" w:sz="0" w:space="0" w:color="auto"/>
                    <w:bottom w:val="none" w:sz="0" w:space="0" w:color="auto"/>
                    <w:right w:val="none" w:sz="0" w:space="0" w:color="auto"/>
                  </w:divBdr>
                  <w:divsChild>
                    <w:div w:id="1724788869">
                      <w:marLeft w:val="0"/>
                      <w:marRight w:val="0"/>
                      <w:marTop w:val="0"/>
                      <w:marBottom w:val="0"/>
                      <w:divBdr>
                        <w:top w:val="none" w:sz="0" w:space="0" w:color="auto"/>
                        <w:left w:val="none" w:sz="0" w:space="0" w:color="auto"/>
                        <w:bottom w:val="none" w:sz="0" w:space="0" w:color="auto"/>
                        <w:right w:val="none" w:sz="0" w:space="0" w:color="auto"/>
                      </w:divBdr>
                      <w:divsChild>
                        <w:div w:id="1760910288">
                          <w:marLeft w:val="0"/>
                          <w:marRight w:val="0"/>
                          <w:marTop w:val="0"/>
                          <w:marBottom w:val="0"/>
                          <w:divBdr>
                            <w:top w:val="none" w:sz="0" w:space="0" w:color="auto"/>
                            <w:left w:val="none" w:sz="0" w:space="0" w:color="auto"/>
                            <w:bottom w:val="none" w:sz="0" w:space="0" w:color="auto"/>
                            <w:right w:val="none" w:sz="0" w:space="0" w:color="auto"/>
                          </w:divBdr>
                          <w:divsChild>
                            <w:div w:id="1924289992">
                              <w:marLeft w:val="0"/>
                              <w:marRight w:val="0"/>
                              <w:marTop w:val="0"/>
                              <w:marBottom w:val="0"/>
                              <w:divBdr>
                                <w:top w:val="none" w:sz="0" w:space="0" w:color="auto"/>
                                <w:left w:val="none" w:sz="0" w:space="0" w:color="auto"/>
                                <w:bottom w:val="none" w:sz="0" w:space="0" w:color="auto"/>
                                <w:right w:val="none" w:sz="0" w:space="0" w:color="auto"/>
                              </w:divBdr>
                              <w:divsChild>
                                <w:div w:id="1983149964">
                                  <w:marLeft w:val="-375"/>
                                  <w:marRight w:val="0"/>
                                  <w:marTop w:val="0"/>
                                  <w:marBottom w:val="0"/>
                                  <w:divBdr>
                                    <w:top w:val="none" w:sz="0" w:space="0" w:color="auto"/>
                                    <w:left w:val="none" w:sz="0" w:space="0" w:color="auto"/>
                                    <w:bottom w:val="none" w:sz="0" w:space="0" w:color="auto"/>
                                    <w:right w:val="none" w:sz="0" w:space="0" w:color="auto"/>
                                  </w:divBdr>
                                  <w:divsChild>
                                    <w:div w:id="1465076197">
                                      <w:marLeft w:val="0"/>
                                      <w:marRight w:val="0"/>
                                      <w:marTop w:val="0"/>
                                      <w:marBottom w:val="0"/>
                                      <w:divBdr>
                                        <w:top w:val="none" w:sz="0" w:space="0" w:color="auto"/>
                                        <w:left w:val="none" w:sz="0" w:space="0" w:color="auto"/>
                                        <w:bottom w:val="none" w:sz="0" w:space="0" w:color="auto"/>
                                        <w:right w:val="none" w:sz="0" w:space="0" w:color="auto"/>
                                      </w:divBdr>
                                    </w:div>
                                  </w:divsChild>
                                </w:div>
                                <w:div w:id="19597182">
                                  <w:marLeft w:val="-375"/>
                                  <w:marRight w:val="0"/>
                                  <w:marTop w:val="0"/>
                                  <w:marBottom w:val="0"/>
                                  <w:divBdr>
                                    <w:top w:val="none" w:sz="0" w:space="0" w:color="auto"/>
                                    <w:left w:val="none" w:sz="0" w:space="0" w:color="auto"/>
                                    <w:bottom w:val="none" w:sz="0" w:space="0" w:color="auto"/>
                                    <w:right w:val="none" w:sz="0" w:space="0" w:color="auto"/>
                                  </w:divBdr>
                                  <w:divsChild>
                                    <w:div w:id="1585917812">
                                      <w:marLeft w:val="0"/>
                                      <w:marRight w:val="0"/>
                                      <w:marTop w:val="0"/>
                                      <w:marBottom w:val="0"/>
                                      <w:divBdr>
                                        <w:top w:val="none" w:sz="0" w:space="0" w:color="auto"/>
                                        <w:left w:val="none" w:sz="0" w:space="0" w:color="auto"/>
                                        <w:bottom w:val="none" w:sz="0" w:space="0" w:color="auto"/>
                                        <w:right w:val="none" w:sz="0" w:space="0" w:color="auto"/>
                                      </w:divBdr>
                                      <w:divsChild>
                                        <w:div w:id="1857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032611">
      <w:bodyDiv w:val="1"/>
      <w:marLeft w:val="0"/>
      <w:marRight w:val="0"/>
      <w:marTop w:val="0"/>
      <w:marBottom w:val="0"/>
      <w:divBdr>
        <w:top w:val="none" w:sz="0" w:space="0" w:color="auto"/>
        <w:left w:val="none" w:sz="0" w:space="0" w:color="auto"/>
        <w:bottom w:val="none" w:sz="0" w:space="0" w:color="auto"/>
        <w:right w:val="none" w:sz="0" w:space="0" w:color="auto"/>
      </w:divBdr>
      <w:divsChild>
        <w:div w:id="136458236">
          <w:marLeft w:val="0"/>
          <w:marRight w:val="0"/>
          <w:marTop w:val="0"/>
          <w:marBottom w:val="0"/>
          <w:divBdr>
            <w:top w:val="none" w:sz="0" w:space="0" w:color="auto"/>
            <w:left w:val="none" w:sz="0" w:space="0" w:color="auto"/>
            <w:bottom w:val="none" w:sz="0" w:space="0" w:color="auto"/>
            <w:right w:val="none" w:sz="0" w:space="0" w:color="auto"/>
          </w:divBdr>
          <w:divsChild>
            <w:div w:id="1507209843">
              <w:marLeft w:val="0"/>
              <w:marRight w:val="0"/>
              <w:marTop w:val="0"/>
              <w:marBottom w:val="0"/>
              <w:divBdr>
                <w:top w:val="none" w:sz="0" w:space="0" w:color="auto"/>
                <w:left w:val="none" w:sz="0" w:space="0" w:color="auto"/>
                <w:bottom w:val="none" w:sz="0" w:space="0" w:color="auto"/>
                <w:right w:val="none" w:sz="0" w:space="0" w:color="auto"/>
              </w:divBdr>
              <w:divsChild>
                <w:div w:id="835346177">
                  <w:marLeft w:val="-225"/>
                  <w:marRight w:val="-225"/>
                  <w:marTop w:val="0"/>
                  <w:marBottom w:val="0"/>
                  <w:divBdr>
                    <w:top w:val="none" w:sz="0" w:space="0" w:color="auto"/>
                    <w:left w:val="none" w:sz="0" w:space="0" w:color="auto"/>
                    <w:bottom w:val="none" w:sz="0" w:space="0" w:color="auto"/>
                    <w:right w:val="none" w:sz="0" w:space="0" w:color="auto"/>
                  </w:divBdr>
                  <w:divsChild>
                    <w:div w:id="5787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87029">
      <w:bodyDiv w:val="1"/>
      <w:marLeft w:val="0"/>
      <w:marRight w:val="0"/>
      <w:marTop w:val="0"/>
      <w:marBottom w:val="0"/>
      <w:divBdr>
        <w:top w:val="none" w:sz="0" w:space="0" w:color="auto"/>
        <w:left w:val="none" w:sz="0" w:space="0" w:color="auto"/>
        <w:bottom w:val="none" w:sz="0" w:space="0" w:color="auto"/>
        <w:right w:val="none" w:sz="0" w:space="0" w:color="auto"/>
      </w:divBdr>
      <w:divsChild>
        <w:div w:id="2084638670">
          <w:marLeft w:val="0"/>
          <w:marRight w:val="0"/>
          <w:marTop w:val="0"/>
          <w:marBottom w:val="0"/>
          <w:divBdr>
            <w:top w:val="none" w:sz="0" w:space="0" w:color="auto"/>
            <w:left w:val="none" w:sz="0" w:space="0" w:color="auto"/>
            <w:bottom w:val="none" w:sz="0" w:space="0" w:color="auto"/>
            <w:right w:val="none" w:sz="0" w:space="0" w:color="auto"/>
          </w:divBdr>
          <w:divsChild>
            <w:div w:id="453138875">
              <w:marLeft w:val="0"/>
              <w:marRight w:val="0"/>
              <w:marTop w:val="0"/>
              <w:marBottom w:val="0"/>
              <w:divBdr>
                <w:top w:val="none" w:sz="0" w:space="0" w:color="auto"/>
                <w:left w:val="none" w:sz="0" w:space="0" w:color="auto"/>
                <w:bottom w:val="none" w:sz="0" w:space="0" w:color="auto"/>
                <w:right w:val="none" w:sz="0" w:space="0" w:color="auto"/>
              </w:divBdr>
              <w:divsChild>
                <w:div w:id="737897947">
                  <w:marLeft w:val="0"/>
                  <w:marRight w:val="0"/>
                  <w:marTop w:val="0"/>
                  <w:marBottom w:val="0"/>
                  <w:divBdr>
                    <w:top w:val="none" w:sz="0" w:space="0" w:color="auto"/>
                    <w:left w:val="none" w:sz="0" w:space="0" w:color="auto"/>
                    <w:bottom w:val="none" w:sz="0" w:space="0" w:color="auto"/>
                    <w:right w:val="none" w:sz="0" w:space="0" w:color="auto"/>
                  </w:divBdr>
                  <w:divsChild>
                    <w:div w:id="190534603">
                      <w:marLeft w:val="0"/>
                      <w:marRight w:val="0"/>
                      <w:marTop w:val="0"/>
                      <w:marBottom w:val="0"/>
                      <w:divBdr>
                        <w:top w:val="none" w:sz="0" w:space="0" w:color="auto"/>
                        <w:left w:val="none" w:sz="0" w:space="0" w:color="auto"/>
                        <w:bottom w:val="none" w:sz="0" w:space="0" w:color="auto"/>
                        <w:right w:val="none" w:sz="0" w:space="0" w:color="auto"/>
                      </w:divBdr>
                      <w:divsChild>
                        <w:div w:id="367412719">
                          <w:marLeft w:val="0"/>
                          <w:marRight w:val="0"/>
                          <w:marTop w:val="0"/>
                          <w:marBottom w:val="0"/>
                          <w:divBdr>
                            <w:top w:val="none" w:sz="0" w:space="0" w:color="auto"/>
                            <w:left w:val="none" w:sz="0" w:space="0" w:color="auto"/>
                            <w:bottom w:val="none" w:sz="0" w:space="0" w:color="auto"/>
                            <w:right w:val="none" w:sz="0" w:space="0" w:color="auto"/>
                          </w:divBdr>
                          <w:divsChild>
                            <w:div w:id="576020968">
                              <w:marLeft w:val="0"/>
                              <w:marRight w:val="0"/>
                              <w:marTop w:val="0"/>
                              <w:marBottom w:val="0"/>
                              <w:divBdr>
                                <w:top w:val="none" w:sz="0" w:space="0" w:color="auto"/>
                                <w:left w:val="none" w:sz="0" w:space="0" w:color="auto"/>
                                <w:bottom w:val="none" w:sz="0" w:space="0" w:color="auto"/>
                                <w:right w:val="none" w:sz="0" w:space="0" w:color="auto"/>
                              </w:divBdr>
                              <w:divsChild>
                                <w:div w:id="519317120">
                                  <w:marLeft w:val="0"/>
                                  <w:marRight w:val="0"/>
                                  <w:marTop w:val="0"/>
                                  <w:marBottom w:val="0"/>
                                  <w:divBdr>
                                    <w:top w:val="none" w:sz="0" w:space="0" w:color="auto"/>
                                    <w:left w:val="none" w:sz="0" w:space="0" w:color="auto"/>
                                    <w:bottom w:val="none" w:sz="0" w:space="0" w:color="auto"/>
                                    <w:right w:val="none" w:sz="0" w:space="0" w:color="auto"/>
                                  </w:divBdr>
                                  <w:divsChild>
                                    <w:div w:id="389698036">
                                      <w:marLeft w:val="0"/>
                                      <w:marRight w:val="0"/>
                                      <w:marTop w:val="0"/>
                                      <w:marBottom w:val="0"/>
                                      <w:divBdr>
                                        <w:top w:val="none" w:sz="0" w:space="0" w:color="auto"/>
                                        <w:left w:val="none" w:sz="0" w:space="0" w:color="auto"/>
                                        <w:bottom w:val="none" w:sz="0" w:space="0" w:color="auto"/>
                                        <w:right w:val="none" w:sz="0" w:space="0" w:color="auto"/>
                                      </w:divBdr>
                                      <w:divsChild>
                                        <w:div w:id="440802420">
                                          <w:marLeft w:val="0"/>
                                          <w:marRight w:val="0"/>
                                          <w:marTop w:val="0"/>
                                          <w:marBottom w:val="0"/>
                                          <w:divBdr>
                                            <w:top w:val="none" w:sz="0" w:space="0" w:color="auto"/>
                                            <w:left w:val="none" w:sz="0" w:space="0" w:color="auto"/>
                                            <w:bottom w:val="none" w:sz="0" w:space="0" w:color="auto"/>
                                            <w:right w:val="none" w:sz="0" w:space="0" w:color="auto"/>
                                          </w:divBdr>
                                          <w:divsChild>
                                            <w:div w:id="1469663004">
                                              <w:marLeft w:val="0"/>
                                              <w:marRight w:val="0"/>
                                              <w:marTop w:val="0"/>
                                              <w:marBottom w:val="0"/>
                                              <w:divBdr>
                                                <w:top w:val="none" w:sz="0" w:space="0" w:color="auto"/>
                                                <w:left w:val="none" w:sz="0" w:space="0" w:color="auto"/>
                                                <w:bottom w:val="none" w:sz="0" w:space="0" w:color="auto"/>
                                                <w:right w:val="none" w:sz="0" w:space="0" w:color="auto"/>
                                              </w:divBdr>
                                              <w:divsChild>
                                                <w:div w:id="231740973">
                                                  <w:marLeft w:val="0"/>
                                                  <w:marRight w:val="0"/>
                                                  <w:marTop w:val="0"/>
                                                  <w:marBottom w:val="0"/>
                                                  <w:divBdr>
                                                    <w:top w:val="none" w:sz="0" w:space="0" w:color="auto"/>
                                                    <w:left w:val="none" w:sz="0" w:space="0" w:color="auto"/>
                                                    <w:bottom w:val="none" w:sz="0" w:space="0" w:color="auto"/>
                                                    <w:right w:val="none" w:sz="0" w:space="0" w:color="auto"/>
                                                  </w:divBdr>
                                                  <w:divsChild>
                                                    <w:div w:id="1430389010">
                                                      <w:marLeft w:val="0"/>
                                                      <w:marRight w:val="0"/>
                                                      <w:marTop w:val="0"/>
                                                      <w:marBottom w:val="0"/>
                                                      <w:divBdr>
                                                        <w:top w:val="none" w:sz="0" w:space="0" w:color="auto"/>
                                                        <w:left w:val="none" w:sz="0" w:space="0" w:color="auto"/>
                                                        <w:bottom w:val="none" w:sz="0" w:space="0" w:color="auto"/>
                                                        <w:right w:val="none" w:sz="0" w:space="0" w:color="auto"/>
                                                      </w:divBdr>
                                                      <w:divsChild>
                                                        <w:div w:id="14602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6233275">
      <w:bodyDiv w:val="1"/>
      <w:marLeft w:val="0"/>
      <w:marRight w:val="0"/>
      <w:marTop w:val="0"/>
      <w:marBottom w:val="0"/>
      <w:divBdr>
        <w:top w:val="none" w:sz="0" w:space="0" w:color="auto"/>
        <w:left w:val="none" w:sz="0" w:space="0" w:color="auto"/>
        <w:bottom w:val="none" w:sz="0" w:space="0" w:color="auto"/>
        <w:right w:val="none" w:sz="0" w:space="0" w:color="auto"/>
      </w:divBdr>
      <w:divsChild>
        <w:div w:id="128284470">
          <w:marLeft w:val="0"/>
          <w:marRight w:val="0"/>
          <w:marTop w:val="0"/>
          <w:marBottom w:val="0"/>
          <w:divBdr>
            <w:top w:val="none" w:sz="0" w:space="0" w:color="auto"/>
            <w:left w:val="none" w:sz="0" w:space="0" w:color="auto"/>
            <w:bottom w:val="none" w:sz="0" w:space="0" w:color="auto"/>
            <w:right w:val="none" w:sz="0" w:space="0" w:color="auto"/>
          </w:divBdr>
          <w:divsChild>
            <w:div w:id="342902316">
              <w:marLeft w:val="0"/>
              <w:marRight w:val="0"/>
              <w:marTop w:val="0"/>
              <w:marBottom w:val="0"/>
              <w:divBdr>
                <w:top w:val="none" w:sz="0" w:space="0" w:color="auto"/>
                <w:left w:val="none" w:sz="0" w:space="0" w:color="auto"/>
                <w:bottom w:val="none" w:sz="0" w:space="0" w:color="auto"/>
                <w:right w:val="none" w:sz="0" w:space="0" w:color="auto"/>
              </w:divBdr>
              <w:divsChild>
                <w:div w:id="858280873">
                  <w:marLeft w:val="0"/>
                  <w:marRight w:val="0"/>
                  <w:marTop w:val="0"/>
                  <w:marBottom w:val="188"/>
                  <w:divBdr>
                    <w:top w:val="none" w:sz="0" w:space="0" w:color="auto"/>
                    <w:left w:val="none" w:sz="0" w:space="0" w:color="auto"/>
                    <w:bottom w:val="none" w:sz="0" w:space="0" w:color="auto"/>
                    <w:right w:val="none" w:sz="0" w:space="0" w:color="auto"/>
                  </w:divBdr>
                </w:div>
              </w:divsChild>
            </w:div>
            <w:div w:id="1447389618">
              <w:marLeft w:val="175"/>
              <w:marRight w:val="0"/>
              <w:marTop w:val="0"/>
              <w:marBottom w:val="0"/>
              <w:divBdr>
                <w:top w:val="none" w:sz="0" w:space="0" w:color="auto"/>
                <w:left w:val="none" w:sz="0" w:space="0" w:color="auto"/>
                <w:bottom w:val="none" w:sz="0" w:space="0" w:color="auto"/>
                <w:right w:val="none" w:sz="0" w:space="0" w:color="auto"/>
              </w:divBdr>
              <w:divsChild>
                <w:div w:id="1617829118">
                  <w:marLeft w:val="0"/>
                  <w:marRight w:val="0"/>
                  <w:marTop w:val="0"/>
                  <w:marBottom w:val="0"/>
                  <w:divBdr>
                    <w:top w:val="none" w:sz="0" w:space="0" w:color="auto"/>
                    <w:left w:val="none" w:sz="0" w:space="0" w:color="auto"/>
                    <w:bottom w:val="none" w:sz="0" w:space="0" w:color="auto"/>
                    <w:right w:val="none" w:sz="0" w:space="0" w:color="auto"/>
                  </w:divBdr>
                  <w:divsChild>
                    <w:div w:id="1227181304">
                      <w:marLeft w:val="0"/>
                      <w:marRight w:val="0"/>
                      <w:marTop w:val="0"/>
                      <w:marBottom w:val="0"/>
                      <w:divBdr>
                        <w:top w:val="none" w:sz="0" w:space="0" w:color="auto"/>
                        <w:left w:val="none" w:sz="0" w:space="0" w:color="auto"/>
                        <w:bottom w:val="none" w:sz="0" w:space="0" w:color="auto"/>
                        <w:right w:val="none" w:sz="0" w:space="0" w:color="auto"/>
                      </w:divBdr>
                      <w:divsChild>
                        <w:div w:id="337659921">
                          <w:marLeft w:val="0"/>
                          <w:marRight w:val="0"/>
                          <w:marTop w:val="0"/>
                          <w:marBottom w:val="0"/>
                          <w:divBdr>
                            <w:top w:val="none" w:sz="0" w:space="0" w:color="auto"/>
                            <w:left w:val="none" w:sz="0" w:space="0" w:color="auto"/>
                            <w:bottom w:val="none" w:sz="0" w:space="0" w:color="auto"/>
                            <w:right w:val="none" w:sz="0" w:space="0" w:color="auto"/>
                          </w:divBdr>
                          <w:divsChild>
                            <w:div w:id="828013990">
                              <w:marLeft w:val="0"/>
                              <w:marRight w:val="0"/>
                              <w:marTop w:val="0"/>
                              <w:marBottom w:val="0"/>
                              <w:divBdr>
                                <w:top w:val="none" w:sz="0" w:space="0" w:color="auto"/>
                                <w:left w:val="none" w:sz="0" w:space="0" w:color="auto"/>
                                <w:bottom w:val="none" w:sz="0" w:space="0" w:color="auto"/>
                                <w:right w:val="none" w:sz="0" w:space="0" w:color="auto"/>
                              </w:divBdr>
                            </w:div>
                            <w:div w:id="2092307796">
                              <w:marLeft w:val="0"/>
                              <w:marRight w:val="0"/>
                              <w:marTop w:val="0"/>
                              <w:marBottom w:val="0"/>
                              <w:divBdr>
                                <w:top w:val="none" w:sz="0" w:space="0" w:color="auto"/>
                                <w:left w:val="none" w:sz="0" w:space="0" w:color="auto"/>
                                <w:bottom w:val="none" w:sz="0" w:space="0" w:color="auto"/>
                                <w:right w:val="none" w:sz="0" w:space="0" w:color="auto"/>
                              </w:divBdr>
                            </w:div>
                            <w:div w:id="11279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2811">
      <w:bodyDiv w:val="1"/>
      <w:marLeft w:val="0"/>
      <w:marRight w:val="0"/>
      <w:marTop w:val="0"/>
      <w:marBottom w:val="0"/>
      <w:divBdr>
        <w:top w:val="none" w:sz="0" w:space="0" w:color="auto"/>
        <w:left w:val="none" w:sz="0" w:space="0" w:color="auto"/>
        <w:bottom w:val="none" w:sz="0" w:space="0" w:color="auto"/>
        <w:right w:val="none" w:sz="0" w:space="0" w:color="auto"/>
      </w:divBdr>
    </w:div>
    <w:div w:id="1877958891">
      <w:bodyDiv w:val="1"/>
      <w:marLeft w:val="0"/>
      <w:marRight w:val="0"/>
      <w:marTop w:val="0"/>
      <w:marBottom w:val="0"/>
      <w:divBdr>
        <w:top w:val="none" w:sz="0" w:space="0" w:color="auto"/>
        <w:left w:val="none" w:sz="0" w:space="0" w:color="auto"/>
        <w:bottom w:val="none" w:sz="0" w:space="0" w:color="auto"/>
        <w:right w:val="none" w:sz="0" w:space="0" w:color="auto"/>
      </w:divBdr>
    </w:div>
    <w:div w:id="1878002150">
      <w:bodyDiv w:val="1"/>
      <w:marLeft w:val="0"/>
      <w:marRight w:val="0"/>
      <w:marTop w:val="0"/>
      <w:marBottom w:val="0"/>
      <w:divBdr>
        <w:top w:val="none" w:sz="0" w:space="0" w:color="auto"/>
        <w:left w:val="none" w:sz="0" w:space="0" w:color="auto"/>
        <w:bottom w:val="none" w:sz="0" w:space="0" w:color="auto"/>
        <w:right w:val="none" w:sz="0" w:space="0" w:color="auto"/>
      </w:divBdr>
      <w:divsChild>
        <w:div w:id="110245851">
          <w:marLeft w:val="0"/>
          <w:marRight w:val="0"/>
          <w:marTop w:val="0"/>
          <w:marBottom w:val="0"/>
          <w:divBdr>
            <w:top w:val="none" w:sz="0" w:space="0" w:color="auto"/>
            <w:left w:val="none" w:sz="0" w:space="0" w:color="auto"/>
            <w:bottom w:val="none" w:sz="0" w:space="0" w:color="auto"/>
            <w:right w:val="none" w:sz="0" w:space="0" w:color="auto"/>
          </w:divBdr>
          <w:divsChild>
            <w:div w:id="2045786406">
              <w:marLeft w:val="0"/>
              <w:marRight w:val="0"/>
              <w:marTop w:val="0"/>
              <w:marBottom w:val="0"/>
              <w:divBdr>
                <w:top w:val="none" w:sz="0" w:space="0" w:color="auto"/>
                <w:left w:val="none" w:sz="0" w:space="0" w:color="auto"/>
                <w:bottom w:val="none" w:sz="0" w:space="0" w:color="auto"/>
                <w:right w:val="none" w:sz="0" w:space="0" w:color="auto"/>
              </w:divBdr>
              <w:divsChild>
                <w:div w:id="1840346840">
                  <w:marLeft w:val="0"/>
                  <w:marRight w:val="0"/>
                  <w:marTop w:val="0"/>
                  <w:marBottom w:val="0"/>
                  <w:divBdr>
                    <w:top w:val="none" w:sz="0" w:space="0" w:color="auto"/>
                    <w:left w:val="none" w:sz="0" w:space="0" w:color="auto"/>
                    <w:bottom w:val="none" w:sz="0" w:space="0" w:color="auto"/>
                    <w:right w:val="none" w:sz="0" w:space="0" w:color="auto"/>
                  </w:divBdr>
                  <w:divsChild>
                    <w:div w:id="1699769861">
                      <w:marLeft w:val="0"/>
                      <w:marRight w:val="0"/>
                      <w:marTop w:val="0"/>
                      <w:marBottom w:val="0"/>
                      <w:divBdr>
                        <w:top w:val="none" w:sz="0" w:space="0" w:color="auto"/>
                        <w:left w:val="none" w:sz="0" w:space="0" w:color="auto"/>
                        <w:bottom w:val="none" w:sz="0" w:space="0" w:color="auto"/>
                        <w:right w:val="none" w:sz="0" w:space="0" w:color="auto"/>
                      </w:divBdr>
                      <w:divsChild>
                        <w:div w:id="1743913526">
                          <w:marLeft w:val="0"/>
                          <w:marRight w:val="0"/>
                          <w:marTop w:val="0"/>
                          <w:marBottom w:val="0"/>
                          <w:divBdr>
                            <w:top w:val="none" w:sz="0" w:space="0" w:color="auto"/>
                            <w:left w:val="none" w:sz="0" w:space="0" w:color="auto"/>
                            <w:bottom w:val="none" w:sz="0" w:space="0" w:color="auto"/>
                            <w:right w:val="none" w:sz="0" w:space="0" w:color="auto"/>
                          </w:divBdr>
                          <w:divsChild>
                            <w:div w:id="293951540">
                              <w:marLeft w:val="0"/>
                              <w:marRight w:val="0"/>
                              <w:marTop w:val="0"/>
                              <w:marBottom w:val="0"/>
                              <w:divBdr>
                                <w:top w:val="none" w:sz="0" w:space="0" w:color="auto"/>
                                <w:left w:val="none" w:sz="0" w:space="0" w:color="auto"/>
                                <w:bottom w:val="none" w:sz="0" w:space="0" w:color="auto"/>
                                <w:right w:val="none" w:sz="0" w:space="0" w:color="auto"/>
                              </w:divBdr>
                              <w:divsChild>
                                <w:div w:id="1736583018">
                                  <w:marLeft w:val="0"/>
                                  <w:marRight w:val="0"/>
                                  <w:marTop w:val="0"/>
                                  <w:marBottom w:val="0"/>
                                  <w:divBdr>
                                    <w:top w:val="none" w:sz="0" w:space="0" w:color="auto"/>
                                    <w:left w:val="none" w:sz="0" w:space="0" w:color="auto"/>
                                    <w:bottom w:val="none" w:sz="0" w:space="0" w:color="auto"/>
                                    <w:right w:val="none" w:sz="0" w:space="0" w:color="auto"/>
                                  </w:divBdr>
                                  <w:divsChild>
                                    <w:div w:id="1314799800">
                                      <w:marLeft w:val="0"/>
                                      <w:marRight w:val="0"/>
                                      <w:marTop w:val="0"/>
                                      <w:marBottom w:val="0"/>
                                      <w:divBdr>
                                        <w:top w:val="none" w:sz="0" w:space="0" w:color="auto"/>
                                        <w:left w:val="none" w:sz="0" w:space="0" w:color="auto"/>
                                        <w:bottom w:val="none" w:sz="0" w:space="0" w:color="auto"/>
                                        <w:right w:val="none" w:sz="0" w:space="0" w:color="auto"/>
                                      </w:divBdr>
                                      <w:divsChild>
                                        <w:div w:id="2046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931940">
      <w:bodyDiv w:val="1"/>
      <w:marLeft w:val="0"/>
      <w:marRight w:val="0"/>
      <w:marTop w:val="0"/>
      <w:marBottom w:val="0"/>
      <w:divBdr>
        <w:top w:val="none" w:sz="0" w:space="0" w:color="auto"/>
        <w:left w:val="none" w:sz="0" w:space="0" w:color="auto"/>
        <w:bottom w:val="none" w:sz="0" w:space="0" w:color="auto"/>
        <w:right w:val="none" w:sz="0" w:space="0" w:color="auto"/>
      </w:divBdr>
      <w:divsChild>
        <w:div w:id="218126772">
          <w:marLeft w:val="0"/>
          <w:marRight w:val="0"/>
          <w:marTop w:val="150"/>
          <w:marBottom w:val="0"/>
          <w:divBdr>
            <w:top w:val="none" w:sz="0" w:space="0" w:color="auto"/>
            <w:left w:val="none" w:sz="0" w:space="0" w:color="auto"/>
            <w:bottom w:val="none" w:sz="0" w:space="0" w:color="auto"/>
            <w:right w:val="none" w:sz="0" w:space="0" w:color="auto"/>
          </w:divBdr>
          <w:divsChild>
            <w:div w:id="1005474732">
              <w:marLeft w:val="2"/>
              <w:marRight w:val="2"/>
              <w:marTop w:val="0"/>
              <w:marBottom w:val="0"/>
              <w:divBdr>
                <w:top w:val="none" w:sz="0" w:space="0" w:color="auto"/>
                <w:left w:val="none" w:sz="0" w:space="0" w:color="auto"/>
                <w:bottom w:val="none" w:sz="0" w:space="0" w:color="auto"/>
                <w:right w:val="none" w:sz="0" w:space="0" w:color="auto"/>
              </w:divBdr>
              <w:divsChild>
                <w:div w:id="1105734117">
                  <w:marLeft w:val="0"/>
                  <w:marRight w:val="0"/>
                  <w:marTop w:val="0"/>
                  <w:marBottom w:val="0"/>
                  <w:divBdr>
                    <w:top w:val="none" w:sz="0" w:space="0" w:color="auto"/>
                    <w:left w:val="none" w:sz="0" w:space="0" w:color="auto"/>
                    <w:bottom w:val="none" w:sz="0" w:space="0" w:color="auto"/>
                    <w:right w:val="none" w:sz="0" w:space="0" w:color="auto"/>
                  </w:divBdr>
                  <w:divsChild>
                    <w:div w:id="565802568">
                      <w:marLeft w:val="0"/>
                      <w:marRight w:val="0"/>
                      <w:marTop w:val="0"/>
                      <w:marBottom w:val="0"/>
                      <w:divBdr>
                        <w:top w:val="none" w:sz="0" w:space="0" w:color="auto"/>
                        <w:left w:val="none" w:sz="0" w:space="0" w:color="auto"/>
                        <w:bottom w:val="none" w:sz="0" w:space="0" w:color="auto"/>
                        <w:right w:val="none" w:sz="0" w:space="0" w:color="auto"/>
                      </w:divBdr>
                      <w:divsChild>
                        <w:div w:id="157117862">
                          <w:marLeft w:val="0"/>
                          <w:marRight w:val="0"/>
                          <w:marTop w:val="0"/>
                          <w:marBottom w:val="0"/>
                          <w:divBdr>
                            <w:top w:val="none" w:sz="0" w:space="0" w:color="auto"/>
                            <w:left w:val="none" w:sz="0" w:space="0" w:color="auto"/>
                            <w:bottom w:val="none" w:sz="0" w:space="0" w:color="auto"/>
                            <w:right w:val="none" w:sz="0" w:space="0" w:color="auto"/>
                          </w:divBdr>
                          <w:divsChild>
                            <w:div w:id="1865708279">
                              <w:marLeft w:val="0"/>
                              <w:marRight w:val="0"/>
                              <w:marTop w:val="0"/>
                              <w:marBottom w:val="0"/>
                              <w:divBdr>
                                <w:top w:val="none" w:sz="0" w:space="0" w:color="auto"/>
                                <w:left w:val="none" w:sz="0" w:space="0" w:color="auto"/>
                                <w:bottom w:val="none" w:sz="0" w:space="0" w:color="auto"/>
                                <w:right w:val="none" w:sz="0" w:space="0" w:color="auto"/>
                              </w:divBdr>
                              <w:divsChild>
                                <w:div w:id="2097171114">
                                  <w:marLeft w:val="0"/>
                                  <w:marRight w:val="0"/>
                                  <w:marTop w:val="0"/>
                                  <w:marBottom w:val="0"/>
                                  <w:divBdr>
                                    <w:top w:val="none" w:sz="0" w:space="0" w:color="auto"/>
                                    <w:left w:val="none" w:sz="0" w:space="0" w:color="auto"/>
                                    <w:bottom w:val="none" w:sz="0" w:space="0" w:color="auto"/>
                                    <w:right w:val="none" w:sz="0" w:space="0" w:color="auto"/>
                                  </w:divBdr>
                                  <w:divsChild>
                                    <w:div w:id="538863983">
                                      <w:marLeft w:val="0"/>
                                      <w:marRight w:val="0"/>
                                      <w:marTop w:val="0"/>
                                      <w:marBottom w:val="0"/>
                                      <w:divBdr>
                                        <w:top w:val="none" w:sz="0" w:space="0" w:color="auto"/>
                                        <w:left w:val="none" w:sz="0" w:space="0" w:color="auto"/>
                                        <w:bottom w:val="none" w:sz="0" w:space="0" w:color="auto"/>
                                        <w:right w:val="none" w:sz="0" w:space="0" w:color="auto"/>
                                      </w:divBdr>
                                      <w:divsChild>
                                        <w:div w:id="1604533690">
                                          <w:marLeft w:val="0"/>
                                          <w:marRight w:val="0"/>
                                          <w:marTop w:val="0"/>
                                          <w:marBottom w:val="0"/>
                                          <w:divBdr>
                                            <w:top w:val="none" w:sz="0" w:space="0" w:color="auto"/>
                                            <w:left w:val="none" w:sz="0" w:space="0" w:color="auto"/>
                                            <w:bottom w:val="none" w:sz="0" w:space="0" w:color="auto"/>
                                            <w:right w:val="none" w:sz="0" w:space="0" w:color="auto"/>
                                          </w:divBdr>
                                          <w:divsChild>
                                            <w:div w:id="376658846">
                                              <w:marLeft w:val="0"/>
                                              <w:marRight w:val="0"/>
                                              <w:marTop w:val="0"/>
                                              <w:marBottom w:val="0"/>
                                              <w:divBdr>
                                                <w:top w:val="none" w:sz="0" w:space="0" w:color="auto"/>
                                                <w:left w:val="none" w:sz="0" w:space="0" w:color="auto"/>
                                                <w:bottom w:val="none" w:sz="0" w:space="0" w:color="auto"/>
                                                <w:right w:val="none" w:sz="0" w:space="0" w:color="auto"/>
                                              </w:divBdr>
                                            </w:div>
                                            <w:div w:id="1747996951">
                                              <w:marLeft w:val="0"/>
                                              <w:marRight w:val="0"/>
                                              <w:marTop w:val="0"/>
                                              <w:marBottom w:val="0"/>
                                              <w:divBdr>
                                                <w:top w:val="none" w:sz="0" w:space="0" w:color="auto"/>
                                                <w:left w:val="none" w:sz="0" w:space="0" w:color="auto"/>
                                                <w:bottom w:val="none" w:sz="0" w:space="0" w:color="auto"/>
                                                <w:right w:val="none" w:sz="0" w:space="0" w:color="auto"/>
                                              </w:divBdr>
                                            </w:div>
                                            <w:div w:id="2131704172">
                                              <w:marLeft w:val="0"/>
                                              <w:marRight w:val="0"/>
                                              <w:marTop w:val="0"/>
                                              <w:marBottom w:val="0"/>
                                              <w:divBdr>
                                                <w:top w:val="none" w:sz="0" w:space="0" w:color="auto"/>
                                                <w:left w:val="none" w:sz="0" w:space="0" w:color="auto"/>
                                                <w:bottom w:val="none" w:sz="0" w:space="0" w:color="auto"/>
                                                <w:right w:val="none" w:sz="0" w:space="0" w:color="auto"/>
                                              </w:divBdr>
                                            </w:div>
                                            <w:div w:id="726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3521239">
      <w:bodyDiv w:val="1"/>
      <w:marLeft w:val="0"/>
      <w:marRight w:val="0"/>
      <w:marTop w:val="0"/>
      <w:marBottom w:val="0"/>
      <w:divBdr>
        <w:top w:val="none" w:sz="0" w:space="0" w:color="auto"/>
        <w:left w:val="none" w:sz="0" w:space="0" w:color="auto"/>
        <w:bottom w:val="none" w:sz="0" w:space="0" w:color="auto"/>
        <w:right w:val="none" w:sz="0" w:space="0" w:color="auto"/>
      </w:divBdr>
      <w:divsChild>
        <w:div w:id="190387735">
          <w:marLeft w:val="0"/>
          <w:marRight w:val="0"/>
          <w:marTop w:val="0"/>
          <w:marBottom w:val="0"/>
          <w:divBdr>
            <w:top w:val="none" w:sz="0" w:space="0" w:color="auto"/>
            <w:left w:val="none" w:sz="0" w:space="0" w:color="auto"/>
            <w:bottom w:val="none" w:sz="0" w:space="0" w:color="auto"/>
            <w:right w:val="none" w:sz="0" w:space="0" w:color="auto"/>
          </w:divBdr>
          <w:divsChild>
            <w:div w:id="383453985">
              <w:marLeft w:val="0"/>
              <w:marRight w:val="0"/>
              <w:marTop w:val="0"/>
              <w:marBottom w:val="0"/>
              <w:divBdr>
                <w:top w:val="none" w:sz="0" w:space="0" w:color="auto"/>
                <w:left w:val="none" w:sz="0" w:space="0" w:color="auto"/>
                <w:bottom w:val="none" w:sz="0" w:space="0" w:color="auto"/>
                <w:right w:val="none" w:sz="0" w:space="0" w:color="auto"/>
              </w:divBdr>
              <w:divsChild>
                <w:div w:id="2013754507">
                  <w:marLeft w:val="0"/>
                  <w:marRight w:val="0"/>
                  <w:marTop w:val="100"/>
                  <w:marBottom w:val="100"/>
                  <w:divBdr>
                    <w:top w:val="none" w:sz="0" w:space="0" w:color="auto"/>
                    <w:left w:val="none" w:sz="0" w:space="0" w:color="auto"/>
                    <w:bottom w:val="none" w:sz="0" w:space="0" w:color="auto"/>
                    <w:right w:val="none" w:sz="0" w:space="0" w:color="auto"/>
                  </w:divBdr>
                  <w:divsChild>
                    <w:div w:id="638532722">
                      <w:marLeft w:val="0"/>
                      <w:marRight w:val="0"/>
                      <w:marTop w:val="0"/>
                      <w:marBottom w:val="0"/>
                      <w:divBdr>
                        <w:top w:val="none" w:sz="0" w:space="0" w:color="auto"/>
                        <w:left w:val="none" w:sz="0" w:space="0" w:color="auto"/>
                        <w:bottom w:val="none" w:sz="0" w:space="0" w:color="auto"/>
                        <w:right w:val="none" w:sz="0" w:space="0" w:color="auto"/>
                      </w:divBdr>
                      <w:divsChild>
                        <w:div w:id="182550241">
                          <w:marLeft w:val="0"/>
                          <w:marRight w:val="0"/>
                          <w:marTop w:val="0"/>
                          <w:marBottom w:val="0"/>
                          <w:divBdr>
                            <w:top w:val="none" w:sz="0" w:space="0" w:color="auto"/>
                            <w:left w:val="none" w:sz="0" w:space="0" w:color="auto"/>
                            <w:bottom w:val="none" w:sz="0" w:space="0" w:color="auto"/>
                            <w:right w:val="none" w:sz="0" w:space="0" w:color="auto"/>
                          </w:divBdr>
                          <w:divsChild>
                            <w:div w:id="1692880788">
                              <w:marLeft w:val="0"/>
                              <w:marRight w:val="0"/>
                              <w:marTop w:val="0"/>
                              <w:marBottom w:val="0"/>
                              <w:divBdr>
                                <w:top w:val="none" w:sz="0" w:space="0" w:color="auto"/>
                                <w:left w:val="none" w:sz="0" w:space="0" w:color="auto"/>
                                <w:bottom w:val="none" w:sz="0" w:space="0" w:color="auto"/>
                                <w:right w:val="none" w:sz="0" w:space="0" w:color="auto"/>
                              </w:divBdr>
                              <w:divsChild>
                                <w:div w:id="1257711588">
                                  <w:marLeft w:val="0"/>
                                  <w:marRight w:val="0"/>
                                  <w:marTop w:val="0"/>
                                  <w:marBottom w:val="0"/>
                                  <w:divBdr>
                                    <w:top w:val="none" w:sz="0" w:space="0" w:color="auto"/>
                                    <w:left w:val="none" w:sz="0" w:space="0" w:color="auto"/>
                                    <w:bottom w:val="none" w:sz="0" w:space="0" w:color="auto"/>
                                    <w:right w:val="none" w:sz="0" w:space="0" w:color="auto"/>
                                  </w:divBdr>
                                  <w:divsChild>
                                    <w:div w:id="584612104">
                                      <w:marLeft w:val="0"/>
                                      <w:marRight w:val="0"/>
                                      <w:marTop w:val="0"/>
                                      <w:marBottom w:val="0"/>
                                      <w:divBdr>
                                        <w:top w:val="none" w:sz="0" w:space="0" w:color="auto"/>
                                        <w:left w:val="none" w:sz="0" w:space="0" w:color="auto"/>
                                        <w:bottom w:val="none" w:sz="0" w:space="0" w:color="auto"/>
                                        <w:right w:val="none" w:sz="0" w:space="0" w:color="auto"/>
                                      </w:divBdr>
                                      <w:divsChild>
                                        <w:div w:id="657005554">
                                          <w:marLeft w:val="0"/>
                                          <w:marRight w:val="0"/>
                                          <w:marTop w:val="0"/>
                                          <w:marBottom w:val="0"/>
                                          <w:divBdr>
                                            <w:top w:val="none" w:sz="0" w:space="0" w:color="auto"/>
                                            <w:left w:val="none" w:sz="0" w:space="0" w:color="auto"/>
                                            <w:bottom w:val="none" w:sz="0" w:space="0" w:color="auto"/>
                                            <w:right w:val="none" w:sz="0" w:space="0" w:color="auto"/>
                                          </w:divBdr>
                                          <w:divsChild>
                                            <w:div w:id="471599019">
                                              <w:marLeft w:val="0"/>
                                              <w:marRight w:val="0"/>
                                              <w:marTop w:val="0"/>
                                              <w:marBottom w:val="0"/>
                                              <w:divBdr>
                                                <w:top w:val="single" w:sz="6" w:space="0" w:color="B6D444"/>
                                                <w:left w:val="none" w:sz="0" w:space="0" w:color="auto"/>
                                                <w:bottom w:val="none" w:sz="0" w:space="0" w:color="auto"/>
                                                <w:right w:val="none" w:sz="0" w:space="0" w:color="auto"/>
                                              </w:divBdr>
                                              <w:divsChild>
                                                <w:div w:id="4022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95325">
      <w:bodyDiv w:val="1"/>
      <w:marLeft w:val="0"/>
      <w:marRight w:val="0"/>
      <w:marTop w:val="0"/>
      <w:marBottom w:val="0"/>
      <w:divBdr>
        <w:top w:val="none" w:sz="0" w:space="0" w:color="auto"/>
        <w:left w:val="none" w:sz="0" w:space="0" w:color="auto"/>
        <w:bottom w:val="none" w:sz="0" w:space="0" w:color="auto"/>
        <w:right w:val="none" w:sz="0" w:space="0" w:color="auto"/>
      </w:divBdr>
      <w:divsChild>
        <w:div w:id="559751326">
          <w:marLeft w:val="0"/>
          <w:marRight w:val="0"/>
          <w:marTop w:val="0"/>
          <w:marBottom w:val="0"/>
          <w:divBdr>
            <w:top w:val="none" w:sz="0" w:space="0" w:color="auto"/>
            <w:left w:val="none" w:sz="0" w:space="0" w:color="auto"/>
            <w:bottom w:val="none" w:sz="0" w:space="0" w:color="auto"/>
            <w:right w:val="none" w:sz="0" w:space="0" w:color="auto"/>
          </w:divBdr>
          <w:divsChild>
            <w:div w:id="2119370126">
              <w:marLeft w:val="0"/>
              <w:marRight w:val="0"/>
              <w:marTop w:val="0"/>
              <w:marBottom w:val="0"/>
              <w:divBdr>
                <w:top w:val="none" w:sz="0" w:space="0" w:color="auto"/>
                <w:left w:val="none" w:sz="0" w:space="0" w:color="auto"/>
                <w:bottom w:val="none" w:sz="0" w:space="0" w:color="auto"/>
                <w:right w:val="none" w:sz="0" w:space="0" w:color="auto"/>
              </w:divBdr>
              <w:divsChild>
                <w:div w:id="584611952">
                  <w:marLeft w:val="0"/>
                  <w:marRight w:val="15"/>
                  <w:marTop w:val="0"/>
                  <w:marBottom w:val="0"/>
                  <w:divBdr>
                    <w:top w:val="none" w:sz="0" w:space="0" w:color="auto"/>
                    <w:left w:val="none" w:sz="0" w:space="0" w:color="auto"/>
                    <w:bottom w:val="none" w:sz="0" w:space="0" w:color="auto"/>
                    <w:right w:val="none" w:sz="0" w:space="0" w:color="auto"/>
                  </w:divBdr>
                  <w:divsChild>
                    <w:div w:id="207108301">
                      <w:marLeft w:val="0"/>
                      <w:marRight w:val="0"/>
                      <w:marTop w:val="0"/>
                      <w:marBottom w:val="0"/>
                      <w:divBdr>
                        <w:top w:val="none" w:sz="0" w:space="0" w:color="auto"/>
                        <w:left w:val="none" w:sz="0" w:space="0" w:color="auto"/>
                        <w:bottom w:val="none" w:sz="0" w:space="0" w:color="auto"/>
                        <w:right w:val="none" w:sz="0" w:space="0" w:color="auto"/>
                      </w:divBdr>
                    </w:div>
                    <w:div w:id="980039878">
                      <w:marLeft w:val="0"/>
                      <w:marRight w:val="0"/>
                      <w:marTop w:val="0"/>
                      <w:marBottom w:val="0"/>
                      <w:divBdr>
                        <w:top w:val="none" w:sz="0" w:space="0" w:color="auto"/>
                        <w:left w:val="none" w:sz="0" w:space="0" w:color="auto"/>
                        <w:bottom w:val="none" w:sz="0" w:space="0" w:color="auto"/>
                        <w:right w:val="none" w:sz="0" w:space="0" w:color="auto"/>
                      </w:divBdr>
                      <w:divsChild>
                        <w:div w:id="8171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243086">
      <w:bodyDiv w:val="1"/>
      <w:marLeft w:val="0"/>
      <w:marRight w:val="0"/>
      <w:marTop w:val="0"/>
      <w:marBottom w:val="0"/>
      <w:divBdr>
        <w:top w:val="none" w:sz="0" w:space="0" w:color="auto"/>
        <w:left w:val="none" w:sz="0" w:space="0" w:color="auto"/>
        <w:bottom w:val="none" w:sz="0" w:space="0" w:color="auto"/>
        <w:right w:val="none" w:sz="0" w:space="0" w:color="auto"/>
      </w:divBdr>
      <w:divsChild>
        <w:div w:id="1562517785">
          <w:marLeft w:val="0"/>
          <w:marRight w:val="0"/>
          <w:marTop w:val="0"/>
          <w:marBottom w:val="0"/>
          <w:divBdr>
            <w:top w:val="none" w:sz="0" w:space="0" w:color="auto"/>
            <w:left w:val="none" w:sz="0" w:space="0" w:color="auto"/>
            <w:bottom w:val="none" w:sz="0" w:space="0" w:color="auto"/>
            <w:right w:val="none" w:sz="0" w:space="0" w:color="auto"/>
          </w:divBdr>
          <w:divsChild>
            <w:div w:id="1966692704">
              <w:marLeft w:val="0"/>
              <w:marRight w:val="0"/>
              <w:marTop w:val="0"/>
              <w:marBottom w:val="0"/>
              <w:divBdr>
                <w:top w:val="none" w:sz="0" w:space="0" w:color="auto"/>
                <w:left w:val="none" w:sz="0" w:space="0" w:color="auto"/>
                <w:bottom w:val="none" w:sz="0" w:space="0" w:color="auto"/>
                <w:right w:val="none" w:sz="0" w:space="0" w:color="auto"/>
              </w:divBdr>
            </w:div>
          </w:divsChild>
        </w:div>
        <w:div w:id="1612513303">
          <w:marLeft w:val="0"/>
          <w:marRight w:val="0"/>
          <w:marTop w:val="0"/>
          <w:marBottom w:val="0"/>
          <w:divBdr>
            <w:top w:val="none" w:sz="0" w:space="0" w:color="auto"/>
            <w:left w:val="none" w:sz="0" w:space="0" w:color="auto"/>
            <w:bottom w:val="none" w:sz="0" w:space="0" w:color="auto"/>
            <w:right w:val="none" w:sz="0" w:space="0" w:color="auto"/>
          </w:divBdr>
          <w:divsChild>
            <w:div w:id="567115484">
              <w:marLeft w:val="0"/>
              <w:marRight w:val="0"/>
              <w:marTop w:val="0"/>
              <w:marBottom w:val="0"/>
              <w:divBdr>
                <w:top w:val="none" w:sz="0" w:space="0" w:color="auto"/>
                <w:left w:val="none" w:sz="0" w:space="0" w:color="auto"/>
                <w:bottom w:val="none" w:sz="0" w:space="0" w:color="auto"/>
                <w:right w:val="none" w:sz="0" w:space="0" w:color="auto"/>
              </w:divBdr>
              <w:divsChild>
                <w:div w:id="1087267384">
                  <w:marLeft w:val="0"/>
                  <w:marRight w:val="0"/>
                  <w:marTop w:val="0"/>
                  <w:marBottom w:val="0"/>
                  <w:divBdr>
                    <w:top w:val="none" w:sz="0" w:space="0" w:color="auto"/>
                    <w:left w:val="none" w:sz="0" w:space="0" w:color="auto"/>
                    <w:bottom w:val="none" w:sz="0" w:space="0" w:color="auto"/>
                    <w:right w:val="none" w:sz="0" w:space="0" w:color="auto"/>
                  </w:divBdr>
                  <w:divsChild>
                    <w:div w:id="12598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18847">
      <w:bodyDiv w:val="1"/>
      <w:marLeft w:val="0"/>
      <w:marRight w:val="0"/>
      <w:marTop w:val="0"/>
      <w:marBottom w:val="0"/>
      <w:divBdr>
        <w:top w:val="none" w:sz="0" w:space="0" w:color="auto"/>
        <w:left w:val="none" w:sz="0" w:space="0" w:color="auto"/>
        <w:bottom w:val="none" w:sz="0" w:space="0" w:color="auto"/>
        <w:right w:val="none" w:sz="0" w:space="0" w:color="auto"/>
      </w:divBdr>
      <w:divsChild>
        <w:div w:id="208999792">
          <w:marLeft w:val="0"/>
          <w:marRight w:val="0"/>
          <w:marTop w:val="0"/>
          <w:marBottom w:val="0"/>
          <w:divBdr>
            <w:top w:val="none" w:sz="0" w:space="0" w:color="auto"/>
            <w:left w:val="none" w:sz="0" w:space="0" w:color="auto"/>
            <w:bottom w:val="none" w:sz="0" w:space="0" w:color="auto"/>
            <w:right w:val="none" w:sz="0" w:space="0" w:color="auto"/>
          </w:divBdr>
          <w:divsChild>
            <w:div w:id="1899583658">
              <w:marLeft w:val="0"/>
              <w:marRight w:val="0"/>
              <w:marTop w:val="0"/>
              <w:marBottom w:val="0"/>
              <w:divBdr>
                <w:top w:val="none" w:sz="0" w:space="0" w:color="auto"/>
                <w:left w:val="none" w:sz="0" w:space="0" w:color="auto"/>
                <w:bottom w:val="none" w:sz="0" w:space="0" w:color="auto"/>
                <w:right w:val="none" w:sz="0" w:space="0" w:color="auto"/>
              </w:divBdr>
              <w:divsChild>
                <w:div w:id="1307008149">
                  <w:marLeft w:val="0"/>
                  <w:marRight w:val="0"/>
                  <w:marTop w:val="0"/>
                  <w:marBottom w:val="0"/>
                  <w:divBdr>
                    <w:top w:val="none" w:sz="0" w:space="0" w:color="auto"/>
                    <w:left w:val="none" w:sz="0" w:space="0" w:color="auto"/>
                    <w:bottom w:val="none" w:sz="0" w:space="0" w:color="auto"/>
                    <w:right w:val="none" w:sz="0" w:space="0" w:color="auto"/>
                  </w:divBdr>
                  <w:divsChild>
                    <w:div w:id="216666439">
                      <w:marLeft w:val="0"/>
                      <w:marRight w:val="0"/>
                      <w:marTop w:val="0"/>
                      <w:marBottom w:val="0"/>
                      <w:divBdr>
                        <w:top w:val="none" w:sz="0" w:space="0" w:color="auto"/>
                        <w:left w:val="none" w:sz="0" w:space="0" w:color="auto"/>
                        <w:bottom w:val="none" w:sz="0" w:space="0" w:color="auto"/>
                        <w:right w:val="none" w:sz="0" w:space="0" w:color="auto"/>
                      </w:divBdr>
                      <w:divsChild>
                        <w:div w:id="1616909921">
                          <w:marLeft w:val="0"/>
                          <w:marRight w:val="0"/>
                          <w:marTop w:val="0"/>
                          <w:marBottom w:val="0"/>
                          <w:divBdr>
                            <w:top w:val="none" w:sz="0" w:space="0" w:color="auto"/>
                            <w:left w:val="none" w:sz="0" w:space="0" w:color="auto"/>
                            <w:bottom w:val="single" w:sz="6" w:space="15" w:color="CCCCCC"/>
                            <w:right w:val="none" w:sz="0" w:space="0" w:color="auto"/>
                          </w:divBdr>
                          <w:divsChild>
                            <w:div w:id="968125096">
                              <w:marLeft w:val="0"/>
                              <w:marRight w:val="0"/>
                              <w:marTop w:val="0"/>
                              <w:marBottom w:val="0"/>
                              <w:divBdr>
                                <w:top w:val="none" w:sz="0" w:space="0" w:color="auto"/>
                                <w:left w:val="none" w:sz="0" w:space="0" w:color="auto"/>
                                <w:bottom w:val="none" w:sz="0" w:space="0" w:color="auto"/>
                                <w:right w:val="none" w:sz="0" w:space="0" w:color="auto"/>
                              </w:divBdr>
                              <w:divsChild>
                                <w:div w:id="3665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5109">
      <w:bodyDiv w:val="1"/>
      <w:marLeft w:val="0"/>
      <w:marRight w:val="0"/>
      <w:marTop w:val="0"/>
      <w:marBottom w:val="0"/>
      <w:divBdr>
        <w:top w:val="none" w:sz="0" w:space="0" w:color="auto"/>
        <w:left w:val="none" w:sz="0" w:space="0" w:color="auto"/>
        <w:bottom w:val="none" w:sz="0" w:space="0" w:color="auto"/>
        <w:right w:val="none" w:sz="0" w:space="0" w:color="auto"/>
      </w:divBdr>
      <w:divsChild>
        <w:div w:id="1044523698">
          <w:marLeft w:val="0"/>
          <w:marRight w:val="0"/>
          <w:marTop w:val="0"/>
          <w:marBottom w:val="0"/>
          <w:divBdr>
            <w:top w:val="single" w:sz="4" w:space="0" w:color="0E477A"/>
            <w:left w:val="single" w:sz="4" w:space="0" w:color="0E477A"/>
            <w:bottom w:val="single" w:sz="4" w:space="0" w:color="0E477A"/>
            <w:right w:val="single" w:sz="4" w:space="0" w:color="0E477A"/>
          </w:divBdr>
          <w:divsChild>
            <w:div w:id="1396049662">
              <w:marLeft w:val="2442"/>
              <w:marRight w:val="0"/>
              <w:marTop w:val="0"/>
              <w:marBottom w:val="0"/>
              <w:divBdr>
                <w:top w:val="none" w:sz="0" w:space="0" w:color="auto"/>
                <w:left w:val="none" w:sz="0" w:space="0" w:color="auto"/>
                <w:bottom w:val="none" w:sz="0" w:space="0" w:color="auto"/>
                <w:right w:val="none" w:sz="0" w:space="0" w:color="auto"/>
              </w:divBdr>
              <w:divsChild>
                <w:div w:id="560410676">
                  <w:marLeft w:val="0"/>
                  <w:marRight w:val="0"/>
                  <w:marTop w:val="0"/>
                  <w:marBottom w:val="0"/>
                  <w:divBdr>
                    <w:top w:val="none" w:sz="0" w:space="0" w:color="auto"/>
                    <w:left w:val="none" w:sz="0" w:space="0" w:color="auto"/>
                    <w:bottom w:val="none" w:sz="0" w:space="0" w:color="auto"/>
                    <w:right w:val="none" w:sz="0" w:space="0" w:color="auto"/>
                  </w:divBdr>
                  <w:divsChild>
                    <w:div w:id="2085106769">
                      <w:marLeft w:val="0"/>
                      <w:marRight w:val="125"/>
                      <w:marTop w:val="0"/>
                      <w:marBottom w:val="0"/>
                      <w:divBdr>
                        <w:top w:val="single" w:sz="4" w:space="0" w:color="CCCCCC"/>
                        <w:left w:val="single" w:sz="4" w:space="6" w:color="CCCCCC"/>
                        <w:bottom w:val="single" w:sz="4" w:space="6" w:color="CCCCCC"/>
                        <w:right w:val="single" w:sz="4" w:space="6" w:color="CCCCCC"/>
                      </w:divBdr>
                      <w:divsChild>
                        <w:div w:id="2133089478">
                          <w:marLeft w:val="0"/>
                          <w:marRight w:val="0"/>
                          <w:marTop w:val="0"/>
                          <w:marBottom w:val="0"/>
                          <w:divBdr>
                            <w:top w:val="none" w:sz="0" w:space="0" w:color="auto"/>
                            <w:left w:val="none" w:sz="0" w:space="0" w:color="auto"/>
                            <w:bottom w:val="none" w:sz="0" w:space="0" w:color="auto"/>
                            <w:right w:val="none" w:sz="0" w:space="0" w:color="auto"/>
                          </w:divBdr>
                        </w:div>
                        <w:div w:id="1024289885">
                          <w:marLeft w:val="0"/>
                          <w:marRight w:val="0"/>
                          <w:marTop w:val="0"/>
                          <w:marBottom w:val="0"/>
                          <w:divBdr>
                            <w:top w:val="none" w:sz="0" w:space="0" w:color="auto"/>
                            <w:left w:val="none" w:sz="0" w:space="0" w:color="auto"/>
                            <w:bottom w:val="none" w:sz="0" w:space="0" w:color="auto"/>
                            <w:right w:val="none" w:sz="0" w:space="0" w:color="auto"/>
                          </w:divBdr>
                        </w:div>
                        <w:div w:id="1726293259">
                          <w:marLeft w:val="0"/>
                          <w:marRight w:val="0"/>
                          <w:marTop w:val="0"/>
                          <w:marBottom w:val="0"/>
                          <w:divBdr>
                            <w:top w:val="none" w:sz="0" w:space="0" w:color="auto"/>
                            <w:left w:val="none" w:sz="0" w:space="0" w:color="auto"/>
                            <w:bottom w:val="none" w:sz="0" w:space="0" w:color="auto"/>
                            <w:right w:val="none" w:sz="0" w:space="0" w:color="auto"/>
                          </w:divBdr>
                        </w:div>
                        <w:div w:id="481847041">
                          <w:marLeft w:val="0"/>
                          <w:marRight w:val="0"/>
                          <w:marTop w:val="0"/>
                          <w:marBottom w:val="0"/>
                          <w:divBdr>
                            <w:top w:val="none" w:sz="0" w:space="0" w:color="auto"/>
                            <w:left w:val="none" w:sz="0" w:space="0" w:color="auto"/>
                            <w:bottom w:val="none" w:sz="0" w:space="0" w:color="auto"/>
                            <w:right w:val="none" w:sz="0" w:space="0" w:color="auto"/>
                          </w:divBdr>
                        </w:div>
                        <w:div w:id="798189201">
                          <w:marLeft w:val="0"/>
                          <w:marRight w:val="0"/>
                          <w:marTop w:val="0"/>
                          <w:marBottom w:val="0"/>
                          <w:divBdr>
                            <w:top w:val="none" w:sz="0" w:space="0" w:color="auto"/>
                            <w:left w:val="none" w:sz="0" w:space="0" w:color="auto"/>
                            <w:bottom w:val="none" w:sz="0" w:space="0" w:color="auto"/>
                            <w:right w:val="none" w:sz="0" w:space="0" w:color="auto"/>
                          </w:divBdr>
                        </w:div>
                        <w:div w:id="1639611205">
                          <w:marLeft w:val="0"/>
                          <w:marRight w:val="0"/>
                          <w:marTop w:val="0"/>
                          <w:marBottom w:val="0"/>
                          <w:divBdr>
                            <w:top w:val="none" w:sz="0" w:space="0" w:color="auto"/>
                            <w:left w:val="none" w:sz="0" w:space="0" w:color="auto"/>
                            <w:bottom w:val="none" w:sz="0" w:space="0" w:color="auto"/>
                            <w:right w:val="none" w:sz="0" w:space="0" w:color="auto"/>
                          </w:divBdr>
                        </w:div>
                        <w:div w:id="1137260557">
                          <w:marLeft w:val="0"/>
                          <w:marRight w:val="0"/>
                          <w:marTop w:val="0"/>
                          <w:marBottom w:val="0"/>
                          <w:divBdr>
                            <w:top w:val="none" w:sz="0" w:space="0" w:color="auto"/>
                            <w:left w:val="none" w:sz="0" w:space="0" w:color="auto"/>
                            <w:bottom w:val="none" w:sz="0" w:space="0" w:color="auto"/>
                            <w:right w:val="none" w:sz="0" w:space="0" w:color="auto"/>
                          </w:divBdr>
                        </w:div>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180013">
      <w:bodyDiv w:val="1"/>
      <w:marLeft w:val="0"/>
      <w:marRight w:val="0"/>
      <w:marTop w:val="0"/>
      <w:marBottom w:val="0"/>
      <w:divBdr>
        <w:top w:val="none" w:sz="0" w:space="0" w:color="auto"/>
        <w:left w:val="none" w:sz="0" w:space="0" w:color="auto"/>
        <w:bottom w:val="none" w:sz="0" w:space="0" w:color="auto"/>
        <w:right w:val="none" w:sz="0" w:space="0" w:color="auto"/>
      </w:divBdr>
      <w:divsChild>
        <w:div w:id="1253591975">
          <w:marLeft w:val="0"/>
          <w:marRight w:val="0"/>
          <w:marTop w:val="0"/>
          <w:marBottom w:val="0"/>
          <w:divBdr>
            <w:top w:val="none" w:sz="0" w:space="0" w:color="auto"/>
            <w:left w:val="none" w:sz="0" w:space="0" w:color="auto"/>
            <w:bottom w:val="none" w:sz="0" w:space="0" w:color="auto"/>
            <w:right w:val="none" w:sz="0" w:space="0" w:color="auto"/>
          </w:divBdr>
          <w:divsChild>
            <w:div w:id="532233165">
              <w:marLeft w:val="0"/>
              <w:marRight w:val="0"/>
              <w:marTop w:val="0"/>
              <w:marBottom w:val="0"/>
              <w:divBdr>
                <w:top w:val="none" w:sz="0" w:space="0" w:color="auto"/>
                <w:left w:val="none" w:sz="0" w:space="0" w:color="auto"/>
                <w:bottom w:val="none" w:sz="0" w:space="0" w:color="auto"/>
                <w:right w:val="none" w:sz="0" w:space="0" w:color="auto"/>
              </w:divBdr>
              <w:divsChild>
                <w:div w:id="566841577">
                  <w:marLeft w:val="0"/>
                  <w:marRight w:val="0"/>
                  <w:marTop w:val="100"/>
                  <w:marBottom w:val="100"/>
                  <w:divBdr>
                    <w:top w:val="none" w:sz="0" w:space="0" w:color="auto"/>
                    <w:left w:val="none" w:sz="0" w:space="0" w:color="auto"/>
                    <w:bottom w:val="none" w:sz="0" w:space="0" w:color="auto"/>
                    <w:right w:val="none" w:sz="0" w:space="0" w:color="auto"/>
                  </w:divBdr>
                  <w:divsChild>
                    <w:div w:id="366568055">
                      <w:marLeft w:val="0"/>
                      <w:marRight w:val="0"/>
                      <w:marTop w:val="0"/>
                      <w:marBottom w:val="0"/>
                      <w:divBdr>
                        <w:top w:val="none" w:sz="0" w:space="0" w:color="auto"/>
                        <w:left w:val="none" w:sz="0" w:space="0" w:color="auto"/>
                        <w:bottom w:val="none" w:sz="0" w:space="0" w:color="auto"/>
                        <w:right w:val="none" w:sz="0" w:space="0" w:color="auto"/>
                      </w:divBdr>
                      <w:divsChild>
                        <w:div w:id="623537650">
                          <w:marLeft w:val="0"/>
                          <w:marRight w:val="0"/>
                          <w:marTop w:val="0"/>
                          <w:marBottom w:val="0"/>
                          <w:divBdr>
                            <w:top w:val="none" w:sz="0" w:space="0" w:color="auto"/>
                            <w:left w:val="none" w:sz="0" w:space="0" w:color="auto"/>
                            <w:bottom w:val="none" w:sz="0" w:space="0" w:color="auto"/>
                            <w:right w:val="none" w:sz="0" w:space="0" w:color="auto"/>
                          </w:divBdr>
                          <w:divsChild>
                            <w:div w:id="519396753">
                              <w:marLeft w:val="0"/>
                              <w:marRight w:val="0"/>
                              <w:marTop w:val="0"/>
                              <w:marBottom w:val="0"/>
                              <w:divBdr>
                                <w:top w:val="none" w:sz="0" w:space="0" w:color="auto"/>
                                <w:left w:val="none" w:sz="0" w:space="0" w:color="auto"/>
                                <w:bottom w:val="none" w:sz="0" w:space="0" w:color="auto"/>
                                <w:right w:val="none" w:sz="0" w:space="0" w:color="auto"/>
                              </w:divBdr>
                              <w:divsChild>
                                <w:div w:id="94792559">
                                  <w:marLeft w:val="0"/>
                                  <w:marRight w:val="0"/>
                                  <w:marTop w:val="0"/>
                                  <w:marBottom w:val="0"/>
                                  <w:divBdr>
                                    <w:top w:val="none" w:sz="0" w:space="0" w:color="auto"/>
                                    <w:left w:val="none" w:sz="0" w:space="0" w:color="auto"/>
                                    <w:bottom w:val="none" w:sz="0" w:space="0" w:color="auto"/>
                                    <w:right w:val="none" w:sz="0" w:space="0" w:color="auto"/>
                                  </w:divBdr>
                                  <w:divsChild>
                                    <w:div w:id="1533035725">
                                      <w:marLeft w:val="0"/>
                                      <w:marRight w:val="0"/>
                                      <w:marTop w:val="0"/>
                                      <w:marBottom w:val="0"/>
                                      <w:divBdr>
                                        <w:top w:val="none" w:sz="0" w:space="0" w:color="auto"/>
                                        <w:left w:val="none" w:sz="0" w:space="0" w:color="auto"/>
                                        <w:bottom w:val="none" w:sz="0" w:space="0" w:color="auto"/>
                                        <w:right w:val="none" w:sz="0" w:space="0" w:color="auto"/>
                                      </w:divBdr>
                                      <w:divsChild>
                                        <w:div w:id="1638486818">
                                          <w:marLeft w:val="0"/>
                                          <w:marRight w:val="0"/>
                                          <w:marTop w:val="0"/>
                                          <w:marBottom w:val="0"/>
                                          <w:divBdr>
                                            <w:top w:val="none" w:sz="0" w:space="0" w:color="auto"/>
                                            <w:left w:val="none" w:sz="0" w:space="0" w:color="auto"/>
                                            <w:bottom w:val="none" w:sz="0" w:space="0" w:color="auto"/>
                                            <w:right w:val="none" w:sz="0" w:space="0" w:color="auto"/>
                                          </w:divBdr>
                                          <w:divsChild>
                                            <w:div w:id="1138762083">
                                              <w:marLeft w:val="0"/>
                                              <w:marRight w:val="0"/>
                                              <w:marTop w:val="0"/>
                                              <w:marBottom w:val="0"/>
                                              <w:divBdr>
                                                <w:top w:val="single" w:sz="4" w:space="0" w:color="B6D444"/>
                                                <w:left w:val="none" w:sz="0" w:space="0" w:color="auto"/>
                                                <w:bottom w:val="none" w:sz="0" w:space="0" w:color="auto"/>
                                                <w:right w:val="none" w:sz="0" w:space="0" w:color="auto"/>
                                              </w:divBdr>
                                              <w:divsChild>
                                                <w:div w:id="1696692610">
                                                  <w:marLeft w:val="0"/>
                                                  <w:marRight w:val="0"/>
                                                  <w:marTop w:val="0"/>
                                                  <w:marBottom w:val="0"/>
                                                  <w:divBdr>
                                                    <w:top w:val="none" w:sz="0" w:space="0" w:color="auto"/>
                                                    <w:left w:val="none" w:sz="0" w:space="0" w:color="auto"/>
                                                    <w:bottom w:val="none" w:sz="0" w:space="0" w:color="auto"/>
                                                    <w:right w:val="none" w:sz="0" w:space="0" w:color="auto"/>
                                                  </w:divBdr>
                                                </w:div>
                                                <w:div w:id="2839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223927">
      <w:bodyDiv w:val="1"/>
      <w:marLeft w:val="0"/>
      <w:marRight w:val="0"/>
      <w:marTop w:val="0"/>
      <w:marBottom w:val="0"/>
      <w:divBdr>
        <w:top w:val="none" w:sz="0" w:space="0" w:color="auto"/>
        <w:left w:val="none" w:sz="0" w:space="0" w:color="auto"/>
        <w:bottom w:val="none" w:sz="0" w:space="0" w:color="auto"/>
        <w:right w:val="none" w:sz="0" w:space="0" w:color="auto"/>
      </w:divBdr>
      <w:divsChild>
        <w:div w:id="1976064796">
          <w:marLeft w:val="0"/>
          <w:marRight w:val="0"/>
          <w:marTop w:val="0"/>
          <w:marBottom w:val="0"/>
          <w:divBdr>
            <w:top w:val="none" w:sz="0" w:space="0" w:color="auto"/>
            <w:left w:val="none" w:sz="0" w:space="0" w:color="auto"/>
            <w:bottom w:val="none" w:sz="0" w:space="0" w:color="auto"/>
            <w:right w:val="none" w:sz="0" w:space="0" w:color="auto"/>
          </w:divBdr>
          <w:divsChild>
            <w:div w:id="723025835">
              <w:marLeft w:val="0"/>
              <w:marRight w:val="0"/>
              <w:marTop w:val="0"/>
              <w:marBottom w:val="0"/>
              <w:divBdr>
                <w:top w:val="none" w:sz="0" w:space="0" w:color="auto"/>
                <w:left w:val="none" w:sz="0" w:space="0" w:color="auto"/>
                <w:bottom w:val="none" w:sz="0" w:space="0" w:color="auto"/>
                <w:right w:val="none" w:sz="0" w:space="0" w:color="auto"/>
              </w:divBdr>
              <w:divsChild>
                <w:div w:id="1758669858">
                  <w:marLeft w:val="0"/>
                  <w:marRight w:val="0"/>
                  <w:marTop w:val="0"/>
                  <w:marBottom w:val="0"/>
                  <w:divBdr>
                    <w:top w:val="none" w:sz="0" w:space="0" w:color="auto"/>
                    <w:left w:val="none" w:sz="0" w:space="0" w:color="auto"/>
                    <w:bottom w:val="none" w:sz="0" w:space="0" w:color="auto"/>
                    <w:right w:val="none" w:sz="0" w:space="0" w:color="auto"/>
                  </w:divBdr>
                  <w:divsChild>
                    <w:div w:id="1876500321">
                      <w:marLeft w:val="0"/>
                      <w:marRight w:val="0"/>
                      <w:marTop w:val="0"/>
                      <w:marBottom w:val="0"/>
                      <w:divBdr>
                        <w:top w:val="none" w:sz="0" w:space="0" w:color="auto"/>
                        <w:left w:val="none" w:sz="0" w:space="0" w:color="auto"/>
                        <w:bottom w:val="none" w:sz="0" w:space="0" w:color="auto"/>
                        <w:right w:val="none" w:sz="0" w:space="0" w:color="auto"/>
                      </w:divBdr>
                      <w:divsChild>
                        <w:div w:id="1706369386">
                          <w:marLeft w:val="0"/>
                          <w:marRight w:val="0"/>
                          <w:marTop w:val="0"/>
                          <w:marBottom w:val="0"/>
                          <w:divBdr>
                            <w:top w:val="none" w:sz="0" w:space="0" w:color="auto"/>
                            <w:left w:val="none" w:sz="0" w:space="0" w:color="auto"/>
                            <w:bottom w:val="none" w:sz="0" w:space="0" w:color="auto"/>
                            <w:right w:val="none" w:sz="0" w:space="0" w:color="auto"/>
                          </w:divBdr>
                          <w:divsChild>
                            <w:div w:id="1403722309">
                              <w:marLeft w:val="0"/>
                              <w:marRight w:val="0"/>
                              <w:marTop w:val="0"/>
                              <w:marBottom w:val="0"/>
                              <w:divBdr>
                                <w:top w:val="none" w:sz="0" w:space="0" w:color="auto"/>
                                <w:left w:val="none" w:sz="0" w:space="0" w:color="auto"/>
                                <w:bottom w:val="none" w:sz="0" w:space="0" w:color="auto"/>
                                <w:right w:val="none" w:sz="0" w:space="0" w:color="auto"/>
                              </w:divBdr>
                              <w:divsChild>
                                <w:div w:id="1919365959">
                                  <w:marLeft w:val="0"/>
                                  <w:marRight w:val="0"/>
                                  <w:marTop w:val="0"/>
                                  <w:marBottom w:val="0"/>
                                  <w:divBdr>
                                    <w:top w:val="none" w:sz="0" w:space="0" w:color="auto"/>
                                    <w:left w:val="none" w:sz="0" w:space="0" w:color="auto"/>
                                    <w:bottom w:val="none" w:sz="0" w:space="0" w:color="auto"/>
                                    <w:right w:val="none" w:sz="0" w:space="0" w:color="auto"/>
                                  </w:divBdr>
                                  <w:divsChild>
                                    <w:div w:id="1421097504">
                                      <w:marLeft w:val="0"/>
                                      <w:marRight w:val="0"/>
                                      <w:marTop w:val="0"/>
                                      <w:marBottom w:val="0"/>
                                      <w:divBdr>
                                        <w:top w:val="none" w:sz="0" w:space="0" w:color="auto"/>
                                        <w:left w:val="none" w:sz="0" w:space="0" w:color="auto"/>
                                        <w:bottom w:val="none" w:sz="0" w:space="0" w:color="auto"/>
                                        <w:right w:val="none" w:sz="0" w:space="0" w:color="auto"/>
                                      </w:divBdr>
                                      <w:divsChild>
                                        <w:div w:id="1465348430">
                                          <w:marLeft w:val="0"/>
                                          <w:marRight w:val="0"/>
                                          <w:marTop w:val="0"/>
                                          <w:marBottom w:val="0"/>
                                          <w:divBdr>
                                            <w:top w:val="none" w:sz="0" w:space="0" w:color="auto"/>
                                            <w:left w:val="none" w:sz="0" w:space="0" w:color="auto"/>
                                            <w:bottom w:val="none" w:sz="0" w:space="0" w:color="auto"/>
                                            <w:right w:val="none" w:sz="0" w:space="0" w:color="auto"/>
                                          </w:divBdr>
                                          <w:divsChild>
                                            <w:div w:id="754743200">
                                              <w:marLeft w:val="0"/>
                                              <w:marRight w:val="0"/>
                                              <w:marTop w:val="0"/>
                                              <w:marBottom w:val="0"/>
                                              <w:divBdr>
                                                <w:top w:val="none" w:sz="0" w:space="0" w:color="auto"/>
                                                <w:left w:val="none" w:sz="0" w:space="0" w:color="auto"/>
                                                <w:bottom w:val="none" w:sz="0" w:space="0" w:color="auto"/>
                                                <w:right w:val="none" w:sz="0" w:space="0" w:color="auto"/>
                                              </w:divBdr>
                                              <w:divsChild>
                                                <w:div w:id="1870679283">
                                                  <w:marLeft w:val="0"/>
                                                  <w:marRight w:val="0"/>
                                                  <w:marTop w:val="0"/>
                                                  <w:marBottom w:val="0"/>
                                                  <w:divBdr>
                                                    <w:top w:val="none" w:sz="0" w:space="0" w:color="auto"/>
                                                    <w:left w:val="none" w:sz="0" w:space="0" w:color="auto"/>
                                                    <w:bottom w:val="none" w:sz="0" w:space="0" w:color="auto"/>
                                                    <w:right w:val="none" w:sz="0" w:space="0" w:color="auto"/>
                                                  </w:divBdr>
                                                  <w:divsChild>
                                                    <w:div w:id="1405178028">
                                                      <w:marLeft w:val="0"/>
                                                      <w:marRight w:val="0"/>
                                                      <w:marTop w:val="0"/>
                                                      <w:marBottom w:val="0"/>
                                                      <w:divBdr>
                                                        <w:top w:val="none" w:sz="0" w:space="0" w:color="auto"/>
                                                        <w:left w:val="none" w:sz="0" w:space="0" w:color="auto"/>
                                                        <w:bottom w:val="none" w:sz="0" w:space="0" w:color="auto"/>
                                                        <w:right w:val="none" w:sz="0" w:space="0" w:color="auto"/>
                                                      </w:divBdr>
                                                      <w:divsChild>
                                                        <w:div w:id="9843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07468">
      <w:bodyDiv w:val="1"/>
      <w:marLeft w:val="0"/>
      <w:marRight w:val="0"/>
      <w:marTop w:val="0"/>
      <w:marBottom w:val="0"/>
      <w:divBdr>
        <w:top w:val="none" w:sz="0" w:space="0" w:color="auto"/>
        <w:left w:val="none" w:sz="0" w:space="0" w:color="auto"/>
        <w:bottom w:val="none" w:sz="0" w:space="0" w:color="auto"/>
        <w:right w:val="none" w:sz="0" w:space="0" w:color="auto"/>
      </w:divBdr>
      <w:divsChild>
        <w:div w:id="18551094">
          <w:marLeft w:val="0"/>
          <w:marRight w:val="0"/>
          <w:marTop w:val="0"/>
          <w:marBottom w:val="0"/>
          <w:divBdr>
            <w:top w:val="none" w:sz="0" w:space="0" w:color="auto"/>
            <w:left w:val="none" w:sz="0" w:space="0" w:color="auto"/>
            <w:bottom w:val="none" w:sz="0" w:space="0" w:color="auto"/>
            <w:right w:val="none" w:sz="0" w:space="0" w:color="auto"/>
          </w:divBdr>
        </w:div>
        <w:div w:id="1063529174">
          <w:marLeft w:val="0"/>
          <w:marRight w:val="0"/>
          <w:marTop w:val="0"/>
          <w:marBottom w:val="150"/>
          <w:divBdr>
            <w:top w:val="none" w:sz="0" w:space="0" w:color="auto"/>
            <w:left w:val="none" w:sz="0" w:space="0" w:color="auto"/>
            <w:bottom w:val="none" w:sz="0" w:space="0" w:color="auto"/>
            <w:right w:val="none" w:sz="0" w:space="0" w:color="auto"/>
          </w:divBdr>
          <w:divsChild>
            <w:div w:id="1599413048">
              <w:marLeft w:val="0"/>
              <w:marRight w:val="0"/>
              <w:marTop w:val="240"/>
              <w:marBottom w:val="240"/>
              <w:divBdr>
                <w:top w:val="single" w:sz="6" w:space="6" w:color="F2F2F2"/>
                <w:left w:val="none" w:sz="0" w:space="0" w:color="auto"/>
                <w:bottom w:val="single" w:sz="6" w:space="6" w:color="F2F2F2"/>
                <w:right w:val="none" w:sz="0" w:space="0" w:color="auto"/>
              </w:divBdr>
            </w:div>
            <w:div w:id="1870561097">
              <w:marLeft w:val="0"/>
              <w:marRight w:val="0"/>
              <w:marTop w:val="0"/>
              <w:marBottom w:val="0"/>
              <w:divBdr>
                <w:top w:val="none" w:sz="0" w:space="0" w:color="auto"/>
                <w:left w:val="none" w:sz="0" w:space="0" w:color="auto"/>
                <w:bottom w:val="none" w:sz="0" w:space="0" w:color="auto"/>
                <w:right w:val="none" w:sz="0" w:space="0" w:color="auto"/>
              </w:divBdr>
              <w:divsChild>
                <w:div w:id="8814796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9216826">
      <w:bodyDiv w:val="1"/>
      <w:marLeft w:val="0"/>
      <w:marRight w:val="0"/>
      <w:marTop w:val="0"/>
      <w:marBottom w:val="0"/>
      <w:divBdr>
        <w:top w:val="none" w:sz="0" w:space="0" w:color="auto"/>
        <w:left w:val="none" w:sz="0" w:space="0" w:color="auto"/>
        <w:bottom w:val="none" w:sz="0" w:space="0" w:color="auto"/>
        <w:right w:val="none" w:sz="0" w:space="0" w:color="auto"/>
      </w:divBdr>
      <w:divsChild>
        <w:div w:id="1218857128">
          <w:marLeft w:val="0"/>
          <w:marRight w:val="0"/>
          <w:marTop w:val="0"/>
          <w:marBottom w:val="0"/>
          <w:divBdr>
            <w:top w:val="none" w:sz="0" w:space="0" w:color="auto"/>
            <w:left w:val="none" w:sz="0" w:space="0" w:color="auto"/>
            <w:bottom w:val="none" w:sz="0" w:space="0" w:color="auto"/>
            <w:right w:val="none" w:sz="0" w:space="0" w:color="auto"/>
          </w:divBdr>
          <w:divsChild>
            <w:div w:id="534273883">
              <w:marLeft w:val="0"/>
              <w:marRight w:val="0"/>
              <w:marTop w:val="0"/>
              <w:marBottom w:val="0"/>
              <w:divBdr>
                <w:top w:val="none" w:sz="0" w:space="0" w:color="auto"/>
                <w:left w:val="none" w:sz="0" w:space="0" w:color="auto"/>
                <w:bottom w:val="none" w:sz="0" w:space="0" w:color="auto"/>
                <w:right w:val="none" w:sz="0" w:space="0" w:color="auto"/>
              </w:divBdr>
              <w:divsChild>
                <w:div w:id="1320425981">
                  <w:marLeft w:val="0"/>
                  <w:marRight w:val="0"/>
                  <w:marTop w:val="100"/>
                  <w:marBottom w:val="100"/>
                  <w:divBdr>
                    <w:top w:val="none" w:sz="0" w:space="0" w:color="auto"/>
                    <w:left w:val="none" w:sz="0" w:space="0" w:color="auto"/>
                    <w:bottom w:val="none" w:sz="0" w:space="0" w:color="auto"/>
                    <w:right w:val="none" w:sz="0" w:space="0" w:color="auto"/>
                  </w:divBdr>
                  <w:divsChild>
                    <w:div w:id="407000215">
                      <w:marLeft w:val="0"/>
                      <w:marRight w:val="0"/>
                      <w:marTop w:val="0"/>
                      <w:marBottom w:val="0"/>
                      <w:divBdr>
                        <w:top w:val="none" w:sz="0" w:space="0" w:color="auto"/>
                        <w:left w:val="none" w:sz="0" w:space="0" w:color="auto"/>
                        <w:bottom w:val="none" w:sz="0" w:space="0" w:color="auto"/>
                        <w:right w:val="none" w:sz="0" w:space="0" w:color="auto"/>
                      </w:divBdr>
                      <w:divsChild>
                        <w:div w:id="1801410593">
                          <w:marLeft w:val="0"/>
                          <w:marRight w:val="0"/>
                          <w:marTop w:val="0"/>
                          <w:marBottom w:val="0"/>
                          <w:divBdr>
                            <w:top w:val="none" w:sz="0" w:space="0" w:color="auto"/>
                            <w:left w:val="none" w:sz="0" w:space="0" w:color="auto"/>
                            <w:bottom w:val="none" w:sz="0" w:space="0" w:color="auto"/>
                            <w:right w:val="none" w:sz="0" w:space="0" w:color="auto"/>
                          </w:divBdr>
                          <w:divsChild>
                            <w:div w:id="1116559275">
                              <w:marLeft w:val="0"/>
                              <w:marRight w:val="0"/>
                              <w:marTop w:val="0"/>
                              <w:marBottom w:val="0"/>
                              <w:divBdr>
                                <w:top w:val="none" w:sz="0" w:space="0" w:color="auto"/>
                                <w:left w:val="none" w:sz="0" w:space="0" w:color="auto"/>
                                <w:bottom w:val="none" w:sz="0" w:space="0" w:color="auto"/>
                                <w:right w:val="none" w:sz="0" w:space="0" w:color="auto"/>
                              </w:divBdr>
                              <w:divsChild>
                                <w:div w:id="1473250963">
                                  <w:marLeft w:val="0"/>
                                  <w:marRight w:val="0"/>
                                  <w:marTop w:val="0"/>
                                  <w:marBottom w:val="0"/>
                                  <w:divBdr>
                                    <w:top w:val="none" w:sz="0" w:space="0" w:color="auto"/>
                                    <w:left w:val="none" w:sz="0" w:space="0" w:color="auto"/>
                                    <w:bottom w:val="none" w:sz="0" w:space="0" w:color="auto"/>
                                    <w:right w:val="none" w:sz="0" w:space="0" w:color="auto"/>
                                  </w:divBdr>
                                  <w:divsChild>
                                    <w:div w:id="1462268314">
                                      <w:marLeft w:val="0"/>
                                      <w:marRight w:val="0"/>
                                      <w:marTop w:val="0"/>
                                      <w:marBottom w:val="0"/>
                                      <w:divBdr>
                                        <w:top w:val="none" w:sz="0" w:space="0" w:color="auto"/>
                                        <w:left w:val="none" w:sz="0" w:space="0" w:color="auto"/>
                                        <w:bottom w:val="none" w:sz="0" w:space="0" w:color="auto"/>
                                        <w:right w:val="none" w:sz="0" w:space="0" w:color="auto"/>
                                      </w:divBdr>
                                      <w:divsChild>
                                        <w:div w:id="1209996088">
                                          <w:marLeft w:val="0"/>
                                          <w:marRight w:val="0"/>
                                          <w:marTop w:val="0"/>
                                          <w:marBottom w:val="0"/>
                                          <w:divBdr>
                                            <w:top w:val="none" w:sz="0" w:space="0" w:color="auto"/>
                                            <w:left w:val="none" w:sz="0" w:space="0" w:color="auto"/>
                                            <w:bottom w:val="none" w:sz="0" w:space="0" w:color="auto"/>
                                            <w:right w:val="none" w:sz="0" w:space="0" w:color="auto"/>
                                          </w:divBdr>
                                          <w:divsChild>
                                            <w:div w:id="1579898171">
                                              <w:marLeft w:val="0"/>
                                              <w:marRight w:val="0"/>
                                              <w:marTop w:val="0"/>
                                              <w:marBottom w:val="0"/>
                                              <w:divBdr>
                                                <w:top w:val="single" w:sz="6" w:space="0" w:color="B6D444"/>
                                                <w:left w:val="none" w:sz="0" w:space="0" w:color="auto"/>
                                                <w:bottom w:val="none" w:sz="0" w:space="0" w:color="auto"/>
                                                <w:right w:val="none" w:sz="0" w:space="0" w:color="auto"/>
                                              </w:divBdr>
                                              <w:divsChild>
                                                <w:div w:id="7380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494719">
      <w:bodyDiv w:val="1"/>
      <w:marLeft w:val="0"/>
      <w:marRight w:val="0"/>
      <w:marTop w:val="0"/>
      <w:marBottom w:val="0"/>
      <w:divBdr>
        <w:top w:val="none" w:sz="0" w:space="0" w:color="auto"/>
        <w:left w:val="none" w:sz="0" w:space="0" w:color="auto"/>
        <w:bottom w:val="none" w:sz="0" w:space="0" w:color="auto"/>
        <w:right w:val="none" w:sz="0" w:space="0" w:color="auto"/>
      </w:divBdr>
      <w:divsChild>
        <w:div w:id="260534276">
          <w:marLeft w:val="0"/>
          <w:marRight w:val="0"/>
          <w:marTop w:val="0"/>
          <w:marBottom w:val="0"/>
          <w:divBdr>
            <w:top w:val="none" w:sz="0" w:space="0" w:color="auto"/>
            <w:left w:val="none" w:sz="0" w:space="0" w:color="auto"/>
            <w:bottom w:val="none" w:sz="0" w:space="0" w:color="auto"/>
            <w:right w:val="none" w:sz="0" w:space="0" w:color="auto"/>
          </w:divBdr>
          <w:divsChild>
            <w:div w:id="1317800733">
              <w:marLeft w:val="0"/>
              <w:marRight w:val="0"/>
              <w:marTop w:val="0"/>
              <w:marBottom w:val="0"/>
              <w:divBdr>
                <w:top w:val="none" w:sz="0" w:space="0" w:color="auto"/>
                <w:left w:val="none" w:sz="0" w:space="0" w:color="auto"/>
                <w:bottom w:val="none" w:sz="0" w:space="0" w:color="auto"/>
                <w:right w:val="none" w:sz="0" w:space="0" w:color="auto"/>
              </w:divBdr>
            </w:div>
            <w:div w:id="1723482464">
              <w:marLeft w:val="0"/>
              <w:marRight w:val="0"/>
              <w:marTop w:val="0"/>
              <w:marBottom w:val="0"/>
              <w:divBdr>
                <w:top w:val="none" w:sz="0" w:space="0" w:color="auto"/>
                <w:left w:val="none" w:sz="0" w:space="0" w:color="auto"/>
                <w:bottom w:val="none" w:sz="0" w:space="0" w:color="auto"/>
                <w:right w:val="none" w:sz="0" w:space="0" w:color="auto"/>
              </w:divBdr>
              <w:divsChild>
                <w:div w:id="254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0441">
      <w:bodyDiv w:val="1"/>
      <w:marLeft w:val="0"/>
      <w:marRight w:val="0"/>
      <w:marTop w:val="0"/>
      <w:marBottom w:val="0"/>
      <w:divBdr>
        <w:top w:val="none" w:sz="0" w:space="0" w:color="auto"/>
        <w:left w:val="none" w:sz="0" w:space="0" w:color="auto"/>
        <w:bottom w:val="none" w:sz="0" w:space="0" w:color="auto"/>
        <w:right w:val="none" w:sz="0" w:space="0" w:color="auto"/>
      </w:divBdr>
      <w:divsChild>
        <w:div w:id="1947883522">
          <w:marLeft w:val="0"/>
          <w:marRight w:val="0"/>
          <w:marTop w:val="0"/>
          <w:marBottom w:val="0"/>
          <w:divBdr>
            <w:top w:val="none" w:sz="0" w:space="0" w:color="auto"/>
            <w:left w:val="none" w:sz="0" w:space="0" w:color="auto"/>
            <w:bottom w:val="none" w:sz="0" w:space="0" w:color="auto"/>
            <w:right w:val="none" w:sz="0" w:space="0" w:color="auto"/>
          </w:divBdr>
          <w:divsChild>
            <w:div w:id="1514608511">
              <w:marLeft w:val="0"/>
              <w:marRight w:val="0"/>
              <w:marTop w:val="0"/>
              <w:marBottom w:val="0"/>
              <w:divBdr>
                <w:top w:val="none" w:sz="0" w:space="0" w:color="auto"/>
                <w:left w:val="none" w:sz="0" w:space="0" w:color="auto"/>
                <w:bottom w:val="none" w:sz="0" w:space="0" w:color="auto"/>
                <w:right w:val="none" w:sz="0" w:space="0" w:color="auto"/>
              </w:divBdr>
              <w:divsChild>
                <w:div w:id="1705013508">
                  <w:marLeft w:val="0"/>
                  <w:marRight w:val="0"/>
                  <w:marTop w:val="0"/>
                  <w:marBottom w:val="0"/>
                  <w:divBdr>
                    <w:top w:val="none" w:sz="0" w:space="0" w:color="auto"/>
                    <w:left w:val="none" w:sz="0" w:space="0" w:color="auto"/>
                    <w:bottom w:val="none" w:sz="0" w:space="0" w:color="auto"/>
                    <w:right w:val="none" w:sz="0" w:space="0" w:color="auto"/>
                  </w:divBdr>
                  <w:divsChild>
                    <w:div w:id="304775006">
                      <w:marLeft w:val="0"/>
                      <w:marRight w:val="0"/>
                      <w:marTop w:val="0"/>
                      <w:marBottom w:val="0"/>
                      <w:divBdr>
                        <w:top w:val="none" w:sz="0" w:space="0" w:color="auto"/>
                        <w:left w:val="none" w:sz="0" w:space="0" w:color="auto"/>
                        <w:bottom w:val="none" w:sz="0" w:space="0" w:color="auto"/>
                        <w:right w:val="none" w:sz="0" w:space="0" w:color="auto"/>
                      </w:divBdr>
                      <w:divsChild>
                        <w:div w:id="192541174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90455736">
      <w:bodyDiv w:val="1"/>
      <w:marLeft w:val="0"/>
      <w:marRight w:val="0"/>
      <w:marTop w:val="0"/>
      <w:marBottom w:val="0"/>
      <w:divBdr>
        <w:top w:val="none" w:sz="0" w:space="0" w:color="auto"/>
        <w:left w:val="none" w:sz="0" w:space="0" w:color="auto"/>
        <w:bottom w:val="none" w:sz="0" w:space="0" w:color="auto"/>
        <w:right w:val="none" w:sz="0" w:space="0" w:color="auto"/>
      </w:divBdr>
      <w:divsChild>
        <w:div w:id="201094249">
          <w:marLeft w:val="0"/>
          <w:marRight w:val="0"/>
          <w:marTop w:val="0"/>
          <w:marBottom w:val="0"/>
          <w:divBdr>
            <w:top w:val="none" w:sz="0" w:space="0" w:color="auto"/>
            <w:left w:val="none" w:sz="0" w:space="0" w:color="auto"/>
            <w:bottom w:val="none" w:sz="0" w:space="0" w:color="auto"/>
            <w:right w:val="none" w:sz="0" w:space="0" w:color="auto"/>
          </w:divBdr>
        </w:div>
        <w:div w:id="1456561507">
          <w:marLeft w:val="0"/>
          <w:marRight w:val="0"/>
          <w:marTop w:val="0"/>
          <w:marBottom w:val="150"/>
          <w:divBdr>
            <w:top w:val="none" w:sz="0" w:space="0" w:color="auto"/>
            <w:left w:val="none" w:sz="0" w:space="0" w:color="auto"/>
            <w:bottom w:val="none" w:sz="0" w:space="0" w:color="auto"/>
            <w:right w:val="none" w:sz="0" w:space="0" w:color="auto"/>
          </w:divBdr>
          <w:divsChild>
            <w:div w:id="946624547">
              <w:marLeft w:val="0"/>
              <w:marRight w:val="0"/>
              <w:marTop w:val="0"/>
              <w:marBottom w:val="0"/>
              <w:divBdr>
                <w:top w:val="none" w:sz="0" w:space="0" w:color="auto"/>
                <w:left w:val="none" w:sz="0" w:space="0" w:color="auto"/>
                <w:bottom w:val="none" w:sz="0" w:space="0" w:color="auto"/>
                <w:right w:val="none" w:sz="0" w:space="0" w:color="auto"/>
              </w:divBdr>
              <w:divsChild>
                <w:div w:id="564340717">
                  <w:marLeft w:val="0"/>
                  <w:marRight w:val="225"/>
                  <w:marTop w:val="0"/>
                  <w:marBottom w:val="0"/>
                  <w:divBdr>
                    <w:top w:val="none" w:sz="0" w:space="0" w:color="auto"/>
                    <w:left w:val="none" w:sz="0" w:space="0" w:color="auto"/>
                    <w:bottom w:val="none" w:sz="0" w:space="0" w:color="auto"/>
                    <w:right w:val="none" w:sz="0" w:space="0" w:color="auto"/>
                  </w:divBdr>
                  <w:divsChild>
                    <w:div w:id="4691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3467">
          <w:marLeft w:val="0"/>
          <w:marRight w:val="0"/>
          <w:marTop w:val="0"/>
          <w:marBottom w:val="150"/>
          <w:divBdr>
            <w:top w:val="none" w:sz="0" w:space="0" w:color="auto"/>
            <w:left w:val="none" w:sz="0" w:space="0" w:color="auto"/>
            <w:bottom w:val="none" w:sz="0" w:space="0" w:color="auto"/>
            <w:right w:val="none" w:sz="0" w:space="0" w:color="auto"/>
          </w:divBdr>
        </w:div>
      </w:divsChild>
    </w:div>
    <w:div w:id="1890533863">
      <w:bodyDiv w:val="1"/>
      <w:marLeft w:val="0"/>
      <w:marRight w:val="0"/>
      <w:marTop w:val="0"/>
      <w:marBottom w:val="0"/>
      <w:divBdr>
        <w:top w:val="none" w:sz="0" w:space="0" w:color="auto"/>
        <w:left w:val="none" w:sz="0" w:space="0" w:color="auto"/>
        <w:bottom w:val="none" w:sz="0" w:space="0" w:color="auto"/>
        <w:right w:val="none" w:sz="0" w:space="0" w:color="auto"/>
      </w:divBdr>
      <w:divsChild>
        <w:div w:id="635914198">
          <w:marLeft w:val="0"/>
          <w:marRight w:val="0"/>
          <w:marTop w:val="0"/>
          <w:marBottom w:val="0"/>
          <w:divBdr>
            <w:top w:val="none" w:sz="0" w:space="0" w:color="auto"/>
            <w:left w:val="none" w:sz="0" w:space="0" w:color="auto"/>
            <w:bottom w:val="none" w:sz="0" w:space="0" w:color="auto"/>
            <w:right w:val="none" w:sz="0" w:space="0" w:color="auto"/>
          </w:divBdr>
          <w:divsChild>
            <w:div w:id="2024621305">
              <w:marLeft w:val="0"/>
              <w:marRight w:val="0"/>
              <w:marTop w:val="0"/>
              <w:marBottom w:val="0"/>
              <w:divBdr>
                <w:top w:val="none" w:sz="0" w:space="0" w:color="auto"/>
                <w:left w:val="none" w:sz="0" w:space="0" w:color="auto"/>
                <w:bottom w:val="none" w:sz="0" w:space="0" w:color="auto"/>
                <w:right w:val="none" w:sz="0" w:space="0" w:color="auto"/>
              </w:divBdr>
              <w:divsChild>
                <w:div w:id="1299336494">
                  <w:marLeft w:val="0"/>
                  <w:marRight w:val="0"/>
                  <w:marTop w:val="0"/>
                  <w:marBottom w:val="0"/>
                  <w:divBdr>
                    <w:top w:val="none" w:sz="0" w:space="0" w:color="auto"/>
                    <w:left w:val="none" w:sz="0" w:space="0" w:color="auto"/>
                    <w:bottom w:val="none" w:sz="0" w:space="0" w:color="auto"/>
                    <w:right w:val="none" w:sz="0" w:space="0" w:color="auto"/>
                  </w:divBdr>
                  <w:divsChild>
                    <w:div w:id="1275551996">
                      <w:marLeft w:val="0"/>
                      <w:marRight w:val="0"/>
                      <w:marTop w:val="0"/>
                      <w:marBottom w:val="0"/>
                      <w:divBdr>
                        <w:top w:val="none" w:sz="0" w:space="0" w:color="auto"/>
                        <w:left w:val="none" w:sz="0" w:space="0" w:color="auto"/>
                        <w:bottom w:val="none" w:sz="0" w:space="0" w:color="auto"/>
                        <w:right w:val="none" w:sz="0" w:space="0" w:color="auto"/>
                      </w:divBdr>
                      <w:divsChild>
                        <w:div w:id="944266845">
                          <w:marLeft w:val="0"/>
                          <w:marRight w:val="0"/>
                          <w:marTop w:val="0"/>
                          <w:marBottom w:val="0"/>
                          <w:divBdr>
                            <w:top w:val="none" w:sz="0" w:space="0" w:color="auto"/>
                            <w:left w:val="none" w:sz="0" w:space="0" w:color="auto"/>
                            <w:bottom w:val="none" w:sz="0" w:space="0" w:color="auto"/>
                            <w:right w:val="none" w:sz="0" w:space="0" w:color="auto"/>
                          </w:divBdr>
                          <w:divsChild>
                            <w:div w:id="1908876078">
                              <w:marLeft w:val="0"/>
                              <w:marRight w:val="0"/>
                              <w:marTop w:val="0"/>
                              <w:marBottom w:val="0"/>
                              <w:divBdr>
                                <w:top w:val="none" w:sz="0" w:space="0" w:color="auto"/>
                                <w:left w:val="none" w:sz="0" w:space="0" w:color="auto"/>
                                <w:bottom w:val="none" w:sz="0" w:space="0" w:color="auto"/>
                                <w:right w:val="none" w:sz="0" w:space="0" w:color="auto"/>
                              </w:divBdr>
                              <w:divsChild>
                                <w:div w:id="1835484595">
                                  <w:marLeft w:val="0"/>
                                  <w:marRight w:val="0"/>
                                  <w:marTop w:val="0"/>
                                  <w:marBottom w:val="0"/>
                                  <w:divBdr>
                                    <w:top w:val="none" w:sz="0" w:space="0" w:color="auto"/>
                                    <w:left w:val="none" w:sz="0" w:space="0" w:color="auto"/>
                                    <w:bottom w:val="none" w:sz="0" w:space="0" w:color="auto"/>
                                    <w:right w:val="none" w:sz="0" w:space="0" w:color="auto"/>
                                  </w:divBdr>
                                  <w:divsChild>
                                    <w:div w:id="245456498">
                                      <w:marLeft w:val="0"/>
                                      <w:marRight w:val="0"/>
                                      <w:marTop w:val="0"/>
                                      <w:marBottom w:val="0"/>
                                      <w:divBdr>
                                        <w:top w:val="none" w:sz="0" w:space="0" w:color="auto"/>
                                        <w:left w:val="none" w:sz="0" w:space="0" w:color="auto"/>
                                        <w:bottom w:val="none" w:sz="0" w:space="0" w:color="auto"/>
                                        <w:right w:val="none" w:sz="0" w:space="0" w:color="auto"/>
                                      </w:divBdr>
                                      <w:divsChild>
                                        <w:div w:id="96215436">
                                          <w:marLeft w:val="0"/>
                                          <w:marRight w:val="0"/>
                                          <w:marTop w:val="0"/>
                                          <w:marBottom w:val="0"/>
                                          <w:divBdr>
                                            <w:top w:val="none" w:sz="0" w:space="0" w:color="auto"/>
                                            <w:left w:val="none" w:sz="0" w:space="0" w:color="auto"/>
                                            <w:bottom w:val="none" w:sz="0" w:space="0" w:color="auto"/>
                                            <w:right w:val="none" w:sz="0" w:space="0" w:color="auto"/>
                                          </w:divBdr>
                                          <w:divsChild>
                                            <w:div w:id="1225219829">
                                              <w:marLeft w:val="0"/>
                                              <w:marRight w:val="0"/>
                                              <w:marTop w:val="0"/>
                                              <w:marBottom w:val="0"/>
                                              <w:divBdr>
                                                <w:top w:val="none" w:sz="0" w:space="0" w:color="auto"/>
                                                <w:left w:val="none" w:sz="0" w:space="0" w:color="auto"/>
                                                <w:bottom w:val="none" w:sz="0" w:space="0" w:color="auto"/>
                                                <w:right w:val="none" w:sz="0" w:space="0" w:color="auto"/>
                                              </w:divBdr>
                                              <w:divsChild>
                                                <w:div w:id="1195078839">
                                                  <w:marLeft w:val="0"/>
                                                  <w:marRight w:val="0"/>
                                                  <w:marTop w:val="0"/>
                                                  <w:marBottom w:val="0"/>
                                                  <w:divBdr>
                                                    <w:top w:val="none" w:sz="0" w:space="0" w:color="auto"/>
                                                    <w:left w:val="none" w:sz="0" w:space="0" w:color="auto"/>
                                                    <w:bottom w:val="none" w:sz="0" w:space="0" w:color="auto"/>
                                                    <w:right w:val="none" w:sz="0" w:space="0" w:color="auto"/>
                                                  </w:divBdr>
                                                  <w:divsChild>
                                                    <w:div w:id="224881316">
                                                      <w:marLeft w:val="0"/>
                                                      <w:marRight w:val="0"/>
                                                      <w:marTop w:val="0"/>
                                                      <w:marBottom w:val="0"/>
                                                      <w:divBdr>
                                                        <w:top w:val="none" w:sz="0" w:space="0" w:color="auto"/>
                                                        <w:left w:val="none" w:sz="0" w:space="0" w:color="auto"/>
                                                        <w:bottom w:val="none" w:sz="0" w:space="0" w:color="auto"/>
                                                        <w:right w:val="none" w:sz="0" w:space="0" w:color="auto"/>
                                                      </w:divBdr>
                                                      <w:divsChild>
                                                        <w:div w:id="1985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1380697">
      <w:bodyDiv w:val="1"/>
      <w:marLeft w:val="0"/>
      <w:marRight w:val="0"/>
      <w:marTop w:val="0"/>
      <w:marBottom w:val="0"/>
      <w:divBdr>
        <w:top w:val="none" w:sz="0" w:space="0" w:color="auto"/>
        <w:left w:val="none" w:sz="0" w:space="0" w:color="auto"/>
        <w:bottom w:val="none" w:sz="0" w:space="0" w:color="auto"/>
        <w:right w:val="none" w:sz="0" w:space="0" w:color="auto"/>
      </w:divBdr>
      <w:divsChild>
        <w:div w:id="1615941780">
          <w:marLeft w:val="0"/>
          <w:marRight w:val="0"/>
          <w:marTop w:val="0"/>
          <w:marBottom w:val="0"/>
          <w:divBdr>
            <w:top w:val="none" w:sz="0" w:space="0" w:color="auto"/>
            <w:left w:val="none" w:sz="0" w:space="0" w:color="auto"/>
            <w:bottom w:val="none" w:sz="0" w:space="0" w:color="auto"/>
            <w:right w:val="none" w:sz="0" w:space="0" w:color="auto"/>
          </w:divBdr>
          <w:divsChild>
            <w:div w:id="1100249566">
              <w:marLeft w:val="0"/>
              <w:marRight w:val="0"/>
              <w:marTop w:val="0"/>
              <w:marBottom w:val="0"/>
              <w:divBdr>
                <w:top w:val="none" w:sz="0" w:space="0" w:color="auto"/>
                <w:left w:val="none" w:sz="0" w:space="0" w:color="auto"/>
                <w:bottom w:val="none" w:sz="0" w:space="0" w:color="auto"/>
                <w:right w:val="none" w:sz="0" w:space="0" w:color="auto"/>
              </w:divBdr>
              <w:divsChild>
                <w:div w:id="1174152109">
                  <w:marLeft w:val="0"/>
                  <w:marRight w:val="0"/>
                  <w:marTop w:val="0"/>
                  <w:marBottom w:val="0"/>
                  <w:divBdr>
                    <w:top w:val="none" w:sz="0" w:space="0" w:color="auto"/>
                    <w:left w:val="none" w:sz="0" w:space="0" w:color="auto"/>
                    <w:bottom w:val="none" w:sz="0" w:space="0" w:color="auto"/>
                    <w:right w:val="none" w:sz="0" w:space="0" w:color="auto"/>
                  </w:divBdr>
                  <w:divsChild>
                    <w:div w:id="1386366299">
                      <w:marLeft w:val="0"/>
                      <w:marRight w:val="0"/>
                      <w:marTop w:val="0"/>
                      <w:marBottom w:val="0"/>
                      <w:divBdr>
                        <w:top w:val="none" w:sz="0" w:space="0" w:color="auto"/>
                        <w:left w:val="none" w:sz="0" w:space="0" w:color="auto"/>
                        <w:bottom w:val="none" w:sz="0" w:space="0" w:color="auto"/>
                        <w:right w:val="none" w:sz="0" w:space="0" w:color="auto"/>
                      </w:divBdr>
                      <w:divsChild>
                        <w:div w:id="1993212266">
                          <w:marLeft w:val="0"/>
                          <w:marRight w:val="0"/>
                          <w:marTop w:val="0"/>
                          <w:marBottom w:val="0"/>
                          <w:divBdr>
                            <w:top w:val="none" w:sz="0" w:space="0" w:color="auto"/>
                            <w:left w:val="none" w:sz="0" w:space="0" w:color="auto"/>
                            <w:bottom w:val="none" w:sz="0" w:space="0" w:color="auto"/>
                            <w:right w:val="none" w:sz="0" w:space="0" w:color="auto"/>
                          </w:divBdr>
                          <w:divsChild>
                            <w:div w:id="380904810">
                              <w:marLeft w:val="0"/>
                              <w:marRight w:val="0"/>
                              <w:marTop w:val="0"/>
                              <w:marBottom w:val="0"/>
                              <w:divBdr>
                                <w:top w:val="none" w:sz="0" w:space="0" w:color="auto"/>
                                <w:left w:val="none" w:sz="0" w:space="0" w:color="auto"/>
                                <w:bottom w:val="none" w:sz="0" w:space="0" w:color="auto"/>
                                <w:right w:val="none" w:sz="0" w:space="0" w:color="auto"/>
                              </w:divBdr>
                              <w:divsChild>
                                <w:div w:id="1013150368">
                                  <w:marLeft w:val="0"/>
                                  <w:marRight w:val="0"/>
                                  <w:marTop w:val="0"/>
                                  <w:marBottom w:val="0"/>
                                  <w:divBdr>
                                    <w:top w:val="none" w:sz="0" w:space="0" w:color="auto"/>
                                    <w:left w:val="none" w:sz="0" w:space="0" w:color="auto"/>
                                    <w:bottom w:val="none" w:sz="0" w:space="0" w:color="auto"/>
                                    <w:right w:val="none" w:sz="0" w:space="0" w:color="auto"/>
                                  </w:divBdr>
                                  <w:divsChild>
                                    <w:div w:id="1913352231">
                                      <w:marLeft w:val="0"/>
                                      <w:marRight w:val="0"/>
                                      <w:marTop w:val="0"/>
                                      <w:marBottom w:val="0"/>
                                      <w:divBdr>
                                        <w:top w:val="none" w:sz="0" w:space="0" w:color="auto"/>
                                        <w:left w:val="none" w:sz="0" w:space="0" w:color="auto"/>
                                        <w:bottom w:val="none" w:sz="0" w:space="0" w:color="auto"/>
                                        <w:right w:val="none" w:sz="0" w:space="0" w:color="auto"/>
                                      </w:divBdr>
                                      <w:divsChild>
                                        <w:div w:id="2123723847">
                                          <w:marLeft w:val="0"/>
                                          <w:marRight w:val="0"/>
                                          <w:marTop w:val="0"/>
                                          <w:marBottom w:val="0"/>
                                          <w:divBdr>
                                            <w:top w:val="none" w:sz="0" w:space="0" w:color="auto"/>
                                            <w:left w:val="none" w:sz="0" w:space="0" w:color="auto"/>
                                            <w:bottom w:val="none" w:sz="0" w:space="0" w:color="auto"/>
                                            <w:right w:val="none" w:sz="0" w:space="0" w:color="auto"/>
                                          </w:divBdr>
                                          <w:divsChild>
                                            <w:div w:id="1700273861">
                                              <w:marLeft w:val="0"/>
                                              <w:marRight w:val="0"/>
                                              <w:marTop w:val="0"/>
                                              <w:marBottom w:val="0"/>
                                              <w:divBdr>
                                                <w:top w:val="none" w:sz="0" w:space="0" w:color="auto"/>
                                                <w:left w:val="none" w:sz="0" w:space="0" w:color="auto"/>
                                                <w:bottom w:val="none" w:sz="0" w:space="0" w:color="auto"/>
                                                <w:right w:val="none" w:sz="0" w:space="0" w:color="auto"/>
                                              </w:divBdr>
                                              <w:divsChild>
                                                <w:div w:id="517932999">
                                                  <w:marLeft w:val="0"/>
                                                  <w:marRight w:val="0"/>
                                                  <w:marTop w:val="0"/>
                                                  <w:marBottom w:val="0"/>
                                                  <w:divBdr>
                                                    <w:top w:val="none" w:sz="0" w:space="0" w:color="auto"/>
                                                    <w:left w:val="none" w:sz="0" w:space="0" w:color="auto"/>
                                                    <w:bottom w:val="none" w:sz="0" w:space="0" w:color="auto"/>
                                                    <w:right w:val="none" w:sz="0" w:space="0" w:color="auto"/>
                                                  </w:divBdr>
                                                  <w:divsChild>
                                                    <w:div w:id="141974185">
                                                      <w:marLeft w:val="0"/>
                                                      <w:marRight w:val="0"/>
                                                      <w:marTop w:val="0"/>
                                                      <w:marBottom w:val="0"/>
                                                      <w:divBdr>
                                                        <w:top w:val="none" w:sz="0" w:space="0" w:color="auto"/>
                                                        <w:left w:val="none" w:sz="0" w:space="0" w:color="auto"/>
                                                        <w:bottom w:val="none" w:sz="0" w:space="0" w:color="auto"/>
                                                        <w:right w:val="none" w:sz="0" w:space="0" w:color="auto"/>
                                                      </w:divBdr>
                                                      <w:divsChild>
                                                        <w:div w:id="1629554367">
                                                          <w:marLeft w:val="0"/>
                                                          <w:marRight w:val="0"/>
                                                          <w:marTop w:val="0"/>
                                                          <w:marBottom w:val="0"/>
                                                          <w:divBdr>
                                                            <w:top w:val="none" w:sz="0" w:space="0" w:color="auto"/>
                                                            <w:left w:val="none" w:sz="0" w:space="0" w:color="auto"/>
                                                            <w:bottom w:val="none" w:sz="0" w:space="0" w:color="auto"/>
                                                            <w:right w:val="none" w:sz="0" w:space="0" w:color="auto"/>
                                                          </w:divBdr>
                                                        </w:div>
                                                        <w:div w:id="1925841156">
                                                          <w:marLeft w:val="0"/>
                                                          <w:marRight w:val="0"/>
                                                          <w:marTop w:val="0"/>
                                                          <w:marBottom w:val="0"/>
                                                          <w:divBdr>
                                                            <w:top w:val="none" w:sz="0" w:space="0" w:color="auto"/>
                                                            <w:left w:val="none" w:sz="0" w:space="0" w:color="auto"/>
                                                            <w:bottom w:val="none" w:sz="0" w:space="0" w:color="auto"/>
                                                            <w:right w:val="none" w:sz="0" w:space="0" w:color="auto"/>
                                                          </w:divBdr>
                                                          <w:divsChild>
                                                            <w:div w:id="3906151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1572628">
      <w:bodyDiv w:val="1"/>
      <w:marLeft w:val="0"/>
      <w:marRight w:val="0"/>
      <w:marTop w:val="0"/>
      <w:marBottom w:val="0"/>
      <w:divBdr>
        <w:top w:val="none" w:sz="0" w:space="0" w:color="auto"/>
        <w:left w:val="none" w:sz="0" w:space="0" w:color="auto"/>
        <w:bottom w:val="none" w:sz="0" w:space="0" w:color="auto"/>
        <w:right w:val="none" w:sz="0" w:space="0" w:color="auto"/>
      </w:divBdr>
      <w:divsChild>
        <w:div w:id="644774690">
          <w:marLeft w:val="0"/>
          <w:marRight w:val="0"/>
          <w:marTop w:val="0"/>
          <w:marBottom w:val="0"/>
          <w:divBdr>
            <w:top w:val="single" w:sz="2" w:space="0" w:color="AAAAAA"/>
            <w:left w:val="single" w:sz="6" w:space="8" w:color="AAAAAA"/>
            <w:bottom w:val="single" w:sz="2" w:space="0" w:color="AAAAAA"/>
            <w:right w:val="single" w:sz="6" w:space="8" w:color="AAAAAA"/>
          </w:divBdr>
          <w:divsChild>
            <w:div w:id="1855070431">
              <w:marLeft w:val="0"/>
              <w:marRight w:val="0"/>
              <w:marTop w:val="0"/>
              <w:marBottom w:val="0"/>
              <w:divBdr>
                <w:top w:val="none" w:sz="0" w:space="0" w:color="auto"/>
                <w:left w:val="none" w:sz="0" w:space="0" w:color="auto"/>
                <w:bottom w:val="none" w:sz="0" w:space="0" w:color="auto"/>
                <w:right w:val="none" w:sz="0" w:space="0" w:color="auto"/>
              </w:divBdr>
              <w:divsChild>
                <w:div w:id="188641567">
                  <w:marLeft w:val="0"/>
                  <w:marRight w:val="0"/>
                  <w:marTop w:val="0"/>
                  <w:marBottom w:val="0"/>
                  <w:divBdr>
                    <w:top w:val="none" w:sz="0" w:space="0" w:color="auto"/>
                    <w:left w:val="none" w:sz="0" w:space="0" w:color="auto"/>
                    <w:bottom w:val="none" w:sz="0" w:space="0" w:color="auto"/>
                    <w:right w:val="none" w:sz="0" w:space="0" w:color="auto"/>
                  </w:divBdr>
                  <w:divsChild>
                    <w:div w:id="2051831600">
                      <w:marLeft w:val="0"/>
                      <w:marRight w:val="2550"/>
                      <w:marTop w:val="0"/>
                      <w:marBottom w:val="48"/>
                      <w:divBdr>
                        <w:top w:val="none" w:sz="0" w:space="0" w:color="auto"/>
                        <w:left w:val="none" w:sz="0" w:space="0" w:color="auto"/>
                        <w:bottom w:val="none" w:sz="0" w:space="0" w:color="auto"/>
                        <w:right w:val="none" w:sz="0" w:space="0" w:color="auto"/>
                      </w:divBdr>
                      <w:divsChild>
                        <w:div w:id="1468356093">
                          <w:marLeft w:val="0"/>
                          <w:marRight w:val="0"/>
                          <w:marTop w:val="0"/>
                          <w:marBottom w:val="48"/>
                          <w:divBdr>
                            <w:top w:val="none" w:sz="0" w:space="0" w:color="auto"/>
                            <w:left w:val="none" w:sz="0" w:space="0" w:color="auto"/>
                            <w:bottom w:val="none" w:sz="0" w:space="0" w:color="auto"/>
                            <w:right w:val="none" w:sz="0" w:space="0" w:color="auto"/>
                          </w:divBdr>
                          <w:divsChild>
                            <w:div w:id="193555508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01421">
      <w:bodyDiv w:val="1"/>
      <w:marLeft w:val="0"/>
      <w:marRight w:val="0"/>
      <w:marTop w:val="0"/>
      <w:marBottom w:val="0"/>
      <w:divBdr>
        <w:top w:val="none" w:sz="0" w:space="0" w:color="auto"/>
        <w:left w:val="none" w:sz="0" w:space="0" w:color="auto"/>
        <w:bottom w:val="none" w:sz="0" w:space="0" w:color="auto"/>
        <w:right w:val="none" w:sz="0" w:space="0" w:color="auto"/>
      </w:divBdr>
    </w:div>
    <w:div w:id="1892422471">
      <w:bodyDiv w:val="1"/>
      <w:marLeft w:val="0"/>
      <w:marRight w:val="0"/>
      <w:marTop w:val="0"/>
      <w:marBottom w:val="0"/>
      <w:divBdr>
        <w:top w:val="none" w:sz="0" w:space="0" w:color="auto"/>
        <w:left w:val="none" w:sz="0" w:space="0" w:color="auto"/>
        <w:bottom w:val="none" w:sz="0" w:space="0" w:color="auto"/>
        <w:right w:val="none" w:sz="0" w:space="0" w:color="auto"/>
      </w:divBdr>
      <w:divsChild>
        <w:div w:id="715663856">
          <w:marLeft w:val="0"/>
          <w:marRight w:val="0"/>
          <w:marTop w:val="0"/>
          <w:marBottom w:val="0"/>
          <w:divBdr>
            <w:top w:val="none" w:sz="0" w:space="0" w:color="auto"/>
            <w:left w:val="none" w:sz="0" w:space="0" w:color="auto"/>
            <w:bottom w:val="none" w:sz="0" w:space="0" w:color="auto"/>
            <w:right w:val="none" w:sz="0" w:space="0" w:color="auto"/>
          </w:divBdr>
          <w:divsChild>
            <w:div w:id="1742944368">
              <w:marLeft w:val="0"/>
              <w:marRight w:val="0"/>
              <w:marTop w:val="0"/>
              <w:marBottom w:val="0"/>
              <w:divBdr>
                <w:top w:val="none" w:sz="0" w:space="0" w:color="auto"/>
                <w:left w:val="none" w:sz="0" w:space="0" w:color="auto"/>
                <w:bottom w:val="none" w:sz="0" w:space="0" w:color="auto"/>
                <w:right w:val="none" w:sz="0" w:space="0" w:color="auto"/>
              </w:divBdr>
              <w:divsChild>
                <w:div w:id="110712133">
                  <w:marLeft w:val="-225"/>
                  <w:marRight w:val="-225"/>
                  <w:marTop w:val="0"/>
                  <w:marBottom w:val="0"/>
                  <w:divBdr>
                    <w:top w:val="none" w:sz="0" w:space="0" w:color="auto"/>
                    <w:left w:val="none" w:sz="0" w:space="0" w:color="auto"/>
                    <w:bottom w:val="none" w:sz="0" w:space="0" w:color="auto"/>
                    <w:right w:val="none" w:sz="0" w:space="0" w:color="auto"/>
                  </w:divBdr>
                  <w:divsChild>
                    <w:div w:id="2688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7899">
      <w:bodyDiv w:val="1"/>
      <w:marLeft w:val="0"/>
      <w:marRight w:val="0"/>
      <w:marTop w:val="0"/>
      <w:marBottom w:val="0"/>
      <w:divBdr>
        <w:top w:val="none" w:sz="0" w:space="0" w:color="auto"/>
        <w:left w:val="none" w:sz="0" w:space="0" w:color="auto"/>
        <w:bottom w:val="none" w:sz="0" w:space="0" w:color="auto"/>
        <w:right w:val="none" w:sz="0" w:space="0" w:color="auto"/>
      </w:divBdr>
      <w:divsChild>
        <w:div w:id="434524992">
          <w:marLeft w:val="0"/>
          <w:marRight w:val="0"/>
          <w:marTop w:val="0"/>
          <w:marBottom w:val="0"/>
          <w:divBdr>
            <w:top w:val="none" w:sz="0" w:space="0" w:color="auto"/>
            <w:left w:val="none" w:sz="0" w:space="0" w:color="auto"/>
            <w:bottom w:val="none" w:sz="0" w:space="0" w:color="auto"/>
            <w:right w:val="none" w:sz="0" w:space="0" w:color="auto"/>
          </w:divBdr>
          <w:divsChild>
            <w:div w:id="404105473">
              <w:marLeft w:val="0"/>
              <w:marRight w:val="0"/>
              <w:marTop w:val="0"/>
              <w:marBottom w:val="0"/>
              <w:divBdr>
                <w:top w:val="none" w:sz="0" w:space="0" w:color="auto"/>
                <w:left w:val="none" w:sz="0" w:space="0" w:color="auto"/>
                <w:bottom w:val="none" w:sz="0" w:space="0" w:color="auto"/>
                <w:right w:val="none" w:sz="0" w:space="0" w:color="auto"/>
              </w:divBdr>
              <w:divsChild>
                <w:div w:id="1559586904">
                  <w:marLeft w:val="0"/>
                  <w:marRight w:val="0"/>
                  <w:marTop w:val="0"/>
                  <w:marBottom w:val="0"/>
                  <w:divBdr>
                    <w:top w:val="none" w:sz="0" w:space="0" w:color="auto"/>
                    <w:left w:val="none" w:sz="0" w:space="0" w:color="auto"/>
                    <w:bottom w:val="none" w:sz="0" w:space="0" w:color="auto"/>
                    <w:right w:val="none" w:sz="0" w:space="0" w:color="auto"/>
                  </w:divBdr>
                  <w:divsChild>
                    <w:div w:id="1367439010">
                      <w:marLeft w:val="0"/>
                      <w:marRight w:val="0"/>
                      <w:marTop w:val="0"/>
                      <w:marBottom w:val="0"/>
                      <w:divBdr>
                        <w:top w:val="none" w:sz="0" w:space="0" w:color="auto"/>
                        <w:left w:val="none" w:sz="0" w:space="0" w:color="auto"/>
                        <w:bottom w:val="none" w:sz="0" w:space="0" w:color="auto"/>
                        <w:right w:val="none" w:sz="0" w:space="0" w:color="auto"/>
                      </w:divBdr>
                      <w:divsChild>
                        <w:div w:id="139292644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93807180">
      <w:bodyDiv w:val="1"/>
      <w:marLeft w:val="0"/>
      <w:marRight w:val="0"/>
      <w:marTop w:val="0"/>
      <w:marBottom w:val="0"/>
      <w:divBdr>
        <w:top w:val="none" w:sz="0" w:space="0" w:color="auto"/>
        <w:left w:val="none" w:sz="0" w:space="0" w:color="auto"/>
        <w:bottom w:val="none" w:sz="0" w:space="0" w:color="auto"/>
        <w:right w:val="none" w:sz="0" w:space="0" w:color="auto"/>
      </w:divBdr>
    </w:div>
    <w:div w:id="1894195772">
      <w:bodyDiv w:val="1"/>
      <w:marLeft w:val="0"/>
      <w:marRight w:val="0"/>
      <w:marTop w:val="0"/>
      <w:marBottom w:val="0"/>
      <w:divBdr>
        <w:top w:val="none" w:sz="0" w:space="0" w:color="auto"/>
        <w:left w:val="none" w:sz="0" w:space="0" w:color="auto"/>
        <w:bottom w:val="none" w:sz="0" w:space="0" w:color="auto"/>
        <w:right w:val="none" w:sz="0" w:space="0" w:color="auto"/>
      </w:divBdr>
      <w:divsChild>
        <w:div w:id="1696926273">
          <w:marLeft w:val="0"/>
          <w:marRight w:val="0"/>
          <w:marTop w:val="0"/>
          <w:marBottom w:val="0"/>
          <w:divBdr>
            <w:top w:val="none" w:sz="0" w:space="0" w:color="auto"/>
            <w:left w:val="none" w:sz="0" w:space="0" w:color="auto"/>
            <w:bottom w:val="none" w:sz="0" w:space="0" w:color="auto"/>
            <w:right w:val="none" w:sz="0" w:space="0" w:color="auto"/>
          </w:divBdr>
          <w:divsChild>
            <w:div w:id="389695792">
              <w:marLeft w:val="0"/>
              <w:marRight w:val="0"/>
              <w:marTop w:val="0"/>
              <w:marBottom w:val="0"/>
              <w:divBdr>
                <w:top w:val="none" w:sz="0" w:space="0" w:color="auto"/>
                <w:left w:val="none" w:sz="0" w:space="0" w:color="auto"/>
                <w:bottom w:val="none" w:sz="0" w:space="0" w:color="auto"/>
                <w:right w:val="none" w:sz="0" w:space="0" w:color="auto"/>
              </w:divBdr>
              <w:divsChild>
                <w:div w:id="570237374">
                  <w:marLeft w:val="0"/>
                  <w:marRight w:val="0"/>
                  <w:marTop w:val="0"/>
                  <w:marBottom w:val="0"/>
                  <w:divBdr>
                    <w:top w:val="none" w:sz="0" w:space="0" w:color="auto"/>
                    <w:left w:val="none" w:sz="0" w:space="0" w:color="auto"/>
                    <w:bottom w:val="none" w:sz="0" w:space="0" w:color="auto"/>
                    <w:right w:val="none" w:sz="0" w:space="0" w:color="auto"/>
                  </w:divBdr>
                  <w:divsChild>
                    <w:div w:id="319235135">
                      <w:marLeft w:val="0"/>
                      <w:marRight w:val="0"/>
                      <w:marTop w:val="0"/>
                      <w:marBottom w:val="0"/>
                      <w:divBdr>
                        <w:top w:val="none" w:sz="0" w:space="0" w:color="auto"/>
                        <w:left w:val="none" w:sz="0" w:space="0" w:color="auto"/>
                        <w:bottom w:val="none" w:sz="0" w:space="0" w:color="auto"/>
                        <w:right w:val="none" w:sz="0" w:space="0" w:color="auto"/>
                      </w:divBdr>
                      <w:divsChild>
                        <w:div w:id="329794008">
                          <w:marLeft w:val="0"/>
                          <w:marRight w:val="0"/>
                          <w:marTop w:val="0"/>
                          <w:marBottom w:val="0"/>
                          <w:divBdr>
                            <w:top w:val="none" w:sz="0" w:space="0" w:color="auto"/>
                            <w:left w:val="none" w:sz="0" w:space="0" w:color="auto"/>
                            <w:bottom w:val="none" w:sz="0" w:space="0" w:color="auto"/>
                            <w:right w:val="none" w:sz="0" w:space="0" w:color="auto"/>
                          </w:divBdr>
                          <w:divsChild>
                            <w:div w:id="57483941">
                              <w:marLeft w:val="570"/>
                              <w:marRight w:val="720"/>
                              <w:marTop w:val="120"/>
                              <w:marBottom w:val="120"/>
                              <w:divBdr>
                                <w:top w:val="none" w:sz="0" w:space="0" w:color="auto"/>
                                <w:left w:val="none" w:sz="0" w:space="0" w:color="auto"/>
                                <w:bottom w:val="none" w:sz="0" w:space="0" w:color="auto"/>
                                <w:right w:val="none" w:sz="0" w:space="0" w:color="auto"/>
                              </w:divBdr>
                              <w:divsChild>
                                <w:div w:id="1820422202">
                                  <w:marLeft w:val="0"/>
                                  <w:marRight w:val="0"/>
                                  <w:marTop w:val="0"/>
                                  <w:marBottom w:val="0"/>
                                  <w:divBdr>
                                    <w:top w:val="none" w:sz="0" w:space="0" w:color="auto"/>
                                    <w:left w:val="none" w:sz="0" w:space="0" w:color="auto"/>
                                    <w:bottom w:val="none" w:sz="0" w:space="0" w:color="auto"/>
                                    <w:right w:val="none" w:sz="0" w:space="0" w:color="auto"/>
                                  </w:divBdr>
                                  <w:divsChild>
                                    <w:div w:id="1819032406">
                                      <w:marLeft w:val="0"/>
                                      <w:marRight w:val="0"/>
                                      <w:marTop w:val="0"/>
                                      <w:marBottom w:val="0"/>
                                      <w:divBdr>
                                        <w:top w:val="none" w:sz="0" w:space="0" w:color="auto"/>
                                        <w:left w:val="none" w:sz="0" w:space="0" w:color="auto"/>
                                        <w:bottom w:val="none" w:sz="0" w:space="0" w:color="auto"/>
                                        <w:right w:val="none" w:sz="0" w:space="0" w:color="auto"/>
                                      </w:divBdr>
                                      <w:divsChild>
                                        <w:div w:id="1162741987">
                                          <w:marLeft w:val="0"/>
                                          <w:marRight w:val="0"/>
                                          <w:marTop w:val="0"/>
                                          <w:marBottom w:val="0"/>
                                          <w:divBdr>
                                            <w:top w:val="none" w:sz="0" w:space="0" w:color="auto"/>
                                            <w:left w:val="none" w:sz="0" w:space="0" w:color="auto"/>
                                            <w:bottom w:val="none" w:sz="0" w:space="0" w:color="auto"/>
                                            <w:right w:val="none" w:sz="0" w:space="0" w:color="auto"/>
                                          </w:divBdr>
                                          <w:divsChild>
                                            <w:div w:id="1059717742">
                                              <w:marLeft w:val="0"/>
                                              <w:marRight w:val="0"/>
                                              <w:marTop w:val="0"/>
                                              <w:marBottom w:val="0"/>
                                              <w:divBdr>
                                                <w:top w:val="none" w:sz="0" w:space="0" w:color="auto"/>
                                                <w:left w:val="none" w:sz="0" w:space="0" w:color="auto"/>
                                                <w:bottom w:val="none" w:sz="0" w:space="0" w:color="auto"/>
                                                <w:right w:val="none" w:sz="0" w:space="0" w:color="auto"/>
                                              </w:divBdr>
                                              <w:divsChild>
                                                <w:div w:id="1874491205">
                                                  <w:marLeft w:val="0"/>
                                                  <w:marRight w:val="0"/>
                                                  <w:marTop w:val="0"/>
                                                  <w:marBottom w:val="0"/>
                                                  <w:divBdr>
                                                    <w:top w:val="none" w:sz="0" w:space="0" w:color="auto"/>
                                                    <w:left w:val="none" w:sz="0" w:space="0" w:color="auto"/>
                                                    <w:bottom w:val="none" w:sz="0" w:space="0" w:color="auto"/>
                                                    <w:right w:val="none" w:sz="0" w:space="0" w:color="auto"/>
                                                  </w:divBdr>
                                                  <w:divsChild>
                                                    <w:div w:id="36340801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928772">
      <w:bodyDiv w:val="1"/>
      <w:marLeft w:val="0"/>
      <w:marRight w:val="0"/>
      <w:marTop w:val="0"/>
      <w:marBottom w:val="0"/>
      <w:divBdr>
        <w:top w:val="none" w:sz="0" w:space="0" w:color="auto"/>
        <w:left w:val="none" w:sz="0" w:space="0" w:color="auto"/>
        <w:bottom w:val="none" w:sz="0" w:space="0" w:color="auto"/>
        <w:right w:val="none" w:sz="0" w:space="0" w:color="auto"/>
      </w:divBdr>
      <w:divsChild>
        <w:div w:id="1453132663">
          <w:marLeft w:val="0"/>
          <w:marRight w:val="0"/>
          <w:marTop w:val="0"/>
          <w:marBottom w:val="0"/>
          <w:divBdr>
            <w:top w:val="single" w:sz="6" w:space="0" w:color="0E477A"/>
            <w:left w:val="single" w:sz="6" w:space="0" w:color="0E477A"/>
            <w:bottom w:val="single" w:sz="6" w:space="0" w:color="0E477A"/>
            <w:right w:val="single" w:sz="6" w:space="0" w:color="0E477A"/>
          </w:divBdr>
          <w:divsChild>
            <w:div w:id="1448740930">
              <w:marLeft w:val="2925"/>
              <w:marRight w:val="0"/>
              <w:marTop w:val="0"/>
              <w:marBottom w:val="0"/>
              <w:divBdr>
                <w:top w:val="none" w:sz="0" w:space="0" w:color="auto"/>
                <w:left w:val="none" w:sz="0" w:space="0" w:color="auto"/>
                <w:bottom w:val="none" w:sz="0" w:space="0" w:color="auto"/>
                <w:right w:val="none" w:sz="0" w:space="0" w:color="auto"/>
              </w:divBdr>
              <w:divsChild>
                <w:div w:id="2007518155">
                  <w:marLeft w:val="0"/>
                  <w:marRight w:val="0"/>
                  <w:marTop w:val="0"/>
                  <w:marBottom w:val="0"/>
                  <w:divBdr>
                    <w:top w:val="none" w:sz="0" w:space="0" w:color="auto"/>
                    <w:left w:val="none" w:sz="0" w:space="0" w:color="auto"/>
                    <w:bottom w:val="none" w:sz="0" w:space="0" w:color="auto"/>
                    <w:right w:val="none" w:sz="0" w:space="0" w:color="auto"/>
                  </w:divBdr>
                  <w:divsChild>
                    <w:div w:id="1962763457">
                      <w:marLeft w:val="0"/>
                      <w:marRight w:val="150"/>
                      <w:marTop w:val="0"/>
                      <w:marBottom w:val="0"/>
                      <w:divBdr>
                        <w:top w:val="single" w:sz="6" w:space="0" w:color="CCCCCC"/>
                        <w:left w:val="single" w:sz="6" w:space="8" w:color="CCCCCC"/>
                        <w:bottom w:val="single" w:sz="6" w:space="8" w:color="CCCCCC"/>
                        <w:right w:val="single" w:sz="6" w:space="8" w:color="CCCCCC"/>
                      </w:divBdr>
                      <w:divsChild>
                        <w:div w:id="689263258">
                          <w:marLeft w:val="0"/>
                          <w:marRight w:val="0"/>
                          <w:marTop w:val="0"/>
                          <w:marBottom w:val="0"/>
                          <w:divBdr>
                            <w:top w:val="none" w:sz="0" w:space="0" w:color="auto"/>
                            <w:left w:val="none" w:sz="0" w:space="0" w:color="auto"/>
                            <w:bottom w:val="none" w:sz="0" w:space="0" w:color="auto"/>
                            <w:right w:val="none" w:sz="0" w:space="0" w:color="auto"/>
                          </w:divBdr>
                        </w:div>
                        <w:div w:id="1883059812">
                          <w:marLeft w:val="0"/>
                          <w:marRight w:val="0"/>
                          <w:marTop w:val="0"/>
                          <w:marBottom w:val="0"/>
                          <w:divBdr>
                            <w:top w:val="none" w:sz="0" w:space="0" w:color="auto"/>
                            <w:left w:val="none" w:sz="0" w:space="0" w:color="auto"/>
                            <w:bottom w:val="none" w:sz="0" w:space="0" w:color="auto"/>
                            <w:right w:val="none" w:sz="0" w:space="0" w:color="auto"/>
                          </w:divBdr>
                        </w:div>
                        <w:div w:id="7534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460639">
      <w:bodyDiv w:val="1"/>
      <w:marLeft w:val="0"/>
      <w:marRight w:val="0"/>
      <w:marTop w:val="0"/>
      <w:marBottom w:val="0"/>
      <w:divBdr>
        <w:top w:val="none" w:sz="0" w:space="0" w:color="auto"/>
        <w:left w:val="none" w:sz="0" w:space="0" w:color="auto"/>
        <w:bottom w:val="none" w:sz="0" w:space="0" w:color="auto"/>
        <w:right w:val="none" w:sz="0" w:space="0" w:color="auto"/>
      </w:divBdr>
    </w:div>
    <w:div w:id="1895700977">
      <w:bodyDiv w:val="1"/>
      <w:marLeft w:val="0"/>
      <w:marRight w:val="0"/>
      <w:marTop w:val="0"/>
      <w:marBottom w:val="0"/>
      <w:divBdr>
        <w:top w:val="none" w:sz="0" w:space="0" w:color="auto"/>
        <w:left w:val="none" w:sz="0" w:space="0" w:color="auto"/>
        <w:bottom w:val="none" w:sz="0" w:space="0" w:color="auto"/>
        <w:right w:val="none" w:sz="0" w:space="0" w:color="auto"/>
      </w:divBdr>
      <w:divsChild>
        <w:div w:id="1588659400">
          <w:marLeft w:val="0"/>
          <w:marRight w:val="0"/>
          <w:marTop w:val="0"/>
          <w:marBottom w:val="0"/>
          <w:divBdr>
            <w:top w:val="none" w:sz="0" w:space="0" w:color="auto"/>
            <w:left w:val="none" w:sz="0" w:space="0" w:color="auto"/>
            <w:bottom w:val="none" w:sz="0" w:space="0" w:color="auto"/>
            <w:right w:val="none" w:sz="0" w:space="0" w:color="auto"/>
          </w:divBdr>
          <w:divsChild>
            <w:div w:id="149908450">
              <w:marLeft w:val="0"/>
              <w:marRight w:val="0"/>
              <w:marTop w:val="0"/>
              <w:marBottom w:val="0"/>
              <w:divBdr>
                <w:top w:val="none" w:sz="0" w:space="0" w:color="auto"/>
                <w:left w:val="none" w:sz="0" w:space="0" w:color="auto"/>
                <w:bottom w:val="none" w:sz="0" w:space="0" w:color="auto"/>
                <w:right w:val="none" w:sz="0" w:space="0" w:color="auto"/>
              </w:divBdr>
              <w:divsChild>
                <w:div w:id="180167162">
                  <w:marLeft w:val="0"/>
                  <w:marRight w:val="0"/>
                  <w:marTop w:val="0"/>
                  <w:marBottom w:val="0"/>
                  <w:divBdr>
                    <w:top w:val="none" w:sz="0" w:space="0" w:color="auto"/>
                    <w:left w:val="none" w:sz="0" w:space="0" w:color="auto"/>
                    <w:bottom w:val="none" w:sz="0" w:space="0" w:color="auto"/>
                    <w:right w:val="none" w:sz="0" w:space="0" w:color="auto"/>
                  </w:divBdr>
                  <w:divsChild>
                    <w:div w:id="836073067">
                      <w:marLeft w:val="0"/>
                      <w:marRight w:val="0"/>
                      <w:marTop w:val="300"/>
                      <w:marBottom w:val="600"/>
                      <w:divBdr>
                        <w:top w:val="none" w:sz="0" w:space="0" w:color="auto"/>
                        <w:left w:val="none" w:sz="0" w:space="0" w:color="auto"/>
                        <w:bottom w:val="none" w:sz="0" w:space="0" w:color="auto"/>
                        <w:right w:val="none" w:sz="0" w:space="0" w:color="auto"/>
                      </w:divBdr>
                      <w:divsChild>
                        <w:div w:id="358790">
                          <w:marLeft w:val="0"/>
                          <w:marRight w:val="0"/>
                          <w:marTop w:val="0"/>
                          <w:marBottom w:val="0"/>
                          <w:divBdr>
                            <w:top w:val="none" w:sz="0" w:space="0" w:color="auto"/>
                            <w:left w:val="none" w:sz="0" w:space="0" w:color="auto"/>
                            <w:bottom w:val="none" w:sz="0" w:space="0" w:color="auto"/>
                            <w:right w:val="none" w:sz="0" w:space="0" w:color="auto"/>
                          </w:divBdr>
                          <w:divsChild>
                            <w:div w:id="1021471441">
                              <w:marLeft w:val="0"/>
                              <w:marRight w:val="0"/>
                              <w:marTop w:val="0"/>
                              <w:marBottom w:val="0"/>
                              <w:divBdr>
                                <w:top w:val="none" w:sz="0" w:space="0" w:color="auto"/>
                                <w:left w:val="none" w:sz="0" w:space="0" w:color="auto"/>
                                <w:bottom w:val="none" w:sz="0" w:space="0" w:color="auto"/>
                                <w:right w:val="none" w:sz="0" w:space="0" w:color="auto"/>
                              </w:divBdr>
                              <w:divsChild>
                                <w:div w:id="799760282">
                                  <w:marLeft w:val="0"/>
                                  <w:marRight w:val="0"/>
                                  <w:marTop w:val="0"/>
                                  <w:marBottom w:val="0"/>
                                  <w:divBdr>
                                    <w:top w:val="none" w:sz="0" w:space="0" w:color="auto"/>
                                    <w:left w:val="none" w:sz="0" w:space="0" w:color="auto"/>
                                    <w:bottom w:val="none" w:sz="0" w:space="0" w:color="auto"/>
                                    <w:right w:val="none" w:sz="0" w:space="0" w:color="auto"/>
                                  </w:divBdr>
                                  <w:divsChild>
                                    <w:div w:id="1295790952">
                                      <w:marLeft w:val="0"/>
                                      <w:marRight w:val="0"/>
                                      <w:marTop w:val="150"/>
                                      <w:marBottom w:val="0"/>
                                      <w:divBdr>
                                        <w:top w:val="none" w:sz="0" w:space="0" w:color="auto"/>
                                        <w:left w:val="none" w:sz="0" w:space="0" w:color="auto"/>
                                        <w:bottom w:val="none" w:sz="0" w:space="0" w:color="auto"/>
                                        <w:right w:val="none" w:sz="0" w:space="0" w:color="auto"/>
                                      </w:divBdr>
                                      <w:divsChild>
                                        <w:div w:id="965700554">
                                          <w:marLeft w:val="0"/>
                                          <w:marRight w:val="0"/>
                                          <w:marTop w:val="0"/>
                                          <w:marBottom w:val="0"/>
                                          <w:divBdr>
                                            <w:top w:val="none" w:sz="0" w:space="0" w:color="auto"/>
                                            <w:left w:val="none" w:sz="0" w:space="0" w:color="auto"/>
                                            <w:bottom w:val="none" w:sz="0" w:space="0" w:color="auto"/>
                                            <w:right w:val="none" w:sz="0" w:space="0" w:color="auto"/>
                                          </w:divBdr>
                                          <w:divsChild>
                                            <w:div w:id="1489245177">
                                              <w:marLeft w:val="0"/>
                                              <w:marRight w:val="0"/>
                                              <w:marTop w:val="0"/>
                                              <w:marBottom w:val="0"/>
                                              <w:divBdr>
                                                <w:top w:val="none" w:sz="0" w:space="0" w:color="auto"/>
                                                <w:left w:val="none" w:sz="0" w:space="0" w:color="auto"/>
                                                <w:bottom w:val="none" w:sz="0" w:space="0" w:color="auto"/>
                                                <w:right w:val="none" w:sz="0" w:space="0" w:color="auto"/>
                                              </w:divBdr>
                                              <w:divsChild>
                                                <w:div w:id="19967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970057">
      <w:bodyDiv w:val="1"/>
      <w:marLeft w:val="0"/>
      <w:marRight w:val="0"/>
      <w:marTop w:val="0"/>
      <w:marBottom w:val="0"/>
      <w:divBdr>
        <w:top w:val="none" w:sz="0" w:space="0" w:color="auto"/>
        <w:left w:val="none" w:sz="0" w:space="0" w:color="auto"/>
        <w:bottom w:val="none" w:sz="0" w:space="0" w:color="auto"/>
        <w:right w:val="none" w:sz="0" w:space="0" w:color="auto"/>
      </w:divBdr>
      <w:divsChild>
        <w:div w:id="1458598706">
          <w:marLeft w:val="0"/>
          <w:marRight w:val="0"/>
          <w:marTop w:val="0"/>
          <w:marBottom w:val="0"/>
          <w:divBdr>
            <w:top w:val="none" w:sz="0" w:space="0" w:color="auto"/>
            <w:left w:val="none" w:sz="0" w:space="0" w:color="auto"/>
            <w:bottom w:val="none" w:sz="0" w:space="0" w:color="auto"/>
            <w:right w:val="none" w:sz="0" w:space="0" w:color="auto"/>
          </w:divBdr>
          <w:divsChild>
            <w:div w:id="1292398879">
              <w:marLeft w:val="0"/>
              <w:marRight w:val="0"/>
              <w:marTop w:val="0"/>
              <w:marBottom w:val="0"/>
              <w:divBdr>
                <w:top w:val="none" w:sz="0" w:space="0" w:color="auto"/>
                <w:left w:val="none" w:sz="0" w:space="0" w:color="auto"/>
                <w:bottom w:val="none" w:sz="0" w:space="0" w:color="auto"/>
                <w:right w:val="none" w:sz="0" w:space="0" w:color="auto"/>
              </w:divBdr>
              <w:divsChild>
                <w:div w:id="2094814042">
                  <w:marLeft w:val="0"/>
                  <w:marRight w:val="0"/>
                  <w:marTop w:val="0"/>
                  <w:marBottom w:val="0"/>
                  <w:divBdr>
                    <w:top w:val="none" w:sz="0" w:space="0" w:color="auto"/>
                    <w:left w:val="none" w:sz="0" w:space="0" w:color="auto"/>
                    <w:bottom w:val="none" w:sz="0" w:space="0" w:color="auto"/>
                    <w:right w:val="none" w:sz="0" w:space="0" w:color="auto"/>
                  </w:divBdr>
                  <w:divsChild>
                    <w:div w:id="1223981455">
                      <w:marLeft w:val="0"/>
                      <w:marRight w:val="0"/>
                      <w:marTop w:val="0"/>
                      <w:marBottom w:val="0"/>
                      <w:divBdr>
                        <w:top w:val="none" w:sz="0" w:space="0" w:color="auto"/>
                        <w:left w:val="none" w:sz="0" w:space="0" w:color="auto"/>
                        <w:bottom w:val="none" w:sz="0" w:space="0" w:color="auto"/>
                        <w:right w:val="none" w:sz="0" w:space="0" w:color="auto"/>
                      </w:divBdr>
                      <w:divsChild>
                        <w:div w:id="128984212">
                          <w:marLeft w:val="0"/>
                          <w:marRight w:val="0"/>
                          <w:marTop w:val="0"/>
                          <w:marBottom w:val="0"/>
                          <w:divBdr>
                            <w:top w:val="none" w:sz="0" w:space="0" w:color="auto"/>
                            <w:left w:val="none" w:sz="0" w:space="0" w:color="auto"/>
                            <w:bottom w:val="none" w:sz="0" w:space="0" w:color="auto"/>
                            <w:right w:val="none" w:sz="0" w:space="0" w:color="auto"/>
                          </w:divBdr>
                          <w:divsChild>
                            <w:div w:id="284773391">
                              <w:marLeft w:val="0"/>
                              <w:marRight w:val="0"/>
                              <w:marTop w:val="0"/>
                              <w:marBottom w:val="0"/>
                              <w:divBdr>
                                <w:top w:val="none" w:sz="0" w:space="0" w:color="auto"/>
                                <w:left w:val="none" w:sz="0" w:space="0" w:color="auto"/>
                                <w:bottom w:val="none" w:sz="0" w:space="0" w:color="auto"/>
                                <w:right w:val="none" w:sz="0" w:space="0" w:color="auto"/>
                              </w:divBdr>
                              <w:divsChild>
                                <w:div w:id="1290239175">
                                  <w:marLeft w:val="0"/>
                                  <w:marRight w:val="0"/>
                                  <w:marTop w:val="0"/>
                                  <w:marBottom w:val="0"/>
                                  <w:divBdr>
                                    <w:top w:val="none" w:sz="0" w:space="0" w:color="auto"/>
                                    <w:left w:val="none" w:sz="0" w:space="0" w:color="auto"/>
                                    <w:bottom w:val="none" w:sz="0" w:space="0" w:color="auto"/>
                                    <w:right w:val="none" w:sz="0" w:space="0" w:color="auto"/>
                                  </w:divBdr>
                                  <w:divsChild>
                                    <w:div w:id="813445249">
                                      <w:marLeft w:val="0"/>
                                      <w:marRight w:val="0"/>
                                      <w:marTop w:val="0"/>
                                      <w:marBottom w:val="0"/>
                                      <w:divBdr>
                                        <w:top w:val="none" w:sz="0" w:space="0" w:color="auto"/>
                                        <w:left w:val="none" w:sz="0" w:space="0" w:color="auto"/>
                                        <w:bottom w:val="none" w:sz="0" w:space="0" w:color="auto"/>
                                        <w:right w:val="none" w:sz="0" w:space="0" w:color="auto"/>
                                      </w:divBdr>
                                      <w:divsChild>
                                        <w:div w:id="1274556461">
                                          <w:marLeft w:val="0"/>
                                          <w:marRight w:val="0"/>
                                          <w:marTop w:val="0"/>
                                          <w:marBottom w:val="0"/>
                                          <w:divBdr>
                                            <w:top w:val="none" w:sz="0" w:space="0" w:color="auto"/>
                                            <w:left w:val="none" w:sz="0" w:space="0" w:color="auto"/>
                                            <w:bottom w:val="none" w:sz="0" w:space="0" w:color="auto"/>
                                            <w:right w:val="none" w:sz="0" w:space="0" w:color="auto"/>
                                          </w:divBdr>
                                        </w:div>
                                        <w:div w:id="1841657442">
                                          <w:marLeft w:val="0"/>
                                          <w:marRight w:val="0"/>
                                          <w:marTop w:val="0"/>
                                          <w:marBottom w:val="0"/>
                                          <w:divBdr>
                                            <w:top w:val="none" w:sz="0" w:space="0" w:color="auto"/>
                                            <w:left w:val="none" w:sz="0" w:space="0" w:color="auto"/>
                                            <w:bottom w:val="none" w:sz="0" w:space="0" w:color="auto"/>
                                            <w:right w:val="none" w:sz="0" w:space="0" w:color="auto"/>
                                          </w:divBdr>
                                          <w:divsChild>
                                            <w:div w:id="158795470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113581">
      <w:bodyDiv w:val="1"/>
      <w:marLeft w:val="0"/>
      <w:marRight w:val="0"/>
      <w:marTop w:val="0"/>
      <w:marBottom w:val="0"/>
      <w:divBdr>
        <w:top w:val="none" w:sz="0" w:space="0" w:color="auto"/>
        <w:left w:val="none" w:sz="0" w:space="0" w:color="auto"/>
        <w:bottom w:val="none" w:sz="0" w:space="0" w:color="auto"/>
        <w:right w:val="none" w:sz="0" w:space="0" w:color="auto"/>
      </w:divBdr>
    </w:div>
    <w:div w:id="1897155670">
      <w:bodyDiv w:val="1"/>
      <w:marLeft w:val="0"/>
      <w:marRight w:val="0"/>
      <w:marTop w:val="0"/>
      <w:marBottom w:val="0"/>
      <w:divBdr>
        <w:top w:val="none" w:sz="0" w:space="0" w:color="auto"/>
        <w:left w:val="none" w:sz="0" w:space="0" w:color="auto"/>
        <w:bottom w:val="none" w:sz="0" w:space="0" w:color="auto"/>
        <w:right w:val="none" w:sz="0" w:space="0" w:color="auto"/>
      </w:divBdr>
      <w:divsChild>
        <w:div w:id="376927673">
          <w:marLeft w:val="2400"/>
          <w:marRight w:val="0"/>
          <w:marTop w:val="0"/>
          <w:marBottom w:val="0"/>
          <w:divBdr>
            <w:top w:val="none" w:sz="0" w:space="0" w:color="auto"/>
            <w:left w:val="none" w:sz="0" w:space="0" w:color="auto"/>
            <w:bottom w:val="none" w:sz="0" w:space="0" w:color="auto"/>
            <w:right w:val="none" w:sz="0" w:space="0" w:color="auto"/>
          </w:divBdr>
          <w:divsChild>
            <w:div w:id="638459036">
              <w:marLeft w:val="0"/>
              <w:marRight w:val="0"/>
              <w:marTop w:val="0"/>
              <w:marBottom w:val="0"/>
              <w:divBdr>
                <w:top w:val="none" w:sz="0" w:space="0" w:color="auto"/>
                <w:left w:val="none" w:sz="0" w:space="0" w:color="auto"/>
                <w:bottom w:val="none" w:sz="0" w:space="0" w:color="auto"/>
                <w:right w:val="none" w:sz="0" w:space="0" w:color="auto"/>
              </w:divBdr>
              <w:divsChild>
                <w:div w:id="1769884655">
                  <w:marLeft w:val="0"/>
                  <w:marRight w:val="0"/>
                  <w:marTop w:val="0"/>
                  <w:marBottom w:val="0"/>
                  <w:divBdr>
                    <w:top w:val="none" w:sz="0" w:space="0" w:color="auto"/>
                    <w:left w:val="none" w:sz="0" w:space="0" w:color="auto"/>
                    <w:bottom w:val="none" w:sz="0" w:space="0" w:color="auto"/>
                    <w:right w:val="none" w:sz="0" w:space="0" w:color="auto"/>
                  </w:divBdr>
                  <w:divsChild>
                    <w:div w:id="14518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002815">
      <w:bodyDiv w:val="1"/>
      <w:marLeft w:val="0"/>
      <w:marRight w:val="0"/>
      <w:marTop w:val="0"/>
      <w:marBottom w:val="0"/>
      <w:divBdr>
        <w:top w:val="none" w:sz="0" w:space="0" w:color="auto"/>
        <w:left w:val="none" w:sz="0" w:space="0" w:color="auto"/>
        <w:bottom w:val="none" w:sz="0" w:space="0" w:color="auto"/>
        <w:right w:val="none" w:sz="0" w:space="0" w:color="auto"/>
      </w:divBdr>
      <w:divsChild>
        <w:div w:id="2058780057">
          <w:marLeft w:val="0"/>
          <w:marRight w:val="0"/>
          <w:marTop w:val="0"/>
          <w:marBottom w:val="0"/>
          <w:divBdr>
            <w:top w:val="none" w:sz="0" w:space="0" w:color="auto"/>
            <w:left w:val="none" w:sz="0" w:space="0" w:color="auto"/>
            <w:bottom w:val="none" w:sz="0" w:space="0" w:color="auto"/>
            <w:right w:val="none" w:sz="0" w:space="0" w:color="auto"/>
          </w:divBdr>
          <w:divsChild>
            <w:div w:id="1788894034">
              <w:marLeft w:val="0"/>
              <w:marRight w:val="0"/>
              <w:marTop w:val="0"/>
              <w:marBottom w:val="0"/>
              <w:divBdr>
                <w:top w:val="none" w:sz="0" w:space="0" w:color="auto"/>
                <w:left w:val="none" w:sz="0" w:space="0" w:color="auto"/>
                <w:bottom w:val="none" w:sz="0" w:space="0" w:color="auto"/>
                <w:right w:val="none" w:sz="0" w:space="0" w:color="auto"/>
              </w:divBdr>
              <w:divsChild>
                <w:div w:id="2140999290">
                  <w:marLeft w:val="0"/>
                  <w:marRight w:val="0"/>
                  <w:marTop w:val="0"/>
                  <w:marBottom w:val="0"/>
                  <w:divBdr>
                    <w:top w:val="none" w:sz="0" w:space="0" w:color="auto"/>
                    <w:left w:val="none" w:sz="0" w:space="0" w:color="auto"/>
                    <w:bottom w:val="none" w:sz="0" w:space="0" w:color="auto"/>
                    <w:right w:val="none" w:sz="0" w:space="0" w:color="auto"/>
                  </w:divBdr>
                  <w:divsChild>
                    <w:div w:id="1591692837">
                      <w:marLeft w:val="0"/>
                      <w:marRight w:val="0"/>
                      <w:marTop w:val="0"/>
                      <w:marBottom w:val="0"/>
                      <w:divBdr>
                        <w:top w:val="none" w:sz="0" w:space="0" w:color="auto"/>
                        <w:left w:val="none" w:sz="0" w:space="0" w:color="auto"/>
                        <w:bottom w:val="none" w:sz="0" w:space="0" w:color="auto"/>
                        <w:right w:val="none" w:sz="0" w:space="0" w:color="auto"/>
                      </w:divBdr>
                      <w:divsChild>
                        <w:div w:id="1358042990">
                          <w:marLeft w:val="0"/>
                          <w:marRight w:val="0"/>
                          <w:marTop w:val="0"/>
                          <w:marBottom w:val="0"/>
                          <w:divBdr>
                            <w:top w:val="none" w:sz="0" w:space="0" w:color="auto"/>
                            <w:left w:val="none" w:sz="0" w:space="0" w:color="auto"/>
                            <w:bottom w:val="none" w:sz="0" w:space="0" w:color="auto"/>
                            <w:right w:val="none" w:sz="0" w:space="0" w:color="auto"/>
                          </w:divBdr>
                          <w:divsChild>
                            <w:div w:id="1069301786">
                              <w:marLeft w:val="0"/>
                              <w:marRight w:val="0"/>
                              <w:marTop w:val="0"/>
                              <w:marBottom w:val="0"/>
                              <w:divBdr>
                                <w:top w:val="none" w:sz="0" w:space="0" w:color="auto"/>
                                <w:left w:val="none" w:sz="0" w:space="0" w:color="auto"/>
                                <w:bottom w:val="none" w:sz="0" w:space="0" w:color="auto"/>
                                <w:right w:val="none" w:sz="0" w:space="0" w:color="auto"/>
                              </w:divBdr>
                              <w:divsChild>
                                <w:div w:id="612253101">
                                  <w:marLeft w:val="0"/>
                                  <w:marRight w:val="0"/>
                                  <w:marTop w:val="0"/>
                                  <w:marBottom w:val="0"/>
                                  <w:divBdr>
                                    <w:top w:val="none" w:sz="0" w:space="0" w:color="auto"/>
                                    <w:left w:val="none" w:sz="0" w:space="0" w:color="auto"/>
                                    <w:bottom w:val="none" w:sz="0" w:space="0" w:color="auto"/>
                                    <w:right w:val="none" w:sz="0" w:space="0" w:color="auto"/>
                                  </w:divBdr>
                                  <w:divsChild>
                                    <w:div w:id="1650093224">
                                      <w:marLeft w:val="0"/>
                                      <w:marRight w:val="0"/>
                                      <w:marTop w:val="0"/>
                                      <w:marBottom w:val="0"/>
                                      <w:divBdr>
                                        <w:top w:val="none" w:sz="0" w:space="0" w:color="auto"/>
                                        <w:left w:val="none" w:sz="0" w:space="0" w:color="auto"/>
                                        <w:bottom w:val="none" w:sz="0" w:space="0" w:color="auto"/>
                                        <w:right w:val="none" w:sz="0" w:space="0" w:color="auto"/>
                                      </w:divBdr>
                                      <w:divsChild>
                                        <w:div w:id="691420370">
                                          <w:marLeft w:val="0"/>
                                          <w:marRight w:val="0"/>
                                          <w:marTop w:val="0"/>
                                          <w:marBottom w:val="0"/>
                                          <w:divBdr>
                                            <w:top w:val="none" w:sz="0" w:space="0" w:color="auto"/>
                                            <w:left w:val="none" w:sz="0" w:space="0" w:color="auto"/>
                                            <w:bottom w:val="none" w:sz="0" w:space="0" w:color="auto"/>
                                            <w:right w:val="none" w:sz="0" w:space="0" w:color="auto"/>
                                          </w:divBdr>
                                          <w:divsChild>
                                            <w:div w:id="1240017917">
                                              <w:marLeft w:val="0"/>
                                              <w:marRight w:val="0"/>
                                              <w:marTop w:val="0"/>
                                              <w:marBottom w:val="0"/>
                                              <w:divBdr>
                                                <w:top w:val="none" w:sz="0" w:space="0" w:color="auto"/>
                                                <w:left w:val="none" w:sz="0" w:space="0" w:color="auto"/>
                                                <w:bottom w:val="none" w:sz="0" w:space="0" w:color="auto"/>
                                                <w:right w:val="none" w:sz="0" w:space="0" w:color="auto"/>
                                              </w:divBdr>
                                              <w:divsChild>
                                                <w:div w:id="1767380839">
                                                  <w:marLeft w:val="0"/>
                                                  <w:marRight w:val="0"/>
                                                  <w:marTop w:val="0"/>
                                                  <w:marBottom w:val="0"/>
                                                  <w:divBdr>
                                                    <w:top w:val="none" w:sz="0" w:space="0" w:color="auto"/>
                                                    <w:left w:val="none" w:sz="0" w:space="0" w:color="auto"/>
                                                    <w:bottom w:val="none" w:sz="0" w:space="0" w:color="auto"/>
                                                    <w:right w:val="none" w:sz="0" w:space="0" w:color="auto"/>
                                                  </w:divBdr>
                                                  <w:divsChild>
                                                    <w:div w:id="1396079317">
                                                      <w:marLeft w:val="0"/>
                                                      <w:marRight w:val="0"/>
                                                      <w:marTop w:val="0"/>
                                                      <w:marBottom w:val="0"/>
                                                      <w:divBdr>
                                                        <w:top w:val="none" w:sz="0" w:space="0" w:color="auto"/>
                                                        <w:left w:val="none" w:sz="0" w:space="0" w:color="auto"/>
                                                        <w:bottom w:val="none" w:sz="0" w:space="0" w:color="auto"/>
                                                        <w:right w:val="none" w:sz="0" w:space="0" w:color="auto"/>
                                                      </w:divBdr>
                                                      <w:divsChild>
                                                        <w:div w:id="516499847">
                                                          <w:marLeft w:val="0"/>
                                                          <w:marRight w:val="0"/>
                                                          <w:marTop w:val="0"/>
                                                          <w:marBottom w:val="0"/>
                                                          <w:divBdr>
                                                            <w:top w:val="none" w:sz="0" w:space="0" w:color="auto"/>
                                                            <w:left w:val="none" w:sz="0" w:space="0" w:color="auto"/>
                                                            <w:bottom w:val="none" w:sz="0" w:space="0" w:color="auto"/>
                                                            <w:right w:val="none" w:sz="0" w:space="0" w:color="auto"/>
                                                          </w:divBdr>
                                                        </w:div>
                                                        <w:div w:id="1638220420">
                                                          <w:marLeft w:val="0"/>
                                                          <w:marRight w:val="0"/>
                                                          <w:marTop w:val="0"/>
                                                          <w:marBottom w:val="0"/>
                                                          <w:divBdr>
                                                            <w:top w:val="none" w:sz="0" w:space="0" w:color="auto"/>
                                                            <w:left w:val="none" w:sz="0" w:space="0" w:color="auto"/>
                                                            <w:bottom w:val="none" w:sz="0" w:space="0" w:color="auto"/>
                                                            <w:right w:val="none" w:sz="0" w:space="0" w:color="auto"/>
                                                          </w:divBdr>
                                                          <w:divsChild>
                                                            <w:div w:id="1221866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0020945">
      <w:bodyDiv w:val="1"/>
      <w:marLeft w:val="0"/>
      <w:marRight w:val="0"/>
      <w:marTop w:val="0"/>
      <w:marBottom w:val="0"/>
      <w:divBdr>
        <w:top w:val="none" w:sz="0" w:space="0" w:color="auto"/>
        <w:left w:val="none" w:sz="0" w:space="0" w:color="auto"/>
        <w:bottom w:val="none" w:sz="0" w:space="0" w:color="auto"/>
        <w:right w:val="none" w:sz="0" w:space="0" w:color="auto"/>
      </w:divBdr>
      <w:divsChild>
        <w:div w:id="1030061708">
          <w:marLeft w:val="0"/>
          <w:marRight w:val="0"/>
          <w:marTop w:val="0"/>
          <w:marBottom w:val="0"/>
          <w:divBdr>
            <w:top w:val="none" w:sz="0" w:space="0" w:color="auto"/>
            <w:left w:val="none" w:sz="0" w:space="0" w:color="auto"/>
            <w:bottom w:val="none" w:sz="0" w:space="0" w:color="auto"/>
            <w:right w:val="none" w:sz="0" w:space="0" w:color="auto"/>
          </w:divBdr>
          <w:divsChild>
            <w:div w:id="1710370520">
              <w:marLeft w:val="0"/>
              <w:marRight w:val="0"/>
              <w:marTop w:val="0"/>
              <w:marBottom w:val="0"/>
              <w:divBdr>
                <w:top w:val="none" w:sz="0" w:space="0" w:color="auto"/>
                <w:left w:val="none" w:sz="0" w:space="0" w:color="auto"/>
                <w:bottom w:val="none" w:sz="0" w:space="0" w:color="auto"/>
                <w:right w:val="none" w:sz="0" w:space="0" w:color="auto"/>
              </w:divBdr>
              <w:divsChild>
                <w:div w:id="1842307075">
                  <w:marLeft w:val="0"/>
                  <w:marRight w:val="0"/>
                  <w:marTop w:val="0"/>
                  <w:marBottom w:val="0"/>
                  <w:divBdr>
                    <w:top w:val="none" w:sz="0" w:space="0" w:color="auto"/>
                    <w:left w:val="none" w:sz="0" w:space="0" w:color="auto"/>
                    <w:bottom w:val="none" w:sz="0" w:space="0" w:color="auto"/>
                    <w:right w:val="none" w:sz="0" w:space="0" w:color="auto"/>
                  </w:divBdr>
                  <w:divsChild>
                    <w:div w:id="2043432978">
                      <w:marLeft w:val="0"/>
                      <w:marRight w:val="0"/>
                      <w:marTop w:val="0"/>
                      <w:marBottom w:val="0"/>
                      <w:divBdr>
                        <w:top w:val="none" w:sz="0" w:space="0" w:color="auto"/>
                        <w:left w:val="none" w:sz="0" w:space="0" w:color="auto"/>
                        <w:bottom w:val="none" w:sz="0" w:space="0" w:color="auto"/>
                        <w:right w:val="none" w:sz="0" w:space="0" w:color="auto"/>
                      </w:divBdr>
                      <w:divsChild>
                        <w:div w:id="108642041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0285338">
      <w:bodyDiv w:val="1"/>
      <w:marLeft w:val="0"/>
      <w:marRight w:val="0"/>
      <w:marTop w:val="0"/>
      <w:marBottom w:val="0"/>
      <w:divBdr>
        <w:top w:val="none" w:sz="0" w:space="0" w:color="auto"/>
        <w:left w:val="none" w:sz="0" w:space="0" w:color="auto"/>
        <w:bottom w:val="none" w:sz="0" w:space="0" w:color="auto"/>
        <w:right w:val="none" w:sz="0" w:space="0" w:color="auto"/>
      </w:divBdr>
      <w:divsChild>
        <w:div w:id="611061227">
          <w:marLeft w:val="0"/>
          <w:marRight w:val="0"/>
          <w:marTop w:val="0"/>
          <w:marBottom w:val="0"/>
          <w:divBdr>
            <w:top w:val="none" w:sz="0" w:space="0" w:color="auto"/>
            <w:left w:val="none" w:sz="0" w:space="0" w:color="auto"/>
            <w:bottom w:val="none" w:sz="0" w:space="0" w:color="auto"/>
            <w:right w:val="none" w:sz="0" w:space="0" w:color="auto"/>
          </w:divBdr>
          <w:divsChild>
            <w:div w:id="14213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3579">
      <w:bodyDiv w:val="1"/>
      <w:marLeft w:val="0"/>
      <w:marRight w:val="0"/>
      <w:marTop w:val="0"/>
      <w:marBottom w:val="0"/>
      <w:divBdr>
        <w:top w:val="none" w:sz="0" w:space="0" w:color="auto"/>
        <w:left w:val="none" w:sz="0" w:space="0" w:color="auto"/>
        <w:bottom w:val="none" w:sz="0" w:space="0" w:color="auto"/>
        <w:right w:val="none" w:sz="0" w:space="0" w:color="auto"/>
      </w:divBdr>
      <w:divsChild>
        <w:div w:id="271323871">
          <w:marLeft w:val="0"/>
          <w:marRight w:val="0"/>
          <w:marTop w:val="0"/>
          <w:marBottom w:val="0"/>
          <w:divBdr>
            <w:top w:val="none" w:sz="0" w:space="0" w:color="auto"/>
            <w:left w:val="none" w:sz="0" w:space="0" w:color="auto"/>
            <w:bottom w:val="none" w:sz="0" w:space="0" w:color="auto"/>
            <w:right w:val="none" w:sz="0" w:space="0" w:color="auto"/>
          </w:divBdr>
          <w:divsChild>
            <w:div w:id="1217856890">
              <w:marLeft w:val="0"/>
              <w:marRight w:val="0"/>
              <w:marTop w:val="0"/>
              <w:marBottom w:val="0"/>
              <w:divBdr>
                <w:top w:val="none" w:sz="0" w:space="0" w:color="auto"/>
                <w:left w:val="none" w:sz="0" w:space="0" w:color="auto"/>
                <w:bottom w:val="none" w:sz="0" w:space="0" w:color="auto"/>
                <w:right w:val="none" w:sz="0" w:space="0" w:color="auto"/>
              </w:divBdr>
              <w:divsChild>
                <w:div w:id="995180647">
                  <w:marLeft w:val="0"/>
                  <w:marRight w:val="0"/>
                  <w:marTop w:val="0"/>
                  <w:marBottom w:val="0"/>
                  <w:divBdr>
                    <w:top w:val="none" w:sz="0" w:space="0" w:color="auto"/>
                    <w:left w:val="none" w:sz="0" w:space="0" w:color="auto"/>
                    <w:bottom w:val="none" w:sz="0" w:space="0" w:color="auto"/>
                    <w:right w:val="none" w:sz="0" w:space="0" w:color="auto"/>
                  </w:divBdr>
                  <w:divsChild>
                    <w:div w:id="1977373813">
                      <w:marLeft w:val="0"/>
                      <w:marRight w:val="0"/>
                      <w:marTop w:val="0"/>
                      <w:marBottom w:val="0"/>
                      <w:divBdr>
                        <w:top w:val="none" w:sz="0" w:space="0" w:color="auto"/>
                        <w:left w:val="none" w:sz="0" w:space="0" w:color="auto"/>
                        <w:bottom w:val="none" w:sz="0" w:space="0" w:color="auto"/>
                        <w:right w:val="none" w:sz="0" w:space="0" w:color="auto"/>
                      </w:divBdr>
                      <w:divsChild>
                        <w:div w:id="30751223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3981387">
      <w:bodyDiv w:val="1"/>
      <w:marLeft w:val="0"/>
      <w:marRight w:val="0"/>
      <w:marTop w:val="0"/>
      <w:marBottom w:val="0"/>
      <w:divBdr>
        <w:top w:val="none" w:sz="0" w:space="0" w:color="auto"/>
        <w:left w:val="none" w:sz="0" w:space="0" w:color="auto"/>
        <w:bottom w:val="none" w:sz="0" w:space="0" w:color="auto"/>
        <w:right w:val="none" w:sz="0" w:space="0" w:color="auto"/>
      </w:divBdr>
      <w:divsChild>
        <w:div w:id="1137527352">
          <w:marLeft w:val="0"/>
          <w:marRight w:val="0"/>
          <w:marTop w:val="0"/>
          <w:marBottom w:val="0"/>
          <w:divBdr>
            <w:top w:val="none" w:sz="0" w:space="0" w:color="auto"/>
            <w:left w:val="none" w:sz="0" w:space="0" w:color="auto"/>
            <w:bottom w:val="none" w:sz="0" w:space="0" w:color="auto"/>
            <w:right w:val="none" w:sz="0" w:space="0" w:color="auto"/>
          </w:divBdr>
          <w:divsChild>
            <w:div w:id="948506323">
              <w:marLeft w:val="0"/>
              <w:marRight w:val="0"/>
              <w:marTop w:val="0"/>
              <w:marBottom w:val="0"/>
              <w:divBdr>
                <w:top w:val="none" w:sz="0" w:space="0" w:color="auto"/>
                <w:left w:val="none" w:sz="0" w:space="0" w:color="auto"/>
                <w:bottom w:val="none" w:sz="0" w:space="0" w:color="auto"/>
                <w:right w:val="none" w:sz="0" w:space="0" w:color="auto"/>
              </w:divBdr>
              <w:divsChild>
                <w:div w:id="1434593010">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2057269401">
                          <w:marLeft w:val="0"/>
                          <w:marRight w:val="0"/>
                          <w:marTop w:val="0"/>
                          <w:marBottom w:val="0"/>
                          <w:divBdr>
                            <w:top w:val="none" w:sz="0" w:space="0" w:color="auto"/>
                            <w:left w:val="none" w:sz="0" w:space="0" w:color="auto"/>
                            <w:bottom w:val="none" w:sz="0" w:space="0" w:color="auto"/>
                            <w:right w:val="none" w:sz="0" w:space="0" w:color="auto"/>
                          </w:divBdr>
                          <w:divsChild>
                            <w:div w:id="1399938301">
                              <w:marLeft w:val="0"/>
                              <w:marRight w:val="0"/>
                              <w:marTop w:val="0"/>
                              <w:marBottom w:val="0"/>
                              <w:divBdr>
                                <w:top w:val="none" w:sz="0" w:space="0" w:color="auto"/>
                                <w:left w:val="none" w:sz="0" w:space="0" w:color="auto"/>
                                <w:bottom w:val="none" w:sz="0" w:space="0" w:color="auto"/>
                                <w:right w:val="none" w:sz="0" w:space="0" w:color="auto"/>
                              </w:divBdr>
                              <w:divsChild>
                                <w:div w:id="2067482971">
                                  <w:marLeft w:val="0"/>
                                  <w:marRight w:val="0"/>
                                  <w:marTop w:val="0"/>
                                  <w:marBottom w:val="0"/>
                                  <w:divBdr>
                                    <w:top w:val="none" w:sz="0" w:space="0" w:color="auto"/>
                                    <w:left w:val="none" w:sz="0" w:space="0" w:color="auto"/>
                                    <w:bottom w:val="none" w:sz="0" w:space="0" w:color="auto"/>
                                    <w:right w:val="none" w:sz="0" w:space="0" w:color="auto"/>
                                  </w:divBdr>
                                  <w:divsChild>
                                    <w:div w:id="2070182223">
                                      <w:marLeft w:val="0"/>
                                      <w:marRight w:val="0"/>
                                      <w:marTop w:val="0"/>
                                      <w:marBottom w:val="0"/>
                                      <w:divBdr>
                                        <w:top w:val="none" w:sz="0" w:space="0" w:color="auto"/>
                                        <w:left w:val="none" w:sz="0" w:space="0" w:color="auto"/>
                                        <w:bottom w:val="none" w:sz="0" w:space="0" w:color="auto"/>
                                        <w:right w:val="none" w:sz="0" w:space="0" w:color="auto"/>
                                      </w:divBdr>
                                      <w:divsChild>
                                        <w:div w:id="1989822973">
                                          <w:marLeft w:val="0"/>
                                          <w:marRight w:val="0"/>
                                          <w:marTop w:val="0"/>
                                          <w:marBottom w:val="0"/>
                                          <w:divBdr>
                                            <w:top w:val="none" w:sz="0" w:space="0" w:color="auto"/>
                                            <w:left w:val="none" w:sz="0" w:space="0" w:color="auto"/>
                                            <w:bottom w:val="none" w:sz="0" w:space="0" w:color="auto"/>
                                            <w:right w:val="none" w:sz="0" w:space="0" w:color="auto"/>
                                          </w:divBdr>
                                          <w:divsChild>
                                            <w:div w:id="614169505">
                                              <w:marLeft w:val="0"/>
                                              <w:marRight w:val="0"/>
                                              <w:marTop w:val="0"/>
                                              <w:marBottom w:val="0"/>
                                              <w:divBdr>
                                                <w:top w:val="none" w:sz="0" w:space="0" w:color="auto"/>
                                                <w:left w:val="none" w:sz="0" w:space="0" w:color="auto"/>
                                                <w:bottom w:val="none" w:sz="0" w:space="0" w:color="auto"/>
                                                <w:right w:val="none" w:sz="0" w:space="0" w:color="auto"/>
                                              </w:divBdr>
                                              <w:divsChild>
                                                <w:div w:id="78917286">
                                                  <w:marLeft w:val="0"/>
                                                  <w:marRight w:val="0"/>
                                                  <w:marTop w:val="0"/>
                                                  <w:marBottom w:val="0"/>
                                                  <w:divBdr>
                                                    <w:top w:val="none" w:sz="0" w:space="0" w:color="auto"/>
                                                    <w:left w:val="none" w:sz="0" w:space="0" w:color="auto"/>
                                                    <w:bottom w:val="none" w:sz="0" w:space="0" w:color="auto"/>
                                                    <w:right w:val="none" w:sz="0" w:space="0" w:color="auto"/>
                                                  </w:divBdr>
                                                  <w:divsChild>
                                                    <w:div w:id="1382250244">
                                                      <w:marLeft w:val="0"/>
                                                      <w:marRight w:val="0"/>
                                                      <w:marTop w:val="0"/>
                                                      <w:marBottom w:val="0"/>
                                                      <w:divBdr>
                                                        <w:top w:val="none" w:sz="0" w:space="0" w:color="auto"/>
                                                        <w:left w:val="none" w:sz="0" w:space="0" w:color="auto"/>
                                                        <w:bottom w:val="none" w:sz="0" w:space="0" w:color="auto"/>
                                                        <w:right w:val="none" w:sz="0" w:space="0" w:color="auto"/>
                                                      </w:divBdr>
                                                      <w:divsChild>
                                                        <w:div w:id="1061174335">
                                                          <w:marLeft w:val="0"/>
                                                          <w:marRight w:val="0"/>
                                                          <w:marTop w:val="0"/>
                                                          <w:marBottom w:val="0"/>
                                                          <w:divBdr>
                                                            <w:top w:val="none" w:sz="0" w:space="0" w:color="auto"/>
                                                            <w:left w:val="none" w:sz="0" w:space="0" w:color="auto"/>
                                                            <w:bottom w:val="none" w:sz="0" w:space="0" w:color="auto"/>
                                                            <w:right w:val="none" w:sz="0" w:space="0" w:color="auto"/>
                                                          </w:divBdr>
                                                          <w:divsChild>
                                                            <w:div w:id="1843743007">
                                                              <w:marLeft w:val="0"/>
                                                              <w:marRight w:val="0"/>
                                                              <w:marTop w:val="0"/>
                                                              <w:marBottom w:val="0"/>
                                                              <w:divBdr>
                                                                <w:top w:val="none" w:sz="0" w:space="0" w:color="auto"/>
                                                                <w:left w:val="none" w:sz="0" w:space="0" w:color="auto"/>
                                                                <w:bottom w:val="none" w:sz="0" w:space="0" w:color="auto"/>
                                                                <w:right w:val="none" w:sz="0" w:space="0" w:color="auto"/>
                                                              </w:divBdr>
                                                              <w:divsChild>
                                                                <w:div w:id="780957323">
                                                                  <w:marLeft w:val="0"/>
                                                                  <w:marRight w:val="0"/>
                                                                  <w:marTop w:val="0"/>
                                                                  <w:marBottom w:val="0"/>
                                                                  <w:divBdr>
                                                                    <w:top w:val="none" w:sz="0" w:space="0" w:color="auto"/>
                                                                    <w:left w:val="none" w:sz="0" w:space="0" w:color="auto"/>
                                                                    <w:bottom w:val="none" w:sz="0" w:space="0" w:color="auto"/>
                                                                    <w:right w:val="none" w:sz="0" w:space="0" w:color="auto"/>
                                                                  </w:divBdr>
                                                                  <w:divsChild>
                                                                    <w:div w:id="1192499286">
                                                                      <w:marLeft w:val="0"/>
                                                                      <w:marRight w:val="0"/>
                                                                      <w:marTop w:val="0"/>
                                                                      <w:marBottom w:val="0"/>
                                                                      <w:divBdr>
                                                                        <w:top w:val="single" w:sz="6" w:space="8" w:color="E0E0E0"/>
                                                                        <w:left w:val="none" w:sz="0" w:space="0" w:color="auto"/>
                                                                        <w:bottom w:val="none" w:sz="0" w:space="0" w:color="auto"/>
                                                                        <w:right w:val="none" w:sz="0" w:space="0" w:color="auto"/>
                                                                      </w:divBdr>
                                                                      <w:divsChild>
                                                                        <w:div w:id="219366360">
                                                                          <w:marLeft w:val="0"/>
                                                                          <w:marRight w:val="0"/>
                                                                          <w:marTop w:val="0"/>
                                                                          <w:marBottom w:val="0"/>
                                                                          <w:divBdr>
                                                                            <w:top w:val="none" w:sz="0" w:space="0" w:color="auto"/>
                                                                            <w:left w:val="none" w:sz="0" w:space="0" w:color="auto"/>
                                                                            <w:bottom w:val="none" w:sz="0" w:space="0" w:color="auto"/>
                                                                            <w:right w:val="none" w:sz="0" w:space="0" w:color="auto"/>
                                                                          </w:divBdr>
                                                                          <w:divsChild>
                                                                            <w:div w:id="666397080">
                                                                              <w:marLeft w:val="0"/>
                                                                              <w:marRight w:val="0"/>
                                                                              <w:marTop w:val="0"/>
                                                                              <w:marBottom w:val="0"/>
                                                                              <w:divBdr>
                                                                                <w:top w:val="none" w:sz="0" w:space="0" w:color="auto"/>
                                                                                <w:left w:val="none" w:sz="0" w:space="0" w:color="auto"/>
                                                                                <w:bottom w:val="none" w:sz="0" w:space="0" w:color="auto"/>
                                                                                <w:right w:val="none" w:sz="0" w:space="0" w:color="auto"/>
                                                                              </w:divBdr>
                                                                              <w:divsChild>
                                                                                <w:div w:id="1959530068">
                                                                                  <w:marLeft w:val="0"/>
                                                                                  <w:marRight w:val="0"/>
                                                                                  <w:marTop w:val="0"/>
                                                                                  <w:marBottom w:val="0"/>
                                                                                  <w:divBdr>
                                                                                    <w:top w:val="none" w:sz="0" w:space="0" w:color="auto"/>
                                                                                    <w:left w:val="none" w:sz="0" w:space="0" w:color="auto"/>
                                                                                    <w:bottom w:val="none" w:sz="0" w:space="0" w:color="auto"/>
                                                                                    <w:right w:val="none" w:sz="0" w:space="0" w:color="auto"/>
                                                                                  </w:divBdr>
                                                                                  <w:divsChild>
                                                                                    <w:div w:id="410584094">
                                                                                      <w:marLeft w:val="0"/>
                                                                                      <w:marRight w:val="0"/>
                                                                                      <w:marTop w:val="0"/>
                                                                                      <w:marBottom w:val="0"/>
                                                                                      <w:divBdr>
                                                                                        <w:top w:val="none" w:sz="0" w:space="0" w:color="auto"/>
                                                                                        <w:left w:val="none" w:sz="0" w:space="0" w:color="auto"/>
                                                                                        <w:bottom w:val="none" w:sz="0" w:space="0" w:color="auto"/>
                                                                                        <w:right w:val="none" w:sz="0" w:space="0" w:color="auto"/>
                                                                                      </w:divBdr>
                                                                                      <w:divsChild>
                                                                                        <w:div w:id="862479087">
                                                                                          <w:marLeft w:val="0"/>
                                                                                          <w:marRight w:val="0"/>
                                                                                          <w:marTop w:val="0"/>
                                                                                          <w:marBottom w:val="0"/>
                                                                                          <w:divBdr>
                                                                                            <w:top w:val="none" w:sz="0" w:space="0" w:color="auto"/>
                                                                                            <w:left w:val="none" w:sz="0" w:space="0" w:color="auto"/>
                                                                                            <w:bottom w:val="none" w:sz="0" w:space="0" w:color="auto"/>
                                                                                            <w:right w:val="none" w:sz="0" w:space="0" w:color="auto"/>
                                                                                          </w:divBdr>
                                                                                          <w:divsChild>
                                                                                            <w:div w:id="994337086">
                                                                                              <w:marLeft w:val="0"/>
                                                                                              <w:marRight w:val="0"/>
                                                                                              <w:marTop w:val="0"/>
                                                                                              <w:marBottom w:val="0"/>
                                                                                              <w:divBdr>
                                                                                                <w:top w:val="none" w:sz="0" w:space="0" w:color="auto"/>
                                                                                                <w:left w:val="none" w:sz="0" w:space="0" w:color="auto"/>
                                                                                                <w:bottom w:val="none" w:sz="0" w:space="0" w:color="auto"/>
                                                                                                <w:right w:val="none" w:sz="0" w:space="0" w:color="auto"/>
                                                                                              </w:divBdr>
                                                                                              <w:divsChild>
                                                                                                <w:div w:id="2010676871">
                                                                                                  <w:marLeft w:val="0"/>
                                                                                                  <w:marRight w:val="0"/>
                                                                                                  <w:marTop w:val="0"/>
                                                                                                  <w:marBottom w:val="0"/>
                                                                                                  <w:divBdr>
                                                                                                    <w:top w:val="none" w:sz="0" w:space="0" w:color="auto"/>
                                                                                                    <w:left w:val="none" w:sz="0" w:space="0" w:color="auto"/>
                                                                                                    <w:bottom w:val="none" w:sz="0" w:space="0" w:color="auto"/>
                                                                                                    <w:right w:val="none" w:sz="0" w:space="0" w:color="auto"/>
                                                                                                  </w:divBdr>
                                                                                                  <w:divsChild>
                                                                                                    <w:div w:id="298343457">
                                                                                                      <w:marLeft w:val="0"/>
                                                                                                      <w:marRight w:val="0"/>
                                                                                                      <w:marTop w:val="0"/>
                                                                                                      <w:marBottom w:val="0"/>
                                                                                                      <w:divBdr>
                                                                                                        <w:top w:val="none" w:sz="0" w:space="0" w:color="auto"/>
                                                                                                        <w:left w:val="none" w:sz="0" w:space="0" w:color="auto"/>
                                                                                                        <w:bottom w:val="none" w:sz="0" w:space="0" w:color="auto"/>
                                                                                                        <w:right w:val="none" w:sz="0" w:space="0" w:color="auto"/>
                                                                                                      </w:divBdr>
                                                                                                      <w:divsChild>
                                                                                                        <w:div w:id="1733650376">
                                                                                                          <w:marLeft w:val="0"/>
                                                                                                          <w:marRight w:val="0"/>
                                                                                                          <w:marTop w:val="0"/>
                                                                                                          <w:marBottom w:val="0"/>
                                                                                                          <w:divBdr>
                                                                                                            <w:top w:val="none" w:sz="0" w:space="0" w:color="auto"/>
                                                                                                            <w:left w:val="none" w:sz="0" w:space="0" w:color="auto"/>
                                                                                                            <w:bottom w:val="none" w:sz="0" w:space="0" w:color="auto"/>
                                                                                                            <w:right w:val="none" w:sz="0" w:space="0" w:color="auto"/>
                                                                                                          </w:divBdr>
                                                                                                          <w:divsChild>
                                                                                                            <w:div w:id="1167671343">
                                                                                                              <w:marLeft w:val="0"/>
                                                                                                              <w:marRight w:val="0"/>
                                                                                                              <w:marTop w:val="0"/>
                                                                                                              <w:marBottom w:val="0"/>
                                                                                                              <w:divBdr>
                                                                                                                <w:top w:val="none" w:sz="0" w:space="0" w:color="auto"/>
                                                                                                                <w:left w:val="none" w:sz="0" w:space="0" w:color="auto"/>
                                                                                                                <w:bottom w:val="none" w:sz="0" w:space="0" w:color="auto"/>
                                                                                                                <w:right w:val="none" w:sz="0" w:space="0" w:color="auto"/>
                                                                                                              </w:divBdr>
                                                                                                              <w:divsChild>
                                                                                                                <w:div w:id="1319111696">
                                                                                                                  <w:marLeft w:val="0"/>
                                                                                                                  <w:marRight w:val="0"/>
                                                                                                                  <w:marTop w:val="0"/>
                                                                                                                  <w:marBottom w:val="0"/>
                                                                                                                  <w:divBdr>
                                                                                                                    <w:top w:val="none" w:sz="0" w:space="0" w:color="auto"/>
                                                                                                                    <w:left w:val="none" w:sz="0" w:space="0" w:color="auto"/>
                                                                                                                    <w:bottom w:val="none" w:sz="0" w:space="0" w:color="auto"/>
                                                                                                                    <w:right w:val="none" w:sz="0" w:space="0" w:color="auto"/>
                                                                                                                  </w:divBdr>
                                                                                                                  <w:divsChild>
                                                                                                                    <w:div w:id="1802258914">
                                                                                                                      <w:marLeft w:val="0"/>
                                                                                                                      <w:marRight w:val="0"/>
                                                                                                                      <w:marTop w:val="0"/>
                                                                                                                      <w:marBottom w:val="0"/>
                                                                                                                      <w:divBdr>
                                                                                                                        <w:top w:val="none" w:sz="0" w:space="0" w:color="auto"/>
                                                                                                                        <w:left w:val="none" w:sz="0" w:space="0" w:color="auto"/>
                                                                                                                        <w:bottom w:val="none" w:sz="0" w:space="0" w:color="auto"/>
                                                                                                                        <w:right w:val="none" w:sz="0" w:space="0" w:color="auto"/>
                                                                                                                      </w:divBdr>
                                                                                                                      <w:divsChild>
                                                                                                                        <w:div w:id="1197811950">
                                                                                                                          <w:marLeft w:val="0"/>
                                                                                                                          <w:marRight w:val="0"/>
                                                                                                                          <w:marTop w:val="0"/>
                                                                                                                          <w:marBottom w:val="0"/>
                                                                                                                          <w:divBdr>
                                                                                                                            <w:top w:val="none" w:sz="0" w:space="0" w:color="auto"/>
                                                                                                                            <w:left w:val="none" w:sz="0" w:space="0" w:color="auto"/>
                                                                                                                            <w:bottom w:val="none" w:sz="0" w:space="0" w:color="auto"/>
                                                                                                                            <w:right w:val="none" w:sz="0" w:space="0" w:color="auto"/>
                                                                                                                          </w:divBdr>
                                                                                                                          <w:divsChild>
                                                                                                                            <w:div w:id="398989970">
                                                                                                                              <w:marLeft w:val="0"/>
                                                                                                                              <w:marRight w:val="0"/>
                                                                                                                              <w:marTop w:val="0"/>
                                                                                                                              <w:marBottom w:val="0"/>
                                                                                                                              <w:divBdr>
                                                                                                                                <w:top w:val="none" w:sz="0" w:space="0" w:color="auto"/>
                                                                                                                                <w:left w:val="none" w:sz="0" w:space="0" w:color="auto"/>
                                                                                                                                <w:bottom w:val="none" w:sz="0" w:space="0" w:color="auto"/>
                                                                                                                                <w:right w:val="none" w:sz="0" w:space="0" w:color="auto"/>
                                                                                                                              </w:divBdr>
                                                                                                                            </w:div>
                                                                                                                          </w:divsChild>
                                                                                                                        </w:div>
                                                                                                                        <w:div w:id="471951219">
                                                                                                                          <w:marLeft w:val="0"/>
                                                                                                                          <w:marRight w:val="0"/>
                                                                                                                          <w:marTop w:val="0"/>
                                                                                                                          <w:marBottom w:val="0"/>
                                                                                                                          <w:divBdr>
                                                                                                                            <w:top w:val="none" w:sz="0" w:space="0" w:color="auto"/>
                                                                                                                            <w:left w:val="none" w:sz="0" w:space="0" w:color="auto"/>
                                                                                                                            <w:bottom w:val="none" w:sz="0" w:space="0" w:color="auto"/>
                                                                                                                            <w:right w:val="none" w:sz="0" w:space="0" w:color="auto"/>
                                                                                                                          </w:divBdr>
                                                                                                                          <w:divsChild>
                                                                                                                            <w:div w:id="885944819">
                                                                                                                              <w:marLeft w:val="0"/>
                                                                                                                              <w:marRight w:val="0"/>
                                                                                                                              <w:marTop w:val="0"/>
                                                                                                                              <w:marBottom w:val="312"/>
                                                                                                                              <w:divBdr>
                                                                                                                                <w:top w:val="none" w:sz="0" w:space="0" w:color="auto"/>
                                                                                                                                <w:left w:val="none" w:sz="0" w:space="0" w:color="auto"/>
                                                                                                                                <w:bottom w:val="none" w:sz="0" w:space="0" w:color="auto"/>
                                                                                                                                <w:right w:val="none" w:sz="0" w:space="0" w:color="auto"/>
                                                                                                                              </w:divBdr>
                                                                                                                            </w:div>
                                                                                                                          </w:divsChild>
                                                                                                                        </w:div>
                                                                                                                        <w:div w:id="2090030627">
                                                                                                                          <w:marLeft w:val="0"/>
                                                                                                                          <w:marRight w:val="0"/>
                                                                                                                          <w:marTop w:val="0"/>
                                                                                                                          <w:marBottom w:val="0"/>
                                                                                                                          <w:divBdr>
                                                                                                                            <w:top w:val="none" w:sz="0" w:space="0" w:color="auto"/>
                                                                                                                            <w:left w:val="none" w:sz="0" w:space="0" w:color="auto"/>
                                                                                                                            <w:bottom w:val="none" w:sz="0" w:space="0" w:color="auto"/>
                                                                                                                            <w:right w:val="none" w:sz="0" w:space="0" w:color="auto"/>
                                                                                                                          </w:divBdr>
                                                                                                                          <w:divsChild>
                                                                                                                            <w:div w:id="2015647821">
                                                                                                                              <w:marLeft w:val="0"/>
                                                                                                                              <w:marRight w:val="0"/>
                                                                                                                              <w:marTop w:val="0"/>
                                                                                                                              <w:marBottom w:val="264"/>
                                                                                                                              <w:divBdr>
                                                                                                                                <w:top w:val="none" w:sz="0" w:space="0" w:color="auto"/>
                                                                                                                                <w:left w:val="none" w:sz="0" w:space="0" w:color="auto"/>
                                                                                                                                <w:bottom w:val="none" w:sz="0" w:space="0" w:color="auto"/>
                                                                                                                                <w:right w:val="none" w:sz="0" w:space="0" w:color="auto"/>
                                                                                                                              </w:divBdr>
                                                                                                                            </w:div>
                                                                                                                          </w:divsChild>
                                                                                                                        </w:div>
                                                                                                                        <w:div w:id="1349791211">
                                                                                                                          <w:marLeft w:val="0"/>
                                                                                                                          <w:marRight w:val="0"/>
                                                                                                                          <w:marTop w:val="0"/>
                                                                                                                          <w:marBottom w:val="0"/>
                                                                                                                          <w:divBdr>
                                                                                                                            <w:top w:val="none" w:sz="0" w:space="0" w:color="auto"/>
                                                                                                                            <w:left w:val="none" w:sz="0" w:space="0" w:color="auto"/>
                                                                                                                            <w:bottom w:val="none" w:sz="0" w:space="0" w:color="auto"/>
                                                                                                                            <w:right w:val="none" w:sz="0" w:space="0" w:color="auto"/>
                                                                                                                          </w:divBdr>
                                                                                                                          <w:divsChild>
                                                                                                                            <w:div w:id="316499884">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557544">
      <w:bodyDiv w:val="1"/>
      <w:marLeft w:val="0"/>
      <w:marRight w:val="0"/>
      <w:marTop w:val="0"/>
      <w:marBottom w:val="0"/>
      <w:divBdr>
        <w:top w:val="none" w:sz="0" w:space="0" w:color="auto"/>
        <w:left w:val="none" w:sz="0" w:space="0" w:color="auto"/>
        <w:bottom w:val="none" w:sz="0" w:space="0" w:color="auto"/>
        <w:right w:val="none" w:sz="0" w:space="0" w:color="auto"/>
      </w:divBdr>
      <w:divsChild>
        <w:div w:id="58481096">
          <w:marLeft w:val="0"/>
          <w:marRight w:val="0"/>
          <w:marTop w:val="0"/>
          <w:marBottom w:val="0"/>
          <w:divBdr>
            <w:top w:val="none" w:sz="0" w:space="0" w:color="auto"/>
            <w:left w:val="none" w:sz="0" w:space="0" w:color="auto"/>
            <w:bottom w:val="none" w:sz="0" w:space="0" w:color="auto"/>
            <w:right w:val="none" w:sz="0" w:space="0" w:color="auto"/>
          </w:divBdr>
          <w:divsChild>
            <w:div w:id="1276328213">
              <w:marLeft w:val="0"/>
              <w:marRight w:val="0"/>
              <w:marTop w:val="0"/>
              <w:marBottom w:val="0"/>
              <w:divBdr>
                <w:top w:val="none" w:sz="0" w:space="0" w:color="auto"/>
                <w:left w:val="none" w:sz="0" w:space="0" w:color="auto"/>
                <w:bottom w:val="none" w:sz="0" w:space="0" w:color="auto"/>
                <w:right w:val="none" w:sz="0" w:space="0" w:color="auto"/>
              </w:divBdr>
              <w:divsChild>
                <w:div w:id="1070075380">
                  <w:marLeft w:val="0"/>
                  <w:marRight w:val="0"/>
                  <w:marTop w:val="0"/>
                  <w:marBottom w:val="0"/>
                  <w:divBdr>
                    <w:top w:val="none" w:sz="0" w:space="0" w:color="auto"/>
                    <w:left w:val="none" w:sz="0" w:space="0" w:color="auto"/>
                    <w:bottom w:val="none" w:sz="0" w:space="0" w:color="auto"/>
                    <w:right w:val="none" w:sz="0" w:space="0" w:color="auto"/>
                  </w:divBdr>
                  <w:divsChild>
                    <w:div w:id="1606111916">
                      <w:marLeft w:val="0"/>
                      <w:marRight w:val="0"/>
                      <w:marTop w:val="0"/>
                      <w:marBottom w:val="0"/>
                      <w:divBdr>
                        <w:top w:val="none" w:sz="0" w:space="0" w:color="auto"/>
                        <w:left w:val="none" w:sz="0" w:space="0" w:color="auto"/>
                        <w:bottom w:val="none" w:sz="0" w:space="0" w:color="auto"/>
                        <w:right w:val="none" w:sz="0" w:space="0" w:color="auto"/>
                      </w:divBdr>
                      <w:divsChild>
                        <w:div w:id="248123462">
                          <w:marLeft w:val="-225"/>
                          <w:marRight w:val="-225"/>
                          <w:marTop w:val="0"/>
                          <w:marBottom w:val="0"/>
                          <w:divBdr>
                            <w:top w:val="none" w:sz="0" w:space="0" w:color="auto"/>
                            <w:left w:val="none" w:sz="0" w:space="0" w:color="auto"/>
                            <w:bottom w:val="none" w:sz="0" w:space="0" w:color="auto"/>
                            <w:right w:val="none" w:sz="0" w:space="0" w:color="auto"/>
                          </w:divBdr>
                          <w:divsChild>
                            <w:div w:id="1945337345">
                              <w:marLeft w:val="0"/>
                              <w:marRight w:val="0"/>
                              <w:marTop w:val="0"/>
                              <w:marBottom w:val="0"/>
                              <w:divBdr>
                                <w:top w:val="none" w:sz="0" w:space="0" w:color="auto"/>
                                <w:left w:val="none" w:sz="0" w:space="0" w:color="auto"/>
                                <w:bottom w:val="none" w:sz="0" w:space="0" w:color="auto"/>
                                <w:right w:val="none" w:sz="0" w:space="0" w:color="auto"/>
                              </w:divBdr>
                              <w:divsChild>
                                <w:div w:id="1720321711">
                                  <w:marLeft w:val="0"/>
                                  <w:marRight w:val="0"/>
                                  <w:marTop w:val="0"/>
                                  <w:marBottom w:val="0"/>
                                  <w:divBdr>
                                    <w:top w:val="none" w:sz="0" w:space="0" w:color="auto"/>
                                    <w:left w:val="none" w:sz="0" w:space="0" w:color="auto"/>
                                    <w:bottom w:val="none" w:sz="0" w:space="0" w:color="auto"/>
                                    <w:right w:val="none" w:sz="0" w:space="0" w:color="auto"/>
                                  </w:divBdr>
                                  <w:divsChild>
                                    <w:div w:id="2121682802">
                                      <w:marLeft w:val="0"/>
                                      <w:marRight w:val="0"/>
                                      <w:marTop w:val="0"/>
                                      <w:marBottom w:val="0"/>
                                      <w:divBdr>
                                        <w:top w:val="none" w:sz="0" w:space="0" w:color="auto"/>
                                        <w:left w:val="none" w:sz="0" w:space="0" w:color="auto"/>
                                        <w:bottom w:val="none" w:sz="0" w:space="0" w:color="auto"/>
                                        <w:right w:val="none" w:sz="0" w:space="0" w:color="auto"/>
                                      </w:divBdr>
                                      <w:divsChild>
                                        <w:div w:id="1961254838">
                                          <w:marLeft w:val="0"/>
                                          <w:marRight w:val="0"/>
                                          <w:marTop w:val="0"/>
                                          <w:marBottom w:val="0"/>
                                          <w:divBdr>
                                            <w:top w:val="none" w:sz="0" w:space="0" w:color="auto"/>
                                            <w:left w:val="none" w:sz="0" w:space="0" w:color="auto"/>
                                            <w:bottom w:val="none" w:sz="0" w:space="0" w:color="auto"/>
                                            <w:right w:val="none" w:sz="0" w:space="0" w:color="auto"/>
                                          </w:divBdr>
                                          <w:divsChild>
                                            <w:div w:id="18988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94266">
                          <w:marLeft w:val="-225"/>
                          <w:marRight w:val="-225"/>
                          <w:marTop w:val="0"/>
                          <w:marBottom w:val="0"/>
                          <w:divBdr>
                            <w:top w:val="none" w:sz="0" w:space="0" w:color="auto"/>
                            <w:left w:val="none" w:sz="0" w:space="0" w:color="auto"/>
                            <w:bottom w:val="none" w:sz="0" w:space="0" w:color="auto"/>
                            <w:right w:val="none" w:sz="0" w:space="0" w:color="auto"/>
                          </w:divBdr>
                          <w:divsChild>
                            <w:div w:id="214974674">
                              <w:marLeft w:val="0"/>
                              <w:marRight w:val="0"/>
                              <w:marTop w:val="0"/>
                              <w:marBottom w:val="0"/>
                              <w:divBdr>
                                <w:top w:val="none" w:sz="0" w:space="0" w:color="auto"/>
                                <w:left w:val="none" w:sz="0" w:space="0" w:color="auto"/>
                                <w:bottom w:val="none" w:sz="0" w:space="0" w:color="auto"/>
                                <w:right w:val="none" w:sz="0" w:space="0" w:color="auto"/>
                              </w:divBdr>
                              <w:divsChild>
                                <w:div w:id="1625111229">
                                  <w:marLeft w:val="0"/>
                                  <w:marRight w:val="0"/>
                                  <w:marTop w:val="0"/>
                                  <w:marBottom w:val="0"/>
                                  <w:divBdr>
                                    <w:top w:val="none" w:sz="0" w:space="0" w:color="auto"/>
                                    <w:left w:val="none" w:sz="0" w:space="0" w:color="auto"/>
                                    <w:bottom w:val="none" w:sz="0" w:space="0" w:color="auto"/>
                                    <w:right w:val="none" w:sz="0" w:space="0" w:color="auto"/>
                                  </w:divBdr>
                                  <w:divsChild>
                                    <w:div w:id="2028175184">
                                      <w:marLeft w:val="0"/>
                                      <w:marRight w:val="0"/>
                                      <w:marTop w:val="0"/>
                                      <w:marBottom w:val="0"/>
                                      <w:divBdr>
                                        <w:top w:val="none" w:sz="0" w:space="0" w:color="auto"/>
                                        <w:left w:val="none" w:sz="0" w:space="0" w:color="auto"/>
                                        <w:bottom w:val="none" w:sz="0" w:space="0" w:color="auto"/>
                                        <w:right w:val="none" w:sz="0" w:space="0" w:color="auto"/>
                                      </w:divBdr>
                                      <w:divsChild>
                                        <w:div w:id="512039380">
                                          <w:marLeft w:val="0"/>
                                          <w:marRight w:val="0"/>
                                          <w:marTop w:val="0"/>
                                          <w:marBottom w:val="0"/>
                                          <w:divBdr>
                                            <w:top w:val="none" w:sz="0" w:space="0" w:color="auto"/>
                                            <w:left w:val="none" w:sz="0" w:space="0" w:color="auto"/>
                                            <w:bottom w:val="none" w:sz="0" w:space="0" w:color="auto"/>
                                            <w:right w:val="none" w:sz="0" w:space="0" w:color="auto"/>
                                          </w:divBdr>
                                          <w:divsChild>
                                            <w:div w:id="16057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868516">
      <w:bodyDiv w:val="1"/>
      <w:marLeft w:val="0"/>
      <w:marRight w:val="0"/>
      <w:marTop w:val="0"/>
      <w:marBottom w:val="0"/>
      <w:divBdr>
        <w:top w:val="none" w:sz="0" w:space="0" w:color="auto"/>
        <w:left w:val="none" w:sz="0" w:space="0" w:color="auto"/>
        <w:bottom w:val="none" w:sz="0" w:space="0" w:color="auto"/>
        <w:right w:val="none" w:sz="0" w:space="0" w:color="auto"/>
      </w:divBdr>
      <w:divsChild>
        <w:div w:id="79372016">
          <w:marLeft w:val="0"/>
          <w:marRight w:val="0"/>
          <w:marTop w:val="0"/>
          <w:marBottom w:val="0"/>
          <w:divBdr>
            <w:top w:val="single" w:sz="2" w:space="0" w:color="AAAAAA"/>
            <w:left w:val="single" w:sz="6" w:space="8" w:color="AAAAAA"/>
            <w:bottom w:val="single" w:sz="2" w:space="0" w:color="AAAAAA"/>
            <w:right w:val="single" w:sz="6" w:space="8" w:color="AAAAAA"/>
          </w:divBdr>
          <w:divsChild>
            <w:div w:id="757143417">
              <w:marLeft w:val="0"/>
              <w:marRight w:val="0"/>
              <w:marTop w:val="0"/>
              <w:marBottom w:val="0"/>
              <w:divBdr>
                <w:top w:val="none" w:sz="0" w:space="0" w:color="auto"/>
                <w:left w:val="none" w:sz="0" w:space="0" w:color="auto"/>
                <w:bottom w:val="none" w:sz="0" w:space="0" w:color="auto"/>
                <w:right w:val="none" w:sz="0" w:space="0" w:color="auto"/>
              </w:divBdr>
              <w:divsChild>
                <w:div w:id="1788432197">
                  <w:marLeft w:val="0"/>
                  <w:marRight w:val="0"/>
                  <w:marTop w:val="0"/>
                  <w:marBottom w:val="0"/>
                  <w:divBdr>
                    <w:top w:val="none" w:sz="0" w:space="0" w:color="auto"/>
                    <w:left w:val="none" w:sz="0" w:space="0" w:color="auto"/>
                    <w:bottom w:val="none" w:sz="0" w:space="0" w:color="auto"/>
                    <w:right w:val="none" w:sz="0" w:space="0" w:color="auto"/>
                  </w:divBdr>
                  <w:divsChild>
                    <w:div w:id="1531916531">
                      <w:marLeft w:val="0"/>
                      <w:marRight w:val="2550"/>
                      <w:marTop w:val="0"/>
                      <w:marBottom w:val="48"/>
                      <w:divBdr>
                        <w:top w:val="none" w:sz="0" w:space="0" w:color="auto"/>
                        <w:left w:val="none" w:sz="0" w:space="0" w:color="auto"/>
                        <w:bottom w:val="none" w:sz="0" w:space="0" w:color="auto"/>
                        <w:right w:val="none" w:sz="0" w:space="0" w:color="auto"/>
                      </w:divBdr>
                      <w:divsChild>
                        <w:div w:id="1283027905">
                          <w:marLeft w:val="0"/>
                          <w:marRight w:val="0"/>
                          <w:marTop w:val="0"/>
                          <w:marBottom w:val="48"/>
                          <w:divBdr>
                            <w:top w:val="none" w:sz="0" w:space="0" w:color="auto"/>
                            <w:left w:val="none" w:sz="0" w:space="0" w:color="auto"/>
                            <w:bottom w:val="none" w:sz="0" w:space="0" w:color="auto"/>
                            <w:right w:val="none" w:sz="0" w:space="0" w:color="auto"/>
                          </w:divBdr>
                          <w:divsChild>
                            <w:div w:id="1076709261">
                              <w:marLeft w:val="240"/>
                              <w:marRight w:val="0"/>
                              <w:marTop w:val="0"/>
                              <w:marBottom w:val="48"/>
                              <w:divBdr>
                                <w:top w:val="single" w:sz="6" w:space="0" w:color="CCCCCC"/>
                                <w:left w:val="single" w:sz="6" w:space="0" w:color="CCCCCC"/>
                                <w:bottom w:val="single" w:sz="6" w:space="0" w:color="CCCCCC"/>
                                <w:right w:val="single" w:sz="6" w:space="0" w:color="CCCCCC"/>
                              </w:divBdr>
                            </w:div>
                            <w:div w:id="201237389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102072">
      <w:bodyDiv w:val="1"/>
      <w:marLeft w:val="0"/>
      <w:marRight w:val="0"/>
      <w:marTop w:val="0"/>
      <w:marBottom w:val="0"/>
      <w:divBdr>
        <w:top w:val="none" w:sz="0" w:space="0" w:color="auto"/>
        <w:left w:val="none" w:sz="0" w:space="0" w:color="auto"/>
        <w:bottom w:val="none" w:sz="0" w:space="0" w:color="auto"/>
        <w:right w:val="none" w:sz="0" w:space="0" w:color="auto"/>
      </w:divBdr>
      <w:divsChild>
        <w:div w:id="305400849">
          <w:marLeft w:val="0"/>
          <w:marRight w:val="0"/>
          <w:marTop w:val="0"/>
          <w:marBottom w:val="0"/>
          <w:divBdr>
            <w:top w:val="none" w:sz="0" w:space="0" w:color="auto"/>
            <w:left w:val="none" w:sz="0" w:space="0" w:color="auto"/>
            <w:bottom w:val="none" w:sz="0" w:space="0" w:color="auto"/>
            <w:right w:val="none" w:sz="0" w:space="0" w:color="auto"/>
          </w:divBdr>
          <w:divsChild>
            <w:div w:id="1829399853">
              <w:marLeft w:val="0"/>
              <w:marRight w:val="0"/>
              <w:marTop w:val="0"/>
              <w:marBottom w:val="0"/>
              <w:divBdr>
                <w:top w:val="none" w:sz="0" w:space="0" w:color="auto"/>
                <w:left w:val="none" w:sz="0" w:space="0" w:color="auto"/>
                <w:bottom w:val="none" w:sz="0" w:space="0" w:color="auto"/>
                <w:right w:val="none" w:sz="0" w:space="0" w:color="auto"/>
              </w:divBdr>
              <w:divsChild>
                <w:div w:id="699277557">
                  <w:marLeft w:val="0"/>
                  <w:marRight w:val="0"/>
                  <w:marTop w:val="0"/>
                  <w:marBottom w:val="0"/>
                  <w:divBdr>
                    <w:top w:val="none" w:sz="0" w:space="0" w:color="auto"/>
                    <w:left w:val="none" w:sz="0" w:space="0" w:color="auto"/>
                    <w:bottom w:val="none" w:sz="0" w:space="0" w:color="auto"/>
                    <w:right w:val="none" w:sz="0" w:space="0" w:color="auto"/>
                  </w:divBdr>
                  <w:divsChild>
                    <w:div w:id="1674142661">
                      <w:marLeft w:val="-360"/>
                      <w:marRight w:val="-360"/>
                      <w:marTop w:val="0"/>
                      <w:marBottom w:val="0"/>
                      <w:divBdr>
                        <w:top w:val="none" w:sz="0" w:space="0" w:color="auto"/>
                        <w:left w:val="none" w:sz="0" w:space="0" w:color="auto"/>
                        <w:bottom w:val="none" w:sz="0" w:space="0" w:color="auto"/>
                        <w:right w:val="none" w:sz="0" w:space="0" w:color="auto"/>
                      </w:divBdr>
                      <w:divsChild>
                        <w:div w:id="1006900748">
                          <w:marLeft w:val="0"/>
                          <w:marRight w:val="0"/>
                          <w:marTop w:val="0"/>
                          <w:marBottom w:val="0"/>
                          <w:divBdr>
                            <w:top w:val="none" w:sz="0" w:space="0" w:color="auto"/>
                            <w:left w:val="none" w:sz="0" w:space="0" w:color="auto"/>
                            <w:bottom w:val="none" w:sz="0" w:space="0" w:color="auto"/>
                            <w:right w:val="none" w:sz="0" w:space="0" w:color="auto"/>
                          </w:divBdr>
                          <w:divsChild>
                            <w:div w:id="96365360">
                              <w:marLeft w:val="0"/>
                              <w:marRight w:val="0"/>
                              <w:marTop w:val="0"/>
                              <w:marBottom w:val="0"/>
                              <w:divBdr>
                                <w:top w:val="none" w:sz="0" w:space="0" w:color="auto"/>
                                <w:left w:val="none" w:sz="0" w:space="0" w:color="auto"/>
                                <w:bottom w:val="none" w:sz="0" w:space="0" w:color="auto"/>
                                <w:right w:val="none" w:sz="0" w:space="0" w:color="auto"/>
                              </w:divBdr>
                              <w:divsChild>
                                <w:div w:id="577783956">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260622">
      <w:bodyDiv w:val="1"/>
      <w:marLeft w:val="0"/>
      <w:marRight w:val="0"/>
      <w:marTop w:val="0"/>
      <w:marBottom w:val="0"/>
      <w:divBdr>
        <w:top w:val="none" w:sz="0" w:space="0" w:color="auto"/>
        <w:left w:val="none" w:sz="0" w:space="0" w:color="auto"/>
        <w:bottom w:val="none" w:sz="0" w:space="0" w:color="auto"/>
        <w:right w:val="none" w:sz="0" w:space="0" w:color="auto"/>
      </w:divBdr>
      <w:divsChild>
        <w:div w:id="1284582526">
          <w:marLeft w:val="0"/>
          <w:marRight w:val="0"/>
          <w:marTop w:val="0"/>
          <w:marBottom w:val="0"/>
          <w:divBdr>
            <w:top w:val="single" w:sz="2" w:space="0" w:color="AAAAAA"/>
            <w:left w:val="single" w:sz="6" w:space="8" w:color="AAAAAA"/>
            <w:bottom w:val="single" w:sz="2" w:space="0" w:color="AAAAAA"/>
            <w:right w:val="single" w:sz="6" w:space="8" w:color="AAAAAA"/>
          </w:divBdr>
          <w:divsChild>
            <w:div w:id="501356074">
              <w:marLeft w:val="0"/>
              <w:marRight w:val="0"/>
              <w:marTop w:val="0"/>
              <w:marBottom w:val="0"/>
              <w:divBdr>
                <w:top w:val="none" w:sz="0" w:space="0" w:color="auto"/>
                <w:left w:val="none" w:sz="0" w:space="0" w:color="auto"/>
                <w:bottom w:val="none" w:sz="0" w:space="0" w:color="auto"/>
                <w:right w:val="none" w:sz="0" w:space="0" w:color="auto"/>
              </w:divBdr>
              <w:divsChild>
                <w:div w:id="1474643433">
                  <w:marLeft w:val="0"/>
                  <w:marRight w:val="0"/>
                  <w:marTop w:val="0"/>
                  <w:marBottom w:val="0"/>
                  <w:divBdr>
                    <w:top w:val="none" w:sz="0" w:space="0" w:color="auto"/>
                    <w:left w:val="none" w:sz="0" w:space="0" w:color="auto"/>
                    <w:bottom w:val="none" w:sz="0" w:space="0" w:color="auto"/>
                    <w:right w:val="none" w:sz="0" w:space="0" w:color="auto"/>
                  </w:divBdr>
                  <w:divsChild>
                    <w:div w:id="1078794958">
                      <w:marLeft w:val="0"/>
                      <w:marRight w:val="2550"/>
                      <w:marTop w:val="0"/>
                      <w:marBottom w:val="48"/>
                      <w:divBdr>
                        <w:top w:val="none" w:sz="0" w:space="0" w:color="auto"/>
                        <w:left w:val="none" w:sz="0" w:space="0" w:color="auto"/>
                        <w:bottom w:val="none" w:sz="0" w:space="0" w:color="auto"/>
                        <w:right w:val="none" w:sz="0" w:space="0" w:color="auto"/>
                      </w:divBdr>
                      <w:divsChild>
                        <w:div w:id="16143614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11191004">
      <w:bodyDiv w:val="1"/>
      <w:marLeft w:val="0"/>
      <w:marRight w:val="0"/>
      <w:marTop w:val="0"/>
      <w:marBottom w:val="0"/>
      <w:divBdr>
        <w:top w:val="none" w:sz="0" w:space="0" w:color="auto"/>
        <w:left w:val="none" w:sz="0" w:space="0" w:color="auto"/>
        <w:bottom w:val="none" w:sz="0" w:space="0" w:color="auto"/>
        <w:right w:val="none" w:sz="0" w:space="0" w:color="auto"/>
      </w:divBdr>
      <w:divsChild>
        <w:div w:id="1502162336">
          <w:marLeft w:val="0"/>
          <w:marRight w:val="0"/>
          <w:marTop w:val="0"/>
          <w:marBottom w:val="0"/>
          <w:divBdr>
            <w:top w:val="none" w:sz="0" w:space="0" w:color="auto"/>
            <w:left w:val="none" w:sz="0" w:space="0" w:color="auto"/>
            <w:bottom w:val="none" w:sz="0" w:space="0" w:color="auto"/>
            <w:right w:val="none" w:sz="0" w:space="0" w:color="auto"/>
          </w:divBdr>
          <w:divsChild>
            <w:div w:id="1048409909">
              <w:marLeft w:val="0"/>
              <w:marRight w:val="0"/>
              <w:marTop w:val="0"/>
              <w:marBottom w:val="0"/>
              <w:divBdr>
                <w:top w:val="none" w:sz="0" w:space="0" w:color="auto"/>
                <w:left w:val="none" w:sz="0" w:space="0" w:color="auto"/>
                <w:bottom w:val="none" w:sz="0" w:space="0" w:color="auto"/>
                <w:right w:val="none" w:sz="0" w:space="0" w:color="auto"/>
              </w:divBdr>
              <w:divsChild>
                <w:div w:id="1462382226">
                  <w:marLeft w:val="0"/>
                  <w:marRight w:val="0"/>
                  <w:marTop w:val="0"/>
                  <w:marBottom w:val="0"/>
                  <w:divBdr>
                    <w:top w:val="none" w:sz="0" w:space="0" w:color="auto"/>
                    <w:left w:val="none" w:sz="0" w:space="0" w:color="auto"/>
                    <w:bottom w:val="none" w:sz="0" w:space="0" w:color="auto"/>
                    <w:right w:val="none" w:sz="0" w:space="0" w:color="auto"/>
                  </w:divBdr>
                  <w:divsChild>
                    <w:div w:id="1413813125">
                      <w:marLeft w:val="0"/>
                      <w:marRight w:val="0"/>
                      <w:marTop w:val="0"/>
                      <w:marBottom w:val="0"/>
                      <w:divBdr>
                        <w:top w:val="none" w:sz="0" w:space="0" w:color="auto"/>
                        <w:left w:val="none" w:sz="0" w:space="0" w:color="auto"/>
                        <w:bottom w:val="none" w:sz="0" w:space="0" w:color="auto"/>
                        <w:right w:val="none" w:sz="0" w:space="0" w:color="auto"/>
                      </w:divBdr>
                      <w:divsChild>
                        <w:div w:id="1135442244">
                          <w:marLeft w:val="0"/>
                          <w:marRight w:val="0"/>
                          <w:marTop w:val="0"/>
                          <w:marBottom w:val="0"/>
                          <w:divBdr>
                            <w:top w:val="none" w:sz="0" w:space="0" w:color="auto"/>
                            <w:left w:val="none" w:sz="0" w:space="0" w:color="auto"/>
                            <w:bottom w:val="none" w:sz="0" w:space="0" w:color="auto"/>
                            <w:right w:val="none" w:sz="0" w:space="0" w:color="auto"/>
                          </w:divBdr>
                          <w:divsChild>
                            <w:div w:id="1230844012">
                              <w:marLeft w:val="0"/>
                              <w:marRight w:val="0"/>
                              <w:marTop w:val="0"/>
                              <w:marBottom w:val="0"/>
                              <w:divBdr>
                                <w:top w:val="none" w:sz="0" w:space="0" w:color="auto"/>
                                <w:left w:val="none" w:sz="0" w:space="0" w:color="auto"/>
                                <w:bottom w:val="none" w:sz="0" w:space="0" w:color="auto"/>
                                <w:right w:val="none" w:sz="0" w:space="0" w:color="auto"/>
                              </w:divBdr>
                              <w:divsChild>
                                <w:div w:id="1661080312">
                                  <w:marLeft w:val="120"/>
                                  <w:marRight w:val="720"/>
                                  <w:marTop w:val="120"/>
                                  <w:marBottom w:val="120"/>
                                  <w:divBdr>
                                    <w:top w:val="none" w:sz="0" w:space="0" w:color="auto"/>
                                    <w:left w:val="none" w:sz="0" w:space="0" w:color="auto"/>
                                    <w:bottom w:val="none" w:sz="0" w:space="0" w:color="auto"/>
                                    <w:right w:val="none" w:sz="0" w:space="0" w:color="auto"/>
                                  </w:divBdr>
                                  <w:divsChild>
                                    <w:div w:id="873426797">
                                      <w:marLeft w:val="0"/>
                                      <w:marRight w:val="0"/>
                                      <w:marTop w:val="0"/>
                                      <w:marBottom w:val="0"/>
                                      <w:divBdr>
                                        <w:top w:val="none" w:sz="0" w:space="0" w:color="auto"/>
                                        <w:left w:val="none" w:sz="0" w:space="0" w:color="auto"/>
                                        <w:bottom w:val="none" w:sz="0" w:space="0" w:color="auto"/>
                                        <w:right w:val="none" w:sz="0" w:space="0" w:color="auto"/>
                                      </w:divBdr>
                                      <w:divsChild>
                                        <w:div w:id="1073310302">
                                          <w:marLeft w:val="0"/>
                                          <w:marRight w:val="0"/>
                                          <w:marTop w:val="0"/>
                                          <w:marBottom w:val="0"/>
                                          <w:divBdr>
                                            <w:top w:val="none" w:sz="0" w:space="0" w:color="auto"/>
                                            <w:left w:val="none" w:sz="0" w:space="0" w:color="auto"/>
                                            <w:bottom w:val="none" w:sz="0" w:space="0" w:color="auto"/>
                                            <w:right w:val="none" w:sz="0" w:space="0" w:color="auto"/>
                                          </w:divBdr>
                                          <w:divsChild>
                                            <w:div w:id="1319728772">
                                              <w:marLeft w:val="0"/>
                                              <w:marRight w:val="0"/>
                                              <w:marTop w:val="0"/>
                                              <w:marBottom w:val="0"/>
                                              <w:divBdr>
                                                <w:top w:val="none" w:sz="0" w:space="0" w:color="auto"/>
                                                <w:left w:val="none" w:sz="0" w:space="0" w:color="auto"/>
                                                <w:bottom w:val="none" w:sz="0" w:space="0" w:color="auto"/>
                                                <w:right w:val="none" w:sz="0" w:space="0" w:color="auto"/>
                                              </w:divBdr>
                                              <w:divsChild>
                                                <w:div w:id="1797992995">
                                                  <w:marLeft w:val="0"/>
                                                  <w:marRight w:val="0"/>
                                                  <w:marTop w:val="240"/>
                                                  <w:marBottom w:val="240"/>
                                                  <w:divBdr>
                                                    <w:top w:val="single" w:sz="6" w:space="6" w:color="F2F2F2"/>
                                                    <w:left w:val="none" w:sz="0" w:space="0" w:color="auto"/>
                                                    <w:bottom w:val="single" w:sz="6" w:space="6" w:color="F2F2F2"/>
                                                    <w:right w:val="none" w:sz="0" w:space="0" w:color="auto"/>
                                                  </w:divBdr>
                                                </w:div>
                                                <w:div w:id="1541892355">
                                                  <w:marLeft w:val="0"/>
                                                  <w:marRight w:val="0"/>
                                                  <w:marTop w:val="0"/>
                                                  <w:marBottom w:val="0"/>
                                                  <w:divBdr>
                                                    <w:top w:val="none" w:sz="0" w:space="0" w:color="auto"/>
                                                    <w:left w:val="none" w:sz="0" w:space="0" w:color="auto"/>
                                                    <w:bottom w:val="none" w:sz="0" w:space="0" w:color="auto"/>
                                                    <w:right w:val="none" w:sz="0" w:space="0" w:color="auto"/>
                                                  </w:divBdr>
                                                  <w:divsChild>
                                                    <w:div w:id="212279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382111">
      <w:bodyDiv w:val="1"/>
      <w:marLeft w:val="0"/>
      <w:marRight w:val="0"/>
      <w:marTop w:val="0"/>
      <w:marBottom w:val="0"/>
      <w:divBdr>
        <w:top w:val="none" w:sz="0" w:space="0" w:color="auto"/>
        <w:left w:val="none" w:sz="0" w:space="0" w:color="auto"/>
        <w:bottom w:val="none" w:sz="0" w:space="0" w:color="auto"/>
        <w:right w:val="none" w:sz="0" w:space="0" w:color="auto"/>
      </w:divBdr>
      <w:divsChild>
        <w:div w:id="421532249">
          <w:marLeft w:val="0"/>
          <w:marRight w:val="0"/>
          <w:marTop w:val="0"/>
          <w:marBottom w:val="0"/>
          <w:divBdr>
            <w:top w:val="none" w:sz="0" w:space="0" w:color="auto"/>
            <w:left w:val="none" w:sz="0" w:space="0" w:color="auto"/>
            <w:bottom w:val="none" w:sz="0" w:space="0" w:color="auto"/>
            <w:right w:val="none" w:sz="0" w:space="0" w:color="auto"/>
          </w:divBdr>
          <w:divsChild>
            <w:div w:id="1771319240">
              <w:marLeft w:val="0"/>
              <w:marRight w:val="0"/>
              <w:marTop w:val="0"/>
              <w:marBottom w:val="0"/>
              <w:divBdr>
                <w:top w:val="none" w:sz="0" w:space="0" w:color="auto"/>
                <w:left w:val="none" w:sz="0" w:space="0" w:color="auto"/>
                <w:bottom w:val="none" w:sz="0" w:space="0" w:color="auto"/>
                <w:right w:val="none" w:sz="0" w:space="0" w:color="auto"/>
              </w:divBdr>
              <w:divsChild>
                <w:div w:id="325786545">
                  <w:marLeft w:val="0"/>
                  <w:marRight w:val="0"/>
                  <w:marTop w:val="0"/>
                  <w:marBottom w:val="0"/>
                  <w:divBdr>
                    <w:top w:val="none" w:sz="0" w:space="0" w:color="auto"/>
                    <w:left w:val="none" w:sz="0" w:space="0" w:color="auto"/>
                    <w:bottom w:val="none" w:sz="0" w:space="0" w:color="auto"/>
                    <w:right w:val="none" w:sz="0" w:space="0" w:color="auto"/>
                  </w:divBdr>
                  <w:divsChild>
                    <w:div w:id="315651674">
                      <w:marLeft w:val="0"/>
                      <w:marRight w:val="0"/>
                      <w:marTop w:val="0"/>
                      <w:marBottom w:val="0"/>
                      <w:divBdr>
                        <w:top w:val="none" w:sz="0" w:space="0" w:color="auto"/>
                        <w:left w:val="none" w:sz="0" w:space="0" w:color="auto"/>
                        <w:bottom w:val="none" w:sz="0" w:space="0" w:color="auto"/>
                        <w:right w:val="none" w:sz="0" w:space="0" w:color="auto"/>
                      </w:divBdr>
                      <w:divsChild>
                        <w:div w:id="1184710114">
                          <w:marLeft w:val="0"/>
                          <w:marRight w:val="0"/>
                          <w:marTop w:val="0"/>
                          <w:marBottom w:val="0"/>
                          <w:divBdr>
                            <w:top w:val="none" w:sz="0" w:space="0" w:color="auto"/>
                            <w:left w:val="none" w:sz="0" w:space="0" w:color="auto"/>
                            <w:bottom w:val="none" w:sz="0" w:space="0" w:color="auto"/>
                            <w:right w:val="none" w:sz="0" w:space="0" w:color="auto"/>
                          </w:divBdr>
                          <w:divsChild>
                            <w:div w:id="7456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80550">
      <w:bodyDiv w:val="1"/>
      <w:marLeft w:val="0"/>
      <w:marRight w:val="0"/>
      <w:marTop w:val="0"/>
      <w:marBottom w:val="0"/>
      <w:divBdr>
        <w:top w:val="none" w:sz="0" w:space="0" w:color="auto"/>
        <w:left w:val="none" w:sz="0" w:space="0" w:color="auto"/>
        <w:bottom w:val="none" w:sz="0" w:space="0" w:color="auto"/>
        <w:right w:val="none" w:sz="0" w:space="0" w:color="auto"/>
      </w:divBdr>
      <w:divsChild>
        <w:div w:id="1692225898">
          <w:marLeft w:val="0"/>
          <w:marRight w:val="0"/>
          <w:marTop w:val="0"/>
          <w:marBottom w:val="0"/>
          <w:divBdr>
            <w:top w:val="none" w:sz="0" w:space="0" w:color="auto"/>
            <w:left w:val="none" w:sz="0" w:space="0" w:color="auto"/>
            <w:bottom w:val="none" w:sz="0" w:space="0" w:color="auto"/>
            <w:right w:val="none" w:sz="0" w:space="0" w:color="auto"/>
          </w:divBdr>
          <w:divsChild>
            <w:div w:id="72896640">
              <w:marLeft w:val="0"/>
              <w:marRight w:val="0"/>
              <w:marTop w:val="0"/>
              <w:marBottom w:val="0"/>
              <w:divBdr>
                <w:top w:val="none" w:sz="0" w:space="0" w:color="auto"/>
                <w:left w:val="none" w:sz="0" w:space="0" w:color="auto"/>
                <w:bottom w:val="none" w:sz="0" w:space="0" w:color="auto"/>
                <w:right w:val="none" w:sz="0" w:space="0" w:color="auto"/>
              </w:divBdr>
              <w:divsChild>
                <w:div w:id="1713847037">
                  <w:marLeft w:val="0"/>
                  <w:marRight w:val="0"/>
                  <w:marTop w:val="0"/>
                  <w:marBottom w:val="0"/>
                  <w:divBdr>
                    <w:top w:val="none" w:sz="0" w:space="0" w:color="auto"/>
                    <w:left w:val="none" w:sz="0" w:space="0" w:color="auto"/>
                    <w:bottom w:val="none" w:sz="0" w:space="0" w:color="auto"/>
                    <w:right w:val="none" w:sz="0" w:space="0" w:color="auto"/>
                  </w:divBdr>
                  <w:divsChild>
                    <w:div w:id="258410826">
                      <w:marLeft w:val="0"/>
                      <w:marRight w:val="0"/>
                      <w:marTop w:val="0"/>
                      <w:marBottom w:val="0"/>
                      <w:divBdr>
                        <w:top w:val="none" w:sz="0" w:space="0" w:color="auto"/>
                        <w:left w:val="none" w:sz="0" w:space="0" w:color="auto"/>
                        <w:bottom w:val="none" w:sz="0" w:space="0" w:color="auto"/>
                        <w:right w:val="none" w:sz="0" w:space="0" w:color="auto"/>
                      </w:divBdr>
                      <w:divsChild>
                        <w:div w:id="1644000188">
                          <w:marLeft w:val="0"/>
                          <w:marRight w:val="0"/>
                          <w:marTop w:val="0"/>
                          <w:marBottom w:val="0"/>
                          <w:divBdr>
                            <w:top w:val="none" w:sz="0" w:space="0" w:color="auto"/>
                            <w:left w:val="none" w:sz="0" w:space="0" w:color="auto"/>
                            <w:bottom w:val="none" w:sz="0" w:space="0" w:color="auto"/>
                            <w:right w:val="none" w:sz="0" w:space="0" w:color="auto"/>
                          </w:divBdr>
                          <w:divsChild>
                            <w:div w:id="1716003271">
                              <w:marLeft w:val="0"/>
                              <w:marRight w:val="0"/>
                              <w:marTop w:val="0"/>
                              <w:marBottom w:val="0"/>
                              <w:divBdr>
                                <w:top w:val="none" w:sz="0" w:space="0" w:color="auto"/>
                                <w:left w:val="none" w:sz="0" w:space="0" w:color="auto"/>
                                <w:bottom w:val="none" w:sz="0" w:space="0" w:color="auto"/>
                                <w:right w:val="none" w:sz="0" w:space="0" w:color="auto"/>
                              </w:divBdr>
                              <w:divsChild>
                                <w:div w:id="1351879136">
                                  <w:marLeft w:val="0"/>
                                  <w:marRight w:val="0"/>
                                  <w:marTop w:val="0"/>
                                  <w:marBottom w:val="0"/>
                                  <w:divBdr>
                                    <w:top w:val="none" w:sz="0" w:space="0" w:color="auto"/>
                                    <w:left w:val="none" w:sz="0" w:space="0" w:color="auto"/>
                                    <w:bottom w:val="none" w:sz="0" w:space="0" w:color="auto"/>
                                    <w:right w:val="none" w:sz="0" w:space="0" w:color="auto"/>
                                  </w:divBdr>
                                  <w:divsChild>
                                    <w:div w:id="343556863">
                                      <w:marLeft w:val="0"/>
                                      <w:marRight w:val="0"/>
                                      <w:marTop w:val="0"/>
                                      <w:marBottom w:val="0"/>
                                      <w:divBdr>
                                        <w:top w:val="none" w:sz="0" w:space="0" w:color="auto"/>
                                        <w:left w:val="none" w:sz="0" w:space="0" w:color="auto"/>
                                        <w:bottom w:val="none" w:sz="0" w:space="0" w:color="auto"/>
                                        <w:right w:val="none" w:sz="0" w:space="0" w:color="auto"/>
                                      </w:divBdr>
                                      <w:divsChild>
                                        <w:div w:id="1600720910">
                                          <w:marLeft w:val="0"/>
                                          <w:marRight w:val="0"/>
                                          <w:marTop w:val="0"/>
                                          <w:marBottom w:val="0"/>
                                          <w:divBdr>
                                            <w:top w:val="none" w:sz="0" w:space="0" w:color="auto"/>
                                            <w:left w:val="none" w:sz="0" w:space="0" w:color="auto"/>
                                            <w:bottom w:val="none" w:sz="0" w:space="0" w:color="auto"/>
                                            <w:right w:val="none" w:sz="0" w:space="0" w:color="auto"/>
                                          </w:divBdr>
                                        </w:div>
                                        <w:div w:id="1795369197">
                                          <w:marLeft w:val="0"/>
                                          <w:marRight w:val="0"/>
                                          <w:marTop w:val="0"/>
                                          <w:marBottom w:val="0"/>
                                          <w:divBdr>
                                            <w:top w:val="none" w:sz="0" w:space="0" w:color="auto"/>
                                            <w:left w:val="none" w:sz="0" w:space="0" w:color="auto"/>
                                            <w:bottom w:val="none" w:sz="0" w:space="0" w:color="auto"/>
                                            <w:right w:val="none" w:sz="0" w:space="0" w:color="auto"/>
                                          </w:divBdr>
                                          <w:divsChild>
                                            <w:div w:id="35588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353286">
      <w:bodyDiv w:val="1"/>
      <w:marLeft w:val="0"/>
      <w:marRight w:val="0"/>
      <w:marTop w:val="0"/>
      <w:marBottom w:val="0"/>
      <w:divBdr>
        <w:top w:val="none" w:sz="0" w:space="0" w:color="auto"/>
        <w:left w:val="none" w:sz="0" w:space="0" w:color="auto"/>
        <w:bottom w:val="none" w:sz="0" w:space="0" w:color="auto"/>
        <w:right w:val="none" w:sz="0" w:space="0" w:color="auto"/>
      </w:divBdr>
      <w:divsChild>
        <w:div w:id="1520654141">
          <w:marLeft w:val="0"/>
          <w:marRight w:val="0"/>
          <w:marTop w:val="0"/>
          <w:marBottom w:val="0"/>
          <w:divBdr>
            <w:top w:val="none" w:sz="0" w:space="0" w:color="auto"/>
            <w:left w:val="none" w:sz="0" w:space="0" w:color="auto"/>
            <w:bottom w:val="none" w:sz="0" w:space="0" w:color="auto"/>
            <w:right w:val="none" w:sz="0" w:space="0" w:color="auto"/>
          </w:divBdr>
          <w:divsChild>
            <w:div w:id="418982820">
              <w:marLeft w:val="0"/>
              <w:marRight w:val="0"/>
              <w:marTop w:val="0"/>
              <w:marBottom w:val="0"/>
              <w:divBdr>
                <w:top w:val="none" w:sz="0" w:space="0" w:color="auto"/>
                <w:left w:val="none" w:sz="0" w:space="0" w:color="auto"/>
                <w:bottom w:val="none" w:sz="0" w:space="0" w:color="auto"/>
                <w:right w:val="none" w:sz="0" w:space="0" w:color="auto"/>
              </w:divBdr>
              <w:divsChild>
                <w:div w:id="956135056">
                  <w:marLeft w:val="0"/>
                  <w:marRight w:val="0"/>
                  <w:marTop w:val="0"/>
                  <w:marBottom w:val="0"/>
                  <w:divBdr>
                    <w:top w:val="none" w:sz="0" w:space="0" w:color="auto"/>
                    <w:left w:val="none" w:sz="0" w:space="0" w:color="auto"/>
                    <w:bottom w:val="none" w:sz="0" w:space="0" w:color="auto"/>
                    <w:right w:val="none" w:sz="0" w:space="0" w:color="auto"/>
                  </w:divBdr>
                  <w:divsChild>
                    <w:div w:id="489488766">
                      <w:marLeft w:val="0"/>
                      <w:marRight w:val="0"/>
                      <w:marTop w:val="0"/>
                      <w:marBottom w:val="0"/>
                      <w:divBdr>
                        <w:top w:val="none" w:sz="0" w:space="0" w:color="auto"/>
                        <w:left w:val="none" w:sz="0" w:space="0" w:color="auto"/>
                        <w:bottom w:val="none" w:sz="0" w:space="0" w:color="auto"/>
                        <w:right w:val="none" w:sz="0" w:space="0" w:color="auto"/>
                      </w:divBdr>
                      <w:divsChild>
                        <w:div w:id="894007265">
                          <w:marLeft w:val="0"/>
                          <w:marRight w:val="0"/>
                          <w:marTop w:val="0"/>
                          <w:marBottom w:val="0"/>
                          <w:divBdr>
                            <w:top w:val="none" w:sz="0" w:space="0" w:color="auto"/>
                            <w:left w:val="none" w:sz="0" w:space="0" w:color="auto"/>
                            <w:bottom w:val="none" w:sz="0" w:space="0" w:color="auto"/>
                            <w:right w:val="none" w:sz="0" w:space="0" w:color="auto"/>
                          </w:divBdr>
                          <w:divsChild>
                            <w:div w:id="491457671">
                              <w:marLeft w:val="0"/>
                              <w:marRight w:val="0"/>
                              <w:marTop w:val="0"/>
                              <w:marBottom w:val="0"/>
                              <w:divBdr>
                                <w:top w:val="none" w:sz="0" w:space="0" w:color="auto"/>
                                <w:left w:val="none" w:sz="0" w:space="0" w:color="auto"/>
                                <w:bottom w:val="none" w:sz="0" w:space="0" w:color="auto"/>
                                <w:right w:val="none" w:sz="0" w:space="0" w:color="auto"/>
                              </w:divBdr>
                              <w:divsChild>
                                <w:div w:id="992486787">
                                  <w:marLeft w:val="0"/>
                                  <w:marRight w:val="0"/>
                                  <w:marTop w:val="0"/>
                                  <w:marBottom w:val="0"/>
                                  <w:divBdr>
                                    <w:top w:val="none" w:sz="0" w:space="0" w:color="auto"/>
                                    <w:left w:val="none" w:sz="0" w:space="0" w:color="auto"/>
                                    <w:bottom w:val="none" w:sz="0" w:space="0" w:color="auto"/>
                                    <w:right w:val="none" w:sz="0" w:space="0" w:color="auto"/>
                                  </w:divBdr>
                                  <w:divsChild>
                                    <w:div w:id="1047294695">
                                      <w:marLeft w:val="0"/>
                                      <w:marRight w:val="0"/>
                                      <w:marTop w:val="0"/>
                                      <w:marBottom w:val="0"/>
                                      <w:divBdr>
                                        <w:top w:val="none" w:sz="0" w:space="0" w:color="auto"/>
                                        <w:left w:val="none" w:sz="0" w:space="0" w:color="auto"/>
                                        <w:bottom w:val="none" w:sz="0" w:space="0" w:color="auto"/>
                                        <w:right w:val="none" w:sz="0" w:space="0" w:color="auto"/>
                                      </w:divBdr>
                                      <w:divsChild>
                                        <w:div w:id="662273408">
                                          <w:marLeft w:val="0"/>
                                          <w:marRight w:val="0"/>
                                          <w:marTop w:val="0"/>
                                          <w:marBottom w:val="0"/>
                                          <w:divBdr>
                                            <w:top w:val="none" w:sz="0" w:space="0" w:color="auto"/>
                                            <w:left w:val="none" w:sz="0" w:space="0" w:color="auto"/>
                                            <w:bottom w:val="none" w:sz="0" w:space="0" w:color="auto"/>
                                            <w:right w:val="none" w:sz="0" w:space="0" w:color="auto"/>
                                          </w:divBdr>
                                          <w:divsChild>
                                            <w:div w:id="924414284">
                                              <w:marLeft w:val="0"/>
                                              <w:marRight w:val="0"/>
                                              <w:marTop w:val="0"/>
                                              <w:marBottom w:val="0"/>
                                              <w:divBdr>
                                                <w:top w:val="none" w:sz="0" w:space="0" w:color="auto"/>
                                                <w:left w:val="none" w:sz="0" w:space="0" w:color="auto"/>
                                                <w:bottom w:val="none" w:sz="0" w:space="0" w:color="auto"/>
                                                <w:right w:val="none" w:sz="0" w:space="0" w:color="auto"/>
                                              </w:divBdr>
                                              <w:divsChild>
                                                <w:div w:id="1898663442">
                                                  <w:marLeft w:val="0"/>
                                                  <w:marRight w:val="0"/>
                                                  <w:marTop w:val="0"/>
                                                  <w:marBottom w:val="0"/>
                                                  <w:divBdr>
                                                    <w:top w:val="none" w:sz="0" w:space="0" w:color="auto"/>
                                                    <w:left w:val="none" w:sz="0" w:space="0" w:color="auto"/>
                                                    <w:bottom w:val="none" w:sz="0" w:space="0" w:color="auto"/>
                                                    <w:right w:val="none" w:sz="0" w:space="0" w:color="auto"/>
                                                  </w:divBdr>
                                                  <w:divsChild>
                                                    <w:div w:id="253174125">
                                                      <w:marLeft w:val="0"/>
                                                      <w:marRight w:val="0"/>
                                                      <w:marTop w:val="0"/>
                                                      <w:marBottom w:val="0"/>
                                                      <w:divBdr>
                                                        <w:top w:val="none" w:sz="0" w:space="0" w:color="auto"/>
                                                        <w:left w:val="none" w:sz="0" w:space="0" w:color="auto"/>
                                                        <w:bottom w:val="none" w:sz="0" w:space="0" w:color="auto"/>
                                                        <w:right w:val="none" w:sz="0" w:space="0" w:color="auto"/>
                                                      </w:divBdr>
                                                      <w:divsChild>
                                                        <w:div w:id="383994020">
                                                          <w:marLeft w:val="0"/>
                                                          <w:marRight w:val="0"/>
                                                          <w:marTop w:val="0"/>
                                                          <w:marBottom w:val="0"/>
                                                          <w:divBdr>
                                                            <w:top w:val="none" w:sz="0" w:space="0" w:color="auto"/>
                                                            <w:left w:val="none" w:sz="0" w:space="0" w:color="auto"/>
                                                            <w:bottom w:val="none" w:sz="0" w:space="0" w:color="auto"/>
                                                            <w:right w:val="none" w:sz="0" w:space="0" w:color="auto"/>
                                                          </w:divBdr>
                                                        </w:div>
                                                        <w:div w:id="461921961">
                                                          <w:marLeft w:val="0"/>
                                                          <w:marRight w:val="0"/>
                                                          <w:marTop w:val="0"/>
                                                          <w:marBottom w:val="0"/>
                                                          <w:divBdr>
                                                            <w:top w:val="none" w:sz="0" w:space="0" w:color="auto"/>
                                                            <w:left w:val="none" w:sz="0" w:space="0" w:color="auto"/>
                                                            <w:bottom w:val="none" w:sz="0" w:space="0" w:color="auto"/>
                                                            <w:right w:val="none" w:sz="0" w:space="0" w:color="auto"/>
                                                          </w:divBdr>
                                                          <w:divsChild>
                                                            <w:div w:id="660046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2494903">
      <w:bodyDiv w:val="1"/>
      <w:marLeft w:val="0"/>
      <w:marRight w:val="0"/>
      <w:marTop w:val="0"/>
      <w:marBottom w:val="0"/>
      <w:divBdr>
        <w:top w:val="none" w:sz="0" w:space="0" w:color="auto"/>
        <w:left w:val="none" w:sz="0" w:space="0" w:color="auto"/>
        <w:bottom w:val="none" w:sz="0" w:space="0" w:color="auto"/>
        <w:right w:val="none" w:sz="0" w:space="0" w:color="auto"/>
      </w:divBdr>
      <w:divsChild>
        <w:div w:id="1002784372">
          <w:marLeft w:val="0"/>
          <w:marRight w:val="0"/>
          <w:marTop w:val="0"/>
          <w:marBottom w:val="0"/>
          <w:divBdr>
            <w:top w:val="none" w:sz="0" w:space="0" w:color="auto"/>
            <w:left w:val="none" w:sz="0" w:space="0" w:color="auto"/>
            <w:bottom w:val="none" w:sz="0" w:space="0" w:color="auto"/>
            <w:right w:val="none" w:sz="0" w:space="0" w:color="auto"/>
          </w:divBdr>
          <w:divsChild>
            <w:div w:id="672801983">
              <w:marLeft w:val="0"/>
              <w:marRight w:val="0"/>
              <w:marTop w:val="0"/>
              <w:marBottom w:val="0"/>
              <w:divBdr>
                <w:top w:val="none" w:sz="0" w:space="0" w:color="auto"/>
                <w:left w:val="none" w:sz="0" w:space="0" w:color="auto"/>
                <w:bottom w:val="none" w:sz="0" w:space="0" w:color="auto"/>
                <w:right w:val="none" w:sz="0" w:space="0" w:color="auto"/>
              </w:divBdr>
              <w:divsChild>
                <w:div w:id="2117360487">
                  <w:marLeft w:val="0"/>
                  <w:marRight w:val="0"/>
                  <w:marTop w:val="0"/>
                  <w:marBottom w:val="0"/>
                  <w:divBdr>
                    <w:top w:val="none" w:sz="0" w:space="0" w:color="auto"/>
                    <w:left w:val="none" w:sz="0" w:space="0" w:color="auto"/>
                    <w:bottom w:val="none" w:sz="0" w:space="0" w:color="auto"/>
                    <w:right w:val="none" w:sz="0" w:space="0" w:color="auto"/>
                  </w:divBdr>
                  <w:divsChild>
                    <w:div w:id="1850751293">
                      <w:marLeft w:val="0"/>
                      <w:marRight w:val="0"/>
                      <w:marTop w:val="0"/>
                      <w:marBottom w:val="0"/>
                      <w:divBdr>
                        <w:top w:val="none" w:sz="0" w:space="0" w:color="auto"/>
                        <w:left w:val="none" w:sz="0" w:space="0" w:color="auto"/>
                        <w:bottom w:val="none" w:sz="0" w:space="0" w:color="auto"/>
                        <w:right w:val="none" w:sz="0" w:space="0" w:color="auto"/>
                      </w:divBdr>
                      <w:divsChild>
                        <w:div w:id="4560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468224">
      <w:bodyDiv w:val="1"/>
      <w:marLeft w:val="0"/>
      <w:marRight w:val="0"/>
      <w:marTop w:val="0"/>
      <w:marBottom w:val="0"/>
      <w:divBdr>
        <w:top w:val="none" w:sz="0" w:space="0" w:color="auto"/>
        <w:left w:val="none" w:sz="0" w:space="0" w:color="auto"/>
        <w:bottom w:val="none" w:sz="0" w:space="0" w:color="auto"/>
        <w:right w:val="none" w:sz="0" w:space="0" w:color="auto"/>
      </w:divBdr>
      <w:divsChild>
        <w:div w:id="2131970703">
          <w:marLeft w:val="0"/>
          <w:marRight w:val="0"/>
          <w:marTop w:val="0"/>
          <w:marBottom w:val="0"/>
          <w:divBdr>
            <w:top w:val="none" w:sz="0" w:space="0" w:color="auto"/>
            <w:left w:val="none" w:sz="0" w:space="0" w:color="auto"/>
            <w:bottom w:val="none" w:sz="0" w:space="0" w:color="auto"/>
            <w:right w:val="none" w:sz="0" w:space="0" w:color="auto"/>
          </w:divBdr>
          <w:divsChild>
            <w:div w:id="417136740">
              <w:marLeft w:val="0"/>
              <w:marRight w:val="0"/>
              <w:marTop w:val="150"/>
              <w:marBottom w:val="0"/>
              <w:divBdr>
                <w:top w:val="none" w:sz="0" w:space="0" w:color="auto"/>
                <w:left w:val="none" w:sz="0" w:space="0" w:color="auto"/>
                <w:bottom w:val="none" w:sz="0" w:space="0" w:color="auto"/>
                <w:right w:val="none" w:sz="0" w:space="0" w:color="auto"/>
              </w:divBdr>
              <w:divsChild>
                <w:div w:id="1326399356">
                  <w:marLeft w:val="0"/>
                  <w:marRight w:val="0"/>
                  <w:marTop w:val="0"/>
                  <w:marBottom w:val="0"/>
                  <w:divBdr>
                    <w:top w:val="none" w:sz="0" w:space="0" w:color="auto"/>
                    <w:left w:val="none" w:sz="0" w:space="0" w:color="auto"/>
                    <w:bottom w:val="none" w:sz="0" w:space="0" w:color="auto"/>
                    <w:right w:val="none" w:sz="0" w:space="0" w:color="auto"/>
                  </w:divBdr>
                  <w:divsChild>
                    <w:div w:id="1297834310">
                      <w:marLeft w:val="0"/>
                      <w:marRight w:val="0"/>
                      <w:marTop w:val="0"/>
                      <w:marBottom w:val="0"/>
                      <w:divBdr>
                        <w:top w:val="none" w:sz="0" w:space="0" w:color="auto"/>
                        <w:left w:val="none" w:sz="0" w:space="0" w:color="auto"/>
                        <w:bottom w:val="none" w:sz="0" w:space="0" w:color="auto"/>
                        <w:right w:val="none" w:sz="0" w:space="0" w:color="auto"/>
                      </w:divBdr>
                      <w:divsChild>
                        <w:div w:id="6635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587867">
      <w:bodyDiv w:val="1"/>
      <w:marLeft w:val="0"/>
      <w:marRight w:val="0"/>
      <w:marTop w:val="0"/>
      <w:marBottom w:val="0"/>
      <w:divBdr>
        <w:top w:val="none" w:sz="0" w:space="0" w:color="auto"/>
        <w:left w:val="none" w:sz="0" w:space="0" w:color="auto"/>
        <w:bottom w:val="none" w:sz="0" w:space="0" w:color="auto"/>
        <w:right w:val="none" w:sz="0" w:space="0" w:color="auto"/>
      </w:divBdr>
      <w:divsChild>
        <w:div w:id="1301157515">
          <w:marLeft w:val="0"/>
          <w:marRight w:val="0"/>
          <w:marTop w:val="0"/>
          <w:marBottom w:val="0"/>
          <w:divBdr>
            <w:top w:val="single" w:sz="2" w:space="0" w:color="AAAAAA"/>
            <w:left w:val="single" w:sz="6" w:space="8" w:color="AAAAAA"/>
            <w:bottom w:val="single" w:sz="2" w:space="0" w:color="AAAAAA"/>
            <w:right w:val="single" w:sz="6" w:space="8" w:color="AAAAAA"/>
          </w:divBdr>
          <w:divsChild>
            <w:div w:id="369503184">
              <w:marLeft w:val="0"/>
              <w:marRight w:val="0"/>
              <w:marTop w:val="0"/>
              <w:marBottom w:val="0"/>
              <w:divBdr>
                <w:top w:val="none" w:sz="0" w:space="0" w:color="auto"/>
                <w:left w:val="none" w:sz="0" w:space="0" w:color="auto"/>
                <w:bottom w:val="none" w:sz="0" w:space="0" w:color="auto"/>
                <w:right w:val="none" w:sz="0" w:space="0" w:color="auto"/>
              </w:divBdr>
              <w:divsChild>
                <w:div w:id="883952278">
                  <w:marLeft w:val="0"/>
                  <w:marRight w:val="0"/>
                  <w:marTop w:val="0"/>
                  <w:marBottom w:val="0"/>
                  <w:divBdr>
                    <w:top w:val="none" w:sz="0" w:space="0" w:color="auto"/>
                    <w:left w:val="none" w:sz="0" w:space="0" w:color="auto"/>
                    <w:bottom w:val="none" w:sz="0" w:space="0" w:color="auto"/>
                    <w:right w:val="none" w:sz="0" w:space="0" w:color="auto"/>
                  </w:divBdr>
                  <w:divsChild>
                    <w:div w:id="310137876">
                      <w:marLeft w:val="0"/>
                      <w:marRight w:val="2550"/>
                      <w:marTop w:val="0"/>
                      <w:marBottom w:val="48"/>
                      <w:divBdr>
                        <w:top w:val="none" w:sz="0" w:space="0" w:color="auto"/>
                        <w:left w:val="none" w:sz="0" w:space="0" w:color="auto"/>
                        <w:bottom w:val="none" w:sz="0" w:space="0" w:color="auto"/>
                        <w:right w:val="none" w:sz="0" w:space="0" w:color="auto"/>
                      </w:divBdr>
                      <w:divsChild>
                        <w:div w:id="202932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15240727">
      <w:bodyDiv w:val="1"/>
      <w:marLeft w:val="0"/>
      <w:marRight w:val="0"/>
      <w:marTop w:val="0"/>
      <w:marBottom w:val="0"/>
      <w:divBdr>
        <w:top w:val="none" w:sz="0" w:space="0" w:color="auto"/>
        <w:left w:val="none" w:sz="0" w:space="0" w:color="auto"/>
        <w:bottom w:val="none" w:sz="0" w:space="0" w:color="auto"/>
        <w:right w:val="none" w:sz="0" w:space="0" w:color="auto"/>
      </w:divBdr>
      <w:divsChild>
        <w:div w:id="502744052">
          <w:marLeft w:val="0"/>
          <w:marRight w:val="0"/>
          <w:marTop w:val="0"/>
          <w:marBottom w:val="0"/>
          <w:divBdr>
            <w:top w:val="none" w:sz="0" w:space="0" w:color="auto"/>
            <w:left w:val="none" w:sz="0" w:space="0" w:color="auto"/>
            <w:bottom w:val="none" w:sz="0" w:space="0" w:color="auto"/>
            <w:right w:val="none" w:sz="0" w:space="0" w:color="auto"/>
          </w:divBdr>
          <w:divsChild>
            <w:div w:id="2040466183">
              <w:marLeft w:val="0"/>
              <w:marRight w:val="0"/>
              <w:marTop w:val="0"/>
              <w:marBottom w:val="0"/>
              <w:divBdr>
                <w:top w:val="none" w:sz="0" w:space="0" w:color="auto"/>
                <w:left w:val="none" w:sz="0" w:space="0" w:color="auto"/>
                <w:bottom w:val="none" w:sz="0" w:space="0" w:color="auto"/>
                <w:right w:val="none" w:sz="0" w:space="0" w:color="auto"/>
              </w:divBdr>
              <w:divsChild>
                <w:div w:id="1430857694">
                  <w:marLeft w:val="0"/>
                  <w:marRight w:val="0"/>
                  <w:marTop w:val="0"/>
                  <w:marBottom w:val="0"/>
                  <w:divBdr>
                    <w:top w:val="none" w:sz="0" w:space="0" w:color="auto"/>
                    <w:left w:val="none" w:sz="0" w:space="0" w:color="auto"/>
                    <w:bottom w:val="none" w:sz="0" w:space="0" w:color="auto"/>
                    <w:right w:val="none" w:sz="0" w:space="0" w:color="auto"/>
                  </w:divBdr>
                  <w:divsChild>
                    <w:div w:id="225073093">
                      <w:marLeft w:val="0"/>
                      <w:marRight w:val="0"/>
                      <w:marTop w:val="0"/>
                      <w:marBottom w:val="0"/>
                      <w:divBdr>
                        <w:top w:val="none" w:sz="0" w:space="0" w:color="auto"/>
                        <w:left w:val="none" w:sz="0" w:space="0" w:color="auto"/>
                        <w:bottom w:val="none" w:sz="0" w:space="0" w:color="auto"/>
                        <w:right w:val="none" w:sz="0" w:space="0" w:color="auto"/>
                      </w:divBdr>
                      <w:divsChild>
                        <w:div w:id="3209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67399">
      <w:bodyDiv w:val="1"/>
      <w:marLeft w:val="0"/>
      <w:marRight w:val="0"/>
      <w:marTop w:val="0"/>
      <w:marBottom w:val="0"/>
      <w:divBdr>
        <w:top w:val="none" w:sz="0" w:space="0" w:color="auto"/>
        <w:left w:val="none" w:sz="0" w:space="0" w:color="auto"/>
        <w:bottom w:val="none" w:sz="0" w:space="0" w:color="auto"/>
        <w:right w:val="none" w:sz="0" w:space="0" w:color="auto"/>
      </w:divBdr>
      <w:divsChild>
        <w:div w:id="1384981673">
          <w:marLeft w:val="0"/>
          <w:marRight w:val="0"/>
          <w:marTop w:val="0"/>
          <w:marBottom w:val="0"/>
          <w:divBdr>
            <w:top w:val="none" w:sz="0" w:space="0" w:color="auto"/>
            <w:left w:val="none" w:sz="0" w:space="0" w:color="auto"/>
            <w:bottom w:val="none" w:sz="0" w:space="0" w:color="auto"/>
            <w:right w:val="none" w:sz="0" w:space="0" w:color="auto"/>
          </w:divBdr>
          <w:divsChild>
            <w:div w:id="1885365587">
              <w:marLeft w:val="0"/>
              <w:marRight w:val="0"/>
              <w:marTop w:val="0"/>
              <w:marBottom w:val="0"/>
              <w:divBdr>
                <w:top w:val="none" w:sz="0" w:space="0" w:color="auto"/>
                <w:left w:val="none" w:sz="0" w:space="0" w:color="auto"/>
                <w:bottom w:val="none" w:sz="0" w:space="0" w:color="auto"/>
                <w:right w:val="none" w:sz="0" w:space="0" w:color="auto"/>
              </w:divBdr>
              <w:divsChild>
                <w:div w:id="1202792447">
                  <w:marLeft w:val="0"/>
                  <w:marRight w:val="0"/>
                  <w:marTop w:val="0"/>
                  <w:marBottom w:val="0"/>
                  <w:divBdr>
                    <w:top w:val="none" w:sz="0" w:space="0" w:color="auto"/>
                    <w:left w:val="none" w:sz="0" w:space="0" w:color="auto"/>
                    <w:bottom w:val="none" w:sz="0" w:space="0" w:color="auto"/>
                    <w:right w:val="none" w:sz="0" w:space="0" w:color="auto"/>
                  </w:divBdr>
                  <w:divsChild>
                    <w:div w:id="1022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91202">
      <w:bodyDiv w:val="1"/>
      <w:marLeft w:val="0"/>
      <w:marRight w:val="0"/>
      <w:marTop w:val="0"/>
      <w:marBottom w:val="0"/>
      <w:divBdr>
        <w:top w:val="none" w:sz="0" w:space="0" w:color="auto"/>
        <w:left w:val="none" w:sz="0" w:space="0" w:color="auto"/>
        <w:bottom w:val="none" w:sz="0" w:space="0" w:color="auto"/>
        <w:right w:val="none" w:sz="0" w:space="0" w:color="auto"/>
      </w:divBdr>
      <w:divsChild>
        <w:div w:id="1222837031">
          <w:marLeft w:val="0"/>
          <w:marRight w:val="0"/>
          <w:marTop w:val="0"/>
          <w:marBottom w:val="0"/>
          <w:divBdr>
            <w:top w:val="none" w:sz="0" w:space="0" w:color="auto"/>
            <w:left w:val="none" w:sz="0" w:space="0" w:color="auto"/>
            <w:bottom w:val="none" w:sz="0" w:space="0" w:color="auto"/>
            <w:right w:val="none" w:sz="0" w:space="0" w:color="auto"/>
          </w:divBdr>
          <w:divsChild>
            <w:div w:id="146094676">
              <w:marLeft w:val="0"/>
              <w:marRight w:val="0"/>
              <w:marTop w:val="0"/>
              <w:marBottom w:val="0"/>
              <w:divBdr>
                <w:top w:val="none" w:sz="0" w:space="0" w:color="auto"/>
                <w:left w:val="none" w:sz="0" w:space="0" w:color="auto"/>
                <w:bottom w:val="none" w:sz="0" w:space="0" w:color="auto"/>
                <w:right w:val="none" w:sz="0" w:space="0" w:color="auto"/>
              </w:divBdr>
              <w:divsChild>
                <w:div w:id="368459934">
                  <w:marLeft w:val="0"/>
                  <w:marRight w:val="0"/>
                  <w:marTop w:val="100"/>
                  <w:marBottom w:val="100"/>
                  <w:divBdr>
                    <w:top w:val="none" w:sz="0" w:space="0" w:color="auto"/>
                    <w:left w:val="none" w:sz="0" w:space="0" w:color="auto"/>
                    <w:bottom w:val="none" w:sz="0" w:space="0" w:color="auto"/>
                    <w:right w:val="none" w:sz="0" w:space="0" w:color="auto"/>
                  </w:divBdr>
                  <w:divsChild>
                    <w:div w:id="1469932488">
                      <w:marLeft w:val="0"/>
                      <w:marRight w:val="0"/>
                      <w:marTop w:val="0"/>
                      <w:marBottom w:val="0"/>
                      <w:divBdr>
                        <w:top w:val="none" w:sz="0" w:space="0" w:color="auto"/>
                        <w:left w:val="none" w:sz="0" w:space="0" w:color="auto"/>
                        <w:bottom w:val="none" w:sz="0" w:space="0" w:color="auto"/>
                        <w:right w:val="none" w:sz="0" w:space="0" w:color="auto"/>
                      </w:divBdr>
                      <w:divsChild>
                        <w:div w:id="504905281">
                          <w:marLeft w:val="0"/>
                          <w:marRight w:val="0"/>
                          <w:marTop w:val="0"/>
                          <w:marBottom w:val="0"/>
                          <w:divBdr>
                            <w:top w:val="none" w:sz="0" w:space="0" w:color="auto"/>
                            <w:left w:val="none" w:sz="0" w:space="0" w:color="auto"/>
                            <w:bottom w:val="none" w:sz="0" w:space="0" w:color="auto"/>
                            <w:right w:val="none" w:sz="0" w:space="0" w:color="auto"/>
                          </w:divBdr>
                          <w:divsChild>
                            <w:div w:id="520437014">
                              <w:marLeft w:val="0"/>
                              <w:marRight w:val="0"/>
                              <w:marTop w:val="0"/>
                              <w:marBottom w:val="0"/>
                              <w:divBdr>
                                <w:top w:val="none" w:sz="0" w:space="0" w:color="auto"/>
                                <w:left w:val="none" w:sz="0" w:space="0" w:color="auto"/>
                                <w:bottom w:val="none" w:sz="0" w:space="0" w:color="auto"/>
                                <w:right w:val="none" w:sz="0" w:space="0" w:color="auto"/>
                              </w:divBdr>
                              <w:divsChild>
                                <w:div w:id="1984505619">
                                  <w:marLeft w:val="0"/>
                                  <w:marRight w:val="0"/>
                                  <w:marTop w:val="0"/>
                                  <w:marBottom w:val="0"/>
                                  <w:divBdr>
                                    <w:top w:val="none" w:sz="0" w:space="0" w:color="auto"/>
                                    <w:left w:val="none" w:sz="0" w:space="0" w:color="auto"/>
                                    <w:bottom w:val="none" w:sz="0" w:space="0" w:color="auto"/>
                                    <w:right w:val="none" w:sz="0" w:space="0" w:color="auto"/>
                                  </w:divBdr>
                                  <w:divsChild>
                                    <w:div w:id="1751346380">
                                      <w:marLeft w:val="0"/>
                                      <w:marRight w:val="0"/>
                                      <w:marTop w:val="0"/>
                                      <w:marBottom w:val="0"/>
                                      <w:divBdr>
                                        <w:top w:val="none" w:sz="0" w:space="0" w:color="auto"/>
                                        <w:left w:val="none" w:sz="0" w:space="0" w:color="auto"/>
                                        <w:bottom w:val="none" w:sz="0" w:space="0" w:color="auto"/>
                                        <w:right w:val="none" w:sz="0" w:space="0" w:color="auto"/>
                                      </w:divBdr>
                                      <w:divsChild>
                                        <w:div w:id="894580976">
                                          <w:marLeft w:val="0"/>
                                          <w:marRight w:val="0"/>
                                          <w:marTop w:val="0"/>
                                          <w:marBottom w:val="0"/>
                                          <w:divBdr>
                                            <w:top w:val="none" w:sz="0" w:space="0" w:color="auto"/>
                                            <w:left w:val="none" w:sz="0" w:space="0" w:color="auto"/>
                                            <w:bottom w:val="none" w:sz="0" w:space="0" w:color="auto"/>
                                            <w:right w:val="none" w:sz="0" w:space="0" w:color="auto"/>
                                          </w:divBdr>
                                          <w:divsChild>
                                            <w:div w:id="1150681309">
                                              <w:marLeft w:val="0"/>
                                              <w:marRight w:val="0"/>
                                              <w:marTop w:val="0"/>
                                              <w:marBottom w:val="0"/>
                                              <w:divBdr>
                                                <w:top w:val="single" w:sz="4" w:space="0" w:color="B6D444"/>
                                                <w:left w:val="none" w:sz="0" w:space="0" w:color="auto"/>
                                                <w:bottom w:val="none" w:sz="0" w:space="0" w:color="auto"/>
                                                <w:right w:val="none" w:sz="0" w:space="0" w:color="auto"/>
                                              </w:divBdr>
                                              <w:divsChild>
                                                <w:div w:id="10632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432189">
      <w:bodyDiv w:val="1"/>
      <w:marLeft w:val="0"/>
      <w:marRight w:val="0"/>
      <w:marTop w:val="0"/>
      <w:marBottom w:val="0"/>
      <w:divBdr>
        <w:top w:val="none" w:sz="0" w:space="0" w:color="auto"/>
        <w:left w:val="none" w:sz="0" w:space="0" w:color="auto"/>
        <w:bottom w:val="none" w:sz="0" w:space="0" w:color="auto"/>
        <w:right w:val="none" w:sz="0" w:space="0" w:color="auto"/>
      </w:divBdr>
    </w:div>
    <w:div w:id="1917549013">
      <w:bodyDiv w:val="1"/>
      <w:marLeft w:val="0"/>
      <w:marRight w:val="0"/>
      <w:marTop w:val="0"/>
      <w:marBottom w:val="0"/>
      <w:divBdr>
        <w:top w:val="none" w:sz="0" w:space="0" w:color="auto"/>
        <w:left w:val="none" w:sz="0" w:space="0" w:color="auto"/>
        <w:bottom w:val="none" w:sz="0" w:space="0" w:color="auto"/>
        <w:right w:val="none" w:sz="0" w:space="0" w:color="auto"/>
      </w:divBdr>
      <w:divsChild>
        <w:div w:id="1031567728">
          <w:marLeft w:val="0"/>
          <w:marRight w:val="0"/>
          <w:marTop w:val="0"/>
          <w:marBottom w:val="0"/>
          <w:divBdr>
            <w:top w:val="none" w:sz="0" w:space="0" w:color="auto"/>
            <w:left w:val="none" w:sz="0" w:space="0" w:color="auto"/>
            <w:bottom w:val="none" w:sz="0" w:space="0" w:color="auto"/>
            <w:right w:val="none" w:sz="0" w:space="0" w:color="auto"/>
          </w:divBdr>
          <w:divsChild>
            <w:div w:id="1096636734">
              <w:marLeft w:val="2"/>
              <w:marRight w:val="2"/>
              <w:marTop w:val="0"/>
              <w:marBottom w:val="0"/>
              <w:divBdr>
                <w:top w:val="none" w:sz="0" w:space="0" w:color="auto"/>
                <w:left w:val="none" w:sz="0" w:space="0" w:color="auto"/>
                <w:bottom w:val="none" w:sz="0" w:space="0" w:color="auto"/>
                <w:right w:val="none" w:sz="0" w:space="0" w:color="auto"/>
              </w:divBdr>
              <w:divsChild>
                <w:div w:id="385765940">
                  <w:marLeft w:val="0"/>
                  <w:marRight w:val="0"/>
                  <w:marTop w:val="0"/>
                  <w:marBottom w:val="0"/>
                  <w:divBdr>
                    <w:top w:val="none" w:sz="0" w:space="0" w:color="auto"/>
                    <w:left w:val="none" w:sz="0" w:space="0" w:color="auto"/>
                    <w:bottom w:val="none" w:sz="0" w:space="0" w:color="auto"/>
                    <w:right w:val="none" w:sz="0" w:space="0" w:color="auto"/>
                  </w:divBdr>
                  <w:divsChild>
                    <w:div w:id="1097021604">
                      <w:marLeft w:val="0"/>
                      <w:marRight w:val="0"/>
                      <w:marTop w:val="0"/>
                      <w:marBottom w:val="0"/>
                      <w:divBdr>
                        <w:top w:val="none" w:sz="0" w:space="0" w:color="auto"/>
                        <w:left w:val="none" w:sz="0" w:space="0" w:color="auto"/>
                        <w:bottom w:val="none" w:sz="0" w:space="0" w:color="auto"/>
                        <w:right w:val="none" w:sz="0" w:space="0" w:color="auto"/>
                      </w:divBdr>
                      <w:divsChild>
                        <w:div w:id="660237354">
                          <w:marLeft w:val="0"/>
                          <w:marRight w:val="0"/>
                          <w:marTop w:val="0"/>
                          <w:marBottom w:val="0"/>
                          <w:divBdr>
                            <w:top w:val="none" w:sz="0" w:space="0" w:color="auto"/>
                            <w:left w:val="none" w:sz="0" w:space="0" w:color="auto"/>
                            <w:bottom w:val="none" w:sz="0" w:space="0" w:color="auto"/>
                            <w:right w:val="none" w:sz="0" w:space="0" w:color="auto"/>
                          </w:divBdr>
                          <w:divsChild>
                            <w:div w:id="635648642">
                              <w:marLeft w:val="0"/>
                              <w:marRight w:val="0"/>
                              <w:marTop w:val="0"/>
                              <w:marBottom w:val="0"/>
                              <w:divBdr>
                                <w:top w:val="none" w:sz="0" w:space="0" w:color="auto"/>
                                <w:left w:val="none" w:sz="0" w:space="0" w:color="auto"/>
                                <w:bottom w:val="none" w:sz="0" w:space="0" w:color="auto"/>
                                <w:right w:val="none" w:sz="0" w:space="0" w:color="auto"/>
                              </w:divBdr>
                              <w:divsChild>
                                <w:div w:id="705833724">
                                  <w:marLeft w:val="0"/>
                                  <w:marRight w:val="0"/>
                                  <w:marTop w:val="0"/>
                                  <w:marBottom w:val="0"/>
                                  <w:divBdr>
                                    <w:top w:val="none" w:sz="0" w:space="0" w:color="auto"/>
                                    <w:left w:val="none" w:sz="0" w:space="0" w:color="auto"/>
                                    <w:bottom w:val="none" w:sz="0" w:space="0" w:color="auto"/>
                                    <w:right w:val="none" w:sz="0" w:space="0" w:color="auto"/>
                                  </w:divBdr>
                                  <w:divsChild>
                                    <w:div w:id="508377066">
                                      <w:marLeft w:val="0"/>
                                      <w:marRight w:val="0"/>
                                      <w:marTop w:val="0"/>
                                      <w:marBottom w:val="0"/>
                                      <w:divBdr>
                                        <w:top w:val="none" w:sz="0" w:space="0" w:color="auto"/>
                                        <w:left w:val="none" w:sz="0" w:space="0" w:color="auto"/>
                                        <w:bottom w:val="none" w:sz="0" w:space="0" w:color="auto"/>
                                        <w:right w:val="none" w:sz="0" w:space="0" w:color="auto"/>
                                      </w:divBdr>
                                      <w:divsChild>
                                        <w:div w:id="21322335">
                                          <w:marLeft w:val="0"/>
                                          <w:marRight w:val="0"/>
                                          <w:marTop w:val="0"/>
                                          <w:marBottom w:val="0"/>
                                          <w:divBdr>
                                            <w:top w:val="none" w:sz="0" w:space="0" w:color="auto"/>
                                            <w:left w:val="none" w:sz="0" w:space="0" w:color="auto"/>
                                            <w:bottom w:val="none" w:sz="0" w:space="0" w:color="auto"/>
                                            <w:right w:val="none" w:sz="0" w:space="0" w:color="auto"/>
                                          </w:divBdr>
                                          <w:divsChild>
                                            <w:div w:id="1673334772">
                                              <w:marLeft w:val="0"/>
                                              <w:marRight w:val="0"/>
                                              <w:marTop w:val="0"/>
                                              <w:marBottom w:val="0"/>
                                              <w:divBdr>
                                                <w:top w:val="none" w:sz="0" w:space="0" w:color="auto"/>
                                                <w:left w:val="none" w:sz="0" w:space="0" w:color="auto"/>
                                                <w:bottom w:val="none" w:sz="0" w:space="0" w:color="auto"/>
                                                <w:right w:val="none" w:sz="0" w:space="0" w:color="auto"/>
                                              </w:divBdr>
                                            </w:div>
                                          </w:divsChild>
                                        </w:div>
                                        <w:div w:id="2044089808">
                                          <w:marLeft w:val="0"/>
                                          <w:marRight w:val="0"/>
                                          <w:marTop w:val="0"/>
                                          <w:marBottom w:val="0"/>
                                          <w:divBdr>
                                            <w:top w:val="none" w:sz="0" w:space="0" w:color="auto"/>
                                            <w:left w:val="none" w:sz="0" w:space="0" w:color="auto"/>
                                            <w:bottom w:val="none" w:sz="0" w:space="0" w:color="auto"/>
                                            <w:right w:val="none" w:sz="0" w:space="0" w:color="auto"/>
                                          </w:divBdr>
                                          <w:divsChild>
                                            <w:div w:id="516431307">
                                              <w:marLeft w:val="0"/>
                                              <w:marRight w:val="0"/>
                                              <w:marTop w:val="0"/>
                                              <w:marBottom w:val="0"/>
                                              <w:divBdr>
                                                <w:top w:val="none" w:sz="0" w:space="0" w:color="auto"/>
                                                <w:left w:val="none" w:sz="0" w:space="0" w:color="auto"/>
                                                <w:bottom w:val="none" w:sz="0" w:space="0" w:color="auto"/>
                                                <w:right w:val="none" w:sz="0" w:space="0" w:color="auto"/>
                                              </w:divBdr>
                                            </w:div>
                                          </w:divsChild>
                                        </w:div>
                                        <w:div w:id="87771548">
                                          <w:marLeft w:val="0"/>
                                          <w:marRight w:val="0"/>
                                          <w:marTop w:val="0"/>
                                          <w:marBottom w:val="0"/>
                                          <w:divBdr>
                                            <w:top w:val="none" w:sz="0" w:space="0" w:color="auto"/>
                                            <w:left w:val="none" w:sz="0" w:space="0" w:color="auto"/>
                                            <w:bottom w:val="none" w:sz="0" w:space="0" w:color="auto"/>
                                            <w:right w:val="none" w:sz="0" w:space="0" w:color="auto"/>
                                          </w:divBdr>
                                          <w:divsChild>
                                            <w:div w:id="627976662">
                                              <w:marLeft w:val="0"/>
                                              <w:marRight w:val="0"/>
                                              <w:marTop w:val="0"/>
                                              <w:marBottom w:val="0"/>
                                              <w:divBdr>
                                                <w:top w:val="none" w:sz="0" w:space="0" w:color="auto"/>
                                                <w:left w:val="none" w:sz="0" w:space="0" w:color="auto"/>
                                                <w:bottom w:val="none" w:sz="0" w:space="0" w:color="auto"/>
                                                <w:right w:val="none" w:sz="0" w:space="0" w:color="auto"/>
                                              </w:divBdr>
                                            </w:div>
                                          </w:divsChild>
                                        </w:div>
                                        <w:div w:id="1846939329">
                                          <w:marLeft w:val="0"/>
                                          <w:marRight w:val="0"/>
                                          <w:marTop w:val="0"/>
                                          <w:marBottom w:val="0"/>
                                          <w:divBdr>
                                            <w:top w:val="none" w:sz="0" w:space="0" w:color="auto"/>
                                            <w:left w:val="none" w:sz="0" w:space="0" w:color="auto"/>
                                            <w:bottom w:val="none" w:sz="0" w:space="0" w:color="auto"/>
                                            <w:right w:val="none" w:sz="0" w:space="0" w:color="auto"/>
                                          </w:divBdr>
                                          <w:divsChild>
                                            <w:div w:id="19267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11296">
      <w:bodyDiv w:val="1"/>
      <w:marLeft w:val="0"/>
      <w:marRight w:val="0"/>
      <w:marTop w:val="0"/>
      <w:marBottom w:val="0"/>
      <w:divBdr>
        <w:top w:val="none" w:sz="0" w:space="0" w:color="auto"/>
        <w:left w:val="none" w:sz="0" w:space="0" w:color="auto"/>
        <w:bottom w:val="none" w:sz="0" w:space="0" w:color="auto"/>
        <w:right w:val="none" w:sz="0" w:space="0" w:color="auto"/>
      </w:divBdr>
      <w:divsChild>
        <w:div w:id="1918632672">
          <w:marLeft w:val="0"/>
          <w:marRight w:val="0"/>
          <w:marTop w:val="0"/>
          <w:marBottom w:val="0"/>
          <w:divBdr>
            <w:top w:val="none" w:sz="0" w:space="0" w:color="auto"/>
            <w:left w:val="none" w:sz="0" w:space="0" w:color="auto"/>
            <w:bottom w:val="none" w:sz="0" w:space="0" w:color="auto"/>
            <w:right w:val="none" w:sz="0" w:space="0" w:color="auto"/>
          </w:divBdr>
          <w:divsChild>
            <w:div w:id="553077548">
              <w:marLeft w:val="0"/>
              <w:marRight w:val="0"/>
              <w:marTop w:val="0"/>
              <w:marBottom w:val="450"/>
              <w:divBdr>
                <w:top w:val="none" w:sz="0" w:space="0" w:color="auto"/>
                <w:left w:val="none" w:sz="0" w:space="0" w:color="auto"/>
                <w:bottom w:val="none" w:sz="0" w:space="0" w:color="auto"/>
                <w:right w:val="none" w:sz="0" w:space="0" w:color="auto"/>
              </w:divBdr>
            </w:div>
          </w:divsChild>
        </w:div>
        <w:div w:id="1874803539">
          <w:marLeft w:val="0"/>
          <w:marRight w:val="0"/>
          <w:marTop w:val="0"/>
          <w:marBottom w:val="0"/>
          <w:divBdr>
            <w:top w:val="none" w:sz="0" w:space="0" w:color="auto"/>
            <w:left w:val="none" w:sz="0" w:space="0" w:color="auto"/>
            <w:bottom w:val="none" w:sz="0" w:space="0" w:color="auto"/>
            <w:right w:val="none" w:sz="0" w:space="0" w:color="auto"/>
          </w:divBdr>
          <w:divsChild>
            <w:div w:id="15559674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19057202">
      <w:bodyDiv w:val="1"/>
      <w:marLeft w:val="0"/>
      <w:marRight w:val="0"/>
      <w:marTop w:val="0"/>
      <w:marBottom w:val="0"/>
      <w:divBdr>
        <w:top w:val="none" w:sz="0" w:space="0" w:color="auto"/>
        <w:left w:val="none" w:sz="0" w:space="0" w:color="auto"/>
        <w:bottom w:val="none" w:sz="0" w:space="0" w:color="auto"/>
        <w:right w:val="none" w:sz="0" w:space="0" w:color="auto"/>
      </w:divBdr>
      <w:divsChild>
        <w:div w:id="1737511054">
          <w:marLeft w:val="0"/>
          <w:marRight w:val="0"/>
          <w:marTop w:val="0"/>
          <w:marBottom w:val="0"/>
          <w:divBdr>
            <w:top w:val="none" w:sz="0" w:space="0" w:color="auto"/>
            <w:left w:val="none" w:sz="0" w:space="0" w:color="auto"/>
            <w:bottom w:val="none" w:sz="0" w:space="0" w:color="auto"/>
            <w:right w:val="none" w:sz="0" w:space="0" w:color="auto"/>
          </w:divBdr>
          <w:divsChild>
            <w:div w:id="1233850959">
              <w:marLeft w:val="0"/>
              <w:marRight w:val="0"/>
              <w:marTop w:val="0"/>
              <w:marBottom w:val="0"/>
              <w:divBdr>
                <w:top w:val="none" w:sz="0" w:space="0" w:color="auto"/>
                <w:left w:val="none" w:sz="0" w:space="0" w:color="auto"/>
                <w:bottom w:val="none" w:sz="0" w:space="0" w:color="auto"/>
                <w:right w:val="none" w:sz="0" w:space="0" w:color="auto"/>
              </w:divBdr>
              <w:divsChild>
                <w:div w:id="587226581">
                  <w:marLeft w:val="0"/>
                  <w:marRight w:val="0"/>
                  <w:marTop w:val="0"/>
                  <w:marBottom w:val="0"/>
                  <w:divBdr>
                    <w:top w:val="none" w:sz="0" w:space="0" w:color="auto"/>
                    <w:left w:val="none" w:sz="0" w:space="0" w:color="auto"/>
                    <w:bottom w:val="none" w:sz="0" w:space="0" w:color="auto"/>
                    <w:right w:val="none" w:sz="0" w:space="0" w:color="auto"/>
                  </w:divBdr>
                  <w:divsChild>
                    <w:div w:id="1015425725">
                      <w:marLeft w:val="0"/>
                      <w:marRight w:val="0"/>
                      <w:marTop w:val="0"/>
                      <w:marBottom w:val="0"/>
                      <w:divBdr>
                        <w:top w:val="none" w:sz="0" w:space="0" w:color="auto"/>
                        <w:left w:val="none" w:sz="0" w:space="0" w:color="auto"/>
                        <w:bottom w:val="none" w:sz="0" w:space="0" w:color="auto"/>
                        <w:right w:val="none" w:sz="0" w:space="0" w:color="auto"/>
                      </w:divBdr>
                      <w:divsChild>
                        <w:div w:id="1415862954">
                          <w:marLeft w:val="0"/>
                          <w:marRight w:val="0"/>
                          <w:marTop w:val="0"/>
                          <w:marBottom w:val="0"/>
                          <w:divBdr>
                            <w:top w:val="none" w:sz="0" w:space="0" w:color="auto"/>
                            <w:left w:val="none" w:sz="0" w:space="0" w:color="auto"/>
                            <w:bottom w:val="none" w:sz="0" w:space="0" w:color="auto"/>
                            <w:right w:val="none" w:sz="0" w:space="0" w:color="auto"/>
                          </w:divBdr>
                          <w:divsChild>
                            <w:div w:id="1545866760">
                              <w:marLeft w:val="0"/>
                              <w:marRight w:val="0"/>
                              <w:marTop w:val="0"/>
                              <w:marBottom w:val="0"/>
                              <w:divBdr>
                                <w:top w:val="none" w:sz="0" w:space="0" w:color="auto"/>
                                <w:left w:val="none" w:sz="0" w:space="0" w:color="auto"/>
                                <w:bottom w:val="none" w:sz="0" w:space="0" w:color="auto"/>
                                <w:right w:val="none" w:sz="0" w:space="0" w:color="auto"/>
                              </w:divBdr>
                              <w:divsChild>
                                <w:div w:id="630357784">
                                  <w:marLeft w:val="0"/>
                                  <w:marRight w:val="0"/>
                                  <w:marTop w:val="0"/>
                                  <w:marBottom w:val="0"/>
                                  <w:divBdr>
                                    <w:top w:val="none" w:sz="0" w:space="0" w:color="auto"/>
                                    <w:left w:val="none" w:sz="0" w:space="0" w:color="auto"/>
                                    <w:bottom w:val="none" w:sz="0" w:space="0" w:color="auto"/>
                                    <w:right w:val="none" w:sz="0" w:space="0" w:color="auto"/>
                                  </w:divBdr>
                                  <w:divsChild>
                                    <w:div w:id="2131430996">
                                      <w:marLeft w:val="0"/>
                                      <w:marRight w:val="0"/>
                                      <w:marTop w:val="0"/>
                                      <w:marBottom w:val="0"/>
                                      <w:divBdr>
                                        <w:top w:val="none" w:sz="0" w:space="0" w:color="auto"/>
                                        <w:left w:val="none" w:sz="0" w:space="0" w:color="auto"/>
                                        <w:bottom w:val="none" w:sz="0" w:space="0" w:color="auto"/>
                                        <w:right w:val="none" w:sz="0" w:space="0" w:color="auto"/>
                                      </w:divBdr>
                                      <w:divsChild>
                                        <w:div w:id="1830125333">
                                          <w:marLeft w:val="0"/>
                                          <w:marRight w:val="0"/>
                                          <w:marTop w:val="0"/>
                                          <w:marBottom w:val="0"/>
                                          <w:divBdr>
                                            <w:top w:val="none" w:sz="0" w:space="0" w:color="auto"/>
                                            <w:left w:val="none" w:sz="0" w:space="0" w:color="auto"/>
                                            <w:bottom w:val="none" w:sz="0" w:space="0" w:color="auto"/>
                                            <w:right w:val="none" w:sz="0" w:space="0" w:color="auto"/>
                                          </w:divBdr>
                                          <w:divsChild>
                                            <w:div w:id="1316565946">
                                              <w:marLeft w:val="0"/>
                                              <w:marRight w:val="0"/>
                                              <w:marTop w:val="0"/>
                                              <w:marBottom w:val="0"/>
                                              <w:divBdr>
                                                <w:top w:val="none" w:sz="0" w:space="0" w:color="auto"/>
                                                <w:left w:val="none" w:sz="0" w:space="0" w:color="auto"/>
                                                <w:bottom w:val="none" w:sz="0" w:space="0" w:color="auto"/>
                                                <w:right w:val="none" w:sz="0" w:space="0" w:color="auto"/>
                                              </w:divBdr>
                                              <w:divsChild>
                                                <w:div w:id="242103962">
                                                  <w:marLeft w:val="0"/>
                                                  <w:marRight w:val="0"/>
                                                  <w:marTop w:val="0"/>
                                                  <w:marBottom w:val="0"/>
                                                  <w:divBdr>
                                                    <w:top w:val="none" w:sz="0" w:space="0" w:color="auto"/>
                                                    <w:left w:val="none" w:sz="0" w:space="0" w:color="auto"/>
                                                    <w:bottom w:val="none" w:sz="0" w:space="0" w:color="auto"/>
                                                    <w:right w:val="none" w:sz="0" w:space="0" w:color="auto"/>
                                                  </w:divBdr>
                                                  <w:divsChild>
                                                    <w:div w:id="2088258919">
                                                      <w:marLeft w:val="0"/>
                                                      <w:marRight w:val="0"/>
                                                      <w:marTop w:val="0"/>
                                                      <w:marBottom w:val="0"/>
                                                      <w:divBdr>
                                                        <w:top w:val="none" w:sz="0" w:space="0" w:color="auto"/>
                                                        <w:left w:val="none" w:sz="0" w:space="0" w:color="auto"/>
                                                        <w:bottom w:val="none" w:sz="0" w:space="0" w:color="auto"/>
                                                        <w:right w:val="none" w:sz="0" w:space="0" w:color="auto"/>
                                                      </w:divBdr>
                                                      <w:divsChild>
                                                        <w:div w:id="1968074741">
                                                          <w:marLeft w:val="0"/>
                                                          <w:marRight w:val="0"/>
                                                          <w:marTop w:val="0"/>
                                                          <w:marBottom w:val="0"/>
                                                          <w:divBdr>
                                                            <w:top w:val="none" w:sz="0" w:space="0" w:color="auto"/>
                                                            <w:left w:val="none" w:sz="0" w:space="0" w:color="auto"/>
                                                            <w:bottom w:val="none" w:sz="0" w:space="0" w:color="auto"/>
                                                            <w:right w:val="none" w:sz="0" w:space="0" w:color="auto"/>
                                                          </w:divBdr>
                                                        </w:div>
                                                        <w:div w:id="187256083">
                                                          <w:marLeft w:val="0"/>
                                                          <w:marRight w:val="0"/>
                                                          <w:marTop w:val="0"/>
                                                          <w:marBottom w:val="0"/>
                                                          <w:divBdr>
                                                            <w:top w:val="none" w:sz="0" w:space="0" w:color="auto"/>
                                                            <w:left w:val="none" w:sz="0" w:space="0" w:color="auto"/>
                                                            <w:bottom w:val="none" w:sz="0" w:space="0" w:color="auto"/>
                                                            <w:right w:val="none" w:sz="0" w:space="0" w:color="auto"/>
                                                          </w:divBdr>
                                                          <w:divsChild>
                                                            <w:div w:id="21074601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9096458">
      <w:bodyDiv w:val="1"/>
      <w:marLeft w:val="0"/>
      <w:marRight w:val="0"/>
      <w:marTop w:val="0"/>
      <w:marBottom w:val="0"/>
      <w:divBdr>
        <w:top w:val="none" w:sz="0" w:space="0" w:color="auto"/>
        <w:left w:val="none" w:sz="0" w:space="0" w:color="auto"/>
        <w:bottom w:val="none" w:sz="0" w:space="0" w:color="auto"/>
        <w:right w:val="none" w:sz="0" w:space="0" w:color="auto"/>
      </w:divBdr>
      <w:divsChild>
        <w:div w:id="946158556">
          <w:marLeft w:val="0"/>
          <w:marRight w:val="0"/>
          <w:marTop w:val="0"/>
          <w:marBottom w:val="0"/>
          <w:divBdr>
            <w:top w:val="none" w:sz="0" w:space="0" w:color="auto"/>
            <w:left w:val="none" w:sz="0" w:space="0" w:color="auto"/>
            <w:bottom w:val="none" w:sz="0" w:space="0" w:color="auto"/>
            <w:right w:val="none" w:sz="0" w:space="0" w:color="auto"/>
          </w:divBdr>
          <w:divsChild>
            <w:div w:id="20009454">
              <w:marLeft w:val="0"/>
              <w:marRight w:val="0"/>
              <w:marTop w:val="0"/>
              <w:marBottom w:val="0"/>
              <w:divBdr>
                <w:top w:val="none" w:sz="0" w:space="0" w:color="auto"/>
                <w:left w:val="none" w:sz="0" w:space="0" w:color="auto"/>
                <w:bottom w:val="none" w:sz="0" w:space="0" w:color="auto"/>
                <w:right w:val="none" w:sz="0" w:space="0" w:color="auto"/>
              </w:divBdr>
              <w:divsChild>
                <w:div w:id="199049998">
                  <w:marLeft w:val="0"/>
                  <w:marRight w:val="0"/>
                  <w:marTop w:val="0"/>
                  <w:marBottom w:val="0"/>
                  <w:divBdr>
                    <w:top w:val="none" w:sz="0" w:space="0" w:color="auto"/>
                    <w:left w:val="none" w:sz="0" w:space="0" w:color="auto"/>
                    <w:bottom w:val="none" w:sz="0" w:space="0" w:color="auto"/>
                    <w:right w:val="none" w:sz="0" w:space="0" w:color="auto"/>
                  </w:divBdr>
                  <w:divsChild>
                    <w:div w:id="1938559191">
                      <w:marLeft w:val="0"/>
                      <w:marRight w:val="0"/>
                      <w:marTop w:val="300"/>
                      <w:marBottom w:val="600"/>
                      <w:divBdr>
                        <w:top w:val="none" w:sz="0" w:space="0" w:color="auto"/>
                        <w:left w:val="none" w:sz="0" w:space="0" w:color="auto"/>
                        <w:bottom w:val="none" w:sz="0" w:space="0" w:color="auto"/>
                        <w:right w:val="none" w:sz="0" w:space="0" w:color="auto"/>
                      </w:divBdr>
                      <w:divsChild>
                        <w:div w:id="1677069996">
                          <w:marLeft w:val="0"/>
                          <w:marRight w:val="0"/>
                          <w:marTop w:val="0"/>
                          <w:marBottom w:val="0"/>
                          <w:divBdr>
                            <w:top w:val="none" w:sz="0" w:space="0" w:color="auto"/>
                            <w:left w:val="none" w:sz="0" w:space="0" w:color="auto"/>
                            <w:bottom w:val="none" w:sz="0" w:space="0" w:color="auto"/>
                            <w:right w:val="none" w:sz="0" w:space="0" w:color="auto"/>
                          </w:divBdr>
                          <w:divsChild>
                            <w:div w:id="1214855755">
                              <w:marLeft w:val="0"/>
                              <w:marRight w:val="0"/>
                              <w:marTop w:val="0"/>
                              <w:marBottom w:val="0"/>
                              <w:divBdr>
                                <w:top w:val="none" w:sz="0" w:space="0" w:color="auto"/>
                                <w:left w:val="none" w:sz="0" w:space="0" w:color="auto"/>
                                <w:bottom w:val="none" w:sz="0" w:space="0" w:color="auto"/>
                                <w:right w:val="none" w:sz="0" w:space="0" w:color="auto"/>
                              </w:divBdr>
                              <w:divsChild>
                                <w:div w:id="439908996">
                                  <w:marLeft w:val="0"/>
                                  <w:marRight w:val="0"/>
                                  <w:marTop w:val="0"/>
                                  <w:marBottom w:val="0"/>
                                  <w:divBdr>
                                    <w:top w:val="none" w:sz="0" w:space="0" w:color="auto"/>
                                    <w:left w:val="none" w:sz="0" w:space="0" w:color="auto"/>
                                    <w:bottom w:val="none" w:sz="0" w:space="0" w:color="auto"/>
                                    <w:right w:val="none" w:sz="0" w:space="0" w:color="auto"/>
                                  </w:divBdr>
                                  <w:divsChild>
                                    <w:div w:id="1600674383">
                                      <w:marLeft w:val="0"/>
                                      <w:marRight w:val="0"/>
                                      <w:marTop w:val="150"/>
                                      <w:marBottom w:val="0"/>
                                      <w:divBdr>
                                        <w:top w:val="none" w:sz="0" w:space="0" w:color="auto"/>
                                        <w:left w:val="none" w:sz="0" w:space="0" w:color="auto"/>
                                        <w:bottom w:val="none" w:sz="0" w:space="0" w:color="auto"/>
                                        <w:right w:val="none" w:sz="0" w:space="0" w:color="auto"/>
                                      </w:divBdr>
                                      <w:divsChild>
                                        <w:div w:id="1163352623">
                                          <w:marLeft w:val="0"/>
                                          <w:marRight w:val="0"/>
                                          <w:marTop w:val="0"/>
                                          <w:marBottom w:val="0"/>
                                          <w:divBdr>
                                            <w:top w:val="none" w:sz="0" w:space="0" w:color="auto"/>
                                            <w:left w:val="none" w:sz="0" w:space="0" w:color="auto"/>
                                            <w:bottom w:val="none" w:sz="0" w:space="0" w:color="auto"/>
                                            <w:right w:val="none" w:sz="0" w:space="0" w:color="auto"/>
                                          </w:divBdr>
                                          <w:divsChild>
                                            <w:div w:id="1328434880">
                                              <w:marLeft w:val="0"/>
                                              <w:marRight w:val="0"/>
                                              <w:marTop w:val="0"/>
                                              <w:marBottom w:val="0"/>
                                              <w:divBdr>
                                                <w:top w:val="none" w:sz="0" w:space="0" w:color="auto"/>
                                                <w:left w:val="none" w:sz="0" w:space="0" w:color="auto"/>
                                                <w:bottom w:val="none" w:sz="0" w:space="0" w:color="auto"/>
                                                <w:right w:val="none" w:sz="0" w:space="0" w:color="auto"/>
                                              </w:divBdr>
                                              <w:divsChild>
                                                <w:div w:id="16423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483980">
      <w:bodyDiv w:val="1"/>
      <w:marLeft w:val="0"/>
      <w:marRight w:val="0"/>
      <w:marTop w:val="0"/>
      <w:marBottom w:val="0"/>
      <w:divBdr>
        <w:top w:val="none" w:sz="0" w:space="0" w:color="auto"/>
        <w:left w:val="none" w:sz="0" w:space="0" w:color="auto"/>
        <w:bottom w:val="none" w:sz="0" w:space="0" w:color="auto"/>
        <w:right w:val="none" w:sz="0" w:space="0" w:color="auto"/>
      </w:divBdr>
      <w:divsChild>
        <w:div w:id="1480730473">
          <w:marLeft w:val="0"/>
          <w:marRight w:val="0"/>
          <w:marTop w:val="0"/>
          <w:marBottom w:val="0"/>
          <w:divBdr>
            <w:top w:val="none" w:sz="0" w:space="0" w:color="auto"/>
            <w:left w:val="none" w:sz="0" w:space="0" w:color="auto"/>
            <w:bottom w:val="none" w:sz="0" w:space="0" w:color="auto"/>
            <w:right w:val="none" w:sz="0" w:space="0" w:color="auto"/>
          </w:divBdr>
          <w:divsChild>
            <w:div w:id="90363818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920401907">
      <w:bodyDiv w:val="1"/>
      <w:marLeft w:val="0"/>
      <w:marRight w:val="0"/>
      <w:marTop w:val="0"/>
      <w:marBottom w:val="0"/>
      <w:divBdr>
        <w:top w:val="none" w:sz="0" w:space="0" w:color="auto"/>
        <w:left w:val="none" w:sz="0" w:space="0" w:color="auto"/>
        <w:bottom w:val="none" w:sz="0" w:space="0" w:color="auto"/>
        <w:right w:val="none" w:sz="0" w:space="0" w:color="auto"/>
      </w:divBdr>
      <w:divsChild>
        <w:div w:id="852720754">
          <w:marLeft w:val="0"/>
          <w:marRight w:val="0"/>
          <w:marTop w:val="0"/>
          <w:marBottom w:val="0"/>
          <w:divBdr>
            <w:top w:val="none" w:sz="0" w:space="0" w:color="auto"/>
            <w:left w:val="none" w:sz="0" w:space="0" w:color="auto"/>
            <w:bottom w:val="none" w:sz="0" w:space="0" w:color="auto"/>
            <w:right w:val="none" w:sz="0" w:space="0" w:color="auto"/>
          </w:divBdr>
        </w:div>
        <w:div w:id="485824883">
          <w:marLeft w:val="0"/>
          <w:marRight w:val="0"/>
          <w:marTop w:val="0"/>
          <w:marBottom w:val="150"/>
          <w:divBdr>
            <w:top w:val="none" w:sz="0" w:space="0" w:color="auto"/>
            <w:left w:val="none" w:sz="0" w:space="0" w:color="auto"/>
            <w:bottom w:val="none" w:sz="0" w:space="0" w:color="auto"/>
            <w:right w:val="none" w:sz="0" w:space="0" w:color="auto"/>
          </w:divBdr>
          <w:divsChild>
            <w:div w:id="1612349281">
              <w:marLeft w:val="0"/>
              <w:marRight w:val="0"/>
              <w:marTop w:val="240"/>
              <w:marBottom w:val="240"/>
              <w:divBdr>
                <w:top w:val="single" w:sz="6" w:space="6" w:color="F2F2F2"/>
                <w:left w:val="none" w:sz="0" w:space="0" w:color="auto"/>
                <w:bottom w:val="single" w:sz="6" w:space="6" w:color="F2F2F2"/>
                <w:right w:val="none" w:sz="0" w:space="0" w:color="auto"/>
              </w:divBdr>
            </w:div>
            <w:div w:id="507715026">
              <w:marLeft w:val="0"/>
              <w:marRight w:val="0"/>
              <w:marTop w:val="0"/>
              <w:marBottom w:val="0"/>
              <w:divBdr>
                <w:top w:val="none" w:sz="0" w:space="0" w:color="auto"/>
                <w:left w:val="none" w:sz="0" w:space="0" w:color="auto"/>
                <w:bottom w:val="none" w:sz="0" w:space="0" w:color="auto"/>
                <w:right w:val="none" w:sz="0" w:space="0" w:color="auto"/>
              </w:divBdr>
              <w:divsChild>
                <w:div w:id="1738553184">
                  <w:marLeft w:val="0"/>
                  <w:marRight w:val="0"/>
                  <w:marTop w:val="0"/>
                  <w:marBottom w:val="240"/>
                  <w:divBdr>
                    <w:top w:val="none" w:sz="0" w:space="0" w:color="auto"/>
                    <w:left w:val="none" w:sz="0" w:space="0" w:color="auto"/>
                    <w:bottom w:val="none" w:sz="0" w:space="0" w:color="auto"/>
                    <w:right w:val="none" w:sz="0" w:space="0" w:color="auto"/>
                  </w:divBdr>
                </w:div>
                <w:div w:id="200673744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20554914">
      <w:bodyDiv w:val="1"/>
      <w:marLeft w:val="0"/>
      <w:marRight w:val="0"/>
      <w:marTop w:val="0"/>
      <w:marBottom w:val="0"/>
      <w:divBdr>
        <w:top w:val="none" w:sz="0" w:space="0" w:color="auto"/>
        <w:left w:val="none" w:sz="0" w:space="0" w:color="auto"/>
        <w:bottom w:val="none" w:sz="0" w:space="0" w:color="auto"/>
        <w:right w:val="none" w:sz="0" w:space="0" w:color="auto"/>
      </w:divBdr>
      <w:divsChild>
        <w:div w:id="999819518">
          <w:marLeft w:val="2400"/>
          <w:marRight w:val="0"/>
          <w:marTop w:val="0"/>
          <w:marBottom w:val="0"/>
          <w:divBdr>
            <w:top w:val="none" w:sz="0" w:space="0" w:color="auto"/>
            <w:left w:val="none" w:sz="0" w:space="0" w:color="auto"/>
            <w:bottom w:val="none" w:sz="0" w:space="0" w:color="auto"/>
            <w:right w:val="none" w:sz="0" w:space="0" w:color="auto"/>
          </w:divBdr>
          <w:divsChild>
            <w:div w:id="1383867523">
              <w:marLeft w:val="0"/>
              <w:marRight w:val="0"/>
              <w:marTop w:val="0"/>
              <w:marBottom w:val="0"/>
              <w:divBdr>
                <w:top w:val="none" w:sz="0" w:space="0" w:color="auto"/>
                <w:left w:val="none" w:sz="0" w:space="0" w:color="auto"/>
                <w:bottom w:val="none" w:sz="0" w:space="0" w:color="auto"/>
                <w:right w:val="none" w:sz="0" w:space="0" w:color="auto"/>
              </w:divBdr>
              <w:divsChild>
                <w:div w:id="780415208">
                  <w:marLeft w:val="0"/>
                  <w:marRight w:val="0"/>
                  <w:marTop w:val="0"/>
                  <w:marBottom w:val="0"/>
                  <w:divBdr>
                    <w:top w:val="none" w:sz="0" w:space="0" w:color="auto"/>
                    <w:left w:val="none" w:sz="0" w:space="0" w:color="auto"/>
                    <w:bottom w:val="none" w:sz="0" w:space="0" w:color="auto"/>
                    <w:right w:val="none" w:sz="0" w:space="0" w:color="auto"/>
                  </w:divBdr>
                  <w:divsChild>
                    <w:div w:id="599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601649">
      <w:bodyDiv w:val="1"/>
      <w:marLeft w:val="0"/>
      <w:marRight w:val="0"/>
      <w:marTop w:val="0"/>
      <w:marBottom w:val="0"/>
      <w:divBdr>
        <w:top w:val="none" w:sz="0" w:space="0" w:color="auto"/>
        <w:left w:val="none" w:sz="0" w:space="0" w:color="auto"/>
        <w:bottom w:val="none" w:sz="0" w:space="0" w:color="auto"/>
        <w:right w:val="none" w:sz="0" w:space="0" w:color="auto"/>
      </w:divBdr>
      <w:divsChild>
        <w:div w:id="2069956938">
          <w:marLeft w:val="0"/>
          <w:marRight w:val="0"/>
          <w:marTop w:val="0"/>
          <w:marBottom w:val="0"/>
          <w:divBdr>
            <w:top w:val="none" w:sz="0" w:space="0" w:color="auto"/>
            <w:left w:val="none" w:sz="0" w:space="0" w:color="auto"/>
            <w:bottom w:val="none" w:sz="0" w:space="0" w:color="auto"/>
            <w:right w:val="none" w:sz="0" w:space="0" w:color="auto"/>
          </w:divBdr>
          <w:divsChild>
            <w:div w:id="1176655080">
              <w:marLeft w:val="0"/>
              <w:marRight w:val="0"/>
              <w:marTop w:val="0"/>
              <w:marBottom w:val="0"/>
              <w:divBdr>
                <w:top w:val="none" w:sz="0" w:space="0" w:color="auto"/>
                <w:left w:val="none" w:sz="0" w:space="0" w:color="auto"/>
                <w:bottom w:val="none" w:sz="0" w:space="0" w:color="auto"/>
                <w:right w:val="none" w:sz="0" w:space="0" w:color="auto"/>
              </w:divBdr>
              <w:divsChild>
                <w:div w:id="13248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38597">
          <w:marLeft w:val="0"/>
          <w:marRight w:val="0"/>
          <w:marTop w:val="0"/>
          <w:marBottom w:val="0"/>
          <w:divBdr>
            <w:top w:val="none" w:sz="0" w:space="0" w:color="auto"/>
            <w:left w:val="none" w:sz="0" w:space="0" w:color="auto"/>
            <w:bottom w:val="none" w:sz="0" w:space="0" w:color="auto"/>
            <w:right w:val="none" w:sz="0" w:space="0" w:color="auto"/>
          </w:divBdr>
        </w:div>
      </w:divsChild>
    </w:div>
    <w:div w:id="1921206638">
      <w:bodyDiv w:val="1"/>
      <w:marLeft w:val="0"/>
      <w:marRight w:val="0"/>
      <w:marTop w:val="0"/>
      <w:marBottom w:val="0"/>
      <w:divBdr>
        <w:top w:val="none" w:sz="0" w:space="0" w:color="auto"/>
        <w:left w:val="none" w:sz="0" w:space="0" w:color="auto"/>
        <w:bottom w:val="none" w:sz="0" w:space="0" w:color="auto"/>
        <w:right w:val="none" w:sz="0" w:space="0" w:color="auto"/>
      </w:divBdr>
      <w:divsChild>
        <w:div w:id="496042788">
          <w:marLeft w:val="0"/>
          <w:marRight w:val="0"/>
          <w:marTop w:val="0"/>
          <w:marBottom w:val="0"/>
          <w:divBdr>
            <w:top w:val="none" w:sz="0" w:space="0" w:color="auto"/>
            <w:left w:val="none" w:sz="0" w:space="0" w:color="auto"/>
            <w:bottom w:val="none" w:sz="0" w:space="0" w:color="auto"/>
            <w:right w:val="none" w:sz="0" w:space="0" w:color="auto"/>
          </w:divBdr>
          <w:divsChild>
            <w:div w:id="2089884154">
              <w:marLeft w:val="0"/>
              <w:marRight w:val="0"/>
              <w:marTop w:val="0"/>
              <w:marBottom w:val="0"/>
              <w:divBdr>
                <w:top w:val="none" w:sz="0" w:space="0" w:color="auto"/>
                <w:left w:val="none" w:sz="0" w:space="0" w:color="auto"/>
                <w:bottom w:val="none" w:sz="0" w:space="0" w:color="auto"/>
                <w:right w:val="none" w:sz="0" w:space="0" w:color="auto"/>
              </w:divBdr>
              <w:divsChild>
                <w:div w:id="340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622">
      <w:bodyDiv w:val="1"/>
      <w:marLeft w:val="0"/>
      <w:marRight w:val="0"/>
      <w:marTop w:val="0"/>
      <w:marBottom w:val="0"/>
      <w:divBdr>
        <w:top w:val="none" w:sz="0" w:space="0" w:color="auto"/>
        <w:left w:val="none" w:sz="0" w:space="0" w:color="auto"/>
        <w:bottom w:val="none" w:sz="0" w:space="0" w:color="auto"/>
        <w:right w:val="none" w:sz="0" w:space="0" w:color="auto"/>
      </w:divBdr>
      <w:divsChild>
        <w:div w:id="1286735588">
          <w:marLeft w:val="0"/>
          <w:marRight w:val="0"/>
          <w:marTop w:val="0"/>
          <w:marBottom w:val="0"/>
          <w:divBdr>
            <w:top w:val="single" w:sz="6" w:space="0" w:color="0E477A"/>
            <w:left w:val="single" w:sz="6" w:space="0" w:color="0E477A"/>
            <w:bottom w:val="single" w:sz="6" w:space="0" w:color="0E477A"/>
            <w:right w:val="single" w:sz="6" w:space="0" w:color="0E477A"/>
          </w:divBdr>
          <w:divsChild>
            <w:div w:id="1576551284">
              <w:marLeft w:val="0"/>
              <w:marRight w:val="0"/>
              <w:marTop w:val="0"/>
              <w:marBottom w:val="0"/>
              <w:divBdr>
                <w:top w:val="none" w:sz="0" w:space="0" w:color="auto"/>
                <w:left w:val="none" w:sz="0" w:space="0" w:color="auto"/>
                <w:bottom w:val="none" w:sz="0" w:space="0" w:color="auto"/>
                <w:right w:val="none" w:sz="0" w:space="0" w:color="auto"/>
              </w:divBdr>
              <w:divsChild>
                <w:div w:id="2105492350">
                  <w:marLeft w:val="0"/>
                  <w:marRight w:val="0"/>
                  <w:marTop w:val="0"/>
                  <w:marBottom w:val="0"/>
                  <w:divBdr>
                    <w:top w:val="none" w:sz="0" w:space="0" w:color="auto"/>
                    <w:left w:val="none" w:sz="0" w:space="0" w:color="auto"/>
                    <w:bottom w:val="none" w:sz="0" w:space="0" w:color="auto"/>
                    <w:right w:val="none" w:sz="0" w:space="0" w:color="auto"/>
                  </w:divBdr>
                  <w:divsChild>
                    <w:div w:id="2119173794">
                      <w:marLeft w:val="0"/>
                      <w:marRight w:val="0"/>
                      <w:marTop w:val="0"/>
                      <w:marBottom w:val="0"/>
                      <w:divBdr>
                        <w:top w:val="none" w:sz="0" w:space="0" w:color="auto"/>
                        <w:left w:val="none" w:sz="0" w:space="0" w:color="auto"/>
                        <w:bottom w:val="none" w:sz="0" w:space="0" w:color="auto"/>
                        <w:right w:val="none" w:sz="0" w:space="0" w:color="auto"/>
                      </w:divBdr>
                      <w:divsChild>
                        <w:div w:id="194774610">
                          <w:marLeft w:val="0"/>
                          <w:marRight w:val="0"/>
                          <w:marTop w:val="0"/>
                          <w:marBottom w:val="0"/>
                          <w:divBdr>
                            <w:top w:val="none" w:sz="0" w:space="0" w:color="auto"/>
                            <w:left w:val="none" w:sz="0" w:space="0" w:color="auto"/>
                            <w:bottom w:val="none" w:sz="0" w:space="0" w:color="auto"/>
                            <w:right w:val="none" w:sz="0" w:space="0" w:color="auto"/>
                          </w:divBdr>
                          <w:divsChild>
                            <w:div w:id="1148747732">
                              <w:marLeft w:val="0"/>
                              <w:marRight w:val="0"/>
                              <w:marTop w:val="0"/>
                              <w:marBottom w:val="0"/>
                              <w:divBdr>
                                <w:top w:val="none" w:sz="0" w:space="0" w:color="auto"/>
                                <w:left w:val="none" w:sz="0" w:space="0" w:color="auto"/>
                                <w:bottom w:val="none" w:sz="0" w:space="0" w:color="auto"/>
                                <w:right w:val="none" w:sz="0" w:space="0" w:color="auto"/>
                              </w:divBdr>
                              <w:divsChild>
                                <w:div w:id="519663862">
                                  <w:marLeft w:val="0"/>
                                  <w:marRight w:val="0"/>
                                  <w:marTop w:val="0"/>
                                  <w:marBottom w:val="0"/>
                                  <w:divBdr>
                                    <w:top w:val="none" w:sz="0" w:space="0" w:color="auto"/>
                                    <w:left w:val="none" w:sz="0" w:space="0" w:color="auto"/>
                                    <w:bottom w:val="none" w:sz="0" w:space="0" w:color="auto"/>
                                    <w:right w:val="none" w:sz="0" w:space="0" w:color="auto"/>
                                  </w:divBdr>
                                  <w:divsChild>
                                    <w:div w:id="385877483">
                                      <w:marLeft w:val="0"/>
                                      <w:marRight w:val="0"/>
                                      <w:marTop w:val="0"/>
                                      <w:marBottom w:val="0"/>
                                      <w:divBdr>
                                        <w:top w:val="none" w:sz="0" w:space="0" w:color="auto"/>
                                        <w:left w:val="none" w:sz="0" w:space="0" w:color="auto"/>
                                        <w:bottom w:val="none" w:sz="0" w:space="0" w:color="auto"/>
                                        <w:right w:val="none" w:sz="0" w:space="0" w:color="auto"/>
                                      </w:divBdr>
                                      <w:divsChild>
                                        <w:div w:id="626204173">
                                          <w:marLeft w:val="0"/>
                                          <w:marRight w:val="0"/>
                                          <w:marTop w:val="0"/>
                                          <w:marBottom w:val="0"/>
                                          <w:divBdr>
                                            <w:top w:val="none" w:sz="0" w:space="0" w:color="auto"/>
                                            <w:left w:val="none" w:sz="0" w:space="0" w:color="auto"/>
                                            <w:bottom w:val="none" w:sz="0" w:space="0" w:color="auto"/>
                                            <w:right w:val="none" w:sz="0" w:space="0" w:color="auto"/>
                                          </w:divBdr>
                                          <w:divsChild>
                                            <w:div w:id="474682490">
                                              <w:marLeft w:val="0"/>
                                              <w:marRight w:val="0"/>
                                              <w:marTop w:val="0"/>
                                              <w:marBottom w:val="0"/>
                                              <w:divBdr>
                                                <w:top w:val="none" w:sz="0" w:space="0" w:color="auto"/>
                                                <w:left w:val="none" w:sz="0" w:space="0" w:color="auto"/>
                                                <w:bottom w:val="none" w:sz="0" w:space="0" w:color="auto"/>
                                                <w:right w:val="none" w:sz="0" w:space="0" w:color="auto"/>
                                              </w:divBdr>
                                              <w:divsChild>
                                                <w:div w:id="16108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3668">
                                          <w:marLeft w:val="0"/>
                                          <w:marRight w:val="0"/>
                                          <w:marTop w:val="0"/>
                                          <w:marBottom w:val="0"/>
                                          <w:divBdr>
                                            <w:top w:val="none" w:sz="0" w:space="0" w:color="auto"/>
                                            <w:left w:val="none" w:sz="0" w:space="0" w:color="auto"/>
                                            <w:bottom w:val="none" w:sz="0" w:space="0" w:color="auto"/>
                                            <w:right w:val="none" w:sz="0" w:space="0" w:color="auto"/>
                                          </w:divBdr>
                                          <w:divsChild>
                                            <w:div w:id="421142189">
                                              <w:marLeft w:val="0"/>
                                              <w:marRight w:val="0"/>
                                              <w:marTop w:val="0"/>
                                              <w:marBottom w:val="0"/>
                                              <w:divBdr>
                                                <w:top w:val="none" w:sz="0" w:space="0" w:color="auto"/>
                                                <w:left w:val="none" w:sz="0" w:space="0" w:color="auto"/>
                                                <w:bottom w:val="none" w:sz="0" w:space="0" w:color="auto"/>
                                                <w:right w:val="none" w:sz="0" w:space="0" w:color="auto"/>
                                              </w:divBdr>
                                              <w:divsChild>
                                                <w:div w:id="15475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981188">
      <w:bodyDiv w:val="1"/>
      <w:marLeft w:val="0"/>
      <w:marRight w:val="0"/>
      <w:marTop w:val="0"/>
      <w:marBottom w:val="0"/>
      <w:divBdr>
        <w:top w:val="none" w:sz="0" w:space="0" w:color="auto"/>
        <w:left w:val="none" w:sz="0" w:space="0" w:color="auto"/>
        <w:bottom w:val="none" w:sz="0" w:space="0" w:color="auto"/>
        <w:right w:val="none" w:sz="0" w:space="0" w:color="auto"/>
      </w:divBdr>
    </w:div>
    <w:div w:id="1922326412">
      <w:bodyDiv w:val="1"/>
      <w:marLeft w:val="0"/>
      <w:marRight w:val="0"/>
      <w:marTop w:val="0"/>
      <w:marBottom w:val="0"/>
      <w:divBdr>
        <w:top w:val="none" w:sz="0" w:space="0" w:color="auto"/>
        <w:left w:val="none" w:sz="0" w:space="0" w:color="auto"/>
        <w:bottom w:val="none" w:sz="0" w:space="0" w:color="auto"/>
        <w:right w:val="none" w:sz="0" w:space="0" w:color="auto"/>
      </w:divBdr>
    </w:div>
    <w:div w:id="1922905739">
      <w:bodyDiv w:val="1"/>
      <w:marLeft w:val="0"/>
      <w:marRight w:val="0"/>
      <w:marTop w:val="0"/>
      <w:marBottom w:val="0"/>
      <w:divBdr>
        <w:top w:val="none" w:sz="0" w:space="0" w:color="auto"/>
        <w:left w:val="none" w:sz="0" w:space="0" w:color="auto"/>
        <w:bottom w:val="none" w:sz="0" w:space="0" w:color="auto"/>
        <w:right w:val="none" w:sz="0" w:space="0" w:color="auto"/>
      </w:divBdr>
      <w:divsChild>
        <w:div w:id="2027947655">
          <w:marLeft w:val="0"/>
          <w:marRight w:val="0"/>
          <w:marTop w:val="0"/>
          <w:marBottom w:val="0"/>
          <w:divBdr>
            <w:top w:val="none" w:sz="0" w:space="0" w:color="auto"/>
            <w:left w:val="none" w:sz="0" w:space="0" w:color="auto"/>
            <w:bottom w:val="none" w:sz="0" w:space="0" w:color="auto"/>
            <w:right w:val="none" w:sz="0" w:space="0" w:color="auto"/>
          </w:divBdr>
          <w:divsChild>
            <w:div w:id="767307736">
              <w:marLeft w:val="0"/>
              <w:marRight w:val="0"/>
              <w:marTop w:val="0"/>
              <w:marBottom w:val="0"/>
              <w:divBdr>
                <w:top w:val="none" w:sz="0" w:space="0" w:color="auto"/>
                <w:left w:val="none" w:sz="0" w:space="0" w:color="auto"/>
                <w:bottom w:val="none" w:sz="0" w:space="0" w:color="auto"/>
                <w:right w:val="none" w:sz="0" w:space="0" w:color="auto"/>
              </w:divBdr>
              <w:divsChild>
                <w:div w:id="1644700859">
                  <w:marLeft w:val="0"/>
                  <w:marRight w:val="0"/>
                  <w:marTop w:val="100"/>
                  <w:marBottom w:val="100"/>
                  <w:divBdr>
                    <w:top w:val="none" w:sz="0" w:space="0" w:color="auto"/>
                    <w:left w:val="none" w:sz="0" w:space="0" w:color="auto"/>
                    <w:bottom w:val="none" w:sz="0" w:space="0" w:color="auto"/>
                    <w:right w:val="none" w:sz="0" w:space="0" w:color="auto"/>
                  </w:divBdr>
                  <w:divsChild>
                    <w:div w:id="490829985">
                      <w:marLeft w:val="0"/>
                      <w:marRight w:val="0"/>
                      <w:marTop w:val="0"/>
                      <w:marBottom w:val="0"/>
                      <w:divBdr>
                        <w:top w:val="none" w:sz="0" w:space="0" w:color="auto"/>
                        <w:left w:val="none" w:sz="0" w:space="0" w:color="auto"/>
                        <w:bottom w:val="none" w:sz="0" w:space="0" w:color="auto"/>
                        <w:right w:val="none" w:sz="0" w:space="0" w:color="auto"/>
                      </w:divBdr>
                      <w:divsChild>
                        <w:div w:id="2062972400">
                          <w:marLeft w:val="0"/>
                          <w:marRight w:val="0"/>
                          <w:marTop w:val="0"/>
                          <w:marBottom w:val="0"/>
                          <w:divBdr>
                            <w:top w:val="none" w:sz="0" w:space="0" w:color="auto"/>
                            <w:left w:val="none" w:sz="0" w:space="0" w:color="auto"/>
                            <w:bottom w:val="none" w:sz="0" w:space="0" w:color="auto"/>
                            <w:right w:val="none" w:sz="0" w:space="0" w:color="auto"/>
                          </w:divBdr>
                          <w:divsChild>
                            <w:div w:id="672688916">
                              <w:marLeft w:val="0"/>
                              <w:marRight w:val="0"/>
                              <w:marTop w:val="0"/>
                              <w:marBottom w:val="0"/>
                              <w:divBdr>
                                <w:top w:val="none" w:sz="0" w:space="0" w:color="auto"/>
                                <w:left w:val="none" w:sz="0" w:space="0" w:color="auto"/>
                                <w:bottom w:val="none" w:sz="0" w:space="0" w:color="auto"/>
                                <w:right w:val="none" w:sz="0" w:space="0" w:color="auto"/>
                              </w:divBdr>
                              <w:divsChild>
                                <w:div w:id="1322587312">
                                  <w:marLeft w:val="0"/>
                                  <w:marRight w:val="0"/>
                                  <w:marTop w:val="0"/>
                                  <w:marBottom w:val="0"/>
                                  <w:divBdr>
                                    <w:top w:val="none" w:sz="0" w:space="0" w:color="auto"/>
                                    <w:left w:val="none" w:sz="0" w:space="0" w:color="auto"/>
                                    <w:bottom w:val="none" w:sz="0" w:space="0" w:color="auto"/>
                                    <w:right w:val="none" w:sz="0" w:space="0" w:color="auto"/>
                                  </w:divBdr>
                                  <w:divsChild>
                                    <w:div w:id="513349886">
                                      <w:marLeft w:val="0"/>
                                      <w:marRight w:val="0"/>
                                      <w:marTop w:val="0"/>
                                      <w:marBottom w:val="0"/>
                                      <w:divBdr>
                                        <w:top w:val="none" w:sz="0" w:space="0" w:color="auto"/>
                                        <w:left w:val="none" w:sz="0" w:space="0" w:color="auto"/>
                                        <w:bottom w:val="none" w:sz="0" w:space="0" w:color="auto"/>
                                        <w:right w:val="none" w:sz="0" w:space="0" w:color="auto"/>
                                      </w:divBdr>
                                      <w:divsChild>
                                        <w:div w:id="645933119">
                                          <w:marLeft w:val="0"/>
                                          <w:marRight w:val="0"/>
                                          <w:marTop w:val="0"/>
                                          <w:marBottom w:val="0"/>
                                          <w:divBdr>
                                            <w:top w:val="none" w:sz="0" w:space="0" w:color="auto"/>
                                            <w:left w:val="none" w:sz="0" w:space="0" w:color="auto"/>
                                            <w:bottom w:val="none" w:sz="0" w:space="0" w:color="auto"/>
                                            <w:right w:val="none" w:sz="0" w:space="0" w:color="auto"/>
                                          </w:divBdr>
                                          <w:divsChild>
                                            <w:div w:id="471214811">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877718">
      <w:bodyDiv w:val="1"/>
      <w:marLeft w:val="0"/>
      <w:marRight w:val="0"/>
      <w:marTop w:val="0"/>
      <w:marBottom w:val="0"/>
      <w:divBdr>
        <w:top w:val="none" w:sz="0" w:space="0" w:color="auto"/>
        <w:left w:val="none" w:sz="0" w:space="0" w:color="auto"/>
        <w:bottom w:val="none" w:sz="0" w:space="0" w:color="auto"/>
        <w:right w:val="none" w:sz="0" w:space="0" w:color="auto"/>
      </w:divBdr>
      <w:divsChild>
        <w:div w:id="1075785811">
          <w:marLeft w:val="0"/>
          <w:marRight w:val="0"/>
          <w:marTop w:val="0"/>
          <w:marBottom w:val="0"/>
          <w:divBdr>
            <w:top w:val="none" w:sz="0" w:space="0" w:color="auto"/>
            <w:left w:val="none" w:sz="0" w:space="0" w:color="auto"/>
            <w:bottom w:val="none" w:sz="0" w:space="0" w:color="auto"/>
            <w:right w:val="none" w:sz="0" w:space="0" w:color="auto"/>
          </w:divBdr>
          <w:divsChild>
            <w:div w:id="2105877258">
              <w:marLeft w:val="0"/>
              <w:marRight w:val="0"/>
              <w:marTop w:val="0"/>
              <w:marBottom w:val="0"/>
              <w:divBdr>
                <w:top w:val="none" w:sz="0" w:space="0" w:color="auto"/>
                <w:left w:val="none" w:sz="0" w:space="0" w:color="auto"/>
                <w:bottom w:val="none" w:sz="0" w:space="0" w:color="auto"/>
                <w:right w:val="none" w:sz="0" w:space="0" w:color="auto"/>
              </w:divBdr>
              <w:divsChild>
                <w:div w:id="1760370867">
                  <w:marLeft w:val="0"/>
                  <w:marRight w:val="0"/>
                  <w:marTop w:val="0"/>
                  <w:marBottom w:val="0"/>
                  <w:divBdr>
                    <w:top w:val="none" w:sz="0" w:space="0" w:color="auto"/>
                    <w:left w:val="none" w:sz="0" w:space="0" w:color="auto"/>
                    <w:bottom w:val="none" w:sz="0" w:space="0" w:color="auto"/>
                    <w:right w:val="none" w:sz="0" w:space="0" w:color="auto"/>
                  </w:divBdr>
                  <w:divsChild>
                    <w:div w:id="447089878">
                      <w:marLeft w:val="0"/>
                      <w:marRight w:val="0"/>
                      <w:marTop w:val="0"/>
                      <w:marBottom w:val="0"/>
                      <w:divBdr>
                        <w:top w:val="none" w:sz="0" w:space="0" w:color="auto"/>
                        <w:left w:val="none" w:sz="0" w:space="0" w:color="auto"/>
                        <w:bottom w:val="none" w:sz="0" w:space="0" w:color="auto"/>
                        <w:right w:val="none" w:sz="0" w:space="0" w:color="auto"/>
                      </w:divBdr>
                      <w:divsChild>
                        <w:div w:id="555506558">
                          <w:marLeft w:val="0"/>
                          <w:marRight w:val="0"/>
                          <w:marTop w:val="0"/>
                          <w:marBottom w:val="0"/>
                          <w:divBdr>
                            <w:top w:val="none" w:sz="0" w:space="0" w:color="auto"/>
                            <w:left w:val="none" w:sz="0" w:space="0" w:color="auto"/>
                            <w:bottom w:val="none" w:sz="0" w:space="0" w:color="auto"/>
                            <w:right w:val="none" w:sz="0" w:space="0" w:color="auto"/>
                          </w:divBdr>
                          <w:divsChild>
                            <w:div w:id="634531641">
                              <w:marLeft w:val="0"/>
                              <w:marRight w:val="0"/>
                              <w:marTop w:val="0"/>
                              <w:marBottom w:val="0"/>
                              <w:divBdr>
                                <w:top w:val="none" w:sz="0" w:space="0" w:color="auto"/>
                                <w:left w:val="none" w:sz="0" w:space="0" w:color="auto"/>
                                <w:bottom w:val="none" w:sz="0" w:space="0" w:color="auto"/>
                                <w:right w:val="none" w:sz="0" w:space="0" w:color="auto"/>
                              </w:divBdr>
                              <w:divsChild>
                                <w:div w:id="1283804226">
                                  <w:marLeft w:val="0"/>
                                  <w:marRight w:val="0"/>
                                  <w:marTop w:val="0"/>
                                  <w:marBottom w:val="0"/>
                                  <w:divBdr>
                                    <w:top w:val="none" w:sz="0" w:space="0" w:color="auto"/>
                                    <w:left w:val="none" w:sz="0" w:space="0" w:color="auto"/>
                                    <w:bottom w:val="none" w:sz="0" w:space="0" w:color="auto"/>
                                    <w:right w:val="none" w:sz="0" w:space="0" w:color="auto"/>
                                  </w:divBdr>
                                  <w:divsChild>
                                    <w:div w:id="666321943">
                                      <w:marLeft w:val="0"/>
                                      <w:marRight w:val="0"/>
                                      <w:marTop w:val="0"/>
                                      <w:marBottom w:val="0"/>
                                      <w:divBdr>
                                        <w:top w:val="none" w:sz="0" w:space="0" w:color="auto"/>
                                        <w:left w:val="none" w:sz="0" w:space="0" w:color="auto"/>
                                        <w:bottom w:val="none" w:sz="0" w:space="0" w:color="auto"/>
                                        <w:right w:val="none" w:sz="0" w:space="0" w:color="auto"/>
                                      </w:divBdr>
                                      <w:divsChild>
                                        <w:div w:id="939605003">
                                          <w:marLeft w:val="0"/>
                                          <w:marRight w:val="0"/>
                                          <w:marTop w:val="0"/>
                                          <w:marBottom w:val="0"/>
                                          <w:divBdr>
                                            <w:top w:val="none" w:sz="0" w:space="0" w:color="auto"/>
                                            <w:left w:val="none" w:sz="0" w:space="0" w:color="auto"/>
                                            <w:bottom w:val="none" w:sz="0" w:space="0" w:color="auto"/>
                                            <w:right w:val="none" w:sz="0" w:space="0" w:color="auto"/>
                                          </w:divBdr>
                                        </w:div>
                                        <w:div w:id="1913197263">
                                          <w:marLeft w:val="0"/>
                                          <w:marRight w:val="0"/>
                                          <w:marTop w:val="0"/>
                                          <w:marBottom w:val="0"/>
                                          <w:divBdr>
                                            <w:top w:val="none" w:sz="0" w:space="0" w:color="auto"/>
                                            <w:left w:val="none" w:sz="0" w:space="0" w:color="auto"/>
                                            <w:bottom w:val="none" w:sz="0" w:space="0" w:color="auto"/>
                                            <w:right w:val="none" w:sz="0" w:space="0" w:color="auto"/>
                                          </w:divBdr>
                                          <w:divsChild>
                                            <w:div w:id="299070246">
                                              <w:marLeft w:val="0"/>
                                              <w:marRight w:val="0"/>
                                              <w:marTop w:val="0"/>
                                              <w:marBottom w:val="0"/>
                                              <w:divBdr>
                                                <w:top w:val="none" w:sz="0" w:space="0" w:color="auto"/>
                                                <w:left w:val="none" w:sz="0" w:space="0" w:color="auto"/>
                                                <w:bottom w:val="none" w:sz="0" w:space="0" w:color="auto"/>
                                                <w:right w:val="none" w:sz="0" w:space="0" w:color="auto"/>
                                              </w:divBdr>
                                            </w:div>
                                            <w:div w:id="436488844">
                                              <w:marLeft w:val="0"/>
                                              <w:marRight w:val="0"/>
                                              <w:marTop w:val="0"/>
                                              <w:marBottom w:val="0"/>
                                              <w:divBdr>
                                                <w:top w:val="none" w:sz="0" w:space="0" w:color="auto"/>
                                                <w:left w:val="none" w:sz="0" w:space="0" w:color="auto"/>
                                                <w:bottom w:val="none" w:sz="0" w:space="0" w:color="auto"/>
                                                <w:right w:val="none" w:sz="0" w:space="0" w:color="auto"/>
                                              </w:divBdr>
                                            </w:div>
                                          </w:divsChild>
                                        </w:div>
                                        <w:div w:id="723866581">
                                          <w:marLeft w:val="0"/>
                                          <w:marRight w:val="0"/>
                                          <w:marTop w:val="0"/>
                                          <w:marBottom w:val="0"/>
                                          <w:divBdr>
                                            <w:top w:val="none" w:sz="0" w:space="0" w:color="auto"/>
                                            <w:left w:val="none" w:sz="0" w:space="0" w:color="auto"/>
                                            <w:bottom w:val="none" w:sz="0" w:space="0" w:color="auto"/>
                                            <w:right w:val="none" w:sz="0" w:space="0" w:color="auto"/>
                                          </w:divBdr>
                                        </w:div>
                                        <w:div w:id="470288403">
                                          <w:marLeft w:val="0"/>
                                          <w:marRight w:val="0"/>
                                          <w:marTop w:val="0"/>
                                          <w:marBottom w:val="0"/>
                                          <w:divBdr>
                                            <w:top w:val="none" w:sz="0" w:space="0" w:color="auto"/>
                                            <w:left w:val="none" w:sz="0" w:space="0" w:color="auto"/>
                                            <w:bottom w:val="none" w:sz="0" w:space="0" w:color="auto"/>
                                            <w:right w:val="none" w:sz="0" w:space="0" w:color="auto"/>
                                          </w:divBdr>
                                        </w:div>
                                        <w:div w:id="1332640461">
                                          <w:marLeft w:val="0"/>
                                          <w:marRight w:val="0"/>
                                          <w:marTop w:val="0"/>
                                          <w:marBottom w:val="0"/>
                                          <w:divBdr>
                                            <w:top w:val="none" w:sz="0" w:space="0" w:color="auto"/>
                                            <w:left w:val="none" w:sz="0" w:space="0" w:color="auto"/>
                                            <w:bottom w:val="none" w:sz="0" w:space="0" w:color="auto"/>
                                            <w:right w:val="none" w:sz="0" w:space="0" w:color="auto"/>
                                          </w:divBdr>
                                          <w:divsChild>
                                            <w:div w:id="16648943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605211">
      <w:bodyDiv w:val="1"/>
      <w:marLeft w:val="0"/>
      <w:marRight w:val="0"/>
      <w:marTop w:val="0"/>
      <w:marBottom w:val="0"/>
      <w:divBdr>
        <w:top w:val="none" w:sz="0" w:space="0" w:color="auto"/>
        <w:left w:val="none" w:sz="0" w:space="0" w:color="auto"/>
        <w:bottom w:val="none" w:sz="0" w:space="0" w:color="auto"/>
        <w:right w:val="none" w:sz="0" w:space="0" w:color="auto"/>
      </w:divBdr>
      <w:divsChild>
        <w:div w:id="1809282896">
          <w:marLeft w:val="0"/>
          <w:marRight w:val="0"/>
          <w:marTop w:val="150"/>
          <w:marBottom w:val="0"/>
          <w:divBdr>
            <w:top w:val="none" w:sz="0" w:space="0" w:color="auto"/>
            <w:left w:val="none" w:sz="0" w:space="0" w:color="auto"/>
            <w:bottom w:val="none" w:sz="0" w:space="0" w:color="auto"/>
            <w:right w:val="none" w:sz="0" w:space="0" w:color="auto"/>
          </w:divBdr>
          <w:divsChild>
            <w:div w:id="36202973">
              <w:marLeft w:val="2"/>
              <w:marRight w:val="2"/>
              <w:marTop w:val="0"/>
              <w:marBottom w:val="0"/>
              <w:divBdr>
                <w:top w:val="none" w:sz="0" w:space="0" w:color="auto"/>
                <w:left w:val="none" w:sz="0" w:space="0" w:color="auto"/>
                <w:bottom w:val="none" w:sz="0" w:space="0" w:color="auto"/>
                <w:right w:val="none" w:sz="0" w:space="0" w:color="auto"/>
              </w:divBdr>
              <w:divsChild>
                <w:div w:id="2124613486">
                  <w:marLeft w:val="0"/>
                  <w:marRight w:val="0"/>
                  <w:marTop w:val="0"/>
                  <w:marBottom w:val="0"/>
                  <w:divBdr>
                    <w:top w:val="none" w:sz="0" w:space="0" w:color="auto"/>
                    <w:left w:val="none" w:sz="0" w:space="0" w:color="auto"/>
                    <w:bottom w:val="none" w:sz="0" w:space="0" w:color="auto"/>
                    <w:right w:val="none" w:sz="0" w:space="0" w:color="auto"/>
                  </w:divBdr>
                  <w:divsChild>
                    <w:div w:id="473527888">
                      <w:marLeft w:val="0"/>
                      <w:marRight w:val="0"/>
                      <w:marTop w:val="0"/>
                      <w:marBottom w:val="0"/>
                      <w:divBdr>
                        <w:top w:val="none" w:sz="0" w:space="0" w:color="auto"/>
                        <w:left w:val="none" w:sz="0" w:space="0" w:color="auto"/>
                        <w:bottom w:val="none" w:sz="0" w:space="0" w:color="auto"/>
                        <w:right w:val="none" w:sz="0" w:space="0" w:color="auto"/>
                      </w:divBdr>
                      <w:divsChild>
                        <w:div w:id="2033803378">
                          <w:marLeft w:val="0"/>
                          <w:marRight w:val="0"/>
                          <w:marTop w:val="0"/>
                          <w:marBottom w:val="0"/>
                          <w:divBdr>
                            <w:top w:val="none" w:sz="0" w:space="0" w:color="auto"/>
                            <w:left w:val="none" w:sz="0" w:space="0" w:color="auto"/>
                            <w:bottom w:val="none" w:sz="0" w:space="0" w:color="auto"/>
                            <w:right w:val="none" w:sz="0" w:space="0" w:color="auto"/>
                          </w:divBdr>
                          <w:divsChild>
                            <w:div w:id="173230235">
                              <w:marLeft w:val="0"/>
                              <w:marRight w:val="0"/>
                              <w:marTop w:val="0"/>
                              <w:marBottom w:val="0"/>
                              <w:divBdr>
                                <w:top w:val="none" w:sz="0" w:space="0" w:color="auto"/>
                                <w:left w:val="none" w:sz="0" w:space="0" w:color="auto"/>
                                <w:bottom w:val="none" w:sz="0" w:space="0" w:color="auto"/>
                                <w:right w:val="none" w:sz="0" w:space="0" w:color="auto"/>
                              </w:divBdr>
                              <w:divsChild>
                                <w:div w:id="1892304674">
                                  <w:marLeft w:val="0"/>
                                  <w:marRight w:val="0"/>
                                  <w:marTop w:val="0"/>
                                  <w:marBottom w:val="0"/>
                                  <w:divBdr>
                                    <w:top w:val="none" w:sz="0" w:space="0" w:color="auto"/>
                                    <w:left w:val="none" w:sz="0" w:space="0" w:color="auto"/>
                                    <w:bottom w:val="none" w:sz="0" w:space="0" w:color="auto"/>
                                    <w:right w:val="none" w:sz="0" w:space="0" w:color="auto"/>
                                  </w:divBdr>
                                  <w:divsChild>
                                    <w:div w:id="1718966264">
                                      <w:marLeft w:val="0"/>
                                      <w:marRight w:val="0"/>
                                      <w:marTop w:val="0"/>
                                      <w:marBottom w:val="0"/>
                                      <w:divBdr>
                                        <w:top w:val="none" w:sz="0" w:space="0" w:color="auto"/>
                                        <w:left w:val="none" w:sz="0" w:space="0" w:color="auto"/>
                                        <w:bottom w:val="none" w:sz="0" w:space="0" w:color="auto"/>
                                        <w:right w:val="none" w:sz="0" w:space="0" w:color="auto"/>
                                      </w:divBdr>
                                      <w:divsChild>
                                        <w:div w:id="1190873756">
                                          <w:marLeft w:val="0"/>
                                          <w:marRight w:val="0"/>
                                          <w:marTop w:val="0"/>
                                          <w:marBottom w:val="0"/>
                                          <w:divBdr>
                                            <w:top w:val="none" w:sz="0" w:space="0" w:color="auto"/>
                                            <w:left w:val="none" w:sz="0" w:space="0" w:color="auto"/>
                                            <w:bottom w:val="none" w:sz="0" w:space="0" w:color="auto"/>
                                            <w:right w:val="none" w:sz="0" w:space="0" w:color="auto"/>
                                          </w:divBdr>
                                          <w:divsChild>
                                            <w:div w:id="775827653">
                                              <w:marLeft w:val="0"/>
                                              <w:marRight w:val="0"/>
                                              <w:marTop w:val="0"/>
                                              <w:marBottom w:val="0"/>
                                              <w:divBdr>
                                                <w:top w:val="none" w:sz="0" w:space="0" w:color="auto"/>
                                                <w:left w:val="none" w:sz="0" w:space="0" w:color="auto"/>
                                                <w:bottom w:val="none" w:sz="0" w:space="0" w:color="auto"/>
                                                <w:right w:val="none" w:sz="0" w:space="0" w:color="auto"/>
                                              </w:divBdr>
                                              <w:divsChild>
                                                <w:div w:id="1822842040">
                                                  <w:marLeft w:val="0"/>
                                                  <w:marRight w:val="0"/>
                                                  <w:marTop w:val="0"/>
                                                  <w:marBottom w:val="0"/>
                                                  <w:divBdr>
                                                    <w:top w:val="none" w:sz="0" w:space="0" w:color="auto"/>
                                                    <w:left w:val="none" w:sz="0" w:space="0" w:color="auto"/>
                                                    <w:bottom w:val="none" w:sz="0" w:space="0" w:color="auto"/>
                                                    <w:right w:val="none" w:sz="0" w:space="0" w:color="auto"/>
                                                  </w:divBdr>
                                                </w:div>
                                              </w:divsChild>
                                            </w:div>
                                            <w:div w:id="1737126027">
                                              <w:marLeft w:val="0"/>
                                              <w:marRight w:val="0"/>
                                              <w:marTop w:val="0"/>
                                              <w:marBottom w:val="0"/>
                                              <w:divBdr>
                                                <w:top w:val="none" w:sz="0" w:space="0" w:color="auto"/>
                                                <w:left w:val="none" w:sz="0" w:space="0" w:color="auto"/>
                                                <w:bottom w:val="none" w:sz="0" w:space="0" w:color="auto"/>
                                                <w:right w:val="none" w:sz="0" w:space="0" w:color="auto"/>
                                              </w:divBdr>
                                              <w:divsChild>
                                                <w:div w:id="2072073738">
                                                  <w:marLeft w:val="0"/>
                                                  <w:marRight w:val="0"/>
                                                  <w:marTop w:val="0"/>
                                                  <w:marBottom w:val="0"/>
                                                  <w:divBdr>
                                                    <w:top w:val="none" w:sz="0" w:space="0" w:color="auto"/>
                                                    <w:left w:val="none" w:sz="0" w:space="0" w:color="auto"/>
                                                    <w:bottom w:val="none" w:sz="0" w:space="0" w:color="auto"/>
                                                    <w:right w:val="none" w:sz="0" w:space="0" w:color="auto"/>
                                                  </w:divBdr>
                                                </w:div>
                                              </w:divsChild>
                                            </w:div>
                                            <w:div w:id="202062538">
                                              <w:marLeft w:val="0"/>
                                              <w:marRight w:val="0"/>
                                              <w:marTop w:val="0"/>
                                              <w:marBottom w:val="0"/>
                                              <w:divBdr>
                                                <w:top w:val="none" w:sz="0" w:space="0" w:color="auto"/>
                                                <w:left w:val="none" w:sz="0" w:space="0" w:color="auto"/>
                                                <w:bottom w:val="none" w:sz="0" w:space="0" w:color="auto"/>
                                                <w:right w:val="none" w:sz="0" w:space="0" w:color="auto"/>
                                              </w:divBdr>
                                              <w:divsChild>
                                                <w:div w:id="488785572">
                                                  <w:marLeft w:val="0"/>
                                                  <w:marRight w:val="0"/>
                                                  <w:marTop w:val="0"/>
                                                  <w:marBottom w:val="0"/>
                                                  <w:divBdr>
                                                    <w:top w:val="none" w:sz="0" w:space="0" w:color="auto"/>
                                                    <w:left w:val="none" w:sz="0" w:space="0" w:color="auto"/>
                                                    <w:bottom w:val="none" w:sz="0" w:space="0" w:color="auto"/>
                                                    <w:right w:val="none" w:sz="0" w:space="0" w:color="auto"/>
                                                  </w:divBdr>
                                                </w:div>
                                              </w:divsChild>
                                            </w:div>
                                            <w:div w:id="1059129763">
                                              <w:marLeft w:val="0"/>
                                              <w:marRight w:val="0"/>
                                              <w:marTop w:val="0"/>
                                              <w:marBottom w:val="0"/>
                                              <w:divBdr>
                                                <w:top w:val="none" w:sz="0" w:space="0" w:color="auto"/>
                                                <w:left w:val="none" w:sz="0" w:space="0" w:color="auto"/>
                                                <w:bottom w:val="none" w:sz="0" w:space="0" w:color="auto"/>
                                                <w:right w:val="none" w:sz="0" w:space="0" w:color="auto"/>
                                              </w:divBdr>
                                              <w:divsChild>
                                                <w:div w:id="17434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646738">
      <w:bodyDiv w:val="1"/>
      <w:marLeft w:val="0"/>
      <w:marRight w:val="0"/>
      <w:marTop w:val="0"/>
      <w:marBottom w:val="0"/>
      <w:divBdr>
        <w:top w:val="none" w:sz="0" w:space="0" w:color="auto"/>
        <w:left w:val="none" w:sz="0" w:space="0" w:color="auto"/>
        <w:bottom w:val="none" w:sz="0" w:space="0" w:color="auto"/>
        <w:right w:val="none" w:sz="0" w:space="0" w:color="auto"/>
      </w:divBdr>
      <w:divsChild>
        <w:div w:id="1907957822">
          <w:marLeft w:val="0"/>
          <w:marRight w:val="0"/>
          <w:marTop w:val="0"/>
          <w:marBottom w:val="0"/>
          <w:divBdr>
            <w:top w:val="none" w:sz="0" w:space="0" w:color="auto"/>
            <w:left w:val="none" w:sz="0" w:space="0" w:color="auto"/>
            <w:bottom w:val="none" w:sz="0" w:space="0" w:color="auto"/>
            <w:right w:val="none" w:sz="0" w:space="0" w:color="auto"/>
          </w:divBdr>
          <w:divsChild>
            <w:div w:id="661587010">
              <w:marLeft w:val="175"/>
              <w:marRight w:val="0"/>
              <w:marTop w:val="0"/>
              <w:marBottom w:val="0"/>
              <w:divBdr>
                <w:top w:val="none" w:sz="0" w:space="0" w:color="auto"/>
                <w:left w:val="none" w:sz="0" w:space="0" w:color="auto"/>
                <w:bottom w:val="none" w:sz="0" w:space="0" w:color="auto"/>
                <w:right w:val="none" w:sz="0" w:space="0" w:color="auto"/>
              </w:divBdr>
              <w:divsChild>
                <w:div w:id="18862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14592">
      <w:bodyDiv w:val="1"/>
      <w:marLeft w:val="0"/>
      <w:marRight w:val="0"/>
      <w:marTop w:val="0"/>
      <w:marBottom w:val="0"/>
      <w:divBdr>
        <w:top w:val="none" w:sz="0" w:space="0" w:color="auto"/>
        <w:left w:val="none" w:sz="0" w:space="0" w:color="auto"/>
        <w:bottom w:val="none" w:sz="0" w:space="0" w:color="auto"/>
        <w:right w:val="none" w:sz="0" w:space="0" w:color="auto"/>
      </w:divBdr>
      <w:divsChild>
        <w:div w:id="2134712121">
          <w:marLeft w:val="0"/>
          <w:marRight w:val="0"/>
          <w:marTop w:val="0"/>
          <w:marBottom w:val="0"/>
          <w:divBdr>
            <w:top w:val="none" w:sz="0" w:space="0" w:color="auto"/>
            <w:left w:val="none" w:sz="0" w:space="0" w:color="auto"/>
            <w:bottom w:val="none" w:sz="0" w:space="0" w:color="auto"/>
            <w:right w:val="none" w:sz="0" w:space="0" w:color="auto"/>
          </w:divBdr>
        </w:div>
      </w:divsChild>
    </w:div>
    <w:div w:id="1928418682">
      <w:bodyDiv w:val="1"/>
      <w:marLeft w:val="0"/>
      <w:marRight w:val="0"/>
      <w:marTop w:val="0"/>
      <w:marBottom w:val="0"/>
      <w:divBdr>
        <w:top w:val="none" w:sz="0" w:space="0" w:color="auto"/>
        <w:left w:val="none" w:sz="0" w:space="0" w:color="auto"/>
        <w:bottom w:val="none" w:sz="0" w:space="0" w:color="auto"/>
        <w:right w:val="none" w:sz="0" w:space="0" w:color="auto"/>
      </w:divBdr>
      <w:divsChild>
        <w:div w:id="669675147">
          <w:marLeft w:val="0"/>
          <w:marRight w:val="0"/>
          <w:marTop w:val="0"/>
          <w:marBottom w:val="0"/>
          <w:divBdr>
            <w:top w:val="none" w:sz="0" w:space="0" w:color="auto"/>
            <w:left w:val="none" w:sz="0" w:space="0" w:color="auto"/>
            <w:bottom w:val="none" w:sz="0" w:space="0" w:color="auto"/>
            <w:right w:val="none" w:sz="0" w:space="0" w:color="auto"/>
          </w:divBdr>
          <w:divsChild>
            <w:div w:id="584613751">
              <w:marLeft w:val="0"/>
              <w:marRight w:val="0"/>
              <w:marTop w:val="0"/>
              <w:marBottom w:val="0"/>
              <w:divBdr>
                <w:top w:val="none" w:sz="0" w:space="0" w:color="auto"/>
                <w:left w:val="none" w:sz="0" w:space="0" w:color="auto"/>
                <w:bottom w:val="none" w:sz="0" w:space="0" w:color="auto"/>
                <w:right w:val="none" w:sz="0" w:space="0" w:color="auto"/>
              </w:divBdr>
              <w:divsChild>
                <w:div w:id="2087412800">
                  <w:marLeft w:val="0"/>
                  <w:marRight w:val="0"/>
                  <w:marTop w:val="0"/>
                  <w:marBottom w:val="0"/>
                  <w:divBdr>
                    <w:top w:val="none" w:sz="0" w:space="0" w:color="auto"/>
                    <w:left w:val="none" w:sz="0" w:space="0" w:color="auto"/>
                    <w:bottom w:val="none" w:sz="0" w:space="0" w:color="auto"/>
                    <w:right w:val="none" w:sz="0" w:space="0" w:color="auto"/>
                  </w:divBdr>
                  <w:divsChild>
                    <w:div w:id="500386821">
                      <w:marLeft w:val="0"/>
                      <w:marRight w:val="0"/>
                      <w:marTop w:val="0"/>
                      <w:marBottom w:val="0"/>
                      <w:divBdr>
                        <w:top w:val="none" w:sz="0" w:space="0" w:color="auto"/>
                        <w:left w:val="none" w:sz="0" w:space="0" w:color="auto"/>
                        <w:bottom w:val="none" w:sz="0" w:space="0" w:color="auto"/>
                        <w:right w:val="none" w:sz="0" w:space="0" w:color="auto"/>
                      </w:divBdr>
                      <w:divsChild>
                        <w:div w:id="525366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29541084">
      <w:bodyDiv w:val="1"/>
      <w:marLeft w:val="0"/>
      <w:marRight w:val="0"/>
      <w:marTop w:val="0"/>
      <w:marBottom w:val="0"/>
      <w:divBdr>
        <w:top w:val="none" w:sz="0" w:space="0" w:color="auto"/>
        <w:left w:val="none" w:sz="0" w:space="0" w:color="auto"/>
        <w:bottom w:val="none" w:sz="0" w:space="0" w:color="auto"/>
        <w:right w:val="none" w:sz="0" w:space="0" w:color="auto"/>
      </w:divBdr>
    </w:div>
    <w:div w:id="1929846215">
      <w:bodyDiv w:val="1"/>
      <w:marLeft w:val="0"/>
      <w:marRight w:val="0"/>
      <w:marTop w:val="0"/>
      <w:marBottom w:val="0"/>
      <w:divBdr>
        <w:top w:val="none" w:sz="0" w:space="0" w:color="auto"/>
        <w:left w:val="none" w:sz="0" w:space="0" w:color="auto"/>
        <w:bottom w:val="none" w:sz="0" w:space="0" w:color="auto"/>
        <w:right w:val="none" w:sz="0" w:space="0" w:color="auto"/>
      </w:divBdr>
      <w:divsChild>
        <w:div w:id="378676650">
          <w:marLeft w:val="0"/>
          <w:marRight w:val="0"/>
          <w:marTop w:val="0"/>
          <w:marBottom w:val="0"/>
          <w:divBdr>
            <w:top w:val="none" w:sz="0" w:space="0" w:color="auto"/>
            <w:left w:val="none" w:sz="0" w:space="0" w:color="auto"/>
            <w:bottom w:val="none" w:sz="0" w:space="0" w:color="auto"/>
            <w:right w:val="none" w:sz="0" w:space="0" w:color="auto"/>
          </w:divBdr>
          <w:divsChild>
            <w:div w:id="1089084138">
              <w:marLeft w:val="175"/>
              <w:marRight w:val="0"/>
              <w:marTop w:val="0"/>
              <w:marBottom w:val="0"/>
              <w:divBdr>
                <w:top w:val="none" w:sz="0" w:space="0" w:color="auto"/>
                <w:left w:val="none" w:sz="0" w:space="0" w:color="auto"/>
                <w:bottom w:val="none" w:sz="0" w:space="0" w:color="auto"/>
                <w:right w:val="none" w:sz="0" w:space="0" w:color="auto"/>
              </w:divBdr>
              <w:divsChild>
                <w:div w:id="20697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4662">
      <w:bodyDiv w:val="1"/>
      <w:marLeft w:val="0"/>
      <w:marRight w:val="0"/>
      <w:marTop w:val="0"/>
      <w:marBottom w:val="0"/>
      <w:divBdr>
        <w:top w:val="none" w:sz="0" w:space="0" w:color="auto"/>
        <w:left w:val="none" w:sz="0" w:space="0" w:color="auto"/>
        <w:bottom w:val="none" w:sz="0" w:space="0" w:color="auto"/>
        <w:right w:val="none" w:sz="0" w:space="0" w:color="auto"/>
      </w:divBdr>
      <w:divsChild>
        <w:div w:id="122433770">
          <w:marLeft w:val="0"/>
          <w:marRight w:val="0"/>
          <w:marTop w:val="0"/>
          <w:marBottom w:val="0"/>
          <w:divBdr>
            <w:top w:val="none" w:sz="0" w:space="0" w:color="auto"/>
            <w:left w:val="none" w:sz="0" w:space="0" w:color="auto"/>
            <w:bottom w:val="none" w:sz="0" w:space="0" w:color="auto"/>
            <w:right w:val="none" w:sz="0" w:space="0" w:color="auto"/>
          </w:divBdr>
          <w:divsChild>
            <w:div w:id="158350150">
              <w:marLeft w:val="0"/>
              <w:marRight w:val="0"/>
              <w:marTop w:val="0"/>
              <w:marBottom w:val="0"/>
              <w:divBdr>
                <w:top w:val="none" w:sz="0" w:space="0" w:color="auto"/>
                <w:left w:val="none" w:sz="0" w:space="0" w:color="auto"/>
                <w:bottom w:val="none" w:sz="0" w:space="0" w:color="auto"/>
                <w:right w:val="none" w:sz="0" w:space="0" w:color="auto"/>
              </w:divBdr>
              <w:divsChild>
                <w:div w:id="1144158887">
                  <w:marLeft w:val="0"/>
                  <w:marRight w:val="0"/>
                  <w:marTop w:val="0"/>
                  <w:marBottom w:val="0"/>
                  <w:divBdr>
                    <w:top w:val="none" w:sz="0" w:space="0" w:color="auto"/>
                    <w:left w:val="none" w:sz="0" w:space="0" w:color="auto"/>
                    <w:bottom w:val="none" w:sz="0" w:space="0" w:color="auto"/>
                    <w:right w:val="none" w:sz="0" w:space="0" w:color="auto"/>
                  </w:divBdr>
                  <w:divsChild>
                    <w:div w:id="612979693">
                      <w:marLeft w:val="0"/>
                      <w:marRight w:val="0"/>
                      <w:marTop w:val="0"/>
                      <w:marBottom w:val="0"/>
                      <w:divBdr>
                        <w:top w:val="none" w:sz="0" w:space="0" w:color="auto"/>
                        <w:left w:val="none" w:sz="0" w:space="0" w:color="auto"/>
                        <w:bottom w:val="none" w:sz="0" w:space="0" w:color="auto"/>
                        <w:right w:val="none" w:sz="0" w:space="0" w:color="auto"/>
                      </w:divBdr>
                      <w:divsChild>
                        <w:div w:id="2116249054">
                          <w:marLeft w:val="0"/>
                          <w:marRight w:val="0"/>
                          <w:marTop w:val="0"/>
                          <w:marBottom w:val="0"/>
                          <w:divBdr>
                            <w:top w:val="none" w:sz="0" w:space="0" w:color="auto"/>
                            <w:left w:val="none" w:sz="0" w:space="0" w:color="auto"/>
                            <w:bottom w:val="none" w:sz="0" w:space="0" w:color="auto"/>
                            <w:right w:val="none" w:sz="0" w:space="0" w:color="auto"/>
                          </w:divBdr>
                          <w:divsChild>
                            <w:div w:id="2093315020">
                              <w:marLeft w:val="0"/>
                              <w:marRight w:val="0"/>
                              <w:marTop w:val="0"/>
                              <w:marBottom w:val="0"/>
                              <w:divBdr>
                                <w:top w:val="single" w:sz="6" w:space="0" w:color="auto"/>
                                <w:left w:val="single" w:sz="6" w:space="0" w:color="auto"/>
                                <w:bottom w:val="single" w:sz="6" w:space="0" w:color="auto"/>
                                <w:right w:val="single" w:sz="6" w:space="0" w:color="auto"/>
                              </w:divBdr>
                              <w:divsChild>
                                <w:div w:id="443766106">
                                  <w:marLeft w:val="0"/>
                                  <w:marRight w:val="0"/>
                                  <w:marTop w:val="0"/>
                                  <w:marBottom w:val="0"/>
                                  <w:divBdr>
                                    <w:top w:val="none" w:sz="0" w:space="0" w:color="auto"/>
                                    <w:left w:val="none" w:sz="0" w:space="0" w:color="auto"/>
                                    <w:bottom w:val="none" w:sz="0" w:space="0" w:color="auto"/>
                                    <w:right w:val="none" w:sz="0" w:space="0" w:color="auto"/>
                                  </w:divBdr>
                                  <w:divsChild>
                                    <w:div w:id="511771405">
                                      <w:marLeft w:val="0"/>
                                      <w:marRight w:val="0"/>
                                      <w:marTop w:val="0"/>
                                      <w:marBottom w:val="0"/>
                                      <w:divBdr>
                                        <w:top w:val="none" w:sz="0" w:space="0" w:color="auto"/>
                                        <w:left w:val="none" w:sz="0" w:space="0" w:color="auto"/>
                                        <w:bottom w:val="none" w:sz="0" w:space="0" w:color="auto"/>
                                        <w:right w:val="none" w:sz="0" w:space="0" w:color="auto"/>
                                      </w:divBdr>
                                      <w:divsChild>
                                        <w:div w:id="284581939">
                                          <w:marLeft w:val="0"/>
                                          <w:marRight w:val="0"/>
                                          <w:marTop w:val="0"/>
                                          <w:marBottom w:val="0"/>
                                          <w:divBdr>
                                            <w:top w:val="none" w:sz="0" w:space="0" w:color="auto"/>
                                            <w:left w:val="none" w:sz="0" w:space="0" w:color="auto"/>
                                            <w:bottom w:val="none" w:sz="0" w:space="0" w:color="auto"/>
                                            <w:right w:val="none" w:sz="0" w:space="0" w:color="auto"/>
                                          </w:divBdr>
                                          <w:divsChild>
                                            <w:div w:id="1699500041">
                                              <w:marLeft w:val="0"/>
                                              <w:marRight w:val="0"/>
                                              <w:marTop w:val="0"/>
                                              <w:marBottom w:val="0"/>
                                              <w:divBdr>
                                                <w:top w:val="single" w:sz="6" w:space="0" w:color="E3E3E3"/>
                                                <w:left w:val="none" w:sz="0" w:space="0" w:color="auto"/>
                                                <w:bottom w:val="none" w:sz="0" w:space="0" w:color="auto"/>
                                                <w:right w:val="none" w:sz="0" w:space="0" w:color="auto"/>
                                              </w:divBdr>
                                              <w:divsChild>
                                                <w:div w:id="8230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930460">
          <w:marLeft w:val="0"/>
          <w:marRight w:val="0"/>
          <w:marTop w:val="0"/>
          <w:marBottom w:val="0"/>
          <w:divBdr>
            <w:top w:val="none" w:sz="0" w:space="0" w:color="auto"/>
            <w:left w:val="none" w:sz="0" w:space="0" w:color="auto"/>
            <w:bottom w:val="none" w:sz="0" w:space="0" w:color="auto"/>
            <w:right w:val="none" w:sz="0" w:space="0" w:color="auto"/>
          </w:divBdr>
          <w:divsChild>
            <w:div w:id="375857107">
              <w:marLeft w:val="0"/>
              <w:marRight w:val="0"/>
              <w:marTop w:val="0"/>
              <w:marBottom w:val="0"/>
              <w:divBdr>
                <w:top w:val="none" w:sz="0" w:space="0" w:color="auto"/>
                <w:left w:val="none" w:sz="0" w:space="0" w:color="auto"/>
                <w:bottom w:val="none" w:sz="0" w:space="0" w:color="auto"/>
                <w:right w:val="none" w:sz="0" w:space="0" w:color="auto"/>
              </w:divBdr>
              <w:divsChild>
                <w:div w:id="875973805">
                  <w:marLeft w:val="0"/>
                  <w:marRight w:val="0"/>
                  <w:marTop w:val="0"/>
                  <w:marBottom w:val="0"/>
                  <w:divBdr>
                    <w:top w:val="none" w:sz="0" w:space="0" w:color="auto"/>
                    <w:left w:val="none" w:sz="0" w:space="0" w:color="auto"/>
                    <w:bottom w:val="none" w:sz="0" w:space="0" w:color="auto"/>
                    <w:right w:val="none" w:sz="0" w:space="0" w:color="auto"/>
                  </w:divBdr>
                  <w:divsChild>
                    <w:div w:id="1954509426">
                      <w:marLeft w:val="0"/>
                      <w:marRight w:val="0"/>
                      <w:marTop w:val="0"/>
                      <w:marBottom w:val="0"/>
                      <w:divBdr>
                        <w:top w:val="none" w:sz="0" w:space="0" w:color="auto"/>
                        <w:left w:val="none" w:sz="0" w:space="0" w:color="auto"/>
                        <w:bottom w:val="none" w:sz="0" w:space="0" w:color="auto"/>
                        <w:right w:val="none" w:sz="0" w:space="0" w:color="auto"/>
                      </w:divBdr>
                      <w:divsChild>
                        <w:div w:id="1980499107">
                          <w:marLeft w:val="0"/>
                          <w:marRight w:val="0"/>
                          <w:marTop w:val="0"/>
                          <w:marBottom w:val="0"/>
                          <w:divBdr>
                            <w:top w:val="none" w:sz="0" w:space="0" w:color="auto"/>
                            <w:left w:val="none" w:sz="0" w:space="0" w:color="auto"/>
                            <w:bottom w:val="none" w:sz="0" w:space="0" w:color="auto"/>
                            <w:right w:val="none" w:sz="0" w:space="0" w:color="auto"/>
                          </w:divBdr>
                          <w:divsChild>
                            <w:div w:id="1590235457">
                              <w:marLeft w:val="0"/>
                              <w:marRight w:val="0"/>
                              <w:marTop w:val="0"/>
                              <w:marBottom w:val="0"/>
                              <w:divBdr>
                                <w:top w:val="single" w:sz="6" w:space="0" w:color="auto"/>
                                <w:left w:val="single" w:sz="6" w:space="0" w:color="auto"/>
                                <w:bottom w:val="single" w:sz="6" w:space="0" w:color="auto"/>
                                <w:right w:val="single" w:sz="6" w:space="0" w:color="auto"/>
                              </w:divBdr>
                              <w:divsChild>
                                <w:div w:id="421069440">
                                  <w:marLeft w:val="0"/>
                                  <w:marRight w:val="0"/>
                                  <w:marTop w:val="0"/>
                                  <w:marBottom w:val="0"/>
                                  <w:divBdr>
                                    <w:top w:val="none" w:sz="0" w:space="0" w:color="auto"/>
                                    <w:left w:val="none" w:sz="0" w:space="0" w:color="auto"/>
                                    <w:bottom w:val="none" w:sz="0" w:space="0" w:color="auto"/>
                                    <w:right w:val="none" w:sz="0" w:space="0" w:color="auto"/>
                                  </w:divBdr>
                                  <w:divsChild>
                                    <w:div w:id="1686134444">
                                      <w:marLeft w:val="0"/>
                                      <w:marRight w:val="0"/>
                                      <w:marTop w:val="0"/>
                                      <w:marBottom w:val="0"/>
                                      <w:divBdr>
                                        <w:top w:val="none" w:sz="0" w:space="0" w:color="auto"/>
                                        <w:left w:val="none" w:sz="0" w:space="0" w:color="auto"/>
                                        <w:bottom w:val="none" w:sz="0" w:space="0" w:color="auto"/>
                                        <w:right w:val="none" w:sz="0" w:space="0" w:color="auto"/>
                                      </w:divBdr>
                                      <w:divsChild>
                                        <w:div w:id="1236743131">
                                          <w:marLeft w:val="0"/>
                                          <w:marRight w:val="0"/>
                                          <w:marTop w:val="0"/>
                                          <w:marBottom w:val="0"/>
                                          <w:divBdr>
                                            <w:top w:val="none" w:sz="0" w:space="0" w:color="auto"/>
                                            <w:left w:val="none" w:sz="0" w:space="0" w:color="auto"/>
                                            <w:bottom w:val="none" w:sz="0" w:space="0" w:color="auto"/>
                                            <w:right w:val="none" w:sz="0" w:space="0" w:color="auto"/>
                                          </w:divBdr>
                                          <w:divsChild>
                                            <w:div w:id="292252421">
                                              <w:marLeft w:val="0"/>
                                              <w:marRight w:val="0"/>
                                              <w:marTop w:val="0"/>
                                              <w:marBottom w:val="300"/>
                                              <w:divBdr>
                                                <w:top w:val="none" w:sz="0" w:space="0" w:color="auto"/>
                                                <w:left w:val="none" w:sz="0" w:space="0" w:color="auto"/>
                                                <w:bottom w:val="none" w:sz="0" w:space="0" w:color="auto"/>
                                                <w:right w:val="none" w:sz="0" w:space="0" w:color="auto"/>
                                              </w:divBdr>
                                              <w:divsChild>
                                                <w:div w:id="1313414846">
                                                  <w:marLeft w:val="0"/>
                                                  <w:marRight w:val="0"/>
                                                  <w:marTop w:val="0"/>
                                                  <w:marBottom w:val="0"/>
                                                  <w:divBdr>
                                                    <w:top w:val="none" w:sz="0" w:space="0" w:color="auto"/>
                                                    <w:left w:val="none" w:sz="0" w:space="0" w:color="auto"/>
                                                    <w:bottom w:val="none" w:sz="0" w:space="0" w:color="auto"/>
                                                    <w:right w:val="none" w:sz="0" w:space="0" w:color="auto"/>
                                                  </w:divBdr>
                                                  <w:divsChild>
                                                    <w:div w:id="1327319881">
                                                      <w:marLeft w:val="0"/>
                                                      <w:marRight w:val="0"/>
                                                      <w:marTop w:val="0"/>
                                                      <w:marBottom w:val="0"/>
                                                      <w:divBdr>
                                                        <w:top w:val="none" w:sz="0" w:space="0" w:color="auto"/>
                                                        <w:left w:val="none" w:sz="0" w:space="0" w:color="auto"/>
                                                        <w:bottom w:val="none" w:sz="0" w:space="0" w:color="auto"/>
                                                        <w:right w:val="none" w:sz="0" w:space="0" w:color="auto"/>
                                                      </w:divBdr>
                                                      <w:divsChild>
                                                        <w:div w:id="1799302980">
                                                          <w:marLeft w:val="0"/>
                                                          <w:marRight w:val="0"/>
                                                          <w:marTop w:val="0"/>
                                                          <w:marBottom w:val="0"/>
                                                          <w:divBdr>
                                                            <w:top w:val="none" w:sz="0" w:space="0" w:color="auto"/>
                                                            <w:left w:val="none" w:sz="0" w:space="0" w:color="auto"/>
                                                            <w:bottom w:val="none" w:sz="0" w:space="0" w:color="auto"/>
                                                            <w:right w:val="none" w:sz="0" w:space="0" w:color="auto"/>
                                                          </w:divBdr>
                                                          <w:divsChild>
                                                            <w:div w:id="868446012">
                                                              <w:marLeft w:val="0"/>
                                                              <w:marRight w:val="0"/>
                                                              <w:marTop w:val="0"/>
                                                              <w:marBottom w:val="0"/>
                                                              <w:divBdr>
                                                                <w:top w:val="none" w:sz="0" w:space="0" w:color="auto"/>
                                                                <w:left w:val="none" w:sz="0" w:space="0" w:color="auto"/>
                                                                <w:bottom w:val="none" w:sz="0" w:space="0" w:color="auto"/>
                                                                <w:right w:val="none" w:sz="0" w:space="0" w:color="auto"/>
                                                              </w:divBdr>
                                                              <w:divsChild>
                                                                <w:div w:id="586614706">
                                                                  <w:marLeft w:val="0"/>
                                                                  <w:marRight w:val="0"/>
                                                                  <w:marTop w:val="0"/>
                                                                  <w:marBottom w:val="0"/>
                                                                  <w:divBdr>
                                                                    <w:top w:val="none" w:sz="0" w:space="0" w:color="auto"/>
                                                                    <w:left w:val="none" w:sz="0" w:space="0" w:color="auto"/>
                                                                    <w:bottom w:val="none" w:sz="0" w:space="0" w:color="auto"/>
                                                                    <w:right w:val="none" w:sz="0" w:space="0" w:color="auto"/>
                                                                  </w:divBdr>
                                                                  <w:divsChild>
                                                                    <w:div w:id="10738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20878">
                                                  <w:marLeft w:val="0"/>
                                                  <w:marRight w:val="0"/>
                                                  <w:marTop w:val="0"/>
                                                  <w:marBottom w:val="0"/>
                                                  <w:divBdr>
                                                    <w:top w:val="none" w:sz="0" w:space="0" w:color="auto"/>
                                                    <w:left w:val="none" w:sz="0" w:space="0" w:color="auto"/>
                                                    <w:bottom w:val="none" w:sz="0" w:space="0" w:color="auto"/>
                                                    <w:right w:val="none" w:sz="0" w:space="0" w:color="auto"/>
                                                  </w:divBdr>
                                                  <w:divsChild>
                                                    <w:div w:id="855002564">
                                                      <w:marLeft w:val="0"/>
                                                      <w:marRight w:val="-225"/>
                                                      <w:marTop w:val="0"/>
                                                      <w:marBottom w:val="0"/>
                                                      <w:divBdr>
                                                        <w:top w:val="none" w:sz="0" w:space="0" w:color="auto"/>
                                                        <w:left w:val="none" w:sz="0" w:space="0" w:color="auto"/>
                                                        <w:bottom w:val="none" w:sz="0" w:space="0" w:color="auto"/>
                                                        <w:right w:val="none" w:sz="0" w:space="0" w:color="auto"/>
                                                      </w:divBdr>
                                                      <w:divsChild>
                                                        <w:div w:id="438068412">
                                                          <w:marLeft w:val="0"/>
                                                          <w:marRight w:val="0"/>
                                                          <w:marTop w:val="0"/>
                                                          <w:marBottom w:val="0"/>
                                                          <w:divBdr>
                                                            <w:top w:val="none" w:sz="0" w:space="0" w:color="auto"/>
                                                            <w:left w:val="none" w:sz="0" w:space="0" w:color="auto"/>
                                                            <w:bottom w:val="none" w:sz="0" w:space="0" w:color="auto"/>
                                                            <w:right w:val="none" w:sz="0" w:space="0" w:color="auto"/>
                                                          </w:divBdr>
                                                          <w:divsChild>
                                                            <w:div w:id="1488203813">
                                                              <w:marLeft w:val="0"/>
                                                              <w:marRight w:val="150"/>
                                                              <w:marTop w:val="0"/>
                                                              <w:marBottom w:val="75"/>
                                                              <w:divBdr>
                                                                <w:top w:val="none" w:sz="0" w:space="0" w:color="auto"/>
                                                                <w:left w:val="none" w:sz="0" w:space="0" w:color="auto"/>
                                                                <w:bottom w:val="none" w:sz="0" w:space="0" w:color="auto"/>
                                                                <w:right w:val="none" w:sz="0" w:space="0" w:color="auto"/>
                                                              </w:divBdr>
                                                              <w:divsChild>
                                                                <w:div w:id="16870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1664">
                                                          <w:marLeft w:val="0"/>
                                                          <w:marRight w:val="0"/>
                                                          <w:marTop w:val="0"/>
                                                          <w:marBottom w:val="0"/>
                                                          <w:divBdr>
                                                            <w:top w:val="none" w:sz="0" w:space="0" w:color="auto"/>
                                                            <w:left w:val="none" w:sz="0" w:space="0" w:color="auto"/>
                                                            <w:bottom w:val="none" w:sz="0" w:space="0" w:color="auto"/>
                                                            <w:right w:val="none" w:sz="0" w:space="0" w:color="auto"/>
                                                          </w:divBdr>
                                                          <w:divsChild>
                                                            <w:div w:id="396710742">
                                                              <w:marLeft w:val="0"/>
                                                              <w:marRight w:val="0"/>
                                                              <w:marTop w:val="0"/>
                                                              <w:marBottom w:val="0"/>
                                                              <w:divBdr>
                                                                <w:top w:val="none" w:sz="0" w:space="0" w:color="auto"/>
                                                                <w:left w:val="none" w:sz="0" w:space="0" w:color="auto"/>
                                                                <w:bottom w:val="none" w:sz="0" w:space="0" w:color="auto"/>
                                                                <w:right w:val="none" w:sz="0" w:space="0" w:color="auto"/>
                                                              </w:divBdr>
                                                            </w:div>
                                                            <w:div w:id="2011254250">
                                                              <w:marLeft w:val="0"/>
                                                              <w:marRight w:val="0"/>
                                                              <w:marTop w:val="0"/>
                                                              <w:marBottom w:val="0"/>
                                                              <w:divBdr>
                                                                <w:top w:val="none" w:sz="0" w:space="0" w:color="auto"/>
                                                                <w:left w:val="none" w:sz="0" w:space="0" w:color="auto"/>
                                                                <w:bottom w:val="none" w:sz="0" w:space="0" w:color="auto"/>
                                                                <w:right w:val="none" w:sz="0" w:space="0" w:color="auto"/>
                                                              </w:divBdr>
                                                              <w:divsChild>
                                                                <w:div w:id="7969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1767809">
      <w:bodyDiv w:val="1"/>
      <w:marLeft w:val="0"/>
      <w:marRight w:val="0"/>
      <w:marTop w:val="0"/>
      <w:marBottom w:val="0"/>
      <w:divBdr>
        <w:top w:val="none" w:sz="0" w:space="0" w:color="auto"/>
        <w:left w:val="none" w:sz="0" w:space="0" w:color="auto"/>
        <w:bottom w:val="none" w:sz="0" w:space="0" w:color="auto"/>
        <w:right w:val="none" w:sz="0" w:space="0" w:color="auto"/>
      </w:divBdr>
      <w:divsChild>
        <w:div w:id="669260017">
          <w:marLeft w:val="0"/>
          <w:marRight w:val="0"/>
          <w:marTop w:val="0"/>
          <w:marBottom w:val="0"/>
          <w:divBdr>
            <w:top w:val="none" w:sz="0" w:space="0" w:color="auto"/>
            <w:left w:val="none" w:sz="0" w:space="0" w:color="auto"/>
            <w:bottom w:val="none" w:sz="0" w:space="0" w:color="auto"/>
            <w:right w:val="none" w:sz="0" w:space="0" w:color="auto"/>
          </w:divBdr>
          <w:divsChild>
            <w:div w:id="11615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1129">
      <w:bodyDiv w:val="1"/>
      <w:marLeft w:val="0"/>
      <w:marRight w:val="0"/>
      <w:marTop w:val="0"/>
      <w:marBottom w:val="0"/>
      <w:divBdr>
        <w:top w:val="none" w:sz="0" w:space="0" w:color="auto"/>
        <w:left w:val="none" w:sz="0" w:space="0" w:color="auto"/>
        <w:bottom w:val="none" w:sz="0" w:space="0" w:color="auto"/>
        <w:right w:val="none" w:sz="0" w:space="0" w:color="auto"/>
      </w:divBdr>
      <w:divsChild>
        <w:div w:id="1430462706">
          <w:marLeft w:val="0"/>
          <w:marRight w:val="0"/>
          <w:marTop w:val="0"/>
          <w:marBottom w:val="0"/>
          <w:divBdr>
            <w:top w:val="none" w:sz="0" w:space="0" w:color="auto"/>
            <w:left w:val="none" w:sz="0" w:space="0" w:color="auto"/>
            <w:bottom w:val="none" w:sz="0" w:space="0" w:color="auto"/>
            <w:right w:val="none" w:sz="0" w:space="0" w:color="auto"/>
          </w:divBdr>
        </w:div>
      </w:divsChild>
    </w:div>
    <w:div w:id="1932814461">
      <w:bodyDiv w:val="1"/>
      <w:marLeft w:val="0"/>
      <w:marRight w:val="0"/>
      <w:marTop w:val="0"/>
      <w:marBottom w:val="0"/>
      <w:divBdr>
        <w:top w:val="none" w:sz="0" w:space="0" w:color="auto"/>
        <w:left w:val="none" w:sz="0" w:space="0" w:color="auto"/>
        <w:bottom w:val="none" w:sz="0" w:space="0" w:color="auto"/>
        <w:right w:val="none" w:sz="0" w:space="0" w:color="auto"/>
      </w:divBdr>
      <w:divsChild>
        <w:div w:id="1027826184">
          <w:marLeft w:val="0"/>
          <w:marRight w:val="0"/>
          <w:marTop w:val="0"/>
          <w:marBottom w:val="0"/>
          <w:divBdr>
            <w:top w:val="none" w:sz="0" w:space="0" w:color="auto"/>
            <w:left w:val="none" w:sz="0" w:space="0" w:color="auto"/>
            <w:bottom w:val="none" w:sz="0" w:space="0" w:color="auto"/>
            <w:right w:val="none" w:sz="0" w:space="0" w:color="auto"/>
          </w:divBdr>
          <w:divsChild>
            <w:div w:id="1339888116">
              <w:marLeft w:val="0"/>
              <w:marRight w:val="0"/>
              <w:marTop w:val="0"/>
              <w:marBottom w:val="0"/>
              <w:divBdr>
                <w:top w:val="none" w:sz="0" w:space="0" w:color="auto"/>
                <w:left w:val="none" w:sz="0" w:space="0" w:color="auto"/>
                <w:bottom w:val="none" w:sz="0" w:space="0" w:color="auto"/>
                <w:right w:val="none" w:sz="0" w:space="0" w:color="auto"/>
              </w:divBdr>
              <w:divsChild>
                <w:div w:id="1080103656">
                  <w:marLeft w:val="0"/>
                  <w:marRight w:val="0"/>
                  <w:marTop w:val="0"/>
                  <w:marBottom w:val="0"/>
                  <w:divBdr>
                    <w:top w:val="none" w:sz="0" w:space="0" w:color="auto"/>
                    <w:left w:val="none" w:sz="0" w:space="0" w:color="auto"/>
                    <w:bottom w:val="none" w:sz="0" w:space="0" w:color="auto"/>
                    <w:right w:val="none" w:sz="0" w:space="0" w:color="auto"/>
                  </w:divBdr>
                  <w:divsChild>
                    <w:div w:id="1975939565">
                      <w:marLeft w:val="0"/>
                      <w:marRight w:val="0"/>
                      <w:marTop w:val="0"/>
                      <w:marBottom w:val="0"/>
                      <w:divBdr>
                        <w:top w:val="none" w:sz="0" w:space="0" w:color="auto"/>
                        <w:left w:val="none" w:sz="0" w:space="0" w:color="auto"/>
                        <w:bottom w:val="none" w:sz="0" w:space="0" w:color="auto"/>
                        <w:right w:val="none" w:sz="0" w:space="0" w:color="auto"/>
                      </w:divBdr>
                      <w:divsChild>
                        <w:div w:id="1030573291">
                          <w:marLeft w:val="0"/>
                          <w:marRight w:val="0"/>
                          <w:marTop w:val="0"/>
                          <w:marBottom w:val="0"/>
                          <w:divBdr>
                            <w:top w:val="none" w:sz="0" w:space="0" w:color="auto"/>
                            <w:left w:val="none" w:sz="0" w:space="0" w:color="auto"/>
                            <w:bottom w:val="none" w:sz="0" w:space="0" w:color="auto"/>
                            <w:right w:val="none" w:sz="0" w:space="0" w:color="auto"/>
                          </w:divBdr>
                          <w:divsChild>
                            <w:div w:id="1692220759">
                              <w:marLeft w:val="0"/>
                              <w:marRight w:val="0"/>
                              <w:marTop w:val="0"/>
                              <w:marBottom w:val="0"/>
                              <w:divBdr>
                                <w:top w:val="none" w:sz="0" w:space="0" w:color="auto"/>
                                <w:left w:val="none" w:sz="0" w:space="0" w:color="auto"/>
                                <w:bottom w:val="none" w:sz="0" w:space="0" w:color="auto"/>
                                <w:right w:val="none" w:sz="0" w:space="0" w:color="auto"/>
                              </w:divBdr>
                              <w:divsChild>
                                <w:div w:id="1384449541">
                                  <w:marLeft w:val="0"/>
                                  <w:marRight w:val="0"/>
                                  <w:marTop w:val="0"/>
                                  <w:marBottom w:val="0"/>
                                  <w:divBdr>
                                    <w:top w:val="none" w:sz="0" w:space="0" w:color="auto"/>
                                    <w:left w:val="none" w:sz="0" w:space="0" w:color="auto"/>
                                    <w:bottom w:val="none" w:sz="0" w:space="0" w:color="auto"/>
                                    <w:right w:val="none" w:sz="0" w:space="0" w:color="auto"/>
                                  </w:divBdr>
                                  <w:divsChild>
                                    <w:div w:id="987326500">
                                      <w:marLeft w:val="0"/>
                                      <w:marRight w:val="0"/>
                                      <w:marTop w:val="0"/>
                                      <w:marBottom w:val="0"/>
                                      <w:divBdr>
                                        <w:top w:val="none" w:sz="0" w:space="0" w:color="auto"/>
                                        <w:left w:val="none" w:sz="0" w:space="0" w:color="auto"/>
                                        <w:bottom w:val="none" w:sz="0" w:space="0" w:color="auto"/>
                                        <w:right w:val="none" w:sz="0" w:space="0" w:color="auto"/>
                                      </w:divBdr>
                                      <w:divsChild>
                                        <w:div w:id="1146702535">
                                          <w:marLeft w:val="0"/>
                                          <w:marRight w:val="0"/>
                                          <w:marTop w:val="0"/>
                                          <w:marBottom w:val="0"/>
                                          <w:divBdr>
                                            <w:top w:val="none" w:sz="0" w:space="0" w:color="auto"/>
                                            <w:left w:val="none" w:sz="0" w:space="0" w:color="auto"/>
                                            <w:bottom w:val="none" w:sz="0" w:space="0" w:color="auto"/>
                                            <w:right w:val="none" w:sz="0" w:space="0" w:color="auto"/>
                                          </w:divBdr>
                                        </w:div>
                                        <w:div w:id="370569739">
                                          <w:marLeft w:val="0"/>
                                          <w:marRight w:val="0"/>
                                          <w:marTop w:val="0"/>
                                          <w:marBottom w:val="0"/>
                                          <w:divBdr>
                                            <w:top w:val="none" w:sz="0" w:space="0" w:color="auto"/>
                                            <w:left w:val="none" w:sz="0" w:space="0" w:color="auto"/>
                                            <w:bottom w:val="none" w:sz="0" w:space="0" w:color="auto"/>
                                            <w:right w:val="none" w:sz="0" w:space="0" w:color="auto"/>
                                          </w:divBdr>
                                          <w:divsChild>
                                            <w:div w:id="12122317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272118">
      <w:bodyDiv w:val="1"/>
      <w:marLeft w:val="0"/>
      <w:marRight w:val="0"/>
      <w:marTop w:val="0"/>
      <w:marBottom w:val="0"/>
      <w:divBdr>
        <w:top w:val="none" w:sz="0" w:space="0" w:color="auto"/>
        <w:left w:val="none" w:sz="0" w:space="0" w:color="auto"/>
        <w:bottom w:val="none" w:sz="0" w:space="0" w:color="auto"/>
        <w:right w:val="none" w:sz="0" w:space="0" w:color="auto"/>
      </w:divBdr>
      <w:divsChild>
        <w:div w:id="1044719104">
          <w:marLeft w:val="0"/>
          <w:marRight w:val="0"/>
          <w:marTop w:val="0"/>
          <w:marBottom w:val="0"/>
          <w:divBdr>
            <w:top w:val="none" w:sz="0" w:space="0" w:color="auto"/>
            <w:left w:val="none" w:sz="0" w:space="0" w:color="auto"/>
            <w:bottom w:val="none" w:sz="0" w:space="0" w:color="auto"/>
            <w:right w:val="none" w:sz="0" w:space="0" w:color="auto"/>
          </w:divBdr>
          <w:divsChild>
            <w:div w:id="1951889965">
              <w:marLeft w:val="0"/>
              <w:marRight w:val="0"/>
              <w:marTop w:val="0"/>
              <w:marBottom w:val="0"/>
              <w:divBdr>
                <w:top w:val="none" w:sz="0" w:space="0" w:color="auto"/>
                <w:left w:val="none" w:sz="0" w:space="0" w:color="auto"/>
                <w:bottom w:val="none" w:sz="0" w:space="0" w:color="auto"/>
                <w:right w:val="none" w:sz="0" w:space="0" w:color="auto"/>
              </w:divBdr>
              <w:divsChild>
                <w:div w:id="2055037985">
                  <w:marLeft w:val="0"/>
                  <w:marRight w:val="0"/>
                  <w:marTop w:val="0"/>
                  <w:marBottom w:val="0"/>
                  <w:divBdr>
                    <w:top w:val="none" w:sz="0" w:space="0" w:color="auto"/>
                    <w:left w:val="none" w:sz="0" w:space="0" w:color="auto"/>
                    <w:bottom w:val="none" w:sz="0" w:space="0" w:color="auto"/>
                    <w:right w:val="none" w:sz="0" w:space="0" w:color="auto"/>
                  </w:divBdr>
                  <w:divsChild>
                    <w:div w:id="1670601894">
                      <w:marLeft w:val="0"/>
                      <w:marRight w:val="0"/>
                      <w:marTop w:val="0"/>
                      <w:marBottom w:val="0"/>
                      <w:divBdr>
                        <w:top w:val="none" w:sz="0" w:space="0" w:color="auto"/>
                        <w:left w:val="none" w:sz="0" w:space="0" w:color="auto"/>
                        <w:bottom w:val="none" w:sz="0" w:space="0" w:color="auto"/>
                        <w:right w:val="none" w:sz="0" w:space="0" w:color="auto"/>
                      </w:divBdr>
                      <w:divsChild>
                        <w:div w:id="1059402635">
                          <w:marLeft w:val="0"/>
                          <w:marRight w:val="0"/>
                          <w:marTop w:val="0"/>
                          <w:marBottom w:val="0"/>
                          <w:divBdr>
                            <w:top w:val="none" w:sz="0" w:space="0" w:color="auto"/>
                            <w:left w:val="none" w:sz="0" w:space="0" w:color="auto"/>
                            <w:bottom w:val="none" w:sz="0" w:space="0" w:color="auto"/>
                            <w:right w:val="none" w:sz="0" w:space="0" w:color="auto"/>
                          </w:divBdr>
                          <w:divsChild>
                            <w:div w:id="1256789025">
                              <w:marLeft w:val="0"/>
                              <w:marRight w:val="0"/>
                              <w:marTop w:val="0"/>
                              <w:marBottom w:val="0"/>
                              <w:divBdr>
                                <w:top w:val="none" w:sz="0" w:space="0" w:color="auto"/>
                                <w:left w:val="none" w:sz="0" w:space="0" w:color="auto"/>
                                <w:bottom w:val="none" w:sz="0" w:space="0" w:color="auto"/>
                                <w:right w:val="none" w:sz="0" w:space="0" w:color="auto"/>
                              </w:divBdr>
                              <w:divsChild>
                                <w:div w:id="1696996409">
                                  <w:marLeft w:val="0"/>
                                  <w:marRight w:val="0"/>
                                  <w:marTop w:val="0"/>
                                  <w:marBottom w:val="0"/>
                                  <w:divBdr>
                                    <w:top w:val="none" w:sz="0" w:space="0" w:color="auto"/>
                                    <w:left w:val="none" w:sz="0" w:space="0" w:color="auto"/>
                                    <w:bottom w:val="none" w:sz="0" w:space="0" w:color="auto"/>
                                    <w:right w:val="none" w:sz="0" w:space="0" w:color="auto"/>
                                  </w:divBdr>
                                  <w:divsChild>
                                    <w:div w:id="740835105">
                                      <w:marLeft w:val="0"/>
                                      <w:marRight w:val="0"/>
                                      <w:marTop w:val="0"/>
                                      <w:marBottom w:val="0"/>
                                      <w:divBdr>
                                        <w:top w:val="none" w:sz="0" w:space="0" w:color="auto"/>
                                        <w:left w:val="none" w:sz="0" w:space="0" w:color="auto"/>
                                        <w:bottom w:val="none" w:sz="0" w:space="0" w:color="auto"/>
                                        <w:right w:val="none" w:sz="0" w:space="0" w:color="auto"/>
                                      </w:divBdr>
                                      <w:divsChild>
                                        <w:div w:id="2006590221">
                                          <w:marLeft w:val="0"/>
                                          <w:marRight w:val="0"/>
                                          <w:marTop w:val="0"/>
                                          <w:marBottom w:val="0"/>
                                          <w:divBdr>
                                            <w:top w:val="none" w:sz="0" w:space="0" w:color="auto"/>
                                            <w:left w:val="none" w:sz="0" w:space="0" w:color="auto"/>
                                            <w:bottom w:val="none" w:sz="0" w:space="0" w:color="auto"/>
                                            <w:right w:val="none" w:sz="0" w:space="0" w:color="auto"/>
                                          </w:divBdr>
                                          <w:divsChild>
                                            <w:div w:id="507331965">
                                              <w:marLeft w:val="0"/>
                                              <w:marRight w:val="0"/>
                                              <w:marTop w:val="0"/>
                                              <w:marBottom w:val="0"/>
                                              <w:divBdr>
                                                <w:top w:val="none" w:sz="0" w:space="0" w:color="auto"/>
                                                <w:left w:val="none" w:sz="0" w:space="0" w:color="auto"/>
                                                <w:bottom w:val="none" w:sz="0" w:space="0" w:color="auto"/>
                                                <w:right w:val="none" w:sz="0" w:space="0" w:color="auto"/>
                                              </w:divBdr>
                                              <w:divsChild>
                                                <w:div w:id="2146727531">
                                                  <w:marLeft w:val="0"/>
                                                  <w:marRight w:val="0"/>
                                                  <w:marTop w:val="0"/>
                                                  <w:marBottom w:val="0"/>
                                                  <w:divBdr>
                                                    <w:top w:val="none" w:sz="0" w:space="0" w:color="auto"/>
                                                    <w:left w:val="none" w:sz="0" w:space="0" w:color="auto"/>
                                                    <w:bottom w:val="none" w:sz="0" w:space="0" w:color="auto"/>
                                                    <w:right w:val="none" w:sz="0" w:space="0" w:color="auto"/>
                                                  </w:divBdr>
                                                  <w:divsChild>
                                                    <w:div w:id="715085209">
                                                      <w:marLeft w:val="0"/>
                                                      <w:marRight w:val="0"/>
                                                      <w:marTop w:val="0"/>
                                                      <w:marBottom w:val="0"/>
                                                      <w:divBdr>
                                                        <w:top w:val="none" w:sz="0" w:space="0" w:color="auto"/>
                                                        <w:left w:val="none" w:sz="0" w:space="0" w:color="auto"/>
                                                        <w:bottom w:val="none" w:sz="0" w:space="0" w:color="auto"/>
                                                        <w:right w:val="none" w:sz="0" w:space="0" w:color="auto"/>
                                                      </w:divBdr>
                                                      <w:divsChild>
                                                        <w:div w:id="338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4125972">
      <w:bodyDiv w:val="1"/>
      <w:marLeft w:val="0"/>
      <w:marRight w:val="0"/>
      <w:marTop w:val="0"/>
      <w:marBottom w:val="0"/>
      <w:divBdr>
        <w:top w:val="none" w:sz="0" w:space="0" w:color="auto"/>
        <w:left w:val="none" w:sz="0" w:space="0" w:color="auto"/>
        <w:bottom w:val="none" w:sz="0" w:space="0" w:color="auto"/>
        <w:right w:val="none" w:sz="0" w:space="0" w:color="auto"/>
      </w:divBdr>
      <w:divsChild>
        <w:div w:id="59065128">
          <w:marLeft w:val="0"/>
          <w:marRight w:val="0"/>
          <w:marTop w:val="0"/>
          <w:marBottom w:val="0"/>
          <w:divBdr>
            <w:top w:val="single" w:sz="6" w:space="0" w:color="0E477A"/>
            <w:left w:val="single" w:sz="6" w:space="0" w:color="0E477A"/>
            <w:bottom w:val="single" w:sz="6" w:space="0" w:color="0E477A"/>
            <w:right w:val="single" w:sz="6" w:space="0" w:color="0E477A"/>
          </w:divBdr>
          <w:divsChild>
            <w:div w:id="1749619193">
              <w:marLeft w:val="0"/>
              <w:marRight w:val="0"/>
              <w:marTop w:val="0"/>
              <w:marBottom w:val="0"/>
              <w:divBdr>
                <w:top w:val="none" w:sz="0" w:space="0" w:color="auto"/>
                <w:left w:val="none" w:sz="0" w:space="0" w:color="auto"/>
                <w:bottom w:val="none" w:sz="0" w:space="0" w:color="auto"/>
                <w:right w:val="none" w:sz="0" w:space="0" w:color="auto"/>
              </w:divBdr>
              <w:divsChild>
                <w:div w:id="1684476515">
                  <w:marLeft w:val="0"/>
                  <w:marRight w:val="0"/>
                  <w:marTop w:val="0"/>
                  <w:marBottom w:val="0"/>
                  <w:divBdr>
                    <w:top w:val="none" w:sz="0" w:space="0" w:color="auto"/>
                    <w:left w:val="none" w:sz="0" w:space="0" w:color="auto"/>
                    <w:bottom w:val="none" w:sz="0" w:space="0" w:color="auto"/>
                    <w:right w:val="none" w:sz="0" w:space="0" w:color="auto"/>
                  </w:divBdr>
                  <w:divsChild>
                    <w:div w:id="1673533864">
                      <w:marLeft w:val="0"/>
                      <w:marRight w:val="0"/>
                      <w:marTop w:val="0"/>
                      <w:marBottom w:val="0"/>
                      <w:divBdr>
                        <w:top w:val="none" w:sz="0" w:space="0" w:color="auto"/>
                        <w:left w:val="none" w:sz="0" w:space="0" w:color="auto"/>
                        <w:bottom w:val="none" w:sz="0" w:space="0" w:color="auto"/>
                        <w:right w:val="none" w:sz="0" w:space="0" w:color="auto"/>
                      </w:divBdr>
                      <w:divsChild>
                        <w:div w:id="1549490895">
                          <w:marLeft w:val="0"/>
                          <w:marRight w:val="0"/>
                          <w:marTop w:val="0"/>
                          <w:marBottom w:val="0"/>
                          <w:divBdr>
                            <w:top w:val="none" w:sz="0" w:space="0" w:color="auto"/>
                            <w:left w:val="none" w:sz="0" w:space="0" w:color="auto"/>
                            <w:bottom w:val="none" w:sz="0" w:space="0" w:color="auto"/>
                            <w:right w:val="none" w:sz="0" w:space="0" w:color="auto"/>
                          </w:divBdr>
                          <w:divsChild>
                            <w:div w:id="2129472607">
                              <w:marLeft w:val="0"/>
                              <w:marRight w:val="0"/>
                              <w:marTop w:val="0"/>
                              <w:marBottom w:val="0"/>
                              <w:divBdr>
                                <w:top w:val="none" w:sz="0" w:space="0" w:color="auto"/>
                                <w:left w:val="none" w:sz="0" w:space="0" w:color="auto"/>
                                <w:bottom w:val="none" w:sz="0" w:space="0" w:color="auto"/>
                                <w:right w:val="none" w:sz="0" w:space="0" w:color="auto"/>
                              </w:divBdr>
                              <w:divsChild>
                                <w:div w:id="278608023">
                                  <w:marLeft w:val="0"/>
                                  <w:marRight w:val="0"/>
                                  <w:marTop w:val="0"/>
                                  <w:marBottom w:val="0"/>
                                  <w:divBdr>
                                    <w:top w:val="none" w:sz="0" w:space="0" w:color="auto"/>
                                    <w:left w:val="none" w:sz="0" w:space="0" w:color="auto"/>
                                    <w:bottom w:val="none" w:sz="0" w:space="0" w:color="auto"/>
                                    <w:right w:val="none" w:sz="0" w:space="0" w:color="auto"/>
                                  </w:divBdr>
                                  <w:divsChild>
                                    <w:div w:id="1298143788">
                                      <w:marLeft w:val="0"/>
                                      <w:marRight w:val="0"/>
                                      <w:marTop w:val="0"/>
                                      <w:marBottom w:val="0"/>
                                      <w:divBdr>
                                        <w:top w:val="none" w:sz="0" w:space="0" w:color="auto"/>
                                        <w:left w:val="none" w:sz="0" w:space="0" w:color="auto"/>
                                        <w:bottom w:val="none" w:sz="0" w:space="0" w:color="auto"/>
                                        <w:right w:val="none" w:sz="0" w:space="0" w:color="auto"/>
                                      </w:divBdr>
                                      <w:divsChild>
                                        <w:div w:id="1661762828">
                                          <w:marLeft w:val="0"/>
                                          <w:marRight w:val="0"/>
                                          <w:marTop w:val="0"/>
                                          <w:marBottom w:val="0"/>
                                          <w:divBdr>
                                            <w:top w:val="none" w:sz="0" w:space="0" w:color="auto"/>
                                            <w:left w:val="none" w:sz="0" w:space="0" w:color="auto"/>
                                            <w:bottom w:val="none" w:sz="0" w:space="0" w:color="auto"/>
                                            <w:right w:val="none" w:sz="0" w:space="0" w:color="auto"/>
                                          </w:divBdr>
                                          <w:divsChild>
                                            <w:div w:id="1537546644">
                                              <w:marLeft w:val="0"/>
                                              <w:marRight w:val="0"/>
                                              <w:marTop w:val="0"/>
                                              <w:marBottom w:val="0"/>
                                              <w:divBdr>
                                                <w:top w:val="none" w:sz="0" w:space="0" w:color="auto"/>
                                                <w:left w:val="none" w:sz="0" w:space="0" w:color="auto"/>
                                                <w:bottom w:val="none" w:sz="0" w:space="0" w:color="auto"/>
                                                <w:right w:val="none" w:sz="0" w:space="0" w:color="auto"/>
                                              </w:divBdr>
                                              <w:divsChild>
                                                <w:div w:id="5498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70742">
                                          <w:marLeft w:val="0"/>
                                          <w:marRight w:val="0"/>
                                          <w:marTop w:val="0"/>
                                          <w:marBottom w:val="0"/>
                                          <w:divBdr>
                                            <w:top w:val="none" w:sz="0" w:space="0" w:color="auto"/>
                                            <w:left w:val="none" w:sz="0" w:space="0" w:color="auto"/>
                                            <w:bottom w:val="none" w:sz="0" w:space="0" w:color="auto"/>
                                            <w:right w:val="none" w:sz="0" w:space="0" w:color="auto"/>
                                          </w:divBdr>
                                          <w:divsChild>
                                            <w:div w:id="907807818">
                                              <w:marLeft w:val="0"/>
                                              <w:marRight w:val="0"/>
                                              <w:marTop w:val="0"/>
                                              <w:marBottom w:val="0"/>
                                              <w:divBdr>
                                                <w:top w:val="none" w:sz="0" w:space="0" w:color="auto"/>
                                                <w:left w:val="none" w:sz="0" w:space="0" w:color="auto"/>
                                                <w:bottom w:val="none" w:sz="0" w:space="0" w:color="auto"/>
                                                <w:right w:val="none" w:sz="0" w:space="0" w:color="auto"/>
                                              </w:divBdr>
                                              <w:divsChild>
                                                <w:div w:id="19131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392806">
      <w:bodyDiv w:val="1"/>
      <w:marLeft w:val="0"/>
      <w:marRight w:val="0"/>
      <w:marTop w:val="0"/>
      <w:marBottom w:val="0"/>
      <w:divBdr>
        <w:top w:val="none" w:sz="0" w:space="0" w:color="auto"/>
        <w:left w:val="none" w:sz="0" w:space="0" w:color="auto"/>
        <w:bottom w:val="none" w:sz="0" w:space="0" w:color="auto"/>
        <w:right w:val="none" w:sz="0" w:space="0" w:color="auto"/>
      </w:divBdr>
      <w:divsChild>
        <w:div w:id="662046389">
          <w:marLeft w:val="0"/>
          <w:marRight w:val="0"/>
          <w:marTop w:val="0"/>
          <w:marBottom w:val="0"/>
          <w:divBdr>
            <w:top w:val="none" w:sz="0" w:space="0" w:color="auto"/>
            <w:left w:val="none" w:sz="0" w:space="0" w:color="auto"/>
            <w:bottom w:val="none" w:sz="0" w:space="0" w:color="auto"/>
            <w:right w:val="none" w:sz="0" w:space="0" w:color="auto"/>
          </w:divBdr>
        </w:div>
        <w:div w:id="810635182">
          <w:marLeft w:val="0"/>
          <w:marRight w:val="0"/>
          <w:marTop w:val="0"/>
          <w:marBottom w:val="150"/>
          <w:divBdr>
            <w:top w:val="none" w:sz="0" w:space="0" w:color="auto"/>
            <w:left w:val="none" w:sz="0" w:space="0" w:color="auto"/>
            <w:bottom w:val="none" w:sz="0" w:space="0" w:color="auto"/>
            <w:right w:val="none" w:sz="0" w:space="0" w:color="auto"/>
          </w:divBdr>
          <w:divsChild>
            <w:div w:id="1387070412">
              <w:marLeft w:val="0"/>
              <w:marRight w:val="0"/>
              <w:marTop w:val="240"/>
              <w:marBottom w:val="240"/>
              <w:divBdr>
                <w:top w:val="single" w:sz="6" w:space="6" w:color="F2F2F2"/>
                <w:left w:val="none" w:sz="0" w:space="0" w:color="auto"/>
                <w:bottom w:val="single" w:sz="6" w:space="6" w:color="F2F2F2"/>
                <w:right w:val="none" w:sz="0" w:space="0" w:color="auto"/>
              </w:divBdr>
            </w:div>
            <w:div w:id="1152215102">
              <w:marLeft w:val="0"/>
              <w:marRight w:val="0"/>
              <w:marTop w:val="0"/>
              <w:marBottom w:val="0"/>
              <w:divBdr>
                <w:top w:val="none" w:sz="0" w:space="0" w:color="auto"/>
                <w:left w:val="none" w:sz="0" w:space="0" w:color="auto"/>
                <w:bottom w:val="none" w:sz="0" w:space="0" w:color="auto"/>
                <w:right w:val="none" w:sz="0" w:space="0" w:color="auto"/>
              </w:divBdr>
              <w:divsChild>
                <w:div w:id="584535714">
                  <w:marLeft w:val="0"/>
                  <w:marRight w:val="0"/>
                  <w:marTop w:val="0"/>
                  <w:marBottom w:val="240"/>
                  <w:divBdr>
                    <w:top w:val="none" w:sz="0" w:space="0" w:color="auto"/>
                    <w:left w:val="none" w:sz="0" w:space="0" w:color="auto"/>
                    <w:bottom w:val="none" w:sz="0" w:space="0" w:color="auto"/>
                    <w:right w:val="none" w:sz="0" w:space="0" w:color="auto"/>
                  </w:divBdr>
                </w:div>
                <w:div w:id="132188662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4781589">
      <w:bodyDiv w:val="1"/>
      <w:marLeft w:val="0"/>
      <w:marRight w:val="0"/>
      <w:marTop w:val="0"/>
      <w:marBottom w:val="0"/>
      <w:divBdr>
        <w:top w:val="none" w:sz="0" w:space="0" w:color="auto"/>
        <w:left w:val="none" w:sz="0" w:space="0" w:color="auto"/>
        <w:bottom w:val="none" w:sz="0" w:space="0" w:color="auto"/>
        <w:right w:val="none" w:sz="0" w:space="0" w:color="auto"/>
      </w:divBdr>
      <w:divsChild>
        <w:div w:id="697318334">
          <w:marLeft w:val="0"/>
          <w:marRight w:val="0"/>
          <w:marTop w:val="0"/>
          <w:marBottom w:val="0"/>
          <w:divBdr>
            <w:top w:val="none" w:sz="0" w:space="0" w:color="auto"/>
            <w:left w:val="none" w:sz="0" w:space="0" w:color="auto"/>
            <w:bottom w:val="none" w:sz="0" w:space="0" w:color="auto"/>
            <w:right w:val="none" w:sz="0" w:space="0" w:color="auto"/>
          </w:divBdr>
          <w:divsChild>
            <w:div w:id="1932857633">
              <w:marLeft w:val="0"/>
              <w:marRight w:val="0"/>
              <w:marTop w:val="0"/>
              <w:marBottom w:val="0"/>
              <w:divBdr>
                <w:top w:val="none" w:sz="0" w:space="0" w:color="auto"/>
                <w:left w:val="none" w:sz="0" w:space="0" w:color="auto"/>
                <w:bottom w:val="none" w:sz="0" w:space="0" w:color="auto"/>
                <w:right w:val="none" w:sz="0" w:space="0" w:color="auto"/>
              </w:divBdr>
              <w:divsChild>
                <w:div w:id="1532915926">
                  <w:marLeft w:val="0"/>
                  <w:marRight w:val="0"/>
                  <w:marTop w:val="0"/>
                  <w:marBottom w:val="0"/>
                  <w:divBdr>
                    <w:top w:val="none" w:sz="0" w:space="0" w:color="auto"/>
                    <w:left w:val="none" w:sz="0" w:space="0" w:color="auto"/>
                    <w:bottom w:val="none" w:sz="0" w:space="0" w:color="auto"/>
                    <w:right w:val="none" w:sz="0" w:space="0" w:color="auto"/>
                  </w:divBdr>
                  <w:divsChild>
                    <w:div w:id="189800686">
                      <w:marLeft w:val="0"/>
                      <w:marRight w:val="0"/>
                      <w:marTop w:val="0"/>
                      <w:marBottom w:val="0"/>
                      <w:divBdr>
                        <w:top w:val="none" w:sz="0" w:space="0" w:color="auto"/>
                        <w:left w:val="none" w:sz="0" w:space="0" w:color="auto"/>
                        <w:bottom w:val="none" w:sz="0" w:space="0" w:color="auto"/>
                        <w:right w:val="none" w:sz="0" w:space="0" w:color="auto"/>
                      </w:divBdr>
                      <w:divsChild>
                        <w:div w:id="233122736">
                          <w:marLeft w:val="0"/>
                          <w:marRight w:val="0"/>
                          <w:marTop w:val="0"/>
                          <w:marBottom w:val="0"/>
                          <w:divBdr>
                            <w:top w:val="none" w:sz="0" w:space="0" w:color="auto"/>
                            <w:left w:val="none" w:sz="0" w:space="0" w:color="auto"/>
                            <w:bottom w:val="none" w:sz="0" w:space="0" w:color="auto"/>
                            <w:right w:val="none" w:sz="0" w:space="0" w:color="auto"/>
                          </w:divBdr>
                          <w:divsChild>
                            <w:div w:id="15840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12587">
      <w:bodyDiv w:val="1"/>
      <w:marLeft w:val="0"/>
      <w:marRight w:val="0"/>
      <w:marTop w:val="0"/>
      <w:marBottom w:val="0"/>
      <w:divBdr>
        <w:top w:val="none" w:sz="0" w:space="0" w:color="auto"/>
        <w:left w:val="none" w:sz="0" w:space="0" w:color="auto"/>
        <w:bottom w:val="none" w:sz="0" w:space="0" w:color="auto"/>
        <w:right w:val="none" w:sz="0" w:space="0" w:color="auto"/>
      </w:divBdr>
    </w:div>
    <w:div w:id="1935238778">
      <w:bodyDiv w:val="1"/>
      <w:marLeft w:val="0"/>
      <w:marRight w:val="0"/>
      <w:marTop w:val="0"/>
      <w:marBottom w:val="0"/>
      <w:divBdr>
        <w:top w:val="none" w:sz="0" w:space="0" w:color="auto"/>
        <w:left w:val="none" w:sz="0" w:space="0" w:color="auto"/>
        <w:bottom w:val="none" w:sz="0" w:space="0" w:color="auto"/>
        <w:right w:val="none" w:sz="0" w:space="0" w:color="auto"/>
      </w:divBdr>
      <w:divsChild>
        <w:div w:id="2033876887">
          <w:marLeft w:val="0"/>
          <w:marRight w:val="0"/>
          <w:marTop w:val="0"/>
          <w:marBottom w:val="0"/>
          <w:divBdr>
            <w:top w:val="none" w:sz="0" w:space="0" w:color="auto"/>
            <w:left w:val="none" w:sz="0" w:space="0" w:color="auto"/>
            <w:bottom w:val="none" w:sz="0" w:space="0" w:color="auto"/>
            <w:right w:val="none" w:sz="0" w:space="0" w:color="auto"/>
          </w:divBdr>
          <w:divsChild>
            <w:div w:id="134955596">
              <w:marLeft w:val="0"/>
              <w:marRight w:val="0"/>
              <w:marTop w:val="150"/>
              <w:marBottom w:val="0"/>
              <w:divBdr>
                <w:top w:val="none" w:sz="0" w:space="0" w:color="auto"/>
                <w:left w:val="none" w:sz="0" w:space="0" w:color="auto"/>
                <w:bottom w:val="none" w:sz="0" w:space="0" w:color="auto"/>
                <w:right w:val="none" w:sz="0" w:space="0" w:color="auto"/>
              </w:divBdr>
              <w:divsChild>
                <w:div w:id="1877884492">
                  <w:marLeft w:val="0"/>
                  <w:marRight w:val="0"/>
                  <w:marTop w:val="0"/>
                  <w:marBottom w:val="0"/>
                  <w:divBdr>
                    <w:top w:val="none" w:sz="0" w:space="0" w:color="auto"/>
                    <w:left w:val="none" w:sz="0" w:space="0" w:color="auto"/>
                    <w:bottom w:val="none" w:sz="0" w:space="0" w:color="auto"/>
                    <w:right w:val="none" w:sz="0" w:space="0" w:color="auto"/>
                  </w:divBdr>
                  <w:divsChild>
                    <w:div w:id="54359698">
                      <w:marLeft w:val="0"/>
                      <w:marRight w:val="0"/>
                      <w:marTop w:val="0"/>
                      <w:marBottom w:val="0"/>
                      <w:divBdr>
                        <w:top w:val="none" w:sz="0" w:space="0" w:color="auto"/>
                        <w:left w:val="none" w:sz="0" w:space="0" w:color="auto"/>
                        <w:bottom w:val="none" w:sz="0" w:space="0" w:color="auto"/>
                        <w:right w:val="none" w:sz="0" w:space="0" w:color="auto"/>
                      </w:divBdr>
                      <w:divsChild>
                        <w:div w:id="17328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089240">
      <w:bodyDiv w:val="1"/>
      <w:marLeft w:val="0"/>
      <w:marRight w:val="0"/>
      <w:marTop w:val="0"/>
      <w:marBottom w:val="0"/>
      <w:divBdr>
        <w:top w:val="none" w:sz="0" w:space="0" w:color="auto"/>
        <w:left w:val="none" w:sz="0" w:space="0" w:color="auto"/>
        <w:bottom w:val="none" w:sz="0" w:space="0" w:color="auto"/>
        <w:right w:val="none" w:sz="0" w:space="0" w:color="auto"/>
      </w:divBdr>
      <w:divsChild>
        <w:div w:id="1388608033">
          <w:marLeft w:val="0"/>
          <w:marRight w:val="0"/>
          <w:marTop w:val="0"/>
          <w:marBottom w:val="0"/>
          <w:divBdr>
            <w:top w:val="single" w:sz="2" w:space="0" w:color="AAAAAA"/>
            <w:left w:val="single" w:sz="6" w:space="8" w:color="AAAAAA"/>
            <w:bottom w:val="single" w:sz="2" w:space="0" w:color="AAAAAA"/>
            <w:right w:val="single" w:sz="6" w:space="8" w:color="AAAAAA"/>
          </w:divBdr>
          <w:divsChild>
            <w:div w:id="1880582404">
              <w:marLeft w:val="0"/>
              <w:marRight w:val="0"/>
              <w:marTop w:val="0"/>
              <w:marBottom w:val="0"/>
              <w:divBdr>
                <w:top w:val="none" w:sz="0" w:space="0" w:color="auto"/>
                <w:left w:val="none" w:sz="0" w:space="0" w:color="auto"/>
                <w:bottom w:val="none" w:sz="0" w:space="0" w:color="auto"/>
                <w:right w:val="none" w:sz="0" w:space="0" w:color="auto"/>
              </w:divBdr>
              <w:divsChild>
                <w:div w:id="1825078404">
                  <w:marLeft w:val="0"/>
                  <w:marRight w:val="0"/>
                  <w:marTop w:val="0"/>
                  <w:marBottom w:val="0"/>
                  <w:divBdr>
                    <w:top w:val="none" w:sz="0" w:space="0" w:color="auto"/>
                    <w:left w:val="none" w:sz="0" w:space="0" w:color="auto"/>
                    <w:bottom w:val="none" w:sz="0" w:space="0" w:color="auto"/>
                    <w:right w:val="none" w:sz="0" w:space="0" w:color="auto"/>
                  </w:divBdr>
                  <w:divsChild>
                    <w:div w:id="707527329">
                      <w:marLeft w:val="0"/>
                      <w:marRight w:val="2550"/>
                      <w:marTop w:val="0"/>
                      <w:marBottom w:val="48"/>
                      <w:divBdr>
                        <w:top w:val="none" w:sz="0" w:space="0" w:color="auto"/>
                        <w:left w:val="none" w:sz="0" w:space="0" w:color="auto"/>
                        <w:bottom w:val="none" w:sz="0" w:space="0" w:color="auto"/>
                        <w:right w:val="none" w:sz="0" w:space="0" w:color="auto"/>
                      </w:divBdr>
                      <w:divsChild>
                        <w:div w:id="488180538">
                          <w:marLeft w:val="0"/>
                          <w:marRight w:val="0"/>
                          <w:marTop w:val="0"/>
                          <w:marBottom w:val="48"/>
                          <w:divBdr>
                            <w:top w:val="none" w:sz="0" w:space="0" w:color="auto"/>
                            <w:left w:val="none" w:sz="0" w:space="0" w:color="auto"/>
                            <w:bottom w:val="none" w:sz="0" w:space="0" w:color="auto"/>
                            <w:right w:val="none" w:sz="0" w:space="0" w:color="auto"/>
                          </w:divBdr>
                          <w:divsChild>
                            <w:div w:id="15975950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05119">
      <w:bodyDiv w:val="1"/>
      <w:marLeft w:val="0"/>
      <w:marRight w:val="0"/>
      <w:marTop w:val="0"/>
      <w:marBottom w:val="0"/>
      <w:divBdr>
        <w:top w:val="none" w:sz="0" w:space="0" w:color="auto"/>
        <w:left w:val="none" w:sz="0" w:space="0" w:color="auto"/>
        <w:bottom w:val="none" w:sz="0" w:space="0" w:color="auto"/>
        <w:right w:val="none" w:sz="0" w:space="0" w:color="auto"/>
      </w:divBdr>
      <w:divsChild>
        <w:div w:id="1217011133">
          <w:marLeft w:val="0"/>
          <w:marRight w:val="0"/>
          <w:marTop w:val="0"/>
          <w:marBottom w:val="0"/>
          <w:divBdr>
            <w:top w:val="none" w:sz="0" w:space="0" w:color="auto"/>
            <w:left w:val="none" w:sz="0" w:space="0" w:color="auto"/>
            <w:bottom w:val="none" w:sz="0" w:space="0" w:color="auto"/>
            <w:right w:val="none" w:sz="0" w:space="0" w:color="auto"/>
          </w:divBdr>
        </w:div>
      </w:divsChild>
    </w:div>
    <w:div w:id="1936396212">
      <w:bodyDiv w:val="1"/>
      <w:marLeft w:val="0"/>
      <w:marRight w:val="0"/>
      <w:marTop w:val="0"/>
      <w:marBottom w:val="0"/>
      <w:divBdr>
        <w:top w:val="none" w:sz="0" w:space="0" w:color="auto"/>
        <w:left w:val="none" w:sz="0" w:space="0" w:color="auto"/>
        <w:bottom w:val="none" w:sz="0" w:space="0" w:color="auto"/>
        <w:right w:val="none" w:sz="0" w:space="0" w:color="auto"/>
      </w:divBdr>
      <w:divsChild>
        <w:div w:id="1340155612">
          <w:marLeft w:val="0"/>
          <w:marRight w:val="0"/>
          <w:marTop w:val="0"/>
          <w:marBottom w:val="0"/>
          <w:divBdr>
            <w:top w:val="none" w:sz="0" w:space="0" w:color="auto"/>
            <w:left w:val="none" w:sz="0" w:space="0" w:color="auto"/>
            <w:bottom w:val="none" w:sz="0" w:space="0" w:color="auto"/>
            <w:right w:val="none" w:sz="0" w:space="0" w:color="auto"/>
          </w:divBdr>
          <w:divsChild>
            <w:div w:id="1080323088">
              <w:marLeft w:val="0"/>
              <w:marRight w:val="0"/>
              <w:marTop w:val="0"/>
              <w:marBottom w:val="0"/>
              <w:divBdr>
                <w:top w:val="none" w:sz="0" w:space="0" w:color="auto"/>
                <w:left w:val="none" w:sz="0" w:space="0" w:color="auto"/>
                <w:bottom w:val="none" w:sz="0" w:space="0" w:color="auto"/>
                <w:right w:val="none" w:sz="0" w:space="0" w:color="auto"/>
              </w:divBdr>
              <w:divsChild>
                <w:div w:id="501162048">
                  <w:marLeft w:val="0"/>
                  <w:marRight w:val="0"/>
                  <w:marTop w:val="0"/>
                  <w:marBottom w:val="0"/>
                  <w:divBdr>
                    <w:top w:val="none" w:sz="0" w:space="0" w:color="auto"/>
                    <w:left w:val="none" w:sz="0" w:space="0" w:color="auto"/>
                    <w:bottom w:val="none" w:sz="0" w:space="0" w:color="auto"/>
                    <w:right w:val="none" w:sz="0" w:space="0" w:color="auto"/>
                  </w:divBdr>
                  <w:divsChild>
                    <w:div w:id="920333426">
                      <w:marLeft w:val="0"/>
                      <w:marRight w:val="0"/>
                      <w:marTop w:val="0"/>
                      <w:marBottom w:val="0"/>
                      <w:divBdr>
                        <w:top w:val="none" w:sz="0" w:space="0" w:color="auto"/>
                        <w:left w:val="none" w:sz="0" w:space="0" w:color="auto"/>
                        <w:bottom w:val="none" w:sz="0" w:space="0" w:color="auto"/>
                        <w:right w:val="none" w:sz="0" w:space="0" w:color="auto"/>
                      </w:divBdr>
                      <w:divsChild>
                        <w:div w:id="421604546">
                          <w:marLeft w:val="0"/>
                          <w:marRight w:val="0"/>
                          <w:marTop w:val="0"/>
                          <w:marBottom w:val="0"/>
                          <w:divBdr>
                            <w:top w:val="none" w:sz="0" w:space="0" w:color="auto"/>
                            <w:left w:val="none" w:sz="0" w:space="0" w:color="auto"/>
                            <w:bottom w:val="none" w:sz="0" w:space="0" w:color="auto"/>
                            <w:right w:val="none" w:sz="0" w:space="0" w:color="auto"/>
                          </w:divBdr>
                          <w:divsChild>
                            <w:div w:id="1496870710">
                              <w:marLeft w:val="0"/>
                              <w:marRight w:val="0"/>
                              <w:marTop w:val="0"/>
                              <w:marBottom w:val="0"/>
                              <w:divBdr>
                                <w:top w:val="single" w:sz="6" w:space="0" w:color="auto"/>
                                <w:left w:val="single" w:sz="6" w:space="0" w:color="auto"/>
                                <w:bottom w:val="single" w:sz="6" w:space="0" w:color="auto"/>
                                <w:right w:val="single" w:sz="6" w:space="0" w:color="auto"/>
                              </w:divBdr>
                              <w:divsChild>
                                <w:div w:id="454980805">
                                  <w:marLeft w:val="0"/>
                                  <w:marRight w:val="0"/>
                                  <w:marTop w:val="0"/>
                                  <w:marBottom w:val="0"/>
                                  <w:divBdr>
                                    <w:top w:val="none" w:sz="0" w:space="0" w:color="auto"/>
                                    <w:left w:val="none" w:sz="0" w:space="0" w:color="auto"/>
                                    <w:bottom w:val="none" w:sz="0" w:space="0" w:color="auto"/>
                                    <w:right w:val="none" w:sz="0" w:space="0" w:color="auto"/>
                                  </w:divBdr>
                                  <w:divsChild>
                                    <w:div w:id="1584532591">
                                      <w:marLeft w:val="0"/>
                                      <w:marRight w:val="0"/>
                                      <w:marTop w:val="0"/>
                                      <w:marBottom w:val="0"/>
                                      <w:divBdr>
                                        <w:top w:val="none" w:sz="0" w:space="0" w:color="auto"/>
                                        <w:left w:val="none" w:sz="0" w:space="0" w:color="auto"/>
                                        <w:bottom w:val="none" w:sz="0" w:space="0" w:color="auto"/>
                                        <w:right w:val="none" w:sz="0" w:space="0" w:color="auto"/>
                                      </w:divBdr>
                                      <w:divsChild>
                                        <w:div w:id="1793405658">
                                          <w:marLeft w:val="0"/>
                                          <w:marRight w:val="0"/>
                                          <w:marTop w:val="0"/>
                                          <w:marBottom w:val="0"/>
                                          <w:divBdr>
                                            <w:top w:val="none" w:sz="0" w:space="0" w:color="auto"/>
                                            <w:left w:val="none" w:sz="0" w:space="0" w:color="auto"/>
                                            <w:bottom w:val="none" w:sz="0" w:space="0" w:color="auto"/>
                                            <w:right w:val="none" w:sz="0" w:space="0" w:color="auto"/>
                                          </w:divBdr>
                                          <w:divsChild>
                                            <w:div w:id="22099391">
                                              <w:marLeft w:val="0"/>
                                              <w:marRight w:val="0"/>
                                              <w:marTop w:val="0"/>
                                              <w:marBottom w:val="0"/>
                                              <w:divBdr>
                                                <w:top w:val="single" w:sz="6" w:space="0" w:color="E3E3E3"/>
                                                <w:left w:val="none" w:sz="0" w:space="0" w:color="auto"/>
                                                <w:bottom w:val="none" w:sz="0" w:space="0" w:color="auto"/>
                                                <w:right w:val="none" w:sz="0" w:space="0" w:color="auto"/>
                                              </w:divBdr>
                                              <w:divsChild>
                                                <w:div w:id="12623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358490">
          <w:marLeft w:val="0"/>
          <w:marRight w:val="0"/>
          <w:marTop w:val="0"/>
          <w:marBottom w:val="0"/>
          <w:divBdr>
            <w:top w:val="none" w:sz="0" w:space="0" w:color="auto"/>
            <w:left w:val="none" w:sz="0" w:space="0" w:color="auto"/>
            <w:bottom w:val="none" w:sz="0" w:space="0" w:color="auto"/>
            <w:right w:val="none" w:sz="0" w:space="0" w:color="auto"/>
          </w:divBdr>
          <w:divsChild>
            <w:div w:id="689527529">
              <w:marLeft w:val="0"/>
              <w:marRight w:val="0"/>
              <w:marTop w:val="0"/>
              <w:marBottom w:val="0"/>
              <w:divBdr>
                <w:top w:val="none" w:sz="0" w:space="0" w:color="auto"/>
                <w:left w:val="none" w:sz="0" w:space="0" w:color="auto"/>
                <w:bottom w:val="none" w:sz="0" w:space="0" w:color="auto"/>
                <w:right w:val="none" w:sz="0" w:space="0" w:color="auto"/>
              </w:divBdr>
              <w:divsChild>
                <w:div w:id="1307009002">
                  <w:marLeft w:val="0"/>
                  <w:marRight w:val="0"/>
                  <w:marTop w:val="0"/>
                  <w:marBottom w:val="0"/>
                  <w:divBdr>
                    <w:top w:val="none" w:sz="0" w:space="0" w:color="auto"/>
                    <w:left w:val="none" w:sz="0" w:space="0" w:color="auto"/>
                    <w:bottom w:val="none" w:sz="0" w:space="0" w:color="auto"/>
                    <w:right w:val="none" w:sz="0" w:space="0" w:color="auto"/>
                  </w:divBdr>
                  <w:divsChild>
                    <w:div w:id="1131823581">
                      <w:marLeft w:val="0"/>
                      <w:marRight w:val="0"/>
                      <w:marTop w:val="0"/>
                      <w:marBottom w:val="0"/>
                      <w:divBdr>
                        <w:top w:val="none" w:sz="0" w:space="0" w:color="auto"/>
                        <w:left w:val="none" w:sz="0" w:space="0" w:color="auto"/>
                        <w:bottom w:val="none" w:sz="0" w:space="0" w:color="auto"/>
                        <w:right w:val="none" w:sz="0" w:space="0" w:color="auto"/>
                      </w:divBdr>
                      <w:divsChild>
                        <w:div w:id="374280935">
                          <w:marLeft w:val="0"/>
                          <w:marRight w:val="0"/>
                          <w:marTop w:val="0"/>
                          <w:marBottom w:val="0"/>
                          <w:divBdr>
                            <w:top w:val="none" w:sz="0" w:space="0" w:color="auto"/>
                            <w:left w:val="none" w:sz="0" w:space="0" w:color="auto"/>
                            <w:bottom w:val="none" w:sz="0" w:space="0" w:color="auto"/>
                            <w:right w:val="none" w:sz="0" w:space="0" w:color="auto"/>
                          </w:divBdr>
                          <w:divsChild>
                            <w:div w:id="1754548440">
                              <w:marLeft w:val="0"/>
                              <w:marRight w:val="0"/>
                              <w:marTop w:val="0"/>
                              <w:marBottom w:val="0"/>
                              <w:divBdr>
                                <w:top w:val="single" w:sz="6" w:space="0" w:color="auto"/>
                                <w:left w:val="single" w:sz="6" w:space="0" w:color="auto"/>
                                <w:bottom w:val="single" w:sz="6" w:space="0" w:color="auto"/>
                                <w:right w:val="single" w:sz="6" w:space="0" w:color="auto"/>
                              </w:divBdr>
                              <w:divsChild>
                                <w:div w:id="886069237">
                                  <w:marLeft w:val="0"/>
                                  <w:marRight w:val="0"/>
                                  <w:marTop w:val="0"/>
                                  <w:marBottom w:val="0"/>
                                  <w:divBdr>
                                    <w:top w:val="none" w:sz="0" w:space="0" w:color="auto"/>
                                    <w:left w:val="none" w:sz="0" w:space="0" w:color="auto"/>
                                    <w:bottom w:val="none" w:sz="0" w:space="0" w:color="auto"/>
                                    <w:right w:val="none" w:sz="0" w:space="0" w:color="auto"/>
                                  </w:divBdr>
                                  <w:divsChild>
                                    <w:div w:id="1691183096">
                                      <w:marLeft w:val="0"/>
                                      <w:marRight w:val="0"/>
                                      <w:marTop w:val="0"/>
                                      <w:marBottom w:val="0"/>
                                      <w:divBdr>
                                        <w:top w:val="none" w:sz="0" w:space="0" w:color="auto"/>
                                        <w:left w:val="none" w:sz="0" w:space="0" w:color="auto"/>
                                        <w:bottom w:val="none" w:sz="0" w:space="0" w:color="auto"/>
                                        <w:right w:val="none" w:sz="0" w:space="0" w:color="auto"/>
                                      </w:divBdr>
                                      <w:divsChild>
                                        <w:div w:id="758407578">
                                          <w:marLeft w:val="0"/>
                                          <w:marRight w:val="0"/>
                                          <w:marTop w:val="0"/>
                                          <w:marBottom w:val="0"/>
                                          <w:divBdr>
                                            <w:top w:val="none" w:sz="0" w:space="0" w:color="auto"/>
                                            <w:left w:val="none" w:sz="0" w:space="0" w:color="auto"/>
                                            <w:bottom w:val="none" w:sz="0" w:space="0" w:color="auto"/>
                                            <w:right w:val="none" w:sz="0" w:space="0" w:color="auto"/>
                                          </w:divBdr>
                                          <w:divsChild>
                                            <w:div w:id="474225233">
                                              <w:marLeft w:val="0"/>
                                              <w:marRight w:val="0"/>
                                              <w:marTop w:val="0"/>
                                              <w:marBottom w:val="300"/>
                                              <w:divBdr>
                                                <w:top w:val="none" w:sz="0" w:space="0" w:color="auto"/>
                                                <w:left w:val="none" w:sz="0" w:space="0" w:color="auto"/>
                                                <w:bottom w:val="none" w:sz="0" w:space="0" w:color="auto"/>
                                                <w:right w:val="none" w:sz="0" w:space="0" w:color="auto"/>
                                              </w:divBdr>
                                              <w:divsChild>
                                                <w:div w:id="1380474294">
                                                  <w:marLeft w:val="0"/>
                                                  <w:marRight w:val="0"/>
                                                  <w:marTop w:val="0"/>
                                                  <w:marBottom w:val="0"/>
                                                  <w:divBdr>
                                                    <w:top w:val="none" w:sz="0" w:space="0" w:color="auto"/>
                                                    <w:left w:val="none" w:sz="0" w:space="0" w:color="auto"/>
                                                    <w:bottom w:val="none" w:sz="0" w:space="0" w:color="auto"/>
                                                    <w:right w:val="none" w:sz="0" w:space="0" w:color="auto"/>
                                                  </w:divBdr>
                                                  <w:divsChild>
                                                    <w:div w:id="1204443534">
                                                      <w:marLeft w:val="0"/>
                                                      <w:marRight w:val="0"/>
                                                      <w:marTop w:val="0"/>
                                                      <w:marBottom w:val="0"/>
                                                      <w:divBdr>
                                                        <w:top w:val="none" w:sz="0" w:space="0" w:color="auto"/>
                                                        <w:left w:val="none" w:sz="0" w:space="0" w:color="auto"/>
                                                        <w:bottom w:val="none" w:sz="0" w:space="0" w:color="auto"/>
                                                        <w:right w:val="none" w:sz="0" w:space="0" w:color="auto"/>
                                                      </w:divBdr>
                                                      <w:divsChild>
                                                        <w:div w:id="2124038310">
                                                          <w:marLeft w:val="0"/>
                                                          <w:marRight w:val="0"/>
                                                          <w:marTop w:val="0"/>
                                                          <w:marBottom w:val="0"/>
                                                          <w:divBdr>
                                                            <w:top w:val="none" w:sz="0" w:space="0" w:color="auto"/>
                                                            <w:left w:val="none" w:sz="0" w:space="0" w:color="auto"/>
                                                            <w:bottom w:val="none" w:sz="0" w:space="0" w:color="auto"/>
                                                            <w:right w:val="none" w:sz="0" w:space="0" w:color="auto"/>
                                                          </w:divBdr>
                                                          <w:divsChild>
                                                            <w:div w:id="255939423">
                                                              <w:marLeft w:val="0"/>
                                                              <w:marRight w:val="0"/>
                                                              <w:marTop w:val="0"/>
                                                              <w:marBottom w:val="0"/>
                                                              <w:divBdr>
                                                                <w:top w:val="none" w:sz="0" w:space="0" w:color="auto"/>
                                                                <w:left w:val="none" w:sz="0" w:space="0" w:color="auto"/>
                                                                <w:bottom w:val="none" w:sz="0" w:space="0" w:color="auto"/>
                                                                <w:right w:val="none" w:sz="0" w:space="0" w:color="auto"/>
                                                              </w:divBdr>
                                                              <w:divsChild>
                                                                <w:div w:id="116141740">
                                                                  <w:marLeft w:val="0"/>
                                                                  <w:marRight w:val="0"/>
                                                                  <w:marTop w:val="0"/>
                                                                  <w:marBottom w:val="0"/>
                                                                  <w:divBdr>
                                                                    <w:top w:val="none" w:sz="0" w:space="0" w:color="auto"/>
                                                                    <w:left w:val="none" w:sz="0" w:space="0" w:color="auto"/>
                                                                    <w:bottom w:val="none" w:sz="0" w:space="0" w:color="auto"/>
                                                                    <w:right w:val="none" w:sz="0" w:space="0" w:color="auto"/>
                                                                  </w:divBdr>
                                                                  <w:divsChild>
                                                                    <w:div w:id="17398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2012">
                                                  <w:marLeft w:val="0"/>
                                                  <w:marRight w:val="0"/>
                                                  <w:marTop w:val="0"/>
                                                  <w:marBottom w:val="0"/>
                                                  <w:divBdr>
                                                    <w:top w:val="none" w:sz="0" w:space="0" w:color="auto"/>
                                                    <w:left w:val="none" w:sz="0" w:space="0" w:color="auto"/>
                                                    <w:bottom w:val="none" w:sz="0" w:space="0" w:color="auto"/>
                                                    <w:right w:val="none" w:sz="0" w:space="0" w:color="auto"/>
                                                  </w:divBdr>
                                                  <w:divsChild>
                                                    <w:div w:id="1727559990">
                                                      <w:marLeft w:val="0"/>
                                                      <w:marRight w:val="-225"/>
                                                      <w:marTop w:val="0"/>
                                                      <w:marBottom w:val="0"/>
                                                      <w:divBdr>
                                                        <w:top w:val="none" w:sz="0" w:space="0" w:color="auto"/>
                                                        <w:left w:val="none" w:sz="0" w:space="0" w:color="auto"/>
                                                        <w:bottom w:val="none" w:sz="0" w:space="0" w:color="auto"/>
                                                        <w:right w:val="none" w:sz="0" w:space="0" w:color="auto"/>
                                                      </w:divBdr>
                                                      <w:divsChild>
                                                        <w:div w:id="1743523346">
                                                          <w:marLeft w:val="0"/>
                                                          <w:marRight w:val="0"/>
                                                          <w:marTop w:val="0"/>
                                                          <w:marBottom w:val="0"/>
                                                          <w:divBdr>
                                                            <w:top w:val="none" w:sz="0" w:space="0" w:color="auto"/>
                                                            <w:left w:val="none" w:sz="0" w:space="0" w:color="auto"/>
                                                            <w:bottom w:val="none" w:sz="0" w:space="0" w:color="auto"/>
                                                            <w:right w:val="none" w:sz="0" w:space="0" w:color="auto"/>
                                                          </w:divBdr>
                                                          <w:divsChild>
                                                            <w:div w:id="1378164477">
                                                              <w:marLeft w:val="0"/>
                                                              <w:marRight w:val="150"/>
                                                              <w:marTop w:val="0"/>
                                                              <w:marBottom w:val="75"/>
                                                              <w:divBdr>
                                                                <w:top w:val="none" w:sz="0" w:space="0" w:color="auto"/>
                                                                <w:left w:val="none" w:sz="0" w:space="0" w:color="auto"/>
                                                                <w:bottom w:val="none" w:sz="0" w:space="0" w:color="auto"/>
                                                                <w:right w:val="none" w:sz="0" w:space="0" w:color="auto"/>
                                                              </w:divBdr>
                                                              <w:divsChild>
                                                                <w:div w:id="8725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8243">
                                                          <w:marLeft w:val="0"/>
                                                          <w:marRight w:val="0"/>
                                                          <w:marTop w:val="0"/>
                                                          <w:marBottom w:val="0"/>
                                                          <w:divBdr>
                                                            <w:top w:val="none" w:sz="0" w:space="0" w:color="auto"/>
                                                            <w:left w:val="none" w:sz="0" w:space="0" w:color="auto"/>
                                                            <w:bottom w:val="none" w:sz="0" w:space="0" w:color="auto"/>
                                                            <w:right w:val="none" w:sz="0" w:space="0" w:color="auto"/>
                                                          </w:divBdr>
                                                          <w:divsChild>
                                                            <w:div w:id="1371417821">
                                                              <w:marLeft w:val="0"/>
                                                              <w:marRight w:val="0"/>
                                                              <w:marTop w:val="0"/>
                                                              <w:marBottom w:val="0"/>
                                                              <w:divBdr>
                                                                <w:top w:val="none" w:sz="0" w:space="0" w:color="auto"/>
                                                                <w:left w:val="none" w:sz="0" w:space="0" w:color="auto"/>
                                                                <w:bottom w:val="none" w:sz="0" w:space="0" w:color="auto"/>
                                                                <w:right w:val="none" w:sz="0" w:space="0" w:color="auto"/>
                                                              </w:divBdr>
                                                            </w:div>
                                                            <w:div w:id="1729651706">
                                                              <w:marLeft w:val="0"/>
                                                              <w:marRight w:val="0"/>
                                                              <w:marTop w:val="0"/>
                                                              <w:marBottom w:val="0"/>
                                                              <w:divBdr>
                                                                <w:top w:val="none" w:sz="0" w:space="0" w:color="auto"/>
                                                                <w:left w:val="none" w:sz="0" w:space="0" w:color="auto"/>
                                                                <w:bottom w:val="none" w:sz="0" w:space="0" w:color="auto"/>
                                                                <w:right w:val="none" w:sz="0" w:space="0" w:color="auto"/>
                                                              </w:divBdr>
                                                              <w:divsChild>
                                                                <w:div w:id="5507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6785801">
      <w:bodyDiv w:val="1"/>
      <w:marLeft w:val="0"/>
      <w:marRight w:val="0"/>
      <w:marTop w:val="0"/>
      <w:marBottom w:val="0"/>
      <w:divBdr>
        <w:top w:val="none" w:sz="0" w:space="0" w:color="auto"/>
        <w:left w:val="none" w:sz="0" w:space="0" w:color="auto"/>
        <w:bottom w:val="none" w:sz="0" w:space="0" w:color="auto"/>
        <w:right w:val="none" w:sz="0" w:space="0" w:color="auto"/>
      </w:divBdr>
      <w:divsChild>
        <w:div w:id="714162173">
          <w:marLeft w:val="0"/>
          <w:marRight w:val="0"/>
          <w:marTop w:val="0"/>
          <w:marBottom w:val="0"/>
          <w:divBdr>
            <w:top w:val="none" w:sz="0" w:space="0" w:color="auto"/>
            <w:left w:val="none" w:sz="0" w:space="0" w:color="auto"/>
            <w:bottom w:val="none" w:sz="0" w:space="0" w:color="auto"/>
            <w:right w:val="none" w:sz="0" w:space="0" w:color="auto"/>
          </w:divBdr>
        </w:div>
      </w:divsChild>
    </w:div>
    <w:div w:id="1937908120">
      <w:bodyDiv w:val="1"/>
      <w:marLeft w:val="0"/>
      <w:marRight w:val="0"/>
      <w:marTop w:val="0"/>
      <w:marBottom w:val="0"/>
      <w:divBdr>
        <w:top w:val="none" w:sz="0" w:space="0" w:color="auto"/>
        <w:left w:val="none" w:sz="0" w:space="0" w:color="auto"/>
        <w:bottom w:val="none" w:sz="0" w:space="0" w:color="auto"/>
        <w:right w:val="none" w:sz="0" w:space="0" w:color="auto"/>
      </w:divBdr>
      <w:divsChild>
        <w:div w:id="2024897900">
          <w:marLeft w:val="0"/>
          <w:marRight w:val="0"/>
          <w:marTop w:val="0"/>
          <w:marBottom w:val="0"/>
          <w:divBdr>
            <w:top w:val="none" w:sz="0" w:space="0" w:color="auto"/>
            <w:left w:val="none" w:sz="0" w:space="0" w:color="auto"/>
            <w:bottom w:val="none" w:sz="0" w:space="0" w:color="auto"/>
            <w:right w:val="none" w:sz="0" w:space="0" w:color="auto"/>
          </w:divBdr>
        </w:div>
        <w:div w:id="500968654">
          <w:marLeft w:val="0"/>
          <w:marRight w:val="0"/>
          <w:marTop w:val="0"/>
          <w:marBottom w:val="150"/>
          <w:divBdr>
            <w:top w:val="none" w:sz="0" w:space="0" w:color="auto"/>
            <w:left w:val="none" w:sz="0" w:space="0" w:color="auto"/>
            <w:bottom w:val="none" w:sz="0" w:space="0" w:color="auto"/>
            <w:right w:val="none" w:sz="0" w:space="0" w:color="auto"/>
          </w:divBdr>
          <w:divsChild>
            <w:div w:id="1145009627">
              <w:marLeft w:val="0"/>
              <w:marRight w:val="0"/>
              <w:marTop w:val="240"/>
              <w:marBottom w:val="240"/>
              <w:divBdr>
                <w:top w:val="single" w:sz="6" w:space="6" w:color="F2F2F2"/>
                <w:left w:val="none" w:sz="0" w:space="0" w:color="auto"/>
                <w:bottom w:val="single" w:sz="6" w:space="6" w:color="F2F2F2"/>
                <w:right w:val="none" w:sz="0" w:space="0" w:color="auto"/>
              </w:divBdr>
            </w:div>
            <w:div w:id="1983928053">
              <w:marLeft w:val="0"/>
              <w:marRight w:val="0"/>
              <w:marTop w:val="0"/>
              <w:marBottom w:val="0"/>
              <w:divBdr>
                <w:top w:val="none" w:sz="0" w:space="0" w:color="auto"/>
                <w:left w:val="none" w:sz="0" w:space="0" w:color="auto"/>
                <w:bottom w:val="none" w:sz="0" w:space="0" w:color="auto"/>
                <w:right w:val="none" w:sz="0" w:space="0" w:color="auto"/>
              </w:divBdr>
              <w:divsChild>
                <w:div w:id="1945529358">
                  <w:marLeft w:val="0"/>
                  <w:marRight w:val="0"/>
                  <w:marTop w:val="0"/>
                  <w:marBottom w:val="240"/>
                  <w:divBdr>
                    <w:top w:val="none" w:sz="0" w:space="0" w:color="auto"/>
                    <w:left w:val="none" w:sz="0" w:space="0" w:color="auto"/>
                    <w:bottom w:val="none" w:sz="0" w:space="0" w:color="auto"/>
                    <w:right w:val="none" w:sz="0" w:space="0" w:color="auto"/>
                  </w:divBdr>
                </w:div>
                <w:div w:id="6287264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8174962">
      <w:bodyDiv w:val="1"/>
      <w:marLeft w:val="0"/>
      <w:marRight w:val="0"/>
      <w:marTop w:val="0"/>
      <w:marBottom w:val="0"/>
      <w:divBdr>
        <w:top w:val="none" w:sz="0" w:space="0" w:color="auto"/>
        <w:left w:val="none" w:sz="0" w:space="0" w:color="auto"/>
        <w:bottom w:val="none" w:sz="0" w:space="0" w:color="auto"/>
        <w:right w:val="none" w:sz="0" w:space="0" w:color="auto"/>
      </w:divBdr>
      <w:divsChild>
        <w:div w:id="1216234717">
          <w:marLeft w:val="0"/>
          <w:marRight w:val="0"/>
          <w:marTop w:val="0"/>
          <w:marBottom w:val="0"/>
          <w:divBdr>
            <w:top w:val="none" w:sz="0" w:space="0" w:color="auto"/>
            <w:left w:val="none" w:sz="0" w:space="0" w:color="auto"/>
            <w:bottom w:val="none" w:sz="0" w:space="0" w:color="auto"/>
            <w:right w:val="none" w:sz="0" w:space="0" w:color="auto"/>
          </w:divBdr>
          <w:divsChild>
            <w:div w:id="1164975051">
              <w:marLeft w:val="0"/>
              <w:marRight w:val="0"/>
              <w:marTop w:val="0"/>
              <w:marBottom w:val="0"/>
              <w:divBdr>
                <w:top w:val="none" w:sz="0" w:space="0" w:color="auto"/>
                <w:left w:val="none" w:sz="0" w:space="0" w:color="auto"/>
                <w:bottom w:val="none" w:sz="0" w:space="0" w:color="auto"/>
                <w:right w:val="none" w:sz="0" w:space="0" w:color="auto"/>
              </w:divBdr>
              <w:divsChild>
                <w:div w:id="1392191205">
                  <w:marLeft w:val="0"/>
                  <w:marRight w:val="0"/>
                  <w:marTop w:val="0"/>
                  <w:marBottom w:val="0"/>
                  <w:divBdr>
                    <w:top w:val="none" w:sz="0" w:space="0" w:color="auto"/>
                    <w:left w:val="none" w:sz="0" w:space="0" w:color="auto"/>
                    <w:bottom w:val="none" w:sz="0" w:space="0" w:color="auto"/>
                    <w:right w:val="none" w:sz="0" w:space="0" w:color="auto"/>
                  </w:divBdr>
                  <w:divsChild>
                    <w:div w:id="116720726">
                      <w:marLeft w:val="0"/>
                      <w:marRight w:val="0"/>
                      <w:marTop w:val="0"/>
                      <w:marBottom w:val="0"/>
                      <w:divBdr>
                        <w:top w:val="none" w:sz="0" w:space="0" w:color="auto"/>
                        <w:left w:val="none" w:sz="0" w:space="0" w:color="auto"/>
                        <w:bottom w:val="none" w:sz="0" w:space="0" w:color="auto"/>
                        <w:right w:val="none" w:sz="0" w:space="0" w:color="auto"/>
                      </w:divBdr>
                      <w:divsChild>
                        <w:div w:id="1162548793">
                          <w:marLeft w:val="0"/>
                          <w:marRight w:val="0"/>
                          <w:marTop w:val="0"/>
                          <w:marBottom w:val="0"/>
                          <w:divBdr>
                            <w:top w:val="none" w:sz="0" w:space="0" w:color="auto"/>
                            <w:left w:val="none" w:sz="0" w:space="0" w:color="auto"/>
                            <w:bottom w:val="none" w:sz="0" w:space="0" w:color="auto"/>
                            <w:right w:val="none" w:sz="0" w:space="0" w:color="auto"/>
                          </w:divBdr>
                          <w:divsChild>
                            <w:div w:id="2020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516157">
      <w:bodyDiv w:val="1"/>
      <w:marLeft w:val="0"/>
      <w:marRight w:val="0"/>
      <w:marTop w:val="0"/>
      <w:marBottom w:val="0"/>
      <w:divBdr>
        <w:top w:val="none" w:sz="0" w:space="0" w:color="auto"/>
        <w:left w:val="none" w:sz="0" w:space="0" w:color="auto"/>
        <w:bottom w:val="none" w:sz="0" w:space="0" w:color="auto"/>
        <w:right w:val="none" w:sz="0" w:space="0" w:color="auto"/>
      </w:divBdr>
    </w:div>
    <w:div w:id="1938639279">
      <w:bodyDiv w:val="1"/>
      <w:marLeft w:val="0"/>
      <w:marRight w:val="0"/>
      <w:marTop w:val="0"/>
      <w:marBottom w:val="0"/>
      <w:divBdr>
        <w:top w:val="none" w:sz="0" w:space="0" w:color="auto"/>
        <w:left w:val="none" w:sz="0" w:space="0" w:color="auto"/>
        <w:bottom w:val="none" w:sz="0" w:space="0" w:color="auto"/>
        <w:right w:val="none" w:sz="0" w:space="0" w:color="auto"/>
      </w:divBdr>
      <w:divsChild>
        <w:div w:id="1080710196">
          <w:marLeft w:val="0"/>
          <w:marRight w:val="0"/>
          <w:marTop w:val="0"/>
          <w:marBottom w:val="0"/>
          <w:divBdr>
            <w:top w:val="none" w:sz="0" w:space="0" w:color="auto"/>
            <w:left w:val="none" w:sz="0" w:space="0" w:color="auto"/>
            <w:bottom w:val="none" w:sz="0" w:space="0" w:color="auto"/>
            <w:right w:val="none" w:sz="0" w:space="0" w:color="auto"/>
          </w:divBdr>
          <w:divsChild>
            <w:div w:id="58480017">
              <w:marLeft w:val="0"/>
              <w:marRight w:val="0"/>
              <w:marTop w:val="0"/>
              <w:marBottom w:val="0"/>
              <w:divBdr>
                <w:top w:val="none" w:sz="0" w:space="0" w:color="auto"/>
                <w:left w:val="none" w:sz="0" w:space="0" w:color="auto"/>
                <w:bottom w:val="none" w:sz="0" w:space="0" w:color="auto"/>
                <w:right w:val="none" w:sz="0" w:space="0" w:color="auto"/>
              </w:divBdr>
              <w:divsChild>
                <w:div w:id="966810881">
                  <w:marLeft w:val="0"/>
                  <w:marRight w:val="0"/>
                  <w:marTop w:val="0"/>
                  <w:marBottom w:val="0"/>
                  <w:divBdr>
                    <w:top w:val="none" w:sz="0" w:space="0" w:color="auto"/>
                    <w:left w:val="none" w:sz="0" w:space="0" w:color="auto"/>
                    <w:bottom w:val="none" w:sz="0" w:space="0" w:color="auto"/>
                    <w:right w:val="none" w:sz="0" w:space="0" w:color="auto"/>
                  </w:divBdr>
                  <w:divsChild>
                    <w:div w:id="1500191380">
                      <w:marLeft w:val="0"/>
                      <w:marRight w:val="0"/>
                      <w:marTop w:val="0"/>
                      <w:marBottom w:val="0"/>
                      <w:divBdr>
                        <w:top w:val="none" w:sz="0" w:space="0" w:color="auto"/>
                        <w:left w:val="none" w:sz="0" w:space="0" w:color="auto"/>
                        <w:bottom w:val="none" w:sz="0" w:space="0" w:color="auto"/>
                        <w:right w:val="none" w:sz="0" w:space="0" w:color="auto"/>
                      </w:divBdr>
                      <w:divsChild>
                        <w:div w:id="1631089477">
                          <w:marLeft w:val="0"/>
                          <w:marRight w:val="0"/>
                          <w:marTop w:val="0"/>
                          <w:marBottom w:val="0"/>
                          <w:divBdr>
                            <w:top w:val="none" w:sz="0" w:space="0" w:color="auto"/>
                            <w:left w:val="none" w:sz="0" w:space="0" w:color="auto"/>
                            <w:bottom w:val="none" w:sz="0" w:space="0" w:color="auto"/>
                            <w:right w:val="none" w:sz="0" w:space="0" w:color="auto"/>
                          </w:divBdr>
                          <w:divsChild>
                            <w:div w:id="1367683935">
                              <w:marLeft w:val="0"/>
                              <w:marRight w:val="0"/>
                              <w:marTop w:val="0"/>
                              <w:marBottom w:val="0"/>
                              <w:divBdr>
                                <w:top w:val="none" w:sz="0" w:space="0" w:color="auto"/>
                                <w:left w:val="none" w:sz="0" w:space="0" w:color="auto"/>
                                <w:bottom w:val="none" w:sz="0" w:space="0" w:color="auto"/>
                                <w:right w:val="none" w:sz="0" w:space="0" w:color="auto"/>
                              </w:divBdr>
                              <w:divsChild>
                                <w:div w:id="1748303907">
                                  <w:marLeft w:val="0"/>
                                  <w:marRight w:val="0"/>
                                  <w:marTop w:val="0"/>
                                  <w:marBottom w:val="0"/>
                                  <w:divBdr>
                                    <w:top w:val="none" w:sz="0" w:space="0" w:color="auto"/>
                                    <w:left w:val="none" w:sz="0" w:space="0" w:color="auto"/>
                                    <w:bottom w:val="none" w:sz="0" w:space="0" w:color="auto"/>
                                    <w:right w:val="none" w:sz="0" w:space="0" w:color="auto"/>
                                  </w:divBdr>
                                  <w:divsChild>
                                    <w:div w:id="1107239471">
                                      <w:marLeft w:val="0"/>
                                      <w:marRight w:val="0"/>
                                      <w:marTop w:val="0"/>
                                      <w:marBottom w:val="0"/>
                                      <w:divBdr>
                                        <w:top w:val="none" w:sz="0" w:space="0" w:color="auto"/>
                                        <w:left w:val="none" w:sz="0" w:space="0" w:color="auto"/>
                                        <w:bottom w:val="none" w:sz="0" w:space="0" w:color="auto"/>
                                        <w:right w:val="none" w:sz="0" w:space="0" w:color="auto"/>
                                      </w:divBdr>
                                      <w:divsChild>
                                        <w:div w:id="1056588917">
                                          <w:marLeft w:val="0"/>
                                          <w:marRight w:val="0"/>
                                          <w:marTop w:val="0"/>
                                          <w:marBottom w:val="0"/>
                                          <w:divBdr>
                                            <w:top w:val="none" w:sz="0" w:space="0" w:color="auto"/>
                                            <w:left w:val="none" w:sz="0" w:space="0" w:color="auto"/>
                                            <w:bottom w:val="none" w:sz="0" w:space="0" w:color="auto"/>
                                            <w:right w:val="none" w:sz="0" w:space="0" w:color="auto"/>
                                          </w:divBdr>
                                        </w:div>
                                        <w:div w:id="535889498">
                                          <w:marLeft w:val="0"/>
                                          <w:marRight w:val="0"/>
                                          <w:marTop w:val="0"/>
                                          <w:marBottom w:val="0"/>
                                          <w:divBdr>
                                            <w:top w:val="none" w:sz="0" w:space="0" w:color="auto"/>
                                            <w:left w:val="none" w:sz="0" w:space="0" w:color="auto"/>
                                            <w:bottom w:val="none" w:sz="0" w:space="0" w:color="auto"/>
                                            <w:right w:val="none" w:sz="0" w:space="0" w:color="auto"/>
                                          </w:divBdr>
                                          <w:divsChild>
                                            <w:div w:id="4028035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824891">
      <w:bodyDiv w:val="1"/>
      <w:marLeft w:val="0"/>
      <w:marRight w:val="0"/>
      <w:marTop w:val="0"/>
      <w:marBottom w:val="0"/>
      <w:divBdr>
        <w:top w:val="none" w:sz="0" w:space="0" w:color="auto"/>
        <w:left w:val="none" w:sz="0" w:space="0" w:color="auto"/>
        <w:bottom w:val="none" w:sz="0" w:space="0" w:color="auto"/>
        <w:right w:val="none" w:sz="0" w:space="0" w:color="auto"/>
      </w:divBdr>
      <w:divsChild>
        <w:div w:id="644814776">
          <w:marLeft w:val="0"/>
          <w:marRight w:val="0"/>
          <w:marTop w:val="0"/>
          <w:marBottom w:val="0"/>
          <w:divBdr>
            <w:top w:val="none" w:sz="0" w:space="0" w:color="auto"/>
            <w:left w:val="none" w:sz="0" w:space="0" w:color="auto"/>
            <w:bottom w:val="none" w:sz="0" w:space="0" w:color="auto"/>
            <w:right w:val="none" w:sz="0" w:space="0" w:color="auto"/>
          </w:divBdr>
          <w:divsChild>
            <w:div w:id="2044397236">
              <w:marLeft w:val="0"/>
              <w:marRight w:val="0"/>
              <w:marTop w:val="0"/>
              <w:marBottom w:val="0"/>
              <w:divBdr>
                <w:top w:val="none" w:sz="0" w:space="0" w:color="auto"/>
                <w:left w:val="none" w:sz="0" w:space="0" w:color="auto"/>
                <w:bottom w:val="none" w:sz="0" w:space="0" w:color="auto"/>
                <w:right w:val="none" w:sz="0" w:space="0" w:color="auto"/>
              </w:divBdr>
              <w:divsChild>
                <w:div w:id="655720357">
                  <w:marLeft w:val="0"/>
                  <w:marRight w:val="0"/>
                  <w:marTop w:val="0"/>
                  <w:marBottom w:val="0"/>
                  <w:divBdr>
                    <w:top w:val="none" w:sz="0" w:space="0" w:color="auto"/>
                    <w:left w:val="none" w:sz="0" w:space="0" w:color="auto"/>
                    <w:bottom w:val="none" w:sz="0" w:space="0" w:color="auto"/>
                    <w:right w:val="none" w:sz="0" w:space="0" w:color="auto"/>
                  </w:divBdr>
                  <w:divsChild>
                    <w:div w:id="1263103989">
                      <w:marLeft w:val="0"/>
                      <w:marRight w:val="0"/>
                      <w:marTop w:val="0"/>
                      <w:marBottom w:val="0"/>
                      <w:divBdr>
                        <w:top w:val="none" w:sz="0" w:space="0" w:color="auto"/>
                        <w:left w:val="none" w:sz="0" w:space="0" w:color="auto"/>
                        <w:bottom w:val="none" w:sz="0" w:space="0" w:color="auto"/>
                        <w:right w:val="none" w:sz="0" w:space="0" w:color="auto"/>
                      </w:divBdr>
                      <w:divsChild>
                        <w:div w:id="1291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58914">
      <w:bodyDiv w:val="1"/>
      <w:marLeft w:val="0"/>
      <w:marRight w:val="0"/>
      <w:marTop w:val="0"/>
      <w:marBottom w:val="0"/>
      <w:divBdr>
        <w:top w:val="none" w:sz="0" w:space="0" w:color="auto"/>
        <w:left w:val="none" w:sz="0" w:space="0" w:color="auto"/>
        <w:bottom w:val="none" w:sz="0" w:space="0" w:color="auto"/>
        <w:right w:val="none" w:sz="0" w:space="0" w:color="auto"/>
      </w:divBdr>
      <w:divsChild>
        <w:div w:id="353271446">
          <w:marLeft w:val="0"/>
          <w:marRight w:val="0"/>
          <w:marTop w:val="0"/>
          <w:marBottom w:val="0"/>
          <w:divBdr>
            <w:top w:val="none" w:sz="0" w:space="0" w:color="auto"/>
            <w:left w:val="none" w:sz="0" w:space="0" w:color="auto"/>
            <w:bottom w:val="none" w:sz="0" w:space="0" w:color="auto"/>
            <w:right w:val="none" w:sz="0" w:space="0" w:color="auto"/>
          </w:divBdr>
          <w:divsChild>
            <w:div w:id="1135098898">
              <w:marLeft w:val="0"/>
              <w:marRight w:val="0"/>
              <w:marTop w:val="0"/>
              <w:marBottom w:val="0"/>
              <w:divBdr>
                <w:top w:val="none" w:sz="0" w:space="0" w:color="auto"/>
                <w:left w:val="none" w:sz="0" w:space="0" w:color="auto"/>
                <w:bottom w:val="none" w:sz="0" w:space="0" w:color="auto"/>
                <w:right w:val="none" w:sz="0" w:space="0" w:color="auto"/>
              </w:divBdr>
              <w:divsChild>
                <w:div w:id="509565783">
                  <w:marLeft w:val="0"/>
                  <w:marRight w:val="0"/>
                  <w:marTop w:val="0"/>
                  <w:marBottom w:val="0"/>
                  <w:divBdr>
                    <w:top w:val="none" w:sz="0" w:space="0" w:color="auto"/>
                    <w:left w:val="none" w:sz="0" w:space="0" w:color="auto"/>
                    <w:bottom w:val="none" w:sz="0" w:space="0" w:color="auto"/>
                    <w:right w:val="none" w:sz="0" w:space="0" w:color="auto"/>
                  </w:divBdr>
                  <w:divsChild>
                    <w:div w:id="720595633">
                      <w:marLeft w:val="0"/>
                      <w:marRight w:val="0"/>
                      <w:marTop w:val="0"/>
                      <w:marBottom w:val="0"/>
                      <w:divBdr>
                        <w:top w:val="none" w:sz="0" w:space="0" w:color="auto"/>
                        <w:left w:val="none" w:sz="0" w:space="0" w:color="auto"/>
                        <w:bottom w:val="none" w:sz="0" w:space="0" w:color="auto"/>
                        <w:right w:val="none" w:sz="0" w:space="0" w:color="auto"/>
                      </w:divBdr>
                      <w:divsChild>
                        <w:div w:id="923032440">
                          <w:marLeft w:val="0"/>
                          <w:marRight w:val="0"/>
                          <w:marTop w:val="0"/>
                          <w:marBottom w:val="0"/>
                          <w:divBdr>
                            <w:top w:val="none" w:sz="0" w:space="0" w:color="auto"/>
                            <w:left w:val="none" w:sz="0" w:space="0" w:color="auto"/>
                            <w:bottom w:val="none" w:sz="0" w:space="0" w:color="auto"/>
                            <w:right w:val="none" w:sz="0" w:space="0" w:color="auto"/>
                          </w:divBdr>
                          <w:divsChild>
                            <w:div w:id="683749244">
                              <w:marLeft w:val="0"/>
                              <w:marRight w:val="0"/>
                              <w:marTop w:val="0"/>
                              <w:marBottom w:val="0"/>
                              <w:divBdr>
                                <w:top w:val="none" w:sz="0" w:space="0" w:color="auto"/>
                                <w:left w:val="none" w:sz="0" w:space="0" w:color="auto"/>
                                <w:bottom w:val="none" w:sz="0" w:space="0" w:color="auto"/>
                                <w:right w:val="none" w:sz="0" w:space="0" w:color="auto"/>
                              </w:divBdr>
                              <w:divsChild>
                                <w:div w:id="1944069724">
                                  <w:marLeft w:val="0"/>
                                  <w:marRight w:val="0"/>
                                  <w:marTop w:val="0"/>
                                  <w:marBottom w:val="0"/>
                                  <w:divBdr>
                                    <w:top w:val="none" w:sz="0" w:space="0" w:color="auto"/>
                                    <w:left w:val="none" w:sz="0" w:space="0" w:color="auto"/>
                                    <w:bottom w:val="none" w:sz="0" w:space="0" w:color="auto"/>
                                    <w:right w:val="none" w:sz="0" w:space="0" w:color="auto"/>
                                  </w:divBdr>
                                  <w:divsChild>
                                    <w:div w:id="521666756">
                                      <w:marLeft w:val="0"/>
                                      <w:marRight w:val="0"/>
                                      <w:marTop w:val="0"/>
                                      <w:marBottom w:val="0"/>
                                      <w:divBdr>
                                        <w:top w:val="none" w:sz="0" w:space="0" w:color="auto"/>
                                        <w:left w:val="none" w:sz="0" w:space="0" w:color="auto"/>
                                        <w:bottom w:val="none" w:sz="0" w:space="0" w:color="auto"/>
                                        <w:right w:val="none" w:sz="0" w:space="0" w:color="auto"/>
                                      </w:divBdr>
                                      <w:divsChild>
                                        <w:div w:id="2551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61412">
      <w:bodyDiv w:val="1"/>
      <w:marLeft w:val="0"/>
      <w:marRight w:val="0"/>
      <w:marTop w:val="0"/>
      <w:marBottom w:val="0"/>
      <w:divBdr>
        <w:top w:val="none" w:sz="0" w:space="0" w:color="auto"/>
        <w:left w:val="none" w:sz="0" w:space="0" w:color="auto"/>
        <w:bottom w:val="none" w:sz="0" w:space="0" w:color="auto"/>
        <w:right w:val="none" w:sz="0" w:space="0" w:color="auto"/>
      </w:divBdr>
    </w:div>
    <w:div w:id="1941914125">
      <w:bodyDiv w:val="1"/>
      <w:marLeft w:val="0"/>
      <w:marRight w:val="0"/>
      <w:marTop w:val="0"/>
      <w:marBottom w:val="0"/>
      <w:divBdr>
        <w:top w:val="none" w:sz="0" w:space="0" w:color="auto"/>
        <w:left w:val="none" w:sz="0" w:space="0" w:color="auto"/>
        <w:bottom w:val="none" w:sz="0" w:space="0" w:color="auto"/>
        <w:right w:val="none" w:sz="0" w:space="0" w:color="auto"/>
      </w:divBdr>
      <w:divsChild>
        <w:div w:id="2028411055">
          <w:marLeft w:val="0"/>
          <w:marRight w:val="0"/>
          <w:marTop w:val="0"/>
          <w:marBottom w:val="0"/>
          <w:divBdr>
            <w:top w:val="none" w:sz="0" w:space="0" w:color="auto"/>
            <w:left w:val="none" w:sz="0" w:space="0" w:color="auto"/>
            <w:bottom w:val="none" w:sz="0" w:space="0" w:color="auto"/>
            <w:right w:val="none" w:sz="0" w:space="0" w:color="auto"/>
          </w:divBdr>
          <w:divsChild>
            <w:div w:id="169224995">
              <w:marLeft w:val="0"/>
              <w:marRight w:val="0"/>
              <w:marTop w:val="0"/>
              <w:marBottom w:val="0"/>
              <w:divBdr>
                <w:top w:val="none" w:sz="0" w:space="0" w:color="auto"/>
                <w:left w:val="none" w:sz="0" w:space="0" w:color="auto"/>
                <w:bottom w:val="none" w:sz="0" w:space="0" w:color="auto"/>
                <w:right w:val="none" w:sz="0" w:space="0" w:color="auto"/>
              </w:divBdr>
              <w:divsChild>
                <w:div w:id="478040517">
                  <w:marLeft w:val="0"/>
                  <w:marRight w:val="0"/>
                  <w:marTop w:val="0"/>
                  <w:marBottom w:val="0"/>
                  <w:divBdr>
                    <w:top w:val="none" w:sz="0" w:space="0" w:color="auto"/>
                    <w:left w:val="none" w:sz="0" w:space="0" w:color="auto"/>
                    <w:bottom w:val="none" w:sz="0" w:space="0" w:color="auto"/>
                    <w:right w:val="none" w:sz="0" w:space="0" w:color="auto"/>
                  </w:divBdr>
                  <w:divsChild>
                    <w:div w:id="1329362900">
                      <w:marLeft w:val="0"/>
                      <w:marRight w:val="0"/>
                      <w:marTop w:val="0"/>
                      <w:marBottom w:val="0"/>
                      <w:divBdr>
                        <w:top w:val="none" w:sz="0" w:space="0" w:color="auto"/>
                        <w:left w:val="none" w:sz="0" w:space="0" w:color="auto"/>
                        <w:bottom w:val="none" w:sz="0" w:space="0" w:color="auto"/>
                        <w:right w:val="none" w:sz="0" w:space="0" w:color="auto"/>
                      </w:divBdr>
                      <w:divsChild>
                        <w:div w:id="1333098109">
                          <w:marLeft w:val="0"/>
                          <w:marRight w:val="0"/>
                          <w:marTop w:val="0"/>
                          <w:marBottom w:val="0"/>
                          <w:divBdr>
                            <w:top w:val="none" w:sz="0" w:space="0" w:color="auto"/>
                            <w:left w:val="none" w:sz="0" w:space="0" w:color="auto"/>
                            <w:bottom w:val="none" w:sz="0" w:space="0" w:color="auto"/>
                            <w:right w:val="none" w:sz="0" w:space="0" w:color="auto"/>
                          </w:divBdr>
                          <w:divsChild>
                            <w:div w:id="64501569">
                              <w:marLeft w:val="0"/>
                              <w:marRight w:val="0"/>
                              <w:marTop w:val="0"/>
                              <w:marBottom w:val="0"/>
                              <w:divBdr>
                                <w:top w:val="none" w:sz="0" w:space="0" w:color="auto"/>
                                <w:left w:val="none" w:sz="0" w:space="0" w:color="auto"/>
                                <w:bottom w:val="none" w:sz="0" w:space="0" w:color="auto"/>
                                <w:right w:val="none" w:sz="0" w:space="0" w:color="auto"/>
                              </w:divBdr>
                              <w:divsChild>
                                <w:div w:id="1756248399">
                                  <w:marLeft w:val="0"/>
                                  <w:marRight w:val="0"/>
                                  <w:marTop w:val="0"/>
                                  <w:marBottom w:val="0"/>
                                  <w:divBdr>
                                    <w:top w:val="none" w:sz="0" w:space="0" w:color="auto"/>
                                    <w:left w:val="none" w:sz="0" w:space="0" w:color="auto"/>
                                    <w:bottom w:val="none" w:sz="0" w:space="0" w:color="auto"/>
                                    <w:right w:val="none" w:sz="0" w:space="0" w:color="auto"/>
                                  </w:divBdr>
                                </w:div>
                                <w:div w:id="8200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566977">
      <w:bodyDiv w:val="1"/>
      <w:marLeft w:val="0"/>
      <w:marRight w:val="0"/>
      <w:marTop w:val="0"/>
      <w:marBottom w:val="0"/>
      <w:divBdr>
        <w:top w:val="none" w:sz="0" w:space="0" w:color="auto"/>
        <w:left w:val="none" w:sz="0" w:space="0" w:color="auto"/>
        <w:bottom w:val="none" w:sz="0" w:space="0" w:color="auto"/>
        <w:right w:val="none" w:sz="0" w:space="0" w:color="auto"/>
      </w:divBdr>
      <w:divsChild>
        <w:div w:id="1660116461">
          <w:marLeft w:val="0"/>
          <w:marRight w:val="0"/>
          <w:marTop w:val="0"/>
          <w:marBottom w:val="0"/>
          <w:divBdr>
            <w:top w:val="none" w:sz="0" w:space="0" w:color="auto"/>
            <w:left w:val="none" w:sz="0" w:space="0" w:color="auto"/>
            <w:bottom w:val="none" w:sz="0" w:space="0" w:color="auto"/>
            <w:right w:val="none" w:sz="0" w:space="0" w:color="auto"/>
          </w:divBdr>
          <w:divsChild>
            <w:div w:id="984551558">
              <w:marLeft w:val="0"/>
              <w:marRight w:val="0"/>
              <w:marTop w:val="0"/>
              <w:marBottom w:val="0"/>
              <w:divBdr>
                <w:top w:val="none" w:sz="0" w:space="0" w:color="auto"/>
                <w:left w:val="none" w:sz="0" w:space="0" w:color="auto"/>
                <w:bottom w:val="none" w:sz="0" w:space="0" w:color="auto"/>
                <w:right w:val="none" w:sz="0" w:space="0" w:color="auto"/>
              </w:divBdr>
              <w:divsChild>
                <w:div w:id="1384595662">
                  <w:marLeft w:val="0"/>
                  <w:marRight w:val="0"/>
                  <w:marTop w:val="0"/>
                  <w:marBottom w:val="0"/>
                  <w:divBdr>
                    <w:top w:val="none" w:sz="0" w:space="0" w:color="auto"/>
                    <w:left w:val="none" w:sz="0" w:space="0" w:color="auto"/>
                    <w:bottom w:val="none" w:sz="0" w:space="0" w:color="auto"/>
                    <w:right w:val="none" w:sz="0" w:space="0" w:color="auto"/>
                  </w:divBdr>
                  <w:divsChild>
                    <w:div w:id="1790318289">
                      <w:marLeft w:val="0"/>
                      <w:marRight w:val="0"/>
                      <w:marTop w:val="0"/>
                      <w:marBottom w:val="0"/>
                      <w:divBdr>
                        <w:top w:val="none" w:sz="0" w:space="0" w:color="auto"/>
                        <w:left w:val="none" w:sz="0" w:space="0" w:color="auto"/>
                        <w:bottom w:val="none" w:sz="0" w:space="0" w:color="auto"/>
                        <w:right w:val="none" w:sz="0" w:space="0" w:color="auto"/>
                      </w:divBdr>
                      <w:divsChild>
                        <w:div w:id="1759717118">
                          <w:marLeft w:val="0"/>
                          <w:marRight w:val="0"/>
                          <w:marTop w:val="0"/>
                          <w:marBottom w:val="0"/>
                          <w:divBdr>
                            <w:top w:val="none" w:sz="0" w:space="0" w:color="auto"/>
                            <w:left w:val="none" w:sz="0" w:space="0" w:color="auto"/>
                            <w:bottom w:val="none" w:sz="0" w:space="0" w:color="auto"/>
                            <w:right w:val="none" w:sz="0" w:space="0" w:color="auto"/>
                          </w:divBdr>
                          <w:divsChild>
                            <w:div w:id="2114087946">
                              <w:marLeft w:val="0"/>
                              <w:marRight w:val="0"/>
                              <w:marTop w:val="0"/>
                              <w:marBottom w:val="0"/>
                              <w:divBdr>
                                <w:top w:val="none" w:sz="0" w:space="0" w:color="auto"/>
                                <w:left w:val="none" w:sz="0" w:space="0" w:color="auto"/>
                                <w:bottom w:val="none" w:sz="0" w:space="0" w:color="auto"/>
                                <w:right w:val="none" w:sz="0" w:space="0" w:color="auto"/>
                              </w:divBdr>
                              <w:divsChild>
                                <w:div w:id="1142388471">
                                  <w:marLeft w:val="0"/>
                                  <w:marRight w:val="0"/>
                                  <w:marTop w:val="0"/>
                                  <w:marBottom w:val="0"/>
                                  <w:divBdr>
                                    <w:top w:val="none" w:sz="0" w:space="0" w:color="auto"/>
                                    <w:left w:val="none" w:sz="0" w:space="0" w:color="auto"/>
                                    <w:bottom w:val="none" w:sz="0" w:space="0" w:color="auto"/>
                                    <w:right w:val="none" w:sz="0" w:space="0" w:color="auto"/>
                                  </w:divBdr>
                                  <w:divsChild>
                                    <w:div w:id="25107036">
                                      <w:marLeft w:val="0"/>
                                      <w:marRight w:val="0"/>
                                      <w:marTop w:val="0"/>
                                      <w:marBottom w:val="0"/>
                                      <w:divBdr>
                                        <w:top w:val="none" w:sz="0" w:space="0" w:color="auto"/>
                                        <w:left w:val="none" w:sz="0" w:space="0" w:color="auto"/>
                                        <w:bottom w:val="none" w:sz="0" w:space="0" w:color="auto"/>
                                        <w:right w:val="none" w:sz="0" w:space="0" w:color="auto"/>
                                      </w:divBdr>
                                      <w:divsChild>
                                        <w:div w:id="1332830778">
                                          <w:marLeft w:val="0"/>
                                          <w:marRight w:val="0"/>
                                          <w:marTop w:val="0"/>
                                          <w:marBottom w:val="0"/>
                                          <w:divBdr>
                                            <w:top w:val="none" w:sz="0" w:space="0" w:color="auto"/>
                                            <w:left w:val="none" w:sz="0" w:space="0" w:color="auto"/>
                                            <w:bottom w:val="none" w:sz="0" w:space="0" w:color="auto"/>
                                            <w:right w:val="none" w:sz="0" w:space="0" w:color="auto"/>
                                          </w:divBdr>
                                        </w:div>
                                        <w:div w:id="2062291185">
                                          <w:marLeft w:val="0"/>
                                          <w:marRight w:val="0"/>
                                          <w:marTop w:val="0"/>
                                          <w:marBottom w:val="0"/>
                                          <w:divBdr>
                                            <w:top w:val="none" w:sz="0" w:space="0" w:color="auto"/>
                                            <w:left w:val="none" w:sz="0" w:space="0" w:color="auto"/>
                                            <w:bottom w:val="none" w:sz="0" w:space="0" w:color="auto"/>
                                            <w:right w:val="none" w:sz="0" w:space="0" w:color="auto"/>
                                          </w:divBdr>
                                          <w:divsChild>
                                            <w:div w:id="152994783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761975">
      <w:bodyDiv w:val="1"/>
      <w:marLeft w:val="0"/>
      <w:marRight w:val="0"/>
      <w:marTop w:val="0"/>
      <w:marBottom w:val="0"/>
      <w:divBdr>
        <w:top w:val="none" w:sz="0" w:space="0" w:color="auto"/>
        <w:left w:val="none" w:sz="0" w:space="0" w:color="auto"/>
        <w:bottom w:val="none" w:sz="0" w:space="0" w:color="auto"/>
        <w:right w:val="none" w:sz="0" w:space="0" w:color="auto"/>
      </w:divBdr>
      <w:divsChild>
        <w:div w:id="440151083">
          <w:marLeft w:val="0"/>
          <w:marRight w:val="0"/>
          <w:marTop w:val="0"/>
          <w:marBottom w:val="0"/>
          <w:divBdr>
            <w:top w:val="none" w:sz="0" w:space="0" w:color="auto"/>
            <w:left w:val="none" w:sz="0" w:space="0" w:color="auto"/>
            <w:bottom w:val="none" w:sz="0" w:space="0" w:color="auto"/>
            <w:right w:val="none" w:sz="0" w:space="0" w:color="auto"/>
          </w:divBdr>
          <w:divsChild>
            <w:div w:id="979460300">
              <w:marLeft w:val="0"/>
              <w:marRight w:val="0"/>
              <w:marTop w:val="0"/>
              <w:marBottom w:val="0"/>
              <w:divBdr>
                <w:top w:val="none" w:sz="0" w:space="0" w:color="auto"/>
                <w:left w:val="none" w:sz="0" w:space="0" w:color="auto"/>
                <w:bottom w:val="none" w:sz="0" w:space="0" w:color="auto"/>
                <w:right w:val="none" w:sz="0" w:space="0" w:color="auto"/>
              </w:divBdr>
              <w:divsChild>
                <w:div w:id="1253466854">
                  <w:marLeft w:val="0"/>
                  <w:marRight w:val="0"/>
                  <w:marTop w:val="100"/>
                  <w:marBottom w:val="100"/>
                  <w:divBdr>
                    <w:top w:val="none" w:sz="0" w:space="0" w:color="auto"/>
                    <w:left w:val="none" w:sz="0" w:space="0" w:color="auto"/>
                    <w:bottom w:val="none" w:sz="0" w:space="0" w:color="auto"/>
                    <w:right w:val="none" w:sz="0" w:space="0" w:color="auto"/>
                  </w:divBdr>
                  <w:divsChild>
                    <w:div w:id="1928997312">
                      <w:marLeft w:val="0"/>
                      <w:marRight w:val="0"/>
                      <w:marTop w:val="0"/>
                      <w:marBottom w:val="0"/>
                      <w:divBdr>
                        <w:top w:val="none" w:sz="0" w:space="0" w:color="auto"/>
                        <w:left w:val="none" w:sz="0" w:space="0" w:color="auto"/>
                        <w:bottom w:val="none" w:sz="0" w:space="0" w:color="auto"/>
                        <w:right w:val="none" w:sz="0" w:space="0" w:color="auto"/>
                      </w:divBdr>
                      <w:divsChild>
                        <w:div w:id="454756586">
                          <w:marLeft w:val="0"/>
                          <w:marRight w:val="0"/>
                          <w:marTop w:val="0"/>
                          <w:marBottom w:val="0"/>
                          <w:divBdr>
                            <w:top w:val="none" w:sz="0" w:space="0" w:color="auto"/>
                            <w:left w:val="none" w:sz="0" w:space="0" w:color="auto"/>
                            <w:bottom w:val="none" w:sz="0" w:space="0" w:color="auto"/>
                            <w:right w:val="none" w:sz="0" w:space="0" w:color="auto"/>
                          </w:divBdr>
                          <w:divsChild>
                            <w:div w:id="1005786698">
                              <w:marLeft w:val="0"/>
                              <w:marRight w:val="0"/>
                              <w:marTop w:val="0"/>
                              <w:marBottom w:val="0"/>
                              <w:divBdr>
                                <w:top w:val="none" w:sz="0" w:space="0" w:color="auto"/>
                                <w:left w:val="none" w:sz="0" w:space="0" w:color="auto"/>
                                <w:bottom w:val="none" w:sz="0" w:space="0" w:color="auto"/>
                                <w:right w:val="none" w:sz="0" w:space="0" w:color="auto"/>
                              </w:divBdr>
                              <w:divsChild>
                                <w:div w:id="503126473">
                                  <w:marLeft w:val="0"/>
                                  <w:marRight w:val="0"/>
                                  <w:marTop w:val="0"/>
                                  <w:marBottom w:val="0"/>
                                  <w:divBdr>
                                    <w:top w:val="none" w:sz="0" w:space="0" w:color="auto"/>
                                    <w:left w:val="none" w:sz="0" w:space="0" w:color="auto"/>
                                    <w:bottom w:val="none" w:sz="0" w:space="0" w:color="auto"/>
                                    <w:right w:val="none" w:sz="0" w:space="0" w:color="auto"/>
                                  </w:divBdr>
                                  <w:divsChild>
                                    <w:div w:id="1187721223">
                                      <w:marLeft w:val="0"/>
                                      <w:marRight w:val="0"/>
                                      <w:marTop w:val="0"/>
                                      <w:marBottom w:val="0"/>
                                      <w:divBdr>
                                        <w:top w:val="none" w:sz="0" w:space="0" w:color="auto"/>
                                        <w:left w:val="none" w:sz="0" w:space="0" w:color="auto"/>
                                        <w:bottom w:val="none" w:sz="0" w:space="0" w:color="auto"/>
                                        <w:right w:val="none" w:sz="0" w:space="0" w:color="auto"/>
                                      </w:divBdr>
                                      <w:divsChild>
                                        <w:div w:id="1037579743">
                                          <w:marLeft w:val="0"/>
                                          <w:marRight w:val="0"/>
                                          <w:marTop w:val="0"/>
                                          <w:marBottom w:val="0"/>
                                          <w:divBdr>
                                            <w:top w:val="none" w:sz="0" w:space="0" w:color="auto"/>
                                            <w:left w:val="none" w:sz="0" w:space="0" w:color="auto"/>
                                            <w:bottom w:val="none" w:sz="0" w:space="0" w:color="auto"/>
                                            <w:right w:val="none" w:sz="0" w:space="0" w:color="auto"/>
                                          </w:divBdr>
                                          <w:divsChild>
                                            <w:div w:id="71053821">
                                              <w:marLeft w:val="0"/>
                                              <w:marRight w:val="0"/>
                                              <w:marTop w:val="0"/>
                                              <w:marBottom w:val="0"/>
                                              <w:divBdr>
                                                <w:top w:val="single" w:sz="4" w:space="0" w:color="B6D444"/>
                                                <w:left w:val="none" w:sz="0" w:space="0" w:color="auto"/>
                                                <w:bottom w:val="none" w:sz="0" w:space="0" w:color="auto"/>
                                                <w:right w:val="none" w:sz="0" w:space="0" w:color="auto"/>
                                              </w:divBdr>
                                              <w:divsChild>
                                                <w:div w:id="3467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89437">
      <w:bodyDiv w:val="1"/>
      <w:marLeft w:val="0"/>
      <w:marRight w:val="0"/>
      <w:marTop w:val="0"/>
      <w:marBottom w:val="0"/>
      <w:divBdr>
        <w:top w:val="none" w:sz="0" w:space="0" w:color="auto"/>
        <w:left w:val="none" w:sz="0" w:space="0" w:color="auto"/>
        <w:bottom w:val="none" w:sz="0" w:space="0" w:color="auto"/>
        <w:right w:val="none" w:sz="0" w:space="0" w:color="auto"/>
      </w:divBdr>
      <w:divsChild>
        <w:div w:id="1460106098">
          <w:marLeft w:val="0"/>
          <w:marRight w:val="0"/>
          <w:marTop w:val="0"/>
          <w:marBottom w:val="0"/>
          <w:divBdr>
            <w:top w:val="none" w:sz="0" w:space="0" w:color="auto"/>
            <w:left w:val="none" w:sz="0" w:space="0" w:color="auto"/>
            <w:bottom w:val="none" w:sz="0" w:space="0" w:color="auto"/>
            <w:right w:val="none" w:sz="0" w:space="0" w:color="auto"/>
          </w:divBdr>
          <w:divsChild>
            <w:div w:id="1686707237">
              <w:marLeft w:val="210"/>
              <w:marRight w:val="0"/>
              <w:marTop w:val="0"/>
              <w:marBottom w:val="0"/>
              <w:divBdr>
                <w:top w:val="none" w:sz="0" w:space="0" w:color="auto"/>
                <w:left w:val="none" w:sz="0" w:space="0" w:color="auto"/>
                <w:bottom w:val="none" w:sz="0" w:space="0" w:color="auto"/>
                <w:right w:val="none" w:sz="0" w:space="0" w:color="auto"/>
              </w:divBdr>
              <w:divsChild>
                <w:div w:id="4186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08">
      <w:bodyDiv w:val="1"/>
      <w:marLeft w:val="0"/>
      <w:marRight w:val="0"/>
      <w:marTop w:val="0"/>
      <w:marBottom w:val="0"/>
      <w:divBdr>
        <w:top w:val="none" w:sz="0" w:space="0" w:color="auto"/>
        <w:left w:val="none" w:sz="0" w:space="0" w:color="auto"/>
        <w:bottom w:val="none" w:sz="0" w:space="0" w:color="auto"/>
        <w:right w:val="none" w:sz="0" w:space="0" w:color="auto"/>
      </w:divBdr>
    </w:div>
    <w:div w:id="1953591026">
      <w:bodyDiv w:val="1"/>
      <w:marLeft w:val="0"/>
      <w:marRight w:val="0"/>
      <w:marTop w:val="0"/>
      <w:marBottom w:val="0"/>
      <w:divBdr>
        <w:top w:val="none" w:sz="0" w:space="0" w:color="auto"/>
        <w:left w:val="none" w:sz="0" w:space="0" w:color="auto"/>
        <w:bottom w:val="none" w:sz="0" w:space="0" w:color="auto"/>
        <w:right w:val="none" w:sz="0" w:space="0" w:color="auto"/>
      </w:divBdr>
      <w:divsChild>
        <w:div w:id="222757868">
          <w:marLeft w:val="0"/>
          <w:marRight w:val="0"/>
          <w:marTop w:val="0"/>
          <w:marBottom w:val="0"/>
          <w:divBdr>
            <w:top w:val="single" w:sz="6" w:space="0" w:color="0E477A"/>
            <w:left w:val="single" w:sz="6" w:space="0" w:color="0E477A"/>
            <w:bottom w:val="single" w:sz="6" w:space="0" w:color="0E477A"/>
            <w:right w:val="single" w:sz="6" w:space="0" w:color="0E477A"/>
          </w:divBdr>
          <w:divsChild>
            <w:div w:id="2053964981">
              <w:marLeft w:val="2925"/>
              <w:marRight w:val="0"/>
              <w:marTop w:val="0"/>
              <w:marBottom w:val="0"/>
              <w:divBdr>
                <w:top w:val="none" w:sz="0" w:space="0" w:color="auto"/>
                <w:left w:val="none" w:sz="0" w:space="0" w:color="auto"/>
                <w:bottom w:val="none" w:sz="0" w:space="0" w:color="auto"/>
                <w:right w:val="none" w:sz="0" w:space="0" w:color="auto"/>
              </w:divBdr>
              <w:divsChild>
                <w:div w:id="389235032">
                  <w:marLeft w:val="0"/>
                  <w:marRight w:val="0"/>
                  <w:marTop w:val="0"/>
                  <w:marBottom w:val="0"/>
                  <w:divBdr>
                    <w:top w:val="none" w:sz="0" w:space="0" w:color="auto"/>
                    <w:left w:val="none" w:sz="0" w:space="0" w:color="auto"/>
                    <w:bottom w:val="none" w:sz="0" w:space="0" w:color="auto"/>
                    <w:right w:val="none" w:sz="0" w:space="0" w:color="auto"/>
                  </w:divBdr>
                  <w:divsChild>
                    <w:div w:id="390464182">
                      <w:marLeft w:val="0"/>
                      <w:marRight w:val="150"/>
                      <w:marTop w:val="0"/>
                      <w:marBottom w:val="0"/>
                      <w:divBdr>
                        <w:top w:val="single" w:sz="6" w:space="0" w:color="CCCCCC"/>
                        <w:left w:val="single" w:sz="6" w:space="8" w:color="CCCCCC"/>
                        <w:bottom w:val="single" w:sz="6" w:space="8" w:color="CCCCCC"/>
                        <w:right w:val="single" w:sz="6" w:space="8" w:color="CCCCCC"/>
                      </w:divBdr>
                      <w:divsChild>
                        <w:div w:id="9338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53661">
      <w:bodyDiv w:val="1"/>
      <w:marLeft w:val="0"/>
      <w:marRight w:val="0"/>
      <w:marTop w:val="0"/>
      <w:marBottom w:val="0"/>
      <w:divBdr>
        <w:top w:val="none" w:sz="0" w:space="0" w:color="auto"/>
        <w:left w:val="none" w:sz="0" w:space="0" w:color="auto"/>
        <w:bottom w:val="none" w:sz="0" w:space="0" w:color="auto"/>
        <w:right w:val="none" w:sz="0" w:space="0" w:color="auto"/>
      </w:divBdr>
      <w:divsChild>
        <w:div w:id="1153067122">
          <w:marLeft w:val="0"/>
          <w:marRight w:val="0"/>
          <w:marTop w:val="0"/>
          <w:marBottom w:val="0"/>
          <w:divBdr>
            <w:top w:val="none" w:sz="0" w:space="0" w:color="auto"/>
            <w:left w:val="none" w:sz="0" w:space="0" w:color="auto"/>
            <w:bottom w:val="none" w:sz="0" w:space="0" w:color="auto"/>
            <w:right w:val="none" w:sz="0" w:space="0" w:color="auto"/>
          </w:divBdr>
          <w:divsChild>
            <w:div w:id="1381831139">
              <w:marLeft w:val="0"/>
              <w:marRight w:val="0"/>
              <w:marTop w:val="0"/>
              <w:marBottom w:val="0"/>
              <w:divBdr>
                <w:top w:val="none" w:sz="0" w:space="0" w:color="auto"/>
                <w:left w:val="none" w:sz="0" w:space="0" w:color="auto"/>
                <w:bottom w:val="none" w:sz="0" w:space="0" w:color="auto"/>
                <w:right w:val="none" w:sz="0" w:space="0" w:color="auto"/>
              </w:divBdr>
              <w:divsChild>
                <w:div w:id="2112166519">
                  <w:marLeft w:val="0"/>
                  <w:marRight w:val="0"/>
                  <w:marTop w:val="0"/>
                  <w:marBottom w:val="0"/>
                  <w:divBdr>
                    <w:top w:val="none" w:sz="0" w:space="0" w:color="auto"/>
                    <w:left w:val="none" w:sz="0" w:space="0" w:color="auto"/>
                    <w:bottom w:val="none" w:sz="0" w:space="0" w:color="auto"/>
                    <w:right w:val="none" w:sz="0" w:space="0" w:color="auto"/>
                  </w:divBdr>
                  <w:divsChild>
                    <w:div w:id="1967195937">
                      <w:marLeft w:val="0"/>
                      <w:marRight w:val="0"/>
                      <w:marTop w:val="0"/>
                      <w:marBottom w:val="0"/>
                      <w:divBdr>
                        <w:top w:val="none" w:sz="0" w:space="0" w:color="auto"/>
                        <w:left w:val="none" w:sz="0" w:space="0" w:color="auto"/>
                        <w:bottom w:val="none" w:sz="0" w:space="0" w:color="auto"/>
                        <w:right w:val="none" w:sz="0" w:space="0" w:color="auto"/>
                      </w:divBdr>
                      <w:divsChild>
                        <w:div w:id="329211967">
                          <w:marLeft w:val="0"/>
                          <w:marRight w:val="0"/>
                          <w:marTop w:val="0"/>
                          <w:marBottom w:val="0"/>
                          <w:divBdr>
                            <w:top w:val="none" w:sz="0" w:space="0" w:color="auto"/>
                            <w:left w:val="none" w:sz="0" w:space="0" w:color="auto"/>
                            <w:bottom w:val="none" w:sz="0" w:space="0" w:color="auto"/>
                            <w:right w:val="none" w:sz="0" w:space="0" w:color="auto"/>
                          </w:divBdr>
                          <w:divsChild>
                            <w:div w:id="1443840722">
                              <w:marLeft w:val="0"/>
                              <w:marRight w:val="0"/>
                              <w:marTop w:val="0"/>
                              <w:marBottom w:val="0"/>
                              <w:divBdr>
                                <w:top w:val="none" w:sz="0" w:space="0" w:color="auto"/>
                                <w:left w:val="none" w:sz="0" w:space="0" w:color="auto"/>
                                <w:bottom w:val="none" w:sz="0" w:space="0" w:color="auto"/>
                                <w:right w:val="none" w:sz="0" w:space="0" w:color="auto"/>
                              </w:divBdr>
                              <w:divsChild>
                                <w:div w:id="1308168512">
                                  <w:marLeft w:val="0"/>
                                  <w:marRight w:val="0"/>
                                  <w:marTop w:val="0"/>
                                  <w:marBottom w:val="0"/>
                                  <w:divBdr>
                                    <w:top w:val="none" w:sz="0" w:space="0" w:color="auto"/>
                                    <w:left w:val="none" w:sz="0" w:space="0" w:color="auto"/>
                                    <w:bottom w:val="none" w:sz="0" w:space="0" w:color="auto"/>
                                    <w:right w:val="none" w:sz="0" w:space="0" w:color="auto"/>
                                  </w:divBdr>
                                  <w:divsChild>
                                    <w:div w:id="1870029586">
                                      <w:marLeft w:val="0"/>
                                      <w:marRight w:val="0"/>
                                      <w:marTop w:val="0"/>
                                      <w:marBottom w:val="0"/>
                                      <w:divBdr>
                                        <w:top w:val="none" w:sz="0" w:space="0" w:color="auto"/>
                                        <w:left w:val="none" w:sz="0" w:space="0" w:color="auto"/>
                                        <w:bottom w:val="none" w:sz="0" w:space="0" w:color="auto"/>
                                        <w:right w:val="none" w:sz="0" w:space="0" w:color="auto"/>
                                      </w:divBdr>
                                      <w:divsChild>
                                        <w:div w:id="316882344">
                                          <w:marLeft w:val="0"/>
                                          <w:marRight w:val="0"/>
                                          <w:marTop w:val="0"/>
                                          <w:marBottom w:val="0"/>
                                          <w:divBdr>
                                            <w:top w:val="none" w:sz="0" w:space="0" w:color="auto"/>
                                            <w:left w:val="none" w:sz="0" w:space="0" w:color="auto"/>
                                            <w:bottom w:val="none" w:sz="0" w:space="0" w:color="auto"/>
                                            <w:right w:val="none" w:sz="0" w:space="0" w:color="auto"/>
                                          </w:divBdr>
                                          <w:divsChild>
                                            <w:div w:id="613949803">
                                              <w:marLeft w:val="0"/>
                                              <w:marRight w:val="0"/>
                                              <w:marTop w:val="0"/>
                                              <w:marBottom w:val="0"/>
                                              <w:divBdr>
                                                <w:top w:val="none" w:sz="0" w:space="0" w:color="auto"/>
                                                <w:left w:val="none" w:sz="0" w:space="0" w:color="auto"/>
                                                <w:bottom w:val="none" w:sz="0" w:space="0" w:color="auto"/>
                                                <w:right w:val="none" w:sz="0" w:space="0" w:color="auto"/>
                                              </w:divBdr>
                                              <w:divsChild>
                                                <w:div w:id="1833569295">
                                                  <w:marLeft w:val="0"/>
                                                  <w:marRight w:val="0"/>
                                                  <w:marTop w:val="0"/>
                                                  <w:marBottom w:val="0"/>
                                                  <w:divBdr>
                                                    <w:top w:val="none" w:sz="0" w:space="0" w:color="auto"/>
                                                    <w:left w:val="none" w:sz="0" w:space="0" w:color="auto"/>
                                                    <w:bottom w:val="none" w:sz="0" w:space="0" w:color="auto"/>
                                                    <w:right w:val="none" w:sz="0" w:space="0" w:color="auto"/>
                                                  </w:divBdr>
                                                  <w:divsChild>
                                                    <w:div w:id="1032220529">
                                                      <w:marLeft w:val="0"/>
                                                      <w:marRight w:val="0"/>
                                                      <w:marTop w:val="0"/>
                                                      <w:marBottom w:val="0"/>
                                                      <w:divBdr>
                                                        <w:top w:val="none" w:sz="0" w:space="0" w:color="auto"/>
                                                        <w:left w:val="none" w:sz="0" w:space="0" w:color="auto"/>
                                                        <w:bottom w:val="none" w:sz="0" w:space="0" w:color="auto"/>
                                                        <w:right w:val="none" w:sz="0" w:space="0" w:color="auto"/>
                                                      </w:divBdr>
                                                      <w:divsChild>
                                                        <w:div w:id="8786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901481">
      <w:bodyDiv w:val="1"/>
      <w:marLeft w:val="0"/>
      <w:marRight w:val="0"/>
      <w:marTop w:val="0"/>
      <w:marBottom w:val="0"/>
      <w:divBdr>
        <w:top w:val="none" w:sz="0" w:space="0" w:color="auto"/>
        <w:left w:val="none" w:sz="0" w:space="0" w:color="auto"/>
        <w:bottom w:val="none" w:sz="0" w:space="0" w:color="auto"/>
        <w:right w:val="none" w:sz="0" w:space="0" w:color="auto"/>
      </w:divBdr>
      <w:divsChild>
        <w:div w:id="1492254928">
          <w:marLeft w:val="0"/>
          <w:marRight w:val="0"/>
          <w:marTop w:val="0"/>
          <w:marBottom w:val="0"/>
          <w:divBdr>
            <w:top w:val="none" w:sz="0" w:space="0" w:color="auto"/>
            <w:left w:val="none" w:sz="0" w:space="0" w:color="auto"/>
            <w:bottom w:val="none" w:sz="0" w:space="0" w:color="auto"/>
            <w:right w:val="none" w:sz="0" w:space="0" w:color="auto"/>
          </w:divBdr>
          <w:divsChild>
            <w:div w:id="1293245108">
              <w:marLeft w:val="0"/>
              <w:marRight w:val="0"/>
              <w:marTop w:val="0"/>
              <w:marBottom w:val="450"/>
              <w:divBdr>
                <w:top w:val="none" w:sz="0" w:space="0" w:color="auto"/>
                <w:left w:val="none" w:sz="0" w:space="0" w:color="auto"/>
                <w:bottom w:val="none" w:sz="0" w:space="0" w:color="auto"/>
                <w:right w:val="none" w:sz="0" w:space="0" w:color="auto"/>
              </w:divBdr>
            </w:div>
          </w:divsChild>
        </w:div>
        <w:div w:id="1221863900">
          <w:marLeft w:val="0"/>
          <w:marRight w:val="0"/>
          <w:marTop w:val="0"/>
          <w:marBottom w:val="0"/>
          <w:divBdr>
            <w:top w:val="none" w:sz="0" w:space="0" w:color="auto"/>
            <w:left w:val="none" w:sz="0" w:space="0" w:color="auto"/>
            <w:bottom w:val="none" w:sz="0" w:space="0" w:color="auto"/>
            <w:right w:val="none" w:sz="0" w:space="0" w:color="auto"/>
          </w:divBdr>
          <w:divsChild>
            <w:div w:id="985358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55405255">
      <w:bodyDiv w:val="1"/>
      <w:marLeft w:val="0"/>
      <w:marRight w:val="0"/>
      <w:marTop w:val="0"/>
      <w:marBottom w:val="0"/>
      <w:divBdr>
        <w:top w:val="none" w:sz="0" w:space="0" w:color="auto"/>
        <w:left w:val="none" w:sz="0" w:space="0" w:color="auto"/>
        <w:bottom w:val="none" w:sz="0" w:space="0" w:color="auto"/>
        <w:right w:val="none" w:sz="0" w:space="0" w:color="auto"/>
      </w:divBdr>
      <w:divsChild>
        <w:div w:id="911356628">
          <w:marLeft w:val="0"/>
          <w:marRight w:val="0"/>
          <w:marTop w:val="0"/>
          <w:marBottom w:val="0"/>
          <w:divBdr>
            <w:top w:val="none" w:sz="0" w:space="0" w:color="auto"/>
            <w:left w:val="none" w:sz="0" w:space="0" w:color="auto"/>
            <w:bottom w:val="none" w:sz="0" w:space="0" w:color="auto"/>
            <w:right w:val="none" w:sz="0" w:space="0" w:color="auto"/>
          </w:divBdr>
        </w:div>
      </w:divsChild>
    </w:div>
    <w:div w:id="1957247649">
      <w:bodyDiv w:val="1"/>
      <w:marLeft w:val="0"/>
      <w:marRight w:val="0"/>
      <w:marTop w:val="0"/>
      <w:marBottom w:val="0"/>
      <w:divBdr>
        <w:top w:val="none" w:sz="0" w:space="0" w:color="auto"/>
        <w:left w:val="none" w:sz="0" w:space="0" w:color="auto"/>
        <w:bottom w:val="none" w:sz="0" w:space="0" w:color="auto"/>
        <w:right w:val="none" w:sz="0" w:space="0" w:color="auto"/>
      </w:divBdr>
    </w:div>
    <w:div w:id="1957447182">
      <w:bodyDiv w:val="1"/>
      <w:marLeft w:val="0"/>
      <w:marRight w:val="0"/>
      <w:marTop w:val="0"/>
      <w:marBottom w:val="0"/>
      <w:divBdr>
        <w:top w:val="none" w:sz="0" w:space="0" w:color="auto"/>
        <w:left w:val="none" w:sz="0" w:space="0" w:color="auto"/>
        <w:bottom w:val="none" w:sz="0" w:space="0" w:color="auto"/>
        <w:right w:val="none" w:sz="0" w:space="0" w:color="auto"/>
      </w:divBdr>
      <w:divsChild>
        <w:div w:id="707527993">
          <w:marLeft w:val="0"/>
          <w:marRight w:val="0"/>
          <w:marTop w:val="0"/>
          <w:marBottom w:val="0"/>
          <w:divBdr>
            <w:top w:val="none" w:sz="0" w:space="0" w:color="auto"/>
            <w:left w:val="none" w:sz="0" w:space="0" w:color="auto"/>
            <w:bottom w:val="none" w:sz="0" w:space="0" w:color="auto"/>
            <w:right w:val="none" w:sz="0" w:space="0" w:color="auto"/>
          </w:divBdr>
          <w:divsChild>
            <w:div w:id="1141656052">
              <w:marLeft w:val="0"/>
              <w:marRight w:val="0"/>
              <w:marTop w:val="0"/>
              <w:marBottom w:val="0"/>
              <w:divBdr>
                <w:top w:val="none" w:sz="0" w:space="0" w:color="auto"/>
                <w:left w:val="none" w:sz="0" w:space="0" w:color="auto"/>
                <w:bottom w:val="none" w:sz="0" w:space="0" w:color="auto"/>
                <w:right w:val="none" w:sz="0" w:space="0" w:color="auto"/>
              </w:divBdr>
              <w:divsChild>
                <w:div w:id="1698122736">
                  <w:marLeft w:val="0"/>
                  <w:marRight w:val="0"/>
                  <w:marTop w:val="0"/>
                  <w:marBottom w:val="0"/>
                  <w:divBdr>
                    <w:top w:val="none" w:sz="0" w:space="0" w:color="auto"/>
                    <w:left w:val="none" w:sz="0" w:space="0" w:color="auto"/>
                    <w:bottom w:val="none" w:sz="0" w:space="0" w:color="auto"/>
                    <w:right w:val="none" w:sz="0" w:space="0" w:color="auto"/>
                  </w:divBdr>
                  <w:divsChild>
                    <w:div w:id="729773354">
                      <w:marLeft w:val="0"/>
                      <w:marRight w:val="0"/>
                      <w:marTop w:val="0"/>
                      <w:marBottom w:val="0"/>
                      <w:divBdr>
                        <w:top w:val="none" w:sz="0" w:space="0" w:color="auto"/>
                        <w:left w:val="none" w:sz="0" w:space="0" w:color="auto"/>
                        <w:bottom w:val="none" w:sz="0" w:space="0" w:color="auto"/>
                        <w:right w:val="none" w:sz="0" w:space="0" w:color="auto"/>
                      </w:divBdr>
                      <w:divsChild>
                        <w:div w:id="979514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957517576">
      <w:bodyDiv w:val="1"/>
      <w:marLeft w:val="0"/>
      <w:marRight w:val="0"/>
      <w:marTop w:val="0"/>
      <w:marBottom w:val="0"/>
      <w:divBdr>
        <w:top w:val="none" w:sz="0" w:space="0" w:color="auto"/>
        <w:left w:val="none" w:sz="0" w:space="0" w:color="auto"/>
        <w:bottom w:val="none" w:sz="0" w:space="0" w:color="auto"/>
        <w:right w:val="none" w:sz="0" w:space="0" w:color="auto"/>
      </w:divBdr>
    </w:div>
    <w:div w:id="1958486729">
      <w:bodyDiv w:val="1"/>
      <w:marLeft w:val="0"/>
      <w:marRight w:val="0"/>
      <w:marTop w:val="0"/>
      <w:marBottom w:val="0"/>
      <w:divBdr>
        <w:top w:val="none" w:sz="0" w:space="0" w:color="auto"/>
        <w:left w:val="none" w:sz="0" w:space="0" w:color="auto"/>
        <w:bottom w:val="none" w:sz="0" w:space="0" w:color="auto"/>
        <w:right w:val="none" w:sz="0" w:space="0" w:color="auto"/>
      </w:divBdr>
      <w:divsChild>
        <w:div w:id="25181038">
          <w:marLeft w:val="0"/>
          <w:marRight w:val="0"/>
          <w:marTop w:val="0"/>
          <w:marBottom w:val="0"/>
          <w:divBdr>
            <w:top w:val="single" w:sz="2" w:space="0" w:color="AAAAAA"/>
            <w:left w:val="single" w:sz="6" w:space="8" w:color="AAAAAA"/>
            <w:bottom w:val="single" w:sz="2" w:space="0" w:color="AAAAAA"/>
            <w:right w:val="single" w:sz="6" w:space="8" w:color="AAAAAA"/>
          </w:divBdr>
          <w:divsChild>
            <w:div w:id="455682064">
              <w:marLeft w:val="0"/>
              <w:marRight w:val="0"/>
              <w:marTop w:val="0"/>
              <w:marBottom w:val="0"/>
              <w:divBdr>
                <w:top w:val="none" w:sz="0" w:space="0" w:color="auto"/>
                <w:left w:val="none" w:sz="0" w:space="0" w:color="auto"/>
                <w:bottom w:val="none" w:sz="0" w:space="0" w:color="auto"/>
                <w:right w:val="none" w:sz="0" w:space="0" w:color="auto"/>
              </w:divBdr>
              <w:divsChild>
                <w:div w:id="332148666">
                  <w:marLeft w:val="0"/>
                  <w:marRight w:val="0"/>
                  <w:marTop w:val="0"/>
                  <w:marBottom w:val="0"/>
                  <w:divBdr>
                    <w:top w:val="none" w:sz="0" w:space="0" w:color="auto"/>
                    <w:left w:val="none" w:sz="0" w:space="0" w:color="auto"/>
                    <w:bottom w:val="none" w:sz="0" w:space="0" w:color="auto"/>
                    <w:right w:val="none" w:sz="0" w:space="0" w:color="auto"/>
                  </w:divBdr>
                  <w:divsChild>
                    <w:div w:id="1626739020">
                      <w:marLeft w:val="0"/>
                      <w:marRight w:val="2550"/>
                      <w:marTop w:val="0"/>
                      <w:marBottom w:val="48"/>
                      <w:divBdr>
                        <w:top w:val="none" w:sz="0" w:space="0" w:color="auto"/>
                        <w:left w:val="none" w:sz="0" w:space="0" w:color="auto"/>
                        <w:bottom w:val="none" w:sz="0" w:space="0" w:color="auto"/>
                        <w:right w:val="none" w:sz="0" w:space="0" w:color="auto"/>
                      </w:divBdr>
                      <w:divsChild>
                        <w:div w:id="12089581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0993038">
      <w:bodyDiv w:val="1"/>
      <w:marLeft w:val="0"/>
      <w:marRight w:val="0"/>
      <w:marTop w:val="0"/>
      <w:marBottom w:val="0"/>
      <w:divBdr>
        <w:top w:val="none" w:sz="0" w:space="0" w:color="auto"/>
        <w:left w:val="none" w:sz="0" w:space="0" w:color="auto"/>
        <w:bottom w:val="none" w:sz="0" w:space="0" w:color="auto"/>
        <w:right w:val="none" w:sz="0" w:space="0" w:color="auto"/>
      </w:divBdr>
    </w:div>
    <w:div w:id="1961838395">
      <w:bodyDiv w:val="1"/>
      <w:marLeft w:val="0"/>
      <w:marRight w:val="0"/>
      <w:marTop w:val="0"/>
      <w:marBottom w:val="0"/>
      <w:divBdr>
        <w:top w:val="none" w:sz="0" w:space="0" w:color="auto"/>
        <w:left w:val="none" w:sz="0" w:space="0" w:color="auto"/>
        <w:bottom w:val="none" w:sz="0" w:space="0" w:color="auto"/>
        <w:right w:val="none" w:sz="0" w:space="0" w:color="auto"/>
      </w:divBdr>
      <w:divsChild>
        <w:div w:id="1662271162">
          <w:marLeft w:val="0"/>
          <w:marRight w:val="0"/>
          <w:marTop w:val="0"/>
          <w:marBottom w:val="0"/>
          <w:divBdr>
            <w:top w:val="none" w:sz="0" w:space="0" w:color="auto"/>
            <w:left w:val="none" w:sz="0" w:space="0" w:color="auto"/>
            <w:bottom w:val="none" w:sz="0" w:space="0" w:color="auto"/>
            <w:right w:val="none" w:sz="0" w:space="0" w:color="auto"/>
          </w:divBdr>
          <w:divsChild>
            <w:div w:id="873350552">
              <w:marLeft w:val="0"/>
              <w:marRight w:val="0"/>
              <w:marTop w:val="0"/>
              <w:marBottom w:val="0"/>
              <w:divBdr>
                <w:top w:val="none" w:sz="0" w:space="0" w:color="auto"/>
                <w:left w:val="none" w:sz="0" w:space="0" w:color="auto"/>
                <w:bottom w:val="none" w:sz="0" w:space="0" w:color="auto"/>
                <w:right w:val="none" w:sz="0" w:space="0" w:color="auto"/>
              </w:divBdr>
              <w:divsChild>
                <w:div w:id="769397793">
                  <w:marLeft w:val="0"/>
                  <w:marRight w:val="0"/>
                  <w:marTop w:val="0"/>
                  <w:marBottom w:val="0"/>
                  <w:divBdr>
                    <w:top w:val="none" w:sz="0" w:space="0" w:color="auto"/>
                    <w:left w:val="none" w:sz="0" w:space="0" w:color="auto"/>
                    <w:bottom w:val="none" w:sz="0" w:space="0" w:color="auto"/>
                    <w:right w:val="none" w:sz="0" w:space="0" w:color="auto"/>
                  </w:divBdr>
                  <w:divsChild>
                    <w:div w:id="1870295803">
                      <w:marLeft w:val="0"/>
                      <w:marRight w:val="0"/>
                      <w:marTop w:val="0"/>
                      <w:marBottom w:val="0"/>
                      <w:divBdr>
                        <w:top w:val="none" w:sz="0" w:space="0" w:color="auto"/>
                        <w:left w:val="none" w:sz="0" w:space="0" w:color="auto"/>
                        <w:bottom w:val="none" w:sz="0" w:space="0" w:color="auto"/>
                        <w:right w:val="none" w:sz="0" w:space="0" w:color="auto"/>
                      </w:divBdr>
                      <w:divsChild>
                        <w:div w:id="936449702">
                          <w:marLeft w:val="0"/>
                          <w:marRight w:val="0"/>
                          <w:marTop w:val="0"/>
                          <w:marBottom w:val="0"/>
                          <w:divBdr>
                            <w:top w:val="none" w:sz="0" w:space="0" w:color="auto"/>
                            <w:left w:val="none" w:sz="0" w:space="0" w:color="auto"/>
                            <w:bottom w:val="none" w:sz="0" w:space="0" w:color="auto"/>
                            <w:right w:val="none" w:sz="0" w:space="0" w:color="auto"/>
                          </w:divBdr>
                          <w:divsChild>
                            <w:div w:id="573702729">
                              <w:marLeft w:val="570"/>
                              <w:marRight w:val="720"/>
                              <w:marTop w:val="120"/>
                              <w:marBottom w:val="120"/>
                              <w:divBdr>
                                <w:top w:val="none" w:sz="0" w:space="0" w:color="auto"/>
                                <w:left w:val="none" w:sz="0" w:space="0" w:color="auto"/>
                                <w:bottom w:val="none" w:sz="0" w:space="0" w:color="auto"/>
                                <w:right w:val="none" w:sz="0" w:space="0" w:color="auto"/>
                              </w:divBdr>
                              <w:divsChild>
                                <w:div w:id="338579909">
                                  <w:marLeft w:val="0"/>
                                  <w:marRight w:val="0"/>
                                  <w:marTop w:val="0"/>
                                  <w:marBottom w:val="0"/>
                                  <w:divBdr>
                                    <w:top w:val="none" w:sz="0" w:space="0" w:color="auto"/>
                                    <w:left w:val="none" w:sz="0" w:space="0" w:color="auto"/>
                                    <w:bottom w:val="none" w:sz="0" w:space="0" w:color="auto"/>
                                    <w:right w:val="none" w:sz="0" w:space="0" w:color="auto"/>
                                  </w:divBdr>
                                  <w:divsChild>
                                    <w:div w:id="194467503">
                                      <w:marLeft w:val="0"/>
                                      <w:marRight w:val="0"/>
                                      <w:marTop w:val="0"/>
                                      <w:marBottom w:val="0"/>
                                      <w:divBdr>
                                        <w:top w:val="none" w:sz="0" w:space="0" w:color="auto"/>
                                        <w:left w:val="none" w:sz="0" w:space="0" w:color="auto"/>
                                        <w:bottom w:val="none" w:sz="0" w:space="0" w:color="auto"/>
                                        <w:right w:val="none" w:sz="0" w:space="0" w:color="auto"/>
                                      </w:divBdr>
                                      <w:divsChild>
                                        <w:div w:id="1061750841">
                                          <w:marLeft w:val="0"/>
                                          <w:marRight w:val="0"/>
                                          <w:marTop w:val="0"/>
                                          <w:marBottom w:val="150"/>
                                          <w:divBdr>
                                            <w:top w:val="none" w:sz="0" w:space="0" w:color="auto"/>
                                            <w:left w:val="none" w:sz="0" w:space="0" w:color="auto"/>
                                            <w:bottom w:val="none" w:sz="0" w:space="0" w:color="auto"/>
                                            <w:right w:val="none" w:sz="0" w:space="0" w:color="auto"/>
                                          </w:divBdr>
                                          <w:divsChild>
                                            <w:div w:id="1459496492">
                                              <w:marLeft w:val="0"/>
                                              <w:marRight w:val="0"/>
                                              <w:marTop w:val="240"/>
                                              <w:marBottom w:val="240"/>
                                              <w:divBdr>
                                                <w:top w:val="single" w:sz="6" w:space="6" w:color="F2F2F2"/>
                                                <w:left w:val="none" w:sz="0" w:space="0" w:color="auto"/>
                                                <w:bottom w:val="single" w:sz="6" w:space="6" w:color="F2F2F2"/>
                                                <w:right w:val="none" w:sz="0" w:space="0" w:color="auto"/>
                                              </w:divBdr>
                                            </w:div>
                                            <w:div w:id="1945962238">
                                              <w:marLeft w:val="0"/>
                                              <w:marRight w:val="0"/>
                                              <w:marTop w:val="0"/>
                                              <w:marBottom w:val="0"/>
                                              <w:divBdr>
                                                <w:top w:val="none" w:sz="0" w:space="0" w:color="auto"/>
                                                <w:left w:val="none" w:sz="0" w:space="0" w:color="auto"/>
                                                <w:bottom w:val="none" w:sz="0" w:space="0" w:color="auto"/>
                                                <w:right w:val="none" w:sz="0" w:space="0" w:color="auto"/>
                                              </w:divBdr>
                                              <w:divsChild>
                                                <w:div w:id="1885214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298569">
      <w:bodyDiv w:val="1"/>
      <w:marLeft w:val="0"/>
      <w:marRight w:val="0"/>
      <w:marTop w:val="0"/>
      <w:marBottom w:val="0"/>
      <w:divBdr>
        <w:top w:val="none" w:sz="0" w:space="0" w:color="auto"/>
        <w:left w:val="none" w:sz="0" w:space="0" w:color="auto"/>
        <w:bottom w:val="none" w:sz="0" w:space="0" w:color="auto"/>
        <w:right w:val="none" w:sz="0" w:space="0" w:color="auto"/>
      </w:divBdr>
    </w:div>
    <w:div w:id="1964382055">
      <w:bodyDiv w:val="1"/>
      <w:marLeft w:val="0"/>
      <w:marRight w:val="0"/>
      <w:marTop w:val="0"/>
      <w:marBottom w:val="0"/>
      <w:divBdr>
        <w:top w:val="none" w:sz="0" w:space="0" w:color="auto"/>
        <w:left w:val="none" w:sz="0" w:space="0" w:color="auto"/>
        <w:bottom w:val="none" w:sz="0" w:space="0" w:color="auto"/>
        <w:right w:val="none" w:sz="0" w:space="0" w:color="auto"/>
      </w:divBdr>
      <w:divsChild>
        <w:div w:id="29188416">
          <w:marLeft w:val="0"/>
          <w:marRight w:val="0"/>
          <w:marTop w:val="0"/>
          <w:marBottom w:val="0"/>
          <w:divBdr>
            <w:top w:val="none" w:sz="0" w:space="0" w:color="auto"/>
            <w:left w:val="none" w:sz="0" w:space="0" w:color="auto"/>
            <w:bottom w:val="none" w:sz="0" w:space="0" w:color="auto"/>
            <w:right w:val="none" w:sz="0" w:space="0" w:color="auto"/>
          </w:divBdr>
          <w:divsChild>
            <w:div w:id="166992104">
              <w:marLeft w:val="0"/>
              <w:marRight w:val="0"/>
              <w:marTop w:val="0"/>
              <w:marBottom w:val="0"/>
              <w:divBdr>
                <w:top w:val="none" w:sz="0" w:space="0" w:color="auto"/>
                <w:left w:val="none" w:sz="0" w:space="0" w:color="auto"/>
                <w:bottom w:val="none" w:sz="0" w:space="0" w:color="auto"/>
                <w:right w:val="none" w:sz="0" w:space="0" w:color="auto"/>
              </w:divBdr>
              <w:divsChild>
                <w:div w:id="1943294508">
                  <w:marLeft w:val="0"/>
                  <w:marRight w:val="0"/>
                  <w:marTop w:val="0"/>
                  <w:marBottom w:val="0"/>
                  <w:divBdr>
                    <w:top w:val="none" w:sz="0" w:space="0" w:color="auto"/>
                    <w:left w:val="none" w:sz="0" w:space="0" w:color="auto"/>
                    <w:bottom w:val="none" w:sz="0" w:space="0" w:color="auto"/>
                    <w:right w:val="none" w:sz="0" w:space="0" w:color="auto"/>
                  </w:divBdr>
                  <w:divsChild>
                    <w:div w:id="307633797">
                      <w:marLeft w:val="0"/>
                      <w:marRight w:val="0"/>
                      <w:marTop w:val="0"/>
                      <w:marBottom w:val="0"/>
                      <w:divBdr>
                        <w:top w:val="none" w:sz="0" w:space="0" w:color="auto"/>
                        <w:left w:val="none" w:sz="0" w:space="0" w:color="auto"/>
                        <w:bottom w:val="none" w:sz="0" w:space="0" w:color="auto"/>
                        <w:right w:val="none" w:sz="0" w:space="0" w:color="auto"/>
                      </w:divBdr>
                      <w:divsChild>
                        <w:div w:id="2102681333">
                          <w:marLeft w:val="0"/>
                          <w:marRight w:val="0"/>
                          <w:marTop w:val="0"/>
                          <w:marBottom w:val="0"/>
                          <w:divBdr>
                            <w:top w:val="none" w:sz="0" w:space="0" w:color="auto"/>
                            <w:left w:val="none" w:sz="0" w:space="0" w:color="auto"/>
                            <w:bottom w:val="none" w:sz="0" w:space="0" w:color="auto"/>
                            <w:right w:val="none" w:sz="0" w:space="0" w:color="auto"/>
                          </w:divBdr>
                          <w:divsChild>
                            <w:div w:id="1377705512">
                              <w:marLeft w:val="0"/>
                              <w:marRight w:val="0"/>
                              <w:marTop w:val="0"/>
                              <w:marBottom w:val="0"/>
                              <w:divBdr>
                                <w:top w:val="none" w:sz="0" w:space="0" w:color="auto"/>
                                <w:left w:val="none" w:sz="0" w:space="0" w:color="auto"/>
                                <w:bottom w:val="none" w:sz="0" w:space="0" w:color="auto"/>
                                <w:right w:val="none" w:sz="0" w:space="0" w:color="auto"/>
                              </w:divBdr>
                              <w:divsChild>
                                <w:div w:id="870142236">
                                  <w:marLeft w:val="-375"/>
                                  <w:marRight w:val="0"/>
                                  <w:marTop w:val="0"/>
                                  <w:marBottom w:val="0"/>
                                  <w:divBdr>
                                    <w:top w:val="none" w:sz="0" w:space="0" w:color="auto"/>
                                    <w:left w:val="none" w:sz="0" w:space="0" w:color="auto"/>
                                    <w:bottom w:val="none" w:sz="0" w:space="0" w:color="auto"/>
                                    <w:right w:val="none" w:sz="0" w:space="0" w:color="auto"/>
                                  </w:divBdr>
                                  <w:divsChild>
                                    <w:div w:id="30887332">
                                      <w:marLeft w:val="0"/>
                                      <w:marRight w:val="0"/>
                                      <w:marTop w:val="0"/>
                                      <w:marBottom w:val="0"/>
                                      <w:divBdr>
                                        <w:top w:val="none" w:sz="0" w:space="0" w:color="auto"/>
                                        <w:left w:val="none" w:sz="0" w:space="0" w:color="auto"/>
                                        <w:bottom w:val="none" w:sz="0" w:space="0" w:color="auto"/>
                                        <w:right w:val="none" w:sz="0" w:space="0" w:color="auto"/>
                                      </w:divBdr>
                                    </w:div>
                                  </w:divsChild>
                                </w:div>
                                <w:div w:id="35929668">
                                  <w:marLeft w:val="-375"/>
                                  <w:marRight w:val="0"/>
                                  <w:marTop w:val="0"/>
                                  <w:marBottom w:val="0"/>
                                  <w:divBdr>
                                    <w:top w:val="none" w:sz="0" w:space="0" w:color="auto"/>
                                    <w:left w:val="none" w:sz="0" w:space="0" w:color="auto"/>
                                    <w:bottom w:val="none" w:sz="0" w:space="0" w:color="auto"/>
                                    <w:right w:val="none" w:sz="0" w:space="0" w:color="auto"/>
                                  </w:divBdr>
                                  <w:divsChild>
                                    <w:div w:id="1006664099">
                                      <w:marLeft w:val="0"/>
                                      <w:marRight w:val="0"/>
                                      <w:marTop w:val="0"/>
                                      <w:marBottom w:val="0"/>
                                      <w:divBdr>
                                        <w:top w:val="none" w:sz="0" w:space="0" w:color="auto"/>
                                        <w:left w:val="none" w:sz="0" w:space="0" w:color="auto"/>
                                        <w:bottom w:val="none" w:sz="0" w:space="0" w:color="auto"/>
                                        <w:right w:val="none" w:sz="0" w:space="0" w:color="auto"/>
                                      </w:divBdr>
                                      <w:divsChild>
                                        <w:div w:id="11010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188698">
      <w:bodyDiv w:val="1"/>
      <w:marLeft w:val="0"/>
      <w:marRight w:val="0"/>
      <w:marTop w:val="0"/>
      <w:marBottom w:val="0"/>
      <w:divBdr>
        <w:top w:val="none" w:sz="0" w:space="0" w:color="auto"/>
        <w:left w:val="none" w:sz="0" w:space="0" w:color="auto"/>
        <w:bottom w:val="none" w:sz="0" w:space="0" w:color="auto"/>
        <w:right w:val="none" w:sz="0" w:space="0" w:color="auto"/>
      </w:divBdr>
      <w:divsChild>
        <w:div w:id="774911029">
          <w:marLeft w:val="0"/>
          <w:marRight w:val="0"/>
          <w:marTop w:val="0"/>
          <w:marBottom w:val="0"/>
          <w:divBdr>
            <w:top w:val="none" w:sz="0" w:space="0" w:color="auto"/>
            <w:left w:val="none" w:sz="0" w:space="0" w:color="auto"/>
            <w:bottom w:val="none" w:sz="0" w:space="0" w:color="auto"/>
            <w:right w:val="none" w:sz="0" w:space="0" w:color="auto"/>
          </w:divBdr>
          <w:divsChild>
            <w:div w:id="138811441">
              <w:marLeft w:val="0"/>
              <w:marRight w:val="0"/>
              <w:marTop w:val="0"/>
              <w:marBottom w:val="0"/>
              <w:divBdr>
                <w:top w:val="none" w:sz="0" w:space="0" w:color="auto"/>
                <w:left w:val="none" w:sz="0" w:space="0" w:color="auto"/>
                <w:bottom w:val="none" w:sz="0" w:space="0" w:color="auto"/>
                <w:right w:val="none" w:sz="0" w:space="0" w:color="auto"/>
              </w:divBdr>
              <w:divsChild>
                <w:div w:id="123739762">
                  <w:marLeft w:val="0"/>
                  <w:marRight w:val="0"/>
                  <w:marTop w:val="0"/>
                  <w:marBottom w:val="0"/>
                  <w:divBdr>
                    <w:top w:val="none" w:sz="0" w:space="0" w:color="auto"/>
                    <w:left w:val="none" w:sz="0" w:space="0" w:color="auto"/>
                    <w:bottom w:val="none" w:sz="0" w:space="0" w:color="auto"/>
                    <w:right w:val="none" w:sz="0" w:space="0" w:color="auto"/>
                  </w:divBdr>
                  <w:divsChild>
                    <w:div w:id="1836649089">
                      <w:marLeft w:val="0"/>
                      <w:marRight w:val="0"/>
                      <w:marTop w:val="0"/>
                      <w:marBottom w:val="0"/>
                      <w:divBdr>
                        <w:top w:val="none" w:sz="0" w:space="0" w:color="auto"/>
                        <w:left w:val="none" w:sz="0" w:space="0" w:color="auto"/>
                        <w:bottom w:val="none" w:sz="0" w:space="0" w:color="auto"/>
                        <w:right w:val="none" w:sz="0" w:space="0" w:color="auto"/>
                      </w:divBdr>
                      <w:divsChild>
                        <w:div w:id="7931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381103">
      <w:bodyDiv w:val="1"/>
      <w:marLeft w:val="0"/>
      <w:marRight w:val="0"/>
      <w:marTop w:val="0"/>
      <w:marBottom w:val="0"/>
      <w:divBdr>
        <w:top w:val="none" w:sz="0" w:space="0" w:color="auto"/>
        <w:left w:val="none" w:sz="0" w:space="0" w:color="auto"/>
        <w:bottom w:val="none" w:sz="0" w:space="0" w:color="auto"/>
        <w:right w:val="none" w:sz="0" w:space="0" w:color="auto"/>
      </w:divBdr>
      <w:divsChild>
        <w:div w:id="953749468">
          <w:marLeft w:val="0"/>
          <w:marRight w:val="0"/>
          <w:marTop w:val="0"/>
          <w:marBottom w:val="0"/>
          <w:divBdr>
            <w:top w:val="none" w:sz="0" w:space="0" w:color="auto"/>
            <w:left w:val="none" w:sz="0" w:space="0" w:color="auto"/>
            <w:bottom w:val="none" w:sz="0" w:space="0" w:color="auto"/>
            <w:right w:val="none" w:sz="0" w:space="0" w:color="auto"/>
          </w:divBdr>
          <w:divsChild>
            <w:div w:id="703019507">
              <w:marLeft w:val="0"/>
              <w:marRight w:val="0"/>
              <w:marTop w:val="0"/>
              <w:marBottom w:val="0"/>
              <w:divBdr>
                <w:top w:val="none" w:sz="0" w:space="0" w:color="auto"/>
                <w:left w:val="none" w:sz="0" w:space="0" w:color="auto"/>
                <w:bottom w:val="none" w:sz="0" w:space="0" w:color="auto"/>
                <w:right w:val="none" w:sz="0" w:space="0" w:color="auto"/>
              </w:divBdr>
              <w:divsChild>
                <w:div w:id="1255240032">
                  <w:marLeft w:val="0"/>
                  <w:marRight w:val="0"/>
                  <w:marTop w:val="0"/>
                  <w:marBottom w:val="0"/>
                  <w:divBdr>
                    <w:top w:val="none" w:sz="0" w:space="0" w:color="auto"/>
                    <w:left w:val="none" w:sz="0" w:space="0" w:color="auto"/>
                    <w:bottom w:val="none" w:sz="0" w:space="0" w:color="auto"/>
                    <w:right w:val="none" w:sz="0" w:space="0" w:color="auto"/>
                  </w:divBdr>
                  <w:divsChild>
                    <w:div w:id="623075013">
                      <w:marLeft w:val="0"/>
                      <w:marRight w:val="0"/>
                      <w:marTop w:val="0"/>
                      <w:marBottom w:val="0"/>
                      <w:divBdr>
                        <w:top w:val="none" w:sz="0" w:space="0" w:color="auto"/>
                        <w:left w:val="none" w:sz="0" w:space="0" w:color="auto"/>
                        <w:bottom w:val="none" w:sz="0" w:space="0" w:color="auto"/>
                        <w:right w:val="none" w:sz="0" w:space="0" w:color="auto"/>
                      </w:divBdr>
                      <w:divsChild>
                        <w:div w:id="1072890180">
                          <w:marLeft w:val="0"/>
                          <w:marRight w:val="0"/>
                          <w:marTop w:val="0"/>
                          <w:marBottom w:val="0"/>
                          <w:divBdr>
                            <w:top w:val="none" w:sz="0" w:space="0" w:color="auto"/>
                            <w:left w:val="none" w:sz="0" w:space="0" w:color="auto"/>
                            <w:bottom w:val="none" w:sz="0" w:space="0" w:color="auto"/>
                            <w:right w:val="none" w:sz="0" w:space="0" w:color="auto"/>
                          </w:divBdr>
                          <w:divsChild>
                            <w:div w:id="598101806">
                              <w:marLeft w:val="0"/>
                              <w:marRight w:val="0"/>
                              <w:marTop w:val="0"/>
                              <w:marBottom w:val="0"/>
                              <w:divBdr>
                                <w:top w:val="none" w:sz="0" w:space="0" w:color="auto"/>
                                <w:left w:val="none" w:sz="0" w:space="0" w:color="auto"/>
                                <w:bottom w:val="none" w:sz="0" w:space="0" w:color="auto"/>
                                <w:right w:val="none" w:sz="0" w:space="0" w:color="auto"/>
                              </w:divBdr>
                              <w:divsChild>
                                <w:div w:id="676999032">
                                  <w:marLeft w:val="0"/>
                                  <w:marRight w:val="0"/>
                                  <w:marTop w:val="0"/>
                                  <w:marBottom w:val="0"/>
                                  <w:divBdr>
                                    <w:top w:val="none" w:sz="0" w:space="0" w:color="auto"/>
                                    <w:left w:val="none" w:sz="0" w:space="0" w:color="auto"/>
                                    <w:bottom w:val="none" w:sz="0" w:space="0" w:color="auto"/>
                                    <w:right w:val="none" w:sz="0" w:space="0" w:color="auto"/>
                                  </w:divBdr>
                                  <w:divsChild>
                                    <w:div w:id="206189199">
                                      <w:marLeft w:val="0"/>
                                      <w:marRight w:val="0"/>
                                      <w:marTop w:val="0"/>
                                      <w:marBottom w:val="0"/>
                                      <w:divBdr>
                                        <w:top w:val="none" w:sz="0" w:space="0" w:color="auto"/>
                                        <w:left w:val="none" w:sz="0" w:space="0" w:color="auto"/>
                                        <w:bottom w:val="none" w:sz="0" w:space="0" w:color="auto"/>
                                        <w:right w:val="none" w:sz="0" w:space="0" w:color="auto"/>
                                      </w:divBdr>
                                      <w:divsChild>
                                        <w:div w:id="110132036">
                                          <w:marLeft w:val="0"/>
                                          <w:marRight w:val="0"/>
                                          <w:marTop w:val="0"/>
                                          <w:marBottom w:val="0"/>
                                          <w:divBdr>
                                            <w:top w:val="none" w:sz="0" w:space="0" w:color="auto"/>
                                            <w:left w:val="none" w:sz="0" w:space="0" w:color="auto"/>
                                            <w:bottom w:val="none" w:sz="0" w:space="0" w:color="auto"/>
                                            <w:right w:val="none" w:sz="0" w:space="0" w:color="auto"/>
                                          </w:divBdr>
                                          <w:divsChild>
                                            <w:div w:id="2142916867">
                                              <w:marLeft w:val="0"/>
                                              <w:marRight w:val="0"/>
                                              <w:marTop w:val="0"/>
                                              <w:marBottom w:val="0"/>
                                              <w:divBdr>
                                                <w:top w:val="none" w:sz="0" w:space="0" w:color="auto"/>
                                                <w:left w:val="none" w:sz="0" w:space="0" w:color="auto"/>
                                                <w:bottom w:val="none" w:sz="0" w:space="0" w:color="auto"/>
                                                <w:right w:val="none" w:sz="0" w:space="0" w:color="auto"/>
                                              </w:divBdr>
                                              <w:divsChild>
                                                <w:div w:id="536427691">
                                                  <w:marLeft w:val="0"/>
                                                  <w:marRight w:val="0"/>
                                                  <w:marTop w:val="0"/>
                                                  <w:marBottom w:val="0"/>
                                                  <w:divBdr>
                                                    <w:top w:val="none" w:sz="0" w:space="0" w:color="auto"/>
                                                    <w:left w:val="none" w:sz="0" w:space="0" w:color="auto"/>
                                                    <w:bottom w:val="none" w:sz="0" w:space="0" w:color="auto"/>
                                                    <w:right w:val="none" w:sz="0" w:space="0" w:color="auto"/>
                                                  </w:divBdr>
                                                  <w:divsChild>
                                                    <w:div w:id="1627737191">
                                                      <w:marLeft w:val="0"/>
                                                      <w:marRight w:val="0"/>
                                                      <w:marTop w:val="0"/>
                                                      <w:marBottom w:val="0"/>
                                                      <w:divBdr>
                                                        <w:top w:val="none" w:sz="0" w:space="0" w:color="auto"/>
                                                        <w:left w:val="none" w:sz="0" w:space="0" w:color="auto"/>
                                                        <w:bottom w:val="none" w:sz="0" w:space="0" w:color="auto"/>
                                                        <w:right w:val="none" w:sz="0" w:space="0" w:color="auto"/>
                                                      </w:divBdr>
                                                      <w:divsChild>
                                                        <w:div w:id="2061321734">
                                                          <w:marLeft w:val="0"/>
                                                          <w:marRight w:val="0"/>
                                                          <w:marTop w:val="0"/>
                                                          <w:marBottom w:val="0"/>
                                                          <w:divBdr>
                                                            <w:top w:val="none" w:sz="0" w:space="0" w:color="auto"/>
                                                            <w:left w:val="none" w:sz="0" w:space="0" w:color="auto"/>
                                                            <w:bottom w:val="none" w:sz="0" w:space="0" w:color="auto"/>
                                                            <w:right w:val="none" w:sz="0" w:space="0" w:color="auto"/>
                                                          </w:divBdr>
                                                        </w:div>
                                                        <w:div w:id="517160420">
                                                          <w:marLeft w:val="0"/>
                                                          <w:marRight w:val="0"/>
                                                          <w:marTop w:val="0"/>
                                                          <w:marBottom w:val="0"/>
                                                          <w:divBdr>
                                                            <w:top w:val="none" w:sz="0" w:space="0" w:color="auto"/>
                                                            <w:left w:val="none" w:sz="0" w:space="0" w:color="auto"/>
                                                            <w:bottom w:val="none" w:sz="0" w:space="0" w:color="auto"/>
                                                            <w:right w:val="none" w:sz="0" w:space="0" w:color="auto"/>
                                                          </w:divBdr>
                                                          <w:divsChild>
                                                            <w:div w:id="44893692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653278">
      <w:bodyDiv w:val="1"/>
      <w:marLeft w:val="0"/>
      <w:marRight w:val="0"/>
      <w:marTop w:val="0"/>
      <w:marBottom w:val="0"/>
      <w:divBdr>
        <w:top w:val="none" w:sz="0" w:space="0" w:color="auto"/>
        <w:left w:val="none" w:sz="0" w:space="0" w:color="auto"/>
        <w:bottom w:val="none" w:sz="0" w:space="0" w:color="auto"/>
        <w:right w:val="none" w:sz="0" w:space="0" w:color="auto"/>
      </w:divBdr>
      <w:divsChild>
        <w:div w:id="274139602">
          <w:marLeft w:val="0"/>
          <w:marRight w:val="0"/>
          <w:marTop w:val="0"/>
          <w:marBottom w:val="0"/>
          <w:divBdr>
            <w:top w:val="none" w:sz="0" w:space="0" w:color="auto"/>
            <w:left w:val="none" w:sz="0" w:space="0" w:color="auto"/>
            <w:bottom w:val="none" w:sz="0" w:space="0" w:color="auto"/>
            <w:right w:val="none" w:sz="0" w:space="0" w:color="auto"/>
          </w:divBdr>
          <w:divsChild>
            <w:div w:id="1174539599">
              <w:marLeft w:val="0"/>
              <w:marRight w:val="0"/>
              <w:marTop w:val="0"/>
              <w:marBottom w:val="450"/>
              <w:divBdr>
                <w:top w:val="none" w:sz="0" w:space="0" w:color="auto"/>
                <w:left w:val="none" w:sz="0" w:space="0" w:color="auto"/>
                <w:bottom w:val="none" w:sz="0" w:space="0" w:color="auto"/>
                <w:right w:val="none" w:sz="0" w:space="0" w:color="auto"/>
              </w:divBdr>
            </w:div>
          </w:divsChild>
        </w:div>
        <w:div w:id="815030498">
          <w:marLeft w:val="0"/>
          <w:marRight w:val="0"/>
          <w:marTop w:val="0"/>
          <w:marBottom w:val="0"/>
          <w:divBdr>
            <w:top w:val="none" w:sz="0" w:space="0" w:color="auto"/>
            <w:left w:val="none" w:sz="0" w:space="0" w:color="auto"/>
            <w:bottom w:val="none" w:sz="0" w:space="0" w:color="auto"/>
            <w:right w:val="none" w:sz="0" w:space="0" w:color="auto"/>
          </w:divBdr>
          <w:divsChild>
            <w:div w:id="9930238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66615869">
      <w:bodyDiv w:val="1"/>
      <w:marLeft w:val="0"/>
      <w:marRight w:val="0"/>
      <w:marTop w:val="0"/>
      <w:marBottom w:val="0"/>
      <w:divBdr>
        <w:top w:val="none" w:sz="0" w:space="0" w:color="auto"/>
        <w:left w:val="none" w:sz="0" w:space="0" w:color="auto"/>
        <w:bottom w:val="none" w:sz="0" w:space="0" w:color="auto"/>
        <w:right w:val="none" w:sz="0" w:space="0" w:color="auto"/>
      </w:divBdr>
    </w:div>
    <w:div w:id="1966622589">
      <w:bodyDiv w:val="1"/>
      <w:marLeft w:val="0"/>
      <w:marRight w:val="0"/>
      <w:marTop w:val="0"/>
      <w:marBottom w:val="0"/>
      <w:divBdr>
        <w:top w:val="none" w:sz="0" w:space="0" w:color="auto"/>
        <w:left w:val="none" w:sz="0" w:space="0" w:color="auto"/>
        <w:bottom w:val="none" w:sz="0" w:space="0" w:color="auto"/>
        <w:right w:val="none" w:sz="0" w:space="0" w:color="auto"/>
      </w:divBdr>
    </w:div>
    <w:div w:id="1967928856">
      <w:bodyDiv w:val="1"/>
      <w:marLeft w:val="0"/>
      <w:marRight w:val="0"/>
      <w:marTop w:val="0"/>
      <w:marBottom w:val="0"/>
      <w:divBdr>
        <w:top w:val="none" w:sz="0" w:space="0" w:color="auto"/>
        <w:left w:val="none" w:sz="0" w:space="0" w:color="auto"/>
        <w:bottom w:val="none" w:sz="0" w:space="0" w:color="auto"/>
        <w:right w:val="none" w:sz="0" w:space="0" w:color="auto"/>
      </w:divBdr>
      <w:divsChild>
        <w:div w:id="399912015">
          <w:marLeft w:val="0"/>
          <w:marRight w:val="0"/>
          <w:marTop w:val="0"/>
          <w:marBottom w:val="0"/>
          <w:divBdr>
            <w:top w:val="single" w:sz="6" w:space="0" w:color="0E477A"/>
            <w:left w:val="single" w:sz="6" w:space="0" w:color="0E477A"/>
            <w:bottom w:val="single" w:sz="6" w:space="0" w:color="0E477A"/>
            <w:right w:val="single" w:sz="6" w:space="0" w:color="0E477A"/>
          </w:divBdr>
          <w:divsChild>
            <w:div w:id="680281073">
              <w:marLeft w:val="2925"/>
              <w:marRight w:val="0"/>
              <w:marTop w:val="0"/>
              <w:marBottom w:val="0"/>
              <w:divBdr>
                <w:top w:val="none" w:sz="0" w:space="0" w:color="auto"/>
                <w:left w:val="none" w:sz="0" w:space="0" w:color="auto"/>
                <w:bottom w:val="none" w:sz="0" w:space="0" w:color="auto"/>
                <w:right w:val="none" w:sz="0" w:space="0" w:color="auto"/>
              </w:divBdr>
              <w:divsChild>
                <w:div w:id="905452373">
                  <w:marLeft w:val="0"/>
                  <w:marRight w:val="0"/>
                  <w:marTop w:val="0"/>
                  <w:marBottom w:val="0"/>
                  <w:divBdr>
                    <w:top w:val="none" w:sz="0" w:space="0" w:color="auto"/>
                    <w:left w:val="none" w:sz="0" w:space="0" w:color="auto"/>
                    <w:bottom w:val="none" w:sz="0" w:space="0" w:color="auto"/>
                    <w:right w:val="none" w:sz="0" w:space="0" w:color="auto"/>
                  </w:divBdr>
                  <w:divsChild>
                    <w:div w:id="144590044">
                      <w:marLeft w:val="0"/>
                      <w:marRight w:val="150"/>
                      <w:marTop w:val="0"/>
                      <w:marBottom w:val="0"/>
                      <w:divBdr>
                        <w:top w:val="single" w:sz="6" w:space="0" w:color="CCCCCC"/>
                        <w:left w:val="single" w:sz="6" w:space="8" w:color="CCCCCC"/>
                        <w:bottom w:val="single" w:sz="6" w:space="8" w:color="CCCCCC"/>
                        <w:right w:val="single" w:sz="6" w:space="8" w:color="CCCCCC"/>
                      </w:divBdr>
                      <w:divsChild>
                        <w:div w:id="15618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931309">
      <w:bodyDiv w:val="1"/>
      <w:marLeft w:val="0"/>
      <w:marRight w:val="0"/>
      <w:marTop w:val="0"/>
      <w:marBottom w:val="0"/>
      <w:divBdr>
        <w:top w:val="none" w:sz="0" w:space="0" w:color="auto"/>
        <w:left w:val="none" w:sz="0" w:space="0" w:color="auto"/>
        <w:bottom w:val="none" w:sz="0" w:space="0" w:color="auto"/>
        <w:right w:val="none" w:sz="0" w:space="0" w:color="auto"/>
      </w:divBdr>
      <w:divsChild>
        <w:div w:id="512230156">
          <w:marLeft w:val="0"/>
          <w:marRight w:val="0"/>
          <w:marTop w:val="0"/>
          <w:marBottom w:val="0"/>
          <w:divBdr>
            <w:top w:val="single" w:sz="2" w:space="0" w:color="AAAAAA"/>
            <w:left w:val="single" w:sz="6" w:space="8" w:color="AAAAAA"/>
            <w:bottom w:val="single" w:sz="2" w:space="0" w:color="AAAAAA"/>
            <w:right w:val="single" w:sz="6" w:space="8" w:color="AAAAAA"/>
          </w:divBdr>
          <w:divsChild>
            <w:div w:id="1346515185">
              <w:marLeft w:val="0"/>
              <w:marRight w:val="0"/>
              <w:marTop w:val="0"/>
              <w:marBottom w:val="0"/>
              <w:divBdr>
                <w:top w:val="none" w:sz="0" w:space="0" w:color="auto"/>
                <w:left w:val="none" w:sz="0" w:space="0" w:color="auto"/>
                <w:bottom w:val="none" w:sz="0" w:space="0" w:color="auto"/>
                <w:right w:val="none" w:sz="0" w:space="0" w:color="auto"/>
              </w:divBdr>
              <w:divsChild>
                <w:div w:id="1615479134">
                  <w:marLeft w:val="0"/>
                  <w:marRight w:val="0"/>
                  <w:marTop w:val="0"/>
                  <w:marBottom w:val="0"/>
                  <w:divBdr>
                    <w:top w:val="none" w:sz="0" w:space="0" w:color="auto"/>
                    <w:left w:val="none" w:sz="0" w:space="0" w:color="auto"/>
                    <w:bottom w:val="none" w:sz="0" w:space="0" w:color="auto"/>
                    <w:right w:val="none" w:sz="0" w:space="0" w:color="auto"/>
                  </w:divBdr>
                  <w:divsChild>
                    <w:div w:id="1496460437">
                      <w:marLeft w:val="0"/>
                      <w:marRight w:val="2550"/>
                      <w:marTop w:val="0"/>
                      <w:marBottom w:val="48"/>
                      <w:divBdr>
                        <w:top w:val="none" w:sz="0" w:space="0" w:color="auto"/>
                        <w:left w:val="none" w:sz="0" w:space="0" w:color="auto"/>
                        <w:bottom w:val="none" w:sz="0" w:space="0" w:color="auto"/>
                        <w:right w:val="none" w:sz="0" w:space="0" w:color="auto"/>
                      </w:divBdr>
                      <w:divsChild>
                        <w:div w:id="11835878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196640">
      <w:bodyDiv w:val="1"/>
      <w:marLeft w:val="0"/>
      <w:marRight w:val="0"/>
      <w:marTop w:val="0"/>
      <w:marBottom w:val="0"/>
      <w:divBdr>
        <w:top w:val="none" w:sz="0" w:space="0" w:color="auto"/>
        <w:left w:val="none" w:sz="0" w:space="0" w:color="auto"/>
        <w:bottom w:val="none" w:sz="0" w:space="0" w:color="auto"/>
        <w:right w:val="none" w:sz="0" w:space="0" w:color="auto"/>
      </w:divBdr>
      <w:divsChild>
        <w:div w:id="453641796">
          <w:marLeft w:val="2400"/>
          <w:marRight w:val="0"/>
          <w:marTop w:val="0"/>
          <w:marBottom w:val="0"/>
          <w:divBdr>
            <w:top w:val="none" w:sz="0" w:space="0" w:color="auto"/>
            <w:left w:val="none" w:sz="0" w:space="0" w:color="auto"/>
            <w:bottom w:val="none" w:sz="0" w:space="0" w:color="auto"/>
            <w:right w:val="none" w:sz="0" w:space="0" w:color="auto"/>
          </w:divBdr>
          <w:divsChild>
            <w:div w:id="1956056949">
              <w:marLeft w:val="0"/>
              <w:marRight w:val="0"/>
              <w:marTop w:val="0"/>
              <w:marBottom w:val="0"/>
              <w:divBdr>
                <w:top w:val="none" w:sz="0" w:space="0" w:color="auto"/>
                <w:left w:val="none" w:sz="0" w:space="0" w:color="auto"/>
                <w:bottom w:val="none" w:sz="0" w:space="0" w:color="auto"/>
                <w:right w:val="none" w:sz="0" w:space="0" w:color="auto"/>
              </w:divBdr>
              <w:divsChild>
                <w:div w:id="1690058029">
                  <w:marLeft w:val="0"/>
                  <w:marRight w:val="0"/>
                  <w:marTop w:val="0"/>
                  <w:marBottom w:val="0"/>
                  <w:divBdr>
                    <w:top w:val="none" w:sz="0" w:space="0" w:color="auto"/>
                    <w:left w:val="none" w:sz="0" w:space="0" w:color="auto"/>
                    <w:bottom w:val="none" w:sz="0" w:space="0" w:color="auto"/>
                    <w:right w:val="none" w:sz="0" w:space="0" w:color="auto"/>
                  </w:divBdr>
                  <w:divsChild>
                    <w:div w:id="1719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9319">
      <w:bodyDiv w:val="1"/>
      <w:marLeft w:val="0"/>
      <w:marRight w:val="0"/>
      <w:marTop w:val="0"/>
      <w:marBottom w:val="0"/>
      <w:divBdr>
        <w:top w:val="none" w:sz="0" w:space="0" w:color="auto"/>
        <w:left w:val="none" w:sz="0" w:space="0" w:color="auto"/>
        <w:bottom w:val="none" w:sz="0" w:space="0" w:color="auto"/>
        <w:right w:val="none" w:sz="0" w:space="0" w:color="auto"/>
      </w:divBdr>
      <w:divsChild>
        <w:div w:id="243729054">
          <w:marLeft w:val="0"/>
          <w:marRight w:val="0"/>
          <w:marTop w:val="0"/>
          <w:marBottom w:val="0"/>
          <w:divBdr>
            <w:top w:val="none" w:sz="0" w:space="0" w:color="auto"/>
            <w:left w:val="none" w:sz="0" w:space="0" w:color="auto"/>
            <w:bottom w:val="none" w:sz="0" w:space="0" w:color="auto"/>
            <w:right w:val="none" w:sz="0" w:space="0" w:color="auto"/>
          </w:divBdr>
        </w:div>
      </w:divsChild>
    </w:div>
    <w:div w:id="1971551940">
      <w:bodyDiv w:val="1"/>
      <w:marLeft w:val="0"/>
      <w:marRight w:val="0"/>
      <w:marTop w:val="0"/>
      <w:marBottom w:val="0"/>
      <w:divBdr>
        <w:top w:val="none" w:sz="0" w:space="0" w:color="auto"/>
        <w:left w:val="none" w:sz="0" w:space="0" w:color="auto"/>
        <w:bottom w:val="none" w:sz="0" w:space="0" w:color="auto"/>
        <w:right w:val="none" w:sz="0" w:space="0" w:color="auto"/>
      </w:divBdr>
    </w:div>
    <w:div w:id="1972248726">
      <w:bodyDiv w:val="1"/>
      <w:marLeft w:val="0"/>
      <w:marRight w:val="0"/>
      <w:marTop w:val="0"/>
      <w:marBottom w:val="0"/>
      <w:divBdr>
        <w:top w:val="none" w:sz="0" w:space="0" w:color="auto"/>
        <w:left w:val="none" w:sz="0" w:space="0" w:color="auto"/>
        <w:bottom w:val="none" w:sz="0" w:space="0" w:color="auto"/>
        <w:right w:val="none" w:sz="0" w:space="0" w:color="auto"/>
      </w:divBdr>
      <w:divsChild>
        <w:div w:id="600066486">
          <w:marLeft w:val="0"/>
          <w:marRight w:val="0"/>
          <w:marTop w:val="0"/>
          <w:marBottom w:val="0"/>
          <w:divBdr>
            <w:top w:val="single" w:sz="2" w:space="0" w:color="AAAAAA"/>
            <w:left w:val="single" w:sz="6" w:space="8" w:color="AAAAAA"/>
            <w:bottom w:val="single" w:sz="2" w:space="0" w:color="AAAAAA"/>
            <w:right w:val="single" w:sz="6" w:space="8" w:color="AAAAAA"/>
          </w:divBdr>
          <w:divsChild>
            <w:div w:id="960260154">
              <w:marLeft w:val="0"/>
              <w:marRight w:val="0"/>
              <w:marTop w:val="0"/>
              <w:marBottom w:val="0"/>
              <w:divBdr>
                <w:top w:val="none" w:sz="0" w:space="0" w:color="auto"/>
                <w:left w:val="none" w:sz="0" w:space="0" w:color="auto"/>
                <w:bottom w:val="none" w:sz="0" w:space="0" w:color="auto"/>
                <w:right w:val="none" w:sz="0" w:space="0" w:color="auto"/>
              </w:divBdr>
              <w:divsChild>
                <w:div w:id="1372073738">
                  <w:marLeft w:val="0"/>
                  <w:marRight w:val="0"/>
                  <w:marTop w:val="0"/>
                  <w:marBottom w:val="0"/>
                  <w:divBdr>
                    <w:top w:val="none" w:sz="0" w:space="0" w:color="auto"/>
                    <w:left w:val="none" w:sz="0" w:space="0" w:color="auto"/>
                    <w:bottom w:val="none" w:sz="0" w:space="0" w:color="auto"/>
                    <w:right w:val="none" w:sz="0" w:space="0" w:color="auto"/>
                  </w:divBdr>
                  <w:divsChild>
                    <w:div w:id="981081345">
                      <w:marLeft w:val="0"/>
                      <w:marRight w:val="2550"/>
                      <w:marTop w:val="0"/>
                      <w:marBottom w:val="48"/>
                      <w:divBdr>
                        <w:top w:val="none" w:sz="0" w:space="0" w:color="auto"/>
                        <w:left w:val="none" w:sz="0" w:space="0" w:color="auto"/>
                        <w:bottom w:val="none" w:sz="0" w:space="0" w:color="auto"/>
                        <w:right w:val="none" w:sz="0" w:space="0" w:color="auto"/>
                      </w:divBdr>
                      <w:divsChild>
                        <w:div w:id="9253074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72713699">
      <w:bodyDiv w:val="1"/>
      <w:marLeft w:val="0"/>
      <w:marRight w:val="0"/>
      <w:marTop w:val="0"/>
      <w:marBottom w:val="0"/>
      <w:divBdr>
        <w:top w:val="none" w:sz="0" w:space="0" w:color="auto"/>
        <w:left w:val="none" w:sz="0" w:space="0" w:color="auto"/>
        <w:bottom w:val="none" w:sz="0" w:space="0" w:color="auto"/>
        <w:right w:val="none" w:sz="0" w:space="0" w:color="auto"/>
      </w:divBdr>
      <w:divsChild>
        <w:div w:id="901713157">
          <w:marLeft w:val="0"/>
          <w:marRight w:val="0"/>
          <w:marTop w:val="0"/>
          <w:marBottom w:val="0"/>
          <w:divBdr>
            <w:top w:val="single" w:sz="2" w:space="0" w:color="AAAAAA"/>
            <w:left w:val="single" w:sz="6" w:space="8" w:color="AAAAAA"/>
            <w:bottom w:val="single" w:sz="2" w:space="0" w:color="AAAAAA"/>
            <w:right w:val="single" w:sz="6" w:space="8" w:color="AAAAAA"/>
          </w:divBdr>
          <w:divsChild>
            <w:div w:id="734813475">
              <w:marLeft w:val="0"/>
              <w:marRight w:val="0"/>
              <w:marTop w:val="0"/>
              <w:marBottom w:val="0"/>
              <w:divBdr>
                <w:top w:val="none" w:sz="0" w:space="0" w:color="auto"/>
                <w:left w:val="none" w:sz="0" w:space="0" w:color="auto"/>
                <w:bottom w:val="none" w:sz="0" w:space="0" w:color="auto"/>
                <w:right w:val="none" w:sz="0" w:space="0" w:color="auto"/>
              </w:divBdr>
              <w:divsChild>
                <w:div w:id="2064134142">
                  <w:marLeft w:val="0"/>
                  <w:marRight w:val="0"/>
                  <w:marTop w:val="0"/>
                  <w:marBottom w:val="0"/>
                  <w:divBdr>
                    <w:top w:val="none" w:sz="0" w:space="0" w:color="auto"/>
                    <w:left w:val="none" w:sz="0" w:space="0" w:color="auto"/>
                    <w:bottom w:val="none" w:sz="0" w:space="0" w:color="auto"/>
                    <w:right w:val="none" w:sz="0" w:space="0" w:color="auto"/>
                  </w:divBdr>
                  <w:divsChild>
                    <w:div w:id="142239748">
                      <w:marLeft w:val="0"/>
                      <w:marRight w:val="2550"/>
                      <w:marTop w:val="0"/>
                      <w:marBottom w:val="48"/>
                      <w:divBdr>
                        <w:top w:val="none" w:sz="0" w:space="0" w:color="auto"/>
                        <w:left w:val="none" w:sz="0" w:space="0" w:color="auto"/>
                        <w:bottom w:val="none" w:sz="0" w:space="0" w:color="auto"/>
                        <w:right w:val="none" w:sz="0" w:space="0" w:color="auto"/>
                      </w:divBdr>
                      <w:divsChild>
                        <w:div w:id="18184993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2783770">
      <w:bodyDiv w:val="1"/>
      <w:marLeft w:val="0"/>
      <w:marRight w:val="0"/>
      <w:marTop w:val="0"/>
      <w:marBottom w:val="0"/>
      <w:divBdr>
        <w:top w:val="none" w:sz="0" w:space="0" w:color="auto"/>
        <w:left w:val="none" w:sz="0" w:space="0" w:color="auto"/>
        <w:bottom w:val="none" w:sz="0" w:space="0" w:color="auto"/>
        <w:right w:val="none" w:sz="0" w:space="0" w:color="auto"/>
      </w:divBdr>
      <w:divsChild>
        <w:div w:id="1221133749">
          <w:marLeft w:val="0"/>
          <w:marRight w:val="0"/>
          <w:marTop w:val="0"/>
          <w:marBottom w:val="0"/>
          <w:divBdr>
            <w:top w:val="none" w:sz="0" w:space="0" w:color="auto"/>
            <w:left w:val="none" w:sz="0" w:space="0" w:color="auto"/>
            <w:bottom w:val="none" w:sz="0" w:space="0" w:color="auto"/>
            <w:right w:val="none" w:sz="0" w:space="0" w:color="auto"/>
          </w:divBdr>
          <w:divsChild>
            <w:div w:id="417942355">
              <w:marLeft w:val="0"/>
              <w:marRight w:val="0"/>
              <w:marTop w:val="0"/>
              <w:marBottom w:val="0"/>
              <w:divBdr>
                <w:top w:val="none" w:sz="0" w:space="0" w:color="auto"/>
                <w:left w:val="none" w:sz="0" w:space="0" w:color="auto"/>
                <w:bottom w:val="none" w:sz="0" w:space="0" w:color="auto"/>
                <w:right w:val="none" w:sz="0" w:space="0" w:color="auto"/>
              </w:divBdr>
              <w:divsChild>
                <w:div w:id="1522739440">
                  <w:marLeft w:val="0"/>
                  <w:marRight w:val="0"/>
                  <w:marTop w:val="0"/>
                  <w:marBottom w:val="0"/>
                  <w:divBdr>
                    <w:top w:val="none" w:sz="0" w:space="0" w:color="auto"/>
                    <w:left w:val="none" w:sz="0" w:space="0" w:color="auto"/>
                    <w:bottom w:val="none" w:sz="0" w:space="0" w:color="auto"/>
                    <w:right w:val="none" w:sz="0" w:space="0" w:color="auto"/>
                  </w:divBdr>
                  <w:divsChild>
                    <w:div w:id="386993282">
                      <w:marLeft w:val="0"/>
                      <w:marRight w:val="0"/>
                      <w:marTop w:val="0"/>
                      <w:marBottom w:val="0"/>
                      <w:divBdr>
                        <w:top w:val="none" w:sz="0" w:space="0" w:color="auto"/>
                        <w:left w:val="none" w:sz="0" w:space="0" w:color="auto"/>
                        <w:bottom w:val="none" w:sz="0" w:space="0" w:color="auto"/>
                        <w:right w:val="none" w:sz="0" w:space="0" w:color="auto"/>
                      </w:divBdr>
                      <w:divsChild>
                        <w:div w:id="209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320890">
      <w:bodyDiv w:val="1"/>
      <w:marLeft w:val="0"/>
      <w:marRight w:val="0"/>
      <w:marTop w:val="0"/>
      <w:marBottom w:val="0"/>
      <w:divBdr>
        <w:top w:val="none" w:sz="0" w:space="0" w:color="auto"/>
        <w:left w:val="none" w:sz="0" w:space="0" w:color="auto"/>
        <w:bottom w:val="none" w:sz="0" w:space="0" w:color="auto"/>
        <w:right w:val="none" w:sz="0" w:space="0" w:color="auto"/>
      </w:divBdr>
      <w:divsChild>
        <w:div w:id="1811046560">
          <w:marLeft w:val="0"/>
          <w:marRight w:val="0"/>
          <w:marTop w:val="0"/>
          <w:marBottom w:val="0"/>
          <w:divBdr>
            <w:top w:val="single" w:sz="2" w:space="0" w:color="AAAAAA"/>
            <w:left w:val="single" w:sz="6" w:space="8" w:color="AAAAAA"/>
            <w:bottom w:val="single" w:sz="2" w:space="0" w:color="AAAAAA"/>
            <w:right w:val="single" w:sz="6" w:space="8" w:color="AAAAAA"/>
          </w:divBdr>
          <w:divsChild>
            <w:div w:id="471756901">
              <w:marLeft w:val="0"/>
              <w:marRight w:val="0"/>
              <w:marTop w:val="0"/>
              <w:marBottom w:val="0"/>
              <w:divBdr>
                <w:top w:val="none" w:sz="0" w:space="0" w:color="auto"/>
                <w:left w:val="none" w:sz="0" w:space="0" w:color="auto"/>
                <w:bottom w:val="none" w:sz="0" w:space="0" w:color="auto"/>
                <w:right w:val="none" w:sz="0" w:space="0" w:color="auto"/>
              </w:divBdr>
              <w:divsChild>
                <w:div w:id="2023972554">
                  <w:marLeft w:val="0"/>
                  <w:marRight w:val="0"/>
                  <w:marTop w:val="0"/>
                  <w:marBottom w:val="0"/>
                  <w:divBdr>
                    <w:top w:val="none" w:sz="0" w:space="0" w:color="auto"/>
                    <w:left w:val="none" w:sz="0" w:space="0" w:color="auto"/>
                    <w:bottom w:val="none" w:sz="0" w:space="0" w:color="auto"/>
                    <w:right w:val="none" w:sz="0" w:space="0" w:color="auto"/>
                  </w:divBdr>
                  <w:divsChild>
                    <w:div w:id="144587369">
                      <w:marLeft w:val="0"/>
                      <w:marRight w:val="2550"/>
                      <w:marTop w:val="0"/>
                      <w:marBottom w:val="48"/>
                      <w:divBdr>
                        <w:top w:val="none" w:sz="0" w:space="0" w:color="auto"/>
                        <w:left w:val="none" w:sz="0" w:space="0" w:color="auto"/>
                        <w:bottom w:val="none" w:sz="0" w:space="0" w:color="auto"/>
                        <w:right w:val="none" w:sz="0" w:space="0" w:color="auto"/>
                      </w:divBdr>
                      <w:divsChild>
                        <w:div w:id="62986865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4211558">
      <w:bodyDiv w:val="1"/>
      <w:marLeft w:val="0"/>
      <w:marRight w:val="0"/>
      <w:marTop w:val="0"/>
      <w:marBottom w:val="0"/>
      <w:divBdr>
        <w:top w:val="none" w:sz="0" w:space="0" w:color="auto"/>
        <w:left w:val="none" w:sz="0" w:space="0" w:color="auto"/>
        <w:bottom w:val="none" w:sz="0" w:space="0" w:color="auto"/>
        <w:right w:val="none" w:sz="0" w:space="0" w:color="auto"/>
      </w:divBdr>
      <w:divsChild>
        <w:div w:id="1861434355">
          <w:marLeft w:val="0"/>
          <w:marRight w:val="0"/>
          <w:marTop w:val="0"/>
          <w:marBottom w:val="0"/>
          <w:divBdr>
            <w:top w:val="none" w:sz="0" w:space="0" w:color="auto"/>
            <w:left w:val="none" w:sz="0" w:space="0" w:color="auto"/>
            <w:bottom w:val="none" w:sz="0" w:space="0" w:color="auto"/>
            <w:right w:val="none" w:sz="0" w:space="0" w:color="auto"/>
          </w:divBdr>
          <w:divsChild>
            <w:div w:id="21408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8348">
      <w:bodyDiv w:val="1"/>
      <w:marLeft w:val="0"/>
      <w:marRight w:val="0"/>
      <w:marTop w:val="0"/>
      <w:marBottom w:val="0"/>
      <w:divBdr>
        <w:top w:val="none" w:sz="0" w:space="0" w:color="auto"/>
        <w:left w:val="none" w:sz="0" w:space="0" w:color="auto"/>
        <w:bottom w:val="none" w:sz="0" w:space="0" w:color="auto"/>
        <w:right w:val="none" w:sz="0" w:space="0" w:color="auto"/>
      </w:divBdr>
      <w:divsChild>
        <w:div w:id="704015544">
          <w:marLeft w:val="0"/>
          <w:marRight w:val="0"/>
          <w:marTop w:val="0"/>
          <w:marBottom w:val="0"/>
          <w:divBdr>
            <w:top w:val="none" w:sz="0" w:space="0" w:color="auto"/>
            <w:left w:val="none" w:sz="0" w:space="0" w:color="auto"/>
            <w:bottom w:val="none" w:sz="0" w:space="0" w:color="auto"/>
            <w:right w:val="none" w:sz="0" w:space="0" w:color="auto"/>
          </w:divBdr>
          <w:divsChild>
            <w:div w:id="449469084">
              <w:marLeft w:val="0"/>
              <w:marRight w:val="0"/>
              <w:marTop w:val="0"/>
              <w:marBottom w:val="0"/>
              <w:divBdr>
                <w:top w:val="none" w:sz="0" w:space="0" w:color="auto"/>
                <w:left w:val="none" w:sz="0" w:space="0" w:color="auto"/>
                <w:bottom w:val="none" w:sz="0" w:space="0" w:color="auto"/>
                <w:right w:val="none" w:sz="0" w:space="0" w:color="auto"/>
              </w:divBdr>
              <w:divsChild>
                <w:div w:id="1545561933">
                  <w:marLeft w:val="0"/>
                  <w:marRight w:val="0"/>
                  <w:marTop w:val="0"/>
                  <w:marBottom w:val="0"/>
                  <w:divBdr>
                    <w:top w:val="none" w:sz="0" w:space="0" w:color="auto"/>
                    <w:left w:val="none" w:sz="0" w:space="0" w:color="auto"/>
                    <w:bottom w:val="none" w:sz="0" w:space="0" w:color="auto"/>
                    <w:right w:val="none" w:sz="0" w:space="0" w:color="auto"/>
                  </w:divBdr>
                  <w:divsChild>
                    <w:div w:id="307561087">
                      <w:marLeft w:val="0"/>
                      <w:marRight w:val="0"/>
                      <w:marTop w:val="0"/>
                      <w:marBottom w:val="0"/>
                      <w:divBdr>
                        <w:top w:val="none" w:sz="0" w:space="0" w:color="auto"/>
                        <w:left w:val="none" w:sz="0" w:space="0" w:color="auto"/>
                        <w:bottom w:val="none" w:sz="0" w:space="0" w:color="auto"/>
                        <w:right w:val="none" w:sz="0" w:space="0" w:color="auto"/>
                      </w:divBdr>
                      <w:divsChild>
                        <w:div w:id="983268318">
                          <w:marLeft w:val="0"/>
                          <w:marRight w:val="0"/>
                          <w:marTop w:val="0"/>
                          <w:marBottom w:val="0"/>
                          <w:divBdr>
                            <w:top w:val="none" w:sz="0" w:space="0" w:color="auto"/>
                            <w:left w:val="none" w:sz="0" w:space="0" w:color="auto"/>
                            <w:bottom w:val="none" w:sz="0" w:space="0" w:color="auto"/>
                            <w:right w:val="none" w:sz="0" w:space="0" w:color="auto"/>
                          </w:divBdr>
                          <w:divsChild>
                            <w:div w:id="1013147049">
                              <w:marLeft w:val="0"/>
                              <w:marRight w:val="0"/>
                              <w:marTop w:val="0"/>
                              <w:marBottom w:val="0"/>
                              <w:divBdr>
                                <w:top w:val="none" w:sz="0" w:space="0" w:color="auto"/>
                                <w:left w:val="none" w:sz="0" w:space="0" w:color="auto"/>
                                <w:bottom w:val="none" w:sz="0" w:space="0" w:color="auto"/>
                                <w:right w:val="none" w:sz="0" w:space="0" w:color="auto"/>
                              </w:divBdr>
                              <w:divsChild>
                                <w:div w:id="1560169809">
                                  <w:marLeft w:val="0"/>
                                  <w:marRight w:val="0"/>
                                  <w:marTop w:val="0"/>
                                  <w:marBottom w:val="0"/>
                                  <w:divBdr>
                                    <w:top w:val="none" w:sz="0" w:space="0" w:color="auto"/>
                                    <w:left w:val="none" w:sz="0" w:space="0" w:color="auto"/>
                                    <w:bottom w:val="none" w:sz="0" w:space="0" w:color="auto"/>
                                    <w:right w:val="none" w:sz="0" w:space="0" w:color="auto"/>
                                  </w:divBdr>
                                  <w:divsChild>
                                    <w:div w:id="750272922">
                                      <w:marLeft w:val="0"/>
                                      <w:marRight w:val="0"/>
                                      <w:marTop w:val="0"/>
                                      <w:marBottom w:val="0"/>
                                      <w:divBdr>
                                        <w:top w:val="none" w:sz="0" w:space="0" w:color="auto"/>
                                        <w:left w:val="none" w:sz="0" w:space="0" w:color="auto"/>
                                        <w:bottom w:val="none" w:sz="0" w:space="0" w:color="auto"/>
                                        <w:right w:val="none" w:sz="0" w:space="0" w:color="auto"/>
                                      </w:divBdr>
                                      <w:divsChild>
                                        <w:div w:id="20702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941413">
      <w:bodyDiv w:val="1"/>
      <w:marLeft w:val="0"/>
      <w:marRight w:val="0"/>
      <w:marTop w:val="0"/>
      <w:marBottom w:val="0"/>
      <w:divBdr>
        <w:top w:val="none" w:sz="0" w:space="0" w:color="auto"/>
        <w:left w:val="none" w:sz="0" w:space="0" w:color="auto"/>
        <w:bottom w:val="none" w:sz="0" w:space="0" w:color="auto"/>
        <w:right w:val="none" w:sz="0" w:space="0" w:color="auto"/>
      </w:divBdr>
      <w:divsChild>
        <w:div w:id="1793667769">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976059893">
      <w:bodyDiv w:val="1"/>
      <w:marLeft w:val="0"/>
      <w:marRight w:val="0"/>
      <w:marTop w:val="0"/>
      <w:marBottom w:val="0"/>
      <w:divBdr>
        <w:top w:val="none" w:sz="0" w:space="0" w:color="auto"/>
        <w:left w:val="none" w:sz="0" w:space="0" w:color="auto"/>
        <w:bottom w:val="none" w:sz="0" w:space="0" w:color="auto"/>
        <w:right w:val="none" w:sz="0" w:space="0" w:color="auto"/>
      </w:divBdr>
    </w:div>
    <w:div w:id="1977098266">
      <w:bodyDiv w:val="1"/>
      <w:marLeft w:val="0"/>
      <w:marRight w:val="0"/>
      <w:marTop w:val="0"/>
      <w:marBottom w:val="0"/>
      <w:divBdr>
        <w:top w:val="none" w:sz="0" w:space="0" w:color="auto"/>
        <w:left w:val="none" w:sz="0" w:space="0" w:color="auto"/>
        <w:bottom w:val="none" w:sz="0" w:space="0" w:color="auto"/>
        <w:right w:val="none" w:sz="0" w:space="0" w:color="auto"/>
      </w:divBdr>
      <w:divsChild>
        <w:div w:id="1167403714">
          <w:marLeft w:val="0"/>
          <w:marRight w:val="0"/>
          <w:marTop w:val="0"/>
          <w:marBottom w:val="0"/>
          <w:divBdr>
            <w:top w:val="none" w:sz="0" w:space="0" w:color="auto"/>
            <w:left w:val="none" w:sz="0" w:space="0" w:color="auto"/>
            <w:bottom w:val="none" w:sz="0" w:space="0" w:color="auto"/>
            <w:right w:val="none" w:sz="0" w:space="0" w:color="auto"/>
          </w:divBdr>
          <w:divsChild>
            <w:div w:id="532691860">
              <w:marLeft w:val="210"/>
              <w:marRight w:val="0"/>
              <w:marTop w:val="0"/>
              <w:marBottom w:val="0"/>
              <w:divBdr>
                <w:top w:val="none" w:sz="0" w:space="0" w:color="auto"/>
                <w:left w:val="none" w:sz="0" w:space="0" w:color="auto"/>
                <w:bottom w:val="none" w:sz="0" w:space="0" w:color="auto"/>
                <w:right w:val="none" w:sz="0" w:space="0" w:color="auto"/>
              </w:divBdr>
              <w:divsChild>
                <w:div w:id="684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8406">
      <w:bodyDiv w:val="1"/>
      <w:marLeft w:val="0"/>
      <w:marRight w:val="0"/>
      <w:marTop w:val="0"/>
      <w:marBottom w:val="0"/>
      <w:divBdr>
        <w:top w:val="none" w:sz="0" w:space="0" w:color="auto"/>
        <w:left w:val="none" w:sz="0" w:space="0" w:color="auto"/>
        <w:bottom w:val="none" w:sz="0" w:space="0" w:color="auto"/>
        <w:right w:val="none" w:sz="0" w:space="0" w:color="auto"/>
      </w:divBdr>
    </w:div>
    <w:div w:id="1978143016">
      <w:bodyDiv w:val="1"/>
      <w:marLeft w:val="0"/>
      <w:marRight w:val="0"/>
      <w:marTop w:val="0"/>
      <w:marBottom w:val="0"/>
      <w:divBdr>
        <w:top w:val="none" w:sz="0" w:space="0" w:color="auto"/>
        <w:left w:val="none" w:sz="0" w:space="0" w:color="auto"/>
        <w:bottom w:val="none" w:sz="0" w:space="0" w:color="auto"/>
        <w:right w:val="none" w:sz="0" w:space="0" w:color="auto"/>
      </w:divBdr>
      <w:divsChild>
        <w:div w:id="1997488432">
          <w:marLeft w:val="0"/>
          <w:marRight w:val="0"/>
          <w:marTop w:val="0"/>
          <w:marBottom w:val="0"/>
          <w:divBdr>
            <w:top w:val="none" w:sz="0" w:space="0" w:color="auto"/>
            <w:left w:val="none" w:sz="0" w:space="0" w:color="auto"/>
            <w:bottom w:val="none" w:sz="0" w:space="0" w:color="auto"/>
            <w:right w:val="none" w:sz="0" w:space="0" w:color="auto"/>
          </w:divBdr>
          <w:divsChild>
            <w:div w:id="856307592">
              <w:marLeft w:val="0"/>
              <w:marRight w:val="0"/>
              <w:marTop w:val="0"/>
              <w:marBottom w:val="0"/>
              <w:divBdr>
                <w:top w:val="none" w:sz="0" w:space="0" w:color="auto"/>
                <w:left w:val="none" w:sz="0" w:space="0" w:color="auto"/>
                <w:bottom w:val="none" w:sz="0" w:space="0" w:color="auto"/>
                <w:right w:val="none" w:sz="0" w:space="0" w:color="auto"/>
              </w:divBdr>
              <w:divsChild>
                <w:div w:id="70584198">
                  <w:marLeft w:val="0"/>
                  <w:marRight w:val="0"/>
                  <w:marTop w:val="0"/>
                  <w:marBottom w:val="0"/>
                  <w:divBdr>
                    <w:top w:val="none" w:sz="0" w:space="0" w:color="auto"/>
                    <w:left w:val="none" w:sz="0" w:space="0" w:color="auto"/>
                    <w:bottom w:val="none" w:sz="0" w:space="0" w:color="auto"/>
                    <w:right w:val="none" w:sz="0" w:space="0" w:color="auto"/>
                  </w:divBdr>
                  <w:divsChild>
                    <w:div w:id="311108223">
                      <w:marLeft w:val="0"/>
                      <w:marRight w:val="0"/>
                      <w:marTop w:val="0"/>
                      <w:marBottom w:val="0"/>
                      <w:divBdr>
                        <w:top w:val="none" w:sz="0" w:space="0" w:color="auto"/>
                        <w:left w:val="none" w:sz="0" w:space="0" w:color="auto"/>
                        <w:bottom w:val="none" w:sz="0" w:space="0" w:color="auto"/>
                        <w:right w:val="none" w:sz="0" w:space="0" w:color="auto"/>
                      </w:divBdr>
                      <w:divsChild>
                        <w:div w:id="11761928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80375542">
      <w:bodyDiv w:val="1"/>
      <w:marLeft w:val="0"/>
      <w:marRight w:val="0"/>
      <w:marTop w:val="0"/>
      <w:marBottom w:val="0"/>
      <w:divBdr>
        <w:top w:val="none" w:sz="0" w:space="0" w:color="auto"/>
        <w:left w:val="none" w:sz="0" w:space="0" w:color="auto"/>
        <w:bottom w:val="none" w:sz="0" w:space="0" w:color="auto"/>
        <w:right w:val="none" w:sz="0" w:space="0" w:color="auto"/>
      </w:divBdr>
      <w:divsChild>
        <w:div w:id="1752048515">
          <w:marLeft w:val="0"/>
          <w:marRight w:val="0"/>
          <w:marTop w:val="0"/>
          <w:marBottom w:val="0"/>
          <w:divBdr>
            <w:top w:val="none" w:sz="0" w:space="0" w:color="auto"/>
            <w:left w:val="none" w:sz="0" w:space="0" w:color="auto"/>
            <w:bottom w:val="none" w:sz="0" w:space="0" w:color="auto"/>
            <w:right w:val="none" w:sz="0" w:space="0" w:color="auto"/>
          </w:divBdr>
          <w:divsChild>
            <w:div w:id="808866461">
              <w:marLeft w:val="0"/>
              <w:marRight w:val="0"/>
              <w:marTop w:val="0"/>
              <w:marBottom w:val="0"/>
              <w:divBdr>
                <w:top w:val="none" w:sz="0" w:space="0" w:color="auto"/>
                <w:left w:val="none" w:sz="0" w:space="0" w:color="auto"/>
                <w:bottom w:val="none" w:sz="0" w:space="0" w:color="auto"/>
                <w:right w:val="none" w:sz="0" w:space="0" w:color="auto"/>
              </w:divBdr>
              <w:divsChild>
                <w:div w:id="1032802157">
                  <w:marLeft w:val="0"/>
                  <w:marRight w:val="0"/>
                  <w:marTop w:val="100"/>
                  <w:marBottom w:val="100"/>
                  <w:divBdr>
                    <w:top w:val="none" w:sz="0" w:space="0" w:color="auto"/>
                    <w:left w:val="none" w:sz="0" w:space="0" w:color="auto"/>
                    <w:bottom w:val="none" w:sz="0" w:space="0" w:color="auto"/>
                    <w:right w:val="none" w:sz="0" w:space="0" w:color="auto"/>
                  </w:divBdr>
                  <w:divsChild>
                    <w:div w:id="1479880692">
                      <w:marLeft w:val="0"/>
                      <w:marRight w:val="0"/>
                      <w:marTop w:val="0"/>
                      <w:marBottom w:val="0"/>
                      <w:divBdr>
                        <w:top w:val="none" w:sz="0" w:space="0" w:color="auto"/>
                        <w:left w:val="none" w:sz="0" w:space="0" w:color="auto"/>
                        <w:bottom w:val="none" w:sz="0" w:space="0" w:color="auto"/>
                        <w:right w:val="none" w:sz="0" w:space="0" w:color="auto"/>
                      </w:divBdr>
                      <w:divsChild>
                        <w:div w:id="842937510">
                          <w:marLeft w:val="0"/>
                          <w:marRight w:val="0"/>
                          <w:marTop w:val="0"/>
                          <w:marBottom w:val="0"/>
                          <w:divBdr>
                            <w:top w:val="none" w:sz="0" w:space="0" w:color="auto"/>
                            <w:left w:val="none" w:sz="0" w:space="0" w:color="auto"/>
                            <w:bottom w:val="none" w:sz="0" w:space="0" w:color="auto"/>
                            <w:right w:val="none" w:sz="0" w:space="0" w:color="auto"/>
                          </w:divBdr>
                          <w:divsChild>
                            <w:div w:id="1241410142">
                              <w:marLeft w:val="0"/>
                              <w:marRight w:val="0"/>
                              <w:marTop w:val="0"/>
                              <w:marBottom w:val="0"/>
                              <w:divBdr>
                                <w:top w:val="none" w:sz="0" w:space="0" w:color="auto"/>
                                <w:left w:val="none" w:sz="0" w:space="0" w:color="auto"/>
                                <w:bottom w:val="none" w:sz="0" w:space="0" w:color="auto"/>
                                <w:right w:val="none" w:sz="0" w:space="0" w:color="auto"/>
                              </w:divBdr>
                              <w:divsChild>
                                <w:div w:id="207961674">
                                  <w:marLeft w:val="0"/>
                                  <w:marRight w:val="0"/>
                                  <w:marTop w:val="0"/>
                                  <w:marBottom w:val="0"/>
                                  <w:divBdr>
                                    <w:top w:val="none" w:sz="0" w:space="0" w:color="auto"/>
                                    <w:left w:val="none" w:sz="0" w:space="0" w:color="auto"/>
                                    <w:bottom w:val="none" w:sz="0" w:space="0" w:color="auto"/>
                                    <w:right w:val="none" w:sz="0" w:space="0" w:color="auto"/>
                                  </w:divBdr>
                                  <w:divsChild>
                                    <w:div w:id="1028604462">
                                      <w:marLeft w:val="0"/>
                                      <w:marRight w:val="0"/>
                                      <w:marTop w:val="0"/>
                                      <w:marBottom w:val="0"/>
                                      <w:divBdr>
                                        <w:top w:val="none" w:sz="0" w:space="0" w:color="auto"/>
                                        <w:left w:val="none" w:sz="0" w:space="0" w:color="auto"/>
                                        <w:bottom w:val="none" w:sz="0" w:space="0" w:color="auto"/>
                                        <w:right w:val="none" w:sz="0" w:space="0" w:color="auto"/>
                                      </w:divBdr>
                                      <w:divsChild>
                                        <w:div w:id="784621149">
                                          <w:marLeft w:val="0"/>
                                          <w:marRight w:val="0"/>
                                          <w:marTop w:val="0"/>
                                          <w:marBottom w:val="0"/>
                                          <w:divBdr>
                                            <w:top w:val="none" w:sz="0" w:space="0" w:color="auto"/>
                                            <w:left w:val="none" w:sz="0" w:space="0" w:color="auto"/>
                                            <w:bottom w:val="none" w:sz="0" w:space="0" w:color="auto"/>
                                            <w:right w:val="none" w:sz="0" w:space="0" w:color="auto"/>
                                          </w:divBdr>
                                          <w:divsChild>
                                            <w:div w:id="154032606">
                                              <w:marLeft w:val="0"/>
                                              <w:marRight w:val="0"/>
                                              <w:marTop w:val="0"/>
                                              <w:marBottom w:val="0"/>
                                              <w:divBdr>
                                                <w:top w:val="single" w:sz="6" w:space="0" w:color="B6D444"/>
                                                <w:left w:val="none" w:sz="0" w:space="0" w:color="auto"/>
                                                <w:bottom w:val="none" w:sz="0" w:space="0" w:color="auto"/>
                                                <w:right w:val="none" w:sz="0" w:space="0" w:color="auto"/>
                                              </w:divBdr>
                                              <w:divsChild>
                                                <w:div w:id="708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841451">
      <w:bodyDiv w:val="1"/>
      <w:marLeft w:val="0"/>
      <w:marRight w:val="0"/>
      <w:marTop w:val="0"/>
      <w:marBottom w:val="0"/>
      <w:divBdr>
        <w:top w:val="none" w:sz="0" w:space="0" w:color="auto"/>
        <w:left w:val="none" w:sz="0" w:space="0" w:color="auto"/>
        <w:bottom w:val="none" w:sz="0" w:space="0" w:color="auto"/>
        <w:right w:val="none" w:sz="0" w:space="0" w:color="auto"/>
      </w:divBdr>
    </w:div>
    <w:div w:id="1981380894">
      <w:bodyDiv w:val="1"/>
      <w:marLeft w:val="0"/>
      <w:marRight w:val="0"/>
      <w:marTop w:val="0"/>
      <w:marBottom w:val="0"/>
      <w:divBdr>
        <w:top w:val="none" w:sz="0" w:space="0" w:color="auto"/>
        <w:left w:val="none" w:sz="0" w:space="0" w:color="auto"/>
        <w:bottom w:val="none" w:sz="0" w:space="0" w:color="auto"/>
        <w:right w:val="none" w:sz="0" w:space="0" w:color="auto"/>
      </w:divBdr>
      <w:divsChild>
        <w:div w:id="599994237">
          <w:marLeft w:val="0"/>
          <w:marRight w:val="0"/>
          <w:marTop w:val="150"/>
          <w:marBottom w:val="0"/>
          <w:divBdr>
            <w:top w:val="none" w:sz="0" w:space="0" w:color="auto"/>
            <w:left w:val="none" w:sz="0" w:space="0" w:color="auto"/>
            <w:bottom w:val="none" w:sz="0" w:space="0" w:color="auto"/>
            <w:right w:val="none" w:sz="0" w:space="0" w:color="auto"/>
          </w:divBdr>
          <w:divsChild>
            <w:div w:id="1699240397">
              <w:marLeft w:val="0"/>
              <w:marRight w:val="0"/>
              <w:marTop w:val="0"/>
              <w:marBottom w:val="0"/>
              <w:divBdr>
                <w:top w:val="none" w:sz="0" w:space="0" w:color="auto"/>
                <w:left w:val="none" w:sz="0" w:space="0" w:color="auto"/>
                <w:bottom w:val="none" w:sz="0" w:space="0" w:color="auto"/>
                <w:right w:val="none" w:sz="0" w:space="0" w:color="auto"/>
              </w:divBdr>
              <w:divsChild>
                <w:div w:id="1194153893">
                  <w:marLeft w:val="0"/>
                  <w:marRight w:val="0"/>
                  <w:marTop w:val="0"/>
                  <w:marBottom w:val="0"/>
                  <w:divBdr>
                    <w:top w:val="none" w:sz="0" w:space="0" w:color="auto"/>
                    <w:left w:val="none" w:sz="0" w:space="0" w:color="auto"/>
                    <w:bottom w:val="none" w:sz="0" w:space="0" w:color="auto"/>
                    <w:right w:val="none" w:sz="0" w:space="0" w:color="auto"/>
                  </w:divBdr>
                  <w:divsChild>
                    <w:div w:id="12636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53833">
      <w:bodyDiv w:val="1"/>
      <w:marLeft w:val="0"/>
      <w:marRight w:val="0"/>
      <w:marTop w:val="0"/>
      <w:marBottom w:val="0"/>
      <w:divBdr>
        <w:top w:val="none" w:sz="0" w:space="0" w:color="auto"/>
        <w:left w:val="none" w:sz="0" w:space="0" w:color="auto"/>
        <w:bottom w:val="none" w:sz="0" w:space="0" w:color="auto"/>
        <w:right w:val="none" w:sz="0" w:space="0" w:color="auto"/>
      </w:divBdr>
    </w:div>
    <w:div w:id="1985501805">
      <w:bodyDiv w:val="1"/>
      <w:marLeft w:val="0"/>
      <w:marRight w:val="0"/>
      <w:marTop w:val="0"/>
      <w:marBottom w:val="0"/>
      <w:divBdr>
        <w:top w:val="none" w:sz="0" w:space="0" w:color="auto"/>
        <w:left w:val="none" w:sz="0" w:space="0" w:color="auto"/>
        <w:bottom w:val="none" w:sz="0" w:space="0" w:color="auto"/>
        <w:right w:val="none" w:sz="0" w:space="0" w:color="auto"/>
      </w:divBdr>
      <w:divsChild>
        <w:div w:id="1795365429">
          <w:marLeft w:val="0"/>
          <w:marRight w:val="0"/>
          <w:marTop w:val="0"/>
          <w:marBottom w:val="0"/>
          <w:divBdr>
            <w:top w:val="single" w:sz="6" w:space="0" w:color="0E477A"/>
            <w:left w:val="single" w:sz="6" w:space="0" w:color="0E477A"/>
            <w:bottom w:val="single" w:sz="6" w:space="0" w:color="0E477A"/>
            <w:right w:val="single" w:sz="6" w:space="0" w:color="0E477A"/>
          </w:divBdr>
          <w:divsChild>
            <w:div w:id="954556836">
              <w:marLeft w:val="2925"/>
              <w:marRight w:val="0"/>
              <w:marTop w:val="0"/>
              <w:marBottom w:val="0"/>
              <w:divBdr>
                <w:top w:val="none" w:sz="0" w:space="0" w:color="auto"/>
                <w:left w:val="none" w:sz="0" w:space="0" w:color="auto"/>
                <w:bottom w:val="none" w:sz="0" w:space="0" w:color="auto"/>
                <w:right w:val="none" w:sz="0" w:space="0" w:color="auto"/>
              </w:divBdr>
              <w:divsChild>
                <w:div w:id="2076320435">
                  <w:marLeft w:val="0"/>
                  <w:marRight w:val="0"/>
                  <w:marTop w:val="0"/>
                  <w:marBottom w:val="0"/>
                  <w:divBdr>
                    <w:top w:val="none" w:sz="0" w:space="0" w:color="auto"/>
                    <w:left w:val="none" w:sz="0" w:space="0" w:color="auto"/>
                    <w:bottom w:val="none" w:sz="0" w:space="0" w:color="auto"/>
                    <w:right w:val="none" w:sz="0" w:space="0" w:color="auto"/>
                  </w:divBdr>
                  <w:divsChild>
                    <w:div w:id="1656647811">
                      <w:marLeft w:val="0"/>
                      <w:marRight w:val="150"/>
                      <w:marTop w:val="0"/>
                      <w:marBottom w:val="0"/>
                      <w:divBdr>
                        <w:top w:val="single" w:sz="6" w:space="0" w:color="CCCCCC"/>
                        <w:left w:val="single" w:sz="6" w:space="8" w:color="CCCCCC"/>
                        <w:bottom w:val="single" w:sz="6" w:space="8" w:color="CCCCCC"/>
                        <w:right w:val="single" w:sz="6" w:space="8" w:color="CCCCCC"/>
                      </w:divBdr>
                      <w:divsChild>
                        <w:div w:id="1245920581">
                          <w:marLeft w:val="0"/>
                          <w:marRight w:val="0"/>
                          <w:marTop w:val="0"/>
                          <w:marBottom w:val="0"/>
                          <w:divBdr>
                            <w:top w:val="none" w:sz="0" w:space="0" w:color="auto"/>
                            <w:left w:val="none" w:sz="0" w:space="0" w:color="auto"/>
                            <w:bottom w:val="none" w:sz="0" w:space="0" w:color="auto"/>
                            <w:right w:val="none" w:sz="0" w:space="0" w:color="auto"/>
                          </w:divBdr>
                        </w:div>
                        <w:div w:id="363754460">
                          <w:marLeft w:val="0"/>
                          <w:marRight w:val="0"/>
                          <w:marTop w:val="0"/>
                          <w:marBottom w:val="0"/>
                          <w:divBdr>
                            <w:top w:val="none" w:sz="0" w:space="0" w:color="auto"/>
                            <w:left w:val="none" w:sz="0" w:space="0" w:color="auto"/>
                            <w:bottom w:val="none" w:sz="0" w:space="0" w:color="auto"/>
                            <w:right w:val="none" w:sz="0" w:space="0" w:color="auto"/>
                          </w:divBdr>
                        </w:div>
                        <w:div w:id="1462308924">
                          <w:marLeft w:val="0"/>
                          <w:marRight w:val="0"/>
                          <w:marTop w:val="0"/>
                          <w:marBottom w:val="0"/>
                          <w:divBdr>
                            <w:top w:val="none" w:sz="0" w:space="0" w:color="auto"/>
                            <w:left w:val="none" w:sz="0" w:space="0" w:color="auto"/>
                            <w:bottom w:val="none" w:sz="0" w:space="0" w:color="auto"/>
                            <w:right w:val="none" w:sz="0" w:space="0" w:color="auto"/>
                          </w:divBdr>
                        </w:div>
                        <w:div w:id="1795639605">
                          <w:marLeft w:val="0"/>
                          <w:marRight w:val="0"/>
                          <w:marTop w:val="0"/>
                          <w:marBottom w:val="0"/>
                          <w:divBdr>
                            <w:top w:val="none" w:sz="0" w:space="0" w:color="auto"/>
                            <w:left w:val="none" w:sz="0" w:space="0" w:color="auto"/>
                            <w:bottom w:val="none" w:sz="0" w:space="0" w:color="auto"/>
                            <w:right w:val="none" w:sz="0" w:space="0" w:color="auto"/>
                          </w:divBdr>
                        </w:div>
                        <w:div w:id="538395263">
                          <w:marLeft w:val="0"/>
                          <w:marRight w:val="0"/>
                          <w:marTop w:val="0"/>
                          <w:marBottom w:val="0"/>
                          <w:divBdr>
                            <w:top w:val="none" w:sz="0" w:space="0" w:color="auto"/>
                            <w:left w:val="none" w:sz="0" w:space="0" w:color="auto"/>
                            <w:bottom w:val="none" w:sz="0" w:space="0" w:color="auto"/>
                            <w:right w:val="none" w:sz="0" w:space="0" w:color="auto"/>
                          </w:divBdr>
                        </w:div>
                        <w:div w:id="6645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74389">
      <w:bodyDiv w:val="1"/>
      <w:marLeft w:val="0"/>
      <w:marRight w:val="0"/>
      <w:marTop w:val="0"/>
      <w:marBottom w:val="0"/>
      <w:divBdr>
        <w:top w:val="none" w:sz="0" w:space="0" w:color="auto"/>
        <w:left w:val="none" w:sz="0" w:space="0" w:color="auto"/>
        <w:bottom w:val="none" w:sz="0" w:space="0" w:color="auto"/>
        <w:right w:val="none" w:sz="0" w:space="0" w:color="auto"/>
      </w:divBdr>
      <w:divsChild>
        <w:div w:id="411631716">
          <w:marLeft w:val="2400"/>
          <w:marRight w:val="0"/>
          <w:marTop w:val="0"/>
          <w:marBottom w:val="0"/>
          <w:divBdr>
            <w:top w:val="none" w:sz="0" w:space="0" w:color="auto"/>
            <w:left w:val="none" w:sz="0" w:space="0" w:color="auto"/>
            <w:bottom w:val="none" w:sz="0" w:space="0" w:color="auto"/>
            <w:right w:val="none" w:sz="0" w:space="0" w:color="auto"/>
          </w:divBdr>
          <w:divsChild>
            <w:div w:id="295373682">
              <w:marLeft w:val="0"/>
              <w:marRight w:val="0"/>
              <w:marTop w:val="0"/>
              <w:marBottom w:val="0"/>
              <w:divBdr>
                <w:top w:val="none" w:sz="0" w:space="0" w:color="auto"/>
                <w:left w:val="none" w:sz="0" w:space="0" w:color="auto"/>
                <w:bottom w:val="none" w:sz="0" w:space="0" w:color="auto"/>
                <w:right w:val="none" w:sz="0" w:space="0" w:color="auto"/>
              </w:divBdr>
              <w:divsChild>
                <w:div w:id="1629975437">
                  <w:marLeft w:val="0"/>
                  <w:marRight w:val="0"/>
                  <w:marTop w:val="0"/>
                  <w:marBottom w:val="0"/>
                  <w:divBdr>
                    <w:top w:val="none" w:sz="0" w:space="0" w:color="auto"/>
                    <w:left w:val="none" w:sz="0" w:space="0" w:color="auto"/>
                    <w:bottom w:val="none" w:sz="0" w:space="0" w:color="auto"/>
                    <w:right w:val="none" w:sz="0" w:space="0" w:color="auto"/>
                  </w:divBdr>
                  <w:divsChild>
                    <w:div w:id="5703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22377">
      <w:bodyDiv w:val="1"/>
      <w:marLeft w:val="0"/>
      <w:marRight w:val="0"/>
      <w:marTop w:val="0"/>
      <w:marBottom w:val="0"/>
      <w:divBdr>
        <w:top w:val="none" w:sz="0" w:space="0" w:color="auto"/>
        <w:left w:val="none" w:sz="0" w:space="0" w:color="auto"/>
        <w:bottom w:val="none" w:sz="0" w:space="0" w:color="auto"/>
        <w:right w:val="none" w:sz="0" w:space="0" w:color="auto"/>
      </w:divBdr>
      <w:divsChild>
        <w:div w:id="1261452679">
          <w:marLeft w:val="0"/>
          <w:marRight w:val="0"/>
          <w:marTop w:val="0"/>
          <w:marBottom w:val="0"/>
          <w:divBdr>
            <w:top w:val="none" w:sz="0" w:space="0" w:color="auto"/>
            <w:left w:val="none" w:sz="0" w:space="0" w:color="auto"/>
            <w:bottom w:val="none" w:sz="0" w:space="0" w:color="auto"/>
            <w:right w:val="none" w:sz="0" w:space="0" w:color="auto"/>
          </w:divBdr>
        </w:div>
      </w:divsChild>
    </w:div>
    <w:div w:id="1987393510">
      <w:bodyDiv w:val="1"/>
      <w:marLeft w:val="0"/>
      <w:marRight w:val="0"/>
      <w:marTop w:val="0"/>
      <w:marBottom w:val="0"/>
      <w:divBdr>
        <w:top w:val="none" w:sz="0" w:space="0" w:color="auto"/>
        <w:left w:val="none" w:sz="0" w:space="0" w:color="auto"/>
        <w:bottom w:val="none" w:sz="0" w:space="0" w:color="auto"/>
        <w:right w:val="none" w:sz="0" w:space="0" w:color="auto"/>
      </w:divBdr>
      <w:divsChild>
        <w:div w:id="451554146">
          <w:marLeft w:val="0"/>
          <w:marRight w:val="0"/>
          <w:marTop w:val="0"/>
          <w:marBottom w:val="0"/>
          <w:divBdr>
            <w:top w:val="none" w:sz="0" w:space="0" w:color="auto"/>
            <w:left w:val="none" w:sz="0" w:space="0" w:color="auto"/>
            <w:bottom w:val="none" w:sz="0" w:space="0" w:color="auto"/>
            <w:right w:val="none" w:sz="0" w:space="0" w:color="auto"/>
          </w:divBdr>
          <w:divsChild>
            <w:div w:id="759721148">
              <w:marLeft w:val="0"/>
              <w:marRight w:val="0"/>
              <w:marTop w:val="0"/>
              <w:marBottom w:val="0"/>
              <w:divBdr>
                <w:top w:val="none" w:sz="0" w:space="0" w:color="auto"/>
                <w:left w:val="none" w:sz="0" w:space="0" w:color="auto"/>
                <w:bottom w:val="none" w:sz="0" w:space="0" w:color="auto"/>
                <w:right w:val="none" w:sz="0" w:space="0" w:color="auto"/>
              </w:divBdr>
              <w:divsChild>
                <w:div w:id="1940333908">
                  <w:marLeft w:val="0"/>
                  <w:marRight w:val="0"/>
                  <w:marTop w:val="0"/>
                  <w:marBottom w:val="0"/>
                  <w:divBdr>
                    <w:top w:val="none" w:sz="0" w:space="0" w:color="auto"/>
                    <w:left w:val="none" w:sz="0" w:space="0" w:color="auto"/>
                    <w:bottom w:val="none" w:sz="0" w:space="0" w:color="auto"/>
                    <w:right w:val="none" w:sz="0" w:space="0" w:color="auto"/>
                  </w:divBdr>
                  <w:divsChild>
                    <w:div w:id="2109230705">
                      <w:marLeft w:val="0"/>
                      <w:marRight w:val="0"/>
                      <w:marTop w:val="300"/>
                      <w:marBottom w:val="600"/>
                      <w:divBdr>
                        <w:top w:val="none" w:sz="0" w:space="0" w:color="auto"/>
                        <w:left w:val="none" w:sz="0" w:space="0" w:color="auto"/>
                        <w:bottom w:val="none" w:sz="0" w:space="0" w:color="auto"/>
                        <w:right w:val="none" w:sz="0" w:space="0" w:color="auto"/>
                      </w:divBdr>
                      <w:divsChild>
                        <w:div w:id="2131851726">
                          <w:marLeft w:val="0"/>
                          <w:marRight w:val="0"/>
                          <w:marTop w:val="0"/>
                          <w:marBottom w:val="0"/>
                          <w:divBdr>
                            <w:top w:val="none" w:sz="0" w:space="0" w:color="auto"/>
                            <w:left w:val="none" w:sz="0" w:space="0" w:color="auto"/>
                            <w:bottom w:val="none" w:sz="0" w:space="0" w:color="auto"/>
                            <w:right w:val="none" w:sz="0" w:space="0" w:color="auto"/>
                          </w:divBdr>
                          <w:divsChild>
                            <w:div w:id="2016103733">
                              <w:marLeft w:val="0"/>
                              <w:marRight w:val="0"/>
                              <w:marTop w:val="0"/>
                              <w:marBottom w:val="0"/>
                              <w:divBdr>
                                <w:top w:val="none" w:sz="0" w:space="0" w:color="auto"/>
                                <w:left w:val="none" w:sz="0" w:space="0" w:color="auto"/>
                                <w:bottom w:val="none" w:sz="0" w:space="0" w:color="auto"/>
                                <w:right w:val="none" w:sz="0" w:space="0" w:color="auto"/>
                              </w:divBdr>
                              <w:divsChild>
                                <w:div w:id="1074740848">
                                  <w:marLeft w:val="0"/>
                                  <w:marRight w:val="0"/>
                                  <w:marTop w:val="0"/>
                                  <w:marBottom w:val="0"/>
                                  <w:divBdr>
                                    <w:top w:val="none" w:sz="0" w:space="0" w:color="auto"/>
                                    <w:left w:val="none" w:sz="0" w:space="0" w:color="auto"/>
                                    <w:bottom w:val="none" w:sz="0" w:space="0" w:color="auto"/>
                                    <w:right w:val="none" w:sz="0" w:space="0" w:color="auto"/>
                                  </w:divBdr>
                                  <w:divsChild>
                                    <w:div w:id="660161746">
                                      <w:marLeft w:val="0"/>
                                      <w:marRight w:val="0"/>
                                      <w:marTop w:val="150"/>
                                      <w:marBottom w:val="0"/>
                                      <w:divBdr>
                                        <w:top w:val="none" w:sz="0" w:space="0" w:color="auto"/>
                                        <w:left w:val="none" w:sz="0" w:space="0" w:color="auto"/>
                                        <w:bottom w:val="none" w:sz="0" w:space="0" w:color="auto"/>
                                        <w:right w:val="none" w:sz="0" w:space="0" w:color="auto"/>
                                      </w:divBdr>
                                      <w:divsChild>
                                        <w:div w:id="816797303">
                                          <w:marLeft w:val="0"/>
                                          <w:marRight w:val="0"/>
                                          <w:marTop w:val="0"/>
                                          <w:marBottom w:val="0"/>
                                          <w:divBdr>
                                            <w:top w:val="none" w:sz="0" w:space="0" w:color="auto"/>
                                            <w:left w:val="none" w:sz="0" w:space="0" w:color="auto"/>
                                            <w:bottom w:val="none" w:sz="0" w:space="0" w:color="auto"/>
                                            <w:right w:val="none" w:sz="0" w:space="0" w:color="auto"/>
                                          </w:divBdr>
                                          <w:divsChild>
                                            <w:div w:id="1643847176">
                                              <w:marLeft w:val="0"/>
                                              <w:marRight w:val="0"/>
                                              <w:marTop w:val="0"/>
                                              <w:marBottom w:val="0"/>
                                              <w:divBdr>
                                                <w:top w:val="none" w:sz="0" w:space="0" w:color="auto"/>
                                                <w:left w:val="none" w:sz="0" w:space="0" w:color="auto"/>
                                                <w:bottom w:val="none" w:sz="0" w:space="0" w:color="auto"/>
                                                <w:right w:val="none" w:sz="0" w:space="0" w:color="auto"/>
                                              </w:divBdr>
                                              <w:divsChild>
                                                <w:div w:id="16896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8777235">
      <w:bodyDiv w:val="1"/>
      <w:marLeft w:val="0"/>
      <w:marRight w:val="0"/>
      <w:marTop w:val="0"/>
      <w:marBottom w:val="0"/>
      <w:divBdr>
        <w:top w:val="none" w:sz="0" w:space="0" w:color="auto"/>
        <w:left w:val="none" w:sz="0" w:space="0" w:color="auto"/>
        <w:bottom w:val="none" w:sz="0" w:space="0" w:color="auto"/>
        <w:right w:val="none" w:sz="0" w:space="0" w:color="auto"/>
      </w:divBdr>
      <w:divsChild>
        <w:div w:id="121966569">
          <w:marLeft w:val="0"/>
          <w:marRight w:val="0"/>
          <w:marTop w:val="0"/>
          <w:marBottom w:val="450"/>
          <w:divBdr>
            <w:top w:val="none" w:sz="0" w:space="0" w:color="auto"/>
            <w:left w:val="none" w:sz="0" w:space="0" w:color="auto"/>
            <w:bottom w:val="none" w:sz="0" w:space="0" w:color="auto"/>
            <w:right w:val="none" w:sz="0" w:space="0" w:color="auto"/>
          </w:divBdr>
        </w:div>
      </w:divsChild>
    </w:div>
    <w:div w:id="1991904272">
      <w:bodyDiv w:val="1"/>
      <w:marLeft w:val="0"/>
      <w:marRight w:val="0"/>
      <w:marTop w:val="0"/>
      <w:marBottom w:val="0"/>
      <w:divBdr>
        <w:top w:val="none" w:sz="0" w:space="0" w:color="auto"/>
        <w:left w:val="none" w:sz="0" w:space="0" w:color="auto"/>
        <w:bottom w:val="none" w:sz="0" w:space="0" w:color="auto"/>
        <w:right w:val="none" w:sz="0" w:space="0" w:color="auto"/>
      </w:divBdr>
      <w:divsChild>
        <w:div w:id="171339500">
          <w:marLeft w:val="0"/>
          <w:marRight w:val="0"/>
          <w:marTop w:val="0"/>
          <w:marBottom w:val="0"/>
          <w:divBdr>
            <w:top w:val="single" w:sz="6" w:space="0" w:color="0E477A"/>
            <w:left w:val="single" w:sz="6" w:space="0" w:color="0E477A"/>
            <w:bottom w:val="single" w:sz="6" w:space="0" w:color="0E477A"/>
            <w:right w:val="single" w:sz="6" w:space="0" w:color="0E477A"/>
          </w:divBdr>
          <w:divsChild>
            <w:div w:id="1490367725">
              <w:marLeft w:val="0"/>
              <w:marRight w:val="0"/>
              <w:marTop w:val="0"/>
              <w:marBottom w:val="0"/>
              <w:divBdr>
                <w:top w:val="none" w:sz="0" w:space="0" w:color="auto"/>
                <w:left w:val="none" w:sz="0" w:space="0" w:color="auto"/>
                <w:bottom w:val="none" w:sz="0" w:space="0" w:color="auto"/>
                <w:right w:val="none" w:sz="0" w:space="0" w:color="auto"/>
              </w:divBdr>
              <w:divsChild>
                <w:div w:id="774594449">
                  <w:marLeft w:val="0"/>
                  <w:marRight w:val="0"/>
                  <w:marTop w:val="0"/>
                  <w:marBottom w:val="0"/>
                  <w:divBdr>
                    <w:top w:val="none" w:sz="0" w:space="0" w:color="auto"/>
                    <w:left w:val="none" w:sz="0" w:space="0" w:color="auto"/>
                    <w:bottom w:val="none" w:sz="0" w:space="0" w:color="auto"/>
                    <w:right w:val="none" w:sz="0" w:space="0" w:color="auto"/>
                  </w:divBdr>
                  <w:divsChild>
                    <w:div w:id="867989614">
                      <w:marLeft w:val="0"/>
                      <w:marRight w:val="0"/>
                      <w:marTop w:val="0"/>
                      <w:marBottom w:val="0"/>
                      <w:divBdr>
                        <w:top w:val="none" w:sz="0" w:space="0" w:color="auto"/>
                        <w:left w:val="none" w:sz="0" w:space="0" w:color="auto"/>
                        <w:bottom w:val="none" w:sz="0" w:space="0" w:color="auto"/>
                        <w:right w:val="none" w:sz="0" w:space="0" w:color="auto"/>
                      </w:divBdr>
                      <w:divsChild>
                        <w:div w:id="1119453167">
                          <w:marLeft w:val="0"/>
                          <w:marRight w:val="0"/>
                          <w:marTop w:val="0"/>
                          <w:marBottom w:val="0"/>
                          <w:divBdr>
                            <w:top w:val="none" w:sz="0" w:space="0" w:color="auto"/>
                            <w:left w:val="none" w:sz="0" w:space="0" w:color="auto"/>
                            <w:bottom w:val="none" w:sz="0" w:space="0" w:color="auto"/>
                            <w:right w:val="none" w:sz="0" w:space="0" w:color="auto"/>
                          </w:divBdr>
                          <w:divsChild>
                            <w:div w:id="1904753705">
                              <w:marLeft w:val="0"/>
                              <w:marRight w:val="0"/>
                              <w:marTop w:val="0"/>
                              <w:marBottom w:val="0"/>
                              <w:divBdr>
                                <w:top w:val="none" w:sz="0" w:space="0" w:color="auto"/>
                                <w:left w:val="none" w:sz="0" w:space="0" w:color="auto"/>
                                <w:bottom w:val="none" w:sz="0" w:space="0" w:color="auto"/>
                                <w:right w:val="none" w:sz="0" w:space="0" w:color="auto"/>
                              </w:divBdr>
                              <w:divsChild>
                                <w:div w:id="645548320">
                                  <w:marLeft w:val="0"/>
                                  <w:marRight w:val="0"/>
                                  <w:marTop w:val="0"/>
                                  <w:marBottom w:val="0"/>
                                  <w:divBdr>
                                    <w:top w:val="none" w:sz="0" w:space="0" w:color="auto"/>
                                    <w:left w:val="none" w:sz="0" w:space="0" w:color="auto"/>
                                    <w:bottom w:val="none" w:sz="0" w:space="0" w:color="auto"/>
                                    <w:right w:val="none" w:sz="0" w:space="0" w:color="auto"/>
                                  </w:divBdr>
                                </w:div>
                              </w:divsChild>
                            </w:div>
                            <w:div w:id="1464929382">
                              <w:marLeft w:val="0"/>
                              <w:marRight w:val="0"/>
                              <w:marTop w:val="0"/>
                              <w:marBottom w:val="0"/>
                              <w:divBdr>
                                <w:top w:val="none" w:sz="0" w:space="0" w:color="auto"/>
                                <w:left w:val="none" w:sz="0" w:space="0" w:color="auto"/>
                                <w:bottom w:val="none" w:sz="0" w:space="0" w:color="auto"/>
                                <w:right w:val="none" w:sz="0" w:space="0" w:color="auto"/>
                              </w:divBdr>
                              <w:divsChild>
                                <w:div w:id="20952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827748">
      <w:bodyDiv w:val="1"/>
      <w:marLeft w:val="0"/>
      <w:marRight w:val="0"/>
      <w:marTop w:val="0"/>
      <w:marBottom w:val="0"/>
      <w:divBdr>
        <w:top w:val="none" w:sz="0" w:space="0" w:color="auto"/>
        <w:left w:val="none" w:sz="0" w:space="0" w:color="auto"/>
        <w:bottom w:val="none" w:sz="0" w:space="0" w:color="auto"/>
        <w:right w:val="none" w:sz="0" w:space="0" w:color="auto"/>
      </w:divBdr>
      <w:divsChild>
        <w:div w:id="145825457">
          <w:marLeft w:val="0"/>
          <w:marRight w:val="0"/>
          <w:marTop w:val="0"/>
          <w:marBottom w:val="0"/>
          <w:divBdr>
            <w:top w:val="none" w:sz="0" w:space="0" w:color="auto"/>
            <w:left w:val="none" w:sz="0" w:space="0" w:color="auto"/>
            <w:bottom w:val="none" w:sz="0" w:space="0" w:color="auto"/>
            <w:right w:val="none" w:sz="0" w:space="0" w:color="auto"/>
          </w:divBdr>
          <w:divsChild>
            <w:div w:id="1959794096">
              <w:marLeft w:val="0"/>
              <w:marRight w:val="0"/>
              <w:marTop w:val="0"/>
              <w:marBottom w:val="0"/>
              <w:divBdr>
                <w:top w:val="none" w:sz="0" w:space="0" w:color="auto"/>
                <w:left w:val="none" w:sz="0" w:space="0" w:color="auto"/>
                <w:bottom w:val="none" w:sz="0" w:space="0" w:color="auto"/>
                <w:right w:val="none" w:sz="0" w:space="0" w:color="auto"/>
              </w:divBdr>
              <w:divsChild>
                <w:div w:id="143858079">
                  <w:marLeft w:val="-375"/>
                  <w:marRight w:val="0"/>
                  <w:marTop w:val="0"/>
                  <w:marBottom w:val="0"/>
                  <w:divBdr>
                    <w:top w:val="none" w:sz="0" w:space="0" w:color="auto"/>
                    <w:left w:val="none" w:sz="0" w:space="0" w:color="auto"/>
                    <w:bottom w:val="none" w:sz="0" w:space="0" w:color="auto"/>
                    <w:right w:val="none" w:sz="0" w:space="0" w:color="auto"/>
                  </w:divBdr>
                  <w:divsChild>
                    <w:div w:id="953174318">
                      <w:marLeft w:val="0"/>
                      <w:marRight w:val="0"/>
                      <w:marTop w:val="0"/>
                      <w:marBottom w:val="0"/>
                      <w:divBdr>
                        <w:top w:val="none" w:sz="0" w:space="0" w:color="auto"/>
                        <w:left w:val="none" w:sz="0" w:space="0" w:color="auto"/>
                        <w:bottom w:val="none" w:sz="0" w:space="0" w:color="auto"/>
                        <w:right w:val="none" w:sz="0" w:space="0" w:color="auto"/>
                      </w:divBdr>
                      <w:divsChild>
                        <w:div w:id="971793209">
                          <w:marLeft w:val="0"/>
                          <w:marRight w:val="0"/>
                          <w:marTop w:val="0"/>
                          <w:marBottom w:val="0"/>
                          <w:divBdr>
                            <w:top w:val="none" w:sz="0" w:space="0" w:color="auto"/>
                            <w:left w:val="none" w:sz="0" w:space="0" w:color="auto"/>
                            <w:bottom w:val="none" w:sz="0" w:space="0" w:color="auto"/>
                            <w:right w:val="none" w:sz="0" w:space="0" w:color="auto"/>
                          </w:divBdr>
                          <w:divsChild>
                            <w:div w:id="1747334272">
                              <w:marLeft w:val="-375"/>
                              <w:marRight w:val="0"/>
                              <w:marTop w:val="0"/>
                              <w:marBottom w:val="0"/>
                              <w:divBdr>
                                <w:top w:val="none" w:sz="0" w:space="0" w:color="auto"/>
                                <w:left w:val="none" w:sz="0" w:space="0" w:color="auto"/>
                                <w:bottom w:val="none" w:sz="0" w:space="0" w:color="auto"/>
                                <w:right w:val="none" w:sz="0" w:space="0" w:color="auto"/>
                              </w:divBdr>
                              <w:divsChild>
                                <w:div w:id="19043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946898">
      <w:bodyDiv w:val="1"/>
      <w:marLeft w:val="0"/>
      <w:marRight w:val="0"/>
      <w:marTop w:val="0"/>
      <w:marBottom w:val="0"/>
      <w:divBdr>
        <w:top w:val="none" w:sz="0" w:space="0" w:color="auto"/>
        <w:left w:val="none" w:sz="0" w:space="0" w:color="auto"/>
        <w:bottom w:val="none" w:sz="0" w:space="0" w:color="auto"/>
        <w:right w:val="none" w:sz="0" w:space="0" w:color="auto"/>
      </w:divBdr>
      <w:divsChild>
        <w:div w:id="1020620911">
          <w:marLeft w:val="0"/>
          <w:marRight w:val="0"/>
          <w:marTop w:val="0"/>
          <w:marBottom w:val="0"/>
          <w:divBdr>
            <w:top w:val="none" w:sz="0" w:space="0" w:color="auto"/>
            <w:left w:val="none" w:sz="0" w:space="0" w:color="auto"/>
            <w:bottom w:val="none" w:sz="0" w:space="0" w:color="auto"/>
            <w:right w:val="none" w:sz="0" w:space="0" w:color="auto"/>
          </w:divBdr>
          <w:divsChild>
            <w:div w:id="1171405776">
              <w:marLeft w:val="0"/>
              <w:marRight w:val="0"/>
              <w:marTop w:val="0"/>
              <w:marBottom w:val="0"/>
              <w:divBdr>
                <w:top w:val="none" w:sz="0" w:space="0" w:color="auto"/>
                <w:left w:val="none" w:sz="0" w:space="0" w:color="auto"/>
                <w:bottom w:val="none" w:sz="0" w:space="0" w:color="auto"/>
                <w:right w:val="none" w:sz="0" w:space="0" w:color="auto"/>
              </w:divBdr>
              <w:divsChild>
                <w:div w:id="1033923867">
                  <w:marLeft w:val="0"/>
                  <w:marRight w:val="0"/>
                  <w:marTop w:val="0"/>
                  <w:marBottom w:val="0"/>
                  <w:divBdr>
                    <w:top w:val="none" w:sz="0" w:space="0" w:color="auto"/>
                    <w:left w:val="none" w:sz="0" w:space="0" w:color="auto"/>
                    <w:bottom w:val="none" w:sz="0" w:space="0" w:color="auto"/>
                    <w:right w:val="none" w:sz="0" w:space="0" w:color="auto"/>
                  </w:divBdr>
                  <w:divsChild>
                    <w:div w:id="1402947837">
                      <w:marLeft w:val="0"/>
                      <w:marRight w:val="0"/>
                      <w:marTop w:val="0"/>
                      <w:marBottom w:val="0"/>
                      <w:divBdr>
                        <w:top w:val="none" w:sz="0" w:space="0" w:color="auto"/>
                        <w:left w:val="none" w:sz="0" w:space="0" w:color="auto"/>
                        <w:bottom w:val="none" w:sz="0" w:space="0" w:color="auto"/>
                        <w:right w:val="none" w:sz="0" w:space="0" w:color="auto"/>
                      </w:divBdr>
                      <w:divsChild>
                        <w:div w:id="364404751">
                          <w:marLeft w:val="-225"/>
                          <w:marRight w:val="-225"/>
                          <w:marTop w:val="0"/>
                          <w:marBottom w:val="0"/>
                          <w:divBdr>
                            <w:top w:val="none" w:sz="0" w:space="0" w:color="auto"/>
                            <w:left w:val="none" w:sz="0" w:space="0" w:color="auto"/>
                            <w:bottom w:val="none" w:sz="0" w:space="0" w:color="auto"/>
                            <w:right w:val="none" w:sz="0" w:space="0" w:color="auto"/>
                          </w:divBdr>
                          <w:divsChild>
                            <w:div w:id="251746437">
                              <w:marLeft w:val="0"/>
                              <w:marRight w:val="0"/>
                              <w:marTop w:val="0"/>
                              <w:marBottom w:val="0"/>
                              <w:divBdr>
                                <w:top w:val="none" w:sz="0" w:space="0" w:color="auto"/>
                                <w:left w:val="none" w:sz="0" w:space="0" w:color="auto"/>
                                <w:bottom w:val="none" w:sz="0" w:space="0" w:color="auto"/>
                                <w:right w:val="none" w:sz="0" w:space="0" w:color="auto"/>
                              </w:divBdr>
                              <w:divsChild>
                                <w:div w:id="2097482513">
                                  <w:marLeft w:val="0"/>
                                  <w:marRight w:val="0"/>
                                  <w:marTop w:val="0"/>
                                  <w:marBottom w:val="0"/>
                                  <w:divBdr>
                                    <w:top w:val="none" w:sz="0" w:space="0" w:color="auto"/>
                                    <w:left w:val="none" w:sz="0" w:space="0" w:color="auto"/>
                                    <w:bottom w:val="none" w:sz="0" w:space="0" w:color="auto"/>
                                    <w:right w:val="none" w:sz="0" w:space="0" w:color="auto"/>
                                  </w:divBdr>
                                  <w:divsChild>
                                    <w:div w:id="6924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254684">
      <w:bodyDiv w:val="1"/>
      <w:marLeft w:val="0"/>
      <w:marRight w:val="0"/>
      <w:marTop w:val="0"/>
      <w:marBottom w:val="0"/>
      <w:divBdr>
        <w:top w:val="none" w:sz="0" w:space="0" w:color="auto"/>
        <w:left w:val="none" w:sz="0" w:space="0" w:color="auto"/>
        <w:bottom w:val="none" w:sz="0" w:space="0" w:color="auto"/>
        <w:right w:val="none" w:sz="0" w:space="0" w:color="auto"/>
      </w:divBdr>
      <w:divsChild>
        <w:div w:id="513612848">
          <w:marLeft w:val="0"/>
          <w:marRight w:val="0"/>
          <w:marTop w:val="0"/>
          <w:marBottom w:val="0"/>
          <w:divBdr>
            <w:top w:val="none" w:sz="0" w:space="0" w:color="auto"/>
            <w:left w:val="none" w:sz="0" w:space="0" w:color="auto"/>
            <w:bottom w:val="none" w:sz="0" w:space="0" w:color="auto"/>
            <w:right w:val="none" w:sz="0" w:space="0" w:color="auto"/>
          </w:divBdr>
          <w:divsChild>
            <w:div w:id="1870952851">
              <w:marLeft w:val="0"/>
              <w:marRight w:val="0"/>
              <w:marTop w:val="0"/>
              <w:marBottom w:val="0"/>
              <w:divBdr>
                <w:top w:val="none" w:sz="0" w:space="0" w:color="auto"/>
                <w:left w:val="none" w:sz="0" w:space="0" w:color="auto"/>
                <w:bottom w:val="none" w:sz="0" w:space="0" w:color="auto"/>
                <w:right w:val="none" w:sz="0" w:space="0" w:color="auto"/>
              </w:divBdr>
              <w:divsChild>
                <w:div w:id="378238076">
                  <w:marLeft w:val="0"/>
                  <w:marRight w:val="0"/>
                  <w:marTop w:val="100"/>
                  <w:marBottom w:val="100"/>
                  <w:divBdr>
                    <w:top w:val="none" w:sz="0" w:space="0" w:color="auto"/>
                    <w:left w:val="none" w:sz="0" w:space="0" w:color="auto"/>
                    <w:bottom w:val="none" w:sz="0" w:space="0" w:color="auto"/>
                    <w:right w:val="none" w:sz="0" w:space="0" w:color="auto"/>
                  </w:divBdr>
                  <w:divsChild>
                    <w:div w:id="928539419">
                      <w:marLeft w:val="0"/>
                      <w:marRight w:val="0"/>
                      <w:marTop w:val="0"/>
                      <w:marBottom w:val="0"/>
                      <w:divBdr>
                        <w:top w:val="none" w:sz="0" w:space="0" w:color="auto"/>
                        <w:left w:val="none" w:sz="0" w:space="0" w:color="auto"/>
                        <w:bottom w:val="none" w:sz="0" w:space="0" w:color="auto"/>
                        <w:right w:val="none" w:sz="0" w:space="0" w:color="auto"/>
                      </w:divBdr>
                      <w:divsChild>
                        <w:div w:id="1410494697">
                          <w:marLeft w:val="0"/>
                          <w:marRight w:val="0"/>
                          <w:marTop w:val="0"/>
                          <w:marBottom w:val="0"/>
                          <w:divBdr>
                            <w:top w:val="none" w:sz="0" w:space="0" w:color="auto"/>
                            <w:left w:val="none" w:sz="0" w:space="0" w:color="auto"/>
                            <w:bottom w:val="none" w:sz="0" w:space="0" w:color="auto"/>
                            <w:right w:val="none" w:sz="0" w:space="0" w:color="auto"/>
                          </w:divBdr>
                          <w:divsChild>
                            <w:div w:id="1403139855">
                              <w:marLeft w:val="0"/>
                              <w:marRight w:val="0"/>
                              <w:marTop w:val="0"/>
                              <w:marBottom w:val="0"/>
                              <w:divBdr>
                                <w:top w:val="none" w:sz="0" w:space="0" w:color="auto"/>
                                <w:left w:val="none" w:sz="0" w:space="0" w:color="auto"/>
                                <w:bottom w:val="none" w:sz="0" w:space="0" w:color="auto"/>
                                <w:right w:val="none" w:sz="0" w:space="0" w:color="auto"/>
                              </w:divBdr>
                              <w:divsChild>
                                <w:div w:id="474107258">
                                  <w:marLeft w:val="0"/>
                                  <w:marRight w:val="0"/>
                                  <w:marTop w:val="0"/>
                                  <w:marBottom w:val="0"/>
                                  <w:divBdr>
                                    <w:top w:val="none" w:sz="0" w:space="0" w:color="auto"/>
                                    <w:left w:val="none" w:sz="0" w:space="0" w:color="auto"/>
                                    <w:bottom w:val="none" w:sz="0" w:space="0" w:color="auto"/>
                                    <w:right w:val="none" w:sz="0" w:space="0" w:color="auto"/>
                                  </w:divBdr>
                                  <w:divsChild>
                                    <w:div w:id="4347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864967">
      <w:bodyDiv w:val="1"/>
      <w:marLeft w:val="0"/>
      <w:marRight w:val="0"/>
      <w:marTop w:val="0"/>
      <w:marBottom w:val="0"/>
      <w:divBdr>
        <w:top w:val="none" w:sz="0" w:space="0" w:color="auto"/>
        <w:left w:val="none" w:sz="0" w:space="0" w:color="auto"/>
        <w:bottom w:val="none" w:sz="0" w:space="0" w:color="auto"/>
        <w:right w:val="none" w:sz="0" w:space="0" w:color="auto"/>
      </w:divBdr>
      <w:divsChild>
        <w:div w:id="1129589287">
          <w:marLeft w:val="-225"/>
          <w:marRight w:val="-225"/>
          <w:marTop w:val="0"/>
          <w:marBottom w:val="300"/>
          <w:divBdr>
            <w:top w:val="none" w:sz="0" w:space="0" w:color="auto"/>
            <w:left w:val="none" w:sz="0" w:space="0" w:color="auto"/>
            <w:bottom w:val="none" w:sz="0" w:space="0" w:color="auto"/>
            <w:right w:val="none" w:sz="0" w:space="0" w:color="auto"/>
          </w:divBdr>
          <w:divsChild>
            <w:div w:id="336887588">
              <w:marLeft w:val="0"/>
              <w:marRight w:val="0"/>
              <w:marTop w:val="0"/>
              <w:marBottom w:val="0"/>
              <w:divBdr>
                <w:top w:val="none" w:sz="0" w:space="0" w:color="auto"/>
                <w:left w:val="none" w:sz="0" w:space="0" w:color="auto"/>
                <w:bottom w:val="none" w:sz="0" w:space="0" w:color="auto"/>
                <w:right w:val="none" w:sz="0" w:space="0" w:color="auto"/>
              </w:divBdr>
              <w:divsChild>
                <w:div w:id="1542791603">
                  <w:marLeft w:val="150"/>
                  <w:marRight w:val="150"/>
                  <w:marTop w:val="0"/>
                  <w:marBottom w:val="0"/>
                  <w:divBdr>
                    <w:top w:val="none" w:sz="0" w:space="0" w:color="auto"/>
                    <w:left w:val="none" w:sz="0" w:space="0" w:color="auto"/>
                    <w:bottom w:val="none" w:sz="0" w:space="0" w:color="auto"/>
                    <w:right w:val="none" w:sz="0" w:space="0" w:color="auto"/>
                  </w:divBdr>
                  <w:divsChild>
                    <w:div w:id="132413344">
                      <w:marLeft w:val="0"/>
                      <w:marRight w:val="0"/>
                      <w:marTop w:val="0"/>
                      <w:marBottom w:val="0"/>
                      <w:divBdr>
                        <w:top w:val="none" w:sz="0" w:space="0" w:color="auto"/>
                        <w:left w:val="none" w:sz="0" w:space="0" w:color="auto"/>
                        <w:bottom w:val="none" w:sz="0" w:space="0" w:color="auto"/>
                        <w:right w:val="none" w:sz="0" w:space="0" w:color="auto"/>
                      </w:divBdr>
                    </w:div>
                  </w:divsChild>
                </w:div>
                <w:div w:id="1223756548">
                  <w:marLeft w:val="150"/>
                  <w:marRight w:val="150"/>
                  <w:marTop w:val="0"/>
                  <w:marBottom w:val="0"/>
                  <w:divBdr>
                    <w:top w:val="none" w:sz="0" w:space="0" w:color="auto"/>
                    <w:left w:val="none" w:sz="0" w:space="0" w:color="auto"/>
                    <w:bottom w:val="none" w:sz="0" w:space="0" w:color="auto"/>
                    <w:right w:val="none" w:sz="0" w:space="0" w:color="auto"/>
                  </w:divBdr>
                  <w:divsChild>
                    <w:div w:id="1460226445">
                      <w:marLeft w:val="0"/>
                      <w:marRight w:val="0"/>
                      <w:marTop w:val="0"/>
                      <w:marBottom w:val="0"/>
                      <w:divBdr>
                        <w:top w:val="none" w:sz="0" w:space="0" w:color="auto"/>
                        <w:left w:val="none" w:sz="0" w:space="0" w:color="auto"/>
                        <w:bottom w:val="none" w:sz="0" w:space="0" w:color="auto"/>
                        <w:right w:val="none" w:sz="0" w:space="0" w:color="auto"/>
                      </w:divBdr>
                    </w:div>
                  </w:divsChild>
                </w:div>
                <w:div w:id="879124657">
                  <w:marLeft w:val="150"/>
                  <w:marRight w:val="150"/>
                  <w:marTop w:val="0"/>
                  <w:marBottom w:val="0"/>
                  <w:divBdr>
                    <w:top w:val="none" w:sz="0" w:space="0" w:color="auto"/>
                    <w:left w:val="none" w:sz="0" w:space="0" w:color="auto"/>
                    <w:bottom w:val="none" w:sz="0" w:space="0" w:color="auto"/>
                    <w:right w:val="none" w:sz="0" w:space="0" w:color="auto"/>
                  </w:divBdr>
                  <w:divsChild>
                    <w:div w:id="5106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9234">
          <w:marLeft w:val="0"/>
          <w:marRight w:val="0"/>
          <w:marTop w:val="0"/>
          <w:marBottom w:val="0"/>
          <w:divBdr>
            <w:top w:val="none" w:sz="0" w:space="0" w:color="auto"/>
            <w:left w:val="none" w:sz="0" w:space="0" w:color="auto"/>
            <w:bottom w:val="none" w:sz="0" w:space="0" w:color="auto"/>
            <w:right w:val="none" w:sz="0" w:space="0" w:color="auto"/>
          </w:divBdr>
        </w:div>
        <w:div w:id="312758784">
          <w:marLeft w:val="0"/>
          <w:marRight w:val="0"/>
          <w:marTop w:val="0"/>
          <w:marBottom w:val="0"/>
          <w:divBdr>
            <w:top w:val="none" w:sz="0" w:space="0" w:color="auto"/>
            <w:left w:val="none" w:sz="0" w:space="0" w:color="auto"/>
            <w:bottom w:val="none" w:sz="0" w:space="0" w:color="auto"/>
            <w:right w:val="none" w:sz="0" w:space="0" w:color="auto"/>
          </w:divBdr>
        </w:div>
      </w:divsChild>
    </w:div>
    <w:div w:id="1997998282">
      <w:bodyDiv w:val="1"/>
      <w:marLeft w:val="0"/>
      <w:marRight w:val="0"/>
      <w:marTop w:val="0"/>
      <w:marBottom w:val="0"/>
      <w:divBdr>
        <w:top w:val="none" w:sz="0" w:space="0" w:color="auto"/>
        <w:left w:val="none" w:sz="0" w:space="0" w:color="auto"/>
        <w:bottom w:val="none" w:sz="0" w:space="0" w:color="auto"/>
        <w:right w:val="none" w:sz="0" w:space="0" w:color="auto"/>
      </w:divBdr>
      <w:divsChild>
        <w:div w:id="1872454779">
          <w:marLeft w:val="0"/>
          <w:marRight w:val="0"/>
          <w:marTop w:val="0"/>
          <w:marBottom w:val="0"/>
          <w:divBdr>
            <w:top w:val="none" w:sz="0" w:space="0" w:color="auto"/>
            <w:left w:val="none" w:sz="0" w:space="0" w:color="auto"/>
            <w:bottom w:val="none" w:sz="0" w:space="0" w:color="auto"/>
            <w:right w:val="none" w:sz="0" w:space="0" w:color="auto"/>
          </w:divBdr>
          <w:divsChild>
            <w:div w:id="1519007434">
              <w:marLeft w:val="0"/>
              <w:marRight w:val="0"/>
              <w:marTop w:val="0"/>
              <w:marBottom w:val="0"/>
              <w:divBdr>
                <w:top w:val="none" w:sz="0" w:space="0" w:color="auto"/>
                <w:left w:val="none" w:sz="0" w:space="0" w:color="auto"/>
                <w:bottom w:val="none" w:sz="0" w:space="0" w:color="auto"/>
                <w:right w:val="none" w:sz="0" w:space="0" w:color="auto"/>
              </w:divBdr>
              <w:divsChild>
                <w:div w:id="1167014178">
                  <w:marLeft w:val="0"/>
                  <w:marRight w:val="0"/>
                  <w:marTop w:val="0"/>
                  <w:marBottom w:val="0"/>
                  <w:divBdr>
                    <w:top w:val="none" w:sz="0" w:space="0" w:color="auto"/>
                    <w:left w:val="none" w:sz="0" w:space="0" w:color="auto"/>
                    <w:bottom w:val="none" w:sz="0" w:space="0" w:color="auto"/>
                    <w:right w:val="none" w:sz="0" w:space="0" w:color="auto"/>
                  </w:divBdr>
                  <w:divsChild>
                    <w:div w:id="1274552417">
                      <w:marLeft w:val="0"/>
                      <w:marRight w:val="0"/>
                      <w:marTop w:val="0"/>
                      <w:marBottom w:val="0"/>
                      <w:divBdr>
                        <w:top w:val="none" w:sz="0" w:space="0" w:color="auto"/>
                        <w:left w:val="none" w:sz="0" w:space="0" w:color="auto"/>
                        <w:bottom w:val="none" w:sz="0" w:space="0" w:color="auto"/>
                        <w:right w:val="none" w:sz="0" w:space="0" w:color="auto"/>
                      </w:divBdr>
                      <w:divsChild>
                        <w:div w:id="11071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84069">
      <w:bodyDiv w:val="1"/>
      <w:marLeft w:val="0"/>
      <w:marRight w:val="0"/>
      <w:marTop w:val="0"/>
      <w:marBottom w:val="0"/>
      <w:divBdr>
        <w:top w:val="none" w:sz="0" w:space="0" w:color="auto"/>
        <w:left w:val="none" w:sz="0" w:space="0" w:color="auto"/>
        <w:bottom w:val="none" w:sz="0" w:space="0" w:color="auto"/>
        <w:right w:val="none" w:sz="0" w:space="0" w:color="auto"/>
      </w:divBdr>
    </w:div>
    <w:div w:id="1999189268">
      <w:bodyDiv w:val="1"/>
      <w:marLeft w:val="0"/>
      <w:marRight w:val="0"/>
      <w:marTop w:val="0"/>
      <w:marBottom w:val="0"/>
      <w:divBdr>
        <w:top w:val="none" w:sz="0" w:space="0" w:color="auto"/>
        <w:left w:val="none" w:sz="0" w:space="0" w:color="auto"/>
        <w:bottom w:val="none" w:sz="0" w:space="0" w:color="auto"/>
        <w:right w:val="none" w:sz="0" w:space="0" w:color="auto"/>
      </w:divBdr>
      <w:divsChild>
        <w:div w:id="1870602228">
          <w:marLeft w:val="0"/>
          <w:marRight w:val="0"/>
          <w:marTop w:val="0"/>
          <w:marBottom w:val="0"/>
          <w:divBdr>
            <w:top w:val="none" w:sz="0" w:space="0" w:color="auto"/>
            <w:left w:val="none" w:sz="0" w:space="0" w:color="auto"/>
            <w:bottom w:val="none" w:sz="0" w:space="0" w:color="auto"/>
            <w:right w:val="none" w:sz="0" w:space="0" w:color="auto"/>
          </w:divBdr>
          <w:divsChild>
            <w:div w:id="18601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0963">
      <w:bodyDiv w:val="1"/>
      <w:marLeft w:val="0"/>
      <w:marRight w:val="0"/>
      <w:marTop w:val="0"/>
      <w:marBottom w:val="0"/>
      <w:divBdr>
        <w:top w:val="none" w:sz="0" w:space="0" w:color="auto"/>
        <w:left w:val="none" w:sz="0" w:space="0" w:color="auto"/>
        <w:bottom w:val="none" w:sz="0" w:space="0" w:color="auto"/>
        <w:right w:val="none" w:sz="0" w:space="0" w:color="auto"/>
      </w:divBdr>
      <w:divsChild>
        <w:div w:id="1801802547">
          <w:marLeft w:val="0"/>
          <w:marRight w:val="0"/>
          <w:marTop w:val="0"/>
          <w:marBottom w:val="0"/>
          <w:divBdr>
            <w:top w:val="none" w:sz="0" w:space="0" w:color="auto"/>
            <w:left w:val="none" w:sz="0" w:space="0" w:color="auto"/>
            <w:bottom w:val="none" w:sz="0" w:space="0" w:color="auto"/>
            <w:right w:val="none" w:sz="0" w:space="0" w:color="auto"/>
          </w:divBdr>
          <w:divsChild>
            <w:div w:id="946156834">
              <w:marLeft w:val="0"/>
              <w:marRight w:val="0"/>
              <w:marTop w:val="0"/>
              <w:marBottom w:val="0"/>
              <w:divBdr>
                <w:top w:val="none" w:sz="0" w:space="0" w:color="auto"/>
                <w:left w:val="none" w:sz="0" w:space="0" w:color="auto"/>
                <w:bottom w:val="none" w:sz="0" w:space="0" w:color="auto"/>
                <w:right w:val="none" w:sz="0" w:space="0" w:color="auto"/>
              </w:divBdr>
              <w:divsChild>
                <w:div w:id="1298297742">
                  <w:marLeft w:val="0"/>
                  <w:marRight w:val="0"/>
                  <w:marTop w:val="0"/>
                  <w:marBottom w:val="0"/>
                  <w:divBdr>
                    <w:top w:val="none" w:sz="0" w:space="0" w:color="auto"/>
                    <w:left w:val="none" w:sz="0" w:space="0" w:color="auto"/>
                    <w:bottom w:val="none" w:sz="0" w:space="0" w:color="auto"/>
                    <w:right w:val="none" w:sz="0" w:space="0" w:color="auto"/>
                  </w:divBdr>
                  <w:divsChild>
                    <w:div w:id="1032682940">
                      <w:marLeft w:val="0"/>
                      <w:marRight w:val="0"/>
                      <w:marTop w:val="0"/>
                      <w:marBottom w:val="0"/>
                      <w:divBdr>
                        <w:top w:val="none" w:sz="0" w:space="0" w:color="auto"/>
                        <w:left w:val="none" w:sz="0" w:space="0" w:color="auto"/>
                        <w:bottom w:val="none" w:sz="0" w:space="0" w:color="auto"/>
                        <w:right w:val="none" w:sz="0" w:space="0" w:color="auto"/>
                      </w:divBdr>
                      <w:divsChild>
                        <w:div w:id="2122602871">
                          <w:marLeft w:val="0"/>
                          <w:marRight w:val="0"/>
                          <w:marTop w:val="0"/>
                          <w:marBottom w:val="0"/>
                          <w:divBdr>
                            <w:top w:val="none" w:sz="0" w:space="0" w:color="auto"/>
                            <w:left w:val="none" w:sz="0" w:space="0" w:color="auto"/>
                            <w:bottom w:val="none" w:sz="0" w:space="0" w:color="auto"/>
                            <w:right w:val="none" w:sz="0" w:space="0" w:color="auto"/>
                          </w:divBdr>
                          <w:divsChild>
                            <w:div w:id="1816216994">
                              <w:marLeft w:val="0"/>
                              <w:marRight w:val="0"/>
                              <w:marTop w:val="0"/>
                              <w:marBottom w:val="0"/>
                              <w:divBdr>
                                <w:top w:val="none" w:sz="0" w:space="0" w:color="auto"/>
                                <w:left w:val="none" w:sz="0" w:space="0" w:color="auto"/>
                                <w:bottom w:val="none" w:sz="0" w:space="0" w:color="auto"/>
                                <w:right w:val="none" w:sz="0" w:space="0" w:color="auto"/>
                              </w:divBdr>
                              <w:divsChild>
                                <w:div w:id="1388190044">
                                  <w:marLeft w:val="0"/>
                                  <w:marRight w:val="0"/>
                                  <w:marTop w:val="0"/>
                                  <w:marBottom w:val="0"/>
                                  <w:divBdr>
                                    <w:top w:val="none" w:sz="0" w:space="0" w:color="auto"/>
                                    <w:left w:val="none" w:sz="0" w:space="0" w:color="auto"/>
                                    <w:bottom w:val="none" w:sz="0" w:space="0" w:color="auto"/>
                                    <w:right w:val="none" w:sz="0" w:space="0" w:color="auto"/>
                                  </w:divBdr>
                                  <w:divsChild>
                                    <w:div w:id="1220048509">
                                      <w:marLeft w:val="0"/>
                                      <w:marRight w:val="0"/>
                                      <w:marTop w:val="0"/>
                                      <w:marBottom w:val="0"/>
                                      <w:divBdr>
                                        <w:top w:val="none" w:sz="0" w:space="0" w:color="auto"/>
                                        <w:left w:val="none" w:sz="0" w:space="0" w:color="auto"/>
                                        <w:bottom w:val="none" w:sz="0" w:space="0" w:color="auto"/>
                                        <w:right w:val="none" w:sz="0" w:space="0" w:color="auto"/>
                                      </w:divBdr>
                                      <w:divsChild>
                                        <w:div w:id="1493835301">
                                          <w:marLeft w:val="0"/>
                                          <w:marRight w:val="0"/>
                                          <w:marTop w:val="0"/>
                                          <w:marBottom w:val="0"/>
                                          <w:divBdr>
                                            <w:top w:val="none" w:sz="0" w:space="0" w:color="auto"/>
                                            <w:left w:val="none" w:sz="0" w:space="0" w:color="auto"/>
                                            <w:bottom w:val="none" w:sz="0" w:space="0" w:color="auto"/>
                                            <w:right w:val="none" w:sz="0" w:space="0" w:color="auto"/>
                                          </w:divBdr>
                                        </w:div>
                                        <w:div w:id="1038890603">
                                          <w:marLeft w:val="0"/>
                                          <w:marRight w:val="0"/>
                                          <w:marTop w:val="0"/>
                                          <w:marBottom w:val="0"/>
                                          <w:divBdr>
                                            <w:top w:val="none" w:sz="0" w:space="0" w:color="auto"/>
                                            <w:left w:val="none" w:sz="0" w:space="0" w:color="auto"/>
                                            <w:bottom w:val="none" w:sz="0" w:space="0" w:color="auto"/>
                                            <w:right w:val="none" w:sz="0" w:space="0" w:color="auto"/>
                                          </w:divBdr>
                                          <w:divsChild>
                                            <w:div w:id="86706083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965168">
      <w:bodyDiv w:val="1"/>
      <w:marLeft w:val="0"/>
      <w:marRight w:val="0"/>
      <w:marTop w:val="0"/>
      <w:marBottom w:val="0"/>
      <w:divBdr>
        <w:top w:val="none" w:sz="0" w:space="0" w:color="auto"/>
        <w:left w:val="none" w:sz="0" w:space="0" w:color="auto"/>
        <w:bottom w:val="none" w:sz="0" w:space="0" w:color="auto"/>
        <w:right w:val="none" w:sz="0" w:space="0" w:color="auto"/>
      </w:divBdr>
      <w:divsChild>
        <w:div w:id="1071006140">
          <w:marLeft w:val="0"/>
          <w:marRight w:val="0"/>
          <w:marTop w:val="0"/>
          <w:marBottom w:val="0"/>
          <w:divBdr>
            <w:top w:val="single" w:sz="6" w:space="0" w:color="0E477A"/>
            <w:left w:val="single" w:sz="6" w:space="0" w:color="0E477A"/>
            <w:bottom w:val="single" w:sz="6" w:space="0" w:color="0E477A"/>
            <w:right w:val="single" w:sz="6" w:space="0" w:color="0E477A"/>
          </w:divBdr>
          <w:divsChild>
            <w:div w:id="1109396632">
              <w:marLeft w:val="2925"/>
              <w:marRight w:val="0"/>
              <w:marTop w:val="0"/>
              <w:marBottom w:val="0"/>
              <w:divBdr>
                <w:top w:val="none" w:sz="0" w:space="0" w:color="auto"/>
                <w:left w:val="none" w:sz="0" w:space="0" w:color="auto"/>
                <w:bottom w:val="none" w:sz="0" w:space="0" w:color="auto"/>
                <w:right w:val="none" w:sz="0" w:space="0" w:color="auto"/>
              </w:divBdr>
              <w:divsChild>
                <w:div w:id="267005376">
                  <w:marLeft w:val="0"/>
                  <w:marRight w:val="0"/>
                  <w:marTop w:val="0"/>
                  <w:marBottom w:val="0"/>
                  <w:divBdr>
                    <w:top w:val="none" w:sz="0" w:space="0" w:color="auto"/>
                    <w:left w:val="none" w:sz="0" w:space="0" w:color="auto"/>
                    <w:bottom w:val="none" w:sz="0" w:space="0" w:color="auto"/>
                    <w:right w:val="none" w:sz="0" w:space="0" w:color="auto"/>
                  </w:divBdr>
                  <w:divsChild>
                    <w:div w:id="1054550323">
                      <w:marLeft w:val="0"/>
                      <w:marRight w:val="150"/>
                      <w:marTop w:val="0"/>
                      <w:marBottom w:val="0"/>
                      <w:divBdr>
                        <w:top w:val="single" w:sz="6" w:space="0" w:color="CCCCCC"/>
                        <w:left w:val="single" w:sz="6" w:space="8" w:color="CCCCCC"/>
                        <w:bottom w:val="single" w:sz="6" w:space="8" w:color="CCCCCC"/>
                        <w:right w:val="single" w:sz="6" w:space="8" w:color="CCCCCC"/>
                      </w:divBdr>
                      <w:divsChild>
                        <w:div w:id="601455713">
                          <w:marLeft w:val="0"/>
                          <w:marRight w:val="0"/>
                          <w:marTop w:val="0"/>
                          <w:marBottom w:val="0"/>
                          <w:divBdr>
                            <w:top w:val="none" w:sz="0" w:space="0" w:color="auto"/>
                            <w:left w:val="none" w:sz="0" w:space="0" w:color="auto"/>
                            <w:bottom w:val="none" w:sz="0" w:space="0" w:color="auto"/>
                            <w:right w:val="none" w:sz="0" w:space="0" w:color="auto"/>
                          </w:divBdr>
                        </w:div>
                        <w:div w:id="1026910266">
                          <w:marLeft w:val="0"/>
                          <w:marRight w:val="0"/>
                          <w:marTop w:val="0"/>
                          <w:marBottom w:val="0"/>
                          <w:divBdr>
                            <w:top w:val="none" w:sz="0" w:space="0" w:color="auto"/>
                            <w:left w:val="none" w:sz="0" w:space="0" w:color="auto"/>
                            <w:bottom w:val="none" w:sz="0" w:space="0" w:color="auto"/>
                            <w:right w:val="none" w:sz="0" w:space="0" w:color="auto"/>
                          </w:divBdr>
                        </w:div>
                        <w:div w:id="791634478">
                          <w:marLeft w:val="0"/>
                          <w:marRight w:val="0"/>
                          <w:marTop w:val="0"/>
                          <w:marBottom w:val="0"/>
                          <w:divBdr>
                            <w:top w:val="none" w:sz="0" w:space="0" w:color="auto"/>
                            <w:left w:val="none" w:sz="0" w:space="0" w:color="auto"/>
                            <w:bottom w:val="none" w:sz="0" w:space="0" w:color="auto"/>
                            <w:right w:val="none" w:sz="0" w:space="0" w:color="auto"/>
                          </w:divBdr>
                        </w:div>
                        <w:div w:id="718674506">
                          <w:marLeft w:val="0"/>
                          <w:marRight w:val="0"/>
                          <w:marTop w:val="0"/>
                          <w:marBottom w:val="0"/>
                          <w:divBdr>
                            <w:top w:val="none" w:sz="0" w:space="0" w:color="auto"/>
                            <w:left w:val="none" w:sz="0" w:space="0" w:color="auto"/>
                            <w:bottom w:val="none" w:sz="0" w:space="0" w:color="auto"/>
                            <w:right w:val="none" w:sz="0" w:space="0" w:color="auto"/>
                          </w:divBdr>
                        </w:div>
                        <w:div w:id="252400756">
                          <w:marLeft w:val="0"/>
                          <w:marRight w:val="0"/>
                          <w:marTop w:val="0"/>
                          <w:marBottom w:val="0"/>
                          <w:divBdr>
                            <w:top w:val="none" w:sz="0" w:space="0" w:color="auto"/>
                            <w:left w:val="none" w:sz="0" w:space="0" w:color="auto"/>
                            <w:bottom w:val="none" w:sz="0" w:space="0" w:color="auto"/>
                            <w:right w:val="none" w:sz="0" w:space="0" w:color="auto"/>
                          </w:divBdr>
                        </w:div>
                        <w:div w:id="440106142">
                          <w:marLeft w:val="0"/>
                          <w:marRight w:val="0"/>
                          <w:marTop w:val="0"/>
                          <w:marBottom w:val="0"/>
                          <w:divBdr>
                            <w:top w:val="none" w:sz="0" w:space="0" w:color="auto"/>
                            <w:left w:val="none" w:sz="0" w:space="0" w:color="auto"/>
                            <w:bottom w:val="none" w:sz="0" w:space="0" w:color="auto"/>
                            <w:right w:val="none" w:sz="0" w:space="0" w:color="auto"/>
                          </w:divBdr>
                        </w:div>
                        <w:div w:id="1752774003">
                          <w:marLeft w:val="0"/>
                          <w:marRight w:val="0"/>
                          <w:marTop w:val="0"/>
                          <w:marBottom w:val="0"/>
                          <w:divBdr>
                            <w:top w:val="none" w:sz="0" w:space="0" w:color="auto"/>
                            <w:left w:val="none" w:sz="0" w:space="0" w:color="auto"/>
                            <w:bottom w:val="none" w:sz="0" w:space="0" w:color="auto"/>
                            <w:right w:val="none" w:sz="0" w:space="0" w:color="auto"/>
                          </w:divBdr>
                        </w:div>
                        <w:div w:id="629164810">
                          <w:marLeft w:val="0"/>
                          <w:marRight w:val="0"/>
                          <w:marTop w:val="0"/>
                          <w:marBottom w:val="0"/>
                          <w:divBdr>
                            <w:top w:val="none" w:sz="0" w:space="0" w:color="auto"/>
                            <w:left w:val="none" w:sz="0" w:space="0" w:color="auto"/>
                            <w:bottom w:val="none" w:sz="0" w:space="0" w:color="auto"/>
                            <w:right w:val="none" w:sz="0" w:space="0" w:color="auto"/>
                          </w:divBdr>
                        </w:div>
                        <w:div w:id="1512571360">
                          <w:marLeft w:val="0"/>
                          <w:marRight w:val="0"/>
                          <w:marTop w:val="0"/>
                          <w:marBottom w:val="0"/>
                          <w:divBdr>
                            <w:top w:val="none" w:sz="0" w:space="0" w:color="auto"/>
                            <w:left w:val="none" w:sz="0" w:space="0" w:color="auto"/>
                            <w:bottom w:val="none" w:sz="0" w:space="0" w:color="auto"/>
                            <w:right w:val="none" w:sz="0" w:space="0" w:color="auto"/>
                          </w:divBdr>
                        </w:div>
                        <w:div w:id="17905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150107">
      <w:bodyDiv w:val="1"/>
      <w:marLeft w:val="0"/>
      <w:marRight w:val="0"/>
      <w:marTop w:val="0"/>
      <w:marBottom w:val="0"/>
      <w:divBdr>
        <w:top w:val="none" w:sz="0" w:space="0" w:color="auto"/>
        <w:left w:val="none" w:sz="0" w:space="0" w:color="auto"/>
        <w:bottom w:val="none" w:sz="0" w:space="0" w:color="auto"/>
        <w:right w:val="none" w:sz="0" w:space="0" w:color="auto"/>
      </w:divBdr>
      <w:divsChild>
        <w:div w:id="515967560">
          <w:marLeft w:val="0"/>
          <w:marRight w:val="0"/>
          <w:marTop w:val="0"/>
          <w:marBottom w:val="0"/>
          <w:divBdr>
            <w:top w:val="none" w:sz="0" w:space="0" w:color="auto"/>
            <w:left w:val="none" w:sz="0" w:space="0" w:color="auto"/>
            <w:bottom w:val="none" w:sz="0" w:space="0" w:color="auto"/>
            <w:right w:val="none" w:sz="0" w:space="0" w:color="auto"/>
          </w:divBdr>
          <w:divsChild>
            <w:div w:id="1396276380">
              <w:marLeft w:val="0"/>
              <w:marRight w:val="0"/>
              <w:marTop w:val="0"/>
              <w:marBottom w:val="0"/>
              <w:divBdr>
                <w:top w:val="none" w:sz="0" w:space="0" w:color="auto"/>
                <w:left w:val="none" w:sz="0" w:space="0" w:color="auto"/>
                <w:bottom w:val="none" w:sz="0" w:space="0" w:color="auto"/>
                <w:right w:val="none" w:sz="0" w:space="0" w:color="auto"/>
              </w:divBdr>
              <w:divsChild>
                <w:div w:id="181019039">
                  <w:marLeft w:val="0"/>
                  <w:marRight w:val="0"/>
                  <w:marTop w:val="0"/>
                  <w:marBottom w:val="0"/>
                  <w:divBdr>
                    <w:top w:val="none" w:sz="0" w:space="0" w:color="auto"/>
                    <w:left w:val="none" w:sz="0" w:space="0" w:color="auto"/>
                    <w:bottom w:val="none" w:sz="0" w:space="0" w:color="auto"/>
                    <w:right w:val="none" w:sz="0" w:space="0" w:color="auto"/>
                  </w:divBdr>
                  <w:divsChild>
                    <w:div w:id="1447118803">
                      <w:marLeft w:val="0"/>
                      <w:marRight w:val="0"/>
                      <w:marTop w:val="0"/>
                      <w:marBottom w:val="0"/>
                      <w:divBdr>
                        <w:top w:val="none" w:sz="0" w:space="0" w:color="auto"/>
                        <w:left w:val="none" w:sz="0" w:space="0" w:color="auto"/>
                        <w:bottom w:val="none" w:sz="0" w:space="0" w:color="auto"/>
                        <w:right w:val="none" w:sz="0" w:space="0" w:color="auto"/>
                      </w:divBdr>
                      <w:divsChild>
                        <w:div w:id="14181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02979">
      <w:bodyDiv w:val="1"/>
      <w:marLeft w:val="0"/>
      <w:marRight w:val="0"/>
      <w:marTop w:val="0"/>
      <w:marBottom w:val="0"/>
      <w:divBdr>
        <w:top w:val="none" w:sz="0" w:space="0" w:color="auto"/>
        <w:left w:val="none" w:sz="0" w:space="0" w:color="auto"/>
        <w:bottom w:val="none" w:sz="0" w:space="0" w:color="auto"/>
        <w:right w:val="none" w:sz="0" w:space="0" w:color="auto"/>
      </w:divBdr>
    </w:div>
    <w:div w:id="2005164189">
      <w:bodyDiv w:val="1"/>
      <w:marLeft w:val="0"/>
      <w:marRight w:val="0"/>
      <w:marTop w:val="0"/>
      <w:marBottom w:val="0"/>
      <w:divBdr>
        <w:top w:val="none" w:sz="0" w:space="0" w:color="auto"/>
        <w:left w:val="none" w:sz="0" w:space="0" w:color="auto"/>
        <w:bottom w:val="none" w:sz="0" w:space="0" w:color="auto"/>
        <w:right w:val="none" w:sz="0" w:space="0" w:color="auto"/>
      </w:divBdr>
      <w:divsChild>
        <w:div w:id="853497545">
          <w:marLeft w:val="0"/>
          <w:marRight w:val="0"/>
          <w:marTop w:val="0"/>
          <w:marBottom w:val="0"/>
          <w:divBdr>
            <w:top w:val="none" w:sz="0" w:space="0" w:color="auto"/>
            <w:left w:val="none" w:sz="0" w:space="0" w:color="auto"/>
            <w:bottom w:val="none" w:sz="0" w:space="0" w:color="auto"/>
            <w:right w:val="none" w:sz="0" w:space="0" w:color="auto"/>
          </w:divBdr>
        </w:div>
        <w:div w:id="6060663">
          <w:marLeft w:val="0"/>
          <w:marRight w:val="0"/>
          <w:marTop w:val="0"/>
          <w:marBottom w:val="0"/>
          <w:divBdr>
            <w:top w:val="none" w:sz="0" w:space="0" w:color="auto"/>
            <w:left w:val="none" w:sz="0" w:space="0" w:color="auto"/>
            <w:bottom w:val="none" w:sz="0" w:space="0" w:color="auto"/>
            <w:right w:val="none" w:sz="0" w:space="0" w:color="auto"/>
          </w:divBdr>
        </w:div>
      </w:divsChild>
    </w:div>
    <w:div w:id="2006198305">
      <w:bodyDiv w:val="1"/>
      <w:marLeft w:val="0"/>
      <w:marRight w:val="0"/>
      <w:marTop w:val="0"/>
      <w:marBottom w:val="0"/>
      <w:divBdr>
        <w:top w:val="none" w:sz="0" w:space="0" w:color="auto"/>
        <w:left w:val="none" w:sz="0" w:space="0" w:color="auto"/>
        <w:bottom w:val="none" w:sz="0" w:space="0" w:color="auto"/>
        <w:right w:val="none" w:sz="0" w:space="0" w:color="auto"/>
      </w:divBdr>
      <w:divsChild>
        <w:div w:id="1452015976">
          <w:marLeft w:val="0"/>
          <w:marRight w:val="0"/>
          <w:marTop w:val="0"/>
          <w:marBottom w:val="0"/>
          <w:divBdr>
            <w:top w:val="none" w:sz="0" w:space="0" w:color="auto"/>
            <w:left w:val="none" w:sz="0" w:space="0" w:color="auto"/>
            <w:bottom w:val="none" w:sz="0" w:space="0" w:color="auto"/>
            <w:right w:val="none" w:sz="0" w:space="0" w:color="auto"/>
          </w:divBdr>
          <w:divsChild>
            <w:div w:id="667758527">
              <w:marLeft w:val="0"/>
              <w:marRight w:val="0"/>
              <w:marTop w:val="0"/>
              <w:marBottom w:val="0"/>
              <w:divBdr>
                <w:top w:val="none" w:sz="0" w:space="0" w:color="auto"/>
                <w:left w:val="none" w:sz="0" w:space="0" w:color="auto"/>
                <w:bottom w:val="none" w:sz="0" w:space="0" w:color="auto"/>
                <w:right w:val="none" w:sz="0" w:space="0" w:color="auto"/>
              </w:divBdr>
              <w:divsChild>
                <w:div w:id="179129751">
                  <w:marLeft w:val="-180"/>
                  <w:marRight w:val="-180"/>
                  <w:marTop w:val="0"/>
                  <w:marBottom w:val="0"/>
                  <w:divBdr>
                    <w:top w:val="none" w:sz="0" w:space="0" w:color="auto"/>
                    <w:left w:val="none" w:sz="0" w:space="0" w:color="auto"/>
                    <w:bottom w:val="none" w:sz="0" w:space="0" w:color="auto"/>
                    <w:right w:val="none" w:sz="0" w:space="0" w:color="auto"/>
                  </w:divBdr>
                  <w:divsChild>
                    <w:div w:id="8425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11334">
      <w:bodyDiv w:val="1"/>
      <w:marLeft w:val="0"/>
      <w:marRight w:val="0"/>
      <w:marTop w:val="0"/>
      <w:marBottom w:val="0"/>
      <w:divBdr>
        <w:top w:val="none" w:sz="0" w:space="0" w:color="auto"/>
        <w:left w:val="none" w:sz="0" w:space="0" w:color="auto"/>
        <w:bottom w:val="none" w:sz="0" w:space="0" w:color="auto"/>
        <w:right w:val="none" w:sz="0" w:space="0" w:color="auto"/>
      </w:divBdr>
      <w:divsChild>
        <w:div w:id="1640374981">
          <w:marLeft w:val="0"/>
          <w:marRight w:val="0"/>
          <w:marTop w:val="0"/>
          <w:marBottom w:val="0"/>
          <w:divBdr>
            <w:top w:val="none" w:sz="0" w:space="0" w:color="auto"/>
            <w:left w:val="none" w:sz="0" w:space="0" w:color="auto"/>
            <w:bottom w:val="none" w:sz="0" w:space="0" w:color="auto"/>
            <w:right w:val="none" w:sz="0" w:space="0" w:color="auto"/>
          </w:divBdr>
          <w:divsChild>
            <w:div w:id="250703836">
              <w:marLeft w:val="0"/>
              <w:marRight w:val="0"/>
              <w:marTop w:val="150"/>
              <w:marBottom w:val="0"/>
              <w:divBdr>
                <w:top w:val="none" w:sz="0" w:space="0" w:color="auto"/>
                <w:left w:val="none" w:sz="0" w:space="0" w:color="auto"/>
                <w:bottom w:val="none" w:sz="0" w:space="0" w:color="auto"/>
                <w:right w:val="none" w:sz="0" w:space="0" w:color="auto"/>
              </w:divBdr>
              <w:divsChild>
                <w:div w:id="2126922603">
                  <w:marLeft w:val="0"/>
                  <w:marRight w:val="0"/>
                  <w:marTop w:val="0"/>
                  <w:marBottom w:val="0"/>
                  <w:divBdr>
                    <w:top w:val="none" w:sz="0" w:space="0" w:color="auto"/>
                    <w:left w:val="none" w:sz="0" w:space="0" w:color="auto"/>
                    <w:bottom w:val="none" w:sz="0" w:space="0" w:color="auto"/>
                    <w:right w:val="none" w:sz="0" w:space="0" w:color="auto"/>
                  </w:divBdr>
                  <w:divsChild>
                    <w:div w:id="1212497924">
                      <w:marLeft w:val="0"/>
                      <w:marRight w:val="0"/>
                      <w:marTop w:val="0"/>
                      <w:marBottom w:val="0"/>
                      <w:divBdr>
                        <w:top w:val="none" w:sz="0" w:space="0" w:color="auto"/>
                        <w:left w:val="none" w:sz="0" w:space="0" w:color="auto"/>
                        <w:bottom w:val="none" w:sz="0" w:space="0" w:color="auto"/>
                        <w:right w:val="none" w:sz="0" w:space="0" w:color="auto"/>
                      </w:divBdr>
                      <w:divsChild>
                        <w:div w:id="6921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516357">
      <w:bodyDiv w:val="1"/>
      <w:marLeft w:val="0"/>
      <w:marRight w:val="0"/>
      <w:marTop w:val="0"/>
      <w:marBottom w:val="0"/>
      <w:divBdr>
        <w:top w:val="none" w:sz="0" w:space="0" w:color="auto"/>
        <w:left w:val="none" w:sz="0" w:space="0" w:color="auto"/>
        <w:bottom w:val="none" w:sz="0" w:space="0" w:color="auto"/>
        <w:right w:val="none" w:sz="0" w:space="0" w:color="auto"/>
      </w:divBdr>
    </w:div>
    <w:div w:id="2011522341">
      <w:bodyDiv w:val="1"/>
      <w:marLeft w:val="0"/>
      <w:marRight w:val="0"/>
      <w:marTop w:val="0"/>
      <w:marBottom w:val="0"/>
      <w:divBdr>
        <w:top w:val="none" w:sz="0" w:space="0" w:color="auto"/>
        <w:left w:val="none" w:sz="0" w:space="0" w:color="auto"/>
        <w:bottom w:val="none" w:sz="0" w:space="0" w:color="auto"/>
        <w:right w:val="none" w:sz="0" w:space="0" w:color="auto"/>
      </w:divBdr>
      <w:divsChild>
        <w:div w:id="793404656">
          <w:marLeft w:val="0"/>
          <w:marRight w:val="0"/>
          <w:marTop w:val="0"/>
          <w:marBottom w:val="0"/>
          <w:divBdr>
            <w:top w:val="none" w:sz="0" w:space="0" w:color="auto"/>
            <w:left w:val="none" w:sz="0" w:space="0" w:color="auto"/>
            <w:bottom w:val="none" w:sz="0" w:space="0" w:color="auto"/>
            <w:right w:val="none" w:sz="0" w:space="0" w:color="auto"/>
          </w:divBdr>
          <w:divsChild>
            <w:div w:id="1129394844">
              <w:marLeft w:val="0"/>
              <w:marRight w:val="0"/>
              <w:marTop w:val="0"/>
              <w:marBottom w:val="0"/>
              <w:divBdr>
                <w:top w:val="none" w:sz="0" w:space="0" w:color="auto"/>
                <w:left w:val="none" w:sz="0" w:space="0" w:color="auto"/>
                <w:bottom w:val="none" w:sz="0" w:space="0" w:color="auto"/>
                <w:right w:val="none" w:sz="0" w:space="0" w:color="auto"/>
              </w:divBdr>
              <w:divsChild>
                <w:div w:id="1094058903">
                  <w:marLeft w:val="0"/>
                  <w:marRight w:val="0"/>
                  <w:marTop w:val="0"/>
                  <w:marBottom w:val="0"/>
                  <w:divBdr>
                    <w:top w:val="none" w:sz="0" w:space="0" w:color="auto"/>
                    <w:left w:val="none" w:sz="0" w:space="0" w:color="auto"/>
                    <w:bottom w:val="none" w:sz="0" w:space="0" w:color="auto"/>
                    <w:right w:val="none" w:sz="0" w:space="0" w:color="auto"/>
                  </w:divBdr>
                  <w:divsChild>
                    <w:div w:id="853691466">
                      <w:marLeft w:val="0"/>
                      <w:marRight w:val="0"/>
                      <w:marTop w:val="0"/>
                      <w:marBottom w:val="0"/>
                      <w:divBdr>
                        <w:top w:val="none" w:sz="0" w:space="0" w:color="auto"/>
                        <w:left w:val="none" w:sz="0" w:space="0" w:color="auto"/>
                        <w:bottom w:val="none" w:sz="0" w:space="0" w:color="auto"/>
                        <w:right w:val="none" w:sz="0" w:space="0" w:color="auto"/>
                      </w:divBdr>
                      <w:divsChild>
                        <w:div w:id="2065712781">
                          <w:marLeft w:val="0"/>
                          <w:marRight w:val="0"/>
                          <w:marTop w:val="0"/>
                          <w:marBottom w:val="0"/>
                          <w:divBdr>
                            <w:top w:val="none" w:sz="0" w:space="0" w:color="auto"/>
                            <w:left w:val="none" w:sz="0" w:space="0" w:color="auto"/>
                            <w:bottom w:val="none" w:sz="0" w:space="0" w:color="auto"/>
                            <w:right w:val="none" w:sz="0" w:space="0" w:color="auto"/>
                          </w:divBdr>
                          <w:divsChild>
                            <w:div w:id="113599468">
                              <w:marLeft w:val="0"/>
                              <w:marRight w:val="0"/>
                              <w:marTop w:val="0"/>
                              <w:marBottom w:val="0"/>
                              <w:divBdr>
                                <w:top w:val="none" w:sz="0" w:space="0" w:color="auto"/>
                                <w:left w:val="none" w:sz="0" w:space="0" w:color="auto"/>
                                <w:bottom w:val="none" w:sz="0" w:space="0" w:color="auto"/>
                                <w:right w:val="none" w:sz="0" w:space="0" w:color="auto"/>
                              </w:divBdr>
                              <w:divsChild>
                                <w:div w:id="426509426">
                                  <w:marLeft w:val="0"/>
                                  <w:marRight w:val="0"/>
                                  <w:marTop w:val="0"/>
                                  <w:marBottom w:val="0"/>
                                  <w:divBdr>
                                    <w:top w:val="none" w:sz="0" w:space="0" w:color="auto"/>
                                    <w:left w:val="none" w:sz="0" w:space="0" w:color="auto"/>
                                    <w:bottom w:val="none" w:sz="0" w:space="0" w:color="auto"/>
                                    <w:right w:val="none" w:sz="0" w:space="0" w:color="auto"/>
                                  </w:divBdr>
                                  <w:divsChild>
                                    <w:div w:id="265625573">
                                      <w:marLeft w:val="0"/>
                                      <w:marRight w:val="0"/>
                                      <w:marTop w:val="0"/>
                                      <w:marBottom w:val="0"/>
                                      <w:divBdr>
                                        <w:top w:val="none" w:sz="0" w:space="0" w:color="auto"/>
                                        <w:left w:val="none" w:sz="0" w:space="0" w:color="auto"/>
                                        <w:bottom w:val="none" w:sz="0" w:space="0" w:color="auto"/>
                                        <w:right w:val="none" w:sz="0" w:space="0" w:color="auto"/>
                                      </w:divBdr>
                                      <w:divsChild>
                                        <w:div w:id="1042553084">
                                          <w:marLeft w:val="0"/>
                                          <w:marRight w:val="0"/>
                                          <w:marTop w:val="0"/>
                                          <w:marBottom w:val="0"/>
                                          <w:divBdr>
                                            <w:top w:val="none" w:sz="0" w:space="0" w:color="auto"/>
                                            <w:left w:val="none" w:sz="0" w:space="0" w:color="auto"/>
                                            <w:bottom w:val="none" w:sz="0" w:space="0" w:color="auto"/>
                                            <w:right w:val="none" w:sz="0" w:space="0" w:color="auto"/>
                                          </w:divBdr>
                                          <w:divsChild>
                                            <w:div w:id="1792934550">
                                              <w:marLeft w:val="0"/>
                                              <w:marRight w:val="0"/>
                                              <w:marTop w:val="0"/>
                                              <w:marBottom w:val="0"/>
                                              <w:divBdr>
                                                <w:top w:val="none" w:sz="0" w:space="0" w:color="auto"/>
                                                <w:left w:val="none" w:sz="0" w:space="0" w:color="auto"/>
                                                <w:bottom w:val="none" w:sz="0" w:space="0" w:color="auto"/>
                                                <w:right w:val="none" w:sz="0" w:space="0" w:color="auto"/>
                                              </w:divBdr>
                                              <w:divsChild>
                                                <w:div w:id="103699014">
                                                  <w:marLeft w:val="0"/>
                                                  <w:marRight w:val="0"/>
                                                  <w:marTop w:val="0"/>
                                                  <w:marBottom w:val="0"/>
                                                  <w:divBdr>
                                                    <w:top w:val="none" w:sz="0" w:space="0" w:color="auto"/>
                                                    <w:left w:val="none" w:sz="0" w:space="0" w:color="auto"/>
                                                    <w:bottom w:val="none" w:sz="0" w:space="0" w:color="auto"/>
                                                    <w:right w:val="none" w:sz="0" w:space="0" w:color="auto"/>
                                                  </w:divBdr>
                                                  <w:divsChild>
                                                    <w:div w:id="209995938">
                                                      <w:marLeft w:val="0"/>
                                                      <w:marRight w:val="0"/>
                                                      <w:marTop w:val="0"/>
                                                      <w:marBottom w:val="0"/>
                                                      <w:divBdr>
                                                        <w:top w:val="none" w:sz="0" w:space="0" w:color="auto"/>
                                                        <w:left w:val="none" w:sz="0" w:space="0" w:color="auto"/>
                                                        <w:bottom w:val="none" w:sz="0" w:space="0" w:color="auto"/>
                                                        <w:right w:val="none" w:sz="0" w:space="0" w:color="auto"/>
                                                      </w:divBdr>
                                                      <w:divsChild>
                                                        <w:div w:id="926113052">
                                                          <w:marLeft w:val="0"/>
                                                          <w:marRight w:val="0"/>
                                                          <w:marTop w:val="0"/>
                                                          <w:marBottom w:val="0"/>
                                                          <w:divBdr>
                                                            <w:top w:val="none" w:sz="0" w:space="0" w:color="auto"/>
                                                            <w:left w:val="none" w:sz="0" w:space="0" w:color="auto"/>
                                                            <w:bottom w:val="none" w:sz="0" w:space="0" w:color="auto"/>
                                                            <w:right w:val="none" w:sz="0" w:space="0" w:color="auto"/>
                                                          </w:divBdr>
                                                          <w:divsChild>
                                                            <w:div w:id="447704385">
                                                              <w:marLeft w:val="0"/>
                                                              <w:marRight w:val="0"/>
                                                              <w:marTop w:val="0"/>
                                                              <w:marBottom w:val="0"/>
                                                              <w:divBdr>
                                                                <w:top w:val="none" w:sz="0" w:space="0" w:color="auto"/>
                                                                <w:left w:val="none" w:sz="0" w:space="0" w:color="auto"/>
                                                                <w:bottom w:val="none" w:sz="0" w:space="0" w:color="auto"/>
                                                                <w:right w:val="none" w:sz="0" w:space="0" w:color="auto"/>
                                                              </w:divBdr>
                                                            </w:div>
                                                            <w:div w:id="19125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1591606">
      <w:bodyDiv w:val="1"/>
      <w:marLeft w:val="0"/>
      <w:marRight w:val="0"/>
      <w:marTop w:val="0"/>
      <w:marBottom w:val="0"/>
      <w:divBdr>
        <w:top w:val="none" w:sz="0" w:space="0" w:color="auto"/>
        <w:left w:val="none" w:sz="0" w:space="0" w:color="auto"/>
        <w:bottom w:val="none" w:sz="0" w:space="0" w:color="auto"/>
        <w:right w:val="none" w:sz="0" w:space="0" w:color="auto"/>
      </w:divBdr>
      <w:divsChild>
        <w:div w:id="427895887">
          <w:marLeft w:val="0"/>
          <w:marRight w:val="0"/>
          <w:marTop w:val="0"/>
          <w:marBottom w:val="0"/>
          <w:divBdr>
            <w:top w:val="none" w:sz="0" w:space="0" w:color="auto"/>
            <w:left w:val="none" w:sz="0" w:space="0" w:color="auto"/>
            <w:bottom w:val="none" w:sz="0" w:space="0" w:color="auto"/>
            <w:right w:val="none" w:sz="0" w:space="0" w:color="auto"/>
          </w:divBdr>
          <w:divsChild>
            <w:div w:id="1725056939">
              <w:marLeft w:val="0"/>
              <w:marRight w:val="0"/>
              <w:marTop w:val="0"/>
              <w:marBottom w:val="0"/>
              <w:divBdr>
                <w:top w:val="none" w:sz="0" w:space="0" w:color="auto"/>
                <w:left w:val="none" w:sz="0" w:space="0" w:color="auto"/>
                <w:bottom w:val="none" w:sz="0" w:space="0" w:color="auto"/>
                <w:right w:val="none" w:sz="0" w:space="0" w:color="auto"/>
              </w:divBdr>
              <w:divsChild>
                <w:div w:id="233516875">
                  <w:marLeft w:val="0"/>
                  <w:marRight w:val="0"/>
                  <w:marTop w:val="0"/>
                  <w:marBottom w:val="0"/>
                  <w:divBdr>
                    <w:top w:val="none" w:sz="0" w:space="0" w:color="auto"/>
                    <w:left w:val="none" w:sz="0" w:space="0" w:color="auto"/>
                    <w:bottom w:val="none" w:sz="0" w:space="0" w:color="auto"/>
                    <w:right w:val="none" w:sz="0" w:space="0" w:color="auto"/>
                  </w:divBdr>
                  <w:divsChild>
                    <w:div w:id="1790005951">
                      <w:marLeft w:val="0"/>
                      <w:marRight w:val="0"/>
                      <w:marTop w:val="0"/>
                      <w:marBottom w:val="0"/>
                      <w:divBdr>
                        <w:top w:val="none" w:sz="0" w:space="0" w:color="auto"/>
                        <w:left w:val="none" w:sz="0" w:space="0" w:color="auto"/>
                        <w:bottom w:val="none" w:sz="0" w:space="0" w:color="auto"/>
                        <w:right w:val="none" w:sz="0" w:space="0" w:color="auto"/>
                      </w:divBdr>
                      <w:divsChild>
                        <w:div w:id="982276081">
                          <w:marLeft w:val="0"/>
                          <w:marRight w:val="0"/>
                          <w:marTop w:val="0"/>
                          <w:marBottom w:val="0"/>
                          <w:divBdr>
                            <w:top w:val="none" w:sz="0" w:space="0" w:color="auto"/>
                            <w:left w:val="none" w:sz="0" w:space="0" w:color="auto"/>
                            <w:bottom w:val="none" w:sz="0" w:space="0" w:color="auto"/>
                            <w:right w:val="none" w:sz="0" w:space="0" w:color="auto"/>
                          </w:divBdr>
                          <w:divsChild>
                            <w:div w:id="1014575990">
                              <w:marLeft w:val="0"/>
                              <w:marRight w:val="0"/>
                              <w:marTop w:val="0"/>
                              <w:marBottom w:val="0"/>
                              <w:divBdr>
                                <w:top w:val="none" w:sz="0" w:space="0" w:color="auto"/>
                                <w:left w:val="none" w:sz="0" w:space="0" w:color="auto"/>
                                <w:bottom w:val="none" w:sz="0" w:space="0" w:color="auto"/>
                                <w:right w:val="none" w:sz="0" w:space="0" w:color="auto"/>
                              </w:divBdr>
                              <w:divsChild>
                                <w:div w:id="999772981">
                                  <w:marLeft w:val="0"/>
                                  <w:marRight w:val="0"/>
                                  <w:marTop w:val="0"/>
                                  <w:marBottom w:val="0"/>
                                  <w:divBdr>
                                    <w:top w:val="none" w:sz="0" w:space="0" w:color="auto"/>
                                    <w:left w:val="none" w:sz="0" w:space="0" w:color="auto"/>
                                    <w:bottom w:val="none" w:sz="0" w:space="0" w:color="auto"/>
                                    <w:right w:val="none" w:sz="0" w:space="0" w:color="auto"/>
                                  </w:divBdr>
                                  <w:divsChild>
                                    <w:div w:id="492599436">
                                      <w:marLeft w:val="0"/>
                                      <w:marRight w:val="0"/>
                                      <w:marTop w:val="0"/>
                                      <w:marBottom w:val="0"/>
                                      <w:divBdr>
                                        <w:top w:val="none" w:sz="0" w:space="0" w:color="auto"/>
                                        <w:left w:val="none" w:sz="0" w:space="0" w:color="auto"/>
                                        <w:bottom w:val="none" w:sz="0" w:space="0" w:color="auto"/>
                                        <w:right w:val="none" w:sz="0" w:space="0" w:color="auto"/>
                                      </w:divBdr>
                                      <w:divsChild>
                                        <w:div w:id="338315633">
                                          <w:marLeft w:val="0"/>
                                          <w:marRight w:val="0"/>
                                          <w:marTop w:val="0"/>
                                          <w:marBottom w:val="0"/>
                                          <w:divBdr>
                                            <w:top w:val="none" w:sz="0" w:space="0" w:color="auto"/>
                                            <w:left w:val="none" w:sz="0" w:space="0" w:color="auto"/>
                                            <w:bottom w:val="none" w:sz="0" w:space="0" w:color="auto"/>
                                            <w:right w:val="none" w:sz="0" w:space="0" w:color="auto"/>
                                          </w:divBdr>
                                          <w:divsChild>
                                            <w:div w:id="1284995274">
                                              <w:marLeft w:val="0"/>
                                              <w:marRight w:val="0"/>
                                              <w:marTop w:val="0"/>
                                              <w:marBottom w:val="0"/>
                                              <w:divBdr>
                                                <w:top w:val="none" w:sz="0" w:space="0" w:color="auto"/>
                                                <w:left w:val="none" w:sz="0" w:space="0" w:color="auto"/>
                                                <w:bottom w:val="none" w:sz="0" w:space="0" w:color="auto"/>
                                                <w:right w:val="none" w:sz="0" w:space="0" w:color="auto"/>
                                              </w:divBdr>
                                              <w:divsChild>
                                                <w:div w:id="891117853">
                                                  <w:marLeft w:val="0"/>
                                                  <w:marRight w:val="0"/>
                                                  <w:marTop w:val="0"/>
                                                  <w:marBottom w:val="0"/>
                                                  <w:divBdr>
                                                    <w:top w:val="none" w:sz="0" w:space="0" w:color="auto"/>
                                                    <w:left w:val="none" w:sz="0" w:space="0" w:color="auto"/>
                                                    <w:bottom w:val="none" w:sz="0" w:space="0" w:color="auto"/>
                                                    <w:right w:val="none" w:sz="0" w:space="0" w:color="auto"/>
                                                  </w:divBdr>
                                                  <w:divsChild>
                                                    <w:div w:id="1553812910">
                                                      <w:marLeft w:val="0"/>
                                                      <w:marRight w:val="0"/>
                                                      <w:marTop w:val="0"/>
                                                      <w:marBottom w:val="0"/>
                                                      <w:divBdr>
                                                        <w:top w:val="none" w:sz="0" w:space="0" w:color="auto"/>
                                                        <w:left w:val="none" w:sz="0" w:space="0" w:color="auto"/>
                                                        <w:bottom w:val="none" w:sz="0" w:space="0" w:color="auto"/>
                                                        <w:right w:val="none" w:sz="0" w:space="0" w:color="auto"/>
                                                      </w:divBdr>
                                                      <w:divsChild>
                                                        <w:div w:id="324557588">
                                                          <w:marLeft w:val="0"/>
                                                          <w:marRight w:val="0"/>
                                                          <w:marTop w:val="0"/>
                                                          <w:marBottom w:val="0"/>
                                                          <w:divBdr>
                                                            <w:top w:val="none" w:sz="0" w:space="0" w:color="auto"/>
                                                            <w:left w:val="none" w:sz="0" w:space="0" w:color="auto"/>
                                                            <w:bottom w:val="none" w:sz="0" w:space="0" w:color="auto"/>
                                                            <w:right w:val="none" w:sz="0" w:space="0" w:color="auto"/>
                                                          </w:divBdr>
                                                        </w:div>
                                                        <w:div w:id="1231885579">
                                                          <w:marLeft w:val="0"/>
                                                          <w:marRight w:val="0"/>
                                                          <w:marTop w:val="0"/>
                                                          <w:marBottom w:val="0"/>
                                                          <w:divBdr>
                                                            <w:top w:val="none" w:sz="0" w:space="0" w:color="auto"/>
                                                            <w:left w:val="none" w:sz="0" w:space="0" w:color="auto"/>
                                                            <w:bottom w:val="none" w:sz="0" w:space="0" w:color="auto"/>
                                                            <w:right w:val="none" w:sz="0" w:space="0" w:color="auto"/>
                                                          </w:divBdr>
                                                          <w:divsChild>
                                                            <w:div w:id="2453793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2639176">
      <w:bodyDiv w:val="1"/>
      <w:marLeft w:val="0"/>
      <w:marRight w:val="0"/>
      <w:marTop w:val="0"/>
      <w:marBottom w:val="0"/>
      <w:divBdr>
        <w:top w:val="none" w:sz="0" w:space="0" w:color="auto"/>
        <w:left w:val="none" w:sz="0" w:space="0" w:color="auto"/>
        <w:bottom w:val="none" w:sz="0" w:space="0" w:color="auto"/>
        <w:right w:val="none" w:sz="0" w:space="0" w:color="auto"/>
      </w:divBdr>
      <w:divsChild>
        <w:div w:id="1498495737">
          <w:marLeft w:val="0"/>
          <w:marRight w:val="0"/>
          <w:marTop w:val="0"/>
          <w:marBottom w:val="0"/>
          <w:divBdr>
            <w:top w:val="none" w:sz="0" w:space="0" w:color="auto"/>
            <w:left w:val="none" w:sz="0" w:space="0" w:color="auto"/>
            <w:bottom w:val="none" w:sz="0" w:space="0" w:color="auto"/>
            <w:right w:val="none" w:sz="0" w:space="0" w:color="auto"/>
          </w:divBdr>
          <w:divsChild>
            <w:div w:id="289094726">
              <w:marLeft w:val="0"/>
              <w:marRight w:val="0"/>
              <w:marTop w:val="0"/>
              <w:marBottom w:val="0"/>
              <w:divBdr>
                <w:top w:val="none" w:sz="0" w:space="0" w:color="auto"/>
                <w:left w:val="none" w:sz="0" w:space="0" w:color="auto"/>
                <w:bottom w:val="none" w:sz="0" w:space="0" w:color="auto"/>
                <w:right w:val="none" w:sz="0" w:space="0" w:color="auto"/>
              </w:divBdr>
              <w:divsChild>
                <w:div w:id="643004892">
                  <w:marLeft w:val="0"/>
                  <w:marRight w:val="0"/>
                  <w:marTop w:val="0"/>
                  <w:marBottom w:val="0"/>
                  <w:divBdr>
                    <w:top w:val="none" w:sz="0" w:space="0" w:color="auto"/>
                    <w:left w:val="none" w:sz="0" w:space="0" w:color="auto"/>
                    <w:bottom w:val="none" w:sz="0" w:space="0" w:color="auto"/>
                    <w:right w:val="none" w:sz="0" w:space="0" w:color="auto"/>
                  </w:divBdr>
                  <w:divsChild>
                    <w:div w:id="1781411577">
                      <w:marLeft w:val="0"/>
                      <w:marRight w:val="0"/>
                      <w:marTop w:val="0"/>
                      <w:marBottom w:val="0"/>
                      <w:divBdr>
                        <w:top w:val="none" w:sz="0" w:space="0" w:color="auto"/>
                        <w:left w:val="none" w:sz="0" w:space="0" w:color="auto"/>
                        <w:bottom w:val="none" w:sz="0" w:space="0" w:color="auto"/>
                        <w:right w:val="none" w:sz="0" w:space="0" w:color="auto"/>
                      </w:divBdr>
                      <w:divsChild>
                        <w:div w:id="977999352">
                          <w:marLeft w:val="0"/>
                          <w:marRight w:val="0"/>
                          <w:marTop w:val="0"/>
                          <w:marBottom w:val="0"/>
                          <w:divBdr>
                            <w:top w:val="none" w:sz="0" w:space="0" w:color="auto"/>
                            <w:left w:val="none" w:sz="0" w:space="0" w:color="auto"/>
                            <w:bottom w:val="none" w:sz="0" w:space="0" w:color="auto"/>
                            <w:right w:val="none" w:sz="0" w:space="0" w:color="auto"/>
                          </w:divBdr>
                          <w:divsChild>
                            <w:div w:id="763501475">
                              <w:marLeft w:val="0"/>
                              <w:marRight w:val="0"/>
                              <w:marTop w:val="0"/>
                              <w:marBottom w:val="0"/>
                              <w:divBdr>
                                <w:top w:val="none" w:sz="0" w:space="0" w:color="auto"/>
                                <w:left w:val="none" w:sz="0" w:space="0" w:color="auto"/>
                                <w:bottom w:val="none" w:sz="0" w:space="0" w:color="auto"/>
                                <w:right w:val="none" w:sz="0" w:space="0" w:color="auto"/>
                              </w:divBdr>
                              <w:divsChild>
                                <w:div w:id="2020693696">
                                  <w:marLeft w:val="0"/>
                                  <w:marRight w:val="0"/>
                                  <w:marTop w:val="0"/>
                                  <w:marBottom w:val="0"/>
                                  <w:divBdr>
                                    <w:top w:val="none" w:sz="0" w:space="0" w:color="auto"/>
                                    <w:left w:val="none" w:sz="0" w:space="0" w:color="auto"/>
                                    <w:bottom w:val="none" w:sz="0" w:space="0" w:color="auto"/>
                                    <w:right w:val="none" w:sz="0" w:space="0" w:color="auto"/>
                                  </w:divBdr>
                                  <w:divsChild>
                                    <w:div w:id="1856307310">
                                      <w:marLeft w:val="0"/>
                                      <w:marRight w:val="0"/>
                                      <w:marTop w:val="0"/>
                                      <w:marBottom w:val="0"/>
                                      <w:divBdr>
                                        <w:top w:val="none" w:sz="0" w:space="0" w:color="auto"/>
                                        <w:left w:val="none" w:sz="0" w:space="0" w:color="auto"/>
                                        <w:bottom w:val="none" w:sz="0" w:space="0" w:color="auto"/>
                                        <w:right w:val="none" w:sz="0" w:space="0" w:color="auto"/>
                                      </w:divBdr>
                                      <w:divsChild>
                                        <w:div w:id="12161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037277">
      <w:bodyDiv w:val="1"/>
      <w:marLeft w:val="0"/>
      <w:marRight w:val="0"/>
      <w:marTop w:val="0"/>
      <w:marBottom w:val="0"/>
      <w:divBdr>
        <w:top w:val="none" w:sz="0" w:space="0" w:color="auto"/>
        <w:left w:val="none" w:sz="0" w:space="0" w:color="auto"/>
        <w:bottom w:val="none" w:sz="0" w:space="0" w:color="auto"/>
        <w:right w:val="none" w:sz="0" w:space="0" w:color="auto"/>
      </w:divBdr>
      <w:divsChild>
        <w:div w:id="69893969">
          <w:marLeft w:val="0"/>
          <w:marRight w:val="0"/>
          <w:marTop w:val="0"/>
          <w:marBottom w:val="0"/>
          <w:divBdr>
            <w:top w:val="none" w:sz="0" w:space="0" w:color="auto"/>
            <w:left w:val="none" w:sz="0" w:space="0" w:color="auto"/>
            <w:bottom w:val="none" w:sz="0" w:space="0" w:color="auto"/>
            <w:right w:val="none" w:sz="0" w:space="0" w:color="auto"/>
          </w:divBdr>
          <w:divsChild>
            <w:div w:id="1326662140">
              <w:marLeft w:val="0"/>
              <w:marRight w:val="0"/>
              <w:marTop w:val="0"/>
              <w:marBottom w:val="0"/>
              <w:divBdr>
                <w:top w:val="none" w:sz="0" w:space="0" w:color="auto"/>
                <w:left w:val="none" w:sz="0" w:space="0" w:color="auto"/>
                <w:bottom w:val="none" w:sz="0" w:space="0" w:color="auto"/>
                <w:right w:val="none" w:sz="0" w:space="0" w:color="auto"/>
              </w:divBdr>
              <w:divsChild>
                <w:div w:id="770126306">
                  <w:marLeft w:val="0"/>
                  <w:marRight w:val="0"/>
                  <w:marTop w:val="0"/>
                  <w:marBottom w:val="0"/>
                  <w:divBdr>
                    <w:top w:val="none" w:sz="0" w:space="0" w:color="auto"/>
                    <w:left w:val="none" w:sz="0" w:space="0" w:color="auto"/>
                    <w:bottom w:val="none" w:sz="0" w:space="0" w:color="auto"/>
                    <w:right w:val="none" w:sz="0" w:space="0" w:color="auto"/>
                  </w:divBdr>
                  <w:divsChild>
                    <w:div w:id="1245257244">
                      <w:marLeft w:val="0"/>
                      <w:marRight w:val="0"/>
                      <w:marTop w:val="0"/>
                      <w:marBottom w:val="0"/>
                      <w:divBdr>
                        <w:top w:val="none" w:sz="0" w:space="0" w:color="auto"/>
                        <w:left w:val="none" w:sz="0" w:space="0" w:color="auto"/>
                        <w:bottom w:val="none" w:sz="0" w:space="0" w:color="auto"/>
                        <w:right w:val="none" w:sz="0" w:space="0" w:color="auto"/>
                      </w:divBdr>
                      <w:divsChild>
                        <w:div w:id="222445437">
                          <w:marLeft w:val="0"/>
                          <w:marRight w:val="0"/>
                          <w:marTop w:val="0"/>
                          <w:marBottom w:val="0"/>
                          <w:divBdr>
                            <w:top w:val="none" w:sz="0" w:space="0" w:color="auto"/>
                            <w:left w:val="none" w:sz="0" w:space="0" w:color="auto"/>
                            <w:bottom w:val="none" w:sz="0" w:space="0" w:color="auto"/>
                            <w:right w:val="none" w:sz="0" w:space="0" w:color="auto"/>
                          </w:divBdr>
                          <w:divsChild>
                            <w:div w:id="1895579459">
                              <w:marLeft w:val="0"/>
                              <w:marRight w:val="0"/>
                              <w:marTop w:val="0"/>
                              <w:marBottom w:val="0"/>
                              <w:divBdr>
                                <w:top w:val="none" w:sz="0" w:space="0" w:color="auto"/>
                                <w:left w:val="none" w:sz="0" w:space="0" w:color="auto"/>
                                <w:bottom w:val="none" w:sz="0" w:space="0" w:color="auto"/>
                                <w:right w:val="none" w:sz="0" w:space="0" w:color="auto"/>
                              </w:divBdr>
                              <w:divsChild>
                                <w:div w:id="1596749088">
                                  <w:marLeft w:val="0"/>
                                  <w:marRight w:val="0"/>
                                  <w:marTop w:val="0"/>
                                  <w:marBottom w:val="0"/>
                                  <w:divBdr>
                                    <w:top w:val="none" w:sz="0" w:space="0" w:color="auto"/>
                                    <w:left w:val="none" w:sz="0" w:space="0" w:color="auto"/>
                                    <w:bottom w:val="none" w:sz="0" w:space="0" w:color="auto"/>
                                    <w:right w:val="none" w:sz="0" w:space="0" w:color="auto"/>
                                  </w:divBdr>
                                  <w:divsChild>
                                    <w:div w:id="2097625805">
                                      <w:marLeft w:val="0"/>
                                      <w:marRight w:val="0"/>
                                      <w:marTop w:val="0"/>
                                      <w:marBottom w:val="0"/>
                                      <w:divBdr>
                                        <w:top w:val="none" w:sz="0" w:space="0" w:color="auto"/>
                                        <w:left w:val="none" w:sz="0" w:space="0" w:color="auto"/>
                                        <w:bottom w:val="none" w:sz="0" w:space="0" w:color="auto"/>
                                        <w:right w:val="none" w:sz="0" w:space="0" w:color="auto"/>
                                      </w:divBdr>
                                      <w:divsChild>
                                        <w:div w:id="1364937109">
                                          <w:marLeft w:val="0"/>
                                          <w:marRight w:val="0"/>
                                          <w:marTop w:val="0"/>
                                          <w:marBottom w:val="0"/>
                                          <w:divBdr>
                                            <w:top w:val="none" w:sz="0" w:space="0" w:color="auto"/>
                                            <w:left w:val="none" w:sz="0" w:space="0" w:color="auto"/>
                                            <w:bottom w:val="none" w:sz="0" w:space="0" w:color="auto"/>
                                            <w:right w:val="none" w:sz="0" w:space="0" w:color="auto"/>
                                          </w:divBdr>
                                          <w:divsChild>
                                            <w:div w:id="1040394015">
                                              <w:marLeft w:val="0"/>
                                              <w:marRight w:val="0"/>
                                              <w:marTop w:val="0"/>
                                              <w:marBottom w:val="0"/>
                                              <w:divBdr>
                                                <w:top w:val="none" w:sz="0" w:space="0" w:color="auto"/>
                                                <w:left w:val="none" w:sz="0" w:space="0" w:color="auto"/>
                                                <w:bottom w:val="none" w:sz="0" w:space="0" w:color="auto"/>
                                                <w:right w:val="none" w:sz="0" w:space="0" w:color="auto"/>
                                              </w:divBdr>
                                              <w:divsChild>
                                                <w:div w:id="506411007">
                                                  <w:marLeft w:val="0"/>
                                                  <w:marRight w:val="0"/>
                                                  <w:marTop w:val="0"/>
                                                  <w:marBottom w:val="0"/>
                                                  <w:divBdr>
                                                    <w:top w:val="none" w:sz="0" w:space="0" w:color="auto"/>
                                                    <w:left w:val="none" w:sz="0" w:space="0" w:color="auto"/>
                                                    <w:bottom w:val="none" w:sz="0" w:space="0" w:color="auto"/>
                                                    <w:right w:val="none" w:sz="0" w:space="0" w:color="auto"/>
                                                  </w:divBdr>
                                                  <w:divsChild>
                                                    <w:div w:id="481847057">
                                                      <w:marLeft w:val="0"/>
                                                      <w:marRight w:val="0"/>
                                                      <w:marTop w:val="0"/>
                                                      <w:marBottom w:val="0"/>
                                                      <w:divBdr>
                                                        <w:top w:val="none" w:sz="0" w:space="0" w:color="auto"/>
                                                        <w:left w:val="none" w:sz="0" w:space="0" w:color="auto"/>
                                                        <w:bottom w:val="none" w:sz="0" w:space="0" w:color="auto"/>
                                                        <w:right w:val="none" w:sz="0" w:space="0" w:color="auto"/>
                                                      </w:divBdr>
                                                      <w:divsChild>
                                                        <w:div w:id="20426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5378492">
      <w:bodyDiv w:val="1"/>
      <w:marLeft w:val="0"/>
      <w:marRight w:val="0"/>
      <w:marTop w:val="0"/>
      <w:marBottom w:val="0"/>
      <w:divBdr>
        <w:top w:val="none" w:sz="0" w:space="0" w:color="auto"/>
        <w:left w:val="none" w:sz="0" w:space="0" w:color="auto"/>
        <w:bottom w:val="none" w:sz="0" w:space="0" w:color="auto"/>
        <w:right w:val="none" w:sz="0" w:space="0" w:color="auto"/>
      </w:divBdr>
      <w:divsChild>
        <w:div w:id="1399474051">
          <w:marLeft w:val="0"/>
          <w:marRight w:val="0"/>
          <w:marTop w:val="0"/>
          <w:marBottom w:val="0"/>
          <w:divBdr>
            <w:top w:val="none" w:sz="0" w:space="0" w:color="auto"/>
            <w:left w:val="none" w:sz="0" w:space="0" w:color="auto"/>
            <w:bottom w:val="none" w:sz="0" w:space="0" w:color="auto"/>
            <w:right w:val="none" w:sz="0" w:space="0" w:color="auto"/>
          </w:divBdr>
          <w:divsChild>
            <w:div w:id="327056865">
              <w:marLeft w:val="0"/>
              <w:marRight w:val="0"/>
              <w:marTop w:val="0"/>
              <w:marBottom w:val="0"/>
              <w:divBdr>
                <w:top w:val="none" w:sz="0" w:space="0" w:color="auto"/>
                <w:left w:val="none" w:sz="0" w:space="0" w:color="auto"/>
                <w:bottom w:val="none" w:sz="0" w:space="0" w:color="auto"/>
                <w:right w:val="none" w:sz="0" w:space="0" w:color="auto"/>
              </w:divBdr>
              <w:divsChild>
                <w:div w:id="1517111902">
                  <w:marLeft w:val="0"/>
                  <w:marRight w:val="0"/>
                  <w:marTop w:val="0"/>
                  <w:marBottom w:val="0"/>
                  <w:divBdr>
                    <w:top w:val="none" w:sz="0" w:space="0" w:color="auto"/>
                    <w:left w:val="none" w:sz="0" w:space="0" w:color="auto"/>
                    <w:bottom w:val="none" w:sz="0" w:space="0" w:color="auto"/>
                    <w:right w:val="none" w:sz="0" w:space="0" w:color="auto"/>
                  </w:divBdr>
                  <w:divsChild>
                    <w:div w:id="905606401">
                      <w:marLeft w:val="0"/>
                      <w:marRight w:val="0"/>
                      <w:marTop w:val="0"/>
                      <w:marBottom w:val="0"/>
                      <w:divBdr>
                        <w:top w:val="none" w:sz="0" w:space="0" w:color="auto"/>
                        <w:left w:val="none" w:sz="0" w:space="0" w:color="auto"/>
                        <w:bottom w:val="none" w:sz="0" w:space="0" w:color="auto"/>
                        <w:right w:val="none" w:sz="0" w:space="0" w:color="auto"/>
                      </w:divBdr>
                      <w:divsChild>
                        <w:div w:id="207957193">
                          <w:marLeft w:val="0"/>
                          <w:marRight w:val="0"/>
                          <w:marTop w:val="0"/>
                          <w:marBottom w:val="0"/>
                          <w:divBdr>
                            <w:top w:val="none" w:sz="0" w:space="0" w:color="auto"/>
                            <w:left w:val="none" w:sz="0" w:space="0" w:color="auto"/>
                            <w:bottom w:val="none" w:sz="0" w:space="0" w:color="auto"/>
                            <w:right w:val="none" w:sz="0" w:space="0" w:color="auto"/>
                          </w:divBdr>
                          <w:divsChild>
                            <w:div w:id="1685325354">
                              <w:marLeft w:val="570"/>
                              <w:marRight w:val="720"/>
                              <w:marTop w:val="120"/>
                              <w:marBottom w:val="120"/>
                              <w:divBdr>
                                <w:top w:val="none" w:sz="0" w:space="0" w:color="auto"/>
                                <w:left w:val="none" w:sz="0" w:space="0" w:color="auto"/>
                                <w:bottom w:val="none" w:sz="0" w:space="0" w:color="auto"/>
                                <w:right w:val="none" w:sz="0" w:space="0" w:color="auto"/>
                              </w:divBdr>
                              <w:divsChild>
                                <w:div w:id="548345984">
                                  <w:marLeft w:val="0"/>
                                  <w:marRight w:val="0"/>
                                  <w:marTop w:val="0"/>
                                  <w:marBottom w:val="0"/>
                                  <w:divBdr>
                                    <w:top w:val="none" w:sz="0" w:space="0" w:color="auto"/>
                                    <w:left w:val="none" w:sz="0" w:space="0" w:color="auto"/>
                                    <w:bottom w:val="none" w:sz="0" w:space="0" w:color="auto"/>
                                    <w:right w:val="none" w:sz="0" w:space="0" w:color="auto"/>
                                  </w:divBdr>
                                  <w:divsChild>
                                    <w:div w:id="357702875">
                                      <w:marLeft w:val="0"/>
                                      <w:marRight w:val="0"/>
                                      <w:marTop w:val="0"/>
                                      <w:marBottom w:val="0"/>
                                      <w:divBdr>
                                        <w:top w:val="none" w:sz="0" w:space="0" w:color="auto"/>
                                        <w:left w:val="none" w:sz="0" w:space="0" w:color="auto"/>
                                        <w:bottom w:val="none" w:sz="0" w:space="0" w:color="auto"/>
                                        <w:right w:val="none" w:sz="0" w:space="0" w:color="auto"/>
                                      </w:divBdr>
                                      <w:divsChild>
                                        <w:div w:id="1279872500">
                                          <w:marLeft w:val="0"/>
                                          <w:marRight w:val="0"/>
                                          <w:marTop w:val="0"/>
                                          <w:marBottom w:val="0"/>
                                          <w:divBdr>
                                            <w:top w:val="none" w:sz="0" w:space="0" w:color="auto"/>
                                            <w:left w:val="none" w:sz="0" w:space="0" w:color="auto"/>
                                            <w:bottom w:val="none" w:sz="0" w:space="0" w:color="auto"/>
                                            <w:right w:val="none" w:sz="0" w:space="0" w:color="auto"/>
                                          </w:divBdr>
                                        </w:div>
                                        <w:div w:id="477890931">
                                          <w:marLeft w:val="0"/>
                                          <w:marRight w:val="0"/>
                                          <w:marTop w:val="0"/>
                                          <w:marBottom w:val="150"/>
                                          <w:divBdr>
                                            <w:top w:val="none" w:sz="0" w:space="0" w:color="auto"/>
                                            <w:left w:val="none" w:sz="0" w:space="0" w:color="auto"/>
                                            <w:bottom w:val="none" w:sz="0" w:space="0" w:color="auto"/>
                                            <w:right w:val="none" w:sz="0" w:space="0" w:color="auto"/>
                                          </w:divBdr>
                                          <w:divsChild>
                                            <w:div w:id="803885412">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2015763291">
      <w:bodyDiv w:val="1"/>
      <w:marLeft w:val="0"/>
      <w:marRight w:val="0"/>
      <w:marTop w:val="0"/>
      <w:marBottom w:val="0"/>
      <w:divBdr>
        <w:top w:val="none" w:sz="0" w:space="0" w:color="auto"/>
        <w:left w:val="none" w:sz="0" w:space="0" w:color="auto"/>
        <w:bottom w:val="none" w:sz="0" w:space="0" w:color="auto"/>
        <w:right w:val="none" w:sz="0" w:space="0" w:color="auto"/>
      </w:divBdr>
      <w:divsChild>
        <w:div w:id="582222311">
          <w:marLeft w:val="0"/>
          <w:marRight w:val="0"/>
          <w:marTop w:val="0"/>
          <w:marBottom w:val="0"/>
          <w:divBdr>
            <w:top w:val="none" w:sz="0" w:space="0" w:color="auto"/>
            <w:left w:val="none" w:sz="0" w:space="0" w:color="auto"/>
            <w:bottom w:val="none" w:sz="0" w:space="0" w:color="auto"/>
            <w:right w:val="none" w:sz="0" w:space="0" w:color="auto"/>
          </w:divBdr>
          <w:divsChild>
            <w:div w:id="715393376">
              <w:marLeft w:val="0"/>
              <w:marRight w:val="0"/>
              <w:marTop w:val="0"/>
              <w:marBottom w:val="0"/>
              <w:divBdr>
                <w:top w:val="none" w:sz="0" w:space="0" w:color="auto"/>
                <w:left w:val="none" w:sz="0" w:space="0" w:color="auto"/>
                <w:bottom w:val="none" w:sz="0" w:space="0" w:color="auto"/>
                <w:right w:val="none" w:sz="0" w:space="0" w:color="auto"/>
              </w:divBdr>
              <w:divsChild>
                <w:div w:id="1895962476">
                  <w:marLeft w:val="0"/>
                  <w:marRight w:val="0"/>
                  <w:marTop w:val="0"/>
                  <w:marBottom w:val="0"/>
                  <w:divBdr>
                    <w:top w:val="none" w:sz="0" w:space="0" w:color="auto"/>
                    <w:left w:val="none" w:sz="0" w:space="0" w:color="auto"/>
                    <w:bottom w:val="none" w:sz="0" w:space="0" w:color="auto"/>
                    <w:right w:val="none" w:sz="0" w:space="0" w:color="auto"/>
                  </w:divBdr>
                  <w:divsChild>
                    <w:div w:id="144514440">
                      <w:marLeft w:val="0"/>
                      <w:marRight w:val="0"/>
                      <w:marTop w:val="0"/>
                      <w:marBottom w:val="0"/>
                      <w:divBdr>
                        <w:top w:val="none" w:sz="0" w:space="0" w:color="auto"/>
                        <w:left w:val="none" w:sz="0" w:space="0" w:color="auto"/>
                        <w:bottom w:val="none" w:sz="0" w:space="0" w:color="auto"/>
                        <w:right w:val="none" w:sz="0" w:space="0" w:color="auto"/>
                      </w:divBdr>
                      <w:divsChild>
                        <w:div w:id="601956368">
                          <w:marLeft w:val="0"/>
                          <w:marRight w:val="0"/>
                          <w:marTop w:val="0"/>
                          <w:marBottom w:val="0"/>
                          <w:divBdr>
                            <w:top w:val="none" w:sz="0" w:space="0" w:color="auto"/>
                            <w:left w:val="none" w:sz="0" w:space="0" w:color="auto"/>
                            <w:bottom w:val="none" w:sz="0" w:space="0" w:color="auto"/>
                            <w:right w:val="none" w:sz="0" w:space="0" w:color="auto"/>
                          </w:divBdr>
                          <w:divsChild>
                            <w:div w:id="1094713355">
                              <w:marLeft w:val="570"/>
                              <w:marRight w:val="720"/>
                              <w:marTop w:val="120"/>
                              <w:marBottom w:val="120"/>
                              <w:divBdr>
                                <w:top w:val="none" w:sz="0" w:space="0" w:color="auto"/>
                                <w:left w:val="none" w:sz="0" w:space="0" w:color="auto"/>
                                <w:bottom w:val="none" w:sz="0" w:space="0" w:color="auto"/>
                                <w:right w:val="none" w:sz="0" w:space="0" w:color="auto"/>
                              </w:divBdr>
                              <w:divsChild>
                                <w:div w:id="40180609">
                                  <w:marLeft w:val="0"/>
                                  <w:marRight w:val="0"/>
                                  <w:marTop w:val="0"/>
                                  <w:marBottom w:val="0"/>
                                  <w:divBdr>
                                    <w:top w:val="none" w:sz="0" w:space="0" w:color="auto"/>
                                    <w:left w:val="none" w:sz="0" w:space="0" w:color="auto"/>
                                    <w:bottom w:val="none" w:sz="0" w:space="0" w:color="auto"/>
                                    <w:right w:val="none" w:sz="0" w:space="0" w:color="auto"/>
                                  </w:divBdr>
                                  <w:divsChild>
                                    <w:div w:id="1517621736">
                                      <w:marLeft w:val="0"/>
                                      <w:marRight w:val="0"/>
                                      <w:marTop w:val="0"/>
                                      <w:marBottom w:val="0"/>
                                      <w:divBdr>
                                        <w:top w:val="none" w:sz="0" w:space="0" w:color="auto"/>
                                        <w:left w:val="none" w:sz="0" w:space="0" w:color="auto"/>
                                        <w:bottom w:val="none" w:sz="0" w:space="0" w:color="auto"/>
                                        <w:right w:val="none" w:sz="0" w:space="0" w:color="auto"/>
                                      </w:divBdr>
                                      <w:divsChild>
                                        <w:div w:id="1486630978">
                                          <w:marLeft w:val="0"/>
                                          <w:marRight w:val="0"/>
                                          <w:marTop w:val="0"/>
                                          <w:marBottom w:val="0"/>
                                          <w:divBdr>
                                            <w:top w:val="none" w:sz="0" w:space="0" w:color="auto"/>
                                            <w:left w:val="none" w:sz="0" w:space="0" w:color="auto"/>
                                            <w:bottom w:val="none" w:sz="0" w:space="0" w:color="auto"/>
                                            <w:right w:val="none" w:sz="0" w:space="0" w:color="auto"/>
                                          </w:divBdr>
                                        </w:div>
                                        <w:div w:id="175272587">
                                          <w:marLeft w:val="0"/>
                                          <w:marRight w:val="0"/>
                                          <w:marTop w:val="0"/>
                                          <w:marBottom w:val="150"/>
                                          <w:divBdr>
                                            <w:top w:val="none" w:sz="0" w:space="0" w:color="auto"/>
                                            <w:left w:val="none" w:sz="0" w:space="0" w:color="auto"/>
                                            <w:bottom w:val="none" w:sz="0" w:space="0" w:color="auto"/>
                                            <w:right w:val="none" w:sz="0" w:space="0" w:color="auto"/>
                                          </w:divBdr>
                                          <w:divsChild>
                                            <w:div w:id="1842314761">
                                              <w:marLeft w:val="0"/>
                                              <w:marRight w:val="0"/>
                                              <w:marTop w:val="240"/>
                                              <w:marBottom w:val="240"/>
                                              <w:divBdr>
                                                <w:top w:val="single" w:sz="6" w:space="6" w:color="F2F2F2"/>
                                                <w:left w:val="none" w:sz="0" w:space="0" w:color="auto"/>
                                                <w:bottom w:val="single" w:sz="6" w:space="6" w:color="F2F2F2"/>
                                                <w:right w:val="none" w:sz="0" w:space="0" w:color="auto"/>
                                              </w:divBdr>
                                            </w:div>
                                            <w:div w:id="1849052879">
                                              <w:marLeft w:val="0"/>
                                              <w:marRight w:val="0"/>
                                              <w:marTop w:val="0"/>
                                              <w:marBottom w:val="0"/>
                                              <w:divBdr>
                                                <w:top w:val="none" w:sz="0" w:space="0" w:color="auto"/>
                                                <w:left w:val="none" w:sz="0" w:space="0" w:color="auto"/>
                                                <w:bottom w:val="none" w:sz="0" w:space="0" w:color="auto"/>
                                                <w:right w:val="none" w:sz="0" w:space="0" w:color="auto"/>
                                              </w:divBdr>
                                              <w:divsChild>
                                                <w:div w:id="996884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178288">
      <w:bodyDiv w:val="1"/>
      <w:marLeft w:val="0"/>
      <w:marRight w:val="0"/>
      <w:marTop w:val="0"/>
      <w:marBottom w:val="0"/>
      <w:divBdr>
        <w:top w:val="none" w:sz="0" w:space="0" w:color="auto"/>
        <w:left w:val="none" w:sz="0" w:space="0" w:color="auto"/>
        <w:bottom w:val="none" w:sz="0" w:space="0" w:color="auto"/>
        <w:right w:val="none" w:sz="0" w:space="0" w:color="auto"/>
      </w:divBdr>
      <w:divsChild>
        <w:div w:id="510141732">
          <w:marLeft w:val="0"/>
          <w:marRight w:val="0"/>
          <w:marTop w:val="0"/>
          <w:marBottom w:val="0"/>
          <w:divBdr>
            <w:top w:val="none" w:sz="0" w:space="0" w:color="auto"/>
            <w:left w:val="none" w:sz="0" w:space="0" w:color="auto"/>
            <w:bottom w:val="none" w:sz="0" w:space="0" w:color="auto"/>
            <w:right w:val="none" w:sz="0" w:space="0" w:color="auto"/>
          </w:divBdr>
          <w:divsChild>
            <w:div w:id="1031224455">
              <w:marLeft w:val="0"/>
              <w:marRight w:val="0"/>
              <w:marTop w:val="0"/>
              <w:marBottom w:val="0"/>
              <w:divBdr>
                <w:top w:val="none" w:sz="0" w:space="0" w:color="auto"/>
                <w:left w:val="none" w:sz="0" w:space="0" w:color="auto"/>
                <w:bottom w:val="none" w:sz="0" w:space="0" w:color="auto"/>
                <w:right w:val="none" w:sz="0" w:space="0" w:color="auto"/>
              </w:divBdr>
              <w:divsChild>
                <w:div w:id="956060960">
                  <w:marLeft w:val="0"/>
                  <w:marRight w:val="0"/>
                  <w:marTop w:val="0"/>
                  <w:marBottom w:val="0"/>
                  <w:divBdr>
                    <w:top w:val="none" w:sz="0" w:space="0" w:color="auto"/>
                    <w:left w:val="none" w:sz="0" w:space="0" w:color="auto"/>
                    <w:bottom w:val="none" w:sz="0" w:space="0" w:color="auto"/>
                    <w:right w:val="none" w:sz="0" w:space="0" w:color="auto"/>
                  </w:divBdr>
                  <w:divsChild>
                    <w:div w:id="1643535518">
                      <w:marLeft w:val="0"/>
                      <w:marRight w:val="0"/>
                      <w:marTop w:val="0"/>
                      <w:marBottom w:val="0"/>
                      <w:divBdr>
                        <w:top w:val="none" w:sz="0" w:space="0" w:color="auto"/>
                        <w:left w:val="none" w:sz="0" w:space="0" w:color="auto"/>
                        <w:bottom w:val="none" w:sz="0" w:space="0" w:color="auto"/>
                        <w:right w:val="none" w:sz="0" w:space="0" w:color="auto"/>
                      </w:divBdr>
                      <w:divsChild>
                        <w:div w:id="264729907">
                          <w:marLeft w:val="0"/>
                          <w:marRight w:val="0"/>
                          <w:marTop w:val="0"/>
                          <w:marBottom w:val="0"/>
                          <w:divBdr>
                            <w:top w:val="none" w:sz="0" w:space="0" w:color="auto"/>
                            <w:left w:val="none" w:sz="0" w:space="0" w:color="auto"/>
                            <w:bottom w:val="none" w:sz="0" w:space="0" w:color="auto"/>
                            <w:right w:val="none" w:sz="0" w:space="0" w:color="auto"/>
                          </w:divBdr>
                          <w:divsChild>
                            <w:div w:id="626591144">
                              <w:marLeft w:val="570"/>
                              <w:marRight w:val="720"/>
                              <w:marTop w:val="120"/>
                              <w:marBottom w:val="120"/>
                              <w:divBdr>
                                <w:top w:val="none" w:sz="0" w:space="0" w:color="auto"/>
                                <w:left w:val="none" w:sz="0" w:space="0" w:color="auto"/>
                                <w:bottom w:val="none" w:sz="0" w:space="0" w:color="auto"/>
                                <w:right w:val="none" w:sz="0" w:space="0" w:color="auto"/>
                              </w:divBdr>
                              <w:divsChild>
                                <w:div w:id="1366638264">
                                  <w:marLeft w:val="0"/>
                                  <w:marRight w:val="0"/>
                                  <w:marTop w:val="0"/>
                                  <w:marBottom w:val="0"/>
                                  <w:divBdr>
                                    <w:top w:val="none" w:sz="0" w:space="0" w:color="auto"/>
                                    <w:left w:val="none" w:sz="0" w:space="0" w:color="auto"/>
                                    <w:bottom w:val="none" w:sz="0" w:space="0" w:color="auto"/>
                                    <w:right w:val="none" w:sz="0" w:space="0" w:color="auto"/>
                                  </w:divBdr>
                                  <w:divsChild>
                                    <w:div w:id="1274675846">
                                      <w:marLeft w:val="0"/>
                                      <w:marRight w:val="0"/>
                                      <w:marTop w:val="0"/>
                                      <w:marBottom w:val="0"/>
                                      <w:divBdr>
                                        <w:top w:val="none" w:sz="0" w:space="0" w:color="auto"/>
                                        <w:left w:val="none" w:sz="0" w:space="0" w:color="auto"/>
                                        <w:bottom w:val="none" w:sz="0" w:space="0" w:color="auto"/>
                                        <w:right w:val="none" w:sz="0" w:space="0" w:color="auto"/>
                                      </w:divBdr>
                                      <w:divsChild>
                                        <w:div w:id="2046976546">
                                          <w:marLeft w:val="0"/>
                                          <w:marRight w:val="0"/>
                                          <w:marTop w:val="0"/>
                                          <w:marBottom w:val="150"/>
                                          <w:divBdr>
                                            <w:top w:val="none" w:sz="0" w:space="0" w:color="auto"/>
                                            <w:left w:val="none" w:sz="0" w:space="0" w:color="auto"/>
                                            <w:bottom w:val="none" w:sz="0" w:space="0" w:color="auto"/>
                                            <w:right w:val="none" w:sz="0" w:space="0" w:color="auto"/>
                                          </w:divBdr>
                                          <w:divsChild>
                                            <w:div w:id="2093425711">
                                              <w:marLeft w:val="0"/>
                                              <w:marRight w:val="0"/>
                                              <w:marTop w:val="240"/>
                                              <w:marBottom w:val="240"/>
                                              <w:divBdr>
                                                <w:top w:val="single" w:sz="6" w:space="6" w:color="F2F2F2"/>
                                                <w:left w:val="none" w:sz="0" w:space="0" w:color="auto"/>
                                                <w:bottom w:val="single" w:sz="6" w:space="6" w:color="F2F2F2"/>
                                                <w:right w:val="none" w:sz="0" w:space="0" w:color="auto"/>
                                              </w:divBdr>
                                            </w:div>
                                            <w:div w:id="1409233126">
                                              <w:marLeft w:val="0"/>
                                              <w:marRight w:val="0"/>
                                              <w:marTop w:val="0"/>
                                              <w:marBottom w:val="0"/>
                                              <w:divBdr>
                                                <w:top w:val="none" w:sz="0" w:space="0" w:color="auto"/>
                                                <w:left w:val="none" w:sz="0" w:space="0" w:color="auto"/>
                                                <w:bottom w:val="none" w:sz="0" w:space="0" w:color="auto"/>
                                                <w:right w:val="none" w:sz="0" w:space="0" w:color="auto"/>
                                              </w:divBdr>
                                              <w:divsChild>
                                                <w:div w:id="518591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496426">
      <w:bodyDiv w:val="1"/>
      <w:marLeft w:val="0"/>
      <w:marRight w:val="0"/>
      <w:marTop w:val="0"/>
      <w:marBottom w:val="0"/>
      <w:divBdr>
        <w:top w:val="none" w:sz="0" w:space="0" w:color="auto"/>
        <w:left w:val="none" w:sz="0" w:space="0" w:color="auto"/>
        <w:bottom w:val="none" w:sz="0" w:space="0" w:color="auto"/>
        <w:right w:val="none" w:sz="0" w:space="0" w:color="auto"/>
      </w:divBdr>
      <w:divsChild>
        <w:div w:id="478115795">
          <w:marLeft w:val="0"/>
          <w:marRight w:val="0"/>
          <w:marTop w:val="0"/>
          <w:marBottom w:val="0"/>
          <w:divBdr>
            <w:top w:val="none" w:sz="0" w:space="0" w:color="auto"/>
            <w:left w:val="none" w:sz="0" w:space="0" w:color="auto"/>
            <w:bottom w:val="none" w:sz="0" w:space="0" w:color="auto"/>
            <w:right w:val="none" w:sz="0" w:space="0" w:color="auto"/>
          </w:divBdr>
          <w:divsChild>
            <w:div w:id="1296520265">
              <w:marLeft w:val="-225"/>
              <w:marRight w:val="-225"/>
              <w:marTop w:val="0"/>
              <w:marBottom w:val="0"/>
              <w:divBdr>
                <w:top w:val="none" w:sz="0" w:space="0" w:color="auto"/>
                <w:left w:val="none" w:sz="0" w:space="0" w:color="auto"/>
                <w:bottom w:val="none" w:sz="0" w:space="0" w:color="auto"/>
                <w:right w:val="none" w:sz="0" w:space="0" w:color="auto"/>
              </w:divBdr>
              <w:divsChild>
                <w:div w:id="17765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63341">
      <w:bodyDiv w:val="1"/>
      <w:marLeft w:val="0"/>
      <w:marRight w:val="0"/>
      <w:marTop w:val="0"/>
      <w:marBottom w:val="0"/>
      <w:divBdr>
        <w:top w:val="none" w:sz="0" w:space="0" w:color="auto"/>
        <w:left w:val="none" w:sz="0" w:space="0" w:color="auto"/>
        <w:bottom w:val="none" w:sz="0" w:space="0" w:color="auto"/>
        <w:right w:val="none" w:sz="0" w:space="0" w:color="auto"/>
      </w:divBdr>
      <w:divsChild>
        <w:div w:id="498620476">
          <w:marLeft w:val="0"/>
          <w:marRight w:val="0"/>
          <w:marTop w:val="0"/>
          <w:marBottom w:val="0"/>
          <w:divBdr>
            <w:top w:val="none" w:sz="0" w:space="0" w:color="auto"/>
            <w:left w:val="none" w:sz="0" w:space="0" w:color="auto"/>
            <w:bottom w:val="none" w:sz="0" w:space="0" w:color="auto"/>
            <w:right w:val="none" w:sz="0" w:space="0" w:color="auto"/>
          </w:divBdr>
          <w:divsChild>
            <w:div w:id="1548564658">
              <w:marLeft w:val="0"/>
              <w:marRight w:val="0"/>
              <w:marTop w:val="0"/>
              <w:marBottom w:val="0"/>
              <w:divBdr>
                <w:top w:val="none" w:sz="0" w:space="0" w:color="auto"/>
                <w:left w:val="none" w:sz="0" w:space="0" w:color="auto"/>
                <w:bottom w:val="none" w:sz="0" w:space="0" w:color="auto"/>
                <w:right w:val="none" w:sz="0" w:space="0" w:color="auto"/>
              </w:divBdr>
            </w:div>
          </w:divsChild>
        </w:div>
        <w:div w:id="69154513">
          <w:marLeft w:val="0"/>
          <w:marRight w:val="0"/>
          <w:marTop w:val="0"/>
          <w:marBottom w:val="0"/>
          <w:divBdr>
            <w:top w:val="none" w:sz="0" w:space="0" w:color="auto"/>
            <w:left w:val="none" w:sz="0" w:space="0" w:color="auto"/>
            <w:bottom w:val="none" w:sz="0" w:space="0" w:color="auto"/>
            <w:right w:val="none" w:sz="0" w:space="0" w:color="auto"/>
          </w:divBdr>
          <w:divsChild>
            <w:div w:id="6665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7764">
      <w:bodyDiv w:val="1"/>
      <w:marLeft w:val="0"/>
      <w:marRight w:val="0"/>
      <w:marTop w:val="0"/>
      <w:marBottom w:val="0"/>
      <w:divBdr>
        <w:top w:val="none" w:sz="0" w:space="0" w:color="auto"/>
        <w:left w:val="none" w:sz="0" w:space="0" w:color="auto"/>
        <w:bottom w:val="none" w:sz="0" w:space="0" w:color="auto"/>
        <w:right w:val="none" w:sz="0" w:space="0" w:color="auto"/>
      </w:divBdr>
      <w:divsChild>
        <w:div w:id="331178050">
          <w:marLeft w:val="0"/>
          <w:marRight w:val="0"/>
          <w:marTop w:val="0"/>
          <w:marBottom w:val="0"/>
          <w:divBdr>
            <w:top w:val="none" w:sz="0" w:space="0" w:color="auto"/>
            <w:left w:val="none" w:sz="0" w:space="0" w:color="auto"/>
            <w:bottom w:val="none" w:sz="0" w:space="0" w:color="auto"/>
            <w:right w:val="none" w:sz="0" w:space="0" w:color="auto"/>
          </w:divBdr>
          <w:divsChild>
            <w:div w:id="1521772345">
              <w:marLeft w:val="0"/>
              <w:marRight w:val="0"/>
              <w:marTop w:val="0"/>
              <w:marBottom w:val="0"/>
              <w:divBdr>
                <w:top w:val="none" w:sz="0" w:space="0" w:color="auto"/>
                <w:left w:val="none" w:sz="0" w:space="0" w:color="auto"/>
                <w:bottom w:val="none" w:sz="0" w:space="0" w:color="auto"/>
                <w:right w:val="none" w:sz="0" w:space="0" w:color="auto"/>
              </w:divBdr>
              <w:divsChild>
                <w:div w:id="855463220">
                  <w:marLeft w:val="0"/>
                  <w:marRight w:val="0"/>
                  <w:marTop w:val="0"/>
                  <w:marBottom w:val="0"/>
                  <w:divBdr>
                    <w:top w:val="none" w:sz="0" w:space="0" w:color="auto"/>
                    <w:left w:val="none" w:sz="0" w:space="0" w:color="auto"/>
                    <w:bottom w:val="none" w:sz="0" w:space="0" w:color="auto"/>
                    <w:right w:val="none" w:sz="0" w:space="0" w:color="auto"/>
                  </w:divBdr>
                  <w:divsChild>
                    <w:div w:id="1796168241">
                      <w:marLeft w:val="0"/>
                      <w:marRight w:val="0"/>
                      <w:marTop w:val="0"/>
                      <w:marBottom w:val="0"/>
                      <w:divBdr>
                        <w:top w:val="none" w:sz="0" w:space="0" w:color="auto"/>
                        <w:left w:val="none" w:sz="0" w:space="0" w:color="auto"/>
                        <w:bottom w:val="none" w:sz="0" w:space="0" w:color="auto"/>
                        <w:right w:val="none" w:sz="0" w:space="0" w:color="auto"/>
                      </w:divBdr>
                      <w:divsChild>
                        <w:div w:id="1923098586">
                          <w:marLeft w:val="0"/>
                          <w:marRight w:val="0"/>
                          <w:marTop w:val="0"/>
                          <w:marBottom w:val="0"/>
                          <w:divBdr>
                            <w:top w:val="none" w:sz="0" w:space="0" w:color="auto"/>
                            <w:left w:val="none" w:sz="0" w:space="0" w:color="auto"/>
                            <w:bottom w:val="none" w:sz="0" w:space="0" w:color="auto"/>
                            <w:right w:val="none" w:sz="0" w:space="0" w:color="auto"/>
                          </w:divBdr>
                          <w:divsChild>
                            <w:div w:id="1175148326">
                              <w:marLeft w:val="0"/>
                              <w:marRight w:val="0"/>
                              <w:marTop w:val="0"/>
                              <w:marBottom w:val="0"/>
                              <w:divBdr>
                                <w:top w:val="none" w:sz="0" w:space="0" w:color="auto"/>
                                <w:left w:val="none" w:sz="0" w:space="0" w:color="auto"/>
                                <w:bottom w:val="none" w:sz="0" w:space="0" w:color="auto"/>
                                <w:right w:val="none" w:sz="0" w:space="0" w:color="auto"/>
                              </w:divBdr>
                              <w:divsChild>
                                <w:div w:id="1159227815">
                                  <w:marLeft w:val="0"/>
                                  <w:marRight w:val="0"/>
                                  <w:marTop w:val="0"/>
                                  <w:marBottom w:val="0"/>
                                  <w:divBdr>
                                    <w:top w:val="none" w:sz="0" w:space="0" w:color="auto"/>
                                    <w:left w:val="none" w:sz="0" w:space="0" w:color="auto"/>
                                    <w:bottom w:val="none" w:sz="0" w:space="0" w:color="auto"/>
                                    <w:right w:val="none" w:sz="0" w:space="0" w:color="auto"/>
                                  </w:divBdr>
                                  <w:divsChild>
                                    <w:div w:id="730234750">
                                      <w:marLeft w:val="0"/>
                                      <w:marRight w:val="0"/>
                                      <w:marTop w:val="0"/>
                                      <w:marBottom w:val="0"/>
                                      <w:divBdr>
                                        <w:top w:val="none" w:sz="0" w:space="0" w:color="auto"/>
                                        <w:left w:val="none" w:sz="0" w:space="0" w:color="auto"/>
                                        <w:bottom w:val="none" w:sz="0" w:space="0" w:color="auto"/>
                                        <w:right w:val="none" w:sz="0" w:space="0" w:color="auto"/>
                                      </w:divBdr>
                                      <w:divsChild>
                                        <w:div w:id="1857497586">
                                          <w:marLeft w:val="0"/>
                                          <w:marRight w:val="0"/>
                                          <w:marTop w:val="0"/>
                                          <w:marBottom w:val="0"/>
                                          <w:divBdr>
                                            <w:top w:val="none" w:sz="0" w:space="0" w:color="auto"/>
                                            <w:left w:val="none" w:sz="0" w:space="0" w:color="auto"/>
                                            <w:bottom w:val="none" w:sz="0" w:space="0" w:color="auto"/>
                                            <w:right w:val="none" w:sz="0" w:space="0" w:color="auto"/>
                                          </w:divBdr>
                                          <w:divsChild>
                                            <w:div w:id="1833443867">
                                              <w:marLeft w:val="0"/>
                                              <w:marRight w:val="0"/>
                                              <w:marTop w:val="0"/>
                                              <w:marBottom w:val="0"/>
                                              <w:divBdr>
                                                <w:top w:val="none" w:sz="0" w:space="0" w:color="auto"/>
                                                <w:left w:val="none" w:sz="0" w:space="0" w:color="auto"/>
                                                <w:bottom w:val="none" w:sz="0" w:space="0" w:color="auto"/>
                                                <w:right w:val="none" w:sz="0" w:space="0" w:color="auto"/>
                                              </w:divBdr>
                                              <w:divsChild>
                                                <w:div w:id="1019627414">
                                                  <w:marLeft w:val="0"/>
                                                  <w:marRight w:val="0"/>
                                                  <w:marTop w:val="0"/>
                                                  <w:marBottom w:val="0"/>
                                                  <w:divBdr>
                                                    <w:top w:val="none" w:sz="0" w:space="0" w:color="auto"/>
                                                    <w:left w:val="none" w:sz="0" w:space="0" w:color="auto"/>
                                                    <w:bottom w:val="none" w:sz="0" w:space="0" w:color="auto"/>
                                                    <w:right w:val="none" w:sz="0" w:space="0" w:color="auto"/>
                                                  </w:divBdr>
                                                  <w:divsChild>
                                                    <w:div w:id="1805148872">
                                                      <w:marLeft w:val="0"/>
                                                      <w:marRight w:val="0"/>
                                                      <w:marTop w:val="0"/>
                                                      <w:marBottom w:val="0"/>
                                                      <w:divBdr>
                                                        <w:top w:val="none" w:sz="0" w:space="0" w:color="auto"/>
                                                        <w:left w:val="none" w:sz="0" w:space="0" w:color="auto"/>
                                                        <w:bottom w:val="none" w:sz="0" w:space="0" w:color="auto"/>
                                                        <w:right w:val="none" w:sz="0" w:space="0" w:color="auto"/>
                                                      </w:divBdr>
                                                      <w:divsChild>
                                                        <w:div w:id="419177338">
                                                          <w:marLeft w:val="0"/>
                                                          <w:marRight w:val="0"/>
                                                          <w:marTop w:val="0"/>
                                                          <w:marBottom w:val="0"/>
                                                          <w:divBdr>
                                                            <w:top w:val="none" w:sz="0" w:space="0" w:color="auto"/>
                                                            <w:left w:val="none" w:sz="0" w:space="0" w:color="auto"/>
                                                            <w:bottom w:val="none" w:sz="0" w:space="0" w:color="auto"/>
                                                            <w:right w:val="none" w:sz="0" w:space="0" w:color="auto"/>
                                                          </w:divBdr>
                                                        </w:div>
                                                        <w:div w:id="1087654953">
                                                          <w:marLeft w:val="0"/>
                                                          <w:marRight w:val="0"/>
                                                          <w:marTop w:val="0"/>
                                                          <w:marBottom w:val="0"/>
                                                          <w:divBdr>
                                                            <w:top w:val="none" w:sz="0" w:space="0" w:color="auto"/>
                                                            <w:left w:val="none" w:sz="0" w:space="0" w:color="auto"/>
                                                            <w:bottom w:val="none" w:sz="0" w:space="0" w:color="auto"/>
                                                            <w:right w:val="none" w:sz="0" w:space="0" w:color="auto"/>
                                                          </w:divBdr>
                                                          <w:divsChild>
                                                            <w:div w:id="19429084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0693105">
      <w:bodyDiv w:val="1"/>
      <w:marLeft w:val="0"/>
      <w:marRight w:val="0"/>
      <w:marTop w:val="0"/>
      <w:marBottom w:val="0"/>
      <w:divBdr>
        <w:top w:val="none" w:sz="0" w:space="0" w:color="auto"/>
        <w:left w:val="none" w:sz="0" w:space="0" w:color="auto"/>
        <w:bottom w:val="none" w:sz="0" w:space="0" w:color="auto"/>
        <w:right w:val="none" w:sz="0" w:space="0" w:color="auto"/>
      </w:divBdr>
      <w:divsChild>
        <w:div w:id="1297835335">
          <w:marLeft w:val="0"/>
          <w:marRight w:val="0"/>
          <w:marTop w:val="0"/>
          <w:marBottom w:val="0"/>
          <w:divBdr>
            <w:top w:val="single" w:sz="6" w:space="0" w:color="0E477A"/>
            <w:left w:val="single" w:sz="6" w:space="0" w:color="0E477A"/>
            <w:bottom w:val="single" w:sz="6" w:space="0" w:color="0E477A"/>
            <w:right w:val="single" w:sz="6" w:space="0" w:color="0E477A"/>
          </w:divBdr>
          <w:divsChild>
            <w:div w:id="2141263645">
              <w:marLeft w:val="2925"/>
              <w:marRight w:val="0"/>
              <w:marTop w:val="0"/>
              <w:marBottom w:val="0"/>
              <w:divBdr>
                <w:top w:val="none" w:sz="0" w:space="0" w:color="auto"/>
                <w:left w:val="none" w:sz="0" w:space="0" w:color="auto"/>
                <w:bottom w:val="none" w:sz="0" w:space="0" w:color="auto"/>
                <w:right w:val="none" w:sz="0" w:space="0" w:color="auto"/>
              </w:divBdr>
              <w:divsChild>
                <w:div w:id="2058237469">
                  <w:marLeft w:val="0"/>
                  <w:marRight w:val="0"/>
                  <w:marTop w:val="0"/>
                  <w:marBottom w:val="0"/>
                  <w:divBdr>
                    <w:top w:val="none" w:sz="0" w:space="0" w:color="auto"/>
                    <w:left w:val="none" w:sz="0" w:space="0" w:color="auto"/>
                    <w:bottom w:val="none" w:sz="0" w:space="0" w:color="auto"/>
                    <w:right w:val="none" w:sz="0" w:space="0" w:color="auto"/>
                  </w:divBdr>
                  <w:divsChild>
                    <w:div w:id="1926961253">
                      <w:marLeft w:val="0"/>
                      <w:marRight w:val="150"/>
                      <w:marTop w:val="0"/>
                      <w:marBottom w:val="0"/>
                      <w:divBdr>
                        <w:top w:val="single" w:sz="6" w:space="0" w:color="CCCCCC"/>
                        <w:left w:val="single" w:sz="6" w:space="8" w:color="CCCCCC"/>
                        <w:bottom w:val="single" w:sz="6" w:space="8" w:color="CCCCCC"/>
                        <w:right w:val="single" w:sz="6" w:space="8" w:color="CCCCCC"/>
                      </w:divBdr>
                      <w:divsChild>
                        <w:div w:id="1644697526">
                          <w:marLeft w:val="0"/>
                          <w:marRight w:val="0"/>
                          <w:marTop w:val="0"/>
                          <w:marBottom w:val="0"/>
                          <w:divBdr>
                            <w:top w:val="none" w:sz="0" w:space="0" w:color="auto"/>
                            <w:left w:val="none" w:sz="0" w:space="0" w:color="auto"/>
                            <w:bottom w:val="none" w:sz="0" w:space="0" w:color="auto"/>
                            <w:right w:val="none" w:sz="0" w:space="0" w:color="auto"/>
                          </w:divBdr>
                        </w:div>
                        <w:div w:id="687369260">
                          <w:marLeft w:val="0"/>
                          <w:marRight w:val="0"/>
                          <w:marTop w:val="0"/>
                          <w:marBottom w:val="0"/>
                          <w:divBdr>
                            <w:top w:val="none" w:sz="0" w:space="0" w:color="auto"/>
                            <w:left w:val="none" w:sz="0" w:space="0" w:color="auto"/>
                            <w:bottom w:val="none" w:sz="0" w:space="0" w:color="auto"/>
                            <w:right w:val="none" w:sz="0" w:space="0" w:color="auto"/>
                          </w:divBdr>
                        </w:div>
                        <w:div w:id="2013364200">
                          <w:marLeft w:val="0"/>
                          <w:marRight w:val="0"/>
                          <w:marTop w:val="0"/>
                          <w:marBottom w:val="0"/>
                          <w:divBdr>
                            <w:top w:val="none" w:sz="0" w:space="0" w:color="auto"/>
                            <w:left w:val="none" w:sz="0" w:space="0" w:color="auto"/>
                            <w:bottom w:val="none" w:sz="0" w:space="0" w:color="auto"/>
                            <w:right w:val="none" w:sz="0" w:space="0" w:color="auto"/>
                          </w:divBdr>
                        </w:div>
                        <w:div w:id="358360098">
                          <w:marLeft w:val="0"/>
                          <w:marRight w:val="0"/>
                          <w:marTop w:val="0"/>
                          <w:marBottom w:val="0"/>
                          <w:divBdr>
                            <w:top w:val="none" w:sz="0" w:space="0" w:color="auto"/>
                            <w:left w:val="none" w:sz="0" w:space="0" w:color="auto"/>
                            <w:bottom w:val="none" w:sz="0" w:space="0" w:color="auto"/>
                            <w:right w:val="none" w:sz="0" w:space="0" w:color="auto"/>
                          </w:divBdr>
                        </w:div>
                        <w:div w:id="818545160">
                          <w:marLeft w:val="0"/>
                          <w:marRight w:val="0"/>
                          <w:marTop w:val="0"/>
                          <w:marBottom w:val="0"/>
                          <w:divBdr>
                            <w:top w:val="none" w:sz="0" w:space="0" w:color="auto"/>
                            <w:left w:val="none" w:sz="0" w:space="0" w:color="auto"/>
                            <w:bottom w:val="none" w:sz="0" w:space="0" w:color="auto"/>
                            <w:right w:val="none" w:sz="0" w:space="0" w:color="auto"/>
                          </w:divBdr>
                        </w:div>
                        <w:div w:id="476322">
                          <w:marLeft w:val="0"/>
                          <w:marRight w:val="0"/>
                          <w:marTop w:val="0"/>
                          <w:marBottom w:val="0"/>
                          <w:divBdr>
                            <w:top w:val="none" w:sz="0" w:space="0" w:color="auto"/>
                            <w:left w:val="none" w:sz="0" w:space="0" w:color="auto"/>
                            <w:bottom w:val="none" w:sz="0" w:space="0" w:color="auto"/>
                            <w:right w:val="none" w:sz="0" w:space="0" w:color="auto"/>
                          </w:divBdr>
                        </w:div>
                        <w:div w:id="658264623">
                          <w:marLeft w:val="0"/>
                          <w:marRight w:val="0"/>
                          <w:marTop w:val="0"/>
                          <w:marBottom w:val="0"/>
                          <w:divBdr>
                            <w:top w:val="none" w:sz="0" w:space="0" w:color="auto"/>
                            <w:left w:val="none" w:sz="0" w:space="0" w:color="auto"/>
                            <w:bottom w:val="none" w:sz="0" w:space="0" w:color="auto"/>
                            <w:right w:val="none" w:sz="0" w:space="0" w:color="auto"/>
                          </w:divBdr>
                        </w:div>
                        <w:div w:id="2048794904">
                          <w:marLeft w:val="0"/>
                          <w:marRight w:val="0"/>
                          <w:marTop w:val="0"/>
                          <w:marBottom w:val="0"/>
                          <w:divBdr>
                            <w:top w:val="none" w:sz="0" w:space="0" w:color="auto"/>
                            <w:left w:val="none" w:sz="0" w:space="0" w:color="auto"/>
                            <w:bottom w:val="none" w:sz="0" w:space="0" w:color="auto"/>
                            <w:right w:val="none" w:sz="0" w:space="0" w:color="auto"/>
                          </w:divBdr>
                        </w:div>
                        <w:div w:id="738288935">
                          <w:marLeft w:val="0"/>
                          <w:marRight w:val="0"/>
                          <w:marTop w:val="0"/>
                          <w:marBottom w:val="0"/>
                          <w:divBdr>
                            <w:top w:val="none" w:sz="0" w:space="0" w:color="auto"/>
                            <w:left w:val="none" w:sz="0" w:space="0" w:color="auto"/>
                            <w:bottom w:val="none" w:sz="0" w:space="0" w:color="auto"/>
                            <w:right w:val="none" w:sz="0" w:space="0" w:color="auto"/>
                          </w:divBdr>
                        </w:div>
                        <w:div w:id="6329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06192">
      <w:bodyDiv w:val="1"/>
      <w:marLeft w:val="0"/>
      <w:marRight w:val="0"/>
      <w:marTop w:val="0"/>
      <w:marBottom w:val="0"/>
      <w:divBdr>
        <w:top w:val="none" w:sz="0" w:space="0" w:color="auto"/>
        <w:left w:val="none" w:sz="0" w:space="0" w:color="auto"/>
        <w:bottom w:val="none" w:sz="0" w:space="0" w:color="auto"/>
        <w:right w:val="none" w:sz="0" w:space="0" w:color="auto"/>
      </w:divBdr>
    </w:div>
    <w:div w:id="2023359230">
      <w:bodyDiv w:val="1"/>
      <w:marLeft w:val="0"/>
      <w:marRight w:val="0"/>
      <w:marTop w:val="0"/>
      <w:marBottom w:val="0"/>
      <w:divBdr>
        <w:top w:val="none" w:sz="0" w:space="0" w:color="auto"/>
        <w:left w:val="none" w:sz="0" w:space="0" w:color="auto"/>
        <w:bottom w:val="none" w:sz="0" w:space="0" w:color="auto"/>
        <w:right w:val="none" w:sz="0" w:space="0" w:color="auto"/>
      </w:divBdr>
      <w:divsChild>
        <w:div w:id="25251994">
          <w:marLeft w:val="0"/>
          <w:marRight w:val="0"/>
          <w:marTop w:val="0"/>
          <w:marBottom w:val="0"/>
          <w:divBdr>
            <w:top w:val="none" w:sz="0" w:space="0" w:color="auto"/>
            <w:left w:val="none" w:sz="0" w:space="0" w:color="auto"/>
            <w:bottom w:val="none" w:sz="0" w:space="0" w:color="auto"/>
            <w:right w:val="none" w:sz="0" w:space="0" w:color="auto"/>
          </w:divBdr>
        </w:div>
        <w:div w:id="1964847782">
          <w:marLeft w:val="0"/>
          <w:marRight w:val="0"/>
          <w:marTop w:val="0"/>
          <w:marBottom w:val="0"/>
          <w:divBdr>
            <w:top w:val="none" w:sz="0" w:space="0" w:color="auto"/>
            <w:left w:val="none" w:sz="0" w:space="0" w:color="auto"/>
            <w:bottom w:val="none" w:sz="0" w:space="0" w:color="auto"/>
            <w:right w:val="none" w:sz="0" w:space="0" w:color="auto"/>
          </w:divBdr>
        </w:div>
        <w:div w:id="315109784">
          <w:marLeft w:val="0"/>
          <w:marRight w:val="0"/>
          <w:marTop w:val="0"/>
          <w:marBottom w:val="0"/>
          <w:divBdr>
            <w:top w:val="none" w:sz="0" w:space="0" w:color="auto"/>
            <w:left w:val="none" w:sz="0" w:space="0" w:color="auto"/>
            <w:bottom w:val="none" w:sz="0" w:space="0" w:color="auto"/>
            <w:right w:val="none" w:sz="0" w:space="0" w:color="auto"/>
          </w:divBdr>
        </w:div>
        <w:div w:id="588579991">
          <w:marLeft w:val="0"/>
          <w:marRight w:val="0"/>
          <w:marTop w:val="0"/>
          <w:marBottom w:val="0"/>
          <w:divBdr>
            <w:top w:val="none" w:sz="0" w:space="0" w:color="auto"/>
            <w:left w:val="none" w:sz="0" w:space="0" w:color="auto"/>
            <w:bottom w:val="none" w:sz="0" w:space="0" w:color="auto"/>
            <w:right w:val="none" w:sz="0" w:space="0" w:color="auto"/>
          </w:divBdr>
        </w:div>
      </w:divsChild>
    </w:div>
    <w:div w:id="2023586176">
      <w:bodyDiv w:val="1"/>
      <w:marLeft w:val="0"/>
      <w:marRight w:val="0"/>
      <w:marTop w:val="0"/>
      <w:marBottom w:val="0"/>
      <w:divBdr>
        <w:top w:val="none" w:sz="0" w:space="0" w:color="auto"/>
        <w:left w:val="none" w:sz="0" w:space="0" w:color="auto"/>
        <w:bottom w:val="none" w:sz="0" w:space="0" w:color="auto"/>
        <w:right w:val="none" w:sz="0" w:space="0" w:color="auto"/>
      </w:divBdr>
      <w:divsChild>
        <w:div w:id="870725676">
          <w:marLeft w:val="0"/>
          <w:marRight w:val="0"/>
          <w:marTop w:val="0"/>
          <w:marBottom w:val="0"/>
          <w:divBdr>
            <w:top w:val="none" w:sz="0" w:space="0" w:color="auto"/>
            <w:left w:val="none" w:sz="0" w:space="0" w:color="auto"/>
            <w:bottom w:val="none" w:sz="0" w:space="0" w:color="auto"/>
            <w:right w:val="none" w:sz="0" w:space="0" w:color="auto"/>
          </w:divBdr>
          <w:divsChild>
            <w:div w:id="784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8059">
      <w:bodyDiv w:val="1"/>
      <w:marLeft w:val="0"/>
      <w:marRight w:val="0"/>
      <w:marTop w:val="0"/>
      <w:marBottom w:val="0"/>
      <w:divBdr>
        <w:top w:val="none" w:sz="0" w:space="0" w:color="auto"/>
        <w:left w:val="none" w:sz="0" w:space="0" w:color="auto"/>
        <w:bottom w:val="none" w:sz="0" w:space="0" w:color="auto"/>
        <w:right w:val="none" w:sz="0" w:space="0" w:color="auto"/>
      </w:divBdr>
      <w:divsChild>
        <w:div w:id="1086075097">
          <w:marLeft w:val="0"/>
          <w:marRight w:val="0"/>
          <w:marTop w:val="0"/>
          <w:marBottom w:val="0"/>
          <w:divBdr>
            <w:top w:val="none" w:sz="0" w:space="0" w:color="auto"/>
            <w:left w:val="none" w:sz="0" w:space="0" w:color="auto"/>
            <w:bottom w:val="none" w:sz="0" w:space="0" w:color="auto"/>
            <w:right w:val="none" w:sz="0" w:space="0" w:color="auto"/>
          </w:divBdr>
          <w:divsChild>
            <w:div w:id="2123960746">
              <w:marLeft w:val="0"/>
              <w:marRight w:val="0"/>
              <w:marTop w:val="150"/>
              <w:marBottom w:val="0"/>
              <w:divBdr>
                <w:top w:val="none" w:sz="0" w:space="0" w:color="auto"/>
                <w:left w:val="none" w:sz="0" w:space="0" w:color="auto"/>
                <w:bottom w:val="none" w:sz="0" w:space="0" w:color="auto"/>
                <w:right w:val="none" w:sz="0" w:space="0" w:color="auto"/>
              </w:divBdr>
              <w:divsChild>
                <w:div w:id="1044868837">
                  <w:marLeft w:val="0"/>
                  <w:marRight w:val="0"/>
                  <w:marTop w:val="0"/>
                  <w:marBottom w:val="0"/>
                  <w:divBdr>
                    <w:top w:val="none" w:sz="0" w:space="0" w:color="auto"/>
                    <w:left w:val="none" w:sz="0" w:space="0" w:color="auto"/>
                    <w:bottom w:val="none" w:sz="0" w:space="0" w:color="auto"/>
                    <w:right w:val="none" w:sz="0" w:space="0" w:color="auto"/>
                  </w:divBdr>
                  <w:divsChild>
                    <w:div w:id="817262094">
                      <w:marLeft w:val="0"/>
                      <w:marRight w:val="0"/>
                      <w:marTop w:val="0"/>
                      <w:marBottom w:val="0"/>
                      <w:divBdr>
                        <w:top w:val="none" w:sz="0" w:space="0" w:color="auto"/>
                        <w:left w:val="none" w:sz="0" w:space="0" w:color="auto"/>
                        <w:bottom w:val="none" w:sz="0" w:space="0" w:color="auto"/>
                        <w:right w:val="none" w:sz="0" w:space="0" w:color="auto"/>
                      </w:divBdr>
                      <w:divsChild>
                        <w:div w:id="19866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894145">
      <w:bodyDiv w:val="1"/>
      <w:marLeft w:val="0"/>
      <w:marRight w:val="0"/>
      <w:marTop w:val="0"/>
      <w:marBottom w:val="0"/>
      <w:divBdr>
        <w:top w:val="none" w:sz="0" w:space="0" w:color="auto"/>
        <w:left w:val="none" w:sz="0" w:space="0" w:color="auto"/>
        <w:bottom w:val="none" w:sz="0" w:space="0" w:color="auto"/>
        <w:right w:val="none" w:sz="0" w:space="0" w:color="auto"/>
      </w:divBdr>
      <w:divsChild>
        <w:div w:id="1212232033">
          <w:marLeft w:val="0"/>
          <w:marRight w:val="0"/>
          <w:marTop w:val="0"/>
          <w:marBottom w:val="0"/>
          <w:divBdr>
            <w:top w:val="none" w:sz="0" w:space="0" w:color="auto"/>
            <w:left w:val="none" w:sz="0" w:space="0" w:color="auto"/>
            <w:bottom w:val="none" w:sz="0" w:space="0" w:color="auto"/>
            <w:right w:val="none" w:sz="0" w:space="0" w:color="auto"/>
          </w:divBdr>
          <w:divsChild>
            <w:div w:id="1399858724">
              <w:marLeft w:val="0"/>
              <w:marRight w:val="0"/>
              <w:marTop w:val="0"/>
              <w:marBottom w:val="0"/>
              <w:divBdr>
                <w:top w:val="none" w:sz="0" w:space="0" w:color="auto"/>
                <w:left w:val="none" w:sz="0" w:space="0" w:color="auto"/>
                <w:bottom w:val="none" w:sz="0" w:space="0" w:color="auto"/>
                <w:right w:val="none" w:sz="0" w:space="0" w:color="auto"/>
              </w:divBdr>
              <w:divsChild>
                <w:div w:id="442728062">
                  <w:marLeft w:val="0"/>
                  <w:marRight w:val="0"/>
                  <w:marTop w:val="100"/>
                  <w:marBottom w:val="100"/>
                  <w:divBdr>
                    <w:top w:val="none" w:sz="0" w:space="0" w:color="auto"/>
                    <w:left w:val="none" w:sz="0" w:space="0" w:color="auto"/>
                    <w:bottom w:val="none" w:sz="0" w:space="0" w:color="auto"/>
                    <w:right w:val="none" w:sz="0" w:space="0" w:color="auto"/>
                  </w:divBdr>
                  <w:divsChild>
                    <w:div w:id="852914535">
                      <w:marLeft w:val="0"/>
                      <w:marRight w:val="0"/>
                      <w:marTop w:val="0"/>
                      <w:marBottom w:val="0"/>
                      <w:divBdr>
                        <w:top w:val="none" w:sz="0" w:space="0" w:color="auto"/>
                        <w:left w:val="none" w:sz="0" w:space="0" w:color="auto"/>
                        <w:bottom w:val="none" w:sz="0" w:space="0" w:color="auto"/>
                        <w:right w:val="none" w:sz="0" w:space="0" w:color="auto"/>
                      </w:divBdr>
                      <w:divsChild>
                        <w:div w:id="276300548">
                          <w:marLeft w:val="0"/>
                          <w:marRight w:val="0"/>
                          <w:marTop w:val="0"/>
                          <w:marBottom w:val="0"/>
                          <w:divBdr>
                            <w:top w:val="none" w:sz="0" w:space="0" w:color="auto"/>
                            <w:left w:val="none" w:sz="0" w:space="0" w:color="auto"/>
                            <w:bottom w:val="none" w:sz="0" w:space="0" w:color="auto"/>
                            <w:right w:val="none" w:sz="0" w:space="0" w:color="auto"/>
                          </w:divBdr>
                          <w:divsChild>
                            <w:div w:id="1854226443">
                              <w:marLeft w:val="0"/>
                              <w:marRight w:val="0"/>
                              <w:marTop w:val="0"/>
                              <w:marBottom w:val="0"/>
                              <w:divBdr>
                                <w:top w:val="none" w:sz="0" w:space="0" w:color="auto"/>
                                <w:left w:val="none" w:sz="0" w:space="0" w:color="auto"/>
                                <w:bottom w:val="none" w:sz="0" w:space="0" w:color="auto"/>
                                <w:right w:val="none" w:sz="0" w:space="0" w:color="auto"/>
                              </w:divBdr>
                              <w:divsChild>
                                <w:div w:id="1731608540">
                                  <w:marLeft w:val="0"/>
                                  <w:marRight w:val="0"/>
                                  <w:marTop w:val="0"/>
                                  <w:marBottom w:val="0"/>
                                  <w:divBdr>
                                    <w:top w:val="none" w:sz="0" w:space="0" w:color="auto"/>
                                    <w:left w:val="none" w:sz="0" w:space="0" w:color="auto"/>
                                    <w:bottom w:val="none" w:sz="0" w:space="0" w:color="auto"/>
                                    <w:right w:val="none" w:sz="0" w:space="0" w:color="auto"/>
                                  </w:divBdr>
                                  <w:divsChild>
                                    <w:div w:id="565261672">
                                      <w:marLeft w:val="0"/>
                                      <w:marRight w:val="0"/>
                                      <w:marTop w:val="0"/>
                                      <w:marBottom w:val="0"/>
                                      <w:divBdr>
                                        <w:top w:val="none" w:sz="0" w:space="0" w:color="auto"/>
                                        <w:left w:val="none" w:sz="0" w:space="0" w:color="auto"/>
                                        <w:bottom w:val="none" w:sz="0" w:space="0" w:color="auto"/>
                                        <w:right w:val="none" w:sz="0" w:space="0" w:color="auto"/>
                                      </w:divBdr>
                                      <w:divsChild>
                                        <w:div w:id="1615474455">
                                          <w:marLeft w:val="0"/>
                                          <w:marRight w:val="0"/>
                                          <w:marTop w:val="0"/>
                                          <w:marBottom w:val="0"/>
                                          <w:divBdr>
                                            <w:top w:val="none" w:sz="0" w:space="0" w:color="auto"/>
                                            <w:left w:val="none" w:sz="0" w:space="0" w:color="auto"/>
                                            <w:bottom w:val="none" w:sz="0" w:space="0" w:color="auto"/>
                                            <w:right w:val="none" w:sz="0" w:space="0" w:color="auto"/>
                                          </w:divBdr>
                                          <w:divsChild>
                                            <w:div w:id="870723213">
                                              <w:marLeft w:val="0"/>
                                              <w:marRight w:val="0"/>
                                              <w:marTop w:val="0"/>
                                              <w:marBottom w:val="0"/>
                                              <w:divBdr>
                                                <w:top w:val="single" w:sz="6" w:space="0" w:color="B6D444"/>
                                                <w:left w:val="none" w:sz="0" w:space="0" w:color="auto"/>
                                                <w:bottom w:val="none" w:sz="0" w:space="0" w:color="auto"/>
                                                <w:right w:val="none" w:sz="0" w:space="0" w:color="auto"/>
                                              </w:divBdr>
                                              <w:divsChild>
                                                <w:div w:id="16046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45661">
      <w:bodyDiv w:val="1"/>
      <w:marLeft w:val="0"/>
      <w:marRight w:val="0"/>
      <w:marTop w:val="0"/>
      <w:marBottom w:val="0"/>
      <w:divBdr>
        <w:top w:val="none" w:sz="0" w:space="0" w:color="auto"/>
        <w:left w:val="none" w:sz="0" w:space="0" w:color="auto"/>
        <w:bottom w:val="none" w:sz="0" w:space="0" w:color="auto"/>
        <w:right w:val="none" w:sz="0" w:space="0" w:color="auto"/>
      </w:divBdr>
      <w:divsChild>
        <w:div w:id="2097938657">
          <w:marLeft w:val="0"/>
          <w:marRight w:val="0"/>
          <w:marTop w:val="0"/>
          <w:marBottom w:val="0"/>
          <w:divBdr>
            <w:top w:val="none" w:sz="0" w:space="0" w:color="auto"/>
            <w:left w:val="none" w:sz="0" w:space="0" w:color="auto"/>
            <w:bottom w:val="none" w:sz="0" w:space="0" w:color="auto"/>
            <w:right w:val="none" w:sz="0" w:space="0" w:color="auto"/>
          </w:divBdr>
          <w:divsChild>
            <w:div w:id="1310673495">
              <w:marLeft w:val="-300"/>
              <w:marRight w:val="-300"/>
              <w:marTop w:val="0"/>
              <w:marBottom w:val="0"/>
              <w:divBdr>
                <w:top w:val="none" w:sz="0" w:space="0" w:color="auto"/>
                <w:left w:val="none" w:sz="0" w:space="0" w:color="auto"/>
                <w:bottom w:val="none" w:sz="0" w:space="0" w:color="auto"/>
                <w:right w:val="none" w:sz="0" w:space="0" w:color="auto"/>
              </w:divBdr>
              <w:divsChild>
                <w:div w:id="34433160">
                  <w:marLeft w:val="1749"/>
                  <w:marRight w:val="0"/>
                  <w:marTop w:val="0"/>
                  <w:marBottom w:val="0"/>
                  <w:divBdr>
                    <w:top w:val="none" w:sz="0" w:space="0" w:color="auto"/>
                    <w:left w:val="none" w:sz="0" w:space="0" w:color="auto"/>
                    <w:bottom w:val="none" w:sz="0" w:space="0" w:color="auto"/>
                    <w:right w:val="none" w:sz="0" w:space="0" w:color="auto"/>
                  </w:divBdr>
                  <w:divsChild>
                    <w:div w:id="467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5759">
          <w:marLeft w:val="0"/>
          <w:marRight w:val="0"/>
          <w:marTop w:val="0"/>
          <w:marBottom w:val="0"/>
          <w:divBdr>
            <w:top w:val="none" w:sz="0" w:space="0" w:color="auto"/>
            <w:left w:val="none" w:sz="0" w:space="0" w:color="auto"/>
            <w:bottom w:val="none" w:sz="0" w:space="0" w:color="auto"/>
            <w:right w:val="none" w:sz="0" w:space="0" w:color="auto"/>
          </w:divBdr>
          <w:divsChild>
            <w:div w:id="697197581">
              <w:marLeft w:val="-300"/>
              <w:marRight w:val="-300"/>
              <w:marTop w:val="0"/>
              <w:marBottom w:val="0"/>
              <w:divBdr>
                <w:top w:val="none" w:sz="0" w:space="0" w:color="auto"/>
                <w:left w:val="none" w:sz="0" w:space="0" w:color="auto"/>
                <w:bottom w:val="none" w:sz="0" w:space="0" w:color="auto"/>
                <w:right w:val="none" w:sz="0" w:space="0" w:color="auto"/>
              </w:divBdr>
              <w:divsChild>
                <w:div w:id="1729306580">
                  <w:marLeft w:val="1749"/>
                  <w:marRight w:val="0"/>
                  <w:marTop w:val="0"/>
                  <w:marBottom w:val="0"/>
                  <w:divBdr>
                    <w:top w:val="none" w:sz="0" w:space="0" w:color="auto"/>
                    <w:left w:val="none" w:sz="0" w:space="0" w:color="auto"/>
                    <w:bottom w:val="none" w:sz="0" w:space="0" w:color="auto"/>
                    <w:right w:val="none" w:sz="0" w:space="0" w:color="auto"/>
                  </w:divBdr>
                  <w:divsChild>
                    <w:div w:id="1231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09724">
          <w:marLeft w:val="0"/>
          <w:marRight w:val="0"/>
          <w:marTop w:val="0"/>
          <w:marBottom w:val="0"/>
          <w:divBdr>
            <w:top w:val="none" w:sz="0" w:space="0" w:color="auto"/>
            <w:left w:val="none" w:sz="0" w:space="0" w:color="auto"/>
            <w:bottom w:val="none" w:sz="0" w:space="0" w:color="auto"/>
            <w:right w:val="none" w:sz="0" w:space="0" w:color="auto"/>
          </w:divBdr>
          <w:divsChild>
            <w:div w:id="613562137">
              <w:marLeft w:val="-300"/>
              <w:marRight w:val="-300"/>
              <w:marTop w:val="0"/>
              <w:marBottom w:val="0"/>
              <w:divBdr>
                <w:top w:val="none" w:sz="0" w:space="0" w:color="auto"/>
                <w:left w:val="none" w:sz="0" w:space="0" w:color="auto"/>
                <w:bottom w:val="none" w:sz="0" w:space="0" w:color="auto"/>
                <w:right w:val="none" w:sz="0" w:space="0" w:color="auto"/>
              </w:divBdr>
              <w:divsChild>
                <w:div w:id="1623879161">
                  <w:marLeft w:val="1749"/>
                  <w:marRight w:val="0"/>
                  <w:marTop w:val="0"/>
                  <w:marBottom w:val="0"/>
                  <w:divBdr>
                    <w:top w:val="none" w:sz="0" w:space="0" w:color="auto"/>
                    <w:left w:val="none" w:sz="0" w:space="0" w:color="auto"/>
                    <w:bottom w:val="none" w:sz="0" w:space="0" w:color="auto"/>
                    <w:right w:val="none" w:sz="0" w:space="0" w:color="auto"/>
                  </w:divBdr>
                  <w:divsChild>
                    <w:div w:id="1182891656">
                      <w:marLeft w:val="0"/>
                      <w:marRight w:val="0"/>
                      <w:marTop w:val="0"/>
                      <w:marBottom w:val="0"/>
                      <w:divBdr>
                        <w:top w:val="none" w:sz="0" w:space="0" w:color="auto"/>
                        <w:left w:val="none" w:sz="0" w:space="0" w:color="auto"/>
                        <w:bottom w:val="none" w:sz="0" w:space="0" w:color="auto"/>
                        <w:right w:val="none" w:sz="0" w:space="0" w:color="auto"/>
                      </w:divBdr>
                      <w:divsChild>
                        <w:div w:id="53088670">
                          <w:marLeft w:val="0"/>
                          <w:marRight w:val="0"/>
                          <w:marTop w:val="0"/>
                          <w:marBottom w:val="0"/>
                          <w:divBdr>
                            <w:top w:val="none" w:sz="0" w:space="0" w:color="auto"/>
                            <w:left w:val="none" w:sz="0" w:space="0" w:color="auto"/>
                            <w:bottom w:val="none" w:sz="0" w:space="0" w:color="auto"/>
                            <w:right w:val="none" w:sz="0" w:space="0" w:color="auto"/>
                          </w:divBdr>
                          <w:divsChild>
                            <w:div w:id="1841967061">
                              <w:marLeft w:val="-300"/>
                              <w:marRight w:val="-300"/>
                              <w:marTop w:val="0"/>
                              <w:marBottom w:val="0"/>
                              <w:divBdr>
                                <w:top w:val="none" w:sz="0" w:space="0" w:color="auto"/>
                                <w:left w:val="none" w:sz="0" w:space="0" w:color="auto"/>
                                <w:bottom w:val="none" w:sz="0" w:space="0" w:color="auto"/>
                                <w:right w:val="none" w:sz="0" w:space="0" w:color="auto"/>
                              </w:divBdr>
                              <w:divsChild>
                                <w:div w:id="843327577">
                                  <w:marLeft w:val="677"/>
                                  <w:marRight w:val="0"/>
                                  <w:marTop w:val="0"/>
                                  <w:marBottom w:val="0"/>
                                  <w:divBdr>
                                    <w:top w:val="none" w:sz="0" w:space="0" w:color="auto"/>
                                    <w:left w:val="none" w:sz="0" w:space="0" w:color="auto"/>
                                    <w:bottom w:val="none" w:sz="0" w:space="0" w:color="auto"/>
                                    <w:right w:val="none" w:sz="0" w:space="0" w:color="auto"/>
                                  </w:divBdr>
                                  <w:divsChild>
                                    <w:div w:id="10061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27743">
                          <w:marLeft w:val="0"/>
                          <w:marRight w:val="0"/>
                          <w:marTop w:val="0"/>
                          <w:marBottom w:val="0"/>
                          <w:divBdr>
                            <w:top w:val="none" w:sz="0" w:space="0" w:color="auto"/>
                            <w:left w:val="none" w:sz="0" w:space="0" w:color="auto"/>
                            <w:bottom w:val="none" w:sz="0" w:space="0" w:color="auto"/>
                            <w:right w:val="none" w:sz="0" w:space="0" w:color="auto"/>
                          </w:divBdr>
                          <w:divsChild>
                            <w:div w:id="1017120763">
                              <w:marLeft w:val="-300"/>
                              <w:marRight w:val="-300"/>
                              <w:marTop w:val="0"/>
                              <w:marBottom w:val="0"/>
                              <w:divBdr>
                                <w:top w:val="none" w:sz="0" w:space="0" w:color="auto"/>
                                <w:left w:val="none" w:sz="0" w:space="0" w:color="auto"/>
                                <w:bottom w:val="none" w:sz="0" w:space="0" w:color="auto"/>
                                <w:right w:val="none" w:sz="0" w:space="0" w:color="auto"/>
                              </w:divBdr>
                              <w:divsChild>
                                <w:div w:id="37433856">
                                  <w:marLeft w:val="677"/>
                                  <w:marRight w:val="0"/>
                                  <w:marTop w:val="0"/>
                                  <w:marBottom w:val="0"/>
                                  <w:divBdr>
                                    <w:top w:val="none" w:sz="0" w:space="0" w:color="auto"/>
                                    <w:left w:val="none" w:sz="0" w:space="0" w:color="auto"/>
                                    <w:bottom w:val="none" w:sz="0" w:space="0" w:color="auto"/>
                                    <w:right w:val="none" w:sz="0" w:space="0" w:color="auto"/>
                                  </w:divBdr>
                                  <w:divsChild>
                                    <w:div w:id="18883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78658">
                          <w:marLeft w:val="0"/>
                          <w:marRight w:val="0"/>
                          <w:marTop w:val="0"/>
                          <w:marBottom w:val="0"/>
                          <w:divBdr>
                            <w:top w:val="none" w:sz="0" w:space="0" w:color="auto"/>
                            <w:left w:val="none" w:sz="0" w:space="0" w:color="auto"/>
                            <w:bottom w:val="none" w:sz="0" w:space="0" w:color="auto"/>
                            <w:right w:val="none" w:sz="0" w:space="0" w:color="auto"/>
                          </w:divBdr>
                          <w:divsChild>
                            <w:div w:id="884482797">
                              <w:marLeft w:val="-300"/>
                              <w:marRight w:val="-300"/>
                              <w:marTop w:val="0"/>
                              <w:marBottom w:val="0"/>
                              <w:divBdr>
                                <w:top w:val="none" w:sz="0" w:space="0" w:color="auto"/>
                                <w:left w:val="none" w:sz="0" w:space="0" w:color="auto"/>
                                <w:bottom w:val="none" w:sz="0" w:space="0" w:color="auto"/>
                                <w:right w:val="none" w:sz="0" w:space="0" w:color="auto"/>
                              </w:divBdr>
                              <w:divsChild>
                                <w:div w:id="859585038">
                                  <w:marLeft w:val="677"/>
                                  <w:marRight w:val="0"/>
                                  <w:marTop w:val="0"/>
                                  <w:marBottom w:val="0"/>
                                  <w:divBdr>
                                    <w:top w:val="none" w:sz="0" w:space="0" w:color="auto"/>
                                    <w:left w:val="none" w:sz="0" w:space="0" w:color="auto"/>
                                    <w:bottom w:val="none" w:sz="0" w:space="0" w:color="auto"/>
                                    <w:right w:val="none" w:sz="0" w:space="0" w:color="auto"/>
                                  </w:divBdr>
                                  <w:divsChild>
                                    <w:div w:id="5136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100481">
      <w:bodyDiv w:val="1"/>
      <w:marLeft w:val="0"/>
      <w:marRight w:val="0"/>
      <w:marTop w:val="0"/>
      <w:marBottom w:val="0"/>
      <w:divBdr>
        <w:top w:val="none" w:sz="0" w:space="0" w:color="auto"/>
        <w:left w:val="none" w:sz="0" w:space="0" w:color="auto"/>
        <w:bottom w:val="none" w:sz="0" w:space="0" w:color="auto"/>
        <w:right w:val="none" w:sz="0" w:space="0" w:color="auto"/>
      </w:divBdr>
      <w:divsChild>
        <w:div w:id="65691297">
          <w:marLeft w:val="0"/>
          <w:marRight w:val="0"/>
          <w:marTop w:val="0"/>
          <w:marBottom w:val="0"/>
          <w:divBdr>
            <w:top w:val="none" w:sz="0" w:space="0" w:color="auto"/>
            <w:left w:val="none" w:sz="0" w:space="0" w:color="auto"/>
            <w:bottom w:val="none" w:sz="0" w:space="0" w:color="auto"/>
            <w:right w:val="none" w:sz="0" w:space="0" w:color="auto"/>
          </w:divBdr>
          <w:divsChild>
            <w:div w:id="35204539">
              <w:marLeft w:val="-225"/>
              <w:marRight w:val="-225"/>
              <w:marTop w:val="0"/>
              <w:marBottom w:val="0"/>
              <w:divBdr>
                <w:top w:val="none" w:sz="0" w:space="0" w:color="auto"/>
                <w:left w:val="none" w:sz="0" w:space="0" w:color="auto"/>
                <w:bottom w:val="none" w:sz="0" w:space="0" w:color="auto"/>
                <w:right w:val="none" w:sz="0" w:space="0" w:color="auto"/>
              </w:divBdr>
              <w:divsChild>
                <w:div w:id="10850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26171">
      <w:bodyDiv w:val="1"/>
      <w:marLeft w:val="0"/>
      <w:marRight w:val="0"/>
      <w:marTop w:val="0"/>
      <w:marBottom w:val="0"/>
      <w:divBdr>
        <w:top w:val="none" w:sz="0" w:space="0" w:color="auto"/>
        <w:left w:val="none" w:sz="0" w:space="0" w:color="auto"/>
        <w:bottom w:val="none" w:sz="0" w:space="0" w:color="auto"/>
        <w:right w:val="none" w:sz="0" w:space="0" w:color="auto"/>
      </w:divBdr>
    </w:div>
    <w:div w:id="2027712416">
      <w:bodyDiv w:val="1"/>
      <w:marLeft w:val="0"/>
      <w:marRight w:val="0"/>
      <w:marTop w:val="0"/>
      <w:marBottom w:val="0"/>
      <w:divBdr>
        <w:top w:val="none" w:sz="0" w:space="0" w:color="auto"/>
        <w:left w:val="none" w:sz="0" w:space="0" w:color="auto"/>
        <w:bottom w:val="none" w:sz="0" w:space="0" w:color="auto"/>
        <w:right w:val="none" w:sz="0" w:space="0" w:color="auto"/>
      </w:divBdr>
      <w:divsChild>
        <w:div w:id="1727988299">
          <w:marLeft w:val="0"/>
          <w:marRight w:val="0"/>
          <w:marTop w:val="0"/>
          <w:marBottom w:val="0"/>
          <w:divBdr>
            <w:top w:val="none" w:sz="0" w:space="0" w:color="auto"/>
            <w:left w:val="none" w:sz="0" w:space="0" w:color="auto"/>
            <w:bottom w:val="none" w:sz="0" w:space="0" w:color="auto"/>
            <w:right w:val="none" w:sz="0" w:space="0" w:color="auto"/>
          </w:divBdr>
          <w:divsChild>
            <w:div w:id="206650712">
              <w:marLeft w:val="2"/>
              <w:marRight w:val="2"/>
              <w:marTop w:val="0"/>
              <w:marBottom w:val="0"/>
              <w:divBdr>
                <w:top w:val="none" w:sz="0" w:space="0" w:color="auto"/>
                <w:left w:val="none" w:sz="0" w:space="0" w:color="auto"/>
                <w:bottom w:val="none" w:sz="0" w:space="0" w:color="auto"/>
                <w:right w:val="none" w:sz="0" w:space="0" w:color="auto"/>
              </w:divBdr>
              <w:divsChild>
                <w:div w:id="19473311">
                  <w:marLeft w:val="0"/>
                  <w:marRight w:val="0"/>
                  <w:marTop w:val="0"/>
                  <w:marBottom w:val="0"/>
                  <w:divBdr>
                    <w:top w:val="none" w:sz="0" w:space="0" w:color="auto"/>
                    <w:left w:val="none" w:sz="0" w:space="0" w:color="auto"/>
                    <w:bottom w:val="none" w:sz="0" w:space="0" w:color="auto"/>
                    <w:right w:val="none" w:sz="0" w:space="0" w:color="auto"/>
                  </w:divBdr>
                  <w:divsChild>
                    <w:div w:id="143746028">
                      <w:marLeft w:val="0"/>
                      <w:marRight w:val="0"/>
                      <w:marTop w:val="0"/>
                      <w:marBottom w:val="0"/>
                      <w:divBdr>
                        <w:top w:val="none" w:sz="0" w:space="0" w:color="auto"/>
                        <w:left w:val="none" w:sz="0" w:space="0" w:color="auto"/>
                        <w:bottom w:val="none" w:sz="0" w:space="0" w:color="auto"/>
                        <w:right w:val="none" w:sz="0" w:space="0" w:color="auto"/>
                      </w:divBdr>
                      <w:divsChild>
                        <w:div w:id="1886335223">
                          <w:marLeft w:val="0"/>
                          <w:marRight w:val="0"/>
                          <w:marTop w:val="0"/>
                          <w:marBottom w:val="0"/>
                          <w:divBdr>
                            <w:top w:val="none" w:sz="0" w:space="0" w:color="auto"/>
                            <w:left w:val="none" w:sz="0" w:space="0" w:color="auto"/>
                            <w:bottom w:val="none" w:sz="0" w:space="0" w:color="auto"/>
                            <w:right w:val="none" w:sz="0" w:space="0" w:color="auto"/>
                          </w:divBdr>
                          <w:divsChild>
                            <w:div w:id="356808922">
                              <w:marLeft w:val="0"/>
                              <w:marRight w:val="0"/>
                              <w:marTop w:val="0"/>
                              <w:marBottom w:val="0"/>
                              <w:divBdr>
                                <w:top w:val="none" w:sz="0" w:space="0" w:color="auto"/>
                                <w:left w:val="none" w:sz="0" w:space="0" w:color="auto"/>
                                <w:bottom w:val="none" w:sz="0" w:space="0" w:color="auto"/>
                                <w:right w:val="none" w:sz="0" w:space="0" w:color="auto"/>
                              </w:divBdr>
                              <w:divsChild>
                                <w:div w:id="1521356781">
                                  <w:marLeft w:val="0"/>
                                  <w:marRight w:val="0"/>
                                  <w:marTop w:val="0"/>
                                  <w:marBottom w:val="0"/>
                                  <w:divBdr>
                                    <w:top w:val="none" w:sz="0" w:space="0" w:color="auto"/>
                                    <w:left w:val="none" w:sz="0" w:space="0" w:color="auto"/>
                                    <w:bottom w:val="none" w:sz="0" w:space="0" w:color="auto"/>
                                    <w:right w:val="none" w:sz="0" w:space="0" w:color="auto"/>
                                  </w:divBdr>
                                  <w:divsChild>
                                    <w:div w:id="271744231">
                                      <w:marLeft w:val="0"/>
                                      <w:marRight w:val="0"/>
                                      <w:marTop w:val="0"/>
                                      <w:marBottom w:val="0"/>
                                      <w:divBdr>
                                        <w:top w:val="none" w:sz="0" w:space="0" w:color="auto"/>
                                        <w:left w:val="none" w:sz="0" w:space="0" w:color="auto"/>
                                        <w:bottom w:val="none" w:sz="0" w:space="0" w:color="auto"/>
                                        <w:right w:val="none" w:sz="0" w:space="0" w:color="auto"/>
                                      </w:divBdr>
                                      <w:divsChild>
                                        <w:div w:id="2104641538">
                                          <w:marLeft w:val="0"/>
                                          <w:marRight w:val="0"/>
                                          <w:marTop w:val="0"/>
                                          <w:marBottom w:val="0"/>
                                          <w:divBdr>
                                            <w:top w:val="none" w:sz="0" w:space="0" w:color="auto"/>
                                            <w:left w:val="none" w:sz="0" w:space="0" w:color="auto"/>
                                            <w:bottom w:val="none" w:sz="0" w:space="0" w:color="auto"/>
                                            <w:right w:val="none" w:sz="0" w:space="0" w:color="auto"/>
                                          </w:divBdr>
                                          <w:divsChild>
                                            <w:div w:id="395669191">
                                              <w:marLeft w:val="0"/>
                                              <w:marRight w:val="0"/>
                                              <w:marTop w:val="0"/>
                                              <w:marBottom w:val="0"/>
                                              <w:divBdr>
                                                <w:top w:val="none" w:sz="0" w:space="0" w:color="auto"/>
                                                <w:left w:val="none" w:sz="0" w:space="0" w:color="auto"/>
                                                <w:bottom w:val="none" w:sz="0" w:space="0" w:color="auto"/>
                                                <w:right w:val="none" w:sz="0" w:space="0" w:color="auto"/>
                                              </w:divBdr>
                                            </w:div>
                                          </w:divsChild>
                                        </w:div>
                                        <w:div w:id="768819989">
                                          <w:marLeft w:val="0"/>
                                          <w:marRight w:val="0"/>
                                          <w:marTop w:val="0"/>
                                          <w:marBottom w:val="0"/>
                                          <w:divBdr>
                                            <w:top w:val="none" w:sz="0" w:space="0" w:color="auto"/>
                                            <w:left w:val="none" w:sz="0" w:space="0" w:color="auto"/>
                                            <w:bottom w:val="none" w:sz="0" w:space="0" w:color="auto"/>
                                            <w:right w:val="none" w:sz="0" w:space="0" w:color="auto"/>
                                          </w:divBdr>
                                          <w:divsChild>
                                            <w:div w:id="373115440">
                                              <w:marLeft w:val="0"/>
                                              <w:marRight w:val="0"/>
                                              <w:marTop w:val="0"/>
                                              <w:marBottom w:val="0"/>
                                              <w:divBdr>
                                                <w:top w:val="none" w:sz="0" w:space="0" w:color="auto"/>
                                                <w:left w:val="none" w:sz="0" w:space="0" w:color="auto"/>
                                                <w:bottom w:val="none" w:sz="0" w:space="0" w:color="auto"/>
                                                <w:right w:val="none" w:sz="0" w:space="0" w:color="auto"/>
                                              </w:divBdr>
                                            </w:div>
                                          </w:divsChild>
                                        </w:div>
                                        <w:div w:id="1591694441">
                                          <w:marLeft w:val="0"/>
                                          <w:marRight w:val="0"/>
                                          <w:marTop w:val="0"/>
                                          <w:marBottom w:val="0"/>
                                          <w:divBdr>
                                            <w:top w:val="none" w:sz="0" w:space="0" w:color="auto"/>
                                            <w:left w:val="none" w:sz="0" w:space="0" w:color="auto"/>
                                            <w:bottom w:val="none" w:sz="0" w:space="0" w:color="auto"/>
                                            <w:right w:val="none" w:sz="0" w:space="0" w:color="auto"/>
                                          </w:divBdr>
                                          <w:divsChild>
                                            <w:div w:id="626008809">
                                              <w:marLeft w:val="0"/>
                                              <w:marRight w:val="0"/>
                                              <w:marTop w:val="0"/>
                                              <w:marBottom w:val="0"/>
                                              <w:divBdr>
                                                <w:top w:val="none" w:sz="0" w:space="0" w:color="auto"/>
                                                <w:left w:val="none" w:sz="0" w:space="0" w:color="auto"/>
                                                <w:bottom w:val="none" w:sz="0" w:space="0" w:color="auto"/>
                                                <w:right w:val="none" w:sz="0" w:space="0" w:color="auto"/>
                                              </w:divBdr>
                                            </w:div>
                                          </w:divsChild>
                                        </w:div>
                                        <w:div w:id="1777482837">
                                          <w:marLeft w:val="0"/>
                                          <w:marRight w:val="0"/>
                                          <w:marTop w:val="0"/>
                                          <w:marBottom w:val="0"/>
                                          <w:divBdr>
                                            <w:top w:val="none" w:sz="0" w:space="0" w:color="auto"/>
                                            <w:left w:val="none" w:sz="0" w:space="0" w:color="auto"/>
                                            <w:bottom w:val="none" w:sz="0" w:space="0" w:color="auto"/>
                                            <w:right w:val="none" w:sz="0" w:space="0" w:color="auto"/>
                                          </w:divBdr>
                                          <w:divsChild>
                                            <w:div w:id="15187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069">
                                      <w:marLeft w:val="0"/>
                                      <w:marRight w:val="0"/>
                                      <w:marTop w:val="0"/>
                                      <w:marBottom w:val="0"/>
                                      <w:divBdr>
                                        <w:top w:val="none" w:sz="0" w:space="0" w:color="auto"/>
                                        <w:left w:val="none" w:sz="0" w:space="0" w:color="auto"/>
                                        <w:bottom w:val="none" w:sz="0" w:space="0" w:color="auto"/>
                                        <w:right w:val="none" w:sz="0" w:space="0" w:color="auto"/>
                                      </w:divBdr>
                                      <w:divsChild>
                                        <w:div w:id="1501893657">
                                          <w:marLeft w:val="0"/>
                                          <w:marRight w:val="0"/>
                                          <w:marTop w:val="0"/>
                                          <w:marBottom w:val="0"/>
                                          <w:divBdr>
                                            <w:top w:val="none" w:sz="0" w:space="0" w:color="auto"/>
                                            <w:left w:val="none" w:sz="0" w:space="0" w:color="auto"/>
                                            <w:bottom w:val="none" w:sz="0" w:space="0" w:color="auto"/>
                                            <w:right w:val="none" w:sz="0" w:space="0" w:color="auto"/>
                                          </w:divBdr>
                                          <w:divsChild>
                                            <w:div w:id="1611010392">
                                              <w:marLeft w:val="0"/>
                                              <w:marRight w:val="0"/>
                                              <w:marTop w:val="0"/>
                                              <w:marBottom w:val="0"/>
                                              <w:divBdr>
                                                <w:top w:val="none" w:sz="0" w:space="0" w:color="auto"/>
                                                <w:left w:val="none" w:sz="0" w:space="0" w:color="auto"/>
                                                <w:bottom w:val="none" w:sz="0" w:space="0" w:color="auto"/>
                                                <w:right w:val="none" w:sz="0" w:space="0" w:color="auto"/>
                                              </w:divBdr>
                                            </w:div>
                                          </w:divsChild>
                                        </w:div>
                                        <w:div w:id="836572558">
                                          <w:marLeft w:val="0"/>
                                          <w:marRight w:val="0"/>
                                          <w:marTop w:val="0"/>
                                          <w:marBottom w:val="0"/>
                                          <w:divBdr>
                                            <w:top w:val="none" w:sz="0" w:space="0" w:color="auto"/>
                                            <w:left w:val="none" w:sz="0" w:space="0" w:color="auto"/>
                                            <w:bottom w:val="none" w:sz="0" w:space="0" w:color="auto"/>
                                            <w:right w:val="none" w:sz="0" w:space="0" w:color="auto"/>
                                          </w:divBdr>
                                          <w:divsChild>
                                            <w:div w:id="435951959">
                                              <w:marLeft w:val="0"/>
                                              <w:marRight w:val="0"/>
                                              <w:marTop w:val="0"/>
                                              <w:marBottom w:val="0"/>
                                              <w:divBdr>
                                                <w:top w:val="none" w:sz="0" w:space="0" w:color="auto"/>
                                                <w:left w:val="none" w:sz="0" w:space="0" w:color="auto"/>
                                                <w:bottom w:val="none" w:sz="0" w:space="0" w:color="auto"/>
                                                <w:right w:val="none" w:sz="0" w:space="0" w:color="auto"/>
                                              </w:divBdr>
                                            </w:div>
                                          </w:divsChild>
                                        </w:div>
                                        <w:div w:id="633873967">
                                          <w:marLeft w:val="0"/>
                                          <w:marRight w:val="0"/>
                                          <w:marTop w:val="0"/>
                                          <w:marBottom w:val="0"/>
                                          <w:divBdr>
                                            <w:top w:val="none" w:sz="0" w:space="0" w:color="auto"/>
                                            <w:left w:val="none" w:sz="0" w:space="0" w:color="auto"/>
                                            <w:bottom w:val="none" w:sz="0" w:space="0" w:color="auto"/>
                                            <w:right w:val="none" w:sz="0" w:space="0" w:color="auto"/>
                                          </w:divBdr>
                                          <w:divsChild>
                                            <w:div w:id="5593402">
                                              <w:marLeft w:val="0"/>
                                              <w:marRight w:val="0"/>
                                              <w:marTop w:val="0"/>
                                              <w:marBottom w:val="0"/>
                                              <w:divBdr>
                                                <w:top w:val="none" w:sz="0" w:space="0" w:color="auto"/>
                                                <w:left w:val="none" w:sz="0" w:space="0" w:color="auto"/>
                                                <w:bottom w:val="none" w:sz="0" w:space="0" w:color="auto"/>
                                                <w:right w:val="none" w:sz="0" w:space="0" w:color="auto"/>
                                              </w:divBdr>
                                            </w:div>
                                          </w:divsChild>
                                        </w:div>
                                        <w:div w:id="410540867">
                                          <w:marLeft w:val="0"/>
                                          <w:marRight w:val="0"/>
                                          <w:marTop w:val="0"/>
                                          <w:marBottom w:val="0"/>
                                          <w:divBdr>
                                            <w:top w:val="none" w:sz="0" w:space="0" w:color="auto"/>
                                            <w:left w:val="none" w:sz="0" w:space="0" w:color="auto"/>
                                            <w:bottom w:val="none" w:sz="0" w:space="0" w:color="auto"/>
                                            <w:right w:val="none" w:sz="0" w:space="0" w:color="auto"/>
                                          </w:divBdr>
                                          <w:divsChild>
                                            <w:div w:id="2061130889">
                                              <w:marLeft w:val="0"/>
                                              <w:marRight w:val="0"/>
                                              <w:marTop w:val="0"/>
                                              <w:marBottom w:val="0"/>
                                              <w:divBdr>
                                                <w:top w:val="none" w:sz="0" w:space="0" w:color="auto"/>
                                                <w:left w:val="none" w:sz="0" w:space="0" w:color="auto"/>
                                                <w:bottom w:val="none" w:sz="0" w:space="0" w:color="auto"/>
                                                <w:right w:val="none" w:sz="0" w:space="0" w:color="auto"/>
                                              </w:divBdr>
                                            </w:div>
                                          </w:divsChild>
                                        </w:div>
                                        <w:div w:id="1046567882">
                                          <w:marLeft w:val="0"/>
                                          <w:marRight w:val="0"/>
                                          <w:marTop w:val="0"/>
                                          <w:marBottom w:val="0"/>
                                          <w:divBdr>
                                            <w:top w:val="none" w:sz="0" w:space="0" w:color="auto"/>
                                            <w:left w:val="none" w:sz="0" w:space="0" w:color="auto"/>
                                            <w:bottom w:val="none" w:sz="0" w:space="0" w:color="auto"/>
                                            <w:right w:val="none" w:sz="0" w:space="0" w:color="auto"/>
                                          </w:divBdr>
                                          <w:divsChild>
                                            <w:div w:id="1095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4552">
      <w:bodyDiv w:val="1"/>
      <w:marLeft w:val="0"/>
      <w:marRight w:val="0"/>
      <w:marTop w:val="0"/>
      <w:marBottom w:val="0"/>
      <w:divBdr>
        <w:top w:val="none" w:sz="0" w:space="0" w:color="auto"/>
        <w:left w:val="none" w:sz="0" w:space="0" w:color="auto"/>
        <w:bottom w:val="none" w:sz="0" w:space="0" w:color="auto"/>
        <w:right w:val="none" w:sz="0" w:space="0" w:color="auto"/>
      </w:divBdr>
      <w:divsChild>
        <w:div w:id="913200434">
          <w:marLeft w:val="0"/>
          <w:marRight w:val="0"/>
          <w:marTop w:val="0"/>
          <w:marBottom w:val="0"/>
          <w:divBdr>
            <w:top w:val="single" w:sz="6" w:space="0" w:color="0E477A"/>
            <w:left w:val="single" w:sz="6" w:space="0" w:color="0E477A"/>
            <w:bottom w:val="single" w:sz="6" w:space="0" w:color="0E477A"/>
            <w:right w:val="single" w:sz="6" w:space="0" w:color="0E477A"/>
          </w:divBdr>
          <w:divsChild>
            <w:div w:id="1719167048">
              <w:marLeft w:val="2925"/>
              <w:marRight w:val="0"/>
              <w:marTop w:val="0"/>
              <w:marBottom w:val="0"/>
              <w:divBdr>
                <w:top w:val="none" w:sz="0" w:space="0" w:color="auto"/>
                <w:left w:val="none" w:sz="0" w:space="0" w:color="auto"/>
                <w:bottom w:val="none" w:sz="0" w:space="0" w:color="auto"/>
                <w:right w:val="none" w:sz="0" w:space="0" w:color="auto"/>
              </w:divBdr>
              <w:divsChild>
                <w:div w:id="842090463">
                  <w:marLeft w:val="0"/>
                  <w:marRight w:val="0"/>
                  <w:marTop w:val="0"/>
                  <w:marBottom w:val="0"/>
                  <w:divBdr>
                    <w:top w:val="none" w:sz="0" w:space="0" w:color="auto"/>
                    <w:left w:val="none" w:sz="0" w:space="0" w:color="auto"/>
                    <w:bottom w:val="none" w:sz="0" w:space="0" w:color="auto"/>
                    <w:right w:val="none" w:sz="0" w:space="0" w:color="auto"/>
                  </w:divBdr>
                  <w:divsChild>
                    <w:div w:id="1750228199">
                      <w:marLeft w:val="0"/>
                      <w:marRight w:val="150"/>
                      <w:marTop w:val="0"/>
                      <w:marBottom w:val="0"/>
                      <w:divBdr>
                        <w:top w:val="single" w:sz="6" w:space="0" w:color="CCCCCC"/>
                        <w:left w:val="single" w:sz="6" w:space="8" w:color="CCCCCC"/>
                        <w:bottom w:val="single" w:sz="6" w:space="8" w:color="CCCCCC"/>
                        <w:right w:val="single" w:sz="6" w:space="8" w:color="CCCCCC"/>
                      </w:divBdr>
                      <w:divsChild>
                        <w:div w:id="577252329">
                          <w:marLeft w:val="0"/>
                          <w:marRight w:val="0"/>
                          <w:marTop w:val="0"/>
                          <w:marBottom w:val="0"/>
                          <w:divBdr>
                            <w:top w:val="none" w:sz="0" w:space="0" w:color="auto"/>
                            <w:left w:val="none" w:sz="0" w:space="0" w:color="auto"/>
                            <w:bottom w:val="none" w:sz="0" w:space="0" w:color="auto"/>
                            <w:right w:val="none" w:sz="0" w:space="0" w:color="auto"/>
                          </w:divBdr>
                        </w:div>
                        <w:div w:id="440223851">
                          <w:marLeft w:val="0"/>
                          <w:marRight w:val="0"/>
                          <w:marTop w:val="0"/>
                          <w:marBottom w:val="0"/>
                          <w:divBdr>
                            <w:top w:val="none" w:sz="0" w:space="0" w:color="auto"/>
                            <w:left w:val="none" w:sz="0" w:space="0" w:color="auto"/>
                            <w:bottom w:val="none" w:sz="0" w:space="0" w:color="auto"/>
                            <w:right w:val="none" w:sz="0" w:space="0" w:color="auto"/>
                          </w:divBdr>
                        </w:div>
                        <w:div w:id="1230766107">
                          <w:marLeft w:val="0"/>
                          <w:marRight w:val="0"/>
                          <w:marTop w:val="0"/>
                          <w:marBottom w:val="0"/>
                          <w:divBdr>
                            <w:top w:val="none" w:sz="0" w:space="0" w:color="auto"/>
                            <w:left w:val="none" w:sz="0" w:space="0" w:color="auto"/>
                            <w:bottom w:val="none" w:sz="0" w:space="0" w:color="auto"/>
                            <w:right w:val="none" w:sz="0" w:space="0" w:color="auto"/>
                          </w:divBdr>
                        </w:div>
                        <w:div w:id="312492038">
                          <w:marLeft w:val="0"/>
                          <w:marRight w:val="0"/>
                          <w:marTop w:val="0"/>
                          <w:marBottom w:val="0"/>
                          <w:divBdr>
                            <w:top w:val="none" w:sz="0" w:space="0" w:color="auto"/>
                            <w:left w:val="none" w:sz="0" w:space="0" w:color="auto"/>
                            <w:bottom w:val="none" w:sz="0" w:space="0" w:color="auto"/>
                            <w:right w:val="none" w:sz="0" w:space="0" w:color="auto"/>
                          </w:divBdr>
                        </w:div>
                        <w:div w:id="1201014390">
                          <w:marLeft w:val="0"/>
                          <w:marRight w:val="0"/>
                          <w:marTop w:val="0"/>
                          <w:marBottom w:val="0"/>
                          <w:divBdr>
                            <w:top w:val="none" w:sz="0" w:space="0" w:color="auto"/>
                            <w:left w:val="none" w:sz="0" w:space="0" w:color="auto"/>
                            <w:bottom w:val="none" w:sz="0" w:space="0" w:color="auto"/>
                            <w:right w:val="none" w:sz="0" w:space="0" w:color="auto"/>
                          </w:divBdr>
                        </w:div>
                        <w:div w:id="1444839207">
                          <w:marLeft w:val="0"/>
                          <w:marRight w:val="0"/>
                          <w:marTop w:val="0"/>
                          <w:marBottom w:val="0"/>
                          <w:divBdr>
                            <w:top w:val="none" w:sz="0" w:space="0" w:color="auto"/>
                            <w:left w:val="none" w:sz="0" w:space="0" w:color="auto"/>
                            <w:bottom w:val="none" w:sz="0" w:space="0" w:color="auto"/>
                            <w:right w:val="none" w:sz="0" w:space="0" w:color="auto"/>
                          </w:divBdr>
                        </w:div>
                        <w:div w:id="460617936">
                          <w:marLeft w:val="0"/>
                          <w:marRight w:val="0"/>
                          <w:marTop w:val="0"/>
                          <w:marBottom w:val="0"/>
                          <w:divBdr>
                            <w:top w:val="none" w:sz="0" w:space="0" w:color="auto"/>
                            <w:left w:val="none" w:sz="0" w:space="0" w:color="auto"/>
                            <w:bottom w:val="none" w:sz="0" w:space="0" w:color="auto"/>
                            <w:right w:val="none" w:sz="0" w:space="0" w:color="auto"/>
                          </w:divBdr>
                        </w:div>
                        <w:div w:id="2083989412">
                          <w:marLeft w:val="0"/>
                          <w:marRight w:val="0"/>
                          <w:marTop w:val="0"/>
                          <w:marBottom w:val="0"/>
                          <w:divBdr>
                            <w:top w:val="none" w:sz="0" w:space="0" w:color="auto"/>
                            <w:left w:val="none" w:sz="0" w:space="0" w:color="auto"/>
                            <w:bottom w:val="none" w:sz="0" w:space="0" w:color="auto"/>
                            <w:right w:val="none" w:sz="0" w:space="0" w:color="auto"/>
                          </w:divBdr>
                        </w:div>
                        <w:div w:id="1599287823">
                          <w:marLeft w:val="0"/>
                          <w:marRight w:val="0"/>
                          <w:marTop w:val="0"/>
                          <w:marBottom w:val="0"/>
                          <w:divBdr>
                            <w:top w:val="none" w:sz="0" w:space="0" w:color="auto"/>
                            <w:left w:val="none" w:sz="0" w:space="0" w:color="auto"/>
                            <w:bottom w:val="none" w:sz="0" w:space="0" w:color="auto"/>
                            <w:right w:val="none" w:sz="0" w:space="0" w:color="auto"/>
                          </w:divBdr>
                        </w:div>
                        <w:div w:id="2354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08366">
      <w:bodyDiv w:val="1"/>
      <w:marLeft w:val="0"/>
      <w:marRight w:val="0"/>
      <w:marTop w:val="0"/>
      <w:marBottom w:val="0"/>
      <w:divBdr>
        <w:top w:val="none" w:sz="0" w:space="0" w:color="auto"/>
        <w:left w:val="none" w:sz="0" w:space="0" w:color="auto"/>
        <w:bottom w:val="none" w:sz="0" w:space="0" w:color="auto"/>
        <w:right w:val="none" w:sz="0" w:space="0" w:color="auto"/>
      </w:divBdr>
      <w:divsChild>
        <w:div w:id="1268465468">
          <w:marLeft w:val="0"/>
          <w:marRight w:val="0"/>
          <w:marTop w:val="0"/>
          <w:marBottom w:val="0"/>
          <w:divBdr>
            <w:top w:val="none" w:sz="0" w:space="0" w:color="auto"/>
            <w:left w:val="none" w:sz="0" w:space="0" w:color="auto"/>
            <w:bottom w:val="none" w:sz="0" w:space="0" w:color="auto"/>
            <w:right w:val="none" w:sz="0" w:space="0" w:color="auto"/>
          </w:divBdr>
        </w:div>
      </w:divsChild>
    </w:div>
    <w:div w:id="2028675246">
      <w:bodyDiv w:val="1"/>
      <w:marLeft w:val="0"/>
      <w:marRight w:val="0"/>
      <w:marTop w:val="0"/>
      <w:marBottom w:val="0"/>
      <w:divBdr>
        <w:top w:val="none" w:sz="0" w:space="0" w:color="auto"/>
        <w:left w:val="none" w:sz="0" w:space="0" w:color="auto"/>
        <w:bottom w:val="none" w:sz="0" w:space="0" w:color="auto"/>
        <w:right w:val="none" w:sz="0" w:space="0" w:color="auto"/>
      </w:divBdr>
    </w:div>
    <w:div w:id="2028826865">
      <w:bodyDiv w:val="1"/>
      <w:marLeft w:val="0"/>
      <w:marRight w:val="0"/>
      <w:marTop w:val="0"/>
      <w:marBottom w:val="0"/>
      <w:divBdr>
        <w:top w:val="none" w:sz="0" w:space="0" w:color="auto"/>
        <w:left w:val="none" w:sz="0" w:space="0" w:color="auto"/>
        <w:bottom w:val="none" w:sz="0" w:space="0" w:color="auto"/>
        <w:right w:val="none" w:sz="0" w:space="0" w:color="auto"/>
      </w:divBdr>
    </w:div>
    <w:div w:id="2028941014">
      <w:bodyDiv w:val="1"/>
      <w:marLeft w:val="0"/>
      <w:marRight w:val="0"/>
      <w:marTop w:val="0"/>
      <w:marBottom w:val="0"/>
      <w:divBdr>
        <w:top w:val="none" w:sz="0" w:space="0" w:color="auto"/>
        <w:left w:val="none" w:sz="0" w:space="0" w:color="auto"/>
        <w:bottom w:val="none" w:sz="0" w:space="0" w:color="auto"/>
        <w:right w:val="none" w:sz="0" w:space="0" w:color="auto"/>
      </w:divBdr>
      <w:divsChild>
        <w:div w:id="1627856481">
          <w:marLeft w:val="0"/>
          <w:marRight w:val="0"/>
          <w:marTop w:val="0"/>
          <w:marBottom w:val="0"/>
          <w:divBdr>
            <w:top w:val="none" w:sz="0" w:space="0" w:color="auto"/>
            <w:left w:val="none" w:sz="0" w:space="0" w:color="auto"/>
            <w:bottom w:val="none" w:sz="0" w:space="0" w:color="auto"/>
            <w:right w:val="none" w:sz="0" w:space="0" w:color="auto"/>
          </w:divBdr>
          <w:divsChild>
            <w:div w:id="1503472669">
              <w:marLeft w:val="0"/>
              <w:marRight w:val="0"/>
              <w:marTop w:val="0"/>
              <w:marBottom w:val="0"/>
              <w:divBdr>
                <w:top w:val="none" w:sz="0" w:space="0" w:color="auto"/>
                <w:left w:val="none" w:sz="0" w:space="0" w:color="auto"/>
                <w:bottom w:val="none" w:sz="0" w:space="0" w:color="auto"/>
                <w:right w:val="none" w:sz="0" w:space="0" w:color="auto"/>
              </w:divBdr>
              <w:divsChild>
                <w:div w:id="1745032282">
                  <w:marLeft w:val="0"/>
                  <w:marRight w:val="0"/>
                  <w:marTop w:val="0"/>
                  <w:marBottom w:val="0"/>
                  <w:divBdr>
                    <w:top w:val="none" w:sz="0" w:space="0" w:color="auto"/>
                    <w:left w:val="none" w:sz="0" w:space="0" w:color="auto"/>
                    <w:bottom w:val="none" w:sz="0" w:space="0" w:color="auto"/>
                    <w:right w:val="none" w:sz="0" w:space="0" w:color="auto"/>
                  </w:divBdr>
                  <w:divsChild>
                    <w:div w:id="1763794626">
                      <w:marLeft w:val="0"/>
                      <w:marRight w:val="0"/>
                      <w:marTop w:val="0"/>
                      <w:marBottom w:val="0"/>
                      <w:divBdr>
                        <w:top w:val="none" w:sz="0" w:space="0" w:color="auto"/>
                        <w:left w:val="none" w:sz="0" w:space="0" w:color="auto"/>
                        <w:bottom w:val="none" w:sz="0" w:space="0" w:color="auto"/>
                        <w:right w:val="none" w:sz="0" w:space="0" w:color="auto"/>
                      </w:divBdr>
                      <w:divsChild>
                        <w:div w:id="7627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3401">
      <w:bodyDiv w:val="1"/>
      <w:marLeft w:val="0"/>
      <w:marRight w:val="0"/>
      <w:marTop w:val="0"/>
      <w:marBottom w:val="0"/>
      <w:divBdr>
        <w:top w:val="none" w:sz="0" w:space="0" w:color="auto"/>
        <w:left w:val="none" w:sz="0" w:space="0" w:color="auto"/>
        <w:bottom w:val="none" w:sz="0" w:space="0" w:color="auto"/>
        <w:right w:val="none" w:sz="0" w:space="0" w:color="auto"/>
      </w:divBdr>
      <w:divsChild>
        <w:div w:id="1834486611">
          <w:marLeft w:val="0"/>
          <w:marRight w:val="0"/>
          <w:marTop w:val="0"/>
          <w:marBottom w:val="0"/>
          <w:divBdr>
            <w:top w:val="none" w:sz="0" w:space="0" w:color="auto"/>
            <w:left w:val="none" w:sz="0" w:space="0" w:color="auto"/>
            <w:bottom w:val="none" w:sz="0" w:space="0" w:color="auto"/>
            <w:right w:val="none" w:sz="0" w:space="0" w:color="auto"/>
          </w:divBdr>
          <w:divsChild>
            <w:div w:id="2111075552">
              <w:marLeft w:val="0"/>
              <w:marRight w:val="0"/>
              <w:marTop w:val="0"/>
              <w:marBottom w:val="0"/>
              <w:divBdr>
                <w:top w:val="none" w:sz="0" w:space="0" w:color="auto"/>
                <w:left w:val="none" w:sz="0" w:space="0" w:color="auto"/>
                <w:bottom w:val="none" w:sz="0" w:space="0" w:color="auto"/>
                <w:right w:val="none" w:sz="0" w:space="0" w:color="auto"/>
              </w:divBdr>
              <w:divsChild>
                <w:div w:id="1633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40525">
      <w:bodyDiv w:val="1"/>
      <w:marLeft w:val="0"/>
      <w:marRight w:val="0"/>
      <w:marTop w:val="0"/>
      <w:marBottom w:val="0"/>
      <w:divBdr>
        <w:top w:val="none" w:sz="0" w:space="0" w:color="auto"/>
        <w:left w:val="none" w:sz="0" w:space="0" w:color="auto"/>
        <w:bottom w:val="none" w:sz="0" w:space="0" w:color="auto"/>
        <w:right w:val="none" w:sz="0" w:space="0" w:color="auto"/>
      </w:divBdr>
      <w:divsChild>
        <w:div w:id="106042923">
          <w:marLeft w:val="0"/>
          <w:marRight w:val="0"/>
          <w:marTop w:val="0"/>
          <w:marBottom w:val="0"/>
          <w:divBdr>
            <w:top w:val="none" w:sz="0" w:space="0" w:color="auto"/>
            <w:left w:val="none" w:sz="0" w:space="0" w:color="auto"/>
            <w:bottom w:val="none" w:sz="0" w:space="0" w:color="auto"/>
            <w:right w:val="none" w:sz="0" w:space="0" w:color="auto"/>
          </w:divBdr>
          <w:divsChild>
            <w:div w:id="130900996">
              <w:marLeft w:val="0"/>
              <w:marRight w:val="0"/>
              <w:marTop w:val="0"/>
              <w:marBottom w:val="0"/>
              <w:divBdr>
                <w:top w:val="none" w:sz="0" w:space="0" w:color="auto"/>
                <w:left w:val="none" w:sz="0" w:space="0" w:color="auto"/>
                <w:bottom w:val="none" w:sz="0" w:space="0" w:color="auto"/>
                <w:right w:val="none" w:sz="0" w:space="0" w:color="auto"/>
              </w:divBdr>
              <w:divsChild>
                <w:div w:id="1106582673">
                  <w:marLeft w:val="0"/>
                  <w:marRight w:val="0"/>
                  <w:marTop w:val="100"/>
                  <w:marBottom w:val="100"/>
                  <w:divBdr>
                    <w:top w:val="none" w:sz="0" w:space="0" w:color="auto"/>
                    <w:left w:val="none" w:sz="0" w:space="0" w:color="auto"/>
                    <w:bottom w:val="none" w:sz="0" w:space="0" w:color="auto"/>
                    <w:right w:val="none" w:sz="0" w:space="0" w:color="auto"/>
                  </w:divBdr>
                  <w:divsChild>
                    <w:div w:id="133714821">
                      <w:marLeft w:val="0"/>
                      <w:marRight w:val="0"/>
                      <w:marTop w:val="0"/>
                      <w:marBottom w:val="0"/>
                      <w:divBdr>
                        <w:top w:val="none" w:sz="0" w:space="0" w:color="auto"/>
                        <w:left w:val="none" w:sz="0" w:space="0" w:color="auto"/>
                        <w:bottom w:val="none" w:sz="0" w:space="0" w:color="auto"/>
                        <w:right w:val="none" w:sz="0" w:space="0" w:color="auto"/>
                      </w:divBdr>
                      <w:divsChild>
                        <w:div w:id="1296912513">
                          <w:marLeft w:val="0"/>
                          <w:marRight w:val="0"/>
                          <w:marTop w:val="0"/>
                          <w:marBottom w:val="0"/>
                          <w:divBdr>
                            <w:top w:val="none" w:sz="0" w:space="0" w:color="auto"/>
                            <w:left w:val="none" w:sz="0" w:space="0" w:color="auto"/>
                            <w:bottom w:val="none" w:sz="0" w:space="0" w:color="auto"/>
                            <w:right w:val="none" w:sz="0" w:space="0" w:color="auto"/>
                          </w:divBdr>
                          <w:divsChild>
                            <w:div w:id="1773816399">
                              <w:marLeft w:val="0"/>
                              <w:marRight w:val="0"/>
                              <w:marTop w:val="0"/>
                              <w:marBottom w:val="0"/>
                              <w:divBdr>
                                <w:top w:val="none" w:sz="0" w:space="0" w:color="auto"/>
                                <w:left w:val="none" w:sz="0" w:space="0" w:color="auto"/>
                                <w:bottom w:val="none" w:sz="0" w:space="0" w:color="auto"/>
                                <w:right w:val="none" w:sz="0" w:space="0" w:color="auto"/>
                              </w:divBdr>
                              <w:divsChild>
                                <w:div w:id="1762067139">
                                  <w:marLeft w:val="0"/>
                                  <w:marRight w:val="0"/>
                                  <w:marTop w:val="0"/>
                                  <w:marBottom w:val="0"/>
                                  <w:divBdr>
                                    <w:top w:val="none" w:sz="0" w:space="0" w:color="auto"/>
                                    <w:left w:val="none" w:sz="0" w:space="0" w:color="auto"/>
                                    <w:bottom w:val="none" w:sz="0" w:space="0" w:color="auto"/>
                                    <w:right w:val="none" w:sz="0" w:space="0" w:color="auto"/>
                                  </w:divBdr>
                                  <w:divsChild>
                                    <w:div w:id="998076550">
                                      <w:marLeft w:val="0"/>
                                      <w:marRight w:val="0"/>
                                      <w:marTop w:val="0"/>
                                      <w:marBottom w:val="0"/>
                                      <w:divBdr>
                                        <w:top w:val="none" w:sz="0" w:space="0" w:color="auto"/>
                                        <w:left w:val="none" w:sz="0" w:space="0" w:color="auto"/>
                                        <w:bottom w:val="none" w:sz="0" w:space="0" w:color="auto"/>
                                        <w:right w:val="none" w:sz="0" w:space="0" w:color="auto"/>
                                      </w:divBdr>
                                      <w:divsChild>
                                        <w:div w:id="282198831">
                                          <w:marLeft w:val="0"/>
                                          <w:marRight w:val="0"/>
                                          <w:marTop w:val="0"/>
                                          <w:marBottom w:val="0"/>
                                          <w:divBdr>
                                            <w:top w:val="none" w:sz="0" w:space="0" w:color="auto"/>
                                            <w:left w:val="none" w:sz="0" w:space="0" w:color="auto"/>
                                            <w:bottom w:val="none" w:sz="0" w:space="0" w:color="auto"/>
                                            <w:right w:val="none" w:sz="0" w:space="0" w:color="auto"/>
                                          </w:divBdr>
                                          <w:divsChild>
                                            <w:div w:id="365722189">
                                              <w:marLeft w:val="0"/>
                                              <w:marRight w:val="0"/>
                                              <w:marTop w:val="0"/>
                                              <w:marBottom w:val="0"/>
                                              <w:divBdr>
                                                <w:top w:val="single" w:sz="6" w:space="0" w:color="B6D444"/>
                                                <w:left w:val="none" w:sz="0" w:space="0" w:color="auto"/>
                                                <w:bottom w:val="none" w:sz="0" w:space="0" w:color="auto"/>
                                                <w:right w:val="none" w:sz="0" w:space="0" w:color="auto"/>
                                              </w:divBdr>
                                              <w:divsChild>
                                                <w:div w:id="1292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996096">
      <w:bodyDiv w:val="1"/>
      <w:marLeft w:val="0"/>
      <w:marRight w:val="0"/>
      <w:marTop w:val="0"/>
      <w:marBottom w:val="0"/>
      <w:divBdr>
        <w:top w:val="none" w:sz="0" w:space="0" w:color="auto"/>
        <w:left w:val="none" w:sz="0" w:space="0" w:color="auto"/>
        <w:bottom w:val="none" w:sz="0" w:space="0" w:color="auto"/>
        <w:right w:val="none" w:sz="0" w:space="0" w:color="auto"/>
      </w:divBdr>
      <w:divsChild>
        <w:div w:id="995958109">
          <w:marLeft w:val="0"/>
          <w:marRight w:val="0"/>
          <w:marTop w:val="0"/>
          <w:marBottom w:val="0"/>
          <w:divBdr>
            <w:top w:val="none" w:sz="0" w:space="0" w:color="auto"/>
            <w:left w:val="none" w:sz="0" w:space="0" w:color="auto"/>
            <w:bottom w:val="none" w:sz="0" w:space="0" w:color="auto"/>
            <w:right w:val="none" w:sz="0" w:space="0" w:color="auto"/>
          </w:divBdr>
          <w:divsChild>
            <w:div w:id="524368134">
              <w:marLeft w:val="210"/>
              <w:marRight w:val="0"/>
              <w:marTop w:val="0"/>
              <w:marBottom w:val="0"/>
              <w:divBdr>
                <w:top w:val="none" w:sz="0" w:space="0" w:color="auto"/>
                <w:left w:val="none" w:sz="0" w:space="0" w:color="auto"/>
                <w:bottom w:val="none" w:sz="0" w:space="0" w:color="auto"/>
                <w:right w:val="none" w:sz="0" w:space="0" w:color="auto"/>
              </w:divBdr>
              <w:divsChild>
                <w:div w:id="5558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9795">
      <w:bodyDiv w:val="1"/>
      <w:marLeft w:val="0"/>
      <w:marRight w:val="0"/>
      <w:marTop w:val="0"/>
      <w:marBottom w:val="0"/>
      <w:divBdr>
        <w:top w:val="none" w:sz="0" w:space="0" w:color="auto"/>
        <w:left w:val="none" w:sz="0" w:space="0" w:color="auto"/>
        <w:bottom w:val="none" w:sz="0" w:space="0" w:color="auto"/>
        <w:right w:val="none" w:sz="0" w:space="0" w:color="auto"/>
      </w:divBdr>
    </w:div>
    <w:div w:id="2036269711">
      <w:bodyDiv w:val="1"/>
      <w:marLeft w:val="0"/>
      <w:marRight w:val="0"/>
      <w:marTop w:val="0"/>
      <w:marBottom w:val="0"/>
      <w:divBdr>
        <w:top w:val="none" w:sz="0" w:space="0" w:color="auto"/>
        <w:left w:val="none" w:sz="0" w:space="0" w:color="auto"/>
        <w:bottom w:val="none" w:sz="0" w:space="0" w:color="auto"/>
        <w:right w:val="none" w:sz="0" w:space="0" w:color="auto"/>
      </w:divBdr>
      <w:divsChild>
        <w:div w:id="1792161665">
          <w:marLeft w:val="0"/>
          <w:marRight w:val="0"/>
          <w:marTop w:val="0"/>
          <w:marBottom w:val="0"/>
          <w:divBdr>
            <w:top w:val="none" w:sz="0" w:space="0" w:color="auto"/>
            <w:left w:val="none" w:sz="0" w:space="0" w:color="auto"/>
            <w:bottom w:val="none" w:sz="0" w:space="0" w:color="auto"/>
            <w:right w:val="none" w:sz="0" w:space="0" w:color="auto"/>
          </w:divBdr>
          <w:divsChild>
            <w:div w:id="1609923018">
              <w:marLeft w:val="0"/>
              <w:marRight w:val="0"/>
              <w:marTop w:val="0"/>
              <w:marBottom w:val="0"/>
              <w:divBdr>
                <w:top w:val="none" w:sz="0" w:space="0" w:color="auto"/>
                <w:left w:val="none" w:sz="0" w:space="0" w:color="auto"/>
                <w:bottom w:val="none" w:sz="0" w:space="0" w:color="auto"/>
                <w:right w:val="none" w:sz="0" w:space="0" w:color="auto"/>
              </w:divBdr>
              <w:divsChild>
                <w:div w:id="1842117473">
                  <w:marLeft w:val="0"/>
                  <w:marRight w:val="0"/>
                  <w:marTop w:val="0"/>
                  <w:marBottom w:val="0"/>
                  <w:divBdr>
                    <w:top w:val="none" w:sz="0" w:space="0" w:color="auto"/>
                    <w:left w:val="none" w:sz="0" w:space="0" w:color="auto"/>
                    <w:bottom w:val="none" w:sz="0" w:space="0" w:color="auto"/>
                    <w:right w:val="none" w:sz="0" w:space="0" w:color="auto"/>
                  </w:divBdr>
                  <w:divsChild>
                    <w:div w:id="341783381">
                      <w:marLeft w:val="0"/>
                      <w:marRight w:val="0"/>
                      <w:marTop w:val="0"/>
                      <w:marBottom w:val="0"/>
                      <w:divBdr>
                        <w:top w:val="none" w:sz="0" w:space="0" w:color="auto"/>
                        <w:left w:val="none" w:sz="0" w:space="0" w:color="auto"/>
                        <w:bottom w:val="none" w:sz="0" w:space="0" w:color="auto"/>
                        <w:right w:val="none" w:sz="0" w:space="0" w:color="auto"/>
                      </w:divBdr>
                      <w:divsChild>
                        <w:div w:id="337926114">
                          <w:marLeft w:val="0"/>
                          <w:marRight w:val="0"/>
                          <w:marTop w:val="0"/>
                          <w:marBottom w:val="0"/>
                          <w:divBdr>
                            <w:top w:val="none" w:sz="0" w:space="0" w:color="auto"/>
                            <w:left w:val="none" w:sz="0" w:space="0" w:color="auto"/>
                            <w:bottom w:val="none" w:sz="0" w:space="0" w:color="auto"/>
                            <w:right w:val="none" w:sz="0" w:space="0" w:color="auto"/>
                          </w:divBdr>
                          <w:divsChild>
                            <w:div w:id="414135577">
                              <w:marLeft w:val="0"/>
                              <w:marRight w:val="0"/>
                              <w:marTop w:val="0"/>
                              <w:marBottom w:val="0"/>
                              <w:divBdr>
                                <w:top w:val="none" w:sz="0" w:space="0" w:color="auto"/>
                                <w:left w:val="none" w:sz="0" w:space="0" w:color="auto"/>
                                <w:bottom w:val="none" w:sz="0" w:space="0" w:color="auto"/>
                                <w:right w:val="none" w:sz="0" w:space="0" w:color="auto"/>
                              </w:divBdr>
                              <w:divsChild>
                                <w:div w:id="1913078456">
                                  <w:marLeft w:val="0"/>
                                  <w:marRight w:val="0"/>
                                  <w:marTop w:val="0"/>
                                  <w:marBottom w:val="0"/>
                                  <w:divBdr>
                                    <w:top w:val="none" w:sz="0" w:space="0" w:color="auto"/>
                                    <w:left w:val="none" w:sz="0" w:space="0" w:color="auto"/>
                                    <w:bottom w:val="none" w:sz="0" w:space="0" w:color="auto"/>
                                    <w:right w:val="none" w:sz="0" w:space="0" w:color="auto"/>
                                  </w:divBdr>
                                  <w:divsChild>
                                    <w:div w:id="1439982969">
                                      <w:marLeft w:val="0"/>
                                      <w:marRight w:val="0"/>
                                      <w:marTop w:val="0"/>
                                      <w:marBottom w:val="0"/>
                                      <w:divBdr>
                                        <w:top w:val="none" w:sz="0" w:space="0" w:color="auto"/>
                                        <w:left w:val="none" w:sz="0" w:space="0" w:color="auto"/>
                                        <w:bottom w:val="none" w:sz="0" w:space="0" w:color="auto"/>
                                        <w:right w:val="none" w:sz="0" w:space="0" w:color="auto"/>
                                      </w:divBdr>
                                      <w:divsChild>
                                        <w:div w:id="1233932426">
                                          <w:marLeft w:val="0"/>
                                          <w:marRight w:val="0"/>
                                          <w:marTop w:val="0"/>
                                          <w:marBottom w:val="0"/>
                                          <w:divBdr>
                                            <w:top w:val="none" w:sz="0" w:space="0" w:color="auto"/>
                                            <w:left w:val="none" w:sz="0" w:space="0" w:color="auto"/>
                                            <w:bottom w:val="none" w:sz="0" w:space="0" w:color="auto"/>
                                            <w:right w:val="none" w:sz="0" w:space="0" w:color="auto"/>
                                          </w:divBdr>
                                          <w:divsChild>
                                            <w:div w:id="1997027864">
                                              <w:marLeft w:val="0"/>
                                              <w:marRight w:val="0"/>
                                              <w:marTop w:val="0"/>
                                              <w:marBottom w:val="0"/>
                                              <w:divBdr>
                                                <w:top w:val="none" w:sz="0" w:space="0" w:color="auto"/>
                                                <w:left w:val="none" w:sz="0" w:space="0" w:color="auto"/>
                                                <w:bottom w:val="none" w:sz="0" w:space="0" w:color="auto"/>
                                                <w:right w:val="none" w:sz="0" w:space="0" w:color="auto"/>
                                              </w:divBdr>
                                              <w:divsChild>
                                                <w:div w:id="987905985">
                                                  <w:marLeft w:val="0"/>
                                                  <w:marRight w:val="0"/>
                                                  <w:marTop w:val="0"/>
                                                  <w:marBottom w:val="0"/>
                                                  <w:divBdr>
                                                    <w:top w:val="none" w:sz="0" w:space="0" w:color="auto"/>
                                                    <w:left w:val="none" w:sz="0" w:space="0" w:color="auto"/>
                                                    <w:bottom w:val="none" w:sz="0" w:space="0" w:color="auto"/>
                                                    <w:right w:val="none" w:sz="0" w:space="0" w:color="auto"/>
                                                  </w:divBdr>
                                                  <w:divsChild>
                                                    <w:div w:id="366873275">
                                                      <w:marLeft w:val="0"/>
                                                      <w:marRight w:val="0"/>
                                                      <w:marTop w:val="0"/>
                                                      <w:marBottom w:val="0"/>
                                                      <w:divBdr>
                                                        <w:top w:val="none" w:sz="0" w:space="0" w:color="auto"/>
                                                        <w:left w:val="none" w:sz="0" w:space="0" w:color="auto"/>
                                                        <w:bottom w:val="none" w:sz="0" w:space="0" w:color="auto"/>
                                                        <w:right w:val="none" w:sz="0" w:space="0" w:color="auto"/>
                                                      </w:divBdr>
                                                      <w:divsChild>
                                                        <w:div w:id="166752489">
                                                          <w:marLeft w:val="0"/>
                                                          <w:marRight w:val="0"/>
                                                          <w:marTop w:val="0"/>
                                                          <w:marBottom w:val="0"/>
                                                          <w:divBdr>
                                                            <w:top w:val="none" w:sz="0" w:space="0" w:color="auto"/>
                                                            <w:left w:val="none" w:sz="0" w:space="0" w:color="auto"/>
                                                            <w:bottom w:val="none" w:sz="0" w:space="0" w:color="auto"/>
                                                            <w:right w:val="none" w:sz="0" w:space="0" w:color="auto"/>
                                                          </w:divBdr>
                                                        </w:div>
                                                        <w:div w:id="350378157">
                                                          <w:marLeft w:val="0"/>
                                                          <w:marRight w:val="0"/>
                                                          <w:marTop w:val="0"/>
                                                          <w:marBottom w:val="0"/>
                                                          <w:divBdr>
                                                            <w:top w:val="none" w:sz="0" w:space="0" w:color="auto"/>
                                                            <w:left w:val="none" w:sz="0" w:space="0" w:color="auto"/>
                                                            <w:bottom w:val="none" w:sz="0" w:space="0" w:color="auto"/>
                                                            <w:right w:val="none" w:sz="0" w:space="0" w:color="auto"/>
                                                          </w:divBdr>
                                                          <w:divsChild>
                                                            <w:div w:id="9602598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6345937">
      <w:bodyDiv w:val="1"/>
      <w:marLeft w:val="0"/>
      <w:marRight w:val="0"/>
      <w:marTop w:val="0"/>
      <w:marBottom w:val="0"/>
      <w:divBdr>
        <w:top w:val="none" w:sz="0" w:space="0" w:color="auto"/>
        <w:left w:val="none" w:sz="0" w:space="0" w:color="auto"/>
        <w:bottom w:val="none" w:sz="0" w:space="0" w:color="auto"/>
        <w:right w:val="none" w:sz="0" w:space="0" w:color="auto"/>
      </w:divBdr>
      <w:divsChild>
        <w:div w:id="623466692">
          <w:marLeft w:val="0"/>
          <w:marRight w:val="0"/>
          <w:marTop w:val="0"/>
          <w:marBottom w:val="0"/>
          <w:divBdr>
            <w:top w:val="none" w:sz="0" w:space="0" w:color="auto"/>
            <w:left w:val="none" w:sz="0" w:space="0" w:color="auto"/>
            <w:bottom w:val="none" w:sz="0" w:space="0" w:color="auto"/>
            <w:right w:val="none" w:sz="0" w:space="0" w:color="auto"/>
          </w:divBdr>
          <w:divsChild>
            <w:div w:id="906306590">
              <w:marLeft w:val="0"/>
              <w:marRight w:val="0"/>
              <w:marTop w:val="0"/>
              <w:marBottom w:val="0"/>
              <w:divBdr>
                <w:top w:val="none" w:sz="0" w:space="0" w:color="auto"/>
                <w:left w:val="none" w:sz="0" w:space="0" w:color="auto"/>
                <w:bottom w:val="none" w:sz="0" w:space="0" w:color="auto"/>
                <w:right w:val="none" w:sz="0" w:space="0" w:color="auto"/>
              </w:divBdr>
              <w:divsChild>
                <w:div w:id="71855376">
                  <w:marLeft w:val="0"/>
                  <w:marRight w:val="0"/>
                  <w:marTop w:val="0"/>
                  <w:marBottom w:val="0"/>
                  <w:divBdr>
                    <w:top w:val="none" w:sz="0" w:space="0" w:color="auto"/>
                    <w:left w:val="none" w:sz="0" w:space="0" w:color="auto"/>
                    <w:bottom w:val="none" w:sz="0" w:space="0" w:color="auto"/>
                    <w:right w:val="none" w:sz="0" w:space="0" w:color="auto"/>
                  </w:divBdr>
                  <w:divsChild>
                    <w:div w:id="43452787">
                      <w:marLeft w:val="0"/>
                      <w:marRight w:val="0"/>
                      <w:marTop w:val="0"/>
                      <w:marBottom w:val="0"/>
                      <w:divBdr>
                        <w:top w:val="none" w:sz="0" w:space="0" w:color="auto"/>
                        <w:left w:val="none" w:sz="0" w:space="0" w:color="auto"/>
                        <w:bottom w:val="none" w:sz="0" w:space="0" w:color="auto"/>
                        <w:right w:val="none" w:sz="0" w:space="0" w:color="auto"/>
                      </w:divBdr>
                      <w:divsChild>
                        <w:div w:id="1601913821">
                          <w:marLeft w:val="-375"/>
                          <w:marRight w:val="0"/>
                          <w:marTop w:val="0"/>
                          <w:marBottom w:val="0"/>
                          <w:divBdr>
                            <w:top w:val="none" w:sz="0" w:space="0" w:color="auto"/>
                            <w:left w:val="none" w:sz="0" w:space="0" w:color="auto"/>
                            <w:bottom w:val="none" w:sz="0" w:space="0" w:color="auto"/>
                            <w:right w:val="none" w:sz="0" w:space="0" w:color="auto"/>
                          </w:divBdr>
                          <w:divsChild>
                            <w:div w:id="1976134459">
                              <w:marLeft w:val="0"/>
                              <w:marRight w:val="0"/>
                              <w:marTop w:val="0"/>
                              <w:marBottom w:val="0"/>
                              <w:divBdr>
                                <w:top w:val="none" w:sz="0" w:space="0" w:color="auto"/>
                                <w:left w:val="none" w:sz="0" w:space="0" w:color="auto"/>
                                <w:bottom w:val="none" w:sz="0" w:space="0" w:color="auto"/>
                                <w:right w:val="none" w:sz="0" w:space="0" w:color="auto"/>
                              </w:divBdr>
                              <w:divsChild>
                                <w:div w:id="846477039">
                                  <w:marLeft w:val="0"/>
                                  <w:marRight w:val="0"/>
                                  <w:marTop w:val="0"/>
                                  <w:marBottom w:val="0"/>
                                  <w:divBdr>
                                    <w:top w:val="none" w:sz="0" w:space="0" w:color="auto"/>
                                    <w:left w:val="none" w:sz="0" w:space="0" w:color="auto"/>
                                    <w:bottom w:val="none" w:sz="0" w:space="0" w:color="auto"/>
                                    <w:right w:val="none" w:sz="0" w:space="0" w:color="auto"/>
                                  </w:divBdr>
                                  <w:divsChild>
                                    <w:div w:id="1085226108">
                                      <w:marLeft w:val="0"/>
                                      <w:marRight w:val="0"/>
                                      <w:marTop w:val="0"/>
                                      <w:marBottom w:val="0"/>
                                      <w:divBdr>
                                        <w:top w:val="none" w:sz="0" w:space="0" w:color="auto"/>
                                        <w:left w:val="none" w:sz="0" w:space="0" w:color="auto"/>
                                        <w:bottom w:val="none" w:sz="0" w:space="0" w:color="auto"/>
                                        <w:right w:val="none" w:sz="0" w:space="0" w:color="auto"/>
                                      </w:divBdr>
                                      <w:divsChild>
                                        <w:div w:id="1582059684">
                                          <w:marLeft w:val="-375"/>
                                          <w:marRight w:val="0"/>
                                          <w:marTop w:val="0"/>
                                          <w:marBottom w:val="0"/>
                                          <w:divBdr>
                                            <w:top w:val="none" w:sz="0" w:space="0" w:color="auto"/>
                                            <w:left w:val="none" w:sz="0" w:space="0" w:color="auto"/>
                                            <w:bottom w:val="none" w:sz="0" w:space="0" w:color="auto"/>
                                            <w:right w:val="none" w:sz="0" w:space="0" w:color="auto"/>
                                          </w:divBdr>
                                          <w:divsChild>
                                            <w:div w:id="63726074">
                                              <w:marLeft w:val="0"/>
                                              <w:marRight w:val="0"/>
                                              <w:marTop w:val="0"/>
                                              <w:marBottom w:val="0"/>
                                              <w:divBdr>
                                                <w:top w:val="none" w:sz="0" w:space="0" w:color="auto"/>
                                                <w:left w:val="none" w:sz="0" w:space="0" w:color="auto"/>
                                                <w:bottom w:val="none" w:sz="0" w:space="0" w:color="auto"/>
                                                <w:right w:val="none" w:sz="0" w:space="0" w:color="auto"/>
                                              </w:divBdr>
                                              <w:divsChild>
                                                <w:div w:id="839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9941">
                                      <w:marLeft w:val="-375"/>
                                      <w:marRight w:val="0"/>
                                      <w:marTop w:val="0"/>
                                      <w:marBottom w:val="0"/>
                                      <w:divBdr>
                                        <w:top w:val="none" w:sz="0" w:space="0" w:color="auto"/>
                                        <w:left w:val="none" w:sz="0" w:space="0" w:color="auto"/>
                                        <w:bottom w:val="none" w:sz="0" w:space="0" w:color="auto"/>
                                        <w:right w:val="none" w:sz="0" w:space="0" w:color="auto"/>
                                      </w:divBdr>
                                      <w:divsChild>
                                        <w:div w:id="2127655829">
                                          <w:marLeft w:val="0"/>
                                          <w:marRight w:val="0"/>
                                          <w:marTop w:val="0"/>
                                          <w:marBottom w:val="0"/>
                                          <w:divBdr>
                                            <w:top w:val="none" w:sz="0" w:space="0" w:color="auto"/>
                                            <w:left w:val="none" w:sz="0" w:space="0" w:color="auto"/>
                                            <w:bottom w:val="none" w:sz="0" w:space="0" w:color="auto"/>
                                            <w:right w:val="none" w:sz="0" w:space="0" w:color="auto"/>
                                          </w:divBdr>
                                        </w:div>
                                        <w:div w:id="10945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621371">
      <w:bodyDiv w:val="1"/>
      <w:marLeft w:val="0"/>
      <w:marRight w:val="0"/>
      <w:marTop w:val="0"/>
      <w:marBottom w:val="0"/>
      <w:divBdr>
        <w:top w:val="none" w:sz="0" w:space="0" w:color="auto"/>
        <w:left w:val="none" w:sz="0" w:space="0" w:color="auto"/>
        <w:bottom w:val="none" w:sz="0" w:space="0" w:color="auto"/>
        <w:right w:val="none" w:sz="0" w:space="0" w:color="auto"/>
      </w:divBdr>
    </w:div>
    <w:div w:id="2039817137">
      <w:bodyDiv w:val="1"/>
      <w:marLeft w:val="0"/>
      <w:marRight w:val="0"/>
      <w:marTop w:val="0"/>
      <w:marBottom w:val="0"/>
      <w:divBdr>
        <w:top w:val="none" w:sz="0" w:space="0" w:color="auto"/>
        <w:left w:val="none" w:sz="0" w:space="0" w:color="auto"/>
        <w:bottom w:val="none" w:sz="0" w:space="0" w:color="auto"/>
        <w:right w:val="none" w:sz="0" w:space="0" w:color="auto"/>
      </w:divBdr>
    </w:div>
    <w:div w:id="2043550862">
      <w:bodyDiv w:val="1"/>
      <w:marLeft w:val="0"/>
      <w:marRight w:val="0"/>
      <w:marTop w:val="0"/>
      <w:marBottom w:val="0"/>
      <w:divBdr>
        <w:top w:val="none" w:sz="0" w:space="0" w:color="auto"/>
        <w:left w:val="none" w:sz="0" w:space="0" w:color="auto"/>
        <w:bottom w:val="none" w:sz="0" w:space="0" w:color="auto"/>
        <w:right w:val="none" w:sz="0" w:space="0" w:color="auto"/>
      </w:divBdr>
      <w:divsChild>
        <w:div w:id="1355233302">
          <w:marLeft w:val="0"/>
          <w:marRight w:val="0"/>
          <w:marTop w:val="0"/>
          <w:marBottom w:val="0"/>
          <w:divBdr>
            <w:top w:val="none" w:sz="0" w:space="0" w:color="auto"/>
            <w:left w:val="none" w:sz="0" w:space="0" w:color="auto"/>
            <w:bottom w:val="none" w:sz="0" w:space="0" w:color="auto"/>
            <w:right w:val="none" w:sz="0" w:space="0" w:color="auto"/>
          </w:divBdr>
          <w:divsChild>
            <w:div w:id="2140755289">
              <w:marLeft w:val="0"/>
              <w:marRight w:val="0"/>
              <w:marTop w:val="0"/>
              <w:marBottom w:val="0"/>
              <w:divBdr>
                <w:top w:val="none" w:sz="0" w:space="0" w:color="auto"/>
                <w:left w:val="none" w:sz="0" w:space="0" w:color="auto"/>
                <w:bottom w:val="none" w:sz="0" w:space="0" w:color="auto"/>
                <w:right w:val="none" w:sz="0" w:space="0" w:color="auto"/>
              </w:divBdr>
              <w:divsChild>
                <w:div w:id="1139305426">
                  <w:marLeft w:val="0"/>
                  <w:marRight w:val="0"/>
                  <w:marTop w:val="0"/>
                  <w:marBottom w:val="0"/>
                  <w:divBdr>
                    <w:top w:val="none" w:sz="0" w:space="0" w:color="auto"/>
                    <w:left w:val="none" w:sz="0" w:space="0" w:color="auto"/>
                    <w:bottom w:val="none" w:sz="0" w:space="0" w:color="auto"/>
                    <w:right w:val="none" w:sz="0" w:space="0" w:color="auto"/>
                  </w:divBdr>
                  <w:divsChild>
                    <w:div w:id="1842889491">
                      <w:marLeft w:val="0"/>
                      <w:marRight w:val="0"/>
                      <w:marTop w:val="0"/>
                      <w:marBottom w:val="0"/>
                      <w:divBdr>
                        <w:top w:val="none" w:sz="0" w:space="0" w:color="auto"/>
                        <w:left w:val="none" w:sz="0" w:space="0" w:color="auto"/>
                        <w:bottom w:val="none" w:sz="0" w:space="0" w:color="auto"/>
                        <w:right w:val="none" w:sz="0" w:space="0" w:color="auto"/>
                      </w:divBdr>
                    </w:div>
                    <w:div w:id="14779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6225">
          <w:marLeft w:val="0"/>
          <w:marRight w:val="0"/>
          <w:marTop w:val="0"/>
          <w:marBottom w:val="0"/>
          <w:divBdr>
            <w:top w:val="none" w:sz="0" w:space="0" w:color="auto"/>
            <w:left w:val="none" w:sz="0" w:space="0" w:color="auto"/>
            <w:bottom w:val="none" w:sz="0" w:space="0" w:color="auto"/>
            <w:right w:val="none" w:sz="0" w:space="0" w:color="auto"/>
          </w:divBdr>
          <w:divsChild>
            <w:div w:id="1056851867">
              <w:marLeft w:val="0"/>
              <w:marRight w:val="0"/>
              <w:marTop w:val="0"/>
              <w:marBottom w:val="0"/>
              <w:divBdr>
                <w:top w:val="none" w:sz="0" w:space="0" w:color="auto"/>
                <w:left w:val="none" w:sz="0" w:space="0" w:color="auto"/>
                <w:bottom w:val="none" w:sz="0" w:space="0" w:color="auto"/>
                <w:right w:val="none" w:sz="0" w:space="0" w:color="auto"/>
              </w:divBdr>
              <w:divsChild>
                <w:div w:id="952790866">
                  <w:marLeft w:val="0"/>
                  <w:marRight w:val="0"/>
                  <w:marTop w:val="0"/>
                  <w:marBottom w:val="0"/>
                  <w:divBdr>
                    <w:top w:val="none" w:sz="0" w:space="0" w:color="auto"/>
                    <w:left w:val="none" w:sz="0" w:space="0" w:color="auto"/>
                    <w:bottom w:val="none" w:sz="0" w:space="0" w:color="auto"/>
                    <w:right w:val="none" w:sz="0" w:space="0" w:color="auto"/>
                  </w:divBdr>
                  <w:divsChild>
                    <w:div w:id="1206143590">
                      <w:marLeft w:val="0"/>
                      <w:marRight w:val="0"/>
                      <w:marTop w:val="0"/>
                      <w:marBottom w:val="0"/>
                      <w:divBdr>
                        <w:top w:val="none" w:sz="0" w:space="0" w:color="auto"/>
                        <w:left w:val="none" w:sz="0" w:space="0" w:color="auto"/>
                        <w:bottom w:val="none" w:sz="0" w:space="0" w:color="auto"/>
                        <w:right w:val="none" w:sz="0" w:space="0" w:color="auto"/>
                      </w:divBdr>
                      <w:divsChild>
                        <w:div w:id="116922048">
                          <w:marLeft w:val="0"/>
                          <w:marRight w:val="0"/>
                          <w:marTop w:val="0"/>
                          <w:marBottom w:val="0"/>
                          <w:divBdr>
                            <w:top w:val="none" w:sz="0" w:space="0" w:color="auto"/>
                            <w:left w:val="none" w:sz="0" w:space="0" w:color="auto"/>
                            <w:bottom w:val="none" w:sz="0" w:space="0" w:color="auto"/>
                            <w:right w:val="none" w:sz="0" w:space="0" w:color="auto"/>
                          </w:divBdr>
                          <w:divsChild>
                            <w:div w:id="104931931">
                              <w:marLeft w:val="0"/>
                              <w:marRight w:val="0"/>
                              <w:marTop w:val="0"/>
                              <w:marBottom w:val="0"/>
                              <w:divBdr>
                                <w:top w:val="none" w:sz="0" w:space="0" w:color="auto"/>
                                <w:left w:val="none" w:sz="0" w:space="0" w:color="auto"/>
                                <w:bottom w:val="none" w:sz="0" w:space="0" w:color="auto"/>
                                <w:right w:val="none" w:sz="0" w:space="0" w:color="auto"/>
                              </w:divBdr>
                            </w:div>
                          </w:divsChild>
                        </w:div>
                        <w:div w:id="1016688519">
                          <w:marLeft w:val="0"/>
                          <w:marRight w:val="0"/>
                          <w:marTop w:val="0"/>
                          <w:marBottom w:val="0"/>
                          <w:divBdr>
                            <w:top w:val="none" w:sz="0" w:space="0" w:color="auto"/>
                            <w:left w:val="none" w:sz="0" w:space="0" w:color="auto"/>
                            <w:bottom w:val="none" w:sz="0" w:space="0" w:color="auto"/>
                            <w:right w:val="none" w:sz="0" w:space="0" w:color="auto"/>
                          </w:divBdr>
                          <w:divsChild>
                            <w:div w:id="1038166848">
                              <w:marLeft w:val="0"/>
                              <w:marRight w:val="0"/>
                              <w:marTop w:val="0"/>
                              <w:marBottom w:val="0"/>
                              <w:divBdr>
                                <w:top w:val="none" w:sz="0" w:space="0" w:color="auto"/>
                                <w:left w:val="none" w:sz="0" w:space="0" w:color="auto"/>
                                <w:bottom w:val="none" w:sz="0" w:space="0" w:color="auto"/>
                                <w:right w:val="none" w:sz="0" w:space="0" w:color="auto"/>
                              </w:divBdr>
                              <w:divsChild>
                                <w:div w:id="565460537">
                                  <w:marLeft w:val="0"/>
                                  <w:marRight w:val="0"/>
                                  <w:marTop w:val="0"/>
                                  <w:marBottom w:val="0"/>
                                  <w:divBdr>
                                    <w:top w:val="none" w:sz="0" w:space="0" w:color="auto"/>
                                    <w:left w:val="none" w:sz="0" w:space="0" w:color="auto"/>
                                    <w:bottom w:val="none" w:sz="0" w:space="0" w:color="auto"/>
                                    <w:right w:val="none" w:sz="0" w:space="0" w:color="auto"/>
                                  </w:divBdr>
                                  <w:divsChild>
                                    <w:div w:id="1928347767">
                                      <w:marLeft w:val="0"/>
                                      <w:marRight w:val="0"/>
                                      <w:marTop w:val="0"/>
                                      <w:marBottom w:val="0"/>
                                      <w:divBdr>
                                        <w:top w:val="none" w:sz="0" w:space="0" w:color="auto"/>
                                        <w:left w:val="none" w:sz="0" w:space="0" w:color="auto"/>
                                        <w:bottom w:val="none" w:sz="0" w:space="0" w:color="auto"/>
                                        <w:right w:val="none" w:sz="0" w:space="0" w:color="auto"/>
                                      </w:divBdr>
                                      <w:divsChild>
                                        <w:div w:id="1544365679">
                                          <w:marLeft w:val="0"/>
                                          <w:marRight w:val="0"/>
                                          <w:marTop w:val="0"/>
                                          <w:marBottom w:val="0"/>
                                          <w:divBdr>
                                            <w:top w:val="none" w:sz="0" w:space="0" w:color="auto"/>
                                            <w:left w:val="none" w:sz="0" w:space="0" w:color="auto"/>
                                            <w:bottom w:val="none" w:sz="0" w:space="0" w:color="auto"/>
                                            <w:right w:val="none" w:sz="0" w:space="0" w:color="auto"/>
                                          </w:divBdr>
                                        </w:div>
                                        <w:div w:id="548603">
                                          <w:marLeft w:val="0"/>
                                          <w:marRight w:val="0"/>
                                          <w:marTop w:val="0"/>
                                          <w:marBottom w:val="0"/>
                                          <w:divBdr>
                                            <w:top w:val="none" w:sz="0" w:space="0" w:color="auto"/>
                                            <w:left w:val="none" w:sz="0" w:space="0" w:color="auto"/>
                                            <w:bottom w:val="none" w:sz="0" w:space="0" w:color="auto"/>
                                            <w:right w:val="none" w:sz="0" w:space="0" w:color="auto"/>
                                          </w:divBdr>
                                        </w:div>
                                        <w:div w:id="1508445277">
                                          <w:marLeft w:val="0"/>
                                          <w:marRight w:val="0"/>
                                          <w:marTop w:val="0"/>
                                          <w:marBottom w:val="0"/>
                                          <w:divBdr>
                                            <w:top w:val="none" w:sz="0" w:space="0" w:color="auto"/>
                                            <w:left w:val="none" w:sz="0" w:space="0" w:color="auto"/>
                                            <w:bottom w:val="none" w:sz="0" w:space="0" w:color="auto"/>
                                            <w:right w:val="none" w:sz="0" w:space="0" w:color="auto"/>
                                          </w:divBdr>
                                        </w:div>
                                        <w:div w:id="1473214952">
                                          <w:marLeft w:val="0"/>
                                          <w:marRight w:val="0"/>
                                          <w:marTop w:val="0"/>
                                          <w:marBottom w:val="0"/>
                                          <w:divBdr>
                                            <w:top w:val="none" w:sz="0" w:space="0" w:color="auto"/>
                                            <w:left w:val="none" w:sz="0" w:space="0" w:color="auto"/>
                                            <w:bottom w:val="none" w:sz="0" w:space="0" w:color="auto"/>
                                            <w:right w:val="none" w:sz="0" w:space="0" w:color="auto"/>
                                          </w:divBdr>
                                        </w:div>
                                        <w:div w:id="1238788373">
                                          <w:marLeft w:val="0"/>
                                          <w:marRight w:val="0"/>
                                          <w:marTop w:val="0"/>
                                          <w:marBottom w:val="0"/>
                                          <w:divBdr>
                                            <w:top w:val="none" w:sz="0" w:space="0" w:color="auto"/>
                                            <w:left w:val="none" w:sz="0" w:space="0" w:color="auto"/>
                                            <w:bottom w:val="none" w:sz="0" w:space="0" w:color="auto"/>
                                            <w:right w:val="none" w:sz="0" w:space="0" w:color="auto"/>
                                          </w:divBdr>
                                          <w:divsChild>
                                            <w:div w:id="15421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2653">
                                      <w:marLeft w:val="0"/>
                                      <w:marRight w:val="0"/>
                                      <w:marTop w:val="0"/>
                                      <w:marBottom w:val="0"/>
                                      <w:divBdr>
                                        <w:top w:val="none" w:sz="0" w:space="0" w:color="auto"/>
                                        <w:left w:val="none" w:sz="0" w:space="0" w:color="auto"/>
                                        <w:bottom w:val="none" w:sz="0" w:space="0" w:color="auto"/>
                                        <w:right w:val="none" w:sz="0" w:space="0" w:color="auto"/>
                                      </w:divBdr>
                                      <w:divsChild>
                                        <w:div w:id="9676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598743">
      <w:bodyDiv w:val="1"/>
      <w:marLeft w:val="0"/>
      <w:marRight w:val="0"/>
      <w:marTop w:val="0"/>
      <w:marBottom w:val="0"/>
      <w:divBdr>
        <w:top w:val="none" w:sz="0" w:space="0" w:color="auto"/>
        <w:left w:val="none" w:sz="0" w:space="0" w:color="auto"/>
        <w:bottom w:val="none" w:sz="0" w:space="0" w:color="auto"/>
        <w:right w:val="none" w:sz="0" w:space="0" w:color="auto"/>
      </w:divBdr>
      <w:divsChild>
        <w:div w:id="2069842856">
          <w:marLeft w:val="0"/>
          <w:marRight w:val="0"/>
          <w:marTop w:val="0"/>
          <w:marBottom w:val="0"/>
          <w:divBdr>
            <w:top w:val="none" w:sz="0" w:space="0" w:color="auto"/>
            <w:left w:val="none" w:sz="0" w:space="0" w:color="auto"/>
            <w:bottom w:val="none" w:sz="0" w:space="0" w:color="auto"/>
            <w:right w:val="none" w:sz="0" w:space="0" w:color="auto"/>
          </w:divBdr>
          <w:divsChild>
            <w:div w:id="1841920615">
              <w:marLeft w:val="-225"/>
              <w:marRight w:val="-225"/>
              <w:marTop w:val="0"/>
              <w:marBottom w:val="0"/>
              <w:divBdr>
                <w:top w:val="none" w:sz="0" w:space="0" w:color="auto"/>
                <w:left w:val="none" w:sz="0" w:space="0" w:color="auto"/>
                <w:bottom w:val="none" w:sz="0" w:space="0" w:color="auto"/>
                <w:right w:val="none" w:sz="0" w:space="0" w:color="auto"/>
              </w:divBdr>
              <w:divsChild>
                <w:div w:id="1233467502">
                  <w:marLeft w:val="0"/>
                  <w:marRight w:val="0"/>
                  <w:marTop w:val="0"/>
                  <w:marBottom w:val="0"/>
                  <w:divBdr>
                    <w:top w:val="none" w:sz="0" w:space="0" w:color="auto"/>
                    <w:left w:val="none" w:sz="0" w:space="0" w:color="auto"/>
                    <w:bottom w:val="none" w:sz="0" w:space="0" w:color="auto"/>
                    <w:right w:val="none" w:sz="0" w:space="0" w:color="auto"/>
                  </w:divBdr>
                  <w:divsChild>
                    <w:div w:id="984897060">
                      <w:marLeft w:val="0"/>
                      <w:marRight w:val="0"/>
                      <w:marTop w:val="0"/>
                      <w:marBottom w:val="0"/>
                      <w:divBdr>
                        <w:top w:val="none" w:sz="0" w:space="0" w:color="auto"/>
                        <w:left w:val="none" w:sz="0" w:space="0" w:color="auto"/>
                        <w:bottom w:val="none" w:sz="0" w:space="0" w:color="auto"/>
                        <w:right w:val="none" w:sz="0" w:space="0" w:color="auto"/>
                      </w:divBdr>
                      <w:divsChild>
                        <w:div w:id="1972979004">
                          <w:marLeft w:val="0"/>
                          <w:marRight w:val="0"/>
                          <w:marTop w:val="0"/>
                          <w:marBottom w:val="0"/>
                          <w:divBdr>
                            <w:top w:val="none" w:sz="0" w:space="0" w:color="auto"/>
                            <w:left w:val="none" w:sz="0" w:space="0" w:color="auto"/>
                            <w:bottom w:val="none" w:sz="0" w:space="0" w:color="auto"/>
                            <w:right w:val="none" w:sz="0" w:space="0" w:color="auto"/>
                          </w:divBdr>
                          <w:divsChild>
                            <w:div w:id="876893953">
                              <w:marLeft w:val="0"/>
                              <w:marRight w:val="0"/>
                              <w:marTop w:val="0"/>
                              <w:marBottom w:val="0"/>
                              <w:divBdr>
                                <w:top w:val="none" w:sz="0" w:space="0" w:color="auto"/>
                                <w:left w:val="none" w:sz="0" w:space="0" w:color="auto"/>
                                <w:bottom w:val="none" w:sz="0" w:space="0" w:color="auto"/>
                                <w:right w:val="none" w:sz="0" w:space="0" w:color="auto"/>
                              </w:divBdr>
                              <w:divsChild>
                                <w:div w:id="170530542">
                                  <w:marLeft w:val="0"/>
                                  <w:marRight w:val="0"/>
                                  <w:marTop w:val="0"/>
                                  <w:marBottom w:val="0"/>
                                  <w:divBdr>
                                    <w:top w:val="none" w:sz="0" w:space="0" w:color="auto"/>
                                    <w:left w:val="none" w:sz="0" w:space="0" w:color="auto"/>
                                    <w:bottom w:val="none" w:sz="0" w:space="0" w:color="auto"/>
                                    <w:right w:val="none" w:sz="0" w:space="0" w:color="auto"/>
                                  </w:divBdr>
                                  <w:divsChild>
                                    <w:div w:id="10038259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979969">
      <w:bodyDiv w:val="1"/>
      <w:marLeft w:val="0"/>
      <w:marRight w:val="0"/>
      <w:marTop w:val="0"/>
      <w:marBottom w:val="0"/>
      <w:divBdr>
        <w:top w:val="none" w:sz="0" w:space="0" w:color="auto"/>
        <w:left w:val="none" w:sz="0" w:space="0" w:color="auto"/>
        <w:bottom w:val="none" w:sz="0" w:space="0" w:color="auto"/>
        <w:right w:val="none" w:sz="0" w:space="0" w:color="auto"/>
      </w:divBdr>
      <w:divsChild>
        <w:div w:id="261567485">
          <w:marLeft w:val="0"/>
          <w:marRight w:val="0"/>
          <w:marTop w:val="0"/>
          <w:marBottom w:val="0"/>
          <w:divBdr>
            <w:top w:val="none" w:sz="0" w:space="0" w:color="auto"/>
            <w:left w:val="none" w:sz="0" w:space="0" w:color="auto"/>
            <w:bottom w:val="none" w:sz="0" w:space="0" w:color="auto"/>
            <w:right w:val="none" w:sz="0" w:space="0" w:color="auto"/>
          </w:divBdr>
          <w:divsChild>
            <w:div w:id="126577000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48330037">
      <w:bodyDiv w:val="1"/>
      <w:marLeft w:val="0"/>
      <w:marRight w:val="0"/>
      <w:marTop w:val="0"/>
      <w:marBottom w:val="0"/>
      <w:divBdr>
        <w:top w:val="none" w:sz="0" w:space="0" w:color="auto"/>
        <w:left w:val="none" w:sz="0" w:space="0" w:color="auto"/>
        <w:bottom w:val="none" w:sz="0" w:space="0" w:color="auto"/>
        <w:right w:val="none" w:sz="0" w:space="0" w:color="auto"/>
      </w:divBdr>
      <w:divsChild>
        <w:div w:id="935942280">
          <w:marLeft w:val="0"/>
          <w:marRight w:val="0"/>
          <w:marTop w:val="0"/>
          <w:marBottom w:val="0"/>
          <w:divBdr>
            <w:top w:val="none" w:sz="0" w:space="0" w:color="auto"/>
            <w:left w:val="none" w:sz="0" w:space="0" w:color="auto"/>
            <w:bottom w:val="none" w:sz="0" w:space="0" w:color="auto"/>
            <w:right w:val="none" w:sz="0" w:space="0" w:color="auto"/>
          </w:divBdr>
        </w:div>
        <w:div w:id="77752678">
          <w:marLeft w:val="0"/>
          <w:marRight w:val="0"/>
          <w:marTop w:val="0"/>
          <w:marBottom w:val="150"/>
          <w:divBdr>
            <w:top w:val="none" w:sz="0" w:space="0" w:color="auto"/>
            <w:left w:val="none" w:sz="0" w:space="0" w:color="auto"/>
            <w:bottom w:val="none" w:sz="0" w:space="0" w:color="auto"/>
            <w:right w:val="none" w:sz="0" w:space="0" w:color="auto"/>
          </w:divBdr>
          <w:divsChild>
            <w:div w:id="1206259009">
              <w:marLeft w:val="0"/>
              <w:marRight w:val="0"/>
              <w:marTop w:val="0"/>
              <w:marBottom w:val="0"/>
              <w:divBdr>
                <w:top w:val="none" w:sz="0" w:space="0" w:color="auto"/>
                <w:left w:val="none" w:sz="0" w:space="0" w:color="auto"/>
                <w:bottom w:val="none" w:sz="0" w:space="0" w:color="auto"/>
                <w:right w:val="none" w:sz="0" w:space="0" w:color="auto"/>
              </w:divBdr>
              <w:divsChild>
                <w:div w:id="830753552">
                  <w:marLeft w:val="0"/>
                  <w:marRight w:val="225"/>
                  <w:marTop w:val="0"/>
                  <w:marBottom w:val="0"/>
                  <w:divBdr>
                    <w:top w:val="none" w:sz="0" w:space="0" w:color="auto"/>
                    <w:left w:val="none" w:sz="0" w:space="0" w:color="auto"/>
                    <w:bottom w:val="none" w:sz="0" w:space="0" w:color="auto"/>
                    <w:right w:val="none" w:sz="0" w:space="0" w:color="auto"/>
                  </w:divBdr>
                  <w:divsChild>
                    <w:div w:id="2044671461">
                      <w:marLeft w:val="0"/>
                      <w:marRight w:val="0"/>
                      <w:marTop w:val="0"/>
                      <w:marBottom w:val="0"/>
                      <w:divBdr>
                        <w:top w:val="none" w:sz="0" w:space="0" w:color="auto"/>
                        <w:left w:val="none" w:sz="0" w:space="0" w:color="auto"/>
                        <w:bottom w:val="none" w:sz="0" w:space="0" w:color="auto"/>
                        <w:right w:val="none" w:sz="0" w:space="0" w:color="auto"/>
                      </w:divBdr>
                    </w:div>
                  </w:divsChild>
                </w:div>
                <w:div w:id="2059040977">
                  <w:marLeft w:val="0"/>
                  <w:marRight w:val="225"/>
                  <w:marTop w:val="0"/>
                  <w:marBottom w:val="0"/>
                  <w:divBdr>
                    <w:top w:val="none" w:sz="0" w:space="0" w:color="auto"/>
                    <w:left w:val="none" w:sz="0" w:space="0" w:color="auto"/>
                    <w:bottom w:val="none" w:sz="0" w:space="0" w:color="auto"/>
                    <w:right w:val="none" w:sz="0" w:space="0" w:color="auto"/>
                  </w:divBdr>
                  <w:divsChild>
                    <w:div w:id="1172182781">
                      <w:marLeft w:val="0"/>
                      <w:marRight w:val="0"/>
                      <w:marTop w:val="0"/>
                      <w:marBottom w:val="0"/>
                      <w:divBdr>
                        <w:top w:val="none" w:sz="0" w:space="0" w:color="auto"/>
                        <w:left w:val="none" w:sz="0" w:space="0" w:color="auto"/>
                        <w:bottom w:val="none" w:sz="0" w:space="0" w:color="auto"/>
                        <w:right w:val="none" w:sz="0" w:space="0" w:color="auto"/>
                      </w:divBdr>
                    </w:div>
                  </w:divsChild>
                </w:div>
                <w:div w:id="1650549238">
                  <w:marLeft w:val="0"/>
                  <w:marRight w:val="225"/>
                  <w:marTop w:val="0"/>
                  <w:marBottom w:val="0"/>
                  <w:divBdr>
                    <w:top w:val="none" w:sz="0" w:space="0" w:color="auto"/>
                    <w:left w:val="none" w:sz="0" w:space="0" w:color="auto"/>
                    <w:bottom w:val="none" w:sz="0" w:space="0" w:color="auto"/>
                    <w:right w:val="none" w:sz="0" w:space="0" w:color="auto"/>
                  </w:divBdr>
                  <w:divsChild>
                    <w:div w:id="4197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49718">
          <w:marLeft w:val="0"/>
          <w:marRight w:val="0"/>
          <w:marTop w:val="0"/>
          <w:marBottom w:val="150"/>
          <w:divBdr>
            <w:top w:val="none" w:sz="0" w:space="0" w:color="auto"/>
            <w:left w:val="none" w:sz="0" w:space="0" w:color="auto"/>
            <w:bottom w:val="none" w:sz="0" w:space="0" w:color="auto"/>
            <w:right w:val="none" w:sz="0" w:space="0" w:color="auto"/>
          </w:divBdr>
        </w:div>
      </w:divsChild>
    </w:div>
    <w:div w:id="2048868230">
      <w:bodyDiv w:val="1"/>
      <w:marLeft w:val="0"/>
      <w:marRight w:val="0"/>
      <w:marTop w:val="0"/>
      <w:marBottom w:val="0"/>
      <w:divBdr>
        <w:top w:val="none" w:sz="0" w:space="0" w:color="auto"/>
        <w:left w:val="none" w:sz="0" w:space="0" w:color="auto"/>
        <w:bottom w:val="none" w:sz="0" w:space="0" w:color="auto"/>
        <w:right w:val="none" w:sz="0" w:space="0" w:color="auto"/>
      </w:divBdr>
    </w:div>
    <w:div w:id="2049254405">
      <w:bodyDiv w:val="1"/>
      <w:marLeft w:val="0"/>
      <w:marRight w:val="0"/>
      <w:marTop w:val="0"/>
      <w:marBottom w:val="0"/>
      <w:divBdr>
        <w:top w:val="none" w:sz="0" w:space="0" w:color="auto"/>
        <w:left w:val="none" w:sz="0" w:space="0" w:color="auto"/>
        <w:bottom w:val="none" w:sz="0" w:space="0" w:color="auto"/>
        <w:right w:val="none" w:sz="0" w:space="0" w:color="auto"/>
      </w:divBdr>
      <w:divsChild>
        <w:div w:id="583994479">
          <w:marLeft w:val="0"/>
          <w:marRight w:val="0"/>
          <w:marTop w:val="0"/>
          <w:marBottom w:val="0"/>
          <w:divBdr>
            <w:top w:val="none" w:sz="0" w:space="0" w:color="auto"/>
            <w:left w:val="none" w:sz="0" w:space="0" w:color="auto"/>
            <w:bottom w:val="none" w:sz="0" w:space="0" w:color="auto"/>
            <w:right w:val="none" w:sz="0" w:space="0" w:color="auto"/>
          </w:divBdr>
          <w:divsChild>
            <w:div w:id="1506746675">
              <w:marLeft w:val="0"/>
              <w:marRight w:val="0"/>
              <w:marTop w:val="0"/>
              <w:marBottom w:val="0"/>
              <w:divBdr>
                <w:top w:val="none" w:sz="0" w:space="0" w:color="auto"/>
                <w:left w:val="none" w:sz="0" w:space="0" w:color="auto"/>
                <w:bottom w:val="none" w:sz="0" w:space="0" w:color="auto"/>
                <w:right w:val="none" w:sz="0" w:space="0" w:color="auto"/>
              </w:divBdr>
              <w:divsChild>
                <w:div w:id="400908374">
                  <w:marLeft w:val="0"/>
                  <w:marRight w:val="0"/>
                  <w:marTop w:val="0"/>
                  <w:marBottom w:val="0"/>
                  <w:divBdr>
                    <w:top w:val="none" w:sz="0" w:space="0" w:color="auto"/>
                    <w:left w:val="none" w:sz="0" w:space="0" w:color="auto"/>
                    <w:bottom w:val="none" w:sz="0" w:space="0" w:color="auto"/>
                    <w:right w:val="none" w:sz="0" w:space="0" w:color="auto"/>
                  </w:divBdr>
                  <w:divsChild>
                    <w:div w:id="1352486448">
                      <w:marLeft w:val="0"/>
                      <w:marRight w:val="0"/>
                      <w:marTop w:val="0"/>
                      <w:marBottom w:val="0"/>
                      <w:divBdr>
                        <w:top w:val="none" w:sz="0" w:space="0" w:color="auto"/>
                        <w:left w:val="none" w:sz="0" w:space="0" w:color="auto"/>
                        <w:bottom w:val="none" w:sz="0" w:space="0" w:color="auto"/>
                        <w:right w:val="none" w:sz="0" w:space="0" w:color="auto"/>
                      </w:divBdr>
                      <w:divsChild>
                        <w:div w:id="12412902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49985801">
      <w:bodyDiv w:val="1"/>
      <w:marLeft w:val="0"/>
      <w:marRight w:val="0"/>
      <w:marTop w:val="0"/>
      <w:marBottom w:val="0"/>
      <w:divBdr>
        <w:top w:val="none" w:sz="0" w:space="0" w:color="auto"/>
        <w:left w:val="none" w:sz="0" w:space="0" w:color="auto"/>
        <w:bottom w:val="none" w:sz="0" w:space="0" w:color="auto"/>
        <w:right w:val="none" w:sz="0" w:space="0" w:color="auto"/>
      </w:divBdr>
      <w:divsChild>
        <w:div w:id="1845587358">
          <w:marLeft w:val="0"/>
          <w:marRight w:val="0"/>
          <w:marTop w:val="0"/>
          <w:marBottom w:val="0"/>
          <w:divBdr>
            <w:top w:val="none" w:sz="0" w:space="0" w:color="auto"/>
            <w:left w:val="none" w:sz="0" w:space="0" w:color="auto"/>
            <w:bottom w:val="none" w:sz="0" w:space="0" w:color="auto"/>
            <w:right w:val="none" w:sz="0" w:space="0" w:color="auto"/>
          </w:divBdr>
        </w:div>
        <w:div w:id="821581903">
          <w:marLeft w:val="0"/>
          <w:marRight w:val="0"/>
          <w:marTop w:val="0"/>
          <w:marBottom w:val="0"/>
          <w:divBdr>
            <w:top w:val="none" w:sz="0" w:space="0" w:color="auto"/>
            <w:left w:val="none" w:sz="0" w:space="0" w:color="auto"/>
            <w:bottom w:val="none" w:sz="0" w:space="0" w:color="auto"/>
            <w:right w:val="none" w:sz="0" w:space="0" w:color="auto"/>
          </w:divBdr>
          <w:divsChild>
            <w:div w:id="4136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2574">
      <w:bodyDiv w:val="1"/>
      <w:marLeft w:val="0"/>
      <w:marRight w:val="0"/>
      <w:marTop w:val="0"/>
      <w:marBottom w:val="0"/>
      <w:divBdr>
        <w:top w:val="none" w:sz="0" w:space="0" w:color="auto"/>
        <w:left w:val="none" w:sz="0" w:space="0" w:color="auto"/>
        <w:bottom w:val="none" w:sz="0" w:space="0" w:color="auto"/>
        <w:right w:val="none" w:sz="0" w:space="0" w:color="auto"/>
      </w:divBdr>
    </w:div>
    <w:div w:id="2051490055">
      <w:bodyDiv w:val="1"/>
      <w:marLeft w:val="0"/>
      <w:marRight w:val="0"/>
      <w:marTop w:val="0"/>
      <w:marBottom w:val="0"/>
      <w:divBdr>
        <w:top w:val="none" w:sz="0" w:space="0" w:color="auto"/>
        <w:left w:val="none" w:sz="0" w:space="0" w:color="auto"/>
        <w:bottom w:val="none" w:sz="0" w:space="0" w:color="auto"/>
        <w:right w:val="none" w:sz="0" w:space="0" w:color="auto"/>
      </w:divBdr>
      <w:divsChild>
        <w:div w:id="569073090">
          <w:marLeft w:val="0"/>
          <w:marRight w:val="0"/>
          <w:marTop w:val="0"/>
          <w:marBottom w:val="0"/>
          <w:divBdr>
            <w:top w:val="none" w:sz="0" w:space="0" w:color="auto"/>
            <w:left w:val="none" w:sz="0" w:space="0" w:color="auto"/>
            <w:bottom w:val="none" w:sz="0" w:space="0" w:color="auto"/>
            <w:right w:val="none" w:sz="0" w:space="0" w:color="auto"/>
          </w:divBdr>
          <w:divsChild>
            <w:div w:id="1853883166">
              <w:marLeft w:val="0"/>
              <w:marRight w:val="0"/>
              <w:marTop w:val="0"/>
              <w:marBottom w:val="0"/>
              <w:divBdr>
                <w:top w:val="none" w:sz="0" w:space="0" w:color="auto"/>
                <w:left w:val="none" w:sz="0" w:space="0" w:color="auto"/>
                <w:bottom w:val="none" w:sz="0" w:space="0" w:color="auto"/>
                <w:right w:val="none" w:sz="0" w:space="0" w:color="auto"/>
              </w:divBdr>
              <w:divsChild>
                <w:div w:id="2135245084">
                  <w:marLeft w:val="0"/>
                  <w:marRight w:val="0"/>
                  <w:marTop w:val="100"/>
                  <w:marBottom w:val="100"/>
                  <w:divBdr>
                    <w:top w:val="none" w:sz="0" w:space="0" w:color="auto"/>
                    <w:left w:val="none" w:sz="0" w:space="0" w:color="auto"/>
                    <w:bottom w:val="none" w:sz="0" w:space="0" w:color="auto"/>
                    <w:right w:val="none" w:sz="0" w:space="0" w:color="auto"/>
                  </w:divBdr>
                  <w:divsChild>
                    <w:div w:id="75171073">
                      <w:marLeft w:val="0"/>
                      <w:marRight w:val="0"/>
                      <w:marTop w:val="0"/>
                      <w:marBottom w:val="0"/>
                      <w:divBdr>
                        <w:top w:val="none" w:sz="0" w:space="0" w:color="auto"/>
                        <w:left w:val="none" w:sz="0" w:space="0" w:color="auto"/>
                        <w:bottom w:val="none" w:sz="0" w:space="0" w:color="auto"/>
                        <w:right w:val="none" w:sz="0" w:space="0" w:color="auto"/>
                      </w:divBdr>
                      <w:divsChild>
                        <w:div w:id="123348267">
                          <w:marLeft w:val="0"/>
                          <w:marRight w:val="0"/>
                          <w:marTop w:val="0"/>
                          <w:marBottom w:val="0"/>
                          <w:divBdr>
                            <w:top w:val="none" w:sz="0" w:space="0" w:color="auto"/>
                            <w:left w:val="none" w:sz="0" w:space="0" w:color="auto"/>
                            <w:bottom w:val="none" w:sz="0" w:space="0" w:color="auto"/>
                            <w:right w:val="none" w:sz="0" w:space="0" w:color="auto"/>
                          </w:divBdr>
                          <w:divsChild>
                            <w:div w:id="278295417">
                              <w:marLeft w:val="0"/>
                              <w:marRight w:val="0"/>
                              <w:marTop w:val="0"/>
                              <w:marBottom w:val="0"/>
                              <w:divBdr>
                                <w:top w:val="none" w:sz="0" w:space="0" w:color="auto"/>
                                <w:left w:val="none" w:sz="0" w:space="0" w:color="auto"/>
                                <w:bottom w:val="none" w:sz="0" w:space="0" w:color="auto"/>
                                <w:right w:val="none" w:sz="0" w:space="0" w:color="auto"/>
                              </w:divBdr>
                              <w:divsChild>
                                <w:div w:id="252663481">
                                  <w:marLeft w:val="0"/>
                                  <w:marRight w:val="0"/>
                                  <w:marTop w:val="0"/>
                                  <w:marBottom w:val="0"/>
                                  <w:divBdr>
                                    <w:top w:val="none" w:sz="0" w:space="0" w:color="auto"/>
                                    <w:left w:val="none" w:sz="0" w:space="0" w:color="auto"/>
                                    <w:bottom w:val="none" w:sz="0" w:space="0" w:color="auto"/>
                                    <w:right w:val="none" w:sz="0" w:space="0" w:color="auto"/>
                                  </w:divBdr>
                                  <w:divsChild>
                                    <w:div w:id="1400253176">
                                      <w:marLeft w:val="0"/>
                                      <w:marRight w:val="0"/>
                                      <w:marTop w:val="0"/>
                                      <w:marBottom w:val="0"/>
                                      <w:divBdr>
                                        <w:top w:val="none" w:sz="0" w:space="0" w:color="auto"/>
                                        <w:left w:val="none" w:sz="0" w:space="0" w:color="auto"/>
                                        <w:bottom w:val="none" w:sz="0" w:space="0" w:color="auto"/>
                                        <w:right w:val="none" w:sz="0" w:space="0" w:color="auto"/>
                                      </w:divBdr>
                                      <w:divsChild>
                                        <w:div w:id="1584757767">
                                          <w:marLeft w:val="0"/>
                                          <w:marRight w:val="0"/>
                                          <w:marTop w:val="0"/>
                                          <w:marBottom w:val="0"/>
                                          <w:divBdr>
                                            <w:top w:val="none" w:sz="0" w:space="0" w:color="auto"/>
                                            <w:left w:val="none" w:sz="0" w:space="0" w:color="auto"/>
                                            <w:bottom w:val="none" w:sz="0" w:space="0" w:color="auto"/>
                                            <w:right w:val="none" w:sz="0" w:space="0" w:color="auto"/>
                                          </w:divBdr>
                                          <w:divsChild>
                                            <w:div w:id="680133021">
                                              <w:marLeft w:val="0"/>
                                              <w:marRight w:val="0"/>
                                              <w:marTop w:val="0"/>
                                              <w:marBottom w:val="0"/>
                                              <w:divBdr>
                                                <w:top w:val="single" w:sz="4" w:space="0" w:color="B6D444"/>
                                                <w:left w:val="none" w:sz="0" w:space="0" w:color="auto"/>
                                                <w:bottom w:val="none" w:sz="0" w:space="0" w:color="auto"/>
                                                <w:right w:val="none" w:sz="0" w:space="0" w:color="auto"/>
                                              </w:divBdr>
                                              <w:divsChild>
                                                <w:div w:id="10893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492273">
      <w:bodyDiv w:val="1"/>
      <w:marLeft w:val="0"/>
      <w:marRight w:val="0"/>
      <w:marTop w:val="0"/>
      <w:marBottom w:val="0"/>
      <w:divBdr>
        <w:top w:val="none" w:sz="0" w:space="0" w:color="auto"/>
        <w:left w:val="none" w:sz="0" w:space="0" w:color="auto"/>
        <w:bottom w:val="none" w:sz="0" w:space="0" w:color="auto"/>
        <w:right w:val="none" w:sz="0" w:space="0" w:color="auto"/>
      </w:divBdr>
      <w:divsChild>
        <w:div w:id="1419133820">
          <w:marLeft w:val="0"/>
          <w:marRight w:val="0"/>
          <w:marTop w:val="0"/>
          <w:marBottom w:val="0"/>
          <w:divBdr>
            <w:top w:val="none" w:sz="0" w:space="0" w:color="auto"/>
            <w:left w:val="none" w:sz="0" w:space="0" w:color="auto"/>
            <w:bottom w:val="none" w:sz="0" w:space="0" w:color="auto"/>
            <w:right w:val="none" w:sz="0" w:space="0" w:color="auto"/>
          </w:divBdr>
          <w:divsChild>
            <w:div w:id="1685782530">
              <w:marLeft w:val="0"/>
              <w:marRight w:val="0"/>
              <w:marTop w:val="0"/>
              <w:marBottom w:val="0"/>
              <w:divBdr>
                <w:top w:val="none" w:sz="0" w:space="0" w:color="auto"/>
                <w:left w:val="none" w:sz="0" w:space="0" w:color="auto"/>
                <w:bottom w:val="none" w:sz="0" w:space="0" w:color="auto"/>
                <w:right w:val="none" w:sz="0" w:space="0" w:color="auto"/>
              </w:divBdr>
              <w:divsChild>
                <w:div w:id="1108891109">
                  <w:marLeft w:val="0"/>
                  <w:marRight w:val="0"/>
                  <w:marTop w:val="0"/>
                  <w:marBottom w:val="0"/>
                  <w:divBdr>
                    <w:top w:val="none" w:sz="0" w:space="0" w:color="auto"/>
                    <w:left w:val="none" w:sz="0" w:space="0" w:color="auto"/>
                    <w:bottom w:val="none" w:sz="0" w:space="0" w:color="auto"/>
                    <w:right w:val="none" w:sz="0" w:space="0" w:color="auto"/>
                  </w:divBdr>
                  <w:divsChild>
                    <w:div w:id="652291460">
                      <w:marLeft w:val="0"/>
                      <w:marRight w:val="0"/>
                      <w:marTop w:val="0"/>
                      <w:marBottom w:val="0"/>
                      <w:divBdr>
                        <w:top w:val="none" w:sz="0" w:space="0" w:color="auto"/>
                        <w:left w:val="none" w:sz="0" w:space="0" w:color="auto"/>
                        <w:bottom w:val="none" w:sz="0" w:space="0" w:color="auto"/>
                        <w:right w:val="none" w:sz="0" w:space="0" w:color="auto"/>
                      </w:divBdr>
                      <w:divsChild>
                        <w:div w:id="107048482">
                          <w:marLeft w:val="0"/>
                          <w:marRight w:val="0"/>
                          <w:marTop w:val="0"/>
                          <w:marBottom w:val="0"/>
                          <w:divBdr>
                            <w:top w:val="none" w:sz="0" w:space="0" w:color="auto"/>
                            <w:left w:val="none" w:sz="0" w:space="0" w:color="auto"/>
                            <w:bottom w:val="none" w:sz="0" w:space="0" w:color="auto"/>
                            <w:right w:val="none" w:sz="0" w:space="0" w:color="auto"/>
                          </w:divBdr>
                          <w:divsChild>
                            <w:div w:id="1449009868">
                              <w:marLeft w:val="0"/>
                              <w:marRight w:val="0"/>
                              <w:marTop w:val="0"/>
                              <w:marBottom w:val="0"/>
                              <w:divBdr>
                                <w:top w:val="none" w:sz="0" w:space="0" w:color="auto"/>
                                <w:left w:val="none" w:sz="0" w:space="0" w:color="auto"/>
                                <w:bottom w:val="none" w:sz="0" w:space="0" w:color="auto"/>
                                <w:right w:val="none" w:sz="0" w:space="0" w:color="auto"/>
                              </w:divBdr>
                              <w:divsChild>
                                <w:div w:id="112023383">
                                  <w:marLeft w:val="0"/>
                                  <w:marRight w:val="0"/>
                                  <w:marTop w:val="0"/>
                                  <w:marBottom w:val="0"/>
                                  <w:divBdr>
                                    <w:top w:val="none" w:sz="0" w:space="0" w:color="auto"/>
                                    <w:left w:val="none" w:sz="0" w:space="0" w:color="auto"/>
                                    <w:bottom w:val="none" w:sz="0" w:space="0" w:color="auto"/>
                                    <w:right w:val="none" w:sz="0" w:space="0" w:color="auto"/>
                                  </w:divBdr>
                                  <w:divsChild>
                                    <w:div w:id="1459910217">
                                      <w:marLeft w:val="0"/>
                                      <w:marRight w:val="0"/>
                                      <w:marTop w:val="0"/>
                                      <w:marBottom w:val="0"/>
                                      <w:divBdr>
                                        <w:top w:val="none" w:sz="0" w:space="0" w:color="auto"/>
                                        <w:left w:val="none" w:sz="0" w:space="0" w:color="auto"/>
                                        <w:bottom w:val="none" w:sz="0" w:space="0" w:color="auto"/>
                                        <w:right w:val="none" w:sz="0" w:space="0" w:color="auto"/>
                                      </w:divBdr>
                                      <w:divsChild>
                                        <w:div w:id="296381346">
                                          <w:marLeft w:val="0"/>
                                          <w:marRight w:val="0"/>
                                          <w:marTop w:val="0"/>
                                          <w:marBottom w:val="0"/>
                                          <w:divBdr>
                                            <w:top w:val="none" w:sz="0" w:space="0" w:color="auto"/>
                                            <w:left w:val="none" w:sz="0" w:space="0" w:color="auto"/>
                                            <w:bottom w:val="none" w:sz="0" w:space="0" w:color="auto"/>
                                            <w:right w:val="none" w:sz="0" w:space="0" w:color="auto"/>
                                          </w:divBdr>
                                          <w:divsChild>
                                            <w:div w:id="831917137">
                                              <w:marLeft w:val="0"/>
                                              <w:marRight w:val="0"/>
                                              <w:marTop w:val="0"/>
                                              <w:marBottom w:val="0"/>
                                              <w:divBdr>
                                                <w:top w:val="none" w:sz="0" w:space="0" w:color="auto"/>
                                                <w:left w:val="none" w:sz="0" w:space="0" w:color="auto"/>
                                                <w:bottom w:val="none" w:sz="0" w:space="0" w:color="auto"/>
                                                <w:right w:val="none" w:sz="0" w:space="0" w:color="auto"/>
                                              </w:divBdr>
                                              <w:divsChild>
                                                <w:div w:id="476454705">
                                                  <w:marLeft w:val="0"/>
                                                  <w:marRight w:val="0"/>
                                                  <w:marTop w:val="0"/>
                                                  <w:marBottom w:val="0"/>
                                                  <w:divBdr>
                                                    <w:top w:val="none" w:sz="0" w:space="0" w:color="auto"/>
                                                    <w:left w:val="none" w:sz="0" w:space="0" w:color="auto"/>
                                                    <w:bottom w:val="none" w:sz="0" w:space="0" w:color="auto"/>
                                                    <w:right w:val="none" w:sz="0" w:space="0" w:color="auto"/>
                                                  </w:divBdr>
                                                  <w:divsChild>
                                                    <w:div w:id="201329946">
                                                      <w:marLeft w:val="0"/>
                                                      <w:marRight w:val="0"/>
                                                      <w:marTop w:val="0"/>
                                                      <w:marBottom w:val="0"/>
                                                      <w:divBdr>
                                                        <w:top w:val="none" w:sz="0" w:space="0" w:color="auto"/>
                                                        <w:left w:val="none" w:sz="0" w:space="0" w:color="auto"/>
                                                        <w:bottom w:val="none" w:sz="0" w:space="0" w:color="auto"/>
                                                        <w:right w:val="none" w:sz="0" w:space="0" w:color="auto"/>
                                                      </w:divBdr>
                                                      <w:divsChild>
                                                        <w:div w:id="2087846449">
                                                          <w:marLeft w:val="0"/>
                                                          <w:marRight w:val="0"/>
                                                          <w:marTop w:val="0"/>
                                                          <w:marBottom w:val="0"/>
                                                          <w:divBdr>
                                                            <w:top w:val="none" w:sz="0" w:space="0" w:color="auto"/>
                                                            <w:left w:val="none" w:sz="0" w:space="0" w:color="auto"/>
                                                            <w:bottom w:val="none" w:sz="0" w:space="0" w:color="auto"/>
                                                            <w:right w:val="none" w:sz="0" w:space="0" w:color="auto"/>
                                                          </w:divBdr>
                                                          <w:divsChild>
                                                            <w:div w:id="295917761">
                                                              <w:marLeft w:val="0"/>
                                                              <w:marRight w:val="0"/>
                                                              <w:marTop w:val="0"/>
                                                              <w:marBottom w:val="0"/>
                                                              <w:divBdr>
                                                                <w:top w:val="none" w:sz="0" w:space="0" w:color="auto"/>
                                                                <w:left w:val="none" w:sz="0" w:space="0" w:color="auto"/>
                                                                <w:bottom w:val="none" w:sz="0" w:space="0" w:color="auto"/>
                                                                <w:right w:val="none" w:sz="0" w:space="0" w:color="auto"/>
                                                              </w:divBdr>
                                                              <w:divsChild>
                                                                <w:div w:id="4547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1762215">
      <w:bodyDiv w:val="1"/>
      <w:marLeft w:val="0"/>
      <w:marRight w:val="0"/>
      <w:marTop w:val="0"/>
      <w:marBottom w:val="0"/>
      <w:divBdr>
        <w:top w:val="none" w:sz="0" w:space="0" w:color="auto"/>
        <w:left w:val="none" w:sz="0" w:space="0" w:color="auto"/>
        <w:bottom w:val="none" w:sz="0" w:space="0" w:color="auto"/>
        <w:right w:val="none" w:sz="0" w:space="0" w:color="auto"/>
      </w:divBdr>
      <w:divsChild>
        <w:div w:id="1758557138">
          <w:marLeft w:val="0"/>
          <w:marRight w:val="0"/>
          <w:marTop w:val="0"/>
          <w:marBottom w:val="0"/>
          <w:divBdr>
            <w:top w:val="none" w:sz="0" w:space="0" w:color="auto"/>
            <w:left w:val="none" w:sz="0" w:space="0" w:color="auto"/>
            <w:bottom w:val="none" w:sz="0" w:space="0" w:color="auto"/>
            <w:right w:val="none" w:sz="0" w:space="0" w:color="auto"/>
          </w:divBdr>
          <w:divsChild>
            <w:div w:id="1315834330">
              <w:marLeft w:val="0"/>
              <w:marRight w:val="0"/>
              <w:marTop w:val="0"/>
              <w:marBottom w:val="0"/>
              <w:divBdr>
                <w:top w:val="none" w:sz="0" w:space="0" w:color="auto"/>
                <w:left w:val="none" w:sz="0" w:space="0" w:color="auto"/>
                <w:bottom w:val="none" w:sz="0" w:space="0" w:color="auto"/>
                <w:right w:val="none" w:sz="0" w:space="0" w:color="auto"/>
              </w:divBdr>
              <w:divsChild>
                <w:div w:id="1114638122">
                  <w:marLeft w:val="0"/>
                  <w:marRight w:val="0"/>
                  <w:marTop w:val="0"/>
                  <w:marBottom w:val="0"/>
                  <w:divBdr>
                    <w:top w:val="none" w:sz="0" w:space="0" w:color="auto"/>
                    <w:left w:val="none" w:sz="0" w:space="0" w:color="auto"/>
                    <w:bottom w:val="none" w:sz="0" w:space="0" w:color="auto"/>
                    <w:right w:val="none" w:sz="0" w:space="0" w:color="auto"/>
                  </w:divBdr>
                  <w:divsChild>
                    <w:div w:id="406347437">
                      <w:marLeft w:val="0"/>
                      <w:marRight w:val="0"/>
                      <w:marTop w:val="0"/>
                      <w:marBottom w:val="0"/>
                      <w:divBdr>
                        <w:top w:val="none" w:sz="0" w:space="0" w:color="auto"/>
                        <w:left w:val="none" w:sz="0" w:space="0" w:color="auto"/>
                        <w:bottom w:val="none" w:sz="0" w:space="0" w:color="auto"/>
                        <w:right w:val="none" w:sz="0" w:space="0" w:color="auto"/>
                      </w:divBdr>
                      <w:divsChild>
                        <w:div w:id="11522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46761">
      <w:bodyDiv w:val="1"/>
      <w:marLeft w:val="0"/>
      <w:marRight w:val="0"/>
      <w:marTop w:val="0"/>
      <w:marBottom w:val="0"/>
      <w:divBdr>
        <w:top w:val="none" w:sz="0" w:space="0" w:color="auto"/>
        <w:left w:val="none" w:sz="0" w:space="0" w:color="auto"/>
        <w:bottom w:val="none" w:sz="0" w:space="0" w:color="auto"/>
        <w:right w:val="none" w:sz="0" w:space="0" w:color="auto"/>
      </w:divBdr>
    </w:div>
    <w:div w:id="2056389381">
      <w:bodyDiv w:val="1"/>
      <w:marLeft w:val="0"/>
      <w:marRight w:val="0"/>
      <w:marTop w:val="0"/>
      <w:marBottom w:val="0"/>
      <w:divBdr>
        <w:top w:val="none" w:sz="0" w:space="0" w:color="auto"/>
        <w:left w:val="none" w:sz="0" w:space="0" w:color="auto"/>
        <w:bottom w:val="none" w:sz="0" w:space="0" w:color="auto"/>
        <w:right w:val="none" w:sz="0" w:space="0" w:color="auto"/>
      </w:divBdr>
      <w:divsChild>
        <w:div w:id="234508167">
          <w:marLeft w:val="0"/>
          <w:marRight w:val="0"/>
          <w:marTop w:val="0"/>
          <w:marBottom w:val="0"/>
          <w:divBdr>
            <w:top w:val="none" w:sz="0" w:space="0" w:color="auto"/>
            <w:left w:val="none" w:sz="0" w:space="0" w:color="auto"/>
            <w:bottom w:val="none" w:sz="0" w:space="0" w:color="auto"/>
            <w:right w:val="none" w:sz="0" w:space="0" w:color="auto"/>
          </w:divBdr>
          <w:divsChild>
            <w:div w:id="1299336972">
              <w:marLeft w:val="2"/>
              <w:marRight w:val="2"/>
              <w:marTop w:val="0"/>
              <w:marBottom w:val="0"/>
              <w:divBdr>
                <w:top w:val="none" w:sz="0" w:space="0" w:color="auto"/>
                <w:left w:val="none" w:sz="0" w:space="0" w:color="auto"/>
                <w:bottom w:val="none" w:sz="0" w:space="0" w:color="auto"/>
                <w:right w:val="none" w:sz="0" w:space="0" w:color="auto"/>
              </w:divBdr>
              <w:divsChild>
                <w:div w:id="962535048">
                  <w:marLeft w:val="0"/>
                  <w:marRight w:val="0"/>
                  <w:marTop w:val="0"/>
                  <w:marBottom w:val="0"/>
                  <w:divBdr>
                    <w:top w:val="none" w:sz="0" w:space="0" w:color="auto"/>
                    <w:left w:val="none" w:sz="0" w:space="0" w:color="auto"/>
                    <w:bottom w:val="none" w:sz="0" w:space="0" w:color="auto"/>
                    <w:right w:val="none" w:sz="0" w:space="0" w:color="auto"/>
                  </w:divBdr>
                  <w:divsChild>
                    <w:div w:id="715590355">
                      <w:marLeft w:val="0"/>
                      <w:marRight w:val="0"/>
                      <w:marTop w:val="0"/>
                      <w:marBottom w:val="0"/>
                      <w:divBdr>
                        <w:top w:val="none" w:sz="0" w:space="0" w:color="auto"/>
                        <w:left w:val="none" w:sz="0" w:space="0" w:color="auto"/>
                        <w:bottom w:val="none" w:sz="0" w:space="0" w:color="auto"/>
                        <w:right w:val="none" w:sz="0" w:space="0" w:color="auto"/>
                      </w:divBdr>
                      <w:divsChild>
                        <w:div w:id="1710958199">
                          <w:marLeft w:val="0"/>
                          <w:marRight w:val="0"/>
                          <w:marTop w:val="0"/>
                          <w:marBottom w:val="0"/>
                          <w:divBdr>
                            <w:top w:val="none" w:sz="0" w:space="0" w:color="auto"/>
                            <w:left w:val="none" w:sz="0" w:space="0" w:color="auto"/>
                            <w:bottom w:val="none" w:sz="0" w:space="0" w:color="auto"/>
                            <w:right w:val="none" w:sz="0" w:space="0" w:color="auto"/>
                          </w:divBdr>
                          <w:divsChild>
                            <w:div w:id="1549758231">
                              <w:marLeft w:val="0"/>
                              <w:marRight w:val="0"/>
                              <w:marTop w:val="0"/>
                              <w:marBottom w:val="0"/>
                              <w:divBdr>
                                <w:top w:val="none" w:sz="0" w:space="0" w:color="auto"/>
                                <w:left w:val="none" w:sz="0" w:space="0" w:color="auto"/>
                                <w:bottom w:val="none" w:sz="0" w:space="0" w:color="auto"/>
                                <w:right w:val="none" w:sz="0" w:space="0" w:color="auto"/>
                              </w:divBdr>
                              <w:divsChild>
                                <w:div w:id="1145076800">
                                  <w:marLeft w:val="0"/>
                                  <w:marRight w:val="0"/>
                                  <w:marTop w:val="0"/>
                                  <w:marBottom w:val="0"/>
                                  <w:divBdr>
                                    <w:top w:val="none" w:sz="0" w:space="0" w:color="auto"/>
                                    <w:left w:val="none" w:sz="0" w:space="0" w:color="auto"/>
                                    <w:bottom w:val="none" w:sz="0" w:space="0" w:color="auto"/>
                                    <w:right w:val="none" w:sz="0" w:space="0" w:color="auto"/>
                                  </w:divBdr>
                                  <w:divsChild>
                                    <w:div w:id="248851387">
                                      <w:marLeft w:val="0"/>
                                      <w:marRight w:val="0"/>
                                      <w:marTop w:val="0"/>
                                      <w:marBottom w:val="0"/>
                                      <w:divBdr>
                                        <w:top w:val="none" w:sz="0" w:space="0" w:color="auto"/>
                                        <w:left w:val="none" w:sz="0" w:space="0" w:color="auto"/>
                                        <w:bottom w:val="none" w:sz="0" w:space="0" w:color="auto"/>
                                        <w:right w:val="none" w:sz="0" w:space="0" w:color="auto"/>
                                      </w:divBdr>
                                    </w:div>
                                  </w:divsChild>
                                </w:div>
                                <w:div w:id="1038972712">
                                  <w:marLeft w:val="0"/>
                                  <w:marRight w:val="0"/>
                                  <w:marTop w:val="0"/>
                                  <w:marBottom w:val="0"/>
                                  <w:divBdr>
                                    <w:top w:val="none" w:sz="0" w:space="0" w:color="auto"/>
                                    <w:left w:val="none" w:sz="0" w:space="0" w:color="auto"/>
                                    <w:bottom w:val="none" w:sz="0" w:space="0" w:color="auto"/>
                                    <w:right w:val="none" w:sz="0" w:space="0" w:color="auto"/>
                                  </w:divBdr>
                                  <w:divsChild>
                                    <w:div w:id="326329212">
                                      <w:marLeft w:val="0"/>
                                      <w:marRight w:val="0"/>
                                      <w:marTop w:val="0"/>
                                      <w:marBottom w:val="0"/>
                                      <w:divBdr>
                                        <w:top w:val="none" w:sz="0" w:space="0" w:color="auto"/>
                                        <w:left w:val="none" w:sz="0" w:space="0" w:color="auto"/>
                                        <w:bottom w:val="none" w:sz="0" w:space="0" w:color="auto"/>
                                        <w:right w:val="none" w:sz="0" w:space="0" w:color="auto"/>
                                      </w:divBdr>
                                      <w:divsChild>
                                        <w:div w:id="1512137077">
                                          <w:marLeft w:val="0"/>
                                          <w:marRight w:val="0"/>
                                          <w:marTop w:val="0"/>
                                          <w:marBottom w:val="0"/>
                                          <w:divBdr>
                                            <w:top w:val="none" w:sz="0" w:space="0" w:color="auto"/>
                                            <w:left w:val="none" w:sz="0" w:space="0" w:color="auto"/>
                                            <w:bottom w:val="none" w:sz="0" w:space="0" w:color="auto"/>
                                            <w:right w:val="none" w:sz="0" w:space="0" w:color="auto"/>
                                          </w:divBdr>
                                          <w:divsChild>
                                            <w:div w:id="115878333">
                                              <w:marLeft w:val="0"/>
                                              <w:marRight w:val="0"/>
                                              <w:marTop w:val="0"/>
                                              <w:marBottom w:val="0"/>
                                              <w:divBdr>
                                                <w:top w:val="none" w:sz="0" w:space="0" w:color="auto"/>
                                                <w:left w:val="none" w:sz="0" w:space="0" w:color="auto"/>
                                                <w:bottom w:val="none" w:sz="0" w:space="0" w:color="auto"/>
                                                <w:right w:val="none" w:sz="0" w:space="0" w:color="auto"/>
                                              </w:divBdr>
                                              <w:divsChild>
                                                <w:div w:id="15847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4805">
                                          <w:marLeft w:val="0"/>
                                          <w:marRight w:val="0"/>
                                          <w:marTop w:val="0"/>
                                          <w:marBottom w:val="0"/>
                                          <w:divBdr>
                                            <w:top w:val="none" w:sz="0" w:space="0" w:color="auto"/>
                                            <w:left w:val="none" w:sz="0" w:space="0" w:color="auto"/>
                                            <w:bottom w:val="none" w:sz="0" w:space="0" w:color="auto"/>
                                            <w:right w:val="none" w:sz="0" w:space="0" w:color="auto"/>
                                          </w:divBdr>
                                          <w:divsChild>
                                            <w:div w:id="1067220155">
                                              <w:marLeft w:val="0"/>
                                              <w:marRight w:val="0"/>
                                              <w:marTop w:val="0"/>
                                              <w:marBottom w:val="0"/>
                                              <w:divBdr>
                                                <w:top w:val="none" w:sz="0" w:space="0" w:color="auto"/>
                                                <w:left w:val="none" w:sz="0" w:space="0" w:color="auto"/>
                                                <w:bottom w:val="none" w:sz="0" w:space="0" w:color="auto"/>
                                                <w:right w:val="none" w:sz="0" w:space="0" w:color="auto"/>
                                              </w:divBdr>
                                              <w:divsChild>
                                                <w:div w:id="20477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11237">
                                      <w:marLeft w:val="0"/>
                                      <w:marRight w:val="0"/>
                                      <w:marTop w:val="0"/>
                                      <w:marBottom w:val="0"/>
                                      <w:divBdr>
                                        <w:top w:val="none" w:sz="0" w:space="0" w:color="auto"/>
                                        <w:left w:val="none" w:sz="0" w:space="0" w:color="auto"/>
                                        <w:bottom w:val="none" w:sz="0" w:space="0" w:color="auto"/>
                                        <w:right w:val="none" w:sz="0" w:space="0" w:color="auto"/>
                                      </w:divBdr>
                                      <w:divsChild>
                                        <w:div w:id="611862025">
                                          <w:marLeft w:val="0"/>
                                          <w:marRight w:val="0"/>
                                          <w:marTop w:val="0"/>
                                          <w:marBottom w:val="0"/>
                                          <w:divBdr>
                                            <w:top w:val="none" w:sz="0" w:space="0" w:color="auto"/>
                                            <w:left w:val="none" w:sz="0" w:space="0" w:color="auto"/>
                                            <w:bottom w:val="none" w:sz="0" w:space="0" w:color="auto"/>
                                            <w:right w:val="none" w:sz="0" w:space="0" w:color="auto"/>
                                          </w:divBdr>
                                          <w:divsChild>
                                            <w:div w:id="9926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545067">
      <w:bodyDiv w:val="1"/>
      <w:marLeft w:val="0"/>
      <w:marRight w:val="0"/>
      <w:marTop w:val="0"/>
      <w:marBottom w:val="0"/>
      <w:divBdr>
        <w:top w:val="none" w:sz="0" w:space="0" w:color="auto"/>
        <w:left w:val="none" w:sz="0" w:space="0" w:color="auto"/>
        <w:bottom w:val="none" w:sz="0" w:space="0" w:color="auto"/>
        <w:right w:val="none" w:sz="0" w:space="0" w:color="auto"/>
      </w:divBdr>
      <w:divsChild>
        <w:div w:id="1539467431">
          <w:marLeft w:val="0"/>
          <w:marRight w:val="0"/>
          <w:marTop w:val="0"/>
          <w:marBottom w:val="0"/>
          <w:divBdr>
            <w:top w:val="none" w:sz="0" w:space="0" w:color="auto"/>
            <w:left w:val="none" w:sz="0" w:space="0" w:color="auto"/>
            <w:bottom w:val="none" w:sz="0" w:space="0" w:color="auto"/>
            <w:right w:val="none" w:sz="0" w:space="0" w:color="auto"/>
          </w:divBdr>
          <w:divsChild>
            <w:div w:id="1977487293">
              <w:marLeft w:val="0"/>
              <w:marRight w:val="0"/>
              <w:marTop w:val="0"/>
              <w:marBottom w:val="0"/>
              <w:divBdr>
                <w:top w:val="none" w:sz="0" w:space="0" w:color="auto"/>
                <w:left w:val="none" w:sz="0" w:space="0" w:color="auto"/>
                <w:bottom w:val="none" w:sz="0" w:space="0" w:color="auto"/>
                <w:right w:val="none" w:sz="0" w:space="0" w:color="auto"/>
              </w:divBdr>
              <w:divsChild>
                <w:div w:id="1625426721">
                  <w:marLeft w:val="0"/>
                  <w:marRight w:val="0"/>
                  <w:marTop w:val="0"/>
                  <w:marBottom w:val="0"/>
                  <w:divBdr>
                    <w:top w:val="none" w:sz="0" w:space="0" w:color="auto"/>
                    <w:left w:val="none" w:sz="0" w:space="0" w:color="auto"/>
                    <w:bottom w:val="none" w:sz="0" w:space="0" w:color="auto"/>
                    <w:right w:val="none" w:sz="0" w:space="0" w:color="auto"/>
                  </w:divBdr>
                  <w:divsChild>
                    <w:div w:id="34281940">
                      <w:marLeft w:val="0"/>
                      <w:marRight w:val="0"/>
                      <w:marTop w:val="0"/>
                      <w:marBottom w:val="0"/>
                      <w:divBdr>
                        <w:top w:val="none" w:sz="0" w:space="0" w:color="auto"/>
                        <w:left w:val="none" w:sz="0" w:space="0" w:color="auto"/>
                        <w:bottom w:val="none" w:sz="0" w:space="0" w:color="auto"/>
                        <w:right w:val="none" w:sz="0" w:space="0" w:color="auto"/>
                      </w:divBdr>
                      <w:divsChild>
                        <w:div w:id="1714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56212">
      <w:bodyDiv w:val="1"/>
      <w:marLeft w:val="0"/>
      <w:marRight w:val="0"/>
      <w:marTop w:val="0"/>
      <w:marBottom w:val="0"/>
      <w:divBdr>
        <w:top w:val="none" w:sz="0" w:space="0" w:color="auto"/>
        <w:left w:val="none" w:sz="0" w:space="0" w:color="auto"/>
        <w:bottom w:val="none" w:sz="0" w:space="0" w:color="auto"/>
        <w:right w:val="none" w:sz="0" w:space="0" w:color="auto"/>
      </w:divBdr>
      <w:divsChild>
        <w:div w:id="331107677">
          <w:marLeft w:val="0"/>
          <w:marRight w:val="0"/>
          <w:marTop w:val="0"/>
          <w:marBottom w:val="0"/>
          <w:divBdr>
            <w:top w:val="single" w:sz="2" w:space="0" w:color="AAAAAA"/>
            <w:left w:val="single" w:sz="6" w:space="8" w:color="AAAAAA"/>
            <w:bottom w:val="single" w:sz="2" w:space="0" w:color="AAAAAA"/>
            <w:right w:val="single" w:sz="6" w:space="8" w:color="AAAAAA"/>
          </w:divBdr>
          <w:divsChild>
            <w:div w:id="407921518">
              <w:marLeft w:val="0"/>
              <w:marRight w:val="0"/>
              <w:marTop w:val="0"/>
              <w:marBottom w:val="0"/>
              <w:divBdr>
                <w:top w:val="none" w:sz="0" w:space="0" w:color="auto"/>
                <w:left w:val="none" w:sz="0" w:space="0" w:color="auto"/>
                <w:bottom w:val="none" w:sz="0" w:space="0" w:color="auto"/>
                <w:right w:val="none" w:sz="0" w:space="0" w:color="auto"/>
              </w:divBdr>
              <w:divsChild>
                <w:div w:id="1084452982">
                  <w:marLeft w:val="0"/>
                  <w:marRight w:val="0"/>
                  <w:marTop w:val="0"/>
                  <w:marBottom w:val="0"/>
                  <w:divBdr>
                    <w:top w:val="none" w:sz="0" w:space="0" w:color="auto"/>
                    <w:left w:val="none" w:sz="0" w:space="0" w:color="auto"/>
                    <w:bottom w:val="none" w:sz="0" w:space="0" w:color="auto"/>
                    <w:right w:val="none" w:sz="0" w:space="0" w:color="auto"/>
                  </w:divBdr>
                  <w:divsChild>
                    <w:div w:id="969552754">
                      <w:marLeft w:val="0"/>
                      <w:marRight w:val="2550"/>
                      <w:marTop w:val="0"/>
                      <w:marBottom w:val="48"/>
                      <w:divBdr>
                        <w:top w:val="none" w:sz="0" w:space="0" w:color="auto"/>
                        <w:left w:val="none" w:sz="0" w:space="0" w:color="auto"/>
                        <w:bottom w:val="none" w:sz="0" w:space="0" w:color="auto"/>
                        <w:right w:val="none" w:sz="0" w:space="0" w:color="auto"/>
                      </w:divBdr>
                      <w:divsChild>
                        <w:div w:id="20670711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056925012">
      <w:bodyDiv w:val="1"/>
      <w:marLeft w:val="0"/>
      <w:marRight w:val="0"/>
      <w:marTop w:val="0"/>
      <w:marBottom w:val="0"/>
      <w:divBdr>
        <w:top w:val="none" w:sz="0" w:space="0" w:color="auto"/>
        <w:left w:val="none" w:sz="0" w:space="0" w:color="auto"/>
        <w:bottom w:val="none" w:sz="0" w:space="0" w:color="auto"/>
        <w:right w:val="none" w:sz="0" w:space="0" w:color="auto"/>
      </w:divBdr>
      <w:divsChild>
        <w:div w:id="1754282465">
          <w:marLeft w:val="2400"/>
          <w:marRight w:val="0"/>
          <w:marTop w:val="0"/>
          <w:marBottom w:val="0"/>
          <w:divBdr>
            <w:top w:val="none" w:sz="0" w:space="0" w:color="auto"/>
            <w:left w:val="none" w:sz="0" w:space="0" w:color="auto"/>
            <w:bottom w:val="none" w:sz="0" w:space="0" w:color="auto"/>
            <w:right w:val="none" w:sz="0" w:space="0" w:color="auto"/>
          </w:divBdr>
          <w:divsChild>
            <w:div w:id="1078284666">
              <w:marLeft w:val="0"/>
              <w:marRight w:val="0"/>
              <w:marTop w:val="0"/>
              <w:marBottom w:val="0"/>
              <w:divBdr>
                <w:top w:val="none" w:sz="0" w:space="0" w:color="auto"/>
                <w:left w:val="none" w:sz="0" w:space="0" w:color="auto"/>
                <w:bottom w:val="none" w:sz="0" w:space="0" w:color="auto"/>
                <w:right w:val="none" w:sz="0" w:space="0" w:color="auto"/>
              </w:divBdr>
              <w:divsChild>
                <w:div w:id="647591983">
                  <w:marLeft w:val="0"/>
                  <w:marRight w:val="0"/>
                  <w:marTop w:val="0"/>
                  <w:marBottom w:val="0"/>
                  <w:divBdr>
                    <w:top w:val="none" w:sz="0" w:space="0" w:color="auto"/>
                    <w:left w:val="none" w:sz="0" w:space="0" w:color="auto"/>
                    <w:bottom w:val="none" w:sz="0" w:space="0" w:color="auto"/>
                    <w:right w:val="none" w:sz="0" w:space="0" w:color="auto"/>
                  </w:divBdr>
                  <w:divsChild>
                    <w:div w:id="1595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55226">
      <w:bodyDiv w:val="1"/>
      <w:marLeft w:val="0"/>
      <w:marRight w:val="0"/>
      <w:marTop w:val="0"/>
      <w:marBottom w:val="0"/>
      <w:divBdr>
        <w:top w:val="none" w:sz="0" w:space="0" w:color="auto"/>
        <w:left w:val="none" w:sz="0" w:space="0" w:color="auto"/>
        <w:bottom w:val="none" w:sz="0" w:space="0" w:color="auto"/>
        <w:right w:val="none" w:sz="0" w:space="0" w:color="auto"/>
      </w:divBdr>
    </w:div>
    <w:div w:id="2059695806">
      <w:bodyDiv w:val="1"/>
      <w:marLeft w:val="0"/>
      <w:marRight w:val="0"/>
      <w:marTop w:val="0"/>
      <w:marBottom w:val="0"/>
      <w:divBdr>
        <w:top w:val="none" w:sz="0" w:space="0" w:color="auto"/>
        <w:left w:val="none" w:sz="0" w:space="0" w:color="auto"/>
        <w:bottom w:val="none" w:sz="0" w:space="0" w:color="auto"/>
        <w:right w:val="none" w:sz="0" w:space="0" w:color="auto"/>
      </w:divBdr>
    </w:div>
    <w:div w:id="2060660941">
      <w:bodyDiv w:val="1"/>
      <w:marLeft w:val="0"/>
      <w:marRight w:val="0"/>
      <w:marTop w:val="0"/>
      <w:marBottom w:val="0"/>
      <w:divBdr>
        <w:top w:val="none" w:sz="0" w:space="0" w:color="auto"/>
        <w:left w:val="none" w:sz="0" w:space="0" w:color="auto"/>
        <w:bottom w:val="none" w:sz="0" w:space="0" w:color="auto"/>
        <w:right w:val="none" w:sz="0" w:space="0" w:color="auto"/>
      </w:divBdr>
      <w:divsChild>
        <w:div w:id="1245332718">
          <w:marLeft w:val="0"/>
          <w:marRight w:val="0"/>
          <w:marTop w:val="0"/>
          <w:marBottom w:val="0"/>
          <w:divBdr>
            <w:top w:val="none" w:sz="0" w:space="0" w:color="auto"/>
            <w:left w:val="none" w:sz="0" w:space="0" w:color="auto"/>
            <w:bottom w:val="none" w:sz="0" w:space="0" w:color="auto"/>
            <w:right w:val="none" w:sz="0" w:space="0" w:color="auto"/>
          </w:divBdr>
          <w:divsChild>
            <w:div w:id="1378048011">
              <w:marLeft w:val="0"/>
              <w:marRight w:val="0"/>
              <w:marTop w:val="0"/>
              <w:marBottom w:val="0"/>
              <w:divBdr>
                <w:top w:val="none" w:sz="0" w:space="0" w:color="auto"/>
                <w:left w:val="none" w:sz="0" w:space="0" w:color="auto"/>
                <w:bottom w:val="none" w:sz="0" w:space="0" w:color="auto"/>
                <w:right w:val="none" w:sz="0" w:space="0" w:color="auto"/>
              </w:divBdr>
              <w:divsChild>
                <w:div w:id="1608466055">
                  <w:marLeft w:val="0"/>
                  <w:marRight w:val="0"/>
                  <w:marTop w:val="0"/>
                  <w:marBottom w:val="0"/>
                  <w:divBdr>
                    <w:top w:val="none" w:sz="0" w:space="0" w:color="auto"/>
                    <w:left w:val="none" w:sz="0" w:space="0" w:color="auto"/>
                    <w:bottom w:val="none" w:sz="0" w:space="0" w:color="auto"/>
                    <w:right w:val="none" w:sz="0" w:space="0" w:color="auto"/>
                  </w:divBdr>
                  <w:divsChild>
                    <w:div w:id="1410034101">
                      <w:marLeft w:val="0"/>
                      <w:marRight w:val="0"/>
                      <w:marTop w:val="0"/>
                      <w:marBottom w:val="0"/>
                      <w:divBdr>
                        <w:top w:val="none" w:sz="0" w:space="0" w:color="auto"/>
                        <w:left w:val="none" w:sz="0" w:space="0" w:color="auto"/>
                        <w:bottom w:val="none" w:sz="0" w:space="0" w:color="auto"/>
                        <w:right w:val="none" w:sz="0" w:space="0" w:color="auto"/>
                      </w:divBdr>
                      <w:divsChild>
                        <w:div w:id="1579366730">
                          <w:marLeft w:val="0"/>
                          <w:marRight w:val="0"/>
                          <w:marTop w:val="0"/>
                          <w:marBottom w:val="0"/>
                          <w:divBdr>
                            <w:top w:val="none" w:sz="0" w:space="0" w:color="auto"/>
                            <w:left w:val="none" w:sz="0" w:space="0" w:color="auto"/>
                            <w:bottom w:val="none" w:sz="0" w:space="0" w:color="auto"/>
                            <w:right w:val="none" w:sz="0" w:space="0" w:color="auto"/>
                          </w:divBdr>
                          <w:divsChild>
                            <w:div w:id="1394502883">
                              <w:marLeft w:val="0"/>
                              <w:marRight w:val="0"/>
                              <w:marTop w:val="0"/>
                              <w:marBottom w:val="0"/>
                              <w:divBdr>
                                <w:top w:val="none" w:sz="0" w:space="0" w:color="auto"/>
                                <w:left w:val="none" w:sz="0" w:space="0" w:color="auto"/>
                                <w:bottom w:val="none" w:sz="0" w:space="0" w:color="auto"/>
                                <w:right w:val="none" w:sz="0" w:space="0" w:color="auto"/>
                              </w:divBdr>
                              <w:divsChild>
                                <w:div w:id="391347411">
                                  <w:marLeft w:val="0"/>
                                  <w:marRight w:val="0"/>
                                  <w:marTop w:val="0"/>
                                  <w:marBottom w:val="0"/>
                                  <w:divBdr>
                                    <w:top w:val="none" w:sz="0" w:space="0" w:color="auto"/>
                                    <w:left w:val="none" w:sz="0" w:space="0" w:color="auto"/>
                                    <w:bottom w:val="none" w:sz="0" w:space="0" w:color="auto"/>
                                    <w:right w:val="none" w:sz="0" w:space="0" w:color="auto"/>
                                  </w:divBdr>
                                  <w:divsChild>
                                    <w:div w:id="729111943">
                                      <w:marLeft w:val="0"/>
                                      <w:marRight w:val="0"/>
                                      <w:marTop w:val="0"/>
                                      <w:marBottom w:val="0"/>
                                      <w:divBdr>
                                        <w:top w:val="none" w:sz="0" w:space="0" w:color="auto"/>
                                        <w:left w:val="none" w:sz="0" w:space="0" w:color="auto"/>
                                        <w:bottom w:val="none" w:sz="0" w:space="0" w:color="auto"/>
                                        <w:right w:val="none" w:sz="0" w:space="0" w:color="auto"/>
                                      </w:divBdr>
                                      <w:divsChild>
                                        <w:div w:id="21083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586902">
      <w:bodyDiv w:val="1"/>
      <w:marLeft w:val="0"/>
      <w:marRight w:val="0"/>
      <w:marTop w:val="0"/>
      <w:marBottom w:val="0"/>
      <w:divBdr>
        <w:top w:val="none" w:sz="0" w:space="0" w:color="auto"/>
        <w:left w:val="none" w:sz="0" w:space="0" w:color="auto"/>
        <w:bottom w:val="none" w:sz="0" w:space="0" w:color="auto"/>
        <w:right w:val="none" w:sz="0" w:space="0" w:color="auto"/>
      </w:divBdr>
      <w:divsChild>
        <w:div w:id="647319791">
          <w:marLeft w:val="0"/>
          <w:marRight w:val="0"/>
          <w:marTop w:val="0"/>
          <w:marBottom w:val="0"/>
          <w:divBdr>
            <w:top w:val="none" w:sz="0" w:space="0" w:color="auto"/>
            <w:left w:val="none" w:sz="0" w:space="0" w:color="auto"/>
            <w:bottom w:val="none" w:sz="0" w:space="0" w:color="auto"/>
            <w:right w:val="none" w:sz="0" w:space="0" w:color="auto"/>
          </w:divBdr>
          <w:divsChild>
            <w:div w:id="840438413">
              <w:marLeft w:val="0"/>
              <w:marRight w:val="0"/>
              <w:marTop w:val="0"/>
              <w:marBottom w:val="0"/>
              <w:divBdr>
                <w:top w:val="none" w:sz="0" w:space="0" w:color="auto"/>
                <w:left w:val="none" w:sz="0" w:space="0" w:color="auto"/>
                <w:bottom w:val="none" w:sz="0" w:space="0" w:color="auto"/>
                <w:right w:val="none" w:sz="0" w:space="0" w:color="auto"/>
              </w:divBdr>
              <w:divsChild>
                <w:div w:id="1953589950">
                  <w:marLeft w:val="0"/>
                  <w:marRight w:val="0"/>
                  <w:marTop w:val="0"/>
                  <w:marBottom w:val="0"/>
                  <w:divBdr>
                    <w:top w:val="none" w:sz="0" w:space="0" w:color="auto"/>
                    <w:left w:val="none" w:sz="0" w:space="0" w:color="auto"/>
                    <w:bottom w:val="none" w:sz="0" w:space="0" w:color="auto"/>
                    <w:right w:val="none" w:sz="0" w:space="0" w:color="auto"/>
                  </w:divBdr>
                  <w:divsChild>
                    <w:div w:id="80611909">
                      <w:marLeft w:val="0"/>
                      <w:marRight w:val="0"/>
                      <w:marTop w:val="0"/>
                      <w:marBottom w:val="0"/>
                      <w:divBdr>
                        <w:top w:val="none" w:sz="0" w:space="0" w:color="auto"/>
                        <w:left w:val="none" w:sz="0" w:space="0" w:color="auto"/>
                        <w:bottom w:val="none" w:sz="0" w:space="0" w:color="auto"/>
                        <w:right w:val="none" w:sz="0" w:space="0" w:color="auto"/>
                      </w:divBdr>
                      <w:divsChild>
                        <w:div w:id="5238786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63291134">
      <w:bodyDiv w:val="1"/>
      <w:marLeft w:val="0"/>
      <w:marRight w:val="0"/>
      <w:marTop w:val="0"/>
      <w:marBottom w:val="0"/>
      <w:divBdr>
        <w:top w:val="none" w:sz="0" w:space="0" w:color="auto"/>
        <w:left w:val="none" w:sz="0" w:space="0" w:color="auto"/>
        <w:bottom w:val="none" w:sz="0" w:space="0" w:color="auto"/>
        <w:right w:val="none" w:sz="0" w:space="0" w:color="auto"/>
      </w:divBdr>
      <w:divsChild>
        <w:div w:id="1778870136">
          <w:marLeft w:val="0"/>
          <w:marRight w:val="0"/>
          <w:marTop w:val="0"/>
          <w:marBottom w:val="0"/>
          <w:divBdr>
            <w:top w:val="single" w:sz="6" w:space="0" w:color="0E477A"/>
            <w:left w:val="single" w:sz="6" w:space="0" w:color="0E477A"/>
            <w:bottom w:val="single" w:sz="6" w:space="0" w:color="0E477A"/>
            <w:right w:val="single" w:sz="6" w:space="0" w:color="0E477A"/>
          </w:divBdr>
          <w:divsChild>
            <w:div w:id="1491168203">
              <w:marLeft w:val="2925"/>
              <w:marRight w:val="0"/>
              <w:marTop w:val="0"/>
              <w:marBottom w:val="0"/>
              <w:divBdr>
                <w:top w:val="none" w:sz="0" w:space="0" w:color="auto"/>
                <w:left w:val="none" w:sz="0" w:space="0" w:color="auto"/>
                <w:bottom w:val="none" w:sz="0" w:space="0" w:color="auto"/>
                <w:right w:val="none" w:sz="0" w:space="0" w:color="auto"/>
              </w:divBdr>
              <w:divsChild>
                <w:div w:id="1109156189">
                  <w:marLeft w:val="0"/>
                  <w:marRight w:val="0"/>
                  <w:marTop w:val="0"/>
                  <w:marBottom w:val="0"/>
                  <w:divBdr>
                    <w:top w:val="none" w:sz="0" w:space="0" w:color="auto"/>
                    <w:left w:val="none" w:sz="0" w:space="0" w:color="auto"/>
                    <w:bottom w:val="none" w:sz="0" w:space="0" w:color="auto"/>
                    <w:right w:val="none" w:sz="0" w:space="0" w:color="auto"/>
                  </w:divBdr>
                  <w:divsChild>
                    <w:div w:id="489709837">
                      <w:marLeft w:val="0"/>
                      <w:marRight w:val="150"/>
                      <w:marTop w:val="0"/>
                      <w:marBottom w:val="0"/>
                      <w:divBdr>
                        <w:top w:val="single" w:sz="6" w:space="0" w:color="CCCCCC"/>
                        <w:left w:val="single" w:sz="6" w:space="8" w:color="CCCCCC"/>
                        <w:bottom w:val="single" w:sz="6" w:space="8" w:color="CCCCCC"/>
                        <w:right w:val="single" w:sz="6" w:space="8" w:color="CCCCCC"/>
                      </w:divBdr>
                      <w:divsChild>
                        <w:div w:id="122617978">
                          <w:marLeft w:val="0"/>
                          <w:marRight w:val="0"/>
                          <w:marTop w:val="0"/>
                          <w:marBottom w:val="0"/>
                          <w:divBdr>
                            <w:top w:val="none" w:sz="0" w:space="0" w:color="auto"/>
                            <w:left w:val="none" w:sz="0" w:space="0" w:color="auto"/>
                            <w:bottom w:val="none" w:sz="0" w:space="0" w:color="auto"/>
                            <w:right w:val="none" w:sz="0" w:space="0" w:color="auto"/>
                          </w:divBdr>
                        </w:div>
                        <w:div w:id="1604024151">
                          <w:marLeft w:val="0"/>
                          <w:marRight w:val="0"/>
                          <w:marTop w:val="0"/>
                          <w:marBottom w:val="0"/>
                          <w:divBdr>
                            <w:top w:val="none" w:sz="0" w:space="0" w:color="auto"/>
                            <w:left w:val="none" w:sz="0" w:space="0" w:color="auto"/>
                            <w:bottom w:val="none" w:sz="0" w:space="0" w:color="auto"/>
                            <w:right w:val="none" w:sz="0" w:space="0" w:color="auto"/>
                          </w:divBdr>
                        </w:div>
                        <w:div w:id="2137947272">
                          <w:marLeft w:val="0"/>
                          <w:marRight w:val="0"/>
                          <w:marTop w:val="0"/>
                          <w:marBottom w:val="0"/>
                          <w:divBdr>
                            <w:top w:val="none" w:sz="0" w:space="0" w:color="auto"/>
                            <w:left w:val="none" w:sz="0" w:space="0" w:color="auto"/>
                            <w:bottom w:val="none" w:sz="0" w:space="0" w:color="auto"/>
                            <w:right w:val="none" w:sz="0" w:space="0" w:color="auto"/>
                          </w:divBdr>
                        </w:div>
                        <w:div w:id="623969359">
                          <w:marLeft w:val="0"/>
                          <w:marRight w:val="0"/>
                          <w:marTop w:val="0"/>
                          <w:marBottom w:val="0"/>
                          <w:divBdr>
                            <w:top w:val="none" w:sz="0" w:space="0" w:color="auto"/>
                            <w:left w:val="none" w:sz="0" w:space="0" w:color="auto"/>
                            <w:bottom w:val="none" w:sz="0" w:space="0" w:color="auto"/>
                            <w:right w:val="none" w:sz="0" w:space="0" w:color="auto"/>
                          </w:divBdr>
                        </w:div>
                        <w:div w:id="1534151234">
                          <w:marLeft w:val="0"/>
                          <w:marRight w:val="0"/>
                          <w:marTop w:val="0"/>
                          <w:marBottom w:val="0"/>
                          <w:divBdr>
                            <w:top w:val="none" w:sz="0" w:space="0" w:color="auto"/>
                            <w:left w:val="none" w:sz="0" w:space="0" w:color="auto"/>
                            <w:bottom w:val="none" w:sz="0" w:space="0" w:color="auto"/>
                            <w:right w:val="none" w:sz="0" w:space="0" w:color="auto"/>
                          </w:divBdr>
                        </w:div>
                        <w:div w:id="1903173312">
                          <w:marLeft w:val="0"/>
                          <w:marRight w:val="0"/>
                          <w:marTop w:val="0"/>
                          <w:marBottom w:val="0"/>
                          <w:divBdr>
                            <w:top w:val="none" w:sz="0" w:space="0" w:color="auto"/>
                            <w:left w:val="none" w:sz="0" w:space="0" w:color="auto"/>
                            <w:bottom w:val="none" w:sz="0" w:space="0" w:color="auto"/>
                            <w:right w:val="none" w:sz="0" w:space="0" w:color="auto"/>
                          </w:divBdr>
                        </w:div>
                        <w:div w:id="873423675">
                          <w:marLeft w:val="0"/>
                          <w:marRight w:val="0"/>
                          <w:marTop w:val="0"/>
                          <w:marBottom w:val="0"/>
                          <w:divBdr>
                            <w:top w:val="none" w:sz="0" w:space="0" w:color="auto"/>
                            <w:left w:val="none" w:sz="0" w:space="0" w:color="auto"/>
                            <w:bottom w:val="none" w:sz="0" w:space="0" w:color="auto"/>
                            <w:right w:val="none" w:sz="0" w:space="0" w:color="auto"/>
                          </w:divBdr>
                        </w:div>
                        <w:div w:id="16318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012582">
      <w:bodyDiv w:val="1"/>
      <w:marLeft w:val="0"/>
      <w:marRight w:val="0"/>
      <w:marTop w:val="0"/>
      <w:marBottom w:val="0"/>
      <w:divBdr>
        <w:top w:val="none" w:sz="0" w:space="0" w:color="auto"/>
        <w:left w:val="none" w:sz="0" w:space="0" w:color="auto"/>
        <w:bottom w:val="none" w:sz="0" w:space="0" w:color="auto"/>
        <w:right w:val="none" w:sz="0" w:space="0" w:color="auto"/>
      </w:divBdr>
      <w:divsChild>
        <w:div w:id="2026860614">
          <w:marLeft w:val="0"/>
          <w:marRight w:val="0"/>
          <w:marTop w:val="0"/>
          <w:marBottom w:val="0"/>
          <w:divBdr>
            <w:top w:val="none" w:sz="0" w:space="0" w:color="auto"/>
            <w:left w:val="none" w:sz="0" w:space="0" w:color="auto"/>
            <w:bottom w:val="none" w:sz="0" w:space="0" w:color="auto"/>
            <w:right w:val="none" w:sz="0" w:space="0" w:color="auto"/>
          </w:divBdr>
        </w:div>
        <w:div w:id="1489783679">
          <w:marLeft w:val="0"/>
          <w:marRight w:val="0"/>
          <w:marTop w:val="0"/>
          <w:marBottom w:val="150"/>
          <w:divBdr>
            <w:top w:val="none" w:sz="0" w:space="0" w:color="auto"/>
            <w:left w:val="none" w:sz="0" w:space="0" w:color="auto"/>
            <w:bottom w:val="none" w:sz="0" w:space="0" w:color="auto"/>
            <w:right w:val="none" w:sz="0" w:space="0" w:color="auto"/>
          </w:divBdr>
          <w:divsChild>
            <w:div w:id="1963534671">
              <w:marLeft w:val="0"/>
              <w:marRight w:val="0"/>
              <w:marTop w:val="0"/>
              <w:marBottom w:val="0"/>
              <w:divBdr>
                <w:top w:val="none" w:sz="0" w:space="0" w:color="auto"/>
                <w:left w:val="none" w:sz="0" w:space="0" w:color="auto"/>
                <w:bottom w:val="none" w:sz="0" w:space="0" w:color="auto"/>
                <w:right w:val="none" w:sz="0" w:space="0" w:color="auto"/>
              </w:divBdr>
              <w:divsChild>
                <w:div w:id="1263495252">
                  <w:marLeft w:val="0"/>
                  <w:marRight w:val="225"/>
                  <w:marTop w:val="0"/>
                  <w:marBottom w:val="0"/>
                  <w:divBdr>
                    <w:top w:val="none" w:sz="0" w:space="0" w:color="auto"/>
                    <w:left w:val="none" w:sz="0" w:space="0" w:color="auto"/>
                    <w:bottom w:val="none" w:sz="0" w:space="0" w:color="auto"/>
                    <w:right w:val="none" w:sz="0" w:space="0" w:color="auto"/>
                  </w:divBdr>
                  <w:divsChild>
                    <w:div w:id="16306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4157">
          <w:marLeft w:val="0"/>
          <w:marRight w:val="0"/>
          <w:marTop w:val="0"/>
          <w:marBottom w:val="150"/>
          <w:divBdr>
            <w:top w:val="none" w:sz="0" w:space="0" w:color="auto"/>
            <w:left w:val="none" w:sz="0" w:space="0" w:color="auto"/>
            <w:bottom w:val="none" w:sz="0" w:space="0" w:color="auto"/>
            <w:right w:val="none" w:sz="0" w:space="0" w:color="auto"/>
          </w:divBdr>
        </w:div>
      </w:divsChild>
    </w:div>
    <w:div w:id="2064056925">
      <w:bodyDiv w:val="1"/>
      <w:marLeft w:val="0"/>
      <w:marRight w:val="0"/>
      <w:marTop w:val="0"/>
      <w:marBottom w:val="0"/>
      <w:divBdr>
        <w:top w:val="none" w:sz="0" w:space="0" w:color="auto"/>
        <w:left w:val="none" w:sz="0" w:space="0" w:color="auto"/>
        <w:bottom w:val="none" w:sz="0" w:space="0" w:color="auto"/>
        <w:right w:val="none" w:sz="0" w:space="0" w:color="auto"/>
      </w:divBdr>
      <w:divsChild>
        <w:div w:id="716051492">
          <w:marLeft w:val="0"/>
          <w:marRight w:val="0"/>
          <w:marTop w:val="0"/>
          <w:marBottom w:val="0"/>
          <w:divBdr>
            <w:top w:val="none" w:sz="0" w:space="0" w:color="auto"/>
            <w:left w:val="none" w:sz="0" w:space="0" w:color="auto"/>
            <w:bottom w:val="none" w:sz="0" w:space="0" w:color="auto"/>
            <w:right w:val="none" w:sz="0" w:space="0" w:color="auto"/>
          </w:divBdr>
        </w:div>
        <w:div w:id="282928761">
          <w:marLeft w:val="0"/>
          <w:marRight w:val="0"/>
          <w:marTop w:val="0"/>
          <w:marBottom w:val="150"/>
          <w:divBdr>
            <w:top w:val="none" w:sz="0" w:space="0" w:color="auto"/>
            <w:left w:val="none" w:sz="0" w:space="0" w:color="auto"/>
            <w:bottom w:val="none" w:sz="0" w:space="0" w:color="auto"/>
            <w:right w:val="none" w:sz="0" w:space="0" w:color="auto"/>
          </w:divBdr>
          <w:divsChild>
            <w:div w:id="865410644">
              <w:marLeft w:val="0"/>
              <w:marRight w:val="0"/>
              <w:marTop w:val="0"/>
              <w:marBottom w:val="0"/>
              <w:divBdr>
                <w:top w:val="none" w:sz="0" w:space="0" w:color="auto"/>
                <w:left w:val="none" w:sz="0" w:space="0" w:color="auto"/>
                <w:bottom w:val="none" w:sz="0" w:space="0" w:color="auto"/>
                <w:right w:val="none" w:sz="0" w:space="0" w:color="auto"/>
              </w:divBdr>
              <w:divsChild>
                <w:div w:id="1976448966">
                  <w:marLeft w:val="0"/>
                  <w:marRight w:val="225"/>
                  <w:marTop w:val="0"/>
                  <w:marBottom w:val="0"/>
                  <w:divBdr>
                    <w:top w:val="none" w:sz="0" w:space="0" w:color="auto"/>
                    <w:left w:val="none" w:sz="0" w:space="0" w:color="auto"/>
                    <w:bottom w:val="none" w:sz="0" w:space="0" w:color="auto"/>
                    <w:right w:val="none" w:sz="0" w:space="0" w:color="auto"/>
                  </w:divBdr>
                  <w:divsChild>
                    <w:div w:id="10882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6063">
          <w:marLeft w:val="0"/>
          <w:marRight w:val="0"/>
          <w:marTop w:val="0"/>
          <w:marBottom w:val="150"/>
          <w:divBdr>
            <w:top w:val="none" w:sz="0" w:space="0" w:color="auto"/>
            <w:left w:val="none" w:sz="0" w:space="0" w:color="auto"/>
            <w:bottom w:val="none" w:sz="0" w:space="0" w:color="auto"/>
            <w:right w:val="none" w:sz="0" w:space="0" w:color="auto"/>
          </w:divBdr>
        </w:div>
      </w:divsChild>
    </w:div>
    <w:div w:id="2064328801">
      <w:bodyDiv w:val="1"/>
      <w:marLeft w:val="0"/>
      <w:marRight w:val="0"/>
      <w:marTop w:val="0"/>
      <w:marBottom w:val="0"/>
      <w:divBdr>
        <w:top w:val="none" w:sz="0" w:space="0" w:color="auto"/>
        <w:left w:val="none" w:sz="0" w:space="0" w:color="auto"/>
        <w:bottom w:val="none" w:sz="0" w:space="0" w:color="auto"/>
        <w:right w:val="none" w:sz="0" w:space="0" w:color="auto"/>
      </w:divBdr>
      <w:divsChild>
        <w:div w:id="1179273157">
          <w:marLeft w:val="0"/>
          <w:marRight w:val="0"/>
          <w:marTop w:val="0"/>
          <w:marBottom w:val="0"/>
          <w:divBdr>
            <w:top w:val="none" w:sz="0" w:space="0" w:color="auto"/>
            <w:left w:val="none" w:sz="0" w:space="0" w:color="auto"/>
            <w:bottom w:val="none" w:sz="0" w:space="0" w:color="auto"/>
            <w:right w:val="none" w:sz="0" w:space="0" w:color="auto"/>
          </w:divBdr>
          <w:divsChild>
            <w:div w:id="61063083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64938716">
      <w:bodyDiv w:val="1"/>
      <w:marLeft w:val="0"/>
      <w:marRight w:val="0"/>
      <w:marTop w:val="0"/>
      <w:marBottom w:val="0"/>
      <w:divBdr>
        <w:top w:val="none" w:sz="0" w:space="0" w:color="auto"/>
        <w:left w:val="none" w:sz="0" w:space="0" w:color="auto"/>
        <w:bottom w:val="none" w:sz="0" w:space="0" w:color="auto"/>
        <w:right w:val="none" w:sz="0" w:space="0" w:color="auto"/>
      </w:divBdr>
    </w:div>
    <w:div w:id="2065180506">
      <w:bodyDiv w:val="1"/>
      <w:marLeft w:val="0"/>
      <w:marRight w:val="0"/>
      <w:marTop w:val="0"/>
      <w:marBottom w:val="0"/>
      <w:divBdr>
        <w:top w:val="none" w:sz="0" w:space="0" w:color="auto"/>
        <w:left w:val="none" w:sz="0" w:space="0" w:color="auto"/>
        <w:bottom w:val="none" w:sz="0" w:space="0" w:color="auto"/>
        <w:right w:val="none" w:sz="0" w:space="0" w:color="auto"/>
      </w:divBdr>
      <w:divsChild>
        <w:div w:id="1741706336">
          <w:marLeft w:val="0"/>
          <w:marRight w:val="0"/>
          <w:marTop w:val="0"/>
          <w:marBottom w:val="0"/>
          <w:divBdr>
            <w:top w:val="none" w:sz="0" w:space="0" w:color="auto"/>
            <w:left w:val="none" w:sz="0" w:space="0" w:color="auto"/>
            <w:bottom w:val="none" w:sz="0" w:space="0" w:color="auto"/>
            <w:right w:val="none" w:sz="0" w:space="0" w:color="auto"/>
          </w:divBdr>
        </w:div>
      </w:divsChild>
    </w:div>
    <w:div w:id="2067139068">
      <w:bodyDiv w:val="1"/>
      <w:marLeft w:val="0"/>
      <w:marRight w:val="0"/>
      <w:marTop w:val="0"/>
      <w:marBottom w:val="0"/>
      <w:divBdr>
        <w:top w:val="none" w:sz="0" w:space="0" w:color="auto"/>
        <w:left w:val="none" w:sz="0" w:space="0" w:color="auto"/>
        <w:bottom w:val="none" w:sz="0" w:space="0" w:color="auto"/>
        <w:right w:val="none" w:sz="0" w:space="0" w:color="auto"/>
      </w:divBdr>
      <w:divsChild>
        <w:div w:id="290330115">
          <w:marLeft w:val="0"/>
          <w:marRight w:val="0"/>
          <w:marTop w:val="0"/>
          <w:marBottom w:val="0"/>
          <w:divBdr>
            <w:top w:val="none" w:sz="0" w:space="0" w:color="auto"/>
            <w:left w:val="none" w:sz="0" w:space="0" w:color="auto"/>
            <w:bottom w:val="none" w:sz="0" w:space="0" w:color="auto"/>
            <w:right w:val="none" w:sz="0" w:space="0" w:color="auto"/>
          </w:divBdr>
          <w:divsChild>
            <w:div w:id="1903245747">
              <w:marLeft w:val="0"/>
              <w:marRight w:val="0"/>
              <w:marTop w:val="0"/>
              <w:marBottom w:val="0"/>
              <w:divBdr>
                <w:top w:val="none" w:sz="0" w:space="0" w:color="auto"/>
                <w:left w:val="none" w:sz="0" w:space="0" w:color="auto"/>
                <w:bottom w:val="none" w:sz="0" w:space="0" w:color="auto"/>
                <w:right w:val="none" w:sz="0" w:space="0" w:color="auto"/>
              </w:divBdr>
              <w:divsChild>
                <w:div w:id="1617449802">
                  <w:marLeft w:val="0"/>
                  <w:marRight w:val="0"/>
                  <w:marTop w:val="0"/>
                  <w:marBottom w:val="0"/>
                  <w:divBdr>
                    <w:top w:val="none" w:sz="0" w:space="0" w:color="auto"/>
                    <w:left w:val="none" w:sz="0" w:space="0" w:color="auto"/>
                    <w:bottom w:val="none" w:sz="0" w:space="0" w:color="auto"/>
                    <w:right w:val="none" w:sz="0" w:space="0" w:color="auto"/>
                  </w:divBdr>
                  <w:divsChild>
                    <w:div w:id="112754633">
                      <w:marLeft w:val="0"/>
                      <w:marRight w:val="0"/>
                      <w:marTop w:val="0"/>
                      <w:marBottom w:val="0"/>
                      <w:divBdr>
                        <w:top w:val="none" w:sz="0" w:space="0" w:color="auto"/>
                        <w:left w:val="none" w:sz="0" w:space="0" w:color="auto"/>
                        <w:bottom w:val="none" w:sz="0" w:space="0" w:color="auto"/>
                        <w:right w:val="none" w:sz="0" w:space="0" w:color="auto"/>
                      </w:divBdr>
                      <w:divsChild>
                        <w:div w:id="1232077240">
                          <w:marLeft w:val="570"/>
                          <w:marRight w:val="720"/>
                          <w:marTop w:val="120"/>
                          <w:marBottom w:val="120"/>
                          <w:divBdr>
                            <w:top w:val="none" w:sz="0" w:space="0" w:color="auto"/>
                            <w:left w:val="none" w:sz="0" w:space="0" w:color="auto"/>
                            <w:bottom w:val="none" w:sz="0" w:space="0" w:color="auto"/>
                            <w:right w:val="none" w:sz="0" w:space="0" w:color="auto"/>
                          </w:divBdr>
                          <w:divsChild>
                            <w:div w:id="393627888">
                              <w:marLeft w:val="0"/>
                              <w:marRight w:val="0"/>
                              <w:marTop w:val="0"/>
                              <w:marBottom w:val="0"/>
                              <w:divBdr>
                                <w:top w:val="none" w:sz="0" w:space="0" w:color="auto"/>
                                <w:left w:val="none" w:sz="0" w:space="0" w:color="auto"/>
                                <w:bottom w:val="none" w:sz="0" w:space="0" w:color="auto"/>
                                <w:right w:val="none" w:sz="0" w:space="0" w:color="auto"/>
                              </w:divBdr>
                              <w:divsChild>
                                <w:div w:id="1527252573">
                                  <w:marLeft w:val="0"/>
                                  <w:marRight w:val="0"/>
                                  <w:marTop w:val="0"/>
                                  <w:marBottom w:val="0"/>
                                  <w:divBdr>
                                    <w:top w:val="none" w:sz="0" w:space="0" w:color="auto"/>
                                    <w:left w:val="none" w:sz="0" w:space="0" w:color="auto"/>
                                    <w:bottom w:val="none" w:sz="0" w:space="0" w:color="auto"/>
                                    <w:right w:val="none" w:sz="0" w:space="0" w:color="auto"/>
                                  </w:divBdr>
                                  <w:divsChild>
                                    <w:div w:id="553322585">
                                      <w:marLeft w:val="0"/>
                                      <w:marRight w:val="0"/>
                                      <w:marTop w:val="0"/>
                                      <w:marBottom w:val="0"/>
                                      <w:divBdr>
                                        <w:top w:val="none" w:sz="0" w:space="0" w:color="auto"/>
                                        <w:left w:val="none" w:sz="0" w:space="0" w:color="auto"/>
                                        <w:bottom w:val="none" w:sz="0" w:space="0" w:color="auto"/>
                                        <w:right w:val="none" w:sz="0" w:space="0" w:color="auto"/>
                                      </w:divBdr>
                                      <w:divsChild>
                                        <w:div w:id="2042432921">
                                          <w:marLeft w:val="0"/>
                                          <w:marRight w:val="0"/>
                                          <w:marTop w:val="0"/>
                                          <w:marBottom w:val="0"/>
                                          <w:divBdr>
                                            <w:top w:val="none" w:sz="0" w:space="0" w:color="auto"/>
                                            <w:left w:val="none" w:sz="0" w:space="0" w:color="auto"/>
                                            <w:bottom w:val="none" w:sz="0" w:space="0" w:color="auto"/>
                                            <w:right w:val="none" w:sz="0" w:space="0" w:color="auto"/>
                                          </w:divBdr>
                                          <w:divsChild>
                                            <w:div w:id="9983868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531872">
      <w:bodyDiv w:val="1"/>
      <w:marLeft w:val="0"/>
      <w:marRight w:val="0"/>
      <w:marTop w:val="0"/>
      <w:marBottom w:val="0"/>
      <w:divBdr>
        <w:top w:val="none" w:sz="0" w:space="0" w:color="auto"/>
        <w:left w:val="none" w:sz="0" w:space="0" w:color="auto"/>
        <w:bottom w:val="none" w:sz="0" w:space="0" w:color="auto"/>
        <w:right w:val="none" w:sz="0" w:space="0" w:color="auto"/>
      </w:divBdr>
      <w:divsChild>
        <w:div w:id="2071271616">
          <w:marLeft w:val="0"/>
          <w:marRight w:val="0"/>
          <w:marTop w:val="0"/>
          <w:marBottom w:val="0"/>
          <w:divBdr>
            <w:top w:val="none" w:sz="0" w:space="0" w:color="auto"/>
            <w:left w:val="none" w:sz="0" w:space="0" w:color="auto"/>
            <w:bottom w:val="none" w:sz="0" w:space="0" w:color="auto"/>
            <w:right w:val="none" w:sz="0" w:space="0" w:color="auto"/>
          </w:divBdr>
          <w:divsChild>
            <w:div w:id="1418868399">
              <w:marLeft w:val="0"/>
              <w:marRight w:val="0"/>
              <w:marTop w:val="0"/>
              <w:marBottom w:val="0"/>
              <w:divBdr>
                <w:top w:val="none" w:sz="0" w:space="0" w:color="auto"/>
                <w:left w:val="none" w:sz="0" w:space="0" w:color="auto"/>
                <w:bottom w:val="none" w:sz="0" w:space="0" w:color="auto"/>
                <w:right w:val="none" w:sz="0" w:space="0" w:color="auto"/>
              </w:divBdr>
              <w:divsChild>
                <w:div w:id="567308818">
                  <w:marLeft w:val="0"/>
                  <w:marRight w:val="0"/>
                  <w:marTop w:val="0"/>
                  <w:marBottom w:val="0"/>
                  <w:divBdr>
                    <w:top w:val="none" w:sz="0" w:space="0" w:color="auto"/>
                    <w:left w:val="none" w:sz="0" w:space="0" w:color="auto"/>
                    <w:bottom w:val="none" w:sz="0" w:space="0" w:color="auto"/>
                    <w:right w:val="none" w:sz="0" w:space="0" w:color="auto"/>
                  </w:divBdr>
                </w:div>
                <w:div w:id="768432909">
                  <w:marLeft w:val="0"/>
                  <w:marRight w:val="0"/>
                  <w:marTop w:val="0"/>
                  <w:marBottom w:val="0"/>
                  <w:divBdr>
                    <w:top w:val="none" w:sz="0" w:space="0" w:color="auto"/>
                    <w:left w:val="none" w:sz="0" w:space="0" w:color="auto"/>
                    <w:bottom w:val="none" w:sz="0" w:space="0" w:color="auto"/>
                    <w:right w:val="none" w:sz="0" w:space="0" w:color="auto"/>
                  </w:divBdr>
                  <w:divsChild>
                    <w:div w:id="1342852165">
                      <w:marLeft w:val="0"/>
                      <w:marRight w:val="0"/>
                      <w:marTop w:val="0"/>
                      <w:marBottom w:val="0"/>
                      <w:divBdr>
                        <w:top w:val="none" w:sz="0" w:space="0" w:color="auto"/>
                        <w:left w:val="none" w:sz="0" w:space="0" w:color="auto"/>
                        <w:bottom w:val="none" w:sz="0" w:space="0" w:color="auto"/>
                        <w:right w:val="none" w:sz="0" w:space="0" w:color="auto"/>
                      </w:divBdr>
                    </w:div>
                    <w:div w:id="138622070">
                      <w:marLeft w:val="0"/>
                      <w:marRight w:val="0"/>
                      <w:marTop w:val="0"/>
                      <w:marBottom w:val="0"/>
                      <w:divBdr>
                        <w:top w:val="none" w:sz="0" w:space="0" w:color="auto"/>
                        <w:left w:val="none" w:sz="0" w:space="0" w:color="auto"/>
                        <w:bottom w:val="none" w:sz="0" w:space="0" w:color="auto"/>
                        <w:right w:val="none" w:sz="0" w:space="0" w:color="auto"/>
                      </w:divBdr>
                    </w:div>
                  </w:divsChild>
                </w:div>
                <w:div w:id="124584870">
                  <w:marLeft w:val="0"/>
                  <w:marRight w:val="0"/>
                  <w:marTop w:val="0"/>
                  <w:marBottom w:val="0"/>
                  <w:divBdr>
                    <w:top w:val="none" w:sz="0" w:space="0" w:color="auto"/>
                    <w:left w:val="none" w:sz="0" w:space="0" w:color="auto"/>
                    <w:bottom w:val="none" w:sz="0" w:space="0" w:color="auto"/>
                    <w:right w:val="none" w:sz="0" w:space="0" w:color="auto"/>
                  </w:divBdr>
                  <w:divsChild>
                    <w:div w:id="434063278">
                      <w:marLeft w:val="0"/>
                      <w:marRight w:val="0"/>
                      <w:marTop w:val="0"/>
                      <w:marBottom w:val="0"/>
                      <w:divBdr>
                        <w:top w:val="none" w:sz="0" w:space="0" w:color="auto"/>
                        <w:left w:val="none" w:sz="0" w:space="0" w:color="auto"/>
                        <w:bottom w:val="none" w:sz="0" w:space="0" w:color="auto"/>
                        <w:right w:val="none" w:sz="0" w:space="0" w:color="auto"/>
                      </w:divBdr>
                    </w:div>
                    <w:div w:id="141191649">
                      <w:marLeft w:val="0"/>
                      <w:marRight w:val="0"/>
                      <w:marTop w:val="0"/>
                      <w:marBottom w:val="0"/>
                      <w:divBdr>
                        <w:top w:val="none" w:sz="0" w:space="0" w:color="auto"/>
                        <w:left w:val="none" w:sz="0" w:space="0" w:color="auto"/>
                        <w:bottom w:val="none" w:sz="0" w:space="0" w:color="auto"/>
                        <w:right w:val="none" w:sz="0" w:space="0" w:color="auto"/>
                      </w:divBdr>
                    </w:div>
                  </w:divsChild>
                </w:div>
                <w:div w:id="287784960">
                  <w:marLeft w:val="0"/>
                  <w:marRight w:val="0"/>
                  <w:marTop w:val="0"/>
                  <w:marBottom w:val="0"/>
                  <w:divBdr>
                    <w:top w:val="none" w:sz="0" w:space="0" w:color="auto"/>
                    <w:left w:val="none" w:sz="0" w:space="0" w:color="auto"/>
                    <w:bottom w:val="none" w:sz="0" w:space="0" w:color="auto"/>
                    <w:right w:val="none" w:sz="0" w:space="0" w:color="auto"/>
                  </w:divBdr>
                </w:div>
                <w:div w:id="1426263126">
                  <w:marLeft w:val="0"/>
                  <w:marRight w:val="0"/>
                  <w:marTop w:val="0"/>
                  <w:marBottom w:val="0"/>
                  <w:divBdr>
                    <w:top w:val="none" w:sz="0" w:space="0" w:color="auto"/>
                    <w:left w:val="none" w:sz="0" w:space="0" w:color="auto"/>
                    <w:bottom w:val="none" w:sz="0" w:space="0" w:color="auto"/>
                    <w:right w:val="none" w:sz="0" w:space="0" w:color="auto"/>
                  </w:divBdr>
                  <w:divsChild>
                    <w:div w:id="1794321346">
                      <w:marLeft w:val="0"/>
                      <w:marRight w:val="0"/>
                      <w:marTop w:val="0"/>
                      <w:marBottom w:val="0"/>
                      <w:divBdr>
                        <w:top w:val="none" w:sz="0" w:space="0" w:color="auto"/>
                        <w:left w:val="none" w:sz="0" w:space="0" w:color="auto"/>
                        <w:bottom w:val="none" w:sz="0" w:space="0" w:color="auto"/>
                        <w:right w:val="none" w:sz="0" w:space="0" w:color="auto"/>
                      </w:divBdr>
                    </w:div>
                    <w:div w:id="992953728">
                      <w:marLeft w:val="0"/>
                      <w:marRight w:val="0"/>
                      <w:marTop w:val="0"/>
                      <w:marBottom w:val="0"/>
                      <w:divBdr>
                        <w:top w:val="none" w:sz="0" w:space="0" w:color="auto"/>
                        <w:left w:val="none" w:sz="0" w:space="0" w:color="auto"/>
                        <w:bottom w:val="none" w:sz="0" w:space="0" w:color="auto"/>
                        <w:right w:val="none" w:sz="0" w:space="0" w:color="auto"/>
                      </w:divBdr>
                    </w:div>
                  </w:divsChild>
                </w:div>
                <w:div w:id="1199970111">
                  <w:marLeft w:val="0"/>
                  <w:marRight w:val="0"/>
                  <w:marTop w:val="0"/>
                  <w:marBottom w:val="0"/>
                  <w:divBdr>
                    <w:top w:val="none" w:sz="0" w:space="0" w:color="auto"/>
                    <w:left w:val="none" w:sz="0" w:space="0" w:color="auto"/>
                    <w:bottom w:val="none" w:sz="0" w:space="0" w:color="auto"/>
                    <w:right w:val="none" w:sz="0" w:space="0" w:color="auto"/>
                  </w:divBdr>
                </w:div>
                <w:div w:id="595943282">
                  <w:marLeft w:val="0"/>
                  <w:marRight w:val="0"/>
                  <w:marTop w:val="0"/>
                  <w:marBottom w:val="0"/>
                  <w:divBdr>
                    <w:top w:val="none" w:sz="0" w:space="0" w:color="auto"/>
                    <w:left w:val="none" w:sz="0" w:space="0" w:color="auto"/>
                    <w:bottom w:val="none" w:sz="0" w:space="0" w:color="auto"/>
                    <w:right w:val="none" w:sz="0" w:space="0" w:color="auto"/>
                  </w:divBdr>
                  <w:divsChild>
                    <w:div w:id="1236208394">
                      <w:marLeft w:val="0"/>
                      <w:marRight w:val="0"/>
                      <w:marTop w:val="0"/>
                      <w:marBottom w:val="0"/>
                      <w:divBdr>
                        <w:top w:val="none" w:sz="0" w:space="0" w:color="auto"/>
                        <w:left w:val="none" w:sz="0" w:space="0" w:color="auto"/>
                        <w:bottom w:val="none" w:sz="0" w:space="0" w:color="auto"/>
                        <w:right w:val="none" w:sz="0" w:space="0" w:color="auto"/>
                      </w:divBdr>
                    </w:div>
                    <w:div w:id="185482969">
                      <w:marLeft w:val="0"/>
                      <w:marRight w:val="0"/>
                      <w:marTop w:val="0"/>
                      <w:marBottom w:val="0"/>
                      <w:divBdr>
                        <w:top w:val="none" w:sz="0" w:space="0" w:color="auto"/>
                        <w:left w:val="none" w:sz="0" w:space="0" w:color="auto"/>
                        <w:bottom w:val="none" w:sz="0" w:space="0" w:color="auto"/>
                        <w:right w:val="none" w:sz="0" w:space="0" w:color="auto"/>
                      </w:divBdr>
                    </w:div>
                  </w:divsChild>
                </w:div>
                <w:div w:id="1540124404">
                  <w:marLeft w:val="0"/>
                  <w:marRight w:val="0"/>
                  <w:marTop w:val="0"/>
                  <w:marBottom w:val="0"/>
                  <w:divBdr>
                    <w:top w:val="none" w:sz="0" w:space="0" w:color="auto"/>
                    <w:left w:val="none" w:sz="0" w:space="0" w:color="auto"/>
                    <w:bottom w:val="none" w:sz="0" w:space="0" w:color="auto"/>
                    <w:right w:val="none" w:sz="0" w:space="0" w:color="auto"/>
                  </w:divBdr>
                  <w:divsChild>
                    <w:div w:id="986856914">
                      <w:marLeft w:val="0"/>
                      <w:marRight w:val="0"/>
                      <w:marTop w:val="0"/>
                      <w:marBottom w:val="0"/>
                      <w:divBdr>
                        <w:top w:val="none" w:sz="0" w:space="0" w:color="auto"/>
                        <w:left w:val="none" w:sz="0" w:space="0" w:color="auto"/>
                        <w:bottom w:val="none" w:sz="0" w:space="0" w:color="auto"/>
                        <w:right w:val="none" w:sz="0" w:space="0" w:color="auto"/>
                      </w:divBdr>
                    </w:div>
                    <w:div w:id="988052958">
                      <w:marLeft w:val="0"/>
                      <w:marRight w:val="0"/>
                      <w:marTop w:val="0"/>
                      <w:marBottom w:val="0"/>
                      <w:divBdr>
                        <w:top w:val="none" w:sz="0" w:space="0" w:color="auto"/>
                        <w:left w:val="none" w:sz="0" w:space="0" w:color="auto"/>
                        <w:bottom w:val="none" w:sz="0" w:space="0" w:color="auto"/>
                        <w:right w:val="none" w:sz="0" w:space="0" w:color="auto"/>
                      </w:divBdr>
                    </w:div>
                  </w:divsChild>
                </w:div>
                <w:div w:id="1262836537">
                  <w:marLeft w:val="0"/>
                  <w:marRight w:val="0"/>
                  <w:marTop w:val="0"/>
                  <w:marBottom w:val="0"/>
                  <w:divBdr>
                    <w:top w:val="none" w:sz="0" w:space="0" w:color="auto"/>
                    <w:left w:val="none" w:sz="0" w:space="0" w:color="auto"/>
                    <w:bottom w:val="none" w:sz="0" w:space="0" w:color="auto"/>
                    <w:right w:val="none" w:sz="0" w:space="0" w:color="auto"/>
                  </w:divBdr>
                  <w:divsChild>
                    <w:div w:id="524564771">
                      <w:marLeft w:val="0"/>
                      <w:marRight w:val="0"/>
                      <w:marTop w:val="0"/>
                      <w:marBottom w:val="0"/>
                      <w:divBdr>
                        <w:top w:val="none" w:sz="0" w:space="0" w:color="auto"/>
                        <w:left w:val="none" w:sz="0" w:space="0" w:color="auto"/>
                        <w:bottom w:val="none" w:sz="0" w:space="0" w:color="auto"/>
                        <w:right w:val="none" w:sz="0" w:space="0" w:color="auto"/>
                      </w:divBdr>
                    </w:div>
                    <w:div w:id="38432954">
                      <w:marLeft w:val="0"/>
                      <w:marRight w:val="0"/>
                      <w:marTop w:val="0"/>
                      <w:marBottom w:val="0"/>
                      <w:divBdr>
                        <w:top w:val="none" w:sz="0" w:space="0" w:color="auto"/>
                        <w:left w:val="none" w:sz="0" w:space="0" w:color="auto"/>
                        <w:bottom w:val="none" w:sz="0" w:space="0" w:color="auto"/>
                        <w:right w:val="none" w:sz="0" w:space="0" w:color="auto"/>
                      </w:divBdr>
                    </w:div>
                  </w:divsChild>
                </w:div>
                <w:div w:id="2128356620">
                  <w:marLeft w:val="0"/>
                  <w:marRight w:val="0"/>
                  <w:marTop w:val="0"/>
                  <w:marBottom w:val="0"/>
                  <w:divBdr>
                    <w:top w:val="none" w:sz="0" w:space="0" w:color="auto"/>
                    <w:left w:val="none" w:sz="0" w:space="0" w:color="auto"/>
                    <w:bottom w:val="none" w:sz="0" w:space="0" w:color="auto"/>
                    <w:right w:val="none" w:sz="0" w:space="0" w:color="auto"/>
                  </w:divBdr>
                  <w:divsChild>
                    <w:div w:id="1087724581">
                      <w:marLeft w:val="0"/>
                      <w:marRight w:val="0"/>
                      <w:marTop w:val="0"/>
                      <w:marBottom w:val="0"/>
                      <w:divBdr>
                        <w:top w:val="none" w:sz="0" w:space="0" w:color="auto"/>
                        <w:left w:val="none" w:sz="0" w:space="0" w:color="auto"/>
                        <w:bottom w:val="none" w:sz="0" w:space="0" w:color="auto"/>
                        <w:right w:val="none" w:sz="0" w:space="0" w:color="auto"/>
                      </w:divBdr>
                    </w:div>
                    <w:div w:id="444934440">
                      <w:marLeft w:val="0"/>
                      <w:marRight w:val="0"/>
                      <w:marTop w:val="0"/>
                      <w:marBottom w:val="0"/>
                      <w:divBdr>
                        <w:top w:val="none" w:sz="0" w:space="0" w:color="auto"/>
                        <w:left w:val="none" w:sz="0" w:space="0" w:color="auto"/>
                        <w:bottom w:val="none" w:sz="0" w:space="0" w:color="auto"/>
                        <w:right w:val="none" w:sz="0" w:space="0" w:color="auto"/>
                      </w:divBdr>
                    </w:div>
                  </w:divsChild>
                </w:div>
                <w:div w:id="2060787454">
                  <w:marLeft w:val="0"/>
                  <w:marRight w:val="0"/>
                  <w:marTop w:val="0"/>
                  <w:marBottom w:val="0"/>
                  <w:divBdr>
                    <w:top w:val="none" w:sz="0" w:space="0" w:color="auto"/>
                    <w:left w:val="none" w:sz="0" w:space="0" w:color="auto"/>
                    <w:bottom w:val="none" w:sz="0" w:space="0" w:color="auto"/>
                    <w:right w:val="none" w:sz="0" w:space="0" w:color="auto"/>
                  </w:divBdr>
                  <w:divsChild>
                    <w:div w:id="1334919769">
                      <w:marLeft w:val="0"/>
                      <w:marRight w:val="0"/>
                      <w:marTop w:val="0"/>
                      <w:marBottom w:val="0"/>
                      <w:divBdr>
                        <w:top w:val="none" w:sz="0" w:space="0" w:color="auto"/>
                        <w:left w:val="none" w:sz="0" w:space="0" w:color="auto"/>
                        <w:bottom w:val="none" w:sz="0" w:space="0" w:color="auto"/>
                        <w:right w:val="none" w:sz="0" w:space="0" w:color="auto"/>
                      </w:divBdr>
                    </w:div>
                    <w:div w:id="2074304882">
                      <w:marLeft w:val="0"/>
                      <w:marRight w:val="0"/>
                      <w:marTop w:val="0"/>
                      <w:marBottom w:val="0"/>
                      <w:divBdr>
                        <w:top w:val="none" w:sz="0" w:space="0" w:color="auto"/>
                        <w:left w:val="none" w:sz="0" w:space="0" w:color="auto"/>
                        <w:bottom w:val="none" w:sz="0" w:space="0" w:color="auto"/>
                        <w:right w:val="none" w:sz="0" w:space="0" w:color="auto"/>
                      </w:divBdr>
                    </w:div>
                  </w:divsChild>
                </w:div>
                <w:div w:id="689647027">
                  <w:marLeft w:val="0"/>
                  <w:marRight w:val="0"/>
                  <w:marTop w:val="0"/>
                  <w:marBottom w:val="0"/>
                  <w:divBdr>
                    <w:top w:val="none" w:sz="0" w:space="0" w:color="auto"/>
                    <w:left w:val="none" w:sz="0" w:space="0" w:color="auto"/>
                    <w:bottom w:val="none" w:sz="0" w:space="0" w:color="auto"/>
                    <w:right w:val="none" w:sz="0" w:space="0" w:color="auto"/>
                  </w:divBdr>
                  <w:divsChild>
                    <w:div w:id="343556834">
                      <w:marLeft w:val="0"/>
                      <w:marRight w:val="0"/>
                      <w:marTop w:val="0"/>
                      <w:marBottom w:val="0"/>
                      <w:divBdr>
                        <w:top w:val="none" w:sz="0" w:space="0" w:color="auto"/>
                        <w:left w:val="none" w:sz="0" w:space="0" w:color="auto"/>
                        <w:bottom w:val="none" w:sz="0" w:space="0" w:color="auto"/>
                        <w:right w:val="none" w:sz="0" w:space="0" w:color="auto"/>
                      </w:divBdr>
                    </w:div>
                    <w:div w:id="1929849440">
                      <w:marLeft w:val="0"/>
                      <w:marRight w:val="0"/>
                      <w:marTop w:val="0"/>
                      <w:marBottom w:val="0"/>
                      <w:divBdr>
                        <w:top w:val="none" w:sz="0" w:space="0" w:color="auto"/>
                        <w:left w:val="none" w:sz="0" w:space="0" w:color="auto"/>
                        <w:bottom w:val="none" w:sz="0" w:space="0" w:color="auto"/>
                        <w:right w:val="none" w:sz="0" w:space="0" w:color="auto"/>
                      </w:divBdr>
                    </w:div>
                  </w:divsChild>
                </w:div>
                <w:div w:id="1082415538">
                  <w:marLeft w:val="0"/>
                  <w:marRight w:val="0"/>
                  <w:marTop w:val="0"/>
                  <w:marBottom w:val="0"/>
                  <w:divBdr>
                    <w:top w:val="none" w:sz="0" w:space="0" w:color="auto"/>
                    <w:left w:val="none" w:sz="0" w:space="0" w:color="auto"/>
                    <w:bottom w:val="none" w:sz="0" w:space="0" w:color="auto"/>
                    <w:right w:val="none" w:sz="0" w:space="0" w:color="auto"/>
                  </w:divBdr>
                  <w:divsChild>
                    <w:div w:id="1420908618">
                      <w:marLeft w:val="0"/>
                      <w:marRight w:val="0"/>
                      <w:marTop w:val="0"/>
                      <w:marBottom w:val="0"/>
                      <w:divBdr>
                        <w:top w:val="none" w:sz="0" w:space="0" w:color="auto"/>
                        <w:left w:val="none" w:sz="0" w:space="0" w:color="auto"/>
                        <w:bottom w:val="none" w:sz="0" w:space="0" w:color="auto"/>
                        <w:right w:val="none" w:sz="0" w:space="0" w:color="auto"/>
                      </w:divBdr>
                    </w:div>
                    <w:div w:id="688993389">
                      <w:marLeft w:val="0"/>
                      <w:marRight w:val="0"/>
                      <w:marTop w:val="0"/>
                      <w:marBottom w:val="0"/>
                      <w:divBdr>
                        <w:top w:val="none" w:sz="0" w:space="0" w:color="auto"/>
                        <w:left w:val="none" w:sz="0" w:space="0" w:color="auto"/>
                        <w:bottom w:val="none" w:sz="0" w:space="0" w:color="auto"/>
                        <w:right w:val="none" w:sz="0" w:space="0" w:color="auto"/>
                      </w:divBdr>
                    </w:div>
                  </w:divsChild>
                </w:div>
                <w:div w:id="494951839">
                  <w:marLeft w:val="0"/>
                  <w:marRight w:val="0"/>
                  <w:marTop w:val="0"/>
                  <w:marBottom w:val="0"/>
                  <w:divBdr>
                    <w:top w:val="none" w:sz="0" w:space="0" w:color="auto"/>
                    <w:left w:val="none" w:sz="0" w:space="0" w:color="auto"/>
                    <w:bottom w:val="none" w:sz="0" w:space="0" w:color="auto"/>
                    <w:right w:val="none" w:sz="0" w:space="0" w:color="auto"/>
                  </w:divBdr>
                  <w:divsChild>
                    <w:div w:id="598948036">
                      <w:marLeft w:val="0"/>
                      <w:marRight w:val="0"/>
                      <w:marTop w:val="0"/>
                      <w:marBottom w:val="0"/>
                      <w:divBdr>
                        <w:top w:val="none" w:sz="0" w:space="0" w:color="auto"/>
                        <w:left w:val="none" w:sz="0" w:space="0" w:color="auto"/>
                        <w:bottom w:val="none" w:sz="0" w:space="0" w:color="auto"/>
                        <w:right w:val="none" w:sz="0" w:space="0" w:color="auto"/>
                      </w:divBdr>
                    </w:div>
                    <w:div w:id="1153135825">
                      <w:marLeft w:val="0"/>
                      <w:marRight w:val="0"/>
                      <w:marTop w:val="0"/>
                      <w:marBottom w:val="0"/>
                      <w:divBdr>
                        <w:top w:val="none" w:sz="0" w:space="0" w:color="auto"/>
                        <w:left w:val="none" w:sz="0" w:space="0" w:color="auto"/>
                        <w:bottom w:val="none" w:sz="0" w:space="0" w:color="auto"/>
                        <w:right w:val="none" w:sz="0" w:space="0" w:color="auto"/>
                      </w:divBdr>
                    </w:div>
                  </w:divsChild>
                </w:div>
                <w:div w:id="984046240">
                  <w:marLeft w:val="0"/>
                  <w:marRight w:val="0"/>
                  <w:marTop w:val="0"/>
                  <w:marBottom w:val="0"/>
                  <w:divBdr>
                    <w:top w:val="none" w:sz="0" w:space="0" w:color="auto"/>
                    <w:left w:val="none" w:sz="0" w:space="0" w:color="auto"/>
                    <w:bottom w:val="none" w:sz="0" w:space="0" w:color="auto"/>
                    <w:right w:val="none" w:sz="0" w:space="0" w:color="auto"/>
                  </w:divBdr>
                </w:div>
                <w:div w:id="1358969805">
                  <w:marLeft w:val="0"/>
                  <w:marRight w:val="0"/>
                  <w:marTop w:val="0"/>
                  <w:marBottom w:val="0"/>
                  <w:divBdr>
                    <w:top w:val="none" w:sz="0" w:space="0" w:color="auto"/>
                    <w:left w:val="none" w:sz="0" w:space="0" w:color="auto"/>
                    <w:bottom w:val="none" w:sz="0" w:space="0" w:color="auto"/>
                    <w:right w:val="none" w:sz="0" w:space="0" w:color="auto"/>
                  </w:divBdr>
                  <w:divsChild>
                    <w:div w:id="1637371811">
                      <w:marLeft w:val="0"/>
                      <w:marRight w:val="0"/>
                      <w:marTop w:val="0"/>
                      <w:marBottom w:val="0"/>
                      <w:divBdr>
                        <w:top w:val="none" w:sz="0" w:space="0" w:color="auto"/>
                        <w:left w:val="none" w:sz="0" w:space="0" w:color="auto"/>
                        <w:bottom w:val="none" w:sz="0" w:space="0" w:color="auto"/>
                        <w:right w:val="none" w:sz="0" w:space="0" w:color="auto"/>
                      </w:divBdr>
                    </w:div>
                    <w:div w:id="634408741">
                      <w:marLeft w:val="0"/>
                      <w:marRight w:val="0"/>
                      <w:marTop w:val="0"/>
                      <w:marBottom w:val="0"/>
                      <w:divBdr>
                        <w:top w:val="none" w:sz="0" w:space="0" w:color="auto"/>
                        <w:left w:val="none" w:sz="0" w:space="0" w:color="auto"/>
                        <w:bottom w:val="none" w:sz="0" w:space="0" w:color="auto"/>
                        <w:right w:val="none" w:sz="0" w:space="0" w:color="auto"/>
                      </w:divBdr>
                      <w:divsChild>
                        <w:div w:id="639188544">
                          <w:marLeft w:val="0"/>
                          <w:marRight w:val="0"/>
                          <w:marTop w:val="0"/>
                          <w:marBottom w:val="0"/>
                          <w:divBdr>
                            <w:top w:val="none" w:sz="0" w:space="0" w:color="auto"/>
                            <w:left w:val="none" w:sz="0" w:space="0" w:color="auto"/>
                            <w:bottom w:val="none" w:sz="0" w:space="0" w:color="auto"/>
                            <w:right w:val="none" w:sz="0" w:space="0" w:color="auto"/>
                          </w:divBdr>
                          <w:divsChild>
                            <w:div w:id="933439925">
                              <w:marLeft w:val="0"/>
                              <w:marRight w:val="0"/>
                              <w:marTop w:val="0"/>
                              <w:marBottom w:val="0"/>
                              <w:divBdr>
                                <w:top w:val="none" w:sz="0" w:space="0" w:color="auto"/>
                                <w:left w:val="none" w:sz="0" w:space="0" w:color="auto"/>
                                <w:bottom w:val="none" w:sz="0" w:space="0" w:color="auto"/>
                                <w:right w:val="none" w:sz="0" w:space="0" w:color="auto"/>
                              </w:divBdr>
                            </w:div>
                            <w:div w:id="184827438">
                              <w:marLeft w:val="0"/>
                              <w:marRight w:val="0"/>
                              <w:marTop w:val="0"/>
                              <w:marBottom w:val="0"/>
                              <w:divBdr>
                                <w:top w:val="none" w:sz="0" w:space="0" w:color="auto"/>
                                <w:left w:val="none" w:sz="0" w:space="0" w:color="auto"/>
                                <w:bottom w:val="none" w:sz="0" w:space="0" w:color="auto"/>
                                <w:right w:val="none" w:sz="0" w:space="0" w:color="auto"/>
                              </w:divBdr>
                            </w:div>
                            <w:div w:id="2086150034">
                              <w:marLeft w:val="0"/>
                              <w:marRight w:val="0"/>
                              <w:marTop w:val="0"/>
                              <w:marBottom w:val="0"/>
                              <w:divBdr>
                                <w:top w:val="none" w:sz="0" w:space="0" w:color="auto"/>
                                <w:left w:val="none" w:sz="0" w:space="0" w:color="auto"/>
                                <w:bottom w:val="none" w:sz="0" w:space="0" w:color="auto"/>
                                <w:right w:val="none" w:sz="0" w:space="0" w:color="auto"/>
                              </w:divBdr>
                            </w:div>
                          </w:divsChild>
                        </w:div>
                        <w:div w:id="110823786">
                          <w:marLeft w:val="0"/>
                          <w:marRight w:val="0"/>
                          <w:marTop w:val="0"/>
                          <w:marBottom w:val="0"/>
                          <w:divBdr>
                            <w:top w:val="none" w:sz="0" w:space="0" w:color="auto"/>
                            <w:left w:val="none" w:sz="0" w:space="0" w:color="auto"/>
                            <w:bottom w:val="none" w:sz="0" w:space="0" w:color="auto"/>
                            <w:right w:val="none" w:sz="0" w:space="0" w:color="auto"/>
                          </w:divBdr>
                          <w:divsChild>
                            <w:div w:id="806707578">
                              <w:marLeft w:val="0"/>
                              <w:marRight w:val="0"/>
                              <w:marTop w:val="0"/>
                              <w:marBottom w:val="0"/>
                              <w:divBdr>
                                <w:top w:val="none" w:sz="0" w:space="0" w:color="auto"/>
                                <w:left w:val="none" w:sz="0" w:space="0" w:color="auto"/>
                                <w:bottom w:val="none" w:sz="0" w:space="0" w:color="auto"/>
                                <w:right w:val="none" w:sz="0" w:space="0" w:color="auto"/>
                              </w:divBdr>
                            </w:div>
                            <w:div w:id="4862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49419">
                  <w:marLeft w:val="0"/>
                  <w:marRight w:val="0"/>
                  <w:marTop w:val="0"/>
                  <w:marBottom w:val="0"/>
                  <w:divBdr>
                    <w:top w:val="none" w:sz="0" w:space="0" w:color="auto"/>
                    <w:left w:val="none" w:sz="0" w:space="0" w:color="auto"/>
                    <w:bottom w:val="none" w:sz="0" w:space="0" w:color="auto"/>
                    <w:right w:val="none" w:sz="0" w:space="0" w:color="auto"/>
                  </w:divBdr>
                  <w:divsChild>
                    <w:div w:id="1098912651">
                      <w:marLeft w:val="0"/>
                      <w:marRight w:val="0"/>
                      <w:marTop w:val="0"/>
                      <w:marBottom w:val="0"/>
                      <w:divBdr>
                        <w:top w:val="none" w:sz="0" w:space="0" w:color="auto"/>
                        <w:left w:val="none" w:sz="0" w:space="0" w:color="auto"/>
                        <w:bottom w:val="none" w:sz="0" w:space="0" w:color="auto"/>
                        <w:right w:val="none" w:sz="0" w:space="0" w:color="auto"/>
                      </w:divBdr>
                    </w:div>
                    <w:div w:id="1403330959">
                      <w:marLeft w:val="0"/>
                      <w:marRight w:val="0"/>
                      <w:marTop w:val="0"/>
                      <w:marBottom w:val="0"/>
                      <w:divBdr>
                        <w:top w:val="none" w:sz="0" w:space="0" w:color="auto"/>
                        <w:left w:val="none" w:sz="0" w:space="0" w:color="auto"/>
                        <w:bottom w:val="none" w:sz="0" w:space="0" w:color="auto"/>
                        <w:right w:val="none" w:sz="0" w:space="0" w:color="auto"/>
                      </w:divBdr>
                    </w:div>
                  </w:divsChild>
                </w:div>
                <w:div w:id="427969816">
                  <w:marLeft w:val="0"/>
                  <w:marRight w:val="0"/>
                  <w:marTop w:val="0"/>
                  <w:marBottom w:val="0"/>
                  <w:divBdr>
                    <w:top w:val="none" w:sz="0" w:space="0" w:color="auto"/>
                    <w:left w:val="none" w:sz="0" w:space="0" w:color="auto"/>
                    <w:bottom w:val="none" w:sz="0" w:space="0" w:color="auto"/>
                    <w:right w:val="none" w:sz="0" w:space="0" w:color="auto"/>
                  </w:divBdr>
                </w:div>
                <w:div w:id="896475539">
                  <w:marLeft w:val="0"/>
                  <w:marRight w:val="0"/>
                  <w:marTop w:val="0"/>
                  <w:marBottom w:val="0"/>
                  <w:divBdr>
                    <w:top w:val="none" w:sz="0" w:space="0" w:color="auto"/>
                    <w:left w:val="none" w:sz="0" w:space="0" w:color="auto"/>
                    <w:bottom w:val="none" w:sz="0" w:space="0" w:color="auto"/>
                    <w:right w:val="none" w:sz="0" w:space="0" w:color="auto"/>
                  </w:divBdr>
                  <w:divsChild>
                    <w:div w:id="647394506">
                      <w:marLeft w:val="0"/>
                      <w:marRight w:val="0"/>
                      <w:marTop w:val="0"/>
                      <w:marBottom w:val="0"/>
                      <w:divBdr>
                        <w:top w:val="none" w:sz="0" w:space="0" w:color="auto"/>
                        <w:left w:val="none" w:sz="0" w:space="0" w:color="auto"/>
                        <w:bottom w:val="none" w:sz="0" w:space="0" w:color="auto"/>
                        <w:right w:val="none" w:sz="0" w:space="0" w:color="auto"/>
                      </w:divBdr>
                    </w:div>
                    <w:div w:id="211188285">
                      <w:marLeft w:val="0"/>
                      <w:marRight w:val="0"/>
                      <w:marTop w:val="0"/>
                      <w:marBottom w:val="0"/>
                      <w:divBdr>
                        <w:top w:val="none" w:sz="0" w:space="0" w:color="auto"/>
                        <w:left w:val="none" w:sz="0" w:space="0" w:color="auto"/>
                        <w:bottom w:val="none" w:sz="0" w:space="0" w:color="auto"/>
                        <w:right w:val="none" w:sz="0" w:space="0" w:color="auto"/>
                      </w:divBdr>
                    </w:div>
                  </w:divsChild>
                </w:div>
                <w:div w:id="1898587613">
                  <w:marLeft w:val="0"/>
                  <w:marRight w:val="0"/>
                  <w:marTop w:val="0"/>
                  <w:marBottom w:val="0"/>
                  <w:divBdr>
                    <w:top w:val="none" w:sz="0" w:space="0" w:color="auto"/>
                    <w:left w:val="none" w:sz="0" w:space="0" w:color="auto"/>
                    <w:bottom w:val="none" w:sz="0" w:space="0" w:color="auto"/>
                    <w:right w:val="none" w:sz="0" w:space="0" w:color="auto"/>
                  </w:divBdr>
                  <w:divsChild>
                    <w:div w:id="206072007">
                      <w:marLeft w:val="0"/>
                      <w:marRight w:val="0"/>
                      <w:marTop w:val="0"/>
                      <w:marBottom w:val="0"/>
                      <w:divBdr>
                        <w:top w:val="none" w:sz="0" w:space="0" w:color="auto"/>
                        <w:left w:val="none" w:sz="0" w:space="0" w:color="auto"/>
                        <w:bottom w:val="none" w:sz="0" w:space="0" w:color="auto"/>
                        <w:right w:val="none" w:sz="0" w:space="0" w:color="auto"/>
                      </w:divBdr>
                    </w:div>
                    <w:div w:id="986669956">
                      <w:marLeft w:val="0"/>
                      <w:marRight w:val="0"/>
                      <w:marTop w:val="0"/>
                      <w:marBottom w:val="0"/>
                      <w:divBdr>
                        <w:top w:val="none" w:sz="0" w:space="0" w:color="auto"/>
                        <w:left w:val="none" w:sz="0" w:space="0" w:color="auto"/>
                        <w:bottom w:val="none" w:sz="0" w:space="0" w:color="auto"/>
                        <w:right w:val="none" w:sz="0" w:space="0" w:color="auto"/>
                      </w:divBdr>
                    </w:div>
                  </w:divsChild>
                </w:div>
                <w:div w:id="1541744408">
                  <w:marLeft w:val="0"/>
                  <w:marRight w:val="0"/>
                  <w:marTop w:val="0"/>
                  <w:marBottom w:val="0"/>
                  <w:divBdr>
                    <w:top w:val="none" w:sz="0" w:space="0" w:color="auto"/>
                    <w:left w:val="none" w:sz="0" w:space="0" w:color="auto"/>
                    <w:bottom w:val="none" w:sz="0" w:space="0" w:color="auto"/>
                    <w:right w:val="none" w:sz="0" w:space="0" w:color="auto"/>
                  </w:divBdr>
                  <w:divsChild>
                    <w:div w:id="412431324">
                      <w:marLeft w:val="0"/>
                      <w:marRight w:val="0"/>
                      <w:marTop w:val="0"/>
                      <w:marBottom w:val="0"/>
                      <w:divBdr>
                        <w:top w:val="none" w:sz="0" w:space="0" w:color="auto"/>
                        <w:left w:val="none" w:sz="0" w:space="0" w:color="auto"/>
                        <w:bottom w:val="none" w:sz="0" w:space="0" w:color="auto"/>
                        <w:right w:val="none" w:sz="0" w:space="0" w:color="auto"/>
                      </w:divBdr>
                    </w:div>
                    <w:div w:id="3978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4442">
      <w:bodyDiv w:val="1"/>
      <w:marLeft w:val="0"/>
      <w:marRight w:val="0"/>
      <w:marTop w:val="0"/>
      <w:marBottom w:val="0"/>
      <w:divBdr>
        <w:top w:val="none" w:sz="0" w:space="0" w:color="auto"/>
        <w:left w:val="none" w:sz="0" w:space="0" w:color="auto"/>
        <w:bottom w:val="none" w:sz="0" w:space="0" w:color="auto"/>
        <w:right w:val="none" w:sz="0" w:space="0" w:color="auto"/>
      </w:divBdr>
      <w:divsChild>
        <w:div w:id="2096241042">
          <w:marLeft w:val="0"/>
          <w:marRight w:val="0"/>
          <w:marTop w:val="0"/>
          <w:marBottom w:val="0"/>
          <w:divBdr>
            <w:top w:val="none" w:sz="0" w:space="0" w:color="auto"/>
            <w:left w:val="none" w:sz="0" w:space="0" w:color="auto"/>
            <w:bottom w:val="none" w:sz="0" w:space="0" w:color="auto"/>
            <w:right w:val="none" w:sz="0" w:space="0" w:color="auto"/>
          </w:divBdr>
          <w:divsChild>
            <w:div w:id="1098525055">
              <w:marLeft w:val="0"/>
              <w:marRight w:val="0"/>
              <w:marTop w:val="0"/>
              <w:marBottom w:val="0"/>
              <w:divBdr>
                <w:top w:val="none" w:sz="0" w:space="0" w:color="auto"/>
                <w:left w:val="none" w:sz="0" w:space="0" w:color="auto"/>
                <w:bottom w:val="none" w:sz="0" w:space="0" w:color="auto"/>
                <w:right w:val="none" w:sz="0" w:space="0" w:color="auto"/>
              </w:divBdr>
              <w:divsChild>
                <w:div w:id="897133149">
                  <w:marLeft w:val="0"/>
                  <w:marRight w:val="0"/>
                  <w:marTop w:val="0"/>
                  <w:marBottom w:val="0"/>
                  <w:divBdr>
                    <w:top w:val="none" w:sz="0" w:space="0" w:color="auto"/>
                    <w:left w:val="none" w:sz="0" w:space="0" w:color="auto"/>
                    <w:bottom w:val="none" w:sz="0" w:space="0" w:color="auto"/>
                    <w:right w:val="none" w:sz="0" w:space="0" w:color="auto"/>
                  </w:divBdr>
                  <w:divsChild>
                    <w:div w:id="147282528">
                      <w:marLeft w:val="0"/>
                      <w:marRight w:val="0"/>
                      <w:marTop w:val="0"/>
                      <w:marBottom w:val="0"/>
                      <w:divBdr>
                        <w:top w:val="none" w:sz="0" w:space="0" w:color="auto"/>
                        <w:left w:val="none" w:sz="0" w:space="0" w:color="auto"/>
                        <w:bottom w:val="none" w:sz="0" w:space="0" w:color="auto"/>
                        <w:right w:val="none" w:sz="0" w:space="0" w:color="auto"/>
                      </w:divBdr>
                      <w:divsChild>
                        <w:div w:id="1085151774">
                          <w:marLeft w:val="0"/>
                          <w:marRight w:val="0"/>
                          <w:marTop w:val="0"/>
                          <w:marBottom w:val="0"/>
                          <w:divBdr>
                            <w:top w:val="none" w:sz="0" w:space="0" w:color="auto"/>
                            <w:left w:val="none" w:sz="0" w:space="0" w:color="auto"/>
                            <w:bottom w:val="none" w:sz="0" w:space="0" w:color="auto"/>
                            <w:right w:val="none" w:sz="0" w:space="0" w:color="auto"/>
                          </w:divBdr>
                          <w:divsChild>
                            <w:div w:id="2003046513">
                              <w:marLeft w:val="0"/>
                              <w:marRight w:val="0"/>
                              <w:marTop w:val="0"/>
                              <w:marBottom w:val="0"/>
                              <w:divBdr>
                                <w:top w:val="none" w:sz="0" w:space="0" w:color="auto"/>
                                <w:left w:val="none" w:sz="0" w:space="0" w:color="auto"/>
                                <w:bottom w:val="none" w:sz="0" w:space="0" w:color="auto"/>
                                <w:right w:val="none" w:sz="0" w:space="0" w:color="auto"/>
                              </w:divBdr>
                              <w:divsChild>
                                <w:div w:id="589235777">
                                  <w:marLeft w:val="0"/>
                                  <w:marRight w:val="0"/>
                                  <w:marTop w:val="0"/>
                                  <w:marBottom w:val="0"/>
                                  <w:divBdr>
                                    <w:top w:val="none" w:sz="0" w:space="0" w:color="auto"/>
                                    <w:left w:val="none" w:sz="0" w:space="0" w:color="auto"/>
                                    <w:bottom w:val="none" w:sz="0" w:space="0" w:color="auto"/>
                                    <w:right w:val="none" w:sz="0" w:space="0" w:color="auto"/>
                                  </w:divBdr>
                                  <w:divsChild>
                                    <w:div w:id="1049646764">
                                      <w:marLeft w:val="0"/>
                                      <w:marRight w:val="0"/>
                                      <w:marTop w:val="0"/>
                                      <w:marBottom w:val="0"/>
                                      <w:divBdr>
                                        <w:top w:val="none" w:sz="0" w:space="0" w:color="auto"/>
                                        <w:left w:val="none" w:sz="0" w:space="0" w:color="auto"/>
                                        <w:bottom w:val="none" w:sz="0" w:space="0" w:color="auto"/>
                                        <w:right w:val="none" w:sz="0" w:space="0" w:color="auto"/>
                                      </w:divBdr>
                                      <w:divsChild>
                                        <w:div w:id="676884629">
                                          <w:marLeft w:val="0"/>
                                          <w:marRight w:val="0"/>
                                          <w:marTop w:val="0"/>
                                          <w:marBottom w:val="0"/>
                                          <w:divBdr>
                                            <w:top w:val="none" w:sz="0" w:space="0" w:color="auto"/>
                                            <w:left w:val="none" w:sz="0" w:space="0" w:color="auto"/>
                                            <w:bottom w:val="none" w:sz="0" w:space="0" w:color="auto"/>
                                            <w:right w:val="none" w:sz="0" w:space="0" w:color="auto"/>
                                          </w:divBdr>
                                          <w:divsChild>
                                            <w:div w:id="659430443">
                                              <w:marLeft w:val="0"/>
                                              <w:marRight w:val="0"/>
                                              <w:marTop w:val="0"/>
                                              <w:marBottom w:val="0"/>
                                              <w:divBdr>
                                                <w:top w:val="none" w:sz="0" w:space="0" w:color="auto"/>
                                                <w:left w:val="none" w:sz="0" w:space="0" w:color="auto"/>
                                                <w:bottom w:val="none" w:sz="0" w:space="0" w:color="auto"/>
                                                <w:right w:val="none" w:sz="0" w:space="0" w:color="auto"/>
                                              </w:divBdr>
                                              <w:divsChild>
                                                <w:div w:id="1276983441">
                                                  <w:marLeft w:val="0"/>
                                                  <w:marRight w:val="0"/>
                                                  <w:marTop w:val="0"/>
                                                  <w:marBottom w:val="0"/>
                                                  <w:divBdr>
                                                    <w:top w:val="none" w:sz="0" w:space="0" w:color="auto"/>
                                                    <w:left w:val="none" w:sz="0" w:space="0" w:color="auto"/>
                                                    <w:bottom w:val="none" w:sz="0" w:space="0" w:color="auto"/>
                                                    <w:right w:val="none" w:sz="0" w:space="0" w:color="auto"/>
                                                  </w:divBdr>
                                                  <w:divsChild>
                                                    <w:div w:id="131099624">
                                                      <w:marLeft w:val="0"/>
                                                      <w:marRight w:val="0"/>
                                                      <w:marTop w:val="0"/>
                                                      <w:marBottom w:val="0"/>
                                                      <w:divBdr>
                                                        <w:top w:val="none" w:sz="0" w:space="0" w:color="auto"/>
                                                        <w:left w:val="none" w:sz="0" w:space="0" w:color="auto"/>
                                                        <w:bottom w:val="none" w:sz="0" w:space="0" w:color="auto"/>
                                                        <w:right w:val="none" w:sz="0" w:space="0" w:color="auto"/>
                                                      </w:divBdr>
                                                      <w:divsChild>
                                                        <w:div w:id="342098734">
                                                          <w:marLeft w:val="0"/>
                                                          <w:marRight w:val="0"/>
                                                          <w:marTop w:val="0"/>
                                                          <w:marBottom w:val="0"/>
                                                          <w:divBdr>
                                                            <w:top w:val="none" w:sz="0" w:space="0" w:color="auto"/>
                                                            <w:left w:val="none" w:sz="0" w:space="0" w:color="auto"/>
                                                            <w:bottom w:val="none" w:sz="0" w:space="0" w:color="auto"/>
                                                            <w:right w:val="none" w:sz="0" w:space="0" w:color="auto"/>
                                                          </w:divBdr>
                                                        </w:div>
                                                        <w:div w:id="792283138">
                                                          <w:marLeft w:val="0"/>
                                                          <w:marRight w:val="0"/>
                                                          <w:marTop w:val="0"/>
                                                          <w:marBottom w:val="0"/>
                                                          <w:divBdr>
                                                            <w:top w:val="none" w:sz="0" w:space="0" w:color="auto"/>
                                                            <w:left w:val="none" w:sz="0" w:space="0" w:color="auto"/>
                                                            <w:bottom w:val="none" w:sz="0" w:space="0" w:color="auto"/>
                                                            <w:right w:val="none" w:sz="0" w:space="0" w:color="auto"/>
                                                          </w:divBdr>
                                                          <w:divsChild>
                                                            <w:div w:id="5078657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8263583">
      <w:bodyDiv w:val="1"/>
      <w:marLeft w:val="0"/>
      <w:marRight w:val="0"/>
      <w:marTop w:val="0"/>
      <w:marBottom w:val="0"/>
      <w:divBdr>
        <w:top w:val="none" w:sz="0" w:space="0" w:color="auto"/>
        <w:left w:val="none" w:sz="0" w:space="0" w:color="auto"/>
        <w:bottom w:val="none" w:sz="0" w:space="0" w:color="auto"/>
        <w:right w:val="none" w:sz="0" w:space="0" w:color="auto"/>
      </w:divBdr>
      <w:divsChild>
        <w:div w:id="1478492916">
          <w:marLeft w:val="0"/>
          <w:marRight w:val="0"/>
          <w:marTop w:val="0"/>
          <w:marBottom w:val="0"/>
          <w:divBdr>
            <w:top w:val="none" w:sz="0" w:space="0" w:color="auto"/>
            <w:left w:val="none" w:sz="0" w:space="0" w:color="auto"/>
            <w:bottom w:val="none" w:sz="0" w:space="0" w:color="auto"/>
            <w:right w:val="none" w:sz="0" w:space="0" w:color="auto"/>
          </w:divBdr>
        </w:div>
        <w:div w:id="1087969172">
          <w:marLeft w:val="0"/>
          <w:marRight w:val="0"/>
          <w:marTop w:val="0"/>
          <w:marBottom w:val="0"/>
          <w:divBdr>
            <w:top w:val="none" w:sz="0" w:space="0" w:color="auto"/>
            <w:left w:val="none" w:sz="0" w:space="0" w:color="auto"/>
            <w:bottom w:val="none" w:sz="0" w:space="0" w:color="auto"/>
            <w:right w:val="none" w:sz="0" w:space="0" w:color="auto"/>
          </w:divBdr>
        </w:div>
        <w:div w:id="484979341">
          <w:marLeft w:val="0"/>
          <w:marRight w:val="0"/>
          <w:marTop w:val="0"/>
          <w:marBottom w:val="0"/>
          <w:divBdr>
            <w:top w:val="none" w:sz="0" w:space="0" w:color="auto"/>
            <w:left w:val="none" w:sz="0" w:space="0" w:color="auto"/>
            <w:bottom w:val="none" w:sz="0" w:space="0" w:color="auto"/>
            <w:right w:val="none" w:sz="0" w:space="0" w:color="auto"/>
          </w:divBdr>
        </w:div>
        <w:div w:id="1480344998">
          <w:marLeft w:val="0"/>
          <w:marRight w:val="0"/>
          <w:marTop w:val="0"/>
          <w:marBottom w:val="0"/>
          <w:divBdr>
            <w:top w:val="none" w:sz="0" w:space="0" w:color="auto"/>
            <w:left w:val="none" w:sz="0" w:space="0" w:color="auto"/>
            <w:bottom w:val="none" w:sz="0" w:space="0" w:color="auto"/>
            <w:right w:val="none" w:sz="0" w:space="0" w:color="auto"/>
          </w:divBdr>
        </w:div>
        <w:div w:id="23528038">
          <w:marLeft w:val="0"/>
          <w:marRight w:val="0"/>
          <w:marTop w:val="0"/>
          <w:marBottom w:val="0"/>
          <w:divBdr>
            <w:top w:val="none" w:sz="0" w:space="0" w:color="auto"/>
            <w:left w:val="none" w:sz="0" w:space="0" w:color="auto"/>
            <w:bottom w:val="none" w:sz="0" w:space="0" w:color="auto"/>
            <w:right w:val="none" w:sz="0" w:space="0" w:color="auto"/>
          </w:divBdr>
        </w:div>
      </w:divsChild>
    </w:div>
    <w:div w:id="2068603713">
      <w:bodyDiv w:val="1"/>
      <w:marLeft w:val="0"/>
      <w:marRight w:val="0"/>
      <w:marTop w:val="0"/>
      <w:marBottom w:val="0"/>
      <w:divBdr>
        <w:top w:val="none" w:sz="0" w:space="0" w:color="auto"/>
        <w:left w:val="none" w:sz="0" w:space="0" w:color="auto"/>
        <w:bottom w:val="none" w:sz="0" w:space="0" w:color="auto"/>
        <w:right w:val="none" w:sz="0" w:space="0" w:color="auto"/>
      </w:divBdr>
      <w:divsChild>
        <w:div w:id="624894064">
          <w:marLeft w:val="0"/>
          <w:marRight w:val="0"/>
          <w:marTop w:val="0"/>
          <w:marBottom w:val="0"/>
          <w:divBdr>
            <w:top w:val="none" w:sz="0" w:space="0" w:color="auto"/>
            <w:left w:val="none" w:sz="0" w:space="0" w:color="auto"/>
            <w:bottom w:val="none" w:sz="0" w:space="0" w:color="auto"/>
            <w:right w:val="none" w:sz="0" w:space="0" w:color="auto"/>
          </w:divBdr>
          <w:divsChild>
            <w:div w:id="461386243">
              <w:marLeft w:val="175"/>
              <w:marRight w:val="0"/>
              <w:marTop w:val="0"/>
              <w:marBottom w:val="0"/>
              <w:divBdr>
                <w:top w:val="none" w:sz="0" w:space="0" w:color="auto"/>
                <w:left w:val="none" w:sz="0" w:space="0" w:color="auto"/>
                <w:bottom w:val="none" w:sz="0" w:space="0" w:color="auto"/>
                <w:right w:val="none" w:sz="0" w:space="0" w:color="auto"/>
              </w:divBdr>
              <w:divsChild>
                <w:div w:id="12377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9156">
      <w:bodyDiv w:val="1"/>
      <w:marLeft w:val="0"/>
      <w:marRight w:val="0"/>
      <w:marTop w:val="0"/>
      <w:marBottom w:val="0"/>
      <w:divBdr>
        <w:top w:val="none" w:sz="0" w:space="0" w:color="auto"/>
        <w:left w:val="none" w:sz="0" w:space="0" w:color="auto"/>
        <w:bottom w:val="none" w:sz="0" w:space="0" w:color="auto"/>
        <w:right w:val="none" w:sz="0" w:space="0" w:color="auto"/>
      </w:divBdr>
      <w:divsChild>
        <w:div w:id="1810586256">
          <w:marLeft w:val="0"/>
          <w:marRight w:val="0"/>
          <w:marTop w:val="0"/>
          <w:marBottom w:val="0"/>
          <w:divBdr>
            <w:top w:val="none" w:sz="0" w:space="0" w:color="auto"/>
            <w:left w:val="none" w:sz="0" w:space="0" w:color="auto"/>
            <w:bottom w:val="none" w:sz="0" w:space="0" w:color="auto"/>
            <w:right w:val="none" w:sz="0" w:space="0" w:color="auto"/>
          </w:divBdr>
          <w:divsChild>
            <w:div w:id="1697585377">
              <w:marLeft w:val="0"/>
              <w:marRight w:val="0"/>
              <w:marTop w:val="0"/>
              <w:marBottom w:val="0"/>
              <w:divBdr>
                <w:top w:val="none" w:sz="0" w:space="0" w:color="auto"/>
                <w:left w:val="none" w:sz="0" w:space="0" w:color="auto"/>
                <w:bottom w:val="none" w:sz="0" w:space="0" w:color="auto"/>
                <w:right w:val="none" w:sz="0" w:space="0" w:color="auto"/>
              </w:divBdr>
              <w:divsChild>
                <w:div w:id="1786776389">
                  <w:marLeft w:val="0"/>
                  <w:marRight w:val="0"/>
                  <w:marTop w:val="0"/>
                  <w:marBottom w:val="0"/>
                  <w:divBdr>
                    <w:top w:val="none" w:sz="0" w:space="0" w:color="auto"/>
                    <w:left w:val="none" w:sz="0" w:space="0" w:color="auto"/>
                    <w:bottom w:val="none" w:sz="0" w:space="0" w:color="auto"/>
                    <w:right w:val="none" w:sz="0" w:space="0" w:color="auto"/>
                  </w:divBdr>
                  <w:divsChild>
                    <w:div w:id="1026754333">
                      <w:marLeft w:val="0"/>
                      <w:marRight w:val="0"/>
                      <w:marTop w:val="0"/>
                      <w:marBottom w:val="0"/>
                      <w:divBdr>
                        <w:top w:val="none" w:sz="0" w:space="0" w:color="auto"/>
                        <w:left w:val="none" w:sz="0" w:space="0" w:color="auto"/>
                        <w:bottom w:val="none" w:sz="0" w:space="0" w:color="auto"/>
                        <w:right w:val="none" w:sz="0" w:space="0" w:color="auto"/>
                      </w:divBdr>
                      <w:divsChild>
                        <w:div w:id="13309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692376">
      <w:bodyDiv w:val="1"/>
      <w:marLeft w:val="0"/>
      <w:marRight w:val="0"/>
      <w:marTop w:val="0"/>
      <w:marBottom w:val="0"/>
      <w:divBdr>
        <w:top w:val="none" w:sz="0" w:space="0" w:color="auto"/>
        <w:left w:val="none" w:sz="0" w:space="0" w:color="auto"/>
        <w:bottom w:val="none" w:sz="0" w:space="0" w:color="auto"/>
        <w:right w:val="none" w:sz="0" w:space="0" w:color="auto"/>
      </w:divBdr>
      <w:divsChild>
        <w:div w:id="1103116235">
          <w:marLeft w:val="0"/>
          <w:marRight w:val="0"/>
          <w:marTop w:val="0"/>
          <w:marBottom w:val="0"/>
          <w:divBdr>
            <w:top w:val="none" w:sz="0" w:space="0" w:color="auto"/>
            <w:left w:val="none" w:sz="0" w:space="0" w:color="auto"/>
            <w:bottom w:val="none" w:sz="0" w:space="0" w:color="auto"/>
            <w:right w:val="none" w:sz="0" w:space="0" w:color="auto"/>
          </w:divBdr>
          <w:divsChild>
            <w:div w:id="2015179571">
              <w:marLeft w:val="0"/>
              <w:marRight w:val="0"/>
              <w:marTop w:val="0"/>
              <w:marBottom w:val="0"/>
              <w:divBdr>
                <w:top w:val="none" w:sz="0" w:space="0" w:color="auto"/>
                <w:left w:val="none" w:sz="0" w:space="0" w:color="auto"/>
                <w:bottom w:val="none" w:sz="0" w:space="0" w:color="auto"/>
                <w:right w:val="none" w:sz="0" w:space="0" w:color="auto"/>
              </w:divBdr>
              <w:divsChild>
                <w:div w:id="1881241431">
                  <w:marLeft w:val="0"/>
                  <w:marRight w:val="0"/>
                  <w:marTop w:val="0"/>
                  <w:marBottom w:val="0"/>
                  <w:divBdr>
                    <w:top w:val="none" w:sz="0" w:space="0" w:color="auto"/>
                    <w:left w:val="none" w:sz="0" w:space="0" w:color="auto"/>
                    <w:bottom w:val="none" w:sz="0" w:space="0" w:color="auto"/>
                    <w:right w:val="none" w:sz="0" w:space="0" w:color="auto"/>
                  </w:divBdr>
                  <w:divsChild>
                    <w:div w:id="960308259">
                      <w:marLeft w:val="0"/>
                      <w:marRight w:val="0"/>
                      <w:marTop w:val="0"/>
                      <w:marBottom w:val="0"/>
                      <w:divBdr>
                        <w:top w:val="none" w:sz="0" w:space="0" w:color="auto"/>
                        <w:left w:val="none" w:sz="0" w:space="0" w:color="auto"/>
                        <w:bottom w:val="none" w:sz="0" w:space="0" w:color="auto"/>
                        <w:right w:val="none" w:sz="0" w:space="0" w:color="auto"/>
                      </w:divBdr>
                      <w:divsChild>
                        <w:div w:id="1865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415378">
      <w:bodyDiv w:val="1"/>
      <w:marLeft w:val="0"/>
      <w:marRight w:val="0"/>
      <w:marTop w:val="0"/>
      <w:marBottom w:val="0"/>
      <w:divBdr>
        <w:top w:val="none" w:sz="0" w:space="0" w:color="auto"/>
        <w:left w:val="none" w:sz="0" w:space="0" w:color="auto"/>
        <w:bottom w:val="none" w:sz="0" w:space="0" w:color="auto"/>
        <w:right w:val="none" w:sz="0" w:space="0" w:color="auto"/>
      </w:divBdr>
    </w:div>
    <w:div w:id="2071686429">
      <w:bodyDiv w:val="1"/>
      <w:marLeft w:val="0"/>
      <w:marRight w:val="0"/>
      <w:marTop w:val="0"/>
      <w:marBottom w:val="0"/>
      <w:divBdr>
        <w:top w:val="none" w:sz="0" w:space="0" w:color="auto"/>
        <w:left w:val="none" w:sz="0" w:space="0" w:color="auto"/>
        <w:bottom w:val="none" w:sz="0" w:space="0" w:color="auto"/>
        <w:right w:val="none" w:sz="0" w:space="0" w:color="auto"/>
      </w:divBdr>
    </w:div>
    <w:div w:id="2073388405">
      <w:bodyDiv w:val="1"/>
      <w:marLeft w:val="0"/>
      <w:marRight w:val="0"/>
      <w:marTop w:val="0"/>
      <w:marBottom w:val="0"/>
      <w:divBdr>
        <w:top w:val="none" w:sz="0" w:space="0" w:color="auto"/>
        <w:left w:val="none" w:sz="0" w:space="0" w:color="auto"/>
        <w:bottom w:val="none" w:sz="0" w:space="0" w:color="auto"/>
        <w:right w:val="none" w:sz="0" w:space="0" w:color="auto"/>
      </w:divBdr>
      <w:divsChild>
        <w:div w:id="1937207484">
          <w:marLeft w:val="0"/>
          <w:marRight w:val="0"/>
          <w:marTop w:val="0"/>
          <w:marBottom w:val="0"/>
          <w:divBdr>
            <w:top w:val="none" w:sz="0" w:space="0" w:color="auto"/>
            <w:left w:val="none" w:sz="0" w:space="0" w:color="auto"/>
            <w:bottom w:val="none" w:sz="0" w:space="0" w:color="auto"/>
            <w:right w:val="none" w:sz="0" w:space="0" w:color="auto"/>
          </w:divBdr>
          <w:divsChild>
            <w:div w:id="1444882831">
              <w:marLeft w:val="0"/>
              <w:marRight w:val="0"/>
              <w:marTop w:val="0"/>
              <w:marBottom w:val="0"/>
              <w:divBdr>
                <w:top w:val="none" w:sz="0" w:space="0" w:color="auto"/>
                <w:left w:val="none" w:sz="0" w:space="0" w:color="auto"/>
                <w:bottom w:val="none" w:sz="0" w:space="0" w:color="auto"/>
                <w:right w:val="none" w:sz="0" w:space="0" w:color="auto"/>
              </w:divBdr>
              <w:divsChild>
                <w:div w:id="1353847705">
                  <w:marLeft w:val="0"/>
                  <w:marRight w:val="0"/>
                  <w:marTop w:val="0"/>
                  <w:marBottom w:val="0"/>
                  <w:divBdr>
                    <w:top w:val="none" w:sz="0" w:space="0" w:color="auto"/>
                    <w:left w:val="none" w:sz="0" w:space="0" w:color="auto"/>
                    <w:bottom w:val="none" w:sz="0" w:space="0" w:color="auto"/>
                    <w:right w:val="none" w:sz="0" w:space="0" w:color="auto"/>
                  </w:divBdr>
                  <w:divsChild>
                    <w:div w:id="297298123">
                      <w:marLeft w:val="0"/>
                      <w:marRight w:val="0"/>
                      <w:marTop w:val="0"/>
                      <w:marBottom w:val="0"/>
                      <w:divBdr>
                        <w:top w:val="none" w:sz="0" w:space="0" w:color="auto"/>
                        <w:left w:val="none" w:sz="0" w:space="0" w:color="auto"/>
                        <w:bottom w:val="none" w:sz="0" w:space="0" w:color="auto"/>
                        <w:right w:val="none" w:sz="0" w:space="0" w:color="auto"/>
                      </w:divBdr>
                      <w:divsChild>
                        <w:div w:id="1093354561">
                          <w:marLeft w:val="0"/>
                          <w:marRight w:val="0"/>
                          <w:marTop w:val="0"/>
                          <w:marBottom w:val="0"/>
                          <w:divBdr>
                            <w:top w:val="none" w:sz="0" w:space="0" w:color="auto"/>
                            <w:left w:val="none" w:sz="0" w:space="0" w:color="auto"/>
                            <w:bottom w:val="none" w:sz="0" w:space="0" w:color="auto"/>
                            <w:right w:val="none" w:sz="0" w:space="0" w:color="auto"/>
                          </w:divBdr>
                          <w:divsChild>
                            <w:div w:id="1478763077">
                              <w:marLeft w:val="0"/>
                              <w:marRight w:val="0"/>
                              <w:marTop w:val="0"/>
                              <w:marBottom w:val="0"/>
                              <w:divBdr>
                                <w:top w:val="none" w:sz="0" w:space="0" w:color="auto"/>
                                <w:left w:val="none" w:sz="0" w:space="0" w:color="auto"/>
                                <w:bottom w:val="none" w:sz="0" w:space="0" w:color="auto"/>
                                <w:right w:val="none" w:sz="0" w:space="0" w:color="auto"/>
                              </w:divBdr>
                              <w:divsChild>
                                <w:div w:id="601498225">
                                  <w:marLeft w:val="0"/>
                                  <w:marRight w:val="0"/>
                                  <w:marTop w:val="0"/>
                                  <w:marBottom w:val="0"/>
                                  <w:divBdr>
                                    <w:top w:val="none" w:sz="0" w:space="0" w:color="auto"/>
                                    <w:left w:val="none" w:sz="0" w:space="0" w:color="auto"/>
                                    <w:bottom w:val="none" w:sz="0" w:space="0" w:color="auto"/>
                                    <w:right w:val="none" w:sz="0" w:space="0" w:color="auto"/>
                                  </w:divBdr>
                                  <w:divsChild>
                                    <w:div w:id="1507212470">
                                      <w:marLeft w:val="0"/>
                                      <w:marRight w:val="0"/>
                                      <w:marTop w:val="0"/>
                                      <w:marBottom w:val="0"/>
                                      <w:divBdr>
                                        <w:top w:val="none" w:sz="0" w:space="0" w:color="auto"/>
                                        <w:left w:val="none" w:sz="0" w:space="0" w:color="auto"/>
                                        <w:bottom w:val="none" w:sz="0" w:space="0" w:color="auto"/>
                                        <w:right w:val="none" w:sz="0" w:space="0" w:color="auto"/>
                                      </w:divBdr>
                                      <w:divsChild>
                                        <w:div w:id="1727219753">
                                          <w:marLeft w:val="0"/>
                                          <w:marRight w:val="0"/>
                                          <w:marTop w:val="0"/>
                                          <w:marBottom w:val="0"/>
                                          <w:divBdr>
                                            <w:top w:val="none" w:sz="0" w:space="0" w:color="auto"/>
                                            <w:left w:val="none" w:sz="0" w:space="0" w:color="auto"/>
                                            <w:bottom w:val="none" w:sz="0" w:space="0" w:color="auto"/>
                                            <w:right w:val="none" w:sz="0" w:space="0" w:color="auto"/>
                                          </w:divBdr>
                                          <w:divsChild>
                                            <w:div w:id="2102335152">
                                              <w:marLeft w:val="0"/>
                                              <w:marRight w:val="0"/>
                                              <w:marTop w:val="0"/>
                                              <w:marBottom w:val="0"/>
                                              <w:divBdr>
                                                <w:top w:val="none" w:sz="0" w:space="0" w:color="auto"/>
                                                <w:left w:val="none" w:sz="0" w:space="0" w:color="auto"/>
                                                <w:bottom w:val="none" w:sz="0" w:space="0" w:color="auto"/>
                                                <w:right w:val="none" w:sz="0" w:space="0" w:color="auto"/>
                                              </w:divBdr>
                                              <w:divsChild>
                                                <w:div w:id="1000424346">
                                                  <w:marLeft w:val="0"/>
                                                  <w:marRight w:val="0"/>
                                                  <w:marTop w:val="0"/>
                                                  <w:marBottom w:val="0"/>
                                                  <w:divBdr>
                                                    <w:top w:val="none" w:sz="0" w:space="0" w:color="auto"/>
                                                    <w:left w:val="none" w:sz="0" w:space="0" w:color="auto"/>
                                                    <w:bottom w:val="none" w:sz="0" w:space="0" w:color="auto"/>
                                                    <w:right w:val="none" w:sz="0" w:space="0" w:color="auto"/>
                                                  </w:divBdr>
                                                  <w:divsChild>
                                                    <w:div w:id="1708720333">
                                                      <w:marLeft w:val="0"/>
                                                      <w:marRight w:val="0"/>
                                                      <w:marTop w:val="0"/>
                                                      <w:marBottom w:val="0"/>
                                                      <w:divBdr>
                                                        <w:top w:val="none" w:sz="0" w:space="0" w:color="auto"/>
                                                        <w:left w:val="none" w:sz="0" w:space="0" w:color="auto"/>
                                                        <w:bottom w:val="none" w:sz="0" w:space="0" w:color="auto"/>
                                                        <w:right w:val="none" w:sz="0" w:space="0" w:color="auto"/>
                                                      </w:divBdr>
                                                      <w:divsChild>
                                                        <w:div w:id="1767847816">
                                                          <w:marLeft w:val="0"/>
                                                          <w:marRight w:val="0"/>
                                                          <w:marTop w:val="0"/>
                                                          <w:marBottom w:val="0"/>
                                                          <w:divBdr>
                                                            <w:top w:val="none" w:sz="0" w:space="0" w:color="auto"/>
                                                            <w:left w:val="none" w:sz="0" w:space="0" w:color="auto"/>
                                                            <w:bottom w:val="none" w:sz="0" w:space="0" w:color="auto"/>
                                                            <w:right w:val="none" w:sz="0" w:space="0" w:color="auto"/>
                                                          </w:divBdr>
                                                        </w:div>
                                                        <w:div w:id="162430374">
                                                          <w:marLeft w:val="0"/>
                                                          <w:marRight w:val="0"/>
                                                          <w:marTop w:val="0"/>
                                                          <w:marBottom w:val="0"/>
                                                          <w:divBdr>
                                                            <w:top w:val="none" w:sz="0" w:space="0" w:color="auto"/>
                                                            <w:left w:val="none" w:sz="0" w:space="0" w:color="auto"/>
                                                            <w:bottom w:val="none" w:sz="0" w:space="0" w:color="auto"/>
                                                            <w:right w:val="none" w:sz="0" w:space="0" w:color="auto"/>
                                                          </w:divBdr>
                                                          <w:divsChild>
                                                            <w:div w:id="5456780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581611">
      <w:bodyDiv w:val="1"/>
      <w:marLeft w:val="0"/>
      <w:marRight w:val="0"/>
      <w:marTop w:val="0"/>
      <w:marBottom w:val="0"/>
      <w:divBdr>
        <w:top w:val="none" w:sz="0" w:space="0" w:color="auto"/>
        <w:left w:val="none" w:sz="0" w:space="0" w:color="auto"/>
        <w:bottom w:val="none" w:sz="0" w:space="0" w:color="auto"/>
        <w:right w:val="none" w:sz="0" w:space="0" w:color="auto"/>
      </w:divBdr>
      <w:divsChild>
        <w:div w:id="81873715">
          <w:marLeft w:val="0"/>
          <w:marRight w:val="0"/>
          <w:marTop w:val="150"/>
          <w:marBottom w:val="0"/>
          <w:divBdr>
            <w:top w:val="none" w:sz="0" w:space="0" w:color="auto"/>
            <w:left w:val="none" w:sz="0" w:space="0" w:color="auto"/>
            <w:bottom w:val="none" w:sz="0" w:space="0" w:color="auto"/>
            <w:right w:val="none" w:sz="0" w:space="0" w:color="auto"/>
          </w:divBdr>
          <w:divsChild>
            <w:div w:id="471748410">
              <w:marLeft w:val="2"/>
              <w:marRight w:val="2"/>
              <w:marTop w:val="0"/>
              <w:marBottom w:val="0"/>
              <w:divBdr>
                <w:top w:val="none" w:sz="0" w:space="0" w:color="auto"/>
                <w:left w:val="none" w:sz="0" w:space="0" w:color="auto"/>
                <w:bottom w:val="none" w:sz="0" w:space="0" w:color="auto"/>
                <w:right w:val="none" w:sz="0" w:space="0" w:color="auto"/>
              </w:divBdr>
              <w:divsChild>
                <w:div w:id="1304703033">
                  <w:marLeft w:val="0"/>
                  <w:marRight w:val="0"/>
                  <w:marTop w:val="0"/>
                  <w:marBottom w:val="0"/>
                  <w:divBdr>
                    <w:top w:val="none" w:sz="0" w:space="0" w:color="auto"/>
                    <w:left w:val="none" w:sz="0" w:space="0" w:color="auto"/>
                    <w:bottom w:val="none" w:sz="0" w:space="0" w:color="auto"/>
                    <w:right w:val="none" w:sz="0" w:space="0" w:color="auto"/>
                  </w:divBdr>
                  <w:divsChild>
                    <w:div w:id="542594980">
                      <w:marLeft w:val="0"/>
                      <w:marRight w:val="0"/>
                      <w:marTop w:val="0"/>
                      <w:marBottom w:val="0"/>
                      <w:divBdr>
                        <w:top w:val="none" w:sz="0" w:space="0" w:color="auto"/>
                        <w:left w:val="none" w:sz="0" w:space="0" w:color="auto"/>
                        <w:bottom w:val="none" w:sz="0" w:space="0" w:color="auto"/>
                        <w:right w:val="none" w:sz="0" w:space="0" w:color="auto"/>
                      </w:divBdr>
                      <w:divsChild>
                        <w:div w:id="1658802246">
                          <w:marLeft w:val="0"/>
                          <w:marRight w:val="0"/>
                          <w:marTop w:val="0"/>
                          <w:marBottom w:val="0"/>
                          <w:divBdr>
                            <w:top w:val="none" w:sz="0" w:space="0" w:color="auto"/>
                            <w:left w:val="none" w:sz="0" w:space="0" w:color="auto"/>
                            <w:bottom w:val="none" w:sz="0" w:space="0" w:color="auto"/>
                            <w:right w:val="none" w:sz="0" w:space="0" w:color="auto"/>
                          </w:divBdr>
                          <w:divsChild>
                            <w:div w:id="593242291">
                              <w:marLeft w:val="0"/>
                              <w:marRight w:val="0"/>
                              <w:marTop w:val="0"/>
                              <w:marBottom w:val="0"/>
                              <w:divBdr>
                                <w:top w:val="none" w:sz="0" w:space="0" w:color="auto"/>
                                <w:left w:val="none" w:sz="0" w:space="0" w:color="auto"/>
                                <w:bottom w:val="none" w:sz="0" w:space="0" w:color="auto"/>
                                <w:right w:val="none" w:sz="0" w:space="0" w:color="auto"/>
                              </w:divBdr>
                              <w:divsChild>
                                <w:div w:id="1458140199">
                                  <w:marLeft w:val="0"/>
                                  <w:marRight w:val="0"/>
                                  <w:marTop w:val="0"/>
                                  <w:marBottom w:val="0"/>
                                  <w:divBdr>
                                    <w:top w:val="none" w:sz="0" w:space="0" w:color="auto"/>
                                    <w:left w:val="none" w:sz="0" w:space="0" w:color="auto"/>
                                    <w:bottom w:val="none" w:sz="0" w:space="0" w:color="auto"/>
                                    <w:right w:val="none" w:sz="0" w:space="0" w:color="auto"/>
                                  </w:divBdr>
                                  <w:divsChild>
                                    <w:div w:id="179197046">
                                      <w:marLeft w:val="0"/>
                                      <w:marRight w:val="0"/>
                                      <w:marTop w:val="0"/>
                                      <w:marBottom w:val="0"/>
                                      <w:divBdr>
                                        <w:top w:val="none" w:sz="0" w:space="0" w:color="auto"/>
                                        <w:left w:val="none" w:sz="0" w:space="0" w:color="auto"/>
                                        <w:bottom w:val="none" w:sz="0" w:space="0" w:color="auto"/>
                                        <w:right w:val="none" w:sz="0" w:space="0" w:color="auto"/>
                                      </w:divBdr>
                                      <w:divsChild>
                                        <w:div w:id="165444720">
                                          <w:marLeft w:val="0"/>
                                          <w:marRight w:val="0"/>
                                          <w:marTop w:val="0"/>
                                          <w:marBottom w:val="0"/>
                                          <w:divBdr>
                                            <w:top w:val="none" w:sz="0" w:space="0" w:color="auto"/>
                                            <w:left w:val="none" w:sz="0" w:space="0" w:color="auto"/>
                                            <w:bottom w:val="none" w:sz="0" w:space="0" w:color="auto"/>
                                            <w:right w:val="none" w:sz="0" w:space="0" w:color="auto"/>
                                          </w:divBdr>
                                          <w:divsChild>
                                            <w:div w:id="1307007473">
                                              <w:marLeft w:val="0"/>
                                              <w:marRight w:val="0"/>
                                              <w:marTop w:val="0"/>
                                              <w:marBottom w:val="0"/>
                                              <w:divBdr>
                                                <w:top w:val="none" w:sz="0" w:space="0" w:color="auto"/>
                                                <w:left w:val="none" w:sz="0" w:space="0" w:color="auto"/>
                                                <w:bottom w:val="none" w:sz="0" w:space="0" w:color="auto"/>
                                                <w:right w:val="none" w:sz="0" w:space="0" w:color="auto"/>
                                              </w:divBdr>
                                              <w:divsChild>
                                                <w:div w:id="660238302">
                                                  <w:marLeft w:val="0"/>
                                                  <w:marRight w:val="0"/>
                                                  <w:marTop w:val="0"/>
                                                  <w:marBottom w:val="0"/>
                                                  <w:divBdr>
                                                    <w:top w:val="none" w:sz="0" w:space="0" w:color="auto"/>
                                                    <w:left w:val="none" w:sz="0" w:space="0" w:color="auto"/>
                                                    <w:bottom w:val="none" w:sz="0" w:space="0" w:color="auto"/>
                                                    <w:right w:val="none" w:sz="0" w:space="0" w:color="auto"/>
                                                  </w:divBdr>
                                                </w:div>
                                              </w:divsChild>
                                            </w:div>
                                            <w:div w:id="875431921">
                                              <w:marLeft w:val="0"/>
                                              <w:marRight w:val="0"/>
                                              <w:marTop w:val="0"/>
                                              <w:marBottom w:val="0"/>
                                              <w:divBdr>
                                                <w:top w:val="none" w:sz="0" w:space="0" w:color="auto"/>
                                                <w:left w:val="none" w:sz="0" w:space="0" w:color="auto"/>
                                                <w:bottom w:val="none" w:sz="0" w:space="0" w:color="auto"/>
                                                <w:right w:val="none" w:sz="0" w:space="0" w:color="auto"/>
                                              </w:divBdr>
                                              <w:divsChild>
                                                <w:div w:id="56630552">
                                                  <w:marLeft w:val="0"/>
                                                  <w:marRight w:val="0"/>
                                                  <w:marTop w:val="0"/>
                                                  <w:marBottom w:val="0"/>
                                                  <w:divBdr>
                                                    <w:top w:val="none" w:sz="0" w:space="0" w:color="auto"/>
                                                    <w:left w:val="none" w:sz="0" w:space="0" w:color="auto"/>
                                                    <w:bottom w:val="none" w:sz="0" w:space="0" w:color="auto"/>
                                                    <w:right w:val="none" w:sz="0" w:space="0" w:color="auto"/>
                                                  </w:divBdr>
                                                </w:div>
                                              </w:divsChild>
                                            </w:div>
                                            <w:div w:id="2098867328">
                                              <w:marLeft w:val="0"/>
                                              <w:marRight w:val="0"/>
                                              <w:marTop w:val="0"/>
                                              <w:marBottom w:val="0"/>
                                              <w:divBdr>
                                                <w:top w:val="none" w:sz="0" w:space="0" w:color="auto"/>
                                                <w:left w:val="none" w:sz="0" w:space="0" w:color="auto"/>
                                                <w:bottom w:val="none" w:sz="0" w:space="0" w:color="auto"/>
                                                <w:right w:val="none" w:sz="0" w:space="0" w:color="auto"/>
                                              </w:divBdr>
                                              <w:divsChild>
                                                <w:div w:id="538128988">
                                                  <w:marLeft w:val="0"/>
                                                  <w:marRight w:val="0"/>
                                                  <w:marTop w:val="0"/>
                                                  <w:marBottom w:val="0"/>
                                                  <w:divBdr>
                                                    <w:top w:val="none" w:sz="0" w:space="0" w:color="auto"/>
                                                    <w:left w:val="none" w:sz="0" w:space="0" w:color="auto"/>
                                                    <w:bottom w:val="none" w:sz="0" w:space="0" w:color="auto"/>
                                                    <w:right w:val="none" w:sz="0" w:space="0" w:color="auto"/>
                                                  </w:divBdr>
                                                </w:div>
                                              </w:divsChild>
                                            </w:div>
                                            <w:div w:id="614096085">
                                              <w:marLeft w:val="0"/>
                                              <w:marRight w:val="0"/>
                                              <w:marTop w:val="0"/>
                                              <w:marBottom w:val="0"/>
                                              <w:divBdr>
                                                <w:top w:val="none" w:sz="0" w:space="0" w:color="auto"/>
                                                <w:left w:val="none" w:sz="0" w:space="0" w:color="auto"/>
                                                <w:bottom w:val="none" w:sz="0" w:space="0" w:color="auto"/>
                                                <w:right w:val="none" w:sz="0" w:space="0" w:color="auto"/>
                                              </w:divBdr>
                                              <w:divsChild>
                                                <w:div w:id="1311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811109">
      <w:bodyDiv w:val="1"/>
      <w:marLeft w:val="0"/>
      <w:marRight w:val="0"/>
      <w:marTop w:val="0"/>
      <w:marBottom w:val="0"/>
      <w:divBdr>
        <w:top w:val="none" w:sz="0" w:space="0" w:color="auto"/>
        <w:left w:val="none" w:sz="0" w:space="0" w:color="auto"/>
        <w:bottom w:val="none" w:sz="0" w:space="0" w:color="auto"/>
        <w:right w:val="none" w:sz="0" w:space="0" w:color="auto"/>
      </w:divBdr>
    </w:div>
    <w:div w:id="2076126127">
      <w:bodyDiv w:val="1"/>
      <w:marLeft w:val="0"/>
      <w:marRight w:val="0"/>
      <w:marTop w:val="0"/>
      <w:marBottom w:val="0"/>
      <w:divBdr>
        <w:top w:val="none" w:sz="0" w:space="0" w:color="auto"/>
        <w:left w:val="none" w:sz="0" w:space="0" w:color="auto"/>
        <w:bottom w:val="none" w:sz="0" w:space="0" w:color="auto"/>
        <w:right w:val="none" w:sz="0" w:space="0" w:color="auto"/>
      </w:divBdr>
      <w:divsChild>
        <w:div w:id="555698655">
          <w:marLeft w:val="0"/>
          <w:marRight w:val="0"/>
          <w:marTop w:val="0"/>
          <w:marBottom w:val="0"/>
          <w:divBdr>
            <w:top w:val="none" w:sz="0" w:space="0" w:color="auto"/>
            <w:left w:val="none" w:sz="0" w:space="0" w:color="auto"/>
            <w:bottom w:val="none" w:sz="0" w:space="0" w:color="auto"/>
            <w:right w:val="none" w:sz="0" w:space="0" w:color="auto"/>
          </w:divBdr>
          <w:divsChild>
            <w:div w:id="901676602">
              <w:marLeft w:val="0"/>
              <w:marRight w:val="0"/>
              <w:marTop w:val="0"/>
              <w:marBottom w:val="0"/>
              <w:divBdr>
                <w:top w:val="none" w:sz="0" w:space="0" w:color="auto"/>
                <w:left w:val="none" w:sz="0" w:space="0" w:color="auto"/>
                <w:bottom w:val="none" w:sz="0" w:space="0" w:color="auto"/>
                <w:right w:val="none" w:sz="0" w:space="0" w:color="auto"/>
              </w:divBdr>
              <w:divsChild>
                <w:div w:id="1199781770">
                  <w:marLeft w:val="0"/>
                  <w:marRight w:val="0"/>
                  <w:marTop w:val="0"/>
                  <w:marBottom w:val="0"/>
                  <w:divBdr>
                    <w:top w:val="none" w:sz="0" w:space="0" w:color="auto"/>
                    <w:left w:val="none" w:sz="0" w:space="0" w:color="auto"/>
                    <w:bottom w:val="none" w:sz="0" w:space="0" w:color="auto"/>
                    <w:right w:val="none" w:sz="0" w:space="0" w:color="auto"/>
                  </w:divBdr>
                  <w:divsChild>
                    <w:div w:id="1068040884">
                      <w:marLeft w:val="0"/>
                      <w:marRight w:val="0"/>
                      <w:marTop w:val="0"/>
                      <w:marBottom w:val="0"/>
                      <w:divBdr>
                        <w:top w:val="none" w:sz="0" w:space="0" w:color="auto"/>
                        <w:left w:val="none" w:sz="0" w:space="0" w:color="auto"/>
                        <w:bottom w:val="none" w:sz="0" w:space="0" w:color="auto"/>
                        <w:right w:val="none" w:sz="0" w:space="0" w:color="auto"/>
                      </w:divBdr>
                      <w:divsChild>
                        <w:div w:id="65998303">
                          <w:marLeft w:val="0"/>
                          <w:marRight w:val="0"/>
                          <w:marTop w:val="0"/>
                          <w:marBottom w:val="0"/>
                          <w:divBdr>
                            <w:top w:val="none" w:sz="0" w:space="0" w:color="auto"/>
                            <w:left w:val="none" w:sz="0" w:space="0" w:color="auto"/>
                            <w:bottom w:val="none" w:sz="0" w:space="0" w:color="auto"/>
                            <w:right w:val="none" w:sz="0" w:space="0" w:color="auto"/>
                          </w:divBdr>
                          <w:divsChild>
                            <w:div w:id="701978176">
                              <w:marLeft w:val="570"/>
                              <w:marRight w:val="720"/>
                              <w:marTop w:val="120"/>
                              <w:marBottom w:val="120"/>
                              <w:divBdr>
                                <w:top w:val="none" w:sz="0" w:space="0" w:color="auto"/>
                                <w:left w:val="none" w:sz="0" w:space="0" w:color="auto"/>
                                <w:bottom w:val="none" w:sz="0" w:space="0" w:color="auto"/>
                                <w:right w:val="none" w:sz="0" w:space="0" w:color="auto"/>
                              </w:divBdr>
                              <w:divsChild>
                                <w:div w:id="1909076303">
                                  <w:marLeft w:val="0"/>
                                  <w:marRight w:val="0"/>
                                  <w:marTop w:val="0"/>
                                  <w:marBottom w:val="0"/>
                                  <w:divBdr>
                                    <w:top w:val="none" w:sz="0" w:space="0" w:color="auto"/>
                                    <w:left w:val="none" w:sz="0" w:space="0" w:color="auto"/>
                                    <w:bottom w:val="none" w:sz="0" w:space="0" w:color="auto"/>
                                    <w:right w:val="none" w:sz="0" w:space="0" w:color="auto"/>
                                  </w:divBdr>
                                  <w:divsChild>
                                    <w:div w:id="1061753720">
                                      <w:marLeft w:val="0"/>
                                      <w:marRight w:val="0"/>
                                      <w:marTop w:val="0"/>
                                      <w:marBottom w:val="0"/>
                                      <w:divBdr>
                                        <w:top w:val="none" w:sz="0" w:space="0" w:color="auto"/>
                                        <w:left w:val="none" w:sz="0" w:space="0" w:color="auto"/>
                                        <w:bottom w:val="none" w:sz="0" w:space="0" w:color="auto"/>
                                        <w:right w:val="none" w:sz="0" w:space="0" w:color="auto"/>
                                      </w:divBdr>
                                      <w:divsChild>
                                        <w:div w:id="2065255690">
                                          <w:marLeft w:val="0"/>
                                          <w:marRight w:val="0"/>
                                          <w:marTop w:val="0"/>
                                          <w:marBottom w:val="0"/>
                                          <w:divBdr>
                                            <w:top w:val="none" w:sz="0" w:space="0" w:color="auto"/>
                                            <w:left w:val="none" w:sz="0" w:space="0" w:color="auto"/>
                                            <w:bottom w:val="none" w:sz="0" w:space="0" w:color="auto"/>
                                            <w:right w:val="none" w:sz="0" w:space="0" w:color="auto"/>
                                          </w:divBdr>
                                        </w:div>
                                        <w:div w:id="1485396346">
                                          <w:marLeft w:val="0"/>
                                          <w:marRight w:val="0"/>
                                          <w:marTop w:val="0"/>
                                          <w:marBottom w:val="150"/>
                                          <w:divBdr>
                                            <w:top w:val="none" w:sz="0" w:space="0" w:color="auto"/>
                                            <w:left w:val="none" w:sz="0" w:space="0" w:color="auto"/>
                                            <w:bottom w:val="none" w:sz="0" w:space="0" w:color="auto"/>
                                            <w:right w:val="none" w:sz="0" w:space="0" w:color="auto"/>
                                          </w:divBdr>
                                          <w:divsChild>
                                            <w:div w:id="554046394">
                                              <w:marLeft w:val="0"/>
                                              <w:marRight w:val="0"/>
                                              <w:marTop w:val="240"/>
                                              <w:marBottom w:val="240"/>
                                              <w:divBdr>
                                                <w:top w:val="single" w:sz="6" w:space="6" w:color="F2F2F2"/>
                                                <w:left w:val="none" w:sz="0" w:space="0" w:color="auto"/>
                                                <w:bottom w:val="single" w:sz="6" w:space="6" w:color="F2F2F2"/>
                                                <w:right w:val="none" w:sz="0" w:space="0" w:color="auto"/>
                                              </w:divBdr>
                                            </w:div>
                                            <w:div w:id="1920864906">
                                              <w:marLeft w:val="0"/>
                                              <w:marRight w:val="0"/>
                                              <w:marTop w:val="0"/>
                                              <w:marBottom w:val="0"/>
                                              <w:divBdr>
                                                <w:top w:val="none" w:sz="0" w:space="0" w:color="auto"/>
                                                <w:left w:val="none" w:sz="0" w:space="0" w:color="auto"/>
                                                <w:bottom w:val="none" w:sz="0" w:space="0" w:color="auto"/>
                                                <w:right w:val="none" w:sz="0" w:space="0" w:color="auto"/>
                                              </w:divBdr>
                                              <w:divsChild>
                                                <w:div w:id="17160826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777646">
      <w:bodyDiv w:val="1"/>
      <w:marLeft w:val="0"/>
      <w:marRight w:val="0"/>
      <w:marTop w:val="0"/>
      <w:marBottom w:val="0"/>
      <w:divBdr>
        <w:top w:val="none" w:sz="0" w:space="0" w:color="auto"/>
        <w:left w:val="none" w:sz="0" w:space="0" w:color="auto"/>
        <w:bottom w:val="none" w:sz="0" w:space="0" w:color="auto"/>
        <w:right w:val="none" w:sz="0" w:space="0" w:color="auto"/>
      </w:divBdr>
      <w:divsChild>
        <w:div w:id="2053265414">
          <w:marLeft w:val="0"/>
          <w:marRight w:val="0"/>
          <w:marTop w:val="0"/>
          <w:marBottom w:val="0"/>
          <w:divBdr>
            <w:top w:val="none" w:sz="0" w:space="0" w:color="auto"/>
            <w:left w:val="none" w:sz="0" w:space="0" w:color="auto"/>
            <w:bottom w:val="none" w:sz="0" w:space="0" w:color="auto"/>
            <w:right w:val="none" w:sz="0" w:space="0" w:color="auto"/>
          </w:divBdr>
          <w:divsChild>
            <w:div w:id="643387247">
              <w:marLeft w:val="0"/>
              <w:marRight w:val="0"/>
              <w:marTop w:val="0"/>
              <w:marBottom w:val="0"/>
              <w:divBdr>
                <w:top w:val="none" w:sz="0" w:space="0" w:color="auto"/>
                <w:left w:val="none" w:sz="0" w:space="0" w:color="auto"/>
                <w:bottom w:val="none" w:sz="0" w:space="0" w:color="auto"/>
                <w:right w:val="none" w:sz="0" w:space="0" w:color="auto"/>
              </w:divBdr>
              <w:divsChild>
                <w:div w:id="768502579">
                  <w:marLeft w:val="0"/>
                  <w:marRight w:val="0"/>
                  <w:marTop w:val="0"/>
                  <w:marBottom w:val="0"/>
                  <w:divBdr>
                    <w:top w:val="none" w:sz="0" w:space="0" w:color="auto"/>
                    <w:left w:val="none" w:sz="0" w:space="0" w:color="auto"/>
                    <w:bottom w:val="none" w:sz="0" w:space="0" w:color="auto"/>
                    <w:right w:val="none" w:sz="0" w:space="0" w:color="auto"/>
                  </w:divBdr>
                  <w:divsChild>
                    <w:div w:id="677466322">
                      <w:marLeft w:val="0"/>
                      <w:marRight w:val="0"/>
                      <w:marTop w:val="0"/>
                      <w:marBottom w:val="0"/>
                      <w:divBdr>
                        <w:top w:val="none" w:sz="0" w:space="0" w:color="auto"/>
                        <w:left w:val="none" w:sz="0" w:space="0" w:color="auto"/>
                        <w:bottom w:val="none" w:sz="0" w:space="0" w:color="auto"/>
                        <w:right w:val="none" w:sz="0" w:space="0" w:color="auto"/>
                      </w:divBdr>
                      <w:divsChild>
                        <w:div w:id="1438675840">
                          <w:marLeft w:val="0"/>
                          <w:marRight w:val="0"/>
                          <w:marTop w:val="0"/>
                          <w:marBottom w:val="0"/>
                          <w:divBdr>
                            <w:top w:val="none" w:sz="0" w:space="0" w:color="auto"/>
                            <w:left w:val="none" w:sz="0" w:space="0" w:color="auto"/>
                            <w:bottom w:val="none" w:sz="0" w:space="0" w:color="auto"/>
                            <w:right w:val="none" w:sz="0" w:space="0" w:color="auto"/>
                          </w:divBdr>
                          <w:divsChild>
                            <w:div w:id="840969845">
                              <w:marLeft w:val="0"/>
                              <w:marRight w:val="0"/>
                              <w:marTop w:val="0"/>
                              <w:marBottom w:val="0"/>
                              <w:divBdr>
                                <w:top w:val="none" w:sz="0" w:space="0" w:color="auto"/>
                                <w:left w:val="none" w:sz="0" w:space="0" w:color="auto"/>
                                <w:bottom w:val="none" w:sz="0" w:space="0" w:color="auto"/>
                                <w:right w:val="none" w:sz="0" w:space="0" w:color="auto"/>
                              </w:divBdr>
                              <w:divsChild>
                                <w:div w:id="1744600374">
                                  <w:marLeft w:val="0"/>
                                  <w:marRight w:val="0"/>
                                  <w:marTop w:val="0"/>
                                  <w:marBottom w:val="0"/>
                                  <w:divBdr>
                                    <w:top w:val="none" w:sz="0" w:space="0" w:color="auto"/>
                                    <w:left w:val="none" w:sz="0" w:space="0" w:color="auto"/>
                                    <w:bottom w:val="none" w:sz="0" w:space="0" w:color="auto"/>
                                    <w:right w:val="none" w:sz="0" w:space="0" w:color="auto"/>
                                  </w:divBdr>
                                  <w:divsChild>
                                    <w:div w:id="700126112">
                                      <w:marLeft w:val="0"/>
                                      <w:marRight w:val="0"/>
                                      <w:marTop w:val="0"/>
                                      <w:marBottom w:val="0"/>
                                      <w:divBdr>
                                        <w:top w:val="none" w:sz="0" w:space="0" w:color="auto"/>
                                        <w:left w:val="none" w:sz="0" w:space="0" w:color="auto"/>
                                        <w:bottom w:val="none" w:sz="0" w:space="0" w:color="auto"/>
                                        <w:right w:val="none" w:sz="0" w:space="0" w:color="auto"/>
                                      </w:divBdr>
                                      <w:divsChild>
                                        <w:div w:id="319702725">
                                          <w:marLeft w:val="0"/>
                                          <w:marRight w:val="0"/>
                                          <w:marTop w:val="0"/>
                                          <w:marBottom w:val="0"/>
                                          <w:divBdr>
                                            <w:top w:val="none" w:sz="0" w:space="0" w:color="auto"/>
                                            <w:left w:val="none" w:sz="0" w:space="0" w:color="auto"/>
                                            <w:bottom w:val="none" w:sz="0" w:space="0" w:color="auto"/>
                                            <w:right w:val="none" w:sz="0" w:space="0" w:color="auto"/>
                                          </w:divBdr>
                                        </w:div>
                                        <w:div w:id="795103045">
                                          <w:marLeft w:val="0"/>
                                          <w:marRight w:val="0"/>
                                          <w:marTop w:val="0"/>
                                          <w:marBottom w:val="0"/>
                                          <w:divBdr>
                                            <w:top w:val="none" w:sz="0" w:space="0" w:color="auto"/>
                                            <w:left w:val="none" w:sz="0" w:space="0" w:color="auto"/>
                                            <w:bottom w:val="none" w:sz="0" w:space="0" w:color="auto"/>
                                            <w:right w:val="none" w:sz="0" w:space="0" w:color="auto"/>
                                          </w:divBdr>
                                          <w:divsChild>
                                            <w:div w:id="17816775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119091">
      <w:bodyDiv w:val="1"/>
      <w:marLeft w:val="0"/>
      <w:marRight w:val="0"/>
      <w:marTop w:val="0"/>
      <w:marBottom w:val="0"/>
      <w:divBdr>
        <w:top w:val="none" w:sz="0" w:space="0" w:color="auto"/>
        <w:left w:val="none" w:sz="0" w:space="0" w:color="auto"/>
        <w:bottom w:val="none" w:sz="0" w:space="0" w:color="auto"/>
        <w:right w:val="none" w:sz="0" w:space="0" w:color="auto"/>
      </w:divBdr>
    </w:div>
    <w:div w:id="2077122578">
      <w:bodyDiv w:val="1"/>
      <w:marLeft w:val="0"/>
      <w:marRight w:val="0"/>
      <w:marTop w:val="0"/>
      <w:marBottom w:val="0"/>
      <w:divBdr>
        <w:top w:val="none" w:sz="0" w:space="0" w:color="auto"/>
        <w:left w:val="none" w:sz="0" w:space="0" w:color="auto"/>
        <w:bottom w:val="none" w:sz="0" w:space="0" w:color="auto"/>
        <w:right w:val="none" w:sz="0" w:space="0" w:color="auto"/>
      </w:divBdr>
      <w:divsChild>
        <w:div w:id="886916668">
          <w:marLeft w:val="0"/>
          <w:marRight w:val="0"/>
          <w:marTop w:val="150"/>
          <w:marBottom w:val="0"/>
          <w:divBdr>
            <w:top w:val="none" w:sz="0" w:space="0" w:color="auto"/>
            <w:left w:val="none" w:sz="0" w:space="0" w:color="auto"/>
            <w:bottom w:val="none" w:sz="0" w:space="0" w:color="auto"/>
            <w:right w:val="none" w:sz="0" w:space="0" w:color="auto"/>
          </w:divBdr>
          <w:divsChild>
            <w:div w:id="1422490197">
              <w:marLeft w:val="0"/>
              <w:marRight w:val="135"/>
              <w:marTop w:val="75"/>
              <w:marBottom w:val="0"/>
              <w:divBdr>
                <w:top w:val="none" w:sz="0" w:space="0" w:color="auto"/>
                <w:left w:val="none" w:sz="0" w:space="0" w:color="auto"/>
                <w:bottom w:val="none" w:sz="0" w:space="0" w:color="auto"/>
                <w:right w:val="none" w:sz="0" w:space="0" w:color="auto"/>
              </w:divBdr>
              <w:divsChild>
                <w:div w:id="1837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0421">
      <w:bodyDiv w:val="1"/>
      <w:marLeft w:val="0"/>
      <w:marRight w:val="0"/>
      <w:marTop w:val="0"/>
      <w:marBottom w:val="0"/>
      <w:divBdr>
        <w:top w:val="none" w:sz="0" w:space="0" w:color="auto"/>
        <w:left w:val="none" w:sz="0" w:space="0" w:color="auto"/>
        <w:bottom w:val="none" w:sz="0" w:space="0" w:color="auto"/>
        <w:right w:val="none" w:sz="0" w:space="0" w:color="auto"/>
      </w:divBdr>
      <w:divsChild>
        <w:div w:id="640035439">
          <w:marLeft w:val="0"/>
          <w:marRight w:val="0"/>
          <w:marTop w:val="0"/>
          <w:marBottom w:val="0"/>
          <w:divBdr>
            <w:top w:val="none" w:sz="0" w:space="0" w:color="auto"/>
            <w:left w:val="none" w:sz="0" w:space="0" w:color="auto"/>
            <w:bottom w:val="none" w:sz="0" w:space="0" w:color="auto"/>
            <w:right w:val="none" w:sz="0" w:space="0" w:color="auto"/>
          </w:divBdr>
          <w:divsChild>
            <w:div w:id="1209957699">
              <w:marLeft w:val="0"/>
              <w:marRight w:val="0"/>
              <w:marTop w:val="0"/>
              <w:marBottom w:val="0"/>
              <w:divBdr>
                <w:top w:val="none" w:sz="0" w:space="0" w:color="auto"/>
                <w:left w:val="none" w:sz="0" w:space="0" w:color="auto"/>
                <w:bottom w:val="none" w:sz="0" w:space="0" w:color="auto"/>
                <w:right w:val="none" w:sz="0" w:space="0" w:color="auto"/>
              </w:divBdr>
              <w:divsChild>
                <w:div w:id="550852202">
                  <w:marLeft w:val="0"/>
                  <w:marRight w:val="0"/>
                  <w:marTop w:val="0"/>
                  <w:marBottom w:val="0"/>
                  <w:divBdr>
                    <w:top w:val="none" w:sz="0" w:space="0" w:color="auto"/>
                    <w:left w:val="none" w:sz="0" w:space="0" w:color="auto"/>
                    <w:bottom w:val="none" w:sz="0" w:space="0" w:color="auto"/>
                    <w:right w:val="none" w:sz="0" w:space="0" w:color="auto"/>
                  </w:divBdr>
                  <w:divsChild>
                    <w:div w:id="1903637165">
                      <w:marLeft w:val="0"/>
                      <w:marRight w:val="0"/>
                      <w:marTop w:val="0"/>
                      <w:marBottom w:val="0"/>
                      <w:divBdr>
                        <w:top w:val="none" w:sz="0" w:space="0" w:color="auto"/>
                        <w:left w:val="none" w:sz="0" w:space="0" w:color="auto"/>
                        <w:bottom w:val="none" w:sz="0" w:space="0" w:color="auto"/>
                        <w:right w:val="none" w:sz="0" w:space="0" w:color="auto"/>
                      </w:divBdr>
                      <w:divsChild>
                        <w:div w:id="1791391171">
                          <w:marLeft w:val="0"/>
                          <w:marRight w:val="0"/>
                          <w:marTop w:val="0"/>
                          <w:marBottom w:val="0"/>
                          <w:divBdr>
                            <w:top w:val="none" w:sz="0" w:space="0" w:color="auto"/>
                            <w:left w:val="none" w:sz="0" w:space="0" w:color="auto"/>
                            <w:bottom w:val="none" w:sz="0" w:space="0" w:color="auto"/>
                            <w:right w:val="none" w:sz="0" w:space="0" w:color="auto"/>
                          </w:divBdr>
                          <w:divsChild>
                            <w:div w:id="2141457295">
                              <w:marLeft w:val="0"/>
                              <w:marRight w:val="0"/>
                              <w:marTop w:val="0"/>
                              <w:marBottom w:val="0"/>
                              <w:divBdr>
                                <w:top w:val="none" w:sz="0" w:space="0" w:color="auto"/>
                                <w:left w:val="none" w:sz="0" w:space="0" w:color="auto"/>
                                <w:bottom w:val="none" w:sz="0" w:space="0" w:color="auto"/>
                                <w:right w:val="none" w:sz="0" w:space="0" w:color="auto"/>
                              </w:divBdr>
                              <w:divsChild>
                                <w:div w:id="844128750">
                                  <w:marLeft w:val="0"/>
                                  <w:marRight w:val="0"/>
                                  <w:marTop w:val="0"/>
                                  <w:marBottom w:val="0"/>
                                  <w:divBdr>
                                    <w:top w:val="none" w:sz="0" w:space="0" w:color="auto"/>
                                    <w:left w:val="none" w:sz="0" w:space="0" w:color="auto"/>
                                    <w:bottom w:val="none" w:sz="0" w:space="0" w:color="auto"/>
                                    <w:right w:val="none" w:sz="0" w:space="0" w:color="auto"/>
                                  </w:divBdr>
                                  <w:divsChild>
                                    <w:div w:id="273171152">
                                      <w:marLeft w:val="0"/>
                                      <w:marRight w:val="0"/>
                                      <w:marTop w:val="0"/>
                                      <w:marBottom w:val="0"/>
                                      <w:divBdr>
                                        <w:top w:val="none" w:sz="0" w:space="0" w:color="auto"/>
                                        <w:left w:val="none" w:sz="0" w:space="0" w:color="auto"/>
                                        <w:bottom w:val="none" w:sz="0" w:space="0" w:color="auto"/>
                                        <w:right w:val="none" w:sz="0" w:space="0" w:color="auto"/>
                                      </w:divBdr>
                                      <w:divsChild>
                                        <w:div w:id="574095967">
                                          <w:marLeft w:val="0"/>
                                          <w:marRight w:val="0"/>
                                          <w:marTop w:val="0"/>
                                          <w:marBottom w:val="0"/>
                                          <w:divBdr>
                                            <w:top w:val="none" w:sz="0" w:space="0" w:color="auto"/>
                                            <w:left w:val="none" w:sz="0" w:space="0" w:color="auto"/>
                                            <w:bottom w:val="none" w:sz="0" w:space="0" w:color="auto"/>
                                            <w:right w:val="none" w:sz="0" w:space="0" w:color="auto"/>
                                          </w:divBdr>
                                          <w:divsChild>
                                            <w:div w:id="937636088">
                                              <w:marLeft w:val="0"/>
                                              <w:marRight w:val="0"/>
                                              <w:marTop w:val="0"/>
                                              <w:marBottom w:val="0"/>
                                              <w:divBdr>
                                                <w:top w:val="none" w:sz="0" w:space="0" w:color="auto"/>
                                                <w:left w:val="none" w:sz="0" w:space="0" w:color="auto"/>
                                                <w:bottom w:val="none" w:sz="0" w:space="0" w:color="auto"/>
                                                <w:right w:val="none" w:sz="0" w:space="0" w:color="auto"/>
                                              </w:divBdr>
                                              <w:divsChild>
                                                <w:div w:id="1893618739">
                                                  <w:marLeft w:val="0"/>
                                                  <w:marRight w:val="0"/>
                                                  <w:marTop w:val="0"/>
                                                  <w:marBottom w:val="0"/>
                                                  <w:divBdr>
                                                    <w:top w:val="none" w:sz="0" w:space="0" w:color="auto"/>
                                                    <w:left w:val="none" w:sz="0" w:space="0" w:color="auto"/>
                                                    <w:bottom w:val="none" w:sz="0" w:space="0" w:color="auto"/>
                                                    <w:right w:val="none" w:sz="0" w:space="0" w:color="auto"/>
                                                  </w:divBdr>
                                                  <w:divsChild>
                                                    <w:div w:id="743795933">
                                                      <w:marLeft w:val="0"/>
                                                      <w:marRight w:val="0"/>
                                                      <w:marTop w:val="0"/>
                                                      <w:marBottom w:val="0"/>
                                                      <w:divBdr>
                                                        <w:top w:val="none" w:sz="0" w:space="0" w:color="auto"/>
                                                        <w:left w:val="none" w:sz="0" w:space="0" w:color="auto"/>
                                                        <w:bottom w:val="none" w:sz="0" w:space="0" w:color="auto"/>
                                                        <w:right w:val="none" w:sz="0" w:space="0" w:color="auto"/>
                                                      </w:divBdr>
                                                      <w:divsChild>
                                                        <w:div w:id="369959852">
                                                          <w:marLeft w:val="0"/>
                                                          <w:marRight w:val="0"/>
                                                          <w:marTop w:val="0"/>
                                                          <w:marBottom w:val="0"/>
                                                          <w:divBdr>
                                                            <w:top w:val="none" w:sz="0" w:space="0" w:color="auto"/>
                                                            <w:left w:val="none" w:sz="0" w:space="0" w:color="auto"/>
                                                            <w:bottom w:val="none" w:sz="0" w:space="0" w:color="auto"/>
                                                            <w:right w:val="none" w:sz="0" w:space="0" w:color="auto"/>
                                                          </w:divBdr>
                                                        </w:div>
                                                        <w:div w:id="134445789">
                                                          <w:marLeft w:val="0"/>
                                                          <w:marRight w:val="0"/>
                                                          <w:marTop w:val="0"/>
                                                          <w:marBottom w:val="0"/>
                                                          <w:divBdr>
                                                            <w:top w:val="none" w:sz="0" w:space="0" w:color="auto"/>
                                                            <w:left w:val="none" w:sz="0" w:space="0" w:color="auto"/>
                                                            <w:bottom w:val="none" w:sz="0" w:space="0" w:color="auto"/>
                                                            <w:right w:val="none" w:sz="0" w:space="0" w:color="auto"/>
                                                          </w:divBdr>
                                                          <w:divsChild>
                                                            <w:div w:id="16139708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974248">
      <w:bodyDiv w:val="1"/>
      <w:marLeft w:val="0"/>
      <w:marRight w:val="0"/>
      <w:marTop w:val="0"/>
      <w:marBottom w:val="0"/>
      <w:divBdr>
        <w:top w:val="none" w:sz="0" w:space="0" w:color="auto"/>
        <w:left w:val="none" w:sz="0" w:space="0" w:color="auto"/>
        <w:bottom w:val="none" w:sz="0" w:space="0" w:color="auto"/>
        <w:right w:val="none" w:sz="0" w:space="0" w:color="auto"/>
      </w:divBdr>
      <w:divsChild>
        <w:div w:id="1683167734">
          <w:marLeft w:val="0"/>
          <w:marRight w:val="0"/>
          <w:marTop w:val="0"/>
          <w:marBottom w:val="0"/>
          <w:divBdr>
            <w:top w:val="single" w:sz="6" w:space="0" w:color="0E477A"/>
            <w:left w:val="single" w:sz="6" w:space="0" w:color="0E477A"/>
            <w:bottom w:val="single" w:sz="6" w:space="0" w:color="0E477A"/>
            <w:right w:val="single" w:sz="6" w:space="0" w:color="0E477A"/>
          </w:divBdr>
          <w:divsChild>
            <w:div w:id="1248805458">
              <w:marLeft w:val="2925"/>
              <w:marRight w:val="0"/>
              <w:marTop w:val="0"/>
              <w:marBottom w:val="0"/>
              <w:divBdr>
                <w:top w:val="none" w:sz="0" w:space="0" w:color="auto"/>
                <w:left w:val="none" w:sz="0" w:space="0" w:color="auto"/>
                <w:bottom w:val="none" w:sz="0" w:space="0" w:color="auto"/>
                <w:right w:val="none" w:sz="0" w:space="0" w:color="auto"/>
              </w:divBdr>
              <w:divsChild>
                <w:div w:id="2075197585">
                  <w:marLeft w:val="0"/>
                  <w:marRight w:val="0"/>
                  <w:marTop w:val="0"/>
                  <w:marBottom w:val="0"/>
                  <w:divBdr>
                    <w:top w:val="none" w:sz="0" w:space="0" w:color="auto"/>
                    <w:left w:val="none" w:sz="0" w:space="0" w:color="auto"/>
                    <w:bottom w:val="none" w:sz="0" w:space="0" w:color="auto"/>
                    <w:right w:val="none" w:sz="0" w:space="0" w:color="auto"/>
                  </w:divBdr>
                  <w:divsChild>
                    <w:div w:id="975336820">
                      <w:marLeft w:val="0"/>
                      <w:marRight w:val="150"/>
                      <w:marTop w:val="0"/>
                      <w:marBottom w:val="0"/>
                      <w:divBdr>
                        <w:top w:val="single" w:sz="6" w:space="0" w:color="CCCCCC"/>
                        <w:left w:val="single" w:sz="6" w:space="8" w:color="CCCCCC"/>
                        <w:bottom w:val="single" w:sz="6" w:space="8" w:color="CCCCCC"/>
                        <w:right w:val="single" w:sz="6" w:space="8" w:color="CCCCCC"/>
                      </w:divBdr>
                      <w:divsChild>
                        <w:div w:id="214437313">
                          <w:marLeft w:val="0"/>
                          <w:marRight w:val="0"/>
                          <w:marTop w:val="0"/>
                          <w:marBottom w:val="0"/>
                          <w:divBdr>
                            <w:top w:val="none" w:sz="0" w:space="0" w:color="auto"/>
                            <w:left w:val="none" w:sz="0" w:space="0" w:color="auto"/>
                            <w:bottom w:val="none" w:sz="0" w:space="0" w:color="auto"/>
                            <w:right w:val="none" w:sz="0" w:space="0" w:color="auto"/>
                          </w:divBdr>
                        </w:div>
                        <w:div w:id="546910943">
                          <w:marLeft w:val="0"/>
                          <w:marRight w:val="0"/>
                          <w:marTop w:val="0"/>
                          <w:marBottom w:val="0"/>
                          <w:divBdr>
                            <w:top w:val="none" w:sz="0" w:space="0" w:color="auto"/>
                            <w:left w:val="none" w:sz="0" w:space="0" w:color="auto"/>
                            <w:bottom w:val="none" w:sz="0" w:space="0" w:color="auto"/>
                            <w:right w:val="none" w:sz="0" w:space="0" w:color="auto"/>
                          </w:divBdr>
                        </w:div>
                        <w:div w:id="1006514076">
                          <w:marLeft w:val="0"/>
                          <w:marRight w:val="0"/>
                          <w:marTop w:val="0"/>
                          <w:marBottom w:val="0"/>
                          <w:divBdr>
                            <w:top w:val="none" w:sz="0" w:space="0" w:color="auto"/>
                            <w:left w:val="none" w:sz="0" w:space="0" w:color="auto"/>
                            <w:bottom w:val="none" w:sz="0" w:space="0" w:color="auto"/>
                            <w:right w:val="none" w:sz="0" w:space="0" w:color="auto"/>
                          </w:divBdr>
                        </w:div>
                        <w:div w:id="345449689">
                          <w:marLeft w:val="0"/>
                          <w:marRight w:val="0"/>
                          <w:marTop w:val="0"/>
                          <w:marBottom w:val="0"/>
                          <w:divBdr>
                            <w:top w:val="none" w:sz="0" w:space="0" w:color="auto"/>
                            <w:left w:val="none" w:sz="0" w:space="0" w:color="auto"/>
                            <w:bottom w:val="none" w:sz="0" w:space="0" w:color="auto"/>
                            <w:right w:val="none" w:sz="0" w:space="0" w:color="auto"/>
                          </w:divBdr>
                        </w:div>
                        <w:div w:id="793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364800">
      <w:bodyDiv w:val="1"/>
      <w:marLeft w:val="0"/>
      <w:marRight w:val="0"/>
      <w:marTop w:val="0"/>
      <w:marBottom w:val="0"/>
      <w:divBdr>
        <w:top w:val="none" w:sz="0" w:space="0" w:color="auto"/>
        <w:left w:val="none" w:sz="0" w:space="0" w:color="auto"/>
        <w:bottom w:val="none" w:sz="0" w:space="0" w:color="auto"/>
        <w:right w:val="none" w:sz="0" w:space="0" w:color="auto"/>
      </w:divBdr>
    </w:div>
    <w:div w:id="2082212518">
      <w:bodyDiv w:val="1"/>
      <w:marLeft w:val="0"/>
      <w:marRight w:val="0"/>
      <w:marTop w:val="0"/>
      <w:marBottom w:val="0"/>
      <w:divBdr>
        <w:top w:val="none" w:sz="0" w:space="0" w:color="auto"/>
        <w:left w:val="none" w:sz="0" w:space="0" w:color="auto"/>
        <w:bottom w:val="none" w:sz="0" w:space="0" w:color="auto"/>
        <w:right w:val="none" w:sz="0" w:space="0" w:color="auto"/>
      </w:divBdr>
      <w:divsChild>
        <w:div w:id="1491215202">
          <w:marLeft w:val="0"/>
          <w:marRight w:val="0"/>
          <w:marTop w:val="0"/>
          <w:marBottom w:val="0"/>
          <w:divBdr>
            <w:top w:val="none" w:sz="0" w:space="0" w:color="auto"/>
            <w:left w:val="none" w:sz="0" w:space="0" w:color="auto"/>
            <w:bottom w:val="none" w:sz="0" w:space="0" w:color="auto"/>
            <w:right w:val="none" w:sz="0" w:space="0" w:color="auto"/>
          </w:divBdr>
          <w:divsChild>
            <w:div w:id="1389692811">
              <w:marLeft w:val="-225"/>
              <w:marRight w:val="-225"/>
              <w:marTop w:val="0"/>
              <w:marBottom w:val="0"/>
              <w:divBdr>
                <w:top w:val="none" w:sz="0" w:space="0" w:color="auto"/>
                <w:left w:val="none" w:sz="0" w:space="0" w:color="auto"/>
                <w:bottom w:val="none" w:sz="0" w:space="0" w:color="auto"/>
                <w:right w:val="none" w:sz="0" w:space="0" w:color="auto"/>
              </w:divBdr>
              <w:divsChild>
                <w:div w:id="9833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2561">
      <w:bodyDiv w:val="1"/>
      <w:marLeft w:val="0"/>
      <w:marRight w:val="0"/>
      <w:marTop w:val="0"/>
      <w:marBottom w:val="0"/>
      <w:divBdr>
        <w:top w:val="none" w:sz="0" w:space="0" w:color="auto"/>
        <w:left w:val="none" w:sz="0" w:space="0" w:color="auto"/>
        <w:bottom w:val="none" w:sz="0" w:space="0" w:color="auto"/>
        <w:right w:val="none" w:sz="0" w:space="0" w:color="auto"/>
      </w:divBdr>
    </w:div>
    <w:div w:id="2082873833">
      <w:bodyDiv w:val="1"/>
      <w:marLeft w:val="0"/>
      <w:marRight w:val="0"/>
      <w:marTop w:val="0"/>
      <w:marBottom w:val="0"/>
      <w:divBdr>
        <w:top w:val="none" w:sz="0" w:space="0" w:color="auto"/>
        <w:left w:val="none" w:sz="0" w:space="0" w:color="auto"/>
        <w:bottom w:val="none" w:sz="0" w:space="0" w:color="auto"/>
        <w:right w:val="none" w:sz="0" w:space="0" w:color="auto"/>
      </w:divBdr>
      <w:divsChild>
        <w:div w:id="1718309346">
          <w:marLeft w:val="0"/>
          <w:marRight w:val="0"/>
          <w:marTop w:val="0"/>
          <w:marBottom w:val="0"/>
          <w:divBdr>
            <w:top w:val="none" w:sz="0" w:space="0" w:color="auto"/>
            <w:left w:val="none" w:sz="0" w:space="0" w:color="auto"/>
            <w:bottom w:val="none" w:sz="0" w:space="0" w:color="auto"/>
            <w:right w:val="none" w:sz="0" w:space="0" w:color="auto"/>
          </w:divBdr>
          <w:divsChild>
            <w:div w:id="2047950918">
              <w:marLeft w:val="0"/>
              <w:marRight w:val="0"/>
              <w:marTop w:val="0"/>
              <w:marBottom w:val="0"/>
              <w:divBdr>
                <w:top w:val="none" w:sz="0" w:space="0" w:color="auto"/>
                <w:left w:val="none" w:sz="0" w:space="0" w:color="auto"/>
                <w:bottom w:val="none" w:sz="0" w:space="0" w:color="auto"/>
                <w:right w:val="none" w:sz="0" w:space="0" w:color="auto"/>
              </w:divBdr>
              <w:divsChild>
                <w:div w:id="44066306">
                  <w:marLeft w:val="0"/>
                  <w:marRight w:val="0"/>
                  <w:marTop w:val="0"/>
                  <w:marBottom w:val="0"/>
                  <w:divBdr>
                    <w:top w:val="none" w:sz="0" w:space="0" w:color="auto"/>
                    <w:left w:val="none" w:sz="0" w:space="0" w:color="auto"/>
                    <w:bottom w:val="none" w:sz="0" w:space="0" w:color="auto"/>
                    <w:right w:val="none" w:sz="0" w:space="0" w:color="auto"/>
                  </w:divBdr>
                  <w:divsChild>
                    <w:div w:id="1164124326">
                      <w:marLeft w:val="0"/>
                      <w:marRight w:val="0"/>
                      <w:marTop w:val="0"/>
                      <w:marBottom w:val="0"/>
                      <w:divBdr>
                        <w:top w:val="none" w:sz="0" w:space="0" w:color="auto"/>
                        <w:left w:val="none" w:sz="0" w:space="0" w:color="auto"/>
                        <w:bottom w:val="none" w:sz="0" w:space="0" w:color="auto"/>
                        <w:right w:val="none" w:sz="0" w:space="0" w:color="auto"/>
                      </w:divBdr>
                      <w:divsChild>
                        <w:div w:id="1694112918">
                          <w:marLeft w:val="0"/>
                          <w:marRight w:val="0"/>
                          <w:marTop w:val="0"/>
                          <w:marBottom w:val="0"/>
                          <w:divBdr>
                            <w:top w:val="none" w:sz="0" w:space="0" w:color="auto"/>
                            <w:left w:val="none" w:sz="0" w:space="0" w:color="auto"/>
                            <w:bottom w:val="none" w:sz="0" w:space="0" w:color="auto"/>
                            <w:right w:val="none" w:sz="0" w:space="0" w:color="auto"/>
                          </w:divBdr>
                          <w:divsChild>
                            <w:div w:id="66149388">
                              <w:marLeft w:val="0"/>
                              <w:marRight w:val="0"/>
                              <w:marTop w:val="0"/>
                              <w:marBottom w:val="0"/>
                              <w:divBdr>
                                <w:top w:val="none" w:sz="0" w:space="0" w:color="auto"/>
                                <w:left w:val="none" w:sz="0" w:space="0" w:color="auto"/>
                                <w:bottom w:val="none" w:sz="0" w:space="0" w:color="auto"/>
                                <w:right w:val="none" w:sz="0" w:space="0" w:color="auto"/>
                              </w:divBdr>
                              <w:divsChild>
                                <w:div w:id="457795381">
                                  <w:marLeft w:val="0"/>
                                  <w:marRight w:val="0"/>
                                  <w:marTop w:val="0"/>
                                  <w:marBottom w:val="0"/>
                                  <w:divBdr>
                                    <w:top w:val="none" w:sz="0" w:space="0" w:color="auto"/>
                                    <w:left w:val="none" w:sz="0" w:space="0" w:color="auto"/>
                                    <w:bottom w:val="none" w:sz="0" w:space="0" w:color="auto"/>
                                    <w:right w:val="none" w:sz="0" w:space="0" w:color="auto"/>
                                  </w:divBdr>
                                  <w:divsChild>
                                    <w:div w:id="944114743">
                                      <w:marLeft w:val="0"/>
                                      <w:marRight w:val="0"/>
                                      <w:marTop w:val="0"/>
                                      <w:marBottom w:val="0"/>
                                      <w:divBdr>
                                        <w:top w:val="none" w:sz="0" w:space="0" w:color="auto"/>
                                        <w:left w:val="none" w:sz="0" w:space="0" w:color="auto"/>
                                        <w:bottom w:val="none" w:sz="0" w:space="0" w:color="auto"/>
                                        <w:right w:val="none" w:sz="0" w:space="0" w:color="auto"/>
                                      </w:divBdr>
                                      <w:divsChild>
                                        <w:div w:id="4272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209210">
      <w:bodyDiv w:val="1"/>
      <w:marLeft w:val="0"/>
      <w:marRight w:val="0"/>
      <w:marTop w:val="0"/>
      <w:marBottom w:val="0"/>
      <w:divBdr>
        <w:top w:val="none" w:sz="0" w:space="0" w:color="auto"/>
        <w:left w:val="none" w:sz="0" w:space="0" w:color="auto"/>
        <w:bottom w:val="none" w:sz="0" w:space="0" w:color="auto"/>
        <w:right w:val="none" w:sz="0" w:space="0" w:color="auto"/>
      </w:divBdr>
      <w:divsChild>
        <w:div w:id="2086029964">
          <w:marLeft w:val="0"/>
          <w:marRight w:val="0"/>
          <w:marTop w:val="0"/>
          <w:marBottom w:val="0"/>
          <w:divBdr>
            <w:top w:val="none" w:sz="0" w:space="0" w:color="auto"/>
            <w:left w:val="none" w:sz="0" w:space="0" w:color="auto"/>
            <w:bottom w:val="none" w:sz="0" w:space="0" w:color="auto"/>
            <w:right w:val="none" w:sz="0" w:space="0" w:color="auto"/>
          </w:divBdr>
          <w:divsChild>
            <w:div w:id="1265923313">
              <w:marLeft w:val="0"/>
              <w:marRight w:val="0"/>
              <w:marTop w:val="0"/>
              <w:marBottom w:val="0"/>
              <w:divBdr>
                <w:top w:val="none" w:sz="0" w:space="0" w:color="auto"/>
                <w:left w:val="none" w:sz="0" w:space="0" w:color="auto"/>
                <w:bottom w:val="none" w:sz="0" w:space="0" w:color="auto"/>
                <w:right w:val="none" w:sz="0" w:space="0" w:color="auto"/>
              </w:divBdr>
              <w:divsChild>
                <w:div w:id="640890068">
                  <w:marLeft w:val="0"/>
                  <w:marRight w:val="0"/>
                  <w:marTop w:val="0"/>
                  <w:marBottom w:val="0"/>
                  <w:divBdr>
                    <w:top w:val="none" w:sz="0" w:space="0" w:color="auto"/>
                    <w:left w:val="none" w:sz="0" w:space="0" w:color="auto"/>
                    <w:bottom w:val="none" w:sz="0" w:space="0" w:color="auto"/>
                    <w:right w:val="none" w:sz="0" w:space="0" w:color="auto"/>
                  </w:divBdr>
                  <w:divsChild>
                    <w:div w:id="935476476">
                      <w:marLeft w:val="0"/>
                      <w:marRight w:val="0"/>
                      <w:marTop w:val="0"/>
                      <w:marBottom w:val="0"/>
                      <w:divBdr>
                        <w:top w:val="none" w:sz="0" w:space="0" w:color="auto"/>
                        <w:left w:val="none" w:sz="0" w:space="0" w:color="auto"/>
                        <w:bottom w:val="none" w:sz="0" w:space="0" w:color="auto"/>
                        <w:right w:val="none" w:sz="0" w:space="0" w:color="auto"/>
                      </w:divBdr>
                      <w:divsChild>
                        <w:div w:id="10972170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83328017">
      <w:bodyDiv w:val="1"/>
      <w:marLeft w:val="0"/>
      <w:marRight w:val="0"/>
      <w:marTop w:val="0"/>
      <w:marBottom w:val="0"/>
      <w:divBdr>
        <w:top w:val="none" w:sz="0" w:space="0" w:color="auto"/>
        <w:left w:val="none" w:sz="0" w:space="0" w:color="auto"/>
        <w:bottom w:val="none" w:sz="0" w:space="0" w:color="auto"/>
        <w:right w:val="none" w:sz="0" w:space="0" w:color="auto"/>
      </w:divBdr>
      <w:divsChild>
        <w:div w:id="1009909803">
          <w:marLeft w:val="0"/>
          <w:marRight w:val="0"/>
          <w:marTop w:val="0"/>
          <w:marBottom w:val="0"/>
          <w:divBdr>
            <w:top w:val="none" w:sz="0" w:space="0" w:color="auto"/>
            <w:left w:val="none" w:sz="0" w:space="0" w:color="auto"/>
            <w:bottom w:val="none" w:sz="0" w:space="0" w:color="auto"/>
            <w:right w:val="none" w:sz="0" w:space="0" w:color="auto"/>
          </w:divBdr>
          <w:divsChild>
            <w:div w:id="2122141406">
              <w:marLeft w:val="0"/>
              <w:marRight w:val="0"/>
              <w:marTop w:val="0"/>
              <w:marBottom w:val="0"/>
              <w:divBdr>
                <w:top w:val="none" w:sz="0" w:space="0" w:color="auto"/>
                <w:left w:val="none" w:sz="0" w:space="0" w:color="auto"/>
                <w:bottom w:val="none" w:sz="0" w:space="0" w:color="auto"/>
                <w:right w:val="none" w:sz="0" w:space="0" w:color="auto"/>
              </w:divBdr>
              <w:divsChild>
                <w:div w:id="1924141384">
                  <w:marLeft w:val="0"/>
                  <w:marRight w:val="0"/>
                  <w:marTop w:val="0"/>
                  <w:marBottom w:val="0"/>
                  <w:divBdr>
                    <w:top w:val="none" w:sz="0" w:space="0" w:color="auto"/>
                    <w:left w:val="none" w:sz="0" w:space="0" w:color="auto"/>
                    <w:bottom w:val="none" w:sz="0" w:space="0" w:color="auto"/>
                    <w:right w:val="none" w:sz="0" w:space="0" w:color="auto"/>
                  </w:divBdr>
                  <w:divsChild>
                    <w:div w:id="1343512332">
                      <w:marLeft w:val="0"/>
                      <w:marRight w:val="0"/>
                      <w:marTop w:val="0"/>
                      <w:marBottom w:val="0"/>
                      <w:divBdr>
                        <w:top w:val="none" w:sz="0" w:space="0" w:color="auto"/>
                        <w:left w:val="none" w:sz="0" w:space="0" w:color="auto"/>
                        <w:bottom w:val="none" w:sz="0" w:space="0" w:color="auto"/>
                        <w:right w:val="none" w:sz="0" w:space="0" w:color="auto"/>
                      </w:divBdr>
                      <w:divsChild>
                        <w:div w:id="546650975">
                          <w:marLeft w:val="0"/>
                          <w:marRight w:val="0"/>
                          <w:marTop w:val="0"/>
                          <w:marBottom w:val="0"/>
                          <w:divBdr>
                            <w:top w:val="none" w:sz="0" w:space="0" w:color="auto"/>
                            <w:left w:val="none" w:sz="0" w:space="0" w:color="auto"/>
                            <w:bottom w:val="none" w:sz="0" w:space="0" w:color="auto"/>
                            <w:right w:val="none" w:sz="0" w:space="0" w:color="auto"/>
                          </w:divBdr>
                          <w:divsChild>
                            <w:div w:id="30615028">
                              <w:marLeft w:val="570"/>
                              <w:marRight w:val="720"/>
                              <w:marTop w:val="120"/>
                              <w:marBottom w:val="120"/>
                              <w:divBdr>
                                <w:top w:val="none" w:sz="0" w:space="0" w:color="auto"/>
                                <w:left w:val="none" w:sz="0" w:space="0" w:color="auto"/>
                                <w:bottom w:val="none" w:sz="0" w:space="0" w:color="auto"/>
                                <w:right w:val="none" w:sz="0" w:space="0" w:color="auto"/>
                              </w:divBdr>
                              <w:divsChild>
                                <w:div w:id="1001813714">
                                  <w:marLeft w:val="0"/>
                                  <w:marRight w:val="0"/>
                                  <w:marTop w:val="0"/>
                                  <w:marBottom w:val="0"/>
                                  <w:divBdr>
                                    <w:top w:val="none" w:sz="0" w:space="0" w:color="auto"/>
                                    <w:left w:val="none" w:sz="0" w:space="0" w:color="auto"/>
                                    <w:bottom w:val="none" w:sz="0" w:space="0" w:color="auto"/>
                                    <w:right w:val="none" w:sz="0" w:space="0" w:color="auto"/>
                                  </w:divBdr>
                                  <w:divsChild>
                                    <w:div w:id="1609778996">
                                      <w:marLeft w:val="0"/>
                                      <w:marRight w:val="0"/>
                                      <w:marTop w:val="0"/>
                                      <w:marBottom w:val="0"/>
                                      <w:divBdr>
                                        <w:top w:val="none" w:sz="0" w:space="0" w:color="auto"/>
                                        <w:left w:val="none" w:sz="0" w:space="0" w:color="auto"/>
                                        <w:bottom w:val="none" w:sz="0" w:space="0" w:color="auto"/>
                                        <w:right w:val="none" w:sz="0" w:space="0" w:color="auto"/>
                                      </w:divBdr>
                                      <w:divsChild>
                                        <w:div w:id="483356188">
                                          <w:marLeft w:val="0"/>
                                          <w:marRight w:val="0"/>
                                          <w:marTop w:val="0"/>
                                          <w:marBottom w:val="0"/>
                                          <w:divBdr>
                                            <w:top w:val="none" w:sz="0" w:space="0" w:color="auto"/>
                                            <w:left w:val="none" w:sz="0" w:space="0" w:color="auto"/>
                                            <w:bottom w:val="none" w:sz="0" w:space="0" w:color="auto"/>
                                            <w:right w:val="none" w:sz="0" w:space="0" w:color="auto"/>
                                          </w:divBdr>
                                        </w:div>
                                        <w:div w:id="752820806">
                                          <w:marLeft w:val="0"/>
                                          <w:marRight w:val="0"/>
                                          <w:marTop w:val="0"/>
                                          <w:marBottom w:val="150"/>
                                          <w:divBdr>
                                            <w:top w:val="none" w:sz="0" w:space="0" w:color="auto"/>
                                            <w:left w:val="none" w:sz="0" w:space="0" w:color="auto"/>
                                            <w:bottom w:val="none" w:sz="0" w:space="0" w:color="auto"/>
                                            <w:right w:val="none" w:sz="0" w:space="0" w:color="auto"/>
                                          </w:divBdr>
                                          <w:divsChild>
                                            <w:div w:id="1297643519">
                                              <w:marLeft w:val="0"/>
                                              <w:marRight w:val="0"/>
                                              <w:marTop w:val="240"/>
                                              <w:marBottom w:val="240"/>
                                              <w:divBdr>
                                                <w:top w:val="single" w:sz="6" w:space="6" w:color="F2F2F2"/>
                                                <w:left w:val="none" w:sz="0" w:space="0" w:color="auto"/>
                                                <w:bottom w:val="single" w:sz="6" w:space="6" w:color="F2F2F2"/>
                                                <w:right w:val="none" w:sz="0" w:space="0" w:color="auto"/>
                                              </w:divBdr>
                                            </w:div>
                                            <w:div w:id="1061828860">
                                              <w:marLeft w:val="0"/>
                                              <w:marRight w:val="0"/>
                                              <w:marTop w:val="0"/>
                                              <w:marBottom w:val="0"/>
                                              <w:divBdr>
                                                <w:top w:val="none" w:sz="0" w:space="0" w:color="auto"/>
                                                <w:left w:val="none" w:sz="0" w:space="0" w:color="auto"/>
                                                <w:bottom w:val="none" w:sz="0" w:space="0" w:color="auto"/>
                                                <w:right w:val="none" w:sz="0" w:space="0" w:color="auto"/>
                                              </w:divBdr>
                                              <w:divsChild>
                                                <w:div w:id="515846645">
                                                  <w:marLeft w:val="0"/>
                                                  <w:marRight w:val="0"/>
                                                  <w:marTop w:val="0"/>
                                                  <w:marBottom w:val="240"/>
                                                  <w:divBdr>
                                                    <w:top w:val="none" w:sz="0" w:space="0" w:color="auto"/>
                                                    <w:left w:val="none" w:sz="0" w:space="0" w:color="auto"/>
                                                    <w:bottom w:val="none" w:sz="0" w:space="0" w:color="auto"/>
                                                    <w:right w:val="none" w:sz="0" w:space="0" w:color="auto"/>
                                                  </w:divBdr>
                                                </w:div>
                                                <w:div w:id="47160667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528573">
      <w:bodyDiv w:val="1"/>
      <w:marLeft w:val="0"/>
      <w:marRight w:val="0"/>
      <w:marTop w:val="0"/>
      <w:marBottom w:val="0"/>
      <w:divBdr>
        <w:top w:val="none" w:sz="0" w:space="0" w:color="auto"/>
        <w:left w:val="none" w:sz="0" w:space="0" w:color="auto"/>
        <w:bottom w:val="none" w:sz="0" w:space="0" w:color="auto"/>
        <w:right w:val="none" w:sz="0" w:space="0" w:color="auto"/>
      </w:divBdr>
      <w:divsChild>
        <w:div w:id="1728145001">
          <w:marLeft w:val="0"/>
          <w:marRight w:val="0"/>
          <w:marTop w:val="0"/>
          <w:marBottom w:val="0"/>
          <w:divBdr>
            <w:top w:val="none" w:sz="0" w:space="0" w:color="auto"/>
            <w:left w:val="none" w:sz="0" w:space="0" w:color="auto"/>
            <w:bottom w:val="none" w:sz="0" w:space="0" w:color="auto"/>
            <w:right w:val="none" w:sz="0" w:space="0" w:color="auto"/>
          </w:divBdr>
          <w:divsChild>
            <w:div w:id="12869313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83942680">
      <w:bodyDiv w:val="1"/>
      <w:marLeft w:val="0"/>
      <w:marRight w:val="0"/>
      <w:marTop w:val="0"/>
      <w:marBottom w:val="0"/>
      <w:divBdr>
        <w:top w:val="none" w:sz="0" w:space="0" w:color="auto"/>
        <w:left w:val="none" w:sz="0" w:space="0" w:color="auto"/>
        <w:bottom w:val="none" w:sz="0" w:space="0" w:color="auto"/>
        <w:right w:val="none" w:sz="0" w:space="0" w:color="auto"/>
      </w:divBdr>
      <w:divsChild>
        <w:div w:id="137504347">
          <w:marLeft w:val="0"/>
          <w:marRight w:val="0"/>
          <w:marTop w:val="0"/>
          <w:marBottom w:val="0"/>
          <w:divBdr>
            <w:top w:val="none" w:sz="0" w:space="0" w:color="auto"/>
            <w:left w:val="none" w:sz="0" w:space="0" w:color="auto"/>
            <w:bottom w:val="none" w:sz="0" w:space="0" w:color="auto"/>
            <w:right w:val="none" w:sz="0" w:space="0" w:color="auto"/>
          </w:divBdr>
          <w:divsChild>
            <w:div w:id="237593083">
              <w:marLeft w:val="0"/>
              <w:marRight w:val="0"/>
              <w:marTop w:val="0"/>
              <w:marBottom w:val="0"/>
              <w:divBdr>
                <w:top w:val="none" w:sz="0" w:space="0" w:color="auto"/>
                <w:left w:val="none" w:sz="0" w:space="0" w:color="auto"/>
                <w:bottom w:val="none" w:sz="0" w:space="0" w:color="auto"/>
                <w:right w:val="none" w:sz="0" w:space="0" w:color="auto"/>
              </w:divBdr>
              <w:divsChild>
                <w:div w:id="1157108818">
                  <w:marLeft w:val="0"/>
                  <w:marRight w:val="0"/>
                  <w:marTop w:val="100"/>
                  <w:marBottom w:val="100"/>
                  <w:divBdr>
                    <w:top w:val="none" w:sz="0" w:space="0" w:color="auto"/>
                    <w:left w:val="none" w:sz="0" w:space="0" w:color="auto"/>
                    <w:bottom w:val="none" w:sz="0" w:space="0" w:color="auto"/>
                    <w:right w:val="none" w:sz="0" w:space="0" w:color="auto"/>
                  </w:divBdr>
                  <w:divsChild>
                    <w:div w:id="899250520">
                      <w:marLeft w:val="0"/>
                      <w:marRight w:val="0"/>
                      <w:marTop w:val="0"/>
                      <w:marBottom w:val="0"/>
                      <w:divBdr>
                        <w:top w:val="none" w:sz="0" w:space="0" w:color="auto"/>
                        <w:left w:val="none" w:sz="0" w:space="0" w:color="auto"/>
                        <w:bottom w:val="none" w:sz="0" w:space="0" w:color="auto"/>
                        <w:right w:val="none" w:sz="0" w:space="0" w:color="auto"/>
                      </w:divBdr>
                      <w:divsChild>
                        <w:div w:id="1089546404">
                          <w:marLeft w:val="0"/>
                          <w:marRight w:val="0"/>
                          <w:marTop w:val="0"/>
                          <w:marBottom w:val="0"/>
                          <w:divBdr>
                            <w:top w:val="none" w:sz="0" w:space="0" w:color="auto"/>
                            <w:left w:val="none" w:sz="0" w:space="0" w:color="auto"/>
                            <w:bottom w:val="none" w:sz="0" w:space="0" w:color="auto"/>
                            <w:right w:val="none" w:sz="0" w:space="0" w:color="auto"/>
                          </w:divBdr>
                          <w:divsChild>
                            <w:div w:id="874121645">
                              <w:marLeft w:val="0"/>
                              <w:marRight w:val="0"/>
                              <w:marTop w:val="0"/>
                              <w:marBottom w:val="0"/>
                              <w:divBdr>
                                <w:top w:val="none" w:sz="0" w:space="0" w:color="auto"/>
                                <w:left w:val="none" w:sz="0" w:space="0" w:color="auto"/>
                                <w:bottom w:val="none" w:sz="0" w:space="0" w:color="auto"/>
                                <w:right w:val="none" w:sz="0" w:space="0" w:color="auto"/>
                              </w:divBdr>
                              <w:divsChild>
                                <w:div w:id="363947270">
                                  <w:marLeft w:val="0"/>
                                  <w:marRight w:val="0"/>
                                  <w:marTop w:val="0"/>
                                  <w:marBottom w:val="0"/>
                                  <w:divBdr>
                                    <w:top w:val="none" w:sz="0" w:space="0" w:color="auto"/>
                                    <w:left w:val="none" w:sz="0" w:space="0" w:color="auto"/>
                                    <w:bottom w:val="none" w:sz="0" w:space="0" w:color="auto"/>
                                    <w:right w:val="none" w:sz="0" w:space="0" w:color="auto"/>
                                  </w:divBdr>
                                  <w:divsChild>
                                    <w:div w:id="522865009">
                                      <w:marLeft w:val="0"/>
                                      <w:marRight w:val="0"/>
                                      <w:marTop w:val="0"/>
                                      <w:marBottom w:val="0"/>
                                      <w:divBdr>
                                        <w:top w:val="none" w:sz="0" w:space="0" w:color="auto"/>
                                        <w:left w:val="none" w:sz="0" w:space="0" w:color="auto"/>
                                        <w:bottom w:val="none" w:sz="0" w:space="0" w:color="auto"/>
                                        <w:right w:val="none" w:sz="0" w:space="0" w:color="auto"/>
                                      </w:divBdr>
                                      <w:divsChild>
                                        <w:div w:id="1991909439">
                                          <w:marLeft w:val="0"/>
                                          <w:marRight w:val="0"/>
                                          <w:marTop w:val="0"/>
                                          <w:marBottom w:val="0"/>
                                          <w:divBdr>
                                            <w:top w:val="none" w:sz="0" w:space="0" w:color="auto"/>
                                            <w:left w:val="none" w:sz="0" w:space="0" w:color="auto"/>
                                            <w:bottom w:val="none" w:sz="0" w:space="0" w:color="auto"/>
                                            <w:right w:val="none" w:sz="0" w:space="0" w:color="auto"/>
                                          </w:divBdr>
                                          <w:divsChild>
                                            <w:div w:id="536503139">
                                              <w:marLeft w:val="0"/>
                                              <w:marRight w:val="0"/>
                                              <w:marTop w:val="0"/>
                                              <w:marBottom w:val="0"/>
                                              <w:divBdr>
                                                <w:top w:val="single" w:sz="6" w:space="0" w:color="B6D444"/>
                                                <w:left w:val="none" w:sz="0" w:space="0" w:color="auto"/>
                                                <w:bottom w:val="none" w:sz="0" w:space="0" w:color="auto"/>
                                                <w:right w:val="none" w:sz="0" w:space="0" w:color="auto"/>
                                              </w:divBdr>
                                              <w:divsChild>
                                                <w:div w:id="19960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329950">
      <w:bodyDiv w:val="1"/>
      <w:marLeft w:val="0"/>
      <w:marRight w:val="0"/>
      <w:marTop w:val="0"/>
      <w:marBottom w:val="0"/>
      <w:divBdr>
        <w:top w:val="none" w:sz="0" w:space="0" w:color="auto"/>
        <w:left w:val="none" w:sz="0" w:space="0" w:color="auto"/>
        <w:bottom w:val="none" w:sz="0" w:space="0" w:color="auto"/>
        <w:right w:val="none" w:sz="0" w:space="0" w:color="auto"/>
      </w:divBdr>
      <w:divsChild>
        <w:div w:id="1386224969">
          <w:marLeft w:val="0"/>
          <w:marRight w:val="0"/>
          <w:marTop w:val="0"/>
          <w:marBottom w:val="0"/>
          <w:divBdr>
            <w:top w:val="none" w:sz="0" w:space="0" w:color="auto"/>
            <w:left w:val="none" w:sz="0" w:space="0" w:color="auto"/>
            <w:bottom w:val="none" w:sz="0" w:space="0" w:color="auto"/>
            <w:right w:val="none" w:sz="0" w:space="0" w:color="auto"/>
          </w:divBdr>
          <w:divsChild>
            <w:div w:id="1070008202">
              <w:marLeft w:val="0"/>
              <w:marRight w:val="0"/>
              <w:marTop w:val="0"/>
              <w:marBottom w:val="0"/>
              <w:divBdr>
                <w:top w:val="none" w:sz="0" w:space="0" w:color="auto"/>
                <w:left w:val="none" w:sz="0" w:space="0" w:color="auto"/>
                <w:bottom w:val="none" w:sz="0" w:space="0" w:color="auto"/>
                <w:right w:val="none" w:sz="0" w:space="0" w:color="auto"/>
              </w:divBdr>
              <w:divsChild>
                <w:div w:id="643436743">
                  <w:marLeft w:val="0"/>
                  <w:marRight w:val="0"/>
                  <w:marTop w:val="0"/>
                  <w:marBottom w:val="0"/>
                  <w:divBdr>
                    <w:top w:val="none" w:sz="0" w:space="0" w:color="auto"/>
                    <w:left w:val="none" w:sz="0" w:space="0" w:color="auto"/>
                    <w:bottom w:val="none" w:sz="0" w:space="0" w:color="auto"/>
                    <w:right w:val="none" w:sz="0" w:space="0" w:color="auto"/>
                  </w:divBdr>
                  <w:divsChild>
                    <w:div w:id="478033805">
                      <w:marLeft w:val="0"/>
                      <w:marRight w:val="0"/>
                      <w:marTop w:val="0"/>
                      <w:marBottom w:val="0"/>
                      <w:divBdr>
                        <w:top w:val="none" w:sz="0" w:space="0" w:color="auto"/>
                        <w:left w:val="none" w:sz="0" w:space="0" w:color="auto"/>
                        <w:bottom w:val="none" w:sz="0" w:space="0" w:color="auto"/>
                        <w:right w:val="none" w:sz="0" w:space="0" w:color="auto"/>
                      </w:divBdr>
                      <w:divsChild>
                        <w:div w:id="1681085243">
                          <w:marLeft w:val="0"/>
                          <w:marRight w:val="0"/>
                          <w:marTop w:val="0"/>
                          <w:marBottom w:val="0"/>
                          <w:divBdr>
                            <w:top w:val="none" w:sz="0" w:space="0" w:color="auto"/>
                            <w:left w:val="none" w:sz="0" w:space="0" w:color="auto"/>
                            <w:bottom w:val="single" w:sz="6" w:space="0" w:color="CCCCCC"/>
                            <w:right w:val="none" w:sz="0" w:space="0" w:color="auto"/>
                          </w:divBdr>
                          <w:divsChild>
                            <w:div w:id="289285272">
                              <w:marLeft w:val="0"/>
                              <w:marRight w:val="0"/>
                              <w:marTop w:val="0"/>
                              <w:marBottom w:val="0"/>
                              <w:divBdr>
                                <w:top w:val="single" w:sz="2" w:space="8" w:color="CCCCCC"/>
                                <w:left w:val="single" w:sz="6" w:space="0" w:color="CCCCCC"/>
                                <w:bottom w:val="single" w:sz="6" w:space="8" w:color="CCCCCC"/>
                                <w:right w:val="single" w:sz="6" w:space="8" w:color="CCCCCC"/>
                              </w:divBdr>
                              <w:divsChild>
                                <w:div w:id="8945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334697">
      <w:bodyDiv w:val="1"/>
      <w:marLeft w:val="0"/>
      <w:marRight w:val="0"/>
      <w:marTop w:val="0"/>
      <w:marBottom w:val="0"/>
      <w:divBdr>
        <w:top w:val="none" w:sz="0" w:space="0" w:color="auto"/>
        <w:left w:val="none" w:sz="0" w:space="0" w:color="auto"/>
        <w:bottom w:val="none" w:sz="0" w:space="0" w:color="auto"/>
        <w:right w:val="none" w:sz="0" w:space="0" w:color="auto"/>
      </w:divBdr>
      <w:divsChild>
        <w:div w:id="747652518">
          <w:marLeft w:val="0"/>
          <w:marRight w:val="0"/>
          <w:marTop w:val="0"/>
          <w:marBottom w:val="0"/>
          <w:divBdr>
            <w:top w:val="none" w:sz="0" w:space="0" w:color="auto"/>
            <w:left w:val="none" w:sz="0" w:space="0" w:color="auto"/>
            <w:bottom w:val="none" w:sz="0" w:space="0" w:color="auto"/>
            <w:right w:val="none" w:sz="0" w:space="0" w:color="auto"/>
          </w:divBdr>
          <w:divsChild>
            <w:div w:id="1630623744">
              <w:marLeft w:val="0"/>
              <w:marRight w:val="0"/>
              <w:marTop w:val="0"/>
              <w:marBottom w:val="0"/>
              <w:divBdr>
                <w:top w:val="none" w:sz="0" w:space="0" w:color="auto"/>
                <w:left w:val="none" w:sz="0" w:space="0" w:color="auto"/>
                <w:bottom w:val="none" w:sz="0" w:space="0" w:color="auto"/>
                <w:right w:val="none" w:sz="0" w:space="0" w:color="auto"/>
              </w:divBdr>
              <w:divsChild>
                <w:div w:id="265845744">
                  <w:marLeft w:val="0"/>
                  <w:marRight w:val="0"/>
                  <w:marTop w:val="0"/>
                  <w:marBottom w:val="0"/>
                  <w:divBdr>
                    <w:top w:val="none" w:sz="0" w:space="0" w:color="auto"/>
                    <w:left w:val="none" w:sz="0" w:space="0" w:color="auto"/>
                    <w:bottom w:val="none" w:sz="0" w:space="0" w:color="auto"/>
                    <w:right w:val="none" w:sz="0" w:space="0" w:color="auto"/>
                  </w:divBdr>
                  <w:divsChild>
                    <w:div w:id="1734697044">
                      <w:marLeft w:val="0"/>
                      <w:marRight w:val="0"/>
                      <w:marTop w:val="0"/>
                      <w:marBottom w:val="0"/>
                      <w:divBdr>
                        <w:top w:val="none" w:sz="0" w:space="0" w:color="auto"/>
                        <w:left w:val="none" w:sz="0" w:space="0" w:color="auto"/>
                        <w:bottom w:val="none" w:sz="0" w:space="0" w:color="auto"/>
                        <w:right w:val="none" w:sz="0" w:space="0" w:color="auto"/>
                      </w:divBdr>
                      <w:divsChild>
                        <w:div w:id="973294740">
                          <w:marLeft w:val="0"/>
                          <w:marRight w:val="0"/>
                          <w:marTop w:val="0"/>
                          <w:marBottom w:val="0"/>
                          <w:divBdr>
                            <w:top w:val="none" w:sz="0" w:space="0" w:color="auto"/>
                            <w:left w:val="none" w:sz="0" w:space="0" w:color="auto"/>
                            <w:bottom w:val="none" w:sz="0" w:space="0" w:color="auto"/>
                            <w:right w:val="none" w:sz="0" w:space="0" w:color="auto"/>
                          </w:divBdr>
                          <w:divsChild>
                            <w:div w:id="371729559">
                              <w:marLeft w:val="0"/>
                              <w:marRight w:val="0"/>
                              <w:marTop w:val="0"/>
                              <w:marBottom w:val="0"/>
                              <w:divBdr>
                                <w:top w:val="none" w:sz="0" w:space="0" w:color="auto"/>
                                <w:left w:val="none" w:sz="0" w:space="0" w:color="auto"/>
                                <w:bottom w:val="none" w:sz="0" w:space="0" w:color="auto"/>
                                <w:right w:val="none" w:sz="0" w:space="0" w:color="auto"/>
                              </w:divBdr>
                              <w:divsChild>
                                <w:div w:id="276840740">
                                  <w:marLeft w:val="0"/>
                                  <w:marRight w:val="0"/>
                                  <w:marTop w:val="0"/>
                                  <w:marBottom w:val="0"/>
                                  <w:divBdr>
                                    <w:top w:val="none" w:sz="0" w:space="0" w:color="auto"/>
                                    <w:left w:val="none" w:sz="0" w:space="0" w:color="auto"/>
                                    <w:bottom w:val="none" w:sz="0" w:space="0" w:color="auto"/>
                                    <w:right w:val="none" w:sz="0" w:space="0" w:color="auto"/>
                                  </w:divBdr>
                                  <w:divsChild>
                                    <w:div w:id="1077367140">
                                      <w:marLeft w:val="0"/>
                                      <w:marRight w:val="0"/>
                                      <w:marTop w:val="0"/>
                                      <w:marBottom w:val="0"/>
                                      <w:divBdr>
                                        <w:top w:val="none" w:sz="0" w:space="0" w:color="auto"/>
                                        <w:left w:val="none" w:sz="0" w:space="0" w:color="auto"/>
                                        <w:bottom w:val="none" w:sz="0" w:space="0" w:color="auto"/>
                                        <w:right w:val="none" w:sz="0" w:space="0" w:color="auto"/>
                                      </w:divBdr>
                                      <w:divsChild>
                                        <w:div w:id="187717680">
                                          <w:marLeft w:val="0"/>
                                          <w:marRight w:val="0"/>
                                          <w:marTop w:val="0"/>
                                          <w:marBottom w:val="0"/>
                                          <w:divBdr>
                                            <w:top w:val="none" w:sz="0" w:space="0" w:color="auto"/>
                                            <w:left w:val="none" w:sz="0" w:space="0" w:color="auto"/>
                                            <w:bottom w:val="none" w:sz="0" w:space="0" w:color="auto"/>
                                            <w:right w:val="none" w:sz="0" w:space="0" w:color="auto"/>
                                          </w:divBdr>
                                          <w:divsChild>
                                            <w:div w:id="1709182113">
                                              <w:marLeft w:val="0"/>
                                              <w:marRight w:val="0"/>
                                              <w:marTop w:val="0"/>
                                              <w:marBottom w:val="0"/>
                                              <w:divBdr>
                                                <w:top w:val="none" w:sz="0" w:space="0" w:color="auto"/>
                                                <w:left w:val="none" w:sz="0" w:space="0" w:color="auto"/>
                                                <w:bottom w:val="none" w:sz="0" w:space="0" w:color="auto"/>
                                                <w:right w:val="none" w:sz="0" w:space="0" w:color="auto"/>
                                              </w:divBdr>
                                              <w:divsChild>
                                                <w:div w:id="877200016">
                                                  <w:marLeft w:val="0"/>
                                                  <w:marRight w:val="0"/>
                                                  <w:marTop w:val="0"/>
                                                  <w:marBottom w:val="0"/>
                                                  <w:divBdr>
                                                    <w:top w:val="none" w:sz="0" w:space="0" w:color="auto"/>
                                                    <w:left w:val="none" w:sz="0" w:space="0" w:color="auto"/>
                                                    <w:bottom w:val="none" w:sz="0" w:space="0" w:color="auto"/>
                                                    <w:right w:val="none" w:sz="0" w:space="0" w:color="auto"/>
                                                  </w:divBdr>
                                                  <w:divsChild>
                                                    <w:div w:id="1977252847">
                                                      <w:marLeft w:val="0"/>
                                                      <w:marRight w:val="0"/>
                                                      <w:marTop w:val="0"/>
                                                      <w:marBottom w:val="0"/>
                                                      <w:divBdr>
                                                        <w:top w:val="none" w:sz="0" w:space="0" w:color="auto"/>
                                                        <w:left w:val="none" w:sz="0" w:space="0" w:color="auto"/>
                                                        <w:bottom w:val="none" w:sz="0" w:space="0" w:color="auto"/>
                                                        <w:right w:val="none" w:sz="0" w:space="0" w:color="auto"/>
                                                      </w:divBdr>
                                                      <w:divsChild>
                                                        <w:div w:id="17015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452685">
      <w:bodyDiv w:val="1"/>
      <w:marLeft w:val="0"/>
      <w:marRight w:val="0"/>
      <w:marTop w:val="0"/>
      <w:marBottom w:val="0"/>
      <w:divBdr>
        <w:top w:val="none" w:sz="0" w:space="0" w:color="auto"/>
        <w:left w:val="none" w:sz="0" w:space="0" w:color="auto"/>
        <w:bottom w:val="none" w:sz="0" w:space="0" w:color="auto"/>
        <w:right w:val="none" w:sz="0" w:space="0" w:color="auto"/>
      </w:divBdr>
      <w:divsChild>
        <w:div w:id="1399286598">
          <w:marLeft w:val="0"/>
          <w:marRight w:val="0"/>
          <w:marTop w:val="0"/>
          <w:marBottom w:val="0"/>
          <w:divBdr>
            <w:top w:val="none" w:sz="0" w:space="0" w:color="auto"/>
            <w:left w:val="none" w:sz="0" w:space="0" w:color="auto"/>
            <w:bottom w:val="none" w:sz="0" w:space="0" w:color="auto"/>
            <w:right w:val="none" w:sz="0" w:space="0" w:color="auto"/>
          </w:divBdr>
        </w:div>
      </w:divsChild>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sChild>
        <w:div w:id="342319594">
          <w:marLeft w:val="0"/>
          <w:marRight w:val="0"/>
          <w:marTop w:val="150"/>
          <w:marBottom w:val="150"/>
          <w:divBdr>
            <w:top w:val="none" w:sz="0" w:space="0" w:color="auto"/>
            <w:left w:val="none" w:sz="0" w:space="0" w:color="auto"/>
            <w:bottom w:val="none" w:sz="0" w:space="0" w:color="auto"/>
            <w:right w:val="none" w:sz="0" w:space="0" w:color="auto"/>
          </w:divBdr>
        </w:div>
      </w:divsChild>
    </w:div>
    <w:div w:id="2091153653">
      <w:bodyDiv w:val="1"/>
      <w:marLeft w:val="0"/>
      <w:marRight w:val="0"/>
      <w:marTop w:val="0"/>
      <w:marBottom w:val="0"/>
      <w:divBdr>
        <w:top w:val="none" w:sz="0" w:space="0" w:color="auto"/>
        <w:left w:val="none" w:sz="0" w:space="0" w:color="auto"/>
        <w:bottom w:val="none" w:sz="0" w:space="0" w:color="auto"/>
        <w:right w:val="none" w:sz="0" w:space="0" w:color="auto"/>
      </w:divBdr>
    </w:div>
    <w:div w:id="2091265308">
      <w:bodyDiv w:val="1"/>
      <w:marLeft w:val="0"/>
      <w:marRight w:val="0"/>
      <w:marTop w:val="0"/>
      <w:marBottom w:val="0"/>
      <w:divBdr>
        <w:top w:val="none" w:sz="0" w:space="0" w:color="auto"/>
        <w:left w:val="none" w:sz="0" w:space="0" w:color="auto"/>
        <w:bottom w:val="none" w:sz="0" w:space="0" w:color="auto"/>
        <w:right w:val="none" w:sz="0" w:space="0" w:color="auto"/>
      </w:divBdr>
      <w:divsChild>
        <w:div w:id="1266039692">
          <w:marLeft w:val="0"/>
          <w:marRight w:val="0"/>
          <w:marTop w:val="0"/>
          <w:marBottom w:val="0"/>
          <w:divBdr>
            <w:top w:val="none" w:sz="0" w:space="0" w:color="auto"/>
            <w:left w:val="none" w:sz="0" w:space="0" w:color="auto"/>
            <w:bottom w:val="none" w:sz="0" w:space="0" w:color="auto"/>
            <w:right w:val="none" w:sz="0" w:space="0" w:color="auto"/>
          </w:divBdr>
          <w:divsChild>
            <w:div w:id="1974485772">
              <w:marLeft w:val="0"/>
              <w:marRight w:val="0"/>
              <w:marTop w:val="0"/>
              <w:marBottom w:val="0"/>
              <w:divBdr>
                <w:top w:val="none" w:sz="0" w:space="0" w:color="auto"/>
                <w:left w:val="none" w:sz="0" w:space="0" w:color="auto"/>
                <w:bottom w:val="none" w:sz="0" w:space="0" w:color="auto"/>
                <w:right w:val="none" w:sz="0" w:space="0" w:color="auto"/>
              </w:divBdr>
              <w:divsChild>
                <w:div w:id="1064253137">
                  <w:marLeft w:val="0"/>
                  <w:marRight w:val="0"/>
                  <w:marTop w:val="0"/>
                  <w:marBottom w:val="0"/>
                  <w:divBdr>
                    <w:top w:val="none" w:sz="0" w:space="0" w:color="auto"/>
                    <w:left w:val="none" w:sz="0" w:space="0" w:color="auto"/>
                    <w:bottom w:val="none" w:sz="0" w:space="0" w:color="auto"/>
                    <w:right w:val="none" w:sz="0" w:space="0" w:color="auto"/>
                  </w:divBdr>
                  <w:divsChild>
                    <w:div w:id="1798841215">
                      <w:marLeft w:val="0"/>
                      <w:marRight w:val="0"/>
                      <w:marTop w:val="0"/>
                      <w:marBottom w:val="0"/>
                      <w:divBdr>
                        <w:top w:val="none" w:sz="0" w:space="0" w:color="auto"/>
                        <w:left w:val="none" w:sz="0" w:space="0" w:color="auto"/>
                        <w:bottom w:val="none" w:sz="0" w:space="0" w:color="auto"/>
                        <w:right w:val="none" w:sz="0" w:space="0" w:color="auto"/>
                      </w:divBdr>
                      <w:divsChild>
                        <w:div w:id="1246259233">
                          <w:marLeft w:val="0"/>
                          <w:marRight w:val="0"/>
                          <w:marTop w:val="0"/>
                          <w:marBottom w:val="0"/>
                          <w:divBdr>
                            <w:top w:val="none" w:sz="0" w:space="0" w:color="auto"/>
                            <w:left w:val="none" w:sz="0" w:space="0" w:color="auto"/>
                            <w:bottom w:val="none" w:sz="0" w:space="0" w:color="auto"/>
                            <w:right w:val="none" w:sz="0" w:space="0" w:color="auto"/>
                          </w:divBdr>
                          <w:divsChild>
                            <w:div w:id="806165781">
                              <w:marLeft w:val="0"/>
                              <w:marRight w:val="0"/>
                              <w:marTop w:val="0"/>
                              <w:marBottom w:val="0"/>
                              <w:divBdr>
                                <w:top w:val="none" w:sz="0" w:space="0" w:color="auto"/>
                                <w:left w:val="none" w:sz="0" w:space="0" w:color="auto"/>
                                <w:bottom w:val="none" w:sz="0" w:space="0" w:color="auto"/>
                                <w:right w:val="none" w:sz="0" w:space="0" w:color="auto"/>
                              </w:divBdr>
                              <w:divsChild>
                                <w:div w:id="668023233">
                                  <w:marLeft w:val="0"/>
                                  <w:marRight w:val="0"/>
                                  <w:marTop w:val="0"/>
                                  <w:marBottom w:val="0"/>
                                  <w:divBdr>
                                    <w:top w:val="none" w:sz="0" w:space="0" w:color="auto"/>
                                    <w:left w:val="none" w:sz="0" w:space="0" w:color="auto"/>
                                    <w:bottom w:val="none" w:sz="0" w:space="0" w:color="auto"/>
                                    <w:right w:val="none" w:sz="0" w:space="0" w:color="auto"/>
                                  </w:divBdr>
                                  <w:divsChild>
                                    <w:div w:id="1640301092">
                                      <w:marLeft w:val="0"/>
                                      <w:marRight w:val="0"/>
                                      <w:marTop w:val="0"/>
                                      <w:marBottom w:val="0"/>
                                      <w:divBdr>
                                        <w:top w:val="none" w:sz="0" w:space="0" w:color="auto"/>
                                        <w:left w:val="none" w:sz="0" w:space="0" w:color="auto"/>
                                        <w:bottom w:val="none" w:sz="0" w:space="0" w:color="auto"/>
                                        <w:right w:val="none" w:sz="0" w:space="0" w:color="auto"/>
                                      </w:divBdr>
                                      <w:divsChild>
                                        <w:div w:id="984507506">
                                          <w:marLeft w:val="0"/>
                                          <w:marRight w:val="0"/>
                                          <w:marTop w:val="0"/>
                                          <w:marBottom w:val="0"/>
                                          <w:divBdr>
                                            <w:top w:val="none" w:sz="0" w:space="0" w:color="auto"/>
                                            <w:left w:val="none" w:sz="0" w:space="0" w:color="auto"/>
                                            <w:bottom w:val="none" w:sz="0" w:space="0" w:color="auto"/>
                                            <w:right w:val="none" w:sz="0" w:space="0" w:color="auto"/>
                                          </w:divBdr>
                                        </w:div>
                                        <w:div w:id="1740403115">
                                          <w:marLeft w:val="0"/>
                                          <w:marRight w:val="0"/>
                                          <w:marTop w:val="0"/>
                                          <w:marBottom w:val="0"/>
                                          <w:divBdr>
                                            <w:top w:val="none" w:sz="0" w:space="0" w:color="auto"/>
                                            <w:left w:val="none" w:sz="0" w:space="0" w:color="auto"/>
                                            <w:bottom w:val="none" w:sz="0" w:space="0" w:color="auto"/>
                                            <w:right w:val="none" w:sz="0" w:space="0" w:color="auto"/>
                                          </w:divBdr>
                                          <w:divsChild>
                                            <w:div w:id="1539557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657137">
      <w:bodyDiv w:val="1"/>
      <w:marLeft w:val="0"/>
      <w:marRight w:val="0"/>
      <w:marTop w:val="0"/>
      <w:marBottom w:val="0"/>
      <w:divBdr>
        <w:top w:val="none" w:sz="0" w:space="0" w:color="auto"/>
        <w:left w:val="none" w:sz="0" w:space="0" w:color="auto"/>
        <w:bottom w:val="none" w:sz="0" w:space="0" w:color="auto"/>
        <w:right w:val="none" w:sz="0" w:space="0" w:color="auto"/>
      </w:divBdr>
    </w:div>
    <w:div w:id="2092703175">
      <w:bodyDiv w:val="1"/>
      <w:marLeft w:val="0"/>
      <w:marRight w:val="0"/>
      <w:marTop w:val="0"/>
      <w:marBottom w:val="0"/>
      <w:divBdr>
        <w:top w:val="none" w:sz="0" w:space="0" w:color="auto"/>
        <w:left w:val="none" w:sz="0" w:space="0" w:color="auto"/>
        <w:bottom w:val="none" w:sz="0" w:space="0" w:color="auto"/>
        <w:right w:val="none" w:sz="0" w:space="0" w:color="auto"/>
      </w:divBdr>
      <w:divsChild>
        <w:div w:id="1858737800">
          <w:marLeft w:val="0"/>
          <w:marRight w:val="0"/>
          <w:marTop w:val="240"/>
          <w:marBottom w:val="240"/>
          <w:divBdr>
            <w:top w:val="single" w:sz="6" w:space="6" w:color="F2F2F2"/>
            <w:left w:val="none" w:sz="0" w:space="0" w:color="auto"/>
            <w:bottom w:val="single" w:sz="6" w:space="6" w:color="F2F2F2"/>
            <w:right w:val="none" w:sz="0" w:space="0" w:color="auto"/>
          </w:divBdr>
        </w:div>
        <w:div w:id="1806700134">
          <w:marLeft w:val="0"/>
          <w:marRight w:val="0"/>
          <w:marTop w:val="0"/>
          <w:marBottom w:val="0"/>
          <w:divBdr>
            <w:top w:val="none" w:sz="0" w:space="0" w:color="auto"/>
            <w:left w:val="none" w:sz="0" w:space="0" w:color="auto"/>
            <w:bottom w:val="none" w:sz="0" w:space="0" w:color="auto"/>
            <w:right w:val="none" w:sz="0" w:space="0" w:color="auto"/>
          </w:divBdr>
          <w:divsChild>
            <w:div w:id="17022437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039013">
      <w:bodyDiv w:val="1"/>
      <w:marLeft w:val="0"/>
      <w:marRight w:val="0"/>
      <w:marTop w:val="0"/>
      <w:marBottom w:val="0"/>
      <w:divBdr>
        <w:top w:val="none" w:sz="0" w:space="0" w:color="auto"/>
        <w:left w:val="none" w:sz="0" w:space="0" w:color="auto"/>
        <w:bottom w:val="none" w:sz="0" w:space="0" w:color="auto"/>
        <w:right w:val="none" w:sz="0" w:space="0" w:color="auto"/>
      </w:divBdr>
      <w:divsChild>
        <w:div w:id="360263">
          <w:marLeft w:val="0"/>
          <w:marRight w:val="0"/>
          <w:marTop w:val="0"/>
          <w:marBottom w:val="0"/>
          <w:divBdr>
            <w:top w:val="none" w:sz="0" w:space="0" w:color="auto"/>
            <w:left w:val="none" w:sz="0" w:space="0" w:color="auto"/>
            <w:bottom w:val="none" w:sz="0" w:space="0" w:color="auto"/>
            <w:right w:val="none" w:sz="0" w:space="0" w:color="auto"/>
          </w:divBdr>
        </w:div>
        <w:div w:id="1587879614">
          <w:marLeft w:val="0"/>
          <w:marRight w:val="0"/>
          <w:marTop w:val="360"/>
          <w:marBottom w:val="360"/>
          <w:divBdr>
            <w:top w:val="none" w:sz="0" w:space="0" w:color="auto"/>
            <w:left w:val="none" w:sz="0" w:space="0" w:color="auto"/>
            <w:bottom w:val="none" w:sz="0" w:space="0" w:color="auto"/>
            <w:right w:val="none" w:sz="0" w:space="0" w:color="auto"/>
          </w:divBdr>
          <w:divsChild>
            <w:div w:id="121349647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95084725">
      <w:bodyDiv w:val="1"/>
      <w:marLeft w:val="0"/>
      <w:marRight w:val="0"/>
      <w:marTop w:val="0"/>
      <w:marBottom w:val="0"/>
      <w:divBdr>
        <w:top w:val="none" w:sz="0" w:space="0" w:color="auto"/>
        <w:left w:val="none" w:sz="0" w:space="0" w:color="auto"/>
        <w:bottom w:val="none" w:sz="0" w:space="0" w:color="auto"/>
        <w:right w:val="none" w:sz="0" w:space="0" w:color="auto"/>
      </w:divBdr>
      <w:divsChild>
        <w:div w:id="689339918">
          <w:marLeft w:val="0"/>
          <w:marRight w:val="0"/>
          <w:marTop w:val="0"/>
          <w:marBottom w:val="0"/>
          <w:divBdr>
            <w:top w:val="none" w:sz="0" w:space="0" w:color="auto"/>
            <w:left w:val="none" w:sz="0" w:space="0" w:color="auto"/>
            <w:bottom w:val="none" w:sz="0" w:space="0" w:color="auto"/>
            <w:right w:val="none" w:sz="0" w:space="0" w:color="auto"/>
          </w:divBdr>
          <w:divsChild>
            <w:div w:id="646132767">
              <w:marLeft w:val="0"/>
              <w:marRight w:val="0"/>
              <w:marTop w:val="0"/>
              <w:marBottom w:val="0"/>
              <w:divBdr>
                <w:top w:val="none" w:sz="0" w:space="0" w:color="auto"/>
                <w:left w:val="none" w:sz="0" w:space="0" w:color="auto"/>
                <w:bottom w:val="none" w:sz="0" w:space="0" w:color="auto"/>
                <w:right w:val="none" w:sz="0" w:space="0" w:color="auto"/>
              </w:divBdr>
              <w:divsChild>
                <w:div w:id="1333679861">
                  <w:marLeft w:val="0"/>
                  <w:marRight w:val="0"/>
                  <w:marTop w:val="0"/>
                  <w:marBottom w:val="0"/>
                  <w:divBdr>
                    <w:top w:val="none" w:sz="0" w:space="0" w:color="auto"/>
                    <w:left w:val="none" w:sz="0" w:space="0" w:color="auto"/>
                    <w:bottom w:val="none" w:sz="0" w:space="0" w:color="auto"/>
                    <w:right w:val="none" w:sz="0" w:space="0" w:color="auto"/>
                  </w:divBdr>
                  <w:divsChild>
                    <w:div w:id="1458526236">
                      <w:marLeft w:val="0"/>
                      <w:marRight w:val="0"/>
                      <w:marTop w:val="0"/>
                      <w:marBottom w:val="0"/>
                      <w:divBdr>
                        <w:top w:val="none" w:sz="0" w:space="0" w:color="auto"/>
                        <w:left w:val="none" w:sz="0" w:space="0" w:color="auto"/>
                        <w:bottom w:val="none" w:sz="0" w:space="0" w:color="auto"/>
                        <w:right w:val="none" w:sz="0" w:space="0" w:color="auto"/>
                      </w:divBdr>
                      <w:divsChild>
                        <w:div w:id="1094478778">
                          <w:marLeft w:val="0"/>
                          <w:marRight w:val="0"/>
                          <w:marTop w:val="0"/>
                          <w:marBottom w:val="0"/>
                          <w:divBdr>
                            <w:top w:val="none" w:sz="0" w:space="0" w:color="auto"/>
                            <w:left w:val="none" w:sz="0" w:space="0" w:color="auto"/>
                            <w:bottom w:val="none" w:sz="0" w:space="0" w:color="auto"/>
                            <w:right w:val="none" w:sz="0" w:space="0" w:color="auto"/>
                          </w:divBdr>
                          <w:divsChild>
                            <w:div w:id="1550259540">
                              <w:marLeft w:val="0"/>
                              <w:marRight w:val="0"/>
                              <w:marTop w:val="0"/>
                              <w:marBottom w:val="0"/>
                              <w:divBdr>
                                <w:top w:val="none" w:sz="0" w:space="0" w:color="auto"/>
                                <w:left w:val="none" w:sz="0" w:space="0" w:color="auto"/>
                                <w:bottom w:val="none" w:sz="0" w:space="0" w:color="auto"/>
                                <w:right w:val="none" w:sz="0" w:space="0" w:color="auto"/>
                              </w:divBdr>
                              <w:divsChild>
                                <w:div w:id="188417777">
                                  <w:marLeft w:val="0"/>
                                  <w:marRight w:val="0"/>
                                  <w:marTop w:val="0"/>
                                  <w:marBottom w:val="0"/>
                                  <w:divBdr>
                                    <w:top w:val="none" w:sz="0" w:space="0" w:color="auto"/>
                                    <w:left w:val="none" w:sz="0" w:space="0" w:color="auto"/>
                                    <w:bottom w:val="none" w:sz="0" w:space="0" w:color="auto"/>
                                    <w:right w:val="none" w:sz="0" w:space="0" w:color="auto"/>
                                  </w:divBdr>
                                  <w:divsChild>
                                    <w:div w:id="336615000">
                                      <w:marLeft w:val="0"/>
                                      <w:marRight w:val="0"/>
                                      <w:marTop w:val="0"/>
                                      <w:marBottom w:val="0"/>
                                      <w:divBdr>
                                        <w:top w:val="none" w:sz="0" w:space="0" w:color="auto"/>
                                        <w:left w:val="none" w:sz="0" w:space="0" w:color="auto"/>
                                        <w:bottom w:val="none" w:sz="0" w:space="0" w:color="auto"/>
                                        <w:right w:val="none" w:sz="0" w:space="0" w:color="auto"/>
                                      </w:divBdr>
                                      <w:divsChild>
                                        <w:div w:id="817772598">
                                          <w:marLeft w:val="0"/>
                                          <w:marRight w:val="0"/>
                                          <w:marTop w:val="0"/>
                                          <w:marBottom w:val="0"/>
                                          <w:divBdr>
                                            <w:top w:val="none" w:sz="0" w:space="0" w:color="auto"/>
                                            <w:left w:val="none" w:sz="0" w:space="0" w:color="auto"/>
                                            <w:bottom w:val="none" w:sz="0" w:space="0" w:color="auto"/>
                                            <w:right w:val="none" w:sz="0" w:space="0" w:color="auto"/>
                                          </w:divBdr>
                                          <w:divsChild>
                                            <w:div w:id="1800998464">
                                              <w:marLeft w:val="0"/>
                                              <w:marRight w:val="0"/>
                                              <w:marTop w:val="0"/>
                                              <w:marBottom w:val="0"/>
                                              <w:divBdr>
                                                <w:top w:val="none" w:sz="0" w:space="0" w:color="auto"/>
                                                <w:left w:val="none" w:sz="0" w:space="0" w:color="auto"/>
                                                <w:bottom w:val="none" w:sz="0" w:space="0" w:color="auto"/>
                                                <w:right w:val="none" w:sz="0" w:space="0" w:color="auto"/>
                                              </w:divBdr>
                                              <w:divsChild>
                                                <w:div w:id="1318146150">
                                                  <w:marLeft w:val="0"/>
                                                  <w:marRight w:val="0"/>
                                                  <w:marTop w:val="0"/>
                                                  <w:marBottom w:val="0"/>
                                                  <w:divBdr>
                                                    <w:top w:val="none" w:sz="0" w:space="0" w:color="auto"/>
                                                    <w:left w:val="none" w:sz="0" w:space="0" w:color="auto"/>
                                                    <w:bottom w:val="none" w:sz="0" w:space="0" w:color="auto"/>
                                                    <w:right w:val="none" w:sz="0" w:space="0" w:color="auto"/>
                                                  </w:divBdr>
                                                  <w:divsChild>
                                                    <w:div w:id="1466662112">
                                                      <w:marLeft w:val="0"/>
                                                      <w:marRight w:val="0"/>
                                                      <w:marTop w:val="0"/>
                                                      <w:marBottom w:val="0"/>
                                                      <w:divBdr>
                                                        <w:top w:val="none" w:sz="0" w:space="0" w:color="auto"/>
                                                        <w:left w:val="none" w:sz="0" w:space="0" w:color="auto"/>
                                                        <w:bottom w:val="none" w:sz="0" w:space="0" w:color="auto"/>
                                                        <w:right w:val="none" w:sz="0" w:space="0" w:color="auto"/>
                                                      </w:divBdr>
                                                      <w:divsChild>
                                                        <w:div w:id="2090493414">
                                                          <w:marLeft w:val="0"/>
                                                          <w:marRight w:val="0"/>
                                                          <w:marTop w:val="0"/>
                                                          <w:marBottom w:val="0"/>
                                                          <w:divBdr>
                                                            <w:top w:val="none" w:sz="0" w:space="0" w:color="auto"/>
                                                            <w:left w:val="none" w:sz="0" w:space="0" w:color="auto"/>
                                                            <w:bottom w:val="none" w:sz="0" w:space="0" w:color="auto"/>
                                                            <w:right w:val="none" w:sz="0" w:space="0" w:color="auto"/>
                                                          </w:divBdr>
                                                          <w:divsChild>
                                                            <w:div w:id="1154445897">
                                                              <w:marLeft w:val="0"/>
                                                              <w:marRight w:val="0"/>
                                                              <w:marTop w:val="0"/>
                                                              <w:marBottom w:val="0"/>
                                                              <w:divBdr>
                                                                <w:top w:val="none" w:sz="0" w:space="0" w:color="auto"/>
                                                                <w:left w:val="none" w:sz="0" w:space="0" w:color="auto"/>
                                                                <w:bottom w:val="none" w:sz="0" w:space="0" w:color="auto"/>
                                                                <w:right w:val="none" w:sz="0" w:space="0" w:color="auto"/>
                                                              </w:divBdr>
                                                              <w:divsChild>
                                                                <w:div w:id="1098021778">
                                                                  <w:marLeft w:val="0"/>
                                                                  <w:marRight w:val="0"/>
                                                                  <w:marTop w:val="0"/>
                                                                  <w:marBottom w:val="0"/>
                                                                  <w:divBdr>
                                                                    <w:top w:val="none" w:sz="0" w:space="0" w:color="auto"/>
                                                                    <w:left w:val="none" w:sz="0" w:space="0" w:color="auto"/>
                                                                    <w:bottom w:val="none" w:sz="0" w:space="0" w:color="auto"/>
                                                                    <w:right w:val="none" w:sz="0" w:space="0" w:color="auto"/>
                                                                  </w:divBdr>
                                                                  <w:divsChild>
                                                                    <w:div w:id="662776550">
                                                                      <w:marLeft w:val="0"/>
                                                                      <w:marRight w:val="0"/>
                                                                      <w:marTop w:val="0"/>
                                                                      <w:marBottom w:val="0"/>
                                                                      <w:divBdr>
                                                                        <w:top w:val="single" w:sz="6" w:space="8" w:color="E0E0E0"/>
                                                                        <w:left w:val="none" w:sz="0" w:space="0" w:color="auto"/>
                                                                        <w:bottom w:val="none" w:sz="0" w:space="0" w:color="auto"/>
                                                                        <w:right w:val="none" w:sz="0" w:space="0" w:color="auto"/>
                                                                      </w:divBdr>
                                                                      <w:divsChild>
                                                                        <w:div w:id="12614115">
                                                                          <w:marLeft w:val="0"/>
                                                                          <w:marRight w:val="0"/>
                                                                          <w:marTop w:val="0"/>
                                                                          <w:marBottom w:val="0"/>
                                                                          <w:divBdr>
                                                                            <w:top w:val="none" w:sz="0" w:space="0" w:color="auto"/>
                                                                            <w:left w:val="none" w:sz="0" w:space="0" w:color="auto"/>
                                                                            <w:bottom w:val="none" w:sz="0" w:space="0" w:color="auto"/>
                                                                            <w:right w:val="none" w:sz="0" w:space="0" w:color="auto"/>
                                                                          </w:divBdr>
                                                                          <w:divsChild>
                                                                            <w:div w:id="9211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474372">
      <w:bodyDiv w:val="1"/>
      <w:marLeft w:val="0"/>
      <w:marRight w:val="0"/>
      <w:marTop w:val="0"/>
      <w:marBottom w:val="0"/>
      <w:divBdr>
        <w:top w:val="none" w:sz="0" w:space="0" w:color="auto"/>
        <w:left w:val="none" w:sz="0" w:space="0" w:color="auto"/>
        <w:bottom w:val="none" w:sz="0" w:space="0" w:color="auto"/>
        <w:right w:val="none" w:sz="0" w:space="0" w:color="auto"/>
      </w:divBdr>
      <w:divsChild>
        <w:div w:id="1122501585">
          <w:marLeft w:val="0"/>
          <w:marRight w:val="0"/>
          <w:marTop w:val="0"/>
          <w:marBottom w:val="0"/>
          <w:divBdr>
            <w:top w:val="none" w:sz="0" w:space="0" w:color="auto"/>
            <w:left w:val="none" w:sz="0" w:space="0" w:color="auto"/>
            <w:bottom w:val="none" w:sz="0" w:space="0" w:color="auto"/>
            <w:right w:val="none" w:sz="0" w:space="0" w:color="auto"/>
          </w:divBdr>
          <w:divsChild>
            <w:div w:id="1491292317">
              <w:marLeft w:val="2"/>
              <w:marRight w:val="2"/>
              <w:marTop w:val="0"/>
              <w:marBottom w:val="0"/>
              <w:divBdr>
                <w:top w:val="none" w:sz="0" w:space="0" w:color="auto"/>
                <w:left w:val="none" w:sz="0" w:space="0" w:color="auto"/>
                <w:bottom w:val="none" w:sz="0" w:space="0" w:color="auto"/>
                <w:right w:val="none" w:sz="0" w:space="0" w:color="auto"/>
              </w:divBdr>
              <w:divsChild>
                <w:div w:id="1876892216">
                  <w:marLeft w:val="0"/>
                  <w:marRight w:val="0"/>
                  <w:marTop w:val="0"/>
                  <w:marBottom w:val="0"/>
                  <w:divBdr>
                    <w:top w:val="none" w:sz="0" w:space="0" w:color="auto"/>
                    <w:left w:val="none" w:sz="0" w:space="0" w:color="auto"/>
                    <w:bottom w:val="none" w:sz="0" w:space="0" w:color="auto"/>
                    <w:right w:val="none" w:sz="0" w:space="0" w:color="auto"/>
                  </w:divBdr>
                  <w:divsChild>
                    <w:div w:id="1249391038">
                      <w:marLeft w:val="0"/>
                      <w:marRight w:val="0"/>
                      <w:marTop w:val="0"/>
                      <w:marBottom w:val="0"/>
                      <w:divBdr>
                        <w:top w:val="none" w:sz="0" w:space="0" w:color="auto"/>
                        <w:left w:val="none" w:sz="0" w:space="0" w:color="auto"/>
                        <w:bottom w:val="none" w:sz="0" w:space="0" w:color="auto"/>
                        <w:right w:val="none" w:sz="0" w:space="0" w:color="auto"/>
                      </w:divBdr>
                      <w:divsChild>
                        <w:div w:id="1431123283">
                          <w:marLeft w:val="0"/>
                          <w:marRight w:val="0"/>
                          <w:marTop w:val="0"/>
                          <w:marBottom w:val="0"/>
                          <w:divBdr>
                            <w:top w:val="none" w:sz="0" w:space="0" w:color="auto"/>
                            <w:left w:val="none" w:sz="0" w:space="0" w:color="auto"/>
                            <w:bottom w:val="none" w:sz="0" w:space="0" w:color="auto"/>
                            <w:right w:val="none" w:sz="0" w:space="0" w:color="auto"/>
                          </w:divBdr>
                          <w:divsChild>
                            <w:div w:id="1654795936">
                              <w:marLeft w:val="0"/>
                              <w:marRight w:val="0"/>
                              <w:marTop w:val="0"/>
                              <w:marBottom w:val="0"/>
                              <w:divBdr>
                                <w:top w:val="none" w:sz="0" w:space="0" w:color="auto"/>
                                <w:left w:val="none" w:sz="0" w:space="0" w:color="auto"/>
                                <w:bottom w:val="none" w:sz="0" w:space="0" w:color="auto"/>
                                <w:right w:val="none" w:sz="0" w:space="0" w:color="auto"/>
                              </w:divBdr>
                              <w:divsChild>
                                <w:div w:id="1705053814">
                                  <w:marLeft w:val="0"/>
                                  <w:marRight w:val="0"/>
                                  <w:marTop w:val="0"/>
                                  <w:marBottom w:val="0"/>
                                  <w:divBdr>
                                    <w:top w:val="none" w:sz="0" w:space="0" w:color="auto"/>
                                    <w:left w:val="none" w:sz="0" w:space="0" w:color="auto"/>
                                    <w:bottom w:val="none" w:sz="0" w:space="0" w:color="auto"/>
                                    <w:right w:val="none" w:sz="0" w:space="0" w:color="auto"/>
                                  </w:divBdr>
                                  <w:divsChild>
                                    <w:div w:id="1834442793">
                                      <w:marLeft w:val="0"/>
                                      <w:marRight w:val="0"/>
                                      <w:marTop w:val="0"/>
                                      <w:marBottom w:val="0"/>
                                      <w:divBdr>
                                        <w:top w:val="none" w:sz="0" w:space="0" w:color="auto"/>
                                        <w:left w:val="none" w:sz="0" w:space="0" w:color="auto"/>
                                        <w:bottom w:val="none" w:sz="0" w:space="0" w:color="auto"/>
                                        <w:right w:val="none" w:sz="0" w:space="0" w:color="auto"/>
                                      </w:divBdr>
                                      <w:divsChild>
                                        <w:div w:id="2097439705">
                                          <w:marLeft w:val="0"/>
                                          <w:marRight w:val="0"/>
                                          <w:marTop w:val="0"/>
                                          <w:marBottom w:val="0"/>
                                          <w:divBdr>
                                            <w:top w:val="none" w:sz="0" w:space="0" w:color="auto"/>
                                            <w:left w:val="none" w:sz="0" w:space="0" w:color="auto"/>
                                            <w:bottom w:val="none" w:sz="0" w:space="0" w:color="auto"/>
                                            <w:right w:val="none" w:sz="0" w:space="0" w:color="auto"/>
                                          </w:divBdr>
                                          <w:divsChild>
                                            <w:div w:id="1014186559">
                                              <w:marLeft w:val="0"/>
                                              <w:marRight w:val="0"/>
                                              <w:marTop w:val="0"/>
                                              <w:marBottom w:val="0"/>
                                              <w:divBdr>
                                                <w:top w:val="none" w:sz="0" w:space="0" w:color="auto"/>
                                                <w:left w:val="none" w:sz="0" w:space="0" w:color="auto"/>
                                                <w:bottom w:val="none" w:sz="0" w:space="0" w:color="auto"/>
                                                <w:right w:val="none" w:sz="0" w:space="0" w:color="auto"/>
                                              </w:divBdr>
                                            </w:div>
                                          </w:divsChild>
                                        </w:div>
                                        <w:div w:id="2132629771">
                                          <w:marLeft w:val="0"/>
                                          <w:marRight w:val="0"/>
                                          <w:marTop w:val="0"/>
                                          <w:marBottom w:val="0"/>
                                          <w:divBdr>
                                            <w:top w:val="none" w:sz="0" w:space="0" w:color="auto"/>
                                            <w:left w:val="none" w:sz="0" w:space="0" w:color="auto"/>
                                            <w:bottom w:val="none" w:sz="0" w:space="0" w:color="auto"/>
                                            <w:right w:val="none" w:sz="0" w:space="0" w:color="auto"/>
                                          </w:divBdr>
                                          <w:divsChild>
                                            <w:div w:id="542375976">
                                              <w:marLeft w:val="0"/>
                                              <w:marRight w:val="0"/>
                                              <w:marTop w:val="0"/>
                                              <w:marBottom w:val="0"/>
                                              <w:divBdr>
                                                <w:top w:val="none" w:sz="0" w:space="0" w:color="auto"/>
                                                <w:left w:val="none" w:sz="0" w:space="0" w:color="auto"/>
                                                <w:bottom w:val="none" w:sz="0" w:space="0" w:color="auto"/>
                                                <w:right w:val="none" w:sz="0" w:space="0" w:color="auto"/>
                                              </w:divBdr>
                                            </w:div>
                                          </w:divsChild>
                                        </w:div>
                                        <w:div w:id="431979746">
                                          <w:marLeft w:val="0"/>
                                          <w:marRight w:val="0"/>
                                          <w:marTop w:val="0"/>
                                          <w:marBottom w:val="0"/>
                                          <w:divBdr>
                                            <w:top w:val="none" w:sz="0" w:space="0" w:color="auto"/>
                                            <w:left w:val="none" w:sz="0" w:space="0" w:color="auto"/>
                                            <w:bottom w:val="none" w:sz="0" w:space="0" w:color="auto"/>
                                            <w:right w:val="none" w:sz="0" w:space="0" w:color="auto"/>
                                          </w:divBdr>
                                          <w:divsChild>
                                            <w:div w:id="348726308">
                                              <w:marLeft w:val="0"/>
                                              <w:marRight w:val="0"/>
                                              <w:marTop w:val="0"/>
                                              <w:marBottom w:val="0"/>
                                              <w:divBdr>
                                                <w:top w:val="none" w:sz="0" w:space="0" w:color="auto"/>
                                                <w:left w:val="none" w:sz="0" w:space="0" w:color="auto"/>
                                                <w:bottom w:val="none" w:sz="0" w:space="0" w:color="auto"/>
                                                <w:right w:val="none" w:sz="0" w:space="0" w:color="auto"/>
                                              </w:divBdr>
                                            </w:div>
                                          </w:divsChild>
                                        </w:div>
                                        <w:div w:id="190150918">
                                          <w:marLeft w:val="0"/>
                                          <w:marRight w:val="0"/>
                                          <w:marTop w:val="0"/>
                                          <w:marBottom w:val="0"/>
                                          <w:divBdr>
                                            <w:top w:val="none" w:sz="0" w:space="0" w:color="auto"/>
                                            <w:left w:val="none" w:sz="0" w:space="0" w:color="auto"/>
                                            <w:bottom w:val="none" w:sz="0" w:space="0" w:color="auto"/>
                                            <w:right w:val="none" w:sz="0" w:space="0" w:color="auto"/>
                                          </w:divBdr>
                                          <w:divsChild>
                                            <w:div w:id="142429236">
                                              <w:marLeft w:val="0"/>
                                              <w:marRight w:val="0"/>
                                              <w:marTop w:val="0"/>
                                              <w:marBottom w:val="0"/>
                                              <w:divBdr>
                                                <w:top w:val="none" w:sz="0" w:space="0" w:color="auto"/>
                                                <w:left w:val="none" w:sz="0" w:space="0" w:color="auto"/>
                                                <w:bottom w:val="none" w:sz="0" w:space="0" w:color="auto"/>
                                                <w:right w:val="none" w:sz="0" w:space="0" w:color="auto"/>
                                              </w:divBdr>
                                            </w:div>
                                          </w:divsChild>
                                        </w:div>
                                        <w:div w:id="1066343268">
                                          <w:marLeft w:val="0"/>
                                          <w:marRight w:val="0"/>
                                          <w:marTop w:val="0"/>
                                          <w:marBottom w:val="0"/>
                                          <w:divBdr>
                                            <w:top w:val="none" w:sz="0" w:space="0" w:color="auto"/>
                                            <w:left w:val="none" w:sz="0" w:space="0" w:color="auto"/>
                                            <w:bottom w:val="none" w:sz="0" w:space="0" w:color="auto"/>
                                            <w:right w:val="none" w:sz="0" w:space="0" w:color="auto"/>
                                          </w:divBdr>
                                          <w:divsChild>
                                            <w:div w:id="20872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8371">
                                      <w:marLeft w:val="0"/>
                                      <w:marRight w:val="0"/>
                                      <w:marTop w:val="0"/>
                                      <w:marBottom w:val="0"/>
                                      <w:divBdr>
                                        <w:top w:val="none" w:sz="0" w:space="0" w:color="auto"/>
                                        <w:left w:val="none" w:sz="0" w:space="0" w:color="auto"/>
                                        <w:bottom w:val="none" w:sz="0" w:space="0" w:color="auto"/>
                                        <w:right w:val="none" w:sz="0" w:space="0" w:color="auto"/>
                                      </w:divBdr>
                                      <w:divsChild>
                                        <w:div w:id="214047333">
                                          <w:marLeft w:val="0"/>
                                          <w:marRight w:val="0"/>
                                          <w:marTop w:val="0"/>
                                          <w:marBottom w:val="0"/>
                                          <w:divBdr>
                                            <w:top w:val="none" w:sz="0" w:space="0" w:color="auto"/>
                                            <w:left w:val="none" w:sz="0" w:space="0" w:color="auto"/>
                                            <w:bottom w:val="none" w:sz="0" w:space="0" w:color="auto"/>
                                            <w:right w:val="none" w:sz="0" w:space="0" w:color="auto"/>
                                          </w:divBdr>
                                          <w:divsChild>
                                            <w:div w:id="430971803">
                                              <w:marLeft w:val="0"/>
                                              <w:marRight w:val="0"/>
                                              <w:marTop w:val="0"/>
                                              <w:marBottom w:val="0"/>
                                              <w:divBdr>
                                                <w:top w:val="none" w:sz="0" w:space="0" w:color="auto"/>
                                                <w:left w:val="none" w:sz="0" w:space="0" w:color="auto"/>
                                                <w:bottom w:val="none" w:sz="0" w:space="0" w:color="auto"/>
                                                <w:right w:val="none" w:sz="0" w:space="0" w:color="auto"/>
                                              </w:divBdr>
                                            </w:div>
                                          </w:divsChild>
                                        </w:div>
                                        <w:div w:id="1378163017">
                                          <w:marLeft w:val="0"/>
                                          <w:marRight w:val="0"/>
                                          <w:marTop w:val="0"/>
                                          <w:marBottom w:val="0"/>
                                          <w:divBdr>
                                            <w:top w:val="none" w:sz="0" w:space="0" w:color="auto"/>
                                            <w:left w:val="none" w:sz="0" w:space="0" w:color="auto"/>
                                            <w:bottom w:val="none" w:sz="0" w:space="0" w:color="auto"/>
                                            <w:right w:val="none" w:sz="0" w:space="0" w:color="auto"/>
                                          </w:divBdr>
                                          <w:divsChild>
                                            <w:div w:id="361902813">
                                              <w:marLeft w:val="0"/>
                                              <w:marRight w:val="0"/>
                                              <w:marTop w:val="0"/>
                                              <w:marBottom w:val="0"/>
                                              <w:divBdr>
                                                <w:top w:val="none" w:sz="0" w:space="0" w:color="auto"/>
                                                <w:left w:val="none" w:sz="0" w:space="0" w:color="auto"/>
                                                <w:bottom w:val="none" w:sz="0" w:space="0" w:color="auto"/>
                                                <w:right w:val="none" w:sz="0" w:space="0" w:color="auto"/>
                                              </w:divBdr>
                                            </w:div>
                                          </w:divsChild>
                                        </w:div>
                                        <w:div w:id="883979745">
                                          <w:marLeft w:val="0"/>
                                          <w:marRight w:val="0"/>
                                          <w:marTop w:val="0"/>
                                          <w:marBottom w:val="0"/>
                                          <w:divBdr>
                                            <w:top w:val="none" w:sz="0" w:space="0" w:color="auto"/>
                                            <w:left w:val="none" w:sz="0" w:space="0" w:color="auto"/>
                                            <w:bottom w:val="none" w:sz="0" w:space="0" w:color="auto"/>
                                            <w:right w:val="none" w:sz="0" w:space="0" w:color="auto"/>
                                          </w:divBdr>
                                          <w:divsChild>
                                            <w:div w:id="149367278">
                                              <w:marLeft w:val="0"/>
                                              <w:marRight w:val="0"/>
                                              <w:marTop w:val="0"/>
                                              <w:marBottom w:val="0"/>
                                              <w:divBdr>
                                                <w:top w:val="none" w:sz="0" w:space="0" w:color="auto"/>
                                                <w:left w:val="none" w:sz="0" w:space="0" w:color="auto"/>
                                                <w:bottom w:val="none" w:sz="0" w:space="0" w:color="auto"/>
                                                <w:right w:val="none" w:sz="0" w:space="0" w:color="auto"/>
                                              </w:divBdr>
                                            </w:div>
                                          </w:divsChild>
                                        </w:div>
                                        <w:div w:id="388656392">
                                          <w:marLeft w:val="0"/>
                                          <w:marRight w:val="0"/>
                                          <w:marTop w:val="0"/>
                                          <w:marBottom w:val="0"/>
                                          <w:divBdr>
                                            <w:top w:val="none" w:sz="0" w:space="0" w:color="auto"/>
                                            <w:left w:val="none" w:sz="0" w:space="0" w:color="auto"/>
                                            <w:bottom w:val="none" w:sz="0" w:space="0" w:color="auto"/>
                                            <w:right w:val="none" w:sz="0" w:space="0" w:color="auto"/>
                                          </w:divBdr>
                                          <w:divsChild>
                                            <w:div w:id="1640723638">
                                              <w:marLeft w:val="0"/>
                                              <w:marRight w:val="0"/>
                                              <w:marTop w:val="0"/>
                                              <w:marBottom w:val="0"/>
                                              <w:divBdr>
                                                <w:top w:val="none" w:sz="0" w:space="0" w:color="auto"/>
                                                <w:left w:val="none" w:sz="0" w:space="0" w:color="auto"/>
                                                <w:bottom w:val="none" w:sz="0" w:space="0" w:color="auto"/>
                                                <w:right w:val="none" w:sz="0" w:space="0" w:color="auto"/>
                                              </w:divBdr>
                                            </w:div>
                                          </w:divsChild>
                                        </w:div>
                                        <w:div w:id="557518438">
                                          <w:marLeft w:val="0"/>
                                          <w:marRight w:val="0"/>
                                          <w:marTop w:val="0"/>
                                          <w:marBottom w:val="0"/>
                                          <w:divBdr>
                                            <w:top w:val="none" w:sz="0" w:space="0" w:color="auto"/>
                                            <w:left w:val="none" w:sz="0" w:space="0" w:color="auto"/>
                                            <w:bottom w:val="none" w:sz="0" w:space="0" w:color="auto"/>
                                            <w:right w:val="none" w:sz="0" w:space="0" w:color="auto"/>
                                          </w:divBdr>
                                          <w:divsChild>
                                            <w:div w:id="16374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0175">
                                      <w:marLeft w:val="0"/>
                                      <w:marRight w:val="0"/>
                                      <w:marTop w:val="0"/>
                                      <w:marBottom w:val="0"/>
                                      <w:divBdr>
                                        <w:top w:val="none" w:sz="0" w:space="0" w:color="auto"/>
                                        <w:left w:val="none" w:sz="0" w:space="0" w:color="auto"/>
                                        <w:bottom w:val="none" w:sz="0" w:space="0" w:color="auto"/>
                                        <w:right w:val="none" w:sz="0" w:space="0" w:color="auto"/>
                                      </w:divBdr>
                                      <w:divsChild>
                                        <w:div w:id="1624774560">
                                          <w:marLeft w:val="0"/>
                                          <w:marRight w:val="0"/>
                                          <w:marTop w:val="0"/>
                                          <w:marBottom w:val="0"/>
                                          <w:divBdr>
                                            <w:top w:val="none" w:sz="0" w:space="0" w:color="auto"/>
                                            <w:left w:val="none" w:sz="0" w:space="0" w:color="auto"/>
                                            <w:bottom w:val="none" w:sz="0" w:space="0" w:color="auto"/>
                                            <w:right w:val="none" w:sz="0" w:space="0" w:color="auto"/>
                                          </w:divBdr>
                                          <w:divsChild>
                                            <w:div w:id="520051611">
                                              <w:marLeft w:val="0"/>
                                              <w:marRight w:val="0"/>
                                              <w:marTop w:val="0"/>
                                              <w:marBottom w:val="0"/>
                                              <w:divBdr>
                                                <w:top w:val="none" w:sz="0" w:space="0" w:color="auto"/>
                                                <w:left w:val="none" w:sz="0" w:space="0" w:color="auto"/>
                                                <w:bottom w:val="none" w:sz="0" w:space="0" w:color="auto"/>
                                                <w:right w:val="none" w:sz="0" w:space="0" w:color="auto"/>
                                              </w:divBdr>
                                            </w:div>
                                          </w:divsChild>
                                        </w:div>
                                        <w:div w:id="647632790">
                                          <w:marLeft w:val="0"/>
                                          <w:marRight w:val="0"/>
                                          <w:marTop w:val="0"/>
                                          <w:marBottom w:val="0"/>
                                          <w:divBdr>
                                            <w:top w:val="none" w:sz="0" w:space="0" w:color="auto"/>
                                            <w:left w:val="none" w:sz="0" w:space="0" w:color="auto"/>
                                            <w:bottom w:val="none" w:sz="0" w:space="0" w:color="auto"/>
                                            <w:right w:val="none" w:sz="0" w:space="0" w:color="auto"/>
                                          </w:divBdr>
                                          <w:divsChild>
                                            <w:div w:id="1698197239">
                                              <w:marLeft w:val="0"/>
                                              <w:marRight w:val="0"/>
                                              <w:marTop w:val="0"/>
                                              <w:marBottom w:val="0"/>
                                              <w:divBdr>
                                                <w:top w:val="none" w:sz="0" w:space="0" w:color="auto"/>
                                                <w:left w:val="none" w:sz="0" w:space="0" w:color="auto"/>
                                                <w:bottom w:val="none" w:sz="0" w:space="0" w:color="auto"/>
                                                <w:right w:val="none" w:sz="0" w:space="0" w:color="auto"/>
                                              </w:divBdr>
                                            </w:div>
                                          </w:divsChild>
                                        </w:div>
                                        <w:div w:id="1154417733">
                                          <w:marLeft w:val="0"/>
                                          <w:marRight w:val="0"/>
                                          <w:marTop w:val="0"/>
                                          <w:marBottom w:val="0"/>
                                          <w:divBdr>
                                            <w:top w:val="none" w:sz="0" w:space="0" w:color="auto"/>
                                            <w:left w:val="none" w:sz="0" w:space="0" w:color="auto"/>
                                            <w:bottom w:val="none" w:sz="0" w:space="0" w:color="auto"/>
                                            <w:right w:val="none" w:sz="0" w:space="0" w:color="auto"/>
                                          </w:divBdr>
                                          <w:divsChild>
                                            <w:div w:id="1518886533">
                                              <w:marLeft w:val="0"/>
                                              <w:marRight w:val="0"/>
                                              <w:marTop w:val="0"/>
                                              <w:marBottom w:val="0"/>
                                              <w:divBdr>
                                                <w:top w:val="none" w:sz="0" w:space="0" w:color="auto"/>
                                                <w:left w:val="none" w:sz="0" w:space="0" w:color="auto"/>
                                                <w:bottom w:val="none" w:sz="0" w:space="0" w:color="auto"/>
                                                <w:right w:val="none" w:sz="0" w:space="0" w:color="auto"/>
                                              </w:divBdr>
                                            </w:div>
                                          </w:divsChild>
                                        </w:div>
                                        <w:div w:id="1109085429">
                                          <w:marLeft w:val="0"/>
                                          <w:marRight w:val="0"/>
                                          <w:marTop w:val="0"/>
                                          <w:marBottom w:val="0"/>
                                          <w:divBdr>
                                            <w:top w:val="none" w:sz="0" w:space="0" w:color="auto"/>
                                            <w:left w:val="none" w:sz="0" w:space="0" w:color="auto"/>
                                            <w:bottom w:val="none" w:sz="0" w:space="0" w:color="auto"/>
                                            <w:right w:val="none" w:sz="0" w:space="0" w:color="auto"/>
                                          </w:divBdr>
                                          <w:divsChild>
                                            <w:div w:id="1287929902">
                                              <w:marLeft w:val="0"/>
                                              <w:marRight w:val="0"/>
                                              <w:marTop w:val="0"/>
                                              <w:marBottom w:val="0"/>
                                              <w:divBdr>
                                                <w:top w:val="none" w:sz="0" w:space="0" w:color="auto"/>
                                                <w:left w:val="none" w:sz="0" w:space="0" w:color="auto"/>
                                                <w:bottom w:val="none" w:sz="0" w:space="0" w:color="auto"/>
                                                <w:right w:val="none" w:sz="0" w:space="0" w:color="auto"/>
                                              </w:divBdr>
                                            </w:div>
                                          </w:divsChild>
                                        </w:div>
                                        <w:div w:id="1306161671">
                                          <w:marLeft w:val="0"/>
                                          <w:marRight w:val="0"/>
                                          <w:marTop w:val="0"/>
                                          <w:marBottom w:val="0"/>
                                          <w:divBdr>
                                            <w:top w:val="none" w:sz="0" w:space="0" w:color="auto"/>
                                            <w:left w:val="none" w:sz="0" w:space="0" w:color="auto"/>
                                            <w:bottom w:val="none" w:sz="0" w:space="0" w:color="auto"/>
                                            <w:right w:val="none" w:sz="0" w:space="0" w:color="auto"/>
                                          </w:divBdr>
                                          <w:divsChild>
                                            <w:div w:id="21080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9372">
                                      <w:marLeft w:val="0"/>
                                      <w:marRight w:val="0"/>
                                      <w:marTop w:val="0"/>
                                      <w:marBottom w:val="0"/>
                                      <w:divBdr>
                                        <w:top w:val="none" w:sz="0" w:space="0" w:color="auto"/>
                                        <w:left w:val="none" w:sz="0" w:space="0" w:color="auto"/>
                                        <w:bottom w:val="none" w:sz="0" w:space="0" w:color="auto"/>
                                        <w:right w:val="none" w:sz="0" w:space="0" w:color="auto"/>
                                      </w:divBdr>
                                      <w:divsChild>
                                        <w:div w:id="719748130">
                                          <w:marLeft w:val="0"/>
                                          <w:marRight w:val="0"/>
                                          <w:marTop w:val="0"/>
                                          <w:marBottom w:val="0"/>
                                          <w:divBdr>
                                            <w:top w:val="none" w:sz="0" w:space="0" w:color="auto"/>
                                            <w:left w:val="none" w:sz="0" w:space="0" w:color="auto"/>
                                            <w:bottom w:val="none" w:sz="0" w:space="0" w:color="auto"/>
                                            <w:right w:val="none" w:sz="0" w:space="0" w:color="auto"/>
                                          </w:divBdr>
                                          <w:divsChild>
                                            <w:div w:id="290330116">
                                              <w:marLeft w:val="0"/>
                                              <w:marRight w:val="0"/>
                                              <w:marTop w:val="0"/>
                                              <w:marBottom w:val="0"/>
                                              <w:divBdr>
                                                <w:top w:val="none" w:sz="0" w:space="0" w:color="auto"/>
                                                <w:left w:val="none" w:sz="0" w:space="0" w:color="auto"/>
                                                <w:bottom w:val="none" w:sz="0" w:space="0" w:color="auto"/>
                                                <w:right w:val="none" w:sz="0" w:space="0" w:color="auto"/>
                                              </w:divBdr>
                                            </w:div>
                                          </w:divsChild>
                                        </w:div>
                                        <w:div w:id="1463695843">
                                          <w:marLeft w:val="0"/>
                                          <w:marRight w:val="0"/>
                                          <w:marTop w:val="0"/>
                                          <w:marBottom w:val="0"/>
                                          <w:divBdr>
                                            <w:top w:val="none" w:sz="0" w:space="0" w:color="auto"/>
                                            <w:left w:val="none" w:sz="0" w:space="0" w:color="auto"/>
                                            <w:bottom w:val="none" w:sz="0" w:space="0" w:color="auto"/>
                                            <w:right w:val="none" w:sz="0" w:space="0" w:color="auto"/>
                                          </w:divBdr>
                                          <w:divsChild>
                                            <w:div w:id="1528524840">
                                              <w:marLeft w:val="0"/>
                                              <w:marRight w:val="0"/>
                                              <w:marTop w:val="0"/>
                                              <w:marBottom w:val="0"/>
                                              <w:divBdr>
                                                <w:top w:val="none" w:sz="0" w:space="0" w:color="auto"/>
                                                <w:left w:val="none" w:sz="0" w:space="0" w:color="auto"/>
                                                <w:bottom w:val="none" w:sz="0" w:space="0" w:color="auto"/>
                                                <w:right w:val="none" w:sz="0" w:space="0" w:color="auto"/>
                                              </w:divBdr>
                                            </w:div>
                                          </w:divsChild>
                                        </w:div>
                                        <w:div w:id="1892645736">
                                          <w:marLeft w:val="0"/>
                                          <w:marRight w:val="0"/>
                                          <w:marTop w:val="0"/>
                                          <w:marBottom w:val="0"/>
                                          <w:divBdr>
                                            <w:top w:val="none" w:sz="0" w:space="0" w:color="auto"/>
                                            <w:left w:val="none" w:sz="0" w:space="0" w:color="auto"/>
                                            <w:bottom w:val="none" w:sz="0" w:space="0" w:color="auto"/>
                                            <w:right w:val="none" w:sz="0" w:space="0" w:color="auto"/>
                                          </w:divBdr>
                                          <w:divsChild>
                                            <w:div w:id="1484590340">
                                              <w:marLeft w:val="0"/>
                                              <w:marRight w:val="0"/>
                                              <w:marTop w:val="0"/>
                                              <w:marBottom w:val="0"/>
                                              <w:divBdr>
                                                <w:top w:val="none" w:sz="0" w:space="0" w:color="auto"/>
                                                <w:left w:val="none" w:sz="0" w:space="0" w:color="auto"/>
                                                <w:bottom w:val="none" w:sz="0" w:space="0" w:color="auto"/>
                                                <w:right w:val="none" w:sz="0" w:space="0" w:color="auto"/>
                                              </w:divBdr>
                                            </w:div>
                                          </w:divsChild>
                                        </w:div>
                                        <w:div w:id="1913199959">
                                          <w:marLeft w:val="0"/>
                                          <w:marRight w:val="0"/>
                                          <w:marTop w:val="0"/>
                                          <w:marBottom w:val="0"/>
                                          <w:divBdr>
                                            <w:top w:val="none" w:sz="0" w:space="0" w:color="auto"/>
                                            <w:left w:val="none" w:sz="0" w:space="0" w:color="auto"/>
                                            <w:bottom w:val="none" w:sz="0" w:space="0" w:color="auto"/>
                                            <w:right w:val="none" w:sz="0" w:space="0" w:color="auto"/>
                                          </w:divBdr>
                                          <w:divsChild>
                                            <w:div w:id="9962139">
                                              <w:marLeft w:val="0"/>
                                              <w:marRight w:val="0"/>
                                              <w:marTop w:val="0"/>
                                              <w:marBottom w:val="0"/>
                                              <w:divBdr>
                                                <w:top w:val="none" w:sz="0" w:space="0" w:color="auto"/>
                                                <w:left w:val="none" w:sz="0" w:space="0" w:color="auto"/>
                                                <w:bottom w:val="none" w:sz="0" w:space="0" w:color="auto"/>
                                                <w:right w:val="none" w:sz="0" w:space="0" w:color="auto"/>
                                              </w:divBdr>
                                            </w:div>
                                          </w:divsChild>
                                        </w:div>
                                        <w:div w:id="1529223131">
                                          <w:marLeft w:val="0"/>
                                          <w:marRight w:val="0"/>
                                          <w:marTop w:val="0"/>
                                          <w:marBottom w:val="0"/>
                                          <w:divBdr>
                                            <w:top w:val="none" w:sz="0" w:space="0" w:color="auto"/>
                                            <w:left w:val="none" w:sz="0" w:space="0" w:color="auto"/>
                                            <w:bottom w:val="none" w:sz="0" w:space="0" w:color="auto"/>
                                            <w:right w:val="none" w:sz="0" w:space="0" w:color="auto"/>
                                          </w:divBdr>
                                          <w:divsChild>
                                            <w:div w:id="7623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0553">
                                      <w:marLeft w:val="0"/>
                                      <w:marRight w:val="0"/>
                                      <w:marTop w:val="0"/>
                                      <w:marBottom w:val="0"/>
                                      <w:divBdr>
                                        <w:top w:val="none" w:sz="0" w:space="0" w:color="auto"/>
                                        <w:left w:val="none" w:sz="0" w:space="0" w:color="auto"/>
                                        <w:bottom w:val="none" w:sz="0" w:space="0" w:color="auto"/>
                                        <w:right w:val="none" w:sz="0" w:space="0" w:color="auto"/>
                                      </w:divBdr>
                                      <w:divsChild>
                                        <w:div w:id="1945921249">
                                          <w:marLeft w:val="0"/>
                                          <w:marRight w:val="0"/>
                                          <w:marTop w:val="0"/>
                                          <w:marBottom w:val="0"/>
                                          <w:divBdr>
                                            <w:top w:val="none" w:sz="0" w:space="0" w:color="auto"/>
                                            <w:left w:val="none" w:sz="0" w:space="0" w:color="auto"/>
                                            <w:bottom w:val="none" w:sz="0" w:space="0" w:color="auto"/>
                                            <w:right w:val="none" w:sz="0" w:space="0" w:color="auto"/>
                                          </w:divBdr>
                                          <w:divsChild>
                                            <w:div w:id="1331054924">
                                              <w:marLeft w:val="0"/>
                                              <w:marRight w:val="0"/>
                                              <w:marTop w:val="0"/>
                                              <w:marBottom w:val="0"/>
                                              <w:divBdr>
                                                <w:top w:val="none" w:sz="0" w:space="0" w:color="auto"/>
                                                <w:left w:val="none" w:sz="0" w:space="0" w:color="auto"/>
                                                <w:bottom w:val="none" w:sz="0" w:space="0" w:color="auto"/>
                                                <w:right w:val="none" w:sz="0" w:space="0" w:color="auto"/>
                                              </w:divBdr>
                                            </w:div>
                                          </w:divsChild>
                                        </w:div>
                                        <w:div w:id="499658851">
                                          <w:marLeft w:val="0"/>
                                          <w:marRight w:val="0"/>
                                          <w:marTop w:val="0"/>
                                          <w:marBottom w:val="0"/>
                                          <w:divBdr>
                                            <w:top w:val="none" w:sz="0" w:space="0" w:color="auto"/>
                                            <w:left w:val="none" w:sz="0" w:space="0" w:color="auto"/>
                                            <w:bottom w:val="none" w:sz="0" w:space="0" w:color="auto"/>
                                            <w:right w:val="none" w:sz="0" w:space="0" w:color="auto"/>
                                          </w:divBdr>
                                          <w:divsChild>
                                            <w:div w:id="1524054961">
                                              <w:marLeft w:val="0"/>
                                              <w:marRight w:val="0"/>
                                              <w:marTop w:val="0"/>
                                              <w:marBottom w:val="0"/>
                                              <w:divBdr>
                                                <w:top w:val="none" w:sz="0" w:space="0" w:color="auto"/>
                                                <w:left w:val="none" w:sz="0" w:space="0" w:color="auto"/>
                                                <w:bottom w:val="none" w:sz="0" w:space="0" w:color="auto"/>
                                                <w:right w:val="none" w:sz="0" w:space="0" w:color="auto"/>
                                              </w:divBdr>
                                            </w:div>
                                          </w:divsChild>
                                        </w:div>
                                        <w:div w:id="1968049761">
                                          <w:marLeft w:val="0"/>
                                          <w:marRight w:val="0"/>
                                          <w:marTop w:val="0"/>
                                          <w:marBottom w:val="0"/>
                                          <w:divBdr>
                                            <w:top w:val="none" w:sz="0" w:space="0" w:color="auto"/>
                                            <w:left w:val="none" w:sz="0" w:space="0" w:color="auto"/>
                                            <w:bottom w:val="none" w:sz="0" w:space="0" w:color="auto"/>
                                            <w:right w:val="none" w:sz="0" w:space="0" w:color="auto"/>
                                          </w:divBdr>
                                          <w:divsChild>
                                            <w:div w:id="1631202350">
                                              <w:marLeft w:val="0"/>
                                              <w:marRight w:val="0"/>
                                              <w:marTop w:val="0"/>
                                              <w:marBottom w:val="0"/>
                                              <w:divBdr>
                                                <w:top w:val="none" w:sz="0" w:space="0" w:color="auto"/>
                                                <w:left w:val="none" w:sz="0" w:space="0" w:color="auto"/>
                                                <w:bottom w:val="none" w:sz="0" w:space="0" w:color="auto"/>
                                                <w:right w:val="none" w:sz="0" w:space="0" w:color="auto"/>
                                              </w:divBdr>
                                            </w:div>
                                          </w:divsChild>
                                        </w:div>
                                        <w:div w:id="2013100415">
                                          <w:marLeft w:val="0"/>
                                          <w:marRight w:val="0"/>
                                          <w:marTop w:val="0"/>
                                          <w:marBottom w:val="0"/>
                                          <w:divBdr>
                                            <w:top w:val="none" w:sz="0" w:space="0" w:color="auto"/>
                                            <w:left w:val="none" w:sz="0" w:space="0" w:color="auto"/>
                                            <w:bottom w:val="none" w:sz="0" w:space="0" w:color="auto"/>
                                            <w:right w:val="none" w:sz="0" w:space="0" w:color="auto"/>
                                          </w:divBdr>
                                          <w:divsChild>
                                            <w:div w:id="633026136">
                                              <w:marLeft w:val="0"/>
                                              <w:marRight w:val="0"/>
                                              <w:marTop w:val="0"/>
                                              <w:marBottom w:val="0"/>
                                              <w:divBdr>
                                                <w:top w:val="none" w:sz="0" w:space="0" w:color="auto"/>
                                                <w:left w:val="none" w:sz="0" w:space="0" w:color="auto"/>
                                                <w:bottom w:val="none" w:sz="0" w:space="0" w:color="auto"/>
                                                <w:right w:val="none" w:sz="0" w:space="0" w:color="auto"/>
                                              </w:divBdr>
                                            </w:div>
                                          </w:divsChild>
                                        </w:div>
                                        <w:div w:id="1573464289">
                                          <w:marLeft w:val="0"/>
                                          <w:marRight w:val="0"/>
                                          <w:marTop w:val="0"/>
                                          <w:marBottom w:val="0"/>
                                          <w:divBdr>
                                            <w:top w:val="none" w:sz="0" w:space="0" w:color="auto"/>
                                            <w:left w:val="none" w:sz="0" w:space="0" w:color="auto"/>
                                            <w:bottom w:val="none" w:sz="0" w:space="0" w:color="auto"/>
                                            <w:right w:val="none" w:sz="0" w:space="0" w:color="auto"/>
                                          </w:divBdr>
                                          <w:divsChild>
                                            <w:div w:id="5732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4733">
                                      <w:marLeft w:val="0"/>
                                      <w:marRight w:val="0"/>
                                      <w:marTop w:val="0"/>
                                      <w:marBottom w:val="0"/>
                                      <w:divBdr>
                                        <w:top w:val="none" w:sz="0" w:space="0" w:color="auto"/>
                                        <w:left w:val="none" w:sz="0" w:space="0" w:color="auto"/>
                                        <w:bottom w:val="none" w:sz="0" w:space="0" w:color="auto"/>
                                        <w:right w:val="none" w:sz="0" w:space="0" w:color="auto"/>
                                      </w:divBdr>
                                      <w:divsChild>
                                        <w:div w:id="759452231">
                                          <w:marLeft w:val="0"/>
                                          <w:marRight w:val="0"/>
                                          <w:marTop w:val="0"/>
                                          <w:marBottom w:val="0"/>
                                          <w:divBdr>
                                            <w:top w:val="none" w:sz="0" w:space="0" w:color="auto"/>
                                            <w:left w:val="none" w:sz="0" w:space="0" w:color="auto"/>
                                            <w:bottom w:val="none" w:sz="0" w:space="0" w:color="auto"/>
                                            <w:right w:val="none" w:sz="0" w:space="0" w:color="auto"/>
                                          </w:divBdr>
                                          <w:divsChild>
                                            <w:div w:id="2093577205">
                                              <w:marLeft w:val="0"/>
                                              <w:marRight w:val="0"/>
                                              <w:marTop w:val="0"/>
                                              <w:marBottom w:val="0"/>
                                              <w:divBdr>
                                                <w:top w:val="none" w:sz="0" w:space="0" w:color="auto"/>
                                                <w:left w:val="none" w:sz="0" w:space="0" w:color="auto"/>
                                                <w:bottom w:val="none" w:sz="0" w:space="0" w:color="auto"/>
                                                <w:right w:val="none" w:sz="0" w:space="0" w:color="auto"/>
                                              </w:divBdr>
                                            </w:div>
                                          </w:divsChild>
                                        </w:div>
                                        <w:div w:id="750085662">
                                          <w:marLeft w:val="0"/>
                                          <w:marRight w:val="0"/>
                                          <w:marTop w:val="0"/>
                                          <w:marBottom w:val="0"/>
                                          <w:divBdr>
                                            <w:top w:val="none" w:sz="0" w:space="0" w:color="auto"/>
                                            <w:left w:val="none" w:sz="0" w:space="0" w:color="auto"/>
                                            <w:bottom w:val="none" w:sz="0" w:space="0" w:color="auto"/>
                                            <w:right w:val="none" w:sz="0" w:space="0" w:color="auto"/>
                                          </w:divBdr>
                                          <w:divsChild>
                                            <w:div w:id="479927589">
                                              <w:marLeft w:val="0"/>
                                              <w:marRight w:val="0"/>
                                              <w:marTop w:val="0"/>
                                              <w:marBottom w:val="0"/>
                                              <w:divBdr>
                                                <w:top w:val="none" w:sz="0" w:space="0" w:color="auto"/>
                                                <w:left w:val="none" w:sz="0" w:space="0" w:color="auto"/>
                                                <w:bottom w:val="none" w:sz="0" w:space="0" w:color="auto"/>
                                                <w:right w:val="none" w:sz="0" w:space="0" w:color="auto"/>
                                              </w:divBdr>
                                            </w:div>
                                          </w:divsChild>
                                        </w:div>
                                        <w:div w:id="1753503629">
                                          <w:marLeft w:val="0"/>
                                          <w:marRight w:val="0"/>
                                          <w:marTop w:val="0"/>
                                          <w:marBottom w:val="0"/>
                                          <w:divBdr>
                                            <w:top w:val="none" w:sz="0" w:space="0" w:color="auto"/>
                                            <w:left w:val="none" w:sz="0" w:space="0" w:color="auto"/>
                                            <w:bottom w:val="none" w:sz="0" w:space="0" w:color="auto"/>
                                            <w:right w:val="none" w:sz="0" w:space="0" w:color="auto"/>
                                          </w:divBdr>
                                          <w:divsChild>
                                            <w:div w:id="827137933">
                                              <w:marLeft w:val="0"/>
                                              <w:marRight w:val="0"/>
                                              <w:marTop w:val="0"/>
                                              <w:marBottom w:val="0"/>
                                              <w:divBdr>
                                                <w:top w:val="none" w:sz="0" w:space="0" w:color="auto"/>
                                                <w:left w:val="none" w:sz="0" w:space="0" w:color="auto"/>
                                                <w:bottom w:val="none" w:sz="0" w:space="0" w:color="auto"/>
                                                <w:right w:val="none" w:sz="0" w:space="0" w:color="auto"/>
                                              </w:divBdr>
                                            </w:div>
                                          </w:divsChild>
                                        </w:div>
                                        <w:div w:id="1113675596">
                                          <w:marLeft w:val="0"/>
                                          <w:marRight w:val="0"/>
                                          <w:marTop w:val="0"/>
                                          <w:marBottom w:val="0"/>
                                          <w:divBdr>
                                            <w:top w:val="none" w:sz="0" w:space="0" w:color="auto"/>
                                            <w:left w:val="none" w:sz="0" w:space="0" w:color="auto"/>
                                            <w:bottom w:val="none" w:sz="0" w:space="0" w:color="auto"/>
                                            <w:right w:val="none" w:sz="0" w:space="0" w:color="auto"/>
                                          </w:divBdr>
                                          <w:divsChild>
                                            <w:div w:id="13884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612">
                                      <w:marLeft w:val="0"/>
                                      <w:marRight w:val="0"/>
                                      <w:marTop w:val="0"/>
                                      <w:marBottom w:val="0"/>
                                      <w:divBdr>
                                        <w:top w:val="none" w:sz="0" w:space="0" w:color="auto"/>
                                        <w:left w:val="none" w:sz="0" w:space="0" w:color="auto"/>
                                        <w:bottom w:val="none" w:sz="0" w:space="0" w:color="auto"/>
                                        <w:right w:val="none" w:sz="0" w:space="0" w:color="auto"/>
                                      </w:divBdr>
                                      <w:divsChild>
                                        <w:div w:id="69158361">
                                          <w:marLeft w:val="0"/>
                                          <w:marRight w:val="0"/>
                                          <w:marTop w:val="0"/>
                                          <w:marBottom w:val="0"/>
                                          <w:divBdr>
                                            <w:top w:val="none" w:sz="0" w:space="0" w:color="auto"/>
                                            <w:left w:val="none" w:sz="0" w:space="0" w:color="auto"/>
                                            <w:bottom w:val="none" w:sz="0" w:space="0" w:color="auto"/>
                                            <w:right w:val="none" w:sz="0" w:space="0" w:color="auto"/>
                                          </w:divBdr>
                                          <w:divsChild>
                                            <w:div w:id="835072530">
                                              <w:marLeft w:val="0"/>
                                              <w:marRight w:val="0"/>
                                              <w:marTop w:val="0"/>
                                              <w:marBottom w:val="0"/>
                                              <w:divBdr>
                                                <w:top w:val="none" w:sz="0" w:space="0" w:color="auto"/>
                                                <w:left w:val="none" w:sz="0" w:space="0" w:color="auto"/>
                                                <w:bottom w:val="none" w:sz="0" w:space="0" w:color="auto"/>
                                                <w:right w:val="none" w:sz="0" w:space="0" w:color="auto"/>
                                              </w:divBdr>
                                            </w:div>
                                          </w:divsChild>
                                        </w:div>
                                        <w:div w:id="611478513">
                                          <w:marLeft w:val="0"/>
                                          <w:marRight w:val="0"/>
                                          <w:marTop w:val="0"/>
                                          <w:marBottom w:val="0"/>
                                          <w:divBdr>
                                            <w:top w:val="none" w:sz="0" w:space="0" w:color="auto"/>
                                            <w:left w:val="none" w:sz="0" w:space="0" w:color="auto"/>
                                            <w:bottom w:val="none" w:sz="0" w:space="0" w:color="auto"/>
                                            <w:right w:val="none" w:sz="0" w:space="0" w:color="auto"/>
                                          </w:divBdr>
                                          <w:divsChild>
                                            <w:div w:id="952633609">
                                              <w:marLeft w:val="0"/>
                                              <w:marRight w:val="0"/>
                                              <w:marTop w:val="0"/>
                                              <w:marBottom w:val="0"/>
                                              <w:divBdr>
                                                <w:top w:val="none" w:sz="0" w:space="0" w:color="auto"/>
                                                <w:left w:val="none" w:sz="0" w:space="0" w:color="auto"/>
                                                <w:bottom w:val="none" w:sz="0" w:space="0" w:color="auto"/>
                                                <w:right w:val="none" w:sz="0" w:space="0" w:color="auto"/>
                                              </w:divBdr>
                                            </w:div>
                                          </w:divsChild>
                                        </w:div>
                                        <w:div w:id="1497842883">
                                          <w:marLeft w:val="0"/>
                                          <w:marRight w:val="0"/>
                                          <w:marTop w:val="0"/>
                                          <w:marBottom w:val="0"/>
                                          <w:divBdr>
                                            <w:top w:val="none" w:sz="0" w:space="0" w:color="auto"/>
                                            <w:left w:val="none" w:sz="0" w:space="0" w:color="auto"/>
                                            <w:bottom w:val="none" w:sz="0" w:space="0" w:color="auto"/>
                                            <w:right w:val="none" w:sz="0" w:space="0" w:color="auto"/>
                                          </w:divBdr>
                                          <w:divsChild>
                                            <w:div w:id="673148204">
                                              <w:marLeft w:val="0"/>
                                              <w:marRight w:val="0"/>
                                              <w:marTop w:val="0"/>
                                              <w:marBottom w:val="0"/>
                                              <w:divBdr>
                                                <w:top w:val="none" w:sz="0" w:space="0" w:color="auto"/>
                                                <w:left w:val="none" w:sz="0" w:space="0" w:color="auto"/>
                                                <w:bottom w:val="none" w:sz="0" w:space="0" w:color="auto"/>
                                                <w:right w:val="none" w:sz="0" w:space="0" w:color="auto"/>
                                              </w:divBdr>
                                            </w:div>
                                          </w:divsChild>
                                        </w:div>
                                        <w:div w:id="1496069532">
                                          <w:marLeft w:val="0"/>
                                          <w:marRight w:val="0"/>
                                          <w:marTop w:val="0"/>
                                          <w:marBottom w:val="0"/>
                                          <w:divBdr>
                                            <w:top w:val="none" w:sz="0" w:space="0" w:color="auto"/>
                                            <w:left w:val="none" w:sz="0" w:space="0" w:color="auto"/>
                                            <w:bottom w:val="none" w:sz="0" w:space="0" w:color="auto"/>
                                            <w:right w:val="none" w:sz="0" w:space="0" w:color="auto"/>
                                          </w:divBdr>
                                          <w:divsChild>
                                            <w:div w:id="2062896266">
                                              <w:marLeft w:val="0"/>
                                              <w:marRight w:val="0"/>
                                              <w:marTop w:val="0"/>
                                              <w:marBottom w:val="0"/>
                                              <w:divBdr>
                                                <w:top w:val="none" w:sz="0" w:space="0" w:color="auto"/>
                                                <w:left w:val="none" w:sz="0" w:space="0" w:color="auto"/>
                                                <w:bottom w:val="none" w:sz="0" w:space="0" w:color="auto"/>
                                                <w:right w:val="none" w:sz="0" w:space="0" w:color="auto"/>
                                              </w:divBdr>
                                            </w:div>
                                          </w:divsChild>
                                        </w:div>
                                        <w:div w:id="1361514784">
                                          <w:marLeft w:val="0"/>
                                          <w:marRight w:val="0"/>
                                          <w:marTop w:val="0"/>
                                          <w:marBottom w:val="0"/>
                                          <w:divBdr>
                                            <w:top w:val="none" w:sz="0" w:space="0" w:color="auto"/>
                                            <w:left w:val="none" w:sz="0" w:space="0" w:color="auto"/>
                                            <w:bottom w:val="none" w:sz="0" w:space="0" w:color="auto"/>
                                            <w:right w:val="none" w:sz="0" w:space="0" w:color="auto"/>
                                          </w:divBdr>
                                          <w:divsChild>
                                            <w:div w:id="8565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672073">
      <w:bodyDiv w:val="1"/>
      <w:marLeft w:val="0"/>
      <w:marRight w:val="0"/>
      <w:marTop w:val="0"/>
      <w:marBottom w:val="0"/>
      <w:divBdr>
        <w:top w:val="none" w:sz="0" w:space="0" w:color="auto"/>
        <w:left w:val="none" w:sz="0" w:space="0" w:color="auto"/>
        <w:bottom w:val="none" w:sz="0" w:space="0" w:color="auto"/>
        <w:right w:val="none" w:sz="0" w:space="0" w:color="auto"/>
      </w:divBdr>
    </w:div>
    <w:div w:id="2099062386">
      <w:bodyDiv w:val="1"/>
      <w:marLeft w:val="0"/>
      <w:marRight w:val="0"/>
      <w:marTop w:val="0"/>
      <w:marBottom w:val="0"/>
      <w:divBdr>
        <w:top w:val="none" w:sz="0" w:space="0" w:color="auto"/>
        <w:left w:val="none" w:sz="0" w:space="0" w:color="auto"/>
        <w:bottom w:val="none" w:sz="0" w:space="0" w:color="auto"/>
        <w:right w:val="none" w:sz="0" w:space="0" w:color="auto"/>
      </w:divBdr>
    </w:div>
    <w:div w:id="2099279683">
      <w:bodyDiv w:val="1"/>
      <w:marLeft w:val="0"/>
      <w:marRight w:val="0"/>
      <w:marTop w:val="0"/>
      <w:marBottom w:val="0"/>
      <w:divBdr>
        <w:top w:val="none" w:sz="0" w:space="0" w:color="auto"/>
        <w:left w:val="none" w:sz="0" w:space="0" w:color="auto"/>
        <w:bottom w:val="none" w:sz="0" w:space="0" w:color="auto"/>
        <w:right w:val="none" w:sz="0" w:space="0" w:color="auto"/>
      </w:divBdr>
      <w:divsChild>
        <w:div w:id="460224670">
          <w:marLeft w:val="0"/>
          <w:marRight w:val="0"/>
          <w:marTop w:val="0"/>
          <w:marBottom w:val="0"/>
          <w:divBdr>
            <w:top w:val="none" w:sz="0" w:space="0" w:color="auto"/>
            <w:left w:val="none" w:sz="0" w:space="0" w:color="auto"/>
            <w:bottom w:val="none" w:sz="0" w:space="0" w:color="auto"/>
            <w:right w:val="none" w:sz="0" w:space="0" w:color="auto"/>
          </w:divBdr>
          <w:divsChild>
            <w:div w:id="1352534911">
              <w:marLeft w:val="0"/>
              <w:marRight w:val="0"/>
              <w:marTop w:val="0"/>
              <w:marBottom w:val="0"/>
              <w:divBdr>
                <w:top w:val="none" w:sz="0" w:space="0" w:color="auto"/>
                <w:left w:val="none" w:sz="0" w:space="0" w:color="auto"/>
                <w:bottom w:val="none" w:sz="0" w:space="0" w:color="auto"/>
                <w:right w:val="none" w:sz="0" w:space="0" w:color="auto"/>
              </w:divBdr>
              <w:divsChild>
                <w:div w:id="501821325">
                  <w:marLeft w:val="0"/>
                  <w:marRight w:val="0"/>
                  <w:marTop w:val="0"/>
                  <w:marBottom w:val="0"/>
                  <w:divBdr>
                    <w:top w:val="none" w:sz="0" w:space="0" w:color="auto"/>
                    <w:left w:val="none" w:sz="0" w:space="0" w:color="auto"/>
                    <w:bottom w:val="none" w:sz="0" w:space="0" w:color="auto"/>
                    <w:right w:val="none" w:sz="0" w:space="0" w:color="auto"/>
                  </w:divBdr>
                  <w:divsChild>
                    <w:div w:id="1721704798">
                      <w:marLeft w:val="0"/>
                      <w:marRight w:val="0"/>
                      <w:marTop w:val="0"/>
                      <w:marBottom w:val="0"/>
                      <w:divBdr>
                        <w:top w:val="none" w:sz="0" w:space="0" w:color="auto"/>
                        <w:left w:val="none" w:sz="0" w:space="0" w:color="auto"/>
                        <w:bottom w:val="none" w:sz="0" w:space="0" w:color="auto"/>
                        <w:right w:val="none" w:sz="0" w:space="0" w:color="auto"/>
                      </w:divBdr>
                      <w:divsChild>
                        <w:div w:id="1717047807">
                          <w:marLeft w:val="0"/>
                          <w:marRight w:val="0"/>
                          <w:marTop w:val="0"/>
                          <w:marBottom w:val="0"/>
                          <w:divBdr>
                            <w:top w:val="none" w:sz="0" w:space="0" w:color="auto"/>
                            <w:left w:val="none" w:sz="0" w:space="0" w:color="auto"/>
                            <w:bottom w:val="single" w:sz="6" w:space="15" w:color="CCCCCC"/>
                            <w:right w:val="none" w:sz="0" w:space="0" w:color="auto"/>
                          </w:divBdr>
                          <w:divsChild>
                            <w:div w:id="1549075289">
                              <w:marLeft w:val="0"/>
                              <w:marRight w:val="0"/>
                              <w:marTop w:val="0"/>
                              <w:marBottom w:val="0"/>
                              <w:divBdr>
                                <w:top w:val="none" w:sz="0" w:space="0" w:color="auto"/>
                                <w:left w:val="none" w:sz="0" w:space="0" w:color="auto"/>
                                <w:bottom w:val="none" w:sz="0" w:space="0" w:color="auto"/>
                                <w:right w:val="none" w:sz="0" w:space="0" w:color="auto"/>
                              </w:divBdr>
                              <w:divsChild>
                                <w:div w:id="538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496921">
      <w:bodyDiv w:val="1"/>
      <w:marLeft w:val="0"/>
      <w:marRight w:val="0"/>
      <w:marTop w:val="0"/>
      <w:marBottom w:val="0"/>
      <w:divBdr>
        <w:top w:val="none" w:sz="0" w:space="0" w:color="auto"/>
        <w:left w:val="none" w:sz="0" w:space="0" w:color="auto"/>
        <w:bottom w:val="none" w:sz="0" w:space="0" w:color="auto"/>
        <w:right w:val="none" w:sz="0" w:space="0" w:color="auto"/>
      </w:divBdr>
      <w:divsChild>
        <w:div w:id="492307142">
          <w:marLeft w:val="0"/>
          <w:marRight w:val="0"/>
          <w:marTop w:val="0"/>
          <w:marBottom w:val="0"/>
          <w:divBdr>
            <w:top w:val="none" w:sz="0" w:space="0" w:color="auto"/>
            <w:left w:val="none" w:sz="0" w:space="0" w:color="auto"/>
            <w:bottom w:val="none" w:sz="0" w:space="0" w:color="auto"/>
            <w:right w:val="none" w:sz="0" w:space="0" w:color="auto"/>
          </w:divBdr>
          <w:divsChild>
            <w:div w:id="1138887094">
              <w:marLeft w:val="0"/>
              <w:marRight w:val="0"/>
              <w:marTop w:val="0"/>
              <w:marBottom w:val="0"/>
              <w:divBdr>
                <w:top w:val="none" w:sz="0" w:space="0" w:color="auto"/>
                <w:left w:val="none" w:sz="0" w:space="0" w:color="auto"/>
                <w:bottom w:val="none" w:sz="0" w:space="0" w:color="auto"/>
                <w:right w:val="none" w:sz="0" w:space="0" w:color="auto"/>
              </w:divBdr>
              <w:divsChild>
                <w:div w:id="295063719">
                  <w:marLeft w:val="0"/>
                  <w:marRight w:val="0"/>
                  <w:marTop w:val="0"/>
                  <w:marBottom w:val="0"/>
                  <w:divBdr>
                    <w:top w:val="none" w:sz="0" w:space="0" w:color="auto"/>
                    <w:left w:val="none" w:sz="0" w:space="0" w:color="auto"/>
                    <w:bottom w:val="none" w:sz="0" w:space="0" w:color="auto"/>
                    <w:right w:val="none" w:sz="0" w:space="0" w:color="auto"/>
                  </w:divBdr>
                  <w:divsChild>
                    <w:div w:id="652375185">
                      <w:marLeft w:val="0"/>
                      <w:marRight w:val="0"/>
                      <w:marTop w:val="0"/>
                      <w:marBottom w:val="0"/>
                      <w:divBdr>
                        <w:top w:val="none" w:sz="0" w:space="0" w:color="auto"/>
                        <w:left w:val="none" w:sz="0" w:space="0" w:color="auto"/>
                        <w:bottom w:val="none" w:sz="0" w:space="0" w:color="auto"/>
                        <w:right w:val="none" w:sz="0" w:space="0" w:color="auto"/>
                      </w:divBdr>
                      <w:divsChild>
                        <w:div w:id="939726871">
                          <w:marLeft w:val="0"/>
                          <w:marRight w:val="0"/>
                          <w:marTop w:val="0"/>
                          <w:marBottom w:val="0"/>
                          <w:divBdr>
                            <w:top w:val="none" w:sz="0" w:space="0" w:color="auto"/>
                            <w:left w:val="none" w:sz="0" w:space="0" w:color="auto"/>
                            <w:bottom w:val="none" w:sz="0" w:space="0" w:color="auto"/>
                            <w:right w:val="none" w:sz="0" w:space="0" w:color="auto"/>
                          </w:divBdr>
                          <w:divsChild>
                            <w:div w:id="105930903">
                              <w:marLeft w:val="0"/>
                              <w:marRight w:val="0"/>
                              <w:marTop w:val="0"/>
                              <w:marBottom w:val="0"/>
                              <w:divBdr>
                                <w:top w:val="none" w:sz="0" w:space="0" w:color="auto"/>
                                <w:left w:val="none" w:sz="0" w:space="0" w:color="auto"/>
                                <w:bottom w:val="none" w:sz="0" w:space="0" w:color="auto"/>
                                <w:right w:val="none" w:sz="0" w:space="0" w:color="auto"/>
                              </w:divBdr>
                              <w:divsChild>
                                <w:div w:id="1473719756">
                                  <w:marLeft w:val="0"/>
                                  <w:marRight w:val="0"/>
                                  <w:marTop w:val="0"/>
                                  <w:marBottom w:val="0"/>
                                  <w:divBdr>
                                    <w:top w:val="none" w:sz="0" w:space="0" w:color="auto"/>
                                    <w:left w:val="none" w:sz="0" w:space="0" w:color="auto"/>
                                    <w:bottom w:val="none" w:sz="0" w:space="0" w:color="auto"/>
                                    <w:right w:val="none" w:sz="0" w:space="0" w:color="auto"/>
                                  </w:divBdr>
                                  <w:divsChild>
                                    <w:div w:id="889000870">
                                      <w:marLeft w:val="0"/>
                                      <w:marRight w:val="0"/>
                                      <w:marTop w:val="0"/>
                                      <w:marBottom w:val="0"/>
                                      <w:divBdr>
                                        <w:top w:val="none" w:sz="0" w:space="0" w:color="auto"/>
                                        <w:left w:val="none" w:sz="0" w:space="0" w:color="auto"/>
                                        <w:bottom w:val="none" w:sz="0" w:space="0" w:color="auto"/>
                                        <w:right w:val="none" w:sz="0" w:space="0" w:color="auto"/>
                                      </w:divBdr>
                                      <w:divsChild>
                                        <w:div w:id="11227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04489">
      <w:bodyDiv w:val="1"/>
      <w:marLeft w:val="0"/>
      <w:marRight w:val="0"/>
      <w:marTop w:val="0"/>
      <w:marBottom w:val="0"/>
      <w:divBdr>
        <w:top w:val="none" w:sz="0" w:space="0" w:color="auto"/>
        <w:left w:val="none" w:sz="0" w:space="0" w:color="auto"/>
        <w:bottom w:val="none" w:sz="0" w:space="0" w:color="auto"/>
        <w:right w:val="none" w:sz="0" w:space="0" w:color="auto"/>
      </w:divBdr>
      <w:divsChild>
        <w:div w:id="1545410876">
          <w:marLeft w:val="0"/>
          <w:marRight w:val="0"/>
          <w:marTop w:val="0"/>
          <w:marBottom w:val="0"/>
          <w:divBdr>
            <w:top w:val="none" w:sz="0" w:space="0" w:color="auto"/>
            <w:left w:val="none" w:sz="0" w:space="0" w:color="auto"/>
            <w:bottom w:val="none" w:sz="0" w:space="0" w:color="auto"/>
            <w:right w:val="none" w:sz="0" w:space="0" w:color="auto"/>
          </w:divBdr>
        </w:div>
        <w:div w:id="478301496">
          <w:marLeft w:val="0"/>
          <w:marRight w:val="0"/>
          <w:marTop w:val="0"/>
          <w:marBottom w:val="0"/>
          <w:divBdr>
            <w:top w:val="none" w:sz="0" w:space="0" w:color="auto"/>
            <w:left w:val="none" w:sz="0" w:space="0" w:color="auto"/>
            <w:bottom w:val="none" w:sz="0" w:space="0" w:color="auto"/>
            <w:right w:val="none" w:sz="0" w:space="0" w:color="auto"/>
          </w:divBdr>
        </w:div>
      </w:divsChild>
    </w:div>
    <w:div w:id="2106607372">
      <w:bodyDiv w:val="1"/>
      <w:marLeft w:val="0"/>
      <w:marRight w:val="0"/>
      <w:marTop w:val="0"/>
      <w:marBottom w:val="0"/>
      <w:divBdr>
        <w:top w:val="none" w:sz="0" w:space="0" w:color="auto"/>
        <w:left w:val="none" w:sz="0" w:space="0" w:color="auto"/>
        <w:bottom w:val="none" w:sz="0" w:space="0" w:color="auto"/>
        <w:right w:val="none" w:sz="0" w:space="0" w:color="auto"/>
      </w:divBdr>
      <w:divsChild>
        <w:div w:id="1944262828">
          <w:marLeft w:val="0"/>
          <w:marRight w:val="0"/>
          <w:marTop w:val="0"/>
          <w:marBottom w:val="0"/>
          <w:divBdr>
            <w:top w:val="none" w:sz="0" w:space="0" w:color="auto"/>
            <w:left w:val="none" w:sz="0" w:space="0" w:color="auto"/>
            <w:bottom w:val="none" w:sz="0" w:space="0" w:color="auto"/>
            <w:right w:val="none" w:sz="0" w:space="0" w:color="auto"/>
          </w:divBdr>
          <w:divsChild>
            <w:div w:id="2131240695">
              <w:marLeft w:val="0"/>
              <w:marRight w:val="0"/>
              <w:marTop w:val="0"/>
              <w:marBottom w:val="0"/>
              <w:divBdr>
                <w:top w:val="none" w:sz="0" w:space="0" w:color="auto"/>
                <w:left w:val="none" w:sz="0" w:space="0" w:color="auto"/>
                <w:bottom w:val="none" w:sz="0" w:space="0" w:color="auto"/>
                <w:right w:val="none" w:sz="0" w:space="0" w:color="auto"/>
              </w:divBdr>
              <w:divsChild>
                <w:div w:id="1994721337">
                  <w:marLeft w:val="0"/>
                  <w:marRight w:val="0"/>
                  <w:marTop w:val="0"/>
                  <w:marBottom w:val="0"/>
                  <w:divBdr>
                    <w:top w:val="none" w:sz="0" w:space="0" w:color="auto"/>
                    <w:left w:val="none" w:sz="0" w:space="0" w:color="auto"/>
                    <w:bottom w:val="none" w:sz="0" w:space="0" w:color="auto"/>
                    <w:right w:val="none" w:sz="0" w:space="0" w:color="auto"/>
                  </w:divBdr>
                  <w:divsChild>
                    <w:div w:id="673412868">
                      <w:marLeft w:val="0"/>
                      <w:marRight w:val="0"/>
                      <w:marTop w:val="0"/>
                      <w:marBottom w:val="0"/>
                      <w:divBdr>
                        <w:top w:val="none" w:sz="0" w:space="0" w:color="auto"/>
                        <w:left w:val="none" w:sz="0" w:space="0" w:color="auto"/>
                        <w:bottom w:val="none" w:sz="0" w:space="0" w:color="auto"/>
                        <w:right w:val="none" w:sz="0" w:space="0" w:color="auto"/>
                      </w:divBdr>
                      <w:divsChild>
                        <w:div w:id="355539787">
                          <w:marLeft w:val="0"/>
                          <w:marRight w:val="0"/>
                          <w:marTop w:val="0"/>
                          <w:marBottom w:val="0"/>
                          <w:divBdr>
                            <w:top w:val="none" w:sz="0" w:space="0" w:color="auto"/>
                            <w:left w:val="none" w:sz="0" w:space="0" w:color="auto"/>
                            <w:bottom w:val="none" w:sz="0" w:space="0" w:color="auto"/>
                            <w:right w:val="none" w:sz="0" w:space="0" w:color="auto"/>
                          </w:divBdr>
                          <w:divsChild>
                            <w:div w:id="360670189">
                              <w:marLeft w:val="570"/>
                              <w:marRight w:val="720"/>
                              <w:marTop w:val="120"/>
                              <w:marBottom w:val="120"/>
                              <w:divBdr>
                                <w:top w:val="none" w:sz="0" w:space="0" w:color="auto"/>
                                <w:left w:val="none" w:sz="0" w:space="0" w:color="auto"/>
                                <w:bottom w:val="none" w:sz="0" w:space="0" w:color="auto"/>
                                <w:right w:val="none" w:sz="0" w:space="0" w:color="auto"/>
                              </w:divBdr>
                              <w:divsChild>
                                <w:div w:id="908270754">
                                  <w:marLeft w:val="0"/>
                                  <w:marRight w:val="0"/>
                                  <w:marTop w:val="0"/>
                                  <w:marBottom w:val="0"/>
                                  <w:divBdr>
                                    <w:top w:val="none" w:sz="0" w:space="0" w:color="auto"/>
                                    <w:left w:val="none" w:sz="0" w:space="0" w:color="auto"/>
                                    <w:bottom w:val="none" w:sz="0" w:space="0" w:color="auto"/>
                                    <w:right w:val="none" w:sz="0" w:space="0" w:color="auto"/>
                                  </w:divBdr>
                                  <w:divsChild>
                                    <w:div w:id="1361542785">
                                      <w:marLeft w:val="0"/>
                                      <w:marRight w:val="0"/>
                                      <w:marTop w:val="0"/>
                                      <w:marBottom w:val="0"/>
                                      <w:divBdr>
                                        <w:top w:val="none" w:sz="0" w:space="0" w:color="auto"/>
                                        <w:left w:val="none" w:sz="0" w:space="0" w:color="auto"/>
                                        <w:bottom w:val="none" w:sz="0" w:space="0" w:color="auto"/>
                                        <w:right w:val="none" w:sz="0" w:space="0" w:color="auto"/>
                                      </w:divBdr>
                                      <w:divsChild>
                                        <w:div w:id="1413812929">
                                          <w:marLeft w:val="0"/>
                                          <w:marRight w:val="0"/>
                                          <w:marTop w:val="0"/>
                                          <w:marBottom w:val="0"/>
                                          <w:divBdr>
                                            <w:top w:val="none" w:sz="0" w:space="0" w:color="auto"/>
                                            <w:left w:val="none" w:sz="0" w:space="0" w:color="auto"/>
                                            <w:bottom w:val="none" w:sz="0" w:space="0" w:color="auto"/>
                                            <w:right w:val="none" w:sz="0" w:space="0" w:color="auto"/>
                                          </w:divBdr>
                                        </w:div>
                                        <w:div w:id="873539706">
                                          <w:marLeft w:val="0"/>
                                          <w:marRight w:val="0"/>
                                          <w:marTop w:val="0"/>
                                          <w:marBottom w:val="150"/>
                                          <w:divBdr>
                                            <w:top w:val="none" w:sz="0" w:space="0" w:color="auto"/>
                                            <w:left w:val="none" w:sz="0" w:space="0" w:color="auto"/>
                                            <w:bottom w:val="none" w:sz="0" w:space="0" w:color="auto"/>
                                            <w:right w:val="none" w:sz="0" w:space="0" w:color="auto"/>
                                          </w:divBdr>
                                          <w:divsChild>
                                            <w:div w:id="352268120">
                                              <w:marLeft w:val="0"/>
                                              <w:marRight w:val="0"/>
                                              <w:marTop w:val="240"/>
                                              <w:marBottom w:val="240"/>
                                              <w:divBdr>
                                                <w:top w:val="single" w:sz="6" w:space="6" w:color="F2F2F2"/>
                                                <w:left w:val="none" w:sz="0" w:space="0" w:color="auto"/>
                                                <w:bottom w:val="single" w:sz="6" w:space="6" w:color="F2F2F2"/>
                                                <w:right w:val="none" w:sz="0" w:space="0" w:color="auto"/>
                                              </w:divBdr>
                                            </w:div>
                                            <w:div w:id="1338074807">
                                              <w:marLeft w:val="0"/>
                                              <w:marRight w:val="0"/>
                                              <w:marTop w:val="0"/>
                                              <w:marBottom w:val="0"/>
                                              <w:divBdr>
                                                <w:top w:val="none" w:sz="0" w:space="0" w:color="auto"/>
                                                <w:left w:val="none" w:sz="0" w:space="0" w:color="auto"/>
                                                <w:bottom w:val="none" w:sz="0" w:space="0" w:color="auto"/>
                                                <w:right w:val="none" w:sz="0" w:space="0" w:color="auto"/>
                                              </w:divBdr>
                                              <w:divsChild>
                                                <w:div w:id="1179806091">
                                                  <w:marLeft w:val="0"/>
                                                  <w:marRight w:val="0"/>
                                                  <w:marTop w:val="0"/>
                                                  <w:marBottom w:val="240"/>
                                                  <w:divBdr>
                                                    <w:top w:val="none" w:sz="0" w:space="0" w:color="auto"/>
                                                    <w:left w:val="none" w:sz="0" w:space="0" w:color="auto"/>
                                                    <w:bottom w:val="none" w:sz="0" w:space="0" w:color="auto"/>
                                                    <w:right w:val="none" w:sz="0" w:space="0" w:color="auto"/>
                                                  </w:divBdr>
                                                </w:div>
                                                <w:div w:id="39617409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993124">
      <w:bodyDiv w:val="1"/>
      <w:marLeft w:val="0"/>
      <w:marRight w:val="0"/>
      <w:marTop w:val="0"/>
      <w:marBottom w:val="0"/>
      <w:divBdr>
        <w:top w:val="none" w:sz="0" w:space="0" w:color="auto"/>
        <w:left w:val="none" w:sz="0" w:space="0" w:color="auto"/>
        <w:bottom w:val="none" w:sz="0" w:space="0" w:color="auto"/>
        <w:right w:val="none" w:sz="0" w:space="0" w:color="auto"/>
      </w:divBdr>
    </w:div>
    <w:div w:id="2108382920">
      <w:bodyDiv w:val="1"/>
      <w:marLeft w:val="0"/>
      <w:marRight w:val="0"/>
      <w:marTop w:val="0"/>
      <w:marBottom w:val="0"/>
      <w:divBdr>
        <w:top w:val="none" w:sz="0" w:space="0" w:color="auto"/>
        <w:left w:val="none" w:sz="0" w:space="0" w:color="auto"/>
        <w:bottom w:val="none" w:sz="0" w:space="0" w:color="auto"/>
        <w:right w:val="none" w:sz="0" w:space="0" w:color="auto"/>
      </w:divBdr>
    </w:div>
    <w:div w:id="2109889592">
      <w:bodyDiv w:val="1"/>
      <w:marLeft w:val="0"/>
      <w:marRight w:val="0"/>
      <w:marTop w:val="0"/>
      <w:marBottom w:val="0"/>
      <w:divBdr>
        <w:top w:val="none" w:sz="0" w:space="0" w:color="auto"/>
        <w:left w:val="none" w:sz="0" w:space="0" w:color="auto"/>
        <w:bottom w:val="none" w:sz="0" w:space="0" w:color="auto"/>
        <w:right w:val="none" w:sz="0" w:space="0" w:color="auto"/>
      </w:divBdr>
      <w:divsChild>
        <w:div w:id="216824740">
          <w:marLeft w:val="0"/>
          <w:marRight w:val="0"/>
          <w:marTop w:val="0"/>
          <w:marBottom w:val="0"/>
          <w:divBdr>
            <w:top w:val="none" w:sz="0" w:space="0" w:color="auto"/>
            <w:left w:val="none" w:sz="0" w:space="0" w:color="auto"/>
            <w:bottom w:val="none" w:sz="0" w:space="0" w:color="auto"/>
            <w:right w:val="none" w:sz="0" w:space="0" w:color="auto"/>
          </w:divBdr>
          <w:divsChild>
            <w:div w:id="2122459202">
              <w:marLeft w:val="0"/>
              <w:marRight w:val="0"/>
              <w:marTop w:val="150"/>
              <w:marBottom w:val="0"/>
              <w:divBdr>
                <w:top w:val="none" w:sz="0" w:space="0" w:color="auto"/>
                <w:left w:val="none" w:sz="0" w:space="0" w:color="auto"/>
                <w:bottom w:val="none" w:sz="0" w:space="0" w:color="auto"/>
                <w:right w:val="none" w:sz="0" w:space="0" w:color="auto"/>
              </w:divBdr>
              <w:divsChild>
                <w:div w:id="386413575">
                  <w:marLeft w:val="0"/>
                  <w:marRight w:val="0"/>
                  <w:marTop w:val="0"/>
                  <w:marBottom w:val="0"/>
                  <w:divBdr>
                    <w:top w:val="none" w:sz="0" w:space="0" w:color="auto"/>
                    <w:left w:val="none" w:sz="0" w:space="0" w:color="auto"/>
                    <w:bottom w:val="none" w:sz="0" w:space="0" w:color="auto"/>
                    <w:right w:val="none" w:sz="0" w:space="0" w:color="auto"/>
                  </w:divBdr>
                  <w:divsChild>
                    <w:div w:id="385419475">
                      <w:marLeft w:val="0"/>
                      <w:marRight w:val="0"/>
                      <w:marTop w:val="0"/>
                      <w:marBottom w:val="0"/>
                      <w:divBdr>
                        <w:top w:val="none" w:sz="0" w:space="0" w:color="auto"/>
                        <w:left w:val="none" w:sz="0" w:space="0" w:color="auto"/>
                        <w:bottom w:val="none" w:sz="0" w:space="0" w:color="auto"/>
                        <w:right w:val="none" w:sz="0" w:space="0" w:color="auto"/>
                      </w:divBdr>
                      <w:divsChild>
                        <w:div w:id="15338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57913">
      <w:bodyDiv w:val="1"/>
      <w:marLeft w:val="0"/>
      <w:marRight w:val="0"/>
      <w:marTop w:val="0"/>
      <w:marBottom w:val="0"/>
      <w:divBdr>
        <w:top w:val="none" w:sz="0" w:space="0" w:color="auto"/>
        <w:left w:val="none" w:sz="0" w:space="0" w:color="auto"/>
        <w:bottom w:val="none" w:sz="0" w:space="0" w:color="auto"/>
        <w:right w:val="none" w:sz="0" w:space="0" w:color="auto"/>
      </w:divBdr>
      <w:divsChild>
        <w:div w:id="1882396211">
          <w:marLeft w:val="0"/>
          <w:marRight w:val="0"/>
          <w:marTop w:val="0"/>
          <w:marBottom w:val="0"/>
          <w:divBdr>
            <w:top w:val="none" w:sz="0" w:space="0" w:color="auto"/>
            <w:left w:val="none" w:sz="0" w:space="0" w:color="auto"/>
            <w:bottom w:val="none" w:sz="0" w:space="0" w:color="auto"/>
            <w:right w:val="none" w:sz="0" w:space="0" w:color="auto"/>
          </w:divBdr>
        </w:div>
      </w:divsChild>
    </w:div>
    <w:div w:id="2110662636">
      <w:bodyDiv w:val="1"/>
      <w:marLeft w:val="0"/>
      <w:marRight w:val="0"/>
      <w:marTop w:val="0"/>
      <w:marBottom w:val="0"/>
      <w:divBdr>
        <w:top w:val="none" w:sz="0" w:space="0" w:color="auto"/>
        <w:left w:val="none" w:sz="0" w:space="0" w:color="auto"/>
        <w:bottom w:val="none" w:sz="0" w:space="0" w:color="auto"/>
        <w:right w:val="none" w:sz="0" w:space="0" w:color="auto"/>
      </w:divBdr>
      <w:divsChild>
        <w:div w:id="810902111">
          <w:marLeft w:val="0"/>
          <w:marRight w:val="0"/>
          <w:marTop w:val="0"/>
          <w:marBottom w:val="0"/>
          <w:divBdr>
            <w:top w:val="none" w:sz="0" w:space="0" w:color="auto"/>
            <w:left w:val="none" w:sz="0" w:space="0" w:color="auto"/>
            <w:bottom w:val="none" w:sz="0" w:space="0" w:color="auto"/>
            <w:right w:val="none" w:sz="0" w:space="0" w:color="auto"/>
          </w:divBdr>
          <w:divsChild>
            <w:div w:id="1159887461">
              <w:marLeft w:val="0"/>
              <w:marRight w:val="0"/>
              <w:marTop w:val="0"/>
              <w:marBottom w:val="0"/>
              <w:divBdr>
                <w:top w:val="none" w:sz="0" w:space="0" w:color="auto"/>
                <w:left w:val="none" w:sz="0" w:space="0" w:color="auto"/>
                <w:bottom w:val="none" w:sz="0" w:space="0" w:color="auto"/>
                <w:right w:val="none" w:sz="0" w:space="0" w:color="auto"/>
              </w:divBdr>
              <w:divsChild>
                <w:div w:id="1408070589">
                  <w:marLeft w:val="0"/>
                  <w:marRight w:val="0"/>
                  <w:marTop w:val="0"/>
                  <w:marBottom w:val="0"/>
                  <w:divBdr>
                    <w:top w:val="none" w:sz="0" w:space="0" w:color="auto"/>
                    <w:left w:val="none" w:sz="0" w:space="0" w:color="auto"/>
                    <w:bottom w:val="none" w:sz="0" w:space="0" w:color="auto"/>
                    <w:right w:val="none" w:sz="0" w:space="0" w:color="auto"/>
                  </w:divBdr>
                  <w:divsChild>
                    <w:div w:id="1769882094">
                      <w:marLeft w:val="0"/>
                      <w:marRight w:val="0"/>
                      <w:marTop w:val="0"/>
                      <w:marBottom w:val="0"/>
                      <w:divBdr>
                        <w:top w:val="none" w:sz="0" w:space="0" w:color="auto"/>
                        <w:left w:val="none" w:sz="0" w:space="0" w:color="auto"/>
                        <w:bottom w:val="none" w:sz="0" w:space="0" w:color="auto"/>
                        <w:right w:val="none" w:sz="0" w:space="0" w:color="auto"/>
                      </w:divBdr>
                      <w:divsChild>
                        <w:div w:id="2016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923117">
      <w:bodyDiv w:val="1"/>
      <w:marLeft w:val="0"/>
      <w:marRight w:val="0"/>
      <w:marTop w:val="0"/>
      <w:marBottom w:val="0"/>
      <w:divBdr>
        <w:top w:val="none" w:sz="0" w:space="0" w:color="auto"/>
        <w:left w:val="none" w:sz="0" w:space="0" w:color="auto"/>
        <w:bottom w:val="none" w:sz="0" w:space="0" w:color="auto"/>
        <w:right w:val="none" w:sz="0" w:space="0" w:color="auto"/>
      </w:divBdr>
      <w:divsChild>
        <w:div w:id="1884291666">
          <w:marLeft w:val="0"/>
          <w:marRight w:val="0"/>
          <w:marTop w:val="0"/>
          <w:marBottom w:val="0"/>
          <w:divBdr>
            <w:top w:val="none" w:sz="0" w:space="0" w:color="auto"/>
            <w:left w:val="none" w:sz="0" w:space="0" w:color="auto"/>
            <w:bottom w:val="none" w:sz="0" w:space="0" w:color="auto"/>
            <w:right w:val="none" w:sz="0" w:space="0" w:color="auto"/>
          </w:divBdr>
        </w:div>
      </w:divsChild>
    </w:div>
    <w:div w:id="2113083328">
      <w:bodyDiv w:val="1"/>
      <w:marLeft w:val="0"/>
      <w:marRight w:val="0"/>
      <w:marTop w:val="0"/>
      <w:marBottom w:val="0"/>
      <w:divBdr>
        <w:top w:val="none" w:sz="0" w:space="0" w:color="auto"/>
        <w:left w:val="none" w:sz="0" w:space="0" w:color="auto"/>
        <w:bottom w:val="none" w:sz="0" w:space="0" w:color="auto"/>
        <w:right w:val="none" w:sz="0" w:space="0" w:color="auto"/>
      </w:divBdr>
      <w:divsChild>
        <w:div w:id="1833447950">
          <w:marLeft w:val="0"/>
          <w:marRight w:val="0"/>
          <w:marTop w:val="0"/>
          <w:marBottom w:val="0"/>
          <w:divBdr>
            <w:top w:val="none" w:sz="0" w:space="0" w:color="auto"/>
            <w:left w:val="none" w:sz="0" w:space="0" w:color="auto"/>
            <w:bottom w:val="none" w:sz="0" w:space="0" w:color="auto"/>
            <w:right w:val="none" w:sz="0" w:space="0" w:color="auto"/>
          </w:divBdr>
          <w:divsChild>
            <w:div w:id="2137984567">
              <w:marLeft w:val="0"/>
              <w:marRight w:val="0"/>
              <w:marTop w:val="0"/>
              <w:marBottom w:val="450"/>
              <w:divBdr>
                <w:top w:val="none" w:sz="0" w:space="0" w:color="auto"/>
                <w:left w:val="none" w:sz="0" w:space="0" w:color="auto"/>
                <w:bottom w:val="none" w:sz="0" w:space="0" w:color="auto"/>
                <w:right w:val="none" w:sz="0" w:space="0" w:color="auto"/>
              </w:divBdr>
            </w:div>
          </w:divsChild>
        </w:div>
        <w:div w:id="533004528">
          <w:marLeft w:val="0"/>
          <w:marRight w:val="0"/>
          <w:marTop w:val="0"/>
          <w:marBottom w:val="0"/>
          <w:divBdr>
            <w:top w:val="none" w:sz="0" w:space="0" w:color="auto"/>
            <w:left w:val="none" w:sz="0" w:space="0" w:color="auto"/>
            <w:bottom w:val="none" w:sz="0" w:space="0" w:color="auto"/>
            <w:right w:val="none" w:sz="0" w:space="0" w:color="auto"/>
          </w:divBdr>
          <w:divsChild>
            <w:div w:id="17569753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15660885">
      <w:bodyDiv w:val="1"/>
      <w:marLeft w:val="0"/>
      <w:marRight w:val="0"/>
      <w:marTop w:val="0"/>
      <w:marBottom w:val="0"/>
      <w:divBdr>
        <w:top w:val="none" w:sz="0" w:space="0" w:color="auto"/>
        <w:left w:val="none" w:sz="0" w:space="0" w:color="auto"/>
        <w:bottom w:val="none" w:sz="0" w:space="0" w:color="auto"/>
        <w:right w:val="none" w:sz="0" w:space="0" w:color="auto"/>
      </w:divBdr>
      <w:divsChild>
        <w:div w:id="870723377">
          <w:marLeft w:val="0"/>
          <w:marRight w:val="0"/>
          <w:marTop w:val="0"/>
          <w:marBottom w:val="0"/>
          <w:divBdr>
            <w:top w:val="none" w:sz="0" w:space="0" w:color="auto"/>
            <w:left w:val="none" w:sz="0" w:space="0" w:color="auto"/>
            <w:bottom w:val="none" w:sz="0" w:space="0" w:color="auto"/>
            <w:right w:val="none" w:sz="0" w:space="0" w:color="auto"/>
          </w:divBdr>
          <w:divsChild>
            <w:div w:id="2007056003">
              <w:marLeft w:val="0"/>
              <w:marRight w:val="0"/>
              <w:marTop w:val="0"/>
              <w:marBottom w:val="0"/>
              <w:divBdr>
                <w:top w:val="none" w:sz="0" w:space="0" w:color="auto"/>
                <w:left w:val="none" w:sz="0" w:space="0" w:color="auto"/>
                <w:bottom w:val="none" w:sz="0" w:space="0" w:color="auto"/>
                <w:right w:val="none" w:sz="0" w:space="0" w:color="auto"/>
              </w:divBdr>
              <w:divsChild>
                <w:div w:id="554320517">
                  <w:marLeft w:val="250"/>
                  <w:marRight w:val="250"/>
                  <w:marTop w:val="275"/>
                  <w:marBottom w:val="0"/>
                  <w:divBdr>
                    <w:top w:val="none" w:sz="0" w:space="0" w:color="auto"/>
                    <w:left w:val="none" w:sz="0" w:space="0" w:color="auto"/>
                    <w:bottom w:val="none" w:sz="0" w:space="0" w:color="auto"/>
                    <w:right w:val="none" w:sz="0" w:space="0" w:color="auto"/>
                  </w:divBdr>
                  <w:divsChild>
                    <w:div w:id="1134786009">
                      <w:marLeft w:val="0"/>
                      <w:marRight w:val="0"/>
                      <w:marTop w:val="0"/>
                      <w:marBottom w:val="0"/>
                      <w:divBdr>
                        <w:top w:val="none" w:sz="0" w:space="0" w:color="auto"/>
                        <w:left w:val="none" w:sz="0" w:space="0" w:color="auto"/>
                        <w:bottom w:val="none" w:sz="0" w:space="0" w:color="auto"/>
                        <w:right w:val="none" w:sz="0" w:space="0" w:color="auto"/>
                      </w:divBdr>
                    </w:div>
                    <w:div w:id="5072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17199">
      <w:bodyDiv w:val="1"/>
      <w:marLeft w:val="0"/>
      <w:marRight w:val="0"/>
      <w:marTop w:val="0"/>
      <w:marBottom w:val="0"/>
      <w:divBdr>
        <w:top w:val="none" w:sz="0" w:space="0" w:color="auto"/>
        <w:left w:val="none" w:sz="0" w:space="0" w:color="auto"/>
        <w:bottom w:val="none" w:sz="0" w:space="0" w:color="auto"/>
        <w:right w:val="none" w:sz="0" w:space="0" w:color="auto"/>
      </w:divBdr>
      <w:divsChild>
        <w:div w:id="167909571">
          <w:marLeft w:val="0"/>
          <w:marRight w:val="0"/>
          <w:marTop w:val="0"/>
          <w:marBottom w:val="0"/>
          <w:divBdr>
            <w:top w:val="single" w:sz="6" w:space="0" w:color="0E477A"/>
            <w:left w:val="single" w:sz="6" w:space="0" w:color="0E477A"/>
            <w:bottom w:val="single" w:sz="6" w:space="0" w:color="0E477A"/>
            <w:right w:val="single" w:sz="6" w:space="0" w:color="0E477A"/>
          </w:divBdr>
          <w:divsChild>
            <w:div w:id="1628780291">
              <w:marLeft w:val="2925"/>
              <w:marRight w:val="0"/>
              <w:marTop w:val="0"/>
              <w:marBottom w:val="0"/>
              <w:divBdr>
                <w:top w:val="none" w:sz="0" w:space="0" w:color="auto"/>
                <w:left w:val="none" w:sz="0" w:space="0" w:color="auto"/>
                <w:bottom w:val="none" w:sz="0" w:space="0" w:color="auto"/>
                <w:right w:val="none" w:sz="0" w:space="0" w:color="auto"/>
              </w:divBdr>
              <w:divsChild>
                <w:div w:id="1295214922">
                  <w:marLeft w:val="0"/>
                  <w:marRight w:val="0"/>
                  <w:marTop w:val="0"/>
                  <w:marBottom w:val="0"/>
                  <w:divBdr>
                    <w:top w:val="none" w:sz="0" w:space="0" w:color="auto"/>
                    <w:left w:val="none" w:sz="0" w:space="0" w:color="auto"/>
                    <w:bottom w:val="none" w:sz="0" w:space="0" w:color="auto"/>
                    <w:right w:val="none" w:sz="0" w:space="0" w:color="auto"/>
                  </w:divBdr>
                  <w:divsChild>
                    <w:div w:id="273487889">
                      <w:marLeft w:val="0"/>
                      <w:marRight w:val="150"/>
                      <w:marTop w:val="0"/>
                      <w:marBottom w:val="0"/>
                      <w:divBdr>
                        <w:top w:val="single" w:sz="6" w:space="0" w:color="CCCCCC"/>
                        <w:left w:val="single" w:sz="6" w:space="8" w:color="CCCCCC"/>
                        <w:bottom w:val="single" w:sz="6" w:space="8" w:color="CCCCCC"/>
                        <w:right w:val="single" w:sz="6" w:space="8" w:color="CCCCCC"/>
                      </w:divBdr>
                      <w:divsChild>
                        <w:div w:id="1648322548">
                          <w:marLeft w:val="0"/>
                          <w:marRight w:val="0"/>
                          <w:marTop w:val="0"/>
                          <w:marBottom w:val="0"/>
                          <w:divBdr>
                            <w:top w:val="none" w:sz="0" w:space="0" w:color="auto"/>
                            <w:left w:val="none" w:sz="0" w:space="0" w:color="auto"/>
                            <w:bottom w:val="none" w:sz="0" w:space="0" w:color="auto"/>
                            <w:right w:val="none" w:sz="0" w:space="0" w:color="auto"/>
                          </w:divBdr>
                        </w:div>
                        <w:div w:id="660354930">
                          <w:marLeft w:val="0"/>
                          <w:marRight w:val="0"/>
                          <w:marTop w:val="0"/>
                          <w:marBottom w:val="0"/>
                          <w:divBdr>
                            <w:top w:val="none" w:sz="0" w:space="0" w:color="auto"/>
                            <w:left w:val="none" w:sz="0" w:space="0" w:color="auto"/>
                            <w:bottom w:val="none" w:sz="0" w:space="0" w:color="auto"/>
                            <w:right w:val="none" w:sz="0" w:space="0" w:color="auto"/>
                          </w:divBdr>
                        </w:div>
                        <w:div w:id="804810047">
                          <w:marLeft w:val="0"/>
                          <w:marRight w:val="0"/>
                          <w:marTop w:val="0"/>
                          <w:marBottom w:val="0"/>
                          <w:divBdr>
                            <w:top w:val="none" w:sz="0" w:space="0" w:color="auto"/>
                            <w:left w:val="none" w:sz="0" w:space="0" w:color="auto"/>
                            <w:bottom w:val="none" w:sz="0" w:space="0" w:color="auto"/>
                            <w:right w:val="none" w:sz="0" w:space="0" w:color="auto"/>
                          </w:divBdr>
                        </w:div>
                        <w:div w:id="919485841">
                          <w:marLeft w:val="0"/>
                          <w:marRight w:val="0"/>
                          <w:marTop w:val="0"/>
                          <w:marBottom w:val="0"/>
                          <w:divBdr>
                            <w:top w:val="none" w:sz="0" w:space="0" w:color="auto"/>
                            <w:left w:val="none" w:sz="0" w:space="0" w:color="auto"/>
                            <w:bottom w:val="none" w:sz="0" w:space="0" w:color="auto"/>
                            <w:right w:val="none" w:sz="0" w:space="0" w:color="auto"/>
                          </w:divBdr>
                        </w:div>
                        <w:div w:id="2023124557">
                          <w:marLeft w:val="0"/>
                          <w:marRight w:val="0"/>
                          <w:marTop w:val="0"/>
                          <w:marBottom w:val="0"/>
                          <w:divBdr>
                            <w:top w:val="none" w:sz="0" w:space="0" w:color="auto"/>
                            <w:left w:val="none" w:sz="0" w:space="0" w:color="auto"/>
                            <w:bottom w:val="none" w:sz="0" w:space="0" w:color="auto"/>
                            <w:right w:val="none" w:sz="0" w:space="0" w:color="auto"/>
                          </w:divBdr>
                        </w:div>
                        <w:div w:id="671493822">
                          <w:marLeft w:val="0"/>
                          <w:marRight w:val="0"/>
                          <w:marTop w:val="0"/>
                          <w:marBottom w:val="0"/>
                          <w:divBdr>
                            <w:top w:val="none" w:sz="0" w:space="0" w:color="auto"/>
                            <w:left w:val="none" w:sz="0" w:space="0" w:color="auto"/>
                            <w:bottom w:val="none" w:sz="0" w:space="0" w:color="auto"/>
                            <w:right w:val="none" w:sz="0" w:space="0" w:color="auto"/>
                          </w:divBdr>
                        </w:div>
                        <w:div w:id="1122455018">
                          <w:marLeft w:val="0"/>
                          <w:marRight w:val="0"/>
                          <w:marTop w:val="0"/>
                          <w:marBottom w:val="0"/>
                          <w:divBdr>
                            <w:top w:val="none" w:sz="0" w:space="0" w:color="auto"/>
                            <w:left w:val="none" w:sz="0" w:space="0" w:color="auto"/>
                            <w:bottom w:val="none" w:sz="0" w:space="0" w:color="auto"/>
                            <w:right w:val="none" w:sz="0" w:space="0" w:color="auto"/>
                          </w:divBdr>
                        </w:div>
                        <w:div w:id="9132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485029">
      <w:bodyDiv w:val="1"/>
      <w:marLeft w:val="0"/>
      <w:marRight w:val="0"/>
      <w:marTop w:val="0"/>
      <w:marBottom w:val="0"/>
      <w:divBdr>
        <w:top w:val="none" w:sz="0" w:space="0" w:color="auto"/>
        <w:left w:val="none" w:sz="0" w:space="0" w:color="auto"/>
        <w:bottom w:val="none" w:sz="0" w:space="0" w:color="auto"/>
        <w:right w:val="none" w:sz="0" w:space="0" w:color="auto"/>
      </w:divBdr>
    </w:div>
    <w:div w:id="2117601010">
      <w:bodyDiv w:val="1"/>
      <w:marLeft w:val="0"/>
      <w:marRight w:val="0"/>
      <w:marTop w:val="0"/>
      <w:marBottom w:val="0"/>
      <w:divBdr>
        <w:top w:val="none" w:sz="0" w:space="0" w:color="auto"/>
        <w:left w:val="none" w:sz="0" w:space="0" w:color="auto"/>
        <w:bottom w:val="none" w:sz="0" w:space="0" w:color="auto"/>
        <w:right w:val="none" w:sz="0" w:space="0" w:color="auto"/>
      </w:divBdr>
      <w:divsChild>
        <w:div w:id="993872808">
          <w:marLeft w:val="0"/>
          <w:marRight w:val="0"/>
          <w:marTop w:val="0"/>
          <w:marBottom w:val="0"/>
          <w:divBdr>
            <w:top w:val="single" w:sz="4" w:space="0" w:color="0E477A"/>
            <w:left w:val="single" w:sz="4" w:space="0" w:color="0E477A"/>
            <w:bottom w:val="single" w:sz="4" w:space="0" w:color="0E477A"/>
            <w:right w:val="single" w:sz="4" w:space="0" w:color="0E477A"/>
          </w:divBdr>
          <w:divsChild>
            <w:div w:id="1145468281">
              <w:marLeft w:val="2442"/>
              <w:marRight w:val="0"/>
              <w:marTop w:val="0"/>
              <w:marBottom w:val="0"/>
              <w:divBdr>
                <w:top w:val="none" w:sz="0" w:space="0" w:color="auto"/>
                <w:left w:val="none" w:sz="0" w:space="0" w:color="auto"/>
                <w:bottom w:val="none" w:sz="0" w:space="0" w:color="auto"/>
                <w:right w:val="none" w:sz="0" w:space="0" w:color="auto"/>
              </w:divBdr>
              <w:divsChild>
                <w:div w:id="395469229">
                  <w:marLeft w:val="0"/>
                  <w:marRight w:val="0"/>
                  <w:marTop w:val="0"/>
                  <w:marBottom w:val="0"/>
                  <w:divBdr>
                    <w:top w:val="none" w:sz="0" w:space="0" w:color="auto"/>
                    <w:left w:val="none" w:sz="0" w:space="0" w:color="auto"/>
                    <w:bottom w:val="none" w:sz="0" w:space="0" w:color="auto"/>
                    <w:right w:val="none" w:sz="0" w:space="0" w:color="auto"/>
                  </w:divBdr>
                  <w:divsChild>
                    <w:div w:id="947741847">
                      <w:marLeft w:val="0"/>
                      <w:marRight w:val="125"/>
                      <w:marTop w:val="0"/>
                      <w:marBottom w:val="0"/>
                      <w:divBdr>
                        <w:top w:val="single" w:sz="4" w:space="0" w:color="CCCCCC"/>
                        <w:left w:val="single" w:sz="4" w:space="6" w:color="CCCCCC"/>
                        <w:bottom w:val="single" w:sz="4" w:space="6" w:color="CCCCCC"/>
                        <w:right w:val="single" w:sz="4" w:space="6" w:color="CCCCCC"/>
                      </w:divBdr>
                      <w:divsChild>
                        <w:div w:id="346760183">
                          <w:marLeft w:val="0"/>
                          <w:marRight w:val="0"/>
                          <w:marTop w:val="0"/>
                          <w:marBottom w:val="0"/>
                          <w:divBdr>
                            <w:top w:val="none" w:sz="0" w:space="0" w:color="auto"/>
                            <w:left w:val="none" w:sz="0" w:space="0" w:color="auto"/>
                            <w:bottom w:val="none" w:sz="0" w:space="0" w:color="auto"/>
                            <w:right w:val="none" w:sz="0" w:space="0" w:color="auto"/>
                          </w:divBdr>
                        </w:div>
                        <w:div w:id="1531798173">
                          <w:marLeft w:val="0"/>
                          <w:marRight w:val="0"/>
                          <w:marTop w:val="0"/>
                          <w:marBottom w:val="0"/>
                          <w:divBdr>
                            <w:top w:val="none" w:sz="0" w:space="0" w:color="auto"/>
                            <w:left w:val="none" w:sz="0" w:space="0" w:color="auto"/>
                            <w:bottom w:val="none" w:sz="0" w:space="0" w:color="auto"/>
                            <w:right w:val="none" w:sz="0" w:space="0" w:color="auto"/>
                          </w:divBdr>
                        </w:div>
                        <w:div w:id="1207792067">
                          <w:marLeft w:val="0"/>
                          <w:marRight w:val="0"/>
                          <w:marTop w:val="0"/>
                          <w:marBottom w:val="0"/>
                          <w:divBdr>
                            <w:top w:val="none" w:sz="0" w:space="0" w:color="auto"/>
                            <w:left w:val="none" w:sz="0" w:space="0" w:color="auto"/>
                            <w:bottom w:val="none" w:sz="0" w:space="0" w:color="auto"/>
                            <w:right w:val="none" w:sz="0" w:space="0" w:color="auto"/>
                          </w:divBdr>
                        </w:div>
                        <w:div w:id="1856769884">
                          <w:marLeft w:val="0"/>
                          <w:marRight w:val="0"/>
                          <w:marTop w:val="0"/>
                          <w:marBottom w:val="0"/>
                          <w:divBdr>
                            <w:top w:val="none" w:sz="0" w:space="0" w:color="auto"/>
                            <w:left w:val="none" w:sz="0" w:space="0" w:color="auto"/>
                            <w:bottom w:val="none" w:sz="0" w:space="0" w:color="auto"/>
                            <w:right w:val="none" w:sz="0" w:space="0" w:color="auto"/>
                          </w:divBdr>
                        </w:div>
                        <w:div w:id="1413047707">
                          <w:marLeft w:val="0"/>
                          <w:marRight w:val="0"/>
                          <w:marTop w:val="0"/>
                          <w:marBottom w:val="0"/>
                          <w:divBdr>
                            <w:top w:val="none" w:sz="0" w:space="0" w:color="auto"/>
                            <w:left w:val="none" w:sz="0" w:space="0" w:color="auto"/>
                            <w:bottom w:val="none" w:sz="0" w:space="0" w:color="auto"/>
                            <w:right w:val="none" w:sz="0" w:space="0" w:color="auto"/>
                          </w:divBdr>
                        </w:div>
                        <w:div w:id="395207580">
                          <w:marLeft w:val="0"/>
                          <w:marRight w:val="0"/>
                          <w:marTop w:val="0"/>
                          <w:marBottom w:val="0"/>
                          <w:divBdr>
                            <w:top w:val="none" w:sz="0" w:space="0" w:color="auto"/>
                            <w:left w:val="none" w:sz="0" w:space="0" w:color="auto"/>
                            <w:bottom w:val="none" w:sz="0" w:space="0" w:color="auto"/>
                            <w:right w:val="none" w:sz="0" w:space="0" w:color="auto"/>
                          </w:divBdr>
                        </w:div>
                        <w:div w:id="2132552426">
                          <w:marLeft w:val="0"/>
                          <w:marRight w:val="0"/>
                          <w:marTop w:val="0"/>
                          <w:marBottom w:val="0"/>
                          <w:divBdr>
                            <w:top w:val="none" w:sz="0" w:space="0" w:color="auto"/>
                            <w:left w:val="none" w:sz="0" w:space="0" w:color="auto"/>
                            <w:bottom w:val="none" w:sz="0" w:space="0" w:color="auto"/>
                            <w:right w:val="none" w:sz="0" w:space="0" w:color="auto"/>
                          </w:divBdr>
                        </w:div>
                        <w:div w:id="1744181860">
                          <w:marLeft w:val="0"/>
                          <w:marRight w:val="0"/>
                          <w:marTop w:val="0"/>
                          <w:marBottom w:val="0"/>
                          <w:divBdr>
                            <w:top w:val="none" w:sz="0" w:space="0" w:color="auto"/>
                            <w:left w:val="none" w:sz="0" w:space="0" w:color="auto"/>
                            <w:bottom w:val="none" w:sz="0" w:space="0" w:color="auto"/>
                            <w:right w:val="none" w:sz="0" w:space="0" w:color="auto"/>
                          </w:divBdr>
                        </w:div>
                        <w:div w:id="104740837">
                          <w:marLeft w:val="0"/>
                          <w:marRight w:val="0"/>
                          <w:marTop w:val="0"/>
                          <w:marBottom w:val="0"/>
                          <w:divBdr>
                            <w:top w:val="none" w:sz="0" w:space="0" w:color="auto"/>
                            <w:left w:val="none" w:sz="0" w:space="0" w:color="auto"/>
                            <w:bottom w:val="none" w:sz="0" w:space="0" w:color="auto"/>
                            <w:right w:val="none" w:sz="0" w:space="0" w:color="auto"/>
                          </w:divBdr>
                        </w:div>
                        <w:div w:id="18626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6189">
      <w:bodyDiv w:val="1"/>
      <w:marLeft w:val="0"/>
      <w:marRight w:val="0"/>
      <w:marTop w:val="0"/>
      <w:marBottom w:val="0"/>
      <w:divBdr>
        <w:top w:val="none" w:sz="0" w:space="0" w:color="auto"/>
        <w:left w:val="none" w:sz="0" w:space="0" w:color="auto"/>
        <w:bottom w:val="none" w:sz="0" w:space="0" w:color="auto"/>
        <w:right w:val="none" w:sz="0" w:space="0" w:color="auto"/>
      </w:divBdr>
      <w:divsChild>
        <w:div w:id="980840913">
          <w:marLeft w:val="0"/>
          <w:marRight w:val="0"/>
          <w:marTop w:val="0"/>
          <w:marBottom w:val="0"/>
          <w:divBdr>
            <w:top w:val="none" w:sz="0" w:space="0" w:color="auto"/>
            <w:left w:val="none" w:sz="0" w:space="0" w:color="auto"/>
            <w:bottom w:val="none" w:sz="0" w:space="0" w:color="auto"/>
            <w:right w:val="none" w:sz="0" w:space="0" w:color="auto"/>
          </w:divBdr>
          <w:divsChild>
            <w:div w:id="812019411">
              <w:marLeft w:val="0"/>
              <w:marRight w:val="0"/>
              <w:marTop w:val="0"/>
              <w:marBottom w:val="0"/>
              <w:divBdr>
                <w:top w:val="none" w:sz="0" w:space="0" w:color="auto"/>
                <w:left w:val="none" w:sz="0" w:space="0" w:color="auto"/>
                <w:bottom w:val="none" w:sz="0" w:space="0" w:color="auto"/>
                <w:right w:val="none" w:sz="0" w:space="0" w:color="auto"/>
              </w:divBdr>
              <w:divsChild>
                <w:div w:id="317344314">
                  <w:marLeft w:val="0"/>
                  <w:marRight w:val="0"/>
                  <w:marTop w:val="0"/>
                  <w:marBottom w:val="0"/>
                  <w:divBdr>
                    <w:top w:val="none" w:sz="0" w:space="0" w:color="auto"/>
                    <w:left w:val="none" w:sz="0" w:space="0" w:color="auto"/>
                    <w:bottom w:val="none" w:sz="0" w:space="0" w:color="auto"/>
                    <w:right w:val="none" w:sz="0" w:space="0" w:color="auto"/>
                  </w:divBdr>
                  <w:divsChild>
                    <w:div w:id="524054319">
                      <w:marLeft w:val="0"/>
                      <w:marRight w:val="0"/>
                      <w:marTop w:val="0"/>
                      <w:marBottom w:val="0"/>
                      <w:divBdr>
                        <w:top w:val="none" w:sz="0" w:space="0" w:color="auto"/>
                        <w:left w:val="none" w:sz="0" w:space="0" w:color="auto"/>
                        <w:bottom w:val="none" w:sz="0" w:space="0" w:color="auto"/>
                        <w:right w:val="none" w:sz="0" w:space="0" w:color="auto"/>
                      </w:divBdr>
                      <w:divsChild>
                        <w:div w:id="1347174872">
                          <w:marLeft w:val="0"/>
                          <w:marRight w:val="0"/>
                          <w:marTop w:val="0"/>
                          <w:marBottom w:val="0"/>
                          <w:divBdr>
                            <w:top w:val="none" w:sz="0" w:space="0" w:color="auto"/>
                            <w:left w:val="none" w:sz="0" w:space="0" w:color="auto"/>
                            <w:bottom w:val="none" w:sz="0" w:space="0" w:color="auto"/>
                            <w:right w:val="none" w:sz="0" w:space="0" w:color="auto"/>
                          </w:divBdr>
                          <w:divsChild>
                            <w:div w:id="89939226">
                              <w:marLeft w:val="0"/>
                              <w:marRight w:val="0"/>
                              <w:marTop w:val="0"/>
                              <w:marBottom w:val="0"/>
                              <w:divBdr>
                                <w:top w:val="none" w:sz="0" w:space="0" w:color="auto"/>
                                <w:left w:val="none" w:sz="0" w:space="0" w:color="auto"/>
                                <w:bottom w:val="none" w:sz="0" w:space="0" w:color="auto"/>
                                <w:right w:val="none" w:sz="0" w:space="0" w:color="auto"/>
                              </w:divBdr>
                              <w:divsChild>
                                <w:div w:id="666639736">
                                  <w:marLeft w:val="0"/>
                                  <w:marRight w:val="0"/>
                                  <w:marTop w:val="0"/>
                                  <w:marBottom w:val="0"/>
                                  <w:divBdr>
                                    <w:top w:val="none" w:sz="0" w:space="0" w:color="auto"/>
                                    <w:left w:val="none" w:sz="0" w:space="0" w:color="auto"/>
                                    <w:bottom w:val="none" w:sz="0" w:space="0" w:color="auto"/>
                                    <w:right w:val="none" w:sz="0" w:space="0" w:color="auto"/>
                                  </w:divBdr>
                                  <w:divsChild>
                                    <w:div w:id="1473328012">
                                      <w:marLeft w:val="0"/>
                                      <w:marRight w:val="0"/>
                                      <w:marTop w:val="0"/>
                                      <w:marBottom w:val="0"/>
                                      <w:divBdr>
                                        <w:top w:val="none" w:sz="0" w:space="0" w:color="auto"/>
                                        <w:left w:val="none" w:sz="0" w:space="0" w:color="auto"/>
                                        <w:bottom w:val="none" w:sz="0" w:space="0" w:color="auto"/>
                                        <w:right w:val="none" w:sz="0" w:space="0" w:color="auto"/>
                                      </w:divBdr>
                                      <w:divsChild>
                                        <w:div w:id="1549683563">
                                          <w:marLeft w:val="0"/>
                                          <w:marRight w:val="0"/>
                                          <w:marTop w:val="0"/>
                                          <w:marBottom w:val="0"/>
                                          <w:divBdr>
                                            <w:top w:val="none" w:sz="0" w:space="0" w:color="auto"/>
                                            <w:left w:val="none" w:sz="0" w:space="0" w:color="auto"/>
                                            <w:bottom w:val="none" w:sz="0" w:space="0" w:color="auto"/>
                                            <w:right w:val="none" w:sz="0" w:space="0" w:color="auto"/>
                                          </w:divBdr>
                                          <w:divsChild>
                                            <w:div w:id="1749379135">
                                              <w:marLeft w:val="0"/>
                                              <w:marRight w:val="0"/>
                                              <w:marTop w:val="0"/>
                                              <w:marBottom w:val="0"/>
                                              <w:divBdr>
                                                <w:top w:val="none" w:sz="0" w:space="0" w:color="auto"/>
                                                <w:left w:val="none" w:sz="0" w:space="0" w:color="auto"/>
                                                <w:bottom w:val="none" w:sz="0" w:space="0" w:color="auto"/>
                                                <w:right w:val="none" w:sz="0" w:space="0" w:color="auto"/>
                                              </w:divBdr>
                                              <w:divsChild>
                                                <w:div w:id="1381518361">
                                                  <w:marLeft w:val="0"/>
                                                  <w:marRight w:val="0"/>
                                                  <w:marTop w:val="0"/>
                                                  <w:marBottom w:val="0"/>
                                                  <w:divBdr>
                                                    <w:top w:val="none" w:sz="0" w:space="0" w:color="auto"/>
                                                    <w:left w:val="none" w:sz="0" w:space="0" w:color="auto"/>
                                                    <w:bottom w:val="none" w:sz="0" w:space="0" w:color="auto"/>
                                                    <w:right w:val="none" w:sz="0" w:space="0" w:color="auto"/>
                                                  </w:divBdr>
                                                  <w:divsChild>
                                                    <w:div w:id="1267300472">
                                                      <w:marLeft w:val="0"/>
                                                      <w:marRight w:val="0"/>
                                                      <w:marTop w:val="0"/>
                                                      <w:marBottom w:val="0"/>
                                                      <w:divBdr>
                                                        <w:top w:val="none" w:sz="0" w:space="0" w:color="auto"/>
                                                        <w:left w:val="none" w:sz="0" w:space="0" w:color="auto"/>
                                                        <w:bottom w:val="none" w:sz="0" w:space="0" w:color="auto"/>
                                                        <w:right w:val="none" w:sz="0" w:space="0" w:color="auto"/>
                                                      </w:divBdr>
                                                      <w:divsChild>
                                                        <w:div w:id="8269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8910914">
      <w:bodyDiv w:val="1"/>
      <w:marLeft w:val="0"/>
      <w:marRight w:val="0"/>
      <w:marTop w:val="0"/>
      <w:marBottom w:val="0"/>
      <w:divBdr>
        <w:top w:val="none" w:sz="0" w:space="0" w:color="auto"/>
        <w:left w:val="none" w:sz="0" w:space="0" w:color="auto"/>
        <w:bottom w:val="none" w:sz="0" w:space="0" w:color="auto"/>
        <w:right w:val="none" w:sz="0" w:space="0" w:color="auto"/>
      </w:divBdr>
      <w:divsChild>
        <w:div w:id="933055988">
          <w:marLeft w:val="0"/>
          <w:marRight w:val="0"/>
          <w:marTop w:val="0"/>
          <w:marBottom w:val="0"/>
          <w:divBdr>
            <w:top w:val="none" w:sz="0" w:space="0" w:color="auto"/>
            <w:left w:val="none" w:sz="0" w:space="0" w:color="auto"/>
            <w:bottom w:val="none" w:sz="0" w:space="0" w:color="auto"/>
            <w:right w:val="none" w:sz="0" w:space="0" w:color="auto"/>
          </w:divBdr>
        </w:div>
        <w:div w:id="1777629057">
          <w:marLeft w:val="0"/>
          <w:marRight w:val="0"/>
          <w:marTop w:val="0"/>
          <w:marBottom w:val="150"/>
          <w:divBdr>
            <w:top w:val="none" w:sz="0" w:space="0" w:color="auto"/>
            <w:left w:val="none" w:sz="0" w:space="0" w:color="auto"/>
            <w:bottom w:val="none" w:sz="0" w:space="0" w:color="auto"/>
            <w:right w:val="none" w:sz="0" w:space="0" w:color="auto"/>
          </w:divBdr>
          <w:divsChild>
            <w:div w:id="442842035">
              <w:marLeft w:val="0"/>
              <w:marRight w:val="0"/>
              <w:marTop w:val="0"/>
              <w:marBottom w:val="0"/>
              <w:divBdr>
                <w:top w:val="none" w:sz="0" w:space="0" w:color="auto"/>
                <w:left w:val="none" w:sz="0" w:space="0" w:color="auto"/>
                <w:bottom w:val="none" w:sz="0" w:space="0" w:color="auto"/>
                <w:right w:val="none" w:sz="0" w:space="0" w:color="auto"/>
              </w:divBdr>
              <w:divsChild>
                <w:div w:id="1503275178">
                  <w:marLeft w:val="0"/>
                  <w:marRight w:val="225"/>
                  <w:marTop w:val="0"/>
                  <w:marBottom w:val="0"/>
                  <w:divBdr>
                    <w:top w:val="none" w:sz="0" w:space="0" w:color="auto"/>
                    <w:left w:val="none" w:sz="0" w:space="0" w:color="auto"/>
                    <w:bottom w:val="none" w:sz="0" w:space="0" w:color="auto"/>
                    <w:right w:val="none" w:sz="0" w:space="0" w:color="auto"/>
                  </w:divBdr>
                  <w:divsChild>
                    <w:div w:id="787554672">
                      <w:marLeft w:val="0"/>
                      <w:marRight w:val="0"/>
                      <w:marTop w:val="0"/>
                      <w:marBottom w:val="0"/>
                      <w:divBdr>
                        <w:top w:val="none" w:sz="0" w:space="0" w:color="auto"/>
                        <w:left w:val="none" w:sz="0" w:space="0" w:color="auto"/>
                        <w:bottom w:val="none" w:sz="0" w:space="0" w:color="auto"/>
                        <w:right w:val="none" w:sz="0" w:space="0" w:color="auto"/>
                      </w:divBdr>
                    </w:div>
                  </w:divsChild>
                </w:div>
                <w:div w:id="140343379">
                  <w:marLeft w:val="0"/>
                  <w:marRight w:val="225"/>
                  <w:marTop w:val="0"/>
                  <w:marBottom w:val="0"/>
                  <w:divBdr>
                    <w:top w:val="none" w:sz="0" w:space="0" w:color="auto"/>
                    <w:left w:val="none" w:sz="0" w:space="0" w:color="auto"/>
                    <w:bottom w:val="none" w:sz="0" w:space="0" w:color="auto"/>
                    <w:right w:val="none" w:sz="0" w:space="0" w:color="auto"/>
                  </w:divBdr>
                  <w:divsChild>
                    <w:div w:id="230191215">
                      <w:marLeft w:val="0"/>
                      <w:marRight w:val="0"/>
                      <w:marTop w:val="0"/>
                      <w:marBottom w:val="0"/>
                      <w:divBdr>
                        <w:top w:val="none" w:sz="0" w:space="0" w:color="auto"/>
                        <w:left w:val="none" w:sz="0" w:space="0" w:color="auto"/>
                        <w:bottom w:val="none" w:sz="0" w:space="0" w:color="auto"/>
                        <w:right w:val="none" w:sz="0" w:space="0" w:color="auto"/>
                      </w:divBdr>
                    </w:div>
                  </w:divsChild>
                </w:div>
                <w:div w:id="1305158639">
                  <w:marLeft w:val="0"/>
                  <w:marRight w:val="225"/>
                  <w:marTop w:val="0"/>
                  <w:marBottom w:val="0"/>
                  <w:divBdr>
                    <w:top w:val="none" w:sz="0" w:space="0" w:color="auto"/>
                    <w:left w:val="none" w:sz="0" w:space="0" w:color="auto"/>
                    <w:bottom w:val="none" w:sz="0" w:space="0" w:color="auto"/>
                    <w:right w:val="none" w:sz="0" w:space="0" w:color="auto"/>
                  </w:divBdr>
                  <w:divsChild>
                    <w:div w:id="7287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89486">
          <w:marLeft w:val="0"/>
          <w:marRight w:val="0"/>
          <w:marTop w:val="0"/>
          <w:marBottom w:val="150"/>
          <w:divBdr>
            <w:top w:val="none" w:sz="0" w:space="0" w:color="auto"/>
            <w:left w:val="none" w:sz="0" w:space="0" w:color="auto"/>
            <w:bottom w:val="none" w:sz="0" w:space="0" w:color="auto"/>
            <w:right w:val="none" w:sz="0" w:space="0" w:color="auto"/>
          </w:divBdr>
        </w:div>
      </w:divsChild>
    </w:div>
    <w:div w:id="2119640949">
      <w:bodyDiv w:val="1"/>
      <w:marLeft w:val="0"/>
      <w:marRight w:val="0"/>
      <w:marTop w:val="0"/>
      <w:marBottom w:val="0"/>
      <w:divBdr>
        <w:top w:val="none" w:sz="0" w:space="0" w:color="auto"/>
        <w:left w:val="none" w:sz="0" w:space="0" w:color="auto"/>
        <w:bottom w:val="none" w:sz="0" w:space="0" w:color="auto"/>
        <w:right w:val="none" w:sz="0" w:space="0" w:color="auto"/>
      </w:divBdr>
    </w:div>
    <w:div w:id="2122218673">
      <w:bodyDiv w:val="1"/>
      <w:marLeft w:val="0"/>
      <w:marRight w:val="0"/>
      <w:marTop w:val="0"/>
      <w:marBottom w:val="0"/>
      <w:divBdr>
        <w:top w:val="none" w:sz="0" w:space="0" w:color="auto"/>
        <w:left w:val="none" w:sz="0" w:space="0" w:color="auto"/>
        <w:bottom w:val="none" w:sz="0" w:space="0" w:color="auto"/>
        <w:right w:val="none" w:sz="0" w:space="0" w:color="auto"/>
      </w:divBdr>
      <w:divsChild>
        <w:div w:id="1794203277">
          <w:marLeft w:val="0"/>
          <w:marRight w:val="0"/>
          <w:marTop w:val="0"/>
          <w:marBottom w:val="0"/>
          <w:divBdr>
            <w:top w:val="none" w:sz="0" w:space="0" w:color="auto"/>
            <w:left w:val="none" w:sz="0" w:space="0" w:color="auto"/>
            <w:bottom w:val="none" w:sz="0" w:space="0" w:color="auto"/>
            <w:right w:val="none" w:sz="0" w:space="0" w:color="auto"/>
          </w:divBdr>
          <w:divsChild>
            <w:div w:id="1135870869">
              <w:marLeft w:val="0"/>
              <w:marRight w:val="0"/>
              <w:marTop w:val="0"/>
              <w:marBottom w:val="0"/>
              <w:divBdr>
                <w:top w:val="none" w:sz="0" w:space="0" w:color="auto"/>
                <w:left w:val="none" w:sz="0" w:space="0" w:color="auto"/>
                <w:bottom w:val="none" w:sz="0" w:space="0" w:color="auto"/>
                <w:right w:val="none" w:sz="0" w:space="0" w:color="auto"/>
              </w:divBdr>
              <w:divsChild>
                <w:div w:id="832989223">
                  <w:marLeft w:val="0"/>
                  <w:marRight w:val="0"/>
                  <w:marTop w:val="0"/>
                  <w:marBottom w:val="0"/>
                  <w:divBdr>
                    <w:top w:val="none" w:sz="0" w:space="0" w:color="auto"/>
                    <w:left w:val="none" w:sz="0" w:space="0" w:color="auto"/>
                    <w:bottom w:val="none" w:sz="0" w:space="0" w:color="auto"/>
                    <w:right w:val="none" w:sz="0" w:space="0" w:color="auto"/>
                  </w:divBdr>
                  <w:divsChild>
                    <w:div w:id="154221824">
                      <w:marLeft w:val="0"/>
                      <w:marRight w:val="0"/>
                      <w:marTop w:val="0"/>
                      <w:marBottom w:val="0"/>
                      <w:divBdr>
                        <w:top w:val="none" w:sz="0" w:space="0" w:color="auto"/>
                        <w:left w:val="none" w:sz="0" w:space="0" w:color="auto"/>
                        <w:bottom w:val="none" w:sz="0" w:space="0" w:color="auto"/>
                        <w:right w:val="none" w:sz="0" w:space="0" w:color="auto"/>
                      </w:divBdr>
                      <w:divsChild>
                        <w:div w:id="1483932576">
                          <w:marLeft w:val="0"/>
                          <w:marRight w:val="0"/>
                          <w:marTop w:val="0"/>
                          <w:marBottom w:val="0"/>
                          <w:divBdr>
                            <w:top w:val="none" w:sz="0" w:space="0" w:color="auto"/>
                            <w:left w:val="none" w:sz="0" w:space="0" w:color="auto"/>
                            <w:bottom w:val="none" w:sz="0" w:space="0" w:color="auto"/>
                            <w:right w:val="none" w:sz="0" w:space="0" w:color="auto"/>
                          </w:divBdr>
                          <w:divsChild>
                            <w:div w:id="1770353050">
                              <w:marLeft w:val="0"/>
                              <w:marRight w:val="0"/>
                              <w:marTop w:val="0"/>
                              <w:marBottom w:val="0"/>
                              <w:divBdr>
                                <w:top w:val="none" w:sz="0" w:space="0" w:color="auto"/>
                                <w:left w:val="none" w:sz="0" w:space="0" w:color="auto"/>
                                <w:bottom w:val="none" w:sz="0" w:space="0" w:color="auto"/>
                                <w:right w:val="none" w:sz="0" w:space="0" w:color="auto"/>
                              </w:divBdr>
                              <w:divsChild>
                                <w:div w:id="799952801">
                                  <w:marLeft w:val="0"/>
                                  <w:marRight w:val="0"/>
                                  <w:marTop w:val="0"/>
                                  <w:marBottom w:val="0"/>
                                  <w:divBdr>
                                    <w:top w:val="none" w:sz="0" w:space="0" w:color="auto"/>
                                    <w:left w:val="none" w:sz="0" w:space="0" w:color="auto"/>
                                    <w:bottom w:val="none" w:sz="0" w:space="0" w:color="auto"/>
                                    <w:right w:val="none" w:sz="0" w:space="0" w:color="auto"/>
                                  </w:divBdr>
                                  <w:divsChild>
                                    <w:div w:id="1185754066">
                                      <w:marLeft w:val="0"/>
                                      <w:marRight w:val="0"/>
                                      <w:marTop w:val="0"/>
                                      <w:marBottom w:val="0"/>
                                      <w:divBdr>
                                        <w:top w:val="none" w:sz="0" w:space="0" w:color="auto"/>
                                        <w:left w:val="none" w:sz="0" w:space="0" w:color="auto"/>
                                        <w:bottom w:val="none" w:sz="0" w:space="0" w:color="auto"/>
                                        <w:right w:val="none" w:sz="0" w:space="0" w:color="auto"/>
                                      </w:divBdr>
                                      <w:divsChild>
                                        <w:div w:id="17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51294">
      <w:bodyDiv w:val="1"/>
      <w:marLeft w:val="0"/>
      <w:marRight w:val="0"/>
      <w:marTop w:val="0"/>
      <w:marBottom w:val="0"/>
      <w:divBdr>
        <w:top w:val="none" w:sz="0" w:space="0" w:color="auto"/>
        <w:left w:val="none" w:sz="0" w:space="0" w:color="auto"/>
        <w:bottom w:val="none" w:sz="0" w:space="0" w:color="auto"/>
        <w:right w:val="none" w:sz="0" w:space="0" w:color="auto"/>
      </w:divBdr>
      <w:divsChild>
        <w:div w:id="1457139738">
          <w:marLeft w:val="0"/>
          <w:marRight w:val="0"/>
          <w:marTop w:val="0"/>
          <w:marBottom w:val="0"/>
          <w:divBdr>
            <w:top w:val="none" w:sz="0" w:space="0" w:color="auto"/>
            <w:left w:val="none" w:sz="0" w:space="0" w:color="auto"/>
            <w:bottom w:val="none" w:sz="0" w:space="0" w:color="auto"/>
            <w:right w:val="none" w:sz="0" w:space="0" w:color="auto"/>
          </w:divBdr>
          <w:divsChild>
            <w:div w:id="421344138">
              <w:marLeft w:val="-225"/>
              <w:marRight w:val="-225"/>
              <w:marTop w:val="0"/>
              <w:marBottom w:val="300"/>
              <w:divBdr>
                <w:top w:val="none" w:sz="0" w:space="0" w:color="auto"/>
                <w:left w:val="none" w:sz="0" w:space="0" w:color="auto"/>
                <w:bottom w:val="none" w:sz="0" w:space="0" w:color="auto"/>
                <w:right w:val="none" w:sz="0" w:space="0" w:color="auto"/>
              </w:divBdr>
              <w:divsChild>
                <w:div w:id="2035690733">
                  <w:marLeft w:val="0"/>
                  <w:marRight w:val="0"/>
                  <w:marTop w:val="0"/>
                  <w:marBottom w:val="0"/>
                  <w:divBdr>
                    <w:top w:val="none" w:sz="0" w:space="0" w:color="auto"/>
                    <w:left w:val="none" w:sz="0" w:space="0" w:color="auto"/>
                    <w:bottom w:val="none" w:sz="0" w:space="0" w:color="auto"/>
                    <w:right w:val="none" w:sz="0" w:space="0" w:color="auto"/>
                  </w:divBdr>
                  <w:divsChild>
                    <w:div w:id="1286036219">
                      <w:marLeft w:val="150"/>
                      <w:marRight w:val="150"/>
                      <w:marTop w:val="0"/>
                      <w:marBottom w:val="150"/>
                      <w:divBdr>
                        <w:top w:val="none" w:sz="0" w:space="0" w:color="auto"/>
                        <w:left w:val="none" w:sz="0" w:space="0" w:color="auto"/>
                        <w:bottom w:val="none" w:sz="0" w:space="0" w:color="auto"/>
                        <w:right w:val="none" w:sz="0" w:space="0" w:color="auto"/>
                      </w:divBdr>
                      <w:divsChild>
                        <w:div w:id="13374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068888">
      <w:bodyDiv w:val="1"/>
      <w:marLeft w:val="0"/>
      <w:marRight w:val="0"/>
      <w:marTop w:val="0"/>
      <w:marBottom w:val="0"/>
      <w:divBdr>
        <w:top w:val="none" w:sz="0" w:space="0" w:color="auto"/>
        <w:left w:val="none" w:sz="0" w:space="0" w:color="auto"/>
        <w:bottom w:val="none" w:sz="0" w:space="0" w:color="auto"/>
        <w:right w:val="none" w:sz="0" w:space="0" w:color="auto"/>
      </w:divBdr>
      <w:divsChild>
        <w:div w:id="1446535758">
          <w:marLeft w:val="0"/>
          <w:marRight w:val="0"/>
          <w:marTop w:val="0"/>
          <w:marBottom w:val="0"/>
          <w:divBdr>
            <w:top w:val="none" w:sz="0" w:space="0" w:color="auto"/>
            <w:left w:val="none" w:sz="0" w:space="0" w:color="auto"/>
            <w:bottom w:val="none" w:sz="0" w:space="0" w:color="auto"/>
            <w:right w:val="none" w:sz="0" w:space="0" w:color="auto"/>
          </w:divBdr>
        </w:div>
      </w:divsChild>
    </w:div>
    <w:div w:id="2125152708">
      <w:bodyDiv w:val="1"/>
      <w:marLeft w:val="0"/>
      <w:marRight w:val="0"/>
      <w:marTop w:val="0"/>
      <w:marBottom w:val="0"/>
      <w:divBdr>
        <w:top w:val="none" w:sz="0" w:space="0" w:color="auto"/>
        <w:left w:val="none" w:sz="0" w:space="0" w:color="auto"/>
        <w:bottom w:val="none" w:sz="0" w:space="0" w:color="auto"/>
        <w:right w:val="none" w:sz="0" w:space="0" w:color="auto"/>
      </w:divBdr>
      <w:divsChild>
        <w:div w:id="582762380">
          <w:marLeft w:val="0"/>
          <w:marRight w:val="0"/>
          <w:marTop w:val="0"/>
          <w:marBottom w:val="0"/>
          <w:divBdr>
            <w:top w:val="none" w:sz="0" w:space="0" w:color="auto"/>
            <w:left w:val="none" w:sz="0" w:space="0" w:color="auto"/>
            <w:bottom w:val="none" w:sz="0" w:space="0" w:color="auto"/>
            <w:right w:val="none" w:sz="0" w:space="0" w:color="auto"/>
          </w:divBdr>
          <w:divsChild>
            <w:div w:id="826213213">
              <w:marLeft w:val="0"/>
              <w:marRight w:val="0"/>
              <w:marTop w:val="0"/>
              <w:marBottom w:val="0"/>
              <w:divBdr>
                <w:top w:val="none" w:sz="0" w:space="0" w:color="auto"/>
                <w:left w:val="none" w:sz="0" w:space="0" w:color="auto"/>
                <w:bottom w:val="none" w:sz="0" w:space="0" w:color="auto"/>
                <w:right w:val="none" w:sz="0" w:space="0" w:color="auto"/>
              </w:divBdr>
              <w:divsChild>
                <w:div w:id="1720323057">
                  <w:marLeft w:val="300"/>
                  <w:marRight w:val="300"/>
                  <w:marTop w:val="330"/>
                  <w:marBottom w:val="0"/>
                  <w:divBdr>
                    <w:top w:val="none" w:sz="0" w:space="0" w:color="auto"/>
                    <w:left w:val="none" w:sz="0" w:space="0" w:color="auto"/>
                    <w:bottom w:val="none" w:sz="0" w:space="0" w:color="auto"/>
                    <w:right w:val="none" w:sz="0" w:space="0" w:color="auto"/>
                  </w:divBdr>
                  <w:divsChild>
                    <w:div w:id="386421021">
                      <w:marLeft w:val="0"/>
                      <w:marRight w:val="0"/>
                      <w:marTop w:val="0"/>
                      <w:marBottom w:val="0"/>
                      <w:divBdr>
                        <w:top w:val="none" w:sz="0" w:space="0" w:color="auto"/>
                        <w:left w:val="none" w:sz="0" w:space="0" w:color="auto"/>
                        <w:bottom w:val="none" w:sz="0" w:space="0" w:color="auto"/>
                        <w:right w:val="none" w:sz="0" w:space="0" w:color="auto"/>
                      </w:divBdr>
                    </w:div>
                    <w:div w:id="14770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52180">
      <w:bodyDiv w:val="1"/>
      <w:marLeft w:val="0"/>
      <w:marRight w:val="0"/>
      <w:marTop w:val="0"/>
      <w:marBottom w:val="0"/>
      <w:divBdr>
        <w:top w:val="none" w:sz="0" w:space="0" w:color="auto"/>
        <w:left w:val="none" w:sz="0" w:space="0" w:color="auto"/>
        <w:bottom w:val="none" w:sz="0" w:space="0" w:color="auto"/>
        <w:right w:val="none" w:sz="0" w:space="0" w:color="auto"/>
      </w:divBdr>
      <w:divsChild>
        <w:div w:id="1221940100">
          <w:marLeft w:val="2400"/>
          <w:marRight w:val="0"/>
          <w:marTop w:val="0"/>
          <w:marBottom w:val="0"/>
          <w:divBdr>
            <w:top w:val="none" w:sz="0" w:space="0" w:color="auto"/>
            <w:left w:val="none" w:sz="0" w:space="0" w:color="auto"/>
            <w:bottom w:val="none" w:sz="0" w:space="0" w:color="auto"/>
            <w:right w:val="none" w:sz="0" w:space="0" w:color="auto"/>
          </w:divBdr>
          <w:divsChild>
            <w:div w:id="98378166">
              <w:marLeft w:val="0"/>
              <w:marRight w:val="0"/>
              <w:marTop w:val="0"/>
              <w:marBottom w:val="0"/>
              <w:divBdr>
                <w:top w:val="none" w:sz="0" w:space="0" w:color="auto"/>
                <w:left w:val="none" w:sz="0" w:space="0" w:color="auto"/>
                <w:bottom w:val="none" w:sz="0" w:space="0" w:color="auto"/>
                <w:right w:val="none" w:sz="0" w:space="0" w:color="auto"/>
              </w:divBdr>
              <w:divsChild>
                <w:div w:id="307826025">
                  <w:marLeft w:val="0"/>
                  <w:marRight w:val="0"/>
                  <w:marTop w:val="0"/>
                  <w:marBottom w:val="0"/>
                  <w:divBdr>
                    <w:top w:val="none" w:sz="0" w:space="0" w:color="auto"/>
                    <w:left w:val="none" w:sz="0" w:space="0" w:color="auto"/>
                    <w:bottom w:val="none" w:sz="0" w:space="0" w:color="auto"/>
                    <w:right w:val="none" w:sz="0" w:space="0" w:color="auto"/>
                  </w:divBdr>
                  <w:divsChild>
                    <w:div w:id="10101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9254">
      <w:bodyDiv w:val="1"/>
      <w:marLeft w:val="0"/>
      <w:marRight w:val="0"/>
      <w:marTop w:val="0"/>
      <w:marBottom w:val="0"/>
      <w:divBdr>
        <w:top w:val="none" w:sz="0" w:space="0" w:color="auto"/>
        <w:left w:val="none" w:sz="0" w:space="0" w:color="auto"/>
        <w:bottom w:val="none" w:sz="0" w:space="0" w:color="auto"/>
        <w:right w:val="none" w:sz="0" w:space="0" w:color="auto"/>
      </w:divBdr>
      <w:divsChild>
        <w:div w:id="1278103227">
          <w:marLeft w:val="0"/>
          <w:marRight w:val="0"/>
          <w:marTop w:val="0"/>
          <w:marBottom w:val="0"/>
          <w:divBdr>
            <w:top w:val="none" w:sz="0" w:space="0" w:color="auto"/>
            <w:left w:val="none" w:sz="0" w:space="0" w:color="auto"/>
            <w:bottom w:val="none" w:sz="0" w:space="0" w:color="auto"/>
            <w:right w:val="none" w:sz="0" w:space="0" w:color="auto"/>
          </w:divBdr>
          <w:divsChild>
            <w:div w:id="1447040477">
              <w:marLeft w:val="0"/>
              <w:marRight w:val="0"/>
              <w:marTop w:val="0"/>
              <w:marBottom w:val="0"/>
              <w:divBdr>
                <w:top w:val="none" w:sz="0" w:space="0" w:color="auto"/>
                <w:left w:val="none" w:sz="0" w:space="0" w:color="auto"/>
                <w:bottom w:val="none" w:sz="0" w:space="0" w:color="auto"/>
                <w:right w:val="none" w:sz="0" w:space="0" w:color="auto"/>
              </w:divBdr>
              <w:divsChild>
                <w:div w:id="1007443420">
                  <w:marLeft w:val="0"/>
                  <w:marRight w:val="0"/>
                  <w:marTop w:val="0"/>
                  <w:marBottom w:val="0"/>
                  <w:divBdr>
                    <w:top w:val="none" w:sz="0" w:space="0" w:color="auto"/>
                    <w:left w:val="none" w:sz="0" w:space="0" w:color="auto"/>
                    <w:bottom w:val="none" w:sz="0" w:space="0" w:color="auto"/>
                    <w:right w:val="none" w:sz="0" w:space="0" w:color="auto"/>
                  </w:divBdr>
                  <w:divsChild>
                    <w:div w:id="1274751754">
                      <w:marLeft w:val="0"/>
                      <w:marRight w:val="0"/>
                      <w:marTop w:val="0"/>
                      <w:marBottom w:val="0"/>
                      <w:divBdr>
                        <w:top w:val="none" w:sz="0" w:space="0" w:color="auto"/>
                        <w:left w:val="none" w:sz="0" w:space="0" w:color="auto"/>
                        <w:bottom w:val="none" w:sz="0" w:space="0" w:color="auto"/>
                        <w:right w:val="none" w:sz="0" w:space="0" w:color="auto"/>
                      </w:divBdr>
                      <w:divsChild>
                        <w:div w:id="1487622215">
                          <w:marLeft w:val="0"/>
                          <w:marRight w:val="0"/>
                          <w:marTop w:val="0"/>
                          <w:marBottom w:val="0"/>
                          <w:divBdr>
                            <w:top w:val="none" w:sz="0" w:space="0" w:color="auto"/>
                            <w:left w:val="none" w:sz="0" w:space="0" w:color="auto"/>
                            <w:bottom w:val="none" w:sz="0" w:space="0" w:color="auto"/>
                            <w:right w:val="none" w:sz="0" w:space="0" w:color="auto"/>
                          </w:divBdr>
                          <w:divsChild>
                            <w:div w:id="1709179940">
                              <w:marLeft w:val="0"/>
                              <w:marRight w:val="0"/>
                              <w:marTop w:val="0"/>
                              <w:marBottom w:val="0"/>
                              <w:divBdr>
                                <w:top w:val="none" w:sz="0" w:space="0" w:color="auto"/>
                                <w:left w:val="none" w:sz="0" w:space="0" w:color="auto"/>
                                <w:bottom w:val="none" w:sz="0" w:space="0" w:color="auto"/>
                                <w:right w:val="none" w:sz="0" w:space="0" w:color="auto"/>
                              </w:divBdr>
                              <w:divsChild>
                                <w:div w:id="95910673">
                                  <w:marLeft w:val="0"/>
                                  <w:marRight w:val="0"/>
                                  <w:marTop w:val="0"/>
                                  <w:marBottom w:val="0"/>
                                  <w:divBdr>
                                    <w:top w:val="none" w:sz="0" w:space="0" w:color="auto"/>
                                    <w:left w:val="none" w:sz="0" w:space="0" w:color="auto"/>
                                    <w:bottom w:val="none" w:sz="0" w:space="0" w:color="auto"/>
                                    <w:right w:val="none" w:sz="0" w:space="0" w:color="auto"/>
                                  </w:divBdr>
                                  <w:divsChild>
                                    <w:div w:id="2108111089">
                                      <w:marLeft w:val="0"/>
                                      <w:marRight w:val="0"/>
                                      <w:marTop w:val="0"/>
                                      <w:marBottom w:val="0"/>
                                      <w:divBdr>
                                        <w:top w:val="none" w:sz="0" w:space="0" w:color="auto"/>
                                        <w:left w:val="none" w:sz="0" w:space="0" w:color="auto"/>
                                        <w:bottom w:val="none" w:sz="0" w:space="0" w:color="auto"/>
                                        <w:right w:val="none" w:sz="0" w:space="0" w:color="auto"/>
                                      </w:divBdr>
                                      <w:divsChild>
                                        <w:div w:id="1879585113">
                                          <w:marLeft w:val="0"/>
                                          <w:marRight w:val="0"/>
                                          <w:marTop w:val="0"/>
                                          <w:marBottom w:val="0"/>
                                          <w:divBdr>
                                            <w:top w:val="none" w:sz="0" w:space="0" w:color="auto"/>
                                            <w:left w:val="none" w:sz="0" w:space="0" w:color="auto"/>
                                            <w:bottom w:val="none" w:sz="0" w:space="0" w:color="auto"/>
                                            <w:right w:val="none" w:sz="0" w:space="0" w:color="auto"/>
                                          </w:divBdr>
                                        </w:div>
                                        <w:div w:id="1207254794">
                                          <w:marLeft w:val="0"/>
                                          <w:marRight w:val="0"/>
                                          <w:marTop w:val="0"/>
                                          <w:marBottom w:val="0"/>
                                          <w:divBdr>
                                            <w:top w:val="none" w:sz="0" w:space="0" w:color="auto"/>
                                            <w:left w:val="none" w:sz="0" w:space="0" w:color="auto"/>
                                            <w:bottom w:val="none" w:sz="0" w:space="0" w:color="auto"/>
                                            <w:right w:val="none" w:sz="0" w:space="0" w:color="auto"/>
                                          </w:divBdr>
                                          <w:divsChild>
                                            <w:div w:id="3878460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655839">
      <w:bodyDiv w:val="1"/>
      <w:marLeft w:val="0"/>
      <w:marRight w:val="0"/>
      <w:marTop w:val="0"/>
      <w:marBottom w:val="0"/>
      <w:divBdr>
        <w:top w:val="none" w:sz="0" w:space="0" w:color="auto"/>
        <w:left w:val="none" w:sz="0" w:space="0" w:color="auto"/>
        <w:bottom w:val="none" w:sz="0" w:space="0" w:color="auto"/>
        <w:right w:val="none" w:sz="0" w:space="0" w:color="auto"/>
      </w:divBdr>
      <w:divsChild>
        <w:div w:id="484125035">
          <w:marLeft w:val="0"/>
          <w:marRight w:val="0"/>
          <w:marTop w:val="150"/>
          <w:marBottom w:val="0"/>
          <w:divBdr>
            <w:top w:val="none" w:sz="0" w:space="0" w:color="auto"/>
            <w:left w:val="none" w:sz="0" w:space="0" w:color="auto"/>
            <w:bottom w:val="none" w:sz="0" w:space="0" w:color="auto"/>
            <w:right w:val="none" w:sz="0" w:space="0" w:color="auto"/>
          </w:divBdr>
          <w:divsChild>
            <w:div w:id="712538341">
              <w:marLeft w:val="2"/>
              <w:marRight w:val="2"/>
              <w:marTop w:val="0"/>
              <w:marBottom w:val="0"/>
              <w:divBdr>
                <w:top w:val="none" w:sz="0" w:space="0" w:color="auto"/>
                <w:left w:val="none" w:sz="0" w:space="0" w:color="auto"/>
                <w:bottom w:val="none" w:sz="0" w:space="0" w:color="auto"/>
                <w:right w:val="none" w:sz="0" w:space="0" w:color="auto"/>
              </w:divBdr>
              <w:divsChild>
                <w:div w:id="621689948">
                  <w:marLeft w:val="0"/>
                  <w:marRight w:val="0"/>
                  <w:marTop w:val="0"/>
                  <w:marBottom w:val="0"/>
                  <w:divBdr>
                    <w:top w:val="none" w:sz="0" w:space="0" w:color="auto"/>
                    <w:left w:val="none" w:sz="0" w:space="0" w:color="auto"/>
                    <w:bottom w:val="none" w:sz="0" w:space="0" w:color="auto"/>
                    <w:right w:val="none" w:sz="0" w:space="0" w:color="auto"/>
                  </w:divBdr>
                  <w:divsChild>
                    <w:div w:id="915869628">
                      <w:marLeft w:val="0"/>
                      <w:marRight w:val="0"/>
                      <w:marTop w:val="0"/>
                      <w:marBottom w:val="0"/>
                      <w:divBdr>
                        <w:top w:val="none" w:sz="0" w:space="0" w:color="auto"/>
                        <w:left w:val="none" w:sz="0" w:space="0" w:color="auto"/>
                        <w:bottom w:val="none" w:sz="0" w:space="0" w:color="auto"/>
                        <w:right w:val="none" w:sz="0" w:space="0" w:color="auto"/>
                      </w:divBdr>
                      <w:divsChild>
                        <w:div w:id="1672178984">
                          <w:marLeft w:val="0"/>
                          <w:marRight w:val="0"/>
                          <w:marTop w:val="0"/>
                          <w:marBottom w:val="0"/>
                          <w:divBdr>
                            <w:top w:val="none" w:sz="0" w:space="0" w:color="auto"/>
                            <w:left w:val="none" w:sz="0" w:space="0" w:color="auto"/>
                            <w:bottom w:val="none" w:sz="0" w:space="0" w:color="auto"/>
                            <w:right w:val="none" w:sz="0" w:space="0" w:color="auto"/>
                          </w:divBdr>
                          <w:divsChild>
                            <w:div w:id="1761488692">
                              <w:marLeft w:val="0"/>
                              <w:marRight w:val="0"/>
                              <w:marTop w:val="0"/>
                              <w:marBottom w:val="0"/>
                              <w:divBdr>
                                <w:top w:val="none" w:sz="0" w:space="0" w:color="auto"/>
                                <w:left w:val="none" w:sz="0" w:space="0" w:color="auto"/>
                                <w:bottom w:val="none" w:sz="0" w:space="0" w:color="auto"/>
                                <w:right w:val="none" w:sz="0" w:space="0" w:color="auto"/>
                              </w:divBdr>
                              <w:divsChild>
                                <w:div w:id="399988388">
                                  <w:marLeft w:val="0"/>
                                  <w:marRight w:val="0"/>
                                  <w:marTop w:val="0"/>
                                  <w:marBottom w:val="0"/>
                                  <w:divBdr>
                                    <w:top w:val="none" w:sz="0" w:space="0" w:color="auto"/>
                                    <w:left w:val="none" w:sz="0" w:space="0" w:color="auto"/>
                                    <w:bottom w:val="none" w:sz="0" w:space="0" w:color="auto"/>
                                    <w:right w:val="none" w:sz="0" w:space="0" w:color="auto"/>
                                  </w:divBdr>
                                  <w:divsChild>
                                    <w:div w:id="1781758788">
                                      <w:marLeft w:val="0"/>
                                      <w:marRight w:val="0"/>
                                      <w:marTop w:val="0"/>
                                      <w:marBottom w:val="0"/>
                                      <w:divBdr>
                                        <w:top w:val="none" w:sz="0" w:space="0" w:color="auto"/>
                                        <w:left w:val="none" w:sz="0" w:space="0" w:color="auto"/>
                                        <w:bottom w:val="none" w:sz="0" w:space="0" w:color="auto"/>
                                        <w:right w:val="none" w:sz="0" w:space="0" w:color="auto"/>
                                      </w:divBdr>
                                      <w:divsChild>
                                        <w:div w:id="1608191507">
                                          <w:marLeft w:val="0"/>
                                          <w:marRight w:val="0"/>
                                          <w:marTop w:val="0"/>
                                          <w:marBottom w:val="0"/>
                                          <w:divBdr>
                                            <w:top w:val="none" w:sz="0" w:space="0" w:color="auto"/>
                                            <w:left w:val="none" w:sz="0" w:space="0" w:color="auto"/>
                                            <w:bottom w:val="none" w:sz="0" w:space="0" w:color="auto"/>
                                            <w:right w:val="none" w:sz="0" w:space="0" w:color="auto"/>
                                          </w:divBdr>
                                          <w:divsChild>
                                            <w:div w:id="1454129185">
                                              <w:marLeft w:val="0"/>
                                              <w:marRight w:val="0"/>
                                              <w:marTop w:val="0"/>
                                              <w:marBottom w:val="0"/>
                                              <w:divBdr>
                                                <w:top w:val="none" w:sz="0" w:space="0" w:color="auto"/>
                                                <w:left w:val="none" w:sz="0" w:space="0" w:color="auto"/>
                                                <w:bottom w:val="none" w:sz="0" w:space="0" w:color="auto"/>
                                                <w:right w:val="none" w:sz="0" w:space="0" w:color="auto"/>
                                              </w:divBdr>
                                            </w:div>
                                            <w:div w:id="998461426">
                                              <w:marLeft w:val="0"/>
                                              <w:marRight w:val="0"/>
                                              <w:marTop w:val="0"/>
                                              <w:marBottom w:val="0"/>
                                              <w:divBdr>
                                                <w:top w:val="none" w:sz="0" w:space="0" w:color="auto"/>
                                                <w:left w:val="none" w:sz="0" w:space="0" w:color="auto"/>
                                                <w:bottom w:val="none" w:sz="0" w:space="0" w:color="auto"/>
                                                <w:right w:val="none" w:sz="0" w:space="0" w:color="auto"/>
                                              </w:divBdr>
                                            </w:div>
                                            <w:div w:id="5558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7731">
      <w:bodyDiv w:val="1"/>
      <w:marLeft w:val="0"/>
      <w:marRight w:val="0"/>
      <w:marTop w:val="0"/>
      <w:marBottom w:val="0"/>
      <w:divBdr>
        <w:top w:val="none" w:sz="0" w:space="0" w:color="auto"/>
        <w:left w:val="none" w:sz="0" w:space="0" w:color="auto"/>
        <w:bottom w:val="none" w:sz="0" w:space="0" w:color="auto"/>
        <w:right w:val="none" w:sz="0" w:space="0" w:color="auto"/>
      </w:divBdr>
      <w:divsChild>
        <w:div w:id="98575629">
          <w:marLeft w:val="0"/>
          <w:marRight w:val="0"/>
          <w:marTop w:val="0"/>
          <w:marBottom w:val="0"/>
          <w:divBdr>
            <w:top w:val="none" w:sz="0" w:space="0" w:color="auto"/>
            <w:left w:val="none" w:sz="0" w:space="0" w:color="auto"/>
            <w:bottom w:val="none" w:sz="0" w:space="0" w:color="auto"/>
            <w:right w:val="none" w:sz="0" w:space="0" w:color="auto"/>
          </w:divBdr>
          <w:divsChild>
            <w:div w:id="1268656004">
              <w:marLeft w:val="0"/>
              <w:marRight w:val="0"/>
              <w:marTop w:val="0"/>
              <w:marBottom w:val="0"/>
              <w:divBdr>
                <w:top w:val="none" w:sz="0" w:space="0" w:color="auto"/>
                <w:left w:val="none" w:sz="0" w:space="0" w:color="auto"/>
                <w:bottom w:val="none" w:sz="0" w:space="0" w:color="auto"/>
                <w:right w:val="none" w:sz="0" w:space="0" w:color="auto"/>
              </w:divBdr>
              <w:divsChild>
                <w:div w:id="1008871872">
                  <w:marLeft w:val="0"/>
                  <w:marRight w:val="0"/>
                  <w:marTop w:val="0"/>
                  <w:marBottom w:val="0"/>
                  <w:divBdr>
                    <w:top w:val="none" w:sz="0" w:space="0" w:color="auto"/>
                    <w:left w:val="none" w:sz="0" w:space="0" w:color="auto"/>
                    <w:bottom w:val="none" w:sz="0" w:space="0" w:color="auto"/>
                    <w:right w:val="none" w:sz="0" w:space="0" w:color="auto"/>
                  </w:divBdr>
                  <w:divsChild>
                    <w:div w:id="493230320">
                      <w:marLeft w:val="0"/>
                      <w:marRight w:val="0"/>
                      <w:marTop w:val="0"/>
                      <w:marBottom w:val="0"/>
                      <w:divBdr>
                        <w:top w:val="none" w:sz="0" w:space="0" w:color="auto"/>
                        <w:left w:val="none" w:sz="0" w:space="0" w:color="auto"/>
                        <w:bottom w:val="none" w:sz="0" w:space="0" w:color="auto"/>
                        <w:right w:val="none" w:sz="0" w:space="0" w:color="auto"/>
                      </w:divBdr>
                      <w:divsChild>
                        <w:div w:id="1462379406">
                          <w:marLeft w:val="0"/>
                          <w:marRight w:val="0"/>
                          <w:marTop w:val="0"/>
                          <w:marBottom w:val="0"/>
                          <w:divBdr>
                            <w:top w:val="none" w:sz="0" w:space="0" w:color="auto"/>
                            <w:left w:val="none" w:sz="0" w:space="0" w:color="auto"/>
                            <w:bottom w:val="none" w:sz="0" w:space="0" w:color="auto"/>
                            <w:right w:val="none" w:sz="0" w:space="0" w:color="auto"/>
                          </w:divBdr>
                          <w:divsChild>
                            <w:div w:id="290020104">
                              <w:marLeft w:val="0"/>
                              <w:marRight w:val="0"/>
                              <w:marTop w:val="0"/>
                              <w:marBottom w:val="0"/>
                              <w:divBdr>
                                <w:top w:val="none" w:sz="0" w:space="0" w:color="auto"/>
                                <w:left w:val="none" w:sz="0" w:space="0" w:color="auto"/>
                                <w:bottom w:val="none" w:sz="0" w:space="0" w:color="auto"/>
                                <w:right w:val="none" w:sz="0" w:space="0" w:color="auto"/>
                              </w:divBdr>
                              <w:divsChild>
                                <w:div w:id="1444501133">
                                  <w:marLeft w:val="0"/>
                                  <w:marRight w:val="0"/>
                                  <w:marTop w:val="0"/>
                                  <w:marBottom w:val="0"/>
                                  <w:divBdr>
                                    <w:top w:val="none" w:sz="0" w:space="0" w:color="auto"/>
                                    <w:left w:val="none" w:sz="0" w:space="0" w:color="auto"/>
                                    <w:bottom w:val="none" w:sz="0" w:space="0" w:color="auto"/>
                                    <w:right w:val="none" w:sz="0" w:space="0" w:color="auto"/>
                                  </w:divBdr>
                                  <w:divsChild>
                                    <w:div w:id="1511992946">
                                      <w:marLeft w:val="0"/>
                                      <w:marRight w:val="0"/>
                                      <w:marTop w:val="0"/>
                                      <w:marBottom w:val="0"/>
                                      <w:divBdr>
                                        <w:top w:val="none" w:sz="0" w:space="0" w:color="auto"/>
                                        <w:left w:val="none" w:sz="0" w:space="0" w:color="auto"/>
                                        <w:bottom w:val="none" w:sz="0" w:space="0" w:color="auto"/>
                                        <w:right w:val="none" w:sz="0" w:space="0" w:color="auto"/>
                                      </w:divBdr>
                                      <w:divsChild>
                                        <w:div w:id="1608194969">
                                          <w:marLeft w:val="0"/>
                                          <w:marRight w:val="0"/>
                                          <w:marTop w:val="0"/>
                                          <w:marBottom w:val="0"/>
                                          <w:divBdr>
                                            <w:top w:val="none" w:sz="0" w:space="0" w:color="auto"/>
                                            <w:left w:val="none" w:sz="0" w:space="0" w:color="auto"/>
                                            <w:bottom w:val="none" w:sz="0" w:space="0" w:color="auto"/>
                                            <w:right w:val="none" w:sz="0" w:space="0" w:color="auto"/>
                                          </w:divBdr>
                                          <w:divsChild>
                                            <w:div w:id="1153450161">
                                              <w:marLeft w:val="0"/>
                                              <w:marRight w:val="0"/>
                                              <w:marTop w:val="0"/>
                                              <w:marBottom w:val="0"/>
                                              <w:divBdr>
                                                <w:top w:val="none" w:sz="0" w:space="0" w:color="auto"/>
                                                <w:left w:val="none" w:sz="0" w:space="0" w:color="auto"/>
                                                <w:bottom w:val="none" w:sz="0" w:space="0" w:color="auto"/>
                                                <w:right w:val="none" w:sz="0" w:space="0" w:color="auto"/>
                                              </w:divBdr>
                                              <w:divsChild>
                                                <w:div w:id="1459371758">
                                                  <w:marLeft w:val="0"/>
                                                  <w:marRight w:val="0"/>
                                                  <w:marTop w:val="0"/>
                                                  <w:marBottom w:val="0"/>
                                                  <w:divBdr>
                                                    <w:top w:val="none" w:sz="0" w:space="0" w:color="auto"/>
                                                    <w:left w:val="none" w:sz="0" w:space="0" w:color="auto"/>
                                                    <w:bottom w:val="none" w:sz="0" w:space="0" w:color="auto"/>
                                                    <w:right w:val="none" w:sz="0" w:space="0" w:color="auto"/>
                                                  </w:divBdr>
                                                  <w:divsChild>
                                                    <w:div w:id="891311609">
                                                      <w:marLeft w:val="0"/>
                                                      <w:marRight w:val="0"/>
                                                      <w:marTop w:val="0"/>
                                                      <w:marBottom w:val="0"/>
                                                      <w:divBdr>
                                                        <w:top w:val="none" w:sz="0" w:space="0" w:color="auto"/>
                                                        <w:left w:val="none" w:sz="0" w:space="0" w:color="auto"/>
                                                        <w:bottom w:val="none" w:sz="0" w:space="0" w:color="auto"/>
                                                        <w:right w:val="none" w:sz="0" w:space="0" w:color="auto"/>
                                                      </w:divBdr>
                                                      <w:divsChild>
                                                        <w:div w:id="1326399757">
                                                          <w:marLeft w:val="0"/>
                                                          <w:marRight w:val="0"/>
                                                          <w:marTop w:val="0"/>
                                                          <w:marBottom w:val="0"/>
                                                          <w:divBdr>
                                                            <w:top w:val="none" w:sz="0" w:space="0" w:color="auto"/>
                                                            <w:left w:val="none" w:sz="0" w:space="0" w:color="auto"/>
                                                            <w:bottom w:val="none" w:sz="0" w:space="0" w:color="auto"/>
                                                            <w:right w:val="none" w:sz="0" w:space="0" w:color="auto"/>
                                                          </w:divBdr>
                                                        </w:div>
                                                        <w:div w:id="1009210318">
                                                          <w:marLeft w:val="0"/>
                                                          <w:marRight w:val="0"/>
                                                          <w:marTop w:val="0"/>
                                                          <w:marBottom w:val="0"/>
                                                          <w:divBdr>
                                                            <w:top w:val="none" w:sz="0" w:space="0" w:color="auto"/>
                                                            <w:left w:val="none" w:sz="0" w:space="0" w:color="auto"/>
                                                            <w:bottom w:val="none" w:sz="0" w:space="0" w:color="auto"/>
                                                            <w:right w:val="none" w:sz="0" w:space="0" w:color="auto"/>
                                                          </w:divBdr>
                                                          <w:divsChild>
                                                            <w:div w:id="15346163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7699232">
      <w:bodyDiv w:val="1"/>
      <w:marLeft w:val="0"/>
      <w:marRight w:val="0"/>
      <w:marTop w:val="0"/>
      <w:marBottom w:val="0"/>
      <w:divBdr>
        <w:top w:val="none" w:sz="0" w:space="0" w:color="auto"/>
        <w:left w:val="none" w:sz="0" w:space="0" w:color="auto"/>
        <w:bottom w:val="none" w:sz="0" w:space="0" w:color="auto"/>
        <w:right w:val="none" w:sz="0" w:space="0" w:color="auto"/>
      </w:divBdr>
      <w:divsChild>
        <w:div w:id="2054571013">
          <w:marLeft w:val="0"/>
          <w:marRight w:val="0"/>
          <w:marTop w:val="0"/>
          <w:marBottom w:val="0"/>
          <w:divBdr>
            <w:top w:val="none" w:sz="0" w:space="0" w:color="auto"/>
            <w:left w:val="none" w:sz="0" w:space="0" w:color="auto"/>
            <w:bottom w:val="none" w:sz="0" w:space="0" w:color="auto"/>
            <w:right w:val="none" w:sz="0" w:space="0" w:color="auto"/>
          </w:divBdr>
          <w:divsChild>
            <w:div w:id="789082066">
              <w:marLeft w:val="0"/>
              <w:marRight w:val="0"/>
              <w:marTop w:val="0"/>
              <w:marBottom w:val="0"/>
              <w:divBdr>
                <w:top w:val="none" w:sz="0" w:space="0" w:color="auto"/>
                <w:left w:val="none" w:sz="0" w:space="0" w:color="auto"/>
                <w:bottom w:val="none" w:sz="0" w:space="0" w:color="auto"/>
                <w:right w:val="none" w:sz="0" w:space="0" w:color="auto"/>
              </w:divBdr>
              <w:divsChild>
                <w:div w:id="145512205">
                  <w:marLeft w:val="0"/>
                  <w:marRight w:val="0"/>
                  <w:marTop w:val="0"/>
                  <w:marBottom w:val="0"/>
                  <w:divBdr>
                    <w:top w:val="none" w:sz="0" w:space="0" w:color="auto"/>
                    <w:left w:val="none" w:sz="0" w:space="0" w:color="auto"/>
                    <w:bottom w:val="none" w:sz="0" w:space="0" w:color="auto"/>
                    <w:right w:val="none" w:sz="0" w:space="0" w:color="auto"/>
                  </w:divBdr>
                  <w:divsChild>
                    <w:div w:id="576749464">
                      <w:marLeft w:val="0"/>
                      <w:marRight w:val="0"/>
                      <w:marTop w:val="0"/>
                      <w:marBottom w:val="0"/>
                      <w:divBdr>
                        <w:top w:val="none" w:sz="0" w:space="0" w:color="auto"/>
                        <w:left w:val="none" w:sz="0" w:space="0" w:color="auto"/>
                        <w:bottom w:val="none" w:sz="0" w:space="0" w:color="auto"/>
                        <w:right w:val="none" w:sz="0" w:space="0" w:color="auto"/>
                      </w:divBdr>
                      <w:divsChild>
                        <w:div w:id="657340200">
                          <w:marLeft w:val="0"/>
                          <w:marRight w:val="0"/>
                          <w:marTop w:val="0"/>
                          <w:marBottom w:val="0"/>
                          <w:divBdr>
                            <w:top w:val="none" w:sz="0" w:space="0" w:color="auto"/>
                            <w:left w:val="none" w:sz="0" w:space="0" w:color="auto"/>
                            <w:bottom w:val="none" w:sz="0" w:space="0" w:color="auto"/>
                            <w:right w:val="none" w:sz="0" w:space="0" w:color="auto"/>
                          </w:divBdr>
                          <w:divsChild>
                            <w:div w:id="68433344">
                              <w:marLeft w:val="0"/>
                              <w:marRight w:val="0"/>
                              <w:marTop w:val="0"/>
                              <w:marBottom w:val="0"/>
                              <w:divBdr>
                                <w:top w:val="none" w:sz="0" w:space="0" w:color="auto"/>
                                <w:left w:val="none" w:sz="0" w:space="0" w:color="auto"/>
                                <w:bottom w:val="none" w:sz="0" w:space="0" w:color="auto"/>
                                <w:right w:val="none" w:sz="0" w:space="0" w:color="auto"/>
                              </w:divBdr>
                              <w:divsChild>
                                <w:div w:id="1130974267">
                                  <w:marLeft w:val="0"/>
                                  <w:marRight w:val="0"/>
                                  <w:marTop w:val="0"/>
                                  <w:marBottom w:val="0"/>
                                  <w:divBdr>
                                    <w:top w:val="none" w:sz="0" w:space="0" w:color="auto"/>
                                    <w:left w:val="none" w:sz="0" w:space="0" w:color="auto"/>
                                    <w:bottom w:val="none" w:sz="0" w:space="0" w:color="auto"/>
                                    <w:right w:val="none" w:sz="0" w:space="0" w:color="auto"/>
                                  </w:divBdr>
                                  <w:divsChild>
                                    <w:div w:id="2032485766">
                                      <w:marLeft w:val="0"/>
                                      <w:marRight w:val="0"/>
                                      <w:marTop w:val="0"/>
                                      <w:marBottom w:val="0"/>
                                      <w:divBdr>
                                        <w:top w:val="none" w:sz="0" w:space="0" w:color="auto"/>
                                        <w:left w:val="none" w:sz="0" w:space="0" w:color="auto"/>
                                        <w:bottom w:val="none" w:sz="0" w:space="0" w:color="auto"/>
                                        <w:right w:val="none" w:sz="0" w:space="0" w:color="auto"/>
                                      </w:divBdr>
                                      <w:divsChild>
                                        <w:div w:id="1736010302">
                                          <w:marLeft w:val="0"/>
                                          <w:marRight w:val="0"/>
                                          <w:marTop w:val="0"/>
                                          <w:marBottom w:val="0"/>
                                          <w:divBdr>
                                            <w:top w:val="none" w:sz="0" w:space="0" w:color="auto"/>
                                            <w:left w:val="none" w:sz="0" w:space="0" w:color="auto"/>
                                            <w:bottom w:val="none" w:sz="0" w:space="0" w:color="auto"/>
                                            <w:right w:val="none" w:sz="0" w:space="0" w:color="auto"/>
                                          </w:divBdr>
                                          <w:divsChild>
                                            <w:div w:id="726102794">
                                              <w:marLeft w:val="0"/>
                                              <w:marRight w:val="0"/>
                                              <w:marTop w:val="0"/>
                                              <w:marBottom w:val="0"/>
                                              <w:divBdr>
                                                <w:top w:val="none" w:sz="0" w:space="0" w:color="auto"/>
                                                <w:left w:val="none" w:sz="0" w:space="0" w:color="auto"/>
                                                <w:bottom w:val="none" w:sz="0" w:space="0" w:color="auto"/>
                                                <w:right w:val="none" w:sz="0" w:space="0" w:color="auto"/>
                                              </w:divBdr>
                                              <w:divsChild>
                                                <w:div w:id="953247712">
                                                  <w:marLeft w:val="0"/>
                                                  <w:marRight w:val="0"/>
                                                  <w:marTop w:val="0"/>
                                                  <w:marBottom w:val="0"/>
                                                  <w:divBdr>
                                                    <w:top w:val="none" w:sz="0" w:space="0" w:color="auto"/>
                                                    <w:left w:val="none" w:sz="0" w:space="0" w:color="auto"/>
                                                    <w:bottom w:val="none" w:sz="0" w:space="0" w:color="auto"/>
                                                    <w:right w:val="none" w:sz="0" w:space="0" w:color="auto"/>
                                                  </w:divBdr>
                                                  <w:divsChild>
                                                    <w:div w:id="217668332">
                                                      <w:marLeft w:val="0"/>
                                                      <w:marRight w:val="0"/>
                                                      <w:marTop w:val="0"/>
                                                      <w:marBottom w:val="0"/>
                                                      <w:divBdr>
                                                        <w:top w:val="none" w:sz="0" w:space="0" w:color="auto"/>
                                                        <w:left w:val="none" w:sz="0" w:space="0" w:color="auto"/>
                                                        <w:bottom w:val="none" w:sz="0" w:space="0" w:color="auto"/>
                                                        <w:right w:val="none" w:sz="0" w:space="0" w:color="auto"/>
                                                      </w:divBdr>
                                                      <w:divsChild>
                                                        <w:div w:id="19641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7888891">
      <w:bodyDiv w:val="1"/>
      <w:marLeft w:val="0"/>
      <w:marRight w:val="0"/>
      <w:marTop w:val="0"/>
      <w:marBottom w:val="0"/>
      <w:divBdr>
        <w:top w:val="none" w:sz="0" w:space="0" w:color="auto"/>
        <w:left w:val="none" w:sz="0" w:space="0" w:color="auto"/>
        <w:bottom w:val="none" w:sz="0" w:space="0" w:color="auto"/>
        <w:right w:val="none" w:sz="0" w:space="0" w:color="auto"/>
      </w:divBdr>
      <w:divsChild>
        <w:div w:id="1021737098">
          <w:marLeft w:val="0"/>
          <w:marRight w:val="0"/>
          <w:marTop w:val="0"/>
          <w:marBottom w:val="0"/>
          <w:divBdr>
            <w:top w:val="none" w:sz="0" w:space="0" w:color="auto"/>
            <w:left w:val="none" w:sz="0" w:space="0" w:color="auto"/>
            <w:bottom w:val="none" w:sz="0" w:space="0" w:color="auto"/>
            <w:right w:val="none" w:sz="0" w:space="0" w:color="auto"/>
          </w:divBdr>
        </w:div>
      </w:divsChild>
    </w:div>
    <w:div w:id="21294250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490">
          <w:marLeft w:val="0"/>
          <w:marRight w:val="0"/>
          <w:marTop w:val="0"/>
          <w:marBottom w:val="0"/>
          <w:divBdr>
            <w:top w:val="none" w:sz="0" w:space="0" w:color="auto"/>
            <w:left w:val="none" w:sz="0" w:space="0" w:color="auto"/>
            <w:bottom w:val="none" w:sz="0" w:space="0" w:color="auto"/>
            <w:right w:val="none" w:sz="0" w:space="0" w:color="auto"/>
          </w:divBdr>
        </w:div>
        <w:div w:id="231627409">
          <w:marLeft w:val="0"/>
          <w:marRight w:val="0"/>
          <w:marTop w:val="0"/>
          <w:marBottom w:val="0"/>
          <w:divBdr>
            <w:top w:val="none" w:sz="0" w:space="0" w:color="auto"/>
            <w:left w:val="none" w:sz="0" w:space="0" w:color="auto"/>
            <w:bottom w:val="none" w:sz="0" w:space="0" w:color="auto"/>
            <w:right w:val="none" w:sz="0" w:space="0" w:color="auto"/>
          </w:divBdr>
          <w:divsChild>
            <w:div w:id="8231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30211">
      <w:bodyDiv w:val="1"/>
      <w:marLeft w:val="0"/>
      <w:marRight w:val="0"/>
      <w:marTop w:val="0"/>
      <w:marBottom w:val="0"/>
      <w:divBdr>
        <w:top w:val="none" w:sz="0" w:space="0" w:color="auto"/>
        <w:left w:val="none" w:sz="0" w:space="0" w:color="auto"/>
        <w:bottom w:val="none" w:sz="0" w:space="0" w:color="auto"/>
        <w:right w:val="none" w:sz="0" w:space="0" w:color="auto"/>
      </w:divBdr>
    </w:div>
    <w:div w:id="2133546909">
      <w:bodyDiv w:val="1"/>
      <w:marLeft w:val="0"/>
      <w:marRight w:val="0"/>
      <w:marTop w:val="0"/>
      <w:marBottom w:val="0"/>
      <w:divBdr>
        <w:top w:val="none" w:sz="0" w:space="0" w:color="auto"/>
        <w:left w:val="none" w:sz="0" w:space="0" w:color="auto"/>
        <w:bottom w:val="none" w:sz="0" w:space="0" w:color="auto"/>
        <w:right w:val="none" w:sz="0" w:space="0" w:color="auto"/>
      </w:divBdr>
      <w:divsChild>
        <w:div w:id="837501409">
          <w:marLeft w:val="0"/>
          <w:marRight w:val="0"/>
          <w:marTop w:val="0"/>
          <w:marBottom w:val="0"/>
          <w:divBdr>
            <w:top w:val="none" w:sz="0" w:space="0" w:color="auto"/>
            <w:left w:val="none" w:sz="0" w:space="0" w:color="auto"/>
            <w:bottom w:val="none" w:sz="0" w:space="0" w:color="auto"/>
            <w:right w:val="none" w:sz="0" w:space="0" w:color="auto"/>
          </w:divBdr>
          <w:divsChild>
            <w:div w:id="2029526980">
              <w:marLeft w:val="0"/>
              <w:marRight w:val="0"/>
              <w:marTop w:val="0"/>
              <w:marBottom w:val="0"/>
              <w:divBdr>
                <w:top w:val="none" w:sz="0" w:space="0" w:color="auto"/>
                <w:left w:val="none" w:sz="0" w:space="0" w:color="auto"/>
                <w:bottom w:val="none" w:sz="0" w:space="0" w:color="auto"/>
                <w:right w:val="none" w:sz="0" w:space="0" w:color="auto"/>
              </w:divBdr>
              <w:divsChild>
                <w:div w:id="2059208774">
                  <w:marLeft w:val="0"/>
                  <w:marRight w:val="0"/>
                  <w:marTop w:val="0"/>
                  <w:marBottom w:val="0"/>
                  <w:divBdr>
                    <w:top w:val="none" w:sz="0" w:space="0" w:color="auto"/>
                    <w:left w:val="none" w:sz="0" w:space="0" w:color="auto"/>
                    <w:bottom w:val="none" w:sz="0" w:space="0" w:color="auto"/>
                    <w:right w:val="none" w:sz="0" w:space="0" w:color="auto"/>
                  </w:divBdr>
                  <w:divsChild>
                    <w:div w:id="1010446646">
                      <w:marLeft w:val="0"/>
                      <w:marRight w:val="0"/>
                      <w:marTop w:val="0"/>
                      <w:marBottom w:val="0"/>
                      <w:divBdr>
                        <w:top w:val="none" w:sz="0" w:space="0" w:color="auto"/>
                        <w:left w:val="none" w:sz="0" w:space="0" w:color="auto"/>
                        <w:bottom w:val="none" w:sz="0" w:space="0" w:color="auto"/>
                        <w:right w:val="none" w:sz="0" w:space="0" w:color="auto"/>
                      </w:divBdr>
                      <w:divsChild>
                        <w:div w:id="416562772">
                          <w:marLeft w:val="0"/>
                          <w:marRight w:val="0"/>
                          <w:marTop w:val="0"/>
                          <w:marBottom w:val="0"/>
                          <w:divBdr>
                            <w:top w:val="none" w:sz="0" w:space="0" w:color="auto"/>
                            <w:left w:val="none" w:sz="0" w:space="0" w:color="auto"/>
                            <w:bottom w:val="none" w:sz="0" w:space="0" w:color="auto"/>
                            <w:right w:val="none" w:sz="0" w:space="0" w:color="auto"/>
                          </w:divBdr>
                          <w:divsChild>
                            <w:div w:id="433400922">
                              <w:marLeft w:val="0"/>
                              <w:marRight w:val="0"/>
                              <w:marTop w:val="0"/>
                              <w:marBottom w:val="0"/>
                              <w:divBdr>
                                <w:top w:val="none" w:sz="0" w:space="0" w:color="auto"/>
                                <w:left w:val="none" w:sz="0" w:space="0" w:color="auto"/>
                                <w:bottom w:val="none" w:sz="0" w:space="0" w:color="auto"/>
                                <w:right w:val="none" w:sz="0" w:space="0" w:color="auto"/>
                              </w:divBdr>
                              <w:divsChild>
                                <w:div w:id="1863586391">
                                  <w:marLeft w:val="0"/>
                                  <w:marRight w:val="0"/>
                                  <w:marTop w:val="0"/>
                                  <w:marBottom w:val="0"/>
                                  <w:divBdr>
                                    <w:top w:val="none" w:sz="0" w:space="0" w:color="auto"/>
                                    <w:left w:val="none" w:sz="0" w:space="0" w:color="auto"/>
                                    <w:bottom w:val="none" w:sz="0" w:space="0" w:color="auto"/>
                                    <w:right w:val="none" w:sz="0" w:space="0" w:color="auto"/>
                                  </w:divBdr>
                                  <w:divsChild>
                                    <w:div w:id="1360930518">
                                      <w:marLeft w:val="0"/>
                                      <w:marRight w:val="0"/>
                                      <w:marTop w:val="0"/>
                                      <w:marBottom w:val="0"/>
                                      <w:divBdr>
                                        <w:top w:val="none" w:sz="0" w:space="0" w:color="auto"/>
                                        <w:left w:val="none" w:sz="0" w:space="0" w:color="auto"/>
                                        <w:bottom w:val="none" w:sz="0" w:space="0" w:color="auto"/>
                                        <w:right w:val="none" w:sz="0" w:space="0" w:color="auto"/>
                                      </w:divBdr>
                                      <w:divsChild>
                                        <w:div w:id="336806759">
                                          <w:marLeft w:val="0"/>
                                          <w:marRight w:val="0"/>
                                          <w:marTop w:val="0"/>
                                          <w:marBottom w:val="0"/>
                                          <w:divBdr>
                                            <w:top w:val="none" w:sz="0" w:space="0" w:color="auto"/>
                                            <w:left w:val="none" w:sz="0" w:space="0" w:color="auto"/>
                                            <w:bottom w:val="none" w:sz="0" w:space="0" w:color="auto"/>
                                            <w:right w:val="none" w:sz="0" w:space="0" w:color="auto"/>
                                          </w:divBdr>
                                          <w:divsChild>
                                            <w:div w:id="970213488">
                                              <w:marLeft w:val="0"/>
                                              <w:marRight w:val="0"/>
                                              <w:marTop w:val="0"/>
                                              <w:marBottom w:val="0"/>
                                              <w:divBdr>
                                                <w:top w:val="none" w:sz="0" w:space="0" w:color="auto"/>
                                                <w:left w:val="none" w:sz="0" w:space="0" w:color="auto"/>
                                                <w:bottom w:val="none" w:sz="0" w:space="0" w:color="auto"/>
                                                <w:right w:val="none" w:sz="0" w:space="0" w:color="auto"/>
                                              </w:divBdr>
                                              <w:divsChild>
                                                <w:div w:id="1612710847">
                                                  <w:marLeft w:val="0"/>
                                                  <w:marRight w:val="0"/>
                                                  <w:marTop w:val="0"/>
                                                  <w:marBottom w:val="0"/>
                                                  <w:divBdr>
                                                    <w:top w:val="none" w:sz="0" w:space="0" w:color="auto"/>
                                                    <w:left w:val="none" w:sz="0" w:space="0" w:color="auto"/>
                                                    <w:bottom w:val="none" w:sz="0" w:space="0" w:color="auto"/>
                                                    <w:right w:val="none" w:sz="0" w:space="0" w:color="auto"/>
                                                  </w:divBdr>
                                                  <w:divsChild>
                                                    <w:div w:id="1218974463">
                                                      <w:marLeft w:val="0"/>
                                                      <w:marRight w:val="0"/>
                                                      <w:marTop w:val="0"/>
                                                      <w:marBottom w:val="0"/>
                                                      <w:divBdr>
                                                        <w:top w:val="none" w:sz="0" w:space="0" w:color="auto"/>
                                                        <w:left w:val="none" w:sz="0" w:space="0" w:color="auto"/>
                                                        <w:bottom w:val="none" w:sz="0" w:space="0" w:color="auto"/>
                                                        <w:right w:val="none" w:sz="0" w:space="0" w:color="auto"/>
                                                      </w:divBdr>
                                                      <w:divsChild>
                                                        <w:div w:id="20543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3552823">
      <w:bodyDiv w:val="1"/>
      <w:marLeft w:val="0"/>
      <w:marRight w:val="0"/>
      <w:marTop w:val="0"/>
      <w:marBottom w:val="0"/>
      <w:divBdr>
        <w:top w:val="none" w:sz="0" w:space="0" w:color="auto"/>
        <w:left w:val="none" w:sz="0" w:space="0" w:color="auto"/>
        <w:bottom w:val="none" w:sz="0" w:space="0" w:color="auto"/>
        <w:right w:val="none" w:sz="0" w:space="0" w:color="auto"/>
      </w:divBdr>
      <w:divsChild>
        <w:div w:id="112482670">
          <w:marLeft w:val="0"/>
          <w:marRight w:val="0"/>
          <w:marTop w:val="0"/>
          <w:marBottom w:val="0"/>
          <w:divBdr>
            <w:top w:val="single" w:sz="2" w:space="0" w:color="AAAAAA"/>
            <w:left w:val="single" w:sz="6" w:space="8" w:color="AAAAAA"/>
            <w:bottom w:val="single" w:sz="2" w:space="0" w:color="AAAAAA"/>
            <w:right w:val="single" w:sz="6" w:space="8" w:color="AAAAAA"/>
          </w:divBdr>
          <w:divsChild>
            <w:div w:id="524101304">
              <w:marLeft w:val="0"/>
              <w:marRight w:val="0"/>
              <w:marTop w:val="0"/>
              <w:marBottom w:val="0"/>
              <w:divBdr>
                <w:top w:val="none" w:sz="0" w:space="0" w:color="auto"/>
                <w:left w:val="none" w:sz="0" w:space="0" w:color="auto"/>
                <w:bottom w:val="none" w:sz="0" w:space="0" w:color="auto"/>
                <w:right w:val="none" w:sz="0" w:space="0" w:color="auto"/>
              </w:divBdr>
              <w:divsChild>
                <w:div w:id="1137575824">
                  <w:marLeft w:val="0"/>
                  <w:marRight w:val="0"/>
                  <w:marTop w:val="0"/>
                  <w:marBottom w:val="0"/>
                  <w:divBdr>
                    <w:top w:val="none" w:sz="0" w:space="0" w:color="auto"/>
                    <w:left w:val="none" w:sz="0" w:space="0" w:color="auto"/>
                    <w:bottom w:val="none" w:sz="0" w:space="0" w:color="auto"/>
                    <w:right w:val="none" w:sz="0" w:space="0" w:color="auto"/>
                  </w:divBdr>
                  <w:divsChild>
                    <w:div w:id="1813138325">
                      <w:marLeft w:val="0"/>
                      <w:marRight w:val="2550"/>
                      <w:marTop w:val="0"/>
                      <w:marBottom w:val="48"/>
                      <w:divBdr>
                        <w:top w:val="none" w:sz="0" w:space="0" w:color="auto"/>
                        <w:left w:val="none" w:sz="0" w:space="0" w:color="auto"/>
                        <w:bottom w:val="none" w:sz="0" w:space="0" w:color="auto"/>
                        <w:right w:val="none" w:sz="0" w:space="0" w:color="auto"/>
                      </w:divBdr>
                      <w:divsChild>
                        <w:div w:id="5516227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3673736">
      <w:bodyDiv w:val="1"/>
      <w:marLeft w:val="0"/>
      <w:marRight w:val="0"/>
      <w:marTop w:val="0"/>
      <w:marBottom w:val="0"/>
      <w:divBdr>
        <w:top w:val="none" w:sz="0" w:space="0" w:color="auto"/>
        <w:left w:val="none" w:sz="0" w:space="0" w:color="auto"/>
        <w:bottom w:val="none" w:sz="0" w:space="0" w:color="auto"/>
        <w:right w:val="none" w:sz="0" w:space="0" w:color="auto"/>
      </w:divBdr>
      <w:divsChild>
        <w:div w:id="1693411178">
          <w:marLeft w:val="0"/>
          <w:marRight w:val="0"/>
          <w:marTop w:val="0"/>
          <w:marBottom w:val="0"/>
          <w:divBdr>
            <w:top w:val="none" w:sz="0" w:space="0" w:color="auto"/>
            <w:left w:val="none" w:sz="0" w:space="0" w:color="auto"/>
            <w:bottom w:val="none" w:sz="0" w:space="0" w:color="auto"/>
            <w:right w:val="none" w:sz="0" w:space="0" w:color="auto"/>
          </w:divBdr>
          <w:divsChild>
            <w:div w:id="627317171">
              <w:marLeft w:val="0"/>
              <w:marRight w:val="0"/>
              <w:marTop w:val="0"/>
              <w:marBottom w:val="0"/>
              <w:divBdr>
                <w:top w:val="none" w:sz="0" w:space="0" w:color="auto"/>
                <w:left w:val="none" w:sz="0" w:space="0" w:color="auto"/>
                <w:bottom w:val="none" w:sz="0" w:space="0" w:color="auto"/>
                <w:right w:val="none" w:sz="0" w:space="0" w:color="auto"/>
              </w:divBdr>
              <w:divsChild>
                <w:div w:id="1992637892">
                  <w:marLeft w:val="0"/>
                  <w:marRight w:val="0"/>
                  <w:marTop w:val="0"/>
                  <w:marBottom w:val="0"/>
                  <w:divBdr>
                    <w:top w:val="none" w:sz="0" w:space="0" w:color="auto"/>
                    <w:left w:val="none" w:sz="0" w:space="0" w:color="auto"/>
                    <w:bottom w:val="none" w:sz="0" w:space="0" w:color="auto"/>
                    <w:right w:val="none" w:sz="0" w:space="0" w:color="auto"/>
                  </w:divBdr>
                  <w:divsChild>
                    <w:div w:id="130096844">
                      <w:marLeft w:val="0"/>
                      <w:marRight w:val="0"/>
                      <w:marTop w:val="0"/>
                      <w:marBottom w:val="0"/>
                      <w:divBdr>
                        <w:top w:val="none" w:sz="0" w:space="0" w:color="auto"/>
                        <w:left w:val="none" w:sz="0" w:space="0" w:color="auto"/>
                        <w:bottom w:val="none" w:sz="0" w:space="0" w:color="auto"/>
                        <w:right w:val="none" w:sz="0" w:space="0" w:color="auto"/>
                      </w:divBdr>
                      <w:divsChild>
                        <w:div w:id="1819759298">
                          <w:marLeft w:val="0"/>
                          <w:marRight w:val="0"/>
                          <w:marTop w:val="0"/>
                          <w:marBottom w:val="0"/>
                          <w:divBdr>
                            <w:top w:val="none" w:sz="0" w:space="0" w:color="auto"/>
                            <w:left w:val="none" w:sz="0" w:space="0" w:color="auto"/>
                            <w:bottom w:val="none" w:sz="0" w:space="0" w:color="auto"/>
                            <w:right w:val="none" w:sz="0" w:space="0" w:color="auto"/>
                          </w:divBdr>
                          <w:divsChild>
                            <w:div w:id="1367565919">
                              <w:marLeft w:val="0"/>
                              <w:marRight w:val="0"/>
                              <w:marTop w:val="0"/>
                              <w:marBottom w:val="0"/>
                              <w:divBdr>
                                <w:top w:val="none" w:sz="0" w:space="0" w:color="auto"/>
                                <w:left w:val="none" w:sz="0" w:space="0" w:color="auto"/>
                                <w:bottom w:val="none" w:sz="0" w:space="0" w:color="auto"/>
                                <w:right w:val="none" w:sz="0" w:space="0" w:color="auto"/>
                              </w:divBdr>
                              <w:divsChild>
                                <w:div w:id="1435906974">
                                  <w:marLeft w:val="0"/>
                                  <w:marRight w:val="0"/>
                                  <w:marTop w:val="0"/>
                                  <w:marBottom w:val="0"/>
                                  <w:divBdr>
                                    <w:top w:val="none" w:sz="0" w:space="0" w:color="auto"/>
                                    <w:left w:val="none" w:sz="0" w:space="0" w:color="auto"/>
                                    <w:bottom w:val="none" w:sz="0" w:space="0" w:color="auto"/>
                                    <w:right w:val="none" w:sz="0" w:space="0" w:color="auto"/>
                                  </w:divBdr>
                                  <w:divsChild>
                                    <w:div w:id="913010671">
                                      <w:marLeft w:val="0"/>
                                      <w:marRight w:val="0"/>
                                      <w:marTop w:val="0"/>
                                      <w:marBottom w:val="0"/>
                                      <w:divBdr>
                                        <w:top w:val="none" w:sz="0" w:space="0" w:color="auto"/>
                                        <w:left w:val="none" w:sz="0" w:space="0" w:color="auto"/>
                                        <w:bottom w:val="none" w:sz="0" w:space="0" w:color="auto"/>
                                        <w:right w:val="none" w:sz="0" w:space="0" w:color="auto"/>
                                      </w:divBdr>
                                      <w:divsChild>
                                        <w:div w:id="3660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858043">
      <w:bodyDiv w:val="1"/>
      <w:marLeft w:val="0"/>
      <w:marRight w:val="0"/>
      <w:marTop w:val="0"/>
      <w:marBottom w:val="0"/>
      <w:divBdr>
        <w:top w:val="none" w:sz="0" w:space="0" w:color="auto"/>
        <w:left w:val="none" w:sz="0" w:space="0" w:color="auto"/>
        <w:bottom w:val="none" w:sz="0" w:space="0" w:color="auto"/>
        <w:right w:val="none" w:sz="0" w:space="0" w:color="auto"/>
      </w:divBdr>
      <w:divsChild>
        <w:div w:id="153423710">
          <w:marLeft w:val="0"/>
          <w:marRight w:val="0"/>
          <w:marTop w:val="0"/>
          <w:marBottom w:val="0"/>
          <w:divBdr>
            <w:top w:val="none" w:sz="0" w:space="0" w:color="auto"/>
            <w:left w:val="none" w:sz="0" w:space="0" w:color="auto"/>
            <w:bottom w:val="none" w:sz="0" w:space="0" w:color="auto"/>
            <w:right w:val="none" w:sz="0" w:space="0" w:color="auto"/>
          </w:divBdr>
          <w:divsChild>
            <w:div w:id="1111514993">
              <w:marLeft w:val="0"/>
              <w:marRight w:val="0"/>
              <w:marTop w:val="0"/>
              <w:marBottom w:val="0"/>
              <w:divBdr>
                <w:top w:val="none" w:sz="0" w:space="0" w:color="auto"/>
                <w:left w:val="none" w:sz="0" w:space="0" w:color="auto"/>
                <w:bottom w:val="none" w:sz="0" w:space="0" w:color="auto"/>
                <w:right w:val="none" w:sz="0" w:space="0" w:color="auto"/>
              </w:divBdr>
              <w:divsChild>
                <w:div w:id="1541162110">
                  <w:marLeft w:val="0"/>
                  <w:marRight w:val="0"/>
                  <w:marTop w:val="0"/>
                  <w:marBottom w:val="0"/>
                  <w:divBdr>
                    <w:top w:val="none" w:sz="0" w:space="0" w:color="auto"/>
                    <w:left w:val="none" w:sz="0" w:space="0" w:color="auto"/>
                    <w:bottom w:val="none" w:sz="0" w:space="0" w:color="auto"/>
                    <w:right w:val="none" w:sz="0" w:space="0" w:color="auto"/>
                  </w:divBdr>
                  <w:divsChild>
                    <w:div w:id="1815095885">
                      <w:marLeft w:val="0"/>
                      <w:marRight w:val="0"/>
                      <w:marTop w:val="0"/>
                      <w:marBottom w:val="0"/>
                      <w:divBdr>
                        <w:top w:val="none" w:sz="0" w:space="0" w:color="auto"/>
                        <w:left w:val="none" w:sz="0" w:space="0" w:color="auto"/>
                        <w:bottom w:val="none" w:sz="0" w:space="0" w:color="auto"/>
                        <w:right w:val="none" w:sz="0" w:space="0" w:color="auto"/>
                      </w:divBdr>
                      <w:divsChild>
                        <w:div w:id="404030826">
                          <w:marLeft w:val="0"/>
                          <w:marRight w:val="0"/>
                          <w:marTop w:val="0"/>
                          <w:marBottom w:val="375"/>
                          <w:divBdr>
                            <w:top w:val="none" w:sz="0" w:space="0" w:color="auto"/>
                            <w:left w:val="none" w:sz="0" w:space="0" w:color="auto"/>
                            <w:bottom w:val="none" w:sz="0" w:space="0" w:color="auto"/>
                            <w:right w:val="none" w:sz="0" w:space="0" w:color="auto"/>
                          </w:divBdr>
                        </w:div>
                        <w:div w:id="1297106348">
                          <w:marLeft w:val="0"/>
                          <w:marRight w:val="0"/>
                          <w:marTop w:val="0"/>
                          <w:marBottom w:val="600"/>
                          <w:divBdr>
                            <w:top w:val="none" w:sz="0" w:space="0" w:color="auto"/>
                            <w:left w:val="none" w:sz="0" w:space="0" w:color="auto"/>
                            <w:bottom w:val="none" w:sz="0" w:space="0" w:color="auto"/>
                            <w:right w:val="none" w:sz="0" w:space="0" w:color="auto"/>
                          </w:divBdr>
                          <w:divsChild>
                            <w:div w:id="8608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495">
          <w:marLeft w:val="0"/>
          <w:marRight w:val="0"/>
          <w:marTop w:val="0"/>
          <w:marBottom w:val="0"/>
          <w:divBdr>
            <w:top w:val="none" w:sz="0" w:space="0" w:color="auto"/>
            <w:left w:val="none" w:sz="0" w:space="0" w:color="auto"/>
            <w:bottom w:val="none" w:sz="0" w:space="0" w:color="auto"/>
            <w:right w:val="none" w:sz="0" w:space="0" w:color="auto"/>
          </w:divBdr>
        </w:div>
        <w:div w:id="2105495608">
          <w:marLeft w:val="0"/>
          <w:marRight w:val="0"/>
          <w:marTop w:val="0"/>
          <w:marBottom w:val="0"/>
          <w:divBdr>
            <w:top w:val="none" w:sz="0" w:space="0" w:color="auto"/>
            <w:left w:val="none" w:sz="0" w:space="0" w:color="auto"/>
            <w:bottom w:val="none" w:sz="0" w:space="0" w:color="auto"/>
            <w:right w:val="none" w:sz="0" w:space="0" w:color="auto"/>
          </w:divBdr>
          <w:divsChild>
            <w:div w:id="835413258">
              <w:marLeft w:val="0"/>
              <w:marRight w:val="0"/>
              <w:marTop w:val="0"/>
              <w:marBottom w:val="225"/>
              <w:divBdr>
                <w:top w:val="none" w:sz="0" w:space="0" w:color="auto"/>
                <w:left w:val="none" w:sz="0" w:space="0" w:color="auto"/>
                <w:bottom w:val="none" w:sz="0" w:space="0" w:color="auto"/>
                <w:right w:val="none" w:sz="0" w:space="0" w:color="auto"/>
              </w:divBdr>
            </w:div>
            <w:div w:id="1703702132">
              <w:marLeft w:val="0"/>
              <w:marRight w:val="0"/>
              <w:marTop w:val="0"/>
              <w:marBottom w:val="225"/>
              <w:divBdr>
                <w:top w:val="none" w:sz="0" w:space="0" w:color="auto"/>
                <w:left w:val="none" w:sz="0" w:space="0" w:color="auto"/>
                <w:bottom w:val="none" w:sz="0" w:space="0" w:color="auto"/>
                <w:right w:val="none" w:sz="0" w:space="0" w:color="auto"/>
              </w:divBdr>
            </w:div>
          </w:divsChild>
        </w:div>
        <w:div w:id="881020346">
          <w:marLeft w:val="0"/>
          <w:marRight w:val="0"/>
          <w:marTop w:val="0"/>
          <w:marBottom w:val="0"/>
          <w:divBdr>
            <w:top w:val="none" w:sz="0" w:space="0" w:color="auto"/>
            <w:left w:val="none" w:sz="0" w:space="0" w:color="auto"/>
            <w:bottom w:val="none" w:sz="0" w:space="0" w:color="auto"/>
            <w:right w:val="none" w:sz="0" w:space="0" w:color="auto"/>
          </w:divBdr>
          <w:divsChild>
            <w:div w:id="500700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4325993">
      <w:bodyDiv w:val="1"/>
      <w:marLeft w:val="0"/>
      <w:marRight w:val="0"/>
      <w:marTop w:val="0"/>
      <w:marBottom w:val="0"/>
      <w:divBdr>
        <w:top w:val="none" w:sz="0" w:space="0" w:color="auto"/>
        <w:left w:val="none" w:sz="0" w:space="0" w:color="auto"/>
        <w:bottom w:val="none" w:sz="0" w:space="0" w:color="auto"/>
        <w:right w:val="none" w:sz="0" w:space="0" w:color="auto"/>
      </w:divBdr>
    </w:div>
    <w:div w:id="2134668028">
      <w:bodyDiv w:val="1"/>
      <w:marLeft w:val="0"/>
      <w:marRight w:val="0"/>
      <w:marTop w:val="0"/>
      <w:marBottom w:val="0"/>
      <w:divBdr>
        <w:top w:val="none" w:sz="0" w:space="0" w:color="auto"/>
        <w:left w:val="none" w:sz="0" w:space="0" w:color="auto"/>
        <w:bottom w:val="none" w:sz="0" w:space="0" w:color="auto"/>
        <w:right w:val="none" w:sz="0" w:space="0" w:color="auto"/>
      </w:divBdr>
    </w:div>
    <w:div w:id="2134861117">
      <w:bodyDiv w:val="1"/>
      <w:marLeft w:val="0"/>
      <w:marRight w:val="0"/>
      <w:marTop w:val="0"/>
      <w:marBottom w:val="0"/>
      <w:divBdr>
        <w:top w:val="none" w:sz="0" w:space="0" w:color="auto"/>
        <w:left w:val="none" w:sz="0" w:space="0" w:color="auto"/>
        <w:bottom w:val="none" w:sz="0" w:space="0" w:color="auto"/>
        <w:right w:val="none" w:sz="0" w:space="0" w:color="auto"/>
      </w:divBdr>
    </w:div>
    <w:div w:id="2134863762">
      <w:bodyDiv w:val="1"/>
      <w:marLeft w:val="0"/>
      <w:marRight w:val="0"/>
      <w:marTop w:val="0"/>
      <w:marBottom w:val="0"/>
      <w:divBdr>
        <w:top w:val="none" w:sz="0" w:space="0" w:color="auto"/>
        <w:left w:val="none" w:sz="0" w:space="0" w:color="auto"/>
        <w:bottom w:val="none" w:sz="0" w:space="0" w:color="auto"/>
        <w:right w:val="none" w:sz="0" w:space="0" w:color="auto"/>
      </w:divBdr>
      <w:divsChild>
        <w:div w:id="282662523">
          <w:marLeft w:val="0"/>
          <w:marRight w:val="0"/>
          <w:marTop w:val="0"/>
          <w:marBottom w:val="0"/>
          <w:divBdr>
            <w:top w:val="none" w:sz="0" w:space="0" w:color="auto"/>
            <w:left w:val="none" w:sz="0" w:space="0" w:color="auto"/>
            <w:bottom w:val="none" w:sz="0" w:space="0" w:color="auto"/>
            <w:right w:val="none" w:sz="0" w:space="0" w:color="auto"/>
          </w:divBdr>
          <w:divsChild>
            <w:div w:id="400250853">
              <w:marLeft w:val="0"/>
              <w:marRight w:val="0"/>
              <w:marTop w:val="0"/>
              <w:marBottom w:val="0"/>
              <w:divBdr>
                <w:top w:val="none" w:sz="0" w:space="0" w:color="auto"/>
                <w:left w:val="none" w:sz="0" w:space="0" w:color="auto"/>
                <w:bottom w:val="none" w:sz="0" w:space="0" w:color="auto"/>
                <w:right w:val="none" w:sz="0" w:space="0" w:color="auto"/>
              </w:divBdr>
              <w:divsChild>
                <w:div w:id="76173758">
                  <w:marLeft w:val="0"/>
                  <w:marRight w:val="0"/>
                  <w:marTop w:val="0"/>
                  <w:marBottom w:val="0"/>
                  <w:divBdr>
                    <w:top w:val="none" w:sz="0" w:space="0" w:color="auto"/>
                    <w:left w:val="none" w:sz="0" w:space="0" w:color="auto"/>
                    <w:bottom w:val="none" w:sz="0" w:space="0" w:color="auto"/>
                    <w:right w:val="none" w:sz="0" w:space="0" w:color="auto"/>
                  </w:divBdr>
                  <w:divsChild>
                    <w:div w:id="1365210714">
                      <w:marLeft w:val="0"/>
                      <w:marRight w:val="0"/>
                      <w:marTop w:val="0"/>
                      <w:marBottom w:val="0"/>
                      <w:divBdr>
                        <w:top w:val="none" w:sz="0" w:space="0" w:color="auto"/>
                        <w:left w:val="none" w:sz="0" w:space="0" w:color="auto"/>
                        <w:bottom w:val="none" w:sz="0" w:space="0" w:color="auto"/>
                        <w:right w:val="none" w:sz="0" w:space="0" w:color="auto"/>
                      </w:divBdr>
                      <w:divsChild>
                        <w:div w:id="19123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485744">
      <w:bodyDiv w:val="1"/>
      <w:marLeft w:val="0"/>
      <w:marRight w:val="0"/>
      <w:marTop w:val="0"/>
      <w:marBottom w:val="0"/>
      <w:divBdr>
        <w:top w:val="none" w:sz="0" w:space="0" w:color="auto"/>
        <w:left w:val="none" w:sz="0" w:space="0" w:color="auto"/>
        <w:bottom w:val="none" w:sz="0" w:space="0" w:color="auto"/>
        <w:right w:val="none" w:sz="0" w:space="0" w:color="auto"/>
      </w:divBdr>
      <w:divsChild>
        <w:div w:id="1563297692">
          <w:marLeft w:val="0"/>
          <w:marRight w:val="0"/>
          <w:marTop w:val="0"/>
          <w:marBottom w:val="0"/>
          <w:divBdr>
            <w:top w:val="none" w:sz="0" w:space="0" w:color="auto"/>
            <w:left w:val="none" w:sz="0" w:space="0" w:color="auto"/>
            <w:bottom w:val="none" w:sz="0" w:space="0" w:color="auto"/>
            <w:right w:val="none" w:sz="0" w:space="0" w:color="auto"/>
          </w:divBdr>
          <w:divsChild>
            <w:div w:id="1390612373">
              <w:marLeft w:val="0"/>
              <w:marRight w:val="0"/>
              <w:marTop w:val="0"/>
              <w:marBottom w:val="0"/>
              <w:divBdr>
                <w:top w:val="none" w:sz="0" w:space="0" w:color="auto"/>
                <w:left w:val="none" w:sz="0" w:space="0" w:color="auto"/>
                <w:bottom w:val="none" w:sz="0" w:space="0" w:color="auto"/>
                <w:right w:val="none" w:sz="0" w:space="0" w:color="auto"/>
              </w:divBdr>
              <w:divsChild>
                <w:div w:id="546574666">
                  <w:marLeft w:val="0"/>
                  <w:marRight w:val="0"/>
                  <w:marTop w:val="0"/>
                  <w:marBottom w:val="0"/>
                  <w:divBdr>
                    <w:top w:val="none" w:sz="0" w:space="0" w:color="auto"/>
                    <w:left w:val="none" w:sz="0" w:space="0" w:color="auto"/>
                    <w:bottom w:val="none" w:sz="0" w:space="0" w:color="auto"/>
                    <w:right w:val="none" w:sz="0" w:space="0" w:color="auto"/>
                  </w:divBdr>
                  <w:divsChild>
                    <w:div w:id="1782919719">
                      <w:marLeft w:val="0"/>
                      <w:marRight w:val="0"/>
                      <w:marTop w:val="0"/>
                      <w:marBottom w:val="0"/>
                      <w:divBdr>
                        <w:top w:val="none" w:sz="0" w:space="0" w:color="auto"/>
                        <w:left w:val="none" w:sz="0" w:space="0" w:color="auto"/>
                        <w:bottom w:val="none" w:sz="0" w:space="0" w:color="auto"/>
                        <w:right w:val="none" w:sz="0" w:space="0" w:color="auto"/>
                      </w:divBdr>
                      <w:divsChild>
                        <w:div w:id="1889218372">
                          <w:marLeft w:val="0"/>
                          <w:marRight w:val="0"/>
                          <w:marTop w:val="0"/>
                          <w:marBottom w:val="0"/>
                          <w:divBdr>
                            <w:top w:val="none" w:sz="0" w:space="0" w:color="auto"/>
                            <w:left w:val="none" w:sz="0" w:space="0" w:color="auto"/>
                            <w:bottom w:val="none" w:sz="0" w:space="0" w:color="auto"/>
                            <w:right w:val="none" w:sz="0" w:space="0" w:color="auto"/>
                          </w:divBdr>
                          <w:divsChild>
                            <w:div w:id="1140073761">
                              <w:marLeft w:val="0"/>
                              <w:marRight w:val="0"/>
                              <w:marTop w:val="0"/>
                              <w:marBottom w:val="0"/>
                              <w:divBdr>
                                <w:top w:val="none" w:sz="0" w:space="0" w:color="auto"/>
                                <w:left w:val="none" w:sz="0" w:space="0" w:color="auto"/>
                                <w:bottom w:val="none" w:sz="0" w:space="0" w:color="auto"/>
                                <w:right w:val="none" w:sz="0" w:space="0" w:color="auto"/>
                              </w:divBdr>
                              <w:divsChild>
                                <w:div w:id="545337659">
                                  <w:marLeft w:val="0"/>
                                  <w:marRight w:val="0"/>
                                  <w:marTop w:val="0"/>
                                  <w:marBottom w:val="0"/>
                                  <w:divBdr>
                                    <w:top w:val="none" w:sz="0" w:space="0" w:color="auto"/>
                                    <w:left w:val="none" w:sz="0" w:space="0" w:color="auto"/>
                                    <w:bottom w:val="none" w:sz="0" w:space="0" w:color="auto"/>
                                    <w:right w:val="none" w:sz="0" w:space="0" w:color="auto"/>
                                  </w:divBdr>
                                  <w:divsChild>
                                    <w:div w:id="1341352952">
                                      <w:marLeft w:val="0"/>
                                      <w:marRight w:val="0"/>
                                      <w:marTop w:val="0"/>
                                      <w:marBottom w:val="0"/>
                                      <w:divBdr>
                                        <w:top w:val="none" w:sz="0" w:space="0" w:color="auto"/>
                                        <w:left w:val="none" w:sz="0" w:space="0" w:color="auto"/>
                                        <w:bottom w:val="none" w:sz="0" w:space="0" w:color="auto"/>
                                        <w:right w:val="none" w:sz="0" w:space="0" w:color="auto"/>
                                      </w:divBdr>
                                      <w:divsChild>
                                        <w:div w:id="236791676">
                                          <w:marLeft w:val="0"/>
                                          <w:marRight w:val="0"/>
                                          <w:marTop w:val="0"/>
                                          <w:marBottom w:val="0"/>
                                          <w:divBdr>
                                            <w:top w:val="none" w:sz="0" w:space="0" w:color="auto"/>
                                            <w:left w:val="none" w:sz="0" w:space="0" w:color="auto"/>
                                            <w:bottom w:val="none" w:sz="0" w:space="0" w:color="auto"/>
                                            <w:right w:val="none" w:sz="0" w:space="0" w:color="auto"/>
                                          </w:divBdr>
                                          <w:divsChild>
                                            <w:div w:id="2010477963">
                                              <w:marLeft w:val="0"/>
                                              <w:marRight w:val="0"/>
                                              <w:marTop w:val="0"/>
                                              <w:marBottom w:val="0"/>
                                              <w:divBdr>
                                                <w:top w:val="none" w:sz="0" w:space="0" w:color="auto"/>
                                                <w:left w:val="none" w:sz="0" w:space="0" w:color="auto"/>
                                                <w:bottom w:val="none" w:sz="0" w:space="0" w:color="auto"/>
                                                <w:right w:val="none" w:sz="0" w:space="0" w:color="auto"/>
                                              </w:divBdr>
                                              <w:divsChild>
                                                <w:div w:id="188181785">
                                                  <w:marLeft w:val="0"/>
                                                  <w:marRight w:val="0"/>
                                                  <w:marTop w:val="0"/>
                                                  <w:marBottom w:val="0"/>
                                                  <w:divBdr>
                                                    <w:top w:val="none" w:sz="0" w:space="0" w:color="auto"/>
                                                    <w:left w:val="none" w:sz="0" w:space="0" w:color="auto"/>
                                                    <w:bottom w:val="none" w:sz="0" w:space="0" w:color="auto"/>
                                                    <w:right w:val="none" w:sz="0" w:space="0" w:color="auto"/>
                                                  </w:divBdr>
                                                  <w:divsChild>
                                                    <w:div w:id="778447328">
                                                      <w:marLeft w:val="0"/>
                                                      <w:marRight w:val="0"/>
                                                      <w:marTop w:val="0"/>
                                                      <w:marBottom w:val="0"/>
                                                      <w:divBdr>
                                                        <w:top w:val="none" w:sz="0" w:space="0" w:color="auto"/>
                                                        <w:left w:val="none" w:sz="0" w:space="0" w:color="auto"/>
                                                        <w:bottom w:val="none" w:sz="0" w:space="0" w:color="auto"/>
                                                        <w:right w:val="none" w:sz="0" w:space="0" w:color="auto"/>
                                                      </w:divBdr>
                                                      <w:divsChild>
                                                        <w:div w:id="4052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7947202">
      <w:bodyDiv w:val="1"/>
      <w:marLeft w:val="0"/>
      <w:marRight w:val="0"/>
      <w:marTop w:val="0"/>
      <w:marBottom w:val="0"/>
      <w:divBdr>
        <w:top w:val="none" w:sz="0" w:space="0" w:color="auto"/>
        <w:left w:val="none" w:sz="0" w:space="0" w:color="auto"/>
        <w:bottom w:val="none" w:sz="0" w:space="0" w:color="auto"/>
        <w:right w:val="none" w:sz="0" w:space="0" w:color="auto"/>
      </w:divBdr>
      <w:divsChild>
        <w:div w:id="1608267042">
          <w:marLeft w:val="0"/>
          <w:marRight w:val="0"/>
          <w:marTop w:val="0"/>
          <w:marBottom w:val="0"/>
          <w:divBdr>
            <w:top w:val="single" w:sz="2" w:space="0" w:color="AAAAAA"/>
            <w:left w:val="single" w:sz="6" w:space="8" w:color="AAAAAA"/>
            <w:bottom w:val="single" w:sz="2" w:space="0" w:color="AAAAAA"/>
            <w:right w:val="single" w:sz="6" w:space="8" w:color="AAAAAA"/>
          </w:divBdr>
          <w:divsChild>
            <w:div w:id="1625578882">
              <w:marLeft w:val="0"/>
              <w:marRight w:val="0"/>
              <w:marTop w:val="0"/>
              <w:marBottom w:val="0"/>
              <w:divBdr>
                <w:top w:val="none" w:sz="0" w:space="0" w:color="auto"/>
                <w:left w:val="none" w:sz="0" w:space="0" w:color="auto"/>
                <w:bottom w:val="none" w:sz="0" w:space="0" w:color="auto"/>
                <w:right w:val="none" w:sz="0" w:space="0" w:color="auto"/>
              </w:divBdr>
              <w:divsChild>
                <w:div w:id="42798524">
                  <w:marLeft w:val="0"/>
                  <w:marRight w:val="0"/>
                  <w:marTop w:val="0"/>
                  <w:marBottom w:val="0"/>
                  <w:divBdr>
                    <w:top w:val="none" w:sz="0" w:space="0" w:color="auto"/>
                    <w:left w:val="none" w:sz="0" w:space="0" w:color="auto"/>
                    <w:bottom w:val="none" w:sz="0" w:space="0" w:color="auto"/>
                    <w:right w:val="none" w:sz="0" w:space="0" w:color="auto"/>
                  </w:divBdr>
                  <w:divsChild>
                    <w:div w:id="1360928950">
                      <w:marLeft w:val="0"/>
                      <w:marRight w:val="2550"/>
                      <w:marTop w:val="0"/>
                      <w:marBottom w:val="48"/>
                      <w:divBdr>
                        <w:top w:val="none" w:sz="0" w:space="0" w:color="auto"/>
                        <w:left w:val="none" w:sz="0" w:space="0" w:color="auto"/>
                        <w:bottom w:val="none" w:sz="0" w:space="0" w:color="auto"/>
                        <w:right w:val="none" w:sz="0" w:space="0" w:color="auto"/>
                      </w:divBdr>
                      <w:divsChild>
                        <w:div w:id="1481309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8572028">
      <w:bodyDiv w:val="1"/>
      <w:marLeft w:val="0"/>
      <w:marRight w:val="0"/>
      <w:marTop w:val="0"/>
      <w:marBottom w:val="0"/>
      <w:divBdr>
        <w:top w:val="none" w:sz="0" w:space="0" w:color="auto"/>
        <w:left w:val="none" w:sz="0" w:space="0" w:color="auto"/>
        <w:bottom w:val="none" w:sz="0" w:space="0" w:color="auto"/>
        <w:right w:val="none" w:sz="0" w:space="0" w:color="auto"/>
      </w:divBdr>
      <w:divsChild>
        <w:div w:id="247081023">
          <w:marLeft w:val="0"/>
          <w:marRight w:val="0"/>
          <w:marTop w:val="0"/>
          <w:marBottom w:val="0"/>
          <w:divBdr>
            <w:top w:val="none" w:sz="0" w:space="0" w:color="auto"/>
            <w:left w:val="none" w:sz="0" w:space="0" w:color="auto"/>
            <w:bottom w:val="none" w:sz="0" w:space="0" w:color="auto"/>
            <w:right w:val="none" w:sz="0" w:space="0" w:color="auto"/>
          </w:divBdr>
          <w:divsChild>
            <w:div w:id="634530472">
              <w:marLeft w:val="0"/>
              <w:marRight w:val="0"/>
              <w:marTop w:val="0"/>
              <w:marBottom w:val="0"/>
              <w:divBdr>
                <w:top w:val="none" w:sz="0" w:space="0" w:color="auto"/>
                <w:left w:val="none" w:sz="0" w:space="0" w:color="auto"/>
                <w:bottom w:val="none" w:sz="0" w:space="0" w:color="auto"/>
                <w:right w:val="none" w:sz="0" w:space="0" w:color="auto"/>
              </w:divBdr>
              <w:divsChild>
                <w:div w:id="910582455">
                  <w:marLeft w:val="0"/>
                  <w:marRight w:val="0"/>
                  <w:marTop w:val="0"/>
                  <w:marBottom w:val="0"/>
                  <w:divBdr>
                    <w:top w:val="none" w:sz="0" w:space="0" w:color="auto"/>
                    <w:left w:val="none" w:sz="0" w:space="0" w:color="auto"/>
                    <w:bottom w:val="none" w:sz="0" w:space="0" w:color="auto"/>
                    <w:right w:val="none" w:sz="0" w:space="0" w:color="auto"/>
                  </w:divBdr>
                  <w:divsChild>
                    <w:div w:id="1205024927">
                      <w:marLeft w:val="0"/>
                      <w:marRight w:val="0"/>
                      <w:marTop w:val="0"/>
                      <w:marBottom w:val="0"/>
                      <w:divBdr>
                        <w:top w:val="none" w:sz="0" w:space="0" w:color="auto"/>
                        <w:left w:val="none" w:sz="0" w:space="0" w:color="auto"/>
                        <w:bottom w:val="none" w:sz="0" w:space="0" w:color="auto"/>
                        <w:right w:val="none" w:sz="0" w:space="0" w:color="auto"/>
                      </w:divBdr>
                      <w:divsChild>
                        <w:div w:id="94520567">
                          <w:marLeft w:val="0"/>
                          <w:marRight w:val="0"/>
                          <w:marTop w:val="0"/>
                          <w:marBottom w:val="0"/>
                          <w:divBdr>
                            <w:top w:val="none" w:sz="0" w:space="0" w:color="auto"/>
                            <w:left w:val="none" w:sz="0" w:space="0" w:color="auto"/>
                            <w:bottom w:val="none" w:sz="0" w:space="0" w:color="auto"/>
                            <w:right w:val="none" w:sz="0" w:space="0" w:color="auto"/>
                          </w:divBdr>
                          <w:divsChild>
                            <w:div w:id="495415684">
                              <w:marLeft w:val="0"/>
                              <w:marRight w:val="0"/>
                              <w:marTop w:val="0"/>
                              <w:marBottom w:val="0"/>
                              <w:divBdr>
                                <w:top w:val="none" w:sz="0" w:space="0" w:color="auto"/>
                                <w:left w:val="none" w:sz="0" w:space="0" w:color="auto"/>
                                <w:bottom w:val="none" w:sz="0" w:space="0" w:color="auto"/>
                                <w:right w:val="none" w:sz="0" w:space="0" w:color="auto"/>
                              </w:divBdr>
                              <w:divsChild>
                                <w:div w:id="1912229707">
                                  <w:marLeft w:val="0"/>
                                  <w:marRight w:val="0"/>
                                  <w:marTop w:val="0"/>
                                  <w:marBottom w:val="0"/>
                                  <w:divBdr>
                                    <w:top w:val="none" w:sz="0" w:space="0" w:color="auto"/>
                                    <w:left w:val="none" w:sz="0" w:space="0" w:color="auto"/>
                                    <w:bottom w:val="none" w:sz="0" w:space="0" w:color="auto"/>
                                    <w:right w:val="none" w:sz="0" w:space="0" w:color="auto"/>
                                  </w:divBdr>
                                  <w:divsChild>
                                    <w:div w:id="1888564951">
                                      <w:marLeft w:val="0"/>
                                      <w:marRight w:val="0"/>
                                      <w:marTop w:val="0"/>
                                      <w:marBottom w:val="0"/>
                                      <w:divBdr>
                                        <w:top w:val="none" w:sz="0" w:space="0" w:color="auto"/>
                                        <w:left w:val="none" w:sz="0" w:space="0" w:color="auto"/>
                                        <w:bottom w:val="none" w:sz="0" w:space="0" w:color="auto"/>
                                        <w:right w:val="none" w:sz="0" w:space="0" w:color="auto"/>
                                      </w:divBdr>
                                      <w:divsChild>
                                        <w:div w:id="1717656118">
                                          <w:marLeft w:val="0"/>
                                          <w:marRight w:val="0"/>
                                          <w:marTop w:val="0"/>
                                          <w:marBottom w:val="0"/>
                                          <w:divBdr>
                                            <w:top w:val="none" w:sz="0" w:space="0" w:color="auto"/>
                                            <w:left w:val="none" w:sz="0" w:space="0" w:color="auto"/>
                                            <w:bottom w:val="none" w:sz="0" w:space="0" w:color="auto"/>
                                            <w:right w:val="none" w:sz="0" w:space="0" w:color="auto"/>
                                          </w:divBdr>
                                          <w:divsChild>
                                            <w:div w:id="394469611">
                                              <w:marLeft w:val="0"/>
                                              <w:marRight w:val="0"/>
                                              <w:marTop w:val="0"/>
                                              <w:marBottom w:val="0"/>
                                              <w:divBdr>
                                                <w:top w:val="none" w:sz="0" w:space="0" w:color="auto"/>
                                                <w:left w:val="none" w:sz="0" w:space="0" w:color="auto"/>
                                                <w:bottom w:val="none" w:sz="0" w:space="0" w:color="auto"/>
                                                <w:right w:val="none" w:sz="0" w:space="0" w:color="auto"/>
                                              </w:divBdr>
                                              <w:divsChild>
                                                <w:div w:id="1976451637">
                                                  <w:marLeft w:val="0"/>
                                                  <w:marRight w:val="0"/>
                                                  <w:marTop w:val="0"/>
                                                  <w:marBottom w:val="0"/>
                                                  <w:divBdr>
                                                    <w:top w:val="none" w:sz="0" w:space="0" w:color="auto"/>
                                                    <w:left w:val="none" w:sz="0" w:space="0" w:color="auto"/>
                                                    <w:bottom w:val="none" w:sz="0" w:space="0" w:color="auto"/>
                                                    <w:right w:val="none" w:sz="0" w:space="0" w:color="auto"/>
                                                  </w:divBdr>
                                                  <w:divsChild>
                                                    <w:div w:id="1881938789">
                                                      <w:marLeft w:val="0"/>
                                                      <w:marRight w:val="0"/>
                                                      <w:marTop w:val="0"/>
                                                      <w:marBottom w:val="0"/>
                                                      <w:divBdr>
                                                        <w:top w:val="none" w:sz="0" w:space="0" w:color="auto"/>
                                                        <w:left w:val="none" w:sz="0" w:space="0" w:color="auto"/>
                                                        <w:bottom w:val="none" w:sz="0" w:space="0" w:color="auto"/>
                                                        <w:right w:val="none" w:sz="0" w:space="0" w:color="auto"/>
                                                      </w:divBdr>
                                                      <w:divsChild>
                                                        <w:div w:id="213977201">
                                                          <w:marLeft w:val="0"/>
                                                          <w:marRight w:val="0"/>
                                                          <w:marTop w:val="0"/>
                                                          <w:marBottom w:val="0"/>
                                                          <w:divBdr>
                                                            <w:top w:val="none" w:sz="0" w:space="0" w:color="auto"/>
                                                            <w:left w:val="none" w:sz="0" w:space="0" w:color="auto"/>
                                                            <w:bottom w:val="none" w:sz="0" w:space="0" w:color="auto"/>
                                                            <w:right w:val="none" w:sz="0" w:space="0" w:color="auto"/>
                                                          </w:divBdr>
                                                        </w:div>
                                                        <w:div w:id="602499372">
                                                          <w:marLeft w:val="0"/>
                                                          <w:marRight w:val="0"/>
                                                          <w:marTop w:val="0"/>
                                                          <w:marBottom w:val="0"/>
                                                          <w:divBdr>
                                                            <w:top w:val="none" w:sz="0" w:space="0" w:color="auto"/>
                                                            <w:left w:val="none" w:sz="0" w:space="0" w:color="auto"/>
                                                            <w:bottom w:val="none" w:sz="0" w:space="0" w:color="auto"/>
                                                            <w:right w:val="none" w:sz="0" w:space="0" w:color="auto"/>
                                                          </w:divBdr>
                                                          <w:divsChild>
                                                            <w:div w:id="2162866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073880">
      <w:bodyDiv w:val="1"/>
      <w:marLeft w:val="0"/>
      <w:marRight w:val="0"/>
      <w:marTop w:val="0"/>
      <w:marBottom w:val="0"/>
      <w:divBdr>
        <w:top w:val="none" w:sz="0" w:space="0" w:color="auto"/>
        <w:left w:val="none" w:sz="0" w:space="0" w:color="auto"/>
        <w:bottom w:val="none" w:sz="0" w:space="0" w:color="auto"/>
        <w:right w:val="none" w:sz="0" w:space="0" w:color="auto"/>
      </w:divBdr>
      <w:divsChild>
        <w:div w:id="625506093">
          <w:marLeft w:val="0"/>
          <w:marRight w:val="0"/>
          <w:marTop w:val="0"/>
          <w:marBottom w:val="0"/>
          <w:divBdr>
            <w:top w:val="none" w:sz="0" w:space="0" w:color="auto"/>
            <w:left w:val="none" w:sz="0" w:space="0" w:color="auto"/>
            <w:bottom w:val="none" w:sz="0" w:space="0" w:color="auto"/>
            <w:right w:val="none" w:sz="0" w:space="0" w:color="auto"/>
          </w:divBdr>
          <w:divsChild>
            <w:div w:id="1123576977">
              <w:marLeft w:val="0"/>
              <w:marRight w:val="0"/>
              <w:marTop w:val="0"/>
              <w:marBottom w:val="450"/>
              <w:divBdr>
                <w:top w:val="none" w:sz="0" w:space="0" w:color="auto"/>
                <w:left w:val="none" w:sz="0" w:space="0" w:color="auto"/>
                <w:bottom w:val="none" w:sz="0" w:space="0" w:color="auto"/>
                <w:right w:val="none" w:sz="0" w:space="0" w:color="auto"/>
              </w:divBdr>
            </w:div>
          </w:divsChild>
        </w:div>
        <w:div w:id="1654527284">
          <w:marLeft w:val="0"/>
          <w:marRight w:val="0"/>
          <w:marTop w:val="0"/>
          <w:marBottom w:val="0"/>
          <w:divBdr>
            <w:top w:val="none" w:sz="0" w:space="0" w:color="auto"/>
            <w:left w:val="none" w:sz="0" w:space="0" w:color="auto"/>
            <w:bottom w:val="none" w:sz="0" w:space="0" w:color="auto"/>
            <w:right w:val="none" w:sz="0" w:space="0" w:color="auto"/>
          </w:divBdr>
          <w:divsChild>
            <w:div w:id="6141417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41410792">
      <w:bodyDiv w:val="1"/>
      <w:marLeft w:val="0"/>
      <w:marRight w:val="0"/>
      <w:marTop w:val="0"/>
      <w:marBottom w:val="0"/>
      <w:divBdr>
        <w:top w:val="none" w:sz="0" w:space="0" w:color="auto"/>
        <w:left w:val="none" w:sz="0" w:space="0" w:color="auto"/>
        <w:bottom w:val="none" w:sz="0" w:space="0" w:color="auto"/>
        <w:right w:val="none" w:sz="0" w:space="0" w:color="auto"/>
      </w:divBdr>
    </w:div>
    <w:div w:id="2141722856">
      <w:bodyDiv w:val="1"/>
      <w:marLeft w:val="0"/>
      <w:marRight w:val="0"/>
      <w:marTop w:val="0"/>
      <w:marBottom w:val="0"/>
      <w:divBdr>
        <w:top w:val="none" w:sz="0" w:space="0" w:color="auto"/>
        <w:left w:val="none" w:sz="0" w:space="0" w:color="auto"/>
        <w:bottom w:val="none" w:sz="0" w:space="0" w:color="auto"/>
        <w:right w:val="none" w:sz="0" w:space="0" w:color="auto"/>
      </w:divBdr>
      <w:divsChild>
        <w:div w:id="2018119374">
          <w:marLeft w:val="0"/>
          <w:marRight w:val="0"/>
          <w:marTop w:val="0"/>
          <w:marBottom w:val="0"/>
          <w:divBdr>
            <w:top w:val="none" w:sz="0" w:space="0" w:color="auto"/>
            <w:left w:val="none" w:sz="0" w:space="0" w:color="auto"/>
            <w:bottom w:val="none" w:sz="0" w:space="0" w:color="auto"/>
            <w:right w:val="none" w:sz="0" w:space="0" w:color="auto"/>
          </w:divBdr>
          <w:divsChild>
            <w:div w:id="380372649">
              <w:marLeft w:val="0"/>
              <w:marRight w:val="0"/>
              <w:marTop w:val="0"/>
              <w:marBottom w:val="0"/>
              <w:divBdr>
                <w:top w:val="none" w:sz="0" w:space="0" w:color="auto"/>
                <w:left w:val="none" w:sz="0" w:space="0" w:color="auto"/>
                <w:bottom w:val="none" w:sz="0" w:space="0" w:color="auto"/>
                <w:right w:val="none" w:sz="0" w:space="0" w:color="auto"/>
              </w:divBdr>
              <w:divsChild>
                <w:div w:id="478812022">
                  <w:marLeft w:val="0"/>
                  <w:marRight w:val="0"/>
                  <w:marTop w:val="0"/>
                  <w:marBottom w:val="0"/>
                  <w:divBdr>
                    <w:top w:val="none" w:sz="0" w:space="0" w:color="auto"/>
                    <w:left w:val="none" w:sz="0" w:space="0" w:color="auto"/>
                    <w:bottom w:val="none" w:sz="0" w:space="0" w:color="auto"/>
                    <w:right w:val="none" w:sz="0" w:space="0" w:color="auto"/>
                  </w:divBdr>
                  <w:divsChild>
                    <w:div w:id="152451624">
                      <w:marLeft w:val="0"/>
                      <w:marRight w:val="0"/>
                      <w:marTop w:val="0"/>
                      <w:marBottom w:val="0"/>
                      <w:divBdr>
                        <w:top w:val="none" w:sz="0" w:space="0" w:color="auto"/>
                        <w:left w:val="none" w:sz="0" w:space="0" w:color="auto"/>
                        <w:bottom w:val="none" w:sz="0" w:space="0" w:color="auto"/>
                        <w:right w:val="none" w:sz="0" w:space="0" w:color="auto"/>
                      </w:divBdr>
                      <w:divsChild>
                        <w:div w:id="1558273604">
                          <w:marLeft w:val="0"/>
                          <w:marRight w:val="0"/>
                          <w:marTop w:val="0"/>
                          <w:marBottom w:val="0"/>
                          <w:divBdr>
                            <w:top w:val="none" w:sz="0" w:space="0" w:color="auto"/>
                            <w:left w:val="none" w:sz="0" w:space="0" w:color="auto"/>
                            <w:bottom w:val="none" w:sz="0" w:space="0" w:color="auto"/>
                            <w:right w:val="none" w:sz="0" w:space="0" w:color="auto"/>
                          </w:divBdr>
                          <w:divsChild>
                            <w:div w:id="569119628">
                              <w:marLeft w:val="570"/>
                              <w:marRight w:val="720"/>
                              <w:marTop w:val="120"/>
                              <w:marBottom w:val="120"/>
                              <w:divBdr>
                                <w:top w:val="none" w:sz="0" w:space="0" w:color="auto"/>
                                <w:left w:val="none" w:sz="0" w:space="0" w:color="auto"/>
                                <w:bottom w:val="none" w:sz="0" w:space="0" w:color="auto"/>
                                <w:right w:val="none" w:sz="0" w:space="0" w:color="auto"/>
                              </w:divBdr>
                              <w:divsChild>
                                <w:div w:id="1385448914">
                                  <w:marLeft w:val="0"/>
                                  <w:marRight w:val="0"/>
                                  <w:marTop w:val="0"/>
                                  <w:marBottom w:val="0"/>
                                  <w:divBdr>
                                    <w:top w:val="none" w:sz="0" w:space="0" w:color="auto"/>
                                    <w:left w:val="none" w:sz="0" w:space="0" w:color="auto"/>
                                    <w:bottom w:val="none" w:sz="0" w:space="0" w:color="auto"/>
                                    <w:right w:val="none" w:sz="0" w:space="0" w:color="auto"/>
                                  </w:divBdr>
                                  <w:divsChild>
                                    <w:div w:id="847330320">
                                      <w:marLeft w:val="0"/>
                                      <w:marRight w:val="0"/>
                                      <w:marTop w:val="0"/>
                                      <w:marBottom w:val="0"/>
                                      <w:divBdr>
                                        <w:top w:val="none" w:sz="0" w:space="0" w:color="auto"/>
                                        <w:left w:val="none" w:sz="0" w:space="0" w:color="auto"/>
                                        <w:bottom w:val="none" w:sz="0" w:space="0" w:color="auto"/>
                                        <w:right w:val="none" w:sz="0" w:space="0" w:color="auto"/>
                                      </w:divBdr>
                                      <w:divsChild>
                                        <w:div w:id="2046052362">
                                          <w:marLeft w:val="0"/>
                                          <w:marRight w:val="0"/>
                                          <w:marTop w:val="0"/>
                                          <w:marBottom w:val="0"/>
                                          <w:divBdr>
                                            <w:top w:val="none" w:sz="0" w:space="0" w:color="auto"/>
                                            <w:left w:val="none" w:sz="0" w:space="0" w:color="auto"/>
                                            <w:bottom w:val="none" w:sz="0" w:space="0" w:color="auto"/>
                                            <w:right w:val="none" w:sz="0" w:space="0" w:color="auto"/>
                                          </w:divBdr>
                                          <w:divsChild>
                                            <w:div w:id="699281298">
                                              <w:marLeft w:val="0"/>
                                              <w:marRight w:val="0"/>
                                              <w:marTop w:val="0"/>
                                              <w:marBottom w:val="0"/>
                                              <w:divBdr>
                                                <w:top w:val="none" w:sz="0" w:space="0" w:color="auto"/>
                                                <w:left w:val="none" w:sz="0" w:space="0" w:color="auto"/>
                                                <w:bottom w:val="none" w:sz="0" w:space="0" w:color="auto"/>
                                                <w:right w:val="none" w:sz="0" w:space="0" w:color="auto"/>
                                              </w:divBdr>
                                              <w:divsChild>
                                                <w:div w:id="1153251056">
                                                  <w:marLeft w:val="0"/>
                                                  <w:marRight w:val="0"/>
                                                  <w:marTop w:val="0"/>
                                                  <w:marBottom w:val="0"/>
                                                  <w:divBdr>
                                                    <w:top w:val="none" w:sz="0" w:space="0" w:color="auto"/>
                                                    <w:left w:val="none" w:sz="0" w:space="0" w:color="auto"/>
                                                    <w:bottom w:val="none" w:sz="0" w:space="0" w:color="auto"/>
                                                    <w:right w:val="none" w:sz="0" w:space="0" w:color="auto"/>
                                                  </w:divBdr>
                                                </w:div>
                                                <w:div w:id="717047008">
                                                  <w:marLeft w:val="0"/>
                                                  <w:marRight w:val="0"/>
                                                  <w:marTop w:val="0"/>
                                                  <w:marBottom w:val="0"/>
                                                  <w:divBdr>
                                                    <w:top w:val="none" w:sz="0" w:space="0" w:color="auto"/>
                                                    <w:left w:val="none" w:sz="0" w:space="0" w:color="auto"/>
                                                    <w:bottom w:val="none" w:sz="0" w:space="0" w:color="auto"/>
                                                    <w:right w:val="none" w:sz="0" w:space="0" w:color="auto"/>
                                                  </w:divBdr>
                                                </w:div>
                                                <w:div w:id="690841922">
                                                  <w:marLeft w:val="0"/>
                                                  <w:marRight w:val="0"/>
                                                  <w:marTop w:val="0"/>
                                                  <w:marBottom w:val="0"/>
                                                  <w:divBdr>
                                                    <w:top w:val="none" w:sz="0" w:space="0" w:color="auto"/>
                                                    <w:left w:val="none" w:sz="0" w:space="0" w:color="auto"/>
                                                    <w:bottom w:val="none" w:sz="0" w:space="0" w:color="auto"/>
                                                    <w:right w:val="none" w:sz="0" w:space="0" w:color="auto"/>
                                                  </w:divBdr>
                                                  <w:divsChild>
                                                    <w:div w:id="17702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457282">
      <w:bodyDiv w:val="1"/>
      <w:marLeft w:val="0"/>
      <w:marRight w:val="0"/>
      <w:marTop w:val="0"/>
      <w:marBottom w:val="0"/>
      <w:divBdr>
        <w:top w:val="none" w:sz="0" w:space="0" w:color="auto"/>
        <w:left w:val="none" w:sz="0" w:space="0" w:color="auto"/>
        <w:bottom w:val="none" w:sz="0" w:space="0" w:color="auto"/>
        <w:right w:val="none" w:sz="0" w:space="0" w:color="auto"/>
      </w:divBdr>
    </w:div>
    <w:div w:id="2143649564">
      <w:bodyDiv w:val="1"/>
      <w:marLeft w:val="0"/>
      <w:marRight w:val="0"/>
      <w:marTop w:val="0"/>
      <w:marBottom w:val="0"/>
      <w:divBdr>
        <w:top w:val="none" w:sz="0" w:space="0" w:color="auto"/>
        <w:left w:val="none" w:sz="0" w:space="0" w:color="auto"/>
        <w:bottom w:val="none" w:sz="0" w:space="0" w:color="auto"/>
        <w:right w:val="none" w:sz="0" w:space="0" w:color="auto"/>
      </w:divBdr>
      <w:divsChild>
        <w:div w:id="2052532744">
          <w:marLeft w:val="0"/>
          <w:marRight w:val="0"/>
          <w:marTop w:val="0"/>
          <w:marBottom w:val="0"/>
          <w:divBdr>
            <w:top w:val="none" w:sz="0" w:space="0" w:color="auto"/>
            <w:left w:val="none" w:sz="0" w:space="0" w:color="auto"/>
            <w:bottom w:val="none" w:sz="0" w:space="0" w:color="auto"/>
            <w:right w:val="none" w:sz="0" w:space="0" w:color="auto"/>
          </w:divBdr>
          <w:divsChild>
            <w:div w:id="428356895">
              <w:marLeft w:val="0"/>
              <w:marRight w:val="0"/>
              <w:marTop w:val="0"/>
              <w:marBottom w:val="0"/>
              <w:divBdr>
                <w:top w:val="none" w:sz="0" w:space="0" w:color="auto"/>
                <w:left w:val="none" w:sz="0" w:space="0" w:color="auto"/>
                <w:bottom w:val="none" w:sz="0" w:space="0" w:color="auto"/>
                <w:right w:val="none" w:sz="0" w:space="0" w:color="auto"/>
              </w:divBdr>
              <w:divsChild>
                <w:div w:id="732696531">
                  <w:marLeft w:val="0"/>
                  <w:marRight w:val="0"/>
                  <w:marTop w:val="0"/>
                  <w:marBottom w:val="0"/>
                  <w:divBdr>
                    <w:top w:val="none" w:sz="0" w:space="0" w:color="auto"/>
                    <w:left w:val="none" w:sz="0" w:space="0" w:color="auto"/>
                    <w:bottom w:val="none" w:sz="0" w:space="0" w:color="auto"/>
                    <w:right w:val="none" w:sz="0" w:space="0" w:color="auto"/>
                  </w:divBdr>
                  <w:divsChild>
                    <w:div w:id="639725353">
                      <w:marLeft w:val="0"/>
                      <w:marRight w:val="0"/>
                      <w:marTop w:val="0"/>
                      <w:marBottom w:val="0"/>
                      <w:divBdr>
                        <w:top w:val="none" w:sz="0" w:space="0" w:color="auto"/>
                        <w:left w:val="none" w:sz="0" w:space="0" w:color="auto"/>
                        <w:bottom w:val="none" w:sz="0" w:space="0" w:color="auto"/>
                        <w:right w:val="none" w:sz="0" w:space="0" w:color="auto"/>
                      </w:divBdr>
                      <w:divsChild>
                        <w:div w:id="1778602074">
                          <w:marLeft w:val="0"/>
                          <w:marRight w:val="0"/>
                          <w:marTop w:val="0"/>
                          <w:marBottom w:val="0"/>
                          <w:divBdr>
                            <w:top w:val="none" w:sz="0" w:space="0" w:color="auto"/>
                            <w:left w:val="none" w:sz="0" w:space="0" w:color="auto"/>
                            <w:bottom w:val="none" w:sz="0" w:space="0" w:color="auto"/>
                            <w:right w:val="none" w:sz="0" w:space="0" w:color="auto"/>
                          </w:divBdr>
                          <w:divsChild>
                            <w:div w:id="1269502850">
                              <w:marLeft w:val="0"/>
                              <w:marRight w:val="0"/>
                              <w:marTop w:val="0"/>
                              <w:marBottom w:val="0"/>
                              <w:divBdr>
                                <w:top w:val="none" w:sz="0" w:space="0" w:color="auto"/>
                                <w:left w:val="none" w:sz="0" w:space="0" w:color="auto"/>
                                <w:bottom w:val="none" w:sz="0" w:space="0" w:color="auto"/>
                                <w:right w:val="none" w:sz="0" w:space="0" w:color="auto"/>
                              </w:divBdr>
                              <w:divsChild>
                                <w:div w:id="189338243">
                                  <w:marLeft w:val="0"/>
                                  <w:marRight w:val="0"/>
                                  <w:marTop w:val="0"/>
                                  <w:marBottom w:val="0"/>
                                  <w:divBdr>
                                    <w:top w:val="none" w:sz="0" w:space="0" w:color="auto"/>
                                    <w:left w:val="none" w:sz="0" w:space="0" w:color="auto"/>
                                    <w:bottom w:val="none" w:sz="0" w:space="0" w:color="auto"/>
                                    <w:right w:val="none" w:sz="0" w:space="0" w:color="auto"/>
                                  </w:divBdr>
                                </w:div>
                                <w:div w:id="8207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735983">
      <w:bodyDiv w:val="1"/>
      <w:marLeft w:val="0"/>
      <w:marRight w:val="0"/>
      <w:marTop w:val="0"/>
      <w:marBottom w:val="0"/>
      <w:divBdr>
        <w:top w:val="none" w:sz="0" w:space="0" w:color="auto"/>
        <w:left w:val="none" w:sz="0" w:space="0" w:color="auto"/>
        <w:bottom w:val="none" w:sz="0" w:space="0" w:color="auto"/>
        <w:right w:val="none" w:sz="0" w:space="0" w:color="auto"/>
      </w:divBdr>
      <w:divsChild>
        <w:div w:id="342979525">
          <w:marLeft w:val="0"/>
          <w:marRight w:val="0"/>
          <w:marTop w:val="0"/>
          <w:marBottom w:val="0"/>
          <w:divBdr>
            <w:top w:val="none" w:sz="0" w:space="0" w:color="auto"/>
            <w:left w:val="none" w:sz="0" w:space="0" w:color="auto"/>
            <w:bottom w:val="none" w:sz="0" w:space="0" w:color="auto"/>
            <w:right w:val="none" w:sz="0" w:space="0" w:color="auto"/>
          </w:divBdr>
          <w:divsChild>
            <w:div w:id="516192418">
              <w:marLeft w:val="0"/>
              <w:marRight w:val="0"/>
              <w:marTop w:val="0"/>
              <w:marBottom w:val="0"/>
              <w:divBdr>
                <w:top w:val="none" w:sz="0" w:space="0" w:color="auto"/>
                <w:left w:val="none" w:sz="0" w:space="0" w:color="auto"/>
                <w:bottom w:val="none" w:sz="0" w:space="0" w:color="auto"/>
                <w:right w:val="none" w:sz="0" w:space="0" w:color="auto"/>
              </w:divBdr>
              <w:divsChild>
                <w:div w:id="161547752">
                  <w:marLeft w:val="0"/>
                  <w:marRight w:val="0"/>
                  <w:marTop w:val="0"/>
                  <w:marBottom w:val="0"/>
                  <w:divBdr>
                    <w:top w:val="none" w:sz="0" w:space="0" w:color="auto"/>
                    <w:left w:val="none" w:sz="0" w:space="0" w:color="auto"/>
                    <w:bottom w:val="none" w:sz="0" w:space="0" w:color="auto"/>
                    <w:right w:val="none" w:sz="0" w:space="0" w:color="auto"/>
                  </w:divBdr>
                  <w:divsChild>
                    <w:div w:id="363560412">
                      <w:marLeft w:val="0"/>
                      <w:marRight w:val="0"/>
                      <w:marTop w:val="0"/>
                      <w:marBottom w:val="0"/>
                      <w:divBdr>
                        <w:top w:val="none" w:sz="0" w:space="0" w:color="auto"/>
                        <w:left w:val="none" w:sz="0" w:space="0" w:color="auto"/>
                        <w:bottom w:val="none" w:sz="0" w:space="0" w:color="auto"/>
                        <w:right w:val="none" w:sz="0" w:space="0" w:color="auto"/>
                      </w:divBdr>
                      <w:divsChild>
                        <w:div w:id="2072389241">
                          <w:marLeft w:val="0"/>
                          <w:marRight w:val="0"/>
                          <w:marTop w:val="0"/>
                          <w:marBottom w:val="0"/>
                          <w:divBdr>
                            <w:top w:val="none" w:sz="0" w:space="0" w:color="auto"/>
                            <w:left w:val="none" w:sz="0" w:space="0" w:color="auto"/>
                            <w:bottom w:val="none" w:sz="0" w:space="0" w:color="auto"/>
                            <w:right w:val="none" w:sz="0" w:space="0" w:color="auto"/>
                          </w:divBdr>
                          <w:divsChild>
                            <w:div w:id="1449934862">
                              <w:marLeft w:val="0"/>
                              <w:marRight w:val="0"/>
                              <w:marTop w:val="0"/>
                              <w:marBottom w:val="0"/>
                              <w:divBdr>
                                <w:top w:val="none" w:sz="0" w:space="0" w:color="auto"/>
                                <w:left w:val="none" w:sz="0" w:space="0" w:color="auto"/>
                                <w:bottom w:val="none" w:sz="0" w:space="0" w:color="auto"/>
                                <w:right w:val="none" w:sz="0" w:space="0" w:color="auto"/>
                              </w:divBdr>
                              <w:divsChild>
                                <w:div w:id="1375810189">
                                  <w:marLeft w:val="0"/>
                                  <w:marRight w:val="0"/>
                                  <w:marTop w:val="0"/>
                                  <w:marBottom w:val="0"/>
                                  <w:divBdr>
                                    <w:top w:val="none" w:sz="0" w:space="0" w:color="auto"/>
                                    <w:left w:val="none" w:sz="0" w:space="0" w:color="auto"/>
                                    <w:bottom w:val="none" w:sz="0" w:space="0" w:color="auto"/>
                                    <w:right w:val="none" w:sz="0" w:space="0" w:color="auto"/>
                                  </w:divBdr>
                                  <w:divsChild>
                                    <w:div w:id="1154221645">
                                      <w:marLeft w:val="0"/>
                                      <w:marRight w:val="0"/>
                                      <w:marTop w:val="0"/>
                                      <w:marBottom w:val="0"/>
                                      <w:divBdr>
                                        <w:top w:val="none" w:sz="0" w:space="0" w:color="auto"/>
                                        <w:left w:val="none" w:sz="0" w:space="0" w:color="auto"/>
                                        <w:bottom w:val="none" w:sz="0" w:space="0" w:color="auto"/>
                                        <w:right w:val="none" w:sz="0" w:space="0" w:color="auto"/>
                                      </w:divBdr>
                                      <w:divsChild>
                                        <w:div w:id="18829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7120847">
      <w:bodyDiv w:val="1"/>
      <w:marLeft w:val="0"/>
      <w:marRight w:val="0"/>
      <w:marTop w:val="0"/>
      <w:marBottom w:val="0"/>
      <w:divBdr>
        <w:top w:val="none" w:sz="0" w:space="0" w:color="auto"/>
        <w:left w:val="none" w:sz="0" w:space="0" w:color="auto"/>
        <w:bottom w:val="none" w:sz="0" w:space="0" w:color="auto"/>
        <w:right w:val="none" w:sz="0" w:space="0" w:color="auto"/>
      </w:divBdr>
      <w:divsChild>
        <w:div w:id="820542586">
          <w:marLeft w:val="0"/>
          <w:marRight w:val="0"/>
          <w:marTop w:val="0"/>
          <w:marBottom w:val="0"/>
          <w:divBdr>
            <w:top w:val="none" w:sz="0" w:space="0" w:color="auto"/>
            <w:left w:val="none" w:sz="0" w:space="0" w:color="auto"/>
            <w:bottom w:val="none" w:sz="0" w:space="0" w:color="auto"/>
            <w:right w:val="none" w:sz="0" w:space="0" w:color="auto"/>
          </w:divBdr>
          <w:divsChild>
            <w:div w:id="1036124231">
              <w:marLeft w:val="0"/>
              <w:marRight w:val="0"/>
              <w:marTop w:val="0"/>
              <w:marBottom w:val="0"/>
              <w:divBdr>
                <w:top w:val="none" w:sz="0" w:space="0" w:color="auto"/>
                <w:left w:val="none" w:sz="0" w:space="0" w:color="auto"/>
                <w:bottom w:val="none" w:sz="0" w:space="0" w:color="auto"/>
                <w:right w:val="none" w:sz="0" w:space="0" w:color="auto"/>
              </w:divBdr>
              <w:divsChild>
                <w:div w:id="1548108806">
                  <w:marLeft w:val="0"/>
                  <w:marRight w:val="0"/>
                  <w:marTop w:val="0"/>
                  <w:marBottom w:val="0"/>
                  <w:divBdr>
                    <w:top w:val="none" w:sz="0" w:space="0" w:color="auto"/>
                    <w:left w:val="none" w:sz="0" w:space="0" w:color="auto"/>
                    <w:bottom w:val="none" w:sz="0" w:space="0" w:color="auto"/>
                    <w:right w:val="none" w:sz="0" w:space="0" w:color="auto"/>
                  </w:divBdr>
                  <w:divsChild>
                    <w:div w:id="1268391510">
                      <w:marLeft w:val="0"/>
                      <w:marRight w:val="0"/>
                      <w:marTop w:val="0"/>
                      <w:marBottom w:val="0"/>
                      <w:divBdr>
                        <w:top w:val="none" w:sz="0" w:space="0" w:color="auto"/>
                        <w:left w:val="none" w:sz="0" w:space="0" w:color="auto"/>
                        <w:bottom w:val="none" w:sz="0" w:space="0" w:color="auto"/>
                        <w:right w:val="none" w:sz="0" w:space="0" w:color="auto"/>
                      </w:divBdr>
                      <w:divsChild>
                        <w:div w:id="2032681283">
                          <w:marLeft w:val="0"/>
                          <w:marRight w:val="0"/>
                          <w:marTop w:val="0"/>
                          <w:marBottom w:val="0"/>
                          <w:divBdr>
                            <w:top w:val="none" w:sz="0" w:space="0" w:color="auto"/>
                            <w:left w:val="none" w:sz="0" w:space="0" w:color="auto"/>
                            <w:bottom w:val="none" w:sz="0" w:space="0" w:color="auto"/>
                            <w:right w:val="none" w:sz="0" w:space="0" w:color="auto"/>
                          </w:divBdr>
                          <w:divsChild>
                            <w:div w:id="1548374045">
                              <w:marLeft w:val="0"/>
                              <w:marRight w:val="0"/>
                              <w:marTop w:val="0"/>
                              <w:marBottom w:val="0"/>
                              <w:divBdr>
                                <w:top w:val="none" w:sz="0" w:space="0" w:color="auto"/>
                                <w:left w:val="none" w:sz="0" w:space="0" w:color="auto"/>
                                <w:bottom w:val="none" w:sz="0" w:space="0" w:color="auto"/>
                                <w:right w:val="none" w:sz="0" w:space="0" w:color="auto"/>
                              </w:divBdr>
                              <w:divsChild>
                                <w:div w:id="1702126851">
                                  <w:marLeft w:val="0"/>
                                  <w:marRight w:val="0"/>
                                  <w:marTop w:val="0"/>
                                  <w:marBottom w:val="0"/>
                                  <w:divBdr>
                                    <w:top w:val="none" w:sz="0" w:space="0" w:color="auto"/>
                                    <w:left w:val="none" w:sz="0" w:space="0" w:color="auto"/>
                                    <w:bottom w:val="none" w:sz="0" w:space="0" w:color="auto"/>
                                    <w:right w:val="none" w:sz="0" w:space="0" w:color="auto"/>
                                  </w:divBdr>
                                  <w:divsChild>
                                    <w:div w:id="1397313361">
                                      <w:marLeft w:val="0"/>
                                      <w:marRight w:val="0"/>
                                      <w:marTop w:val="0"/>
                                      <w:marBottom w:val="0"/>
                                      <w:divBdr>
                                        <w:top w:val="none" w:sz="0" w:space="0" w:color="auto"/>
                                        <w:left w:val="none" w:sz="0" w:space="0" w:color="auto"/>
                                        <w:bottom w:val="none" w:sz="0" w:space="0" w:color="auto"/>
                                        <w:right w:val="none" w:sz="0" w:space="0" w:color="auto"/>
                                      </w:divBdr>
                                      <w:divsChild>
                                        <w:div w:id="2137989031">
                                          <w:marLeft w:val="0"/>
                                          <w:marRight w:val="0"/>
                                          <w:marTop w:val="0"/>
                                          <w:marBottom w:val="0"/>
                                          <w:divBdr>
                                            <w:top w:val="none" w:sz="0" w:space="0" w:color="auto"/>
                                            <w:left w:val="none" w:sz="0" w:space="0" w:color="auto"/>
                                            <w:bottom w:val="none" w:sz="0" w:space="0" w:color="auto"/>
                                            <w:right w:val="none" w:sz="0" w:space="0" w:color="auto"/>
                                          </w:divBdr>
                                          <w:divsChild>
                                            <w:div w:id="795684026">
                                              <w:marLeft w:val="0"/>
                                              <w:marRight w:val="0"/>
                                              <w:marTop w:val="0"/>
                                              <w:marBottom w:val="0"/>
                                              <w:divBdr>
                                                <w:top w:val="none" w:sz="0" w:space="0" w:color="auto"/>
                                                <w:left w:val="none" w:sz="0" w:space="0" w:color="auto"/>
                                                <w:bottom w:val="none" w:sz="0" w:space="0" w:color="auto"/>
                                                <w:right w:val="none" w:sz="0" w:space="0" w:color="auto"/>
                                              </w:divBdr>
                                              <w:divsChild>
                                                <w:div w:id="1749576589">
                                                  <w:marLeft w:val="0"/>
                                                  <w:marRight w:val="0"/>
                                                  <w:marTop w:val="0"/>
                                                  <w:marBottom w:val="0"/>
                                                  <w:divBdr>
                                                    <w:top w:val="none" w:sz="0" w:space="0" w:color="auto"/>
                                                    <w:left w:val="none" w:sz="0" w:space="0" w:color="auto"/>
                                                    <w:bottom w:val="none" w:sz="0" w:space="0" w:color="auto"/>
                                                    <w:right w:val="none" w:sz="0" w:space="0" w:color="auto"/>
                                                  </w:divBdr>
                                                  <w:divsChild>
                                                    <w:div w:id="389381492">
                                                      <w:marLeft w:val="0"/>
                                                      <w:marRight w:val="0"/>
                                                      <w:marTop w:val="0"/>
                                                      <w:marBottom w:val="0"/>
                                                      <w:divBdr>
                                                        <w:top w:val="none" w:sz="0" w:space="0" w:color="auto"/>
                                                        <w:left w:val="none" w:sz="0" w:space="0" w:color="auto"/>
                                                        <w:bottom w:val="none" w:sz="0" w:space="0" w:color="auto"/>
                                                        <w:right w:val="none" w:sz="0" w:space="0" w:color="auto"/>
                                                      </w:divBdr>
                                                      <w:divsChild>
                                                        <w:div w:id="14750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nkedin.com/jobs/view/social-media-marketing-intern-at-amco-bulgaria-4206519979/" TargetMode="External"/><Relationship Id="rId21" Type="http://schemas.openxmlformats.org/officeDocument/2006/relationships/hyperlink" Target="https://insait.ai/phd/" TargetMode="External"/><Relationship Id="rId42" Type="http://schemas.openxmlformats.org/officeDocument/2006/relationships/hyperlink" Target="https://www.eua.eu/our-membership/member-directory.html" TargetMode="External"/><Relationship Id="rId47" Type="http://schemas.openxmlformats.org/officeDocument/2006/relationships/hyperlink" Target="https://www.eubce.com/" TargetMode="External"/><Relationship Id="rId63" Type="http://schemas.openxmlformats.org/officeDocument/2006/relationships/image" Target="media/image2.png"/><Relationship Id="rId68" Type="http://schemas.openxmlformats.org/officeDocument/2006/relationships/hyperlink" Target="https://cerncourier.com/wp-content/uploads/2025/03/CERNCourier2025MarApr-digitaledition.pdf" TargetMode="External"/><Relationship Id="rId16" Type="http://schemas.openxmlformats.org/officeDocument/2006/relationships/hyperlink" Target="https://www.educations.com/scholarships/undergraduate-in-stem-scholarship?utm_source=Eurodesk&amp;amp;utm_medium=Article%2Fnewsletter&amp;amp;utm_campaign=Eurodesk-STEM+scholarship&amp;amp;utm_id=Eurodesk-STEM+scholarship" TargetMode="External"/><Relationship Id="rId11" Type="http://schemas.openxmlformats.org/officeDocument/2006/relationships/endnotes" Target="endnotes.xml"/><Relationship Id="rId32" Type="http://schemas.openxmlformats.org/officeDocument/2006/relationships/hyperlink" Target="https://ec.europa.eu/info/funding-tenders/opportunities/docs/2021-2027/common/guidance/list-3rd-country-participation_horizon-euratom_en.pdf" TargetMode="External"/><Relationship Id="rId37" Type="http://schemas.openxmlformats.org/officeDocument/2006/relationships/hyperlink" Target="https://bnsf.bg/wps/portal/fond-izsledvaniq/home/competitions/Pokana_MNF-2025" TargetMode="External"/><Relationship Id="rId53" Type="http://schemas.openxmlformats.org/officeDocument/2006/relationships/hyperlink" Target="https://research-and-innovation.ec.europa.eu/events/european-research-and-innovation-days_en" TargetMode="External"/><Relationship Id="rId58" Type="http://schemas.openxmlformats.org/officeDocument/2006/relationships/hyperlink" Target="https://euagenda.eu/events/2025/10/24/10th-international-conference-on-advanced-research-in-social-sciences-and-humanities" TargetMode="External"/><Relationship Id="rId74" Type="http://schemas.openxmlformats.org/officeDocument/2006/relationships/image" Target="media/image6.png"/><Relationship Id="rId79"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image" Target="media/image1.png"/><Relationship Id="rId19" Type="http://schemas.openxmlformats.org/officeDocument/2006/relationships/hyperlink" Target="https://www.oneyoungworld.com/form/leading-scholarship-2025" TargetMode="External"/><Relationship Id="rId14" Type="http://schemas.openxmlformats.org/officeDocument/2006/relationships/footer" Target="footer2.xml"/><Relationship Id="rId22" Type="http://schemas.openxmlformats.org/officeDocument/2006/relationships/hyperlink" Target="https://www.ndc.nato.int/research/research.php?icode=4" TargetMode="External"/><Relationship Id="rId27" Type="http://schemas.openxmlformats.org/officeDocument/2006/relationships/hyperlink" Target="https://www.careers.postbank.bg/jobs/519-stazhant-v-upravlenie-korporativ?source=jobs" TargetMode="External"/><Relationship Id="rId30" Type="http://schemas.openxmlformats.org/officeDocument/2006/relationships/hyperlink" Target="https://institutfrancais.bg/wp-content/uploads/2023/02/demande-de-subv-scac-version-bg-2023.docx" TargetMode="External"/><Relationship Id="rId35" Type="http://schemas.openxmlformats.org/officeDocument/2006/relationships/hyperlink" Target="https://www.cost.eu/funding/documents-guidelines/" TargetMode="External"/><Relationship Id="rId43" Type="http://schemas.openxmlformats.org/officeDocument/2006/relationships/hyperlink" Target="https://www.eua.eu/events/eua-events/transitions-and-transformations-in-staff-development-for-learning-and-teaching.html" TargetMode="External"/><Relationship Id="rId48" Type="http://schemas.openxmlformats.org/officeDocument/2006/relationships/hyperlink" Target="https://euagenda.eu/events/2025/06/12/the-8th-international-conference-on-innovative-research-in-education-ireconf" TargetMode="External"/><Relationship Id="rId56" Type="http://schemas.openxmlformats.org/officeDocument/2006/relationships/hyperlink" Target="https://research-and-innovation.ec.europa.eu/strategy/support-policy-making/shaping-eu-research-and-innovation-policy/new-european-innovation-agenda_en" TargetMode="External"/><Relationship Id="rId64" Type="http://schemas.openxmlformats.org/officeDocument/2006/relationships/hyperlink" Target="https://www.eua.eu/images/publications/Publication_PDFs/Developing_common_learning_opportunities_through_interoperability.pdf" TargetMode="External"/><Relationship Id="rId69" Type="http://schemas.openxmlformats.org/officeDocument/2006/relationships/hyperlink" Target="https://www.eua.eu/resources/publications/1055:eua-innovation-agenda-2026.html" TargetMode="External"/><Relationship Id="rId77" Type="http://schemas.openxmlformats.org/officeDocument/2006/relationships/image" Target="media/image7.png"/><Relationship Id="rId8" Type="http://schemas.openxmlformats.org/officeDocument/2006/relationships/settings" Target="settings.xml"/><Relationship Id="rId51" Type="http://schemas.openxmlformats.org/officeDocument/2006/relationships/hyperlink" Target="https://research-innovation-community.ec.europa.eu/events/1GTgA1XFfCWqxBNAbrUIzU/overview" TargetMode="External"/><Relationship Id="rId72" Type="http://schemas.openxmlformats.org/officeDocument/2006/relationships/image" Target="media/image5.png"/><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gif"/><Relationship Id="rId17" Type="http://schemas.openxmlformats.org/officeDocument/2006/relationships/hyperlink" Target="https://www.educations.com/scholarships/women-scholarship-for-international-students?utm_source=Eurodesk&amp;amp;utm_medium=Article%2Fnewsletter&amp;amp;utm_campaign=Eurodesk-Women+scholarship&amp;amp;utm_id=Eurodesk-Women+scholarship" TargetMode="External"/><Relationship Id="rId25" Type="http://schemas.openxmlformats.org/officeDocument/2006/relationships/hyperlink" Target="https://recruitingapp-5315.de.umantis.com/Vacancies/4139/Description/2?source=LinkedIn" TargetMode="External"/><Relationship Id="rId33" Type="http://schemas.openxmlformats.org/officeDocument/2006/relationships/hyperlink" Target="https://ec.europa.eu/info/funding-tenders/opportunities/docs/2021-2027/horizon/guidance/programme-guide_horizon_en.pdf" TargetMode="External"/><Relationship Id="rId38" Type="http://schemas.openxmlformats.org/officeDocument/2006/relationships/hyperlink" Target="https://enims.egov.bg/bg/s/Default/Index" TargetMode="External"/><Relationship Id="rId46" Type="http://schemas.openxmlformats.org/officeDocument/2006/relationships/hyperlink" Target="https://euagenda.eu/events/2025/06/06/8th-world-conference-on-social-sciences" TargetMode="External"/><Relationship Id="rId59" Type="http://schemas.openxmlformats.org/officeDocument/2006/relationships/hyperlink" Target="https://www.eua.eu/events/eua-events/2025-european-quality-assurance-forum.html" TargetMode="External"/><Relationship Id="rId67" Type="http://schemas.openxmlformats.org/officeDocument/2006/relationships/hyperlink" Target="https://cerncourier.com/wp-content/uploads/2025/03/CERNCourier2025MarApr-digitaledition.pdf" TargetMode="External"/><Relationship Id="rId20" Type="http://schemas.openxmlformats.org/officeDocument/2006/relationships/hyperlink" Target="https://insait.ai/phd-mentors" TargetMode="External"/><Relationship Id="rId41" Type="http://schemas.openxmlformats.org/officeDocument/2006/relationships/hyperlink" Target="https://www.eua.eu/events/eua-events/eua-conference-on-artificial-intelligence.html" TargetMode="External"/><Relationship Id="rId54" Type="http://schemas.openxmlformats.org/officeDocument/2006/relationships/hyperlink" Target="https://research-and-innovation.ec.europa.eu/strategy/strategy-research-and-innovation/jobs-and-economy/towards-eu-startup-and-scaleup-strategy_en" TargetMode="External"/><Relationship Id="rId62" Type="http://schemas.openxmlformats.org/officeDocument/2006/relationships/hyperlink" Target="https://www.eua.eu/images/publications/StaffDev_survey_report.pdf" TargetMode="External"/><Relationship Id="rId70" Type="http://schemas.openxmlformats.org/officeDocument/2006/relationships/image" Target="media/image4.png"/><Relationship Id="rId75" Type="http://schemas.openxmlformats.org/officeDocument/2006/relationships/hyperlink" Target="https://www.eua.eu/component/attachments/attachments.html?id=4533"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schwarzmanscholars.org/" TargetMode="External"/><Relationship Id="rId23" Type="http://schemas.openxmlformats.org/officeDocument/2006/relationships/hyperlink" Target="https://careers.macgregor.com/job/Sofia-Trainee-HR/1156757655/24772" TargetMode="External"/><Relationship Id="rId28" Type="http://schemas.openxmlformats.org/officeDocument/2006/relationships/hyperlink" Target="https://www.groupama.bg/bg/careers/trainee-office-management-dept" TargetMode="External"/><Relationship Id="rId36" Type="http://schemas.openxmlformats.org/officeDocument/2006/relationships/hyperlink" Target="https://enims.egov.bg/bg/s/Default/Index" TargetMode="External"/><Relationship Id="rId49" Type="http://schemas.openxmlformats.org/officeDocument/2006/relationships/hyperlink" Target="https://euagenda.eu/events/2025/06/12/the-13th-international-conference-on-research-in-behavioral-and-social-sciences-icrbs" TargetMode="External"/><Relationship Id="rId57" Type="http://schemas.openxmlformats.org/officeDocument/2006/relationships/hyperlink" Target="https://research-and-innovation.ec.europa.eu/strategy/strategy-research-and-innovation/our-digital-future/european-research-area_en" TargetMode="External"/><Relationship Id="rId10" Type="http://schemas.openxmlformats.org/officeDocument/2006/relationships/footnotes" Target="footnotes.xml"/><Relationship Id="rId31" Type="http://schemas.openxmlformats.org/officeDocument/2006/relationships/hyperlink" Target="https://marie-sklodowska-curie-actions.ec.europa.eu/actions/cofund?" TargetMode="External"/><Relationship Id="rId44" Type="http://schemas.openxmlformats.org/officeDocument/2006/relationships/hyperlink" Target="https://www.eua.eu/our-work/projects/eu-funded-projects/staffdev.html" TargetMode="External"/><Relationship Id="rId52" Type="http://schemas.openxmlformats.org/officeDocument/2006/relationships/hyperlink" Target="https://euagenda.eu/events/2025/06/25/european-women-in-technology" TargetMode="External"/><Relationship Id="rId60" Type="http://schemas.openxmlformats.org/officeDocument/2006/relationships/footer" Target="footer4.xml"/><Relationship Id="rId65" Type="http://schemas.openxmlformats.org/officeDocument/2006/relationships/hyperlink" Target="https://cerncourier.com/wp-content/uploads/2025/01/CERNCourier2025JanFeb-digitaledition.pdf" TargetMode="External"/><Relationship Id="rId73" Type="http://schemas.openxmlformats.org/officeDocument/2006/relationships/hyperlink" Target="https://www.eua.eu/resources/publications/1112:development-and-strategic-benefits-of-learning-and-teaching-centres.html" TargetMode="External"/><Relationship Id="rId78" Type="http://schemas.openxmlformats.org/officeDocument/2006/relationships/hyperlink" Target="https://www.eua.eu/images/publications/Publication_PDFs/EUA_TPG_Report_Student_empowerment.pdf"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ducations.com/scholarships/women-scholarship-for-international-students?utm_source=Eurodesk&amp;amp;utm_medium=Article%2Fnewsletter&amp;amp;utm_campaign=Eurodesk-Women+scholarship&amp;amp;utm_id=Eurodesk-Women+scholarship" TargetMode="External"/><Relationship Id="rId39" Type="http://schemas.openxmlformats.org/officeDocument/2006/relationships/hyperlink" Target="https://bnsf.bg/wps/portal/fond-izsledvaniq/home/competitions/Pokana-COST-2025" TargetMode="External"/><Relationship Id="rId34" Type="http://schemas.openxmlformats.org/officeDocument/2006/relationships/hyperlink" Target="https://marie-sklodowska-curie-actions.ec.europa.eu/news/msca-opens-eu1018m-call-to-co-fund-doctoral-and-postdoctoral-programmes" TargetMode="External"/><Relationship Id="rId50" Type="http://schemas.openxmlformats.org/officeDocument/2006/relationships/hyperlink" Target="https://euagenda.eu/events/2025/06/20/8th-international-conference-on-new-trends-in-social-sciences" TargetMode="External"/><Relationship Id="rId55" Type="http://schemas.openxmlformats.org/officeDocument/2006/relationships/hyperlink" Target="https://research-and-innovation.ec.europa.eu/research-area/industrial-research-and-innovation/artificial-intelligence-ai-science_en" TargetMode="External"/><Relationship Id="rId76" Type="http://schemas.openxmlformats.org/officeDocument/2006/relationships/hyperlink" Target="https://www.eua.eu/resources/publications/1059:artificial-intelligence-tools-and-their-responsible-use-in-higher-education-learning-and-teaching.html" TargetMode="External"/><Relationship Id="rId7" Type="http://schemas.openxmlformats.org/officeDocument/2006/relationships/styles" Target="styles.xml"/><Relationship Id="rId71" Type="http://schemas.openxmlformats.org/officeDocument/2006/relationships/hyperlink" Target="https://www.eua.eu/component/attachments/attachments.html?id=4540" TargetMode="External"/><Relationship Id="rId2" Type="http://schemas.openxmlformats.org/officeDocument/2006/relationships/customXml" Target="../customXml/item2.xml"/><Relationship Id="rId29" Type="http://schemas.openxmlformats.org/officeDocument/2006/relationships/hyperlink" Target="https://institutfrancais.bg/wp-content/uploads/2025/04/demande-de-subv-scac-version-bg-2025.docx" TargetMode="External"/><Relationship Id="rId24" Type="http://schemas.openxmlformats.org/officeDocument/2006/relationships/hyperlink" Target="https://careers.coca-colahellenic.com/en_US/careers/ProjectDetail/Coke-Internship-in-Planning/16245" TargetMode="External"/><Relationship Id="rId40" Type="http://schemas.openxmlformats.org/officeDocument/2006/relationships/footer" Target="footer3.xml"/><Relationship Id="rId45" Type="http://schemas.openxmlformats.org/officeDocument/2006/relationships/hyperlink" Target="https://www.eua.eu/events/eua-events/2025-eua-cde-annual-meeting.html" TargetMode="External"/><Relationship Id="rId66"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МАЙ,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3.xml><?xml version="1.0" encoding="utf-8"?>
<ct:contentTypeSchema xmlns:ct="http://schemas.microsoft.com/office/2006/metadata/contentType" xmlns:ma="http://schemas.microsoft.com/office/2006/metadata/properties/metaAttributes" ct:_="" ma:_="" ma:contentTypeName="Document" ma:contentTypeID="0x0101003F4ED0A75C1B8E4C849764F58BB21C8F" ma:contentTypeVersion="16" ma:contentTypeDescription="Create a new document." ma:contentTypeScope="" ma:versionID="0c8f9bfd7157627fcf656e771f3bcbd6">
  <xsd:schema xmlns:xsd="http://www.w3.org/2001/XMLSchema" xmlns:xs="http://www.w3.org/2001/XMLSchema" xmlns:p="http://schemas.microsoft.com/office/2006/metadata/properties" xmlns:ns3="5ceae2ee-5b96-4964-96bb-3df8a1f48251" xmlns:ns4="eaf6d7a6-7bcf-4a67-94fc-ebf5affa6228" targetNamespace="http://schemas.microsoft.com/office/2006/metadata/properties" ma:root="true" ma:fieldsID="b3b6e620ed53bb5b548f028009679fdf" ns3:_="" ns4:_="">
    <xsd:import namespace="5ceae2ee-5b96-4964-96bb-3df8a1f48251"/>
    <xsd:import namespace="eaf6d7a6-7bcf-4a67-94fc-ebf5affa62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ae2ee-5b96-4964-96bb-3df8a1f48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6d7a6-7bcf-4a67-94fc-ebf5affa62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5ceae2ee-5b96-4964-96bb-3df8a1f4825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53CE51-422E-45AE-9CCE-4DD346D214A4}">
  <ds:schemaRefs>
    <ds:schemaRef ds:uri="http://schemas.openxmlformats.org/officeDocument/2006/bibliography"/>
  </ds:schemaRefs>
</ds:datastoreItem>
</file>

<file path=customXml/itemProps3.xml><?xml version="1.0" encoding="utf-8"?>
<ds:datastoreItem xmlns:ds="http://schemas.openxmlformats.org/officeDocument/2006/customXml" ds:itemID="{D007A09C-9BCD-4651-B476-03B2C5AFF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ae2ee-5b96-4964-96bb-3df8a1f48251"/>
    <ds:schemaRef ds:uri="eaf6d7a6-7bcf-4a67-94fc-ebf5affa6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B95353-A750-4386-8EAA-5271742B56C0}">
  <ds:schemaRefs>
    <ds:schemaRef ds:uri="http://schemas.microsoft.com/sharepoint/v3/contenttype/forms"/>
  </ds:schemaRefs>
</ds:datastoreItem>
</file>

<file path=customXml/itemProps5.xml><?xml version="1.0" encoding="utf-8"?>
<ds:datastoreItem xmlns:ds="http://schemas.openxmlformats.org/officeDocument/2006/customXml" ds:itemID="{438F7D79-81A1-46DA-A469-384933D61F58}">
  <ds:schemaRefs>
    <ds:schemaRef ds:uri="http://schemas.microsoft.com/office/2006/metadata/properties"/>
    <ds:schemaRef ds:uri="http://schemas.microsoft.com/office/infopath/2007/PartnerControls"/>
    <ds:schemaRef ds:uri="5ceae2ee-5b96-4964-96bb-3df8a1f4825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11655</Words>
  <Characters>68649</Characters>
  <Application>Microsoft Office Word</Application>
  <DocSecurity>0</DocSecurity>
  <Lines>1295</Lines>
  <Paragraphs>622</Paragraphs>
  <ScaleCrop>false</ScaleCrop>
  <HeadingPairs>
    <vt:vector size="2" baseType="variant">
      <vt:variant>
        <vt:lpstr>Title</vt:lpstr>
      </vt:variant>
      <vt:variant>
        <vt:i4>1</vt:i4>
      </vt:variant>
    </vt:vector>
  </HeadingPairs>
  <TitlesOfParts>
    <vt:vector size="1" baseType="lpstr">
      <vt:lpstr>МЕСЕЧЕН ИНФОРМАЦИОНЕН БЮЛЕТИН</vt:lpstr>
    </vt:vector>
  </TitlesOfParts>
  <Company>НИС ПРИ СУ “СВ. КЛ. ОХРИДСКИ”</Company>
  <LinksUpToDate>false</LinksUpToDate>
  <CharactersWithSpaces>79682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МЕСЕЧЕН ИНФОРМАЦИОНЕН БЮЛЕТИН</dc:title>
  <dc:creator>Dessy</dc:creator>
  <cp:lastModifiedBy>Desislava Petrova-Antonova</cp:lastModifiedBy>
  <cp:revision>2</cp:revision>
  <cp:lastPrinted>2014-05-12T09:53:00Z</cp:lastPrinted>
  <dcterms:created xsi:type="dcterms:W3CDTF">2025-05-13T07:18:00Z</dcterms:created>
  <dcterms:modified xsi:type="dcterms:W3CDTF">2025-05-13T07:18:00Z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dccf845a413631484349480b45ac9d63b7224041b64b12eeafbedd23aa265efd</vt:lpwstr>
  </property>
  <property fmtid="{D5CDD505-2E9C-101B-9397-08002B2CF9AE}" pid="3" name="ContentTypeId">
    <vt:lpwstr>0x0101003F4ED0A75C1B8E4C849764F58BB21C8F</vt:lpwstr>
  </property>
</Properties>
</file>